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C3385">
      <w:pPr>
        <w:spacing w:line="240" w:lineRule="auto"/>
        <w:ind w:firstLine="0" w:firstLineChars="0"/>
        <w:jc w:val="center"/>
        <w:rPr>
          <w:rFonts w:hAnsi="Times New Roman" w:eastAsia="方正大黑简体"/>
          <w:color w:val="auto"/>
          <w:kern w:val="2"/>
          <w:sz w:val="48"/>
          <w:szCs w:val="48"/>
          <w:highlight w:val="none"/>
          <w:u w:val="none"/>
          <w:lang w:val="en-US"/>
        </w:rPr>
      </w:pPr>
      <w:bookmarkStart w:id="0" w:name="_Hlk149554946"/>
      <w:bookmarkEnd w:id="0"/>
    </w:p>
    <w:p w14:paraId="4FE14DE2">
      <w:pPr>
        <w:spacing w:line="240" w:lineRule="auto"/>
        <w:ind w:firstLine="0" w:firstLineChars="0"/>
        <w:jc w:val="center"/>
        <w:rPr>
          <w:rFonts w:hAnsi="Times New Roman" w:eastAsia="方正大黑简体"/>
          <w:color w:val="auto"/>
          <w:kern w:val="2"/>
          <w:sz w:val="48"/>
          <w:szCs w:val="48"/>
          <w:highlight w:val="none"/>
          <w:u w:val="none"/>
          <w:lang w:val="en-US"/>
        </w:rPr>
      </w:pPr>
      <w:bookmarkStart w:id="823" w:name="_GoBack"/>
      <w:r>
        <w:rPr>
          <w:rFonts w:hint="eastAsia" w:hAnsi="Times New Roman" w:eastAsia="方正大黑简体"/>
          <w:color w:val="auto"/>
          <w:kern w:val="2"/>
          <w:sz w:val="48"/>
          <w:szCs w:val="48"/>
          <w:highlight w:val="none"/>
          <w:u w:val="none"/>
          <w:lang w:val="en-US"/>
        </w:rPr>
        <w:t>万华化学（福建）有限公司</w:t>
      </w:r>
    </w:p>
    <w:p w14:paraId="1175A568">
      <w:pPr>
        <w:tabs>
          <w:tab w:val="left" w:pos="1418"/>
          <w:tab w:val="center" w:pos="4513"/>
          <w:tab w:val="right" w:pos="9026"/>
        </w:tabs>
        <w:spacing w:line="240" w:lineRule="auto"/>
        <w:ind w:firstLine="0" w:firstLineChars="0"/>
        <w:jc w:val="center"/>
        <w:rPr>
          <w:rFonts w:hAnsi="Times New Roman" w:eastAsia="方正大黑简体"/>
          <w:color w:val="auto"/>
          <w:kern w:val="2"/>
          <w:sz w:val="48"/>
          <w:szCs w:val="48"/>
          <w:highlight w:val="none"/>
          <w:u w:val="none"/>
          <w:lang w:val="en-US"/>
        </w:rPr>
      </w:pPr>
      <w:r>
        <w:rPr>
          <w:rFonts w:hAnsi="Times New Roman" w:eastAsia="方正大黑简体"/>
          <w:color w:val="auto"/>
          <w:kern w:val="2"/>
          <w:sz w:val="48"/>
          <w:szCs w:val="48"/>
          <w:highlight w:val="none"/>
          <w:u w:val="none"/>
          <w:lang w:val="en-US"/>
        </w:rPr>
        <w:t>TDI</w:t>
      </w:r>
      <w:r>
        <w:rPr>
          <w:rFonts w:hint="eastAsia" w:hAnsi="Times New Roman" w:eastAsia="方正大黑简体"/>
          <w:color w:val="auto"/>
          <w:kern w:val="2"/>
          <w:sz w:val="48"/>
          <w:szCs w:val="48"/>
          <w:highlight w:val="none"/>
          <w:u w:val="none"/>
          <w:lang w:val="en-US"/>
        </w:rPr>
        <w:t>一</w:t>
      </w:r>
      <w:r>
        <w:rPr>
          <w:rFonts w:hAnsi="Times New Roman" w:eastAsia="方正大黑简体"/>
          <w:color w:val="auto"/>
          <w:kern w:val="2"/>
          <w:sz w:val="48"/>
          <w:szCs w:val="48"/>
          <w:highlight w:val="none"/>
          <w:u w:val="none"/>
          <w:lang w:val="en-US"/>
        </w:rPr>
        <w:t>期</w:t>
      </w:r>
      <w:r>
        <w:rPr>
          <w:rFonts w:hint="eastAsia" w:hAnsi="Times New Roman" w:eastAsia="方正大黑简体"/>
          <w:color w:val="auto"/>
          <w:kern w:val="2"/>
          <w:sz w:val="48"/>
          <w:szCs w:val="48"/>
          <w:highlight w:val="none"/>
          <w:u w:val="none"/>
          <w:lang w:val="en-US"/>
        </w:rPr>
        <w:t>技改扩能36</w:t>
      </w:r>
      <w:r>
        <w:rPr>
          <w:rFonts w:hAnsi="Times New Roman" w:eastAsia="方正大黑简体"/>
          <w:color w:val="auto"/>
          <w:kern w:val="2"/>
          <w:sz w:val="48"/>
          <w:szCs w:val="48"/>
          <w:highlight w:val="none"/>
          <w:u w:val="none"/>
          <w:lang w:val="en-US"/>
        </w:rPr>
        <w:t>万吨/年项目</w:t>
      </w:r>
    </w:p>
    <w:p w14:paraId="69573323">
      <w:pPr>
        <w:tabs>
          <w:tab w:val="center" w:pos="4513"/>
          <w:tab w:val="right" w:pos="9026"/>
        </w:tabs>
        <w:spacing w:line="240" w:lineRule="auto"/>
        <w:ind w:firstLine="0" w:firstLineChars="0"/>
        <w:jc w:val="center"/>
        <w:rPr>
          <w:rFonts w:hAnsi="Times New Roman" w:eastAsia="华文行楷"/>
          <w:color w:val="auto"/>
          <w:kern w:val="2"/>
          <w:sz w:val="72"/>
          <w:szCs w:val="72"/>
          <w:highlight w:val="none"/>
          <w:u w:val="none"/>
          <w:lang w:val="en-US"/>
        </w:rPr>
      </w:pPr>
      <w:r>
        <w:rPr>
          <w:rFonts w:hAnsi="Times New Roman" w:eastAsia="华文行楷"/>
          <w:color w:val="auto"/>
          <w:kern w:val="2"/>
          <w:sz w:val="72"/>
          <w:szCs w:val="72"/>
          <w:highlight w:val="none"/>
          <w:u w:val="none"/>
          <w:lang w:val="en-US"/>
        </w:rPr>
        <w:t>环境影响报告书</w:t>
      </w:r>
    </w:p>
    <w:bookmarkEnd w:id="823"/>
    <w:p w14:paraId="5151B3EF">
      <w:pPr>
        <w:ind w:firstLine="0" w:firstLineChars="0"/>
        <w:jc w:val="center"/>
        <w:rPr>
          <w:rFonts w:hAnsi="Times New Roman" w:eastAsia="方正大黑简体"/>
          <w:color w:val="auto"/>
          <w:kern w:val="2"/>
          <w:sz w:val="36"/>
          <w:szCs w:val="36"/>
          <w:highlight w:val="none"/>
          <w:u w:val="none"/>
          <w:lang w:val="en-US"/>
        </w:rPr>
      </w:pPr>
      <w:r>
        <w:rPr>
          <w:rFonts w:hAnsi="Times New Roman" w:eastAsia="方正大黑简体"/>
          <w:color w:val="auto"/>
          <w:kern w:val="2"/>
          <w:sz w:val="36"/>
          <w:szCs w:val="36"/>
          <w:highlight w:val="none"/>
          <w:u w:val="none"/>
          <w:lang w:val="en-US"/>
        </w:rPr>
        <w:t>（</w:t>
      </w:r>
      <w:r>
        <w:rPr>
          <w:rFonts w:hint="eastAsia" w:hAnsi="Times New Roman" w:eastAsia="方正大黑简体"/>
          <w:color w:val="auto"/>
          <w:kern w:val="2"/>
          <w:sz w:val="36"/>
          <w:szCs w:val="36"/>
          <w:highlight w:val="none"/>
          <w:u w:val="none"/>
          <w:lang w:val="en-US" w:eastAsia="zh-CN"/>
        </w:rPr>
        <w:t>公示稿</w:t>
      </w:r>
      <w:r>
        <w:rPr>
          <w:rFonts w:hAnsi="Times New Roman" w:eastAsia="方正大黑简体"/>
          <w:color w:val="auto"/>
          <w:kern w:val="2"/>
          <w:sz w:val="36"/>
          <w:szCs w:val="36"/>
          <w:highlight w:val="none"/>
          <w:u w:val="none"/>
          <w:lang w:val="en-US"/>
        </w:rPr>
        <w:t>）</w:t>
      </w:r>
    </w:p>
    <w:p w14:paraId="4670B915">
      <w:pPr>
        <w:ind w:firstLine="0" w:firstLineChars="0"/>
        <w:jc w:val="center"/>
        <w:rPr>
          <w:rFonts w:hAnsi="Times New Roman" w:eastAsia="方正大黑简体"/>
          <w:color w:val="auto"/>
          <w:kern w:val="2"/>
          <w:sz w:val="36"/>
          <w:szCs w:val="36"/>
          <w:highlight w:val="none"/>
          <w:u w:val="none"/>
          <w:lang w:val="en-US"/>
        </w:rPr>
      </w:pPr>
    </w:p>
    <w:p w14:paraId="6D792BA0">
      <w:pPr>
        <w:ind w:firstLine="0" w:firstLineChars="0"/>
        <w:jc w:val="center"/>
        <w:rPr>
          <w:rFonts w:hAnsi="Times New Roman" w:eastAsia="方正大黑简体"/>
          <w:color w:val="auto"/>
          <w:kern w:val="2"/>
          <w:sz w:val="36"/>
          <w:szCs w:val="36"/>
          <w:highlight w:val="none"/>
          <w:u w:val="none"/>
          <w:lang w:val="en-US"/>
        </w:rPr>
      </w:pPr>
    </w:p>
    <w:p w14:paraId="5C8B8086">
      <w:pPr>
        <w:ind w:firstLine="0" w:firstLineChars="0"/>
        <w:jc w:val="center"/>
        <w:rPr>
          <w:rFonts w:hint="eastAsia"/>
          <w:color w:val="auto"/>
          <w:highlight w:val="none"/>
          <w:u w:val="none"/>
        </w:rPr>
      </w:pPr>
    </w:p>
    <w:p w14:paraId="656506FA">
      <w:pPr>
        <w:ind w:firstLine="0" w:firstLineChars="0"/>
        <w:jc w:val="center"/>
        <w:rPr>
          <w:rFonts w:hint="eastAsia"/>
          <w:color w:val="auto"/>
          <w:highlight w:val="none"/>
          <w:u w:val="none"/>
        </w:rPr>
      </w:pPr>
    </w:p>
    <w:p w14:paraId="3D8ECB6A">
      <w:pPr>
        <w:ind w:firstLine="0" w:firstLineChars="0"/>
        <w:jc w:val="center"/>
        <w:rPr>
          <w:rFonts w:hint="eastAsia"/>
          <w:color w:val="auto"/>
          <w:highlight w:val="none"/>
          <w:u w:val="none"/>
        </w:rPr>
      </w:pPr>
    </w:p>
    <w:p w14:paraId="16CC0C96">
      <w:pPr>
        <w:ind w:firstLine="0" w:firstLineChars="0"/>
        <w:jc w:val="center"/>
        <w:rPr>
          <w:rFonts w:hint="eastAsia"/>
          <w:color w:val="auto"/>
          <w:highlight w:val="none"/>
          <w:u w:val="none"/>
        </w:rPr>
      </w:pPr>
    </w:p>
    <w:p w14:paraId="7290C67D">
      <w:pPr>
        <w:ind w:firstLine="0" w:firstLineChars="0"/>
        <w:jc w:val="center"/>
        <w:rPr>
          <w:rFonts w:hint="eastAsia"/>
          <w:color w:val="auto"/>
          <w:highlight w:val="none"/>
          <w:u w:val="none"/>
        </w:rPr>
      </w:pPr>
    </w:p>
    <w:p w14:paraId="3413DBB5">
      <w:pPr>
        <w:ind w:firstLine="0" w:firstLineChars="0"/>
        <w:jc w:val="center"/>
        <w:rPr>
          <w:rFonts w:hint="eastAsia"/>
          <w:color w:val="auto"/>
          <w:highlight w:val="none"/>
          <w:u w:val="none"/>
        </w:rPr>
      </w:pPr>
    </w:p>
    <w:p w14:paraId="7367244C">
      <w:pPr>
        <w:ind w:firstLine="0" w:firstLineChars="0"/>
        <w:jc w:val="center"/>
        <w:rPr>
          <w:rFonts w:hint="eastAsia"/>
          <w:color w:val="auto"/>
          <w:highlight w:val="none"/>
          <w:u w:val="none"/>
        </w:rPr>
      </w:pPr>
    </w:p>
    <w:p w14:paraId="044B69F8">
      <w:pPr>
        <w:ind w:firstLine="0" w:firstLineChars="0"/>
        <w:jc w:val="center"/>
        <w:rPr>
          <w:rFonts w:hint="eastAsia"/>
          <w:color w:val="auto"/>
          <w:highlight w:val="none"/>
          <w:u w:val="none"/>
        </w:rPr>
      </w:pPr>
    </w:p>
    <w:p w14:paraId="6ECE87FE">
      <w:pPr>
        <w:ind w:firstLine="0" w:firstLineChars="0"/>
        <w:jc w:val="center"/>
        <w:rPr>
          <w:rFonts w:hint="eastAsia"/>
          <w:color w:val="auto"/>
          <w:highlight w:val="none"/>
          <w:u w:val="none"/>
        </w:rPr>
      </w:pPr>
    </w:p>
    <w:p w14:paraId="04440A05">
      <w:pPr>
        <w:ind w:firstLine="0" w:firstLineChars="0"/>
        <w:jc w:val="center"/>
        <w:rPr>
          <w:rFonts w:hint="eastAsia"/>
          <w:color w:val="auto"/>
          <w:highlight w:val="none"/>
          <w:u w:val="none"/>
        </w:rPr>
      </w:pPr>
    </w:p>
    <w:p w14:paraId="41412746">
      <w:pPr>
        <w:ind w:firstLine="1405" w:firstLineChars="500"/>
        <w:rPr>
          <w:rFonts w:hint="eastAsia" w:ascii="楷体" w:hAnsi="楷体" w:eastAsia="楷体"/>
          <w:b/>
          <w:bCs/>
          <w:color w:val="auto"/>
          <w:kern w:val="2"/>
          <w:sz w:val="28"/>
          <w:szCs w:val="28"/>
          <w:highlight w:val="none"/>
          <w:u w:val="none"/>
          <w:lang w:val="en-US"/>
        </w:rPr>
      </w:pPr>
      <w:r>
        <w:rPr>
          <w:rFonts w:ascii="楷体" w:hAnsi="楷体" w:eastAsia="楷体"/>
          <w:b/>
          <w:bCs/>
          <w:color w:val="auto"/>
          <w:kern w:val="2"/>
          <w:sz w:val="28"/>
          <w:szCs w:val="28"/>
          <w:highlight w:val="none"/>
          <w:u w:val="none"/>
          <w:lang w:val="en-US"/>
        </w:rPr>
        <w:t>建设单位：</w:t>
      </w:r>
      <w:r>
        <w:rPr>
          <w:rFonts w:hint="eastAsia" w:ascii="楷体" w:hAnsi="楷体" w:eastAsia="楷体"/>
          <w:b/>
          <w:bCs/>
          <w:color w:val="auto"/>
          <w:kern w:val="2"/>
          <w:sz w:val="28"/>
          <w:szCs w:val="28"/>
          <w:highlight w:val="none"/>
          <w:u w:val="none"/>
          <w:lang w:val="en-US"/>
        </w:rPr>
        <w:t>万华化学（福建）有限公司</w:t>
      </w:r>
    </w:p>
    <w:p w14:paraId="7B8C90E0">
      <w:pPr>
        <w:ind w:firstLine="1405" w:firstLineChars="500"/>
        <w:rPr>
          <w:rFonts w:hint="eastAsia" w:ascii="楷体" w:hAnsi="楷体" w:eastAsia="楷体"/>
          <w:b/>
          <w:bCs/>
          <w:color w:val="auto"/>
          <w:kern w:val="2"/>
          <w:sz w:val="28"/>
          <w:szCs w:val="28"/>
          <w:highlight w:val="none"/>
          <w:u w:val="none"/>
          <w:lang w:val="en-US"/>
        </w:rPr>
      </w:pPr>
      <w:r>
        <w:rPr>
          <w:rFonts w:ascii="楷体" w:hAnsi="楷体" w:eastAsia="楷体"/>
          <w:b/>
          <w:bCs/>
          <w:color w:val="auto"/>
          <w:kern w:val="2"/>
          <w:sz w:val="28"/>
          <w:szCs w:val="28"/>
          <w:highlight w:val="none"/>
          <w:u w:val="none"/>
          <w:lang w:val="en-US"/>
        </w:rPr>
        <w:t>评价单位：福建省环境保护设计院有限公司</w:t>
      </w:r>
    </w:p>
    <w:p w14:paraId="5A9EE985">
      <w:pPr>
        <w:ind w:firstLine="0" w:firstLineChars="0"/>
        <w:jc w:val="center"/>
        <w:rPr>
          <w:rFonts w:hint="eastAsia" w:ascii="楷体" w:hAnsi="楷体" w:eastAsia="楷体"/>
          <w:b/>
          <w:bCs/>
          <w:color w:val="auto"/>
          <w:kern w:val="2"/>
          <w:sz w:val="28"/>
          <w:szCs w:val="28"/>
          <w:highlight w:val="none"/>
          <w:u w:val="none"/>
          <w:lang w:val="en-US"/>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992" w:gutter="0"/>
          <w:cols w:space="720" w:num="1"/>
          <w:docGrid w:type="lines" w:linePitch="312" w:charSpace="0"/>
        </w:sectPr>
      </w:pPr>
      <w:r>
        <w:rPr>
          <w:rFonts w:ascii="楷体" w:hAnsi="楷体" w:eastAsia="楷体"/>
          <w:b/>
          <w:bCs/>
          <w:color w:val="auto"/>
          <w:kern w:val="2"/>
          <w:sz w:val="28"/>
          <w:szCs w:val="28"/>
          <w:highlight w:val="none"/>
          <w:u w:val="none"/>
          <w:lang w:val="en-US"/>
        </w:rPr>
        <w:t>二〇</w:t>
      </w:r>
      <w:r>
        <w:rPr>
          <w:rFonts w:hint="eastAsia" w:ascii="楷体" w:hAnsi="楷体" w:eastAsia="楷体"/>
          <w:b/>
          <w:bCs/>
          <w:color w:val="auto"/>
          <w:kern w:val="2"/>
          <w:sz w:val="28"/>
          <w:szCs w:val="28"/>
          <w:highlight w:val="none"/>
          <w:u w:val="none"/>
          <w:lang w:val="en-US"/>
        </w:rPr>
        <w:t>二五</w:t>
      </w:r>
      <w:r>
        <w:rPr>
          <w:rFonts w:ascii="楷体" w:hAnsi="楷体" w:eastAsia="楷体"/>
          <w:b/>
          <w:bCs/>
          <w:color w:val="auto"/>
          <w:kern w:val="2"/>
          <w:sz w:val="28"/>
          <w:szCs w:val="28"/>
          <w:highlight w:val="none"/>
          <w:u w:val="none"/>
          <w:lang w:val="en-US"/>
        </w:rPr>
        <w:t>年</w:t>
      </w:r>
      <w:r>
        <w:rPr>
          <w:rFonts w:hint="eastAsia" w:ascii="楷体" w:hAnsi="楷体" w:eastAsia="楷体"/>
          <w:b/>
          <w:bCs/>
          <w:color w:val="auto"/>
          <w:kern w:val="2"/>
          <w:sz w:val="28"/>
          <w:szCs w:val="28"/>
          <w:highlight w:val="none"/>
          <w:u w:val="none"/>
          <w:lang w:val="en-US" w:eastAsia="zh-CN"/>
        </w:rPr>
        <w:t>四</w:t>
      </w:r>
      <w:r>
        <w:rPr>
          <w:rFonts w:ascii="楷体" w:hAnsi="楷体" w:eastAsia="楷体"/>
          <w:b/>
          <w:bCs/>
          <w:color w:val="auto"/>
          <w:kern w:val="2"/>
          <w:sz w:val="28"/>
          <w:szCs w:val="28"/>
          <w:highlight w:val="none"/>
          <w:u w:val="none"/>
          <w:lang w:val="en-US"/>
        </w:rPr>
        <w:t>月</w:t>
      </w:r>
    </w:p>
    <w:p w14:paraId="1D716ECE">
      <w:pPr>
        <w:pStyle w:val="981"/>
        <w:ind w:firstLine="562"/>
        <w:jc w:val="center"/>
        <w:rPr>
          <w:rFonts w:hint="eastAsia"/>
          <w:b/>
          <w:bCs/>
          <w:color w:val="auto"/>
          <w:sz w:val="28"/>
          <w:szCs w:val="28"/>
          <w:highlight w:val="none"/>
          <w:u w:val="none"/>
        </w:rPr>
      </w:pPr>
      <w:r>
        <w:rPr>
          <w:rFonts w:hint="eastAsia"/>
          <w:b/>
          <w:bCs/>
          <w:color w:val="auto"/>
          <w:sz w:val="28"/>
          <w:szCs w:val="28"/>
          <w:highlight w:val="none"/>
          <w:u w:val="none"/>
        </w:rPr>
        <w:t xml:space="preserve">目 </w:t>
      </w:r>
      <w:r>
        <w:rPr>
          <w:b/>
          <w:bCs/>
          <w:color w:val="auto"/>
          <w:sz w:val="28"/>
          <w:szCs w:val="28"/>
          <w:highlight w:val="none"/>
          <w:u w:val="none"/>
        </w:rPr>
        <w:t xml:space="preserve"> </w:t>
      </w:r>
      <w:r>
        <w:rPr>
          <w:rFonts w:hint="eastAsia"/>
          <w:b/>
          <w:bCs/>
          <w:color w:val="auto"/>
          <w:sz w:val="28"/>
          <w:szCs w:val="28"/>
          <w:highlight w:val="none"/>
          <w:u w:val="none"/>
        </w:rPr>
        <w:t>录</w:t>
      </w:r>
    </w:p>
    <w:p w14:paraId="03E94E62">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TOC \o "1-2" \u </w:instrText>
      </w:r>
      <w:r>
        <w:rPr>
          <w:rFonts w:hint="default" w:ascii="Times New Roman" w:hAnsi="Times New Roman" w:eastAsia="宋体" w:cs="Times New Roman"/>
          <w:color w:val="auto"/>
          <w:sz w:val="24"/>
          <w:szCs w:val="24"/>
          <w:highlight w:val="none"/>
          <w:u w:val="none"/>
        </w:rPr>
        <w:fldChar w:fldCharType="separate"/>
      </w:r>
      <w:r>
        <w:rPr>
          <w:rFonts w:hint="default" w:ascii="Times New Roman" w:hAnsi="Times New Roman" w:eastAsia="宋体" w:cs="Times New Roman"/>
          <w:color w:val="auto"/>
          <w:sz w:val="24"/>
          <w:szCs w:val="24"/>
        </w:rPr>
        <w:t xml:space="preserve">1 </w:t>
      </w:r>
      <w:r>
        <w:rPr>
          <w:rFonts w:hint="default" w:ascii="Times New Roman" w:hAnsi="Times New Roman" w:eastAsia="宋体" w:cs="Times New Roman"/>
          <w:color w:val="auto"/>
          <w:sz w:val="24"/>
          <w:szCs w:val="24"/>
          <w:highlight w:val="none"/>
          <w:u w:val="none"/>
        </w:rPr>
        <w:t>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p>
    <w:p w14:paraId="29F5702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1.1 </w:t>
      </w:r>
      <w:r>
        <w:rPr>
          <w:rFonts w:hint="default" w:ascii="Times New Roman" w:hAnsi="Times New Roman" w:eastAsia="宋体" w:cs="Times New Roman"/>
          <w:color w:val="auto"/>
          <w:sz w:val="24"/>
          <w:szCs w:val="24"/>
          <w:highlight w:val="none"/>
          <w:u w:val="none"/>
        </w:rPr>
        <w:t>项目背景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_Toc10565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p>
    <w:p w14:paraId="4568A74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1.2 </w:t>
      </w:r>
      <w:r>
        <w:rPr>
          <w:rFonts w:hint="default" w:ascii="Times New Roman" w:hAnsi="Times New Roman" w:eastAsia="宋体" w:cs="Times New Roman"/>
          <w:color w:val="auto"/>
          <w:sz w:val="24"/>
          <w:szCs w:val="24"/>
          <w:highlight w:val="none"/>
          <w:u w:val="none"/>
        </w:rPr>
        <w:t>环境影响评价工作过程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p>
    <w:p w14:paraId="4CFEDB9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 </w:t>
      </w:r>
      <w:r>
        <w:rPr>
          <w:rFonts w:hint="default" w:ascii="Times New Roman" w:hAnsi="Times New Roman" w:eastAsia="宋体" w:cs="Times New Roman"/>
          <w:color w:val="auto"/>
          <w:sz w:val="24"/>
          <w:szCs w:val="24"/>
          <w:highlight w:val="none"/>
          <w:u w:val="none"/>
        </w:rPr>
        <w:t>分析判定相关情况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p>
    <w:p w14:paraId="3CD064A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1.4 </w:t>
      </w:r>
      <w:r>
        <w:rPr>
          <w:rFonts w:hint="default" w:ascii="Times New Roman" w:hAnsi="Times New Roman" w:eastAsia="宋体" w:cs="Times New Roman"/>
          <w:color w:val="auto"/>
          <w:sz w:val="24"/>
          <w:szCs w:val="24"/>
          <w:highlight w:val="none"/>
          <w:u w:val="none"/>
        </w:rPr>
        <w:t>关注的主要环境问题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_Toc17100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p>
    <w:p w14:paraId="1450CD8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1.5 </w:t>
      </w:r>
      <w:r>
        <w:rPr>
          <w:rFonts w:hint="default" w:ascii="Times New Roman" w:hAnsi="Times New Roman" w:eastAsia="宋体" w:cs="Times New Roman"/>
          <w:color w:val="auto"/>
          <w:sz w:val="24"/>
          <w:szCs w:val="24"/>
          <w:highlight w:val="none"/>
          <w:u w:val="none"/>
        </w:rPr>
        <w:t>环境影响评价的主要结论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_Toc16504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p>
    <w:p w14:paraId="133436F9">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 </w:t>
      </w:r>
      <w:r>
        <w:rPr>
          <w:rFonts w:hint="default" w:ascii="Times New Roman" w:hAnsi="Times New Roman" w:eastAsia="宋体" w:cs="Times New Roman"/>
          <w:color w:val="auto"/>
          <w:sz w:val="24"/>
          <w:szCs w:val="24"/>
          <w:highlight w:val="none"/>
          <w:u w:val="none"/>
        </w:rPr>
        <w:t>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p>
    <w:p w14:paraId="75B370B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2.1 </w:t>
      </w:r>
      <w:r>
        <w:rPr>
          <w:rFonts w:hint="default" w:ascii="Times New Roman" w:hAnsi="Times New Roman" w:eastAsia="宋体" w:cs="Times New Roman"/>
          <w:color w:val="auto"/>
          <w:sz w:val="24"/>
          <w:szCs w:val="24"/>
          <w:highlight w:val="none"/>
          <w:u w:val="none"/>
        </w:rPr>
        <w:t>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p>
    <w:p w14:paraId="40010A2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2.2 </w:t>
      </w:r>
      <w:r>
        <w:rPr>
          <w:rFonts w:hint="default" w:ascii="Times New Roman" w:hAnsi="Times New Roman" w:eastAsia="宋体" w:cs="Times New Roman"/>
          <w:color w:val="auto"/>
          <w:sz w:val="24"/>
          <w:szCs w:val="24"/>
          <w:highlight w:val="none"/>
          <w:u w:val="none"/>
        </w:rPr>
        <w:t>环境影响因素识别和评价因子筛选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p>
    <w:p w14:paraId="2698817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2.3 </w:t>
      </w:r>
      <w:r>
        <w:rPr>
          <w:rFonts w:hint="default" w:ascii="Times New Roman" w:hAnsi="Times New Roman" w:eastAsia="宋体" w:cs="Times New Roman"/>
          <w:color w:val="auto"/>
          <w:sz w:val="24"/>
          <w:szCs w:val="24"/>
          <w:highlight w:val="none"/>
          <w:u w:val="none"/>
        </w:rPr>
        <w:t>环境功能区划和评价标准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p>
    <w:p w14:paraId="5C45F53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2.4 </w:t>
      </w:r>
      <w:r>
        <w:rPr>
          <w:rFonts w:hint="default" w:ascii="Times New Roman" w:hAnsi="Times New Roman" w:eastAsia="宋体" w:cs="Times New Roman"/>
          <w:color w:val="auto"/>
          <w:sz w:val="24"/>
          <w:szCs w:val="24"/>
          <w:highlight w:val="none"/>
          <w:u w:val="none"/>
        </w:rPr>
        <w:t>评价等级和评价范围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p>
    <w:p w14:paraId="5579590F">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2.5 </w:t>
      </w:r>
      <w:r>
        <w:rPr>
          <w:rFonts w:hint="default" w:ascii="Times New Roman" w:hAnsi="Times New Roman" w:eastAsia="宋体" w:cs="Times New Roman"/>
          <w:color w:val="auto"/>
          <w:sz w:val="24"/>
          <w:szCs w:val="24"/>
          <w:highlight w:val="none"/>
          <w:u w:val="none"/>
        </w:rPr>
        <w:t>评价工作内容和重点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p>
    <w:p w14:paraId="3178034A">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2.6 </w:t>
      </w:r>
      <w:r>
        <w:rPr>
          <w:rFonts w:hint="default" w:ascii="Times New Roman" w:hAnsi="Times New Roman" w:eastAsia="宋体" w:cs="Times New Roman"/>
          <w:color w:val="auto"/>
          <w:sz w:val="24"/>
          <w:szCs w:val="24"/>
          <w:highlight w:val="none"/>
          <w:u w:val="none"/>
        </w:rPr>
        <w:t>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p>
    <w:p w14:paraId="4AF74677">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 </w:t>
      </w:r>
      <w:r>
        <w:rPr>
          <w:rFonts w:hint="default" w:ascii="Times New Roman" w:hAnsi="Times New Roman" w:eastAsia="宋体" w:cs="Times New Roman"/>
          <w:color w:val="auto"/>
          <w:sz w:val="24"/>
          <w:szCs w:val="24"/>
          <w:highlight w:val="none"/>
          <w:u w:val="none"/>
        </w:rPr>
        <w:t>现有工程回顾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p>
    <w:p w14:paraId="085903CD">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3.1 </w:t>
      </w:r>
      <w:r>
        <w:rPr>
          <w:rFonts w:hint="default" w:ascii="Times New Roman" w:hAnsi="Times New Roman" w:eastAsia="宋体" w:cs="Times New Roman"/>
          <w:color w:val="auto"/>
          <w:sz w:val="24"/>
          <w:szCs w:val="24"/>
          <w:highlight w:val="none"/>
          <w:u w:val="none"/>
        </w:rPr>
        <w:t>企业概况及环保手续履行情况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_Toc7307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p>
    <w:p w14:paraId="2336F684">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3.2 </w:t>
      </w:r>
      <w:r>
        <w:rPr>
          <w:rFonts w:hint="default" w:ascii="Times New Roman" w:hAnsi="Times New Roman" w:eastAsia="宋体" w:cs="Times New Roman"/>
          <w:color w:val="auto"/>
          <w:sz w:val="24"/>
          <w:szCs w:val="24"/>
          <w:highlight w:val="none"/>
          <w:u w:val="none"/>
        </w:rPr>
        <w:t>主要生产地块总体平面布局和雨污管网分布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p>
    <w:p w14:paraId="04F0B521">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3.3 </w:t>
      </w:r>
      <w:r>
        <w:rPr>
          <w:rFonts w:hint="default" w:ascii="Times New Roman" w:hAnsi="Times New Roman" w:eastAsia="宋体" w:cs="Times New Roman"/>
          <w:color w:val="auto"/>
          <w:sz w:val="24"/>
          <w:szCs w:val="24"/>
          <w:highlight w:val="none"/>
          <w:u w:val="none"/>
        </w:rPr>
        <w:t>25万吨/年TDI项目（TDI一期工程）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p>
    <w:p w14:paraId="7C5FAA5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3.4 </w:t>
      </w:r>
      <w:r>
        <w:rPr>
          <w:rFonts w:hint="default" w:ascii="Times New Roman" w:hAnsi="Times New Roman" w:eastAsia="宋体" w:cs="Times New Roman"/>
          <w:color w:val="auto"/>
          <w:sz w:val="24"/>
          <w:szCs w:val="24"/>
          <w:highlight w:val="none"/>
          <w:u w:val="none"/>
        </w:rPr>
        <w:t>年产48万吨甲醛项目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p>
    <w:p w14:paraId="437FD6B8">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3.5 </w:t>
      </w:r>
      <w:r>
        <w:rPr>
          <w:rFonts w:hint="default" w:ascii="Times New Roman" w:hAnsi="Times New Roman" w:eastAsia="宋体" w:cs="Times New Roman"/>
          <w:color w:val="auto"/>
          <w:sz w:val="24"/>
          <w:szCs w:val="24"/>
          <w:highlight w:val="none"/>
          <w:u w:val="none"/>
        </w:rPr>
        <w:t>年产80万吨PVC项目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p>
    <w:p w14:paraId="5E0E9611">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3.6 </w:t>
      </w:r>
      <w:r>
        <w:rPr>
          <w:rFonts w:hint="default" w:ascii="Times New Roman" w:hAnsi="Times New Roman" w:eastAsia="宋体" w:cs="Times New Roman"/>
          <w:color w:val="auto"/>
          <w:sz w:val="24"/>
          <w:szCs w:val="24"/>
          <w:highlight w:val="none"/>
          <w:u w:val="none"/>
        </w:rPr>
        <w:t>年产108万吨苯胺项目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p>
    <w:p w14:paraId="65708C1F">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3.7 </w:t>
      </w:r>
      <w:r>
        <w:rPr>
          <w:rFonts w:hint="default" w:ascii="Times New Roman" w:hAnsi="Times New Roman" w:eastAsia="宋体" w:cs="Times New Roman"/>
          <w:color w:val="auto"/>
          <w:sz w:val="24"/>
          <w:szCs w:val="24"/>
          <w:highlight w:val="none"/>
          <w:u w:val="none"/>
        </w:rPr>
        <w:t>扩建36万吨/年TDI项目（TDI二期工程）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p>
    <w:p w14:paraId="79873BBD">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3.8 </w:t>
      </w:r>
      <w:r>
        <w:rPr>
          <w:rFonts w:hint="default" w:ascii="Times New Roman" w:hAnsi="Times New Roman" w:eastAsia="宋体" w:cs="Times New Roman"/>
          <w:color w:val="auto"/>
          <w:sz w:val="24"/>
          <w:szCs w:val="24"/>
          <w:highlight w:val="none"/>
          <w:u w:val="none"/>
        </w:rPr>
        <w:t>气体装置工程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p>
    <w:p w14:paraId="6508AB3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3.9 </w:t>
      </w:r>
      <w:r>
        <w:rPr>
          <w:rFonts w:hint="default" w:ascii="Times New Roman" w:hAnsi="Times New Roman" w:eastAsia="宋体" w:cs="Times New Roman"/>
          <w:color w:val="auto"/>
          <w:sz w:val="24"/>
          <w:szCs w:val="24"/>
          <w:highlight w:val="none"/>
          <w:u w:val="none"/>
        </w:rPr>
        <w:t>万华福建公司现有工程及</w:t>
      </w:r>
      <w:r>
        <w:rPr>
          <w:rFonts w:hint="default" w:ascii="Times New Roman" w:hAnsi="Times New Roman" w:eastAsia="宋体" w:cs="Times New Roman"/>
          <w:color w:val="auto"/>
          <w:sz w:val="24"/>
          <w:szCs w:val="24"/>
          <w:highlight w:val="none"/>
          <w:u w:val="none"/>
          <w:lang w:val="en-US"/>
        </w:rPr>
        <w:t>万华环保科技公司</w:t>
      </w:r>
      <w:r>
        <w:rPr>
          <w:rFonts w:hint="default" w:ascii="Times New Roman" w:hAnsi="Times New Roman" w:eastAsia="宋体" w:cs="Times New Roman"/>
          <w:color w:val="auto"/>
          <w:sz w:val="24"/>
          <w:szCs w:val="24"/>
          <w:highlight w:val="none"/>
          <w:u w:val="none"/>
        </w:rPr>
        <w:t>排污许可证执行情况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p>
    <w:p w14:paraId="402C5BE6">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3.10 </w:t>
      </w:r>
      <w:r>
        <w:rPr>
          <w:rFonts w:hint="default" w:ascii="Times New Roman" w:hAnsi="Times New Roman" w:eastAsia="宋体" w:cs="Times New Roman"/>
          <w:color w:val="auto"/>
          <w:sz w:val="24"/>
          <w:szCs w:val="24"/>
          <w:highlight w:val="none"/>
          <w:u w:val="none"/>
        </w:rPr>
        <w:t>现有工程应急预案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p>
    <w:p w14:paraId="5583E0DD">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rPr>
        <w:t xml:space="preserve">3.11 </w:t>
      </w:r>
      <w:r>
        <w:rPr>
          <w:rFonts w:hint="default" w:ascii="Times New Roman" w:hAnsi="Times New Roman" w:eastAsia="宋体" w:cs="Times New Roman"/>
          <w:color w:val="auto"/>
          <w:sz w:val="24"/>
          <w:szCs w:val="24"/>
          <w:highlight w:val="none"/>
          <w:u w:val="none"/>
          <w:lang w:val="en-US"/>
        </w:rPr>
        <w:t>环保投诉情况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p>
    <w:p w14:paraId="578BB5B5">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 </w:t>
      </w:r>
      <w:r>
        <w:rPr>
          <w:rFonts w:hint="default" w:ascii="Times New Roman" w:hAnsi="Times New Roman" w:eastAsia="宋体" w:cs="Times New Roman"/>
          <w:color w:val="auto"/>
          <w:sz w:val="24"/>
          <w:szCs w:val="24"/>
          <w:highlight w:val="none"/>
          <w:u w:val="none"/>
        </w:rPr>
        <w:t>拟建工程概况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p>
    <w:p w14:paraId="157142A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4.1 </w:t>
      </w:r>
      <w:r>
        <w:rPr>
          <w:rFonts w:hint="default" w:ascii="Times New Roman" w:hAnsi="Times New Roman" w:eastAsia="宋体" w:cs="Times New Roman"/>
          <w:color w:val="auto"/>
          <w:sz w:val="24"/>
          <w:szCs w:val="24"/>
          <w:highlight w:val="none"/>
          <w:u w:val="none"/>
        </w:rPr>
        <w:t>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p>
    <w:p w14:paraId="1F5AFCC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4.2 </w:t>
      </w:r>
      <w:r>
        <w:rPr>
          <w:rFonts w:hint="default" w:ascii="Times New Roman" w:hAnsi="Times New Roman" w:eastAsia="宋体" w:cs="Times New Roman"/>
          <w:color w:val="auto"/>
          <w:sz w:val="24"/>
          <w:szCs w:val="24"/>
          <w:highlight w:val="none"/>
          <w:u w:val="none"/>
        </w:rPr>
        <w:t>建设规模及产品方案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_Toc14849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p>
    <w:p w14:paraId="3CD4C03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4.3 </w:t>
      </w:r>
      <w:r>
        <w:rPr>
          <w:rFonts w:hint="default" w:ascii="Times New Roman" w:hAnsi="Times New Roman" w:eastAsia="宋体" w:cs="Times New Roman"/>
          <w:color w:val="auto"/>
          <w:sz w:val="24"/>
          <w:szCs w:val="24"/>
          <w:highlight w:val="none"/>
          <w:u w:val="none"/>
          <w:lang w:val="en-US"/>
        </w:rPr>
        <w:t>技改</w:t>
      </w:r>
      <w:r>
        <w:rPr>
          <w:rFonts w:hint="default" w:ascii="Times New Roman" w:hAnsi="Times New Roman" w:eastAsia="宋体" w:cs="Times New Roman"/>
          <w:color w:val="auto"/>
          <w:sz w:val="24"/>
          <w:szCs w:val="24"/>
          <w:highlight w:val="none"/>
          <w:u w:val="none"/>
        </w:rPr>
        <w:t>项目组成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p>
    <w:p w14:paraId="3994B059">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4.4 </w:t>
      </w:r>
      <w:r>
        <w:rPr>
          <w:rFonts w:hint="default" w:ascii="Times New Roman" w:hAnsi="Times New Roman" w:eastAsia="宋体" w:cs="Times New Roman"/>
          <w:color w:val="auto"/>
          <w:sz w:val="24"/>
          <w:szCs w:val="24"/>
          <w:highlight w:val="none"/>
          <w:u w:val="none"/>
        </w:rPr>
        <w:t>原辅材料及动力消耗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p>
    <w:p w14:paraId="17BCE9DB">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4.5 </w:t>
      </w:r>
      <w:r>
        <w:rPr>
          <w:rFonts w:hint="default" w:ascii="Times New Roman" w:hAnsi="Times New Roman" w:eastAsia="宋体" w:cs="Times New Roman"/>
          <w:color w:val="auto"/>
          <w:sz w:val="24"/>
          <w:szCs w:val="24"/>
          <w:highlight w:val="none"/>
          <w:u w:val="none"/>
        </w:rPr>
        <w:t>生产设备</w:t>
      </w:r>
      <w:r>
        <w:rPr>
          <w:rFonts w:hint="default" w:ascii="Times New Roman" w:hAnsi="Times New Roman" w:eastAsia="宋体" w:cs="Times New Roman"/>
          <w:color w:val="auto"/>
          <w:sz w:val="24"/>
          <w:szCs w:val="24"/>
          <w:highlight w:val="none"/>
          <w:u w:val="none"/>
          <w:lang w:val="en-US"/>
        </w:rPr>
        <w:t>、物料及产品理化性质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p>
    <w:p w14:paraId="73C6B98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4.6 </w:t>
      </w:r>
      <w:r>
        <w:rPr>
          <w:rFonts w:hint="default" w:ascii="Times New Roman" w:hAnsi="Times New Roman" w:eastAsia="宋体" w:cs="Times New Roman"/>
          <w:color w:val="auto"/>
          <w:sz w:val="24"/>
          <w:szCs w:val="24"/>
          <w:highlight w:val="none"/>
          <w:u w:val="none"/>
        </w:rPr>
        <w:t>总平面布置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p>
    <w:p w14:paraId="2E1692F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4.7 </w:t>
      </w:r>
      <w:r>
        <w:rPr>
          <w:rFonts w:hint="default" w:ascii="Times New Roman" w:hAnsi="Times New Roman" w:eastAsia="宋体" w:cs="Times New Roman"/>
          <w:color w:val="auto"/>
          <w:sz w:val="24"/>
          <w:szCs w:val="24"/>
          <w:highlight w:val="none"/>
          <w:u w:val="none"/>
        </w:rPr>
        <w:t>储运工程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p>
    <w:p w14:paraId="1DFBF46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4.8 </w:t>
      </w:r>
      <w:r>
        <w:rPr>
          <w:rFonts w:hint="default" w:ascii="Times New Roman" w:hAnsi="Times New Roman" w:eastAsia="宋体" w:cs="Times New Roman"/>
          <w:color w:val="auto"/>
          <w:sz w:val="24"/>
          <w:szCs w:val="24"/>
          <w:highlight w:val="none"/>
          <w:u w:val="none"/>
        </w:rPr>
        <w:t>公辅及环保工程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p>
    <w:p w14:paraId="5491DE1D">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 </w:t>
      </w:r>
      <w:r>
        <w:rPr>
          <w:rFonts w:hint="default" w:ascii="Times New Roman" w:hAnsi="Times New Roman" w:eastAsia="宋体" w:cs="Times New Roman"/>
          <w:color w:val="auto"/>
          <w:sz w:val="24"/>
          <w:szCs w:val="24"/>
          <w:highlight w:val="none"/>
          <w:u w:val="none"/>
        </w:rPr>
        <w:t>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_Toc8956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p>
    <w:p w14:paraId="5E571C90">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5.1 </w:t>
      </w:r>
      <w:r>
        <w:rPr>
          <w:rFonts w:hint="default" w:ascii="Times New Roman" w:hAnsi="Times New Roman" w:eastAsia="宋体" w:cs="Times New Roman"/>
          <w:color w:val="auto"/>
          <w:sz w:val="24"/>
          <w:szCs w:val="24"/>
          <w:highlight w:val="none"/>
          <w:u w:val="none"/>
        </w:rPr>
        <w:t>公用及辅助工程排污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p>
    <w:p w14:paraId="659CE5EF">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5.2 </w:t>
      </w:r>
      <w:r>
        <w:rPr>
          <w:rFonts w:hint="default" w:ascii="Times New Roman" w:hAnsi="Times New Roman" w:eastAsia="宋体" w:cs="Times New Roman"/>
          <w:color w:val="auto"/>
          <w:sz w:val="24"/>
          <w:szCs w:val="24"/>
          <w:highlight w:val="none"/>
          <w:u w:val="none"/>
        </w:rPr>
        <w:t>平衡分析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p>
    <w:p w14:paraId="6BDB0E01">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5.3 </w:t>
      </w:r>
      <w:r>
        <w:rPr>
          <w:rFonts w:hint="default" w:ascii="Times New Roman" w:hAnsi="Times New Roman" w:eastAsia="宋体" w:cs="Times New Roman"/>
          <w:color w:val="auto"/>
          <w:sz w:val="24"/>
          <w:szCs w:val="24"/>
          <w:highlight w:val="none"/>
          <w:u w:val="none"/>
          <w:lang w:val="en-US"/>
        </w:rPr>
        <w:t>TDI一期</w:t>
      </w:r>
      <w:r>
        <w:rPr>
          <w:rFonts w:hint="default" w:ascii="Times New Roman" w:hAnsi="Times New Roman" w:eastAsia="宋体" w:cs="Times New Roman"/>
          <w:color w:val="auto"/>
          <w:sz w:val="24"/>
          <w:szCs w:val="24"/>
          <w:highlight w:val="none"/>
          <w:u w:val="none"/>
        </w:rPr>
        <w:t>VOCs排放量估算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p>
    <w:p w14:paraId="09F05E70">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5.4 </w:t>
      </w:r>
      <w:r>
        <w:rPr>
          <w:rFonts w:hint="default" w:ascii="Times New Roman" w:hAnsi="Times New Roman" w:eastAsia="宋体" w:cs="Times New Roman"/>
          <w:color w:val="auto"/>
          <w:sz w:val="24"/>
          <w:szCs w:val="24"/>
          <w:highlight w:val="none"/>
          <w:u w:val="none"/>
        </w:rPr>
        <w:t>非正常工况排污分析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p>
    <w:p w14:paraId="2B217198">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5.5 </w:t>
      </w:r>
      <w:r>
        <w:rPr>
          <w:rFonts w:hint="default" w:ascii="Times New Roman" w:hAnsi="Times New Roman" w:eastAsia="宋体" w:cs="Times New Roman"/>
          <w:color w:val="auto"/>
          <w:sz w:val="24"/>
          <w:szCs w:val="24"/>
          <w:highlight w:val="none"/>
          <w:u w:val="none"/>
          <w:lang w:val="en-US"/>
        </w:rPr>
        <w:t>本次技改扩能</w:t>
      </w:r>
      <w:r>
        <w:rPr>
          <w:rFonts w:hint="default" w:ascii="Times New Roman" w:hAnsi="Times New Roman" w:eastAsia="宋体" w:cs="Times New Roman"/>
          <w:color w:val="auto"/>
          <w:sz w:val="24"/>
          <w:szCs w:val="24"/>
          <w:highlight w:val="none"/>
          <w:u w:val="none"/>
        </w:rPr>
        <w:t>污染源分类汇总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117</w:t>
      </w:r>
      <w:r>
        <w:rPr>
          <w:rFonts w:hint="default" w:ascii="Times New Roman" w:hAnsi="Times New Roman" w:eastAsia="宋体" w:cs="Times New Roman"/>
          <w:sz w:val="24"/>
          <w:szCs w:val="24"/>
        </w:rPr>
        <w:fldChar w:fldCharType="end"/>
      </w:r>
    </w:p>
    <w:p w14:paraId="2CFBD1B9">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5.6 </w:t>
      </w:r>
      <w:r>
        <w:rPr>
          <w:rFonts w:hint="default" w:ascii="Times New Roman" w:hAnsi="Times New Roman" w:eastAsia="宋体" w:cs="Times New Roman"/>
          <w:color w:val="auto"/>
          <w:sz w:val="24"/>
          <w:szCs w:val="24"/>
          <w:highlight w:val="none"/>
          <w:u w:val="none"/>
        </w:rPr>
        <w:t>施工期污染源分析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130</w:t>
      </w:r>
      <w:r>
        <w:rPr>
          <w:rFonts w:hint="default" w:ascii="Times New Roman" w:hAnsi="Times New Roman" w:eastAsia="宋体" w:cs="Times New Roman"/>
          <w:sz w:val="24"/>
          <w:szCs w:val="24"/>
        </w:rPr>
        <w:fldChar w:fldCharType="end"/>
      </w:r>
    </w:p>
    <w:p w14:paraId="2DBA3C36">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5.7 </w:t>
      </w:r>
      <w:r>
        <w:rPr>
          <w:rFonts w:hint="default" w:ascii="Times New Roman" w:hAnsi="Times New Roman" w:eastAsia="宋体" w:cs="Times New Roman"/>
          <w:color w:val="auto"/>
          <w:sz w:val="24"/>
          <w:szCs w:val="24"/>
          <w:highlight w:val="none"/>
          <w:u w:val="none"/>
        </w:rPr>
        <w:t>清洁生产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133</w:t>
      </w:r>
      <w:r>
        <w:rPr>
          <w:rFonts w:hint="default" w:ascii="Times New Roman" w:hAnsi="Times New Roman" w:eastAsia="宋体" w:cs="Times New Roman"/>
          <w:sz w:val="24"/>
          <w:szCs w:val="24"/>
        </w:rPr>
        <w:fldChar w:fldCharType="end"/>
      </w:r>
    </w:p>
    <w:p w14:paraId="5848CC7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5.8 </w:t>
      </w:r>
      <w:r>
        <w:rPr>
          <w:rFonts w:hint="default" w:ascii="Times New Roman" w:hAnsi="Times New Roman" w:eastAsia="宋体" w:cs="Times New Roman"/>
          <w:color w:val="auto"/>
          <w:sz w:val="24"/>
          <w:szCs w:val="24"/>
          <w:highlight w:val="none"/>
          <w:u w:val="none"/>
        </w:rPr>
        <w:t>政策、规划符合性分析与选址符合性分析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135</w:t>
      </w:r>
      <w:r>
        <w:rPr>
          <w:rFonts w:hint="default" w:ascii="Times New Roman" w:hAnsi="Times New Roman" w:eastAsia="宋体" w:cs="Times New Roman"/>
          <w:sz w:val="24"/>
          <w:szCs w:val="24"/>
        </w:rPr>
        <w:fldChar w:fldCharType="end"/>
      </w:r>
    </w:p>
    <w:p w14:paraId="76388B96">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6 </w:t>
      </w:r>
      <w:r>
        <w:rPr>
          <w:rFonts w:hint="default" w:ascii="Times New Roman" w:hAnsi="Times New Roman" w:eastAsia="宋体" w:cs="Times New Roman"/>
          <w:color w:val="auto"/>
          <w:sz w:val="24"/>
          <w:szCs w:val="24"/>
          <w:highlight w:val="none"/>
          <w:u w:val="none"/>
        </w:rPr>
        <w:t>区域环境概况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_Toc27145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174</w:t>
      </w:r>
      <w:r>
        <w:rPr>
          <w:rFonts w:hint="default" w:ascii="Times New Roman" w:hAnsi="Times New Roman" w:eastAsia="宋体" w:cs="Times New Roman"/>
          <w:sz w:val="24"/>
          <w:szCs w:val="24"/>
        </w:rPr>
        <w:fldChar w:fldCharType="end"/>
      </w:r>
    </w:p>
    <w:p w14:paraId="59DE6F2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6.1 </w:t>
      </w:r>
      <w:r>
        <w:rPr>
          <w:rFonts w:hint="default" w:ascii="Times New Roman" w:hAnsi="Times New Roman" w:eastAsia="宋体" w:cs="Times New Roman"/>
          <w:color w:val="auto"/>
          <w:sz w:val="24"/>
          <w:szCs w:val="24"/>
          <w:highlight w:val="none"/>
          <w:u w:val="none"/>
        </w:rPr>
        <w:t>自然环境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174</w:t>
      </w:r>
      <w:r>
        <w:rPr>
          <w:rFonts w:hint="default" w:ascii="Times New Roman" w:hAnsi="Times New Roman" w:eastAsia="宋体" w:cs="Times New Roman"/>
          <w:sz w:val="24"/>
          <w:szCs w:val="24"/>
        </w:rPr>
        <w:fldChar w:fldCharType="end"/>
      </w:r>
    </w:p>
    <w:p w14:paraId="664FB9F4">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6.2 </w:t>
      </w:r>
      <w:r>
        <w:rPr>
          <w:rFonts w:hint="default" w:ascii="Times New Roman" w:hAnsi="Times New Roman" w:eastAsia="宋体" w:cs="Times New Roman"/>
          <w:color w:val="auto"/>
          <w:sz w:val="24"/>
          <w:szCs w:val="24"/>
          <w:highlight w:val="none"/>
          <w:u w:val="none"/>
        </w:rPr>
        <w:t>福州江阴港城总体规划（2018-2035年）概况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181</w:t>
      </w:r>
      <w:r>
        <w:rPr>
          <w:rFonts w:hint="default" w:ascii="Times New Roman" w:hAnsi="Times New Roman" w:eastAsia="宋体" w:cs="Times New Roman"/>
          <w:sz w:val="24"/>
          <w:szCs w:val="24"/>
        </w:rPr>
        <w:fldChar w:fldCharType="end"/>
      </w:r>
    </w:p>
    <w:p w14:paraId="39B62C4F">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6.3 </w:t>
      </w:r>
      <w:r>
        <w:rPr>
          <w:rFonts w:hint="default" w:ascii="Times New Roman" w:hAnsi="Times New Roman" w:eastAsia="宋体" w:cs="Times New Roman"/>
          <w:color w:val="auto"/>
          <w:sz w:val="24"/>
          <w:szCs w:val="24"/>
          <w:highlight w:val="none"/>
          <w:u w:val="none"/>
        </w:rPr>
        <w:t>周边污染源现状调查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186</w:t>
      </w:r>
      <w:r>
        <w:rPr>
          <w:rFonts w:hint="default" w:ascii="Times New Roman" w:hAnsi="Times New Roman" w:eastAsia="宋体" w:cs="Times New Roman"/>
          <w:sz w:val="24"/>
          <w:szCs w:val="24"/>
        </w:rPr>
        <w:fldChar w:fldCharType="end"/>
      </w:r>
    </w:p>
    <w:p w14:paraId="49A5E798">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7 </w:t>
      </w:r>
      <w:r>
        <w:rPr>
          <w:rFonts w:hint="default" w:ascii="Times New Roman" w:hAnsi="Times New Roman" w:eastAsia="宋体" w:cs="Times New Roman"/>
          <w:color w:val="auto"/>
          <w:sz w:val="24"/>
          <w:szCs w:val="24"/>
          <w:highlight w:val="none"/>
          <w:u w:val="none"/>
        </w:rPr>
        <w:t>环境质量现状调查与评价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188</w:t>
      </w:r>
      <w:r>
        <w:rPr>
          <w:rFonts w:hint="default" w:ascii="Times New Roman" w:hAnsi="Times New Roman" w:eastAsia="宋体" w:cs="Times New Roman"/>
          <w:sz w:val="24"/>
          <w:szCs w:val="24"/>
        </w:rPr>
        <w:fldChar w:fldCharType="end"/>
      </w:r>
    </w:p>
    <w:p w14:paraId="630E042A">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 </w:t>
      </w:r>
      <w:r>
        <w:rPr>
          <w:rFonts w:hint="default" w:ascii="Times New Roman" w:hAnsi="Times New Roman" w:eastAsia="宋体" w:cs="Times New Roman"/>
          <w:color w:val="auto"/>
          <w:sz w:val="24"/>
          <w:szCs w:val="24"/>
          <w:highlight w:val="none"/>
          <w:u w:val="none"/>
        </w:rPr>
        <w:t>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188</w:t>
      </w:r>
      <w:r>
        <w:rPr>
          <w:rFonts w:hint="default" w:ascii="Times New Roman" w:hAnsi="Times New Roman" w:eastAsia="宋体" w:cs="Times New Roman"/>
          <w:sz w:val="24"/>
          <w:szCs w:val="24"/>
        </w:rPr>
        <w:fldChar w:fldCharType="end"/>
      </w:r>
    </w:p>
    <w:p w14:paraId="5DBB0EC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8.1 </w:t>
      </w:r>
      <w:r>
        <w:rPr>
          <w:rFonts w:hint="default" w:ascii="Times New Roman" w:hAnsi="Times New Roman" w:eastAsia="宋体" w:cs="Times New Roman"/>
          <w:color w:val="auto"/>
          <w:sz w:val="24"/>
          <w:szCs w:val="24"/>
          <w:highlight w:val="none"/>
          <w:u w:val="none"/>
        </w:rPr>
        <w:t>大气环境影响预测与评价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_Toc15371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188</w:t>
      </w:r>
      <w:r>
        <w:rPr>
          <w:rFonts w:hint="default" w:ascii="Times New Roman" w:hAnsi="Times New Roman" w:eastAsia="宋体" w:cs="Times New Roman"/>
          <w:sz w:val="24"/>
          <w:szCs w:val="24"/>
        </w:rPr>
        <w:fldChar w:fldCharType="end"/>
      </w:r>
    </w:p>
    <w:p w14:paraId="0DE68EFD">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8.2 </w:t>
      </w:r>
      <w:r>
        <w:rPr>
          <w:rFonts w:hint="default" w:ascii="Times New Roman" w:hAnsi="Times New Roman" w:eastAsia="宋体" w:cs="Times New Roman"/>
          <w:color w:val="auto"/>
          <w:sz w:val="24"/>
          <w:szCs w:val="24"/>
          <w:highlight w:val="none"/>
          <w:u w:val="none"/>
          <w:lang w:val="en-US" w:eastAsia="zh-CN"/>
        </w:rPr>
        <w:t>水</w:t>
      </w:r>
      <w:r>
        <w:rPr>
          <w:rFonts w:hint="default" w:ascii="Times New Roman" w:hAnsi="Times New Roman" w:eastAsia="宋体" w:cs="Times New Roman"/>
          <w:color w:val="auto"/>
          <w:sz w:val="24"/>
          <w:szCs w:val="24"/>
          <w:highlight w:val="none"/>
          <w:u w:val="none"/>
        </w:rPr>
        <w:t>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233</w:t>
      </w:r>
      <w:r>
        <w:rPr>
          <w:rFonts w:hint="default" w:ascii="Times New Roman" w:hAnsi="Times New Roman" w:eastAsia="宋体" w:cs="Times New Roman"/>
          <w:sz w:val="24"/>
          <w:szCs w:val="24"/>
        </w:rPr>
        <w:fldChar w:fldCharType="end"/>
      </w:r>
    </w:p>
    <w:p w14:paraId="3EAACE25">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8.3 </w:t>
      </w:r>
      <w:r>
        <w:rPr>
          <w:rFonts w:hint="default" w:ascii="Times New Roman" w:hAnsi="Times New Roman" w:eastAsia="宋体" w:cs="Times New Roman"/>
          <w:color w:val="auto"/>
          <w:sz w:val="24"/>
          <w:szCs w:val="24"/>
          <w:highlight w:val="none"/>
          <w:u w:val="none"/>
        </w:rPr>
        <w:t>地下水环境影响分析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_Toc24309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241</w:t>
      </w:r>
      <w:r>
        <w:rPr>
          <w:rFonts w:hint="default" w:ascii="Times New Roman" w:hAnsi="Times New Roman" w:eastAsia="宋体" w:cs="Times New Roman"/>
          <w:sz w:val="24"/>
          <w:szCs w:val="24"/>
        </w:rPr>
        <w:fldChar w:fldCharType="end"/>
      </w:r>
    </w:p>
    <w:p w14:paraId="06EA3C04">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8.4 </w:t>
      </w:r>
      <w:r>
        <w:rPr>
          <w:rFonts w:hint="default" w:ascii="Times New Roman" w:hAnsi="Times New Roman" w:eastAsia="宋体" w:cs="Times New Roman"/>
          <w:color w:val="auto"/>
          <w:sz w:val="24"/>
          <w:szCs w:val="24"/>
          <w:highlight w:val="none"/>
          <w:u w:val="none"/>
        </w:rPr>
        <w:t>噪声环境影响预测与评价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249</w:t>
      </w:r>
      <w:r>
        <w:rPr>
          <w:rFonts w:hint="default" w:ascii="Times New Roman" w:hAnsi="Times New Roman" w:eastAsia="宋体" w:cs="Times New Roman"/>
          <w:sz w:val="24"/>
          <w:szCs w:val="24"/>
        </w:rPr>
        <w:fldChar w:fldCharType="end"/>
      </w:r>
    </w:p>
    <w:p w14:paraId="1305E900">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8.5 </w:t>
      </w:r>
      <w:r>
        <w:rPr>
          <w:rFonts w:hint="default" w:ascii="Times New Roman" w:hAnsi="Times New Roman" w:eastAsia="宋体" w:cs="Times New Roman"/>
          <w:color w:val="auto"/>
          <w:sz w:val="24"/>
          <w:szCs w:val="24"/>
          <w:highlight w:val="none"/>
          <w:u w:val="none"/>
        </w:rPr>
        <w:t>固体废物环境影响分析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255</w:t>
      </w:r>
      <w:r>
        <w:rPr>
          <w:rFonts w:hint="default" w:ascii="Times New Roman" w:hAnsi="Times New Roman" w:eastAsia="宋体" w:cs="Times New Roman"/>
          <w:sz w:val="24"/>
          <w:szCs w:val="24"/>
        </w:rPr>
        <w:fldChar w:fldCharType="end"/>
      </w:r>
    </w:p>
    <w:p w14:paraId="17453E7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8.6 </w:t>
      </w:r>
      <w:r>
        <w:rPr>
          <w:rFonts w:hint="default" w:ascii="Times New Roman" w:hAnsi="Times New Roman" w:eastAsia="宋体" w:cs="Times New Roman"/>
          <w:color w:val="auto"/>
          <w:sz w:val="24"/>
          <w:szCs w:val="24"/>
          <w:highlight w:val="none"/>
          <w:u w:val="none"/>
        </w:rPr>
        <w:t>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264</w:t>
      </w:r>
      <w:r>
        <w:rPr>
          <w:rFonts w:hint="default" w:ascii="Times New Roman" w:hAnsi="Times New Roman" w:eastAsia="宋体" w:cs="Times New Roman"/>
          <w:sz w:val="24"/>
          <w:szCs w:val="24"/>
        </w:rPr>
        <w:fldChar w:fldCharType="end"/>
      </w:r>
    </w:p>
    <w:p w14:paraId="7113A0A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8.7 </w:t>
      </w:r>
      <w:r>
        <w:rPr>
          <w:rFonts w:hint="default" w:ascii="Times New Roman" w:hAnsi="Times New Roman" w:eastAsia="宋体" w:cs="Times New Roman"/>
          <w:color w:val="auto"/>
          <w:sz w:val="24"/>
          <w:szCs w:val="24"/>
          <w:highlight w:val="none"/>
          <w:u w:val="none"/>
        </w:rPr>
        <w:t>生态环境影响分析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272</w:t>
      </w:r>
      <w:r>
        <w:rPr>
          <w:rFonts w:hint="default" w:ascii="Times New Roman" w:hAnsi="Times New Roman" w:eastAsia="宋体" w:cs="Times New Roman"/>
          <w:sz w:val="24"/>
          <w:szCs w:val="24"/>
        </w:rPr>
        <w:fldChar w:fldCharType="end"/>
      </w:r>
    </w:p>
    <w:p w14:paraId="138D6DB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8.8 </w:t>
      </w:r>
      <w:r>
        <w:rPr>
          <w:rFonts w:hint="default" w:ascii="Times New Roman" w:hAnsi="Times New Roman" w:eastAsia="宋体" w:cs="Times New Roman"/>
          <w:color w:val="auto"/>
          <w:sz w:val="24"/>
          <w:szCs w:val="24"/>
          <w:highlight w:val="none"/>
          <w:u w:val="none"/>
        </w:rPr>
        <w:t>碳排放环境影响评价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279</w:t>
      </w:r>
      <w:r>
        <w:rPr>
          <w:rFonts w:hint="default" w:ascii="Times New Roman" w:hAnsi="Times New Roman" w:eastAsia="宋体" w:cs="Times New Roman"/>
          <w:sz w:val="24"/>
          <w:szCs w:val="24"/>
        </w:rPr>
        <w:fldChar w:fldCharType="end"/>
      </w:r>
    </w:p>
    <w:p w14:paraId="2A860B0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8.9 </w:t>
      </w:r>
      <w:r>
        <w:rPr>
          <w:rFonts w:hint="default" w:ascii="Times New Roman" w:hAnsi="Times New Roman" w:eastAsia="宋体" w:cs="Times New Roman"/>
          <w:color w:val="auto"/>
          <w:sz w:val="24"/>
          <w:szCs w:val="24"/>
          <w:highlight w:val="none"/>
          <w:u w:val="none"/>
        </w:rPr>
        <w:t>施工期环境影响评价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291</w:t>
      </w:r>
      <w:r>
        <w:rPr>
          <w:rFonts w:hint="default" w:ascii="Times New Roman" w:hAnsi="Times New Roman" w:eastAsia="宋体" w:cs="Times New Roman"/>
          <w:sz w:val="24"/>
          <w:szCs w:val="24"/>
        </w:rPr>
        <w:fldChar w:fldCharType="end"/>
      </w:r>
    </w:p>
    <w:p w14:paraId="0F79B981">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 </w:t>
      </w:r>
      <w:r>
        <w:rPr>
          <w:rFonts w:hint="default" w:ascii="Times New Roman" w:hAnsi="Times New Roman" w:eastAsia="宋体" w:cs="Times New Roman"/>
          <w:color w:val="auto"/>
          <w:sz w:val="24"/>
          <w:szCs w:val="24"/>
          <w:highlight w:val="none"/>
          <w:u w:val="none"/>
        </w:rPr>
        <w:t>环境风险评价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_Toc16465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295</w:t>
      </w:r>
      <w:r>
        <w:rPr>
          <w:rFonts w:hint="default" w:ascii="Times New Roman" w:hAnsi="Times New Roman" w:eastAsia="宋体" w:cs="Times New Roman"/>
          <w:sz w:val="24"/>
          <w:szCs w:val="24"/>
        </w:rPr>
        <w:fldChar w:fldCharType="end"/>
      </w:r>
    </w:p>
    <w:p w14:paraId="3C86BCFE">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9.1 </w:t>
      </w:r>
      <w:r>
        <w:rPr>
          <w:rFonts w:hint="default" w:ascii="Times New Roman" w:hAnsi="Times New Roman" w:eastAsia="宋体" w:cs="Times New Roman"/>
          <w:color w:val="auto"/>
          <w:sz w:val="24"/>
          <w:szCs w:val="24"/>
          <w:highlight w:val="none"/>
          <w:u w:val="none"/>
          <w:lang w:val="en-US"/>
        </w:rPr>
        <w:t>现有工程环境风险防范措施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295</w:t>
      </w:r>
      <w:r>
        <w:rPr>
          <w:rFonts w:hint="default" w:ascii="Times New Roman" w:hAnsi="Times New Roman" w:eastAsia="宋体" w:cs="Times New Roman"/>
          <w:sz w:val="24"/>
          <w:szCs w:val="24"/>
        </w:rPr>
        <w:fldChar w:fldCharType="end"/>
      </w:r>
    </w:p>
    <w:p w14:paraId="488CC51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9.2 </w:t>
      </w:r>
      <w:r>
        <w:rPr>
          <w:rFonts w:hint="default" w:ascii="Times New Roman" w:hAnsi="Times New Roman" w:eastAsia="宋体" w:cs="Times New Roman"/>
          <w:color w:val="auto"/>
          <w:sz w:val="24"/>
          <w:szCs w:val="24"/>
          <w:highlight w:val="none"/>
          <w:u w:val="none"/>
        </w:rPr>
        <w:t>现有应急物资与装备、救援队伍情况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295</w:t>
      </w:r>
      <w:r>
        <w:rPr>
          <w:rFonts w:hint="default" w:ascii="Times New Roman" w:hAnsi="Times New Roman" w:eastAsia="宋体" w:cs="Times New Roman"/>
          <w:sz w:val="24"/>
          <w:szCs w:val="24"/>
        </w:rPr>
        <w:fldChar w:fldCharType="end"/>
      </w:r>
    </w:p>
    <w:p w14:paraId="1F980B66">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9.3 </w:t>
      </w:r>
      <w:r>
        <w:rPr>
          <w:rFonts w:hint="default" w:ascii="Times New Roman" w:hAnsi="Times New Roman" w:eastAsia="宋体" w:cs="Times New Roman"/>
          <w:color w:val="auto"/>
          <w:sz w:val="24"/>
          <w:szCs w:val="24"/>
          <w:highlight w:val="none"/>
          <w:u w:val="none"/>
        </w:rPr>
        <w:t>环境风险潜势初判</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_Toc26108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295</w:t>
      </w:r>
      <w:r>
        <w:rPr>
          <w:rFonts w:hint="default" w:ascii="Times New Roman" w:hAnsi="Times New Roman" w:eastAsia="宋体" w:cs="Times New Roman"/>
          <w:sz w:val="24"/>
          <w:szCs w:val="24"/>
        </w:rPr>
        <w:fldChar w:fldCharType="end"/>
      </w:r>
    </w:p>
    <w:p w14:paraId="31A9AD1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9.4 </w:t>
      </w:r>
      <w:r>
        <w:rPr>
          <w:rFonts w:hint="default" w:ascii="Times New Roman" w:hAnsi="Times New Roman" w:eastAsia="宋体" w:cs="Times New Roman"/>
          <w:color w:val="auto"/>
          <w:sz w:val="24"/>
          <w:szCs w:val="24"/>
          <w:highlight w:val="none"/>
          <w:u w:val="none"/>
          <w:lang w:val="en-US"/>
        </w:rPr>
        <w:t>技改扩能项目环境风险识别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298</w:t>
      </w:r>
      <w:r>
        <w:rPr>
          <w:rFonts w:hint="default" w:ascii="Times New Roman" w:hAnsi="Times New Roman" w:eastAsia="宋体" w:cs="Times New Roman"/>
          <w:sz w:val="24"/>
          <w:szCs w:val="24"/>
        </w:rPr>
        <w:fldChar w:fldCharType="end"/>
      </w:r>
    </w:p>
    <w:p w14:paraId="730F8121">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9.5 </w:t>
      </w:r>
      <w:r>
        <w:rPr>
          <w:rFonts w:hint="default" w:ascii="Times New Roman" w:hAnsi="Times New Roman" w:eastAsia="宋体" w:cs="Times New Roman"/>
          <w:color w:val="auto"/>
          <w:sz w:val="24"/>
          <w:szCs w:val="24"/>
          <w:highlight w:val="none"/>
          <w:u w:val="none"/>
        </w:rPr>
        <w:t>事故调查及统计分析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300</w:t>
      </w:r>
      <w:r>
        <w:rPr>
          <w:rFonts w:hint="default" w:ascii="Times New Roman" w:hAnsi="Times New Roman" w:eastAsia="宋体" w:cs="Times New Roman"/>
          <w:sz w:val="24"/>
          <w:szCs w:val="24"/>
        </w:rPr>
        <w:fldChar w:fldCharType="end"/>
      </w:r>
    </w:p>
    <w:p w14:paraId="25A22B3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rPr>
        <w:t xml:space="preserve">9.6 </w:t>
      </w:r>
      <w:r>
        <w:rPr>
          <w:rFonts w:hint="default" w:ascii="Times New Roman" w:hAnsi="Times New Roman" w:eastAsia="宋体" w:cs="Times New Roman"/>
          <w:color w:val="auto"/>
          <w:sz w:val="24"/>
          <w:szCs w:val="24"/>
          <w:highlight w:val="none"/>
          <w:u w:val="none"/>
          <w:lang w:val="en-US"/>
        </w:rPr>
        <w:t>气相毒物危害预测结果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_Toc3636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306</w:t>
      </w:r>
      <w:r>
        <w:rPr>
          <w:rFonts w:hint="default" w:ascii="Times New Roman" w:hAnsi="Times New Roman" w:eastAsia="宋体" w:cs="Times New Roman"/>
          <w:sz w:val="24"/>
          <w:szCs w:val="24"/>
        </w:rPr>
        <w:fldChar w:fldCharType="end"/>
      </w:r>
    </w:p>
    <w:p w14:paraId="59BE1AA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9.7 </w:t>
      </w:r>
      <w:r>
        <w:rPr>
          <w:rFonts w:hint="default" w:ascii="Times New Roman" w:hAnsi="Times New Roman" w:eastAsia="宋体" w:cs="Times New Roman"/>
          <w:color w:val="auto"/>
          <w:sz w:val="24"/>
          <w:szCs w:val="24"/>
          <w:highlight w:val="none"/>
          <w:u w:val="none"/>
        </w:rPr>
        <w:t>消防废水和液体风险物质泄漏影响分析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314</w:t>
      </w:r>
      <w:r>
        <w:rPr>
          <w:rFonts w:hint="default" w:ascii="Times New Roman" w:hAnsi="Times New Roman" w:eastAsia="宋体" w:cs="Times New Roman"/>
          <w:sz w:val="24"/>
          <w:szCs w:val="24"/>
        </w:rPr>
        <w:fldChar w:fldCharType="end"/>
      </w:r>
    </w:p>
    <w:p w14:paraId="1FFD18F8">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9.8 </w:t>
      </w:r>
      <w:r>
        <w:rPr>
          <w:rFonts w:hint="default" w:ascii="Times New Roman" w:hAnsi="Times New Roman" w:eastAsia="宋体" w:cs="Times New Roman"/>
          <w:color w:val="auto"/>
          <w:sz w:val="24"/>
          <w:szCs w:val="24"/>
          <w:highlight w:val="none"/>
          <w:u w:val="none"/>
        </w:rPr>
        <w:t>地下水环境风险预测与分析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321</w:t>
      </w:r>
      <w:r>
        <w:rPr>
          <w:rFonts w:hint="default" w:ascii="Times New Roman" w:hAnsi="Times New Roman" w:eastAsia="宋体" w:cs="Times New Roman"/>
          <w:sz w:val="24"/>
          <w:szCs w:val="24"/>
        </w:rPr>
        <w:fldChar w:fldCharType="end"/>
      </w:r>
    </w:p>
    <w:p w14:paraId="2D4A52A8">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9.9 </w:t>
      </w:r>
      <w:r>
        <w:rPr>
          <w:rFonts w:hint="default" w:ascii="Times New Roman" w:hAnsi="Times New Roman" w:eastAsia="宋体" w:cs="Times New Roman"/>
          <w:color w:val="auto"/>
          <w:sz w:val="24"/>
          <w:szCs w:val="24"/>
          <w:highlight w:val="none"/>
          <w:u w:val="none"/>
        </w:rPr>
        <w:t>运输过程潜在的风险分析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321</w:t>
      </w:r>
      <w:r>
        <w:rPr>
          <w:rFonts w:hint="default" w:ascii="Times New Roman" w:hAnsi="Times New Roman" w:eastAsia="宋体" w:cs="Times New Roman"/>
          <w:sz w:val="24"/>
          <w:szCs w:val="24"/>
        </w:rPr>
        <w:fldChar w:fldCharType="end"/>
      </w:r>
    </w:p>
    <w:p w14:paraId="05B6854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9.10 </w:t>
      </w:r>
      <w:r>
        <w:rPr>
          <w:rFonts w:hint="default" w:ascii="Times New Roman" w:hAnsi="Times New Roman" w:eastAsia="宋体" w:cs="Times New Roman"/>
          <w:color w:val="auto"/>
          <w:sz w:val="24"/>
          <w:szCs w:val="24"/>
          <w:highlight w:val="none"/>
          <w:u w:val="none"/>
        </w:rPr>
        <w:t>环境风险事故应急预案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322</w:t>
      </w:r>
      <w:r>
        <w:rPr>
          <w:rFonts w:hint="default" w:ascii="Times New Roman" w:hAnsi="Times New Roman" w:eastAsia="宋体" w:cs="Times New Roman"/>
          <w:sz w:val="24"/>
          <w:szCs w:val="24"/>
        </w:rPr>
        <w:fldChar w:fldCharType="end"/>
      </w:r>
    </w:p>
    <w:p w14:paraId="2FA60AE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9.11 </w:t>
      </w:r>
      <w:r>
        <w:rPr>
          <w:rFonts w:hint="default" w:ascii="Times New Roman" w:hAnsi="Times New Roman" w:eastAsia="宋体" w:cs="Times New Roman"/>
          <w:color w:val="auto"/>
          <w:sz w:val="24"/>
          <w:szCs w:val="24"/>
          <w:highlight w:val="none"/>
          <w:u w:val="none"/>
        </w:rPr>
        <w:t>小结</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333</w:t>
      </w:r>
      <w:r>
        <w:rPr>
          <w:rFonts w:hint="default" w:ascii="Times New Roman" w:hAnsi="Times New Roman" w:eastAsia="宋体" w:cs="Times New Roman"/>
          <w:sz w:val="24"/>
          <w:szCs w:val="24"/>
        </w:rPr>
        <w:fldChar w:fldCharType="end"/>
      </w:r>
    </w:p>
    <w:p w14:paraId="1D6303C9">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10 </w:t>
      </w:r>
      <w:r>
        <w:rPr>
          <w:rFonts w:hint="default" w:ascii="Times New Roman" w:hAnsi="Times New Roman" w:eastAsia="宋体" w:cs="Times New Roman"/>
          <w:color w:val="auto"/>
          <w:sz w:val="24"/>
          <w:szCs w:val="24"/>
          <w:highlight w:val="none"/>
          <w:u w:val="none"/>
        </w:rPr>
        <w:t>环境保护措施及可行性分析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336</w:t>
      </w:r>
      <w:r>
        <w:rPr>
          <w:rFonts w:hint="default" w:ascii="Times New Roman" w:hAnsi="Times New Roman" w:eastAsia="宋体" w:cs="Times New Roman"/>
          <w:sz w:val="24"/>
          <w:szCs w:val="24"/>
        </w:rPr>
        <w:fldChar w:fldCharType="end"/>
      </w:r>
    </w:p>
    <w:p w14:paraId="65BC3CBA">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10.1 </w:t>
      </w:r>
      <w:r>
        <w:rPr>
          <w:rFonts w:hint="default" w:ascii="Times New Roman" w:hAnsi="Times New Roman" w:eastAsia="宋体" w:cs="Times New Roman"/>
          <w:color w:val="auto"/>
          <w:sz w:val="24"/>
          <w:szCs w:val="24"/>
          <w:highlight w:val="none"/>
          <w:u w:val="none"/>
          <w:lang w:val="en-US"/>
        </w:rPr>
        <w:t>施工期污染防治措施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_Toc28510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336</w:t>
      </w:r>
      <w:r>
        <w:rPr>
          <w:rFonts w:hint="default" w:ascii="Times New Roman" w:hAnsi="Times New Roman" w:eastAsia="宋体" w:cs="Times New Roman"/>
          <w:sz w:val="24"/>
          <w:szCs w:val="24"/>
        </w:rPr>
        <w:fldChar w:fldCharType="end"/>
      </w:r>
    </w:p>
    <w:p w14:paraId="4905ADFD">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10.2 </w:t>
      </w:r>
      <w:r>
        <w:rPr>
          <w:rFonts w:hint="default" w:ascii="Times New Roman" w:hAnsi="Times New Roman" w:eastAsia="宋体" w:cs="Times New Roman"/>
          <w:color w:val="auto"/>
          <w:sz w:val="24"/>
          <w:szCs w:val="24"/>
          <w:highlight w:val="none"/>
          <w:u w:val="none"/>
          <w:lang w:val="en-US"/>
        </w:rPr>
        <w:t>营运期环境污染防治措施及可行性分析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338</w:t>
      </w:r>
      <w:r>
        <w:rPr>
          <w:rFonts w:hint="default" w:ascii="Times New Roman" w:hAnsi="Times New Roman" w:eastAsia="宋体" w:cs="Times New Roman"/>
          <w:sz w:val="24"/>
          <w:szCs w:val="24"/>
        </w:rPr>
        <w:fldChar w:fldCharType="end"/>
      </w:r>
    </w:p>
    <w:p w14:paraId="042124BD">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11 </w:t>
      </w:r>
      <w:r>
        <w:rPr>
          <w:rFonts w:hint="default" w:ascii="Times New Roman" w:hAnsi="Times New Roman" w:eastAsia="宋体" w:cs="Times New Roman"/>
          <w:color w:val="auto"/>
          <w:sz w:val="24"/>
          <w:szCs w:val="24"/>
          <w:highlight w:val="none"/>
          <w:u w:val="none"/>
        </w:rPr>
        <w:t>环境影响经济损益分析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_Toc30291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354</w:t>
      </w:r>
      <w:r>
        <w:rPr>
          <w:rFonts w:hint="default" w:ascii="Times New Roman" w:hAnsi="Times New Roman" w:eastAsia="宋体" w:cs="Times New Roman"/>
          <w:sz w:val="24"/>
          <w:szCs w:val="24"/>
        </w:rPr>
        <w:fldChar w:fldCharType="end"/>
      </w:r>
    </w:p>
    <w:p w14:paraId="79F28E14">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11.1 </w:t>
      </w:r>
      <w:r>
        <w:rPr>
          <w:rFonts w:hint="default" w:ascii="Times New Roman" w:hAnsi="Times New Roman" w:eastAsia="宋体" w:cs="Times New Roman"/>
          <w:color w:val="auto"/>
          <w:sz w:val="24"/>
          <w:szCs w:val="24"/>
          <w:highlight w:val="none"/>
          <w:u w:val="none"/>
        </w:rPr>
        <w:t>经济效益和社会效益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354</w:t>
      </w:r>
      <w:r>
        <w:rPr>
          <w:rFonts w:hint="default" w:ascii="Times New Roman" w:hAnsi="Times New Roman" w:eastAsia="宋体" w:cs="Times New Roman"/>
          <w:sz w:val="24"/>
          <w:szCs w:val="24"/>
        </w:rPr>
        <w:fldChar w:fldCharType="end"/>
      </w:r>
    </w:p>
    <w:p w14:paraId="4388B637">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11.2 </w:t>
      </w:r>
      <w:r>
        <w:rPr>
          <w:rFonts w:hint="default" w:ascii="Times New Roman" w:hAnsi="Times New Roman" w:eastAsia="宋体" w:cs="Times New Roman"/>
          <w:color w:val="auto"/>
          <w:sz w:val="24"/>
          <w:szCs w:val="24"/>
          <w:highlight w:val="none"/>
          <w:u w:val="none"/>
        </w:rPr>
        <w:t>环境经济损益分析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354</w:t>
      </w:r>
      <w:r>
        <w:rPr>
          <w:rFonts w:hint="default" w:ascii="Times New Roman" w:hAnsi="Times New Roman" w:eastAsia="宋体" w:cs="Times New Roman"/>
          <w:sz w:val="24"/>
          <w:szCs w:val="24"/>
        </w:rPr>
        <w:fldChar w:fldCharType="end"/>
      </w:r>
    </w:p>
    <w:p w14:paraId="1711890A">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12 </w:t>
      </w:r>
      <w:r>
        <w:rPr>
          <w:rFonts w:hint="default" w:ascii="Times New Roman" w:hAnsi="Times New Roman" w:eastAsia="宋体" w:cs="Times New Roman"/>
          <w:color w:val="auto"/>
          <w:sz w:val="24"/>
          <w:szCs w:val="24"/>
          <w:highlight w:val="none"/>
          <w:u w:val="none"/>
        </w:rPr>
        <w:t>环境管理与监测计划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357</w:t>
      </w:r>
      <w:r>
        <w:rPr>
          <w:rFonts w:hint="default" w:ascii="Times New Roman" w:hAnsi="Times New Roman" w:eastAsia="宋体" w:cs="Times New Roman"/>
          <w:sz w:val="24"/>
          <w:szCs w:val="24"/>
        </w:rPr>
        <w:fldChar w:fldCharType="end"/>
      </w:r>
    </w:p>
    <w:p w14:paraId="3EFCFDD9">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12.1 </w:t>
      </w:r>
      <w:r>
        <w:rPr>
          <w:rFonts w:hint="default" w:ascii="Times New Roman" w:hAnsi="Times New Roman" w:eastAsia="宋体" w:cs="Times New Roman"/>
          <w:color w:val="auto"/>
          <w:sz w:val="24"/>
          <w:szCs w:val="24"/>
          <w:highlight w:val="none"/>
          <w:u w:val="none"/>
        </w:rPr>
        <w:t>环境管理现状及环境监测工作开展情况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357</w:t>
      </w:r>
      <w:r>
        <w:rPr>
          <w:rFonts w:hint="default" w:ascii="Times New Roman" w:hAnsi="Times New Roman" w:eastAsia="宋体" w:cs="Times New Roman"/>
          <w:sz w:val="24"/>
          <w:szCs w:val="24"/>
        </w:rPr>
        <w:fldChar w:fldCharType="end"/>
      </w:r>
    </w:p>
    <w:p w14:paraId="63190CA3">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rPr>
        <w:t xml:space="preserve">12.2 </w:t>
      </w:r>
      <w:r>
        <w:rPr>
          <w:rFonts w:hint="default" w:ascii="Times New Roman" w:hAnsi="Times New Roman" w:eastAsia="宋体" w:cs="Times New Roman"/>
          <w:color w:val="auto"/>
          <w:sz w:val="24"/>
          <w:szCs w:val="24"/>
          <w:highlight w:val="none"/>
          <w:u w:val="none"/>
          <w:lang w:val="en-US"/>
        </w:rPr>
        <w:t>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357</w:t>
      </w:r>
      <w:r>
        <w:rPr>
          <w:rFonts w:hint="default" w:ascii="Times New Roman" w:hAnsi="Times New Roman" w:eastAsia="宋体" w:cs="Times New Roman"/>
          <w:sz w:val="24"/>
          <w:szCs w:val="24"/>
        </w:rPr>
        <w:fldChar w:fldCharType="end"/>
      </w:r>
    </w:p>
    <w:p w14:paraId="084A9236">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12.3 </w:t>
      </w:r>
      <w:r>
        <w:rPr>
          <w:rFonts w:hint="default" w:ascii="Times New Roman" w:hAnsi="Times New Roman" w:eastAsia="宋体" w:cs="Times New Roman"/>
          <w:color w:val="auto"/>
          <w:sz w:val="24"/>
          <w:szCs w:val="24"/>
          <w:highlight w:val="none"/>
          <w:u w:val="none"/>
        </w:rPr>
        <w:t>落实三同时制度及环保验收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362</w:t>
      </w:r>
      <w:r>
        <w:rPr>
          <w:rFonts w:hint="default" w:ascii="Times New Roman" w:hAnsi="Times New Roman" w:eastAsia="宋体" w:cs="Times New Roman"/>
          <w:sz w:val="24"/>
          <w:szCs w:val="24"/>
        </w:rPr>
        <w:fldChar w:fldCharType="end"/>
      </w:r>
    </w:p>
    <w:p w14:paraId="2D7491BB">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12.4 </w:t>
      </w:r>
      <w:r>
        <w:rPr>
          <w:rFonts w:hint="default" w:ascii="Times New Roman" w:hAnsi="Times New Roman" w:eastAsia="宋体" w:cs="Times New Roman"/>
          <w:color w:val="auto"/>
          <w:sz w:val="24"/>
          <w:szCs w:val="24"/>
          <w:highlight w:val="none"/>
          <w:u w:val="none"/>
        </w:rPr>
        <w:t>环境监测计划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363</w:t>
      </w:r>
      <w:r>
        <w:rPr>
          <w:rFonts w:hint="default" w:ascii="Times New Roman" w:hAnsi="Times New Roman" w:eastAsia="宋体" w:cs="Times New Roman"/>
          <w:sz w:val="24"/>
          <w:szCs w:val="24"/>
        </w:rPr>
        <w:fldChar w:fldCharType="end"/>
      </w:r>
    </w:p>
    <w:p w14:paraId="1CC50D41">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GB"/>
        </w:rPr>
        <w:t xml:space="preserve">12.5 </w:t>
      </w:r>
      <w:r>
        <w:rPr>
          <w:rFonts w:hint="default" w:ascii="Times New Roman" w:hAnsi="Times New Roman" w:eastAsia="宋体" w:cs="Times New Roman"/>
          <w:color w:val="auto"/>
          <w:sz w:val="24"/>
          <w:szCs w:val="24"/>
          <w:highlight w:val="none"/>
          <w:u w:val="none"/>
          <w:lang w:val="en-GB"/>
        </w:rPr>
        <w:t>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371</w:t>
      </w:r>
      <w:r>
        <w:rPr>
          <w:rFonts w:hint="default" w:ascii="Times New Roman" w:hAnsi="Times New Roman" w:eastAsia="宋体" w:cs="Times New Roman"/>
          <w:sz w:val="24"/>
          <w:szCs w:val="24"/>
        </w:rPr>
        <w:fldChar w:fldCharType="end"/>
      </w:r>
    </w:p>
    <w:p w14:paraId="192FCD20">
      <w:pPr>
        <w:pStyle w:val="40"/>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 </w:t>
      </w:r>
      <w:r>
        <w:rPr>
          <w:rFonts w:hint="default" w:ascii="Times New Roman" w:hAnsi="Times New Roman" w:eastAsia="宋体" w:cs="Times New Roman"/>
          <w:color w:val="auto"/>
          <w:sz w:val="24"/>
          <w:szCs w:val="24"/>
          <w:highlight w:val="none"/>
          <w:u w:val="none"/>
        </w:rPr>
        <w:t>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_Toc5101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373</w:t>
      </w:r>
      <w:r>
        <w:rPr>
          <w:rFonts w:hint="default" w:ascii="Times New Roman" w:hAnsi="Times New Roman" w:eastAsia="宋体" w:cs="Times New Roman"/>
          <w:sz w:val="24"/>
          <w:szCs w:val="24"/>
        </w:rPr>
        <w:fldChar w:fldCharType="end"/>
      </w:r>
    </w:p>
    <w:p w14:paraId="1D76E306">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13.1 </w:t>
      </w:r>
      <w:r>
        <w:rPr>
          <w:rFonts w:hint="default" w:ascii="Times New Roman" w:hAnsi="Times New Roman" w:eastAsia="宋体" w:cs="Times New Roman"/>
          <w:color w:val="auto"/>
          <w:sz w:val="24"/>
          <w:szCs w:val="24"/>
          <w:highlight w:val="none"/>
          <w:u w:val="none"/>
        </w:rPr>
        <w:t>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_Toc21495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373</w:t>
      </w:r>
      <w:r>
        <w:rPr>
          <w:rFonts w:hint="default" w:ascii="Times New Roman" w:hAnsi="Times New Roman" w:eastAsia="宋体" w:cs="Times New Roman"/>
          <w:sz w:val="24"/>
          <w:szCs w:val="24"/>
        </w:rPr>
        <w:fldChar w:fldCharType="end"/>
      </w:r>
    </w:p>
    <w:p w14:paraId="75C6C11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13.2 </w:t>
      </w:r>
      <w:r>
        <w:rPr>
          <w:rFonts w:hint="default" w:ascii="Times New Roman" w:hAnsi="Times New Roman" w:eastAsia="宋体" w:cs="Times New Roman"/>
          <w:color w:val="auto"/>
          <w:sz w:val="24"/>
          <w:szCs w:val="24"/>
          <w:highlight w:val="none"/>
          <w:u w:val="none"/>
        </w:rPr>
        <w:t>环境现状评价结论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373</w:t>
      </w:r>
      <w:r>
        <w:rPr>
          <w:rFonts w:hint="default" w:ascii="Times New Roman" w:hAnsi="Times New Roman" w:eastAsia="宋体" w:cs="Times New Roman"/>
          <w:sz w:val="24"/>
          <w:szCs w:val="24"/>
        </w:rPr>
        <w:fldChar w:fldCharType="end"/>
      </w:r>
    </w:p>
    <w:p w14:paraId="0A4DDE19">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13.3 </w:t>
      </w:r>
      <w:r>
        <w:rPr>
          <w:rFonts w:hint="default" w:ascii="Times New Roman" w:hAnsi="Times New Roman" w:eastAsia="宋体" w:cs="Times New Roman"/>
          <w:color w:val="auto"/>
          <w:sz w:val="24"/>
          <w:szCs w:val="24"/>
          <w:highlight w:val="none"/>
          <w:u w:val="none"/>
        </w:rPr>
        <w:t>工程环境影响评价主要结论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374</w:t>
      </w:r>
      <w:r>
        <w:rPr>
          <w:rFonts w:hint="default" w:ascii="Times New Roman" w:hAnsi="Times New Roman" w:eastAsia="宋体" w:cs="Times New Roman"/>
          <w:sz w:val="24"/>
          <w:szCs w:val="24"/>
        </w:rPr>
        <w:fldChar w:fldCharType="end"/>
      </w:r>
    </w:p>
    <w:p w14:paraId="277AFD8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13.4 </w:t>
      </w:r>
      <w:r>
        <w:rPr>
          <w:rFonts w:hint="default" w:ascii="Times New Roman" w:hAnsi="Times New Roman" w:eastAsia="宋体" w:cs="Times New Roman"/>
          <w:color w:val="auto"/>
          <w:sz w:val="24"/>
          <w:szCs w:val="24"/>
          <w:highlight w:val="none"/>
          <w:u w:val="none"/>
        </w:rPr>
        <w:t>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379</w:t>
      </w:r>
      <w:r>
        <w:rPr>
          <w:rFonts w:hint="default" w:ascii="Times New Roman" w:hAnsi="Times New Roman" w:eastAsia="宋体" w:cs="Times New Roman"/>
          <w:sz w:val="24"/>
          <w:szCs w:val="24"/>
        </w:rPr>
        <w:fldChar w:fldCharType="end"/>
      </w:r>
    </w:p>
    <w:p w14:paraId="1848677A">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13.5 </w:t>
      </w:r>
      <w:r>
        <w:rPr>
          <w:rFonts w:hint="default" w:ascii="Times New Roman" w:hAnsi="Times New Roman" w:eastAsia="宋体" w:cs="Times New Roman"/>
          <w:color w:val="auto"/>
          <w:sz w:val="24"/>
          <w:szCs w:val="24"/>
          <w:highlight w:val="none"/>
          <w:u w:val="none"/>
        </w:rPr>
        <w:t>公众参与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379</w:t>
      </w:r>
      <w:r>
        <w:rPr>
          <w:rFonts w:hint="default" w:ascii="Times New Roman" w:hAnsi="Times New Roman" w:eastAsia="宋体" w:cs="Times New Roman"/>
          <w:sz w:val="24"/>
          <w:szCs w:val="24"/>
        </w:rPr>
        <w:fldChar w:fldCharType="end"/>
      </w:r>
    </w:p>
    <w:p w14:paraId="5FF8106B">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13.6 </w:t>
      </w:r>
      <w:r>
        <w:rPr>
          <w:rFonts w:hint="default" w:ascii="Times New Roman" w:hAnsi="Times New Roman" w:eastAsia="宋体" w:cs="Times New Roman"/>
          <w:color w:val="auto"/>
          <w:sz w:val="24"/>
          <w:szCs w:val="24"/>
          <w:highlight w:val="none"/>
          <w:u w:val="none"/>
        </w:rPr>
        <w:t>工程建设的环境可行性分析结论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379</w:t>
      </w:r>
      <w:r>
        <w:rPr>
          <w:rFonts w:hint="default" w:ascii="Times New Roman" w:hAnsi="Times New Roman" w:eastAsia="宋体" w:cs="Times New Roman"/>
          <w:sz w:val="24"/>
          <w:szCs w:val="24"/>
        </w:rPr>
        <w:fldChar w:fldCharType="end"/>
      </w:r>
    </w:p>
    <w:p w14:paraId="6ADE6CCC">
      <w:pPr>
        <w:pStyle w:val="47"/>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 xml:space="preserve">13.7 </w:t>
      </w:r>
      <w:r>
        <w:rPr>
          <w:rFonts w:hint="default" w:ascii="Times New Roman" w:hAnsi="Times New Roman" w:eastAsia="宋体" w:cs="Times New Roman"/>
          <w:color w:val="auto"/>
          <w:sz w:val="24"/>
          <w:szCs w:val="24"/>
          <w:highlight w:val="none"/>
          <w:u w:val="none"/>
        </w:rPr>
        <w:t>总结论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380</w:t>
      </w:r>
      <w:r>
        <w:rPr>
          <w:rFonts w:hint="default" w:ascii="Times New Roman" w:hAnsi="Times New Roman" w:eastAsia="宋体" w:cs="Times New Roman"/>
          <w:sz w:val="24"/>
          <w:szCs w:val="24"/>
        </w:rPr>
        <w:fldChar w:fldCharType="end"/>
      </w:r>
    </w:p>
    <w:p w14:paraId="6B4D89DD">
      <w:pPr>
        <w:pStyle w:val="981"/>
        <w:rPr>
          <w:rFonts w:hint="eastAsia"/>
          <w:color w:val="auto"/>
          <w:highlight w:val="none"/>
          <w:u w:val="none"/>
        </w:rPr>
      </w:pPr>
      <w:r>
        <w:rPr>
          <w:rFonts w:hint="default" w:ascii="Times New Roman" w:hAnsi="Times New Roman" w:eastAsia="宋体" w:cs="Times New Roman"/>
          <w:color w:val="auto"/>
          <w:sz w:val="24"/>
          <w:szCs w:val="24"/>
          <w:highlight w:val="none"/>
          <w:u w:val="none"/>
        </w:rPr>
        <w:fldChar w:fldCharType="end"/>
      </w:r>
    </w:p>
    <w:p w14:paraId="57A7C876">
      <w:pPr>
        <w:pStyle w:val="981"/>
        <w:rPr>
          <w:rFonts w:hint="eastAsia"/>
          <w:color w:val="auto"/>
          <w:highlight w:val="none"/>
          <w:u w:val="none"/>
        </w:rPr>
        <w:sectPr>
          <w:pgSz w:w="11906" w:h="16838"/>
          <w:pgMar w:top="1440" w:right="1800" w:bottom="1440" w:left="1800" w:header="851" w:footer="992" w:gutter="0"/>
          <w:cols w:space="425" w:num="1"/>
          <w:docGrid w:type="lines" w:linePitch="312" w:charSpace="0"/>
        </w:sectPr>
      </w:pPr>
    </w:p>
    <w:p w14:paraId="5D83D855">
      <w:pPr>
        <w:pStyle w:val="3"/>
        <w:rPr>
          <w:rFonts w:hint="eastAsia"/>
          <w:color w:val="auto"/>
          <w:highlight w:val="none"/>
          <w:u w:val="none"/>
        </w:rPr>
      </w:pPr>
      <w:bookmarkStart w:id="1" w:name="_Toc20383"/>
      <w:bookmarkStart w:id="2" w:name="_Toc109211040"/>
      <w:bookmarkStart w:id="3" w:name="_Toc148374855"/>
      <w:bookmarkStart w:id="4" w:name="_Toc148374759"/>
      <w:bookmarkStart w:id="5" w:name="_Toc148374413"/>
      <w:r>
        <w:rPr>
          <w:color w:val="auto"/>
          <w:highlight w:val="none"/>
          <w:u w:val="none"/>
        </w:rPr>
        <w:t>概述</w:t>
      </w:r>
      <w:bookmarkEnd w:id="1"/>
      <w:bookmarkEnd w:id="2"/>
      <w:bookmarkEnd w:id="3"/>
      <w:bookmarkEnd w:id="4"/>
      <w:bookmarkEnd w:id="5"/>
    </w:p>
    <w:p w14:paraId="260F238D">
      <w:pPr>
        <w:pStyle w:val="4"/>
        <w:jc w:val="both"/>
        <w:rPr>
          <w:color w:val="auto"/>
          <w:highlight w:val="none"/>
          <w:u w:val="none"/>
        </w:rPr>
      </w:pPr>
      <w:bookmarkStart w:id="6" w:name="_Toc109211118"/>
      <w:bookmarkStart w:id="7" w:name="_Toc148374856"/>
      <w:bookmarkStart w:id="8" w:name="_Toc148374760"/>
      <w:bookmarkStart w:id="9" w:name="_Toc10565"/>
      <w:bookmarkStart w:id="10" w:name="_Toc148374414"/>
      <w:r>
        <w:rPr>
          <w:rFonts w:hint="eastAsia"/>
          <w:color w:val="auto"/>
          <w:highlight w:val="none"/>
          <w:u w:val="none"/>
        </w:rPr>
        <w:t>项目</w:t>
      </w:r>
      <w:bookmarkEnd w:id="6"/>
      <w:r>
        <w:rPr>
          <w:rFonts w:hint="eastAsia" w:eastAsia="楷体" w:cs="宋体"/>
          <w:color w:val="auto"/>
          <w:highlight w:val="none"/>
          <w:u w:val="none"/>
        </w:rPr>
        <w:t>背景</w:t>
      </w:r>
      <w:bookmarkEnd w:id="7"/>
      <w:bookmarkEnd w:id="8"/>
      <w:bookmarkEnd w:id="9"/>
      <w:bookmarkEnd w:id="10"/>
    </w:p>
    <w:p w14:paraId="2DD39690">
      <w:pPr>
        <w:pStyle w:val="6"/>
        <w:spacing w:before="156" w:after="156"/>
        <w:rPr>
          <w:color w:val="auto"/>
          <w:highlight w:val="none"/>
          <w:u w:val="none"/>
        </w:rPr>
      </w:pPr>
      <w:r>
        <w:rPr>
          <w:color w:val="auto"/>
          <w:highlight w:val="none"/>
          <w:u w:val="none"/>
        </w:rPr>
        <w:t>万华化学福建产业园</w:t>
      </w:r>
      <w:r>
        <w:rPr>
          <w:rFonts w:hint="eastAsia"/>
          <w:color w:val="auto"/>
          <w:highlight w:val="none"/>
          <w:u w:val="none"/>
        </w:rPr>
        <w:t>简介</w:t>
      </w:r>
    </w:p>
    <w:p w14:paraId="2943F0F3">
      <w:pPr>
        <w:rPr>
          <w:color w:val="auto"/>
          <w:highlight w:val="none"/>
          <w:u w:val="none"/>
        </w:rPr>
      </w:pPr>
      <w:r>
        <w:rPr>
          <w:rFonts w:hint="eastAsia"/>
          <w:color w:val="auto"/>
          <w:highlight w:val="none"/>
          <w:u w:val="none"/>
        </w:rPr>
        <w:t>万华化学集团股份有限公司主要从事聚氨酯（</w:t>
      </w:r>
      <w:r>
        <w:rPr>
          <w:color w:val="auto"/>
          <w:highlight w:val="none"/>
          <w:u w:val="none"/>
        </w:rPr>
        <w:t>MDI、TDI、聚醚多元醇）</w:t>
      </w:r>
      <w:r>
        <w:rPr>
          <w:rFonts w:hint="eastAsia"/>
          <w:color w:val="auto"/>
          <w:highlight w:val="none"/>
          <w:u w:val="none"/>
        </w:rPr>
        <w:t>、</w:t>
      </w:r>
      <w:r>
        <w:rPr>
          <w:color w:val="auto"/>
          <w:highlight w:val="none"/>
          <w:u w:val="none"/>
        </w:rPr>
        <w:t>乙烯、丙烯及其下游HDPE、LLDPE、PP、PVC、丙烯酸、环氧丙烷等系列石化产品</w:t>
      </w:r>
      <w:r>
        <w:rPr>
          <w:rFonts w:hint="eastAsia"/>
          <w:color w:val="auto"/>
          <w:highlight w:val="none"/>
          <w:u w:val="none"/>
        </w:rPr>
        <w:t>、</w:t>
      </w:r>
      <w:r>
        <w:rPr>
          <w:color w:val="auto"/>
          <w:highlight w:val="none"/>
          <w:u w:val="none"/>
        </w:rPr>
        <w:t>SAP、TPU、聚碳酸酯、PMMA、有机胺、ADI、水性涂料等精细化学品及新材料的研发、生产和销售。其中MDI、TDI是制备聚氨酯最主要的原料之一，聚氨酯具有橡胶、塑料的双重优点，广泛应用于化工、轻工、纺织、建筑、家电、建材、交通运输等领域。</w:t>
      </w:r>
    </w:p>
    <w:p w14:paraId="5EAFB335">
      <w:pPr>
        <w:rPr>
          <w:rFonts w:hint="eastAsia"/>
          <w:color w:val="auto"/>
          <w:highlight w:val="none"/>
          <w:u w:val="none"/>
        </w:rPr>
      </w:pPr>
      <w:r>
        <w:rPr>
          <w:rFonts w:hint="eastAsia"/>
          <w:color w:val="auto"/>
          <w:highlight w:val="none"/>
          <w:u w:val="none"/>
        </w:rPr>
        <w:t>2019年万华化学集团股份有限公司在福州江阴港城经济区筹建</w:t>
      </w:r>
      <w:r>
        <w:rPr>
          <w:rFonts w:hint="eastAsia"/>
          <w:b/>
          <w:bCs/>
          <w:color w:val="auto"/>
          <w:highlight w:val="none"/>
          <w:u w:val="none"/>
        </w:rPr>
        <w:t>万华化学福建产业园</w:t>
      </w:r>
      <w:r>
        <w:rPr>
          <w:rFonts w:hint="eastAsia"/>
          <w:color w:val="auto"/>
          <w:highlight w:val="none"/>
          <w:u w:val="none"/>
        </w:rPr>
        <w:t>（该产业园为万华化学集团便于管理江阴地区的各权属企业而定的集团内部名称），主要包含万华化学（福建）有限公司（以下简称“</w:t>
      </w:r>
      <w:r>
        <w:rPr>
          <w:rFonts w:hint="eastAsia"/>
          <w:b/>
          <w:bCs/>
          <w:color w:val="auto"/>
          <w:highlight w:val="none"/>
          <w:u w:val="none"/>
        </w:rPr>
        <w:t>万华福建公司</w:t>
      </w:r>
      <w:r>
        <w:rPr>
          <w:rFonts w:hint="eastAsia"/>
          <w:color w:val="auto"/>
          <w:highlight w:val="none"/>
          <w:u w:val="none"/>
        </w:rPr>
        <w:t>”）、万华化学（福建）异氰酸酯有限公司（以下简称“</w:t>
      </w:r>
      <w:r>
        <w:rPr>
          <w:rFonts w:hint="eastAsia"/>
          <w:b/>
          <w:bCs/>
          <w:color w:val="auto"/>
          <w:highlight w:val="none"/>
          <w:u w:val="none"/>
        </w:rPr>
        <w:t>异氰酸酯公司</w:t>
      </w:r>
      <w:r>
        <w:rPr>
          <w:rFonts w:hint="eastAsia"/>
          <w:color w:val="auto"/>
          <w:highlight w:val="none"/>
          <w:u w:val="none"/>
        </w:rPr>
        <w:t>”）、万华化学（福建）码头有限公司（以下简称“</w:t>
      </w:r>
      <w:r>
        <w:rPr>
          <w:rFonts w:hint="eastAsia"/>
          <w:b/>
          <w:bCs/>
          <w:color w:val="auto"/>
          <w:highlight w:val="none"/>
          <w:u w:val="none"/>
        </w:rPr>
        <w:t>万华码头公司</w:t>
      </w:r>
      <w:r>
        <w:rPr>
          <w:rFonts w:hint="eastAsia"/>
          <w:color w:val="auto"/>
          <w:highlight w:val="none"/>
          <w:u w:val="none"/>
        </w:rPr>
        <w:t>”）</w:t>
      </w:r>
      <w:r>
        <w:rPr>
          <w:rFonts w:hint="eastAsia"/>
          <w:b/>
          <w:bCs/>
          <w:color w:val="auto"/>
          <w:highlight w:val="none"/>
          <w:u w:val="none"/>
        </w:rPr>
        <w:t>、</w:t>
      </w:r>
      <w:r>
        <w:rPr>
          <w:rFonts w:hint="eastAsia"/>
          <w:color w:val="auto"/>
          <w:highlight w:val="none"/>
          <w:u w:val="none"/>
        </w:rPr>
        <w:t>万华环保科技（福建）有限公司（</w:t>
      </w:r>
      <w:r>
        <w:rPr>
          <w:rFonts w:hint="eastAsia"/>
          <w:color w:val="auto"/>
          <w:highlight w:val="none"/>
          <w:u w:val="none"/>
          <w:lang w:val="en-US"/>
        </w:rPr>
        <w:t>以下简称“</w:t>
      </w:r>
      <w:r>
        <w:rPr>
          <w:rFonts w:hint="eastAsia"/>
          <w:b/>
          <w:bCs/>
          <w:color w:val="auto"/>
          <w:highlight w:val="none"/>
          <w:u w:val="none"/>
          <w:lang w:val="en-US"/>
        </w:rPr>
        <w:t>万华环保科技公司</w:t>
      </w:r>
      <w:r>
        <w:rPr>
          <w:rFonts w:hint="eastAsia"/>
          <w:color w:val="auto"/>
          <w:highlight w:val="none"/>
          <w:u w:val="none"/>
          <w:lang w:val="en-US"/>
        </w:rPr>
        <w:t>”</w:t>
      </w:r>
      <w:r>
        <w:rPr>
          <w:rFonts w:hint="eastAsia"/>
          <w:color w:val="auto"/>
          <w:highlight w:val="none"/>
          <w:u w:val="none"/>
        </w:rPr>
        <w:t>）。万华化学福建产业园范围图见</w:t>
      </w:r>
      <w:r>
        <w:rPr>
          <w:rFonts w:hint="eastAsia"/>
          <w:color w:val="auto"/>
          <w:highlight w:val="none"/>
          <w:u w:val="none"/>
        </w:rPr>
        <w:fldChar w:fldCharType="begin"/>
      </w:r>
      <w:r>
        <w:rPr>
          <w:rFonts w:hint="eastAsia"/>
          <w:color w:val="auto"/>
          <w:highlight w:val="none"/>
          <w:u w:val="none"/>
        </w:rPr>
        <w:instrText xml:space="preserve"> REF _Ref193271580 \h  \* MERGEFORMAT </w:instrText>
      </w:r>
      <w:r>
        <w:rPr>
          <w:rFonts w:hint="eastAsia"/>
          <w:color w:val="auto"/>
          <w:highlight w:val="none"/>
          <w:u w:val="none"/>
        </w:rPr>
        <w:fldChar w:fldCharType="separate"/>
      </w:r>
      <w:r>
        <w:rPr>
          <w:rFonts w:hint="eastAsia"/>
          <w:color w:val="auto"/>
          <w:highlight w:val="none"/>
          <w:u w:val="none"/>
        </w:rPr>
        <w:t xml:space="preserve">图 </w:t>
      </w:r>
      <w:r>
        <w:rPr>
          <w:color w:val="auto"/>
          <w:highlight w:val="none"/>
          <w:u w:val="none"/>
        </w:rPr>
        <w:t>1.1</w:t>
      </w:r>
      <w:r>
        <w:rPr>
          <w:color w:val="auto"/>
          <w:highlight w:val="none"/>
          <w:u w:val="none"/>
        </w:rPr>
        <w:noBreakHyphen/>
      </w:r>
      <w:r>
        <w:rPr>
          <w:color w:val="auto"/>
          <w:highlight w:val="none"/>
          <w:u w:val="none"/>
        </w:rPr>
        <w:t>1</w:t>
      </w:r>
      <w:r>
        <w:rPr>
          <w:rFonts w:hint="eastAsia"/>
          <w:color w:val="auto"/>
          <w:highlight w:val="none"/>
          <w:u w:val="none"/>
        </w:rPr>
        <w:fldChar w:fldCharType="end"/>
      </w:r>
      <w:r>
        <w:rPr>
          <w:rFonts w:hint="eastAsia"/>
          <w:color w:val="auto"/>
          <w:highlight w:val="none"/>
          <w:u w:val="none"/>
        </w:rPr>
        <w:t>。</w:t>
      </w:r>
    </w:p>
    <w:p w14:paraId="157AD8D7">
      <w:pPr>
        <w:rPr>
          <w:rFonts w:hint="eastAsia"/>
          <w:color w:val="auto"/>
          <w:highlight w:val="none"/>
          <w:u w:val="none"/>
        </w:rPr>
      </w:pPr>
      <w:r>
        <w:rPr>
          <w:rFonts w:hint="eastAsia"/>
          <w:color w:val="auto"/>
          <w:highlight w:val="none"/>
          <w:u w:val="none"/>
        </w:rPr>
        <w:t>（1）万华福建公司</w:t>
      </w:r>
    </w:p>
    <w:p w14:paraId="24DD68C1">
      <w:pPr>
        <w:rPr>
          <w:rFonts w:hint="eastAsia"/>
          <w:color w:val="auto"/>
          <w:highlight w:val="none"/>
          <w:u w:val="none"/>
        </w:rPr>
      </w:pPr>
      <w:r>
        <w:rPr>
          <w:rFonts w:hint="eastAsia"/>
          <w:color w:val="auto"/>
          <w:highlight w:val="none"/>
          <w:u w:val="none"/>
        </w:rPr>
        <w:t>万华福建公司分为两个生产地块，分别为主要生产地块、气体装置地块。</w:t>
      </w:r>
    </w:p>
    <w:p w14:paraId="5D0873E0">
      <w:pPr>
        <w:rPr>
          <w:rFonts w:hint="eastAsia"/>
          <w:color w:val="auto"/>
          <w:highlight w:val="none"/>
          <w:u w:val="none"/>
        </w:rPr>
      </w:pPr>
      <w:r>
        <w:rPr>
          <w:rFonts w:hint="eastAsia"/>
          <w:color w:val="auto"/>
          <w:highlight w:val="none"/>
          <w:u w:val="none"/>
        </w:rPr>
        <w:t>主要生产地块位于万华福建产业园的中部位置，地块内规划建设的项目主要有：年产72万吨TDI（其中一期2</w:t>
      </w:r>
      <w:r>
        <w:rPr>
          <w:color w:val="auto"/>
          <w:highlight w:val="none"/>
          <w:u w:val="none"/>
        </w:rPr>
        <w:t>5</w:t>
      </w:r>
      <w:r>
        <w:rPr>
          <w:rFonts w:hint="eastAsia"/>
          <w:color w:val="auto"/>
          <w:highlight w:val="none"/>
          <w:u w:val="none"/>
        </w:rPr>
        <w:t>万吨项目已</w:t>
      </w:r>
      <w:r>
        <w:rPr>
          <w:rFonts w:hint="eastAsia"/>
          <w:color w:val="auto"/>
          <w:highlight w:val="none"/>
          <w:u w:val="none"/>
          <w:lang w:val="en-US"/>
        </w:rPr>
        <w:t>投产并环保验收</w:t>
      </w:r>
      <w:r>
        <w:rPr>
          <w:rFonts w:hint="eastAsia"/>
          <w:color w:val="auto"/>
          <w:highlight w:val="none"/>
          <w:u w:val="none"/>
        </w:rPr>
        <w:t>，二期</w:t>
      </w:r>
      <w:r>
        <w:rPr>
          <w:rFonts w:hint="eastAsia"/>
          <w:color w:val="auto"/>
          <w:highlight w:val="none"/>
          <w:u w:val="none"/>
          <w:lang w:val="en-US"/>
        </w:rPr>
        <w:t>拟建设36</w:t>
      </w:r>
      <w:r>
        <w:rPr>
          <w:rFonts w:hint="eastAsia"/>
          <w:color w:val="auto"/>
          <w:highlight w:val="none"/>
          <w:u w:val="none"/>
        </w:rPr>
        <w:t>万吨（</w:t>
      </w:r>
      <w:r>
        <w:rPr>
          <w:rFonts w:hint="eastAsia"/>
          <w:color w:val="auto"/>
          <w:highlight w:val="none"/>
          <w:u w:val="none"/>
          <w:lang w:val="en-US" w:eastAsia="zh-CN"/>
        </w:rPr>
        <w:t>已通过环评</w:t>
      </w:r>
      <w:r>
        <w:rPr>
          <w:rFonts w:hint="eastAsia"/>
          <w:color w:val="auto"/>
          <w:highlight w:val="none"/>
          <w:u w:val="none"/>
        </w:rPr>
        <w:t>），本项目</w:t>
      </w:r>
      <w:r>
        <w:rPr>
          <w:rFonts w:hint="eastAsia"/>
          <w:color w:val="auto"/>
          <w:highlight w:val="none"/>
          <w:u w:val="none"/>
          <w:lang w:val="en-US"/>
        </w:rPr>
        <w:t>拟将</w:t>
      </w:r>
      <w:r>
        <w:rPr>
          <w:rFonts w:hint="eastAsia"/>
          <w:color w:val="auto"/>
          <w:highlight w:val="none"/>
          <w:u w:val="none"/>
        </w:rPr>
        <w:t>一期2</w:t>
      </w:r>
      <w:r>
        <w:rPr>
          <w:color w:val="auto"/>
          <w:highlight w:val="none"/>
          <w:u w:val="none"/>
        </w:rPr>
        <w:t>5</w:t>
      </w:r>
      <w:r>
        <w:rPr>
          <w:rFonts w:hint="eastAsia"/>
          <w:color w:val="auto"/>
          <w:highlight w:val="none"/>
          <w:u w:val="none"/>
        </w:rPr>
        <w:t>万吨</w:t>
      </w:r>
      <w:r>
        <w:rPr>
          <w:rFonts w:hint="eastAsia"/>
          <w:color w:val="auto"/>
          <w:highlight w:val="none"/>
          <w:u w:val="none"/>
          <w:lang w:val="en-US"/>
        </w:rPr>
        <w:t>技改扩能至36</w:t>
      </w:r>
      <w:r>
        <w:rPr>
          <w:rFonts w:hint="eastAsia"/>
          <w:color w:val="auto"/>
          <w:highlight w:val="none"/>
          <w:u w:val="none"/>
        </w:rPr>
        <w:t>万吨规模）</w:t>
      </w:r>
      <w:r>
        <w:rPr>
          <w:rFonts w:hint="eastAsia"/>
          <w:color w:val="auto"/>
          <w:highlight w:val="none"/>
          <w:u w:val="none"/>
          <w:lang w:val="en-US" w:eastAsia="zh-CN"/>
        </w:rPr>
        <w:t>等</w:t>
      </w:r>
      <w:r>
        <w:rPr>
          <w:rFonts w:hint="eastAsia"/>
          <w:color w:val="auto"/>
          <w:highlight w:val="none"/>
          <w:u w:val="none"/>
        </w:rPr>
        <w:t>。</w:t>
      </w:r>
    </w:p>
    <w:p w14:paraId="2B4D1ECF">
      <w:pPr>
        <w:rPr>
          <w:rFonts w:hint="eastAsia"/>
          <w:color w:val="auto"/>
          <w:highlight w:val="none"/>
          <w:u w:val="none"/>
        </w:rPr>
      </w:pPr>
      <w:r>
        <w:rPr>
          <w:rFonts w:hint="eastAsia"/>
        </w:rPr>
        <w:t>气体装置地块位于东北部，地块内已验收投产的项目为万华福建公司大型煤气化项目，</w:t>
      </w:r>
      <w:r>
        <w:rPr>
          <w:rFonts w:hint="eastAsia"/>
          <w:lang w:val="en-US"/>
        </w:rPr>
        <w:t>主要生产规模为：氢气40000Nm</w:t>
      </w:r>
      <w:r>
        <w:rPr>
          <w:rFonts w:hint="eastAsia"/>
          <w:vertAlign w:val="superscript"/>
          <w:lang w:val="en-US"/>
        </w:rPr>
        <w:t>3</w:t>
      </w:r>
      <w:r>
        <w:rPr>
          <w:rFonts w:hint="eastAsia"/>
          <w:lang w:val="en-US"/>
        </w:rPr>
        <w:t>/h等</w:t>
      </w:r>
      <w:r>
        <w:rPr>
          <w:rFonts w:hint="eastAsia"/>
        </w:rPr>
        <w:t>，二期拟在现有气体装置地块内及其西侧紧邻的原耀隆化工地块内进行扩能改造。现有年产25万吨TDI项目产生的焦油颗粒和红水废水依托现有大型煤气化项目作为水煤浆气化原料，技改扩能后的TDI一期项目（本项目）连同拟建TDI二期项目，产生的焦油颗粒和红水废水依托气体扩能改造项目作为水煤浆气化原料</w:t>
      </w:r>
      <w:r>
        <w:rPr>
          <w:rFonts w:hint="eastAsia"/>
          <w:color w:val="auto"/>
          <w:highlight w:val="none"/>
          <w:u w:val="none"/>
        </w:rPr>
        <w:t>。</w:t>
      </w:r>
    </w:p>
    <w:p w14:paraId="77AD3380">
      <w:pPr>
        <w:rPr>
          <w:rFonts w:hint="eastAsia"/>
          <w:color w:val="auto"/>
          <w:highlight w:val="none"/>
          <w:u w:val="none"/>
        </w:rPr>
      </w:pPr>
      <w:r>
        <w:rPr>
          <w:rFonts w:hint="eastAsia"/>
          <w:color w:val="auto"/>
          <w:highlight w:val="none"/>
          <w:u w:val="none"/>
        </w:rPr>
        <w:t>（2）异氰酸酯公司</w:t>
      </w:r>
    </w:p>
    <w:p w14:paraId="4A9D9ACD">
      <w:pPr>
        <w:rPr>
          <w:rFonts w:hint="eastAsia"/>
          <w:color w:val="auto"/>
          <w:highlight w:val="none"/>
          <w:u w:val="none"/>
        </w:rPr>
      </w:pPr>
      <w:r>
        <w:rPr>
          <w:rFonts w:hint="eastAsia"/>
          <w:color w:val="auto"/>
          <w:highlight w:val="none"/>
          <w:u w:val="none"/>
        </w:rPr>
        <w:t>异氰酸酯公司位于万华福建公司主要生产地块南侧，厂内主要布置年产80万吨MDI项目。</w:t>
      </w:r>
    </w:p>
    <w:p w14:paraId="1B489A7E">
      <w:pPr>
        <w:rPr>
          <w:rFonts w:hint="eastAsia"/>
          <w:color w:val="auto"/>
          <w:highlight w:val="none"/>
          <w:u w:val="none"/>
        </w:rPr>
      </w:pPr>
      <w:r>
        <w:rPr>
          <w:rFonts w:hint="eastAsia"/>
          <w:color w:val="auto"/>
          <w:highlight w:val="none"/>
          <w:u w:val="none"/>
        </w:rPr>
        <w:t>（3）万华码头公司</w:t>
      </w:r>
    </w:p>
    <w:p w14:paraId="4B5B9C74">
      <w:pPr>
        <w:rPr>
          <w:rFonts w:hint="eastAsia"/>
          <w:color w:val="auto"/>
          <w:highlight w:val="none"/>
          <w:u w:val="none"/>
        </w:rPr>
      </w:pPr>
      <w:r>
        <w:rPr>
          <w:rFonts w:hint="eastAsia"/>
          <w:color w:val="auto"/>
          <w:highlight w:val="none"/>
          <w:u w:val="none"/>
        </w:rPr>
        <w:t>万华码头公司位于万华福建产业园西南部，厂内主要布置储罐区，为万华福建企业提供原辅料及产品储存等。</w:t>
      </w:r>
    </w:p>
    <w:p w14:paraId="148DEF53">
      <w:pPr>
        <w:rPr>
          <w:rFonts w:hint="eastAsia"/>
          <w:color w:val="auto"/>
          <w:highlight w:val="none"/>
          <w:u w:val="none"/>
        </w:rPr>
      </w:pPr>
      <w:r>
        <w:rPr>
          <w:rFonts w:hint="eastAsia"/>
          <w:color w:val="auto"/>
          <w:highlight w:val="none"/>
          <w:u w:val="none"/>
        </w:rPr>
        <w:t>（4）万华环保科技公司</w:t>
      </w:r>
    </w:p>
    <w:p w14:paraId="67353B7F">
      <w:pPr>
        <w:rPr>
          <w:rFonts w:hint="eastAsia"/>
          <w:color w:val="auto"/>
          <w:highlight w:val="none"/>
          <w:u w:val="none"/>
        </w:rPr>
      </w:pPr>
      <w:r>
        <w:rPr>
          <w:rFonts w:hint="eastAsia"/>
        </w:rPr>
        <w:t>万华环保科技公司主要负责万华产业园内的废水、废气综合处理利用及综合供水等公辅设施。</w:t>
      </w:r>
      <w:r>
        <w:rPr>
          <w:rFonts w:hint="eastAsia"/>
          <w:lang w:val="en-US"/>
        </w:rPr>
        <w:t>2024</w:t>
      </w:r>
      <w:r>
        <w:rPr>
          <w:rFonts w:hint="eastAsia"/>
        </w:rPr>
        <w:t>年</w:t>
      </w:r>
      <w:r>
        <w:rPr>
          <w:rFonts w:hint="eastAsia"/>
          <w:lang w:val="en-US"/>
        </w:rPr>
        <w:t>5月</w:t>
      </w:r>
      <w:r>
        <w:rPr>
          <w:rFonts w:hint="eastAsia"/>
        </w:rPr>
        <w:t>异氰酸酯公司将其废水处理系统、能量回收装置、苯胺焦油焚烧炉、封闭式地面火炬、危废暂存间、综合供水站、脱盐水及蒸汽凝液处理站等资产转移至万华环保科技公司，由其进行专业化统筹管理。万华环保科技公司拟新增编组站地块，并在新增的编组站地块建设1套废水处理设施，主要配套万华福建公司气体扩能改造项目污水处理，以及万华福建公司其他项目中水回用。本项目的废水依托万华环保科技公司污水处理系统进行处理，部分废气、废液依托其能量回收装置进行处理，万华环保科技公司全权负责进入其厂内废水、废气、废液的处理及环境管理，并对废水、废气、废液在其厂内出现的风险和事故承担责任，万华环保科技公司确保接纳的废水、废气、废液经其处理设施处理后达标排放</w:t>
      </w:r>
      <w:r>
        <w:rPr>
          <w:rFonts w:hint="eastAsia"/>
          <w:color w:val="auto"/>
          <w:highlight w:val="none"/>
          <w:u w:val="none"/>
        </w:rPr>
        <w:t>。</w:t>
      </w:r>
    </w:p>
    <w:p w14:paraId="055D775F">
      <w:pPr>
        <w:pStyle w:val="6"/>
        <w:spacing w:before="156" w:after="156"/>
        <w:rPr>
          <w:color w:val="auto"/>
          <w:highlight w:val="none"/>
          <w:u w:val="none"/>
        </w:rPr>
      </w:pPr>
      <w:r>
        <w:rPr>
          <w:rFonts w:hint="eastAsia"/>
          <w:color w:val="auto"/>
          <w:highlight w:val="none"/>
          <w:u w:val="none"/>
        </w:rPr>
        <w:t>项目建设背景</w:t>
      </w:r>
    </w:p>
    <w:p w14:paraId="3BA1E3F4">
      <w:r>
        <w:t>2020年</w:t>
      </w:r>
      <w:r>
        <w:rPr>
          <w:rFonts w:hint="eastAsia"/>
        </w:rPr>
        <w:t>，</w:t>
      </w:r>
      <w:r>
        <w:t>万华福建公司</w:t>
      </w:r>
      <w:r>
        <w:rPr>
          <w:rFonts w:hint="eastAsia"/>
        </w:rPr>
        <w:t>收购</w:t>
      </w:r>
      <w:r>
        <w:t>福建省东南电化股份有限公司除热电装置、烧碱装置之外的所有资产</w:t>
      </w:r>
      <w:r>
        <w:rPr>
          <w:rFonts w:hint="eastAsia"/>
        </w:rPr>
        <w:t>（其中含已</w:t>
      </w:r>
      <w:r>
        <w:t>有10万吨及已批</w:t>
      </w:r>
      <w:r>
        <w:rPr>
          <w:rFonts w:hint="eastAsia"/>
        </w:rPr>
        <w:t>未建</w:t>
      </w:r>
      <w:r>
        <w:t>15万吨TDI产能</w:t>
      </w:r>
      <w:r>
        <w:rPr>
          <w:rFonts w:hint="eastAsia"/>
        </w:rPr>
        <w:t>），并于2</w:t>
      </w:r>
      <w:r>
        <w:t>022</w:t>
      </w:r>
      <w:r>
        <w:rPr>
          <w:rFonts w:hint="eastAsia"/>
        </w:rPr>
        <w:t>年将</w:t>
      </w:r>
      <w:r>
        <w:t>福建省东南电化股份有限公司的TDI装置及</w:t>
      </w:r>
      <w:r>
        <w:rPr>
          <w:rFonts w:hint="eastAsia"/>
        </w:rPr>
        <w:t>其</w:t>
      </w:r>
      <w:r>
        <w:t>配套装置，改建TDI产能至25万吨/年（替代</w:t>
      </w:r>
      <w:r>
        <w:rPr>
          <w:rFonts w:hint="eastAsia"/>
        </w:rPr>
        <w:t>已</w:t>
      </w:r>
      <w:r>
        <w:t>有10万吨及已批</w:t>
      </w:r>
      <w:r>
        <w:rPr>
          <w:rFonts w:hint="eastAsia"/>
        </w:rPr>
        <w:t>未建</w:t>
      </w:r>
      <w:r>
        <w:t>15万吨TDI产能）</w:t>
      </w:r>
      <w:r>
        <w:rPr>
          <w:rFonts w:hint="eastAsia"/>
        </w:rPr>
        <w:t>，该项目环评已于2</w:t>
      </w:r>
      <w:r>
        <w:t>022</w:t>
      </w:r>
      <w:r>
        <w:rPr>
          <w:rFonts w:hint="eastAsia"/>
        </w:rPr>
        <w:t>年1月获得福州市生态环境局批复（见附件</w:t>
      </w:r>
      <w:r>
        <w:rPr>
          <w:rFonts w:hint="eastAsia"/>
          <w:lang w:val="en-US"/>
        </w:rPr>
        <w:t>5</w:t>
      </w:r>
      <w:r>
        <w:rPr>
          <w:rFonts w:hint="eastAsia"/>
        </w:rPr>
        <w:t>），目前该项目已</w:t>
      </w:r>
      <w:r>
        <w:rPr>
          <w:rFonts w:hint="eastAsia"/>
          <w:lang w:val="en-US"/>
        </w:rPr>
        <w:t>投产完成环保验收</w:t>
      </w:r>
      <w:r>
        <w:rPr>
          <w:rFonts w:hint="eastAsia"/>
        </w:rPr>
        <w:t>。其替代掉的</w:t>
      </w:r>
      <w:r>
        <w:t>10万吨/年TDI装置</w:t>
      </w:r>
      <w:r>
        <w:rPr>
          <w:rFonts w:hint="eastAsia"/>
        </w:rPr>
        <w:t>已于</w:t>
      </w:r>
      <w:r>
        <w:t>2023年一季度</w:t>
      </w:r>
      <w:r>
        <w:rPr>
          <w:rFonts w:hint="eastAsia"/>
        </w:rPr>
        <w:t>停产拆除。</w:t>
      </w:r>
    </w:p>
    <w:p w14:paraId="667B034E">
      <w:pPr>
        <w:rPr>
          <w:rStyle w:val="161"/>
          <w:sz w:val="24"/>
          <w:szCs w:val="24"/>
        </w:rPr>
      </w:pPr>
      <w:r>
        <w:rPr>
          <w:rFonts w:hint="eastAsia"/>
        </w:rPr>
        <w:t>本次</w:t>
      </w:r>
      <w:r>
        <w:rPr>
          <w:rFonts w:hint="eastAsia"/>
          <w:lang w:val="en-US"/>
        </w:rPr>
        <w:t>技改</w:t>
      </w:r>
      <w:r>
        <w:rPr>
          <w:rFonts w:hint="eastAsia"/>
        </w:rPr>
        <w:t>扩</w:t>
      </w:r>
      <w:r>
        <w:rPr>
          <w:rFonts w:hint="eastAsia"/>
          <w:lang w:val="en-US"/>
        </w:rPr>
        <w:t>能</w:t>
      </w:r>
      <w:r>
        <w:rPr>
          <w:rFonts w:hint="eastAsia"/>
        </w:rPr>
        <w:t>项目</w:t>
      </w:r>
      <w:r>
        <w:rPr>
          <w:rFonts w:hint="eastAsia"/>
          <w:lang w:val="en-US"/>
        </w:rPr>
        <w:t>在现有TDI一期装置区范围内技改扩能至36万吨/年，</w:t>
      </w:r>
      <w:r>
        <w:rPr>
          <w:rFonts w:hint="eastAsia"/>
        </w:rPr>
        <w:t>总投资约</w:t>
      </w:r>
      <w:r>
        <w:rPr>
          <w:rFonts w:hint="eastAsia"/>
          <w:lang w:val="en-US"/>
        </w:rPr>
        <w:t>15</w:t>
      </w:r>
      <w:r>
        <w:rPr>
          <w:lang w:val="en-US"/>
        </w:rPr>
        <w:t>000</w:t>
      </w:r>
      <w:r>
        <w:rPr>
          <w:rFonts w:hint="eastAsia"/>
        </w:rPr>
        <w:t>万元，产品由</w:t>
      </w:r>
      <w:r>
        <w:rPr>
          <w:rFonts w:hint="eastAsia"/>
          <w:lang w:val="en-US"/>
        </w:rPr>
        <w:t>一期</w:t>
      </w:r>
      <w:r>
        <w:rPr>
          <w:lang w:val="en-US"/>
        </w:rPr>
        <w:t>25万吨扩能至36万吨</w:t>
      </w:r>
      <w:r>
        <w:rPr>
          <w:rStyle w:val="161"/>
          <w:rFonts w:hint="eastAsia"/>
          <w:sz w:val="24"/>
          <w:szCs w:val="24"/>
        </w:rPr>
        <w:t>。</w:t>
      </w:r>
    </w:p>
    <w:p w14:paraId="26360C8A">
      <w:pPr>
        <w:rPr>
          <w:rStyle w:val="161"/>
          <w:rFonts w:hAnsi="Times New Roman" w:cs="Times New Roman"/>
          <w:sz w:val="24"/>
          <w:szCs w:val="24"/>
        </w:rPr>
      </w:pPr>
      <w:r>
        <w:rPr>
          <w:rStyle w:val="161"/>
          <w:rFonts w:hAnsi="Times New Roman" w:cs="Times New Roman"/>
          <w:sz w:val="24"/>
          <w:szCs w:val="24"/>
        </w:rPr>
        <w:t>本次</w:t>
      </w:r>
      <w:r>
        <w:rPr>
          <w:rStyle w:val="161"/>
          <w:rFonts w:hint="eastAsia" w:hAnsi="Times New Roman" w:cs="Times New Roman"/>
          <w:sz w:val="24"/>
          <w:szCs w:val="24"/>
          <w:lang w:val="en-US"/>
        </w:rPr>
        <w:t>技改扩能</w:t>
      </w:r>
      <w:r>
        <w:rPr>
          <w:rStyle w:val="161"/>
          <w:rFonts w:hAnsi="Times New Roman" w:cs="Times New Roman"/>
          <w:sz w:val="24"/>
          <w:szCs w:val="24"/>
        </w:rPr>
        <w:t>项目废水依托</w:t>
      </w:r>
      <w:bookmarkStart w:id="11" w:name="_Hlk183360385"/>
      <w:r>
        <w:rPr>
          <w:rFonts w:hAnsi="Times New Roman"/>
        </w:rPr>
        <w:t>万华环保科技公司</w:t>
      </w:r>
      <w:bookmarkEnd w:id="11"/>
      <w:r>
        <w:rPr>
          <w:rStyle w:val="161"/>
          <w:rFonts w:hAnsi="Times New Roman" w:cs="Times New Roman"/>
          <w:sz w:val="24"/>
          <w:szCs w:val="24"/>
        </w:rPr>
        <w:t>内</w:t>
      </w:r>
      <w:r>
        <w:rPr>
          <w:rStyle w:val="161"/>
          <w:rFonts w:hint="eastAsia" w:hAnsi="Times New Roman" w:cs="Times New Roman"/>
          <w:sz w:val="24"/>
          <w:szCs w:val="24"/>
          <w:lang w:val="en-US"/>
        </w:rPr>
        <w:t>现有</w:t>
      </w:r>
      <w:r>
        <w:rPr>
          <w:rStyle w:val="161"/>
          <w:rFonts w:hAnsi="Times New Roman" w:cs="Times New Roman"/>
          <w:sz w:val="24"/>
          <w:szCs w:val="24"/>
        </w:rPr>
        <w:t>的废水处理站处理</w:t>
      </w:r>
      <w:r>
        <w:rPr>
          <w:rFonts w:hint="eastAsia"/>
        </w:rPr>
        <w:t>（原异氰酸酯公司附属设施工程废水处理站，含综合废水处理系统、低浓度废水处理系统）</w:t>
      </w:r>
      <w:r>
        <w:rPr>
          <w:rStyle w:val="161"/>
          <w:rFonts w:hAnsi="Times New Roman" w:cs="Times New Roman"/>
          <w:sz w:val="24"/>
          <w:szCs w:val="24"/>
        </w:rPr>
        <w:t>，</w:t>
      </w:r>
      <w:r>
        <w:rPr>
          <w:rStyle w:val="161"/>
          <w:rFonts w:hint="eastAsia"/>
          <w:sz w:val="24"/>
          <w:szCs w:val="24"/>
        </w:rPr>
        <w:t>其中</w:t>
      </w:r>
      <w:r>
        <w:rPr>
          <w:rFonts w:hint="eastAsia"/>
        </w:rPr>
        <w:t>综合废水处理系统</w:t>
      </w:r>
      <w:r>
        <w:rPr>
          <w:rStyle w:val="161"/>
          <w:rFonts w:hint="eastAsia"/>
          <w:sz w:val="24"/>
          <w:szCs w:val="24"/>
        </w:rPr>
        <w:t>处理达标后的废水利用</w:t>
      </w:r>
      <w:r>
        <w:rPr>
          <w:rStyle w:val="161"/>
          <w:rFonts w:hint="eastAsia"/>
          <w:sz w:val="24"/>
          <w:szCs w:val="24"/>
          <w:lang w:eastAsia="zh-CN"/>
        </w:rPr>
        <w:t>福州江阴港城经济区</w:t>
      </w:r>
      <w:r>
        <w:rPr>
          <w:rStyle w:val="161"/>
          <w:rFonts w:hint="eastAsia"/>
          <w:sz w:val="24"/>
          <w:szCs w:val="24"/>
        </w:rPr>
        <w:t>污水处理厂尾水排海管排海；低浓度废水处理系统处理后尾水</w:t>
      </w:r>
      <w:r>
        <w:rPr>
          <w:rStyle w:val="161"/>
          <w:rFonts w:hint="eastAsia"/>
          <w:sz w:val="24"/>
          <w:szCs w:val="24"/>
          <w:lang w:val="en-US"/>
        </w:rPr>
        <w:t>进入</w:t>
      </w:r>
      <w:r>
        <w:rPr>
          <w:rStyle w:val="161"/>
          <w:rFonts w:hint="eastAsia"/>
          <w:sz w:val="24"/>
          <w:szCs w:val="24"/>
        </w:rPr>
        <w:t>编组站废水处理系统进一步处理</w:t>
      </w:r>
      <w:r>
        <w:rPr>
          <w:rStyle w:val="161"/>
          <w:rFonts w:hAnsi="Times New Roman" w:cs="Times New Roman"/>
          <w:sz w:val="24"/>
          <w:szCs w:val="24"/>
        </w:rPr>
        <w:t>；</w:t>
      </w:r>
      <w:r>
        <w:rPr>
          <w:rStyle w:val="161"/>
          <w:rFonts w:hint="eastAsia" w:hAnsi="Times New Roman" w:cs="Times New Roman"/>
          <w:sz w:val="24"/>
          <w:szCs w:val="24"/>
          <w:lang w:val="en-US"/>
        </w:rPr>
        <w:t>脱水单元TDA废水依托拟建TDI二期氢化单元汽提后，再依托</w:t>
      </w:r>
      <w:r>
        <w:rPr>
          <w:rStyle w:val="161"/>
          <w:rFonts w:hint="eastAsia"/>
          <w:sz w:val="24"/>
          <w:szCs w:val="24"/>
        </w:rPr>
        <w:t>编组站废水处理系统处理达标后</w:t>
      </w:r>
      <w:r>
        <w:rPr>
          <w:rFonts w:hint="eastAsia"/>
        </w:rPr>
        <w:t>回用于万华福建产业园的各循环冷却水系统补充水，浓水经处理达标后，利用福州江阴港城经济区污水处理厂尾水排海管道排海，</w:t>
      </w:r>
      <w:r>
        <w:rPr>
          <w:rFonts w:hint="eastAsia"/>
          <w:b/>
          <w:bCs/>
          <w:lang w:val="en-US"/>
        </w:rPr>
        <w:t>该部分废水纳入TDI二期废水单元进行评价，本项目不在赘述</w:t>
      </w:r>
      <w:r>
        <w:rPr>
          <w:rStyle w:val="161"/>
          <w:rFonts w:hint="eastAsia"/>
          <w:b/>
          <w:bCs/>
          <w:sz w:val="24"/>
          <w:szCs w:val="24"/>
        </w:rPr>
        <w:t>；</w:t>
      </w:r>
      <w:r>
        <w:rPr>
          <w:rFonts w:hint="eastAsia"/>
        </w:rPr>
        <w:t>红水废水送往万华福建公司气体扩能改造项目作为水煤浆气化原料；</w:t>
      </w:r>
      <w:r>
        <w:rPr>
          <w:rStyle w:val="161"/>
          <w:rFonts w:hAnsi="Times New Roman" w:cs="Times New Roman"/>
          <w:sz w:val="24"/>
          <w:szCs w:val="24"/>
        </w:rPr>
        <w:t>部分废气、废液依托</w:t>
      </w:r>
      <w:r>
        <w:rPr>
          <w:rFonts w:hAnsi="Times New Roman"/>
        </w:rPr>
        <w:t>万华环保科技公司</w:t>
      </w:r>
      <w:r>
        <w:rPr>
          <w:rStyle w:val="161"/>
          <w:rFonts w:hAnsi="Times New Roman" w:cs="Times New Roman"/>
          <w:sz w:val="24"/>
          <w:szCs w:val="24"/>
        </w:rPr>
        <w:t>能量回收装置处理焚烧处理</w:t>
      </w:r>
      <w:r>
        <w:rPr>
          <w:rStyle w:val="161"/>
          <w:rFonts w:hint="eastAsia" w:hAnsi="Times New Roman" w:cs="Times New Roman"/>
          <w:sz w:val="24"/>
          <w:szCs w:val="24"/>
        </w:rPr>
        <w:t>；</w:t>
      </w:r>
      <w:r>
        <w:rPr>
          <w:rStyle w:val="161"/>
          <w:rFonts w:hAnsi="Times New Roman" w:cs="Times New Roman"/>
          <w:sz w:val="24"/>
          <w:szCs w:val="24"/>
        </w:rPr>
        <w:t>焦油颗粒经专用密闭槽车送往万华福建公司</w:t>
      </w:r>
      <w:r>
        <w:rPr>
          <w:rStyle w:val="161"/>
          <w:rFonts w:hint="eastAsia"/>
          <w:sz w:val="24"/>
          <w:szCs w:val="24"/>
        </w:rPr>
        <w:t>气体扩能改造项目</w:t>
      </w:r>
      <w:r>
        <w:rPr>
          <w:rStyle w:val="161"/>
          <w:rFonts w:hAnsi="Times New Roman" w:cs="Times New Roman"/>
          <w:sz w:val="24"/>
          <w:szCs w:val="24"/>
        </w:rPr>
        <w:t>作为水煤浆气化原料。</w:t>
      </w:r>
    </w:p>
    <w:p w14:paraId="5F1BF525">
      <w:pPr>
        <w:rPr>
          <w:rFonts w:hint="eastAsia"/>
          <w:color w:val="auto"/>
          <w:highlight w:val="none"/>
          <w:u w:val="none"/>
        </w:rPr>
      </w:pPr>
      <w:r>
        <w:rPr>
          <w:rFonts w:hint="eastAsia"/>
          <w:lang w:val="en-US"/>
        </w:rPr>
        <w:t>万华环保科技公司现有</w:t>
      </w:r>
      <w:r>
        <w:rPr>
          <w:rStyle w:val="161"/>
          <w:rFonts w:hint="eastAsia"/>
          <w:sz w:val="24"/>
          <w:szCs w:val="24"/>
        </w:rPr>
        <w:t>废水处理站、能量回收装置原属于异氰酸酯公司</w:t>
      </w:r>
      <w:r>
        <w:rPr>
          <w:rStyle w:val="161"/>
          <w:sz w:val="24"/>
          <w:szCs w:val="24"/>
        </w:rPr>
        <w:t>附属配套设施工程</w:t>
      </w:r>
      <w:r>
        <w:rPr>
          <w:rStyle w:val="161"/>
          <w:rFonts w:hint="eastAsia"/>
          <w:sz w:val="24"/>
          <w:szCs w:val="24"/>
        </w:rPr>
        <w:t>，后异氰酸酯公司将其转移至万华环保科技公司，其环境影响评价报告（《万华化学（</w:t>
      </w:r>
      <w:r>
        <w:rPr>
          <w:rStyle w:val="161"/>
          <w:sz w:val="24"/>
          <w:szCs w:val="24"/>
        </w:rPr>
        <w:t>福建</w:t>
      </w:r>
      <w:r>
        <w:rPr>
          <w:rStyle w:val="161"/>
          <w:rFonts w:hint="eastAsia"/>
          <w:sz w:val="24"/>
          <w:szCs w:val="24"/>
        </w:rPr>
        <w:t>）</w:t>
      </w:r>
      <w:r>
        <w:rPr>
          <w:rStyle w:val="161"/>
          <w:sz w:val="24"/>
          <w:szCs w:val="24"/>
        </w:rPr>
        <w:t>异氰酸酯有限公司附属配套设施工程环境影响报告书》</w:t>
      </w:r>
      <w:r>
        <w:rPr>
          <w:rStyle w:val="161"/>
          <w:rFonts w:hint="eastAsia"/>
          <w:sz w:val="24"/>
          <w:szCs w:val="24"/>
        </w:rPr>
        <w:t>）</w:t>
      </w:r>
      <w:r>
        <w:rPr>
          <w:rStyle w:val="161"/>
          <w:sz w:val="24"/>
          <w:szCs w:val="24"/>
        </w:rPr>
        <w:t>于2021年9月14日通过福州市生态环境局审批</w:t>
      </w:r>
      <w:r>
        <w:rPr>
          <w:rStyle w:val="161"/>
          <w:rFonts w:hint="eastAsia"/>
          <w:sz w:val="24"/>
          <w:szCs w:val="24"/>
        </w:rPr>
        <w:t>（批文号：榕环评</w:t>
      </w:r>
      <w:r>
        <w:rPr>
          <w:rStyle w:val="161"/>
          <w:sz w:val="24"/>
          <w:szCs w:val="24"/>
        </w:rPr>
        <w:t>〔2021〕12号，见附件</w:t>
      </w:r>
      <w:r>
        <w:rPr>
          <w:rStyle w:val="161"/>
          <w:rFonts w:hint="eastAsia"/>
          <w:sz w:val="24"/>
          <w:szCs w:val="24"/>
          <w:lang w:val="en-US"/>
        </w:rPr>
        <w:t>9</w:t>
      </w:r>
      <w:r>
        <w:rPr>
          <w:rStyle w:val="161"/>
          <w:sz w:val="24"/>
          <w:szCs w:val="24"/>
        </w:rPr>
        <w:t>）</w:t>
      </w:r>
      <w:r>
        <w:rPr>
          <w:rStyle w:val="161"/>
          <w:rFonts w:hint="eastAsia"/>
          <w:sz w:val="24"/>
          <w:szCs w:val="24"/>
        </w:rPr>
        <w:t>，目前能量回收装置已建成投入使用，现有废水处理站包含</w:t>
      </w:r>
      <w:r>
        <w:t>综合废水处理系统</w:t>
      </w:r>
      <w:r>
        <w:rPr>
          <w:rFonts w:hint="eastAsia"/>
        </w:rPr>
        <w:t>、低浓度废水处理系统，</w:t>
      </w:r>
      <w:r>
        <w:t>综合废水处理系统</w:t>
      </w:r>
      <w:r>
        <w:rPr>
          <w:rFonts w:hint="eastAsia"/>
        </w:rPr>
        <w:t>一期（处理规模</w:t>
      </w:r>
      <w:r>
        <w:t>210</w:t>
      </w:r>
      <w:r>
        <w:rPr>
          <w:lang w:bidi="ar"/>
        </w:rPr>
        <w:t>m</w:t>
      </w:r>
      <w:r>
        <w:rPr>
          <w:vertAlign w:val="superscript"/>
          <w:lang w:bidi="ar"/>
        </w:rPr>
        <w:t>3</w:t>
      </w:r>
      <w:r>
        <w:rPr>
          <w:lang w:bidi="ar"/>
        </w:rPr>
        <w:t>/h</w:t>
      </w:r>
      <w:r>
        <w:rPr>
          <w:rFonts w:hint="eastAsia"/>
        </w:rPr>
        <w:t>）已建成投用，二期（处理规模</w:t>
      </w:r>
      <w:r>
        <w:t>210</w:t>
      </w:r>
      <w:r>
        <w:rPr>
          <w:lang w:bidi="ar"/>
        </w:rPr>
        <w:t>m</w:t>
      </w:r>
      <w:r>
        <w:rPr>
          <w:vertAlign w:val="superscript"/>
          <w:lang w:bidi="ar"/>
        </w:rPr>
        <w:t>3</w:t>
      </w:r>
      <w:r>
        <w:rPr>
          <w:lang w:bidi="ar"/>
        </w:rPr>
        <w:t>/h</w:t>
      </w:r>
      <w:r>
        <w:rPr>
          <w:rFonts w:hint="eastAsia"/>
        </w:rPr>
        <w:t>）预计</w:t>
      </w:r>
      <w:r>
        <w:t>2</w:t>
      </w:r>
      <w:r>
        <w:rPr>
          <w:rFonts w:hint="eastAsia"/>
        </w:rPr>
        <w:t>5年4月前建成投用，低浓度废水处理系统一期（处理规模</w:t>
      </w:r>
      <w:r>
        <w:t>180</w:t>
      </w:r>
      <w:r>
        <w:rPr>
          <w:lang w:bidi="ar"/>
        </w:rPr>
        <w:t>m</w:t>
      </w:r>
      <w:r>
        <w:rPr>
          <w:vertAlign w:val="superscript"/>
          <w:lang w:bidi="ar"/>
        </w:rPr>
        <w:t>3</w:t>
      </w:r>
      <w:r>
        <w:rPr>
          <w:lang w:bidi="ar"/>
        </w:rPr>
        <w:t>/h</w:t>
      </w:r>
      <w:r>
        <w:rPr>
          <w:rFonts w:hint="eastAsia"/>
        </w:rPr>
        <w:t>）已建成投用，二期（处理规模</w:t>
      </w:r>
      <w:r>
        <w:t>180</w:t>
      </w:r>
      <w:r>
        <w:rPr>
          <w:lang w:bidi="ar"/>
        </w:rPr>
        <w:t>m</w:t>
      </w:r>
      <w:r>
        <w:rPr>
          <w:vertAlign w:val="superscript"/>
          <w:lang w:bidi="ar"/>
        </w:rPr>
        <w:t>3</w:t>
      </w:r>
      <w:r>
        <w:rPr>
          <w:lang w:bidi="ar"/>
        </w:rPr>
        <w:t>/h</w:t>
      </w:r>
      <w:r>
        <w:rPr>
          <w:rFonts w:hint="eastAsia"/>
        </w:rPr>
        <w:t>）预计25年4月前建成投用；编组站废水处理站为万华环保科技公司计划建设项目（其</w:t>
      </w:r>
      <w:r>
        <w:rPr>
          <w:rStyle w:val="161"/>
          <w:rFonts w:hint="eastAsia"/>
          <w:sz w:val="24"/>
          <w:szCs w:val="24"/>
        </w:rPr>
        <w:t>环境影响评价报告</w:t>
      </w:r>
      <w:r>
        <w:rPr>
          <w:rFonts w:hint="eastAsia"/>
        </w:rPr>
        <w:t>《万华环保科技（福建）有限公司编组站项目环境影响报告书》已于2025年3月18日</w:t>
      </w:r>
      <w:r>
        <w:rPr>
          <w:rStyle w:val="161"/>
          <w:sz w:val="24"/>
          <w:szCs w:val="24"/>
        </w:rPr>
        <w:t>通过福州市生态环境局审批</w:t>
      </w:r>
      <w:r>
        <w:rPr>
          <w:rStyle w:val="161"/>
          <w:rFonts w:hint="eastAsia"/>
          <w:sz w:val="24"/>
          <w:szCs w:val="24"/>
        </w:rPr>
        <w:t>，批文号：榕融环评[2025]16号</w:t>
      </w:r>
      <w:r>
        <w:rPr>
          <w:rStyle w:val="161"/>
          <w:sz w:val="24"/>
          <w:szCs w:val="24"/>
        </w:rPr>
        <w:t>，见附件</w:t>
      </w:r>
      <w:r>
        <w:rPr>
          <w:rStyle w:val="161"/>
          <w:rFonts w:hint="eastAsia"/>
          <w:sz w:val="24"/>
          <w:szCs w:val="24"/>
        </w:rPr>
        <w:t>2</w:t>
      </w:r>
      <w:r>
        <w:rPr>
          <w:rStyle w:val="161"/>
          <w:rFonts w:hint="eastAsia"/>
          <w:sz w:val="24"/>
          <w:szCs w:val="24"/>
          <w:lang w:val="en-US"/>
        </w:rPr>
        <w:t>5</w:t>
      </w:r>
      <w:r>
        <w:rPr>
          <w:rFonts w:hint="eastAsia"/>
        </w:rPr>
        <w:t>），</w:t>
      </w:r>
      <w:r>
        <w:rPr>
          <w:rFonts w:hint="eastAsia"/>
          <w:lang w:val="en-US"/>
        </w:rPr>
        <w:t>包括</w:t>
      </w:r>
      <w:r>
        <w:rPr>
          <w:rFonts w:hint="eastAsia"/>
        </w:rPr>
        <w:t>废水处理单元（处理规模</w:t>
      </w:r>
      <w:r>
        <w:rPr>
          <w:rFonts w:hint="eastAsia"/>
          <w:lang w:val="en-US"/>
        </w:rPr>
        <w:t>1500m</w:t>
      </w:r>
      <w:r>
        <w:rPr>
          <w:rFonts w:hint="eastAsia"/>
          <w:vertAlign w:val="superscript"/>
          <w:lang w:val="en-US"/>
        </w:rPr>
        <w:t>3</w:t>
      </w:r>
      <w:r>
        <w:rPr>
          <w:rFonts w:hint="eastAsia"/>
          <w:lang w:val="en-US"/>
        </w:rPr>
        <w:t>/h</w:t>
      </w:r>
      <w:r>
        <w:rPr>
          <w:rFonts w:hint="eastAsia"/>
        </w:rPr>
        <w:t>）、中水回用预处理单元（处理规模</w:t>
      </w:r>
      <w:r>
        <w:rPr>
          <w:rFonts w:hint="eastAsia"/>
          <w:lang w:val="en-US"/>
        </w:rPr>
        <w:t>2000m</w:t>
      </w:r>
      <w:r>
        <w:rPr>
          <w:rFonts w:hint="eastAsia"/>
          <w:vertAlign w:val="superscript"/>
          <w:lang w:val="en-US"/>
        </w:rPr>
        <w:t>3</w:t>
      </w:r>
      <w:r>
        <w:rPr>
          <w:rFonts w:hint="eastAsia"/>
          <w:lang w:val="en-US"/>
        </w:rPr>
        <w:t>/h</w:t>
      </w:r>
      <w:r>
        <w:rPr>
          <w:rFonts w:hint="eastAsia"/>
        </w:rPr>
        <w:t>）、中水回用单元（处理规模</w:t>
      </w:r>
      <w:r>
        <w:rPr>
          <w:rFonts w:hint="eastAsia"/>
          <w:lang w:val="en-US"/>
        </w:rPr>
        <w:t>2000m</w:t>
      </w:r>
      <w:r>
        <w:rPr>
          <w:rFonts w:hint="eastAsia"/>
          <w:vertAlign w:val="superscript"/>
          <w:lang w:val="en-US"/>
        </w:rPr>
        <w:t>3</w:t>
      </w:r>
      <w:r>
        <w:rPr>
          <w:rFonts w:hint="eastAsia"/>
          <w:lang w:val="en-US"/>
        </w:rPr>
        <w:t>/h</w:t>
      </w:r>
      <w:r>
        <w:rPr>
          <w:rFonts w:hint="eastAsia"/>
        </w:rPr>
        <w:t>）、浓水处理单元（处理规模</w:t>
      </w:r>
      <w:r>
        <w:rPr>
          <w:rFonts w:hint="eastAsia"/>
          <w:lang w:val="en-US"/>
        </w:rPr>
        <w:t>500m</w:t>
      </w:r>
      <w:r>
        <w:rPr>
          <w:rFonts w:hint="eastAsia"/>
          <w:vertAlign w:val="superscript"/>
          <w:lang w:val="en-US"/>
        </w:rPr>
        <w:t>3</w:t>
      </w:r>
      <w:r>
        <w:rPr>
          <w:rFonts w:hint="eastAsia"/>
          <w:lang w:val="en-US"/>
        </w:rPr>
        <w:t>/h</w:t>
      </w:r>
      <w:r>
        <w:rPr>
          <w:rFonts w:hint="eastAsia"/>
        </w:rPr>
        <w:t>），预计25年6月前建成投用</w:t>
      </w:r>
      <w:r>
        <w:rPr>
          <w:rFonts w:hint="eastAsia"/>
          <w:color w:val="auto"/>
          <w:highlight w:val="none"/>
          <w:u w:val="none"/>
        </w:rPr>
        <w:t>。</w:t>
      </w:r>
    </w:p>
    <w:p w14:paraId="37512628">
      <w:pPr>
        <w:pStyle w:val="82"/>
        <w:rPr>
          <w:rFonts w:hint="eastAsia"/>
          <w:color w:val="auto"/>
          <w:highlight w:val="none"/>
          <w:u w:val="none"/>
        </w:rPr>
      </w:pPr>
      <w:r>
        <w:rPr>
          <w:rFonts w:hint="eastAsia"/>
          <w:color w:val="auto"/>
          <w:highlight w:val="none"/>
          <w:u w:val="none"/>
        </w:rPr>
        <w:t>根据《中华人民共和国环境影响评价法》、《建设项目环境保护管理条例》等相关环保法规，本次</w:t>
      </w:r>
      <w:r>
        <w:rPr>
          <w:rFonts w:hint="eastAsia"/>
          <w:color w:val="auto"/>
          <w:highlight w:val="none"/>
          <w:u w:val="none"/>
          <w:lang w:val="en-US"/>
        </w:rPr>
        <w:t>技改扩能</w:t>
      </w:r>
      <w:r>
        <w:rPr>
          <w:rFonts w:hint="eastAsia"/>
          <w:color w:val="auto"/>
          <w:highlight w:val="none"/>
          <w:u w:val="none"/>
        </w:rPr>
        <w:t>项目应编制环境影响报告书，因此，万华化学（福建）有限公司委托福建省环境保护设计院有限公司对“万华化学（福建）有限公司</w:t>
      </w:r>
      <w:r>
        <w:rPr>
          <w:color w:val="auto"/>
          <w:highlight w:val="none"/>
          <w:u w:val="none"/>
        </w:rPr>
        <w:t>TDI</w:t>
      </w:r>
      <w:r>
        <w:rPr>
          <w:rFonts w:hint="eastAsia"/>
          <w:color w:val="auto"/>
          <w:highlight w:val="none"/>
          <w:u w:val="none"/>
          <w:lang w:val="en-US"/>
        </w:rPr>
        <w:t>一期技改扩能36</w:t>
      </w:r>
      <w:r>
        <w:rPr>
          <w:color w:val="auto"/>
          <w:highlight w:val="none"/>
          <w:u w:val="none"/>
        </w:rPr>
        <w:t>万吨/年项目</w:t>
      </w:r>
      <w:r>
        <w:rPr>
          <w:rFonts w:hint="eastAsia"/>
          <w:color w:val="auto"/>
          <w:highlight w:val="none"/>
          <w:u w:val="none"/>
        </w:rPr>
        <w:t>”进行环境影响评价。接受委托后，我公司认真研究了该项目的有关材料，并进行实地踏勘，根据相关技术规定，开展了建设项目的环境影响评价工作，编制完成了《万华化学（福建）有限公司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能36</w:t>
      </w:r>
      <w:r>
        <w:rPr>
          <w:color w:val="auto"/>
          <w:highlight w:val="none"/>
          <w:u w:val="none"/>
        </w:rPr>
        <w:t>万吨/年项目</w:t>
      </w:r>
      <w:r>
        <w:rPr>
          <w:rFonts w:hint="eastAsia"/>
          <w:color w:val="auto"/>
          <w:highlight w:val="none"/>
          <w:u w:val="none"/>
        </w:rPr>
        <w:t>环境影响报告书（送审本）》，供建设单位上报生态环境部门审查。</w:t>
      </w:r>
    </w:p>
    <w:p w14:paraId="11BE6532">
      <w:pPr>
        <w:pStyle w:val="4"/>
        <w:rPr>
          <w:color w:val="auto"/>
          <w:highlight w:val="none"/>
          <w:u w:val="none"/>
        </w:rPr>
      </w:pPr>
      <w:bookmarkStart w:id="12" w:name="_Toc148374857"/>
      <w:bookmarkStart w:id="13" w:name="_Toc148374415"/>
      <w:bookmarkStart w:id="14" w:name="_Toc148374761"/>
      <w:bookmarkStart w:id="15" w:name="_Toc19186"/>
      <w:r>
        <w:rPr>
          <w:rFonts w:hint="eastAsia"/>
          <w:color w:val="auto"/>
          <w:highlight w:val="none"/>
          <w:u w:val="none"/>
        </w:rPr>
        <w:t>环境影响评价工作过程</w:t>
      </w:r>
      <w:bookmarkEnd w:id="12"/>
      <w:bookmarkEnd w:id="13"/>
      <w:bookmarkEnd w:id="14"/>
      <w:bookmarkEnd w:id="15"/>
    </w:p>
    <w:p w14:paraId="503CF020">
      <w:pPr>
        <w:pStyle w:val="82"/>
        <w:rPr>
          <w:rFonts w:hint="eastAsia"/>
          <w:color w:val="auto"/>
          <w:highlight w:val="none"/>
          <w:u w:val="none"/>
        </w:rPr>
      </w:pPr>
      <w:r>
        <w:rPr>
          <w:rFonts w:hint="eastAsia"/>
          <w:color w:val="auto"/>
          <w:highlight w:val="none"/>
          <w:u w:val="none"/>
        </w:rPr>
        <w:t>（1）准备阶段</w:t>
      </w:r>
    </w:p>
    <w:p w14:paraId="4CD4E7F9">
      <w:pPr>
        <w:pStyle w:val="82"/>
        <w:rPr>
          <w:rFonts w:hint="eastAsia"/>
          <w:color w:val="auto"/>
          <w:highlight w:val="none"/>
          <w:u w:val="none"/>
        </w:rPr>
      </w:pPr>
      <w:r>
        <w:rPr>
          <w:rFonts w:hint="eastAsia"/>
          <w:color w:val="auto"/>
          <w:highlight w:val="none"/>
          <w:u w:val="none"/>
        </w:rPr>
        <w:t>20</w:t>
      </w:r>
      <w:r>
        <w:rPr>
          <w:color w:val="auto"/>
          <w:highlight w:val="none"/>
          <w:u w:val="none"/>
        </w:rPr>
        <w:t>2</w:t>
      </w:r>
      <w:r>
        <w:rPr>
          <w:rFonts w:hint="eastAsia"/>
          <w:color w:val="auto"/>
          <w:highlight w:val="none"/>
          <w:u w:val="none"/>
          <w:lang w:val="en-US"/>
        </w:rPr>
        <w:t>4</w:t>
      </w:r>
      <w:r>
        <w:rPr>
          <w:rFonts w:hint="eastAsia"/>
          <w:color w:val="auto"/>
          <w:highlight w:val="none"/>
          <w:u w:val="none"/>
        </w:rPr>
        <w:t>年</w:t>
      </w:r>
      <w:r>
        <w:rPr>
          <w:rFonts w:hint="eastAsia"/>
          <w:color w:val="auto"/>
          <w:highlight w:val="none"/>
          <w:u w:val="none"/>
          <w:lang w:val="en-US"/>
        </w:rPr>
        <w:t>4</w:t>
      </w:r>
      <w:r>
        <w:rPr>
          <w:rFonts w:hint="eastAsia"/>
          <w:color w:val="auto"/>
          <w:highlight w:val="none"/>
          <w:u w:val="none"/>
        </w:rPr>
        <w:t>月</w:t>
      </w:r>
      <w:r>
        <w:rPr>
          <w:rFonts w:hint="eastAsia"/>
          <w:color w:val="auto"/>
          <w:highlight w:val="none"/>
          <w:u w:val="none"/>
          <w:lang w:val="en-US"/>
        </w:rPr>
        <w:t>18</w:t>
      </w:r>
      <w:r>
        <w:rPr>
          <w:rFonts w:hint="eastAsia"/>
          <w:color w:val="auto"/>
          <w:highlight w:val="none"/>
          <w:u w:val="none"/>
        </w:rPr>
        <w:t>日万华化学（福建）有限公司（下文简称“万华福建公司”）委托福建省环境保护设计院有限公司编制万华化学（福建）有限公司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技改扩能</w:t>
      </w:r>
      <w:r>
        <w:rPr>
          <w:color w:val="auto"/>
          <w:highlight w:val="none"/>
          <w:u w:val="none"/>
        </w:rPr>
        <w:t>3</w:t>
      </w:r>
      <w:r>
        <w:rPr>
          <w:rFonts w:hint="eastAsia"/>
          <w:color w:val="auto"/>
          <w:highlight w:val="none"/>
          <w:u w:val="none"/>
          <w:lang w:val="en-US"/>
        </w:rPr>
        <w:t>6</w:t>
      </w:r>
      <w:r>
        <w:rPr>
          <w:color w:val="auto"/>
          <w:highlight w:val="none"/>
          <w:u w:val="none"/>
        </w:rPr>
        <w:t>万吨/年项目</w:t>
      </w:r>
      <w:r>
        <w:rPr>
          <w:rFonts w:hint="eastAsia"/>
          <w:color w:val="auto"/>
          <w:highlight w:val="none"/>
          <w:u w:val="none"/>
        </w:rPr>
        <w:t>环境影响报告书。在认真研究了项目可行性研究报告及相关文件后，项目组开展了现场踏勘、初步工程分析，建设单位开展了第一次公众参与工作。</w:t>
      </w:r>
    </w:p>
    <w:p w14:paraId="1ED407F6">
      <w:pPr>
        <w:pStyle w:val="82"/>
        <w:rPr>
          <w:rFonts w:hint="eastAsia"/>
          <w:color w:val="auto"/>
          <w:highlight w:val="none"/>
          <w:u w:val="none"/>
        </w:rPr>
      </w:pPr>
      <w:r>
        <w:rPr>
          <w:rFonts w:hint="eastAsia"/>
          <w:color w:val="auto"/>
          <w:highlight w:val="none"/>
          <w:u w:val="none"/>
        </w:rPr>
        <w:t>（2）分析论证和环境影响预测分析评价阶段</w:t>
      </w:r>
    </w:p>
    <w:p w14:paraId="47422D4D">
      <w:pPr>
        <w:pStyle w:val="82"/>
        <w:rPr>
          <w:rFonts w:hint="eastAsia"/>
          <w:color w:val="auto"/>
          <w:highlight w:val="none"/>
          <w:u w:val="none"/>
        </w:rPr>
      </w:pPr>
      <w:r>
        <w:rPr>
          <w:rFonts w:hint="eastAsia"/>
          <w:color w:val="auto"/>
          <w:highlight w:val="none"/>
          <w:u w:val="none"/>
        </w:rPr>
        <w:t>根据现场调查情况，结合项目组所收集到的相关文件、资料，在进行污染源分析的基础上，利用计算机模型、类比等手段，对工程施工和运行过程中各环境要素所产生的环境影响进行分析、预测和评价，论证环保设施的可行性。通过与建设单位及其他相关单位进行了多次的研究、沟通及交流，形成报告书的主要结论。</w:t>
      </w:r>
    </w:p>
    <w:p w14:paraId="50D0C102">
      <w:pPr>
        <w:pStyle w:val="82"/>
        <w:rPr>
          <w:rFonts w:hint="eastAsia"/>
          <w:color w:val="auto"/>
          <w:highlight w:val="none"/>
          <w:u w:val="none"/>
        </w:rPr>
      </w:pPr>
      <w:r>
        <w:rPr>
          <w:rFonts w:hint="eastAsia"/>
          <w:color w:val="auto"/>
          <w:highlight w:val="none"/>
          <w:u w:val="none"/>
        </w:rPr>
        <w:t>（3）编制完成环境影响报告书</w:t>
      </w:r>
    </w:p>
    <w:p w14:paraId="738941FD">
      <w:pPr>
        <w:pStyle w:val="82"/>
        <w:rPr>
          <w:rFonts w:hint="eastAsia"/>
          <w:color w:val="auto"/>
          <w:highlight w:val="none"/>
          <w:u w:val="none"/>
        </w:rPr>
      </w:pPr>
      <w:r>
        <w:rPr>
          <w:rFonts w:hint="eastAsia"/>
          <w:color w:val="auto"/>
          <w:highlight w:val="none"/>
          <w:u w:val="none"/>
        </w:rPr>
        <w:t>对各环境要素的预测成果进行整理，对报告书中的重点内容进行重点研究论证，形成环境影响报告书，建设单位据此开展了第二次公众参与工作，编制完成《万华化学（福建）有限公司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w:t>
      </w:r>
      <w:r>
        <w:rPr>
          <w:rFonts w:hint="eastAsia"/>
          <w:color w:val="auto"/>
          <w:highlight w:val="none"/>
          <w:u w:val="none"/>
        </w:rPr>
        <w:t>环境影响报告书（送审本）》。</w:t>
      </w:r>
    </w:p>
    <w:p w14:paraId="73B58610">
      <w:pPr>
        <w:pStyle w:val="82"/>
        <w:rPr>
          <w:rFonts w:hint="eastAsia"/>
          <w:color w:val="auto"/>
          <w:highlight w:val="none"/>
          <w:u w:val="none"/>
        </w:rPr>
      </w:pPr>
      <w:r>
        <w:rPr>
          <w:rFonts w:hint="eastAsia"/>
          <w:color w:val="auto"/>
          <w:highlight w:val="none"/>
          <w:u w:val="none"/>
        </w:rPr>
        <w:t>项目环评工作共分三个阶段，包括前期准备、调研和工作方案，分析论证和预测评价，环评文件编制三个阶段。评价的技术工作程序见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_Ref46502172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图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color w:val="auto"/>
          <w:highlight w:val="none"/>
          <w:u w:val="none"/>
        </w:rPr>
        <w:t>1.2</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15E4F718">
      <w:pPr>
        <w:ind w:firstLine="0" w:firstLineChars="0"/>
        <w:jc w:val="center"/>
        <w:rPr>
          <w:rFonts w:hint="eastAsia"/>
          <w:b/>
          <w:color w:val="auto"/>
          <w:highlight w:val="none"/>
          <w:u w:val="none"/>
        </w:rPr>
      </w:pPr>
      <w:r>
        <w:rPr>
          <w:color w:val="auto"/>
          <w:highlight w:val="none"/>
          <w:u w:val="none"/>
        </w:rPr>
        <w:drawing>
          <wp:inline distT="0" distB="0" distL="0" distR="0">
            <wp:extent cx="5305425" cy="5038725"/>
            <wp:effectExtent l="0" t="0" r="0" b="0"/>
            <wp:docPr id="2" name="图片 1" descr="S}(PSW4@SHIW8]}WS}5~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S}(PSW4@SHIW8]}WS}5~7~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05425" cy="5038725"/>
                    </a:xfrm>
                    <a:prstGeom prst="rect">
                      <a:avLst/>
                    </a:prstGeom>
                    <a:noFill/>
                    <a:ln>
                      <a:noFill/>
                    </a:ln>
                    <a:effectLst/>
                  </pic:spPr>
                </pic:pic>
              </a:graphicData>
            </a:graphic>
          </wp:inline>
        </w:drawing>
      </w:r>
    </w:p>
    <w:p w14:paraId="0BE82120">
      <w:pPr>
        <w:pStyle w:val="85"/>
        <w:rPr>
          <w:color w:val="auto"/>
          <w:highlight w:val="none"/>
          <w:u w:val="none"/>
        </w:rPr>
      </w:pPr>
      <w:bookmarkStart w:id="16" w:name="_Ref46502172"/>
      <w:r>
        <w:rPr>
          <w:rFonts w:hint="eastAsia"/>
          <w:color w:val="auto"/>
          <w:highlight w:val="none"/>
          <w:u w:val="none"/>
        </w:rPr>
        <w:t xml:space="preserve">图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图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16"/>
      <w:r>
        <w:rPr>
          <w:color w:val="auto"/>
          <w:highlight w:val="none"/>
          <w:u w:val="none"/>
        </w:rPr>
        <w:t xml:space="preserve">  </w:t>
      </w:r>
      <w:r>
        <w:rPr>
          <w:rFonts w:hint="eastAsia"/>
          <w:color w:val="auto"/>
          <w:highlight w:val="none"/>
          <w:u w:val="none"/>
        </w:rPr>
        <w:t>技术工作程序图</w:t>
      </w:r>
    </w:p>
    <w:p w14:paraId="634B6E16">
      <w:pPr>
        <w:pStyle w:val="4"/>
        <w:jc w:val="both"/>
        <w:rPr>
          <w:color w:val="auto"/>
          <w:highlight w:val="none"/>
          <w:u w:val="none"/>
        </w:rPr>
      </w:pPr>
      <w:bookmarkStart w:id="17" w:name="_Toc148374416"/>
      <w:bookmarkStart w:id="18" w:name="_Toc109211043"/>
      <w:bookmarkStart w:id="19" w:name="_Toc148374762"/>
      <w:bookmarkStart w:id="20" w:name="_Toc148374858"/>
      <w:bookmarkStart w:id="21" w:name="_Toc959"/>
      <w:r>
        <w:rPr>
          <w:rFonts w:hint="eastAsia"/>
          <w:color w:val="auto"/>
          <w:highlight w:val="none"/>
          <w:u w:val="none"/>
        </w:rPr>
        <w:t>分析判定相关情况</w:t>
      </w:r>
      <w:bookmarkEnd w:id="17"/>
      <w:bookmarkEnd w:id="18"/>
      <w:bookmarkEnd w:id="19"/>
      <w:bookmarkEnd w:id="20"/>
      <w:bookmarkEnd w:id="21"/>
    </w:p>
    <w:p w14:paraId="5FCB3B4D">
      <w:pPr>
        <w:pStyle w:val="6"/>
        <w:spacing w:before="156" w:after="156"/>
        <w:rPr>
          <w:color w:val="auto"/>
          <w:highlight w:val="none"/>
          <w:u w:val="none"/>
        </w:rPr>
      </w:pPr>
      <w:bookmarkStart w:id="22" w:name="_Toc148374859"/>
      <w:bookmarkStart w:id="23" w:name="_Toc148374417"/>
      <w:r>
        <w:rPr>
          <w:rFonts w:hint="eastAsia"/>
          <w:color w:val="auto"/>
          <w:highlight w:val="none"/>
          <w:u w:val="none"/>
        </w:rPr>
        <w:t>产业政策符合性</w:t>
      </w:r>
      <w:bookmarkEnd w:id="22"/>
      <w:bookmarkEnd w:id="23"/>
    </w:p>
    <w:p w14:paraId="12AED5BD">
      <w:pPr>
        <w:rPr>
          <w:rFonts w:hint="eastAsia"/>
          <w:color w:val="auto"/>
          <w:highlight w:val="none"/>
          <w:u w:val="none"/>
        </w:rPr>
      </w:pPr>
      <w:r>
        <w:rPr>
          <w:rFonts w:hint="eastAsia"/>
          <w:color w:val="auto"/>
          <w:highlight w:val="none"/>
          <w:u w:val="none"/>
        </w:rPr>
        <w:t>本项目为有机化学原料制造项目，根据《产业结构调整指导目录（</w:t>
      </w:r>
      <w:r>
        <w:rPr>
          <w:color w:val="auto"/>
          <w:highlight w:val="none"/>
          <w:u w:val="none"/>
        </w:rPr>
        <w:t>20</w:t>
      </w:r>
      <w:r>
        <w:rPr>
          <w:rFonts w:hint="eastAsia"/>
          <w:color w:val="auto"/>
          <w:highlight w:val="none"/>
          <w:u w:val="none"/>
          <w:lang w:val="en-US"/>
        </w:rPr>
        <w:t>24</w:t>
      </w:r>
      <w:r>
        <w:rPr>
          <w:color w:val="auto"/>
          <w:highlight w:val="none"/>
          <w:u w:val="none"/>
        </w:rPr>
        <w:t>年本）》，本项目不属于该目录的限制类和淘汰类，项目建设符合国家产业政策。</w:t>
      </w:r>
    </w:p>
    <w:p w14:paraId="584A6231">
      <w:pPr>
        <w:pStyle w:val="6"/>
        <w:spacing w:before="156" w:after="156"/>
        <w:rPr>
          <w:color w:val="auto"/>
          <w:highlight w:val="none"/>
          <w:u w:val="none"/>
        </w:rPr>
      </w:pPr>
      <w:bookmarkStart w:id="24" w:name="_Toc148374860"/>
      <w:bookmarkStart w:id="25" w:name="_Toc148374418"/>
      <w:r>
        <w:rPr>
          <w:color w:val="auto"/>
          <w:highlight w:val="none"/>
          <w:u w:val="none"/>
        </w:rPr>
        <w:t>选址、规划符合性分析</w:t>
      </w:r>
      <w:bookmarkEnd w:id="24"/>
      <w:bookmarkEnd w:id="25"/>
    </w:p>
    <w:p w14:paraId="57B80744">
      <w:pPr>
        <w:rPr>
          <w:rFonts w:hint="eastAsia"/>
          <w:color w:val="auto"/>
          <w:highlight w:val="none"/>
          <w:u w:val="none"/>
        </w:rPr>
      </w:pPr>
      <w:r>
        <w:rPr>
          <w:rFonts w:hint="eastAsia"/>
          <w:color w:val="auto"/>
          <w:highlight w:val="none"/>
          <w:u w:val="none"/>
        </w:rPr>
        <w:t>根据《福清市国土空间总体规划（2021-2035年）》，</w:t>
      </w:r>
      <w:r>
        <w:rPr>
          <w:color w:val="auto"/>
          <w:highlight w:val="none"/>
          <w:u w:val="none"/>
        </w:rPr>
        <w:t>围绕福建</w:t>
      </w:r>
      <w:r>
        <w:rPr>
          <w:b/>
          <w:bCs/>
          <w:color w:val="auto"/>
          <w:highlight w:val="none"/>
          <w:u w:val="none"/>
        </w:rPr>
        <w:t>福清江阴经济开发区</w:t>
      </w:r>
      <w:r>
        <w:rPr>
          <w:color w:val="auto"/>
          <w:highlight w:val="none"/>
          <w:u w:val="none"/>
        </w:rPr>
        <w:t>和福州保税港区，发展乙烯、丙烯、</w:t>
      </w:r>
      <w:r>
        <w:rPr>
          <w:b/>
          <w:bCs/>
          <w:color w:val="auto"/>
          <w:highlight w:val="none"/>
          <w:u w:val="none"/>
        </w:rPr>
        <w:t>聚氨酯</w:t>
      </w:r>
      <w:r>
        <w:rPr>
          <w:color w:val="auto"/>
          <w:highlight w:val="none"/>
          <w:u w:val="none"/>
        </w:rPr>
        <w:t>、高端弹性体</w:t>
      </w:r>
      <w:r>
        <w:rPr>
          <w:b/>
          <w:bCs/>
          <w:color w:val="auto"/>
          <w:highlight w:val="none"/>
          <w:u w:val="none"/>
        </w:rPr>
        <w:t>等化工新材料</w:t>
      </w:r>
      <w:r>
        <w:rPr>
          <w:color w:val="auto"/>
          <w:highlight w:val="none"/>
          <w:u w:val="none"/>
        </w:rPr>
        <w:t>。</w:t>
      </w:r>
      <w:r>
        <w:rPr>
          <w:rFonts w:hint="eastAsia"/>
          <w:color w:val="auto"/>
          <w:highlight w:val="none"/>
          <w:u w:val="none"/>
        </w:rPr>
        <w:t>本项目位于江阴港城经济区的西部临港产业区，主要产品为甲苯二异氰酸酯，为聚氨酯产业链中的产品，符合《福清市国土空间总体规划（2021-2035年）</w:t>
      </w:r>
      <w:r>
        <w:rPr>
          <w:color w:val="auto"/>
          <w:highlight w:val="none"/>
          <w:u w:val="none"/>
        </w:rPr>
        <w:t>》</w:t>
      </w:r>
      <w:r>
        <w:rPr>
          <w:rFonts w:hint="eastAsia"/>
          <w:color w:val="auto"/>
          <w:highlight w:val="none"/>
          <w:u w:val="none"/>
        </w:rPr>
        <w:t>。</w:t>
      </w:r>
    </w:p>
    <w:p w14:paraId="4A5A1192">
      <w:pPr>
        <w:rPr>
          <w:rFonts w:hint="eastAsia"/>
          <w:color w:val="auto"/>
          <w:szCs w:val="32"/>
          <w:highlight w:val="none"/>
          <w:u w:val="none"/>
        </w:rPr>
      </w:pPr>
      <w:r>
        <w:rPr>
          <w:rFonts w:hint="eastAsia"/>
          <w:color w:val="auto"/>
          <w:highlight w:val="none"/>
          <w:u w:val="none"/>
        </w:rPr>
        <w:t>根据《福州江阴港城总体规划（2018-2035年）》，本项目位于西部临港产业区，规划的产业主要为</w:t>
      </w:r>
      <w:bookmarkStart w:id="26" w:name="_Hlk151576758"/>
      <w:r>
        <w:rPr>
          <w:rFonts w:hint="eastAsia"/>
          <w:color w:val="auto"/>
          <w:highlight w:val="none"/>
          <w:u w:val="none"/>
        </w:rPr>
        <w:t>化学基础原料及化学品制造业</w:t>
      </w:r>
      <w:bookmarkEnd w:id="26"/>
      <w:r>
        <w:rPr>
          <w:rFonts w:hint="eastAsia"/>
          <w:color w:val="auto"/>
          <w:highlight w:val="none"/>
          <w:u w:val="none"/>
        </w:rPr>
        <w:t>、医药化工、建材、轻工，以医药、盐化工、煤化工及石油化工为龙头，本项目属于“化学基础原料及化学品制造业”中的有机化学原料制造项目</w:t>
      </w:r>
      <w:r>
        <w:rPr>
          <w:rFonts w:hint="eastAsia"/>
          <w:color w:val="auto"/>
          <w:szCs w:val="32"/>
          <w:highlight w:val="none"/>
          <w:u w:val="none"/>
        </w:rPr>
        <w:t>。</w:t>
      </w:r>
    </w:p>
    <w:p w14:paraId="7C60E9E6">
      <w:pPr>
        <w:rPr>
          <w:rFonts w:hint="eastAsia"/>
          <w:color w:val="auto"/>
          <w:szCs w:val="32"/>
          <w:highlight w:val="none"/>
          <w:u w:val="none"/>
        </w:rPr>
      </w:pPr>
      <w:r>
        <w:rPr>
          <w:rFonts w:hint="eastAsia"/>
          <w:color w:val="auto"/>
          <w:szCs w:val="32"/>
          <w:highlight w:val="none"/>
          <w:u w:val="none"/>
        </w:rPr>
        <w:t>根据《福州江阴港城经济区化工新材料专区总体规划（2023-2035）》，福州江阴港城经济区化工新材料专区重点发展五大产业板块：</w:t>
      </w:r>
      <w:r>
        <w:rPr>
          <w:rFonts w:hint="eastAsia"/>
          <w:b/>
          <w:bCs/>
          <w:color w:val="auto"/>
          <w:szCs w:val="32"/>
          <w:highlight w:val="none"/>
          <w:u w:val="none"/>
        </w:rPr>
        <w:t>做优做强高端聚氨酯板块</w:t>
      </w:r>
      <w:r>
        <w:rPr>
          <w:rFonts w:hint="eastAsia"/>
          <w:color w:val="auto"/>
          <w:szCs w:val="32"/>
          <w:highlight w:val="none"/>
          <w:u w:val="none"/>
        </w:rPr>
        <w:t>、</w:t>
      </w:r>
      <w:r>
        <w:rPr>
          <w:rFonts w:hint="eastAsia"/>
          <w:color w:val="auto"/>
          <w:highlight w:val="none"/>
          <w:u w:val="none"/>
        </w:rPr>
        <w:t>延伸升级尼龙新材料板块、有序推进氯循环发展板块、科学构建轻烃深加工板块、培育发展锂电新材料板块。本项目位于江阴港城经济区化工新材料专区规划的西区范围内，属于异氰酸酯产业链，布局在高端聚氨酯板块内，符合《福州江阴港城经济区化工新材料专区总体规划（2023-2035）》。</w:t>
      </w:r>
    </w:p>
    <w:p w14:paraId="2CFA10EB">
      <w:pPr>
        <w:rPr>
          <w:rFonts w:hint="eastAsia"/>
          <w:color w:val="auto"/>
          <w:szCs w:val="32"/>
          <w:highlight w:val="none"/>
          <w:u w:val="none"/>
        </w:rPr>
      </w:pPr>
      <w:r>
        <w:rPr>
          <w:rFonts w:hint="eastAsia"/>
          <w:color w:val="auto"/>
          <w:szCs w:val="32"/>
          <w:highlight w:val="none"/>
          <w:u w:val="none"/>
        </w:rPr>
        <w:t>根据《福州江阴港城经济区化工产业发展规划》，福州江阴港城经济区的产业发展主要分为化工产业和非化工产业两大部分。化工产业重点发展高端聚氨酯、尼龙新材料、氯循环发展、轻烃深加工、锂电新材料五大板块。非化工产业重点实现三方面功能，一是实现对化工产业的延伸，充分利用化工产业基础，将化工产业链深入延伸，发展一体化的高端产业结构。</w:t>
      </w:r>
      <w:r>
        <w:rPr>
          <w:rFonts w:hint="eastAsia"/>
          <w:color w:val="auto"/>
          <w:highlight w:val="none"/>
          <w:u w:val="none"/>
        </w:rPr>
        <w:t>本项目位于江阴港城经济区化工新材料专区规划的西区范围内，属于异氰酸酯产业链，布局在高端聚氨酯板块内，符合</w:t>
      </w:r>
      <w:r>
        <w:rPr>
          <w:rFonts w:hint="eastAsia"/>
          <w:color w:val="auto"/>
          <w:szCs w:val="32"/>
          <w:highlight w:val="none"/>
          <w:u w:val="none"/>
        </w:rPr>
        <w:t>《福州江阴港城经济区化工产业发展规划》。</w:t>
      </w:r>
    </w:p>
    <w:p w14:paraId="1067E4A9">
      <w:pPr>
        <w:rPr>
          <w:rFonts w:hint="eastAsia"/>
          <w:color w:val="auto"/>
          <w:highlight w:val="none"/>
          <w:u w:val="none"/>
        </w:rPr>
      </w:pPr>
      <w:r>
        <w:rPr>
          <w:rFonts w:hint="eastAsia"/>
          <w:color w:val="auto"/>
          <w:szCs w:val="32"/>
          <w:highlight w:val="none"/>
          <w:u w:val="none"/>
        </w:rPr>
        <w:t>因此，</w:t>
      </w:r>
      <w:r>
        <w:rPr>
          <w:rFonts w:hint="eastAsia"/>
          <w:color w:val="auto"/>
          <w:highlight w:val="none"/>
          <w:u w:val="none"/>
        </w:rPr>
        <w:t>本项目建设符合《</w:t>
      </w:r>
      <w:r>
        <w:rPr>
          <w:rFonts w:hint="eastAsia"/>
          <w:b/>
          <w:bCs/>
          <w:color w:val="auto"/>
          <w:highlight w:val="none"/>
          <w:u w:val="none"/>
        </w:rPr>
        <w:t>福清市国土空间总体规划（2021-2035年）</w:t>
      </w:r>
      <w:r>
        <w:rPr>
          <w:color w:val="auto"/>
          <w:highlight w:val="none"/>
          <w:u w:val="none"/>
        </w:rPr>
        <w:t>》</w:t>
      </w:r>
      <w:r>
        <w:rPr>
          <w:rFonts w:hint="eastAsia"/>
          <w:color w:val="auto"/>
          <w:highlight w:val="none"/>
          <w:u w:val="none"/>
        </w:rPr>
        <w:t>、《福州江阴港城总体规划（2018-2035年）》、</w:t>
      </w:r>
      <w:r>
        <w:rPr>
          <w:rFonts w:hint="eastAsia"/>
          <w:color w:val="auto"/>
          <w:szCs w:val="32"/>
          <w:highlight w:val="none"/>
          <w:u w:val="none"/>
        </w:rPr>
        <w:t>《福州江阴港城经济区化工新材料专区总体规划（2023-2035）》及《福州江阴港城经济区产业发展规划》</w:t>
      </w:r>
      <w:r>
        <w:rPr>
          <w:rFonts w:hint="eastAsia"/>
          <w:color w:val="auto"/>
          <w:highlight w:val="none"/>
          <w:u w:val="none"/>
        </w:rPr>
        <w:t>。</w:t>
      </w:r>
    </w:p>
    <w:p w14:paraId="7CBBE056">
      <w:pPr>
        <w:pStyle w:val="6"/>
        <w:spacing w:before="156" w:after="156"/>
        <w:rPr>
          <w:color w:val="auto"/>
          <w:highlight w:val="none"/>
          <w:u w:val="none"/>
        </w:rPr>
      </w:pPr>
      <w:bookmarkStart w:id="27" w:name="_Toc148374419"/>
      <w:bookmarkStart w:id="28" w:name="_Toc148374861"/>
      <w:r>
        <w:rPr>
          <w:rFonts w:hint="eastAsia"/>
          <w:color w:val="auto"/>
          <w:highlight w:val="none"/>
          <w:u w:val="none"/>
          <w:lang w:val="en-US"/>
        </w:rPr>
        <w:t>与</w:t>
      </w:r>
      <w:r>
        <w:rPr>
          <w:rFonts w:hint="eastAsia"/>
          <w:color w:val="auto"/>
          <w:highlight w:val="none"/>
          <w:u w:val="none"/>
        </w:rPr>
        <w:t>福州市生态环境分区管控要求符合性分析</w:t>
      </w:r>
      <w:bookmarkEnd w:id="27"/>
      <w:bookmarkEnd w:id="28"/>
    </w:p>
    <w:p w14:paraId="4E9A453E">
      <w:pPr>
        <w:pStyle w:val="981"/>
        <w:rPr>
          <w:rFonts w:hint="eastAsia"/>
          <w:color w:val="auto"/>
          <w:highlight w:val="none"/>
          <w:u w:val="none"/>
        </w:rPr>
      </w:pPr>
      <w:r>
        <w:rPr>
          <w:rFonts w:hint="eastAsia"/>
          <w:color w:val="auto"/>
          <w:highlight w:val="none"/>
          <w:u w:val="none"/>
        </w:rPr>
        <w:t>根据《福州市人民政府办公厅关于印发&lt;福州市生态环境分区管控方案（2023年更新）&gt;的通知》（榕政办规〔2024〕20号），本项目与福州市生态环境分区管控要求协调性分析如下：</w:t>
      </w:r>
    </w:p>
    <w:p w14:paraId="0F5F3B0F">
      <w:pPr>
        <w:pStyle w:val="981"/>
        <w:rPr>
          <w:rFonts w:hint="eastAsia"/>
          <w:color w:val="auto"/>
          <w:highlight w:val="none"/>
          <w:u w:val="none"/>
        </w:rPr>
      </w:pPr>
      <w:r>
        <w:rPr>
          <w:rFonts w:hint="eastAsia"/>
          <w:color w:val="auto"/>
          <w:highlight w:val="none"/>
          <w:u w:val="none"/>
        </w:rPr>
        <w:t>（1）生态保护红线</w:t>
      </w:r>
    </w:p>
    <w:p w14:paraId="536978A1">
      <w:pPr>
        <w:pStyle w:val="981"/>
        <w:rPr>
          <w:rFonts w:hint="eastAsia"/>
          <w:color w:val="auto"/>
          <w:highlight w:val="none"/>
          <w:u w:val="none"/>
        </w:rPr>
      </w:pPr>
      <w:r>
        <w:rPr>
          <w:rFonts w:hint="eastAsia"/>
          <w:color w:val="auto"/>
          <w:highlight w:val="none"/>
          <w:u w:val="none"/>
        </w:rPr>
        <w:t>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w:t>
      </w:r>
      <w:r>
        <w:rPr>
          <w:rFonts w:hint="eastAsia"/>
          <w:color w:val="auto"/>
          <w:highlight w:val="none"/>
          <w:u w:val="none"/>
        </w:rPr>
        <w:t>位于福州江阴港城经济区，在江阴港城经济区西部工业片区万华化学福建有限公司现有厂界范围内</w:t>
      </w:r>
      <w:r>
        <w:rPr>
          <w:rFonts w:hint="eastAsia" w:hAnsi="Times New Roman"/>
          <w:bCs/>
          <w:snapToGrid w:val="0"/>
          <w:color w:val="auto"/>
          <w:szCs w:val="21"/>
          <w:highlight w:val="none"/>
          <w:u w:val="none"/>
        </w:rPr>
        <w:t>，经查询“福建省生态环境分区管控数据应用平台”，本项目涉及1个重点管控单位（福清市重点管控单元2，ZH35018120009），根据查询结果，</w:t>
      </w:r>
      <w:r>
        <w:rPr>
          <w:rFonts w:hint="eastAsia"/>
          <w:color w:val="auto"/>
          <w:highlight w:val="none"/>
          <w:u w:val="none"/>
        </w:rPr>
        <w:t>本项目占地红线范围内不涉及生态红线，符合生态保护红线要求。</w:t>
      </w:r>
    </w:p>
    <w:p w14:paraId="10458B96">
      <w:pPr>
        <w:pStyle w:val="981"/>
        <w:rPr>
          <w:rFonts w:hint="eastAsia"/>
          <w:color w:val="auto"/>
          <w:highlight w:val="none"/>
          <w:u w:val="none"/>
        </w:rPr>
      </w:pPr>
      <w:r>
        <w:rPr>
          <w:rFonts w:hint="eastAsia"/>
          <w:color w:val="auto"/>
          <w:highlight w:val="none"/>
          <w:u w:val="none"/>
        </w:rPr>
        <w:t>（2）环境质量底线及分区管控要求</w:t>
      </w:r>
    </w:p>
    <w:p w14:paraId="5708BDD3">
      <w:pPr>
        <w:pStyle w:val="82"/>
        <w:rPr>
          <w:rFonts w:hint="eastAsia"/>
          <w:color w:val="auto"/>
          <w:highlight w:val="none"/>
          <w:u w:val="none"/>
        </w:rPr>
      </w:pPr>
      <w:r>
        <w:rPr>
          <w:rFonts w:hint="eastAsia"/>
          <w:color w:val="auto"/>
          <w:highlight w:val="none"/>
          <w:u w:val="none"/>
        </w:rPr>
        <w:t>本项目为有机化学原料制造项目，位于江阴港城经济区西部临港产业区，为江阴化工新材料专区，属于环保基础设施齐全并经规划环评的专业园区，项目建成后将进行清洁生产审核，深入实施工业企业全面达标计划，建立</w:t>
      </w:r>
      <w:r>
        <w:rPr>
          <w:color w:val="auto"/>
          <w:highlight w:val="none"/>
          <w:u w:val="none"/>
        </w:rPr>
        <w:t>“泄漏检测与修复”管理制度</w:t>
      </w:r>
      <w:r>
        <w:rPr>
          <w:rFonts w:hint="eastAsia"/>
          <w:color w:val="auto"/>
          <w:highlight w:val="none"/>
          <w:u w:val="none"/>
        </w:rPr>
        <w:t>，建立健全环境风险防控体系，并由江阴港城经济区集中供热，</w:t>
      </w:r>
      <w:r>
        <w:rPr>
          <w:color w:val="auto"/>
          <w:highlight w:val="none"/>
          <w:u w:val="none"/>
        </w:rPr>
        <w:t>实施大气污染物排放总量替代，VOCs倍量替代</w:t>
      </w:r>
      <w:r>
        <w:rPr>
          <w:rFonts w:hint="eastAsia"/>
          <w:color w:val="auto"/>
          <w:highlight w:val="none"/>
          <w:u w:val="none"/>
        </w:rPr>
        <w:t>。本项目营运期排放的污染物在采取相应的环保措施后可实现达标排放，不会冲击环境质量底线，满足管控区的管控要求。同时对照“福清市生态环境准入清单”，本项目符合</w:t>
      </w:r>
      <w:r>
        <w:rPr>
          <w:rFonts w:hint="eastAsia" w:hAnsi="Times New Roman"/>
          <w:bCs/>
          <w:snapToGrid w:val="0"/>
          <w:color w:val="auto"/>
          <w:szCs w:val="21"/>
          <w:highlight w:val="none"/>
          <w:u w:val="none"/>
        </w:rPr>
        <w:t>福清市重点管控单元2（环境管控单元编码：ZH35018120009）</w:t>
      </w:r>
      <w:r>
        <w:rPr>
          <w:rFonts w:hint="eastAsia"/>
          <w:color w:val="auto"/>
          <w:highlight w:val="none"/>
          <w:u w:val="none"/>
        </w:rPr>
        <w:t>的管控要求。</w:t>
      </w:r>
    </w:p>
    <w:p w14:paraId="05673AAC">
      <w:pPr>
        <w:pStyle w:val="981"/>
        <w:rPr>
          <w:rFonts w:hint="eastAsia"/>
          <w:color w:val="auto"/>
          <w:highlight w:val="none"/>
          <w:u w:val="none"/>
        </w:rPr>
      </w:pPr>
      <w:r>
        <w:rPr>
          <w:rFonts w:hint="eastAsia"/>
          <w:color w:val="auto"/>
          <w:highlight w:val="none"/>
          <w:u w:val="none"/>
        </w:rPr>
        <w:t>（3）资源利用上限</w:t>
      </w:r>
    </w:p>
    <w:p w14:paraId="644284FD">
      <w:pPr>
        <w:pStyle w:val="981"/>
        <w:rPr>
          <w:rFonts w:hint="eastAsia"/>
          <w:color w:val="auto"/>
          <w:highlight w:val="none"/>
          <w:u w:val="none"/>
        </w:rPr>
      </w:pPr>
      <w:r>
        <w:rPr>
          <w:rFonts w:hint="eastAsia"/>
          <w:color w:val="auto"/>
          <w:highlight w:val="none"/>
          <w:u w:val="none"/>
          <w:lang w:val="en-US"/>
        </w:rPr>
        <w:t>本项目位于福州江阴港城经济区，园区内供水、供电等设施完善。本项目建成运营后，会消耗一定的水、电资源等，项目资源消耗量相对区域资源利用总量较少，对项目区域资源供给能力影响较小。项目运营后的资源利用不会突破区域的资源利用上线</w:t>
      </w:r>
      <w:r>
        <w:rPr>
          <w:rFonts w:hint="eastAsia"/>
          <w:color w:val="auto"/>
          <w:highlight w:val="none"/>
          <w:u w:val="none"/>
        </w:rPr>
        <w:t>。</w:t>
      </w:r>
    </w:p>
    <w:p w14:paraId="66F4DA10">
      <w:pPr>
        <w:pStyle w:val="981"/>
        <w:rPr>
          <w:rFonts w:hint="eastAsia"/>
          <w:color w:val="auto"/>
          <w:highlight w:val="none"/>
          <w:u w:val="none"/>
        </w:rPr>
      </w:pPr>
      <w:r>
        <w:rPr>
          <w:rFonts w:hint="eastAsia"/>
          <w:color w:val="auto"/>
          <w:highlight w:val="none"/>
          <w:u w:val="none"/>
        </w:rPr>
        <w:t>（4）生态环境准入清单</w:t>
      </w:r>
    </w:p>
    <w:p w14:paraId="5A5E9730">
      <w:pPr>
        <w:pStyle w:val="981"/>
        <w:rPr>
          <w:rFonts w:hint="eastAsia"/>
          <w:color w:val="auto"/>
          <w:highlight w:val="none"/>
          <w:u w:val="none"/>
        </w:rPr>
      </w:pPr>
      <w:r>
        <w:rPr>
          <w:rFonts w:hint="eastAsia"/>
          <w:color w:val="auto"/>
          <w:highlight w:val="none"/>
          <w:u w:val="none"/>
        </w:rPr>
        <w:t>根据《福州市人民政府办公厅关于印发&lt;福州市生态环境分区管控方案（2023年更新）&gt;的通知》（榕政办规〔2024〕20号）</w:t>
      </w:r>
      <w:r>
        <w:rPr>
          <w:color w:val="auto"/>
          <w:highlight w:val="none"/>
          <w:u w:val="none"/>
        </w:rPr>
        <w:t>，</w:t>
      </w:r>
      <w:r>
        <w:rPr>
          <w:rFonts w:hint="eastAsia"/>
          <w:color w:val="auto"/>
          <w:highlight w:val="none"/>
          <w:u w:val="none"/>
        </w:rPr>
        <w:t>本项目符合福州市</w:t>
      </w:r>
      <w:r>
        <w:rPr>
          <w:color w:val="auto"/>
          <w:highlight w:val="none"/>
          <w:u w:val="none"/>
        </w:rPr>
        <w:t>生态环境总体准入要求</w:t>
      </w:r>
      <w:r>
        <w:rPr>
          <w:rFonts w:hint="eastAsia"/>
          <w:color w:val="auto"/>
          <w:highlight w:val="none"/>
          <w:u w:val="none"/>
        </w:rPr>
        <w:t>。符合福清市生态环境准入清单要求。</w:t>
      </w:r>
    </w:p>
    <w:p w14:paraId="79DB048B">
      <w:pPr>
        <w:pStyle w:val="981"/>
        <w:rPr>
          <w:rFonts w:hint="eastAsia"/>
          <w:color w:val="auto"/>
          <w:highlight w:val="none"/>
          <w:u w:val="none"/>
        </w:rPr>
      </w:pPr>
      <w:r>
        <w:rPr>
          <w:rFonts w:hint="eastAsia"/>
          <w:color w:val="auto"/>
          <w:highlight w:val="none"/>
          <w:u w:val="none"/>
        </w:rPr>
        <w:t>综上所述，本项目符合福州市生态环境分区管控要求。</w:t>
      </w:r>
    </w:p>
    <w:p w14:paraId="624A4F37">
      <w:pPr>
        <w:pStyle w:val="4"/>
        <w:jc w:val="both"/>
        <w:rPr>
          <w:color w:val="auto"/>
          <w:highlight w:val="none"/>
          <w:u w:val="none"/>
        </w:rPr>
      </w:pPr>
      <w:bookmarkStart w:id="29" w:name="_Toc148374763"/>
      <w:bookmarkStart w:id="30" w:name="_Toc148374862"/>
      <w:bookmarkStart w:id="31" w:name="_Toc148374420"/>
      <w:bookmarkStart w:id="32" w:name="_Toc17100"/>
      <w:bookmarkStart w:id="33" w:name="_Toc109211044"/>
      <w:r>
        <w:rPr>
          <w:color w:val="auto"/>
          <w:highlight w:val="none"/>
          <w:u w:val="none"/>
        </w:rPr>
        <w:t>关注的主要环境问题</w:t>
      </w:r>
      <w:bookmarkEnd w:id="29"/>
      <w:bookmarkEnd w:id="30"/>
      <w:bookmarkEnd w:id="31"/>
      <w:bookmarkEnd w:id="32"/>
      <w:bookmarkEnd w:id="33"/>
    </w:p>
    <w:p w14:paraId="57CDE199">
      <w:pPr>
        <w:rPr>
          <w:rFonts w:hint="eastAsia"/>
          <w:color w:val="auto"/>
          <w:highlight w:val="none"/>
          <w:u w:val="none"/>
        </w:rPr>
      </w:pPr>
      <w:r>
        <w:rPr>
          <w:rFonts w:hint="eastAsia"/>
          <w:color w:val="auto"/>
          <w:highlight w:val="none"/>
          <w:u w:val="none"/>
        </w:rPr>
        <w:t>根据项目建设特点及类比调查分析，本项目主要环境问题：</w:t>
      </w:r>
    </w:p>
    <w:p w14:paraId="105484A6">
      <w:pPr>
        <w:rPr>
          <w:rFonts w:hint="eastAsia"/>
          <w:color w:val="auto"/>
          <w:highlight w:val="none"/>
          <w:u w:val="none"/>
        </w:rPr>
      </w:pPr>
      <w:r>
        <w:rPr>
          <w:rFonts w:hint="eastAsia"/>
          <w:color w:val="auto"/>
          <w:highlight w:val="none"/>
          <w:u w:val="none"/>
        </w:rPr>
        <w:t>以生产废水、废气污染及其防治措施为重点，危险化学品泄漏、火灾爆炸引发伴生/次生污染等突发事故的环境污染风险也应重点关注，同时兼顾固废、土壤、地下水等的环境影响。</w:t>
      </w:r>
    </w:p>
    <w:p w14:paraId="15719485">
      <w:pPr>
        <w:pStyle w:val="4"/>
        <w:jc w:val="both"/>
        <w:rPr>
          <w:color w:val="auto"/>
          <w:highlight w:val="none"/>
          <w:u w:val="none"/>
        </w:rPr>
      </w:pPr>
      <w:bookmarkStart w:id="34" w:name="_Toc148374421"/>
      <w:bookmarkStart w:id="35" w:name="_Toc148374764"/>
      <w:bookmarkStart w:id="36" w:name="_Toc109211045"/>
      <w:bookmarkStart w:id="37" w:name="_Toc16504"/>
      <w:bookmarkStart w:id="38" w:name="_Toc148374863"/>
      <w:r>
        <w:rPr>
          <w:color w:val="auto"/>
          <w:highlight w:val="none"/>
          <w:u w:val="none"/>
        </w:rPr>
        <w:t>环境影响评价的主要结论</w:t>
      </w:r>
      <w:bookmarkEnd w:id="34"/>
      <w:bookmarkEnd w:id="35"/>
      <w:bookmarkEnd w:id="36"/>
      <w:bookmarkEnd w:id="37"/>
      <w:bookmarkEnd w:id="38"/>
    </w:p>
    <w:p w14:paraId="415B7F58">
      <w:pPr>
        <w:pStyle w:val="82"/>
        <w:rPr>
          <w:rFonts w:hint="eastAsia"/>
          <w:color w:val="auto"/>
          <w:highlight w:val="none"/>
          <w:u w:val="none"/>
        </w:rPr>
      </w:pPr>
      <w:r>
        <w:rPr>
          <w:rFonts w:hint="eastAsia"/>
          <w:color w:val="auto"/>
          <w:highlight w:val="none"/>
          <w:u w:val="none"/>
        </w:rPr>
        <w:t>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w:t>
      </w:r>
      <w:r>
        <w:rPr>
          <w:rFonts w:hint="eastAsia"/>
          <w:color w:val="auto"/>
          <w:highlight w:val="none"/>
          <w:u w:val="none"/>
        </w:rPr>
        <w:t>符合国家产业政策，符合行业及环境保护相关技术政策，项目选址可行。项目拟采用的污染防治措施经济合理，技术成熟可行，各污染物可实现达标排放，满足环境功能区划要求；项目潜在的环境风险属可接受水平；项目建设具有较好的环境效益和一定的经济效益，建设单位在加强环境管理，严格遵守环保“三同时”制度，确保环保投入，认真落实本报告书所提出的各项环保对策措施和风险防控措施的前提下，从环境影响角度分析，项目建设可行。</w:t>
      </w:r>
    </w:p>
    <w:p w14:paraId="69633DCD">
      <w:pPr>
        <w:ind w:firstLine="422"/>
        <w:rPr>
          <w:b/>
          <w:bCs/>
          <w:color w:val="auto"/>
          <w:sz w:val="21"/>
          <w:szCs w:val="21"/>
          <w:highlight w:val="none"/>
          <w:u w:val="none"/>
        </w:rPr>
      </w:pPr>
    </w:p>
    <w:p w14:paraId="244E8484">
      <w:pPr>
        <w:pStyle w:val="82"/>
        <w:rPr>
          <w:rFonts w:hint="eastAsia"/>
          <w:color w:val="auto"/>
          <w:highlight w:val="none"/>
          <w:u w:val="none"/>
        </w:rPr>
      </w:pPr>
    </w:p>
    <w:p w14:paraId="6E312251">
      <w:pPr>
        <w:rPr>
          <w:rFonts w:hint="eastAsia"/>
          <w:color w:val="auto"/>
          <w:highlight w:val="none"/>
          <w:u w:val="none"/>
        </w:rPr>
      </w:pPr>
    </w:p>
    <w:p w14:paraId="6DFE64F9">
      <w:pPr>
        <w:rPr>
          <w:rFonts w:hint="eastAsia"/>
          <w:color w:val="auto"/>
          <w:highlight w:val="none"/>
          <w:u w:val="none"/>
        </w:rPr>
        <w:sectPr>
          <w:headerReference r:id="rId11" w:type="default"/>
          <w:footerReference r:id="rId12" w:type="default"/>
          <w:pgSz w:w="11906" w:h="16838"/>
          <w:pgMar w:top="1440" w:right="1418" w:bottom="1440" w:left="1418" w:header="851" w:footer="992" w:gutter="0"/>
          <w:cols w:space="425" w:num="1"/>
          <w:docGrid w:type="lines" w:linePitch="312" w:charSpace="0"/>
        </w:sectPr>
      </w:pPr>
    </w:p>
    <w:p w14:paraId="5374A5DB">
      <w:pPr>
        <w:pStyle w:val="3"/>
        <w:rPr>
          <w:rFonts w:hint="eastAsia"/>
          <w:color w:val="auto"/>
          <w:highlight w:val="none"/>
          <w:u w:val="none"/>
        </w:rPr>
      </w:pPr>
      <w:bookmarkStart w:id="39" w:name="_Toc148374765"/>
      <w:bookmarkStart w:id="40" w:name="_Toc148374864"/>
      <w:bookmarkStart w:id="41" w:name="_Toc148374422"/>
      <w:bookmarkStart w:id="42" w:name="_Toc29034"/>
      <w:r>
        <w:rPr>
          <w:rFonts w:hint="eastAsia"/>
          <w:color w:val="auto"/>
          <w:highlight w:val="none"/>
          <w:u w:val="none"/>
        </w:rPr>
        <w:t>总则</w:t>
      </w:r>
      <w:bookmarkEnd w:id="39"/>
      <w:bookmarkEnd w:id="40"/>
      <w:bookmarkEnd w:id="41"/>
      <w:bookmarkEnd w:id="42"/>
    </w:p>
    <w:p w14:paraId="3D0BB713">
      <w:pPr>
        <w:pStyle w:val="4"/>
        <w:jc w:val="both"/>
        <w:rPr>
          <w:color w:val="auto"/>
          <w:highlight w:val="none"/>
          <w:u w:val="none"/>
        </w:rPr>
      </w:pPr>
      <w:bookmarkStart w:id="43" w:name="_Toc148374423"/>
      <w:bookmarkStart w:id="44" w:name="_Toc109211047"/>
      <w:bookmarkStart w:id="45" w:name="_Toc148374865"/>
      <w:bookmarkStart w:id="46" w:name="_Toc4453"/>
      <w:bookmarkStart w:id="47" w:name="_Toc148374766"/>
      <w:r>
        <w:rPr>
          <w:color w:val="auto"/>
          <w:highlight w:val="none"/>
          <w:u w:val="none"/>
        </w:rPr>
        <w:t>编制依据</w:t>
      </w:r>
      <w:bookmarkEnd w:id="43"/>
      <w:bookmarkEnd w:id="44"/>
      <w:bookmarkEnd w:id="45"/>
      <w:bookmarkEnd w:id="46"/>
      <w:bookmarkEnd w:id="47"/>
    </w:p>
    <w:p w14:paraId="057B18B1">
      <w:pPr>
        <w:pStyle w:val="6"/>
        <w:spacing w:before="156" w:after="156"/>
        <w:rPr>
          <w:color w:val="auto"/>
          <w:highlight w:val="none"/>
          <w:u w:val="none"/>
        </w:rPr>
      </w:pPr>
      <w:bookmarkStart w:id="48" w:name="_Toc148374424"/>
      <w:bookmarkStart w:id="49" w:name="_Toc148374866"/>
      <w:r>
        <w:rPr>
          <w:color w:val="auto"/>
          <w:highlight w:val="none"/>
          <w:u w:val="none"/>
        </w:rPr>
        <w:t>法律法规与相关政策</w:t>
      </w:r>
      <w:bookmarkEnd w:id="48"/>
      <w:bookmarkEnd w:id="49"/>
    </w:p>
    <w:p w14:paraId="5E6EE809">
      <w:pPr>
        <w:pStyle w:val="82"/>
        <w:rPr>
          <w:rFonts w:hint="eastAsia"/>
          <w:color w:val="auto"/>
          <w:highlight w:val="none"/>
          <w:u w:val="none"/>
        </w:rPr>
      </w:pPr>
      <w:r>
        <w:rPr>
          <w:rFonts w:hint="eastAsia"/>
          <w:color w:val="auto"/>
          <w:highlight w:val="none"/>
          <w:u w:val="none"/>
        </w:rPr>
        <w:t>（1）《中华人民共和国环境保护法》，2014年4月24日修订，2015年1月1日起实施；</w:t>
      </w:r>
    </w:p>
    <w:p w14:paraId="5FC881C7">
      <w:pPr>
        <w:pStyle w:val="82"/>
        <w:rPr>
          <w:rFonts w:hint="eastAsia"/>
          <w:color w:val="auto"/>
          <w:highlight w:val="none"/>
          <w:u w:val="none"/>
        </w:rPr>
      </w:pPr>
      <w:r>
        <w:rPr>
          <w:rFonts w:hint="eastAsia"/>
          <w:color w:val="auto"/>
          <w:highlight w:val="none"/>
          <w:u w:val="none"/>
        </w:rPr>
        <w:t>（2）《中华人民共和国环境影响评价法》，2018年12月29日修订并实施；</w:t>
      </w:r>
    </w:p>
    <w:p w14:paraId="2A278756">
      <w:pPr>
        <w:pStyle w:val="82"/>
        <w:rPr>
          <w:rFonts w:hint="eastAsia"/>
          <w:color w:val="auto"/>
          <w:highlight w:val="none"/>
          <w:u w:val="none"/>
        </w:rPr>
      </w:pPr>
      <w:r>
        <w:rPr>
          <w:rFonts w:hint="eastAsia"/>
          <w:color w:val="auto"/>
          <w:highlight w:val="none"/>
          <w:u w:val="none"/>
        </w:rPr>
        <w:t>（3）《中华人民共和国大气污染防治法》，2018年10月26日修订并实施；</w:t>
      </w:r>
    </w:p>
    <w:p w14:paraId="497FB221">
      <w:pPr>
        <w:pStyle w:val="82"/>
        <w:rPr>
          <w:rFonts w:hint="eastAsia"/>
          <w:color w:val="auto"/>
          <w:highlight w:val="none"/>
          <w:u w:val="none"/>
        </w:rPr>
      </w:pPr>
      <w:r>
        <w:rPr>
          <w:rFonts w:hint="eastAsia"/>
          <w:color w:val="auto"/>
          <w:highlight w:val="none"/>
          <w:u w:val="none"/>
        </w:rPr>
        <w:t>（4）《中华人民共和国水污染防治法》，2017年6月27日修订，2018年1月1日实施；</w:t>
      </w:r>
    </w:p>
    <w:p w14:paraId="42E16532">
      <w:pPr>
        <w:pStyle w:val="82"/>
        <w:rPr>
          <w:rFonts w:hint="eastAsia"/>
          <w:color w:val="auto"/>
          <w:highlight w:val="none"/>
          <w:u w:val="none"/>
        </w:rPr>
      </w:pPr>
      <w:r>
        <w:rPr>
          <w:rFonts w:hint="eastAsia"/>
          <w:color w:val="auto"/>
          <w:highlight w:val="none"/>
          <w:u w:val="none"/>
        </w:rPr>
        <w:t>（5）《中华人民共和国噪声污染防治法》，</w:t>
      </w:r>
      <w:r>
        <w:rPr>
          <w:color w:val="auto"/>
          <w:highlight w:val="none"/>
          <w:u w:val="none"/>
        </w:rPr>
        <w:t>2022</w:t>
      </w:r>
      <w:r>
        <w:rPr>
          <w:rFonts w:hint="eastAsia"/>
          <w:color w:val="auto"/>
          <w:highlight w:val="none"/>
          <w:u w:val="none"/>
        </w:rPr>
        <w:t>年6月5日实施；</w:t>
      </w:r>
    </w:p>
    <w:p w14:paraId="5BF3F465">
      <w:pPr>
        <w:pStyle w:val="82"/>
        <w:rPr>
          <w:rFonts w:hint="eastAsia"/>
          <w:color w:val="auto"/>
          <w:highlight w:val="none"/>
          <w:u w:val="none"/>
        </w:rPr>
      </w:pPr>
      <w:r>
        <w:rPr>
          <w:rFonts w:hint="eastAsia"/>
          <w:color w:val="auto"/>
          <w:highlight w:val="none"/>
          <w:u w:val="none"/>
        </w:rPr>
        <w:t>（6）《中华人民共和国固体废物污染环境防治法》，</w:t>
      </w:r>
      <w:r>
        <w:rPr>
          <w:color w:val="auto"/>
          <w:highlight w:val="none"/>
          <w:u w:val="none"/>
        </w:rPr>
        <w:t>2020</w:t>
      </w:r>
      <w:r>
        <w:rPr>
          <w:rFonts w:hint="eastAsia"/>
          <w:color w:val="auto"/>
          <w:highlight w:val="none"/>
          <w:u w:val="none"/>
        </w:rPr>
        <w:t>年</w:t>
      </w:r>
      <w:r>
        <w:rPr>
          <w:color w:val="auto"/>
          <w:highlight w:val="none"/>
          <w:u w:val="none"/>
        </w:rPr>
        <w:t>4</w:t>
      </w:r>
      <w:r>
        <w:rPr>
          <w:rFonts w:hint="eastAsia"/>
          <w:color w:val="auto"/>
          <w:highlight w:val="none"/>
          <w:u w:val="none"/>
        </w:rPr>
        <w:t>月2</w:t>
      </w:r>
      <w:r>
        <w:rPr>
          <w:color w:val="auto"/>
          <w:highlight w:val="none"/>
          <w:u w:val="none"/>
        </w:rPr>
        <w:t>9</w:t>
      </w:r>
      <w:r>
        <w:rPr>
          <w:rFonts w:hint="eastAsia"/>
          <w:color w:val="auto"/>
          <w:highlight w:val="none"/>
          <w:u w:val="none"/>
        </w:rPr>
        <w:t>日修订，</w:t>
      </w:r>
      <w:r>
        <w:rPr>
          <w:color w:val="auto"/>
          <w:highlight w:val="none"/>
          <w:u w:val="none"/>
        </w:rPr>
        <w:t>2020</w:t>
      </w:r>
      <w:r>
        <w:rPr>
          <w:rFonts w:hint="eastAsia"/>
          <w:color w:val="auto"/>
          <w:highlight w:val="none"/>
          <w:u w:val="none"/>
        </w:rPr>
        <w:t>年9月1日实施；</w:t>
      </w:r>
    </w:p>
    <w:p w14:paraId="38F3C09A">
      <w:pPr>
        <w:pStyle w:val="82"/>
        <w:rPr>
          <w:rFonts w:hint="eastAsia"/>
          <w:color w:val="auto"/>
          <w:highlight w:val="none"/>
          <w:u w:val="none"/>
        </w:rPr>
      </w:pPr>
      <w:r>
        <w:rPr>
          <w:rFonts w:hint="eastAsia"/>
          <w:color w:val="auto"/>
          <w:highlight w:val="none"/>
          <w:u w:val="none"/>
        </w:rPr>
        <w:t>（7）《中华人民共和国土壤污染防治法》，2018年8月31日审议通过，2019年1月1日起实施；</w:t>
      </w:r>
    </w:p>
    <w:p w14:paraId="7A309BB9">
      <w:pPr>
        <w:pStyle w:val="82"/>
        <w:rPr>
          <w:rFonts w:hint="eastAsia"/>
          <w:color w:val="auto"/>
          <w:highlight w:val="none"/>
          <w:u w:val="none"/>
        </w:rPr>
      </w:pPr>
      <w:r>
        <w:rPr>
          <w:rFonts w:hint="eastAsia"/>
          <w:color w:val="auto"/>
          <w:highlight w:val="none"/>
          <w:u w:val="none"/>
        </w:rPr>
        <w:t>（8）《中华人民共和国水法》，2016年7月2日修订；</w:t>
      </w:r>
    </w:p>
    <w:p w14:paraId="35D308DC">
      <w:pPr>
        <w:pStyle w:val="82"/>
        <w:rPr>
          <w:rFonts w:hint="eastAsia"/>
          <w:color w:val="auto"/>
          <w:highlight w:val="none"/>
          <w:u w:val="none"/>
        </w:rPr>
      </w:pPr>
      <w:r>
        <w:rPr>
          <w:rFonts w:hint="eastAsia"/>
          <w:color w:val="auto"/>
          <w:highlight w:val="none"/>
          <w:u w:val="none"/>
        </w:rPr>
        <w:t>（9）《中华人民共和国水土保持法》，2010年12月25日修订通过，2011年3月1日实施；</w:t>
      </w:r>
    </w:p>
    <w:p w14:paraId="7C07B51D">
      <w:pPr>
        <w:pStyle w:val="82"/>
        <w:rPr>
          <w:rFonts w:hint="eastAsia"/>
          <w:color w:val="auto"/>
          <w:highlight w:val="none"/>
          <w:u w:val="none"/>
        </w:rPr>
      </w:pPr>
      <w:r>
        <w:rPr>
          <w:rFonts w:hint="eastAsia"/>
          <w:color w:val="auto"/>
          <w:highlight w:val="none"/>
          <w:u w:val="none"/>
        </w:rPr>
        <w:t>（10）《中华人民共和国土地管理法》，</w:t>
      </w:r>
      <w:r>
        <w:rPr>
          <w:color w:val="auto"/>
          <w:highlight w:val="none"/>
          <w:u w:val="none"/>
        </w:rPr>
        <w:t>2019</w:t>
      </w:r>
      <w:r>
        <w:rPr>
          <w:rFonts w:hint="eastAsia"/>
          <w:color w:val="auto"/>
          <w:highlight w:val="none"/>
          <w:u w:val="none"/>
        </w:rPr>
        <w:t>年8月修订；</w:t>
      </w:r>
    </w:p>
    <w:p w14:paraId="4EBC0788">
      <w:pPr>
        <w:pStyle w:val="82"/>
        <w:rPr>
          <w:rFonts w:hint="eastAsia"/>
          <w:color w:val="auto"/>
          <w:highlight w:val="none"/>
          <w:u w:val="none"/>
        </w:rPr>
      </w:pPr>
      <w:r>
        <w:rPr>
          <w:rFonts w:hint="eastAsia"/>
          <w:color w:val="auto"/>
          <w:highlight w:val="none"/>
          <w:u w:val="none"/>
        </w:rPr>
        <w:t>（11）《中华人民共和国城乡规划法》（2</w:t>
      </w:r>
      <w:r>
        <w:rPr>
          <w:color w:val="auto"/>
          <w:highlight w:val="none"/>
          <w:u w:val="none"/>
        </w:rPr>
        <w:t>019</w:t>
      </w:r>
      <w:r>
        <w:rPr>
          <w:rFonts w:hint="eastAsia"/>
          <w:color w:val="auto"/>
          <w:highlight w:val="none"/>
          <w:u w:val="none"/>
        </w:rPr>
        <w:t>年修正）；</w:t>
      </w:r>
    </w:p>
    <w:p w14:paraId="1E79B8C3">
      <w:pPr>
        <w:pStyle w:val="82"/>
        <w:rPr>
          <w:rFonts w:hint="eastAsia"/>
          <w:color w:val="auto"/>
          <w:highlight w:val="none"/>
          <w:u w:val="none"/>
        </w:rPr>
      </w:pPr>
      <w:r>
        <w:rPr>
          <w:rFonts w:hint="eastAsia"/>
          <w:color w:val="auto"/>
          <w:highlight w:val="none"/>
          <w:u w:val="none"/>
        </w:rPr>
        <w:t>（12）《中华人民共和国清洁生产促进法》，2012年2月29日修订；</w:t>
      </w:r>
    </w:p>
    <w:p w14:paraId="3EB1C7D6">
      <w:pPr>
        <w:pStyle w:val="82"/>
        <w:rPr>
          <w:rFonts w:hint="eastAsia"/>
          <w:color w:val="auto"/>
          <w:highlight w:val="none"/>
          <w:u w:val="none"/>
        </w:rPr>
      </w:pPr>
      <w:r>
        <w:rPr>
          <w:rFonts w:hint="eastAsia"/>
          <w:color w:val="auto"/>
          <w:highlight w:val="none"/>
          <w:u w:val="none"/>
        </w:rPr>
        <w:t>（13）《中华人民共和国循环经济促进法》，2018年10月26日修订并实施；</w:t>
      </w:r>
    </w:p>
    <w:p w14:paraId="454C4305">
      <w:pPr>
        <w:pStyle w:val="82"/>
        <w:rPr>
          <w:rFonts w:hint="eastAsia"/>
          <w:color w:val="auto"/>
          <w:highlight w:val="none"/>
          <w:u w:val="none"/>
        </w:rPr>
      </w:pPr>
      <w:r>
        <w:rPr>
          <w:rFonts w:hint="eastAsia"/>
          <w:color w:val="auto"/>
          <w:highlight w:val="none"/>
          <w:u w:val="none"/>
        </w:rPr>
        <w:t>（14）《中华人民共和国节约能源法》，2018年10月26日修订并实施；</w:t>
      </w:r>
    </w:p>
    <w:p w14:paraId="19B3EE56">
      <w:pPr>
        <w:pStyle w:val="82"/>
        <w:rPr>
          <w:rFonts w:hint="eastAsia"/>
          <w:color w:val="auto"/>
          <w:highlight w:val="none"/>
          <w:u w:val="none"/>
        </w:rPr>
      </w:pPr>
      <w:r>
        <w:rPr>
          <w:rFonts w:hint="eastAsia"/>
          <w:color w:val="auto"/>
          <w:highlight w:val="none"/>
          <w:u w:val="none"/>
        </w:rPr>
        <w:t>（1</w:t>
      </w:r>
      <w:r>
        <w:rPr>
          <w:color w:val="auto"/>
          <w:highlight w:val="none"/>
          <w:u w:val="none"/>
        </w:rPr>
        <w:t>5</w:t>
      </w:r>
      <w:r>
        <w:rPr>
          <w:rFonts w:hint="eastAsia"/>
          <w:color w:val="auto"/>
          <w:highlight w:val="none"/>
          <w:u w:val="none"/>
        </w:rPr>
        <w:t>）《危险化学品安全管理条例》（201</w:t>
      </w:r>
      <w:r>
        <w:rPr>
          <w:color w:val="auto"/>
          <w:highlight w:val="none"/>
          <w:u w:val="none"/>
        </w:rPr>
        <w:t>3</w:t>
      </w:r>
      <w:r>
        <w:rPr>
          <w:rFonts w:hint="eastAsia"/>
          <w:color w:val="auto"/>
          <w:highlight w:val="none"/>
          <w:u w:val="none"/>
        </w:rPr>
        <w:t>年修订）；</w:t>
      </w:r>
    </w:p>
    <w:p w14:paraId="26CB12B7">
      <w:pPr>
        <w:pStyle w:val="82"/>
        <w:rPr>
          <w:rFonts w:hint="eastAsia"/>
          <w:color w:val="auto"/>
          <w:highlight w:val="none"/>
          <w:u w:val="none"/>
        </w:rPr>
      </w:pPr>
      <w:r>
        <w:rPr>
          <w:rFonts w:hint="eastAsia"/>
          <w:color w:val="auto"/>
          <w:highlight w:val="none"/>
          <w:u w:val="none"/>
        </w:rPr>
        <w:t>（1</w:t>
      </w:r>
      <w:r>
        <w:rPr>
          <w:color w:val="auto"/>
          <w:highlight w:val="none"/>
          <w:u w:val="none"/>
        </w:rPr>
        <w:t>6</w:t>
      </w:r>
      <w:r>
        <w:rPr>
          <w:rFonts w:hint="eastAsia"/>
          <w:color w:val="auto"/>
          <w:highlight w:val="none"/>
          <w:u w:val="none"/>
        </w:rPr>
        <w:t>）《建设项目环境保护管理条例》，（国务院682号令），2017年10月1日起实施；</w:t>
      </w:r>
    </w:p>
    <w:p w14:paraId="5799B62B">
      <w:pPr>
        <w:pStyle w:val="82"/>
        <w:rPr>
          <w:rFonts w:hint="eastAsia"/>
          <w:color w:val="auto"/>
          <w:highlight w:val="none"/>
          <w:u w:val="none"/>
        </w:rPr>
      </w:pPr>
      <w:r>
        <w:rPr>
          <w:rFonts w:hint="eastAsia"/>
          <w:color w:val="auto"/>
          <w:highlight w:val="none"/>
          <w:u w:val="none"/>
        </w:rPr>
        <w:t>（1</w:t>
      </w:r>
      <w:r>
        <w:rPr>
          <w:color w:val="auto"/>
          <w:highlight w:val="none"/>
          <w:u w:val="none"/>
        </w:rPr>
        <w:t>7</w:t>
      </w:r>
      <w:r>
        <w:rPr>
          <w:rFonts w:hint="eastAsia"/>
          <w:color w:val="auto"/>
          <w:highlight w:val="none"/>
          <w:u w:val="none"/>
        </w:rPr>
        <w:t>）《地下水管理条例》（国令第748号），2021年12月1日起施行；</w:t>
      </w:r>
    </w:p>
    <w:p w14:paraId="3EEE7899">
      <w:pPr>
        <w:pStyle w:val="82"/>
        <w:rPr>
          <w:rFonts w:hint="eastAsia"/>
          <w:color w:val="auto"/>
          <w:highlight w:val="none"/>
          <w:u w:val="none"/>
        </w:rPr>
      </w:pPr>
      <w:r>
        <w:rPr>
          <w:rFonts w:hint="eastAsia"/>
          <w:color w:val="auto"/>
          <w:highlight w:val="none"/>
          <w:u w:val="none"/>
        </w:rPr>
        <w:t>（1</w:t>
      </w:r>
      <w:r>
        <w:rPr>
          <w:color w:val="auto"/>
          <w:highlight w:val="none"/>
          <w:u w:val="none"/>
        </w:rPr>
        <w:t>8</w:t>
      </w:r>
      <w:r>
        <w:rPr>
          <w:rFonts w:hint="eastAsia"/>
          <w:color w:val="auto"/>
          <w:highlight w:val="none"/>
          <w:u w:val="none"/>
        </w:rPr>
        <w:t>）《建设项目危险废物环境影响评价指南》（环境保护部公告2017年第43号），2017年10月1日实施；</w:t>
      </w:r>
    </w:p>
    <w:p w14:paraId="5D954B6A">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rPr>
        <w:t>19</w:t>
      </w:r>
      <w:r>
        <w:rPr>
          <w:rFonts w:hint="eastAsia"/>
          <w:color w:val="auto"/>
          <w:highlight w:val="none"/>
          <w:u w:val="none"/>
        </w:rPr>
        <w:t>）《国家危险废物名录（2</w:t>
      </w:r>
      <w:r>
        <w:rPr>
          <w:color w:val="auto"/>
          <w:highlight w:val="none"/>
          <w:u w:val="none"/>
        </w:rPr>
        <w:t>021</w:t>
      </w:r>
      <w:r>
        <w:rPr>
          <w:rFonts w:hint="eastAsia"/>
          <w:color w:val="auto"/>
          <w:highlight w:val="none"/>
          <w:u w:val="none"/>
        </w:rPr>
        <w:t>年版）》（生态环境部令第</w:t>
      </w:r>
      <w:r>
        <w:rPr>
          <w:color w:val="auto"/>
          <w:highlight w:val="none"/>
          <w:u w:val="none"/>
        </w:rPr>
        <w:t>15</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w:t>
      </w:r>
      <w:r>
        <w:rPr>
          <w:rFonts w:hint="eastAsia"/>
          <w:color w:val="auto"/>
          <w:highlight w:val="none"/>
          <w:u w:val="none"/>
        </w:rPr>
        <w:t>月1日实施；</w:t>
      </w:r>
    </w:p>
    <w:p w14:paraId="437B0670">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rPr>
        <w:t>20</w:t>
      </w:r>
      <w:r>
        <w:rPr>
          <w:rFonts w:hint="eastAsia"/>
          <w:color w:val="auto"/>
          <w:highlight w:val="none"/>
          <w:u w:val="none"/>
        </w:rPr>
        <w:t>）《突发环境事件应急管理办法》，环境保护部第34号令，2015年6月5日；</w:t>
      </w:r>
    </w:p>
    <w:p w14:paraId="61B2C3DD">
      <w:pPr>
        <w:pStyle w:val="82"/>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lang w:val="en-US"/>
        </w:rPr>
        <w:t>1</w:t>
      </w:r>
      <w:r>
        <w:rPr>
          <w:rFonts w:hint="eastAsia"/>
          <w:color w:val="auto"/>
          <w:highlight w:val="none"/>
          <w:u w:val="none"/>
        </w:rPr>
        <w:t>）《企业事业单位突发环境事件应急预案备案管理办法（试行）》（环发[2015]4号）；</w:t>
      </w:r>
    </w:p>
    <w:p w14:paraId="2210D293">
      <w:pPr>
        <w:pStyle w:val="82"/>
        <w:rPr>
          <w:rFonts w:hint="eastAsia"/>
          <w:color w:val="auto"/>
          <w:highlight w:val="none"/>
          <w:u w:val="none"/>
        </w:rPr>
      </w:pPr>
      <w:r>
        <w:rPr>
          <w:rFonts w:hint="eastAsia"/>
          <w:color w:val="auto"/>
          <w:highlight w:val="none"/>
          <w:u w:val="none"/>
        </w:rPr>
        <w:t>（2</w:t>
      </w:r>
      <w:r>
        <w:rPr>
          <w:rFonts w:hint="eastAsia"/>
          <w:color w:val="auto"/>
          <w:highlight w:val="none"/>
          <w:u w:val="none"/>
          <w:lang w:val="en-US"/>
        </w:rPr>
        <w:t>2</w:t>
      </w:r>
      <w:r>
        <w:rPr>
          <w:rFonts w:hint="eastAsia"/>
          <w:color w:val="auto"/>
          <w:highlight w:val="none"/>
          <w:u w:val="none"/>
        </w:rPr>
        <w:t>）《关于印发&lt;企业突发环境事件风险评估指南（试行）&gt;的通知》（环办[2014]34号）；</w:t>
      </w:r>
    </w:p>
    <w:p w14:paraId="7A6B0A58">
      <w:pPr>
        <w:pStyle w:val="82"/>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lang w:val="en-US"/>
        </w:rPr>
        <w:t>3</w:t>
      </w:r>
      <w:r>
        <w:rPr>
          <w:rFonts w:hint="eastAsia"/>
          <w:color w:val="auto"/>
          <w:highlight w:val="none"/>
          <w:u w:val="none"/>
        </w:rPr>
        <w:t>）《建设项目环境影响评价政府信息公开指南（试行）》（环境保护部，环发〔2013〕103号），2013年11月14日发布，自2014年1月1日起实施；</w:t>
      </w:r>
    </w:p>
    <w:p w14:paraId="7778D3F7">
      <w:pPr>
        <w:pStyle w:val="82"/>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lang w:val="en-US"/>
        </w:rPr>
        <w:t>4</w:t>
      </w:r>
      <w:r>
        <w:rPr>
          <w:rFonts w:hint="eastAsia"/>
          <w:color w:val="auto"/>
          <w:highlight w:val="none"/>
          <w:u w:val="none"/>
        </w:rPr>
        <w:t>）《环境影响评价公众参与办法》（生态环境部 部令 第4号），自2019年1月1日起实施；</w:t>
      </w:r>
    </w:p>
    <w:p w14:paraId="7168B0A0">
      <w:pPr>
        <w:pStyle w:val="82"/>
        <w:rPr>
          <w:rFonts w:hint="eastAsia"/>
          <w:color w:val="auto"/>
          <w:highlight w:val="none"/>
          <w:u w:val="none"/>
        </w:rPr>
      </w:pPr>
      <w:r>
        <w:rPr>
          <w:rFonts w:hint="eastAsia"/>
          <w:color w:val="auto"/>
          <w:highlight w:val="none"/>
          <w:u w:val="none"/>
        </w:rPr>
        <w:t>（2</w:t>
      </w:r>
      <w:r>
        <w:rPr>
          <w:rFonts w:hint="eastAsia"/>
          <w:color w:val="auto"/>
          <w:highlight w:val="none"/>
          <w:u w:val="none"/>
          <w:lang w:val="en-US"/>
        </w:rPr>
        <w:t>5</w:t>
      </w:r>
      <w:r>
        <w:rPr>
          <w:rFonts w:hint="eastAsia"/>
          <w:color w:val="auto"/>
          <w:highlight w:val="none"/>
          <w:u w:val="none"/>
        </w:rPr>
        <w:t>）《关于印发工业领域碳达峰实施方案的通知》（工信部联节〔2022〕88号）；</w:t>
      </w:r>
    </w:p>
    <w:p w14:paraId="584CDABE">
      <w:pPr>
        <w:pStyle w:val="82"/>
        <w:rPr>
          <w:rFonts w:hint="eastAsia"/>
          <w:color w:val="auto"/>
          <w:highlight w:val="none"/>
          <w:u w:val="none"/>
        </w:rPr>
      </w:pPr>
      <w:r>
        <w:rPr>
          <w:rFonts w:hint="eastAsia"/>
          <w:color w:val="auto"/>
          <w:highlight w:val="none"/>
          <w:u w:val="none"/>
        </w:rPr>
        <w:t>（2</w:t>
      </w:r>
      <w:r>
        <w:rPr>
          <w:rFonts w:hint="eastAsia"/>
          <w:color w:val="auto"/>
          <w:highlight w:val="none"/>
          <w:u w:val="none"/>
          <w:lang w:val="en-US"/>
        </w:rPr>
        <w:t>6</w:t>
      </w:r>
      <w:r>
        <w:rPr>
          <w:rFonts w:hint="eastAsia"/>
          <w:color w:val="auto"/>
          <w:highlight w:val="none"/>
          <w:u w:val="none"/>
        </w:rPr>
        <w:t>）《排污许可管理办法》（生态环境部 部令 第32号），自2024年7月1日起施行；</w:t>
      </w:r>
    </w:p>
    <w:p w14:paraId="1770852A">
      <w:pPr>
        <w:pStyle w:val="82"/>
        <w:rPr>
          <w:rFonts w:hint="eastAsia"/>
          <w:color w:val="auto"/>
          <w:highlight w:val="none"/>
          <w:u w:val="none"/>
        </w:rPr>
      </w:pPr>
      <w:r>
        <w:rPr>
          <w:rFonts w:hint="eastAsia"/>
          <w:color w:val="auto"/>
          <w:highlight w:val="none"/>
          <w:u w:val="none"/>
        </w:rPr>
        <w:t>（2</w:t>
      </w:r>
      <w:r>
        <w:rPr>
          <w:rFonts w:hint="eastAsia"/>
          <w:color w:val="auto"/>
          <w:highlight w:val="none"/>
          <w:u w:val="none"/>
          <w:lang w:val="en-US"/>
        </w:rPr>
        <w:t>7</w:t>
      </w:r>
      <w:r>
        <w:rPr>
          <w:rFonts w:hint="eastAsia"/>
          <w:color w:val="auto"/>
          <w:highlight w:val="none"/>
          <w:u w:val="none"/>
        </w:rPr>
        <w:t>）《关于印发&lt;空气质量持续改善行动计划&gt;的通知》（国发〔2023〕24号）；</w:t>
      </w:r>
    </w:p>
    <w:p w14:paraId="52B16370">
      <w:pPr>
        <w:pStyle w:val="82"/>
        <w:rPr>
          <w:rFonts w:hint="eastAsia"/>
          <w:color w:val="auto"/>
          <w:highlight w:val="none"/>
          <w:u w:val="none"/>
        </w:rPr>
      </w:pPr>
      <w:r>
        <w:rPr>
          <w:rFonts w:hint="eastAsia"/>
          <w:color w:val="auto"/>
          <w:highlight w:val="none"/>
          <w:u w:val="none"/>
        </w:rPr>
        <w:t>（2</w:t>
      </w:r>
      <w:r>
        <w:rPr>
          <w:rFonts w:hint="eastAsia"/>
          <w:color w:val="auto"/>
          <w:highlight w:val="none"/>
          <w:u w:val="none"/>
          <w:lang w:val="en-US"/>
        </w:rPr>
        <w:t>8</w:t>
      </w:r>
      <w:r>
        <w:rPr>
          <w:rFonts w:hint="eastAsia"/>
          <w:color w:val="auto"/>
          <w:highlight w:val="none"/>
          <w:u w:val="none"/>
        </w:rPr>
        <w:t>）《固体废物分类与代码目录》（公告 2024年 第4号）；</w:t>
      </w:r>
    </w:p>
    <w:p w14:paraId="7A40AEF4">
      <w:pPr>
        <w:pStyle w:val="82"/>
        <w:rPr>
          <w:rFonts w:hint="eastAsia"/>
          <w:color w:val="auto"/>
          <w:highlight w:val="none"/>
          <w:u w:val="none"/>
        </w:rPr>
      </w:pPr>
      <w:r>
        <w:rPr>
          <w:rFonts w:hint="eastAsia"/>
          <w:color w:val="auto"/>
          <w:highlight w:val="none"/>
          <w:u w:val="none"/>
        </w:rPr>
        <w:t>（</w:t>
      </w:r>
      <w:r>
        <w:rPr>
          <w:color w:val="auto"/>
          <w:highlight w:val="none"/>
          <w:u w:val="none"/>
        </w:rPr>
        <w:t>29</w:t>
      </w:r>
      <w:r>
        <w:rPr>
          <w:rFonts w:hint="eastAsia"/>
          <w:color w:val="auto"/>
          <w:highlight w:val="none"/>
          <w:u w:val="none"/>
        </w:rPr>
        <w:t>）《国务院关于印发“十四五”节能减排综合工作方案的通知》（国发</w:t>
      </w:r>
      <w:r>
        <w:rPr>
          <w:color w:val="auto"/>
          <w:highlight w:val="none"/>
          <w:u w:val="none"/>
        </w:rPr>
        <w:t>[2021]33</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28</w:t>
      </w:r>
      <w:r>
        <w:rPr>
          <w:rFonts w:hint="eastAsia"/>
          <w:color w:val="auto"/>
          <w:highlight w:val="none"/>
          <w:u w:val="none"/>
        </w:rPr>
        <w:t>日；</w:t>
      </w:r>
    </w:p>
    <w:p w14:paraId="1E84BCBB">
      <w:pPr>
        <w:pStyle w:val="82"/>
        <w:rPr>
          <w:rFonts w:hint="eastAsia"/>
          <w:color w:val="auto"/>
          <w:highlight w:val="none"/>
          <w:u w:val="none"/>
        </w:rPr>
      </w:pPr>
      <w:r>
        <w:rPr>
          <w:rFonts w:hint="eastAsia"/>
          <w:color w:val="auto"/>
          <w:highlight w:val="none"/>
          <w:u w:val="none"/>
        </w:rPr>
        <w:t>（</w:t>
      </w:r>
      <w:r>
        <w:rPr>
          <w:color w:val="auto"/>
          <w:highlight w:val="none"/>
          <w:u w:val="none"/>
        </w:rPr>
        <w:t>30</w:t>
      </w:r>
      <w:r>
        <w:rPr>
          <w:rFonts w:hint="eastAsia"/>
          <w:color w:val="auto"/>
          <w:highlight w:val="none"/>
          <w:u w:val="none"/>
        </w:rPr>
        <w:t>）《中共中央、国务院关于完整准确全面贯彻新发展理念做好碳达峰碳中和工作的意见》，</w:t>
      </w:r>
      <w:r>
        <w:rPr>
          <w:color w:val="auto"/>
          <w:highlight w:val="none"/>
          <w:u w:val="none"/>
        </w:rPr>
        <w:t>2021</w:t>
      </w:r>
      <w:r>
        <w:rPr>
          <w:rFonts w:hint="eastAsia"/>
          <w:color w:val="auto"/>
          <w:highlight w:val="none"/>
          <w:u w:val="none"/>
        </w:rPr>
        <w:t>年</w:t>
      </w:r>
      <w:r>
        <w:rPr>
          <w:color w:val="auto"/>
          <w:highlight w:val="none"/>
          <w:u w:val="none"/>
        </w:rPr>
        <w:t>9</w:t>
      </w:r>
      <w:r>
        <w:rPr>
          <w:rFonts w:hint="eastAsia"/>
          <w:color w:val="auto"/>
          <w:highlight w:val="none"/>
          <w:u w:val="none"/>
        </w:rPr>
        <w:t>月</w:t>
      </w:r>
      <w:r>
        <w:rPr>
          <w:color w:val="auto"/>
          <w:highlight w:val="none"/>
          <w:u w:val="none"/>
        </w:rPr>
        <w:t>22</w:t>
      </w:r>
      <w:r>
        <w:rPr>
          <w:rFonts w:hint="eastAsia"/>
          <w:color w:val="auto"/>
          <w:highlight w:val="none"/>
          <w:u w:val="none"/>
        </w:rPr>
        <w:t>日；</w:t>
      </w:r>
    </w:p>
    <w:p w14:paraId="65490F99">
      <w:pPr>
        <w:pStyle w:val="82"/>
        <w:rPr>
          <w:rFonts w:hint="eastAsia"/>
          <w:color w:val="auto"/>
          <w:highlight w:val="none"/>
          <w:u w:val="none"/>
        </w:rPr>
      </w:pPr>
      <w:r>
        <w:rPr>
          <w:rFonts w:hint="eastAsia"/>
          <w:color w:val="auto"/>
          <w:highlight w:val="none"/>
          <w:u w:val="none"/>
        </w:rPr>
        <w:t>（</w:t>
      </w:r>
      <w:r>
        <w:rPr>
          <w:color w:val="auto"/>
          <w:highlight w:val="none"/>
          <w:u w:val="none"/>
        </w:rPr>
        <w:t>31</w:t>
      </w:r>
      <w:r>
        <w:rPr>
          <w:rFonts w:hint="eastAsia"/>
          <w:color w:val="auto"/>
          <w:highlight w:val="none"/>
          <w:u w:val="none"/>
        </w:rPr>
        <w:t>）《国务院关于印发</w:t>
      </w:r>
      <w:r>
        <w:rPr>
          <w:color w:val="auto"/>
          <w:highlight w:val="none"/>
          <w:u w:val="none"/>
        </w:rPr>
        <w:t>2030</w:t>
      </w:r>
      <w:r>
        <w:rPr>
          <w:rFonts w:hint="eastAsia"/>
          <w:color w:val="auto"/>
          <w:highlight w:val="none"/>
          <w:u w:val="none"/>
        </w:rPr>
        <w:t>年前碳达峰行动方案的通知》（国发〔</w:t>
      </w:r>
      <w:r>
        <w:rPr>
          <w:color w:val="auto"/>
          <w:highlight w:val="none"/>
          <w:u w:val="none"/>
        </w:rPr>
        <w:t>2021</w:t>
      </w:r>
      <w:r>
        <w:rPr>
          <w:rFonts w:hint="eastAsia"/>
          <w:color w:val="auto"/>
          <w:highlight w:val="none"/>
          <w:u w:val="none"/>
        </w:rPr>
        <w:t>〕</w:t>
      </w:r>
      <w:r>
        <w:rPr>
          <w:color w:val="auto"/>
          <w:highlight w:val="none"/>
          <w:u w:val="none"/>
        </w:rPr>
        <w:t>23</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10</w:t>
      </w:r>
      <w:r>
        <w:rPr>
          <w:rFonts w:hint="eastAsia"/>
          <w:color w:val="auto"/>
          <w:highlight w:val="none"/>
          <w:u w:val="none"/>
        </w:rPr>
        <w:t>月</w:t>
      </w:r>
      <w:r>
        <w:rPr>
          <w:color w:val="auto"/>
          <w:highlight w:val="none"/>
          <w:u w:val="none"/>
        </w:rPr>
        <w:t>24</w:t>
      </w:r>
      <w:r>
        <w:rPr>
          <w:rFonts w:hint="eastAsia"/>
          <w:color w:val="auto"/>
          <w:highlight w:val="none"/>
          <w:u w:val="none"/>
        </w:rPr>
        <w:t>日；</w:t>
      </w:r>
    </w:p>
    <w:p w14:paraId="3EE84D3A">
      <w:pPr>
        <w:pStyle w:val="82"/>
        <w:rPr>
          <w:rFonts w:hint="eastAsia"/>
          <w:color w:val="auto"/>
          <w:highlight w:val="none"/>
          <w:u w:val="none"/>
        </w:rPr>
      </w:pPr>
      <w:r>
        <w:rPr>
          <w:rFonts w:hint="eastAsia"/>
          <w:color w:val="auto"/>
          <w:highlight w:val="none"/>
          <w:u w:val="none"/>
        </w:rPr>
        <w:t>（</w:t>
      </w:r>
      <w:r>
        <w:rPr>
          <w:color w:val="auto"/>
          <w:highlight w:val="none"/>
          <w:u w:val="none"/>
        </w:rPr>
        <w:t>32</w:t>
      </w:r>
      <w:r>
        <w:rPr>
          <w:rFonts w:hint="eastAsia"/>
          <w:color w:val="auto"/>
          <w:highlight w:val="none"/>
          <w:u w:val="none"/>
        </w:rPr>
        <w:t>）《国务院办公厅关于印发</w:t>
      </w:r>
      <w:r>
        <w:rPr>
          <w:color w:val="auto"/>
          <w:highlight w:val="none"/>
          <w:u w:val="none"/>
        </w:rPr>
        <w:t>&lt;</w:t>
      </w:r>
      <w:r>
        <w:rPr>
          <w:rFonts w:hint="eastAsia"/>
          <w:color w:val="auto"/>
          <w:highlight w:val="none"/>
          <w:u w:val="none"/>
        </w:rPr>
        <w:t>控制污染物排放许可制实施方案</w:t>
      </w:r>
      <w:r>
        <w:rPr>
          <w:color w:val="auto"/>
          <w:highlight w:val="none"/>
          <w:u w:val="none"/>
        </w:rPr>
        <w:t>&gt;</w:t>
      </w:r>
      <w:r>
        <w:rPr>
          <w:rFonts w:hint="eastAsia"/>
          <w:color w:val="auto"/>
          <w:highlight w:val="none"/>
          <w:u w:val="none"/>
        </w:rPr>
        <w:t>的通知》（国办发</w:t>
      </w:r>
      <w:r>
        <w:rPr>
          <w:color w:val="auto"/>
          <w:highlight w:val="none"/>
          <w:u w:val="none"/>
        </w:rPr>
        <w:t>[2016]81</w:t>
      </w:r>
      <w:r>
        <w:rPr>
          <w:rFonts w:hint="eastAsia"/>
          <w:color w:val="auto"/>
          <w:highlight w:val="none"/>
          <w:u w:val="none"/>
        </w:rPr>
        <w:t>号），</w:t>
      </w:r>
      <w:r>
        <w:rPr>
          <w:color w:val="auto"/>
          <w:highlight w:val="none"/>
          <w:u w:val="none"/>
        </w:rPr>
        <w:t>2016</w:t>
      </w:r>
      <w:r>
        <w:rPr>
          <w:rFonts w:hint="eastAsia"/>
          <w:color w:val="auto"/>
          <w:highlight w:val="none"/>
          <w:u w:val="none"/>
        </w:rPr>
        <w:t>年</w:t>
      </w:r>
      <w:r>
        <w:rPr>
          <w:color w:val="auto"/>
          <w:highlight w:val="none"/>
          <w:u w:val="none"/>
        </w:rPr>
        <w:t>11</w:t>
      </w:r>
      <w:r>
        <w:rPr>
          <w:rFonts w:hint="eastAsia"/>
          <w:color w:val="auto"/>
          <w:highlight w:val="none"/>
          <w:u w:val="none"/>
        </w:rPr>
        <w:t>月</w:t>
      </w:r>
      <w:r>
        <w:rPr>
          <w:color w:val="auto"/>
          <w:highlight w:val="none"/>
          <w:u w:val="none"/>
        </w:rPr>
        <w:t>10</w:t>
      </w:r>
      <w:r>
        <w:rPr>
          <w:rFonts w:hint="eastAsia"/>
          <w:color w:val="auto"/>
          <w:highlight w:val="none"/>
          <w:u w:val="none"/>
        </w:rPr>
        <w:t>日；</w:t>
      </w:r>
    </w:p>
    <w:p w14:paraId="70E79271">
      <w:pPr>
        <w:pStyle w:val="82"/>
        <w:rPr>
          <w:rFonts w:hint="eastAsia"/>
          <w:color w:val="auto"/>
          <w:highlight w:val="none"/>
          <w:u w:val="none"/>
        </w:rPr>
      </w:pPr>
      <w:r>
        <w:rPr>
          <w:rFonts w:hint="eastAsia"/>
          <w:color w:val="auto"/>
          <w:highlight w:val="none"/>
          <w:u w:val="none"/>
        </w:rPr>
        <w:t>（</w:t>
      </w:r>
      <w:r>
        <w:rPr>
          <w:color w:val="auto"/>
          <w:highlight w:val="none"/>
          <w:u w:val="none"/>
        </w:rPr>
        <w:t>33</w:t>
      </w:r>
      <w:r>
        <w:rPr>
          <w:rFonts w:hint="eastAsia"/>
          <w:color w:val="auto"/>
          <w:highlight w:val="none"/>
          <w:u w:val="none"/>
        </w:rPr>
        <w:t>）《国务院办公厅关于印发国家突发环境事件应急预案的通知》（国办函</w:t>
      </w:r>
      <w:r>
        <w:rPr>
          <w:color w:val="auto"/>
          <w:highlight w:val="none"/>
          <w:u w:val="none"/>
        </w:rPr>
        <w:t>[2014]119</w:t>
      </w:r>
      <w:r>
        <w:rPr>
          <w:rFonts w:hint="eastAsia"/>
          <w:color w:val="auto"/>
          <w:highlight w:val="none"/>
          <w:u w:val="none"/>
        </w:rPr>
        <w:t>号），</w:t>
      </w:r>
      <w:r>
        <w:rPr>
          <w:color w:val="auto"/>
          <w:highlight w:val="none"/>
          <w:u w:val="none"/>
        </w:rPr>
        <w:t>2014</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29</w:t>
      </w:r>
      <w:r>
        <w:rPr>
          <w:rFonts w:hint="eastAsia"/>
          <w:color w:val="auto"/>
          <w:highlight w:val="none"/>
          <w:u w:val="none"/>
        </w:rPr>
        <w:t>日；</w:t>
      </w:r>
    </w:p>
    <w:p w14:paraId="7EE9FA39">
      <w:pPr>
        <w:pStyle w:val="82"/>
        <w:rPr>
          <w:rFonts w:hint="eastAsia"/>
          <w:color w:val="auto"/>
          <w:highlight w:val="none"/>
          <w:u w:val="none"/>
        </w:rPr>
      </w:pPr>
      <w:r>
        <w:rPr>
          <w:rFonts w:hint="eastAsia"/>
          <w:color w:val="auto"/>
          <w:highlight w:val="none"/>
          <w:u w:val="none"/>
        </w:rPr>
        <w:t>（</w:t>
      </w:r>
      <w:r>
        <w:rPr>
          <w:color w:val="auto"/>
          <w:highlight w:val="none"/>
          <w:u w:val="none"/>
        </w:rPr>
        <w:t>34</w:t>
      </w:r>
      <w:r>
        <w:rPr>
          <w:rFonts w:hint="eastAsia"/>
          <w:color w:val="auto"/>
          <w:highlight w:val="none"/>
          <w:u w:val="none"/>
        </w:rPr>
        <w:t>）《国家突发公共事件总体应急预案》，国务院</w:t>
      </w:r>
      <w:r>
        <w:rPr>
          <w:color w:val="auto"/>
          <w:highlight w:val="none"/>
          <w:u w:val="none"/>
        </w:rPr>
        <w:t>2006</w:t>
      </w:r>
      <w:r>
        <w:rPr>
          <w:rFonts w:hint="eastAsia"/>
          <w:color w:val="auto"/>
          <w:highlight w:val="none"/>
          <w:u w:val="none"/>
        </w:rPr>
        <w:t>年</w:t>
      </w:r>
      <w:r>
        <w:rPr>
          <w:color w:val="auto"/>
          <w:highlight w:val="none"/>
          <w:u w:val="none"/>
        </w:rPr>
        <w:t>1</w:t>
      </w:r>
      <w:r>
        <w:rPr>
          <w:rFonts w:hint="eastAsia"/>
          <w:color w:val="auto"/>
          <w:highlight w:val="none"/>
          <w:u w:val="none"/>
        </w:rPr>
        <w:t>月</w:t>
      </w:r>
      <w:r>
        <w:rPr>
          <w:color w:val="auto"/>
          <w:highlight w:val="none"/>
          <w:u w:val="none"/>
        </w:rPr>
        <w:t>8</w:t>
      </w:r>
      <w:r>
        <w:rPr>
          <w:rFonts w:hint="eastAsia"/>
          <w:color w:val="auto"/>
          <w:highlight w:val="none"/>
          <w:u w:val="none"/>
        </w:rPr>
        <w:t>日发布；</w:t>
      </w:r>
    </w:p>
    <w:p w14:paraId="7131629A">
      <w:pPr>
        <w:pStyle w:val="82"/>
        <w:rPr>
          <w:rFonts w:hint="eastAsia"/>
          <w:color w:val="auto"/>
          <w:highlight w:val="none"/>
          <w:u w:val="none"/>
        </w:rPr>
      </w:pPr>
      <w:r>
        <w:rPr>
          <w:rFonts w:hint="eastAsia"/>
          <w:color w:val="auto"/>
          <w:highlight w:val="none"/>
          <w:u w:val="none"/>
        </w:rPr>
        <w:t>（</w:t>
      </w:r>
      <w:r>
        <w:rPr>
          <w:color w:val="auto"/>
          <w:highlight w:val="none"/>
          <w:u w:val="none"/>
        </w:rPr>
        <w:t>35</w:t>
      </w:r>
      <w:r>
        <w:rPr>
          <w:rFonts w:hint="eastAsia"/>
          <w:color w:val="auto"/>
          <w:highlight w:val="none"/>
          <w:u w:val="none"/>
        </w:rPr>
        <w:t>）《国务院办公厅关于印发</w:t>
      </w:r>
      <w:r>
        <w:rPr>
          <w:color w:val="auto"/>
          <w:highlight w:val="none"/>
          <w:u w:val="none"/>
        </w:rPr>
        <w:t>&lt;</w:t>
      </w:r>
      <w:r>
        <w:rPr>
          <w:rFonts w:hint="eastAsia"/>
          <w:color w:val="auto"/>
          <w:highlight w:val="none"/>
          <w:u w:val="none"/>
        </w:rPr>
        <w:t>新污染物治理行动方案</w:t>
      </w:r>
      <w:r>
        <w:rPr>
          <w:color w:val="auto"/>
          <w:highlight w:val="none"/>
          <w:u w:val="none"/>
        </w:rPr>
        <w:t>&gt;</w:t>
      </w:r>
      <w:r>
        <w:rPr>
          <w:rFonts w:hint="eastAsia"/>
          <w:color w:val="auto"/>
          <w:highlight w:val="none"/>
          <w:u w:val="none"/>
        </w:rPr>
        <w:t>的通知》（国办发</w:t>
      </w:r>
      <w:r>
        <w:rPr>
          <w:color w:val="auto"/>
          <w:highlight w:val="none"/>
          <w:u w:val="none"/>
        </w:rPr>
        <w:t>[2022]15</w:t>
      </w:r>
      <w:r>
        <w:rPr>
          <w:rFonts w:hint="eastAsia"/>
          <w:color w:val="auto"/>
          <w:highlight w:val="none"/>
          <w:u w:val="none"/>
        </w:rPr>
        <w:t>号），</w:t>
      </w:r>
      <w:r>
        <w:rPr>
          <w:color w:val="auto"/>
          <w:highlight w:val="none"/>
          <w:u w:val="none"/>
        </w:rPr>
        <w:t>2022</w:t>
      </w:r>
      <w:r>
        <w:rPr>
          <w:rFonts w:hint="eastAsia"/>
          <w:color w:val="auto"/>
          <w:highlight w:val="none"/>
          <w:u w:val="none"/>
        </w:rPr>
        <w:t>年</w:t>
      </w:r>
      <w:r>
        <w:rPr>
          <w:color w:val="auto"/>
          <w:highlight w:val="none"/>
          <w:u w:val="none"/>
        </w:rPr>
        <w:t>5</w:t>
      </w:r>
      <w:r>
        <w:rPr>
          <w:rFonts w:hint="eastAsia"/>
          <w:color w:val="auto"/>
          <w:highlight w:val="none"/>
          <w:u w:val="none"/>
        </w:rPr>
        <w:t>月</w:t>
      </w:r>
      <w:r>
        <w:rPr>
          <w:color w:val="auto"/>
          <w:highlight w:val="none"/>
          <w:u w:val="none"/>
        </w:rPr>
        <w:t>4</w:t>
      </w:r>
      <w:r>
        <w:rPr>
          <w:rFonts w:hint="eastAsia"/>
          <w:color w:val="auto"/>
          <w:highlight w:val="none"/>
          <w:u w:val="none"/>
        </w:rPr>
        <w:t>日；</w:t>
      </w:r>
    </w:p>
    <w:p w14:paraId="6F07A3BF">
      <w:pPr>
        <w:pStyle w:val="82"/>
        <w:rPr>
          <w:rFonts w:hint="eastAsia"/>
          <w:color w:val="auto"/>
          <w:highlight w:val="none"/>
          <w:u w:val="none"/>
        </w:rPr>
      </w:pPr>
      <w:r>
        <w:rPr>
          <w:rFonts w:hint="eastAsia"/>
          <w:color w:val="auto"/>
          <w:highlight w:val="none"/>
          <w:u w:val="none"/>
        </w:rPr>
        <w:t>（36）《关于印发&lt;重点行业挥发性有机物综合治理方案&gt;的通知》（环大气[2019]53号），2019年6月26日；</w:t>
      </w:r>
    </w:p>
    <w:p w14:paraId="72E8619C">
      <w:pPr>
        <w:pStyle w:val="82"/>
        <w:rPr>
          <w:rFonts w:hint="eastAsia"/>
          <w:color w:val="auto"/>
          <w:highlight w:val="none"/>
          <w:u w:val="none"/>
        </w:rPr>
      </w:pPr>
      <w:r>
        <w:rPr>
          <w:rFonts w:hint="eastAsia"/>
          <w:color w:val="auto"/>
          <w:highlight w:val="none"/>
          <w:u w:val="none"/>
        </w:rPr>
        <w:t>（37）《关于加快解决当前挥发性有机物治理突出问题的通知》（环大气〔2021〕65号），2021年8月4日；</w:t>
      </w:r>
    </w:p>
    <w:p w14:paraId="42EFD474">
      <w:pPr>
        <w:pStyle w:val="82"/>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lang w:val="en-US" w:eastAsia="zh-CN"/>
        </w:rPr>
        <w:t>8</w:t>
      </w:r>
      <w:r>
        <w:rPr>
          <w:rFonts w:hint="eastAsia"/>
          <w:color w:val="auto"/>
          <w:highlight w:val="none"/>
          <w:u w:val="none"/>
        </w:rPr>
        <w:t>）《关于贯彻实施国家主体功能区环境政策的若干意见》（环发</w:t>
      </w:r>
      <w:r>
        <w:rPr>
          <w:color w:val="auto"/>
          <w:highlight w:val="none"/>
          <w:u w:val="none"/>
        </w:rPr>
        <w:t>[2015]92</w:t>
      </w:r>
      <w:r>
        <w:rPr>
          <w:rFonts w:hint="eastAsia"/>
          <w:color w:val="auto"/>
          <w:highlight w:val="none"/>
          <w:u w:val="none"/>
        </w:rPr>
        <w:t>号），</w:t>
      </w:r>
      <w:r>
        <w:rPr>
          <w:color w:val="auto"/>
          <w:highlight w:val="none"/>
          <w:u w:val="none"/>
        </w:rPr>
        <w:t>2015</w:t>
      </w:r>
      <w:r>
        <w:rPr>
          <w:rFonts w:hint="eastAsia"/>
          <w:color w:val="auto"/>
          <w:highlight w:val="none"/>
          <w:u w:val="none"/>
        </w:rPr>
        <w:t>年</w:t>
      </w:r>
      <w:r>
        <w:rPr>
          <w:color w:val="auto"/>
          <w:highlight w:val="none"/>
          <w:u w:val="none"/>
        </w:rPr>
        <w:t>7</w:t>
      </w:r>
      <w:r>
        <w:rPr>
          <w:rFonts w:hint="eastAsia"/>
          <w:color w:val="auto"/>
          <w:highlight w:val="none"/>
          <w:u w:val="none"/>
        </w:rPr>
        <w:t>月</w:t>
      </w:r>
      <w:r>
        <w:rPr>
          <w:color w:val="auto"/>
          <w:highlight w:val="none"/>
          <w:u w:val="none"/>
        </w:rPr>
        <w:t>23</w:t>
      </w:r>
      <w:r>
        <w:rPr>
          <w:rFonts w:hint="eastAsia"/>
          <w:color w:val="auto"/>
          <w:highlight w:val="none"/>
          <w:u w:val="none"/>
        </w:rPr>
        <w:t>日；</w:t>
      </w:r>
    </w:p>
    <w:p w14:paraId="05B62D54">
      <w:pPr>
        <w:pStyle w:val="82"/>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lang w:val="en-US" w:eastAsia="zh-CN"/>
        </w:rPr>
        <w:t>9</w:t>
      </w:r>
      <w:r>
        <w:rPr>
          <w:rFonts w:hint="eastAsia"/>
          <w:color w:val="auto"/>
          <w:highlight w:val="none"/>
          <w:u w:val="none"/>
        </w:rPr>
        <w:t>）《关于印发</w:t>
      </w:r>
      <w:r>
        <w:rPr>
          <w:color w:val="auto"/>
          <w:highlight w:val="none"/>
          <w:u w:val="none"/>
        </w:rPr>
        <w:t>&lt;</w:t>
      </w:r>
      <w:r>
        <w:rPr>
          <w:rFonts w:hint="eastAsia"/>
          <w:color w:val="auto"/>
          <w:highlight w:val="none"/>
          <w:u w:val="none"/>
        </w:rPr>
        <w:t>建设项目主要污染物排放总量指标审核及管理暂行办法</w:t>
      </w:r>
      <w:r>
        <w:rPr>
          <w:color w:val="auto"/>
          <w:highlight w:val="none"/>
          <w:u w:val="none"/>
        </w:rPr>
        <w:t>&gt;</w:t>
      </w:r>
      <w:r>
        <w:rPr>
          <w:rFonts w:hint="eastAsia"/>
          <w:color w:val="auto"/>
          <w:highlight w:val="none"/>
          <w:u w:val="none"/>
        </w:rPr>
        <w:t>的通知》（环发</w:t>
      </w:r>
      <w:r>
        <w:rPr>
          <w:color w:val="auto"/>
          <w:highlight w:val="none"/>
          <w:u w:val="none"/>
        </w:rPr>
        <w:t>[2014]197</w:t>
      </w:r>
      <w:r>
        <w:rPr>
          <w:rFonts w:hint="eastAsia"/>
          <w:color w:val="auto"/>
          <w:highlight w:val="none"/>
          <w:u w:val="none"/>
        </w:rPr>
        <w:t>号），</w:t>
      </w:r>
      <w:r>
        <w:rPr>
          <w:color w:val="auto"/>
          <w:highlight w:val="none"/>
          <w:u w:val="none"/>
        </w:rPr>
        <w:t>2014</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30</w:t>
      </w:r>
      <w:r>
        <w:rPr>
          <w:rFonts w:hint="eastAsia"/>
          <w:color w:val="auto"/>
          <w:highlight w:val="none"/>
          <w:u w:val="none"/>
        </w:rPr>
        <w:t>日；</w:t>
      </w:r>
    </w:p>
    <w:p w14:paraId="38F5920F">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40</w:t>
      </w:r>
      <w:r>
        <w:rPr>
          <w:rFonts w:hint="eastAsia"/>
          <w:color w:val="auto"/>
          <w:highlight w:val="none"/>
          <w:u w:val="none"/>
        </w:rPr>
        <w:t>）《关于切实加强风险防范严格环境影响评价管理的通知》（环发</w:t>
      </w:r>
      <w:r>
        <w:rPr>
          <w:color w:val="auto"/>
          <w:highlight w:val="none"/>
          <w:u w:val="none"/>
        </w:rPr>
        <w:t>[2012]98</w:t>
      </w:r>
      <w:r>
        <w:rPr>
          <w:rFonts w:hint="eastAsia"/>
          <w:color w:val="auto"/>
          <w:highlight w:val="none"/>
          <w:u w:val="none"/>
        </w:rPr>
        <w:t>号），</w:t>
      </w:r>
      <w:r>
        <w:rPr>
          <w:color w:val="auto"/>
          <w:highlight w:val="none"/>
          <w:u w:val="none"/>
        </w:rPr>
        <w:t>2012</w:t>
      </w:r>
      <w:r>
        <w:rPr>
          <w:rFonts w:hint="eastAsia"/>
          <w:color w:val="auto"/>
          <w:highlight w:val="none"/>
          <w:u w:val="none"/>
        </w:rPr>
        <w:t>年</w:t>
      </w:r>
      <w:r>
        <w:rPr>
          <w:color w:val="auto"/>
          <w:highlight w:val="none"/>
          <w:u w:val="none"/>
        </w:rPr>
        <w:t>8</w:t>
      </w:r>
      <w:r>
        <w:rPr>
          <w:rFonts w:hint="eastAsia"/>
          <w:color w:val="auto"/>
          <w:highlight w:val="none"/>
          <w:u w:val="none"/>
        </w:rPr>
        <w:t>月</w:t>
      </w:r>
      <w:r>
        <w:rPr>
          <w:color w:val="auto"/>
          <w:highlight w:val="none"/>
          <w:u w:val="none"/>
        </w:rPr>
        <w:t>7</w:t>
      </w:r>
      <w:r>
        <w:rPr>
          <w:rFonts w:hint="eastAsia"/>
          <w:color w:val="auto"/>
          <w:highlight w:val="none"/>
          <w:u w:val="none"/>
        </w:rPr>
        <w:t>日；</w:t>
      </w:r>
    </w:p>
    <w:p w14:paraId="3FF1192C">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1</w:t>
      </w:r>
      <w:r>
        <w:rPr>
          <w:rFonts w:hint="eastAsia"/>
          <w:color w:val="auto"/>
          <w:highlight w:val="none"/>
          <w:u w:val="none"/>
        </w:rPr>
        <w:t>）《关于进一步加强环境影响评价管理防范环境风险的通知》（环发</w:t>
      </w:r>
      <w:r>
        <w:rPr>
          <w:color w:val="auto"/>
          <w:highlight w:val="none"/>
          <w:u w:val="none"/>
        </w:rPr>
        <w:t>[2012]77</w:t>
      </w:r>
      <w:r>
        <w:rPr>
          <w:rFonts w:hint="eastAsia"/>
          <w:color w:val="auto"/>
          <w:highlight w:val="none"/>
          <w:u w:val="none"/>
        </w:rPr>
        <w:t>号），</w:t>
      </w:r>
      <w:r>
        <w:rPr>
          <w:color w:val="auto"/>
          <w:highlight w:val="none"/>
          <w:u w:val="none"/>
        </w:rPr>
        <w:t>2012</w:t>
      </w:r>
      <w:r>
        <w:rPr>
          <w:rFonts w:hint="eastAsia"/>
          <w:color w:val="auto"/>
          <w:highlight w:val="none"/>
          <w:u w:val="none"/>
        </w:rPr>
        <w:t>年</w:t>
      </w:r>
      <w:r>
        <w:rPr>
          <w:color w:val="auto"/>
          <w:highlight w:val="none"/>
          <w:u w:val="none"/>
        </w:rPr>
        <w:t>7</w:t>
      </w:r>
      <w:r>
        <w:rPr>
          <w:rFonts w:hint="eastAsia"/>
          <w:color w:val="auto"/>
          <w:highlight w:val="none"/>
          <w:u w:val="none"/>
        </w:rPr>
        <w:t>月</w:t>
      </w:r>
      <w:r>
        <w:rPr>
          <w:color w:val="auto"/>
          <w:highlight w:val="none"/>
          <w:u w:val="none"/>
        </w:rPr>
        <w:t>3</w:t>
      </w:r>
      <w:r>
        <w:rPr>
          <w:rFonts w:hint="eastAsia"/>
          <w:color w:val="auto"/>
          <w:highlight w:val="none"/>
          <w:u w:val="none"/>
        </w:rPr>
        <w:t>日；</w:t>
      </w:r>
    </w:p>
    <w:p w14:paraId="1F5F9104">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2</w:t>
      </w:r>
      <w:r>
        <w:rPr>
          <w:rFonts w:hint="eastAsia"/>
          <w:color w:val="auto"/>
          <w:highlight w:val="none"/>
          <w:u w:val="none"/>
        </w:rPr>
        <w:t>）《关于发布</w:t>
      </w:r>
      <w:r>
        <w:rPr>
          <w:color w:val="auto"/>
          <w:highlight w:val="none"/>
          <w:u w:val="none"/>
        </w:rPr>
        <w:t>2016</w:t>
      </w:r>
      <w:r>
        <w:rPr>
          <w:rFonts w:hint="eastAsia"/>
          <w:color w:val="auto"/>
          <w:highlight w:val="none"/>
          <w:u w:val="none"/>
        </w:rPr>
        <w:t>年</w:t>
      </w:r>
      <w:r>
        <w:rPr>
          <w:color w:val="auto"/>
          <w:highlight w:val="none"/>
          <w:u w:val="none"/>
        </w:rPr>
        <w:t>&lt;</w:t>
      </w:r>
      <w:r>
        <w:rPr>
          <w:rFonts w:hint="eastAsia"/>
          <w:color w:val="auto"/>
          <w:highlight w:val="none"/>
          <w:u w:val="none"/>
        </w:rPr>
        <w:t>国家先进污染防治技术目录（</w:t>
      </w:r>
      <w:r>
        <w:rPr>
          <w:color w:val="auto"/>
          <w:highlight w:val="none"/>
          <w:u w:val="none"/>
        </w:rPr>
        <w:t>VOCs</w:t>
      </w:r>
      <w:r>
        <w:rPr>
          <w:rFonts w:hint="eastAsia"/>
          <w:color w:val="auto"/>
          <w:highlight w:val="none"/>
          <w:u w:val="none"/>
        </w:rPr>
        <w:t>防治领域）的公告》（环境保护部公告，</w:t>
      </w:r>
      <w:r>
        <w:rPr>
          <w:color w:val="auto"/>
          <w:highlight w:val="none"/>
          <w:u w:val="none"/>
        </w:rPr>
        <w:t>2016</w:t>
      </w:r>
      <w:r>
        <w:rPr>
          <w:rFonts w:hint="eastAsia"/>
          <w:color w:val="auto"/>
          <w:highlight w:val="none"/>
          <w:u w:val="none"/>
        </w:rPr>
        <w:t>年第</w:t>
      </w:r>
      <w:r>
        <w:rPr>
          <w:color w:val="auto"/>
          <w:highlight w:val="none"/>
          <w:u w:val="none"/>
        </w:rPr>
        <w:t>75</w:t>
      </w:r>
      <w:r>
        <w:rPr>
          <w:rFonts w:hint="eastAsia"/>
          <w:color w:val="auto"/>
          <w:highlight w:val="none"/>
          <w:u w:val="none"/>
        </w:rPr>
        <w:t>号），</w:t>
      </w:r>
      <w:r>
        <w:rPr>
          <w:color w:val="auto"/>
          <w:highlight w:val="none"/>
          <w:u w:val="none"/>
        </w:rPr>
        <w:t>2016</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13</w:t>
      </w:r>
      <w:r>
        <w:rPr>
          <w:rFonts w:hint="eastAsia"/>
          <w:color w:val="auto"/>
          <w:highlight w:val="none"/>
          <w:u w:val="none"/>
        </w:rPr>
        <w:t>日；</w:t>
      </w:r>
    </w:p>
    <w:p w14:paraId="304B0CBD">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3</w:t>
      </w:r>
      <w:r>
        <w:rPr>
          <w:rFonts w:hint="eastAsia"/>
          <w:color w:val="auto"/>
          <w:highlight w:val="none"/>
          <w:u w:val="none"/>
        </w:rPr>
        <w:t>）《关于做好环境影响评价制度与排污许可制衔接相关工作的通知》（环办环评</w:t>
      </w:r>
      <w:r>
        <w:rPr>
          <w:color w:val="auto"/>
          <w:highlight w:val="none"/>
          <w:u w:val="none"/>
        </w:rPr>
        <w:t>[2017]84</w:t>
      </w:r>
      <w:r>
        <w:rPr>
          <w:rFonts w:hint="eastAsia"/>
          <w:color w:val="auto"/>
          <w:highlight w:val="none"/>
          <w:u w:val="none"/>
        </w:rPr>
        <w:t>号），</w:t>
      </w:r>
      <w:r>
        <w:rPr>
          <w:color w:val="auto"/>
          <w:highlight w:val="none"/>
          <w:u w:val="none"/>
        </w:rPr>
        <w:t>2017</w:t>
      </w:r>
      <w:r>
        <w:rPr>
          <w:rFonts w:hint="eastAsia"/>
          <w:color w:val="auto"/>
          <w:highlight w:val="none"/>
          <w:u w:val="none"/>
        </w:rPr>
        <w:t>年</w:t>
      </w:r>
      <w:r>
        <w:rPr>
          <w:color w:val="auto"/>
          <w:highlight w:val="none"/>
          <w:u w:val="none"/>
        </w:rPr>
        <w:t>11</w:t>
      </w:r>
      <w:r>
        <w:rPr>
          <w:rFonts w:hint="eastAsia"/>
          <w:color w:val="auto"/>
          <w:highlight w:val="none"/>
          <w:u w:val="none"/>
        </w:rPr>
        <w:t>月</w:t>
      </w:r>
      <w:r>
        <w:rPr>
          <w:color w:val="auto"/>
          <w:highlight w:val="none"/>
          <w:u w:val="none"/>
        </w:rPr>
        <w:t>14</w:t>
      </w:r>
      <w:r>
        <w:rPr>
          <w:rFonts w:hint="eastAsia"/>
          <w:color w:val="auto"/>
          <w:highlight w:val="none"/>
          <w:u w:val="none"/>
        </w:rPr>
        <w:t>日；</w:t>
      </w:r>
    </w:p>
    <w:p w14:paraId="4A3470AC">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4</w:t>
      </w:r>
      <w:r>
        <w:rPr>
          <w:rFonts w:hint="eastAsia"/>
          <w:color w:val="auto"/>
          <w:highlight w:val="none"/>
          <w:u w:val="none"/>
        </w:rPr>
        <w:t>）《国家发展改革委工业和信息化部关于促进石化产业绿色发展的指导意见》（发改产业</w:t>
      </w:r>
      <w:r>
        <w:rPr>
          <w:color w:val="auto"/>
          <w:highlight w:val="none"/>
          <w:u w:val="none"/>
        </w:rPr>
        <w:t>[2017]2105</w:t>
      </w:r>
      <w:r>
        <w:rPr>
          <w:rFonts w:hint="eastAsia"/>
          <w:color w:val="auto"/>
          <w:highlight w:val="none"/>
          <w:u w:val="none"/>
        </w:rPr>
        <w:t>号），</w:t>
      </w:r>
      <w:r>
        <w:rPr>
          <w:color w:val="auto"/>
          <w:highlight w:val="none"/>
          <w:u w:val="none"/>
        </w:rPr>
        <w:t>2017</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05</w:t>
      </w:r>
      <w:r>
        <w:rPr>
          <w:rFonts w:hint="eastAsia"/>
          <w:color w:val="auto"/>
          <w:highlight w:val="none"/>
          <w:u w:val="none"/>
        </w:rPr>
        <w:t>日；</w:t>
      </w:r>
    </w:p>
    <w:p w14:paraId="58D3514C">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5</w:t>
      </w:r>
      <w:r>
        <w:rPr>
          <w:rFonts w:hint="eastAsia"/>
          <w:color w:val="auto"/>
          <w:highlight w:val="none"/>
          <w:u w:val="none"/>
        </w:rPr>
        <w:t>）《关于印发钢铁</w:t>
      </w:r>
      <w:r>
        <w:rPr>
          <w:color w:val="auto"/>
          <w:highlight w:val="none"/>
          <w:u w:val="none"/>
        </w:rPr>
        <w:t>/</w:t>
      </w:r>
      <w:r>
        <w:rPr>
          <w:rFonts w:hint="eastAsia"/>
          <w:color w:val="auto"/>
          <w:highlight w:val="none"/>
          <w:u w:val="none"/>
        </w:rPr>
        <w:t>焦化、现代煤化工、石化、火电四个行业建设项目环境影响评价文件审批原则的通知》（环办环评</w:t>
      </w:r>
      <w:r>
        <w:rPr>
          <w:color w:val="auto"/>
          <w:highlight w:val="none"/>
          <w:u w:val="none"/>
        </w:rPr>
        <w:t>[2022]31</w:t>
      </w:r>
      <w:r>
        <w:rPr>
          <w:rFonts w:hint="eastAsia"/>
          <w:color w:val="auto"/>
          <w:highlight w:val="none"/>
          <w:u w:val="none"/>
        </w:rPr>
        <w:t>号），</w:t>
      </w:r>
      <w:r>
        <w:rPr>
          <w:color w:val="auto"/>
          <w:highlight w:val="none"/>
          <w:u w:val="none"/>
        </w:rPr>
        <w:t>2022</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2</w:t>
      </w:r>
      <w:r>
        <w:rPr>
          <w:rFonts w:hint="eastAsia"/>
          <w:color w:val="auto"/>
          <w:highlight w:val="none"/>
          <w:u w:val="none"/>
        </w:rPr>
        <w:t>日；</w:t>
      </w:r>
    </w:p>
    <w:p w14:paraId="3DE2B025">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6</w:t>
      </w:r>
      <w:r>
        <w:rPr>
          <w:rFonts w:hint="eastAsia"/>
          <w:color w:val="auto"/>
          <w:highlight w:val="none"/>
          <w:u w:val="none"/>
        </w:rPr>
        <w:t>）《关于发布</w:t>
      </w:r>
      <w:r>
        <w:rPr>
          <w:color w:val="auto"/>
          <w:highlight w:val="none"/>
          <w:u w:val="none"/>
        </w:rPr>
        <w:t>&lt;</w:t>
      </w:r>
      <w:r>
        <w:rPr>
          <w:rFonts w:hint="eastAsia"/>
          <w:color w:val="auto"/>
          <w:highlight w:val="none"/>
          <w:u w:val="none"/>
        </w:rPr>
        <w:t>重点环境管理危险化学品目录</w:t>
      </w:r>
      <w:r>
        <w:rPr>
          <w:color w:val="auto"/>
          <w:highlight w:val="none"/>
          <w:u w:val="none"/>
        </w:rPr>
        <w:t>&gt;</w:t>
      </w:r>
      <w:r>
        <w:rPr>
          <w:rFonts w:hint="eastAsia"/>
          <w:color w:val="auto"/>
          <w:highlight w:val="none"/>
          <w:u w:val="none"/>
        </w:rPr>
        <w:t>的通知》（环办</w:t>
      </w:r>
      <w:r>
        <w:rPr>
          <w:color w:val="auto"/>
          <w:highlight w:val="none"/>
          <w:u w:val="none"/>
        </w:rPr>
        <w:t>[2014]33</w:t>
      </w:r>
      <w:r>
        <w:rPr>
          <w:rFonts w:hint="eastAsia"/>
          <w:color w:val="auto"/>
          <w:highlight w:val="none"/>
          <w:u w:val="none"/>
        </w:rPr>
        <w:t>号），</w:t>
      </w:r>
      <w:r>
        <w:rPr>
          <w:color w:val="auto"/>
          <w:highlight w:val="none"/>
          <w:u w:val="none"/>
        </w:rPr>
        <w:t>2014</w:t>
      </w:r>
      <w:r>
        <w:rPr>
          <w:rFonts w:hint="eastAsia"/>
          <w:color w:val="auto"/>
          <w:highlight w:val="none"/>
          <w:u w:val="none"/>
        </w:rPr>
        <w:t>年</w:t>
      </w:r>
      <w:r>
        <w:rPr>
          <w:color w:val="auto"/>
          <w:highlight w:val="none"/>
          <w:u w:val="none"/>
        </w:rPr>
        <w:t>4</w:t>
      </w:r>
      <w:r>
        <w:rPr>
          <w:rFonts w:hint="eastAsia"/>
          <w:color w:val="auto"/>
          <w:highlight w:val="none"/>
          <w:u w:val="none"/>
        </w:rPr>
        <w:t>月</w:t>
      </w:r>
      <w:r>
        <w:rPr>
          <w:color w:val="auto"/>
          <w:highlight w:val="none"/>
          <w:u w:val="none"/>
        </w:rPr>
        <w:t>3</w:t>
      </w:r>
      <w:r>
        <w:rPr>
          <w:rFonts w:hint="eastAsia"/>
          <w:color w:val="auto"/>
          <w:highlight w:val="none"/>
          <w:u w:val="none"/>
        </w:rPr>
        <w:t>日；</w:t>
      </w:r>
    </w:p>
    <w:p w14:paraId="3C8C459F">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7</w:t>
      </w:r>
      <w:r>
        <w:rPr>
          <w:rFonts w:hint="eastAsia"/>
          <w:color w:val="auto"/>
          <w:highlight w:val="none"/>
          <w:u w:val="none"/>
        </w:rPr>
        <w:t>）《关于加强化工企业等重点排污单位特征污染物监测工作的通知》（环办监测函</w:t>
      </w:r>
      <w:r>
        <w:rPr>
          <w:color w:val="auto"/>
          <w:highlight w:val="none"/>
          <w:u w:val="none"/>
        </w:rPr>
        <w:t>[2016]1686</w:t>
      </w:r>
      <w:r>
        <w:rPr>
          <w:rFonts w:hint="eastAsia"/>
          <w:color w:val="auto"/>
          <w:highlight w:val="none"/>
          <w:u w:val="none"/>
        </w:rPr>
        <w:t>号），</w:t>
      </w:r>
      <w:r>
        <w:rPr>
          <w:color w:val="auto"/>
          <w:highlight w:val="none"/>
          <w:u w:val="none"/>
        </w:rPr>
        <w:t>2016</w:t>
      </w:r>
      <w:r>
        <w:rPr>
          <w:rFonts w:hint="eastAsia"/>
          <w:color w:val="auto"/>
          <w:highlight w:val="none"/>
          <w:u w:val="none"/>
        </w:rPr>
        <w:t>年</w:t>
      </w:r>
      <w:r>
        <w:rPr>
          <w:color w:val="auto"/>
          <w:highlight w:val="none"/>
          <w:u w:val="none"/>
        </w:rPr>
        <w:t>9</w:t>
      </w:r>
      <w:r>
        <w:rPr>
          <w:rFonts w:hint="eastAsia"/>
          <w:color w:val="auto"/>
          <w:highlight w:val="none"/>
          <w:u w:val="none"/>
        </w:rPr>
        <w:t>月</w:t>
      </w:r>
      <w:r>
        <w:rPr>
          <w:color w:val="auto"/>
          <w:highlight w:val="none"/>
          <w:u w:val="none"/>
        </w:rPr>
        <w:t>20</w:t>
      </w:r>
      <w:r>
        <w:rPr>
          <w:rFonts w:hint="eastAsia"/>
          <w:color w:val="auto"/>
          <w:highlight w:val="none"/>
          <w:u w:val="none"/>
        </w:rPr>
        <w:t>日；</w:t>
      </w:r>
    </w:p>
    <w:p w14:paraId="6C57B7DB">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8</w:t>
      </w:r>
      <w:r>
        <w:rPr>
          <w:rFonts w:hint="eastAsia"/>
          <w:color w:val="auto"/>
          <w:highlight w:val="none"/>
          <w:u w:val="none"/>
        </w:rPr>
        <w:t>）《关于统筹和加强应对气候变化与生态环境保护相关工作的指导意见》（环综合（</w:t>
      </w:r>
      <w:r>
        <w:rPr>
          <w:color w:val="auto"/>
          <w:highlight w:val="none"/>
          <w:u w:val="none"/>
        </w:rPr>
        <w:t>2021</w:t>
      </w:r>
      <w:r>
        <w:rPr>
          <w:rFonts w:hint="eastAsia"/>
          <w:color w:val="auto"/>
          <w:highlight w:val="none"/>
          <w:u w:val="none"/>
        </w:rPr>
        <w:t>）</w:t>
      </w:r>
      <w:r>
        <w:rPr>
          <w:color w:val="auto"/>
          <w:highlight w:val="none"/>
          <w:u w:val="none"/>
        </w:rPr>
        <w:t>4</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w:t>
      </w:r>
      <w:r>
        <w:rPr>
          <w:rFonts w:hint="eastAsia"/>
          <w:color w:val="auto"/>
          <w:highlight w:val="none"/>
          <w:u w:val="none"/>
        </w:rPr>
        <w:t>月</w:t>
      </w:r>
      <w:r>
        <w:rPr>
          <w:color w:val="auto"/>
          <w:highlight w:val="none"/>
          <w:u w:val="none"/>
        </w:rPr>
        <w:t>11</w:t>
      </w:r>
      <w:r>
        <w:rPr>
          <w:rFonts w:hint="eastAsia"/>
          <w:color w:val="auto"/>
          <w:highlight w:val="none"/>
          <w:u w:val="none"/>
        </w:rPr>
        <w:t>日；</w:t>
      </w:r>
    </w:p>
    <w:p w14:paraId="7C353741">
      <w:pPr>
        <w:pStyle w:val="82"/>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lang w:val="en-US" w:eastAsia="zh-CN"/>
        </w:rPr>
        <w:t>9</w:t>
      </w:r>
      <w:r>
        <w:rPr>
          <w:rFonts w:hint="eastAsia"/>
          <w:color w:val="auto"/>
          <w:highlight w:val="none"/>
          <w:u w:val="none"/>
        </w:rPr>
        <w:t>）《关于加强高耗能、高排放建设项目生态环境源头防控的指导意见》（环环评</w:t>
      </w:r>
      <w:r>
        <w:rPr>
          <w:color w:val="auto"/>
          <w:highlight w:val="none"/>
          <w:u w:val="none"/>
        </w:rPr>
        <w:t>[2021]45</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5</w:t>
      </w:r>
      <w:r>
        <w:rPr>
          <w:rFonts w:hint="eastAsia"/>
          <w:color w:val="auto"/>
          <w:highlight w:val="none"/>
          <w:u w:val="none"/>
        </w:rPr>
        <w:t>月</w:t>
      </w:r>
      <w:r>
        <w:rPr>
          <w:color w:val="auto"/>
          <w:highlight w:val="none"/>
          <w:u w:val="none"/>
        </w:rPr>
        <w:t>30</w:t>
      </w:r>
      <w:r>
        <w:rPr>
          <w:rFonts w:hint="eastAsia"/>
          <w:color w:val="auto"/>
          <w:highlight w:val="none"/>
          <w:u w:val="none"/>
        </w:rPr>
        <w:t>日；</w:t>
      </w:r>
    </w:p>
    <w:p w14:paraId="2095ABA1">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50</w:t>
      </w:r>
      <w:r>
        <w:rPr>
          <w:rFonts w:hint="eastAsia"/>
          <w:color w:val="auto"/>
          <w:highlight w:val="none"/>
          <w:u w:val="none"/>
        </w:rPr>
        <w:t>）《国家发展改革委等部门关于严格能效约束推动重点领域节能降碳的若干意见》（发改产业（</w:t>
      </w:r>
      <w:r>
        <w:rPr>
          <w:color w:val="auto"/>
          <w:highlight w:val="none"/>
          <w:u w:val="none"/>
        </w:rPr>
        <w:t>2021</w:t>
      </w:r>
      <w:r>
        <w:rPr>
          <w:rFonts w:hint="eastAsia"/>
          <w:color w:val="auto"/>
          <w:highlight w:val="none"/>
          <w:u w:val="none"/>
        </w:rPr>
        <w:t>）</w:t>
      </w:r>
      <w:r>
        <w:rPr>
          <w:color w:val="auto"/>
          <w:highlight w:val="none"/>
          <w:u w:val="none"/>
        </w:rPr>
        <w:t>1464</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10</w:t>
      </w:r>
      <w:r>
        <w:rPr>
          <w:rFonts w:hint="eastAsia"/>
          <w:color w:val="auto"/>
          <w:highlight w:val="none"/>
          <w:u w:val="none"/>
        </w:rPr>
        <w:t>月</w:t>
      </w:r>
      <w:r>
        <w:rPr>
          <w:color w:val="auto"/>
          <w:highlight w:val="none"/>
          <w:u w:val="none"/>
        </w:rPr>
        <w:t>18</w:t>
      </w:r>
      <w:r>
        <w:rPr>
          <w:rFonts w:hint="eastAsia"/>
          <w:color w:val="auto"/>
          <w:highlight w:val="none"/>
          <w:u w:val="none"/>
        </w:rPr>
        <w:t>日；</w:t>
      </w:r>
    </w:p>
    <w:p w14:paraId="568E29BD">
      <w:pPr>
        <w:pStyle w:val="82"/>
        <w:rPr>
          <w:rFonts w:hint="eastAsia"/>
          <w:color w:val="auto"/>
          <w:highlight w:val="none"/>
          <w:u w:val="none"/>
        </w:rPr>
      </w:pPr>
      <w:r>
        <w:rPr>
          <w:rFonts w:hint="eastAsia"/>
          <w:color w:val="auto"/>
          <w:highlight w:val="none"/>
          <w:u w:val="none"/>
        </w:rPr>
        <w:t>（5</w:t>
      </w:r>
      <w:r>
        <w:rPr>
          <w:color w:val="auto"/>
          <w:highlight w:val="none"/>
          <w:u w:val="none"/>
        </w:rPr>
        <w:t>1</w:t>
      </w:r>
      <w:r>
        <w:rPr>
          <w:rFonts w:hint="eastAsia"/>
          <w:color w:val="auto"/>
          <w:highlight w:val="none"/>
          <w:u w:val="none"/>
        </w:rPr>
        <w:t>）《中共中央</w:t>
      </w:r>
      <w:r>
        <w:rPr>
          <w:color w:val="auto"/>
          <w:highlight w:val="none"/>
          <w:u w:val="none"/>
        </w:rPr>
        <w:t xml:space="preserve"> 国务院关于深入打好污染防治攻坚战的意见</w:t>
      </w:r>
      <w:r>
        <w:rPr>
          <w:rFonts w:hint="eastAsia"/>
          <w:color w:val="auto"/>
          <w:highlight w:val="none"/>
          <w:u w:val="none"/>
        </w:rPr>
        <w:t>》，2</w:t>
      </w:r>
      <w:r>
        <w:rPr>
          <w:color w:val="auto"/>
          <w:highlight w:val="none"/>
          <w:u w:val="none"/>
        </w:rPr>
        <w:t>021</w:t>
      </w:r>
      <w:r>
        <w:rPr>
          <w:rFonts w:hint="eastAsia"/>
          <w:color w:val="auto"/>
          <w:highlight w:val="none"/>
          <w:u w:val="none"/>
        </w:rPr>
        <w:t>年1</w:t>
      </w:r>
      <w:r>
        <w:rPr>
          <w:color w:val="auto"/>
          <w:highlight w:val="none"/>
          <w:u w:val="none"/>
        </w:rPr>
        <w:t>1</w:t>
      </w:r>
      <w:r>
        <w:rPr>
          <w:rFonts w:hint="eastAsia"/>
          <w:color w:val="auto"/>
          <w:highlight w:val="none"/>
          <w:u w:val="none"/>
        </w:rPr>
        <w:t>月2日；</w:t>
      </w:r>
    </w:p>
    <w:p w14:paraId="28E61270">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2</w:t>
      </w:r>
      <w:r>
        <w:rPr>
          <w:rFonts w:hint="eastAsia"/>
          <w:color w:val="auto"/>
          <w:highlight w:val="none"/>
          <w:u w:val="none"/>
        </w:rPr>
        <w:t>）国家发展改革委等部门关于印发《“十四五”全国清洁生产推行方案》的通知（发改环资（</w:t>
      </w:r>
      <w:r>
        <w:rPr>
          <w:color w:val="auto"/>
          <w:highlight w:val="none"/>
          <w:u w:val="none"/>
        </w:rPr>
        <w:t>2021</w:t>
      </w:r>
      <w:r>
        <w:rPr>
          <w:rFonts w:hint="eastAsia"/>
          <w:color w:val="auto"/>
          <w:highlight w:val="none"/>
          <w:u w:val="none"/>
        </w:rPr>
        <w:t>）</w:t>
      </w:r>
      <w:r>
        <w:rPr>
          <w:color w:val="auto"/>
          <w:highlight w:val="none"/>
          <w:u w:val="none"/>
        </w:rPr>
        <w:t>1524</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10</w:t>
      </w:r>
      <w:r>
        <w:rPr>
          <w:rFonts w:hint="eastAsia"/>
          <w:color w:val="auto"/>
          <w:highlight w:val="none"/>
          <w:u w:val="none"/>
        </w:rPr>
        <w:t>月</w:t>
      </w:r>
      <w:r>
        <w:rPr>
          <w:color w:val="auto"/>
          <w:highlight w:val="none"/>
          <w:u w:val="none"/>
        </w:rPr>
        <w:t>29</w:t>
      </w:r>
      <w:r>
        <w:rPr>
          <w:rFonts w:hint="eastAsia"/>
          <w:color w:val="auto"/>
          <w:highlight w:val="none"/>
          <w:u w:val="none"/>
        </w:rPr>
        <w:t>日；</w:t>
      </w:r>
    </w:p>
    <w:p w14:paraId="1D5E0916">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3</w:t>
      </w:r>
      <w:r>
        <w:rPr>
          <w:rFonts w:hint="eastAsia"/>
          <w:color w:val="auto"/>
          <w:highlight w:val="none"/>
          <w:u w:val="none"/>
        </w:rPr>
        <w:t>）《关于开展工业固体废物排污许可管理工作的通知》（环办环评</w:t>
      </w:r>
      <w:r>
        <w:rPr>
          <w:color w:val="auto"/>
          <w:highlight w:val="none"/>
          <w:u w:val="none"/>
        </w:rPr>
        <w:t>[2021]26</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22</w:t>
      </w:r>
      <w:r>
        <w:rPr>
          <w:rFonts w:hint="eastAsia"/>
          <w:color w:val="auto"/>
          <w:highlight w:val="none"/>
          <w:u w:val="none"/>
        </w:rPr>
        <w:t>日</w:t>
      </w:r>
    </w:p>
    <w:p w14:paraId="3B8F65E3">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4</w:t>
      </w:r>
      <w:r>
        <w:rPr>
          <w:rFonts w:hint="eastAsia"/>
          <w:color w:val="auto"/>
          <w:highlight w:val="none"/>
          <w:u w:val="none"/>
        </w:rPr>
        <w:t>）《关于实施“三线一单”生态环境分区管控的指导意见（试行）》（环环评</w:t>
      </w:r>
      <w:r>
        <w:rPr>
          <w:color w:val="auto"/>
          <w:highlight w:val="none"/>
          <w:u w:val="none"/>
        </w:rPr>
        <w:t>[2021]108</w:t>
      </w:r>
      <w:r>
        <w:rPr>
          <w:rFonts w:hint="eastAsia"/>
          <w:color w:val="auto"/>
          <w:highlight w:val="none"/>
          <w:u w:val="none"/>
        </w:rPr>
        <w:t>号），</w:t>
      </w:r>
      <w:r>
        <w:rPr>
          <w:color w:val="auto"/>
          <w:highlight w:val="none"/>
          <w:u w:val="none"/>
        </w:rPr>
        <w:t>2021</w:t>
      </w:r>
      <w:r>
        <w:rPr>
          <w:rFonts w:hint="eastAsia"/>
          <w:color w:val="auto"/>
          <w:highlight w:val="none"/>
          <w:u w:val="none"/>
        </w:rPr>
        <w:t>年</w:t>
      </w:r>
      <w:r>
        <w:rPr>
          <w:color w:val="auto"/>
          <w:highlight w:val="none"/>
          <w:u w:val="none"/>
        </w:rPr>
        <w:t>11</w:t>
      </w:r>
      <w:r>
        <w:rPr>
          <w:rFonts w:hint="eastAsia"/>
          <w:color w:val="auto"/>
          <w:highlight w:val="none"/>
          <w:u w:val="none"/>
        </w:rPr>
        <w:t>月</w:t>
      </w:r>
      <w:r>
        <w:rPr>
          <w:color w:val="auto"/>
          <w:highlight w:val="none"/>
          <w:u w:val="none"/>
        </w:rPr>
        <w:t>19</w:t>
      </w:r>
      <w:r>
        <w:rPr>
          <w:rFonts w:hint="eastAsia"/>
          <w:color w:val="auto"/>
          <w:highlight w:val="none"/>
          <w:u w:val="none"/>
        </w:rPr>
        <w:t>日；</w:t>
      </w:r>
    </w:p>
    <w:p w14:paraId="07448797">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5</w:t>
      </w:r>
      <w:r>
        <w:rPr>
          <w:rFonts w:hint="eastAsia"/>
          <w:color w:val="auto"/>
          <w:highlight w:val="none"/>
          <w:u w:val="none"/>
        </w:rPr>
        <w:t>）《关于印发</w:t>
      </w:r>
      <w:r>
        <w:rPr>
          <w:color w:val="auto"/>
          <w:highlight w:val="none"/>
          <w:u w:val="none"/>
        </w:rPr>
        <w:t>&lt;</w:t>
      </w:r>
      <w:r>
        <w:rPr>
          <w:rFonts w:hint="eastAsia"/>
          <w:color w:val="auto"/>
          <w:highlight w:val="none"/>
          <w:u w:val="none"/>
        </w:rPr>
        <w:t>石油化工企业环境应急预案编制指南</w:t>
      </w:r>
      <w:r>
        <w:rPr>
          <w:color w:val="auto"/>
          <w:highlight w:val="none"/>
          <w:u w:val="none"/>
        </w:rPr>
        <w:t>&gt;</w:t>
      </w:r>
      <w:r>
        <w:rPr>
          <w:rFonts w:hint="eastAsia"/>
          <w:color w:val="auto"/>
          <w:highlight w:val="none"/>
          <w:u w:val="none"/>
        </w:rPr>
        <w:t>的通知》（环办</w:t>
      </w:r>
      <w:r>
        <w:rPr>
          <w:color w:val="auto"/>
          <w:highlight w:val="none"/>
          <w:u w:val="none"/>
        </w:rPr>
        <w:t>[2010]10</w:t>
      </w:r>
      <w:r>
        <w:rPr>
          <w:rFonts w:hint="eastAsia"/>
          <w:color w:val="auto"/>
          <w:highlight w:val="none"/>
          <w:u w:val="none"/>
        </w:rPr>
        <w:t>号），</w:t>
      </w:r>
      <w:r>
        <w:rPr>
          <w:color w:val="auto"/>
          <w:highlight w:val="none"/>
          <w:u w:val="none"/>
        </w:rPr>
        <w:t>2010</w:t>
      </w:r>
      <w:r>
        <w:rPr>
          <w:rFonts w:hint="eastAsia"/>
          <w:color w:val="auto"/>
          <w:highlight w:val="none"/>
          <w:u w:val="none"/>
        </w:rPr>
        <w:t>年</w:t>
      </w:r>
      <w:r>
        <w:rPr>
          <w:color w:val="auto"/>
          <w:highlight w:val="none"/>
          <w:u w:val="none"/>
        </w:rPr>
        <w:t>1</w:t>
      </w:r>
      <w:r>
        <w:rPr>
          <w:rFonts w:hint="eastAsia"/>
          <w:color w:val="auto"/>
          <w:highlight w:val="none"/>
          <w:u w:val="none"/>
        </w:rPr>
        <w:t>月</w:t>
      </w:r>
      <w:r>
        <w:rPr>
          <w:color w:val="auto"/>
          <w:highlight w:val="none"/>
          <w:u w:val="none"/>
        </w:rPr>
        <w:t>30</w:t>
      </w:r>
      <w:r>
        <w:rPr>
          <w:rFonts w:hint="eastAsia"/>
          <w:color w:val="auto"/>
          <w:highlight w:val="none"/>
          <w:u w:val="none"/>
        </w:rPr>
        <w:t>日；</w:t>
      </w:r>
    </w:p>
    <w:p w14:paraId="6B126253">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6</w:t>
      </w:r>
      <w:r>
        <w:rPr>
          <w:rFonts w:hint="eastAsia"/>
          <w:color w:val="auto"/>
          <w:highlight w:val="none"/>
          <w:u w:val="none"/>
        </w:rPr>
        <w:t>）《关于执行大气污染物特别排放限值的公告》（环保部公告</w:t>
      </w:r>
      <w:r>
        <w:rPr>
          <w:color w:val="auto"/>
          <w:highlight w:val="none"/>
          <w:u w:val="none"/>
        </w:rPr>
        <w:t>2013</w:t>
      </w:r>
      <w:r>
        <w:rPr>
          <w:rFonts w:hint="eastAsia"/>
          <w:color w:val="auto"/>
          <w:highlight w:val="none"/>
          <w:u w:val="none"/>
        </w:rPr>
        <w:t>年第</w:t>
      </w:r>
      <w:r>
        <w:rPr>
          <w:color w:val="auto"/>
          <w:highlight w:val="none"/>
          <w:u w:val="none"/>
        </w:rPr>
        <w:t>14</w:t>
      </w:r>
      <w:r>
        <w:rPr>
          <w:rFonts w:hint="eastAsia"/>
          <w:color w:val="auto"/>
          <w:highlight w:val="none"/>
          <w:u w:val="none"/>
        </w:rPr>
        <w:t>号），</w:t>
      </w:r>
      <w:r>
        <w:rPr>
          <w:color w:val="auto"/>
          <w:highlight w:val="none"/>
          <w:u w:val="none"/>
        </w:rPr>
        <w:t>2013</w:t>
      </w:r>
      <w:r>
        <w:rPr>
          <w:rFonts w:hint="eastAsia"/>
          <w:color w:val="auto"/>
          <w:highlight w:val="none"/>
          <w:u w:val="none"/>
        </w:rPr>
        <w:t>年</w:t>
      </w:r>
      <w:r>
        <w:rPr>
          <w:color w:val="auto"/>
          <w:highlight w:val="none"/>
          <w:u w:val="none"/>
        </w:rPr>
        <w:t>2</w:t>
      </w:r>
      <w:r>
        <w:rPr>
          <w:rFonts w:hint="eastAsia"/>
          <w:color w:val="auto"/>
          <w:highlight w:val="none"/>
          <w:u w:val="none"/>
        </w:rPr>
        <w:t>月</w:t>
      </w:r>
      <w:r>
        <w:rPr>
          <w:color w:val="auto"/>
          <w:highlight w:val="none"/>
          <w:u w:val="none"/>
        </w:rPr>
        <w:t>27</w:t>
      </w:r>
      <w:r>
        <w:rPr>
          <w:rFonts w:hint="eastAsia"/>
          <w:color w:val="auto"/>
          <w:highlight w:val="none"/>
          <w:u w:val="none"/>
        </w:rPr>
        <w:t>日；</w:t>
      </w:r>
    </w:p>
    <w:p w14:paraId="3B530C61">
      <w:pPr>
        <w:pStyle w:val="82"/>
        <w:rPr>
          <w:rFonts w:hint="eastAsia"/>
          <w:color w:val="auto"/>
          <w:highlight w:val="none"/>
          <w:u w:val="none"/>
        </w:rPr>
      </w:pPr>
      <w:r>
        <w:rPr>
          <w:rFonts w:hint="eastAsia"/>
          <w:color w:val="auto"/>
          <w:highlight w:val="none"/>
          <w:u w:val="none"/>
        </w:rPr>
        <w:t>（5</w:t>
      </w:r>
      <w:r>
        <w:rPr>
          <w:rFonts w:hint="eastAsia"/>
          <w:color w:val="auto"/>
          <w:highlight w:val="none"/>
          <w:u w:val="none"/>
          <w:lang w:val="en-US" w:eastAsia="zh-CN"/>
        </w:rPr>
        <w:t>7</w:t>
      </w:r>
      <w:r>
        <w:rPr>
          <w:rFonts w:hint="eastAsia"/>
          <w:color w:val="auto"/>
          <w:highlight w:val="none"/>
          <w:u w:val="none"/>
        </w:rPr>
        <w:t>）《关于强化建设项目环境影响评价事中事后监管的实施意见》（环评</w:t>
      </w:r>
      <w:r>
        <w:rPr>
          <w:color w:val="auto"/>
          <w:highlight w:val="none"/>
          <w:u w:val="none"/>
        </w:rPr>
        <w:t>〔2018〕11号）</w:t>
      </w:r>
      <w:r>
        <w:rPr>
          <w:rFonts w:hint="eastAsia"/>
          <w:color w:val="auto"/>
          <w:highlight w:val="none"/>
          <w:u w:val="none"/>
        </w:rPr>
        <w:t>；</w:t>
      </w:r>
    </w:p>
    <w:p w14:paraId="7C0EB363">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8</w:t>
      </w:r>
      <w:r>
        <w:rPr>
          <w:rFonts w:hint="eastAsia"/>
          <w:color w:val="auto"/>
          <w:highlight w:val="none"/>
          <w:u w:val="none"/>
        </w:rPr>
        <w:t>）《建设项目环境保护事中事后监督管理办法（试行）》（环发</w:t>
      </w:r>
      <w:r>
        <w:rPr>
          <w:color w:val="auto"/>
          <w:highlight w:val="none"/>
          <w:u w:val="none"/>
        </w:rPr>
        <w:t>[2015]163</w:t>
      </w:r>
      <w:r>
        <w:rPr>
          <w:rFonts w:hint="eastAsia"/>
          <w:color w:val="auto"/>
          <w:highlight w:val="none"/>
          <w:u w:val="none"/>
        </w:rPr>
        <w:t>号），</w:t>
      </w:r>
      <w:r>
        <w:rPr>
          <w:color w:val="auto"/>
          <w:highlight w:val="none"/>
          <w:u w:val="none"/>
        </w:rPr>
        <w:t>2015</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11</w:t>
      </w:r>
      <w:r>
        <w:rPr>
          <w:rFonts w:hint="eastAsia"/>
          <w:color w:val="auto"/>
          <w:highlight w:val="none"/>
          <w:u w:val="none"/>
        </w:rPr>
        <w:t>日；</w:t>
      </w:r>
    </w:p>
    <w:p w14:paraId="5B04C81C">
      <w:pPr>
        <w:pStyle w:val="82"/>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lang w:val="en-US" w:eastAsia="zh-CN"/>
        </w:rPr>
        <w:t>9</w:t>
      </w:r>
      <w:r>
        <w:rPr>
          <w:rFonts w:hint="eastAsia"/>
          <w:color w:val="auto"/>
          <w:highlight w:val="none"/>
          <w:u w:val="none"/>
        </w:rPr>
        <w:t>）《建设项目竣工环境保护验收暂行办法》（国环规环评</w:t>
      </w:r>
      <w:r>
        <w:rPr>
          <w:color w:val="auto"/>
          <w:highlight w:val="none"/>
          <w:u w:val="none"/>
        </w:rPr>
        <w:t>[2017]4</w:t>
      </w:r>
      <w:r>
        <w:rPr>
          <w:rFonts w:hint="eastAsia"/>
          <w:color w:val="auto"/>
          <w:highlight w:val="none"/>
          <w:u w:val="none"/>
        </w:rPr>
        <w:t>号），</w:t>
      </w:r>
      <w:r>
        <w:rPr>
          <w:color w:val="auto"/>
          <w:highlight w:val="none"/>
          <w:u w:val="none"/>
        </w:rPr>
        <w:t>2017</w:t>
      </w:r>
      <w:r>
        <w:rPr>
          <w:rFonts w:hint="eastAsia"/>
          <w:color w:val="auto"/>
          <w:highlight w:val="none"/>
          <w:u w:val="none"/>
        </w:rPr>
        <w:t>年</w:t>
      </w:r>
      <w:r>
        <w:rPr>
          <w:color w:val="auto"/>
          <w:highlight w:val="none"/>
          <w:u w:val="none"/>
        </w:rPr>
        <w:t>11</w:t>
      </w:r>
      <w:r>
        <w:rPr>
          <w:rFonts w:hint="eastAsia"/>
          <w:color w:val="auto"/>
          <w:highlight w:val="none"/>
          <w:u w:val="none"/>
        </w:rPr>
        <w:t>月</w:t>
      </w:r>
      <w:r>
        <w:rPr>
          <w:color w:val="auto"/>
          <w:highlight w:val="none"/>
          <w:u w:val="none"/>
        </w:rPr>
        <w:t>20</w:t>
      </w:r>
      <w:r>
        <w:rPr>
          <w:rFonts w:hint="eastAsia"/>
          <w:color w:val="auto"/>
          <w:highlight w:val="none"/>
          <w:u w:val="none"/>
        </w:rPr>
        <w:t>日；</w:t>
      </w:r>
    </w:p>
    <w:p w14:paraId="32BF771A">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60</w:t>
      </w:r>
      <w:r>
        <w:rPr>
          <w:rFonts w:hint="eastAsia"/>
          <w:color w:val="auto"/>
          <w:highlight w:val="none"/>
          <w:u w:val="none"/>
        </w:rPr>
        <w:t>）《关于加强重点行业建设项目区域削减措施监督管理的通知》（环办环评</w:t>
      </w:r>
      <w:r>
        <w:rPr>
          <w:color w:val="auto"/>
          <w:highlight w:val="none"/>
          <w:u w:val="none"/>
        </w:rPr>
        <w:t>[2020]36</w:t>
      </w:r>
      <w:r>
        <w:rPr>
          <w:rFonts w:hint="eastAsia"/>
          <w:color w:val="auto"/>
          <w:highlight w:val="none"/>
          <w:u w:val="none"/>
        </w:rPr>
        <w:t>号），</w:t>
      </w:r>
      <w:r>
        <w:rPr>
          <w:color w:val="auto"/>
          <w:highlight w:val="none"/>
          <w:u w:val="none"/>
        </w:rPr>
        <w:t>2020</w:t>
      </w:r>
      <w:r>
        <w:rPr>
          <w:rFonts w:hint="eastAsia"/>
          <w:color w:val="auto"/>
          <w:highlight w:val="none"/>
          <w:u w:val="none"/>
        </w:rPr>
        <w:t>年</w:t>
      </w:r>
      <w:r>
        <w:rPr>
          <w:color w:val="auto"/>
          <w:highlight w:val="none"/>
          <w:u w:val="none"/>
        </w:rPr>
        <w:t>12</w:t>
      </w:r>
      <w:r>
        <w:rPr>
          <w:rFonts w:hint="eastAsia"/>
          <w:color w:val="auto"/>
          <w:highlight w:val="none"/>
          <w:u w:val="none"/>
        </w:rPr>
        <w:t>月</w:t>
      </w:r>
      <w:r>
        <w:rPr>
          <w:color w:val="auto"/>
          <w:highlight w:val="none"/>
          <w:u w:val="none"/>
        </w:rPr>
        <w:t>31</w:t>
      </w:r>
      <w:r>
        <w:rPr>
          <w:rFonts w:hint="eastAsia"/>
          <w:color w:val="auto"/>
          <w:highlight w:val="none"/>
          <w:u w:val="none"/>
        </w:rPr>
        <w:t>日；</w:t>
      </w:r>
    </w:p>
    <w:p w14:paraId="7648F03E">
      <w:pPr>
        <w:pStyle w:val="82"/>
        <w:rPr>
          <w:rFonts w:hint="eastAsia"/>
          <w:color w:val="auto"/>
          <w:highlight w:val="none"/>
          <w:u w:val="none"/>
        </w:rPr>
      </w:pPr>
      <w:r>
        <w:rPr>
          <w:rFonts w:hint="eastAsia"/>
          <w:color w:val="auto"/>
          <w:highlight w:val="none"/>
          <w:u w:val="none"/>
        </w:rPr>
        <w:t>（6</w:t>
      </w:r>
      <w:r>
        <w:rPr>
          <w:rFonts w:hint="eastAsia"/>
          <w:color w:val="auto"/>
          <w:highlight w:val="none"/>
          <w:u w:val="none"/>
          <w:lang w:val="en-US" w:eastAsia="zh-CN"/>
        </w:rPr>
        <w:t>1</w:t>
      </w:r>
      <w:r>
        <w:rPr>
          <w:rFonts w:hint="eastAsia"/>
          <w:color w:val="auto"/>
          <w:highlight w:val="none"/>
          <w:u w:val="none"/>
        </w:rPr>
        <w:t>）《国家安全监管总局办公厅关于印发光气及光气化产品安全生产管理指南的通知》（安监总厅管三〔</w:t>
      </w:r>
      <w:r>
        <w:rPr>
          <w:color w:val="auto"/>
          <w:highlight w:val="none"/>
          <w:u w:val="none"/>
        </w:rPr>
        <w:t>2014</w:t>
      </w:r>
      <w:r>
        <w:rPr>
          <w:rFonts w:hint="eastAsia"/>
          <w:color w:val="auto"/>
          <w:highlight w:val="none"/>
          <w:u w:val="none"/>
        </w:rPr>
        <w:t>〕</w:t>
      </w:r>
      <w:r>
        <w:rPr>
          <w:color w:val="auto"/>
          <w:highlight w:val="none"/>
          <w:u w:val="none"/>
        </w:rPr>
        <w:t>104</w:t>
      </w:r>
      <w:r>
        <w:rPr>
          <w:rFonts w:hint="eastAsia"/>
          <w:color w:val="auto"/>
          <w:highlight w:val="none"/>
          <w:u w:val="none"/>
        </w:rPr>
        <w:t>号），</w:t>
      </w:r>
      <w:r>
        <w:rPr>
          <w:color w:val="auto"/>
          <w:highlight w:val="none"/>
          <w:u w:val="none"/>
        </w:rPr>
        <w:t>2014</w:t>
      </w:r>
      <w:r>
        <w:rPr>
          <w:rFonts w:hint="eastAsia"/>
          <w:color w:val="auto"/>
          <w:highlight w:val="none"/>
          <w:u w:val="none"/>
        </w:rPr>
        <w:t>年</w:t>
      </w:r>
      <w:r>
        <w:rPr>
          <w:color w:val="auto"/>
          <w:highlight w:val="none"/>
          <w:u w:val="none"/>
        </w:rPr>
        <w:t>10</w:t>
      </w:r>
      <w:r>
        <w:rPr>
          <w:rFonts w:hint="eastAsia"/>
          <w:color w:val="auto"/>
          <w:highlight w:val="none"/>
          <w:u w:val="none"/>
        </w:rPr>
        <w:t>月</w:t>
      </w:r>
      <w:r>
        <w:rPr>
          <w:color w:val="auto"/>
          <w:highlight w:val="none"/>
          <w:u w:val="none"/>
        </w:rPr>
        <w:t>11</w:t>
      </w:r>
      <w:r>
        <w:rPr>
          <w:rFonts w:hint="eastAsia"/>
          <w:color w:val="auto"/>
          <w:highlight w:val="none"/>
          <w:u w:val="none"/>
        </w:rPr>
        <w:t>日。</w:t>
      </w:r>
    </w:p>
    <w:p w14:paraId="3EDB3DFF">
      <w:pPr>
        <w:pStyle w:val="82"/>
        <w:rPr>
          <w:rFonts w:hint="eastAsia"/>
          <w:color w:val="auto"/>
          <w:highlight w:val="none"/>
          <w:u w:val="none"/>
        </w:rPr>
      </w:pPr>
      <w:r>
        <w:rPr>
          <w:rFonts w:hint="eastAsia"/>
          <w:color w:val="auto"/>
          <w:highlight w:val="none"/>
          <w:u w:val="none"/>
        </w:rPr>
        <w:t>（6</w:t>
      </w:r>
      <w:r>
        <w:rPr>
          <w:color w:val="auto"/>
          <w:highlight w:val="none"/>
          <w:u w:val="none"/>
        </w:rPr>
        <w:t>2</w:t>
      </w:r>
      <w:r>
        <w:rPr>
          <w:rFonts w:hint="eastAsia"/>
          <w:color w:val="auto"/>
          <w:highlight w:val="none"/>
          <w:u w:val="none"/>
        </w:rPr>
        <w:t>）《国务院办公厅关于印发&lt;加快构建碳排放双控制度体系工作方案&gt;的通知》（国办发〔2024〕39号），2024年7月30日；</w:t>
      </w:r>
    </w:p>
    <w:p w14:paraId="46CD1822">
      <w:pPr>
        <w:pStyle w:val="82"/>
        <w:rPr>
          <w:rFonts w:hint="eastAsia"/>
          <w:color w:val="auto"/>
          <w:highlight w:val="none"/>
          <w:u w:val="none"/>
        </w:rPr>
      </w:pPr>
      <w:r>
        <w:rPr>
          <w:rFonts w:hint="eastAsia"/>
          <w:color w:val="auto"/>
          <w:highlight w:val="none"/>
          <w:u w:val="none"/>
        </w:rPr>
        <w:t>（63）《中共中央国务院关于完整准确全面贯彻新发展理念做好碳达峰碳中和工作的意见》（中发[2021]36号），2021年9月22日。</w:t>
      </w:r>
    </w:p>
    <w:p w14:paraId="681D1AA1">
      <w:pPr>
        <w:pStyle w:val="82"/>
        <w:rPr>
          <w:rFonts w:hint="eastAsia"/>
          <w:color w:val="auto"/>
          <w:highlight w:val="none"/>
          <w:u w:val="none"/>
        </w:rPr>
      </w:pPr>
    </w:p>
    <w:p w14:paraId="67356585">
      <w:pPr>
        <w:pStyle w:val="6"/>
        <w:spacing w:before="156" w:after="156"/>
        <w:rPr>
          <w:color w:val="auto"/>
          <w:highlight w:val="none"/>
          <w:u w:val="none"/>
        </w:rPr>
      </w:pPr>
      <w:bookmarkStart w:id="50" w:name="_Toc148374425"/>
      <w:bookmarkStart w:id="51" w:name="_Toc148374867"/>
      <w:r>
        <w:rPr>
          <w:color w:val="auto"/>
          <w:highlight w:val="none"/>
          <w:u w:val="none"/>
        </w:rPr>
        <w:t>地方法规、政策</w:t>
      </w:r>
      <w:r>
        <w:rPr>
          <w:rFonts w:hint="eastAsia"/>
          <w:color w:val="auto"/>
          <w:highlight w:val="none"/>
          <w:u w:val="none"/>
        </w:rPr>
        <w:t>与相关规划</w:t>
      </w:r>
      <w:bookmarkEnd w:id="50"/>
      <w:bookmarkEnd w:id="51"/>
    </w:p>
    <w:p w14:paraId="068487D8">
      <w:pPr>
        <w:pStyle w:val="82"/>
        <w:rPr>
          <w:rFonts w:hint="eastAsia"/>
          <w:color w:val="auto"/>
          <w:highlight w:val="none"/>
          <w:u w:val="none"/>
        </w:rPr>
      </w:pPr>
      <w:r>
        <w:rPr>
          <w:rFonts w:hint="eastAsia"/>
          <w:color w:val="auto"/>
          <w:highlight w:val="none"/>
          <w:u w:val="none"/>
        </w:rPr>
        <w:t>（</w:t>
      </w:r>
      <w:r>
        <w:rPr>
          <w:color w:val="auto"/>
          <w:highlight w:val="none"/>
          <w:u w:val="none"/>
        </w:rPr>
        <w:t>1</w:t>
      </w:r>
      <w:r>
        <w:rPr>
          <w:rFonts w:hint="eastAsia"/>
          <w:color w:val="auto"/>
          <w:highlight w:val="none"/>
          <w:u w:val="none"/>
        </w:rPr>
        <w:t>）《福建省生态环境保护条例》福建省人民代表大会常务委员会（</w:t>
      </w:r>
      <w:r>
        <w:rPr>
          <w:color w:val="auto"/>
          <w:highlight w:val="none"/>
          <w:u w:val="none"/>
        </w:rPr>
        <w:t>2022</w:t>
      </w:r>
      <w:r>
        <w:rPr>
          <w:rFonts w:hint="eastAsia"/>
          <w:color w:val="auto"/>
          <w:highlight w:val="none"/>
          <w:u w:val="none"/>
        </w:rPr>
        <w:t>年</w:t>
      </w:r>
      <w:r>
        <w:rPr>
          <w:color w:val="auto"/>
          <w:highlight w:val="none"/>
          <w:u w:val="none"/>
        </w:rPr>
        <w:t>5</w:t>
      </w:r>
      <w:r>
        <w:rPr>
          <w:rFonts w:hint="eastAsia"/>
          <w:color w:val="auto"/>
          <w:highlight w:val="none"/>
          <w:u w:val="none"/>
        </w:rPr>
        <w:t>月</w:t>
      </w:r>
      <w:r>
        <w:rPr>
          <w:color w:val="auto"/>
          <w:highlight w:val="none"/>
          <w:u w:val="none"/>
        </w:rPr>
        <w:t>1</w:t>
      </w:r>
      <w:r>
        <w:rPr>
          <w:rFonts w:hint="eastAsia"/>
          <w:color w:val="auto"/>
          <w:highlight w:val="none"/>
          <w:u w:val="none"/>
        </w:rPr>
        <w:t>日实施）；</w:t>
      </w:r>
    </w:p>
    <w:p w14:paraId="255C2BDB">
      <w:pPr>
        <w:pStyle w:val="82"/>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rPr>
        <w:t>）《福建省大气污染防治条例》，2019年1月1日起施行；</w:t>
      </w:r>
    </w:p>
    <w:p w14:paraId="5C0B47D9">
      <w:pPr>
        <w:pStyle w:val="82"/>
        <w:rPr>
          <w:rFonts w:hint="eastAsia"/>
          <w:color w:val="auto"/>
          <w:highlight w:val="none"/>
          <w:u w:val="none"/>
        </w:rPr>
      </w:pPr>
      <w:r>
        <w:rPr>
          <w:rFonts w:hint="eastAsia"/>
          <w:color w:val="auto"/>
          <w:highlight w:val="none"/>
          <w:u w:val="none"/>
        </w:rPr>
        <w:t>（3）《福建省水污染防治条例》，2021年11月1日起施行；</w:t>
      </w:r>
    </w:p>
    <w:p w14:paraId="37D04120">
      <w:pPr>
        <w:pStyle w:val="82"/>
        <w:rPr>
          <w:rFonts w:hint="eastAsia"/>
          <w:color w:val="auto"/>
          <w:highlight w:val="none"/>
          <w:u w:val="none"/>
        </w:rPr>
      </w:pPr>
      <w:r>
        <w:rPr>
          <w:rFonts w:hint="eastAsia"/>
          <w:color w:val="auto"/>
          <w:highlight w:val="none"/>
          <w:u w:val="none"/>
        </w:rPr>
        <w:t>（4）《福建省海洋环境保护条例》，2016年4月1日修订并施行；</w:t>
      </w:r>
    </w:p>
    <w:p w14:paraId="4B5F34AD">
      <w:pPr>
        <w:pStyle w:val="82"/>
        <w:rPr>
          <w:rFonts w:hint="eastAsia"/>
          <w:color w:val="auto"/>
          <w:highlight w:val="none"/>
          <w:u w:val="none"/>
        </w:rPr>
      </w:pPr>
      <w:r>
        <w:rPr>
          <w:rFonts w:hint="eastAsia"/>
          <w:color w:val="auto"/>
          <w:highlight w:val="none"/>
          <w:u w:val="none"/>
        </w:rPr>
        <w:t>（5）《福建省土壤污染防治条例》，2022年9月1日起施行；</w:t>
      </w:r>
    </w:p>
    <w:p w14:paraId="6360BE10">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6</w:t>
      </w:r>
      <w:r>
        <w:rPr>
          <w:rFonts w:hint="eastAsia"/>
          <w:color w:val="auto"/>
          <w:highlight w:val="none"/>
          <w:u w:val="none"/>
        </w:rPr>
        <w:t>）《福建省固体废物污染环境防治条例》，2024年6月1日起施行；</w:t>
      </w:r>
    </w:p>
    <w:p w14:paraId="1E74B8B3">
      <w:pPr>
        <w:rPr>
          <w:rFonts w:hint="eastAsia"/>
          <w:color w:val="auto"/>
          <w:highlight w:val="none"/>
          <w:u w:val="none"/>
        </w:rPr>
      </w:pPr>
      <w:r>
        <w:rPr>
          <w:rFonts w:hint="eastAsia"/>
          <w:color w:val="auto"/>
          <w:highlight w:val="none"/>
          <w:u w:val="none"/>
          <w:lang w:eastAsia="zh-CN"/>
        </w:rPr>
        <w:t>（</w:t>
      </w:r>
      <w:r>
        <w:rPr>
          <w:rFonts w:hint="eastAsia"/>
          <w:color w:val="auto"/>
          <w:highlight w:val="none"/>
          <w:u w:val="none"/>
          <w:lang w:val="en-US" w:eastAsia="zh-CN"/>
        </w:rPr>
        <w:t>7</w:t>
      </w:r>
      <w:r>
        <w:rPr>
          <w:rFonts w:hint="eastAsia"/>
          <w:color w:val="auto"/>
          <w:highlight w:val="none"/>
          <w:u w:val="none"/>
          <w:lang w:eastAsia="zh-CN"/>
        </w:rPr>
        <w:t>）</w:t>
      </w:r>
      <w:r>
        <w:rPr>
          <w:rFonts w:hint="eastAsia"/>
          <w:color w:val="auto"/>
          <w:highlight w:val="none"/>
          <w:u w:val="none"/>
        </w:rPr>
        <w:t>《福建省水土保持条例》（</w:t>
      </w:r>
      <w:r>
        <w:rPr>
          <w:color w:val="auto"/>
          <w:highlight w:val="none"/>
          <w:u w:val="none"/>
        </w:rPr>
        <w:t>2022</w:t>
      </w:r>
      <w:r>
        <w:rPr>
          <w:rFonts w:hint="eastAsia"/>
          <w:color w:val="auto"/>
          <w:highlight w:val="none"/>
          <w:u w:val="none"/>
        </w:rPr>
        <w:t>年</w:t>
      </w:r>
      <w:r>
        <w:rPr>
          <w:color w:val="auto"/>
          <w:highlight w:val="none"/>
          <w:u w:val="none"/>
        </w:rPr>
        <w:t>5</w:t>
      </w:r>
      <w:r>
        <w:rPr>
          <w:rFonts w:hint="eastAsia"/>
          <w:color w:val="auto"/>
          <w:highlight w:val="none"/>
          <w:u w:val="none"/>
        </w:rPr>
        <w:t>月</w:t>
      </w:r>
      <w:r>
        <w:rPr>
          <w:color w:val="auto"/>
          <w:highlight w:val="none"/>
          <w:u w:val="none"/>
        </w:rPr>
        <w:t>27</w:t>
      </w:r>
      <w:r>
        <w:rPr>
          <w:rFonts w:hint="eastAsia"/>
          <w:color w:val="auto"/>
          <w:highlight w:val="none"/>
          <w:u w:val="none"/>
        </w:rPr>
        <w:t>日修正）；</w:t>
      </w:r>
    </w:p>
    <w:p w14:paraId="7EDE7B6C">
      <w:pPr>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8</w:t>
      </w:r>
      <w:r>
        <w:rPr>
          <w:rFonts w:hint="eastAsia"/>
          <w:color w:val="auto"/>
          <w:highlight w:val="none"/>
          <w:u w:val="none"/>
        </w:rPr>
        <w:t>）《福建省大气污染防治行动计划实施细则》（闽政办〔</w:t>
      </w:r>
      <w:r>
        <w:rPr>
          <w:color w:val="auto"/>
          <w:highlight w:val="none"/>
          <w:u w:val="none"/>
        </w:rPr>
        <w:t>2014〕72号）</w:t>
      </w:r>
      <w:r>
        <w:rPr>
          <w:rFonts w:hint="eastAsia"/>
          <w:color w:val="auto"/>
          <w:highlight w:val="none"/>
          <w:u w:val="none"/>
        </w:rPr>
        <w:t>；</w:t>
      </w:r>
    </w:p>
    <w:p w14:paraId="3831DA9E">
      <w:pPr>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9</w:t>
      </w:r>
      <w:r>
        <w:rPr>
          <w:rFonts w:hint="eastAsia"/>
          <w:color w:val="auto"/>
          <w:highlight w:val="none"/>
          <w:u w:val="none"/>
        </w:rPr>
        <w:t>）《福建省水污染防治行动计划工作方案》（闽政〔</w:t>
      </w:r>
      <w:r>
        <w:rPr>
          <w:color w:val="auto"/>
          <w:highlight w:val="none"/>
          <w:u w:val="none"/>
        </w:rPr>
        <w:t>2015〕26号）</w:t>
      </w:r>
      <w:r>
        <w:rPr>
          <w:rFonts w:hint="eastAsia"/>
          <w:color w:val="auto"/>
          <w:highlight w:val="none"/>
          <w:u w:val="none"/>
        </w:rPr>
        <w:t>；</w:t>
      </w:r>
    </w:p>
    <w:p w14:paraId="6B9CA6F4">
      <w:pPr>
        <w:rPr>
          <w:rFonts w:hint="eastAsia"/>
          <w:color w:val="auto"/>
          <w:highlight w:val="none"/>
          <w:u w:val="none"/>
        </w:rPr>
      </w:pPr>
      <w:r>
        <w:rPr>
          <w:rFonts w:hint="eastAsia"/>
          <w:color w:val="auto"/>
          <w:highlight w:val="none"/>
          <w:u w:val="none"/>
        </w:rPr>
        <w:t>（</w:t>
      </w:r>
      <w:r>
        <w:rPr>
          <w:rFonts w:hint="eastAsia"/>
          <w:color w:val="auto"/>
          <w:highlight w:val="none"/>
          <w:u w:val="none"/>
          <w:lang w:val="en-US" w:eastAsia="zh-CN"/>
        </w:rPr>
        <w:t>10</w:t>
      </w:r>
      <w:r>
        <w:rPr>
          <w:rFonts w:hint="eastAsia"/>
          <w:color w:val="auto"/>
          <w:highlight w:val="none"/>
          <w:u w:val="none"/>
        </w:rPr>
        <w:t>）《福建省人民政府关于印发福建省土壤污染防治行动计划实施方案的通知》（闽政〔</w:t>
      </w:r>
      <w:r>
        <w:rPr>
          <w:color w:val="auto"/>
          <w:highlight w:val="none"/>
          <w:u w:val="none"/>
        </w:rPr>
        <w:t>2016〕45号）</w:t>
      </w:r>
      <w:r>
        <w:rPr>
          <w:rFonts w:hint="eastAsia"/>
          <w:color w:val="auto"/>
          <w:highlight w:val="none"/>
          <w:u w:val="none"/>
        </w:rPr>
        <w:t>；</w:t>
      </w:r>
    </w:p>
    <w:p w14:paraId="73BDCA62">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rPr>
        <w:t>1</w:t>
      </w:r>
      <w:r>
        <w:rPr>
          <w:rFonts w:hint="eastAsia"/>
          <w:color w:val="auto"/>
          <w:highlight w:val="none"/>
          <w:u w:val="none"/>
          <w:lang w:val="en-US" w:eastAsia="zh-CN"/>
        </w:rPr>
        <w:t>1</w:t>
      </w:r>
      <w:r>
        <w:rPr>
          <w:rFonts w:hint="eastAsia"/>
          <w:color w:val="auto"/>
          <w:highlight w:val="none"/>
          <w:u w:val="none"/>
        </w:rPr>
        <w:t>）</w:t>
      </w:r>
      <w:r>
        <w:rPr>
          <w:snapToGrid w:val="0"/>
          <w:color w:val="auto"/>
          <w:highlight w:val="none"/>
          <w:u w:val="none"/>
        </w:rPr>
        <w:t>《福建省环保厅贯彻环保部关于进一步推进建设项目环境监理工作的通知》</w:t>
      </w:r>
      <w:r>
        <w:rPr>
          <w:rFonts w:hint="eastAsia"/>
          <w:snapToGrid w:val="0"/>
          <w:color w:val="auto"/>
          <w:highlight w:val="none"/>
          <w:u w:val="none"/>
        </w:rPr>
        <w:t>（</w:t>
      </w:r>
      <w:r>
        <w:rPr>
          <w:snapToGrid w:val="0"/>
          <w:color w:val="auto"/>
          <w:highlight w:val="none"/>
          <w:u w:val="none"/>
        </w:rPr>
        <w:t>闽环发</w:t>
      </w:r>
      <w:r>
        <w:rPr>
          <w:color w:val="auto"/>
          <w:highlight w:val="none"/>
          <w:u w:val="none"/>
        </w:rPr>
        <w:t>〔2012〕</w:t>
      </w:r>
      <w:r>
        <w:rPr>
          <w:snapToGrid w:val="0"/>
          <w:color w:val="auto"/>
          <w:highlight w:val="none"/>
          <w:u w:val="none"/>
        </w:rPr>
        <w:t>28号（2012年）</w:t>
      </w:r>
      <w:r>
        <w:rPr>
          <w:rFonts w:hint="eastAsia"/>
          <w:snapToGrid w:val="0"/>
          <w:color w:val="auto"/>
          <w:highlight w:val="none"/>
          <w:u w:val="none"/>
        </w:rPr>
        <w:t>）</w:t>
      </w:r>
      <w:r>
        <w:rPr>
          <w:snapToGrid w:val="0"/>
          <w:color w:val="auto"/>
          <w:highlight w:val="none"/>
          <w:u w:val="none"/>
        </w:rPr>
        <w:t>；</w:t>
      </w:r>
    </w:p>
    <w:p w14:paraId="530A1998">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rPr>
        <w:t>1</w:t>
      </w:r>
      <w:r>
        <w:rPr>
          <w:rFonts w:hint="eastAsia"/>
          <w:color w:val="auto"/>
          <w:highlight w:val="none"/>
          <w:u w:val="none"/>
          <w:lang w:val="en-US" w:eastAsia="zh-CN"/>
        </w:rPr>
        <w:t>2</w:t>
      </w:r>
      <w:r>
        <w:rPr>
          <w:rFonts w:hint="eastAsia"/>
          <w:color w:val="auto"/>
          <w:highlight w:val="none"/>
          <w:u w:val="none"/>
        </w:rPr>
        <w:t>）</w:t>
      </w:r>
      <w:r>
        <w:rPr>
          <w:rFonts w:hint="eastAsia"/>
          <w:snapToGrid w:val="0"/>
          <w:color w:val="auto"/>
          <w:highlight w:val="none"/>
          <w:u w:val="none"/>
        </w:rPr>
        <w:t>《福建省生态环境厅 福建省发展和改革委员会福建省工业和信息化厅 福建省住房和城乡建设厅 福建省交通运输厅 关于印发&lt;福建省“十四五”空气质量改善规划&gt;的通知》（闽环保大气[2022]2号），2022年1月28日；</w:t>
      </w:r>
    </w:p>
    <w:p w14:paraId="4584D022">
      <w:pPr>
        <w:pStyle w:val="82"/>
        <w:rPr>
          <w:rFonts w:hint="eastAsia"/>
          <w:color w:val="auto"/>
          <w:highlight w:val="none"/>
          <w:u w:val="none"/>
        </w:rPr>
      </w:pPr>
      <w:r>
        <w:rPr>
          <w:rFonts w:hint="eastAsia"/>
          <w:color w:val="auto"/>
          <w:highlight w:val="none"/>
          <w:u w:val="none"/>
        </w:rPr>
        <w:t>（</w:t>
      </w:r>
      <w:r>
        <w:rPr>
          <w:rFonts w:hint="eastAsia"/>
          <w:color w:val="auto"/>
          <w:highlight w:val="none"/>
          <w:u w:val="none"/>
          <w:lang w:val="en-US"/>
        </w:rPr>
        <w:t>1</w:t>
      </w:r>
      <w:r>
        <w:rPr>
          <w:rFonts w:hint="eastAsia"/>
          <w:color w:val="auto"/>
          <w:highlight w:val="none"/>
          <w:u w:val="none"/>
          <w:lang w:val="en-US" w:eastAsia="zh-CN"/>
        </w:rPr>
        <w:t>3</w:t>
      </w:r>
      <w:r>
        <w:rPr>
          <w:rFonts w:hint="eastAsia"/>
          <w:color w:val="auto"/>
          <w:highlight w:val="none"/>
          <w:u w:val="none"/>
        </w:rPr>
        <w:t>）《福建省人民政府办公厅关于印发福建省“十四五”生态环境保护专项规划的通知》（闽政办〔2021〕59号）；</w:t>
      </w:r>
    </w:p>
    <w:p w14:paraId="1331821E">
      <w:pPr>
        <w:pStyle w:val="82"/>
        <w:rPr>
          <w:rFonts w:hint="eastAsia"/>
          <w:color w:val="auto"/>
          <w:highlight w:val="none"/>
          <w:u w:val="none"/>
        </w:rPr>
      </w:pPr>
      <w:r>
        <w:rPr>
          <w:rFonts w:hint="eastAsia"/>
          <w:color w:val="auto"/>
          <w:highlight w:val="none"/>
          <w:u w:val="none"/>
        </w:rPr>
        <w:t>（1</w:t>
      </w:r>
      <w:r>
        <w:rPr>
          <w:rFonts w:hint="eastAsia"/>
          <w:color w:val="auto"/>
          <w:highlight w:val="none"/>
          <w:u w:val="none"/>
          <w:lang w:val="en-US" w:eastAsia="zh-CN"/>
        </w:rPr>
        <w:t>4</w:t>
      </w:r>
      <w:r>
        <w:rPr>
          <w:rFonts w:hint="eastAsia"/>
          <w:color w:val="auto"/>
          <w:highlight w:val="none"/>
          <w:u w:val="none"/>
        </w:rPr>
        <w:t>）《福建省生态环境厅等五部门关于印发&lt;福建省“十四五”海洋生态环境保护规划&gt;的通知》（闽环保海[2022]1号），2022年2月7日；</w:t>
      </w:r>
    </w:p>
    <w:p w14:paraId="6D598399">
      <w:pPr>
        <w:pStyle w:val="82"/>
        <w:rPr>
          <w:rFonts w:hint="eastAsia"/>
          <w:color w:val="auto"/>
          <w:highlight w:val="none"/>
          <w:u w:val="none"/>
        </w:rPr>
      </w:pPr>
      <w:r>
        <w:rPr>
          <w:rFonts w:hint="eastAsia"/>
          <w:color w:val="auto"/>
          <w:highlight w:val="none"/>
          <w:u w:val="none"/>
        </w:rPr>
        <w:t>（1</w:t>
      </w:r>
      <w:r>
        <w:rPr>
          <w:rFonts w:hint="eastAsia"/>
          <w:color w:val="auto"/>
          <w:highlight w:val="none"/>
          <w:u w:val="none"/>
          <w:lang w:val="en-US" w:eastAsia="zh-CN"/>
        </w:rPr>
        <w:t>5</w:t>
      </w:r>
      <w:r>
        <w:rPr>
          <w:rFonts w:hint="eastAsia"/>
          <w:color w:val="auto"/>
          <w:highlight w:val="none"/>
          <w:u w:val="none"/>
        </w:rPr>
        <w:t>）《福建省生态环境厅 福建省自然资源厅 福建省水利厅关于印发&lt;福建省“十四五”地下水污染防治规划&gt;的通知》（闽环保土[2022]2号），2022年1月24日；</w:t>
      </w:r>
    </w:p>
    <w:p w14:paraId="1E1A8875">
      <w:pPr>
        <w:pStyle w:val="82"/>
        <w:rPr>
          <w:rFonts w:hint="eastAsia"/>
          <w:color w:val="auto"/>
          <w:highlight w:val="none"/>
          <w:u w:val="none"/>
        </w:rPr>
      </w:pPr>
      <w:r>
        <w:rPr>
          <w:rFonts w:hint="eastAsia"/>
          <w:color w:val="auto"/>
          <w:highlight w:val="none"/>
          <w:u w:val="none"/>
        </w:rPr>
        <w:t>（1</w:t>
      </w:r>
      <w:r>
        <w:rPr>
          <w:rFonts w:hint="eastAsia"/>
          <w:color w:val="auto"/>
          <w:highlight w:val="none"/>
          <w:u w:val="none"/>
          <w:lang w:val="en-US" w:eastAsia="zh-CN"/>
        </w:rPr>
        <w:t>6</w:t>
      </w:r>
      <w:r>
        <w:rPr>
          <w:rFonts w:hint="eastAsia"/>
          <w:color w:val="auto"/>
          <w:highlight w:val="none"/>
          <w:u w:val="none"/>
        </w:rPr>
        <w:t>）《福建省“十四五”土壤污染防治规划》，2022年1月；</w:t>
      </w:r>
    </w:p>
    <w:p w14:paraId="7AF1BE5A">
      <w:pPr>
        <w:pStyle w:val="82"/>
        <w:rPr>
          <w:rFonts w:hint="eastAsia"/>
          <w:color w:val="auto"/>
          <w:highlight w:val="none"/>
          <w:u w:val="none"/>
        </w:rPr>
      </w:pPr>
      <w:r>
        <w:rPr>
          <w:rFonts w:hint="eastAsia"/>
          <w:color w:val="auto"/>
          <w:highlight w:val="none"/>
          <w:u w:val="none"/>
        </w:rPr>
        <w:t>（1</w:t>
      </w:r>
      <w:r>
        <w:rPr>
          <w:rFonts w:hint="eastAsia"/>
          <w:color w:val="auto"/>
          <w:highlight w:val="none"/>
          <w:u w:val="none"/>
          <w:lang w:val="en-US" w:eastAsia="zh-CN"/>
        </w:rPr>
        <w:t>7</w:t>
      </w:r>
      <w:r>
        <w:rPr>
          <w:rFonts w:hint="eastAsia"/>
          <w:color w:val="auto"/>
          <w:highlight w:val="none"/>
          <w:u w:val="none"/>
        </w:rPr>
        <w:t>）《福建省生态环境厅关于印发&lt;福建省“十四五”危险废物污染防治规划&gt;的通知》（闽环保固体〔2021〕23号）；</w:t>
      </w:r>
    </w:p>
    <w:p w14:paraId="27207856">
      <w:pPr>
        <w:pStyle w:val="82"/>
        <w:rPr>
          <w:rFonts w:hint="eastAsia"/>
          <w:color w:val="auto"/>
          <w:highlight w:val="none"/>
          <w:u w:val="none"/>
        </w:rPr>
      </w:pPr>
      <w:r>
        <w:rPr>
          <w:rFonts w:hint="eastAsia"/>
          <w:color w:val="auto"/>
          <w:highlight w:val="none"/>
          <w:u w:val="none"/>
        </w:rPr>
        <w:t>（1</w:t>
      </w:r>
      <w:r>
        <w:rPr>
          <w:rFonts w:hint="eastAsia"/>
          <w:color w:val="auto"/>
          <w:highlight w:val="none"/>
          <w:u w:val="none"/>
          <w:lang w:val="en-US" w:eastAsia="zh-CN"/>
        </w:rPr>
        <w:t>8</w:t>
      </w:r>
      <w:r>
        <w:rPr>
          <w:rFonts w:hint="eastAsia"/>
          <w:color w:val="auto"/>
          <w:highlight w:val="none"/>
          <w:u w:val="none"/>
        </w:rPr>
        <w:t>）中共福建省委、福建省人民政府印发《福建省深入打好污染防治攻坚战实施方案》，2022年5月31日；</w:t>
      </w:r>
    </w:p>
    <w:p w14:paraId="42455AA9">
      <w:pPr>
        <w:pStyle w:val="82"/>
        <w:rPr>
          <w:rFonts w:hint="eastAsia"/>
          <w:color w:val="auto"/>
          <w:highlight w:val="none"/>
          <w:u w:val="none"/>
        </w:rPr>
      </w:pPr>
      <w:r>
        <w:rPr>
          <w:rFonts w:hint="eastAsia"/>
          <w:color w:val="auto"/>
          <w:highlight w:val="none"/>
          <w:u w:val="none"/>
        </w:rPr>
        <w:t>（19）《福建省人民政府办公厅关于印发福建省突发环境事件应急预案的通知》（闽政办[2015]102号），2015年7月12日；</w:t>
      </w:r>
    </w:p>
    <w:p w14:paraId="06341F34">
      <w:pPr>
        <w:pStyle w:val="82"/>
        <w:rPr>
          <w:rFonts w:hint="eastAsia"/>
          <w:color w:val="auto"/>
          <w:highlight w:val="none"/>
          <w:u w:val="none"/>
        </w:rPr>
      </w:pPr>
      <w:r>
        <w:rPr>
          <w:rFonts w:hint="eastAsia"/>
          <w:color w:val="auto"/>
          <w:highlight w:val="none"/>
          <w:u w:val="none"/>
        </w:rPr>
        <w:t>（20）《福建省人民政府关于全省石化等七类产业布局的指导意见》（闽政[2013[56号），2013年12月27日；</w:t>
      </w:r>
    </w:p>
    <w:p w14:paraId="76F905DA">
      <w:pPr>
        <w:pStyle w:val="82"/>
        <w:rPr>
          <w:rFonts w:hint="eastAsia"/>
          <w:color w:val="auto"/>
          <w:highlight w:val="none"/>
          <w:u w:val="none"/>
        </w:rPr>
      </w:pPr>
      <w:r>
        <w:rPr>
          <w:rFonts w:hint="eastAsia"/>
          <w:color w:val="auto"/>
          <w:highlight w:val="none"/>
          <w:u w:val="none"/>
        </w:rPr>
        <w:t>（21）《福建省碳排放权交易管理暂行办法（2020年修正）》（闽政令第176号），2020年8月7日；</w:t>
      </w:r>
    </w:p>
    <w:p w14:paraId="32FEFCB9">
      <w:pPr>
        <w:pStyle w:val="82"/>
        <w:rPr>
          <w:rFonts w:hint="eastAsia"/>
          <w:color w:val="auto"/>
          <w:highlight w:val="none"/>
          <w:u w:val="none"/>
        </w:rPr>
      </w:pPr>
      <w:r>
        <w:rPr>
          <w:rFonts w:hint="eastAsia"/>
          <w:color w:val="auto"/>
          <w:highlight w:val="none"/>
          <w:u w:val="none"/>
        </w:rPr>
        <w:t>（22）《福建省工业和信息化厅 福建省发展和改革委员会 福建省生态环境厅关于印发福建省工业领域碳达峰实施方案的通知》（闽工信规[2023]5号），2023年7月18日；</w:t>
      </w:r>
    </w:p>
    <w:p w14:paraId="3AF79CAB">
      <w:pPr>
        <w:pStyle w:val="82"/>
        <w:rPr>
          <w:rFonts w:hint="eastAsia"/>
          <w:color w:val="auto"/>
          <w:highlight w:val="none"/>
          <w:u w:val="none"/>
        </w:rPr>
      </w:pPr>
      <w:r>
        <w:rPr>
          <w:rFonts w:hint="eastAsia"/>
          <w:color w:val="auto"/>
          <w:highlight w:val="none"/>
          <w:u w:val="none"/>
        </w:rPr>
        <w:t>（23）《福建省工业和信息化厅 福建省发展和改革委员会福建省生态环境厅关于印发福建省石化化工行业碳达峰实施方案的通知》（闽工信规〔2024〕5号），2023年7月18日；</w:t>
      </w:r>
    </w:p>
    <w:p w14:paraId="23E52255">
      <w:pPr>
        <w:pStyle w:val="82"/>
        <w:rPr>
          <w:rFonts w:hint="eastAsia"/>
          <w:color w:val="auto"/>
          <w:highlight w:val="none"/>
          <w:u w:val="none"/>
        </w:rPr>
      </w:pPr>
      <w:r>
        <w:rPr>
          <w:rFonts w:hint="eastAsia"/>
          <w:color w:val="auto"/>
          <w:highlight w:val="none"/>
          <w:u w:val="none"/>
        </w:rPr>
        <w:t>（24）《福建省工业和信息化厅关于印发冶金、建材、石化化工行业“十四五”节能降碳实施方案的通知》（闽工信规〔2022〕1号），2022年3月10日；</w:t>
      </w:r>
    </w:p>
    <w:p w14:paraId="2E6F7C08">
      <w:pPr>
        <w:pStyle w:val="82"/>
        <w:rPr>
          <w:rFonts w:hint="eastAsia"/>
          <w:color w:val="auto"/>
          <w:highlight w:val="none"/>
          <w:u w:val="none"/>
        </w:rPr>
      </w:pPr>
      <w:r>
        <w:rPr>
          <w:rFonts w:hint="eastAsia"/>
          <w:color w:val="auto"/>
          <w:highlight w:val="none"/>
          <w:u w:val="none"/>
        </w:rPr>
        <w:t>（25）《福建省工业和信息化厅福建省发展和改革委员会福建省生态环境厅关于印发福建省石化化工行业碳达峰实施方案的通知》（闽工信规〔2024〕5号），2024年3月12日；</w:t>
      </w:r>
    </w:p>
    <w:p w14:paraId="4BAD59BE">
      <w:pPr>
        <w:pStyle w:val="82"/>
        <w:rPr>
          <w:rFonts w:hint="eastAsia"/>
          <w:color w:val="auto"/>
          <w:highlight w:val="none"/>
          <w:u w:val="none"/>
        </w:rPr>
      </w:pPr>
      <w:r>
        <w:rPr>
          <w:rFonts w:hint="eastAsia"/>
          <w:color w:val="auto"/>
          <w:highlight w:val="none"/>
          <w:u w:val="none"/>
        </w:rPr>
        <w:t>（26）福州市生态环境局关于福州市重点行业建设项目碳排放环境影响评价的指导意见（试行）（榕环保综〔2021〕62号），2021年5月31日；</w:t>
      </w:r>
    </w:p>
    <w:p w14:paraId="4BF7EB60">
      <w:pPr>
        <w:pStyle w:val="82"/>
        <w:rPr>
          <w:rFonts w:hint="eastAsia"/>
          <w:color w:val="auto"/>
          <w:highlight w:val="none"/>
          <w:u w:val="none"/>
        </w:rPr>
      </w:pPr>
      <w:r>
        <w:rPr>
          <w:rFonts w:hint="eastAsia"/>
          <w:color w:val="auto"/>
          <w:highlight w:val="none"/>
          <w:u w:val="none"/>
        </w:rPr>
        <w:t>（27）《福建省生态环境厅关于国家和地方相关大气污染物排放标准执行有关事项的通知》（闽环保大气[2019]6号），2019年6月27日；</w:t>
      </w:r>
    </w:p>
    <w:p w14:paraId="3E6AF0E4">
      <w:pPr>
        <w:pStyle w:val="82"/>
        <w:rPr>
          <w:rFonts w:hint="eastAsia"/>
          <w:color w:val="auto"/>
          <w:highlight w:val="none"/>
          <w:u w:val="none"/>
        </w:rPr>
      </w:pPr>
      <w:r>
        <w:rPr>
          <w:rFonts w:hint="eastAsia"/>
          <w:color w:val="auto"/>
          <w:highlight w:val="none"/>
          <w:u w:val="none"/>
        </w:rPr>
        <w:t>（28）《福建省人民政府关于实施“三线一单”生态环境分区管控的通知》（闽政[2020]12号），2020年12月22日；</w:t>
      </w:r>
    </w:p>
    <w:p w14:paraId="4207FCFA">
      <w:pPr>
        <w:pStyle w:val="82"/>
        <w:rPr>
          <w:rFonts w:hint="eastAsia"/>
          <w:color w:val="auto"/>
          <w:highlight w:val="none"/>
          <w:u w:val="none"/>
        </w:rPr>
      </w:pPr>
      <w:r>
        <w:rPr>
          <w:rFonts w:hint="eastAsia"/>
          <w:color w:val="auto"/>
          <w:highlight w:val="none"/>
          <w:u w:val="none"/>
        </w:rPr>
        <w:t>（29）福建省应急管理厅等四部门关于印发《福建省禁止、限制和控制危险化学品目录（试行）》的通知（闽应急[2020]3号），2020年1月3日；</w:t>
      </w:r>
    </w:p>
    <w:p w14:paraId="372ABF38">
      <w:pPr>
        <w:pStyle w:val="82"/>
        <w:rPr>
          <w:rFonts w:hint="eastAsia"/>
          <w:color w:val="auto"/>
          <w:highlight w:val="none"/>
          <w:u w:val="none"/>
        </w:rPr>
      </w:pPr>
      <w:r>
        <w:rPr>
          <w:rFonts w:hint="eastAsia"/>
          <w:color w:val="auto"/>
          <w:highlight w:val="none"/>
          <w:u w:val="none"/>
        </w:rPr>
        <w:t>（30）《福建省人民政府办公厅关于印发福建省新污染物治理工作方案的通知》，2023年1月1日；</w:t>
      </w:r>
    </w:p>
    <w:p w14:paraId="1FC8EBFE">
      <w:pPr>
        <w:pStyle w:val="82"/>
        <w:rPr>
          <w:rFonts w:hint="eastAsia"/>
          <w:color w:val="auto"/>
          <w:highlight w:val="none"/>
          <w:u w:val="none"/>
        </w:rPr>
      </w:pPr>
      <w:r>
        <w:rPr>
          <w:rFonts w:hint="eastAsia"/>
          <w:color w:val="auto"/>
          <w:highlight w:val="none"/>
          <w:u w:val="none"/>
        </w:rPr>
        <w:t>（31）《福建省生态环境厅关于印发&lt;加快实施产业园区污水明管化改造 助力美丽园区建设的意见&gt;的通知》（闽环发[2023]10号），2023年9月11日。</w:t>
      </w:r>
    </w:p>
    <w:p w14:paraId="6959EFA5">
      <w:pPr>
        <w:pStyle w:val="82"/>
        <w:rPr>
          <w:rFonts w:hint="eastAsia"/>
          <w:color w:val="auto"/>
          <w:highlight w:val="none"/>
          <w:u w:val="none"/>
        </w:rPr>
      </w:pPr>
      <w:r>
        <w:rPr>
          <w:rFonts w:hint="eastAsia"/>
          <w:color w:val="auto"/>
          <w:highlight w:val="none"/>
          <w:u w:val="none"/>
        </w:rPr>
        <w:t>（32）《福建省环保厅关于切实加强重点石化化工企业及园区环境应急池建设的通知》（闽环保应急〔2015〕13号）；</w:t>
      </w:r>
    </w:p>
    <w:p w14:paraId="409F63D9">
      <w:pPr>
        <w:pStyle w:val="82"/>
        <w:rPr>
          <w:rFonts w:hint="eastAsia"/>
          <w:color w:val="auto"/>
          <w:highlight w:val="none"/>
          <w:u w:val="none"/>
        </w:rPr>
      </w:pPr>
      <w:r>
        <w:rPr>
          <w:rFonts w:hint="eastAsia"/>
          <w:color w:val="auto"/>
          <w:highlight w:val="none"/>
          <w:u w:val="none"/>
        </w:rPr>
        <w:t>（33）《福州市生态环境局关于福州市重点行业建设项目碳排放环境影响评价的指导意见（试行）》（榕环保综[2021]62号），2021年5月31日；</w:t>
      </w:r>
    </w:p>
    <w:p w14:paraId="327197E2">
      <w:pPr>
        <w:pStyle w:val="82"/>
        <w:rPr>
          <w:rFonts w:hint="eastAsia"/>
          <w:color w:val="auto"/>
          <w:highlight w:val="none"/>
          <w:u w:val="none"/>
        </w:rPr>
      </w:pPr>
      <w:r>
        <w:rPr>
          <w:rFonts w:hint="eastAsia"/>
          <w:color w:val="auto"/>
          <w:highlight w:val="none"/>
          <w:u w:val="none"/>
        </w:rPr>
        <w:t>（34）《福建省人民政府关于印发&lt;福建省空气质量持续改善实施方案&gt;的通知》（闽政文[2024]361号），2024年11月1日；</w:t>
      </w:r>
    </w:p>
    <w:p w14:paraId="73AB6F85">
      <w:pPr>
        <w:pStyle w:val="82"/>
        <w:rPr>
          <w:rFonts w:hint="eastAsia"/>
          <w:color w:val="auto"/>
          <w:highlight w:val="none"/>
          <w:u w:val="none"/>
        </w:rPr>
      </w:pPr>
      <w:r>
        <w:rPr>
          <w:rFonts w:hint="eastAsia"/>
          <w:color w:val="auto"/>
          <w:highlight w:val="none"/>
          <w:u w:val="none"/>
        </w:rPr>
        <w:t>（35）《福建省生态功能区划》，福建省人民政府（</w:t>
      </w:r>
      <w:r>
        <w:rPr>
          <w:color w:val="auto"/>
          <w:highlight w:val="none"/>
          <w:u w:val="none"/>
        </w:rPr>
        <w:t>2010</w:t>
      </w:r>
      <w:r>
        <w:rPr>
          <w:rFonts w:hint="eastAsia"/>
          <w:color w:val="auto"/>
          <w:highlight w:val="none"/>
          <w:u w:val="none"/>
        </w:rPr>
        <w:t>年</w:t>
      </w:r>
      <w:r>
        <w:rPr>
          <w:color w:val="auto"/>
          <w:highlight w:val="none"/>
          <w:u w:val="none"/>
        </w:rPr>
        <w:t>1</w:t>
      </w:r>
      <w:r>
        <w:rPr>
          <w:rFonts w:hint="eastAsia"/>
          <w:color w:val="auto"/>
          <w:highlight w:val="none"/>
          <w:u w:val="none"/>
        </w:rPr>
        <w:t>月）；</w:t>
      </w:r>
    </w:p>
    <w:p w14:paraId="3A4B6FC6">
      <w:pPr>
        <w:pStyle w:val="82"/>
        <w:rPr>
          <w:rFonts w:hint="eastAsia"/>
          <w:color w:val="auto"/>
          <w:highlight w:val="none"/>
          <w:u w:val="none"/>
        </w:rPr>
      </w:pPr>
      <w:r>
        <w:rPr>
          <w:rFonts w:hint="eastAsia"/>
          <w:color w:val="auto"/>
          <w:highlight w:val="none"/>
          <w:u w:val="none"/>
        </w:rPr>
        <w:t>（36）《福州市大气污染防治行动计划实施细则》（榕政综〔201</w:t>
      </w:r>
      <w:r>
        <w:rPr>
          <w:color w:val="auto"/>
          <w:highlight w:val="none"/>
          <w:u w:val="none"/>
        </w:rPr>
        <w:t>4</w:t>
      </w:r>
      <w:r>
        <w:rPr>
          <w:rFonts w:hint="eastAsia"/>
          <w:color w:val="auto"/>
          <w:highlight w:val="none"/>
          <w:u w:val="none"/>
        </w:rPr>
        <w:t>〕</w:t>
      </w:r>
      <w:r>
        <w:rPr>
          <w:color w:val="auto"/>
          <w:highlight w:val="none"/>
          <w:u w:val="none"/>
        </w:rPr>
        <w:t>27</w:t>
      </w:r>
      <w:r>
        <w:rPr>
          <w:rFonts w:hint="eastAsia"/>
          <w:color w:val="auto"/>
          <w:highlight w:val="none"/>
          <w:u w:val="none"/>
        </w:rPr>
        <w:t>号）；</w:t>
      </w:r>
    </w:p>
    <w:p w14:paraId="7B0BC8CE">
      <w:pPr>
        <w:rPr>
          <w:rFonts w:hint="eastAsia"/>
          <w:color w:val="auto"/>
          <w:highlight w:val="none"/>
          <w:u w:val="none"/>
        </w:rPr>
      </w:pPr>
      <w:r>
        <w:rPr>
          <w:rFonts w:hint="eastAsia"/>
          <w:color w:val="auto"/>
          <w:highlight w:val="none"/>
          <w:u w:val="none"/>
        </w:rPr>
        <w:t>（37）《福州市水污染防治行动计划工作方案》（榕政综〔2015〕390号）；</w:t>
      </w:r>
    </w:p>
    <w:p w14:paraId="0E238ACA">
      <w:pPr>
        <w:rPr>
          <w:rFonts w:hint="eastAsia"/>
          <w:color w:val="auto"/>
          <w:highlight w:val="none"/>
          <w:u w:val="none"/>
        </w:rPr>
      </w:pPr>
      <w:r>
        <w:rPr>
          <w:rFonts w:hint="eastAsia"/>
          <w:color w:val="auto"/>
          <w:highlight w:val="none"/>
          <w:u w:val="none"/>
        </w:rPr>
        <w:t>（38）《福州市土壤污染防治行动计划实施方案》（榕政综〔2017〕36号）；</w:t>
      </w:r>
    </w:p>
    <w:p w14:paraId="1668BCF9">
      <w:pPr>
        <w:rPr>
          <w:rFonts w:hint="eastAsia"/>
          <w:color w:val="auto"/>
          <w:highlight w:val="none"/>
          <w:u w:val="none"/>
        </w:rPr>
      </w:pPr>
      <w:r>
        <w:rPr>
          <w:rFonts w:hint="eastAsia"/>
          <w:color w:val="auto"/>
          <w:highlight w:val="none"/>
          <w:u w:val="none"/>
        </w:rPr>
        <w:t>（39）《福清市国土空间总体规划（2021-2035年）</w:t>
      </w:r>
      <w:r>
        <w:rPr>
          <w:color w:val="auto"/>
          <w:highlight w:val="none"/>
          <w:u w:val="none"/>
        </w:rPr>
        <w:t>》</w:t>
      </w:r>
      <w:r>
        <w:rPr>
          <w:rFonts w:hint="eastAsia"/>
          <w:color w:val="auto"/>
          <w:highlight w:val="none"/>
          <w:u w:val="none"/>
        </w:rPr>
        <w:t>；</w:t>
      </w:r>
    </w:p>
    <w:p w14:paraId="049015EB">
      <w:pPr>
        <w:rPr>
          <w:rFonts w:hint="eastAsia"/>
          <w:color w:val="auto"/>
          <w:highlight w:val="none"/>
          <w:u w:val="none"/>
        </w:rPr>
      </w:pPr>
      <w:r>
        <w:rPr>
          <w:rFonts w:hint="eastAsia"/>
          <w:color w:val="auto"/>
          <w:highlight w:val="none"/>
          <w:u w:val="none"/>
        </w:rPr>
        <w:t>（40）《福州江阴港城总体规划（2</w:t>
      </w:r>
      <w:r>
        <w:rPr>
          <w:color w:val="auto"/>
          <w:highlight w:val="none"/>
          <w:u w:val="none"/>
        </w:rPr>
        <w:t>018</w:t>
      </w:r>
      <w:r>
        <w:rPr>
          <w:rFonts w:hint="eastAsia"/>
          <w:color w:val="auto"/>
          <w:highlight w:val="none"/>
          <w:u w:val="none"/>
        </w:rPr>
        <w:t>-</w:t>
      </w:r>
      <w:r>
        <w:rPr>
          <w:color w:val="auto"/>
          <w:highlight w:val="none"/>
          <w:u w:val="none"/>
        </w:rPr>
        <w:t>2035</w:t>
      </w:r>
      <w:r>
        <w:rPr>
          <w:rFonts w:hint="eastAsia"/>
          <w:color w:val="auto"/>
          <w:highlight w:val="none"/>
          <w:u w:val="none"/>
        </w:rPr>
        <w:t>年）》；</w:t>
      </w:r>
    </w:p>
    <w:p w14:paraId="0A11582C">
      <w:pPr>
        <w:rPr>
          <w:rFonts w:hint="eastAsia"/>
          <w:color w:val="auto"/>
          <w:highlight w:val="none"/>
          <w:u w:val="none"/>
        </w:rPr>
      </w:pPr>
      <w:r>
        <w:rPr>
          <w:rFonts w:hint="eastAsia"/>
          <w:color w:val="auto"/>
          <w:highlight w:val="none"/>
          <w:u w:val="none"/>
        </w:rPr>
        <w:t>（41）《福州江阴港城经济区产业发展规划》。</w:t>
      </w:r>
    </w:p>
    <w:p w14:paraId="56704063">
      <w:pPr>
        <w:pStyle w:val="6"/>
        <w:spacing w:before="156" w:after="156"/>
        <w:rPr>
          <w:color w:val="auto"/>
          <w:highlight w:val="none"/>
          <w:u w:val="none"/>
        </w:rPr>
      </w:pPr>
      <w:bookmarkStart w:id="52" w:name="_Toc148374868"/>
      <w:bookmarkStart w:id="53" w:name="_Toc148374426"/>
      <w:r>
        <w:rPr>
          <w:color w:val="auto"/>
          <w:highlight w:val="none"/>
          <w:u w:val="none"/>
        </w:rPr>
        <w:t>导则及技术</w:t>
      </w:r>
      <w:r>
        <w:rPr>
          <w:rFonts w:hint="eastAsia"/>
          <w:color w:val="auto"/>
          <w:highlight w:val="none"/>
          <w:u w:val="none"/>
        </w:rPr>
        <w:t>规范</w:t>
      </w:r>
      <w:bookmarkEnd w:id="52"/>
      <w:bookmarkEnd w:id="53"/>
    </w:p>
    <w:p w14:paraId="2B62FCD8">
      <w:pPr>
        <w:rPr>
          <w:rFonts w:hint="eastAsia"/>
          <w:color w:val="auto"/>
          <w:highlight w:val="none"/>
          <w:u w:val="none"/>
        </w:rPr>
      </w:pPr>
      <w:r>
        <w:rPr>
          <w:color w:val="auto"/>
          <w:highlight w:val="none"/>
          <w:u w:val="none"/>
        </w:rPr>
        <w:t>（1）《建设项目环境影响评价技术导则——总</w:t>
      </w:r>
      <w:r>
        <w:rPr>
          <w:rFonts w:hint="eastAsia"/>
          <w:color w:val="auto"/>
          <w:highlight w:val="none"/>
          <w:u w:val="none"/>
        </w:rPr>
        <w:t>纲</w:t>
      </w:r>
      <w:r>
        <w:rPr>
          <w:color w:val="auto"/>
          <w:highlight w:val="none"/>
          <w:u w:val="none"/>
        </w:rPr>
        <w:t>》（HJ2.1-2016）；</w:t>
      </w:r>
    </w:p>
    <w:p w14:paraId="0F8AAD02">
      <w:pPr>
        <w:rPr>
          <w:rFonts w:hint="eastAsia"/>
          <w:color w:val="auto"/>
          <w:highlight w:val="none"/>
          <w:u w:val="none"/>
        </w:rPr>
      </w:pPr>
      <w:r>
        <w:rPr>
          <w:color w:val="auto"/>
          <w:highlight w:val="none"/>
          <w:u w:val="none"/>
        </w:rPr>
        <w:t>（2）《环境影响评价技术导则——大气环境》（HJ2.2-20</w:t>
      </w:r>
      <w:r>
        <w:rPr>
          <w:rFonts w:hint="eastAsia"/>
          <w:color w:val="auto"/>
          <w:highlight w:val="none"/>
          <w:u w:val="none"/>
        </w:rPr>
        <w:t>1</w:t>
      </w:r>
      <w:r>
        <w:rPr>
          <w:color w:val="auto"/>
          <w:highlight w:val="none"/>
          <w:u w:val="none"/>
        </w:rPr>
        <w:t>8）；</w:t>
      </w:r>
    </w:p>
    <w:p w14:paraId="561BE497">
      <w:pPr>
        <w:rPr>
          <w:rFonts w:hint="eastAsia"/>
          <w:color w:val="auto"/>
          <w:highlight w:val="none"/>
          <w:u w:val="none"/>
        </w:rPr>
      </w:pPr>
      <w:r>
        <w:rPr>
          <w:color w:val="auto"/>
          <w:highlight w:val="none"/>
          <w:u w:val="none"/>
        </w:rPr>
        <w:t>（3）《环境影响评价技术导则——</w:t>
      </w:r>
      <w:r>
        <w:rPr>
          <w:rFonts w:hint="eastAsia"/>
          <w:color w:val="auto"/>
          <w:highlight w:val="none"/>
          <w:u w:val="none"/>
        </w:rPr>
        <w:t>地表水</w:t>
      </w:r>
      <w:r>
        <w:rPr>
          <w:color w:val="auto"/>
          <w:highlight w:val="none"/>
          <w:u w:val="none"/>
        </w:rPr>
        <w:t>环境》（HJ2.3-</w:t>
      </w:r>
      <w:r>
        <w:rPr>
          <w:rFonts w:hint="eastAsia"/>
          <w:color w:val="auto"/>
          <w:highlight w:val="none"/>
          <w:u w:val="none"/>
        </w:rPr>
        <w:t>2018</w:t>
      </w:r>
      <w:r>
        <w:rPr>
          <w:color w:val="auto"/>
          <w:highlight w:val="none"/>
          <w:u w:val="none"/>
        </w:rPr>
        <w:t>）；</w:t>
      </w:r>
    </w:p>
    <w:p w14:paraId="071D5DE9">
      <w:pPr>
        <w:rPr>
          <w:rFonts w:hint="eastAsia"/>
          <w:color w:val="auto"/>
          <w:highlight w:val="none"/>
          <w:u w:val="none"/>
        </w:rPr>
      </w:pPr>
      <w:r>
        <w:rPr>
          <w:color w:val="auto"/>
          <w:highlight w:val="none"/>
          <w:u w:val="none"/>
        </w:rPr>
        <w:t>（4）《环境影响评价技术导则——地下水环境》（HJ610-2016）；</w:t>
      </w:r>
    </w:p>
    <w:p w14:paraId="0CA85A16">
      <w:pPr>
        <w:rPr>
          <w:rFonts w:hint="eastAsia"/>
          <w:color w:val="auto"/>
          <w:highlight w:val="none"/>
          <w:u w:val="none"/>
        </w:rPr>
      </w:pPr>
      <w:r>
        <w:rPr>
          <w:color w:val="auto"/>
          <w:highlight w:val="none"/>
          <w:u w:val="none"/>
        </w:rPr>
        <w:t>（5）《环境影响评价技术导则——声环境》（HJ2.4-2021）；</w:t>
      </w:r>
    </w:p>
    <w:p w14:paraId="3194B870">
      <w:pPr>
        <w:rPr>
          <w:rFonts w:hint="eastAsia"/>
          <w:color w:val="auto"/>
          <w:highlight w:val="none"/>
          <w:u w:val="none"/>
        </w:rPr>
      </w:pPr>
      <w:r>
        <w:rPr>
          <w:color w:val="auto"/>
          <w:highlight w:val="none"/>
          <w:u w:val="none"/>
        </w:rPr>
        <w:t>（6）《环境影响评价技术导则——生态影响》（HJ19-2022）；</w:t>
      </w:r>
    </w:p>
    <w:p w14:paraId="31746E3D">
      <w:pPr>
        <w:rPr>
          <w:rFonts w:hint="eastAsia"/>
          <w:color w:val="auto"/>
          <w:highlight w:val="none"/>
          <w:u w:val="none"/>
        </w:rPr>
      </w:pPr>
      <w:r>
        <w:rPr>
          <w:rFonts w:hint="eastAsia"/>
          <w:color w:val="auto"/>
          <w:highlight w:val="none"/>
          <w:u w:val="none"/>
        </w:rPr>
        <w:t>（7）《环境影响评价技术导则——土壤环境（试行）》（HJ</w:t>
      </w:r>
      <w:r>
        <w:rPr>
          <w:color w:val="auto"/>
          <w:highlight w:val="none"/>
          <w:u w:val="none"/>
        </w:rPr>
        <w:t>964</w:t>
      </w:r>
      <w:r>
        <w:rPr>
          <w:rFonts w:hint="eastAsia"/>
          <w:color w:val="auto"/>
          <w:highlight w:val="none"/>
          <w:u w:val="none"/>
        </w:rPr>
        <w:t>-</w:t>
      </w:r>
      <w:r>
        <w:rPr>
          <w:color w:val="auto"/>
          <w:highlight w:val="none"/>
          <w:u w:val="none"/>
        </w:rPr>
        <w:t>2018</w:t>
      </w:r>
      <w:r>
        <w:rPr>
          <w:rFonts w:hint="eastAsia"/>
          <w:color w:val="auto"/>
          <w:highlight w:val="none"/>
          <w:u w:val="none"/>
        </w:rPr>
        <w:t>）；</w:t>
      </w:r>
    </w:p>
    <w:p w14:paraId="5AB5F3EC">
      <w:pPr>
        <w:rPr>
          <w:rFonts w:hint="eastAsia"/>
          <w:color w:val="auto"/>
          <w:highlight w:val="none"/>
          <w:u w:val="none"/>
        </w:rPr>
      </w:pPr>
      <w:r>
        <w:rPr>
          <w:rFonts w:hint="eastAsia"/>
          <w:color w:val="auto"/>
          <w:highlight w:val="none"/>
          <w:u w:val="none"/>
        </w:rPr>
        <w:t>（</w:t>
      </w:r>
      <w:r>
        <w:rPr>
          <w:color w:val="auto"/>
          <w:highlight w:val="none"/>
          <w:u w:val="none"/>
        </w:rPr>
        <w:t>8</w:t>
      </w:r>
      <w:r>
        <w:rPr>
          <w:rFonts w:hint="eastAsia"/>
          <w:color w:val="auto"/>
          <w:highlight w:val="none"/>
          <w:u w:val="none"/>
        </w:rPr>
        <w:t>）《建设项目环境风险评价技术导则》（</w:t>
      </w:r>
      <w:r>
        <w:rPr>
          <w:color w:val="auto"/>
          <w:highlight w:val="none"/>
          <w:u w:val="none"/>
        </w:rPr>
        <w:t>HJ169-20</w:t>
      </w:r>
      <w:r>
        <w:rPr>
          <w:rFonts w:hint="eastAsia"/>
          <w:color w:val="auto"/>
          <w:highlight w:val="none"/>
          <w:u w:val="none"/>
        </w:rPr>
        <w:t>18）；</w:t>
      </w:r>
    </w:p>
    <w:p w14:paraId="115B95CE">
      <w:pPr>
        <w:rPr>
          <w:rFonts w:hint="eastAsia"/>
          <w:color w:val="auto"/>
          <w:highlight w:val="none"/>
          <w:u w:val="none"/>
        </w:rPr>
      </w:pPr>
      <w:r>
        <w:rPr>
          <w:rFonts w:hint="eastAsia"/>
          <w:color w:val="auto"/>
          <w:highlight w:val="none"/>
          <w:u w:val="none"/>
        </w:rPr>
        <w:t>（</w:t>
      </w:r>
      <w:r>
        <w:rPr>
          <w:color w:val="auto"/>
          <w:highlight w:val="none"/>
          <w:u w:val="none"/>
        </w:rPr>
        <w:t>9</w:t>
      </w:r>
      <w:r>
        <w:rPr>
          <w:rFonts w:hint="eastAsia"/>
          <w:color w:val="auto"/>
          <w:highlight w:val="none"/>
          <w:u w:val="none"/>
        </w:rPr>
        <w:t>）《建设项目危险废物环境影响评价指南》（环保部2017年第43号）；</w:t>
      </w:r>
    </w:p>
    <w:p w14:paraId="018EB6FD">
      <w:pPr>
        <w:rPr>
          <w:rFonts w:hint="eastAsia"/>
          <w:color w:val="auto"/>
          <w:highlight w:val="none"/>
          <w:u w:val="none"/>
        </w:rPr>
      </w:pPr>
      <w:r>
        <w:rPr>
          <w:rFonts w:hint="eastAsia"/>
          <w:color w:val="auto"/>
          <w:highlight w:val="none"/>
          <w:u w:val="none"/>
        </w:rPr>
        <w:t>（10）《环境影响评价技术导则 石油化工建设项目》（HJ/T89-2003）；</w:t>
      </w:r>
    </w:p>
    <w:p w14:paraId="5B0EAF65">
      <w:pPr>
        <w:rPr>
          <w:rFonts w:hint="eastAsia"/>
          <w:color w:val="auto"/>
          <w:highlight w:val="none"/>
          <w:u w:val="none"/>
        </w:rPr>
      </w:pPr>
      <w:r>
        <w:rPr>
          <w:rFonts w:hint="eastAsia"/>
          <w:color w:val="auto"/>
          <w:highlight w:val="none"/>
          <w:u w:val="none"/>
        </w:rPr>
        <w:t>（11）《化工建设项目环境保护工程设计标准》（GB/T50483-2019）</w:t>
      </w:r>
    </w:p>
    <w:p w14:paraId="5D6BAB54">
      <w:pPr>
        <w:rPr>
          <w:rFonts w:hint="eastAsia"/>
          <w:color w:val="auto"/>
          <w:highlight w:val="none"/>
          <w:u w:val="none"/>
        </w:rPr>
      </w:pPr>
      <w:r>
        <w:rPr>
          <w:rFonts w:hint="eastAsia"/>
          <w:color w:val="auto"/>
          <w:highlight w:val="none"/>
          <w:u w:val="none"/>
        </w:rPr>
        <w:t>（12）《排污单位自行监测技术指南 总则》（HJ 819-2017）；</w:t>
      </w:r>
    </w:p>
    <w:p w14:paraId="0698A191">
      <w:pPr>
        <w:rPr>
          <w:rFonts w:hint="eastAsia"/>
          <w:color w:val="auto"/>
          <w:highlight w:val="none"/>
          <w:u w:val="none"/>
        </w:rPr>
      </w:pPr>
      <w:r>
        <w:rPr>
          <w:rFonts w:hint="eastAsia"/>
          <w:color w:val="auto"/>
          <w:highlight w:val="none"/>
          <w:u w:val="none"/>
        </w:rPr>
        <w:t>（13）《排污单位自行监测技术指南 石油化学工业》（HJ947-2018）；</w:t>
      </w:r>
    </w:p>
    <w:p w14:paraId="287AE84E">
      <w:pPr>
        <w:rPr>
          <w:rFonts w:hint="eastAsia"/>
          <w:color w:val="auto"/>
          <w:highlight w:val="none"/>
          <w:u w:val="none"/>
        </w:rPr>
      </w:pPr>
      <w:r>
        <w:rPr>
          <w:rFonts w:hint="eastAsia"/>
          <w:color w:val="auto"/>
          <w:highlight w:val="none"/>
          <w:u w:val="none"/>
        </w:rPr>
        <w:t>（14）《工业企业土壤和地下水自行监测技术指南（试行）》（HJ1209-2021）；</w:t>
      </w:r>
    </w:p>
    <w:p w14:paraId="0E2ECDC2">
      <w:pPr>
        <w:rPr>
          <w:rFonts w:hint="eastAsia"/>
          <w:color w:val="auto"/>
          <w:highlight w:val="none"/>
          <w:u w:val="none"/>
        </w:rPr>
      </w:pPr>
      <w:r>
        <w:rPr>
          <w:rFonts w:hint="eastAsia"/>
          <w:color w:val="auto"/>
          <w:highlight w:val="none"/>
          <w:u w:val="none"/>
        </w:rPr>
        <w:t>（15）《排污许可证申请与核发技术规范 总则》（HJ942-2018）；</w:t>
      </w:r>
    </w:p>
    <w:p w14:paraId="349841A7">
      <w:pPr>
        <w:rPr>
          <w:rFonts w:hint="eastAsia"/>
          <w:color w:val="auto"/>
          <w:highlight w:val="none"/>
          <w:u w:val="none"/>
        </w:rPr>
      </w:pPr>
      <w:r>
        <w:rPr>
          <w:rFonts w:hint="eastAsia"/>
          <w:color w:val="auto"/>
          <w:highlight w:val="none"/>
          <w:u w:val="none"/>
        </w:rPr>
        <w:t>（16）《排污许可证申请与核发技术规范 石化工业》（HJ 853-2017）；</w:t>
      </w:r>
    </w:p>
    <w:p w14:paraId="501B63A8">
      <w:pPr>
        <w:rPr>
          <w:rFonts w:hint="eastAsia"/>
          <w:color w:val="auto"/>
          <w:highlight w:val="none"/>
          <w:u w:val="none"/>
        </w:rPr>
      </w:pPr>
      <w:r>
        <w:rPr>
          <w:rFonts w:hint="eastAsia"/>
          <w:color w:val="auto"/>
          <w:highlight w:val="none"/>
          <w:u w:val="none"/>
        </w:rPr>
        <w:t>（17）《危险化学品重大危险源辨识》（</w:t>
      </w:r>
      <w:r>
        <w:rPr>
          <w:color w:val="auto"/>
          <w:highlight w:val="none"/>
          <w:u w:val="none"/>
        </w:rPr>
        <w:t>GB18218-20</w:t>
      </w:r>
      <w:r>
        <w:rPr>
          <w:rFonts w:hint="eastAsia"/>
          <w:color w:val="auto"/>
          <w:highlight w:val="none"/>
          <w:u w:val="none"/>
        </w:rPr>
        <w:t>18）；</w:t>
      </w:r>
    </w:p>
    <w:p w14:paraId="45CB0284">
      <w:pPr>
        <w:rPr>
          <w:rFonts w:hint="eastAsia"/>
          <w:color w:val="auto"/>
          <w:highlight w:val="none"/>
          <w:u w:val="none"/>
        </w:rPr>
      </w:pPr>
      <w:r>
        <w:rPr>
          <w:rFonts w:hint="eastAsia"/>
          <w:color w:val="auto"/>
          <w:highlight w:val="none"/>
          <w:u w:val="none"/>
        </w:rPr>
        <w:t>（18）《危险废物贮存污染控制标准》（GB</w:t>
      </w:r>
      <w:r>
        <w:rPr>
          <w:color w:val="auto"/>
          <w:highlight w:val="none"/>
          <w:u w:val="none"/>
        </w:rPr>
        <w:t>18597</w:t>
      </w:r>
      <w:r>
        <w:rPr>
          <w:rFonts w:hint="eastAsia"/>
          <w:color w:val="auto"/>
          <w:highlight w:val="none"/>
          <w:u w:val="none"/>
        </w:rPr>
        <w:t>-</w:t>
      </w:r>
      <w:r>
        <w:rPr>
          <w:color w:val="auto"/>
          <w:highlight w:val="none"/>
          <w:u w:val="none"/>
        </w:rPr>
        <w:t>2023</w:t>
      </w:r>
      <w:r>
        <w:rPr>
          <w:rFonts w:hint="eastAsia"/>
          <w:color w:val="auto"/>
          <w:highlight w:val="none"/>
          <w:u w:val="none"/>
        </w:rPr>
        <w:t>）；</w:t>
      </w:r>
    </w:p>
    <w:p w14:paraId="182C5DAB">
      <w:pPr>
        <w:rPr>
          <w:rFonts w:hint="eastAsia"/>
          <w:color w:val="auto"/>
          <w:highlight w:val="none"/>
          <w:u w:val="none"/>
        </w:rPr>
      </w:pPr>
      <w:r>
        <w:rPr>
          <w:rFonts w:hint="eastAsia"/>
          <w:color w:val="auto"/>
          <w:highlight w:val="none"/>
          <w:u w:val="none"/>
        </w:rPr>
        <w:t>（19）《一般工业固体废物贮存和填埋污染控制标准》（</w:t>
      </w:r>
      <w:r>
        <w:rPr>
          <w:color w:val="auto"/>
          <w:highlight w:val="none"/>
          <w:u w:val="none"/>
        </w:rPr>
        <w:t>GB18599-2020</w:t>
      </w:r>
      <w:r>
        <w:rPr>
          <w:rFonts w:hint="eastAsia"/>
          <w:color w:val="auto"/>
          <w:highlight w:val="none"/>
          <w:u w:val="none"/>
        </w:rPr>
        <w:t>）；</w:t>
      </w:r>
    </w:p>
    <w:p w14:paraId="7912292E">
      <w:pPr>
        <w:rPr>
          <w:rFonts w:hint="eastAsia"/>
          <w:color w:val="auto"/>
          <w:highlight w:val="none"/>
          <w:u w:val="none"/>
        </w:rPr>
      </w:pPr>
      <w:r>
        <w:rPr>
          <w:rFonts w:hint="eastAsia"/>
          <w:color w:val="auto"/>
          <w:highlight w:val="none"/>
          <w:u w:val="none"/>
        </w:rPr>
        <w:t>（20）《光气及光气化产品生产安全规范》（GB19041-2024）；</w:t>
      </w:r>
    </w:p>
    <w:p w14:paraId="48C2D587">
      <w:pPr>
        <w:rPr>
          <w:rFonts w:hint="eastAsia"/>
          <w:color w:val="auto"/>
          <w:highlight w:val="none"/>
          <w:u w:val="none"/>
        </w:rPr>
      </w:pPr>
      <w:r>
        <w:rPr>
          <w:rFonts w:hint="eastAsia"/>
          <w:color w:val="auto"/>
          <w:highlight w:val="none"/>
          <w:u w:val="none"/>
        </w:rPr>
        <w:t>（21）《二苯基甲烷二异氰酸酯（MDI）、甲苯二异氰酸酯（TDI）项目建设规范条件》（中华人民共和国工业和信息化部公告2018年第60号）。</w:t>
      </w:r>
    </w:p>
    <w:p w14:paraId="758673C8">
      <w:pPr>
        <w:pStyle w:val="6"/>
        <w:spacing w:before="156" w:after="156"/>
        <w:rPr>
          <w:color w:val="auto"/>
          <w:highlight w:val="none"/>
          <w:u w:val="none"/>
        </w:rPr>
      </w:pPr>
      <w:bookmarkStart w:id="54" w:name="_Toc148374427"/>
      <w:bookmarkStart w:id="55" w:name="_Toc148374869"/>
      <w:r>
        <w:rPr>
          <w:color w:val="auto"/>
          <w:highlight w:val="none"/>
          <w:u w:val="none"/>
        </w:rPr>
        <w:t>项目文件</w:t>
      </w:r>
      <w:bookmarkEnd w:id="54"/>
      <w:bookmarkEnd w:id="55"/>
    </w:p>
    <w:p w14:paraId="4214B465">
      <w:pPr>
        <w:rPr>
          <w:rFonts w:hint="eastAsia"/>
          <w:color w:val="auto"/>
          <w:highlight w:val="none"/>
          <w:u w:val="none"/>
        </w:rPr>
      </w:pPr>
      <w:r>
        <w:rPr>
          <w:rFonts w:hint="eastAsia"/>
          <w:color w:val="auto"/>
          <w:highlight w:val="none"/>
          <w:u w:val="none"/>
        </w:rPr>
        <w:t>（1）《万华化学（福建）有限公司</w:t>
      </w:r>
      <w:r>
        <w:rPr>
          <w:color w:val="auto"/>
          <w:highlight w:val="none"/>
          <w:u w:val="none"/>
        </w:rPr>
        <w:t>TDI</w:t>
      </w:r>
      <w:r>
        <w:rPr>
          <w:rFonts w:hint="eastAsia"/>
          <w:color w:val="auto"/>
          <w:highlight w:val="none"/>
          <w:u w:val="none"/>
          <w:lang w:val="en-US"/>
        </w:rPr>
        <w:t>一期技改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万吨/年项目可行性研究报告</w:t>
      </w:r>
      <w:r>
        <w:rPr>
          <w:rFonts w:hint="eastAsia"/>
          <w:color w:val="auto"/>
          <w:highlight w:val="none"/>
          <w:u w:val="none"/>
        </w:rPr>
        <w:t>》，华陆工程科技有限责任公司，2</w:t>
      </w:r>
      <w:r>
        <w:rPr>
          <w:color w:val="auto"/>
          <w:highlight w:val="none"/>
          <w:u w:val="none"/>
        </w:rPr>
        <w:t>023</w:t>
      </w:r>
      <w:r>
        <w:rPr>
          <w:rFonts w:hint="eastAsia"/>
          <w:color w:val="auto"/>
          <w:highlight w:val="none"/>
          <w:u w:val="none"/>
        </w:rPr>
        <w:t>年</w:t>
      </w:r>
      <w:r>
        <w:rPr>
          <w:rFonts w:hint="eastAsia"/>
          <w:color w:val="auto"/>
          <w:highlight w:val="none"/>
          <w:u w:val="none"/>
          <w:lang w:val="en-US"/>
        </w:rPr>
        <w:t>11</w:t>
      </w:r>
      <w:r>
        <w:rPr>
          <w:rFonts w:hint="eastAsia"/>
          <w:color w:val="auto"/>
          <w:highlight w:val="none"/>
          <w:u w:val="none"/>
        </w:rPr>
        <w:t>月；</w:t>
      </w:r>
    </w:p>
    <w:p w14:paraId="2F596088">
      <w:pPr>
        <w:pStyle w:val="82"/>
        <w:rPr>
          <w:rFonts w:hint="eastAsia"/>
          <w:color w:val="auto"/>
          <w:highlight w:val="none"/>
          <w:u w:val="none"/>
        </w:rPr>
      </w:pPr>
      <w:r>
        <w:rPr>
          <w:rFonts w:hint="eastAsia"/>
          <w:color w:val="auto"/>
          <w:highlight w:val="none"/>
          <w:u w:val="none"/>
        </w:rPr>
        <w:t>（2）《万华化学（福建）有限公司</w:t>
      </w:r>
      <w:r>
        <w:rPr>
          <w:color w:val="auto"/>
          <w:highlight w:val="none"/>
          <w:u w:val="none"/>
        </w:rPr>
        <w:t>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万吨/年项目节能报告》</w:t>
      </w:r>
      <w:r>
        <w:rPr>
          <w:rFonts w:hint="eastAsia"/>
          <w:color w:val="auto"/>
          <w:highlight w:val="none"/>
          <w:u w:val="none"/>
        </w:rPr>
        <w:t>，厦门市九安安全检测评价事务所有限公司，2</w:t>
      </w:r>
      <w:r>
        <w:rPr>
          <w:color w:val="auto"/>
          <w:highlight w:val="none"/>
          <w:u w:val="none"/>
        </w:rPr>
        <w:t>02</w:t>
      </w:r>
      <w:r>
        <w:rPr>
          <w:rFonts w:hint="eastAsia"/>
          <w:color w:val="auto"/>
          <w:highlight w:val="none"/>
          <w:u w:val="none"/>
          <w:lang w:val="en-US"/>
        </w:rPr>
        <w:t>4</w:t>
      </w:r>
      <w:r>
        <w:rPr>
          <w:rFonts w:hint="eastAsia"/>
          <w:color w:val="auto"/>
          <w:highlight w:val="none"/>
          <w:u w:val="none"/>
        </w:rPr>
        <w:t>年</w:t>
      </w:r>
      <w:r>
        <w:rPr>
          <w:rFonts w:hint="eastAsia"/>
          <w:color w:val="auto"/>
          <w:highlight w:val="none"/>
          <w:u w:val="none"/>
          <w:lang w:val="en-US"/>
        </w:rPr>
        <w:t>7</w:t>
      </w:r>
      <w:r>
        <w:rPr>
          <w:rFonts w:hint="eastAsia"/>
          <w:color w:val="auto"/>
          <w:highlight w:val="none"/>
          <w:u w:val="none"/>
        </w:rPr>
        <w:t>月；</w:t>
      </w:r>
    </w:p>
    <w:p w14:paraId="12D91315">
      <w:pPr>
        <w:pStyle w:val="82"/>
        <w:rPr>
          <w:rFonts w:hint="eastAsia"/>
          <w:color w:val="auto"/>
          <w:highlight w:val="none"/>
          <w:u w:val="none"/>
        </w:rPr>
      </w:pPr>
      <w:r>
        <w:rPr>
          <w:rFonts w:hint="eastAsia"/>
          <w:color w:val="auto"/>
          <w:highlight w:val="none"/>
          <w:u w:val="none"/>
        </w:rPr>
        <w:t>（3）《</w:t>
      </w:r>
      <w:r>
        <w:rPr>
          <w:color w:val="auto"/>
          <w:highlight w:val="none"/>
          <w:u w:val="none"/>
        </w:rPr>
        <w:t>福建省投资项目备案证明</w:t>
      </w:r>
      <w:r>
        <w:rPr>
          <w:rFonts w:hint="eastAsia"/>
          <w:color w:val="auto"/>
          <w:highlight w:val="none"/>
          <w:u w:val="none"/>
        </w:rPr>
        <w:t>（</w:t>
      </w:r>
      <w:r>
        <w:rPr>
          <w:color w:val="auto"/>
          <w:highlight w:val="none"/>
          <w:u w:val="none"/>
        </w:rPr>
        <w:t>内资</w:t>
      </w:r>
      <w:r>
        <w:rPr>
          <w:rFonts w:hint="eastAsia"/>
          <w:color w:val="auto"/>
          <w:highlight w:val="none"/>
          <w:u w:val="none"/>
        </w:rPr>
        <w:t>）——</w:t>
      </w:r>
      <w:r>
        <w:rPr>
          <w:color w:val="auto"/>
          <w:highlight w:val="none"/>
          <w:u w:val="none"/>
        </w:rPr>
        <w:t>万华化学</w:t>
      </w:r>
      <w:r>
        <w:rPr>
          <w:rFonts w:hint="eastAsia"/>
          <w:color w:val="auto"/>
          <w:highlight w:val="none"/>
          <w:u w:val="none"/>
        </w:rPr>
        <w:t>（</w:t>
      </w:r>
      <w:r>
        <w:rPr>
          <w:color w:val="auto"/>
          <w:highlight w:val="none"/>
          <w:u w:val="none"/>
        </w:rPr>
        <w:t>福建</w:t>
      </w:r>
      <w:r>
        <w:rPr>
          <w:rFonts w:hint="eastAsia"/>
          <w:color w:val="auto"/>
          <w:highlight w:val="none"/>
          <w:u w:val="none"/>
        </w:rPr>
        <w:t>）</w:t>
      </w:r>
      <w:r>
        <w:rPr>
          <w:color w:val="auto"/>
          <w:highlight w:val="none"/>
          <w:u w:val="none"/>
        </w:rPr>
        <w:t>有限公司TDI</w:t>
      </w:r>
      <w:r>
        <w:rPr>
          <w:rFonts w:hint="eastAsia"/>
          <w:color w:val="auto"/>
          <w:highlight w:val="none"/>
          <w:u w:val="none"/>
          <w:lang w:val="en-US"/>
        </w:rPr>
        <w:t>一期技改</w:t>
      </w:r>
      <w:r>
        <w:rPr>
          <w:color w:val="auto"/>
          <w:highlight w:val="none"/>
          <w:u w:val="none"/>
        </w:rPr>
        <w:t>扩</w:t>
      </w:r>
      <w:r>
        <w:rPr>
          <w:rFonts w:hint="eastAsia"/>
          <w:color w:val="auto"/>
          <w:highlight w:val="none"/>
          <w:u w:val="none"/>
          <w:lang w:val="en-US"/>
        </w:rPr>
        <w:t>能</w:t>
      </w:r>
      <w:r>
        <w:rPr>
          <w:color w:val="auto"/>
          <w:highlight w:val="none"/>
          <w:u w:val="none"/>
        </w:rPr>
        <w:t>3</w:t>
      </w:r>
      <w:r>
        <w:rPr>
          <w:rFonts w:hint="eastAsia"/>
          <w:color w:val="auto"/>
          <w:highlight w:val="none"/>
          <w:u w:val="none"/>
          <w:lang w:val="en-US"/>
        </w:rPr>
        <w:t>6</w:t>
      </w:r>
      <w:r>
        <w:rPr>
          <w:color w:val="auto"/>
          <w:highlight w:val="none"/>
          <w:u w:val="none"/>
        </w:rPr>
        <w:t>万吨/年项目</w:t>
      </w:r>
      <w:r>
        <w:rPr>
          <w:rFonts w:hint="eastAsia"/>
          <w:color w:val="auto"/>
          <w:highlight w:val="none"/>
          <w:u w:val="none"/>
        </w:rPr>
        <w:t>》（</w:t>
      </w:r>
      <w:r>
        <w:rPr>
          <w:color w:val="auto"/>
          <w:highlight w:val="none"/>
          <w:u w:val="none"/>
        </w:rPr>
        <w:t>闽工信备[202</w:t>
      </w:r>
      <w:r>
        <w:rPr>
          <w:rFonts w:hint="eastAsia"/>
          <w:color w:val="auto"/>
          <w:highlight w:val="none"/>
          <w:u w:val="none"/>
          <w:lang w:val="en-US"/>
        </w:rPr>
        <w:t>4</w:t>
      </w:r>
      <w:r>
        <w:rPr>
          <w:color w:val="auto"/>
          <w:highlight w:val="none"/>
          <w:u w:val="none"/>
        </w:rPr>
        <w:t>]A0600</w:t>
      </w:r>
      <w:r>
        <w:rPr>
          <w:rFonts w:hint="eastAsia"/>
          <w:color w:val="auto"/>
          <w:highlight w:val="none"/>
          <w:u w:val="none"/>
          <w:lang w:val="en-US"/>
        </w:rPr>
        <w:t>18</w:t>
      </w:r>
      <w:r>
        <w:rPr>
          <w:color w:val="auto"/>
          <w:highlight w:val="none"/>
          <w:u w:val="none"/>
        </w:rPr>
        <w:t>号</w:t>
      </w:r>
      <w:r>
        <w:rPr>
          <w:rFonts w:hint="eastAsia"/>
          <w:color w:val="auto"/>
          <w:highlight w:val="none"/>
          <w:u w:val="none"/>
        </w:rPr>
        <w:t>），2</w:t>
      </w:r>
      <w:r>
        <w:rPr>
          <w:color w:val="auto"/>
          <w:highlight w:val="none"/>
          <w:u w:val="none"/>
        </w:rPr>
        <w:t>02</w:t>
      </w:r>
      <w:r>
        <w:rPr>
          <w:rFonts w:hint="eastAsia"/>
          <w:color w:val="auto"/>
          <w:highlight w:val="none"/>
          <w:u w:val="none"/>
          <w:lang w:val="en-US"/>
        </w:rPr>
        <w:t>4</w:t>
      </w:r>
      <w:r>
        <w:rPr>
          <w:rFonts w:hint="eastAsia"/>
          <w:color w:val="auto"/>
          <w:highlight w:val="none"/>
          <w:u w:val="none"/>
        </w:rPr>
        <w:t>年</w:t>
      </w:r>
      <w:r>
        <w:rPr>
          <w:rFonts w:hint="eastAsia"/>
          <w:color w:val="auto"/>
          <w:highlight w:val="none"/>
          <w:u w:val="none"/>
          <w:lang w:val="en-US"/>
        </w:rPr>
        <w:t>4</w:t>
      </w:r>
      <w:r>
        <w:rPr>
          <w:rFonts w:hint="eastAsia"/>
          <w:color w:val="auto"/>
          <w:highlight w:val="none"/>
          <w:u w:val="none"/>
        </w:rPr>
        <w:t>月；</w:t>
      </w:r>
    </w:p>
    <w:p w14:paraId="2CBDBFA8">
      <w:pPr>
        <w:pStyle w:val="82"/>
        <w:rPr>
          <w:rFonts w:hint="eastAsia"/>
          <w:color w:val="auto"/>
          <w:highlight w:val="none"/>
          <w:u w:val="none"/>
        </w:rPr>
      </w:pPr>
      <w:r>
        <w:rPr>
          <w:rFonts w:hint="eastAsia"/>
          <w:color w:val="auto"/>
          <w:highlight w:val="none"/>
          <w:u w:val="none"/>
        </w:rPr>
        <w:t>（4）建设项目其他相关文件。</w:t>
      </w:r>
    </w:p>
    <w:p w14:paraId="066E5E43">
      <w:pPr>
        <w:pStyle w:val="4"/>
        <w:jc w:val="both"/>
        <w:rPr>
          <w:color w:val="auto"/>
          <w:highlight w:val="none"/>
          <w:u w:val="none"/>
        </w:rPr>
      </w:pPr>
      <w:bookmarkStart w:id="56" w:name="_Toc18157"/>
      <w:bookmarkStart w:id="57" w:name="_Toc148374428"/>
      <w:bookmarkStart w:id="58" w:name="_Toc148374870"/>
      <w:bookmarkStart w:id="59" w:name="_Toc148374767"/>
      <w:bookmarkStart w:id="60" w:name="_Toc109211048"/>
      <w:r>
        <w:rPr>
          <w:rFonts w:hint="eastAsia"/>
          <w:color w:val="auto"/>
          <w:highlight w:val="none"/>
          <w:u w:val="none"/>
        </w:rPr>
        <w:t>环境影响因素识别和评价因子筛选</w:t>
      </w:r>
      <w:bookmarkEnd w:id="56"/>
      <w:bookmarkEnd w:id="57"/>
      <w:bookmarkEnd w:id="58"/>
      <w:bookmarkEnd w:id="59"/>
      <w:bookmarkEnd w:id="60"/>
    </w:p>
    <w:p w14:paraId="5322D5BA">
      <w:pPr>
        <w:pStyle w:val="6"/>
        <w:spacing w:before="156" w:after="156"/>
        <w:rPr>
          <w:color w:val="auto"/>
          <w:highlight w:val="none"/>
          <w:u w:val="none"/>
        </w:rPr>
      </w:pPr>
      <w:bookmarkStart w:id="61" w:name="_Toc148374871"/>
      <w:bookmarkStart w:id="62" w:name="_Toc148374429"/>
      <w:r>
        <w:rPr>
          <w:rFonts w:hint="eastAsia"/>
          <w:color w:val="auto"/>
          <w:highlight w:val="none"/>
          <w:u w:val="none"/>
        </w:rPr>
        <w:t>环境影响因素识别</w:t>
      </w:r>
      <w:bookmarkEnd w:id="61"/>
      <w:bookmarkEnd w:id="62"/>
    </w:p>
    <w:p w14:paraId="7A6E32E8">
      <w:pPr>
        <w:rPr>
          <w:rFonts w:hint="eastAsia"/>
          <w:color w:val="auto"/>
          <w:highlight w:val="none"/>
          <w:u w:val="none"/>
        </w:rPr>
      </w:pPr>
      <w:r>
        <w:rPr>
          <w:rFonts w:hint="eastAsia"/>
          <w:color w:val="auto"/>
          <w:highlight w:val="none"/>
          <w:u w:val="none"/>
        </w:rPr>
        <w:t>根据本项目</w:t>
      </w:r>
      <w:r>
        <w:rPr>
          <w:rFonts w:hint="eastAsia"/>
          <w:color w:val="auto"/>
          <w:highlight w:val="none"/>
          <w:u w:val="none"/>
          <w:lang w:val="en-US"/>
        </w:rPr>
        <w:t>仅在红线范围内更换和增加设备，不涉及土建，更换的旧设备由厂家回收处置，因此主要影响在运行阶段，根据</w:t>
      </w:r>
      <w:r>
        <w:rPr>
          <w:rFonts w:hint="eastAsia"/>
          <w:color w:val="auto"/>
          <w:highlight w:val="none"/>
          <w:u w:val="none"/>
        </w:rPr>
        <w:t>运行阶段工艺流程和污染物排放特征，以及项目所处地区环境状况，采用矩阵法对项目可能产生的环境影响活动、及受本项目影响的环境要素进行识别，其结果见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_Ref49882187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2.2</w:t>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70A3F586">
      <w:pPr>
        <w:pStyle w:val="85"/>
        <w:rPr>
          <w:color w:val="auto"/>
          <w:highlight w:val="none"/>
          <w:u w:val="none"/>
        </w:rPr>
      </w:pPr>
      <w:bookmarkStart w:id="63" w:name="_Ref49882187"/>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color w:val="auto"/>
          <w:highlight w:val="none"/>
          <w:u w:val="none"/>
        </w:rPr>
        <w:t>2.2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63"/>
      <w:r>
        <w:rPr>
          <w:color w:val="auto"/>
          <w:highlight w:val="none"/>
          <w:u w:val="none"/>
        </w:rPr>
        <w:t xml:space="preserve">  </w:t>
      </w:r>
      <w:r>
        <w:rPr>
          <w:rFonts w:hint="eastAsia"/>
          <w:color w:val="auto"/>
          <w:highlight w:val="none"/>
          <w:u w:val="none"/>
        </w:rPr>
        <w:t>环境影响因素识别表</w:t>
      </w:r>
    </w:p>
    <w:tbl>
      <w:tblPr>
        <w:tblStyle w:val="5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77"/>
        <w:gridCol w:w="1165"/>
        <w:gridCol w:w="875"/>
        <w:gridCol w:w="875"/>
        <w:gridCol w:w="875"/>
        <w:gridCol w:w="1183"/>
        <w:gridCol w:w="1165"/>
        <w:gridCol w:w="1181"/>
      </w:tblGrid>
      <w:tr w14:paraId="3C048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77" w:type="pct"/>
            <w:vMerge w:val="restart"/>
            <w:tcBorders>
              <w:tl2br w:val="nil"/>
              <w:tr2bl w:val="nil"/>
            </w:tcBorders>
            <w:vAlign w:val="center"/>
          </w:tcPr>
          <w:p w14:paraId="5D0F10A3">
            <w:pPr>
              <w:pStyle w:val="92"/>
              <w:rPr>
                <w:color w:val="auto"/>
                <w:highlight w:val="none"/>
                <w:u w:val="none"/>
              </w:rPr>
            </w:pPr>
            <w:r>
              <w:rPr>
                <w:rFonts w:hint="eastAsia"/>
                <w:color w:val="auto"/>
                <w:highlight w:val="none"/>
                <w:u w:val="none"/>
              </w:rPr>
              <w:t>环境影响资源程度</w:t>
            </w:r>
          </w:p>
          <w:p w14:paraId="25FE19E7">
            <w:pPr>
              <w:pStyle w:val="92"/>
              <w:rPr>
                <w:color w:val="auto"/>
                <w:highlight w:val="none"/>
                <w:u w:val="none"/>
              </w:rPr>
            </w:pPr>
            <w:r>
              <w:rPr>
                <w:rFonts w:hint="eastAsia"/>
                <w:color w:val="auto"/>
                <w:highlight w:val="none"/>
                <w:u w:val="none"/>
              </w:rPr>
              <w:t>开发活动</w:t>
            </w:r>
          </w:p>
        </w:tc>
        <w:tc>
          <w:tcPr>
            <w:tcW w:w="2733" w:type="pct"/>
            <w:gridSpan w:val="5"/>
            <w:tcBorders>
              <w:tl2br w:val="nil"/>
              <w:tr2bl w:val="nil"/>
            </w:tcBorders>
            <w:vAlign w:val="center"/>
          </w:tcPr>
          <w:p w14:paraId="203480D8">
            <w:pPr>
              <w:pStyle w:val="92"/>
              <w:rPr>
                <w:color w:val="auto"/>
                <w:highlight w:val="none"/>
                <w:u w:val="none"/>
              </w:rPr>
            </w:pPr>
            <w:r>
              <w:rPr>
                <w:rFonts w:hint="eastAsia"/>
                <w:color w:val="auto"/>
                <w:highlight w:val="none"/>
                <w:u w:val="none"/>
              </w:rPr>
              <w:t>自然环境</w:t>
            </w:r>
          </w:p>
        </w:tc>
        <w:tc>
          <w:tcPr>
            <w:tcW w:w="1289" w:type="pct"/>
            <w:gridSpan w:val="2"/>
            <w:tcBorders>
              <w:tl2br w:val="nil"/>
              <w:tr2bl w:val="nil"/>
            </w:tcBorders>
            <w:vAlign w:val="center"/>
          </w:tcPr>
          <w:p w14:paraId="193FB4B7">
            <w:pPr>
              <w:pStyle w:val="92"/>
              <w:rPr>
                <w:color w:val="auto"/>
                <w:highlight w:val="none"/>
                <w:u w:val="none"/>
              </w:rPr>
            </w:pPr>
            <w:r>
              <w:rPr>
                <w:rFonts w:hint="eastAsia"/>
                <w:color w:val="auto"/>
                <w:highlight w:val="none"/>
                <w:u w:val="none"/>
              </w:rPr>
              <w:t>社会经济环境</w:t>
            </w:r>
          </w:p>
        </w:tc>
      </w:tr>
      <w:tr w14:paraId="42002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77" w:type="pct"/>
            <w:vMerge w:val="continue"/>
            <w:tcBorders>
              <w:tl2br w:val="nil"/>
              <w:tr2bl w:val="nil"/>
            </w:tcBorders>
            <w:vAlign w:val="center"/>
          </w:tcPr>
          <w:p w14:paraId="14ABBB27">
            <w:pPr>
              <w:pStyle w:val="92"/>
              <w:rPr>
                <w:color w:val="auto"/>
                <w:highlight w:val="none"/>
                <w:u w:val="none"/>
              </w:rPr>
            </w:pPr>
          </w:p>
        </w:tc>
        <w:tc>
          <w:tcPr>
            <w:tcW w:w="640" w:type="pct"/>
            <w:tcBorders>
              <w:tl2br w:val="nil"/>
              <w:tr2bl w:val="nil"/>
            </w:tcBorders>
            <w:vAlign w:val="center"/>
          </w:tcPr>
          <w:p w14:paraId="1B37836A">
            <w:pPr>
              <w:pStyle w:val="92"/>
              <w:rPr>
                <w:color w:val="auto"/>
                <w:highlight w:val="none"/>
                <w:u w:val="none"/>
              </w:rPr>
            </w:pPr>
            <w:r>
              <w:rPr>
                <w:rFonts w:hint="eastAsia"/>
                <w:color w:val="auto"/>
                <w:highlight w:val="none"/>
                <w:u w:val="none"/>
              </w:rPr>
              <w:t>环境空气</w:t>
            </w:r>
          </w:p>
        </w:tc>
        <w:tc>
          <w:tcPr>
            <w:tcW w:w="481" w:type="pct"/>
            <w:tcBorders>
              <w:tl2br w:val="nil"/>
              <w:tr2bl w:val="nil"/>
            </w:tcBorders>
            <w:vAlign w:val="center"/>
          </w:tcPr>
          <w:p w14:paraId="3BB92E7C">
            <w:pPr>
              <w:pStyle w:val="92"/>
              <w:rPr>
                <w:color w:val="auto"/>
                <w:highlight w:val="none"/>
                <w:u w:val="none"/>
              </w:rPr>
            </w:pPr>
            <w:r>
              <w:rPr>
                <w:rFonts w:hint="eastAsia"/>
                <w:color w:val="auto"/>
                <w:highlight w:val="none"/>
                <w:u w:val="none"/>
              </w:rPr>
              <w:t>地表水</w:t>
            </w:r>
          </w:p>
        </w:tc>
        <w:tc>
          <w:tcPr>
            <w:tcW w:w="481" w:type="pct"/>
            <w:tcBorders>
              <w:tl2br w:val="nil"/>
              <w:tr2bl w:val="nil"/>
            </w:tcBorders>
            <w:vAlign w:val="center"/>
          </w:tcPr>
          <w:p w14:paraId="4A390EA2">
            <w:pPr>
              <w:pStyle w:val="92"/>
              <w:rPr>
                <w:color w:val="auto"/>
                <w:highlight w:val="none"/>
                <w:u w:val="none"/>
              </w:rPr>
            </w:pPr>
            <w:r>
              <w:rPr>
                <w:rFonts w:hint="eastAsia"/>
                <w:color w:val="auto"/>
                <w:highlight w:val="none"/>
                <w:u w:val="none"/>
              </w:rPr>
              <w:t>地下水</w:t>
            </w:r>
          </w:p>
        </w:tc>
        <w:tc>
          <w:tcPr>
            <w:tcW w:w="481" w:type="pct"/>
            <w:tcBorders>
              <w:tl2br w:val="nil"/>
              <w:tr2bl w:val="nil"/>
            </w:tcBorders>
            <w:vAlign w:val="center"/>
          </w:tcPr>
          <w:p w14:paraId="09F3308D">
            <w:pPr>
              <w:pStyle w:val="92"/>
              <w:rPr>
                <w:color w:val="auto"/>
                <w:highlight w:val="none"/>
                <w:u w:val="none"/>
              </w:rPr>
            </w:pPr>
            <w:r>
              <w:rPr>
                <w:rFonts w:hint="eastAsia"/>
                <w:color w:val="auto"/>
                <w:highlight w:val="none"/>
                <w:u w:val="none"/>
              </w:rPr>
              <w:t>声环境</w:t>
            </w:r>
          </w:p>
        </w:tc>
        <w:tc>
          <w:tcPr>
            <w:tcW w:w="649" w:type="pct"/>
            <w:tcBorders>
              <w:tl2br w:val="nil"/>
              <w:tr2bl w:val="nil"/>
            </w:tcBorders>
            <w:vAlign w:val="center"/>
          </w:tcPr>
          <w:p w14:paraId="519A4094">
            <w:pPr>
              <w:pStyle w:val="92"/>
              <w:rPr>
                <w:color w:val="auto"/>
                <w:highlight w:val="none"/>
                <w:u w:val="none"/>
              </w:rPr>
            </w:pPr>
            <w:r>
              <w:rPr>
                <w:rFonts w:hint="eastAsia"/>
                <w:color w:val="auto"/>
                <w:highlight w:val="none"/>
                <w:u w:val="none"/>
              </w:rPr>
              <w:t>土壤环境</w:t>
            </w:r>
          </w:p>
        </w:tc>
        <w:tc>
          <w:tcPr>
            <w:tcW w:w="640" w:type="pct"/>
            <w:tcBorders>
              <w:tl2br w:val="nil"/>
              <w:tr2bl w:val="nil"/>
            </w:tcBorders>
            <w:vAlign w:val="center"/>
          </w:tcPr>
          <w:p w14:paraId="25AC3FD0">
            <w:pPr>
              <w:pStyle w:val="92"/>
              <w:rPr>
                <w:color w:val="auto"/>
                <w:highlight w:val="none"/>
                <w:u w:val="none"/>
              </w:rPr>
            </w:pPr>
            <w:r>
              <w:rPr>
                <w:rFonts w:hint="eastAsia"/>
                <w:color w:val="auto"/>
                <w:highlight w:val="none"/>
                <w:u w:val="none"/>
              </w:rPr>
              <w:t>人群健康</w:t>
            </w:r>
          </w:p>
        </w:tc>
        <w:tc>
          <w:tcPr>
            <w:tcW w:w="648" w:type="pct"/>
            <w:tcBorders>
              <w:tl2br w:val="nil"/>
              <w:tr2bl w:val="nil"/>
            </w:tcBorders>
            <w:vAlign w:val="center"/>
          </w:tcPr>
          <w:p w14:paraId="5C18E46E">
            <w:pPr>
              <w:pStyle w:val="92"/>
              <w:rPr>
                <w:color w:val="auto"/>
                <w:highlight w:val="none"/>
                <w:u w:val="none"/>
              </w:rPr>
            </w:pPr>
            <w:r>
              <w:rPr>
                <w:rFonts w:hint="eastAsia"/>
                <w:color w:val="auto"/>
                <w:highlight w:val="none"/>
                <w:u w:val="none"/>
              </w:rPr>
              <w:t>就业财政</w:t>
            </w:r>
          </w:p>
        </w:tc>
      </w:tr>
      <w:tr w14:paraId="47FAF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1C3C248B">
            <w:pPr>
              <w:pStyle w:val="92"/>
              <w:rPr>
                <w:color w:val="auto"/>
                <w:highlight w:val="none"/>
                <w:u w:val="none"/>
              </w:rPr>
            </w:pPr>
            <w:r>
              <w:rPr>
                <w:rFonts w:hint="eastAsia"/>
                <w:color w:val="auto"/>
                <w:highlight w:val="none"/>
                <w:u w:val="none"/>
              </w:rPr>
              <w:t>废气排放</w:t>
            </w:r>
          </w:p>
        </w:tc>
        <w:tc>
          <w:tcPr>
            <w:tcW w:w="640" w:type="pct"/>
            <w:tcBorders>
              <w:tl2br w:val="nil"/>
              <w:tr2bl w:val="nil"/>
            </w:tcBorders>
            <w:vAlign w:val="center"/>
          </w:tcPr>
          <w:p w14:paraId="4A52A2DD">
            <w:pPr>
              <w:pStyle w:val="92"/>
              <w:rPr>
                <w:color w:val="auto"/>
                <w:highlight w:val="none"/>
                <w:u w:val="none"/>
              </w:rPr>
            </w:pPr>
            <w:r>
              <w:rPr>
                <w:color w:val="auto"/>
                <w:highlight w:val="none"/>
                <w:u w:val="none"/>
              </w:rPr>
              <w:t>-3C</w:t>
            </w:r>
          </w:p>
        </w:tc>
        <w:tc>
          <w:tcPr>
            <w:tcW w:w="481" w:type="pct"/>
            <w:tcBorders>
              <w:tl2br w:val="nil"/>
              <w:tr2bl w:val="nil"/>
            </w:tcBorders>
            <w:vAlign w:val="center"/>
          </w:tcPr>
          <w:p w14:paraId="5F3EE53B">
            <w:pPr>
              <w:pStyle w:val="92"/>
              <w:rPr>
                <w:color w:val="auto"/>
                <w:highlight w:val="none"/>
                <w:u w:val="none"/>
              </w:rPr>
            </w:pPr>
          </w:p>
        </w:tc>
        <w:tc>
          <w:tcPr>
            <w:tcW w:w="481" w:type="pct"/>
            <w:tcBorders>
              <w:tl2br w:val="nil"/>
              <w:tr2bl w:val="nil"/>
            </w:tcBorders>
            <w:vAlign w:val="center"/>
          </w:tcPr>
          <w:p w14:paraId="0AECE653">
            <w:pPr>
              <w:pStyle w:val="92"/>
              <w:rPr>
                <w:color w:val="auto"/>
                <w:highlight w:val="none"/>
                <w:u w:val="none"/>
              </w:rPr>
            </w:pPr>
          </w:p>
        </w:tc>
        <w:tc>
          <w:tcPr>
            <w:tcW w:w="481" w:type="pct"/>
            <w:tcBorders>
              <w:tl2br w:val="nil"/>
              <w:tr2bl w:val="nil"/>
            </w:tcBorders>
            <w:vAlign w:val="center"/>
          </w:tcPr>
          <w:p w14:paraId="3D4CA21E">
            <w:pPr>
              <w:pStyle w:val="92"/>
              <w:rPr>
                <w:color w:val="auto"/>
                <w:highlight w:val="none"/>
                <w:u w:val="none"/>
              </w:rPr>
            </w:pPr>
          </w:p>
        </w:tc>
        <w:tc>
          <w:tcPr>
            <w:tcW w:w="649" w:type="pct"/>
            <w:tcBorders>
              <w:tl2br w:val="nil"/>
              <w:tr2bl w:val="nil"/>
            </w:tcBorders>
            <w:vAlign w:val="center"/>
          </w:tcPr>
          <w:p w14:paraId="3FF439EE">
            <w:pPr>
              <w:pStyle w:val="92"/>
              <w:rPr>
                <w:color w:val="auto"/>
                <w:highlight w:val="none"/>
                <w:u w:val="none"/>
              </w:rPr>
            </w:pPr>
            <w:r>
              <w:rPr>
                <w:color w:val="auto"/>
                <w:highlight w:val="none"/>
                <w:u w:val="none"/>
              </w:rPr>
              <w:t>-1C</w:t>
            </w:r>
          </w:p>
        </w:tc>
        <w:tc>
          <w:tcPr>
            <w:tcW w:w="640" w:type="pct"/>
            <w:tcBorders>
              <w:tl2br w:val="nil"/>
              <w:tr2bl w:val="nil"/>
            </w:tcBorders>
            <w:vAlign w:val="center"/>
          </w:tcPr>
          <w:p w14:paraId="175F41EB">
            <w:pPr>
              <w:pStyle w:val="92"/>
              <w:rPr>
                <w:color w:val="auto"/>
                <w:highlight w:val="none"/>
                <w:u w:val="none"/>
              </w:rPr>
            </w:pPr>
            <w:r>
              <w:rPr>
                <w:color w:val="auto"/>
                <w:highlight w:val="none"/>
                <w:u w:val="none"/>
              </w:rPr>
              <w:t>-1C</w:t>
            </w:r>
          </w:p>
        </w:tc>
        <w:tc>
          <w:tcPr>
            <w:tcW w:w="648" w:type="pct"/>
            <w:tcBorders>
              <w:tl2br w:val="nil"/>
              <w:tr2bl w:val="nil"/>
            </w:tcBorders>
            <w:vAlign w:val="center"/>
          </w:tcPr>
          <w:p w14:paraId="3C70A1C6">
            <w:pPr>
              <w:pStyle w:val="92"/>
              <w:rPr>
                <w:color w:val="auto"/>
                <w:highlight w:val="none"/>
                <w:u w:val="none"/>
              </w:rPr>
            </w:pPr>
          </w:p>
        </w:tc>
      </w:tr>
      <w:tr w14:paraId="279DD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018C896D">
            <w:pPr>
              <w:pStyle w:val="92"/>
              <w:rPr>
                <w:color w:val="auto"/>
                <w:highlight w:val="none"/>
                <w:u w:val="none"/>
              </w:rPr>
            </w:pPr>
            <w:r>
              <w:rPr>
                <w:rFonts w:hint="eastAsia"/>
                <w:color w:val="auto"/>
                <w:highlight w:val="none"/>
                <w:u w:val="none"/>
              </w:rPr>
              <w:t>废水排放</w:t>
            </w:r>
          </w:p>
        </w:tc>
        <w:tc>
          <w:tcPr>
            <w:tcW w:w="640" w:type="pct"/>
            <w:tcBorders>
              <w:tl2br w:val="nil"/>
              <w:tr2bl w:val="nil"/>
            </w:tcBorders>
            <w:vAlign w:val="center"/>
          </w:tcPr>
          <w:p w14:paraId="0780D100">
            <w:pPr>
              <w:pStyle w:val="92"/>
              <w:rPr>
                <w:color w:val="auto"/>
                <w:highlight w:val="none"/>
                <w:u w:val="none"/>
              </w:rPr>
            </w:pPr>
          </w:p>
        </w:tc>
        <w:tc>
          <w:tcPr>
            <w:tcW w:w="481" w:type="pct"/>
            <w:tcBorders>
              <w:tl2br w:val="nil"/>
              <w:tr2bl w:val="nil"/>
            </w:tcBorders>
            <w:vAlign w:val="center"/>
          </w:tcPr>
          <w:p w14:paraId="73DE9B87">
            <w:pPr>
              <w:pStyle w:val="92"/>
              <w:rPr>
                <w:color w:val="auto"/>
                <w:highlight w:val="none"/>
                <w:u w:val="none"/>
              </w:rPr>
            </w:pPr>
            <w:r>
              <w:rPr>
                <w:color w:val="auto"/>
                <w:highlight w:val="none"/>
                <w:u w:val="none"/>
              </w:rPr>
              <w:t>-1C</w:t>
            </w:r>
          </w:p>
        </w:tc>
        <w:tc>
          <w:tcPr>
            <w:tcW w:w="481" w:type="pct"/>
            <w:tcBorders>
              <w:tl2br w:val="nil"/>
              <w:tr2bl w:val="nil"/>
            </w:tcBorders>
            <w:vAlign w:val="center"/>
          </w:tcPr>
          <w:p w14:paraId="3E018E08">
            <w:pPr>
              <w:pStyle w:val="92"/>
              <w:rPr>
                <w:color w:val="auto"/>
                <w:highlight w:val="none"/>
                <w:u w:val="none"/>
              </w:rPr>
            </w:pPr>
          </w:p>
        </w:tc>
        <w:tc>
          <w:tcPr>
            <w:tcW w:w="481" w:type="pct"/>
            <w:tcBorders>
              <w:tl2br w:val="nil"/>
              <w:tr2bl w:val="nil"/>
            </w:tcBorders>
            <w:vAlign w:val="center"/>
          </w:tcPr>
          <w:p w14:paraId="5CB28E10">
            <w:pPr>
              <w:pStyle w:val="92"/>
              <w:rPr>
                <w:color w:val="auto"/>
                <w:highlight w:val="none"/>
                <w:u w:val="none"/>
              </w:rPr>
            </w:pPr>
          </w:p>
        </w:tc>
        <w:tc>
          <w:tcPr>
            <w:tcW w:w="649" w:type="pct"/>
            <w:tcBorders>
              <w:tl2br w:val="nil"/>
              <w:tr2bl w:val="nil"/>
            </w:tcBorders>
            <w:vAlign w:val="center"/>
          </w:tcPr>
          <w:p w14:paraId="4900EEC1">
            <w:pPr>
              <w:pStyle w:val="92"/>
              <w:rPr>
                <w:color w:val="auto"/>
                <w:highlight w:val="none"/>
                <w:u w:val="none"/>
              </w:rPr>
            </w:pPr>
          </w:p>
        </w:tc>
        <w:tc>
          <w:tcPr>
            <w:tcW w:w="640" w:type="pct"/>
            <w:tcBorders>
              <w:tl2br w:val="nil"/>
              <w:tr2bl w:val="nil"/>
            </w:tcBorders>
            <w:vAlign w:val="center"/>
          </w:tcPr>
          <w:p w14:paraId="43D42E04">
            <w:pPr>
              <w:pStyle w:val="92"/>
              <w:rPr>
                <w:color w:val="auto"/>
                <w:highlight w:val="none"/>
                <w:u w:val="none"/>
              </w:rPr>
            </w:pPr>
          </w:p>
        </w:tc>
        <w:tc>
          <w:tcPr>
            <w:tcW w:w="648" w:type="pct"/>
            <w:tcBorders>
              <w:tl2br w:val="nil"/>
              <w:tr2bl w:val="nil"/>
            </w:tcBorders>
            <w:vAlign w:val="center"/>
          </w:tcPr>
          <w:p w14:paraId="3DF6295E">
            <w:pPr>
              <w:pStyle w:val="92"/>
              <w:rPr>
                <w:color w:val="auto"/>
                <w:highlight w:val="none"/>
                <w:u w:val="none"/>
              </w:rPr>
            </w:pPr>
          </w:p>
        </w:tc>
      </w:tr>
      <w:tr w14:paraId="7C02C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6CD2C1A6">
            <w:pPr>
              <w:pStyle w:val="92"/>
              <w:rPr>
                <w:color w:val="auto"/>
                <w:highlight w:val="none"/>
                <w:u w:val="none"/>
              </w:rPr>
            </w:pPr>
            <w:r>
              <w:rPr>
                <w:rFonts w:hint="eastAsia"/>
                <w:color w:val="auto"/>
                <w:highlight w:val="none"/>
                <w:u w:val="none"/>
              </w:rPr>
              <w:t>噪声排放</w:t>
            </w:r>
          </w:p>
        </w:tc>
        <w:tc>
          <w:tcPr>
            <w:tcW w:w="640" w:type="pct"/>
            <w:tcBorders>
              <w:tl2br w:val="nil"/>
              <w:tr2bl w:val="nil"/>
            </w:tcBorders>
            <w:vAlign w:val="center"/>
          </w:tcPr>
          <w:p w14:paraId="6C5BF244">
            <w:pPr>
              <w:pStyle w:val="92"/>
              <w:rPr>
                <w:color w:val="auto"/>
                <w:highlight w:val="none"/>
                <w:u w:val="none"/>
              </w:rPr>
            </w:pPr>
          </w:p>
        </w:tc>
        <w:tc>
          <w:tcPr>
            <w:tcW w:w="481" w:type="pct"/>
            <w:tcBorders>
              <w:tl2br w:val="nil"/>
              <w:tr2bl w:val="nil"/>
            </w:tcBorders>
            <w:vAlign w:val="center"/>
          </w:tcPr>
          <w:p w14:paraId="1E6A0960">
            <w:pPr>
              <w:pStyle w:val="92"/>
              <w:rPr>
                <w:color w:val="auto"/>
                <w:highlight w:val="none"/>
                <w:u w:val="none"/>
              </w:rPr>
            </w:pPr>
          </w:p>
        </w:tc>
        <w:tc>
          <w:tcPr>
            <w:tcW w:w="481" w:type="pct"/>
            <w:tcBorders>
              <w:tl2br w:val="nil"/>
              <w:tr2bl w:val="nil"/>
            </w:tcBorders>
            <w:vAlign w:val="center"/>
          </w:tcPr>
          <w:p w14:paraId="64F6664A">
            <w:pPr>
              <w:pStyle w:val="92"/>
              <w:rPr>
                <w:color w:val="auto"/>
                <w:highlight w:val="none"/>
                <w:u w:val="none"/>
              </w:rPr>
            </w:pPr>
          </w:p>
        </w:tc>
        <w:tc>
          <w:tcPr>
            <w:tcW w:w="481" w:type="pct"/>
            <w:tcBorders>
              <w:tl2br w:val="nil"/>
              <w:tr2bl w:val="nil"/>
            </w:tcBorders>
            <w:vAlign w:val="center"/>
          </w:tcPr>
          <w:p w14:paraId="5BBF0A7C">
            <w:pPr>
              <w:pStyle w:val="92"/>
              <w:rPr>
                <w:color w:val="auto"/>
                <w:highlight w:val="none"/>
                <w:u w:val="none"/>
              </w:rPr>
            </w:pPr>
            <w:r>
              <w:rPr>
                <w:color w:val="auto"/>
                <w:highlight w:val="none"/>
                <w:u w:val="none"/>
              </w:rPr>
              <w:t>-1C</w:t>
            </w:r>
          </w:p>
        </w:tc>
        <w:tc>
          <w:tcPr>
            <w:tcW w:w="649" w:type="pct"/>
            <w:tcBorders>
              <w:tl2br w:val="nil"/>
              <w:tr2bl w:val="nil"/>
            </w:tcBorders>
            <w:vAlign w:val="center"/>
          </w:tcPr>
          <w:p w14:paraId="4B021C93">
            <w:pPr>
              <w:pStyle w:val="92"/>
              <w:rPr>
                <w:color w:val="auto"/>
                <w:highlight w:val="none"/>
                <w:u w:val="none"/>
              </w:rPr>
            </w:pPr>
          </w:p>
        </w:tc>
        <w:tc>
          <w:tcPr>
            <w:tcW w:w="640" w:type="pct"/>
            <w:tcBorders>
              <w:tl2br w:val="nil"/>
              <w:tr2bl w:val="nil"/>
            </w:tcBorders>
            <w:vAlign w:val="center"/>
          </w:tcPr>
          <w:p w14:paraId="2B0F11F7">
            <w:pPr>
              <w:pStyle w:val="92"/>
              <w:rPr>
                <w:color w:val="auto"/>
                <w:highlight w:val="none"/>
                <w:u w:val="none"/>
              </w:rPr>
            </w:pPr>
          </w:p>
        </w:tc>
        <w:tc>
          <w:tcPr>
            <w:tcW w:w="648" w:type="pct"/>
            <w:tcBorders>
              <w:tl2br w:val="nil"/>
              <w:tr2bl w:val="nil"/>
            </w:tcBorders>
            <w:vAlign w:val="center"/>
          </w:tcPr>
          <w:p w14:paraId="7C30ED0B">
            <w:pPr>
              <w:pStyle w:val="92"/>
              <w:rPr>
                <w:color w:val="auto"/>
                <w:highlight w:val="none"/>
                <w:u w:val="none"/>
              </w:rPr>
            </w:pPr>
          </w:p>
        </w:tc>
      </w:tr>
      <w:tr w14:paraId="7481E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11B2AA97">
            <w:pPr>
              <w:pStyle w:val="92"/>
              <w:rPr>
                <w:color w:val="auto"/>
                <w:highlight w:val="none"/>
                <w:u w:val="none"/>
              </w:rPr>
            </w:pPr>
            <w:r>
              <w:rPr>
                <w:rFonts w:hint="eastAsia"/>
                <w:color w:val="auto"/>
                <w:highlight w:val="none"/>
                <w:u w:val="none"/>
              </w:rPr>
              <w:t>固体废物</w:t>
            </w:r>
          </w:p>
        </w:tc>
        <w:tc>
          <w:tcPr>
            <w:tcW w:w="640" w:type="pct"/>
            <w:tcBorders>
              <w:tl2br w:val="nil"/>
              <w:tr2bl w:val="nil"/>
            </w:tcBorders>
            <w:vAlign w:val="center"/>
          </w:tcPr>
          <w:p w14:paraId="0E4710A4">
            <w:pPr>
              <w:pStyle w:val="92"/>
              <w:rPr>
                <w:color w:val="auto"/>
                <w:highlight w:val="none"/>
                <w:u w:val="none"/>
              </w:rPr>
            </w:pPr>
            <w:r>
              <w:rPr>
                <w:color w:val="auto"/>
                <w:highlight w:val="none"/>
                <w:u w:val="none"/>
              </w:rPr>
              <w:t>-1C</w:t>
            </w:r>
          </w:p>
        </w:tc>
        <w:tc>
          <w:tcPr>
            <w:tcW w:w="481" w:type="pct"/>
            <w:tcBorders>
              <w:tl2br w:val="nil"/>
              <w:tr2bl w:val="nil"/>
            </w:tcBorders>
            <w:vAlign w:val="center"/>
          </w:tcPr>
          <w:p w14:paraId="57561661">
            <w:pPr>
              <w:pStyle w:val="92"/>
              <w:rPr>
                <w:color w:val="auto"/>
                <w:highlight w:val="none"/>
                <w:u w:val="none"/>
              </w:rPr>
            </w:pPr>
            <w:r>
              <w:rPr>
                <w:color w:val="auto"/>
                <w:highlight w:val="none"/>
                <w:u w:val="none"/>
              </w:rPr>
              <w:t>-1C</w:t>
            </w:r>
          </w:p>
        </w:tc>
        <w:tc>
          <w:tcPr>
            <w:tcW w:w="481" w:type="pct"/>
            <w:tcBorders>
              <w:tl2br w:val="nil"/>
              <w:tr2bl w:val="nil"/>
            </w:tcBorders>
            <w:vAlign w:val="center"/>
          </w:tcPr>
          <w:p w14:paraId="1CA566ED">
            <w:pPr>
              <w:pStyle w:val="92"/>
              <w:rPr>
                <w:color w:val="auto"/>
                <w:highlight w:val="none"/>
                <w:u w:val="none"/>
              </w:rPr>
            </w:pPr>
            <w:r>
              <w:rPr>
                <w:color w:val="auto"/>
                <w:highlight w:val="none"/>
                <w:u w:val="none"/>
              </w:rPr>
              <w:t>-1C</w:t>
            </w:r>
          </w:p>
        </w:tc>
        <w:tc>
          <w:tcPr>
            <w:tcW w:w="481" w:type="pct"/>
            <w:tcBorders>
              <w:tl2br w:val="nil"/>
              <w:tr2bl w:val="nil"/>
            </w:tcBorders>
            <w:vAlign w:val="center"/>
          </w:tcPr>
          <w:p w14:paraId="106A43DA">
            <w:pPr>
              <w:pStyle w:val="92"/>
              <w:rPr>
                <w:color w:val="auto"/>
                <w:highlight w:val="none"/>
                <w:u w:val="none"/>
              </w:rPr>
            </w:pPr>
          </w:p>
        </w:tc>
        <w:tc>
          <w:tcPr>
            <w:tcW w:w="649" w:type="pct"/>
            <w:tcBorders>
              <w:tl2br w:val="nil"/>
              <w:tr2bl w:val="nil"/>
            </w:tcBorders>
            <w:vAlign w:val="center"/>
          </w:tcPr>
          <w:p w14:paraId="57B9CD0C">
            <w:pPr>
              <w:pStyle w:val="92"/>
              <w:rPr>
                <w:color w:val="auto"/>
                <w:highlight w:val="none"/>
                <w:u w:val="none"/>
              </w:rPr>
            </w:pPr>
          </w:p>
        </w:tc>
        <w:tc>
          <w:tcPr>
            <w:tcW w:w="640" w:type="pct"/>
            <w:tcBorders>
              <w:tl2br w:val="nil"/>
              <w:tr2bl w:val="nil"/>
            </w:tcBorders>
            <w:vAlign w:val="center"/>
          </w:tcPr>
          <w:p w14:paraId="0DFC30CF">
            <w:pPr>
              <w:pStyle w:val="92"/>
              <w:rPr>
                <w:color w:val="auto"/>
                <w:highlight w:val="none"/>
                <w:u w:val="none"/>
              </w:rPr>
            </w:pPr>
            <w:r>
              <w:rPr>
                <w:color w:val="auto"/>
                <w:highlight w:val="none"/>
                <w:u w:val="none"/>
              </w:rPr>
              <w:t>-1C</w:t>
            </w:r>
          </w:p>
        </w:tc>
        <w:tc>
          <w:tcPr>
            <w:tcW w:w="648" w:type="pct"/>
            <w:tcBorders>
              <w:tl2br w:val="nil"/>
              <w:tr2bl w:val="nil"/>
            </w:tcBorders>
            <w:vAlign w:val="center"/>
          </w:tcPr>
          <w:p w14:paraId="1EE93ACF">
            <w:pPr>
              <w:pStyle w:val="92"/>
              <w:rPr>
                <w:color w:val="auto"/>
                <w:highlight w:val="none"/>
                <w:u w:val="none"/>
              </w:rPr>
            </w:pPr>
          </w:p>
        </w:tc>
      </w:tr>
      <w:tr w14:paraId="75796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36904F3F">
            <w:pPr>
              <w:pStyle w:val="92"/>
              <w:rPr>
                <w:color w:val="auto"/>
                <w:highlight w:val="none"/>
                <w:u w:val="none"/>
              </w:rPr>
            </w:pPr>
            <w:r>
              <w:rPr>
                <w:rFonts w:hint="eastAsia"/>
                <w:color w:val="auto"/>
                <w:highlight w:val="none"/>
                <w:u w:val="none"/>
              </w:rPr>
              <w:t>环境风险</w:t>
            </w:r>
          </w:p>
        </w:tc>
        <w:tc>
          <w:tcPr>
            <w:tcW w:w="640" w:type="pct"/>
            <w:tcBorders>
              <w:tl2br w:val="nil"/>
              <w:tr2bl w:val="nil"/>
            </w:tcBorders>
            <w:vAlign w:val="center"/>
          </w:tcPr>
          <w:p w14:paraId="593D001F">
            <w:pPr>
              <w:pStyle w:val="92"/>
              <w:rPr>
                <w:color w:val="auto"/>
                <w:highlight w:val="none"/>
                <w:u w:val="none"/>
              </w:rPr>
            </w:pPr>
            <w:r>
              <w:rPr>
                <w:color w:val="auto"/>
                <w:highlight w:val="none"/>
                <w:u w:val="none"/>
              </w:rPr>
              <w:t>-3C</w:t>
            </w:r>
          </w:p>
        </w:tc>
        <w:tc>
          <w:tcPr>
            <w:tcW w:w="481" w:type="pct"/>
            <w:tcBorders>
              <w:tl2br w:val="nil"/>
              <w:tr2bl w:val="nil"/>
            </w:tcBorders>
            <w:vAlign w:val="center"/>
          </w:tcPr>
          <w:p w14:paraId="143A961B">
            <w:pPr>
              <w:pStyle w:val="92"/>
              <w:rPr>
                <w:color w:val="auto"/>
                <w:highlight w:val="none"/>
                <w:u w:val="none"/>
              </w:rPr>
            </w:pPr>
            <w:r>
              <w:rPr>
                <w:color w:val="auto"/>
                <w:highlight w:val="none"/>
                <w:u w:val="none"/>
              </w:rPr>
              <w:t>-1C</w:t>
            </w:r>
          </w:p>
        </w:tc>
        <w:tc>
          <w:tcPr>
            <w:tcW w:w="481" w:type="pct"/>
            <w:tcBorders>
              <w:tl2br w:val="nil"/>
              <w:tr2bl w:val="nil"/>
            </w:tcBorders>
            <w:vAlign w:val="center"/>
          </w:tcPr>
          <w:p w14:paraId="269D526A">
            <w:pPr>
              <w:pStyle w:val="92"/>
              <w:rPr>
                <w:color w:val="auto"/>
                <w:highlight w:val="none"/>
                <w:u w:val="none"/>
              </w:rPr>
            </w:pPr>
            <w:r>
              <w:rPr>
                <w:color w:val="auto"/>
                <w:highlight w:val="none"/>
                <w:u w:val="none"/>
              </w:rPr>
              <w:t>-3C</w:t>
            </w:r>
          </w:p>
        </w:tc>
        <w:tc>
          <w:tcPr>
            <w:tcW w:w="481" w:type="pct"/>
            <w:tcBorders>
              <w:tl2br w:val="nil"/>
              <w:tr2bl w:val="nil"/>
            </w:tcBorders>
            <w:vAlign w:val="center"/>
          </w:tcPr>
          <w:p w14:paraId="7C6F86B8">
            <w:pPr>
              <w:pStyle w:val="92"/>
              <w:rPr>
                <w:color w:val="auto"/>
                <w:highlight w:val="none"/>
                <w:u w:val="none"/>
              </w:rPr>
            </w:pPr>
          </w:p>
        </w:tc>
        <w:tc>
          <w:tcPr>
            <w:tcW w:w="649" w:type="pct"/>
            <w:tcBorders>
              <w:tl2br w:val="nil"/>
              <w:tr2bl w:val="nil"/>
            </w:tcBorders>
            <w:vAlign w:val="center"/>
          </w:tcPr>
          <w:p w14:paraId="5D90355B">
            <w:pPr>
              <w:pStyle w:val="92"/>
              <w:rPr>
                <w:color w:val="auto"/>
                <w:highlight w:val="none"/>
                <w:u w:val="none"/>
              </w:rPr>
            </w:pPr>
            <w:r>
              <w:rPr>
                <w:color w:val="auto"/>
                <w:highlight w:val="none"/>
                <w:u w:val="none"/>
              </w:rPr>
              <w:t>-3C</w:t>
            </w:r>
          </w:p>
        </w:tc>
        <w:tc>
          <w:tcPr>
            <w:tcW w:w="640" w:type="pct"/>
            <w:tcBorders>
              <w:tl2br w:val="nil"/>
              <w:tr2bl w:val="nil"/>
            </w:tcBorders>
            <w:vAlign w:val="center"/>
          </w:tcPr>
          <w:p w14:paraId="005BCF49">
            <w:pPr>
              <w:pStyle w:val="92"/>
              <w:rPr>
                <w:color w:val="auto"/>
                <w:highlight w:val="none"/>
                <w:u w:val="none"/>
              </w:rPr>
            </w:pPr>
            <w:r>
              <w:rPr>
                <w:color w:val="auto"/>
                <w:highlight w:val="none"/>
                <w:u w:val="none"/>
              </w:rPr>
              <w:t>-1C</w:t>
            </w:r>
          </w:p>
        </w:tc>
        <w:tc>
          <w:tcPr>
            <w:tcW w:w="648" w:type="pct"/>
            <w:tcBorders>
              <w:tl2br w:val="nil"/>
              <w:tr2bl w:val="nil"/>
            </w:tcBorders>
            <w:vAlign w:val="center"/>
          </w:tcPr>
          <w:p w14:paraId="5D2BD439">
            <w:pPr>
              <w:pStyle w:val="92"/>
              <w:rPr>
                <w:color w:val="auto"/>
                <w:highlight w:val="none"/>
                <w:u w:val="none"/>
              </w:rPr>
            </w:pPr>
          </w:p>
        </w:tc>
      </w:tr>
      <w:tr w14:paraId="2AA16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7" w:type="pct"/>
            <w:tcBorders>
              <w:tl2br w:val="nil"/>
              <w:tr2bl w:val="nil"/>
            </w:tcBorders>
            <w:vAlign w:val="center"/>
          </w:tcPr>
          <w:p w14:paraId="4E0E5E85">
            <w:pPr>
              <w:pStyle w:val="92"/>
              <w:rPr>
                <w:color w:val="auto"/>
                <w:highlight w:val="none"/>
                <w:u w:val="none"/>
              </w:rPr>
            </w:pPr>
            <w:r>
              <w:rPr>
                <w:rFonts w:hint="eastAsia"/>
                <w:color w:val="auto"/>
                <w:highlight w:val="none"/>
                <w:u w:val="none"/>
              </w:rPr>
              <w:t>社会经济</w:t>
            </w:r>
          </w:p>
        </w:tc>
        <w:tc>
          <w:tcPr>
            <w:tcW w:w="640" w:type="pct"/>
            <w:tcBorders>
              <w:tl2br w:val="nil"/>
              <w:tr2bl w:val="nil"/>
            </w:tcBorders>
            <w:vAlign w:val="center"/>
          </w:tcPr>
          <w:p w14:paraId="184CF640">
            <w:pPr>
              <w:pStyle w:val="92"/>
              <w:rPr>
                <w:color w:val="auto"/>
                <w:highlight w:val="none"/>
                <w:u w:val="none"/>
              </w:rPr>
            </w:pPr>
          </w:p>
        </w:tc>
        <w:tc>
          <w:tcPr>
            <w:tcW w:w="481" w:type="pct"/>
            <w:tcBorders>
              <w:tl2br w:val="nil"/>
              <w:tr2bl w:val="nil"/>
            </w:tcBorders>
            <w:vAlign w:val="center"/>
          </w:tcPr>
          <w:p w14:paraId="5B8FB83C">
            <w:pPr>
              <w:pStyle w:val="92"/>
              <w:rPr>
                <w:color w:val="auto"/>
                <w:highlight w:val="none"/>
                <w:u w:val="none"/>
              </w:rPr>
            </w:pPr>
          </w:p>
        </w:tc>
        <w:tc>
          <w:tcPr>
            <w:tcW w:w="481" w:type="pct"/>
            <w:tcBorders>
              <w:tl2br w:val="nil"/>
              <w:tr2bl w:val="nil"/>
            </w:tcBorders>
            <w:vAlign w:val="center"/>
          </w:tcPr>
          <w:p w14:paraId="339BBE79">
            <w:pPr>
              <w:pStyle w:val="92"/>
              <w:rPr>
                <w:color w:val="auto"/>
                <w:highlight w:val="none"/>
                <w:u w:val="none"/>
              </w:rPr>
            </w:pPr>
          </w:p>
        </w:tc>
        <w:tc>
          <w:tcPr>
            <w:tcW w:w="481" w:type="pct"/>
            <w:tcBorders>
              <w:tl2br w:val="nil"/>
              <w:tr2bl w:val="nil"/>
            </w:tcBorders>
            <w:vAlign w:val="center"/>
          </w:tcPr>
          <w:p w14:paraId="78E6F847">
            <w:pPr>
              <w:pStyle w:val="92"/>
              <w:rPr>
                <w:color w:val="auto"/>
                <w:highlight w:val="none"/>
                <w:u w:val="none"/>
              </w:rPr>
            </w:pPr>
          </w:p>
        </w:tc>
        <w:tc>
          <w:tcPr>
            <w:tcW w:w="649" w:type="pct"/>
            <w:tcBorders>
              <w:tl2br w:val="nil"/>
              <w:tr2bl w:val="nil"/>
            </w:tcBorders>
            <w:vAlign w:val="center"/>
          </w:tcPr>
          <w:p w14:paraId="4FCFB134">
            <w:pPr>
              <w:pStyle w:val="92"/>
              <w:rPr>
                <w:color w:val="auto"/>
                <w:highlight w:val="none"/>
                <w:u w:val="none"/>
              </w:rPr>
            </w:pPr>
          </w:p>
        </w:tc>
        <w:tc>
          <w:tcPr>
            <w:tcW w:w="640" w:type="pct"/>
            <w:tcBorders>
              <w:tl2br w:val="nil"/>
              <w:tr2bl w:val="nil"/>
            </w:tcBorders>
            <w:vAlign w:val="center"/>
          </w:tcPr>
          <w:p w14:paraId="6DCE0A01">
            <w:pPr>
              <w:pStyle w:val="92"/>
              <w:rPr>
                <w:color w:val="auto"/>
                <w:highlight w:val="none"/>
                <w:u w:val="none"/>
              </w:rPr>
            </w:pPr>
          </w:p>
        </w:tc>
        <w:tc>
          <w:tcPr>
            <w:tcW w:w="648" w:type="pct"/>
            <w:tcBorders>
              <w:tl2br w:val="nil"/>
              <w:tr2bl w:val="nil"/>
            </w:tcBorders>
            <w:vAlign w:val="center"/>
          </w:tcPr>
          <w:p w14:paraId="1462BAB5">
            <w:pPr>
              <w:pStyle w:val="92"/>
              <w:rPr>
                <w:color w:val="auto"/>
                <w:highlight w:val="none"/>
                <w:u w:val="none"/>
              </w:rPr>
            </w:pPr>
            <w:r>
              <w:rPr>
                <w:color w:val="auto"/>
                <w:highlight w:val="none"/>
                <w:u w:val="none"/>
              </w:rPr>
              <w:t>+1C</w:t>
            </w:r>
          </w:p>
        </w:tc>
      </w:tr>
    </w:tbl>
    <w:p w14:paraId="0DC94DB2">
      <w:pPr>
        <w:spacing w:line="240" w:lineRule="auto"/>
        <w:ind w:firstLine="361"/>
        <w:rPr>
          <w:rFonts w:hint="eastAsia"/>
          <w:b/>
          <w:color w:val="auto"/>
          <w:sz w:val="18"/>
          <w:szCs w:val="18"/>
          <w:highlight w:val="none"/>
          <w:u w:val="none"/>
        </w:rPr>
      </w:pPr>
      <w:r>
        <w:rPr>
          <w:rFonts w:hint="eastAsia"/>
          <w:b/>
          <w:color w:val="auto"/>
          <w:sz w:val="18"/>
          <w:szCs w:val="18"/>
          <w:highlight w:val="none"/>
          <w:u w:val="none"/>
        </w:rPr>
        <w:t>注：表中</w:t>
      </w:r>
      <w:r>
        <w:rPr>
          <w:b/>
          <w:color w:val="auto"/>
          <w:sz w:val="18"/>
          <w:szCs w:val="18"/>
          <w:highlight w:val="none"/>
          <w:u w:val="none"/>
        </w:rPr>
        <w:t>D</w:t>
      </w:r>
      <w:r>
        <w:rPr>
          <w:rFonts w:hint="eastAsia"/>
          <w:b/>
          <w:color w:val="auto"/>
          <w:sz w:val="18"/>
          <w:szCs w:val="18"/>
          <w:highlight w:val="none"/>
          <w:u w:val="none"/>
        </w:rPr>
        <w:t>表示短期，</w:t>
      </w:r>
      <w:r>
        <w:rPr>
          <w:b/>
          <w:color w:val="auto"/>
          <w:sz w:val="18"/>
          <w:szCs w:val="18"/>
          <w:highlight w:val="none"/>
          <w:u w:val="none"/>
        </w:rPr>
        <w:t>C</w:t>
      </w:r>
      <w:r>
        <w:rPr>
          <w:rFonts w:hint="eastAsia"/>
          <w:b/>
          <w:color w:val="auto"/>
          <w:sz w:val="18"/>
          <w:szCs w:val="18"/>
          <w:highlight w:val="none"/>
          <w:u w:val="none"/>
        </w:rPr>
        <w:t>表示长期；</w:t>
      </w:r>
      <w:r>
        <w:rPr>
          <w:b/>
          <w:color w:val="auto"/>
          <w:sz w:val="18"/>
          <w:szCs w:val="18"/>
          <w:highlight w:val="none"/>
          <w:u w:val="none"/>
        </w:rPr>
        <w:t>“1”</w:t>
      </w:r>
      <w:r>
        <w:rPr>
          <w:rFonts w:hint="eastAsia"/>
          <w:b/>
          <w:color w:val="auto"/>
          <w:sz w:val="18"/>
          <w:szCs w:val="18"/>
          <w:highlight w:val="none"/>
          <w:u w:val="none"/>
        </w:rPr>
        <w:t>表示较小，</w:t>
      </w:r>
      <w:r>
        <w:rPr>
          <w:b/>
          <w:color w:val="auto"/>
          <w:sz w:val="18"/>
          <w:szCs w:val="18"/>
          <w:highlight w:val="none"/>
          <w:u w:val="none"/>
        </w:rPr>
        <w:t>“2”</w:t>
      </w:r>
      <w:r>
        <w:rPr>
          <w:rFonts w:hint="eastAsia"/>
          <w:b/>
          <w:color w:val="auto"/>
          <w:sz w:val="18"/>
          <w:szCs w:val="18"/>
          <w:highlight w:val="none"/>
          <w:u w:val="none"/>
        </w:rPr>
        <w:t>表示有一定影响，</w:t>
      </w:r>
      <w:r>
        <w:rPr>
          <w:b/>
          <w:color w:val="auto"/>
          <w:sz w:val="18"/>
          <w:szCs w:val="18"/>
          <w:highlight w:val="none"/>
          <w:u w:val="none"/>
        </w:rPr>
        <w:t>“3”</w:t>
      </w:r>
      <w:r>
        <w:rPr>
          <w:rFonts w:hint="eastAsia"/>
          <w:b/>
          <w:color w:val="auto"/>
          <w:sz w:val="18"/>
          <w:szCs w:val="18"/>
          <w:highlight w:val="none"/>
          <w:u w:val="none"/>
        </w:rPr>
        <w:t>表示较大。</w:t>
      </w:r>
      <w:r>
        <w:rPr>
          <w:b/>
          <w:color w:val="auto"/>
          <w:sz w:val="18"/>
          <w:szCs w:val="18"/>
          <w:highlight w:val="none"/>
          <w:u w:val="none"/>
        </w:rPr>
        <w:t>“-”</w:t>
      </w:r>
      <w:r>
        <w:rPr>
          <w:rFonts w:hint="eastAsia"/>
          <w:b/>
          <w:color w:val="auto"/>
          <w:sz w:val="18"/>
          <w:szCs w:val="18"/>
          <w:highlight w:val="none"/>
          <w:u w:val="none"/>
        </w:rPr>
        <w:t>表示负影响，</w:t>
      </w:r>
      <w:r>
        <w:rPr>
          <w:b/>
          <w:color w:val="auto"/>
          <w:sz w:val="18"/>
          <w:szCs w:val="18"/>
          <w:highlight w:val="none"/>
          <w:u w:val="none"/>
        </w:rPr>
        <w:t>“+”</w:t>
      </w:r>
      <w:r>
        <w:rPr>
          <w:rFonts w:hint="eastAsia"/>
          <w:b/>
          <w:color w:val="auto"/>
          <w:sz w:val="18"/>
          <w:szCs w:val="18"/>
          <w:highlight w:val="none"/>
          <w:u w:val="none"/>
        </w:rPr>
        <w:t>表示正影响；空白表示相互作用不明显。</w:t>
      </w:r>
    </w:p>
    <w:p w14:paraId="7EB64CB3">
      <w:pPr>
        <w:rPr>
          <w:rFonts w:hint="eastAsia"/>
          <w:color w:val="auto"/>
          <w:highlight w:val="none"/>
          <w:u w:val="none"/>
        </w:rPr>
      </w:pPr>
      <w:r>
        <w:rPr>
          <w:rFonts w:hint="eastAsia"/>
          <w:color w:val="auto"/>
          <w:highlight w:val="none"/>
          <w:u w:val="none"/>
        </w:rPr>
        <w:t>从</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_Ref49882187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2.2</w:t>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可以看出，项目运营期对环境的影响是多方面的，其中最主要的是项目生产废气等对周边大气环境的影响，其次是环境风险和固体废物，运营期的影响则是长期的。</w:t>
      </w:r>
    </w:p>
    <w:p w14:paraId="32A96138">
      <w:pPr>
        <w:rPr>
          <w:rFonts w:hint="eastAsia"/>
          <w:bCs/>
          <w:color w:val="auto"/>
          <w:highlight w:val="none"/>
          <w:u w:val="none"/>
        </w:rPr>
      </w:pPr>
      <w:r>
        <w:rPr>
          <w:rFonts w:hint="eastAsia"/>
          <w:color w:val="auto"/>
          <w:highlight w:val="none"/>
          <w:u w:val="none"/>
        </w:rPr>
        <w:t>对环境的正影响则主要表现在社会经济环境，本项目建设过程中增加就业率，运营期大量原材料的采购有利于经济发展；项目需要工人，有利于劳动就业。</w:t>
      </w:r>
    </w:p>
    <w:p w14:paraId="2703744B">
      <w:pPr>
        <w:pStyle w:val="6"/>
        <w:spacing w:before="156" w:after="156"/>
        <w:rPr>
          <w:color w:val="auto"/>
          <w:highlight w:val="none"/>
          <w:u w:val="none"/>
        </w:rPr>
      </w:pPr>
      <w:bookmarkStart w:id="64" w:name="_Toc148374872"/>
      <w:bookmarkStart w:id="65" w:name="_Toc148374430"/>
      <w:r>
        <w:rPr>
          <w:rFonts w:hint="eastAsia"/>
          <w:color w:val="auto"/>
          <w:highlight w:val="none"/>
          <w:u w:val="none"/>
        </w:rPr>
        <w:t>评价因子</w:t>
      </w:r>
      <w:bookmarkEnd w:id="64"/>
      <w:bookmarkEnd w:id="65"/>
    </w:p>
    <w:p w14:paraId="4A9117A5">
      <w:pPr>
        <w:rPr>
          <w:rFonts w:hint="eastAsia"/>
          <w:color w:val="auto"/>
          <w:highlight w:val="none"/>
          <w:u w:val="none"/>
        </w:rPr>
      </w:pPr>
      <w:r>
        <w:rPr>
          <w:rFonts w:hint="eastAsia"/>
          <w:color w:val="auto"/>
          <w:highlight w:val="none"/>
          <w:u w:val="none"/>
        </w:rPr>
        <w:t>对照《重点管控新污染物清单（2023年版）》，本项目不涉及重点管控新污染物，根据项目建设内容，本次评价因子选取如下：</w:t>
      </w:r>
    </w:p>
    <w:p w14:paraId="3B44E9D6">
      <w:pPr>
        <w:rPr>
          <w:rFonts w:hint="eastAsia"/>
          <w:bCs/>
          <w:color w:val="auto"/>
          <w:highlight w:val="none"/>
          <w:u w:val="none"/>
        </w:rPr>
      </w:pPr>
      <w:r>
        <w:rPr>
          <w:rFonts w:hint="eastAsia"/>
          <w:color w:val="auto"/>
          <w:highlight w:val="none"/>
          <w:u w:val="none"/>
        </w:rPr>
        <w:t>（1）大气环境</w:t>
      </w:r>
    </w:p>
    <w:p w14:paraId="5DCB88DD">
      <w:pPr>
        <w:rPr>
          <w:rFonts w:hint="eastAsia"/>
          <w:bCs/>
          <w:color w:val="auto"/>
          <w:highlight w:val="none"/>
          <w:u w:val="none"/>
        </w:rPr>
      </w:pPr>
      <w:r>
        <w:rPr>
          <w:rFonts w:hint="eastAsia"/>
          <w:color w:val="auto"/>
          <w:highlight w:val="none"/>
          <w:u w:val="none"/>
        </w:rPr>
        <w:t>①现状评价因子</w:t>
      </w:r>
    </w:p>
    <w:p w14:paraId="644E631F">
      <w:pPr>
        <w:rPr>
          <w:rFonts w:hint="eastAsia"/>
          <w:color w:val="auto"/>
          <w:highlight w:val="none"/>
          <w:u w:val="none"/>
        </w:rPr>
      </w:pPr>
      <w:r>
        <w:rPr>
          <w:rFonts w:hint="eastAsia"/>
          <w:color w:val="auto"/>
          <w:highlight w:val="none"/>
          <w:u w:val="none"/>
        </w:rPr>
        <w:t xml:space="preserve">根据《环境影响评价技术导则 </w:t>
      </w:r>
      <w:r>
        <w:rPr>
          <w:color w:val="auto"/>
          <w:highlight w:val="none"/>
          <w:u w:val="none"/>
        </w:rPr>
        <w:t xml:space="preserve"> </w:t>
      </w:r>
      <w:r>
        <w:rPr>
          <w:rFonts w:hint="eastAsia"/>
          <w:color w:val="auto"/>
          <w:highlight w:val="none"/>
          <w:u w:val="none"/>
        </w:rPr>
        <w:t>大气环境》（HJ2.2-2018）的要求，通过分析项目大气污染物排放特征及所在地的环境空气污染特征，选取SO</w:t>
      </w:r>
      <w:r>
        <w:rPr>
          <w:color w:val="auto"/>
          <w:highlight w:val="none"/>
          <w:u w:val="none"/>
          <w:vertAlign w:val="subscript"/>
        </w:rPr>
        <w:t>2</w:t>
      </w:r>
      <w:r>
        <w:rPr>
          <w:rFonts w:hint="eastAsia"/>
          <w:color w:val="auto"/>
          <w:highlight w:val="none"/>
          <w:u w:val="none"/>
        </w:rPr>
        <w:t>、NO</w:t>
      </w:r>
      <w:r>
        <w:rPr>
          <w:color w:val="auto"/>
          <w:highlight w:val="none"/>
          <w:u w:val="none"/>
          <w:vertAlign w:val="subscript"/>
        </w:rPr>
        <w:t>2</w:t>
      </w:r>
      <w:r>
        <w:rPr>
          <w:rFonts w:hint="eastAsia"/>
          <w:color w:val="auto"/>
          <w:highlight w:val="none"/>
          <w:u w:val="none"/>
        </w:rPr>
        <w:t>、PM</w:t>
      </w:r>
      <w:r>
        <w:rPr>
          <w:color w:val="auto"/>
          <w:highlight w:val="none"/>
          <w:u w:val="none"/>
          <w:vertAlign w:val="subscript"/>
        </w:rPr>
        <w:t>10</w:t>
      </w:r>
      <w:r>
        <w:rPr>
          <w:rFonts w:hint="eastAsia"/>
          <w:color w:val="auto"/>
          <w:highlight w:val="none"/>
          <w:u w:val="none"/>
        </w:rPr>
        <w:t>、PM</w:t>
      </w:r>
      <w:r>
        <w:rPr>
          <w:rFonts w:hint="eastAsia"/>
          <w:color w:val="auto"/>
          <w:highlight w:val="none"/>
          <w:u w:val="none"/>
          <w:vertAlign w:val="subscript"/>
        </w:rPr>
        <w:t>2.5</w:t>
      </w:r>
      <w:r>
        <w:rPr>
          <w:rFonts w:hint="eastAsia"/>
          <w:color w:val="auto"/>
          <w:highlight w:val="none"/>
          <w:u w:val="none"/>
        </w:rPr>
        <w:t>、CO、O</w:t>
      </w:r>
      <w:r>
        <w:rPr>
          <w:color w:val="auto"/>
          <w:highlight w:val="none"/>
          <w:u w:val="none"/>
          <w:vertAlign w:val="subscript"/>
        </w:rPr>
        <w:t>3</w:t>
      </w:r>
      <w:r>
        <w:rPr>
          <w:rFonts w:hint="eastAsia"/>
          <w:color w:val="auto"/>
          <w:highlight w:val="none"/>
          <w:u w:val="none"/>
        </w:rPr>
        <w:t>、光气、氯气、氯化氢、NMHC、</w:t>
      </w:r>
      <w:r>
        <w:rPr>
          <w:color w:val="auto"/>
          <w:highlight w:val="none"/>
          <w:u w:val="none"/>
        </w:rPr>
        <w:t>VOCs</w:t>
      </w:r>
      <w:r>
        <w:rPr>
          <w:rFonts w:hint="eastAsia"/>
          <w:color w:val="auto"/>
          <w:highlight w:val="none"/>
          <w:u w:val="none"/>
        </w:rPr>
        <w:t>、氨、硫化氢、甲苯、硝基苯（DNT）、苯胺、氯苯、TDI共1</w:t>
      </w:r>
      <w:r>
        <w:rPr>
          <w:color w:val="auto"/>
          <w:highlight w:val="none"/>
          <w:u w:val="none"/>
        </w:rPr>
        <w:t>8</w:t>
      </w:r>
      <w:r>
        <w:rPr>
          <w:rFonts w:hint="eastAsia"/>
          <w:color w:val="auto"/>
          <w:highlight w:val="none"/>
          <w:u w:val="none"/>
        </w:rPr>
        <w:t>项作为环境空气质量现状评价因子。</w:t>
      </w:r>
    </w:p>
    <w:p w14:paraId="2E3D7820">
      <w:pPr>
        <w:rPr>
          <w:rFonts w:hint="eastAsia"/>
          <w:bCs/>
          <w:color w:val="auto"/>
          <w:highlight w:val="none"/>
          <w:u w:val="none"/>
        </w:rPr>
      </w:pPr>
      <w:r>
        <w:rPr>
          <w:rFonts w:hint="eastAsia"/>
          <w:color w:val="auto"/>
          <w:highlight w:val="none"/>
          <w:u w:val="none"/>
        </w:rPr>
        <w:t>②影响预测因子</w:t>
      </w:r>
    </w:p>
    <w:p w14:paraId="073631A1">
      <w:pPr>
        <w:rPr>
          <w:rFonts w:hint="eastAsia"/>
          <w:bCs/>
          <w:color w:val="auto"/>
          <w:highlight w:val="none"/>
          <w:u w:val="none"/>
        </w:rPr>
      </w:pPr>
      <w:r>
        <w:rPr>
          <w:rFonts w:hint="eastAsia"/>
          <w:color w:val="auto"/>
          <w:highlight w:val="none"/>
          <w:u w:val="none"/>
        </w:rPr>
        <w:t>本项目选取NMHC、邻二氯苯（ODCB）、DNT、TDA、氯化氢、甲苯、氯气、光气作为环境空气影响预测因子。</w:t>
      </w:r>
    </w:p>
    <w:p w14:paraId="451AA456">
      <w:pPr>
        <w:rPr>
          <w:rFonts w:hint="eastAsia"/>
          <w:bCs/>
          <w:color w:val="auto"/>
          <w:highlight w:val="none"/>
          <w:u w:val="none"/>
        </w:rPr>
      </w:pPr>
      <w:r>
        <w:rPr>
          <w:rFonts w:hint="eastAsia"/>
          <w:color w:val="auto"/>
          <w:highlight w:val="none"/>
          <w:u w:val="none"/>
        </w:rPr>
        <w:t>（2）海水环境</w:t>
      </w:r>
    </w:p>
    <w:p w14:paraId="2A1F4F96">
      <w:pPr>
        <w:rPr>
          <w:rFonts w:hint="eastAsia"/>
          <w:bCs/>
          <w:color w:val="auto"/>
          <w:highlight w:val="none"/>
          <w:u w:val="none"/>
        </w:rPr>
      </w:pPr>
      <w:r>
        <w:rPr>
          <w:rFonts w:hint="eastAsia" w:ascii="宋体" w:cs="宋体"/>
          <w:color w:val="auto"/>
          <w:highlight w:val="none"/>
          <w:u w:val="none"/>
        </w:rPr>
        <w:t>①</w:t>
      </w:r>
      <w:r>
        <w:rPr>
          <w:color w:val="auto"/>
          <w:highlight w:val="none"/>
          <w:u w:val="none"/>
        </w:rPr>
        <w:t>现状评价因子</w:t>
      </w:r>
    </w:p>
    <w:p w14:paraId="0E3CE6E4">
      <w:pPr>
        <w:rPr>
          <w:rFonts w:hint="eastAsia"/>
          <w:bCs/>
          <w:color w:val="auto"/>
          <w:highlight w:val="none"/>
          <w:u w:val="none"/>
        </w:rPr>
      </w:pPr>
      <w:r>
        <w:rPr>
          <w:color w:val="auto"/>
          <w:highlight w:val="none"/>
          <w:u w:val="none"/>
        </w:rPr>
        <w:t>根据项目外排废水水质污染特征及</w:t>
      </w:r>
      <w:r>
        <w:rPr>
          <w:rFonts w:hint="eastAsia"/>
          <w:color w:val="auto"/>
          <w:highlight w:val="none"/>
          <w:u w:val="none"/>
        </w:rPr>
        <w:t>导则</w:t>
      </w:r>
      <w:r>
        <w:rPr>
          <w:color w:val="auto"/>
          <w:highlight w:val="none"/>
          <w:u w:val="none"/>
        </w:rPr>
        <w:t>要求，选取</w:t>
      </w:r>
      <w:r>
        <w:rPr>
          <w:bCs/>
          <w:color w:val="auto"/>
          <w:highlight w:val="none"/>
          <w:u w:val="none"/>
        </w:rPr>
        <w:t>水温、溶解氧、pH值、悬浮物、化学需氧量、生化需氧量、</w:t>
      </w:r>
      <w:r>
        <w:rPr>
          <w:rFonts w:hint="eastAsia"/>
          <w:bCs/>
          <w:color w:val="auto"/>
          <w:highlight w:val="none"/>
          <w:u w:val="none"/>
        </w:rPr>
        <w:t>汞、铬、砷、油类、镉</w:t>
      </w:r>
      <w:r>
        <w:rPr>
          <w:bCs/>
          <w:color w:val="auto"/>
          <w:highlight w:val="none"/>
          <w:u w:val="none"/>
        </w:rPr>
        <w:t>、镍、铅、铜、锌、</w:t>
      </w:r>
      <w:r>
        <w:rPr>
          <w:rFonts w:hint="eastAsia"/>
          <w:bCs/>
          <w:color w:val="auto"/>
          <w:highlight w:val="none"/>
          <w:u w:val="none"/>
        </w:rPr>
        <w:t>粪大肠菌群、</w:t>
      </w:r>
      <w:r>
        <w:rPr>
          <w:bCs/>
          <w:color w:val="auto"/>
          <w:highlight w:val="none"/>
          <w:u w:val="none"/>
        </w:rPr>
        <w:t>硫化物、挥发酚、盐度、无机氮、四氯化碳、苯、活性磷酸盐、二氯甲烷、1,2-二氯苯（邻二氯苯）、2,4-二硝基甲苯、2,4,6-三硝基甲苯、苯胺、对二硝基苯、对硝基甲苯、对硝基氯苯、间二硝基苯、间硝基甲苯、间硝基甲苯、邻二硝基苯、邻硝基甲苯、邻硝基氯苯、硝基苯</w:t>
      </w:r>
      <w:r>
        <w:rPr>
          <w:rFonts w:hint="eastAsia"/>
          <w:color w:val="auto"/>
          <w:highlight w:val="none"/>
          <w:u w:val="none"/>
        </w:rPr>
        <w:t>等</w:t>
      </w:r>
      <w:r>
        <w:rPr>
          <w:color w:val="auto"/>
          <w:highlight w:val="none"/>
          <w:u w:val="none"/>
        </w:rPr>
        <w:t>指标作为</w:t>
      </w:r>
      <w:r>
        <w:rPr>
          <w:rFonts w:hint="eastAsia"/>
          <w:color w:val="auto"/>
          <w:highlight w:val="none"/>
          <w:u w:val="none"/>
        </w:rPr>
        <w:t>海水</w:t>
      </w:r>
      <w:r>
        <w:rPr>
          <w:color w:val="auto"/>
          <w:highlight w:val="none"/>
          <w:u w:val="none"/>
        </w:rPr>
        <w:t>环境质量现状评价因子。</w:t>
      </w:r>
    </w:p>
    <w:p w14:paraId="5172718C">
      <w:pPr>
        <w:rPr>
          <w:rFonts w:hint="eastAsia"/>
          <w:bCs/>
          <w:color w:val="auto"/>
          <w:highlight w:val="none"/>
          <w:u w:val="none"/>
        </w:rPr>
      </w:pPr>
      <w:r>
        <w:rPr>
          <w:rFonts w:hint="eastAsia" w:ascii="宋体" w:cs="宋体"/>
          <w:color w:val="auto"/>
          <w:highlight w:val="none"/>
          <w:u w:val="none"/>
        </w:rPr>
        <w:t>②</w:t>
      </w:r>
      <w:r>
        <w:rPr>
          <w:rFonts w:hint="eastAsia"/>
          <w:color w:val="auto"/>
          <w:highlight w:val="none"/>
          <w:u w:val="none"/>
        </w:rPr>
        <w:t>影响预测因子</w:t>
      </w:r>
    </w:p>
    <w:p w14:paraId="2E7AF4F5">
      <w:pPr>
        <w:rPr>
          <w:rFonts w:hint="eastAsia"/>
          <w:color w:val="auto"/>
          <w:highlight w:val="none"/>
          <w:u w:val="none"/>
        </w:rPr>
      </w:pPr>
      <w:r>
        <w:rPr>
          <w:rFonts w:hint="eastAsia"/>
          <w:color w:val="auto"/>
          <w:highlight w:val="none"/>
          <w:u w:val="none"/>
        </w:rPr>
        <w:t>本项目选取氯苯类、</w:t>
      </w:r>
      <w:r>
        <w:rPr>
          <w:color w:val="auto"/>
          <w:highlight w:val="none"/>
          <w:u w:val="none"/>
        </w:rPr>
        <w:t>苯胺类、硝基苯类作为</w:t>
      </w:r>
      <w:r>
        <w:rPr>
          <w:rFonts w:hint="eastAsia"/>
          <w:color w:val="auto"/>
          <w:highlight w:val="none"/>
          <w:u w:val="none"/>
        </w:rPr>
        <w:t>海水影响预测因子</w:t>
      </w:r>
      <w:r>
        <w:rPr>
          <w:color w:val="auto"/>
          <w:highlight w:val="none"/>
          <w:u w:val="none"/>
        </w:rPr>
        <w:t>。</w:t>
      </w:r>
    </w:p>
    <w:p w14:paraId="3E142076">
      <w:pPr>
        <w:rPr>
          <w:rFonts w:hint="eastAsia"/>
          <w:color w:val="auto"/>
          <w:highlight w:val="none"/>
          <w:u w:val="none"/>
        </w:rPr>
      </w:pPr>
      <w:r>
        <w:rPr>
          <w:rFonts w:hint="eastAsia"/>
          <w:color w:val="auto"/>
          <w:highlight w:val="none"/>
          <w:u w:val="none"/>
        </w:rPr>
        <w:t>（3）海洋沉积物</w:t>
      </w:r>
    </w:p>
    <w:p w14:paraId="252E3752">
      <w:pPr>
        <w:rPr>
          <w:rFonts w:hint="eastAsia"/>
          <w:bCs/>
          <w:color w:val="auto"/>
          <w:highlight w:val="none"/>
          <w:u w:val="none"/>
        </w:rPr>
      </w:pPr>
      <w:r>
        <w:rPr>
          <w:rFonts w:hint="eastAsia"/>
          <w:bCs/>
          <w:color w:val="auto"/>
          <w:highlight w:val="none"/>
          <w:u w:val="none"/>
        </w:rPr>
        <w:t>现状调查因子：总汞、</w:t>
      </w:r>
      <w:r>
        <w:rPr>
          <w:bCs/>
          <w:color w:val="auto"/>
          <w:highlight w:val="none"/>
          <w:u w:val="none"/>
        </w:rPr>
        <w:t>铜、铅、镉、锌、铬、砷、石油类、硫化物、有机碳、苯、氯苯、苯胺、硝基苯、含水率、氧化还原电位</w:t>
      </w:r>
      <w:r>
        <w:rPr>
          <w:rFonts w:hint="eastAsia"/>
          <w:bCs/>
          <w:color w:val="auto"/>
          <w:highlight w:val="none"/>
          <w:u w:val="none"/>
        </w:rPr>
        <w:t>。</w:t>
      </w:r>
    </w:p>
    <w:p w14:paraId="790D0034">
      <w:pPr>
        <w:rPr>
          <w:rFonts w:hint="eastAsia"/>
          <w:bCs/>
          <w:color w:val="auto"/>
          <w:highlight w:val="none"/>
          <w:u w:val="none"/>
        </w:rPr>
      </w:pPr>
      <w:r>
        <w:rPr>
          <w:color w:val="auto"/>
          <w:highlight w:val="none"/>
          <w:u w:val="none"/>
        </w:rPr>
        <w:t>（4）地下水环境</w:t>
      </w:r>
    </w:p>
    <w:p w14:paraId="02CDCCAC">
      <w:pPr>
        <w:rPr>
          <w:rFonts w:hint="eastAsia"/>
          <w:bCs/>
          <w:color w:val="auto"/>
          <w:highlight w:val="none"/>
          <w:u w:val="none"/>
        </w:rPr>
      </w:pPr>
      <w:r>
        <w:rPr>
          <w:color w:val="auto"/>
          <w:highlight w:val="none"/>
          <w:u w:val="none"/>
        </w:rPr>
        <w:t>根据《环境影响评价技术导则</w:t>
      </w:r>
      <w:r>
        <w:rPr>
          <w:rFonts w:hint="eastAsia"/>
          <w:color w:val="auto"/>
          <w:highlight w:val="none"/>
          <w:u w:val="none"/>
        </w:rPr>
        <w:t xml:space="preserve"> </w:t>
      </w:r>
      <w:r>
        <w:rPr>
          <w:color w:val="auto"/>
          <w:highlight w:val="none"/>
          <w:u w:val="none"/>
        </w:rPr>
        <w:t xml:space="preserve"> 地下水环境》（HJ610-2016）的要求，选取地下水环境质量现状评价因子如下</w:t>
      </w:r>
      <w:r>
        <w:rPr>
          <w:rFonts w:hint="eastAsia"/>
          <w:color w:val="auto"/>
          <w:highlight w:val="none"/>
          <w:u w:val="none"/>
        </w:rPr>
        <w:t>，并开展包气带污染现状调查。</w:t>
      </w:r>
    </w:p>
    <w:p w14:paraId="2C3186AD">
      <w:pPr>
        <w:rPr>
          <w:rFonts w:hint="eastAsia"/>
          <w:color w:val="auto"/>
          <w:highlight w:val="none"/>
          <w:u w:val="none"/>
        </w:rPr>
      </w:pPr>
      <w:r>
        <w:rPr>
          <w:color w:val="auto"/>
          <w:highlight w:val="none"/>
          <w:u w:val="none"/>
        </w:rPr>
        <w:t>常规因子：</w:t>
      </w:r>
      <w:r>
        <w:rPr>
          <w:rFonts w:hint="eastAsia"/>
          <w:color w:val="auto"/>
          <w:highlight w:val="none"/>
          <w:u w:val="none"/>
        </w:rPr>
        <w:t>水位、</w:t>
      </w:r>
      <w:r>
        <w:rPr>
          <w:color w:val="auto"/>
          <w:highlight w:val="none"/>
          <w:u w:val="none"/>
        </w:rPr>
        <w:t>pH、K</w:t>
      </w:r>
      <w:r>
        <w:rPr>
          <w:color w:val="auto"/>
          <w:highlight w:val="none"/>
          <w:u w:val="none"/>
          <w:vertAlign w:val="superscript"/>
        </w:rPr>
        <w:t>+</w:t>
      </w:r>
      <w:r>
        <w:rPr>
          <w:rFonts w:hint="eastAsia"/>
          <w:color w:val="auto"/>
          <w:highlight w:val="none"/>
          <w:u w:val="none"/>
        </w:rPr>
        <w:t>、</w:t>
      </w:r>
      <w:r>
        <w:rPr>
          <w:color w:val="auto"/>
          <w:highlight w:val="none"/>
          <w:u w:val="none"/>
        </w:rPr>
        <w:t>Na</w:t>
      </w:r>
      <w:r>
        <w:rPr>
          <w:color w:val="auto"/>
          <w:highlight w:val="none"/>
          <w:u w:val="none"/>
          <w:vertAlign w:val="superscript"/>
        </w:rPr>
        <w:t>+</w:t>
      </w:r>
      <w:r>
        <w:rPr>
          <w:color w:val="auto"/>
          <w:highlight w:val="none"/>
          <w:u w:val="none"/>
        </w:rPr>
        <w:t>、Ca</w:t>
      </w:r>
      <w:r>
        <w:rPr>
          <w:color w:val="auto"/>
          <w:highlight w:val="none"/>
          <w:u w:val="none"/>
          <w:vertAlign w:val="superscript"/>
        </w:rPr>
        <w:t>2+</w:t>
      </w:r>
      <w:r>
        <w:rPr>
          <w:color w:val="auto"/>
          <w:highlight w:val="none"/>
          <w:u w:val="none"/>
        </w:rPr>
        <w:t>、Mg</w:t>
      </w:r>
      <w:r>
        <w:rPr>
          <w:color w:val="auto"/>
          <w:highlight w:val="none"/>
          <w:u w:val="none"/>
          <w:vertAlign w:val="superscript"/>
        </w:rPr>
        <w:t>2+</w:t>
      </w:r>
      <w:r>
        <w:rPr>
          <w:color w:val="auto"/>
          <w:highlight w:val="none"/>
          <w:u w:val="none"/>
        </w:rPr>
        <w:t>、CO</w:t>
      </w:r>
      <w:r>
        <w:rPr>
          <w:color w:val="auto"/>
          <w:highlight w:val="none"/>
          <w:u w:val="none"/>
          <w:vertAlign w:val="subscript"/>
        </w:rPr>
        <w:t>3</w:t>
      </w:r>
      <w:r>
        <w:rPr>
          <w:color w:val="auto"/>
          <w:highlight w:val="none"/>
          <w:u w:val="none"/>
          <w:vertAlign w:val="superscript"/>
        </w:rPr>
        <w:t>2-</w:t>
      </w:r>
      <w:r>
        <w:rPr>
          <w:color w:val="auto"/>
          <w:highlight w:val="none"/>
          <w:u w:val="none"/>
        </w:rPr>
        <w:t>、HCO</w:t>
      </w:r>
      <w:r>
        <w:rPr>
          <w:color w:val="auto"/>
          <w:highlight w:val="none"/>
          <w:u w:val="none"/>
          <w:vertAlign w:val="superscript"/>
        </w:rPr>
        <w:t>3-</w:t>
      </w:r>
      <w:r>
        <w:rPr>
          <w:color w:val="auto"/>
          <w:highlight w:val="none"/>
          <w:u w:val="none"/>
        </w:rPr>
        <w:t>、Cl-、SO</w:t>
      </w:r>
      <w:r>
        <w:rPr>
          <w:color w:val="auto"/>
          <w:highlight w:val="none"/>
          <w:u w:val="none"/>
          <w:vertAlign w:val="subscript"/>
        </w:rPr>
        <w:t>4</w:t>
      </w:r>
      <w:r>
        <w:rPr>
          <w:color w:val="auto"/>
          <w:highlight w:val="none"/>
          <w:u w:val="none"/>
          <w:vertAlign w:val="superscript"/>
        </w:rPr>
        <w:t>2-</w:t>
      </w:r>
      <w:r>
        <w:rPr>
          <w:rFonts w:hint="eastAsia"/>
          <w:color w:val="auto"/>
          <w:highlight w:val="none"/>
          <w:u w:val="none"/>
        </w:rPr>
        <w:t>、氨氮、硝酸盐、亚硝酸盐、挥发性酚类、氰化物、砷、汞、铬（</w:t>
      </w:r>
      <w:r>
        <w:rPr>
          <w:color w:val="auto"/>
          <w:highlight w:val="none"/>
          <w:u w:val="none"/>
        </w:rPr>
        <w:t>六价</w:t>
      </w:r>
      <w:r>
        <w:rPr>
          <w:rFonts w:hint="eastAsia"/>
          <w:color w:val="auto"/>
          <w:highlight w:val="none"/>
          <w:u w:val="none"/>
        </w:rPr>
        <w:t>）</w:t>
      </w:r>
      <w:r>
        <w:rPr>
          <w:color w:val="auto"/>
          <w:highlight w:val="none"/>
          <w:u w:val="none"/>
        </w:rPr>
        <w:t>、总硬度、铅、氟、镉、铁、锰、溶解性总固体、耗氧量（高锰酸盐指数）、硫酸</w:t>
      </w:r>
      <w:r>
        <w:rPr>
          <w:rFonts w:hint="eastAsia"/>
          <w:color w:val="auto"/>
          <w:highlight w:val="none"/>
          <w:u w:val="none"/>
        </w:rPr>
        <w:t>盐、氯化物。</w:t>
      </w:r>
    </w:p>
    <w:p w14:paraId="03086A6E">
      <w:pPr>
        <w:rPr>
          <w:rFonts w:hint="eastAsia"/>
          <w:color w:val="auto"/>
          <w:highlight w:val="none"/>
          <w:u w:val="none"/>
        </w:rPr>
      </w:pPr>
      <w:r>
        <w:rPr>
          <w:color w:val="auto"/>
          <w:highlight w:val="none"/>
          <w:u w:val="none"/>
        </w:rPr>
        <w:t>特征因子：</w:t>
      </w:r>
      <w:r>
        <w:rPr>
          <w:rFonts w:hint="eastAsia"/>
          <w:color w:val="auto"/>
          <w:highlight w:val="none"/>
          <w:u w:val="none"/>
        </w:rPr>
        <w:t>邻二氯苯、2,</w:t>
      </w:r>
      <w:r>
        <w:rPr>
          <w:color w:val="auto"/>
          <w:highlight w:val="none"/>
          <w:u w:val="none"/>
        </w:rPr>
        <w:t>4-</w:t>
      </w:r>
      <w:r>
        <w:rPr>
          <w:rFonts w:hint="eastAsia"/>
          <w:color w:val="auto"/>
          <w:highlight w:val="none"/>
          <w:u w:val="none"/>
        </w:rPr>
        <w:t>二硝基甲苯、2,</w:t>
      </w:r>
      <w:r>
        <w:rPr>
          <w:color w:val="auto"/>
          <w:highlight w:val="none"/>
          <w:u w:val="none"/>
        </w:rPr>
        <w:t>6-</w:t>
      </w:r>
      <w:r>
        <w:rPr>
          <w:rFonts w:hint="eastAsia"/>
          <w:color w:val="auto"/>
          <w:highlight w:val="none"/>
          <w:u w:val="none"/>
        </w:rPr>
        <w:t>二硝基甲苯、甲苯</w:t>
      </w:r>
      <w:r>
        <w:rPr>
          <w:color w:val="auto"/>
          <w:highlight w:val="none"/>
          <w:u w:val="none"/>
        </w:rPr>
        <w:t>。</w:t>
      </w:r>
    </w:p>
    <w:p w14:paraId="74E79E54">
      <w:pPr>
        <w:rPr>
          <w:rFonts w:hint="eastAsia"/>
          <w:bCs/>
          <w:color w:val="auto"/>
          <w:highlight w:val="none"/>
          <w:u w:val="none"/>
        </w:rPr>
      </w:pPr>
      <w:r>
        <w:rPr>
          <w:rFonts w:hint="eastAsia" w:ascii="宋体" w:cs="宋体"/>
          <w:color w:val="auto"/>
          <w:highlight w:val="none"/>
          <w:u w:val="none"/>
        </w:rPr>
        <w:t>②</w:t>
      </w:r>
      <w:r>
        <w:rPr>
          <w:color w:val="auto"/>
          <w:highlight w:val="none"/>
          <w:u w:val="none"/>
        </w:rPr>
        <w:t>影响分析</w:t>
      </w:r>
    </w:p>
    <w:p w14:paraId="74B1E856">
      <w:pPr>
        <w:rPr>
          <w:rFonts w:hint="eastAsia"/>
          <w:color w:val="auto"/>
          <w:highlight w:val="none"/>
          <w:u w:val="none"/>
        </w:rPr>
      </w:pPr>
      <w:r>
        <w:rPr>
          <w:color w:val="auto"/>
          <w:highlight w:val="none"/>
          <w:u w:val="none"/>
        </w:rPr>
        <w:t>影响预测因子：</w:t>
      </w:r>
      <w:r>
        <w:rPr>
          <w:rFonts w:hint="eastAsia"/>
          <w:color w:val="auto"/>
          <w:highlight w:val="none"/>
          <w:u w:val="none"/>
        </w:rPr>
        <w:t>邻二氯苯、2,</w:t>
      </w:r>
      <w:r>
        <w:rPr>
          <w:color w:val="auto"/>
          <w:highlight w:val="none"/>
          <w:u w:val="none"/>
        </w:rPr>
        <w:t>4-</w:t>
      </w:r>
      <w:r>
        <w:rPr>
          <w:rFonts w:hint="eastAsia"/>
          <w:color w:val="auto"/>
          <w:highlight w:val="none"/>
          <w:u w:val="none"/>
        </w:rPr>
        <w:t>二硝基甲苯、2,</w:t>
      </w:r>
      <w:r>
        <w:rPr>
          <w:color w:val="auto"/>
          <w:highlight w:val="none"/>
          <w:u w:val="none"/>
        </w:rPr>
        <w:t>6-</w:t>
      </w:r>
      <w:r>
        <w:rPr>
          <w:rFonts w:hint="eastAsia"/>
          <w:color w:val="auto"/>
          <w:highlight w:val="none"/>
          <w:u w:val="none"/>
        </w:rPr>
        <w:t>二硝基甲苯、甲苯。</w:t>
      </w:r>
    </w:p>
    <w:p w14:paraId="682B2AB1">
      <w:pPr>
        <w:rPr>
          <w:rFonts w:hint="eastAsia"/>
          <w:bCs/>
          <w:color w:val="auto"/>
          <w:highlight w:val="none"/>
          <w:u w:val="none"/>
        </w:rPr>
      </w:pPr>
      <w:r>
        <w:rPr>
          <w:color w:val="auto"/>
          <w:highlight w:val="none"/>
          <w:u w:val="none"/>
        </w:rPr>
        <w:t>（5）声环境</w:t>
      </w:r>
    </w:p>
    <w:p w14:paraId="5B11C774">
      <w:pPr>
        <w:rPr>
          <w:rFonts w:hint="eastAsia"/>
          <w:bCs/>
          <w:color w:val="auto"/>
          <w:highlight w:val="none"/>
          <w:u w:val="none"/>
        </w:rPr>
      </w:pPr>
      <w:r>
        <w:rPr>
          <w:rFonts w:hint="eastAsia" w:ascii="宋体" w:cs="宋体"/>
          <w:color w:val="auto"/>
          <w:highlight w:val="none"/>
          <w:u w:val="none"/>
        </w:rPr>
        <w:t>①</w:t>
      </w:r>
      <w:r>
        <w:rPr>
          <w:color w:val="auto"/>
          <w:highlight w:val="none"/>
          <w:u w:val="none"/>
        </w:rPr>
        <w:t>现状评价因子</w:t>
      </w:r>
    </w:p>
    <w:p w14:paraId="541D9058">
      <w:pPr>
        <w:rPr>
          <w:rFonts w:hint="eastAsia"/>
          <w:bCs/>
          <w:color w:val="auto"/>
          <w:highlight w:val="none"/>
          <w:u w:val="none"/>
        </w:rPr>
      </w:pPr>
      <w:r>
        <w:rPr>
          <w:color w:val="auto"/>
          <w:highlight w:val="none"/>
          <w:u w:val="none"/>
        </w:rPr>
        <w:t>按《环境影响评价技术导则  声环境》（HJ2.4-2021）的要求，采用等效连续A声级作为声环境质量现状评价量。</w:t>
      </w:r>
    </w:p>
    <w:p w14:paraId="0D376CB1">
      <w:pPr>
        <w:rPr>
          <w:rFonts w:hint="eastAsia"/>
          <w:bCs/>
          <w:color w:val="auto"/>
          <w:highlight w:val="none"/>
          <w:u w:val="none"/>
        </w:rPr>
      </w:pPr>
      <w:r>
        <w:rPr>
          <w:rFonts w:hint="eastAsia" w:ascii="宋体" w:cs="宋体"/>
          <w:color w:val="auto"/>
          <w:highlight w:val="none"/>
          <w:u w:val="none"/>
        </w:rPr>
        <w:t>②</w:t>
      </w:r>
      <w:r>
        <w:rPr>
          <w:color w:val="auto"/>
          <w:highlight w:val="none"/>
          <w:u w:val="none"/>
        </w:rPr>
        <w:t>预测因子</w:t>
      </w:r>
    </w:p>
    <w:p w14:paraId="22518B48">
      <w:pPr>
        <w:rPr>
          <w:rFonts w:hint="eastAsia"/>
          <w:bCs/>
          <w:color w:val="auto"/>
          <w:highlight w:val="none"/>
          <w:u w:val="none"/>
        </w:rPr>
      </w:pPr>
      <w:r>
        <w:rPr>
          <w:color w:val="auto"/>
          <w:highlight w:val="none"/>
          <w:u w:val="none"/>
        </w:rPr>
        <w:t>等效连续A声级。</w:t>
      </w:r>
    </w:p>
    <w:p w14:paraId="2D591FDA">
      <w:pPr>
        <w:rPr>
          <w:rFonts w:hint="eastAsia"/>
          <w:bCs/>
          <w:color w:val="auto"/>
          <w:highlight w:val="none"/>
          <w:u w:val="none"/>
        </w:rPr>
      </w:pPr>
      <w:r>
        <w:rPr>
          <w:color w:val="auto"/>
          <w:highlight w:val="none"/>
          <w:u w:val="none"/>
        </w:rPr>
        <w:t>（6）固体废物</w:t>
      </w:r>
    </w:p>
    <w:p w14:paraId="4F27A7BD">
      <w:pPr>
        <w:rPr>
          <w:rFonts w:hint="eastAsia"/>
          <w:bCs/>
          <w:color w:val="auto"/>
          <w:highlight w:val="none"/>
          <w:u w:val="none"/>
        </w:rPr>
      </w:pPr>
      <w:r>
        <w:rPr>
          <w:color w:val="auto"/>
          <w:highlight w:val="none"/>
          <w:u w:val="none"/>
        </w:rPr>
        <w:t>固体废物影响分析以项目产生的一般工业固体废物、危险废物和生活垃圾进行</w:t>
      </w:r>
      <w:r>
        <w:rPr>
          <w:rFonts w:hint="eastAsia"/>
          <w:color w:val="auto"/>
          <w:highlight w:val="none"/>
          <w:u w:val="none"/>
        </w:rPr>
        <w:t>影响</w:t>
      </w:r>
      <w:r>
        <w:rPr>
          <w:color w:val="auto"/>
          <w:highlight w:val="none"/>
          <w:u w:val="none"/>
        </w:rPr>
        <w:t>分析。</w:t>
      </w:r>
    </w:p>
    <w:p w14:paraId="3F5AEAAE">
      <w:pPr>
        <w:rPr>
          <w:rFonts w:hint="eastAsia"/>
          <w:bCs/>
          <w:color w:val="auto"/>
          <w:highlight w:val="none"/>
          <w:u w:val="none"/>
        </w:rPr>
      </w:pPr>
      <w:r>
        <w:rPr>
          <w:color w:val="auto"/>
          <w:highlight w:val="none"/>
          <w:u w:val="none"/>
        </w:rPr>
        <w:t>（7）土壤环境</w:t>
      </w:r>
    </w:p>
    <w:p w14:paraId="1DE9FA11">
      <w:pPr>
        <w:rPr>
          <w:rFonts w:hint="eastAsia"/>
          <w:bCs/>
          <w:color w:val="auto"/>
          <w:highlight w:val="none"/>
          <w:u w:val="none"/>
        </w:rPr>
      </w:pPr>
      <w:r>
        <w:rPr>
          <w:rFonts w:hint="eastAsia" w:ascii="宋体" w:cs="宋体"/>
          <w:color w:val="auto"/>
          <w:highlight w:val="none"/>
          <w:u w:val="none"/>
        </w:rPr>
        <w:t>①</w:t>
      </w:r>
      <w:r>
        <w:rPr>
          <w:color w:val="auto"/>
          <w:highlight w:val="none"/>
          <w:u w:val="none"/>
        </w:rPr>
        <w:t>现状评价因子</w:t>
      </w:r>
    </w:p>
    <w:p w14:paraId="342B2462">
      <w:pPr>
        <w:rPr>
          <w:rFonts w:hint="eastAsia"/>
          <w:bCs/>
          <w:color w:val="auto"/>
          <w:highlight w:val="none"/>
          <w:u w:val="none"/>
        </w:rPr>
      </w:pPr>
      <w:r>
        <w:rPr>
          <w:color w:val="auto"/>
          <w:highlight w:val="none"/>
          <w:u w:val="none"/>
        </w:rPr>
        <w:t>选取砷、镉、铬（六价</w:t>
      </w:r>
      <w:r>
        <w:rPr>
          <w:rFonts w:hint="eastAsia"/>
          <w:color w:val="auto"/>
          <w:highlight w:val="none"/>
          <w:u w:val="none"/>
        </w:rPr>
        <w:t>）</w:t>
      </w:r>
      <w:r>
        <w:rPr>
          <w:color w:val="auto"/>
          <w:highlight w:val="none"/>
          <w:u w:val="none"/>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茆并[1,2,3-cd]芘、萘</w:t>
      </w:r>
      <w:r>
        <w:rPr>
          <w:rFonts w:hint="eastAsia"/>
          <w:color w:val="auto"/>
          <w:highlight w:val="none"/>
          <w:u w:val="none"/>
        </w:rPr>
        <w:t>、2,</w:t>
      </w:r>
      <w:r>
        <w:rPr>
          <w:color w:val="auto"/>
          <w:highlight w:val="none"/>
          <w:u w:val="none"/>
        </w:rPr>
        <w:t>4-</w:t>
      </w:r>
      <w:r>
        <w:rPr>
          <w:rFonts w:hint="eastAsia"/>
          <w:color w:val="auto"/>
          <w:highlight w:val="none"/>
          <w:u w:val="none"/>
        </w:rPr>
        <w:t>二硝基甲苯、石油烃</w:t>
      </w:r>
      <w:r>
        <w:rPr>
          <w:color w:val="auto"/>
          <w:highlight w:val="none"/>
          <w:u w:val="none"/>
        </w:rPr>
        <w:t>共47项作为土壤环境现状评价因子。</w:t>
      </w:r>
    </w:p>
    <w:p w14:paraId="761FA501">
      <w:pPr>
        <w:rPr>
          <w:rFonts w:hint="eastAsia"/>
          <w:bCs/>
          <w:color w:val="auto"/>
          <w:highlight w:val="none"/>
          <w:u w:val="none"/>
        </w:rPr>
      </w:pPr>
      <w:r>
        <w:rPr>
          <w:rFonts w:hint="eastAsia" w:ascii="宋体" w:cs="宋体"/>
          <w:color w:val="auto"/>
          <w:highlight w:val="none"/>
          <w:u w:val="none"/>
        </w:rPr>
        <w:t>②</w:t>
      </w:r>
      <w:r>
        <w:rPr>
          <w:color w:val="auto"/>
          <w:highlight w:val="none"/>
          <w:u w:val="none"/>
        </w:rPr>
        <w:t>影响分析</w:t>
      </w:r>
    </w:p>
    <w:p w14:paraId="370A1CA9">
      <w:pPr>
        <w:rPr>
          <w:rFonts w:hint="eastAsia"/>
          <w:color w:val="auto"/>
          <w:highlight w:val="none"/>
          <w:u w:val="none"/>
        </w:rPr>
      </w:pPr>
      <w:r>
        <w:rPr>
          <w:color w:val="auto"/>
          <w:highlight w:val="none"/>
          <w:u w:val="none"/>
        </w:rPr>
        <w:t>影响预测因子：甲苯、</w:t>
      </w:r>
      <w:r>
        <w:rPr>
          <w:rFonts w:hint="eastAsia"/>
          <w:color w:val="auto"/>
          <w:highlight w:val="none"/>
          <w:u w:val="none"/>
        </w:rPr>
        <w:t>邻二氯苯、2</w:t>
      </w:r>
      <w:r>
        <w:rPr>
          <w:color w:val="auto"/>
          <w:highlight w:val="none"/>
          <w:u w:val="none"/>
        </w:rPr>
        <w:t>,4-</w:t>
      </w:r>
      <w:r>
        <w:rPr>
          <w:rFonts w:hint="eastAsia"/>
          <w:color w:val="auto"/>
          <w:highlight w:val="none"/>
          <w:u w:val="none"/>
        </w:rPr>
        <w:t>二硝基甲苯</w:t>
      </w:r>
      <w:r>
        <w:rPr>
          <w:color w:val="auto"/>
          <w:highlight w:val="none"/>
          <w:u w:val="none"/>
        </w:rPr>
        <w:t>。</w:t>
      </w:r>
    </w:p>
    <w:p w14:paraId="19FA5EA2">
      <w:pPr>
        <w:rPr>
          <w:rFonts w:hint="eastAsia"/>
          <w:color w:val="auto"/>
          <w:highlight w:val="none"/>
          <w:u w:val="none"/>
          <w:lang w:val="en-US"/>
        </w:rPr>
      </w:pPr>
      <w:r>
        <w:rPr>
          <w:rFonts w:hint="eastAsia"/>
          <w:color w:val="auto"/>
          <w:highlight w:val="none"/>
          <w:u w:val="none"/>
          <w:lang w:val="en-US"/>
        </w:rPr>
        <w:t>（8）环境风险</w:t>
      </w:r>
    </w:p>
    <w:p w14:paraId="350D1B29">
      <w:pPr>
        <w:rPr>
          <w:rFonts w:hint="eastAsia"/>
          <w:color w:val="auto"/>
          <w:highlight w:val="none"/>
          <w:u w:val="none"/>
          <w:lang w:val="en-US"/>
        </w:rPr>
      </w:pPr>
      <w:r>
        <w:rPr>
          <w:rFonts w:hint="eastAsia"/>
          <w:color w:val="auto"/>
          <w:highlight w:val="none"/>
          <w:u w:val="none"/>
          <w:lang w:val="en-US"/>
        </w:rPr>
        <w:t>大气环境风险影响预测因子：光气、氯化氢、氯气、一氧化碳、硝酸、ODCB（邻二氯苯）、DNT（二硝基甲苯）。</w:t>
      </w:r>
    </w:p>
    <w:p w14:paraId="52D7B11C">
      <w:pPr>
        <w:rPr>
          <w:rFonts w:hint="eastAsia"/>
          <w:color w:val="auto"/>
          <w:highlight w:val="none"/>
          <w:u w:val="none"/>
          <w:lang w:val="en-US"/>
        </w:rPr>
      </w:pPr>
      <w:r>
        <w:rPr>
          <w:rFonts w:hint="eastAsia"/>
          <w:color w:val="auto"/>
          <w:highlight w:val="none"/>
          <w:u w:val="none"/>
          <w:lang w:val="en-US"/>
        </w:rPr>
        <w:t>地下水环境风险影响预测因子：ODCB（邻二氯苯）、DNT（二硝基甲苯）</w:t>
      </w:r>
      <w:r>
        <w:rPr>
          <w:rFonts w:hint="eastAsia"/>
          <w:color w:val="auto"/>
          <w:highlight w:val="none"/>
          <w:u w:val="none"/>
        </w:rPr>
        <w:t>。</w:t>
      </w:r>
    </w:p>
    <w:p w14:paraId="37B2685F">
      <w:pPr>
        <w:rPr>
          <w:rFonts w:hint="eastAsia"/>
          <w:bCs/>
          <w:color w:val="auto"/>
          <w:highlight w:val="none"/>
          <w:u w:val="none"/>
        </w:rPr>
      </w:pPr>
      <w:r>
        <w:rPr>
          <w:color w:val="auto"/>
          <w:highlight w:val="none"/>
          <w:u w:val="none"/>
        </w:rPr>
        <w:t>根据环境影响识别结果，本项目评价因子筛选结果见</w:t>
      </w:r>
      <w:r>
        <w:rPr>
          <w:bCs/>
          <w:color w:val="auto"/>
          <w:highlight w:val="none"/>
          <w:u w:val="none"/>
        </w:rPr>
        <w:fldChar w:fldCharType="begin"/>
      </w:r>
      <w:r>
        <w:rPr>
          <w:color w:val="auto"/>
          <w:highlight w:val="none"/>
          <w:u w:val="none"/>
        </w:rPr>
        <w:instrText xml:space="preserve"> REF _Ref49886274 \h  \* MERGEFORMAT </w:instrText>
      </w:r>
      <w:r>
        <w:rPr>
          <w:bCs/>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2.2</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2</w:t>
      </w:r>
      <w:r>
        <w:rPr>
          <w:bCs/>
          <w:color w:val="auto"/>
          <w:highlight w:val="none"/>
          <w:u w:val="none"/>
        </w:rPr>
        <w:fldChar w:fldCharType="end"/>
      </w:r>
      <w:r>
        <w:rPr>
          <w:color w:val="auto"/>
          <w:highlight w:val="none"/>
          <w:u w:val="none"/>
        </w:rPr>
        <w:t>。</w:t>
      </w:r>
    </w:p>
    <w:p w14:paraId="525ADF40">
      <w:pPr>
        <w:pStyle w:val="85"/>
        <w:rPr>
          <w:color w:val="auto"/>
          <w:highlight w:val="none"/>
          <w:u w:val="none"/>
        </w:rPr>
      </w:pPr>
      <w:bookmarkStart w:id="66" w:name="_Ref49886274"/>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w:t>
      </w:r>
      <w:r>
        <w:rPr>
          <w:color w:val="auto"/>
          <w:highlight w:val="none"/>
          <w:u w:val="none"/>
        </w:rPr>
        <w:fldChar w:fldCharType="end"/>
      </w:r>
      <w:bookmarkEnd w:id="66"/>
      <w:r>
        <w:rPr>
          <w:color w:val="auto"/>
          <w:highlight w:val="none"/>
          <w:u w:val="none"/>
        </w:rPr>
        <w:t xml:space="preserve">  </w:t>
      </w:r>
      <w:r>
        <w:rPr>
          <w:rFonts w:hint="eastAsia"/>
          <w:color w:val="auto"/>
          <w:highlight w:val="none"/>
          <w:u w:val="none"/>
        </w:rPr>
        <w:t>项目评价因子筛选结果一览表</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8"/>
        <w:gridCol w:w="476"/>
        <w:gridCol w:w="2118"/>
        <w:gridCol w:w="5964"/>
      </w:tblGrid>
      <w:tr w14:paraId="23C43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92" w:type="pct"/>
            <w:shd w:val="clear" w:color="auto" w:fill="auto"/>
            <w:vAlign w:val="center"/>
          </w:tcPr>
          <w:p w14:paraId="033372D2">
            <w:pPr>
              <w:pStyle w:val="92"/>
              <w:rPr>
                <w:bCs/>
                <w:color w:val="auto"/>
                <w:highlight w:val="none"/>
                <w:u w:val="none"/>
              </w:rPr>
            </w:pPr>
            <w:r>
              <w:rPr>
                <w:color w:val="auto"/>
                <w:highlight w:val="none"/>
                <w:u w:val="none"/>
              </w:rPr>
              <w:t>类别</w:t>
            </w:r>
          </w:p>
        </w:tc>
        <w:tc>
          <w:tcPr>
            <w:tcW w:w="1396" w:type="pct"/>
            <w:gridSpan w:val="2"/>
            <w:shd w:val="clear" w:color="auto" w:fill="auto"/>
            <w:vAlign w:val="center"/>
          </w:tcPr>
          <w:p w14:paraId="67C88A39">
            <w:pPr>
              <w:pStyle w:val="92"/>
              <w:rPr>
                <w:bCs/>
                <w:color w:val="auto"/>
                <w:highlight w:val="none"/>
                <w:u w:val="none"/>
              </w:rPr>
            </w:pPr>
            <w:r>
              <w:rPr>
                <w:rFonts w:hint="eastAsia"/>
                <w:color w:val="auto"/>
                <w:highlight w:val="none"/>
                <w:u w:val="none"/>
              </w:rPr>
              <w:t>环境</w:t>
            </w:r>
            <w:r>
              <w:rPr>
                <w:color w:val="auto"/>
                <w:highlight w:val="none"/>
                <w:u w:val="none"/>
              </w:rPr>
              <w:t>要素</w:t>
            </w:r>
          </w:p>
        </w:tc>
        <w:tc>
          <w:tcPr>
            <w:tcW w:w="3210" w:type="pct"/>
            <w:shd w:val="clear" w:color="auto" w:fill="auto"/>
            <w:vAlign w:val="center"/>
          </w:tcPr>
          <w:p w14:paraId="136BA5CC">
            <w:pPr>
              <w:pStyle w:val="92"/>
              <w:rPr>
                <w:bCs/>
                <w:color w:val="auto"/>
                <w:highlight w:val="none"/>
                <w:u w:val="none"/>
              </w:rPr>
            </w:pPr>
            <w:r>
              <w:rPr>
                <w:rFonts w:hint="eastAsia"/>
                <w:color w:val="auto"/>
                <w:highlight w:val="none"/>
                <w:u w:val="none"/>
              </w:rPr>
              <w:t>评价</w:t>
            </w:r>
            <w:r>
              <w:rPr>
                <w:color w:val="auto"/>
                <w:highlight w:val="none"/>
                <w:u w:val="none"/>
              </w:rPr>
              <w:t>因子</w:t>
            </w:r>
          </w:p>
        </w:tc>
      </w:tr>
      <w:tr w14:paraId="2F5396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restart"/>
            <w:shd w:val="clear" w:color="auto" w:fill="auto"/>
            <w:vAlign w:val="center"/>
          </w:tcPr>
          <w:p w14:paraId="3A2F8180">
            <w:pPr>
              <w:pStyle w:val="92"/>
              <w:rPr>
                <w:bCs/>
                <w:color w:val="auto"/>
                <w:highlight w:val="none"/>
                <w:u w:val="none"/>
              </w:rPr>
            </w:pPr>
            <w:r>
              <w:rPr>
                <w:color w:val="auto"/>
                <w:highlight w:val="none"/>
                <w:u w:val="none"/>
              </w:rPr>
              <w:t>环境质量现状评价</w:t>
            </w:r>
          </w:p>
        </w:tc>
        <w:tc>
          <w:tcPr>
            <w:tcW w:w="1396" w:type="pct"/>
            <w:gridSpan w:val="2"/>
            <w:shd w:val="clear" w:color="auto" w:fill="auto"/>
            <w:vAlign w:val="center"/>
          </w:tcPr>
          <w:p w14:paraId="4B87DD52">
            <w:pPr>
              <w:pStyle w:val="92"/>
              <w:rPr>
                <w:bCs/>
                <w:color w:val="auto"/>
                <w:highlight w:val="none"/>
                <w:u w:val="none"/>
              </w:rPr>
            </w:pPr>
            <w:r>
              <w:rPr>
                <w:color w:val="auto"/>
                <w:highlight w:val="none"/>
                <w:u w:val="none"/>
              </w:rPr>
              <w:t>环境空气质量现状</w:t>
            </w:r>
          </w:p>
        </w:tc>
        <w:tc>
          <w:tcPr>
            <w:tcW w:w="3210" w:type="pct"/>
            <w:shd w:val="clear" w:color="auto" w:fill="auto"/>
            <w:vAlign w:val="center"/>
          </w:tcPr>
          <w:p w14:paraId="36427A1E">
            <w:pPr>
              <w:pStyle w:val="92"/>
              <w:jc w:val="left"/>
              <w:rPr>
                <w:bCs/>
                <w:color w:val="auto"/>
                <w:highlight w:val="none"/>
                <w:u w:val="none"/>
              </w:rPr>
            </w:pPr>
            <w:r>
              <w:rPr>
                <w:rFonts w:hint="eastAsia"/>
                <w:color w:val="auto"/>
                <w:highlight w:val="none"/>
                <w:u w:val="none"/>
              </w:rPr>
              <w:t>SO</w:t>
            </w:r>
            <w:r>
              <w:rPr>
                <w:color w:val="auto"/>
                <w:highlight w:val="none"/>
                <w:u w:val="none"/>
                <w:vertAlign w:val="subscript"/>
              </w:rPr>
              <w:t>2</w:t>
            </w:r>
            <w:r>
              <w:rPr>
                <w:rFonts w:hint="eastAsia"/>
                <w:color w:val="auto"/>
                <w:highlight w:val="none"/>
                <w:u w:val="none"/>
              </w:rPr>
              <w:t>、NO</w:t>
            </w:r>
            <w:r>
              <w:rPr>
                <w:color w:val="auto"/>
                <w:highlight w:val="none"/>
                <w:u w:val="none"/>
                <w:vertAlign w:val="subscript"/>
              </w:rPr>
              <w:t>2</w:t>
            </w:r>
            <w:r>
              <w:rPr>
                <w:rFonts w:hint="eastAsia"/>
                <w:color w:val="auto"/>
                <w:highlight w:val="none"/>
                <w:u w:val="none"/>
              </w:rPr>
              <w:t>、PM</w:t>
            </w:r>
            <w:r>
              <w:rPr>
                <w:color w:val="auto"/>
                <w:highlight w:val="none"/>
                <w:u w:val="none"/>
                <w:vertAlign w:val="subscript"/>
              </w:rPr>
              <w:t>10</w:t>
            </w:r>
            <w:r>
              <w:rPr>
                <w:rFonts w:hint="eastAsia"/>
                <w:color w:val="auto"/>
                <w:highlight w:val="none"/>
                <w:u w:val="none"/>
              </w:rPr>
              <w:t>、PM</w:t>
            </w:r>
            <w:r>
              <w:rPr>
                <w:rFonts w:hint="eastAsia"/>
                <w:color w:val="auto"/>
                <w:highlight w:val="none"/>
                <w:u w:val="none"/>
                <w:vertAlign w:val="subscript"/>
              </w:rPr>
              <w:t>2.5</w:t>
            </w:r>
            <w:r>
              <w:rPr>
                <w:rFonts w:hint="eastAsia"/>
                <w:color w:val="auto"/>
                <w:highlight w:val="none"/>
                <w:u w:val="none"/>
              </w:rPr>
              <w:t>、CO、O</w:t>
            </w:r>
            <w:r>
              <w:rPr>
                <w:color w:val="auto"/>
                <w:highlight w:val="none"/>
                <w:u w:val="none"/>
                <w:vertAlign w:val="subscript"/>
              </w:rPr>
              <w:t>3</w:t>
            </w:r>
            <w:r>
              <w:rPr>
                <w:rFonts w:hint="eastAsia"/>
                <w:color w:val="auto"/>
                <w:highlight w:val="none"/>
                <w:u w:val="none"/>
              </w:rPr>
              <w:t>、光气、氯气、氯化氢、NMHC、</w:t>
            </w:r>
            <w:r>
              <w:rPr>
                <w:rStyle w:val="70"/>
                <w:rFonts w:hint="eastAsia" w:hAnsi="宋体"/>
                <w:color w:val="auto"/>
                <w:kern w:val="0"/>
                <w:highlight w:val="none"/>
                <w:u w:val="none"/>
              </w:rPr>
              <w:t>T</w:t>
            </w:r>
            <w:r>
              <w:rPr>
                <w:rFonts w:hint="eastAsia"/>
                <w:color w:val="auto"/>
                <w:highlight w:val="none"/>
                <w:u w:val="none"/>
              </w:rPr>
              <w:t>VOC、氨、硫化氢、甲苯、硝基苯、苯胺、氯苯、</w:t>
            </w:r>
            <w:r>
              <w:rPr>
                <w:color w:val="auto"/>
                <w:highlight w:val="none"/>
                <w:u w:val="none"/>
              </w:rPr>
              <w:t>TDI</w:t>
            </w:r>
          </w:p>
        </w:tc>
      </w:tr>
      <w:tr w14:paraId="7EF5CD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34D0289B">
            <w:pPr>
              <w:pStyle w:val="92"/>
              <w:rPr>
                <w:bCs/>
                <w:color w:val="auto"/>
                <w:highlight w:val="none"/>
                <w:u w:val="none"/>
              </w:rPr>
            </w:pPr>
          </w:p>
        </w:tc>
        <w:tc>
          <w:tcPr>
            <w:tcW w:w="1396" w:type="pct"/>
            <w:gridSpan w:val="2"/>
            <w:shd w:val="clear" w:color="auto" w:fill="auto"/>
            <w:vAlign w:val="center"/>
          </w:tcPr>
          <w:p w14:paraId="30B2873E">
            <w:pPr>
              <w:pStyle w:val="92"/>
              <w:rPr>
                <w:bCs/>
                <w:color w:val="auto"/>
                <w:highlight w:val="none"/>
                <w:u w:val="none"/>
              </w:rPr>
            </w:pPr>
            <w:r>
              <w:rPr>
                <w:rFonts w:hint="eastAsia"/>
                <w:color w:val="auto"/>
                <w:highlight w:val="none"/>
                <w:u w:val="none"/>
              </w:rPr>
              <w:t>海水环境</w:t>
            </w:r>
            <w:r>
              <w:rPr>
                <w:color w:val="auto"/>
                <w:highlight w:val="none"/>
                <w:u w:val="none"/>
              </w:rPr>
              <w:t>质量现状</w:t>
            </w:r>
          </w:p>
        </w:tc>
        <w:tc>
          <w:tcPr>
            <w:tcW w:w="3210" w:type="pct"/>
            <w:shd w:val="clear" w:color="auto" w:fill="auto"/>
            <w:vAlign w:val="center"/>
          </w:tcPr>
          <w:p w14:paraId="4BFB338F">
            <w:pPr>
              <w:pStyle w:val="92"/>
              <w:jc w:val="left"/>
              <w:rPr>
                <w:bCs/>
                <w:color w:val="auto"/>
                <w:highlight w:val="none"/>
                <w:u w:val="none"/>
              </w:rPr>
            </w:pPr>
            <w:r>
              <w:rPr>
                <w:bCs/>
                <w:color w:val="auto"/>
                <w:highlight w:val="none"/>
                <w:u w:val="none"/>
              </w:rPr>
              <w:t>水温、溶解氧、pH值、悬浮物、化学需氧量、生化需氧量、</w:t>
            </w:r>
            <w:r>
              <w:rPr>
                <w:rFonts w:hint="eastAsia"/>
                <w:bCs/>
                <w:color w:val="auto"/>
                <w:highlight w:val="none"/>
                <w:u w:val="none"/>
              </w:rPr>
              <w:t>汞、铬、砷、油类、镉</w:t>
            </w:r>
            <w:r>
              <w:rPr>
                <w:bCs/>
                <w:color w:val="auto"/>
                <w:highlight w:val="none"/>
                <w:u w:val="none"/>
              </w:rPr>
              <w:t>、镍、铅、铜、锌、</w:t>
            </w:r>
            <w:r>
              <w:rPr>
                <w:rFonts w:hint="eastAsia"/>
                <w:bCs/>
                <w:color w:val="auto"/>
                <w:highlight w:val="none"/>
                <w:u w:val="none"/>
              </w:rPr>
              <w:t>粪大肠菌群、</w:t>
            </w:r>
            <w:r>
              <w:rPr>
                <w:bCs/>
                <w:color w:val="auto"/>
                <w:highlight w:val="none"/>
                <w:u w:val="none"/>
              </w:rPr>
              <w:t>硫化物、挥发酚、盐度、无机氮、四氯化碳、苯、活性磷酸盐、二氯甲烷、1,2-二氯苯（邻二氯苯）、2,4-二硝基甲苯、2,4,6-三硝基甲苯、苯胺、对二硝基苯、对硝基甲苯、对硝基氯苯、间二硝基苯、间硝基甲苯、间硝基甲苯、邻二硝基苯、邻硝基甲苯、邻硝基氯苯、硝基苯</w:t>
            </w:r>
          </w:p>
        </w:tc>
      </w:tr>
      <w:tr w14:paraId="3E8A26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36CE8FC5">
            <w:pPr>
              <w:pStyle w:val="92"/>
              <w:rPr>
                <w:bCs/>
                <w:color w:val="auto"/>
                <w:highlight w:val="none"/>
                <w:u w:val="none"/>
              </w:rPr>
            </w:pPr>
          </w:p>
        </w:tc>
        <w:tc>
          <w:tcPr>
            <w:tcW w:w="1396" w:type="pct"/>
            <w:gridSpan w:val="2"/>
            <w:shd w:val="clear" w:color="auto" w:fill="auto"/>
            <w:vAlign w:val="center"/>
          </w:tcPr>
          <w:p w14:paraId="2D6E5BD9">
            <w:pPr>
              <w:pStyle w:val="92"/>
              <w:rPr>
                <w:color w:val="auto"/>
                <w:highlight w:val="none"/>
                <w:u w:val="none"/>
              </w:rPr>
            </w:pPr>
            <w:r>
              <w:rPr>
                <w:rFonts w:hint="eastAsia"/>
                <w:color w:val="auto"/>
                <w:highlight w:val="none"/>
                <w:u w:val="none"/>
              </w:rPr>
              <w:t>海洋沉积物</w:t>
            </w:r>
          </w:p>
        </w:tc>
        <w:tc>
          <w:tcPr>
            <w:tcW w:w="3210" w:type="pct"/>
            <w:shd w:val="clear" w:color="auto" w:fill="auto"/>
            <w:vAlign w:val="center"/>
          </w:tcPr>
          <w:p w14:paraId="7DC66128">
            <w:pPr>
              <w:pStyle w:val="92"/>
              <w:jc w:val="left"/>
              <w:rPr>
                <w:color w:val="auto"/>
                <w:highlight w:val="none"/>
                <w:u w:val="none"/>
              </w:rPr>
            </w:pPr>
            <w:r>
              <w:rPr>
                <w:rFonts w:hint="eastAsia"/>
                <w:bCs/>
                <w:color w:val="auto"/>
                <w:highlight w:val="none"/>
                <w:u w:val="none"/>
              </w:rPr>
              <w:t>总汞、</w:t>
            </w:r>
            <w:r>
              <w:rPr>
                <w:bCs/>
                <w:color w:val="auto"/>
                <w:highlight w:val="none"/>
                <w:u w:val="none"/>
              </w:rPr>
              <w:t>铜、铅、镉、锌、铬、砷、石油类、硫化物、有机碳、苯、氯苯、苯胺、硝基苯、含水率、氧化还原电位</w:t>
            </w:r>
          </w:p>
        </w:tc>
      </w:tr>
      <w:tr w14:paraId="06187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54FD9141">
            <w:pPr>
              <w:pStyle w:val="92"/>
              <w:rPr>
                <w:bCs/>
                <w:color w:val="auto"/>
                <w:highlight w:val="none"/>
                <w:u w:val="none"/>
              </w:rPr>
            </w:pPr>
          </w:p>
        </w:tc>
        <w:tc>
          <w:tcPr>
            <w:tcW w:w="1396" w:type="pct"/>
            <w:gridSpan w:val="2"/>
            <w:shd w:val="clear" w:color="auto" w:fill="auto"/>
            <w:vAlign w:val="center"/>
          </w:tcPr>
          <w:p w14:paraId="1EBA4DF8">
            <w:pPr>
              <w:pStyle w:val="92"/>
              <w:rPr>
                <w:bCs/>
                <w:color w:val="auto"/>
                <w:highlight w:val="none"/>
                <w:u w:val="none"/>
              </w:rPr>
            </w:pPr>
            <w:r>
              <w:rPr>
                <w:color w:val="auto"/>
                <w:highlight w:val="none"/>
                <w:u w:val="none"/>
              </w:rPr>
              <w:t>地下水环境质量现状</w:t>
            </w:r>
          </w:p>
        </w:tc>
        <w:tc>
          <w:tcPr>
            <w:tcW w:w="3210" w:type="pct"/>
            <w:shd w:val="clear" w:color="auto" w:fill="auto"/>
            <w:vAlign w:val="center"/>
          </w:tcPr>
          <w:p w14:paraId="6C4DF763">
            <w:pPr>
              <w:pStyle w:val="92"/>
              <w:jc w:val="left"/>
              <w:rPr>
                <w:bCs/>
                <w:color w:val="auto"/>
                <w:highlight w:val="none"/>
                <w:u w:val="none"/>
              </w:rPr>
            </w:pPr>
            <w:r>
              <w:rPr>
                <w:rFonts w:hint="eastAsia"/>
                <w:color w:val="auto"/>
                <w:highlight w:val="none"/>
                <w:u w:val="none"/>
              </w:rPr>
              <w:t>水位、</w:t>
            </w:r>
            <w:r>
              <w:rPr>
                <w:color w:val="auto"/>
                <w:highlight w:val="none"/>
                <w:u w:val="none"/>
              </w:rPr>
              <w:t>pH、K</w:t>
            </w:r>
            <w:r>
              <w:rPr>
                <w:color w:val="auto"/>
                <w:highlight w:val="none"/>
                <w:u w:val="none"/>
                <w:vertAlign w:val="superscript"/>
              </w:rPr>
              <w:t>+</w:t>
            </w:r>
            <w:r>
              <w:rPr>
                <w:rFonts w:hint="eastAsia"/>
                <w:color w:val="auto"/>
                <w:highlight w:val="none"/>
                <w:u w:val="none"/>
              </w:rPr>
              <w:t>、</w:t>
            </w:r>
            <w:r>
              <w:rPr>
                <w:color w:val="auto"/>
                <w:highlight w:val="none"/>
                <w:u w:val="none"/>
              </w:rPr>
              <w:t>Na</w:t>
            </w:r>
            <w:r>
              <w:rPr>
                <w:color w:val="auto"/>
                <w:highlight w:val="none"/>
                <w:u w:val="none"/>
                <w:vertAlign w:val="superscript"/>
              </w:rPr>
              <w:t>+</w:t>
            </w:r>
            <w:r>
              <w:rPr>
                <w:color w:val="auto"/>
                <w:highlight w:val="none"/>
                <w:u w:val="none"/>
              </w:rPr>
              <w:t>、Ca</w:t>
            </w:r>
            <w:r>
              <w:rPr>
                <w:color w:val="auto"/>
                <w:highlight w:val="none"/>
                <w:u w:val="none"/>
                <w:vertAlign w:val="superscript"/>
              </w:rPr>
              <w:t>2+</w:t>
            </w:r>
            <w:r>
              <w:rPr>
                <w:color w:val="auto"/>
                <w:highlight w:val="none"/>
                <w:u w:val="none"/>
              </w:rPr>
              <w:t>、Mg</w:t>
            </w:r>
            <w:r>
              <w:rPr>
                <w:color w:val="auto"/>
                <w:highlight w:val="none"/>
                <w:u w:val="none"/>
                <w:vertAlign w:val="superscript"/>
              </w:rPr>
              <w:t>2+</w:t>
            </w:r>
            <w:r>
              <w:rPr>
                <w:color w:val="auto"/>
                <w:highlight w:val="none"/>
                <w:u w:val="none"/>
              </w:rPr>
              <w:t>、CO</w:t>
            </w:r>
            <w:r>
              <w:rPr>
                <w:color w:val="auto"/>
                <w:highlight w:val="none"/>
                <w:u w:val="none"/>
                <w:vertAlign w:val="subscript"/>
              </w:rPr>
              <w:t>3</w:t>
            </w:r>
            <w:r>
              <w:rPr>
                <w:color w:val="auto"/>
                <w:highlight w:val="none"/>
                <w:u w:val="none"/>
                <w:vertAlign w:val="superscript"/>
              </w:rPr>
              <w:t>2-</w:t>
            </w:r>
            <w:r>
              <w:rPr>
                <w:color w:val="auto"/>
                <w:highlight w:val="none"/>
                <w:u w:val="none"/>
              </w:rPr>
              <w:t>、HCO</w:t>
            </w:r>
            <w:r>
              <w:rPr>
                <w:color w:val="auto"/>
                <w:highlight w:val="none"/>
                <w:u w:val="none"/>
                <w:vertAlign w:val="superscript"/>
              </w:rPr>
              <w:t>3-</w:t>
            </w:r>
            <w:r>
              <w:rPr>
                <w:color w:val="auto"/>
                <w:highlight w:val="none"/>
                <w:u w:val="none"/>
              </w:rPr>
              <w:t>、Cl-、SO</w:t>
            </w:r>
            <w:r>
              <w:rPr>
                <w:color w:val="auto"/>
                <w:highlight w:val="none"/>
                <w:u w:val="none"/>
                <w:vertAlign w:val="subscript"/>
              </w:rPr>
              <w:t>4</w:t>
            </w:r>
            <w:r>
              <w:rPr>
                <w:color w:val="auto"/>
                <w:highlight w:val="none"/>
                <w:u w:val="none"/>
                <w:vertAlign w:val="superscript"/>
              </w:rPr>
              <w:t>2-</w:t>
            </w:r>
            <w:r>
              <w:rPr>
                <w:rFonts w:hint="eastAsia"/>
                <w:color w:val="auto"/>
                <w:highlight w:val="none"/>
                <w:u w:val="none"/>
              </w:rPr>
              <w:t>、氨氮、硝酸盐、亚硝酸盐、挥发性酚类、氰化物、砷、汞、铬（</w:t>
            </w:r>
            <w:r>
              <w:rPr>
                <w:color w:val="auto"/>
                <w:highlight w:val="none"/>
                <w:u w:val="none"/>
              </w:rPr>
              <w:t>六价</w:t>
            </w:r>
            <w:r>
              <w:rPr>
                <w:rFonts w:hint="eastAsia"/>
                <w:color w:val="auto"/>
                <w:highlight w:val="none"/>
                <w:u w:val="none"/>
              </w:rPr>
              <w:t>）</w:t>
            </w:r>
            <w:r>
              <w:rPr>
                <w:color w:val="auto"/>
                <w:highlight w:val="none"/>
                <w:u w:val="none"/>
              </w:rPr>
              <w:t>、总硬度、铅、氟、镉、铁、锰、溶解性总固体、耗氧量（高锰酸盐指数）、硫酸</w:t>
            </w:r>
            <w:r>
              <w:rPr>
                <w:rFonts w:hint="eastAsia"/>
                <w:color w:val="auto"/>
                <w:highlight w:val="none"/>
                <w:u w:val="none"/>
              </w:rPr>
              <w:t>盐、氯化物、邻二氯苯、2,</w:t>
            </w:r>
            <w:r>
              <w:rPr>
                <w:color w:val="auto"/>
                <w:highlight w:val="none"/>
                <w:u w:val="none"/>
              </w:rPr>
              <w:t>4-</w:t>
            </w:r>
            <w:r>
              <w:rPr>
                <w:rFonts w:hint="eastAsia"/>
                <w:color w:val="auto"/>
                <w:highlight w:val="none"/>
                <w:u w:val="none"/>
              </w:rPr>
              <w:t>二硝基甲苯、2,</w:t>
            </w:r>
            <w:r>
              <w:rPr>
                <w:color w:val="auto"/>
                <w:highlight w:val="none"/>
                <w:u w:val="none"/>
              </w:rPr>
              <w:t>6-</w:t>
            </w:r>
            <w:r>
              <w:rPr>
                <w:rFonts w:hint="eastAsia"/>
                <w:color w:val="auto"/>
                <w:highlight w:val="none"/>
                <w:u w:val="none"/>
              </w:rPr>
              <w:t>二硝基甲苯、甲苯</w:t>
            </w:r>
          </w:p>
        </w:tc>
      </w:tr>
      <w:tr w14:paraId="13370A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73C2FB9D">
            <w:pPr>
              <w:pStyle w:val="92"/>
              <w:rPr>
                <w:bCs/>
                <w:color w:val="auto"/>
                <w:highlight w:val="none"/>
                <w:u w:val="none"/>
              </w:rPr>
            </w:pPr>
          </w:p>
        </w:tc>
        <w:tc>
          <w:tcPr>
            <w:tcW w:w="1396" w:type="pct"/>
            <w:gridSpan w:val="2"/>
            <w:shd w:val="clear" w:color="auto" w:fill="auto"/>
            <w:vAlign w:val="center"/>
          </w:tcPr>
          <w:p w14:paraId="1A3BB544">
            <w:pPr>
              <w:pStyle w:val="92"/>
              <w:rPr>
                <w:bCs/>
                <w:color w:val="auto"/>
                <w:highlight w:val="none"/>
                <w:u w:val="none"/>
              </w:rPr>
            </w:pPr>
            <w:r>
              <w:rPr>
                <w:color w:val="auto"/>
                <w:highlight w:val="none"/>
                <w:u w:val="none"/>
              </w:rPr>
              <w:t>声环境质量现状</w:t>
            </w:r>
          </w:p>
        </w:tc>
        <w:tc>
          <w:tcPr>
            <w:tcW w:w="3210" w:type="pct"/>
            <w:shd w:val="clear" w:color="auto" w:fill="auto"/>
            <w:vAlign w:val="center"/>
          </w:tcPr>
          <w:p w14:paraId="7FA5B5A9">
            <w:pPr>
              <w:pStyle w:val="92"/>
              <w:rPr>
                <w:bCs/>
                <w:color w:val="auto"/>
                <w:highlight w:val="none"/>
                <w:u w:val="none"/>
              </w:rPr>
            </w:pPr>
            <w:r>
              <w:rPr>
                <w:color w:val="auto"/>
                <w:highlight w:val="none"/>
                <w:u w:val="none"/>
              </w:rPr>
              <w:t>等效连续A声级</w:t>
            </w:r>
          </w:p>
        </w:tc>
      </w:tr>
      <w:tr w14:paraId="60C1C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41AB3416">
            <w:pPr>
              <w:pStyle w:val="92"/>
              <w:rPr>
                <w:bCs/>
                <w:color w:val="auto"/>
                <w:highlight w:val="none"/>
                <w:u w:val="none"/>
              </w:rPr>
            </w:pPr>
          </w:p>
        </w:tc>
        <w:tc>
          <w:tcPr>
            <w:tcW w:w="1396" w:type="pct"/>
            <w:gridSpan w:val="2"/>
            <w:shd w:val="clear" w:color="auto" w:fill="auto"/>
            <w:vAlign w:val="center"/>
          </w:tcPr>
          <w:p w14:paraId="5FFA11D9">
            <w:pPr>
              <w:pStyle w:val="92"/>
              <w:rPr>
                <w:bCs/>
                <w:color w:val="auto"/>
                <w:highlight w:val="none"/>
                <w:u w:val="none"/>
              </w:rPr>
            </w:pPr>
            <w:r>
              <w:rPr>
                <w:color w:val="auto"/>
                <w:highlight w:val="none"/>
                <w:u w:val="none"/>
              </w:rPr>
              <w:t>土壤环境质量现状</w:t>
            </w:r>
          </w:p>
        </w:tc>
        <w:tc>
          <w:tcPr>
            <w:tcW w:w="3210" w:type="pct"/>
            <w:shd w:val="clear" w:color="auto" w:fill="auto"/>
            <w:vAlign w:val="center"/>
          </w:tcPr>
          <w:p w14:paraId="178B9437">
            <w:pPr>
              <w:pStyle w:val="92"/>
              <w:jc w:val="left"/>
              <w:rPr>
                <w:color w:val="auto"/>
                <w:highlight w:val="none"/>
                <w:u w:val="none"/>
              </w:rPr>
            </w:pPr>
            <w:r>
              <w:rPr>
                <w:color w:val="auto"/>
                <w:highlight w:val="none"/>
                <w:u w:val="none"/>
              </w:rPr>
              <w:t>砷、镉、铬（六价</w:t>
            </w:r>
            <w:r>
              <w:rPr>
                <w:rFonts w:hint="eastAsia"/>
                <w:color w:val="auto"/>
                <w:highlight w:val="none"/>
                <w:u w:val="none"/>
              </w:rPr>
              <w:t>）</w:t>
            </w:r>
            <w:r>
              <w:rPr>
                <w:color w:val="auto"/>
                <w:highlight w:val="none"/>
                <w:u w:val="none"/>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茆并[1,2,3-cd]芘、萘</w:t>
            </w:r>
            <w:r>
              <w:rPr>
                <w:rFonts w:hint="eastAsia"/>
                <w:color w:val="auto"/>
                <w:highlight w:val="none"/>
                <w:u w:val="none"/>
              </w:rPr>
              <w:t>、2,</w:t>
            </w:r>
            <w:r>
              <w:rPr>
                <w:color w:val="auto"/>
                <w:highlight w:val="none"/>
                <w:u w:val="none"/>
              </w:rPr>
              <w:t>4-</w:t>
            </w:r>
            <w:r>
              <w:rPr>
                <w:rFonts w:hint="eastAsia"/>
                <w:color w:val="auto"/>
                <w:highlight w:val="none"/>
                <w:u w:val="none"/>
              </w:rPr>
              <w:t>二硝基甲苯</w:t>
            </w:r>
          </w:p>
        </w:tc>
      </w:tr>
      <w:tr w14:paraId="498BDD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restart"/>
            <w:shd w:val="clear" w:color="auto" w:fill="auto"/>
            <w:vAlign w:val="center"/>
          </w:tcPr>
          <w:p w14:paraId="05325A76">
            <w:pPr>
              <w:pStyle w:val="92"/>
              <w:rPr>
                <w:bCs/>
                <w:color w:val="auto"/>
                <w:highlight w:val="none"/>
                <w:u w:val="none"/>
              </w:rPr>
            </w:pPr>
            <w:r>
              <w:rPr>
                <w:color w:val="auto"/>
                <w:highlight w:val="none"/>
                <w:u w:val="none"/>
              </w:rPr>
              <w:t>环境影响预测与评价</w:t>
            </w:r>
          </w:p>
        </w:tc>
        <w:tc>
          <w:tcPr>
            <w:tcW w:w="256" w:type="pct"/>
            <w:vMerge w:val="restart"/>
            <w:shd w:val="clear" w:color="auto" w:fill="auto"/>
            <w:vAlign w:val="center"/>
          </w:tcPr>
          <w:p w14:paraId="77C50D12">
            <w:pPr>
              <w:pStyle w:val="92"/>
              <w:rPr>
                <w:bCs/>
                <w:color w:val="auto"/>
                <w:highlight w:val="none"/>
                <w:u w:val="none"/>
              </w:rPr>
            </w:pPr>
            <w:r>
              <w:rPr>
                <w:color w:val="auto"/>
                <w:highlight w:val="none"/>
                <w:u w:val="none"/>
              </w:rPr>
              <w:t>营运期</w:t>
            </w:r>
          </w:p>
        </w:tc>
        <w:tc>
          <w:tcPr>
            <w:tcW w:w="1140" w:type="pct"/>
            <w:shd w:val="clear" w:color="auto" w:fill="auto"/>
            <w:vAlign w:val="center"/>
          </w:tcPr>
          <w:p w14:paraId="5D93722F">
            <w:pPr>
              <w:pStyle w:val="92"/>
              <w:rPr>
                <w:bCs/>
                <w:color w:val="auto"/>
                <w:highlight w:val="none"/>
                <w:u w:val="none"/>
              </w:rPr>
            </w:pPr>
            <w:r>
              <w:rPr>
                <w:color w:val="auto"/>
                <w:highlight w:val="none"/>
                <w:u w:val="none"/>
              </w:rPr>
              <w:t>环境空气影响预测与评价</w:t>
            </w:r>
          </w:p>
        </w:tc>
        <w:tc>
          <w:tcPr>
            <w:tcW w:w="3210" w:type="pct"/>
            <w:shd w:val="clear" w:color="auto" w:fill="auto"/>
            <w:vAlign w:val="center"/>
          </w:tcPr>
          <w:p w14:paraId="7C905EA5">
            <w:pPr>
              <w:pStyle w:val="92"/>
              <w:rPr>
                <w:bCs/>
                <w:color w:val="auto"/>
                <w:highlight w:val="none"/>
                <w:u w:val="none"/>
              </w:rPr>
            </w:pPr>
            <w:r>
              <w:rPr>
                <w:color w:val="auto"/>
                <w:highlight w:val="none"/>
                <w:u w:val="none"/>
              </w:rPr>
              <w:t>NMHC、邻二氯苯</w:t>
            </w:r>
            <w:r>
              <w:rPr>
                <w:rFonts w:hint="eastAsia"/>
                <w:color w:val="auto"/>
                <w:highlight w:val="none"/>
                <w:u w:val="none"/>
              </w:rPr>
              <w:t>（ODCB）</w:t>
            </w:r>
            <w:r>
              <w:rPr>
                <w:color w:val="auto"/>
                <w:highlight w:val="none"/>
                <w:u w:val="none"/>
              </w:rPr>
              <w:t>、DNT、TDA、氯化氢、甲苯、氯气、光气</w:t>
            </w:r>
          </w:p>
        </w:tc>
      </w:tr>
      <w:tr w14:paraId="04A07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15BE21A4">
            <w:pPr>
              <w:pStyle w:val="92"/>
              <w:rPr>
                <w:bCs/>
                <w:color w:val="auto"/>
                <w:highlight w:val="none"/>
                <w:u w:val="none"/>
              </w:rPr>
            </w:pPr>
          </w:p>
        </w:tc>
        <w:tc>
          <w:tcPr>
            <w:tcW w:w="256" w:type="pct"/>
            <w:vMerge w:val="continue"/>
            <w:shd w:val="clear" w:color="auto" w:fill="auto"/>
            <w:vAlign w:val="center"/>
          </w:tcPr>
          <w:p w14:paraId="3A1D60C1">
            <w:pPr>
              <w:pStyle w:val="92"/>
              <w:rPr>
                <w:bCs/>
                <w:color w:val="auto"/>
                <w:highlight w:val="none"/>
                <w:u w:val="none"/>
              </w:rPr>
            </w:pPr>
          </w:p>
        </w:tc>
        <w:tc>
          <w:tcPr>
            <w:tcW w:w="1140" w:type="pct"/>
            <w:shd w:val="clear" w:color="auto" w:fill="auto"/>
            <w:vAlign w:val="center"/>
          </w:tcPr>
          <w:p w14:paraId="14158D3B">
            <w:pPr>
              <w:pStyle w:val="92"/>
              <w:rPr>
                <w:bCs/>
                <w:color w:val="auto"/>
                <w:highlight w:val="none"/>
                <w:u w:val="none"/>
              </w:rPr>
            </w:pPr>
            <w:r>
              <w:rPr>
                <w:rFonts w:hint="eastAsia"/>
                <w:color w:val="auto"/>
                <w:highlight w:val="none"/>
                <w:u w:val="none"/>
              </w:rPr>
              <w:t>海水</w:t>
            </w:r>
            <w:r>
              <w:rPr>
                <w:color w:val="auto"/>
                <w:highlight w:val="none"/>
                <w:u w:val="none"/>
              </w:rPr>
              <w:t>环境影响分析</w:t>
            </w:r>
          </w:p>
        </w:tc>
        <w:tc>
          <w:tcPr>
            <w:tcW w:w="3210" w:type="pct"/>
            <w:shd w:val="clear" w:color="auto" w:fill="auto"/>
            <w:vAlign w:val="center"/>
          </w:tcPr>
          <w:p w14:paraId="19D7BDFE">
            <w:pPr>
              <w:pStyle w:val="92"/>
              <w:rPr>
                <w:bCs/>
                <w:color w:val="auto"/>
                <w:highlight w:val="none"/>
                <w:u w:val="none"/>
              </w:rPr>
            </w:pPr>
            <w:r>
              <w:rPr>
                <w:color w:val="auto"/>
                <w:highlight w:val="none"/>
                <w:u w:val="none"/>
              </w:rPr>
              <w:t>氯苯类、苯胺类、硝基苯类</w:t>
            </w:r>
          </w:p>
        </w:tc>
      </w:tr>
      <w:tr w14:paraId="79B82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1BFCB675">
            <w:pPr>
              <w:pStyle w:val="92"/>
              <w:rPr>
                <w:bCs/>
                <w:color w:val="auto"/>
                <w:highlight w:val="none"/>
                <w:u w:val="none"/>
              </w:rPr>
            </w:pPr>
          </w:p>
        </w:tc>
        <w:tc>
          <w:tcPr>
            <w:tcW w:w="256" w:type="pct"/>
            <w:vMerge w:val="continue"/>
            <w:shd w:val="clear" w:color="auto" w:fill="auto"/>
            <w:vAlign w:val="center"/>
          </w:tcPr>
          <w:p w14:paraId="48F05722">
            <w:pPr>
              <w:pStyle w:val="92"/>
              <w:rPr>
                <w:bCs/>
                <w:color w:val="auto"/>
                <w:highlight w:val="none"/>
                <w:u w:val="none"/>
              </w:rPr>
            </w:pPr>
          </w:p>
        </w:tc>
        <w:tc>
          <w:tcPr>
            <w:tcW w:w="1140" w:type="pct"/>
            <w:shd w:val="clear" w:color="auto" w:fill="auto"/>
            <w:vAlign w:val="center"/>
          </w:tcPr>
          <w:p w14:paraId="474B88C5">
            <w:pPr>
              <w:pStyle w:val="92"/>
              <w:rPr>
                <w:bCs/>
                <w:color w:val="auto"/>
                <w:highlight w:val="none"/>
                <w:u w:val="none"/>
              </w:rPr>
            </w:pPr>
            <w:r>
              <w:rPr>
                <w:color w:val="auto"/>
                <w:highlight w:val="none"/>
                <w:u w:val="none"/>
              </w:rPr>
              <w:t>地下水影响预测与评价</w:t>
            </w:r>
          </w:p>
        </w:tc>
        <w:tc>
          <w:tcPr>
            <w:tcW w:w="3210" w:type="pct"/>
            <w:shd w:val="clear" w:color="auto" w:fill="auto"/>
            <w:vAlign w:val="center"/>
          </w:tcPr>
          <w:p w14:paraId="37CACA1B">
            <w:pPr>
              <w:pStyle w:val="92"/>
              <w:rPr>
                <w:bCs/>
                <w:color w:val="auto"/>
                <w:highlight w:val="none"/>
                <w:u w:val="none"/>
              </w:rPr>
            </w:pPr>
            <w:r>
              <w:rPr>
                <w:rFonts w:hint="eastAsia"/>
                <w:color w:val="auto"/>
                <w:highlight w:val="none"/>
                <w:u w:val="none"/>
              </w:rPr>
              <w:t>邻二氯苯、2,</w:t>
            </w:r>
            <w:r>
              <w:rPr>
                <w:color w:val="auto"/>
                <w:highlight w:val="none"/>
                <w:u w:val="none"/>
              </w:rPr>
              <w:t>4-</w:t>
            </w:r>
            <w:r>
              <w:rPr>
                <w:rFonts w:hint="eastAsia"/>
                <w:color w:val="auto"/>
                <w:highlight w:val="none"/>
                <w:u w:val="none"/>
              </w:rPr>
              <w:t>二硝基甲苯、2,</w:t>
            </w:r>
            <w:r>
              <w:rPr>
                <w:color w:val="auto"/>
                <w:highlight w:val="none"/>
                <w:u w:val="none"/>
              </w:rPr>
              <w:t>6-</w:t>
            </w:r>
            <w:r>
              <w:rPr>
                <w:rFonts w:hint="eastAsia"/>
                <w:color w:val="auto"/>
                <w:highlight w:val="none"/>
                <w:u w:val="none"/>
              </w:rPr>
              <w:t>二硝基甲苯、甲苯</w:t>
            </w:r>
          </w:p>
        </w:tc>
      </w:tr>
      <w:tr w14:paraId="2BE45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29C1C998">
            <w:pPr>
              <w:pStyle w:val="92"/>
              <w:rPr>
                <w:bCs/>
                <w:color w:val="auto"/>
                <w:highlight w:val="none"/>
                <w:u w:val="none"/>
              </w:rPr>
            </w:pPr>
          </w:p>
        </w:tc>
        <w:tc>
          <w:tcPr>
            <w:tcW w:w="256" w:type="pct"/>
            <w:vMerge w:val="continue"/>
            <w:shd w:val="clear" w:color="auto" w:fill="auto"/>
            <w:vAlign w:val="center"/>
          </w:tcPr>
          <w:p w14:paraId="0A5FA802">
            <w:pPr>
              <w:pStyle w:val="92"/>
              <w:rPr>
                <w:bCs/>
                <w:color w:val="auto"/>
                <w:highlight w:val="none"/>
                <w:u w:val="none"/>
              </w:rPr>
            </w:pPr>
          </w:p>
        </w:tc>
        <w:tc>
          <w:tcPr>
            <w:tcW w:w="1140" w:type="pct"/>
            <w:shd w:val="clear" w:color="auto" w:fill="auto"/>
            <w:vAlign w:val="center"/>
          </w:tcPr>
          <w:p w14:paraId="12BD1BC3">
            <w:pPr>
              <w:pStyle w:val="92"/>
              <w:rPr>
                <w:bCs/>
                <w:color w:val="auto"/>
                <w:highlight w:val="none"/>
                <w:u w:val="none"/>
              </w:rPr>
            </w:pPr>
            <w:r>
              <w:rPr>
                <w:color w:val="auto"/>
                <w:highlight w:val="none"/>
                <w:u w:val="none"/>
              </w:rPr>
              <w:t>噪声环境影响预测与评价</w:t>
            </w:r>
          </w:p>
        </w:tc>
        <w:tc>
          <w:tcPr>
            <w:tcW w:w="3210" w:type="pct"/>
            <w:shd w:val="clear" w:color="auto" w:fill="auto"/>
            <w:vAlign w:val="center"/>
          </w:tcPr>
          <w:p w14:paraId="7BDEC2CE">
            <w:pPr>
              <w:pStyle w:val="92"/>
              <w:rPr>
                <w:bCs/>
                <w:color w:val="auto"/>
                <w:highlight w:val="none"/>
                <w:u w:val="none"/>
              </w:rPr>
            </w:pPr>
            <w:r>
              <w:rPr>
                <w:color w:val="auto"/>
                <w:highlight w:val="none"/>
                <w:u w:val="none"/>
              </w:rPr>
              <w:t>等效连续A声级</w:t>
            </w:r>
          </w:p>
        </w:tc>
      </w:tr>
      <w:tr w14:paraId="17C3B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71F0C9AF">
            <w:pPr>
              <w:pStyle w:val="92"/>
              <w:rPr>
                <w:bCs/>
                <w:color w:val="auto"/>
                <w:highlight w:val="none"/>
                <w:u w:val="none"/>
              </w:rPr>
            </w:pPr>
          </w:p>
        </w:tc>
        <w:tc>
          <w:tcPr>
            <w:tcW w:w="256" w:type="pct"/>
            <w:vMerge w:val="continue"/>
            <w:shd w:val="clear" w:color="auto" w:fill="auto"/>
            <w:vAlign w:val="center"/>
          </w:tcPr>
          <w:p w14:paraId="3D764033">
            <w:pPr>
              <w:pStyle w:val="92"/>
              <w:rPr>
                <w:bCs/>
                <w:color w:val="auto"/>
                <w:highlight w:val="none"/>
                <w:u w:val="none"/>
              </w:rPr>
            </w:pPr>
          </w:p>
        </w:tc>
        <w:tc>
          <w:tcPr>
            <w:tcW w:w="1140" w:type="pct"/>
            <w:shd w:val="clear" w:color="auto" w:fill="auto"/>
            <w:vAlign w:val="center"/>
          </w:tcPr>
          <w:p w14:paraId="7C89C7A7">
            <w:pPr>
              <w:pStyle w:val="92"/>
              <w:rPr>
                <w:bCs/>
                <w:color w:val="auto"/>
                <w:highlight w:val="none"/>
                <w:u w:val="none"/>
              </w:rPr>
            </w:pPr>
            <w:r>
              <w:rPr>
                <w:color w:val="auto"/>
                <w:highlight w:val="none"/>
                <w:u w:val="none"/>
              </w:rPr>
              <w:t>固体废物环境影响分析</w:t>
            </w:r>
          </w:p>
        </w:tc>
        <w:tc>
          <w:tcPr>
            <w:tcW w:w="3210" w:type="pct"/>
            <w:shd w:val="clear" w:color="auto" w:fill="auto"/>
            <w:vAlign w:val="center"/>
          </w:tcPr>
          <w:p w14:paraId="4CBD5DC9">
            <w:pPr>
              <w:pStyle w:val="92"/>
              <w:rPr>
                <w:bCs/>
                <w:color w:val="auto"/>
                <w:highlight w:val="none"/>
                <w:u w:val="none"/>
              </w:rPr>
            </w:pPr>
            <w:r>
              <w:rPr>
                <w:color w:val="auto"/>
                <w:highlight w:val="none"/>
                <w:u w:val="none"/>
              </w:rPr>
              <w:t>固体废物、生活垃圾</w:t>
            </w:r>
          </w:p>
        </w:tc>
      </w:tr>
      <w:tr w14:paraId="3C6015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4A0DFC52">
            <w:pPr>
              <w:pStyle w:val="92"/>
              <w:rPr>
                <w:bCs/>
                <w:color w:val="auto"/>
                <w:highlight w:val="none"/>
                <w:u w:val="none"/>
              </w:rPr>
            </w:pPr>
          </w:p>
        </w:tc>
        <w:tc>
          <w:tcPr>
            <w:tcW w:w="256" w:type="pct"/>
            <w:vMerge w:val="continue"/>
            <w:shd w:val="clear" w:color="auto" w:fill="auto"/>
            <w:vAlign w:val="center"/>
          </w:tcPr>
          <w:p w14:paraId="1595B0FB">
            <w:pPr>
              <w:pStyle w:val="92"/>
              <w:rPr>
                <w:bCs/>
                <w:color w:val="auto"/>
                <w:highlight w:val="none"/>
                <w:u w:val="none"/>
              </w:rPr>
            </w:pPr>
          </w:p>
        </w:tc>
        <w:tc>
          <w:tcPr>
            <w:tcW w:w="1140" w:type="pct"/>
            <w:shd w:val="clear" w:color="auto" w:fill="auto"/>
            <w:vAlign w:val="center"/>
          </w:tcPr>
          <w:p w14:paraId="2AB342D5">
            <w:pPr>
              <w:pStyle w:val="92"/>
              <w:rPr>
                <w:bCs/>
                <w:color w:val="auto"/>
                <w:highlight w:val="none"/>
                <w:u w:val="none"/>
              </w:rPr>
            </w:pPr>
            <w:r>
              <w:rPr>
                <w:color w:val="auto"/>
                <w:highlight w:val="none"/>
                <w:u w:val="none"/>
              </w:rPr>
              <w:t>土壤环境影响分析</w:t>
            </w:r>
          </w:p>
        </w:tc>
        <w:tc>
          <w:tcPr>
            <w:tcW w:w="3210" w:type="pct"/>
            <w:shd w:val="clear" w:color="auto" w:fill="auto"/>
            <w:vAlign w:val="center"/>
          </w:tcPr>
          <w:p w14:paraId="3A17C151">
            <w:pPr>
              <w:pStyle w:val="92"/>
              <w:rPr>
                <w:bCs/>
                <w:color w:val="auto"/>
                <w:highlight w:val="none"/>
                <w:u w:val="none"/>
              </w:rPr>
            </w:pPr>
            <w:r>
              <w:rPr>
                <w:color w:val="auto"/>
                <w:highlight w:val="none"/>
                <w:u w:val="none"/>
              </w:rPr>
              <w:t>甲苯、</w:t>
            </w:r>
            <w:r>
              <w:rPr>
                <w:rFonts w:hint="eastAsia"/>
                <w:color w:val="auto"/>
                <w:highlight w:val="none"/>
                <w:u w:val="none"/>
              </w:rPr>
              <w:t>邻二氯苯、2</w:t>
            </w:r>
            <w:r>
              <w:rPr>
                <w:color w:val="auto"/>
                <w:highlight w:val="none"/>
                <w:u w:val="none"/>
              </w:rPr>
              <w:t>,4-</w:t>
            </w:r>
            <w:r>
              <w:rPr>
                <w:rFonts w:hint="eastAsia"/>
                <w:color w:val="auto"/>
                <w:highlight w:val="none"/>
                <w:u w:val="none"/>
              </w:rPr>
              <w:t>二硝基甲苯</w:t>
            </w:r>
          </w:p>
        </w:tc>
      </w:tr>
      <w:tr w14:paraId="3B9C0E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2" w:type="pct"/>
            <w:vMerge w:val="continue"/>
            <w:shd w:val="clear" w:color="auto" w:fill="auto"/>
            <w:vAlign w:val="center"/>
          </w:tcPr>
          <w:p w14:paraId="4D219CC8">
            <w:pPr>
              <w:pStyle w:val="92"/>
              <w:rPr>
                <w:bCs/>
                <w:color w:val="auto"/>
                <w:highlight w:val="none"/>
                <w:u w:val="none"/>
              </w:rPr>
            </w:pPr>
            <w:bookmarkStart w:id="67" w:name="_Toc109211049"/>
            <w:bookmarkStart w:id="68" w:name="_Toc148374873"/>
            <w:bookmarkStart w:id="69" w:name="_Toc148374768"/>
            <w:bookmarkStart w:id="70" w:name="_Toc148374431"/>
          </w:p>
        </w:tc>
        <w:tc>
          <w:tcPr>
            <w:tcW w:w="256" w:type="pct"/>
            <w:vMerge w:val="continue"/>
            <w:shd w:val="clear" w:color="auto" w:fill="auto"/>
            <w:vAlign w:val="center"/>
          </w:tcPr>
          <w:p w14:paraId="1D887D60">
            <w:pPr>
              <w:pStyle w:val="92"/>
              <w:rPr>
                <w:bCs/>
                <w:color w:val="auto"/>
                <w:highlight w:val="none"/>
                <w:u w:val="none"/>
              </w:rPr>
            </w:pPr>
          </w:p>
        </w:tc>
        <w:tc>
          <w:tcPr>
            <w:tcW w:w="1140" w:type="pct"/>
            <w:shd w:val="clear" w:color="auto" w:fill="auto"/>
            <w:vAlign w:val="center"/>
          </w:tcPr>
          <w:p w14:paraId="183E81C0">
            <w:pPr>
              <w:pStyle w:val="92"/>
              <w:rPr>
                <w:color w:val="auto"/>
                <w:highlight w:val="none"/>
                <w:u w:val="none"/>
              </w:rPr>
            </w:pPr>
            <w:r>
              <w:rPr>
                <w:rFonts w:hint="eastAsia"/>
                <w:color w:val="auto"/>
                <w:highlight w:val="none"/>
                <w:u w:val="none"/>
              </w:rPr>
              <w:t>环境风险影响分析</w:t>
            </w:r>
          </w:p>
        </w:tc>
        <w:tc>
          <w:tcPr>
            <w:tcW w:w="3210" w:type="pct"/>
            <w:shd w:val="clear" w:color="auto" w:fill="auto"/>
            <w:vAlign w:val="center"/>
          </w:tcPr>
          <w:p w14:paraId="31046D3B">
            <w:pPr>
              <w:pStyle w:val="92"/>
              <w:rPr>
                <w:color w:val="auto"/>
                <w:highlight w:val="none"/>
                <w:u w:val="none"/>
              </w:rPr>
            </w:pPr>
            <w:r>
              <w:rPr>
                <w:rFonts w:hint="eastAsia"/>
                <w:color w:val="auto"/>
                <w:highlight w:val="none"/>
                <w:u w:val="none"/>
              </w:rPr>
              <w:t>大气环境风险影响预测因子：光气、氯化氢、氯气、一氧化碳、硝酸、ODCB（邻二氯苯）、DNT（二硝基甲苯）。</w:t>
            </w:r>
          </w:p>
          <w:p w14:paraId="11DF390B">
            <w:pPr>
              <w:pStyle w:val="92"/>
              <w:rPr>
                <w:color w:val="auto"/>
                <w:highlight w:val="none"/>
                <w:u w:val="none"/>
              </w:rPr>
            </w:pPr>
            <w:r>
              <w:rPr>
                <w:rFonts w:hint="eastAsia"/>
                <w:color w:val="auto"/>
                <w:highlight w:val="none"/>
                <w:u w:val="none"/>
              </w:rPr>
              <w:t>地下水环境风险影响预测因子：ODCB（邻二氯苯）、DNT（二硝基甲苯）</w:t>
            </w:r>
          </w:p>
        </w:tc>
      </w:tr>
    </w:tbl>
    <w:p w14:paraId="6CF268FB">
      <w:pPr>
        <w:pStyle w:val="4"/>
        <w:jc w:val="both"/>
        <w:rPr>
          <w:color w:val="auto"/>
          <w:highlight w:val="none"/>
          <w:u w:val="none"/>
        </w:rPr>
      </w:pPr>
      <w:bookmarkStart w:id="71" w:name="_Toc7197"/>
      <w:r>
        <w:rPr>
          <w:rFonts w:hint="eastAsia"/>
          <w:color w:val="auto"/>
          <w:highlight w:val="none"/>
          <w:u w:val="none"/>
        </w:rPr>
        <w:t>环境功能区划和评价标准</w:t>
      </w:r>
      <w:bookmarkEnd w:id="67"/>
      <w:bookmarkEnd w:id="68"/>
      <w:bookmarkEnd w:id="69"/>
      <w:bookmarkEnd w:id="70"/>
      <w:bookmarkEnd w:id="71"/>
    </w:p>
    <w:p w14:paraId="2AB25055">
      <w:pPr>
        <w:pStyle w:val="6"/>
        <w:spacing w:before="156" w:after="156"/>
        <w:rPr>
          <w:color w:val="auto"/>
          <w:highlight w:val="none"/>
          <w:u w:val="none"/>
        </w:rPr>
      </w:pPr>
      <w:bookmarkStart w:id="72" w:name="_Toc148374874"/>
      <w:bookmarkStart w:id="73" w:name="_Toc148374432"/>
      <w:r>
        <w:rPr>
          <w:color w:val="auto"/>
          <w:highlight w:val="none"/>
          <w:u w:val="none"/>
        </w:rPr>
        <w:t>环境功能区划</w:t>
      </w:r>
      <w:bookmarkEnd w:id="72"/>
      <w:bookmarkEnd w:id="73"/>
    </w:p>
    <w:p w14:paraId="15C09D21">
      <w:pPr>
        <w:pStyle w:val="7"/>
        <w:spacing w:before="156"/>
        <w:rPr>
          <w:color w:val="auto"/>
          <w:highlight w:val="none"/>
          <w:u w:val="none"/>
        </w:rPr>
      </w:pPr>
      <w:r>
        <w:rPr>
          <w:rFonts w:hint="eastAsia"/>
          <w:color w:val="auto"/>
          <w:highlight w:val="none"/>
          <w:u w:val="none"/>
        </w:rPr>
        <w:t>环境空气功能区划</w:t>
      </w:r>
    </w:p>
    <w:p w14:paraId="1958C312">
      <w:pPr>
        <w:pStyle w:val="981"/>
        <w:rPr>
          <w:rFonts w:hint="eastAsia"/>
          <w:color w:val="auto"/>
          <w:highlight w:val="none"/>
          <w:u w:val="none"/>
        </w:rPr>
      </w:pPr>
      <w:r>
        <w:rPr>
          <w:rFonts w:hint="eastAsia"/>
          <w:color w:val="auto"/>
          <w:highlight w:val="none"/>
          <w:u w:val="none"/>
        </w:rPr>
        <w:t>根据《福州市人民政府关于印发福州市环境空气质量功能区划和福州市声环境功能区划的通知》（榕政综[</w:t>
      </w:r>
      <w:r>
        <w:rPr>
          <w:color w:val="auto"/>
          <w:highlight w:val="none"/>
          <w:u w:val="none"/>
        </w:rPr>
        <w:t>2014]30</w:t>
      </w:r>
      <w:r>
        <w:rPr>
          <w:rFonts w:hint="eastAsia"/>
          <w:color w:val="auto"/>
          <w:highlight w:val="none"/>
          <w:u w:val="none"/>
        </w:rPr>
        <w:t>号），福清市“石竹山风景名胜区”和“灵石山林场”属于一类区，除一类区以及一类区、二类区缓冲带以外的区域（包括居住、商业、工业混杂区以及新建的工业区、农村地区）为二类区，本项目位于福州江阴港城经济区（福清市江阴镇），属于“一类区以及一类区、二类区缓冲带以外的区域”，为二类区。</w:t>
      </w:r>
    </w:p>
    <w:p w14:paraId="7D405956">
      <w:pPr>
        <w:pStyle w:val="7"/>
        <w:spacing w:before="156"/>
        <w:rPr>
          <w:color w:val="auto"/>
          <w:highlight w:val="none"/>
          <w:u w:val="none"/>
        </w:rPr>
      </w:pPr>
      <w:r>
        <w:rPr>
          <w:rFonts w:hint="eastAsia"/>
          <w:color w:val="auto"/>
          <w:highlight w:val="none"/>
          <w:u w:val="none"/>
        </w:rPr>
        <w:t>近岸海域环境功能区划</w:t>
      </w:r>
    </w:p>
    <w:p w14:paraId="28B0233E">
      <w:pPr>
        <w:rPr>
          <w:rFonts w:hint="eastAsia"/>
          <w:bCs/>
          <w:color w:val="auto"/>
          <w:highlight w:val="none"/>
          <w:u w:val="none"/>
        </w:rPr>
      </w:pPr>
      <w:r>
        <w:rPr>
          <w:rFonts w:hint="eastAsia"/>
          <w:color w:val="auto"/>
          <w:highlight w:val="none"/>
          <w:u w:val="none"/>
        </w:rPr>
        <w:t>本项目所在区域属于福建省兴化湾西北部江阴半岛东南部海域，隶属福清市行政管辖。根据《福建省近岸海域环境功能区划（修编）》（2</w:t>
      </w:r>
      <w:r>
        <w:rPr>
          <w:color w:val="auto"/>
          <w:highlight w:val="none"/>
          <w:u w:val="none"/>
        </w:rPr>
        <w:t>011</w:t>
      </w:r>
      <w:r>
        <w:rPr>
          <w:rFonts w:hint="eastAsia"/>
          <w:color w:val="auto"/>
          <w:highlight w:val="none"/>
          <w:u w:val="none"/>
        </w:rPr>
        <w:t>~</w:t>
      </w:r>
      <w:r>
        <w:rPr>
          <w:color w:val="auto"/>
          <w:highlight w:val="none"/>
          <w:u w:val="none"/>
        </w:rPr>
        <w:t>2020</w:t>
      </w:r>
      <w:r>
        <w:rPr>
          <w:rFonts w:hint="eastAsia"/>
          <w:color w:val="auto"/>
          <w:highlight w:val="none"/>
          <w:u w:val="none"/>
        </w:rPr>
        <w:t>年），兴化湾主体海域为二类区，江阴港城经济区近岸海域环境功能为四类区（见</w:t>
      </w:r>
      <w:r>
        <w:rPr>
          <w:bCs/>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_Ref46667084 \h</w:instrText>
      </w:r>
      <w:r>
        <w:rPr>
          <w:color w:val="auto"/>
          <w:highlight w:val="none"/>
          <w:u w:val="none"/>
        </w:rPr>
        <w:instrText xml:space="preserve">  \* MERGEFORMAT </w:instrText>
      </w:r>
      <w:r>
        <w:rPr>
          <w:bCs/>
          <w:color w:val="auto"/>
          <w:highlight w:val="none"/>
          <w:u w:val="none"/>
        </w:rPr>
        <w:fldChar w:fldCharType="separate"/>
      </w:r>
      <w:r>
        <w:rPr>
          <w:rFonts w:hint="eastAsia"/>
          <w:color w:val="auto"/>
          <w:highlight w:val="none"/>
          <w:u w:val="none"/>
        </w:rPr>
        <w:t xml:space="preserve">图 </w:t>
      </w:r>
      <w:r>
        <w:rPr>
          <w:color w:val="auto"/>
          <w:highlight w:val="none"/>
          <w:u w:val="none"/>
        </w:rPr>
        <w:t>2.3</w:t>
      </w:r>
      <w:r>
        <w:rPr>
          <w:color w:val="auto"/>
          <w:highlight w:val="none"/>
          <w:u w:val="none"/>
        </w:rPr>
        <w:noBreakHyphen/>
      </w:r>
      <w:r>
        <w:rPr>
          <w:color w:val="auto"/>
          <w:highlight w:val="none"/>
          <w:u w:val="none"/>
        </w:rPr>
        <w:t>1</w:t>
      </w:r>
      <w:r>
        <w:rPr>
          <w:bCs/>
          <w:color w:val="auto"/>
          <w:highlight w:val="none"/>
          <w:u w:val="none"/>
        </w:rPr>
        <w:fldChar w:fldCharType="end"/>
      </w:r>
      <w:r>
        <w:rPr>
          <w:rFonts w:hint="eastAsia"/>
          <w:color w:val="auto"/>
          <w:highlight w:val="none"/>
          <w:u w:val="none"/>
        </w:rPr>
        <w:t>）。主要包括：</w:t>
      </w:r>
    </w:p>
    <w:p w14:paraId="0844C3B0">
      <w:pPr>
        <w:rPr>
          <w:rFonts w:hint="eastAsia"/>
          <w:bCs/>
          <w:color w:val="auto"/>
          <w:highlight w:val="none"/>
          <w:u w:val="none"/>
        </w:rPr>
      </w:pPr>
      <w:r>
        <w:rPr>
          <w:rFonts w:hint="eastAsia"/>
          <w:color w:val="auto"/>
          <w:highlight w:val="none"/>
          <w:u w:val="none"/>
        </w:rPr>
        <w:t>（1）兴化湾江阴壁头四类区</w:t>
      </w:r>
    </w:p>
    <w:p w14:paraId="5BB6A30C">
      <w:pPr>
        <w:rPr>
          <w:rFonts w:hint="eastAsia"/>
          <w:bCs/>
          <w:color w:val="auto"/>
          <w:highlight w:val="none"/>
          <w:u w:val="none"/>
        </w:rPr>
      </w:pPr>
      <w:r>
        <w:rPr>
          <w:rFonts w:hint="eastAsia"/>
          <w:color w:val="auto"/>
          <w:highlight w:val="none"/>
          <w:u w:val="none"/>
        </w:rPr>
        <w:t>本项目所在区域属于福建省兴化湾西北部江阴半岛东南部海域，隶属福清市行政管辖。根据《福建省近岸海域环境功能区划（修编）》（福建省生态环境厅，2024年10月），兴化湾主体海域为二类区，江阴港城经济区近岸海域环境功能为四类区（见</w:t>
      </w:r>
      <w:r>
        <w:rPr>
          <w:rFonts w:hint="eastAsia"/>
          <w:color w:val="auto"/>
          <w:highlight w:val="none"/>
          <w:u w:val="none"/>
        </w:rPr>
        <w:fldChar w:fldCharType="begin"/>
      </w:r>
      <w:r>
        <w:rPr>
          <w:rFonts w:hint="eastAsia"/>
          <w:color w:val="auto"/>
          <w:highlight w:val="none"/>
          <w:u w:val="none"/>
        </w:rPr>
        <w:instrText xml:space="preserve"> REF _Ref192259811 \h </w:instrText>
      </w:r>
      <w:r>
        <w:rPr>
          <w:rFonts w:hint="eastAsia"/>
          <w:color w:val="auto"/>
          <w:highlight w:val="none"/>
          <w:u w:val="none"/>
        </w:rPr>
        <w:fldChar w:fldCharType="separate"/>
      </w:r>
      <w:r>
        <w:rPr>
          <w:rFonts w:hint="eastAsia"/>
          <w:color w:val="auto"/>
          <w:highlight w:val="none"/>
          <w:u w:val="none"/>
        </w:rPr>
        <w:t xml:space="preserve">图 </w:t>
      </w:r>
      <w:r>
        <w:rPr>
          <w:color w:val="auto"/>
          <w:highlight w:val="none"/>
          <w:u w:val="none"/>
        </w:rPr>
        <w:t>2.3</w:t>
      </w:r>
      <w:r>
        <w:rPr>
          <w:rFonts w:hint="eastAsia"/>
          <w:color w:val="auto"/>
          <w:highlight w:val="none"/>
          <w:u w:val="none"/>
        </w:rPr>
        <w:noBreakHyphen/>
      </w:r>
      <w:r>
        <w:rPr>
          <w:color w:val="auto"/>
          <w:highlight w:val="none"/>
          <w:u w:val="none"/>
        </w:rPr>
        <w:t>1</w:t>
      </w:r>
      <w:r>
        <w:rPr>
          <w:rFonts w:hint="eastAsia"/>
          <w:color w:val="auto"/>
          <w:highlight w:val="none"/>
          <w:u w:val="none"/>
        </w:rPr>
        <w:fldChar w:fldCharType="end"/>
      </w:r>
      <w:r>
        <w:rPr>
          <w:rFonts w:hint="eastAsia"/>
          <w:color w:val="auto"/>
          <w:highlight w:val="none"/>
          <w:u w:val="none"/>
        </w:rPr>
        <w:t>）。主要包括：</w:t>
      </w:r>
    </w:p>
    <w:p w14:paraId="0899E213">
      <w:pPr>
        <w:rPr>
          <w:rFonts w:hint="eastAsia"/>
          <w:bCs/>
          <w:color w:val="auto"/>
          <w:highlight w:val="none"/>
          <w:u w:val="none"/>
        </w:rPr>
      </w:pPr>
      <w:r>
        <w:rPr>
          <w:rFonts w:hint="eastAsia"/>
          <w:color w:val="auto"/>
          <w:highlight w:val="none"/>
          <w:u w:val="none"/>
        </w:rPr>
        <w:t>（1）兴化湾江阴壁头四类区</w:t>
      </w:r>
    </w:p>
    <w:p w14:paraId="128296CC">
      <w:pPr>
        <w:rPr>
          <w:rFonts w:hint="eastAsia"/>
          <w:bCs/>
          <w:color w:val="auto"/>
          <w:highlight w:val="none"/>
          <w:u w:val="none"/>
        </w:rPr>
      </w:pPr>
      <w:r>
        <w:rPr>
          <w:rFonts w:hint="eastAsia"/>
          <w:color w:val="auto"/>
          <w:highlight w:val="none"/>
          <w:u w:val="none"/>
        </w:rPr>
        <w:t>该区位于兴化湾江阴半岛南部海域，总面积26.54km</w:t>
      </w:r>
      <w:r>
        <w:rPr>
          <w:rFonts w:hint="eastAsia"/>
          <w:color w:val="auto"/>
          <w:highlight w:val="none"/>
          <w:u w:val="none"/>
          <w:vertAlign w:val="superscript"/>
        </w:rPr>
        <w:t>2</w:t>
      </w:r>
      <w:r>
        <w:rPr>
          <w:rFonts w:hint="eastAsia"/>
          <w:color w:val="auto"/>
          <w:highlight w:val="none"/>
          <w:u w:val="none"/>
        </w:rPr>
        <w:t>。中心坐标为：</w:t>
      </w:r>
      <w:r>
        <w:rPr>
          <w:rFonts w:hint="eastAsia"/>
          <w:color w:val="auto"/>
          <w:szCs w:val="21"/>
          <w:highlight w:val="none"/>
          <w:u w:val="none"/>
        </w:rPr>
        <w:t>119°18'18.157"E</w:t>
      </w:r>
      <w:r>
        <w:rPr>
          <w:rFonts w:hint="eastAsia"/>
          <w:color w:val="auto"/>
          <w:highlight w:val="none"/>
          <w:u w:val="none"/>
        </w:rPr>
        <w:t>，</w:t>
      </w:r>
      <w:r>
        <w:rPr>
          <w:rFonts w:hint="eastAsia"/>
          <w:color w:val="auto"/>
          <w:szCs w:val="21"/>
          <w:highlight w:val="none"/>
          <w:u w:val="none"/>
        </w:rPr>
        <w:t>25°24'27.192"N</w:t>
      </w:r>
      <w:r>
        <w:rPr>
          <w:rFonts w:hint="eastAsia"/>
          <w:color w:val="auto"/>
          <w:highlight w:val="none"/>
          <w:u w:val="none"/>
        </w:rPr>
        <w:t>。近岸海域环境功能区划类别为四类区，规划主导功能为港口、航运。</w:t>
      </w:r>
      <w:r>
        <w:rPr>
          <w:rFonts w:hint="eastAsia"/>
          <w:color w:val="auto"/>
          <w:highlight w:val="none"/>
          <w:u w:val="none"/>
          <w:lang w:eastAsia="zh-CN"/>
        </w:rPr>
        <w:t>福州江阴港城经济区</w:t>
      </w:r>
      <w:r>
        <w:rPr>
          <w:rFonts w:hint="eastAsia"/>
          <w:color w:val="auto"/>
          <w:highlight w:val="none"/>
          <w:u w:val="none"/>
        </w:rPr>
        <w:t>污水处理厂排污口设置在兴化湾1#码头南侧前沿约768米处，位于兴化湾江阴壁头四类区。</w:t>
      </w:r>
    </w:p>
    <w:p w14:paraId="36DFC3D0">
      <w:pPr>
        <w:rPr>
          <w:rFonts w:hint="eastAsia"/>
          <w:color w:val="auto"/>
          <w:highlight w:val="none"/>
          <w:u w:val="none"/>
        </w:rPr>
      </w:pPr>
      <w:r>
        <w:rPr>
          <w:rFonts w:hint="eastAsia"/>
          <w:color w:val="auto"/>
          <w:highlight w:val="none"/>
          <w:u w:val="none"/>
        </w:rPr>
        <w:t>（2）海坛海峡-兴化湾二类区</w:t>
      </w:r>
    </w:p>
    <w:p w14:paraId="6E2EBFAA">
      <w:pPr>
        <w:rPr>
          <w:rFonts w:hint="eastAsia"/>
          <w:bCs/>
          <w:color w:val="auto"/>
          <w:highlight w:val="none"/>
          <w:u w:val="none"/>
        </w:rPr>
      </w:pPr>
      <w:r>
        <w:rPr>
          <w:rFonts w:hint="eastAsia"/>
          <w:color w:val="auto"/>
          <w:highlight w:val="none"/>
          <w:u w:val="none"/>
        </w:rPr>
        <w:t>该区位于兴化湾江阴半岛周边海域，总面积655.17km</w:t>
      </w:r>
      <w:r>
        <w:rPr>
          <w:rFonts w:hint="eastAsia"/>
          <w:color w:val="auto"/>
          <w:highlight w:val="none"/>
          <w:u w:val="none"/>
          <w:vertAlign w:val="superscript"/>
        </w:rPr>
        <w:t>2</w:t>
      </w:r>
      <w:r>
        <w:rPr>
          <w:rFonts w:hint="eastAsia"/>
          <w:color w:val="auto"/>
          <w:highlight w:val="none"/>
          <w:u w:val="none"/>
        </w:rPr>
        <w:t>。中心坐标为：119°31'3.750"E，25°26'24.600"N。近岸海域环境功能区划类别为二类区，规划主导功能为海水养殖、海上风电</w:t>
      </w:r>
      <w:r>
        <w:rPr>
          <w:color w:val="auto"/>
          <w:highlight w:val="none"/>
          <w:u w:val="none"/>
        </w:rPr>
        <w:t>。</w:t>
      </w:r>
    </w:p>
    <w:p w14:paraId="127BD386">
      <w:pPr>
        <w:pStyle w:val="7"/>
        <w:spacing w:before="156"/>
        <w:rPr>
          <w:color w:val="auto"/>
          <w:highlight w:val="none"/>
          <w:u w:val="none"/>
        </w:rPr>
      </w:pPr>
      <w:r>
        <w:rPr>
          <w:rFonts w:hint="eastAsia"/>
          <w:color w:val="auto"/>
          <w:highlight w:val="none"/>
          <w:u w:val="none"/>
        </w:rPr>
        <w:t>声环境功能区划</w:t>
      </w:r>
    </w:p>
    <w:p w14:paraId="336E6B69">
      <w:pPr>
        <w:rPr>
          <w:rFonts w:hint="eastAsia"/>
          <w:color w:val="auto"/>
          <w:highlight w:val="none"/>
          <w:u w:val="none"/>
        </w:rPr>
      </w:pPr>
      <w:r>
        <w:rPr>
          <w:rFonts w:hint="eastAsia"/>
          <w:color w:val="auto"/>
          <w:highlight w:val="none"/>
          <w:u w:val="none"/>
        </w:rPr>
        <w:t>根据福州江阴港城总体规划（2</w:t>
      </w:r>
      <w:r>
        <w:rPr>
          <w:color w:val="auto"/>
          <w:highlight w:val="none"/>
          <w:u w:val="none"/>
        </w:rPr>
        <w:t>018</w:t>
      </w:r>
      <w:r>
        <w:rPr>
          <w:rFonts w:hint="eastAsia"/>
          <w:color w:val="auto"/>
          <w:highlight w:val="none"/>
          <w:u w:val="none"/>
        </w:rPr>
        <w:t>-</w:t>
      </w:r>
      <w:r>
        <w:rPr>
          <w:color w:val="auto"/>
          <w:highlight w:val="none"/>
          <w:u w:val="none"/>
        </w:rPr>
        <w:t>2035</w:t>
      </w:r>
      <w:r>
        <w:rPr>
          <w:rFonts w:hint="eastAsia"/>
          <w:color w:val="auto"/>
          <w:highlight w:val="none"/>
          <w:u w:val="none"/>
        </w:rPr>
        <w:t>年），本项目所在区域规划为西部临港产业区，属于3类声环境功能区，声环境执行《声环境质量标准》（GB3096-2008）中的3类区标准。</w:t>
      </w:r>
    </w:p>
    <w:p w14:paraId="2576EB88">
      <w:pPr>
        <w:pStyle w:val="7"/>
        <w:spacing w:before="156"/>
        <w:rPr>
          <w:color w:val="auto"/>
          <w:highlight w:val="none"/>
          <w:u w:val="none"/>
        </w:rPr>
      </w:pPr>
      <w:r>
        <w:rPr>
          <w:rFonts w:hint="eastAsia"/>
          <w:color w:val="auto"/>
          <w:highlight w:val="none"/>
          <w:u w:val="none"/>
        </w:rPr>
        <w:t>生态功能区划</w:t>
      </w:r>
    </w:p>
    <w:p w14:paraId="5E368F28">
      <w:pPr>
        <w:pStyle w:val="82"/>
        <w:ind w:firstLine="482"/>
        <w:rPr>
          <w:rFonts w:hint="eastAsia"/>
          <w:b/>
          <w:bCs/>
          <w:color w:val="auto"/>
          <w:highlight w:val="none"/>
          <w:u w:val="none"/>
        </w:rPr>
      </w:pPr>
      <w:r>
        <w:rPr>
          <w:rFonts w:hint="eastAsia"/>
          <w:b/>
          <w:bCs/>
          <w:color w:val="auto"/>
          <w:highlight w:val="none"/>
          <w:u w:val="none"/>
        </w:rPr>
        <w:t>（一）福建省生态功能区划</w:t>
      </w:r>
    </w:p>
    <w:p w14:paraId="6E1EC7B2">
      <w:pPr>
        <w:pStyle w:val="82"/>
        <w:rPr>
          <w:rFonts w:hint="eastAsia"/>
          <w:color w:val="auto"/>
          <w:highlight w:val="none"/>
          <w:u w:val="none"/>
        </w:rPr>
      </w:pPr>
      <w:r>
        <w:rPr>
          <w:rFonts w:hint="eastAsia"/>
          <w:color w:val="auto"/>
          <w:highlight w:val="none"/>
          <w:u w:val="none"/>
        </w:rPr>
        <w:t>根据《福建省生态功能区划》，项目位于Ⅱ闽东南生态区，Ⅱ</w:t>
      </w:r>
      <w:r>
        <w:rPr>
          <w:rFonts w:hint="eastAsia"/>
          <w:color w:val="auto"/>
          <w:highlight w:val="none"/>
          <w:u w:val="none"/>
          <w:vertAlign w:val="subscript"/>
        </w:rPr>
        <w:t>2</w:t>
      </w:r>
      <w:r>
        <w:rPr>
          <w:rFonts w:hint="eastAsia"/>
          <w:color w:val="auto"/>
          <w:highlight w:val="none"/>
          <w:u w:val="none"/>
        </w:rPr>
        <w:t>闽东南沿海台丘平原与近岸海域生态亚区，编号为“</w:t>
      </w:r>
      <w:r>
        <w:rPr>
          <w:color w:val="auto"/>
          <w:highlight w:val="none"/>
          <w:u w:val="none"/>
        </w:rPr>
        <w:t>5203</w:t>
      </w:r>
      <w:r>
        <w:rPr>
          <w:rFonts w:hint="eastAsia"/>
          <w:color w:val="auto"/>
          <w:highlight w:val="none"/>
          <w:u w:val="none"/>
        </w:rPr>
        <w:t>”的福清一平潭城镇和集约化高优农业生态功能区，本项目为有机化学原料制造项目，位于江阴港城经济区的工业用地内，项目污染物经治理后可实现达标排放，且项目符合江阴港城产业引进的环保准入条件，因此符合该生态功能区的保护措施与发展方向的要求，具体要求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_Ref100324474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2.3</w:t>
      </w:r>
      <w:r>
        <w:rPr>
          <w:color w:val="auto"/>
          <w:highlight w:val="none"/>
          <w:u w:val="none"/>
        </w:rPr>
        <w:fldChar w:fldCharType="end"/>
      </w:r>
      <w:r>
        <w:rPr>
          <w:color w:val="auto"/>
          <w:highlight w:val="none"/>
          <w:u w:val="none"/>
        </w:rPr>
        <w:noBreakHyphen/>
      </w:r>
      <w:r>
        <w:rPr>
          <w:rFonts w:hint="eastAsia"/>
          <w:color w:val="auto"/>
          <w:highlight w:val="none"/>
          <w:u w:val="none"/>
        </w:rPr>
        <w:t>1</w:t>
      </w:r>
      <w:r>
        <w:rPr>
          <w:color w:val="auto"/>
          <w:highlight w:val="none"/>
          <w:u w:val="none"/>
        </w:rPr>
        <w:fldChar w:fldCharType="end"/>
      </w:r>
      <w:r>
        <w:rPr>
          <w:rFonts w:hint="eastAsia"/>
          <w:color w:val="auto"/>
          <w:highlight w:val="none"/>
          <w:u w:val="none"/>
        </w:rPr>
        <w:t>。</w:t>
      </w:r>
    </w:p>
    <w:p w14:paraId="2DDFF386">
      <w:pPr>
        <w:pStyle w:val="85"/>
        <w:rPr>
          <w:color w:val="auto"/>
          <w:highlight w:val="none"/>
          <w:u w:val="none"/>
        </w:rPr>
      </w:pPr>
      <w:bookmarkStart w:id="74" w:name="_Ref100324474"/>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74"/>
      <w:r>
        <w:rPr>
          <w:color w:val="auto"/>
          <w:highlight w:val="none"/>
          <w:u w:val="none"/>
        </w:rPr>
        <w:t xml:space="preserve">  </w:t>
      </w:r>
      <w:r>
        <w:rPr>
          <w:rFonts w:hint="eastAsia"/>
          <w:color w:val="auto"/>
          <w:highlight w:val="none"/>
          <w:u w:val="none"/>
        </w:rPr>
        <w:t>项目所在地的生态功能区划简表</w:t>
      </w:r>
    </w:p>
    <w:tbl>
      <w:tblPr>
        <w:tblStyle w:val="58"/>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99"/>
        <w:gridCol w:w="700"/>
        <w:gridCol w:w="1121"/>
        <w:gridCol w:w="1821"/>
        <w:gridCol w:w="700"/>
        <w:gridCol w:w="937"/>
        <w:gridCol w:w="2668"/>
      </w:tblGrid>
      <w:tr w14:paraId="34A6A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927" w:type="dxa"/>
            <w:gridSpan w:val="3"/>
            <w:vAlign w:val="center"/>
          </w:tcPr>
          <w:p w14:paraId="038E18E6">
            <w:pPr>
              <w:pStyle w:val="92"/>
              <w:rPr>
                <w:color w:val="auto"/>
                <w:highlight w:val="none"/>
                <w:u w:val="none"/>
              </w:rPr>
            </w:pPr>
            <w:r>
              <w:rPr>
                <w:color w:val="auto"/>
                <w:highlight w:val="none"/>
                <w:u w:val="none"/>
              </w:rPr>
              <w:t>生态功能分区单元</w:t>
            </w:r>
          </w:p>
        </w:tc>
        <w:tc>
          <w:tcPr>
            <w:tcW w:w="1121" w:type="dxa"/>
            <w:vMerge w:val="restart"/>
            <w:vAlign w:val="center"/>
          </w:tcPr>
          <w:p w14:paraId="7D5DF263">
            <w:pPr>
              <w:pStyle w:val="92"/>
              <w:rPr>
                <w:color w:val="auto"/>
                <w:highlight w:val="none"/>
                <w:u w:val="none"/>
              </w:rPr>
            </w:pPr>
            <w:r>
              <w:rPr>
                <w:color w:val="auto"/>
                <w:highlight w:val="none"/>
                <w:u w:val="none"/>
              </w:rPr>
              <w:t>所在区域与面积</w:t>
            </w:r>
          </w:p>
        </w:tc>
        <w:tc>
          <w:tcPr>
            <w:tcW w:w="1821" w:type="dxa"/>
            <w:vMerge w:val="restart"/>
            <w:vAlign w:val="center"/>
          </w:tcPr>
          <w:p w14:paraId="1828C112">
            <w:pPr>
              <w:pStyle w:val="92"/>
              <w:rPr>
                <w:color w:val="auto"/>
                <w:highlight w:val="none"/>
                <w:u w:val="none"/>
              </w:rPr>
            </w:pPr>
            <w:r>
              <w:rPr>
                <w:color w:val="auto"/>
                <w:highlight w:val="none"/>
                <w:u w:val="none"/>
              </w:rPr>
              <w:t>主要生态环境问题</w:t>
            </w:r>
          </w:p>
        </w:tc>
        <w:tc>
          <w:tcPr>
            <w:tcW w:w="700" w:type="dxa"/>
            <w:vMerge w:val="restart"/>
            <w:vAlign w:val="center"/>
          </w:tcPr>
          <w:p w14:paraId="6E8381D0">
            <w:pPr>
              <w:pStyle w:val="92"/>
              <w:rPr>
                <w:color w:val="auto"/>
                <w:highlight w:val="none"/>
                <w:u w:val="none"/>
              </w:rPr>
            </w:pPr>
            <w:r>
              <w:rPr>
                <w:color w:val="auto"/>
                <w:highlight w:val="none"/>
                <w:u w:val="none"/>
              </w:rPr>
              <w:t>生态环境敏感性</w:t>
            </w:r>
          </w:p>
        </w:tc>
        <w:tc>
          <w:tcPr>
            <w:tcW w:w="937" w:type="dxa"/>
            <w:vMerge w:val="restart"/>
            <w:vAlign w:val="center"/>
          </w:tcPr>
          <w:p w14:paraId="46180432">
            <w:pPr>
              <w:pStyle w:val="92"/>
              <w:rPr>
                <w:color w:val="auto"/>
                <w:highlight w:val="none"/>
                <w:u w:val="none"/>
              </w:rPr>
            </w:pPr>
            <w:r>
              <w:rPr>
                <w:color w:val="auto"/>
                <w:highlight w:val="none"/>
                <w:u w:val="none"/>
              </w:rPr>
              <w:t>主要生态系统服务功能</w:t>
            </w:r>
          </w:p>
        </w:tc>
        <w:tc>
          <w:tcPr>
            <w:tcW w:w="2668" w:type="dxa"/>
            <w:vMerge w:val="restart"/>
            <w:vAlign w:val="center"/>
          </w:tcPr>
          <w:p w14:paraId="2265C0EA">
            <w:pPr>
              <w:pStyle w:val="92"/>
              <w:rPr>
                <w:color w:val="auto"/>
                <w:highlight w:val="none"/>
                <w:u w:val="none"/>
              </w:rPr>
            </w:pPr>
            <w:r>
              <w:rPr>
                <w:color w:val="auto"/>
                <w:highlight w:val="none"/>
                <w:u w:val="none"/>
              </w:rPr>
              <w:t>保护措施与发展方向</w:t>
            </w:r>
          </w:p>
        </w:tc>
      </w:tr>
      <w:tr w14:paraId="54332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28" w:type="dxa"/>
            <w:vAlign w:val="center"/>
          </w:tcPr>
          <w:p w14:paraId="78683ED6">
            <w:pPr>
              <w:pStyle w:val="92"/>
              <w:rPr>
                <w:color w:val="auto"/>
                <w:highlight w:val="none"/>
                <w:u w:val="none"/>
              </w:rPr>
            </w:pPr>
            <w:r>
              <w:rPr>
                <w:color w:val="auto"/>
                <w:highlight w:val="none"/>
                <w:u w:val="none"/>
              </w:rPr>
              <w:t>生态区</w:t>
            </w:r>
          </w:p>
        </w:tc>
        <w:tc>
          <w:tcPr>
            <w:tcW w:w="699" w:type="dxa"/>
            <w:vAlign w:val="center"/>
          </w:tcPr>
          <w:p w14:paraId="523FA19C">
            <w:pPr>
              <w:pStyle w:val="92"/>
              <w:rPr>
                <w:color w:val="auto"/>
                <w:highlight w:val="none"/>
                <w:u w:val="none"/>
              </w:rPr>
            </w:pPr>
            <w:r>
              <w:rPr>
                <w:color w:val="auto"/>
                <w:highlight w:val="none"/>
                <w:u w:val="none"/>
              </w:rPr>
              <w:t>生态亚区</w:t>
            </w:r>
          </w:p>
        </w:tc>
        <w:tc>
          <w:tcPr>
            <w:tcW w:w="700" w:type="dxa"/>
            <w:vAlign w:val="center"/>
          </w:tcPr>
          <w:p w14:paraId="6E27BFE6">
            <w:pPr>
              <w:pStyle w:val="92"/>
              <w:rPr>
                <w:color w:val="auto"/>
                <w:highlight w:val="none"/>
                <w:u w:val="none"/>
              </w:rPr>
            </w:pPr>
            <w:r>
              <w:rPr>
                <w:color w:val="auto"/>
                <w:highlight w:val="none"/>
                <w:u w:val="none"/>
              </w:rPr>
              <w:t>生态功能区</w:t>
            </w:r>
          </w:p>
        </w:tc>
        <w:tc>
          <w:tcPr>
            <w:tcW w:w="1121" w:type="dxa"/>
            <w:vMerge w:val="continue"/>
            <w:vAlign w:val="center"/>
          </w:tcPr>
          <w:p w14:paraId="05F9DFC8">
            <w:pPr>
              <w:pStyle w:val="92"/>
              <w:rPr>
                <w:color w:val="auto"/>
                <w:highlight w:val="none"/>
                <w:u w:val="none"/>
              </w:rPr>
            </w:pPr>
          </w:p>
        </w:tc>
        <w:tc>
          <w:tcPr>
            <w:tcW w:w="1821" w:type="dxa"/>
            <w:vMerge w:val="continue"/>
            <w:vAlign w:val="center"/>
          </w:tcPr>
          <w:p w14:paraId="5E0AADA2">
            <w:pPr>
              <w:pStyle w:val="92"/>
              <w:rPr>
                <w:color w:val="auto"/>
                <w:highlight w:val="none"/>
                <w:u w:val="none"/>
              </w:rPr>
            </w:pPr>
          </w:p>
        </w:tc>
        <w:tc>
          <w:tcPr>
            <w:tcW w:w="700" w:type="dxa"/>
            <w:vMerge w:val="continue"/>
            <w:vAlign w:val="center"/>
          </w:tcPr>
          <w:p w14:paraId="5AB3FF9C">
            <w:pPr>
              <w:pStyle w:val="92"/>
              <w:rPr>
                <w:color w:val="auto"/>
                <w:highlight w:val="none"/>
                <w:u w:val="none"/>
              </w:rPr>
            </w:pPr>
          </w:p>
        </w:tc>
        <w:tc>
          <w:tcPr>
            <w:tcW w:w="937" w:type="dxa"/>
            <w:vMerge w:val="continue"/>
            <w:vAlign w:val="center"/>
          </w:tcPr>
          <w:p w14:paraId="4661E2C1">
            <w:pPr>
              <w:pStyle w:val="92"/>
              <w:rPr>
                <w:color w:val="auto"/>
                <w:highlight w:val="none"/>
                <w:u w:val="none"/>
              </w:rPr>
            </w:pPr>
          </w:p>
        </w:tc>
        <w:tc>
          <w:tcPr>
            <w:tcW w:w="2668" w:type="dxa"/>
            <w:vMerge w:val="continue"/>
            <w:vAlign w:val="center"/>
          </w:tcPr>
          <w:p w14:paraId="3444F336">
            <w:pPr>
              <w:pStyle w:val="92"/>
              <w:rPr>
                <w:color w:val="auto"/>
                <w:highlight w:val="none"/>
                <w:u w:val="none"/>
              </w:rPr>
            </w:pPr>
          </w:p>
        </w:tc>
      </w:tr>
      <w:tr w14:paraId="6099F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14:paraId="48FBD55A">
            <w:pPr>
              <w:pStyle w:val="92"/>
              <w:rPr>
                <w:color w:val="auto"/>
                <w:highlight w:val="none"/>
                <w:u w:val="none"/>
              </w:rPr>
            </w:pPr>
            <w:r>
              <w:rPr>
                <w:rFonts w:hint="eastAsia"/>
                <w:color w:val="auto"/>
                <w:highlight w:val="none"/>
                <w:u w:val="none"/>
              </w:rPr>
              <w:t>Ⅱ闽东南生态区</w:t>
            </w:r>
          </w:p>
        </w:tc>
        <w:tc>
          <w:tcPr>
            <w:tcW w:w="699" w:type="dxa"/>
            <w:vAlign w:val="center"/>
          </w:tcPr>
          <w:p w14:paraId="0034BF7B">
            <w:pPr>
              <w:pStyle w:val="92"/>
              <w:rPr>
                <w:color w:val="auto"/>
                <w:highlight w:val="none"/>
                <w:u w:val="none"/>
              </w:rPr>
            </w:pPr>
            <w:r>
              <w:rPr>
                <w:rFonts w:hint="eastAsia"/>
                <w:color w:val="auto"/>
                <w:highlight w:val="none"/>
                <w:u w:val="none"/>
              </w:rPr>
              <w:t>Ⅱ</w:t>
            </w:r>
            <w:r>
              <w:rPr>
                <w:rFonts w:hint="eastAsia"/>
                <w:color w:val="auto"/>
                <w:highlight w:val="none"/>
                <w:u w:val="none"/>
                <w:vertAlign w:val="subscript"/>
              </w:rPr>
              <w:t>2</w:t>
            </w:r>
            <w:r>
              <w:rPr>
                <w:rFonts w:hint="eastAsia"/>
                <w:color w:val="auto"/>
                <w:highlight w:val="none"/>
                <w:u w:val="none"/>
              </w:rPr>
              <w:t>闽东南沿海台丘平原与近岸海域生态</w:t>
            </w:r>
            <w:r>
              <w:rPr>
                <w:rFonts w:hint="eastAsia"/>
                <w:bCs/>
                <w:color w:val="auto"/>
                <w:highlight w:val="none"/>
                <w:u w:val="none"/>
              </w:rPr>
              <w:t>亚</w:t>
            </w:r>
            <w:r>
              <w:rPr>
                <w:rFonts w:hint="eastAsia"/>
                <w:color w:val="auto"/>
                <w:highlight w:val="none"/>
                <w:u w:val="none"/>
              </w:rPr>
              <w:t>区</w:t>
            </w:r>
          </w:p>
        </w:tc>
        <w:tc>
          <w:tcPr>
            <w:tcW w:w="700" w:type="dxa"/>
            <w:vAlign w:val="center"/>
          </w:tcPr>
          <w:p w14:paraId="02A286BD">
            <w:pPr>
              <w:pStyle w:val="92"/>
              <w:rPr>
                <w:color w:val="auto"/>
                <w:highlight w:val="none"/>
                <w:u w:val="none"/>
              </w:rPr>
            </w:pPr>
            <w:r>
              <w:rPr>
                <w:rFonts w:hint="eastAsia"/>
                <w:color w:val="auto"/>
                <w:highlight w:val="none"/>
                <w:u w:val="none"/>
              </w:rPr>
              <w:t>5203福清一平潭城镇和集约化高优农业生态功能区</w:t>
            </w:r>
          </w:p>
        </w:tc>
        <w:tc>
          <w:tcPr>
            <w:tcW w:w="1121" w:type="dxa"/>
            <w:vAlign w:val="center"/>
          </w:tcPr>
          <w:p w14:paraId="3017A4DA">
            <w:pPr>
              <w:pStyle w:val="92"/>
              <w:rPr>
                <w:color w:val="auto"/>
                <w:highlight w:val="none"/>
                <w:u w:val="none"/>
              </w:rPr>
            </w:pPr>
            <w:r>
              <w:rPr>
                <w:rFonts w:hint="eastAsia"/>
                <w:color w:val="auto"/>
                <w:highlight w:val="none"/>
                <w:u w:val="none"/>
              </w:rPr>
              <w:t>福清市大部分乡镇和平潭全县，地理坐标119°12′～119°55′E，25°15′～25°50′N，面积1163.15km</w:t>
            </w:r>
            <w:r>
              <w:rPr>
                <w:rFonts w:hint="eastAsia"/>
                <w:color w:val="auto"/>
                <w:highlight w:val="none"/>
                <w:u w:val="none"/>
                <w:vertAlign w:val="superscript"/>
              </w:rPr>
              <w:t>2</w:t>
            </w:r>
            <w:r>
              <w:rPr>
                <w:rFonts w:hint="eastAsia"/>
                <w:color w:val="auto"/>
                <w:highlight w:val="none"/>
                <w:u w:val="none"/>
              </w:rPr>
              <w:t>。</w:t>
            </w:r>
          </w:p>
        </w:tc>
        <w:tc>
          <w:tcPr>
            <w:tcW w:w="1821" w:type="dxa"/>
            <w:vAlign w:val="center"/>
          </w:tcPr>
          <w:p w14:paraId="161C1D26">
            <w:pPr>
              <w:pStyle w:val="92"/>
              <w:rPr>
                <w:color w:val="auto"/>
                <w:highlight w:val="none"/>
                <w:u w:val="none"/>
              </w:rPr>
            </w:pPr>
            <w:r>
              <w:rPr>
                <w:rFonts w:hint="eastAsia"/>
                <w:color w:val="auto"/>
                <w:highlight w:val="none"/>
                <w:u w:val="none"/>
              </w:rPr>
              <w:t>水资源短缺；工业点源污染和城镇生活废弃物污染严重，龙江水质恶化；农业面源污染和规模化畜禽养殖污染均很突出；丘陵坡地植被严重退化，土壤侵蚀较严重，石漠化威胁加大。部分木麻黄林老化枯死，防风固沙林防护功能下降．砂矿开采毁林、破坏旅游景点，风沙威胁加大。</w:t>
            </w:r>
          </w:p>
        </w:tc>
        <w:tc>
          <w:tcPr>
            <w:tcW w:w="700" w:type="dxa"/>
            <w:vAlign w:val="center"/>
          </w:tcPr>
          <w:p w14:paraId="4F96E5DA">
            <w:pPr>
              <w:pStyle w:val="92"/>
              <w:rPr>
                <w:color w:val="auto"/>
                <w:kern w:val="0"/>
                <w:highlight w:val="none"/>
                <w:u w:val="none"/>
                <w:lang w:val="zh-CN"/>
              </w:rPr>
            </w:pPr>
            <w:r>
              <w:rPr>
                <w:rFonts w:hint="eastAsia"/>
                <w:color w:val="auto"/>
                <w:kern w:val="0"/>
                <w:highlight w:val="none"/>
                <w:u w:val="none"/>
                <w:lang w:val="zh-CN"/>
              </w:rPr>
              <w:t>土壤侵蚀轻度敏感与敏感、酸雨轻度敏感与敏感、地质灾害轻度敏感与敏感</w:t>
            </w:r>
          </w:p>
          <w:p w14:paraId="6AFCB060">
            <w:pPr>
              <w:pStyle w:val="92"/>
              <w:rPr>
                <w:color w:val="auto"/>
                <w:highlight w:val="none"/>
                <w:u w:val="none"/>
              </w:rPr>
            </w:pPr>
          </w:p>
        </w:tc>
        <w:tc>
          <w:tcPr>
            <w:tcW w:w="937" w:type="dxa"/>
            <w:vAlign w:val="center"/>
          </w:tcPr>
          <w:p w14:paraId="7B0742AA">
            <w:pPr>
              <w:pStyle w:val="92"/>
              <w:rPr>
                <w:color w:val="auto"/>
                <w:highlight w:val="none"/>
                <w:u w:val="none"/>
              </w:rPr>
            </w:pPr>
            <w:r>
              <w:rPr>
                <w:rFonts w:hint="eastAsia"/>
                <w:color w:val="auto"/>
                <w:highlight w:val="none"/>
                <w:u w:val="none"/>
              </w:rPr>
              <w:t>城镇生态环境、集约化高优农业生态环境、营养物质保持、自然与人文景观保护</w:t>
            </w:r>
          </w:p>
        </w:tc>
        <w:tc>
          <w:tcPr>
            <w:tcW w:w="2668" w:type="dxa"/>
            <w:vAlign w:val="center"/>
          </w:tcPr>
          <w:p w14:paraId="60957442">
            <w:pPr>
              <w:pStyle w:val="92"/>
              <w:rPr>
                <w:color w:val="auto"/>
                <w:highlight w:val="none"/>
                <w:u w:val="none"/>
              </w:rPr>
            </w:pPr>
            <w:r>
              <w:rPr>
                <w:rFonts w:hint="eastAsia"/>
                <w:bCs/>
                <w:color w:val="auto"/>
                <w:highlight w:val="none"/>
                <w:u w:val="none"/>
              </w:rPr>
              <w:t>建设生态城镇和生态工业区，发展循环经济和清洁生产，加快城镇环保设施建设，重点治理工业废水和城镇生活废水羁染．改善龙江水质；对重点工业区进行空气污染监控；加大污染废弃物的处置力度；增加城镇绿地面积。发展生态农业，控制农业面源污染和规模化畜禽养殖污染；加强丘陵坡地植被恢复和水土流失综合治理；加强324国道和福泉高速路等重要交通干线两侧一重山视域景观建设。平潭岛大规模开发要高度重视风沙和石漠化防治，加强水资源保护，合理发展生态旅游。</w:t>
            </w:r>
          </w:p>
        </w:tc>
      </w:tr>
    </w:tbl>
    <w:p w14:paraId="6D4F0E94">
      <w:pPr>
        <w:pStyle w:val="82"/>
        <w:ind w:firstLine="482"/>
        <w:rPr>
          <w:rFonts w:hint="eastAsia"/>
          <w:b/>
          <w:bCs/>
          <w:color w:val="auto"/>
          <w:highlight w:val="none"/>
          <w:u w:val="none"/>
        </w:rPr>
      </w:pPr>
      <w:r>
        <w:rPr>
          <w:rFonts w:hint="eastAsia"/>
          <w:b/>
          <w:bCs/>
          <w:color w:val="auto"/>
          <w:highlight w:val="none"/>
          <w:u w:val="none"/>
        </w:rPr>
        <w:t>（二）</w:t>
      </w:r>
      <w:r>
        <w:rPr>
          <w:b/>
          <w:bCs/>
          <w:color w:val="auto"/>
          <w:highlight w:val="none"/>
          <w:u w:val="none"/>
        </w:rPr>
        <w:t>福清市生态功能区划</w:t>
      </w:r>
    </w:p>
    <w:p w14:paraId="0CEF45FF">
      <w:pPr>
        <w:pStyle w:val="82"/>
        <w:rPr>
          <w:rFonts w:hint="eastAsia"/>
          <w:color w:val="auto"/>
          <w:highlight w:val="none"/>
          <w:u w:val="none"/>
        </w:rPr>
      </w:pPr>
      <w:r>
        <w:rPr>
          <w:color w:val="auto"/>
          <w:highlight w:val="none"/>
          <w:u w:val="none"/>
        </w:rPr>
        <w:t>根据《福清市生态功能区划》，本项目位于福清西南部城镇与工业环境生态功能小区（520118108）内，该功能小区的概况如下：</w:t>
      </w:r>
    </w:p>
    <w:p w14:paraId="525CEF6C">
      <w:pPr>
        <w:pStyle w:val="82"/>
        <w:rPr>
          <w:rFonts w:hint="eastAsia"/>
          <w:color w:val="auto"/>
          <w:highlight w:val="none"/>
          <w:u w:val="none"/>
        </w:rPr>
      </w:pPr>
      <w:r>
        <w:rPr>
          <w:color w:val="auto"/>
          <w:highlight w:val="none"/>
          <w:u w:val="none"/>
        </w:rPr>
        <w:t>（1）范围：渔溪、上迳、新厝三镇以及江阴岛，面积188.6km</w:t>
      </w:r>
      <w:r>
        <w:rPr>
          <w:color w:val="auto"/>
          <w:highlight w:val="none"/>
          <w:u w:val="none"/>
          <w:vertAlign w:val="superscript"/>
        </w:rPr>
        <w:t>2</w:t>
      </w:r>
      <w:r>
        <w:rPr>
          <w:color w:val="auto"/>
          <w:highlight w:val="none"/>
          <w:u w:val="none"/>
        </w:rPr>
        <w:t>。</w:t>
      </w:r>
    </w:p>
    <w:p w14:paraId="5259ED62">
      <w:pPr>
        <w:pStyle w:val="82"/>
        <w:rPr>
          <w:rFonts w:hint="eastAsia"/>
          <w:color w:val="auto"/>
          <w:highlight w:val="none"/>
          <w:u w:val="none"/>
        </w:rPr>
      </w:pPr>
      <w:r>
        <w:rPr>
          <w:color w:val="auto"/>
          <w:highlight w:val="none"/>
          <w:u w:val="none"/>
        </w:rPr>
        <w:t>（2）生态环境特点：本小区包括上迳、渔溪、新厝三个镇的部分以及江阴岛。江阴新城是开发江阴岛经济区的经济中心，以发展海洋运输、临海外向型重工业为主，主要工业企业为冶金、化工企业等，对大气、水体的污染严重。</w:t>
      </w:r>
    </w:p>
    <w:p w14:paraId="5EF498B3">
      <w:pPr>
        <w:pStyle w:val="82"/>
        <w:rPr>
          <w:rFonts w:hint="eastAsia"/>
          <w:color w:val="auto"/>
          <w:highlight w:val="none"/>
          <w:u w:val="none"/>
        </w:rPr>
      </w:pPr>
      <w:r>
        <w:rPr>
          <w:color w:val="auto"/>
          <w:highlight w:val="none"/>
          <w:u w:val="none"/>
        </w:rPr>
        <w:t>（3）主导功能：城镇生态环境。</w:t>
      </w:r>
    </w:p>
    <w:p w14:paraId="6892EB88">
      <w:pPr>
        <w:pStyle w:val="82"/>
        <w:rPr>
          <w:rFonts w:hint="eastAsia"/>
          <w:color w:val="auto"/>
          <w:highlight w:val="none"/>
          <w:u w:val="none"/>
        </w:rPr>
      </w:pPr>
      <w:r>
        <w:rPr>
          <w:color w:val="auto"/>
          <w:highlight w:val="none"/>
          <w:u w:val="none"/>
        </w:rPr>
        <w:t>（4）辅助功能：交通干线视域景观生态、农业生态环境、沿海防风固沙。</w:t>
      </w:r>
    </w:p>
    <w:p w14:paraId="6762BECF">
      <w:pPr>
        <w:pStyle w:val="82"/>
        <w:rPr>
          <w:rFonts w:hint="eastAsia"/>
          <w:color w:val="auto"/>
          <w:highlight w:val="none"/>
          <w:u w:val="none"/>
        </w:rPr>
      </w:pPr>
      <w:r>
        <w:rPr>
          <w:color w:val="auto"/>
          <w:highlight w:val="none"/>
          <w:u w:val="none"/>
        </w:rPr>
        <w:t>（5）生态保育和建设方向：</w:t>
      </w:r>
      <w:r>
        <w:rPr>
          <w:rFonts w:hint="eastAsia" w:ascii="宋体" w:cs="宋体"/>
          <w:color w:val="auto"/>
          <w:highlight w:val="none"/>
          <w:u w:val="none"/>
        </w:rPr>
        <w:t>①</w:t>
      </w:r>
      <w:r>
        <w:rPr>
          <w:color w:val="auto"/>
          <w:highlight w:val="none"/>
          <w:u w:val="none"/>
        </w:rPr>
        <w:t>重点：大气污染重点监控，生态城镇与工业区规划和建设，乡镇企业污染和农业面源污染的治理和控制；</w:t>
      </w:r>
      <w:r>
        <w:rPr>
          <w:rFonts w:hint="eastAsia" w:ascii="宋体" w:cs="宋体"/>
          <w:color w:val="auto"/>
          <w:highlight w:val="none"/>
          <w:u w:val="none"/>
        </w:rPr>
        <w:t>②</w:t>
      </w:r>
      <w:r>
        <w:rPr>
          <w:color w:val="auto"/>
          <w:highlight w:val="none"/>
          <w:u w:val="none"/>
        </w:rPr>
        <w:t>其他相关任务：夏秋台风大潮时海堤的监护和滨海围垦地潮灾的防御，沿海风沙防护林建设。</w:t>
      </w:r>
    </w:p>
    <w:p w14:paraId="523EF572">
      <w:pPr>
        <w:pStyle w:val="82"/>
        <w:rPr>
          <w:rFonts w:hint="eastAsia"/>
          <w:color w:val="auto"/>
          <w:highlight w:val="none"/>
          <w:u w:val="none"/>
        </w:rPr>
      </w:pPr>
      <w:r>
        <w:rPr>
          <w:rFonts w:hint="eastAsia"/>
          <w:color w:val="auto"/>
          <w:highlight w:val="none"/>
          <w:u w:val="none"/>
        </w:rPr>
        <w:t>本项目为有机化学原料制造项目，位于江阴港城经济区的西部临港产业区，项目污染物经治理后可实现达标排放，且项目符合江阴港城产业引进的环保准入条件，与福清市生态功能区划相符合。</w:t>
      </w:r>
    </w:p>
    <w:p w14:paraId="545B05FB">
      <w:pPr>
        <w:rPr>
          <w:rFonts w:hint="eastAsia"/>
          <w:color w:val="auto"/>
          <w:highlight w:val="none"/>
          <w:u w:val="none"/>
        </w:rPr>
      </w:pPr>
    </w:p>
    <w:p w14:paraId="430159C8">
      <w:pPr>
        <w:rPr>
          <w:rFonts w:hint="eastAsia"/>
          <w:color w:val="auto"/>
          <w:highlight w:val="none"/>
          <w:u w:val="none"/>
        </w:rPr>
      </w:pPr>
    </w:p>
    <w:p w14:paraId="25DE2134">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23D0B648">
      <w:pPr>
        <w:pStyle w:val="6"/>
        <w:spacing w:before="120" w:after="120"/>
        <w:rPr>
          <w:color w:val="auto"/>
          <w:highlight w:val="none"/>
          <w:u w:val="none"/>
        </w:rPr>
      </w:pPr>
      <w:bookmarkStart w:id="75" w:name="_Toc148374875"/>
      <w:bookmarkStart w:id="76" w:name="_Toc148374433"/>
      <w:r>
        <w:rPr>
          <w:rFonts w:hint="eastAsia"/>
          <w:color w:val="auto"/>
          <w:highlight w:val="none"/>
          <w:u w:val="none"/>
        </w:rPr>
        <w:t>评价标准</w:t>
      </w:r>
      <w:bookmarkEnd w:id="75"/>
      <w:bookmarkEnd w:id="76"/>
    </w:p>
    <w:p w14:paraId="18EDC0F3">
      <w:pPr>
        <w:pStyle w:val="7"/>
        <w:spacing w:before="120"/>
        <w:rPr>
          <w:color w:val="auto"/>
          <w:highlight w:val="none"/>
          <w:u w:val="none"/>
        </w:rPr>
      </w:pPr>
      <w:r>
        <w:rPr>
          <w:rFonts w:hint="eastAsia"/>
          <w:color w:val="auto"/>
          <w:highlight w:val="none"/>
          <w:u w:val="none"/>
        </w:rPr>
        <w:t>环境质量标准</w:t>
      </w:r>
    </w:p>
    <w:p w14:paraId="740FE71E">
      <w:pPr>
        <w:rPr>
          <w:rFonts w:hint="eastAsia"/>
          <w:color w:val="auto"/>
          <w:highlight w:val="none"/>
          <w:u w:val="none"/>
        </w:rPr>
      </w:pPr>
      <w:r>
        <w:rPr>
          <w:rFonts w:hint="eastAsia"/>
          <w:color w:val="auto"/>
          <w:highlight w:val="none"/>
          <w:u w:val="none"/>
        </w:rPr>
        <w:t>（1）水环境质量标准</w:t>
      </w:r>
    </w:p>
    <w:p w14:paraId="2122569F">
      <w:pPr>
        <w:rPr>
          <w:rFonts w:hint="eastAsia"/>
          <w:color w:val="auto"/>
          <w:highlight w:val="none"/>
          <w:u w:val="none"/>
        </w:rPr>
      </w:pPr>
      <w:r>
        <w:rPr>
          <w:rFonts w:hint="eastAsia"/>
          <w:color w:val="auto"/>
          <w:highlight w:val="none"/>
          <w:u w:val="none"/>
        </w:rPr>
        <w:t>①海水</w:t>
      </w:r>
    </w:p>
    <w:p w14:paraId="3D61DAD1">
      <w:pPr>
        <w:rPr>
          <w:rFonts w:hint="eastAsia"/>
          <w:color w:val="auto"/>
          <w:highlight w:val="none"/>
          <w:u w:val="none"/>
        </w:rPr>
      </w:pPr>
      <w:r>
        <w:rPr>
          <w:rFonts w:hint="eastAsia"/>
          <w:color w:val="auto"/>
          <w:highlight w:val="none"/>
          <w:u w:val="none"/>
        </w:rPr>
        <w:t>根据《福建省近岸海域环境功能区划（修编）》，兴化湾主体海域为二类区，海水水质执行《海水水质标准》（GB3097-1997）中的第二类标准；江阴岛近岸海域（兴化湾江阴壁头四类区，省级代码：</w:t>
      </w:r>
      <w:r>
        <w:rPr>
          <w:color w:val="auto"/>
          <w:szCs w:val="21"/>
          <w:highlight w:val="none"/>
          <w:u w:val="none"/>
        </w:rPr>
        <w:t>FJ097-D-Ⅲ</w:t>
      </w:r>
      <w:r>
        <w:rPr>
          <w:rFonts w:hint="eastAsia"/>
          <w:color w:val="auto"/>
          <w:highlight w:val="none"/>
          <w:u w:val="none"/>
        </w:rPr>
        <w:t>）为四类区，海水水质执行第三类海水水质标准，</w:t>
      </w:r>
      <w:r>
        <w:rPr>
          <w:color w:val="auto"/>
          <w:highlight w:val="none"/>
          <w:u w:val="none"/>
        </w:rPr>
        <w:t>其中硝基苯及苯胺参照前苏联海水水质标准</w:t>
      </w:r>
      <w:r>
        <w:rPr>
          <w:rFonts w:hint="eastAsia"/>
          <w:color w:val="auto"/>
          <w:highlight w:val="none"/>
          <w:u w:val="none"/>
        </w:rPr>
        <w:t>，</w:t>
      </w:r>
      <w:r>
        <w:rPr>
          <w:rFonts w:hint="eastAsia"/>
          <w:color w:val="auto"/>
          <w:szCs w:val="28"/>
          <w:highlight w:val="none"/>
          <w:u w:val="none"/>
        </w:rPr>
        <w:t>江阴岛近岸海域</w:t>
      </w:r>
      <w:r>
        <w:rPr>
          <w:rFonts w:hint="eastAsia"/>
          <w:color w:val="auto"/>
          <w:highlight w:val="none"/>
          <w:u w:val="none"/>
        </w:rPr>
        <w:t>海洋沉积物质量执行《海洋沉积物质量》（GB 18668-2002）中第二类标准，具体标准见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_Ref46735436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lang w:val="en-US"/>
        </w:rPr>
        <w:t>~</w:t>
      </w:r>
      <w:r>
        <w:rPr>
          <w:rFonts w:hint="eastAsia"/>
          <w:color w:val="auto"/>
          <w:highlight w:val="none"/>
          <w:u w:val="none"/>
        </w:rPr>
        <w:fldChar w:fldCharType="begin"/>
      </w:r>
      <w:r>
        <w:rPr>
          <w:rFonts w:hint="eastAsia"/>
          <w:color w:val="auto"/>
          <w:highlight w:val="none"/>
          <w:u w:val="none"/>
        </w:rPr>
        <w:instrText xml:space="preserve"> REF _Ref187358116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rPr>
        <w:fldChar w:fldCharType="end"/>
      </w:r>
      <w:r>
        <w:rPr>
          <w:rFonts w:hint="eastAsia"/>
          <w:color w:val="auto"/>
          <w:highlight w:val="none"/>
          <w:u w:val="none"/>
        </w:rPr>
        <w:t>。</w:t>
      </w:r>
    </w:p>
    <w:p w14:paraId="6E146195">
      <w:pPr>
        <w:pStyle w:val="476"/>
        <w:rPr>
          <w:color w:val="auto"/>
          <w:highlight w:val="none"/>
          <w:u w:val="none"/>
        </w:rPr>
      </w:pPr>
      <w:bookmarkStart w:id="77" w:name="_Ref4673543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77"/>
      <w:r>
        <w:rPr>
          <w:color w:val="auto"/>
          <w:highlight w:val="none"/>
          <w:u w:val="none"/>
        </w:rPr>
        <w:t xml:space="preserve">  海水水质标准  单位：mg/L</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2525"/>
        <w:gridCol w:w="2247"/>
        <w:gridCol w:w="1911"/>
      </w:tblGrid>
      <w:tr w14:paraId="29F65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71" w:type="pct"/>
            <w:vAlign w:val="center"/>
          </w:tcPr>
          <w:p w14:paraId="1EF09348">
            <w:pPr>
              <w:pStyle w:val="510"/>
              <w:rPr>
                <w:color w:val="auto"/>
                <w:highlight w:val="none"/>
                <w:u w:val="none"/>
              </w:rPr>
            </w:pPr>
            <w:r>
              <w:rPr>
                <w:rFonts w:hint="eastAsia"/>
                <w:color w:val="auto"/>
                <w:highlight w:val="none"/>
                <w:u w:val="none"/>
              </w:rPr>
              <w:t>序号</w:t>
            </w:r>
          </w:p>
        </w:tc>
        <w:tc>
          <w:tcPr>
            <w:tcW w:w="1371" w:type="pct"/>
            <w:vAlign w:val="center"/>
          </w:tcPr>
          <w:p w14:paraId="0E4EF844">
            <w:pPr>
              <w:pStyle w:val="510"/>
              <w:rPr>
                <w:color w:val="auto"/>
                <w:highlight w:val="none"/>
                <w:u w:val="none"/>
              </w:rPr>
            </w:pPr>
            <w:r>
              <w:rPr>
                <w:color w:val="auto"/>
                <w:highlight w:val="none"/>
                <w:u w:val="none"/>
              </w:rPr>
              <w:t>项目</w:t>
            </w:r>
          </w:p>
        </w:tc>
        <w:tc>
          <w:tcPr>
            <w:tcW w:w="1220" w:type="pct"/>
            <w:tcMar>
              <w:top w:w="0" w:type="dxa"/>
              <w:left w:w="28" w:type="dxa"/>
              <w:bottom w:w="0" w:type="dxa"/>
              <w:right w:w="28" w:type="dxa"/>
            </w:tcMar>
            <w:vAlign w:val="center"/>
          </w:tcPr>
          <w:p w14:paraId="06970AA5">
            <w:pPr>
              <w:pStyle w:val="510"/>
              <w:rPr>
                <w:color w:val="auto"/>
                <w:highlight w:val="none"/>
                <w:u w:val="none"/>
              </w:rPr>
            </w:pPr>
            <w:r>
              <w:rPr>
                <w:color w:val="auto"/>
                <w:highlight w:val="none"/>
                <w:u w:val="none"/>
              </w:rPr>
              <w:t>第二类</w:t>
            </w:r>
          </w:p>
        </w:tc>
        <w:tc>
          <w:tcPr>
            <w:tcW w:w="1038" w:type="pct"/>
            <w:tcMar>
              <w:top w:w="0" w:type="dxa"/>
              <w:left w:w="28" w:type="dxa"/>
              <w:bottom w:w="0" w:type="dxa"/>
              <w:right w:w="28" w:type="dxa"/>
            </w:tcMar>
            <w:vAlign w:val="center"/>
          </w:tcPr>
          <w:p w14:paraId="6B80096C">
            <w:pPr>
              <w:pStyle w:val="510"/>
              <w:rPr>
                <w:color w:val="auto"/>
                <w:highlight w:val="none"/>
                <w:u w:val="none"/>
              </w:rPr>
            </w:pPr>
            <w:r>
              <w:rPr>
                <w:color w:val="auto"/>
                <w:highlight w:val="none"/>
                <w:u w:val="none"/>
              </w:rPr>
              <w:t>第</w:t>
            </w:r>
            <w:r>
              <w:rPr>
                <w:rFonts w:hint="eastAsia"/>
                <w:color w:val="auto"/>
                <w:highlight w:val="none"/>
                <w:u w:val="none"/>
              </w:rPr>
              <w:t>三</w:t>
            </w:r>
            <w:r>
              <w:rPr>
                <w:color w:val="auto"/>
                <w:highlight w:val="none"/>
                <w:u w:val="none"/>
              </w:rPr>
              <w:t>类</w:t>
            </w:r>
          </w:p>
        </w:tc>
      </w:tr>
      <w:tr w14:paraId="15381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A968FC8">
            <w:pPr>
              <w:pStyle w:val="510"/>
              <w:rPr>
                <w:color w:val="auto"/>
                <w:highlight w:val="none"/>
                <w:u w:val="none"/>
              </w:rPr>
            </w:pPr>
            <w:r>
              <w:rPr>
                <w:rFonts w:hint="eastAsia"/>
                <w:color w:val="auto"/>
                <w:highlight w:val="none"/>
                <w:u w:val="none"/>
              </w:rPr>
              <w:t>1</w:t>
            </w:r>
          </w:p>
        </w:tc>
        <w:tc>
          <w:tcPr>
            <w:tcW w:w="1371" w:type="pct"/>
            <w:tcMar>
              <w:top w:w="0" w:type="dxa"/>
              <w:left w:w="28" w:type="dxa"/>
              <w:bottom w:w="0" w:type="dxa"/>
              <w:right w:w="28" w:type="dxa"/>
            </w:tcMar>
            <w:vAlign w:val="center"/>
          </w:tcPr>
          <w:p w14:paraId="2D16D036">
            <w:pPr>
              <w:pStyle w:val="510"/>
              <w:rPr>
                <w:color w:val="auto"/>
                <w:highlight w:val="none"/>
                <w:u w:val="none"/>
              </w:rPr>
            </w:pPr>
            <w:r>
              <w:rPr>
                <w:color w:val="auto"/>
                <w:highlight w:val="none"/>
                <w:u w:val="none"/>
              </w:rPr>
              <w:t>pH</w:t>
            </w:r>
          </w:p>
        </w:tc>
        <w:tc>
          <w:tcPr>
            <w:tcW w:w="1220" w:type="pct"/>
            <w:vAlign w:val="center"/>
          </w:tcPr>
          <w:p w14:paraId="5F3E7850">
            <w:pPr>
              <w:pStyle w:val="510"/>
              <w:rPr>
                <w:color w:val="auto"/>
                <w:highlight w:val="none"/>
                <w:u w:val="none"/>
              </w:rPr>
            </w:pPr>
            <w:r>
              <w:rPr>
                <w:color w:val="auto"/>
                <w:highlight w:val="none"/>
                <w:u w:val="none"/>
              </w:rPr>
              <w:t>7.8-8.5</w:t>
            </w:r>
          </w:p>
        </w:tc>
        <w:tc>
          <w:tcPr>
            <w:tcW w:w="1038" w:type="pct"/>
            <w:tcMar>
              <w:top w:w="0" w:type="dxa"/>
              <w:left w:w="28" w:type="dxa"/>
              <w:bottom w:w="0" w:type="dxa"/>
              <w:right w:w="28" w:type="dxa"/>
            </w:tcMar>
            <w:vAlign w:val="center"/>
          </w:tcPr>
          <w:p w14:paraId="7A9A86F3">
            <w:pPr>
              <w:pStyle w:val="510"/>
              <w:rPr>
                <w:color w:val="auto"/>
                <w:highlight w:val="none"/>
                <w:u w:val="none"/>
              </w:rPr>
            </w:pPr>
            <w:r>
              <w:rPr>
                <w:color w:val="auto"/>
                <w:highlight w:val="none"/>
                <w:u w:val="none"/>
              </w:rPr>
              <w:t>6.8-8.8</w:t>
            </w:r>
          </w:p>
        </w:tc>
      </w:tr>
      <w:tr w14:paraId="2CAC5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2499F23A">
            <w:pPr>
              <w:pStyle w:val="510"/>
              <w:rPr>
                <w:color w:val="auto"/>
                <w:highlight w:val="none"/>
                <w:u w:val="none"/>
              </w:rPr>
            </w:pPr>
            <w:r>
              <w:rPr>
                <w:rFonts w:hint="eastAsia"/>
                <w:color w:val="auto"/>
                <w:highlight w:val="none"/>
                <w:u w:val="none"/>
              </w:rPr>
              <w:t>2</w:t>
            </w:r>
          </w:p>
        </w:tc>
        <w:tc>
          <w:tcPr>
            <w:tcW w:w="1371" w:type="pct"/>
            <w:vAlign w:val="center"/>
          </w:tcPr>
          <w:p w14:paraId="40EE4F12">
            <w:pPr>
              <w:pStyle w:val="510"/>
              <w:rPr>
                <w:color w:val="auto"/>
                <w:highlight w:val="none"/>
                <w:u w:val="none"/>
              </w:rPr>
            </w:pPr>
            <w:r>
              <w:rPr>
                <w:color w:val="auto"/>
                <w:highlight w:val="none"/>
                <w:u w:val="none"/>
              </w:rPr>
              <w:t>DO＞</w:t>
            </w:r>
          </w:p>
        </w:tc>
        <w:tc>
          <w:tcPr>
            <w:tcW w:w="1220" w:type="pct"/>
            <w:tcMar>
              <w:top w:w="0" w:type="dxa"/>
              <w:left w:w="28" w:type="dxa"/>
              <w:bottom w:w="0" w:type="dxa"/>
              <w:right w:w="28" w:type="dxa"/>
            </w:tcMar>
            <w:vAlign w:val="center"/>
          </w:tcPr>
          <w:p w14:paraId="115C41A1">
            <w:pPr>
              <w:pStyle w:val="510"/>
              <w:rPr>
                <w:color w:val="auto"/>
                <w:highlight w:val="none"/>
                <w:u w:val="none"/>
              </w:rPr>
            </w:pPr>
            <w:r>
              <w:rPr>
                <w:color w:val="auto"/>
                <w:highlight w:val="none"/>
                <w:u w:val="none"/>
              </w:rPr>
              <w:t>5</w:t>
            </w:r>
          </w:p>
        </w:tc>
        <w:tc>
          <w:tcPr>
            <w:tcW w:w="1038" w:type="pct"/>
            <w:tcMar>
              <w:top w:w="0" w:type="dxa"/>
              <w:left w:w="28" w:type="dxa"/>
              <w:bottom w:w="0" w:type="dxa"/>
              <w:right w:w="28" w:type="dxa"/>
            </w:tcMar>
            <w:vAlign w:val="center"/>
          </w:tcPr>
          <w:p w14:paraId="1B4E7A08">
            <w:pPr>
              <w:pStyle w:val="510"/>
              <w:rPr>
                <w:color w:val="auto"/>
                <w:highlight w:val="none"/>
                <w:u w:val="none"/>
              </w:rPr>
            </w:pPr>
            <w:r>
              <w:rPr>
                <w:color w:val="auto"/>
                <w:highlight w:val="none"/>
                <w:u w:val="none"/>
              </w:rPr>
              <w:t>4</w:t>
            </w:r>
          </w:p>
        </w:tc>
      </w:tr>
      <w:tr w14:paraId="43669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A62A693">
            <w:pPr>
              <w:pStyle w:val="510"/>
              <w:rPr>
                <w:color w:val="auto"/>
                <w:highlight w:val="none"/>
                <w:u w:val="none"/>
              </w:rPr>
            </w:pPr>
            <w:r>
              <w:rPr>
                <w:rFonts w:hint="eastAsia"/>
                <w:color w:val="auto"/>
                <w:highlight w:val="none"/>
                <w:u w:val="none"/>
              </w:rPr>
              <w:t>3</w:t>
            </w:r>
          </w:p>
        </w:tc>
        <w:tc>
          <w:tcPr>
            <w:tcW w:w="1371" w:type="pct"/>
            <w:vAlign w:val="center"/>
          </w:tcPr>
          <w:p w14:paraId="659D50F5">
            <w:pPr>
              <w:pStyle w:val="510"/>
              <w:rPr>
                <w:color w:val="auto"/>
                <w:highlight w:val="none"/>
                <w:u w:val="none"/>
              </w:rPr>
            </w:pPr>
            <w:r>
              <w:rPr>
                <w:color w:val="auto"/>
                <w:highlight w:val="none"/>
                <w:u w:val="none"/>
              </w:rPr>
              <w:t>COD≤</w:t>
            </w:r>
          </w:p>
        </w:tc>
        <w:tc>
          <w:tcPr>
            <w:tcW w:w="1220" w:type="pct"/>
            <w:tcMar>
              <w:top w:w="0" w:type="dxa"/>
              <w:left w:w="28" w:type="dxa"/>
              <w:bottom w:w="0" w:type="dxa"/>
              <w:right w:w="28" w:type="dxa"/>
            </w:tcMar>
            <w:vAlign w:val="center"/>
          </w:tcPr>
          <w:p w14:paraId="5F37B4FF">
            <w:pPr>
              <w:pStyle w:val="510"/>
              <w:rPr>
                <w:color w:val="auto"/>
                <w:highlight w:val="none"/>
                <w:u w:val="none"/>
              </w:rPr>
            </w:pPr>
            <w:r>
              <w:rPr>
                <w:color w:val="auto"/>
                <w:highlight w:val="none"/>
                <w:u w:val="none"/>
              </w:rPr>
              <w:t>3</w:t>
            </w:r>
          </w:p>
        </w:tc>
        <w:tc>
          <w:tcPr>
            <w:tcW w:w="1038" w:type="pct"/>
            <w:tcMar>
              <w:top w:w="0" w:type="dxa"/>
              <w:left w:w="28" w:type="dxa"/>
              <w:bottom w:w="0" w:type="dxa"/>
              <w:right w:w="28" w:type="dxa"/>
            </w:tcMar>
            <w:vAlign w:val="center"/>
          </w:tcPr>
          <w:p w14:paraId="77278D59">
            <w:pPr>
              <w:pStyle w:val="510"/>
              <w:rPr>
                <w:color w:val="auto"/>
                <w:highlight w:val="none"/>
                <w:u w:val="none"/>
              </w:rPr>
            </w:pPr>
            <w:r>
              <w:rPr>
                <w:color w:val="auto"/>
                <w:highlight w:val="none"/>
                <w:u w:val="none"/>
              </w:rPr>
              <w:t>4</w:t>
            </w:r>
          </w:p>
        </w:tc>
      </w:tr>
      <w:tr w14:paraId="44E0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51246683">
            <w:pPr>
              <w:pStyle w:val="510"/>
              <w:rPr>
                <w:color w:val="auto"/>
                <w:highlight w:val="none"/>
                <w:u w:val="none"/>
              </w:rPr>
            </w:pPr>
            <w:r>
              <w:rPr>
                <w:rFonts w:hint="eastAsia"/>
                <w:color w:val="auto"/>
                <w:highlight w:val="none"/>
                <w:u w:val="none"/>
              </w:rPr>
              <w:t>4</w:t>
            </w:r>
          </w:p>
        </w:tc>
        <w:tc>
          <w:tcPr>
            <w:tcW w:w="1371" w:type="pct"/>
            <w:vAlign w:val="center"/>
          </w:tcPr>
          <w:p w14:paraId="7C7D950A">
            <w:pPr>
              <w:pStyle w:val="510"/>
              <w:rPr>
                <w:color w:val="auto"/>
                <w:highlight w:val="none"/>
                <w:u w:val="none"/>
              </w:rPr>
            </w:pPr>
            <w:r>
              <w:rPr>
                <w:rFonts w:hint="eastAsia"/>
                <w:color w:val="auto"/>
                <w:highlight w:val="none"/>
                <w:u w:val="none"/>
              </w:rPr>
              <w:t>五日生化需氧量</w:t>
            </w:r>
            <w:r>
              <w:rPr>
                <w:color w:val="auto"/>
                <w:highlight w:val="none"/>
                <w:u w:val="none"/>
              </w:rPr>
              <w:t>≤</w:t>
            </w:r>
          </w:p>
        </w:tc>
        <w:tc>
          <w:tcPr>
            <w:tcW w:w="1220" w:type="pct"/>
            <w:tcMar>
              <w:top w:w="0" w:type="dxa"/>
              <w:left w:w="28" w:type="dxa"/>
              <w:bottom w:w="0" w:type="dxa"/>
              <w:right w:w="28" w:type="dxa"/>
            </w:tcMar>
            <w:vAlign w:val="center"/>
          </w:tcPr>
          <w:p w14:paraId="78CB9E96">
            <w:pPr>
              <w:pStyle w:val="510"/>
              <w:rPr>
                <w:color w:val="auto"/>
                <w:highlight w:val="none"/>
                <w:u w:val="none"/>
              </w:rPr>
            </w:pPr>
            <w:r>
              <w:rPr>
                <w:rFonts w:hint="eastAsia"/>
                <w:color w:val="auto"/>
                <w:highlight w:val="none"/>
                <w:u w:val="none"/>
              </w:rPr>
              <w:t>1</w:t>
            </w:r>
          </w:p>
        </w:tc>
        <w:tc>
          <w:tcPr>
            <w:tcW w:w="1038" w:type="pct"/>
            <w:tcMar>
              <w:top w:w="0" w:type="dxa"/>
              <w:left w:w="28" w:type="dxa"/>
              <w:bottom w:w="0" w:type="dxa"/>
              <w:right w:w="28" w:type="dxa"/>
            </w:tcMar>
            <w:vAlign w:val="center"/>
          </w:tcPr>
          <w:p w14:paraId="368FC75F">
            <w:pPr>
              <w:pStyle w:val="510"/>
              <w:rPr>
                <w:color w:val="auto"/>
                <w:highlight w:val="none"/>
                <w:u w:val="none"/>
              </w:rPr>
            </w:pPr>
            <w:r>
              <w:rPr>
                <w:rFonts w:hint="eastAsia"/>
                <w:color w:val="auto"/>
                <w:highlight w:val="none"/>
                <w:u w:val="none"/>
              </w:rPr>
              <w:t>3</w:t>
            </w:r>
          </w:p>
        </w:tc>
      </w:tr>
      <w:tr w14:paraId="30347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B887375">
            <w:pPr>
              <w:pStyle w:val="510"/>
              <w:rPr>
                <w:color w:val="auto"/>
                <w:highlight w:val="none"/>
                <w:u w:val="none"/>
              </w:rPr>
            </w:pPr>
            <w:r>
              <w:rPr>
                <w:rFonts w:hint="eastAsia"/>
                <w:color w:val="auto"/>
                <w:highlight w:val="none"/>
                <w:u w:val="none"/>
              </w:rPr>
              <w:t>5</w:t>
            </w:r>
          </w:p>
        </w:tc>
        <w:tc>
          <w:tcPr>
            <w:tcW w:w="1371" w:type="pct"/>
            <w:vAlign w:val="center"/>
          </w:tcPr>
          <w:p w14:paraId="6CC2346E">
            <w:pPr>
              <w:pStyle w:val="510"/>
              <w:rPr>
                <w:color w:val="auto"/>
                <w:highlight w:val="none"/>
                <w:u w:val="none"/>
              </w:rPr>
            </w:pPr>
            <w:r>
              <w:rPr>
                <w:color w:val="auto"/>
                <w:highlight w:val="none"/>
                <w:u w:val="none"/>
              </w:rPr>
              <w:t>无机氮≤</w:t>
            </w:r>
          </w:p>
        </w:tc>
        <w:tc>
          <w:tcPr>
            <w:tcW w:w="1220" w:type="pct"/>
            <w:tcMar>
              <w:top w:w="0" w:type="dxa"/>
              <w:left w:w="28" w:type="dxa"/>
              <w:bottom w:w="0" w:type="dxa"/>
              <w:right w:w="28" w:type="dxa"/>
            </w:tcMar>
            <w:vAlign w:val="center"/>
          </w:tcPr>
          <w:p w14:paraId="71625393">
            <w:pPr>
              <w:pStyle w:val="510"/>
              <w:rPr>
                <w:color w:val="auto"/>
                <w:highlight w:val="none"/>
                <w:u w:val="none"/>
              </w:rPr>
            </w:pPr>
            <w:r>
              <w:rPr>
                <w:color w:val="auto"/>
                <w:highlight w:val="none"/>
                <w:u w:val="none"/>
              </w:rPr>
              <w:t>0.30</w:t>
            </w:r>
          </w:p>
        </w:tc>
        <w:tc>
          <w:tcPr>
            <w:tcW w:w="1038" w:type="pct"/>
            <w:tcMar>
              <w:top w:w="0" w:type="dxa"/>
              <w:left w:w="28" w:type="dxa"/>
              <w:bottom w:w="0" w:type="dxa"/>
              <w:right w:w="28" w:type="dxa"/>
            </w:tcMar>
            <w:vAlign w:val="center"/>
          </w:tcPr>
          <w:p w14:paraId="642D12BB">
            <w:pPr>
              <w:pStyle w:val="510"/>
              <w:rPr>
                <w:color w:val="auto"/>
                <w:highlight w:val="none"/>
                <w:u w:val="none"/>
              </w:rPr>
            </w:pPr>
            <w:r>
              <w:rPr>
                <w:color w:val="auto"/>
                <w:highlight w:val="none"/>
                <w:u w:val="none"/>
              </w:rPr>
              <w:t>0.40</w:t>
            </w:r>
          </w:p>
        </w:tc>
      </w:tr>
      <w:tr w14:paraId="52E08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70C941D">
            <w:pPr>
              <w:pStyle w:val="510"/>
              <w:rPr>
                <w:color w:val="auto"/>
                <w:highlight w:val="none"/>
                <w:u w:val="none"/>
              </w:rPr>
            </w:pPr>
            <w:r>
              <w:rPr>
                <w:rFonts w:hint="eastAsia"/>
                <w:color w:val="auto"/>
                <w:highlight w:val="none"/>
                <w:u w:val="none"/>
              </w:rPr>
              <w:t>6</w:t>
            </w:r>
          </w:p>
        </w:tc>
        <w:tc>
          <w:tcPr>
            <w:tcW w:w="1371" w:type="pct"/>
            <w:vAlign w:val="center"/>
          </w:tcPr>
          <w:p w14:paraId="689B1B16">
            <w:pPr>
              <w:pStyle w:val="510"/>
              <w:rPr>
                <w:color w:val="auto"/>
                <w:highlight w:val="none"/>
                <w:u w:val="none"/>
              </w:rPr>
            </w:pPr>
            <w:r>
              <w:rPr>
                <w:color w:val="auto"/>
                <w:highlight w:val="none"/>
                <w:u w:val="none"/>
              </w:rPr>
              <w:t>活性磷酸盐≤</w:t>
            </w:r>
          </w:p>
        </w:tc>
        <w:tc>
          <w:tcPr>
            <w:tcW w:w="1220" w:type="pct"/>
            <w:tcMar>
              <w:top w:w="0" w:type="dxa"/>
              <w:left w:w="28" w:type="dxa"/>
              <w:bottom w:w="0" w:type="dxa"/>
              <w:right w:w="28" w:type="dxa"/>
            </w:tcMar>
            <w:vAlign w:val="center"/>
          </w:tcPr>
          <w:p w14:paraId="216B132E">
            <w:pPr>
              <w:pStyle w:val="510"/>
              <w:rPr>
                <w:color w:val="auto"/>
                <w:highlight w:val="none"/>
                <w:u w:val="none"/>
              </w:rPr>
            </w:pPr>
            <w:r>
              <w:rPr>
                <w:color w:val="auto"/>
                <w:highlight w:val="none"/>
                <w:u w:val="none"/>
              </w:rPr>
              <w:t>0.030</w:t>
            </w:r>
          </w:p>
        </w:tc>
        <w:tc>
          <w:tcPr>
            <w:tcW w:w="1038" w:type="pct"/>
            <w:tcMar>
              <w:top w:w="0" w:type="dxa"/>
              <w:left w:w="28" w:type="dxa"/>
              <w:bottom w:w="0" w:type="dxa"/>
              <w:right w:w="28" w:type="dxa"/>
            </w:tcMar>
            <w:vAlign w:val="center"/>
          </w:tcPr>
          <w:p w14:paraId="23CB8CAD">
            <w:pPr>
              <w:pStyle w:val="510"/>
              <w:rPr>
                <w:color w:val="auto"/>
                <w:highlight w:val="none"/>
                <w:u w:val="none"/>
              </w:rPr>
            </w:pPr>
            <w:r>
              <w:rPr>
                <w:color w:val="auto"/>
                <w:highlight w:val="none"/>
                <w:u w:val="none"/>
              </w:rPr>
              <w:t>0.030</w:t>
            </w:r>
          </w:p>
        </w:tc>
      </w:tr>
      <w:tr w14:paraId="60908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0BD44DE2">
            <w:pPr>
              <w:pStyle w:val="510"/>
              <w:rPr>
                <w:color w:val="auto"/>
                <w:highlight w:val="none"/>
                <w:u w:val="none"/>
              </w:rPr>
            </w:pPr>
            <w:r>
              <w:rPr>
                <w:rFonts w:hint="eastAsia"/>
                <w:color w:val="auto"/>
                <w:highlight w:val="none"/>
                <w:u w:val="none"/>
              </w:rPr>
              <w:t>7</w:t>
            </w:r>
          </w:p>
        </w:tc>
        <w:tc>
          <w:tcPr>
            <w:tcW w:w="1371" w:type="pct"/>
            <w:vAlign w:val="center"/>
          </w:tcPr>
          <w:p w14:paraId="6ABC9C09">
            <w:pPr>
              <w:pStyle w:val="510"/>
              <w:rPr>
                <w:color w:val="auto"/>
                <w:highlight w:val="none"/>
                <w:u w:val="none"/>
              </w:rPr>
            </w:pPr>
            <w:r>
              <w:rPr>
                <w:color w:val="auto"/>
                <w:highlight w:val="none"/>
                <w:u w:val="none"/>
              </w:rPr>
              <w:t>氰化物≤</w:t>
            </w:r>
          </w:p>
        </w:tc>
        <w:tc>
          <w:tcPr>
            <w:tcW w:w="1220" w:type="pct"/>
            <w:vAlign w:val="center"/>
          </w:tcPr>
          <w:p w14:paraId="60BAE34E">
            <w:pPr>
              <w:pStyle w:val="510"/>
              <w:rPr>
                <w:color w:val="auto"/>
                <w:highlight w:val="none"/>
                <w:u w:val="none"/>
              </w:rPr>
            </w:pPr>
            <w:r>
              <w:rPr>
                <w:color w:val="auto"/>
                <w:highlight w:val="none"/>
                <w:u w:val="none"/>
              </w:rPr>
              <w:t>0.005</w:t>
            </w:r>
          </w:p>
        </w:tc>
        <w:tc>
          <w:tcPr>
            <w:tcW w:w="1038" w:type="pct"/>
            <w:tcMar>
              <w:top w:w="0" w:type="dxa"/>
              <w:left w:w="28" w:type="dxa"/>
              <w:bottom w:w="0" w:type="dxa"/>
              <w:right w:w="28" w:type="dxa"/>
            </w:tcMar>
            <w:vAlign w:val="center"/>
          </w:tcPr>
          <w:p w14:paraId="7CAEFF99">
            <w:pPr>
              <w:pStyle w:val="510"/>
              <w:rPr>
                <w:color w:val="auto"/>
                <w:highlight w:val="none"/>
                <w:u w:val="none"/>
              </w:rPr>
            </w:pPr>
            <w:r>
              <w:rPr>
                <w:color w:val="auto"/>
                <w:highlight w:val="none"/>
                <w:u w:val="none"/>
              </w:rPr>
              <w:t>0.10</w:t>
            </w:r>
          </w:p>
        </w:tc>
      </w:tr>
      <w:tr w14:paraId="702CC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24E70294">
            <w:pPr>
              <w:pStyle w:val="510"/>
              <w:rPr>
                <w:color w:val="auto"/>
                <w:highlight w:val="none"/>
                <w:u w:val="none"/>
              </w:rPr>
            </w:pPr>
            <w:r>
              <w:rPr>
                <w:rFonts w:hint="eastAsia"/>
                <w:color w:val="auto"/>
                <w:highlight w:val="none"/>
                <w:u w:val="none"/>
              </w:rPr>
              <w:t>8</w:t>
            </w:r>
          </w:p>
        </w:tc>
        <w:tc>
          <w:tcPr>
            <w:tcW w:w="1371" w:type="pct"/>
            <w:vAlign w:val="center"/>
          </w:tcPr>
          <w:p w14:paraId="4D5AB517">
            <w:pPr>
              <w:pStyle w:val="510"/>
              <w:rPr>
                <w:color w:val="auto"/>
                <w:highlight w:val="none"/>
                <w:u w:val="none"/>
              </w:rPr>
            </w:pPr>
            <w:r>
              <w:rPr>
                <w:rFonts w:hint="eastAsia"/>
                <w:color w:val="auto"/>
                <w:highlight w:val="none"/>
                <w:u w:val="none"/>
              </w:rPr>
              <w:t>硫化物</w:t>
            </w:r>
            <w:r>
              <w:rPr>
                <w:color w:val="auto"/>
                <w:highlight w:val="none"/>
                <w:u w:val="none"/>
              </w:rPr>
              <w:t>≤</w:t>
            </w:r>
          </w:p>
        </w:tc>
        <w:tc>
          <w:tcPr>
            <w:tcW w:w="1220" w:type="pct"/>
            <w:vAlign w:val="center"/>
          </w:tcPr>
          <w:p w14:paraId="2BE21E94">
            <w:pPr>
              <w:pStyle w:val="510"/>
              <w:rPr>
                <w:color w:val="auto"/>
                <w:highlight w:val="none"/>
                <w:u w:val="none"/>
              </w:rPr>
            </w:pPr>
            <w:r>
              <w:rPr>
                <w:rFonts w:hint="eastAsia"/>
                <w:color w:val="auto"/>
                <w:highlight w:val="none"/>
                <w:u w:val="none"/>
              </w:rPr>
              <w:t>0</w:t>
            </w:r>
            <w:r>
              <w:rPr>
                <w:color w:val="auto"/>
                <w:highlight w:val="none"/>
                <w:u w:val="none"/>
              </w:rPr>
              <w:t>.05</w:t>
            </w:r>
          </w:p>
        </w:tc>
        <w:tc>
          <w:tcPr>
            <w:tcW w:w="1038" w:type="pct"/>
            <w:tcMar>
              <w:top w:w="0" w:type="dxa"/>
              <w:left w:w="28" w:type="dxa"/>
              <w:bottom w:w="0" w:type="dxa"/>
              <w:right w:w="28" w:type="dxa"/>
            </w:tcMar>
            <w:vAlign w:val="center"/>
          </w:tcPr>
          <w:p w14:paraId="1CBBEAD6">
            <w:pPr>
              <w:pStyle w:val="510"/>
              <w:rPr>
                <w:color w:val="auto"/>
                <w:highlight w:val="none"/>
                <w:u w:val="none"/>
              </w:rPr>
            </w:pPr>
            <w:r>
              <w:rPr>
                <w:rFonts w:hint="eastAsia"/>
                <w:color w:val="auto"/>
                <w:highlight w:val="none"/>
                <w:u w:val="none"/>
              </w:rPr>
              <w:t>0</w:t>
            </w:r>
            <w:r>
              <w:rPr>
                <w:color w:val="auto"/>
                <w:highlight w:val="none"/>
                <w:u w:val="none"/>
              </w:rPr>
              <w:t>.10</w:t>
            </w:r>
          </w:p>
        </w:tc>
      </w:tr>
      <w:tr w14:paraId="587A3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01453C9F">
            <w:pPr>
              <w:pStyle w:val="510"/>
              <w:rPr>
                <w:color w:val="auto"/>
                <w:highlight w:val="none"/>
                <w:u w:val="none"/>
              </w:rPr>
            </w:pPr>
            <w:r>
              <w:rPr>
                <w:rFonts w:hint="eastAsia"/>
                <w:color w:val="auto"/>
                <w:highlight w:val="none"/>
                <w:u w:val="none"/>
              </w:rPr>
              <w:t>9</w:t>
            </w:r>
          </w:p>
        </w:tc>
        <w:tc>
          <w:tcPr>
            <w:tcW w:w="1371" w:type="pct"/>
            <w:vAlign w:val="center"/>
          </w:tcPr>
          <w:p w14:paraId="58336020">
            <w:pPr>
              <w:pStyle w:val="510"/>
              <w:rPr>
                <w:color w:val="auto"/>
                <w:highlight w:val="none"/>
                <w:u w:val="none"/>
              </w:rPr>
            </w:pPr>
            <w:r>
              <w:rPr>
                <w:color w:val="auto"/>
                <w:highlight w:val="none"/>
                <w:u w:val="none"/>
              </w:rPr>
              <w:t>挥发性酚≤</w:t>
            </w:r>
          </w:p>
        </w:tc>
        <w:tc>
          <w:tcPr>
            <w:tcW w:w="1220" w:type="pct"/>
            <w:vAlign w:val="center"/>
          </w:tcPr>
          <w:p w14:paraId="45FB8697">
            <w:pPr>
              <w:pStyle w:val="510"/>
              <w:rPr>
                <w:color w:val="auto"/>
                <w:highlight w:val="none"/>
                <w:u w:val="none"/>
              </w:rPr>
            </w:pPr>
            <w:r>
              <w:rPr>
                <w:color w:val="auto"/>
                <w:highlight w:val="none"/>
                <w:u w:val="none"/>
              </w:rPr>
              <w:t>0.005</w:t>
            </w:r>
          </w:p>
        </w:tc>
        <w:tc>
          <w:tcPr>
            <w:tcW w:w="1038" w:type="pct"/>
            <w:tcMar>
              <w:top w:w="0" w:type="dxa"/>
              <w:left w:w="28" w:type="dxa"/>
              <w:bottom w:w="0" w:type="dxa"/>
              <w:right w:w="28" w:type="dxa"/>
            </w:tcMar>
            <w:vAlign w:val="center"/>
          </w:tcPr>
          <w:p w14:paraId="5D67216D">
            <w:pPr>
              <w:pStyle w:val="510"/>
              <w:rPr>
                <w:color w:val="auto"/>
                <w:highlight w:val="none"/>
                <w:u w:val="none"/>
              </w:rPr>
            </w:pPr>
            <w:r>
              <w:rPr>
                <w:color w:val="auto"/>
                <w:highlight w:val="none"/>
                <w:u w:val="none"/>
              </w:rPr>
              <w:t>0.010</w:t>
            </w:r>
          </w:p>
        </w:tc>
      </w:tr>
      <w:tr w14:paraId="7593D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2FECB3C">
            <w:pPr>
              <w:pStyle w:val="510"/>
              <w:rPr>
                <w:color w:val="auto"/>
                <w:highlight w:val="none"/>
                <w:u w:val="none"/>
              </w:rPr>
            </w:pPr>
            <w:r>
              <w:rPr>
                <w:rFonts w:hint="eastAsia"/>
                <w:color w:val="auto"/>
                <w:highlight w:val="none"/>
                <w:u w:val="none"/>
              </w:rPr>
              <w:t>1</w:t>
            </w:r>
            <w:r>
              <w:rPr>
                <w:color w:val="auto"/>
                <w:highlight w:val="none"/>
                <w:u w:val="none"/>
              </w:rPr>
              <w:t>0</w:t>
            </w:r>
          </w:p>
        </w:tc>
        <w:tc>
          <w:tcPr>
            <w:tcW w:w="1371" w:type="pct"/>
            <w:vAlign w:val="center"/>
          </w:tcPr>
          <w:p w14:paraId="63C7B368">
            <w:pPr>
              <w:pStyle w:val="510"/>
              <w:rPr>
                <w:color w:val="auto"/>
                <w:highlight w:val="none"/>
                <w:u w:val="none"/>
              </w:rPr>
            </w:pPr>
            <w:r>
              <w:rPr>
                <w:color w:val="auto"/>
                <w:highlight w:val="none"/>
                <w:u w:val="none"/>
              </w:rPr>
              <w:t>铜≤</w:t>
            </w:r>
          </w:p>
        </w:tc>
        <w:tc>
          <w:tcPr>
            <w:tcW w:w="1220" w:type="pct"/>
            <w:vAlign w:val="center"/>
          </w:tcPr>
          <w:p w14:paraId="7F3A8B39">
            <w:pPr>
              <w:pStyle w:val="510"/>
              <w:rPr>
                <w:color w:val="auto"/>
                <w:highlight w:val="none"/>
                <w:u w:val="none"/>
              </w:rPr>
            </w:pPr>
            <w:r>
              <w:rPr>
                <w:color w:val="auto"/>
                <w:highlight w:val="none"/>
                <w:u w:val="none"/>
              </w:rPr>
              <w:t>0.010</w:t>
            </w:r>
          </w:p>
        </w:tc>
        <w:tc>
          <w:tcPr>
            <w:tcW w:w="1038" w:type="pct"/>
            <w:tcMar>
              <w:top w:w="0" w:type="dxa"/>
              <w:left w:w="28" w:type="dxa"/>
              <w:bottom w:w="0" w:type="dxa"/>
              <w:right w:w="28" w:type="dxa"/>
            </w:tcMar>
            <w:vAlign w:val="center"/>
          </w:tcPr>
          <w:p w14:paraId="03FBFFDF">
            <w:pPr>
              <w:pStyle w:val="510"/>
              <w:rPr>
                <w:color w:val="auto"/>
                <w:highlight w:val="none"/>
                <w:u w:val="none"/>
              </w:rPr>
            </w:pPr>
            <w:r>
              <w:rPr>
                <w:color w:val="auto"/>
                <w:highlight w:val="none"/>
                <w:u w:val="none"/>
              </w:rPr>
              <w:t>0.050</w:t>
            </w:r>
          </w:p>
        </w:tc>
      </w:tr>
      <w:tr w14:paraId="0513F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4307CC56">
            <w:pPr>
              <w:pStyle w:val="510"/>
              <w:rPr>
                <w:color w:val="auto"/>
                <w:highlight w:val="none"/>
                <w:u w:val="none"/>
              </w:rPr>
            </w:pPr>
            <w:r>
              <w:rPr>
                <w:rFonts w:hint="eastAsia"/>
                <w:color w:val="auto"/>
                <w:highlight w:val="none"/>
                <w:u w:val="none"/>
              </w:rPr>
              <w:t>1</w:t>
            </w:r>
            <w:r>
              <w:rPr>
                <w:color w:val="auto"/>
                <w:highlight w:val="none"/>
                <w:u w:val="none"/>
              </w:rPr>
              <w:t>1</w:t>
            </w:r>
          </w:p>
        </w:tc>
        <w:tc>
          <w:tcPr>
            <w:tcW w:w="1371" w:type="pct"/>
            <w:vAlign w:val="center"/>
          </w:tcPr>
          <w:p w14:paraId="1D36E3E0">
            <w:pPr>
              <w:pStyle w:val="510"/>
              <w:rPr>
                <w:color w:val="auto"/>
                <w:highlight w:val="none"/>
                <w:u w:val="none"/>
              </w:rPr>
            </w:pPr>
            <w:r>
              <w:rPr>
                <w:rFonts w:hint="eastAsia"/>
                <w:color w:val="auto"/>
                <w:highlight w:val="none"/>
                <w:u w:val="none"/>
              </w:rPr>
              <w:t>锌</w:t>
            </w:r>
            <w:r>
              <w:rPr>
                <w:color w:val="auto"/>
                <w:highlight w:val="none"/>
                <w:u w:val="none"/>
              </w:rPr>
              <w:t>≤</w:t>
            </w:r>
          </w:p>
        </w:tc>
        <w:tc>
          <w:tcPr>
            <w:tcW w:w="1220" w:type="pct"/>
            <w:vAlign w:val="center"/>
          </w:tcPr>
          <w:p w14:paraId="5DD0B9AD">
            <w:pPr>
              <w:pStyle w:val="510"/>
              <w:rPr>
                <w:color w:val="auto"/>
                <w:highlight w:val="none"/>
                <w:u w:val="none"/>
              </w:rPr>
            </w:pPr>
            <w:r>
              <w:rPr>
                <w:rFonts w:hint="eastAsia"/>
                <w:color w:val="auto"/>
                <w:highlight w:val="none"/>
                <w:u w:val="none"/>
              </w:rPr>
              <w:t>0</w:t>
            </w:r>
            <w:r>
              <w:rPr>
                <w:color w:val="auto"/>
                <w:highlight w:val="none"/>
                <w:u w:val="none"/>
              </w:rPr>
              <w:t>.050</w:t>
            </w:r>
          </w:p>
        </w:tc>
        <w:tc>
          <w:tcPr>
            <w:tcW w:w="1038" w:type="pct"/>
            <w:tcMar>
              <w:top w:w="0" w:type="dxa"/>
              <w:left w:w="28" w:type="dxa"/>
              <w:bottom w:w="0" w:type="dxa"/>
              <w:right w:w="28" w:type="dxa"/>
            </w:tcMar>
            <w:vAlign w:val="center"/>
          </w:tcPr>
          <w:p w14:paraId="2B700F9F">
            <w:pPr>
              <w:pStyle w:val="510"/>
              <w:rPr>
                <w:color w:val="auto"/>
                <w:highlight w:val="none"/>
                <w:u w:val="none"/>
              </w:rPr>
            </w:pPr>
            <w:r>
              <w:rPr>
                <w:rFonts w:hint="eastAsia"/>
                <w:color w:val="auto"/>
                <w:highlight w:val="none"/>
                <w:u w:val="none"/>
              </w:rPr>
              <w:t>0</w:t>
            </w:r>
            <w:r>
              <w:rPr>
                <w:color w:val="auto"/>
                <w:highlight w:val="none"/>
                <w:u w:val="none"/>
              </w:rPr>
              <w:t>.10</w:t>
            </w:r>
          </w:p>
        </w:tc>
      </w:tr>
      <w:tr w14:paraId="28CE1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B0C20FA">
            <w:pPr>
              <w:pStyle w:val="510"/>
              <w:rPr>
                <w:color w:val="auto"/>
                <w:highlight w:val="none"/>
                <w:u w:val="none"/>
              </w:rPr>
            </w:pPr>
            <w:r>
              <w:rPr>
                <w:rFonts w:hint="eastAsia"/>
                <w:color w:val="auto"/>
                <w:highlight w:val="none"/>
                <w:u w:val="none"/>
              </w:rPr>
              <w:t>1</w:t>
            </w:r>
            <w:r>
              <w:rPr>
                <w:color w:val="auto"/>
                <w:highlight w:val="none"/>
                <w:u w:val="none"/>
              </w:rPr>
              <w:t>2</w:t>
            </w:r>
          </w:p>
        </w:tc>
        <w:tc>
          <w:tcPr>
            <w:tcW w:w="1371" w:type="pct"/>
            <w:vAlign w:val="center"/>
          </w:tcPr>
          <w:p w14:paraId="4B59FBF9">
            <w:pPr>
              <w:pStyle w:val="510"/>
              <w:rPr>
                <w:color w:val="auto"/>
                <w:highlight w:val="none"/>
                <w:u w:val="none"/>
              </w:rPr>
            </w:pPr>
            <w:r>
              <w:rPr>
                <w:rFonts w:hint="eastAsia"/>
                <w:color w:val="auto"/>
                <w:highlight w:val="none"/>
                <w:u w:val="none"/>
              </w:rPr>
              <w:t>总铬</w:t>
            </w:r>
            <w:r>
              <w:rPr>
                <w:color w:val="auto"/>
                <w:highlight w:val="none"/>
                <w:u w:val="none"/>
              </w:rPr>
              <w:t>≤</w:t>
            </w:r>
          </w:p>
        </w:tc>
        <w:tc>
          <w:tcPr>
            <w:tcW w:w="1220" w:type="pct"/>
            <w:vAlign w:val="center"/>
          </w:tcPr>
          <w:p w14:paraId="562461B0">
            <w:pPr>
              <w:pStyle w:val="510"/>
              <w:rPr>
                <w:color w:val="auto"/>
                <w:highlight w:val="none"/>
                <w:u w:val="none"/>
              </w:rPr>
            </w:pPr>
            <w:r>
              <w:rPr>
                <w:rFonts w:hint="eastAsia"/>
                <w:color w:val="auto"/>
                <w:highlight w:val="none"/>
                <w:u w:val="none"/>
              </w:rPr>
              <w:t>0</w:t>
            </w:r>
            <w:r>
              <w:rPr>
                <w:color w:val="auto"/>
                <w:highlight w:val="none"/>
                <w:u w:val="none"/>
              </w:rPr>
              <w:t>.10</w:t>
            </w:r>
          </w:p>
        </w:tc>
        <w:tc>
          <w:tcPr>
            <w:tcW w:w="1038" w:type="pct"/>
            <w:tcMar>
              <w:top w:w="0" w:type="dxa"/>
              <w:left w:w="28" w:type="dxa"/>
              <w:bottom w:w="0" w:type="dxa"/>
              <w:right w:w="28" w:type="dxa"/>
            </w:tcMar>
            <w:vAlign w:val="center"/>
          </w:tcPr>
          <w:p w14:paraId="4CC47BCC">
            <w:pPr>
              <w:pStyle w:val="510"/>
              <w:rPr>
                <w:color w:val="auto"/>
                <w:highlight w:val="none"/>
                <w:u w:val="none"/>
              </w:rPr>
            </w:pPr>
            <w:r>
              <w:rPr>
                <w:rFonts w:hint="eastAsia"/>
                <w:color w:val="auto"/>
                <w:highlight w:val="none"/>
                <w:u w:val="none"/>
              </w:rPr>
              <w:t>0</w:t>
            </w:r>
            <w:r>
              <w:rPr>
                <w:color w:val="auto"/>
                <w:highlight w:val="none"/>
                <w:u w:val="none"/>
              </w:rPr>
              <w:t>.20</w:t>
            </w:r>
          </w:p>
        </w:tc>
      </w:tr>
      <w:tr w14:paraId="4B559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05AD70CC">
            <w:pPr>
              <w:pStyle w:val="510"/>
              <w:rPr>
                <w:color w:val="auto"/>
                <w:highlight w:val="none"/>
                <w:u w:val="none"/>
              </w:rPr>
            </w:pPr>
            <w:r>
              <w:rPr>
                <w:rFonts w:hint="eastAsia"/>
                <w:color w:val="auto"/>
                <w:highlight w:val="none"/>
                <w:u w:val="none"/>
              </w:rPr>
              <w:t>1</w:t>
            </w:r>
            <w:r>
              <w:rPr>
                <w:color w:val="auto"/>
                <w:highlight w:val="none"/>
                <w:u w:val="none"/>
              </w:rPr>
              <w:t>3</w:t>
            </w:r>
          </w:p>
        </w:tc>
        <w:tc>
          <w:tcPr>
            <w:tcW w:w="1371" w:type="pct"/>
            <w:vAlign w:val="center"/>
          </w:tcPr>
          <w:p w14:paraId="69CD0312">
            <w:pPr>
              <w:pStyle w:val="510"/>
              <w:rPr>
                <w:color w:val="auto"/>
                <w:highlight w:val="none"/>
                <w:u w:val="none"/>
              </w:rPr>
            </w:pPr>
            <w:r>
              <w:rPr>
                <w:rFonts w:hint="eastAsia"/>
                <w:color w:val="auto"/>
                <w:highlight w:val="none"/>
                <w:u w:val="none"/>
              </w:rPr>
              <w:t>镍</w:t>
            </w:r>
            <w:r>
              <w:rPr>
                <w:color w:val="auto"/>
                <w:highlight w:val="none"/>
                <w:u w:val="none"/>
              </w:rPr>
              <w:t>≤</w:t>
            </w:r>
          </w:p>
        </w:tc>
        <w:tc>
          <w:tcPr>
            <w:tcW w:w="1220" w:type="pct"/>
            <w:vAlign w:val="center"/>
          </w:tcPr>
          <w:p w14:paraId="78FBB5E2">
            <w:pPr>
              <w:pStyle w:val="510"/>
              <w:rPr>
                <w:color w:val="auto"/>
                <w:highlight w:val="none"/>
                <w:u w:val="none"/>
              </w:rPr>
            </w:pPr>
            <w:r>
              <w:rPr>
                <w:rFonts w:hint="eastAsia"/>
                <w:color w:val="auto"/>
                <w:highlight w:val="none"/>
                <w:u w:val="none"/>
              </w:rPr>
              <w:t>0</w:t>
            </w:r>
            <w:r>
              <w:rPr>
                <w:color w:val="auto"/>
                <w:highlight w:val="none"/>
                <w:u w:val="none"/>
              </w:rPr>
              <w:t>.01</w:t>
            </w:r>
          </w:p>
        </w:tc>
        <w:tc>
          <w:tcPr>
            <w:tcW w:w="1038" w:type="pct"/>
            <w:tcMar>
              <w:top w:w="0" w:type="dxa"/>
              <w:left w:w="28" w:type="dxa"/>
              <w:bottom w:w="0" w:type="dxa"/>
              <w:right w:w="28" w:type="dxa"/>
            </w:tcMar>
            <w:vAlign w:val="center"/>
          </w:tcPr>
          <w:p w14:paraId="6B7D91F7">
            <w:pPr>
              <w:pStyle w:val="510"/>
              <w:rPr>
                <w:color w:val="auto"/>
                <w:highlight w:val="none"/>
                <w:u w:val="none"/>
              </w:rPr>
            </w:pPr>
            <w:r>
              <w:rPr>
                <w:rFonts w:hint="eastAsia"/>
                <w:color w:val="auto"/>
                <w:highlight w:val="none"/>
                <w:u w:val="none"/>
              </w:rPr>
              <w:t>0</w:t>
            </w:r>
            <w:r>
              <w:rPr>
                <w:color w:val="auto"/>
                <w:highlight w:val="none"/>
                <w:u w:val="none"/>
              </w:rPr>
              <w:t>.02</w:t>
            </w:r>
          </w:p>
        </w:tc>
      </w:tr>
      <w:tr w14:paraId="62A67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2E527686">
            <w:pPr>
              <w:pStyle w:val="510"/>
              <w:rPr>
                <w:color w:val="auto"/>
                <w:highlight w:val="none"/>
                <w:u w:val="none"/>
              </w:rPr>
            </w:pPr>
            <w:r>
              <w:rPr>
                <w:rFonts w:hint="eastAsia"/>
                <w:color w:val="auto"/>
                <w:highlight w:val="none"/>
                <w:u w:val="none"/>
              </w:rPr>
              <w:t>1</w:t>
            </w:r>
            <w:r>
              <w:rPr>
                <w:color w:val="auto"/>
                <w:highlight w:val="none"/>
                <w:u w:val="none"/>
              </w:rPr>
              <w:t>4</w:t>
            </w:r>
          </w:p>
        </w:tc>
        <w:tc>
          <w:tcPr>
            <w:tcW w:w="1371" w:type="pct"/>
            <w:vAlign w:val="center"/>
          </w:tcPr>
          <w:p w14:paraId="2C99CDCB">
            <w:pPr>
              <w:pStyle w:val="510"/>
              <w:rPr>
                <w:color w:val="auto"/>
                <w:highlight w:val="none"/>
                <w:u w:val="none"/>
              </w:rPr>
            </w:pPr>
            <w:r>
              <w:rPr>
                <w:rFonts w:hint="eastAsia"/>
                <w:color w:val="auto"/>
                <w:highlight w:val="none"/>
                <w:u w:val="none"/>
              </w:rPr>
              <w:t>镉</w:t>
            </w:r>
            <w:r>
              <w:rPr>
                <w:color w:val="auto"/>
                <w:highlight w:val="none"/>
                <w:u w:val="none"/>
              </w:rPr>
              <w:t>≤</w:t>
            </w:r>
          </w:p>
        </w:tc>
        <w:tc>
          <w:tcPr>
            <w:tcW w:w="1220" w:type="pct"/>
            <w:vAlign w:val="center"/>
          </w:tcPr>
          <w:p w14:paraId="2378B9CB">
            <w:pPr>
              <w:pStyle w:val="510"/>
              <w:rPr>
                <w:color w:val="auto"/>
                <w:highlight w:val="none"/>
                <w:u w:val="none"/>
              </w:rPr>
            </w:pPr>
            <w:r>
              <w:rPr>
                <w:rFonts w:hint="eastAsia"/>
                <w:color w:val="auto"/>
                <w:highlight w:val="none"/>
                <w:u w:val="none"/>
              </w:rPr>
              <w:t>0</w:t>
            </w:r>
            <w:r>
              <w:rPr>
                <w:color w:val="auto"/>
                <w:highlight w:val="none"/>
                <w:u w:val="none"/>
              </w:rPr>
              <w:t>.005</w:t>
            </w:r>
          </w:p>
        </w:tc>
        <w:tc>
          <w:tcPr>
            <w:tcW w:w="1038" w:type="pct"/>
            <w:tcMar>
              <w:top w:w="0" w:type="dxa"/>
              <w:left w:w="28" w:type="dxa"/>
              <w:bottom w:w="0" w:type="dxa"/>
              <w:right w:w="28" w:type="dxa"/>
            </w:tcMar>
            <w:vAlign w:val="center"/>
          </w:tcPr>
          <w:p w14:paraId="697C5A70">
            <w:pPr>
              <w:pStyle w:val="510"/>
              <w:rPr>
                <w:color w:val="auto"/>
                <w:highlight w:val="none"/>
                <w:u w:val="none"/>
              </w:rPr>
            </w:pPr>
            <w:r>
              <w:rPr>
                <w:rFonts w:hint="eastAsia"/>
                <w:color w:val="auto"/>
                <w:highlight w:val="none"/>
                <w:u w:val="none"/>
              </w:rPr>
              <w:t>0</w:t>
            </w:r>
            <w:r>
              <w:rPr>
                <w:color w:val="auto"/>
                <w:highlight w:val="none"/>
                <w:u w:val="none"/>
              </w:rPr>
              <w:t>.010</w:t>
            </w:r>
          </w:p>
        </w:tc>
      </w:tr>
      <w:tr w14:paraId="12BCD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26FC178E">
            <w:pPr>
              <w:pStyle w:val="510"/>
              <w:rPr>
                <w:color w:val="auto"/>
                <w:highlight w:val="none"/>
                <w:u w:val="none"/>
              </w:rPr>
            </w:pPr>
            <w:r>
              <w:rPr>
                <w:rFonts w:hint="eastAsia"/>
                <w:color w:val="auto"/>
                <w:highlight w:val="none"/>
                <w:u w:val="none"/>
              </w:rPr>
              <w:t>1</w:t>
            </w:r>
            <w:r>
              <w:rPr>
                <w:color w:val="auto"/>
                <w:highlight w:val="none"/>
                <w:u w:val="none"/>
              </w:rPr>
              <w:t>5</w:t>
            </w:r>
          </w:p>
        </w:tc>
        <w:tc>
          <w:tcPr>
            <w:tcW w:w="1371" w:type="pct"/>
            <w:vAlign w:val="center"/>
          </w:tcPr>
          <w:p w14:paraId="3020698B">
            <w:pPr>
              <w:pStyle w:val="510"/>
              <w:rPr>
                <w:color w:val="auto"/>
                <w:highlight w:val="none"/>
                <w:u w:val="none"/>
              </w:rPr>
            </w:pPr>
            <w:r>
              <w:rPr>
                <w:rFonts w:hint="eastAsia"/>
                <w:color w:val="auto"/>
                <w:highlight w:val="none"/>
                <w:u w:val="none"/>
              </w:rPr>
              <w:t>铅</w:t>
            </w:r>
            <w:r>
              <w:rPr>
                <w:color w:val="auto"/>
                <w:highlight w:val="none"/>
                <w:u w:val="none"/>
              </w:rPr>
              <w:t>≤</w:t>
            </w:r>
          </w:p>
        </w:tc>
        <w:tc>
          <w:tcPr>
            <w:tcW w:w="1220" w:type="pct"/>
            <w:vAlign w:val="center"/>
          </w:tcPr>
          <w:p w14:paraId="667DD3DC">
            <w:pPr>
              <w:pStyle w:val="510"/>
              <w:rPr>
                <w:color w:val="auto"/>
                <w:highlight w:val="none"/>
                <w:u w:val="none"/>
              </w:rPr>
            </w:pPr>
            <w:r>
              <w:rPr>
                <w:rFonts w:hint="eastAsia"/>
                <w:color w:val="auto"/>
                <w:highlight w:val="none"/>
                <w:u w:val="none"/>
              </w:rPr>
              <w:t>0</w:t>
            </w:r>
            <w:r>
              <w:rPr>
                <w:color w:val="auto"/>
                <w:highlight w:val="none"/>
                <w:u w:val="none"/>
              </w:rPr>
              <w:t>.005</w:t>
            </w:r>
          </w:p>
        </w:tc>
        <w:tc>
          <w:tcPr>
            <w:tcW w:w="1038" w:type="pct"/>
            <w:tcMar>
              <w:top w:w="0" w:type="dxa"/>
              <w:left w:w="28" w:type="dxa"/>
              <w:bottom w:w="0" w:type="dxa"/>
              <w:right w:w="28" w:type="dxa"/>
            </w:tcMar>
            <w:vAlign w:val="center"/>
          </w:tcPr>
          <w:p w14:paraId="04357B03">
            <w:pPr>
              <w:pStyle w:val="510"/>
              <w:rPr>
                <w:color w:val="auto"/>
                <w:highlight w:val="none"/>
                <w:u w:val="none"/>
              </w:rPr>
            </w:pPr>
            <w:r>
              <w:rPr>
                <w:rFonts w:hint="eastAsia"/>
                <w:color w:val="auto"/>
                <w:highlight w:val="none"/>
                <w:u w:val="none"/>
              </w:rPr>
              <w:t>0</w:t>
            </w:r>
            <w:r>
              <w:rPr>
                <w:color w:val="auto"/>
                <w:highlight w:val="none"/>
                <w:u w:val="none"/>
              </w:rPr>
              <w:t>.010</w:t>
            </w:r>
          </w:p>
        </w:tc>
      </w:tr>
      <w:tr w14:paraId="71749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72B5BDB2">
            <w:pPr>
              <w:pStyle w:val="510"/>
              <w:rPr>
                <w:color w:val="auto"/>
                <w:highlight w:val="none"/>
                <w:u w:val="none"/>
              </w:rPr>
            </w:pPr>
            <w:r>
              <w:rPr>
                <w:rFonts w:hint="eastAsia"/>
                <w:color w:val="auto"/>
                <w:highlight w:val="none"/>
                <w:u w:val="none"/>
              </w:rPr>
              <w:t>1</w:t>
            </w:r>
            <w:r>
              <w:rPr>
                <w:color w:val="auto"/>
                <w:highlight w:val="none"/>
                <w:u w:val="none"/>
              </w:rPr>
              <w:t>6</w:t>
            </w:r>
          </w:p>
        </w:tc>
        <w:tc>
          <w:tcPr>
            <w:tcW w:w="1371" w:type="pct"/>
            <w:vAlign w:val="center"/>
          </w:tcPr>
          <w:p w14:paraId="413B557E">
            <w:pPr>
              <w:pStyle w:val="510"/>
              <w:rPr>
                <w:color w:val="auto"/>
                <w:highlight w:val="none"/>
                <w:u w:val="none"/>
              </w:rPr>
            </w:pPr>
            <w:r>
              <w:rPr>
                <w:rFonts w:hint="eastAsia"/>
                <w:color w:val="auto"/>
                <w:highlight w:val="none"/>
                <w:u w:val="none"/>
              </w:rPr>
              <w:t>汞</w:t>
            </w:r>
            <w:r>
              <w:rPr>
                <w:color w:val="auto"/>
                <w:highlight w:val="none"/>
                <w:u w:val="none"/>
              </w:rPr>
              <w:t>≤</w:t>
            </w:r>
          </w:p>
        </w:tc>
        <w:tc>
          <w:tcPr>
            <w:tcW w:w="1220" w:type="pct"/>
            <w:vAlign w:val="center"/>
          </w:tcPr>
          <w:p w14:paraId="1C4B981F">
            <w:pPr>
              <w:pStyle w:val="510"/>
              <w:rPr>
                <w:color w:val="auto"/>
                <w:highlight w:val="none"/>
                <w:u w:val="none"/>
              </w:rPr>
            </w:pPr>
            <w:r>
              <w:rPr>
                <w:rFonts w:hint="eastAsia"/>
                <w:color w:val="auto"/>
                <w:highlight w:val="none"/>
                <w:u w:val="none"/>
              </w:rPr>
              <w:t>0</w:t>
            </w:r>
            <w:r>
              <w:rPr>
                <w:color w:val="auto"/>
                <w:highlight w:val="none"/>
                <w:u w:val="none"/>
              </w:rPr>
              <w:t>.0002</w:t>
            </w:r>
          </w:p>
        </w:tc>
        <w:tc>
          <w:tcPr>
            <w:tcW w:w="1038" w:type="pct"/>
            <w:tcMar>
              <w:top w:w="0" w:type="dxa"/>
              <w:left w:w="28" w:type="dxa"/>
              <w:bottom w:w="0" w:type="dxa"/>
              <w:right w:w="28" w:type="dxa"/>
            </w:tcMar>
            <w:vAlign w:val="center"/>
          </w:tcPr>
          <w:p w14:paraId="1B178C78">
            <w:pPr>
              <w:pStyle w:val="510"/>
              <w:rPr>
                <w:color w:val="auto"/>
                <w:highlight w:val="none"/>
                <w:u w:val="none"/>
              </w:rPr>
            </w:pPr>
            <w:r>
              <w:rPr>
                <w:rFonts w:hint="eastAsia"/>
                <w:color w:val="auto"/>
                <w:highlight w:val="none"/>
                <w:u w:val="none"/>
              </w:rPr>
              <w:t>0</w:t>
            </w:r>
            <w:r>
              <w:rPr>
                <w:color w:val="auto"/>
                <w:highlight w:val="none"/>
                <w:u w:val="none"/>
              </w:rPr>
              <w:t>.0002</w:t>
            </w:r>
          </w:p>
        </w:tc>
      </w:tr>
      <w:tr w14:paraId="5D4BF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21862681">
            <w:pPr>
              <w:pStyle w:val="510"/>
              <w:rPr>
                <w:color w:val="auto"/>
                <w:highlight w:val="none"/>
                <w:u w:val="none"/>
              </w:rPr>
            </w:pPr>
            <w:r>
              <w:rPr>
                <w:rFonts w:hint="eastAsia"/>
                <w:color w:val="auto"/>
                <w:highlight w:val="none"/>
                <w:u w:val="none"/>
              </w:rPr>
              <w:t>1</w:t>
            </w:r>
            <w:r>
              <w:rPr>
                <w:color w:val="auto"/>
                <w:highlight w:val="none"/>
                <w:u w:val="none"/>
              </w:rPr>
              <w:t>7</w:t>
            </w:r>
          </w:p>
        </w:tc>
        <w:tc>
          <w:tcPr>
            <w:tcW w:w="1371" w:type="pct"/>
            <w:vAlign w:val="center"/>
          </w:tcPr>
          <w:p w14:paraId="327FDBBC">
            <w:pPr>
              <w:pStyle w:val="510"/>
              <w:rPr>
                <w:color w:val="auto"/>
                <w:highlight w:val="none"/>
                <w:u w:val="none"/>
              </w:rPr>
            </w:pPr>
            <w:r>
              <w:rPr>
                <w:rFonts w:hint="eastAsia"/>
                <w:color w:val="auto"/>
                <w:highlight w:val="none"/>
                <w:u w:val="none"/>
              </w:rPr>
              <w:t>砷</w:t>
            </w:r>
            <w:r>
              <w:rPr>
                <w:color w:val="auto"/>
                <w:highlight w:val="none"/>
                <w:u w:val="none"/>
              </w:rPr>
              <w:t>≤</w:t>
            </w:r>
          </w:p>
        </w:tc>
        <w:tc>
          <w:tcPr>
            <w:tcW w:w="1220" w:type="pct"/>
            <w:vAlign w:val="center"/>
          </w:tcPr>
          <w:p w14:paraId="6E1D8FF7">
            <w:pPr>
              <w:pStyle w:val="510"/>
              <w:rPr>
                <w:color w:val="auto"/>
                <w:highlight w:val="none"/>
                <w:u w:val="none"/>
              </w:rPr>
            </w:pPr>
            <w:r>
              <w:rPr>
                <w:rFonts w:hint="eastAsia"/>
                <w:color w:val="auto"/>
                <w:highlight w:val="none"/>
                <w:u w:val="none"/>
              </w:rPr>
              <w:t>0</w:t>
            </w:r>
            <w:r>
              <w:rPr>
                <w:color w:val="auto"/>
                <w:highlight w:val="none"/>
                <w:u w:val="none"/>
              </w:rPr>
              <w:t>.030</w:t>
            </w:r>
          </w:p>
        </w:tc>
        <w:tc>
          <w:tcPr>
            <w:tcW w:w="1038" w:type="pct"/>
            <w:tcMar>
              <w:top w:w="0" w:type="dxa"/>
              <w:left w:w="28" w:type="dxa"/>
              <w:bottom w:w="0" w:type="dxa"/>
              <w:right w:w="28" w:type="dxa"/>
            </w:tcMar>
            <w:vAlign w:val="center"/>
          </w:tcPr>
          <w:p w14:paraId="7F28DA4F">
            <w:pPr>
              <w:pStyle w:val="510"/>
              <w:rPr>
                <w:color w:val="auto"/>
                <w:highlight w:val="none"/>
                <w:u w:val="none"/>
              </w:rPr>
            </w:pPr>
            <w:r>
              <w:rPr>
                <w:rFonts w:hint="eastAsia"/>
                <w:color w:val="auto"/>
                <w:highlight w:val="none"/>
                <w:u w:val="none"/>
              </w:rPr>
              <w:t>0</w:t>
            </w:r>
            <w:r>
              <w:rPr>
                <w:color w:val="auto"/>
                <w:highlight w:val="none"/>
                <w:u w:val="none"/>
              </w:rPr>
              <w:t>.050</w:t>
            </w:r>
          </w:p>
        </w:tc>
      </w:tr>
      <w:tr w14:paraId="43B0B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458EBF3D">
            <w:pPr>
              <w:pStyle w:val="510"/>
              <w:rPr>
                <w:color w:val="auto"/>
                <w:highlight w:val="none"/>
                <w:u w:val="none"/>
              </w:rPr>
            </w:pPr>
            <w:r>
              <w:rPr>
                <w:color w:val="auto"/>
                <w:highlight w:val="none"/>
                <w:u w:val="none"/>
              </w:rPr>
              <w:t>18</w:t>
            </w:r>
          </w:p>
        </w:tc>
        <w:tc>
          <w:tcPr>
            <w:tcW w:w="1371" w:type="pct"/>
            <w:vAlign w:val="center"/>
          </w:tcPr>
          <w:p w14:paraId="104B6293">
            <w:pPr>
              <w:pStyle w:val="510"/>
              <w:rPr>
                <w:color w:val="auto"/>
                <w:highlight w:val="none"/>
                <w:u w:val="none"/>
              </w:rPr>
            </w:pPr>
            <w:r>
              <w:rPr>
                <w:color w:val="auto"/>
                <w:highlight w:val="none"/>
                <w:u w:val="none"/>
              </w:rPr>
              <w:t>石油类≤</w:t>
            </w:r>
          </w:p>
        </w:tc>
        <w:tc>
          <w:tcPr>
            <w:tcW w:w="1220" w:type="pct"/>
            <w:tcMar>
              <w:top w:w="0" w:type="dxa"/>
              <w:left w:w="28" w:type="dxa"/>
              <w:bottom w:w="0" w:type="dxa"/>
              <w:right w:w="28" w:type="dxa"/>
            </w:tcMar>
            <w:vAlign w:val="center"/>
          </w:tcPr>
          <w:p w14:paraId="37116BF5">
            <w:pPr>
              <w:pStyle w:val="510"/>
              <w:rPr>
                <w:color w:val="auto"/>
                <w:highlight w:val="none"/>
                <w:u w:val="none"/>
              </w:rPr>
            </w:pPr>
            <w:r>
              <w:rPr>
                <w:color w:val="auto"/>
                <w:highlight w:val="none"/>
                <w:u w:val="none"/>
              </w:rPr>
              <w:t>0.05</w:t>
            </w:r>
          </w:p>
        </w:tc>
        <w:tc>
          <w:tcPr>
            <w:tcW w:w="1038" w:type="pct"/>
            <w:tcMar>
              <w:top w:w="0" w:type="dxa"/>
              <w:left w:w="28" w:type="dxa"/>
              <w:bottom w:w="0" w:type="dxa"/>
              <w:right w:w="28" w:type="dxa"/>
            </w:tcMar>
            <w:vAlign w:val="center"/>
          </w:tcPr>
          <w:p w14:paraId="32676594">
            <w:pPr>
              <w:pStyle w:val="510"/>
              <w:rPr>
                <w:color w:val="auto"/>
                <w:highlight w:val="none"/>
                <w:u w:val="none"/>
              </w:rPr>
            </w:pPr>
            <w:r>
              <w:rPr>
                <w:color w:val="auto"/>
                <w:highlight w:val="none"/>
                <w:u w:val="none"/>
              </w:rPr>
              <w:t>0.30</w:t>
            </w:r>
          </w:p>
        </w:tc>
      </w:tr>
      <w:tr w14:paraId="6E300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6D172A72">
            <w:pPr>
              <w:pStyle w:val="510"/>
              <w:rPr>
                <w:color w:val="auto"/>
                <w:highlight w:val="none"/>
                <w:u w:val="none"/>
              </w:rPr>
            </w:pPr>
            <w:r>
              <w:rPr>
                <w:rFonts w:hint="eastAsia"/>
                <w:color w:val="auto"/>
                <w:highlight w:val="none"/>
                <w:u w:val="none"/>
              </w:rPr>
              <w:t>1</w:t>
            </w:r>
            <w:r>
              <w:rPr>
                <w:color w:val="auto"/>
                <w:highlight w:val="none"/>
                <w:u w:val="none"/>
              </w:rPr>
              <w:t>9</w:t>
            </w:r>
          </w:p>
        </w:tc>
        <w:tc>
          <w:tcPr>
            <w:tcW w:w="1371" w:type="pct"/>
            <w:vAlign w:val="center"/>
          </w:tcPr>
          <w:p w14:paraId="2CC43F0B">
            <w:pPr>
              <w:pStyle w:val="510"/>
              <w:rPr>
                <w:color w:val="auto"/>
                <w:highlight w:val="none"/>
                <w:u w:val="none"/>
              </w:rPr>
            </w:pPr>
            <w:r>
              <w:rPr>
                <w:rFonts w:hint="eastAsia"/>
                <w:color w:val="auto"/>
                <w:highlight w:val="none"/>
                <w:u w:val="none"/>
              </w:rPr>
              <w:t>粪大肠菌群（个/</w:t>
            </w:r>
            <w:r>
              <w:rPr>
                <w:color w:val="auto"/>
                <w:highlight w:val="none"/>
                <w:u w:val="none"/>
              </w:rPr>
              <w:t>L</w:t>
            </w:r>
            <w:r>
              <w:rPr>
                <w:rFonts w:hint="eastAsia"/>
                <w:color w:val="auto"/>
                <w:highlight w:val="none"/>
                <w:u w:val="none"/>
              </w:rPr>
              <w:t>）</w:t>
            </w:r>
            <w:r>
              <w:rPr>
                <w:color w:val="auto"/>
                <w:highlight w:val="none"/>
                <w:u w:val="none"/>
              </w:rPr>
              <w:t>≤</w:t>
            </w:r>
          </w:p>
        </w:tc>
        <w:tc>
          <w:tcPr>
            <w:tcW w:w="1220" w:type="pct"/>
            <w:tcMar>
              <w:top w:w="0" w:type="dxa"/>
              <w:left w:w="28" w:type="dxa"/>
              <w:bottom w:w="0" w:type="dxa"/>
              <w:right w:w="28" w:type="dxa"/>
            </w:tcMar>
            <w:vAlign w:val="center"/>
          </w:tcPr>
          <w:p w14:paraId="7FB3448F">
            <w:pPr>
              <w:pStyle w:val="510"/>
              <w:rPr>
                <w:color w:val="auto"/>
                <w:highlight w:val="none"/>
                <w:u w:val="none"/>
              </w:rPr>
            </w:pPr>
            <w:r>
              <w:rPr>
                <w:rFonts w:hint="eastAsia"/>
                <w:color w:val="auto"/>
                <w:highlight w:val="none"/>
                <w:u w:val="none"/>
              </w:rPr>
              <w:t>2</w:t>
            </w:r>
            <w:r>
              <w:rPr>
                <w:color w:val="auto"/>
                <w:highlight w:val="none"/>
                <w:u w:val="none"/>
              </w:rPr>
              <w:t>000</w:t>
            </w:r>
          </w:p>
        </w:tc>
        <w:tc>
          <w:tcPr>
            <w:tcW w:w="1038" w:type="pct"/>
            <w:tcMar>
              <w:top w:w="0" w:type="dxa"/>
              <w:left w:w="28" w:type="dxa"/>
              <w:bottom w:w="0" w:type="dxa"/>
              <w:right w:w="28" w:type="dxa"/>
            </w:tcMar>
            <w:vAlign w:val="center"/>
          </w:tcPr>
          <w:p w14:paraId="1B5A31AA">
            <w:pPr>
              <w:pStyle w:val="510"/>
              <w:rPr>
                <w:color w:val="auto"/>
                <w:highlight w:val="none"/>
                <w:u w:val="none"/>
              </w:rPr>
            </w:pPr>
            <w:r>
              <w:rPr>
                <w:rFonts w:hint="eastAsia"/>
                <w:color w:val="auto"/>
                <w:highlight w:val="none"/>
                <w:u w:val="none"/>
              </w:rPr>
              <w:t>2</w:t>
            </w:r>
            <w:r>
              <w:rPr>
                <w:color w:val="auto"/>
                <w:highlight w:val="none"/>
                <w:u w:val="none"/>
              </w:rPr>
              <w:t>000</w:t>
            </w:r>
          </w:p>
        </w:tc>
      </w:tr>
      <w:tr w14:paraId="72E2D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43DE879B">
            <w:pPr>
              <w:pStyle w:val="510"/>
              <w:rPr>
                <w:color w:val="auto"/>
                <w:highlight w:val="none"/>
                <w:u w:val="none"/>
              </w:rPr>
            </w:pPr>
            <w:r>
              <w:rPr>
                <w:rFonts w:hint="eastAsia"/>
                <w:color w:val="auto"/>
                <w:highlight w:val="none"/>
                <w:u w:val="none"/>
              </w:rPr>
              <w:t>2</w:t>
            </w:r>
            <w:r>
              <w:rPr>
                <w:color w:val="auto"/>
                <w:highlight w:val="none"/>
                <w:u w:val="none"/>
              </w:rPr>
              <w:t>0</w:t>
            </w:r>
          </w:p>
        </w:tc>
        <w:tc>
          <w:tcPr>
            <w:tcW w:w="1371" w:type="pct"/>
            <w:vAlign w:val="center"/>
          </w:tcPr>
          <w:p w14:paraId="4B050C44">
            <w:pPr>
              <w:pStyle w:val="510"/>
              <w:rPr>
                <w:color w:val="auto"/>
                <w:highlight w:val="none"/>
                <w:u w:val="none"/>
              </w:rPr>
            </w:pPr>
            <w:r>
              <w:rPr>
                <w:rFonts w:hint="eastAsia"/>
                <w:color w:val="auto"/>
                <w:highlight w:val="none"/>
                <w:u w:val="none"/>
              </w:rPr>
              <w:t>硝基苯</w:t>
            </w:r>
          </w:p>
        </w:tc>
        <w:tc>
          <w:tcPr>
            <w:tcW w:w="2258" w:type="pct"/>
            <w:gridSpan w:val="2"/>
            <w:tcMar>
              <w:top w:w="0" w:type="dxa"/>
              <w:left w:w="28" w:type="dxa"/>
              <w:bottom w:w="0" w:type="dxa"/>
              <w:right w:w="28" w:type="dxa"/>
            </w:tcMar>
            <w:vAlign w:val="center"/>
          </w:tcPr>
          <w:p w14:paraId="1BB46712">
            <w:pPr>
              <w:pStyle w:val="510"/>
              <w:rPr>
                <w:color w:val="auto"/>
                <w:highlight w:val="none"/>
                <w:u w:val="none"/>
              </w:rPr>
            </w:pPr>
            <w:r>
              <w:rPr>
                <w:rFonts w:hint="eastAsia"/>
                <w:color w:val="auto"/>
                <w:highlight w:val="none"/>
                <w:u w:val="none"/>
              </w:rPr>
              <w:t>0</w:t>
            </w:r>
            <w:r>
              <w:rPr>
                <w:color w:val="auto"/>
                <w:highlight w:val="none"/>
                <w:u w:val="none"/>
              </w:rPr>
              <w:t>.5</w:t>
            </w:r>
          </w:p>
        </w:tc>
      </w:tr>
      <w:tr w14:paraId="76F2E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pct"/>
            <w:vAlign w:val="center"/>
          </w:tcPr>
          <w:p w14:paraId="02CF9440">
            <w:pPr>
              <w:pStyle w:val="510"/>
              <w:rPr>
                <w:color w:val="auto"/>
                <w:highlight w:val="none"/>
                <w:u w:val="none"/>
              </w:rPr>
            </w:pPr>
            <w:r>
              <w:rPr>
                <w:rFonts w:hint="eastAsia"/>
                <w:color w:val="auto"/>
                <w:highlight w:val="none"/>
                <w:u w:val="none"/>
              </w:rPr>
              <w:t>2</w:t>
            </w:r>
            <w:r>
              <w:rPr>
                <w:color w:val="auto"/>
                <w:highlight w:val="none"/>
                <w:u w:val="none"/>
              </w:rPr>
              <w:t>1</w:t>
            </w:r>
          </w:p>
        </w:tc>
        <w:tc>
          <w:tcPr>
            <w:tcW w:w="1371" w:type="pct"/>
            <w:vAlign w:val="center"/>
          </w:tcPr>
          <w:p w14:paraId="707705BB">
            <w:pPr>
              <w:pStyle w:val="510"/>
              <w:rPr>
                <w:color w:val="auto"/>
                <w:highlight w:val="none"/>
                <w:u w:val="none"/>
              </w:rPr>
            </w:pPr>
            <w:r>
              <w:rPr>
                <w:rFonts w:hint="eastAsia"/>
                <w:color w:val="auto"/>
                <w:highlight w:val="none"/>
                <w:u w:val="none"/>
              </w:rPr>
              <w:t>苯胺</w:t>
            </w:r>
          </w:p>
        </w:tc>
        <w:tc>
          <w:tcPr>
            <w:tcW w:w="2258" w:type="pct"/>
            <w:gridSpan w:val="2"/>
            <w:tcMar>
              <w:top w:w="0" w:type="dxa"/>
              <w:left w:w="28" w:type="dxa"/>
              <w:bottom w:w="0" w:type="dxa"/>
              <w:right w:w="28" w:type="dxa"/>
            </w:tcMar>
            <w:vAlign w:val="center"/>
          </w:tcPr>
          <w:p w14:paraId="2123D6C4">
            <w:pPr>
              <w:pStyle w:val="510"/>
              <w:rPr>
                <w:color w:val="auto"/>
                <w:highlight w:val="none"/>
                <w:u w:val="none"/>
              </w:rPr>
            </w:pPr>
            <w:r>
              <w:rPr>
                <w:rFonts w:hint="eastAsia"/>
                <w:color w:val="auto"/>
                <w:highlight w:val="none"/>
                <w:u w:val="none"/>
              </w:rPr>
              <w:t>1</w:t>
            </w:r>
            <w:r>
              <w:rPr>
                <w:color w:val="auto"/>
                <w:highlight w:val="none"/>
                <w:u w:val="none"/>
              </w:rPr>
              <w:t>.0</w:t>
            </w:r>
          </w:p>
        </w:tc>
      </w:tr>
    </w:tbl>
    <w:p w14:paraId="5EFF9511">
      <w:pPr>
        <w:pStyle w:val="476"/>
        <w:rPr>
          <w:color w:val="auto"/>
          <w:highlight w:val="none"/>
          <w:u w:val="none"/>
        </w:rPr>
      </w:pPr>
      <w:bookmarkStart w:id="78" w:name="_Ref18735811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78"/>
      <w:r>
        <w:rPr>
          <w:color w:val="auto"/>
          <w:highlight w:val="none"/>
          <w:u w:val="none"/>
        </w:rPr>
        <w:t xml:space="preserve">  </w:t>
      </w:r>
      <w:r>
        <w:rPr>
          <w:rFonts w:hint="eastAsia"/>
          <w:color w:val="auto"/>
          <w:highlight w:val="none"/>
          <w:u w:val="none"/>
        </w:rPr>
        <w:t>海洋沉积物质量标准</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764"/>
        <w:gridCol w:w="5149"/>
        <w:gridCol w:w="2374"/>
      </w:tblGrid>
      <w:tr w14:paraId="63EF39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950" w:type="pct"/>
            <w:vAlign w:val="center"/>
          </w:tcPr>
          <w:p w14:paraId="0E069C99">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序号</w:t>
            </w:r>
          </w:p>
        </w:tc>
        <w:tc>
          <w:tcPr>
            <w:tcW w:w="2772" w:type="pct"/>
            <w:vAlign w:val="center"/>
          </w:tcPr>
          <w:p w14:paraId="2EB250E1">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项目</w:t>
            </w:r>
          </w:p>
        </w:tc>
        <w:tc>
          <w:tcPr>
            <w:tcW w:w="1278" w:type="pct"/>
            <w:vAlign w:val="center"/>
          </w:tcPr>
          <w:p w14:paraId="09D5A387">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第二类</w:t>
            </w:r>
          </w:p>
        </w:tc>
      </w:tr>
      <w:tr w14:paraId="1BCBC6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6B6D6F3B">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w:t>
            </w:r>
          </w:p>
        </w:tc>
        <w:tc>
          <w:tcPr>
            <w:tcW w:w="2772" w:type="pct"/>
            <w:vAlign w:val="center"/>
          </w:tcPr>
          <w:p w14:paraId="605128C3">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石油类（×10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2495A446">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1000</w:t>
            </w:r>
          </w:p>
        </w:tc>
      </w:tr>
      <w:tr w14:paraId="1CD964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7384677E">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2</w:t>
            </w:r>
          </w:p>
        </w:tc>
        <w:tc>
          <w:tcPr>
            <w:tcW w:w="2772" w:type="pct"/>
            <w:vAlign w:val="center"/>
          </w:tcPr>
          <w:p w14:paraId="39834AF4">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硫化物（×10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7CDF47FB">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500</w:t>
            </w:r>
          </w:p>
        </w:tc>
      </w:tr>
      <w:tr w14:paraId="397B08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5AE29728">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3</w:t>
            </w:r>
          </w:p>
        </w:tc>
        <w:tc>
          <w:tcPr>
            <w:tcW w:w="2772" w:type="pct"/>
            <w:vAlign w:val="center"/>
          </w:tcPr>
          <w:p w14:paraId="41CDC594">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有机碳（×10</w:t>
            </w:r>
            <w:r>
              <w:rPr>
                <w:rFonts w:hAnsi="Times New Roman"/>
                <w:color w:val="auto"/>
                <w:sz w:val="21"/>
                <w:szCs w:val="21"/>
                <w:highlight w:val="none"/>
                <w:u w:val="none"/>
                <w:vertAlign w:val="superscript"/>
                <w:lang w:val="en-US"/>
              </w:rPr>
              <w:t>-2</w:t>
            </w:r>
            <w:r>
              <w:rPr>
                <w:rFonts w:hAnsi="Times New Roman"/>
                <w:color w:val="auto"/>
                <w:sz w:val="21"/>
                <w:szCs w:val="21"/>
                <w:highlight w:val="none"/>
                <w:u w:val="none"/>
                <w:lang w:val="en-US"/>
              </w:rPr>
              <w:t>）</w:t>
            </w:r>
          </w:p>
        </w:tc>
        <w:tc>
          <w:tcPr>
            <w:tcW w:w="1278" w:type="pct"/>
            <w:vAlign w:val="center"/>
          </w:tcPr>
          <w:p w14:paraId="0E2195C3">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3.0</w:t>
            </w:r>
          </w:p>
        </w:tc>
      </w:tr>
      <w:tr w14:paraId="73B422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401115BA">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4</w:t>
            </w:r>
          </w:p>
        </w:tc>
        <w:tc>
          <w:tcPr>
            <w:tcW w:w="2772" w:type="pct"/>
            <w:vAlign w:val="center"/>
          </w:tcPr>
          <w:p w14:paraId="6A7B66EC">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锌（×10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1B284A39">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350</w:t>
            </w:r>
          </w:p>
        </w:tc>
      </w:tr>
      <w:tr w14:paraId="28B0F0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608B5983">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5</w:t>
            </w:r>
          </w:p>
        </w:tc>
        <w:tc>
          <w:tcPr>
            <w:tcW w:w="2772" w:type="pct"/>
            <w:vAlign w:val="center"/>
          </w:tcPr>
          <w:p w14:paraId="5CF5DC1E">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铜（×10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5F0A4975">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100</w:t>
            </w:r>
          </w:p>
        </w:tc>
      </w:tr>
      <w:tr w14:paraId="6AF8DB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26FB1D62">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6</w:t>
            </w:r>
          </w:p>
        </w:tc>
        <w:tc>
          <w:tcPr>
            <w:tcW w:w="2772" w:type="pct"/>
            <w:vAlign w:val="center"/>
          </w:tcPr>
          <w:p w14:paraId="0AA2F812">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铅（×10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2913783F">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130</w:t>
            </w:r>
          </w:p>
        </w:tc>
      </w:tr>
      <w:tr w14:paraId="18E86F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67F9986E">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7</w:t>
            </w:r>
          </w:p>
        </w:tc>
        <w:tc>
          <w:tcPr>
            <w:tcW w:w="2772" w:type="pct"/>
            <w:vAlign w:val="center"/>
          </w:tcPr>
          <w:p w14:paraId="6D59B210">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镉（×10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2511048E">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1.50</w:t>
            </w:r>
          </w:p>
        </w:tc>
      </w:tr>
      <w:tr w14:paraId="64C66A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27F98A7C">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8</w:t>
            </w:r>
          </w:p>
        </w:tc>
        <w:tc>
          <w:tcPr>
            <w:tcW w:w="2772" w:type="pct"/>
            <w:vAlign w:val="center"/>
          </w:tcPr>
          <w:p w14:paraId="2B429070">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铬（×10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33ABE6EA">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150</w:t>
            </w:r>
          </w:p>
        </w:tc>
      </w:tr>
      <w:tr w14:paraId="427E1D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2AFA86D2">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9</w:t>
            </w:r>
          </w:p>
        </w:tc>
        <w:tc>
          <w:tcPr>
            <w:tcW w:w="2772" w:type="pct"/>
            <w:vAlign w:val="center"/>
          </w:tcPr>
          <w:p w14:paraId="6812E0CE">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汞（×10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374739B8">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0.50</w:t>
            </w:r>
          </w:p>
        </w:tc>
      </w:tr>
      <w:tr w14:paraId="2B0EFA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50" w:type="pct"/>
            <w:vAlign w:val="center"/>
          </w:tcPr>
          <w:p w14:paraId="7B3E0F7C">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10</w:t>
            </w:r>
          </w:p>
        </w:tc>
        <w:tc>
          <w:tcPr>
            <w:tcW w:w="2772" w:type="pct"/>
            <w:vAlign w:val="center"/>
          </w:tcPr>
          <w:p w14:paraId="16E50867">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砷（×10</w:t>
            </w:r>
            <w:r>
              <w:rPr>
                <w:rFonts w:hAnsi="Times New Roman"/>
                <w:color w:val="auto"/>
                <w:sz w:val="21"/>
                <w:szCs w:val="21"/>
                <w:highlight w:val="none"/>
                <w:u w:val="none"/>
                <w:vertAlign w:val="superscript"/>
                <w:lang w:val="en-US"/>
              </w:rPr>
              <w:t>-6</w:t>
            </w:r>
            <w:r>
              <w:rPr>
                <w:rFonts w:hAnsi="Times New Roman"/>
                <w:color w:val="auto"/>
                <w:sz w:val="21"/>
                <w:szCs w:val="21"/>
                <w:highlight w:val="none"/>
                <w:u w:val="none"/>
                <w:lang w:val="en-US"/>
              </w:rPr>
              <w:t>）</w:t>
            </w:r>
          </w:p>
        </w:tc>
        <w:tc>
          <w:tcPr>
            <w:tcW w:w="1278" w:type="pct"/>
            <w:vAlign w:val="center"/>
          </w:tcPr>
          <w:p w14:paraId="6B8010BC">
            <w:pPr>
              <w:spacing w:line="240" w:lineRule="auto"/>
              <w:ind w:firstLine="0" w:firstLineChars="0"/>
              <w:jc w:val="center"/>
              <w:rPr>
                <w:rFonts w:hAnsi="Times New Roman"/>
                <w:color w:val="auto"/>
                <w:sz w:val="21"/>
                <w:szCs w:val="21"/>
                <w:highlight w:val="none"/>
                <w:u w:val="none"/>
                <w:lang w:val="en-US"/>
              </w:rPr>
            </w:pPr>
            <w:r>
              <w:rPr>
                <w:rFonts w:hAnsi="Times New Roman"/>
                <w:color w:val="auto"/>
                <w:sz w:val="21"/>
                <w:szCs w:val="21"/>
                <w:highlight w:val="none"/>
                <w:u w:val="none"/>
                <w:lang w:val="en-US"/>
              </w:rPr>
              <w:t>65</w:t>
            </w:r>
          </w:p>
        </w:tc>
      </w:tr>
    </w:tbl>
    <w:p w14:paraId="78B76F25">
      <w:pPr>
        <w:rPr>
          <w:rFonts w:hint="eastAsia"/>
          <w:color w:val="auto"/>
          <w:highlight w:val="none"/>
          <w:u w:val="none"/>
        </w:rPr>
      </w:pPr>
    </w:p>
    <w:p w14:paraId="302FC9E4">
      <w:pPr>
        <w:rPr>
          <w:rFonts w:hint="eastAsia"/>
          <w:bCs/>
          <w:color w:val="auto"/>
          <w:highlight w:val="none"/>
          <w:u w:val="none"/>
        </w:rPr>
      </w:pPr>
      <w:r>
        <w:rPr>
          <w:rFonts w:hint="eastAsia"/>
          <w:color w:val="auto"/>
          <w:highlight w:val="none"/>
          <w:u w:val="none"/>
        </w:rPr>
        <w:t>②地下水</w:t>
      </w:r>
    </w:p>
    <w:p w14:paraId="3460F596">
      <w:pPr>
        <w:rPr>
          <w:rFonts w:hint="eastAsia"/>
          <w:bCs/>
          <w:color w:val="auto"/>
          <w:highlight w:val="none"/>
          <w:u w:val="none"/>
        </w:rPr>
      </w:pPr>
      <w:r>
        <w:rPr>
          <w:rFonts w:hint="eastAsia"/>
          <w:color w:val="auto"/>
          <w:highlight w:val="none"/>
          <w:u w:val="none"/>
        </w:rPr>
        <w:t>项目区地下水无环境功能区划，根据《地下水质量标准》（</w:t>
      </w:r>
      <w:r>
        <w:rPr>
          <w:color w:val="auto"/>
          <w:highlight w:val="none"/>
          <w:u w:val="none"/>
        </w:rPr>
        <w:t>GB14848-2017</w:t>
      </w:r>
      <w:r>
        <w:rPr>
          <w:rFonts w:hint="eastAsia"/>
          <w:color w:val="auto"/>
          <w:highlight w:val="none"/>
          <w:u w:val="none"/>
        </w:rPr>
        <w:t>）中的</w:t>
      </w:r>
      <w:r>
        <w:rPr>
          <w:color w:val="auto"/>
          <w:highlight w:val="none"/>
          <w:u w:val="none"/>
        </w:rPr>
        <w:t>地下水质量分类原则，</w:t>
      </w:r>
      <w:r>
        <w:rPr>
          <w:rFonts w:hint="eastAsia"/>
          <w:color w:val="auto"/>
          <w:highlight w:val="none"/>
          <w:u w:val="none"/>
        </w:rPr>
        <w:t>项目区</w:t>
      </w:r>
      <w:r>
        <w:rPr>
          <w:color w:val="auto"/>
          <w:highlight w:val="none"/>
          <w:u w:val="none"/>
        </w:rPr>
        <w:t>地下水用途为以农业和工业用水质量要求以及一定水平的人体健康风险为依据，适用于农业和部分工业用水。</w:t>
      </w:r>
      <w:r>
        <w:rPr>
          <w:rFonts w:hint="eastAsia"/>
          <w:color w:val="auto"/>
          <w:highlight w:val="none"/>
          <w:u w:val="none"/>
        </w:rPr>
        <w:t>同时参照《福州江阴港城经济区产业发展规划环境影响报告书》，项目区地下水环境质量标准按照《地下水质量标准》（GB</w:t>
      </w:r>
      <w:r>
        <w:rPr>
          <w:color w:val="auto"/>
          <w:highlight w:val="none"/>
          <w:u w:val="none"/>
        </w:rPr>
        <w:t>/T14848</w:t>
      </w:r>
      <w:r>
        <w:rPr>
          <w:rFonts w:hint="eastAsia"/>
          <w:color w:val="auto"/>
          <w:highlight w:val="none"/>
          <w:u w:val="none"/>
        </w:rPr>
        <w:t>-</w:t>
      </w:r>
      <w:r>
        <w:rPr>
          <w:color w:val="auto"/>
          <w:highlight w:val="none"/>
          <w:u w:val="none"/>
        </w:rPr>
        <w:t>2017</w:t>
      </w:r>
      <w:r>
        <w:rPr>
          <w:rFonts w:hint="eastAsia"/>
          <w:color w:val="auto"/>
          <w:highlight w:val="none"/>
          <w:u w:val="none"/>
        </w:rPr>
        <w:t>）中的Ⅳ类标准进行评价，具体标准见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_Ref46747480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4</w:t>
      </w:r>
      <w:r>
        <w:rPr>
          <w:color w:val="auto"/>
          <w:highlight w:val="none"/>
          <w:u w:val="none"/>
        </w:rPr>
        <w:fldChar w:fldCharType="end"/>
      </w:r>
      <w:r>
        <w:rPr>
          <w:rFonts w:hint="eastAsia"/>
          <w:color w:val="auto"/>
          <w:highlight w:val="none"/>
          <w:u w:val="none"/>
        </w:rPr>
        <w:t>。</w:t>
      </w:r>
    </w:p>
    <w:p w14:paraId="06BA5975">
      <w:pPr>
        <w:pStyle w:val="85"/>
        <w:rPr>
          <w:color w:val="auto"/>
          <w:highlight w:val="none"/>
          <w:u w:val="none"/>
        </w:rPr>
      </w:pPr>
      <w:bookmarkStart w:id="79" w:name="_Ref46747480"/>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79"/>
      <w:r>
        <w:rPr>
          <w:color w:val="auto"/>
          <w:highlight w:val="none"/>
          <w:u w:val="none"/>
        </w:rPr>
        <w:t xml:space="preserve">  </w:t>
      </w:r>
      <w:r>
        <w:rPr>
          <w:rFonts w:hint="eastAsia"/>
          <w:color w:val="auto"/>
          <w:highlight w:val="none"/>
          <w:u w:val="none"/>
        </w:rPr>
        <w:t>地下水质量标准</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5377"/>
        <w:gridCol w:w="2907"/>
      </w:tblGrid>
      <w:tr w14:paraId="50777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40" w:type="pct"/>
            <w:shd w:val="clear" w:color="auto" w:fill="auto"/>
            <w:vAlign w:val="center"/>
          </w:tcPr>
          <w:p w14:paraId="36068870">
            <w:pPr>
              <w:pStyle w:val="92"/>
              <w:rPr>
                <w:color w:val="auto"/>
                <w:highlight w:val="none"/>
                <w:u w:val="none"/>
              </w:rPr>
            </w:pPr>
            <w:r>
              <w:rPr>
                <w:color w:val="auto"/>
                <w:highlight w:val="none"/>
                <w:u w:val="none"/>
              </w:rPr>
              <w:t>序号</w:t>
            </w:r>
          </w:p>
        </w:tc>
        <w:tc>
          <w:tcPr>
            <w:tcW w:w="2895" w:type="pct"/>
            <w:shd w:val="clear" w:color="auto" w:fill="auto"/>
            <w:vAlign w:val="center"/>
          </w:tcPr>
          <w:p w14:paraId="33AD0D9A">
            <w:pPr>
              <w:pStyle w:val="92"/>
              <w:rPr>
                <w:color w:val="auto"/>
                <w:highlight w:val="none"/>
                <w:u w:val="none"/>
              </w:rPr>
            </w:pPr>
            <w:r>
              <w:rPr>
                <w:color w:val="auto"/>
                <w:highlight w:val="none"/>
                <w:u w:val="none"/>
              </w:rPr>
              <w:t>指标</w:t>
            </w:r>
          </w:p>
        </w:tc>
        <w:tc>
          <w:tcPr>
            <w:tcW w:w="1565" w:type="pct"/>
            <w:shd w:val="clear" w:color="auto" w:fill="auto"/>
            <w:vAlign w:val="center"/>
          </w:tcPr>
          <w:p w14:paraId="10EF896A">
            <w:pPr>
              <w:pStyle w:val="92"/>
              <w:rPr>
                <w:color w:val="auto"/>
                <w:highlight w:val="none"/>
                <w:u w:val="none"/>
              </w:rPr>
            </w:pPr>
            <w:r>
              <w:rPr>
                <w:rFonts w:hint="eastAsia"/>
                <w:color w:val="auto"/>
                <w:highlight w:val="none"/>
                <w:u w:val="none"/>
              </w:rPr>
              <w:t>Ⅳ</w:t>
            </w:r>
            <w:r>
              <w:rPr>
                <w:rFonts w:hint="eastAsia"/>
                <w:color w:val="auto"/>
                <w:kern w:val="0"/>
                <w:szCs w:val="24"/>
                <w:highlight w:val="none"/>
                <w:u w:val="none"/>
              </w:rPr>
              <w:t>类</w:t>
            </w:r>
          </w:p>
        </w:tc>
      </w:tr>
      <w:tr w14:paraId="12BC8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1145C08E">
            <w:pPr>
              <w:pStyle w:val="92"/>
              <w:rPr>
                <w:color w:val="auto"/>
                <w:highlight w:val="none"/>
                <w:u w:val="none"/>
              </w:rPr>
            </w:pPr>
            <w:r>
              <w:rPr>
                <w:color w:val="auto"/>
                <w:highlight w:val="none"/>
                <w:u w:val="none"/>
              </w:rPr>
              <w:t>1</w:t>
            </w:r>
          </w:p>
        </w:tc>
        <w:tc>
          <w:tcPr>
            <w:tcW w:w="2895" w:type="pct"/>
            <w:shd w:val="clear" w:color="auto" w:fill="auto"/>
            <w:vAlign w:val="center"/>
          </w:tcPr>
          <w:p w14:paraId="3BF8B60B">
            <w:pPr>
              <w:pStyle w:val="92"/>
              <w:rPr>
                <w:color w:val="auto"/>
                <w:highlight w:val="none"/>
                <w:u w:val="none"/>
              </w:rPr>
            </w:pPr>
            <w:r>
              <w:rPr>
                <w:color w:val="auto"/>
                <w:highlight w:val="none"/>
                <w:u w:val="none"/>
              </w:rPr>
              <w:t>pH（无量纲）</w:t>
            </w:r>
          </w:p>
        </w:tc>
        <w:tc>
          <w:tcPr>
            <w:tcW w:w="1565" w:type="pct"/>
            <w:shd w:val="clear" w:color="auto" w:fill="auto"/>
            <w:vAlign w:val="center"/>
          </w:tcPr>
          <w:p w14:paraId="4F6C8F26">
            <w:pPr>
              <w:pStyle w:val="92"/>
              <w:rPr>
                <w:color w:val="auto"/>
                <w:highlight w:val="none"/>
                <w:u w:val="none"/>
              </w:rPr>
            </w:pPr>
            <w:r>
              <w:rPr>
                <w:color w:val="auto"/>
                <w:highlight w:val="none"/>
                <w:u w:val="none"/>
              </w:rPr>
              <w:t>5.5≤pH</w:t>
            </w:r>
            <w:r>
              <w:rPr>
                <w:rFonts w:hint="eastAsia"/>
                <w:color w:val="auto"/>
                <w:highlight w:val="none"/>
                <w:u w:val="none"/>
              </w:rPr>
              <w:t>＜6</w:t>
            </w:r>
            <w:r>
              <w:rPr>
                <w:color w:val="auto"/>
                <w:highlight w:val="none"/>
                <w:u w:val="none"/>
              </w:rPr>
              <w:t>.5</w:t>
            </w:r>
            <w:r>
              <w:rPr>
                <w:rFonts w:hint="eastAsia"/>
                <w:color w:val="auto"/>
                <w:highlight w:val="none"/>
                <w:u w:val="none"/>
              </w:rPr>
              <w:t>，</w:t>
            </w:r>
            <w:r>
              <w:rPr>
                <w:color w:val="auto"/>
                <w:highlight w:val="none"/>
                <w:u w:val="none"/>
              </w:rPr>
              <w:t>8.5</w:t>
            </w:r>
            <w:r>
              <w:rPr>
                <w:rFonts w:hint="eastAsia"/>
                <w:color w:val="auto"/>
                <w:highlight w:val="none"/>
                <w:u w:val="none"/>
              </w:rPr>
              <w:t>＜</w:t>
            </w:r>
            <w:r>
              <w:rPr>
                <w:color w:val="auto"/>
                <w:highlight w:val="none"/>
                <w:u w:val="none"/>
              </w:rPr>
              <w:t>pH≤9.0</w:t>
            </w:r>
          </w:p>
        </w:tc>
      </w:tr>
      <w:tr w14:paraId="57FC0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65646553">
            <w:pPr>
              <w:pStyle w:val="92"/>
              <w:rPr>
                <w:color w:val="auto"/>
                <w:highlight w:val="none"/>
                <w:u w:val="none"/>
              </w:rPr>
            </w:pPr>
            <w:r>
              <w:rPr>
                <w:color w:val="auto"/>
                <w:highlight w:val="none"/>
                <w:u w:val="none"/>
              </w:rPr>
              <w:t>2</w:t>
            </w:r>
          </w:p>
        </w:tc>
        <w:tc>
          <w:tcPr>
            <w:tcW w:w="2895" w:type="pct"/>
            <w:shd w:val="clear" w:color="auto" w:fill="auto"/>
            <w:vAlign w:val="center"/>
          </w:tcPr>
          <w:p w14:paraId="57901909">
            <w:pPr>
              <w:pStyle w:val="92"/>
              <w:rPr>
                <w:color w:val="auto"/>
                <w:highlight w:val="none"/>
                <w:u w:val="none"/>
              </w:rPr>
            </w:pPr>
            <w:r>
              <w:rPr>
                <w:color w:val="auto"/>
                <w:highlight w:val="none"/>
                <w:u w:val="none"/>
              </w:rPr>
              <w:t>氨氮（以N计）/（mg/L）</w:t>
            </w:r>
          </w:p>
        </w:tc>
        <w:tc>
          <w:tcPr>
            <w:tcW w:w="1565" w:type="pct"/>
            <w:shd w:val="clear" w:color="auto" w:fill="auto"/>
            <w:vAlign w:val="center"/>
          </w:tcPr>
          <w:p w14:paraId="4E1D6016">
            <w:pPr>
              <w:pStyle w:val="92"/>
              <w:rPr>
                <w:color w:val="auto"/>
                <w:highlight w:val="none"/>
                <w:u w:val="none"/>
              </w:rPr>
            </w:pPr>
            <w:r>
              <w:rPr>
                <w:color w:val="auto"/>
                <w:highlight w:val="none"/>
                <w:u w:val="none"/>
              </w:rPr>
              <w:t>≤1.50</w:t>
            </w:r>
          </w:p>
        </w:tc>
      </w:tr>
      <w:tr w14:paraId="4E47E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79F733DE">
            <w:pPr>
              <w:pStyle w:val="92"/>
              <w:rPr>
                <w:color w:val="auto"/>
                <w:highlight w:val="none"/>
                <w:u w:val="none"/>
              </w:rPr>
            </w:pPr>
            <w:r>
              <w:rPr>
                <w:color w:val="auto"/>
                <w:highlight w:val="none"/>
                <w:u w:val="none"/>
              </w:rPr>
              <w:t>3</w:t>
            </w:r>
          </w:p>
        </w:tc>
        <w:tc>
          <w:tcPr>
            <w:tcW w:w="2895" w:type="pct"/>
            <w:shd w:val="clear" w:color="auto" w:fill="auto"/>
            <w:vAlign w:val="center"/>
          </w:tcPr>
          <w:p w14:paraId="1B8DC509">
            <w:pPr>
              <w:pStyle w:val="92"/>
              <w:rPr>
                <w:color w:val="auto"/>
                <w:highlight w:val="none"/>
                <w:u w:val="none"/>
              </w:rPr>
            </w:pPr>
            <w:r>
              <w:rPr>
                <w:color w:val="auto"/>
                <w:highlight w:val="none"/>
                <w:u w:val="none"/>
              </w:rPr>
              <w:t>总硬度（以CaCO</w:t>
            </w:r>
            <w:r>
              <w:rPr>
                <w:color w:val="auto"/>
                <w:highlight w:val="none"/>
                <w:u w:val="none"/>
                <w:vertAlign w:val="subscript"/>
              </w:rPr>
              <w:t>3</w:t>
            </w:r>
            <w:r>
              <w:rPr>
                <w:color w:val="auto"/>
                <w:highlight w:val="none"/>
                <w:u w:val="none"/>
              </w:rPr>
              <w:t>计）/（mg/L）</w:t>
            </w:r>
          </w:p>
        </w:tc>
        <w:tc>
          <w:tcPr>
            <w:tcW w:w="1565" w:type="pct"/>
            <w:shd w:val="clear" w:color="auto" w:fill="auto"/>
            <w:vAlign w:val="center"/>
          </w:tcPr>
          <w:p w14:paraId="28CCA7A3">
            <w:pPr>
              <w:pStyle w:val="92"/>
              <w:rPr>
                <w:color w:val="auto"/>
                <w:highlight w:val="none"/>
                <w:u w:val="none"/>
              </w:rPr>
            </w:pPr>
            <w:r>
              <w:rPr>
                <w:color w:val="auto"/>
                <w:highlight w:val="none"/>
                <w:u w:val="none"/>
              </w:rPr>
              <w:t>≤650</w:t>
            </w:r>
          </w:p>
        </w:tc>
      </w:tr>
      <w:tr w14:paraId="722EC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37C20468">
            <w:pPr>
              <w:pStyle w:val="92"/>
              <w:rPr>
                <w:color w:val="auto"/>
                <w:highlight w:val="none"/>
                <w:u w:val="none"/>
              </w:rPr>
            </w:pPr>
            <w:r>
              <w:rPr>
                <w:color w:val="auto"/>
                <w:highlight w:val="none"/>
                <w:u w:val="none"/>
              </w:rPr>
              <w:t>4</w:t>
            </w:r>
          </w:p>
        </w:tc>
        <w:tc>
          <w:tcPr>
            <w:tcW w:w="2895" w:type="pct"/>
            <w:shd w:val="clear" w:color="auto" w:fill="auto"/>
            <w:vAlign w:val="center"/>
          </w:tcPr>
          <w:p w14:paraId="292FE319">
            <w:pPr>
              <w:pStyle w:val="92"/>
              <w:rPr>
                <w:color w:val="auto"/>
                <w:highlight w:val="none"/>
                <w:u w:val="none"/>
              </w:rPr>
            </w:pPr>
            <w:r>
              <w:rPr>
                <w:color w:val="auto"/>
                <w:highlight w:val="none"/>
                <w:u w:val="none"/>
              </w:rPr>
              <w:t>挥发性酚类（以苯酚计）/（mg/L）</w:t>
            </w:r>
          </w:p>
        </w:tc>
        <w:tc>
          <w:tcPr>
            <w:tcW w:w="1565" w:type="pct"/>
            <w:shd w:val="clear" w:color="auto" w:fill="auto"/>
            <w:vAlign w:val="center"/>
          </w:tcPr>
          <w:p w14:paraId="2D27FD57">
            <w:pPr>
              <w:pStyle w:val="92"/>
              <w:rPr>
                <w:color w:val="auto"/>
                <w:highlight w:val="none"/>
                <w:u w:val="none"/>
              </w:rPr>
            </w:pPr>
            <w:r>
              <w:rPr>
                <w:color w:val="auto"/>
                <w:highlight w:val="none"/>
                <w:u w:val="none"/>
              </w:rPr>
              <w:t>≤0.01</w:t>
            </w:r>
          </w:p>
        </w:tc>
      </w:tr>
      <w:tr w14:paraId="20C19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6E7B44A">
            <w:pPr>
              <w:pStyle w:val="92"/>
              <w:rPr>
                <w:color w:val="auto"/>
                <w:highlight w:val="none"/>
                <w:u w:val="none"/>
              </w:rPr>
            </w:pPr>
            <w:r>
              <w:rPr>
                <w:color w:val="auto"/>
                <w:highlight w:val="none"/>
                <w:u w:val="none"/>
              </w:rPr>
              <w:t>5</w:t>
            </w:r>
          </w:p>
        </w:tc>
        <w:tc>
          <w:tcPr>
            <w:tcW w:w="2895" w:type="pct"/>
            <w:shd w:val="clear" w:color="auto" w:fill="auto"/>
            <w:vAlign w:val="center"/>
          </w:tcPr>
          <w:p w14:paraId="01FC3901">
            <w:pPr>
              <w:pStyle w:val="92"/>
              <w:rPr>
                <w:color w:val="auto"/>
                <w:highlight w:val="none"/>
                <w:u w:val="none"/>
              </w:rPr>
            </w:pPr>
            <w:r>
              <w:rPr>
                <w:color w:val="auto"/>
                <w:highlight w:val="none"/>
                <w:u w:val="none"/>
              </w:rPr>
              <w:t>耗氧量（COD</w:t>
            </w:r>
            <w:r>
              <w:rPr>
                <w:color w:val="auto"/>
                <w:highlight w:val="none"/>
                <w:u w:val="none"/>
                <w:vertAlign w:val="subscript"/>
              </w:rPr>
              <w:t>Mn</w:t>
            </w:r>
            <w:r>
              <w:rPr>
                <w:color w:val="auto"/>
                <w:highlight w:val="none"/>
                <w:u w:val="none"/>
              </w:rPr>
              <w:t>法，以O</w:t>
            </w:r>
            <w:r>
              <w:rPr>
                <w:color w:val="auto"/>
                <w:highlight w:val="none"/>
                <w:u w:val="none"/>
                <w:vertAlign w:val="subscript"/>
              </w:rPr>
              <w:t>2</w:t>
            </w:r>
            <w:r>
              <w:rPr>
                <w:color w:val="auto"/>
                <w:highlight w:val="none"/>
                <w:u w:val="none"/>
              </w:rPr>
              <w:t>计）/（mg/L）</w:t>
            </w:r>
          </w:p>
        </w:tc>
        <w:tc>
          <w:tcPr>
            <w:tcW w:w="1565" w:type="pct"/>
            <w:shd w:val="clear" w:color="auto" w:fill="auto"/>
            <w:vAlign w:val="center"/>
          </w:tcPr>
          <w:p w14:paraId="44237EBB">
            <w:pPr>
              <w:pStyle w:val="92"/>
              <w:rPr>
                <w:color w:val="auto"/>
                <w:highlight w:val="none"/>
                <w:u w:val="none"/>
              </w:rPr>
            </w:pPr>
            <w:r>
              <w:rPr>
                <w:color w:val="auto"/>
                <w:highlight w:val="none"/>
                <w:u w:val="none"/>
              </w:rPr>
              <w:t>≤10.0</w:t>
            </w:r>
          </w:p>
        </w:tc>
      </w:tr>
      <w:tr w14:paraId="62F11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3E7A9731">
            <w:pPr>
              <w:pStyle w:val="92"/>
              <w:rPr>
                <w:color w:val="auto"/>
                <w:highlight w:val="none"/>
                <w:u w:val="none"/>
              </w:rPr>
            </w:pPr>
            <w:r>
              <w:rPr>
                <w:color w:val="auto"/>
                <w:highlight w:val="none"/>
                <w:u w:val="none"/>
              </w:rPr>
              <w:t>6</w:t>
            </w:r>
          </w:p>
        </w:tc>
        <w:tc>
          <w:tcPr>
            <w:tcW w:w="2895" w:type="pct"/>
            <w:shd w:val="clear" w:color="auto" w:fill="auto"/>
            <w:vAlign w:val="center"/>
          </w:tcPr>
          <w:p w14:paraId="00071A81">
            <w:pPr>
              <w:pStyle w:val="92"/>
              <w:rPr>
                <w:color w:val="auto"/>
                <w:highlight w:val="none"/>
                <w:u w:val="none"/>
              </w:rPr>
            </w:pPr>
            <w:r>
              <w:rPr>
                <w:color w:val="auto"/>
                <w:highlight w:val="none"/>
                <w:u w:val="none"/>
              </w:rPr>
              <w:t>硫酸盐/（mg/L）</w:t>
            </w:r>
          </w:p>
        </w:tc>
        <w:tc>
          <w:tcPr>
            <w:tcW w:w="1565" w:type="pct"/>
            <w:shd w:val="clear" w:color="auto" w:fill="auto"/>
            <w:vAlign w:val="center"/>
          </w:tcPr>
          <w:p w14:paraId="2B908954">
            <w:pPr>
              <w:pStyle w:val="92"/>
              <w:rPr>
                <w:color w:val="auto"/>
                <w:highlight w:val="none"/>
                <w:u w:val="none"/>
              </w:rPr>
            </w:pPr>
            <w:r>
              <w:rPr>
                <w:color w:val="auto"/>
                <w:highlight w:val="none"/>
                <w:u w:val="none"/>
              </w:rPr>
              <w:t>≤350</w:t>
            </w:r>
          </w:p>
        </w:tc>
      </w:tr>
      <w:tr w14:paraId="723C6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55829DF3">
            <w:pPr>
              <w:pStyle w:val="92"/>
              <w:rPr>
                <w:color w:val="auto"/>
                <w:highlight w:val="none"/>
                <w:u w:val="none"/>
              </w:rPr>
            </w:pPr>
            <w:r>
              <w:rPr>
                <w:color w:val="auto"/>
                <w:highlight w:val="none"/>
                <w:u w:val="none"/>
              </w:rPr>
              <w:t>7</w:t>
            </w:r>
          </w:p>
        </w:tc>
        <w:tc>
          <w:tcPr>
            <w:tcW w:w="2895" w:type="pct"/>
            <w:shd w:val="clear" w:color="auto" w:fill="auto"/>
            <w:vAlign w:val="center"/>
          </w:tcPr>
          <w:p w14:paraId="0EF26852">
            <w:pPr>
              <w:pStyle w:val="92"/>
              <w:rPr>
                <w:color w:val="auto"/>
                <w:highlight w:val="none"/>
                <w:u w:val="none"/>
              </w:rPr>
            </w:pPr>
            <w:r>
              <w:rPr>
                <w:color w:val="auto"/>
                <w:highlight w:val="none"/>
                <w:u w:val="none"/>
              </w:rPr>
              <w:t>硝酸盐（以N计）/（mg/L）</w:t>
            </w:r>
          </w:p>
        </w:tc>
        <w:tc>
          <w:tcPr>
            <w:tcW w:w="1565" w:type="pct"/>
            <w:shd w:val="clear" w:color="auto" w:fill="auto"/>
            <w:vAlign w:val="center"/>
          </w:tcPr>
          <w:p w14:paraId="0498BAA1">
            <w:pPr>
              <w:pStyle w:val="92"/>
              <w:rPr>
                <w:color w:val="auto"/>
                <w:highlight w:val="none"/>
                <w:u w:val="none"/>
              </w:rPr>
            </w:pPr>
            <w:r>
              <w:rPr>
                <w:color w:val="auto"/>
                <w:highlight w:val="none"/>
                <w:u w:val="none"/>
              </w:rPr>
              <w:t>≤30.0</w:t>
            </w:r>
          </w:p>
        </w:tc>
      </w:tr>
      <w:tr w14:paraId="6D6DD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1217E6CB">
            <w:pPr>
              <w:pStyle w:val="92"/>
              <w:rPr>
                <w:color w:val="auto"/>
                <w:highlight w:val="none"/>
                <w:u w:val="none"/>
              </w:rPr>
            </w:pPr>
            <w:r>
              <w:rPr>
                <w:color w:val="auto"/>
                <w:highlight w:val="none"/>
                <w:u w:val="none"/>
              </w:rPr>
              <w:t>8</w:t>
            </w:r>
          </w:p>
        </w:tc>
        <w:tc>
          <w:tcPr>
            <w:tcW w:w="2895" w:type="pct"/>
            <w:shd w:val="clear" w:color="auto" w:fill="auto"/>
            <w:vAlign w:val="center"/>
          </w:tcPr>
          <w:p w14:paraId="39FDB936">
            <w:pPr>
              <w:pStyle w:val="92"/>
              <w:rPr>
                <w:color w:val="auto"/>
                <w:highlight w:val="none"/>
                <w:u w:val="none"/>
              </w:rPr>
            </w:pPr>
            <w:r>
              <w:rPr>
                <w:color w:val="auto"/>
                <w:highlight w:val="none"/>
                <w:u w:val="none"/>
              </w:rPr>
              <w:t>氯化物/（mg/L）</w:t>
            </w:r>
          </w:p>
        </w:tc>
        <w:tc>
          <w:tcPr>
            <w:tcW w:w="1565" w:type="pct"/>
            <w:shd w:val="clear" w:color="auto" w:fill="auto"/>
            <w:vAlign w:val="center"/>
          </w:tcPr>
          <w:p w14:paraId="55B720B0">
            <w:pPr>
              <w:pStyle w:val="92"/>
              <w:rPr>
                <w:color w:val="auto"/>
                <w:highlight w:val="none"/>
                <w:u w:val="none"/>
              </w:rPr>
            </w:pPr>
            <w:r>
              <w:rPr>
                <w:color w:val="auto"/>
                <w:highlight w:val="none"/>
                <w:u w:val="none"/>
              </w:rPr>
              <w:t>≤350</w:t>
            </w:r>
          </w:p>
        </w:tc>
      </w:tr>
      <w:tr w14:paraId="49EC5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29234628">
            <w:pPr>
              <w:pStyle w:val="92"/>
              <w:rPr>
                <w:color w:val="auto"/>
                <w:highlight w:val="none"/>
                <w:u w:val="none"/>
              </w:rPr>
            </w:pPr>
            <w:r>
              <w:rPr>
                <w:color w:val="auto"/>
                <w:highlight w:val="none"/>
                <w:u w:val="none"/>
              </w:rPr>
              <w:t>9</w:t>
            </w:r>
          </w:p>
        </w:tc>
        <w:tc>
          <w:tcPr>
            <w:tcW w:w="2895" w:type="pct"/>
            <w:shd w:val="clear" w:color="auto" w:fill="auto"/>
            <w:vAlign w:val="center"/>
          </w:tcPr>
          <w:p w14:paraId="49474446">
            <w:pPr>
              <w:pStyle w:val="92"/>
              <w:rPr>
                <w:color w:val="auto"/>
                <w:highlight w:val="none"/>
                <w:u w:val="none"/>
              </w:rPr>
            </w:pPr>
            <w:r>
              <w:rPr>
                <w:color w:val="auto"/>
                <w:highlight w:val="none"/>
                <w:u w:val="none"/>
              </w:rPr>
              <w:t>亚硝酸盐（以N计）/（mg/L）</w:t>
            </w:r>
          </w:p>
        </w:tc>
        <w:tc>
          <w:tcPr>
            <w:tcW w:w="1565" w:type="pct"/>
            <w:shd w:val="clear" w:color="auto" w:fill="auto"/>
            <w:vAlign w:val="center"/>
          </w:tcPr>
          <w:p w14:paraId="4E12FFCE">
            <w:pPr>
              <w:pStyle w:val="92"/>
              <w:rPr>
                <w:color w:val="auto"/>
                <w:highlight w:val="none"/>
                <w:u w:val="none"/>
              </w:rPr>
            </w:pPr>
            <w:r>
              <w:rPr>
                <w:color w:val="auto"/>
                <w:highlight w:val="none"/>
                <w:u w:val="none"/>
              </w:rPr>
              <w:t>≤4.80</w:t>
            </w:r>
          </w:p>
        </w:tc>
      </w:tr>
      <w:tr w14:paraId="0A0C1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B800DC8">
            <w:pPr>
              <w:pStyle w:val="92"/>
              <w:rPr>
                <w:color w:val="auto"/>
                <w:highlight w:val="none"/>
                <w:u w:val="none"/>
              </w:rPr>
            </w:pPr>
            <w:r>
              <w:rPr>
                <w:color w:val="auto"/>
                <w:highlight w:val="none"/>
                <w:u w:val="none"/>
              </w:rPr>
              <w:t>10</w:t>
            </w:r>
          </w:p>
        </w:tc>
        <w:tc>
          <w:tcPr>
            <w:tcW w:w="2895" w:type="pct"/>
            <w:shd w:val="clear" w:color="auto" w:fill="auto"/>
            <w:vAlign w:val="center"/>
          </w:tcPr>
          <w:p w14:paraId="4A9D6CED">
            <w:pPr>
              <w:pStyle w:val="92"/>
              <w:rPr>
                <w:color w:val="auto"/>
                <w:highlight w:val="none"/>
                <w:u w:val="none"/>
              </w:rPr>
            </w:pPr>
            <w:r>
              <w:rPr>
                <w:color w:val="auto"/>
                <w:highlight w:val="none"/>
                <w:u w:val="none"/>
              </w:rPr>
              <w:t>氰化物/（mg/L）</w:t>
            </w:r>
          </w:p>
        </w:tc>
        <w:tc>
          <w:tcPr>
            <w:tcW w:w="1565" w:type="pct"/>
            <w:shd w:val="clear" w:color="auto" w:fill="auto"/>
            <w:vAlign w:val="center"/>
          </w:tcPr>
          <w:p w14:paraId="14688D94">
            <w:pPr>
              <w:pStyle w:val="92"/>
              <w:rPr>
                <w:color w:val="auto"/>
                <w:highlight w:val="none"/>
                <w:u w:val="none"/>
              </w:rPr>
            </w:pPr>
            <w:r>
              <w:rPr>
                <w:color w:val="auto"/>
                <w:highlight w:val="none"/>
                <w:u w:val="none"/>
              </w:rPr>
              <w:t>≤0.1</w:t>
            </w:r>
          </w:p>
        </w:tc>
      </w:tr>
      <w:tr w14:paraId="7A75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C495A5B">
            <w:pPr>
              <w:pStyle w:val="92"/>
              <w:rPr>
                <w:color w:val="auto"/>
                <w:highlight w:val="none"/>
                <w:u w:val="none"/>
              </w:rPr>
            </w:pPr>
            <w:r>
              <w:rPr>
                <w:color w:val="auto"/>
                <w:highlight w:val="none"/>
                <w:u w:val="none"/>
              </w:rPr>
              <w:t>11</w:t>
            </w:r>
          </w:p>
        </w:tc>
        <w:tc>
          <w:tcPr>
            <w:tcW w:w="2895" w:type="pct"/>
            <w:shd w:val="clear" w:color="auto" w:fill="auto"/>
            <w:vAlign w:val="center"/>
          </w:tcPr>
          <w:p w14:paraId="751C0BD4">
            <w:pPr>
              <w:pStyle w:val="92"/>
              <w:rPr>
                <w:color w:val="auto"/>
                <w:highlight w:val="none"/>
                <w:u w:val="none"/>
              </w:rPr>
            </w:pPr>
            <w:r>
              <w:rPr>
                <w:color w:val="auto"/>
                <w:highlight w:val="none"/>
                <w:u w:val="none"/>
              </w:rPr>
              <w:t>溶解性总固体/（mg/L）</w:t>
            </w:r>
          </w:p>
        </w:tc>
        <w:tc>
          <w:tcPr>
            <w:tcW w:w="1565" w:type="pct"/>
            <w:shd w:val="clear" w:color="auto" w:fill="auto"/>
            <w:vAlign w:val="center"/>
          </w:tcPr>
          <w:p w14:paraId="4FFEBBC0">
            <w:pPr>
              <w:pStyle w:val="92"/>
              <w:rPr>
                <w:color w:val="auto"/>
                <w:highlight w:val="none"/>
                <w:u w:val="none"/>
              </w:rPr>
            </w:pPr>
            <w:r>
              <w:rPr>
                <w:color w:val="auto"/>
                <w:highlight w:val="none"/>
                <w:u w:val="none"/>
              </w:rPr>
              <w:t>≤2000</w:t>
            </w:r>
          </w:p>
        </w:tc>
      </w:tr>
      <w:tr w14:paraId="0F0BB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C72F6F1">
            <w:pPr>
              <w:pStyle w:val="92"/>
              <w:rPr>
                <w:color w:val="auto"/>
                <w:highlight w:val="none"/>
                <w:u w:val="none"/>
              </w:rPr>
            </w:pPr>
            <w:r>
              <w:rPr>
                <w:rFonts w:hint="eastAsia"/>
                <w:color w:val="auto"/>
                <w:highlight w:val="none"/>
                <w:u w:val="none"/>
              </w:rPr>
              <w:t>1</w:t>
            </w:r>
            <w:r>
              <w:rPr>
                <w:color w:val="auto"/>
                <w:highlight w:val="none"/>
                <w:u w:val="none"/>
              </w:rPr>
              <w:t>2</w:t>
            </w:r>
          </w:p>
        </w:tc>
        <w:tc>
          <w:tcPr>
            <w:tcW w:w="2895" w:type="pct"/>
            <w:shd w:val="clear" w:color="auto" w:fill="auto"/>
            <w:vAlign w:val="center"/>
          </w:tcPr>
          <w:p w14:paraId="31783DB7">
            <w:pPr>
              <w:pStyle w:val="92"/>
              <w:rPr>
                <w:color w:val="auto"/>
                <w:highlight w:val="none"/>
                <w:u w:val="none"/>
              </w:rPr>
            </w:pPr>
            <w:r>
              <w:rPr>
                <w:color w:val="auto"/>
                <w:highlight w:val="none"/>
                <w:u w:val="none"/>
              </w:rPr>
              <w:t>砷/（mg/L）</w:t>
            </w:r>
          </w:p>
        </w:tc>
        <w:tc>
          <w:tcPr>
            <w:tcW w:w="1565" w:type="pct"/>
            <w:shd w:val="clear" w:color="auto" w:fill="auto"/>
            <w:vAlign w:val="center"/>
          </w:tcPr>
          <w:p w14:paraId="6CE457DD">
            <w:pPr>
              <w:pStyle w:val="92"/>
              <w:rPr>
                <w:color w:val="auto"/>
                <w:highlight w:val="none"/>
                <w:u w:val="none"/>
              </w:rPr>
            </w:pPr>
            <w:r>
              <w:rPr>
                <w:color w:val="auto"/>
                <w:highlight w:val="none"/>
                <w:u w:val="none"/>
              </w:rPr>
              <w:t>≤0.05</w:t>
            </w:r>
          </w:p>
        </w:tc>
      </w:tr>
      <w:tr w14:paraId="6897B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4F76068E">
            <w:pPr>
              <w:pStyle w:val="92"/>
              <w:rPr>
                <w:color w:val="auto"/>
                <w:highlight w:val="none"/>
                <w:u w:val="none"/>
              </w:rPr>
            </w:pPr>
            <w:r>
              <w:rPr>
                <w:rFonts w:hint="eastAsia"/>
                <w:color w:val="auto"/>
                <w:highlight w:val="none"/>
                <w:u w:val="none"/>
              </w:rPr>
              <w:t>1</w:t>
            </w:r>
            <w:r>
              <w:rPr>
                <w:color w:val="auto"/>
                <w:highlight w:val="none"/>
                <w:u w:val="none"/>
              </w:rPr>
              <w:t>3</w:t>
            </w:r>
          </w:p>
        </w:tc>
        <w:tc>
          <w:tcPr>
            <w:tcW w:w="2895" w:type="pct"/>
            <w:shd w:val="clear" w:color="auto" w:fill="auto"/>
            <w:vAlign w:val="center"/>
          </w:tcPr>
          <w:p w14:paraId="7DE6489A">
            <w:pPr>
              <w:pStyle w:val="92"/>
              <w:rPr>
                <w:color w:val="auto"/>
                <w:highlight w:val="none"/>
                <w:u w:val="none"/>
              </w:rPr>
            </w:pPr>
            <w:r>
              <w:rPr>
                <w:color w:val="auto"/>
                <w:highlight w:val="none"/>
                <w:u w:val="none"/>
              </w:rPr>
              <w:t>汞/（mg/L）</w:t>
            </w:r>
          </w:p>
        </w:tc>
        <w:tc>
          <w:tcPr>
            <w:tcW w:w="1565" w:type="pct"/>
            <w:shd w:val="clear" w:color="auto" w:fill="auto"/>
            <w:vAlign w:val="center"/>
          </w:tcPr>
          <w:p w14:paraId="067C460B">
            <w:pPr>
              <w:pStyle w:val="92"/>
              <w:rPr>
                <w:color w:val="auto"/>
                <w:highlight w:val="none"/>
                <w:u w:val="none"/>
              </w:rPr>
            </w:pPr>
            <w:r>
              <w:rPr>
                <w:color w:val="auto"/>
                <w:highlight w:val="none"/>
                <w:u w:val="none"/>
              </w:rPr>
              <w:t>≤0.002</w:t>
            </w:r>
          </w:p>
        </w:tc>
      </w:tr>
      <w:tr w14:paraId="7DBAE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20734E26">
            <w:pPr>
              <w:pStyle w:val="92"/>
              <w:rPr>
                <w:color w:val="auto"/>
                <w:highlight w:val="none"/>
                <w:u w:val="none"/>
              </w:rPr>
            </w:pPr>
            <w:r>
              <w:rPr>
                <w:color w:val="auto"/>
                <w:highlight w:val="none"/>
                <w:u w:val="none"/>
              </w:rPr>
              <w:t>14</w:t>
            </w:r>
          </w:p>
        </w:tc>
        <w:tc>
          <w:tcPr>
            <w:tcW w:w="2895" w:type="pct"/>
            <w:shd w:val="clear" w:color="auto" w:fill="auto"/>
            <w:vAlign w:val="center"/>
          </w:tcPr>
          <w:p w14:paraId="0289DD01">
            <w:pPr>
              <w:pStyle w:val="92"/>
              <w:rPr>
                <w:color w:val="auto"/>
                <w:highlight w:val="none"/>
                <w:u w:val="none"/>
              </w:rPr>
            </w:pPr>
            <w:r>
              <w:rPr>
                <w:color w:val="auto"/>
                <w:highlight w:val="none"/>
                <w:u w:val="none"/>
              </w:rPr>
              <w:t>铬（六价）/（mg/L）</w:t>
            </w:r>
          </w:p>
        </w:tc>
        <w:tc>
          <w:tcPr>
            <w:tcW w:w="1565" w:type="pct"/>
            <w:shd w:val="clear" w:color="auto" w:fill="auto"/>
            <w:vAlign w:val="center"/>
          </w:tcPr>
          <w:p w14:paraId="7DF010A1">
            <w:pPr>
              <w:pStyle w:val="92"/>
              <w:rPr>
                <w:color w:val="auto"/>
                <w:highlight w:val="none"/>
                <w:u w:val="none"/>
              </w:rPr>
            </w:pPr>
            <w:r>
              <w:rPr>
                <w:color w:val="auto"/>
                <w:highlight w:val="none"/>
                <w:u w:val="none"/>
              </w:rPr>
              <w:t>≤0.10</w:t>
            </w:r>
          </w:p>
        </w:tc>
      </w:tr>
      <w:tr w14:paraId="3D1D2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5AB3642">
            <w:pPr>
              <w:pStyle w:val="92"/>
              <w:rPr>
                <w:color w:val="auto"/>
                <w:highlight w:val="none"/>
                <w:u w:val="none"/>
              </w:rPr>
            </w:pPr>
            <w:r>
              <w:rPr>
                <w:color w:val="auto"/>
                <w:highlight w:val="none"/>
                <w:u w:val="none"/>
              </w:rPr>
              <w:t>15</w:t>
            </w:r>
          </w:p>
        </w:tc>
        <w:tc>
          <w:tcPr>
            <w:tcW w:w="2895" w:type="pct"/>
            <w:shd w:val="clear" w:color="auto" w:fill="auto"/>
            <w:vAlign w:val="center"/>
          </w:tcPr>
          <w:p w14:paraId="144D38E7">
            <w:pPr>
              <w:pStyle w:val="92"/>
              <w:rPr>
                <w:color w:val="auto"/>
                <w:highlight w:val="none"/>
                <w:u w:val="none"/>
              </w:rPr>
            </w:pPr>
            <w:r>
              <w:rPr>
                <w:color w:val="auto"/>
                <w:highlight w:val="none"/>
                <w:u w:val="none"/>
              </w:rPr>
              <w:t>铅/（mg/L）</w:t>
            </w:r>
          </w:p>
        </w:tc>
        <w:tc>
          <w:tcPr>
            <w:tcW w:w="1565" w:type="pct"/>
            <w:shd w:val="clear" w:color="auto" w:fill="auto"/>
            <w:vAlign w:val="center"/>
          </w:tcPr>
          <w:p w14:paraId="718CAEDC">
            <w:pPr>
              <w:pStyle w:val="92"/>
              <w:rPr>
                <w:color w:val="auto"/>
                <w:highlight w:val="none"/>
                <w:u w:val="none"/>
              </w:rPr>
            </w:pPr>
            <w:r>
              <w:rPr>
                <w:color w:val="auto"/>
                <w:highlight w:val="none"/>
                <w:u w:val="none"/>
              </w:rPr>
              <w:t>≤0.10</w:t>
            </w:r>
          </w:p>
        </w:tc>
      </w:tr>
      <w:tr w14:paraId="39165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23C45045">
            <w:pPr>
              <w:pStyle w:val="92"/>
              <w:rPr>
                <w:color w:val="auto"/>
                <w:highlight w:val="none"/>
                <w:u w:val="none"/>
              </w:rPr>
            </w:pPr>
            <w:r>
              <w:rPr>
                <w:color w:val="auto"/>
                <w:highlight w:val="none"/>
                <w:u w:val="none"/>
              </w:rPr>
              <w:t>16</w:t>
            </w:r>
          </w:p>
        </w:tc>
        <w:tc>
          <w:tcPr>
            <w:tcW w:w="2895" w:type="pct"/>
            <w:shd w:val="clear" w:color="auto" w:fill="auto"/>
            <w:vAlign w:val="center"/>
          </w:tcPr>
          <w:p w14:paraId="3D48313F">
            <w:pPr>
              <w:pStyle w:val="92"/>
              <w:rPr>
                <w:color w:val="auto"/>
                <w:highlight w:val="none"/>
                <w:u w:val="none"/>
              </w:rPr>
            </w:pPr>
            <w:r>
              <w:rPr>
                <w:color w:val="auto"/>
                <w:highlight w:val="none"/>
                <w:u w:val="none"/>
              </w:rPr>
              <w:t>氟化物/（mg/L）</w:t>
            </w:r>
          </w:p>
        </w:tc>
        <w:tc>
          <w:tcPr>
            <w:tcW w:w="1565" w:type="pct"/>
            <w:shd w:val="clear" w:color="auto" w:fill="auto"/>
            <w:vAlign w:val="center"/>
          </w:tcPr>
          <w:p w14:paraId="159610FC">
            <w:pPr>
              <w:pStyle w:val="92"/>
              <w:rPr>
                <w:color w:val="auto"/>
                <w:highlight w:val="none"/>
                <w:u w:val="none"/>
              </w:rPr>
            </w:pPr>
            <w:r>
              <w:rPr>
                <w:color w:val="auto"/>
                <w:highlight w:val="none"/>
                <w:u w:val="none"/>
              </w:rPr>
              <w:t>≤2.0</w:t>
            </w:r>
          </w:p>
        </w:tc>
      </w:tr>
      <w:tr w14:paraId="7934F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293645C1">
            <w:pPr>
              <w:pStyle w:val="92"/>
              <w:rPr>
                <w:color w:val="auto"/>
                <w:highlight w:val="none"/>
                <w:u w:val="none"/>
              </w:rPr>
            </w:pPr>
            <w:r>
              <w:rPr>
                <w:color w:val="auto"/>
                <w:highlight w:val="none"/>
                <w:u w:val="none"/>
              </w:rPr>
              <w:t>17</w:t>
            </w:r>
          </w:p>
        </w:tc>
        <w:tc>
          <w:tcPr>
            <w:tcW w:w="2895" w:type="pct"/>
            <w:shd w:val="clear" w:color="auto" w:fill="auto"/>
            <w:vAlign w:val="center"/>
          </w:tcPr>
          <w:p w14:paraId="221ECFFC">
            <w:pPr>
              <w:pStyle w:val="92"/>
              <w:rPr>
                <w:color w:val="auto"/>
                <w:highlight w:val="none"/>
                <w:u w:val="none"/>
              </w:rPr>
            </w:pPr>
            <w:r>
              <w:rPr>
                <w:color w:val="auto"/>
                <w:highlight w:val="none"/>
                <w:u w:val="none"/>
              </w:rPr>
              <w:t>镉/（mg/L）</w:t>
            </w:r>
          </w:p>
        </w:tc>
        <w:tc>
          <w:tcPr>
            <w:tcW w:w="1565" w:type="pct"/>
            <w:shd w:val="clear" w:color="auto" w:fill="auto"/>
            <w:vAlign w:val="center"/>
          </w:tcPr>
          <w:p w14:paraId="131DCC58">
            <w:pPr>
              <w:pStyle w:val="92"/>
              <w:rPr>
                <w:color w:val="auto"/>
                <w:highlight w:val="none"/>
                <w:u w:val="none"/>
              </w:rPr>
            </w:pPr>
            <w:r>
              <w:rPr>
                <w:color w:val="auto"/>
                <w:highlight w:val="none"/>
                <w:u w:val="none"/>
              </w:rPr>
              <w:t>≤0.01</w:t>
            </w:r>
          </w:p>
        </w:tc>
      </w:tr>
      <w:tr w14:paraId="63FCE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0118EB83">
            <w:pPr>
              <w:pStyle w:val="92"/>
              <w:rPr>
                <w:color w:val="auto"/>
                <w:highlight w:val="none"/>
                <w:u w:val="none"/>
              </w:rPr>
            </w:pPr>
            <w:r>
              <w:rPr>
                <w:color w:val="auto"/>
                <w:highlight w:val="none"/>
                <w:u w:val="none"/>
              </w:rPr>
              <w:t>18</w:t>
            </w:r>
          </w:p>
        </w:tc>
        <w:tc>
          <w:tcPr>
            <w:tcW w:w="2895" w:type="pct"/>
            <w:shd w:val="clear" w:color="auto" w:fill="auto"/>
            <w:vAlign w:val="center"/>
          </w:tcPr>
          <w:p w14:paraId="340FBAA9">
            <w:pPr>
              <w:pStyle w:val="92"/>
              <w:rPr>
                <w:color w:val="auto"/>
                <w:highlight w:val="none"/>
                <w:u w:val="none"/>
              </w:rPr>
            </w:pPr>
            <w:r>
              <w:rPr>
                <w:color w:val="auto"/>
                <w:highlight w:val="none"/>
                <w:u w:val="none"/>
              </w:rPr>
              <w:t>铁/（mg/L）</w:t>
            </w:r>
          </w:p>
        </w:tc>
        <w:tc>
          <w:tcPr>
            <w:tcW w:w="1565" w:type="pct"/>
            <w:shd w:val="clear" w:color="auto" w:fill="auto"/>
            <w:vAlign w:val="center"/>
          </w:tcPr>
          <w:p w14:paraId="5A78B678">
            <w:pPr>
              <w:pStyle w:val="92"/>
              <w:rPr>
                <w:color w:val="auto"/>
                <w:highlight w:val="none"/>
                <w:u w:val="none"/>
              </w:rPr>
            </w:pPr>
            <w:r>
              <w:rPr>
                <w:color w:val="auto"/>
                <w:highlight w:val="none"/>
                <w:u w:val="none"/>
              </w:rPr>
              <w:t>≤2.0</w:t>
            </w:r>
          </w:p>
        </w:tc>
      </w:tr>
      <w:tr w14:paraId="26BAA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7920D5F5">
            <w:pPr>
              <w:pStyle w:val="92"/>
              <w:rPr>
                <w:color w:val="auto"/>
                <w:highlight w:val="none"/>
                <w:u w:val="none"/>
              </w:rPr>
            </w:pPr>
            <w:r>
              <w:rPr>
                <w:color w:val="auto"/>
                <w:highlight w:val="none"/>
                <w:u w:val="none"/>
              </w:rPr>
              <w:t>19</w:t>
            </w:r>
          </w:p>
        </w:tc>
        <w:tc>
          <w:tcPr>
            <w:tcW w:w="2895" w:type="pct"/>
            <w:shd w:val="clear" w:color="auto" w:fill="auto"/>
            <w:vAlign w:val="center"/>
          </w:tcPr>
          <w:p w14:paraId="7BBD1E32">
            <w:pPr>
              <w:pStyle w:val="92"/>
              <w:rPr>
                <w:color w:val="auto"/>
                <w:highlight w:val="none"/>
                <w:u w:val="none"/>
              </w:rPr>
            </w:pPr>
            <w:r>
              <w:rPr>
                <w:color w:val="auto"/>
                <w:highlight w:val="none"/>
                <w:u w:val="none"/>
              </w:rPr>
              <w:t>锰/（mg/L）</w:t>
            </w:r>
          </w:p>
        </w:tc>
        <w:tc>
          <w:tcPr>
            <w:tcW w:w="1565" w:type="pct"/>
            <w:shd w:val="clear" w:color="auto" w:fill="auto"/>
            <w:vAlign w:val="center"/>
          </w:tcPr>
          <w:p w14:paraId="213C70A8">
            <w:pPr>
              <w:pStyle w:val="92"/>
              <w:rPr>
                <w:color w:val="auto"/>
                <w:highlight w:val="none"/>
                <w:u w:val="none"/>
              </w:rPr>
            </w:pPr>
            <w:r>
              <w:rPr>
                <w:color w:val="auto"/>
                <w:highlight w:val="none"/>
                <w:u w:val="none"/>
              </w:rPr>
              <w:t>≤1.50</w:t>
            </w:r>
          </w:p>
        </w:tc>
      </w:tr>
      <w:tr w14:paraId="7A019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6199769E">
            <w:pPr>
              <w:pStyle w:val="92"/>
              <w:rPr>
                <w:color w:val="auto"/>
                <w:highlight w:val="none"/>
                <w:u w:val="none"/>
              </w:rPr>
            </w:pPr>
          </w:p>
        </w:tc>
        <w:tc>
          <w:tcPr>
            <w:tcW w:w="2895" w:type="pct"/>
            <w:shd w:val="clear" w:color="auto" w:fill="auto"/>
            <w:vAlign w:val="center"/>
          </w:tcPr>
          <w:p w14:paraId="57686C94">
            <w:pPr>
              <w:pStyle w:val="92"/>
              <w:rPr>
                <w:color w:val="auto"/>
                <w:highlight w:val="none"/>
                <w:u w:val="none"/>
              </w:rPr>
            </w:pPr>
            <w:r>
              <w:rPr>
                <w:rFonts w:hint="eastAsia"/>
                <w:color w:val="auto"/>
                <w:highlight w:val="none"/>
                <w:u w:val="none"/>
              </w:rPr>
              <w:t>钠/（m</w:t>
            </w:r>
            <w:r>
              <w:rPr>
                <w:color w:val="auto"/>
                <w:highlight w:val="none"/>
                <w:u w:val="none"/>
              </w:rPr>
              <w:t>g/L</w:t>
            </w:r>
            <w:r>
              <w:rPr>
                <w:rFonts w:hint="eastAsia"/>
                <w:color w:val="auto"/>
                <w:highlight w:val="none"/>
                <w:u w:val="none"/>
              </w:rPr>
              <w:t>）</w:t>
            </w:r>
          </w:p>
        </w:tc>
        <w:tc>
          <w:tcPr>
            <w:tcW w:w="1565" w:type="pct"/>
            <w:shd w:val="clear" w:color="auto" w:fill="auto"/>
            <w:vAlign w:val="center"/>
          </w:tcPr>
          <w:p w14:paraId="5C1A5A28">
            <w:pPr>
              <w:pStyle w:val="92"/>
              <w:rPr>
                <w:color w:val="auto"/>
                <w:highlight w:val="none"/>
                <w:u w:val="none"/>
              </w:rPr>
            </w:pPr>
            <w:r>
              <w:rPr>
                <w:color w:val="auto"/>
                <w:highlight w:val="none"/>
                <w:u w:val="none"/>
              </w:rPr>
              <w:t>≤400</w:t>
            </w:r>
          </w:p>
        </w:tc>
      </w:tr>
      <w:tr w14:paraId="3675D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2ACC91AA">
            <w:pPr>
              <w:pStyle w:val="92"/>
              <w:rPr>
                <w:color w:val="auto"/>
                <w:highlight w:val="none"/>
                <w:u w:val="none"/>
              </w:rPr>
            </w:pPr>
            <w:r>
              <w:rPr>
                <w:color w:val="auto"/>
                <w:highlight w:val="none"/>
                <w:u w:val="none"/>
              </w:rPr>
              <w:t>20</w:t>
            </w:r>
          </w:p>
        </w:tc>
        <w:tc>
          <w:tcPr>
            <w:tcW w:w="2895" w:type="pct"/>
            <w:shd w:val="clear" w:color="auto" w:fill="auto"/>
            <w:vAlign w:val="center"/>
          </w:tcPr>
          <w:p w14:paraId="04FCF2D0">
            <w:pPr>
              <w:pStyle w:val="92"/>
              <w:rPr>
                <w:color w:val="auto"/>
                <w:highlight w:val="none"/>
                <w:u w:val="none"/>
              </w:rPr>
            </w:pPr>
            <w:r>
              <w:rPr>
                <w:color w:val="auto"/>
                <w:highlight w:val="none"/>
                <w:u w:val="none"/>
              </w:rPr>
              <w:t>甲苯（μg/L）</w:t>
            </w:r>
          </w:p>
        </w:tc>
        <w:tc>
          <w:tcPr>
            <w:tcW w:w="1565" w:type="pct"/>
            <w:shd w:val="clear" w:color="auto" w:fill="auto"/>
            <w:vAlign w:val="center"/>
          </w:tcPr>
          <w:p w14:paraId="76FBD70C">
            <w:pPr>
              <w:pStyle w:val="92"/>
              <w:rPr>
                <w:color w:val="auto"/>
                <w:highlight w:val="none"/>
                <w:u w:val="none"/>
              </w:rPr>
            </w:pPr>
            <w:r>
              <w:rPr>
                <w:color w:val="auto"/>
                <w:highlight w:val="none"/>
                <w:u w:val="none"/>
              </w:rPr>
              <w:t>≤1400</w:t>
            </w:r>
          </w:p>
        </w:tc>
      </w:tr>
      <w:tr w14:paraId="00E39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62D7215A">
            <w:pPr>
              <w:pStyle w:val="92"/>
              <w:rPr>
                <w:color w:val="auto"/>
                <w:highlight w:val="none"/>
                <w:u w:val="none"/>
              </w:rPr>
            </w:pPr>
            <w:r>
              <w:rPr>
                <w:color w:val="auto"/>
                <w:highlight w:val="none"/>
                <w:u w:val="none"/>
              </w:rPr>
              <w:t>21</w:t>
            </w:r>
          </w:p>
        </w:tc>
        <w:tc>
          <w:tcPr>
            <w:tcW w:w="2895" w:type="pct"/>
            <w:shd w:val="clear" w:color="auto" w:fill="auto"/>
            <w:vAlign w:val="center"/>
          </w:tcPr>
          <w:p w14:paraId="72276E95">
            <w:pPr>
              <w:pStyle w:val="92"/>
              <w:rPr>
                <w:color w:val="auto"/>
                <w:highlight w:val="none"/>
                <w:u w:val="none"/>
              </w:rPr>
            </w:pPr>
            <w:r>
              <w:rPr>
                <w:rFonts w:hint="eastAsia"/>
                <w:color w:val="auto"/>
                <w:sz w:val="24"/>
                <w:highlight w:val="none"/>
                <w:u w:val="none"/>
              </w:rPr>
              <w:t>邻二氯苯（</w:t>
            </w:r>
            <w:r>
              <w:rPr>
                <w:color w:val="auto"/>
                <w:highlight w:val="none"/>
                <w:u w:val="none"/>
              </w:rPr>
              <w:t>μg/L</w:t>
            </w:r>
            <w:r>
              <w:rPr>
                <w:rFonts w:hint="eastAsia"/>
                <w:color w:val="auto"/>
                <w:sz w:val="24"/>
                <w:highlight w:val="none"/>
                <w:u w:val="none"/>
              </w:rPr>
              <w:t>）</w:t>
            </w:r>
          </w:p>
        </w:tc>
        <w:tc>
          <w:tcPr>
            <w:tcW w:w="1565" w:type="pct"/>
            <w:shd w:val="clear" w:color="auto" w:fill="auto"/>
            <w:vAlign w:val="center"/>
          </w:tcPr>
          <w:p w14:paraId="6DCA31C1">
            <w:pPr>
              <w:pStyle w:val="92"/>
              <w:rPr>
                <w:color w:val="auto"/>
                <w:highlight w:val="none"/>
                <w:u w:val="none"/>
              </w:rPr>
            </w:pPr>
            <w:r>
              <w:rPr>
                <w:color w:val="auto"/>
                <w:highlight w:val="none"/>
                <w:u w:val="none"/>
              </w:rPr>
              <w:t>≤2000</w:t>
            </w:r>
          </w:p>
        </w:tc>
      </w:tr>
      <w:tr w14:paraId="739E6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36BFDE6C">
            <w:pPr>
              <w:pStyle w:val="92"/>
              <w:rPr>
                <w:color w:val="auto"/>
                <w:highlight w:val="none"/>
                <w:u w:val="none"/>
              </w:rPr>
            </w:pPr>
            <w:r>
              <w:rPr>
                <w:color w:val="auto"/>
                <w:highlight w:val="none"/>
                <w:u w:val="none"/>
              </w:rPr>
              <w:t>22</w:t>
            </w:r>
          </w:p>
        </w:tc>
        <w:tc>
          <w:tcPr>
            <w:tcW w:w="2895" w:type="pct"/>
            <w:shd w:val="clear" w:color="auto" w:fill="auto"/>
            <w:vAlign w:val="center"/>
          </w:tcPr>
          <w:p w14:paraId="79C49E83">
            <w:pPr>
              <w:pStyle w:val="92"/>
              <w:rPr>
                <w:color w:val="auto"/>
                <w:highlight w:val="none"/>
                <w:u w:val="none"/>
              </w:rPr>
            </w:pPr>
            <w:r>
              <w:rPr>
                <w:rFonts w:hint="eastAsia"/>
                <w:color w:val="auto"/>
                <w:sz w:val="24"/>
                <w:highlight w:val="none"/>
                <w:u w:val="none"/>
              </w:rPr>
              <w:t>2,</w:t>
            </w:r>
            <w:r>
              <w:rPr>
                <w:color w:val="auto"/>
                <w:sz w:val="24"/>
                <w:highlight w:val="none"/>
                <w:u w:val="none"/>
              </w:rPr>
              <w:t>4-</w:t>
            </w:r>
            <w:r>
              <w:rPr>
                <w:rFonts w:hint="eastAsia"/>
                <w:color w:val="auto"/>
                <w:sz w:val="24"/>
                <w:highlight w:val="none"/>
                <w:u w:val="none"/>
              </w:rPr>
              <w:t>二硝基甲苯（</w:t>
            </w:r>
            <w:r>
              <w:rPr>
                <w:color w:val="auto"/>
                <w:highlight w:val="none"/>
                <w:u w:val="none"/>
              </w:rPr>
              <w:t>μg/L</w:t>
            </w:r>
            <w:r>
              <w:rPr>
                <w:rFonts w:hint="eastAsia"/>
                <w:color w:val="auto"/>
                <w:sz w:val="24"/>
                <w:highlight w:val="none"/>
                <w:u w:val="none"/>
              </w:rPr>
              <w:t>）</w:t>
            </w:r>
          </w:p>
        </w:tc>
        <w:tc>
          <w:tcPr>
            <w:tcW w:w="1565" w:type="pct"/>
            <w:shd w:val="clear" w:color="auto" w:fill="auto"/>
            <w:vAlign w:val="center"/>
          </w:tcPr>
          <w:p w14:paraId="0702059F">
            <w:pPr>
              <w:pStyle w:val="92"/>
              <w:rPr>
                <w:color w:val="auto"/>
                <w:highlight w:val="none"/>
                <w:u w:val="none"/>
              </w:rPr>
            </w:pPr>
            <w:r>
              <w:rPr>
                <w:color w:val="auto"/>
                <w:highlight w:val="none"/>
                <w:u w:val="none"/>
              </w:rPr>
              <w:t>≤60.0</w:t>
            </w:r>
          </w:p>
        </w:tc>
      </w:tr>
      <w:tr w14:paraId="65292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vAlign w:val="center"/>
          </w:tcPr>
          <w:p w14:paraId="1FAE4B2D">
            <w:pPr>
              <w:pStyle w:val="92"/>
              <w:rPr>
                <w:color w:val="auto"/>
                <w:highlight w:val="none"/>
                <w:u w:val="none"/>
              </w:rPr>
            </w:pPr>
            <w:r>
              <w:rPr>
                <w:color w:val="auto"/>
                <w:highlight w:val="none"/>
                <w:u w:val="none"/>
              </w:rPr>
              <w:t>23</w:t>
            </w:r>
          </w:p>
        </w:tc>
        <w:tc>
          <w:tcPr>
            <w:tcW w:w="2895" w:type="pct"/>
            <w:shd w:val="clear" w:color="auto" w:fill="auto"/>
            <w:vAlign w:val="center"/>
          </w:tcPr>
          <w:p w14:paraId="7C86B89D">
            <w:pPr>
              <w:pStyle w:val="92"/>
              <w:rPr>
                <w:color w:val="auto"/>
                <w:highlight w:val="none"/>
                <w:u w:val="none"/>
              </w:rPr>
            </w:pPr>
            <w:r>
              <w:rPr>
                <w:rFonts w:hint="eastAsia"/>
                <w:color w:val="auto"/>
                <w:sz w:val="24"/>
                <w:highlight w:val="none"/>
                <w:u w:val="none"/>
              </w:rPr>
              <w:t>2,</w:t>
            </w:r>
            <w:r>
              <w:rPr>
                <w:color w:val="auto"/>
                <w:sz w:val="24"/>
                <w:highlight w:val="none"/>
                <w:u w:val="none"/>
              </w:rPr>
              <w:t>6-</w:t>
            </w:r>
            <w:r>
              <w:rPr>
                <w:rFonts w:hint="eastAsia"/>
                <w:color w:val="auto"/>
                <w:sz w:val="24"/>
                <w:highlight w:val="none"/>
                <w:u w:val="none"/>
              </w:rPr>
              <w:t>二硝基甲苯（</w:t>
            </w:r>
            <w:r>
              <w:rPr>
                <w:color w:val="auto"/>
                <w:highlight w:val="none"/>
                <w:u w:val="none"/>
              </w:rPr>
              <w:t>μg/L</w:t>
            </w:r>
            <w:r>
              <w:rPr>
                <w:rFonts w:hint="eastAsia"/>
                <w:color w:val="auto"/>
                <w:sz w:val="24"/>
                <w:highlight w:val="none"/>
                <w:u w:val="none"/>
              </w:rPr>
              <w:t>）</w:t>
            </w:r>
          </w:p>
        </w:tc>
        <w:tc>
          <w:tcPr>
            <w:tcW w:w="1565" w:type="pct"/>
            <w:shd w:val="clear" w:color="auto" w:fill="auto"/>
            <w:vAlign w:val="center"/>
          </w:tcPr>
          <w:p w14:paraId="576552E0">
            <w:pPr>
              <w:pStyle w:val="92"/>
              <w:rPr>
                <w:color w:val="auto"/>
                <w:highlight w:val="none"/>
                <w:u w:val="none"/>
              </w:rPr>
            </w:pPr>
            <w:r>
              <w:rPr>
                <w:color w:val="auto"/>
                <w:highlight w:val="none"/>
                <w:u w:val="none"/>
              </w:rPr>
              <w:t>≤30.0</w:t>
            </w:r>
          </w:p>
        </w:tc>
      </w:tr>
    </w:tbl>
    <w:p w14:paraId="77E2DC8C">
      <w:pPr>
        <w:rPr>
          <w:rFonts w:hint="eastAsia"/>
          <w:bCs/>
          <w:color w:val="auto"/>
          <w:highlight w:val="none"/>
          <w:u w:val="none"/>
        </w:rPr>
      </w:pPr>
      <w:r>
        <w:rPr>
          <w:rFonts w:hint="eastAsia"/>
          <w:color w:val="auto"/>
          <w:highlight w:val="none"/>
          <w:u w:val="none"/>
        </w:rPr>
        <w:t>（2）大气环境质量标准</w:t>
      </w:r>
    </w:p>
    <w:p w14:paraId="5533E21E">
      <w:pPr>
        <w:rPr>
          <w:rFonts w:hint="eastAsia"/>
          <w:bCs/>
          <w:color w:val="auto"/>
          <w:highlight w:val="none"/>
          <w:u w:val="none"/>
        </w:rPr>
      </w:pPr>
      <w:r>
        <w:rPr>
          <w:rFonts w:hint="eastAsia"/>
          <w:color w:val="auto"/>
          <w:highlight w:val="none"/>
          <w:u w:val="none"/>
        </w:rPr>
        <w:t>评价区大气环境执行《环境空气质量标准》（GB3095-2012）及其修改单的二级标准，其中氯化氢、</w:t>
      </w:r>
      <w:r>
        <w:rPr>
          <w:color w:val="auto"/>
          <w:highlight w:val="none"/>
          <w:u w:val="none"/>
        </w:rPr>
        <w:t>氯气、氨、硫化氢、甲苯、硫酸雾、硝基苯、苯胺、</w:t>
      </w:r>
      <w:r>
        <w:rPr>
          <w:rFonts w:hint="eastAsia"/>
          <w:color w:val="auto"/>
          <w:highlight w:val="none"/>
          <w:u w:val="none"/>
        </w:rPr>
        <w:t>VOCs</w:t>
      </w:r>
      <w:r>
        <w:rPr>
          <w:rStyle w:val="150"/>
          <w:rFonts w:hint="default"/>
          <w:color w:val="auto"/>
          <w:highlight w:val="none"/>
          <w:u w:val="none"/>
        </w:rPr>
        <w:t>参照执行</w:t>
      </w:r>
      <w:r>
        <w:rPr>
          <w:color w:val="auto"/>
          <w:highlight w:val="none"/>
          <w:u w:val="none"/>
        </w:rPr>
        <w:t>《环境影响评价技术导则  大气环境》（HJ2.2-2018）中</w:t>
      </w:r>
      <w:r>
        <w:rPr>
          <w:rFonts w:ascii="宋体"/>
          <w:color w:val="auto"/>
          <w:highlight w:val="none"/>
          <w:u w:val="none"/>
        </w:rPr>
        <w:t>“附录D 其他污染物空气质量浓度参考限值”</w:t>
      </w:r>
      <w:r>
        <w:rPr>
          <w:rFonts w:hint="eastAsia" w:ascii="宋体"/>
          <w:color w:val="auto"/>
          <w:highlight w:val="none"/>
          <w:u w:val="none"/>
        </w:rPr>
        <w:t>；</w:t>
      </w:r>
      <w:r>
        <w:rPr>
          <w:rStyle w:val="150"/>
          <w:rFonts w:hint="default"/>
          <w:color w:val="auto"/>
          <w:highlight w:val="none"/>
          <w:u w:val="none"/>
        </w:rPr>
        <w:t>非甲烷总烃参照执行《大气污染物综合排放标准详解》中一次最高容许浓度</w:t>
      </w:r>
      <w:r>
        <w:rPr>
          <w:color w:val="auto"/>
          <w:highlight w:val="none"/>
          <w:u w:val="none"/>
        </w:rPr>
        <w:t>2.0mg/m</w:t>
      </w:r>
      <w:r>
        <w:rPr>
          <w:color w:val="auto"/>
          <w:highlight w:val="none"/>
          <w:u w:val="none"/>
          <w:vertAlign w:val="superscript"/>
        </w:rPr>
        <w:t>3</w:t>
      </w:r>
      <w:r>
        <w:rPr>
          <w:rFonts w:hint="eastAsia"/>
          <w:color w:val="auto"/>
          <w:highlight w:val="none"/>
          <w:u w:val="none"/>
        </w:rPr>
        <w:t>；氯苯</w:t>
      </w:r>
      <w:r>
        <w:rPr>
          <w:color w:val="auto"/>
          <w:highlight w:val="none"/>
          <w:u w:val="none"/>
        </w:rPr>
        <w:t>参照《前苏联居民区大气中有害物质的最大允许浓度》</w:t>
      </w:r>
      <w:r>
        <w:rPr>
          <w:rFonts w:hint="eastAsia"/>
          <w:color w:val="auto"/>
          <w:highlight w:val="none"/>
          <w:u w:val="none"/>
        </w:rPr>
        <w:t>（</w:t>
      </w:r>
      <w:r>
        <w:rPr>
          <w:color w:val="auto"/>
          <w:highlight w:val="none"/>
          <w:u w:val="none"/>
        </w:rPr>
        <w:t>CH245-71</w:t>
      </w:r>
      <w:r>
        <w:rPr>
          <w:rFonts w:hint="eastAsia"/>
          <w:color w:val="auto"/>
          <w:highlight w:val="none"/>
          <w:u w:val="none"/>
        </w:rPr>
        <w:t>）</w:t>
      </w:r>
      <w:r>
        <w:rPr>
          <w:color w:val="auto"/>
          <w:highlight w:val="none"/>
          <w:u w:val="none"/>
        </w:rPr>
        <w:t>中的相关限值</w:t>
      </w:r>
      <w:r>
        <w:rPr>
          <w:rFonts w:hint="eastAsia"/>
          <w:color w:val="auto"/>
          <w:highlight w:val="none"/>
          <w:u w:val="none"/>
        </w:rPr>
        <w:t>；</w:t>
      </w:r>
      <w:r>
        <w:rPr>
          <w:color w:val="auto"/>
          <w:highlight w:val="none"/>
          <w:u w:val="none"/>
        </w:rPr>
        <w:t>光气</w:t>
      </w:r>
      <w:r>
        <w:rPr>
          <w:rFonts w:hint="eastAsia"/>
          <w:color w:val="auto"/>
          <w:highlight w:val="none"/>
          <w:u w:val="none"/>
        </w:rPr>
        <w:t>参照《国内外空气质量标准与基础汇编》（中国环境出版集团）中《加拿大阿尔伯塔省空气质量目标和指导概要》中的限值要求。本项目排放的污染物中硝基苯类、苯胺类、氯苯类分别参照硝基苯、苯胺和氯苯的相关环境质量标准。</w:t>
      </w:r>
      <w:r>
        <w:rPr>
          <w:rStyle w:val="150"/>
          <w:rFonts w:hint="default"/>
          <w:color w:val="auto"/>
          <w:highlight w:val="none"/>
          <w:u w:val="none"/>
        </w:rPr>
        <w:t>具体标准详见</w:t>
      </w:r>
      <w:r>
        <w:rPr>
          <w:rStyle w:val="150"/>
          <w:rFonts w:hint="default"/>
          <w:color w:val="auto"/>
          <w:highlight w:val="none"/>
          <w:u w:val="none"/>
        </w:rPr>
        <w:fldChar w:fldCharType="begin"/>
      </w:r>
      <w:r>
        <w:rPr>
          <w:rStyle w:val="150"/>
          <w:rFonts w:hint="default"/>
          <w:color w:val="auto"/>
          <w:highlight w:val="none"/>
          <w:u w:val="none"/>
        </w:rPr>
        <w:instrText xml:space="preserve"> REF _Ref46761615 \h  \* MERGEFORMAT </w:instrText>
      </w:r>
      <w:r>
        <w:rPr>
          <w:rStyle w:val="150"/>
          <w:rFonts w:hint="default"/>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5</w:t>
      </w:r>
      <w:r>
        <w:rPr>
          <w:rStyle w:val="150"/>
          <w:rFonts w:hint="default"/>
          <w:color w:val="auto"/>
          <w:highlight w:val="none"/>
          <w:u w:val="none"/>
        </w:rPr>
        <w:fldChar w:fldCharType="end"/>
      </w:r>
      <w:r>
        <w:rPr>
          <w:rStyle w:val="150"/>
          <w:rFonts w:hint="default"/>
          <w:color w:val="auto"/>
          <w:highlight w:val="none"/>
          <w:u w:val="none"/>
        </w:rPr>
        <w:t>。</w:t>
      </w:r>
    </w:p>
    <w:p w14:paraId="42766B18">
      <w:pPr>
        <w:pStyle w:val="85"/>
        <w:rPr>
          <w:color w:val="auto"/>
          <w:highlight w:val="none"/>
          <w:u w:val="none"/>
        </w:rPr>
      </w:pPr>
      <w:bookmarkStart w:id="80" w:name="_Ref46761615"/>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5</w:t>
      </w:r>
      <w:r>
        <w:rPr>
          <w:color w:val="auto"/>
          <w:highlight w:val="none"/>
          <w:u w:val="none"/>
        </w:rPr>
        <w:fldChar w:fldCharType="end"/>
      </w:r>
      <w:bookmarkEnd w:id="80"/>
      <w:r>
        <w:rPr>
          <w:color w:val="auto"/>
          <w:highlight w:val="none"/>
          <w:u w:val="none"/>
        </w:rPr>
        <w:t xml:space="preserve">  </w:t>
      </w:r>
      <w:r>
        <w:rPr>
          <w:rFonts w:hint="eastAsia"/>
          <w:color w:val="auto"/>
          <w:highlight w:val="none"/>
          <w:u w:val="none"/>
        </w:rPr>
        <w:t>环境空气质量评价执行标准</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731"/>
        <w:gridCol w:w="1463"/>
        <w:gridCol w:w="2188"/>
        <w:gridCol w:w="1260"/>
        <w:gridCol w:w="3645"/>
      </w:tblGrid>
      <w:tr w14:paraId="148A3C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blHeader/>
          <w:jc w:val="center"/>
        </w:trPr>
        <w:tc>
          <w:tcPr>
            <w:tcW w:w="394" w:type="pct"/>
            <w:vAlign w:val="center"/>
          </w:tcPr>
          <w:p w14:paraId="53F75B86">
            <w:pPr>
              <w:pStyle w:val="92"/>
              <w:rPr>
                <w:color w:val="auto"/>
                <w:highlight w:val="none"/>
                <w:u w:val="none"/>
              </w:rPr>
            </w:pPr>
            <w:r>
              <w:rPr>
                <w:color w:val="auto"/>
                <w:highlight w:val="none"/>
                <w:u w:val="none"/>
              </w:rPr>
              <w:t>序号</w:t>
            </w:r>
          </w:p>
        </w:tc>
        <w:tc>
          <w:tcPr>
            <w:tcW w:w="787" w:type="pct"/>
            <w:vAlign w:val="center"/>
          </w:tcPr>
          <w:p w14:paraId="537EFB6B">
            <w:pPr>
              <w:pStyle w:val="92"/>
              <w:rPr>
                <w:color w:val="auto"/>
                <w:highlight w:val="none"/>
                <w:u w:val="none"/>
              </w:rPr>
            </w:pPr>
            <w:r>
              <w:rPr>
                <w:color w:val="auto"/>
                <w:highlight w:val="none"/>
                <w:u w:val="none"/>
              </w:rPr>
              <w:t>项目</w:t>
            </w:r>
          </w:p>
        </w:tc>
        <w:tc>
          <w:tcPr>
            <w:tcW w:w="1177" w:type="pct"/>
            <w:vAlign w:val="center"/>
          </w:tcPr>
          <w:p w14:paraId="49802C9C">
            <w:pPr>
              <w:pStyle w:val="92"/>
              <w:rPr>
                <w:color w:val="auto"/>
                <w:highlight w:val="none"/>
                <w:u w:val="none"/>
              </w:rPr>
            </w:pPr>
            <w:r>
              <w:rPr>
                <w:color w:val="auto"/>
                <w:highlight w:val="none"/>
                <w:u w:val="none"/>
              </w:rPr>
              <w:t>取值时间</w:t>
            </w:r>
          </w:p>
        </w:tc>
        <w:tc>
          <w:tcPr>
            <w:tcW w:w="678" w:type="pct"/>
            <w:vAlign w:val="center"/>
          </w:tcPr>
          <w:p w14:paraId="553C365C">
            <w:pPr>
              <w:pStyle w:val="92"/>
              <w:rPr>
                <w:color w:val="auto"/>
                <w:highlight w:val="none"/>
                <w:u w:val="none"/>
              </w:rPr>
            </w:pPr>
            <w:r>
              <w:rPr>
                <w:color w:val="auto"/>
                <w:highlight w:val="none"/>
                <w:u w:val="none"/>
              </w:rPr>
              <w:t>浓度限值</w:t>
            </w:r>
          </w:p>
        </w:tc>
        <w:tc>
          <w:tcPr>
            <w:tcW w:w="1961" w:type="pct"/>
            <w:vAlign w:val="center"/>
          </w:tcPr>
          <w:p w14:paraId="01FE5186">
            <w:pPr>
              <w:pStyle w:val="92"/>
              <w:rPr>
                <w:color w:val="auto"/>
                <w:highlight w:val="none"/>
                <w:u w:val="none"/>
              </w:rPr>
            </w:pPr>
            <w:r>
              <w:rPr>
                <w:color w:val="auto"/>
                <w:highlight w:val="none"/>
                <w:u w:val="none"/>
              </w:rPr>
              <w:t>标准来源</w:t>
            </w:r>
          </w:p>
        </w:tc>
      </w:tr>
      <w:tr w14:paraId="4857BC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165103C2">
            <w:pPr>
              <w:pStyle w:val="92"/>
              <w:rPr>
                <w:color w:val="auto"/>
                <w:highlight w:val="none"/>
                <w:u w:val="none"/>
              </w:rPr>
            </w:pPr>
            <w:r>
              <w:rPr>
                <w:color w:val="auto"/>
                <w:highlight w:val="none"/>
                <w:u w:val="none"/>
              </w:rPr>
              <w:t>1</w:t>
            </w:r>
          </w:p>
        </w:tc>
        <w:tc>
          <w:tcPr>
            <w:tcW w:w="787" w:type="pct"/>
            <w:vMerge w:val="restart"/>
            <w:vAlign w:val="center"/>
          </w:tcPr>
          <w:p w14:paraId="3D09ECEA">
            <w:pPr>
              <w:pStyle w:val="92"/>
              <w:rPr>
                <w:color w:val="auto"/>
                <w:highlight w:val="none"/>
                <w:u w:val="none"/>
              </w:rPr>
            </w:pPr>
            <w:r>
              <w:rPr>
                <w:color w:val="auto"/>
                <w:highlight w:val="none"/>
                <w:u w:val="none"/>
              </w:rPr>
              <w:t>SO</w:t>
            </w:r>
            <w:r>
              <w:rPr>
                <w:color w:val="auto"/>
                <w:highlight w:val="none"/>
                <w:u w:val="none"/>
                <w:vertAlign w:val="subscript"/>
              </w:rPr>
              <w:t>2</w:t>
            </w:r>
          </w:p>
        </w:tc>
        <w:tc>
          <w:tcPr>
            <w:tcW w:w="1177" w:type="pct"/>
            <w:vAlign w:val="center"/>
          </w:tcPr>
          <w:p w14:paraId="40D292C4">
            <w:pPr>
              <w:pStyle w:val="92"/>
              <w:rPr>
                <w:color w:val="auto"/>
                <w:highlight w:val="none"/>
                <w:u w:val="none"/>
              </w:rPr>
            </w:pPr>
            <w:r>
              <w:rPr>
                <w:color w:val="auto"/>
                <w:highlight w:val="none"/>
                <w:u w:val="none"/>
              </w:rPr>
              <w:t>年平均</w:t>
            </w:r>
          </w:p>
        </w:tc>
        <w:tc>
          <w:tcPr>
            <w:tcW w:w="678" w:type="pct"/>
            <w:vAlign w:val="center"/>
          </w:tcPr>
          <w:p w14:paraId="69554729">
            <w:pPr>
              <w:pStyle w:val="92"/>
              <w:rPr>
                <w:color w:val="auto"/>
                <w:highlight w:val="none"/>
                <w:u w:val="none"/>
              </w:rPr>
            </w:pPr>
            <w:r>
              <w:rPr>
                <w:color w:val="auto"/>
                <w:highlight w:val="none"/>
                <w:u w:val="none"/>
              </w:rPr>
              <w:t>60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restart"/>
            <w:vAlign w:val="center"/>
          </w:tcPr>
          <w:p w14:paraId="0797E78F">
            <w:pPr>
              <w:pStyle w:val="92"/>
              <w:rPr>
                <w:color w:val="auto"/>
                <w:highlight w:val="none"/>
                <w:u w:val="none"/>
              </w:rPr>
            </w:pPr>
            <w:r>
              <w:rPr>
                <w:color w:val="auto"/>
                <w:highlight w:val="none"/>
                <w:u w:val="none"/>
              </w:rPr>
              <w:t>《环境空气质量标准》</w:t>
            </w:r>
          </w:p>
          <w:p w14:paraId="699B0F7F">
            <w:pPr>
              <w:pStyle w:val="92"/>
              <w:rPr>
                <w:color w:val="auto"/>
                <w:highlight w:val="none"/>
                <w:u w:val="none"/>
              </w:rPr>
            </w:pPr>
            <w:r>
              <w:rPr>
                <w:color w:val="auto"/>
                <w:highlight w:val="none"/>
                <w:u w:val="none"/>
              </w:rPr>
              <w:t>（GB3095-2012）及</w:t>
            </w:r>
          </w:p>
          <w:p w14:paraId="7CAE5DF7">
            <w:pPr>
              <w:pStyle w:val="92"/>
              <w:rPr>
                <w:color w:val="auto"/>
                <w:highlight w:val="none"/>
                <w:u w:val="none"/>
              </w:rPr>
            </w:pPr>
            <w:r>
              <w:rPr>
                <w:color w:val="auto"/>
                <w:highlight w:val="none"/>
                <w:u w:val="none"/>
              </w:rPr>
              <w:t>其修改单的二级标准</w:t>
            </w:r>
          </w:p>
        </w:tc>
      </w:tr>
      <w:tr w14:paraId="279BE0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68F97A31">
            <w:pPr>
              <w:pStyle w:val="92"/>
              <w:rPr>
                <w:color w:val="auto"/>
                <w:highlight w:val="none"/>
                <w:u w:val="none"/>
              </w:rPr>
            </w:pPr>
          </w:p>
        </w:tc>
        <w:tc>
          <w:tcPr>
            <w:tcW w:w="787" w:type="pct"/>
            <w:vMerge w:val="continue"/>
            <w:vAlign w:val="center"/>
          </w:tcPr>
          <w:p w14:paraId="45D18C8E">
            <w:pPr>
              <w:pStyle w:val="92"/>
              <w:rPr>
                <w:color w:val="auto"/>
                <w:highlight w:val="none"/>
                <w:u w:val="none"/>
              </w:rPr>
            </w:pPr>
          </w:p>
        </w:tc>
        <w:tc>
          <w:tcPr>
            <w:tcW w:w="1177" w:type="pct"/>
            <w:vAlign w:val="center"/>
          </w:tcPr>
          <w:p w14:paraId="130A0CDD">
            <w:pPr>
              <w:pStyle w:val="92"/>
              <w:rPr>
                <w:color w:val="auto"/>
                <w:highlight w:val="none"/>
                <w:u w:val="none"/>
              </w:rPr>
            </w:pPr>
            <w:r>
              <w:rPr>
                <w:color w:val="auto"/>
                <w:highlight w:val="none"/>
                <w:u w:val="none"/>
              </w:rPr>
              <w:t>24小时平均</w:t>
            </w:r>
          </w:p>
        </w:tc>
        <w:tc>
          <w:tcPr>
            <w:tcW w:w="678" w:type="pct"/>
            <w:vAlign w:val="center"/>
          </w:tcPr>
          <w:p w14:paraId="039C35A2">
            <w:pPr>
              <w:pStyle w:val="92"/>
              <w:rPr>
                <w:color w:val="auto"/>
                <w:highlight w:val="none"/>
                <w:u w:val="none"/>
              </w:rPr>
            </w:pPr>
            <w:r>
              <w:rPr>
                <w:color w:val="auto"/>
                <w:highlight w:val="none"/>
                <w:u w:val="none"/>
              </w:rPr>
              <w:t>150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1AC235EF">
            <w:pPr>
              <w:pStyle w:val="92"/>
              <w:rPr>
                <w:color w:val="auto"/>
                <w:highlight w:val="none"/>
                <w:u w:val="none"/>
              </w:rPr>
            </w:pPr>
          </w:p>
        </w:tc>
      </w:tr>
      <w:tr w14:paraId="0137CD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22005DB4">
            <w:pPr>
              <w:pStyle w:val="92"/>
              <w:rPr>
                <w:color w:val="auto"/>
                <w:highlight w:val="none"/>
                <w:u w:val="none"/>
              </w:rPr>
            </w:pPr>
          </w:p>
        </w:tc>
        <w:tc>
          <w:tcPr>
            <w:tcW w:w="787" w:type="pct"/>
            <w:vMerge w:val="continue"/>
            <w:vAlign w:val="center"/>
          </w:tcPr>
          <w:p w14:paraId="031775A5">
            <w:pPr>
              <w:pStyle w:val="92"/>
              <w:rPr>
                <w:color w:val="auto"/>
                <w:highlight w:val="none"/>
                <w:u w:val="none"/>
              </w:rPr>
            </w:pPr>
          </w:p>
        </w:tc>
        <w:tc>
          <w:tcPr>
            <w:tcW w:w="1177" w:type="pct"/>
            <w:vAlign w:val="center"/>
          </w:tcPr>
          <w:p w14:paraId="3608F7B6">
            <w:pPr>
              <w:pStyle w:val="92"/>
              <w:rPr>
                <w:color w:val="auto"/>
                <w:highlight w:val="none"/>
                <w:u w:val="none"/>
              </w:rPr>
            </w:pPr>
            <w:r>
              <w:rPr>
                <w:color w:val="auto"/>
                <w:highlight w:val="none"/>
                <w:u w:val="none"/>
              </w:rPr>
              <w:t>1小时平均</w:t>
            </w:r>
          </w:p>
        </w:tc>
        <w:tc>
          <w:tcPr>
            <w:tcW w:w="678" w:type="pct"/>
            <w:vAlign w:val="center"/>
          </w:tcPr>
          <w:p w14:paraId="1113C083">
            <w:pPr>
              <w:pStyle w:val="92"/>
              <w:rPr>
                <w:color w:val="auto"/>
                <w:highlight w:val="none"/>
                <w:u w:val="none"/>
              </w:rPr>
            </w:pPr>
            <w:r>
              <w:rPr>
                <w:color w:val="auto"/>
                <w:highlight w:val="none"/>
                <w:u w:val="none"/>
              </w:rPr>
              <w:t>500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3DCD1F55">
            <w:pPr>
              <w:pStyle w:val="92"/>
              <w:rPr>
                <w:color w:val="auto"/>
                <w:highlight w:val="none"/>
                <w:u w:val="none"/>
              </w:rPr>
            </w:pPr>
          </w:p>
        </w:tc>
      </w:tr>
      <w:tr w14:paraId="1AC2A0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54C54F3E">
            <w:pPr>
              <w:pStyle w:val="92"/>
              <w:rPr>
                <w:color w:val="auto"/>
                <w:highlight w:val="none"/>
                <w:u w:val="none"/>
              </w:rPr>
            </w:pPr>
            <w:r>
              <w:rPr>
                <w:color w:val="auto"/>
                <w:highlight w:val="none"/>
                <w:u w:val="none"/>
              </w:rPr>
              <w:t>2</w:t>
            </w:r>
          </w:p>
        </w:tc>
        <w:tc>
          <w:tcPr>
            <w:tcW w:w="787" w:type="pct"/>
            <w:vMerge w:val="restart"/>
            <w:vAlign w:val="center"/>
          </w:tcPr>
          <w:p w14:paraId="307DD8B7">
            <w:pPr>
              <w:pStyle w:val="92"/>
              <w:rPr>
                <w:color w:val="auto"/>
                <w:highlight w:val="none"/>
                <w:u w:val="none"/>
              </w:rPr>
            </w:pPr>
            <w:r>
              <w:rPr>
                <w:color w:val="auto"/>
                <w:highlight w:val="none"/>
                <w:u w:val="none"/>
              </w:rPr>
              <w:t>NO</w:t>
            </w:r>
            <w:r>
              <w:rPr>
                <w:color w:val="auto"/>
                <w:highlight w:val="none"/>
                <w:u w:val="none"/>
                <w:vertAlign w:val="subscript"/>
              </w:rPr>
              <w:t>2</w:t>
            </w:r>
          </w:p>
        </w:tc>
        <w:tc>
          <w:tcPr>
            <w:tcW w:w="1177" w:type="pct"/>
            <w:vAlign w:val="center"/>
          </w:tcPr>
          <w:p w14:paraId="66EFA597">
            <w:pPr>
              <w:pStyle w:val="92"/>
              <w:rPr>
                <w:color w:val="auto"/>
                <w:highlight w:val="none"/>
                <w:u w:val="none"/>
              </w:rPr>
            </w:pPr>
            <w:r>
              <w:rPr>
                <w:color w:val="auto"/>
                <w:highlight w:val="none"/>
                <w:u w:val="none"/>
              </w:rPr>
              <w:t>年平均</w:t>
            </w:r>
          </w:p>
        </w:tc>
        <w:tc>
          <w:tcPr>
            <w:tcW w:w="678" w:type="pct"/>
            <w:vAlign w:val="center"/>
          </w:tcPr>
          <w:p w14:paraId="12B08C24">
            <w:pPr>
              <w:pStyle w:val="92"/>
              <w:rPr>
                <w:color w:val="auto"/>
                <w:highlight w:val="none"/>
                <w:u w:val="none"/>
              </w:rPr>
            </w:pPr>
            <w:r>
              <w:rPr>
                <w:color w:val="auto"/>
                <w:highlight w:val="none"/>
                <w:u w:val="none"/>
              </w:rPr>
              <w:t>40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19FD0557">
            <w:pPr>
              <w:pStyle w:val="92"/>
              <w:rPr>
                <w:color w:val="auto"/>
                <w:highlight w:val="none"/>
                <w:u w:val="none"/>
              </w:rPr>
            </w:pPr>
          </w:p>
        </w:tc>
      </w:tr>
      <w:tr w14:paraId="3DDF5D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378C0DE0">
            <w:pPr>
              <w:pStyle w:val="92"/>
              <w:rPr>
                <w:color w:val="auto"/>
                <w:highlight w:val="none"/>
                <w:u w:val="none"/>
              </w:rPr>
            </w:pPr>
          </w:p>
        </w:tc>
        <w:tc>
          <w:tcPr>
            <w:tcW w:w="787" w:type="pct"/>
            <w:vMerge w:val="continue"/>
            <w:vAlign w:val="center"/>
          </w:tcPr>
          <w:p w14:paraId="12FD1FCC">
            <w:pPr>
              <w:pStyle w:val="92"/>
              <w:rPr>
                <w:color w:val="auto"/>
                <w:highlight w:val="none"/>
                <w:u w:val="none"/>
              </w:rPr>
            </w:pPr>
          </w:p>
        </w:tc>
        <w:tc>
          <w:tcPr>
            <w:tcW w:w="1177" w:type="pct"/>
            <w:vAlign w:val="center"/>
          </w:tcPr>
          <w:p w14:paraId="13B98B49">
            <w:pPr>
              <w:pStyle w:val="92"/>
              <w:rPr>
                <w:color w:val="auto"/>
                <w:highlight w:val="none"/>
                <w:u w:val="none"/>
              </w:rPr>
            </w:pPr>
            <w:r>
              <w:rPr>
                <w:color w:val="auto"/>
                <w:highlight w:val="none"/>
                <w:u w:val="none"/>
              </w:rPr>
              <w:t>24小时平均</w:t>
            </w:r>
          </w:p>
        </w:tc>
        <w:tc>
          <w:tcPr>
            <w:tcW w:w="678" w:type="pct"/>
            <w:vAlign w:val="center"/>
          </w:tcPr>
          <w:p w14:paraId="50212F82">
            <w:pPr>
              <w:pStyle w:val="92"/>
              <w:rPr>
                <w:color w:val="auto"/>
                <w:highlight w:val="none"/>
                <w:u w:val="none"/>
              </w:rPr>
            </w:pPr>
            <w:r>
              <w:rPr>
                <w:color w:val="auto"/>
                <w:highlight w:val="none"/>
                <w:u w:val="none"/>
              </w:rPr>
              <w:t>80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24286CB7">
            <w:pPr>
              <w:pStyle w:val="92"/>
              <w:rPr>
                <w:color w:val="auto"/>
                <w:highlight w:val="none"/>
                <w:u w:val="none"/>
              </w:rPr>
            </w:pPr>
          </w:p>
        </w:tc>
      </w:tr>
      <w:tr w14:paraId="26F040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3D1F7471">
            <w:pPr>
              <w:pStyle w:val="92"/>
              <w:rPr>
                <w:color w:val="auto"/>
                <w:highlight w:val="none"/>
                <w:u w:val="none"/>
              </w:rPr>
            </w:pPr>
          </w:p>
        </w:tc>
        <w:tc>
          <w:tcPr>
            <w:tcW w:w="787" w:type="pct"/>
            <w:vMerge w:val="continue"/>
            <w:vAlign w:val="center"/>
          </w:tcPr>
          <w:p w14:paraId="7AC2F880">
            <w:pPr>
              <w:pStyle w:val="92"/>
              <w:rPr>
                <w:color w:val="auto"/>
                <w:highlight w:val="none"/>
                <w:u w:val="none"/>
              </w:rPr>
            </w:pPr>
          </w:p>
        </w:tc>
        <w:tc>
          <w:tcPr>
            <w:tcW w:w="1177" w:type="pct"/>
            <w:vAlign w:val="center"/>
          </w:tcPr>
          <w:p w14:paraId="24C44475">
            <w:pPr>
              <w:pStyle w:val="92"/>
              <w:rPr>
                <w:color w:val="auto"/>
                <w:highlight w:val="none"/>
                <w:u w:val="none"/>
              </w:rPr>
            </w:pPr>
            <w:r>
              <w:rPr>
                <w:color w:val="auto"/>
                <w:highlight w:val="none"/>
                <w:u w:val="none"/>
              </w:rPr>
              <w:t>1小时平均</w:t>
            </w:r>
          </w:p>
        </w:tc>
        <w:tc>
          <w:tcPr>
            <w:tcW w:w="678" w:type="pct"/>
            <w:vAlign w:val="center"/>
          </w:tcPr>
          <w:p w14:paraId="1882FD05">
            <w:pPr>
              <w:pStyle w:val="92"/>
              <w:rPr>
                <w:color w:val="auto"/>
                <w:highlight w:val="none"/>
                <w:u w:val="none"/>
              </w:rPr>
            </w:pPr>
            <w:r>
              <w:rPr>
                <w:color w:val="auto"/>
                <w:highlight w:val="none"/>
                <w:u w:val="none"/>
              </w:rPr>
              <w:t>200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74316B5A">
            <w:pPr>
              <w:pStyle w:val="92"/>
              <w:rPr>
                <w:color w:val="auto"/>
                <w:highlight w:val="none"/>
                <w:u w:val="none"/>
              </w:rPr>
            </w:pPr>
          </w:p>
        </w:tc>
      </w:tr>
      <w:tr w14:paraId="7DACED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69F786DB">
            <w:pPr>
              <w:pStyle w:val="92"/>
              <w:rPr>
                <w:color w:val="auto"/>
                <w:highlight w:val="none"/>
                <w:u w:val="none"/>
              </w:rPr>
            </w:pPr>
            <w:r>
              <w:rPr>
                <w:color w:val="auto"/>
                <w:highlight w:val="none"/>
                <w:u w:val="none"/>
              </w:rPr>
              <w:t>3</w:t>
            </w:r>
          </w:p>
        </w:tc>
        <w:tc>
          <w:tcPr>
            <w:tcW w:w="787" w:type="pct"/>
            <w:vMerge w:val="restart"/>
            <w:vAlign w:val="center"/>
          </w:tcPr>
          <w:p w14:paraId="57FD79B1">
            <w:pPr>
              <w:pStyle w:val="92"/>
              <w:rPr>
                <w:color w:val="auto"/>
                <w:highlight w:val="none"/>
                <w:u w:val="none"/>
              </w:rPr>
            </w:pPr>
            <w:r>
              <w:rPr>
                <w:color w:val="auto"/>
                <w:highlight w:val="none"/>
                <w:u w:val="none"/>
              </w:rPr>
              <w:t>PM</w:t>
            </w:r>
            <w:r>
              <w:rPr>
                <w:color w:val="auto"/>
                <w:highlight w:val="none"/>
                <w:u w:val="none"/>
                <w:vertAlign w:val="subscript"/>
              </w:rPr>
              <w:t>10</w:t>
            </w:r>
          </w:p>
        </w:tc>
        <w:tc>
          <w:tcPr>
            <w:tcW w:w="1177" w:type="pct"/>
            <w:vAlign w:val="center"/>
          </w:tcPr>
          <w:p w14:paraId="323257FD">
            <w:pPr>
              <w:pStyle w:val="92"/>
              <w:rPr>
                <w:color w:val="auto"/>
                <w:highlight w:val="none"/>
                <w:u w:val="none"/>
              </w:rPr>
            </w:pPr>
            <w:r>
              <w:rPr>
                <w:color w:val="auto"/>
                <w:highlight w:val="none"/>
                <w:u w:val="none"/>
              </w:rPr>
              <w:t>年平均</w:t>
            </w:r>
          </w:p>
        </w:tc>
        <w:tc>
          <w:tcPr>
            <w:tcW w:w="678" w:type="pct"/>
            <w:vAlign w:val="center"/>
          </w:tcPr>
          <w:p w14:paraId="506652D6">
            <w:pPr>
              <w:pStyle w:val="92"/>
              <w:rPr>
                <w:color w:val="auto"/>
                <w:highlight w:val="none"/>
                <w:u w:val="none"/>
              </w:rPr>
            </w:pPr>
            <w:r>
              <w:rPr>
                <w:color w:val="auto"/>
                <w:highlight w:val="none"/>
                <w:u w:val="none"/>
              </w:rPr>
              <w:t>70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0084B1FD">
            <w:pPr>
              <w:pStyle w:val="92"/>
              <w:rPr>
                <w:color w:val="auto"/>
                <w:highlight w:val="none"/>
                <w:u w:val="none"/>
              </w:rPr>
            </w:pPr>
          </w:p>
        </w:tc>
      </w:tr>
      <w:tr w14:paraId="741A57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6E0D451C">
            <w:pPr>
              <w:pStyle w:val="92"/>
              <w:rPr>
                <w:color w:val="auto"/>
                <w:highlight w:val="none"/>
                <w:u w:val="none"/>
              </w:rPr>
            </w:pPr>
          </w:p>
        </w:tc>
        <w:tc>
          <w:tcPr>
            <w:tcW w:w="787" w:type="pct"/>
            <w:vMerge w:val="continue"/>
            <w:vAlign w:val="center"/>
          </w:tcPr>
          <w:p w14:paraId="0E213165">
            <w:pPr>
              <w:pStyle w:val="92"/>
              <w:rPr>
                <w:color w:val="auto"/>
                <w:highlight w:val="none"/>
                <w:u w:val="none"/>
              </w:rPr>
            </w:pPr>
          </w:p>
        </w:tc>
        <w:tc>
          <w:tcPr>
            <w:tcW w:w="1177" w:type="pct"/>
            <w:vAlign w:val="center"/>
          </w:tcPr>
          <w:p w14:paraId="2A70AAA9">
            <w:pPr>
              <w:pStyle w:val="92"/>
              <w:rPr>
                <w:color w:val="auto"/>
                <w:highlight w:val="none"/>
                <w:u w:val="none"/>
              </w:rPr>
            </w:pPr>
            <w:r>
              <w:rPr>
                <w:color w:val="auto"/>
                <w:highlight w:val="none"/>
                <w:u w:val="none"/>
              </w:rPr>
              <w:t>24小时平均</w:t>
            </w:r>
          </w:p>
        </w:tc>
        <w:tc>
          <w:tcPr>
            <w:tcW w:w="678" w:type="pct"/>
            <w:vAlign w:val="center"/>
          </w:tcPr>
          <w:p w14:paraId="3F4FED5C">
            <w:pPr>
              <w:pStyle w:val="92"/>
              <w:rPr>
                <w:color w:val="auto"/>
                <w:highlight w:val="none"/>
                <w:u w:val="none"/>
              </w:rPr>
            </w:pPr>
            <w:r>
              <w:rPr>
                <w:color w:val="auto"/>
                <w:highlight w:val="none"/>
                <w:u w:val="none"/>
              </w:rPr>
              <w:t>150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7851C5B3">
            <w:pPr>
              <w:pStyle w:val="92"/>
              <w:rPr>
                <w:color w:val="auto"/>
                <w:highlight w:val="none"/>
                <w:u w:val="none"/>
              </w:rPr>
            </w:pPr>
          </w:p>
        </w:tc>
      </w:tr>
      <w:tr w14:paraId="2324F3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31A3F2B4">
            <w:pPr>
              <w:pStyle w:val="92"/>
              <w:rPr>
                <w:color w:val="auto"/>
                <w:highlight w:val="none"/>
                <w:u w:val="none"/>
              </w:rPr>
            </w:pPr>
            <w:r>
              <w:rPr>
                <w:color w:val="auto"/>
                <w:highlight w:val="none"/>
                <w:u w:val="none"/>
              </w:rPr>
              <w:t>4</w:t>
            </w:r>
          </w:p>
        </w:tc>
        <w:tc>
          <w:tcPr>
            <w:tcW w:w="787" w:type="pct"/>
            <w:vMerge w:val="restart"/>
            <w:vAlign w:val="center"/>
          </w:tcPr>
          <w:p w14:paraId="79A2BA87">
            <w:pPr>
              <w:pStyle w:val="92"/>
              <w:rPr>
                <w:color w:val="auto"/>
                <w:highlight w:val="none"/>
                <w:u w:val="none"/>
              </w:rPr>
            </w:pPr>
            <w:r>
              <w:rPr>
                <w:color w:val="auto"/>
                <w:highlight w:val="none"/>
                <w:u w:val="none"/>
              </w:rPr>
              <w:t>PM</w:t>
            </w:r>
            <w:r>
              <w:rPr>
                <w:color w:val="auto"/>
                <w:highlight w:val="none"/>
                <w:u w:val="none"/>
                <w:vertAlign w:val="subscript"/>
              </w:rPr>
              <w:t>2.5</w:t>
            </w:r>
          </w:p>
        </w:tc>
        <w:tc>
          <w:tcPr>
            <w:tcW w:w="1177" w:type="pct"/>
            <w:vAlign w:val="center"/>
          </w:tcPr>
          <w:p w14:paraId="72DAD6C2">
            <w:pPr>
              <w:pStyle w:val="92"/>
              <w:rPr>
                <w:color w:val="auto"/>
                <w:highlight w:val="none"/>
                <w:u w:val="none"/>
              </w:rPr>
            </w:pPr>
            <w:r>
              <w:rPr>
                <w:color w:val="auto"/>
                <w:highlight w:val="none"/>
                <w:u w:val="none"/>
              </w:rPr>
              <w:t>年平均</w:t>
            </w:r>
          </w:p>
        </w:tc>
        <w:tc>
          <w:tcPr>
            <w:tcW w:w="678" w:type="pct"/>
            <w:vAlign w:val="center"/>
          </w:tcPr>
          <w:p w14:paraId="506DCB49">
            <w:pPr>
              <w:pStyle w:val="92"/>
              <w:rPr>
                <w:color w:val="auto"/>
                <w:highlight w:val="none"/>
                <w:u w:val="none"/>
              </w:rPr>
            </w:pPr>
            <w:r>
              <w:rPr>
                <w:color w:val="auto"/>
                <w:highlight w:val="none"/>
                <w:u w:val="none"/>
              </w:rPr>
              <w:t>35</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1F1C7E46">
            <w:pPr>
              <w:pStyle w:val="92"/>
              <w:rPr>
                <w:color w:val="auto"/>
                <w:highlight w:val="none"/>
                <w:u w:val="none"/>
              </w:rPr>
            </w:pPr>
          </w:p>
        </w:tc>
      </w:tr>
      <w:tr w14:paraId="3A9ADD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5B941A4A">
            <w:pPr>
              <w:pStyle w:val="92"/>
              <w:rPr>
                <w:color w:val="auto"/>
                <w:highlight w:val="none"/>
                <w:u w:val="none"/>
              </w:rPr>
            </w:pPr>
          </w:p>
        </w:tc>
        <w:tc>
          <w:tcPr>
            <w:tcW w:w="787" w:type="pct"/>
            <w:vMerge w:val="continue"/>
            <w:vAlign w:val="center"/>
          </w:tcPr>
          <w:p w14:paraId="5BC16C63">
            <w:pPr>
              <w:pStyle w:val="92"/>
              <w:rPr>
                <w:color w:val="auto"/>
                <w:highlight w:val="none"/>
                <w:u w:val="none"/>
              </w:rPr>
            </w:pPr>
          </w:p>
        </w:tc>
        <w:tc>
          <w:tcPr>
            <w:tcW w:w="1177" w:type="pct"/>
            <w:vAlign w:val="center"/>
          </w:tcPr>
          <w:p w14:paraId="2667F433">
            <w:pPr>
              <w:pStyle w:val="92"/>
              <w:rPr>
                <w:color w:val="auto"/>
                <w:highlight w:val="none"/>
                <w:u w:val="none"/>
              </w:rPr>
            </w:pPr>
            <w:r>
              <w:rPr>
                <w:color w:val="auto"/>
                <w:highlight w:val="none"/>
                <w:u w:val="none"/>
              </w:rPr>
              <w:t>24小时平均</w:t>
            </w:r>
          </w:p>
        </w:tc>
        <w:tc>
          <w:tcPr>
            <w:tcW w:w="678" w:type="pct"/>
            <w:vAlign w:val="center"/>
          </w:tcPr>
          <w:p w14:paraId="7D100105">
            <w:pPr>
              <w:pStyle w:val="92"/>
              <w:rPr>
                <w:color w:val="auto"/>
                <w:highlight w:val="none"/>
                <w:u w:val="none"/>
              </w:rPr>
            </w:pPr>
            <w:r>
              <w:rPr>
                <w:color w:val="auto"/>
                <w:highlight w:val="none"/>
                <w:u w:val="none"/>
              </w:rPr>
              <w:t>75</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6A041B5E">
            <w:pPr>
              <w:pStyle w:val="92"/>
              <w:rPr>
                <w:color w:val="auto"/>
                <w:highlight w:val="none"/>
                <w:u w:val="none"/>
              </w:rPr>
            </w:pPr>
          </w:p>
        </w:tc>
      </w:tr>
      <w:tr w14:paraId="0503D1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622CCD13">
            <w:pPr>
              <w:pStyle w:val="92"/>
              <w:rPr>
                <w:color w:val="auto"/>
                <w:highlight w:val="none"/>
                <w:u w:val="none"/>
              </w:rPr>
            </w:pPr>
            <w:r>
              <w:rPr>
                <w:color w:val="auto"/>
                <w:highlight w:val="none"/>
                <w:u w:val="none"/>
              </w:rPr>
              <w:t>5</w:t>
            </w:r>
          </w:p>
        </w:tc>
        <w:tc>
          <w:tcPr>
            <w:tcW w:w="787" w:type="pct"/>
            <w:vMerge w:val="restart"/>
            <w:vAlign w:val="center"/>
          </w:tcPr>
          <w:p w14:paraId="6BC43A20">
            <w:pPr>
              <w:pStyle w:val="92"/>
              <w:rPr>
                <w:color w:val="auto"/>
                <w:highlight w:val="none"/>
                <w:u w:val="none"/>
              </w:rPr>
            </w:pPr>
            <w:r>
              <w:rPr>
                <w:color w:val="auto"/>
                <w:highlight w:val="none"/>
                <w:u w:val="none"/>
              </w:rPr>
              <w:t>CO</w:t>
            </w:r>
          </w:p>
        </w:tc>
        <w:tc>
          <w:tcPr>
            <w:tcW w:w="1177" w:type="pct"/>
            <w:vAlign w:val="center"/>
          </w:tcPr>
          <w:p w14:paraId="61F6D0DD">
            <w:pPr>
              <w:pStyle w:val="92"/>
              <w:rPr>
                <w:color w:val="auto"/>
                <w:highlight w:val="none"/>
                <w:u w:val="none"/>
              </w:rPr>
            </w:pPr>
            <w:r>
              <w:rPr>
                <w:color w:val="auto"/>
                <w:highlight w:val="none"/>
                <w:u w:val="none"/>
              </w:rPr>
              <w:t>24小时平均</w:t>
            </w:r>
          </w:p>
        </w:tc>
        <w:tc>
          <w:tcPr>
            <w:tcW w:w="678" w:type="pct"/>
            <w:vAlign w:val="center"/>
          </w:tcPr>
          <w:p w14:paraId="54B79636">
            <w:pPr>
              <w:pStyle w:val="92"/>
              <w:rPr>
                <w:color w:val="auto"/>
                <w:highlight w:val="none"/>
                <w:u w:val="none"/>
              </w:rPr>
            </w:pPr>
            <w:r>
              <w:rPr>
                <w:color w:val="auto"/>
                <w:highlight w:val="none"/>
                <w:u w:val="none"/>
              </w:rPr>
              <w:t>4mg/m</w:t>
            </w:r>
            <w:r>
              <w:rPr>
                <w:color w:val="auto"/>
                <w:highlight w:val="none"/>
                <w:u w:val="none"/>
                <w:vertAlign w:val="superscript"/>
              </w:rPr>
              <w:t>3</w:t>
            </w:r>
          </w:p>
        </w:tc>
        <w:tc>
          <w:tcPr>
            <w:tcW w:w="1961" w:type="pct"/>
            <w:vMerge w:val="continue"/>
            <w:vAlign w:val="center"/>
          </w:tcPr>
          <w:p w14:paraId="220A6CFC">
            <w:pPr>
              <w:pStyle w:val="92"/>
              <w:rPr>
                <w:color w:val="auto"/>
                <w:highlight w:val="none"/>
                <w:u w:val="none"/>
              </w:rPr>
            </w:pPr>
          </w:p>
        </w:tc>
      </w:tr>
      <w:tr w14:paraId="2AF772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7E86CA57">
            <w:pPr>
              <w:pStyle w:val="92"/>
              <w:rPr>
                <w:color w:val="auto"/>
                <w:highlight w:val="none"/>
                <w:u w:val="none"/>
              </w:rPr>
            </w:pPr>
          </w:p>
        </w:tc>
        <w:tc>
          <w:tcPr>
            <w:tcW w:w="787" w:type="pct"/>
            <w:vMerge w:val="continue"/>
            <w:vAlign w:val="center"/>
          </w:tcPr>
          <w:p w14:paraId="140D7A32">
            <w:pPr>
              <w:pStyle w:val="92"/>
              <w:rPr>
                <w:color w:val="auto"/>
                <w:highlight w:val="none"/>
                <w:u w:val="none"/>
              </w:rPr>
            </w:pPr>
          </w:p>
        </w:tc>
        <w:tc>
          <w:tcPr>
            <w:tcW w:w="1177" w:type="pct"/>
            <w:vAlign w:val="center"/>
          </w:tcPr>
          <w:p w14:paraId="64159D1D">
            <w:pPr>
              <w:pStyle w:val="92"/>
              <w:rPr>
                <w:color w:val="auto"/>
                <w:highlight w:val="none"/>
                <w:u w:val="none"/>
              </w:rPr>
            </w:pPr>
            <w:r>
              <w:rPr>
                <w:color w:val="auto"/>
                <w:highlight w:val="none"/>
                <w:u w:val="none"/>
              </w:rPr>
              <w:t>1小时平均</w:t>
            </w:r>
          </w:p>
        </w:tc>
        <w:tc>
          <w:tcPr>
            <w:tcW w:w="678" w:type="pct"/>
            <w:vAlign w:val="center"/>
          </w:tcPr>
          <w:p w14:paraId="2C395048">
            <w:pPr>
              <w:pStyle w:val="92"/>
              <w:rPr>
                <w:color w:val="auto"/>
                <w:highlight w:val="none"/>
                <w:u w:val="none"/>
              </w:rPr>
            </w:pPr>
            <w:r>
              <w:rPr>
                <w:color w:val="auto"/>
                <w:highlight w:val="none"/>
                <w:u w:val="none"/>
              </w:rPr>
              <w:t>10mg/m</w:t>
            </w:r>
            <w:r>
              <w:rPr>
                <w:color w:val="auto"/>
                <w:highlight w:val="none"/>
                <w:u w:val="none"/>
                <w:vertAlign w:val="superscript"/>
              </w:rPr>
              <w:t>3</w:t>
            </w:r>
          </w:p>
        </w:tc>
        <w:tc>
          <w:tcPr>
            <w:tcW w:w="1961" w:type="pct"/>
            <w:vMerge w:val="continue"/>
            <w:vAlign w:val="center"/>
          </w:tcPr>
          <w:p w14:paraId="2DC99F77">
            <w:pPr>
              <w:pStyle w:val="92"/>
              <w:rPr>
                <w:color w:val="auto"/>
                <w:highlight w:val="none"/>
                <w:u w:val="none"/>
              </w:rPr>
            </w:pPr>
          </w:p>
        </w:tc>
      </w:tr>
      <w:tr w14:paraId="605EED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71F9CD0B">
            <w:pPr>
              <w:pStyle w:val="92"/>
              <w:rPr>
                <w:color w:val="auto"/>
                <w:highlight w:val="none"/>
                <w:u w:val="none"/>
              </w:rPr>
            </w:pPr>
            <w:r>
              <w:rPr>
                <w:color w:val="auto"/>
                <w:highlight w:val="none"/>
                <w:u w:val="none"/>
              </w:rPr>
              <w:t>6</w:t>
            </w:r>
          </w:p>
        </w:tc>
        <w:tc>
          <w:tcPr>
            <w:tcW w:w="787" w:type="pct"/>
            <w:vMerge w:val="restart"/>
            <w:vAlign w:val="center"/>
          </w:tcPr>
          <w:p w14:paraId="173C2007">
            <w:pPr>
              <w:pStyle w:val="92"/>
              <w:rPr>
                <w:color w:val="auto"/>
                <w:highlight w:val="none"/>
                <w:u w:val="none"/>
              </w:rPr>
            </w:pPr>
            <w:r>
              <w:rPr>
                <w:color w:val="auto"/>
                <w:highlight w:val="none"/>
                <w:u w:val="none"/>
              </w:rPr>
              <w:t>O</w:t>
            </w:r>
            <w:r>
              <w:rPr>
                <w:color w:val="auto"/>
                <w:highlight w:val="none"/>
                <w:u w:val="none"/>
                <w:vertAlign w:val="subscript"/>
              </w:rPr>
              <w:t>3</w:t>
            </w:r>
          </w:p>
        </w:tc>
        <w:tc>
          <w:tcPr>
            <w:tcW w:w="1177" w:type="pct"/>
            <w:vAlign w:val="center"/>
          </w:tcPr>
          <w:p w14:paraId="78A557EC">
            <w:pPr>
              <w:pStyle w:val="92"/>
              <w:rPr>
                <w:color w:val="auto"/>
                <w:highlight w:val="none"/>
                <w:u w:val="none"/>
              </w:rPr>
            </w:pPr>
            <w:r>
              <w:rPr>
                <w:color w:val="auto"/>
                <w:highlight w:val="none"/>
                <w:u w:val="none"/>
              </w:rPr>
              <w:t>日最大8小时平均</w:t>
            </w:r>
          </w:p>
        </w:tc>
        <w:tc>
          <w:tcPr>
            <w:tcW w:w="678" w:type="pct"/>
            <w:vAlign w:val="center"/>
          </w:tcPr>
          <w:p w14:paraId="7A2AFF74">
            <w:pPr>
              <w:pStyle w:val="92"/>
              <w:rPr>
                <w:color w:val="auto"/>
                <w:highlight w:val="none"/>
                <w:u w:val="none"/>
              </w:rPr>
            </w:pPr>
            <w:r>
              <w:rPr>
                <w:color w:val="auto"/>
                <w:highlight w:val="none"/>
                <w:u w:val="none"/>
              </w:rPr>
              <w:t>160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5E96F5C2">
            <w:pPr>
              <w:pStyle w:val="92"/>
              <w:rPr>
                <w:color w:val="auto"/>
                <w:highlight w:val="none"/>
                <w:u w:val="none"/>
              </w:rPr>
            </w:pPr>
          </w:p>
        </w:tc>
      </w:tr>
      <w:tr w14:paraId="795205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34CE8D95">
            <w:pPr>
              <w:pStyle w:val="92"/>
              <w:rPr>
                <w:color w:val="auto"/>
                <w:highlight w:val="none"/>
                <w:u w:val="none"/>
              </w:rPr>
            </w:pPr>
          </w:p>
        </w:tc>
        <w:tc>
          <w:tcPr>
            <w:tcW w:w="787" w:type="pct"/>
            <w:vMerge w:val="continue"/>
            <w:vAlign w:val="center"/>
          </w:tcPr>
          <w:p w14:paraId="731A5608">
            <w:pPr>
              <w:pStyle w:val="92"/>
              <w:rPr>
                <w:color w:val="auto"/>
                <w:highlight w:val="none"/>
                <w:u w:val="none"/>
              </w:rPr>
            </w:pPr>
          </w:p>
        </w:tc>
        <w:tc>
          <w:tcPr>
            <w:tcW w:w="1177" w:type="pct"/>
            <w:vAlign w:val="center"/>
          </w:tcPr>
          <w:p w14:paraId="546366FE">
            <w:pPr>
              <w:pStyle w:val="92"/>
              <w:rPr>
                <w:color w:val="auto"/>
                <w:highlight w:val="none"/>
                <w:u w:val="none"/>
              </w:rPr>
            </w:pPr>
            <w:r>
              <w:rPr>
                <w:color w:val="auto"/>
                <w:highlight w:val="none"/>
                <w:u w:val="none"/>
              </w:rPr>
              <w:t>1小时平均</w:t>
            </w:r>
          </w:p>
        </w:tc>
        <w:tc>
          <w:tcPr>
            <w:tcW w:w="678" w:type="pct"/>
            <w:vAlign w:val="center"/>
          </w:tcPr>
          <w:p w14:paraId="0473024F">
            <w:pPr>
              <w:pStyle w:val="92"/>
              <w:rPr>
                <w:color w:val="auto"/>
                <w:highlight w:val="none"/>
                <w:u w:val="none"/>
              </w:rPr>
            </w:pPr>
            <w:r>
              <w:rPr>
                <w:color w:val="auto"/>
                <w:highlight w:val="none"/>
                <w:u w:val="none"/>
              </w:rPr>
              <w:t>200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4B2C309E">
            <w:pPr>
              <w:pStyle w:val="92"/>
              <w:rPr>
                <w:color w:val="auto"/>
                <w:highlight w:val="none"/>
                <w:u w:val="none"/>
              </w:rPr>
            </w:pPr>
          </w:p>
        </w:tc>
      </w:tr>
      <w:tr w14:paraId="30CDDE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5AB457BE">
            <w:pPr>
              <w:pStyle w:val="92"/>
              <w:rPr>
                <w:color w:val="auto"/>
                <w:highlight w:val="none"/>
                <w:u w:val="none"/>
              </w:rPr>
            </w:pPr>
            <w:r>
              <w:rPr>
                <w:color w:val="auto"/>
                <w:highlight w:val="none"/>
                <w:u w:val="none"/>
              </w:rPr>
              <w:t>7</w:t>
            </w:r>
          </w:p>
        </w:tc>
        <w:tc>
          <w:tcPr>
            <w:tcW w:w="787" w:type="pct"/>
            <w:vAlign w:val="center"/>
          </w:tcPr>
          <w:p w14:paraId="5396F38E">
            <w:pPr>
              <w:pStyle w:val="92"/>
              <w:rPr>
                <w:color w:val="auto"/>
                <w:highlight w:val="none"/>
                <w:u w:val="none"/>
              </w:rPr>
            </w:pPr>
            <w:r>
              <w:rPr>
                <w:color w:val="auto"/>
                <w:highlight w:val="none"/>
                <w:u w:val="none"/>
              </w:rPr>
              <w:t>氨</w:t>
            </w:r>
          </w:p>
        </w:tc>
        <w:tc>
          <w:tcPr>
            <w:tcW w:w="1177" w:type="pct"/>
            <w:vAlign w:val="center"/>
          </w:tcPr>
          <w:p w14:paraId="610A7F20">
            <w:pPr>
              <w:pStyle w:val="92"/>
              <w:rPr>
                <w:color w:val="auto"/>
                <w:highlight w:val="none"/>
                <w:u w:val="none"/>
              </w:rPr>
            </w:pPr>
            <w:r>
              <w:rPr>
                <w:color w:val="auto"/>
                <w:highlight w:val="none"/>
                <w:u w:val="none"/>
              </w:rPr>
              <w:t>1小时平均</w:t>
            </w:r>
          </w:p>
        </w:tc>
        <w:tc>
          <w:tcPr>
            <w:tcW w:w="678" w:type="pct"/>
            <w:vAlign w:val="center"/>
          </w:tcPr>
          <w:p w14:paraId="6ABBE815">
            <w:pPr>
              <w:pStyle w:val="92"/>
              <w:rPr>
                <w:color w:val="auto"/>
                <w:highlight w:val="none"/>
                <w:u w:val="none"/>
              </w:rPr>
            </w:pPr>
            <w:r>
              <w:rPr>
                <w:color w:val="auto"/>
                <w:highlight w:val="none"/>
                <w:u w:val="none"/>
              </w:rPr>
              <w:t>200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restart"/>
            <w:vAlign w:val="center"/>
          </w:tcPr>
          <w:p w14:paraId="45C35854">
            <w:pPr>
              <w:pStyle w:val="92"/>
              <w:rPr>
                <w:color w:val="auto"/>
                <w:highlight w:val="none"/>
                <w:u w:val="none"/>
              </w:rPr>
            </w:pPr>
            <w:r>
              <w:rPr>
                <w:color w:val="auto"/>
                <w:highlight w:val="none"/>
                <w:u w:val="none"/>
              </w:rPr>
              <w:t>《环境影响评价技术导则</w:t>
            </w:r>
          </w:p>
          <w:p w14:paraId="72205B2A">
            <w:pPr>
              <w:pStyle w:val="92"/>
              <w:rPr>
                <w:color w:val="auto"/>
                <w:highlight w:val="none"/>
                <w:u w:val="none"/>
              </w:rPr>
            </w:pPr>
            <w:r>
              <w:rPr>
                <w:color w:val="auto"/>
                <w:highlight w:val="none"/>
                <w:u w:val="none"/>
              </w:rPr>
              <w:t>大气环境》（HJ2.2-2018）</w:t>
            </w:r>
          </w:p>
          <w:p w14:paraId="5E56537E">
            <w:pPr>
              <w:pStyle w:val="92"/>
              <w:rPr>
                <w:color w:val="auto"/>
                <w:highlight w:val="none"/>
                <w:u w:val="none"/>
              </w:rPr>
            </w:pPr>
            <w:r>
              <w:rPr>
                <w:color w:val="auto"/>
                <w:highlight w:val="none"/>
                <w:u w:val="none"/>
              </w:rPr>
              <w:t>附录D</w:t>
            </w:r>
          </w:p>
        </w:tc>
      </w:tr>
      <w:tr w14:paraId="0F67B1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64E5F96E">
            <w:pPr>
              <w:pStyle w:val="92"/>
              <w:rPr>
                <w:color w:val="auto"/>
                <w:highlight w:val="none"/>
                <w:u w:val="none"/>
              </w:rPr>
            </w:pPr>
            <w:r>
              <w:rPr>
                <w:color w:val="auto"/>
                <w:kern w:val="0"/>
                <w:highlight w:val="none"/>
                <w:u w:val="none"/>
              </w:rPr>
              <w:t>8</w:t>
            </w:r>
          </w:p>
        </w:tc>
        <w:tc>
          <w:tcPr>
            <w:tcW w:w="787" w:type="pct"/>
            <w:vAlign w:val="center"/>
          </w:tcPr>
          <w:p w14:paraId="659EE0D4">
            <w:pPr>
              <w:pStyle w:val="92"/>
              <w:rPr>
                <w:color w:val="auto"/>
                <w:highlight w:val="none"/>
                <w:u w:val="none"/>
              </w:rPr>
            </w:pPr>
            <w:r>
              <w:rPr>
                <w:color w:val="auto"/>
                <w:highlight w:val="none"/>
                <w:u w:val="none"/>
              </w:rPr>
              <w:t>硫化氢</w:t>
            </w:r>
          </w:p>
        </w:tc>
        <w:tc>
          <w:tcPr>
            <w:tcW w:w="1177" w:type="pct"/>
            <w:vAlign w:val="center"/>
          </w:tcPr>
          <w:p w14:paraId="1B240620">
            <w:pPr>
              <w:pStyle w:val="92"/>
              <w:rPr>
                <w:color w:val="auto"/>
                <w:highlight w:val="none"/>
                <w:u w:val="none"/>
              </w:rPr>
            </w:pPr>
            <w:r>
              <w:rPr>
                <w:color w:val="auto"/>
                <w:highlight w:val="none"/>
                <w:u w:val="none"/>
              </w:rPr>
              <w:t>1小时平均</w:t>
            </w:r>
          </w:p>
        </w:tc>
        <w:tc>
          <w:tcPr>
            <w:tcW w:w="678" w:type="pct"/>
            <w:vAlign w:val="center"/>
          </w:tcPr>
          <w:p w14:paraId="500BBCAF">
            <w:pPr>
              <w:pStyle w:val="92"/>
              <w:rPr>
                <w:color w:val="auto"/>
                <w:highlight w:val="none"/>
                <w:u w:val="none"/>
              </w:rPr>
            </w:pPr>
            <w:r>
              <w:rPr>
                <w:color w:val="auto"/>
                <w:highlight w:val="none"/>
                <w:u w:val="none"/>
              </w:rPr>
              <w:t>10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6D527537">
            <w:pPr>
              <w:pStyle w:val="92"/>
              <w:rPr>
                <w:color w:val="auto"/>
                <w:highlight w:val="none"/>
                <w:u w:val="none"/>
              </w:rPr>
            </w:pPr>
          </w:p>
        </w:tc>
      </w:tr>
      <w:tr w14:paraId="075B8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1813175C">
            <w:pPr>
              <w:pStyle w:val="92"/>
              <w:rPr>
                <w:color w:val="auto"/>
                <w:highlight w:val="none"/>
                <w:u w:val="none"/>
              </w:rPr>
            </w:pPr>
            <w:r>
              <w:rPr>
                <w:color w:val="auto"/>
                <w:kern w:val="0"/>
                <w:highlight w:val="none"/>
                <w:u w:val="none"/>
              </w:rPr>
              <w:t>9</w:t>
            </w:r>
          </w:p>
        </w:tc>
        <w:tc>
          <w:tcPr>
            <w:tcW w:w="787" w:type="pct"/>
            <w:vAlign w:val="center"/>
          </w:tcPr>
          <w:p w14:paraId="2F73F38C">
            <w:pPr>
              <w:pStyle w:val="92"/>
              <w:rPr>
                <w:color w:val="auto"/>
                <w:highlight w:val="none"/>
                <w:u w:val="none"/>
              </w:rPr>
            </w:pPr>
            <w:r>
              <w:rPr>
                <w:bCs/>
                <w:color w:val="auto"/>
                <w:highlight w:val="none"/>
                <w:u w:val="none"/>
              </w:rPr>
              <w:t>VOCs</w:t>
            </w:r>
          </w:p>
        </w:tc>
        <w:tc>
          <w:tcPr>
            <w:tcW w:w="1177" w:type="pct"/>
            <w:vAlign w:val="center"/>
          </w:tcPr>
          <w:p w14:paraId="0E531482">
            <w:pPr>
              <w:pStyle w:val="92"/>
              <w:rPr>
                <w:color w:val="auto"/>
                <w:highlight w:val="none"/>
                <w:u w:val="none"/>
              </w:rPr>
            </w:pPr>
            <w:r>
              <w:rPr>
                <w:color w:val="auto"/>
                <w:highlight w:val="none"/>
                <w:u w:val="none"/>
              </w:rPr>
              <w:t>8小时平均</w:t>
            </w:r>
          </w:p>
        </w:tc>
        <w:tc>
          <w:tcPr>
            <w:tcW w:w="678" w:type="pct"/>
            <w:vAlign w:val="center"/>
          </w:tcPr>
          <w:p w14:paraId="2446801E">
            <w:pPr>
              <w:pStyle w:val="92"/>
              <w:rPr>
                <w:color w:val="auto"/>
                <w:highlight w:val="none"/>
                <w:u w:val="none"/>
              </w:rPr>
            </w:pPr>
            <w:r>
              <w:rPr>
                <w:color w:val="auto"/>
                <w:highlight w:val="none"/>
                <w:u w:val="none"/>
              </w:rPr>
              <w:t>600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3FADBDEA">
            <w:pPr>
              <w:pStyle w:val="92"/>
              <w:rPr>
                <w:color w:val="auto"/>
                <w:highlight w:val="none"/>
                <w:u w:val="none"/>
              </w:rPr>
            </w:pPr>
          </w:p>
        </w:tc>
      </w:tr>
      <w:tr w14:paraId="64A975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5DE22D69">
            <w:pPr>
              <w:pStyle w:val="92"/>
              <w:rPr>
                <w:color w:val="auto"/>
                <w:highlight w:val="none"/>
                <w:u w:val="none"/>
              </w:rPr>
            </w:pPr>
            <w:r>
              <w:rPr>
                <w:color w:val="auto"/>
                <w:highlight w:val="none"/>
                <w:u w:val="none"/>
              </w:rPr>
              <w:t>10</w:t>
            </w:r>
          </w:p>
        </w:tc>
        <w:tc>
          <w:tcPr>
            <w:tcW w:w="787" w:type="pct"/>
            <w:vAlign w:val="center"/>
          </w:tcPr>
          <w:p w14:paraId="48F4F6B3">
            <w:pPr>
              <w:pStyle w:val="92"/>
              <w:rPr>
                <w:color w:val="auto"/>
                <w:highlight w:val="none"/>
                <w:u w:val="none"/>
              </w:rPr>
            </w:pPr>
            <w:r>
              <w:rPr>
                <w:color w:val="auto"/>
                <w:kern w:val="0"/>
                <w:highlight w:val="none"/>
                <w:u w:val="none"/>
              </w:rPr>
              <w:t>甲苯</w:t>
            </w:r>
          </w:p>
        </w:tc>
        <w:tc>
          <w:tcPr>
            <w:tcW w:w="1177" w:type="pct"/>
            <w:vAlign w:val="center"/>
          </w:tcPr>
          <w:p w14:paraId="78A91DE5">
            <w:pPr>
              <w:pStyle w:val="92"/>
              <w:rPr>
                <w:color w:val="auto"/>
                <w:highlight w:val="none"/>
                <w:u w:val="none"/>
              </w:rPr>
            </w:pPr>
            <w:r>
              <w:rPr>
                <w:color w:val="auto"/>
                <w:highlight w:val="none"/>
                <w:u w:val="none"/>
              </w:rPr>
              <w:t>1小时平均</w:t>
            </w:r>
          </w:p>
        </w:tc>
        <w:tc>
          <w:tcPr>
            <w:tcW w:w="678" w:type="pct"/>
            <w:vAlign w:val="center"/>
          </w:tcPr>
          <w:p w14:paraId="0AECD77A">
            <w:pPr>
              <w:pStyle w:val="92"/>
              <w:rPr>
                <w:color w:val="auto"/>
                <w:highlight w:val="none"/>
                <w:u w:val="none"/>
              </w:rPr>
            </w:pPr>
            <w:r>
              <w:rPr>
                <w:color w:val="auto"/>
                <w:highlight w:val="none"/>
                <w:u w:val="none"/>
              </w:rPr>
              <w:t>200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3B130B68">
            <w:pPr>
              <w:pStyle w:val="92"/>
              <w:rPr>
                <w:color w:val="auto"/>
                <w:highlight w:val="none"/>
                <w:u w:val="none"/>
              </w:rPr>
            </w:pPr>
          </w:p>
        </w:tc>
      </w:tr>
      <w:tr w14:paraId="174113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540B2FAA">
            <w:pPr>
              <w:pStyle w:val="92"/>
              <w:rPr>
                <w:color w:val="auto"/>
                <w:kern w:val="0"/>
                <w:highlight w:val="none"/>
                <w:u w:val="none"/>
              </w:rPr>
            </w:pPr>
            <w:r>
              <w:rPr>
                <w:color w:val="auto"/>
                <w:kern w:val="0"/>
                <w:highlight w:val="none"/>
                <w:u w:val="none"/>
              </w:rPr>
              <w:t>11</w:t>
            </w:r>
          </w:p>
        </w:tc>
        <w:tc>
          <w:tcPr>
            <w:tcW w:w="787" w:type="pct"/>
            <w:vMerge w:val="restart"/>
            <w:vAlign w:val="center"/>
          </w:tcPr>
          <w:p w14:paraId="4C306EC3">
            <w:pPr>
              <w:pStyle w:val="92"/>
              <w:rPr>
                <w:color w:val="auto"/>
                <w:kern w:val="0"/>
                <w:highlight w:val="none"/>
                <w:u w:val="none"/>
              </w:rPr>
            </w:pPr>
            <w:r>
              <w:rPr>
                <w:rFonts w:hint="eastAsia"/>
                <w:color w:val="auto"/>
                <w:kern w:val="0"/>
                <w:highlight w:val="none"/>
                <w:u w:val="none"/>
              </w:rPr>
              <w:t>氯</w:t>
            </w:r>
          </w:p>
        </w:tc>
        <w:tc>
          <w:tcPr>
            <w:tcW w:w="1177" w:type="pct"/>
            <w:vAlign w:val="center"/>
          </w:tcPr>
          <w:p w14:paraId="79161F27">
            <w:pPr>
              <w:pStyle w:val="92"/>
              <w:rPr>
                <w:color w:val="auto"/>
                <w:highlight w:val="none"/>
                <w:u w:val="none"/>
              </w:rPr>
            </w:pPr>
            <w:r>
              <w:rPr>
                <w:color w:val="auto"/>
                <w:highlight w:val="none"/>
                <w:u w:val="none"/>
              </w:rPr>
              <w:t>24小时平均</w:t>
            </w:r>
          </w:p>
        </w:tc>
        <w:tc>
          <w:tcPr>
            <w:tcW w:w="678" w:type="pct"/>
            <w:vAlign w:val="center"/>
          </w:tcPr>
          <w:p w14:paraId="60B62615">
            <w:pPr>
              <w:pStyle w:val="92"/>
              <w:rPr>
                <w:color w:val="auto"/>
                <w:highlight w:val="none"/>
                <w:u w:val="none"/>
              </w:rPr>
            </w:pPr>
            <w:r>
              <w:rPr>
                <w:color w:val="auto"/>
                <w:highlight w:val="none"/>
                <w:u w:val="none"/>
              </w:rPr>
              <w:t>30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46DFEAD7">
            <w:pPr>
              <w:pStyle w:val="92"/>
              <w:rPr>
                <w:color w:val="auto"/>
                <w:highlight w:val="none"/>
                <w:u w:val="none"/>
              </w:rPr>
            </w:pPr>
          </w:p>
        </w:tc>
      </w:tr>
      <w:tr w14:paraId="1EB4DA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36989D3C">
            <w:pPr>
              <w:pStyle w:val="92"/>
              <w:rPr>
                <w:color w:val="auto"/>
                <w:kern w:val="0"/>
                <w:highlight w:val="none"/>
                <w:u w:val="none"/>
              </w:rPr>
            </w:pPr>
          </w:p>
        </w:tc>
        <w:tc>
          <w:tcPr>
            <w:tcW w:w="787" w:type="pct"/>
            <w:vMerge w:val="continue"/>
            <w:vAlign w:val="center"/>
          </w:tcPr>
          <w:p w14:paraId="17D4CE6E">
            <w:pPr>
              <w:pStyle w:val="92"/>
              <w:rPr>
                <w:color w:val="auto"/>
                <w:kern w:val="0"/>
                <w:highlight w:val="none"/>
                <w:u w:val="none"/>
              </w:rPr>
            </w:pPr>
          </w:p>
        </w:tc>
        <w:tc>
          <w:tcPr>
            <w:tcW w:w="1177" w:type="pct"/>
            <w:vAlign w:val="center"/>
          </w:tcPr>
          <w:p w14:paraId="5A001E50">
            <w:pPr>
              <w:pStyle w:val="92"/>
              <w:rPr>
                <w:color w:val="auto"/>
                <w:highlight w:val="none"/>
                <w:u w:val="none"/>
              </w:rPr>
            </w:pPr>
            <w:r>
              <w:rPr>
                <w:color w:val="auto"/>
                <w:highlight w:val="none"/>
                <w:u w:val="none"/>
              </w:rPr>
              <w:t>1小时平均</w:t>
            </w:r>
          </w:p>
        </w:tc>
        <w:tc>
          <w:tcPr>
            <w:tcW w:w="678" w:type="pct"/>
            <w:vAlign w:val="center"/>
          </w:tcPr>
          <w:p w14:paraId="5197C06C">
            <w:pPr>
              <w:pStyle w:val="92"/>
              <w:rPr>
                <w:color w:val="auto"/>
                <w:highlight w:val="none"/>
                <w:u w:val="none"/>
              </w:rPr>
            </w:pPr>
            <w:r>
              <w:rPr>
                <w:rFonts w:hint="eastAsia"/>
                <w:color w:val="auto"/>
                <w:highlight w:val="none"/>
                <w:u w:val="none"/>
              </w:rPr>
              <w:t>1</w:t>
            </w:r>
            <w:r>
              <w:rPr>
                <w:color w:val="auto"/>
                <w:highlight w:val="none"/>
                <w:u w:val="none"/>
              </w:rPr>
              <w:t>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45BDD583">
            <w:pPr>
              <w:pStyle w:val="92"/>
              <w:rPr>
                <w:color w:val="auto"/>
                <w:highlight w:val="none"/>
                <w:u w:val="none"/>
              </w:rPr>
            </w:pPr>
          </w:p>
        </w:tc>
      </w:tr>
      <w:tr w14:paraId="6438AA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1B201DA5">
            <w:pPr>
              <w:pStyle w:val="92"/>
              <w:rPr>
                <w:color w:val="auto"/>
                <w:highlight w:val="none"/>
                <w:u w:val="none"/>
              </w:rPr>
            </w:pPr>
            <w:r>
              <w:rPr>
                <w:color w:val="auto"/>
                <w:highlight w:val="none"/>
                <w:u w:val="none"/>
              </w:rPr>
              <w:t>12</w:t>
            </w:r>
          </w:p>
        </w:tc>
        <w:tc>
          <w:tcPr>
            <w:tcW w:w="787" w:type="pct"/>
            <w:vMerge w:val="restart"/>
            <w:vAlign w:val="center"/>
          </w:tcPr>
          <w:p w14:paraId="3A1E02A2">
            <w:pPr>
              <w:pStyle w:val="92"/>
              <w:rPr>
                <w:color w:val="auto"/>
                <w:highlight w:val="none"/>
                <w:u w:val="none"/>
              </w:rPr>
            </w:pPr>
            <w:r>
              <w:rPr>
                <w:color w:val="auto"/>
                <w:highlight w:val="none"/>
                <w:u w:val="none"/>
              </w:rPr>
              <w:t>氯化氢</w:t>
            </w:r>
          </w:p>
        </w:tc>
        <w:tc>
          <w:tcPr>
            <w:tcW w:w="1177" w:type="pct"/>
            <w:vAlign w:val="center"/>
          </w:tcPr>
          <w:p w14:paraId="2C57C377">
            <w:pPr>
              <w:pStyle w:val="92"/>
              <w:rPr>
                <w:color w:val="auto"/>
                <w:highlight w:val="none"/>
                <w:u w:val="none"/>
              </w:rPr>
            </w:pPr>
            <w:r>
              <w:rPr>
                <w:color w:val="auto"/>
                <w:highlight w:val="none"/>
                <w:u w:val="none"/>
              </w:rPr>
              <w:t>24小时平均</w:t>
            </w:r>
          </w:p>
        </w:tc>
        <w:tc>
          <w:tcPr>
            <w:tcW w:w="678" w:type="pct"/>
            <w:vAlign w:val="center"/>
          </w:tcPr>
          <w:p w14:paraId="3DF27210">
            <w:pPr>
              <w:pStyle w:val="92"/>
              <w:rPr>
                <w:color w:val="auto"/>
                <w:highlight w:val="none"/>
                <w:u w:val="none"/>
              </w:rPr>
            </w:pPr>
            <w:r>
              <w:rPr>
                <w:color w:val="auto"/>
                <w:highlight w:val="none"/>
                <w:u w:val="none"/>
              </w:rPr>
              <w:t>15</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190EB4BE">
            <w:pPr>
              <w:pStyle w:val="92"/>
              <w:rPr>
                <w:color w:val="auto"/>
                <w:highlight w:val="none"/>
                <w:u w:val="none"/>
              </w:rPr>
            </w:pPr>
          </w:p>
        </w:tc>
      </w:tr>
      <w:tr w14:paraId="660EA5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6CE643D0">
            <w:pPr>
              <w:pStyle w:val="92"/>
              <w:rPr>
                <w:color w:val="auto"/>
                <w:highlight w:val="none"/>
                <w:u w:val="none"/>
              </w:rPr>
            </w:pPr>
          </w:p>
        </w:tc>
        <w:tc>
          <w:tcPr>
            <w:tcW w:w="787" w:type="pct"/>
            <w:vMerge w:val="continue"/>
            <w:vAlign w:val="center"/>
          </w:tcPr>
          <w:p w14:paraId="58C461DF">
            <w:pPr>
              <w:pStyle w:val="92"/>
              <w:rPr>
                <w:color w:val="auto"/>
                <w:highlight w:val="none"/>
                <w:u w:val="none"/>
              </w:rPr>
            </w:pPr>
          </w:p>
        </w:tc>
        <w:tc>
          <w:tcPr>
            <w:tcW w:w="1177" w:type="pct"/>
            <w:vAlign w:val="center"/>
          </w:tcPr>
          <w:p w14:paraId="00EB83A7">
            <w:pPr>
              <w:pStyle w:val="92"/>
              <w:rPr>
                <w:color w:val="auto"/>
                <w:highlight w:val="none"/>
                <w:u w:val="none"/>
              </w:rPr>
            </w:pPr>
            <w:r>
              <w:rPr>
                <w:color w:val="auto"/>
                <w:highlight w:val="none"/>
                <w:u w:val="none"/>
              </w:rPr>
              <w:t>1小时平均</w:t>
            </w:r>
          </w:p>
        </w:tc>
        <w:tc>
          <w:tcPr>
            <w:tcW w:w="678" w:type="pct"/>
            <w:vAlign w:val="center"/>
          </w:tcPr>
          <w:p w14:paraId="662656C3">
            <w:pPr>
              <w:pStyle w:val="92"/>
              <w:rPr>
                <w:color w:val="auto"/>
                <w:highlight w:val="none"/>
                <w:u w:val="none"/>
              </w:rPr>
            </w:pPr>
            <w:r>
              <w:rPr>
                <w:color w:val="auto"/>
                <w:highlight w:val="none"/>
                <w:u w:val="none"/>
              </w:rPr>
              <w:t>50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67DB606A">
            <w:pPr>
              <w:pStyle w:val="92"/>
              <w:rPr>
                <w:color w:val="auto"/>
                <w:highlight w:val="none"/>
                <w:u w:val="none"/>
              </w:rPr>
            </w:pPr>
          </w:p>
        </w:tc>
      </w:tr>
      <w:tr w14:paraId="40A30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restart"/>
            <w:vAlign w:val="center"/>
          </w:tcPr>
          <w:p w14:paraId="5AE404BE">
            <w:pPr>
              <w:pStyle w:val="92"/>
              <w:rPr>
                <w:color w:val="auto"/>
                <w:highlight w:val="none"/>
                <w:u w:val="none"/>
              </w:rPr>
            </w:pPr>
            <w:r>
              <w:rPr>
                <w:color w:val="auto"/>
                <w:highlight w:val="none"/>
                <w:u w:val="none"/>
              </w:rPr>
              <w:t>13</w:t>
            </w:r>
          </w:p>
        </w:tc>
        <w:tc>
          <w:tcPr>
            <w:tcW w:w="787" w:type="pct"/>
            <w:vMerge w:val="restart"/>
            <w:vAlign w:val="center"/>
          </w:tcPr>
          <w:p w14:paraId="7896D2D9">
            <w:pPr>
              <w:pStyle w:val="92"/>
              <w:rPr>
                <w:color w:val="auto"/>
                <w:highlight w:val="none"/>
                <w:u w:val="none"/>
              </w:rPr>
            </w:pPr>
            <w:r>
              <w:rPr>
                <w:rFonts w:hint="eastAsia"/>
                <w:color w:val="auto"/>
                <w:highlight w:val="none"/>
                <w:u w:val="none"/>
              </w:rPr>
              <w:t>硫酸</w:t>
            </w:r>
          </w:p>
        </w:tc>
        <w:tc>
          <w:tcPr>
            <w:tcW w:w="1177" w:type="pct"/>
            <w:vAlign w:val="center"/>
          </w:tcPr>
          <w:p w14:paraId="4D23C944">
            <w:pPr>
              <w:pStyle w:val="92"/>
              <w:rPr>
                <w:color w:val="auto"/>
                <w:highlight w:val="none"/>
                <w:u w:val="none"/>
              </w:rPr>
            </w:pPr>
            <w:r>
              <w:rPr>
                <w:color w:val="auto"/>
                <w:highlight w:val="none"/>
                <w:u w:val="none"/>
              </w:rPr>
              <w:t>24小时平均</w:t>
            </w:r>
          </w:p>
        </w:tc>
        <w:tc>
          <w:tcPr>
            <w:tcW w:w="678" w:type="pct"/>
            <w:vAlign w:val="center"/>
          </w:tcPr>
          <w:p w14:paraId="70ED080C">
            <w:pPr>
              <w:pStyle w:val="92"/>
              <w:rPr>
                <w:color w:val="auto"/>
                <w:highlight w:val="none"/>
                <w:u w:val="none"/>
              </w:rPr>
            </w:pPr>
            <w:r>
              <w:rPr>
                <w:color w:val="auto"/>
                <w:highlight w:val="none"/>
                <w:u w:val="none"/>
              </w:rPr>
              <w:t>100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505AA61A">
            <w:pPr>
              <w:pStyle w:val="92"/>
              <w:rPr>
                <w:color w:val="auto"/>
                <w:highlight w:val="none"/>
                <w:u w:val="none"/>
              </w:rPr>
            </w:pPr>
          </w:p>
        </w:tc>
      </w:tr>
      <w:tr w14:paraId="26718F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Merge w:val="continue"/>
            <w:vAlign w:val="center"/>
          </w:tcPr>
          <w:p w14:paraId="48BA8CC8">
            <w:pPr>
              <w:pStyle w:val="92"/>
              <w:rPr>
                <w:color w:val="auto"/>
                <w:highlight w:val="none"/>
                <w:u w:val="none"/>
              </w:rPr>
            </w:pPr>
          </w:p>
        </w:tc>
        <w:tc>
          <w:tcPr>
            <w:tcW w:w="787" w:type="pct"/>
            <w:vMerge w:val="continue"/>
            <w:vAlign w:val="center"/>
          </w:tcPr>
          <w:p w14:paraId="37B79F10">
            <w:pPr>
              <w:pStyle w:val="92"/>
              <w:rPr>
                <w:color w:val="auto"/>
                <w:highlight w:val="none"/>
                <w:u w:val="none"/>
              </w:rPr>
            </w:pPr>
          </w:p>
        </w:tc>
        <w:tc>
          <w:tcPr>
            <w:tcW w:w="1177" w:type="pct"/>
            <w:vAlign w:val="center"/>
          </w:tcPr>
          <w:p w14:paraId="1A5DEA74">
            <w:pPr>
              <w:pStyle w:val="92"/>
              <w:rPr>
                <w:color w:val="auto"/>
                <w:highlight w:val="none"/>
                <w:u w:val="none"/>
              </w:rPr>
            </w:pPr>
            <w:r>
              <w:rPr>
                <w:color w:val="auto"/>
                <w:highlight w:val="none"/>
                <w:u w:val="none"/>
              </w:rPr>
              <w:t>1小时平均</w:t>
            </w:r>
          </w:p>
        </w:tc>
        <w:tc>
          <w:tcPr>
            <w:tcW w:w="678" w:type="pct"/>
            <w:vAlign w:val="center"/>
          </w:tcPr>
          <w:p w14:paraId="1FF81C1D">
            <w:pPr>
              <w:pStyle w:val="92"/>
              <w:rPr>
                <w:color w:val="auto"/>
                <w:highlight w:val="none"/>
                <w:u w:val="none"/>
              </w:rPr>
            </w:pPr>
            <w:r>
              <w:rPr>
                <w:color w:val="auto"/>
                <w:highlight w:val="none"/>
                <w:u w:val="none"/>
              </w:rPr>
              <w:t>300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0C5B5250">
            <w:pPr>
              <w:pStyle w:val="92"/>
              <w:rPr>
                <w:color w:val="auto"/>
                <w:highlight w:val="none"/>
                <w:u w:val="none"/>
              </w:rPr>
            </w:pPr>
          </w:p>
        </w:tc>
      </w:tr>
      <w:tr w14:paraId="6DFF1A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6D95EDD9">
            <w:pPr>
              <w:pStyle w:val="92"/>
              <w:rPr>
                <w:color w:val="auto"/>
                <w:highlight w:val="none"/>
                <w:u w:val="none"/>
              </w:rPr>
            </w:pPr>
            <w:r>
              <w:rPr>
                <w:rFonts w:hint="eastAsia"/>
                <w:color w:val="auto"/>
                <w:highlight w:val="none"/>
                <w:u w:val="none"/>
              </w:rPr>
              <w:t>1</w:t>
            </w:r>
            <w:r>
              <w:rPr>
                <w:color w:val="auto"/>
                <w:highlight w:val="none"/>
                <w:u w:val="none"/>
              </w:rPr>
              <w:t>4</w:t>
            </w:r>
          </w:p>
        </w:tc>
        <w:tc>
          <w:tcPr>
            <w:tcW w:w="787" w:type="pct"/>
            <w:vAlign w:val="center"/>
          </w:tcPr>
          <w:p w14:paraId="2BD2A2D5">
            <w:pPr>
              <w:pStyle w:val="92"/>
              <w:rPr>
                <w:color w:val="auto"/>
                <w:highlight w:val="none"/>
                <w:u w:val="none"/>
              </w:rPr>
            </w:pPr>
            <w:r>
              <w:rPr>
                <w:rFonts w:hint="eastAsia"/>
                <w:color w:val="auto"/>
                <w:highlight w:val="none"/>
                <w:u w:val="none"/>
              </w:rPr>
              <w:t>硝基苯</w:t>
            </w:r>
          </w:p>
        </w:tc>
        <w:tc>
          <w:tcPr>
            <w:tcW w:w="1177" w:type="pct"/>
            <w:vAlign w:val="center"/>
          </w:tcPr>
          <w:p w14:paraId="4ABD88BD">
            <w:pPr>
              <w:pStyle w:val="92"/>
              <w:rPr>
                <w:color w:val="auto"/>
                <w:highlight w:val="none"/>
                <w:u w:val="none"/>
              </w:rPr>
            </w:pPr>
            <w:r>
              <w:rPr>
                <w:color w:val="auto"/>
                <w:highlight w:val="none"/>
                <w:u w:val="none"/>
              </w:rPr>
              <w:t>1小时平均</w:t>
            </w:r>
          </w:p>
        </w:tc>
        <w:tc>
          <w:tcPr>
            <w:tcW w:w="678" w:type="pct"/>
            <w:vAlign w:val="center"/>
          </w:tcPr>
          <w:p w14:paraId="64339FD0">
            <w:pPr>
              <w:pStyle w:val="92"/>
              <w:rPr>
                <w:color w:val="auto"/>
                <w:highlight w:val="none"/>
                <w:u w:val="none"/>
              </w:rPr>
            </w:pPr>
            <w:r>
              <w:rPr>
                <w:rFonts w:hint="eastAsia"/>
                <w:color w:val="auto"/>
                <w:highlight w:val="none"/>
                <w:u w:val="none"/>
              </w:rPr>
              <w:t>1</w:t>
            </w:r>
            <w:r>
              <w:rPr>
                <w:color w:val="auto"/>
                <w:highlight w:val="none"/>
                <w:u w:val="none"/>
              </w:rPr>
              <w:t>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2B86D0A5">
            <w:pPr>
              <w:pStyle w:val="92"/>
              <w:rPr>
                <w:color w:val="auto"/>
                <w:highlight w:val="none"/>
                <w:u w:val="none"/>
              </w:rPr>
            </w:pPr>
          </w:p>
        </w:tc>
      </w:tr>
      <w:tr w14:paraId="00FFDB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6EB670B7">
            <w:pPr>
              <w:pStyle w:val="92"/>
              <w:rPr>
                <w:color w:val="auto"/>
                <w:highlight w:val="none"/>
                <w:u w:val="none"/>
              </w:rPr>
            </w:pPr>
            <w:r>
              <w:rPr>
                <w:rFonts w:hint="eastAsia"/>
                <w:color w:val="auto"/>
                <w:highlight w:val="none"/>
                <w:u w:val="none"/>
              </w:rPr>
              <w:t>1</w:t>
            </w:r>
            <w:r>
              <w:rPr>
                <w:color w:val="auto"/>
                <w:highlight w:val="none"/>
                <w:u w:val="none"/>
              </w:rPr>
              <w:t>5</w:t>
            </w:r>
          </w:p>
        </w:tc>
        <w:tc>
          <w:tcPr>
            <w:tcW w:w="787" w:type="pct"/>
            <w:vAlign w:val="center"/>
          </w:tcPr>
          <w:p w14:paraId="680F13FD">
            <w:pPr>
              <w:pStyle w:val="92"/>
              <w:rPr>
                <w:color w:val="auto"/>
                <w:highlight w:val="none"/>
                <w:u w:val="none"/>
              </w:rPr>
            </w:pPr>
            <w:r>
              <w:rPr>
                <w:rFonts w:hint="eastAsia"/>
                <w:color w:val="auto"/>
                <w:highlight w:val="none"/>
                <w:u w:val="none"/>
              </w:rPr>
              <w:t>苯胺</w:t>
            </w:r>
          </w:p>
        </w:tc>
        <w:tc>
          <w:tcPr>
            <w:tcW w:w="1177" w:type="pct"/>
            <w:shd w:val="clear" w:color="auto" w:fill="auto"/>
            <w:vAlign w:val="center"/>
          </w:tcPr>
          <w:p w14:paraId="257EC653">
            <w:pPr>
              <w:pStyle w:val="92"/>
              <w:rPr>
                <w:color w:val="auto"/>
                <w:highlight w:val="none"/>
                <w:u w:val="none"/>
              </w:rPr>
            </w:pPr>
            <w:r>
              <w:rPr>
                <w:color w:val="auto"/>
                <w:highlight w:val="none"/>
                <w:u w:val="none"/>
              </w:rPr>
              <w:t>1小时平均</w:t>
            </w:r>
          </w:p>
        </w:tc>
        <w:tc>
          <w:tcPr>
            <w:tcW w:w="678" w:type="pct"/>
            <w:shd w:val="clear" w:color="auto" w:fill="auto"/>
            <w:vAlign w:val="center"/>
          </w:tcPr>
          <w:p w14:paraId="0B8B29D5">
            <w:pPr>
              <w:pStyle w:val="92"/>
              <w:rPr>
                <w:color w:val="auto"/>
                <w:highlight w:val="none"/>
                <w:u w:val="none"/>
              </w:rPr>
            </w:pPr>
            <w:r>
              <w:rPr>
                <w:rFonts w:hint="eastAsia"/>
                <w:color w:val="auto"/>
                <w:highlight w:val="none"/>
                <w:u w:val="none"/>
              </w:rPr>
              <w:t>1</w:t>
            </w:r>
            <w:r>
              <w:rPr>
                <w:color w:val="auto"/>
                <w:highlight w:val="none"/>
                <w:u w:val="none"/>
              </w:rPr>
              <w:t>00</w:t>
            </w:r>
            <w:r>
              <w:rPr>
                <w:rStyle w:val="160"/>
                <w:color w:val="auto"/>
                <w:sz w:val="21"/>
                <w:szCs w:val="21"/>
                <w:highlight w:val="none"/>
                <w:u w:val="none"/>
              </w:rPr>
              <w:t>μ</w:t>
            </w:r>
            <w:r>
              <w:rPr>
                <w:color w:val="auto"/>
                <w:highlight w:val="none"/>
                <w:u w:val="none"/>
              </w:rPr>
              <w:t>g/m</w:t>
            </w:r>
            <w:r>
              <w:rPr>
                <w:color w:val="auto"/>
                <w:highlight w:val="none"/>
                <w:u w:val="none"/>
                <w:vertAlign w:val="superscript"/>
              </w:rPr>
              <w:t>3</w:t>
            </w:r>
          </w:p>
        </w:tc>
        <w:tc>
          <w:tcPr>
            <w:tcW w:w="1961" w:type="pct"/>
            <w:vMerge w:val="continue"/>
            <w:vAlign w:val="center"/>
          </w:tcPr>
          <w:p w14:paraId="74D09563">
            <w:pPr>
              <w:pStyle w:val="92"/>
              <w:rPr>
                <w:color w:val="auto"/>
                <w:highlight w:val="none"/>
                <w:u w:val="none"/>
              </w:rPr>
            </w:pPr>
          </w:p>
        </w:tc>
      </w:tr>
      <w:tr w14:paraId="758964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72A68D3C">
            <w:pPr>
              <w:pStyle w:val="92"/>
              <w:rPr>
                <w:color w:val="auto"/>
                <w:highlight w:val="none"/>
                <w:u w:val="none"/>
              </w:rPr>
            </w:pPr>
            <w:r>
              <w:rPr>
                <w:color w:val="auto"/>
                <w:highlight w:val="none"/>
                <w:u w:val="none"/>
              </w:rPr>
              <w:t>16</w:t>
            </w:r>
          </w:p>
        </w:tc>
        <w:tc>
          <w:tcPr>
            <w:tcW w:w="787" w:type="pct"/>
            <w:vAlign w:val="center"/>
          </w:tcPr>
          <w:p w14:paraId="7A853653">
            <w:pPr>
              <w:pStyle w:val="92"/>
              <w:rPr>
                <w:color w:val="auto"/>
                <w:highlight w:val="none"/>
                <w:u w:val="none"/>
              </w:rPr>
            </w:pPr>
            <w:r>
              <w:rPr>
                <w:color w:val="auto"/>
                <w:highlight w:val="none"/>
                <w:u w:val="none"/>
              </w:rPr>
              <w:t>非甲烷总烃</w:t>
            </w:r>
          </w:p>
        </w:tc>
        <w:tc>
          <w:tcPr>
            <w:tcW w:w="1177" w:type="pct"/>
            <w:vAlign w:val="center"/>
          </w:tcPr>
          <w:p w14:paraId="6381F95F">
            <w:pPr>
              <w:pStyle w:val="92"/>
              <w:rPr>
                <w:color w:val="auto"/>
                <w:highlight w:val="none"/>
                <w:u w:val="none"/>
              </w:rPr>
            </w:pPr>
            <w:r>
              <w:rPr>
                <w:color w:val="auto"/>
                <w:highlight w:val="none"/>
                <w:u w:val="none"/>
              </w:rPr>
              <w:t>一次值</w:t>
            </w:r>
          </w:p>
        </w:tc>
        <w:tc>
          <w:tcPr>
            <w:tcW w:w="678" w:type="pct"/>
            <w:vAlign w:val="center"/>
          </w:tcPr>
          <w:p w14:paraId="0C48AF05">
            <w:pPr>
              <w:pStyle w:val="92"/>
              <w:rPr>
                <w:color w:val="auto"/>
                <w:highlight w:val="none"/>
                <w:u w:val="none"/>
              </w:rPr>
            </w:pPr>
            <w:r>
              <w:rPr>
                <w:color w:val="auto"/>
                <w:highlight w:val="none"/>
                <w:u w:val="none"/>
              </w:rPr>
              <w:t>2.0 mg/m</w:t>
            </w:r>
            <w:r>
              <w:rPr>
                <w:color w:val="auto"/>
                <w:highlight w:val="none"/>
                <w:u w:val="none"/>
                <w:vertAlign w:val="superscript"/>
              </w:rPr>
              <w:t>3</w:t>
            </w:r>
          </w:p>
        </w:tc>
        <w:tc>
          <w:tcPr>
            <w:tcW w:w="1961" w:type="pct"/>
            <w:vAlign w:val="center"/>
          </w:tcPr>
          <w:p w14:paraId="5B6F0FCF">
            <w:pPr>
              <w:pStyle w:val="92"/>
              <w:rPr>
                <w:rStyle w:val="150"/>
                <w:rFonts w:hint="default"/>
                <w:color w:val="auto"/>
                <w:sz w:val="21"/>
                <w:szCs w:val="21"/>
                <w:highlight w:val="none"/>
                <w:u w:val="none"/>
              </w:rPr>
            </w:pPr>
            <w:r>
              <w:rPr>
                <w:rStyle w:val="150"/>
                <w:rFonts w:hint="default"/>
                <w:color w:val="auto"/>
                <w:sz w:val="21"/>
                <w:szCs w:val="21"/>
                <w:highlight w:val="none"/>
                <w:u w:val="none"/>
              </w:rPr>
              <w:t>《大气污染物综合排放标准</w:t>
            </w:r>
          </w:p>
          <w:p w14:paraId="4EBE4C7E">
            <w:pPr>
              <w:pStyle w:val="92"/>
              <w:rPr>
                <w:color w:val="auto"/>
                <w:highlight w:val="none"/>
                <w:u w:val="none"/>
              </w:rPr>
            </w:pPr>
            <w:r>
              <w:rPr>
                <w:rStyle w:val="150"/>
                <w:rFonts w:hint="default"/>
                <w:color w:val="auto"/>
                <w:sz w:val="21"/>
                <w:szCs w:val="21"/>
                <w:highlight w:val="none"/>
                <w:u w:val="none"/>
              </w:rPr>
              <w:t>详解》中一次最高容许浓度</w:t>
            </w:r>
          </w:p>
        </w:tc>
      </w:tr>
      <w:tr w14:paraId="01FAA2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32EFBCD1">
            <w:pPr>
              <w:pStyle w:val="92"/>
              <w:rPr>
                <w:color w:val="auto"/>
                <w:highlight w:val="none"/>
                <w:u w:val="none"/>
              </w:rPr>
            </w:pPr>
            <w:r>
              <w:rPr>
                <w:rFonts w:hint="eastAsia"/>
                <w:color w:val="auto"/>
                <w:highlight w:val="none"/>
                <w:u w:val="none"/>
              </w:rPr>
              <w:t>17</w:t>
            </w:r>
          </w:p>
        </w:tc>
        <w:tc>
          <w:tcPr>
            <w:tcW w:w="787" w:type="pct"/>
            <w:vAlign w:val="center"/>
          </w:tcPr>
          <w:p w14:paraId="322B76DE">
            <w:pPr>
              <w:pStyle w:val="92"/>
              <w:rPr>
                <w:color w:val="auto"/>
                <w:highlight w:val="none"/>
                <w:u w:val="none"/>
              </w:rPr>
            </w:pPr>
            <w:r>
              <w:rPr>
                <w:rFonts w:hint="eastAsia"/>
                <w:color w:val="auto"/>
                <w:highlight w:val="none"/>
                <w:u w:val="none"/>
              </w:rPr>
              <w:t>氯苯</w:t>
            </w:r>
          </w:p>
        </w:tc>
        <w:tc>
          <w:tcPr>
            <w:tcW w:w="1177" w:type="pct"/>
            <w:vAlign w:val="center"/>
          </w:tcPr>
          <w:p w14:paraId="487BED6D">
            <w:pPr>
              <w:pStyle w:val="92"/>
              <w:rPr>
                <w:color w:val="auto"/>
                <w:highlight w:val="none"/>
                <w:u w:val="none"/>
              </w:rPr>
            </w:pPr>
            <w:r>
              <w:rPr>
                <w:rFonts w:hint="eastAsia"/>
                <w:color w:val="auto"/>
                <w:highlight w:val="none"/>
                <w:u w:val="none"/>
              </w:rPr>
              <w:t>最大一次</w:t>
            </w:r>
          </w:p>
        </w:tc>
        <w:tc>
          <w:tcPr>
            <w:tcW w:w="678" w:type="pct"/>
            <w:vAlign w:val="center"/>
          </w:tcPr>
          <w:p w14:paraId="55505313">
            <w:pPr>
              <w:pStyle w:val="92"/>
              <w:rPr>
                <w:color w:val="auto"/>
                <w:highlight w:val="none"/>
                <w:u w:val="none"/>
              </w:rPr>
            </w:pPr>
            <w:r>
              <w:rPr>
                <w:color w:val="auto"/>
                <w:highlight w:val="none"/>
                <w:u w:val="none"/>
              </w:rPr>
              <w:t>0.1mg/m</w:t>
            </w:r>
            <w:r>
              <w:rPr>
                <w:color w:val="auto"/>
                <w:highlight w:val="none"/>
                <w:u w:val="none"/>
                <w:vertAlign w:val="superscript"/>
              </w:rPr>
              <w:t>3</w:t>
            </w:r>
          </w:p>
        </w:tc>
        <w:tc>
          <w:tcPr>
            <w:tcW w:w="1961" w:type="pct"/>
            <w:vAlign w:val="center"/>
          </w:tcPr>
          <w:p w14:paraId="058FF000">
            <w:pPr>
              <w:pStyle w:val="92"/>
              <w:rPr>
                <w:color w:val="auto"/>
                <w:highlight w:val="none"/>
                <w:u w:val="none"/>
              </w:rPr>
            </w:pPr>
            <w:r>
              <w:rPr>
                <w:rFonts w:hint="eastAsia"/>
                <w:color w:val="auto"/>
                <w:highlight w:val="none"/>
                <w:u w:val="none"/>
              </w:rPr>
              <w:t>《前苏联居民区大气中有害物质</w:t>
            </w:r>
          </w:p>
          <w:p w14:paraId="7DF6D948">
            <w:pPr>
              <w:pStyle w:val="92"/>
              <w:rPr>
                <w:color w:val="auto"/>
                <w:highlight w:val="none"/>
                <w:u w:val="none"/>
              </w:rPr>
            </w:pPr>
            <w:r>
              <w:rPr>
                <w:rFonts w:hint="eastAsia"/>
                <w:color w:val="auto"/>
                <w:highlight w:val="none"/>
                <w:u w:val="none"/>
              </w:rPr>
              <w:t>的最大允许浓度》（</w:t>
            </w:r>
            <w:r>
              <w:rPr>
                <w:color w:val="auto"/>
                <w:highlight w:val="none"/>
                <w:u w:val="none"/>
              </w:rPr>
              <w:t>CH245-71）</w:t>
            </w:r>
          </w:p>
        </w:tc>
      </w:tr>
      <w:tr w14:paraId="08BE26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94" w:type="pct"/>
            <w:vAlign w:val="center"/>
          </w:tcPr>
          <w:p w14:paraId="073BF8B0">
            <w:pPr>
              <w:pStyle w:val="92"/>
              <w:rPr>
                <w:color w:val="auto"/>
                <w:highlight w:val="none"/>
                <w:u w:val="none"/>
              </w:rPr>
            </w:pPr>
            <w:r>
              <w:rPr>
                <w:rFonts w:hint="eastAsia"/>
                <w:color w:val="auto"/>
                <w:highlight w:val="none"/>
                <w:u w:val="none"/>
              </w:rPr>
              <w:t>18</w:t>
            </w:r>
          </w:p>
        </w:tc>
        <w:tc>
          <w:tcPr>
            <w:tcW w:w="787" w:type="pct"/>
            <w:vAlign w:val="center"/>
          </w:tcPr>
          <w:p w14:paraId="22C02127">
            <w:pPr>
              <w:pStyle w:val="92"/>
              <w:rPr>
                <w:color w:val="auto"/>
                <w:highlight w:val="none"/>
                <w:u w:val="none"/>
              </w:rPr>
            </w:pPr>
            <w:r>
              <w:rPr>
                <w:rFonts w:hint="eastAsia"/>
                <w:color w:val="auto"/>
                <w:highlight w:val="none"/>
                <w:u w:val="none"/>
              </w:rPr>
              <w:t>光气</w:t>
            </w:r>
          </w:p>
        </w:tc>
        <w:tc>
          <w:tcPr>
            <w:tcW w:w="1177" w:type="pct"/>
            <w:vAlign w:val="center"/>
          </w:tcPr>
          <w:p w14:paraId="3FC49BE4">
            <w:pPr>
              <w:pStyle w:val="92"/>
              <w:rPr>
                <w:color w:val="auto"/>
                <w:highlight w:val="none"/>
                <w:u w:val="none"/>
              </w:rPr>
            </w:pPr>
            <w:r>
              <w:rPr>
                <w:color w:val="auto"/>
                <w:highlight w:val="none"/>
                <w:u w:val="none"/>
              </w:rPr>
              <w:t>1小时平均</w:t>
            </w:r>
          </w:p>
        </w:tc>
        <w:tc>
          <w:tcPr>
            <w:tcW w:w="678" w:type="pct"/>
            <w:vAlign w:val="center"/>
          </w:tcPr>
          <w:p w14:paraId="749D5666">
            <w:pPr>
              <w:pStyle w:val="92"/>
              <w:rPr>
                <w:color w:val="auto"/>
                <w:highlight w:val="none"/>
                <w:u w:val="none"/>
              </w:rPr>
            </w:pPr>
            <w:r>
              <w:rPr>
                <w:color w:val="auto"/>
                <w:highlight w:val="none"/>
                <w:u w:val="none"/>
              </w:rPr>
              <w:t>4</w:t>
            </w:r>
            <w:r>
              <w:rPr>
                <w:rStyle w:val="160"/>
                <w:color w:val="auto"/>
                <w:highlight w:val="none"/>
                <w:u w:val="none"/>
              </w:rPr>
              <w:t>μ</w:t>
            </w:r>
            <w:r>
              <w:rPr>
                <w:color w:val="auto"/>
                <w:highlight w:val="none"/>
                <w:u w:val="none"/>
              </w:rPr>
              <w:t>g/m</w:t>
            </w:r>
            <w:r>
              <w:rPr>
                <w:color w:val="auto"/>
                <w:highlight w:val="none"/>
                <w:u w:val="none"/>
                <w:vertAlign w:val="superscript"/>
              </w:rPr>
              <w:t>3</w:t>
            </w:r>
          </w:p>
        </w:tc>
        <w:tc>
          <w:tcPr>
            <w:tcW w:w="1961" w:type="pct"/>
            <w:vAlign w:val="center"/>
          </w:tcPr>
          <w:p w14:paraId="53088409">
            <w:pPr>
              <w:pStyle w:val="92"/>
              <w:rPr>
                <w:rStyle w:val="150"/>
                <w:rFonts w:hint="default"/>
                <w:color w:val="auto"/>
                <w:sz w:val="21"/>
                <w:szCs w:val="21"/>
                <w:highlight w:val="none"/>
                <w:u w:val="none"/>
              </w:rPr>
            </w:pPr>
            <w:r>
              <w:rPr>
                <w:rFonts w:hint="eastAsia"/>
                <w:color w:val="auto"/>
                <w:highlight w:val="none"/>
                <w:u w:val="none"/>
              </w:rPr>
              <w:t>参照《国内外空气质量标准与基准汇编》（中国环境出版集团）中《加拿大阿尔伯塔省空气质量目标和指导概要》</w:t>
            </w:r>
          </w:p>
        </w:tc>
      </w:tr>
    </w:tbl>
    <w:p w14:paraId="01CCB066">
      <w:pPr>
        <w:rPr>
          <w:rFonts w:hint="eastAsia"/>
          <w:color w:val="auto"/>
          <w:highlight w:val="none"/>
          <w:u w:val="none"/>
        </w:rPr>
      </w:pPr>
    </w:p>
    <w:p w14:paraId="2497F72C">
      <w:pPr>
        <w:rPr>
          <w:rFonts w:hint="eastAsia"/>
          <w:bCs/>
          <w:color w:val="auto"/>
          <w:highlight w:val="none"/>
          <w:u w:val="none"/>
        </w:rPr>
      </w:pPr>
      <w:r>
        <w:rPr>
          <w:rFonts w:hint="eastAsia"/>
          <w:color w:val="auto"/>
          <w:highlight w:val="none"/>
          <w:u w:val="none"/>
        </w:rPr>
        <w:t>（3）声环境质量标准</w:t>
      </w:r>
    </w:p>
    <w:p w14:paraId="74F21CB7">
      <w:pPr>
        <w:rPr>
          <w:rFonts w:hint="eastAsia"/>
          <w:bCs/>
          <w:color w:val="auto"/>
          <w:highlight w:val="none"/>
          <w:u w:val="none"/>
        </w:rPr>
      </w:pPr>
      <w:r>
        <w:rPr>
          <w:rFonts w:hint="eastAsia"/>
          <w:color w:val="auto"/>
          <w:highlight w:val="none"/>
          <w:u w:val="none"/>
        </w:rPr>
        <w:t>项目所在区域为工业区，为3类声环境功能区，执行《声环境质量标准》（GB3096-2008）中的3类标准。</w:t>
      </w:r>
      <w:r>
        <w:rPr>
          <w:rStyle w:val="150"/>
          <w:rFonts w:hint="default"/>
          <w:color w:val="auto"/>
          <w:highlight w:val="none"/>
          <w:u w:val="none"/>
        </w:rPr>
        <w:t>具体标准详见</w:t>
      </w:r>
      <w:r>
        <w:rPr>
          <w:rStyle w:val="150"/>
          <w:rFonts w:hint="default"/>
          <w:color w:val="auto"/>
          <w:highlight w:val="none"/>
          <w:u w:val="none"/>
        </w:rPr>
        <w:fldChar w:fldCharType="begin"/>
      </w:r>
      <w:r>
        <w:rPr>
          <w:rStyle w:val="150"/>
          <w:rFonts w:hint="default"/>
          <w:color w:val="auto"/>
          <w:highlight w:val="none"/>
          <w:u w:val="none"/>
        </w:rPr>
        <w:instrText xml:space="preserve"> REF _Ref46761839 \h  \* MERGEFORMAT </w:instrText>
      </w:r>
      <w:r>
        <w:rPr>
          <w:rStyle w:val="150"/>
          <w:rFonts w:hint="default"/>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6</w:t>
      </w:r>
      <w:r>
        <w:rPr>
          <w:rStyle w:val="150"/>
          <w:rFonts w:hint="default"/>
          <w:color w:val="auto"/>
          <w:highlight w:val="none"/>
          <w:u w:val="none"/>
        </w:rPr>
        <w:fldChar w:fldCharType="end"/>
      </w:r>
      <w:r>
        <w:rPr>
          <w:rStyle w:val="150"/>
          <w:rFonts w:hint="default"/>
          <w:color w:val="auto"/>
          <w:highlight w:val="none"/>
          <w:u w:val="none"/>
        </w:rPr>
        <w:t>。</w:t>
      </w:r>
    </w:p>
    <w:p w14:paraId="07447F23">
      <w:pPr>
        <w:pStyle w:val="85"/>
        <w:rPr>
          <w:color w:val="auto"/>
          <w:highlight w:val="none"/>
          <w:u w:val="none"/>
        </w:rPr>
      </w:pPr>
      <w:bookmarkStart w:id="81" w:name="_Ref4676183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6</w:t>
      </w:r>
      <w:r>
        <w:rPr>
          <w:color w:val="auto"/>
          <w:highlight w:val="none"/>
          <w:u w:val="none"/>
        </w:rPr>
        <w:fldChar w:fldCharType="end"/>
      </w:r>
      <w:bookmarkEnd w:id="81"/>
      <w:r>
        <w:rPr>
          <w:color w:val="auto"/>
          <w:highlight w:val="none"/>
          <w:u w:val="none"/>
        </w:rPr>
        <w:t xml:space="preserve">  </w:t>
      </w:r>
      <w:r>
        <w:rPr>
          <w:rFonts w:hint="eastAsia"/>
          <w:color w:val="auto"/>
          <w:highlight w:val="none"/>
          <w:u w:val="none"/>
        </w:rPr>
        <w:t>声环境质量标准  单位：dB(A)</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0"/>
        <w:gridCol w:w="5871"/>
        <w:gridCol w:w="1235"/>
        <w:gridCol w:w="1291"/>
      </w:tblGrid>
      <w:tr w14:paraId="4AFA6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9" w:type="pct"/>
            <w:vAlign w:val="center"/>
          </w:tcPr>
          <w:p w14:paraId="69CE0F7E">
            <w:pPr>
              <w:pStyle w:val="92"/>
              <w:rPr>
                <w:snapToGrid w:val="0"/>
                <w:color w:val="auto"/>
                <w:highlight w:val="none"/>
                <w:u w:val="none"/>
              </w:rPr>
            </w:pPr>
            <w:r>
              <w:rPr>
                <w:snapToGrid w:val="0"/>
                <w:color w:val="auto"/>
                <w:highlight w:val="none"/>
                <w:u w:val="none"/>
              </w:rPr>
              <w:t>类别</w:t>
            </w:r>
          </w:p>
        </w:tc>
        <w:tc>
          <w:tcPr>
            <w:tcW w:w="3161" w:type="pct"/>
            <w:vAlign w:val="center"/>
          </w:tcPr>
          <w:p w14:paraId="2135544E">
            <w:pPr>
              <w:pStyle w:val="92"/>
              <w:rPr>
                <w:snapToGrid w:val="0"/>
                <w:color w:val="auto"/>
                <w:highlight w:val="none"/>
                <w:u w:val="none"/>
              </w:rPr>
            </w:pPr>
            <w:r>
              <w:rPr>
                <w:snapToGrid w:val="0"/>
                <w:color w:val="auto"/>
                <w:highlight w:val="none"/>
                <w:u w:val="none"/>
              </w:rPr>
              <w:t>适用范围</w:t>
            </w:r>
          </w:p>
        </w:tc>
        <w:tc>
          <w:tcPr>
            <w:tcW w:w="665" w:type="pct"/>
            <w:vAlign w:val="center"/>
          </w:tcPr>
          <w:p w14:paraId="15EFEDA9">
            <w:pPr>
              <w:pStyle w:val="92"/>
              <w:rPr>
                <w:snapToGrid w:val="0"/>
                <w:color w:val="auto"/>
                <w:highlight w:val="none"/>
                <w:u w:val="none"/>
              </w:rPr>
            </w:pPr>
            <w:r>
              <w:rPr>
                <w:snapToGrid w:val="0"/>
                <w:color w:val="auto"/>
                <w:highlight w:val="none"/>
                <w:u w:val="none"/>
              </w:rPr>
              <w:t>昼间</w:t>
            </w:r>
          </w:p>
        </w:tc>
        <w:tc>
          <w:tcPr>
            <w:tcW w:w="695" w:type="pct"/>
            <w:vAlign w:val="center"/>
          </w:tcPr>
          <w:p w14:paraId="307D1E26">
            <w:pPr>
              <w:pStyle w:val="92"/>
              <w:rPr>
                <w:snapToGrid w:val="0"/>
                <w:color w:val="auto"/>
                <w:highlight w:val="none"/>
                <w:u w:val="none"/>
              </w:rPr>
            </w:pPr>
            <w:r>
              <w:rPr>
                <w:snapToGrid w:val="0"/>
                <w:color w:val="auto"/>
                <w:highlight w:val="none"/>
                <w:u w:val="none"/>
              </w:rPr>
              <w:t>夜间</w:t>
            </w:r>
          </w:p>
        </w:tc>
      </w:tr>
      <w:tr w14:paraId="49636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9" w:type="pct"/>
            <w:vAlign w:val="center"/>
          </w:tcPr>
          <w:p w14:paraId="02A7B27C">
            <w:pPr>
              <w:pStyle w:val="92"/>
              <w:rPr>
                <w:snapToGrid w:val="0"/>
                <w:color w:val="auto"/>
                <w:highlight w:val="none"/>
                <w:u w:val="none"/>
              </w:rPr>
            </w:pPr>
            <w:r>
              <w:rPr>
                <w:rFonts w:hint="eastAsia"/>
                <w:snapToGrid w:val="0"/>
                <w:color w:val="auto"/>
                <w:highlight w:val="none"/>
                <w:u w:val="none"/>
              </w:rPr>
              <w:t>3</w:t>
            </w:r>
          </w:p>
        </w:tc>
        <w:tc>
          <w:tcPr>
            <w:tcW w:w="3161" w:type="pct"/>
            <w:vAlign w:val="center"/>
          </w:tcPr>
          <w:p w14:paraId="7676DE4A">
            <w:pPr>
              <w:pStyle w:val="92"/>
              <w:rPr>
                <w:snapToGrid w:val="0"/>
                <w:color w:val="auto"/>
                <w:highlight w:val="none"/>
                <w:u w:val="none"/>
              </w:rPr>
            </w:pPr>
            <w:r>
              <w:rPr>
                <w:rFonts w:hint="eastAsia"/>
                <w:snapToGrid w:val="0"/>
                <w:color w:val="auto"/>
                <w:highlight w:val="none"/>
                <w:u w:val="none"/>
              </w:rPr>
              <w:t>以工业生产、仓储物流为主要功能，需要防止工业噪声对周围环境产生严重影响的区域</w:t>
            </w:r>
          </w:p>
        </w:tc>
        <w:tc>
          <w:tcPr>
            <w:tcW w:w="665" w:type="pct"/>
            <w:vAlign w:val="center"/>
          </w:tcPr>
          <w:p w14:paraId="493AB346">
            <w:pPr>
              <w:pStyle w:val="92"/>
              <w:rPr>
                <w:snapToGrid w:val="0"/>
                <w:color w:val="auto"/>
                <w:highlight w:val="none"/>
                <w:u w:val="none"/>
              </w:rPr>
            </w:pPr>
            <w:r>
              <w:rPr>
                <w:rFonts w:hint="eastAsia"/>
                <w:snapToGrid w:val="0"/>
                <w:color w:val="auto"/>
                <w:highlight w:val="none"/>
                <w:u w:val="none"/>
              </w:rPr>
              <w:t>6</w:t>
            </w:r>
            <w:r>
              <w:rPr>
                <w:snapToGrid w:val="0"/>
                <w:color w:val="auto"/>
                <w:highlight w:val="none"/>
                <w:u w:val="none"/>
              </w:rPr>
              <w:t>5</w:t>
            </w:r>
          </w:p>
        </w:tc>
        <w:tc>
          <w:tcPr>
            <w:tcW w:w="695" w:type="pct"/>
            <w:vAlign w:val="center"/>
          </w:tcPr>
          <w:p w14:paraId="6BFC4EAE">
            <w:pPr>
              <w:pStyle w:val="92"/>
              <w:rPr>
                <w:snapToGrid w:val="0"/>
                <w:color w:val="auto"/>
                <w:highlight w:val="none"/>
                <w:u w:val="none"/>
              </w:rPr>
            </w:pPr>
            <w:r>
              <w:rPr>
                <w:rFonts w:hint="eastAsia"/>
                <w:snapToGrid w:val="0"/>
                <w:color w:val="auto"/>
                <w:highlight w:val="none"/>
                <w:u w:val="none"/>
              </w:rPr>
              <w:t>5</w:t>
            </w:r>
            <w:r>
              <w:rPr>
                <w:snapToGrid w:val="0"/>
                <w:color w:val="auto"/>
                <w:highlight w:val="none"/>
                <w:u w:val="none"/>
              </w:rPr>
              <w:t>5</w:t>
            </w:r>
          </w:p>
        </w:tc>
      </w:tr>
    </w:tbl>
    <w:p w14:paraId="05D878F2">
      <w:pPr>
        <w:pStyle w:val="981"/>
        <w:rPr>
          <w:rFonts w:hint="eastAsia"/>
          <w:bCs/>
          <w:color w:val="auto"/>
          <w:highlight w:val="none"/>
          <w:u w:val="none"/>
        </w:rPr>
      </w:pPr>
      <w:r>
        <w:rPr>
          <w:rFonts w:hint="eastAsia"/>
          <w:color w:val="auto"/>
          <w:highlight w:val="none"/>
          <w:u w:val="none"/>
        </w:rPr>
        <w:t>（4）土壤环境质量标准</w:t>
      </w:r>
    </w:p>
    <w:p w14:paraId="5CA49083">
      <w:pPr>
        <w:rPr>
          <w:rFonts w:hint="eastAsia"/>
          <w:bCs/>
          <w:color w:val="auto"/>
          <w:highlight w:val="none"/>
          <w:u w:val="none"/>
        </w:rPr>
      </w:pPr>
      <w:r>
        <w:rPr>
          <w:rFonts w:hint="eastAsia"/>
          <w:color w:val="auto"/>
          <w:highlight w:val="none"/>
          <w:u w:val="none"/>
        </w:rPr>
        <w:t>本项目位于工业区内，项目场地内周边土壤环境执行</w:t>
      </w:r>
      <w:r>
        <w:rPr>
          <w:rFonts w:hint="eastAsia"/>
          <w:color w:val="auto"/>
          <w:szCs w:val="20"/>
          <w:highlight w:val="none"/>
          <w:u w:val="none"/>
        </w:rPr>
        <w:t xml:space="preserve">《土壤环境质量 </w:t>
      </w:r>
      <w:r>
        <w:rPr>
          <w:color w:val="auto"/>
          <w:szCs w:val="20"/>
          <w:highlight w:val="none"/>
          <w:u w:val="none"/>
        </w:rPr>
        <w:t xml:space="preserve"> </w:t>
      </w:r>
      <w:r>
        <w:rPr>
          <w:rFonts w:hint="eastAsia"/>
          <w:color w:val="auto"/>
          <w:szCs w:val="20"/>
          <w:highlight w:val="none"/>
          <w:u w:val="none"/>
        </w:rPr>
        <w:t>建设用地土壤污染风险管控标准（试行）》（GB</w:t>
      </w:r>
      <w:r>
        <w:rPr>
          <w:color w:val="auto"/>
          <w:szCs w:val="20"/>
          <w:highlight w:val="none"/>
          <w:u w:val="none"/>
        </w:rPr>
        <w:t>36600</w:t>
      </w:r>
      <w:r>
        <w:rPr>
          <w:rFonts w:hint="eastAsia"/>
          <w:color w:val="auto"/>
          <w:szCs w:val="20"/>
          <w:highlight w:val="none"/>
          <w:u w:val="none"/>
        </w:rPr>
        <w:t>-</w:t>
      </w:r>
      <w:r>
        <w:rPr>
          <w:color w:val="auto"/>
          <w:szCs w:val="20"/>
          <w:highlight w:val="none"/>
          <w:u w:val="none"/>
        </w:rPr>
        <w:t>2018</w:t>
      </w:r>
      <w:r>
        <w:rPr>
          <w:rFonts w:hint="eastAsia"/>
          <w:color w:val="auto"/>
          <w:szCs w:val="20"/>
          <w:highlight w:val="none"/>
          <w:u w:val="none"/>
        </w:rPr>
        <w:t>）中的第二类用地土壤污染风险筛选值限值要求，标准值见</w:t>
      </w:r>
      <w:r>
        <w:rPr>
          <w:color w:val="auto"/>
          <w:szCs w:val="20"/>
          <w:highlight w:val="none"/>
          <w:u w:val="none"/>
        </w:rPr>
        <w:fldChar w:fldCharType="begin"/>
      </w:r>
      <w:r>
        <w:rPr>
          <w:color w:val="auto"/>
          <w:szCs w:val="20"/>
          <w:highlight w:val="none"/>
          <w:u w:val="none"/>
        </w:rPr>
        <w:instrText xml:space="preserve"> </w:instrText>
      </w:r>
      <w:r>
        <w:rPr>
          <w:rFonts w:hint="eastAsia"/>
          <w:color w:val="auto"/>
          <w:szCs w:val="20"/>
          <w:highlight w:val="none"/>
          <w:u w:val="none"/>
        </w:rPr>
        <w:instrText xml:space="preserve">REF _Ref46914545 \h</w:instrText>
      </w:r>
      <w:r>
        <w:rPr>
          <w:color w:val="auto"/>
          <w:szCs w:val="20"/>
          <w:highlight w:val="none"/>
          <w:u w:val="none"/>
        </w:rPr>
        <w:instrText xml:space="preserve">  \* MERGEFORMAT </w:instrText>
      </w:r>
      <w:r>
        <w:rPr>
          <w:color w:val="auto"/>
          <w:szCs w:val="20"/>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7</w:t>
      </w:r>
      <w:r>
        <w:rPr>
          <w:color w:val="auto"/>
          <w:szCs w:val="20"/>
          <w:highlight w:val="none"/>
          <w:u w:val="none"/>
        </w:rPr>
        <w:fldChar w:fldCharType="end"/>
      </w:r>
      <w:r>
        <w:rPr>
          <w:rFonts w:hint="eastAsia"/>
          <w:color w:val="auto"/>
          <w:szCs w:val="20"/>
          <w:highlight w:val="none"/>
          <w:u w:val="none"/>
        </w:rPr>
        <w:t>。</w:t>
      </w:r>
    </w:p>
    <w:p w14:paraId="3048DF10">
      <w:pPr>
        <w:pStyle w:val="85"/>
        <w:rPr>
          <w:color w:val="auto"/>
          <w:highlight w:val="none"/>
          <w:u w:val="none"/>
        </w:rPr>
      </w:pPr>
      <w:bookmarkStart w:id="82" w:name="_Ref46914545"/>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7</w:t>
      </w:r>
      <w:r>
        <w:rPr>
          <w:color w:val="auto"/>
          <w:highlight w:val="none"/>
          <w:u w:val="none"/>
        </w:rPr>
        <w:fldChar w:fldCharType="end"/>
      </w:r>
      <w:bookmarkEnd w:id="82"/>
      <w:r>
        <w:rPr>
          <w:color w:val="auto"/>
          <w:highlight w:val="none"/>
          <w:u w:val="none"/>
        </w:rPr>
        <w:t xml:space="preserve">  </w:t>
      </w:r>
      <w:r>
        <w:rPr>
          <w:rFonts w:hint="eastAsia"/>
          <w:color w:val="auto"/>
          <w:highlight w:val="none"/>
          <w:u w:val="none"/>
        </w:rPr>
        <w:t>建设用地土壤污染风险筛选值和管制值  单位：mg/kg</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2294"/>
        <w:gridCol w:w="1322"/>
        <w:gridCol w:w="1120"/>
        <w:gridCol w:w="1241"/>
        <w:gridCol w:w="1200"/>
        <w:gridCol w:w="1139"/>
      </w:tblGrid>
      <w:tr w14:paraId="5AE73E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23" w:type="pct"/>
            <w:vMerge w:val="restart"/>
            <w:tcBorders>
              <w:top w:val="single" w:color="auto" w:sz="12" w:space="0"/>
              <w:left w:val="single" w:color="auto" w:sz="12" w:space="0"/>
              <w:bottom w:val="single" w:color="auto" w:sz="6" w:space="0"/>
              <w:right w:val="single" w:color="auto" w:sz="4" w:space="0"/>
            </w:tcBorders>
            <w:vAlign w:val="center"/>
          </w:tcPr>
          <w:p w14:paraId="76A22ABF">
            <w:pPr>
              <w:pStyle w:val="92"/>
              <w:rPr>
                <w:color w:val="auto"/>
                <w:highlight w:val="none"/>
                <w:u w:val="none"/>
              </w:rPr>
            </w:pPr>
            <w:r>
              <w:rPr>
                <w:color w:val="auto"/>
                <w:highlight w:val="none"/>
                <w:u w:val="none"/>
              </w:rPr>
              <w:t>序号</w:t>
            </w:r>
          </w:p>
        </w:tc>
        <w:tc>
          <w:tcPr>
            <w:tcW w:w="1235" w:type="pct"/>
            <w:vMerge w:val="restart"/>
            <w:tcBorders>
              <w:top w:val="single" w:color="auto" w:sz="12" w:space="0"/>
              <w:left w:val="single" w:color="auto" w:sz="4" w:space="0"/>
              <w:bottom w:val="single" w:color="auto" w:sz="6" w:space="0"/>
              <w:right w:val="single" w:color="auto" w:sz="4" w:space="0"/>
            </w:tcBorders>
            <w:vAlign w:val="center"/>
          </w:tcPr>
          <w:p w14:paraId="464EDB98">
            <w:pPr>
              <w:pStyle w:val="92"/>
              <w:rPr>
                <w:color w:val="auto"/>
                <w:highlight w:val="none"/>
                <w:u w:val="none"/>
              </w:rPr>
            </w:pPr>
            <w:r>
              <w:rPr>
                <w:color w:val="auto"/>
                <w:highlight w:val="none"/>
                <w:u w:val="none"/>
              </w:rPr>
              <w:t>污染物项目</w:t>
            </w:r>
          </w:p>
        </w:tc>
        <w:tc>
          <w:tcPr>
            <w:tcW w:w="712" w:type="pct"/>
            <w:vMerge w:val="restart"/>
            <w:tcBorders>
              <w:top w:val="single" w:color="auto" w:sz="12" w:space="0"/>
              <w:left w:val="single" w:color="auto" w:sz="4" w:space="0"/>
              <w:bottom w:val="single" w:color="auto" w:sz="6" w:space="0"/>
            </w:tcBorders>
            <w:vAlign w:val="center"/>
          </w:tcPr>
          <w:p w14:paraId="5A4B39F2">
            <w:pPr>
              <w:pStyle w:val="92"/>
              <w:rPr>
                <w:color w:val="auto"/>
                <w:highlight w:val="none"/>
                <w:u w:val="none"/>
              </w:rPr>
            </w:pPr>
            <w:r>
              <w:rPr>
                <w:color w:val="auto"/>
                <w:highlight w:val="none"/>
                <w:u w:val="none"/>
              </w:rPr>
              <w:t>CAS编号</w:t>
            </w:r>
          </w:p>
        </w:tc>
        <w:tc>
          <w:tcPr>
            <w:tcW w:w="1271" w:type="pct"/>
            <w:gridSpan w:val="2"/>
            <w:tcBorders>
              <w:top w:val="single" w:color="auto" w:sz="12" w:space="0"/>
              <w:bottom w:val="single" w:color="auto" w:sz="6" w:space="0"/>
              <w:right w:val="single" w:color="auto" w:sz="4" w:space="0"/>
            </w:tcBorders>
            <w:vAlign w:val="center"/>
          </w:tcPr>
          <w:p w14:paraId="12FAF00E">
            <w:pPr>
              <w:pStyle w:val="92"/>
              <w:rPr>
                <w:color w:val="auto"/>
                <w:highlight w:val="none"/>
                <w:u w:val="none"/>
              </w:rPr>
            </w:pPr>
            <w:r>
              <w:rPr>
                <w:color w:val="auto"/>
                <w:highlight w:val="none"/>
                <w:u w:val="none"/>
              </w:rPr>
              <w:t>筛选值</w:t>
            </w:r>
          </w:p>
        </w:tc>
        <w:tc>
          <w:tcPr>
            <w:tcW w:w="1259" w:type="pct"/>
            <w:gridSpan w:val="2"/>
            <w:tcBorders>
              <w:top w:val="single" w:color="auto" w:sz="12" w:space="0"/>
              <w:left w:val="single" w:color="auto" w:sz="4" w:space="0"/>
              <w:bottom w:val="single" w:color="auto" w:sz="6" w:space="0"/>
              <w:right w:val="single" w:color="auto" w:sz="12" w:space="0"/>
            </w:tcBorders>
            <w:vAlign w:val="center"/>
          </w:tcPr>
          <w:p w14:paraId="3FD7F538">
            <w:pPr>
              <w:pStyle w:val="92"/>
              <w:rPr>
                <w:color w:val="auto"/>
                <w:highlight w:val="none"/>
                <w:u w:val="none"/>
              </w:rPr>
            </w:pPr>
            <w:r>
              <w:rPr>
                <w:color w:val="auto"/>
                <w:highlight w:val="none"/>
                <w:u w:val="none"/>
              </w:rPr>
              <w:t>管制值</w:t>
            </w:r>
          </w:p>
        </w:tc>
      </w:tr>
      <w:tr w14:paraId="4F4F8D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23" w:type="pct"/>
            <w:vMerge w:val="continue"/>
            <w:tcBorders>
              <w:top w:val="single" w:color="auto" w:sz="6" w:space="0"/>
              <w:left w:val="single" w:color="auto" w:sz="12" w:space="0"/>
              <w:bottom w:val="single" w:color="auto" w:sz="6" w:space="0"/>
              <w:right w:val="single" w:color="auto" w:sz="4" w:space="0"/>
            </w:tcBorders>
            <w:vAlign w:val="center"/>
          </w:tcPr>
          <w:p w14:paraId="745BA0A6">
            <w:pPr>
              <w:pStyle w:val="92"/>
              <w:rPr>
                <w:color w:val="auto"/>
                <w:highlight w:val="none"/>
                <w:u w:val="none"/>
                <w:lang w:bidi="ar"/>
              </w:rPr>
            </w:pPr>
          </w:p>
        </w:tc>
        <w:tc>
          <w:tcPr>
            <w:tcW w:w="1235" w:type="pct"/>
            <w:vMerge w:val="continue"/>
            <w:tcBorders>
              <w:top w:val="single" w:color="auto" w:sz="6" w:space="0"/>
              <w:left w:val="single" w:color="auto" w:sz="4" w:space="0"/>
              <w:bottom w:val="single" w:color="auto" w:sz="6" w:space="0"/>
              <w:right w:val="single" w:color="auto" w:sz="4" w:space="0"/>
            </w:tcBorders>
            <w:vAlign w:val="center"/>
          </w:tcPr>
          <w:p w14:paraId="7A2EF68A">
            <w:pPr>
              <w:pStyle w:val="92"/>
              <w:rPr>
                <w:color w:val="auto"/>
                <w:highlight w:val="none"/>
                <w:u w:val="none"/>
                <w:lang w:bidi="ar"/>
              </w:rPr>
            </w:pPr>
          </w:p>
        </w:tc>
        <w:tc>
          <w:tcPr>
            <w:tcW w:w="712" w:type="pct"/>
            <w:vMerge w:val="continue"/>
            <w:tcBorders>
              <w:top w:val="single" w:color="auto" w:sz="6" w:space="0"/>
              <w:left w:val="single" w:color="auto" w:sz="4" w:space="0"/>
              <w:bottom w:val="single" w:color="auto" w:sz="6" w:space="0"/>
            </w:tcBorders>
            <w:vAlign w:val="center"/>
          </w:tcPr>
          <w:p w14:paraId="76B4FE3F">
            <w:pPr>
              <w:pStyle w:val="92"/>
              <w:rPr>
                <w:color w:val="auto"/>
                <w:highlight w:val="none"/>
                <w:u w:val="none"/>
              </w:rPr>
            </w:pPr>
          </w:p>
        </w:tc>
        <w:tc>
          <w:tcPr>
            <w:tcW w:w="603" w:type="pct"/>
            <w:tcBorders>
              <w:top w:val="single" w:color="auto" w:sz="6" w:space="0"/>
              <w:bottom w:val="single" w:color="auto" w:sz="6" w:space="0"/>
            </w:tcBorders>
            <w:vAlign w:val="center"/>
          </w:tcPr>
          <w:p w14:paraId="188AA94E">
            <w:pPr>
              <w:pStyle w:val="92"/>
              <w:rPr>
                <w:color w:val="auto"/>
                <w:highlight w:val="none"/>
                <w:u w:val="none"/>
              </w:rPr>
            </w:pPr>
            <w:r>
              <w:rPr>
                <w:color w:val="auto"/>
                <w:highlight w:val="none"/>
                <w:u w:val="none"/>
              </w:rPr>
              <w:t>第一类用地</w:t>
            </w:r>
          </w:p>
        </w:tc>
        <w:tc>
          <w:tcPr>
            <w:tcW w:w="668" w:type="pct"/>
            <w:tcBorders>
              <w:top w:val="single" w:color="auto" w:sz="6" w:space="0"/>
              <w:bottom w:val="single" w:color="auto" w:sz="6" w:space="0"/>
              <w:right w:val="single" w:color="auto" w:sz="4" w:space="0"/>
            </w:tcBorders>
            <w:shd w:val="clear" w:color="auto" w:fill="D9D9D9"/>
            <w:vAlign w:val="center"/>
          </w:tcPr>
          <w:p w14:paraId="1A8DD6E7">
            <w:pPr>
              <w:pStyle w:val="92"/>
              <w:rPr>
                <w:color w:val="auto"/>
                <w:highlight w:val="none"/>
                <w:u w:val="none"/>
              </w:rPr>
            </w:pPr>
            <w:r>
              <w:rPr>
                <w:color w:val="auto"/>
                <w:highlight w:val="none"/>
                <w:u w:val="none"/>
              </w:rPr>
              <w:t>第二类用地</w:t>
            </w:r>
          </w:p>
        </w:tc>
        <w:tc>
          <w:tcPr>
            <w:tcW w:w="646" w:type="pct"/>
            <w:tcBorders>
              <w:top w:val="single" w:color="auto" w:sz="6" w:space="0"/>
              <w:left w:val="single" w:color="auto" w:sz="4" w:space="0"/>
              <w:bottom w:val="single" w:color="auto" w:sz="6" w:space="0"/>
            </w:tcBorders>
            <w:vAlign w:val="center"/>
          </w:tcPr>
          <w:p w14:paraId="4E7A0CEC">
            <w:pPr>
              <w:pStyle w:val="92"/>
              <w:rPr>
                <w:color w:val="auto"/>
                <w:highlight w:val="none"/>
                <w:u w:val="none"/>
              </w:rPr>
            </w:pPr>
            <w:r>
              <w:rPr>
                <w:color w:val="auto"/>
                <w:highlight w:val="none"/>
                <w:u w:val="none"/>
              </w:rPr>
              <w:t>第一类用地</w:t>
            </w:r>
          </w:p>
        </w:tc>
        <w:tc>
          <w:tcPr>
            <w:tcW w:w="613" w:type="pct"/>
            <w:tcBorders>
              <w:top w:val="single" w:color="auto" w:sz="6" w:space="0"/>
              <w:bottom w:val="single" w:color="auto" w:sz="6" w:space="0"/>
              <w:right w:val="single" w:color="auto" w:sz="12" w:space="0"/>
            </w:tcBorders>
            <w:shd w:val="clear" w:color="auto" w:fill="auto"/>
            <w:vAlign w:val="center"/>
          </w:tcPr>
          <w:p w14:paraId="3B4E8BA2">
            <w:pPr>
              <w:pStyle w:val="92"/>
              <w:rPr>
                <w:color w:val="auto"/>
                <w:highlight w:val="none"/>
                <w:u w:val="none"/>
              </w:rPr>
            </w:pPr>
            <w:r>
              <w:rPr>
                <w:color w:val="auto"/>
                <w:highlight w:val="none"/>
                <w:u w:val="none"/>
              </w:rPr>
              <w:t>第二类用地</w:t>
            </w:r>
          </w:p>
        </w:tc>
      </w:tr>
      <w:tr w14:paraId="0A90B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39FF19E2">
            <w:pPr>
              <w:pStyle w:val="92"/>
              <w:rPr>
                <w:b/>
                <w:bCs/>
                <w:color w:val="auto"/>
                <w:highlight w:val="none"/>
                <w:u w:val="none"/>
              </w:rPr>
            </w:pPr>
            <w:r>
              <w:rPr>
                <w:b/>
                <w:bCs/>
                <w:color w:val="auto"/>
                <w:highlight w:val="none"/>
                <w:u w:val="none"/>
                <w:lang w:bidi="ar"/>
              </w:rPr>
              <w:t>基本项目</w:t>
            </w:r>
          </w:p>
        </w:tc>
      </w:tr>
      <w:tr w14:paraId="200CD4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6E21C198">
            <w:pPr>
              <w:pStyle w:val="92"/>
              <w:rPr>
                <w:color w:val="auto"/>
                <w:highlight w:val="none"/>
                <w:u w:val="none"/>
              </w:rPr>
            </w:pPr>
            <w:r>
              <w:rPr>
                <w:color w:val="auto"/>
                <w:highlight w:val="none"/>
                <w:u w:val="none"/>
              </w:rPr>
              <w:t>重金属和无机物</w:t>
            </w:r>
          </w:p>
        </w:tc>
      </w:tr>
      <w:tr w14:paraId="1CF4F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72E513B">
            <w:pPr>
              <w:pStyle w:val="92"/>
              <w:rPr>
                <w:color w:val="auto"/>
                <w:highlight w:val="none"/>
                <w:u w:val="none"/>
              </w:rPr>
            </w:pPr>
            <w:r>
              <w:rPr>
                <w:color w:val="auto"/>
                <w:highlight w:val="none"/>
                <w:u w:val="none"/>
              </w:rPr>
              <w:t>1</w:t>
            </w:r>
          </w:p>
        </w:tc>
        <w:tc>
          <w:tcPr>
            <w:tcW w:w="1235" w:type="pct"/>
            <w:tcBorders>
              <w:top w:val="single" w:color="auto" w:sz="6" w:space="0"/>
              <w:left w:val="single" w:color="auto" w:sz="4" w:space="0"/>
              <w:bottom w:val="single" w:color="auto" w:sz="6" w:space="0"/>
              <w:right w:val="single" w:color="auto" w:sz="4" w:space="0"/>
            </w:tcBorders>
            <w:vAlign w:val="center"/>
          </w:tcPr>
          <w:p w14:paraId="36EF0B9E">
            <w:pPr>
              <w:pStyle w:val="92"/>
              <w:rPr>
                <w:color w:val="auto"/>
                <w:highlight w:val="none"/>
                <w:u w:val="none"/>
              </w:rPr>
            </w:pPr>
            <w:r>
              <w:rPr>
                <w:color w:val="auto"/>
                <w:highlight w:val="none"/>
                <w:u w:val="none"/>
              </w:rPr>
              <w:t>砷</w:t>
            </w:r>
          </w:p>
        </w:tc>
        <w:tc>
          <w:tcPr>
            <w:tcW w:w="712" w:type="pct"/>
            <w:tcBorders>
              <w:top w:val="single" w:color="auto" w:sz="6" w:space="0"/>
              <w:left w:val="single" w:color="auto" w:sz="4" w:space="0"/>
              <w:bottom w:val="single" w:color="auto" w:sz="6" w:space="0"/>
            </w:tcBorders>
            <w:vAlign w:val="center"/>
          </w:tcPr>
          <w:p w14:paraId="0B9D754F">
            <w:pPr>
              <w:pStyle w:val="92"/>
              <w:rPr>
                <w:color w:val="auto"/>
                <w:highlight w:val="none"/>
                <w:u w:val="none"/>
              </w:rPr>
            </w:pPr>
            <w:r>
              <w:rPr>
                <w:color w:val="auto"/>
                <w:highlight w:val="none"/>
                <w:u w:val="none"/>
              </w:rPr>
              <w:t>7440-38-2</w:t>
            </w:r>
          </w:p>
        </w:tc>
        <w:tc>
          <w:tcPr>
            <w:tcW w:w="603" w:type="pct"/>
            <w:tcBorders>
              <w:top w:val="single" w:color="auto" w:sz="6" w:space="0"/>
              <w:bottom w:val="single" w:color="auto" w:sz="6" w:space="0"/>
            </w:tcBorders>
            <w:vAlign w:val="center"/>
          </w:tcPr>
          <w:p w14:paraId="32AA0110">
            <w:pPr>
              <w:pStyle w:val="92"/>
              <w:rPr>
                <w:color w:val="auto"/>
                <w:highlight w:val="none"/>
                <w:u w:val="none"/>
              </w:rPr>
            </w:pPr>
            <w:r>
              <w:rPr>
                <w:color w:val="auto"/>
                <w:highlight w:val="none"/>
                <w:u w:val="none"/>
              </w:rPr>
              <w:t>20</w:t>
            </w:r>
            <w:r>
              <w:rPr>
                <w:rFonts w:hint="eastAsia" w:ascii="宋体" w:hAnsi="宋体" w:cs="宋体"/>
                <w:color w:val="auto"/>
                <w:highlight w:val="none"/>
                <w:u w:val="none"/>
                <w:vertAlign w:val="superscript"/>
              </w:rPr>
              <w:t>①</w:t>
            </w:r>
          </w:p>
        </w:tc>
        <w:tc>
          <w:tcPr>
            <w:tcW w:w="668" w:type="pct"/>
            <w:tcBorders>
              <w:top w:val="single" w:color="auto" w:sz="6" w:space="0"/>
              <w:bottom w:val="single" w:color="auto" w:sz="6" w:space="0"/>
            </w:tcBorders>
            <w:shd w:val="clear" w:color="auto" w:fill="D9D9D9"/>
            <w:vAlign w:val="center"/>
          </w:tcPr>
          <w:p w14:paraId="3EF7807B">
            <w:pPr>
              <w:pStyle w:val="92"/>
              <w:rPr>
                <w:color w:val="auto"/>
                <w:highlight w:val="none"/>
                <w:u w:val="none"/>
              </w:rPr>
            </w:pPr>
            <w:r>
              <w:rPr>
                <w:color w:val="auto"/>
                <w:highlight w:val="none"/>
                <w:u w:val="none"/>
              </w:rPr>
              <w:t>60</w:t>
            </w:r>
            <w:r>
              <w:rPr>
                <w:rFonts w:hint="eastAsia" w:ascii="宋体" w:hAnsi="宋体" w:cs="宋体"/>
                <w:color w:val="auto"/>
                <w:highlight w:val="none"/>
                <w:u w:val="none"/>
                <w:vertAlign w:val="superscript"/>
              </w:rPr>
              <w:t>①</w:t>
            </w:r>
          </w:p>
        </w:tc>
        <w:tc>
          <w:tcPr>
            <w:tcW w:w="646" w:type="pct"/>
            <w:tcBorders>
              <w:top w:val="single" w:color="auto" w:sz="6" w:space="0"/>
              <w:bottom w:val="single" w:color="auto" w:sz="6" w:space="0"/>
            </w:tcBorders>
            <w:vAlign w:val="center"/>
          </w:tcPr>
          <w:p w14:paraId="3808B4F8">
            <w:pPr>
              <w:pStyle w:val="92"/>
              <w:rPr>
                <w:color w:val="auto"/>
                <w:highlight w:val="none"/>
                <w:u w:val="none"/>
              </w:rPr>
            </w:pPr>
            <w:r>
              <w:rPr>
                <w:color w:val="auto"/>
                <w:highlight w:val="none"/>
                <w:u w:val="none"/>
              </w:rPr>
              <w:t>120</w:t>
            </w:r>
          </w:p>
        </w:tc>
        <w:tc>
          <w:tcPr>
            <w:tcW w:w="613" w:type="pct"/>
            <w:tcBorders>
              <w:top w:val="single" w:color="auto" w:sz="6" w:space="0"/>
              <w:bottom w:val="single" w:color="auto" w:sz="6" w:space="0"/>
              <w:right w:val="single" w:color="auto" w:sz="12" w:space="0"/>
            </w:tcBorders>
            <w:shd w:val="clear" w:color="auto" w:fill="auto"/>
            <w:vAlign w:val="center"/>
          </w:tcPr>
          <w:p w14:paraId="4113501B">
            <w:pPr>
              <w:pStyle w:val="92"/>
              <w:rPr>
                <w:color w:val="auto"/>
                <w:highlight w:val="none"/>
                <w:u w:val="none"/>
              </w:rPr>
            </w:pPr>
            <w:r>
              <w:rPr>
                <w:color w:val="auto"/>
                <w:highlight w:val="none"/>
                <w:u w:val="none"/>
              </w:rPr>
              <w:t>140</w:t>
            </w:r>
          </w:p>
        </w:tc>
      </w:tr>
      <w:tr w14:paraId="21978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7CA6114B">
            <w:pPr>
              <w:pStyle w:val="92"/>
              <w:rPr>
                <w:color w:val="auto"/>
                <w:highlight w:val="none"/>
                <w:u w:val="none"/>
              </w:rPr>
            </w:pPr>
            <w:r>
              <w:rPr>
                <w:color w:val="auto"/>
                <w:highlight w:val="none"/>
                <w:u w:val="none"/>
              </w:rPr>
              <w:t>2</w:t>
            </w:r>
          </w:p>
        </w:tc>
        <w:tc>
          <w:tcPr>
            <w:tcW w:w="1235" w:type="pct"/>
            <w:tcBorders>
              <w:top w:val="single" w:color="auto" w:sz="6" w:space="0"/>
              <w:left w:val="single" w:color="auto" w:sz="4" w:space="0"/>
              <w:bottom w:val="single" w:color="auto" w:sz="6" w:space="0"/>
              <w:right w:val="single" w:color="auto" w:sz="4" w:space="0"/>
            </w:tcBorders>
            <w:vAlign w:val="center"/>
          </w:tcPr>
          <w:p w14:paraId="09F25ACB">
            <w:pPr>
              <w:pStyle w:val="92"/>
              <w:rPr>
                <w:color w:val="auto"/>
                <w:highlight w:val="none"/>
                <w:u w:val="none"/>
              </w:rPr>
            </w:pPr>
            <w:r>
              <w:rPr>
                <w:color w:val="auto"/>
                <w:highlight w:val="none"/>
                <w:u w:val="none"/>
              </w:rPr>
              <w:t>镉</w:t>
            </w:r>
          </w:p>
        </w:tc>
        <w:tc>
          <w:tcPr>
            <w:tcW w:w="712" w:type="pct"/>
            <w:tcBorders>
              <w:top w:val="single" w:color="auto" w:sz="6" w:space="0"/>
              <w:left w:val="single" w:color="auto" w:sz="4" w:space="0"/>
              <w:bottom w:val="single" w:color="auto" w:sz="6" w:space="0"/>
            </w:tcBorders>
            <w:vAlign w:val="center"/>
          </w:tcPr>
          <w:p w14:paraId="3191CAA1">
            <w:pPr>
              <w:pStyle w:val="92"/>
              <w:rPr>
                <w:color w:val="auto"/>
                <w:highlight w:val="none"/>
                <w:u w:val="none"/>
              </w:rPr>
            </w:pPr>
            <w:r>
              <w:rPr>
                <w:color w:val="auto"/>
                <w:highlight w:val="none"/>
                <w:u w:val="none"/>
              </w:rPr>
              <w:t>7440-43-9</w:t>
            </w:r>
          </w:p>
        </w:tc>
        <w:tc>
          <w:tcPr>
            <w:tcW w:w="603" w:type="pct"/>
            <w:tcBorders>
              <w:top w:val="single" w:color="auto" w:sz="6" w:space="0"/>
              <w:bottom w:val="single" w:color="auto" w:sz="6" w:space="0"/>
            </w:tcBorders>
            <w:vAlign w:val="center"/>
          </w:tcPr>
          <w:p w14:paraId="411754C3">
            <w:pPr>
              <w:pStyle w:val="92"/>
              <w:rPr>
                <w:color w:val="auto"/>
                <w:highlight w:val="none"/>
                <w:u w:val="none"/>
              </w:rPr>
            </w:pPr>
            <w:r>
              <w:rPr>
                <w:color w:val="auto"/>
                <w:highlight w:val="none"/>
                <w:u w:val="none"/>
              </w:rPr>
              <w:t>20</w:t>
            </w:r>
          </w:p>
        </w:tc>
        <w:tc>
          <w:tcPr>
            <w:tcW w:w="668" w:type="pct"/>
            <w:tcBorders>
              <w:top w:val="single" w:color="auto" w:sz="6" w:space="0"/>
              <w:bottom w:val="single" w:color="auto" w:sz="6" w:space="0"/>
            </w:tcBorders>
            <w:shd w:val="clear" w:color="auto" w:fill="D9D9D9"/>
            <w:vAlign w:val="center"/>
          </w:tcPr>
          <w:p w14:paraId="371B8140">
            <w:pPr>
              <w:pStyle w:val="92"/>
              <w:rPr>
                <w:color w:val="auto"/>
                <w:highlight w:val="none"/>
                <w:u w:val="none"/>
              </w:rPr>
            </w:pPr>
            <w:r>
              <w:rPr>
                <w:color w:val="auto"/>
                <w:highlight w:val="none"/>
                <w:u w:val="none"/>
              </w:rPr>
              <w:t>65</w:t>
            </w:r>
          </w:p>
        </w:tc>
        <w:tc>
          <w:tcPr>
            <w:tcW w:w="646" w:type="pct"/>
            <w:tcBorders>
              <w:top w:val="single" w:color="auto" w:sz="6" w:space="0"/>
              <w:bottom w:val="single" w:color="auto" w:sz="6" w:space="0"/>
            </w:tcBorders>
            <w:vAlign w:val="center"/>
          </w:tcPr>
          <w:p w14:paraId="353A47DF">
            <w:pPr>
              <w:pStyle w:val="92"/>
              <w:rPr>
                <w:color w:val="auto"/>
                <w:highlight w:val="none"/>
                <w:u w:val="none"/>
              </w:rPr>
            </w:pPr>
            <w:r>
              <w:rPr>
                <w:color w:val="auto"/>
                <w:highlight w:val="none"/>
                <w:u w:val="none"/>
              </w:rPr>
              <w:t>47</w:t>
            </w:r>
          </w:p>
        </w:tc>
        <w:tc>
          <w:tcPr>
            <w:tcW w:w="613" w:type="pct"/>
            <w:tcBorders>
              <w:top w:val="single" w:color="auto" w:sz="6" w:space="0"/>
              <w:bottom w:val="single" w:color="auto" w:sz="6" w:space="0"/>
              <w:right w:val="single" w:color="auto" w:sz="12" w:space="0"/>
            </w:tcBorders>
            <w:shd w:val="clear" w:color="auto" w:fill="auto"/>
            <w:vAlign w:val="center"/>
          </w:tcPr>
          <w:p w14:paraId="17E404C4">
            <w:pPr>
              <w:pStyle w:val="92"/>
              <w:rPr>
                <w:color w:val="auto"/>
                <w:highlight w:val="none"/>
                <w:u w:val="none"/>
              </w:rPr>
            </w:pPr>
            <w:r>
              <w:rPr>
                <w:color w:val="auto"/>
                <w:highlight w:val="none"/>
                <w:u w:val="none"/>
              </w:rPr>
              <w:t>172</w:t>
            </w:r>
          </w:p>
        </w:tc>
      </w:tr>
      <w:tr w14:paraId="22AF4B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C89B938">
            <w:pPr>
              <w:pStyle w:val="92"/>
              <w:rPr>
                <w:color w:val="auto"/>
                <w:highlight w:val="none"/>
                <w:u w:val="none"/>
              </w:rPr>
            </w:pPr>
            <w:r>
              <w:rPr>
                <w:color w:val="auto"/>
                <w:highlight w:val="none"/>
                <w:u w:val="none"/>
              </w:rPr>
              <w:t>3</w:t>
            </w:r>
          </w:p>
        </w:tc>
        <w:tc>
          <w:tcPr>
            <w:tcW w:w="1235" w:type="pct"/>
            <w:tcBorders>
              <w:top w:val="single" w:color="auto" w:sz="6" w:space="0"/>
              <w:left w:val="single" w:color="auto" w:sz="4" w:space="0"/>
              <w:bottom w:val="single" w:color="auto" w:sz="6" w:space="0"/>
              <w:right w:val="single" w:color="auto" w:sz="4" w:space="0"/>
            </w:tcBorders>
            <w:vAlign w:val="center"/>
          </w:tcPr>
          <w:p w14:paraId="5A937CD9">
            <w:pPr>
              <w:pStyle w:val="92"/>
              <w:rPr>
                <w:color w:val="auto"/>
                <w:highlight w:val="none"/>
                <w:u w:val="none"/>
              </w:rPr>
            </w:pPr>
            <w:r>
              <w:rPr>
                <w:color w:val="auto"/>
                <w:highlight w:val="none"/>
                <w:u w:val="none"/>
              </w:rPr>
              <w:t>铬（六价）</w:t>
            </w:r>
          </w:p>
        </w:tc>
        <w:tc>
          <w:tcPr>
            <w:tcW w:w="712" w:type="pct"/>
            <w:tcBorders>
              <w:top w:val="single" w:color="auto" w:sz="6" w:space="0"/>
              <w:left w:val="single" w:color="auto" w:sz="4" w:space="0"/>
              <w:bottom w:val="single" w:color="auto" w:sz="6" w:space="0"/>
            </w:tcBorders>
            <w:vAlign w:val="center"/>
          </w:tcPr>
          <w:p w14:paraId="67297310">
            <w:pPr>
              <w:pStyle w:val="92"/>
              <w:rPr>
                <w:color w:val="auto"/>
                <w:highlight w:val="none"/>
                <w:u w:val="none"/>
              </w:rPr>
            </w:pPr>
            <w:r>
              <w:rPr>
                <w:color w:val="auto"/>
                <w:highlight w:val="none"/>
                <w:u w:val="none"/>
              </w:rPr>
              <w:t>18540-29-9</w:t>
            </w:r>
          </w:p>
        </w:tc>
        <w:tc>
          <w:tcPr>
            <w:tcW w:w="603" w:type="pct"/>
            <w:tcBorders>
              <w:top w:val="single" w:color="auto" w:sz="6" w:space="0"/>
              <w:bottom w:val="single" w:color="auto" w:sz="6" w:space="0"/>
            </w:tcBorders>
            <w:vAlign w:val="center"/>
          </w:tcPr>
          <w:p w14:paraId="3C300BAC">
            <w:pPr>
              <w:pStyle w:val="92"/>
              <w:rPr>
                <w:color w:val="auto"/>
                <w:highlight w:val="none"/>
                <w:u w:val="none"/>
              </w:rPr>
            </w:pPr>
            <w:r>
              <w:rPr>
                <w:color w:val="auto"/>
                <w:highlight w:val="none"/>
                <w:u w:val="none"/>
              </w:rPr>
              <w:t>3.0</w:t>
            </w:r>
          </w:p>
        </w:tc>
        <w:tc>
          <w:tcPr>
            <w:tcW w:w="668" w:type="pct"/>
            <w:tcBorders>
              <w:top w:val="single" w:color="auto" w:sz="6" w:space="0"/>
              <w:bottom w:val="single" w:color="auto" w:sz="6" w:space="0"/>
            </w:tcBorders>
            <w:shd w:val="clear" w:color="auto" w:fill="D9D9D9"/>
            <w:vAlign w:val="center"/>
          </w:tcPr>
          <w:p w14:paraId="1A3C9DAD">
            <w:pPr>
              <w:pStyle w:val="92"/>
              <w:rPr>
                <w:color w:val="auto"/>
                <w:highlight w:val="none"/>
                <w:u w:val="none"/>
              </w:rPr>
            </w:pPr>
            <w:r>
              <w:rPr>
                <w:color w:val="auto"/>
                <w:highlight w:val="none"/>
                <w:u w:val="none"/>
              </w:rPr>
              <w:t>5.7</w:t>
            </w:r>
          </w:p>
        </w:tc>
        <w:tc>
          <w:tcPr>
            <w:tcW w:w="646" w:type="pct"/>
            <w:tcBorders>
              <w:top w:val="single" w:color="auto" w:sz="6" w:space="0"/>
              <w:bottom w:val="single" w:color="auto" w:sz="6" w:space="0"/>
            </w:tcBorders>
            <w:vAlign w:val="center"/>
          </w:tcPr>
          <w:p w14:paraId="2279C7AC">
            <w:pPr>
              <w:pStyle w:val="92"/>
              <w:rPr>
                <w:color w:val="auto"/>
                <w:highlight w:val="none"/>
                <w:u w:val="none"/>
              </w:rPr>
            </w:pPr>
            <w:r>
              <w:rPr>
                <w:color w:val="auto"/>
                <w:highlight w:val="none"/>
                <w:u w:val="none"/>
              </w:rPr>
              <w:t>30</w:t>
            </w:r>
          </w:p>
        </w:tc>
        <w:tc>
          <w:tcPr>
            <w:tcW w:w="613" w:type="pct"/>
            <w:tcBorders>
              <w:top w:val="single" w:color="auto" w:sz="6" w:space="0"/>
              <w:bottom w:val="single" w:color="auto" w:sz="6" w:space="0"/>
              <w:right w:val="single" w:color="auto" w:sz="12" w:space="0"/>
            </w:tcBorders>
            <w:shd w:val="clear" w:color="auto" w:fill="auto"/>
            <w:vAlign w:val="center"/>
          </w:tcPr>
          <w:p w14:paraId="34EDD273">
            <w:pPr>
              <w:pStyle w:val="92"/>
              <w:rPr>
                <w:color w:val="auto"/>
                <w:highlight w:val="none"/>
                <w:u w:val="none"/>
              </w:rPr>
            </w:pPr>
            <w:r>
              <w:rPr>
                <w:color w:val="auto"/>
                <w:highlight w:val="none"/>
                <w:u w:val="none"/>
              </w:rPr>
              <w:t>78</w:t>
            </w:r>
          </w:p>
        </w:tc>
      </w:tr>
      <w:tr w14:paraId="5EC756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39FA4458">
            <w:pPr>
              <w:pStyle w:val="92"/>
              <w:rPr>
                <w:color w:val="auto"/>
                <w:highlight w:val="none"/>
                <w:u w:val="none"/>
              </w:rPr>
            </w:pPr>
            <w:r>
              <w:rPr>
                <w:color w:val="auto"/>
                <w:highlight w:val="none"/>
                <w:u w:val="none"/>
              </w:rPr>
              <w:t>4</w:t>
            </w:r>
          </w:p>
        </w:tc>
        <w:tc>
          <w:tcPr>
            <w:tcW w:w="1235" w:type="pct"/>
            <w:tcBorders>
              <w:top w:val="single" w:color="auto" w:sz="6" w:space="0"/>
              <w:left w:val="single" w:color="auto" w:sz="4" w:space="0"/>
              <w:bottom w:val="single" w:color="auto" w:sz="6" w:space="0"/>
              <w:right w:val="single" w:color="auto" w:sz="4" w:space="0"/>
            </w:tcBorders>
            <w:vAlign w:val="center"/>
          </w:tcPr>
          <w:p w14:paraId="511CA8E7">
            <w:pPr>
              <w:pStyle w:val="92"/>
              <w:rPr>
                <w:color w:val="auto"/>
                <w:highlight w:val="none"/>
                <w:u w:val="none"/>
              </w:rPr>
            </w:pPr>
            <w:r>
              <w:rPr>
                <w:color w:val="auto"/>
                <w:highlight w:val="none"/>
                <w:u w:val="none"/>
              </w:rPr>
              <w:t>铜</w:t>
            </w:r>
          </w:p>
        </w:tc>
        <w:tc>
          <w:tcPr>
            <w:tcW w:w="712" w:type="pct"/>
            <w:tcBorders>
              <w:top w:val="single" w:color="auto" w:sz="6" w:space="0"/>
              <w:left w:val="single" w:color="auto" w:sz="4" w:space="0"/>
              <w:bottom w:val="single" w:color="auto" w:sz="6" w:space="0"/>
            </w:tcBorders>
            <w:vAlign w:val="center"/>
          </w:tcPr>
          <w:p w14:paraId="538883F4">
            <w:pPr>
              <w:pStyle w:val="92"/>
              <w:rPr>
                <w:color w:val="auto"/>
                <w:highlight w:val="none"/>
                <w:u w:val="none"/>
              </w:rPr>
            </w:pPr>
            <w:r>
              <w:rPr>
                <w:color w:val="auto"/>
                <w:highlight w:val="none"/>
                <w:u w:val="none"/>
              </w:rPr>
              <w:t>7440-50-8</w:t>
            </w:r>
          </w:p>
        </w:tc>
        <w:tc>
          <w:tcPr>
            <w:tcW w:w="603" w:type="pct"/>
            <w:tcBorders>
              <w:top w:val="single" w:color="auto" w:sz="6" w:space="0"/>
              <w:bottom w:val="single" w:color="auto" w:sz="6" w:space="0"/>
            </w:tcBorders>
            <w:vAlign w:val="center"/>
          </w:tcPr>
          <w:p w14:paraId="373AFFE8">
            <w:pPr>
              <w:pStyle w:val="92"/>
              <w:rPr>
                <w:color w:val="auto"/>
                <w:highlight w:val="none"/>
                <w:u w:val="none"/>
              </w:rPr>
            </w:pPr>
            <w:r>
              <w:rPr>
                <w:color w:val="auto"/>
                <w:highlight w:val="none"/>
                <w:u w:val="none"/>
              </w:rPr>
              <w:t>2000</w:t>
            </w:r>
          </w:p>
        </w:tc>
        <w:tc>
          <w:tcPr>
            <w:tcW w:w="668" w:type="pct"/>
            <w:tcBorders>
              <w:top w:val="single" w:color="auto" w:sz="6" w:space="0"/>
              <w:bottom w:val="single" w:color="auto" w:sz="6" w:space="0"/>
            </w:tcBorders>
            <w:shd w:val="clear" w:color="auto" w:fill="D9D9D9"/>
            <w:vAlign w:val="center"/>
          </w:tcPr>
          <w:p w14:paraId="6D784012">
            <w:pPr>
              <w:pStyle w:val="92"/>
              <w:rPr>
                <w:color w:val="auto"/>
                <w:highlight w:val="none"/>
                <w:u w:val="none"/>
              </w:rPr>
            </w:pPr>
            <w:r>
              <w:rPr>
                <w:color w:val="auto"/>
                <w:highlight w:val="none"/>
                <w:u w:val="none"/>
              </w:rPr>
              <w:t>18000</w:t>
            </w:r>
          </w:p>
        </w:tc>
        <w:tc>
          <w:tcPr>
            <w:tcW w:w="646" w:type="pct"/>
            <w:tcBorders>
              <w:top w:val="single" w:color="auto" w:sz="6" w:space="0"/>
              <w:bottom w:val="single" w:color="auto" w:sz="6" w:space="0"/>
            </w:tcBorders>
            <w:vAlign w:val="center"/>
          </w:tcPr>
          <w:p w14:paraId="393ED5BF">
            <w:pPr>
              <w:pStyle w:val="92"/>
              <w:rPr>
                <w:color w:val="auto"/>
                <w:highlight w:val="none"/>
                <w:u w:val="none"/>
              </w:rPr>
            </w:pPr>
            <w:r>
              <w:rPr>
                <w:color w:val="auto"/>
                <w:highlight w:val="none"/>
                <w:u w:val="none"/>
              </w:rPr>
              <w:t>8000</w:t>
            </w:r>
          </w:p>
        </w:tc>
        <w:tc>
          <w:tcPr>
            <w:tcW w:w="613" w:type="pct"/>
            <w:tcBorders>
              <w:top w:val="single" w:color="auto" w:sz="6" w:space="0"/>
              <w:bottom w:val="single" w:color="auto" w:sz="6" w:space="0"/>
              <w:right w:val="single" w:color="auto" w:sz="12" w:space="0"/>
            </w:tcBorders>
            <w:shd w:val="clear" w:color="auto" w:fill="auto"/>
            <w:vAlign w:val="center"/>
          </w:tcPr>
          <w:p w14:paraId="3A9AC6BF">
            <w:pPr>
              <w:pStyle w:val="92"/>
              <w:rPr>
                <w:color w:val="auto"/>
                <w:highlight w:val="none"/>
                <w:u w:val="none"/>
              </w:rPr>
            </w:pPr>
            <w:r>
              <w:rPr>
                <w:color w:val="auto"/>
                <w:highlight w:val="none"/>
                <w:u w:val="none"/>
              </w:rPr>
              <w:t>36000</w:t>
            </w:r>
          </w:p>
        </w:tc>
      </w:tr>
      <w:tr w14:paraId="480FA7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0492AD8">
            <w:pPr>
              <w:pStyle w:val="92"/>
              <w:rPr>
                <w:color w:val="auto"/>
                <w:highlight w:val="none"/>
                <w:u w:val="none"/>
              </w:rPr>
            </w:pPr>
            <w:r>
              <w:rPr>
                <w:color w:val="auto"/>
                <w:highlight w:val="none"/>
                <w:u w:val="none"/>
              </w:rPr>
              <w:t>5</w:t>
            </w:r>
          </w:p>
        </w:tc>
        <w:tc>
          <w:tcPr>
            <w:tcW w:w="1235" w:type="pct"/>
            <w:tcBorders>
              <w:top w:val="single" w:color="auto" w:sz="6" w:space="0"/>
              <w:left w:val="single" w:color="auto" w:sz="4" w:space="0"/>
              <w:bottom w:val="single" w:color="auto" w:sz="6" w:space="0"/>
              <w:right w:val="single" w:color="auto" w:sz="4" w:space="0"/>
            </w:tcBorders>
            <w:vAlign w:val="center"/>
          </w:tcPr>
          <w:p w14:paraId="31FD5A04">
            <w:pPr>
              <w:pStyle w:val="92"/>
              <w:rPr>
                <w:color w:val="auto"/>
                <w:highlight w:val="none"/>
                <w:u w:val="none"/>
              </w:rPr>
            </w:pPr>
            <w:r>
              <w:rPr>
                <w:color w:val="auto"/>
                <w:highlight w:val="none"/>
                <w:u w:val="none"/>
              </w:rPr>
              <w:t>铅</w:t>
            </w:r>
          </w:p>
        </w:tc>
        <w:tc>
          <w:tcPr>
            <w:tcW w:w="712" w:type="pct"/>
            <w:tcBorders>
              <w:top w:val="single" w:color="auto" w:sz="6" w:space="0"/>
              <w:left w:val="single" w:color="auto" w:sz="4" w:space="0"/>
              <w:bottom w:val="single" w:color="auto" w:sz="6" w:space="0"/>
            </w:tcBorders>
            <w:vAlign w:val="center"/>
          </w:tcPr>
          <w:p w14:paraId="5F73121C">
            <w:pPr>
              <w:pStyle w:val="92"/>
              <w:rPr>
                <w:color w:val="auto"/>
                <w:highlight w:val="none"/>
                <w:u w:val="none"/>
              </w:rPr>
            </w:pPr>
            <w:r>
              <w:rPr>
                <w:color w:val="auto"/>
                <w:highlight w:val="none"/>
                <w:u w:val="none"/>
              </w:rPr>
              <w:t>7439-92-1</w:t>
            </w:r>
          </w:p>
        </w:tc>
        <w:tc>
          <w:tcPr>
            <w:tcW w:w="603" w:type="pct"/>
            <w:tcBorders>
              <w:top w:val="single" w:color="auto" w:sz="6" w:space="0"/>
              <w:bottom w:val="single" w:color="auto" w:sz="6" w:space="0"/>
            </w:tcBorders>
            <w:vAlign w:val="center"/>
          </w:tcPr>
          <w:p w14:paraId="5C8AA106">
            <w:pPr>
              <w:pStyle w:val="92"/>
              <w:rPr>
                <w:color w:val="auto"/>
                <w:highlight w:val="none"/>
                <w:u w:val="none"/>
              </w:rPr>
            </w:pPr>
            <w:r>
              <w:rPr>
                <w:color w:val="auto"/>
                <w:highlight w:val="none"/>
                <w:u w:val="none"/>
              </w:rPr>
              <w:t>400</w:t>
            </w:r>
          </w:p>
        </w:tc>
        <w:tc>
          <w:tcPr>
            <w:tcW w:w="668" w:type="pct"/>
            <w:tcBorders>
              <w:top w:val="single" w:color="auto" w:sz="6" w:space="0"/>
              <w:bottom w:val="single" w:color="auto" w:sz="6" w:space="0"/>
            </w:tcBorders>
            <w:shd w:val="clear" w:color="auto" w:fill="D9D9D9"/>
            <w:vAlign w:val="center"/>
          </w:tcPr>
          <w:p w14:paraId="4D504FC0">
            <w:pPr>
              <w:pStyle w:val="92"/>
              <w:rPr>
                <w:color w:val="auto"/>
                <w:highlight w:val="none"/>
                <w:u w:val="none"/>
              </w:rPr>
            </w:pPr>
            <w:r>
              <w:rPr>
                <w:color w:val="auto"/>
                <w:highlight w:val="none"/>
                <w:u w:val="none"/>
              </w:rPr>
              <w:t>800</w:t>
            </w:r>
          </w:p>
        </w:tc>
        <w:tc>
          <w:tcPr>
            <w:tcW w:w="646" w:type="pct"/>
            <w:tcBorders>
              <w:top w:val="single" w:color="auto" w:sz="6" w:space="0"/>
              <w:bottom w:val="single" w:color="auto" w:sz="6" w:space="0"/>
            </w:tcBorders>
            <w:vAlign w:val="center"/>
          </w:tcPr>
          <w:p w14:paraId="1D105A29">
            <w:pPr>
              <w:pStyle w:val="92"/>
              <w:rPr>
                <w:color w:val="auto"/>
                <w:highlight w:val="none"/>
                <w:u w:val="none"/>
              </w:rPr>
            </w:pPr>
            <w:r>
              <w:rPr>
                <w:color w:val="auto"/>
                <w:highlight w:val="none"/>
                <w:u w:val="none"/>
              </w:rPr>
              <w:t>800</w:t>
            </w:r>
          </w:p>
        </w:tc>
        <w:tc>
          <w:tcPr>
            <w:tcW w:w="613" w:type="pct"/>
            <w:tcBorders>
              <w:top w:val="single" w:color="auto" w:sz="6" w:space="0"/>
              <w:bottom w:val="single" w:color="auto" w:sz="6" w:space="0"/>
              <w:right w:val="single" w:color="auto" w:sz="12" w:space="0"/>
            </w:tcBorders>
            <w:shd w:val="clear" w:color="auto" w:fill="auto"/>
            <w:vAlign w:val="center"/>
          </w:tcPr>
          <w:p w14:paraId="175F8F78">
            <w:pPr>
              <w:pStyle w:val="92"/>
              <w:rPr>
                <w:color w:val="auto"/>
                <w:highlight w:val="none"/>
                <w:u w:val="none"/>
              </w:rPr>
            </w:pPr>
            <w:r>
              <w:rPr>
                <w:color w:val="auto"/>
                <w:highlight w:val="none"/>
                <w:u w:val="none"/>
              </w:rPr>
              <w:t>2500</w:t>
            </w:r>
          </w:p>
        </w:tc>
      </w:tr>
      <w:tr w14:paraId="38A49D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B957508">
            <w:pPr>
              <w:pStyle w:val="92"/>
              <w:rPr>
                <w:color w:val="auto"/>
                <w:highlight w:val="none"/>
                <w:u w:val="none"/>
              </w:rPr>
            </w:pPr>
            <w:r>
              <w:rPr>
                <w:color w:val="auto"/>
                <w:highlight w:val="none"/>
                <w:u w:val="none"/>
              </w:rPr>
              <w:t>6</w:t>
            </w:r>
          </w:p>
        </w:tc>
        <w:tc>
          <w:tcPr>
            <w:tcW w:w="1235" w:type="pct"/>
            <w:tcBorders>
              <w:top w:val="single" w:color="auto" w:sz="6" w:space="0"/>
              <w:left w:val="single" w:color="auto" w:sz="4" w:space="0"/>
              <w:bottom w:val="single" w:color="auto" w:sz="6" w:space="0"/>
              <w:right w:val="single" w:color="auto" w:sz="4" w:space="0"/>
            </w:tcBorders>
            <w:vAlign w:val="center"/>
          </w:tcPr>
          <w:p w14:paraId="4FB7753E">
            <w:pPr>
              <w:pStyle w:val="92"/>
              <w:rPr>
                <w:color w:val="auto"/>
                <w:highlight w:val="none"/>
                <w:u w:val="none"/>
              </w:rPr>
            </w:pPr>
            <w:r>
              <w:rPr>
                <w:color w:val="auto"/>
                <w:highlight w:val="none"/>
                <w:u w:val="none"/>
              </w:rPr>
              <w:t>汞</w:t>
            </w:r>
          </w:p>
        </w:tc>
        <w:tc>
          <w:tcPr>
            <w:tcW w:w="712" w:type="pct"/>
            <w:tcBorders>
              <w:top w:val="single" w:color="auto" w:sz="6" w:space="0"/>
              <w:left w:val="single" w:color="auto" w:sz="4" w:space="0"/>
              <w:bottom w:val="single" w:color="auto" w:sz="6" w:space="0"/>
            </w:tcBorders>
            <w:vAlign w:val="center"/>
          </w:tcPr>
          <w:p w14:paraId="4C19B459">
            <w:pPr>
              <w:pStyle w:val="92"/>
              <w:rPr>
                <w:color w:val="auto"/>
                <w:highlight w:val="none"/>
                <w:u w:val="none"/>
              </w:rPr>
            </w:pPr>
            <w:r>
              <w:rPr>
                <w:color w:val="auto"/>
                <w:highlight w:val="none"/>
                <w:u w:val="none"/>
              </w:rPr>
              <w:t>7439-97-6</w:t>
            </w:r>
          </w:p>
        </w:tc>
        <w:tc>
          <w:tcPr>
            <w:tcW w:w="603" w:type="pct"/>
            <w:tcBorders>
              <w:top w:val="single" w:color="auto" w:sz="6" w:space="0"/>
              <w:bottom w:val="single" w:color="auto" w:sz="6" w:space="0"/>
            </w:tcBorders>
            <w:vAlign w:val="center"/>
          </w:tcPr>
          <w:p w14:paraId="11289898">
            <w:pPr>
              <w:pStyle w:val="92"/>
              <w:rPr>
                <w:color w:val="auto"/>
                <w:highlight w:val="none"/>
                <w:u w:val="none"/>
              </w:rPr>
            </w:pPr>
            <w:r>
              <w:rPr>
                <w:color w:val="auto"/>
                <w:highlight w:val="none"/>
                <w:u w:val="none"/>
              </w:rPr>
              <w:t>8</w:t>
            </w:r>
          </w:p>
        </w:tc>
        <w:tc>
          <w:tcPr>
            <w:tcW w:w="668" w:type="pct"/>
            <w:tcBorders>
              <w:top w:val="single" w:color="auto" w:sz="6" w:space="0"/>
              <w:bottom w:val="single" w:color="auto" w:sz="6" w:space="0"/>
            </w:tcBorders>
            <w:shd w:val="clear" w:color="auto" w:fill="D9D9D9"/>
            <w:vAlign w:val="center"/>
          </w:tcPr>
          <w:p w14:paraId="5D72C606">
            <w:pPr>
              <w:pStyle w:val="92"/>
              <w:rPr>
                <w:color w:val="auto"/>
                <w:highlight w:val="none"/>
                <w:u w:val="none"/>
              </w:rPr>
            </w:pPr>
            <w:r>
              <w:rPr>
                <w:color w:val="auto"/>
                <w:highlight w:val="none"/>
                <w:u w:val="none"/>
              </w:rPr>
              <w:t>38</w:t>
            </w:r>
          </w:p>
        </w:tc>
        <w:tc>
          <w:tcPr>
            <w:tcW w:w="646" w:type="pct"/>
            <w:tcBorders>
              <w:top w:val="single" w:color="auto" w:sz="6" w:space="0"/>
              <w:bottom w:val="single" w:color="auto" w:sz="6" w:space="0"/>
            </w:tcBorders>
            <w:vAlign w:val="center"/>
          </w:tcPr>
          <w:p w14:paraId="1723C6F9">
            <w:pPr>
              <w:pStyle w:val="92"/>
              <w:rPr>
                <w:color w:val="auto"/>
                <w:highlight w:val="none"/>
                <w:u w:val="none"/>
              </w:rPr>
            </w:pPr>
            <w:r>
              <w:rPr>
                <w:color w:val="auto"/>
                <w:highlight w:val="none"/>
                <w:u w:val="none"/>
              </w:rPr>
              <w:t>33</w:t>
            </w:r>
          </w:p>
        </w:tc>
        <w:tc>
          <w:tcPr>
            <w:tcW w:w="613" w:type="pct"/>
            <w:tcBorders>
              <w:top w:val="single" w:color="auto" w:sz="6" w:space="0"/>
              <w:bottom w:val="single" w:color="auto" w:sz="6" w:space="0"/>
              <w:right w:val="single" w:color="auto" w:sz="12" w:space="0"/>
            </w:tcBorders>
            <w:shd w:val="clear" w:color="auto" w:fill="auto"/>
            <w:vAlign w:val="center"/>
          </w:tcPr>
          <w:p w14:paraId="5294FC6C">
            <w:pPr>
              <w:pStyle w:val="92"/>
              <w:rPr>
                <w:color w:val="auto"/>
                <w:highlight w:val="none"/>
                <w:u w:val="none"/>
              </w:rPr>
            </w:pPr>
            <w:r>
              <w:rPr>
                <w:color w:val="auto"/>
                <w:highlight w:val="none"/>
                <w:u w:val="none"/>
              </w:rPr>
              <w:t>82</w:t>
            </w:r>
          </w:p>
        </w:tc>
      </w:tr>
      <w:tr w14:paraId="1C3730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E36DD39">
            <w:pPr>
              <w:pStyle w:val="92"/>
              <w:rPr>
                <w:color w:val="auto"/>
                <w:highlight w:val="none"/>
                <w:u w:val="none"/>
              </w:rPr>
            </w:pPr>
            <w:r>
              <w:rPr>
                <w:color w:val="auto"/>
                <w:highlight w:val="none"/>
                <w:u w:val="none"/>
              </w:rPr>
              <w:t>7</w:t>
            </w:r>
          </w:p>
        </w:tc>
        <w:tc>
          <w:tcPr>
            <w:tcW w:w="1235" w:type="pct"/>
            <w:tcBorders>
              <w:top w:val="single" w:color="auto" w:sz="6" w:space="0"/>
              <w:left w:val="single" w:color="auto" w:sz="4" w:space="0"/>
              <w:bottom w:val="single" w:color="auto" w:sz="6" w:space="0"/>
              <w:right w:val="single" w:color="auto" w:sz="4" w:space="0"/>
            </w:tcBorders>
            <w:vAlign w:val="center"/>
          </w:tcPr>
          <w:p w14:paraId="39D189A8">
            <w:pPr>
              <w:pStyle w:val="92"/>
              <w:rPr>
                <w:color w:val="auto"/>
                <w:highlight w:val="none"/>
                <w:u w:val="none"/>
              </w:rPr>
            </w:pPr>
            <w:r>
              <w:rPr>
                <w:color w:val="auto"/>
                <w:highlight w:val="none"/>
                <w:u w:val="none"/>
              </w:rPr>
              <w:t>镍</w:t>
            </w:r>
          </w:p>
        </w:tc>
        <w:tc>
          <w:tcPr>
            <w:tcW w:w="712" w:type="pct"/>
            <w:tcBorders>
              <w:top w:val="single" w:color="auto" w:sz="6" w:space="0"/>
              <w:left w:val="single" w:color="auto" w:sz="4" w:space="0"/>
              <w:bottom w:val="single" w:color="auto" w:sz="6" w:space="0"/>
            </w:tcBorders>
            <w:vAlign w:val="center"/>
          </w:tcPr>
          <w:p w14:paraId="369AC37B">
            <w:pPr>
              <w:pStyle w:val="92"/>
              <w:rPr>
                <w:color w:val="auto"/>
                <w:highlight w:val="none"/>
                <w:u w:val="none"/>
              </w:rPr>
            </w:pPr>
            <w:r>
              <w:rPr>
                <w:color w:val="auto"/>
                <w:highlight w:val="none"/>
                <w:u w:val="none"/>
              </w:rPr>
              <w:t>7440-02-0</w:t>
            </w:r>
          </w:p>
        </w:tc>
        <w:tc>
          <w:tcPr>
            <w:tcW w:w="603" w:type="pct"/>
            <w:tcBorders>
              <w:top w:val="single" w:color="auto" w:sz="6" w:space="0"/>
              <w:bottom w:val="single" w:color="auto" w:sz="6" w:space="0"/>
            </w:tcBorders>
            <w:vAlign w:val="center"/>
          </w:tcPr>
          <w:p w14:paraId="6A4A0A2A">
            <w:pPr>
              <w:pStyle w:val="92"/>
              <w:rPr>
                <w:color w:val="auto"/>
                <w:highlight w:val="none"/>
                <w:u w:val="none"/>
              </w:rPr>
            </w:pPr>
            <w:r>
              <w:rPr>
                <w:color w:val="auto"/>
                <w:highlight w:val="none"/>
                <w:u w:val="none"/>
              </w:rPr>
              <w:t>150</w:t>
            </w:r>
          </w:p>
        </w:tc>
        <w:tc>
          <w:tcPr>
            <w:tcW w:w="668" w:type="pct"/>
            <w:tcBorders>
              <w:top w:val="single" w:color="auto" w:sz="6" w:space="0"/>
              <w:bottom w:val="single" w:color="auto" w:sz="6" w:space="0"/>
            </w:tcBorders>
            <w:shd w:val="clear" w:color="auto" w:fill="D9D9D9"/>
            <w:vAlign w:val="center"/>
          </w:tcPr>
          <w:p w14:paraId="3574EE36">
            <w:pPr>
              <w:pStyle w:val="92"/>
              <w:rPr>
                <w:color w:val="auto"/>
                <w:highlight w:val="none"/>
                <w:u w:val="none"/>
              </w:rPr>
            </w:pPr>
            <w:r>
              <w:rPr>
                <w:color w:val="auto"/>
                <w:highlight w:val="none"/>
                <w:u w:val="none"/>
              </w:rPr>
              <w:t>900</w:t>
            </w:r>
          </w:p>
        </w:tc>
        <w:tc>
          <w:tcPr>
            <w:tcW w:w="646" w:type="pct"/>
            <w:tcBorders>
              <w:top w:val="single" w:color="auto" w:sz="6" w:space="0"/>
              <w:bottom w:val="single" w:color="auto" w:sz="6" w:space="0"/>
            </w:tcBorders>
            <w:vAlign w:val="center"/>
          </w:tcPr>
          <w:p w14:paraId="61E3583E">
            <w:pPr>
              <w:pStyle w:val="92"/>
              <w:rPr>
                <w:color w:val="auto"/>
                <w:highlight w:val="none"/>
                <w:u w:val="none"/>
              </w:rPr>
            </w:pPr>
            <w:r>
              <w:rPr>
                <w:color w:val="auto"/>
                <w:highlight w:val="none"/>
                <w:u w:val="none"/>
              </w:rPr>
              <w:t>600</w:t>
            </w:r>
          </w:p>
        </w:tc>
        <w:tc>
          <w:tcPr>
            <w:tcW w:w="613" w:type="pct"/>
            <w:tcBorders>
              <w:top w:val="single" w:color="auto" w:sz="6" w:space="0"/>
              <w:bottom w:val="single" w:color="auto" w:sz="6" w:space="0"/>
              <w:right w:val="single" w:color="auto" w:sz="12" w:space="0"/>
            </w:tcBorders>
            <w:shd w:val="clear" w:color="auto" w:fill="auto"/>
            <w:vAlign w:val="center"/>
          </w:tcPr>
          <w:p w14:paraId="69BD3F6D">
            <w:pPr>
              <w:pStyle w:val="92"/>
              <w:rPr>
                <w:color w:val="auto"/>
                <w:highlight w:val="none"/>
                <w:u w:val="none"/>
              </w:rPr>
            </w:pPr>
            <w:r>
              <w:rPr>
                <w:color w:val="auto"/>
                <w:highlight w:val="none"/>
                <w:u w:val="none"/>
              </w:rPr>
              <w:t>2000</w:t>
            </w:r>
          </w:p>
        </w:tc>
      </w:tr>
      <w:tr w14:paraId="693110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0C5D0FBA">
            <w:pPr>
              <w:pStyle w:val="92"/>
              <w:rPr>
                <w:color w:val="auto"/>
                <w:highlight w:val="none"/>
                <w:u w:val="none"/>
              </w:rPr>
            </w:pPr>
            <w:r>
              <w:rPr>
                <w:color w:val="auto"/>
                <w:highlight w:val="none"/>
                <w:u w:val="none"/>
              </w:rPr>
              <w:t>挥发性有机物</w:t>
            </w:r>
          </w:p>
        </w:tc>
      </w:tr>
      <w:tr w14:paraId="2A152A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A4B9A51">
            <w:pPr>
              <w:pStyle w:val="92"/>
              <w:rPr>
                <w:color w:val="auto"/>
                <w:highlight w:val="none"/>
                <w:u w:val="none"/>
              </w:rPr>
            </w:pPr>
            <w:r>
              <w:rPr>
                <w:color w:val="auto"/>
                <w:highlight w:val="none"/>
                <w:u w:val="none"/>
              </w:rPr>
              <w:t>8</w:t>
            </w:r>
          </w:p>
        </w:tc>
        <w:tc>
          <w:tcPr>
            <w:tcW w:w="1235" w:type="pct"/>
            <w:tcBorders>
              <w:top w:val="single" w:color="auto" w:sz="6" w:space="0"/>
              <w:left w:val="single" w:color="auto" w:sz="4" w:space="0"/>
              <w:bottom w:val="single" w:color="auto" w:sz="6" w:space="0"/>
              <w:right w:val="single" w:color="auto" w:sz="4" w:space="0"/>
            </w:tcBorders>
            <w:vAlign w:val="center"/>
          </w:tcPr>
          <w:p w14:paraId="616BD351">
            <w:pPr>
              <w:pStyle w:val="92"/>
              <w:rPr>
                <w:color w:val="auto"/>
                <w:highlight w:val="none"/>
                <w:u w:val="none"/>
              </w:rPr>
            </w:pPr>
            <w:r>
              <w:rPr>
                <w:color w:val="auto"/>
                <w:highlight w:val="none"/>
                <w:u w:val="none"/>
              </w:rPr>
              <w:t>四氯化碳</w:t>
            </w:r>
          </w:p>
        </w:tc>
        <w:tc>
          <w:tcPr>
            <w:tcW w:w="712" w:type="pct"/>
            <w:tcBorders>
              <w:top w:val="single" w:color="auto" w:sz="6" w:space="0"/>
              <w:left w:val="single" w:color="auto" w:sz="4" w:space="0"/>
              <w:bottom w:val="single" w:color="auto" w:sz="6" w:space="0"/>
            </w:tcBorders>
            <w:vAlign w:val="center"/>
          </w:tcPr>
          <w:p w14:paraId="0096A59E">
            <w:pPr>
              <w:pStyle w:val="92"/>
              <w:rPr>
                <w:color w:val="auto"/>
                <w:highlight w:val="none"/>
                <w:u w:val="none"/>
              </w:rPr>
            </w:pPr>
            <w:r>
              <w:rPr>
                <w:color w:val="auto"/>
                <w:highlight w:val="none"/>
                <w:u w:val="none"/>
              </w:rPr>
              <w:t>56-23-5</w:t>
            </w:r>
          </w:p>
        </w:tc>
        <w:tc>
          <w:tcPr>
            <w:tcW w:w="603" w:type="pct"/>
            <w:tcBorders>
              <w:top w:val="single" w:color="auto" w:sz="6" w:space="0"/>
              <w:bottom w:val="single" w:color="auto" w:sz="6" w:space="0"/>
            </w:tcBorders>
            <w:vAlign w:val="center"/>
          </w:tcPr>
          <w:p w14:paraId="2E5C540C">
            <w:pPr>
              <w:pStyle w:val="92"/>
              <w:rPr>
                <w:color w:val="auto"/>
                <w:highlight w:val="none"/>
                <w:u w:val="none"/>
              </w:rPr>
            </w:pPr>
            <w:r>
              <w:rPr>
                <w:color w:val="auto"/>
                <w:highlight w:val="none"/>
                <w:u w:val="none"/>
              </w:rPr>
              <w:t>0.9</w:t>
            </w:r>
          </w:p>
        </w:tc>
        <w:tc>
          <w:tcPr>
            <w:tcW w:w="668" w:type="pct"/>
            <w:tcBorders>
              <w:top w:val="single" w:color="auto" w:sz="6" w:space="0"/>
              <w:bottom w:val="single" w:color="auto" w:sz="6" w:space="0"/>
            </w:tcBorders>
            <w:shd w:val="clear" w:color="auto" w:fill="D9D9D9"/>
            <w:vAlign w:val="center"/>
          </w:tcPr>
          <w:p w14:paraId="27112C4D">
            <w:pPr>
              <w:pStyle w:val="92"/>
              <w:rPr>
                <w:color w:val="auto"/>
                <w:highlight w:val="none"/>
                <w:u w:val="none"/>
              </w:rPr>
            </w:pPr>
            <w:r>
              <w:rPr>
                <w:color w:val="auto"/>
                <w:highlight w:val="none"/>
                <w:u w:val="none"/>
              </w:rPr>
              <w:t>2.8</w:t>
            </w:r>
          </w:p>
        </w:tc>
        <w:tc>
          <w:tcPr>
            <w:tcW w:w="646" w:type="pct"/>
            <w:tcBorders>
              <w:top w:val="single" w:color="auto" w:sz="6" w:space="0"/>
              <w:bottom w:val="single" w:color="auto" w:sz="6" w:space="0"/>
            </w:tcBorders>
            <w:vAlign w:val="center"/>
          </w:tcPr>
          <w:p w14:paraId="58DD4014">
            <w:pPr>
              <w:pStyle w:val="92"/>
              <w:rPr>
                <w:color w:val="auto"/>
                <w:highlight w:val="none"/>
                <w:u w:val="none"/>
              </w:rPr>
            </w:pPr>
            <w:r>
              <w:rPr>
                <w:color w:val="auto"/>
                <w:highlight w:val="none"/>
                <w:u w:val="none"/>
              </w:rPr>
              <w:t>9</w:t>
            </w:r>
          </w:p>
        </w:tc>
        <w:tc>
          <w:tcPr>
            <w:tcW w:w="613" w:type="pct"/>
            <w:tcBorders>
              <w:top w:val="single" w:color="auto" w:sz="6" w:space="0"/>
              <w:bottom w:val="single" w:color="auto" w:sz="6" w:space="0"/>
              <w:right w:val="single" w:color="auto" w:sz="12" w:space="0"/>
            </w:tcBorders>
            <w:shd w:val="clear" w:color="auto" w:fill="auto"/>
            <w:vAlign w:val="center"/>
          </w:tcPr>
          <w:p w14:paraId="3AF02701">
            <w:pPr>
              <w:pStyle w:val="92"/>
              <w:rPr>
                <w:color w:val="auto"/>
                <w:highlight w:val="none"/>
                <w:u w:val="none"/>
              </w:rPr>
            </w:pPr>
            <w:r>
              <w:rPr>
                <w:color w:val="auto"/>
                <w:highlight w:val="none"/>
                <w:u w:val="none"/>
              </w:rPr>
              <w:t>36</w:t>
            </w:r>
          </w:p>
        </w:tc>
      </w:tr>
      <w:tr w14:paraId="379EBB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090D5CBB">
            <w:pPr>
              <w:pStyle w:val="92"/>
              <w:rPr>
                <w:color w:val="auto"/>
                <w:highlight w:val="none"/>
                <w:u w:val="none"/>
              </w:rPr>
            </w:pPr>
            <w:r>
              <w:rPr>
                <w:color w:val="auto"/>
                <w:highlight w:val="none"/>
                <w:u w:val="none"/>
              </w:rPr>
              <w:t>9</w:t>
            </w:r>
          </w:p>
        </w:tc>
        <w:tc>
          <w:tcPr>
            <w:tcW w:w="1235" w:type="pct"/>
            <w:tcBorders>
              <w:top w:val="single" w:color="auto" w:sz="6" w:space="0"/>
              <w:left w:val="single" w:color="auto" w:sz="4" w:space="0"/>
              <w:bottom w:val="single" w:color="auto" w:sz="6" w:space="0"/>
              <w:right w:val="single" w:color="auto" w:sz="4" w:space="0"/>
            </w:tcBorders>
            <w:vAlign w:val="center"/>
          </w:tcPr>
          <w:p w14:paraId="60AB23AF">
            <w:pPr>
              <w:pStyle w:val="92"/>
              <w:rPr>
                <w:color w:val="auto"/>
                <w:highlight w:val="none"/>
                <w:u w:val="none"/>
              </w:rPr>
            </w:pPr>
            <w:r>
              <w:rPr>
                <w:color w:val="auto"/>
                <w:highlight w:val="none"/>
                <w:u w:val="none"/>
              </w:rPr>
              <w:t>氯仿</w:t>
            </w:r>
          </w:p>
        </w:tc>
        <w:tc>
          <w:tcPr>
            <w:tcW w:w="712" w:type="pct"/>
            <w:tcBorders>
              <w:top w:val="single" w:color="auto" w:sz="6" w:space="0"/>
              <w:left w:val="single" w:color="auto" w:sz="4" w:space="0"/>
              <w:bottom w:val="single" w:color="auto" w:sz="6" w:space="0"/>
            </w:tcBorders>
            <w:vAlign w:val="center"/>
          </w:tcPr>
          <w:p w14:paraId="2084E1CB">
            <w:pPr>
              <w:pStyle w:val="92"/>
              <w:rPr>
                <w:color w:val="auto"/>
                <w:highlight w:val="none"/>
                <w:u w:val="none"/>
              </w:rPr>
            </w:pPr>
            <w:r>
              <w:rPr>
                <w:color w:val="auto"/>
                <w:highlight w:val="none"/>
                <w:u w:val="none"/>
              </w:rPr>
              <w:t>67-66-3</w:t>
            </w:r>
          </w:p>
        </w:tc>
        <w:tc>
          <w:tcPr>
            <w:tcW w:w="603" w:type="pct"/>
            <w:tcBorders>
              <w:top w:val="single" w:color="auto" w:sz="6" w:space="0"/>
              <w:bottom w:val="single" w:color="auto" w:sz="6" w:space="0"/>
            </w:tcBorders>
            <w:vAlign w:val="center"/>
          </w:tcPr>
          <w:p w14:paraId="24D6EDD5">
            <w:pPr>
              <w:pStyle w:val="92"/>
              <w:rPr>
                <w:color w:val="auto"/>
                <w:highlight w:val="none"/>
                <w:u w:val="none"/>
              </w:rPr>
            </w:pPr>
            <w:r>
              <w:rPr>
                <w:color w:val="auto"/>
                <w:highlight w:val="none"/>
                <w:u w:val="none"/>
              </w:rPr>
              <w:t>0.3</w:t>
            </w:r>
          </w:p>
        </w:tc>
        <w:tc>
          <w:tcPr>
            <w:tcW w:w="668" w:type="pct"/>
            <w:tcBorders>
              <w:top w:val="single" w:color="auto" w:sz="6" w:space="0"/>
              <w:bottom w:val="single" w:color="auto" w:sz="6" w:space="0"/>
            </w:tcBorders>
            <w:shd w:val="clear" w:color="auto" w:fill="D9D9D9"/>
            <w:vAlign w:val="center"/>
          </w:tcPr>
          <w:p w14:paraId="646EC9FC">
            <w:pPr>
              <w:pStyle w:val="92"/>
              <w:rPr>
                <w:color w:val="auto"/>
                <w:highlight w:val="none"/>
                <w:u w:val="none"/>
              </w:rPr>
            </w:pPr>
            <w:r>
              <w:rPr>
                <w:color w:val="auto"/>
                <w:highlight w:val="none"/>
                <w:u w:val="none"/>
              </w:rPr>
              <w:t>0.9</w:t>
            </w:r>
          </w:p>
        </w:tc>
        <w:tc>
          <w:tcPr>
            <w:tcW w:w="646" w:type="pct"/>
            <w:tcBorders>
              <w:top w:val="single" w:color="auto" w:sz="6" w:space="0"/>
              <w:bottom w:val="single" w:color="auto" w:sz="6" w:space="0"/>
            </w:tcBorders>
            <w:vAlign w:val="center"/>
          </w:tcPr>
          <w:p w14:paraId="0947BEF0">
            <w:pPr>
              <w:pStyle w:val="92"/>
              <w:rPr>
                <w:color w:val="auto"/>
                <w:highlight w:val="none"/>
                <w:u w:val="none"/>
              </w:rPr>
            </w:pPr>
            <w:r>
              <w:rPr>
                <w:color w:val="auto"/>
                <w:highlight w:val="none"/>
                <w:u w:val="none"/>
              </w:rPr>
              <w:t>5</w:t>
            </w:r>
          </w:p>
        </w:tc>
        <w:tc>
          <w:tcPr>
            <w:tcW w:w="613" w:type="pct"/>
            <w:tcBorders>
              <w:top w:val="single" w:color="auto" w:sz="6" w:space="0"/>
              <w:bottom w:val="single" w:color="auto" w:sz="6" w:space="0"/>
              <w:right w:val="single" w:color="auto" w:sz="12" w:space="0"/>
            </w:tcBorders>
            <w:shd w:val="clear" w:color="auto" w:fill="auto"/>
            <w:vAlign w:val="center"/>
          </w:tcPr>
          <w:p w14:paraId="2074B05E">
            <w:pPr>
              <w:pStyle w:val="92"/>
              <w:rPr>
                <w:color w:val="auto"/>
                <w:highlight w:val="none"/>
                <w:u w:val="none"/>
              </w:rPr>
            </w:pPr>
            <w:r>
              <w:rPr>
                <w:color w:val="auto"/>
                <w:highlight w:val="none"/>
                <w:u w:val="none"/>
              </w:rPr>
              <w:t>10</w:t>
            </w:r>
          </w:p>
        </w:tc>
      </w:tr>
      <w:tr w14:paraId="315C5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F9D1CC9">
            <w:pPr>
              <w:pStyle w:val="92"/>
              <w:rPr>
                <w:color w:val="auto"/>
                <w:highlight w:val="none"/>
                <w:u w:val="none"/>
              </w:rPr>
            </w:pPr>
            <w:r>
              <w:rPr>
                <w:color w:val="auto"/>
                <w:highlight w:val="none"/>
                <w:u w:val="none"/>
              </w:rPr>
              <w:t>10</w:t>
            </w:r>
          </w:p>
        </w:tc>
        <w:tc>
          <w:tcPr>
            <w:tcW w:w="1235" w:type="pct"/>
            <w:tcBorders>
              <w:top w:val="single" w:color="auto" w:sz="6" w:space="0"/>
              <w:left w:val="single" w:color="auto" w:sz="4" w:space="0"/>
              <w:bottom w:val="single" w:color="auto" w:sz="6" w:space="0"/>
              <w:right w:val="single" w:color="auto" w:sz="4" w:space="0"/>
            </w:tcBorders>
            <w:vAlign w:val="center"/>
          </w:tcPr>
          <w:p w14:paraId="29663E1C">
            <w:pPr>
              <w:pStyle w:val="92"/>
              <w:rPr>
                <w:color w:val="auto"/>
                <w:highlight w:val="none"/>
                <w:u w:val="none"/>
              </w:rPr>
            </w:pPr>
            <w:r>
              <w:rPr>
                <w:color w:val="auto"/>
                <w:highlight w:val="none"/>
                <w:u w:val="none"/>
              </w:rPr>
              <w:t>氯甲烷</w:t>
            </w:r>
          </w:p>
        </w:tc>
        <w:tc>
          <w:tcPr>
            <w:tcW w:w="712" w:type="pct"/>
            <w:tcBorders>
              <w:top w:val="single" w:color="auto" w:sz="6" w:space="0"/>
              <w:left w:val="single" w:color="auto" w:sz="4" w:space="0"/>
              <w:bottom w:val="single" w:color="auto" w:sz="6" w:space="0"/>
            </w:tcBorders>
            <w:vAlign w:val="center"/>
          </w:tcPr>
          <w:p w14:paraId="52699203">
            <w:pPr>
              <w:pStyle w:val="92"/>
              <w:rPr>
                <w:color w:val="auto"/>
                <w:highlight w:val="none"/>
                <w:u w:val="none"/>
              </w:rPr>
            </w:pPr>
            <w:r>
              <w:rPr>
                <w:color w:val="auto"/>
                <w:highlight w:val="none"/>
                <w:u w:val="none"/>
              </w:rPr>
              <w:t>74-87-3</w:t>
            </w:r>
          </w:p>
        </w:tc>
        <w:tc>
          <w:tcPr>
            <w:tcW w:w="603" w:type="pct"/>
            <w:tcBorders>
              <w:top w:val="single" w:color="auto" w:sz="6" w:space="0"/>
              <w:bottom w:val="single" w:color="auto" w:sz="6" w:space="0"/>
            </w:tcBorders>
            <w:vAlign w:val="center"/>
          </w:tcPr>
          <w:p w14:paraId="37134EC3">
            <w:pPr>
              <w:pStyle w:val="92"/>
              <w:rPr>
                <w:color w:val="auto"/>
                <w:highlight w:val="none"/>
                <w:u w:val="none"/>
              </w:rPr>
            </w:pPr>
            <w:r>
              <w:rPr>
                <w:color w:val="auto"/>
                <w:highlight w:val="none"/>
                <w:u w:val="none"/>
              </w:rPr>
              <w:t>12</w:t>
            </w:r>
          </w:p>
        </w:tc>
        <w:tc>
          <w:tcPr>
            <w:tcW w:w="668" w:type="pct"/>
            <w:tcBorders>
              <w:top w:val="single" w:color="auto" w:sz="6" w:space="0"/>
              <w:bottom w:val="single" w:color="auto" w:sz="6" w:space="0"/>
            </w:tcBorders>
            <w:shd w:val="clear" w:color="auto" w:fill="D9D9D9"/>
            <w:vAlign w:val="center"/>
          </w:tcPr>
          <w:p w14:paraId="7AC1683A">
            <w:pPr>
              <w:pStyle w:val="92"/>
              <w:rPr>
                <w:color w:val="auto"/>
                <w:highlight w:val="none"/>
                <w:u w:val="none"/>
              </w:rPr>
            </w:pPr>
            <w:r>
              <w:rPr>
                <w:color w:val="auto"/>
                <w:highlight w:val="none"/>
                <w:u w:val="none"/>
              </w:rPr>
              <w:t>37</w:t>
            </w:r>
          </w:p>
        </w:tc>
        <w:tc>
          <w:tcPr>
            <w:tcW w:w="646" w:type="pct"/>
            <w:tcBorders>
              <w:top w:val="single" w:color="auto" w:sz="6" w:space="0"/>
              <w:bottom w:val="single" w:color="auto" w:sz="6" w:space="0"/>
            </w:tcBorders>
            <w:vAlign w:val="center"/>
          </w:tcPr>
          <w:p w14:paraId="68C86DA8">
            <w:pPr>
              <w:pStyle w:val="92"/>
              <w:rPr>
                <w:color w:val="auto"/>
                <w:highlight w:val="none"/>
                <w:u w:val="none"/>
              </w:rPr>
            </w:pPr>
            <w:r>
              <w:rPr>
                <w:color w:val="auto"/>
                <w:highlight w:val="none"/>
                <w:u w:val="none"/>
              </w:rPr>
              <w:t>21</w:t>
            </w:r>
          </w:p>
        </w:tc>
        <w:tc>
          <w:tcPr>
            <w:tcW w:w="613" w:type="pct"/>
            <w:tcBorders>
              <w:top w:val="single" w:color="auto" w:sz="6" w:space="0"/>
              <w:bottom w:val="single" w:color="auto" w:sz="6" w:space="0"/>
              <w:right w:val="single" w:color="auto" w:sz="12" w:space="0"/>
            </w:tcBorders>
            <w:shd w:val="clear" w:color="auto" w:fill="auto"/>
            <w:vAlign w:val="center"/>
          </w:tcPr>
          <w:p w14:paraId="6C23B825">
            <w:pPr>
              <w:pStyle w:val="92"/>
              <w:rPr>
                <w:color w:val="auto"/>
                <w:highlight w:val="none"/>
                <w:u w:val="none"/>
              </w:rPr>
            </w:pPr>
            <w:r>
              <w:rPr>
                <w:color w:val="auto"/>
                <w:highlight w:val="none"/>
                <w:u w:val="none"/>
              </w:rPr>
              <w:t>120</w:t>
            </w:r>
          </w:p>
        </w:tc>
      </w:tr>
      <w:tr w14:paraId="0792F0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3E53BAB0">
            <w:pPr>
              <w:pStyle w:val="92"/>
              <w:rPr>
                <w:color w:val="auto"/>
                <w:highlight w:val="none"/>
                <w:u w:val="none"/>
              </w:rPr>
            </w:pPr>
            <w:r>
              <w:rPr>
                <w:color w:val="auto"/>
                <w:highlight w:val="none"/>
                <w:u w:val="none"/>
              </w:rPr>
              <w:t>11</w:t>
            </w:r>
          </w:p>
        </w:tc>
        <w:tc>
          <w:tcPr>
            <w:tcW w:w="1235" w:type="pct"/>
            <w:tcBorders>
              <w:top w:val="single" w:color="auto" w:sz="6" w:space="0"/>
              <w:left w:val="single" w:color="auto" w:sz="4" w:space="0"/>
              <w:bottom w:val="single" w:color="auto" w:sz="6" w:space="0"/>
              <w:right w:val="single" w:color="auto" w:sz="4" w:space="0"/>
            </w:tcBorders>
            <w:vAlign w:val="center"/>
          </w:tcPr>
          <w:p w14:paraId="2D2DD465">
            <w:pPr>
              <w:pStyle w:val="92"/>
              <w:rPr>
                <w:color w:val="auto"/>
                <w:highlight w:val="none"/>
                <w:u w:val="none"/>
              </w:rPr>
            </w:pPr>
            <w:r>
              <w:rPr>
                <w:color w:val="auto"/>
                <w:highlight w:val="none"/>
                <w:u w:val="none"/>
              </w:rPr>
              <w:t>1,1-二氯乙烷</w:t>
            </w:r>
          </w:p>
        </w:tc>
        <w:tc>
          <w:tcPr>
            <w:tcW w:w="712" w:type="pct"/>
            <w:tcBorders>
              <w:top w:val="single" w:color="auto" w:sz="6" w:space="0"/>
              <w:left w:val="single" w:color="auto" w:sz="4" w:space="0"/>
              <w:bottom w:val="single" w:color="auto" w:sz="6" w:space="0"/>
            </w:tcBorders>
            <w:vAlign w:val="center"/>
          </w:tcPr>
          <w:p w14:paraId="5239F417">
            <w:pPr>
              <w:pStyle w:val="92"/>
              <w:rPr>
                <w:color w:val="auto"/>
                <w:highlight w:val="none"/>
                <w:u w:val="none"/>
              </w:rPr>
            </w:pPr>
            <w:r>
              <w:rPr>
                <w:color w:val="auto"/>
                <w:highlight w:val="none"/>
                <w:u w:val="none"/>
              </w:rPr>
              <w:t>75-34-3</w:t>
            </w:r>
          </w:p>
        </w:tc>
        <w:tc>
          <w:tcPr>
            <w:tcW w:w="603" w:type="pct"/>
            <w:tcBorders>
              <w:top w:val="single" w:color="auto" w:sz="6" w:space="0"/>
              <w:bottom w:val="single" w:color="auto" w:sz="6" w:space="0"/>
            </w:tcBorders>
            <w:vAlign w:val="center"/>
          </w:tcPr>
          <w:p w14:paraId="1456088D">
            <w:pPr>
              <w:pStyle w:val="92"/>
              <w:rPr>
                <w:color w:val="auto"/>
                <w:highlight w:val="none"/>
                <w:u w:val="none"/>
              </w:rPr>
            </w:pPr>
            <w:r>
              <w:rPr>
                <w:color w:val="auto"/>
                <w:highlight w:val="none"/>
                <w:u w:val="none"/>
              </w:rPr>
              <w:t>3</w:t>
            </w:r>
          </w:p>
        </w:tc>
        <w:tc>
          <w:tcPr>
            <w:tcW w:w="668" w:type="pct"/>
            <w:tcBorders>
              <w:top w:val="single" w:color="auto" w:sz="6" w:space="0"/>
              <w:bottom w:val="single" w:color="auto" w:sz="6" w:space="0"/>
            </w:tcBorders>
            <w:shd w:val="clear" w:color="auto" w:fill="D9D9D9"/>
            <w:vAlign w:val="center"/>
          </w:tcPr>
          <w:p w14:paraId="4392B5CE">
            <w:pPr>
              <w:pStyle w:val="92"/>
              <w:rPr>
                <w:color w:val="auto"/>
                <w:highlight w:val="none"/>
                <w:u w:val="none"/>
              </w:rPr>
            </w:pPr>
            <w:r>
              <w:rPr>
                <w:color w:val="auto"/>
                <w:highlight w:val="none"/>
                <w:u w:val="none"/>
              </w:rPr>
              <w:t>9</w:t>
            </w:r>
          </w:p>
        </w:tc>
        <w:tc>
          <w:tcPr>
            <w:tcW w:w="646" w:type="pct"/>
            <w:tcBorders>
              <w:top w:val="single" w:color="auto" w:sz="6" w:space="0"/>
              <w:bottom w:val="single" w:color="auto" w:sz="6" w:space="0"/>
            </w:tcBorders>
            <w:vAlign w:val="center"/>
          </w:tcPr>
          <w:p w14:paraId="6E557C98">
            <w:pPr>
              <w:pStyle w:val="92"/>
              <w:rPr>
                <w:color w:val="auto"/>
                <w:highlight w:val="none"/>
                <w:u w:val="none"/>
              </w:rPr>
            </w:pPr>
            <w:r>
              <w:rPr>
                <w:color w:val="auto"/>
                <w:highlight w:val="none"/>
                <w:u w:val="none"/>
              </w:rPr>
              <w:t>20</w:t>
            </w:r>
          </w:p>
        </w:tc>
        <w:tc>
          <w:tcPr>
            <w:tcW w:w="613" w:type="pct"/>
            <w:tcBorders>
              <w:top w:val="single" w:color="auto" w:sz="6" w:space="0"/>
              <w:bottom w:val="single" w:color="auto" w:sz="6" w:space="0"/>
              <w:right w:val="single" w:color="auto" w:sz="12" w:space="0"/>
            </w:tcBorders>
            <w:shd w:val="clear" w:color="auto" w:fill="auto"/>
            <w:vAlign w:val="center"/>
          </w:tcPr>
          <w:p w14:paraId="6099CE79">
            <w:pPr>
              <w:pStyle w:val="92"/>
              <w:rPr>
                <w:color w:val="auto"/>
                <w:highlight w:val="none"/>
                <w:u w:val="none"/>
              </w:rPr>
            </w:pPr>
            <w:r>
              <w:rPr>
                <w:color w:val="auto"/>
                <w:highlight w:val="none"/>
                <w:u w:val="none"/>
              </w:rPr>
              <w:t>100</w:t>
            </w:r>
          </w:p>
        </w:tc>
      </w:tr>
      <w:tr w14:paraId="3E652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B21DBC2">
            <w:pPr>
              <w:pStyle w:val="92"/>
              <w:rPr>
                <w:color w:val="auto"/>
                <w:highlight w:val="none"/>
                <w:u w:val="none"/>
              </w:rPr>
            </w:pPr>
            <w:r>
              <w:rPr>
                <w:color w:val="auto"/>
                <w:highlight w:val="none"/>
                <w:u w:val="none"/>
              </w:rPr>
              <w:t>12</w:t>
            </w:r>
          </w:p>
        </w:tc>
        <w:tc>
          <w:tcPr>
            <w:tcW w:w="1235" w:type="pct"/>
            <w:tcBorders>
              <w:top w:val="single" w:color="auto" w:sz="6" w:space="0"/>
              <w:left w:val="single" w:color="auto" w:sz="4" w:space="0"/>
              <w:bottom w:val="single" w:color="auto" w:sz="6" w:space="0"/>
              <w:right w:val="single" w:color="auto" w:sz="4" w:space="0"/>
            </w:tcBorders>
            <w:vAlign w:val="center"/>
          </w:tcPr>
          <w:p w14:paraId="4CF87938">
            <w:pPr>
              <w:pStyle w:val="92"/>
              <w:rPr>
                <w:color w:val="auto"/>
                <w:highlight w:val="none"/>
                <w:u w:val="none"/>
              </w:rPr>
            </w:pPr>
            <w:r>
              <w:rPr>
                <w:color w:val="auto"/>
                <w:highlight w:val="none"/>
                <w:u w:val="none"/>
              </w:rPr>
              <w:t>1,2-二氯乙烷</w:t>
            </w:r>
          </w:p>
        </w:tc>
        <w:tc>
          <w:tcPr>
            <w:tcW w:w="712" w:type="pct"/>
            <w:tcBorders>
              <w:top w:val="single" w:color="auto" w:sz="6" w:space="0"/>
              <w:left w:val="single" w:color="auto" w:sz="4" w:space="0"/>
              <w:bottom w:val="single" w:color="auto" w:sz="6" w:space="0"/>
            </w:tcBorders>
            <w:vAlign w:val="center"/>
          </w:tcPr>
          <w:p w14:paraId="734F27B7">
            <w:pPr>
              <w:pStyle w:val="92"/>
              <w:rPr>
                <w:color w:val="auto"/>
                <w:highlight w:val="none"/>
                <w:u w:val="none"/>
              </w:rPr>
            </w:pPr>
            <w:r>
              <w:rPr>
                <w:color w:val="auto"/>
                <w:highlight w:val="none"/>
                <w:u w:val="none"/>
              </w:rPr>
              <w:t>107-06-2</w:t>
            </w:r>
          </w:p>
        </w:tc>
        <w:tc>
          <w:tcPr>
            <w:tcW w:w="603" w:type="pct"/>
            <w:tcBorders>
              <w:top w:val="single" w:color="auto" w:sz="6" w:space="0"/>
              <w:bottom w:val="single" w:color="auto" w:sz="6" w:space="0"/>
            </w:tcBorders>
            <w:vAlign w:val="center"/>
          </w:tcPr>
          <w:p w14:paraId="3EB39789">
            <w:pPr>
              <w:pStyle w:val="92"/>
              <w:rPr>
                <w:color w:val="auto"/>
                <w:highlight w:val="none"/>
                <w:u w:val="none"/>
              </w:rPr>
            </w:pPr>
            <w:r>
              <w:rPr>
                <w:color w:val="auto"/>
                <w:highlight w:val="none"/>
                <w:u w:val="none"/>
              </w:rPr>
              <w:t>0.52</w:t>
            </w:r>
          </w:p>
        </w:tc>
        <w:tc>
          <w:tcPr>
            <w:tcW w:w="668" w:type="pct"/>
            <w:tcBorders>
              <w:top w:val="single" w:color="auto" w:sz="6" w:space="0"/>
              <w:bottom w:val="single" w:color="auto" w:sz="6" w:space="0"/>
            </w:tcBorders>
            <w:shd w:val="clear" w:color="auto" w:fill="D9D9D9"/>
            <w:vAlign w:val="center"/>
          </w:tcPr>
          <w:p w14:paraId="0AC92695">
            <w:pPr>
              <w:pStyle w:val="92"/>
              <w:rPr>
                <w:color w:val="auto"/>
                <w:highlight w:val="none"/>
                <w:u w:val="none"/>
              </w:rPr>
            </w:pPr>
            <w:r>
              <w:rPr>
                <w:color w:val="auto"/>
                <w:highlight w:val="none"/>
                <w:u w:val="none"/>
              </w:rPr>
              <w:t>5</w:t>
            </w:r>
          </w:p>
        </w:tc>
        <w:tc>
          <w:tcPr>
            <w:tcW w:w="646" w:type="pct"/>
            <w:tcBorders>
              <w:top w:val="single" w:color="auto" w:sz="6" w:space="0"/>
              <w:bottom w:val="single" w:color="auto" w:sz="6" w:space="0"/>
            </w:tcBorders>
            <w:vAlign w:val="center"/>
          </w:tcPr>
          <w:p w14:paraId="61D9E45D">
            <w:pPr>
              <w:pStyle w:val="92"/>
              <w:rPr>
                <w:color w:val="auto"/>
                <w:highlight w:val="none"/>
                <w:u w:val="none"/>
              </w:rPr>
            </w:pPr>
            <w:r>
              <w:rPr>
                <w:color w:val="auto"/>
                <w:highlight w:val="none"/>
                <w:u w:val="none"/>
              </w:rPr>
              <w:t>6</w:t>
            </w:r>
          </w:p>
        </w:tc>
        <w:tc>
          <w:tcPr>
            <w:tcW w:w="613" w:type="pct"/>
            <w:tcBorders>
              <w:top w:val="single" w:color="auto" w:sz="6" w:space="0"/>
              <w:bottom w:val="single" w:color="auto" w:sz="6" w:space="0"/>
              <w:right w:val="single" w:color="auto" w:sz="12" w:space="0"/>
            </w:tcBorders>
            <w:shd w:val="clear" w:color="auto" w:fill="auto"/>
            <w:vAlign w:val="center"/>
          </w:tcPr>
          <w:p w14:paraId="7F1AB380">
            <w:pPr>
              <w:pStyle w:val="92"/>
              <w:rPr>
                <w:color w:val="auto"/>
                <w:highlight w:val="none"/>
                <w:u w:val="none"/>
              </w:rPr>
            </w:pPr>
            <w:r>
              <w:rPr>
                <w:color w:val="auto"/>
                <w:highlight w:val="none"/>
                <w:u w:val="none"/>
              </w:rPr>
              <w:t>21</w:t>
            </w:r>
          </w:p>
        </w:tc>
      </w:tr>
      <w:tr w14:paraId="14AF4A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ACA37B9">
            <w:pPr>
              <w:pStyle w:val="92"/>
              <w:rPr>
                <w:color w:val="auto"/>
                <w:highlight w:val="none"/>
                <w:u w:val="none"/>
              </w:rPr>
            </w:pPr>
            <w:r>
              <w:rPr>
                <w:color w:val="auto"/>
                <w:highlight w:val="none"/>
                <w:u w:val="none"/>
              </w:rPr>
              <w:t>13</w:t>
            </w:r>
          </w:p>
        </w:tc>
        <w:tc>
          <w:tcPr>
            <w:tcW w:w="1235" w:type="pct"/>
            <w:tcBorders>
              <w:top w:val="single" w:color="auto" w:sz="6" w:space="0"/>
              <w:left w:val="single" w:color="auto" w:sz="4" w:space="0"/>
              <w:bottom w:val="single" w:color="auto" w:sz="6" w:space="0"/>
              <w:right w:val="single" w:color="auto" w:sz="4" w:space="0"/>
            </w:tcBorders>
            <w:vAlign w:val="center"/>
          </w:tcPr>
          <w:p w14:paraId="4AC88AAD">
            <w:pPr>
              <w:pStyle w:val="92"/>
              <w:rPr>
                <w:color w:val="auto"/>
                <w:highlight w:val="none"/>
                <w:u w:val="none"/>
              </w:rPr>
            </w:pPr>
            <w:r>
              <w:rPr>
                <w:color w:val="auto"/>
                <w:highlight w:val="none"/>
                <w:u w:val="none"/>
              </w:rPr>
              <w:t>1,1-二氯乙烯</w:t>
            </w:r>
          </w:p>
        </w:tc>
        <w:tc>
          <w:tcPr>
            <w:tcW w:w="712" w:type="pct"/>
            <w:tcBorders>
              <w:top w:val="single" w:color="auto" w:sz="6" w:space="0"/>
              <w:left w:val="single" w:color="auto" w:sz="4" w:space="0"/>
              <w:bottom w:val="single" w:color="auto" w:sz="6" w:space="0"/>
            </w:tcBorders>
            <w:vAlign w:val="center"/>
          </w:tcPr>
          <w:p w14:paraId="0A7CD9DB">
            <w:pPr>
              <w:pStyle w:val="92"/>
              <w:rPr>
                <w:color w:val="auto"/>
                <w:highlight w:val="none"/>
                <w:u w:val="none"/>
              </w:rPr>
            </w:pPr>
            <w:r>
              <w:rPr>
                <w:color w:val="auto"/>
                <w:highlight w:val="none"/>
                <w:u w:val="none"/>
              </w:rPr>
              <w:t>75-35-4</w:t>
            </w:r>
          </w:p>
        </w:tc>
        <w:tc>
          <w:tcPr>
            <w:tcW w:w="603" w:type="pct"/>
            <w:tcBorders>
              <w:top w:val="single" w:color="auto" w:sz="6" w:space="0"/>
              <w:bottom w:val="single" w:color="auto" w:sz="6" w:space="0"/>
            </w:tcBorders>
            <w:vAlign w:val="center"/>
          </w:tcPr>
          <w:p w14:paraId="72BE5337">
            <w:pPr>
              <w:pStyle w:val="92"/>
              <w:rPr>
                <w:color w:val="auto"/>
                <w:highlight w:val="none"/>
                <w:u w:val="none"/>
              </w:rPr>
            </w:pPr>
            <w:r>
              <w:rPr>
                <w:color w:val="auto"/>
                <w:highlight w:val="none"/>
                <w:u w:val="none"/>
              </w:rPr>
              <w:t>12</w:t>
            </w:r>
          </w:p>
        </w:tc>
        <w:tc>
          <w:tcPr>
            <w:tcW w:w="668" w:type="pct"/>
            <w:tcBorders>
              <w:top w:val="single" w:color="auto" w:sz="6" w:space="0"/>
              <w:bottom w:val="single" w:color="auto" w:sz="6" w:space="0"/>
            </w:tcBorders>
            <w:shd w:val="clear" w:color="auto" w:fill="D9D9D9"/>
            <w:vAlign w:val="center"/>
          </w:tcPr>
          <w:p w14:paraId="0A8B48B7">
            <w:pPr>
              <w:pStyle w:val="92"/>
              <w:rPr>
                <w:color w:val="auto"/>
                <w:highlight w:val="none"/>
                <w:u w:val="none"/>
              </w:rPr>
            </w:pPr>
            <w:r>
              <w:rPr>
                <w:color w:val="auto"/>
                <w:highlight w:val="none"/>
                <w:u w:val="none"/>
              </w:rPr>
              <w:t>66</w:t>
            </w:r>
          </w:p>
        </w:tc>
        <w:tc>
          <w:tcPr>
            <w:tcW w:w="646" w:type="pct"/>
            <w:tcBorders>
              <w:top w:val="single" w:color="auto" w:sz="6" w:space="0"/>
              <w:bottom w:val="single" w:color="auto" w:sz="6" w:space="0"/>
            </w:tcBorders>
            <w:vAlign w:val="center"/>
          </w:tcPr>
          <w:p w14:paraId="1C713EF8">
            <w:pPr>
              <w:pStyle w:val="92"/>
              <w:rPr>
                <w:color w:val="auto"/>
                <w:highlight w:val="none"/>
                <w:u w:val="none"/>
              </w:rPr>
            </w:pPr>
            <w:r>
              <w:rPr>
                <w:color w:val="auto"/>
                <w:highlight w:val="none"/>
                <w:u w:val="none"/>
              </w:rPr>
              <w:t>40</w:t>
            </w:r>
          </w:p>
        </w:tc>
        <w:tc>
          <w:tcPr>
            <w:tcW w:w="613" w:type="pct"/>
            <w:tcBorders>
              <w:top w:val="single" w:color="auto" w:sz="6" w:space="0"/>
              <w:bottom w:val="single" w:color="auto" w:sz="6" w:space="0"/>
              <w:right w:val="single" w:color="auto" w:sz="12" w:space="0"/>
            </w:tcBorders>
            <w:shd w:val="clear" w:color="auto" w:fill="auto"/>
            <w:vAlign w:val="center"/>
          </w:tcPr>
          <w:p w14:paraId="3F896332">
            <w:pPr>
              <w:pStyle w:val="92"/>
              <w:rPr>
                <w:color w:val="auto"/>
                <w:highlight w:val="none"/>
                <w:u w:val="none"/>
              </w:rPr>
            </w:pPr>
            <w:r>
              <w:rPr>
                <w:color w:val="auto"/>
                <w:highlight w:val="none"/>
                <w:u w:val="none"/>
              </w:rPr>
              <w:t>200</w:t>
            </w:r>
          </w:p>
        </w:tc>
      </w:tr>
      <w:tr w14:paraId="0ACDA4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3C4730E">
            <w:pPr>
              <w:pStyle w:val="92"/>
              <w:rPr>
                <w:color w:val="auto"/>
                <w:highlight w:val="none"/>
                <w:u w:val="none"/>
              </w:rPr>
            </w:pPr>
            <w:r>
              <w:rPr>
                <w:color w:val="auto"/>
                <w:highlight w:val="none"/>
                <w:u w:val="none"/>
              </w:rPr>
              <w:t>14</w:t>
            </w:r>
          </w:p>
        </w:tc>
        <w:tc>
          <w:tcPr>
            <w:tcW w:w="1235" w:type="pct"/>
            <w:tcBorders>
              <w:top w:val="single" w:color="auto" w:sz="6" w:space="0"/>
              <w:left w:val="single" w:color="auto" w:sz="4" w:space="0"/>
              <w:bottom w:val="single" w:color="auto" w:sz="6" w:space="0"/>
              <w:right w:val="single" w:color="auto" w:sz="4" w:space="0"/>
            </w:tcBorders>
            <w:vAlign w:val="center"/>
          </w:tcPr>
          <w:p w14:paraId="427EAC70">
            <w:pPr>
              <w:pStyle w:val="92"/>
              <w:rPr>
                <w:color w:val="auto"/>
                <w:highlight w:val="none"/>
                <w:u w:val="none"/>
              </w:rPr>
            </w:pPr>
            <w:r>
              <w:rPr>
                <w:color w:val="auto"/>
                <w:highlight w:val="none"/>
                <w:u w:val="none"/>
              </w:rPr>
              <w:t>顺-1,2-二氯乙烯</w:t>
            </w:r>
          </w:p>
        </w:tc>
        <w:tc>
          <w:tcPr>
            <w:tcW w:w="712" w:type="pct"/>
            <w:tcBorders>
              <w:top w:val="single" w:color="auto" w:sz="6" w:space="0"/>
              <w:left w:val="single" w:color="auto" w:sz="4" w:space="0"/>
              <w:bottom w:val="single" w:color="auto" w:sz="6" w:space="0"/>
            </w:tcBorders>
            <w:vAlign w:val="center"/>
          </w:tcPr>
          <w:p w14:paraId="10AA220D">
            <w:pPr>
              <w:pStyle w:val="92"/>
              <w:rPr>
                <w:color w:val="auto"/>
                <w:highlight w:val="none"/>
                <w:u w:val="none"/>
              </w:rPr>
            </w:pPr>
            <w:r>
              <w:rPr>
                <w:color w:val="auto"/>
                <w:highlight w:val="none"/>
                <w:u w:val="none"/>
              </w:rPr>
              <w:t>156-59-2</w:t>
            </w:r>
          </w:p>
        </w:tc>
        <w:tc>
          <w:tcPr>
            <w:tcW w:w="603" w:type="pct"/>
            <w:tcBorders>
              <w:top w:val="single" w:color="auto" w:sz="6" w:space="0"/>
              <w:bottom w:val="single" w:color="auto" w:sz="6" w:space="0"/>
            </w:tcBorders>
            <w:vAlign w:val="center"/>
          </w:tcPr>
          <w:p w14:paraId="69E90CA2">
            <w:pPr>
              <w:pStyle w:val="92"/>
              <w:rPr>
                <w:color w:val="auto"/>
                <w:highlight w:val="none"/>
                <w:u w:val="none"/>
              </w:rPr>
            </w:pPr>
            <w:r>
              <w:rPr>
                <w:color w:val="auto"/>
                <w:highlight w:val="none"/>
                <w:u w:val="none"/>
              </w:rPr>
              <w:t>66</w:t>
            </w:r>
          </w:p>
        </w:tc>
        <w:tc>
          <w:tcPr>
            <w:tcW w:w="668" w:type="pct"/>
            <w:tcBorders>
              <w:top w:val="single" w:color="auto" w:sz="6" w:space="0"/>
              <w:bottom w:val="single" w:color="auto" w:sz="6" w:space="0"/>
            </w:tcBorders>
            <w:shd w:val="clear" w:color="auto" w:fill="D9D9D9"/>
            <w:vAlign w:val="center"/>
          </w:tcPr>
          <w:p w14:paraId="2C96A0BC">
            <w:pPr>
              <w:pStyle w:val="92"/>
              <w:rPr>
                <w:color w:val="auto"/>
                <w:highlight w:val="none"/>
                <w:u w:val="none"/>
              </w:rPr>
            </w:pPr>
            <w:r>
              <w:rPr>
                <w:color w:val="auto"/>
                <w:highlight w:val="none"/>
                <w:u w:val="none"/>
              </w:rPr>
              <w:t>596</w:t>
            </w:r>
          </w:p>
        </w:tc>
        <w:tc>
          <w:tcPr>
            <w:tcW w:w="646" w:type="pct"/>
            <w:tcBorders>
              <w:top w:val="single" w:color="auto" w:sz="6" w:space="0"/>
              <w:bottom w:val="single" w:color="auto" w:sz="6" w:space="0"/>
            </w:tcBorders>
            <w:vAlign w:val="center"/>
          </w:tcPr>
          <w:p w14:paraId="29A105C5">
            <w:pPr>
              <w:pStyle w:val="92"/>
              <w:rPr>
                <w:color w:val="auto"/>
                <w:highlight w:val="none"/>
                <w:u w:val="none"/>
              </w:rPr>
            </w:pPr>
            <w:r>
              <w:rPr>
                <w:color w:val="auto"/>
                <w:highlight w:val="none"/>
                <w:u w:val="none"/>
              </w:rPr>
              <w:t>200</w:t>
            </w:r>
          </w:p>
        </w:tc>
        <w:tc>
          <w:tcPr>
            <w:tcW w:w="613" w:type="pct"/>
            <w:tcBorders>
              <w:top w:val="single" w:color="auto" w:sz="6" w:space="0"/>
              <w:bottom w:val="single" w:color="auto" w:sz="6" w:space="0"/>
              <w:right w:val="single" w:color="auto" w:sz="12" w:space="0"/>
            </w:tcBorders>
            <w:shd w:val="clear" w:color="auto" w:fill="auto"/>
            <w:vAlign w:val="center"/>
          </w:tcPr>
          <w:p w14:paraId="21671642">
            <w:pPr>
              <w:pStyle w:val="92"/>
              <w:rPr>
                <w:color w:val="auto"/>
                <w:highlight w:val="none"/>
                <w:u w:val="none"/>
              </w:rPr>
            </w:pPr>
            <w:r>
              <w:rPr>
                <w:color w:val="auto"/>
                <w:highlight w:val="none"/>
                <w:u w:val="none"/>
              </w:rPr>
              <w:t>2000</w:t>
            </w:r>
          </w:p>
        </w:tc>
      </w:tr>
      <w:tr w14:paraId="6A1101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0E2FFAB1">
            <w:pPr>
              <w:pStyle w:val="92"/>
              <w:rPr>
                <w:color w:val="auto"/>
                <w:highlight w:val="none"/>
                <w:u w:val="none"/>
              </w:rPr>
            </w:pPr>
            <w:r>
              <w:rPr>
                <w:color w:val="auto"/>
                <w:highlight w:val="none"/>
                <w:u w:val="none"/>
              </w:rPr>
              <w:t>15</w:t>
            </w:r>
          </w:p>
        </w:tc>
        <w:tc>
          <w:tcPr>
            <w:tcW w:w="1235" w:type="pct"/>
            <w:tcBorders>
              <w:top w:val="single" w:color="auto" w:sz="6" w:space="0"/>
              <w:left w:val="single" w:color="auto" w:sz="4" w:space="0"/>
              <w:bottom w:val="single" w:color="auto" w:sz="6" w:space="0"/>
              <w:right w:val="single" w:color="auto" w:sz="4" w:space="0"/>
            </w:tcBorders>
            <w:vAlign w:val="center"/>
          </w:tcPr>
          <w:p w14:paraId="61B116DD">
            <w:pPr>
              <w:pStyle w:val="92"/>
              <w:rPr>
                <w:color w:val="auto"/>
                <w:highlight w:val="none"/>
                <w:u w:val="none"/>
              </w:rPr>
            </w:pPr>
            <w:r>
              <w:rPr>
                <w:color w:val="auto"/>
                <w:highlight w:val="none"/>
                <w:u w:val="none"/>
              </w:rPr>
              <w:t>反-1,2-二氯乙烯</w:t>
            </w:r>
          </w:p>
        </w:tc>
        <w:tc>
          <w:tcPr>
            <w:tcW w:w="712" w:type="pct"/>
            <w:tcBorders>
              <w:top w:val="single" w:color="auto" w:sz="6" w:space="0"/>
              <w:left w:val="single" w:color="auto" w:sz="4" w:space="0"/>
              <w:bottom w:val="single" w:color="auto" w:sz="6" w:space="0"/>
            </w:tcBorders>
            <w:vAlign w:val="center"/>
          </w:tcPr>
          <w:p w14:paraId="61C70FD3">
            <w:pPr>
              <w:pStyle w:val="92"/>
              <w:rPr>
                <w:color w:val="auto"/>
                <w:highlight w:val="none"/>
                <w:u w:val="none"/>
              </w:rPr>
            </w:pPr>
            <w:r>
              <w:rPr>
                <w:color w:val="auto"/>
                <w:highlight w:val="none"/>
                <w:u w:val="none"/>
              </w:rPr>
              <w:t>156-60-5</w:t>
            </w:r>
          </w:p>
        </w:tc>
        <w:tc>
          <w:tcPr>
            <w:tcW w:w="603" w:type="pct"/>
            <w:tcBorders>
              <w:top w:val="single" w:color="auto" w:sz="6" w:space="0"/>
              <w:bottom w:val="single" w:color="auto" w:sz="6" w:space="0"/>
            </w:tcBorders>
            <w:vAlign w:val="center"/>
          </w:tcPr>
          <w:p w14:paraId="2CB6EEF1">
            <w:pPr>
              <w:pStyle w:val="92"/>
              <w:rPr>
                <w:color w:val="auto"/>
                <w:highlight w:val="none"/>
                <w:u w:val="none"/>
              </w:rPr>
            </w:pPr>
            <w:r>
              <w:rPr>
                <w:color w:val="auto"/>
                <w:highlight w:val="none"/>
                <w:u w:val="none"/>
              </w:rPr>
              <w:t>10</w:t>
            </w:r>
          </w:p>
        </w:tc>
        <w:tc>
          <w:tcPr>
            <w:tcW w:w="668" w:type="pct"/>
            <w:tcBorders>
              <w:top w:val="single" w:color="auto" w:sz="6" w:space="0"/>
              <w:bottom w:val="single" w:color="auto" w:sz="6" w:space="0"/>
            </w:tcBorders>
            <w:shd w:val="clear" w:color="auto" w:fill="D9D9D9"/>
            <w:vAlign w:val="center"/>
          </w:tcPr>
          <w:p w14:paraId="00F94C80">
            <w:pPr>
              <w:pStyle w:val="92"/>
              <w:rPr>
                <w:color w:val="auto"/>
                <w:highlight w:val="none"/>
                <w:u w:val="none"/>
              </w:rPr>
            </w:pPr>
            <w:r>
              <w:rPr>
                <w:color w:val="auto"/>
                <w:highlight w:val="none"/>
                <w:u w:val="none"/>
              </w:rPr>
              <w:t>54</w:t>
            </w:r>
          </w:p>
        </w:tc>
        <w:tc>
          <w:tcPr>
            <w:tcW w:w="646" w:type="pct"/>
            <w:tcBorders>
              <w:top w:val="single" w:color="auto" w:sz="6" w:space="0"/>
              <w:bottom w:val="single" w:color="auto" w:sz="6" w:space="0"/>
            </w:tcBorders>
            <w:vAlign w:val="center"/>
          </w:tcPr>
          <w:p w14:paraId="76F87FC5">
            <w:pPr>
              <w:pStyle w:val="92"/>
              <w:rPr>
                <w:color w:val="auto"/>
                <w:highlight w:val="none"/>
                <w:u w:val="none"/>
              </w:rPr>
            </w:pPr>
            <w:r>
              <w:rPr>
                <w:color w:val="auto"/>
                <w:highlight w:val="none"/>
                <w:u w:val="none"/>
              </w:rPr>
              <w:t>31</w:t>
            </w:r>
          </w:p>
        </w:tc>
        <w:tc>
          <w:tcPr>
            <w:tcW w:w="613" w:type="pct"/>
            <w:tcBorders>
              <w:top w:val="single" w:color="auto" w:sz="6" w:space="0"/>
              <w:bottom w:val="single" w:color="auto" w:sz="6" w:space="0"/>
              <w:right w:val="single" w:color="auto" w:sz="12" w:space="0"/>
            </w:tcBorders>
            <w:shd w:val="clear" w:color="auto" w:fill="auto"/>
            <w:vAlign w:val="center"/>
          </w:tcPr>
          <w:p w14:paraId="364AAE64">
            <w:pPr>
              <w:pStyle w:val="92"/>
              <w:rPr>
                <w:color w:val="auto"/>
                <w:highlight w:val="none"/>
                <w:u w:val="none"/>
              </w:rPr>
            </w:pPr>
            <w:r>
              <w:rPr>
                <w:color w:val="auto"/>
                <w:highlight w:val="none"/>
                <w:u w:val="none"/>
              </w:rPr>
              <w:t>163</w:t>
            </w:r>
          </w:p>
        </w:tc>
      </w:tr>
      <w:tr w14:paraId="5F45D9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963326F">
            <w:pPr>
              <w:pStyle w:val="92"/>
              <w:rPr>
                <w:color w:val="auto"/>
                <w:highlight w:val="none"/>
                <w:u w:val="none"/>
              </w:rPr>
            </w:pPr>
            <w:r>
              <w:rPr>
                <w:color w:val="auto"/>
                <w:highlight w:val="none"/>
                <w:u w:val="none"/>
              </w:rPr>
              <w:t>16</w:t>
            </w:r>
          </w:p>
        </w:tc>
        <w:tc>
          <w:tcPr>
            <w:tcW w:w="1235" w:type="pct"/>
            <w:tcBorders>
              <w:top w:val="single" w:color="auto" w:sz="6" w:space="0"/>
              <w:left w:val="single" w:color="auto" w:sz="4" w:space="0"/>
              <w:bottom w:val="single" w:color="auto" w:sz="6" w:space="0"/>
              <w:right w:val="single" w:color="auto" w:sz="4" w:space="0"/>
            </w:tcBorders>
            <w:vAlign w:val="center"/>
          </w:tcPr>
          <w:p w14:paraId="5D92A1D1">
            <w:pPr>
              <w:pStyle w:val="92"/>
              <w:rPr>
                <w:color w:val="auto"/>
                <w:highlight w:val="none"/>
                <w:u w:val="none"/>
              </w:rPr>
            </w:pPr>
            <w:r>
              <w:rPr>
                <w:color w:val="auto"/>
                <w:highlight w:val="none"/>
                <w:u w:val="none"/>
              </w:rPr>
              <w:t>二氯甲烷</w:t>
            </w:r>
          </w:p>
        </w:tc>
        <w:tc>
          <w:tcPr>
            <w:tcW w:w="712" w:type="pct"/>
            <w:tcBorders>
              <w:top w:val="single" w:color="auto" w:sz="6" w:space="0"/>
              <w:left w:val="single" w:color="auto" w:sz="4" w:space="0"/>
              <w:bottom w:val="single" w:color="auto" w:sz="6" w:space="0"/>
            </w:tcBorders>
            <w:vAlign w:val="center"/>
          </w:tcPr>
          <w:p w14:paraId="5D56B26E">
            <w:pPr>
              <w:pStyle w:val="92"/>
              <w:rPr>
                <w:color w:val="auto"/>
                <w:highlight w:val="none"/>
                <w:u w:val="none"/>
              </w:rPr>
            </w:pPr>
            <w:r>
              <w:rPr>
                <w:color w:val="auto"/>
                <w:highlight w:val="none"/>
                <w:u w:val="none"/>
              </w:rPr>
              <w:t>75-09-2</w:t>
            </w:r>
          </w:p>
        </w:tc>
        <w:tc>
          <w:tcPr>
            <w:tcW w:w="603" w:type="pct"/>
            <w:tcBorders>
              <w:top w:val="single" w:color="auto" w:sz="6" w:space="0"/>
              <w:bottom w:val="single" w:color="auto" w:sz="6" w:space="0"/>
            </w:tcBorders>
            <w:vAlign w:val="center"/>
          </w:tcPr>
          <w:p w14:paraId="62080831">
            <w:pPr>
              <w:pStyle w:val="92"/>
              <w:rPr>
                <w:color w:val="auto"/>
                <w:highlight w:val="none"/>
                <w:u w:val="none"/>
              </w:rPr>
            </w:pPr>
            <w:r>
              <w:rPr>
                <w:color w:val="auto"/>
                <w:highlight w:val="none"/>
                <w:u w:val="none"/>
              </w:rPr>
              <w:t>94</w:t>
            </w:r>
          </w:p>
        </w:tc>
        <w:tc>
          <w:tcPr>
            <w:tcW w:w="668" w:type="pct"/>
            <w:tcBorders>
              <w:top w:val="single" w:color="auto" w:sz="6" w:space="0"/>
              <w:bottom w:val="single" w:color="auto" w:sz="6" w:space="0"/>
            </w:tcBorders>
            <w:shd w:val="clear" w:color="auto" w:fill="D9D9D9"/>
            <w:vAlign w:val="center"/>
          </w:tcPr>
          <w:p w14:paraId="692F1EA8">
            <w:pPr>
              <w:pStyle w:val="92"/>
              <w:rPr>
                <w:color w:val="auto"/>
                <w:highlight w:val="none"/>
                <w:u w:val="none"/>
              </w:rPr>
            </w:pPr>
            <w:r>
              <w:rPr>
                <w:color w:val="auto"/>
                <w:highlight w:val="none"/>
                <w:u w:val="none"/>
              </w:rPr>
              <w:t>616</w:t>
            </w:r>
          </w:p>
        </w:tc>
        <w:tc>
          <w:tcPr>
            <w:tcW w:w="646" w:type="pct"/>
            <w:tcBorders>
              <w:top w:val="single" w:color="auto" w:sz="6" w:space="0"/>
              <w:bottom w:val="single" w:color="auto" w:sz="6" w:space="0"/>
            </w:tcBorders>
            <w:vAlign w:val="center"/>
          </w:tcPr>
          <w:p w14:paraId="4FB81196">
            <w:pPr>
              <w:pStyle w:val="92"/>
              <w:rPr>
                <w:color w:val="auto"/>
                <w:highlight w:val="none"/>
                <w:u w:val="none"/>
              </w:rPr>
            </w:pPr>
            <w:r>
              <w:rPr>
                <w:color w:val="auto"/>
                <w:highlight w:val="none"/>
                <w:u w:val="none"/>
              </w:rPr>
              <w:t>300</w:t>
            </w:r>
          </w:p>
        </w:tc>
        <w:tc>
          <w:tcPr>
            <w:tcW w:w="613" w:type="pct"/>
            <w:tcBorders>
              <w:top w:val="single" w:color="auto" w:sz="6" w:space="0"/>
              <w:bottom w:val="single" w:color="auto" w:sz="6" w:space="0"/>
              <w:right w:val="single" w:color="auto" w:sz="12" w:space="0"/>
            </w:tcBorders>
            <w:shd w:val="clear" w:color="auto" w:fill="auto"/>
            <w:vAlign w:val="center"/>
          </w:tcPr>
          <w:p w14:paraId="63877950">
            <w:pPr>
              <w:pStyle w:val="92"/>
              <w:rPr>
                <w:color w:val="auto"/>
                <w:highlight w:val="none"/>
                <w:u w:val="none"/>
              </w:rPr>
            </w:pPr>
            <w:r>
              <w:rPr>
                <w:color w:val="auto"/>
                <w:highlight w:val="none"/>
                <w:u w:val="none"/>
              </w:rPr>
              <w:t>2000</w:t>
            </w:r>
          </w:p>
        </w:tc>
      </w:tr>
      <w:tr w14:paraId="3DED8C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5B19750">
            <w:pPr>
              <w:pStyle w:val="92"/>
              <w:rPr>
                <w:color w:val="auto"/>
                <w:highlight w:val="none"/>
                <w:u w:val="none"/>
              </w:rPr>
            </w:pPr>
            <w:r>
              <w:rPr>
                <w:color w:val="auto"/>
                <w:highlight w:val="none"/>
                <w:u w:val="none"/>
              </w:rPr>
              <w:t>17</w:t>
            </w:r>
          </w:p>
        </w:tc>
        <w:tc>
          <w:tcPr>
            <w:tcW w:w="1235" w:type="pct"/>
            <w:tcBorders>
              <w:top w:val="single" w:color="auto" w:sz="6" w:space="0"/>
              <w:left w:val="single" w:color="auto" w:sz="4" w:space="0"/>
              <w:bottom w:val="single" w:color="auto" w:sz="6" w:space="0"/>
              <w:right w:val="single" w:color="auto" w:sz="4" w:space="0"/>
            </w:tcBorders>
            <w:vAlign w:val="center"/>
          </w:tcPr>
          <w:p w14:paraId="5906A490">
            <w:pPr>
              <w:pStyle w:val="92"/>
              <w:rPr>
                <w:color w:val="auto"/>
                <w:highlight w:val="none"/>
                <w:u w:val="none"/>
              </w:rPr>
            </w:pPr>
            <w:r>
              <w:rPr>
                <w:color w:val="auto"/>
                <w:highlight w:val="none"/>
                <w:u w:val="none"/>
              </w:rPr>
              <w:t>1,2-二氯丙烷</w:t>
            </w:r>
          </w:p>
        </w:tc>
        <w:tc>
          <w:tcPr>
            <w:tcW w:w="712" w:type="pct"/>
            <w:tcBorders>
              <w:top w:val="single" w:color="auto" w:sz="6" w:space="0"/>
              <w:left w:val="single" w:color="auto" w:sz="4" w:space="0"/>
              <w:bottom w:val="single" w:color="auto" w:sz="6" w:space="0"/>
            </w:tcBorders>
            <w:vAlign w:val="center"/>
          </w:tcPr>
          <w:p w14:paraId="6EE4139B">
            <w:pPr>
              <w:pStyle w:val="92"/>
              <w:rPr>
                <w:color w:val="auto"/>
                <w:highlight w:val="none"/>
                <w:u w:val="none"/>
              </w:rPr>
            </w:pPr>
            <w:r>
              <w:rPr>
                <w:color w:val="auto"/>
                <w:highlight w:val="none"/>
                <w:u w:val="none"/>
              </w:rPr>
              <w:t>78-87-5</w:t>
            </w:r>
          </w:p>
        </w:tc>
        <w:tc>
          <w:tcPr>
            <w:tcW w:w="603" w:type="pct"/>
            <w:tcBorders>
              <w:top w:val="single" w:color="auto" w:sz="6" w:space="0"/>
              <w:bottom w:val="single" w:color="auto" w:sz="6" w:space="0"/>
            </w:tcBorders>
            <w:vAlign w:val="center"/>
          </w:tcPr>
          <w:p w14:paraId="3ED125B5">
            <w:pPr>
              <w:pStyle w:val="92"/>
              <w:rPr>
                <w:color w:val="auto"/>
                <w:highlight w:val="none"/>
                <w:u w:val="none"/>
              </w:rPr>
            </w:pPr>
            <w:r>
              <w:rPr>
                <w:color w:val="auto"/>
                <w:highlight w:val="none"/>
                <w:u w:val="none"/>
              </w:rPr>
              <w:t>1</w:t>
            </w:r>
          </w:p>
        </w:tc>
        <w:tc>
          <w:tcPr>
            <w:tcW w:w="668" w:type="pct"/>
            <w:tcBorders>
              <w:top w:val="single" w:color="auto" w:sz="6" w:space="0"/>
              <w:bottom w:val="single" w:color="auto" w:sz="6" w:space="0"/>
            </w:tcBorders>
            <w:shd w:val="clear" w:color="auto" w:fill="D9D9D9"/>
            <w:vAlign w:val="center"/>
          </w:tcPr>
          <w:p w14:paraId="78A06917">
            <w:pPr>
              <w:pStyle w:val="92"/>
              <w:rPr>
                <w:color w:val="auto"/>
                <w:highlight w:val="none"/>
                <w:u w:val="none"/>
              </w:rPr>
            </w:pPr>
            <w:r>
              <w:rPr>
                <w:color w:val="auto"/>
                <w:highlight w:val="none"/>
                <w:u w:val="none"/>
              </w:rPr>
              <w:t>5</w:t>
            </w:r>
          </w:p>
        </w:tc>
        <w:tc>
          <w:tcPr>
            <w:tcW w:w="646" w:type="pct"/>
            <w:tcBorders>
              <w:top w:val="single" w:color="auto" w:sz="6" w:space="0"/>
              <w:bottom w:val="single" w:color="auto" w:sz="6" w:space="0"/>
            </w:tcBorders>
            <w:vAlign w:val="center"/>
          </w:tcPr>
          <w:p w14:paraId="3CEC9D7A">
            <w:pPr>
              <w:pStyle w:val="92"/>
              <w:rPr>
                <w:color w:val="auto"/>
                <w:highlight w:val="none"/>
                <w:u w:val="none"/>
              </w:rPr>
            </w:pPr>
            <w:r>
              <w:rPr>
                <w:color w:val="auto"/>
                <w:highlight w:val="none"/>
                <w:u w:val="none"/>
              </w:rPr>
              <w:t>5</w:t>
            </w:r>
          </w:p>
        </w:tc>
        <w:tc>
          <w:tcPr>
            <w:tcW w:w="613" w:type="pct"/>
            <w:tcBorders>
              <w:top w:val="single" w:color="auto" w:sz="6" w:space="0"/>
              <w:bottom w:val="single" w:color="auto" w:sz="6" w:space="0"/>
              <w:right w:val="single" w:color="auto" w:sz="12" w:space="0"/>
            </w:tcBorders>
            <w:shd w:val="clear" w:color="auto" w:fill="auto"/>
            <w:vAlign w:val="center"/>
          </w:tcPr>
          <w:p w14:paraId="5C62308E">
            <w:pPr>
              <w:pStyle w:val="92"/>
              <w:rPr>
                <w:color w:val="auto"/>
                <w:highlight w:val="none"/>
                <w:u w:val="none"/>
              </w:rPr>
            </w:pPr>
            <w:r>
              <w:rPr>
                <w:color w:val="auto"/>
                <w:highlight w:val="none"/>
                <w:u w:val="none"/>
              </w:rPr>
              <w:t>47</w:t>
            </w:r>
          </w:p>
        </w:tc>
      </w:tr>
      <w:tr w14:paraId="040242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D2A7D31">
            <w:pPr>
              <w:pStyle w:val="92"/>
              <w:rPr>
                <w:color w:val="auto"/>
                <w:highlight w:val="none"/>
                <w:u w:val="none"/>
              </w:rPr>
            </w:pPr>
            <w:r>
              <w:rPr>
                <w:color w:val="auto"/>
                <w:highlight w:val="none"/>
                <w:u w:val="none"/>
              </w:rPr>
              <w:t>18</w:t>
            </w:r>
          </w:p>
        </w:tc>
        <w:tc>
          <w:tcPr>
            <w:tcW w:w="1235" w:type="pct"/>
            <w:tcBorders>
              <w:top w:val="single" w:color="auto" w:sz="6" w:space="0"/>
              <w:left w:val="single" w:color="auto" w:sz="4" w:space="0"/>
              <w:bottom w:val="single" w:color="auto" w:sz="6" w:space="0"/>
              <w:right w:val="single" w:color="auto" w:sz="4" w:space="0"/>
            </w:tcBorders>
            <w:vAlign w:val="center"/>
          </w:tcPr>
          <w:p w14:paraId="4211AA00">
            <w:pPr>
              <w:pStyle w:val="92"/>
              <w:rPr>
                <w:color w:val="auto"/>
                <w:highlight w:val="none"/>
                <w:u w:val="none"/>
              </w:rPr>
            </w:pPr>
            <w:r>
              <w:rPr>
                <w:color w:val="auto"/>
                <w:highlight w:val="none"/>
                <w:u w:val="none"/>
              </w:rPr>
              <w:t>1,1,1,2-四氯乙烷</w:t>
            </w:r>
          </w:p>
        </w:tc>
        <w:tc>
          <w:tcPr>
            <w:tcW w:w="712" w:type="pct"/>
            <w:tcBorders>
              <w:top w:val="single" w:color="auto" w:sz="6" w:space="0"/>
              <w:left w:val="single" w:color="auto" w:sz="4" w:space="0"/>
              <w:bottom w:val="single" w:color="auto" w:sz="6" w:space="0"/>
            </w:tcBorders>
            <w:vAlign w:val="center"/>
          </w:tcPr>
          <w:p w14:paraId="3AB39CBD">
            <w:pPr>
              <w:pStyle w:val="92"/>
              <w:rPr>
                <w:color w:val="auto"/>
                <w:highlight w:val="none"/>
                <w:u w:val="none"/>
              </w:rPr>
            </w:pPr>
            <w:r>
              <w:rPr>
                <w:color w:val="auto"/>
                <w:highlight w:val="none"/>
                <w:u w:val="none"/>
              </w:rPr>
              <w:t>630-20-6</w:t>
            </w:r>
          </w:p>
        </w:tc>
        <w:tc>
          <w:tcPr>
            <w:tcW w:w="603" w:type="pct"/>
            <w:tcBorders>
              <w:top w:val="single" w:color="auto" w:sz="6" w:space="0"/>
              <w:bottom w:val="single" w:color="auto" w:sz="6" w:space="0"/>
            </w:tcBorders>
            <w:vAlign w:val="center"/>
          </w:tcPr>
          <w:p w14:paraId="1790D73A">
            <w:pPr>
              <w:pStyle w:val="92"/>
              <w:rPr>
                <w:color w:val="auto"/>
                <w:highlight w:val="none"/>
                <w:u w:val="none"/>
              </w:rPr>
            </w:pPr>
            <w:r>
              <w:rPr>
                <w:color w:val="auto"/>
                <w:highlight w:val="none"/>
                <w:u w:val="none"/>
              </w:rPr>
              <w:t>2.6</w:t>
            </w:r>
          </w:p>
        </w:tc>
        <w:tc>
          <w:tcPr>
            <w:tcW w:w="668" w:type="pct"/>
            <w:tcBorders>
              <w:top w:val="single" w:color="auto" w:sz="6" w:space="0"/>
              <w:bottom w:val="single" w:color="auto" w:sz="6" w:space="0"/>
            </w:tcBorders>
            <w:shd w:val="clear" w:color="auto" w:fill="D9D9D9"/>
            <w:vAlign w:val="center"/>
          </w:tcPr>
          <w:p w14:paraId="2A9D9A5F">
            <w:pPr>
              <w:pStyle w:val="92"/>
              <w:rPr>
                <w:color w:val="auto"/>
                <w:highlight w:val="none"/>
                <w:u w:val="none"/>
              </w:rPr>
            </w:pPr>
            <w:r>
              <w:rPr>
                <w:color w:val="auto"/>
                <w:highlight w:val="none"/>
                <w:u w:val="none"/>
              </w:rPr>
              <w:t>10</w:t>
            </w:r>
          </w:p>
        </w:tc>
        <w:tc>
          <w:tcPr>
            <w:tcW w:w="646" w:type="pct"/>
            <w:tcBorders>
              <w:top w:val="single" w:color="auto" w:sz="6" w:space="0"/>
              <w:bottom w:val="single" w:color="auto" w:sz="6" w:space="0"/>
            </w:tcBorders>
            <w:vAlign w:val="center"/>
          </w:tcPr>
          <w:p w14:paraId="7B38013B">
            <w:pPr>
              <w:pStyle w:val="92"/>
              <w:rPr>
                <w:color w:val="auto"/>
                <w:highlight w:val="none"/>
                <w:u w:val="none"/>
              </w:rPr>
            </w:pPr>
            <w:r>
              <w:rPr>
                <w:color w:val="auto"/>
                <w:highlight w:val="none"/>
                <w:u w:val="none"/>
              </w:rPr>
              <w:t>26</w:t>
            </w:r>
          </w:p>
        </w:tc>
        <w:tc>
          <w:tcPr>
            <w:tcW w:w="613" w:type="pct"/>
            <w:tcBorders>
              <w:top w:val="single" w:color="auto" w:sz="6" w:space="0"/>
              <w:bottom w:val="single" w:color="auto" w:sz="6" w:space="0"/>
              <w:right w:val="single" w:color="auto" w:sz="12" w:space="0"/>
            </w:tcBorders>
            <w:shd w:val="clear" w:color="auto" w:fill="auto"/>
            <w:vAlign w:val="center"/>
          </w:tcPr>
          <w:p w14:paraId="2E9422A8">
            <w:pPr>
              <w:pStyle w:val="92"/>
              <w:rPr>
                <w:color w:val="auto"/>
                <w:highlight w:val="none"/>
                <w:u w:val="none"/>
              </w:rPr>
            </w:pPr>
            <w:r>
              <w:rPr>
                <w:color w:val="auto"/>
                <w:highlight w:val="none"/>
                <w:u w:val="none"/>
              </w:rPr>
              <w:t>100</w:t>
            </w:r>
          </w:p>
        </w:tc>
      </w:tr>
      <w:tr w14:paraId="6E4B0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65AAD1F7">
            <w:pPr>
              <w:pStyle w:val="92"/>
              <w:rPr>
                <w:color w:val="auto"/>
                <w:highlight w:val="none"/>
                <w:u w:val="none"/>
              </w:rPr>
            </w:pPr>
            <w:r>
              <w:rPr>
                <w:color w:val="auto"/>
                <w:highlight w:val="none"/>
                <w:u w:val="none"/>
              </w:rPr>
              <w:t>19</w:t>
            </w:r>
          </w:p>
        </w:tc>
        <w:tc>
          <w:tcPr>
            <w:tcW w:w="1235" w:type="pct"/>
            <w:tcBorders>
              <w:top w:val="single" w:color="auto" w:sz="6" w:space="0"/>
              <w:left w:val="single" w:color="auto" w:sz="4" w:space="0"/>
              <w:bottom w:val="single" w:color="auto" w:sz="6" w:space="0"/>
              <w:right w:val="single" w:color="auto" w:sz="4" w:space="0"/>
            </w:tcBorders>
            <w:vAlign w:val="center"/>
          </w:tcPr>
          <w:p w14:paraId="6545D402">
            <w:pPr>
              <w:pStyle w:val="92"/>
              <w:rPr>
                <w:color w:val="auto"/>
                <w:highlight w:val="none"/>
                <w:u w:val="none"/>
              </w:rPr>
            </w:pPr>
            <w:r>
              <w:rPr>
                <w:color w:val="auto"/>
                <w:highlight w:val="none"/>
                <w:u w:val="none"/>
              </w:rPr>
              <w:t>1,1,2,2-四氯乙烷</w:t>
            </w:r>
          </w:p>
        </w:tc>
        <w:tc>
          <w:tcPr>
            <w:tcW w:w="712" w:type="pct"/>
            <w:tcBorders>
              <w:top w:val="single" w:color="auto" w:sz="6" w:space="0"/>
              <w:left w:val="single" w:color="auto" w:sz="4" w:space="0"/>
              <w:bottom w:val="single" w:color="auto" w:sz="6" w:space="0"/>
            </w:tcBorders>
            <w:vAlign w:val="center"/>
          </w:tcPr>
          <w:p w14:paraId="42E3446A">
            <w:pPr>
              <w:pStyle w:val="92"/>
              <w:rPr>
                <w:color w:val="auto"/>
                <w:highlight w:val="none"/>
                <w:u w:val="none"/>
              </w:rPr>
            </w:pPr>
            <w:r>
              <w:rPr>
                <w:color w:val="auto"/>
                <w:highlight w:val="none"/>
                <w:u w:val="none"/>
              </w:rPr>
              <w:t>79-34-5</w:t>
            </w:r>
          </w:p>
        </w:tc>
        <w:tc>
          <w:tcPr>
            <w:tcW w:w="603" w:type="pct"/>
            <w:tcBorders>
              <w:top w:val="single" w:color="auto" w:sz="6" w:space="0"/>
              <w:bottom w:val="single" w:color="auto" w:sz="6" w:space="0"/>
            </w:tcBorders>
            <w:vAlign w:val="center"/>
          </w:tcPr>
          <w:p w14:paraId="23C481BB">
            <w:pPr>
              <w:pStyle w:val="92"/>
              <w:rPr>
                <w:color w:val="auto"/>
                <w:highlight w:val="none"/>
                <w:u w:val="none"/>
              </w:rPr>
            </w:pPr>
            <w:r>
              <w:rPr>
                <w:color w:val="auto"/>
                <w:highlight w:val="none"/>
                <w:u w:val="none"/>
              </w:rPr>
              <w:t>1.6</w:t>
            </w:r>
          </w:p>
        </w:tc>
        <w:tc>
          <w:tcPr>
            <w:tcW w:w="668" w:type="pct"/>
            <w:tcBorders>
              <w:top w:val="single" w:color="auto" w:sz="6" w:space="0"/>
              <w:bottom w:val="single" w:color="auto" w:sz="6" w:space="0"/>
            </w:tcBorders>
            <w:shd w:val="clear" w:color="auto" w:fill="D9D9D9"/>
            <w:vAlign w:val="center"/>
          </w:tcPr>
          <w:p w14:paraId="44B1BA00">
            <w:pPr>
              <w:pStyle w:val="92"/>
              <w:rPr>
                <w:color w:val="auto"/>
                <w:highlight w:val="none"/>
                <w:u w:val="none"/>
              </w:rPr>
            </w:pPr>
            <w:r>
              <w:rPr>
                <w:color w:val="auto"/>
                <w:highlight w:val="none"/>
                <w:u w:val="none"/>
              </w:rPr>
              <w:t>6.8</w:t>
            </w:r>
          </w:p>
        </w:tc>
        <w:tc>
          <w:tcPr>
            <w:tcW w:w="646" w:type="pct"/>
            <w:tcBorders>
              <w:top w:val="single" w:color="auto" w:sz="6" w:space="0"/>
              <w:bottom w:val="single" w:color="auto" w:sz="6" w:space="0"/>
            </w:tcBorders>
            <w:vAlign w:val="center"/>
          </w:tcPr>
          <w:p w14:paraId="71396E62">
            <w:pPr>
              <w:pStyle w:val="92"/>
              <w:rPr>
                <w:color w:val="auto"/>
                <w:highlight w:val="none"/>
                <w:u w:val="none"/>
              </w:rPr>
            </w:pPr>
            <w:r>
              <w:rPr>
                <w:color w:val="auto"/>
                <w:highlight w:val="none"/>
                <w:u w:val="none"/>
              </w:rPr>
              <w:t>14</w:t>
            </w:r>
          </w:p>
        </w:tc>
        <w:tc>
          <w:tcPr>
            <w:tcW w:w="613" w:type="pct"/>
            <w:tcBorders>
              <w:top w:val="single" w:color="auto" w:sz="6" w:space="0"/>
              <w:bottom w:val="single" w:color="auto" w:sz="6" w:space="0"/>
              <w:right w:val="single" w:color="auto" w:sz="12" w:space="0"/>
            </w:tcBorders>
            <w:shd w:val="clear" w:color="auto" w:fill="auto"/>
            <w:vAlign w:val="center"/>
          </w:tcPr>
          <w:p w14:paraId="434CA461">
            <w:pPr>
              <w:pStyle w:val="92"/>
              <w:rPr>
                <w:color w:val="auto"/>
                <w:highlight w:val="none"/>
                <w:u w:val="none"/>
              </w:rPr>
            </w:pPr>
            <w:r>
              <w:rPr>
                <w:color w:val="auto"/>
                <w:highlight w:val="none"/>
                <w:u w:val="none"/>
              </w:rPr>
              <w:t>50</w:t>
            </w:r>
          </w:p>
        </w:tc>
      </w:tr>
      <w:tr w14:paraId="3230E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EE3F5B1">
            <w:pPr>
              <w:pStyle w:val="92"/>
              <w:rPr>
                <w:color w:val="auto"/>
                <w:highlight w:val="none"/>
                <w:u w:val="none"/>
              </w:rPr>
            </w:pPr>
            <w:r>
              <w:rPr>
                <w:color w:val="auto"/>
                <w:highlight w:val="none"/>
                <w:u w:val="none"/>
              </w:rPr>
              <w:t>20</w:t>
            </w:r>
          </w:p>
        </w:tc>
        <w:tc>
          <w:tcPr>
            <w:tcW w:w="1235" w:type="pct"/>
            <w:tcBorders>
              <w:top w:val="single" w:color="auto" w:sz="6" w:space="0"/>
              <w:left w:val="single" w:color="auto" w:sz="4" w:space="0"/>
              <w:bottom w:val="single" w:color="auto" w:sz="6" w:space="0"/>
              <w:right w:val="single" w:color="auto" w:sz="4" w:space="0"/>
            </w:tcBorders>
            <w:vAlign w:val="center"/>
          </w:tcPr>
          <w:p w14:paraId="1A5574EC">
            <w:pPr>
              <w:pStyle w:val="92"/>
              <w:rPr>
                <w:color w:val="auto"/>
                <w:highlight w:val="none"/>
                <w:u w:val="none"/>
              </w:rPr>
            </w:pPr>
            <w:r>
              <w:rPr>
                <w:color w:val="auto"/>
                <w:highlight w:val="none"/>
                <w:u w:val="none"/>
              </w:rPr>
              <w:t>四氯乙烯</w:t>
            </w:r>
          </w:p>
        </w:tc>
        <w:tc>
          <w:tcPr>
            <w:tcW w:w="712" w:type="pct"/>
            <w:tcBorders>
              <w:top w:val="single" w:color="auto" w:sz="6" w:space="0"/>
              <w:left w:val="single" w:color="auto" w:sz="4" w:space="0"/>
              <w:bottom w:val="single" w:color="auto" w:sz="6" w:space="0"/>
            </w:tcBorders>
            <w:vAlign w:val="center"/>
          </w:tcPr>
          <w:p w14:paraId="5B73519B">
            <w:pPr>
              <w:pStyle w:val="92"/>
              <w:rPr>
                <w:color w:val="auto"/>
                <w:highlight w:val="none"/>
                <w:u w:val="none"/>
              </w:rPr>
            </w:pPr>
            <w:r>
              <w:rPr>
                <w:color w:val="auto"/>
                <w:highlight w:val="none"/>
                <w:u w:val="none"/>
              </w:rPr>
              <w:t>127-18-4</w:t>
            </w:r>
          </w:p>
        </w:tc>
        <w:tc>
          <w:tcPr>
            <w:tcW w:w="603" w:type="pct"/>
            <w:tcBorders>
              <w:top w:val="single" w:color="auto" w:sz="6" w:space="0"/>
              <w:bottom w:val="single" w:color="auto" w:sz="6" w:space="0"/>
            </w:tcBorders>
            <w:vAlign w:val="center"/>
          </w:tcPr>
          <w:p w14:paraId="720E9946">
            <w:pPr>
              <w:pStyle w:val="92"/>
              <w:rPr>
                <w:color w:val="auto"/>
                <w:highlight w:val="none"/>
                <w:u w:val="none"/>
              </w:rPr>
            </w:pPr>
            <w:r>
              <w:rPr>
                <w:color w:val="auto"/>
                <w:highlight w:val="none"/>
                <w:u w:val="none"/>
              </w:rPr>
              <w:t>11</w:t>
            </w:r>
          </w:p>
        </w:tc>
        <w:tc>
          <w:tcPr>
            <w:tcW w:w="668" w:type="pct"/>
            <w:tcBorders>
              <w:top w:val="single" w:color="auto" w:sz="6" w:space="0"/>
              <w:bottom w:val="single" w:color="auto" w:sz="6" w:space="0"/>
            </w:tcBorders>
            <w:shd w:val="clear" w:color="auto" w:fill="D9D9D9"/>
            <w:vAlign w:val="center"/>
          </w:tcPr>
          <w:p w14:paraId="351AF6D6">
            <w:pPr>
              <w:pStyle w:val="92"/>
              <w:rPr>
                <w:color w:val="auto"/>
                <w:highlight w:val="none"/>
                <w:u w:val="none"/>
              </w:rPr>
            </w:pPr>
            <w:r>
              <w:rPr>
                <w:color w:val="auto"/>
                <w:highlight w:val="none"/>
                <w:u w:val="none"/>
              </w:rPr>
              <w:t>53</w:t>
            </w:r>
          </w:p>
        </w:tc>
        <w:tc>
          <w:tcPr>
            <w:tcW w:w="646" w:type="pct"/>
            <w:tcBorders>
              <w:top w:val="single" w:color="auto" w:sz="6" w:space="0"/>
              <w:bottom w:val="single" w:color="auto" w:sz="6" w:space="0"/>
            </w:tcBorders>
            <w:vAlign w:val="center"/>
          </w:tcPr>
          <w:p w14:paraId="667C3280">
            <w:pPr>
              <w:pStyle w:val="92"/>
              <w:rPr>
                <w:color w:val="auto"/>
                <w:highlight w:val="none"/>
                <w:u w:val="none"/>
              </w:rPr>
            </w:pPr>
            <w:r>
              <w:rPr>
                <w:color w:val="auto"/>
                <w:highlight w:val="none"/>
                <w:u w:val="none"/>
              </w:rPr>
              <w:t>34</w:t>
            </w:r>
          </w:p>
        </w:tc>
        <w:tc>
          <w:tcPr>
            <w:tcW w:w="613" w:type="pct"/>
            <w:tcBorders>
              <w:top w:val="single" w:color="auto" w:sz="6" w:space="0"/>
              <w:bottom w:val="single" w:color="auto" w:sz="6" w:space="0"/>
              <w:right w:val="single" w:color="auto" w:sz="12" w:space="0"/>
            </w:tcBorders>
            <w:shd w:val="clear" w:color="auto" w:fill="auto"/>
            <w:vAlign w:val="center"/>
          </w:tcPr>
          <w:p w14:paraId="45AA52A2">
            <w:pPr>
              <w:pStyle w:val="92"/>
              <w:rPr>
                <w:color w:val="auto"/>
                <w:highlight w:val="none"/>
                <w:u w:val="none"/>
              </w:rPr>
            </w:pPr>
            <w:r>
              <w:rPr>
                <w:color w:val="auto"/>
                <w:highlight w:val="none"/>
                <w:u w:val="none"/>
              </w:rPr>
              <w:t>183</w:t>
            </w:r>
          </w:p>
        </w:tc>
      </w:tr>
      <w:tr w14:paraId="6929B1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A159510">
            <w:pPr>
              <w:pStyle w:val="92"/>
              <w:rPr>
                <w:color w:val="auto"/>
                <w:highlight w:val="none"/>
                <w:u w:val="none"/>
              </w:rPr>
            </w:pPr>
            <w:r>
              <w:rPr>
                <w:color w:val="auto"/>
                <w:highlight w:val="none"/>
                <w:u w:val="none"/>
              </w:rPr>
              <w:t>21</w:t>
            </w:r>
          </w:p>
        </w:tc>
        <w:tc>
          <w:tcPr>
            <w:tcW w:w="1235" w:type="pct"/>
            <w:tcBorders>
              <w:top w:val="single" w:color="auto" w:sz="6" w:space="0"/>
              <w:left w:val="single" w:color="auto" w:sz="4" w:space="0"/>
              <w:bottom w:val="single" w:color="auto" w:sz="6" w:space="0"/>
              <w:right w:val="single" w:color="auto" w:sz="4" w:space="0"/>
            </w:tcBorders>
            <w:vAlign w:val="center"/>
          </w:tcPr>
          <w:p w14:paraId="490436B1">
            <w:pPr>
              <w:pStyle w:val="92"/>
              <w:rPr>
                <w:color w:val="auto"/>
                <w:highlight w:val="none"/>
                <w:u w:val="none"/>
              </w:rPr>
            </w:pPr>
            <w:r>
              <w:rPr>
                <w:color w:val="auto"/>
                <w:highlight w:val="none"/>
                <w:u w:val="none"/>
              </w:rPr>
              <w:t>1,1,1-三氯乙烷</w:t>
            </w:r>
          </w:p>
        </w:tc>
        <w:tc>
          <w:tcPr>
            <w:tcW w:w="712" w:type="pct"/>
            <w:tcBorders>
              <w:top w:val="single" w:color="auto" w:sz="6" w:space="0"/>
              <w:left w:val="single" w:color="auto" w:sz="4" w:space="0"/>
              <w:bottom w:val="single" w:color="auto" w:sz="6" w:space="0"/>
            </w:tcBorders>
            <w:vAlign w:val="center"/>
          </w:tcPr>
          <w:p w14:paraId="41B300C3">
            <w:pPr>
              <w:pStyle w:val="92"/>
              <w:rPr>
                <w:color w:val="auto"/>
                <w:highlight w:val="none"/>
                <w:u w:val="none"/>
              </w:rPr>
            </w:pPr>
            <w:r>
              <w:rPr>
                <w:color w:val="auto"/>
                <w:highlight w:val="none"/>
                <w:u w:val="none"/>
              </w:rPr>
              <w:t>71-55-6</w:t>
            </w:r>
          </w:p>
        </w:tc>
        <w:tc>
          <w:tcPr>
            <w:tcW w:w="603" w:type="pct"/>
            <w:tcBorders>
              <w:top w:val="single" w:color="auto" w:sz="6" w:space="0"/>
              <w:bottom w:val="single" w:color="auto" w:sz="6" w:space="0"/>
            </w:tcBorders>
            <w:vAlign w:val="center"/>
          </w:tcPr>
          <w:p w14:paraId="0B31183A">
            <w:pPr>
              <w:pStyle w:val="92"/>
              <w:rPr>
                <w:color w:val="auto"/>
                <w:highlight w:val="none"/>
                <w:u w:val="none"/>
              </w:rPr>
            </w:pPr>
            <w:r>
              <w:rPr>
                <w:color w:val="auto"/>
                <w:highlight w:val="none"/>
                <w:u w:val="none"/>
              </w:rPr>
              <w:t>701</w:t>
            </w:r>
          </w:p>
        </w:tc>
        <w:tc>
          <w:tcPr>
            <w:tcW w:w="668" w:type="pct"/>
            <w:tcBorders>
              <w:top w:val="single" w:color="auto" w:sz="6" w:space="0"/>
              <w:bottom w:val="single" w:color="auto" w:sz="6" w:space="0"/>
            </w:tcBorders>
            <w:shd w:val="clear" w:color="auto" w:fill="D9D9D9"/>
            <w:vAlign w:val="center"/>
          </w:tcPr>
          <w:p w14:paraId="757B254F">
            <w:pPr>
              <w:pStyle w:val="92"/>
              <w:rPr>
                <w:color w:val="auto"/>
                <w:highlight w:val="none"/>
                <w:u w:val="none"/>
              </w:rPr>
            </w:pPr>
            <w:r>
              <w:rPr>
                <w:color w:val="auto"/>
                <w:highlight w:val="none"/>
                <w:u w:val="none"/>
              </w:rPr>
              <w:t>840</w:t>
            </w:r>
          </w:p>
        </w:tc>
        <w:tc>
          <w:tcPr>
            <w:tcW w:w="646" w:type="pct"/>
            <w:tcBorders>
              <w:top w:val="single" w:color="auto" w:sz="6" w:space="0"/>
              <w:bottom w:val="single" w:color="auto" w:sz="6" w:space="0"/>
            </w:tcBorders>
            <w:vAlign w:val="center"/>
          </w:tcPr>
          <w:p w14:paraId="10534967">
            <w:pPr>
              <w:pStyle w:val="92"/>
              <w:rPr>
                <w:color w:val="auto"/>
                <w:highlight w:val="none"/>
                <w:u w:val="none"/>
              </w:rPr>
            </w:pPr>
            <w:r>
              <w:rPr>
                <w:color w:val="auto"/>
                <w:highlight w:val="none"/>
                <w:u w:val="none"/>
              </w:rPr>
              <w:t>840</w:t>
            </w:r>
          </w:p>
        </w:tc>
        <w:tc>
          <w:tcPr>
            <w:tcW w:w="613" w:type="pct"/>
            <w:tcBorders>
              <w:top w:val="single" w:color="auto" w:sz="6" w:space="0"/>
              <w:bottom w:val="single" w:color="auto" w:sz="6" w:space="0"/>
              <w:right w:val="single" w:color="auto" w:sz="12" w:space="0"/>
            </w:tcBorders>
            <w:shd w:val="clear" w:color="auto" w:fill="auto"/>
            <w:vAlign w:val="center"/>
          </w:tcPr>
          <w:p w14:paraId="6633B814">
            <w:pPr>
              <w:pStyle w:val="92"/>
              <w:rPr>
                <w:color w:val="auto"/>
                <w:highlight w:val="none"/>
                <w:u w:val="none"/>
              </w:rPr>
            </w:pPr>
            <w:r>
              <w:rPr>
                <w:color w:val="auto"/>
                <w:highlight w:val="none"/>
                <w:u w:val="none"/>
              </w:rPr>
              <w:t>840</w:t>
            </w:r>
          </w:p>
        </w:tc>
      </w:tr>
      <w:tr w14:paraId="2212C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7F9BC90E">
            <w:pPr>
              <w:pStyle w:val="92"/>
              <w:rPr>
                <w:color w:val="auto"/>
                <w:highlight w:val="none"/>
                <w:u w:val="none"/>
              </w:rPr>
            </w:pPr>
            <w:r>
              <w:rPr>
                <w:color w:val="auto"/>
                <w:highlight w:val="none"/>
                <w:u w:val="none"/>
              </w:rPr>
              <w:t>22</w:t>
            </w:r>
          </w:p>
        </w:tc>
        <w:tc>
          <w:tcPr>
            <w:tcW w:w="1235" w:type="pct"/>
            <w:tcBorders>
              <w:top w:val="single" w:color="auto" w:sz="6" w:space="0"/>
              <w:left w:val="single" w:color="auto" w:sz="4" w:space="0"/>
              <w:bottom w:val="single" w:color="auto" w:sz="6" w:space="0"/>
              <w:right w:val="single" w:color="auto" w:sz="4" w:space="0"/>
            </w:tcBorders>
            <w:vAlign w:val="center"/>
          </w:tcPr>
          <w:p w14:paraId="167D16E0">
            <w:pPr>
              <w:pStyle w:val="92"/>
              <w:rPr>
                <w:color w:val="auto"/>
                <w:highlight w:val="none"/>
                <w:u w:val="none"/>
              </w:rPr>
            </w:pPr>
            <w:r>
              <w:rPr>
                <w:color w:val="auto"/>
                <w:highlight w:val="none"/>
                <w:u w:val="none"/>
              </w:rPr>
              <w:t>1,1,2-三氯乙烷</w:t>
            </w:r>
          </w:p>
        </w:tc>
        <w:tc>
          <w:tcPr>
            <w:tcW w:w="712" w:type="pct"/>
            <w:tcBorders>
              <w:top w:val="single" w:color="auto" w:sz="6" w:space="0"/>
              <w:left w:val="single" w:color="auto" w:sz="4" w:space="0"/>
              <w:bottom w:val="single" w:color="auto" w:sz="6" w:space="0"/>
            </w:tcBorders>
            <w:vAlign w:val="center"/>
          </w:tcPr>
          <w:p w14:paraId="57E33B5B">
            <w:pPr>
              <w:pStyle w:val="92"/>
              <w:rPr>
                <w:color w:val="auto"/>
                <w:highlight w:val="none"/>
                <w:u w:val="none"/>
              </w:rPr>
            </w:pPr>
            <w:r>
              <w:rPr>
                <w:color w:val="auto"/>
                <w:highlight w:val="none"/>
                <w:u w:val="none"/>
              </w:rPr>
              <w:t>79-00-5</w:t>
            </w:r>
          </w:p>
        </w:tc>
        <w:tc>
          <w:tcPr>
            <w:tcW w:w="603" w:type="pct"/>
            <w:tcBorders>
              <w:top w:val="single" w:color="auto" w:sz="6" w:space="0"/>
              <w:bottom w:val="single" w:color="auto" w:sz="6" w:space="0"/>
            </w:tcBorders>
            <w:vAlign w:val="center"/>
          </w:tcPr>
          <w:p w14:paraId="436903CD">
            <w:pPr>
              <w:pStyle w:val="92"/>
              <w:rPr>
                <w:color w:val="auto"/>
                <w:highlight w:val="none"/>
                <w:u w:val="none"/>
              </w:rPr>
            </w:pPr>
            <w:r>
              <w:rPr>
                <w:color w:val="auto"/>
                <w:highlight w:val="none"/>
                <w:u w:val="none"/>
              </w:rPr>
              <w:t>0.6</w:t>
            </w:r>
          </w:p>
        </w:tc>
        <w:tc>
          <w:tcPr>
            <w:tcW w:w="668" w:type="pct"/>
            <w:tcBorders>
              <w:top w:val="single" w:color="auto" w:sz="6" w:space="0"/>
              <w:bottom w:val="single" w:color="auto" w:sz="6" w:space="0"/>
            </w:tcBorders>
            <w:shd w:val="clear" w:color="auto" w:fill="D9D9D9"/>
            <w:vAlign w:val="center"/>
          </w:tcPr>
          <w:p w14:paraId="2EC39EF9">
            <w:pPr>
              <w:pStyle w:val="92"/>
              <w:rPr>
                <w:color w:val="auto"/>
                <w:highlight w:val="none"/>
                <w:u w:val="none"/>
              </w:rPr>
            </w:pPr>
            <w:r>
              <w:rPr>
                <w:color w:val="auto"/>
                <w:highlight w:val="none"/>
                <w:u w:val="none"/>
              </w:rPr>
              <w:t>2.8</w:t>
            </w:r>
          </w:p>
        </w:tc>
        <w:tc>
          <w:tcPr>
            <w:tcW w:w="646" w:type="pct"/>
            <w:tcBorders>
              <w:top w:val="single" w:color="auto" w:sz="6" w:space="0"/>
              <w:bottom w:val="single" w:color="auto" w:sz="6" w:space="0"/>
            </w:tcBorders>
            <w:vAlign w:val="center"/>
          </w:tcPr>
          <w:p w14:paraId="21B68595">
            <w:pPr>
              <w:pStyle w:val="92"/>
              <w:rPr>
                <w:color w:val="auto"/>
                <w:highlight w:val="none"/>
                <w:u w:val="none"/>
              </w:rPr>
            </w:pPr>
            <w:r>
              <w:rPr>
                <w:color w:val="auto"/>
                <w:highlight w:val="none"/>
                <w:u w:val="none"/>
              </w:rPr>
              <w:t>5</w:t>
            </w:r>
          </w:p>
        </w:tc>
        <w:tc>
          <w:tcPr>
            <w:tcW w:w="613" w:type="pct"/>
            <w:tcBorders>
              <w:top w:val="single" w:color="auto" w:sz="6" w:space="0"/>
              <w:bottom w:val="single" w:color="auto" w:sz="6" w:space="0"/>
              <w:right w:val="single" w:color="auto" w:sz="12" w:space="0"/>
            </w:tcBorders>
            <w:shd w:val="clear" w:color="auto" w:fill="auto"/>
            <w:vAlign w:val="center"/>
          </w:tcPr>
          <w:p w14:paraId="722F77C6">
            <w:pPr>
              <w:pStyle w:val="92"/>
              <w:rPr>
                <w:color w:val="auto"/>
                <w:highlight w:val="none"/>
                <w:u w:val="none"/>
              </w:rPr>
            </w:pPr>
            <w:r>
              <w:rPr>
                <w:color w:val="auto"/>
                <w:highlight w:val="none"/>
                <w:u w:val="none"/>
              </w:rPr>
              <w:t>15</w:t>
            </w:r>
          </w:p>
        </w:tc>
      </w:tr>
      <w:tr w14:paraId="2D0D40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67CA03D">
            <w:pPr>
              <w:pStyle w:val="92"/>
              <w:rPr>
                <w:color w:val="auto"/>
                <w:highlight w:val="none"/>
                <w:u w:val="none"/>
              </w:rPr>
            </w:pPr>
            <w:r>
              <w:rPr>
                <w:color w:val="auto"/>
                <w:highlight w:val="none"/>
                <w:u w:val="none"/>
              </w:rPr>
              <w:t>23</w:t>
            </w:r>
          </w:p>
        </w:tc>
        <w:tc>
          <w:tcPr>
            <w:tcW w:w="1235" w:type="pct"/>
            <w:tcBorders>
              <w:top w:val="single" w:color="auto" w:sz="6" w:space="0"/>
              <w:left w:val="single" w:color="auto" w:sz="4" w:space="0"/>
              <w:bottom w:val="single" w:color="auto" w:sz="6" w:space="0"/>
              <w:right w:val="single" w:color="auto" w:sz="4" w:space="0"/>
            </w:tcBorders>
            <w:vAlign w:val="center"/>
          </w:tcPr>
          <w:p w14:paraId="361C22B8">
            <w:pPr>
              <w:pStyle w:val="92"/>
              <w:rPr>
                <w:color w:val="auto"/>
                <w:highlight w:val="none"/>
                <w:u w:val="none"/>
              </w:rPr>
            </w:pPr>
            <w:r>
              <w:rPr>
                <w:color w:val="auto"/>
                <w:highlight w:val="none"/>
                <w:u w:val="none"/>
              </w:rPr>
              <w:t>三氯乙烯</w:t>
            </w:r>
          </w:p>
        </w:tc>
        <w:tc>
          <w:tcPr>
            <w:tcW w:w="712" w:type="pct"/>
            <w:tcBorders>
              <w:top w:val="single" w:color="auto" w:sz="6" w:space="0"/>
              <w:left w:val="single" w:color="auto" w:sz="4" w:space="0"/>
              <w:bottom w:val="single" w:color="auto" w:sz="6" w:space="0"/>
            </w:tcBorders>
            <w:vAlign w:val="center"/>
          </w:tcPr>
          <w:p w14:paraId="706CCF86">
            <w:pPr>
              <w:pStyle w:val="92"/>
              <w:rPr>
                <w:color w:val="auto"/>
                <w:highlight w:val="none"/>
                <w:u w:val="none"/>
              </w:rPr>
            </w:pPr>
            <w:r>
              <w:rPr>
                <w:color w:val="auto"/>
                <w:highlight w:val="none"/>
                <w:u w:val="none"/>
              </w:rPr>
              <w:t>79-01-6</w:t>
            </w:r>
          </w:p>
        </w:tc>
        <w:tc>
          <w:tcPr>
            <w:tcW w:w="603" w:type="pct"/>
            <w:tcBorders>
              <w:top w:val="single" w:color="auto" w:sz="6" w:space="0"/>
              <w:bottom w:val="single" w:color="auto" w:sz="6" w:space="0"/>
            </w:tcBorders>
            <w:vAlign w:val="center"/>
          </w:tcPr>
          <w:p w14:paraId="196229FD">
            <w:pPr>
              <w:pStyle w:val="92"/>
              <w:rPr>
                <w:color w:val="auto"/>
                <w:highlight w:val="none"/>
                <w:u w:val="none"/>
              </w:rPr>
            </w:pPr>
            <w:r>
              <w:rPr>
                <w:color w:val="auto"/>
                <w:highlight w:val="none"/>
                <w:u w:val="none"/>
              </w:rPr>
              <w:t>0.7</w:t>
            </w:r>
          </w:p>
        </w:tc>
        <w:tc>
          <w:tcPr>
            <w:tcW w:w="668" w:type="pct"/>
            <w:tcBorders>
              <w:top w:val="single" w:color="auto" w:sz="6" w:space="0"/>
              <w:bottom w:val="single" w:color="auto" w:sz="6" w:space="0"/>
            </w:tcBorders>
            <w:shd w:val="clear" w:color="auto" w:fill="D9D9D9"/>
            <w:vAlign w:val="center"/>
          </w:tcPr>
          <w:p w14:paraId="65F18E5F">
            <w:pPr>
              <w:pStyle w:val="92"/>
              <w:rPr>
                <w:color w:val="auto"/>
                <w:highlight w:val="none"/>
                <w:u w:val="none"/>
              </w:rPr>
            </w:pPr>
            <w:r>
              <w:rPr>
                <w:color w:val="auto"/>
                <w:highlight w:val="none"/>
                <w:u w:val="none"/>
              </w:rPr>
              <w:t>2.8</w:t>
            </w:r>
          </w:p>
        </w:tc>
        <w:tc>
          <w:tcPr>
            <w:tcW w:w="646" w:type="pct"/>
            <w:tcBorders>
              <w:top w:val="single" w:color="auto" w:sz="6" w:space="0"/>
              <w:bottom w:val="single" w:color="auto" w:sz="6" w:space="0"/>
            </w:tcBorders>
            <w:vAlign w:val="center"/>
          </w:tcPr>
          <w:p w14:paraId="7EEFCCF1">
            <w:pPr>
              <w:pStyle w:val="92"/>
              <w:rPr>
                <w:color w:val="auto"/>
                <w:highlight w:val="none"/>
                <w:u w:val="none"/>
              </w:rPr>
            </w:pPr>
            <w:r>
              <w:rPr>
                <w:color w:val="auto"/>
                <w:highlight w:val="none"/>
                <w:u w:val="none"/>
              </w:rPr>
              <w:t>7</w:t>
            </w:r>
          </w:p>
        </w:tc>
        <w:tc>
          <w:tcPr>
            <w:tcW w:w="613" w:type="pct"/>
            <w:tcBorders>
              <w:top w:val="single" w:color="auto" w:sz="6" w:space="0"/>
              <w:bottom w:val="single" w:color="auto" w:sz="6" w:space="0"/>
              <w:right w:val="single" w:color="auto" w:sz="12" w:space="0"/>
            </w:tcBorders>
            <w:shd w:val="clear" w:color="auto" w:fill="auto"/>
            <w:vAlign w:val="center"/>
          </w:tcPr>
          <w:p w14:paraId="5096321C">
            <w:pPr>
              <w:pStyle w:val="92"/>
              <w:rPr>
                <w:color w:val="auto"/>
                <w:highlight w:val="none"/>
                <w:u w:val="none"/>
              </w:rPr>
            </w:pPr>
            <w:r>
              <w:rPr>
                <w:color w:val="auto"/>
                <w:highlight w:val="none"/>
                <w:u w:val="none"/>
              </w:rPr>
              <w:t>20</w:t>
            </w:r>
          </w:p>
        </w:tc>
      </w:tr>
      <w:tr w14:paraId="1C967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705F116E">
            <w:pPr>
              <w:pStyle w:val="92"/>
              <w:rPr>
                <w:color w:val="auto"/>
                <w:highlight w:val="none"/>
                <w:u w:val="none"/>
              </w:rPr>
            </w:pPr>
            <w:r>
              <w:rPr>
                <w:color w:val="auto"/>
                <w:highlight w:val="none"/>
                <w:u w:val="none"/>
              </w:rPr>
              <w:t>24</w:t>
            </w:r>
          </w:p>
        </w:tc>
        <w:tc>
          <w:tcPr>
            <w:tcW w:w="1235" w:type="pct"/>
            <w:tcBorders>
              <w:top w:val="single" w:color="auto" w:sz="6" w:space="0"/>
              <w:left w:val="single" w:color="auto" w:sz="4" w:space="0"/>
              <w:bottom w:val="single" w:color="auto" w:sz="6" w:space="0"/>
              <w:right w:val="single" w:color="auto" w:sz="4" w:space="0"/>
            </w:tcBorders>
            <w:vAlign w:val="center"/>
          </w:tcPr>
          <w:p w14:paraId="0A2C9995">
            <w:pPr>
              <w:pStyle w:val="92"/>
              <w:rPr>
                <w:color w:val="auto"/>
                <w:highlight w:val="none"/>
                <w:u w:val="none"/>
              </w:rPr>
            </w:pPr>
            <w:r>
              <w:rPr>
                <w:color w:val="auto"/>
                <w:highlight w:val="none"/>
                <w:u w:val="none"/>
              </w:rPr>
              <w:t>1,2,3-三氯丙烷</w:t>
            </w:r>
          </w:p>
        </w:tc>
        <w:tc>
          <w:tcPr>
            <w:tcW w:w="712" w:type="pct"/>
            <w:tcBorders>
              <w:top w:val="single" w:color="auto" w:sz="6" w:space="0"/>
              <w:left w:val="single" w:color="auto" w:sz="4" w:space="0"/>
              <w:bottom w:val="single" w:color="auto" w:sz="6" w:space="0"/>
            </w:tcBorders>
            <w:vAlign w:val="center"/>
          </w:tcPr>
          <w:p w14:paraId="6C0C9CE7">
            <w:pPr>
              <w:pStyle w:val="92"/>
              <w:rPr>
                <w:color w:val="auto"/>
                <w:highlight w:val="none"/>
                <w:u w:val="none"/>
              </w:rPr>
            </w:pPr>
            <w:r>
              <w:rPr>
                <w:color w:val="auto"/>
                <w:highlight w:val="none"/>
                <w:u w:val="none"/>
              </w:rPr>
              <w:t>96-18-4</w:t>
            </w:r>
          </w:p>
        </w:tc>
        <w:tc>
          <w:tcPr>
            <w:tcW w:w="603" w:type="pct"/>
            <w:tcBorders>
              <w:top w:val="single" w:color="auto" w:sz="6" w:space="0"/>
              <w:bottom w:val="single" w:color="auto" w:sz="6" w:space="0"/>
            </w:tcBorders>
            <w:vAlign w:val="center"/>
          </w:tcPr>
          <w:p w14:paraId="3AEC3777">
            <w:pPr>
              <w:pStyle w:val="92"/>
              <w:rPr>
                <w:color w:val="auto"/>
                <w:highlight w:val="none"/>
                <w:u w:val="none"/>
              </w:rPr>
            </w:pPr>
            <w:r>
              <w:rPr>
                <w:color w:val="auto"/>
                <w:highlight w:val="none"/>
                <w:u w:val="none"/>
              </w:rPr>
              <w:t>0.05</w:t>
            </w:r>
          </w:p>
        </w:tc>
        <w:tc>
          <w:tcPr>
            <w:tcW w:w="668" w:type="pct"/>
            <w:tcBorders>
              <w:top w:val="single" w:color="auto" w:sz="6" w:space="0"/>
              <w:bottom w:val="single" w:color="auto" w:sz="6" w:space="0"/>
            </w:tcBorders>
            <w:shd w:val="clear" w:color="auto" w:fill="D9D9D9"/>
            <w:vAlign w:val="center"/>
          </w:tcPr>
          <w:p w14:paraId="1318994A">
            <w:pPr>
              <w:pStyle w:val="92"/>
              <w:rPr>
                <w:color w:val="auto"/>
                <w:highlight w:val="none"/>
                <w:u w:val="none"/>
              </w:rPr>
            </w:pPr>
            <w:r>
              <w:rPr>
                <w:color w:val="auto"/>
                <w:highlight w:val="none"/>
                <w:u w:val="none"/>
              </w:rPr>
              <w:t>0.5</w:t>
            </w:r>
          </w:p>
        </w:tc>
        <w:tc>
          <w:tcPr>
            <w:tcW w:w="646" w:type="pct"/>
            <w:tcBorders>
              <w:top w:val="single" w:color="auto" w:sz="6" w:space="0"/>
              <w:bottom w:val="single" w:color="auto" w:sz="6" w:space="0"/>
            </w:tcBorders>
            <w:vAlign w:val="center"/>
          </w:tcPr>
          <w:p w14:paraId="31BD632E">
            <w:pPr>
              <w:pStyle w:val="92"/>
              <w:rPr>
                <w:color w:val="auto"/>
                <w:highlight w:val="none"/>
                <w:u w:val="none"/>
              </w:rPr>
            </w:pPr>
            <w:r>
              <w:rPr>
                <w:color w:val="auto"/>
                <w:highlight w:val="none"/>
                <w:u w:val="none"/>
              </w:rPr>
              <w:t>0.5</w:t>
            </w:r>
          </w:p>
        </w:tc>
        <w:tc>
          <w:tcPr>
            <w:tcW w:w="613" w:type="pct"/>
            <w:tcBorders>
              <w:top w:val="single" w:color="auto" w:sz="6" w:space="0"/>
              <w:bottom w:val="single" w:color="auto" w:sz="6" w:space="0"/>
              <w:right w:val="single" w:color="auto" w:sz="12" w:space="0"/>
            </w:tcBorders>
            <w:shd w:val="clear" w:color="auto" w:fill="auto"/>
            <w:vAlign w:val="center"/>
          </w:tcPr>
          <w:p w14:paraId="4992B77F">
            <w:pPr>
              <w:pStyle w:val="92"/>
              <w:rPr>
                <w:color w:val="auto"/>
                <w:highlight w:val="none"/>
                <w:u w:val="none"/>
              </w:rPr>
            </w:pPr>
            <w:r>
              <w:rPr>
                <w:color w:val="auto"/>
                <w:highlight w:val="none"/>
                <w:u w:val="none"/>
              </w:rPr>
              <w:t>5</w:t>
            </w:r>
          </w:p>
        </w:tc>
      </w:tr>
      <w:tr w14:paraId="3D4F4E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267F2BD">
            <w:pPr>
              <w:pStyle w:val="92"/>
              <w:rPr>
                <w:color w:val="auto"/>
                <w:highlight w:val="none"/>
                <w:u w:val="none"/>
              </w:rPr>
            </w:pPr>
            <w:r>
              <w:rPr>
                <w:color w:val="auto"/>
                <w:highlight w:val="none"/>
                <w:u w:val="none"/>
              </w:rPr>
              <w:t>25</w:t>
            </w:r>
          </w:p>
        </w:tc>
        <w:tc>
          <w:tcPr>
            <w:tcW w:w="1235" w:type="pct"/>
            <w:tcBorders>
              <w:top w:val="single" w:color="auto" w:sz="6" w:space="0"/>
              <w:left w:val="single" w:color="auto" w:sz="4" w:space="0"/>
              <w:bottom w:val="single" w:color="auto" w:sz="6" w:space="0"/>
              <w:right w:val="single" w:color="auto" w:sz="4" w:space="0"/>
            </w:tcBorders>
            <w:vAlign w:val="center"/>
          </w:tcPr>
          <w:p w14:paraId="78D8149F">
            <w:pPr>
              <w:pStyle w:val="92"/>
              <w:rPr>
                <w:color w:val="auto"/>
                <w:highlight w:val="none"/>
                <w:u w:val="none"/>
              </w:rPr>
            </w:pPr>
            <w:r>
              <w:rPr>
                <w:color w:val="auto"/>
                <w:highlight w:val="none"/>
                <w:u w:val="none"/>
              </w:rPr>
              <w:t>氯乙烯</w:t>
            </w:r>
          </w:p>
        </w:tc>
        <w:tc>
          <w:tcPr>
            <w:tcW w:w="712" w:type="pct"/>
            <w:tcBorders>
              <w:top w:val="single" w:color="auto" w:sz="6" w:space="0"/>
              <w:left w:val="single" w:color="auto" w:sz="4" w:space="0"/>
              <w:bottom w:val="single" w:color="auto" w:sz="6" w:space="0"/>
            </w:tcBorders>
            <w:vAlign w:val="center"/>
          </w:tcPr>
          <w:p w14:paraId="149C2168">
            <w:pPr>
              <w:pStyle w:val="92"/>
              <w:rPr>
                <w:color w:val="auto"/>
                <w:highlight w:val="none"/>
                <w:u w:val="none"/>
              </w:rPr>
            </w:pPr>
            <w:r>
              <w:rPr>
                <w:color w:val="auto"/>
                <w:highlight w:val="none"/>
                <w:u w:val="none"/>
              </w:rPr>
              <w:t>75-01-4</w:t>
            </w:r>
          </w:p>
        </w:tc>
        <w:tc>
          <w:tcPr>
            <w:tcW w:w="603" w:type="pct"/>
            <w:tcBorders>
              <w:top w:val="single" w:color="auto" w:sz="6" w:space="0"/>
              <w:bottom w:val="single" w:color="auto" w:sz="6" w:space="0"/>
            </w:tcBorders>
            <w:vAlign w:val="center"/>
          </w:tcPr>
          <w:p w14:paraId="44BA602F">
            <w:pPr>
              <w:pStyle w:val="92"/>
              <w:rPr>
                <w:color w:val="auto"/>
                <w:highlight w:val="none"/>
                <w:u w:val="none"/>
              </w:rPr>
            </w:pPr>
            <w:r>
              <w:rPr>
                <w:color w:val="auto"/>
                <w:highlight w:val="none"/>
                <w:u w:val="none"/>
              </w:rPr>
              <w:t>0.12</w:t>
            </w:r>
          </w:p>
        </w:tc>
        <w:tc>
          <w:tcPr>
            <w:tcW w:w="668" w:type="pct"/>
            <w:tcBorders>
              <w:top w:val="single" w:color="auto" w:sz="6" w:space="0"/>
              <w:bottom w:val="single" w:color="auto" w:sz="6" w:space="0"/>
            </w:tcBorders>
            <w:shd w:val="clear" w:color="auto" w:fill="D9D9D9"/>
            <w:vAlign w:val="center"/>
          </w:tcPr>
          <w:p w14:paraId="3D08B6E7">
            <w:pPr>
              <w:pStyle w:val="92"/>
              <w:rPr>
                <w:color w:val="auto"/>
                <w:highlight w:val="none"/>
                <w:u w:val="none"/>
              </w:rPr>
            </w:pPr>
            <w:r>
              <w:rPr>
                <w:color w:val="auto"/>
                <w:highlight w:val="none"/>
                <w:u w:val="none"/>
              </w:rPr>
              <w:t>0.43</w:t>
            </w:r>
          </w:p>
        </w:tc>
        <w:tc>
          <w:tcPr>
            <w:tcW w:w="646" w:type="pct"/>
            <w:tcBorders>
              <w:top w:val="single" w:color="auto" w:sz="6" w:space="0"/>
              <w:bottom w:val="single" w:color="auto" w:sz="6" w:space="0"/>
            </w:tcBorders>
            <w:vAlign w:val="center"/>
          </w:tcPr>
          <w:p w14:paraId="125D8EDE">
            <w:pPr>
              <w:pStyle w:val="92"/>
              <w:rPr>
                <w:color w:val="auto"/>
                <w:highlight w:val="none"/>
                <w:u w:val="none"/>
              </w:rPr>
            </w:pPr>
            <w:r>
              <w:rPr>
                <w:color w:val="auto"/>
                <w:highlight w:val="none"/>
                <w:u w:val="none"/>
              </w:rPr>
              <w:t>1.2</w:t>
            </w:r>
          </w:p>
        </w:tc>
        <w:tc>
          <w:tcPr>
            <w:tcW w:w="613" w:type="pct"/>
            <w:tcBorders>
              <w:top w:val="single" w:color="auto" w:sz="6" w:space="0"/>
              <w:bottom w:val="single" w:color="auto" w:sz="6" w:space="0"/>
              <w:right w:val="single" w:color="auto" w:sz="12" w:space="0"/>
            </w:tcBorders>
            <w:shd w:val="clear" w:color="auto" w:fill="auto"/>
            <w:vAlign w:val="center"/>
          </w:tcPr>
          <w:p w14:paraId="2A3E910C">
            <w:pPr>
              <w:pStyle w:val="92"/>
              <w:rPr>
                <w:color w:val="auto"/>
                <w:highlight w:val="none"/>
                <w:u w:val="none"/>
              </w:rPr>
            </w:pPr>
            <w:r>
              <w:rPr>
                <w:color w:val="auto"/>
                <w:highlight w:val="none"/>
                <w:u w:val="none"/>
              </w:rPr>
              <w:t>4.3</w:t>
            </w:r>
          </w:p>
        </w:tc>
      </w:tr>
      <w:tr w14:paraId="3CE8E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679E5BD">
            <w:pPr>
              <w:pStyle w:val="92"/>
              <w:rPr>
                <w:color w:val="auto"/>
                <w:highlight w:val="none"/>
                <w:u w:val="none"/>
              </w:rPr>
            </w:pPr>
            <w:r>
              <w:rPr>
                <w:color w:val="auto"/>
                <w:highlight w:val="none"/>
                <w:u w:val="none"/>
              </w:rPr>
              <w:t>26</w:t>
            </w:r>
          </w:p>
        </w:tc>
        <w:tc>
          <w:tcPr>
            <w:tcW w:w="1235" w:type="pct"/>
            <w:tcBorders>
              <w:top w:val="single" w:color="auto" w:sz="6" w:space="0"/>
              <w:left w:val="single" w:color="auto" w:sz="4" w:space="0"/>
              <w:bottom w:val="single" w:color="auto" w:sz="6" w:space="0"/>
              <w:right w:val="single" w:color="auto" w:sz="4" w:space="0"/>
            </w:tcBorders>
            <w:vAlign w:val="center"/>
          </w:tcPr>
          <w:p w14:paraId="2D6F3A22">
            <w:pPr>
              <w:pStyle w:val="92"/>
              <w:rPr>
                <w:color w:val="auto"/>
                <w:highlight w:val="none"/>
                <w:u w:val="none"/>
              </w:rPr>
            </w:pPr>
            <w:r>
              <w:rPr>
                <w:color w:val="auto"/>
                <w:highlight w:val="none"/>
                <w:u w:val="none"/>
              </w:rPr>
              <w:t>苯</w:t>
            </w:r>
          </w:p>
        </w:tc>
        <w:tc>
          <w:tcPr>
            <w:tcW w:w="712" w:type="pct"/>
            <w:tcBorders>
              <w:top w:val="single" w:color="auto" w:sz="6" w:space="0"/>
              <w:left w:val="single" w:color="auto" w:sz="4" w:space="0"/>
              <w:bottom w:val="single" w:color="auto" w:sz="6" w:space="0"/>
            </w:tcBorders>
            <w:vAlign w:val="center"/>
          </w:tcPr>
          <w:p w14:paraId="1F160637">
            <w:pPr>
              <w:pStyle w:val="92"/>
              <w:rPr>
                <w:color w:val="auto"/>
                <w:highlight w:val="none"/>
                <w:u w:val="none"/>
              </w:rPr>
            </w:pPr>
            <w:r>
              <w:rPr>
                <w:color w:val="auto"/>
                <w:highlight w:val="none"/>
                <w:u w:val="none"/>
              </w:rPr>
              <w:t>71-43-2</w:t>
            </w:r>
          </w:p>
        </w:tc>
        <w:tc>
          <w:tcPr>
            <w:tcW w:w="603" w:type="pct"/>
            <w:tcBorders>
              <w:top w:val="single" w:color="auto" w:sz="6" w:space="0"/>
              <w:bottom w:val="single" w:color="auto" w:sz="6" w:space="0"/>
            </w:tcBorders>
            <w:vAlign w:val="center"/>
          </w:tcPr>
          <w:p w14:paraId="2AF939FC">
            <w:pPr>
              <w:pStyle w:val="92"/>
              <w:rPr>
                <w:color w:val="auto"/>
                <w:highlight w:val="none"/>
                <w:u w:val="none"/>
              </w:rPr>
            </w:pPr>
            <w:r>
              <w:rPr>
                <w:color w:val="auto"/>
                <w:highlight w:val="none"/>
                <w:u w:val="none"/>
              </w:rPr>
              <w:t>1</w:t>
            </w:r>
          </w:p>
        </w:tc>
        <w:tc>
          <w:tcPr>
            <w:tcW w:w="668" w:type="pct"/>
            <w:tcBorders>
              <w:top w:val="single" w:color="auto" w:sz="6" w:space="0"/>
              <w:bottom w:val="single" w:color="auto" w:sz="6" w:space="0"/>
            </w:tcBorders>
            <w:shd w:val="clear" w:color="auto" w:fill="D9D9D9"/>
            <w:vAlign w:val="center"/>
          </w:tcPr>
          <w:p w14:paraId="36322F65">
            <w:pPr>
              <w:pStyle w:val="92"/>
              <w:rPr>
                <w:color w:val="auto"/>
                <w:highlight w:val="none"/>
                <w:u w:val="none"/>
              </w:rPr>
            </w:pPr>
            <w:r>
              <w:rPr>
                <w:color w:val="auto"/>
                <w:highlight w:val="none"/>
                <w:u w:val="none"/>
              </w:rPr>
              <w:t>4</w:t>
            </w:r>
          </w:p>
        </w:tc>
        <w:tc>
          <w:tcPr>
            <w:tcW w:w="646" w:type="pct"/>
            <w:tcBorders>
              <w:top w:val="single" w:color="auto" w:sz="6" w:space="0"/>
              <w:bottom w:val="single" w:color="auto" w:sz="6" w:space="0"/>
            </w:tcBorders>
            <w:vAlign w:val="center"/>
          </w:tcPr>
          <w:p w14:paraId="3E510E08">
            <w:pPr>
              <w:pStyle w:val="92"/>
              <w:rPr>
                <w:color w:val="auto"/>
                <w:highlight w:val="none"/>
                <w:u w:val="none"/>
              </w:rPr>
            </w:pPr>
            <w:r>
              <w:rPr>
                <w:color w:val="auto"/>
                <w:highlight w:val="none"/>
                <w:u w:val="none"/>
              </w:rPr>
              <w:t>10</w:t>
            </w:r>
          </w:p>
        </w:tc>
        <w:tc>
          <w:tcPr>
            <w:tcW w:w="613" w:type="pct"/>
            <w:tcBorders>
              <w:top w:val="single" w:color="auto" w:sz="6" w:space="0"/>
              <w:bottom w:val="single" w:color="auto" w:sz="6" w:space="0"/>
              <w:right w:val="single" w:color="auto" w:sz="12" w:space="0"/>
            </w:tcBorders>
            <w:shd w:val="clear" w:color="auto" w:fill="auto"/>
            <w:vAlign w:val="center"/>
          </w:tcPr>
          <w:p w14:paraId="469428AA">
            <w:pPr>
              <w:pStyle w:val="92"/>
              <w:rPr>
                <w:color w:val="auto"/>
                <w:highlight w:val="none"/>
                <w:u w:val="none"/>
              </w:rPr>
            </w:pPr>
            <w:r>
              <w:rPr>
                <w:color w:val="auto"/>
                <w:highlight w:val="none"/>
                <w:u w:val="none"/>
              </w:rPr>
              <w:t>40</w:t>
            </w:r>
          </w:p>
        </w:tc>
      </w:tr>
      <w:tr w14:paraId="3E5DCD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D068533">
            <w:pPr>
              <w:pStyle w:val="92"/>
              <w:rPr>
                <w:color w:val="auto"/>
                <w:highlight w:val="none"/>
                <w:u w:val="none"/>
              </w:rPr>
            </w:pPr>
            <w:r>
              <w:rPr>
                <w:color w:val="auto"/>
                <w:highlight w:val="none"/>
                <w:u w:val="none"/>
              </w:rPr>
              <w:t>27</w:t>
            </w:r>
          </w:p>
        </w:tc>
        <w:tc>
          <w:tcPr>
            <w:tcW w:w="1235" w:type="pct"/>
            <w:tcBorders>
              <w:top w:val="single" w:color="auto" w:sz="6" w:space="0"/>
              <w:left w:val="single" w:color="auto" w:sz="4" w:space="0"/>
              <w:bottom w:val="single" w:color="auto" w:sz="6" w:space="0"/>
              <w:right w:val="single" w:color="auto" w:sz="4" w:space="0"/>
            </w:tcBorders>
            <w:vAlign w:val="center"/>
          </w:tcPr>
          <w:p w14:paraId="0E30E15A">
            <w:pPr>
              <w:pStyle w:val="92"/>
              <w:rPr>
                <w:color w:val="auto"/>
                <w:highlight w:val="none"/>
                <w:u w:val="none"/>
              </w:rPr>
            </w:pPr>
            <w:r>
              <w:rPr>
                <w:color w:val="auto"/>
                <w:highlight w:val="none"/>
                <w:u w:val="none"/>
              </w:rPr>
              <w:t>氯苯</w:t>
            </w:r>
          </w:p>
        </w:tc>
        <w:tc>
          <w:tcPr>
            <w:tcW w:w="712" w:type="pct"/>
            <w:tcBorders>
              <w:top w:val="single" w:color="auto" w:sz="6" w:space="0"/>
              <w:left w:val="single" w:color="auto" w:sz="4" w:space="0"/>
              <w:bottom w:val="single" w:color="auto" w:sz="6" w:space="0"/>
            </w:tcBorders>
            <w:vAlign w:val="center"/>
          </w:tcPr>
          <w:p w14:paraId="0441FBC9">
            <w:pPr>
              <w:pStyle w:val="92"/>
              <w:rPr>
                <w:color w:val="auto"/>
                <w:highlight w:val="none"/>
                <w:u w:val="none"/>
              </w:rPr>
            </w:pPr>
            <w:r>
              <w:rPr>
                <w:color w:val="auto"/>
                <w:highlight w:val="none"/>
                <w:u w:val="none"/>
              </w:rPr>
              <w:t>108-90-7</w:t>
            </w:r>
          </w:p>
        </w:tc>
        <w:tc>
          <w:tcPr>
            <w:tcW w:w="603" w:type="pct"/>
            <w:tcBorders>
              <w:top w:val="single" w:color="auto" w:sz="6" w:space="0"/>
              <w:bottom w:val="single" w:color="auto" w:sz="6" w:space="0"/>
            </w:tcBorders>
            <w:vAlign w:val="center"/>
          </w:tcPr>
          <w:p w14:paraId="7265096F">
            <w:pPr>
              <w:pStyle w:val="92"/>
              <w:rPr>
                <w:color w:val="auto"/>
                <w:highlight w:val="none"/>
                <w:u w:val="none"/>
              </w:rPr>
            </w:pPr>
            <w:r>
              <w:rPr>
                <w:color w:val="auto"/>
                <w:highlight w:val="none"/>
                <w:u w:val="none"/>
              </w:rPr>
              <w:t>68</w:t>
            </w:r>
          </w:p>
        </w:tc>
        <w:tc>
          <w:tcPr>
            <w:tcW w:w="668" w:type="pct"/>
            <w:tcBorders>
              <w:top w:val="single" w:color="auto" w:sz="6" w:space="0"/>
              <w:bottom w:val="single" w:color="auto" w:sz="6" w:space="0"/>
            </w:tcBorders>
            <w:shd w:val="clear" w:color="auto" w:fill="D9D9D9"/>
            <w:vAlign w:val="center"/>
          </w:tcPr>
          <w:p w14:paraId="2927E91A">
            <w:pPr>
              <w:pStyle w:val="92"/>
              <w:rPr>
                <w:color w:val="auto"/>
                <w:highlight w:val="none"/>
                <w:u w:val="none"/>
              </w:rPr>
            </w:pPr>
            <w:r>
              <w:rPr>
                <w:color w:val="auto"/>
                <w:highlight w:val="none"/>
                <w:u w:val="none"/>
              </w:rPr>
              <w:t>270</w:t>
            </w:r>
          </w:p>
        </w:tc>
        <w:tc>
          <w:tcPr>
            <w:tcW w:w="646" w:type="pct"/>
            <w:tcBorders>
              <w:top w:val="single" w:color="auto" w:sz="6" w:space="0"/>
              <w:bottom w:val="single" w:color="auto" w:sz="6" w:space="0"/>
            </w:tcBorders>
            <w:vAlign w:val="center"/>
          </w:tcPr>
          <w:p w14:paraId="7B2654FF">
            <w:pPr>
              <w:pStyle w:val="92"/>
              <w:rPr>
                <w:color w:val="auto"/>
                <w:highlight w:val="none"/>
                <w:u w:val="none"/>
              </w:rPr>
            </w:pPr>
            <w:r>
              <w:rPr>
                <w:color w:val="auto"/>
                <w:highlight w:val="none"/>
                <w:u w:val="none"/>
              </w:rPr>
              <w:t>200</w:t>
            </w:r>
          </w:p>
        </w:tc>
        <w:tc>
          <w:tcPr>
            <w:tcW w:w="613" w:type="pct"/>
            <w:tcBorders>
              <w:top w:val="single" w:color="auto" w:sz="6" w:space="0"/>
              <w:bottom w:val="single" w:color="auto" w:sz="6" w:space="0"/>
              <w:right w:val="single" w:color="auto" w:sz="12" w:space="0"/>
            </w:tcBorders>
            <w:shd w:val="clear" w:color="auto" w:fill="auto"/>
            <w:vAlign w:val="center"/>
          </w:tcPr>
          <w:p w14:paraId="0897B094">
            <w:pPr>
              <w:pStyle w:val="92"/>
              <w:rPr>
                <w:color w:val="auto"/>
                <w:highlight w:val="none"/>
                <w:u w:val="none"/>
              </w:rPr>
            </w:pPr>
            <w:r>
              <w:rPr>
                <w:color w:val="auto"/>
                <w:highlight w:val="none"/>
                <w:u w:val="none"/>
              </w:rPr>
              <w:t>1000</w:t>
            </w:r>
          </w:p>
        </w:tc>
      </w:tr>
      <w:tr w14:paraId="7EBA96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FA70F67">
            <w:pPr>
              <w:pStyle w:val="92"/>
              <w:rPr>
                <w:color w:val="auto"/>
                <w:highlight w:val="none"/>
                <w:u w:val="none"/>
              </w:rPr>
            </w:pPr>
            <w:r>
              <w:rPr>
                <w:color w:val="auto"/>
                <w:highlight w:val="none"/>
                <w:u w:val="none"/>
              </w:rPr>
              <w:t>28</w:t>
            </w:r>
          </w:p>
        </w:tc>
        <w:tc>
          <w:tcPr>
            <w:tcW w:w="1235" w:type="pct"/>
            <w:tcBorders>
              <w:top w:val="single" w:color="auto" w:sz="6" w:space="0"/>
              <w:left w:val="single" w:color="auto" w:sz="4" w:space="0"/>
              <w:bottom w:val="single" w:color="auto" w:sz="6" w:space="0"/>
              <w:right w:val="single" w:color="auto" w:sz="4" w:space="0"/>
            </w:tcBorders>
            <w:vAlign w:val="center"/>
          </w:tcPr>
          <w:p w14:paraId="3706C1CD">
            <w:pPr>
              <w:pStyle w:val="92"/>
              <w:rPr>
                <w:color w:val="auto"/>
                <w:highlight w:val="none"/>
                <w:u w:val="none"/>
              </w:rPr>
            </w:pPr>
            <w:r>
              <w:rPr>
                <w:color w:val="auto"/>
                <w:highlight w:val="none"/>
                <w:u w:val="none"/>
              </w:rPr>
              <w:t>1,2-二氯苯</w:t>
            </w:r>
          </w:p>
        </w:tc>
        <w:tc>
          <w:tcPr>
            <w:tcW w:w="712" w:type="pct"/>
            <w:tcBorders>
              <w:top w:val="single" w:color="auto" w:sz="6" w:space="0"/>
              <w:left w:val="single" w:color="auto" w:sz="4" w:space="0"/>
              <w:bottom w:val="single" w:color="auto" w:sz="6" w:space="0"/>
            </w:tcBorders>
            <w:vAlign w:val="center"/>
          </w:tcPr>
          <w:p w14:paraId="1945B815">
            <w:pPr>
              <w:pStyle w:val="92"/>
              <w:rPr>
                <w:color w:val="auto"/>
                <w:highlight w:val="none"/>
                <w:u w:val="none"/>
              </w:rPr>
            </w:pPr>
            <w:r>
              <w:rPr>
                <w:color w:val="auto"/>
                <w:highlight w:val="none"/>
                <w:u w:val="none"/>
              </w:rPr>
              <w:t>95-50-1</w:t>
            </w:r>
          </w:p>
        </w:tc>
        <w:tc>
          <w:tcPr>
            <w:tcW w:w="603" w:type="pct"/>
            <w:tcBorders>
              <w:top w:val="single" w:color="auto" w:sz="6" w:space="0"/>
              <w:bottom w:val="single" w:color="auto" w:sz="6" w:space="0"/>
            </w:tcBorders>
            <w:vAlign w:val="center"/>
          </w:tcPr>
          <w:p w14:paraId="22B3B29B">
            <w:pPr>
              <w:pStyle w:val="92"/>
              <w:rPr>
                <w:color w:val="auto"/>
                <w:highlight w:val="none"/>
                <w:u w:val="none"/>
              </w:rPr>
            </w:pPr>
            <w:r>
              <w:rPr>
                <w:color w:val="auto"/>
                <w:highlight w:val="none"/>
                <w:u w:val="none"/>
              </w:rPr>
              <w:t>560</w:t>
            </w:r>
          </w:p>
        </w:tc>
        <w:tc>
          <w:tcPr>
            <w:tcW w:w="668" w:type="pct"/>
            <w:tcBorders>
              <w:top w:val="single" w:color="auto" w:sz="6" w:space="0"/>
              <w:bottom w:val="single" w:color="auto" w:sz="6" w:space="0"/>
            </w:tcBorders>
            <w:shd w:val="clear" w:color="auto" w:fill="D9D9D9"/>
            <w:vAlign w:val="center"/>
          </w:tcPr>
          <w:p w14:paraId="62D7A7E4">
            <w:pPr>
              <w:pStyle w:val="92"/>
              <w:rPr>
                <w:color w:val="auto"/>
                <w:highlight w:val="none"/>
                <w:u w:val="none"/>
              </w:rPr>
            </w:pPr>
            <w:r>
              <w:rPr>
                <w:color w:val="auto"/>
                <w:highlight w:val="none"/>
                <w:u w:val="none"/>
              </w:rPr>
              <w:t>560</w:t>
            </w:r>
          </w:p>
        </w:tc>
        <w:tc>
          <w:tcPr>
            <w:tcW w:w="646" w:type="pct"/>
            <w:tcBorders>
              <w:top w:val="single" w:color="auto" w:sz="6" w:space="0"/>
              <w:bottom w:val="single" w:color="auto" w:sz="6" w:space="0"/>
            </w:tcBorders>
            <w:vAlign w:val="center"/>
          </w:tcPr>
          <w:p w14:paraId="0650CFE4">
            <w:pPr>
              <w:pStyle w:val="92"/>
              <w:rPr>
                <w:color w:val="auto"/>
                <w:highlight w:val="none"/>
                <w:u w:val="none"/>
              </w:rPr>
            </w:pPr>
            <w:r>
              <w:rPr>
                <w:color w:val="auto"/>
                <w:highlight w:val="none"/>
                <w:u w:val="none"/>
              </w:rPr>
              <w:t>560</w:t>
            </w:r>
          </w:p>
        </w:tc>
        <w:tc>
          <w:tcPr>
            <w:tcW w:w="613" w:type="pct"/>
            <w:tcBorders>
              <w:top w:val="single" w:color="auto" w:sz="6" w:space="0"/>
              <w:bottom w:val="single" w:color="auto" w:sz="6" w:space="0"/>
              <w:right w:val="single" w:color="auto" w:sz="12" w:space="0"/>
            </w:tcBorders>
            <w:shd w:val="clear" w:color="auto" w:fill="auto"/>
            <w:vAlign w:val="center"/>
          </w:tcPr>
          <w:p w14:paraId="65440D2E">
            <w:pPr>
              <w:pStyle w:val="92"/>
              <w:rPr>
                <w:color w:val="auto"/>
                <w:highlight w:val="none"/>
                <w:u w:val="none"/>
              </w:rPr>
            </w:pPr>
            <w:r>
              <w:rPr>
                <w:color w:val="auto"/>
                <w:highlight w:val="none"/>
                <w:u w:val="none"/>
              </w:rPr>
              <w:t>560</w:t>
            </w:r>
          </w:p>
        </w:tc>
      </w:tr>
      <w:tr w14:paraId="636BA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71DF921">
            <w:pPr>
              <w:pStyle w:val="92"/>
              <w:rPr>
                <w:color w:val="auto"/>
                <w:highlight w:val="none"/>
                <w:u w:val="none"/>
              </w:rPr>
            </w:pPr>
            <w:r>
              <w:rPr>
                <w:color w:val="auto"/>
                <w:highlight w:val="none"/>
                <w:u w:val="none"/>
              </w:rPr>
              <w:t>29</w:t>
            </w:r>
          </w:p>
        </w:tc>
        <w:tc>
          <w:tcPr>
            <w:tcW w:w="1235" w:type="pct"/>
            <w:tcBorders>
              <w:top w:val="single" w:color="auto" w:sz="6" w:space="0"/>
              <w:left w:val="single" w:color="auto" w:sz="4" w:space="0"/>
              <w:bottom w:val="single" w:color="auto" w:sz="6" w:space="0"/>
              <w:right w:val="single" w:color="auto" w:sz="4" w:space="0"/>
            </w:tcBorders>
            <w:vAlign w:val="center"/>
          </w:tcPr>
          <w:p w14:paraId="33EB471F">
            <w:pPr>
              <w:pStyle w:val="92"/>
              <w:rPr>
                <w:color w:val="auto"/>
                <w:highlight w:val="none"/>
                <w:u w:val="none"/>
              </w:rPr>
            </w:pPr>
            <w:r>
              <w:rPr>
                <w:color w:val="auto"/>
                <w:highlight w:val="none"/>
                <w:u w:val="none"/>
              </w:rPr>
              <w:t>1,4-二氯苯</w:t>
            </w:r>
          </w:p>
        </w:tc>
        <w:tc>
          <w:tcPr>
            <w:tcW w:w="712" w:type="pct"/>
            <w:tcBorders>
              <w:top w:val="single" w:color="auto" w:sz="6" w:space="0"/>
              <w:left w:val="single" w:color="auto" w:sz="4" w:space="0"/>
              <w:bottom w:val="single" w:color="auto" w:sz="6" w:space="0"/>
            </w:tcBorders>
            <w:vAlign w:val="center"/>
          </w:tcPr>
          <w:p w14:paraId="64144BD2">
            <w:pPr>
              <w:pStyle w:val="92"/>
              <w:rPr>
                <w:color w:val="auto"/>
                <w:highlight w:val="none"/>
                <w:u w:val="none"/>
              </w:rPr>
            </w:pPr>
            <w:r>
              <w:rPr>
                <w:color w:val="auto"/>
                <w:highlight w:val="none"/>
                <w:u w:val="none"/>
              </w:rPr>
              <w:t>106-46-7</w:t>
            </w:r>
          </w:p>
        </w:tc>
        <w:tc>
          <w:tcPr>
            <w:tcW w:w="603" w:type="pct"/>
            <w:tcBorders>
              <w:top w:val="single" w:color="auto" w:sz="6" w:space="0"/>
              <w:bottom w:val="single" w:color="auto" w:sz="6" w:space="0"/>
            </w:tcBorders>
            <w:vAlign w:val="center"/>
          </w:tcPr>
          <w:p w14:paraId="79ADB624">
            <w:pPr>
              <w:pStyle w:val="92"/>
              <w:rPr>
                <w:color w:val="auto"/>
                <w:highlight w:val="none"/>
                <w:u w:val="none"/>
              </w:rPr>
            </w:pPr>
            <w:r>
              <w:rPr>
                <w:color w:val="auto"/>
                <w:highlight w:val="none"/>
                <w:u w:val="none"/>
              </w:rPr>
              <w:t>5.6</w:t>
            </w:r>
          </w:p>
        </w:tc>
        <w:tc>
          <w:tcPr>
            <w:tcW w:w="668" w:type="pct"/>
            <w:tcBorders>
              <w:top w:val="single" w:color="auto" w:sz="6" w:space="0"/>
              <w:bottom w:val="single" w:color="auto" w:sz="6" w:space="0"/>
            </w:tcBorders>
            <w:shd w:val="clear" w:color="auto" w:fill="D9D9D9"/>
            <w:vAlign w:val="center"/>
          </w:tcPr>
          <w:p w14:paraId="183170C7">
            <w:pPr>
              <w:pStyle w:val="92"/>
              <w:rPr>
                <w:color w:val="auto"/>
                <w:highlight w:val="none"/>
                <w:u w:val="none"/>
              </w:rPr>
            </w:pPr>
            <w:r>
              <w:rPr>
                <w:color w:val="auto"/>
                <w:highlight w:val="none"/>
                <w:u w:val="none"/>
              </w:rPr>
              <w:t>20</w:t>
            </w:r>
          </w:p>
        </w:tc>
        <w:tc>
          <w:tcPr>
            <w:tcW w:w="646" w:type="pct"/>
            <w:tcBorders>
              <w:top w:val="single" w:color="auto" w:sz="6" w:space="0"/>
              <w:bottom w:val="single" w:color="auto" w:sz="6" w:space="0"/>
            </w:tcBorders>
            <w:vAlign w:val="center"/>
          </w:tcPr>
          <w:p w14:paraId="3BC032C6">
            <w:pPr>
              <w:pStyle w:val="92"/>
              <w:rPr>
                <w:color w:val="auto"/>
                <w:highlight w:val="none"/>
                <w:u w:val="none"/>
              </w:rPr>
            </w:pPr>
            <w:r>
              <w:rPr>
                <w:color w:val="auto"/>
                <w:highlight w:val="none"/>
                <w:u w:val="none"/>
              </w:rPr>
              <w:t>56</w:t>
            </w:r>
          </w:p>
        </w:tc>
        <w:tc>
          <w:tcPr>
            <w:tcW w:w="613" w:type="pct"/>
            <w:tcBorders>
              <w:top w:val="single" w:color="auto" w:sz="6" w:space="0"/>
              <w:bottom w:val="single" w:color="auto" w:sz="6" w:space="0"/>
              <w:right w:val="single" w:color="auto" w:sz="12" w:space="0"/>
            </w:tcBorders>
            <w:shd w:val="clear" w:color="auto" w:fill="auto"/>
            <w:vAlign w:val="center"/>
          </w:tcPr>
          <w:p w14:paraId="57689D69">
            <w:pPr>
              <w:pStyle w:val="92"/>
              <w:rPr>
                <w:color w:val="auto"/>
                <w:highlight w:val="none"/>
                <w:u w:val="none"/>
              </w:rPr>
            </w:pPr>
            <w:r>
              <w:rPr>
                <w:color w:val="auto"/>
                <w:highlight w:val="none"/>
                <w:u w:val="none"/>
              </w:rPr>
              <w:t>200</w:t>
            </w:r>
          </w:p>
        </w:tc>
      </w:tr>
      <w:tr w14:paraId="71756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3462A857">
            <w:pPr>
              <w:pStyle w:val="92"/>
              <w:rPr>
                <w:color w:val="auto"/>
                <w:highlight w:val="none"/>
                <w:u w:val="none"/>
              </w:rPr>
            </w:pPr>
            <w:r>
              <w:rPr>
                <w:color w:val="auto"/>
                <w:highlight w:val="none"/>
                <w:u w:val="none"/>
              </w:rPr>
              <w:t>30</w:t>
            </w:r>
          </w:p>
        </w:tc>
        <w:tc>
          <w:tcPr>
            <w:tcW w:w="1235" w:type="pct"/>
            <w:tcBorders>
              <w:top w:val="single" w:color="auto" w:sz="6" w:space="0"/>
              <w:left w:val="single" w:color="auto" w:sz="4" w:space="0"/>
              <w:bottom w:val="single" w:color="auto" w:sz="6" w:space="0"/>
              <w:right w:val="single" w:color="auto" w:sz="4" w:space="0"/>
            </w:tcBorders>
            <w:vAlign w:val="center"/>
          </w:tcPr>
          <w:p w14:paraId="47E0D0C5">
            <w:pPr>
              <w:pStyle w:val="92"/>
              <w:rPr>
                <w:color w:val="auto"/>
                <w:highlight w:val="none"/>
                <w:u w:val="none"/>
              </w:rPr>
            </w:pPr>
            <w:r>
              <w:rPr>
                <w:color w:val="auto"/>
                <w:highlight w:val="none"/>
                <w:u w:val="none"/>
              </w:rPr>
              <w:t>乙苯</w:t>
            </w:r>
          </w:p>
        </w:tc>
        <w:tc>
          <w:tcPr>
            <w:tcW w:w="712" w:type="pct"/>
            <w:tcBorders>
              <w:top w:val="single" w:color="auto" w:sz="6" w:space="0"/>
              <w:left w:val="single" w:color="auto" w:sz="4" w:space="0"/>
              <w:bottom w:val="single" w:color="auto" w:sz="6" w:space="0"/>
            </w:tcBorders>
            <w:vAlign w:val="center"/>
          </w:tcPr>
          <w:p w14:paraId="16B5F421">
            <w:pPr>
              <w:pStyle w:val="92"/>
              <w:rPr>
                <w:color w:val="auto"/>
                <w:highlight w:val="none"/>
                <w:u w:val="none"/>
              </w:rPr>
            </w:pPr>
            <w:r>
              <w:rPr>
                <w:color w:val="auto"/>
                <w:highlight w:val="none"/>
                <w:u w:val="none"/>
              </w:rPr>
              <w:t>100-41-4</w:t>
            </w:r>
          </w:p>
        </w:tc>
        <w:tc>
          <w:tcPr>
            <w:tcW w:w="603" w:type="pct"/>
            <w:tcBorders>
              <w:top w:val="single" w:color="auto" w:sz="6" w:space="0"/>
              <w:bottom w:val="single" w:color="auto" w:sz="6" w:space="0"/>
            </w:tcBorders>
            <w:vAlign w:val="center"/>
          </w:tcPr>
          <w:p w14:paraId="5D63524E">
            <w:pPr>
              <w:pStyle w:val="92"/>
              <w:rPr>
                <w:color w:val="auto"/>
                <w:highlight w:val="none"/>
                <w:u w:val="none"/>
              </w:rPr>
            </w:pPr>
            <w:r>
              <w:rPr>
                <w:color w:val="auto"/>
                <w:highlight w:val="none"/>
                <w:u w:val="none"/>
              </w:rPr>
              <w:t>7.2</w:t>
            </w:r>
          </w:p>
        </w:tc>
        <w:tc>
          <w:tcPr>
            <w:tcW w:w="668" w:type="pct"/>
            <w:tcBorders>
              <w:top w:val="single" w:color="auto" w:sz="6" w:space="0"/>
              <w:bottom w:val="single" w:color="auto" w:sz="6" w:space="0"/>
            </w:tcBorders>
            <w:shd w:val="clear" w:color="auto" w:fill="D9D9D9"/>
            <w:vAlign w:val="center"/>
          </w:tcPr>
          <w:p w14:paraId="46595CA4">
            <w:pPr>
              <w:pStyle w:val="92"/>
              <w:rPr>
                <w:color w:val="auto"/>
                <w:highlight w:val="none"/>
                <w:u w:val="none"/>
              </w:rPr>
            </w:pPr>
            <w:r>
              <w:rPr>
                <w:color w:val="auto"/>
                <w:highlight w:val="none"/>
                <w:u w:val="none"/>
              </w:rPr>
              <w:t>28</w:t>
            </w:r>
          </w:p>
        </w:tc>
        <w:tc>
          <w:tcPr>
            <w:tcW w:w="646" w:type="pct"/>
            <w:tcBorders>
              <w:top w:val="single" w:color="auto" w:sz="6" w:space="0"/>
              <w:bottom w:val="single" w:color="auto" w:sz="6" w:space="0"/>
            </w:tcBorders>
            <w:vAlign w:val="center"/>
          </w:tcPr>
          <w:p w14:paraId="6D43E567">
            <w:pPr>
              <w:pStyle w:val="92"/>
              <w:rPr>
                <w:color w:val="auto"/>
                <w:highlight w:val="none"/>
                <w:u w:val="none"/>
              </w:rPr>
            </w:pPr>
            <w:r>
              <w:rPr>
                <w:color w:val="auto"/>
                <w:highlight w:val="none"/>
                <w:u w:val="none"/>
              </w:rPr>
              <w:t>72</w:t>
            </w:r>
          </w:p>
        </w:tc>
        <w:tc>
          <w:tcPr>
            <w:tcW w:w="613" w:type="pct"/>
            <w:tcBorders>
              <w:top w:val="single" w:color="auto" w:sz="6" w:space="0"/>
              <w:bottom w:val="single" w:color="auto" w:sz="6" w:space="0"/>
              <w:right w:val="single" w:color="auto" w:sz="12" w:space="0"/>
            </w:tcBorders>
            <w:shd w:val="clear" w:color="auto" w:fill="auto"/>
            <w:vAlign w:val="center"/>
          </w:tcPr>
          <w:p w14:paraId="60C49AD9">
            <w:pPr>
              <w:pStyle w:val="92"/>
              <w:rPr>
                <w:color w:val="auto"/>
                <w:highlight w:val="none"/>
                <w:u w:val="none"/>
              </w:rPr>
            </w:pPr>
            <w:r>
              <w:rPr>
                <w:color w:val="auto"/>
                <w:highlight w:val="none"/>
                <w:u w:val="none"/>
              </w:rPr>
              <w:t>280</w:t>
            </w:r>
          </w:p>
        </w:tc>
      </w:tr>
      <w:tr w14:paraId="505AF5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144F2E0">
            <w:pPr>
              <w:pStyle w:val="92"/>
              <w:rPr>
                <w:color w:val="auto"/>
                <w:highlight w:val="none"/>
                <w:u w:val="none"/>
              </w:rPr>
            </w:pPr>
            <w:r>
              <w:rPr>
                <w:color w:val="auto"/>
                <w:highlight w:val="none"/>
                <w:u w:val="none"/>
              </w:rPr>
              <w:t>31</w:t>
            </w:r>
          </w:p>
        </w:tc>
        <w:tc>
          <w:tcPr>
            <w:tcW w:w="1235" w:type="pct"/>
            <w:tcBorders>
              <w:top w:val="single" w:color="auto" w:sz="6" w:space="0"/>
              <w:left w:val="single" w:color="auto" w:sz="4" w:space="0"/>
              <w:bottom w:val="single" w:color="auto" w:sz="6" w:space="0"/>
              <w:right w:val="single" w:color="auto" w:sz="4" w:space="0"/>
            </w:tcBorders>
            <w:vAlign w:val="center"/>
          </w:tcPr>
          <w:p w14:paraId="0D264B07">
            <w:pPr>
              <w:pStyle w:val="92"/>
              <w:rPr>
                <w:color w:val="auto"/>
                <w:highlight w:val="none"/>
                <w:u w:val="none"/>
              </w:rPr>
            </w:pPr>
            <w:r>
              <w:rPr>
                <w:color w:val="auto"/>
                <w:highlight w:val="none"/>
                <w:u w:val="none"/>
              </w:rPr>
              <w:t>苯乙烯</w:t>
            </w:r>
          </w:p>
        </w:tc>
        <w:tc>
          <w:tcPr>
            <w:tcW w:w="712" w:type="pct"/>
            <w:tcBorders>
              <w:top w:val="single" w:color="auto" w:sz="6" w:space="0"/>
              <w:left w:val="single" w:color="auto" w:sz="4" w:space="0"/>
              <w:bottom w:val="single" w:color="auto" w:sz="6" w:space="0"/>
            </w:tcBorders>
            <w:vAlign w:val="center"/>
          </w:tcPr>
          <w:p w14:paraId="1119023E">
            <w:pPr>
              <w:pStyle w:val="92"/>
              <w:rPr>
                <w:color w:val="auto"/>
                <w:highlight w:val="none"/>
                <w:u w:val="none"/>
              </w:rPr>
            </w:pPr>
            <w:r>
              <w:rPr>
                <w:color w:val="auto"/>
                <w:highlight w:val="none"/>
                <w:u w:val="none"/>
              </w:rPr>
              <w:t>100-42-5</w:t>
            </w:r>
          </w:p>
        </w:tc>
        <w:tc>
          <w:tcPr>
            <w:tcW w:w="603" w:type="pct"/>
            <w:tcBorders>
              <w:top w:val="single" w:color="auto" w:sz="6" w:space="0"/>
              <w:bottom w:val="single" w:color="auto" w:sz="6" w:space="0"/>
            </w:tcBorders>
            <w:vAlign w:val="center"/>
          </w:tcPr>
          <w:p w14:paraId="0777CEEE">
            <w:pPr>
              <w:pStyle w:val="92"/>
              <w:rPr>
                <w:color w:val="auto"/>
                <w:highlight w:val="none"/>
                <w:u w:val="none"/>
              </w:rPr>
            </w:pPr>
            <w:r>
              <w:rPr>
                <w:color w:val="auto"/>
                <w:highlight w:val="none"/>
                <w:u w:val="none"/>
              </w:rPr>
              <w:t>1290</w:t>
            </w:r>
          </w:p>
        </w:tc>
        <w:tc>
          <w:tcPr>
            <w:tcW w:w="668" w:type="pct"/>
            <w:tcBorders>
              <w:top w:val="single" w:color="auto" w:sz="6" w:space="0"/>
              <w:bottom w:val="single" w:color="auto" w:sz="6" w:space="0"/>
            </w:tcBorders>
            <w:shd w:val="clear" w:color="auto" w:fill="D9D9D9"/>
            <w:vAlign w:val="center"/>
          </w:tcPr>
          <w:p w14:paraId="1A4A421A">
            <w:pPr>
              <w:pStyle w:val="92"/>
              <w:rPr>
                <w:color w:val="auto"/>
                <w:highlight w:val="none"/>
                <w:u w:val="none"/>
              </w:rPr>
            </w:pPr>
            <w:r>
              <w:rPr>
                <w:color w:val="auto"/>
                <w:highlight w:val="none"/>
                <w:u w:val="none"/>
              </w:rPr>
              <w:t>1290</w:t>
            </w:r>
          </w:p>
        </w:tc>
        <w:tc>
          <w:tcPr>
            <w:tcW w:w="646" w:type="pct"/>
            <w:tcBorders>
              <w:top w:val="single" w:color="auto" w:sz="6" w:space="0"/>
              <w:bottom w:val="single" w:color="auto" w:sz="6" w:space="0"/>
            </w:tcBorders>
            <w:vAlign w:val="center"/>
          </w:tcPr>
          <w:p w14:paraId="2DD6976B">
            <w:pPr>
              <w:pStyle w:val="92"/>
              <w:rPr>
                <w:color w:val="auto"/>
                <w:highlight w:val="none"/>
                <w:u w:val="none"/>
              </w:rPr>
            </w:pPr>
            <w:r>
              <w:rPr>
                <w:color w:val="auto"/>
                <w:highlight w:val="none"/>
                <w:u w:val="none"/>
              </w:rPr>
              <w:t>1290</w:t>
            </w:r>
          </w:p>
        </w:tc>
        <w:tc>
          <w:tcPr>
            <w:tcW w:w="613" w:type="pct"/>
            <w:tcBorders>
              <w:top w:val="single" w:color="auto" w:sz="6" w:space="0"/>
              <w:bottom w:val="single" w:color="auto" w:sz="6" w:space="0"/>
              <w:right w:val="single" w:color="auto" w:sz="12" w:space="0"/>
            </w:tcBorders>
            <w:shd w:val="clear" w:color="auto" w:fill="auto"/>
            <w:vAlign w:val="center"/>
          </w:tcPr>
          <w:p w14:paraId="1C7BB1A6">
            <w:pPr>
              <w:pStyle w:val="92"/>
              <w:rPr>
                <w:color w:val="auto"/>
                <w:highlight w:val="none"/>
                <w:u w:val="none"/>
              </w:rPr>
            </w:pPr>
            <w:r>
              <w:rPr>
                <w:color w:val="auto"/>
                <w:highlight w:val="none"/>
                <w:u w:val="none"/>
              </w:rPr>
              <w:t>1290</w:t>
            </w:r>
          </w:p>
        </w:tc>
      </w:tr>
      <w:tr w14:paraId="77446E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C8D4660">
            <w:pPr>
              <w:pStyle w:val="92"/>
              <w:rPr>
                <w:color w:val="auto"/>
                <w:highlight w:val="none"/>
                <w:u w:val="none"/>
              </w:rPr>
            </w:pPr>
            <w:r>
              <w:rPr>
                <w:color w:val="auto"/>
                <w:highlight w:val="none"/>
                <w:u w:val="none"/>
              </w:rPr>
              <w:t>32</w:t>
            </w:r>
          </w:p>
        </w:tc>
        <w:tc>
          <w:tcPr>
            <w:tcW w:w="1235" w:type="pct"/>
            <w:tcBorders>
              <w:top w:val="single" w:color="auto" w:sz="6" w:space="0"/>
              <w:left w:val="single" w:color="auto" w:sz="4" w:space="0"/>
              <w:bottom w:val="single" w:color="auto" w:sz="6" w:space="0"/>
              <w:right w:val="single" w:color="auto" w:sz="4" w:space="0"/>
            </w:tcBorders>
            <w:vAlign w:val="center"/>
          </w:tcPr>
          <w:p w14:paraId="62D1AF82">
            <w:pPr>
              <w:pStyle w:val="92"/>
              <w:rPr>
                <w:color w:val="auto"/>
                <w:highlight w:val="none"/>
                <w:u w:val="none"/>
              </w:rPr>
            </w:pPr>
            <w:r>
              <w:rPr>
                <w:color w:val="auto"/>
                <w:highlight w:val="none"/>
                <w:u w:val="none"/>
              </w:rPr>
              <w:t>甲苯</w:t>
            </w:r>
          </w:p>
        </w:tc>
        <w:tc>
          <w:tcPr>
            <w:tcW w:w="712" w:type="pct"/>
            <w:tcBorders>
              <w:top w:val="single" w:color="auto" w:sz="6" w:space="0"/>
              <w:left w:val="single" w:color="auto" w:sz="4" w:space="0"/>
              <w:bottom w:val="single" w:color="auto" w:sz="6" w:space="0"/>
            </w:tcBorders>
            <w:vAlign w:val="center"/>
          </w:tcPr>
          <w:p w14:paraId="2146F7E1">
            <w:pPr>
              <w:pStyle w:val="92"/>
              <w:rPr>
                <w:color w:val="auto"/>
                <w:highlight w:val="none"/>
                <w:u w:val="none"/>
              </w:rPr>
            </w:pPr>
            <w:r>
              <w:rPr>
                <w:color w:val="auto"/>
                <w:highlight w:val="none"/>
                <w:u w:val="none"/>
              </w:rPr>
              <w:t>108-88-3</w:t>
            </w:r>
          </w:p>
        </w:tc>
        <w:tc>
          <w:tcPr>
            <w:tcW w:w="603" w:type="pct"/>
            <w:tcBorders>
              <w:top w:val="single" w:color="auto" w:sz="6" w:space="0"/>
              <w:bottom w:val="single" w:color="auto" w:sz="6" w:space="0"/>
            </w:tcBorders>
            <w:vAlign w:val="center"/>
          </w:tcPr>
          <w:p w14:paraId="3AA02A8F">
            <w:pPr>
              <w:pStyle w:val="92"/>
              <w:rPr>
                <w:color w:val="auto"/>
                <w:highlight w:val="none"/>
                <w:u w:val="none"/>
              </w:rPr>
            </w:pPr>
            <w:r>
              <w:rPr>
                <w:color w:val="auto"/>
                <w:highlight w:val="none"/>
                <w:u w:val="none"/>
              </w:rPr>
              <w:t>1200</w:t>
            </w:r>
          </w:p>
        </w:tc>
        <w:tc>
          <w:tcPr>
            <w:tcW w:w="668" w:type="pct"/>
            <w:tcBorders>
              <w:top w:val="single" w:color="auto" w:sz="6" w:space="0"/>
              <w:bottom w:val="single" w:color="auto" w:sz="6" w:space="0"/>
            </w:tcBorders>
            <w:shd w:val="clear" w:color="auto" w:fill="D9D9D9"/>
            <w:vAlign w:val="center"/>
          </w:tcPr>
          <w:p w14:paraId="2D8D9627">
            <w:pPr>
              <w:pStyle w:val="92"/>
              <w:rPr>
                <w:color w:val="auto"/>
                <w:highlight w:val="none"/>
                <w:u w:val="none"/>
              </w:rPr>
            </w:pPr>
            <w:r>
              <w:rPr>
                <w:color w:val="auto"/>
                <w:highlight w:val="none"/>
                <w:u w:val="none"/>
              </w:rPr>
              <w:t>1200</w:t>
            </w:r>
          </w:p>
        </w:tc>
        <w:tc>
          <w:tcPr>
            <w:tcW w:w="646" w:type="pct"/>
            <w:tcBorders>
              <w:top w:val="single" w:color="auto" w:sz="6" w:space="0"/>
              <w:bottom w:val="single" w:color="auto" w:sz="6" w:space="0"/>
            </w:tcBorders>
            <w:vAlign w:val="center"/>
          </w:tcPr>
          <w:p w14:paraId="2BC626B8">
            <w:pPr>
              <w:pStyle w:val="92"/>
              <w:rPr>
                <w:color w:val="auto"/>
                <w:highlight w:val="none"/>
                <w:u w:val="none"/>
              </w:rPr>
            </w:pPr>
            <w:r>
              <w:rPr>
                <w:color w:val="auto"/>
                <w:highlight w:val="none"/>
                <w:u w:val="none"/>
              </w:rPr>
              <w:t>1200</w:t>
            </w:r>
          </w:p>
        </w:tc>
        <w:tc>
          <w:tcPr>
            <w:tcW w:w="613" w:type="pct"/>
            <w:tcBorders>
              <w:top w:val="single" w:color="auto" w:sz="6" w:space="0"/>
              <w:bottom w:val="single" w:color="auto" w:sz="6" w:space="0"/>
              <w:right w:val="single" w:color="auto" w:sz="12" w:space="0"/>
            </w:tcBorders>
            <w:shd w:val="clear" w:color="auto" w:fill="auto"/>
            <w:vAlign w:val="center"/>
          </w:tcPr>
          <w:p w14:paraId="6BC81E6F">
            <w:pPr>
              <w:pStyle w:val="92"/>
              <w:rPr>
                <w:color w:val="auto"/>
                <w:highlight w:val="none"/>
                <w:u w:val="none"/>
              </w:rPr>
            </w:pPr>
            <w:r>
              <w:rPr>
                <w:color w:val="auto"/>
                <w:highlight w:val="none"/>
                <w:u w:val="none"/>
              </w:rPr>
              <w:t>1200</w:t>
            </w:r>
          </w:p>
        </w:tc>
      </w:tr>
      <w:tr w14:paraId="41CED0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73CE293">
            <w:pPr>
              <w:pStyle w:val="92"/>
              <w:rPr>
                <w:color w:val="auto"/>
                <w:highlight w:val="none"/>
                <w:u w:val="none"/>
              </w:rPr>
            </w:pPr>
            <w:r>
              <w:rPr>
                <w:color w:val="auto"/>
                <w:highlight w:val="none"/>
                <w:u w:val="none"/>
              </w:rPr>
              <w:t>33</w:t>
            </w:r>
          </w:p>
        </w:tc>
        <w:tc>
          <w:tcPr>
            <w:tcW w:w="1235" w:type="pct"/>
            <w:tcBorders>
              <w:top w:val="single" w:color="auto" w:sz="6" w:space="0"/>
              <w:left w:val="single" w:color="auto" w:sz="4" w:space="0"/>
              <w:bottom w:val="single" w:color="auto" w:sz="6" w:space="0"/>
              <w:right w:val="single" w:color="auto" w:sz="4" w:space="0"/>
            </w:tcBorders>
            <w:vAlign w:val="center"/>
          </w:tcPr>
          <w:p w14:paraId="15CCDC86">
            <w:pPr>
              <w:pStyle w:val="92"/>
              <w:rPr>
                <w:color w:val="auto"/>
                <w:highlight w:val="none"/>
                <w:u w:val="none"/>
              </w:rPr>
            </w:pPr>
            <w:r>
              <w:rPr>
                <w:color w:val="auto"/>
                <w:highlight w:val="none"/>
                <w:u w:val="none"/>
              </w:rPr>
              <w:t>间二甲苯+对二甲苯</w:t>
            </w:r>
          </w:p>
        </w:tc>
        <w:tc>
          <w:tcPr>
            <w:tcW w:w="712" w:type="pct"/>
            <w:tcBorders>
              <w:top w:val="single" w:color="auto" w:sz="6" w:space="0"/>
              <w:left w:val="single" w:color="auto" w:sz="4" w:space="0"/>
              <w:bottom w:val="single" w:color="auto" w:sz="6" w:space="0"/>
            </w:tcBorders>
            <w:vAlign w:val="center"/>
          </w:tcPr>
          <w:p w14:paraId="6F34C037">
            <w:pPr>
              <w:pStyle w:val="92"/>
              <w:rPr>
                <w:color w:val="auto"/>
                <w:highlight w:val="none"/>
                <w:u w:val="none"/>
              </w:rPr>
            </w:pPr>
            <w:r>
              <w:rPr>
                <w:color w:val="auto"/>
                <w:highlight w:val="none"/>
                <w:u w:val="none"/>
              </w:rPr>
              <w:t>108-38-3,</w:t>
            </w:r>
          </w:p>
          <w:p w14:paraId="55BEFF61">
            <w:pPr>
              <w:pStyle w:val="92"/>
              <w:rPr>
                <w:color w:val="auto"/>
                <w:highlight w:val="none"/>
                <w:u w:val="none"/>
              </w:rPr>
            </w:pPr>
            <w:r>
              <w:rPr>
                <w:color w:val="auto"/>
                <w:highlight w:val="none"/>
                <w:u w:val="none"/>
              </w:rPr>
              <w:t>106-42-3</w:t>
            </w:r>
          </w:p>
        </w:tc>
        <w:tc>
          <w:tcPr>
            <w:tcW w:w="603" w:type="pct"/>
            <w:tcBorders>
              <w:top w:val="single" w:color="auto" w:sz="6" w:space="0"/>
              <w:bottom w:val="single" w:color="auto" w:sz="6" w:space="0"/>
            </w:tcBorders>
            <w:vAlign w:val="center"/>
          </w:tcPr>
          <w:p w14:paraId="1B5820C1">
            <w:pPr>
              <w:pStyle w:val="92"/>
              <w:rPr>
                <w:color w:val="auto"/>
                <w:highlight w:val="none"/>
                <w:u w:val="none"/>
              </w:rPr>
            </w:pPr>
            <w:r>
              <w:rPr>
                <w:color w:val="auto"/>
                <w:highlight w:val="none"/>
                <w:u w:val="none"/>
              </w:rPr>
              <w:t>163</w:t>
            </w:r>
          </w:p>
        </w:tc>
        <w:tc>
          <w:tcPr>
            <w:tcW w:w="668" w:type="pct"/>
            <w:tcBorders>
              <w:top w:val="single" w:color="auto" w:sz="6" w:space="0"/>
              <w:bottom w:val="single" w:color="auto" w:sz="6" w:space="0"/>
            </w:tcBorders>
            <w:shd w:val="clear" w:color="auto" w:fill="D9D9D9"/>
            <w:vAlign w:val="center"/>
          </w:tcPr>
          <w:p w14:paraId="1EED50E6">
            <w:pPr>
              <w:pStyle w:val="92"/>
              <w:rPr>
                <w:color w:val="auto"/>
                <w:highlight w:val="none"/>
                <w:u w:val="none"/>
              </w:rPr>
            </w:pPr>
            <w:r>
              <w:rPr>
                <w:color w:val="auto"/>
                <w:highlight w:val="none"/>
                <w:u w:val="none"/>
              </w:rPr>
              <w:t>570</w:t>
            </w:r>
          </w:p>
        </w:tc>
        <w:tc>
          <w:tcPr>
            <w:tcW w:w="646" w:type="pct"/>
            <w:tcBorders>
              <w:top w:val="single" w:color="auto" w:sz="6" w:space="0"/>
              <w:bottom w:val="single" w:color="auto" w:sz="6" w:space="0"/>
            </w:tcBorders>
            <w:vAlign w:val="center"/>
          </w:tcPr>
          <w:p w14:paraId="114557A8">
            <w:pPr>
              <w:pStyle w:val="92"/>
              <w:rPr>
                <w:color w:val="auto"/>
                <w:highlight w:val="none"/>
                <w:u w:val="none"/>
              </w:rPr>
            </w:pPr>
            <w:r>
              <w:rPr>
                <w:color w:val="auto"/>
                <w:highlight w:val="none"/>
                <w:u w:val="none"/>
              </w:rPr>
              <w:t>500</w:t>
            </w:r>
          </w:p>
        </w:tc>
        <w:tc>
          <w:tcPr>
            <w:tcW w:w="613" w:type="pct"/>
            <w:tcBorders>
              <w:top w:val="single" w:color="auto" w:sz="6" w:space="0"/>
              <w:bottom w:val="single" w:color="auto" w:sz="6" w:space="0"/>
              <w:right w:val="single" w:color="auto" w:sz="12" w:space="0"/>
            </w:tcBorders>
            <w:shd w:val="clear" w:color="auto" w:fill="auto"/>
            <w:vAlign w:val="center"/>
          </w:tcPr>
          <w:p w14:paraId="2C40822D">
            <w:pPr>
              <w:pStyle w:val="92"/>
              <w:rPr>
                <w:color w:val="auto"/>
                <w:highlight w:val="none"/>
                <w:u w:val="none"/>
              </w:rPr>
            </w:pPr>
            <w:r>
              <w:rPr>
                <w:color w:val="auto"/>
                <w:highlight w:val="none"/>
                <w:u w:val="none"/>
              </w:rPr>
              <w:t>570</w:t>
            </w:r>
          </w:p>
        </w:tc>
      </w:tr>
      <w:tr w14:paraId="6C72C9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361D5037">
            <w:pPr>
              <w:pStyle w:val="92"/>
              <w:rPr>
                <w:color w:val="auto"/>
                <w:highlight w:val="none"/>
                <w:u w:val="none"/>
              </w:rPr>
            </w:pPr>
            <w:r>
              <w:rPr>
                <w:color w:val="auto"/>
                <w:highlight w:val="none"/>
                <w:u w:val="none"/>
              </w:rPr>
              <w:t>34</w:t>
            </w:r>
          </w:p>
        </w:tc>
        <w:tc>
          <w:tcPr>
            <w:tcW w:w="1235" w:type="pct"/>
            <w:tcBorders>
              <w:top w:val="single" w:color="auto" w:sz="6" w:space="0"/>
              <w:left w:val="single" w:color="auto" w:sz="4" w:space="0"/>
              <w:bottom w:val="single" w:color="auto" w:sz="6" w:space="0"/>
              <w:right w:val="single" w:color="auto" w:sz="4" w:space="0"/>
            </w:tcBorders>
            <w:vAlign w:val="center"/>
          </w:tcPr>
          <w:p w14:paraId="1D9B1730">
            <w:pPr>
              <w:pStyle w:val="92"/>
              <w:rPr>
                <w:color w:val="auto"/>
                <w:highlight w:val="none"/>
                <w:u w:val="none"/>
              </w:rPr>
            </w:pPr>
            <w:r>
              <w:rPr>
                <w:color w:val="auto"/>
                <w:highlight w:val="none"/>
                <w:u w:val="none"/>
              </w:rPr>
              <w:t>邻二甲苯</w:t>
            </w:r>
          </w:p>
        </w:tc>
        <w:tc>
          <w:tcPr>
            <w:tcW w:w="712" w:type="pct"/>
            <w:tcBorders>
              <w:top w:val="single" w:color="auto" w:sz="6" w:space="0"/>
              <w:left w:val="single" w:color="auto" w:sz="4" w:space="0"/>
              <w:bottom w:val="single" w:color="auto" w:sz="6" w:space="0"/>
            </w:tcBorders>
            <w:vAlign w:val="center"/>
          </w:tcPr>
          <w:p w14:paraId="61D551AB">
            <w:pPr>
              <w:pStyle w:val="92"/>
              <w:rPr>
                <w:color w:val="auto"/>
                <w:highlight w:val="none"/>
                <w:u w:val="none"/>
              </w:rPr>
            </w:pPr>
            <w:r>
              <w:rPr>
                <w:color w:val="auto"/>
                <w:highlight w:val="none"/>
                <w:u w:val="none"/>
              </w:rPr>
              <w:t>95-47-6</w:t>
            </w:r>
          </w:p>
        </w:tc>
        <w:tc>
          <w:tcPr>
            <w:tcW w:w="603" w:type="pct"/>
            <w:tcBorders>
              <w:top w:val="single" w:color="auto" w:sz="6" w:space="0"/>
              <w:bottom w:val="single" w:color="auto" w:sz="6" w:space="0"/>
            </w:tcBorders>
            <w:vAlign w:val="center"/>
          </w:tcPr>
          <w:p w14:paraId="4FAB0707">
            <w:pPr>
              <w:pStyle w:val="92"/>
              <w:rPr>
                <w:color w:val="auto"/>
                <w:highlight w:val="none"/>
                <w:u w:val="none"/>
              </w:rPr>
            </w:pPr>
            <w:r>
              <w:rPr>
                <w:color w:val="auto"/>
                <w:highlight w:val="none"/>
                <w:u w:val="none"/>
              </w:rPr>
              <w:t>222</w:t>
            </w:r>
          </w:p>
        </w:tc>
        <w:tc>
          <w:tcPr>
            <w:tcW w:w="668" w:type="pct"/>
            <w:tcBorders>
              <w:top w:val="single" w:color="auto" w:sz="6" w:space="0"/>
              <w:bottom w:val="single" w:color="auto" w:sz="6" w:space="0"/>
            </w:tcBorders>
            <w:shd w:val="clear" w:color="auto" w:fill="D9D9D9"/>
            <w:vAlign w:val="center"/>
          </w:tcPr>
          <w:p w14:paraId="6F3985AF">
            <w:pPr>
              <w:pStyle w:val="92"/>
              <w:rPr>
                <w:color w:val="auto"/>
                <w:highlight w:val="none"/>
                <w:u w:val="none"/>
              </w:rPr>
            </w:pPr>
            <w:r>
              <w:rPr>
                <w:color w:val="auto"/>
                <w:highlight w:val="none"/>
                <w:u w:val="none"/>
              </w:rPr>
              <w:t>640</w:t>
            </w:r>
          </w:p>
        </w:tc>
        <w:tc>
          <w:tcPr>
            <w:tcW w:w="646" w:type="pct"/>
            <w:tcBorders>
              <w:top w:val="single" w:color="auto" w:sz="6" w:space="0"/>
              <w:bottom w:val="single" w:color="auto" w:sz="6" w:space="0"/>
            </w:tcBorders>
            <w:vAlign w:val="center"/>
          </w:tcPr>
          <w:p w14:paraId="0CCA8B3B">
            <w:pPr>
              <w:pStyle w:val="92"/>
              <w:rPr>
                <w:color w:val="auto"/>
                <w:highlight w:val="none"/>
                <w:u w:val="none"/>
              </w:rPr>
            </w:pPr>
            <w:r>
              <w:rPr>
                <w:color w:val="auto"/>
                <w:highlight w:val="none"/>
                <w:u w:val="none"/>
              </w:rPr>
              <w:t>640</w:t>
            </w:r>
          </w:p>
        </w:tc>
        <w:tc>
          <w:tcPr>
            <w:tcW w:w="613" w:type="pct"/>
            <w:tcBorders>
              <w:top w:val="single" w:color="auto" w:sz="6" w:space="0"/>
              <w:bottom w:val="single" w:color="auto" w:sz="6" w:space="0"/>
              <w:right w:val="single" w:color="auto" w:sz="12" w:space="0"/>
            </w:tcBorders>
            <w:shd w:val="clear" w:color="auto" w:fill="auto"/>
            <w:vAlign w:val="center"/>
          </w:tcPr>
          <w:p w14:paraId="514C0543">
            <w:pPr>
              <w:pStyle w:val="92"/>
              <w:rPr>
                <w:color w:val="auto"/>
                <w:highlight w:val="none"/>
                <w:u w:val="none"/>
              </w:rPr>
            </w:pPr>
            <w:r>
              <w:rPr>
                <w:color w:val="auto"/>
                <w:highlight w:val="none"/>
                <w:u w:val="none"/>
              </w:rPr>
              <w:t>640</w:t>
            </w:r>
          </w:p>
        </w:tc>
      </w:tr>
      <w:tr w14:paraId="1EF70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0AA2B499">
            <w:pPr>
              <w:pStyle w:val="92"/>
              <w:rPr>
                <w:color w:val="auto"/>
                <w:highlight w:val="none"/>
                <w:u w:val="none"/>
              </w:rPr>
            </w:pPr>
            <w:r>
              <w:rPr>
                <w:color w:val="auto"/>
                <w:highlight w:val="none"/>
                <w:u w:val="none"/>
              </w:rPr>
              <w:t>半挥发性有机物</w:t>
            </w:r>
          </w:p>
        </w:tc>
      </w:tr>
      <w:tr w14:paraId="784BB1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0613DBEB">
            <w:pPr>
              <w:pStyle w:val="92"/>
              <w:rPr>
                <w:color w:val="auto"/>
                <w:highlight w:val="none"/>
                <w:u w:val="none"/>
              </w:rPr>
            </w:pPr>
            <w:r>
              <w:rPr>
                <w:color w:val="auto"/>
                <w:highlight w:val="none"/>
                <w:u w:val="none"/>
              </w:rPr>
              <w:t>35</w:t>
            </w:r>
          </w:p>
        </w:tc>
        <w:tc>
          <w:tcPr>
            <w:tcW w:w="1235" w:type="pct"/>
            <w:tcBorders>
              <w:top w:val="single" w:color="auto" w:sz="6" w:space="0"/>
              <w:left w:val="single" w:color="auto" w:sz="4" w:space="0"/>
              <w:bottom w:val="single" w:color="auto" w:sz="6" w:space="0"/>
              <w:right w:val="single" w:color="auto" w:sz="4" w:space="0"/>
            </w:tcBorders>
            <w:vAlign w:val="center"/>
          </w:tcPr>
          <w:p w14:paraId="42E87367">
            <w:pPr>
              <w:pStyle w:val="92"/>
              <w:rPr>
                <w:color w:val="auto"/>
                <w:highlight w:val="none"/>
                <w:u w:val="none"/>
              </w:rPr>
            </w:pPr>
            <w:r>
              <w:rPr>
                <w:color w:val="auto"/>
                <w:highlight w:val="none"/>
                <w:u w:val="none"/>
              </w:rPr>
              <w:t>硝基苯</w:t>
            </w:r>
          </w:p>
        </w:tc>
        <w:tc>
          <w:tcPr>
            <w:tcW w:w="712" w:type="pct"/>
            <w:tcBorders>
              <w:top w:val="single" w:color="auto" w:sz="6" w:space="0"/>
              <w:left w:val="single" w:color="auto" w:sz="4" w:space="0"/>
              <w:bottom w:val="single" w:color="auto" w:sz="6" w:space="0"/>
            </w:tcBorders>
            <w:vAlign w:val="center"/>
          </w:tcPr>
          <w:p w14:paraId="6AA016A0">
            <w:pPr>
              <w:pStyle w:val="92"/>
              <w:rPr>
                <w:color w:val="auto"/>
                <w:highlight w:val="none"/>
                <w:u w:val="none"/>
              </w:rPr>
            </w:pPr>
            <w:r>
              <w:rPr>
                <w:color w:val="auto"/>
                <w:highlight w:val="none"/>
                <w:u w:val="none"/>
              </w:rPr>
              <w:t>98-95-3</w:t>
            </w:r>
          </w:p>
        </w:tc>
        <w:tc>
          <w:tcPr>
            <w:tcW w:w="603" w:type="pct"/>
            <w:tcBorders>
              <w:top w:val="single" w:color="auto" w:sz="6" w:space="0"/>
              <w:bottom w:val="single" w:color="auto" w:sz="6" w:space="0"/>
            </w:tcBorders>
            <w:vAlign w:val="center"/>
          </w:tcPr>
          <w:p w14:paraId="1A90DAA9">
            <w:pPr>
              <w:pStyle w:val="92"/>
              <w:rPr>
                <w:color w:val="auto"/>
                <w:highlight w:val="none"/>
                <w:u w:val="none"/>
              </w:rPr>
            </w:pPr>
            <w:r>
              <w:rPr>
                <w:color w:val="auto"/>
                <w:highlight w:val="none"/>
                <w:u w:val="none"/>
              </w:rPr>
              <w:t>34</w:t>
            </w:r>
          </w:p>
        </w:tc>
        <w:tc>
          <w:tcPr>
            <w:tcW w:w="668" w:type="pct"/>
            <w:tcBorders>
              <w:top w:val="single" w:color="auto" w:sz="6" w:space="0"/>
              <w:bottom w:val="single" w:color="auto" w:sz="6" w:space="0"/>
            </w:tcBorders>
            <w:shd w:val="clear" w:color="auto" w:fill="D9D9D9"/>
            <w:vAlign w:val="center"/>
          </w:tcPr>
          <w:p w14:paraId="42213367">
            <w:pPr>
              <w:pStyle w:val="92"/>
              <w:rPr>
                <w:color w:val="auto"/>
                <w:highlight w:val="none"/>
                <w:u w:val="none"/>
              </w:rPr>
            </w:pPr>
            <w:r>
              <w:rPr>
                <w:color w:val="auto"/>
                <w:highlight w:val="none"/>
                <w:u w:val="none"/>
              </w:rPr>
              <w:t>76</w:t>
            </w:r>
          </w:p>
        </w:tc>
        <w:tc>
          <w:tcPr>
            <w:tcW w:w="646" w:type="pct"/>
            <w:tcBorders>
              <w:top w:val="single" w:color="auto" w:sz="6" w:space="0"/>
              <w:bottom w:val="single" w:color="auto" w:sz="6" w:space="0"/>
            </w:tcBorders>
            <w:vAlign w:val="center"/>
          </w:tcPr>
          <w:p w14:paraId="0EBDBE21">
            <w:pPr>
              <w:pStyle w:val="92"/>
              <w:rPr>
                <w:color w:val="auto"/>
                <w:highlight w:val="none"/>
                <w:u w:val="none"/>
              </w:rPr>
            </w:pPr>
            <w:r>
              <w:rPr>
                <w:color w:val="auto"/>
                <w:highlight w:val="none"/>
                <w:u w:val="none"/>
              </w:rPr>
              <w:t>190</w:t>
            </w:r>
          </w:p>
        </w:tc>
        <w:tc>
          <w:tcPr>
            <w:tcW w:w="613" w:type="pct"/>
            <w:tcBorders>
              <w:top w:val="single" w:color="auto" w:sz="6" w:space="0"/>
              <w:bottom w:val="single" w:color="auto" w:sz="6" w:space="0"/>
              <w:right w:val="single" w:color="auto" w:sz="12" w:space="0"/>
            </w:tcBorders>
            <w:shd w:val="clear" w:color="auto" w:fill="auto"/>
            <w:vAlign w:val="center"/>
          </w:tcPr>
          <w:p w14:paraId="2033A4F3">
            <w:pPr>
              <w:pStyle w:val="92"/>
              <w:rPr>
                <w:color w:val="auto"/>
                <w:highlight w:val="none"/>
                <w:u w:val="none"/>
              </w:rPr>
            </w:pPr>
            <w:r>
              <w:rPr>
                <w:color w:val="auto"/>
                <w:highlight w:val="none"/>
                <w:u w:val="none"/>
              </w:rPr>
              <w:t>760</w:t>
            </w:r>
          </w:p>
        </w:tc>
      </w:tr>
      <w:tr w14:paraId="51FBB8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0AD80BD3">
            <w:pPr>
              <w:pStyle w:val="92"/>
              <w:rPr>
                <w:color w:val="auto"/>
                <w:highlight w:val="none"/>
                <w:u w:val="none"/>
              </w:rPr>
            </w:pPr>
            <w:r>
              <w:rPr>
                <w:color w:val="auto"/>
                <w:highlight w:val="none"/>
                <w:u w:val="none"/>
              </w:rPr>
              <w:t>36</w:t>
            </w:r>
          </w:p>
        </w:tc>
        <w:tc>
          <w:tcPr>
            <w:tcW w:w="1235" w:type="pct"/>
            <w:tcBorders>
              <w:top w:val="single" w:color="auto" w:sz="6" w:space="0"/>
              <w:left w:val="single" w:color="auto" w:sz="4" w:space="0"/>
              <w:bottom w:val="single" w:color="auto" w:sz="6" w:space="0"/>
              <w:right w:val="single" w:color="auto" w:sz="4" w:space="0"/>
            </w:tcBorders>
            <w:vAlign w:val="center"/>
          </w:tcPr>
          <w:p w14:paraId="1D4A4B70">
            <w:pPr>
              <w:pStyle w:val="92"/>
              <w:rPr>
                <w:color w:val="auto"/>
                <w:highlight w:val="none"/>
                <w:u w:val="none"/>
              </w:rPr>
            </w:pPr>
            <w:r>
              <w:rPr>
                <w:color w:val="auto"/>
                <w:highlight w:val="none"/>
                <w:u w:val="none"/>
              </w:rPr>
              <w:t>苯胺</w:t>
            </w:r>
          </w:p>
        </w:tc>
        <w:tc>
          <w:tcPr>
            <w:tcW w:w="712" w:type="pct"/>
            <w:tcBorders>
              <w:top w:val="single" w:color="auto" w:sz="6" w:space="0"/>
              <w:left w:val="single" w:color="auto" w:sz="4" w:space="0"/>
              <w:bottom w:val="single" w:color="auto" w:sz="6" w:space="0"/>
            </w:tcBorders>
            <w:vAlign w:val="center"/>
          </w:tcPr>
          <w:p w14:paraId="463CBA7D">
            <w:pPr>
              <w:pStyle w:val="92"/>
              <w:rPr>
                <w:color w:val="auto"/>
                <w:highlight w:val="none"/>
                <w:u w:val="none"/>
              </w:rPr>
            </w:pPr>
            <w:r>
              <w:rPr>
                <w:color w:val="auto"/>
                <w:highlight w:val="none"/>
                <w:u w:val="none"/>
              </w:rPr>
              <w:t>62-53-3</w:t>
            </w:r>
          </w:p>
        </w:tc>
        <w:tc>
          <w:tcPr>
            <w:tcW w:w="603" w:type="pct"/>
            <w:tcBorders>
              <w:top w:val="single" w:color="auto" w:sz="6" w:space="0"/>
              <w:bottom w:val="single" w:color="auto" w:sz="6" w:space="0"/>
            </w:tcBorders>
            <w:vAlign w:val="center"/>
          </w:tcPr>
          <w:p w14:paraId="22CB2D18">
            <w:pPr>
              <w:pStyle w:val="92"/>
              <w:rPr>
                <w:color w:val="auto"/>
                <w:highlight w:val="none"/>
                <w:u w:val="none"/>
              </w:rPr>
            </w:pPr>
            <w:r>
              <w:rPr>
                <w:color w:val="auto"/>
                <w:highlight w:val="none"/>
                <w:u w:val="none"/>
              </w:rPr>
              <w:t>92</w:t>
            </w:r>
          </w:p>
        </w:tc>
        <w:tc>
          <w:tcPr>
            <w:tcW w:w="668" w:type="pct"/>
            <w:tcBorders>
              <w:top w:val="single" w:color="auto" w:sz="6" w:space="0"/>
              <w:bottom w:val="single" w:color="auto" w:sz="6" w:space="0"/>
            </w:tcBorders>
            <w:shd w:val="clear" w:color="auto" w:fill="D9D9D9"/>
            <w:vAlign w:val="center"/>
          </w:tcPr>
          <w:p w14:paraId="678DC9D5">
            <w:pPr>
              <w:pStyle w:val="92"/>
              <w:rPr>
                <w:color w:val="auto"/>
                <w:highlight w:val="none"/>
                <w:u w:val="none"/>
              </w:rPr>
            </w:pPr>
            <w:r>
              <w:rPr>
                <w:color w:val="auto"/>
                <w:highlight w:val="none"/>
                <w:u w:val="none"/>
              </w:rPr>
              <w:t>260</w:t>
            </w:r>
          </w:p>
        </w:tc>
        <w:tc>
          <w:tcPr>
            <w:tcW w:w="646" w:type="pct"/>
            <w:tcBorders>
              <w:top w:val="single" w:color="auto" w:sz="6" w:space="0"/>
              <w:bottom w:val="single" w:color="auto" w:sz="6" w:space="0"/>
            </w:tcBorders>
            <w:vAlign w:val="center"/>
          </w:tcPr>
          <w:p w14:paraId="4584E198">
            <w:pPr>
              <w:pStyle w:val="92"/>
              <w:rPr>
                <w:color w:val="auto"/>
                <w:highlight w:val="none"/>
                <w:u w:val="none"/>
              </w:rPr>
            </w:pPr>
            <w:r>
              <w:rPr>
                <w:color w:val="auto"/>
                <w:highlight w:val="none"/>
                <w:u w:val="none"/>
              </w:rPr>
              <w:t>211</w:t>
            </w:r>
          </w:p>
        </w:tc>
        <w:tc>
          <w:tcPr>
            <w:tcW w:w="613" w:type="pct"/>
            <w:tcBorders>
              <w:top w:val="single" w:color="auto" w:sz="6" w:space="0"/>
              <w:bottom w:val="single" w:color="auto" w:sz="6" w:space="0"/>
              <w:right w:val="single" w:color="auto" w:sz="12" w:space="0"/>
            </w:tcBorders>
            <w:shd w:val="clear" w:color="auto" w:fill="auto"/>
            <w:vAlign w:val="center"/>
          </w:tcPr>
          <w:p w14:paraId="15CF6FAB">
            <w:pPr>
              <w:pStyle w:val="92"/>
              <w:rPr>
                <w:color w:val="auto"/>
                <w:highlight w:val="none"/>
                <w:u w:val="none"/>
              </w:rPr>
            </w:pPr>
            <w:r>
              <w:rPr>
                <w:color w:val="auto"/>
                <w:highlight w:val="none"/>
                <w:u w:val="none"/>
              </w:rPr>
              <w:t>663</w:t>
            </w:r>
          </w:p>
        </w:tc>
      </w:tr>
      <w:tr w14:paraId="4BE1D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0EAADF5">
            <w:pPr>
              <w:pStyle w:val="92"/>
              <w:rPr>
                <w:color w:val="auto"/>
                <w:highlight w:val="none"/>
                <w:u w:val="none"/>
              </w:rPr>
            </w:pPr>
            <w:r>
              <w:rPr>
                <w:color w:val="auto"/>
                <w:highlight w:val="none"/>
                <w:u w:val="none"/>
              </w:rPr>
              <w:t>37</w:t>
            </w:r>
          </w:p>
        </w:tc>
        <w:tc>
          <w:tcPr>
            <w:tcW w:w="1235" w:type="pct"/>
            <w:tcBorders>
              <w:top w:val="single" w:color="auto" w:sz="6" w:space="0"/>
              <w:left w:val="single" w:color="auto" w:sz="4" w:space="0"/>
              <w:bottom w:val="single" w:color="auto" w:sz="6" w:space="0"/>
              <w:right w:val="single" w:color="auto" w:sz="4" w:space="0"/>
            </w:tcBorders>
            <w:vAlign w:val="center"/>
          </w:tcPr>
          <w:p w14:paraId="0620698C">
            <w:pPr>
              <w:pStyle w:val="92"/>
              <w:rPr>
                <w:color w:val="auto"/>
                <w:highlight w:val="none"/>
                <w:u w:val="none"/>
              </w:rPr>
            </w:pPr>
            <w:r>
              <w:rPr>
                <w:color w:val="auto"/>
                <w:highlight w:val="none"/>
                <w:u w:val="none"/>
              </w:rPr>
              <w:t>2-氯酚</w:t>
            </w:r>
          </w:p>
        </w:tc>
        <w:tc>
          <w:tcPr>
            <w:tcW w:w="712" w:type="pct"/>
            <w:tcBorders>
              <w:top w:val="single" w:color="auto" w:sz="6" w:space="0"/>
              <w:left w:val="single" w:color="auto" w:sz="4" w:space="0"/>
              <w:bottom w:val="single" w:color="auto" w:sz="6" w:space="0"/>
            </w:tcBorders>
            <w:vAlign w:val="center"/>
          </w:tcPr>
          <w:p w14:paraId="247DD5A9">
            <w:pPr>
              <w:pStyle w:val="92"/>
              <w:rPr>
                <w:color w:val="auto"/>
                <w:highlight w:val="none"/>
                <w:u w:val="none"/>
              </w:rPr>
            </w:pPr>
            <w:r>
              <w:rPr>
                <w:color w:val="auto"/>
                <w:highlight w:val="none"/>
                <w:u w:val="none"/>
              </w:rPr>
              <w:t>95-57-8</w:t>
            </w:r>
          </w:p>
        </w:tc>
        <w:tc>
          <w:tcPr>
            <w:tcW w:w="603" w:type="pct"/>
            <w:tcBorders>
              <w:top w:val="single" w:color="auto" w:sz="6" w:space="0"/>
              <w:bottom w:val="single" w:color="auto" w:sz="6" w:space="0"/>
            </w:tcBorders>
            <w:vAlign w:val="center"/>
          </w:tcPr>
          <w:p w14:paraId="0A7A77E9">
            <w:pPr>
              <w:pStyle w:val="92"/>
              <w:rPr>
                <w:color w:val="auto"/>
                <w:highlight w:val="none"/>
                <w:u w:val="none"/>
              </w:rPr>
            </w:pPr>
            <w:r>
              <w:rPr>
                <w:color w:val="auto"/>
                <w:highlight w:val="none"/>
                <w:u w:val="none"/>
              </w:rPr>
              <w:t>250</w:t>
            </w:r>
          </w:p>
        </w:tc>
        <w:tc>
          <w:tcPr>
            <w:tcW w:w="668" w:type="pct"/>
            <w:tcBorders>
              <w:top w:val="single" w:color="auto" w:sz="6" w:space="0"/>
              <w:bottom w:val="single" w:color="auto" w:sz="6" w:space="0"/>
            </w:tcBorders>
            <w:shd w:val="clear" w:color="auto" w:fill="D9D9D9"/>
            <w:vAlign w:val="center"/>
          </w:tcPr>
          <w:p w14:paraId="1756CC03">
            <w:pPr>
              <w:pStyle w:val="92"/>
              <w:rPr>
                <w:color w:val="auto"/>
                <w:highlight w:val="none"/>
                <w:u w:val="none"/>
              </w:rPr>
            </w:pPr>
            <w:r>
              <w:rPr>
                <w:color w:val="auto"/>
                <w:highlight w:val="none"/>
                <w:u w:val="none"/>
              </w:rPr>
              <w:t>2256</w:t>
            </w:r>
          </w:p>
        </w:tc>
        <w:tc>
          <w:tcPr>
            <w:tcW w:w="646" w:type="pct"/>
            <w:tcBorders>
              <w:top w:val="single" w:color="auto" w:sz="6" w:space="0"/>
              <w:bottom w:val="single" w:color="auto" w:sz="6" w:space="0"/>
            </w:tcBorders>
            <w:vAlign w:val="center"/>
          </w:tcPr>
          <w:p w14:paraId="77DD4290">
            <w:pPr>
              <w:pStyle w:val="92"/>
              <w:rPr>
                <w:color w:val="auto"/>
                <w:highlight w:val="none"/>
                <w:u w:val="none"/>
              </w:rPr>
            </w:pPr>
            <w:r>
              <w:rPr>
                <w:color w:val="auto"/>
                <w:highlight w:val="none"/>
                <w:u w:val="none"/>
              </w:rPr>
              <w:t>500</w:t>
            </w:r>
          </w:p>
        </w:tc>
        <w:tc>
          <w:tcPr>
            <w:tcW w:w="613" w:type="pct"/>
            <w:tcBorders>
              <w:top w:val="single" w:color="auto" w:sz="6" w:space="0"/>
              <w:bottom w:val="single" w:color="auto" w:sz="6" w:space="0"/>
              <w:right w:val="single" w:color="auto" w:sz="12" w:space="0"/>
            </w:tcBorders>
            <w:shd w:val="clear" w:color="auto" w:fill="auto"/>
            <w:vAlign w:val="center"/>
          </w:tcPr>
          <w:p w14:paraId="7E4F8658">
            <w:pPr>
              <w:pStyle w:val="92"/>
              <w:rPr>
                <w:color w:val="auto"/>
                <w:highlight w:val="none"/>
                <w:u w:val="none"/>
              </w:rPr>
            </w:pPr>
            <w:r>
              <w:rPr>
                <w:color w:val="auto"/>
                <w:highlight w:val="none"/>
                <w:u w:val="none"/>
              </w:rPr>
              <w:t>4500</w:t>
            </w:r>
          </w:p>
        </w:tc>
      </w:tr>
      <w:tr w14:paraId="3574B3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33099040">
            <w:pPr>
              <w:pStyle w:val="92"/>
              <w:rPr>
                <w:color w:val="auto"/>
                <w:highlight w:val="none"/>
                <w:u w:val="none"/>
              </w:rPr>
            </w:pPr>
            <w:r>
              <w:rPr>
                <w:color w:val="auto"/>
                <w:highlight w:val="none"/>
                <w:u w:val="none"/>
              </w:rPr>
              <w:t>38</w:t>
            </w:r>
          </w:p>
        </w:tc>
        <w:tc>
          <w:tcPr>
            <w:tcW w:w="1235" w:type="pct"/>
            <w:tcBorders>
              <w:top w:val="single" w:color="auto" w:sz="6" w:space="0"/>
              <w:left w:val="single" w:color="auto" w:sz="4" w:space="0"/>
              <w:bottom w:val="single" w:color="auto" w:sz="6" w:space="0"/>
              <w:right w:val="single" w:color="auto" w:sz="4" w:space="0"/>
            </w:tcBorders>
            <w:vAlign w:val="center"/>
          </w:tcPr>
          <w:p w14:paraId="10EFB1BB">
            <w:pPr>
              <w:pStyle w:val="92"/>
              <w:rPr>
                <w:color w:val="auto"/>
                <w:highlight w:val="none"/>
                <w:u w:val="none"/>
              </w:rPr>
            </w:pPr>
            <w:r>
              <w:rPr>
                <w:color w:val="auto"/>
                <w:highlight w:val="none"/>
                <w:u w:val="none"/>
              </w:rPr>
              <w:t>苯并[a]蒽</w:t>
            </w:r>
          </w:p>
        </w:tc>
        <w:tc>
          <w:tcPr>
            <w:tcW w:w="712" w:type="pct"/>
            <w:tcBorders>
              <w:top w:val="single" w:color="auto" w:sz="6" w:space="0"/>
              <w:left w:val="single" w:color="auto" w:sz="4" w:space="0"/>
              <w:bottom w:val="single" w:color="auto" w:sz="6" w:space="0"/>
            </w:tcBorders>
            <w:vAlign w:val="center"/>
          </w:tcPr>
          <w:p w14:paraId="56821B8A">
            <w:pPr>
              <w:pStyle w:val="92"/>
              <w:rPr>
                <w:color w:val="auto"/>
                <w:highlight w:val="none"/>
                <w:u w:val="none"/>
              </w:rPr>
            </w:pPr>
            <w:r>
              <w:rPr>
                <w:color w:val="auto"/>
                <w:highlight w:val="none"/>
                <w:u w:val="none"/>
              </w:rPr>
              <w:t>56-55-3</w:t>
            </w:r>
          </w:p>
        </w:tc>
        <w:tc>
          <w:tcPr>
            <w:tcW w:w="603" w:type="pct"/>
            <w:tcBorders>
              <w:top w:val="single" w:color="auto" w:sz="6" w:space="0"/>
              <w:bottom w:val="single" w:color="auto" w:sz="6" w:space="0"/>
            </w:tcBorders>
            <w:vAlign w:val="center"/>
          </w:tcPr>
          <w:p w14:paraId="58675758">
            <w:pPr>
              <w:pStyle w:val="92"/>
              <w:rPr>
                <w:color w:val="auto"/>
                <w:highlight w:val="none"/>
                <w:u w:val="none"/>
              </w:rPr>
            </w:pPr>
            <w:r>
              <w:rPr>
                <w:color w:val="auto"/>
                <w:highlight w:val="none"/>
                <w:u w:val="none"/>
              </w:rPr>
              <w:t>5.5</w:t>
            </w:r>
          </w:p>
        </w:tc>
        <w:tc>
          <w:tcPr>
            <w:tcW w:w="668" w:type="pct"/>
            <w:tcBorders>
              <w:top w:val="single" w:color="auto" w:sz="6" w:space="0"/>
              <w:bottom w:val="single" w:color="auto" w:sz="6" w:space="0"/>
            </w:tcBorders>
            <w:shd w:val="clear" w:color="auto" w:fill="D9D9D9"/>
            <w:vAlign w:val="center"/>
          </w:tcPr>
          <w:p w14:paraId="0F8EBF7C">
            <w:pPr>
              <w:pStyle w:val="92"/>
              <w:rPr>
                <w:color w:val="auto"/>
                <w:highlight w:val="none"/>
                <w:u w:val="none"/>
              </w:rPr>
            </w:pPr>
            <w:r>
              <w:rPr>
                <w:color w:val="auto"/>
                <w:highlight w:val="none"/>
                <w:u w:val="none"/>
              </w:rPr>
              <w:t>15</w:t>
            </w:r>
          </w:p>
        </w:tc>
        <w:tc>
          <w:tcPr>
            <w:tcW w:w="646" w:type="pct"/>
            <w:tcBorders>
              <w:top w:val="single" w:color="auto" w:sz="6" w:space="0"/>
              <w:bottom w:val="single" w:color="auto" w:sz="6" w:space="0"/>
            </w:tcBorders>
            <w:vAlign w:val="center"/>
          </w:tcPr>
          <w:p w14:paraId="7254BCD4">
            <w:pPr>
              <w:pStyle w:val="92"/>
              <w:rPr>
                <w:color w:val="auto"/>
                <w:highlight w:val="none"/>
                <w:u w:val="none"/>
              </w:rPr>
            </w:pPr>
            <w:r>
              <w:rPr>
                <w:color w:val="auto"/>
                <w:highlight w:val="none"/>
                <w:u w:val="none"/>
              </w:rPr>
              <w:t>55</w:t>
            </w:r>
          </w:p>
        </w:tc>
        <w:tc>
          <w:tcPr>
            <w:tcW w:w="613" w:type="pct"/>
            <w:tcBorders>
              <w:top w:val="single" w:color="auto" w:sz="6" w:space="0"/>
              <w:bottom w:val="single" w:color="auto" w:sz="6" w:space="0"/>
              <w:right w:val="single" w:color="auto" w:sz="12" w:space="0"/>
            </w:tcBorders>
            <w:shd w:val="clear" w:color="auto" w:fill="auto"/>
            <w:vAlign w:val="center"/>
          </w:tcPr>
          <w:p w14:paraId="37DD077A">
            <w:pPr>
              <w:pStyle w:val="92"/>
              <w:rPr>
                <w:color w:val="auto"/>
                <w:highlight w:val="none"/>
                <w:u w:val="none"/>
              </w:rPr>
            </w:pPr>
            <w:r>
              <w:rPr>
                <w:color w:val="auto"/>
                <w:highlight w:val="none"/>
                <w:u w:val="none"/>
              </w:rPr>
              <w:t>151</w:t>
            </w:r>
          </w:p>
        </w:tc>
      </w:tr>
      <w:tr w14:paraId="39700D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92683ED">
            <w:pPr>
              <w:pStyle w:val="92"/>
              <w:rPr>
                <w:color w:val="auto"/>
                <w:highlight w:val="none"/>
                <w:u w:val="none"/>
              </w:rPr>
            </w:pPr>
            <w:r>
              <w:rPr>
                <w:color w:val="auto"/>
                <w:highlight w:val="none"/>
                <w:u w:val="none"/>
              </w:rPr>
              <w:t>39</w:t>
            </w:r>
          </w:p>
        </w:tc>
        <w:tc>
          <w:tcPr>
            <w:tcW w:w="1235" w:type="pct"/>
            <w:tcBorders>
              <w:top w:val="single" w:color="auto" w:sz="6" w:space="0"/>
              <w:left w:val="single" w:color="auto" w:sz="4" w:space="0"/>
              <w:bottom w:val="single" w:color="auto" w:sz="6" w:space="0"/>
              <w:right w:val="single" w:color="auto" w:sz="4" w:space="0"/>
            </w:tcBorders>
            <w:vAlign w:val="center"/>
          </w:tcPr>
          <w:p w14:paraId="35A0013A">
            <w:pPr>
              <w:pStyle w:val="92"/>
              <w:rPr>
                <w:color w:val="auto"/>
                <w:highlight w:val="none"/>
                <w:u w:val="none"/>
              </w:rPr>
            </w:pPr>
            <w:r>
              <w:rPr>
                <w:color w:val="auto"/>
                <w:highlight w:val="none"/>
                <w:u w:val="none"/>
              </w:rPr>
              <w:t>苯并[a]芘</w:t>
            </w:r>
          </w:p>
        </w:tc>
        <w:tc>
          <w:tcPr>
            <w:tcW w:w="712" w:type="pct"/>
            <w:tcBorders>
              <w:top w:val="single" w:color="auto" w:sz="6" w:space="0"/>
              <w:left w:val="single" w:color="auto" w:sz="4" w:space="0"/>
              <w:bottom w:val="single" w:color="auto" w:sz="6" w:space="0"/>
            </w:tcBorders>
            <w:vAlign w:val="center"/>
          </w:tcPr>
          <w:p w14:paraId="565BD7A6">
            <w:pPr>
              <w:pStyle w:val="92"/>
              <w:rPr>
                <w:color w:val="auto"/>
                <w:highlight w:val="none"/>
                <w:u w:val="none"/>
              </w:rPr>
            </w:pPr>
            <w:r>
              <w:rPr>
                <w:color w:val="auto"/>
                <w:highlight w:val="none"/>
                <w:u w:val="none"/>
              </w:rPr>
              <w:t>50-32-8</w:t>
            </w:r>
          </w:p>
        </w:tc>
        <w:tc>
          <w:tcPr>
            <w:tcW w:w="603" w:type="pct"/>
            <w:tcBorders>
              <w:top w:val="single" w:color="auto" w:sz="6" w:space="0"/>
              <w:bottom w:val="single" w:color="auto" w:sz="6" w:space="0"/>
            </w:tcBorders>
            <w:vAlign w:val="center"/>
          </w:tcPr>
          <w:p w14:paraId="1C6CE362">
            <w:pPr>
              <w:pStyle w:val="92"/>
              <w:rPr>
                <w:color w:val="auto"/>
                <w:highlight w:val="none"/>
                <w:u w:val="none"/>
              </w:rPr>
            </w:pPr>
            <w:r>
              <w:rPr>
                <w:color w:val="auto"/>
                <w:highlight w:val="none"/>
                <w:u w:val="none"/>
              </w:rPr>
              <w:t>0.55</w:t>
            </w:r>
          </w:p>
        </w:tc>
        <w:tc>
          <w:tcPr>
            <w:tcW w:w="668" w:type="pct"/>
            <w:tcBorders>
              <w:top w:val="single" w:color="auto" w:sz="6" w:space="0"/>
              <w:bottom w:val="single" w:color="auto" w:sz="6" w:space="0"/>
            </w:tcBorders>
            <w:shd w:val="clear" w:color="auto" w:fill="D9D9D9"/>
            <w:vAlign w:val="center"/>
          </w:tcPr>
          <w:p w14:paraId="185BE58B">
            <w:pPr>
              <w:pStyle w:val="92"/>
              <w:rPr>
                <w:color w:val="auto"/>
                <w:highlight w:val="none"/>
                <w:u w:val="none"/>
              </w:rPr>
            </w:pPr>
            <w:r>
              <w:rPr>
                <w:color w:val="auto"/>
                <w:highlight w:val="none"/>
                <w:u w:val="none"/>
              </w:rPr>
              <w:t>1.5</w:t>
            </w:r>
          </w:p>
        </w:tc>
        <w:tc>
          <w:tcPr>
            <w:tcW w:w="646" w:type="pct"/>
            <w:tcBorders>
              <w:top w:val="single" w:color="auto" w:sz="6" w:space="0"/>
              <w:bottom w:val="single" w:color="auto" w:sz="6" w:space="0"/>
            </w:tcBorders>
            <w:vAlign w:val="center"/>
          </w:tcPr>
          <w:p w14:paraId="1881CF27">
            <w:pPr>
              <w:pStyle w:val="92"/>
              <w:rPr>
                <w:color w:val="auto"/>
                <w:highlight w:val="none"/>
                <w:u w:val="none"/>
              </w:rPr>
            </w:pPr>
            <w:r>
              <w:rPr>
                <w:color w:val="auto"/>
                <w:highlight w:val="none"/>
                <w:u w:val="none"/>
              </w:rPr>
              <w:t>5.5</w:t>
            </w:r>
          </w:p>
        </w:tc>
        <w:tc>
          <w:tcPr>
            <w:tcW w:w="613" w:type="pct"/>
            <w:tcBorders>
              <w:top w:val="single" w:color="auto" w:sz="6" w:space="0"/>
              <w:bottom w:val="single" w:color="auto" w:sz="6" w:space="0"/>
              <w:right w:val="single" w:color="auto" w:sz="12" w:space="0"/>
            </w:tcBorders>
            <w:shd w:val="clear" w:color="auto" w:fill="auto"/>
            <w:vAlign w:val="center"/>
          </w:tcPr>
          <w:p w14:paraId="46F4D3D9">
            <w:pPr>
              <w:pStyle w:val="92"/>
              <w:rPr>
                <w:color w:val="auto"/>
                <w:highlight w:val="none"/>
                <w:u w:val="none"/>
              </w:rPr>
            </w:pPr>
            <w:r>
              <w:rPr>
                <w:color w:val="auto"/>
                <w:highlight w:val="none"/>
                <w:u w:val="none"/>
              </w:rPr>
              <w:t>15</w:t>
            </w:r>
          </w:p>
        </w:tc>
      </w:tr>
      <w:tr w14:paraId="43316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1AB01C7C">
            <w:pPr>
              <w:pStyle w:val="92"/>
              <w:rPr>
                <w:color w:val="auto"/>
                <w:highlight w:val="none"/>
                <w:u w:val="none"/>
              </w:rPr>
            </w:pPr>
            <w:r>
              <w:rPr>
                <w:color w:val="auto"/>
                <w:highlight w:val="none"/>
                <w:u w:val="none"/>
              </w:rPr>
              <w:t>40</w:t>
            </w:r>
          </w:p>
        </w:tc>
        <w:tc>
          <w:tcPr>
            <w:tcW w:w="1235" w:type="pct"/>
            <w:tcBorders>
              <w:top w:val="single" w:color="auto" w:sz="6" w:space="0"/>
              <w:left w:val="single" w:color="auto" w:sz="4" w:space="0"/>
              <w:bottom w:val="single" w:color="auto" w:sz="6" w:space="0"/>
              <w:right w:val="single" w:color="auto" w:sz="4" w:space="0"/>
            </w:tcBorders>
            <w:vAlign w:val="center"/>
          </w:tcPr>
          <w:p w14:paraId="71418634">
            <w:pPr>
              <w:pStyle w:val="92"/>
              <w:rPr>
                <w:color w:val="auto"/>
                <w:highlight w:val="none"/>
                <w:u w:val="none"/>
              </w:rPr>
            </w:pPr>
            <w:r>
              <w:rPr>
                <w:color w:val="auto"/>
                <w:highlight w:val="none"/>
                <w:u w:val="none"/>
              </w:rPr>
              <w:t>苯并[b]荧蒽</w:t>
            </w:r>
          </w:p>
        </w:tc>
        <w:tc>
          <w:tcPr>
            <w:tcW w:w="712" w:type="pct"/>
            <w:tcBorders>
              <w:top w:val="single" w:color="auto" w:sz="6" w:space="0"/>
              <w:left w:val="single" w:color="auto" w:sz="4" w:space="0"/>
              <w:bottom w:val="single" w:color="auto" w:sz="6" w:space="0"/>
            </w:tcBorders>
            <w:vAlign w:val="center"/>
          </w:tcPr>
          <w:p w14:paraId="79C66BD4">
            <w:pPr>
              <w:pStyle w:val="92"/>
              <w:rPr>
                <w:color w:val="auto"/>
                <w:highlight w:val="none"/>
                <w:u w:val="none"/>
              </w:rPr>
            </w:pPr>
            <w:r>
              <w:rPr>
                <w:color w:val="auto"/>
                <w:highlight w:val="none"/>
                <w:u w:val="none"/>
              </w:rPr>
              <w:t>205-99-2</w:t>
            </w:r>
          </w:p>
        </w:tc>
        <w:tc>
          <w:tcPr>
            <w:tcW w:w="603" w:type="pct"/>
            <w:tcBorders>
              <w:top w:val="single" w:color="auto" w:sz="6" w:space="0"/>
              <w:bottom w:val="single" w:color="auto" w:sz="6" w:space="0"/>
            </w:tcBorders>
            <w:vAlign w:val="center"/>
          </w:tcPr>
          <w:p w14:paraId="4C23966E">
            <w:pPr>
              <w:pStyle w:val="92"/>
              <w:rPr>
                <w:color w:val="auto"/>
                <w:highlight w:val="none"/>
                <w:u w:val="none"/>
              </w:rPr>
            </w:pPr>
            <w:r>
              <w:rPr>
                <w:color w:val="auto"/>
                <w:highlight w:val="none"/>
                <w:u w:val="none"/>
              </w:rPr>
              <w:t>5.5</w:t>
            </w:r>
          </w:p>
        </w:tc>
        <w:tc>
          <w:tcPr>
            <w:tcW w:w="668" w:type="pct"/>
            <w:tcBorders>
              <w:top w:val="single" w:color="auto" w:sz="6" w:space="0"/>
              <w:bottom w:val="single" w:color="auto" w:sz="6" w:space="0"/>
            </w:tcBorders>
            <w:shd w:val="clear" w:color="auto" w:fill="D9D9D9"/>
            <w:vAlign w:val="center"/>
          </w:tcPr>
          <w:p w14:paraId="0C4EE1E4">
            <w:pPr>
              <w:pStyle w:val="92"/>
              <w:rPr>
                <w:color w:val="auto"/>
                <w:highlight w:val="none"/>
                <w:u w:val="none"/>
              </w:rPr>
            </w:pPr>
            <w:r>
              <w:rPr>
                <w:color w:val="auto"/>
                <w:highlight w:val="none"/>
                <w:u w:val="none"/>
              </w:rPr>
              <w:t>15</w:t>
            </w:r>
          </w:p>
        </w:tc>
        <w:tc>
          <w:tcPr>
            <w:tcW w:w="646" w:type="pct"/>
            <w:tcBorders>
              <w:top w:val="single" w:color="auto" w:sz="6" w:space="0"/>
              <w:bottom w:val="single" w:color="auto" w:sz="6" w:space="0"/>
            </w:tcBorders>
            <w:vAlign w:val="center"/>
          </w:tcPr>
          <w:p w14:paraId="493C98D5">
            <w:pPr>
              <w:pStyle w:val="92"/>
              <w:rPr>
                <w:color w:val="auto"/>
                <w:highlight w:val="none"/>
                <w:u w:val="none"/>
              </w:rPr>
            </w:pPr>
            <w:r>
              <w:rPr>
                <w:color w:val="auto"/>
                <w:highlight w:val="none"/>
                <w:u w:val="none"/>
              </w:rPr>
              <w:t>55</w:t>
            </w:r>
          </w:p>
        </w:tc>
        <w:tc>
          <w:tcPr>
            <w:tcW w:w="613" w:type="pct"/>
            <w:tcBorders>
              <w:top w:val="single" w:color="auto" w:sz="6" w:space="0"/>
              <w:bottom w:val="single" w:color="auto" w:sz="6" w:space="0"/>
              <w:right w:val="single" w:color="auto" w:sz="12" w:space="0"/>
            </w:tcBorders>
            <w:shd w:val="clear" w:color="auto" w:fill="auto"/>
            <w:vAlign w:val="center"/>
          </w:tcPr>
          <w:p w14:paraId="34BFF547">
            <w:pPr>
              <w:pStyle w:val="92"/>
              <w:rPr>
                <w:color w:val="auto"/>
                <w:highlight w:val="none"/>
                <w:u w:val="none"/>
              </w:rPr>
            </w:pPr>
            <w:r>
              <w:rPr>
                <w:color w:val="auto"/>
                <w:highlight w:val="none"/>
                <w:u w:val="none"/>
              </w:rPr>
              <w:t>151</w:t>
            </w:r>
          </w:p>
        </w:tc>
      </w:tr>
      <w:tr w14:paraId="589B8E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A24DD6E">
            <w:pPr>
              <w:pStyle w:val="92"/>
              <w:rPr>
                <w:color w:val="auto"/>
                <w:highlight w:val="none"/>
                <w:u w:val="none"/>
              </w:rPr>
            </w:pPr>
            <w:r>
              <w:rPr>
                <w:color w:val="auto"/>
                <w:highlight w:val="none"/>
                <w:u w:val="none"/>
              </w:rPr>
              <w:t>41</w:t>
            </w:r>
          </w:p>
        </w:tc>
        <w:tc>
          <w:tcPr>
            <w:tcW w:w="1235" w:type="pct"/>
            <w:tcBorders>
              <w:top w:val="single" w:color="auto" w:sz="6" w:space="0"/>
              <w:left w:val="single" w:color="auto" w:sz="4" w:space="0"/>
              <w:bottom w:val="single" w:color="auto" w:sz="6" w:space="0"/>
              <w:right w:val="single" w:color="auto" w:sz="4" w:space="0"/>
            </w:tcBorders>
            <w:vAlign w:val="center"/>
          </w:tcPr>
          <w:p w14:paraId="534FB833">
            <w:pPr>
              <w:pStyle w:val="92"/>
              <w:rPr>
                <w:color w:val="auto"/>
                <w:highlight w:val="none"/>
                <w:u w:val="none"/>
              </w:rPr>
            </w:pPr>
            <w:r>
              <w:rPr>
                <w:color w:val="auto"/>
                <w:highlight w:val="none"/>
                <w:u w:val="none"/>
              </w:rPr>
              <w:t>苯并[k]荧蒽</w:t>
            </w:r>
          </w:p>
        </w:tc>
        <w:tc>
          <w:tcPr>
            <w:tcW w:w="712" w:type="pct"/>
            <w:tcBorders>
              <w:top w:val="single" w:color="auto" w:sz="6" w:space="0"/>
              <w:left w:val="single" w:color="auto" w:sz="4" w:space="0"/>
              <w:bottom w:val="single" w:color="auto" w:sz="6" w:space="0"/>
            </w:tcBorders>
            <w:vAlign w:val="center"/>
          </w:tcPr>
          <w:p w14:paraId="345A644E">
            <w:pPr>
              <w:pStyle w:val="92"/>
              <w:rPr>
                <w:color w:val="auto"/>
                <w:highlight w:val="none"/>
                <w:u w:val="none"/>
              </w:rPr>
            </w:pPr>
            <w:r>
              <w:rPr>
                <w:color w:val="auto"/>
                <w:highlight w:val="none"/>
                <w:u w:val="none"/>
              </w:rPr>
              <w:t>207-08-9</w:t>
            </w:r>
          </w:p>
        </w:tc>
        <w:tc>
          <w:tcPr>
            <w:tcW w:w="603" w:type="pct"/>
            <w:tcBorders>
              <w:top w:val="single" w:color="auto" w:sz="6" w:space="0"/>
              <w:bottom w:val="single" w:color="auto" w:sz="6" w:space="0"/>
            </w:tcBorders>
            <w:vAlign w:val="center"/>
          </w:tcPr>
          <w:p w14:paraId="0AC6CDC5">
            <w:pPr>
              <w:pStyle w:val="92"/>
              <w:rPr>
                <w:color w:val="auto"/>
                <w:highlight w:val="none"/>
                <w:u w:val="none"/>
              </w:rPr>
            </w:pPr>
            <w:r>
              <w:rPr>
                <w:color w:val="auto"/>
                <w:highlight w:val="none"/>
                <w:u w:val="none"/>
              </w:rPr>
              <w:t>55</w:t>
            </w:r>
          </w:p>
        </w:tc>
        <w:tc>
          <w:tcPr>
            <w:tcW w:w="668" w:type="pct"/>
            <w:tcBorders>
              <w:top w:val="single" w:color="auto" w:sz="6" w:space="0"/>
              <w:bottom w:val="single" w:color="auto" w:sz="6" w:space="0"/>
            </w:tcBorders>
            <w:shd w:val="clear" w:color="auto" w:fill="D9D9D9"/>
            <w:vAlign w:val="center"/>
          </w:tcPr>
          <w:p w14:paraId="07D0B258">
            <w:pPr>
              <w:pStyle w:val="92"/>
              <w:rPr>
                <w:color w:val="auto"/>
                <w:highlight w:val="none"/>
                <w:u w:val="none"/>
              </w:rPr>
            </w:pPr>
            <w:r>
              <w:rPr>
                <w:color w:val="auto"/>
                <w:highlight w:val="none"/>
                <w:u w:val="none"/>
              </w:rPr>
              <w:t>151</w:t>
            </w:r>
          </w:p>
        </w:tc>
        <w:tc>
          <w:tcPr>
            <w:tcW w:w="646" w:type="pct"/>
            <w:tcBorders>
              <w:top w:val="single" w:color="auto" w:sz="6" w:space="0"/>
              <w:bottom w:val="single" w:color="auto" w:sz="6" w:space="0"/>
            </w:tcBorders>
            <w:vAlign w:val="center"/>
          </w:tcPr>
          <w:p w14:paraId="6C56A126">
            <w:pPr>
              <w:pStyle w:val="92"/>
              <w:rPr>
                <w:color w:val="auto"/>
                <w:highlight w:val="none"/>
                <w:u w:val="none"/>
              </w:rPr>
            </w:pPr>
            <w:r>
              <w:rPr>
                <w:color w:val="auto"/>
                <w:highlight w:val="none"/>
                <w:u w:val="none"/>
              </w:rPr>
              <w:t>550</w:t>
            </w:r>
          </w:p>
        </w:tc>
        <w:tc>
          <w:tcPr>
            <w:tcW w:w="613" w:type="pct"/>
            <w:tcBorders>
              <w:top w:val="single" w:color="auto" w:sz="6" w:space="0"/>
              <w:bottom w:val="single" w:color="auto" w:sz="6" w:space="0"/>
              <w:right w:val="single" w:color="auto" w:sz="12" w:space="0"/>
            </w:tcBorders>
            <w:shd w:val="clear" w:color="auto" w:fill="auto"/>
            <w:vAlign w:val="center"/>
          </w:tcPr>
          <w:p w14:paraId="52711E13">
            <w:pPr>
              <w:pStyle w:val="92"/>
              <w:rPr>
                <w:color w:val="auto"/>
                <w:highlight w:val="none"/>
                <w:u w:val="none"/>
              </w:rPr>
            </w:pPr>
            <w:r>
              <w:rPr>
                <w:color w:val="auto"/>
                <w:highlight w:val="none"/>
                <w:u w:val="none"/>
              </w:rPr>
              <w:t>1500</w:t>
            </w:r>
          </w:p>
        </w:tc>
      </w:tr>
      <w:tr w14:paraId="4C33DB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523" w:type="pct"/>
            <w:tcBorders>
              <w:top w:val="single" w:color="auto" w:sz="6" w:space="0"/>
              <w:left w:val="single" w:color="auto" w:sz="12" w:space="0"/>
              <w:bottom w:val="single" w:color="auto" w:sz="6" w:space="0"/>
              <w:right w:val="single" w:color="auto" w:sz="4" w:space="0"/>
            </w:tcBorders>
            <w:vAlign w:val="center"/>
          </w:tcPr>
          <w:p w14:paraId="62BE5406">
            <w:pPr>
              <w:pStyle w:val="92"/>
              <w:rPr>
                <w:color w:val="auto"/>
                <w:highlight w:val="none"/>
                <w:u w:val="none"/>
              </w:rPr>
            </w:pPr>
            <w:r>
              <w:rPr>
                <w:color w:val="auto"/>
                <w:highlight w:val="none"/>
                <w:u w:val="none"/>
              </w:rPr>
              <w:t>42</w:t>
            </w:r>
          </w:p>
        </w:tc>
        <w:tc>
          <w:tcPr>
            <w:tcW w:w="1235" w:type="pct"/>
            <w:tcBorders>
              <w:top w:val="single" w:color="auto" w:sz="6" w:space="0"/>
              <w:left w:val="single" w:color="auto" w:sz="4" w:space="0"/>
              <w:bottom w:val="single" w:color="auto" w:sz="6" w:space="0"/>
              <w:right w:val="single" w:color="auto" w:sz="4" w:space="0"/>
            </w:tcBorders>
            <w:vAlign w:val="center"/>
          </w:tcPr>
          <w:p w14:paraId="3AAA52B5">
            <w:pPr>
              <w:pStyle w:val="92"/>
              <w:rPr>
                <w:color w:val="auto"/>
                <w:highlight w:val="none"/>
                <w:u w:val="none"/>
              </w:rPr>
            </w:pPr>
            <w:r>
              <w:rPr>
                <w:color w:val="auto"/>
                <w:highlight w:val="none"/>
                <w:u w:val="none"/>
              </w:rPr>
              <w:t>䓛</w:t>
            </w:r>
          </w:p>
        </w:tc>
        <w:tc>
          <w:tcPr>
            <w:tcW w:w="712" w:type="pct"/>
            <w:tcBorders>
              <w:top w:val="single" w:color="auto" w:sz="6" w:space="0"/>
              <w:left w:val="single" w:color="auto" w:sz="4" w:space="0"/>
              <w:bottom w:val="single" w:color="auto" w:sz="6" w:space="0"/>
            </w:tcBorders>
            <w:vAlign w:val="center"/>
          </w:tcPr>
          <w:p w14:paraId="3333AC24">
            <w:pPr>
              <w:pStyle w:val="92"/>
              <w:rPr>
                <w:color w:val="auto"/>
                <w:highlight w:val="none"/>
                <w:u w:val="none"/>
              </w:rPr>
            </w:pPr>
            <w:r>
              <w:rPr>
                <w:color w:val="auto"/>
                <w:highlight w:val="none"/>
                <w:u w:val="none"/>
              </w:rPr>
              <w:t>218-01-9</w:t>
            </w:r>
          </w:p>
        </w:tc>
        <w:tc>
          <w:tcPr>
            <w:tcW w:w="603" w:type="pct"/>
            <w:tcBorders>
              <w:top w:val="single" w:color="auto" w:sz="6" w:space="0"/>
              <w:bottom w:val="single" w:color="auto" w:sz="6" w:space="0"/>
            </w:tcBorders>
            <w:vAlign w:val="center"/>
          </w:tcPr>
          <w:p w14:paraId="605FB85E">
            <w:pPr>
              <w:pStyle w:val="92"/>
              <w:rPr>
                <w:color w:val="auto"/>
                <w:highlight w:val="none"/>
                <w:u w:val="none"/>
              </w:rPr>
            </w:pPr>
            <w:r>
              <w:rPr>
                <w:color w:val="auto"/>
                <w:highlight w:val="none"/>
                <w:u w:val="none"/>
              </w:rPr>
              <w:t>490</w:t>
            </w:r>
          </w:p>
        </w:tc>
        <w:tc>
          <w:tcPr>
            <w:tcW w:w="668" w:type="pct"/>
            <w:tcBorders>
              <w:top w:val="single" w:color="auto" w:sz="6" w:space="0"/>
              <w:bottom w:val="single" w:color="auto" w:sz="6" w:space="0"/>
            </w:tcBorders>
            <w:shd w:val="clear" w:color="auto" w:fill="D9D9D9"/>
            <w:vAlign w:val="center"/>
          </w:tcPr>
          <w:p w14:paraId="5330DF70">
            <w:pPr>
              <w:pStyle w:val="92"/>
              <w:rPr>
                <w:color w:val="auto"/>
                <w:highlight w:val="none"/>
                <w:u w:val="none"/>
              </w:rPr>
            </w:pPr>
            <w:r>
              <w:rPr>
                <w:color w:val="auto"/>
                <w:highlight w:val="none"/>
                <w:u w:val="none"/>
              </w:rPr>
              <w:t>1293</w:t>
            </w:r>
          </w:p>
        </w:tc>
        <w:tc>
          <w:tcPr>
            <w:tcW w:w="646" w:type="pct"/>
            <w:tcBorders>
              <w:top w:val="single" w:color="auto" w:sz="6" w:space="0"/>
              <w:bottom w:val="single" w:color="auto" w:sz="6" w:space="0"/>
            </w:tcBorders>
            <w:vAlign w:val="center"/>
          </w:tcPr>
          <w:p w14:paraId="14F8BE1B">
            <w:pPr>
              <w:pStyle w:val="92"/>
              <w:rPr>
                <w:color w:val="auto"/>
                <w:highlight w:val="none"/>
                <w:u w:val="none"/>
              </w:rPr>
            </w:pPr>
            <w:r>
              <w:rPr>
                <w:color w:val="auto"/>
                <w:highlight w:val="none"/>
                <w:u w:val="none"/>
              </w:rPr>
              <w:t>4900</w:t>
            </w:r>
          </w:p>
        </w:tc>
        <w:tc>
          <w:tcPr>
            <w:tcW w:w="613" w:type="pct"/>
            <w:tcBorders>
              <w:top w:val="single" w:color="auto" w:sz="6" w:space="0"/>
              <w:bottom w:val="single" w:color="auto" w:sz="6" w:space="0"/>
              <w:right w:val="single" w:color="auto" w:sz="12" w:space="0"/>
            </w:tcBorders>
            <w:shd w:val="clear" w:color="auto" w:fill="auto"/>
            <w:vAlign w:val="center"/>
          </w:tcPr>
          <w:p w14:paraId="25A1D34C">
            <w:pPr>
              <w:pStyle w:val="92"/>
              <w:rPr>
                <w:color w:val="auto"/>
                <w:highlight w:val="none"/>
                <w:u w:val="none"/>
              </w:rPr>
            </w:pPr>
            <w:r>
              <w:rPr>
                <w:color w:val="auto"/>
                <w:highlight w:val="none"/>
                <w:u w:val="none"/>
              </w:rPr>
              <w:t>12900</w:t>
            </w:r>
          </w:p>
        </w:tc>
      </w:tr>
      <w:tr w14:paraId="4DAF41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7C65B1BE">
            <w:pPr>
              <w:pStyle w:val="92"/>
              <w:rPr>
                <w:color w:val="auto"/>
                <w:highlight w:val="none"/>
                <w:u w:val="none"/>
              </w:rPr>
            </w:pPr>
            <w:r>
              <w:rPr>
                <w:color w:val="auto"/>
                <w:highlight w:val="none"/>
                <w:u w:val="none"/>
              </w:rPr>
              <w:t>43</w:t>
            </w:r>
          </w:p>
        </w:tc>
        <w:tc>
          <w:tcPr>
            <w:tcW w:w="1235" w:type="pct"/>
            <w:tcBorders>
              <w:top w:val="single" w:color="auto" w:sz="6" w:space="0"/>
              <w:left w:val="single" w:color="auto" w:sz="4" w:space="0"/>
              <w:bottom w:val="single" w:color="auto" w:sz="6" w:space="0"/>
              <w:right w:val="single" w:color="auto" w:sz="4" w:space="0"/>
            </w:tcBorders>
            <w:vAlign w:val="center"/>
          </w:tcPr>
          <w:p w14:paraId="6460B3F1">
            <w:pPr>
              <w:pStyle w:val="92"/>
              <w:rPr>
                <w:color w:val="auto"/>
                <w:highlight w:val="none"/>
                <w:u w:val="none"/>
              </w:rPr>
            </w:pPr>
            <w:r>
              <w:rPr>
                <w:color w:val="auto"/>
                <w:highlight w:val="none"/>
                <w:u w:val="none"/>
              </w:rPr>
              <w:t>二苯并[a,h]蒽</w:t>
            </w:r>
          </w:p>
        </w:tc>
        <w:tc>
          <w:tcPr>
            <w:tcW w:w="712" w:type="pct"/>
            <w:tcBorders>
              <w:top w:val="single" w:color="auto" w:sz="6" w:space="0"/>
              <w:left w:val="single" w:color="auto" w:sz="4" w:space="0"/>
              <w:bottom w:val="single" w:color="auto" w:sz="6" w:space="0"/>
            </w:tcBorders>
            <w:vAlign w:val="center"/>
          </w:tcPr>
          <w:p w14:paraId="6CE4105F">
            <w:pPr>
              <w:pStyle w:val="92"/>
              <w:rPr>
                <w:color w:val="auto"/>
                <w:highlight w:val="none"/>
                <w:u w:val="none"/>
              </w:rPr>
            </w:pPr>
            <w:r>
              <w:rPr>
                <w:color w:val="auto"/>
                <w:highlight w:val="none"/>
                <w:u w:val="none"/>
              </w:rPr>
              <w:t>53-70-3</w:t>
            </w:r>
          </w:p>
        </w:tc>
        <w:tc>
          <w:tcPr>
            <w:tcW w:w="603" w:type="pct"/>
            <w:tcBorders>
              <w:top w:val="single" w:color="auto" w:sz="6" w:space="0"/>
              <w:bottom w:val="single" w:color="auto" w:sz="6" w:space="0"/>
            </w:tcBorders>
            <w:vAlign w:val="center"/>
          </w:tcPr>
          <w:p w14:paraId="0454F4F7">
            <w:pPr>
              <w:pStyle w:val="92"/>
              <w:rPr>
                <w:color w:val="auto"/>
                <w:highlight w:val="none"/>
                <w:u w:val="none"/>
              </w:rPr>
            </w:pPr>
            <w:r>
              <w:rPr>
                <w:color w:val="auto"/>
                <w:highlight w:val="none"/>
                <w:u w:val="none"/>
              </w:rPr>
              <w:t>0.55</w:t>
            </w:r>
          </w:p>
        </w:tc>
        <w:tc>
          <w:tcPr>
            <w:tcW w:w="668" w:type="pct"/>
            <w:tcBorders>
              <w:top w:val="single" w:color="auto" w:sz="6" w:space="0"/>
              <w:bottom w:val="single" w:color="auto" w:sz="6" w:space="0"/>
            </w:tcBorders>
            <w:shd w:val="clear" w:color="auto" w:fill="D9D9D9"/>
            <w:vAlign w:val="center"/>
          </w:tcPr>
          <w:p w14:paraId="4A46634C">
            <w:pPr>
              <w:pStyle w:val="92"/>
              <w:rPr>
                <w:color w:val="auto"/>
                <w:highlight w:val="none"/>
                <w:u w:val="none"/>
              </w:rPr>
            </w:pPr>
            <w:r>
              <w:rPr>
                <w:color w:val="auto"/>
                <w:highlight w:val="none"/>
                <w:u w:val="none"/>
              </w:rPr>
              <w:t>1.5</w:t>
            </w:r>
          </w:p>
        </w:tc>
        <w:tc>
          <w:tcPr>
            <w:tcW w:w="646" w:type="pct"/>
            <w:tcBorders>
              <w:top w:val="single" w:color="auto" w:sz="6" w:space="0"/>
              <w:bottom w:val="single" w:color="auto" w:sz="6" w:space="0"/>
            </w:tcBorders>
            <w:vAlign w:val="center"/>
          </w:tcPr>
          <w:p w14:paraId="095C43F6">
            <w:pPr>
              <w:pStyle w:val="92"/>
              <w:rPr>
                <w:color w:val="auto"/>
                <w:highlight w:val="none"/>
                <w:u w:val="none"/>
              </w:rPr>
            </w:pPr>
            <w:r>
              <w:rPr>
                <w:color w:val="auto"/>
                <w:highlight w:val="none"/>
                <w:u w:val="none"/>
              </w:rPr>
              <w:t>5.5</w:t>
            </w:r>
          </w:p>
        </w:tc>
        <w:tc>
          <w:tcPr>
            <w:tcW w:w="613" w:type="pct"/>
            <w:tcBorders>
              <w:top w:val="single" w:color="auto" w:sz="6" w:space="0"/>
              <w:bottom w:val="single" w:color="auto" w:sz="6" w:space="0"/>
              <w:right w:val="single" w:color="auto" w:sz="12" w:space="0"/>
            </w:tcBorders>
            <w:shd w:val="clear" w:color="auto" w:fill="auto"/>
            <w:vAlign w:val="center"/>
          </w:tcPr>
          <w:p w14:paraId="33A7F6AE">
            <w:pPr>
              <w:pStyle w:val="92"/>
              <w:rPr>
                <w:color w:val="auto"/>
                <w:highlight w:val="none"/>
                <w:u w:val="none"/>
              </w:rPr>
            </w:pPr>
            <w:r>
              <w:rPr>
                <w:color w:val="auto"/>
                <w:highlight w:val="none"/>
                <w:u w:val="none"/>
              </w:rPr>
              <w:t>15</w:t>
            </w:r>
          </w:p>
        </w:tc>
      </w:tr>
      <w:tr w14:paraId="450AEF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5771F3D1">
            <w:pPr>
              <w:pStyle w:val="92"/>
              <w:rPr>
                <w:color w:val="auto"/>
                <w:highlight w:val="none"/>
                <w:u w:val="none"/>
              </w:rPr>
            </w:pPr>
            <w:r>
              <w:rPr>
                <w:color w:val="auto"/>
                <w:highlight w:val="none"/>
                <w:u w:val="none"/>
              </w:rPr>
              <w:t>44</w:t>
            </w:r>
          </w:p>
        </w:tc>
        <w:tc>
          <w:tcPr>
            <w:tcW w:w="1235" w:type="pct"/>
            <w:tcBorders>
              <w:top w:val="single" w:color="auto" w:sz="6" w:space="0"/>
              <w:left w:val="single" w:color="auto" w:sz="4" w:space="0"/>
              <w:bottom w:val="single" w:color="auto" w:sz="6" w:space="0"/>
              <w:right w:val="single" w:color="auto" w:sz="4" w:space="0"/>
            </w:tcBorders>
            <w:vAlign w:val="center"/>
          </w:tcPr>
          <w:p w14:paraId="49A38AF7">
            <w:pPr>
              <w:pStyle w:val="92"/>
              <w:rPr>
                <w:color w:val="auto"/>
                <w:highlight w:val="none"/>
                <w:u w:val="none"/>
              </w:rPr>
            </w:pPr>
            <w:r>
              <w:rPr>
                <w:color w:val="auto"/>
                <w:highlight w:val="none"/>
                <w:u w:val="none"/>
              </w:rPr>
              <w:t>茚并[1,2,3-cd]芘</w:t>
            </w:r>
          </w:p>
        </w:tc>
        <w:tc>
          <w:tcPr>
            <w:tcW w:w="712" w:type="pct"/>
            <w:tcBorders>
              <w:top w:val="single" w:color="auto" w:sz="6" w:space="0"/>
              <w:left w:val="single" w:color="auto" w:sz="4" w:space="0"/>
              <w:bottom w:val="single" w:color="auto" w:sz="6" w:space="0"/>
            </w:tcBorders>
            <w:vAlign w:val="center"/>
          </w:tcPr>
          <w:p w14:paraId="2217111B">
            <w:pPr>
              <w:pStyle w:val="92"/>
              <w:rPr>
                <w:color w:val="auto"/>
                <w:highlight w:val="none"/>
                <w:u w:val="none"/>
              </w:rPr>
            </w:pPr>
            <w:r>
              <w:rPr>
                <w:color w:val="auto"/>
                <w:highlight w:val="none"/>
                <w:u w:val="none"/>
              </w:rPr>
              <w:t>193-39-5</w:t>
            </w:r>
          </w:p>
        </w:tc>
        <w:tc>
          <w:tcPr>
            <w:tcW w:w="603" w:type="pct"/>
            <w:tcBorders>
              <w:top w:val="single" w:color="auto" w:sz="6" w:space="0"/>
              <w:bottom w:val="single" w:color="auto" w:sz="6" w:space="0"/>
            </w:tcBorders>
            <w:vAlign w:val="center"/>
          </w:tcPr>
          <w:p w14:paraId="69F7F772">
            <w:pPr>
              <w:pStyle w:val="92"/>
              <w:rPr>
                <w:color w:val="auto"/>
                <w:highlight w:val="none"/>
                <w:u w:val="none"/>
              </w:rPr>
            </w:pPr>
            <w:r>
              <w:rPr>
                <w:color w:val="auto"/>
                <w:highlight w:val="none"/>
                <w:u w:val="none"/>
              </w:rPr>
              <w:t>5.5</w:t>
            </w:r>
          </w:p>
        </w:tc>
        <w:tc>
          <w:tcPr>
            <w:tcW w:w="668" w:type="pct"/>
            <w:tcBorders>
              <w:top w:val="single" w:color="auto" w:sz="6" w:space="0"/>
              <w:bottom w:val="single" w:color="auto" w:sz="6" w:space="0"/>
            </w:tcBorders>
            <w:shd w:val="clear" w:color="auto" w:fill="D9D9D9"/>
            <w:vAlign w:val="center"/>
          </w:tcPr>
          <w:p w14:paraId="68DCCAEB">
            <w:pPr>
              <w:pStyle w:val="92"/>
              <w:rPr>
                <w:color w:val="auto"/>
                <w:highlight w:val="none"/>
                <w:u w:val="none"/>
              </w:rPr>
            </w:pPr>
            <w:r>
              <w:rPr>
                <w:color w:val="auto"/>
                <w:highlight w:val="none"/>
                <w:u w:val="none"/>
              </w:rPr>
              <w:t>15</w:t>
            </w:r>
          </w:p>
        </w:tc>
        <w:tc>
          <w:tcPr>
            <w:tcW w:w="646" w:type="pct"/>
            <w:tcBorders>
              <w:top w:val="single" w:color="auto" w:sz="6" w:space="0"/>
              <w:bottom w:val="single" w:color="auto" w:sz="6" w:space="0"/>
            </w:tcBorders>
            <w:vAlign w:val="center"/>
          </w:tcPr>
          <w:p w14:paraId="796198E5">
            <w:pPr>
              <w:pStyle w:val="92"/>
              <w:rPr>
                <w:color w:val="auto"/>
                <w:highlight w:val="none"/>
                <w:u w:val="none"/>
              </w:rPr>
            </w:pPr>
            <w:r>
              <w:rPr>
                <w:color w:val="auto"/>
                <w:highlight w:val="none"/>
                <w:u w:val="none"/>
              </w:rPr>
              <w:t>55</w:t>
            </w:r>
          </w:p>
        </w:tc>
        <w:tc>
          <w:tcPr>
            <w:tcW w:w="613" w:type="pct"/>
            <w:tcBorders>
              <w:top w:val="single" w:color="auto" w:sz="6" w:space="0"/>
              <w:bottom w:val="single" w:color="auto" w:sz="6" w:space="0"/>
              <w:right w:val="single" w:color="auto" w:sz="12" w:space="0"/>
            </w:tcBorders>
            <w:shd w:val="clear" w:color="auto" w:fill="auto"/>
            <w:vAlign w:val="center"/>
          </w:tcPr>
          <w:p w14:paraId="30338F3D">
            <w:pPr>
              <w:pStyle w:val="92"/>
              <w:rPr>
                <w:color w:val="auto"/>
                <w:highlight w:val="none"/>
                <w:u w:val="none"/>
              </w:rPr>
            </w:pPr>
            <w:r>
              <w:rPr>
                <w:color w:val="auto"/>
                <w:highlight w:val="none"/>
                <w:u w:val="none"/>
              </w:rPr>
              <w:t>151</w:t>
            </w:r>
          </w:p>
        </w:tc>
      </w:tr>
      <w:tr w14:paraId="301718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4F8D2184">
            <w:pPr>
              <w:pStyle w:val="92"/>
              <w:rPr>
                <w:color w:val="auto"/>
                <w:highlight w:val="none"/>
                <w:u w:val="none"/>
              </w:rPr>
            </w:pPr>
            <w:r>
              <w:rPr>
                <w:color w:val="auto"/>
                <w:highlight w:val="none"/>
                <w:u w:val="none"/>
              </w:rPr>
              <w:t>45</w:t>
            </w:r>
          </w:p>
        </w:tc>
        <w:tc>
          <w:tcPr>
            <w:tcW w:w="1235" w:type="pct"/>
            <w:tcBorders>
              <w:top w:val="single" w:color="auto" w:sz="6" w:space="0"/>
              <w:left w:val="single" w:color="auto" w:sz="4" w:space="0"/>
              <w:bottom w:val="single" w:color="auto" w:sz="6" w:space="0"/>
              <w:right w:val="single" w:color="auto" w:sz="4" w:space="0"/>
            </w:tcBorders>
            <w:vAlign w:val="center"/>
          </w:tcPr>
          <w:p w14:paraId="744BAC47">
            <w:pPr>
              <w:pStyle w:val="92"/>
              <w:rPr>
                <w:color w:val="auto"/>
                <w:highlight w:val="none"/>
                <w:u w:val="none"/>
              </w:rPr>
            </w:pPr>
            <w:r>
              <w:rPr>
                <w:color w:val="auto"/>
                <w:highlight w:val="none"/>
                <w:u w:val="none"/>
              </w:rPr>
              <w:t>萘</w:t>
            </w:r>
          </w:p>
        </w:tc>
        <w:tc>
          <w:tcPr>
            <w:tcW w:w="712" w:type="pct"/>
            <w:tcBorders>
              <w:top w:val="single" w:color="auto" w:sz="6" w:space="0"/>
              <w:left w:val="single" w:color="auto" w:sz="4" w:space="0"/>
              <w:bottom w:val="single" w:color="auto" w:sz="6" w:space="0"/>
            </w:tcBorders>
            <w:vAlign w:val="center"/>
          </w:tcPr>
          <w:p w14:paraId="161D0C24">
            <w:pPr>
              <w:pStyle w:val="92"/>
              <w:rPr>
                <w:color w:val="auto"/>
                <w:highlight w:val="none"/>
                <w:u w:val="none"/>
              </w:rPr>
            </w:pPr>
            <w:r>
              <w:rPr>
                <w:color w:val="auto"/>
                <w:highlight w:val="none"/>
                <w:u w:val="none"/>
              </w:rPr>
              <w:t>91-20-3</w:t>
            </w:r>
          </w:p>
        </w:tc>
        <w:tc>
          <w:tcPr>
            <w:tcW w:w="603" w:type="pct"/>
            <w:tcBorders>
              <w:top w:val="single" w:color="auto" w:sz="6" w:space="0"/>
              <w:bottom w:val="single" w:color="auto" w:sz="6" w:space="0"/>
            </w:tcBorders>
            <w:vAlign w:val="center"/>
          </w:tcPr>
          <w:p w14:paraId="73678DBA">
            <w:pPr>
              <w:pStyle w:val="92"/>
              <w:rPr>
                <w:color w:val="auto"/>
                <w:highlight w:val="none"/>
                <w:u w:val="none"/>
              </w:rPr>
            </w:pPr>
            <w:r>
              <w:rPr>
                <w:color w:val="auto"/>
                <w:highlight w:val="none"/>
                <w:u w:val="none"/>
              </w:rPr>
              <w:t>25</w:t>
            </w:r>
          </w:p>
        </w:tc>
        <w:tc>
          <w:tcPr>
            <w:tcW w:w="668" w:type="pct"/>
            <w:tcBorders>
              <w:top w:val="single" w:color="auto" w:sz="6" w:space="0"/>
              <w:bottom w:val="single" w:color="auto" w:sz="6" w:space="0"/>
            </w:tcBorders>
            <w:shd w:val="clear" w:color="auto" w:fill="D9D9D9"/>
            <w:vAlign w:val="center"/>
          </w:tcPr>
          <w:p w14:paraId="66B511CD">
            <w:pPr>
              <w:pStyle w:val="92"/>
              <w:rPr>
                <w:color w:val="auto"/>
                <w:highlight w:val="none"/>
                <w:u w:val="none"/>
              </w:rPr>
            </w:pPr>
            <w:r>
              <w:rPr>
                <w:color w:val="auto"/>
                <w:highlight w:val="none"/>
                <w:u w:val="none"/>
              </w:rPr>
              <w:t>70</w:t>
            </w:r>
          </w:p>
        </w:tc>
        <w:tc>
          <w:tcPr>
            <w:tcW w:w="646" w:type="pct"/>
            <w:tcBorders>
              <w:top w:val="single" w:color="auto" w:sz="6" w:space="0"/>
              <w:bottom w:val="single" w:color="auto" w:sz="6" w:space="0"/>
            </w:tcBorders>
            <w:vAlign w:val="center"/>
          </w:tcPr>
          <w:p w14:paraId="4B78E1C7">
            <w:pPr>
              <w:pStyle w:val="92"/>
              <w:rPr>
                <w:color w:val="auto"/>
                <w:highlight w:val="none"/>
                <w:u w:val="none"/>
              </w:rPr>
            </w:pPr>
            <w:r>
              <w:rPr>
                <w:color w:val="auto"/>
                <w:highlight w:val="none"/>
                <w:u w:val="none"/>
              </w:rPr>
              <w:t>255</w:t>
            </w:r>
          </w:p>
        </w:tc>
        <w:tc>
          <w:tcPr>
            <w:tcW w:w="613" w:type="pct"/>
            <w:tcBorders>
              <w:top w:val="single" w:color="auto" w:sz="6" w:space="0"/>
              <w:bottom w:val="single" w:color="auto" w:sz="6" w:space="0"/>
              <w:right w:val="single" w:color="auto" w:sz="12" w:space="0"/>
            </w:tcBorders>
            <w:shd w:val="clear" w:color="auto" w:fill="auto"/>
            <w:vAlign w:val="center"/>
          </w:tcPr>
          <w:p w14:paraId="777A763E">
            <w:pPr>
              <w:pStyle w:val="92"/>
              <w:rPr>
                <w:color w:val="auto"/>
                <w:highlight w:val="none"/>
                <w:u w:val="none"/>
              </w:rPr>
            </w:pPr>
            <w:r>
              <w:rPr>
                <w:color w:val="auto"/>
                <w:highlight w:val="none"/>
                <w:u w:val="none"/>
              </w:rPr>
              <w:t>700</w:t>
            </w:r>
          </w:p>
        </w:tc>
      </w:tr>
      <w:tr w14:paraId="4DE78C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010F9584">
            <w:pPr>
              <w:pStyle w:val="92"/>
              <w:rPr>
                <w:color w:val="auto"/>
                <w:highlight w:val="none"/>
                <w:u w:val="none"/>
              </w:rPr>
            </w:pPr>
            <w:r>
              <w:rPr>
                <w:rFonts w:hint="eastAsia"/>
                <w:b/>
                <w:bCs/>
                <w:color w:val="auto"/>
                <w:highlight w:val="none"/>
                <w:u w:val="none"/>
                <w:lang w:bidi="ar"/>
              </w:rPr>
              <w:t>其他项目</w:t>
            </w:r>
          </w:p>
        </w:tc>
      </w:tr>
      <w:tr w14:paraId="773459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470A74EC">
            <w:pPr>
              <w:pStyle w:val="92"/>
              <w:rPr>
                <w:color w:val="auto"/>
                <w:highlight w:val="none"/>
                <w:u w:val="none"/>
                <w:lang w:bidi="ar"/>
              </w:rPr>
            </w:pPr>
            <w:r>
              <w:rPr>
                <w:rFonts w:hint="eastAsia"/>
                <w:color w:val="auto"/>
                <w:highlight w:val="none"/>
                <w:u w:val="none"/>
                <w:lang w:bidi="ar"/>
              </w:rPr>
              <w:t>半挥发性有机物</w:t>
            </w:r>
          </w:p>
        </w:tc>
      </w:tr>
      <w:tr w14:paraId="710FE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6" w:space="0"/>
              <w:right w:val="single" w:color="auto" w:sz="4" w:space="0"/>
            </w:tcBorders>
            <w:vAlign w:val="center"/>
          </w:tcPr>
          <w:p w14:paraId="2E64EB2E">
            <w:pPr>
              <w:pStyle w:val="92"/>
              <w:rPr>
                <w:color w:val="auto"/>
                <w:highlight w:val="none"/>
                <w:u w:val="none"/>
              </w:rPr>
            </w:pPr>
            <w:r>
              <w:rPr>
                <w:rFonts w:hint="eastAsia"/>
                <w:color w:val="auto"/>
                <w:highlight w:val="none"/>
                <w:u w:val="none"/>
              </w:rPr>
              <w:t>4</w:t>
            </w:r>
            <w:r>
              <w:rPr>
                <w:color w:val="auto"/>
                <w:highlight w:val="none"/>
                <w:u w:val="none"/>
              </w:rPr>
              <w:t>6</w:t>
            </w:r>
          </w:p>
        </w:tc>
        <w:tc>
          <w:tcPr>
            <w:tcW w:w="1235" w:type="pct"/>
            <w:tcBorders>
              <w:top w:val="single" w:color="auto" w:sz="6" w:space="0"/>
              <w:left w:val="single" w:color="auto" w:sz="4" w:space="0"/>
              <w:bottom w:val="single" w:color="auto" w:sz="6" w:space="0"/>
              <w:right w:val="single" w:color="auto" w:sz="4" w:space="0"/>
            </w:tcBorders>
            <w:vAlign w:val="center"/>
          </w:tcPr>
          <w:p w14:paraId="709F0D10">
            <w:pPr>
              <w:pStyle w:val="92"/>
              <w:rPr>
                <w:color w:val="auto"/>
                <w:highlight w:val="none"/>
                <w:u w:val="none"/>
              </w:rPr>
            </w:pPr>
            <w:r>
              <w:rPr>
                <w:rFonts w:hint="eastAsia"/>
                <w:color w:val="auto"/>
                <w:sz w:val="24"/>
                <w:szCs w:val="24"/>
                <w:highlight w:val="none"/>
                <w:u w:val="none"/>
              </w:rPr>
              <w:t>2,</w:t>
            </w:r>
            <w:r>
              <w:rPr>
                <w:color w:val="auto"/>
                <w:sz w:val="24"/>
                <w:szCs w:val="24"/>
                <w:highlight w:val="none"/>
                <w:u w:val="none"/>
              </w:rPr>
              <w:t>4-</w:t>
            </w:r>
            <w:r>
              <w:rPr>
                <w:rFonts w:hint="eastAsia"/>
                <w:color w:val="auto"/>
                <w:sz w:val="24"/>
                <w:szCs w:val="24"/>
                <w:highlight w:val="none"/>
                <w:u w:val="none"/>
              </w:rPr>
              <w:t>二硝基甲苯</w:t>
            </w:r>
          </w:p>
        </w:tc>
        <w:tc>
          <w:tcPr>
            <w:tcW w:w="712" w:type="pct"/>
            <w:tcBorders>
              <w:top w:val="single" w:color="auto" w:sz="6" w:space="0"/>
              <w:left w:val="single" w:color="auto" w:sz="4" w:space="0"/>
              <w:bottom w:val="single" w:color="auto" w:sz="6" w:space="0"/>
            </w:tcBorders>
            <w:vAlign w:val="center"/>
          </w:tcPr>
          <w:p w14:paraId="20C51859">
            <w:pPr>
              <w:pStyle w:val="92"/>
              <w:rPr>
                <w:color w:val="auto"/>
                <w:highlight w:val="none"/>
                <w:u w:val="none"/>
              </w:rPr>
            </w:pPr>
            <w:r>
              <w:rPr>
                <w:rFonts w:hint="eastAsia"/>
                <w:color w:val="auto"/>
                <w:highlight w:val="none"/>
                <w:u w:val="none"/>
              </w:rPr>
              <w:t>1</w:t>
            </w:r>
            <w:r>
              <w:rPr>
                <w:color w:val="auto"/>
                <w:highlight w:val="none"/>
                <w:u w:val="none"/>
              </w:rPr>
              <w:t>21-14-2</w:t>
            </w:r>
          </w:p>
        </w:tc>
        <w:tc>
          <w:tcPr>
            <w:tcW w:w="603" w:type="pct"/>
            <w:tcBorders>
              <w:top w:val="single" w:color="auto" w:sz="6" w:space="0"/>
              <w:bottom w:val="single" w:color="auto" w:sz="6" w:space="0"/>
            </w:tcBorders>
            <w:vAlign w:val="center"/>
          </w:tcPr>
          <w:p w14:paraId="4443D9C9">
            <w:pPr>
              <w:pStyle w:val="92"/>
              <w:rPr>
                <w:color w:val="auto"/>
                <w:highlight w:val="none"/>
                <w:u w:val="none"/>
              </w:rPr>
            </w:pPr>
            <w:r>
              <w:rPr>
                <w:rFonts w:hint="eastAsia"/>
                <w:color w:val="auto"/>
                <w:highlight w:val="none"/>
                <w:u w:val="none"/>
              </w:rPr>
              <w:t>1</w:t>
            </w:r>
            <w:r>
              <w:rPr>
                <w:color w:val="auto"/>
                <w:highlight w:val="none"/>
                <w:u w:val="none"/>
              </w:rPr>
              <w:t>.8</w:t>
            </w:r>
          </w:p>
        </w:tc>
        <w:tc>
          <w:tcPr>
            <w:tcW w:w="668" w:type="pct"/>
            <w:tcBorders>
              <w:top w:val="single" w:color="auto" w:sz="6" w:space="0"/>
              <w:bottom w:val="single" w:color="auto" w:sz="6" w:space="0"/>
            </w:tcBorders>
            <w:shd w:val="clear" w:color="auto" w:fill="D9D9D9"/>
            <w:vAlign w:val="center"/>
          </w:tcPr>
          <w:p w14:paraId="7A06CA7C">
            <w:pPr>
              <w:pStyle w:val="92"/>
              <w:rPr>
                <w:color w:val="auto"/>
                <w:highlight w:val="none"/>
                <w:u w:val="none"/>
              </w:rPr>
            </w:pPr>
            <w:r>
              <w:rPr>
                <w:rFonts w:hint="eastAsia"/>
                <w:color w:val="auto"/>
                <w:highlight w:val="none"/>
                <w:u w:val="none"/>
              </w:rPr>
              <w:t>5</w:t>
            </w:r>
            <w:r>
              <w:rPr>
                <w:color w:val="auto"/>
                <w:highlight w:val="none"/>
                <w:u w:val="none"/>
              </w:rPr>
              <w:t>.2</w:t>
            </w:r>
          </w:p>
        </w:tc>
        <w:tc>
          <w:tcPr>
            <w:tcW w:w="646" w:type="pct"/>
            <w:tcBorders>
              <w:top w:val="single" w:color="auto" w:sz="6" w:space="0"/>
              <w:bottom w:val="single" w:color="auto" w:sz="6" w:space="0"/>
            </w:tcBorders>
            <w:vAlign w:val="center"/>
          </w:tcPr>
          <w:p w14:paraId="7192E869">
            <w:pPr>
              <w:pStyle w:val="92"/>
              <w:rPr>
                <w:color w:val="auto"/>
                <w:highlight w:val="none"/>
                <w:u w:val="none"/>
              </w:rPr>
            </w:pPr>
            <w:r>
              <w:rPr>
                <w:rFonts w:hint="eastAsia"/>
                <w:color w:val="auto"/>
                <w:highlight w:val="none"/>
                <w:u w:val="none"/>
              </w:rPr>
              <w:t>1</w:t>
            </w:r>
            <w:r>
              <w:rPr>
                <w:color w:val="auto"/>
                <w:highlight w:val="none"/>
                <w:u w:val="none"/>
              </w:rPr>
              <w:t>8</w:t>
            </w:r>
          </w:p>
        </w:tc>
        <w:tc>
          <w:tcPr>
            <w:tcW w:w="613" w:type="pct"/>
            <w:tcBorders>
              <w:top w:val="single" w:color="auto" w:sz="6" w:space="0"/>
              <w:bottom w:val="single" w:color="auto" w:sz="6" w:space="0"/>
              <w:right w:val="single" w:color="auto" w:sz="12" w:space="0"/>
            </w:tcBorders>
            <w:shd w:val="clear" w:color="auto" w:fill="auto"/>
            <w:vAlign w:val="center"/>
          </w:tcPr>
          <w:p w14:paraId="2BEAFD9B">
            <w:pPr>
              <w:pStyle w:val="92"/>
              <w:rPr>
                <w:color w:val="auto"/>
                <w:highlight w:val="none"/>
                <w:u w:val="none"/>
              </w:rPr>
            </w:pPr>
            <w:r>
              <w:rPr>
                <w:rFonts w:hint="eastAsia"/>
                <w:color w:val="auto"/>
                <w:highlight w:val="none"/>
                <w:u w:val="none"/>
              </w:rPr>
              <w:t>5</w:t>
            </w:r>
            <w:r>
              <w:rPr>
                <w:color w:val="auto"/>
                <w:highlight w:val="none"/>
                <w:u w:val="none"/>
              </w:rPr>
              <w:t>2</w:t>
            </w:r>
          </w:p>
        </w:tc>
      </w:tr>
      <w:tr w14:paraId="53F71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tcBorders>
              <w:top w:val="single" w:color="auto" w:sz="6" w:space="0"/>
              <w:left w:val="single" w:color="auto" w:sz="12" w:space="0"/>
              <w:bottom w:val="single" w:color="auto" w:sz="6" w:space="0"/>
              <w:right w:val="single" w:color="auto" w:sz="12" w:space="0"/>
            </w:tcBorders>
            <w:vAlign w:val="center"/>
          </w:tcPr>
          <w:p w14:paraId="0A395178">
            <w:pPr>
              <w:pStyle w:val="92"/>
              <w:rPr>
                <w:color w:val="auto"/>
                <w:highlight w:val="none"/>
                <w:u w:val="none"/>
              </w:rPr>
            </w:pPr>
            <w:r>
              <w:rPr>
                <w:rFonts w:hint="eastAsia"/>
                <w:color w:val="auto"/>
                <w:highlight w:val="none"/>
                <w:u w:val="none"/>
              </w:rPr>
              <w:t>石油烃类</w:t>
            </w:r>
          </w:p>
        </w:tc>
      </w:tr>
      <w:tr w14:paraId="733C9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3" w:type="pct"/>
            <w:tcBorders>
              <w:top w:val="single" w:color="auto" w:sz="6" w:space="0"/>
              <w:left w:val="single" w:color="auto" w:sz="12" w:space="0"/>
              <w:bottom w:val="single" w:color="auto" w:sz="12" w:space="0"/>
              <w:right w:val="single" w:color="auto" w:sz="4" w:space="0"/>
            </w:tcBorders>
            <w:vAlign w:val="center"/>
          </w:tcPr>
          <w:p w14:paraId="4853435A">
            <w:pPr>
              <w:pStyle w:val="92"/>
              <w:rPr>
                <w:color w:val="auto"/>
                <w:highlight w:val="none"/>
                <w:u w:val="none"/>
              </w:rPr>
            </w:pPr>
            <w:r>
              <w:rPr>
                <w:rFonts w:hint="eastAsia"/>
                <w:color w:val="auto"/>
                <w:highlight w:val="none"/>
                <w:u w:val="none"/>
              </w:rPr>
              <w:t>4</w:t>
            </w:r>
            <w:r>
              <w:rPr>
                <w:color w:val="auto"/>
                <w:highlight w:val="none"/>
                <w:u w:val="none"/>
              </w:rPr>
              <w:t>7</w:t>
            </w:r>
          </w:p>
        </w:tc>
        <w:tc>
          <w:tcPr>
            <w:tcW w:w="1235" w:type="pct"/>
            <w:tcBorders>
              <w:top w:val="single" w:color="auto" w:sz="6" w:space="0"/>
              <w:left w:val="single" w:color="auto" w:sz="4" w:space="0"/>
              <w:bottom w:val="single" w:color="auto" w:sz="12" w:space="0"/>
              <w:right w:val="single" w:color="auto" w:sz="4" w:space="0"/>
            </w:tcBorders>
            <w:vAlign w:val="center"/>
          </w:tcPr>
          <w:p w14:paraId="3D4BA930">
            <w:pPr>
              <w:pStyle w:val="92"/>
              <w:rPr>
                <w:color w:val="auto"/>
                <w:highlight w:val="none"/>
                <w:u w:val="none"/>
              </w:rPr>
            </w:pPr>
            <w:r>
              <w:rPr>
                <w:rFonts w:hint="eastAsia"/>
                <w:color w:val="auto"/>
                <w:sz w:val="24"/>
                <w:szCs w:val="24"/>
                <w:highlight w:val="none"/>
                <w:u w:val="none"/>
              </w:rPr>
              <w:t>石油烃</w:t>
            </w:r>
          </w:p>
        </w:tc>
        <w:tc>
          <w:tcPr>
            <w:tcW w:w="712" w:type="pct"/>
            <w:tcBorders>
              <w:top w:val="single" w:color="auto" w:sz="6" w:space="0"/>
              <w:left w:val="single" w:color="auto" w:sz="4" w:space="0"/>
              <w:bottom w:val="single" w:color="auto" w:sz="12" w:space="0"/>
            </w:tcBorders>
            <w:vAlign w:val="center"/>
          </w:tcPr>
          <w:p w14:paraId="1AA679F2">
            <w:pPr>
              <w:pStyle w:val="92"/>
              <w:rPr>
                <w:color w:val="auto"/>
                <w:highlight w:val="none"/>
                <w:u w:val="none"/>
              </w:rPr>
            </w:pPr>
            <w:r>
              <w:rPr>
                <w:rFonts w:hint="eastAsia"/>
                <w:color w:val="auto"/>
                <w:highlight w:val="none"/>
                <w:u w:val="none"/>
              </w:rPr>
              <w:t>-</w:t>
            </w:r>
          </w:p>
        </w:tc>
        <w:tc>
          <w:tcPr>
            <w:tcW w:w="603" w:type="pct"/>
            <w:tcBorders>
              <w:top w:val="single" w:color="auto" w:sz="6" w:space="0"/>
              <w:bottom w:val="single" w:color="auto" w:sz="12" w:space="0"/>
            </w:tcBorders>
            <w:vAlign w:val="center"/>
          </w:tcPr>
          <w:p w14:paraId="7FA0F4C7">
            <w:pPr>
              <w:pStyle w:val="92"/>
              <w:rPr>
                <w:color w:val="auto"/>
                <w:highlight w:val="none"/>
                <w:u w:val="none"/>
              </w:rPr>
            </w:pPr>
            <w:r>
              <w:rPr>
                <w:rFonts w:hint="eastAsia"/>
                <w:color w:val="auto"/>
                <w:highlight w:val="none"/>
                <w:u w:val="none"/>
              </w:rPr>
              <w:t>8</w:t>
            </w:r>
            <w:r>
              <w:rPr>
                <w:color w:val="auto"/>
                <w:highlight w:val="none"/>
                <w:u w:val="none"/>
              </w:rPr>
              <w:t>26</w:t>
            </w:r>
          </w:p>
        </w:tc>
        <w:tc>
          <w:tcPr>
            <w:tcW w:w="668" w:type="pct"/>
            <w:tcBorders>
              <w:top w:val="single" w:color="auto" w:sz="6" w:space="0"/>
              <w:bottom w:val="single" w:color="auto" w:sz="12" w:space="0"/>
            </w:tcBorders>
            <w:shd w:val="clear" w:color="auto" w:fill="D9D9D9"/>
            <w:vAlign w:val="center"/>
          </w:tcPr>
          <w:p w14:paraId="5CDB7B84">
            <w:pPr>
              <w:pStyle w:val="92"/>
              <w:rPr>
                <w:color w:val="auto"/>
                <w:highlight w:val="none"/>
                <w:u w:val="none"/>
              </w:rPr>
            </w:pPr>
            <w:r>
              <w:rPr>
                <w:rFonts w:hint="eastAsia"/>
                <w:color w:val="auto"/>
                <w:highlight w:val="none"/>
                <w:u w:val="none"/>
              </w:rPr>
              <w:t>4</w:t>
            </w:r>
            <w:r>
              <w:rPr>
                <w:color w:val="auto"/>
                <w:highlight w:val="none"/>
                <w:u w:val="none"/>
              </w:rPr>
              <w:t>500</w:t>
            </w:r>
          </w:p>
        </w:tc>
        <w:tc>
          <w:tcPr>
            <w:tcW w:w="646" w:type="pct"/>
            <w:tcBorders>
              <w:top w:val="single" w:color="auto" w:sz="6" w:space="0"/>
              <w:bottom w:val="single" w:color="auto" w:sz="12" w:space="0"/>
            </w:tcBorders>
            <w:vAlign w:val="center"/>
          </w:tcPr>
          <w:p w14:paraId="6B1E4F4B">
            <w:pPr>
              <w:pStyle w:val="92"/>
              <w:rPr>
                <w:color w:val="auto"/>
                <w:highlight w:val="none"/>
                <w:u w:val="none"/>
              </w:rPr>
            </w:pPr>
            <w:r>
              <w:rPr>
                <w:rFonts w:hint="eastAsia"/>
                <w:color w:val="auto"/>
                <w:highlight w:val="none"/>
                <w:u w:val="none"/>
              </w:rPr>
              <w:t>5</w:t>
            </w:r>
            <w:r>
              <w:rPr>
                <w:color w:val="auto"/>
                <w:highlight w:val="none"/>
                <w:u w:val="none"/>
              </w:rPr>
              <w:t>000</w:t>
            </w:r>
          </w:p>
        </w:tc>
        <w:tc>
          <w:tcPr>
            <w:tcW w:w="613" w:type="pct"/>
            <w:tcBorders>
              <w:top w:val="single" w:color="auto" w:sz="6" w:space="0"/>
              <w:bottom w:val="single" w:color="auto" w:sz="12" w:space="0"/>
              <w:right w:val="single" w:color="auto" w:sz="12" w:space="0"/>
            </w:tcBorders>
            <w:shd w:val="clear" w:color="auto" w:fill="auto"/>
            <w:vAlign w:val="center"/>
          </w:tcPr>
          <w:p w14:paraId="04D4D002">
            <w:pPr>
              <w:pStyle w:val="92"/>
              <w:rPr>
                <w:color w:val="auto"/>
                <w:highlight w:val="none"/>
                <w:u w:val="none"/>
              </w:rPr>
            </w:pPr>
            <w:r>
              <w:rPr>
                <w:rFonts w:hint="eastAsia"/>
                <w:color w:val="auto"/>
                <w:highlight w:val="none"/>
                <w:u w:val="none"/>
              </w:rPr>
              <w:t>9</w:t>
            </w:r>
            <w:r>
              <w:rPr>
                <w:color w:val="auto"/>
                <w:highlight w:val="none"/>
                <w:u w:val="none"/>
              </w:rPr>
              <w:t>000</w:t>
            </w:r>
          </w:p>
        </w:tc>
      </w:tr>
    </w:tbl>
    <w:p w14:paraId="7643E33F">
      <w:pPr>
        <w:pStyle w:val="7"/>
        <w:spacing w:before="120"/>
        <w:rPr>
          <w:color w:val="auto"/>
          <w:highlight w:val="none"/>
          <w:u w:val="none"/>
        </w:rPr>
      </w:pPr>
      <w:r>
        <w:rPr>
          <w:rFonts w:hint="eastAsia"/>
          <w:color w:val="auto"/>
          <w:highlight w:val="none"/>
          <w:u w:val="none"/>
        </w:rPr>
        <w:t>污染物排放标准</w:t>
      </w:r>
    </w:p>
    <w:p w14:paraId="2571F1FB">
      <w:pPr>
        <w:rPr>
          <w:rFonts w:hint="eastAsia"/>
          <w:bCs/>
          <w:color w:val="auto"/>
          <w:highlight w:val="none"/>
          <w:u w:val="none"/>
        </w:rPr>
      </w:pPr>
      <w:r>
        <w:rPr>
          <w:rFonts w:hint="eastAsia"/>
          <w:color w:val="auto"/>
          <w:highlight w:val="none"/>
          <w:u w:val="none"/>
        </w:rPr>
        <w:t>（1）废水</w:t>
      </w:r>
    </w:p>
    <w:p w14:paraId="1F5CFB09">
      <w:pPr>
        <w:rPr>
          <w:rFonts w:hint="eastAsia"/>
          <w:color w:val="auto"/>
          <w:highlight w:val="none"/>
          <w:u w:val="none"/>
        </w:rPr>
      </w:pPr>
      <w:r>
        <w:rPr>
          <w:rFonts w:hint="eastAsia"/>
          <w:color w:val="auto"/>
          <w:highlight w:val="none"/>
          <w:u w:val="none"/>
        </w:rPr>
        <w:t>本项目硝硫浓缩酸性废水、废酸浓缩酸性废水、</w:t>
      </w:r>
      <w:r>
        <w:rPr>
          <w:rFonts w:hint="eastAsia"/>
          <w:color w:val="auto"/>
          <w:highlight w:val="none"/>
          <w:u w:val="none"/>
          <w:lang w:val="en-US"/>
        </w:rPr>
        <w:t>汽提酸性废水、</w:t>
      </w:r>
      <w:r>
        <w:rPr>
          <w:color w:val="auto"/>
          <w:highlight w:val="none"/>
          <w:u w:val="none"/>
        </w:rPr>
        <w:t>TDA</w:t>
      </w:r>
      <w:r>
        <w:rPr>
          <w:rFonts w:hint="eastAsia"/>
          <w:color w:val="auto"/>
          <w:highlight w:val="none"/>
          <w:u w:val="none"/>
        </w:rPr>
        <w:t>废水、光化中和废水、设备清洗废水依托</w:t>
      </w:r>
      <w:r>
        <w:rPr>
          <w:color w:val="auto"/>
          <w:highlight w:val="none"/>
          <w:u w:val="none"/>
        </w:rPr>
        <w:t>万华</w:t>
      </w:r>
      <w:r>
        <w:rPr>
          <w:rFonts w:hint="eastAsia"/>
          <w:color w:val="auto"/>
          <w:highlight w:val="none"/>
          <w:u w:val="none"/>
          <w:lang w:val="en-US"/>
        </w:rPr>
        <w:t>环保科技</w:t>
      </w:r>
      <w:r>
        <w:rPr>
          <w:color w:val="auto"/>
          <w:highlight w:val="none"/>
          <w:u w:val="none"/>
        </w:rPr>
        <w:t>公司综合废水处理系统处理</w:t>
      </w:r>
      <w:r>
        <w:rPr>
          <w:rFonts w:hint="eastAsia"/>
          <w:color w:val="auto"/>
          <w:highlight w:val="none"/>
          <w:u w:val="none"/>
        </w:rPr>
        <w:t>，处理达标后的废水通过</w:t>
      </w:r>
      <w:r>
        <w:rPr>
          <w:rFonts w:hint="eastAsia"/>
          <w:color w:val="auto"/>
          <w:highlight w:val="none"/>
          <w:u w:val="none"/>
          <w:lang w:eastAsia="zh-CN"/>
        </w:rPr>
        <w:t>福州江阴港城经济区</w:t>
      </w:r>
      <w:r>
        <w:rPr>
          <w:rFonts w:hint="eastAsia"/>
          <w:color w:val="auto"/>
          <w:highlight w:val="none"/>
          <w:u w:val="none"/>
        </w:rPr>
        <w:t>污水处理厂已建排海管道排海。</w:t>
      </w:r>
      <w:r>
        <w:rPr>
          <w:color w:val="auto"/>
          <w:highlight w:val="none"/>
          <w:u w:val="none"/>
        </w:rPr>
        <w:t>地面冲洗水、初期雨水及生活污水</w:t>
      </w:r>
      <w:r>
        <w:rPr>
          <w:rFonts w:hint="eastAsia"/>
          <w:color w:val="auto"/>
          <w:highlight w:val="none"/>
          <w:u w:val="none"/>
        </w:rPr>
        <w:t>依托</w:t>
      </w:r>
      <w:r>
        <w:rPr>
          <w:color w:val="auto"/>
          <w:highlight w:val="none"/>
          <w:u w:val="none"/>
        </w:rPr>
        <w:t>万华</w:t>
      </w:r>
      <w:r>
        <w:rPr>
          <w:rFonts w:hint="eastAsia"/>
          <w:color w:val="auto"/>
          <w:highlight w:val="none"/>
          <w:u w:val="none"/>
          <w:lang w:val="en-US"/>
        </w:rPr>
        <w:t>环保科技公司</w:t>
      </w:r>
      <w:r>
        <w:rPr>
          <w:color w:val="auto"/>
          <w:highlight w:val="none"/>
          <w:u w:val="none"/>
        </w:rPr>
        <w:t>低浓度废水处理系统处理</w:t>
      </w:r>
      <w:r>
        <w:rPr>
          <w:rFonts w:hint="eastAsia"/>
          <w:color w:val="auto"/>
          <w:highlight w:val="none"/>
          <w:u w:val="none"/>
        </w:rPr>
        <w:t>后</w:t>
      </w:r>
      <w:r>
        <w:rPr>
          <w:rStyle w:val="161"/>
          <w:rFonts w:hint="eastAsia"/>
          <w:color w:val="auto"/>
          <w:sz w:val="24"/>
          <w:szCs w:val="24"/>
          <w:highlight w:val="none"/>
          <w:u w:val="none"/>
        </w:rPr>
        <w:t>进入编组站废水处理系统进一步处理</w:t>
      </w:r>
      <w:r>
        <w:rPr>
          <w:color w:val="auto"/>
          <w:highlight w:val="none"/>
          <w:u w:val="none"/>
        </w:rPr>
        <w:t>。</w:t>
      </w:r>
    </w:p>
    <w:p w14:paraId="4236E92F">
      <w:pPr>
        <w:rPr>
          <w:rFonts w:hint="eastAsia"/>
          <w:color w:val="auto"/>
          <w:highlight w:val="none"/>
          <w:u w:val="none"/>
        </w:rPr>
      </w:pPr>
      <w:r>
        <w:rPr>
          <w:rFonts w:hint="eastAsia"/>
          <w:color w:val="auto"/>
          <w:highlight w:val="none"/>
          <w:u w:val="none"/>
        </w:rPr>
        <w:t>万华环保科技公司</w:t>
      </w:r>
      <w:r>
        <w:rPr>
          <w:rFonts w:hint="eastAsia"/>
          <w:color w:val="auto"/>
          <w:highlight w:val="none"/>
          <w:u w:val="none"/>
          <w:lang w:val="en-US"/>
        </w:rPr>
        <w:t>现有</w:t>
      </w:r>
      <w:r>
        <w:rPr>
          <w:rFonts w:hint="eastAsia"/>
          <w:color w:val="auto"/>
          <w:highlight w:val="none"/>
          <w:u w:val="none"/>
        </w:rPr>
        <w:t>废水处理站（原异氰酸酯公司附属设施工程废水处理站）设三套处理系统，分别为离心母液处理系统、低浓度废水处理系统、综合废水处理系统。根据福州市生态环境局2</w:t>
      </w:r>
      <w:r>
        <w:rPr>
          <w:color w:val="auto"/>
          <w:highlight w:val="none"/>
          <w:u w:val="none"/>
        </w:rPr>
        <w:t>021</w:t>
      </w:r>
      <w:r>
        <w:rPr>
          <w:rFonts w:hint="eastAsia"/>
          <w:color w:val="auto"/>
          <w:highlight w:val="none"/>
          <w:u w:val="none"/>
        </w:rPr>
        <w:t>年9月对“异氰酸酯有限公司附属配套设施”环评的批复（见附件</w:t>
      </w:r>
      <w:r>
        <w:rPr>
          <w:rFonts w:hint="eastAsia"/>
          <w:color w:val="auto"/>
          <w:highlight w:val="none"/>
          <w:u w:val="none"/>
          <w:lang w:val="en-US" w:eastAsia="zh-CN"/>
        </w:rPr>
        <w:t>9</w:t>
      </w:r>
      <w:r>
        <w:rPr>
          <w:rFonts w:hint="eastAsia"/>
          <w:color w:val="auto"/>
          <w:highlight w:val="none"/>
          <w:u w:val="none"/>
        </w:rPr>
        <w:t>），母液废水处理后回用不排放；</w:t>
      </w:r>
      <w:r>
        <w:rPr>
          <w:color w:val="auto"/>
          <w:highlight w:val="none"/>
          <w:u w:val="none"/>
        </w:rPr>
        <w:t>综合废水处理系统尾水排放执行《烧碱、聚氯乙烯工业污染物排放标准》</w:t>
      </w:r>
      <w:r>
        <w:rPr>
          <w:rFonts w:hint="eastAsia"/>
          <w:color w:val="auto"/>
          <w:highlight w:val="none"/>
          <w:u w:val="none"/>
        </w:rPr>
        <w:t>（</w:t>
      </w:r>
      <w:r>
        <w:rPr>
          <w:color w:val="auto"/>
          <w:highlight w:val="none"/>
          <w:u w:val="none"/>
        </w:rPr>
        <w:t>GB15581-2016</w:t>
      </w:r>
      <w:r>
        <w:rPr>
          <w:rFonts w:hint="eastAsia"/>
          <w:color w:val="auto"/>
          <w:highlight w:val="none"/>
          <w:u w:val="none"/>
        </w:rPr>
        <w:t>）</w:t>
      </w:r>
      <w:r>
        <w:rPr>
          <w:color w:val="auto"/>
          <w:highlight w:val="none"/>
          <w:u w:val="none"/>
        </w:rPr>
        <w:t>表1直接排放限值、《石油化学工业污染物排放标准》</w:t>
      </w:r>
      <w:r>
        <w:rPr>
          <w:rFonts w:hint="eastAsia"/>
          <w:color w:val="auto"/>
          <w:highlight w:val="none"/>
          <w:u w:val="none"/>
        </w:rPr>
        <w:t>（</w:t>
      </w:r>
      <w:r>
        <w:rPr>
          <w:color w:val="auto"/>
          <w:highlight w:val="none"/>
          <w:u w:val="none"/>
        </w:rPr>
        <w:t>GB 31571-2015</w:t>
      </w:r>
      <w:r>
        <w:rPr>
          <w:rFonts w:hint="eastAsia"/>
          <w:color w:val="auto"/>
          <w:highlight w:val="none"/>
          <w:u w:val="none"/>
        </w:rPr>
        <w:t>）</w:t>
      </w:r>
      <w:r>
        <w:rPr>
          <w:rFonts w:hint="eastAsia"/>
          <w:color w:val="auto"/>
          <w:highlight w:val="none"/>
          <w:u w:val="none"/>
          <w:lang w:val="en-US"/>
        </w:rPr>
        <w:t>及其修改单中</w:t>
      </w:r>
      <w:r>
        <w:rPr>
          <w:color w:val="auto"/>
          <w:highlight w:val="none"/>
          <w:u w:val="none"/>
        </w:rPr>
        <w:t>表1直接排放限值和表3有机特征污染物排放限值、《城镇污水处理厂污染物排放标准》</w:t>
      </w:r>
      <w:r>
        <w:rPr>
          <w:rFonts w:hint="eastAsia"/>
          <w:color w:val="auto"/>
          <w:highlight w:val="none"/>
          <w:u w:val="none"/>
        </w:rPr>
        <w:t>（</w:t>
      </w:r>
      <w:r>
        <w:rPr>
          <w:color w:val="auto"/>
          <w:highlight w:val="none"/>
          <w:u w:val="none"/>
        </w:rPr>
        <w:t>GB18918-2002</w:t>
      </w:r>
      <w:r>
        <w:rPr>
          <w:rFonts w:hint="eastAsia"/>
          <w:color w:val="auto"/>
          <w:highlight w:val="none"/>
          <w:u w:val="none"/>
        </w:rPr>
        <w:t>）</w:t>
      </w:r>
      <w:r>
        <w:rPr>
          <w:color w:val="auto"/>
          <w:highlight w:val="none"/>
          <w:u w:val="none"/>
        </w:rPr>
        <w:t>表1一级A标准中的最严格浓度限值，</w:t>
      </w:r>
      <w:r>
        <w:rPr>
          <w:rFonts w:hint="eastAsia"/>
          <w:color w:val="auto"/>
          <w:highlight w:val="none"/>
          <w:u w:val="none"/>
        </w:rPr>
        <w:t>利用污水厂尾水排海管</w:t>
      </w:r>
      <w:r>
        <w:rPr>
          <w:color w:val="auto"/>
          <w:highlight w:val="none"/>
          <w:u w:val="none"/>
        </w:rPr>
        <w:t>排海。</w:t>
      </w:r>
      <w:r>
        <w:rPr>
          <w:rFonts w:hint="eastAsia"/>
          <w:color w:val="auto"/>
          <w:highlight w:val="none"/>
          <w:u w:val="none"/>
        </w:rPr>
        <w:t>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_Ref142331031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8</w:t>
      </w:r>
      <w:r>
        <w:rPr>
          <w:color w:val="auto"/>
          <w:highlight w:val="none"/>
          <w:u w:val="none"/>
        </w:rPr>
        <w:fldChar w:fldCharType="end"/>
      </w:r>
      <w:r>
        <w:rPr>
          <w:rFonts w:hint="eastAsia"/>
          <w:color w:val="auto"/>
          <w:highlight w:val="none"/>
          <w:u w:val="none"/>
        </w:rPr>
        <w:t>。</w:t>
      </w:r>
    </w:p>
    <w:p w14:paraId="4F9C7A67">
      <w:pPr>
        <w:pStyle w:val="85"/>
        <w:rPr>
          <w:color w:val="auto"/>
          <w:highlight w:val="none"/>
          <w:u w:val="none"/>
        </w:rPr>
      </w:pPr>
      <w:bookmarkStart w:id="83" w:name="_Ref14233103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8</w:t>
      </w:r>
      <w:r>
        <w:rPr>
          <w:color w:val="auto"/>
          <w:highlight w:val="none"/>
          <w:u w:val="none"/>
        </w:rPr>
        <w:fldChar w:fldCharType="end"/>
      </w:r>
      <w:bookmarkEnd w:id="83"/>
      <w:r>
        <w:rPr>
          <w:color w:val="auto"/>
          <w:highlight w:val="none"/>
          <w:u w:val="none"/>
        </w:rPr>
        <w:t xml:space="preserve">  </w:t>
      </w:r>
      <w:r>
        <w:rPr>
          <w:rFonts w:hint="eastAsia"/>
          <w:color w:val="auto"/>
          <w:highlight w:val="none"/>
          <w:u w:val="none"/>
        </w:rPr>
        <w:t>综合废水处理系统废水污染物排放限值  单位：mg/L（pH值除外）</w:t>
      </w:r>
    </w:p>
    <w:tbl>
      <w:tblPr>
        <w:tblStyle w:val="5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66"/>
        <w:gridCol w:w="1289"/>
        <w:gridCol w:w="2182"/>
        <w:gridCol w:w="2532"/>
        <w:gridCol w:w="2123"/>
        <w:gridCol w:w="695"/>
      </w:tblGrid>
      <w:tr w14:paraId="5F5453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4110A273">
            <w:pPr>
              <w:pStyle w:val="510"/>
              <w:rPr>
                <w:color w:val="auto"/>
                <w:highlight w:val="none"/>
                <w:u w:val="none"/>
              </w:rPr>
            </w:pPr>
            <w:r>
              <w:rPr>
                <w:rFonts w:hint="eastAsia"/>
                <w:color w:val="auto"/>
                <w:highlight w:val="none"/>
                <w:u w:val="none"/>
              </w:rPr>
              <w:t>序</w:t>
            </w:r>
          </w:p>
          <w:p w14:paraId="3634F83C">
            <w:pPr>
              <w:pStyle w:val="510"/>
              <w:rPr>
                <w:color w:val="auto"/>
                <w:highlight w:val="none"/>
                <w:u w:val="none"/>
              </w:rPr>
            </w:pPr>
            <w:r>
              <w:rPr>
                <w:rFonts w:hint="eastAsia"/>
                <w:color w:val="auto"/>
                <w:highlight w:val="none"/>
                <w:u w:val="none"/>
              </w:rPr>
              <w:t>号</w:t>
            </w:r>
          </w:p>
        </w:tc>
        <w:tc>
          <w:tcPr>
            <w:tcW w:w="694" w:type="pct"/>
            <w:vAlign w:val="center"/>
          </w:tcPr>
          <w:p w14:paraId="2923E333">
            <w:pPr>
              <w:pStyle w:val="510"/>
              <w:rPr>
                <w:color w:val="auto"/>
                <w:highlight w:val="none"/>
                <w:u w:val="none"/>
              </w:rPr>
            </w:pPr>
            <w:r>
              <w:rPr>
                <w:color w:val="auto"/>
                <w:kern w:val="0"/>
                <w:highlight w:val="none"/>
                <w:u w:val="none"/>
              </w:rPr>
              <w:t>项目</w:t>
            </w:r>
          </w:p>
        </w:tc>
        <w:tc>
          <w:tcPr>
            <w:tcW w:w="1175" w:type="pct"/>
            <w:vAlign w:val="center"/>
          </w:tcPr>
          <w:p w14:paraId="60CFE75A">
            <w:pPr>
              <w:pStyle w:val="510"/>
              <w:rPr>
                <w:color w:val="auto"/>
                <w:highlight w:val="none"/>
                <w:u w:val="none"/>
              </w:rPr>
            </w:pPr>
            <w:r>
              <w:rPr>
                <w:color w:val="auto"/>
                <w:highlight w:val="none"/>
                <w:u w:val="none"/>
              </w:rPr>
              <w:t>《石油化学工业</w:t>
            </w:r>
          </w:p>
          <w:p w14:paraId="22EB6102">
            <w:pPr>
              <w:pStyle w:val="510"/>
              <w:rPr>
                <w:color w:val="auto"/>
                <w:highlight w:val="none"/>
                <w:u w:val="none"/>
              </w:rPr>
            </w:pPr>
            <w:r>
              <w:rPr>
                <w:color w:val="auto"/>
                <w:highlight w:val="none"/>
                <w:u w:val="none"/>
              </w:rPr>
              <w:t>污染物排放标准》</w:t>
            </w:r>
          </w:p>
          <w:p w14:paraId="3AF54020">
            <w:pPr>
              <w:pStyle w:val="510"/>
              <w:rPr>
                <w:color w:val="auto"/>
                <w:highlight w:val="none"/>
                <w:u w:val="none"/>
              </w:rPr>
            </w:pPr>
            <w:r>
              <w:rPr>
                <w:color w:val="auto"/>
                <w:highlight w:val="none"/>
                <w:u w:val="none"/>
              </w:rPr>
              <w:t>（GB 31571-2015）</w:t>
            </w:r>
          </w:p>
          <w:p w14:paraId="6DA9E084">
            <w:pPr>
              <w:pStyle w:val="510"/>
              <w:rPr>
                <w:color w:val="auto"/>
                <w:highlight w:val="none"/>
                <w:u w:val="none"/>
              </w:rPr>
            </w:pPr>
            <w:r>
              <w:rPr>
                <w:rFonts w:hint="eastAsia"/>
                <w:color w:val="auto"/>
                <w:highlight w:val="none"/>
                <w:u w:val="none"/>
              </w:rPr>
              <w:t>及其修改单</w:t>
            </w:r>
          </w:p>
          <w:p w14:paraId="29172071">
            <w:pPr>
              <w:pStyle w:val="510"/>
              <w:rPr>
                <w:color w:val="auto"/>
                <w:kern w:val="0"/>
                <w:highlight w:val="none"/>
                <w:u w:val="none"/>
              </w:rPr>
            </w:pPr>
            <w:r>
              <w:rPr>
                <w:rFonts w:hint="eastAsia"/>
                <w:color w:val="auto"/>
                <w:highlight w:val="none"/>
                <w:u w:val="none"/>
              </w:rPr>
              <w:t>表1</w:t>
            </w:r>
            <w:r>
              <w:rPr>
                <w:color w:val="auto"/>
                <w:kern w:val="0"/>
                <w:highlight w:val="none"/>
                <w:u w:val="none"/>
              </w:rPr>
              <w:t>直接排放</w:t>
            </w:r>
            <w:r>
              <w:rPr>
                <w:rFonts w:hint="eastAsia"/>
                <w:color w:val="auto"/>
                <w:kern w:val="0"/>
                <w:highlight w:val="none"/>
                <w:u w:val="none"/>
              </w:rPr>
              <w:t>限</w:t>
            </w:r>
          </w:p>
          <w:p w14:paraId="77444585">
            <w:pPr>
              <w:pStyle w:val="510"/>
              <w:rPr>
                <w:color w:val="auto"/>
                <w:highlight w:val="none"/>
                <w:u w:val="none"/>
              </w:rPr>
            </w:pPr>
            <w:r>
              <w:rPr>
                <w:rFonts w:hint="eastAsia"/>
                <w:color w:val="auto"/>
                <w:kern w:val="0"/>
                <w:highlight w:val="none"/>
                <w:u w:val="none"/>
              </w:rPr>
              <w:t>值、表3排放限值</w:t>
            </w:r>
          </w:p>
        </w:tc>
        <w:tc>
          <w:tcPr>
            <w:tcW w:w="1363" w:type="pct"/>
            <w:vAlign w:val="center"/>
          </w:tcPr>
          <w:p w14:paraId="112C018C">
            <w:pPr>
              <w:pStyle w:val="510"/>
              <w:rPr>
                <w:color w:val="auto"/>
                <w:highlight w:val="none"/>
                <w:u w:val="none"/>
              </w:rPr>
            </w:pPr>
            <w:r>
              <w:rPr>
                <w:color w:val="auto"/>
                <w:highlight w:val="none"/>
                <w:u w:val="none"/>
              </w:rPr>
              <w:t>《烧碱、聚氯乙烯工业</w:t>
            </w:r>
          </w:p>
          <w:p w14:paraId="6043FFA5">
            <w:pPr>
              <w:pStyle w:val="510"/>
              <w:rPr>
                <w:color w:val="auto"/>
                <w:highlight w:val="none"/>
                <w:u w:val="none"/>
              </w:rPr>
            </w:pPr>
            <w:r>
              <w:rPr>
                <w:color w:val="auto"/>
                <w:highlight w:val="none"/>
                <w:u w:val="none"/>
              </w:rPr>
              <w:t>污染物排放标准》</w:t>
            </w:r>
          </w:p>
          <w:p w14:paraId="2BB34817">
            <w:pPr>
              <w:pStyle w:val="510"/>
              <w:rPr>
                <w:color w:val="auto"/>
                <w:highlight w:val="none"/>
                <w:u w:val="none"/>
              </w:rPr>
            </w:pPr>
            <w:r>
              <w:rPr>
                <w:color w:val="auto"/>
                <w:highlight w:val="none"/>
                <w:u w:val="none"/>
              </w:rPr>
              <w:t>（GB15581-2016）</w:t>
            </w:r>
          </w:p>
          <w:p w14:paraId="17E16A75">
            <w:pPr>
              <w:pStyle w:val="510"/>
              <w:rPr>
                <w:color w:val="auto"/>
                <w:highlight w:val="none"/>
                <w:u w:val="none"/>
              </w:rPr>
            </w:pPr>
            <w:r>
              <w:rPr>
                <w:color w:val="auto"/>
                <w:highlight w:val="none"/>
                <w:u w:val="none"/>
              </w:rPr>
              <w:t>表1直接排放限值</w:t>
            </w:r>
          </w:p>
        </w:tc>
        <w:tc>
          <w:tcPr>
            <w:tcW w:w="1143" w:type="pct"/>
            <w:vAlign w:val="center"/>
          </w:tcPr>
          <w:p w14:paraId="3DBDC4A6">
            <w:pPr>
              <w:pStyle w:val="510"/>
              <w:rPr>
                <w:color w:val="auto"/>
                <w:highlight w:val="none"/>
                <w:u w:val="none"/>
              </w:rPr>
            </w:pPr>
            <w:r>
              <w:rPr>
                <w:color w:val="auto"/>
                <w:highlight w:val="none"/>
                <w:u w:val="none"/>
              </w:rPr>
              <w:t>《城镇污水处理厂</w:t>
            </w:r>
          </w:p>
          <w:p w14:paraId="342DEC59">
            <w:pPr>
              <w:pStyle w:val="510"/>
              <w:rPr>
                <w:color w:val="auto"/>
                <w:highlight w:val="none"/>
                <w:u w:val="none"/>
              </w:rPr>
            </w:pPr>
            <w:r>
              <w:rPr>
                <w:color w:val="auto"/>
                <w:highlight w:val="none"/>
                <w:u w:val="none"/>
              </w:rPr>
              <w:t>污染物排放标准》</w:t>
            </w:r>
          </w:p>
          <w:p w14:paraId="60D0D637">
            <w:pPr>
              <w:pStyle w:val="510"/>
              <w:rPr>
                <w:color w:val="auto"/>
                <w:highlight w:val="none"/>
                <w:u w:val="none"/>
              </w:rPr>
            </w:pPr>
            <w:r>
              <w:rPr>
                <w:color w:val="auto"/>
                <w:highlight w:val="none"/>
                <w:u w:val="none"/>
              </w:rPr>
              <w:t>（GB18918-2002）</w:t>
            </w:r>
          </w:p>
          <w:p w14:paraId="46B6EB8C">
            <w:pPr>
              <w:pStyle w:val="510"/>
              <w:rPr>
                <w:color w:val="auto"/>
                <w:highlight w:val="none"/>
                <w:u w:val="none"/>
              </w:rPr>
            </w:pPr>
            <w:r>
              <w:rPr>
                <w:color w:val="auto"/>
                <w:highlight w:val="none"/>
                <w:u w:val="none"/>
              </w:rPr>
              <w:t>表1一级A标准</w:t>
            </w:r>
          </w:p>
        </w:tc>
        <w:tc>
          <w:tcPr>
            <w:tcW w:w="374" w:type="pct"/>
            <w:vAlign w:val="center"/>
          </w:tcPr>
          <w:p w14:paraId="72774574">
            <w:pPr>
              <w:pStyle w:val="510"/>
              <w:rPr>
                <w:color w:val="auto"/>
                <w:highlight w:val="none"/>
                <w:u w:val="none"/>
              </w:rPr>
            </w:pPr>
            <w:r>
              <w:rPr>
                <w:rFonts w:hint="eastAsia"/>
                <w:color w:val="auto"/>
                <w:highlight w:val="none"/>
                <w:u w:val="none"/>
              </w:rPr>
              <w:t>从严</w:t>
            </w:r>
          </w:p>
          <w:p w14:paraId="64B06D0C">
            <w:pPr>
              <w:pStyle w:val="510"/>
              <w:rPr>
                <w:color w:val="auto"/>
                <w:highlight w:val="none"/>
                <w:u w:val="none"/>
              </w:rPr>
            </w:pPr>
            <w:r>
              <w:rPr>
                <w:rFonts w:hint="eastAsia"/>
                <w:color w:val="auto"/>
                <w:highlight w:val="none"/>
                <w:u w:val="none"/>
              </w:rPr>
              <w:t>限值</w:t>
            </w:r>
          </w:p>
        </w:tc>
      </w:tr>
      <w:tr w14:paraId="32A9BB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41173606">
            <w:pPr>
              <w:pStyle w:val="510"/>
              <w:rPr>
                <w:color w:val="auto"/>
                <w:highlight w:val="none"/>
                <w:u w:val="none"/>
              </w:rPr>
            </w:pPr>
            <w:r>
              <w:rPr>
                <w:rFonts w:hint="eastAsia"/>
                <w:color w:val="auto"/>
                <w:highlight w:val="none"/>
                <w:u w:val="none"/>
              </w:rPr>
              <w:t>1</w:t>
            </w:r>
          </w:p>
        </w:tc>
        <w:tc>
          <w:tcPr>
            <w:tcW w:w="694" w:type="pct"/>
            <w:vAlign w:val="center"/>
          </w:tcPr>
          <w:p w14:paraId="3280552E">
            <w:pPr>
              <w:pStyle w:val="510"/>
              <w:rPr>
                <w:color w:val="auto"/>
                <w:highlight w:val="none"/>
                <w:u w:val="none"/>
              </w:rPr>
            </w:pPr>
            <w:r>
              <w:rPr>
                <w:color w:val="auto"/>
                <w:kern w:val="0"/>
                <w:highlight w:val="none"/>
                <w:u w:val="none"/>
              </w:rPr>
              <w:t>pH</w:t>
            </w:r>
          </w:p>
        </w:tc>
        <w:tc>
          <w:tcPr>
            <w:tcW w:w="1175" w:type="pct"/>
            <w:vAlign w:val="center"/>
          </w:tcPr>
          <w:p w14:paraId="005086C1">
            <w:pPr>
              <w:pStyle w:val="510"/>
              <w:rPr>
                <w:color w:val="auto"/>
                <w:highlight w:val="none"/>
                <w:u w:val="none"/>
              </w:rPr>
            </w:pPr>
            <w:r>
              <w:rPr>
                <w:color w:val="auto"/>
                <w:kern w:val="0"/>
                <w:highlight w:val="none"/>
                <w:u w:val="none"/>
              </w:rPr>
              <w:t>6~9</w:t>
            </w:r>
          </w:p>
        </w:tc>
        <w:tc>
          <w:tcPr>
            <w:tcW w:w="1363" w:type="pct"/>
            <w:vAlign w:val="center"/>
          </w:tcPr>
          <w:p w14:paraId="2C4E40B4">
            <w:pPr>
              <w:pStyle w:val="510"/>
              <w:rPr>
                <w:color w:val="auto"/>
                <w:highlight w:val="none"/>
                <w:u w:val="none"/>
              </w:rPr>
            </w:pPr>
            <w:r>
              <w:rPr>
                <w:color w:val="auto"/>
                <w:kern w:val="0"/>
                <w:highlight w:val="none"/>
                <w:u w:val="none"/>
              </w:rPr>
              <w:t>6~9</w:t>
            </w:r>
          </w:p>
        </w:tc>
        <w:tc>
          <w:tcPr>
            <w:tcW w:w="1143" w:type="pct"/>
            <w:vAlign w:val="center"/>
          </w:tcPr>
          <w:p w14:paraId="511501C6">
            <w:pPr>
              <w:pStyle w:val="510"/>
              <w:rPr>
                <w:color w:val="auto"/>
                <w:highlight w:val="none"/>
                <w:u w:val="none"/>
              </w:rPr>
            </w:pPr>
            <w:r>
              <w:rPr>
                <w:color w:val="auto"/>
                <w:kern w:val="0"/>
                <w:highlight w:val="none"/>
                <w:u w:val="none"/>
              </w:rPr>
              <w:t>6~9</w:t>
            </w:r>
          </w:p>
        </w:tc>
        <w:tc>
          <w:tcPr>
            <w:tcW w:w="374" w:type="pct"/>
            <w:vAlign w:val="center"/>
          </w:tcPr>
          <w:p w14:paraId="2DF1DCA0">
            <w:pPr>
              <w:pStyle w:val="510"/>
              <w:rPr>
                <w:color w:val="auto"/>
                <w:kern w:val="0"/>
                <w:highlight w:val="none"/>
                <w:u w:val="none"/>
              </w:rPr>
            </w:pPr>
            <w:r>
              <w:rPr>
                <w:color w:val="auto"/>
                <w:kern w:val="0"/>
                <w:highlight w:val="none"/>
                <w:u w:val="none"/>
              </w:rPr>
              <w:t>6~9</w:t>
            </w:r>
          </w:p>
        </w:tc>
      </w:tr>
      <w:tr w14:paraId="4E3ED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4981F84">
            <w:pPr>
              <w:pStyle w:val="510"/>
              <w:rPr>
                <w:color w:val="auto"/>
                <w:highlight w:val="none"/>
                <w:u w:val="none"/>
              </w:rPr>
            </w:pPr>
            <w:r>
              <w:rPr>
                <w:rFonts w:hint="eastAsia"/>
                <w:color w:val="auto"/>
                <w:highlight w:val="none"/>
                <w:u w:val="none"/>
              </w:rPr>
              <w:t>2</w:t>
            </w:r>
          </w:p>
        </w:tc>
        <w:tc>
          <w:tcPr>
            <w:tcW w:w="694" w:type="pct"/>
            <w:vAlign w:val="center"/>
          </w:tcPr>
          <w:p w14:paraId="4AFDE0D2">
            <w:pPr>
              <w:pStyle w:val="510"/>
              <w:rPr>
                <w:color w:val="auto"/>
                <w:highlight w:val="none"/>
                <w:u w:val="none"/>
              </w:rPr>
            </w:pPr>
            <w:r>
              <w:rPr>
                <w:color w:val="auto"/>
                <w:kern w:val="0"/>
                <w:highlight w:val="none"/>
                <w:u w:val="none"/>
              </w:rPr>
              <w:t>SS</w:t>
            </w:r>
          </w:p>
        </w:tc>
        <w:tc>
          <w:tcPr>
            <w:tcW w:w="1175" w:type="pct"/>
            <w:vAlign w:val="center"/>
          </w:tcPr>
          <w:p w14:paraId="08A6B847">
            <w:pPr>
              <w:pStyle w:val="510"/>
              <w:rPr>
                <w:color w:val="auto"/>
                <w:highlight w:val="none"/>
                <w:u w:val="none"/>
              </w:rPr>
            </w:pPr>
            <w:r>
              <w:rPr>
                <w:color w:val="auto"/>
                <w:kern w:val="0"/>
                <w:highlight w:val="none"/>
                <w:u w:val="none"/>
              </w:rPr>
              <w:t>70</w:t>
            </w:r>
          </w:p>
        </w:tc>
        <w:tc>
          <w:tcPr>
            <w:tcW w:w="1363" w:type="pct"/>
            <w:vAlign w:val="center"/>
          </w:tcPr>
          <w:p w14:paraId="7EF8230D">
            <w:pPr>
              <w:pStyle w:val="510"/>
              <w:rPr>
                <w:color w:val="auto"/>
                <w:highlight w:val="none"/>
                <w:u w:val="none"/>
              </w:rPr>
            </w:pPr>
            <w:r>
              <w:rPr>
                <w:color w:val="auto"/>
                <w:kern w:val="0"/>
                <w:highlight w:val="none"/>
                <w:u w:val="none"/>
              </w:rPr>
              <w:t>30</w:t>
            </w:r>
          </w:p>
        </w:tc>
        <w:tc>
          <w:tcPr>
            <w:tcW w:w="1143" w:type="pct"/>
            <w:vAlign w:val="center"/>
          </w:tcPr>
          <w:p w14:paraId="1065B0D2">
            <w:pPr>
              <w:pStyle w:val="510"/>
              <w:rPr>
                <w:color w:val="auto"/>
                <w:highlight w:val="none"/>
                <w:u w:val="none"/>
              </w:rPr>
            </w:pPr>
            <w:r>
              <w:rPr>
                <w:color w:val="auto"/>
                <w:kern w:val="0"/>
                <w:highlight w:val="none"/>
                <w:u w:val="none"/>
              </w:rPr>
              <w:t>10</w:t>
            </w:r>
          </w:p>
        </w:tc>
        <w:tc>
          <w:tcPr>
            <w:tcW w:w="374" w:type="pct"/>
            <w:vAlign w:val="center"/>
          </w:tcPr>
          <w:p w14:paraId="283D2EF3">
            <w:pPr>
              <w:pStyle w:val="510"/>
              <w:rPr>
                <w:color w:val="auto"/>
                <w:kern w:val="0"/>
                <w:highlight w:val="none"/>
                <w:u w:val="none"/>
              </w:rPr>
            </w:pPr>
            <w:r>
              <w:rPr>
                <w:color w:val="auto"/>
                <w:kern w:val="0"/>
                <w:highlight w:val="none"/>
                <w:u w:val="none"/>
              </w:rPr>
              <w:t>10</w:t>
            </w:r>
          </w:p>
        </w:tc>
      </w:tr>
      <w:tr w14:paraId="687D3A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5CF4F1C6">
            <w:pPr>
              <w:pStyle w:val="510"/>
              <w:rPr>
                <w:color w:val="auto"/>
                <w:highlight w:val="none"/>
                <w:u w:val="none"/>
              </w:rPr>
            </w:pPr>
            <w:r>
              <w:rPr>
                <w:rFonts w:hint="eastAsia"/>
                <w:color w:val="auto"/>
                <w:highlight w:val="none"/>
                <w:u w:val="none"/>
              </w:rPr>
              <w:t>3</w:t>
            </w:r>
          </w:p>
        </w:tc>
        <w:tc>
          <w:tcPr>
            <w:tcW w:w="694" w:type="pct"/>
            <w:vAlign w:val="center"/>
          </w:tcPr>
          <w:p w14:paraId="3BEC1A56">
            <w:pPr>
              <w:pStyle w:val="510"/>
              <w:rPr>
                <w:color w:val="auto"/>
                <w:highlight w:val="none"/>
                <w:u w:val="none"/>
              </w:rPr>
            </w:pPr>
            <w:r>
              <w:rPr>
                <w:color w:val="auto"/>
                <w:kern w:val="0"/>
                <w:highlight w:val="none"/>
                <w:u w:val="none"/>
              </w:rPr>
              <w:t>COD</w:t>
            </w:r>
          </w:p>
        </w:tc>
        <w:tc>
          <w:tcPr>
            <w:tcW w:w="1175" w:type="pct"/>
            <w:vAlign w:val="center"/>
          </w:tcPr>
          <w:p w14:paraId="6BBB342D">
            <w:pPr>
              <w:pStyle w:val="510"/>
              <w:rPr>
                <w:color w:val="auto"/>
                <w:highlight w:val="none"/>
                <w:u w:val="none"/>
              </w:rPr>
            </w:pPr>
            <w:r>
              <w:rPr>
                <w:color w:val="auto"/>
                <w:kern w:val="0"/>
                <w:highlight w:val="none"/>
                <w:u w:val="none"/>
              </w:rPr>
              <w:t>60</w:t>
            </w:r>
          </w:p>
        </w:tc>
        <w:tc>
          <w:tcPr>
            <w:tcW w:w="1363" w:type="pct"/>
            <w:vAlign w:val="center"/>
          </w:tcPr>
          <w:p w14:paraId="07CD8183">
            <w:pPr>
              <w:pStyle w:val="510"/>
              <w:rPr>
                <w:color w:val="auto"/>
                <w:highlight w:val="none"/>
                <w:u w:val="none"/>
              </w:rPr>
            </w:pPr>
            <w:r>
              <w:rPr>
                <w:color w:val="auto"/>
                <w:kern w:val="0"/>
                <w:highlight w:val="none"/>
                <w:u w:val="none"/>
              </w:rPr>
              <w:t>60</w:t>
            </w:r>
          </w:p>
        </w:tc>
        <w:tc>
          <w:tcPr>
            <w:tcW w:w="1143" w:type="pct"/>
            <w:vAlign w:val="center"/>
          </w:tcPr>
          <w:p w14:paraId="71EE2613">
            <w:pPr>
              <w:pStyle w:val="510"/>
              <w:rPr>
                <w:color w:val="auto"/>
                <w:highlight w:val="none"/>
                <w:u w:val="none"/>
              </w:rPr>
            </w:pPr>
            <w:r>
              <w:rPr>
                <w:color w:val="auto"/>
                <w:kern w:val="0"/>
                <w:highlight w:val="none"/>
                <w:u w:val="none"/>
              </w:rPr>
              <w:t>50</w:t>
            </w:r>
          </w:p>
        </w:tc>
        <w:tc>
          <w:tcPr>
            <w:tcW w:w="374" w:type="pct"/>
            <w:vAlign w:val="center"/>
          </w:tcPr>
          <w:p w14:paraId="58379C8A">
            <w:pPr>
              <w:pStyle w:val="510"/>
              <w:rPr>
                <w:color w:val="auto"/>
                <w:kern w:val="0"/>
                <w:highlight w:val="none"/>
                <w:u w:val="none"/>
              </w:rPr>
            </w:pPr>
            <w:r>
              <w:rPr>
                <w:color w:val="auto"/>
                <w:kern w:val="0"/>
                <w:highlight w:val="none"/>
                <w:u w:val="none"/>
              </w:rPr>
              <w:t>50</w:t>
            </w:r>
          </w:p>
        </w:tc>
      </w:tr>
      <w:tr w14:paraId="66616C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27481D3C">
            <w:pPr>
              <w:pStyle w:val="510"/>
              <w:rPr>
                <w:color w:val="auto"/>
                <w:highlight w:val="none"/>
                <w:u w:val="none"/>
              </w:rPr>
            </w:pPr>
            <w:r>
              <w:rPr>
                <w:rFonts w:hint="eastAsia"/>
                <w:color w:val="auto"/>
                <w:highlight w:val="none"/>
                <w:u w:val="none"/>
              </w:rPr>
              <w:t>4</w:t>
            </w:r>
          </w:p>
        </w:tc>
        <w:tc>
          <w:tcPr>
            <w:tcW w:w="694" w:type="pct"/>
            <w:vAlign w:val="center"/>
          </w:tcPr>
          <w:p w14:paraId="14963E52">
            <w:pPr>
              <w:pStyle w:val="510"/>
              <w:rPr>
                <w:color w:val="auto"/>
                <w:highlight w:val="none"/>
                <w:u w:val="none"/>
              </w:rPr>
            </w:pPr>
            <w:r>
              <w:rPr>
                <w:color w:val="auto"/>
                <w:kern w:val="0"/>
                <w:highlight w:val="none"/>
                <w:u w:val="none"/>
              </w:rPr>
              <w:t>BOD</w:t>
            </w:r>
            <w:r>
              <w:rPr>
                <w:color w:val="auto"/>
                <w:kern w:val="0"/>
                <w:highlight w:val="none"/>
                <w:u w:val="none"/>
                <w:vertAlign w:val="subscript"/>
              </w:rPr>
              <w:t>5</w:t>
            </w:r>
          </w:p>
        </w:tc>
        <w:tc>
          <w:tcPr>
            <w:tcW w:w="1175" w:type="pct"/>
            <w:vAlign w:val="center"/>
          </w:tcPr>
          <w:p w14:paraId="62E19A1E">
            <w:pPr>
              <w:pStyle w:val="510"/>
              <w:rPr>
                <w:color w:val="auto"/>
                <w:highlight w:val="none"/>
                <w:u w:val="none"/>
              </w:rPr>
            </w:pPr>
            <w:r>
              <w:rPr>
                <w:color w:val="auto"/>
                <w:kern w:val="0"/>
                <w:highlight w:val="none"/>
                <w:u w:val="none"/>
              </w:rPr>
              <w:t>20</w:t>
            </w:r>
          </w:p>
        </w:tc>
        <w:tc>
          <w:tcPr>
            <w:tcW w:w="1363" w:type="pct"/>
            <w:vAlign w:val="center"/>
          </w:tcPr>
          <w:p w14:paraId="03E251EF">
            <w:pPr>
              <w:pStyle w:val="510"/>
              <w:rPr>
                <w:color w:val="auto"/>
                <w:highlight w:val="none"/>
                <w:u w:val="none"/>
              </w:rPr>
            </w:pPr>
            <w:r>
              <w:rPr>
                <w:color w:val="auto"/>
                <w:kern w:val="0"/>
                <w:highlight w:val="none"/>
                <w:u w:val="none"/>
              </w:rPr>
              <w:t>20</w:t>
            </w:r>
          </w:p>
        </w:tc>
        <w:tc>
          <w:tcPr>
            <w:tcW w:w="1143" w:type="pct"/>
            <w:vAlign w:val="center"/>
          </w:tcPr>
          <w:p w14:paraId="1C6DF9EB">
            <w:pPr>
              <w:pStyle w:val="510"/>
              <w:rPr>
                <w:color w:val="auto"/>
                <w:highlight w:val="none"/>
                <w:u w:val="none"/>
              </w:rPr>
            </w:pPr>
            <w:r>
              <w:rPr>
                <w:color w:val="auto"/>
                <w:kern w:val="0"/>
                <w:highlight w:val="none"/>
                <w:u w:val="none"/>
              </w:rPr>
              <w:t>10</w:t>
            </w:r>
          </w:p>
        </w:tc>
        <w:tc>
          <w:tcPr>
            <w:tcW w:w="374" w:type="pct"/>
            <w:vAlign w:val="center"/>
          </w:tcPr>
          <w:p w14:paraId="421979C6">
            <w:pPr>
              <w:pStyle w:val="510"/>
              <w:rPr>
                <w:color w:val="auto"/>
                <w:kern w:val="0"/>
                <w:highlight w:val="none"/>
                <w:u w:val="none"/>
              </w:rPr>
            </w:pPr>
            <w:r>
              <w:rPr>
                <w:color w:val="auto"/>
                <w:kern w:val="0"/>
                <w:highlight w:val="none"/>
                <w:u w:val="none"/>
              </w:rPr>
              <w:t>10</w:t>
            </w:r>
          </w:p>
        </w:tc>
      </w:tr>
      <w:tr w14:paraId="71968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4296216C">
            <w:pPr>
              <w:pStyle w:val="510"/>
              <w:rPr>
                <w:color w:val="auto"/>
                <w:highlight w:val="none"/>
                <w:u w:val="none"/>
              </w:rPr>
            </w:pPr>
            <w:r>
              <w:rPr>
                <w:rFonts w:hint="eastAsia"/>
                <w:color w:val="auto"/>
                <w:highlight w:val="none"/>
                <w:u w:val="none"/>
              </w:rPr>
              <w:t>5</w:t>
            </w:r>
          </w:p>
        </w:tc>
        <w:tc>
          <w:tcPr>
            <w:tcW w:w="694" w:type="pct"/>
            <w:vAlign w:val="center"/>
          </w:tcPr>
          <w:p w14:paraId="148D0900">
            <w:pPr>
              <w:pStyle w:val="510"/>
              <w:rPr>
                <w:color w:val="auto"/>
                <w:highlight w:val="none"/>
                <w:u w:val="none"/>
              </w:rPr>
            </w:pPr>
            <w:r>
              <w:rPr>
                <w:color w:val="auto"/>
                <w:kern w:val="0"/>
                <w:highlight w:val="none"/>
                <w:u w:val="none"/>
              </w:rPr>
              <w:t>氨氮</w:t>
            </w:r>
          </w:p>
        </w:tc>
        <w:tc>
          <w:tcPr>
            <w:tcW w:w="1175" w:type="pct"/>
            <w:vAlign w:val="center"/>
          </w:tcPr>
          <w:p w14:paraId="019EF389">
            <w:pPr>
              <w:pStyle w:val="510"/>
              <w:rPr>
                <w:color w:val="auto"/>
                <w:highlight w:val="none"/>
                <w:u w:val="none"/>
              </w:rPr>
            </w:pPr>
            <w:r>
              <w:rPr>
                <w:color w:val="auto"/>
                <w:kern w:val="0"/>
                <w:highlight w:val="none"/>
                <w:u w:val="none"/>
              </w:rPr>
              <w:t>8</w:t>
            </w:r>
          </w:p>
        </w:tc>
        <w:tc>
          <w:tcPr>
            <w:tcW w:w="1363" w:type="pct"/>
            <w:vAlign w:val="center"/>
          </w:tcPr>
          <w:p w14:paraId="49F17A87">
            <w:pPr>
              <w:pStyle w:val="510"/>
              <w:rPr>
                <w:color w:val="auto"/>
                <w:highlight w:val="none"/>
                <w:u w:val="none"/>
              </w:rPr>
            </w:pPr>
            <w:r>
              <w:rPr>
                <w:color w:val="auto"/>
                <w:kern w:val="0"/>
                <w:highlight w:val="none"/>
                <w:u w:val="none"/>
              </w:rPr>
              <w:t>15</w:t>
            </w:r>
          </w:p>
        </w:tc>
        <w:tc>
          <w:tcPr>
            <w:tcW w:w="1143" w:type="pct"/>
            <w:vAlign w:val="center"/>
          </w:tcPr>
          <w:p w14:paraId="4FF669E1">
            <w:pPr>
              <w:pStyle w:val="510"/>
              <w:rPr>
                <w:color w:val="auto"/>
                <w:highlight w:val="none"/>
                <w:u w:val="none"/>
              </w:rPr>
            </w:pPr>
            <w:r>
              <w:rPr>
                <w:color w:val="auto"/>
                <w:kern w:val="0"/>
                <w:highlight w:val="none"/>
                <w:u w:val="none"/>
              </w:rPr>
              <w:t>5（8）</w:t>
            </w:r>
            <w:r>
              <w:rPr>
                <w:rFonts w:hint="eastAsia" w:ascii="宋体" w:hAnsi="宋体" w:cs="宋体"/>
                <w:color w:val="auto"/>
                <w:kern w:val="0"/>
                <w:highlight w:val="none"/>
                <w:u w:val="none"/>
              </w:rPr>
              <w:t>*</w:t>
            </w:r>
          </w:p>
        </w:tc>
        <w:tc>
          <w:tcPr>
            <w:tcW w:w="374" w:type="pct"/>
            <w:vAlign w:val="center"/>
          </w:tcPr>
          <w:p w14:paraId="3B48C411">
            <w:pPr>
              <w:pStyle w:val="510"/>
              <w:rPr>
                <w:color w:val="auto"/>
                <w:kern w:val="0"/>
                <w:highlight w:val="none"/>
                <w:u w:val="none"/>
              </w:rPr>
            </w:pPr>
            <w:r>
              <w:rPr>
                <w:color w:val="auto"/>
                <w:kern w:val="0"/>
                <w:highlight w:val="none"/>
                <w:u w:val="none"/>
              </w:rPr>
              <w:t>5</w:t>
            </w:r>
          </w:p>
        </w:tc>
      </w:tr>
      <w:tr w14:paraId="4E44B7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6A59F66">
            <w:pPr>
              <w:pStyle w:val="510"/>
              <w:rPr>
                <w:color w:val="auto"/>
                <w:highlight w:val="none"/>
                <w:u w:val="none"/>
              </w:rPr>
            </w:pPr>
            <w:r>
              <w:rPr>
                <w:rFonts w:hint="eastAsia"/>
                <w:color w:val="auto"/>
                <w:highlight w:val="none"/>
                <w:u w:val="none"/>
              </w:rPr>
              <w:t>6</w:t>
            </w:r>
          </w:p>
        </w:tc>
        <w:tc>
          <w:tcPr>
            <w:tcW w:w="694" w:type="pct"/>
            <w:vAlign w:val="center"/>
          </w:tcPr>
          <w:p w14:paraId="0AE0D111">
            <w:pPr>
              <w:pStyle w:val="510"/>
              <w:rPr>
                <w:color w:val="auto"/>
                <w:highlight w:val="none"/>
                <w:u w:val="none"/>
              </w:rPr>
            </w:pPr>
            <w:r>
              <w:rPr>
                <w:color w:val="auto"/>
                <w:kern w:val="0"/>
                <w:highlight w:val="none"/>
                <w:u w:val="none"/>
              </w:rPr>
              <w:t>总氮</w:t>
            </w:r>
          </w:p>
        </w:tc>
        <w:tc>
          <w:tcPr>
            <w:tcW w:w="1175" w:type="pct"/>
            <w:vAlign w:val="center"/>
          </w:tcPr>
          <w:p w14:paraId="6DC137D0">
            <w:pPr>
              <w:pStyle w:val="510"/>
              <w:rPr>
                <w:color w:val="auto"/>
                <w:highlight w:val="none"/>
                <w:u w:val="none"/>
              </w:rPr>
            </w:pPr>
            <w:r>
              <w:rPr>
                <w:color w:val="auto"/>
                <w:kern w:val="0"/>
                <w:highlight w:val="none"/>
                <w:u w:val="none"/>
              </w:rPr>
              <w:t>40</w:t>
            </w:r>
          </w:p>
        </w:tc>
        <w:tc>
          <w:tcPr>
            <w:tcW w:w="1363" w:type="pct"/>
            <w:vAlign w:val="center"/>
          </w:tcPr>
          <w:p w14:paraId="28872112">
            <w:pPr>
              <w:pStyle w:val="510"/>
              <w:rPr>
                <w:color w:val="auto"/>
                <w:highlight w:val="none"/>
                <w:u w:val="none"/>
              </w:rPr>
            </w:pPr>
            <w:r>
              <w:rPr>
                <w:color w:val="auto"/>
                <w:kern w:val="0"/>
                <w:highlight w:val="none"/>
                <w:u w:val="none"/>
              </w:rPr>
              <w:t>20</w:t>
            </w:r>
          </w:p>
        </w:tc>
        <w:tc>
          <w:tcPr>
            <w:tcW w:w="1143" w:type="pct"/>
            <w:vAlign w:val="center"/>
          </w:tcPr>
          <w:p w14:paraId="630C88C7">
            <w:pPr>
              <w:pStyle w:val="510"/>
              <w:rPr>
                <w:color w:val="auto"/>
                <w:highlight w:val="none"/>
                <w:u w:val="none"/>
              </w:rPr>
            </w:pPr>
            <w:r>
              <w:rPr>
                <w:color w:val="auto"/>
                <w:kern w:val="0"/>
                <w:highlight w:val="none"/>
                <w:u w:val="none"/>
              </w:rPr>
              <w:t>15</w:t>
            </w:r>
          </w:p>
        </w:tc>
        <w:tc>
          <w:tcPr>
            <w:tcW w:w="374" w:type="pct"/>
            <w:vAlign w:val="center"/>
          </w:tcPr>
          <w:p w14:paraId="72E820F1">
            <w:pPr>
              <w:pStyle w:val="510"/>
              <w:rPr>
                <w:color w:val="auto"/>
                <w:kern w:val="0"/>
                <w:highlight w:val="none"/>
                <w:u w:val="none"/>
              </w:rPr>
            </w:pPr>
            <w:r>
              <w:rPr>
                <w:color w:val="auto"/>
                <w:kern w:val="0"/>
                <w:highlight w:val="none"/>
                <w:u w:val="none"/>
              </w:rPr>
              <w:t>15</w:t>
            </w:r>
          </w:p>
        </w:tc>
      </w:tr>
      <w:tr w14:paraId="3E7D31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D5030F3">
            <w:pPr>
              <w:pStyle w:val="510"/>
              <w:rPr>
                <w:color w:val="auto"/>
                <w:highlight w:val="none"/>
                <w:u w:val="none"/>
              </w:rPr>
            </w:pPr>
            <w:r>
              <w:rPr>
                <w:rFonts w:hint="eastAsia"/>
                <w:color w:val="auto"/>
                <w:highlight w:val="none"/>
                <w:u w:val="none"/>
              </w:rPr>
              <w:t>7</w:t>
            </w:r>
          </w:p>
        </w:tc>
        <w:tc>
          <w:tcPr>
            <w:tcW w:w="694" w:type="pct"/>
            <w:vAlign w:val="center"/>
          </w:tcPr>
          <w:p w14:paraId="4872A2CF">
            <w:pPr>
              <w:pStyle w:val="510"/>
              <w:rPr>
                <w:color w:val="auto"/>
                <w:highlight w:val="none"/>
                <w:u w:val="none"/>
              </w:rPr>
            </w:pPr>
            <w:r>
              <w:rPr>
                <w:color w:val="auto"/>
                <w:kern w:val="0"/>
                <w:highlight w:val="none"/>
                <w:u w:val="none"/>
              </w:rPr>
              <w:t>总磷</w:t>
            </w:r>
          </w:p>
        </w:tc>
        <w:tc>
          <w:tcPr>
            <w:tcW w:w="1175" w:type="pct"/>
            <w:vAlign w:val="center"/>
          </w:tcPr>
          <w:p w14:paraId="70DCB271">
            <w:pPr>
              <w:pStyle w:val="510"/>
              <w:rPr>
                <w:color w:val="auto"/>
                <w:highlight w:val="none"/>
                <w:u w:val="none"/>
              </w:rPr>
            </w:pPr>
            <w:r>
              <w:rPr>
                <w:color w:val="auto"/>
                <w:kern w:val="0"/>
                <w:highlight w:val="none"/>
                <w:u w:val="none"/>
              </w:rPr>
              <w:t>1.0</w:t>
            </w:r>
          </w:p>
        </w:tc>
        <w:tc>
          <w:tcPr>
            <w:tcW w:w="1363" w:type="pct"/>
            <w:vAlign w:val="center"/>
          </w:tcPr>
          <w:p w14:paraId="5DB691AF">
            <w:pPr>
              <w:pStyle w:val="510"/>
              <w:rPr>
                <w:color w:val="auto"/>
                <w:highlight w:val="none"/>
                <w:u w:val="none"/>
              </w:rPr>
            </w:pPr>
            <w:r>
              <w:rPr>
                <w:color w:val="auto"/>
                <w:kern w:val="0"/>
                <w:highlight w:val="none"/>
                <w:u w:val="none"/>
              </w:rPr>
              <w:t>1.0</w:t>
            </w:r>
          </w:p>
        </w:tc>
        <w:tc>
          <w:tcPr>
            <w:tcW w:w="1143" w:type="pct"/>
            <w:vAlign w:val="center"/>
          </w:tcPr>
          <w:p w14:paraId="3FFFD17F">
            <w:pPr>
              <w:pStyle w:val="510"/>
              <w:rPr>
                <w:color w:val="auto"/>
                <w:highlight w:val="none"/>
                <w:u w:val="none"/>
              </w:rPr>
            </w:pPr>
            <w:r>
              <w:rPr>
                <w:color w:val="auto"/>
                <w:kern w:val="0"/>
                <w:highlight w:val="none"/>
                <w:u w:val="none"/>
              </w:rPr>
              <w:t>0.5</w:t>
            </w:r>
          </w:p>
        </w:tc>
        <w:tc>
          <w:tcPr>
            <w:tcW w:w="374" w:type="pct"/>
            <w:vAlign w:val="center"/>
          </w:tcPr>
          <w:p w14:paraId="5414D6B1">
            <w:pPr>
              <w:pStyle w:val="510"/>
              <w:rPr>
                <w:color w:val="auto"/>
                <w:kern w:val="0"/>
                <w:highlight w:val="none"/>
                <w:u w:val="none"/>
              </w:rPr>
            </w:pPr>
            <w:r>
              <w:rPr>
                <w:color w:val="auto"/>
                <w:kern w:val="0"/>
                <w:highlight w:val="none"/>
                <w:u w:val="none"/>
              </w:rPr>
              <w:t>0.5</w:t>
            </w:r>
          </w:p>
        </w:tc>
      </w:tr>
      <w:tr w14:paraId="660E54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63D43BE6">
            <w:pPr>
              <w:pStyle w:val="510"/>
              <w:rPr>
                <w:color w:val="auto"/>
                <w:highlight w:val="none"/>
                <w:u w:val="none"/>
              </w:rPr>
            </w:pPr>
            <w:r>
              <w:rPr>
                <w:rFonts w:hint="eastAsia"/>
                <w:color w:val="auto"/>
                <w:highlight w:val="none"/>
                <w:u w:val="none"/>
              </w:rPr>
              <w:t>8</w:t>
            </w:r>
          </w:p>
        </w:tc>
        <w:tc>
          <w:tcPr>
            <w:tcW w:w="694" w:type="pct"/>
            <w:vAlign w:val="center"/>
          </w:tcPr>
          <w:p w14:paraId="600ADB5E">
            <w:pPr>
              <w:pStyle w:val="510"/>
              <w:rPr>
                <w:color w:val="auto"/>
                <w:highlight w:val="none"/>
                <w:u w:val="none"/>
              </w:rPr>
            </w:pPr>
            <w:r>
              <w:rPr>
                <w:color w:val="auto"/>
                <w:kern w:val="0"/>
                <w:highlight w:val="none"/>
                <w:u w:val="none"/>
              </w:rPr>
              <w:t>石油类</w:t>
            </w:r>
          </w:p>
        </w:tc>
        <w:tc>
          <w:tcPr>
            <w:tcW w:w="1175" w:type="pct"/>
            <w:vAlign w:val="center"/>
          </w:tcPr>
          <w:p w14:paraId="1B8E85CF">
            <w:pPr>
              <w:pStyle w:val="510"/>
              <w:rPr>
                <w:color w:val="auto"/>
                <w:highlight w:val="none"/>
                <w:u w:val="none"/>
              </w:rPr>
            </w:pPr>
            <w:r>
              <w:rPr>
                <w:color w:val="auto"/>
                <w:kern w:val="0"/>
                <w:highlight w:val="none"/>
                <w:u w:val="none"/>
              </w:rPr>
              <w:t>5.0</w:t>
            </w:r>
          </w:p>
        </w:tc>
        <w:tc>
          <w:tcPr>
            <w:tcW w:w="1363" w:type="pct"/>
            <w:vAlign w:val="center"/>
          </w:tcPr>
          <w:p w14:paraId="45B015D0">
            <w:pPr>
              <w:pStyle w:val="510"/>
              <w:rPr>
                <w:color w:val="auto"/>
                <w:highlight w:val="none"/>
                <w:u w:val="none"/>
              </w:rPr>
            </w:pPr>
            <w:r>
              <w:rPr>
                <w:color w:val="auto"/>
                <w:kern w:val="0"/>
                <w:highlight w:val="none"/>
                <w:u w:val="none"/>
              </w:rPr>
              <w:t>3</w:t>
            </w:r>
          </w:p>
        </w:tc>
        <w:tc>
          <w:tcPr>
            <w:tcW w:w="1143" w:type="pct"/>
            <w:vAlign w:val="center"/>
          </w:tcPr>
          <w:p w14:paraId="0F41AE92">
            <w:pPr>
              <w:pStyle w:val="510"/>
              <w:rPr>
                <w:color w:val="auto"/>
                <w:highlight w:val="none"/>
                <w:u w:val="none"/>
              </w:rPr>
            </w:pPr>
            <w:r>
              <w:rPr>
                <w:color w:val="auto"/>
                <w:kern w:val="0"/>
                <w:highlight w:val="none"/>
                <w:u w:val="none"/>
              </w:rPr>
              <w:t>1</w:t>
            </w:r>
          </w:p>
        </w:tc>
        <w:tc>
          <w:tcPr>
            <w:tcW w:w="374" w:type="pct"/>
            <w:vAlign w:val="center"/>
          </w:tcPr>
          <w:p w14:paraId="65D2E0FE">
            <w:pPr>
              <w:pStyle w:val="510"/>
              <w:rPr>
                <w:color w:val="auto"/>
                <w:kern w:val="0"/>
                <w:highlight w:val="none"/>
                <w:u w:val="none"/>
              </w:rPr>
            </w:pPr>
            <w:r>
              <w:rPr>
                <w:color w:val="auto"/>
                <w:kern w:val="0"/>
                <w:highlight w:val="none"/>
                <w:u w:val="none"/>
              </w:rPr>
              <w:t>1.0</w:t>
            </w:r>
          </w:p>
        </w:tc>
      </w:tr>
      <w:tr w14:paraId="468EDC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4ED919B6">
            <w:pPr>
              <w:pStyle w:val="510"/>
              <w:rPr>
                <w:color w:val="auto"/>
                <w:highlight w:val="none"/>
                <w:u w:val="none"/>
              </w:rPr>
            </w:pPr>
            <w:r>
              <w:rPr>
                <w:rFonts w:hint="eastAsia"/>
                <w:color w:val="auto"/>
                <w:highlight w:val="none"/>
                <w:u w:val="none"/>
              </w:rPr>
              <w:t>9</w:t>
            </w:r>
          </w:p>
        </w:tc>
        <w:tc>
          <w:tcPr>
            <w:tcW w:w="694" w:type="pct"/>
            <w:vAlign w:val="center"/>
          </w:tcPr>
          <w:p w14:paraId="79BC4D01">
            <w:pPr>
              <w:pStyle w:val="510"/>
              <w:rPr>
                <w:color w:val="auto"/>
                <w:highlight w:val="none"/>
                <w:u w:val="none"/>
              </w:rPr>
            </w:pPr>
            <w:r>
              <w:rPr>
                <w:color w:val="auto"/>
                <w:kern w:val="0"/>
                <w:highlight w:val="none"/>
                <w:u w:val="none"/>
              </w:rPr>
              <w:t>硫化物</w:t>
            </w:r>
          </w:p>
        </w:tc>
        <w:tc>
          <w:tcPr>
            <w:tcW w:w="1175" w:type="pct"/>
            <w:vAlign w:val="center"/>
          </w:tcPr>
          <w:p w14:paraId="47E32329">
            <w:pPr>
              <w:pStyle w:val="510"/>
              <w:rPr>
                <w:color w:val="auto"/>
                <w:highlight w:val="none"/>
                <w:u w:val="none"/>
              </w:rPr>
            </w:pPr>
            <w:r>
              <w:rPr>
                <w:color w:val="auto"/>
                <w:kern w:val="0"/>
                <w:highlight w:val="none"/>
                <w:u w:val="none"/>
              </w:rPr>
              <w:t>1.0</w:t>
            </w:r>
          </w:p>
        </w:tc>
        <w:tc>
          <w:tcPr>
            <w:tcW w:w="1363" w:type="pct"/>
            <w:vAlign w:val="center"/>
          </w:tcPr>
          <w:p w14:paraId="6FC8C936">
            <w:pPr>
              <w:pStyle w:val="510"/>
              <w:rPr>
                <w:color w:val="auto"/>
                <w:highlight w:val="none"/>
                <w:u w:val="none"/>
              </w:rPr>
            </w:pPr>
            <w:r>
              <w:rPr>
                <w:color w:val="auto"/>
                <w:kern w:val="0"/>
                <w:highlight w:val="none"/>
                <w:u w:val="none"/>
              </w:rPr>
              <w:t>0.5</w:t>
            </w:r>
          </w:p>
        </w:tc>
        <w:tc>
          <w:tcPr>
            <w:tcW w:w="1143" w:type="pct"/>
            <w:vAlign w:val="center"/>
          </w:tcPr>
          <w:p w14:paraId="04DC1D59">
            <w:pPr>
              <w:pStyle w:val="510"/>
              <w:rPr>
                <w:color w:val="auto"/>
                <w:highlight w:val="none"/>
                <w:u w:val="none"/>
              </w:rPr>
            </w:pPr>
            <w:r>
              <w:rPr>
                <w:color w:val="auto"/>
                <w:kern w:val="0"/>
                <w:highlight w:val="none"/>
                <w:u w:val="none"/>
              </w:rPr>
              <w:t>1.0</w:t>
            </w:r>
          </w:p>
        </w:tc>
        <w:tc>
          <w:tcPr>
            <w:tcW w:w="374" w:type="pct"/>
            <w:vAlign w:val="center"/>
          </w:tcPr>
          <w:p w14:paraId="0B5E9536">
            <w:pPr>
              <w:pStyle w:val="510"/>
              <w:rPr>
                <w:color w:val="auto"/>
                <w:kern w:val="0"/>
                <w:highlight w:val="none"/>
                <w:u w:val="none"/>
              </w:rPr>
            </w:pPr>
            <w:r>
              <w:rPr>
                <w:color w:val="auto"/>
                <w:kern w:val="0"/>
                <w:highlight w:val="none"/>
                <w:u w:val="none"/>
              </w:rPr>
              <w:t>0.5</w:t>
            </w:r>
          </w:p>
        </w:tc>
      </w:tr>
      <w:tr w14:paraId="63844D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71B6E0E6">
            <w:pPr>
              <w:pStyle w:val="510"/>
              <w:rPr>
                <w:color w:val="auto"/>
                <w:highlight w:val="none"/>
                <w:u w:val="none"/>
              </w:rPr>
            </w:pPr>
            <w:r>
              <w:rPr>
                <w:rFonts w:hint="eastAsia"/>
                <w:color w:val="auto"/>
                <w:highlight w:val="none"/>
                <w:u w:val="none"/>
              </w:rPr>
              <w:t>1</w:t>
            </w:r>
            <w:r>
              <w:rPr>
                <w:color w:val="auto"/>
                <w:highlight w:val="none"/>
                <w:u w:val="none"/>
              </w:rPr>
              <w:t>0</w:t>
            </w:r>
          </w:p>
        </w:tc>
        <w:tc>
          <w:tcPr>
            <w:tcW w:w="694" w:type="pct"/>
            <w:vAlign w:val="center"/>
          </w:tcPr>
          <w:p w14:paraId="0FDED823">
            <w:pPr>
              <w:pStyle w:val="510"/>
              <w:rPr>
                <w:color w:val="auto"/>
                <w:highlight w:val="none"/>
                <w:u w:val="none"/>
              </w:rPr>
            </w:pPr>
            <w:r>
              <w:rPr>
                <w:color w:val="auto"/>
                <w:kern w:val="0"/>
                <w:highlight w:val="none"/>
                <w:u w:val="none"/>
              </w:rPr>
              <w:t>挥发酚</w:t>
            </w:r>
          </w:p>
        </w:tc>
        <w:tc>
          <w:tcPr>
            <w:tcW w:w="1175" w:type="pct"/>
            <w:vAlign w:val="center"/>
          </w:tcPr>
          <w:p w14:paraId="73165E80">
            <w:pPr>
              <w:pStyle w:val="510"/>
              <w:rPr>
                <w:color w:val="auto"/>
                <w:highlight w:val="none"/>
                <w:u w:val="none"/>
              </w:rPr>
            </w:pPr>
            <w:r>
              <w:rPr>
                <w:color w:val="auto"/>
                <w:kern w:val="0"/>
                <w:highlight w:val="none"/>
                <w:u w:val="none"/>
              </w:rPr>
              <w:t>0.5</w:t>
            </w:r>
          </w:p>
        </w:tc>
        <w:tc>
          <w:tcPr>
            <w:tcW w:w="1363" w:type="pct"/>
            <w:vAlign w:val="center"/>
          </w:tcPr>
          <w:p w14:paraId="3C343FA6">
            <w:pPr>
              <w:pStyle w:val="510"/>
              <w:rPr>
                <w:color w:val="auto"/>
                <w:highlight w:val="none"/>
                <w:u w:val="none"/>
              </w:rPr>
            </w:pPr>
            <w:r>
              <w:rPr>
                <w:color w:val="auto"/>
                <w:kern w:val="0"/>
                <w:highlight w:val="none"/>
                <w:u w:val="none"/>
              </w:rPr>
              <w:t>/</w:t>
            </w:r>
          </w:p>
        </w:tc>
        <w:tc>
          <w:tcPr>
            <w:tcW w:w="1143" w:type="pct"/>
            <w:vAlign w:val="center"/>
          </w:tcPr>
          <w:p w14:paraId="3B7A938E">
            <w:pPr>
              <w:pStyle w:val="510"/>
              <w:rPr>
                <w:color w:val="auto"/>
                <w:highlight w:val="none"/>
                <w:u w:val="none"/>
              </w:rPr>
            </w:pPr>
            <w:r>
              <w:rPr>
                <w:color w:val="auto"/>
                <w:kern w:val="0"/>
                <w:highlight w:val="none"/>
                <w:u w:val="none"/>
              </w:rPr>
              <w:t>0.5</w:t>
            </w:r>
          </w:p>
        </w:tc>
        <w:tc>
          <w:tcPr>
            <w:tcW w:w="374" w:type="pct"/>
            <w:vAlign w:val="center"/>
          </w:tcPr>
          <w:p w14:paraId="687B76AA">
            <w:pPr>
              <w:pStyle w:val="510"/>
              <w:rPr>
                <w:color w:val="auto"/>
                <w:kern w:val="0"/>
                <w:highlight w:val="none"/>
                <w:u w:val="none"/>
              </w:rPr>
            </w:pPr>
            <w:r>
              <w:rPr>
                <w:color w:val="auto"/>
                <w:kern w:val="0"/>
                <w:highlight w:val="none"/>
                <w:u w:val="none"/>
              </w:rPr>
              <w:t>0.5</w:t>
            </w:r>
          </w:p>
        </w:tc>
      </w:tr>
      <w:tr w14:paraId="600234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65AE1B5E">
            <w:pPr>
              <w:pStyle w:val="510"/>
              <w:rPr>
                <w:color w:val="auto"/>
                <w:highlight w:val="none"/>
                <w:u w:val="none"/>
              </w:rPr>
            </w:pPr>
            <w:r>
              <w:rPr>
                <w:rFonts w:hint="eastAsia"/>
                <w:color w:val="auto"/>
                <w:highlight w:val="none"/>
                <w:u w:val="none"/>
              </w:rPr>
              <w:t>1</w:t>
            </w:r>
            <w:r>
              <w:rPr>
                <w:color w:val="auto"/>
                <w:highlight w:val="none"/>
                <w:u w:val="none"/>
              </w:rPr>
              <w:t>1</w:t>
            </w:r>
          </w:p>
        </w:tc>
        <w:tc>
          <w:tcPr>
            <w:tcW w:w="694" w:type="pct"/>
            <w:vAlign w:val="center"/>
          </w:tcPr>
          <w:p w14:paraId="635CCDAC">
            <w:pPr>
              <w:pStyle w:val="510"/>
              <w:rPr>
                <w:color w:val="auto"/>
                <w:highlight w:val="none"/>
                <w:u w:val="none"/>
              </w:rPr>
            </w:pPr>
            <w:r>
              <w:rPr>
                <w:color w:val="auto"/>
                <w:kern w:val="0"/>
                <w:highlight w:val="none"/>
                <w:u w:val="none"/>
              </w:rPr>
              <w:t>苯</w:t>
            </w:r>
          </w:p>
        </w:tc>
        <w:tc>
          <w:tcPr>
            <w:tcW w:w="1175" w:type="pct"/>
            <w:vAlign w:val="center"/>
          </w:tcPr>
          <w:p w14:paraId="7A4B283B">
            <w:pPr>
              <w:pStyle w:val="510"/>
              <w:rPr>
                <w:color w:val="auto"/>
                <w:highlight w:val="none"/>
                <w:u w:val="none"/>
              </w:rPr>
            </w:pPr>
            <w:r>
              <w:rPr>
                <w:color w:val="auto"/>
                <w:kern w:val="0"/>
                <w:highlight w:val="none"/>
                <w:u w:val="none"/>
              </w:rPr>
              <w:t>0.1</w:t>
            </w:r>
          </w:p>
        </w:tc>
        <w:tc>
          <w:tcPr>
            <w:tcW w:w="1363" w:type="pct"/>
            <w:vAlign w:val="center"/>
          </w:tcPr>
          <w:p w14:paraId="30535D17">
            <w:pPr>
              <w:pStyle w:val="510"/>
              <w:rPr>
                <w:color w:val="auto"/>
                <w:highlight w:val="none"/>
                <w:u w:val="none"/>
              </w:rPr>
            </w:pPr>
            <w:r>
              <w:rPr>
                <w:color w:val="auto"/>
                <w:kern w:val="0"/>
                <w:highlight w:val="none"/>
                <w:u w:val="none"/>
              </w:rPr>
              <w:t>/</w:t>
            </w:r>
          </w:p>
        </w:tc>
        <w:tc>
          <w:tcPr>
            <w:tcW w:w="1143" w:type="pct"/>
            <w:vAlign w:val="center"/>
          </w:tcPr>
          <w:p w14:paraId="0927065D">
            <w:pPr>
              <w:pStyle w:val="510"/>
              <w:rPr>
                <w:color w:val="auto"/>
                <w:highlight w:val="none"/>
                <w:u w:val="none"/>
              </w:rPr>
            </w:pPr>
            <w:r>
              <w:rPr>
                <w:color w:val="auto"/>
                <w:kern w:val="0"/>
                <w:highlight w:val="none"/>
                <w:u w:val="none"/>
              </w:rPr>
              <w:t>0.1</w:t>
            </w:r>
          </w:p>
        </w:tc>
        <w:tc>
          <w:tcPr>
            <w:tcW w:w="374" w:type="pct"/>
            <w:vAlign w:val="center"/>
          </w:tcPr>
          <w:p w14:paraId="392BCA71">
            <w:pPr>
              <w:pStyle w:val="510"/>
              <w:rPr>
                <w:color w:val="auto"/>
                <w:kern w:val="0"/>
                <w:highlight w:val="none"/>
                <w:u w:val="none"/>
              </w:rPr>
            </w:pPr>
            <w:r>
              <w:rPr>
                <w:color w:val="auto"/>
                <w:kern w:val="0"/>
                <w:highlight w:val="none"/>
                <w:u w:val="none"/>
              </w:rPr>
              <w:t>0.1</w:t>
            </w:r>
          </w:p>
        </w:tc>
      </w:tr>
      <w:tr w14:paraId="0F74F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51" w:type="pct"/>
            <w:vAlign w:val="center"/>
          </w:tcPr>
          <w:p w14:paraId="4FAFAD6E">
            <w:pPr>
              <w:pStyle w:val="510"/>
              <w:rPr>
                <w:color w:val="auto"/>
                <w:highlight w:val="none"/>
                <w:u w:val="none"/>
              </w:rPr>
            </w:pPr>
            <w:r>
              <w:rPr>
                <w:rFonts w:hint="eastAsia"/>
                <w:color w:val="auto"/>
                <w:highlight w:val="none"/>
                <w:u w:val="none"/>
              </w:rPr>
              <w:t>1</w:t>
            </w:r>
            <w:r>
              <w:rPr>
                <w:color w:val="auto"/>
                <w:highlight w:val="none"/>
                <w:u w:val="none"/>
              </w:rPr>
              <w:t>2</w:t>
            </w:r>
          </w:p>
        </w:tc>
        <w:tc>
          <w:tcPr>
            <w:tcW w:w="694" w:type="pct"/>
            <w:vAlign w:val="center"/>
          </w:tcPr>
          <w:p w14:paraId="219D2776">
            <w:pPr>
              <w:pStyle w:val="510"/>
              <w:rPr>
                <w:color w:val="auto"/>
                <w:highlight w:val="none"/>
                <w:u w:val="none"/>
              </w:rPr>
            </w:pPr>
            <w:r>
              <w:rPr>
                <w:color w:val="auto"/>
                <w:kern w:val="0"/>
                <w:highlight w:val="none"/>
                <w:u w:val="none"/>
              </w:rPr>
              <w:t>甲苯</w:t>
            </w:r>
          </w:p>
        </w:tc>
        <w:tc>
          <w:tcPr>
            <w:tcW w:w="1175" w:type="pct"/>
            <w:vAlign w:val="center"/>
          </w:tcPr>
          <w:p w14:paraId="24FF8CD2">
            <w:pPr>
              <w:pStyle w:val="510"/>
              <w:rPr>
                <w:color w:val="auto"/>
                <w:highlight w:val="none"/>
                <w:u w:val="none"/>
              </w:rPr>
            </w:pPr>
            <w:r>
              <w:rPr>
                <w:color w:val="auto"/>
                <w:kern w:val="0"/>
                <w:highlight w:val="none"/>
                <w:u w:val="none"/>
              </w:rPr>
              <w:t>0.1</w:t>
            </w:r>
          </w:p>
        </w:tc>
        <w:tc>
          <w:tcPr>
            <w:tcW w:w="1363" w:type="pct"/>
            <w:vAlign w:val="center"/>
          </w:tcPr>
          <w:p w14:paraId="7ACA1B8B">
            <w:pPr>
              <w:pStyle w:val="510"/>
              <w:rPr>
                <w:color w:val="auto"/>
                <w:highlight w:val="none"/>
                <w:u w:val="none"/>
              </w:rPr>
            </w:pPr>
            <w:r>
              <w:rPr>
                <w:color w:val="auto"/>
                <w:kern w:val="0"/>
                <w:highlight w:val="none"/>
                <w:u w:val="none"/>
              </w:rPr>
              <w:t>/</w:t>
            </w:r>
          </w:p>
        </w:tc>
        <w:tc>
          <w:tcPr>
            <w:tcW w:w="1143" w:type="pct"/>
            <w:vAlign w:val="center"/>
          </w:tcPr>
          <w:p w14:paraId="368F99BC">
            <w:pPr>
              <w:pStyle w:val="510"/>
              <w:rPr>
                <w:color w:val="auto"/>
                <w:highlight w:val="none"/>
                <w:u w:val="none"/>
              </w:rPr>
            </w:pPr>
            <w:r>
              <w:rPr>
                <w:color w:val="auto"/>
                <w:kern w:val="0"/>
                <w:highlight w:val="none"/>
                <w:u w:val="none"/>
              </w:rPr>
              <w:t>0.1</w:t>
            </w:r>
          </w:p>
        </w:tc>
        <w:tc>
          <w:tcPr>
            <w:tcW w:w="374" w:type="pct"/>
            <w:vAlign w:val="center"/>
          </w:tcPr>
          <w:p w14:paraId="3E098D0D">
            <w:pPr>
              <w:pStyle w:val="510"/>
              <w:rPr>
                <w:color w:val="auto"/>
                <w:kern w:val="0"/>
                <w:highlight w:val="none"/>
                <w:u w:val="none"/>
              </w:rPr>
            </w:pPr>
            <w:r>
              <w:rPr>
                <w:color w:val="auto"/>
                <w:kern w:val="0"/>
                <w:highlight w:val="none"/>
                <w:u w:val="none"/>
              </w:rPr>
              <w:t>0.1</w:t>
            </w:r>
          </w:p>
        </w:tc>
      </w:tr>
      <w:tr w14:paraId="54ED1B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154F6EEA">
            <w:pPr>
              <w:pStyle w:val="510"/>
              <w:rPr>
                <w:color w:val="auto"/>
                <w:highlight w:val="none"/>
                <w:u w:val="none"/>
              </w:rPr>
            </w:pPr>
            <w:r>
              <w:rPr>
                <w:rFonts w:hint="eastAsia"/>
                <w:color w:val="auto"/>
                <w:highlight w:val="none"/>
                <w:u w:val="none"/>
              </w:rPr>
              <w:t>1</w:t>
            </w:r>
            <w:r>
              <w:rPr>
                <w:color w:val="auto"/>
                <w:highlight w:val="none"/>
                <w:u w:val="none"/>
              </w:rPr>
              <w:t>3</w:t>
            </w:r>
          </w:p>
        </w:tc>
        <w:tc>
          <w:tcPr>
            <w:tcW w:w="694" w:type="pct"/>
            <w:vAlign w:val="center"/>
          </w:tcPr>
          <w:p w14:paraId="235EB52A">
            <w:pPr>
              <w:pStyle w:val="510"/>
              <w:rPr>
                <w:color w:val="auto"/>
                <w:highlight w:val="none"/>
                <w:u w:val="none"/>
              </w:rPr>
            </w:pPr>
            <w:r>
              <w:rPr>
                <w:rFonts w:hint="eastAsia"/>
                <w:color w:val="auto"/>
                <w:kern w:val="0"/>
                <w:highlight w:val="none"/>
                <w:u w:val="none"/>
              </w:rPr>
              <w:t>1,</w:t>
            </w:r>
            <w:r>
              <w:rPr>
                <w:color w:val="auto"/>
                <w:kern w:val="0"/>
                <w:highlight w:val="none"/>
                <w:u w:val="none"/>
              </w:rPr>
              <w:t>2-二氯苯</w:t>
            </w:r>
          </w:p>
        </w:tc>
        <w:tc>
          <w:tcPr>
            <w:tcW w:w="1175" w:type="pct"/>
            <w:vAlign w:val="center"/>
          </w:tcPr>
          <w:p w14:paraId="0358E1E8">
            <w:pPr>
              <w:pStyle w:val="510"/>
              <w:rPr>
                <w:color w:val="auto"/>
                <w:highlight w:val="none"/>
                <w:u w:val="none"/>
              </w:rPr>
            </w:pPr>
            <w:r>
              <w:rPr>
                <w:color w:val="auto"/>
                <w:kern w:val="0"/>
                <w:highlight w:val="none"/>
                <w:u w:val="none"/>
              </w:rPr>
              <w:t>0.4</w:t>
            </w:r>
          </w:p>
        </w:tc>
        <w:tc>
          <w:tcPr>
            <w:tcW w:w="1363" w:type="pct"/>
            <w:vAlign w:val="center"/>
          </w:tcPr>
          <w:p w14:paraId="03DF2600">
            <w:pPr>
              <w:pStyle w:val="510"/>
              <w:rPr>
                <w:color w:val="auto"/>
                <w:highlight w:val="none"/>
                <w:u w:val="none"/>
              </w:rPr>
            </w:pPr>
            <w:r>
              <w:rPr>
                <w:color w:val="auto"/>
                <w:kern w:val="0"/>
                <w:highlight w:val="none"/>
                <w:u w:val="none"/>
              </w:rPr>
              <w:t>/</w:t>
            </w:r>
          </w:p>
        </w:tc>
        <w:tc>
          <w:tcPr>
            <w:tcW w:w="1143" w:type="pct"/>
            <w:vAlign w:val="center"/>
          </w:tcPr>
          <w:p w14:paraId="22C181A1">
            <w:pPr>
              <w:pStyle w:val="510"/>
              <w:rPr>
                <w:color w:val="auto"/>
                <w:highlight w:val="none"/>
                <w:u w:val="none"/>
              </w:rPr>
            </w:pPr>
            <w:r>
              <w:rPr>
                <w:color w:val="auto"/>
                <w:kern w:val="0"/>
                <w:highlight w:val="none"/>
                <w:u w:val="none"/>
              </w:rPr>
              <w:t>0.4</w:t>
            </w:r>
          </w:p>
        </w:tc>
        <w:tc>
          <w:tcPr>
            <w:tcW w:w="374" w:type="pct"/>
            <w:vAlign w:val="center"/>
          </w:tcPr>
          <w:p w14:paraId="7496B6BB">
            <w:pPr>
              <w:pStyle w:val="510"/>
              <w:rPr>
                <w:color w:val="auto"/>
                <w:kern w:val="0"/>
                <w:highlight w:val="none"/>
                <w:u w:val="none"/>
              </w:rPr>
            </w:pPr>
            <w:r>
              <w:rPr>
                <w:color w:val="auto"/>
                <w:kern w:val="0"/>
                <w:highlight w:val="none"/>
                <w:u w:val="none"/>
              </w:rPr>
              <w:t>0.4</w:t>
            </w:r>
          </w:p>
        </w:tc>
      </w:tr>
      <w:tr w14:paraId="240556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2742B377">
            <w:pPr>
              <w:pStyle w:val="510"/>
              <w:rPr>
                <w:color w:val="auto"/>
                <w:highlight w:val="none"/>
                <w:u w:val="none"/>
              </w:rPr>
            </w:pPr>
            <w:r>
              <w:rPr>
                <w:rFonts w:hint="eastAsia"/>
                <w:color w:val="auto"/>
                <w:highlight w:val="none"/>
                <w:u w:val="none"/>
              </w:rPr>
              <w:t>1</w:t>
            </w:r>
            <w:r>
              <w:rPr>
                <w:color w:val="auto"/>
                <w:highlight w:val="none"/>
                <w:u w:val="none"/>
              </w:rPr>
              <w:t>4</w:t>
            </w:r>
          </w:p>
        </w:tc>
        <w:tc>
          <w:tcPr>
            <w:tcW w:w="694" w:type="pct"/>
            <w:vAlign w:val="center"/>
          </w:tcPr>
          <w:p w14:paraId="44EBA7E8">
            <w:pPr>
              <w:pStyle w:val="510"/>
              <w:rPr>
                <w:color w:val="auto"/>
                <w:highlight w:val="none"/>
                <w:u w:val="none"/>
              </w:rPr>
            </w:pPr>
            <w:r>
              <w:rPr>
                <w:color w:val="auto"/>
                <w:kern w:val="0"/>
                <w:highlight w:val="none"/>
                <w:u w:val="none"/>
              </w:rPr>
              <w:t>苯胺类</w:t>
            </w:r>
          </w:p>
        </w:tc>
        <w:tc>
          <w:tcPr>
            <w:tcW w:w="1175" w:type="pct"/>
            <w:vAlign w:val="center"/>
          </w:tcPr>
          <w:p w14:paraId="1F955AA8">
            <w:pPr>
              <w:pStyle w:val="510"/>
              <w:rPr>
                <w:color w:val="auto"/>
                <w:highlight w:val="none"/>
                <w:u w:val="none"/>
              </w:rPr>
            </w:pPr>
            <w:r>
              <w:rPr>
                <w:color w:val="auto"/>
                <w:kern w:val="0"/>
                <w:highlight w:val="none"/>
                <w:u w:val="none"/>
              </w:rPr>
              <w:t>0.5</w:t>
            </w:r>
          </w:p>
        </w:tc>
        <w:tc>
          <w:tcPr>
            <w:tcW w:w="1363" w:type="pct"/>
            <w:vAlign w:val="center"/>
          </w:tcPr>
          <w:p w14:paraId="3FC39DAC">
            <w:pPr>
              <w:pStyle w:val="510"/>
              <w:rPr>
                <w:color w:val="auto"/>
                <w:highlight w:val="none"/>
                <w:u w:val="none"/>
              </w:rPr>
            </w:pPr>
            <w:r>
              <w:rPr>
                <w:color w:val="auto"/>
                <w:kern w:val="0"/>
                <w:highlight w:val="none"/>
                <w:u w:val="none"/>
              </w:rPr>
              <w:t>/</w:t>
            </w:r>
          </w:p>
        </w:tc>
        <w:tc>
          <w:tcPr>
            <w:tcW w:w="1143" w:type="pct"/>
            <w:vAlign w:val="center"/>
          </w:tcPr>
          <w:p w14:paraId="4E84A3A1">
            <w:pPr>
              <w:pStyle w:val="510"/>
              <w:rPr>
                <w:color w:val="auto"/>
                <w:highlight w:val="none"/>
                <w:u w:val="none"/>
              </w:rPr>
            </w:pPr>
            <w:r>
              <w:rPr>
                <w:color w:val="auto"/>
                <w:kern w:val="0"/>
                <w:highlight w:val="none"/>
                <w:u w:val="none"/>
              </w:rPr>
              <w:t>0.5</w:t>
            </w:r>
          </w:p>
        </w:tc>
        <w:tc>
          <w:tcPr>
            <w:tcW w:w="374" w:type="pct"/>
            <w:vAlign w:val="center"/>
          </w:tcPr>
          <w:p w14:paraId="518630A7">
            <w:pPr>
              <w:pStyle w:val="510"/>
              <w:rPr>
                <w:color w:val="auto"/>
                <w:kern w:val="0"/>
                <w:highlight w:val="none"/>
                <w:u w:val="none"/>
              </w:rPr>
            </w:pPr>
            <w:r>
              <w:rPr>
                <w:color w:val="auto"/>
                <w:kern w:val="0"/>
                <w:highlight w:val="none"/>
                <w:u w:val="none"/>
              </w:rPr>
              <w:t>0.5</w:t>
            </w:r>
          </w:p>
        </w:tc>
      </w:tr>
      <w:tr w14:paraId="6A9F6D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7BCE92CF">
            <w:pPr>
              <w:pStyle w:val="510"/>
              <w:rPr>
                <w:color w:val="auto"/>
                <w:highlight w:val="none"/>
                <w:u w:val="none"/>
              </w:rPr>
            </w:pPr>
            <w:r>
              <w:rPr>
                <w:rFonts w:hint="eastAsia"/>
                <w:color w:val="auto"/>
                <w:highlight w:val="none"/>
                <w:u w:val="none"/>
              </w:rPr>
              <w:t>1</w:t>
            </w:r>
            <w:r>
              <w:rPr>
                <w:color w:val="auto"/>
                <w:highlight w:val="none"/>
                <w:u w:val="none"/>
              </w:rPr>
              <w:t>5</w:t>
            </w:r>
          </w:p>
        </w:tc>
        <w:tc>
          <w:tcPr>
            <w:tcW w:w="694" w:type="pct"/>
            <w:vAlign w:val="center"/>
          </w:tcPr>
          <w:p w14:paraId="3EE3006B">
            <w:pPr>
              <w:pStyle w:val="510"/>
              <w:rPr>
                <w:color w:val="auto"/>
                <w:highlight w:val="none"/>
                <w:u w:val="none"/>
              </w:rPr>
            </w:pPr>
            <w:r>
              <w:rPr>
                <w:color w:val="auto"/>
                <w:kern w:val="0"/>
                <w:highlight w:val="none"/>
                <w:u w:val="none"/>
              </w:rPr>
              <w:t>硝基苯类</w:t>
            </w:r>
          </w:p>
        </w:tc>
        <w:tc>
          <w:tcPr>
            <w:tcW w:w="1175" w:type="pct"/>
            <w:vAlign w:val="center"/>
          </w:tcPr>
          <w:p w14:paraId="2593CE08">
            <w:pPr>
              <w:pStyle w:val="510"/>
              <w:rPr>
                <w:color w:val="auto"/>
                <w:highlight w:val="none"/>
                <w:u w:val="none"/>
              </w:rPr>
            </w:pPr>
            <w:r>
              <w:rPr>
                <w:color w:val="auto"/>
                <w:kern w:val="0"/>
                <w:highlight w:val="none"/>
                <w:u w:val="none"/>
              </w:rPr>
              <w:t>2</w:t>
            </w:r>
          </w:p>
        </w:tc>
        <w:tc>
          <w:tcPr>
            <w:tcW w:w="1363" w:type="pct"/>
            <w:vAlign w:val="center"/>
          </w:tcPr>
          <w:p w14:paraId="3253D57C">
            <w:pPr>
              <w:pStyle w:val="510"/>
              <w:rPr>
                <w:color w:val="auto"/>
                <w:highlight w:val="none"/>
                <w:u w:val="none"/>
              </w:rPr>
            </w:pPr>
            <w:r>
              <w:rPr>
                <w:color w:val="auto"/>
                <w:kern w:val="0"/>
                <w:highlight w:val="none"/>
                <w:u w:val="none"/>
              </w:rPr>
              <w:t>/</w:t>
            </w:r>
          </w:p>
        </w:tc>
        <w:tc>
          <w:tcPr>
            <w:tcW w:w="1143" w:type="pct"/>
            <w:vAlign w:val="center"/>
          </w:tcPr>
          <w:p w14:paraId="5531C1F3">
            <w:pPr>
              <w:pStyle w:val="510"/>
              <w:rPr>
                <w:color w:val="auto"/>
                <w:highlight w:val="none"/>
                <w:u w:val="none"/>
              </w:rPr>
            </w:pPr>
            <w:r>
              <w:rPr>
                <w:color w:val="auto"/>
                <w:kern w:val="0"/>
                <w:highlight w:val="none"/>
                <w:u w:val="none"/>
              </w:rPr>
              <w:t>/</w:t>
            </w:r>
          </w:p>
        </w:tc>
        <w:tc>
          <w:tcPr>
            <w:tcW w:w="374" w:type="pct"/>
            <w:vAlign w:val="center"/>
          </w:tcPr>
          <w:p w14:paraId="70EA6130">
            <w:pPr>
              <w:pStyle w:val="510"/>
              <w:rPr>
                <w:color w:val="auto"/>
                <w:highlight w:val="none"/>
                <w:u w:val="none"/>
              </w:rPr>
            </w:pPr>
            <w:r>
              <w:rPr>
                <w:color w:val="auto"/>
                <w:kern w:val="0"/>
                <w:highlight w:val="none"/>
                <w:u w:val="none"/>
              </w:rPr>
              <w:t>2</w:t>
            </w:r>
          </w:p>
        </w:tc>
      </w:tr>
      <w:tr w14:paraId="668935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01365D66">
            <w:pPr>
              <w:pStyle w:val="510"/>
              <w:rPr>
                <w:color w:val="auto"/>
                <w:highlight w:val="none"/>
                <w:u w:val="none"/>
              </w:rPr>
            </w:pPr>
            <w:r>
              <w:rPr>
                <w:rFonts w:hint="eastAsia"/>
                <w:color w:val="auto"/>
                <w:highlight w:val="none"/>
                <w:u w:val="none"/>
              </w:rPr>
              <w:t>16</w:t>
            </w:r>
          </w:p>
        </w:tc>
        <w:tc>
          <w:tcPr>
            <w:tcW w:w="694" w:type="pct"/>
            <w:vAlign w:val="center"/>
          </w:tcPr>
          <w:p w14:paraId="1DA9C143">
            <w:pPr>
              <w:pStyle w:val="510"/>
              <w:rPr>
                <w:color w:val="auto"/>
                <w:kern w:val="0"/>
                <w:highlight w:val="none"/>
                <w:u w:val="none"/>
              </w:rPr>
            </w:pPr>
            <w:r>
              <w:rPr>
                <w:color w:val="auto"/>
                <w:highlight w:val="none"/>
                <w:u w:val="none"/>
                <w:lang w:bidi="ar"/>
              </w:rPr>
              <w:t>氯苯</w:t>
            </w:r>
          </w:p>
        </w:tc>
        <w:tc>
          <w:tcPr>
            <w:tcW w:w="1175" w:type="pct"/>
            <w:vAlign w:val="center"/>
          </w:tcPr>
          <w:p w14:paraId="1467EB74">
            <w:pPr>
              <w:pStyle w:val="510"/>
              <w:rPr>
                <w:color w:val="auto"/>
                <w:kern w:val="0"/>
                <w:highlight w:val="none"/>
                <w:u w:val="none"/>
              </w:rPr>
            </w:pPr>
            <w:r>
              <w:rPr>
                <w:color w:val="auto"/>
                <w:highlight w:val="none"/>
                <w:u w:val="none"/>
                <w:lang w:bidi="ar"/>
              </w:rPr>
              <w:t>0.2</w:t>
            </w:r>
          </w:p>
        </w:tc>
        <w:tc>
          <w:tcPr>
            <w:tcW w:w="1363" w:type="pct"/>
            <w:vAlign w:val="center"/>
          </w:tcPr>
          <w:p w14:paraId="71C08463">
            <w:pPr>
              <w:pStyle w:val="510"/>
              <w:rPr>
                <w:color w:val="auto"/>
                <w:kern w:val="0"/>
                <w:highlight w:val="none"/>
                <w:u w:val="none"/>
              </w:rPr>
            </w:pPr>
            <w:r>
              <w:rPr>
                <w:color w:val="auto"/>
                <w:kern w:val="0"/>
                <w:highlight w:val="none"/>
                <w:u w:val="none"/>
              </w:rPr>
              <w:t>/</w:t>
            </w:r>
          </w:p>
        </w:tc>
        <w:tc>
          <w:tcPr>
            <w:tcW w:w="1143" w:type="pct"/>
            <w:vAlign w:val="center"/>
          </w:tcPr>
          <w:p w14:paraId="01A3B7DA">
            <w:pPr>
              <w:pStyle w:val="510"/>
              <w:rPr>
                <w:color w:val="auto"/>
                <w:kern w:val="0"/>
                <w:highlight w:val="none"/>
                <w:u w:val="none"/>
              </w:rPr>
            </w:pPr>
            <w:r>
              <w:rPr>
                <w:color w:val="auto"/>
                <w:highlight w:val="none"/>
                <w:u w:val="none"/>
                <w:lang w:bidi="ar"/>
              </w:rPr>
              <w:t>0.3</w:t>
            </w:r>
          </w:p>
        </w:tc>
        <w:tc>
          <w:tcPr>
            <w:tcW w:w="374" w:type="pct"/>
            <w:vAlign w:val="center"/>
          </w:tcPr>
          <w:p w14:paraId="00D0D508">
            <w:pPr>
              <w:pStyle w:val="510"/>
              <w:rPr>
                <w:color w:val="auto"/>
                <w:kern w:val="0"/>
                <w:highlight w:val="none"/>
                <w:u w:val="none"/>
              </w:rPr>
            </w:pPr>
            <w:r>
              <w:rPr>
                <w:color w:val="auto"/>
                <w:highlight w:val="none"/>
                <w:u w:val="none"/>
                <w:lang w:bidi="ar"/>
              </w:rPr>
              <w:t>0.2</w:t>
            </w:r>
          </w:p>
        </w:tc>
      </w:tr>
      <w:tr w14:paraId="5021A8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8C9D733">
            <w:pPr>
              <w:pStyle w:val="510"/>
              <w:rPr>
                <w:color w:val="auto"/>
                <w:highlight w:val="none"/>
                <w:u w:val="none"/>
              </w:rPr>
            </w:pPr>
            <w:r>
              <w:rPr>
                <w:rFonts w:hint="eastAsia"/>
                <w:color w:val="auto"/>
                <w:highlight w:val="none"/>
                <w:u w:val="none"/>
              </w:rPr>
              <w:t>17</w:t>
            </w:r>
          </w:p>
        </w:tc>
        <w:tc>
          <w:tcPr>
            <w:tcW w:w="694" w:type="pct"/>
            <w:vAlign w:val="center"/>
          </w:tcPr>
          <w:p w14:paraId="32519492">
            <w:pPr>
              <w:pStyle w:val="510"/>
              <w:rPr>
                <w:color w:val="auto"/>
                <w:kern w:val="0"/>
                <w:highlight w:val="none"/>
                <w:u w:val="none"/>
              </w:rPr>
            </w:pPr>
            <w:r>
              <w:rPr>
                <w:color w:val="auto"/>
                <w:highlight w:val="none"/>
                <w:u w:val="none"/>
                <w:lang w:bidi="ar"/>
              </w:rPr>
              <w:t>1,2-二氯乙烷</w:t>
            </w:r>
          </w:p>
        </w:tc>
        <w:tc>
          <w:tcPr>
            <w:tcW w:w="1175" w:type="pct"/>
            <w:vAlign w:val="center"/>
          </w:tcPr>
          <w:p w14:paraId="7EBD8518">
            <w:pPr>
              <w:pStyle w:val="510"/>
              <w:rPr>
                <w:color w:val="auto"/>
                <w:kern w:val="0"/>
                <w:highlight w:val="none"/>
                <w:u w:val="none"/>
              </w:rPr>
            </w:pPr>
            <w:r>
              <w:rPr>
                <w:color w:val="auto"/>
                <w:highlight w:val="none"/>
                <w:u w:val="none"/>
                <w:lang w:bidi="ar"/>
              </w:rPr>
              <w:t>0.3</w:t>
            </w:r>
          </w:p>
        </w:tc>
        <w:tc>
          <w:tcPr>
            <w:tcW w:w="1363" w:type="pct"/>
            <w:vAlign w:val="center"/>
          </w:tcPr>
          <w:p w14:paraId="47A7E4AD">
            <w:pPr>
              <w:pStyle w:val="510"/>
              <w:rPr>
                <w:color w:val="auto"/>
                <w:kern w:val="0"/>
                <w:highlight w:val="none"/>
                <w:u w:val="none"/>
              </w:rPr>
            </w:pPr>
            <w:r>
              <w:rPr>
                <w:color w:val="auto"/>
                <w:kern w:val="0"/>
                <w:highlight w:val="none"/>
                <w:u w:val="none"/>
              </w:rPr>
              <w:t>/</w:t>
            </w:r>
          </w:p>
        </w:tc>
        <w:tc>
          <w:tcPr>
            <w:tcW w:w="1143" w:type="pct"/>
            <w:vAlign w:val="center"/>
          </w:tcPr>
          <w:p w14:paraId="0EFC9D8A">
            <w:pPr>
              <w:pStyle w:val="510"/>
              <w:rPr>
                <w:color w:val="auto"/>
                <w:kern w:val="0"/>
                <w:highlight w:val="none"/>
                <w:u w:val="none"/>
              </w:rPr>
            </w:pPr>
            <w:r>
              <w:rPr>
                <w:color w:val="auto"/>
                <w:kern w:val="0"/>
                <w:highlight w:val="none"/>
                <w:u w:val="none"/>
              </w:rPr>
              <w:t>/</w:t>
            </w:r>
          </w:p>
        </w:tc>
        <w:tc>
          <w:tcPr>
            <w:tcW w:w="374" w:type="pct"/>
            <w:vAlign w:val="center"/>
          </w:tcPr>
          <w:p w14:paraId="0C345EB3">
            <w:pPr>
              <w:pStyle w:val="510"/>
              <w:rPr>
                <w:color w:val="auto"/>
                <w:kern w:val="0"/>
                <w:highlight w:val="none"/>
                <w:u w:val="none"/>
              </w:rPr>
            </w:pPr>
            <w:r>
              <w:rPr>
                <w:color w:val="auto"/>
                <w:highlight w:val="none"/>
                <w:u w:val="none"/>
                <w:lang w:bidi="ar"/>
              </w:rPr>
              <w:t>0.3</w:t>
            </w:r>
          </w:p>
        </w:tc>
      </w:tr>
      <w:tr w14:paraId="277EB6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659A8BE">
            <w:pPr>
              <w:pStyle w:val="510"/>
              <w:rPr>
                <w:color w:val="auto"/>
                <w:highlight w:val="none"/>
                <w:u w:val="none"/>
              </w:rPr>
            </w:pPr>
            <w:r>
              <w:rPr>
                <w:rFonts w:hint="eastAsia"/>
                <w:color w:val="auto"/>
                <w:highlight w:val="none"/>
                <w:u w:val="none"/>
              </w:rPr>
              <w:t>18</w:t>
            </w:r>
          </w:p>
        </w:tc>
        <w:tc>
          <w:tcPr>
            <w:tcW w:w="694" w:type="pct"/>
            <w:vAlign w:val="center"/>
          </w:tcPr>
          <w:p w14:paraId="28AB6069">
            <w:pPr>
              <w:pStyle w:val="510"/>
              <w:rPr>
                <w:color w:val="auto"/>
                <w:kern w:val="0"/>
                <w:highlight w:val="none"/>
                <w:u w:val="none"/>
              </w:rPr>
            </w:pPr>
            <w:r>
              <w:rPr>
                <w:color w:val="auto"/>
                <w:highlight w:val="none"/>
                <w:u w:val="none"/>
                <w:lang w:bidi="ar"/>
              </w:rPr>
              <w:t>甲醛</w:t>
            </w:r>
          </w:p>
        </w:tc>
        <w:tc>
          <w:tcPr>
            <w:tcW w:w="1175" w:type="pct"/>
            <w:vAlign w:val="center"/>
          </w:tcPr>
          <w:p w14:paraId="519E5863">
            <w:pPr>
              <w:pStyle w:val="510"/>
              <w:rPr>
                <w:color w:val="auto"/>
                <w:kern w:val="0"/>
                <w:highlight w:val="none"/>
                <w:u w:val="none"/>
              </w:rPr>
            </w:pPr>
            <w:r>
              <w:rPr>
                <w:color w:val="auto"/>
                <w:highlight w:val="none"/>
                <w:u w:val="none"/>
                <w:lang w:bidi="ar"/>
              </w:rPr>
              <w:t>1.0</w:t>
            </w:r>
          </w:p>
        </w:tc>
        <w:tc>
          <w:tcPr>
            <w:tcW w:w="1363" w:type="pct"/>
            <w:vAlign w:val="center"/>
          </w:tcPr>
          <w:p w14:paraId="42B1A94D">
            <w:pPr>
              <w:pStyle w:val="510"/>
              <w:rPr>
                <w:color w:val="auto"/>
                <w:kern w:val="0"/>
                <w:highlight w:val="none"/>
                <w:u w:val="none"/>
              </w:rPr>
            </w:pPr>
            <w:r>
              <w:rPr>
                <w:color w:val="auto"/>
                <w:kern w:val="0"/>
                <w:highlight w:val="none"/>
                <w:u w:val="none"/>
              </w:rPr>
              <w:t>/</w:t>
            </w:r>
          </w:p>
        </w:tc>
        <w:tc>
          <w:tcPr>
            <w:tcW w:w="1143" w:type="pct"/>
            <w:vAlign w:val="center"/>
          </w:tcPr>
          <w:p w14:paraId="34B8D8EC">
            <w:pPr>
              <w:pStyle w:val="510"/>
              <w:rPr>
                <w:color w:val="auto"/>
                <w:kern w:val="0"/>
                <w:highlight w:val="none"/>
                <w:u w:val="none"/>
              </w:rPr>
            </w:pPr>
            <w:r>
              <w:rPr>
                <w:color w:val="auto"/>
                <w:highlight w:val="none"/>
                <w:u w:val="none"/>
                <w:lang w:bidi="ar"/>
              </w:rPr>
              <w:t>1.0</w:t>
            </w:r>
          </w:p>
        </w:tc>
        <w:tc>
          <w:tcPr>
            <w:tcW w:w="374" w:type="pct"/>
            <w:vAlign w:val="center"/>
          </w:tcPr>
          <w:p w14:paraId="3266A96E">
            <w:pPr>
              <w:pStyle w:val="510"/>
              <w:rPr>
                <w:color w:val="auto"/>
                <w:kern w:val="0"/>
                <w:highlight w:val="none"/>
                <w:u w:val="none"/>
              </w:rPr>
            </w:pPr>
            <w:r>
              <w:rPr>
                <w:color w:val="auto"/>
                <w:highlight w:val="none"/>
                <w:u w:val="none"/>
                <w:lang w:bidi="ar"/>
              </w:rPr>
              <w:t>1.0</w:t>
            </w:r>
          </w:p>
        </w:tc>
      </w:tr>
      <w:tr w14:paraId="4E1C9C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43330342">
            <w:pPr>
              <w:pStyle w:val="510"/>
              <w:rPr>
                <w:color w:val="auto"/>
                <w:highlight w:val="none"/>
                <w:u w:val="none"/>
              </w:rPr>
            </w:pPr>
            <w:r>
              <w:rPr>
                <w:rFonts w:hint="eastAsia"/>
                <w:color w:val="auto"/>
                <w:highlight w:val="none"/>
                <w:u w:val="none"/>
              </w:rPr>
              <w:t>19</w:t>
            </w:r>
          </w:p>
        </w:tc>
        <w:tc>
          <w:tcPr>
            <w:tcW w:w="694" w:type="pct"/>
            <w:vAlign w:val="center"/>
          </w:tcPr>
          <w:p w14:paraId="1710D0D9">
            <w:pPr>
              <w:pStyle w:val="510"/>
              <w:rPr>
                <w:color w:val="auto"/>
                <w:kern w:val="0"/>
                <w:highlight w:val="none"/>
                <w:u w:val="none"/>
              </w:rPr>
            </w:pPr>
            <w:r>
              <w:rPr>
                <w:color w:val="auto"/>
                <w:highlight w:val="none"/>
                <w:u w:val="none"/>
                <w:lang w:bidi="ar"/>
              </w:rPr>
              <w:t>四氯化碳</w:t>
            </w:r>
          </w:p>
        </w:tc>
        <w:tc>
          <w:tcPr>
            <w:tcW w:w="1175" w:type="pct"/>
            <w:vAlign w:val="center"/>
          </w:tcPr>
          <w:p w14:paraId="7B28CE73">
            <w:pPr>
              <w:pStyle w:val="510"/>
              <w:rPr>
                <w:color w:val="auto"/>
                <w:kern w:val="0"/>
                <w:highlight w:val="none"/>
                <w:u w:val="none"/>
              </w:rPr>
            </w:pPr>
            <w:r>
              <w:rPr>
                <w:color w:val="auto"/>
                <w:highlight w:val="none"/>
                <w:u w:val="none"/>
                <w:lang w:bidi="ar"/>
              </w:rPr>
              <w:t>0.03</w:t>
            </w:r>
          </w:p>
        </w:tc>
        <w:tc>
          <w:tcPr>
            <w:tcW w:w="1363" w:type="pct"/>
            <w:vAlign w:val="center"/>
          </w:tcPr>
          <w:p w14:paraId="678505C4">
            <w:pPr>
              <w:pStyle w:val="510"/>
              <w:rPr>
                <w:color w:val="auto"/>
                <w:kern w:val="0"/>
                <w:highlight w:val="none"/>
                <w:u w:val="none"/>
              </w:rPr>
            </w:pPr>
            <w:r>
              <w:rPr>
                <w:color w:val="auto"/>
                <w:kern w:val="0"/>
                <w:highlight w:val="none"/>
                <w:u w:val="none"/>
              </w:rPr>
              <w:t>/</w:t>
            </w:r>
          </w:p>
        </w:tc>
        <w:tc>
          <w:tcPr>
            <w:tcW w:w="1143" w:type="pct"/>
            <w:vAlign w:val="center"/>
          </w:tcPr>
          <w:p w14:paraId="753B10EF">
            <w:pPr>
              <w:pStyle w:val="510"/>
              <w:rPr>
                <w:color w:val="auto"/>
                <w:kern w:val="0"/>
                <w:highlight w:val="none"/>
                <w:u w:val="none"/>
              </w:rPr>
            </w:pPr>
            <w:r>
              <w:rPr>
                <w:color w:val="auto"/>
                <w:highlight w:val="none"/>
                <w:u w:val="none"/>
                <w:lang w:bidi="ar"/>
              </w:rPr>
              <w:t>0.03</w:t>
            </w:r>
          </w:p>
        </w:tc>
        <w:tc>
          <w:tcPr>
            <w:tcW w:w="374" w:type="pct"/>
            <w:vAlign w:val="center"/>
          </w:tcPr>
          <w:p w14:paraId="76058DC4">
            <w:pPr>
              <w:pStyle w:val="510"/>
              <w:rPr>
                <w:color w:val="auto"/>
                <w:kern w:val="0"/>
                <w:highlight w:val="none"/>
                <w:u w:val="none"/>
              </w:rPr>
            </w:pPr>
            <w:r>
              <w:rPr>
                <w:color w:val="auto"/>
                <w:highlight w:val="none"/>
                <w:u w:val="none"/>
                <w:lang w:bidi="ar"/>
              </w:rPr>
              <w:t>0.03</w:t>
            </w:r>
          </w:p>
        </w:tc>
      </w:tr>
      <w:tr w14:paraId="57D359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3AB09849">
            <w:pPr>
              <w:pStyle w:val="510"/>
              <w:rPr>
                <w:color w:val="auto"/>
                <w:highlight w:val="none"/>
                <w:u w:val="none"/>
              </w:rPr>
            </w:pPr>
            <w:r>
              <w:rPr>
                <w:rFonts w:hint="eastAsia"/>
                <w:color w:val="auto"/>
                <w:highlight w:val="none"/>
                <w:u w:val="none"/>
              </w:rPr>
              <w:t>20</w:t>
            </w:r>
          </w:p>
        </w:tc>
        <w:tc>
          <w:tcPr>
            <w:tcW w:w="694" w:type="pct"/>
            <w:vAlign w:val="center"/>
          </w:tcPr>
          <w:p w14:paraId="23CF0848">
            <w:pPr>
              <w:pStyle w:val="510"/>
              <w:rPr>
                <w:color w:val="auto"/>
                <w:kern w:val="0"/>
                <w:highlight w:val="none"/>
                <w:u w:val="none"/>
              </w:rPr>
            </w:pPr>
            <w:r>
              <w:rPr>
                <w:color w:val="auto"/>
                <w:highlight w:val="none"/>
                <w:u w:val="none"/>
                <w:lang w:bidi="ar"/>
              </w:rPr>
              <w:t>氯乙烯</w:t>
            </w:r>
          </w:p>
        </w:tc>
        <w:tc>
          <w:tcPr>
            <w:tcW w:w="1175" w:type="pct"/>
            <w:vAlign w:val="center"/>
          </w:tcPr>
          <w:p w14:paraId="587D6AE0">
            <w:pPr>
              <w:pStyle w:val="510"/>
              <w:rPr>
                <w:color w:val="auto"/>
                <w:kern w:val="0"/>
                <w:highlight w:val="none"/>
                <w:u w:val="none"/>
              </w:rPr>
            </w:pPr>
            <w:r>
              <w:rPr>
                <w:color w:val="auto"/>
                <w:highlight w:val="none"/>
                <w:u w:val="none"/>
                <w:lang w:bidi="ar"/>
              </w:rPr>
              <w:t>0.05</w:t>
            </w:r>
          </w:p>
        </w:tc>
        <w:tc>
          <w:tcPr>
            <w:tcW w:w="1363" w:type="pct"/>
            <w:vAlign w:val="center"/>
          </w:tcPr>
          <w:p w14:paraId="5E7A0078">
            <w:pPr>
              <w:pStyle w:val="510"/>
              <w:rPr>
                <w:color w:val="auto"/>
                <w:kern w:val="0"/>
                <w:highlight w:val="none"/>
                <w:u w:val="none"/>
              </w:rPr>
            </w:pPr>
            <w:r>
              <w:rPr>
                <w:color w:val="auto"/>
                <w:highlight w:val="none"/>
                <w:u w:val="none"/>
                <w:lang w:bidi="ar"/>
              </w:rPr>
              <w:t>0.5</w:t>
            </w:r>
          </w:p>
        </w:tc>
        <w:tc>
          <w:tcPr>
            <w:tcW w:w="1143" w:type="pct"/>
            <w:vAlign w:val="center"/>
          </w:tcPr>
          <w:p w14:paraId="0970E76B">
            <w:pPr>
              <w:pStyle w:val="510"/>
              <w:rPr>
                <w:color w:val="auto"/>
                <w:kern w:val="0"/>
                <w:highlight w:val="none"/>
                <w:u w:val="none"/>
              </w:rPr>
            </w:pPr>
            <w:r>
              <w:rPr>
                <w:color w:val="auto"/>
                <w:kern w:val="0"/>
                <w:highlight w:val="none"/>
                <w:u w:val="none"/>
              </w:rPr>
              <w:t>/</w:t>
            </w:r>
          </w:p>
        </w:tc>
        <w:tc>
          <w:tcPr>
            <w:tcW w:w="374" w:type="pct"/>
            <w:vAlign w:val="center"/>
          </w:tcPr>
          <w:p w14:paraId="4B6AB5F5">
            <w:pPr>
              <w:pStyle w:val="510"/>
              <w:rPr>
                <w:color w:val="auto"/>
                <w:kern w:val="0"/>
                <w:highlight w:val="none"/>
                <w:u w:val="none"/>
              </w:rPr>
            </w:pPr>
            <w:r>
              <w:rPr>
                <w:color w:val="auto"/>
                <w:highlight w:val="none"/>
                <w:u w:val="none"/>
                <w:lang w:bidi="ar"/>
              </w:rPr>
              <w:t>0.05</w:t>
            </w:r>
          </w:p>
        </w:tc>
      </w:tr>
      <w:tr w14:paraId="5D0525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51" w:type="pct"/>
            <w:vAlign w:val="center"/>
          </w:tcPr>
          <w:p w14:paraId="62284F6E">
            <w:pPr>
              <w:pStyle w:val="510"/>
              <w:rPr>
                <w:color w:val="auto"/>
                <w:highlight w:val="none"/>
                <w:u w:val="none"/>
              </w:rPr>
            </w:pPr>
            <w:r>
              <w:rPr>
                <w:rFonts w:hint="eastAsia"/>
                <w:color w:val="auto"/>
                <w:highlight w:val="none"/>
                <w:u w:val="none"/>
              </w:rPr>
              <w:t>21</w:t>
            </w:r>
          </w:p>
        </w:tc>
        <w:tc>
          <w:tcPr>
            <w:tcW w:w="694" w:type="pct"/>
            <w:vAlign w:val="center"/>
          </w:tcPr>
          <w:p w14:paraId="3F7C1FE1">
            <w:pPr>
              <w:pStyle w:val="510"/>
              <w:rPr>
                <w:color w:val="auto"/>
                <w:kern w:val="0"/>
                <w:highlight w:val="none"/>
                <w:u w:val="none"/>
              </w:rPr>
            </w:pPr>
            <w:r>
              <w:rPr>
                <w:color w:val="auto"/>
                <w:highlight w:val="none"/>
                <w:u w:val="none"/>
                <w:lang w:bidi="ar"/>
              </w:rPr>
              <w:t>总铜</w:t>
            </w:r>
          </w:p>
        </w:tc>
        <w:tc>
          <w:tcPr>
            <w:tcW w:w="1175" w:type="pct"/>
            <w:vAlign w:val="center"/>
          </w:tcPr>
          <w:p w14:paraId="17DFCA51">
            <w:pPr>
              <w:pStyle w:val="510"/>
              <w:rPr>
                <w:color w:val="auto"/>
                <w:kern w:val="0"/>
                <w:highlight w:val="none"/>
                <w:u w:val="none"/>
              </w:rPr>
            </w:pPr>
            <w:r>
              <w:rPr>
                <w:color w:val="auto"/>
                <w:highlight w:val="none"/>
                <w:u w:val="none"/>
                <w:lang w:bidi="ar"/>
              </w:rPr>
              <w:t>0.5</w:t>
            </w:r>
          </w:p>
        </w:tc>
        <w:tc>
          <w:tcPr>
            <w:tcW w:w="1363" w:type="pct"/>
            <w:vAlign w:val="center"/>
          </w:tcPr>
          <w:p w14:paraId="7F613527">
            <w:pPr>
              <w:pStyle w:val="510"/>
              <w:rPr>
                <w:color w:val="auto"/>
                <w:kern w:val="0"/>
                <w:highlight w:val="none"/>
                <w:u w:val="none"/>
              </w:rPr>
            </w:pPr>
            <w:r>
              <w:rPr>
                <w:color w:val="auto"/>
                <w:kern w:val="0"/>
                <w:highlight w:val="none"/>
                <w:u w:val="none"/>
              </w:rPr>
              <w:t>/</w:t>
            </w:r>
          </w:p>
        </w:tc>
        <w:tc>
          <w:tcPr>
            <w:tcW w:w="1143" w:type="pct"/>
            <w:vAlign w:val="center"/>
          </w:tcPr>
          <w:p w14:paraId="4F410E0E">
            <w:pPr>
              <w:pStyle w:val="510"/>
              <w:rPr>
                <w:color w:val="auto"/>
                <w:kern w:val="0"/>
                <w:highlight w:val="none"/>
                <w:u w:val="none"/>
              </w:rPr>
            </w:pPr>
            <w:r>
              <w:rPr>
                <w:color w:val="auto"/>
                <w:highlight w:val="none"/>
                <w:u w:val="none"/>
                <w:lang w:bidi="ar"/>
              </w:rPr>
              <w:t>0.5</w:t>
            </w:r>
          </w:p>
        </w:tc>
        <w:tc>
          <w:tcPr>
            <w:tcW w:w="374" w:type="pct"/>
            <w:vAlign w:val="center"/>
          </w:tcPr>
          <w:p w14:paraId="0DC516B7">
            <w:pPr>
              <w:pStyle w:val="510"/>
              <w:rPr>
                <w:color w:val="auto"/>
                <w:kern w:val="0"/>
                <w:highlight w:val="none"/>
                <w:u w:val="none"/>
              </w:rPr>
            </w:pPr>
            <w:r>
              <w:rPr>
                <w:color w:val="auto"/>
                <w:highlight w:val="none"/>
                <w:u w:val="none"/>
                <w:lang w:bidi="ar"/>
              </w:rPr>
              <w:t>0.5</w:t>
            </w:r>
          </w:p>
        </w:tc>
      </w:tr>
    </w:tbl>
    <w:p w14:paraId="298EA3D7">
      <w:pPr>
        <w:ind w:firstLine="0" w:firstLineChars="0"/>
        <w:rPr>
          <w:rFonts w:hint="eastAsia"/>
          <w:color w:val="auto"/>
          <w:sz w:val="21"/>
          <w:szCs w:val="21"/>
          <w:highlight w:val="none"/>
          <w:u w:val="none"/>
        </w:rPr>
      </w:pPr>
      <w:r>
        <w:rPr>
          <w:rFonts w:hint="eastAsia"/>
          <w:color w:val="auto"/>
          <w:sz w:val="21"/>
          <w:szCs w:val="21"/>
          <w:highlight w:val="none"/>
          <w:u w:val="none"/>
        </w:rPr>
        <w:t>*注：括号外数值为水温</w:t>
      </w:r>
      <w:r>
        <w:rPr>
          <w:color w:val="auto"/>
          <w:sz w:val="21"/>
          <w:szCs w:val="21"/>
          <w:highlight w:val="none"/>
          <w:u w:val="none"/>
        </w:rPr>
        <w:t>&gt;12℃时的控制指标，括号内数值为水温≤12℃时的控制指标。</w:t>
      </w:r>
    </w:p>
    <w:p w14:paraId="672A358B">
      <w:pPr>
        <w:pStyle w:val="981"/>
        <w:rPr>
          <w:rFonts w:hint="eastAsia"/>
          <w:color w:val="auto"/>
          <w:highlight w:val="none"/>
          <w:u w:val="none"/>
        </w:rPr>
      </w:pPr>
      <w:r>
        <w:rPr>
          <w:rFonts w:hint="eastAsia"/>
          <w:color w:val="auto"/>
          <w:highlight w:val="none"/>
          <w:u w:val="none"/>
        </w:rPr>
        <w:t>万华环保科技公司编组站废水处理系统接收万华福建公司、异氰酸酯公司以及万华环保科技公司废水进行处理回用，回用水用于万华福建产业园的各循环冷却水系统补充水，中水回用装置浓水处理达标后依托</w:t>
      </w:r>
      <w:r>
        <w:rPr>
          <w:rFonts w:hint="eastAsia"/>
          <w:color w:val="auto"/>
          <w:highlight w:val="none"/>
          <w:u w:val="none"/>
          <w:lang w:eastAsia="zh-CN"/>
        </w:rPr>
        <w:t>福州江阴港城经济区</w:t>
      </w:r>
      <w:r>
        <w:rPr>
          <w:rFonts w:hint="eastAsia"/>
          <w:color w:val="auto"/>
          <w:highlight w:val="none"/>
          <w:u w:val="none"/>
        </w:rPr>
        <w:t>污水处理厂已建排海管道排海。根据《万华环保科技（福建）有限公司编组站项目环境影响报告书》（批文号：榕融环评[2025]16号，见附件</w:t>
      </w:r>
      <w:r>
        <w:rPr>
          <w:rFonts w:hint="eastAsia"/>
          <w:color w:val="auto"/>
          <w:highlight w:val="none"/>
          <w:u w:val="none"/>
          <w:lang w:val="en-US" w:eastAsia="zh-CN"/>
        </w:rPr>
        <w:t>25</w:t>
      </w:r>
      <w:r>
        <w:rPr>
          <w:rFonts w:hint="eastAsia"/>
          <w:color w:val="auto"/>
          <w:highlight w:val="none"/>
          <w:u w:val="none"/>
        </w:rPr>
        <w:t>），编组站废水处理系统处理浓水排放执行《烧碱、聚氯乙烯工业污染物排放标准》（GB15581-2016）表1直接排放限值、《石油化学工业污染物排放标准》（GB 31571-2015）及其修改单表1直接排放限值和表3有机特征污染物排放限值、《合成氨工业水污染物排放标准》（GB13458-2013）中表2直接排放限值、《城镇污水处理厂污染物排放标准》（GB18918-2002）表1一级A标准、《污水综合排放标准》（GB8978-1996）一级排放标准中的最严限值，详见</w:t>
      </w:r>
      <w:r>
        <w:rPr>
          <w:rFonts w:hint="eastAsia"/>
          <w:color w:val="auto"/>
          <w:highlight w:val="none"/>
          <w:u w:val="none"/>
        </w:rPr>
        <w:fldChar w:fldCharType="begin"/>
      </w:r>
      <w:r>
        <w:rPr>
          <w:rFonts w:hint="eastAsia"/>
          <w:color w:val="auto"/>
          <w:highlight w:val="none"/>
          <w:u w:val="none"/>
        </w:rPr>
        <w:instrText xml:space="preserve"> REF _Ref181571342 \h  \* MERGEFORMAT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9</w:t>
      </w:r>
      <w:r>
        <w:rPr>
          <w:rFonts w:hint="eastAsia"/>
          <w:color w:val="auto"/>
          <w:highlight w:val="none"/>
          <w:u w:val="none"/>
        </w:rPr>
        <w:fldChar w:fldCharType="end"/>
      </w:r>
      <w:r>
        <w:rPr>
          <w:rFonts w:hint="eastAsia"/>
          <w:color w:val="auto"/>
          <w:highlight w:val="none"/>
          <w:u w:val="none"/>
        </w:rPr>
        <w:t>。</w:t>
      </w:r>
    </w:p>
    <w:p w14:paraId="59291980">
      <w:pPr>
        <w:pStyle w:val="85"/>
        <w:rPr>
          <w:color w:val="auto"/>
          <w:highlight w:val="none"/>
          <w:u w:val="none"/>
        </w:rPr>
      </w:pPr>
      <w:bookmarkStart w:id="84" w:name="_Ref18157134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9</w:t>
      </w:r>
      <w:r>
        <w:rPr>
          <w:color w:val="auto"/>
          <w:highlight w:val="none"/>
          <w:u w:val="none"/>
        </w:rPr>
        <w:fldChar w:fldCharType="end"/>
      </w:r>
      <w:bookmarkEnd w:id="84"/>
      <w:r>
        <w:rPr>
          <w:color w:val="auto"/>
          <w:highlight w:val="none"/>
          <w:u w:val="none"/>
        </w:rPr>
        <w:t xml:space="preserve">  </w:t>
      </w:r>
      <w:r>
        <w:rPr>
          <w:rFonts w:hint="eastAsia"/>
          <w:color w:val="auto"/>
          <w:highlight w:val="none"/>
          <w:u w:val="none"/>
        </w:rPr>
        <w:t>浓水污染物排放限值  单位：mg/L（pH值除外）</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3"/>
        <w:gridCol w:w="723"/>
        <w:gridCol w:w="1512"/>
        <w:gridCol w:w="1512"/>
        <w:gridCol w:w="1512"/>
        <w:gridCol w:w="1512"/>
        <w:gridCol w:w="1408"/>
        <w:gridCol w:w="685"/>
      </w:tblGrid>
      <w:tr w14:paraId="4616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77" w:type="pct"/>
            <w:vAlign w:val="center"/>
          </w:tcPr>
          <w:p w14:paraId="4353A8F3">
            <w:pPr>
              <w:pStyle w:val="92"/>
              <w:rPr>
                <w:color w:val="auto"/>
                <w:kern w:val="0"/>
                <w:highlight w:val="none"/>
                <w:u w:val="none"/>
              </w:rPr>
            </w:pPr>
            <w:r>
              <w:rPr>
                <w:color w:val="auto"/>
                <w:highlight w:val="none"/>
                <w:u w:val="none"/>
              </w:rPr>
              <w:t>序号</w:t>
            </w:r>
          </w:p>
        </w:tc>
        <w:tc>
          <w:tcPr>
            <w:tcW w:w="457" w:type="pct"/>
            <w:vAlign w:val="center"/>
          </w:tcPr>
          <w:p w14:paraId="7B8552A2">
            <w:pPr>
              <w:pStyle w:val="92"/>
              <w:rPr>
                <w:color w:val="auto"/>
                <w:kern w:val="0"/>
                <w:highlight w:val="none"/>
                <w:u w:val="none"/>
              </w:rPr>
            </w:pPr>
            <w:r>
              <w:rPr>
                <w:color w:val="auto"/>
                <w:highlight w:val="none"/>
                <w:u w:val="none"/>
              </w:rPr>
              <w:t>项目</w:t>
            </w:r>
          </w:p>
        </w:tc>
        <w:tc>
          <w:tcPr>
            <w:tcW w:w="931" w:type="pct"/>
            <w:vAlign w:val="center"/>
          </w:tcPr>
          <w:p w14:paraId="44C00152">
            <w:pPr>
              <w:pStyle w:val="92"/>
              <w:rPr>
                <w:color w:val="auto"/>
                <w:kern w:val="0"/>
                <w:highlight w:val="none"/>
                <w:u w:val="none"/>
              </w:rPr>
            </w:pPr>
            <w:r>
              <w:rPr>
                <w:color w:val="auto"/>
                <w:highlight w:val="none"/>
                <w:u w:val="none"/>
              </w:rPr>
              <w:t>GB31571-2015</w:t>
            </w:r>
            <w:r>
              <w:rPr>
                <w:rFonts w:hint="eastAsia"/>
                <w:color w:val="auto"/>
                <w:highlight w:val="none"/>
                <w:u w:val="none"/>
              </w:rPr>
              <w:t>及其修改单</w:t>
            </w:r>
            <w:r>
              <w:rPr>
                <w:color w:val="auto"/>
                <w:highlight w:val="none"/>
                <w:u w:val="none"/>
              </w:rPr>
              <w:t>表1直接排放</w:t>
            </w:r>
            <w:r>
              <w:rPr>
                <w:rFonts w:hint="eastAsia"/>
                <w:color w:val="auto"/>
                <w:highlight w:val="none"/>
                <w:u w:val="none"/>
              </w:rPr>
              <w:t>、表3</w:t>
            </w:r>
          </w:p>
        </w:tc>
        <w:tc>
          <w:tcPr>
            <w:tcW w:w="838" w:type="pct"/>
            <w:vAlign w:val="center"/>
          </w:tcPr>
          <w:p w14:paraId="14FF72FE">
            <w:pPr>
              <w:pStyle w:val="92"/>
              <w:rPr>
                <w:color w:val="auto"/>
                <w:kern w:val="0"/>
                <w:highlight w:val="none"/>
                <w:u w:val="none"/>
              </w:rPr>
            </w:pPr>
            <w:r>
              <w:rPr>
                <w:color w:val="auto"/>
                <w:highlight w:val="none"/>
                <w:u w:val="none"/>
              </w:rPr>
              <w:t>GB15581-2016表1直接排放</w:t>
            </w:r>
          </w:p>
        </w:tc>
        <w:tc>
          <w:tcPr>
            <w:tcW w:w="698" w:type="pct"/>
            <w:vAlign w:val="center"/>
          </w:tcPr>
          <w:p w14:paraId="26EB49B3">
            <w:pPr>
              <w:pStyle w:val="92"/>
              <w:rPr>
                <w:color w:val="auto"/>
                <w:kern w:val="0"/>
                <w:highlight w:val="none"/>
                <w:u w:val="none"/>
              </w:rPr>
            </w:pPr>
            <w:r>
              <w:rPr>
                <w:color w:val="auto"/>
                <w:highlight w:val="none"/>
                <w:u w:val="none"/>
              </w:rPr>
              <w:t>GB13458-2013表2直接排放</w:t>
            </w:r>
          </w:p>
        </w:tc>
        <w:tc>
          <w:tcPr>
            <w:tcW w:w="698" w:type="pct"/>
            <w:vAlign w:val="center"/>
          </w:tcPr>
          <w:p w14:paraId="2B77202F">
            <w:pPr>
              <w:pStyle w:val="92"/>
              <w:rPr>
                <w:color w:val="auto"/>
                <w:kern w:val="0"/>
                <w:highlight w:val="none"/>
                <w:u w:val="none"/>
              </w:rPr>
            </w:pPr>
            <w:r>
              <w:rPr>
                <w:color w:val="auto"/>
                <w:highlight w:val="none"/>
                <w:u w:val="none"/>
              </w:rPr>
              <w:t>GB18918-2002</w:t>
            </w:r>
          </w:p>
          <w:p w14:paraId="141A81D8">
            <w:pPr>
              <w:pStyle w:val="92"/>
              <w:rPr>
                <w:color w:val="auto"/>
                <w:highlight w:val="none"/>
                <w:u w:val="none"/>
              </w:rPr>
            </w:pPr>
            <w:r>
              <w:rPr>
                <w:color w:val="auto"/>
                <w:highlight w:val="none"/>
                <w:u w:val="none"/>
              </w:rPr>
              <w:t>一级A</w:t>
            </w:r>
          </w:p>
        </w:tc>
        <w:tc>
          <w:tcPr>
            <w:tcW w:w="552" w:type="pct"/>
          </w:tcPr>
          <w:p w14:paraId="54BD64E3">
            <w:pPr>
              <w:pStyle w:val="92"/>
              <w:rPr>
                <w:color w:val="auto"/>
                <w:highlight w:val="none"/>
                <w:u w:val="none"/>
              </w:rPr>
            </w:pPr>
            <w:r>
              <w:rPr>
                <w:rFonts w:hint="eastAsia"/>
                <w:color w:val="auto"/>
                <w:highlight w:val="none"/>
                <w:u w:val="none"/>
              </w:rPr>
              <w:t>GB8978-1996表1、表4一级</w:t>
            </w:r>
          </w:p>
        </w:tc>
        <w:tc>
          <w:tcPr>
            <w:tcW w:w="549" w:type="pct"/>
            <w:vAlign w:val="center"/>
          </w:tcPr>
          <w:p w14:paraId="57F3FBFB">
            <w:pPr>
              <w:pStyle w:val="92"/>
              <w:rPr>
                <w:color w:val="auto"/>
                <w:kern w:val="0"/>
                <w:highlight w:val="none"/>
                <w:u w:val="none"/>
              </w:rPr>
            </w:pPr>
            <w:r>
              <w:rPr>
                <w:color w:val="auto"/>
                <w:highlight w:val="none"/>
                <w:u w:val="none"/>
              </w:rPr>
              <w:t>最严限值</w:t>
            </w:r>
          </w:p>
        </w:tc>
      </w:tr>
      <w:tr w14:paraId="307A7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702DCBDB">
            <w:pPr>
              <w:pStyle w:val="92"/>
              <w:rPr>
                <w:color w:val="auto"/>
                <w:kern w:val="0"/>
                <w:highlight w:val="none"/>
                <w:u w:val="none"/>
              </w:rPr>
            </w:pPr>
            <w:r>
              <w:rPr>
                <w:color w:val="auto"/>
                <w:highlight w:val="none"/>
                <w:u w:val="none"/>
              </w:rPr>
              <w:t>1</w:t>
            </w:r>
          </w:p>
        </w:tc>
        <w:tc>
          <w:tcPr>
            <w:tcW w:w="457" w:type="pct"/>
            <w:vAlign w:val="center"/>
          </w:tcPr>
          <w:p w14:paraId="27F2799C">
            <w:pPr>
              <w:pStyle w:val="92"/>
              <w:rPr>
                <w:color w:val="auto"/>
                <w:kern w:val="0"/>
                <w:highlight w:val="none"/>
                <w:u w:val="none"/>
              </w:rPr>
            </w:pPr>
            <w:r>
              <w:rPr>
                <w:color w:val="auto"/>
                <w:highlight w:val="none"/>
                <w:u w:val="none"/>
              </w:rPr>
              <w:t>pH</w:t>
            </w:r>
          </w:p>
        </w:tc>
        <w:tc>
          <w:tcPr>
            <w:tcW w:w="931" w:type="pct"/>
            <w:vAlign w:val="center"/>
          </w:tcPr>
          <w:p w14:paraId="1C3022A0">
            <w:pPr>
              <w:pStyle w:val="92"/>
              <w:rPr>
                <w:color w:val="auto"/>
                <w:kern w:val="0"/>
                <w:highlight w:val="none"/>
                <w:u w:val="none"/>
              </w:rPr>
            </w:pPr>
            <w:r>
              <w:rPr>
                <w:color w:val="auto"/>
                <w:highlight w:val="none"/>
                <w:u w:val="none"/>
              </w:rPr>
              <w:t>6~9</w:t>
            </w:r>
          </w:p>
        </w:tc>
        <w:tc>
          <w:tcPr>
            <w:tcW w:w="838" w:type="pct"/>
            <w:vAlign w:val="center"/>
          </w:tcPr>
          <w:p w14:paraId="7DAD1C81">
            <w:pPr>
              <w:pStyle w:val="92"/>
              <w:rPr>
                <w:color w:val="auto"/>
                <w:kern w:val="0"/>
                <w:highlight w:val="none"/>
                <w:u w:val="none"/>
              </w:rPr>
            </w:pPr>
            <w:r>
              <w:rPr>
                <w:color w:val="auto"/>
                <w:highlight w:val="none"/>
                <w:u w:val="none"/>
              </w:rPr>
              <w:t>6~9</w:t>
            </w:r>
          </w:p>
        </w:tc>
        <w:tc>
          <w:tcPr>
            <w:tcW w:w="698" w:type="pct"/>
            <w:vAlign w:val="center"/>
          </w:tcPr>
          <w:p w14:paraId="752B6C88">
            <w:pPr>
              <w:pStyle w:val="92"/>
              <w:rPr>
                <w:color w:val="auto"/>
                <w:kern w:val="0"/>
                <w:highlight w:val="none"/>
                <w:u w:val="none"/>
              </w:rPr>
            </w:pPr>
            <w:r>
              <w:rPr>
                <w:color w:val="auto"/>
                <w:highlight w:val="none"/>
                <w:u w:val="none"/>
              </w:rPr>
              <w:t>6~9</w:t>
            </w:r>
          </w:p>
        </w:tc>
        <w:tc>
          <w:tcPr>
            <w:tcW w:w="698" w:type="pct"/>
            <w:vAlign w:val="center"/>
          </w:tcPr>
          <w:p w14:paraId="1DEF9E5C">
            <w:pPr>
              <w:pStyle w:val="92"/>
              <w:rPr>
                <w:color w:val="auto"/>
                <w:highlight w:val="none"/>
                <w:u w:val="none"/>
              </w:rPr>
            </w:pPr>
            <w:r>
              <w:rPr>
                <w:color w:val="auto"/>
                <w:highlight w:val="none"/>
                <w:u w:val="none"/>
              </w:rPr>
              <w:t>6~9</w:t>
            </w:r>
          </w:p>
        </w:tc>
        <w:tc>
          <w:tcPr>
            <w:tcW w:w="552" w:type="pct"/>
            <w:vAlign w:val="center"/>
          </w:tcPr>
          <w:p w14:paraId="69BCD36F">
            <w:pPr>
              <w:pStyle w:val="92"/>
              <w:rPr>
                <w:color w:val="auto"/>
                <w:highlight w:val="none"/>
                <w:u w:val="none"/>
              </w:rPr>
            </w:pPr>
            <w:r>
              <w:rPr>
                <w:color w:val="auto"/>
                <w:highlight w:val="none"/>
                <w:u w:val="none"/>
              </w:rPr>
              <w:t>6~9</w:t>
            </w:r>
          </w:p>
        </w:tc>
        <w:tc>
          <w:tcPr>
            <w:tcW w:w="549" w:type="pct"/>
            <w:vAlign w:val="center"/>
          </w:tcPr>
          <w:p w14:paraId="0C9AFA21">
            <w:pPr>
              <w:pStyle w:val="92"/>
              <w:rPr>
                <w:color w:val="auto"/>
                <w:kern w:val="0"/>
                <w:highlight w:val="none"/>
                <w:u w:val="none"/>
              </w:rPr>
            </w:pPr>
            <w:r>
              <w:rPr>
                <w:color w:val="auto"/>
                <w:highlight w:val="none"/>
                <w:u w:val="none"/>
              </w:rPr>
              <w:t>6~9</w:t>
            </w:r>
          </w:p>
        </w:tc>
      </w:tr>
      <w:tr w14:paraId="5B090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65D2BB90">
            <w:pPr>
              <w:pStyle w:val="92"/>
              <w:rPr>
                <w:color w:val="auto"/>
                <w:kern w:val="0"/>
                <w:highlight w:val="none"/>
                <w:u w:val="none"/>
              </w:rPr>
            </w:pPr>
            <w:r>
              <w:rPr>
                <w:color w:val="auto"/>
                <w:highlight w:val="none"/>
                <w:u w:val="none"/>
              </w:rPr>
              <w:t>2</w:t>
            </w:r>
          </w:p>
        </w:tc>
        <w:tc>
          <w:tcPr>
            <w:tcW w:w="457" w:type="pct"/>
            <w:vAlign w:val="center"/>
          </w:tcPr>
          <w:p w14:paraId="607278F3">
            <w:pPr>
              <w:pStyle w:val="92"/>
              <w:rPr>
                <w:color w:val="auto"/>
                <w:kern w:val="0"/>
                <w:highlight w:val="none"/>
                <w:u w:val="none"/>
              </w:rPr>
            </w:pPr>
            <w:r>
              <w:rPr>
                <w:color w:val="auto"/>
                <w:highlight w:val="none"/>
                <w:u w:val="none"/>
              </w:rPr>
              <w:t>SS</w:t>
            </w:r>
          </w:p>
        </w:tc>
        <w:tc>
          <w:tcPr>
            <w:tcW w:w="931" w:type="pct"/>
            <w:vAlign w:val="center"/>
          </w:tcPr>
          <w:p w14:paraId="2296E2DD">
            <w:pPr>
              <w:pStyle w:val="92"/>
              <w:rPr>
                <w:color w:val="auto"/>
                <w:kern w:val="0"/>
                <w:highlight w:val="none"/>
                <w:u w:val="none"/>
              </w:rPr>
            </w:pPr>
            <w:r>
              <w:rPr>
                <w:color w:val="auto"/>
                <w:highlight w:val="none"/>
                <w:u w:val="none"/>
              </w:rPr>
              <w:t>70</w:t>
            </w:r>
          </w:p>
        </w:tc>
        <w:tc>
          <w:tcPr>
            <w:tcW w:w="838" w:type="pct"/>
            <w:vAlign w:val="center"/>
          </w:tcPr>
          <w:p w14:paraId="1189F0EF">
            <w:pPr>
              <w:pStyle w:val="92"/>
              <w:rPr>
                <w:color w:val="auto"/>
                <w:kern w:val="0"/>
                <w:highlight w:val="none"/>
                <w:u w:val="none"/>
              </w:rPr>
            </w:pPr>
            <w:r>
              <w:rPr>
                <w:color w:val="auto"/>
                <w:highlight w:val="none"/>
                <w:u w:val="none"/>
              </w:rPr>
              <w:t>30</w:t>
            </w:r>
          </w:p>
        </w:tc>
        <w:tc>
          <w:tcPr>
            <w:tcW w:w="698" w:type="pct"/>
            <w:vAlign w:val="center"/>
          </w:tcPr>
          <w:p w14:paraId="73ECC096">
            <w:pPr>
              <w:pStyle w:val="92"/>
              <w:rPr>
                <w:color w:val="auto"/>
                <w:kern w:val="0"/>
                <w:highlight w:val="none"/>
                <w:u w:val="none"/>
              </w:rPr>
            </w:pPr>
            <w:r>
              <w:rPr>
                <w:color w:val="auto"/>
                <w:kern w:val="0"/>
                <w:highlight w:val="none"/>
                <w:u w:val="none"/>
              </w:rPr>
              <w:t>50</w:t>
            </w:r>
          </w:p>
        </w:tc>
        <w:tc>
          <w:tcPr>
            <w:tcW w:w="698" w:type="pct"/>
            <w:vAlign w:val="center"/>
          </w:tcPr>
          <w:p w14:paraId="5CA52A6F">
            <w:pPr>
              <w:pStyle w:val="92"/>
              <w:rPr>
                <w:color w:val="auto"/>
                <w:highlight w:val="none"/>
                <w:u w:val="none"/>
              </w:rPr>
            </w:pPr>
            <w:r>
              <w:rPr>
                <w:color w:val="auto"/>
                <w:highlight w:val="none"/>
                <w:u w:val="none"/>
              </w:rPr>
              <w:t>10</w:t>
            </w:r>
          </w:p>
        </w:tc>
        <w:tc>
          <w:tcPr>
            <w:tcW w:w="552" w:type="pct"/>
            <w:vAlign w:val="center"/>
          </w:tcPr>
          <w:p w14:paraId="328CB91D">
            <w:pPr>
              <w:pStyle w:val="92"/>
              <w:rPr>
                <w:color w:val="auto"/>
                <w:highlight w:val="none"/>
                <w:u w:val="none"/>
              </w:rPr>
            </w:pPr>
            <w:r>
              <w:rPr>
                <w:rFonts w:hint="eastAsia"/>
                <w:color w:val="auto"/>
                <w:highlight w:val="none"/>
                <w:u w:val="none"/>
              </w:rPr>
              <w:t>70</w:t>
            </w:r>
          </w:p>
        </w:tc>
        <w:tc>
          <w:tcPr>
            <w:tcW w:w="549" w:type="pct"/>
            <w:vAlign w:val="center"/>
          </w:tcPr>
          <w:p w14:paraId="4759CC8D">
            <w:pPr>
              <w:pStyle w:val="92"/>
              <w:rPr>
                <w:color w:val="auto"/>
                <w:kern w:val="0"/>
                <w:highlight w:val="none"/>
                <w:u w:val="none"/>
              </w:rPr>
            </w:pPr>
            <w:r>
              <w:rPr>
                <w:color w:val="auto"/>
                <w:highlight w:val="none"/>
                <w:u w:val="none"/>
              </w:rPr>
              <w:t>10</w:t>
            </w:r>
          </w:p>
        </w:tc>
      </w:tr>
      <w:tr w14:paraId="58007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04D548DD">
            <w:pPr>
              <w:pStyle w:val="92"/>
              <w:rPr>
                <w:color w:val="auto"/>
                <w:kern w:val="0"/>
                <w:highlight w:val="none"/>
                <w:u w:val="none"/>
              </w:rPr>
            </w:pPr>
            <w:r>
              <w:rPr>
                <w:color w:val="auto"/>
                <w:highlight w:val="none"/>
                <w:u w:val="none"/>
              </w:rPr>
              <w:t>3</w:t>
            </w:r>
          </w:p>
        </w:tc>
        <w:tc>
          <w:tcPr>
            <w:tcW w:w="457" w:type="pct"/>
            <w:vAlign w:val="center"/>
          </w:tcPr>
          <w:p w14:paraId="0558E95B">
            <w:pPr>
              <w:pStyle w:val="92"/>
              <w:rPr>
                <w:color w:val="auto"/>
                <w:kern w:val="0"/>
                <w:highlight w:val="none"/>
                <w:u w:val="none"/>
              </w:rPr>
            </w:pPr>
            <w:r>
              <w:rPr>
                <w:color w:val="auto"/>
                <w:highlight w:val="none"/>
                <w:u w:val="none"/>
              </w:rPr>
              <w:t>COD</w:t>
            </w:r>
          </w:p>
        </w:tc>
        <w:tc>
          <w:tcPr>
            <w:tcW w:w="931" w:type="pct"/>
            <w:vAlign w:val="center"/>
          </w:tcPr>
          <w:p w14:paraId="3EFCFBD6">
            <w:pPr>
              <w:pStyle w:val="92"/>
              <w:rPr>
                <w:color w:val="auto"/>
                <w:kern w:val="0"/>
                <w:highlight w:val="none"/>
                <w:u w:val="none"/>
              </w:rPr>
            </w:pPr>
            <w:r>
              <w:rPr>
                <w:color w:val="auto"/>
                <w:highlight w:val="none"/>
                <w:u w:val="none"/>
              </w:rPr>
              <w:t>60</w:t>
            </w:r>
          </w:p>
        </w:tc>
        <w:tc>
          <w:tcPr>
            <w:tcW w:w="838" w:type="pct"/>
            <w:vAlign w:val="center"/>
          </w:tcPr>
          <w:p w14:paraId="0A5607ED">
            <w:pPr>
              <w:pStyle w:val="92"/>
              <w:rPr>
                <w:color w:val="auto"/>
                <w:kern w:val="0"/>
                <w:highlight w:val="none"/>
                <w:u w:val="none"/>
              </w:rPr>
            </w:pPr>
            <w:r>
              <w:rPr>
                <w:color w:val="auto"/>
                <w:highlight w:val="none"/>
                <w:u w:val="none"/>
              </w:rPr>
              <w:t>60</w:t>
            </w:r>
          </w:p>
        </w:tc>
        <w:tc>
          <w:tcPr>
            <w:tcW w:w="698" w:type="pct"/>
            <w:vAlign w:val="center"/>
          </w:tcPr>
          <w:p w14:paraId="217AD801">
            <w:pPr>
              <w:pStyle w:val="92"/>
              <w:rPr>
                <w:color w:val="auto"/>
                <w:kern w:val="0"/>
                <w:highlight w:val="none"/>
                <w:u w:val="none"/>
              </w:rPr>
            </w:pPr>
            <w:r>
              <w:rPr>
                <w:color w:val="auto"/>
                <w:kern w:val="0"/>
                <w:highlight w:val="none"/>
                <w:u w:val="none"/>
              </w:rPr>
              <w:t>80</w:t>
            </w:r>
          </w:p>
        </w:tc>
        <w:tc>
          <w:tcPr>
            <w:tcW w:w="698" w:type="pct"/>
            <w:vAlign w:val="center"/>
          </w:tcPr>
          <w:p w14:paraId="00BD6E17">
            <w:pPr>
              <w:pStyle w:val="92"/>
              <w:rPr>
                <w:color w:val="auto"/>
                <w:highlight w:val="none"/>
                <w:u w:val="none"/>
              </w:rPr>
            </w:pPr>
            <w:r>
              <w:rPr>
                <w:color w:val="auto"/>
                <w:highlight w:val="none"/>
                <w:u w:val="none"/>
              </w:rPr>
              <w:t>50</w:t>
            </w:r>
          </w:p>
        </w:tc>
        <w:tc>
          <w:tcPr>
            <w:tcW w:w="552" w:type="pct"/>
            <w:vAlign w:val="center"/>
          </w:tcPr>
          <w:p w14:paraId="19BEC0B7">
            <w:pPr>
              <w:pStyle w:val="92"/>
              <w:rPr>
                <w:color w:val="auto"/>
                <w:highlight w:val="none"/>
                <w:u w:val="none"/>
              </w:rPr>
            </w:pPr>
            <w:r>
              <w:rPr>
                <w:rFonts w:hint="eastAsia"/>
                <w:color w:val="auto"/>
                <w:highlight w:val="none"/>
                <w:u w:val="none"/>
              </w:rPr>
              <w:t>60</w:t>
            </w:r>
          </w:p>
        </w:tc>
        <w:tc>
          <w:tcPr>
            <w:tcW w:w="549" w:type="pct"/>
            <w:vAlign w:val="center"/>
          </w:tcPr>
          <w:p w14:paraId="7E352605">
            <w:pPr>
              <w:pStyle w:val="92"/>
              <w:rPr>
                <w:color w:val="auto"/>
                <w:kern w:val="0"/>
                <w:highlight w:val="none"/>
                <w:u w:val="none"/>
              </w:rPr>
            </w:pPr>
            <w:r>
              <w:rPr>
                <w:color w:val="auto"/>
                <w:highlight w:val="none"/>
                <w:u w:val="none"/>
              </w:rPr>
              <w:t>50</w:t>
            </w:r>
          </w:p>
        </w:tc>
      </w:tr>
      <w:tr w14:paraId="2AA31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5999D8FF">
            <w:pPr>
              <w:pStyle w:val="92"/>
              <w:rPr>
                <w:color w:val="auto"/>
                <w:highlight w:val="none"/>
                <w:u w:val="none"/>
              </w:rPr>
            </w:pPr>
            <w:r>
              <w:rPr>
                <w:color w:val="auto"/>
                <w:highlight w:val="none"/>
                <w:u w:val="none"/>
              </w:rPr>
              <w:t>4</w:t>
            </w:r>
          </w:p>
        </w:tc>
        <w:tc>
          <w:tcPr>
            <w:tcW w:w="457" w:type="pct"/>
            <w:vAlign w:val="center"/>
          </w:tcPr>
          <w:p w14:paraId="7E268D91">
            <w:pPr>
              <w:pStyle w:val="92"/>
              <w:rPr>
                <w:color w:val="auto"/>
                <w:highlight w:val="none"/>
                <w:u w:val="none"/>
              </w:rPr>
            </w:pPr>
            <w:r>
              <w:rPr>
                <w:rFonts w:hint="eastAsia"/>
                <w:color w:val="auto"/>
                <w:highlight w:val="none"/>
                <w:u w:val="none"/>
              </w:rPr>
              <w:t>TOC</w:t>
            </w:r>
          </w:p>
        </w:tc>
        <w:tc>
          <w:tcPr>
            <w:tcW w:w="931" w:type="pct"/>
            <w:vAlign w:val="center"/>
          </w:tcPr>
          <w:p w14:paraId="2811F933">
            <w:pPr>
              <w:pStyle w:val="92"/>
              <w:rPr>
                <w:color w:val="auto"/>
                <w:highlight w:val="none"/>
                <w:u w:val="none"/>
              </w:rPr>
            </w:pPr>
            <w:r>
              <w:rPr>
                <w:rFonts w:hint="eastAsia"/>
                <w:color w:val="auto"/>
                <w:highlight w:val="none"/>
                <w:u w:val="none"/>
              </w:rPr>
              <w:t>20</w:t>
            </w:r>
          </w:p>
        </w:tc>
        <w:tc>
          <w:tcPr>
            <w:tcW w:w="838" w:type="pct"/>
            <w:vAlign w:val="center"/>
          </w:tcPr>
          <w:p w14:paraId="5491E760">
            <w:pPr>
              <w:pStyle w:val="92"/>
              <w:rPr>
                <w:color w:val="auto"/>
                <w:highlight w:val="none"/>
                <w:u w:val="none"/>
              </w:rPr>
            </w:pPr>
            <w:r>
              <w:rPr>
                <w:rFonts w:hint="eastAsia"/>
                <w:color w:val="auto"/>
                <w:highlight w:val="none"/>
                <w:u w:val="none"/>
              </w:rPr>
              <w:t>/</w:t>
            </w:r>
          </w:p>
        </w:tc>
        <w:tc>
          <w:tcPr>
            <w:tcW w:w="698" w:type="pct"/>
            <w:vAlign w:val="center"/>
          </w:tcPr>
          <w:p w14:paraId="7C664382">
            <w:pPr>
              <w:pStyle w:val="92"/>
              <w:rPr>
                <w:color w:val="auto"/>
                <w:kern w:val="0"/>
                <w:highlight w:val="none"/>
                <w:u w:val="none"/>
              </w:rPr>
            </w:pPr>
            <w:r>
              <w:rPr>
                <w:rFonts w:hint="eastAsia"/>
                <w:color w:val="auto"/>
                <w:kern w:val="0"/>
                <w:highlight w:val="none"/>
                <w:u w:val="none"/>
              </w:rPr>
              <w:t>/</w:t>
            </w:r>
          </w:p>
        </w:tc>
        <w:tc>
          <w:tcPr>
            <w:tcW w:w="698" w:type="pct"/>
            <w:vAlign w:val="center"/>
          </w:tcPr>
          <w:p w14:paraId="7A38D92B">
            <w:pPr>
              <w:pStyle w:val="92"/>
              <w:rPr>
                <w:color w:val="auto"/>
                <w:highlight w:val="none"/>
                <w:u w:val="none"/>
              </w:rPr>
            </w:pPr>
            <w:r>
              <w:rPr>
                <w:rFonts w:hint="eastAsia"/>
                <w:color w:val="auto"/>
                <w:highlight w:val="none"/>
                <w:u w:val="none"/>
              </w:rPr>
              <w:t>/</w:t>
            </w:r>
          </w:p>
        </w:tc>
        <w:tc>
          <w:tcPr>
            <w:tcW w:w="552" w:type="pct"/>
            <w:vAlign w:val="center"/>
          </w:tcPr>
          <w:p w14:paraId="37A16EA7">
            <w:pPr>
              <w:pStyle w:val="92"/>
              <w:rPr>
                <w:color w:val="auto"/>
                <w:highlight w:val="none"/>
                <w:u w:val="none"/>
              </w:rPr>
            </w:pPr>
            <w:r>
              <w:rPr>
                <w:rFonts w:hint="eastAsia"/>
                <w:color w:val="auto"/>
                <w:highlight w:val="none"/>
                <w:u w:val="none"/>
              </w:rPr>
              <w:t>20</w:t>
            </w:r>
          </w:p>
        </w:tc>
        <w:tc>
          <w:tcPr>
            <w:tcW w:w="549" w:type="pct"/>
            <w:vAlign w:val="center"/>
          </w:tcPr>
          <w:p w14:paraId="71F04C11">
            <w:pPr>
              <w:pStyle w:val="92"/>
              <w:rPr>
                <w:color w:val="auto"/>
                <w:highlight w:val="none"/>
                <w:u w:val="none"/>
              </w:rPr>
            </w:pPr>
            <w:r>
              <w:rPr>
                <w:rFonts w:hint="eastAsia"/>
                <w:color w:val="auto"/>
                <w:highlight w:val="none"/>
                <w:u w:val="none"/>
              </w:rPr>
              <w:t>20</w:t>
            </w:r>
          </w:p>
        </w:tc>
      </w:tr>
      <w:tr w14:paraId="104DE2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2566F4C8">
            <w:pPr>
              <w:pStyle w:val="92"/>
              <w:rPr>
                <w:color w:val="auto"/>
                <w:kern w:val="0"/>
                <w:highlight w:val="none"/>
                <w:u w:val="none"/>
              </w:rPr>
            </w:pPr>
            <w:r>
              <w:rPr>
                <w:color w:val="auto"/>
                <w:highlight w:val="none"/>
                <w:u w:val="none"/>
              </w:rPr>
              <w:t>5</w:t>
            </w:r>
          </w:p>
        </w:tc>
        <w:tc>
          <w:tcPr>
            <w:tcW w:w="457" w:type="pct"/>
            <w:vAlign w:val="center"/>
          </w:tcPr>
          <w:p w14:paraId="79C9766B">
            <w:pPr>
              <w:pStyle w:val="92"/>
              <w:rPr>
                <w:color w:val="auto"/>
                <w:kern w:val="0"/>
                <w:highlight w:val="none"/>
                <w:u w:val="none"/>
              </w:rPr>
            </w:pPr>
            <w:r>
              <w:rPr>
                <w:color w:val="auto"/>
                <w:highlight w:val="none"/>
                <w:u w:val="none"/>
              </w:rPr>
              <w:t>BOD</w:t>
            </w:r>
            <w:r>
              <w:rPr>
                <w:color w:val="auto"/>
                <w:highlight w:val="none"/>
                <w:u w:val="none"/>
                <w:vertAlign w:val="subscript"/>
              </w:rPr>
              <w:t>5</w:t>
            </w:r>
          </w:p>
        </w:tc>
        <w:tc>
          <w:tcPr>
            <w:tcW w:w="931" w:type="pct"/>
            <w:vAlign w:val="center"/>
          </w:tcPr>
          <w:p w14:paraId="40D0D7F0">
            <w:pPr>
              <w:pStyle w:val="92"/>
              <w:rPr>
                <w:color w:val="auto"/>
                <w:kern w:val="0"/>
                <w:highlight w:val="none"/>
                <w:u w:val="none"/>
              </w:rPr>
            </w:pPr>
            <w:r>
              <w:rPr>
                <w:color w:val="auto"/>
                <w:highlight w:val="none"/>
                <w:u w:val="none"/>
              </w:rPr>
              <w:t>20</w:t>
            </w:r>
          </w:p>
        </w:tc>
        <w:tc>
          <w:tcPr>
            <w:tcW w:w="838" w:type="pct"/>
            <w:vAlign w:val="center"/>
          </w:tcPr>
          <w:p w14:paraId="26F8EFC6">
            <w:pPr>
              <w:pStyle w:val="92"/>
              <w:rPr>
                <w:color w:val="auto"/>
                <w:kern w:val="0"/>
                <w:highlight w:val="none"/>
                <w:u w:val="none"/>
              </w:rPr>
            </w:pPr>
            <w:r>
              <w:rPr>
                <w:color w:val="auto"/>
                <w:highlight w:val="none"/>
                <w:u w:val="none"/>
              </w:rPr>
              <w:t>20</w:t>
            </w:r>
          </w:p>
        </w:tc>
        <w:tc>
          <w:tcPr>
            <w:tcW w:w="698" w:type="pct"/>
            <w:vAlign w:val="center"/>
          </w:tcPr>
          <w:p w14:paraId="371353C0">
            <w:pPr>
              <w:pStyle w:val="92"/>
              <w:rPr>
                <w:color w:val="auto"/>
                <w:kern w:val="0"/>
                <w:highlight w:val="none"/>
                <w:u w:val="none"/>
              </w:rPr>
            </w:pPr>
            <w:r>
              <w:rPr>
                <w:color w:val="auto"/>
                <w:kern w:val="0"/>
                <w:highlight w:val="none"/>
                <w:u w:val="none"/>
              </w:rPr>
              <w:t>/</w:t>
            </w:r>
          </w:p>
        </w:tc>
        <w:tc>
          <w:tcPr>
            <w:tcW w:w="698" w:type="pct"/>
            <w:vAlign w:val="center"/>
          </w:tcPr>
          <w:p w14:paraId="7B80B7E6">
            <w:pPr>
              <w:pStyle w:val="92"/>
              <w:rPr>
                <w:color w:val="auto"/>
                <w:highlight w:val="none"/>
                <w:u w:val="none"/>
              </w:rPr>
            </w:pPr>
            <w:r>
              <w:rPr>
                <w:color w:val="auto"/>
                <w:highlight w:val="none"/>
                <w:u w:val="none"/>
              </w:rPr>
              <w:t>10</w:t>
            </w:r>
          </w:p>
        </w:tc>
        <w:tc>
          <w:tcPr>
            <w:tcW w:w="552" w:type="pct"/>
            <w:vAlign w:val="center"/>
          </w:tcPr>
          <w:p w14:paraId="01FBCEBA">
            <w:pPr>
              <w:pStyle w:val="92"/>
              <w:rPr>
                <w:color w:val="auto"/>
                <w:highlight w:val="none"/>
                <w:u w:val="none"/>
              </w:rPr>
            </w:pPr>
            <w:r>
              <w:rPr>
                <w:rFonts w:hint="eastAsia"/>
                <w:color w:val="auto"/>
                <w:highlight w:val="none"/>
                <w:u w:val="none"/>
              </w:rPr>
              <w:t>20</w:t>
            </w:r>
          </w:p>
        </w:tc>
        <w:tc>
          <w:tcPr>
            <w:tcW w:w="549" w:type="pct"/>
            <w:vAlign w:val="center"/>
          </w:tcPr>
          <w:p w14:paraId="141BF9E1">
            <w:pPr>
              <w:pStyle w:val="92"/>
              <w:rPr>
                <w:color w:val="auto"/>
                <w:kern w:val="0"/>
                <w:highlight w:val="none"/>
                <w:u w:val="none"/>
              </w:rPr>
            </w:pPr>
            <w:r>
              <w:rPr>
                <w:color w:val="auto"/>
                <w:highlight w:val="none"/>
                <w:u w:val="none"/>
              </w:rPr>
              <w:t>10</w:t>
            </w:r>
          </w:p>
        </w:tc>
      </w:tr>
      <w:tr w14:paraId="4907B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16E46C8D">
            <w:pPr>
              <w:pStyle w:val="92"/>
              <w:rPr>
                <w:color w:val="auto"/>
                <w:kern w:val="0"/>
                <w:highlight w:val="none"/>
                <w:u w:val="none"/>
              </w:rPr>
            </w:pPr>
            <w:r>
              <w:rPr>
                <w:color w:val="auto"/>
                <w:highlight w:val="none"/>
                <w:u w:val="none"/>
              </w:rPr>
              <w:t>6</w:t>
            </w:r>
          </w:p>
        </w:tc>
        <w:tc>
          <w:tcPr>
            <w:tcW w:w="457" w:type="pct"/>
            <w:vAlign w:val="center"/>
          </w:tcPr>
          <w:p w14:paraId="5425206F">
            <w:pPr>
              <w:pStyle w:val="92"/>
              <w:rPr>
                <w:color w:val="auto"/>
                <w:kern w:val="0"/>
                <w:highlight w:val="none"/>
                <w:u w:val="none"/>
              </w:rPr>
            </w:pPr>
            <w:r>
              <w:rPr>
                <w:color w:val="auto"/>
                <w:highlight w:val="none"/>
                <w:u w:val="none"/>
              </w:rPr>
              <w:t>氨氮</w:t>
            </w:r>
          </w:p>
        </w:tc>
        <w:tc>
          <w:tcPr>
            <w:tcW w:w="931" w:type="pct"/>
            <w:vAlign w:val="center"/>
          </w:tcPr>
          <w:p w14:paraId="2F5A198B">
            <w:pPr>
              <w:pStyle w:val="92"/>
              <w:rPr>
                <w:color w:val="auto"/>
                <w:kern w:val="0"/>
                <w:highlight w:val="none"/>
                <w:u w:val="none"/>
              </w:rPr>
            </w:pPr>
            <w:r>
              <w:rPr>
                <w:color w:val="auto"/>
                <w:highlight w:val="none"/>
                <w:u w:val="none"/>
              </w:rPr>
              <w:t>8</w:t>
            </w:r>
          </w:p>
        </w:tc>
        <w:tc>
          <w:tcPr>
            <w:tcW w:w="838" w:type="pct"/>
            <w:vAlign w:val="center"/>
          </w:tcPr>
          <w:p w14:paraId="2E92AD75">
            <w:pPr>
              <w:pStyle w:val="92"/>
              <w:rPr>
                <w:color w:val="auto"/>
                <w:kern w:val="0"/>
                <w:highlight w:val="none"/>
                <w:u w:val="none"/>
              </w:rPr>
            </w:pPr>
            <w:r>
              <w:rPr>
                <w:color w:val="auto"/>
                <w:highlight w:val="none"/>
                <w:u w:val="none"/>
              </w:rPr>
              <w:t>15</w:t>
            </w:r>
          </w:p>
        </w:tc>
        <w:tc>
          <w:tcPr>
            <w:tcW w:w="698" w:type="pct"/>
            <w:vAlign w:val="center"/>
          </w:tcPr>
          <w:p w14:paraId="4C1531AD">
            <w:pPr>
              <w:pStyle w:val="92"/>
              <w:rPr>
                <w:color w:val="auto"/>
                <w:kern w:val="0"/>
                <w:highlight w:val="none"/>
                <w:u w:val="none"/>
              </w:rPr>
            </w:pPr>
            <w:r>
              <w:rPr>
                <w:color w:val="auto"/>
                <w:kern w:val="0"/>
                <w:highlight w:val="none"/>
                <w:u w:val="none"/>
              </w:rPr>
              <w:t>25</w:t>
            </w:r>
          </w:p>
        </w:tc>
        <w:tc>
          <w:tcPr>
            <w:tcW w:w="698" w:type="pct"/>
            <w:vAlign w:val="center"/>
          </w:tcPr>
          <w:p w14:paraId="641FA152">
            <w:pPr>
              <w:pStyle w:val="92"/>
              <w:rPr>
                <w:color w:val="auto"/>
                <w:highlight w:val="none"/>
                <w:u w:val="none"/>
              </w:rPr>
            </w:pPr>
            <w:r>
              <w:rPr>
                <w:color w:val="auto"/>
                <w:highlight w:val="none"/>
                <w:u w:val="none"/>
              </w:rPr>
              <w:t>5（8）</w:t>
            </w:r>
            <w:r>
              <w:rPr>
                <w:rFonts w:ascii="Cambria Math" w:hAnsi="Cambria Math" w:cs="Cambria Math"/>
                <w:color w:val="auto"/>
                <w:highlight w:val="none"/>
                <w:u w:val="none"/>
                <w:vertAlign w:val="superscript"/>
              </w:rPr>
              <w:t>①</w:t>
            </w:r>
          </w:p>
        </w:tc>
        <w:tc>
          <w:tcPr>
            <w:tcW w:w="552" w:type="pct"/>
            <w:vAlign w:val="center"/>
          </w:tcPr>
          <w:p w14:paraId="24F033FA">
            <w:pPr>
              <w:pStyle w:val="92"/>
              <w:rPr>
                <w:color w:val="auto"/>
                <w:highlight w:val="none"/>
                <w:u w:val="none"/>
              </w:rPr>
            </w:pPr>
            <w:r>
              <w:rPr>
                <w:rFonts w:hint="eastAsia"/>
                <w:color w:val="auto"/>
                <w:highlight w:val="none"/>
                <w:u w:val="none"/>
              </w:rPr>
              <w:t>15</w:t>
            </w:r>
          </w:p>
        </w:tc>
        <w:tc>
          <w:tcPr>
            <w:tcW w:w="549" w:type="pct"/>
            <w:vAlign w:val="center"/>
          </w:tcPr>
          <w:p w14:paraId="2C7CC113">
            <w:pPr>
              <w:pStyle w:val="92"/>
              <w:rPr>
                <w:color w:val="auto"/>
                <w:kern w:val="0"/>
                <w:highlight w:val="none"/>
                <w:u w:val="none"/>
              </w:rPr>
            </w:pPr>
            <w:r>
              <w:rPr>
                <w:color w:val="auto"/>
                <w:highlight w:val="none"/>
                <w:u w:val="none"/>
              </w:rPr>
              <w:t>5</w:t>
            </w:r>
          </w:p>
        </w:tc>
      </w:tr>
      <w:tr w14:paraId="45C83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487DA2F1">
            <w:pPr>
              <w:pStyle w:val="92"/>
              <w:rPr>
                <w:color w:val="auto"/>
                <w:kern w:val="0"/>
                <w:highlight w:val="none"/>
                <w:u w:val="none"/>
              </w:rPr>
            </w:pPr>
            <w:r>
              <w:rPr>
                <w:color w:val="auto"/>
                <w:highlight w:val="none"/>
                <w:u w:val="none"/>
              </w:rPr>
              <w:t>7</w:t>
            </w:r>
          </w:p>
        </w:tc>
        <w:tc>
          <w:tcPr>
            <w:tcW w:w="457" w:type="pct"/>
            <w:vAlign w:val="center"/>
          </w:tcPr>
          <w:p w14:paraId="16E0CE8C">
            <w:pPr>
              <w:pStyle w:val="92"/>
              <w:rPr>
                <w:color w:val="auto"/>
                <w:kern w:val="0"/>
                <w:highlight w:val="none"/>
                <w:u w:val="none"/>
              </w:rPr>
            </w:pPr>
            <w:r>
              <w:rPr>
                <w:color w:val="auto"/>
                <w:highlight w:val="none"/>
                <w:u w:val="none"/>
              </w:rPr>
              <w:t>总氮</w:t>
            </w:r>
          </w:p>
        </w:tc>
        <w:tc>
          <w:tcPr>
            <w:tcW w:w="931" w:type="pct"/>
            <w:vAlign w:val="center"/>
          </w:tcPr>
          <w:p w14:paraId="49607FEA">
            <w:pPr>
              <w:pStyle w:val="92"/>
              <w:rPr>
                <w:color w:val="auto"/>
                <w:kern w:val="0"/>
                <w:highlight w:val="none"/>
                <w:u w:val="none"/>
              </w:rPr>
            </w:pPr>
            <w:r>
              <w:rPr>
                <w:color w:val="auto"/>
                <w:highlight w:val="none"/>
                <w:u w:val="none"/>
              </w:rPr>
              <w:t>40</w:t>
            </w:r>
          </w:p>
        </w:tc>
        <w:tc>
          <w:tcPr>
            <w:tcW w:w="838" w:type="pct"/>
            <w:vAlign w:val="center"/>
          </w:tcPr>
          <w:p w14:paraId="1618108C">
            <w:pPr>
              <w:pStyle w:val="92"/>
              <w:rPr>
                <w:color w:val="auto"/>
                <w:kern w:val="0"/>
                <w:highlight w:val="none"/>
                <w:u w:val="none"/>
              </w:rPr>
            </w:pPr>
            <w:r>
              <w:rPr>
                <w:color w:val="auto"/>
                <w:highlight w:val="none"/>
                <w:u w:val="none"/>
              </w:rPr>
              <w:t>20</w:t>
            </w:r>
          </w:p>
        </w:tc>
        <w:tc>
          <w:tcPr>
            <w:tcW w:w="698" w:type="pct"/>
            <w:vAlign w:val="center"/>
          </w:tcPr>
          <w:p w14:paraId="343F8AD9">
            <w:pPr>
              <w:pStyle w:val="92"/>
              <w:rPr>
                <w:color w:val="auto"/>
                <w:kern w:val="0"/>
                <w:highlight w:val="none"/>
                <w:u w:val="none"/>
              </w:rPr>
            </w:pPr>
            <w:r>
              <w:rPr>
                <w:color w:val="auto"/>
                <w:kern w:val="0"/>
                <w:highlight w:val="none"/>
                <w:u w:val="none"/>
              </w:rPr>
              <w:t>35</w:t>
            </w:r>
          </w:p>
        </w:tc>
        <w:tc>
          <w:tcPr>
            <w:tcW w:w="698" w:type="pct"/>
            <w:vAlign w:val="center"/>
          </w:tcPr>
          <w:p w14:paraId="04BE8552">
            <w:pPr>
              <w:pStyle w:val="92"/>
              <w:rPr>
                <w:color w:val="auto"/>
                <w:highlight w:val="none"/>
                <w:u w:val="none"/>
              </w:rPr>
            </w:pPr>
            <w:r>
              <w:rPr>
                <w:color w:val="auto"/>
                <w:highlight w:val="none"/>
                <w:u w:val="none"/>
              </w:rPr>
              <w:t>15</w:t>
            </w:r>
          </w:p>
        </w:tc>
        <w:tc>
          <w:tcPr>
            <w:tcW w:w="552" w:type="pct"/>
            <w:vAlign w:val="center"/>
          </w:tcPr>
          <w:p w14:paraId="55981691">
            <w:pPr>
              <w:pStyle w:val="92"/>
              <w:rPr>
                <w:color w:val="auto"/>
                <w:highlight w:val="none"/>
                <w:u w:val="none"/>
              </w:rPr>
            </w:pPr>
            <w:r>
              <w:rPr>
                <w:rFonts w:hint="eastAsia"/>
                <w:color w:val="auto"/>
                <w:highlight w:val="none"/>
                <w:u w:val="none"/>
              </w:rPr>
              <w:t>/</w:t>
            </w:r>
          </w:p>
        </w:tc>
        <w:tc>
          <w:tcPr>
            <w:tcW w:w="549" w:type="pct"/>
            <w:vAlign w:val="center"/>
          </w:tcPr>
          <w:p w14:paraId="1C0D5024">
            <w:pPr>
              <w:pStyle w:val="92"/>
              <w:rPr>
                <w:color w:val="auto"/>
                <w:kern w:val="0"/>
                <w:highlight w:val="none"/>
                <w:u w:val="none"/>
              </w:rPr>
            </w:pPr>
            <w:r>
              <w:rPr>
                <w:color w:val="auto"/>
                <w:highlight w:val="none"/>
                <w:u w:val="none"/>
              </w:rPr>
              <w:t>15</w:t>
            </w:r>
          </w:p>
        </w:tc>
      </w:tr>
      <w:tr w14:paraId="7B78E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2CAB8B88">
            <w:pPr>
              <w:pStyle w:val="92"/>
              <w:rPr>
                <w:color w:val="auto"/>
                <w:kern w:val="0"/>
                <w:highlight w:val="none"/>
                <w:u w:val="none"/>
              </w:rPr>
            </w:pPr>
            <w:r>
              <w:rPr>
                <w:color w:val="auto"/>
                <w:highlight w:val="none"/>
                <w:u w:val="none"/>
              </w:rPr>
              <w:t>8</w:t>
            </w:r>
          </w:p>
        </w:tc>
        <w:tc>
          <w:tcPr>
            <w:tcW w:w="457" w:type="pct"/>
            <w:vAlign w:val="center"/>
          </w:tcPr>
          <w:p w14:paraId="4C14B7FF">
            <w:pPr>
              <w:pStyle w:val="92"/>
              <w:rPr>
                <w:color w:val="auto"/>
                <w:kern w:val="0"/>
                <w:highlight w:val="none"/>
                <w:u w:val="none"/>
              </w:rPr>
            </w:pPr>
            <w:r>
              <w:rPr>
                <w:color w:val="auto"/>
                <w:highlight w:val="none"/>
                <w:u w:val="none"/>
              </w:rPr>
              <w:t>总磷</w:t>
            </w:r>
          </w:p>
        </w:tc>
        <w:tc>
          <w:tcPr>
            <w:tcW w:w="931" w:type="pct"/>
            <w:vAlign w:val="center"/>
          </w:tcPr>
          <w:p w14:paraId="51E39870">
            <w:pPr>
              <w:pStyle w:val="92"/>
              <w:rPr>
                <w:color w:val="auto"/>
                <w:kern w:val="0"/>
                <w:highlight w:val="none"/>
                <w:u w:val="none"/>
              </w:rPr>
            </w:pPr>
            <w:r>
              <w:rPr>
                <w:color w:val="auto"/>
                <w:highlight w:val="none"/>
                <w:u w:val="none"/>
              </w:rPr>
              <w:t>1.0</w:t>
            </w:r>
          </w:p>
        </w:tc>
        <w:tc>
          <w:tcPr>
            <w:tcW w:w="838" w:type="pct"/>
            <w:vAlign w:val="center"/>
          </w:tcPr>
          <w:p w14:paraId="235BE29F">
            <w:pPr>
              <w:pStyle w:val="92"/>
              <w:rPr>
                <w:color w:val="auto"/>
                <w:kern w:val="0"/>
                <w:highlight w:val="none"/>
                <w:u w:val="none"/>
              </w:rPr>
            </w:pPr>
            <w:r>
              <w:rPr>
                <w:color w:val="auto"/>
                <w:highlight w:val="none"/>
                <w:u w:val="none"/>
              </w:rPr>
              <w:t>1.0</w:t>
            </w:r>
          </w:p>
        </w:tc>
        <w:tc>
          <w:tcPr>
            <w:tcW w:w="698" w:type="pct"/>
            <w:vAlign w:val="center"/>
          </w:tcPr>
          <w:p w14:paraId="1711B0C0">
            <w:pPr>
              <w:pStyle w:val="92"/>
              <w:rPr>
                <w:color w:val="auto"/>
                <w:kern w:val="0"/>
                <w:highlight w:val="none"/>
                <w:u w:val="none"/>
              </w:rPr>
            </w:pPr>
            <w:r>
              <w:rPr>
                <w:color w:val="auto"/>
                <w:kern w:val="0"/>
                <w:highlight w:val="none"/>
                <w:u w:val="none"/>
              </w:rPr>
              <w:t>0.5</w:t>
            </w:r>
          </w:p>
        </w:tc>
        <w:tc>
          <w:tcPr>
            <w:tcW w:w="698" w:type="pct"/>
            <w:vAlign w:val="center"/>
          </w:tcPr>
          <w:p w14:paraId="1CB67810">
            <w:pPr>
              <w:pStyle w:val="92"/>
              <w:rPr>
                <w:color w:val="auto"/>
                <w:highlight w:val="none"/>
                <w:u w:val="none"/>
              </w:rPr>
            </w:pPr>
            <w:r>
              <w:rPr>
                <w:color w:val="auto"/>
                <w:highlight w:val="none"/>
                <w:u w:val="none"/>
              </w:rPr>
              <w:t>0.5</w:t>
            </w:r>
          </w:p>
        </w:tc>
        <w:tc>
          <w:tcPr>
            <w:tcW w:w="552" w:type="pct"/>
            <w:vAlign w:val="center"/>
          </w:tcPr>
          <w:p w14:paraId="0337F6A0">
            <w:pPr>
              <w:pStyle w:val="92"/>
              <w:rPr>
                <w:color w:val="auto"/>
                <w:highlight w:val="none"/>
                <w:u w:val="none"/>
              </w:rPr>
            </w:pPr>
            <w:r>
              <w:rPr>
                <w:rFonts w:hint="eastAsia"/>
                <w:color w:val="auto"/>
                <w:highlight w:val="none"/>
                <w:u w:val="none"/>
              </w:rPr>
              <w:t>0.5</w:t>
            </w:r>
          </w:p>
        </w:tc>
        <w:tc>
          <w:tcPr>
            <w:tcW w:w="549" w:type="pct"/>
            <w:vAlign w:val="center"/>
          </w:tcPr>
          <w:p w14:paraId="1F28CE23">
            <w:pPr>
              <w:pStyle w:val="92"/>
              <w:rPr>
                <w:color w:val="auto"/>
                <w:kern w:val="0"/>
                <w:highlight w:val="none"/>
                <w:u w:val="none"/>
              </w:rPr>
            </w:pPr>
            <w:r>
              <w:rPr>
                <w:color w:val="auto"/>
                <w:highlight w:val="none"/>
                <w:u w:val="none"/>
              </w:rPr>
              <w:t>0.5</w:t>
            </w:r>
          </w:p>
        </w:tc>
      </w:tr>
      <w:tr w14:paraId="01A9B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67C6A1E1">
            <w:pPr>
              <w:pStyle w:val="92"/>
              <w:rPr>
                <w:color w:val="auto"/>
                <w:kern w:val="0"/>
                <w:highlight w:val="none"/>
                <w:u w:val="none"/>
              </w:rPr>
            </w:pPr>
            <w:r>
              <w:rPr>
                <w:color w:val="auto"/>
                <w:highlight w:val="none"/>
                <w:u w:val="none"/>
              </w:rPr>
              <w:t>9</w:t>
            </w:r>
          </w:p>
        </w:tc>
        <w:tc>
          <w:tcPr>
            <w:tcW w:w="457" w:type="pct"/>
            <w:vAlign w:val="center"/>
          </w:tcPr>
          <w:p w14:paraId="4A3D2043">
            <w:pPr>
              <w:pStyle w:val="92"/>
              <w:rPr>
                <w:color w:val="auto"/>
                <w:kern w:val="0"/>
                <w:highlight w:val="none"/>
                <w:u w:val="none"/>
              </w:rPr>
            </w:pPr>
            <w:r>
              <w:rPr>
                <w:color w:val="auto"/>
                <w:highlight w:val="none"/>
                <w:u w:val="none"/>
              </w:rPr>
              <w:t>石油类</w:t>
            </w:r>
          </w:p>
        </w:tc>
        <w:tc>
          <w:tcPr>
            <w:tcW w:w="931" w:type="pct"/>
            <w:vAlign w:val="center"/>
          </w:tcPr>
          <w:p w14:paraId="260B76EB">
            <w:pPr>
              <w:pStyle w:val="92"/>
              <w:rPr>
                <w:color w:val="auto"/>
                <w:kern w:val="0"/>
                <w:highlight w:val="none"/>
                <w:u w:val="none"/>
              </w:rPr>
            </w:pPr>
            <w:r>
              <w:rPr>
                <w:color w:val="auto"/>
                <w:highlight w:val="none"/>
                <w:u w:val="none"/>
              </w:rPr>
              <w:t>5.0</w:t>
            </w:r>
          </w:p>
        </w:tc>
        <w:tc>
          <w:tcPr>
            <w:tcW w:w="838" w:type="pct"/>
            <w:vAlign w:val="center"/>
          </w:tcPr>
          <w:p w14:paraId="20DDE147">
            <w:pPr>
              <w:pStyle w:val="92"/>
              <w:rPr>
                <w:color w:val="auto"/>
                <w:kern w:val="0"/>
                <w:highlight w:val="none"/>
                <w:u w:val="none"/>
              </w:rPr>
            </w:pPr>
            <w:r>
              <w:rPr>
                <w:color w:val="auto"/>
                <w:highlight w:val="none"/>
                <w:u w:val="none"/>
              </w:rPr>
              <w:t>3</w:t>
            </w:r>
          </w:p>
        </w:tc>
        <w:tc>
          <w:tcPr>
            <w:tcW w:w="698" w:type="pct"/>
            <w:vAlign w:val="center"/>
          </w:tcPr>
          <w:p w14:paraId="7B181457">
            <w:pPr>
              <w:pStyle w:val="92"/>
              <w:rPr>
                <w:color w:val="auto"/>
                <w:kern w:val="0"/>
                <w:highlight w:val="none"/>
                <w:u w:val="none"/>
              </w:rPr>
            </w:pPr>
            <w:r>
              <w:rPr>
                <w:color w:val="auto"/>
                <w:kern w:val="0"/>
                <w:highlight w:val="none"/>
                <w:u w:val="none"/>
              </w:rPr>
              <w:t>3</w:t>
            </w:r>
          </w:p>
        </w:tc>
        <w:tc>
          <w:tcPr>
            <w:tcW w:w="698" w:type="pct"/>
            <w:vAlign w:val="center"/>
          </w:tcPr>
          <w:p w14:paraId="65D14C9B">
            <w:pPr>
              <w:pStyle w:val="92"/>
              <w:rPr>
                <w:color w:val="auto"/>
                <w:highlight w:val="none"/>
                <w:u w:val="none"/>
              </w:rPr>
            </w:pPr>
            <w:r>
              <w:rPr>
                <w:color w:val="auto"/>
                <w:highlight w:val="none"/>
                <w:u w:val="none"/>
              </w:rPr>
              <w:t>1</w:t>
            </w:r>
          </w:p>
        </w:tc>
        <w:tc>
          <w:tcPr>
            <w:tcW w:w="552" w:type="pct"/>
            <w:vAlign w:val="center"/>
          </w:tcPr>
          <w:p w14:paraId="486E3EBE">
            <w:pPr>
              <w:pStyle w:val="92"/>
              <w:rPr>
                <w:color w:val="auto"/>
                <w:highlight w:val="none"/>
                <w:u w:val="none"/>
              </w:rPr>
            </w:pPr>
            <w:r>
              <w:rPr>
                <w:rFonts w:hint="eastAsia"/>
                <w:color w:val="auto"/>
                <w:highlight w:val="none"/>
                <w:u w:val="none"/>
              </w:rPr>
              <w:t>5</w:t>
            </w:r>
          </w:p>
        </w:tc>
        <w:tc>
          <w:tcPr>
            <w:tcW w:w="549" w:type="pct"/>
            <w:vAlign w:val="center"/>
          </w:tcPr>
          <w:p w14:paraId="2974D204">
            <w:pPr>
              <w:pStyle w:val="92"/>
              <w:rPr>
                <w:color w:val="auto"/>
                <w:kern w:val="0"/>
                <w:highlight w:val="none"/>
                <w:u w:val="none"/>
              </w:rPr>
            </w:pPr>
            <w:r>
              <w:rPr>
                <w:color w:val="auto"/>
                <w:highlight w:val="none"/>
                <w:u w:val="none"/>
              </w:rPr>
              <w:t>1</w:t>
            </w:r>
          </w:p>
        </w:tc>
      </w:tr>
      <w:tr w14:paraId="6E03E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672BDF4A">
            <w:pPr>
              <w:pStyle w:val="92"/>
              <w:rPr>
                <w:color w:val="auto"/>
                <w:kern w:val="0"/>
                <w:highlight w:val="none"/>
                <w:u w:val="none"/>
              </w:rPr>
            </w:pPr>
            <w:r>
              <w:rPr>
                <w:color w:val="auto"/>
                <w:highlight w:val="none"/>
                <w:u w:val="none"/>
              </w:rPr>
              <w:t>10</w:t>
            </w:r>
          </w:p>
        </w:tc>
        <w:tc>
          <w:tcPr>
            <w:tcW w:w="457" w:type="pct"/>
            <w:vAlign w:val="center"/>
          </w:tcPr>
          <w:p w14:paraId="1921F7FF">
            <w:pPr>
              <w:pStyle w:val="92"/>
              <w:rPr>
                <w:color w:val="auto"/>
                <w:kern w:val="0"/>
                <w:highlight w:val="none"/>
                <w:u w:val="none"/>
              </w:rPr>
            </w:pPr>
            <w:r>
              <w:rPr>
                <w:color w:val="auto"/>
                <w:highlight w:val="none"/>
                <w:u w:val="none"/>
              </w:rPr>
              <w:t>硫化物</w:t>
            </w:r>
          </w:p>
        </w:tc>
        <w:tc>
          <w:tcPr>
            <w:tcW w:w="931" w:type="pct"/>
            <w:vAlign w:val="center"/>
          </w:tcPr>
          <w:p w14:paraId="4733B5F9">
            <w:pPr>
              <w:pStyle w:val="92"/>
              <w:rPr>
                <w:color w:val="auto"/>
                <w:kern w:val="0"/>
                <w:highlight w:val="none"/>
                <w:u w:val="none"/>
              </w:rPr>
            </w:pPr>
            <w:r>
              <w:rPr>
                <w:color w:val="auto"/>
                <w:highlight w:val="none"/>
                <w:u w:val="none"/>
              </w:rPr>
              <w:t>1.0</w:t>
            </w:r>
          </w:p>
        </w:tc>
        <w:tc>
          <w:tcPr>
            <w:tcW w:w="838" w:type="pct"/>
            <w:vAlign w:val="center"/>
          </w:tcPr>
          <w:p w14:paraId="25D8DE1C">
            <w:pPr>
              <w:pStyle w:val="92"/>
              <w:rPr>
                <w:color w:val="auto"/>
                <w:kern w:val="0"/>
                <w:highlight w:val="none"/>
                <w:u w:val="none"/>
              </w:rPr>
            </w:pPr>
            <w:r>
              <w:rPr>
                <w:color w:val="auto"/>
                <w:highlight w:val="none"/>
                <w:u w:val="none"/>
              </w:rPr>
              <w:t>0.5</w:t>
            </w:r>
          </w:p>
        </w:tc>
        <w:tc>
          <w:tcPr>
            <w:tcW w:w="698" w:type="pct"/>
            <w:vAlign w:val="center"/>
          </w:tcPr>
          <w:p w14:paraId="0BCDAB0C">
            <w:pPr>
              <w:pStyle w:val="92"/>
              <w:rPr>
                <w:color w:val="auto"/>
                <w:kern w:val="0"/>
                <w:highlight w:val="none"/>
                <w:u w:val="none"/>
              </w:rPr>
            </w:pPr>
            <w:r>
              <w:rPr>
                <w:color w:val="auto"/>
                <w:kern w:val="0"/>
                <w:highlight w:val="none"/>
                <w:u w:val="none"/>
              </w:rPr>
              <w:t>0.5</w:t>
            </w:r>
          </w:p>
        </w:tc>
        <w:tc>
          <w:tcPr>
            <w:tcW w:w="698" w:type="pct"/>
            <w:vAlign w:val="center"/>
          </w:tcPr>
          <w:p w14:paraId="6C279AC9">
            <w:pPr>
              <w:pStyle w:val="92"/>
              <w:rPr>
                <w:color w:val="auto"/>
                <w:highlight w:val="none"/>
                <w:u w:val="none"/>
              </w:rPr>
            </w:pPr>
            <w:r>
              <w:rPr>
                <w:color w:val="auto"/>
                <w:highlight w:val="none"/>
                <w:u w:val="none"/>
              </w:rPr>
              <w:t>1.0</w:t>
            </w:r>
          </w:p>
        </w:tc>
        <w:tc>
          <w:tcPr>
            <w:tcW w:w="552" w:type="pct"/>
            <w:vAlign w:val="center"/>
          </w:tcPr>
          <w:p w14:paraId="2157F4F3">
            <w:pPr>
              <w:pStyle w:val="92"/>
              <w:rPr>
                <w:color w:val="auto"/>
                <w:highlight w:val="none"/>
                <w:u w:val="none"/>
              </w:rPr>
            </w:pPr>
            <w:r>
              <w:rPr>
                <w:rFonts w:hint="eastAsia"/>
                <w:color w:val="auto"/>
                <w:highlight w:val="none"/>
                <w:u w:val="none"/>
              </w:rPr>
              <w:t>1.0</w:t>
            </w:r>
          </w:p>
        </w:tc>
        <w:tc>
          <w:tcPr>
            <w:tcW w:w="549" w:type="pct"/>
            <w:vAlign w:val="center"/>
          </w:tcPr>
          <w:p w14:paraId="466A1066">
            <w:pPr>
              <w:pStyle w:val="92"/>
              <w:rPr>
                <w:color w:val="auto"/>
                <w:kern w:val="0"/>
                <w:highlight w:val="none"/>
                <w:u w:val="none"/>
              </w:rPr>
            </w:pPr>
            <w:r>
              <w:rPr>
                <w:color w:val="auto"/>
                <w:highlight w:val="none"/>
                <w:u w:val="none"/>
              </w:rPr>
              <w:t>0.5</w:t>
            </w:r>
          </w:p>
        </w:tc>
      </w:tr>
      <w:tr w14:paraId="4F0D4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27539AD5">
            <w:pPr>
              <w:pStyle w:val="92"/>
              <w:rPr>
                <w:color w:val="auto"/>
                <w:kern w:val="0"/>
                <w:highlight w:val="none"/>
                <w:u w:val="none"/>
              </w:rPr>
            </w:pPr>
            <w:r>
              <w:rPr>
                <w:color w:val="auto"/>
                <w:highlight w:val="none"/>
                <w:u w:val="none"/>
              </w:rPr>
              <w:t>11</w:t>
            </w:r>
          </w:p>
        </w:tc>
        <w:tc>
          <w:tcPr>
            <w:tcW w:w="457" w:type="pct"/>
            <w:vAlign w:val="center"/>
          </w:tcPr>
          <w:p w14:paraId="4D67A7A2">
            <w:pPr>
              <w:pStyle w:val="92"/>
              <w:rPr>
                <w:color w:val="auto"/>
                <w:kern w:val="0"/>
                <w:highlight w:val="none"/>
                <w:u w:val="none"/>
              </w:rPr>
            </w:pPr>
            <w:r>
              <w:rPr>
                <w:color w:val="auto"/>
                <w:highlight w:val="none"/>
                <w:u w:val="none"/>
              </w:rPr>
              <w:t>挥发酚</w:t>
            </w:r>
          </w:p>
        </w:tc>
        <w:tc>
          <w:tcPr>
            <w:tcW w:w="931" w:type="pct"/>
            <w:vAlign w:val="center"/>
          </w:tcPr>
          <w:p w14:paraId="1C96CBEB">
            <w:pPr>
              <w:pStyle w:val="92"/>
              <w:rPr>
                <w:color w:val="auto"/>
                <w:kern w:val="0"/>
                <w:highlight w:val="none"/>
                <w:u w:val="none"/>
              </w:rPr>
            </w:pPr>
            <w:r>
              <w:rPr>
                <w:color w:val="auto"/>
                <w:highlight w:val="none"/>
                <w:u w:val="none"/>
              </w:rPr>
              <w:t>0.5</w:t>
            </w:r>
          </w:p>
        </w:tc>
        <w:tc>
          <w:tcPr>
            <w:tcW w:w="838" w:type="pct"/>
            <w:vAlign w:val="center"/>
          </w:tcPr>
          <w:p w14:paraId="6019B695">
            <w:pPr>
              <w:pStyle w:val="92"/>
              <w:rPr>
                <w:color w:val="auto"/>
                <w:kern w:val="0"/>
                <w:highlight w:val="none"/>
                <w:u w:val="none"/>
              </w:rPr>
            </w:pPr>
            <w:r>
              <w:rPr>
                <w:color w:val="auto"/>
                <w:kern w:val="0"/>
                <w:highlight w:val="none"/>
                <w:u w:val="none"/>
              </w:rPr>
              <w:t>/</w:t>
            </w:r>
          </w:p>
        </w:tc>
        <w:tc>
          <w:tcPr>
            <w:tcW w:w="698" w:type="pct"/>
            <w:vAlign w:val="center"/>
          </w:tcPr>
          <w:p w14:paraId="557E6584">
            <w:pPr>
              <w:pStyle w:val="92"/>
              <w:rPr>
                <w:color w:val="auto"/>
                <w:kern w:val="0"/>
                <w:highlight w:val="none"/>
                <w:u w:val="none"/>
              </w:rPr>
            </w:pPr>
            <w:r>
              <w:rPr>
                <w:color w:val="auto"/>
                <w:kern w:val="0"/>
                <w:highlight w:val="none"/>
                <w:u w:val="none"/>
              </w:rPr>
              <w:t>0.1</w:t>
            </w:r>
          </w:p>
        </w:tc>
        <w:tc>
          <w:tcPr>
            <w:tcW w:w="698" w:type="pct"/>
            <w:vAlign w:val="center"/>
          </w:tcPr>
          <w:p w14:paraId="6D096EAA">
            <w:pPr>
              <w:pStyle w:val="92"/>
              <w:rPr>
                <w:color w:val="auto"/>
                <w:highlight w:val="none"/>
                <w:u w:val="none"/>
              </w:rPr>
            </w:pPr>
            <w:r>
              <w:rPr>
                <w:color w:val="auto"/>
                <w:highlight w:val="none"/>
                <w:u w:val="none"/>
              </w:rPr>
              <w:t>0.5</w:t>
            </w:r>
          </w:p>
        </w:tc>
        <w:tc>
          <w:tcPr>
            <w:tcW w:w="552" w:type="pct"/>
            <w:vAlign w:val="center"/>
          </w:tcPr>
          <w:p w14:paraId="70A42DB8">
            <w:pPr>
              <w:pStyle w:val="92"/>
              <w:rPr>
                <w:color w:val="auto"/>
                <w:highlight w:val="none"/>
                <w:u w:val="none"/>
              </w:rPr>
            </w:pPr>
            <w:r>
              <w:rPr>
                <w:rFonts w:hint="eastAsia"/>
                <w:color w:val="auto"/>
                <w:highlight w:val="none"/>
                <w:u w:val="none"/>
              </w:rPr>
              <w:t>0.5</w:t>
            </w:r>
          </w:p>
        </w:tc>
        <w:tc>
          <w:tcPr>
            <w:tcW w:w="549" w:type="pct"/>
            <w:vAlign w:val="center"/>
          </w:tcPr>
          <w:p w14:paraId="1DE75750">
            <w:pPr>
              <w:pStyle w:val="92"/>
              <w:rPr>
                <w:color w:val="auto"/>
                <w:kern w:val="0"/>
                <w:highlight w:val="none"/>
                <w:u w:val="none"/>
              </w:rPr>
            </w:pPr>
            <w:r>
              <w:rPr>
                <w:color w:val="auto"/>
                <w:highlight w:val="none"/>
                <w:u w:val="none"/>
              </w:rPr>
              <w:t>0.1</w:t>
            </w:r>
          </w:p>
        </w:tc>
      </w:tr>
      <w:tr w14:paraId="5BEC1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4C45BCBC">
            <w:pPr>
              <w:pStyle w:val="92"/>
              <w:rPr>
                <w:color w:val="auto"/>
                <w:highlight w:val="none"/>
                <w:u w:val="none"/>
              </w:rPr>
            </w:pPr>
            <w:r>
              <w:rPr>
                <w:color w:val="auto"/>
                <w:highlight w:val="none"/>
                <w:u w:val="none"/>
              </w:rPr>
              <w:t>12</w:t>
            </w:r>
          </w:p>
        </w:tc>
        <w:tc>
          <w:tcPr>
            <w:tcW w:w="457" w:type="pct"/>
            <w:vAlign w:val="center"/>
          </w:tcPr>
          <w:p w14:paraId="2A665C7A">
            <w:pPr>
              <w:pStyle w:val="92"/>
              <w:rPr>
                <w:color w:val="auto"/>
                <w:highlight w:val="none"/>
                <w:u w:val="none"/>
              </w:rPr>
            </w:pPr>
            <w:r>
              <w:rPr>
                <w:color w:val="auto"/>
                <w:highlight w:val="none"/>
                <w:u w:val="none"/>
              </w:rPr>
              <w:t>氰化物</w:t>
            </w:r>
          </w:p>
        </w:tc>
        <w:tc>
          <w:tcPr>
            <w:tcW w:w="931" w:type="pct"/>
            <w:vAlign w:val="center"/>
          </w:tcPr>
          <w:p w14:paraId="33F6888A">
            <w:pPr>
              <w:pStyle w:val="92"/>
              <w:rPr>
                <w:color w:val="auto"/>
                <w:highlight w:val="none"/>
                <w:u w:val="none"/>
              </w:rPr>
            </w:pPr>
            <w:r>
              <w:rPr>
                <w:color w:val="auto"/>
                <w:highlight w:val="none"/>
                <w:u w:val="none"/>
              </w:rPr>
              <w:t>0.5</w:t>
            </w:r>
          </w:p>
        </w:tc>
        <w:tc>
          <w:tcPr>
            <w:tcW w:w="838" w:type="pct"/>
            <w:vAlign w:val="center"/>
          </w:tcPr>
          <w:p w14:paraId="13E0F645">
            <w:pPr>
              <w:pStyle w:val="92"/>
              <w:rPr>
                <w:color w:val="auto"/>
                <w:highlight w:val="none"/>
                <w:u w:val="none"/>
              </w:rPr>
            </w:pPr>
            <w:r>
              <w:rPr>
                <w:color w:val="auto"/>
                <w:kern w:val="0"/>
                <w:highlight w:val="none"/>
                <w:u w:val="none"/>
              </w:rPr>
              <w:t>/</w:t>
            </w:r>
          </w:p>
        </w:tc>
        <w:tc>
          <w:tcPr>
            <w:tcW w:w="698" w:type="pct"/>
            <w:vAlign w:val="center"/>
          </w:tcPr>
          <w:p w14:paraId="38546A44">
            <w:pPr>
              <w:pStyle w:val="92"/>
              <w:rPr>
                <w:color w:val="auto"/>
                <w:highlight w:val="none"/>
                <w:u w:val="none"/>
              </w:rPr>
            </w:pPr>
            <w:r>
              <w:rPr>
                <w:color w:val="auto"/>
                <w:highlight w:val="none"/>
                <w:u w:val="none"/>
              </w:rPr>
              <w:t>0.2</w:t>
            </w:r>
          </w:p>
        </w:tc>
        <w:tc>
          <w:tcPr>
            <w:tcW w:w="698" w:type="pct"/>
            <w:vAlign w:val="center"/>
          </w:tcPr>
          <w:p w14:paraId="197D8B32">
            <w:pPr>
              <w:pStyle w:val="92"/>
              <w:rPr>
                <w:color w:val="auto"/>
                <w:highlight w:val="none"/>
                <w:u w:val="none"/>
              </w:rPr>
            </w:pPr>
            <w:r>
              <w:rPr>
                <w:color w:val="auto"/>
                <w:kern w:val="0"/>
                <w:highlight w:val="none"/>
                <w:u w:val="none"/>
              </w:rPr>
              <w:t>/</w:t>
            </w:r>
          </w:p>
        </w:tc>
        <w:tc>
          <w:tcPr>
            <w:tcW w:w="552" w:type="pct"/>
            <w:vAlign w:val="center"/>
          </w:tcPr>
          <w:p w14:paraId="388A7100">
            <w:pPr>
              <w:pStyle w:val="92"/>
              <w:rPr>
                <w:color w:val="auto"/>
                <w:highlight w:val="none"/>
                <w:u w:val="none"/>
              </w:rPr>
            </w:pPr>
            <w:r>
              <w:rPr>
                <w:rFonts w:hint="eastAsia"/>
                <w:color w:val="auto"/>
                <w:highlight w:val="none"/>
                <w:u w:val="none"/>
              </w:rPr>
              <w:t>0.5</w:t>
            </w:r>
          </w:p>
        </w:tc>
        <w:tc>
          <w:tcPr>
            <w:tcW w:w="549" w:type="pct"/>
            <w:vAlign w:val="center"/>
          </w:tcPr>
          <w:p w14:paraId="0051C480">
            <w:pPr>
              <w:pStyle w:val="92"/>
              <w:rPr>
                <w:color w:val="auto"/>
                <w:highlight w:val="none"/>
                <w:u w:val="none"/>
              </w:rPr>
            </w:pPr>
            <w:r>
              <w:rPr>
                <w:color w:val="auto"/>
                <w:highlight w:val="none"/>
                <w:u w:val="none"/>
              </w:rPr>
              <w:t>0.2</w:t>
            </w:r>
          </w:p>
        </w:tc>
      </w:tr>
      <w:tr w14:paraId="5CBD8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0AA0EEAC">
            <w:pPr>
              <w:pStyle w:val="92"/>
              <w:rPr>
                <w:color w:val="auto"/>
                <w:highlight w:val="none"/>
                <w:u w:val="none"/>
              </w:rPr>
            </w:pPr>
            <w:r>
              <w:rPr>
                <w:color w:val="auto"/>
                <w:highlight w:val="none"/>
                <w:u w:val="none"/>
              </w:rPr>
              <w:t>13</w:t>
            </w:r>
          </w:p>
        </w:tc>
        <w:tc>
          <w:tcPr>
            <w:tcW w:w="457" w:type="pct"/>
            <w:vAlign w:val="center"/>
          </w:tcPr>
          <w:p w14:paraId="5AF0E2EC">
            <w:pPr>
              <w:pStyle w:val="92"/>
              <w:rPr>
                <w:color w:val="auto"/>
                <w:highlight w:val="none"/>
                <w:u w:val="none"/>
              </w:rPr>
            </w:pPr>
            <w:r>
              <w:rPr>
                <w:color w:val="auto"/>
                <w:highlight w:val="none"/>
                <w:u w:val="none"/>
              </w:rPr>
              <w:t>氟化物</w:t>
            </w:r>
          </w:p>
        </w:tc>
        <w:tc>
          <w:tcPr>
            <w:tcW w:w="931" w:type="pct"/>
            <w:vAlign w:val="center"/>
          </w:tcPr>
          <w:p w14:paraId="663E588A">
            <w:pPr>
              <w:pStyle w:val="92"/>
              <w:rPr>
                <w:color w:val="auto"/>
                <w:highlight w:val="none"/>
                <w:u w:val="none"/>
              </w:rPr>
            </w:pPr>
            <w:r>
              <w:rPr>
                <w:color w:val="auto"/>
                <w:highlight w:val="none"/>
                <w:u w:val="none"/>
              </w:rPr>
              <w:t>10</w:t>
            </w:r>
          </w:p>
        </w:tc>
        <w:tc>
          <w:tcPr>
            <w:tcW w:w="838" w:type="pct"/>
            <w:vAlign w:val="center"/>
          </w:tcPr>
          <w:p w14:paraId="00D79A0D">
            <w:pPr>
              <w:pStyle w:val="92"/>
              <w:rPr>
                <w:color w:val="auto"/>
                <w:highlight w:val="none"/>
                <w:u w:val="none"/>
              </w:rPr>
            </w:pPr>
            <w:r>
              <w:rPr>
                <w:color w:val="auto"/>
                <w:kern w:val="0"/>
                <w:highlight w:val="none"/>
                <w:u w:val="none"/>
              </w:rPr>
              <w:t>/</w:t>
            </w:r>
          </w:p>
        </w:tc>
        <w:tc>
          <w:tcPr>
            <w:tcW w:w="698" w:type="pct"/>
            <w:vAlign w:val="center"/>
          </w:tcPr>
          <w:p w14:paraId="6A3D981F">
            <w:pPr>
              <w:pStyle w:val="92"/>
              <w:rPr>
                <w:color w:val="auto"/>
                <w:highlight w:val="none"/>
                <w:u w:val="none"/>
              </w:rPr>
            </w:pPr>
            <w:r>
              <w:rPr>
                <w:color w:val="auto"/>
                <w:kern w:val="0"/>
                <w:highlight w:val="none"/>
                <w:u w:val="none"/>
              </w:rPr>
              <w:t>/</w:t>
            </w:r>
          </w:p>
        </w:tc>
        <w:tc>
          <w:tcPr>
            <w:tcW w:w="698" w:type="pct"/>
            <w:vAlign w:val="center"/>
          </w:tcPr>
          <w:p w14:paraId="5801CE54">
            <w:pPr>
              <w:pStyle w:val="92"/>
              <w:rPr>
                <w:color w:val="auto"/>
                <w:highlight w:val="none"/>
                <w:u w:val="none"/>
              </w:rPr>
            </w:pPr>
            <w:r>
              <w:rPr>
                <w:color w:val="auto"/>
                <w:kern w:val="0"/>
                <w:highlight w:val="none"/>
                <w:u w:val="none"/>
              </w:rPr>
              <w:t>/</w:t>
            </w:r>
          </w:p>
        </w:tc>
        <w:tc>
          <w:tcPr>
            <w:tcW w:w="552" w:type="pct"/>
            <w:vAlign w:val="center"/>
          </w:tcPr>
          <w:p w14:paraId="3E984A03">
            <w:pPr>
              <w:pStyle w:val="92"/>
              <w:rPr>
                <w:color w:val="auto"/>
                <w:highlight w:val="none"/>
                <w:u w:val="none"/>
              </w:rPr>
            </w:pPr>
            <w:r>
              <w:rPr>
                <w:rFonts w:hint="eastAsia"/>
                <w:color w:val="auto"/>
                <w:highlight w:val="none"/>
                <w:u w:val="none"/>
              </w:rPr>
              <w:t>10</w:t>
            </w:r>
          </w:p>
        </w:tc>
        <w:tc>
          <w:tcPr>
            <w:tcW w:w="549" w:type="pct"/>
            <w:vAlign w:val="center"/>
          </w:tcPr>
          <w:p w14:paraId="5855557D">
            <w:pPr>
              <w:pStyle w:val="92"/>
              <w:rPr>
                <w:color w:val="auto"/>
                <w:highlight w:val="none"/>
                <w:u w:val="none"/>
              </w:rPr>
            </w:pPr>
            <w:r>
              <w:rPr>
                <w:color w:val="auto"/>
                <w:highlight w:val="none"/>
                <w:u w:val="none"/>
              </w:rPr>
              <w:t>10</w:t>
            </w:r>
          </w:p>
        </w:tc>
      </w:tr>
      <w:tr w14:paraId="5AEC9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6E2E873C">
            <w:pPr>
              <w:pStyle w:val="92"/>
              <w:rPr>
                <w:color w:val="auto"/>
                <w:highlight w:val="none"/>
                <w:u w:val="none"/>
              </w:rPr>
            </w:pPr>
            <w:r>
              <w:rPr>
                <w:color w:val="auto"/>
                <w:highlight w:val="none"/>
                <w:u w:val="none"/>
              </w:rPr>
              <w:t>14</w:t>
            </w:r>
          </w:p>
        </w:tc>
        <w:tc>
          <w:tcPr>
            <w:tcW w:w="457" w:type="pct"/>
            <w:vAlign w:val="center"/>
          </w:tcPr>
          <w:p w14:paraId="0A06FC57">
            <w:pPr>
              <w:pStyle w:val="92"/>
              <w:rPr>
                <w:color w:val="auto"/>
                <w:highlight w:val="none"/>
                <w:u w:val="none"/>
              </w:rPr>
            </w:pPr>
            <w:r>
              <w:rPr>
                <w:color w:val="auto"/>
                <w:highlight w:val="none"/>
                <w:u w:val="none"/>
              </w:rPr>
              <w:t>总铅</w:t>
            </w:r>
          </w:p>
        </w:tc>
        <w:tc>
          <w:tcPr>
            <w:tcW w:w="931" w:type="pct"/>
            <w:vAlign w:val="center"/>
          </w:tcPr>
          <w:p w14:paraId="490B4CAD">
            <w:pPr>
              <w:pStyle w:val="92"/>
              <w:rPr>
                <w:color w:val="auto"/>
                <w:highlight w:val="none"/>
                <w:u w:val="none"/>
              </w:rPr>
            </w:pPr>
            <w:r>
              <w:rPr>
                <w:color w:val="auto"/>
                <w:highlight w:val="none"/>
                <w:u w:val="none"/>
              </w:rPr>
              <w:t>1.0</w:t>
            </w:r>
            <w:r>
              <w:rPr>
                <w:rFonts w:ascii="Cambria Math" w:hAnsi="Cambria Math" w:cs="Cambria Math"/>
                <w:color w:val="auto"/>
                <w:highlight w:val="none"/>
                <w:u w:val="none"/>
                <w:vertAlign w:val="superscript"/>
              </w:rPr>
              <w:t>③</w:t>
            </w:r>
          </w:p>
        </w:tc>
        <w:tc>
          <w:tcPr>
            <w:tcW w:w="838" w:type="pct"/>
            <w:vAlign w:val="center"/>
          </w:tcPr>
          <w:p w14:paraId="51897618">
            <w:pPr>
              <w:pStyle w:val="92"/>
              <w:rPr>
                <w:color w:val="auto"/>
                <w:highlight w:val="none"/>
                <w:u w:val="none"/>
              </w:rPr>
            </w:pPr>
            <w:r>
              <w:rPr>
                <w:color w:val="auto"/>
                <w:kern w:val="0"/>
                <w:highlight w:val="none"/>
                <w:u w:val="none"/>
              </w:rPr>
              <w:t>/</w:t>
            </w:r>
          </w:p>
        </w:tc>
        <w:tc>
          <w:tcPr>
            <w:tcW w:w="698" w:type="pct"/>
            <w:vAlign w:val="center"/>
          </w:tcPr>
          <w:p w14:paraId="21844A1E">
            <w:pPr>
              <w:pStyle w:val="92"/>
              <w:rPr>
                <w:color w:val="auto"/>
                <w:highlight w:val="none"/>
                <w:u w:val="none"/>
              </w:rPr>
            </w:pPr>
            <w:r>
              <w:rPr>
                <w:color w:val="auto"/>
                <w:kern w:val="0"/>
                <w:highlight w:val="none"/>
                <w:u w:val="none"/>
              </w:rPr>
              <w:t>/</w:t>
            </w:r>
          </w:p>
        </w:tc>
        <w:tc>
          <w:tcPr>
            <w:tcW w:w="698" w:type="pct"/>
            <w:vAlign w:val="center"/>
          </w:tcPr>
          <w:p w14:paraId="6B1C1ABE">
            <w:pPr>
              <w:pStyle w:val="92"/>
              <w:rPr>
                <w:color w:val="auto"/>
                <w:highlight w:val="none"/>
                <w:u w:val="none"/>
              </w:rPr>
            </w:pPr>
            <w:r>
              <w:rPr>
                <w:color w:val="auto"/>
                <w:highlight w:val="none"/>
                <w:u w:val="none"/>
              </w:rPr>
              <w:t>0.1</w:t>
            </w:r>
          </w:p>
        </w:tc>
        <w:tc>
          <w:tcPr>
            <w:tcW w:w="552" w:type="pct"/>
            <w:vAlign w:val="center"/>
          </w:tcPr>
          <w:p w14:paraId="33478936">
            <w:pPr>
              <w:pStyle w:val="92"/>
              <w:rPr>
                <w:color w:val="auto"/>
                <w:highlight w:val="none"/>
                <w:u w:val="none"/>
              </w:rPr>
            </w:pPr>
            <w:r>
              <w:rPr>
                <w:rFonts w:hint="eastAsia"/>
                <w:color w:val="auto"/>
                <w:highlight w:val="none"/>
                <w:u w:val="none"/>
              </w:rPr>
              <w:t>1.0</w:t>
            </w:r>
          </w:p>
        </w:tc>
        <w:tc>
          <w:tcPr>
            <w:tcW w:w="549" w:type="pct"/>
            <w:vAlign w:val="center"/>
          </w:tcPr>
          <w:p w14:paraId="303ACD8E">
            <w:pPr>
              <w:pStyle w:val="92"/>
              <w:rPr>
                <w:color w:val="auto"/>
                <w:highlight w:val="none"/>
                <w:u w:val="none"/>
              </w:rPr>
            </w:pPr>
            <w:r>
              <w:rPr>
                <w:color w:val="auto"/>
                <w:highlight w:val="none"/>
                <w:u w:val="none"/>
              </w:rPr>
              <w:t>0.1</w:t>
            </w:r>
          </w:p>
        </w:tc>
      </w:tr>
      <w:tr w14:paraId="397AF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411E2295">
            <w:pPr>
              <w:pStyle w:val="92"/>
              <w:rPr>
                <w:color w:val="auto"/>
                <w:highlight w:val="none"/>
                <w:u w:val="none"/>
              </w:rPr>
            </w:pPr>
            <w:r>
              <w:rPr>
                <w:color w:val="auto"/>
                <w:highlight w:val="none"/>
                <w:u w:val="none"/>
              </w:rPr>
              <w:t>15</w:t>
            </w:r>
          </w:p>
        </w:tc>
        <w:tc>
          <w:tcPr>
            <w:tcW w:w="457" w:type="pct"/>
            <w:vAlign w:val="center"/>
          </w:tcPr>
          <w:p w14:paraId="3C217D54">
            <w:pPr>
              <w:pStyle w:val="92"/>
              <w:rPr>
                <w:color w:val="auto"/>
                <w:highlight w:val="none"/>
                <w:u w:val="none"/>
              </w:rPr>
            </w:pPr>
            <w:r>
              <w:rPr>
                <w:color w:val="auto"/>
                <w:highlight w:val="none"/>
                <w:u w:val="none"/>
              </w:rPr>
              <w:t>总砷</w:t>
            </w:r>
          </w:p>
        </w:tc>
        <w:tc>
          <w:tcPr>
            <w:tcW w:w="931" w:type="pct"/>
            <w:vAlign w:val="center"/>
          </w:tcPr>
          <w:p w14:paraId="6BD1D921">
            <w:pPr>
              <w:pStyle w:val="92"/>
              <w:rPr>
                <w:color w:val="auto"/>
                <w:highlight w:val="none"/>
                <w:u w:val="none"/>
              </w:rPr>
            </w:pPr>
            <w:r>
              <w:rPr>
                <w:color w:val="auto"/>
                <w:highlight w:val="none"/>
                <w:u w:val="none"/>
              </w:rPr>
              <w:t>0.5</w:t>
            </w:r>
            <w:r>
              <w:rPr>
                <w:rFonts w:ascii="Cambria Math" w:hAnsi="Cambria Math" w:cs="Cambria Math"/>
                <w:color w:val="auto"/>
                <w:highlight w:val="none"/>
                <w:u w:val="none"/>
                <w:vertAlign w:val="superscript"/>
              </w:rPr>
              <w:t>③</w:t>
            </w:r>
          </w:p>
        </w:tc>
        <w:tc>
          <w:tcPr>
            <w:tcW w:w="838" w:type="pct"/>
            <w:vAlign w:val="center"/>
          </w:tcPr>
          <w:p w14:paraId="6C83AA1E">
            <w:pPr>
              <w:pStyle w:val="92"/>
              <w:rPr>
                <w:color w:val="auto"/>
                <w:highlight w:val="none"/>
                <w:u w:val="none"/>
              </w:rPr>
            </w:pPr>
            <w:r>
              <w:rPr>
                <w:color w:val="auto"/>
                <w:kern w:val="0"/>
                <w:highlight w:val="none"/>
                <w:u w:val="none"/>
              </w:rPr>
              <w:t>/</w:t>
            </w:r>
          </w:p>
        </w:tc>
        <w:tc>
          <w:tcPr>
            <w:tcW w:w="698" w:type="pct"/>
            <w:vAlign w:val="center"/>
          </w:tcPr>
          <w:p w14:paraId="122226BB">
            <w:pPr>
              <w:pStyle w:val="92"/>
              <w:rPr>
                <w:color w:val="auto"/>
                <w:highlight w:val="none"/>
                <w:u w:val="none"/>
              </w:rPr>
            </w:pPr>
            <w:r>
              <w:rPr>
                <w:color w:val="auto"/>
                <w:kern w:val="0"/>
                <w:highlight w:val="none"/>
                <w:u w:val="none"/>
              </w:rPr>
              <w:t>/</w:t>
            </w:r>
          </w:p>
        </w:tc>
        <w:tc>
          <w:tcPr>
            <w:tcW w:w="698" w:type="pct"/>
            <w:vAlign w:val="center"/>
          </w:tcPr>
          <w:p w14:paraId="433481B7">
            <w:pPr>
              <w:pStyle w:val="92"/>
              <w:rPr>
                <w:color w:val="auto"/>
                <w:highlight w:val="none"/>
                <w:u w:val="none"/>
              </w:rPr>
            </w:pPr>
            <w:r>
              <w:rPr>
                <w:color w:val="auto"/>
                <w:highlight w:val="none"/>
                <w:u w:val="none"/>
              </w:rPr>
              <w:t>0.1</w:t>
            </w:r>
          </w:p>
        </w:tc>
        <w:tc>
          <w:tcPr>
            <w:tcW w:w="552" w:type="pct"/>
            <w:vAlign w:val="center"/>
          </w:tcPr>
          <w:p w14:paraId="5562941C">
            <w:pPr>
              <w:pStyle w:val="92"/>
              <w:rPr>
                <w:color w:val="auto"/>
                <w:highlight w:val="none"/>
                <w:u w:val="none"/>
              </w:rPr>
            </w:pPr>
            <w:r>
              <w:rPr>
                <w:rFonts w:hint="eastAsia"/>
                <w:color w:val="auto"/>
                <w:highlight w:val="none"/>
                <w:u w:val="none"/>
              </w:rPr>
              <w:t>0.5</w:t>
            </w:r>
          </w:p>
        </w:tc>
        <w:tc>
          <w:tcPr>
            <w:tcW w:w="549" w:type="pct"/>
            <w:vAlign w:val="center"/>
          </w:tcPr>
          <w:p w14:paraId="506122A5">
            <w:pPr>
              <w:pStyle w:val="92"/>
              <w:rPr>
                <w:color w:val="auto"/>
                <w:highlight w:val="none"/>
                <w:u w:val="none"/>
              </w:rPr>
            </w:pPr>
            <w:r>
              <w:rPr>
                <w:color w:val="auto"/>
                <w:highlight w:val="none"/>
                <w:u w:val="none"/>
              </w:rPr>
              <w:t>0.1</w:t>
            </w:r>
          </w:p>
        </w:tc>
      </w:tr>
      <w:tr w14:paraId="1BD11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3CE1193E">
            <w:pPr>
              <w:pStyle w:val="92"/>
              <w:rPr>
                <w:color w:val="auto"/>
                <w:highlight w:val="none"/>
                <w:u w:val="none"/>
              </w:rPr>
            </w:pPr>
            <w:r>
              <w:rPr>
                <w:color w:val="auto"/>
                <w:highlight w:val="none"/>
                <w:u w:val="none"/>
              </w:rPr>
              <w:t>16</w:t>
            </w:r>
          </w:p>
        </w:tc>
        <w:tc>
          <w:tcPr>
            <w:tcW w:w="457" w:type="pct"/>
            <w:vAlign w:val="center"/>
          </w:tcPr>
          <w:p w14:paraId="22922A61">
            <w:pPr>
              <w:pStyle w:val="92"/>
              <w:rPr>
                <w:color w:val="auto"/>
                <w:highlight w:val="none"/>
                <w:u w:val="none"/>
              </w:rPr>
            </w:pPr>
            <w:r>
              <w:rPr>
                <w:color w:val="auto"/>
                <w:highlight w:val="none"/>
                <w:u w:val="none"/>
              </w:rPr>
              <w:t>总汞</w:t>
            </w:r>
          </w:p>
        </w:tc>
        <w:tc>
          <w:tcPr>
            <w:tcW w:w="931" w:type="pct"/>
            <w:vAlign w:val="center"/>
          </w:tcPr>
          <w:p w14:paraId="5C709052">
            <w:pPr>
              <w:pStyle w:val="92"/>
              <w:rPr>
                <w:color w:val="auto"/>
                <w:highlight w:val="none"/>
                <w:u w:val="none"/>
              </w:rPr>
            </w:pPr>
            <w:r>
              <w:rPr>
                <w:color w:val="auto"/>
                <w:highlight w:val="none"/>
                <w:u w:val="none"/>
              </w:rPr>
              <w:t>0.05</w:t>
            </w:r>
            <w:r>
              <w:rPr>
                <w:rFonts w:ascii="Cambria Math" w:hAnsi="Cambria Math" w:cs="Cambria Math"/>
                <w:color w:val="auto"/>
                <w:highlight w:val="none"/>
                <w:u w:val="none"/>
                <w:vertAlign w:val="superscript"/>
              </w:rPr>
              <w:t>③</w:t>
            </w:r>
          </w:p>
        </w:tc>
        <w:tc>
          <w:tcPr>
            <w:tcW w:w="838" w:type="pct"/>
            <w:vAlign w:val="center"/>
          </w:tcPr>
          <w:p w14:paraId="655D85C2">
            <w:pPr>
              <w:pStyle w:val="92"/>
              <w:rPr>
                <w:color w:val="auto"/>
                <w:highlight w:val="none"/>
                <w:u w:val="none"/>
              </w:rPr>
            </w:pPr>
            <w:r>
              <w:rPr>
                <w:color w:val="auto"/>
                <w:kern w:val="0"/>
                <w:highlight w:val="none"/>
                <w:u w:val="none"/>
              </w:rPr>
              <w:t>/</w:t>
            </w:r>
          </w:p>
        </w:tc>
        <w:tc>
          <w:tcPr>
            <w:tcW w:w="698" w:type="pct"/>
            <w:vAlign w:val="center"/>
          </w:tcPr>
          <w:p w14:paraId="4FE159DD">
            <w:pPr>
              <w:pStyle w:val="92"/>
              <w:rPr>
                <w:color w:val="auto"/>
                <w:highlight w:val="none"/>
                <w:u w:val="none"/>
              </w:rPr>
            </w:pPr>
            <w:r>
              <w:rPr>
                <w:color w:val="auto"/>
                <w:kern w:val="0"/>
                <w:highlight w:val="none"/>
                <w:u w:val="none"/>
              </w:rPr>
              <w:t>/</w:t>
            </w:r>
          </w:p>
        </w:tc>
        <w:tc>
          <w:tcPr>
            <w:tcW w:w="698" w:type="pct"/>
            <w:vAlign w:val="center"/>
          </w:tcPr>
          <w:p w14:paraId="13414CD4">
            <w:pPr>
              <w:pStyle w:val="92"/>
              <w:rPr>
                <w:color w:val="auto"/>
                <w:highlight w:val="none"/>
                <w:u w:val="none"/>
              </w:rPr>
            </w:pPr>
            <w:r>
              <w:rPr>
                <w:color w:val="auto"/>
                <w:highlight w:val="none"/>
                <w:u w:val="none"/>
              </w:rPr>
              <w:t>0.001</w:t>
            </w:r>
          </w:p>
        </w:tc>
        <w:tc>
          <w:tcPr>
            <w:tcW w:w="552" w:type="pct"/>
            <w:vAlign w:val="center"/>
          </w:tcPr>
          <w:p w14:paraId="36CA8817">
            <w:pPr>
              <w:pStyle w:val="92"/>
              <w:rPr>
                <w:color w:val="auto"/>
                <w:highlight w:val="none"/>
                <w:u w:val="none"/>
              </w:rPr>
            </w:pPr>
            <w:r>
              <w:rPr>
                <w:rFonts w:hint="eastAsia"/>
                <w:color w:val="auto"/>
                <w:highlight w:val="none"/>
                <w:u w:val="none"/>
              </w:rPr>
              <w:t>0.05</w:t>
            </w:r>
          </w:p>
        </w:tc>
        <w:tc>
          <w:tcPr>
            <w:tcW w:w="549" w:type="pct"/>
            <w:vAlign w:val="center"/>
          </w:tcPr>
          <w:p w14:paraId="4B2D16D0">
            <w:pPr>
              <w:pStyle w:val="92"/>
              <w:rPr>
                <w:color w:val="auto"/>
                <w:highlight w:val="none"/>
                <w:u w:val="none"/>
              </w:rPr>
            </w:pPr>
            <w:r>
              <w:rPr>
                <w:color w:val="auto"/>
                <w:highlight w:val="none"/>
                <w:u w:val="none"/>
              </w:rPr>
              <w:t>0.001</w:t>
            </w:r>
          </w:p>
        </w:tc>
      </w:tr>
      <w:tr w14:paraId="4CD3E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3EE37C6A">
            <w:pPr>
              <w:pStyle w:val="92"/>
              <w:rPr>
                <w:color w:val="auto"/>
                <w:highlight w:val="none"/>
                <w:u w:val="none"/>
              </w:rPr>
            </w:pPr>
            <w:r>
              <w:rPr>
                <w:color w:val="auto"/>
                <w:highlight w:val="none"/>
                <w:u w:val="none"/>
              </w:rPr>
              <w:t>17</w:t>
            </w:r>
          </w:p>
        </w:tc>
        <w:tc>
          <w:tcPr>
            <w:tcW w:w="457" w:type="pct"/>
            <w:vAlign w:val="center"/>
          </w:tcPr>
          <w:p w14:paraId="3828C859">
            <w:pPr>
              <w:pStyle w:val="92"/>
              <w:rPr>
                <w:color w:val="auto"/>
                <w:highlight w:val="none"/>
                <w:u w:val="none"/>
              </w:rPr>
            </w:pPr>
            <w:r>
              <w:rPr>
                <w:color w:val="auto"/>
                <w:highlight w:val="none"/>
                <w:u w:val="none"/>
              </w:rPr>
              <w:t>苯胺类</w:t>
            </w:r>
          </w:p>
        </w:tc>
        <w:tc>
          <w:tcPr>
            <w:tcW w:w="931" w:type="pct"/>
            <w:vAlign w:val="center"/>
          </w:tcPr>
          <w:p w14:paraId="0F9AD002">
            <w:pPr>
              <w:pStyle w:val="92"/>
              <w:rPr>
                <w:color w:val="auto"/>
                <w:highlight w:val="none"/>
                <w:u w:val="none"/>
              </w:rPr>
            </w:pPr>
            <w:r>
              <w:rPr>
                <w:color w:val="auto"/>
                <w:highlight w:val="none"/>
                <w:u w:val="none"/>
              </w:rPr>
              <w:t>0.5</w:t>
            </w:r>
          </w:p>
        </w:tc>
        <w:tc>
          <w:tcPr>
            <w:tcW w:w="838" w:type="pct"/>
            <w:vAlign w:val="center"/>
          </w:tcPr>
          <w:p w14:paraId="412A8FC1">
            <w:pPr>
              <w:pStyle w:val="92"/>
              <w:rPr>
                <w:color w:val="auto"/>
                <w:highlight w:val="none"/>
                <w:u w:val="none"/>
              </w:rPr>
            </w:pPr>
            <w:r>
              <w:rPr>
                <w:color w:val="auto"/>
                <w:kern w:val="0"/>
                <w:highlight w:val="none"/>
                <w:u w:val="none"/>
              </w:rPr>
              <w:t>/</w:t>
            </w:r>
          </w:p>
        </w:tc>
        <w:tc>
          <w:tcPr>
            <w:tcW w:w="698" w:type="pct"/>
            <w:vAlign w:val="center"/>
          </w:tcPr>
          <w:p w14:paraId="18D9AD57">
            <w:pPr>
              <w:pStyle w:val="92"/>
              <w:rPr>
                <w:color w:val="auto"/>
                <w:highlight w:val="none"/>
                <w:u w:val="none"/>
              </w:rPr>
            </w:pPr>
            <w:r>
              <w:rPr>
                <w:color w:val="auto"/>
                <w:kern w:val="0"/>
                <w:highlight w:val="none"/>
                <w:u w:val="none"/>
              </w:rPr>
              <w:t>/</w:t>
            </w:r>
          </w:p>
        </w:tc>
        <w:tc>
          <w:tcPr>
            <w:tcW w:w="698" w:type="pct"/>
            <w:vAlign w:val="center"/>
          </w:tcPr>
          <w:p w14:paraId="71DBAE5B">
            <w:pPr>
              <w:pStyle w:val="92"/>
              <w:rPr>
                <w:color w:val="auto"/>
                <w:highlight w:val="none"/>
                <w:u w:val="none"/>
              </w:rPr>
            </w:pPr>
            <w:r>
              <w:rPr>
                <w:color w:val="auto"/>
                <w:highlight w:val="none"/>
                <w:u w:val="none"/>
              </w:rPr>
              <w:t>0.5</w:t>
            </w:r>
          </w:p>
        </w:tc>
        <w:tc>
          <w:tcPr>
            <w:tcW w:w="552" w:type="pct"/>
            <w:vAlign w:val="center"/>
          </w:tcPr>
          <w:p w14:paraId="5B9B5787">
            <w:pPr>
              <w:pStyle w:val="92"/>
              <w:rPr>
                <w:color w:val="auto"/>
                <w:highlight w:val="none"/>
                <w:u w:val="none"/>
              </w:rPr>
            </w:pPr>
            <w:r>
              <w:rPr>
                <w:rFonts w:hint="eastAsia"/>
                <w:color w:val="auto"/>
                <w:highlight w:val="none"/>
                <w:u w:val="none"/>
              </w:rPr>
              <w:t>1.0</w:t>
            </w:r>
          </w:p>
        </w:tc>
        <w:tc>
          <w:tcPr>
            <w:tcW w:w="549" w:type="pct"/>
            <w:vAlign w:val="center"/>
          </w:tcPr>
          <w:p w14:paraId="13BCCB67">
            <w:pPr>
              <w:pStyle w:val="92"/>
              <w:rPr>
                <w:color w:val="auto"/>
                <w:highlight w:val="none"/>
                <w:u w:val="none"/>
              </w:rPr>
            </w:pPr>
            <w:r>
              <w:rPr>
                <w:color w:val="auto"/>
                <w:highlight w:val="none"/>
                <w:u w:val="none"/>
              </w:rPr>
              <w:t>0.5</w:t>
            </w:r>
          </w:p>
        </w:tc>
      </w:tr>
      <w:tr w14:paraId="53324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78A1D372">
            <w:pPr>
              <w:pStyle w:val="92"/>
              <w:rPr>
                <w:color w:val="auto"/>
                <w:highlight w:val="none"/>
                <w:u w:val="none"/>
              </w:rPr>
            </w:pPr>
            <w:r>
              <w:rPr>
                <w:color w:val="auto"/>
                <w:highlight w:val="none"/>
                <w:u w:val="none"/>
              </w:rPr>
              <w:t>18</w:t>
            </w:r>
          </w:p>
        </w:tc>
        <w:tc>
          <w:tcPr>
            <w:tcW w:w="457" w:type="pct"/>
            <w:vAlign w:val="center"/>
          </w:tcPr>
          <w:p w14:paraId="7339B02D">
            <w:pPr>
              <w:pStyle w:val="92"/>
              <w:rPr>
                <w:color w:val="auto"/>
                <w:highlight w:val="none"/>
                <w:u w:val="none"/>
              </w:rPr>
            </w:pPr>
            <w:r>
              <w:rPr>
                <w:color w:val="auto"/>
                <w:highlight w:val="none"/>
                <w:u w:val="none"/>
              </w:rPr>
              <w:t>硝基</w:t>
            </w:r>
          </w:p>
          <w:p w14:paraId="0728A09E">
            <w:pPr>
              <w:pStyle w:val="92"/>
              <w:rPr>
                <w:color w:val="auto"/>
                <w:highlight w:val="none"/>
                <w:u w:val="none"/>
              </w:rPr>
            </w:pPr>
            <w:r>
              <w:rPr>
                <w:color w:val="auto"/>
                <w:highlight w:val="none"/>
                <w:u w:val="none"/>
              </w:rPr>
              <w:t>苯类</w:t>
            </w:r>
          </w:p>
        </w:tc>
        <w:tc>
          <w:tcPr>
            <w:tcW w:w="931" w:type="pct"/>
            <w:vAlign w:val="center"/>
          </w:tcPr>
          <w:p w14:paraId="3CA68106">
            <w:pPr>
              <w:pStyle w:val="92"/>
              <w:rPr>
                <w:color w:val="auto"/>
                <w:highlight w:val="none"/>
                <w:u w:val="none"/>
              </w:rPr>
            </w:pPr>
            <w:r>
              <w:rPr>
                <w:color w:val="auto"/>
                <w:highlight w:val="none"/>
                <w:u w:val="none"/>
              </w:rPr>
              <w:t>2</w:t>
            </w:r>
          </w:p>
        </w:tc>
        <w:tc>
          <w:tcPr>
            <w:tcW w:w="838" w:type="pct"/>
            <w:vAlign w:val="center"/>
          </w:tcPr>
          <w:p w14:paraId="5AB0A2C9">
            <w:pPr>
              <w:pStyle w:val="92"/>
              <w:rPr>
                <w:color w:val="auto"/>
                <w:highlight w:val="none"/>
                <w:u w:val="none"/>
              </w:rPr>
            </w:pPr>
            <w:r>
              <w:rPr>
                <w:color w:val="auto"/>
                <w:kern w:val="0"/>
                <w:highlight w:val="none"/>
                <w:u w:val="none"/>
              </w:rPr>
              <w:t>/</w:t>
            </w:r>
          </w:p>
        </w:tc>
        <w:tc>
          <w:tcPr>
            <w:tcW w:w="698" w:type="pct"/>
            <w:vAlign w:val="center"/>
          </w:tcPr>
          <w:p w14:paraId="4561F088">
            <w:pPr>
              <w:pStyle w:val="92"/>
              <w:rPr>
                <w:color w:val="auto"/>
                <w:highlight w:val="none"/>
                <w:u w:val="none"/>
              </w:rPr>
            </w:pPr>
            <w:r>
              <w:rPr>
                <w:color w:val="auto"/>
                <w:kern w:val="0"/>
                <w:highlight w:val="none"/>
                <w:u w:val="none"/>
              </w:rPr>
              <w:t>/</w:t>
            </w:r>
          </w:p>
        </w:tc>
        <w:tc>
          <w:tcPr>
            <w:tcW w:w="698" w:type="pct"/>
            <w:vAlign w:val="center"/>
          </w:tcPr>
          <w:p w14:paraId="59556061">
            <w:pPr>
              <w:pStyle w:val="92"/>
              <w:rPr>
                <w:color w:val="auto"/>
                <w:highlight w:val="none"/>
                <w:u w:val="none"/>
              </w:rPr>
            </w:pPr>
            <w:r>
              <w:rPr>
                <w:color w:val="auto"/>
                <w:kern w:val="0"/>
                <w:highlight w:val="none"/>
                <w:u w:val="none"/>
              </w:rPr>
              <w:t>/</w:t>
            </w:r>
          </w:p>
        </w:tc>
        <w:tc>
          <w:tcPr>
            <w:tcW w:w="552" w:type="pct"/>
            <w:vAlign w:val="center"/>
          </w:tcPr>
          <w:p w14:paraId="6806589C">
            <w:pPr>
              <w:pStyle w:val="92"/>
              <w:rPr>
                <w:color w:val="auto"/>
                <w:highlight w:val="none"/>
                <w:u w:val="none"/>
              </w:rPr>
            </w:pPr>
            <w:r>
              <w:rPr>
                <w:rFonts w:hint="eastAsia"/>
                <w:color w:val="auto"/>
                <w:highlight w:val="none"/>
                <w:u w:val="none"/>
              </w:rPr>
              <w:t>2.0</w:t>
            </w:r>
          </w:p>
        </w:tc>
        <w:tc>
          <w:tcPr>
            <w:tcW w:w="549" w:type="pct"/>
            <w:vAlign w:val="center"/>
          </w:tcPr>
          <w:p w14:paraId="3B5F5450">
            <w:pPr>
              <w:pStyle w:val="92"/>
              <w:rPr>
                <w:color w:val="auto"/>
                <w:highlight w:val="none"/>
                <w:u w:val="none"/>
              </w:rPr>
            </w:pPr>
            <w:r>
              <w:rPr>
                <w:color w:val="auto"/>
                <w:highlight w:val="none"/>
                <w:u w:val="none"/>
              </w:rPr>
              <w:t>2</w:t>
            </w:r>
          </w:p>
        </w:tc>
      </w:tr>
      <w:tr w14:paraId="19837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4B551E6E">
            <w:pPr>
              <w:pStyle w:val="92"/>
              <w:rPr>
                <w:color w:val="auto"/>
                <w:highlight w:val="none"/>
                <w:u w:val="none"/>
              </w:rPr>
            </w:pPr>
            <w:r>
              <w:rPr>
                <w:color w:val="auto"/>
                <w:highlight w:val="none"/>
                <w:u w:val="none"/>
              </w:rPr>
              <w:t>19</w:t>
            </w:r>
          </w:p>
        </w:tc>
        <w:tc>
          <w:tcPr>
            <w:tcW w:w="457" w:type="pct"/>
            <w:vAlign w:val="center"/>
          </w:tcPr>
          <w:p w14:paraId="1B7D39A1">
            <w:pPr>
              <w:pStyle w:val="92"/>
              <w:rPr>
                <w:color w:val="auto"/>
                <w:highlight w:val="none"/>
                <w:u w:val="none"/>
              </w:rPr>
            </w:pPr>
            <w:r>
              <w:rPr>
                <w:color w:val="auto"/>
                <w:highlight w:val="none"/>
                <w:u w:val="none"/>
              </w:rPr>
              <w:t>氯苯</w:t>
            </w:r>
          </w:p>
        </w:tc>
        <w:tc>
          <w:tcPr>
            <w:tcW w:w="931" w:type="pct"/>
            <w:vAlign w:val="center"/>
          </w:tcPr>
          <w:p w14:paraId="2E189CE5">
            <w:pPr>
              <w:pStyle w:val="92"/>
              <w:rPr>
                <w:color w:val="auto"/>
                <w:highlight w:val="none"/>
                <w:u w:val="none"/>
              </w:rPr>
            </w:pPr>
            <w:r>
              <w:rPr>
                <w:color w:val="auto"/>
                <w:highlight w:val="none"/>
                <w:u w:val="none"/>
              </w:rPr>
              <w:t>0.2</w:t>
            </w:r>
          </w:p>
        </w:tc>
        <w:tc>
          <w:tcPr>
            <w:tcW w:w="838" w:type="pct"/>
            <w:vAlign w:val="center"/>
          </w:tcPr>
          <w:p w14:paraId="0147DB01">
            <w:pPr>
              <w:pStyle w:val="92"/>
              <w:rPr>
                <w:color w:val="auto"/>
                <w:highlight w:val="none"/>
                <w:u w:val="none"/>
              </w:rPr>
            </w:pPr>
            <w:r>
              <w:rPr>
                <w:color w:val="auto"/>
                <w:kern w:val="0"/>
                <w:highlight w:val="none"/>
                <w:u w:val="none"/>
              </w:rPr>
              <w:t>/</w:t>
            </w:r>
          </w:p>
        </w:tc>
        <w:tc>
          <w:tcPr>
            <w:tcW w:w="698" w:type="pct"/>
            <w:vAlign w:val="center"/>
          </w:tcPr>
          <w:p w14:paraId="3CA978B9">
            <w:pPr>
              <w:pStyle w:val="92"/>
              <w:rPr>
                <w:color w:val="auto"/>
                <w:highlight w:val="none"/>
                <w:u w:val="none"/>
              </w:rPr>
            </w:pPr>
            <w:r>
              <w:rPr>
                <w:color w:val="auto"/>
                <w:kern w:val="0"/>
                <w:highlight w:val="none"/>
                <w:u w:val="none"/>
              </w:rPr>
              <w:t>/</w:t>
            </w:r>
          </w:p>
        </w:tc>
        <w:tc>
          <w:tcPr>
            <w:tcW w:w="698" w:type="pct"/>
            <w:vAlign w:val="center"/>
          </w:tcPr>
          <w:p w14:paraId="4C89365C">
            <w:pPr>
              <w:pStyle w:val="92"/>
              <w:rPr>
                <w:color w:val="auto"/>
                <w:highlight w:val="none"/>
                <w:u w:val="none"/>
              </w:rPr>
            </w:pPr>
            <w:r>
              <w:rPr>
                <w:color w:val="auto"/>
                <w:highlight w:val="none"/>
                <w:u w:val="none"/>
              </w:rPr>
              <w:t>0.3</w:t>
            </w:r>
          </w:p>
        </w:tc>
        <w:tc>
          <w:tcPr>
            <w:tcW w:w="552" w:type="pct"/>
            <w:vAlign w:val="center"/>
          </w:tcPr>
          <w:p w14:paraId="616A5D1D">
            <w:pPr>
              <w:pStyle w:val="92"/>
              <w:rPr>
                <w:color w:val="auto"/>
                <w:highlight w:val="none"/>
                <w:u w:val="none"/>
              </w:rPr>
            </w:pPr>
            <w:r>
              <w:rPr>
                <w:rFonts w:hint="eastAsia"/>
                <w:color w:val="auto"/>
                <w:highlight w:val="none"/>
                <w:u w:val="none"/>
              </w:rPr>
              <w:t>0.2</w:t>
            </w:r>
          </w:p>
        </w:tc>
        <w:tc>
          <w:tcPr>
            <w:tcW w:w="549" w:type="pct"/>
            <w:vAlign w:val="center"/>
          </w:tcPr>
          <w:p w14:paraId="46F754F8">
            <w:pPr>
              <w:pStyle w:val="92"/>
              <w:rPr>
                <w:color w:val="auto"/>
                <w:highlight w:val="none"/>
                <w:u w:val="none"/>
              </w:rPr>
            </w:pPr>
            <w:r>
              <w:rPr>
                <w:color w:val="auto"/>
                <w:highlight w:val="none"/>
                <w:u w:val="none"/>
              </w:rPr>
              <w:t>0.2</w:t>
            </w:r>
          </w:p>
        </w:tc>
      </w:tr>
      <w:tr w14:paraId="28D55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63790AB9">
            <w:pPr>
              <w:pStyle w:val="92"/>
              <w:rPr>
                <w:color w:val="auto"/>
                <w:highlight w:val="none"/>
                <w:u w:val="none"/>
              </w:rPr>
            </w:pPr>
            <w:r>
              <w:rPr>
                <w:color w:val="auto"/>
                <w:highlight w:val="none"/>
                <w:u w:val="none"/>
              </w:rPr>
              <w:t>20</w:t>
            </w:r>
          </w:p>
        </w:tc>
        <w:tc>
          <w:tcPr>
            <w:tcW w:w="457" w:type="pct"/>
            <w:vAlign w:val="center"/>
          </w:tcPr>
          <w:p w14:paraId="359D3F3D">
            <w:pPr>
              <w:pStyle w:val="92"/>
              <w:rPr>
                <w:color w:val="auto"/>
                <w:highlight w:val="none"/>
                <w:u w:val="none"/>
              </w:rPr>
            </w:pPr>
            <w:r>
              <w:rPr>
                <w:color w:val="auto"/>
                <w:highlight w:val="none"/>
                <w:u w:val="none"/>
              </w:rPr>
              <w:t>甲苯</w:t>
            </w:r>
          </w:p>
        </w:tc>
        <w:tc>
          <w:tcPr>
            <w:tcW w:w="931" w:type="pct"/>
            <w:vAlign w:val="center"/>
          </w:tcPr>
          <w:p w14:paraId="6C8FCD71">
            <w:pPr>
              <w:pStyle w:val="92"/>
              <w:rPr>
                <w:color w:val="auto"/>
                <w:highlight w:val="none"/>
                <w:u w:val="none"/>
              </w:rPr>
            </w:pPr>
            <w:r>
              <w:rPr>
                <w:color w:val="auto"/>
                <w:highlight w:val="none"/>
                <w:u w:val="none"/>
              </w:rPr>
              <w:t>0.1</w:t>
            </w:r>
          </w:p>
        </w:tc>
        <w:tc>
          <w:tcPr>
            <w:tcW w:w="838" w:type="pct"/>
            <w:vAlign w:val="center"/>
          </w:tcPr>
          <w:p w14:paraId="63C9506D">
            <w:pPr>
              <w:pStyle w:val="92"/>
              <w:rPr>
                <w:color w:val="auto"/>
                <w:highlight w:val="none"/>
                <w:u w:val="none"/>
              </w:rPr>
            </w:pPr>
            <w:r>
              <w:rPr>
                <w:color w:val="auto"/>
                <w:kern w:val="0"/>
                <w:highlight w:val="none"/>
                <w:u w:val="none"/>
              </w:rPr>
              <w:t>/</w:t>
            </w:r>
          </w:p>
        </w:tc>
        <w:tc>
          <w:tcPr>
            <w:tcW w:w="698" w:type="pct"/>
            <w:vAlign w:val="center"/>
          </w:tcPr>
          <w:p w14:paraId="3D1F407C">
            <w:pPr>
              <w:pStyle w:val="92"/>
              <w:rPr>
                <w:color w:val="auto"/>
                <w:highlight w:val="none"/>
                <w:u w:val="none"/>
              </w:rPr>
            </w:pPr>
            <w:r>
              <w:rPr>
                <w:color w:val="auto"/>
                <w:kern w:val="0"/>
                <w:highlight w:val="none"/>
                <w:u w:val="none"/>
              </w:rPr>
              <w:t>/</w:t>
            </w:r>
          </w:p>
        </w:tc>
        <w:tc>
          <w:tcPr>
            <w:tcW w:w="698" w:type="pct"/>
            <w:vAlign w:val="center"/>
          </w:tcPr>
          <w:p w14:paraId="72F9BB8C">
            <w:pPr>
              <w:pStyle w:val="92"/>
              <w:rPr>
                <w:color w:val="auto"/>
                <w:highlight w:val="none"/>
                <w:u w:val="none"/>
              </w:rPr>
            </w:pPr>
            <w:r>
              <w:rPr>
                <w:color w:val="auto"/>
                <w:highlight w:val="none"/>
                <w:u w:val="none"/>
              </w:rPr>
              <w:t>0.1</w:t>
            </w:r>
          </w:p>
        </w:tc>
        <w:tc>
          <w:tcPr>
            <w:tcW w:w="552" w:type="pct"/>
            <w:vAlign w:val="center"/>
          </w:tcPr>
          <w:p w14:paraId="6802F4BB">
            <w:pPr>
              <w:pStyle w:val="92"/>
              <w:rPr>
                <w:color w:val="auto"/>
                <w:highlight w:val="none"/>
                <w:u w:val="none"/>
              </w:rPr>
            </w:pPr>
            <w:r>
              <w:rPr>
                <w:rFonts w:hint="eastAsia"/>
                <w:color w:val="auto"/>
                <w:highlight w:val="none"/>
                <w:u w:val="none"/>
              </w:rPr>
              <w:t>0.1</w:t>
            </w:r>
          </w:p>
        </w:tc>
        <w:tc>
          <w:tcPr>
            <w:tcW w:w="549" w:type="pct"/>
            <w:vAlign w:val="center"/>
          </w:tcPr>
          <w:p w14:paraId="719CD647">
            <w:pPr>
              <w:pStyle w:val="92"/>
              <w:rPr>
                <w:color w:val="auto"/>
                <w:highlight w:val="none"/>
                <w:u w:val="none"/>
              </w:rPr>
            </w:pPr>
            <w:r>
              <w:rPr>
                <w:color w:val="auto"/>
                <w:highlight w:val="none"/>
                <w:u w:val="none"/>
              </w:rPr>
              <w:t>0.1</w:t>
            </w:r>
          </w:p>
        </w:tc>
      </w:tr>
      <w:tr w14:paraId="662D9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1C2BD040">
            <w:pPr>
              <w:pStyle w:val="92"/>
              <w:rPr>
                <w:color w:val="auto"/>
                <w:highlight w:val="none"/>
                <w:u w:val="none"/>
              </w:rPr>
            </w:pPr>
            <w:r>
              <w:rPr>
                <w:color w:val="auto"/>
                <w:highlight w:val="none"/>
                <w:u w:val="none"/>
              </w:rPr>
              <w:t>21</w:t>
            </w:r>
          </w:p>
        </w:tc>
        <w:tc>
          <w:tcPr>
            <w:tcW w:w="457" w:type="pct"/>
            <w:vAlign w:val="center"/>
          </w:tcPr>
          <w:p w14:paraId="57E0E224">
            <w:pPr>
              <w:pStyle w:val="92"/>
              <w:rPr>
                <w:color w:val="auto"/>
                <w:highlight w:val="none"/>
                <w:u w:val="none"/>
              </w:rPr>
            </w:pPr>
            <w:r>
              <w:rPr>
                <w:color w:val="auto"/>
                <w:highlight w:val="none"/>
                <w:u w:val="none"/>
              </w:rPr>
              <w:t>氯乙烯</w:t>
            </w:r>
          </w:p>
        </w:tc>
        <w:tc>
          <w:tcPr>
            <w:tcW w:w="931" w:type="pct"/>
            <w:vAlign w:val="center"/>
          </w:tcPr>
          <w:p w14:paraId="69507670">
            <w:pPr>
              <w:pStyle w:val="92"/>
              <w:rPr>
                <w:color w:val="auto"/>
                <w:highlight w:val="none"/>
                <w:u w:val="none"/>
              </w:rPr>
            </w:pPr>
            <w:r>
              <w:rPr>
                <w:color w:val="auto"/>
                <w:highlight w:val="none"/>
                <w:u w:val="none"/>
              </w:rPr>
              <w:t>0.05</w:t>
            </w:r>
          </w:p>
        </w:tc>
        <w:tc>
          <w:tcPr>
            <w:tcW w:w="838" w:type="pct"/>
            <w:vAlign w:val="center"/>
          </w:tcPr>
          <w:p w14:paraId="4EDC8E17">
            <w:pPr>
              <w:pStyle w:val="92"/>
              <w:rPr>
                <w:color w:val="auto"/>
                <w:highlight w:val="none"/>
                <w:u w:val="none"/>
              </w:rPr>
            </w:pPr>
            <w:r>
              <w:rPr>
                <w:color w:val="auto"/>
                <w:highlight w:val="none"/>
                <w:u w:val="none"/>
              </w:rPr>
              <w:t>0.5</w:t>
            </w:r>
            <w:r>
              <w:rPr>
                <w:rFonts w:ascii="Cambria Math" w:hAnsi="Cambria Math" w:cs="Cambria Math"/>
                <w:color w:val="auto"/>
                <w:highlight w:val="none"/>
                <w:u w:val="none"/>
                <w:vertAlign w:val="superscript"/>
              </w:rPr>
              <w:t>②</w:t>
            </w:r>
          </w:p>
        </w:tc>
        <w:tc>
          <w:tcPr>
            <w:tcW w:w="698" w:type="pct"/>
            <w:vAlign w:val="center"/>
          </w:tcPr>
          <w:p w14:paraId="7E43D54E">
            <w:pPr>
              <w:pStyle w:val="92"/>
              <w:rPr>
                <w:color w:val="auto"/>
                <w:highlight w:val="none"/>
                <w:u w:val="none"/>
              </w:rPr>
            </w:pPr>
            <w:r>
              <w:rPr>
                <w:color w:val="auto"/>
                <w:kern w:val="0"/>
                <w:highlight w:val="none"/>
                <w:u w:val="none"/>
              </w:rPr>
              <w:t>/</w:t>
            </w:r>
          </w:p>
        </w:tc>
        <w:tc>
          <w:tcPr>
            <w:tcW w:w="698" w:type="pct"/>
            <w:vAlign w:val="center"/>
          </w:tcPr>
          <w:p w14:paraId="0B5B0015">
            <w:pPr>
              <w:pStyle w:val="92"/>
              <w:rPr>
                <w:color w:val="auto"/>
                <w:highlight w:val="none"/>
                <w:u w:val="none"/>
              </w:rPr>
            </w:pPr>
            <w:r>
              <w:rPr>
                <w:color w:val="auto"/>
                <w:kern w:val="0"/>
                <w:highlight w:val="none"/>
                <w:u w:val="none"/>
              </w:rPr>
              <w:t>/</w:t>
            </w:r>
          </w:p>
        </w:tc>
        <w:tc>
          <w:tcPr>
            <w:tcW w:w="552" w:type="pct"/>
            <w:vAlign w:val="center"/>
          </w:tcPr>
          <w:p w14:paraId="6F288DE0">
            <w:pPr>
              <w:pStyle w:val="92"/>
              <w:rPr>
                <w:color w:val="auto"/>
                <w:highlight w:val="none"/>
                <w:u w:val="none"/>
              </w:rPr>
            </w:pPr>
            <w:r>
              <w:rPr>
                <w:rFonts w:hint="eastAsia"/>
                <w:color w:val="auto"/>
                <w:highlight w:val="none"/>
                <w:u w:val="none"/>
              </w:rPr>
              <w:t>/</w:t>
            </w:r>
          </w:p>
        </w:tc>
        <w:tc>
          <w:tcPr>
            <w:tcW w:w="549" w:type="pct"/>
            <w:vAlign w:val="center"/>
          </w:tcPr>
          <w:p w14:paraId="3D1EEB17">
            <w:pPr>
              <w:pStyle w:val="92"/>
              <w:rPr>
                <w:color w:val="auto"/>
                <w:highlight w:val="none"/>
                <w:u w:val="none"/>
              </w:rPr>
            </w:pPr>
            <w:r>
              <w:rPr>
                <w:color w:val="auto"/>
                <w:highlight w:val="none"/>
                <w:u w:val="none"/>
              </w:rPr>
              <w:t>0.05</w:t>
            </w:r>
          </w:p>
        </w:tc>
      </w:tr>
      <w:tr w14:paraId="45C2B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7" w:type="pct"/>
            <w:vAlign w:val="center"/>
          </w:tcPr>
          <w:p w14:paraId="7CBC9C02">
            <w:pPr>
              <w:pStyle w:val="92"/>
              <w:rPr>
                <w:color w:val="auto"/>
                <w:highlight w:val="none"/>
                <w:u w:val="none"/>
              </w:rPr>
            </w:pPr>
            <w:r>
              <w:rPr>
                <w:rFonts w:hint="eastAsia"/>
                <w:color w:val="auto"/>
                <w:highlight w:val="none"/>
                <w:u w:val="none"/>
              </w:rPr>
              <w:t>2</w:t>
            </w:r>
            <w:r>
              <w:rPr>
                <w:color w:val="auto"/>
                <w:highlight w:val="none"/>
                <w:u w:val="none"/>
              </w:rPr>
              <w:t>2</w:t>
            </w:r>
          </w:p>
        </w:tc>
        <w:tc>
          <w:tcPr>
            <w:tcW w:w="457" w:type="pct"/>
            <w:vAlign w:val="center"/>
          </w:tcPr>
          <w:p w14:paraId="6AB9E200">
            <w:pPr>
              <w:pStyle w:val="92"/>
              <w:rPr>
                <w:color w:val="auto"/>
                <w:highlight w:val="none"/>
                <w:u w:val="none"/>
              </w:rPr>
            </w:pPr>
            <w:r>
              <w:rPr>
                <w:rFonts w:hint="eastAsia"/>
                <w:color w:val="auto"/>
                <w:highlight w:val="none"/>
                <w:u w:val="none"/>
              </w:rPr>
              <w:t>1,2-二氯乙烷</w:t>
            </w:r>
          </w:p>
        </w:tc>
        <w:tc>
          <w:tcPr>
            <w:tcW w:w="931" w:type="pct"/>
            <w:vAlign w:val="center"/>
          </w:tcPr>
          <w:p w14:paraId="781FFBC7">
            <w:pPr>
              <w:pStyle w:val="92"/>
              <w:rPr>
                <w:color w:val="auto"/>
                <w:highlight w:val="none"/>
                <w:u w:val="none"/>
              </w:rPr>
            </w:pPr>
            <w:r>
              <w:rPr>
                <w:rFonts w:hint="eastAsia"/>
                <w:color w:val="auto"/>
                <w:highlight w:val="none"/>
                <w:u w:val="none"/>
              </w:rPr>
              <w:t>0.3</w:t>
            </w:r>
          </w:p>
        </w:tc>
        <w:tc>
          <w:tcPr>
            <w:tcW w:w="838" w:type="pct"/>
            <w:vAlign w:val="center"/>
          </w:tcPr>
          <w:p w14:paraId="7E0B0311">
            <w:pPr>
              <w:pStyle w:val="92"/>
              <w:rPr>
                <w:color w:val="auto"/>
                <w:highlight w:val="none"/>
                <w:u w:val="none"/>
              </w:rPr>
            </w:pPr>
            <w:r>
              <w:rPr>
                <w:color w:val="auto"/>
                <w:highlight w:val="none"/>
                <w:u w:val="none"/>
              </w:rPr>
              <w:t>/</w:t>
            </w:r>
          </w:p>
        </w:tc>
        <w:tc>
          <w:tcPr>
            <w:tcW w:w="698" w:type="pct"/>
            <w:vAlign w:val="center"/>
          </w:tcPr>
          <w:p w14:paraId="07819419">
            <w:pPr>
              <w:pStyle w:val="92"/>
              <w:rPr>
                <w:color w:val="auto"/>
                <w:kern w:val="0"/>
                <w:highlight w:val="none"/>
                <w:u w:val="none"/>
              </w:rPr>
            </w:pPr>
            <w:r>
              <w:rPr>
                <w:color w:val="auto"/>
                <w:highlight w:val="none"/>
                <w:u w:val="none"/>
              </w:rPr>
              <w:t>/</w:t>
            </w:r>
          </w:p>
        </w:tc>
        <w:tc>
          <w:tcPr>
            <w:tcW w:w="698" w:type="pct"/>
            <w:vAlign w:val="center"/>
          </w:tcPr>
          <w:p w14:paraId="111B2C5F">
            <w:pPr>
              <w:pStyle w:val="92"/>
              <w:rPr>
                <w:color w:val="auto"/>
                <w:kern w:val="0"/>
                <w:highlight w:val="none"/>
                <w:u w:val="none"/>
              </w:rPr>
            </w:pPr>
            <w:r>
              <w:rPr>
                <w:color w:val="auto"/>
                <w:highlight w:val="none"/>
                <w:u w:val="none"/>
              </w:rPr>
              <w:t>/</w:t>
            </w:r>
          </w:p>
        </w:tc>
        <w:tc>
          <w:tcPr>
            <w:tcW w:w="552" w:type="pct"/>
            <w:vAlign w:val="center"/>
          </w:tcPr>
          <w:p w14:paraId="4B13C916">
            <w:pPr>
              <w:pStyle w:val="92"/>
              <w:rPr>
                <w:color w:val="auto"/>
                <w:highlight w:val="none"/>
                <w:u w:val="none"/>
              </w:rPr>
            </w:pPr>
            <w:r>
              <w:rPr>
                <w:rFonts w:hint="eastAsia"/>
                <w:color w:val="auto"/>
                <w:highlight w:val="none"/>
                <w:u w:val="none"/>
              </w:rPr>
              <w:t>/</w:t>
            </w:r>
          </w:p>
        </w:tc>
        <w:tc>
          <w:tcPr>
            <w:tcW w:w="549" w:type="pct"/>
            <w:vAlign w:val="center"/>
          </w:tcPr>
          <w:p w14:paraId="5A81EF35">
            <w:pPr>
              <w:pStyle w:val="92"/>
              <w:rPr>
                <w:color w:val="auto"/>
                <w:highlight w:val="none"/>
                <w:u w:val="none"/>
              </w:rPr>
            </w:pPr>
            <w:r>
              <w:rPr>
                <w:rFonts w:hint="eastAsia"/>
                <w:color w:val="auto"/>
                <w:highlight w:val="none"/>
                <w:u w:val="none"/>
              </w:rPr>
              <w:t>0</w:t>
            </w:r>
            <w:r>
              <w:rPr>
                <w:color w:val="auto"/>
                <w:highlight w:val="none"/>
                <w:u w:val="none"/>
              </w:rPr>
              <w:t>.3</w:t>
            </w:r>
          </w:p>
        </w:tc>
      </w:tr>
    </w:tbl>
    <w:p w14:paraId="42D58D83">
      <w:pPr>
        <w:pStyle w:val="92"/>
        <w:ind w:firstLine="180" w:firstLineChars="100"/>
        <w:jc w:val="both"/>
        <w:rPr>
          <w:color w:val="auto"/>
          <w:sz w:val="18"/>
          <w:szCs w:val="18"/>
          <w:highlight w:val="none"/>
          <w:u w:val="none"/>
        </w:rPr>
      </w:pPr>
      <w:r>
        <w:rPr>
          <w:color w:val="auto"/>
          <w:sz w:val="18"/>
          <w:szCs w:val="18"/>
          <w:highlight w:val="none"/>
          <w:u w:val="none"/>
        </w:rPr>
        <w:t>*注：</w:t>
      </w:r>
      <w:r>
        <w:rPr>
          <w:rFonts w:ascii="Cambria Math" w:hAnsi="Cambria Math" w:cs="Cambria Math"/>
          <w:color w:val="auto"/>
          <w:sz w:val="18"/>
          <w:szCs w:val="18"/>
          <w:highlight w:val="none"/>
          <w:u w:val="none"/>
        </w:rPr>
        <w:t>①</w:t>
      </w:r>
      <w:r>
        <w:rPr>
          <w:color w:val="auto"/>
          <w:sz w:val="18"/>
          <w:szCs w:val="18"/>
          <w:highlight w:val="none"/>
          <w:u w:val="none"/>
        </w:rPr>
        <w:t>括号外数值为水温&gt;12℃时的控制指标，括号内为水温≤12℃时的控制指标。</w:t>
      </w:r>
    </w:p>
    <w:p w14:paraId="6ECD950C">
      <w:pPr>
        <w:pStyle w:val="92"/>
        <w:ind w:firstLine="540" w:firstLineChars="300"/>
        <w:jc w:val="both"/>
        <w:rPr>
          <w:color w:val="auto"/>
          <w:sz w:val="18"/>
          <w:szCs w:val="18"/>
          <w:highlight w:val="none"/>
          <w:u w:val="none"/>
        </w:rPr>
      </w:pPr>
      <w:r>
        <w:rPr>
          <w:rFonts w:ascii="Cambria Math" w:hAnsi="Cambria Math" w:cs="Cambria Math"/>
          <w:color w:val="auto"/>
          <w:sz w:val="18"/>
          <w:szCs w:val="18"/>
          <w:highlight w:val="none"/>
          <w:u w:val="none"/>
        </w:rPr>
        <w:t>②</w:t>
      </w:r>
      <w:r>
        <w:rPr>
          <w:color w:val="auto"/>
          <w:sz w:val="18"/>
          <w:szCs w:val="18"/>
          <w:highlight w:val="none"/>
          <w:u w:val="none"/>
        </w:rPr>
        <w:t>氯乙烯≤0.5mg/L为GB15581-2016对聚氯乙烯企业车间或生产装置排放口限值要求。</w:t>
      </w:r>
    </w:p>
    <w:p w14:paraId="6647AF01">
      <w:pPr>
        <w:rPr>
          <w:rFonts w:hint="eastAsia"/>
          <w:color w:val="auto"/>
          <w:highlight w:val="none"/>
          <w:u w:val="none"/>
        </w:rPr>
      </w:pPr>
      <w:r>
        <w:rPr>
          <w:rFonts w:ascii="Cambria Math" w:hAnsi="Cambria Math" w:cs="Cambria Math"/>
          <w:color w:val="auto"/>
          <w:sz w:val="18"/>
          <w:szCs w:val="18"/>
          <w:highlight w:val="none"/>
          <w:u w:val="none"/>
        </w:rPr>
        <w:t>③</w:t>
      </w:r>
      <w:r>
        <w:rPr>
          <w:color w:val="auto"/>
          <w:sz w:val="18"/>
          <w:szCs w:val="18"/>
          <w:highlight w:val="none"/>
          <w:u w:val="none"/>
        </w:rPr>
        <w:t>总铅≤1.0mg/L、总砷≤0.5mg/L、总汞≤0.05mg/L为GB31571-2015对企业车间或生产设施废水排放口限值要求。</w:t>
      </w:r>
    </w:p>
    <w:p w14:paraId="60303589">
      <w:pPr>
        <w:rPr>
          <w:rFonts w:hint="eastAsia"/>
          <w:bCs/>
          <w:color w:val="auto"/>
          <w:highlight w:val="none"/>
          <w:u w:val="none"/>
        </w:rPr>
      </w:pPr>
      <w:r>
        <w:rPr>
          <w:rFonts w:hint="eastAsia"/>
          <w:color w:val="auto"/>
          <w:highlight w:val="none"/>
          <w:u w:val="none"/>
        </w:rPr>
        <w:t>（2）废气</w:t>
      </w:r>
    </w:p>
    <w:p w14:paraId="3482BF15">
      <w:pPr>
        <w:snapToGrid w:val="0"/>
        <w:ind w:firstLine="600" w:firstLineChars="250"/>
        <w:rPr>
          <w:rFonts w:hint="eastAsia"/>
          <w:color w:val="auto"/>
          <w:highlight w:val="none"/>
          <w:u w:val="none"/>
        </w:rPr>
      </w:pPr>
      <w:r>
        <w:rPr>
          <w:rFonts w:hint="eastAsia"/>
          <w:color w:val="auto"/>
          <w:highlight w:val="none"/>
          <w:u w:val="none"/>
        </w:rPr>
        <w:t>①焚烧废气</w:t>
      </w:r>
    </w:p>
    <w:p w14:paraId="16E95B34">
      <w:pPr>
        <w:snapToGrid w:val="0"/>
        <w:ind w:firstLine="600" w:firstLineChars="250"/>
        <w:rPr>
          <w:rFonts w:hint="eastAsia"/>
          <w:color w:val="auto"/>
          <w:highlight w:val="none"/>
          <w:u w:val="none"/>
        </w:rPr>
      </w:pPr>
      <w:r>
        <w:rPr>
          <w:color w:val="auto"/>
          <w:highlight w:val="none"/>
          <w:u w:val="none"/>
        </w:rPr>
        <w:t>本项目酸性废气（含MNT废酸储罐及浓硝酸储罐呼吸</w:t>
      </w:r>
      <w:r>
        <w:rPr>
          <w:rFonts w:hint="eastAsia"/>
          <w:color w:val="auto"/>
          <w:highlight w:val="none"/>
          <w:u w:val="none"/>
        </w:rPr>
        <w:t>废气</w:t>
      </w:r>
      <w:r>
        <w:rPr>
          <w:color w:val="auto"/>
          <w:highlight w:val="none"/>
          <w:u w:val="none"/>
        </w:rPr>
        <w:t>）、碱性废气、</w:t>
      </w:r>
      <w:r>
        <w:rPr>
          <w:rFonts w:hint="eastAsia"/>
          <w:color w:val="auto"/>
          <w:highlight w:val="none"/>
          <w:u w:val="none"/>
        </w:rPr>
        <w:t>反应驰放气、</w:t>
      </w:r>
      <w:r>
        <w:rPr>
          <w:color w:val="auto"/>
          <w:highlight w:val="none"/>
          <w:u w:val="none"/>
        </w:rPr>
        <w:t>光化尾气（含TDI不合格储罐呼吸</w:t>
      </w:r>
      <w:r>
        <w:rPr>
          <w:rFonts w:hint="eastAsia"/>
          <w:color w:val="auto"/>
          <w:highlight w:val="none"/>
          <w:u w:val="none"/>
        </w:rPr>
        <w:t>废气</w:t>
      </w:r>
      <w:r>
        <w:rPr>
          <w:color w:val="auto"/>
          <w:highlight w:val="none"/>
          <w:u w:val="none"/>
        </w:rPr>
        <w:t>）、轻油、TDI废液委托万华</w:t>
      </w:r>
      <w:r>
        <w:rPr>
          <w:rFonts w:hint="eastAsia"/>
          <w:color w:val="auto"/>
          <w:highlight w:val="none"/>
          <w:u w:val="none"/>
          <w:lang w:val="en-US"/>
        </w:rPr>
        <w:t>环保科技公司</w:t>
      </w:r>
      <w:r>
        <w:rPr>
          <w:rFonts w:hint="eastAsia"/>
          <w:color w:val="auto"/>
          <w:highlight w:val="none"/>
          <w:u w:val="none"/>
        </w:rPr>
        <w:t>的</w:t>
      </w:r>
      <w:r>
        <w:rPr>
          <w:color w:val="auto"/>
          <w:highlight w:val="none"/>
          <w:u w:val="none"/>
        </w:rPr>
        <w:t>能量回收装置焚烧处置</w:t>
      </w:r>
      <w:r>
        <w:rPr>
          <w:rFonts w:hint="eastAsia"/>
          <w:color w:val="auto"/>
          <w:highlight w:val="none"/>
          <w:u w:val="none"/>
        </w:rPr>
        <w:t>。</w:t>
      </w:r>
    </w:p>
    <w:p w14:paraId="115C93D0">
      <w:pPr>
        <w:snapToGrid w:val="0"/>
        <w:ind w:firstLine="600" w:firstLineChars="250"/>
        <w:rPr>
          <w:rFonts w:hint="eastAsia"/>
          <w:color w:val="auto"/>
          <w:highlight w:val="none"/>
          <w:u w:val="none"/>
        </w:rPr>
      </w:pPr>
      <w:r>
        <w:rPr>
          <w:color w:val="auto"/>
          <w:highlight w:val="none"/>
          <w:u w:val="none"/>
        </w:rPr>
        <w:t>能量回收装置</w:t>
      </w:r>
      <w:r>
        <w:rPr>
          <w:rFonts w:hint="eastAsia"/>
          <w:color w:val="auto"/>
          <w:highlight w:val="none"/>
          <w:u w:val="none"/>
        </w:rPr>
        <w:t>焚烧</w:t>
      </w:r>
      <w:r>
        <w:rPr>
          <w:color w:val="auto"/>
          <w:highlight w:val="none"/>
          <w:u w:val="none"/>
        </w:rPr>
        <w:t>烟气中的颗粒物、二氧化硫、氮氧化物、氯化氢排放执行《危险废物焚烧污染控制标准》（GB18484-2020）表3排放浓度限值与《石油化学工业污染物排放标准》（GB 31571-2015）</w:t>
      </w:r>
      <w:r>
        <w:rPr>
          <w:rFonts w:hint="eastAsia"/>
          <w:color w:val="auto"/>
          <w:highlight w:val="none"/>
          <w:u w:val="none"/>
        </w:rPr>
        <w:t>及其修改单中</w:t>
      </w:r>
      <w:r>
        <w:rPr>
          <w:color w:val="auto"/>
          <w:highlight w:val="none"/>
          <w:u w:val="none"/>
        </w:rPr>
        <w:t>表5大气污染物特别排放限值的</w:t>
      </w:r>
      <w:r>
        <w:rPr>
          <w:rFonts w:hint="eastAsia"/>
          <w:color w:val="auto"/>
          <w:highlight w:val="none"/>
          <w:u w:val="none"/>
        </w:rPr>
        <w:t>最严格限值</w:t>
      </w:r>
      <w:r>
        <w:rPr>
          <w:color w:val="auto"/>
          <w:highlight w:val="none"/>
          <w:u w:val="none"/>
        </w:rPr>
        <w:t>，烟气中的CO执行《危险废物焚烧污染控制标准》（GB18484-2020）表3限值，烟气中的二噁英、甲醇、甲醛等特征污染物执行《石油化学工业污染物排放标准》（GB 31571-2015）</w:t>
      </w:r>
      <w:r>
        <w:rPr>
          <w:rFonts w:hint="eastAsia"/>
          <w:color w:val="auto"/>
          <w:highlight w:val="none"/>
          <w:u w:val="none"/>
        </w:rPr>
        <w:t>及其修改单中</w:t>
      </w:r>
      <w:r>
        <w:rPr>
          <w:color w:val="auto"/>
          <w:highlight w:val="none"/>
          <w:u w:val="none"/>
        </w:rPr>
        <w:t>表6废气中有机特征污染物排放限值，非甲烷总烃去除率执行《石油化学工业污染物排放标准》（GB 31571-2015）</w:t>
      </w:r>
      <w:r>
        <w:rPr>
          <w:rFonts w:hint="eastAsia"/>
          <w:color w:val="auto"/>
          <w:highlight w:val="none"/>
          <w:u w:val="none"/>
        </w:rPr>
        <w:t>及其修改单中</w:t>
      </w:r>
      <w:r>
        <w:rPr>
          <w:color w:val="auto"/>
          <w:highlight w:val="none"/>
          <w:u w:val="none"/>
        </w:rPr>
        <w:t>表</w:t>
      </w:r>
      <w:r>
        <w:rPr>
          <w:rFonts w:hint="eastAsia"/>
          <w:color w:val="auto"/>
          <w:highlight w:val="none"/>
          <w:u w:val="none"/>
          <w:lang w:val="en-US"/>
        </w:rPr>
        <w:t>5</w:t>
      </w:r>
      <w:r>
        <w:rPr>
          <w:color w:val="auto"/>
          <w:highlight w:val="none"/>
          <w:u w:val="none"/>
        </w:rPr>
        <w:t>要求，非甲烷总烃排放浓度参照《工业企业挥发性有机物排放标准》（DB35/1782-2018）表1其他行业允许排放浓度，氨</w:t>
      </w:r>
      <w:r>
        <w:rPr>
          <w:rFonts w:hint="eastAsia"/>
          <w:color w:val="auto"/>
          <w:highlight w:val="none"/>
          <w:u w:val="none"/>
        </w:rPr>
        <w:t>执行《恶臭污染物排放标准》（GB14554-93）表2排放标准值</w:t>
      </w:r>
      <w:r>
        <w:rPr>
          <w:color w:val="auto"/>
          <w:highlight w:val="none"/>
          <w:u w:val="none"/>
        </w:rPr>
        <w:t>。</w:t>
      </w:r>
      <w:r>
        <w:rPr>
          <w:rFonts w:hint="eastAsia"/>
          <w:color w:val="auto"/>
          <w:highlight w:val="none"/>
          <w:u w:val="none"/>
        </w:rPr>
        <w:t>能量回收装置废气排放限值详见</w:t>
      </w:r>
      <w:r>
        <w:rPr>
          <w:color w:val="auto"/>
          <w:highlight w:val="none"/>
          <w:u w:val="none"/>
        </w:rPr>
        <w:fldChar w:fldCharType="begin"/>
      </w:r>
      <w:r>
        <w:rPr>
          <w:color w:val="auto"/>
          <w:highlight w:val="none"/>
          <w:u w:val="none"/>
        </w:rPr>
        <w:instrText xml:space="preserve"> REF _Ref46842197 \h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10</w:t>
      </w:r>
      <w:r>
        <w:rPr>
          <w:color w:val="auto"/>
          <w:highlight w:val="none"/>
          <w:u w:val="none"/>
        </w:rPr>
        <w:fldChar w:fldCharType="end"/>
      </w:r>
      <w:r>
        <w:rPr>
          <w:rFonts w:hint="eastAsia"/>
          <w:color w:val="auto"/>
          <w:highlight w:val="none"/>
          <w:u w:val="none"/>
          <w:lang w:val="en-US"/>
        </w:rPr>
        <w:t>~</w:t>
      </w:r>
      <w:r>
        <w:rPr>
          <w:rFonts w:hint="eastAsia"/>
          <w:color w:val="auto"/>
          <w:highlight w:val="none"/>
          <w:u w:val="none"/>
        </w:rPr>
        <w:fldChar w:fldCharType="begin"/>
      </w:r>
      <w:r>
        <w:rPr>
          <w:rFonts w:hint="eastAsia"/>
          <w:color w:val="auto"/>
          <w:highlight w:val="none"/>
          <w:u w:val="none"/>
        </w:rPr>
        <w:instrText xml:space="preserve"> REF _Ref7271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11</w:t>
      </w:r>
      <w:r>
        <w:rPr>
          <w:rFonts w:hint="eastAsia"/>
          <w:color w:val="auto"/>
          <w:highlight w:val="none"/>
          <w:u w:val="none"/>
        </w:rPr>
        <w:fldChar w:fldCharType="end"/>
      </w:r>
      <w:r>
        <w:rPr>
          <w:rFonts w:hint="eastAsia"/>
          <w:color w:val="auto"/>
          <w:highlight w:val="none"/>
          <w:u w:val="none"/>
        </w:rPr>
        <w:t>。</w:t>
      </w:r>
    </w:p>
    <w:p w14:paraId="279F55B3">
      <w:pPr>
        <w:pStyle w:val="85"/>
        <w:rPr>
          <w:color w:val="auto"/>
          <w:highlight w:val="none"/>
          <w:u w:val="none"/>
        </w:rPr>
      </w:pPr>
      <w:bookmarkStart w:id="85" w:name="_Ref46842197"/>
      <w:bookmarkStart w:id="86" w:name="_Ref4684925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10</w:t>
      </w:r>
      <w:r>
        <w:rPr>
          <w:color w:val="auto"/>
          <w:highlight w:val="none"/>
          <w:u w:val="none"/>
        </w:rPr>
        <w:fldChar w:fldCharType="end"/>
      </w:r>
      <w:bookmarkEnd w:id="85"/>
      <w:bookmarkEnd w:id="86"/>
      <w:r>
        <w:rPr>
          <w:color w:val="auto"/>
          <w:highlight w:val="none"/>
          <w:u w:val="none"/>
        </w:rPr>
        <w:t xml:space="preserve">  </w:t>
      </w:r>
      <w:r>
        <w:rPr>
          <w:rFonts w:hint="eastAsia"/>
          <w:color w:val="auto"/>
          <w:highlight w:val="none"/>
          <w:u w:val="none"/>
        </w:rPr>
        <w:t xml:space="preserve">能量回收装置废气排放限值 </w:t>
      </w:r>
      <w:r>
        <w:rPr>
          <w:color w:val="auto"/>
          <w:highlight w:val="none"/>
          <w:u w:val="none"/>
        </w:rPr>
        <w:t xml:space="preserve"> </w:t>
      </w:r>
      <w:r>
        <w:rPr>
          <w:rFonts w:hint="eastAsia"/>
          <w:color w:val="auto"/>
          <w:highlight w:val="none"/>
          <w:u w:val="none"/>
        </w:rPr>
        <w:t>单位：</w:t>
      </w:r>
      <w:r>
        <w:rPr>
          <w:color w:val="auto"/>
          <w:highlight w:val="none"/>
          <w:u w:val="none"/>
        </w:rPr>
        <w:t>mg/m</w:t>
      </w:r>
      <w:r>
        <w:rPr>
          <w:color w:val="auto"/>
          <w:highlight w:val="none"/>
          <w:u w:val="none"/>
          <w:vertAlign w:val="superscript"/>
        </w:rPr>
        <w:t>3</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9"/>
        <w:gridCol w:w="1293"/>
        <w:gridCol w:w="2145"/>
        <w:gridCol w:w="1802"/>
        <w:gridCol w:w="1841"/>
        <w:gridCol w:w="1538"/>
      </w:tblGrid>
      <w:tr w14:paraId="22D96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60" w:type="pct"/>
            <w:shd w:val="clear" w:color="auto" w:fill="auto"/>
            <w:vAlign w:val="center"/>
          </w:tcPr>
          <w:p w14:paraId="26A78447">
            <w:pPr>
              <w:pStyle w:val="92"/>
              <w:rPr>
                <w:color w:val="auto"/>
                <w:highlight w:val="none"/>
                <w:u w:val="none"/>
              </w:rPr>
            </w:pPr>
            <w:r>
              <w:rPr>
                <w:rFonts w:hint="eastAsia"/>
                <w:color w:val="auto"/>
                <w:highlight w:val="none"/>
                <w:u w:val="none"/>
              </w:rPr>
              <w:t>序号</w:t>
            </w:r>
          </w:p>
        </w:tc>
        <w:tc>
          <w:tcPr>
            <w:tcW w:w="1850" w:type="pct"/>
            <w:gridSpan w:val="2"/>
            <w:shd w:val="clear" w:color="auto" w:fill="auto"/>
            <w:vAlign w:val="center"/>
          </w:tcPr>
          <w:p w14:paraId="038A5FE1">
            <w:pPr>
              <w:pStyle w:val="92"/>
              <w:rPr>
                <w:color w:val="auto"/>
                <w:highlight w:val="none"/>
                <w:u w:val="none"/>
              </w:rPr>
            </w:pPr>
            <w:r>
              <w:rPr>
                <w:rFonts w:hint="eastAsia"/>
                <w:color w:val="auto"/>
                <w:highlight w:val="none"/>
                <w:u w:val="none"/>
              </w:rPr>
              <w:t>项目</w:t>
            </w:r>
          </w:p>
        </w:tc>
        <w:tc>
          <w:tcPr>
            <w:tcW w:w="969" w:type="pct"/>
            <w:shd w:val="clear" w:color="auto" w:fill="auto"/>
            <w:vAlign w:val="center"/>
          </w:tcPr>
          <w:p w14:paraId="6E8CE42C">
            <w:pPr>
              <w:pStyle w:val="92"/>
              <w:rPr>
                <w:color w:val="auto"/>
                <w:highlight w:val="none"/>
                <w:u w:val="none"/>
              </w:rPr>
            </w:pPr>
            <w:r>
              <w:rPr>
                <w:rFonts w:hint="eastAsia"/>
                <w:color w:val="auto"/>
                <w:highlight w:val="none"/>
                <w:u w:val="none"/>
              </w:rPr>
              <w:t>《危险废物焚烧</w:t>
            </w:r>
          </w:p>
          <w:p w14:paraId="2E1A56FC">
            <w:pPr>
              <w:pStyle w:val="92"/>
              <w:rPr>
                <w:color w:val="auto"/>
                <w:highlight w:val="none"/>
                <w:u w:val="none"/>
              </w:rPr>
            </w:pPr>
            <w:r>
              <w:rPr>
                <w:rFonts w:hint="eastAsia"/>
                <w:color w:val="auto"/>
                <w:highlight w:val="none"/>
                <w:u w:val="none"/>
              </w:rPr>
              <w:t>污染控制标准》</w:t>
            </w:r>
          </w:p>
          <w:p w14:paraId="4387C3B5">
            <w:pPr>
              <w:pStyle w:val="92"/>
              <w:rPr>
                <w:color w:val="auto"/>
                <w:highlight w:val="none"/>
                <w:u w:val="none"/>
              </w:rPr>
            </w:pPr>
            <w:r>
              <w:rPr>
                <w:rFonts w:hint="eastAsia"/>
                <w:color w:val="auto"/>
                <w:highlight w:val="none"/>
                <w:u w:val="none"/>
              </w:rPr>
              <w:t>（</w:t>
            </w:r>
            <w:r>
              <w:rPr>
                <w:color w:val="auto"/>
                <w:highlight w:val="none"/>
                <w:u w:val="none"/>
              </w:rPr>
              <w:t>GB18484-2020）</w:t>
            </w:r>
          </w:p>
        </w:tc>
        <w:tc>
          <w:tcPr>
            <w:tcW w:w="990" w:type="pct"/>
            <w:shd w:val="clear" w:color="auto" w:fill="auto"/>
            <w:vAlign w:val="center"/>
          </w:tcPr>
          <w:p w14:paraId="4A6BDF81">
            <w:pPr>
              <w:pStyle w:val="92"/>
              <w:rPr>
                <w:color w:val="auto"/>
                <w:highlight w:val="none"/>
                <w:u w:val="none"/>
              </w:rPr>
            </w:pPr>
            <w:r>
              <w:rPr>
                <w:color w:val="auto"/>
                <w:highlight w:val="none"/>
                <w:u w:val="none"/>
              </w:rPr>
              <w:t>《石油化学工业</w:t>
            </w:r>
          </w:p>
          <w:p w14:paraId="276A2F28">
            <w:pPr>
              <w:pStyle w:val="92"/>
              <w:rPr>
                <w:color w:val="auto"/>
                <w:highlight w:val="none"/>
                <w:u w:val="none"/>
              </w:rPr>
            </w:pPr>
            <w:r>
              <w:rPr>
                <w:color w:val="auto"/>
                <w:highlight w:val="none"/>
                <w:u w:val="none"/>
              </w:rPr>
              <w:t>污染物排放标准》（GB 1571-2015）</w:t>
            </w:r>
            <w:r>
              <w:rPr>
                <w:rFonts w:hint="eastAsia"/>
                <w:color w:val="auto"/>
                <w:highlight w:val="none"/>
                <w:u w:val="none"/>
              </w:rPr>
              <w:t>及其修改单</w:t>
            </w:r>
          </w:p>
        </w:tc>
        <w:tc>
          <w:tcPr>
            <w:tcW w:w="828" w:type="pct"/>
            <w:shd w:val="clear" w:color="auto" w:fill="auto"/>
            <w:vAlign w:val="center"/>
          </w:tcPr>
          <w:p w14:paraId="2F9FDC76">
            <w:pPr>
              <w:pStyle w:val="510"/>
              <w:rPr>
                <w:color w:val="auto"/>
                <w:highlight w:val="none"/>
                <w:u w:val="none"/>
              </w:rPr>
            </w:pPr>
            <w:r>
              <w:rPr>
                <w:rFonts w:hint="eastAsia"/>
                <w:color w:val="auto"/>
                <w:highlight w:val="none"/>
                <w:u w:val="none"/>
              </w:rPr>
              <w:t>从严限值</w:t>
            </w:r>
          </w:p>
        </w:tc>
      </w:tr>
      <w:tr w14:paraId="4E6DB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shd w:val="clear" w:color="auto" w:fill="auto"/>
            <w:vAlign w:val="center"/>
          </w:tcPr>
          <w:p w14:paraId="094E2D3A">
            <w:pPr>
              <w:pStyle w:val="92"/>
              <w:rPr>
                <w:color w:val="auto"/>
                <w:highlight w:val="none"/>
                <w:u w:val="none"/>
              </w:rPr>
            </w:pPr>
            <w:r>
              <w:rPr>
                <w:rFonts w:hint="eastAsia"/>
                <w:color w:val="auto"/>
                <w:highlight w:val="none"/>
                <w:u w:val="none"/>
              </w:rPr>
              <w:t>1</w:t>
            </w:r>
          </w:p>
        </w:tc>
        <w:tc>
          <w:tcPr>
            <w:tcW w:w="696" w:type="pct"/>
            <w:vMerge w:val="restart"/>
            <w:shd w:val="clear" w:color="auto" w:fill="auto"/>
            <w:vAlign w:val="center"/>
          </w:tcPr>
          <w:p w14:paraId="1729B41C">
            <w:pPr>
              <w:pStyle w:val="92"/>
              <w:rPr>
                <w:color w:val="auto"/>
                <w:highlight w:val="none"/>
                <w:u w:val="none"/>
              </w:rPr>
            </w:pPr>
            <w:r>
              <w:rPr>
                <w:rFonts w:hint="eastAsia"/>
                <w:color w:val="auto"/>
                <w:highlight w:val="none"/>
                <w:u w:val="none"/>
              </w:rPr>
              <w:t>烟尘</w:t>
            </w:r>
          </w:p>
          <w:p w14:paraId="35EF45D4">
            <w:pPr>
              <w:pStyle w:val="92"/>
              <w:rPr>
                <w:color w:val="auto"/>
                <w:highlight w:val="none"/>
                <w:u w:val="none"/>
              </w:rPr>
            </w:pPr>
            <w:r>
              <w:rPr>
                <w:rFonts w:hint="eastAsia"/>
                <w:color w:val="auto"/>
                <w:highlight w:val="none"/>
                <w:u w:val="none"/>
              </w:rPr>
              <w:t>（颗粒物）</w:t>
            </w:r>
          </w:p>
        </w:tc>
        <w:tc>
          <w:tcPr>
            <w:tcW w:w="1154" w:type="pct"/>
            <w:shd w:val="clear" w:color="auto" w:fill="auto"/>
            <w:vAlign w:val="center"/>
          </w:tcPr>
          <w:p w14:paraId="37569D93">
            <w:pPr>
              <w:pStyle w:val="92"/>
              <w:rPr>
                <w:color w:val="auto"/>
                <w:highlight w:val="none"/>
                <w:u w:val="none"/>
              </w:rPr>
            </w:pPr>
            <w:r>
              <w:rPr>
                <w:rFonts w:hint="eastAsia"/>
                <w:color w:val="auto"/>
                <w:highlight w:val="none"/>
                <w:u w:val="none"/>
              </w:rPr>
              <w:t>1小时均值</w:t>
            </w:r>
          </w:p>
        </w:tc>
        <w:tc>
          <w:tcPr>
            <w:tcW w:w="969" w:type="pct"/>
            <w:shd w:val="clear" w:color="auto" w:fill="auto"/>
            <w:vAlign w:val="center"/>
          </w:tcPr>
          <w:p w14:paraId="10E7D5CA">
            <w:pPr>
              <w:pStyle w:val="92"/>
              <w:rPr>
                <w:color w:val="auto"/>
                <w:highlight w:val="none"/>
                <w:u w:val="none"/>
              </w:rPr>
            </w:pPr>
            <w:r>
              <w:rPr>
                <w:rFonts w:hint="eastAsia"/>
                <w:color w:val="auto"/>
                <w:highlight w:val="none"/>
                <w:u w:val="none"/>
              </w:rPr>
              <w:t>3</w:t>
            </w:r>
            <w:r>
              <w:rPr>
                <w:color w:val="auto"/>
                <w:highlight w:val="none"/>
                <w:u w:val="none"/>
              </w:rPr>
              <w:t>0</w:t>
            </w:r>
          </w:p>
        </w:tc>
        <w:tc>
          <w:tcPr>
            <w:tcW w:w="990" w:type="pct"/>
            <w:shd w:val="clear" w:color="auto" w:fill="auto"/>
            <w:vAlign w:val="center"/>
          </w:tcPr>
          <w:p w14:paraId="29016181">
            <w:pPr>
              <w:pStyle w:val="92"/>
              <w:rPr>
                <w:color w:val="auto"/>
                <w:highlight w:val="none"/>
                <w:u w:val="none"/>
              </w:rPr>
            </w:pPr>
            <w:r>
              <w:rPr>
                <w:rFonts w:hint="eastAsia"/>
                <w:color w:val="auto"/>
                <w:highlight w:val="none"/>
                <w:u w:val="none"/>
              </w:rPr>
              <w:t>2</w:t>
            </w:r>
            <w:r>
              <w:rPr>
                <w:color w:val="auto"/>
                <w:highlight w:val="none"/>
                <w:u w:val="none"/>
              </w:rPr>
              <w:t>0</w:t>
            </w:r>
          </w:p>
        </w:tc>
        <w:tc>
          <w:tcPr>
            <w:tcW w:w="828" w:type="pct"/>
            <w:shd w:val="clear" w:color="auto" w:fill="auto"/>
            <w:vAlign w:val="center"/>
          </w:tcPr>
          <w:p w14:paraId="35065167">
            <w:pPr>
              <w:pStyle w:val="92"/>
              <w:rPr>
                <w:color w:val="auto"/>
                <w:highlight w:val="none"/>
                <w:u w:val="none"/>
              </w:rPr>
            </w:pPr>
            <w:r>
              <w:rPr>
                <w:rFonts w:hint="eastAsia"/>
                <w:color w:val="auto"/>
                <w:highlight w:val="none"/>
                <w:u w:val="none"/>
              </w:rPr>
              <w:t>2</w:t>
            </w:r>
            <w:r>
              <w:rPr>
                <w:color w:val="auto"/>
                <w:highlight w:val="none"/>
                <w:u w:val="none"/>
              </w:rPr>
              <w:t>0</w:t>
            </w:r>
          </w:p>
        </w:tc>
      </w:tr>
      <w:tr w14:paraId="08294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shd w:val="clear" w:color="auto" w:fill="auto"/>
            <w:vAlign w:val="center"/>
          </w:tcPr>
          <w:p w14:paraId="6223D194">
            <w:pPr>
              <w:pStyle w:val="92"/>
              <w:rPr>
                <w:color w:val="auto"/>
                <w:highlight w:val="none"/>
                <w:u w:val="none"/>
              </w:rPr>
            </w:pPr>
          </w:p>
        </w:tc>
        <w:tc>
          <w:tcPr>
            <w:tcW w:w="696" w:type="pct"/>
            <w:vMerge w:val="continue"/>
            <w:shd w:val="clear" w:color="auto" w:fill="auto"/>
            <w:vAlign w:val="center"/>
          </w:tcPr>
          <w:p w14:paraId="132BFEF3">
            <w:pPr>
              <w:pStyle w:val="92"/>
              <w:rPr>
                <w:color w:val="auto"/>
                <w:highlight w:val="none"/>
                <w:u w:val="none"/>
              </w:rPr>
            </w:pPr>
          </w:p>
        </w:tc>
        <w:tc>
          <w:tcPr>
            <w:tcW w:w="1154" w:type="pct"/>
            <w:shd w:val="clear" w:color="auto" w:fill="auto"/>
            <w:vAlign w:val="center"/>
          </w:tcPr>
          <w:p w14:paraId="19E05E23">
            <w:pPr>
              <w:pStyle w:val="92"/>
              <w:rPr>
                <w:color w:val="auto"/>
                <w:highlight w:val="none"/>
                <w:u w:val="none"/>
              </w:rPr>
            </w:pPr>
            <w:r>
              <w:rPr>
                <w:rFonts w:hint="eastAsia"/>
                <w:color w:val="auto"/>
                <w:highlight w:val="none"/>
                <w:u w:val="none"/>
              </w:rPr>
              <w:t>2</w:t>
            </w:r>
            <w:r>
              <w:rPr>
                <w:color w:val="auto"/>
                <w:highlight w:val="none"/>
                <w:u w:val="none"/>
              </w:rPr>
              <w:t>4</w:t>
            </w:r>
            <w:r>
              <w:rPr>
                <w:rFonts w:hint="eastAsia"/>
                <w:color w:val="auto"/>
                <w:highlight w:val="none"/>
                <w:u w:val="none"/>
              </w:rPr>
              <w:t>小时均值或日均值</w:t>
            </w:r>
          </w:p>
        </w:tc>
        <w:tc>
          <w:tcPr>
            <w:tcW w:w="969" w:type="pct"/>
            <w:shd w:val="clear" w:color="auto" w:fill="auto"/>
            <w:vAlign w:val="center"/>
          </w:tcPr>
          <w:p w14:paraId="4F881E7C">
            <w:pPr>
              <w:pStyle w:val="92"/>
              <w:rPr>
                <w:color w:val="auto"/>
                <w:highlight w:val="none"/>
                <w:u w:val="none"/>
              </w:rPr>
            </w:pPr>
            <w:r>
              <w:rPr>
                <w:rFonts w:hint="eastAsia"/>
                <w:color w:val="auto"/>
                <w:highlight w:val="none"/>
                <w:u w:val="none"/>
              </w:rPr>
              <w:t>2</w:t>
            </w:r>
            <w:r>
              <w:rPr>
                <w:color w:val="auto"/>
                <w:highlight w:val="none"/>
                <w:u w:val="none"/>
              </w:rPr>
              <w:t>0</w:t>
            </w:r>
          </w:p>
        </w:tc>
        <w:tc>
          <w:tcPr>
            <w:tcW w:w="990" w:type="pct"/>
            <w:shd w:val="clear" w:color="auto" w:fill="auto"/>
            <w:vAlign w:val="center"/>
          </w:tcPr>
          <w:p w14:paraId="3406569C">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72357729">
            <w:pPr>
              <w:pStyle w:val="92"/>
              <w:rPr>
                <w:color w:val="auto"/>
                <w:highlight w:val="none"/>
                <w:u w:val="none"/>
              </w:rPr>
            </w:pPr>
            <w:r>
              <w:rPr>
                <w:rFonts w:hint="eastAsia"/>
                <w:color w:val="auto"/>
                <w:highlight w:val="none"/>
                <w:u w:val="none"/>
              </w:rPr>
              <w:t>2</w:t>
            </w:r>
            <w:r>
              <w:rPr>
                <w:color w:val="auto"/>
                <w:highlight w:val="none"/>
                <w:u w:val="none"/>
              </w:rPr>
              <w:t>0</w:t>
            </w:r>
          </w:p>
        </w:tc>
      </w:tr>
      <w:tr w14:paraId="557AF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shd w:val="clear" w:color="auto" w:fill="auto"/>
            <w:vAlign w:val="center"/>
          </w:tcPr>
          <w:p w14:paraId="339270B3">
            <w:pPr>
              <w:pStyle w:val="92"/>
              <w:rPr>
                <w:color w:val="auto"/>
                <w:highlight w:val="none"/>
                <w:u w:val="none"/>
              </w:rPr>
            </w:pPr>
            <w:r>
              <w:rPr>
                <w:rFonts w:hint="eastAsia"/>
                <w:color w:val="auto"/>
                <w:highlight w:val="none"/>
                <w:u w:val="none"/>
              </w:rPr>
              <w:t>2</w:t>
            </w:r>
          </w:p>
        </w:tc>
        <w:tc>
          <w:tcPr>
            <w:tcW w:w="696" w:type="pct"/>
            <w:vMerge w:val="restart"/>
            <w:shd w:val="clear" w:color="auto" w:fill="auto"/>
            <w:vAlign w:val="center"/>
          </w:tcPr>
          <w:p w14:paraId="13FA4A83">
            <w:pPr>
              <w:pStyle w:val="92"/>
              <w:rPr>
                <w:color w:val="auto"/>
                <w:highlight w:val="none"/>
                <w:u w:val="none"/>
              </w:rPr>
            </w:pPr>
            <w:r>
              <w:rPr>
                <w:color w:val="auto"/>
                <w:highlight w:val="none"/>
                <w:u w:val="none"/>
              </w:rPr>
              <w:t>一氧化碳</w:t>
            </w:r>
          </w:p>
          <w:p w14:paraId="04094202">
            <w:pPr>
              <w:pStyle w:val="92"/>
              <w:rPr>
                <w:color w:val="auto"/>
                <w:highlight w:val="none"/>
                <w:u w:val="none"/>
              </w:rPr>
            </w:pPr>
            <w:r>
              <w:rPr>
                <w:color w:val="auto"/>
                <w:highlight w:val="none"/>
                <w:u w:val="none"/>
              </w:rPr>
              <w:t>（CO）</w:t>
            </w:r>
          </w:p>
        </w:tc>
        <w:tc>
          <w:tcPr>
            <w:tcW w:w="1154" w:type="pct"/>
            <w:shd w:val="clear" w:color="auto" w:fill="auto"/>
            <w:vAlign w:val="center"/>
          </w:tcPr>
          <w:p w14:paraId="723605F7">
            <w:pPr>
              <w:pStyle w:val="92"/>
              <w:rPr>
                <w:color w:val="auto"/>
                <w:highlight w:val="none"/>
                <w:u w:val="none"/>
              </w:rPr>
            </w:pPr>
            <w:r>
              <w:rPr>
                <w:rFonts w:hint="eastAsia"/>
                <w:color w:val="auto"/>
                <w:highlight w:val="none"/>
                <w:u w:val="none"/>
              </w:rPr>
              <w:t>1小时均值</w:t>
            </w:r>
          </w:p>
        </w:tc>
        <w:tc>
          <w:tcPr>
            <w:tcW w:w="969" w:type="pct"/>
            <w:shd w:val="clear" w:color="auto" w:fill="auto"/>
            <w:vAlign w:val="center"/>
          </w:tcPr>
          <w:p w14:paraId="1D8FBA43">
            <w:pPr>
              <w:pStyle w:val="92"/>
              <w:rPr>
                <w:color w:val="auto"/>
                <w:highlight w:val="none"/>
                <w:u w:val="none"/>
              </w:rPr>
            </w:pPr>
            <w:r>
              <w:rPr>
                <w:rFonts w:hint="eastAsia"/>
                <w:color w:val="auto"/>
                <w:highlight w:val="none"/>
                <w:u w:val="none"/>
              </w:rPr>
              <w:t>1</w:t>
            </w:r>
            <w:r>
              <w:rPr>
                <w:color w:val="auto"/>
                <w:highlight w:val="none"/>
                <w:u w:val="none"/>
              </w:rPr>
              <w:t>00</w:t>
            </w:r>
          </w:p>
        </w:tc>
        <w:tc>
          <w:tcPr>
            <w:tcW w:w="990" w:type="pct"/>
            <w:shd w:val="clear" w:color="auto" w:fill="auto"/>
            <w:vAlign w:val="center"/>
          </w:tcPr>
          <w:p w14:paraId="2DE9549D">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6B5FCE52">
            <w:pPr>
              <w:pStyle w:val="92"/>
              <w:rPr>
                <w:color w:val="auto"/>
                <w:highlight w:val="none"/>
                <w:u w:val="none"/>
              </w:rPr>
            </w:pPr>
            <w:r>
              <w:rPr>
                <w:rFonts w:hint="eastAsia"/>
                <w:color w:val="auto"/>
                <w:highlight w:val="none"/>
                <w:u w:val="none"/>
              </w:rPr>
              <w:t>1</w:t>
            </w:r>
            <w:r>
              <w:rPr>
                <w:color w:val="auto"/>
                <w:highlight w:val="none"/>
                <w:u w:val="none"/>
              </w:rPr>
              <w:t>00</w:t>
            </w:r>
          </w:p>
        </w:tc>
      </w:tr>
      <w:tr w14:paraId="66314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shd w:val="clear" w:color="auto" w:fill="auto"/>
            <w:vAlign w:val="center"/>
          </w:tcPr>
          <w:p w14:paraId="6A6E1FBB">
            <w:pPr>
              <w:pStyle w:val="92"/>
              <w:rPr>
                <w:color w:val="auto"/>
                <w:highlight w:val="none"/>
                <w:u w:val="none"/>
              </w:rPr>
            </w:pPr>
          </w:p>
        </w:tc>
        <w:tc>
          <w:tcPr>
            <w:tcW w:w="696" w:type="pct"/>
            <w:vMerge w:val="continue"/>
            <w:shd w:val="clear" w:color="auto" w:fill="auto"/>
            <w:vAlign w:val="center"/>
          </w:tcPr>
          <w:p w14:paraId="1DC446D1">
            <w:pPr>
              <w:pStyle w:val="92"/>
              <w:rPr>
                <w:color w:val="auto"/>
                <w:highlight w:val="none"/>
                <w:u w:val="none"/>
              </w:rPr>
            </w:pPr>
          </w:p>
        </w:tc>
        <w:tc>
          <w:tcPr>
            <w:tcW w:w="1154" w:type="pct"/>
            <w:shd w:val="clear" w:color="auto" w:fill="auto"/>
            <w:vAlign w:val="center"/>
          </w:tcPr>
          <w:p w14:paraId="0DDD7966">
            <w:pPr>
              <w:pStyle w:val="92"/>
              <w:rPr>
                <w:color w:val="auto"/>
                <w:highlight w:val="none"/>
                <w:u w:val="none"/>
              </w:rPr>
            </w:pPr>
            <w:r>
              <w:rPr>
                <w:rFonts w:hint="eastAsia"/>
                <w:color w:val="auto"/>
                <w:highlight w:val="none"/>
                <w:u w:val="none"/>
              </w:rPr>
              <w:t>2</w:t>
            </w:r>
            <w:r>
              <w:rPr>
                <w:color w:val="auto"/>
                <w:highlight w:val="none"/>
                <w:u w:val="none"/>
              </w:rPr>
              <w:t>4</w:t>
            </w:r>
            <w:r>
              <w:rPr>
                <w:rFonts w:hint="eastAsia"/>
                <w:color w:val="auto"/>
                <w:highlight w:val="none"/>
                <w:u w:val="none"/>
              </w:rPr>
              <w:t>小时均值或日均值</w:t>
            </w:r>
          </w:p>
        </w:tc>
        <w:tc>
          <w:tcPr>
            <w:tcW w:w="969" w:type="pct"/>
            <w:shd w:val="clear" w:color="auto" w:fill="auto"/>
            <w:vAlign w:val="center"/>
          </w:tcPr>
          <w:p w14:paraId="0486FDBF">
            <w:pPr>
              <w:pStyle w:val="92"/>
              <w:rPr>
                <w:color w:val="auto"/>
                <w:highlight w:val="none"/>
                <w:u w:val="none"/>
              </w:rPr>
            </w:pPr>
            <w:r>
              <w:rPr>
                <w:rFonts w:hint="eastAsia"/>
                <w:color w:val="auto"/>
                <w:highlight w:val="none"/>
                <w:u w:val="none"/>
              </w:rPr>
              <w:t>8</w:t>
            </w:r>
            <w:r>
              <w:rPr>
                <w:color w:val="auto"/>
                <w:highlight w:val="none"/>
                <w:u w:val="none"/>
              </w:rPr>
              <w:t>0</w:t>
            </w:r>
          </w:p>
        </w:tc>
        <w:tc>
          <w:tcPr>
            <w:tcW w:w="990" w:type="pct"/>
            <w:shd w:val="clear" w:color="auto" w:fill="auto"/>
            <w:vAlign w:val="center"/>
          </w:tcPr>
          <w:p w14:paraId="49C14AFF">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176704D6">
            <w:pPr>
              <w:pStyle w:val="92"/>
              <w:rPr>
                <w:color w:val="auto"/>
                <w:highlight w:val="none"/>
                <w:u w:val="none"/>
              </w:rPr>
            </w:pPr>
            <w:r>
              <w:rPr>
                <w:rFonts w:hint="eastAsia"/>
                <w:color w:val="auto"/>
                <w:highlight w:val="none"/>
                <w:u w:val="none"/>
              </w:rPr>
              <w:t>8</w:t>
            </w:r>
            <w:r>
              <w:rPr>
                <w:color w:val="auto"/>
                <w:highlight w:val="none"/>
                <w:u w:val="none"/>
              </w:rPr>
              <w:t>0</w:t>
            </w:r>
          </w:p>
        </w:tc>
      </w:tr>
      <w:tr w14:paraId="00C02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shd w:val="clear" w:color="auto" w:fill="auto"/>
            <w:vAlign w:val="center"/>
          </w:tcPr>
          <w:p w14:paraId="0B1657E1">
            <w:pPr>
              <w:pStyle w:val="92"/>
              <w:rPr>
                <w:color w:val="auto"/>
                <w:highlight w:val="none"/>
                <w:u w:val="none"/>
              </w:rPr>
            </w:pPr>
            <w:r>
              <w:rPr>
                <w:rFonts w:hint="eastAsia"/>
                <w:color w:val="auto"/>
                <w:highlight w:val="none"/>
                <w:u w:val="none"/>
              </w:rPr>
              <w:t>3</w:t>
            </w:r>
          </w:p>
        </w:tc>
        <w:tc>
          <w:tcPr>
            <w:tcW w:w="696" w:type="pct"/>
            <w:vMerge w:val="restart"/>
            <w:shd w:val="clear" w:color="auto" w:fill="auto"/>
            <w:vAlign w:val="center"/>
          </w:tcPr>
          <w:p w14:paraId="733609A8">
            <w:pPr>
              <w:pStyle w:val="92"/>
              <w:rPr>
                <w:color w:val="auto"/>
                <w:highlight w:val="none"/>
                <w:u w:val="none"/>
              </w:rPr>
            </w:pPr>
            <w:r>
              <w:rPr>
                <w:color w:val="auto"/>
                <w:highlight w:val="none"/>
                <w:u w:val="none"/>
              </w:rPr>
              <w:t>二氧化硫</w:t>
            </w:r>
          </w:p>
          <w:p w14:paraId="7B1D77B3">
            <w:pPr>
              <w:pStyle w:val="92"/>
              <w:rPr>
                <w:color w:val="auto"/>
                <w:highlight w:val="none"/>
                <w:u w:val="none"/>
              </w:rPr>
            </w:pPr>
            <w:r>
              <w:rPr>
                <w:color w:val="auto"/>
                <w:highlight w:val="none"/>
                <w:u w:val="none"/>
              </w:rPr>
              <w:t>（SO2）</w:t>
            </w:r>
          </w:p>
        </w:tc>
        <w:tc>
          <w:tcPr>
            <w:tcW w:w="1154" w:type="pct"/>
            <w:shd w:val="clear" w:color="auto" w:fill="auto"/>
            <w:vAlign w:val="center"/>
          </w:tcPr>
          <w:p w14:paraId="34861007">
            <w:pPr>
              <w:pStyle w:val="92"/>
              <w:rPr>
                <w:color w:val="auto"/>
                <w:highlight w:val="none"/>
                <w:u w:val="none"/>
              </w:rPr>
            </w:pPr>
            <w:r>
              <w:rPr>
                <w:rFonts w:hint="eastAsia"/>
                <w:color w:val="auto"/>
                <w:highlight w:val="none"/>
                <w:u w:val="none"/>
              </w:rPr>
              <w:t>1小时均值</w:t>
            </w:r>
          </w:p>
        </w:tc>
        <w:tc>
          <w:tcPr>
            <w:tcW w:w="969" w:type="pct"/>
            <w:shd w:val="clear" w:color="auto" w:fill="auto"/>
            <w:vAlign w:val="center"/>
          </w:tcPr>
          <w:p w14:paraId="1621BC14">
            <w:pPr>
              <w:pStyle w:val="92"/>
              <w:rPr>
                <w:color w:val="auto"/>
                <w:highlight w:val="none"/>
                <w:u w:val="none"/>
              </w:rPr>
            </w:pPr>
            <w:r>
              <w:rPr>
                <w:rFonts w:hint="eastAsia"/>
                <w:color w:val="auto"/>
                <w:highlight w:val="none"/>
                <w:u w:val="none"/>
              </w:rPr>
              <w:t>1</w:t>
            </w:r>
            <w:r>
              <w:rPr>
                <w:color w:val="auto"/>
                <w:highlight w:val="none"/>
                <w:u w:val="none"/>
              </w:rPr>
              <w:t>00</w:t>
            </w:r>
          </w:p>
        </w:tc>
        <w:tc>
          <w:tcPr>
            <w:tcW w:w="990" w:type="pct"/>
            <w:shd w:val="clear" w:color="auto" w:fill="auto"/>
            <w:vAlign w:val="center"/>
          </w:tcPr>
          <w:p w14:paraId="27391572">
            <w:pPr>
              <w:pStyle w:val="92"/>
              <w:rPr>
                <w:color w:val="auto"/>
                <w:highlight w:val="none"/>
                <w:u w:val="none"/>
              </w:rPr>
            </w:pPr>
            <w:r>
              <w:rPr>
                <w:rFonts w:hint="eastAsia"/>
                <w:color w:val="auto"/>
                <w:highlight w:val="none"/>
                <w:u w:val="none"/>
              </w:rPr>
              <w:t>5</w:t>
            </w:r>
            <w:r>
              <w:rPr>
                <w:color w:val="auto"/>
                <w:highlight w:val="none"/>
                <w:u w:val="none"/>
              </w:rPr>
              <w:t>0</w:t>
            </w:r>
          </w:p>
        </w:tc>
        <w:tc>
          <w:tcPr>
            <w:tcW w:w="828" w:type="pct"/>
            <w:shd w:val="clear" w:color="auto" w:fill="auto"/>
            <w:vAlign w:val="center"/>
          </w:tcPr>
          <w:p w14:paraId="53F88982">
            <w:pPr>
              <w:pStyle w:val="92"/>
              <w:rPr>
                <w:color w:val="auto"/>
                <w:highlight w:val="none"/>
                <w:u w:val="none"/>
              </w:rPr>
            </w:pPr>
            <w:r>
              <w:rPr>
                <w:rFonts w:hint="eastAsia"/>
                <w:color w:val="auto"/>
                <w:highlight w:val="none"/>
                <w:u w:val="none"/>
              </w:rPr>
              <w:t>5</w:t>
            </w:r>
            <w:r>
              <w:rPr>
                <w:color w:val="auto"/>
                <w:highlight w:val="none"/>
                <w:u w:val="none"/>
              </w:rPr>
              <w:t>0</w:t>
            </w:r>
          </w:p>
        </w:tc>
      </w:tr>
      <w:tr w14:paraId="68BDE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shd w:val="clear" w:color="auto" w:fill="auto"/>
            <w:vAlign w:val="center"/>
          </w:tcPr>
          <w:p w14:paraId="673B92BF">
            <w:pPr>
              <w:pStyle w:val="92"/>
              <w:rPr>
                <w:color w:val="auto"/>
                <w:highlight w:val="none"/>
                <w:u w:val="none"/>
              </w:rPr>
            </w:pPr>
          </w:p>
        </w:tc>
        <w:tc>
          <w:tcPr>
            <w:tcW w:w="696" w:type="pct"/>
            <w:vMerge w:val="continue"/>
            <w:shd w:val="clear" w:color="auto" w:fill="auto"/>
            <w:vAlign w:val="center"/>
          </w:tcPr>
          <w:p w14:paraId="7379A29E">
            <w:pPr>
              <w:pStyle w:val="92"/>
              <w:rPr>
                <w:color w:val="auto"/>
                <w:highlight w:val="none"/>
                <w:u w:val="none"/>
              </w:rPr>
            </w:pPr>
          </w:p>
        </w:tc>
        <w:tc>
          <w:tcPr>
            <w:tcW w:w="1154" w:type="pct"/>
            <w:shd w:val="clear" w:color="auto" w:fill="auto"/>
            <w:vAlign w:val="center"/>
          </w:tcPr>
          <w:p w14:paraId="1C608F05">
            <w:pPr>
              <w:pStyle w:val="92"/>
              <w:rPr>
                <w:color w:val="auto"/>
                <w:highlight w:val="none"/>
                <w:u w:val="none"/>
              </w:rPr>
            </w:pPr>
            <w:r>
              <w:rPr>
                <w:rFonts w:hint="eastAsia"/>
                <w:color w:val="auto"/>
                <w:highlight w:val="none"/>
                <w:u w:val="none"/>
              </w:rPr>
              <w:t>2</w:t>
            </w:r>
            <w:r>
              <w:rPr>
                <w:color w:val="auto"/>
                <w:highlight w:val="none"/>
                <w:u w:val="none"/>
              </w:rPr>
              <w:t>4</w:t>
            </w:r>
            <w:r>
              <w:rPr>
                <w:rFonts w:hint="eastAsia"/>
                <w:color w:val="auto"/>
                <w:highlight w:val="none"/>
                <w:u w:val="none"/>
              </w:rPr>
              <w:t>小时均值或日均值</w:t>
            </w:r>
          </w:p>
        </w:tc>
        <w:tc>
          <w:tcPr>
            <w:tcW w:w="969" w:type="pct"/>
            <w:shd w:val="clear" w:color="auto" w:fill="auto"/>
            <w:vAlign w:val="center"/>
          </w:tcPr>
          <w:p w14:paraId="3F5B83F7">
            <w:pPr>
              <w:pStyle w:val="92"/>
              <w:rPr>
                <w:color w:val="auto"/>
                <w:highlight w:val="none"/>
                <w:u w:val="none"/>
              </w:rPr>
            </w:pPr>
            <w:r>
              <w:rPr>
                <w:rFonts w:hint="eastAsia"/>
                <w:color w:val="auto"/>
                <w:highlight w:val="none"/>
                <w:u w:val="none"/>
              </w:rPr>
              <w:t>8</w:t>
            </w:r>
            <w:r>
              <w:rPr>
                <w:color w:val="auto"/>
                <w:highlight w:val="none"/>
                <w:u w:val="none"/>
              </w:rPr>
              <w:t>0</w:t>
            </w:r>
          </w:p>
        </w:tc>
        <w:tc>
          <w:tcPr>
            <w:tcW w:w="990" w:type="pct"/>
            <w:shd w:val="clear" w:color="auto" w:fill="auto"/>
            <w:vAlign w:val="center"/>
          </w:tcPr>
          <w:p w14:paraId="34E269B5">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6CFE0976">
            <w:pPr>
              <w:pStyle w:val="92"/>
              <w:rPr>
                <w:color w:val="auto"/>
                <w:highlight w:val="none"/>
                <w:u w:val="none"/>
              </w:rPr>
            </w:pPr>
            <w:r>
              <w:rPr>
                <w:rFonts w:hint="eastAsia"/>
                <w:color w:val="auto"/>
                <w:highlight w:val="none"/>
                <w:u w:val="none"/>
              </w:rPr>
              <w:t>8</w:t>
            </w:r>
            <w:r>
              <w:rPr>
                <w:color w:val="auto"/>
                <w:highlight w:val="none"/>
                <w:u w:val="none"/>
              </w:rPr>
              <w:t>0</w:t>
            </w:r>
          </w:p>
        </w:tc>
      </w:tr>
      <w:tr w14:paraId="62C64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shd w:val="clear" w:color="auto" w:fill="auto"/>
            <w:vAlign w:val="center"/>
          </w:tcPr>
          <w:p w14:paraId="57C8250D">
            <w:pPr>
              <w:pStyle w:val="92"/>
              <w:rPr>
                <w:color w:val="auto"/>
                <w:highlight w:val="none"/>
                <w:u w:val="none"/>
              </w:rPr>
            </w:pPr>
            <w:r>
              <w:rPr>
                <w:rFonts w:hint="eastAsia"/>
                <w:color w:val="auto"/>
                <w:highlight w:val="none"/>
                <w:u w:val="none"/>
              </w:rPr>
              <w:t>4</w:t>
            </w:r>
          </w:p>
        </w:tc>
        <w:tc>
          <w:tcPr>
            <w:tcW w:w="696" w:type="pct"/>
            <w:vMerge w:val="restart"/>
            <w:shd w:val="clear" w:color="auto" w:fill="auto"/>
            <w:vAlign w:val="center"/>
          </w:tcPr>
          <w:p w14:paraId="34423B64">
            <w:pPr>
              <w:pStyle w:val="92"/>
              <w:rPr>
                <w:color w:val="auto"/>
                <w:highlight w:val="none"/>
                <w:u w:val="none"/>
              </w:rPr>
            </w:pPr>
            <w:r>
              <w:rPr>
                <w:color w:val="auto"/>
                <w:highlight w:val="none"/>
                <w:u w:val="none"/>
              </w:rPr>
              <w:t>氮氧化物</w:t>
            </w:r>
          </w:p>
          <w:p w14:paraId="6BED32BC">
            <w:pPr>
              <w:pStyle w:val="92"/>
              <w:rPr>
                <w:color w:val="auto"/>
                <w:highlight w:val="none"/>
                <w:u w:val="none"/>
              </w:rPr>
            </w:pPr>
            <w:r>
              <w:rPr>
                <w:color w:val="auto"/>
                <w:highlight w:val="none"/>
                <w:u w:val="none"/>
              </w:rPr>
              <w:t>（以NO</w:t>
            </w:r>
            <w:r>
              <w:rPr>
                <w:color w:val="auto"/>
                <w:highlight w:val="none"/>
                <w:u w:val="none"/>
                <w:vertAlign w:val="subscript"/>
              </w:rPr>
              <w:t>2</w:t>
            </w:r>
            <w:r>
              <w:rPr>
                <w:color w:val="auto"/>
                <w:highlight w:val="none"/>
                <w:u w:val="none"/>
              </w:rPr>
              <w:t>计）</w:t>
            </w:r>
          </w:p>
        </w:tc>
        <w:tc>
          <w:tcPr>
            <w:tcW w:w="1154" w:type="pct"/>
            <w:shd w:val="clear" w:color="auto" w:fill="auto"/>
            <w:vAlign w:val="center"/>
          </w:tcPr>
          <w:p w14:paraId="05C0341C">
            <w:pPr>
              <w:pStyle w:val="92"/>
              <w:rPr>
                <w:color w:val="auto"/>
                <w:highlight w:val="none"/>
                <w:u w:val="none"/>
              </w:rPr>
            </w:pPr>
            <w:r>
              <w:rPr>
                <w:rFonts w:hint="eastAsia"/>
                <w:color w:val="auto"/>
                <w:highlight w:val="none"/>
                <w:u w:val="none"/>
              </w:rPr>
              <w:t>1小时均值</w:t>
            </w:r>
          </w:p>
        </w:tc>
        <w:tc>
          <w:tcPr>
            <w:tcW w:w="969" w:type="pct"/>
            <w:shd w:val="clear" w:color="auto" w:fill="auto"/>
            <w:vAlign w:val="center"/>
          </w:tcPr>
          <w:p w14:paraId="399BD988">
            <w:pPr>
              <w:pStyle w:val="92"/>
              <w:rPr>
                <w:color w:val="auto"/>
                <w:highlight w:val="none"/>
                <w:u w:val="none"/>
              </w:rPr>
            </w:pPr>
            <w:r>
              <w:rPr>
                <w:rFonts w:hint="eastAsia"/>
                <w:color w:val="auto"/>
                <w:highlight w:val="none"/>
                <w:u w:val="none"/>
              </w:rPr>
              <w:t>3</w:t>
            </w:r>
            <w:r>
              <w:rPr>
                <w:color w:val="auto"/>
                <w:highlight w:val="none"/>
                <w:u w:val="none"/>
              </w:rPr>
              <w:t>00</w:t>
            </w:r>
          </w:p>
        </w:tc>
        <w:tc>
          <w:tcPr>
            <w:tcW w:w="990" w:type="pct"/>
            <w:shd w:val="clear" w:color="auto" w:fill="auto"/>
            <w:vAlign w:val="center"/>
          </w:tcPr>
          <w:p w14:paraId="2AF51B90">
            <w:pPr>
              <w:pStyle w:val="92"/>
              <w:rPr>
                <w:color w:val="auto"/>
                <w:highlight w:val="none"/>
                <w:u w:val="none"/>
              </w:rPr>
            </w:pPr>
            <w:r>
              <w:rPr>
                <w:rFonts w:hint="eastAsia"/>
                <w:color w:val="auto"/>
                <w:highlight w:val="none"/>
                <w:u w:val="none"/>
              </w:rPr>
              <w:t>1</w:t>
            </w:r>
            <w:r>
              <w:rPr>
                <w:color w:val="auto"/>
                <w:highlight w:val="none"/>
                <w:u w:val="none"/>
              </w:rPr>
              <w:t>00</w:t>
            </w:r>
          </w:p>
        </w:tc>
        <w:tc>
          <w:tcPr>
            <w:tcW w:w="828" w:type="pct"/>
            <w:shd w:val="clear" w:color="auto" w:fill="auto"/>
            <w:vAlign w:val="center"/>
          </w:tcPr>
          <w:p w14:paraId="182F1F08">
            <w:pPr>
              <w:pStyle w:val="92"/>
              <w:rPr>
                <w:color w:val="auto"/>
                <w:highlight w:val="none"/>
                <w:u w:val="none"/>
              </w:rPr>
            </w:pPr>
            <w:r>
              <w:rPr>
                <w:rFonts w:hint="eastAsia"/>
                <w:color w:val="auto"/>
                <w:highlight w:val="none"/>
                <w:u w:val="none"/>
              </w:rPr>
              <w:t>1</w:t>
            </w:r>
            <w:r>
              <w:rPr>
                <w:color w:val="auto"/>
                <w:highlight w:val="none"/>
                <w:u w:val="none"/>
              </w:rPr>
              <w:t>00</w:t>
            </w:r>
          </w:p>
        </w:tc>
      </w:tr>
      <w:tr w14:paraId="4648F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shd w:val="clear" w:color="auto" w:fill="auto"/>
            <w:vAlign w:val="center"/>
          </w:tcPr>
          <w:p w14:paraId="6B981372">
            <w:pPr>
              <w:pStyle w:val="92"/>
              <w:rPr>
                <w:color w:val="auto"/>
                <w:highlight w:val="none"/>
                <w:u w:val="none"/>
              </w:rPr>
            </w:pPr>
          </w:p>
        </w:tc>
        <w:tc>
          <w:tcPr>
            <w:tcW w:w="696" w:type="pct"/>
            <w:vMerge w:val="continue"/>
            <w:shd w:val="clear" w:color="auto" w:fill="auto"/>
            <w:vAlign w:val="center"/>
          </w:tcPr>
          <w:p w14:paraId="442EF3DA">
            <w:pPr>
              <w:pStyle w:val="92"/>
              <w:rPr>
                <w:color w:val="auto"/>
                <w:highlight w:val="none"/>
                <w:u w:val="none"/>
              </w:rPr>
            </w:pPr>
          </w:p>
        </w:tc>
        <w:tc>
          <w:tcPr>
            <w:tcW w:w="1154" w:type="pct"/>
            <w:shd w:val="clear" w:color="auto" w:fill="auto"/>
            <w:vAlign w:val="center"/>
          </w:tcPr>
          <w:p w14:paraId="584DBA5A">
            <w:pPr>
              <w:pStyle w:val="92"/>
              <w:rPr>
                <w:color w:val="auto"/>
                <w:highlight w:val="none"/>
                <w:u w:val="none"/>
              </w:rPr>
            </w:pPr>
            <w:r>
              <w:rPr>
                <w:rFonts w:hint="eastAsia"/>
                <w:color w:val="auto"/>
                <w:highlight w:val="none"/>
                <w:u w:val="none"/>
              </w:rPr>
              <w:t>2</w:t>
            </w:r>
            <w:r>
              <w:rPr>
                <w:color w:val="auto"/>
                <w:highlight w:val="none"/>
                <w:u w:val="none"/>
              </w:rPr>
              <w:t>4</w:t>
            </w:r>
            <w:r>
              <w:rPr>
                <w:rFonts w:hint="eastAsia"/>
                <w:color w:val="auto"/>
                <w:highlight w:val="none"/>
                <w:u w:val="none"/>
              </w:rPr>
              <w:t>小时均值或日均值</w:t>
            </w:r>
          </w:p>
        </w:tc>
        <w:tc>
          <w:tcPr>
            <w:tcW w:w="969" w:type="pct"/>
            <w:shd w:val="clear" w:color="auto" w:fill="auto"/>
            <w:vAlign w:val="center"/>
          </w:tcPr>
          <w:p w14:paraId="38F2E577">
            <w:pPr>
              <w:pStyle w:val="92"/>
              <w:rPr>
                <w:color w:val="auto"/>
                <w:highlight w:val="none"/>
                <w:u w:val="none"/>
              </w:rPr>
            </w:pPr>
            <w:r>
              <w:rPr>
                <w:rFonts w:hint="eastAsia"/>
                <w:color w:val="auto"/>
                <w:highlight w:val="none"/>
                <w:u w:val="none"/>
              </w:rPr>
              <w:t>2</w:t>
            </w:r>
            <w:r>
              <w:rPr>
                <w:color w:val="auto"/>
                <w:highlight w:val="none"/>
                <w:u w:val="none"/>
              </w:rPr>
              <w:t>50</w:t>
            </w:r>
          </w:p>
        </w:tc>
        <w:tc>
          <w:tcPr>
            <w:tcW w:w="990" w:type="pct"/>
            <w:shd w:val="clear" w:color="auto" w:fill="auto"/>
            <w:vAlign w:val="center"/>
          </w:tcPr>
          <w:p w14:paraId="5959C6BE">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642A4FEC">
            <w:pPr>
              <w:pStyle w:val="92"/>
              <w:rPr>
                <w:color w:val="auto"/>
                <w:highlight w:val="none"/>
                <w:u w:val="none"/>
              </w:rPr>
            </w:pPr>
            <w:r>
              <w:rPr>
                <w:rFonts w:hint="eastAsia"/>
                <w:color w:val="auto"/>
                <w:highlight w:val="none"/>
                <w:u w:val="none"/>
              </w:rPr>
              <w:t>2</w:t>
            </w:r>
            <w:r>
              <w:rPr>
                <w:color w:val="auto"/>
                <w:highlight w:val="none"/>
                <w:u w:val="none"/>
              </w:rPr>
              <w:t>50</w:t>
            </w:r>
          </w:p>
        </w:tc>
      </w:tr>
      <w:tr w14:paraId="0ABE4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restart"/>
            <w:shd w:val="clear" w:color="auto" w:fill="auto"/>
            <w:vAlign w:val="center"/>
          </w:tcPr>
          <w:p w14:paraId="7810C76A">
            <w:pPr>
              <w:pStyle w:val="92"/>
              <w:rPr>
                <w:color w:val="auto"/>
                <w:highlight w:val="none"/>
                <w:u w:val="none"/>
              </w:rPr>
            </w:pPr>
            <w:r>
              <w:rPr>
                <w:rFonts w:hint="eastAsia"/>
                <w:color w:val="auto"/>
                <w:highlight w:val="none"/>
                <w:u w:val="none"/>
              </w:rPr>
              <w:t>5</w:t>
            </w:r>
          </w:p>
        </w:tc>
        <w:tc>
          <w:tcPr>
            <w:tcW w:w="696" w:type="pct"/>
            <w:vMerge w:val="restart"/>
            <w:shd w:val="clear" w:color="auto" w:fill="auto"/>
            <w:vAlign w:val="center"/>
          </w:tcPr>
          <w:p w14:paraId="36BF20AC">
            <w:pPr>
              <w:pStyle w:val="92"/>
              <w:rPr>
                <w:color w:val="auto"/>
                <w:highlight w:val="none"/>
                <w:u w:val="none"/>
              </w:rPr>
            </w:pPr>
            <w:r>
              <w:rPr>
                <w:color w:val="auto"/>
                <w:highlight w:val="none"/>
                <w:u w:val="none"/>
              </w:rPr>
              <w:t>氯化氢</w:t>
            </w:r>
          </w:p>
        </w:tc>
        <w:tc>
          <w:tcPr>
            <w:tcW w:w="1154" w:type="pct"/>
            <w:shd w:val="clear" w:color="auto" w:fill="auto"/>
            <w:vAlign w:val="center"/>
          </w:tcPr>
          <w:p w14:paraId="5D55475D">
            <w:pPr>
              <w:pStyle w:val="92"/>
              <w:rPr>
                <w:color w:val="auto"/>
                <w:highlight w:val="none"/>
                <w:u w:val="none"/>
              </w:rPr>
            </w:pPr>
            <w:r>
              <w:rPr>
                <w:rFonts w:hint="eastAsia"/>
                <w:color w:val="auto"/>
                <w:highlight w:val="none"/>
                <w:u w:val="none"/>
              </w:rPr>
              <w:t>1小时均值</w:t>
            </w:r>
          </w:p>
        </w:tc>
        <w:tc>
          <w:tcPr>
            <w:tcW w:w="969" w:type="pct"/>
            <w:shd w:val="clear" w:color="auto" w:fill="auto"/>
            <w:vAlign w:val="center"/>
          </w:tcPr>
          <w:p w14:paraId="2B9FB5AB">
            <w:pPr>
              <w:pStyle w:val="92"/>
              <w:rPr>
                <w:color w:val="auto"/>
                <w:highlight w:val="none"/>
                <w:u w:val="none"/>
              </w:rPr>
            </w:pPr>
            <w:r>
              <w:rPr>
                <w:rFonts w:hint="eastAsia"/>
                <w:color w:val="auto"/>
                <w:highlight w:val="none"/>
                <w:u w:val="none"/>
              </w:rPr>
              <w:t>6</w:t>
            </w:r>
            <w:r>
              <w:rPr>
                <w:color w:val="auto"/>
                <w:highlight w:val="none"/>
                <w:u w:val="none"/>
              </w:rPr>
              <w:t>0</w:t>
            </w:r>
          </w:p>
        </w:tc>
        <w:tc>
          <w:tcPr>
            <w:tcW w:w="990" w:type="pct"/>
            <w:shd w:val="clear" w:color="auto" w:fill="auto"/>
            <w:vAlign w:val="center"/>
          </w:tcPr>
          <w:p w14:paraId="290936C4">
            <w:pPr>
              <w:pStyle w:val="92"/>
              <w:rPr>
                <w:color w:val="auto"/>
                <w:highlight w:val="none"/>
                <w:u w:val="none"/>
              </w:rPr>
            </w:pPr>
            <w:r>
              <w:rPr>
                <w:rFonts w:hint="eastAsia"/>
                <w:color w:val="auto"/>
                <w:highlight w:val="none"/>
                <w:u w:val="none"/>
              </w:rPr>
              <w:t>3</w:t>
            </w:r>
            <w:r>
              <w:rPr>
                <w:color w:val="auto"/>
                <w:highlight w:val="none"/>
                <w:u w:val="none"/>
              </w:rPr>
              <w:t>0</w:t>
            </w:r>
          </w:p>
        </w:tc>
        <w:tc>
          <w:tcPr>
            <w:tcW w:w="828" w:type="pct"/>
            <w:shd w:val="clear" w:color="auto" w:fill="auto"/>
            <w:vAlign w:val="center"/>
          </w:tcPr>
          <w:p w14:paraId="6186C848">
            <w:pPr>
              <w:pStyle w:val="92"/>
              <w:rPr>
                <w:color w:val="auto"/>
                <w:highlight w:val="none"/>
                <w:u w:val="none"/>
              </w:rPr>
            </w:pPr>
            <w:r>
              <w:rPr>
                <w:rFonts w:hint="eastAsia"/>
                <w:color w:val="auto"/>
                <w:highlight w:val="none"/>
                <w:u w:val="none"/>
              </w:rPr>
              <w:t>3</w:t>
            </w:r>
            <w:r>
              <w:rPr>
                <w:color w:val="auto"/>
                <w:highlight w:val="none"/>
                <w:u w:val="none"/>
              </w:rPr>
              <w:t>0</w:t>
            </w:r>
          </w:p>
        </w:tc>
      </w:tr>
      <w:tr w14:paraId="619F7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Merge w:val="continue"/>
            <w:shd w:val="clear" w:color="auto" w:fill="auto"/>
            <w:vAlign w:val="center"/>
          </w:tcPr>
          <w:p w14:paraId="417C070D">
            <w:pPr>
              <w:pStyle w:val="92"/>
              <w:rPr>
                <w:color w:val="auto"/>
                <w:highlight w:val="none"/>
                <w:u w:val="none"/>
              </w:rPr>
            </w:pPr>
          </w:p>
        </w:tc>
        <w:tc>
          <w:tcPr>
            <w:tcW w:w="696" w:type="pct"/>
            <w:vMerge w:val="continue"/>
            <w:shd w:val="clear" w:color="auto" w:fill="auto"/>
            <w:vAlign w:val="center"/>
          </w:tcPr>
          <w:p w14:paraId="4E274EDF">
            <w:pPr>
              <w:pStyle w:val="92"/>
              <w:rPr>
                <w:color w:val="auto"/>
                <w:highlight w:val="none"/>
                <w:u w:val="none"/>
              </w:rPr>
            </w:pPr>
          </w:p>
        </w:tc>
        <w:tc>
          <w:tcPr>
            <w:tcW w:w="1154" w:type="pct"/>
            <w:shd w:val="clear" w:color="auto" w:fill="auto"/>
            <w:vAlign w:val="center"/>
          </w:tcPr>
          <w:p w14:paraId="55098FFC">
            <w:pPr>
              <w:pStyle w:val="92"/>
              <w:rPr>
                <w:color w:val="auto"/>
                <w:highlight w:val="none"/>
                <w:u w:val="none"/>
              </w:rPr>
            </w:pPr>
            <w:r>
              <w:rPr>
                <w:rFonts w:hint="eastAsia"/>
                <w:color w:val="auto"/>
                <w:highlight w:val="none"/>
                <w:u w:val="none"/>
              </w:rPr>
              <w:t>2</w:t>
            </w:r>
            <w:r>
              <w:rPr>
                <w:color w:val="auto"/>
                <w:highlight w:val="none"/>
                <w:u w:val="none"/>
              </w:rPr>
              <w:t>4</w:t>
            </w:r>
            <w:r>
              <w:rPr>
                <w:rFonts w:hint="eastAsia"/>
                <w:color w:val="auto"/>
                <w:highlight w:val="none"/>
                <w:u w:val="none"/>
              </w:rPr>
              <w:t>小时均值或日均值</w:t>
            </w:r>
          </w:p>
        </w:tc>
        <w:tc>
          <w:tcPr>
            <w:tcW w:w="969" w:type="pct"/>
            <w:shd w:val="clear" w:color="auto" w:fill="auto"/>
            <w:vAlign w:val="center"/>
          </w:tcPr>
          <w:p w14:paraId="6AE5A19E">
            <w:pPr>
              <w:pStyle w:val="92"/>
              <w:rPr>
                <w:color w:val="auto"/>
                <w:highlight w:val="none"/>
                <w:u w:val="none"/>
              </w:rPr>
            </w:pPr>
            <w:r>
              <w:rPr>
                <w:rFonts w:hint="eastAsia"/>
                <w:color w:val="auto"/>
                <w:highlight w:val="none"/>
                <w:u w:val="none"/>
              </w:rPr>
              <w:t>5</w:t>
            </w:r>
            <w:r>
              <w:rPr>
                <w:color w:val="auto"/>
                <w:highlight w:val="none"/>
                <w:u w:val="none"/>
              </w:rPr>
              <w:t>0</w:t>
            </w:r>
          </w:p>
        </w:tc>
        <w:tc>
          <w:tcPr>
            <w:tcW w:w="990" w:type="pct"/>
            <w:shd w:val="clear" w:color="auto" w:fill="auto"/>
            <w:vAlign w:val="center"/>
          </w:tcPr>
          <w:p w14:paraId="067619E5">
            <w:pPr>
              <w:pStyle w:val="92"/>
              <w:rPr>
                <w:color w:val="auto"/>
                <w:highlight w:val="none"/>
                <w:u w:val="none"/>
              </w:rPr>
            </w:pPr>
            <w:r>
              <w:rPr>
                <w:rFonts w:hint="eastAsia"/>
                <w:color w:val="auto"/>
                <w:highlight w:val="none"/>
                <w:u w:val="none"/>
              </w:rPr>
              <w:t>/</w:t>
            </w:r>
          </w:p>
        </w:tc>
        <w:tc>
          <w:tcPr>
            <w:tcW w:w="828" w:type="pct"/>
            <w:shd w:val="clear" w:color="auto" w:fill="auto"/>
            <w:vAlign w:val="center"/>
          </w:tcPr>
          <w:p w14:paraId="7BCC2474">
            <w:pPr>
              <w:pStyle w:val="92"/>
              <w:rPr>
                <w:color w:val="auto"/>
                <w:highlight w:val="none"/>
                <w:u w:val="none"/>
              </w:rPr>
            </w:pPr>
            <w:r>
              <w:rPr>
                <w:rFonts w:hint="eastAsia"/>
                <w:color w:val="auto"/>
                <w:highlight w:val="none"/>
                <w:u w:val="none"/>
              </w:rPr>
              <w:t>5</w:t>
            </w:r>
            <w:r>
              <w:rPr>
                <w:color w:val="auto"/>
                <w:highlight w:val="none"/>
                <w:u w:val="none"/>
              </w:rPr>
              <w:t>0</w:t>
            </w:r>
          </w:p>
        </w:tc>
      </w:tr>
      <w:tr w14:paraId="4AEFD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3D38838B">
            <w:pPr>
              <w:pStyle w:val="92"/>
              <w:rPr>
                <w:color w:val="auto"/>
                <w:highlight w:val="none"/>
                <w:u w:val="none"/>
              </w:rPr>
            </w:pPr>
            <w:r>
              <w:rPr>
                <w:rFonts w:hint="eastAsia"/>
                <w:color w:val="auto"/>
                <w:highlight w:val="none"/>
                <w:u w:val="none"/>
              </w:rPr>
              <w:t>6</w:t>
            </w:r>
          </w:p>
        </w:tc>
        <w:tc>
          <w:tcPr>
            <w:tcW w:w="696" w:type="pct"/>
            <w:shd w:val="clear" w:color="auto" w:fill="auto"/>
            <w:vAlign w:val="center"/>
          </w:tcPr>
          <w:p w14:paraId="3C1B30E1">
            <w:pPr>
              <w:pStyle w:val="92"/>
              <w:rPr>
                <w:color w:val="auto"/>
                <w:highlight w:val="none"/>
                <w:u w:val="none"/>
              </w:rPr>
            </w:pPr>
            <w:r>
              <w:rPr>
                <w:color w:val="auto"/>
                <w:highlight w:val="none"/>
                <w:u w:val="none"/>
              </w:rPr>
              <w:t>二噁英</w:t>
            </w:r>
            <w:r>
              <w:rPr>
                <w:rFonts w:hint="eastAsia"/>
                <w:color w:val="auto"/>
                <w:highlight w:val="none"/>
                <w:u w:val="none"/>
              </w:rPr>
              <w:t>类</w:t>
            </w:r>
          </w:p>
        </w:tc>
        <w:tc>
          <w:tcPr>
            <w:tcW w:w="1154" w:type="pct"/>
            <w:shd w:val="clear" w:color="auto" w:fill="auto"/>
            <w:vAlign w:val="center"/>
          </w:tcPr>
          <w:p w14:paraId="7A2F0937">
            <w:pPr>
              <w:pStyle w:val="92"/>
              <w:rPr>
                <w:color w:val="auto"/>
                <w:highlight w:val="none"/>
                <w:u w:val="none"/>
              </w:rPr>
            </w:pPr>
            <w:r>
              <w:rPr>
                <w:color w:val="auto"/>
                <w:highlight w:val="none"/>
                <w:u w:val="none"/>
              </w:rPr>
              <w:t>测定均值</w:t>
            </w:r>
          </w:p>
        </w:tc>
        <w:tc>
          <w:tcPr>
            <w:tcW w:w="969" w:type="pct"/>
            <w:shd w:val="clear" w:color="auto" w:fill="auto"/>
            <w:vAlign w:val="center"/>
          </w:tcPr>
          <w:p w14:paraId="79818F3E">
            <w:pPr>
              <w:pStyle w:val="92"/>
              <w:rPr>
                <w:color w:val="auto"/>
                <w:highlight w:val="none"/>
                <w:u w:val="none"/>
              </w:rPr>
            </w:pPr>
            <w:r>
              <w:rPr>
                <w:color w:val="auto"/>
                <w:highlight w:val="none"/>
                <w:u w:val="none"/>
              </w:rPr>
              <w:t>0.5ngTEQ/N</w:t>
            </w:r>
            <w:r>
              <w:rPr>
                <w:rFonts w:hint="eastAsia"/>
                <w:color w:val="auto"/>
                <w:highlight w:val="none"/>
                <w:u w:val="none"/>
              </w:rPr>
              <w:t>m</w:t>
            </w:r>
            <w:r>
              <w:rPr>
                <w:rFonts w:hint="eastAsia"/>
                <w:color w:val="auto"/>
                <w:highlight w:val="none"/>
                <w:u w:val="none"/>
                <w:vertAlign w:val="superscript"/>
              </w:rPr>
              <w:t>3</w:t>
            </w:r>
          </w:p>
        </w:tc>
        <w:tc>
          <w:tcPr>
            <w:tcW w:w="990" w:type="pct"/>
            <w:shd w:val="clear" w:color="auto" w:fill="auto"/>
            <w:vAlign w:val="center"/>
          </w:tcPr>
          <w:p w14:paraId="7A613EEC">
            <w:pPr>
              <w:pStyle w:val="92"/>
              <w:rPr>
                <w:color w:val="auto"/>
                <w:highlight w:val="none"/>
                <w:u w:val="none"/>
              </w:rPr>
            </w:pPr>
            <w:r>
              <w:rPr>
                <w:color w:val="auto"/>
                <w:highlight w:val="none"/>
                <w:u w:val="none"/>
              </w:rPr>
              <w:t>0.1ngTEQ/N</w:t>
            </w:r>
            <w:r>
              <w:rPr>
                <w:rFonts w:hint="eastAsia"/>
                <w:color w:val="auto"/>
                <w:highlight w:val="none"/>
                <w:u w:val="none"/>
              </w:rPr>
              <w:t>m</w:t>
            </w:r>
            <w:r>
              <w:rPr>
                <w:rFonts w:hint="eastAsia"/>
                <w:color w:val="auto"/>
                <w:highlight w:val="none"/>
                <w:u w:val="none"/>
                <w:vertAlign w:val="superscript"/>
              </w:rPr>
              <w:t>3</w:t>
            </w:r>
          </w:p>
        </w:tc>
        <w:tc>
          <w:tcPr>
            <w:tcW w:w="828" w:type="pct"/>
            <w:shd w:val="clear" w:color="auto" w:fill="auto"/>
            <w:vAlign w:val="center"/>
          </w:tcPr>
          <w:p w14:paraId="7FB7D83F">
            <w:pPr>
              <w:pStyle w:val="92"/>
              <w:rPr>
                <w:color w:val="auto"/>
                <w:highlight w:val="none"/>
                <w:u w:val="none"/>
              </w:rPr>
            </w:pPr>
            <w:r>
              <w:rPr>
                <w:color w:val="auto"/>
                <w:highlight w:val="none"/>
                <w:u w:val="none"/>
              </w:rPr>
              <w:t>0.1ngTEQ/N</w:t>
            </w:r>
            <w:r>
              <w:rPr>
                <w:rFonts w:hint="eastAsia"/>
                <w:color w:val="auto"/>
                <w:highlight w:val="none"/>
                <w:u w:val="none"/>
              </w:rPr>
              <w:t>m</w:t>
            </w:r>
            <w:r>
              <w:rPr>
                <w:rFonts w:hint="eastAsia"/>
                <w:color w:val="auto"/>
                <w:highlight w:val="none"/>
                <w:u w:val="none"/>
                <w:vertAlign w:val="superscript"/>
              </w:rPr>
              <w:t>3</w:t>
            </w:r>
          </w:p>
        </w:tc>
      </w:tr>
      <w:tr w14:paraId="07E333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6DA90D50">
            <w:pPr>
              <w:pStyle w:val="92"/>
              <w:rPr>
                <w:color w:val="auto"/>
                <w:highlight w:val="none"/>
                <w:u w:val="none"/>
              </w:rPr>
            </w:pPr>
            <w:r>
              <w:rPr>
                <w:rFonts w:hint="eastAsia"/>
                <w:color w:val="auto"/>
                <w:highlight w:val="none"/>
                <w:u w:val="none"/>
              </w:rPr>
              <w:t>7</w:t>
            </w:r>
          </w:p>
        </w:tc>
        <w:tc>
          <w:tcPr>
            <w:tcW w:w="1850" w:type="pct"/>
            <w:gridSpan w:val="2"/>
            <w:shd w:val="clear" w:color="auto" w:fill="auto"/>
            <w:vAlign w:val="center"/>
          </w:tcPr>
          <w:p w14:paraId="0970996C">
            <w:pPr>
              <w:pStyle w:val="92"/>
              <w:rPr>
                <w:color w:val="auto"/>
                <w:highlight w:val="none"/>
                <w:u w:val="none"/>
              </w:rPr>
            </w:pPr>
            <w:r>
              <w:rPr>
                <w:color w:val="auto"/>
                <w:highlight w:val="none"/>
                <w:u w:val="none"/>
              </w:rPr>
              <w:t>氯气</w:t>
            </w:r>
          </w:p>
        </w:tc>
        <w:tc>
          <w:tcPr>
            <w:tcW w:w="969" w:type="pct"/>
            <w:shd w:val="clear" w:color="auto" w:fill="auto"/>
            <w:vAlign w:val="center"/>
          </w:tcPr>
          <w:p w14:paraId="3FBA7251">
            <w:pPr>
              <w:pStyle w:val="92"/>
              <w:rPr>
                <w:color w:val="auto"/>
                <w:highlight w:val="none"/>
                <w:u w:val="none"/>
              </w:rPr>
            </w:pPr>
            <w:r>
              <w:rPr>
                <w:color w:val="auto"/>
                <w:highlight w:val="none"/>
                <w:u w:val="none"/>
              </w:rPr>
              <w:t>/</w:t>
            </w:r>
          </w:p>
        </w:tc>
        <w:tc>
          <w:tcPr>
            <w:tcW w:w="990" w:type="pct"/>
            <w:shd w:val="clear" w:color="auto" w:fill="auto"/>
            <w:vAlign w:val="center"/>
          </w:tcPr>
          <w:p w14:paraId="6EC05C19">
            <w:pPr>
              <w:pStyle w:val="92"/>
              <w:rPr>
                <w:color w:val="auto"/>
                <w:highlight w:val="none"/>
                <w:u w:val="none"/>
              </w:rPr>
            </w:pPr>
            <w:r>
              <w:rPr>
                <w:color w:val="auto"/>
                <w:highlight w:val="none"/>
                <w:u w:val="none"/>
              </w:rPr>
              <w:t>5</w:t>
            </w:r>
          </w:p>
        </w:tc>
        <w:tc>
          <w:tcPr>
            <w:tcW w:w="828" w:type="pct"/>
            <w:shd w:val="clear" w:color="auto" w:fill="auto"/>
            <w:vAlign w:val="center"/>
          </w:tcPr>
          <w:p w14:paraId="649A20A5">
            <w:pPr>
              <w:pStyle w:val="92"/>
              <w:rPr>
                <w:color w:val="auto"/>
                <w:highlight w:val="none"/>
                <w:u w:val="none"/>
              </w:rPr>
            </w:pPr>
            <w:r>
              <w:rPr>
                <w:color w:val="auto"/>
                <w:highlight w:val="none"/>
                <w:u w:val="none"/>
              </w:rPr>
              <w:t>5</w:t>
            </w:r>
          </w:p>
        </w:tc>
      </w:tr>
      <w:tr w14:paraId="3860E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32409197">
            <w:pPr>
              <w:pStyle w:val="92"/>
              <w:rPr>
                <w:color w:val="auto"/>
                <w:highlight w:val="none"/>
                <w:u w:val="none"/>
              </w:rPr>
            </w:pPr>
            <w:r>
              <w:rPr>
                <w:rFonts w:hint="eastAsia"/>
                <w:color w:val="auto"/>
                <w:highlight w:val="none"/>
                <w:u w:val="none"/>
              </w:rPr>
              <w:t>8</w:t>
            </w:r>
          </w:p>
        </w:tc>
        <w:tc>
          <w:tcPr>
            <w:tcW w:w="1850" w:type="pct"/>
            <w:gridSpan w:val="2"/>
            <w:shd w:val="clear" w:color="auto" w:fill="auto"/>
            <w:vAlign w:val="center"/>
          </w:tcPr>
          <w:p w14:paraId="721E091F">
            <w:pPr>
              <w:pStyle w:val="92"/>
              <w:rPr>
                <w:color w:val="auto"/>
                <w:highlight w:val="none"/>
                <w:u w:val="none"/>
              </w:rPr>
            </w:pPr>
            <w:r>
              <w:rPr>
                <w:color w:val="auto"/>
                <w:highlight w:val="none"/>
                <w:u w:val="none"/>
              </w:rPr>
              <w:t>苯</w:t>
            </w:r>
          </w:p>
        </w:tc>
        <w:tc>
          <w:tcPr>
            <w:tcW w:w="969" w:type="pct"/>
            <w:shd w:val="clear" w:color="auto" w:fill="auto"/>
            <w:vAlign w:val="center"/>
          </w:tcPr>
          <w:p w14:paraId="0550DE1B">
            <w:pPr>
              <w:pStyle w:val="92"/>
              <w:rPr>
                <w:color w:val="auto"/>
                <w:highlight w:val="none"/>
                <w:u w:val="none"/>
              </w:rPr>
            </w:pPr>
            <w:r>
              <w:rPr>
                <w:color w:val="auto"/>
                <w:highlight w:val="none"/>
                <w:u w:val="none"/>
              </w:rPr>
              <w:t>/</w:t>
            </w:r>
          </w:p>
        </w:tc>
        <w:tc>
          <w:tcPr>
            <w:tcW w:w="990" w:type="pct"/>
            <w:shd w:val="clear" w:color="auto" w:fill="auto"/>
            <w:vAlign w:val="center"/>
          </w:tcPr>
          <w:p w14:paraId="0A655E65">
            <w:pPr>
              <w:pStyle w:val="92"/>
              <w:rPr>
                <w:color w:val="auto"/>
                <w:highlight w:val="none"/>
                <w:u w:val="none"/>
              </w:rPr>
            </w:pPr>
            <w:r>
              <w:rPr>
                <w:color w:val="auto"/>
                <w:highlight w:val="none"/>
                <w:u w:val="none"/>
              </w:rPr>
              <w:t>4</w:t>
            </w:r>
          </w:p>
        </w:tc>
        <w:tc>
          <w:tcPr>
            <w:tcW w:w="828" w:type="pct"/>
            <w:shd w:val="clear" w:color="auto" w:fill="auto"/>
            <w:vAlign w:val="center"/>
          </w:tcPr>
          <w:p w14:paraId="6DE2FF16">
            <w:pPr>
              <w:pStyle w:val="92"/>
              <w:rPr>
                <w:color w:val="auto"/>
                <w:highlight w:val="none"/>
                <w:u w:val="none"/>
              </w:rPr>
            </w:pPr>
            <w:r>
              <w:rPr>
                <w:color w:val="auto"/>
                <w:highlight w:val="none"/>
                <w:u w:val="none"/>
              </w:rPr>
              <w:t>4</w:t>
            </w:r>
          </w:p>
        </w:tc>
      </w:tr>
      <w:tr w14:paraId="19A9B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79076B71">
            <w:pPr>
              <w:pStyle w:val="92"/>
              <w:rPr>
                <w:color w:val="auto"/>
                <w:highlight w:val="none"/>
                <w:u w:val="none"/>
              </w:rPr>
            </w:pPr>
            <w:r>
              <w:rPr>
                <w:rFonts w:hint="eastAsia"/>
                <w:color w:val="auto"/>
                <w:highlight w:val="none"/>
                <w:u w:val="none"/>
              </w:rPr>
              <w:t>9</w:t>
            </w:r>
          </w:p>
        </w:tc>
        <w:tc>
          <w:tcPr>
            <w:tcW w:w="1850" w:type="pct"/>
            <w:gridSpan w:val="2"/>
            <w:shd w:val="clear" w:color="auto" w:fill="auto"/>
            <w:vAlign w:val="center"/>
          </w:tcPr>
          <w:p w14:paraId="2CB1D838">
            <w:pPr>
              <w:pStyle w:val="92"/>
              <w:rPr>
                <w:color w:val="auto"/>
                <w:highlight w:val="none"/>
                <w:u w:val="none"/>
              </w:rPr>
            </w:pPr>
            <w:r>
              <w:rPr>
                <w:color w:val="auto"/>
                <w:highlight w:val="none"/>
                <w:u w:val="none"/>
              </w:rPr>
              <w:t>甲苯</w:t>
            </w:r>
          </w:p>
        </w:tc>
        <w:tc>
          <w:tcPr>
            <w:tcW w:w="969" w:type="pct"/>
            <w:shd w:val="clear" w:color="auto" w:fill="auto"/>
            <w:vAlign w:val="center"/>
          </w:tcPr>
          <w:p w14:paraId="3DC0B416">
            <w:pPr>
              <w:pStyle w:val="92"/>
              <w:rPr>
                <w:color w:val="auto"/>
                <w:highlight w:val="none"/>
                <w:u w:val="none"/>
              </w:rPr>
            </w:pPr>
            <w:r>
              <w:rPr>
                <w:color w:val="auto"/>
                <w:highlight w:val="none"/>
                <w:u w:val="none"/>
              </w:rPr>
              <w:t>/</w:t>
            </w:r>
          </w:p>
        </w:tc>
        <w:tc>
          <w:tcPr>
            <w:tcW w:w="990" w:type="pct"/>
            <w:shd w:val="clear" w:color="auto" w:fill="auto"/>
            <w:vAlign w:val="center"/>
          </w:tcPr>
          <w:p w14:paraId="24C97E5F">
            <w:pPr>
              <w:pStyle w:val="92"/>
              <w:rPr>
                <w:color w:val="auto"/>
                <w:highlight w:val="none"/>
                <w:u w:val="none"/>
              </w:rPr>
            </w:pPr>
            <w:r>
              <w:rPr>
                <w:color w:val="auto"/>
                <w:highlight w:val="none"/>
                <w:u w:val="none"/>
              </w:rPr>
              <w:t>15</w:t>
            </w:r>
          </w:p>
        </w:tc>
        <w:tc>
          <w:tcPr>
            <w:tcW w:w="828" w:type="pct"/>
            <w:shd w:val="clear" w:color="auto" w:fill="auto"/>
            <w:vAlign w:val="center"/>
          </w:tcPr>
          <w:p w14:paraId="6101B5D6">
            <w:pPr>
              <w:pStyle w:val="92"/>
              <w:rPr>
                <w:color w:val="auto"/>
                <w:highlight w:val="none"/>
                <w:u w:val="none"/>
              </w:rPr>
            </w:pPr>
            <w:r>
              <w:rPr>
                <w:color w:val="auto"/>
                <w:highlight w:val="none"/>
                <w:u w:val="none"/>
              </w:rPr>
              <w:t>15</w:t>
            </w:r>
          </w:p>
        </w:tc>
      </w:tr>
      <w:tr w14:paraId="439DD4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1FBE65BD">
            <w:pPr>
              <w:pStyle w:val="92"/>
              <w:rPr>
                <w:color w:val="auto"/>
                <w:highlight w:val="none"/>
                <w:u w:val="none"/>
              </w:rPr>
            </w:pPr>
            <w:r>
              <w:rPr>
                <w:rFonts w:hint="eastAsia"/>
                <w:color w:val="auto"/>
                <w:highlight w:val="none"/>
                <w:u w:val="none"/>
              </w:rPr>
              <w:t>1</w:t>
            </w:r>
            <w:r>
              <w:rPr>
                <w:color w:val="auto"/>
                <w:highlight w:val="none"/>
                <w:u w:val="none"/>
              </w:rPr>
              <w:t>0</w:t>
            </w:r>
          </w:p>
        </w:tc>
        <w:tc>
          <w:tcPr>
            <w:tcW w:w="1850" w:type="pct"/>
            <w:gridSpan w:val="2"/>
            <w:shd w:val="clear" w:color="auto" w:fill="auto"/>
            <w:vAlign w:val="center"/>
          </w:tcPr>
          <w:p w14:paraId="6651D122">
            <w:pPr>
              <w:pStyle w:val="92"/>
              <w:rPr>
                <w:color w:val="auto"/>
                <w:highlight w:val="none"/>
                <w:u w:val="none"/>
              </w:rPr>
            </w:pPr>
            <w:r>
              <w:rPr>
                <w:color w:val="auto"/>
                <w:highlight w:val="none"/>
                <w:u w:val="none"/>
              </w:rPr>
              <w:t>氯苯类</w:t>
            </w:r>
          </w:p>
        </w:tc>
        <w:tc>
          <w:tcPr>
            <w:tcW w:w="969" w:type="pct"/>
            <w:shd w:val="clear" w:color="auto" w:fill="auto"/>
            <w:vAlign w:val="center"/>
          </w:tcPr>
          <w:p w14:paraId="6BD0FE82">
            <w:pPr>
              <w:pStyle w:val="92"/>
              <w:rPr>
                <w:color w:val="auto"/>
                <w:highlight w:val="none"/>
                <w:u w:val="none"/>
              </w:rPr>
            </w:pPr>
            <w:r>
              <w:rPr>
                <w:color w:val="auto"/>
                <w:highlight w:val="none"/>
                <w:u w:val="none"/>
              </w:rPr>
              <w:t>/</w:t>
            </w:r>
          </w:p>
        </w:tc>
        <w:tc>
          <w:tcPr>
            <w:tcW w:w="990" w:type="pct"/>
            <w:shd w:val="clear" w:color="auto" w:fill="auto"/>
            <w:vAlign w:val="center"/>
          </w:tcPr>
          <w:p w14:paraId="4BC0B66A">
            <w:pPr>
              <w:pStyle w:val="92"/>
              <w:rPr>
                <w:color w:val="auto"/>
                <w:highlight w:val="none"/>
                <w:u w:val="none"/>
              </w:rPr>
            </w:pPr>
            <w:r>
              <w:rPr>
                <w:color w:val="auto"/>
                <w:highlight w:val="none"/>
                <w:u w:val="none"/>
              </w:rPr>
              <w:t>50</w:t>
            </w:r>
          </w:p>
        </w:tc>
        <w:tc>
          <w:tcPr>
            <w:tcW w:w="828" w:type="pct"/>
            <w:shd w:val="clear" w:color="auto" w:fill="auto"/>
            <w:vAlign w:val="center"/>
          </w:tcPr>
          <w:p w14:paraId="3B22DDA5">
            <w:pPr>
              <w:pStyle w:val="92"/>
              <w:rPr>
                <w:color w:val="auto"/>
                <w:highlight w:val="none"/>
                <w:u w:val="none"/>
              </w:rPr>
            </w:pPr>
            <w:r>
              <w:rPr>
                <w:color w:val="auto"/>
                <w:highlight w:val="none"/>
                <w:u w:val="none"/>
              </w:rPr>
              <w:t>50</w:t>
            </w:r>
          </w:p>
        </w:tc>
      </w:tr>
      <w:tr w14:paraId="37A5B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18E6E4F2">
            <w:pPr>
              <w:pStyle w:val="92"/>
              <w:rPr>
                <w:color w:val="auto"/>
                <w:highlight w:val="none"/>
                <w:u w:val="none"/>
              </w:rPr>
            </w:pPr>
            <w:r>
              <w:rPr>
                <w:rFonts w:hint="eastAsia"/>
                <w:color w:val="auto"/>
                <w:highlight w:val="none"/>
                <w:u w:val="none"/>
              </w:rPr>
              <w:t>1</w:t>
            </w:r>
            <w:r>
              <w:rPr>
                <w:color w:val="auto"/>
                <w:highlight w:val="none"/>
                <w:u w:val="none"/>
              </w:rPr>
              <w:t>1</w:t>
            </w:r>
          </w:p>
        </w:tc>
        <w:tc>
          <w:tcPr>
            <w:tcW w:w="1850" w:type="pct"/>
            <w:gridSpan w:val="2"/>
            <w:shd w:val="clear" w:color="auto" w:fill="auto"/>
            <w:vAlign w:val="center"/>
          </w:tcPr>
          <w:p w14:paraId="6CE9D042">
            <w:pPr>
              <w:pStyle w:val="92"/>
              <w:rPr>
                <w:color w:val="auto"/>
                <w:highlight w:val="none"/>
                <w:u w:val="none"/>
              </w:rPr>
            </w:pPr>
            <w:r>
              <w:rPr>
                <w:color w:val="auto"/>
                <w:highlight w:val="none"/>
                <w:u w:val="none"/>
              </w:rPr>
              <w:t>硝基苯类</w:t>
            </w:r>
          </w:p>
        </w:tc>
        <w:tc>
          <w:tcPr>
            <w:tcW w:w="969" w:type="pct"/>
            <w:shd w:val="clear" w:color="auto" w:fill="auto"/>
            <w:vAlign w:val="center"/>
          </w:tcPr>
          <w:p w14:paraId="60E76498">
            <w:pPr>
              <w:pStyle w:val="92"/>
              <w:rPr>
                <w:color w:val="auto"/>
                <w:highlight w:val="none"/>
                <w:u w:val="none"/>
              </w:rPr>
            </w:pPr>
            <w:r>
              <w:rPr>
                <w:color w:val="auto"/>
                <w:highlight w:val="none"/>
                <w:u w:val="none"/>
              </w:rPr>
              <w:t>/</w:t>
            </w:r>
          </w:p>
        </w:tc>
        <w:tc>
          <w:tcPr>
            <w:tcW w:w="990" w:type="pct"/>
            <w:shd w:val="clear" w:color="auto" w:fill="auto"/>
            <w:vAlign w:val="center"/>
          </w:tcPr>
          <w:p w14:paraId="280AF55C">
            <w:pPr>
              <w:pStyle w:val="92"/>
              <w:rPr>
                <w:color w:val="auto"/>
                <w:highlight w:val="none"/>
                <w:u w:val="none"/>
              </w:rPr>
            </w:pPr>
            <w:r>
              <w:rPr>
                <w:color w:val="auto"/>
                <w:highlight w:val="none"/>
                <w:u w:val="none"/>
              </w:rPr>
              <w:t>16</w:t>
            </w:r>
          </w:p>
        </w:tc>
        <w:tc>
          <w:tcPr>
            <w:tcW w:w="828" w:type="pct"/>
            <w:shd w:val="clear" w:color="auto" w:fill="auto"/>
            <w:vAlign w:val="center"/>
          </w:tcPr>
          <w:p w14:paraId="4773919B">
            <w:pPr>
              <w:pStyle w:val="92"/>
              <w:rPr>
                <w:color w:val="auto"/>
                <w:highlight w:val="none"/>
                <w:u w:val="none"/>
              </w:rPr>
            </w:pPr>
            <w:r>
              <w:rPr>
                <w:color w:val="auto"/>
                <w:highlight w:val="none"/>
                <w:u w:val="none"/>
              </w:rPr>
              <w:t>16</w:t>
            </w:r>
          </w:p>
        </w:tc>
      </w:tr>
      <w:tr w14:paraId="40610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6A65FDB4">
            <w:pPr>
              <w:pStyle w:val="92"/>
              <w:rPr>
                <w:color w:val="auto"/>
                <w:highlight w:val="none"/>
                <w:u w:val="none"/>
              </w:rPr>
            </w:pPr>
            <w:r>
              <w:rPr>
                <w:rFonts w:hint="eastAsia"/>
                <w:color w:val="auto"/>
                <w:highlight w:val="none"/>
                <w:u w:val="none"/>
              </w:rPr>
              <w:t>1</w:t>
            </w:r>
            <w:r>
              <w:rPr>
                <w:color w:val="auto"/>
                <w:highlight w:val="none"/>
                <w:u w:val="none"/>
              </w:rPr>
              <w:t>2</w:t>
            </w:r>
          </w:p>
        </w:tc>
        <w:tc>
          <w:tcPr>
            <w:tcW w:w="1850" w:type="pct"/>
            <w:gridSpan w:val="2"/>
            <w:shd w:val="clear" w:color="auto" w:fill="auto"/>
            <w:vAlign w:val="center"/>
          </w:tcPr>
          <w:p w14:paraId="65C2C66B">
            <w:pPr>
              <w:pStyle w:val="92"/>
              <w:rPr>
                <w:color w:val="auto"/>
                <w:highlight w:val="none"/>
                <w:u w:val="none"/>
              </w:rPr>
            </w:pPr>
            <w:r>
              <w:rPr>
                <w:color w:val="auto"/>
                <w:highlight w:val="none"/>
                <w:u w:val="none"/>
              </w:rPr>
              <w:t>苯胺类</w:t>
            </w:r>
          </w:p>
        </w:tc>
        <w:tc>
          <w:tcPr>
            <w:tcW w:w="969" w:type="pct"/>
            <w:shd w:val="clear" w:color="auto" w:fill="auto"/>
            <w:vAlign w:val="center"/>
          </w:tcPr>
          <w:p w14:paraId="7C42E384">
            <w:pPr>
              <w:pStyle w:val="92"/>
              <w:rPr>
                <w:color w:val="auto"/>
                <w:highlight w:val="none"/>
                <w:u w:val="none"/>
              </w:rPr>
            </w:pPr>
            <w:r>
              <w:rPr>
                <w:color w:val="auto"/>
                <w:highlight w:val="none"/>
                <w:u w:val="none"/>
              </w:rPr>
              <w:t>/</w:t>
            </w:r>
          </w:p>
        </w:tc>
        <w:tc>
          <w:tcPr>
            <w:tcW w:w="990" w:type="pct"/>
            <w:shd w:val="clear" w:color="auto" w:fill="auto"/>
            <w:vAlign w:val="center"/>
          </w:tcPr>
          <w:p w14:paraId="2D1F2754">
            <w:pPr>
              <w:pStyle w:val="92"/>
              <w:rPr>
                <w:color w:val="auto"/>
                <w:highlight w:val="none"/>
                <w:u w:val="none"/>
              </w:rPr>
            </w:pPr>
            <w:r>
              <w:rPr>
                <w:color w:val="auto"/>
                <w:highlight w:val="none"/>
                <w:u w:val="none"/>
              </w:rPr>
              <w:t>20</w:t>
            </w:r>
          </w:p>
        </w:tc>
        <w:tc>
          <w:tcPr>
            <w:tcW w:w="828" w:type="pct"/>
            <w:shd w:val="clear" w:color="auto" w:fill="auto"/>
            <w:vAlign w:val="center"/>
          </w:tcPr>
          <w:p w14:paraId="1F349C68">
            <w:pPr>
              <w:pStyle w:val="92"/>
              <w:rPr>
                <w:color w:val="auto"/>
                <w:highlight w:val="none"/>
                <w:u w:val="none"/>
              </w:rPr>
            </w:pPr>
            <w:r>
              <w:rPr>
                <w:color w:val="auto"/>
                <w:highlight w:val="none"/>
                <w:u w:val="none"/>
              </w:rPr>
              <w:t>20</w:t>
            </w:r>
          </w:p>
        </w:tc>
      </w:tr>
      <w:tr w14:paraId="008D7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649380CA">
            <w:pPr>
              <w:pStyle w:val="92"/>
              <w:rPr>
                <w:color w:val="auto"/>
                <w:highlight w:val="none"/>
                <w:u w:val="none"/>
              </w:rPr>
            </w:pPr>
            <w:r>
              <w:rPr>
                <w:rFonts w:hint="eastAsia"/>
                <w:color w:val="auto"/>
                <w:highlight w:val="none"/>
                <w:u w:val="none"/>
              </w:rPr>
              <w:t>1</w:t>
            </w:r>
            <w:r>
              <w:rPr>
                <w:color w:val="auto"/>
                <w:highlight w:val="none"/>
                <w:u w:val="none"/>
              </w:rPr>
              <w:t>3</w:t>
            </w:r>
          </w:p>
        </w:tc>
        <w:tc>
          <w:tcPr>
            <w:tcW w:w="1850" w:type="pct"/>
            <w:gridSpan w:val="2"/>
            <w:shd w:val="clear" w:color="auto" w:fill="auto"/>
            <w:vAlign w:val="center"/>
          </w:tcPr>
          <w:p w14:paraId="09C0BF38">
            <w:pPr>
              <w:pStyle w:val="92"/>
              <w:rPr>
                <w:color w:val="auto"/>
                <w:highlight w:val="none"/>
                <w:u w:val="none"/>
              </w:rPr>
            </w:pPr>
            <w:r>
              <w:rPr>
                <w:color w:val="auto"/>
                <w:highlight w:val="none"/>
                <w:u w:val="none"/>
              </w:rPr>
              <w:t>光气</w:t>
            </w:r>
          </w:p>
        </w:tc>
        <w:tc>
          <w:tcPr>
            <w:tcW w:w="969" w:type="pct"/>
            <w:shd w:val="clear" w:color="auto" w:fill="auto"/>
            <w:vAlign w:val="center"/>
          </w:tcPr>
          <w:p w14:paraId="42748828">
            <w:pPr>
              <w:pStyle w:val="92"/>
              <w:rPr>
                <w:color w:val="auto"/>
                <w:highlight w:val="none"/>
                <w:u w:val="none"/>
              </w:rPr>
            </w:pPr>
            <w:r>
              <w:rPr>
                <w:color w:val="auto"/>
                <w:highlight w:val="none"/>
                <w:u w:val="none"/>
              </w:rPr>
              <w:t>/</w:t>
            </w:r>
          </w:p>
        </w:tc>
        <w:tc>
          <w:tcPr>
            <w:tcW w:w="990" w:type="pct"/>
            <w:shd w:val="clear" w:color="auto" w:fill="auto"/>
            <w:vAlign w:val="center"/>
          </w:tcPr>
          <w:p w14:paraId="0B9844F2">
            <w:pPr>
              <w:pStyle w:val="92"/>
              <w:rPr>
                <w:color w:val="auto"/>
                <w:highlight w:val="none"/>
                <w:u w:val="none"/>
              </w:rPr>
            </w:pPr>
            <w:r>
              <w:rPr>
                <w:color w:val="auto"/>
                <w:highlight w:val="none"/>
                <w:u w:val="none"/>
              </w:rPr>
              <w:t>0.5</w:t>
            </w:r>
          </w:p>
        </w:tc>
        <w:tc>
          <w:tcPr>
            <w:tcW w:w="828" w:type="pct"/>
            <w:shd w:val="clear" w:color="auto" w:fill="auto"/>
            <w:vAlign w:val="center"/>
          </w:tcPr>
          <w:p w14:paraId="6B99A64B">
            <w:pPr>
              <w:pStyle w:val="92"/>
              <w:rPr>
                <w:color w:val="auto"/>
                <w:highlight w:val="none"/>
                <w:u w:val="none"/>
              </w:rPr>
            </w:pPr>
            <w:r>
              <w:rPr>
                <w:color w:val="auto"/>
                <w:highlight w:val="none"/>
                <w:u w:val="none"/>
              </w:rPr>
              <w:t>0.5</w:t>
            </w:r>
          </w:p>
        </w:tc>
      </w:tr>
      <w:tr w14:paraId="68AD9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4DECD1F9">
            <w:pPr>
              <w:pStyle w:val="92"/>
              <w:rPr>
                <w:color w:val="auto"/>
                <w:highlight w:val="none"/>
                <w:u w:val="none"/>
              </w:rPr>
            </w:pPr>
            <w:r>
              <w:rPr>
                <w:rFonts w:hint="eastAsia"/>
                <w:color w:val="auto"/>
                <w:highlight w:val="none"/>
                <w:u w:val="none"/>
              </w:rPr>
              <w:t>1</w:t>
            </w:r>
            <w:r>
              <w:rPr>
                <w:color w:val="auto"/>
                <w:highlight w:val="none"/>
                <w:u w:val="none"/>
              </w:rPr>
              <w:t>4</w:t>
            </w:r>
          </w:p>
        </w:tc>
        <w:tc>
          <w:tcPr>
            <w:tcW w:w="1850" w:type="pct"/>
            <w:gridSpan w:val="2"/>
            <w:shd w:val="clear" w:color="auto" w:fill="auto"/>
            <w:vAlign w:val="center"/>
          </w:tcPr>
          <w:p w14:paraId="11402683">
            <w:pPr>
              <w:pStyle w:val="92"/>
              <w:rPr>
                <w:color w:val="auto"/>
                <w:highlight w:val="none"/>
                <w:u w:val="none"/>
              </w:rPr>
            </w:pPr>
            <w:r>
              <w:rPr>
                <w:color w:val="auto"/>
                <w:highlight w:val="none"/>
                <w:u w:val="none"/>
              </w:rPr>
              <w:t>四氯化碳</w:t>
            </w:r>
          </w:p>
        </w:tc>
        <w:tc>
          <w:tcPr>
            <w:tcW w:w="969" w:type="pct"/>
            <w:shd w:val="clear" w:color="auto" w:fill="auto"/>
            <w:vAlign w:val="center"/>
          </w:tcPr>
          <w:p w14:paraId="6512217D">
            <w:pPr>
              <w:pStyle w:val="92"/>
              <w:rPr>
                <w:color w:val="auto"/>
                <w:highlight w:val="none"/>
                <w:u w:val="none"/>
              </w:rPr>
            </w:pPr>
            <w:r>
              <w:rPr>
                <w:color w:val="auto"/>
                <w:highlight w:val="none"/>
                <w:u w:val="none"/>
              </w:rPr>
              <w:t>/</w:t>
            </w:r>
          </w:p>
        </w:tc>
        <w:tc>
          <w:tcPr>
            <w:tcW w:w="990" w:type="pct"/>
            <w:shd w:val="clear" w:color="auto" w:fill="auto"/>
            <w:vAlign w:val="center"/>
          </w:tcPr>
          <w:p w14:paraId="039BB791">
            <w:pPr>
              <w:pStyle w:val="92"/>
              <w:rPr>
                <w:color w:val="auto"/>
                <w:highlight w:val="none"/>
                <w:u w:val="none"/>
              </w:rPr>
            </w:pPr>
            <w:r>
              <w:rPr>
                <w:color w:val="auto"/>
                <w:highlight w:val="none"/>
                <w:u w:val="none"/>
              </w:rPr>
              <w:t>20</w:t>
            </w:r>
          </w:p>
        </w:tc>
        <w:tc>
          <w:tcPr>
            <w:tcW w:w="828" w:type="pct"/>
            <w:shd w:val="clear" w:color="auto" w:fill="auto"/>
            <w:vAlign w:val="center"/>
          </w:tcPr>
          <w:p w14:paraId="07DDF285">
            <w:pPr>
              <w:pStyle w:val="92"/>
              <w:rPr>
                <w:color w:val="auto"/>
                <w:highlight w:val="none"/>
                <w:u w:val="none"/>
              </w:rPr>
            </w:pPr>
            <w:r>
              <w:rPr>
                <w:color w:val="auto"/>
                <w:highlight w:val="none"/>
                <w:u w:val="none"/>
              </w:rPr>
              <w:t>20</w:t>
            </w:r>
          </w:p>
        </w:tc>
      </w:tr>
      <w:tr w14:paraId="7341A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67AD1BD3">
            <w:pPr>
              <w:pStyle w:val="92"/>
              <w:rPr>
                <w:color w:val="auto"/>
                <w:highlight w:val="none"/>
                <w:u w:val="none"/>
              </w:rPr>
            </w:pPr>
            <w:r>
              <w:rPr>
                <w:rFonts w:hint="eastAsia"/>
                <w:color w:val="auto"/>
                <w:highlight w:val="none"/>
                <w:u w:val="none"/>
              </w:rPr>
              <w:t>1</w:t>
            </w:r>
            <w:r>
              <w:rPr>
                <w:color w:val="auto"/>
                <w:highlight w:val="none"/>
                <w:u w:val="none"/>
              </w:rPr>
              <w:t>5</w:t>
            </w:r>
          </w:p>
        </w:tc>
        <w:tc>
          <w:tcPr>
            <w:tcW w:w="1850" w:type="pct"/>
            <w:gridSpan w:val="2"/>
            <w:shd w:val="clear" w:color="auto" w:fill="auto"/>
            <w:vAlign w:val="center"/>
          </w:tcPr>
          <w:p w14:paraId="77116AB4">
            <w:pPr>
              <w:pStyle w:val="92"/>
              <w:rPr>
                <w:color w:val="auto"/>
                <w:highlight w:val="none"/>
                <w:u w:val="none"/>
              </w:rPr>
            </w:pPr>
            <w:r>
              <w:rPr>
                <w:color w:val="auto"/>
                <w:highlight w:val="none"/>
                <w:u w:val="none"/>
              </w:rPr>
              <w:t>甲醇</w:t>
            </w:r>
          </w:p>
        </w:tc>
        <w:tc>
          <w:tcPr>
            <w:tcW w:w="969" w:type="pct"/>
            <w:shd w:val="clear" w:color="auto" w:fill="auto"/>
            <w:vAlign w:val="center"/>
          </w:tcPr>
          <w:p w14:paraId="723781A9">
            <w:pPr>
              <w:pStyle w:val="92"/>
              <w:rPr>
                <w:color w:val="auto"/>
                <w:highlight w:val="none"/>
                <w:u w:val="none"/>
              </w:rPr>
            </w:pPr>
            <w:r>
              <w:rPr>
                <w:color w:val="auto"/>
                <w:highlight w:val="none"/>
                <w:u w:val="none"/>
              </w:rPr>
              <w:t>/</w:t>
            </w:r>
          </w:p>
        </w:tc>
        <w:tc>
          <w:tcPr>
            <w:tcW w:w="990" w:type="pct"/>
            <w:shd w:val="clear" w:color="auto" w:fill="auto"/>
            <w:vAlign w:val="center"/>
          </w:tcPr>
          <w:p w14:paraId="56761D6A">
            <w:pPr>
              <w:pStyle w:val="92"/>
              <w:rPr>
                <w:color w:val="auto"/>
                <w:highlight w:val="none"/>
                <w:u w:val="none"/>
              </w:rPr>
            </w:pPr>
            <w:r>
              <w:rPr>
                <w:color w:val="auto"/>
                <w:highlight w:val="none"/>
                <w:u w:val="none"/>
              </w:rPr>
              <w:t>50</w:t>
            </w:r>
          </w:p>
        </w:tc>
        <w:tc>
          <w:tcPr>
            <w:tcW w:w="828" w:type="pct"/>
            <w:shd w:val="clear" w:color="auto" w:fill="auto"/>
            <w:vAlign w:val="center"/>
          </w:tcPr>
          <w:p w14:paraId="0C535071">
            <w:pPr>
              <w:pStyle w:val="92"/>
              <w:rPr>
                <w:color w:val="auto"/>
                <w:highlight w:val="none"/>
                <w:u w:val="none"/>
              </w:rPr>
            </w:pPr>
            <w:r>
              <w:rPr>
                <w:color w:val="auto"/>
                <w:highlight w:val="none"/>
                <w:u w:val="none"/>
              </w:rPr>
              <w:t>50</w:t>
            </w:r>
          </w:p>
        </w:tc>
      </w:tr>
      <w:tr w14:paraId="685C2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3884EC92">
            <w:pPr>
              <w:pStyle w:val="92"/>
              <w:rPr>
                <w:color w:val="auto"/>
                <w:highlight w:val="none"/>
                <w:u w:val="none"/>
              </w:rPr>
            </w:pPr>
            <w:r>
              <w:rPr>
                <w:rFonts w:hint="eastAsia"/>
                <w:color w:val="auto"/>
                <w:highlight w:val="none"/>
                <w:u w:val="none"/>
              </w:rPr>
              <w:t>1</w:t>
            </w:r>
            <w:r>
              <w:rPr>
                <w:color w:val="auto"/>
                <w:highlight w:val="none"/>
                <w:u w:val="none"/>
              </w:rPr>
              <w:t>6</w:t>
            </w:r>
          </w:p>
        </w:tc>
        <w:tc>
          <w:tcPr>
            <w:tcW w:w="1850" w:type="pct"/>
            <w:gridSpan w:val="2"/>
            <w:shd w:val="clear" w:color="auto" w:fill="auto"/>
            <w:vAlign w:val="center"/>
          </w:tcPr>
          <w:p w14:paraId="5E747C6C">
            <w:pPr>
              <w:pStyle w:val="92"/>
              <w:rPr>
                <w:color w:val="auto"/>
                <w:highlight w:val="none"/>
                <w:u w:val="none"/>
              </w:rPr>
            </w:pPr>
            <w:r>
              <w:rPr>
                <w:color w:val="auto"/>
                <w:highlight w:val="none"/>
                <w:u w:val="none"/>
              </w:rPr>
              <w:t>甲醛</w:t>
            </w:r>
          </w:p>
        </w:tc>
        <w:tc>
          <w:tcPr>
            <w:tcW w:w="969" w:type="pct"/>
            <w:shd w:val="clear" w:color="auto" w:fill="auto"/>
            <w:vAlign w:val="center"/>
          </w:tcPr>
          <w:p w14:paraId="35D61DD7">
            <w:pPr>
              <w:pStyle w:val="92"/>
              <w:rPr>
                <w:color w:val="auto"/>
                <w:highlight w:val="none"/>
                <w:u w:val="none"/>
              </w:rPr>
            </w:pPr>
            <w:r>
              <w:rPr>
                <w:color w:val="auto"/>
                <w:highlight w:val="none"/>
                <w:u w:val="none"/>
              </w:rPr>
              <w:t>/</w:t>
            </w:r>
          </w:p>
        </w:tc>
        <w:tc>
          <w:tcPr>
            <w:tcW w:w="990" w:type="pct"/>
            <w:shd w:val="clear" w:color="auto" w:fill="auto"/>
            <w:vAlign w:val="center"/>
          </w:tcPr>
          <w:p w14:paraId="72439C71">
            <w:pPr>
              <w:pStyle w:val="92"/>
              <w:rPr>
                <w:color w:val="auto"/>
                <w:highlight w:val="none"/>
                <w:u w:val="none"/>
              </w:rPr>
            </w:pPr>
            <w:r>
              <w:rPr>
                <w:color w:val="auto"/>
                <w:highlight w:val="none"/>
                <w:u w:val="none"/>
              </w:rPr>
              <w:t>5</w:t>
            </w:r>
          </w:p>
        </w:tc>
        <w:tc>
          <w:tcPr>
            <w:tcW w:w="828" w:type="pct"/>
            <w:shd w:val="clear" w:color="auto" w:fill="auto"/>
            <w:vAlign w:val="center"/>
          </w:tcPr>
          <w:p w14:paraId="26D58500">
            <w:pPr>
              <w:pStyle w:val="92"/>
              <w:rPr>
                <w:color w:val="auto"/>
                <w:highlight w:val="none"/>
                <w:u w:val="none"/>
              </w:rPr>
            </w:pPr>
            <w:r>
              <w:rPr>
                <w:color w:val="auto"/>
                <w:highlight w:val="none"/>
                <w:u w:val="none"/>
              </w:rPr>
              <w:t>5</w:t>
            </w:r>
          </w:p>
        </w:tc>
      </w:tr>
      <w:tr w14:paraId="5ED8D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shd w:val="clear" w:color="auto" w:fill="auto"/>
            <w:vAlign w:val="center"/>
          </w:tcPr>
          <w:p w14:paraId="31FE5620">
            <w:pPr>
              <w:pStyle w:val="92"/>
              <w:rPr>
                <w:color w:val="auto"/>
                <w:highlight w:val="none"/>
                <w:u w:val="none"/>
              </w:rPr>
            </w:pPr>
            <w:r>
              <w:rPr>
                <w:rFonts w:hint="eastAsia"/>
                <w:color w:val="auto"/>
                <w:highlight w:val="none"/>
                <w:u w:val="none"/>
              </w:rPr>
              <w:t>1</w:t>
            </w:r>
            <w:r>
              <w:rPr>
                <w:color w:val="auto"/>
                <w:highlight w:val="none"/>
                <w:u w:val="none"/>
              </w:rPr>
              <w:t>7</w:t>
            </w:r>
          </w:p>
        </w:tc>
        <w:tc>
          <w:tcPr>
            <w:tcW w:w="1850" w:type="pct"/>
            <w:gridSpan w:val="2"/>
            <w:shd w:val="clear" w:color="auto" w:fill="auto"/>
            <w:vAlign w:val="center"/>
          </w:tcPr>
          <w:p w14:paraId="053AD36F">
            <w:pPr>
              <w:pStyle w:val="92"/>
              <w:rPr>
                <w:color w:val="auto"/>
                <w:highlight w:val="none"/>
                <w:u w:val="none"/>
              </w:rPr>
            </w:pPr>
            <w:r>
              <w:rPr>
                <w:color w:val="auto"/>
                <w:highlight w:val="none"/>
                <w:u w:val="none"/>
              </w:rPr>
              <w:t>非甲烷总烃</w:t>
            </w:r>
          </w:p>
        </w:tc>
        <w:tc>
          <w:tcPr>
            <w:tcW w:w="969" w:type="pct"/>
            <w:shd w:val="clear" w:color="auto" w:fill="auto"/>
            <w:vAlign w:val="center"/>
          </w:tcPr>
          <w:p w14:paraId="3CCDF994">
            <w:pPr>
              <w:pStyle w:val="92"/>
              <w:rPr>
                <w:color w:val="auto"/>
                <w:highlight w:val="none"/>
                <w:u w:val="none"/>
              </w:rPr>
            </w:pPr>
            <w:r>
              <w:rPr>
                <w:color w:val="auto"/>
                <w:highlight w:val="none"/>
                <w:u w:val="none"/>
              </w:rPr>
              <w:t>/</w:t>
            </w:r>
          </w:p>
        </w:tc>
        <w:tc>
          <w:tcPr>
            <w:tcW w:w="990" w:type="pct"/>
            <w:shd w:val="clear" w:color="auto" w:fill="auto"/>
            <w:vAlign w:val="center"/>
          </w:tcPr>
          <w:p w14:paraId="44EC7BB5">
            <w:pPr>
              <w:pStyle w:val="92"/>
              <w:rPr>
                <w:color w:val="auto"/>
                <w:highlight w:val="none"/>
                <w:u w:val="none"/>
              </w:rPr>
            </w:pPr>
            <w:r>
              <w:rPr>
                <w:color w:val="auto"/>
                <w:highlight w:val="none"/>
                <w:u w:val="none"/>
              </w:rPr>
              <w:t>去除效率≥97%</w:t>
            </w:r>
          </w:p>
        </w:tc>
        <w:tc>
          <w:tcPr>
            <w:tcW w:w="828" w:type="pct"/>
            <w:shd w:val="clear" w:color="auto" w:fill="auto"/>
            <w:vAlign w:val="center"/>
          </w:tcPr>
          <w:p w14:paraId="3F529988">
            <w:pPr>
              <w:pStyle w:val="92"/>
              <w:rPr>
                <w:color w:val="auto"/>
                <w:highlight w:val="none"/>
                <w:u w:val="none"/>
              </w:rPr>
            </w:pPr>
            <w:r>
              <w:rPr>
                <w:color w:val="auto"/>
                <w:highlight w:val="none"/>
                <w:u w:val="none"/>
              </w:rPr>
              <w:t>去除效率≥97%</w:t>
            </w:r>
          </w:p>
        </w:tc>
      </w:tr>
    </w:tbl>
    <w:p w14:paraId="40520032">
      <w:pPr>
        <w:ind w:firstLine="360"/>
        <w:rPr>
          <w:rFonts w:hint="eastAsia"/>
          <w:color w:val="auto"/>
          <w:sz w:val="18"/>
          <w:szCs w:val="18"/>
          <w:highlight w:val="none"/>
          <w:u w:val="none"/>
        </w:rPr>
      </w:pPr>
      <w:bookmarkStart w:id="87" w:name="_Ref142341974"/>
      <w:r>
        <w:rPr>
          <w:rFonts w:hint="eastAsia"/>
          <w:color w:val="auto"/>
          <w:sz w:val="18"/>
          <w:szCs w:val="18"/>
          <w:highlight w:val="none"/>
          <w:u w:val="none"/>
        </w:rPr>
        <w:t>*注：利用锅炉、工业炉窑、固废焚烧炉处理有机废气的，若有机废气引入火焰区进行处理，则等同于满足去除效率要求。</w:t>
      </w:r>
    </w:p>
    <w:p w14:paraId="24DE4DD1">
      <w:pPr>
        <w:pStyle w:val="85"/>
        <w:rPr>
          <w:color w:val="auto"/>
          <w:highlight w:val="none"/>
          <w:u w:val="none"/>
        </w:rPr>
      </w:pPr>
      <w:bookmarkStart w:id="88" w:name="_Ref727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11</w:t>
      </w:r>
      <w:r>
        <w:rPr>
          <w:color w:val="auto"/>
          <w:highlight w:val="none"/>
          <w:u w:val="none"/>
        </w:rPr>
        <w:fldChar w:fldCharType="end"/>
      </w:r>
      <w:bookmarkEnd w:id="87"/>
      <w:bookmarkEnd w:id="88"/>
      <w:r>
        <w:rPr>
          <w:color w:val="auto"/>
          <w:highlight w:val="none"/>
          <w:u w:val="none"/>
        </w:rPr>
        <w:t xml:space="preserve">  </w:t>
      </w:r>
      <w:r>
        <w:rPr>
          <w:rFonts w:hint="eastAsia"/>
          <w:color w:val="auto"/>
          <w:highlight w:val="none"/>
          <w:u w:val="none"/>
        </w:rPr>
        <w:t xml:space="preserve">能量回收装置废气排放限值 </w:t>
      </w:r>
      <w:r>
        <w:rPr>
          <w:color w:val="auto"/>
          <w:highlight w:val="none"/>
          <w:u w:val="none"/>
        </w:rPr>
        <w:t xml:space="preserve"> </w:t>
      </w:r>
      <w:r>
        <w:rPr>
          <w:rFonts w:hint="eastAsia"/>
          <w:color w:val="auto"/>
          <w:highlight w:val="none"/>
          <w:u w:val="none"/>
        </w:rPr>
        <w:t>单位：</w:t>
      </w:r>
      <w:r>
        <w:rPr>
          <w:color w:val="auto"/>
          <w:highlight w:val="none"/>
          <w:u w:val="none"/>
        </w:rPr>
        <w:t>mg/m</w:t>
      </w:r>
      <w:r>
        <w:rPr>
          <w:color w:val="auto"/>
          <w:highlight w:val="none"/>
          <w:u w:val="none"/>
          <w:vertAlign w:val="superscript"/>
        </w:rPr>
        <w:t>3</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38"/>
        <w:gridCol w:w="1906"/>
        <w:gridCol w:w="2704"/>
        <w:gridCol w:w="3739"/>
      </w:tblGrid>
      <w:tr w14:paraId="517508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5" w:type="pct"/>
            <w:vAlign w:val="center"/>
          </w:tcPr>
          <w:p w14:paraId="7F5C019F">
            <w:pPr>
              <w:pStyle w:val="92"/>
              <w:rPr>
                <w:rStyle w:val="161"/>
                <w:color w:val="auto"/>
                <w:highlight w:val="none"/>
                <w:u w:val="none"/>
              </w:rPr>
            </w:pPr>
            <w:r>
              <w:rPr>
                <w:rStyle w:val="161"/>
                <w:color w:val="auto"/>
                <w:highlight w:val="none"/>
                <w:u w:val="none"/>
              </w:rPr>
              <w:t>序号</w:t>
            </w:r>
          </w:p>
        </w:tc>
        <w:tc>
          <w:tcPr>
            <w:tcW w:w="1026" w:type="pct"/>
            <w:vAlign w:val="center"/>
          </w:tcPr>
          <w:p w14:paraId="07B72188">
            <w:pPr>
              <w:pStyle w:val="92"/>
              <w:rPr>
                <w:rStyle w:val="161"/>
                <w:color w:val="auto"/>
                <w:highlight w:val="none"/>
                <w:u w:val="none"/>
              </w:rPr>
            </w:pPr>
            <w:r>
              <w:rPr>
                <w:rStyle w:val="161"/>
                <w:color w:val="auto"/>
                <w:highlight w:val="none"/>
                <w:u w:val="none"/>
              </w:rPr>
              <w:t>项目</w:t>
            </w:r>
          </w:p>
        </w:tc>
        <w:tc>
          <w:tcPr>
            <w:tcW w:w="1456" w:type="pct"/>
            <w:vAlign w:val="center"/>
          </w:tcPr>
          <w:p w14:paraId="178E201F">
            <w:pPr>
              <w:pStyle w:val="92"/>
              <w:rPr>
                <w:rStyle w:val="161"/>
                <w:color w:val="auto"/>
                <w:highlight w:val="none"/>
                <w:u w:val="none"/>
              </w:rPr>
            </w:pPr>
            <w:r>
              <w:rPr>
                <w:rStyle w:val="161"/>
                <w:color w:val="auto"/>
                <w:highlight w:val="none"/>
                <w:u w:val="none"/>
              </w:rPr>
              <w:t>排放限值</w:t>
            </w:r>
          </w:p>
        </w:tc>
        <w:tc>
          <w:tcPr>
            <w:tcW w:w="2013" w:type="pct"/>
            <w:vAlign w:val="center"/>
          </w:tcPr>
          <w:p w14:paraId="42730434">
            <w:pPr>
              <w:pStyle w:val="92"/>
              <w:rPr>
                <w:rStyle w:val="161"/>
                <w:color w:val="auto"/>
                <w:highlight w:val="none"/>
                <w:u w:val="none"/>
              </w:rPr>
            </w:pPr>
            <w:r>
              <w:rPr>
                <w:rStyle w:val="161"/>
                <w:color w:val="auto"/>
                <w:highlight w:val="none"/>
                <w:u w:val="none"/>
              </w:rPr>
              <w:t>标准来源</w:t>
            </w:r>
          </w:p>
        </w:tc>
      </w:tr>
      <w:tr w14:paraId="78BEBA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5" w:type="pct"/>
            <w:vAlign w:val="center"/>
          </w:tcPr>
          <w:p w14:paraId="11D5AB8B">
            <w:pPr>
              <w:pStyle w:val="92"/>
              <w:rPr>
                <w:rStyle w:val="161"/>
                <w:color w:val="auto"/>
                <w:highlight w:val="none"/>
                <w:u w:val="none"/>
              </w:rPr>
            </w:pPr>
            <w:r>
              <w:rPr>
                <w:rStyle w:val="161"/>
                <w:color w:val="auto"/>
                <w:highlight w:val="none"/>
                <w:u w:val="none"/>
              </w:rPr>
              <w:t>1</w:t>
            </w:r>
          </w:p>
        </w:tc>
        <w:tc>
          <w:tcPr>
            <w:tcW w:w="1026" w:type="pct"/>
            <w:vAlign w:val="center"/>
          </w:tcPr>
          <w:p w14:paraId="4D22AE50">
            <w:pPr>
              <w:pStyle w:val="92"/>
              <w:rPr>
                <w:rStyle w:val="161"/>
                <w:color w:val="auto"/>
                <w:highlight w:val="none"/>
                <w:u w:val="none"/>
              </w:rPr>
            </w:pPr>
            <w:r>
              <w:rPr>
                <w:rStyle w:val="161"/>
                <w:color w:val="auto"/>
                <w:highlight w:val="none"/>
                <w:u w:val="none"/>
              </w:rPr>
              <w:t>非甲烷总烃</w:t>
            </w:r>
          </w:p>
        </w:tc>
        <w:tc>
          <w:tcPr>
            <w:tcW w:w="1456" w:type="pct"/>
            <w:vAlign w:val="center"/>
          </w:tcPr>
          <w:p w14:paraId="46862374">
            <w:pPr>
              <w:pStyle w:val="92"/>
              <w:rPr>
                <w:rStyle w:val="161"/>
                <w:color w:val="auto"/>
                <w:highlight w:val="none"/>
                <w:u w:val="none"/>
              </w:rPr>
            </w:pPr>
            <w:r>
              <w:rPr>
                <w:rStyle w:val="161"/>
                <w:color w:val="auto"/>
                <w:highlight w:val="none"/>
                <w:u w:val="none"/>
              </w:rPr>
              <w:t>100</w:t>
            </w:r>
          </w:p>
        </w:tc>
        <w:tc>
          <w:tcPr>
            <w:tcW w:w="2013" w:type="pct"/>
            <w:vAlign w:val="center"/>
          </w:tcPr>
          <w:p w14:paraId="230B04AA">
            <w:pPr>
              <w:pStyle w:val="92"/>
              <w:rPr>
                <w:rStyle w:val="161"/>
                <w:color w:val="auto"/>
                <w:highlight w:val="none"/>
                <w:u w:val="none"/>
              </w:rPr>
            </w:pPr>
            <w:r>
              <w:rPr>
                <w:rStyle w:val="161"/>
                <w:color w:val="auto"/>
                <w:highlight w:val="none"/>
                <w:u w:val="none"/>
              </w:rPr>
              <w:t>《工业企业挥发性有机物排放标准》（DB35/1782-2018）表1</w:t>
            </w:r>
          </w:p>
        </w:tc>
      </w:tr>
      <w:tr w14:paraId="0465D2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5" w:type="pct"/>
            <w:vAlign w:val="center"/>
          </w:tcPr>
          <w:p w14:paraId="47FF4125">
            <w:pPr>
              <w:pStyle w:val="92"/>
              <w:rPr>
                <w:rStyle w:val="161"/>
                <w:color w:val="auto"/>
                <w:highlight w:val="none"/>
                <w:u w:val="none"/>
              </w:rPr>
            </w:pPr>
            <w:r>
              <w:rPr>
                <w:rStyle w:val="161"/>
                <w:color w:val="auto"/>
                <w:highlight w:val="none"/>
                <w:u w:val="none"/>
              </w:rPr>
              <w:t>2</w:t>
            </w:r>
          </w:p>
        </w:tc>
        <w:tc>
          <w:tcPr>
            <w:tcW w:w="1026" w:type="pct"/>
            <w:vAlign w:val="center"/>
          </w:tcPr>
          <w:p w14:paraId="2673026F">
            <w:pPr>
              <w:pStyle w:val="92"/>
              <w:rPr>
                <w:rStyle w:val="161"/>
                <w:color w:val="auto"/>
                <w:highlight w:val="none"/>
                <w:u w:val="none"/>
              </w:rPr>
            </w:pPr>
            <w:r>
              <w:rPr>
                <w:rStyle w:val="161"/>
                <w:color w:val="auto"/>
                <w:highlight w:val="none"/>
                <w:u w:val="none"/>
              </w:rPr>
              <w:t>氨</w:t>
            </w:r>
          </w:p>
        </w:tc>
        <w:tc>
          <w:tcPr>
            <w:tcW w:w="1456" w:type="pct"/>
            <w:vAlign w:val="center"/>
          </w:tcPr>
          <w:p w14:paraId="25311592">
            <w:pPr>
              <w:pStyle w:val="166"/>
              <w:spacing w:line="240" w:lineRule="auto"/>
              <w:rPr>
                <w:rFonts w:ascii="Times New Roman" w:hAnsi="Times New Roman" w:cs="Times New Roman"/>
                <w:iCs/>
                <w:color w:val="auto"/>
                <w:highlight w:val="none"/>
                <w:u w:val="none"/>
              </w:rPr>
            </w:pPr>
            <w:r>
              <w:rPr>
                <w:rFonts w:hint="eastAsia" w:ascii="Times New Roman" w:hAnsi="Times New Roman" w:cs="Times New Roman"/>
                <w:iCs/>
                <w:color w:val="auto"/>
                <w:highlight w:val="none"/>
                <w:u w:val="none"/>
              </w:rPr>
              <w:t>排气筒高度50m，</w:t>
            </w:r>
          </w:p>
          <w:p w14:paraId="6715532F">
            <w:pPr>
              <w:pStyle w:val="166"/>
              <w:spacing w:line="240" w:lineRule="auto"/>
              <w:rPr>
                <w:rStyle w:val="161"/>
                <w:color w:val="auto"/>
                <w:highlight w:val="none"/>
                <w:u w:val="none"/>
              </w:rPr>
            </w:pPr>
            <w:r>
              <w:rPr>
                <w:rFonts w:hint="eastAsia" w:ascii="Times New Roman" w:hAnsi="Times New Roman" w:cs="Times New Roman"/>
                <w:iCs/>
                <w:color w:val="auto"/>
                <w:highlight w:val="none"/>
                <w:u w:val="none"/>
              </w:rPr>
              <w:t>排放速率≤55kg/h</w:t>
            </w:r>
          </w:p>
        </w:tc>
        <w:tc>
          <w:tcPr>
            <w:tcW w:w="2013" w:type="pct"/>
            <w:vAlign w:val="center"/>
          </w:tcPr>
          <w:p w14:paraId="3825276A">
            <w:pPr>
              <w:pStyle w:val="92"/>
              <w:rPr>
                <w:rStyle w:val="161"/>
                <w:color w:val="auto"/>
                <w:highlight w:val="none"/>
                <w:u w:val="none"/>
              </w:rPr>
            </w:pPr>
            <w:r>
              <w:rPr>
                <w:rStyle w:val="161"/>
                <w:color w:val="auto"/>
                <w:highlight w:val="none"/>
                <w:u w:val="none"/>
              </w:rPr>
              <w:t>《恶臭污染物排放标准》（GB14554-93）表2</w:t>
            </w:r>
          </w:p>
        </w:tc>
      </w:tr>
    </w:tbl>
    <w:p w14:paraId="513E7779">
      <w:pPr>
        <w:rPr>
          <w:rFonts w:hint="eastAsia"/>
          <w:color w:val="auto"/>
          <w:highlight w:val="none"/>
          <w:u w:val="none"/>
          <w:lang w:val="en-US"/>
        </w:rPr>
      </w:pPr>
      <w:r>
        <w:rPr>
          <w:rFonts w:hint="eastAsia"/>
          <w:color w:val="auto"/>
          <w:highlight w:val="none"/>
          <w:u w:val="none"/>
        </w:rPr>
        <w:t>②精制尾气、呼吸储罐废气、</w:t>
      </w:r>
      <w:r>
        <w:rPr>
          <w:rFonts w:hint="eastAsia"/>
          <w:color w:val="auto"/>
          <w:highlight w:val="none"/>
          <w:u w:val="none"/>
          <w:lang w:val="en-US"/>
        </w:rPr>
        <w:t>焦油颗粒装车站废气</w:t>
      </w:r>
    </w:p>
    <w:p w14:paraId="1F2C7D49">
      <w:pPr>
        <w:rPr>
          <w:rFonts w:hint="eastAsia"/>
          <w:color w:val="auto"/>
          <w:highlight w:val="none"/>
          <w:u w:val="none"/>
        </w:rPr>
      </w:pPr>
      <w:r>
        <w:rPr>
          <w:rFonts w:hint="eastAsia"/>
          <w:color w:val="auto"/>
          <w:highlight w:val="none"/>
          <w:u w:val="none"/>
        </w:rPr>
        <w:t>本项目</w:t>
      </w:r>
      <w:r>
        <w:rPr>
          <w:color w:val="auto"/>
          <w:highlight w:val="none"/>
          <w:u w:val="none"/>
        </w:rPr>
        <w:t>TDA精制尾气经厂内一套“冷凝+水洗涤+</w:t>
      </w:r>
      <w:r>
        <w:rPr>
          <w:rFonts w:hint="eastAsia"/>
          <w:color w:val="auto"/>
          <w:highlight w:val="none"/>
          <w:u w:val="none"/>
        </w:rPr>
        <w:t>冷凝除雾+</w:t>
      </w:r>
      <w:r>
        <w:rPr>
          <w:color w:val="auto"/>
          <w:highlight w:val="none"/>
          <w:u w:val="none"/>
        </w:rPr>
        <w:t>活性炭吸附”处理措施处理、ODCB储罐废气经厂内一套“两级活性炭吸附”措施处理</w:t>
      </w:r>
      <w:r>
        <w:rPr>
          <w:rFonts w:hint="eastAsia"/>
          <w:color w:val="auto"/>
          <w:highlight w:val="none"/>
          <w:u w:val="none"/>
        </w:rPr>
        <w:t>、</w:t>
      </w:r>
      <w:r>
        <w:rPr>
          <w:rFonts w:hint="eastAsia"/>
          <w:color w:val="auto"/>
          <w:highlight w:val="none"/>
          <w:u w:val="none"/>
          <w:lang w:val="en-US"/>
        </w:rPr>
        <w:t>焦油颗粒装车站废气通过二级除尘处理，</w:t>
      </w:r>
      <w:r>
        <w:rPr>
          <w:color w:val="auto"/>
          <w:highlight w:val="none"/>
          <w:u w:val="none"/>
        </w:rPr>
        <w:t>处理后的废气执行《石油化学工业污染物排放标准》（GB31571-2015）</w:t>
      </w:r>
      <w:r>
        <w:rPr>
          <w:rFonts w:hint="eastAsia"/>
          <w:color w:val="auto"/>
          <w:highlight w:val="none"/>
          <w:u w:val="none"/>
        </w:rPr>
        <w:t>及其修改单</w:t>
      </w:r>
      <w:r>
        <w:rPr>
          <w:color w:val="auto"/>
          <w:highlight w:val="none"/>
          <w:u w:val="none"/>
        </w:rPr>
        <w:t>表5大气污染物特别排放限值和表6废气中有机特征污染物排放限值，非甲烷总烃排放浓度参照</w:t>
      </w:r>
      <w:r>
        <w:rPr>
          <w:rFonts w:hint="eastAsia"/>
          <w:color w:val="auto"/>
          <w:highlight w:val="none"/>
          <w:u w:val="none"/>
        </w:rPr>
        <w:t>执行</w:t>
      </w:r>
      <w:r>
        <w:rPr>
          <w:color w:val="auto"/>
          <w:highlight w:val="none"/>
          <w:u w:val="none"/>
        </w:rPr>
        <w:t>《工业企业挥发性有机物排放标准》（DB35/1782-2018）表1其他行业允许排放浓度</w:t>
      </w:r>
      <w:r>
        <w:rPr>
          <w:rFonts w:hint="eastAsia"/>
          <w:color w:val="auto"/>
          <w:highlight w:val="none"/>
          <w:u w:val="none"/>
        </w:rPr>
        <w:t>限</w:t>
      </w:r>
      <w:r>
        <w:rPr>
          <w:rFonts w:hint="eastAsia"/>
          <w:color w:val="auto"/>
          <w:highlight w:val="none"/>
          <w:u w:val="none"/>
          <w:lang w:val="en-US" w:eastAsia="zh-CN"/>
        </w:rPr>
        <w:t>值</w:t>
      </w:r>
      <w:r>
        <w:rPr>
          <w:color w:val="auto"/>
          <w:highlight w:val="none"/>
          <w:u w:val="none"/>
        </w:rPr>
        <w:t>。</w:t>
      </w:r>
    </w:p>
    <w:p w14:paraId="4132EF29">
      <w:pPr>
        <w:pStyle w:val="85"/>
        <w:rPr>
          <w:color w:val="auto"/>
          <w:highlight w:val="none"/>
          <w:u w:val="none"/>
        </w:rPr>
      </w:pPr>
      <w:bookmarkStart w:id="89" w:name="_Ref7317"/>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12</w:t>
      </w:r>
      <w:r>
        <w:rPr>
          <w:color w:val="auto"/>
          <w:highlight w:val="none"/>
          <w:u w:val="none"/>
        </w:rPr>
        <w:fldChar w:fldCharType="end"/>
      </w:r>
      <w:bookmarkEnd w:id="89"/>
      <w:r>
        <w:rPr>
          <w:color w:val="auto"/>
          <w:highlight w:val="none"/>
          <w:u w:val="none"/>
        </w:rPr>
        <w:t xml:space="preserve">  </w:t>
      </w:r>
      <w:r>
        <w:rPr>
          <w:rFonts w:hint="eastAsia"/>
          <w:color w:val="auto"/>
          <w:highlight w:val="none"/>
          <w:u w:val="none"/>
        </w:rPr>
        <w:t xml:space="preserve">工艺排气筒挥发性有机物排放标准 </w:t>
      </w:r>
      <w:r>
        <w:rPr>
          <w:color w:val="auto"/>
          <w:highlight w:val="none"/>
          <w:u w:val="none"/>
        </w:rPr>
        <w:t xml:space="preserve"> </w:t>
      </w:r>
      <w:r>
        <w:rPr>
          <w:rFonts w:hint="eastAsia"/>
          <w:color w:val="auto"/>
          <w:highlight w:val="none"/>
          <w:u w:val="none"/>
        </w:rPr>
        <w:t>单位：</w:t>
      </w:r>
      <w:r>
        <w:rPr>
          <w:color w:val="auto"/>
          <w:highlight w:val="none"/>
          <w:u w:val="none"/>
        </w:rPr>
        <w:t>mg/m</w:t>
      </w:r>
      <w:r>
        <w:rPr>
          <w:color w:val="auto"/>
          <w:highlight w:val="none"/>
          <w:u w:val="none"/>
          <w:vertAlign w:val="superscript"/>
        </w:rPr>
        <w:t>3</w:t>
      </w:r>
    </w:p>
    <w:tbl>
      <w:tblPr>
        <w:tblStyle w:val="59"/>
        <w:tblW w:w="499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30"/>
        <w:gridCol w:w="1057"/>
        <w:gridCol w:w="1705"/>
        <w:gridCol w:w="2997"/>
        <w:gridCol w:w="2991"/>
      </w:tblGrid>
      <w:tr w14:paraId="0EDD71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vAlign w:val="center"/>
          </w:tcPr>
          <w:p w14:paraId="5A0DBF4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序号</w:t>
            </w:r>
          </w:p>
        </w:tc>
        <w:tc>
          <w:tcPr>
            <w:tcW w:w="569" w:type="pct"/>
            <w:vAlign w:val="center"/>
          </w:tcPr>
          <w:p w14:paraId="5C70CAC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918" w:type="pct"/>
            <w:vAlign w:val="center"/>
          </w:tcPr>
          <w:p w14:paraId="6E20446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排放限值（mg/m</w:t>
            </w:r>
            <w:r>
              <w:rPr>
                <w:color w:val="auto"/>
                <w:sz w:val="21"/>
                <w:szCs w:val="21"/>
                <w:highlight w:val="none"/>
                <w:u w:val="none"/>
                <w:vertAlign w:val="superscript"/>
              </w:rPr>
              <w:t>3</w:t>
            </w:r>
            <w:r>
              <w:rPr>
                <w:color w:val="auto"/>
                <w:sz w:val="21"/>
                <w:szCs w:val="21"/>
                <w:highlight w:val="none"/>
                <w:u w:val="none"/>
              </w:rPr>
              <w:t>）</w:t>
            </w:r>
          </w:p>
        </w:tc>
        <w:tc>
          <w:tcPr>
            <w:tcW w:w="1614" w:type="pct"/>
            <w:vAlign w:val="center"/>
          </w:tcPr>
          <w:p w14:paraId="66EC226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最高允许排放速率</w:t>
            </w:r>
          </w:p>
          <w:p w14:paraId="0BF0389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（kg/h）</w:t>
            </w:r>
            <w:r>
              <w:rPr>
                <w:rStyle w:val="70"/>
                <w:rFonts w:hint="eastAsia"/>
                <w:color w:val="auto"/>
                <w:highlight w:val="none"/>
                <w:u w:val="none"/>
                <w:vertAlign w:val="superscript"/>
              </w:rPr>
              <w:t>（</w:t>
            </w:r>
            <w:r>
              <w:rPr>
                <w:rStyle w:val="70"/>
                <w:rFonts w:hint="eastAsia"/>
                <w:color w:val="auto"/>
                <w:highlight w:val="none"/>
                <w:u w:val="none"/>
                <w:vertAlign w:val="superscript"/>
                <w:lang w:val="en-US"/>
              </w:rPr>
              <w:t>1</w:t>
            </w:r>
            <w:r>
              <w:rPr>
                <w:rStyle w:val="70"/>
                <w:rFonts w:hint="eastAsia"/>
                <w:color w:val="auto"/>
                <w:highlight w:val="none"/>
                <w:u w:val="none"/>
                <w:vertAlign w:val="superscript"/>
              </w:rPr>
              <w:t>）</w:t>
            </w:r>
          </w:p>
        </w:tc>
        <w:tc>
          <w:tcPr>
            <w:tcW w:w="1611" w:type="pct"/>
            <w:vAlign w:val="center"/>
          </w:tcPr>
          <w:p w14:paraId="19B6A4D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标准来源</w:t>
            </w:r>
          </w:p>
        </w:tc>
      </w:tr>
      <w:tr w14:paraId="1441D6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shd w:val="clear" w:color="auto" w:fill="auto"/>
            <w:vAlign w:val="center"/>
          </w:tcPr>
          <w:p w14:paraId="6053DB2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569" w:type="pct"/>
            <w:vAlign w:val="center"/>
          </w:tcPr>
          <w:p w14:paraId="0C0B282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颗粒物</w:t>
            </w:r>
            <w:r>
              <w:rPr>
                <w:rFonts w:hint="eastAsia"/>
                <w:color w:val="auto"/>
                <w:sz w:val="21"/>
                <w:szCs w:val="21"/>
                <w:highlight w:val="none"/>
                <w:u w:val="none"/>
                <w:vertAlign w:val="superscript"/>
                <w:lang w:val="en-US"/>
              </w:rPr>
              <w:t>（2）</w:t>
            </w:r>
          </w:p>
        </w:tc>
        <w:tc>
          <w:tcPr>
            <w:tcW w:w="918" w:type="pct"/>
            <w:vAlign w:val="center"/>
          </w:tcPr>
          <w:p w14:paraId="230F665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20</w:t>
            </w:r>
          </w:p>
        </w:tc>
        <w:tc>
          <w:tcPr>
            <w:tcW w:w="1614" w:type="pct"/>
            <w:vAlign w:val="center"/>
          </w:tcPr>
          <w:p w14:paraId="20D5BDB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1611" w:type="pct"/>
            <w:vMerge w:val="restart"/>
            <w:vAlign w:val="center"/>
          </w:tcPr>
          <w:p w14:paraId="42DD0D5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《石油化学工业污染物排放标准》</w:t>
            </w:r>
          </w:p>
          <w:p w14:paraId="3554E0D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（GB31571-2015）</w:t>
            </w:r>
            <w:r>
              <w:rPr>
                <w:rFonts w:hint="eastAsia"/>
                <w:color w:val="auto"/>
                <w:sz w:val="21"/>
                <w:szCs w:val="21"/>
                <w:highlight w:val="none"/>
                <w:u w:val="none"/>
              </w:rPr>
              <w:t>及其修改单</w:t>
            </w:r>
            <w:r>
              <w:rPr>
                <w:color w:val="auto"/>
                <w:sz w:val="21"/>
                <w:szCs w:val="21"/>
                <w:highlight w:val="none"/>
                <w:u w:val="none"/>
              </w:rPr>
              <w:t>表5和表6</w:t>
            </w:r>
          </w:p>
        </w:tc>
      </w:tr>
      <w:tr w14:paraId="6EE9C9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shd w:val="clear" w:color="auto" w:fill="auto"/>
            <w:vAlign w:val="center"/>
          </w:tcPr>
          <w:p w14:paraId="3CDECE2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w:t>
            </w:r>
          </w:p>
        </w:tc>
        <w:tc>
          <w:tcPr>
            <w:tcW w:w="569" w:type="pct"/>
            <w:vAlign w:val="center"/>
          </w:tcPr>
          <w:p w14:paraId="4A97DE1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氯苯类</w:t>
            </w:r>
          </w:p>
        </w:tc>
        <w:tc>
          <w:tcPr>
            <w:tcW w:w="918" w:type="pct"/>
            <w:vAlign w:val="center"/>
          </w:tcPr>
          <w:p w14:paraId="3F3051C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50</w:t>
            </w:r>
          </w:p>
        </w:tc>
        <w:tc>
          <w:tcPr>
            <w:tcW w:w="1614" w:type="pct"/>
            <w:vAlign w:val="center"/>
          </w:tcPr>
          <w:p w14:paraId="3BBF14D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1611" w:type="pct"/>
            <w:vMerge w:val="continue"/>
            <w:vAlign w:val="center"/>
          </w:tcPr>
          <w:p w14:paraId="2C8E6C9F">
            <w:pPr>
              <w:spacing w:line="240" w:lineRule="auto"/>
              <w:ind w:firstLine="0" w:firstLineChars="0"/>
              <w:jc w:val="center"/>
              <w:rPr>
                <w:rFonts w:hint="eastAsia"/>
                <w:color w:val="auto"/>
                <w:sz w:val="21"/>
                <w:szCs w:val="21"/>
                <w:highlight w:val="none"/>
                <w:u w:val="none"/>
              </w:rPr>
            </w:pPr>
          </w:p>
        </w:tc>
      </w:tr>
      <w:tr w14:paraId="722E2C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shd w:val="clear" w:color="auto" w:fill="auto"/>
            <w:vAlign w:val="center"/>
          </w:tcPr>
          <w:p w14:paraId="19DCA25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w:t>
            </w:r>
          </w:p>
        </w:tc>
        <w:tc>
          <w:tcPr>
            <w:tcW w:w="569" w:type="pct"/>
            <w:vAlign w:val="center"/>
          </w:tcPr>
          <w:p w14:paraId="404D61F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苯胺类</w:t>
            </w:r>
          </w:p>
        </w:tc>
        <w:tc>
          <w:tcPr>
            <w:tcW w:w="918" w:type="pct"/>
            <w:vAlign w:val="center"/>
          </w:tcPr>
          <w:p w14:paraId="73B4F41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20</w:t>
            </w:r>
          </w:p>
        </w:tc>
        <w:tc>
          <w:tcPr>
            <w:tcW w:w="1614" w:type="pct"/>
            <w:vAlign w:val="center"/>
          </w:tcPr>
          <w:p w14:paraId="0004CD4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1611" w:type="pct"/>
            <w:vMerge w:val="continue"/>
            <w:vAlign w:val="center"/>
          </w:tcPr>
          <w:p w14:paraId="5343FC2D">
            <w:pPr>
              <w:spacing w:line="240" w:lineRule="auto"/>
              <w:ind w:firstLine="0" w:firstLineChars="0"/>
              <w:jc w:val="center"/>
              <w:rPr>
                <w:rFonts w:hint="eastAsia"/>
                <w:color w:val="auto"/>
                <w:sz w:val="21"/>
                <w:szCs w:val="21"/>
                <w:highlight w:val="none"/>
                <w:u w:val="none"/>
              </w:rPr>
            </w:pPr>
          </w:p>
        </w:tc>
      </w:tr>
      <w:tr w14:paraId="725A0C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shd w:val="clear" w:color="auto" w:fill="auto"/>
            <w:vAlign w:val="center"/>
          </w:tcPr>
          <w:p w14:paraId="707F75D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w:t>
            </w:r>
          </w:p>
        </w:tc>
        <w:tc>
          <w:tcPr>
            <w:tcW w:w="569" w:type="pct"/>
            <w:vAlign w:val="center"/>
          </w:tcPr>
          <w:p w14:paraId="64D893D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非甲烷总烃</w:t>
            </w:r>
          </w:p>
        </w:tc>
        <w:tc>
          <w:tcPr>
            <w:tcW w:w="918" w:type="pct"/>
            <w:vAlign w:val="center"/>
          </w:tcPr>
          <w:p w14:paraId="63AC9E1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去除效率≥97%</w:t>
            </w:r>
            <w:r>
              <w:rPr>
                <w:rFonts w:hint="eastAsia"/>
                <w:color w:val="auto"/>
                <w:sz w:val="21"/>
                <w:szCs w:val="21"/>
                <w:highlight w:val="none"/>
                <w:u w:val="none"/>
                <w:vertAlign w:val="superscript"/>
              </w:rPr>
              <w:t>（</w:t>
            </w:r>
            <w:r>
              <w:rPr>
                <w:rFonts w:hint="eastAsia"/>
                <w:color w:val="auto"/>
                <w:sz w:val="21"/>
                <w:szCs w:val="21"/>
                <w:highlight w:val="none"/>
                <w:u w:val="none"/>
                <w:vertAlign w:val="superscript"/>
                <w:lang w:val="en-US"/>
              </w:rPr>
              <w:t>1</w:t>
            </w:r>
            <w:r>
              <w:rPr>
                <w:rFonts w:hint="eastAsia"/>
                <w:color w:val="auto"/>
                <w:sz w:val="21"/>
                <w:szCs w:val="21"/>
                <w:highlight w:val="none"/>
                <w:u w:val="none"/>
                <w:vertAlign w:val="superscript"/>
              </w:rPr>
              <w:t>）</w:t>
            </w:r>
          </w:p>
        </w:tc>
        <w:tc>
          <w:tcPr>
            <w:tcW w:w="1614" w:type="pct"/>
            <w:vAlign w:val="center"/>
          </w:tcPr>
          <w:p w14:paraId="703A6D7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w:t>
            </w:r>
          </w:p>
        </w:tc>
        <w:tc>
          <w:tcPr>
            <w:tcW w:w="1611" w:type="pct"/>
            <w:vMerge w:val="continue"/>
            <w:vAlign w:val="center"/>
          </w:tcPr>
          <w:p w14:paraId="0C8556A7">
            <w:pPr>
              <w:spacing w:line="240" w:lineRule="auto"/>
              <w:ind w:firstLine="0" w:firstLineChars="0"/>
              <w:jc w:val="center"/>
              <w:rPr>
                <w:rFonts w:hint="eastAsia"/>
                <w:color w:val="auto"/>
                <w:sz w:val="21"/>
                <w:szCs w:val="21"/>
                <w:highlight w:val="none"/>
                <w:u w:val="none"/>
              </w:rPr>
            </w:pPr>
          </w:p>
        </w:tc>
      </w:tr>
      <w:tr w14:paraId="50B2CC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86" w:type="pct"/>
            <w:vAlign w:val="center"/>
          </w:tcPr>
          <w:p w14:paraId="03B0912A">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5</w:t>
            </w:r>
          </w:p>
        </w:tc>
        <w:tc>
          <w:tcPr>
            <w:tcW w:w="569" w:type="pct"/>
            <w:vAlign w:val="center"/>
          </w:tcPr>
          <w:p w14:paraId="27BDB08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非甲烷总烃</w:t>
            </w:r>
          </w:p>
        </w:tc>
        <w:tc>
          <w:tcPr>
            <w:tcW w:w="918" w:type="pct"/>
            <w:vAlign w:val="center"/>
          </w:tcPr>
          <w:p w14:paraId="332A14B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100</w:t>
            </w:r>
          </w:p>
        </w:tc>
        <w:tc>
          <w:tcPr>
            <w:tcW w:w="1614" w:type="pct"/>
            <w:vAlign w:val="center"/>
          </w:tcPr>
          <w:p w14:paraId="7068A87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vertAlign w:val="superscript"/>
                <w:lang w:val="en-US"/>
              </w:rPr>
              <w:t>（3）</w:t>
            </w:r>
            <w:r>
              <w:rPr>
                <w:rFonts w:hint="eastAsia"/>
                <w:color w:val="auto"/>
                <w:sz w:val="21"/>
                <w:szCs w:val="21"/>
                <w:highlight w:val="none"/>
                <w:u w:val="none"/>
                <w:lang w:val="en-US"/>
              </w:rPr>
              <w:t>排气筒15m：1.8；</w:t>
            </w:r>
          </w:p>
          <w:p w14:paraId="7A14833F">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排气筒23m：5.4；</w:t>
            </w:r>
          </w:p>
          <w:p w14:paraId="7FFBFEC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排气筒34m：12.72；</w:t>
            </w:r>
          </w:p>
        </w:tc>
        <w:tc>
          <w:tcPr>
            <w:tcW w:w="1611" w:type="pct"/>
            <w:vAlign w:val="center"/>
          </w:tcPr>
          <w:p w14:paraId="76C0776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《工业企业挥发性有机物排放标准》（DB35/1782-2018）表1</w:t>
            </w:r>
          </w:p>
        </w:tc>
      </w:tr>
    </w:tbl>
    <w:p w14:paraId="76629E59">
      <w:pPr>
        <w:ind w:firstLine="360"/>
        <w:rPr>
          <w:rFonts w:hint="eastAsia"/>
          <w:color w:val="auto"/>
          <w:sz w:val="18"/>
          <w:szCs w:val="18"/>
          <w:highlight w:val="none"/>
          <w:u w:val="none"/>
        </w:rPr>
      </w:pPr>
      <w:r>
        <w:rPr>
          <w:rFonts w:hint="eastAsia"/>
          <w:color w:val="auto"/>
          <w:sz w:val="18"/>
          <w:szCs w:val="18"/>
          <w:highlight w:val="none"/>
          <w:u w:val="none"/>
        </w:rPr>
        <w:t>注：（</w:t>
      </w:r>
      <w:r>
        <w:rPr>
          <w:rFonts w:hint="eastAsia"/>
          <w:color w:val="auto"/>
          <w:sz w:val="18"/>
          <w:szCs w:val="18"/>
          <w:highlight w:val="none"/>
          <w:u w:val="none"/>
          <w:lang w:val="en-US"/>
        </w:rPr>
        <w:t>1</w:t>
      </w:r>
      <w:r>
        <w:rPr>
          <w:rFonts w:hint="eastAsia"/>
          <w:color w:val="auto"/>
          <w:sz w:val="18"/>
          <w:szCs w:val="18"/>
          <w:highlight w:val="none"/>
          <w:u w:val="none"/>
        </w:rPr>
        <w:t>）利用锅炉、工业炉窑、固废焚烧炉处理有机废气的，若有机废气引入火焰区进行处理，则等同于满足去除效率要求。</w:t>
      </w:r>
    </w:p>
    <w:p w14:paraId="4061C18E">
      <w:pPr>
        <w:numPr>
          <w:ilvl w:val="0"/>
          <w:numId w:val="5"/>
        </w:numPr>
        <w:ind w:firstLine="360"/>
        <w:rPr>
          <w:rFonts w:hint="eastAsia"/>
          <w:color w:val="auto"/>
          <w:sz w:val="18"/>
          <w:szCs w:val="18"/>
          <w:highlight w:val="none"/>
          <w:u w:val="none"/>
          <w:lang w:val="en-US"/>
        </w:rPr>
      </w:pPr>
      <w:r>
        <w:rPr>
          <w:rFonts w:hint="eastAsia"/>
          <w:color w:val="auto"/>
          <w:sz w:val="18"/>
          <w:szCs w:val="18"/>
          <w:highlight w:val="none"/>
          <w:u w:val="none"/>
          <w:lang w:val="en-US"/>
        </w:rPr>
        <w:t>有机废物中若含颗粒物、二氧化硫或氮氧化物，执行工艺加热炉相应污染物控制要求。</w:t>
      </w:r>
    </w:p>
    <w:p w14:paraId="014B3CEE">
      <w:pPr>
        <w:numPr>
          <w:ilvl w:val="0"/>
          <w:numId w:val="5"/>
        </w:numPr>
        <w:ind w:firstLine="360"/>
        <w:rPr>
          <w:rFonts w:hint="eastAsia"/>
          <w:color w:val="auto"/>
          <w:sz w:val="18"/>
          <w:szCs w:val="18"/>
          <w:highlight w:val="none"/>
          <w:u w:val="none"/>
          <w:lang w:val="en-US"/>
        </w:rPr>
      </w:pPr>
      <w:r>
        <w:rPr>
          <w:rFonts w:hint="eastAsia"/>
          <w:color w:val="auto"/>
          <w:sz w:val="18"/>
          <w:szCs w:val="18"/>
          <w:highlight w:val="none"/>
          <w:u w:val="none"/>
          <w:lang w:val="en-US"/>
        </w:rPr>
        <w:t>排气筒处于（DB35/1782-2018）表1的表中两高度之间，用内插法计算其允许排放速率。</w:t>
      </w:r>
    </w:p>
    <w:p w14:paraId="3E6D2FDB">
      <w:pPr>
        <w:rPr>
          <w:rFonts w:hint="eastAsia"/>
          <w:color w:val="auto"/>
          <w:highlight w:val="none"/>
          <w:u w:val="none"/>
        </w:rPr>
      </w:pPr>
      <w:r>
        <w:rPr>
          <w:rFonts w:hint="eastAsia"/>
          <w:color w:val="auto"/>
          <w:highlight w:val="none"/>
          <w:u w:val="none"/>
        </w:rPr>
        <w:t>③厂界无组织废气</w:t>
      </w:r>
    </w:p>
    <w:p w14:paraId="7DD1C3A4">
      <w:pPr>
        <w:rPr>
          <w:rFonts w:hint="eastAsia"/>
          <w:color w:val="auto"/>
          <w:highlight w:val="none"/>
          <w:u w:val="none"/>
        </w:rPr>
      </w:pPr>
      <w:r>
        <w:rPr>
          <w:rFonts w:hint="eastAsia"/>
          <w:color w:val="auto"/>
          <w:highlight w:val="none"/>
          <w:u w:val="none"/>
        </w:rPr>
        <w:t>万华化学（福建）有限公司除将在厂区内</w:t>
      </w:r>
      <w:r>
        <w:rPr>
          <w:rFonts w:hint="eastAsia"/>
          <w:color w:val="auto"/>
          <w:highlight w:val="none"/>
          <w:u w:val="none"/>
          <w:lang w:val="en-US"/>
        </w:rPr>
        <w:t>技改扩能</w:t>
      </w:r>
      <w:r>
        <w:rPr>
          <w:rFonts w:hint="eastAsia"/>
          <w:color w:val="auto"/>
          <w:highlight w:val="none"/>
          <w:u w:val="none"/>
        </w:rPr>
        <w:t>本次</w:t>
      </w:r>
      <w:r>
        <w:rPr>
          <w:color w:val="auto"/>
          <w:highlight w:val="none"/>
          <w:u w:val="none"/>
        </w:rPr>
        <w:t>TDI</w:t>
      </w:r>
      <w:r>
        <w:rPr>
          <w:rFonts w:hint="eastAsia"/>
          <w:color w:val="auto"/>
          <w:highlight w:val="none"/>
          <w:u w:val="none"/>
          <w:lang w:val="en-US"/>
        </w:rPr>
        <w:t>一期</w:t>
      </w:r>
      <w:r>
        <w:rPr>
          <w:color w:val="auto"/>
          <w:highlight w:val="none"/>
          <w:u w:val="none"/>
        </w:rPr>
        <w:t>项目外</w:t>
      </w:r>
      <w:r>
        <w:rPr>
          <w:rFonts w:hint="eastAsia"/>
          <w:color w:val="auto"/>
          <w:highlight w:val="none"/>
          <w:u w:val="none"/>
        </w:rPr>
        <w:t>，</w:t>
      </w:r>
      <w:r>
        <w:rPr>
          <w:color w:val="auto"/>
          <w:highlight w:val="none"/>
          <w:u w:val="none"/>
        </w:rPr>
        <w:t>还</w:t>
      </w:r>
      <w:r>
        <w:rPr>
          <w:rFonts w:hint="eastAsia"/>
          <w:color w:val="auto"/>
          <w:highlight w:val="none"/>
          <w:u w:val="none"/>
        </w:rPr>
        <w:t>有已建成投产的</w:t>
      </w:r>
      <w:r>
        <w:rPr>
          <w:color w:val="auto"/>
          <w:highlight w:val="none"/>
          <w:u w:val="none"/>
        </w:rPr>
        <w:t>年产108万吨苯胺项目、</w:t>
      </w:r>
      <w:r>
        <w:rPr>
          <w:rFonts w:hint="eastAsia"/>
          <w:color w:val="auto"/>
          <w:highlight w:val="none"/>
          <w:u w:val="none"/>
        </w:rPr>
        <w:t>一期工程已建成投产的</w:t>
      </w:r>
      <w:r>
        <w:rPr>
          <w:color w:val="auto"/>
          <w:highlight w:val="none"/>
          <w:u w:val="none"/>
        </w:rPr>
        <w:t>年产80万吨PVC项目、</w:t>
      </w:r>
      <w:r>
        <w:rPr>
          <w:rFonts w:hint="eastAsia"/>
          <w:color w:val="auto"/>
          <w:highlight w:val="none"/>
          <w:u w:val="none"/>
        </w:rPr>
        <w:t>一期工程已建成投产的</w:t>
      </w:r>
      <w:r>
        <w:rPr>
          <w:color w:val="auto"/>
          <w:highlight w:val="none"/>
          <w:u w:val="none"/>
        </w:rPr>
        <w:t>年产48万吨甲醛项目</w:t>
      </w:r>
      <w:r>
        <w:rPr>
          <w:rFonts w:hint="eastAsia"/>
          <w:color w:val="auto"/>
          <w:highlight w:val="none"/>
          <w:u w:val="none"/>
          <w:lang w:eastAsia="zh-CN"/>
        </w:rPr>
        <w:t>、</w:t>
      </w:r>
      <w:r>
        <w:rPr>
          <w:rFonts w:hint="eastAsia"/>
          <w:color w:val="auto"/>
          <w:highlight w:val="none"/>
          <w:u w:val="none"/>
          <w:lang w:val="en-US" w:eastAsia="zh-CN"/>
        </w:rPr>
        <w:t>已批的年产36万吨TDI二期扩建项目</w:t>
      </w:r>
      <w:r>
        <w:rPr>
          <w:color w:val="auto"/>
          <w:highlight w:val="none"/>
          <w:u w:val="none"/>
        </w:rPr>
        <w:t>，故厂界污染物浓度需执行《石油化学工业污染物排放标准》（GB31571-2015）</w:t>
      </w:r>
      <w:r>
        <w:rPr>
          <w:rFonts w:hint="eastAsia"/>
          <w:color w:val="auto"/>
          <w:highlight w:val="none"/>
          <w:u w:val="none"/>
        </w:rPr>
        <w:t>及其修改单</w:t>
      </w:r>
      <w:r>
        <w:rPr>
          <w:color w:val="auto"/>
          <w:highlight w:val="none"/>
          <w:u w:val="none"/>
        </w:rPr>
        <w:t>、《工业企业挥发性有机物排放标准》（DB35/1782-2018）、《烧碱、聚氯乙烯工业污染物排放标准》（GB15581-2016）、《大气污染物综合排放标准》（GB16297-1996）、《硝酸工业污染物排放标准》（GB26131-2010）</w:t>
      </w:r>
      <w:r>
        <w:rPr>
          <w:rFonts w:hint="eastAsia"/>
          <w:color w:val="auto"/>
          <w:highlight w:val="none"/>
          <w:u w:val="none"/>
        </w:rPr>
        <w:t>的</w:t>
      </w:r>
      <w:r>
        <w:rPr>
          <w:color w:val="auto"/>
          <w:highlight w:val="none"/>
          <w:u w:val="none"/>
        </w:rPr>
        <w:t>最</w:t>
      </w:r>
      <w:r>
        <w:rPr>
          <w:rFonts w:hint="eastAsia"/>
          <w:color w:val="auto"/>
          <w:highlight w:val="none"/>
          <w:u w:val="none"/>
        </w:rPr>
        <w:t>严格限值</w:t>
      </w:r>
      <w:r>
        <w:rPr>
          <w:color w:val="auto"/>
          <w:highlight w:val="none"/>
          <w:u w:val="none"/>
        </w:rPr>
        <w:t>，光气参照《大气污染物综合排放标准》（GB16297-1996）中相关</w:t>
      </w:r>
      <w:r>
        <w:rPr>
          <w:rFonts w:hint="eastAsia"/>
          <w:color w:val="auto"/>
          <w:highlight w:val="none"/>
          <w:u w:val="none"/>
        </w:rPr>
        <w:t>限值</w:t>
      </w:r>
      <w:r>
        <w:rPr>
          <w:color w:val="auto"/>
          <w:highlight w:val="none"/>
          <w:u w:val="none"/>
        </w:rPr>
        <w:t>。</w:t>
      </w:r>
      <w:r>
        <w:rPr>
          <w:rFonts w:hint="eastAsia"/>
          <w:color w:val="auto"/>
          <w:highlight w:val="none"/>
          <w:u w:val="none"/>
        </w:rPr>
        <w:t>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_Ref142342984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2.3</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14</w:t>
      </w:r>
      <w:r>
        <w:rPr>
          <w:color w:val="auto"/>
          <w:highlight w:val="none"/>
          <w:u w:val="none"/>
        </w:rPr>
        <w:fldChar w:fldCharType="end"/>
      </w:r>
      <w:r>
        <w:rPr>
          <w:rFonts w:hint="eastAsia"/>
          <w:color w:val="auto"/>
          <w:highlight w:val="none"/>
          <w:u w:val="none"/>
        </w:rPr>
        <w:t>。</w:t>
      </w:r>
    </w:p>
    <w:p w14:paraId="734B6323">
      <w:pPr>
        <w:pStyle w:val="85"/>
        <w:rPr>
          <w:color w:val="auto"/>
          <w:highlight w:val="none"/>
          <w:u w:val="none"/>
        </w:rPr>
      </w:pPr>
      <w:bookmarkStart w:id="90" w:name="_Ref142342984"/>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14</w:t>
      </w:r>
      <w:r>
        <w:rPr>
          <w:color w:val="auto"/>
          <w:highlight w:val="none"/>
          <w:u w:val="none"/>
        </w:rPr>
        <w:fldChar w:fldCharType="end"/>
      </w:r>
      <w:bookmarkEnd w:id="90"/>
      <w:r>
        <w:rPr>
          <w:color w:val="auto"/>
          <w:highlight w:val="none"/>
          <w:u w:val="none"/>
        </w:rPr>
        <w:t xml:space="preserve">  </w:t>
      </w:r>
      <w:r>
        <w:rPr>
          <w:rFonts w:hint="eastAsia"/>
          <w:color w:val="auto"/>
          <w:highlight w:val="none"/>
          <w:u w:val="none"/>
        </w:rPr>
        <w:t xml:space="preserve">厂界污染物无组织浓度限值 </w:t>
      </w:r>
      <w:r>
        <w:rPr>
          <w:color w:val="auto"/>
          <w:highlight w:val="none"/>
          <w:u w:val="none"/>
        </w:rPr>
        <w:t xml:space="preserve"> </w:t>
      </w:r>
      <w:r>
        <w:rPr>
          <w:rFonts w:hint="eastAsia"/>
          <w:color w:val="auto"/>
          <w:highlight w:val="none"/>
          <w:u w:val="none"/>
        </w:rPr>
        <w:t>单位：</w:t>
      </w:r>
      <w:r>
        <w:rPr>
          <w:color w:val="auto"/>
          <w:highlight w:val="none"/>
          <w:u w:val="none"/>
        </w:rPr>
        <w:t>mg/m</w:t>
      </w:r>
      <w:r>
        <w:rPr>
          <w:color w:val="auto"/>
          <w:highlight w:val="none"/>
          <w:u w:val="none"/>
          <w:vertAlign w:val="superscript"/>
        </w:rPr>
        <w:t>3</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4"/>
        <w:gridCol w:w="1144"/>
        <w:gridCol w:w="1386"/>
        <w:gridCol w:w="1386"/>
        <w:gridCol w:w="1386"/>
        <w:gridCol w:w="1478"/>
        <w:gridCol w:w="1053"/>
      </w:tblGrid>
      <w:tr w14:paraId="09B72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Merge w:val="restart"/>
            <w:vAlign w:val="center"/>
          </w:tcPr>
          <w:p w14:paraId="2E271998">
            <w:pPr>
              <w:pStyle w:val="510"/>
              <w:rPr>
                <w:rStyle w:val="161"/>
                <w:iCs w:val="0"/>
                <w:color w:val="auto"/>
                <w:highlight w:val="none"/>
                <w:u w:val="none"/>
              </w:rPr>
            </w:pPr>
            <w:r>
              <w:rPr>
                <w:rStyle w:val="161"/>
                <w:iCs w:val="0"/>
                <w:color w:val="auto"/>
                <w:highlight w:val="none"/>
                <w:u w:val="none"/>
              </w:rPr>
              <w:t>污染物</w:t>
            </w:r>
          </w:p>
        </w:tc>
        <w:tc>
          <w:tcPr>
            <w:tcW w:w="3650" w:type="pct"/>
            <w:gridSpan w:val="5"/>
            <w:vAlign w:val="center"/>
          </w:tcPr>
          <w:p w14:paraId="2D0DBB01">
            <w:pPr>
              <w:pStyle w:val="510"/>
              <w:rPr>
                <w:rStyle w:val="161"/>
                <w:iCs w:val="0"/>
                <w:color w:val="auto"/>
                <w:highlight w:val="none"/>
                <w:u w:val="none"/>
              </w:rPr>
            </w:pPr>
            <w:r>
              <w:rPr>
                <w:rStyle w:val="161"/>
                <w:iCs w:val="0"/>
                <w:color w:val="auto"/>
                <w:highlight w:val="none"/>
                <w:u w:val="none"/>
              </w:rPr>
              <w:t>相关标准浓度限值</w:t>
            </w:r>
          </w:p>
        </w:tc>
        <w:tc>
          <w:tcPr>
            <w:tcW w:w="568" w:type="pct"/>
            <w:vMerge w:val="restart"/>
            <w:vAlign w:val="center"/>
          </w:tcPr>
          <w:p w14:paraId="02CBE697">
            <w:pPr>
              <w:pStyle w:val="510"/>
              <w:rPr>
                <w:rStyle w:val="161"/>
                <w:iCs w:val="0"/>
                <w:color w:val="auto"/>
                <w:highlight w:val="none"/>
                <w:u w:val="none"/>
              </w:rPr>
            </w:pPr>
            <w:r>
              <w:rPr>
                <w:rStyle w:val="161"/>
                <w:rFonts w:hint="eastAsia"/>
                <w:iCs w:val="0"/>
                <w:color w:val="auto"/>
                <w:highlight w:val="none"/>
                <w:u w:val="none"/>
              </w:rPr>
              <w:t>从严</w:t>
            </w:r>
          </w:p>
          <w:p w14:paraId="6359DE6F">
            <w:pPr>
              <w:pStyle w:val="510"/>
              <w:rPr>
                <w:rStyle w:val="161"/>
                <w:iCs w:val="0"/>
                <w:color w:val="auto"/>
                <w:highlight w:val="none"/>
                <w:u w:val="none"/>
              </w:rPr>
            </w:pPr>
            <w:r>
              <w:rPr>
                <w:rStyle w:val="161"/>
                <w:rFonts w:hint="eastAsia"/>
                <w:iCs w:val="0"/>
                <w:color w:val="auto"/>
                <w:highlight w:val="none"/>
                <w:u w:val="none"/>
              </w:rPr>
              <w:t>限值</w:t>
            </w:r>
          </w:p>
        </w:tc>
      </w:tr>
      <w:tr w14:paraId="7524B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14:paraId="539D974D">
            <w:pPr>
              <w:pStyle w:val="510"/>
              <w:rPr>
                <w:rStyle w:val="161"/>
                <w:iCs w:val="0"/>
                <w:color w:val="auto"/>
                <w:highlight w:val="none"/>
                <w:u w:val="none"/>
              </w:rPr>
            </w:pPr>
          </w:p>
        </w:tc>
        <w:tc>
          <w:tcPr>
            <w:tcW w:w="616" w:type="pct"/>
            <w:vAlign w:val="center"/>
          </w:tcPr>
          <w:p w14:paraId="5FC23D03">
            <w:pPr>
              <w:pStyle w:val="510"/>
              <w:rPr>
                <w:rStyle w:val="161"/>
                <w:iCs w:val="0"/>
                <w:color w:val="auto"/>
                <w:highlight w:val="none"/>
                <w:u w:val="none"/>
              </w:rPr>
            </w:pPr>
            <w:r>
              <w:rPr>
                <w:rStyle w:val="161"/>
                <w:iCs w:val="0"/>
                <w:color w:val="auto"/>
                <w:highlight w:val="none"/>
                <w:u w:val="none"/>
              </w:rPr>
              <w:t>GB31571</w:t>
            </w:r>
          </w:p>
          <w:p w14:paraId="39AB8657">
            <w:pPr>
              <w:pStyle w:val="510"/>
              <w:rPr>
                <w:rStyle w:val="161"/>
                <w:iCs w:val="0"/>
                <w:color w:val="auto"/>
                <w:highlight w:val="none"/>
                <w:u w:val="none"/>
              </w:rPr>
            </w:pPr>
            <w:r>
              <w:rPr>
                <w:rStyle w:val="161"/>
                <w:iCs w:val="0"/>
                <w:color w:val="auto"/>
                <w:highlight w:val="none"/>
                <w:u w:val="none"/>
              </w:rPr>
              <w:t>-2015</w:t>
            </w:r>
            <w:r>
              <w:rPr>
                <w:rStyle w:val="161"/>
                <w:rFonts w:hint="eastAsia"/>
                <w:iCs w:val="0"/>
                <w:color w:val="auto"/>
                <w:highlight w:val="none"/>
                <w:u w:val="none"/>
              </w:rPr>
              <w:t>及其修改单</w:t>
            </w:r>
          </w:p>
        </w:tc>
        <w:tc>
          <w:tcPr>
            <w:tcW w:w="746" w:type="pct"/>
            <w:vAlign w:val="center"/>
          </w:tcPr>
          <w:p w14:paraId="044D80D0">
            <w:pPr>
              <w:pStyle w:val="510"/>
              <w:rPr>
                <w:rStyle w:val="161"/>
                <w:iCs w:val="0"/>
                <w:color w:val="auto"/>
                <w:highlight w:val="none"/>
                <w:u w:val="none"/>
              </w:rPr>
            </w:pPr>
            <w:r>
              <w:rPr>
                <w:rStyle w:val="161"/>
                <w:iCs w:val="0"/>
                <w:color w:val="auto"/>
                <w:highlight w:val="none"/>
                <w:u w:val="none"/>
              </w:rPr>
              <w:t>GB26131</w:t>
            </w:r>
          </w:p>
          <w:p w14:paraId="2C5370CC">
            <w:pPr>
              <w:pStyle w:val="510"/>
              <w:rPr>
                <w:rStyle w:val="161"/>
                <w:iCs w:val="0"/>
                <w:color w:val="auto"/>
                <w:highlight w:val="none"/>
                <w:u w:val="none"/>
              </w:rPr>
            </w:pPr>
            <w:r>
              <w:rPr>
                <w:rStyle w:val="161"/>
                <w:iCs w:val="0"/>
                <w:color w:val="auto"/>
                <w:highlight w:val="none"/>
                <w:u w:val="none"/>
              </w:rPr>
              <w:t>-2010</w:t>
            </w:r>
          </w:p>
        </w:tc>
        <w:tc>
          <w:tcPr>
            <w:tcW w:w="746" w:type="pct"/>
            <w:vAlign w:val="center"/>
          </w:tcPr>
          <w:p w14:paraId="181B15A8">
            <w:pPr>
              <w:pStyle w:val="510"/>
              <w:rPr>
                <w:rStyle w:val="161"/>
                <w:iCs w:val="0"/>
                <w:color w:val="auto"/>
                <w:highlight w:val="none"/>
                <w:u w:val="none"/>
              </w:rPr>
            </w:pPr>
            <w:r>
              <w:rPr>
                <w:rStyle w:val="161"/>
                <w:iCs w:val="0"/>
                <w:color w:val="auto"/>
                <w:highlight w:val="none"/>
                <w:u w:val="none"/>
              </w:rPr>
              <w:t>GB15581</w:t>
            </w:r>
          </w:p>
          <w:p w14:paraId="621A95D0">
            <w:pPr>
              <w:pStyle w:val="510"/>
              <w:rPr>
                <w:rStyle w:val="161"/>
                <w:iCs w:val="0"/>
                <w:color w:val="auto"/>
                <w:highlight w:val="none"/>
                <w:u w:val="none"/>
              </w:rPr>
            </w:pPr>
            <w:r>
              <w:rPr>
                <w:rStyle w:val="161"/>
                <w:iCs w:val="0"/>
                <w:color w:val="auto"/>
                <w:highlight w:val="none"/>
                <w:u w:val="none"/>
              </w:rPr>
              <w:t>-2016</w:t>
            </w:r>
          </w:p>
        </w:tc>
        <w:tc>
          <w:tcPr>
            <w:tcW w:w="746" w:type="pct"/>
            <w:vAlign w:val="center"/>
          </w:tcPr>
          <w:p w14:paraId="30F226DA">
            <w:pPr>
              <w:pStyle w:val="510"/>
              <w:rPr>
                <w:rStyle w:val="161"/>
                <w:iCs w:val="0"/>
                <w:color w:val="auto"/>
                <w:highlight w:val="none"/>
                <w:u w:val="none"/>
              </w:rPr>
            </w:pPr>
            <w:r>
              <w:rPr>
                <w:rStyle w:val="161"/>
                <w:iCs w:val="0"/>
                <w:color w:val="auto"/>
                <w:highlight w:val="none"/>
                <w:u w:val="none"/>
              </w:rPr>
              <w:t>GB16297</w:t>
            </w:r>
          </w:p>
          <w:p w14:paraId="54C94E50">
            <w:pPr>
              <w:pStyle w:val="510"/>
              <w:rPr>
                <w:rStyle w:val="161"/>
                <w:iCs w:val="0"/>
                <w:color w:val="auto"/>
                <w:highlight w:val="none"/>
                <w:u w:val="none"/>
              </w:rPr>
            </w:pPr>
            <w:r>
              <w:rPr>
                <w:rStyle w:val="161"/>
                <w:iCs w:val="0"/>
                <w:color w:val="auto"/>
                <w:highlight w:val="none"/>
                <w:u w:val="none"/>
              </w:rPr>
              <w:t>-1996</w:t>
            </w:r>
          </w:p>
        </w:tc>
        <w:tc>
          <w:tcPr>
            <w:tcW w:w="796" w:type="pct"/>
            <w:vAlign w:val="center"/>
          </w:tcPr>
          <w:p w14:paraId="49CE3A17">
            <w:pPr>
              <w:pStyle w:val="510"/>
              <w:rPr>
                <w:rStyle w:val="161"/>
                <w:iCs w:val="0"/>
                <w:color w:val="auto"/>
                <w:highlight w:val="none"/>
                <w:u w:val="none"/>
              </w:rPr>
            </w:pPr>
            <w:r>
              <w:rPr>
                <w:rStyle w:val="161"/>
                <w:iCs w:val="0"/>
                <w:color w:val="auto"/>
                <w:highlight w:val="none"/>
                <w:u w:val="none"/>
              </w:rPr>
              <w:t>DB35/1782</w:t>
            </w:r>
          </w:p>
          <w:p w14:paraId="079754D5">
            <w:pPr>
              <w:pStyle w:val="510"/>
              <w:rPr>
                <w:rStyle w:val="161"/>
                <w:iCs w:val="0"/>
                <w:color w:val="auto"/>
                <w:highlight w:val="none"/>
                <w:u w:val="none"/>
              </w:rPr>
            </w:pPr>
            <w:r>
              <w:rPr>
                <w:rStyle w:val="161"/>
                <w:iCs w:val="0"/>
                <w:color w:val="auto"/>
                <w:highlight w:val="none"/>
                <w:u w:val="none"/>
              </w:rPr>
              <w:t>-2018</w:t>
            </w:r>
          </w:p>
        </w:tc>
        <w:tc>
          <w:tcPr>
            <w:tcW w:w="568" w:type="pct"/>
            <w:vMerge w:val="continue"/>
            <w:vAlign w:val="center"/>
          </w:tcPr>
          <w:p w14:paraId="539E2600">
            <w:pPr>
              <w:pStyle w:val="510"/>
              <w:rPr>
                <w:rStyle w:val="161"/>
                <w:iCs w:val="0"/>
                <w:color w:val="auto"/>
                <w:highlight w:val="none"/>
                <w:u w:val="none"/>
              </w:rPr>
            </w:pPr>
          </w:p>
        </w:tc>
      </w:tr>
      <w:tr w14:paraId="3193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1CABF93C">
            <w:pPr>
              <w:pStyle w:val="510"/>
              <w:rPr>
                <w:rStyle w:val="161"/>
                <w:iCs w:val="0"/>
                <w:color w:val="auto"/>
                <w:highlight w:val="none"/>
                <w:u w:val="none"/>
              </w:rPr>
            </w:pPr>
            <w:r>
              <w:rPr>
                <w:rStyle w:val="161"/>
                <w:iCs w:val="0"/>
                <w:color w:val="auto"/>
                <w:highlight w:val="none"/>
                <w:u w:val="none"/>
              </w:rPr>
              <w:t>氯化氢</w:t>
            </w:r>
          </w:p>
        </w:tc>
        <w:tc>
          <w:tcPr>
            <w:tcW w:w="616" w:type="pct"/>
            <w:vAlign w:val="center"/>
          </w:tcPr>
          <w:p w14:paraId="0C852A79">
            <w:pPr>
              <w:pStyle w:val="510"/>
              <w:rPr>
                <w:rStyle w:val="161"/>
                <w:iCs w:val="0"/>
                <w:color w:val="auto"/>
                <w:highlight w:val="none"/>
                <w:u w:val="none"/>
              </w:rPr>
            </w:pPr>
            <w:r>
              <w:rPr>
                <w:rStyle w:val="161"/>
                <w:iCs w:val="0"/>
                <w:color w:val="auto"/>
                <w:highlight w:val="none"/>
                <w:u w:val="none"/>
              </w:rPr>
              <w:t>0.2</w:t>
            </w:r>
          </w:p>
        </w:tc>
        <w:tc>
          <w:tcPr>
            <w:tcW w:w="746" w:type="pct"/>
            <w:vAlign w:val="center"/>
          </w:tcPr>
          <w:p w14:paraId="6BBB15DB">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034271B7">
            <w:pPr>
              <w:pStyle w:val="510"/>
              <w:rPr>
                <w:rStyle w:val="161"/>
                <w:iCs w:val="0"/>
                <w:color w:val="auto"/>
                <w:highlight w:val="none"/>
                <w:u w:val="none"/>
              </w:rPr>
            </w:pPr>
            <w:r>
              <w:rPr>
                <w:rStyle w:val="161"/>
                <w:iCs w:val="0"/>
                <w:color w:val="auto"/>
                <w:highlight w:val="none"/>
                <w:u w:val="none"/>
              </w:rPr>
              <w:t>0.2</w:t>
            </w:r>
          </w:p>
        </w:tc>
        <w:tc>
          <w:tcPr>
            <w:tcW w:w="746" w:type="pct"/>
            <w:vAlign w:val="center"/>
          </w:tcPr>
          <w:p w14:paraId="27113666">
            <w:pPr>
              <w:pStyle w:val="510"/>
              <w:rPr>
                <w:rStyle w:val="161"/>
                <w:iCs w:val="0"/>
                <w:color w:val="auto"/>
                <w:highlight w:val="none"/>
                <w:u w:val="none"/>
              </w:rPr>
            </w:pPr>
            <w:r>
              <w:rPr>
                <w:rStyle w:val="161"/>
                <w:iCs w:val="0"/>
                <w:color w:val="auto"/>
                <w:highlight w:val="none"/>
                <w:u w:val="none"/>
              </w:rPr>
              <w:t>0.2</w:t>
            </w:r>
          </w:p>
        </w:tc>
        <w:tc>
          <w:tcPr>
            <w:tcW w:w="796" w:type="pct"/>
            <w:vAlign w:val="center"/>
          </w:tcPr>
          <w:p w14:paraId="5A60B462">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4AF4EF77">
            <w:pPr>
              <w:pStyle w:val="510"/>
              <w:rPr>
                <w:rStyle w:val="161"/>
                <w:iCs w:val="0"/>
                <w:color w:val="auto"/>
                <w:highlight w:val="none"/>
                <w:u w:val="none"/>
              </w:rPr>
            </w:pPr>
            <w:r>
              <w:rPr>
                <w:rStyle w:val="161"/>
                <w:iCs w:val="0"/>
                <w:color w:val="auto"/>
                <w:highlight w:val="none"/>
                <w:u w:val="none"/>
              </w:rPr>
              <w:t>0.2</w:t>
            </w:r>
          </w:p>
        </w:tc>
      </w:tr>
      <w:tr w14:paraId="6B3C7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012B92A6">
            <w:pPr>
              <w:pStyle w:val="510"/>
              <w:rPr>
                <w:rStyle w:val="161"/>
                <w:iCs w:val="0"/>
                <w:color w:val="auto"/>
                <w:highlight w:val="none"/>
                <w:u w:val="none"/>
              </w:rPr>
            </w:pPr>
            <w:r>
              <w:rPr>
                <w:rStyle w:val="161"/>
                <w:iCs w:val="0"/>
                <w:color w:val="auto"/>
                <w:highlight w:val="none"/>
                <w:u w:val="none"/>
              </w:rPr>
              <w:t>氯气</w:t>
            </w:r>
          </w:p>
        </w:tc>
        <w:tc>
          <w:tcPr>
            <w:tcW w:w="616" w:type="pct"/>
            <w:vAlign w:val="center"/>
          </w:tcPr>
          <w:p w14:paraId="7FA59C47">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0F6955EB">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711DCA1">
            <w:pPr>
              <w:pStyle w:val="510"/>
              <w:rPr>
                <w:rStyle w:val="161"/>
                <w:rFonts w:hint="default" w:eastAsia="宋体"/>
                <w:iCs w:val="0"/>
                <w:color w:val="auto"/>
                <w:highlight w:val="none"/>
                <w:u w:val="none"/>
                <w:lang w:val="en-US" w:eastAsia="zh-CN"/>
              </w:rPr>
            </w:pPr>
            <w:r>
              <w:rPr>
                <w:rStyle w:val="161"/>
                <w:rFonts w:hint="eastAsia"/>
                <w:iCs w:val="0"/>
                <w:color w:val="auto"/>
                <w:highlight w:val="none"/>
                <w:u w:val="none"/>
                <w:lang w:val="en-US" w:eastAsia="zh-CN"/>
              </w:rPr>
              <w:t>0.1</w:t>
            </w:r>
          </w:p>
        </w:tc>
        <w:tc>
          <w:tcPr>
            <w:tcW w:w="746" w:type="pct"/>
            <w:vAlign w:val="center"/>
          </w:tcPr>
          <w:p w14:paraId="6349F888">
            <w:pPr>
              <w:pStyle w:val="510"/>
              <w:rPr>
                <w:rStyle w:val="161"/>
                <w:iCs w:val="0"/>
                <w:color w:val="auto"/>
                <w:highlight w:val="none"/>
                <w:u w:val="none"/>
              </w:rPr>
            </w:pPr>
            <w:r>
              <w:rPr>
                <w:rStyle w:val="161"/>
                <w:iCs w:val="0"/>
                <w:color w:val="auto"/>
                <w:highlight w:val="none"/>
                <w:u w:val="none"/>
              </w:rPr>
              <w:t>0.4</w:t>
            </w:r>
          </w:p>
        </w:tc>
        <w:tc>
          <w:tcPr>
            <w:tcW w:w="796" w:type="pct"/>
            <w:vAlign w:val="center"/>
          </w:tcPr>
          <w:p w14:paraId="27D076C3">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0368EC43">
            <w:pPr>
              <w:pStyle w:val="510"/>
              <w:rPr>
                <w:rStyle w:val="161"/>
                <w:rFonts w:hint="eastAsia" w:eastAsia="宋体"/>
                <w:iCs w:val="0"/>
                <w:color w:val="auto"/>
                <w:highlight w:val="none"/>
                <w:u w:val="none"/>
                <w:lang w:eastAsia="zh-CN"/>
              </w:rPr>
            </w:pPr>
            <w:r>
              <w:rPr>
                <w:rStyle w:val="161"/>
                <w:iCs w:val="0"/>
                <w:color w:val="auto"/>
                <w:highlight w:val="none"/>
                <w:u w:val="none"/>
              </w:rPr>
              <w:t>0.</w:t>
            </w:r>
            <w:r>
              <w:rPr>
                <w:rStyle w:val="161"/>
                <w:rFonts w:hint="eastAsia"/>
                <w:iCs w:val="0"/>
                <w:color w:val="auto"/>
                <w:highlight w:val="none"/>
                <w:u w:val="none"/>
                <w:lang w:val="en-US" w:eastAsia="zh-CN"/>
              </w:rPr>
              <w:t>1</w:t>
            </w:r>
          </w:p>
        </w:tc>
      </w:tr>
      <w:tr w14:paraId="71BE8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0A8193F2">
            <w:pPr>
              <w:pStyle w:val="510"/>
              <w:rPr>
                <w:rStyle w:val="161"/>
                <w:iCs w:val="0"/>
                <w:color w:val="auto"/>
                <w:highlight w:val="none"/>
                <w:u w:val="none"/>
              </w:rPr>
            </w:pPr>
            <w:r>
              <w:rPr>
                <w:rStyle w:val="161"/>
                <w:iCs w:val="0"/>
                <w:color w:val="auto"/>
                <w:highlight w:val="none"/>
                <w:u w:val="none"/>
              </w:rPr>
              <w:t>氮氧化物</w:t>
            </w:r>
          </w:p>
        </w:tc>
        <w:tc>
          <w:tcPr>
            <w:tcW w:w="616" w:type="pct"/>
            <w:vAlign w:val="center"/>
          </w:tcPr>
          <w:p w14:paraId="28156330">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78AEBB9">
            <w:pPr>
              <w:pStyle w:val="510"/>
              <w:rPr>
                <w:rStyle w:val="161"/>
                <w:iCs w:val="0"/>
                <w:color w:val="auto"/>
                <w:highlight w:val="none"/>
                <w:u w:val="none"/>
              </w:rPr>
            </w:pPr>
            <w:r>
              <w:rPr>
                <w:rStyle w:val="161"/>
                <w:iCs w:val="0"/>
                <w:color w:val="auto"/>
                <w:highlight w:val="none"/>
                <w:u w:val="none"/>
              </w:rPr>
              <w:t>0.24</w:t>
            </w:r>
          </w:p>
        </w:tc>
        <w:tc>
          <w:tcPr>
            <w:tcW w:w="746" w:type="pct"/>
            <w:vAlign w:val="center"/>
          </w:tcPr>
          <w:p w14:paraId="0781F665">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1FD64088">
            <w:pPr>
              <w:pStyle w:val="510"/>
              <w:rPr>
                <w:rStyle w:val="161"/>
                <w:iCs w:val="0"/>
                <w:color w:val="auto"/>
                <w:highlight w:val="none"/>
                <w:u w:val="none"/>
              </w:rPr>
            </w:pPr>
            <w:r>
              <w:rPr>
                <w:rStyle w:val="161"/>
                <w:iCs w:val="0"/>
                <w:color w:val="auto"/>
                <w:highlight w:val="none"/>
                <w:u w:val="none"/>
              </w:rPr>
              <w:t>0.12</w:t>
            </w:r>
          </w:p>
        </w:tc>
        <w:tc>
          <w:tcPr>
            <w:tcW w:w="796" w:type="pct"/>
            <w:vAlign w:val="center"/>
          </w:tcPr>
          <w:p w14:paraId="797671F3">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4FFE8198">
            <w:pPr>
              <w:pStyle w:val="510"/>
              <w:rPr>
                <w:rStyle w:val="161"/>
                <w:iCs w:val="0"/>
                <w:color w:val="auto"/>
                <w:highlight w:val="none"/>
                <w:u w:val="none"/>
              </w:rPr>
            </w:pPr>
            <w:r>
              <w:rPr>
                <w:rStyle w:val="161"/>
                <w:iCs w:val="0"/>
                <w:color w:val="auto"/>
                <w:highlight w:val="none"/>
                <w:u w:val="none"/>
              </w:rPr>
              <w:t>0.12</w:t>
            </w:r>
          </w:p>
        </w:tc>
      </w:tr>
      <w:tr w14:paraId="05A4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35C2C26E">
            <w:pPr>
              <w:pStyle w:val="510"/>
              <w:rPr>
                <w:rStyle w:val="161"/>
                <w:iCs w:val="0"/>
                <w:color w:val="auto"/>
                <w:highlight w:val="none"/>
                <w:u w:val="none"/>
              </w:rPr>
            </w:pPr>
            <w:r>
              <w:rPr>
                <w:rStyle w:val="161"/>
                <w:iCs w:val="0"/>
                <w:color w:val="auto"/>
                <w:highlight w:val="none"/>
                <w:u w:val="none"/>
              </w:rPr>
              <w:t>甲苯</w:t>
            </w:r>
          </w:p>
        </w:tc>
        <w:tc>
          <w:tcPr>
            <w:tcW w:w="616" w:type="pct"/>
            <w:vAlign w:val="center"/>
          </w:tcPr>
          <w:p w14:paraId="0BA9C850">
            <w:pPr>
              <w:pStyle w:val="510"/>
              <w:rPr>
                <w:rStyle w:val="161"/>
                <w:iCs w:val="0"/>
                <w:color w:val="auto"/>
                <w:highlight w:val="none"/>
                <w:u w:val="none"/>
              </w:rPr>
            </w:pPr>
            <w:r>
              <w:rPr>
                <w:rStyle w:val="161"/>
                <w:iCs w:val="0"/>
                <w:color w:val="auto"/>
                <w:highlight w:val="none"/>
                <w:u w:val="none"/>
              </w:rPr>
              <w:t>0.8</w:t>
            </w:r>
          </w:p>
        </w:tc>
        <w:tc>
          <w:tcPr>
            <w:tcW w:w="746" w:type="pct"/>
            <w:vAlign w:val="center"/>
          </w:tcPr>
          <w:p w14:paraId="0B764A15">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404B0C3">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2FE1E54">
            <w:pPr>
              <w:pStyle w:val="510"/>
              <w:rPr>
                <w:rStyle w:val="161"/>
                <w:iCs w:val="0"/>
                <w:color w:val="auto"/>
                <w:highlight w:val="none"/>
                <w:u w:val="none"/>
              </w:rPr>
            </w:pPr>
            <w:r>
              <w:rPr>
                <w:rStyle w:val="161"/>
                <w:iCs w:val="0"/>
                <w:color w:val="auto"/>
                <w:highlight w:val="none"/>
                <w:u w:val="none"/>
              </w:rPr>
              <w:t>2.4</w:t>
            </w:r>
          </w:p>
        </w:tc>
        <w:tc>
          <w:tcPr>
            <w:tcW w:w="796" w:type="pct"/>
            <w:vAlign w:val="center"/>
          </w:tcPr>
          <w:p w14:paraId="79DE4F29">
            <w:pPr>
              <w:pStyle w:val="510"/>
              <w:rPr>
                <w:rStyle w:val="161"/>
                <w:iCs w:val="0"/>
                <w:color w:val="auto"/>
                <w:highlight w:val="none"/>
                <w:u w:val="none"/>
              </w:rPr>
            </w:pPr>
            <w:r>
              <w:rPr>
                <w:rStyle w:val="161"/>
                <w:iCs w:val="0"/>
                <w:color w:val="auto"/>
                <w:highlight w:val="none"/>
                <w:u w:val="none"/>
              </w:rPr>
              <w:t>0.6</w:t>
            </w:r>
          </w:p>
        </w:tc>
        <w:tc>
          <w:tcPr>
            <w:tcW w:w="568" w:type="pct"/>
            <w:vAlign w:val="center"/>
          </w:tcPr>
          <w:p w14:paraId="608FBF25">
            <w:pPr>
              <w:pStyle w:val="510"/>
              <w:rPr>
                <w:rStyle w:val="161"/>
                <w:iCs w:val="0"/>
                <w:color w:val="auto"/>
                <w:highlight w:val="none"/>
                <w:u w:val="none"/>
              </w:rPr>
            </w:pPr>
            <w:r>
              <w:rPr>
                <w:rStyle w:val="161"/>
                <w:iCs w:val="0"/>
                <w:color w:val="auto"/>
                <w:highlight w:val="none"/>
                <w:u w:val="none"/>
              </w:rPr>
              <w:t>0.6</w:t>
            </w:r>
          </w:p>
        </w:tc>
      </w:tr>
      <w:tr w14:paraId="11DA5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1F64AFA8">
            <w:pPr>
              <w:pStyle w:val="510"/>
              <w:rPr>
                <w:rStyle w:val="161"/>
                <w:iCs w:val="0"/>
                <w:color w:val="auto"/>
                <w:highlight w:val="none"/>
                <w:u w:val="none"/>
              </w:rPr>
            </w:pPr>
            <w:r>
              <w:rPr>
                <w:rStyle w:val="161"/>
                <w:iCs w:val="0"/>
                <w:color w:val="auto"/>
                <w:highlight w:val="none"/>
                <w:u w:val="none"/>
              </w:rPr>
              <w:t>非甲烷总烃</w:t>
            </w:r>
          </w:p>
        </w:tc>
        <w:tc>
          <w:tcPr>
            <w:tcW w:w="616" w:type="pct"/>
            <w:vAlign w:val="center"/>
          </w:tcPr>
          <w:p w14:paraId="74B37C58">
            <w:pPr>
              <w:pStyle w:val="510"/>
              <w:rPr>
                <w:rStyle w:val="161"/>
                <w:iCs w:val="0"/>
                <w:color w:val="auto"/>
                <w:highlight w:val="none"/>
                <w:u w:val="none"/>
              </w:rPr>
            </w:pPr>
            <w:r>
              <w:rPr>
                <w:rStyle w:val="161"/>
                <w:iCs w:val="0"/>
                <w:color w:val="auto"/>
                <w:highlight w:val="none"/>
                <w:u w:val="none"/>
              </w:rPr>
              <w:t>4.0</w:t>
            </w:r>
          </w:p>
        </w:tc>
        <w:tc>
          <w:tcPr>
            <w:tcW w:w="746" w:type="pct"/>
            <w:vAlign w:val="center"/>
          </w:tcPr>
          <w:p w14:paraId="24B644A4">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7F74070A">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213F0511">
            <w:pPr>
              <w:pStyle w:val="510"/>
              <w:rPr>
                <w:rStyle w:val="161"/>
                <w:iCs w:val="0"/>
                <w:color w:val="auto"/>
                <w:highlight w:val="none"/>
                <w:u w:val="none"/>
              </w:rPr>
            </w:pPr>
            <w:r>
              <w:rPr>
                <w:rStyle w:val="161"/>
                <w:iCs w:val="0"/>
                <w:color w:val="auto"/>
                <w:highlight w:val="none"/>
                <w:u w:val="none"/>
              </w:rPr>
              <w:t>4.0</w:t>
            </w:r>
          </w:p>
        </w:tc>
        <w:tc>
          <w:tcPr>
            <w:tcW w:w="796" w:type="pct"/>
            <w:vAlign w:val="center"/>
          </w:tcPr>
          <w:p w14:paraId="09B22F87">
            <w:pPr>
              <w:pStyle w:val="510"/>
              <w:rPr>
                <w:rStyle w:val="161"/>
                <w:iCs w:val="0"/>
                <w:color w:val="auto"/>
                <w:highlight w:val="none"/>
                <w:u w:val="none"/>
              </w:rPr>
            </w:pPr>
            <w:r>
              <w:rPr>
                <w:rStyle w:val="161"/>
                <w:iCs w:val="0"/>
                <w:color w:val="auto"/>
                <w:highlight w:val="none"/>
                <w:u w:val="none"/>
              </w:rPr>
              <w:t>2.0</w:t>
            </w:r>
          </w:p>
        </w:tc>
        <w:tc>
          <w:tcPr>
            <w:tcW w:w="568" w:type="pct"/>
            <w:vAlign w:val="center"/>
          </w:tcPr>
          <w:p w14:paraId="13D5F310">
            <w:pPr>
              <w:pStyle w:val="510"/>
              <w:rPr>
                <w:rStyle w:val="161"/>
                <w:iCs w:val="0"/>
                <w:color w:val="auto"/>
                <w:highlight w:val="none"/>
                <w:u w:val="none"/>
              </w:rPr>
            </w:pPr>
            <w:r>
              <w:rPr>
                <w:rStyle w:val="161"/>
                <w:iCs w:val="0"/>
                <w:color w:val="auto"/>
                <w:highlight w:val="none"/>
                <w:u w:val="none"/>
              </w:rPr>
              <w:t>2.0</w:t>
            </w:r>
          </w:p>
        </w:tc>
      </w:tr>
      <w:tr w14:paraId="2FEA4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00201A68">
            <w:pPr>
              <w:pStyle w:val="510"/>
              <w:rPr>
                <w:rStyle w:val="161"/>
                <w:iCs w:val="0"/>
                <w:color w:val="auto"/>
                <w:highlight w:val="none"/>
                <w:u w:val="none"/>
              </w:rPr>
            </w:pPr>
            <w:r>
              <w:rPr>
                <w:rStyle w:val="161"/>
                <w:iCs w:val="0"/>
                <w:color w:val="auto"/>
                <w:highlight w:val="none"/>
                <w:u w:val="none"/>
              </w:rPr>
              <w:t>苯胺类</w:t>
            </w:r>
          </w:p>
        </w:tc>
        <w:tc>
          <w:tcPr>
            <w:tcW w:w="616" w:type="pct"/>
            <w:vAlign w:val="center"/>
          </w:tcPr>
          <w:p w14:paraId="6AA1B410">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885B110">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1BE6A694">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7A914797">
            <w:pPr>
              <w:pStyle w:val="510"/>
              <w:rPr>
                <w:rStyle w:val="161"/>
                <w:iCs w:val="0"/>
                <w:color w:val="auto"/>
                <w:highlight w:val="none"/>
                <w:u w:val="none"/>
              </w:rPr>
            </w:pPr>
            <w:r>
              <w:rPr>
                <w:rStyle w:val="161"/>
                <w:iCs w:val="0"/>
                <w:color w:val="auto"/>
                <w:highlight w:val="none"/>
                <w:u w:val="none"/>
              </w:rPr>
              <w:t>0.4</w:t>
            </w:r>
          </w:p>
        </w:tc>
        <w:tc>
          <w:tcPr>
            <w:tcW w:w="796" w:type="pct"/>
            <w:vAlign w:val="center"/>
          </w:tcPr>
          <w:p w14:paraId="3274652A">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3659D918">
            <w:pPr>
              <w:pStyle w:val="510"/>
              <w:rPr>
                <w:rStyle w:val="161"/>
                <w:iCs w:val="0"/>
                <w:color w:val="auto"/>
                <w:highlight w:val="none"/>
                <w:u w:val="none"/>
              </w:rPr>
            </w:pPr>
            <w:r>
              <w:rPr>
                <w:rStyle w:val="161"/>
                <w:iCs w:val="0"/>
                <w:color w:val="auto"/>
                <w:highlight w:val="none"/>
                <w:u w:val="none"/>
              </w:rPr>
              <w:t>0.4</w:t>
            </w:r>
          </w:p>
        </w:tc>
      </w:tr>
      <w:tr w14:paraId="0045A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4A15A721">
            <w:pPr>
              <w:pStyle w:val="510"/>
              <w:rPr>
                <w:rStyle w:val="161"/>
                <w:iCs w:val="0"/>
                <w:color w:val="auto"/>
                <w:highlight w:val="none"/>
                <w:u w:val="none"/>
              </w:rPr>
            </w:pPr>
            <w:r>
              <w:rPr>
                <w:rStyle w:val="161"/>
                <w:iCs w:val="0"/>
                <w:color w:val="auto"/>
                <w:highlight w:val="none"/>
                <w:u w:val="none"/>
              </w:rPr>
              <w:t>氯苯类</w:t>
            </w:r>
          </w:p>
        </w:tc>
        <w:tc>
          <w:tcPr>
            <w:tcW w:w="616" w:type="pct"/>
            <w:vAlign w:val="center"/>
          </w:tcPr>
          <w:p w14:paraId="3BB97A33">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591CEDE">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5B9FA68">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AC846DD">
            <w:pPr>
              <w:pStyle w:val="510"/>
              <w:rPr>
                <w:rStyle w:val="161"/>
                <w:iCs w:val="0"/>
                <w:color w:val="auto"/>
                <w:highlight w:val="none"/>
                <w:u w:val="none"/>
              </w:rPr>
            </w:pPr>
            <w:r>
              <w:rPr>
                <w:rStyle w:val="161"/>
                <w:iCs w:val="0"/>
                <w:color w:val="auto"/>
                <w:highlight w:val="none"/>
                <w:u w:val="none"/>
              </w:rPr>
              <w:t>0.4</w:t>
            </w:r>
          </w:p>
        </w:tc>
        <w:tc>
          <w:tcPr>
            <w:tcW w:w="796" w:type="pct"/>
            <w:vAlign w:val="center"/>
          </w:tcPr>
          <w:p w14:paraId="50537961">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2D646A10">
            <w:pPr>
              <w:pStyle w:val="510"/>
              <w:rPr>
                <w:rStyle w:val="161"/>
                <w:iCs w:val="0"/>
                <w:color w:val="auto"/>
                <w:highlight w:val="none"/>
                <w:u w:val="none"/>
              </w:rPr>
            </w:pPr>
            <w:r>
              <w:rPr>
                <w:rStyle w:val="161"/>
                <w:iCs w:val="0"/>
                <w:color w:val="auto"/>
                <w:highlight w:val="none"/>
                <w:u w:val="none"/>
              </w:rPr>
              <w:t>0.4</w:t>
            </w:r>
          </w:p>
        </w:tc>
      </w:tr>
      <w:tr w14:paraId="577DF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0B93BE57">
            <w:pPr>
              <w:pStyle w:val="510"/>
              <w:rPr>
                <w:rStyle w:val="161"/>
                <w:iCs w:val="0"/>
                <w:color w:val="auto"/>
                <w:highlight w:val="none"/>
                <w:u w:val="none"/>
              </w:rPr>
            </w:pPr>
            <w:r>
              <w:rPr>
                <w:rStyle w:val="161"/>
                <w:iCs w:val="0"/>
                <w:color w:val="auto"/>
                <w:highlight w:val="none"/>
                <w:u w:val="none"/>
              </w:rPr>
              <w:t>硝基苯类</w:t>
            </w:r>
          </w:p>
        </w:tc>
        <w:tc>
          <w:tcPr>
            <w:tcW w:w="616" w:type="pct"/>
            <w:vAlign w:val="center"/>
          </w:tcPr>
          <w:p w14:paraId="3DF9C4A8">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31FA39F7">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678E7439">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5F0D9116">
            <w:pPr>
              <w:pStyle w:val="510"/>
              <w:rPr>
                <w:rStyle w:val="161"/>
                <w:iCs w:val="0"/>
                <w:color w:val="auto"/>
                <w:highlight w:val="none"/>
                <w:u w:val="none"/>
              </w:rPr>
            </w:pPr>
            <w:r>
              <w:rPr>
                <w:rStyle w:val="161"/>
                <w:iCs w:val="0"/>
                <w:color w:val="auto"/>
                <w:highlight w:val="none"/>
                <w:u w:val="none"/>
              </w:rPr>
              <w:t>0.04</w:t>
            </w:r>
          </w:p>
        </w:tc>
        <w:tc>
          <w:tcPr>
            <w:tcW w:w="796" w:type="pct"/>
            <w:vAlign w:val="center"/>
          </w:tcPr>
          <w:p w14:paraId="2683E5CA">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2D134655">
            <w:pPr>
              <w:pStyle w:val="510"/>
              <w:rPr>
                <w:rStyle w:val="161"/>
                <w:iCs w:val="0"/>
                <w:color w:val="auto"/>
                <w:highlight w:val="none"/>
                <w:u w:val="none"/>
              </w:rPr>
            </w:pPr>
            <w:r>
              <w:rPr>
                <w:rStyle w:val="161"/>
                <w:iCs w:val="0"/>
                <w:color w:val="auto"/>
                <w:highlight w:val="none"/>
                <w:u w:val="none"/>
              </w:rPr>
              <w:t>0.04</w:t>
            </w:r>
          </w:p>
        </w:tc>
      </w:tr>
      <w:tr w14:paraId="67525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3" w:type="pct"/>
            <w:vAlign w:val="center"/>
          </w:tcPr>
          <w:p w14:paraId="17710510">
            <w:pPr>
              <w:pStyle w:val="510"/>
              <w:rPr>
                <w:rStyle w:val="161"/>
                <w:iCs w:val="0"/>
                <w:color w:val="auto"/>
                <w:highlight w:val="none"/>
                <w:u w:val="none"/>
              </w:rPr>
            </w:pPr>
            <w:r>
              <w:rPr>
                <w:rStyle w:val="161"/>
                <w:iCs w:val="0"/>
                <w:color w:val="auto"/>
                <w:highlight w:val="none"/>
                <w:u w:val="none"/>
              </w:rPr>
              <w:t>光气</w:t>
            </w:r>
          </w:p>
        </w:tc>
        <w:tc>
          <w:tcPr>
            <w:tcW w:w="616" w:type="pct"/>
            <w:vAlign w:val="center"/>
          </w:tcPr>
          <w:p w14:paraId="65DBF9F2">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4310AF87">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722A961F">
            <w:pPr>
              <w:pStyle w:val="510"/>
              <w:rPr>
                <w:rStyle w:val="161"/>
                <w:iCs w:val="0"/>
                <w:color w:val="auto"/>
                <w:highlight w:val="none"/>
                <w:u w:val="none"/>
              </w:rPr>
            </w:pPr>
            <w:r>
              <w:rPr>
                <w:rStyle w:val="161"/>
                <w:iCs w:val="0"/>
                <w:color w:val="auto"/>
                <w:highlight w:val="none"/>
                <w:u w:val="none"/>
              </w:rPr>
              <w:t>/</w:t>
            </w:r>
          </w:p>
        </w:tc>
        <w:tc>
          <w:tcPr>
            <w:tcW w:w="746" w:type="pct"/>
            <w:vAlign w:val="center"/>
          </w:tcPr>
          <w:p w14:paraId="66CE196C">
            <w:pPr>
              <w:pStyle w:val="510"/>
              <w:rPr>
                <w:rStyle w:val="161"/>
                <w:iCs w:val="0"/>
                <w:color w:val="auto"/>
                <w:highlight w:val="none"/>
                <w:u w:val="none"/>
              </w:rPr>
            </w:pPr>
            <w:r>
              <w:rPr>
                <w:rStyle w:val="161"/>
                <w:iCs w:val="0"/>
                <w:color w:val="auto"/>
                <w:highlight w:val="none"/>
                <w:u w:val="none"/>
              </w:rPr>
              <w:t>0.08</w:t>
            </w:r>
          </w:p>
        </w:tc>
        <w:tc>
          <w:tcPr>
            <w:tcW w:w="796" w:type="pct"/>
            <w:vAlign w:val="center"/>
          </w:tcPr>
          <w:p w14:paraId="0BB22F4F">
            <w:pPr>
              <w:pStyle w:val="510"/>
              <w:rPr>
                <w:rStyle w:val="161"/>
                <w:iCs w:val="0"/>
                <w:color w:val="auto"/>
                <w:highlight w:val="none"/>
                <w:u w:val="none"/>
              </w:rPr>
            </w:pPr>
            <w:r>
              <w:rPr>
                <w:rStyle w:val="161"/>
                <w:rFonts w:hint="eastAsia"/>
                <w:iCs w:val="0"/>
                <w:color w:val="auto"/>
                <w:highlight w:val="none"/>
                <w:u w:val="none"/>
              </w:rPr>
              <w:t>/</w:t>
            </w:r>
          </w:p>
        </w:tc>
        <w:tc>
          <w:tcPr>
            <w:tcW w:w="568" w:type="pct"/>
            <w:vAlign w:val="center"/>
          </w:tcPr>
          <w:p w14:paraId="4DCDB2D4">
            <w:pPr>
              <w:pStyle w:val="510"/>
              <w:rPr>
                <w:rStyle w:val="161"/>
                <w:iCs w:val="0"/>
                <w:color w:val="auto"/>
                <w:highlight w:val="none"/>
                <w:u w:val="none"/>
              </w:rPr>
            </w:pPr>
            <w:r>
              <w:rPr>
                <w:rStyle w:val="161"/>
                <w:iCs w:val="0"/>
                <w:color w:val="auto"/>
                <w:highlight w:val="none"/>
                <w:u w:val="none"/>
              </w:rPr>
              <w:t>0.08</w:t>
            </w:r>
          </w:p>
        </w:tc>
      </w:tr>
    </w:tbl>
    <w:p w14:paraId="5C5FB89B">
      <w:pPr>
        <w:rPr>
          <w:rFonts w:hint="eastAsia"/>
          <w:color w:val="auto"/>
          <w:highlight w:val="none"/>
          <w:u w:val="none"/>
        </w:rPr>
      </w:pPr>
      <w:r>
        <w:rPr>
          <w:rFonts w:hint="eastAsia"/>
          <w:color w:val="auto"/>
          <w:highlight w:val="none"/>
          <w:u w:val="none"/>
        </w:rPr>
        <w:t>④厂区内</w:t>
      </w:r>
      <w:r>
        <w:rPr>
          <w:color w:val="auto"/>
          <w:highlight w:val="none"/>
          <w:u w:val="none"/>
        </w:rPr>
        <w:t>VOCs无组织废气</w:t>
      </w:r>
    </w:p>
    <w:p w14:paraId="5F3A0014">
      <w:pPr>
        <w:rPr>
          <w:rFonts w:hint="eastAsia"/>
          <w:color w:val="auto"/>
          <w:highlight w:val="none"/>
          <w:u w:val="none"/>
        </w:rPr>
      </w:pPr>
      <w:r>
        <w:rPr>
          <w:rFonts w:hint="eastAsia"/>
          <w:color w:val="auto"/>
          <w:highlight w:val="none"/>
          <w:u w:val="none"/>
        </w:rPr>
        <w:t>本项目厂区内</w:t>
      </w:r>
      <w:r>
        <w:rPr>
          <w:color w:val="auto"/>
          <w:highlight w:val="none"/>
          <w:u w:val="none"/>
        </w:rPr>
        <w:t>VOCs无组织排放监控点浓度执行《挥发性有机物无组织排放控制标准》（GB37822-2019）表A.1规定的特别排放限值，</w:t>
      </w:r>
      <w:r>
        <w:rPr>
          <w:rFonts w:hint="eastAsia"/>
          <w:color w:val="auto"/>
          <w:highlight w:val="none"/>
          <w:u w:val="none"/>
        </w:rPr>
        <w:t>具体见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_Ref142343711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2.3</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15</w:t>
      </w:r>
      <w:r>
        <w:rPr>
          <w:color w:val="auto"/>
          <w:highlight w:val="none"/>
          <w:u w:val="none"/>
        </w:rPr>
        <w:fldChar w:fldCharType="end"/>
      </w:r>
      <w:r>
        <w:rPr>
          <w:rFonts w:hint="eastAsia"/>
          <w:color w:val="auto"/>
          <w:highlight w:val="none"/>
          <w:u w:val="none"/>
        </w:rPr>
        <w:t>。</w:t>
      </w:r>
    </w:p>
    <w:p w14:paraId="4F21DD13">
      <w:pPr>
        <w:pStyle w:val="85"/>
        <w:rPr>
          <w:color w:val="auto"/>
          <w:highlight w:val="none"/>
          <w:u w:val="none"/>
        </w:rPr>
      </w:pPr>
      <w:bookmarkStart w:id="91" w:name="_Ref142343711"/>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15</w:t>
      </w:r>
      <w:r>
        <w:rPr>
          <w:color w:val="auto"/>
          <w:highlight w:val="none"/>
          <w:u w:val="none"/>
        </w:rPr>
        <w:fldChar w:fldCharType="end"/>
      </w:r>
      <w:bookmarkEnd w:id="91"/>
      <w:r>
        <w:rPr>
          <w:color w:val="auto"/>
          <w:highlight w:val="none"/>
          <w:u w:val="none"/>
        </w:rPr>
        <w:t xml:space="preserve">  </w:t>
      </w:r>
      <w:r>
        <w:rPr>
          <w:rFonts w:hint="eastAsia"/>
          <w:color w:val="auto"/>
          <w:highlight w:val="none"/>
          <w:u w:val="none"/>
        </w:rPr>
        <w:t>厂区内</w:t>
      </w:r>
      <w:r>
        <w:rPr>
          <w:color w:val="auto"/>
          <w:highlight w:val="none"/>
          <w:u w:val="none"/>
        </w:rPr>
        <w:t>VOCs无组织排放限值</w:t>
      </w:r>
      <w:r>
        <w:rPr>
          <w:rFonts w:hint="eastAsia"/>
          <w:color w:val="auto"/>
          <w:highlight w:val="none"/>
          <w:u w:val="none"/>
        </w:rPr>
        <w:t xml:space="preserve"> </w:t>
      </w:r>
      <w:r>
        <w:rPr>
          <w:color w:val="auto"/>
          <w:highlight w:val="none"/>
          <w:u w:val="none"/>
        </w:rPr>
        <w:t xml:space="preserve"> </w:t>
      </w:r>
      <w:r>
        <w:rPr>
          <w:rFonts w:hint="eastAsia"/>
          <w:color w:val="auto"/>
          <w:highlight w:val="none"/>
          <w:u w:val="none"/>
        </w:rPr>
        <w:t>单位：</w:t>
      </w:r>
      <w:r>
        <w:rPr>
          <w:color w:val="auto"/>
          <w:highlight w:val="none"/>
          <w:u w:val="none"/>
        </w:rPr>
        <w:t>mg/m</w:t>
      </w:r>
      <w:r>
        <w:rPr>
          <w:color w:val="auto"/>
          <w:highlight w:val="none"/>
          <w:u w:val="none"/>
          <w:vertAlign w:val="superscript"/>
        </w:rPr>
        <w:t>3</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94"/>
        <w:gridCol w:w="1859"/>
        <w:gridCol w:w="3182"/>
        <w:gridCol w:w="2652"/>
      </w:tblGrid>
      <w:tr w14:paraId="63A7A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58" w:type="pct"/>
            <w:vAlign w:val="center"/>
          </w:tcPr>
          <w:p w14:paraId="612B0BA0">
            <w:pPr>
              <w:pStyle w:val="510"/>
              <w:rPr>
                <w:color w:val="auto"/>
                <w:highlight w:val="none"/>
                <w:u w:val="none"/>
              </w:rPr>
            </w:pPr>
            <w:r>
              <w:rPr>
                <w:color w:val="auto"/>
                <w:highlight w:val="none"/>
                <w:u w:val="none"/>
              </w:rPr>
              <w:t>污染物</w:t>
            </w:r>
          </w:p>
        </w:tc>
        <w:tc>
          <w:tcPr>
            <w:tcW w:w="1001" w:type="pct"/>
            <w:vAlign w:val="center"/>
          </w:tcPr>
          <w:p w14:paraId="4B69DE47">
            <w:pPr>
              <w:pStyle w:val="510"/>
              <w:rPr>
                <w:color w:val="auto"/>
                <w:highlight w:val="none"/>
                <w:u w:val="none"/>
              </w:rPr>
            </w:pPr>
            <w:r>
              <w:rPr>
                <w:color w:val="auto"/>
                <w:highlight w:val="none"/>
                <w:u w:val="none"/>
              </w:rPr>
              <w:t>特别排放限值</w:t>
            </w:r>
          </w:p>
        </w:tc>
        <w:tc>
          <w:tcPr>
            <w:tcW w:w="1713" w:type="pct"/>
            <w:vAlign w:val="center"/>
          </w:tcPr>
          <w:p w14:paraId="37812BE0">
            <w:pPr>
              <w:pStyle w:val="510"/>
              <w:rPr>
                <w:color w:val="auto"/>
                <w:highlight w:val="none"/>
                <w:u w:val="none"/>
              </w:rPr>
            </w:pPr>
            <w:r>
              <w:rPr>
                <w:color w:val="auto"/>
                <w:highlight w:val="none"/>
                <w:u w:val="none"/>
              </w:rPr>
              <w:t>限值含义</w:t>
            </w:r>
          </w:p>
        </w:tc>
        <w:tc>
          <w:tcPr>
            <w:tcW w:w="1428" w:type="pct"/>
            <w:vAlign w:val="center"/>
          </w:tcPr>
          <w:p w14:paraId="717D014B">
            <w:pPr>
              <w:pStyle w:val="510"/>
              <w:rPr>
                <w:color w:val="auto"/>
                <w:highlight w:val="none"/>
                <w:u w:val="none"/>
              </w:rPr>
            </w:pPr>
            <w:r>
              <w:rPr>
                <w:color w:val="auto"/>
                <w:highlight w:val="none"/>
                <w:u w:val="none"/>
              </w:rPr>
              <w:t>无组织排放监控位置</w:t>
            </w:r>
          </w:p>
        </w:tc>
      </w:tr>
      <w:tr w14:paraId="4BE43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58" w:type="pct"/>
            <w:vMerge w:val="restart"/>
            <w:vAlign w:val="center"/>
          </w:tcPr>
          <w:p w14:paraId="30D9F425">
            <w:pPr>
              <w:pStyle w:val="510"/>
              <w:rPr>
                <w:color w:val="auto"/>
                <w:highlight w:val="none"/>
                <w:u w:val="none"/>
              </w:rPr>
            </w:pPr>
            <w:r>
              <w:rPr>
                <w:rStyle w:val="161"/>
                <w:iCs w:val="0"/>
                <w:color w:val="auto"/>
                <w:highlight w:val="none"/>
                <w:u w:val="none"/>
              </w:rPr>
              <w:t>非甲烷总烃</w:t>
            </w:r>
          </w:p>
        </w:tc>
        <w:tc>
          <w:tcPr>
            <w:tcW w:w="1001" w:type="pct"/>
            <w:vAlign w:val="center"/>
          </w:tcPr>
          <w:p w14:paraId="3477FE6B">
            <w:pPr>
              <w:pStyle w:val="510"/>
              <w:rPr>
                <w:color w:val="auto"/>
                <w:highlight w:val="none"/>
                <w:u w:val="none"/>
              </w:rPr>
            </w:pPr>
            <w:r>
              <w:rPr>
                <w:color w:val="auto"/>
                <w:highlight w:val="none"/>
                <w:u w:val="none"/>
              </w:rPr>
              <w:t>6</w:t>
            </w:r>
          </w:p>
        </w:tc>
        <w:tc>
          <w:tcPr>
            <w:tcW w:w="1713" w:type="pct"/>
            <w:vAlign w:val="center"/>
          </w:tcPr>
          <w:p w14:paraId="7A681394">
            <w:pPr>
              <w:pStyle w:val="510"/>
              <w:rPr>
                <w:color w:val="auto"/>
                <w:highlight w:val="none"/>
                <w:u w:val="none"/>
              </w:rPr>
            </w:pPr>
            <w:r>
              <w:rPr>
                <w:color w:val="auto"/>
                <w:highlight w:val="none"/>
                <w:u w:val="none"/>
              </w:rPr>
              <w:t>监控点处1h平均浓度值</w:t>
            </w:r>
          </w:p>
        </w:tc>
        <w:tc>
          <w:tcPr>
            <w:tcW w:w="1428" w:type="pct"/>
            <w:vMerge w:val="restart"/>
            <w:vAlign w:val="center"/>
          </w:tcPr>
          <w:p w14:paraId="05C40443">
            <w:pPr>
              <w:pStyle w:val="510"/>
              <w:rPr>
                <w:color w:val="auto"/>
                <w:highlight w:val="none"/>
                <w:u w:val="none"/>
              </w:rPr>
            </w:pPr>
            <w:r>
              <w:rPr>
                <w:color w:val="auto"/>
                <w:highlight w:val="none"/>
                <w:u w:val="none"/>
              </w:rPr>
              <w:t>在厂房外设置监控点</w:t>
            </w:r>
          </w:p>
        </w:tc>
      </w:tr>
      <w:tr w14:paraId="5AC73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58" w:type="pct"/>
            <w:vMerge w:val="continue"/>
            <w:vAlign w:val="center"/>
          </w:tcPr>
          <w:p w14:paraId="0DF5DDFA">
            <w:pPr>
              <w:pStyle w:val="510"/>
              <w:rPr>
                <w:color w:val="auto"/>
                <w:highlight w:val="none"/>
                <w:u w:val="none"/>
              </w:rPr>
            </w:pPr>
          </w:p>
        </w:tc>
        <w:tc>
          <w:tcPr>
            <w:tcW w:w="1001" w:type="pct"/>
            <w:vAlign w:val="center"/>
          </w:tcPr>
          <w:p w14:paraId="2C51873A">
            <w:pPr>
              <w:pStyle w:val="510"/>
              <w:rPr>
                <w:color w:val="auto"/>
                <w:highlight w:val="none"/>
                <w:u w:val="none"/>
              </w:rPr>
            </w:pPr>
            <w:r>
              <w:rPr>
                <w:color w:val="auto"/>
                <w:highlight w:val="none"/>
                <w:u w:val="none"/>
              </w:rPr>
              <w:t>20</w:t>
            </w:r>
          </w:p>
        </w:tc>
        <w:tc>
          <w:tcPr>
            <w:tcW w:w="1713" w:type="pct"/>
            <w:vAlign w:val="center"/>
          </w:tcPr>
          <w:p w14:paraId="4EBD99E1">
            <w:pPr>
              <w:pStyle w:val="510"/>
              <w:rPr>
                <w:color w:val="auto"/>
                <w:highlight w:val="none"/>
                <w:u w:val="none"/>
              </w:rPr>
            </w:pPr>
            <w:r>
              <w:rPr>
                <w:color w:val="auto"/>
                <w:highlight w:val="none"/>
                <w:u w:val="none"/>
              </w:rPr>
              <w:t>监控点处任意一次浓度值</w:t>
            </w:r>
          </w:p>
        </w:tc>
        <w:tc>
          <w:tcPr>
            <w:tcW w:w="1428" w:type="pct"/>
            <w:vMerge w:val="continue"/>
            <w:vAlign w:val="center"/>
          </w:tcPr>
          <w:p w14:paraId="5AC53676">
            <w:pPr>
              <w:pStyle w:val="510"/>
              <w:rPr>
                <w:color w:val="auto"/>
                <w:highlight w:val="none"/>
                <w:u w:val="none"/>
              </w:rPr>
            </w:pPr>
          </w:p>
        </w:tc>
      </w:tr>
    </w:tbl>
    <w:p w14:paraId="26D6CBE6">
      <w:pPr>
        <w:spacing w:line="240" w:lineRule="auto"/>
        <w:ind w:firstLine="420"/>
        <w:rPr>
          <w:rFonts w:hint="eastAsia"/>
          <w:color w:val="auto"/>
          <w:sz w:val="21"/>
          <w:szCs w:val="21"/>
          <w:highlight w:val="none"/>
          <w:u w:val="none"/>
        </w:rPr>
      </w:pPr>
      <w:r>
        <w:rPr>
          <w:rFonts w:hint="eastAsia"/>
          <w:color w:val="auto"/>
          <w:sz w:val="21"/>
          <w:szCs w:val="21"/>
          <w:highlight w:val="none"/>
          <w:u w:val="none"/>
        </w:rPr>
        <w:t>注：《挥发性有机物无组织排放控制标准》（</w:t>
      </w:r>
      <w:r>
        <w:rPr>
          <w:color w:val="auto"/>
          <w:sz w:val="21"/>
          <w:szCs w:val="21"/>
          <w:highlight w:val="none"/>
          <w:u w:val="none"/>
        </w:rPr>
        <w:t>GB37822-2019）以非甲烷总烃作为厂区内VOCs无组织排放的控制项目。</w:t>
      </w:r>
    </w:p>
    <w:p w14:paraId="1959077B">
      <w:pPr>
        <w:rPr>
          <w:rFonts w:hint="eastAsia"/>
          <w:bCs/>
          <w:color w:val="auto"/>
          <w:highlight w:val="none"/>
          <w:u w:val="none"/>
        </w:rPr>
      </w:pPr>
      <w:r>
        <w:rPr>
          <w:rFonts w:hint="eastAsia"/>
          <w:color w:val="auto"/>
          <w:highlight w:val="none"/>
          <w:u w:val="none"/>
        </w:rPr>
        <w:t>（3）噪声</w:t>
      </w:r>
    </w:p>
    <w:p w14:paraId="0780B3C2">
      <w:pPr>
        <w:rPr>
          <w:rFonts w:hint="eastAsia"/>
          <w:bCs/>
          <w:color w:val="auto"/>
          <w:highlight w:val="none"/>
          <w:u w:val="none"/>
        </w:rPr>
      </w:pPr>
      <w:r>
        <w:rPr>
          <w:rFonts w:hint="eastAsia"/>
          <w:color w:val="auto"/>
          <w:highlight w:val="none"/>
          <w:u w:val="none"/>
        </w:rPr>
        <w:t>项目运营期厂界噪声执行《工业企业厂界环境噪声排放标准》（GB12348-2008）中的3类标准。具体标准详见</w:t>
      </w:r>
      <w:r>
        <w:rPr>
          <w:bCs/>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_Ref46848729 \h</w:instrText>
      </w:r>
      <w:r>
        <w:rPr>
          <w:color w:val="auto"/>
          <w:highlight w:val="none"/>
          <w:u w:val="none"/>
        </w:rPr>
        <w:instrText xml:space="preserve">  \* MERGEFORMAT </w:instrText>
      </w:r>
      <w:r>
        <w:rPr>
          <w:bCs/>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t>16</w:t>
      </w:r>
      <w:r>
        <w:rPr>
          <w:bCs/>
          <w:color w:val="auto"/>
          <w:highlight w:val="none"/>
          <w:u w:val="none"/>
        </w:rPr>
        <w:fldChar w:fldCharType="end"/>
      </w:r>
      <w:r>
        <w:rPr>
          <w:rFonts w:hint="eastAsia"/>
          <w:color w:val="auto"/>
          <w:highlight w:val="none"/>
          <w:u w:val="none"/>
        </w:rPr>
        <w:t>。</w:t>
      </w:r>
    </w:p>
    <w:p w14:paraId="6F7CC42F">
      <w:pPr>
        <w:pStyle w:val="85"/>
        <w:rPr>
          <w:color w:val="auto"/>
          <w:highlight w:val="none"/>
          <w:u w:val="none"/>
        </w:rPr>
      </w:pPr>
      <w:bookmarkStart w:id="92" w:name="_Ref4684872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16</w:t>
      </w:r>
      <w:r>
        <w:rPr>
          <w:color w:val="auto"/>
          <w:highlight w:val="none"/>
          <w:u w:val="none"/>
        </w:rPr>
        <w:fldChar w:fldCharType="end"/>
      </w:r>
      <w:bookmarkEnd w:id="92"/>
      <w:r>
        <w:rPr>
          <w:color w:val="auto"/>
          <w:highlight w:val="none"/>
          <w:u w:val="none"/>
        </w:rPr>
        <w:t xml:space="preserve">  </w:t>
      </w:r>
      <w:r>
        <w:rPr>
          <w:rFonts w:hint="eastAsia"/>
          <w:color w:val="auto"/>
          <w:highlight w:val="none"/>
          <w:u w:val="none"/>
        </w:rPr>
        <w:t xml:space="preserve">工业企业厂界环境噪声排放标准 </w:t>
      </w:r>
      <w:r>
        <w:rPr>
          <w:color w:val="auto"/>
          <w:highlight w:val="none"/>
          <w:u w:val="none"/>
        </w:rPr>
        <w:t xml:space="preserve"> </w:t>
      </w:r>
      <w:r>
        <w:rPr>
          <w:rFonts w:hint="eastAsia"/>
          <w:color w:val="auto"/>
          <w:highlight w:val="none"/>
          <w:u w:val="none"/>
        </w:rPr>
        <w:t>单位：</w:t>
      </w:r>
      <w:r>
        <w:rPr>
          <w:color w:val="auto"/>
          <w:highlight w:val="none"/>
          <w:u w:val="none"/>
        </w:rPr>
        <w:t>dB(A)</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77"/>
        <w:gridCol w:w="1555"/>
        <w:gridCol w:w="1555"/>
      </w:tblGrid>
      <w:tr w14:paraId="3AF1C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6" w:type="pct"/>
            <w:vAlign w:val="center"/>
          </w:tcPr>
          <w:p w14:paraId="207F2D72">
            <w:pPr>
              <w:pStyle w:val="92"/>
              <w:rPr>
                <w:b/>
                <w:color w:val="auto"/>
                <w:highlight w:val="none"/>
                <w:u w:val="none"/>
              </w:rPr>
            </w:pPr>
            <w:r>
              <w:rPr>
                <w:color w:val="auto"/>
                <w:highlight w:val="none"/>
                <w:u w:val="none"/>
              </w:rPr>
              <w:t>厂界外声环境功能区类别</w:t>
            </w:r>
          </w:p>
        </w:tc>
        <w:tc>
          <w:tcPr>
            <w:tcW w:w="837" w:type="pct"/>
            <w:vAlign w:val="center"/>
          </w:tcPr>
          <w:p w14:paraId="49FF3752">
            <w:pPr>
              <w:pStyle w:val="92"/>
              <w:rPr>
                <w:b/>
                <w:color w:val="auto"/>
                <w:highlight w:val="none"/>
                <w:u w:val="none"/>
              </w:rPr>
            </w:pPr>
            <w:r>
              <w:rPr>
                <w:color w:val="auto"/>
                <w:highlight w:val="none"/>
                <w:u w:val="none"/>
              </w:rPr>
              <w:t>昼间</w:t>
            </w:r>
          </w:p>
        </w:tc>
        <w:tc>
          <w:tcPr>
            <w:tcW w:w="837" w:type="pct"/>
            <w:vAlign w:val="center"/>
          </w:tcPr>
          <w:p w14:paraId="5EFA1483">
            <w:pPr>
              <w:pStyle w:val="92"/>
              <w:rPr>
                <w:b/>
                <w:color w:val="auto"/>
                <w:highlight w:val="none"/>
                <w:u w:val="none"/>
              </w:rPr>
            </w:pPr>
            <w:r>
              <w:rPr>
                <w:color w:val="auto"/>
                <w:highlight w:val="none"/>
                <w:u w:val="none"/>
              </w:rPr>
              <w:t>夜间</w:t>
            </w:r>
          </w:p>
        </w:tc>
      </w:tr>
      <w:tr w14:paraId="7DE94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6" w:type="pct"/>
            <w:vAlign w:val="center"/>
          </w:tcPr>
          <w:p w14:paraId="68D09F0B">
            <w:pPr>
              <w:pStyle w:val="92"/>
              <w:rPr>
                <w:b/>
                <w:color w:val="auto"/>
                <w:highlight w:val="none"/>
                <w:u w:val="none"/>
              </w:rPr>
            </w:pPr>
            <w:r>
              <w:rPr>
                <w:color w:val="auto"/>
                <w:highlight w:val="none"/>
                <w:u w:val="none"/>
              </w:rPr>
              <w:t>3类</w:t>
            </w:r>
          </w:p>
        </w:tc>
        <w:tc>
          <w:tcPr>
            <w:tcW w:w="837" w:type="pct"/>
            <w:vAlign w:val="center"/>
          </w:tcPr>
          <w:p w14:paraId="26725160">
            <w:pPr>
              <w:pStyle w:val="92"/>
              <w:rPr>
                <w:b/>
                <w:color w:val="auto"/>
                <w:highlight w:val="none"/>
                <w:u w:val="none"/>
              </w:rPr>
            </w:pPr>
            <w:r>
              <w:rPr>
                <w:color w:val="auto"/>
                <w:highlight w:val="none"/>
                <w:u w:val="none"/>
              </w:rPr>
              <w:t>65</w:t>
            </w:r>
          </w:p>
        </w:tc>
        <w:tc>
          <w:tcPr>
            <w:tcW w:w="837" w:type="pct"/>
            <w:vAlign w:val="center"/>
          </w:tcPr>
          <w:p w14:paraId="0AA88454">
            <w:pPr>
              <w:pStyle w:val="92"/>
              <w:rPr>
                <w:b/>
                <w:color w:val="auto"/>
                <w:highlight w:val="none"/>
                <w:u w:val="none"/>
              </w:rPr>
            </w:pPr>
            <w:r>
              <w:rPr>
                <w:color w:val="auto"/>
                <w:highlight w:val="none"/>
                <w:u w:val="none"/>
              </w:rPr>
              <w:t>55</w:t>
            </w:r>
          </w:p>
        </w:tc>
      </w:tr>
    </w:tbl>
    <w:p w14:paraId="78D6811D">
      <w:pPr>
        <w:pStyle w:val="7"/>
        <w:spacing w:before="120"/>
        <w:rPr>
          <w:color w:val="auto"/>
          <w:highlight w:val="none"/>
          <w:u w:val="none"/>
        </w:rPr>
      </w:pPr>
      <w:r>
        <w:rPr>
          <w:rFonts w:hint="eastAsia"/>
          <w:color w:val="auto"/>
          <w:highlight w:val="none"/>
          <w:u w:val="none"/>
        </w:rPr>
        <w:t>固废</w:t>
      </w:r>
    </w:p>
    <w:p w14:paraId="58242F25">
      <w:pPr>
        <w:rPr>
          <w:rFonts w:hint="eastAsia"/>
          <w:color w:val="auto"/>
          <w:highlight w:val="none"/>
          <w:u w:val="none"/>
        </w:rPr>
      </w:pPr>
      <w:r>
        <w:rPr>
          <w:rFonts w:hint="eastAsia"/>
          <w:color w:val="auto"/>
          <w:highlight w:val="none"/>
          <w:u w:val="none"/>
        </w:rPr>
        <w:t>项目一般工业固体废物执行《一般工业固体废物贮存和填埋污染控制标准》（GB18599-2020）的要求；危险废物按《国家危险废物名录（2</w:t>
      </w:r>
      <w:r>
        <w:rPr>
          <w:color w:val="auto"/>
          <w:highlight w:val="none"/>
          <w:u w:val="none"/>
        </w:rPr>
        <w:t>021</w:t>
      </w:r>
      <w:r>
        <w:rPr>
          <w:rFonts w:hint="eastAsia"/>
          <w:color w:val="auto"/>
          <w:highlight w:val="none"/>
          <w:u w:val="none"/>
        </w:rPr>
        <w:t>年版）》、《危险废物鉴别标准》（GB5085-2007）认定，执行《危险废物贮存污染控制标准》（GB18597-20</w:t>
      </w:r>
      <w:r>
        <w:rPr>
          <w:color w:val="auto"/>
          <w:highlight w:val="none"/>
          <w:u w:val="none"/>
        </w:rPr>
        <w:t>23</w:t>
      </w:r>
      <w:r>
        <w:rPr>
          <w:rFonts w:hint="eastAsia"/>
          <w:color w:val="auto"/>
          <w:highlight w:val="none"/>
          <w:u w:val="none"/>
        </w:rPr>
        <w:t>）的要求。</w:t>
      </w:r>
    </w:p>
    <w:p w14:paraId="7F3170C9">
      <w:pPr>
        <w:pStyle w:val="4"/>
        <w:spacing w:before="120" w:after="120"/>
        <w:jc w:val="both"/>
        <w:rPr>
          <w:color w:val="auto"/>
          <w:highlight w:val="none"/>
          <w:u w:val="none"/>
        </w:rPr>
      </w:pPr>
      <w:bookmarkStart w:id="93" w:name="_Toc148374434"/>
      <w:bookmarkStart w:id="94" w:name="_Toc148374769"/>
      <w:bookmarkStart w:id="95" w:name="_Toc109211050"/>
      <w:bookmarkStart w:id="96" w:name="_Toc22692"/>
      <w:bookmarkStart w:id="97" w:name="_Toc148374876"/>
      <w:r>
        <w:rPr>
          <w:color w:val="auto"/>
          <w:highlight w:val="none"/>
          <w:u w:val="none"/>
        </w:rPr>
        <w:t>评价等级和评价范围</w:t>
      </w:r>
      <w:bookmarkEnd w:id="93"/>
      <w:bookmarkEnd w:id="94"/>
      <w:bookmarkEnd w:id="95"/>
      <w:bookmarkEnd w:id="96"/>
      <w:bookmarkEnd w:id="97"/>
    </w:p>
    <w:p w14:paraId="26C0C0C3">
      <w:pPr>
        <w:pStyle w:val="82"/>
        <w:rPr>
          <w:rFonts w:hint="eastAsia"/>
          <w:color w:val="auto"/>
          <w:highlight w:val="none"/>
          <w:u w:val="none"/>
        </w:rPr>
      </w:pPr>
      <w:r>
        <w:rPr>
          <w:color w:val="auto"/>
          <w:highlight w:val="none"/>
          <w:u w:val="none"/>
        </w:rPr>
        <w:t>本项目各环境要素评价等级及范围见</w:t>
      </w:r>
      <w:r>
        <w:rPr>
          <w:color w:val="auto"/>
          <w:highlight w:val="none"/>
          <w:u w:val="none"/>
        </w:rPr>
        <w:fldChar w:fldCharType="begin"/>
      </w:r>
      <w:r>
        <w:rPr>
          <w:color w:val="auto"/>
          <w:highlight w:val="none"/>
          <w:u w:val="none"/>
        </w:rPr>
        <w:instrText xml:space="preserve"> REF _Ref23325147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2.4</w:t>
      </w:r>
      <w:r>
        <w:rPr>
          <w:color w:val="auto"/>
          <w:highlight w:val="none"/>
          <w:u w:val="none"/>
        </w:rPr>
        <w:noBreakHyphen/>
      </w:r>
      <w:r>
        <w:rPr>
          <w:color w:val="auto"/>
          <w:highlight w:val="none"/>
          <w:u w:val="none"/>
        </w:rPr>
        <w:t>1</w:t>
      </w:r>
      <w:r>
        <w:rPr>
          <w:color w:val="auto"/>
          <w:highlight w:val="none"/>
          <w:u w:val="none"/>
        </w:rPr>
        <w:fldChar w:fldCharType="end"/>
      </w:r>
      <w:r>
        <w:rPr>
          <w:color w:val="auto"/>
          <w:highlight w:val="none"/>
          <w:u w:val="none"/>
        </w:rPr>
        <w:t>。</w:t>
      </w:r>
    </w:p>
    <w:p w14:paraId="4BAFC87D">
      <w:pPr>
        <w:pStyle w:val="85"/>
        <w:rPr>
          <w:color w:val="auto"/>
          <w:highlight w:val="none"/>
          <w:u w:val="none"/>
        </w:rPr>
      </w:pPr>
      <w:bookmarkStart w:id="98" w:name="_Ref23325147"/>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98"/>
      <w:r>
        <w:rPr>
          <w:color w:val="auto"/>
          <w:highlight w:val="none"/>
          <w:u w:val="none"/>
        </w:rPr>
        <w:t xml:space="preserve">  评价等级及范围一览表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280"/>
        <w:gridCol w:w="6690"/>
      </w:tblGrid>
      <w:tr w14:paraId="1FF0E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31AB4079">
            <w:pPr>
              <w:pStyle w:val="92"/>
              <w:rPr>
                <w:color w:val="auto"/>
                <w:highlight w:val="none"/>
                <w:u w:val="none"/>
              </w:rPr>
            </w:pPr>
            <w:r>
              <w:rPr>
                <w:color w:val="auto"/>
                <w:highlight w:val="none"/>
                <w:u w:val="none"/>
              </w:rPr>
              <w:t>环境要素</w:t>
            </w:r>
          </w:p>
        </w:tc>
        <w:tc>
          <w:tcPr>
            <w:tcW w:w="689" w:type="pct"/>
            <w:vAlign w:val="center"/>
          </w:tcPr>
          <w:p w14:paraId="11D52C5D">
            <w:pPr>
              <w:pStyle w:val="92"/>
              <w:rPr>
                <w:color w:val="auto"/>
                <w:highlight w:val="none"/>
                <w:u w:val="none"/>
              </w:rPr>
            </w:pPr>
            <w:r>
              <w:rPr>
                <w:color w:val="auto"/>
                <w:highlight w:val="none"/>
                <w:u w:val="none"/>
              </w:rPr>
              <w:t>评价等级</w:t>
            </w:r>
          </w:p>
        </w:tc>
        <w:tc>
          <w:tcPr>
            <w:tcW w:w="3602" w:type="pct"/>
            <w:vAlign w:val="center"/>
          </w:tcPr>
          <w:p w14:paraId="3A13AD6C">
            <w:pPr>
              <w:pStyle w:val="92"/>
              <w:rPr>
                <w:color w:val="auto"/>
                <w:highlight w:val="none"/>
                <w:u w:val="none"/>
              </w:rPr>
            </w:pPr>
            <w:r>
              <w:rPr>
                <w:color w:val="auto"/>
                <w:highlight w:val="none"/>
                <w:u w:val="none"/>
              </w:rPr>
              <w:t>评价范围</w:t>
            </w:r>
          </w:p>
        </w:tc>
      </w:tr>
      <w:tr w14:paraId="4087D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77CA3CD0">
            <w:pPr>
              <w:pStyle w:val="92"/>
              <w:rPr>
                <w:color w:val="auto"/>
                <w:highlight w:val="none"/>
                <w:u w:val="none"/>
              </w:rPr>
            </w:pPr>
            <w:r>
              <w:rPr>
                <w:color w:val="auto"/>
                <w:highlight w:val="none"/>
                <w:u w:val="none"/>
              </w:rPr>
              <w:t>大气</w:t>
            </w:r>
          </w:p>
        </w:tc>
        <w:tc>
          <w:tcPr>
            <w:tcW w:w="689" w:type="pct"/>
            <w:vAlign w:val="center"/>
          </w:tcPr>
          <w:p w14:paraId="248BE63C">
            <w:pPr>
              <w:pStyle w:val="92"/>
              <w:rPr>
                <w:color w:val="auto"/>
                <w:highlight w:val="none"/>
                <w:u w:val="none"/>
              </w:rPr>
            </w:pPr>
            <w:r>
              <w:rPr>
                <w:rFonts w:hint="eastAsia"/>
                <w:color w:val="auto"/>
                <w:highlight w:val="none"/>
                <w:u w:val="none"/>
              </w:rPr>
              <w:t>一级</w:t>
            </w:r>
          </w:p>
        </w:tc>
        <w:tc>
          <w:tcPr>
            <w:tcW w:w="3602" w:type="pct"/>
            <w:vAlign w:val="center"/>
          </w:tcPr>
          <w:p w14:paraId="260C4A37">
            <w:pPr>
              <w:pStyle w:val="92"/>
              <w:rPr>
                <w:color w:val="auto"/>
                <w:highlight w:val="none"/>
                <w:u w:val="none"/>
              </w:rPr>
            </w:pPr>
            <w:r>
              <w:rPr>
                <w:color w:val="auto"/>
                <w:highlight w:val="none"/>
                <w:u w:val="none"/>
              </w:rPr>
              <w:t>以项目厂址为中心区域，边长为5km的矩形区域</w:t>
            </w:r>
          </w:p>
        </w:tc>
      </w:tr>
      <w:tr w14:paraId="27101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378B4CDF">
            <w:pPr>
              <w:pStyle w:val="92"/>
              <w:rPr>
                <w:color w:val="auto"/>
                <w:highlight w:val="none"/>
                <w:u w:val="none"/>
              </w:rPr>
            </w:pPr>
            <w:r>
              <w:rPr>
                <w:color w:val="auto"/>
                <w:highlight w:val="none"/>
                <w:u w:val="none"/>
              </w:rPr>
              <w:t>地表水</w:t>
            </w:r>
          </w:p>
        </w:tc>
        <w:tc>
          <w:tcPr>
            <w:tcW w:w="1280" w:type="dxa"/>
            <w:vAlign w:val="center"/>
          </w:tcPr>
          <w:p w14:paraId="7610E591">
            <w:pPr>
              <w:pStyle w:val="92"/>
              <w:ind w:firstLine="0" w:firstLineChars="0"/>
              <w:rPr>
                <w:color w:val="auto"/>
                <w:highlight w:val="none"/>
                <w:u w:val="none"/>
              </w:rPr>
            </w:pPr>
            <w:r>
              <w:rPr>
                <w:rFonts w:hint="eastAsia"/>
                <w:color w:val="auto"/>
                <w:highlight w:val="none"/>
                <w:u w:val="none"/>
              </w:rPr>
              <w:t>三级</w:t>
            </w:r>
            <w:r>
              <w:rPr>
                <w:color w:val="auto"/>
                <w:highlight w:val="none"/>
                <w:u w:val="none"/>
              </w:rPr>
              <w:t>B</w:t>
            </w:r>
          </w:p>
        </w:tc>
        <w:tc>
          <w:tcPr>
            <w:tcW w:w="6690" w:type="dxa"/>
            <w:vAlign w:val="center"/>
          </w:tcPr>
          <w:p w14:paraId="0143F4B9">
            <w:pPr>
              <w:pStyle w:val="92"/>
              <w:ind w:firstLine="0" w:firstLineChars="0"/>
              <w:rPr>
                <w:color w:val="auto"/>
                <w:highlight w:val="none"/>
                <w:u w:val="none"/>
              </w:rPr>
            </w:pPr>
            <w:r>
              <w:rPr>
                <w:rFonts w:hint="eastAsia"/>
                <w:color w:val="auto"/>
                <w:highlight w:val="none"/>
                <w:u w:val="none"/>
              </w:rPr>
              <w:t>针对项目依托的万华环保科技公司现有废水处理站的环境可行性进行分析</w:t>
            </w:r>
          </w:p>
        </w:tc>
      </w:tr>
      <w:tr w14:paraId="6360B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2FA48C81">
            <w:pPr>
              <w:pStyle w:val="92"/>
              <w:rPr>
                <w:color w:val="auto"/>
                <w:highlight w:val="none"/>
                <w:u w:val="none"/>
              </w:rPr>
            </w:pPr>
            <w:r>
              <w:rPr>
                <w:color w:val="auto"/>
                <w:highlight w:val="none"/>
                <w:u w:val="none"/>
              </w:rPr>
              <w:t>地下水</w:t>
            </w:r>
          </w:p>
        </w:tc>
        <w:tc>
          <w:tcPr>
            <w:tcW w:w="689" w:type="pct"/>
            <w:vAlign w:val="center"/>
          </w:tcPr>
          <w:p w14:paraId="56AF0C50">
            <w:pPr>
              <w:pStyle w:val="92"/>
              <w:rPr>
                <w:color w:val="auto"/>
                <w:highlight w:val="none"/>
                <w:u w:val="none"/>
              </w:rPr>
            </w:pPr>
            <w:r>
              <w:rPr>
                <w:color w:val="auto"/>
                <w:highlight w:val="none"/>
                <w:u w:val="none"/>
              </w:rPr>
              <w:t>二级</w:t>
            </w:r>
          </w:p>
        </w:tc>
        <w:tc>
          <w:tcPr>
            <w:tcW w:w="3602" w:type="pct"/>
            <w:vAlign w:val="center"/>
          </w:tcPr>
          <w:p w14:paraId="14783A49">
            <w:pPr>
              <w:pStyle w:val="92"/>
              <w:rPr>
                <w:color w:val="auto"/>
                <w:highlight w:val="none"/>
                <w:u w:val="none"/>
              </w:rPr>
            </w:pPr>
            <w:r>
              <w:rPr>
                <w:color w:val="auto"/>
                <w:highlight w:val="none"/>
                <w:u w:val="none"/>
              </w:rPr>
              <w:t>项目上游200m、两侧460m，</w:t>
            </w:r>
            <w:r>
              <w:rPr>
                <w:rFonts w:hint="eastAsia"/>
                <w:color w:val="auto"/>
                <w:highlight w:val="none"/>
                <w:u w:val="none"/>
              </w:rPr>
              <w:t>下游以</w:t>
            </w:r>
            <w:r>
              <w:rPr>
                <w:color w:val="auto"/>
                <w:highlight w:val="none"/>
                <w:u w:val="none"/>
              </w:rPr>
              <w:t>江阴港海域为评价边界。</w:t>
            </w:r>
          </w:p>
        </w:tc>
      </w:tr>
      <w:tr w14:paraId="2E0F0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11385D8B">
            <w:pPr>
              <w:pStyle w:val="92"/>
              <w:rPr>
                <w:color w:val="auto"/>
                <w:highlight w:val="none"/>
                <w:u w:val="none"/>
              </w:rPr>
            </w:pPr>
            <w:r>
              <w:rPr>
                <w:color w:val="auto"/>
                <w:highlight w:val="none"/>
                <w:u w:val="none"/>
              </w:rPr>
              <w:t>声环境</w:t>
            </w:r>
          </w:p>
        </w:tc>
        <w:tc>
          <w:tcPr>
            <w:tcW w:w="689" w:type="pct"/>
            <w:vAlign w:val="center"/>
          </w:tcPr>
          <w:p w14:paraId="3A695924">
            <w:pPr>
              <w:pStyle w:val="92"/>
              <w:rPr>
                <w:color w:val="auto"/>
                <w:highlight w:val="none"/>
                <w:u w:val="none"/>
              </w:rPr>
            </w:pPr>
            <w:r>
              <w:rPr>
                <w:color w:val="auto"/>
                <w:highlight w:val="none"/>
                <w:u w:val="none"/>
              </w:rPr>
              <w:t>三级</w:t>
            </w:r>
          </w:p>
        </w:tc>
        <w:tc>
          <w:tcPr>
            <w:tcW w:w="3602" w:type="pct"/>
            <w:vAlign w:val="center"/>
          </w:tcPr>
          <w:p w14:paraId="768D8408">
            <w:pPr>
              <w:pStyle w:val="92"/>
              <w:rPr>
                <w:color w:val="auto"/>
                <w:highlight w:val="none"/>
                <w:u w:val="none"/>
              </w:rPr>
            </w:pPr>
            <w:r>
              <w:rPr>
                <w:color w:val="auto"/>
                <w:highlight w:val="none"/>
                <w:u w:val="none"/>
              </w:rPr>
              <w:t>项目厂界外200m范围区域</w:t>
            </w:r>
          </w:p>
        </w:tc>
      </w:tr>
      <w:tr w14:paraId="5DB1B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12377EB8">
            <w:pPr>
              <w:pStyle w:val="92"/>
              <w:rPr>
                <w:color w:val="auto"/>
                <w:highlight w:val="none"/>
                <w:u w:val="none"/>
              </w:rPr>
            </w:pPr>
            <w:r>
              <w:rPr>
                <w:color w:val="auto"/>
                <w:highlight w:val="none"/>
                <w:u w:val="none"/>
              </w:rPr>
              <w:t>土壤</w:t>
            </w:r>
          </w:p>
        </w:tc>
        <w:tc>
          <w:tcPr>
            <w:tcW w:w="689" w:type="pct"/>
            <w:vAlign w:val="center"/>
          </w:tcPr>
          <w:p w14:paraId="76050BF1">
            <w:pPr>
              <w:pStyle w:val="92"/>
              <w:rPr>
                <w:color w:val="auto"/>
                <w:highlight w:val="none"/>
                <w:u w:val="none"/>
              </w:rPr>
            </w:pPr>
            <w:r>
              <w:rPr>
                <w:rFonts w:hint="eastAsia"/>
                <w:color w:val="auto"/>
                <w:highlight w:val="none"/>
                <w:u w:val="none"/>
              </w:rPr>
              <w:t>二级</w:t>
            </w:r>
          </w:p>
        </w:tc>
        <w:tc>
          <w:tcPr>
            <w:tcW w:w="3602" w:type="pct"/>
            <w:vAlign w:val="center"/>
          </w:tcPr>
          <w:p w14:paraId="3AA8181C">
            <w:pPr>
              <w:pStyle w:val="92"/>
              <w:rPr>
                <w:color w:val="auto"/>
                <w:highlight w:val="none"/>
                <w:u w:val="none"/>
              </w:rPr>
            </w:pPr>
            <w:r>
              <w:rPr>
                <w:rFonts w:hint="eastAsia" w:hAnsi="宋体"/>
                <w:color w:val="auto"/>
                <w:highlight w:val="none"/>
                <w:u w:val="none"/>
              </w:rPr>
              <w:t>项目占地外</w:t>
            </w:r>
            <w:r>
              <w:rPr>
                <w:rFonts w:hAnsi="宋体"/>
                <w:color w:val="auto"/>
                <w:highlight w:val="none"/>
                <w:u w:val="none"/>
              </w:rPr>
              <w:t>200</w:t>
            </w:r>
            <w:r>
              <w:rPr>
                <w:rFonts w:hint="eastAsia" w:hAnsi="宋体"/>
                <w:color w:val="auto"/>
                <w:highlight w:val="none"/>
                <w:u w:val="none"/>
              </w:rPr>
              <w:t>m范围内区域</w:t>
            </w:r>
          </w:p>
        </w:tc>
      </w:tr>
      <w:tr w14:paraId="2A26F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0501D810">
            <w:pPr>
              <w:pStyle w:val="92"/>
              <w:rPr>
                <w:color w:val="auto"/>
                <w:highlight w:val="none"/>
                <w:u w:val="none"/>
              </w:rPr>
            </w:pPr>
            <w:r>
              <w:rPr>
                <w:rFonts w:hint="eastAsia"/>
                <w:color w:val="auto"/>
                <w:highlight w:val="none"/>
                <w:u w:val="none"/>
              </w:rPr>
              <w:t>生态环境</w:t>
            </w:r>
          </w:p>
        </w:tc>
        <w:tc>
          <w:tcPr>
            <w:tcW w:w="689" w:type="pct"/>
            <w:vAlign w:val="center"/>
          </w:tcPr>
          <w:p w14:paraId="32CA90B1">
            <w:pPr>
              <w:pStyle w:val="92"/>
              <w:rPr>
                <w:color w:val="auto"/>
                <w:highlight w:val="none"/>
                <w:u w:val="none"/>
              </w:rPr>
            </w:pPr>
            <w:r>
              <w:rPr>
                <w:rFonts w:hint="eastAsia"/>
                <w:color w:val="auto"/>
                <w:highlight w:val="none"/>
                <w:u w:val="none"/>
              </w:rPr>
              <w:t>简单分析</w:t>
            </w:r>
          </w:p>
        </w:tc>
        <w:tc>
          <w:tcPr>
            <w:tcW w:w="3602" w:type="pct"/>
            <w:vAlign w:val="center"/>
          </w:tcPr>
          <w:p w14:paraId="201D9697">
            <w:pPr>
              <w:pStyle w:val="92"/>
              <w:rPr>
                <w:color w:val="auto"/>
                <w:highlight w:val="none"/>
                <w:u w:val="none"/>
              </w:rPr>
            </w:pPr>
            <w:r>
              <w:rPr>
                <w:rFonts w:hint="eastAsia"/>
                <w:color w:val="auto"/>
                <w:highlight w:val="none"/>
                <w:u w:val="none"/>
              </w:rPr>
              <w:t>/</w:t>
            </w:r>
          </w:p>
        </w:tc>
      </w:tr>
      <w:tr w14:paraId="52735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pct"/>
            <w:vAlign w:val="center"/>
          </w:tcPr>
          <w:p w14:paraId="333F606D">
            <w:pPr>
              <w:pStyle w:val="92"/>
              <w:rPr>
                <w:color w:val="auto"/>
                <w:highlight w:val="none"/>
                <w:u w:val="none"/>
              </w:rPr>
            </w:pPr>
            <w:r>
              <w:rPr>
                <w:color w:val="auto"/>
                <w:highlight w:val="none"/>
                <w:u w:val="none"/>
              </w:rPr>
              <w:t>环境风险</w:t>
            </w:r>
          </w:p>
        </w:tc>
        <w:tc>
          <w:tcPr>
            <w:tcW w:w="689" w:type="pct"/>
            <w:vAlign w:val="center"/>
          </w:tcPr>
          <w:p w14:paraId="2162F729">
            <w:pPr>
              <w:pStyle w:val="92"/>
              <w:rPr>
                <w:color w:val="auto"/>
                <w:highlight w:val="none"/>
                <w:u w:val="none"/>
              </w:rPr>
            </w:pPr>
            <w:r>
              <w:rPr>
                <w:rFonts w:hint="eastAsia"/>
                <w:color w:val="auto"/>
                <w:highlight w:val="none"/>
                <w:u w:val="none"/>
              </w:rPr>
              <w:t>一</w:t>
            </w:r>
            <w:r>
              <w:rPr>
                <w:color w:val="auto"/>
                <w:highlight w:val="none"/>
                <w:u w:val="none"/>
              </w:rPr>
              <w:t>级</w:t>
            </w:r>
          </w:p>
        </w:tc>
        <w:tc>
          <w:tcPr>
            <w:tcW w:w="3602" w:type="pct"/>
            <w:vAlign w:val="center"/>
          </w:tcPr>
          <w:p w14:paraId="6CB0B742">
            <w:pPr>
              <w:pStyle w:val="92"/>
              <w:rPr>
                <w:color w:val="auto"/>
                <w:highlight w:val="none"/>
                <w:u w:val="none"/>
              </w:rPr>
            </w:pPr>
            <w:r>
              <w:rPr>
                <w:color w:val="auto"/>
                <w:highlight w:val="none"/>
                <w:u w:val="none"/>
              </w:rPr>
              <w:t>大气环境风险评价范围为厂区边界外延5km；地表水环境风险评价重点分析项目及园区采取的风险防措施；</w:t>
            </w:r>
            <w:r>
              <w:rPr>
                <w:rFonts w:hint="eastAsia"/>
                <w:color w:val="auto"/>
                <w:highlight w:val="none"/>
                <w:u w:val="none"/>
              </w:rPr>
              <w:t>地下水环境风险评价范围为项目场地下游至</w:t>
            </w:r>
            <w:r>
              <w:rPr>
                <w:color w:val="auto"/>
                <w:highlight w:val="none"/>
                <w:u w:val="none"/>
              </w:rPr>
              <w:t>江阴港</w:t>
            </w:r>
            <w:r>
              <w:rPr>
                <w:rFonts w:hint="eastAsia"/>
                <w:color w:val="auto"/>
                <w:highlight w:val="none"/>
                <w:u w:val="none"/>
              </w:rPr>
              <w:t>海岸（</w:t>
            </w:r>
            <w:r>
              <w:rPr>
                <w:color w:val="auto"/>
                <w:highlight w:val="none"/>
                <w:u w:val="none"/>
              </w:rPr>
              <w:t>地下水流向为自东向西流</w:t>
            </w:r>
            <w:r>
              <w:rPr>
                <w:rFonts w:hint="eastAsia"/>
                <w:color w:val="auto"/>
                <w:highlight w:val="none"/>
                <w:u w:val="none"/>
              </w:rPr>
              <w:t>），项目</w:t>
            </w:r>
            <w:r>
              <w:rPr>
                <w:color w:val="auto"/>
                <w:highlight w:val="none"/>
                <w:u w:val="none"/>
              </w:rPr>
              <w:t>场地两侧460m</w:t>
            </w:r>
            <w:r>
              <w:rPr>
                <w:rFonts w:hint="eastAsia"/>
                <w:color w:val="auto"/>
                <w:highlight w:val="none"/>
                <w:u w:val="none"/>
              </w:rPr>
              <w:t>，</w:t>
            </w:r>
            <w:r>
              <w:rPr>
                <w:color w:val="auto"/>
                <w:highlight w:val="none"/>
                <w:u w:val="none"/>
              </w:rPr>
              <w:t>上游200m</w:t>
            </w:r>
            <w:r>
              <w:rPr>
                <w:rFonts w:hint="eastAsia"/>
                <w:color w:val="auto"/>
                <w:highlight w:val="none"/>
                <w:u w:val="none"/>
              </w:rPr>
              <w:t>的区域范围</w:t>
            </w:r>
            <w:r>
              <w:rPr>
                <w:color w:val="auto"/>
                <w:highlight w:val="none"/>
                <w:u w:val="none"/>
              </w:rPr>
              <w:t>。</w:t>
            </w:r>
          </w:p>
        </w:tc>
      </w:tr>
    </w:tbl>
    <w:p w14:paraId="2DE6872B">
      <w:pPr>
        <w:pStyle w:val="6"/>
        <w:spacing w:before="120" w:after="120"/>
        <w:rPr>
          <w:color w:val="auto"/>
          <w:highlight w:val="none"/>
          <w:u w:val="none"/>
        </w:rPr>
      </w:pPr>
      <w:bookmarkStart w:id="99" w:name="_Toc148374877"/>
      <w:bookmarkStart w:id="100" w:name="_Toc148374435"/>
      <w:r>
        <w:rPr>
          <w:rFonts w:hint="eastAsia"/>
          <w:color w:val="auto"/>
          <w:highlight w:val="none"/>
          <w:u w:val="none"/>
        </w:rPr>
        <w:t>大气环境</w:t>
      </w:r>
      <w:bookmarkEnd w:id="99"/>
      <w:bookmarkEnd w:id="100"/>
    </w:p>
    <w:p w14:paraId="7FDC4573">
      <w:pPr>
        <w:pStyle w:val="981"/>
        <w:rPr>
          <w:rFonts w:hint="eastAsia"/>
          <w:color w:val="auto"/>
          <w:highlight w:val="none"/>
          <w:u w:val="none"/>
        </w:rPr>
      </w:pPr>
      <w:r>
        <w:rPr>
          <w:color w:val="auto"/>
          <w:highlight w:val="none"/>
          <w:u w:val="none"/>
        </w:rPr>
        <w:t>（</w:t>
      </w:r>
      <w:r>
        <w:rPr>
          <w:rFonts w:hAnsi="Times New Roman" w:eastAsia="Times New Roman"/>
          <w:color w:val="auto"/>
          <w:highlight w:val="none"/>
          <w:u w:val="none"/>
        </w:rPr>
        <w:t>1</w:t>
      </w:r>
      <w:r>
        <w:rPr>
          <w:color w:val="auto"/>
          <w:highlight w:val="none"/>
          <w:u w:val="none"/>
        </w:rPr>
        <w:t>）评价等级</w:t>
      </w:r>
    </w:p>
    <w:p w14:paraId="1C1881E5">
      <w:pPr>
        <w:pStyle w:val="75"/>
        <w:adjustRightInd w:val="0"/>
        <w:snapToGrid w:val="0"/>
        <w:rPr>
          <w:rFonts w:hint="eastAsia"/>
          <w:color w:val="auto"/>
          <w:highlight w:val="none"/>
          <w:u w:val="none"/>
        </w:rPr>
      </w:pPr>
      <w:r>
        <w:rPr>
          <w:color w:val="auto"/>
          <w:highlight w:val="none"/>
          <w:u w:val="none"/>
        </w:rPr>
        <w:t>根据工程分析章节，本次预测因子</w:t>
      </w:r>
      <w:r>
        <w:rPr>
          <w:rFonts w:hint="eastAsia"/>
          <w:color w:val="auto"/>
          <w:highlight w:val="none"/>
          <w:u w:val="none"/>
        </w:rPr>
        <w:t>为</w:t>
      </w:r>
      <w:r>
        <w:rPr>
          <w:color w:val="auto"/>
          <w:highlight w:val="none"/>
          <w:u w:val="none"/>
        </w:rPr>
        <w:t>TDA</w:t>
      </w:r>
      <w:r>
        <w:rPr>
          <w:rFonts w:hint="eastAsia"/>
          <w:color w:val="auto"/>
          <w:highlight w:val="none"/>
          <w:u w:val="none"/>
        </w:rPr>
        <w:t>（甲苯二胺）</w:t>
      </w:r>
      <w:r>
        <w:rPr>
          <w:color w:val="auto"/>
          <w:highlight w:val="none"/>
          <w:u w:val="none"/>
        </w:rPr>
        <w:t>、</w:t>
      </w:r>
      <w:r>
        <w:rPr>
          <w:rFonts w:hint="eastAsia"/>
          <w:color w:val="auto"/>
          <w:highlight w:val="none"/>
          <w:u w:val="none"/>
        </w:rPr>
        <w:t>非甲烷总烃</w:t>
      </w:r>
      <w:r>
        <w:rPr>
          <w:color w:val="auto"/>
          <w:highlight w:val="none"/>
          <w:u w:val="none"/>
        </w:rPr>
        <w:t>、DNT</w:t>
      </w:r>
      <w:r>
        <w:rPr>
          <w:rFonts w:hint="eastAsia"/>
          <w:color w:val="auto"/>
          <w:highlight w:val="none"/>
          <w:u w:val="none"/>
        </w:rPr>
        <w:t>（二硝基甲苯）</w:t>
      </w:r>
      <w:r>
        <w:rPr>
          <w:color w:val="auto"/>
          <w:highlight w:val="none"/>
          <w:u w:val="none"/>
        </w:rPr>
        <w:t>、</w:t>
      </w:r>
      <w:r>
        <w:rPr>
          <w:rFonts w:hint="eastAsia"/>
          <w:color w:val="auto"/>
          <w:highlight w:val="none"/>
          <w:u w:val="none"/>
        </w:rPr>
        <w:t>ODCB（</w:t>
      </w:r>
      <w:r>
        <w:rPr>
          <w:color w:val="auto"/>
          <w:highlight w:val="none"/>
          <w:u w:val="none"/>
        </w:rPr>
        <w:t>邻二氯苯</w:t>
      </w:r>
      <w:r>
        <w:rPr>
          <w:rFonts w:hint="eastAsia"/>
          <w:color w:val="auto"/>
          <w:highlight w:val="none"/>
          <w:u w:val="none"/>
        </w:rPr>
        <w:t>）</w:t>
      </w:r>
      <w:r>
        <w:rPr>
          <w:color w:val="auto"/>
          <w:highlight w:val="none"/>
          <w:u w:val="none"/>
        </w:rPr>
        <w:t>、甲苯、</w:t>
      </w:r>
      <w:r>
        <w:rPr>
          <w:rFonts w:hint="eastAsia"/>
          <w:color w:val="auto"/>
          <w:highlight w:val="none"/>
          <w:u w:val="none"/>
        </w:rPr>
        <w:t>氯气</w:t>
      </w:r>
      <w:r>
        <w:rPr>
          <w:color w:val="auto"/>
          <w:highlight w:val="none"/>
          <w:u w:val="none"/>
        </w:rPr>
        <w:t>、</w:t>
      </w:r>
      <w:r>
        <w:rPr>
          <w:rFonts w:hint="eastAsia"/>
          <w:color w:val="auto"/>
          <w:highlight w:val="none"/>
          <w:u w:val="none"/>
        </w:rPr>
        <w:t>氯化氢</w:t>
      </w:r>
      <w:r>
        <w:rPr>
          <w:color w:val="auto"/>
          <w:highlight w:val="none"/>
          <w:u w:val="none"/>
        </w:rPr>
        <w:t>、光气</w:t>
      </w:r>
      <w:r>
        <w:rPr>
          <w:rFonts w:hint="eastAsia"/>
          <w:color w:val="auto"/>
          <w:highlight w:val="none"/>
          <w:u w:val="none"/>
        </w:rPr>
        <w:t>、PM10和PM2.5</w:t>
      </w:r>
      <w:r>
        <w:rPr>
          <w:color w:val="auto"/>
          <w:highlight w:val="none"/>
          <w:u w:val="none"/>
        </w:rPr>
        <w:t>。</w:t>
      </w:r>
    </w:p>
    <w:p w14:paraId="40613BE5">
      <w:pPr>
        <w:pStyle w:val="981"/>
        <w:ind w:firstLine="472"/>
        <w:rPr>
          <w:rFonts w:hint="eastAsia"/>
          <w:color w:val="auto"/>
          <w:highlight w:val="none"/>
          <w:u w:val="none"/>
        </w:rPr>
      </w:pPr>
      <w:r>
        <w:rPr>
          <w:color w:val="auto"/>
          <w:highlight w:val="none"/>
          <w:u w:val="none"/>
        </w:rPr>
        <w:t>按照《环境影响评价技术导则大气环境》（</w:t>
      </w:r>
      <w:r>
        <w:rPr>
          <w:rFonts w:hAnsi="Times New Roman" w:eastAsia="Times New Roman"/>
          <w:color w:val="auto"/>
          <w:highlight w:val="none"/>
          <w:u w:val="none"/>
        </w:rPr>
        <w:t>HJ2.2-2018</w:t>
      </w:r>
      <w:r>
        <w:rPr>
          <w:color w:val="auto"/>
          <w:highlight w:val="none"/>
          <w:u w:val="none"/>
        </w:rPr>
        <w:t>）规定，</w:t>
      </w:r>
      <w:r>
        <w:rPr>
          <w:color w:val="auto"/>
          <w:spacing w:val="-1"/>
          <w:highlight w:val="none"/>
          <w:u w:val="none"/>
        </w:rPr>
        <w:t>分别计算项目正常运营工况下每一种污染物排放增量的最大落地浓度占标率</w:t>
      </w:r>
      <w:r>
        <w:rPr>
          <w:rFonts w:hAnsi="Times New Roman" w:eastAsia="Times New Roman"/>
          <w:color w:val="auto"/>
          <w:spacing w:val="-1"/>
          <w:highlight w:val="none"/>
          <w:u w:val="none"/>
        </w:rPr>
        <w:t>Pi</w:t>
      </w:r>
      <w:r>
        <w:rPr>
          <w:color w:val="auto"/>
          <w:spacing w:val="-1"/>
          <w:highlight w:val="none"/>
          <w:u w:val="none"/>
        </w:rPr>
        <w:t>（第</w:t>
      </w:r>
      <w:r>
        <w:rPr>
          <w:rFonts w:hAnsi="Times New Roman" w:eastAsia="Times New Roman"/>
          <w:color w:val="auto"/>
          <w:spacing w:val="-1"/>
          <w:highlight w:val="none"/>
          <w:u w:val="none"/>
        </w:rPr>
        <w:t>i</w:t>
      </w:r>
      <w:r>
        <w:rPr>
          <w:color w:val="auto"/>
          <w:spacing w:val="-1"/>
          <w:highlight w:val="none"/>
          <w:u w:val="none"/>
        </w:rPr>
        <w:t>个</w:t>
      </w:r>
      <w:r>
        <w:rPr>
          <w:color w:val="auto"/>
          <w:spacing w:val="-2"/>
          <w:highlight w:val="none"/>
          <w:u w:val="none"/>
        </w:rPr>
        <w:t>污染物</w:t>
      </w:r>
      <w:r>
        <w:rPr>
          <w:color w:val="auto"/>
          <w:spacing w:val="-14"/>
          <w:highlight w:val="none"/>
          <w:u w:val="none"/>
        </w:rPr>
        <w:t>），</w:t>
      </w:r>
      <w:r>
        <w:rPr>
          <w:color w:val="auto"/>
          <w:spacing w:val="-2"/>
          <w:highlight w:val="none"/>
          <w:u w:val="none"/>
        </w:rPr>
        <w:t>及第</w:t>
      </w:r>
      <w:r>
        <w:rPr>
          <w:rFonts w:hAnsi="Times New Roman" w:eastAsia="Times New Roman"/>
          <w:color w:val="auto"/>
          <w:spacing w:val="-2"/>
          <w:highlight w:val="none"/>
          <w:u w:val="none"/>
        </w:rPr>
        <w:t>i</w:t>
      </w:r>
      <w:r>
        <w:rPr>
          <w:color w:val="auto"/>
          <w:spacing w:val="-2"/>
          <w:highlight w:val="none"/>
          <w:u w:val="none"/>
        </w:rPr>
        <w:t>个污染物的地面浓度达标准限值</w:t>
      </w:r>
      <w:r>
        <w:rPr>
          <w:rFonts w:hAnsi="Times New Roman" w:eastAsia="Times New Roman"/>
          <w:color w:val="auto"/>
          <w:spacing w:val="-2"/>
          <w:highlight w:val="none"/>
          <w:u w:val="none"/>
        </w:rPr>
        <w:t>10%</w:t>
      </w:r>
      <w:r>
        <w:rPr>
          <w:color w:val="auto"/>
          <w:spacing w:val="-2"/>
          <w:highlight w:val="none"/>
          <w:u w:val="none"/>
        </w:rPr>
        <w:t>时所对应的最远距离</w:t>
      </w:r>
      <w:r>
        <w:rPr>
          <w:rFonts w:hAnsi="Times New Roman" w:eastAsia="Times New Roman"/>
          <w:color w:val="auto"/>
          <w:spacing w:val="-2"/>
          <w:highlight w:val="none"/>
          <w:u w:val="none"/>
        </w:rPr>
        <w:t>D</w:t>
      </w:r>
      <w:r>
        <w:rPr>
          <w:rFonts w:hAnsi="Times New Roman" w:eastAsia="Times New Roman"/>
          <w:color w:val="auto"/>
          <w:position w:val="-1"/>
          <w:sz w:val="15"/>
          <w:szCs w:val="15"/>
          <w:highlight w:val="none"/>
          <w:u w:val="none"/>
        </w:rPr>
        <w:t>10%</w:t>
      </w:r>
      <w:r>
        <w:rPr>
          <w:color w:val="auto"/>
          <w:highlight w:val="none"/>
          <w:u w:val="none"/>
        </w:rPr>
        <w:t>，其中</w:t>
      </w:r>
      <w:r>
        <w:rPr>
          <w:rFonts w:hAnsi="Times New Roman" w:eastAsia="Times New Roman"/>
          <w:color w:val="auto"/>
          <w:spacing w:val="-4"/>
          <w:highlight w:val="none"/>
          <w:u w:val="none"/>
        </w:rPr>
        <w:t>Pi</w:t>
      </w:r>
      <w:r>
        <w:rPr>
          <w:color w:val="auto"/>
          <w:spacing w:val="-4"/>
          <w:highlight w:val="none"/>
          <w:u w:val="none"/>
        </w:rPr>
        <w:t>定义为：</w:t>
      </w:r>
    </w:p>
    <w:p w14:paraId="6D43A86A">
      <w:pPr>
        <w:pStyle w:val="981"/>
        <w:ind w:firstLine="0" w:firstLineChars="0"/>
        <w:jc w:val="center"/>
        <w:rPr>
          <w:rFonts w:hint="eastAsia"/>
          <w:color w:val="auto"/>
          <w:highlight w:val="none"/>
          <w:u w:val="none"/>
          <w:lang w:val="en-US"/>
        </w:rPr>
      </w:pPr>
      <w:r>
        <w:rPr>
          <w:color w:val="auto"/>
          <w:highlight w:val="none"/>
          <w:u w:val="none"/>
          <w:lang w:val="en-US"/>
        </w:rPr>
        <w:t>Pi</w:t>
      </w:r>
      <w:r>
        <w:rPr>
          <w:color w:val="auto"/>
          <w:spacing w:val="-34"/>
          <w:highlight w:val="none"/>
          <w:u w:val="none"/>
          <w:lang w:val="en-US"/>
        </w:rPr>
        <w:t>＝（</w:t>
      </w:r>
      <w:r>
        <w:rPr>
          <w:color w:val="auto"/>
          <w:highlight w:val="none"/>
          <w:u w:val="none"/>
          <w:lang w:val="en-US"/>
        </w:rPr>
        <w:t>C</w:t>
      </w:r>
      <w:r>
        <w:rPr>
          <w:color w:val="auto"/>
          <w:position w:val="2"/>
          <w:sz w:val="15"/>
          <w:szCs w:val="15"/>
          <w:highlight w:val="none"/>
          <w:u w:val="none"/>
          <w:lang w:val="en-US"/>
        </w:rPr>
        <w:t>i</w:t>
      </w:r>
      <w:r>
        <w:rPr>
          <w:color w:val="auto"/>
          <w:highlight w:val="none"/>
          <w:u w:val="none"/>
          <w:lang w:val="en-US"/>
        </w:rPr>
        <w:t>/C</w:t>
      </w:r>
      <w:r>
        <w:rPr>
          <w:color w:val="auto"/>
          <w:position w:val="2"/>
          <w:sz w:val="15"/>
          <w:szCs w:val="15"/>
          <w:highlight w:val="none"/>
          <w:u w:val="none"/>
          <w:lang w:val="en-US"/>
        </w:rPr>
        <w:t>0i</w:t>
      </w:r>
      <w:r>
        <w:rPr>
          <w:color w:val="auto"/>
          <w:highlight w:val="none"/>
          <w:u w:val="none"/>
          <w:lang w:val="en-US"/>
        </w:rPr>
        <w:t>）×</w:t>
      </w:r>
      <w:r>
        <w:rPr>
          <w:rFonts w:hint="eastAsia"/>
          <w:color w:val="auto"/>
          <w:highlight w:val="none"/>
          <w:u w:val="none"/>
          <w:lang w:val="en-US" w:eastAsia="zh-CN"/>
        </w:rPr>
        <w:t>1</w:t>
      </w:r>
      <w:r>
        <w:rPr>
          <w:color w:val="auto"/>
          <w:spacing w:val="-31"/>
          <w:highlight w:val="none"/>
          <w:u w:val="none"/>
          <w:lang w:val="en-US"/>
        </w:rPr>
        <w:t xml:space="preserve"> </w:t>
      </w:r>
      <w:r>
        <w:rPr>
          <w:color w:val="auto"/>
          <w:highlight w:val="none"/>
          <w:u w:val="none"/>
          <w:lang w:val="en-US"/>
        </w:rPr>
        <w:t>00%</w:t>
      </w:r>
    </w:p>
    <w:p w14:paraId="57A0DDBF">
      <w:pPr>
        <w:pStyle w:val="981"/>
        <w:rPr>
          <w:rFonts w:hint="eastAsia"/>
          <w:color w:val="auto"/>
          <w:highlight w:val="none"/>
          <w:u w:val="none"/>
        </w:rPr>
      </w:pPr>
      <w:r>
        <w:rPr>
          <w:color w:val="auto"/>
          <w:highlight w:val="none"/>
          <w:u w:val="none"/>
        </w:rPr>
        <w:t>式中：</w:t>
      </w:r>
    </w:p>
    <w:p w14:paraId="5167D050">
      <w:pPr>
        <w:pStyle w:val="981"/>
        <w:rPr>
          <w:rFonts w:hint="eastAsia"/>
          <w:color w:val="auto"/>
          <w:highlight w:val="none"/>
          <w:u w:val="none"/>
        </w:rPr>
      </w:pPr>
      <w:r>
        <w:rPr>
          <w:rFonts w:hAnsi="Times New Roman" w:eastAsia="Times New Roman"/>
          <w:color w:val="auto"/>
          <w:highlight w:val="none"/>
          <w:u w:val="none"/>
        </w:rPr>
        <w:t>P</w:t>
      </w:r>
      <w:r>
        <w:rPr>
          <w:rFonts w:hAnsi="Times New Roman" w:eastAsia="Times New Roman"/>
          <w:color w:val="auto"/>
          <w:position w:val="1"/>
          <w:sz w:val="15"/>
          <w:szCs w:val="15"/>
          <w:highlight w:val="none"/>
          <w:u w:val="none"/>
        </w:rPr>
        <w:t>i</w:t>
      </w:r>
      <w:r>
        <w:rPr>
          <w:rFonts w:hint="eastAsia"/>
          <w:color w:val="auto"/>
          <w:highlight w:val="none"/>
          <w:u w:val="none"/>
        </w:rPr>
        <w:t>——第</w:t>
      </w:r>
      <w:r>
        <w:rPr>
          <w:color w:val="auto"/>
          <w:highlight w:val="none"/>
          <w:u w:val="none"/>
        </w:rPr>
        <w:t>i个污染物的最大地面空气质量浓度占标率，</w:t>
      </w:r>
      <w:r>
        <w:rPr>
          <w:rFonts w:hAnsi="Times New Roman" w:eastAsia="Times New Roman"/>
          <w:color w:val="auto"/>
          <w:highlight w:val="none"/>
          <w:u w:val="none"/>
        </w:rPr>
        <w:t>%</w:t>
      </w:r>
      <w:r>
        <w:rPr>
          <w:color w:val="auto"/>
          <w:highlight w:val="none"/>
          <w:u w:val="none"/>
        </w:rPr>
        <w:t>；</w:t>
      </w:r>
    </w:p>
    <w:p w14:paraId="16AF646F">
      <w:pPr>
        <w:pStyle w:val="981"/>
        <w:rPr>
          <w:rFonts w:hint="eastAsia"/>
          <w:color w:val="auto"/>
          <w:highlight w:val="none"/>
          <w:u w:val="none"/>
        </w:rPr>
      </w:pPr>
      <w:r>
        <w:rPr>
          <w:rFonts w:hAnsi="Times New Roman" w:eastAsia="Times New Roman"/>
          <w:color w:val="auto"/>
          <w:highlight w:val="none"/>
          <w:u w:val="none"/>
        </w:rPr>
        <w:t>C</w:t>
      </w:r>
      <w:r>
        <w:rPr>
          <w:rFonts w:hAnsi="Times New Roman" w:eastAsia="Times New Roman"/>
          <w:color w:val="auto"/>
          <w:position w:val="2"/>
          <w:sz w:val="15"/>
          <w:szCs w:val="15"/>
          <w:highlight w:val="none"/>
          <w:u w:val="none"/>
        </w:rPr>
        <w:t>i</w:t>
      </w:r>
      <w:r>
        <w:rPr>
          <w:rFonts w:hint="eastAsia"/>
          <w:color w:val="auto"/>
          <w:highlight w:val="none"/>
          <w:u w:val="none"/>
        </w:rPr>
        <w:t>——采用估算模型计算出的第</w:t>
      </w:r>
      <w:r>
        <w:rPr>
          <w:color w:val="auto"/>
          <w:highlight w:val="none"/>
          <w:u w:val="none"/>
        </w:rPr>
        <w:t>i个污染物的最大1h地面空气质量浓度</w:t>
      </w:r>
      <w:r>
        <w:rPr>
          <w:color w:val="auto"/>
          <w:spacing w:val="-1"/>
          <w:highlight w:val="none"/>
          <w:u w:val="none"/>
        </w:rPr>
        <w:t>，</w:t>
      </w:r>
      <w:r>
        <w:rPr>
          <w:rFonts w:hAnsi="Times New Roman" w:eastAsia="Times New Roman"/>
          <w:color w:val="auto"/>
          <w:spacing w:val="-1"/>
          <w:highlight w:val="none"/>
          <w:u w:val="none"/>
        </w:rPr>
        <w:t>mg/m</w:t>
      </w:r>
      <w:r>
        <w:rPr>
          <w:rFonts w:hAnsi="Times New Roman" w:eastAsia="Times New Roman"/>
          <w:color w:val="auto"/>
          <w:spacing w:val="-1"/>
          <w:position w:val="10"/>
          <w:sz w:val="15"/>
          <w:szCs w:val="15"/>
          <w:highlight w:val="none"/>
          <w:u w:val="none"/>
        </w:rPr>
        <w:t>3</w:t>
      </w:r>
      <w:r>
        <w:rPr>
          <w:color w:val="auto"/>
          <w:spacing w:val="-1"/>
          <w:highlight w:val="none"/>
          <w:u w:val="none"/>
        </w:rPr>
        <w:t>；</w:t>
      </w:r>
    </w:p>
    <w:p w14:paraId="61ACA1DB">
      <w:pPr>
        <w:pStyle w:val="981"/>
        <w:rPr>
          <w:rFonts w:hint="eastAsia"/>
          <w:color w:val="auto"/>
          <w:highlight w:val="none"/>
          <w:u w:val="none"/>
        </w:rPr>
      </w:pPr>
      <w:r>
        <w:rPr>
          <w:rFonts w:hAnsi="Times New Roman" w:eastAsia="Times New Roman"/>
          <w:color w:val="auto"/>
          <w:highlight w:val="none"/>
          <w:u w:val="none"/>
        </w:rPr>
        <w:t>C</w:t>
      </w:r>
      <w:r>
        <w:rPr>
          <w:rFonts w:hAnsi="Times New Roman" w:eastAsia="Times New Roman"/>
          <w:color w:val="auto"/>
          <w:position w:val="2"/>
          <w:sz w:val="15"/>
          <w:szCs w:val="15"/>
          <w:highlight w:val="none"/>
          <w:u w:val="none"/>
        </w:rPr>
        <w:t>0i</w:t>
      </w:r>
      <w:r>
        <w:rPr>
          <w:rFonts w:hint="eastAsia"/>
          <w:color w:val="auto"/>
          <w:highlight w:val="none"/>
          <w:u w:val="none"/>
        </w:rPr>
        <w:t>——第</w:t>
      </w:r>
      <w:r>
        <w:rPr>
          <w:color w:val="auto"/>
          <w:highlight w:val="none"/>
          <w:u w:val="none"/>
        </w:rPr>
        <w:t>i个污染物的环境空气质量浓度标准，</w:t>
      </w:r>
      <w:r>
        <w:rPr>
          <w:rFonts w:hAnsi="Times New Roman" w:eastAsia="Times New Roman"/>
          <w:color w:val="auto"/>
          <w:highlight w:val="none"/>
          <w:u w:val="none"/>
        </w:rPr>
        <w:t>mg/m</w:t>
      </w:r>
      <w:r>
        <w:rPr>
          <w:rFonts w:hAnsi="Times New Roman" w:eastAsia="Times New Roman"/>
          <w:color w:val="auto"/>
          <w:position w:val="11"/>
          <w:sz w:val="15"/>
          <w:szCs w:val="15"/>
          <w:highlight w:val="none"/>
          <w:u w:val="none"/>
        </w:rPr>
        <w:t>3</w:t>
      </w:r>
      <w:r>
        <w:rPr>
          <w:rFonts w:hint="eastAsia"/>
          <w:color w:val="auto"/>
          <w:highlight w:val="none"/>
          <w:u w:val="none"/>
        </w:rPr>
        <w:t>。</w:t>
      </w:r>
    </w:p>
    <w:p w14:paraId="36CA3CDB">
      <w:pPr>
        <w:pStyle w:val="981"/>
        <w:rPr>
          <w:rFonts w:hint="eastAsia"/>
          <w:color w:val="auto"/>
          <w:highlight w:val="none"/>
          <w:u w:val="none"/>
        </w:rPr>
      </w:pPr>
      <w:r>
        <w:rPr>
          <w:rFonts w:hAnsi="Times New Roman" w:eastAsia="Times New Roman"/>
          <w:color w:val="auto"/>
          <w:highlight w:val="none"/>
          <w:u w:val="none"/>
        </w:rPr>
        <w:t>C</w:t>
      </w:r>
      <w:r>
        <w:rPr>
          <w:rFonts w:hAnsi="Times New Roman" w:eastAsia="Times New Roman"/>
          <w:color w:val="auto"/>
          <w:sz w:val="15"/>
          <w:szCs w:val="15"/>
          <w:highlight w:val="none"/>
          <w:u w:val="none"/>
        </w:rPr>
        <w:t>0i</w:t>
      </w:r>
      <w:r>
        <w:rPr>
          <w:color w:val="auto"/>
          <w:highlight w:val="none"/>
          <w:u w:val="none"/>
        </w:rPr>
        <w:t>一般选用</w:t>
      </w:r>
      <w:r>
        <w:rPr>
          <w:rFonts w:hAnsi="Times New Roman" w:eastAsia="Times New Roman"/>
          <w:color w:val="auto"/>
          <w:highlight w:val="none"/>
          <w:u w:val="none"/>
        </w:rPr>
        <w:t>GB3095-2012</w:t>
      </w:r>
      <w:r>
        <w:rPr>
          <w:color w:val="auto"/>
          <w:highlight w:val="none"/>
          <w:u w:val="none"/>
        </w:rPr>
        <w:t>中</w:t>
      </w:r>
      <w:r>
        <w:rPr>
          <w:rFonts w:hAnsi="Times New Roman" w:eastAsia="Times New Roman"/>
          <w:color w:val="auto"/>
          <w:highlight w:val="none"/>
          <w:u w:val="none"/>
        </w:rPr>
        <w:t>1h</w:t>
      </w:r>
      <w:r>
        <w:rPr>
          <w:rFonts w:hint="eastAsia" w:ascii="宋体" w:cs="宋体"/>
          <w:color w:val="auto"/>
          <w:highlight w:val="none"/>
          <w:u w:val="none"/>
        </w:rPr>
        <w:t>平均质量浓度的二级浓度限值</w:t>
      </w:r>
      <w:r>
        <w:rPr>
          <w:color w:val="auto"/>
          <w:highlight w:val="none"/>
          <w:u w:val="none"/>
        </w:rPr>
        <w:t>。</w:t>
      </w:r>
      <w:r>
        <w:rPr>
          <w:rFonts w:hint="eastAsia"/>
          <w:color w:val="auto"/>
          <w:highlight w:val="none"/>
          <w:u w:val="none"/>
        </w:rPr>
        <w:t>对仅有</w:t>
      </w:r>
      <w:r>
        <w:rPr>
          <w:color w:val="auto"/>
          <w:highlight w:val="none"/>
          <w:u w:val="none"/>
        </w:rPr>
        <w:t>8h平均质量浓度限值、日平均</w:t>
      </w:r>
      <w:r>
        <w:rPr>
          <w:rFonts w:hint="eastAsia"/>
          <w:color w:val="auto"/>
          <w:highlight w:val="none"/>
          <w:u w:val="none"/>
        </w:rPr>
        <w:t>质量浓度限值或年平均质量浓度限值的，可分别按</w:t>
      </w:r>
      <w:r>
        <w:rPr>
          <w:color w:val="auto"/>
          <w:highlight w:val="none"/>
          <w:u w:val="none"/>
        </w:rPr>
        <w:t>2倍、3倍、6倍折算为1h平均质量浓度限值。</w:t>
      </w:r>
    </w:p>
    <w:p w14:paraId="078D5F6D">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r>
        <w:rPr>
          <w:color w:val="auto"/>
          <w:highlight w:val="none"/>
          <w:u w:val="none"/>
        </w:rPr>
        <w:t xml:space="preserve">  </w:t>
      </w:r>
      <w:r>
        <w:rPr>
          <w:bCs/>
          <w:color w:val="auto"/>
          <w:spacing w:val="-3"/>
          <w:highlight w:val="none"/>
          <w:u w:val="none"/>
        </w:rPr>
        <w:t>估算模型参数表</w:t>
      </w:r>
    </w:p>
    <w:tbl>
      <w:tblPr>
        <w:tblStyle w:val="799"/>
        <w:tblW w:w="0" w:type="auto"/>
        <w:tblInd w:w="2"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096"/>
        <w:gridCol w:w="3096"/>
        <w:gridCol w:w="3094"/>
      </w:tblGrid>
      <w:tr w14:paraId="12E5FF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6192" w:type="dxa"/>
            <w:gridSpan w:val="2"/>
            <w:vAlign w:val="center"/>
          </w:tcPr>
          <w:p w14:paraId="55927F1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参数</w:t>
            </w:r>
          </w:p>
        </w:tc>
        <w:tc>
          <w:tcPr>
            <w:tcW w:w="3094" w:type="dxa"/>
            <w:vAlign w:val="center"/>
          </w:tcPr>
          <w:p w14:paraId="70233CF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取值</w:t>
            </w:r>
          </w:p>
        </w:tc>
      </w:tr>
      <w:tr w14:paraId="55CB4B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restart"/>
            <w:vAlign w:val="center"/>
          </w:tcPr>
          <w:p w14:paraId="1C8F9CE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城市/农村选项</w:t>
            </w:r>
          </w:p>
        </w:tc>
        <w:tc>
          <w:tcPr>
            <w:tcW w:w="3096" w:type="dxa"/>
            <w:vAlign w:val="center"/>
          </w:tcPr>
          <w:p w14:paraId="4C82C45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城市/农村</w:t>
            </w:r>
          </w:p>
        </w:tc>
        <w:tc>
          <w:tcPr>
            <w:tcW w:w="3094" w:type="dxa"/>
            <w:vAlign w:val="center"/>
          </w:tcPr>
          <w:p w14:paraId="4FB45FC8">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城市</w:t>
            </w:r>
          </w:p>
        </w:tc>
      </w:tr>
      <w:tr w14:paraId="534F61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continue"/>
            <w:vAlign w:val="center"/>
          </w:tcPr>
          <w:p w14:paraId="7317AC44">
            <w:pPr>
              <w:pStyle w:val="92"/>
              <w:rPr>
                <w:rFonts w:hint="default" w:ascii="Times New Roman" w:hAnsi="Times New Roman" w:eastAsia="宋体" w:cs="Times New Roman"/>
                <w:color w:val="auto"/>
                <w:sz w:val="21"/>
                <w:szCs w:val="21"/>
                <w:highlight w:val="none"/>
                <w:u w:val="none"/>
                <w:lang w:eastAsia="en-US"/>
              </w:rPr>
            </w:pPr>
          </w:p>
        </w:tc>
        <w:tc>
          <w:tcPr>
            <w:tcW w:w="3096" w:type="dxa"/>
            <w:vAlign w:val="center"/>
          </w:tcPr>
          <w:p w14:paraId="6E38995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人口数（城市选项时）</w:t>
            </w:r>
          </w:p>
        </w:tc>
        <w:tc>
          <w:tcPr>
            <w:tcW w:w="3094" w:type="dxa"/>
            <w:vAlign w:val="center"/>
          </w:tcPr>
          <w:p w14:paraId="0C5FD3D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136万</w:t>
            </w:r>
          </w:p>
        </w:tc>
      </w:tr>
      <w:tr w14:paraId="34CA30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92" w:type="dxa"/>
            <w:gridSpan w:val="2"/>
            <w:vAlign w:val="center"/>
          </w:tcPr>
          <w:p w14:paraId="2757CAD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最低环境温度/℃</w:t>
            </w:r>
          </w:p>
        </w:tc>
        <w:tc>
          <w:tcPr>
            <w:tcW w:w="3094" w:type="dxa"/>
            <w:vAlign w:val="center"/>
          </w:tcPr>
          <w:p w14:paraId="6E0E471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-0.6</w:t>
            </w:r>
          </w:p>
        </w:tc>
      </w:tr>
      <w:tr w14:paraId="00B913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92" w:type="dxa"/>
            <w:gridSpan w:val="2"/>
            <w:vAlign w:val="center"/>
          </w:tcPr>
          <w:p w14:paraId="4BA5DFC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最高环境温度/℃</w:t>
            </w:r>
          </w:p>
        </w:tc>
        <w:tc>
          <w:tcPr>
            <w:tcW w:w="3094" w:type="dxa"/>
            <w:vAlign w:val="center"/>
          </w:tcPr>
          <w:p w14:paraId="35866AB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39.8</w:t>
            </w:r>
          </w:p>
        </w:tc>
      </w:tr>
      <w:tr w14:paraId="055FEB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92" w:type="dxa"/>
            <w:gridSpan w:val="2"/>
            <w:vAlign w:val="center"/>
          </w:tcPr>
          <w:p w14:paraId="571E826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土地利用类型</w:t>
            </w:r>
          </w:p>
        </w:tc>
        <w:tc>
          <w:tcPr>
            <w:tcW w:w="3094" w:type="dxa"/>
            <w:vAlign w:val="center"/>
          </w:tcPr>
          <w:p w14:paraId="487D2E2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城市</w:t>
            </w:r>
          </w:p>
        </w:tc>
      </w:tr>
      <w:tr w14:paraId="16BC41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192" w:type="dxa"/>
            <w:gridSpan w:val="2"/>
            <w:vAlign w:val="center"/>
          </w:tcPr>
          <w:p w14:paraId="4BC83E1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区域湿度条件</w:t>
            </w:r>
          </w:p>
        </w:tc>
        <w:tc>
          <w:tcPr>
            <w:tcW w:w="3094" w:type="dxa"/>
            <w:vAlign w:val="center"/>
          </w:tcPr>
          <w:p w14:paraId="5C03BED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潮湿气候</w:t>
            </w:r>
          </w:p>
        </w:tc>
      </w:tr>
      <w:tr w14:paraId="4BCE9F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restart"/>
            <w:vAlign w:val="center"/>
          </w:tcPr>
          <w:p w14:paraId="4F26C2D8">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是否考虑海岸线熏烟</w:t>
            </w:r>
          </w:p>
        </w:tc>
        <w:tc>
          <w:tcPr>
            <w:tcW w:w="3096" w:type="dxa"/>
            <w:vAlign w:val="center"/>
          </w:tcPr>
          <w:p w14:paraId="1D0DC6E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地形数据分辨率</w:t>
            </w:r>
          </w:p>
        </w:tc>
        <w:tc>
          <w:tcPr>
            <w:tcW w:w="3094" w:type="dxa"/>
            <w:vAlign w:val="center"/>
          </w:tcPr>
          <w:p w14:paraId="3494CEC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90</w:t>
            </w:r>
          </w:p>
        </w:tc>
      </w:tr>
      <w:tr w14:paraId="715F0C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continue"/>
            <w:vAlign w:val="center"/>
          </w:tcPr>
          <w:p w14:paraId="50D696E7">
            <w:pPr>
              <w:pStyle w:val="92"/>
              <w:rPr>
                <w:rFonts w:hint="default" w:ascii="Times New Roman" w:hAnsi="Times New Roman" w:eastAsia="宋体" w:cs="Times New Roman"/>
                <w:color w:val="auto"/>
                <w:sz w:val="21"/>
                <w:szCs w:val="21"/>
                <w:highlight w:val="none"/>
                <w:u w:val="none"/>
                <w:lang w:eastAsia="en-US"/>
              </w:rPr>
            </w:pPr>
          </w:p>
        </w:tc>
        <w:tc>
          <w:tcPr>
            <w:tcW w:w="3096" w:type="dxa"/>
            <w:vAlign w:val="center"/>
          </w:tcPr>
          <w:p w14:paraId="536804AB">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是/否</w:t>
            </w:r>
          </w:p>
        </w:tc>
        <w:tc>
          <w:tcPr>
            <w:tcW w:w="3094" w:type="dxa"/>
            <w:vAlign w:val="center"/>
          </w:tcPr>
          <w:p w14:paraId="5887EB6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是</w:t>
            </w:r>
          </w:p>
        </w:tc>
      </w:tr>
      <w:tr w14:paraId="29D970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continue"/>
            <w:vAlign w:val="center"/>
          </w:tcPr>
          <w:p w14:paraId="666CF0BD">
            <w:pPr>
              <w:pStyle w:val="92"/>
              <w:rPr>
                <w:rFonts w:hint="default" w:ascii="Times New Roman" w:hAnsi="Times New Roman" w:eastAsia="宋体" w:cs="Times New Roman"/>
                <w:color w:val="auto"/>
                <w:sz w:val="21"/>
                <w:szCs w:val="21"/>
                <w:highlight w:val="none"/>
                <w:u w:val="none"/>
                <w:lang w:eastAsia="en-US"/>
              </w:rPr>
            </w:pPr>
          </w:p>
        </w:tc>
        <w:tc>
          <w:tcPr>
            <w:tcW w:w="3096" w:type="dxa"/>
            <w:vAlign w:val="center"/>
          </w:tcPr>
          <w:p w14:paraId="7C5C6A9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海岸线距离/m</w:t>
            </w:r>
          </w:p>
        </w:tc>
        <w:tc>
          <w:tcPr>
            <w:tcW w:w="3094" w:type="dxa"/>
            <w:vAlign w:val="center"/>
          </w:tcPr>
          <w:p w14:paraId="0071D3D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115</w:t>
            </w:r>
          </w:p>
        </w:tc>
      </w:tr>
      <w:tr w14:paraId="7A375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96" w:type="dxa"/>
            <w:vMerge w:val="continue"/>
            <w:vAlign w:val="center"/>
          </w:tcPr>
          <w:p w14:paraId="15CFAFF7">
            <w:pPr>
              <w:pStyle w:val="92"/>
              <w:rPr>
                <w:rFonts w:hint="default" w:ascii="Times New Roman" w:hAnsi="Times New Roman" w:eastAsia="宋体" w:cs="Times New Roman"/>
                <w:color w:val="auto"/>
                <w:sz w:val="21"/>
                <w:szCs w:val="21"/>
                <w:highlight w:val="none"/>
                <w:u w:val="none"/>
                <w:lang w:eastAsia="en-US"/>
              </w:rPr>
            </w:pPr>
          </w:p>
        </w:tc>
        <w:tc>
          <w:tcPr>
            <w:tcW w:w="3096" w:type="dxa"/>
            <w:vAlign w:val="center"/>
          </w:tcPr>
          <w:p w14:paraId="5B9E5BD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海岸线方向</w:t>
            </w:r>
          </w:p>
        </w:tc>
        <w:tc>
          <w:tcPr>
            <w:tcW w:w="3094" w:type="dxa"/>
            <w:vAlign w:val="center"/>
          </w:tcPr>
          <w:p w14:paraId="65369678">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-9度</w:t>
            </w:r>
          </w:p>
        </w:tc>
      </w:tr>
    </w:tbl>
    <w:p w14:paraId="389F6E74">
      <w:pPr>
        <w:pStyle w:val="981"/>
        <w:rPr>
          <w:rFonts w:hint="eastAsia"/>
          <w:color w:val="auto"/>
          <w:highlight w:val="none"/>
          <w:u w:val="none"/>
        </w:rPr>
      </w:pPr>
    </w:p>
    <w:p w14:paraId="575D217F">
      <w:pPr>
        <w:pStyle w:val="981"/>
        <w:ind w:firstLine="0" w:firstLineChars="0"/>
        <w:jc w:val="center"/>
        <w:rPr>
          <w:rFonts w:hint="eastAsia"/>
          <w:color w:val="auto"/>
          <w:highlight w:val="none"/>
          <w:u w:val="none"/>
        </w:rPr>
      </w:pPr>
    </w:p>
    <w:p w14:paraId="2ADAD84F">
      <w:pPr>
        <w:pStyle w:val="85"/>
        <w:rPr>
          <w:color w:val="auto"/>
          <w:highlight w:val="none"/>
          <w:u w:val="none"/>
        </w:rPr>
      </w:pPr>
      <w:r>
        <w:rPr>
          <w:rFonts w:hint="eastAsia"/>
          <w:color w:val="auto"/>
          <w:highlight w:val="none"/>
          <w:u w:val="none"/>
        </w:rPr>
        <w:t xml:space="preserve">图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图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r>
        <w:rPr>
          <w:color w:val="auto"/>
          <w:highlight w:val="none"/>
          <w:u w:val="none"/>
        </w:rPr>
        <w:t xml:space="preserve"> </w:t>
      </w:r>
      <w:r>
        <w:rPr>
          <w:rFonts w:eastAsia="Times New Roman"/>
          <w:color w:val="auto"/>
          <w:highlight w:val="none"/>
          <w:u w:val="none"/>
        </w:rPr>
        <w:t xml:space="preserve"> </w:t>
      </w:r>
      <w:r>
        <w:rPr>
          <w:color w:val="auto"/>
          <w:highlight w:val="none"/>
          <w:u w:val="none"/>
        </w:rPr>
        <w:t>筛选计算使用地形高程示意图</w:t>
      </w:r>
    </w:p>
    <w:p w14:paraId="28A91A01">
      <w:pPr>
        <w:pStyle w:val="981"/>
        <w:rPr>
          <w:rFonts w:hint="eastAsia"/>
          <w:color w:val="auto"/>
          <w:highlight w:val="none"/>
          <w:u w:val="none"/>
        </w:rPr>
      </w:pPr>
      <w:r>
        <w:rPr>
          <w:color w:val="auto"/>
          <w:highlight w:val="none"/>
          <w:u w:val="none"/>
        </w:rPr>
        <w:t>根据本项目废气污染源排放情况，估算大气污染物最大落地浓度</w:t>
      </w:r>
      <w:r>
        <w:rPr>
          <w:color w:val="auto"/>
          <w:spacing w:val="-46"/>
          <w:highlight w:val="none"/>
          <w:u w:val="none"/>
        </w:rPr>
        <w:t xml:space="preserve"> </w:t>
      </w:r>
      <w:r>
        <w:rPr>
          <w:rFonts w:hAnsi="Times New Roman" w:eastAsia="Times New Roman"/>
          <w:color w:val="auto"/>
          <w:highlight w:val="none"/>
          <w:u w:val="none"/>
        </w:rPr>
        <w:t>C</w:t>
      </w:r>
      <w:r>
        <w:rPr>
          <w:rFonts w:hAnsi="Times New Roman" w:eastAsiaTheme="minorEastAsia"/>
          <w:color w:val="auto"/>
          <w:position w:val="-1"/>
          <w:sz w:val="15"/>
          <w:szCs w:val="15"/>
          <w:highlight w:val="none"/>
          <w:u w:val="none"/>
        </w:rPr>
        <w:t>i</w:t>
      </w:r>
      <w:r>
        <w:rPr>
          <w:color w:val="auto"/>
          <w:highlight w:val="none"/>
          <w:u w:val="none"/>
        </w:rPr>
        <w:t>（</w:t>
      </w:r>
      <w:r>
        <w:rPr>
          <w:rFonts w:hAnsi="Times New Roman" w:eastAsia="Times New Roman"/>
          <w:color w:val="auto"/>
          <w:highlight w:val="none"/>
          <w:u w:val="none"/>
        </w:rPr>
        <w:t>mg/m</w:t>
      </w:r>
      <w:r>
        <w:rPr>
          <w:rFonts w:hAnsi="Times New Roman" w:eastAsia="Times New Roman"/>
          <w:color w:val="auto"/>
          <w:position w:val="7"/>
          <w:sz w:val="15"/>
          <w:szCs w:val="15"/>
          <w:highlight w:val="none"/>
          <w:u w:val="none"/>
        </w:rPr>
        <w:t>3</w:t>
      </w:r>
      <w:r>
        <w:rPr>
          <w:color w:val="auto"/>
          <w:highlight w:val="none"/>
          <w:u w:val="none"/>
        </w:rPr>
        <w:t>）以及</w:t>
      </w:r>
      <w:r>
        <w:rPr>
          <w:color w:val="auto"/>
          <w:spacing w:val="-1"/>
          <w:highlight w:val="none"/>
          <w:u w:val="none"/>
        </w:rPr>
        <w:t>对应的占标率</w:t>
      </w:r>
      <w:r>
        <w:rPr>
          <w:color w:val="auto"/>
          <w:spacing w:val="-56"/>
          <w:highlight w:val="none"/>
          <w:u w:val="none"/>
        </w:rPr>
        <w:t xml:space="preserve"> </w:t>
      </w:r>
      <w:r>
        <w:rPr>
          <w:rFonts w:hAnsi="Times New Roman" w:eastAsia="Times New Roman"/>
          <w:color w:val="auto"/>
          <w:spacing w:val="-1"/>
          <w:highlight w:val="none"/>
          <w:u w:val="none"/>
        </w:rPr>
        <w:t>P</w:t>
      </w:r>
      <w:r>
        <w:rPr>
          <w:rFonts w:hAnsi="Times New Roman" w:eastAsia="Times New Roman"/>
          <w:color w:val="auto"/>
          <w:spacing w:val="-1"/>
          <w:position w:val="-1"/>
          <w:sz w:val="15"/>
          <w:szCs w:val="15"/>
          <w:highlight w:val="none"/>
          <w:u w:val="none"/>
        </w:rPr>
        <w:t>i</w:t>
      </w:r>
      <w:r>
        <w:rPr>
          <w:color w:val="auto"/>
          <w:spacing w:val="-1"/>
          <w:highlight w:val="none"/>
          <w:u w:val="none"/>
        </w:rPr>
        <w:t>（</w:t>
      </w:r>
      <w:r>
        <w:rPr>
          <w:rFonts w:hAnsi="Times New Roman" w:eastAsia="Times New Roman"/>
          <w:color w:val="auto"/>
          <w:spacing w:val="-1"/>
          <w:highlight w:val="none"/>
          <w:u w:val="none"/>
        </w:rPr>
        <w:t>%</w:t>
      </w:r>
      <w:r>
        <w:rPr>
          <w:color w:val="auto"/>
          <w:spacing w:val="-1"/>
          <w:highlight w:val="none"/>
          <w:u w:val="none"/>
        </w:rPr>
        <w:t>）、达标准限值</w:t>
      </w:r>
      <w:r>
        <w:rPr>
          <w:rFonts w:hAnsi="Times New Roman" w:eastAsia="Times New Roman"/>
          <w:color w:val="auto"/>
          <w:spacing w:val="-1"/>
          <w:highlight w:val="none"/>
          <w:u w:val="none"/>
        </w:rPr>
        <w:t>10%</w:t>
      </w:r>
      <w:r>
        <w:rPr>
          <w:color w:val="auto"/>
          <w:spacing w:val="-1"/>
          <w:highlight w:val="none"/>
          <w:u w:val="none"/>
        </w:rPr>
        <w:t>时所对应的最远距离</w:t>
      </w:r>
      <w:r>
        <w:rPr>
          <w:color w:val="auto"/>
          <w:spacing w:val="-56"/>
          <w:highlight w:val="none"/>
          <w:u w:val="none"/>
        </w:rPr>
        <w:t xml:space="preserve"> </w:t>
      </w:r>
      <w:r>
        <w:rPr>
          <w:rFonts w:hAnsi="Times New Roman" w:eastAsia="Times New Roman"/>
          <w:color w:val="auto"/>
          <w:spacing w:val="-1"/>
          <w:highlight w:val="none"/>
          <w:u w:val="none"/>
        </w:rPr>
        <w:t>D</w:t>
      </w:r>
      <w:r>
        <w:rPr>
          <w:rFonts w:hAnsi="Times New Roman" w:eastAsia="Times New Roman"/>
          <w:color w:val="auto"/>
          <w:spacing w:val="-1"/>
          <w:position w:val="-1"/>
          <w:sz w:val="15"/>
          <w:szCs w:val="15"/>
          <w:highlight w:val="none"/>
          <w:u w:val="none"/>
        </w:rPr>
        <w:t>1</w:t>
      </w:r>
      <w:r>
        <w:rPr>
          <w:rFonts w:hAnsi="Times New Roman" w:eastAsia="Times New Roman"/>
          <w:color w:val="auto"/>
          <w:spacing w:val="-2"/>
          <w:position w:val="-1"/>
          <w:sz w:val="15"/>
          <w:szCs w:val="15"/>
          <w:highlight w:val="none"/>
          <w:u w:val="none"/>
        </w:rPr>
        <w:t>0%</w:t>
      </w:r>
      <w:r>
        <w:rPr>
          <w:color w:val="auto"/>
          <w:spacing w:val="-2"/>
          <w:highlight w:val="none"/>
          <w:u w:val="none"/>
        </w:rPr>
        <w:t>（</w:t>
      </w:r>
      <w:r>
        <w:rPr>
          <w:rFonts w:hAnsi="Times New Roman" w:eastAsia="Times New Roman"/>
          <w:color w:val="auto"/>
          <w:spacing w:val="-2"/>
          <w:highlight w:val="none"/>
          <w:u w:val="none"/>
        </w:rPr>
        <w:t>m</w:t>
      </w:r>
      <w:r>
        <w:rPr>
          <w:color w:val="auto"/>
          <w:spacing w:val="-14"/>
          <w:highlight w:val="none"/>
          <w:u w:val="none"/>
        </w:rPr>
        <w:t>），</w:t>
      </w:r>
      <w:r>
        <w:rPr>
          <w:color w:val="auto"/>
          <w:spacing w:val="-2"/>
          <w:highlight w:val="none"/>
          <w:u w:val="none"/>
        </w:rPr>
        <w:t>估算的预测</w:t>
      </w:r>
      <w:r>
        <w:rPr>
          <w:color w:val="auto"/>
          <w:spacing w:val="-4"/>
          <w:highlight w:val="none"/>
          <w:u w:val="none"/>
        </w:rPr>
        <w:t>结果如</w:t>
      </w:r>
      <w:r>
        <w:rPr>
          <w:color w:val="auto"/>
          <w:spacing w:val="-4"/>
          <w:highlight w:val="none"/>
          <w:u w:val="none"/>
        </w:rPr>
        <w:fldChar w:fldCharType="begin"/>
      </w:r>
      <w:r>
        <w:rPr>
          <w:color w:val="auto"/>
          <w:spacing w:val="-4"/>
          <w:highlight w:val="none"/>
          <w:u w:val="none"/>
        </w:rPr>
        <w:instrText xml:space="preserve"> REF _Ref7976 \h </w:instrText>
      </w:r>
      <w:r>
        <w:rPr>
          <w:color w:val="auto"/>
          <w:spacing w:val="-4"/>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t>3</w:t>
      </w:r>
      <w:r>
        <w:rPr>
          <w:color w:val="auto"/>
          <w:spacing w:val="-4"/>
          <w:highlight w:val="none"/>
          <w:u w:val="none"/>
        </w:rPr>
        <w:fldChar w:fldCharType="end"/>
      </w:r>
      <w:r>
        <w:rPr>
          <w:color w:val="auto"/>
          <w:spacing w:val="-4"/>
          <w:highlight w:val="none"/>
          <w:u w:val="none"/>
        </w:rPr>
        <w:t>所示。</w:t>
      </w:r>
    </w:p>
    <w:p w14:paraId="7A5760E4">
      <w:pPr>
        <w:pStyle w:val="85"/>
        <w:rPr>
          <w:color w:val="auto"/>
          <w:highlight w:val="none"/>
          <w:u w:val="none"/>
        </w:rPr>
      </w:pPr>
      <w:bookmarkStart w:id="101" w:name="_Ref797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101"/>
      <w:r>
        <w:rPr>
          <w:color w:val="auto"/>
          <w:highlight w:val="none"/>
          <w:u w:val="none"/>
        </w:rPr>
        <w:t xml:space="preserve"> 本项目筛选计算结果一览表</w:t>
      </w:r>
    </w:p>
    <w:tbl>
      <w:tblPr>
        <w:tblStyle w:val="799"/>
        <w:tblW w:w="511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18"/>
        <w:gridCol w:w="2329"/>
        <w:gridCol w:w="1143"/>
        <w:gridCol w:w="1177"/>
        <w:gridCol w:w="1179"/>
        <w:gridCol w:w="1020"/>
        <w:gridCol w:w="1022"/>
        <w:gridCol w:w="721"/>
      </w:tblGrid>
      <w:tr w14:paraId="5CB7E8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386" w:type="pct"/>
            <w:vAlign w:val="center"/>
          </w:tcPr>
          <w:p w14:paraId="052D047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编号</w:t>
            </w:r>
          </w:p>
        </w:tc>
        <w:tc>
          <w:tcPr>
            <w:tcW w:w="1251" w:type="pct"/>
            <w:vAlign w:val="center"/>
          </w:tcPr>
          <w:p w14:paraId="2B100F0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排放源名称</w:t>
            </w:r>
          </w:p>
        </w:tc>
        <w:tc>
          <w:tcPr>
            <w:tcW w:w="614" w:type="pct"/>
            <w:vAlign w:val="center"/>
          </w:tcPr>
          <w:p w14:paraId="221D97A6">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污染物名称</w:t>
            </w:r>
          </w:p>
        </w:tc>
        <w:tc>
          <w:tcPr>
            <w:tcW w:w="632" w:type="pct"/>
            <w:vAlign w:val="center"/>
          </w:tcPr>
          <w:p w14:paraId="644F8AC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C</w:t>
            </w:r>
            <w:r>
              <w:rPr>
                <w:rFonts w:hint="default" w:ascii="Times New Roman" w:hAnsi="Times New Roman" w:eastAsia="宋体" w:cs="Times New Roman"/>
                <w:color w:val="auto"/>
                <w:sz w:val="21"/>
                <w:szCs w:val="21"/>
                <w:highlight w:val="none"/>
                <w:u w:val="none"/>
                <w:vertAlign w:val="subscript"/>
                <w:lang w:eastAsia="en-US"/>
              </w:rPr>
              <w:t>i</w:t>
            </w:r>
          </w:p>
          <w:p w14:paraId="5A8CCFF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(μg/m</w:t>
            </w:r>
            <w:r>
              <w:rPr>
                <w:rFonts w:hint="default" w:ascii="Times New Roman" w:hAnsi="Times New Roman" w:eastAsia="宋体" w:cs="Times New Roman"/>
                <w:color w:val="auto"/>
                <w:sz w:val="21"/>
                <w:szCs w:val="21"/>
                <w:highlight w:val="none"/>
                <w:u w:val="none"/>
                <w:vertAlign w:val="superscript"/>
                <w:lang w:eastAsia="en-US"/>
              </w:rPr>
              <w:t>3</w:t>
            </w:r>
            <w:r>
              <w:rPr>
                <w:rFonts w:hint="default" w:ascii="Times New Roman" w:hAnsi="Times New Roman" w:eastAsia="宋体" w:cs="Times New Roman"/>
                <w:color w:val="auto"/>
                <w:sz w:val="21"/>
                <w:szCs w:val="21"/>
                <w:highlight w:val="none"/>
                <w:u w:val="none"/>
                <w:lang w:eastAsia="en-US"/>
              </w:rPr>
              <w:t>）</w:t>
            </w:r>
          </w:p>
        </w:tc>
        <w:tc>
          <w:tcPr>
            <w:tcW w:w="633" w:type="pct"/>
            <w:vAlign w:val="center"/>
          </w:tcPr>
          <w:p w14:paraId="6712E303">
            <w:pPr>
              <w:pStyle w:val="92"/>
              <w:rPr>
                <w:rFonts w:hint="default" w:ascii="Times New Roman" w:hAnsi="Times New Roman" w:eastAsia="宋体" w:cs="Times New Roman"/>
                <w:color w:val="auto"/>
                <w:sz w:val="21"/>
                <w:szCs w:val="21"/>
                <w:highlight w:val="none"/>
                <w:u w:val="none"/>
                <w:vertAlign w:val="subscript"/>
                <w:lang w:eastAsia="en-US"/>
              </w:rPr>
            </w:pPr>
            <w:r>
              <w:rPr>
                <w:rFonts w:hint="default" w:ascii="Times New Roman" w:hAnsi="Times New Roman" w:eastAsia="宋体" w:cs="Times New Roman"/>
                <w:color w:val="auto"/>
                <w:sz w:val="21"/>
                <w:szCs w:val="21"/>
                <w:highlight w:val="none"/>
                <w:u w:val="none"/>
                <w:lang w:eastAsia="en-US"/>
              </w:rPr>
              <w:t>C</w:t>
            </w:r>
            <w:r>
              <w:rPr>
                <w:rFonts w:hint="default" w:ascii="Times New Roman" w:hAnsi="Times New Roman" w:eastAsia="宋体" w:cs="Times New Roman"/>
                <w:color w:val="auto"/>
                <w:sz w:val="21"/>
                <w:szCs w:val="21"/>
                <w:highlight w:val="none"/>
                <w:u w:val="none"/>
                <w:vertAlign w:val="subscript"/>
                <w:lang w:eastAsia="en-US"/>
              </w:rPr>
              <w:t>0i</w:t>
            </w:r>
          </w:p>
          <w:p w14:paraId="5A9BD15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(μg/m</w:t>
            </w:r>
            <w:r>
              <w:rPr>
                <w:rFonts w:hint="default" w:ascii="Times New Roman" w:hAnsi="Times New Roman" w:eastAsia="宋体" w:cs="Times New Roman"/>
                <w:color w:val="auto"/>
                <w:sz w:val="21"/>
                <w:szCs w:val="21"/>
                <w:highlight w:val="none"/>
                <w:u w:val="none"/>
                <w:vertAlign w:val="superscript"/>
                <w:lang w:eastAsia="en-US"/>
              </w:rPr>
              <w:t>3</w:t>
            </w:r>
            <w:r>
              <w:rPr>
                <w:rFonts w:hint="default" w:ascii="Times New Roman" w:hAnsi="Times New Roman" w:eastAsia="宋体" w:cs="Times New Roman"/>
                <w:color w:val="auto"/>
                <w:sz w:val="21"/>
                <w:szCs w:val="21"/>
                <w:highlight w:val="none"/>
                <w:u w:val="none"/>
                <w:lang w:eastAsia="en-US"/>
              </w:rPr>
              <w:t>）</w:t>
            </w:r>
          </w:p>
        </w:tc>
        <w:tc>
          <w:tcPr>
            <w:tcW w:w="548" w:type="pct"/>
            <w:vAlign w:val="center"/>
          </w:tcPr>
          <w:p w14:paraId="26BADBF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占标率P</w:t>
            </w:r>
            <w:r>
              <w:rPr>
                <w:rFonts w:hint="default" w:ascii="Times New Roman" w:hAnsi="Times New Roman" w:eastAsia="宋体" w:cs="Times New Roman"/>
                <w:color w:val="auto"/>
                <w:sz w:val="21"/>
                <w:szCs w:val="21"/>
                <w:highlight w:val="none"/>
                <w:u w:val="none"/>
                <w:vertAlign w:val="subscript"/>
                <w:lang w:eastAsia="en-US"/>
              </w:rPr>
              <w:t>i</w:t>
            </w:r>
            <w:r>
              <w:rPr>
                <w:rFonts w:hint="default" w:ascii="Times New Roman" w:hAnsi="Times New Roman" w:eastAsia="宋体" w:cs="Times New Roman"/>
                <w:color w:val="auto"/>
                <w:sz w:val="21"/>
                <w:szCs w:val="21"/>
                <w:highlight w:val="none"/>
                <w:u w:val="none"/>
                <w:lang w:eastAsia="en-US"/>
              </w:rPr>
              <w:t>（%）</w:t>
            </w:r>
          </w:p>
        </w:tc>
        <w:tc>
          <w:tcPr>
            <w:tcW w:w="549" w:type="pct"/>
            <w:vAlign w:val="center"/>
          </w:tcPr>
          <w:p w14:paraId="6996232B">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D10%（m）</w:t>
            </w:r>
          </w:p>
        </w:tc>
        <w:tc>
          <w:tcPr>
            <w:tcW w:w="387" w:type="pct"/>
            <w:vAlign w:val="center"/>
          </w:tcPr>
          <w:p w14:paraId="3FD0138B">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评价</w:t>
            </w:r>
          </w:p>
          <w:p w14:paraId="2C8A9D0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等级</w:t>
            </w:r>
          </w:p>
        </w:tc>
      </w:tr>
      <w:tr w14:paraId="28C082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1662E623">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G2-2</w:t>
            </w:r>
          </w:p>
        </w:tc>
        <w:tc>
          <w:tcPr>
            <w:tcW w:w="1251" w:type="pct"/>
            <w:vMerge w:val="restart"/>
            <w:vAlign w:val="center"/>
          </w:tcPr>
          <w:p w14:paraId="6B239B2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TDA精制尾气</w:t>
            </w:r>
          </w:p>
        </w:tc>
        <w:tc>
          <w:tcPr>
            <w:tcW w:w="614" w:type="pct"/>
            <w:vAlign w:val="center"/>
          </w:tcPr>
          <w:p w14:paraId="50047AE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56EC492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0.97</w:t>
            </w:r>
          </w:p>
        </w:tc>
        <w:tc>
          <w:tcPr>
            <w:tcW w:w="633" w:type="pct"/>
            <w:vAlign w:val="center"/>
          </w:tcPr>
          <w:p w14:paraId="41BE8D4B">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463F5E52">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0.05</w:t>
            </w:r>
          </w:p>
        </w:tc>
        <w:tc>
          <w:tcPr>
            <w:tcW w:w="1022" w:type="dxa"/>
            <w:vAlign w:val="center"/>
          </w:tcPr>
          <w:p w14:paraId="0812551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42574360">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49E833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7C5D62C4">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25A2E999">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75E857B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TDA</w:t>
            </w:r>
          </w:p>
        </w:tc>
        <w:tc>
          <w:tcPr>
            <w:tcW w:w="632" w:type="pct"/>
            <w:vAlign w:val="center"/>
          </w:tcPr>
          <w:p w14:paraId="6D7AE09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0.32</w:t>
            </w:r>
          </w:p>
        </w:tc>
        <w:tc>
          <w:tcPr>
            <w:tcW w:w="633" w:type="pct"/>
            <w:vAlign w:val="center"/>
          </w:tcPr>
          <w:p w14:paraId="1E074000">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172F0191">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0.32</w:t>
            </w:r>
          </w:p>
        </w:tc>
        <w:tc>
          <w:tcPr>
            <w:tcW w:w="1022" w:type="dxa"/>
            <w:vAlign w:val="center"/>
          </w:tcPr>
          <w:p w14:paraId="015BC8A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392E8D1C">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6AAF43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6BFD602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G4-1</w:t>
            </w:r>
          </w:p>
        </w:tc>
        <w:tc>
          <w:tcPr>
            <w:tcW w:w="1251" w:type="pct"/>
            <w:vMerge w:val="restart"/>
            <w:vAlign w:val="center"/>
          </w:tcPr>
          <w:p w14:paraId="725DE39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ODCB储罐废气</w:t>
            </w:r>
          </w:p>
        </w:tc>
        <w:tc>
          <w:tcPr>
            <w:tcW w:w="614" w:type="pct"/>
            <w:vAlign w:val="center"/>
          </w:tcPr>
          <w:p w14:paraId="16F0558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1D0E98E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0.04</w:t>
            </w:r>
          </w:p>
        </w:tc>
        <w:tc>
          <w:tcPr>
            <w:tcW w:w="633" w:type="pct"/>
            <w:vAlign w:val="center"/>
          </w:tcPr>
          <w:p w14:paraId="540D975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2874876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0.00</w:t>
            </w:r>
          </w:p>
        </w:tc>
        <w:tc>
          <w:tcPr>
            <w:tcW w:w="1022" w:type="dxa"/>
            <w:vAlign w:val="center"/>
          </w:tcPr>
          <w:p w14:paraId="197B523D">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2B0E9D24">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36D073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60C2FB6A">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3333EF9E">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6A7C5FA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邻二氯苯</w:t>
            </w:r>
          </w:p>
        </w:tc>
        <w:tc>
          <w:tcPr>
            <w:tcW w:w="632" w:type="pct"/>
            <w:vAlign w:val="center"/>
          </w:tcPr>
          <w:p w14:paraId="406D9E8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0.04</w:t>
            </w:r>
          </w:p>
        </w:tc>
        <w:tc>
          <w:tcPr>
            <w:tcW w:w="633" w:type="pct"/>
            <w:vAlign w:val="center"/>
          </w:tcPr>
          <w:p w14:paraId="486737E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3AD83564">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w:t>
            </w:r>
            <w:r>
              <w:rPr>
                <w:rFonts w:hint="default" w:ascii="Times New Roman" w:hAnsi="Times New Roman" w:eastAsia="宋体" w:cs="Times New Roman"/>
                <w:color w:val="auto"/>
                <w:sz w:val="21"/>
                <w:szCs w:val="21"/>
                <w:highlight w:val="none"/>
                <w:u w:val="none"/>
                <w:lang w:val="en-US" w:eastAsia="zh-CN"/>
              </w:rPr>
              <w:t>3</w:t>
            </w:r>
          </w:p>
        </w:tc>
        <w:tc>
          <w:tcPr>
            <w:tcW w:w="1022" w:type="dxa"/>
            <w:vAlign w:val="center"/>
          </w:tcPr>
          <w:p w14:paraId="13851812">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73F91CBD">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5A08A6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75E509F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G5-1</w:t>
            </w:r>
          </w:p>
        </w:tc>
        <w:tc>
          <w:tcPr>
            <w:tcW w:w="1251" w:type="pct"/>
            <w:vMerge w:val="restart"/>
            <w:vAlign w:val="center"/>
          </w:tcPr>
          <w:p w14:paraId="6EBB7E1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焦油装车站废气</w:t>
            </w:r>
          </w:p>
        </w:tc>
        <w:tc>
          <w:tcPr>
            <w:tcW w:w="614" w:type="pct"/>
            <w:shd w:val="clear" w:color="auto" w:fill="auto"/>
            <w:vAlign w:val="center"/>
          </w:tcPr>
          <w:p w14:paraId="29E1889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shd w:val="clear" w:color="auto" w:fill="auto"/>
            <w:vAlign w:val="center"/>
          </w:tcPr>
          <w:p w14:paraId="4C418D93">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0.02</w:t>
            </w:r>
          </w:p>
        </w:tc>
        <w:tc>
          <w:tcPr>
            <w:tcW w:w="633" w:type="pct"/>
            <w:shd w:val="clear" w:color="auto" w:fill="auto"/>
            <w:vAlign w:val="center"/>
          </w:tcPr>
          <w:p w14:paraId="09E12B4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shd w:val="clear" w:color="auto" w:fill="auto"/>
            <w:vAlign w:val="center"/>
          </w:tcPr>
          <w:p w14:paraId="1E4510D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0.00</w:t>
            </w:r>
          </w:p>
        </w:tc>
        <w:tc>
          <w:tcPr>
            <w:tcW w:w="1022" w:type="dxa"/>
            <w:shd w:val="clear" w:color="auto" w:fill="auto"/>
            <w:vAlign w:val="center"/>
          </w:tcPr>
          <w:p w14:paraId="5AA3D2BC">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shd w:val="clear" w:color="auto" w:fill="auto"/>
            <w:vAlign w:val="center"/>
          </w:tcPr>
          <w:p w14:paraId="59D84CD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676215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18D81C2B">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35BD5B5D">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3C66CC0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PM</w:t>
            </w:r>
            <w:r>
              <w:rPr>
                <w:rFonts w:hint="default" w:ascii="Times New Roman" w:hAnsi="Times New Roman" w:eastAsia="宋体" w:cs="Times New Roman"/>
                <w:color w:val="auto"/>
                <w:kern w:val="0"/>
                <w:sz w:val="21"/>
                <w:szCs w:val="21"/>
                <w:highlight w:val="none"/>
                <w:u w:val="none"/>
                <w:vertAlign w:val="subscript"/>
                <w:lang w:eastAsia="en-US"/>
              </w:rPr>
              <w:t>10</w:t>
            </w:r>
          </w:p>
        </w:tc>
        <w:tc>
          <w:tcPr>
            <w:tcW w:w="632" w:type="pct"/>
            <w:vAlign w:val="center"/>
          </w:tcPr>
          <w:p w14:paraId="4EAE5986">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0.013</w:t>
            </w:r>
          </w:p>
        </w:tc>
        <w:tc>
          <w:tcPr>
            <w:tcW w:w="633" w:type="pct"/>
            <w:vAlign w:val="center"/>
          </w:tcPr>
          <w:p w14:paraId="11AD44D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150</w:t>
            </w:r>
          </w:p>
        </w:tc>
        <w:tc>
          <w:tcPr>
            <w:tcW w:w="1020" w:type="dxa"/>
            <w:vAlign w:val="center"/>
          </w:tcPr>
          <w:p w14:paraId="3F37D4A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0.00</w:t>
            </w:r>
          </w:p>
        </w:tc>
        <w:tc>
          <w:tcPr>
            <w:tcW w:w="1022" w:type="dxa"/>
            <w:vAlign w:val="center"/>
          </w:tcPr>
          <w:p w14:paraId="5BE63355">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294C18D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464D49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38EFD773">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64293303">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1B96EAE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PM</w:t>
            </w:r>
            <w:r>
              <w:rPr>
                <w:rFonts w:hint="default" w:ascii="Times New Roman" w:hAnsi="Times New Roman" w:eastAsia="宋体" w:cs="Times New Roman"/>
                <w:color w:val="auto"/>
                <w:kern w:val="0"/>
                <w:sz w:val="21"/>
                <w:szCs w:val="21"/>
                <w:highlight w:val="none"/>
                <w:u w:val="none"/>
                <w:vertAlign w:val="subscript"/>
                <w:lang w:eastAsia="en-US"/>
              </w:rPr>
              <w:t>2.5</w:t>
            </w:r>
          </w:p>
        </w:tc>
        <w:tc>
          <w:tcPr>
            <w:tcW w:w="632" w:type="pct"/>
            <w:vAlign w:val="center"/>
          </w:tcPr>
          <w:p w14:paraId="07BF9B6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0.008</w:t>
            </w:r>
          </w:p>
        </w:tc>
        <w:tc>
          <w:tcPr>
            <w:tcW w:w="633" w:type="pct"/>
            <w:vAlign w:val="center"/>
          </w:tcPr>
          <w:p w14:paraId="5CBAA52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75</w:t>
            </w:r>
          </w:p>
        </w:tc>
        <w:tc>
          <w:tcPr>
            <w:tcW w:w="1020" w:type="dxa"/>
            <w:vAlign w:val="center"/>
          </w:tcPr>
          <w:p w14:paraId="7F5F7D7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0.00</w:t>
            </w:r>
          </w:p>
        </w:tc>
        <w:tc>
          <w:tcPr>
            <w:tcW w:w="1022" w:type="dxa"/>
            <w:vAlign w:val="center"/>
          </w:tcPr>
          <w:p w14:paraId="0D5E5C4A">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78072CC4">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11DF35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1E0F354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M1</w:t>
            </w:r>
          </w:p>
        </w:tc>
        <w:tc>
          <w:tcPr>
            <w:tcW w:w="1251" w:type="pct"/>
            <w:vMerge w:val="restart"/>
            <w:vAlign w:val="center"/>
          </w:tcPr>
          <w:p w14:paraId="487AD12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硝化单元</w:t>
            </w:r>
          </w:p>
        </w:tc>
        <w:tc>
          <w:tcPr>
            <w:tcW w:w="614" w:type="pct"/>
            <w:vAlign w:val="center"/>
          </w:tcPr>
          <w:p w14:paraId="2AB7D85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甲苯</w:t>
            </w:r>
          </w:p>
        </w:tc>
        <w:tc>
          <w:tcPr>
            <w:tcW w:w="632" w:type="pct"/>
            <w:vAlign w:val="center"/>
          </w:tcPr>
          <w:p w14:paraId="69F4048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10.15</w:t>
            </w:r>
          </w:p>
        </w:tc>
        <w:tc>
          <w:tcPr>
            <w:tcW w:w="633" w:type="pct"/>
            <w:vAlign w:val="center"/>
          </w:tcPr>
          <w:p w14:paraId="515FB23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w:t>
            </w:r>
          </w:p>
        </w:tc>
        <w:tc>
          <w:tcPr>
            <w:tcW w:w="1020" w:type="dxa"/>
            <w:vAlign w:val="center"/>
          </w:tcPr>
          <w:p w14:paraId="5F44169B">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5.08</w:t>
            </w:r>
          </w:p>
        </w:tc>
        <w:tc>
          <w:tcPr>
            <w:tcW w:w="1022" w:type="dxa"/>
            <w:vAlign w:val="center"/>
          </w:tcPr>
          <w:p w14:paraId="52242E78">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51179C9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二级</w:t>
            </w:r>
          </w:p>
        </w:tc>
      </w:tr>
      <w:tr w14:paraId="331517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3B0FB2FD">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64526B33">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48E774D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DNT</w:t>
            </w:r>
          </w:p>
        </w:tc>
        <w:tc>
          <w:tcPr>
            <w:tcW w:w="632" w:type="pct"/>
            <w:vAlign w:val="center"/>
          </w:tcPr>
          <w:p w14:paraId="7279685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20.77</w:t>
            </w:r>
          </w:p>
        </w:tc>
        <w:tc>
          <w:tcPr>
            <w:tcW w:w="633" w:type="pct"/>
            <w:vAlign w:val="center"/>
          </w:tcPr>
          <w:p w14:paraId="36A4B97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w:t>
            </w:r>
          </w:p>
        </w:tc>
        <w:tc>
          <w:tcPr>
            <w:tcW w:w="1020" w:type="dxa"/>
            <w:vAlign w:val="center"/>
          </w:tcPr>
          <w:p w14:paraId="686B8E0D">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207.67</w:t>
            </w:r>
          </w:p>
        </w:tc>
        <w:tc>
          <w:tcPr>
            <w:tcW w:w="1022" w:type="dxa"/>
            <w:vAlign w:val="center"/>
          </w:tcPr>
          <w:p w14:paraId="01356CAE">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1400</w:t>
            </w:r>
          </w:p>
        </w:tc>
        <w:tc>
          <w:tcPr>
            <w:tcW w:w="721" w:type="dxa"/>
            <w:vAlign w:val="center"/>
          </w:tcPr>
          <w:p w14:paraId="79970E8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13A49D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4B26FF53">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321DF529">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4252EFD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02C83C6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54.07</w:t>
            </w:r>
          </w:p>
        </w:tc>
        <w:tc>
          <w:tcPr>
            <w:tcW w:w="633" w:type="pct"/>
            <w:vAlign w:val="center"/>
          </w:tcPr>
          <w:p w14:paraId="56C172A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5658AF4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2.7</w:t>
            </w:r>
            <w:r>
              <w:rPr>
                <w:rFonts w:hint="default" w:ascii="Times New Roman" w:hAnsi="Times New Roman" w:eastAsia="宋体" w:cs="Times New Roman"/>
                <w:color w:val="auto"/>
                <w:sz w:val="21"/>
                <w:szCs w:val="21"/>
                <w:highlight w:val="none"/>
                <w:u w:val="none"/>
                <w:lang w:val="en-US" w:eastAsia="zh-CN"/>
              </w:rPr>
              <w:t>1</w:t>
            </w:r>
          </w:p>
        </w:tc>
        <w:tc>
          <w:tcPr>
            <w:tcW w:w="1022" w:type="dxa"/>
            <w:vAlign w:val="center"/>
          </w:tcPr>
          <w:p w14:paraId="234977F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548BD62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二级</w:t>
            </w:r>
          </w:p>
        </w:tc>
      </w:tr>
      <w:tr w14:paraId="4E65E9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2D33266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M2</w:t>
            </w:r>
          </w:p>
        </w:tc>
        <w:tc>
          <w:tcPr>
            <w:tcW w:w="1251" w:type="pct"/>
            <w:vMerge w:val="restart"/>
            <w:vAlign w:val="center"/>
          </w:tcPr>
          <w:p w14:paraId="1E5432C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氢化单元</w:t>
            </w:r>
          </w:p>
        </w:tc>
        <w:tc>
          <w:tcPr>
            <w:tcW w:w="614" w:type="pct"/>
            <w:vAlign w:val="center"/>
          </w:tcPr>
          <w:p w14:paraId="1F2DBAF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386A5D10">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204.12</w:t>
            </w:r>
          </w:p>
        </w:tc>
        <w:tc>
          <w:tcPr>
            <w:tcW w:w="633" w:type="pct"/>
            <w:vAlign w:val="center"/>
          </w:tcPr>
          <w:p w14:paraId="638105A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67C2C583">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10.21</w:t>
            </w:r>
          </w:p>
        </w:tc>
        <w:tc>
          <w:tcPr>
            <w:tcW w:w="1022" w:type="dxa"/>
            <w:vAlign w:val="center"/>
          </w:tcPr>
          <w:p w14:paraId="3620175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75</w:t>
            </w:r>
          </w:p>
        </w:tc>
        <w:tc>
          <w:tcPr>
            <w:tcW w:w="721" w:type="dxa"/>
            <w:vAlign w:val="center"/>
          </w:tcPr>
          <w:p w14:paraId="082D56C1">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211AC9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36B3275A">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11F98A61">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2D3E672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TDA</w:t>
            </w:r>
          </w:p>
        </w:tc>
        <w:tc>
          <w:tcPr>
            <w:tcW w:w="632" w:type="pct"/>
            <w:vAlign w:val="center"/>
          </w:tcPr>
          <w:p w14:paraId="4E09358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107.48</w:t>
            </w:r>
          </w:p>
        </w:tc>
        <w:tc>
          <w:tcPr>
            <w:tcW w:w="633" w:type="pct"/>
            <w:vAlign w:val="center"/>
          </w:tcPr>
          <w:p w14:paraId="5257C33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0BE8741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107.48</w:t>
            </w:r>
          </w:p>
        </w:tc>
        <w:tc>
          <w:tcPr>
            <w:tcW w:w="1022" w:type="dxa"/>
            <w:vAlign w:val="center"/>
          </w:tcPr>
          <w:p w14:paraId="6FBA53CB">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775</w:t>
            </w:r>
          </w:p>
        </w:tc>
        <w:tc>
          <w:tcPr>
            <w:tcW w:w="721" w:type="dxa"/>
            <w:vAlign w:val="center"/>
          </w:tcPr>
          <w:p w14:paraId="5A2D90D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5A132A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1BB69F9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M3</w:t>
            </w:r>
          </w:p>
        </w:tc>
        <w:tc>
          <w:tcPr>
            <w:tcW w:w="1251" w:type="pct"/>
            <w:vMerge w:val="restart"/>
            <w:vAlign w:val="center"/>
          </w:tcPr>
          <w:p w14:paraId="4815968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光化单元</w:t>
            </w:r>
          </w:p>
        </w:tc>
        <w:tc>
          <w:tcPr>
            <w:tcW w:w="614" w:type="pct"/>
            <w:vAlign w:val="center"/>
          </w:tcPr>
          <w:p w14:paraId="7F3DCDF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氯气</w:t>
            </w:r>
          </w:p>
        </w:tc>
        <w:tc>
          <w:tcPr>
            <w:tcW w:w="632" w:type="pct"/>
            <w:vAlign w:val="center"/>
          </w:tcPr>
          <w:p w14:paraId="0112F9F6">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63.70</w:t>
            </w:r>
          </w:p>
        </w:tc>
        <w:tc>
          <w:tcPr>
            <w:tcW w:w="633" w:type="pct"/>
            <w:vAlign w:val="center"/>
          </w:tcPr>
          <w:p w14:paraId="500C10A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79E6EE84">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63.70</w:t>
            </w:r>
          </w:p>
        </w:tc>
        <w:tc>
          <w:tcPr>
            <w:tcW w:w="1022" w:type="dxa"/>
            <w:vAlign w:val="center"/>
          </w:tcPr>
          <w:p w14:paraId="2B593730">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550</w:t>
            </w:r>
          </w:p>
        </w:tc>
        <w:tc>
          <w:tcPr>
            <w:tcW w:w="721" w:type="dxa"/>
            <w:vAlign w:val="center"/>
          </w:tcPr>
          <w:p w14:paraId="18A70262">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0C207E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2C46634F">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235C8872">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2FEB407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氯化氢</w:t>
            </w:r>
          </w:p>
        </w:tc>
        <w:tc>
          <w:tcPr>
            <w:tcW w:w="632" w:type="pct"/>
            <w:vAlign w:val="center"/>
          </w:tcPr>
          <w:p w14:paraId="6F15519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59.68</w:t>
            </w:r>
          </w:p>
        </w:tc>
        <w:tc>
          <w:tcPr>
            <w:tcW w:w="633" w:type="pct"/>
            <w:vAlign w:val="center"/>
          </w:tcPr>
          <w:p w14:paraId="1FE84D26">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50</w:t>
            </w:r>
          </w:p>
        </w:tc>
        <w:tc>
          <w:tcPr>
            <w:tcW w:w="1020" w:type="dxa"/>
            <w:vAlign w:val="center"/>
          </w:tcPr>
          <w:p w14:paraId="2DE47A4E">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w:t>
            </w:r>
            <w:r>
              <w:rPr>
                <w:rFonts w:hint="default" w:ascii="Times New Roman" w:hAnsi="Times New Roman" w:eastAsia="宋体" w:cs="Times New Roman"/>
                <w:color w:val="auto"/>
                <w:sz w:val="21"/>
                <w:szCs w:val="21"/>
                <w:highlight w:val="none"/>
                <w:u w:val="none"/>
                <w:lang w:val="en-US" w:eastAsia="zh-CN"/>
              </w:rPr>
              <w:t>30.62</w:t>
            </w:r>
          </w:p>
        </w:tc>
        <w:tc>
          <w:tcPr>
            <w:tcW w:w="1022" w:type="dxa"/>
            <w:vAlign w:val="center"/>
          </w:tcPr>
          <w:p w14:paraId="3134D17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9</w:t>
            </w:r>
            <w:r>
              <w:rPr>
                <w:rFonts w:hint="default"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lang w:val="en-US" w:eastAsia="en-US"/>
              </w:rPr>
              <w:t>5</w:t>
            </w:r>
          </w:p>
        </w:tc>
        <w:tc>
          <w:tcPr>
            <w:tcW w:w="721" w:type="dxa"/>
            <w:vAlign w:val="center"/>
          </w:tcPr>
          <w:p w14:paraId="52546E83">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638550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55AEE37C">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3159DCAC">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5F73770B">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邻二氯苯</w:t>
            </w:r>
          </w:p>
        </w:tc>
        <w:tc>
          <w:tcPr>
            <w:tcW w:w="632" w:type="pct"/>
            <w:vAlign w:val="center"/>
          </w:tcPr>
          <w:p w14:paraId="6BAAC28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37.58</w:t>
            </w:r>
          </w:p>
        </w:tc>
        <w:tc>
          <w:tcPr>
            <w:tcW w:w="633" w:type="pct"/>
            <w:vAlign w:val="center"/>
          </w:tcPr>
          <w:p w14:paraId="10F68819">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5CCFD7B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37.58</w:t>
            </w:r>
          </w:p>
        </w:tc>
        <w:tc>
          <w:tcPr>
            <w:tcW w:w="1022" w:type="dxa"/>
            <w:vAlign w:val="center"/>
          </w:tcPr>
          <w:p w14:paraId="2C933689">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375</w:t>
            </w:r>
          </w:p>
        </w:tc>
        <w:tc>
          <w:tcPr>
            <w:tcW w:w="721" w:type="dxa"/>
            <w:vAlign w:val="center"/>
          </w:tcPr>
          <w:p w14:paraId="26A0024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5FBCBA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0C754E6D">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0B4E60F3">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58EA0A57">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光气</w:t>
            </w:r>
          </w:p>
        </w:tc>
        <w:tc>
          <w:tcPr>
            <w:tcW w:w="632" w:type="pct"/>
            <w:vAlign w:val="center"/>
          </w:tcPr>
          <w:p w14:paraId="259B910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4.23</w:t>
            </w:r>
          </w:p>
        </w:tc>
        <w:tc>
          <w:tcPr>
            <w:tcW w:w="633" w:type="pct"/>
            <w:vAlign w:val="center"/>
          </w:tcPr>
          <w:p w14:paraId="5C18C40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4</w:t>
            </w:r>
          </w:p>
        </w:tc>
        <w:tc>
          <w:tcPr>
            <w:tcW w:w="1020" w:type="dxa"/>
            <w:vAlign w:val="center"/>
          </w:tcPr>
          <w:p w14:paraId="3D259A6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105.69</w:t>
            </w:r>
          </w:p>
        </w:tc>
        <w:tc>
          <w:tcPr>
            <w:tcW w:w="1022" w:type="dxa"/>
            <w:vAlign w:val="center"/>
          </w:tcPr>
          <w:p w14:paraId="66A27641">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825</w:t>
            </w:r>
          </w:p>
        </w:tc>
        <w:tc>
          <w:tcPr>
            <w:tcW w:w="721" w:type="dxa"/>
            <w:vAlign w:val="center"/>
          </w:tcPr>
          <w:p w14:paraId="019F84F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1B4AE4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663A0852">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5B5E0C4D">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420ACFFF">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TDA</w:t>
            </w:r>
          </w:p>
        </w:tc>
        <w:tc>
          <w:tcPr>
            <w:tcW w:w="632" w:type="pct"/>
            <w:vAlign w:val="center"/>
          </w:tcPr>
          <w:p w14:paraId="33DA444D">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2.09</w:t>
            </w:r>
          </w:p>
        </w:tc>
        <w:tc>
          <w:tcPr>
            <w:tcW w:w="633" w:type="pct"/>
            <w:vAlign w:val="center"/>
          </w:tcPr>
          <w:p w14:paraId="577B0F9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2711267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2.09</w:t>
            </w:r>
          </w:p>
        </w:tc>
        <w:tc>
          <w:tcPr>
            <w:tcW w:w="1022" w:type="dxa"/>
            <w:vAlign w:val="center"/>
          </w:tcPr>
          <w:p w14:paraId="57FD4F3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2BD4BC5C">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二级</w:t>
            </w:r>
          </w:p>
        </w:tc>
      </w:tr>
      <w:tr w14:paraId="67D9F3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233D00DC">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7656CA91">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7AA603E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4DF180A0">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74.20</w:t>
            </w:r>
          </w:p>
        </w:tc>
        <w:tc>
          <w:tcPr>
            <w:tcW w:w="633" w:type="pct"/>
            <w:vAlign w:val="center"/>
          </w:tcPr>
          <w:p w14:paraId="44E058C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6DB9F41F">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3.71</w:t>
            </w:r>
          </w:p>
        </w:tc>
        <w:tc>
          <w:tcPr>
            <w:tcW w:w="1022" w:type="dxa"/>
            <w:vAlign w:val="center"/>
          </w:tcPr>
          <w:p w14:paraId="11D74DD0">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0BD0E47B">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二级</w:t>
            </w:r>
          </w:p>
        </w:tc>
      </w:tr>
      <w:tr w14:paraId="4CE56C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restart"/>
            <w:vAlign w:val="center"/>
          </w:tcPr>
          <w:p w14:paraId="2F6C389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M4</w:t>
            </w:r>
          </w:p>
        </w:tc>
        <w:tc>
          <w:tcPr>
            <w:tcW w:w="1251" w:type="pct"/>
            <w:vMerge w:val="restart"/>
            <w:vAlign w:val="center"/>
          </w:tcPr>
          <w:p w14:paraId="65C34574">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kern w:val="0"/>
                <w:sz w:val="21"/>
                <w:szCs w:val="21"/>
                <w:highlight w:val="none"/>
                <w:u w:val="none"/>
                <w:lang w:eastAsia="en-US"/>
              </w:rPr>
              <w:t>储罐区</w:t>
            </w:r>
          </w:p>
        </w:tc>
        <w:tc>
          <w:tcPr>
            <w:tcW w:w="614" w:type="pct"/>
            <w:vAlign w:val="center"/>
          </w:tcPr>
          <w:p w14:paraId="0F4C5C1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DNT</w:t>
            </w:r>
          </w:p>
        </w:tc>
        <w:tc>
          <w:tcPr>
            <w:tcW w:w="632" w:type="pct"/>
            <w:vAlign w:val="center"/>
          </w:tcPr>
          <w:p w14:paraId="7F76B0BA">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7.71</w:t>
            </w:r>
          </w:p>
        </w:tc>
        <w:tc>
          <w:tcPr>
            <w:tcW w:w="633" w:type="pct"/>
            <w:vAlign w:val="center"/>
          </w:tcPr>
          <w:p w14:paraId="0766DADE">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w:t>
            </w:r>
          </w:p>
        </w:tc>
        <w:tc>
          <w:tcPr>
            <w:tcW w:w="1020" w:type="dxa"/>
            <w:vAlign w:val="center"/>
          </w:tcPr>
          <w:p w14:paraId="0FE71D8A">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7</w:t>
            </w:r>
            <w:r>
              <w:rPr>
                <w:rFonts w:hint="default" w:ascii="Times New Roman" w:hAnsi="Times New Roman" w:eastAsia="宋体" w:cs="Times New Roman"/>
                <w:color w:val="auto"/>
                <w:sz w:val="21"/>
                <w:szCs w:val="21"/>
                <w:highlight w:val="none"/>
                <w:u w:val="none"/>
                <w:lang w:val="en-US" w:eastAsia="zh-CN"/>
              </w:rPr>
              <w:t>5.89</w:t>
            </w:r>
          </w:p>
        </w:tc>
        <w:tc>
          <w:tcPr>
            <w:tcW w:w="1022" w:type="dxa"/>
            <w:vAlign w:val="center"/>
          </w:tcPr>
          <w:p w14:paraId="3064F506">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200</w:t>
            </w:r>
          </w:p>
        </w:tc>
        <w:tc>
          <w:tcPr>
            <w:tcW w:w="721" w:type="dxa"/>
            <w:vAlign w:val="center"/>
          </w:tcPr>
          <w:p w14:paraId="2C18C25E">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一级</w:t>
            </w:r>
          </w:p>
        </w:tc>
      </w:tr>
      <w:tr w14:paraId="68553F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18733CD6">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17F18C5A">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28A20B6C">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NMHC</w:t>
            </w:r>
          </w:p>
        </w:tc>
        <w:tc>
          <w:tcPr>
            <w:tcW w:w="632" w:type="pct"/>
            <w:vAlign w:val="center"/>
          </w:tcPr>
          <w:p w14:paraId="6B9D06F2">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23.41</w:t>
            </w:r>
          </w:p>
        </w:tc>
        <w:tc>
          <w:tcPr>
            <w:tcW w:w="633" w:type="pct"/>
            <w:vAlign w:val="center"/>
          </w:tcPr>
          <w:p w14:paraId="02207485">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2000</w:t>
            </w:r>
          </w:p>
        </w:tc>
        <w:tc>
          <w:tcPr>
            <w:tcW w:w="1020" w:type="dxa"/>
            <w:vAlign w:val="center"/>
          </w:tcPr>
          <w:p w14:paraId="3222B682">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1.1</w:t>
            </w:r>
            <w:r>
              <w:rPr>
                <w:rFonts w:hint="default" w:ascii="Times New Roman" w:hAnsi="Times New Roman" w:eastAsia="宋体" w:cs="Times New Roman"/>
                <w:color w:val="auto"/>
                <w:sz w:val="21"/>
                <w:szCs w:val="21"/>
                <w:highlight w:val="none"/>
                <w:u w:val="none"/>
                <w:lang w:val="en-US" w:eastAsia="zh-CN"/>
              </w:rPr>
              <w:t>5</w:t>
            </w:r>
          </w:p>
        </w:tc>
        <w:tc>
          <w:tcPr>
            <w:tcW w:w="1022" w:type="dxa"/>
            <w:vAlign w:val="center"/>
          </w:tcPr>
          <w:p w14:paraId="78C068CD">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08816D92">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三级</w:t>
            </w:r>
          </w:p>
        </w:tc>
      </w:tr>
      <w:tr w14:paraId="4C77A0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86" w:type="pct"/>
            <w:vMerge w:val="continue"/>
            <w:vAlign w:val="center"/>
          </w:tcPr>
          <w:p w14:paraId="2971D397">
            <w:pPr>
              <w:pStyle w:val="92"/>
              <w:rPr>
                <w:rFonts w:hint="default" w:ascii="Times New Roman" w:hAnsi="Times New Roman" w:eastAsia="宋体" w:cs="Times New Roman"/>
                <w:color w:val="auto"/>
                <w:sz w:val="21"/>
                <w:szCs w:val="21"/>
                <w:highlight w:val="none"/>
                <w:u w:val="none"/>
                <w:lang w:eastAsia="en-US"/>
              </w:rPr>
            </w:pPr>
          </w:p>
        </w:tc>
        <w:tc>
          <w:tcPr>
            <w:tcW w:w="1251" w:type="pct"/>
            <w:vMerge w:val="continue"/>
            <w:vAlign w:val="center"/>
          </w:tcPr>
          <w:p w14:paraId="0ECF0347">
            <w:pPr>
              <w:pStyle w:val="92"/>
              <w:rPr>
                <w:rFonts w:hint="default" w:ascii="Times New Roman" w:hAnsi="Times New Roman" w:eastAsia="宋体" w:cs="Times New Roman"/>
                <w:color w:val="auto"/>
                <w:sz w:val="21"/>
                <w:szCs w:val="21"/>
                <w:highlight w:val="none"/>
                <w:u w:val="none"/>
                <w:lang w:eastAsia="en-US"/>
              </w:rPr>
            </w:pPr>
          </w:p>
        </w:tc>
        <w:tc>
          <w:tcPr>
            <w:tcW w:w="614" w:type="pct"/>
            <w:vAlign w:val="center"/>
          </w:tcPr>
          <w:p w14:paraId="36BD6FD8">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邻二氯苯</w:t>
            </w:r>
          </w:p>
        </w:tc>
        <w:tc>
          <w:tcPr>
            <w:tcW w:w="632" w:type="pct"/>
            <w:vAlign w:val="center"/>
          </w:tcPr>
          <w:p w14:paraId="1C787C06">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9.16</w:t>
            </w:r>
          </w:p>
        </w:tc>
        <w:tc>
          <w:tcPr>
            <w:tcW w:w="633" w:type="pct"/>
            <w:vAlign w:val="center"/>
          </w:tcPr>
          <w:p w14:paraId="553AC1C1">
            <w:pPr>
              <w:pStyle w:val="92"/>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eastAsia="en-US"/>
              </w:rPr>
              <w:t>100</w:t>
            </w:r>
          </w:p>
        </w:tc>
        <w:tc>
          <w:tcPr>
            <w:tcW w:w="1020" w:type="dxa"/>
            <w:vAlign w:val="center"/>
          </w:tcPr>
          <w:p w14:paraId="4A27DF35">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9.</w:t>
            </w:r>
            <w:r>
              <w:rPr>
                <w:rFonts w:hint="default" w:ascii="Times New Roman" w:hAnsi="Times New Roman" w:eastAsia="宋体" w:cs="Times New Roman"/>
                <w:color w:val="auto"/>
                <w:sz w:val="21"/>
                <w:szCs w:val="21"/>
                <w:highlight w:val="none"/>
                <w:u w:val="none"/>
                <w:lang w:val="en-US" w:eastAsia="zh-CN"/>
              </w:rPr>
              <w:t>01</w:t>
            </w:r>
          </w:p>
        </w:tc>
        <w:tc>
          <w:tcPr>
            <w:tcW w:w="1022" w:type="dxa"/>
            <w:vAlign w:val="center"/>
          </w:tcPr>
          <w:p w14:paraId="76AAC2C7">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0</w:t>
            </w:r>
          </w:p>
        </w:tc>
        <w:tc>
          <w:tcPr>
            <w:tcW w:w="721" w:type="dxa"/>
            <w:vAlign w:val="center"/>
          </w:tcPr>
          <w:p w14:paraId="0FFF33EC">
            <w:pPr>
              <w:spacing w:line="240" w:lineRule="auto"/>
              <w:ind w:firstLine="0" w:firstLineChars="0"/>
              <w:jc w:val="center"/>
              <w:rPr>
                <w:rFonts w:hint="default" w:ascii="Times New Roman" w:hAnsi="Times New Roman" w:eastAsia="宋体" w:cs="Times New Roman"/>
                <w:color w:val="auto"/>
                <w:sz w:val="21"/>
                <w:szCs w:val="21"/>
                <w:highlight w:val="none"/>
                <w:u w:val="none"/>
                <w:lang w:eastAsia="en-US"/>
              </w:rPr>
            </w:pPr>
            <w:r>
              <w:rPr>
                <w:rFonts w:hint="default" w:ascii="Times New Roman" w:hAnsi="Times New Roman" w:eastAsia="宋体" w:cs="Times New Roman"/>
                <w:color w:val="auto"/>
                <w:sz w:val="21"/>
                <w:szCs w:val="21"/>
                <w:highlight w:val="none"/>
                <w:u w:val="none"/>
                <w:lang w:val="en-US" w:eastAsia="en-US"/>
              </w:rPr>
              <w:t>二级</w:t>
            </w:r>
          </w:p>
        </w:tc>
      </w:tr>
    </w:tbl>
    <w:p w14:paraId="244D9353">
      <w:pPr>
        <w:pStyle w:val="981"/>
        <w:rPr>
          <w:rFonts w:hint="eastAsia"/>
          <w:color w:val="auto"/>
          <w:highlight w:val="none"/>
          <w:u w:val="none"/>
        </w:rPr>
      </w:pPr>
      <w:r>
        <w:rPr>
          <w:color w:val="auto"/>
          <w:highlight w:val="none"/>
          <w:u w:val="none"/>
        </w:rPr>
        <w:t>项目排放的各废气污染源中，筛选计算各污染源中占标率最大源为硝化单元无组织</w:t>
      </w:r>
      <w:r>
        <w:rPr>
          <w:color w:val="auto"/>
          <w:position w:val="2"/>
          <w:highlight w:val="none"/>
          <w:u w:val="none"/>
        </w:rPr>
        <w:t>排放的</w:t>
      </w:r>
      <w:r>
        <w:rPr>
          <w:rFonts w:eastAsia="Times New Roman"/>
          <w:color w:val="auto"/>
          <w:position w:val="2"/>
          <w:highlight w:val="none"/>
          <w:u w:val="none"/>
        </w:rPr>
        <w:t>DNT</w:t>
      </w:r>
      <w:r>
        <w:rPr>
          <w:color w:val="auto"/>
          <w:position w:val="2"/>
          <w:highlight w:val="none"/>
          <w:u w:val="none"/>
        </w:rPr>
        <w:t>，其对应</w:t>
      </w:r>
      <w:r>
        <w:rPr>
          <w:rFonts w:eastAsia="Times New Roman"/>
          <w:color w:val="auto"/>
          <w:position w:val="2"/>
          <w:highlight w:val="none"/>
          <w:u w:val="none"/>
        </w:rPr>
        <w:t>P</w:t>
      </w:r>
      <w:r>
        <w:rPr>
          <w:rFonts w:eastAsia="Times New Roman"/>
          <w:color w:val="auto"/>
          <w:position w:val="1"/>
          <w:sz w:val="15"/>
          <w:szCs w:val="15"/>
          <w:highlight w:val="none"/>
          <w:u w:val="none"/>
        </w:rPr>
        <w:t>max</w:t>
      </w:r>
      <w:r>
        <w:rPr>
          <w:rFonts w:eastAsia="Times New Roman"/>
          <w:color w:val="auto"/>
          <w:position w:val="2"/>
          <w:highlight w:val="none"/>
          <w:u w:val="none"/>
        </w:rPr>
        <w:t>=</w:t>
      </w:r>
      <w:r>
        <w:rPr>
          <w:rFonts w:hint="eastAsia"/>
          <w:color w:val="auto"/>
          <w:position w:val="2"/>
          <w:highlight w:val="none"/>
          <w:u w:val="none"/>
          <w:lang w:val="en-US"/>
        </w:rPr>
        <w:t>207.67</w:t>
      </w:r>
      <w:r>
        <w:rPr>
          <w:rFonts w:eastAsia="Times New Roman"/>
          <w:color w:val="auto"/>
          <w:position w:val="2"/>
          <w:highlight w:val="none"/>
          <w:u w:val="none"/>
        </w:rPr>
        <w:t>%&gt;10%</w:t>
      </w:r>
      <w:r>
        <w:rPr>
          <w:color w:val="auto"/>
          <w:spacing w:val="-3"/>
          <w:position w:val="2"/>
          <w:highlight w:val="none"/>
          <w:u w:val="none"/>
        </w:rPr>
        <w:t>，由此判定评价等级为一级。</w:t>
      </w:r>
    </w:p>
    <w:p w14:paraId="4F199977">
      <w:pPr>
        <w:pStyle w:val="981"/>
        <w:rPr>
          <w:rFonts w:hint="eastAsia"/>
          <w:color w:val="auto"/>
          <w:highlight w:val="none"/>
          <w:u w:val="none"/>
        </w:rPr>
      </w:pPr>
      <w:r>
        <w:rPr>
          <w:color w:val="auto"/>
          <w:highlight w:val="none"/>
          <w:u w:val="none"/>
        </w:rPr>
        <w:t>（</w:t>
      </w:r>
      <w:r>
        <w:rPr>
          <w:rFonts w:eastAsia="Times New Roman"/>
          <w:color w:val="auto"/>
          <w:highlight w:val="none"/>
          <w:u w:val="none"/>
        </w:rPr>
        <w:t>2</w:t>
      </w:r>
      <w:r>
        <w:rPr>
          <w:color w:val="auto"/>
          <w:highlight w:val="none"/>
          <w:u w:val="none"/>
        </w:rPr>
        <w:t>）评价范围</w:t>
      </w:r>
    </w:p>
    <w:p w14:paraId="24213A8E">
      <w:pPr>
        <w:pStyle w:val="981"/>
        <w:rPr>
          <w:rFonts w:hint="eastAsia"/>
          <w:color w:val="auto"/>
          <w:highlight w:val="none"/>
          <w:u w:val="none"/>
        </w:rPr>
      </w:pPr>
      <w:r>
        <w:rPr>
          <w:color w:val="auto"/>
          <w:highlight w:val="none"/>
          <w:u w:val="none"/>
        </w:rPr>
        <w:t>根据筛选结果，本项目</w:t>
      </w:r>
      <w:r>
        <w:rPr>
          <w:rFonts w:eastAsia="Times New Roman"/>
          <w:color w:val="auto"/>
          <w:highlight w:val="none"/>
          <w:u w:val="none"/>
        </w:rPr>
        <w:t>D</w:t>
      </w:r>
      <w:r>
        <w:rPr>
          <w:rFonts w:eastAsia="Times New Roman"/>
          <w:color w:val="auto"/>
          <w:position w:val="-1"/>
          <w:sz w:val="15"/>
          <w:szCs w:val="15"/>
          <w:highlight w:val="none"/>
          <w:u w:val="none"/>
        </w:rPr>
        <w:t>10%</w:t>
      </w:r>
      <w:r>
        <w:rPr>
          <w:color w:val="auto"/>
          <w:highlight w:val="none"/>
          <w:u w:val="none"/>
        </w:rPr>
        <w:t>为</w:t>
      </w:r>
      <w:r>
        <w:rPr>
          <w:rFonts w:hint="eastAsia"/>
          <w:color w:val="auto"/>
          <w:highlight w:val="none"/>
          <w:u w:val="none"/>
          <w:lang w:val="en-US"/>
        </w:rPr>
        <w:t>1400</w:t>
      </w:r>
      <w:r>
        <w:rPr>
          <w:rFonts w:eastAsia="Times New Roman"/>
          <w:color w:val="auto"/>
          <w:highlight w:val="none"/>
          <w:u w:val="none"/>
        </w:rPr>
        <w:t>m</w:t>
      </w:r>
      <w:r>
        <w:rPr>
          <w:rFonts w:hAnsi="Times New Roman"/>
          <w:color w:val="auto"/>
          <w:highlight w:val="none"/>
          <w:u w:val="none"/>
        </w:rPr>
        <w:t>（采用AERSCREEN估算模型）</w:t>
      </w:r>
      <w:r>
        <w:rPr>
          <w:color w:val="auto"/>
          <w:highlight w:val="none"/>
          <w:u w:val="none"/>
        </w:rPr>
        <w:t>，</w:t>
      </w:r>
      <w:r>
        <w:rPr>
          <w:rFonts w:hint="eastAsia"/>
          <w:color w:val="auto"/>
          <w:highlight w:val="none"/>
          <w:u w:val="none"/>
        </w:rPr>
        <w:t>小于2.5km，</w:t>
      </w:r>
      <w:r>
        <w:rPr>
          <w:color w:val="auto"/>
          <w:highlight w:val="none"/>
          <w:u w:val="none"/>
        </w:rPr>
        <w:t>对照《环境影响评价技术导则</w:t>
      </w:r>
      <w:r>
        <w:rPr>
          <w:rFonts w:eastAsiaTheme="minorEastAsia"/>
          <w:color w:val="auto"/>
          <w:highlight w:val="none"/>
          <w:u w:val="none"/>
        </w:rPr>
        <w:t xml:space="preserve">  </w:t>
      </w:r>
      <w:r>
        <w:rPr>
          <w:color w:val="auto"/>
          <w:highlight w:val="none"/>
          <w:u w:val="none"/>
        </w:rPr>
        <w:t>大气环境》</w:t>
      </w:r>
      <w:r>
        <w:rPr>
          <w:color w:val="auto"/>
          <w:spacing w:val="-1"/>
          <w:highlight w:val="none"/>
          <w:u w:val="none"/>
        </w:rPr>
        <w:t>（</w:t>
      </w:r>
      <w:r>
        <w:rPr>
          <w:rFonts w:eastAsia="Times New Roman"/>
          <w:color w:val="auto"/>
          <w:spacing w:val="-1"/>
          <w:highlight w:val="none"/>
          <w:u w:val="none"/>
        </w:rPr>
        <w:t>HJ2.2-2018</w:t>
      </w:r>
      <w:r>
        <w:rPr>
          <w:color w:val="auto"/>
          <w:spacing w:val="-5"/>
          <w:highlight w:val="none"/>
          <w:u w:val="none"/>
        </w:rPr>
        <w:t>），</w:t>
      </w:r>
      <w:r>
        <w:rPr>
          <w:color w:val="auto"/>
          <w:spacing w:val="-1"/>
          <w:highlight w:val="none"/>
          <w:u w:val="none"/>
        </w:rPr>
        <w:t>本项目以项目厂址为中心区域，</w:t>
      </w:r>
      <w:r>
        <w:rPr>
          <w:color w:val="auto"/>
          <w:highlight w:val="none"/>
          <w:u w:val="none"/>
        </w:rPr>
        <w:t>边长为5km的</w:t>
      </w:r>
      <w:r>
        <w:rPr>
          <w:color w:val="auto"/>
          <w:spacing w:val="-1"/>
          <w:highlight w:val="none"/>
          <w:u w:val="none"/>
        </w:rPr>
        <w:t>矩形区域作为大气</w:t>
      </w:r>
      <w:r>
        <w:rPr>
          <w:color w:val="auto"/>
          <w:highlight w:val="none"/>
          <w:u w:val="none"/>
        </w:rPr>
        <w:t>环境影响评价范围。</w:t>
      </w:r>
    </w:p>
    <w:p w14:paraId="29D028A3">
      <w:pPr>
        <w:pStyle w:val="981"/>
        <w:rPr>
          <w:rFonts w:hint="eastAsia"/>
          <w:color w:val="auto"/>
          <w:highlight w:val="none"/>
          <w:u w:val="none"/>
        </w:rPr>
      </w:pPr>
      <w:r>
        <w:rPr>
          <w:color w:val="auto"/>
          <w:highlight w:val="none"/>
          <w:u w:val="none"/>
        </w:rPr>
        <w:t>（</w:t>
      </w:r>
      <w:r>
        <w:rPr>
          <w:rFonts w:eastAsia="Times New Roman"/>
          <w:color w:val="auto"/>
          <w:highlight w:val="none"/>
          <w:u w:val="none"/>
        </w:rPr>
        <w:t>3</w:t>
      </w:r>
      <w:r>
        <w:rPr>
          <w:color w:val="auto"/>
          <w:highlight w:val="none"/>
          <w:u w:val="none"/>
        </w:rPr>
        <w:t>）预测范围</w:t>
      </w:r>
    </w:p>
    <w:p w14:paraId="31B3C0E5">
      <w:pPr>
        <w:pStyle w:val="981"/>
        <w:rPr>
          <w:rFonts w:hint="eastAsia"/>
          <w:color w:val="auto"/>
          <w:spacing w:val="-1"/>
          <w:highlight w:val="none"/>
          <w:u w:val="none"/>
        </w:rPr>
      </w:pPr>
      <w:r>
        <w:rPr>
          <w:color w:val="auto"/>
          <w:highlight w:val="none"/>
          <w:u w:val="none"/>
        </w:rPr>
        <w:t>根据估算模式，本项目评价范围为</w:t>
      </w:r>
      <w:r>
        <w:rPr>
          <w:color w:val="auto"/>
          <w:spacing w:val="-1"/>
          <w:highlight w:val="none"/>
          <w:u w:val="none"/>
        </w:rPr>
        <w:t>以项目厂址为中心区域，</w:t>
      </w:r>
      <w:r>
        <w:rPr>
          <w:color w:val="auto"/>
          <w:highlight w:val="none"/>
          <w:u w:val="none"/>
        </w:rPr>
        <w:t>边长为5km的</w:t>
      </w:r>
      <w:r>
        <w:rPr>
          <w:color w:val="auto"/>
          <w:spacing w:val="-1"/>
          <w:highlight w:val="none"/>
          <w:u w:val="none"/>
        </w:rPr>
        <w:t>矩形区域</w:t>
      </w:r>
      <w:r>
        <w:rPr>
          <w:color w:val="auto"/>
          <w:highlight w:val="none"/>
          <w:u w:val="none"/>
        </w:rPr>
        <w:t>，根据</w:t>
      </w:r>
      <w:r>
        <w:rPr>
          <w:color w:val="auto"/>
          <w:spacing w:val="-3"/>
          <w:highlight w:val="none"/>
          <w:u w:val="none"/>
        </w:rPr>
        <w:t>《环境影响评价</w:t>
      </w:r>
      <w:r>
        <w:rPr>
          <w:color w:val="auto"/>
          <w:spacing w:val="1"/>
          <w:highlight w:val="none"/>
          <w:u w:val="none"/>
        </w:rPr>
        <w:t>技术导则</w:t>
      </w:r>
      <w:r>
        <w:rPr>
          <w:rFonts w:eastAsiaTheme="minorEastAsia"/>
          <w:color w:val="auto"/>
          <w:spacing w:val="1"/>
          <w:highlight w:val="none"/>
          <w:u w:val="none"/>
        </w:rPr>
        <w:t xml:space="preserve">  </w:t>
      </w:r>
      <w:r>
        <w:rPr>
          <w:color w:val="auto"/>
          <w:spacing w:val="1"/>
          <w:highlight w:val="none"/>
          <w:u w:val="none"/>
        </w:rPr>
        <w:t>大气环境》（</w:t>
      </w:r>
      <w:r>
        <w:rPr>
          <w:rFonts w:eastAsia="Times New Roman"/>
          <w:color w:val="auto"/>
          <w:highlight w:val="none"/>
          <w:u w:val="none"/>
        </w:rPr>
        <w:t>HJ</w:t>
      </w:r>
      <w:r>
        <w:rPr>
          <w:rFonts w:eastAsia="Times New Roman"/>
          <w:color w:val="auto"/>
          <w:spacing w:val="1"/>
          <w:highlight w:val="none"/>
          <w:u w:val="none"/>
        </w:rPr>
        <w:t>2.2-2018</w:t>
      </w:r>
      <w:r>
        <w:rPr>
          <w:color w:val="auto"/>
          <w:spacing w:val="1"/>
          <w:highlight w:val="none"/>
          <w:u w:val="none"/>
        </w:rPr>
        <w:t>）</w:t>
      </w:r>
      <w:r>
        <w:rPr>
          <w:rFonts w:eastAsia="Times New Roman"/>
          <w:color w:val="auto"/>
          <w:spacing w:val="1"/>
          <w:highlight w:val="none"/>
          <w:u w:val="none"/>
        </w:rPr>
        <w:t>8.3.</w:t>
      </w:r>
      <w:r>
        <w:rPr>
          <w:color w:val="auto"/>
          <w:spacing w:val="1"/>
          <w:highlight w:val="none"/>
          <w:u w:val="none"/>
        </w:rPr>
        <w:t>预测范围应满足如下条件：预测范围应覆盖</w:t>
      </w:r>
      <w:r>
        <w:rPr>
          <w:color w:val="auto"/>
          <w:spacing w:val="-8"/>
          <w:highlight w:val="none"/>
          <w:u w:val="none"/>
        </w:rPr>
        <w:t>评价范围，并覆盖各污染物短期浓度贡献值占标率大于</w:t>
      </w:r>
      <w:r>
        <w:rPr>
          <w:rFonts w:eastAsia="Times New Roman"/>
          <w:color w:val="auto"/>
          <w:spacing w:val="-8"/>
          <w:highlight w:val="none"/>
          <w:u w:val="none"/>
        </w:rPr>
        <w:t>10%</w:t>
      </w:r>
      <w:r>
        <w:rPr>
          <w:color w:val="auto"/>
          <w:spacing w:val="-8"/>
          <w:highlight w:val="none"/>
          <w:u w:val="none"/>
        </w:rPr>
        <w:t>区域</w:t>
      </w:r>
      <w:r>
        <w:rPr>
          <w:rFonts w:hint="eastAsia"/>
          <w:color w:val="auto"/>
          <w:spacing w:val="-8"/>
          <w:highlight w:val="none"/>
          <w:u w:val="none"/>
        </w:rPr>
        <w:t>；经过CALPUFF模型计算本项目2022年度小时浓度，</w:t>
      </w:r>
      <w:r>
        <w:rPr>
          <w:color w:val="auto"/>
          <w:spacing w:val="-8"/>
          <w:highlight w:val="none"/>
          <w:u w:val="none"/>
        </w:rPr>
        <w:t>本项目</w:t>
      </w:r>
      <w:r>
        <w:rPr>
          <w:rFonts w:eastAsia="Times New Roman"/>
          <w:color w:val="auto"/>
          <w:spacing w:val="-8"/>
          <w:highlight w:val="none"/>
          <w:u w:val="none"/>
        </w:rPr>
        <w:t>TDA</w:t>
      </w:r>
      <w:r>
        <w:rPr>
          <w:color w:val="auto"/>
          <w:spacing w:val="-8"/>
          <w:highlight w:val="none"/>
          <w:u w:val="none"/>
        </w:rPr>
        <w:t>、</w:t>
      </w:r>
      <w:r>
        <w:rPr>
          <w:rFonts w:eastAsia="Times New Roman"/>
          <w:color w:val="auto"/>
          <w:spacing w:val="-8"/>
          <w:highlight w:val="none"/>
          <w:u w:val="none"/>
        </w:rPr>
        <w:t>N</w:t>
      </w:r>
      <w:r>
        <w:rPr>
          <w:rFonts w:eastAsia="Times New Roman"/>
          <w:color w:val="auto"/>
          <w:spacing w:val="-9"/>
          <w:highlight w:val="none"/>
          <w:u w:val="none"/>
        </w:rPr>
        <w:t>MHC</w:t>
      </w:r>
      <w:r>
        <w:rPr>
          <w:color w:val="auto"/>
          <w:spacing w:val="-9"/>
          <w:highlight w:val="none"/>
          <w:u w:val="none"/>
        </w:rPr>
        <w:t>、</w:t>
      </w:r>
      <w:r>
        <w:rPr>
          <w:rFonts w:eastAsia="Times New Roman"/>
          <w:color w:val="auto"/>
          <w:highlight w:val="none"/>
          <w:u w:val="none"/>
        </w:rPr>
        <w:t>DNT</w:t>
      </w:r>
      <w:r>
        <w:rPr>
          <w:color w:val="auto"/>
          <w:highlight w:val="none"/>
          <w:u w:val="none"/>
        </w:rPr>
        <w:t>、邻二氯苯、甲苯、</w:t>
      </w:r>
      <w:r>
        <w:rPr>
          <w:rFonts w:eastAsia="Times New Roman"/>
          <w:color w:val="auto"/>
          <w:highlight w:val="none"/>
          <w:u w:val="none"/>
        </w:rPr>
        <w:t>Cl</w:t>
      </w:r>
      <w:r>
        <w:rPr>
          <w:rFonts w:eastAsia="Times New Roman"/>
          <w:color w:val="auto"/>
          <w:position w:val="-1"/>
          <w:sz w:val="15"/>
          <w:szCs w:val="15"/>
          <w:highlight w:val="none"/>
          <w:u w:val="none"/>
        </w:rPr>
        <w:t>2</w:t>
      </w:r>
      <w:r>
        <w:rPr>
          <w:color w:val="auto"/>
          <w:highlight w:val="none"/>
          <w:u w:val="none"/>
        </w:rPr>
        <w:t>、</w:t>
      </w:r>
      <w:r>
        <w:rPr>
          <w:rFonts w:eastAsia="Times New Roman"/>
          <w:color w:val="auto"/>
          <w:highlight w:val="none"/>
          <w:u w:val="none"/>
        </w:rPr>
        <w:t>HCl</w:t>
      </w:r>
      <w:r>
        <w:rPr>
          <w:color w:val="auto"/>
          <w:highlight w:val="none"/>
          <w:u w:val="none"/>
        </w:rPr>
        <w:t>和光气小时浓度贡献值占标率大于</w:t>
      </w:r>
      <w:r>
        <w:rPr>
          <w:rFonts w:eastAsia="Times New Roman"/>
          <w:color w:val="auto"/>
          <w:highlight w:val="none"/>
          <w:u w:val="none"/>
        </w:rPr>
        <w:t>10%</w:t>
      </w:r>
      <w:r>
        <w:rPr>
          <w:color w:val="auto"/>
          <w:highlight w:val="none"/>
          <w:u w:val="none"/>
        </w:rPr>
        <w:t>的区域分别</w:t>
      </w:r>
      <w:r>
        <w:rPr>
          <w:color w:val="auto"/>
          <w:spacing w:val="-5"/>
          <w:highlight w:val="none"/>
          <w:u w:val="none"/>
        </w:rPr>
        <w:t>为厂界外</w:t>
      </w:r>
      <w:r>
        <w:rPr>
          <w:rFonts w:hint="eastAsia"/>
          <w:color w:val="auto"/>
          <w:spacing w:val="-5"/>
          <w:highlight w:val="none"/>
          <w:u w:val="none"/>
        </w:rPr>
        <w:t xml:space="preserve">1.06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0.0</w:t>
      </w:r>
      <w:r>
        <w:rPr>
          <w:rFonts w:eastAsia="Times New Roman"/>
          <w:color w:val="auto"/>
          <w:spacing w:val="-5"/>
          <w:highlight w:val="none"/>
          <w:u w:val="none"/>
        </w:rPr>
        <w:t>km</w:t>
      </w:r>
      <w:r>
        <w:rPr>
          <w:rFonts w:hint="eastAsia" w:ascii="宋体" w:cs="宋体"/>
          <w:color w:val="auto"/>
          <w:spacing w:val="-5"/>
          <w:highlight w:val="none"/>
          <w:u w:val="none"/>
        </w:rPr>
        <w:t>、</w:t>
      </w:r>
      <w:r>
        <w:rPr>
          <w:rFonts w:hAnsi="Times New Roman" w:eastAsia="仿宋_GB2312"/>
          <w:color w:val="auto"/>
          <w:spacing w:val="-5"/>
          <w:highlight w:val="none"/>
          <w:u w:val="none"/>
        </w:rPr>
        <w:t>5.53</w:t>
      </w:r>
      <w:r>
        <w:rPr>
          <w:rFonts w:hint="eastAsia"/>
          <w:color w:val="auto"/>
          <w:spacing w:val="-5"/>
          <w:highlight w:val="none"/>
          <w:u w:val="none"/>
        </w:rPr>
        <w:t xml:space="preserve">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0.0</w:t>
      </w:r>
      <w:r>
        <w:rPr>
          <w:rFonts w:eastAsia="Times New Roman"/>
          <w:color w:val="auto"/>
          <w:spacing w:val="-5"/>
          <w:highlight w:val="none"/>
          <w:u w:val="none"/>
        </w:rPr>
        <w:t>km</w:t>
      </w:r>
      <w:r>
        <w:rPr>
          <w:rFonts w:hint="eastAsia" w:ascii="宋体" w:cs="宋体"/>
          <w:color w:val="auto"/>
          <w:spacing w:val="-5"/>
          <w:highlight w:val="none"/>
          <w:u w:val="none"/>
        </w:rPr>
        <w:t>、</w:t>
      </w:r>
      <w:r>
        <w:rPr>
          <w:rFonts w:eastAsia="Times New Roman"/>
          <w:color w:val="auto"/>
          <w:spacing w:val="-5"/>
          <w:highlight w:val="none"/>
          <w:u w:val="none"/>
        </w:rPr>
        <w:t>0</w:t>
      </w:r>
      <w:r>
        <w:rPr>
          <w:rFonts w:hint="eastAsia"/>
          <w:color w:val="auto"/>
          <w:spacing w:val="-5"/>
          <w:highlight w:val="none"/>
          <w:u w:val="none"/>
        </w:rPr>
        <w:t>.0</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 xml:space="preserve">0.0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 xml:space="preserve">0.49 </w:t>
      </w:r>
      <w:r>
        <w:rPr>
          <w:rFonts w:eastAsia="Times New Roman"/>
          <w:color w:val="auto"/>
          <w:spacing w:val="-5"/>
          <w:highlight w:val="none"/>
          <w:u w:val="none"/>
        </w:rPr>
        <w:t>km</w:t>
      </w:r>
      <w:r>
        <w:rPr>
          <w:rFonts w:hint="eastAsia" w:ascii="宋体" w:cs="宋体"/>
          <w:color w:val="auto"/>
          <w:spacing w:val="-5"/>
          <w:highlight w:val="none"/>
          <w:u w:val="none"/>
        </w:rPr>
        <w:t>和</w:t>
      </w:r>
      <w:r>
        <w:rPr>
          <w:rFonts w:hint="eastAsia"/>
          <w:color w:val="auto"/>
          <w:spacing w:val="-5"/>
          <w:highlight w:val="none"/>
          <w:u w:val="none"/>
        </w:rPr>
        <w:t xml:space="preserve">4.8 </w:t>
      </w:r>
      <w:r>
        <w:rPr>
          <w:rFonts w:eastAsia="Times New Roman"/>
          <w:color w:val="auto"/>
          <w:spacing w:val="-5"/>
          <w:highlight w:val="none"/>
          <w:u w:val="none"/>
        </w:rPr>
        <w:t>km</w:t>
      </w:r>
      <w:r>
        <w:rPr>
          <w:rFonts w:hint="eastAsia" w:ascii="宋体" w:cs="宋体"/>
          <w:color w:val="auto"/>
          <w:spacing w:val="-5"/>
          <w:highlight w:val="none"/>
          <w:u w:val="none"/>
        </w:rPr>
        <w:t>。</w:t>
      </w:r>
      <w:r>
        <w:rPr>
          <w:color w:val="auto"/>
          <w:spacing w:val="-5"/>
          <w:highlight w:val="none"/>
          <w:u w:val="none"/>
        </w:rPr>
        <w:t>因此，本次</w:t>
      </w:r>
      <w:r>
        <w:rPr>
          <w:color w:val="auto"/>
          <w:highlight w:val="none"/>
          <w:u w:val="none"/>
        </w:rPr>
        <w:t>环境空气影响预测范围覆盖的面积为</w:t>
      </w:r>
      <w:r>
        <w:rPr>
          <w:rFonts w:hint="eastAsia" w:eastAsiaTheme="minorEastAsia"/>
          <w:color w:val="auto"/>
          <w:highlight w:val="none"/>
          <w:u w:val="none"/>
        </w:rPr>
        <w:t>14</w:t>
      </w:r>
      <w:r>
        <w:rPr>
          <w:rFonts w:eastAsia="Times New Roman"/>
          <w:color w:val="auto"/>
          <w:highlight w:val="none"/>
          <w:u w:val="none"/>
        </w:rPr>
        <w:t>.0km</w:t>
      </w:r>
      <w:r>
        <w:rPr>
          <w:color w:val="auto"/>
          <w:highlight w:val="none"/>
          <w:u w:val="none"/>
        </w:rPr>
        <w:t>（东西向）</w:t>
      </w:r>
      <w:r>
        <w:rPr>
          <w:rFonts w:eastAsia="Times New Roman"/>
          <w:color w:val="auto"/>
          <w:spacing w:val="-1"/>
          <w:highlight w:val="none"/>
          <w:u w:val="none"/>
        </w:rPr>
        <w:t>×</w:t>
      </w:r>
      <w:r>
        <w:rPr>
          <w:rFonts w:hint="eastAsia" w:eastAsiaTheme="minorEastAsia"/>
          <w:color w:val="auto"/>
          <w:spacing w:val="-1"/>
          <w:highlight w:val="none"/>
          <w:u w:val="none"/>
        </w:rPr>
        <w:t>14</w:t>
      </w:r>
      <w:r>
        <w:rPr>
          <w:rFonts w:eastAsia="Times New Roman"/>
          <w:color w:val="auto"/>
          <w:spacing w:val="-1"/>
          <w:highlight w:val="none"/>
          <w:u w:val="none"/>
        </w:rPr>
        <w:t>.0km</w:t>
      </w:r>
      <w:r>
        <w:rPr>
          <w:color w:val="auto"/>
          <w:spacing w:val="-1"/>
          <w:highlight w:val="none"/>
          <w:u w:val="none"/>
        </w:rPr>
        <w:t>（南北向）。</w:t>
      </w:r>
    </w:p>
    <w:p w14:paraId="57FBD633">
      <w:pPr>
        <w:pStyle w:val="6"/>
        <w:spacing w:before="120" w:after="120"/>
        <w:rPr>
          <w:color w:val="auto"/>
          <w:highlight w:val="none"/>
          <w:u w:val="none"/>
        </w:rPr>
      </w:pPr>
      <w:bookmarkStart w:id="102" w:name="_Toc148374878"/>
      <w:bookmarkStart w:id="103" w:name="_Toc148374436"/>
      <w:r>
        <w:rPr>
          <w:rFonts w:hint="eastAsia"/>
          <w:color w:val="auto"/>
          <w:highlight w:val="none"/>
          <w:u w:val="none"/>
        </w:rPr>
        <w:t>地表水环境</w:t>
      </w:r>
      <w:bookmarkEnd w:id="102"/>
      <w:bookmarkEnd w:id="103"/>
    </w:p>
    <w:p w14:paraId="29A6008D">
      <w:pPr>
        <w:pStyle w:val="981"/>
        <w:rPr>
          <w:color w:val="auto"/>
          <w:highlight w:val="none"/>
          <w:u w:val="none"/>
        </w:rPr>
      </w:pPr>
      <w:r>
        <w:rPr>
          <w:rFonts w:hint="eastAsia"/>
          <w:color w:val="auto"/>
          <w:highlight w:val="none"/>
          <w:u w:val="none"/>
        </w:rPr>
        <w:t>本项目硝硫浓缩酸性废水、废酸浓缩酸性废水、</w:t>
      </w:r>
      <w:r>
        <w:rPr>
          <w:rFonts w:hint="eastAsia"/>
          <w:color w:val="auto"/>
          <w:highlight w:val="none"/>
          <w:u w:val="none"/>
          <w:lang w:val="en-US"/>
        </w:rPr>
        <w:t>汽提酸性废水、精制洗涤</w:t>
      </w:r>
      <w:r>
        <w:rPr>
          <w:color w:val="auto"/>
          <w:highlight w:val="none"/>
          <w:u w:val="none"/>
        </w:rPr>
        <w:t>TDA</w:t>
      </w:r>
      <w:r>
        <w:rPr>
          <w:rFonts w:hint="eastAsia"/>
          <w:color w:val="auto"/>
          <w:highlight w:val="none"/>
          <w:u w:val="none"/>
        </w:rPr>
        <w:t>废水、光化中和废水、设备清洗废水依托</w:t>
      </w:r>
      <w:r>
        <w:rPr>
          <w:color w:val="auto"/>
          <w:highlight w:val="none"/>
          <w:u w:val="none"/>
        </w:rPr>
        <w:t>万华</w:t>
      </w:r>
      <w:r>
        <w:rPr>
          <w:rFonts w:hint="eastAsia"/>
          <w:color w:val="auto"/>
          <w:highlight w:val="none"/>
          <w:u w:val="none"/>
          <w:lang w:val="en-US"/>
        </w:rPr>
        <w:t>环保科技公司</w:t>
      </w:r>
      <w:r>
        <w:rPr>
          <w:color w:val="auto"/>
          <w:highlight w:val="none"/>
          <w:u w:val="none"/>
        </w:rPr>
        <w:t>综合废水处理系统处理</w:t>
      </w:r>
      <w:r>
        <w:rPr>
          <w:rFonts w:hint="eastAsia"/>
          <w:color w:val="auto"/>
          <w:highlight w:val="none"/>
          <w:u w:val="none"/>
        </w:rPr>
        <w:t>，</w:t>
      </w:r>
      <w:r>
        <w:rPr>
          <w:color w:val="auto"/>
          <w:highlight w:val="none"/>
          <w:u w:val="none"/>
        </w:rPr>
        <w:t>处理</w:t>
      </w:r>
      <w:r>
        <w:rPr>
          <w:rFonts w:hint="eastAsia"/>
          <w:color w:val="auto"/>
          <w:highlight w:val="none"/>
          <w:u w:val="none"/>
        </w:rPr>
        <w:t>达标</w:t>
      </w:r>
      <w:r>
        <w:rPr>
          <w:color w:val="auto"/>
          <w:highlight w:val="none"/>
          <w:u w:val="none"/>
        </w:rPr>
        <w:t>后依托</w:t>
      </w:r>
      <w:r>
        <w:rPr>
          <w:rFonts w:hint="eastAsia"/>
          <w:color w:val="auto"/>
          <w:highlight w:val="none"/>
          <w:u w:val="none"/>
          <w:lang w:eastAsia="zh-CN"/>
        </w:rPr>
        <w:t>福州江阴港城经济区</w:t>
      </w:r>
      <w:r>
        <w:rPr>
          <w:rFonts w:hint="eastAsia"/>
          <w:color w:val="auto"/>
          <w:highlight w:val="none"/>
          <w:u w:val="none"/>
        </w:rPr>
        <w:t>污水处理厂尾水管</w:t>
      </w:r>
      <w:r>
        <w:rPr>
          <w:color w:val="auto"/>
          <w:highlight w:val="none"/>
          <w:u w:val="none"/>
        </w:rPr>
        <w:t>排海</w:t>
      </w:r>
      <w:r>
        <w:rPr>
          <w:rFonts w:hint="eastAsia"/>
          <w:color w:val="auto"/>
          <w:highlight w:val="none"/>
          <w:u w:val="none"/>
        </w:rPr>
        <w:t>；红水废水送往万华化学（福建）有限公司气体扩能改造项目作为水煤浆气化原料（当气体扩能改造项目进行检修无法接收废水时，红水废水临时进入万华环保科技公司综合废水处理系统处理进行处理）；</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w:t>
      </w:r>
      <w:r>
        <w:rPr>
          <w:rFonts w:hint="eastAsia"/>
          <w:color w:val="auto"/>
          <w:highlight w:val="none"/>
          <w:u w:val="none"/>
        </w:rPr>
        <w:t>；</w:t>
      </w:r>
      <w:r>
        <w:rPr>
          <w:color w:val="auto"/>
          <w:highlight w:val="none"/>
          <w:u w:val="none"/>
        </w:rPr>
        <w:t>地面冲洗水</w:t>
      </w:r>
      <w:r>
        <w:rPr>
          <w:rFonts w:hint="eastAsia"/>
          <w:color w:val="auto"/>
          <w:highlight w:val="none"/>
          <w:u w:val="none"/>
        </w:rPr>
        <w:t>、初期雨水及生活污水依托</w:t>
      </w:r>
      <w:r>
        <w:rPr>
          <w:color w:val="auto"/>
          <w:highlight w:val="none"/>
          <w:u w:val="none"/>
        </w:rPr>
        <w:t>万华</w:t>
      </w:r>
      <w:r>
        <w:rPr>
          <w:rFonts w:hint="eastAsia"/>
          <w:color w:val="auto"/>
          <w:highlight w:val="none"/>
          <w:u w:val="none"/>
          <w:lang w:val="en-US"/>
        </w:rPr>
        <w:t>环保科技公司</w:t>
      </w:r>
      <w:r>
        <w:rPr>
          <w:color w:val="auto"/>
          <w:highlight w:val="none"/>
          <w:u w:val="none"/>
        </w:rPr>
        <w:t>低浓度废水处理系统处理，处理后</w:t>
      </w:r>
      <w:r>
        <w:rPr>
          <w:rFonts w:hint="eastAsia"/>
          <w:color w:val="auto"/>
          <w:highlight w:val="none"/>
          <w:u w:val="none"/>
        </w:rPr>
        <w:t>尾水</w:t>
      </w:r>
      <w:r>
        <w:rPr>
          <w:rFonts w:hint="eastAsia"/>
          <w:color w:val="auto"/>
          <w:highlight w:val="none"/>
          <w:u w:val="none"/>
          <w:lang w:val="en-US" w:eastAsia="zh-CN"/>
        </w:rPr>
        <w:t>进</w:t>
      </w:r>
      <w:r>
        <w:rPr>
          <w:color w:val="auto"/>
          <w:highlight w:val="none"/>
          <w:u w:val="none"/>
        </w:rPr>
        <w:t>入</w:t>
      </w:r>
      <w:r>
        <w:rPr>
          <w:rStyle w:val="161"/>
          <w:rFonts w:hint="eastAsia"/>
          <w:color w:val="auto"/>
          <w:sz w:val="24"/>
          <w:szCs w:val="24"/>
          <w:highlight w:val="none"/>
          <w:u w:val="none"/>
        </w:rPr>
        <w:t>编组站废水处理系统处理达标后</w:t>
      </w:r>
      <w:r>
        <w:rPr>
          <w:rFonts w:hint="eastAsia"/>
          <w:color w:val="auto"/>
          <w:highlight w:val="none"/>
          <w:u w:val="none"/>
        </w:rPr>
        <w:t>回用于万华福建产业园的各循环冷却水系统补充水</w:t>
      </w:r>
      <w:r>
        <w:rPr>
          <w:color w:val="auto"/>
          <w:highlight w:val="none"/>
          <w:u w:val="none"/>
        </w:rPr>
        <w:t>。</w:t>
      </w:r>
    </w:p>
    <w:p w14:paraId="24692AE7">
      <w:pPr>
        <w:pStyle w:val="82"/>
        <w:rPr>
          <w:rFonts w:hint="eastAsia"/>
          <w:color w:val="auto"/>
          <w:highlight w:val="none"/>
          <w:u w:val="none"/>
        </w:rPr>
      </w:pPr>
      <w:r>
        <w:rPr>
          <w:rFonts w:hint="eastAsia"/>
          <w:color w:val="auto"/>
          <w:highlight w:val="none"/>
          <w:u w:val="none"/>
        </w:rPr>
        <w:t>本项目废水均依托处理达标后排放，为间接排放，根据《环境影响评价技术导则—地面水环境》（HJ/T2.3-2018），本项目评价等级为三级B。</w:t>
      </w:r>
    </w:p>
    <w:p w14:paraId="719FB0D6">
      <w:pPr>
        <w:pStyle w:val="1010"/>
        <w:rPr>
          <w:color w:val="auto"/>
          <w:highlight w:val="none"/>
          <w:u w:val="none"/>
        </w:rPr>
      </w:pPr>
      <w:r>
        <w:rPr>
          <w:rFonts w:hint="eastAsia"/>
          <w:color w:val="auto"/>
          <w:highlight w:val="none"/>
          <w:u w:val="none"/>
        </w:rPr>
        <w:t>表</w:t>
      </w:r>
      <w:r>
        <w:rPr>
          <w:color w:val="auto"/>
          <w:highlight w:val="none"/>
          <w:u w:val="none"/>
        </w:rPr>
        <w:t xml:space="preserve">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w:instrText>
      </w:r>
      <w:r>
        <w:rPr>
          <w:rFonts w:hint="eastAsia"/>
          <w:color w:val="auto"/>
          <w:highlight w:val="none"/>
          <w:u w:val="none"/>
        </w:rPr>
        <w:instrText xml:space="preserve">表</w:instrText>
      </w:r>
      <w:r>
        <w:rPr>
          <w:color w:val="auto"/>
          <w:highlight w:val="none"/>
          <w:u w:val="none"/>
        </w:rPr>
        <w:instrText xml:space="preserve">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r>
        <w:rPr>
          <w:color w:val="auto"/>
          <w:highlight w:val="none"/>
          <w:u w:val="none"/>
        </w:rPr>
        <w:t xml:space="preserve">  </w:t>
      </w:r>
      <w:r>
        <w:rPr>
          <w:rFonts w:hint="eastAsia"/>
          <w:color w:val="auto"/>
          <w:highlight w:val="none"/>
          <w:u w:val="none"/>
        </w:rPr>
        <w:t>水污染影响型建设项目评价等级判定</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1326"/>
        <w:gridCol w:w="6635"/>
      </w:tblGrid>
      <w:tr w14:paraId="01DB0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14" w:type="pct"/>
            <w:vMerge w:val="restart"/>
            <w:vAlign w:val="center"/>
          </w:tcPr>
          <w:p w14:paraId="1650088B">
            <w:pPr>
              <w:pStyle w:val="1001"/>
              <w:rPr>
                <w:color w:val="auto"/>
                <w:highlight w:val="none"/>
                <w:u w:val="none"/>
              </w:rPr>
            </w:pPr>
            <w:r>
              <w:rPr>
                <w:rFonts w:hint="eastAsia"/>
                <w:color w:val="auto"/>
                <w:highlight w:val="none"/>
                <w:u w:val="none"/>
              </w:rPr>
              <w:t>评价等级</w:t>
            </w:r>
          </w:p>
        </w:tc>
        <w:tc>
          <w:tcPr>
            <w:tcW w:w="4286" w:type="pct"/>
            <w:gridSpan w:val="2"/>
            <w:vAlign w:val="center"/>
          </w:tcPr>
          <w:p w14:paraId="17646748">
            <w:pPr>
              <w:pStyle w:val="1001"/>
              <w:rPr>
                <w:color w:val="auto"/>
                <w:highlight w:val="none"/>
                <w:u w:val="none"/>
              </w:rPr>
            </w:pPr>
            <w:r>
              <w:rPr>
                <w:rFonts w:hint="eastAsia"/>
                <w:color w:val="auto"/>
                <w:highlight w:val="none"/>
                <w:u w:val="none"/>
              </w:rPr>
              <w:t>判定依据</w:t>
            </w:r>
          </w:p>
        </w:tc>
      </w:tr>
      <w:tr w14:paraId="50ECA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14" w:type="pct"/>
            <w:vMerge w:val="continue"/>
            <w:vAlign w:val="center"/>
          </w:tcPr>
          <w:p w14:paraId="4A3A510F">
            <w:pPr>
              <w:pStyle w:val="1001"/>
              <w:rPr>
                <w:color w:val="auto"/>
                <w:highlight w:val="none"/>
                <w:u w:val="none"/>
              </w:rPr>
            </w:pPr>
          </w:p>
        </w:tc>
        <w:tc>
          <w:tcPr>
            <w:tcW w:w="714" w:type="pct"/>
            <w:vAlign w:val="center"/>
          </w:tcPr>
          <w:p w14:paraId="3A449BF2">
            <w:pPr>
              <w:pStyle w:val="1001"/>
              <w:rPr>
                <w:color w:val="auto"/>
                <w:highlight w:val="none"/>
                <w:u w:val="none"/>
              </w:rPr>
            </w:pPr>
            <w:r>
              <w:rPr>
                <w:rFonts w:hint="eastAsia"/>
                <w:color w:val="auto"/>
                <w:highlight w:val="none"/>
                <w:u w:val="none"/>
              </w:rPr>
              <w:t>排放方式</w:t>
            </w:r>
          </w:p>
        </w:tc>
        <w:tc>
          <w:tcPr>
            <w:tcW w:w="3571" w:type="pct"/>
            <w:vAlign w:val="center"/>
          </w:tcPr>
          <w:p w14:paraId="751F682E">
            <w:pPr>
              <w:pStyle w:val="1001"/>
              <w:rPr>
                <w:color w:val="auto"/>
                <w:highlight w:val="none"/>
                <w:u w:val="none"/>
              </w:rPr>
            </w:pPr>
            <w:r>
              <w:rPr>
                <w:rFonts w:hint="eastAsia"/>
                <w:color w:val="auto"/>
                <w:highlight w:val="none"/>
                <w:u w:val="none"/>
              </w:rPr>
              <w:t>废水排放量</w:t>
            </w:r>
            <w:r>
              <w:rPr>
                <w:color w:val="auto"/>
                <w:highlight w:val="none"/>
                <w:u w:val="none"/>
              </w:rPr>
              <w:t>Q/</w:t>
            </w:r>
            <w:r>
              <w:rPr>
                <w:rFonts w:hint="eastAsia"/>
                <w:color w:val="auto"/>
                <w:highlight w:val="none"/>
                <w:u w:val="none"/>
              </w:rPr>
              <w:t>（</w:t>
            </w:r>
            <w:r>
              <w:rPr>
                <w:color w:val="auto"/>
                <w:highlight w:val="none"/>
                <w:u w:val="none"/>
              </w:rPr>
              <w:t>m</w:t>
            </w:r>
            <w:r>
              <w:rPr>
                <w:color w:val="auto"/>
                <w:highlight w:val="none"/>
                <w:u w:val="none"/>
                <w:vertAlign w:val="superscript"/>
              </w:rPr>
              <w:t>3</w:t>
            </w:r>
            <w:r>
              <w:rPr>
                <w:color w:val="auto"/>
                <w:highlight w:val="none"/>
                <w:u w:val="none"/>
              </w:rPr>
              <w:t>/d</w:t>
            </w:r>
            <w:r>
              <w:rPr>
                <w:rFonts w:hint="eastAsia"/>
                <w:color w:val="auto"/>
                <w:highlight w:val="none"/>
                <w:u w:val="none"/>
              </w:rPr>
              <w:t>）；水污染物当量数</w:t>
            </w:r>
            <w:r>
              <w:rPr>
                <w:color w:val="auto"/>
                <w:highlight w:val="none"/>
                <w:u w:val="none"/>
              </w:rPr>
              <w:t>W/</w:t>
            </w:r>
            <w:r>
              <w:rPr>
                <w:rFonts w:hint="eastAsia"/>
                <w:color w:val="auto"/>
                <w:highlight w:val="none"/>
                <w:u w:val="none"/>
              </w:rPr>
              <w:t>（无量纲）</w:t>
            </w:r>
          </w:p>
        </w:tc>
      </w:tr>
      <w:tr w14:paraId="0E6DB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4" w:type="pct"/>
            <w:vAlign w:val="center"/>
          </w:tcPr>
          <w:p w14:paraId="21033228">
            <w:pPr>
              <w:pStyle w:val="1001"/>
              <w:rPr>
                <w:color w:val="auto"/>
                <w:highlight w:val="none"/>
                <w:u w:val="none"/>
              </w:rPr>
            </w:pPr>
            <w:r>
              <w:rPr>
                <w:rFonts w:hint="eastAsia"/>
                <w:color w:val="auto"/>
                <w:highlight w:val="none"/>
                <w:u w:val="none"/>
              </w:rPr>
              <w:t>一级</w:t>
            </w:r>
          </w:p>
        </w:tc>
        <w:tc>
          <w:tcPr>
            <w:tcW w:w="714" w:type="pct"/>
            <w:vAlign w:val="center"/>
          </w:tcPr>
          <w:p w14:paraId="12A7E6E0">
            <w:pPr>
              <w:pStyle w:val="1001"/>
              <w:rPr>
                <w:color w:val="auto"/>
                <w:highlight w:val="none"/>
                <w:u w:val="none"/>
              </w:rPr>
            </w:pPr>
            <w:r>
              <w:rPr>
                <w:rFonts w:hint="eastAsia"/>
                <w:color w:val="auto"/>
                <w:highlight w:val="none"/>
                <w:u w:val="none"/>
              </w:rPr>
              <w:t>直接排放</w:t>
            </w:r>
          </w:p>
        </w:tc>
        <w:tc>
          <w:tcPr>
            <w:tcW w:w="3571" w:type="pct"/>
            <w:vAlign w:val="center"/>
          </w:tcPr>
          <w:p w14:paraId="4E50D7A5">
            <w:pPr>
              <w:pStyle w:val="1001"/>
              <w:rPr>
                <w:color w:val="auto"/>
                <w:highlight w:val="none"/>
                <w:u w:val="none"/>
              </w:rPr>
            </w:pPr>
            <w:r>
              <w:rPr>
                <w:color w:val="auto"/>
                <w:highlight w:val="none"/>
                <w:u w:val="none"/>
              </w:rPr>
              <w:t>Q</w:t>
            </w:r>
            <w:r>
              <w:rPr>
                <w:rFonts w:hint="eastAsia"/>
                <w:color w:val="auto"/>
                <w:highlight w:val="none"/>
                <w:u w:val="none"/>
              </w:rPr>
              <w:t>≥</w:t>
            </w:r>
            <w:r>
              <w:rPr>
                <w:color w:val="auto"/>
                <w:highlight w:val="none"/>
                <w:u w:val="none"/>
              </w:rPr>
              <w:t>20000</w:t>
            </w:r>
            <w:r>
              <w:rPr>
                <w:rFonts w:hint="eastAsia"/>
                <w:color w:val="auto"/>
                <w:highlight w:val="none"/>
                <w:u w:val="none"/>
              </w:rPr>
              <w:t>或</w:t>
            </w:r>
            <w:r>
              <w:rPr>
                <w:color w:val="auto"/>
                <w:highlight w:val="none"/>
                <w:u w:val="none"/>
              </w:rPr>
              <w:t>W</w:t>
            </w:r>
            <w:r>
              <w:rPr>
                <w:rFonts w:hint="eastAsia"/>
                <w:color w:val="auto"/>
                <w:highlight w:val="none"/>
                <w:u w:val="none"/>
              </w:rPr>
              <w:t>≥</w:t>
            </w:r>
            <w:r>
              <w:rPr>
                <w:color w:val="auto"/>
                <w:highlight w:val="none"/>
                <w:u w:val="none"/>
              </w:rPr>
              <w:t>600000</w:t>
            </w:r>
          </w:p>
        </w:tc>
      </w:tr>
      <w:tr w14:paraId="7CC3F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4" w:type="pct"/>
            <w:vAlign w:val="center"/>
          </w:tcPr>
          <w:p w14:paraId="2335850B">
            <w:pPr>
              <w:pStyle w:val="1001"/>
              <w:rPr>
                <w:color w:val="auto"/>
                <w:highlight w:val="none"/>
                <w:u w:val="none"/>
              </w:rPr>
            </w:pPr>
            <w:r>
              <w:rPr>
                <w:rFonts w:hint="eastAsia"/>
                <w:color w:val="auto"/>
                <w:highlight w:val="none"/>
                <w:u w:val="none"/>
              </w:rPr>
              <w:t>二级</w:t>
            </w:r>
          </w:p>
        </w:tc>
        <w:tc>
          <w:tcPr>
            <w:tcW w:w="714" w:type="pct"/>
            <w:vAlign w:val="center"/>
          </w:tcPr>
          <w:p w14:paraId="573DB6D5">
            <w:pPr>
              <w:pStyle w:val="1001"/>
              <w:rPr>
                <w:color w:val="auto"/>
                <w:highlight w:val="none"/>
                <w:u w:val="none"/>
              </w:rPr>
            </w:pPr>
            <w:r>
              <w:rPr>
                <w:rFonts w:hint="eastAsia"/>
                <w:color w:val="auto"/>
                <w:highlight w:val="none"/>
                <w:u w:val="none"/>
              </w:rPr>
              <w:t>直接排放</w:t>
            </w:r>
          </w:p>
        </w:tc>
        <w:tc>
          <w:tcPr>
            <w:tcW w:w="3571" w:type="pct"/>
            <w:vAlign w:val="center"/>
          </w:tcPr>
          <w:p w14:paraId="759C004A">
            <w:pPr>
              <w:pStyle w:val="1001"/>
              <w:rPr>
                <w:color w:val="auto"/>
                <w:highlight w:val="none"/>
                <w:u w:val="none"/>
              </w:rPr>
            </w:pPr>
            <w:r>
              <w:rPr>
                <w:rFonts w:hint="eastAsia"/>
                <w:color w:val="auto"/>
                <w:highlight w:val="none"/>
                <w:u w:val="none"/>
              </w:rPr>
              <w:t>其他</w:t>
            </w:r>
          </w:p>
        </w:tc>
      </w:tr>
      <w:tr w14:paraId="1176E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4" w:type="pct"/>
            <w:vAlign w:val="center"/>
          </w:tcPr>
          <w:p w14:paraId="057AC993">
            <w:pPr>
              <w:pStyle w:val="1001"/>
              <w:rPr>
                <w:color w:val="auto"/>
                <w:highlight w:val="none"/>
                <w:u w:val="none"/>
              </w:rPr>
            </w:pPr>
            <w:r>
              <w:rPr>
                <w:rFonts w:hint="eastAsia"/>
                <w:color w:val="auto"/>
                <w:highlight w:val="none"/>
                <w:u w:val="none"/>
              </w:rPr>
              <w:t>三级</w:t>
            </w:r>
            <w:r>
              <w:rPr>
                <w:color w:val="auto"/>
                <w:highlight w:val="none"/>
                <w:u w:val="none"/>
              </w:rPr>
              <w:t>A</w:t>
            </w:r>
          </w:p>
        </w:tc>
        <w:tc>
          <w:tcPr>
            <w:tcW w:w="714" w:type="pct"/>
            <w:vAlign w:val="center"/>
          </w:tcPr>
          <w:p w14:paraId="5293BA2F">
            <w:pPr>
              <w:pStyle w:val="1001"/>
              <w:rPr>
                <w:color w:val="auto"/>
                <w:highlight w:val="none"/>
                <w:u w:val="none"/>
              </w:rPr>
            </w:pPr>
            <w:r>
              <w:rPr>
                <w:rFonts w:hint="eastAsia"/>
                <w:color w:val="auto"/>
                <w:highlight w:val="none"/>
                <w:u w:val="none"/>
              </w:rPr>
              <w:t>直接排放</w:t>
            </w:r>
          </w:p>
        </w:tc>
        <w:tc>
          <w:tcPr>
            <w:tcW w:w="3571" w:type="pct"/>
            <w:vAlign w:val="center"/>
          </w:tcPr>
          <w:p w14:paraId="085A763E">
            <w:pPr>
              <w:pStyle w:val="1001"/>
              <w:rPr>
                <w:color w:val="auto"/>
                <w:highlight w:val="none"/>
                <w:u w:val="none"/>
              </w:rPr>
            </w:pPr>
            <w:r>
              <w:rPr>
                <w:color w:val="auto"/>
                <w:highlight w:val="none"/>
                <w:u w:val="none"/>
              </w:rPr>
              <w:t>Q</w:t>
            </w:r>
            <w:r>
              <w:rPr>
                <w:rFonts w:hint="eastAsia"/>
                <w:color w:val="auto"/>
                <w:highlight w:val="none"/>
                <w:u w:val="none"/>
              </w:rPr>
              <w:t>＜</w:t>
            </w:r>
            <w:r>
              <w:rPr>
                <w:color w:val="auto"/>
                <w:highlight w:val="none"/>
                <w:u w:val="none"/>
              </w:rPr>
              <w:t>200</w:t>
            </w:r>
            <w:r>
              <w:rPr>
                <w:rFonts w:hint="eastAsia"/>
                <w:color w:val="auto"/>
                <w:highlight w:val="none"/>
                <w:u w:val="none"/>
              </w:rPr>
              <w:t>且</w:t>
            </w:r>
            <w:r>
              <w:rPr>
                <w:color w:val="auto"/>
                <w:highlight w:val="none"/>
                <w:u w:val="none"/>
              </w:rPr>
              <w:t>W</w:t>
            </w:r>
            <w:r>
              <w:rPr>
                <w:rFonts w:hint="eastAsia"/>
                <w:color w:val="auto"/>
                <w:highlight w:val="none"/>
                <w:u w:val="none"/>
              </w:rPr>
              <w:t>＜</w:t>
            </w:r>
            <w:r>
              <w:rPr>
                <w:color w:val="auto"/>
                <w:highlight w:val="none"/>
                <w:u w:val="none"/>
              </w:rPr>
              <w:t>6000</w:t>
            </w:r>
          </w:p>
        </w:tc>
      </w:tr>
      <w:tr w14:paraId="39E38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4" w:type="pct"/>
            <w:shd w:val="clear" w:color="auto" w:fill="D9D9D9"/>
            <w:vAlign w:val="center"/>
          </w:tcPr>
          <w:p w14:paraId="18C2F396">
            <w:pPr>
              <w:pStyle w:val="1001"/>
              <w:rPr>
                <w:color w:val="auto"/>
                <w:highlight w:val="none"/>
                <w:u w:val="none"/>
              </w:rPr>
            </w:pPr>
            <w:r>
              <w:rPr>
                <w:rFonts w:hint="eastAsia"/>
                <w:color w:val="auto"/>
                <w:highlight w:val="none"/>
                <w:u w:val="none"/>
              </w:rPr>
              <w:t>三级</w:t>
            </w:r>
            <w:r>
              <w:rPr>
                <w:color w:val="auto"/>
                <w:highlight w:val="none"/>
                <w:u w:val="none"/>
              </w:rPr>
              <w:t>B</w:t>
            </w:r>
          </w:p>
        </w:tc>
        <w:tc>
          <w:tcPr>
            <w:tcW w:w="714" w:type="pct"/>
            <w:shd w:val="clear" w:color="auto" w:fill="D9D9D9"/>
            <w:vAlign w:val="center"/>
          </w:tcPr>
          <w:p w14:paraId="0A078C59">
            <w:pPr>
              <w:pStyle w:val="1001"/>
              <w:rPr>
                <w:color w:val="auto"/>
                <w:highlight w:val="none"/>
                <w:u w:val="none"/>
              </w:rPr>
            </w:pPr>
            <w:r>
              <w:rPr>
                <w:rFonts w:hint="eastAsia"/>
                <w:color w:val="auto"/>
                <w:highlight w:val="none"/>
                <w:u w:val="none"/>
              </w:rPr>
              <w:t>间接排放</w:t>
            </w:r>
          </w:p>
        </w:tc>
        <w:tc>
          <w:tcPr>
            <w:tcW w:w="3571" w:type="pct"/>
            <w:shd w:val="clear" w:color="auto" w:fill="D9D9D9"/>
            <w:vAlign w:val="center"/>
          </w:tcPr>
          <w:p w14:paraId="5E9FF76A">
            <w:pPr>
              <w:pStyle w:val="1001"/>
              <w:rPr>
                <w:color w:val="auto"/>
                <w:highlight w:val="none"/>
                <w:u w:val="none"/>
              </w:rPr>
            </w:pPr>
            <w:r>
              <w:rPr>
                <w:color w:val="auto"/>
                <w:highlight w:val="none"/>
                <w:u w:val="none"/>
              </w:rPr>
              <w:t>—</w:t>
            </w:r>
          </w:p>
        </w:tc>
      </w:tr>
    </w:tbl>
    <w:p w14:paraId="68D82D4F">
      <w:pPr>
        <w:pStyle w:val="981"/>
        <w:rPr>
          <w:rFonts w:hint="eastAsia"/>
          <w:color w:val="auto"/>
          <w:highlight w:val="none"/>
          <w:u w:val="none"/>
        </w:rPr>
      </w:pPr>
    </w:p>
    <w:p w14:paraId="484F214A">
      <w:pPr>
        <w:pStyle w:val="6"/>
        <w:spacing w:before="120" w:after="120"/>
        <w:rPr>
          <w:color w:val="auto"/>
          <w:highlight w:val="none"/>
          <w:u w:val="none"/>
        </w:rPr>
      </w:pPr>
      <w:bookmarkStart w:id="104" w:name="_Toc148374879"/>
      <w:bookmarkStart w:id="105" w:name="_Toc148374437"/>
      <w:r>
        <w:rPr>
          <w:rFonts w:hint="eastAsia"/>
          <w:color w:val="auto"/>
          <w:highlight w:val="none"/>
          <w:u w:val="none"/>
        </w:rPr>
        <w:t>地下水</w:t>
      </w:r>
      <w:bookmarkEnd w:id="104"/>
      <w:bookmarkEnd w:id="105"/>
    </w:p>
    <w:p w14:paraId="1EBCFBD0">
      <w:pPr>
        <w:pStyle w:val="981"/>
        <w:rPr>
          <w:rFonts w:hint="eastAsia"/>
          <w:color w:val="auto"/>
          <w:highlight w:val="none"/>
          <w:u w:val="none"/>
        </w:rPr>
      </w:pPr>
      <w:r>
        <w:rPr>
          <w:rFonts w:hint="eastAsia"/>
          <w:color w:val="auto"/>
          <w:highlight w:val="none"/>
          <w:u w:val="none"/>
        </w:rPr>
        <w:t>（1）评价等级</w:t>
      </w:r>
    </w:p>
    <w:p w14:paraId="53150B91">
      <w:pPr>
        <w:pStyle w:val="981"/>
        <w:rPr>
          <w:rFonts w:hint="eastAsia"/>
          <w:color w:val="auto"/>
          <w:highlight w:val="none"/>
          <w:u w:val="none"/>
        </w:rPr>
      </w:pPr>
      <w:r>
        <w:rPr>
          <w:rFonts w:hint="eastAsia"/>
          <w:color w:val="auto"/>
          <w:highlight w:val="none"/>
          <w:u w:val="none"/>
        </w:rPr>
        <w:t>根据《环境影响评价技术导则</w:t>
      </w:r>
      <w:r>
        <w:rPr>
          <w:color w:val="auto"/>
          <w:highlight w:val="none"/>
          <w:u w:val="none"/>
        </w:rPr>
        <w:t xml:space="preserve"> 地下水环境》（HJ 610-2016）</w:t>
      </w:r>
      <w:r>
        <w:rPr>
          <w:rFonts w:hint="eastAsia"/>
          <w:color w:val="auto"/>
          <w:highlight w:val="none"/>
          <w:u w:val="none"/>
        </w:rPr>
        <w:t>，本项目地下水环境影响评价项目类别为Ⅰ类，项目所在区域不涉及地下水集中式饮用水源，不涉及国家或地方政府设定的地下水环境相关的其他保护区；不涉及地下水集中式饮用水源的补给径流区，不涉及分散式引用水源地及其他地下水环境敏感区，地下水环境敏感程度属不敏感。确定本项目地下水评价等级为二级。</w:t>
      </w:r>
    </w:p>
    <w:p w14:paraId="69698B92">
      <w:pPr>
        <w:pStyle w:val="981"/>
        <w:rPr>
          <w:rFonts w:hint="eastAsia"/>
          <w:color w:val="auto"/>
          <w:highlight w:val="none"/>
          <w:u w:val="none"/>
        </w:rPr>
      </w:pPr>
      <w:r>
        <w:rPr>
          <w:rFonts w:hint="eastAsia"/>
          <w:color w:val="auto"/>
          <w:highlight w:val="none"/>
          <w:u w:val="none"/>
        </w:rPr>
        <w:t>（2）评价范围</w:t>
      </w:r>
    </w:p>
    <w:p w14:paraId="111C4E56">
      <w:pPr>
        <w:rPr>
          <w:rFonts w:hint="eastAsia"/>
          <w:color w:val="auto"/>
          <w:highlight w:val="none"/>
          <w:u w:val="none"/>
        </w:rPr>
      </w:pPr>
      <w:r>
        <w:rPr>
          <w:rFonts w:hint="eastAsia"/>
          <w:color w:val="auto"/>
          <w:highlight w:val="none"/>
          <w:u w:val="none"/>
        </w:rPr>
        <w:t>本项目地下水评价范围为：项目厂界上游2</w:t>
      </w:r>
      <w:r>
        <w:rPr>
          <w:color w:val="auto"/>
          <w:highlight w:val="none"/>
          <w:u w:val="none"/>
        </w:rPr>
        <w:t>00</w:t>
      </w:r>
      <w:r>
        <w:rPr>
          <w:rFonts w:hint="eastAsia"/>
          <w:color w:val="auto"/>
          <w:highlight w:val="none"/>
          <w:u w:val="none"/>
        </w:rPr>
        <w:t>m，两侧4</w:t>
      </w:r>
      <w:r>
        <w:rPr>
          <w:color w:val="auto"/>
          <w:highlight w:val="none"/>
          <w:u w:val="none"/>
        </w:rPr>
        <w:t>60</w:t>
      </w:r>
      <w:r>
        <w:rPr>
          <w:rFonts w:hint="eastAsia"/>
          <w:color w:val="auto"/>
          <w:highlight w:val="none"/>
          <w:u w:val="none"/>
        </w:rPr>
        <w:t>m，下游以</w:t>
      </w:r>
      <w:r>
        <w:rPr>
          <w:color w:val="auto"/>
          <w:highlight w:val="none"/>
          <w:u w:val="none"/>
        </w:rPr>
        <w:t>江阴港海域为评价边界</w:t>
      </w:r>
      <w:r>
        <w:rPr>
          <w:rFonts w:hint="eastAsia"/>
          <w:color w:val="auto"/>
          <w:highlight w:val="none"/>
          <w:u w:val="none"/>
        </w:rPr>
        <w:t>。</w:t>
      </w:r>
    </w:p>
    <w:p w14:paraId="05F5FB1C">
      <w:pPr>
        <w:pStyle w:val="6"/>
        <w:spacing w:before="120" w:after="120"/>
        <w:rPr>
          <w:color w:val="auto"/>
          <w:highlight w:val="none"/>
          <w:u w:val="none"/>
        </w:rPr>
      </w:pPr>
      <w:bookmarkStart w:id="106" w:name="_Toc148374880"/>
      <w:bookmarkStart w:id="107" w:name="_Toc148374438"/>
      <w:r>
        <w:rPr>
          <w:rFonts w:hint="eastAsia"/>
          <w:color w:val="auto"/>
          <w:highlight w:val="none"/>
          <w:u w:val="none"/>
        </w:rPr>
        <w:t>声环境</w:t>
      </w:r>
      <w:bookmarkEnd w:id="106"/>
      <w:bookmarkEnd w:id="107"/>
    </w:p>
    <w:p w14:paraId="48AF07AF">
      <w:pPr>
        <w:rPr>
          <w:rFonts w:hint="eastAsia"/>
          <w:color w:val="auto"/>
          <w:highlight w:val="none"/>
          <w:u w:val="none"/>
        </w:rPr>
      </w:pPr>
      <w:r>
        <w:rPr>
          <w:color w:val="auto"/>
          <w:highlight w:val="none"/>
          <w:u w:val="none"/>
        </w:rPr>
        <w:t>本项目位于</w:t>
      </w:r>
      <w:r>
        <w:rPr>
          <w:rFonts w:hint="eastAsia"/>
          <w:color w:val="auto"/>
          <w:highlight w:val="none"/>
          <w:u w:val="none"/>
        </w:rPr>
        <w:t>江阴港城经济区内，</w:t>
      </w:r>
      <w:r>
        <w:rPr>
          <w:color w:val="auto"/>
          <w:highlight w:val="none"/>
          <w:u w:val="none"/>
        </w:rPr>
        <w:t>声环境功能为3类区</w:t>
      </w:r>
      <w:r>
        <w:rPr>
          <w:rFonts w:hint="eastAsia"/>
          <w:color w:val="auto"/>
          <w:highlight w:val="none"/>
          <w:u w:val="none"/>
        </w:rPr>
        <w:t>，且</w:t>
      </w:r>
      <w:r>
        <w:rPr>
          <w:color w:val="auto"/>
          <w:highlight w:val="none"/>
          <w:u w:val="none"/>
        </w:rPr>
        <w:t>项目</w:t>
      </w:r>
      <w:r>
        <w:rPr>
          <w:rFonts w:hint="eastAsia"/>
          <w:color w:val="auto"/>
          <w:highlight w:val="none"/>
          <w:u w:val="none"/>
        </w:rPr>
        <w:t>厂址</w:t>
      </w:r>
      <w:r>
        <w:rPr>
          <w:color w:val="auto"/>
          <w:highlight w:val="none"/>
          <w:u w:val="none"/>
        </w:rPr>
        <w:t>周围200m内没有集中居住的居民</w:t>
      </w:r>
      <w:r>
        <w:rPr>
          <w:rFonts w:hint="eastAsia"/>
          <w:color w:val="auto"/>
          <w:highlight w:val="none"/>
          <w:u w:val="none"/>
          <w:lang w:val="en-US"/>
        </w:rPr>
        <w:t>区</w:t>
      </w:r>
      <w:r>
        <w:rPr>
          <w:color w:val="auto"/>
          <w:highlight w:val="none"/>
          <w:u w:val="none"/>
        </w:rPr>
        <w:t>，建成后受项目噪声影响的人口很少。因此本项目噪声影响评价工作等级确定为三级。</w:t>
      </w:r>
    </w:p>
    <w:p w14:paraId="7DC6AC59">
      <w:pPr>
        <w:pStyle w:val="6"/>
        <w:spacing w:before="120" w:after="120"/>
        <w:rPr>
          <w:color w:val="auto"/>
          <w:highlight w:val="none"/>
          <w:u w:val="none"/>
        </w:rPr>
      </w:pPr>
      <w:bookmarkStart w:id="108" w:name="_Toc148374439"/>
      <w:bookmarkStart w:id="109" w:name="_Toc148374881"/>
      <w:r>
        <w:rPr>
          <w:rFonts w:hint="eastAsia"/>
          <w:color w:val="auto"/>
          <w:highlight w:val="none"/>
          <w:u w:val="none"/>
        </w:rPr>
        <w:t>土壤</w:t>
      </w:r>
      <w:bookmarkEnd w:id="108"/>
      <w:bookmarkEnd w:id="109"/>
    </w:p>
    <w:p w14:paraId="49CEC220">
      <w:pPr>
        <w:ind w:firstLine="424" w:firstLineChars="177"/>
        <w:rPr>
          <w:rFonts w:hint="eastAsia"/>
          <w:color w:val="auto"/>
          <w:szCs w:val="20"/>
          <w:highlight w:val="none"/>
          <w:u w:val="none"/>
        </w:rPr>
      </w:pPr>
      <w:r>
        <w:rPr>
          <w:rFonts w:hint="eastAsia"/>
          <w:color w:val="auto"/>
          <w:szCs w:val="20"/>
          <w:highlight w:val="none"/>
          <w:u w:val="none"/>
        </w:rPr>
        <w:t>根据《环境影响评价技术导则  土壤环境（试行）》（HJ 964-2018）。对照导则附录A的表A.1，本项目属于化学原料和化学制品制造类项目，</w:t>
      </w:r>
      <w:r>
        <w:rPr>
          <w:rFonts w:hint="eastAsia"/>
          <w:color w:val="auto"/>
          <w:highlight w:val="none"/>
          <w:u w:val="none"/>
        </w:rPr>
        <w:t>属于</w:t>
      </w:r>
      <w:r>
        <w:rPr>
          <w:color w:val="auto"/>
          <w:highlight w:val="none"/>
          <w:u w:val="none"/>
        </w:rPr>
        <w:t>Ⅰ</w:t>
      </w:r>
      <w:r>
        <w:rPr>
          <w:rFonts w:hint="eastAsia"/>
          <w:color w:val="auto"/>
          <w:highlight w:val="none"/>
          <w:u w:val="none"/>
        </w:rPr>
        <w:t>类项目，</w:t>
      </w:r>
      <w:r>
        <w:rPr>
          <w:rFonts w:hint="eastAsia"/>
          <w:color w:val="auto"/>
          <w:szCs w:val="20"/>
          <w:highlight w:val="none"/>
          <w:u w:val="none"/>
        </w:rPr>
        <w:t>项目占地面积约</w:t>
      </w:r>
      <w:r>
        <w:rPr>
          <w:rFonts w:hint="eastAsia"/>
          <w:color w:val="auto"/>
          <w:szCs w:val="21"/>
          <w:highlight w:val="none"/>
          <w:u w:val="none"/>
          <w:lang w:val="en-US"/>
        </w:rPr>
        <w:t>6.2</w:t>
      </w:r>
      <w:r>
        <w:rPr>
          <w:rFonts w:hint="eastAsia"/>
          <w:color w:val="auto"/>
          <w:szCs w:val="20"/>
          <w:highlight w:val="none"/>
          <w:u w:val="none"/>
        </w:rPr>
        <w:t>hm</w:t>
      </w:r>
      <w:r>
        <w:rPr>
          <w:rFonts w:hint="eastAsia"/>
          <w:color w:val="auto"/>
          <w:szCs w:val="20"/>
          <w:highlight w:val="none"/>
          <w:u w:val="none"/>
          <w:vertAlign w:val="superscript"/>
        </w:rPr>
        <w:t>2</w:t>
      </w:r>
      <w:r>
        <w:rPr>
          <w:rFonts w:hint="eastAsia"/>
          <w:color w:val="auto"/>
          <w:szCs w:val="20"/>
          <w:highlight w:val="none"/>
          <w:u w:val="none"/>
        </w:rPr>
        <w:t>，属于</w:t>
      </w:r>
      <w:r>
        <w:rPr>
          <w:rFonts w:hint="eastAsia"/>
          <w:color w:val="auto"/>
          <w:szCs w:val="20"/>
          <w:highlight w:val="none"/>
          <w:u w:val="none"/>
          <w:lang w:val="en-US"/>
        </w:rPr>
        <w:t>中</w:t>
      </w:r>
      <w:r>
        <w:rPr>
          <w:rFonts w:hint="eastAsia"/>
          <w:color w:val="auto"/>
          <w:szCs w:val="20"/>
          <w:highlight w:val="none"/>
          <w:u w:val="none"/>
        </w:rPr>
        <w:t>型项目，</w:t>
      </w:r>
      <w:r>
        <w:rPr>
          <w:rFonts w:hint="eastAsia"/>
          <w:color w:val="auto"/>
          <w:highlight w:val="none"/>
          <w:u w:val="none"/>
        </w:rPr>
        <w:t>项目位于</w:t>
      </w:r>
      <w:r>
        <w:rPr>
          <w:rFonts w:hint="eastAsia" w:cs="宋体"/>
          <w:color w:val="auto"/>
          <w:highlight w:val="none"/>
          <w:u w:val="none"/>
        </w:rPr>
        <w:t>工业区内</w:t>
      </w:r>
      <w:r>
        <w:rPr>
          <w:rFonts w:hint="eastAsia"/>
          <w:color w:val="auto"/>
          <w:highlight w:val="none"/>
          <w:u w:val="none"/>
        </w:rPr>
        <w:t>，周边的土壤环境敏感程度为不敏感，</w:t>
      </w:r>
      <w:r>
        <w:rPr>
          <w:color w:val="auto"/>
          <w:szCs w:val="20"/>
          <w:highlight w:val="none"/>
          <w:u w:val="none"/>
        </w:rPr>
        <w:t>土壤评价等级为二级</w:t>
      </w:r>
      <w:r>
        <w:rPr>
          <w:rFonts w:hint="eastAsia"/>
          <w:color w:val="auto"/>
          <w:szCs w:val="20"/>
          <w:highlight w:val="none"/>
          <w:u w:val="none"/>
        </w:rPr>
        <w:t>，评价范围为</w:t>
      </w:r>
      <w:r>
        <w:rPr>
          <w:rFonts w:hint="eastAsia"/>
          <w:color w:val="auto"/>
          <w:highlight w:val="none"/>
          <w:u w:val="none"/>
        </w:rPr>
        <w:t>项目占地范围外</w:t>
      </w:r>
      <w:r>
        <w:rPr>
          <w:color w:val="auto"/>
          <w:highlight w:val="none"/>
          <w:u w:val="none"/>
        </w:rPr>
        <w:t>200</w:t>
      </w:r>
      <w:r>
        <w:rPr>
          <w:rFonts w:hint="eastAsia"/>
          <w:color w:val="auto"/>
          <w:highlight w:val="none"/>
          <w:u w:val="none"/>
        </w:rPr>
        <w:t>m范围内区域</w:t>
      </w:r>
      <w:r>
        <w:rPr>
          <w:rFonts w:hint="eastAsia"/>
          <w:color w:val="auto"/>
          <w:szCs w:val="20"/>
          <w:highlight w:val="none"/>
          <w:u w:val="none"/>
        </w:rPr>
        <w:t>。</w:t>
      </w:r>
    </w:p>
    <w:p w14:paraId="1BFA1FC4">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r>
        <w:rPr>
          <w:color w:val="auto"/>
          <w:highlight w:val="none"/>
          <w:u w:val="none"/>
        </w:rPr>
        <w:t xml:space="preserve">  污染影响型评价工作等级划分表</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04"/>
        <w:gridCol w:w="821"/>
        <w:gridCol w:w="821"/>
        <w:gridCol w:w="821"/>
        <w:gridCol w:w="821"/>
        <w:gridCol w:w="821"/>
        <w:gridCol w:w="821"/>
        <w:gridCol w:w="821"/>
        <w:gridCol w:w="821"/>
        <w:gridCol w:w="815"/>
      </w:tblGrid>
      <w:tr w14:paraId="4BE92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5" w:type="pct"/>
            <w:vMerge w:val="restart"/>
            <w:shd w:val="clear" w:color="auto" w:fill="auto"/>
            <w:vAlign w:val="center"/>
          </w:tcPr>
          <w:p w14:paraId="65A16962">
            <w:pPr>
              <w:pStyle w:val="969"/>
              <w:rPr>
                <w:rFonts w:hint="eastAsia"/>
                <w:color w:val="auto"/>
                <w:highlight w:val="none"/>
                <w:u w:val="none"/>
              </w:rPr>
            </w:pPr>
            <w:r>
              <w:rPr>
                <w:color w:val="auto"/>
                <w:highlight w:val="none"/>
                <w:u w:val="none"/>
              </w:rPr>
              <w:t>占地规模</w:t>
            </w:r>
          </w:p>
          <w:p w14:paraId="7C54C3DE">
            <w:pPr>
              <w:pStyle w:val="969"/>
              <w:rPr>
                <w:rFonts w:hint="eastAsia"/>
                <w:color w:val="auto"/>
                <w:highlight w:val="none"/>
                <w:u w:val="none"/>
              </w:rPr>
            </w:pPr>
            <w:r>
              <w:rPr>
                <w:color w:val="auto"/>
                <w:highlight w:val="none"/>
                <w:u w:val="none"/>
              </w:rPr>
              <w:t>评价工作等级</w:t>
            </w:r>
          </w:p>
          <w:p w14:paraId="5AEB11BC">
            <w:pPr>
              <w:pStyle w:val="969"/>
              <w:rPr>
                <w:rFonts w:hint="eastAsia"/>
                <w:color w:val="auto"/>
                <w:highlight w:val="none"/>
                <w:u w:val="none"/>
              </w:rPr>
            </w:pPr>
            <w:r>
              <w:rPr>
                <w:color w:val="auto"/>
                <w:highlight w:val="none"/>
                <w:u w:val="none"/>
              </w:rPr>
              <w:t>敏感程度</w:t>
            </w:r>
          </w:p>
        </w:tc>
        <w:tc>
          <w:tcPr>
            <w:tcW w:w="1325" w:type="pct"/>
            <w:gridSpan w:val="3"/>
            <w:shd w:val="clear" w:color="auto" w:fill="auto"/>
            <w:vAlign w:val="center"/>
          </w:tcPr>
          <w:p w14:paraId="07143D54">
            <w:pPr>
              <w:pStyle w:val="969"/>
              <w:rPr>
                <w:rFonts w:hint="eastAsia"/>
                <w:color w:val="auto"/>
                <w:highlight w:val="none"/>
                <w:u w:val="none"/>
              </w:rPr>
            </w:pPr>
            <w:r>
              <w:rPr>
                <w:color w:val="auto"/>
                <w:highlight w:val="none"/>
                <w:u w:val="none"/>
              </w:rPr>
              <w:t>Ⅰ类</w:t>
            </w:r>
          </w:p>
        </w:tc>
        <w:tc>
          <w:tcPr>
            <w:tcW w:w="1325" w:type="pct"/>
            <w:gridSpan w:val="3"/>
            <w:shd w:val="clear" w:color="auto" w:fill="auto"/>
            <w:vAlign w:val="center"/>
          </w:tcPr>
          <w:p w14:paraId="2E8185CD">
            <w:pPr>
              <w:pStyle w:val="969"/>
              <w:rPr>
                <w:rFonts w:hint="eastAsia"/>
                <w:color w:val="auto"/>
                <w:highlight w:val="none"/>
                <w:u w:val="none"/>
              </w:rPr>
            </w:pPr>
            <w:r>
              <w:rPr>
                <w:color w:val="auto"/>
                <w:highlight w:val="none"/>
                <w:u w:val="none"/>
              </w:rPr>
              <w:t>Ⅱ类</w:t>
            </w:r>
          </w:p>
        </w:tc>
        <w:tc>
          <w:tcPr>
            <w:tcW w:w="1325" w:type="pct"/>
            <w:gridSpan w:val="3"/>
            <w:shd w:val="clear" w:color="auto" w:fill="auto"/>
            <w:vAlign w:val="center"/>
          </w:tcPr>
          <w:p w14:paraId="39F6CB7C">
            <w:pPr>
              <w:pStyle w:val="969"/>
              <w:rPr>
                <w:rFonts w:hint="eastAsia"/>
                <w:color w:val="auto"/>
                <w:highlight w:val="none"/>
                <w:u w:val="none"/>
              </w:rPr>
            </w:pPr>
            <w:r>
              <w:rPr>
                <w:color w:val="auto"/>
                <w:highlight w:val="none"/>
                <w:u w:val="none"/>
              </w:rPr>
              <w:t>Ⅲ类</w:t>
            </w:r>
          </w:p>
        </w:tc>
      </w:tr>
      <w:tr w14:paraId="44CE7F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5" w:type="pct"/>
            <w:vMerge w:val="continue"/>
            <w:shd w:val="clear" w:color="auto" w:fill="auto"/>
            <w:vAlign w:val="center"/>
          </w:tcPr>
          <w:p w14:paraId="4BB78D74">
            <w:pPr>
              <w:pStyle w:val="969"/>
              <w:rPr>
                <w:rFonts w:hint="eastAsia"/>
                <w:color w:val="auto"/>
                <w:highlight w:val="none"/>
                <w:u w:val="none"/>
              </w:rPr>
            </w:pPr>
          </w:p>
        </w:tc>
        <w:tc>
          <w:tcPr>
            <w:tcW w:w="442" w:type="pct"/>
            <w:shd w:val="clear" w:color="auto" w:fill="auto"/>
            <w:vAlign w:val="center"/>
          </w:tcPr>
          <w:p w14:paraId="5BBA8BAE">
            <w:pPr>
              <w:pStyle w:val="969"/>
              <w:rPr>
                <w:rFonts w:hint="eastAsia"/>
                <w:color w:val="auto"/>
                <w:highlight w:val="none"/>
                <w:u w:val="none"/>
              </w:rPr>
            </w:pPr>
            <w:r>
              <w:rPr>
                <w:color w:val="auto"/>
                <w:highlight w:val="none"/>
                <w:u w:val="none"/>
              </w:rPr>
              <w:t>大</w:t>
            </w:r>
          </w:p>
        </w:tc>
        <w:tc>
          <w:tcPr>
            <w:tcW w:w="442" w:type="pct"/>
            <w:shd w:val="clear" w:color="auto" w:fill="auto"/>
            <w:vAlign w:val="center"/>
          </w:tcPr>
          <w:p w14:paraId="1E8D8BAC">
            <w:pPr>
              <w:pStyle w:val="969"/>
              <w:rPr>
                <w:rFonts w:hint="eastAsia"/>
                <w:color w:val="auto"/>
                <w:highlight w:val="none"/>
                <w:u w:val="none"/>
              </w:rPr>
            </w:pPr>
            <w:r>
              <w:rPr>
                <w:color w:val="auto"/>
                <w:highlight w:val="none"/>
                <w:u w:val="none"/>
              </w:rPr>
              <w:t>中</w:t>
            </w:r>
          </w:p>
        </w:tc>
        <w:tc>
          <w:tcPr>
            <w:tcW w:w="442" w:type="pct"/>
            <w:shd w:val="clear" w:color="auto" w:fill="auto"/>
            <w:vAlign w:val="center"/>
          </w:tcPr>
          <w:p w14:paraId="373409D2">
            <w:pPr>
              <w:pStyle w:val="969"/>
              <w:rPr>
                <w:rFonts w:hint="eastAsia"/>
                <w:color w:val="auto"/>
                <w:highlight w:val="none"/>
                <w:u w:val="none"/>
              </w:rPr>
            </w:pPr>
            <w:r>
              <w:rPr>
                <w:color w:val="auto"/>
                <w:highlight w:val="none"/>
                <w:u w:val="none"/>
              </w:rPr>
              <w:t>小</w:t>
            </w:r>
          </w:p>
        </w:tc>
        <w:tc>
          <w:tcPr>
            <w:tcW w:w="442" w:type="pct"/>
            <w:shd w:val="clear" w:color="auto" w:fill="auto"/>
            <w:vAlign w:val="center"/>
          </w:tcPr>
          <w:p w14:paraId="626989F0">
            <w:pPr>
              <w:pStyle w:val="969"/>
              <w:rPr>
                <w:rFonts w:hint="eastAsia"/>
                <w:color w:val="auto"/>
                <w:highlight w:val="none"/>
                <w:u w:val="none"/>
              </w:rPr>
            </w:pPr>
            <w:r>
              <w:rPr>
                <w:color w:val="auto"/>
                <w:highlight w:val="none"/>
                <w:u w:val="none"/>
              </w:rPr>
              <w:t>大</w:t>
            </w:r>
          </w:p>
        </w:tc>
        <w:tc>
          <w:tcPr>
            <w:tcW w:w="442" w:type="pct"/>
            <w:tcBorders>
              <w:bottom w:val="single" w:color="000000" w:sz="4" w:space="0"/>
            </w:tcBorders>
            <w:shd w:val="clear" w:color="auto" w:fill="auto"/>
            <w:vAlign w:val="center"/>
          </w:tcPr>
          <w:p w14:paraId="05DDB56D">
            <w:pPr>
              <w:pStyle w:val="969"/>
              <w:rPr>
                <w:rFonts w:hint="eastAsia"/>
                <w:color w:val="auto"/>
                <w:highlight w:val="none"/>
                <w:u w:val="none"/>
              </w:rPr>
            </w:pPr>
            <w:r>
              <w:rPr>
                <w:color w:val="auto"/>
                <w:highlight w:val="none"/>
                <w:u w:val="none"/>
              </w:rPr>
              <w:t>中</w:t>
            </w:r>
          </w:p>
        </w:tc>
        <w:tc>
          <w:tcPr>
            <w:tcW w:w="442" w:type="pct"/>
            <w:tcBorders>
              <w:bottom w:val="single" w:color="000000" w:sz="4" w:space="0"/>
            </w:tcBorders>
            <w:shd w:val="clear" w:color="auto" w:fill="auto"/>
            <w:vAlign w:val="center"/>
          </w:tcPr>
          <w:p w14:paraId="2585C607">
            <w:pPr>
              <w:pStyle w:val="969"/>
              <w:rPr>
                <w:rFonts w:hint="eastAsia"/>
                <w:color w:val="auto"/>
                <w:highlight w:val="none"/>
                <w:u w:val="none"/>
              </w:rPr>
            </w:pPr>
            <w:r>
              <w:rPr>
                <w:color w:val="auto"/>
                <w:highlight w:val="none"/>
                <w:u w:val="none"/>
              </w:rPr>
              <w:t>小</w:t>
            </w:r>
          </w:p>
        </w:tc>
        <w:tc>
          <w:tcPr>
            <w:tcW w:w="442" w:type="pct"/>
            <w:shd w:val="clear" w:color="auto" w:fill="auto"/>
            <w:vAlign w:val="center"/>
          </w:tcPr>
          <w:p w14:paraId="180AD38F">
            <w:pPr>
              <w:pStyle w:val="969"/>
              <w:rPr>
                <w:rFonts w:hint="eastAsia"/>
                <w:color w:val="auto"/>
                <w:highlight w:val="none"/>
                <w:u w:val="none"/>
              </w:rPr>
            </w:pPr>
            <w:r>
              <w:rPr>
                <w:color w:val="auto"/>
                <w:highlight w:val="none"/>
                <w:u w:val="none"/>
              </w:rPr>
              <w:t>大</w:t>
            </w:r>
          </w:p>
        </w:tc>
        <w:tc>
          <w:tcPr>
            <w:tcW w:w="442" w:type="pct"/>
            <w:shd w:val="clear" w:color="auto" w:fill="auto"/>
            <w:vAlign w:val="center"/>
          </w:tcPr>
          <w:p w14:paraId="7262E6B1">
            <w:pPr>
              <w:pStyle w:val="969"/>
              <w:rPr>
                <w:rFonts w:hint="eastAsia"/>
                <w:color w:val="auto"/>
                <w:highlight w:val="none"/>
                <w:u w:val="none"/>
              </w:rPr>
            </w:pPr>
            <w:r>
              <w:rPr>
                <w:color w:val="auto"/>
                <w:highlight w:val="none"/>
                <w:u w:val="none"/>
              </w:rPr>
              <w:t>中</w:t>
            </w:r>
          </w:p>
        </w:tc>
        <w:tc>
          <w:tcPr>
            <w:tcW w:w="442" w:type="pct"/>
            <w:shd w:val="clear" w:color="auto" w:fill="auto"/>
            <w:vAlign w:val="center"/>
          </w:tcPr>
          <w:p w14:paraId="57391B05">
            <w:pPr>
              <w:pStyle w:val="969"/>
              <w:rPr>
                <w:rFonts w:hint="eastAsia"/>
                <w:color w:val="auto"/>
                <w:highlight w:val="none"/>
                <w:u w:val="none"/>
              </w:rPr>
            </w:pPr>
            <w:r>
              <w:rPr>
                <w:color w:val="auto"/>
                <w:highlight w:val="none"/>
                <w:u w:val="none"/>
              </w:rPr>
              <w:t>小</w:t>
            </w:r>
          </w:p>
        </w:tc>
      </w:tr>
      <w:tr w14:paraId="29E6EF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5" w:type="pct"/>
            <w:shd w:val="clear" w:color="auto" w:fill="auto"/>
            <w:vAlign w:val="center"/>
          </w:tcPr>
          <w:p w14:paraId="40FB9F63">
            <w:pPr>
              <w:pStyle w:val="969"/>
              <w:rPr>
                <w:rFonts w:hint="eastAsia"/>
                <w:color w:val="auto"/>
                <w:highlight w:val="none"/>
                <w:u w:val="none"/>
              </w:rPr>
            </w:pPr>
            <w:r>
              <w:rPr>
                <w:color w:val="auto"/>
                <w:highlight w:val="none"/>
                <w:u w:val="none"/>
              </w:rPr>
              <w:t>敏感</w:t>
            </w:r>
          </w:p>
        </w:tc>
        <w:tc>
          <w:tcPr>
            <w:tcW w:w="442" w:type="pct"/>
            <w:shd w:val="clear" w:color="auto" w:fill="auto"/>
            <w:vAlign w:val="center"/>
          </w:tcPr>
          <w:p w14:paraId="101E7F8C">
            <w:pPr>
              <w:pStyle w:val="969"/>
              <w:rPr>
                <w:rFonts w:hint="eastAsia"/>
                <w:color w:val="auto"/>
                <w:highlight w:val="none"/>
                <w:u w:val="none"/>
              </w:rPr>
            </w:pPr>
            <w:r>
              <w:rPr>
                <w:color w:val="auto"/>
                <w:highlight w:val="none"/>
                <w:u w:val="none"/>
              </w:rPr>
              <w:t>一级</w:t>
            </w:r>
          </w:p>
        </w:tc>
        <w:tc>
          <w:tcPr>
            <w:tcW w:w="442" w:type="pct"/>
            <w:shd w:val="clear" w:color="auto" w:fill="auto"/>
            <w:vAlign w:val="center"/>
          </w:tcPr>
          <w:p w14:paraId="7D0FC485">
            <w:pPr>
              <w:pStyle w:val="969"/>
              <w:rPr>
                <w:rFonts w:hint="eastAsia"/>
                <w:color w:val="auto"/>
                <w:highlight w:val="none"/>
                <w:u w:val="none"/>
              </w:rPr>
            </w:pPr>
            <w:r>
              <w:rPr>
                <w:color w:val="auto"/>
                <w:highlight w:val="none"/>
                <w:u w:val="none"/>
              </w:rPr>
              <w:t>一级</w:t>
            </w:r>
          </w:p>
        </w:tc>
        <w:tc>
          <w:tcPr>
            <w:tcW w:w="442" w:type="pct"/>
            <w:shd w:val="clear" w:color="auto" w:fill="auto"/>
            <w:vAlign w:val="center"/>
          </w:tcPr>
          <w:p w14:paraId="60F31807">
            <w:pPr>
              <w:pStyle w:val="969"/>
              <w:rPr>
                <w:rFonts w:hint="eastAsia"/>
                <w:color w:val="auto"/>
                <w:highlight w:val="none"/>
                <w:u w:val="none"/>
              </w:rPr>
            </w:pPr>
            <w:r>
              <w:rPr>
                <w:color w:val="auto"/>
                <w:highlight w:val="none"/>
                <w:u w:val="none"/>
              </w:rPr>
              <w:t>一级</w:t>
            </w:r>
          </w:p>
        </w:tc>
        <w:tc>
          <w:tcPr>
            <w:tcW w:w="442" w:type="pct"/>
            <w:shd w:val="clear" w:color="auto" w:fill="auto"/>
            <w:vAlign w:val="center"/>
          </w:tcPr>
          <w:p w14:paraId="68EDAC2B">
            <w:pPr>
              <w:pStyle w:val="969"/>
              <w:rPr>
                <w:rFonts w:hint="eastAsia"/>
                <w:color w:val="auto"/>
                <w:highlight w:val="none"/>
                <w:u w:val="none"/>
              </w:rPr>
            </w:pPr>
            <w:r>
              <w:rPr>
                <w:color w:val="auto"/>
                <w:highlight w:val="none"/>
                <w:u w:val="none"/>
              </w:rPr>
              <w:t>二级</w:t>
            </w:r>
          </w:p>
        </w:tc>
        <w:tc>
          <w:tcPr>
            <w:tcW w:w="442" w:type="pct"/>
            <w:tcBorders>
              <w:top w:val="single" w:color="000000" w:sz="4" w:space="0"/>
              <w:bottom w:val="single" w:color="000000" w:sz="4" w:space="0"/>
            </w:tcBorders>
            <w:shd w:val="clear" w:color="auto" w:fill="auto"/>
            <w:vAlign w:val="center"/>
          </w:tcPr>
          <w:p w14:paraId="00F2CF7B">
            <w:pPr>
              <w:pStyle w:val="969"/>
              <w:rPr>
                <w:rFonts w:hint="eastAsia"/>
                <w:color w:val="auto"/>
                <w:highlight w:val="none"/>
                <w:u w:val="none"/>
              </w:rPr>
            </w:pPr>
            <w:r>
              <w:rPr>
                <w:color w:val="auto"/>
                <w:highlight w:val="none"/>
                <w:u w:val="none"/>
              </w:rPr>
              <w:t>二级</w:t>
            </w:r>
          </w:p>
        </w:tc>
        <w:tc>
          <w:tcPr>
            <w:tcW w:w="442" w:type="pct"/>
            <w:tcBorders>
              <w:top w:val="single" w:color="000000" w:sz="4" w:space="0"/>
              <w:bottom w:val="single" w:color="000000" w:sz="4" w:space="0"/>
            </w:tcBorders>
            <w:shd w:val="clear" w:color="auto" w:fill="auto"/>
            <w:vAlign w:val="center"/>
          </w:tcPr>
          <w:p w14:paraId="7E0E5DB3">
            <w:pPr>
              <w:pStyle w:val="969"/>
              <w:rPr>
                <w:rFonts w:hint="eastAsia"/>
                <w:color w:val="auto"/>
                <w:highlight w:val="none"/>
                <w:u w:val="none"/>
              </w:rPr>
            </w:pPr>
            <w:r>
              <w:rPr>
                <w:color w:val="auto"/>
                <w:highlight w:val="none"/>
                <w:u w:val="none"/>
              </w:rPr>
              <w:t>二级</w:t>
            </w:r>
          </w:p>
        </w:tc>
        <w:tc>
          <w:tcPr>
            <w:tcW w:w="442" w:type="pct"/>
            <w:shd w:val="clear" w:color="auto" w:fill="auto"/>
            <w:vAlign w:val="center"/>
          </w:tcPr>
          <w:p w14:paraId="082D88D4">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55E6E224">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157E509A">
            <w:pPr>
              <w:pStyle w:val="969"/>
              <w:rPr>
                <w:rFonts w:hint="eastAsia"/>
                <w:color w:val="auto"/>
                <w:highlight w:val="none"/>
                <w:u w:val="none"/>
              </w:rPr>
            </w:pPr>
            <w:r>
              <w:rPr>
                <w:color w:val="auto"/>
                <w:highlight w:val="none"/>
                <w:u w:val="none"/>
              </w:rPr>
              <w:t>三级</w:t>
            </w:r>
          </w:p>
        </w:tc>
      </w:tr>
      <w:tr w14:paraId="28719F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5" w:type="pct"/>
            <w:shd w:val="clear" w:color="auto" w:fill="auto"/>
            <w:vAlign w:val="center"/>
          </w:tcPr>
          <w:p w14:paraId="1B7AF286">
            <w:pPr>
              <w:pStyle w:val="969"/>
              <w:rPr>
                <w:rFonts w:hint="eastAsia"/>
                <w:color w:val="auto"/>
                <w:highlight w:val="none"/>
                <w:u w:val="none"/>
              </w:rPr>
            </w:pPr>
            <w:r>
              <w:rPr>
                <w:color w:val="auto"/>
                <w:highlight w:val="none"/>
                <w:u w:val="none"/>
              </w:rPr>
              <w:t>较敏感</w:t>
            </w:r>
          </w:p>
        </w:tc>
        <w:tc>
          <w:tcPr>
            <w:tcW w:w="442" w:type="pct"/>
            <w:shd w:val="clear" w:color="auto" w:fill="auto"/>
            <w:vAlign w:val="center"/>
          </w:tcPr>
          <w:p w14:paraId="56B6C9AF">
            <w:pPr>
              <w:pStyle w:val="969"/>
              <w:rPr>
                <w:rFonts w:hint="eastAsia"/>
                <w:color w:val="auto"/>
                <w:highlight w:val="none"/>
                <w:u w:val="none"/>
              </w:rPr>
            </w:pPr>
            <w:r>
              <w:rPr>
                <w:color w:val="auto"/>
                <w:highlight w:val="none"/>
                <w:u w:val="none"/>
              </w:rPr>
              <w:t>一级</w:t>
            </w:r>
          </w:p>
        </w:tc>
        <w:tc>
          <w:tcPr>
            <w:tcW w:w="442" w:type="pct"/>
            <w:tcBorders>
              <w:bottom w:val="single" w:color="000000" w:sz="4" w:space="0"/>
            </w:tcBorders>
            <w:shd w:val="clear" w:color="auto" w:fill="auto"/>
            <w:vAlign w:val="center"/>
          </w:tcPr>
          <w:p w14:paraId="3D641198">
            <w:pPr>
              <w:pStyle w:val="969"/>
              <w:rPr>
                <w:rFonts w:hint="eastAsia"/>
                <w:color w:val="auto"/>
                <w:highlight w:val="none"/>
                <w:u w:val="none"/>
              </w:rPr>
            </w:pPr>
            <w:r>
              <w:rPr>
                <w:color w:val="auto"/>
                <w:highlight w:val="none"/>
                <w:u w:val="none"/>
              </w:rPr>
              <w:t>一级</w:t>
            </w:r>
          </w:p>
        </w:tc>
        <w:tc>
          <w:tcPr>
            <w:tcW w:w="442" w:type="pct"/>
            <w:shd w:val="clear" w:color="auto" w:fill="auto"/>
            <w:vAlign w:val="center"/>
          </w:tcPr>
          <w:p w14:paraId="4303D7F3">
            <w:pPr>
              <w:pStyle w:val="969"/>
              <w:rPr>
                <w:rFonts w:hint="eastAsia"/>
                <w:color w:val="auto"/>
                <w:highlight w:val="none"/>
                <w:u w:val="none"/>
              </w:rPr>
            </w:pPr>
            <w:r>
              <w:rPr>
                <w:color w:val="auto"/>
                <w:highlight w:val="none"/>
                <w:u w:val="none"/>
              </w:rPr>
              <w:t>二级</w:t>
            </w:r>
          </w:p>
        </w:tc>
        <w:tc>
          <w:tcPr>
            <w:tcW w:w="442" w:type="pct"/>
            <w:shd w:val="clear" w:color="auto" w:fill="auto"/>
            <w:vAlign w:val="center"/>
          </w:tcPr>
          <w:p w14:paraId="0580560E">
            <w:pPr>
              <w:pStyle w:val="969"/>
              <w:rPr>
                <w:rFonts w:hint="eastAsia"/>
                <w:color w:val="auto"/>
                <w:highlight w:val="none"/>
                <w:u w:val="none"/>
              </w:rPr>
            </w:pPr>
            <w:r>
              <w:rPr>
                <w:color w:val="auto"/>
                <w:highlight w:val="none"/>
                <w:u w:val="none"/>
              </w:rPr>
              <w:t>二级</w:t>
            </w:r>
          </w:p>
        </w:tc>
        <w:tc>
          <w:tcPr>
            <w:tcW w:w="442" w:type="pct"/>
            <w:tcBorders>
              <w:top w:val="single" w:color="000000" w:sz="4" w:space="0"/>
            </w:tcBorders>
            <w:shd w:val="clear" w:color="auto" w:fill="auto"/>
            <w:vAlign w:val="center"/>
          </w:tcPr>
          <w:p w14:paraId="27720338">
            <w:pPr>
              <w:pStyle w:val="969"/>
              <w:rPr>
                <w:rFonts w:hint="eastAsia"/>
                <w:color w:val="auto"/>
                <w:highlight w:val="none"/>
                <w:u w:val="none"/>
              </w:rPr>
            </w:pPr>
            <w:r>
              <w:rPr>
                <w:color w:val="auto"/>
                <w:highlight w:val="none"/>
                <w:u w:val="none"/>
              </w:rPr>
              <w:t>二级</w:t>
            </w:r>
          </w:p>
        </w:tc>
        <w:tc>
          <w:tcPr>
            <w:tcW w:w="442" w:type="pct"/>
            <w:tcBorders>
              <w:top w:val="single" w:color="000000" w:sz="4" w:space="0"/>
            </w:tcBorders>
            <w:shd w:val="clear" w:color="auto" w:fill="auto"/>
            <w:vAlign w:val="center"/>
          </w:tcPr>
          <w:p w14:paraId="5BF254A8">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7AA69EA6">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65213C8A">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471C6C40">
            <w:pPr>
              <w:pStyle w:val="969"/>
              <w:rPr>
                <w:rFonts w:hint="eastAsia"/>
                <w:color w:val="auto"/>
                <w:highlight w:val="none"/>
                <w:u w:val="none"/>
              </w:rPr>
            </w:pPr>
            <w:r>
              <w:rPr>
                <w:color w:val="auto"/>
                <w:highlight w:val="none"/>
                <w:u w:val="none"/>
              </w:rPr>
              <w:t>—</w:t>
            </w:r>
          </w:p>
        </w:tc>
      </w:tr>
      <w:tr w14:paraId="63D733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5" w:type="pct"/>
            <w:shd w:val="clear" w:color="auto" w:fill="auto"/>
            <w:vAlign w:val="center"/>
          </w:tcPr>
          <w:p w14:paraId="29F654F4">
            <w:pPr>
              <w:pStyle w:val="969"/>
              <w:rPr>
                <w:rFonts w:hint="eastAsia"/>
                <w:color w:val="auto"/>
                <w:highlight w:val="none"/>
                <w:u w:val="none"/>
              </w:rPr>
            </w:pPr>
            <w:r>
              <w:rPr>
                <w:color w:val="auto"/>
                <w:highlight w:val="none"/>
                <w:u w:val="none"/>
              </w:rPr>
              <w:t>不敏感</w:t>
            </w:r>
          </w:p>
        </w:tc>
        <w:tc>
          <w:tcPr>
            <w:tcW w:w="442" w:type="pct"/>
            <w:shd w:val="clear" w:color="auto" w:fill="auto"/>
            <w:vAlign w:val="center"/>
          </w:tcPr>
          <w:p w14:paraId="6A25E928">
            <w:pPr>
              <w:pStyle w:val="969"/>
              <w:rPr>
                <w:rFonts w:hint="eastAsia"/>
                <w:color w:val="auto"/>
                <w:highlight w:val="none"/>
                <w:u w:val="none"/>
              </w:rPr>
            </w:pPr>
            <w:r>
              <w:rPr>
                <w:color w:val="auto"/>
                <w:highlight w:val="none"/>
                <w:u w:val="none"/>
              </w:rPr>
              <w:t>一级</w:t>
            </w:r>
          </w:p>
        </w:tc>
        <w:tc>
          <w:tcPr>
            <w:tcW w:w="442" w:type="pct"/>
            <w:tcBorders>
              <w:top w:val="single" w:color="000000" w:sz="4" w:space="0"/>
              <w:bottom w:val="single" w:color="000000" w:sz="12" w:space="0"/>
            </w:tcBorders>
            <w:shd w:val="clear" w:color="auto" w:fill="D7D7D7" w:themeFill="background1" w:themeFillShade="D8"/>
            <w:vAlign w:val="center"/>
          </w:tcPr>
          <w:p w14:paraId="4B6E9F8A">
            <w:pPr>
              <w:pStyle w:val="969"/>
              <w:rPr>
                <w:rFonts w:hint="eastAsia"/>
                <w:color w:val="auto"/>
                <w:highlight w:val="none"/>
                <w:u w:val="none"/>
              </w:rPr>
            </w:pPr>
            <w:r>
              <w:rPr>
                <w:color w:val="auto"/>
                <w:highlight w:val="none"/>
                <w:u w:val="none"/>
              </w:rPr>
              <w:t>二级</w:t>
            </w:r>
          </w:p>
        </w:tc>
        <w:tc>
          <w:tcPr>
            <w:tcW w:w="442" w:type="pct"/>
            <w:shd w:val="clear" w:color="auto" w:fill="auto"/>
            <w:vAlign w:val="center"/>
          </w:tcPr>
          <w:p w14:paraId="6DEB3C35">
            <w:pPr>
              <w:pStyle w:val="969"/>
              <w:rPr>
                <w:rFonts w:hint="eastAsia"/>
                <w:color w:val="auto"/>
                <w:highlight w:val="none"/>
                <w:u w:val="none"/>
              </w:rPr>
            </w:pPr>
            <w:r>
              <w:rPr>
                <w:color w:val="auto"/>
                <w:highlight w:val="none"/>
                <w:u w:val="none"/>
              </w:rPr>
              <w:t>二级</w:t>
            </w:r>
          </w:p>
        </w:tc>
        <w:tc>
          <w:tcPr>
            <w:tcW w:w="442" w:type="pct"/>
            <w:shd w:val="clear" w:color="auto" w:fill="auto"/>
            <w:vAlign w:val="center"/>
          </w:tcPr>
          <w:p w14:paraId="7471BD9A">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4A83C2FE">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3BDC6277">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10BA410E">
            <w:pPr>
              <w:pStyle w:val="969"/>
              <w:rPr>
                <w:rFonts w:hint="eastAsia"/>
                <w:color w:val="auto"/>
                <w:highlight w:val="none"/>
                <w:u w:val="none"/>
              </w:rPr>
            </w:pPr>
            <w:r>
              <w:rPr>
                <w:color w:val="auto"/>
                <w:highlight w:val="none"/>
                <w:u w:val="none"/>
              </w:rPr>
              <w:t>三级</w:t>
            </w:r>
          </w:p>
        </w:tc>
        <w:tc>
          <w:tcPr>
            <w:tcW w:w="442" w:type="pct"/>
            <w:shd w:val="clear" w:color="auto" w:fill="auto"/>
            <w:vAlign w:val="center"/>
          </w:tcPr>
          <w:p w14:paraId="545E770C">
            <w:pPr>
              <w:pStyle w:val="969"/>
              <w:rPr>
                <w:rFonts w:hint="eastAsia"/>
                <w:color w:val="auto"/>
                <w:highlight w:val="none"/>
                <w:u w:val="none"/>
              </w:rPr>
            </w:pPr>
            <w:r>
              <w:rPr>
                <w:color w:val="auto"/>
                <w:highlight w:val="none"/>
                <w:u w:val="none"/>
              </w:rPr>
              <w:t>—</w:t>
            </w:r>
          </w:p>
        </w:tc>
        <w:tc>
          <w:tcPr>
            <w:tcW w:w="442" w:type="pct"/>
            <w:shd w:val="clear" w:color="auto" w:fill="auto"/>
            <w:vAlign w:val="center"/>
          </w:tcPr>
          <w:p w14:paraId="4709F3B5">
            <w:pPr>
              <w:pStyle w:val="969"/>
              <w:rPr>
                <w:rFonts w:hint="eastAsia"/>
                <w:color w:val="auto"/>
                <w:highlight w:val="none"/>
                <w:u w:val="none"/>
              </w:rPr>
            </w:pPr>
            <w:r>
              <w:rPr>
                <w:color w:val="auto"/>
                <w:highlight w:val="none"/>
                <w:u w:val="none"/>
              </w:rPr>
              <w:t>—</w:t>
            </w:r>
          </w:p>
        </w:tc>
      </w:tr>
    </w:tbl>
    <w:p w14:paraId="51D62FE9">
      <w:pPr>
        <w:pStyle w:val="6"/>
        <w:spacing w:before="120" w:after="120"/>
        <w:rPr>
          <w:color w:val="auto"/>
          <w:highlight w:val="none"/>
          <w:u w:val="none"/>
        </w:rPr>
      </w:pPr>
      <w:bookmarkStart w:id="110" w:name="_Toc148374882"/>
      <w:bookmarkStart w:id="111" w:name="_Toc148374440"/>
      <w:r>
        <w:rPr>
          <w:rFonts w:hint="eastAsia"/>
          <w:color w:val="auto"/>
          <w:highlight w:val="none"/>
          <w:u w:val="none"/>
        </w:rPr>
        <w:t>生态环境</w:t>
      </w:r>
      <w:bookmarkEnd w:id="110"/>
      <w:bookmarkEnd w:id="111"/>
    </w:p>
    <w:p w14:paraId="20F8DBAF">
      <w:pPr>
        <w:ind w:firstLine="424" w:firstLineChars="177"/>
        <w:rPr>
          <w:rFonts w:hint="eastAsia"/>
          <w:color w:val="auto"/>
          <w:szCs w:val="20"/>
          <w:highlight w:val="none"/>
          <w:u w:val="none"/>
        </w:rPr>
      </w:pPr>
      <w:r>
        <w:rPr>
          <w:rFonts w:hint="eastAsia"/>
          <w:color w:val="auto"/>
          <w:highlight w:val="none"/>
          <w:u w:val="none"/>
        </w:rPr>
        <w:t>本项目位于</w:t>
      </w:r>
      <w:r>
        <w:rPr>
          <w:color w:val="auto"/>
          <w:highlight w:val="none"/>
          <w:u w:val="none"/>
        </w:rPr>
        <w:t>江阴港城经济区</w:t>
      </w:r>
      <w:r>
        <w:rPr>
          <w:rFonts w:hint="eastAsia"/>
          <w:color w:val="auto"/>
          <w:highlight w:val="none"/>
          <w:u w:val="none"/>
        </w:rPr>
        <w:t>的西部临港产业区万华化学（福建）有限公司厂界范围内，属于在原厂界范围内的污染影响类</w:t>
      </w:r>
      <w:r>
        <w:rPr>
          <w:rFonts w:hint="eastAsia"/>
          <w:color w:val="auto"/>
          <w:highlight w:val="none"/>
          <w:u w:val="none"/>
          <w:lang w:val="en-US"/>
        </w:rPr>
        <w:t>技改扩能</w:t>
      </w:r>
      <w:r>
        <w:rPr>
          <w:rFonts w:hint="eastAsia"/>
          <w:color w:val="auto"/>
          <w:highlight w:val="none"/>
          <w:u w:val="none"/>
        </w:rPr>
        <w:t>项目，《江阴港城总体规划（2018-2035）环境影响报告书》已于2</w:t>
      </w:r>
      <w:r>
        <w:rPr>
          <w:color w:val="auto"/>
          <w:highlight w:val="none"/>
          <w:u w:val="none"/>
        </w:rPr>
        <w:t>018</w:t>
      </w:r>
      <w:r>
        <w:rPr>
          <w:rFonts w:hint="eastAsia"/>
          <w:color w:val="auto"/>
          <w:highlight w:val="none"/>
          <w:u w:val="none"/>
        </w:rPr>
        <w:t>年5月2</w:t>
      </w:r>
      <w:r>
        <w:rPr>
          <w:color w:val="auto"/>
          <w:highlight w:val="none"/>
          <w:u w:val="none"/>
        </w:rPr>
        <w:t>2</w:t>
      </w:r>
      <w:r>
        <w:rPr>
          <w:rFonts w:hint="eastAsia"/>
          <w:color w:val="auto"/>
          <w:highlight w:val="none"/>
          <w:u w:val="none"/>
        </w:rPr>
        <w:t xml:space="preserve">日通过审查，且项目位于西部临港产业区的工业用地内，符合规划环评的要求，不涉及生态敏感区，符合生态环境分区管控要求，根据《环境影响评价技术导则 </w:t>
      </w:r>
      <w:r>
        <w:rPr>
          <w:color w:val="auto"/>
          <w:highlight w:val="none"/>
          <w:u w:val="none"/>
        </w:rPr>
        <w:t xml:space="preserve"> </w:t>
      </w:r>
      <w:r>
        <w:rPr>
          <w:rFonts w:hint="eastAsia"/>
          <w:color w:val="auto"/>
          <w:highlight w:val="none"/>
          <w:u w:val="none"/>
        </w:rPr>
        <w:t>生态影响》（HJ</w:t>
      </w:r>
      <w:r>
        <w:rPr>
          <w:color w:val="auto"/>
          <w:highlight w:val="none"/>
          <w:u w:val="none"/>
        </w:rPr>
        <w:t>19-2022</w:t>
      </w:r>
      <w:r>
        <w:rPr>
          <w:rFonts w:hint="eastAsia"/>
          <w:color w:val="auto"/>
          <w:highlight w:val="none"/>
          <w:u w:val="none"/>
        </w:rPr>
        <w:t>）中的评价等级判定原则，本项目生态环境影响仅进行简单分析。</w:t>
      </w:r>
    </w:p>
    <w:p w14:paraId="06107A7B">
      <w:pPr>
        <w:pStyle w:val="6"/>
        <w:spacing w:before="120" w:after="120"/>
        <w:rPr>
          <w:color w:val="auto"/>
          <w:highlight w:val="none"/>
          <w:u w:val="none"/>
        </w:rPr>
      </w:pPr>
      <w:bookmarkStart w:id="112" w:name="_Toc148374883"/>
      <w:bookmarkStart w:id="113" w:name="_Toc148374441"/>
      <w:r>
        <w:rPr>
          <w:rFonts w:hint="eastAsia"/>
          <w:color w:val="auto"/>
          <w:highlight w:val="none"/>
          <w:u w:val="none"/>
        </w:rPr>
        <w:t>环境风险</w:t>
      </w:r>
      <w:bookmarkEnd w:id="112"/>
      <w:bookmarkEnd w:id="113"/>
    </w:p>
    <w:p w14:paraId="4137731C">
      <w:pPr>
        <w:pStyle w:val="981"/>
        <w:rPr>
          <w:rFonts w:hint="eastAsia"/>
          <w:color w:val="auto"/>
          <w:highlight w:val="none"/>
          <w:u w:val="none"/>
        </w:rPr>
      </w:pPr>
      <w:r>
        <w:rPr>
          <w:color w:val="auto"/>
          <w:highlight w:val="none"/>
          <w:u w:val="none"/>
        </w:rPr>
        <w:t>（1）评价等级</w:t>
      </w:r>
    </w:p>
    <w:p w14:paraId="0747DC61">
      <w:pPr>
        <w:pStyle w:val="981"/>
        <w:rPr>
          <w:rFonts w:hint="eastAsia"/>
          <w:color w:val="auto"/>
          <w:highlight w:val="none"/>
          <w:u w:val="none"/>
        </w:rPr>
      </w:pPr>
      <w:r>
        <w:rPr>
          <w:color w:val="auto"/>
          <w:highlight w:val="none"/>
          <w:u w:val="none"/>
        </w:rPr>
        <w:t>根据《建设项目环境风险评价技术导则》（HJ 169-2018）所列易燃易爆、有毒物质及其临界量的规定判定，本项目所涉及的危险物质数量与临界量比值Q=</w:t>
      </w:r>
      <w:r>
        <w:rPr>
          <w:rFonts w:hint="eastAsia"/>
          <w:color w:val="auto"/>
          <w:highlight w:val="none"/>
          <w:u w:val="none"/>
          <w:lang w:val="en-US"/>
        </w:rPr>
        <w:t>820.1</w:t>
      </w:r>
      <w:r>
        <w:rPr>
          <w:color w:val="auto"/>
          <w:highlight w:val="none"/>
          <w:u w:val="none"/>
        </w:rPr>
        <w:t>，根据建设项目涉及的物质和工艺系统的危险性及其所在地的环境敏感程度（大气环境敏感程度为E1，地下水环境敏感程度E2），结合事故情形下环境影响途径，对建设项目潜在的环境危害程度进行概化分析，按《建设项目环境风险评价技术导则》（HJ169-2018）表2建设项目环境风险潜势划分，项目大气环境敏感程度为E1</w:t>
      </w:r>
      <w:r>
        <w:rPr>
          <w:rFonts w:hint="eastAsia"/>
          <w:color w:val="auto"/>
          <w:highlight w:val="none"/>
          <w:u w:val="none"/>
        </w:rPr>
        <w:t>，</w:t>
      </w:r>
      <w:r>
        <w:rPr>
          <w:color w:val="auto"/>
          <w:highlight w:val="none"/>
          <w:u w:val="none"/>
        </w:rPr>
        <w:t>判断风险潜势为Ⅳ+级</w:t>
      </w:r>
      <w:r>
        <w:rPr>
          <w:rFonts w:hint="eastAsia"/>
          <w:color w:val="auto"/>
          <w:highlight w:val="none"/>
          <w:u w:val="none"/>
        </w:rPr>
        <w:t>，大气环境风险评价工作等级为一级</w:t>
      </w:r>
      <w:r>
        <w:rPr>
          <w:color w:val="auto"/>
          <w:highlight w:val="none"/>
          <w:u w:val="none"/>
        </w:rPr>
        <w:t>；地下水环境敏感程度为E2，判断风险潜势为Ⅳ级</w:t>
      </w:r>
      <w:r>
        <w:rPr>
          <w:rFonts w:hint="eastAsia"/>
          <w:color w:val="auto"/>
          <w:highlight w:val="none"/>
          <w:u w:val="none"/>
        </w:rPr>
        <w:t>，地下水环境风险评价工作等级为一级；本项目在执行地表水环境风险防控措施的前提下，可确保事故废水不入海，本项目风险不会对地表水敏感目标产生影响</w:t>
      </w:r>
      <w:r>
        <w:rPr>
          <w:color w:val="auto"/>
          <w:highlight w:val="none"/>
          <w:u w:val="none"/>
        </w:rPr>
        <w:t>。本项目环境风险潜势综合等级取各要素等级的相对高值，即本项目环境风险潜势综合等级为Ⅳ+级</w:t>
      </w:r>
      <w:r>
        <w:rPr>
          <w:rFonts w:hint="eastAsia"/>
          <w:color w:val="auto"/>
          <w:highlight w:val="none"/>
          <w:u w:val="none"/>
        </w:rPr>
        <w:t>，因此本项目环境风险评价工作等级为一级</w:t>
      </w:r>
      <w:r>
        <w:rPr>
          <w:color w:val="auto"/>
          <w:highlight w:val="none"/>
          <w:u w:val="none"/>
        </w:rPr>
        <w:t>。各要素环境风险评价工作等级见</w:t>
      </w:r>
      <w:r>
        <w:rPr>
          <w:color w:val="auto"/>
          <w:highlight w:val="none"/>
          <w:u w:val="none"/>
        </w:rPr>
        <w:fldChar w:fldCharType="begin"/>
      </w:r>
      <w:r>
        <w:rPr>
          <w:color w:val="auto"/>
          <w:highlight w:val="none"/>
          <w:u w:val="none"/>
        </w:rPr>
        <w:instrText xml:space="preserve"> REF _Ref31493 \h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t>5</w:t>
      </w:r>
      <w:r>
        <w:rPr>
          <w:color w:val="auto"/>
          <w:highlight w:val="none"/>
          <w:u w:val="none"/>
        </w:rPr>
        <w:fldChar w:fldCharType="end"/>
      </w:r>
      <w:r>
        <w:rPr>
          <w:color w:val="auto"/>
          <w:highlight w:val="none"/>
          <w:u w:val="none"/>
        </w:rPr>
        <w:t>。</w:t>
      </w:r>
    </w:p>
    <w:p w14:paraId="6ADE3B98">
      <w:pPr>
        <w:pStyle w:val="85"/>
        <w:rPr>
          <w:color w:val="auto"/>
          <w:highlight w:val="none"/>
          <w:u w:val="none"/>
        </w:rPr>
      </w:pPr>
      <w:bookmarkStart w:id="114" w:name="_Ref3149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5</w:t>
      </w:r>
      <w:r>
        <w:rPr>
          <w:color w:val="auto"/>
          <w:highlight w:val="none"/>
          <w:u w:val="none"/>
        </w:rPr>
        <w:fldChar w:fldCharType="end"/>
      </w:r>
      <w:bookmarkEnd w:id="114"/>
      <w:r>
        <w:rPr>
          <w:color w:val="auto"/>
          <w:highlight w:val="none"/>
          <w:u w:val="none"/>
        </w:rPr>
        <w:t xml:space="preserve"> 本项目各要素环境风险潜势</w:t>
      </w:r>
    </w:p>
    <w:tbl>
      <w:tblPr>
        <w:tblStyle w:val="5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843"/>
        <w:gridCol w:w="1984"/>
        <w:gridCol w:w="1715"/>
        <w:gridCol w:w="1642"/>
        <w:gridCol w:w="1118"/>
      </w:tblGrid>
      <w:tr w14:paraId="4B74B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17" w:type="dxa"/>
            <w:vAlign w:val="center"/>
          </w:tcPr>
          <w:p w14:paraId="6AA1258F">
            <w:pPr>
              <w:pStyle w:val="92"/>
              <w:rPr>
                <w:color w:val="auto"/>
                <w:highlight w:val="none"/>
                <w:u w:val="none"/>
              </w:rPr>
            </w:pPr>
            <w:r>
              <w:rPr>
                <w:color w:val="auto"/>
                <w:highlight w:val="none"/>
                <w:u w:val="none"/>
              </w:rPr>
              <w:t>序号</w:t>
            </w:r>
          </w:p>
        </w:tc>
        <w:tc>
          <w:tcPr>
            <w:tcW w:w="1843" w:type="dxa"/>
            <w:vAlign w:val="center"/>
          </w:tcPr>
          <w:p w14:paraId="432ADC28">
            <w:pPr>
              <w:pStyle w:val="92"/>
              <w:rPr>
                <w:color w:val="auto"/>
                <w:highlight w:val="none"/>
                <w:u w:val="none"/>
              </w:rPr>
            </w:pPr>
            <w:r>
              <w:rPr>
                <w:color w:val="auto"/>
                <w:highlight w:val="none"/>
                <w:u w:val="none"/>
              </w:rPr>
              <w:t>要素</w:t>
            </w:r>
          </w:p>
        </w:tc>
        <w:tc>
          <w:tcPr>
            <w:tcW w:w="1984" w:type="dxa"/>
            <w:vAlign w:val="center"/>
          </w:tcPr>
          <w:p w14:paraId="5E4CB203">
            <w:pPr>
              <w:pStyle w:val="92"/>
              <w:rPr>
                <w:color w:val="auto"/>
                <w:highlight w:val="none"/>
                <w:u w:val="none"/>
              </w:rPr>
            </w:pPr>
            <w:r>
              <w:rPr>
                <w:color w:val="auto"/>
                <w:highlight w:val="none"/>
                <w:u w:val="none"/>
              </w:rPr>
              <w:t>E的分级</w:t>
            </w:r>
          </w:p>
        </w:tc>
        <w:tc>
          <w:tcPr>
            <w:tcW w:w="1715" w:type="dxa"/>
            <w:vAlign w:val="center"/>
          </w:tcPr>
          <w:p w14:paraId="3F5601DE">
            <w:pPr>
              <w:pStyle w:val="92"/>
              <w:rPr>
                <w:color w:val="auto"/>
                <w:highlight w:val="none"/>
                <w:u w:val="none"/>
              </w:rPr>
            </w:pPr>
            <w:r>
              <w:rPr>
                <w:color w:val="auto"/>
                <w:highlight w:val="none"/>
                <w:u w:val="none"/>
              </w:rPr>
              <w:t>P分级</w:t>
            </w:r>
          </w:p>
        </w:tc>
        <w:tc>
          <w:tcPr>
            <w:tcW w:w="1642" w:type="dxa"/>
            <w:vAlign w:val="center"/>
          </w:tcPr>
          <w:p w14:paraId="61928740">
            <w:pPr>
              <w:pStyle w:val="92"/>
              <w:rPr>
                <w:color w:val="auto"/>
                <w:highlight w:val="none"/>
                <w:u w:val="none"/>
              </w:rPr>
            </w:pPr>
            <w:r>
              <w:rPr>
                <w:color w:val="auto"/>
                <w:highlight w:val="none"/>
                <w:u w:val="none"/>
              </w:rPr>
              <w:t>环境风险潜势</w:t>
            </w:r>
          </w:p>
        </w:tc>
        <w:tc>
          <w:tcPr>
            <w:tcW w:w="1118" w:type="dxa"/>
            <w:vAlign w:val="center"/>
          </w:tcPr>
          <w:p w14:paraId="4D5B87C7">
            <w:pPr>
              <w:pStyle w:val="92"/>
              <w:rPr>
                <w:color w:val="auto"/>
                <w:highlight w:val="none"/>
                <w:u w:val="none"/>
              </w:rPr>
            </w:pPr>
            <w:r>
              <w:rPr>
                <w:color w:val="auto"/>
                <w:highlight w:val="none"/>
                <w:u w:val="none"/>
              </w:rPr>
              <w:t>评价等级</w:t>
            </w:r>
          </w:p>
        </w:tc>
      </w:tr>
      <w:tr w14:paraId="0AE51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17" w:type="dxa"/>
            <w:vAlign w:val="center"/>
          </w:tcPr>
          <w:p w14:paraId="58577CE0">
            <w:pPr>
              <w:pStyle w:val="92"/>
              <w:rPr>
                <w:color w:val="auto"/>
                <w:highlight w:val="none"/>
                <w:u w:val="none"/>
              </w:rPr>
            </w:pPr>
            <w:r>
              <w:rPr>
                <w:color w:val="auto"/>
                <w:highlight w:val="none"/>
                <w:u w:val="none"/>
              </w:rPr>
              <w:t>1</w:t>
            </w:r>
          </w:p>
        </w:tc>
        <w:tc>
          <w:tcPr>
            <w:tcW w:w="1843" w:type="dxa"/>
            <w:vAlign w:val="center"/>
          </w:tcPr>
          <w:p w14:paraId="2F5E7FAF">
            <w:pPr>
              <w:pStyle w:val="92"/>
              <w:rPr>
                <w:color w:val="auto"/>
                <w:highlight w:val="none"/>
                <w:u w:val="none"/>
              </w:rPr>
            </w:pPr>
            <w:r>
              <w:rPr>
                <w:color w:val="auto"/>
                <w:highlight w:val="none"/>
                <w:u w:val="none"/>
              </w:rPr>
              <w:t>大气</w:t>
            </w:r>
          </w:p>
        </w:tc>
        <w:tc>
          <w:tcPr>
            <w:tcW w:w="1984" w:type="dxa"/>
            <w:vAlign w:val="center"/>
          </w:tcPr>
          <w:p w14:paraId="57551C0A">
            <w:pPr>
              <w:pStyle w:val="92"/>
              <w:rPr>
                <w:color w:val="auto"/>
                <w:highlight w:val="none"/>
                <w:u w:val="none"/>
              </w:rPr>
            </w:pPr>
            <w:r>
              <w:rPr>
                <w:color w:val="auto"/>
                <w:highlight w:val="none"/>
                <w:u w:val="none"/>
              </w:rPr>
              <w:t>E1</w:t>
            </w:r>
          </w:p>
        </w:tc>
        <w:tc>
          <w:tcPr>
            <w:tcW w:w="1715" w:type="dxa"/>
            <w:vAlign w:val="center"/>
          </w:tcPr>
          <w:p w14:paraId="77217FB3">
            <w:pPr>
              <w:pStyle w:val="92"/>
              <w:rPr>
                <w:color w:val="auto"/>
                <w:highlight w:val="none"/>
                <w:u w:val="none"/>
              </w:rPr>
            </w:pPr>
            <w:r>
              <w:rPr>
                <w:color w:val="auto"/>
                <w:highlight w:val="none"/>
                <w:u w:val="none"/>
              </w:rPr>
              <w:t>P1</w:t>
            </w:r>
          </w:p>
        </w:tc>
        <w:tc>
          <w:tcPr>
            <w:tcW w:w="1642" w:type="dxa"/>
            <w:vAlign w:val="center"/>
          </w:tcPr>
          <w:p w14:paraId="5B2CEE96">
            <w:pPr>
              <w:pStyle w:val="92"/>
              <w:rPr>
                <w:color w:val="auto"/>
                <w:highlight w:val="none"/>
                <w:u w:val="none"/>
              </w:rPr>
            </w:pPr>
            <w:r>
              <w:rPr>
                <w:color w:val="auto"/>
                <w:highlight w:val="none"/>
                <w:u w:val="none"/>
              </w:rPr>
              <w:t>Ⅳ</w:t>
            </w:r>
            <w:r>
              <w:rPr>
                <w:color w:val="auto"/>
                <w:highlight w:val="none"/>
                <w:u w:val="none"/>
                <w:vertAlign w:val="superscript"/>
              </w:rPr>
              <w:t>+</w:t>
            </w:r>
          </w:p>
        </w:tc>
        <w:tc>
          <w:tcPr>
            <w:tcW w:w="1118" w:type="dxa"/>
            <w:vAlign w:val="center"/>
          </w:tcPr>
          <w:p w14:paraId="65C9D45F">
            <w:pPr>
              <w:pStyle w:val="92"/>
              <w:rPr>
                <w:color w:val="auto"/>
                <w:highlight w:val="none"/>
                <w:u w:val="none"/>
              </w:rPr>
            </w:pPr>
            <w:r>
              <w:rPr>
                <w:color w:val="auto"/>
                <w:highlight w:val="none"/>
                <w:u w:val="none"/>
              </w:rPr>
              <w:t>一级</w:t>
            </w:r>
          </w:p>
        </w:tc>
      </w:tr>
      <w:tr w14:paraId="1B245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17" w:type="dxa"/>
            <w:vAlign w:val="center"/>
          </w:tcPr>
          <w:p w14:paraId="12EB97F7">
            <w:pPr>
              <w:pStyle w:val="92"/>
              <w:rPr>
                <w:color w:val="auto"/>
                <w:highlight w:val="none"/>
                <w:u w:val="none"/>
              </w:rPr>
            </w:pPr>
            <w:r>
              <w:rPr>
                <w:color w:val="auto"/>
                <w:highlight w:val="none"/>
                <w:u w:val="none"/>
              </w:rPr>
              <w:t>2</w:t>
            </w:r>
          </w:p>
        </w:tc>
        <w:tc>
          <w:tcPr>
            <w:tcW w:w="1843" w:type="dxa"/>
            <w:vAlign w:val="center"/>
          </w:tcPr>
          <w:p w14:paraId="7331926E">
            <w:pPr>
              <w:pStyle w:val="92"/>
              <w:rPr>
                <w:color w:val="auto"/>
                <w:highlight w:val="none"/>
                <w:u w:val="none"/>
              </w:rPr>
            </w:pPr>
            <w:r>
              <w:rPr>
                <w:color w:val="auto"/>
                <w:highlight w:val="none"/>
                <w:u w:val="none"/>
              </w:rPr>
              <w:t>地表水</w:t>
            </w:r>
          </w:p>
        </w:tc>
        <w:tc>
          <w:tcPr>
            <w:tcW w:w="1984" w:type="dxa"/>
            <w:vAlign w:val="center"/>
          </w:tcPr>
          <w:p w14:paraId="4FCB6C8A">
            <w:pPr>
              <w:pStyle w:val="92"/>
              <w:rPr>
                <w:color w:val="auto"/>
                <w:highlight w:val="none"/>
                <w:u w:val="none"/>
              </w:rPr>
            </w:pPr>
            <w:r>
              <w:rPr>
                <w:color w:val="auto"/>
                <w:highlight w:val="none"/>
                <w:u w:val="none"/>
              </w:rPr>
              <w:t>不涉及</w:t>
            </w:r>
          </w:p>
        </w:tc>
        <w:tc>
          <w:tcPr>
            <w:tcW w:w="1715" w:type="dxa"/>
            <w:vAlign w:val="center"/>
          </w:tcPr>
          <w:p w14:paraId="4A0FB73C">
            <w:pPr>
              <w:pStyle w:val="92"/>
              <w:rPr>
                <w:color w:val="auto"/>
                <w:highlight w:val="none"/>
                <w:u w:val="none"/>
              </w:rPr>
            </w:pPr>
            <w:r>
              <w:rPr>
                <w:color w:val="auto"/>
                <w:highlight w:val="none"/>
                <w:u w:val="none"/>
              </w:rPr>
              <w:t>P1</w:t>
            </w:r>
          </w:p>
        </w:tc>
        <w:tc>
          <w:tcPr>
            <w:tcW w:w="1642" w:type="dxa"/>
            <w:vAlign w:val="center"/>
          </w:tcPr>
          <w:p w14:paraId="57F54F1D">
            <w:pPr>
              <w:pStyle w:val="92"/>
              <w:rPr>
                <w:color w:val="auto"/>
                <w:highlight w:val="none"/>
                <w:u w:val="none"/>
              </w:rPr>
            </w:pPr>
            <w:r>
              <w:rPr>
                <w:color w:val="auto"/>
                <w:highlight w:val="none"/>
                <w:u w:val="none"/>
              </w:rPr>
              <w:t>/</w:t>
            </w:r>
          </w:p>
        </w:tc>
        <w:tc>
          <w:tcPr>
            <w:tcW w:w="1118" w:type="dxa"/>
            <w:vAlign w:val="center"/>
          </w:tcPr>
          <w:p w14:paraId="78E8EEF6">
            <w:pPr>
              <w:pStyle w:val="92"/>
              <w:rPr>
                <w:color w:val="auto"/>
                <w:highlight w:val="none"/>
                <w:u w:val="none"/>
              </w:rPr>
            </w:pPr>
            <w:r>
              <w:rPr>
                <w:color w:val="auto"/>
                <w:highlight w:val="none"/>
                <w:u w:val="none"/>
              </w:rPr>
              <w:t>/</w:t>
            </w:r>
          </w:p>
        </w:tc>
      </w:tr>
      <w:tr w14:paraId="7D086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17" w:type="dxa"/>
            <w:vAlign w:val="center"/>
          </w:tcPr>
          <w:p w14:paraId="5BDD7767">
            <w:pPr>
              <w:pStyle w:val="92"/>
              <w:rPr>
                <w:color w:val="auto"/>
                <w:highlight w:val="none"/>
                <w:u w:val="none"/>
              </w:rPr>
            </w:pPr>
            <w:r>
              <w:rPr>
                <w:color w:val="auto"/>
                <w:highlight w:val="none"/>
                <w:u w:val="none"/>
              </w:rPr>
              <w:t>3</w:t>
            </w:r>
          </w:p>
        </w:tc>
        <w:tc>
          <w:tcPr>
            <w:tcW w:w="1843" w:type="dxa"/>
            <w:vAlign w:val="center"/>
          </w:tcPr>
          <w:p w14:paraId="5A3A902B">
            <w:pPr>
              <w:pStyle w:val="92"/>
              <w:rPr>
                <w:color w:val="auto"/>
                <w:highlight w:val="none"/>
                <w:u w:val="none"/>
              </w:rPr>
            </w:pPr>
            <w:r>
              <w:rPr>
                <w:color w:val="auto"/>
                <w:highlight w:val="none"/>
                <w:u w:val="none"/>
              </w:rPr>
              <w:t>地下水</w:t>
            </w:r>
          </w:p>
        </w:tc>
        <w:tc>
          <w:tcPr>
            <w:tcW w:w="1984" w:type="dxa"/>
            <w:vAlign w:val="center"/>
          </w:tcPr>
          <w:p w14:paraId="13B9B517">
            <w:pPr>
              <w:pStyle w:val="92"/>
              <w:rPr>
                <w:color w:val="auto"/>
                <w:highlight w:val="none"/>
                <w:u w:val="none"/>
              </w:rPr>
            </w:pPr>
            <w:r>
              <w:rPr>
                <w:color w:val="auto"/>
                <w:highlight w:val="none"/>
                <w:u w:val="none"/>
              </w:rPr>
              <w:t>E2</w:t>
            </w:r>
          </w:p>
        </w:tc>
        <w:tc>
          <w:tcPr>
            <w:tcW w:w="1715" w:type="dxa"/>
            <w:vAlign w:val="center"/>
          </w:tcPr>
          <w:p w14:paraId="5664E34F">
            <w:pPr>
              <w:pStyle w:val="92"/>
              <w:rPr>
                <w:color w:val="auto"/>
                <w:highlight w:val="none"/>
                <w:u w:val="none"/>
              </w:rPr>
            </w:pPr>
            <w:r>
              <w:rPr>
                <w:color w:val="auto"/>
                <w:highlight w:val="none"/>
                <w:u w:val="none"/>
              </w:rPr>
              <w:t>P1</w:t>
            </w:r>
          </w:p>
        </w:tc>
        <w:tc>
          <w:tcPr>
            <w:tcW w:w="1642" w:type="dxa"/>
            <w:vAlign w:val="center"/>
          </w:tcPr>
          <w:p w14:paraId="77713120">
            <w:pPr>
              <w:pStyle w:val="92"/>
              <w:rPr>
                <w:color w:val="auto"/>
                <w:highlight w:val="none"/>
                <w:u w:val="none"/>
              </w:rPr>
            </w:pPr>
            <w:r>
              <w:rPr>
                <w:color w:val="auto"/>
                <w:highlight w:val="none"/>
                <w:u w:val="none"/>
              </w:rPr>
              <w:t>Ⅲ</w:t>
            </w:r>
          </w:p>
        </w:tc>
        <w:tc>
          <w:tcPr>
            <w:tcW w:w="1118" w:type="dxa"/>
            <w:vAlign w:val="center"/>
          </w:tcPr>
          <w:p w14:paraId="4C769A40">
            <w:pPr>
              <w:pStyle w:val="92"/>
              <w:rPr>
                <w:color w:val="auto"/>
                <w:highlight w:val="none"/>
                <w:u w:val="none"/>
              </w:rPr>
            </w:pPr>
            <w:r>
              <w:rPr>
                <w:color w:val="auto"/>
                <w:highlight w:val="none"/>
                <w:u w:val="none"/>
              </w:rPr>
              <w:t>一级</w:t>
            </w:r>
          </w:p>
        </w:tc>
      </w:tr>
      <w:tr w14:paraId="7DD69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119" w:type="dxa"/>
            <w:gridSpan w:val="6"/>
            <w:vAlign w:val="center"/>
          </w:tcPr>
          <w:p w14:paraId="4732AAFE">
            <w:pPr>
              <w:pStyle w:val="92"/>
              <w:jc w:val="both"/>
              <w:rPr>
                <w:color w:val="auto"/>
                <w:highlight w:val="none"/>
                <w:u w:val="none"/>
              </w:rPr>
            </w:pPr>
            <w:r>
              <w:rPr>
                <w:color w:val="auto"/>
                <w:highlight w:val="none"/>
                <w:u w:val="none"/>
              </w:rPr>
              <w:t>建设项目环境风险潜势：Ⅳ</w:t>
            </w:r>
            <w:r>
              <w:rPr>
                <w:color w:val="auto"/>
                <w:highlight w:val="none"/>
                <w:u w:val="none"/>
                <w:vertAlign w:val="superscript"/>
              </w:rPr>
              <w:t>+</w:t>
            </w:r>
          </w:p>
        </w:tc>
      </w:tr>
    </w:tbl>
    <w:p w14:paraId="2DB2BBEF">
      <w:pPr>
        <w:pStyle w:val="981"/>
        <w:rPr>
          <w:rFonts w:hint="eastAsia"/>
          <w:color w:val="auto"/>
          <w:highlight w:val="none"/>
          <w:u w:val="none"/>
        </w:rPr>
      </w:pPr>
      <w:r>
        <w:rPr>
          <w:color w:val="auto"/>
          <w:highlight w:val="none"/>
          <w:u w:val="none"/>
        </w:rPr>
        <w:t>（2）评价范围</w:t>
      </w:r>
    </w:p>
    <w:p w14:paraId="3CE09B2A">
      <w:pPr>
        <w:pStyle w:val="981"/>
        <w:rPr>
          <w:rFonts w:hint="eastAsia"/>
          <w:color w:val="auto"/>
          <w:highlight w:val="none"/>
          <w:u w:val="none"/>
        </w:rPr>
      </w:pPr>
      <w:r>
        <w:rPr>
          <w:color w:val="auto"/>
          <w:highlight w:val="none"/>
          <w:u w:val="none"/>
        </w:rPr>
        <w:t>本项目大气环境风险评价范围为厂区边界外延5km；地表水环境风险评价重点分析项目及园区采取的风险防措施；</w:t>
      </w:r>
      <w:r>
        <w:rPr>
          <w:rFonts w:hint="eastAsia"/>
          <w:color w:val="auto"/>
          <w:highlight w:val="none"/>
          <w:u w:val="none"/>
        </w:rPr>
        <w:t>地下水环境风险评价范围结合本评价地下水环境影响评价确定为：项目场地下游至</w:t>
      </w:r>
      <w:r>
        <w:rPr>
          <w:color w:val="auto"/>
          <w:highlight w:val="none"/>
          <w:u w:val="none"/>
        </w:rPr>
        <w:t>江阴港</w:t>
      </w:r>
      <w:r>
        <w:rPr>
          <w:rFonts w:hint="eastAsia"/>
          <w:color w:val="auto"/>
          <w:highlight w:val="none"/>
          <w:u w:val="none"/>
        </w:rPr>
        <w:t>海岸（</w:t>
      </w:r>
      <w:r>
        <w:rPr>
          <w:color w:val="auto"/>
          <w:highlight w:val="none"/>
          <w:u w:val="none"/>
        </w:rPr>
        <w:t>地下水流向为自东向西流</w:t>
      </w:r>
      <w:r>
        <w:rPr>
          <w:rFonts w:hint="eastAsia"/>
          <w:color w:val="auto"/>
          <w:highlight w:val="none"/>
          <w:u w:val="none"/>
        </w:rPr>
        <w:t>），项目</w:t>
      </w:r>
      <w:r>
        <w:rPr>
          <w:color w:val="auto"/>
          <w:highlight w:val="none"/>
          <w:u w:val="none"/>
        </w:rPr>
        <w:t>场地两侧460m</w:t>
      </w:r>
      <w:r>
        <w:rPr>
          <w:rFonts w:hint="eastAsia"/>
          <w:color w:val="auto"/>
          <w:highlight w:val="none"/>
          <w:u w:val="none"/>
        </w:rPr>
        <w:t>，</w:t>
      </w:r>
      <w:r>
        <w:rPr>
          <w:color w:val="auto"/>
          <w:highlight w:val="none"/>
          <w:u w:val="none"/>
        </w:rPr>
        <w:t>上游200m</w:t>
      </w:r>
      <w:r>
        <w:rPr>
          <w:rFonts w:hint="eastAsia"/>
          <w:color w:val="auto"/>
          <w:highlight w:val="none"/>
          <w:u w:val="none"/>
        </w:rPr>
        <w:t>的区域范围</w:t>
      </w:r>
      <w:r>
        <w:rPr>
          <w:color w:val="auto"/>
          <w:highlight w:val="none"/>
          <w:u w:val="none"/>
        </w:rPr>
        <w:t>。</w:t>
      </w:r>
    </w:p>
    <w:p w14:paraId="0FAD5DD9">
      <w:pPr>
        <w:pStyle w:val="4"/>
        <w:spacing w:before="120" w:after="120"/>
        <w:jc w:val="both"/>
        <w:rPr>
          <w:color w:val="auto"/>
          <w:highlight w:val="none"/>
          <w:u w:val="none"/>
        </w:rPr>
      </w:pPr>
      <w:bookmarkStart w:id="115" w:name="_Toc22141"/>
      <w:bookmarkStart w:id="116" w:name="_Toc148374770"/>
      <w:bookmarkStart w:id="117" w:name="_Toc109211051"/>
      <w:bookmarkStart w:id="118" w:name="_Toc148374442"/>
      <w:bookmarkStart w:id="119" w:name="_Toc148374884"/>
      <w:r>
        <w:rPr>
          <w:rFonts w:hint="eastAsia"/>
          <w:color w:val="auto"/>
          <w:highlight w:val="none"/>
          <w:u w:val="none"/>
        </w:rPr>
        <w:t>评价工作内容和重点</w:t>
      </w:r>
      <w:bookmarkEnd w:id="115"/>
      <w:bookmarkEnd w:id="116"/>
      <w:bookmarkEnd w:id="117"/>
      <w:bookmarkEnd w:id="118"/>
      <w:bookmarkEnd w:id="119"/>
    </w:p>
    <w:p w14:paraId="08F5FB2B">
      <w:pPr>
        <w:rPr>
          <w:rFonts w:hint="eastAsia"/>
          <w:color w:val="auto"/>
          <w:highlight w:val="none"/>
          <w:u w:val="none"/>
        </w:rPr>
      </w:pPr>
      <w:r>
        <w:rPr>
          <w:rFonts w:hint="eastAsia"/>
          <w:color w:val="auto"/>
          <w:highlight w:val="none"/>
          <w:u w:val="none"/>
        </w:rPr>
        <w:t>根据工程污染特征，结合有关环保管理的政策和要求，本次环评的内容及工作重点如下：</w:t>
      </w:r>
    </w:p>
    <w:p w14:paraId="5FB14FF9">
      <w:pPr>
        <w:rPr>
          <w:rFonts w:hint="eastAsia"/>
          <w:color w:val="auto"/>
          <w:highlight w:val="none"/>
          <w:u w:val="none"/>
        </w:rPr>
      </w:pPr>
      <w:r>
        <w:rPr>
          <w:rFonts w:hint="eastAsia"/>
          <w:color w:val="auto"/>
          <w:highlight w:val="none"/>
          <w:u w:val="none"/>
        </w:rPr>
        <w:t>（1）结合“清洁生产”、“污染物排放总量控制”和“污染物达标排放”等原则进行工程分析，查清项目各类污染因子、排污源强、排放方式以及排放规律，确定评价等级，重点为污染物产生量及产生特点的分析，评述项目对环境的影响及存在的环境问题，预测项目污染物排放对周围环境的影响。同时根据周边环境特征、原辅材料及产品的危险特性，进行环境风险评价，并提出事故防范及应急措施。</w:t>
      </w:r>
    </w:p>
    <w:p w14:paraId="3055FBDE">
      <w:pPr>
        <w:rPr>
          <w:rFonts w:hint="eastAsia"/>
          <w:color w:val="auto"/>
          <w:highlight w:val="none"/>
          <w:u w:val="none"/>
        </w:rPr>
      </w:pPr>
      <w:r>
        <w:rPr>
          <w:rFonts w:hint="eastAsia"/>
          <w:color w:val="auto"/>
          <w:highlight w:val="none"/>
          <w:u w:val="none"/>
        </w:rPr>
        <w:t>（2）在进行工程分析以及环境影响评价的基础上，进行污染防治对策研究，提出切实可行的环保措施。</w:t>
      </w:r>
    </w:p>
    <w:p w14:paraId="6DAC4984">
      <w:pPr>
        <w:rPr>
          <w:rFonts w:hint="eastAsia"/>
          <w:color w:val="auto"/>
          <w:highlight w:val="none"/>
          <w:u w:val="none"/>
        </w:rPr>
      </w:pPr>
      <w:r>
        <w:rPr>
          <w:rFonts w:hint="eastAsia"/>
          <w:color w:val="auto"/>
          <w:highlight w:val="none"/>
          <w:u w:val="none"/>
        </w:rPr>
        <w:t>（3）根据有关资料，结合项目与当地规划、环境功能区划和产业政策的相符性、总量控制和清洁生产要求、污染物达标排放和环境质量达标等方面，对项目建设可行性进行分析。</w:t>
      </w:r>
    </w:p>
    <w:p w14:paraId="058D2CF1">
      <w:pPr>
        <w:pStyle w:val="4"/>
        <w:spacing w:before="120" w:after="120"/>
        <w:jc w:val="both"/>
        <w:rPr>
          <w:color w:val="auto"/>
          <w:highlight w:val="none"/>
          <w:u w:val="none"/>
        </w:rPr>
      </w:pPr>
      <w:bookmarkStart w:id="120" w:name="_Toc148374885"/>
      <w:bookmarkStart w:id="121" w:name="_Toc109211052"/>
      <w:bookmarkStart w:id="122" w:name="_Toc148374443"/>
      <w:bookmarkStart w:id="123" w:name="_Toc148374771"/>
      <w:bookmarkStart w:id="124" w:name="_Toc19352"/>
      <w:r>
        <w:rPr>
          <w:rFonts w:hint="eastAsia"/>
          <w:color w:val="auto"/>
          <w:highlight w:val="none"/>
          <w:u w:val="none"/>
        </w:rPr>
        <w:t>环境保护目标</w:t>
      </w:r>
      <w:bookmarkEnd w:id="120"/>
      <w:bookmarkEnd w:id="121"/>
      <w:bookmarkEnd w:id="122"/>
      <w:bookmarkEnd w:id="123"/>
      <w:bookmarkEnd w:id="124"/>
    </w:p>
    <w:p w14:paraId="1401C0E4">
      <w:pPr>
        <w:rPr>
          <w:rFonts w:hint="eastAsia"/>
          <w:color w:val="auto"/>
          <w:highlight w:val="none"/>
          <w:u w:val="none"/>
        </w:rPr>
      </w:pPr>
      <w:r>
        <w:rPr>
          <w:rFonts w:hint="eastAsia"/>
          <w:color w:val="auto"/>
          <w:highlight w:val="none"/>
          <w:u w:val="none"/>
        </w:rPr>
        <w:t>项目主要环境保护目标见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_Ref51147576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2.6</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w:t>
      </w:r>
      <w:r>
        <w:rPr>
          <w:color w:val="auto"/>
          <w:highlight w:val="none"/>
          <w:u w:val="none"/>
        </w:rPr>
        <w:fldChar w:fldCharType="end"/>
      </w:r>
      <w:r>
        <w:rPr>
          <w:rFonts w:hint="eastAsia"/>
          <w:color w:val="auto"/>
          <w:highlight w:val="none"/>
          <w:u w:val="none"/>
          <w:lang w:val="en-US"/>
        </w:rPr>
        <w:t>~</w:t>
      </w:r>
      <w:r>
        <w:rPr>
          <w:color w:val="auto"/>
          <w:highlight w:val="none"/>
          <w:u w:val="none"/>
        </w:rPr>
        <w:fldChar w:fldCharType="begin"/>
      </w:r>
      <w:r>
        <w:rPr>
          <w:color w:val="auto"/>
          <w:highlight w:val="none"/>
          <w:u w:val="none"/>
        </w:rPr>
        <w:instrText xml:space="preserve"> REF _Ref148907333 \h </w:instrText>
      </w:r>
      <w:r>
        <w:rPr>
          <w:color w:val="auto"/>
          <w:highlight w:val="none"/>
          <w:u w:val="none"/>
        </w:rPr>
        <w:fldChar w:fldCharType="separate"/>
      </w:r>
      <w:r>
        <w:rPr>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2.6</w:t>
      </w:r>
      <w:r>
        <w:rPr>
          <w:b/>
          <w:bCs/>
          <w:color w:val="auto"/>
          <w:highlight w:val="none"/>
          <w:u w:val="none"/>
        </w:rPr>
        <w:fldChar w:fldCharType="end"/>
      </w:r>
      <w:r>
        <w:rPr>
          <w:b/>
          <w:bCs/>
          <w:color w:val="auto"/>
          <w:highlight w:val="none"/>
          <w:u w:val="none"/>
        </w:rPr>
        <w:noBreakHyphen/>
      </w:r>
      <w:r>
        <w:rPr>
          <w:b/>
          <w:bCs/>
          <w:color w:val="auto"/>
          <w:highlight w:val="none"/>
          <w:u w:val="none"/>
        </w:rPr>
        <w:t>3</w:t>
      </w:r>
      <w:r>
        <w:rPr>
          <w:color w:val="auto"/>
          <w:highlight w:val="none"/>
          <w:u w:val="none"/>
        </w:rPr>
        <w:fldChar w:fldCharType="end"/>
      </w:r>
      <w:r>
        <w:rPr>
          <w:rFonts w:hint="eastAsia"/>
          <w:color w:val="auto"/>
          <w:highlight w:val="none"/>
          <w:u w:val="none"/>
        </w:rPr>
        <w:t>。</w:t>
      </w:r>
    </w:p>
    <w:p w14:paraId="2251AC2B">
      <w:pPr>
        <w:ind w:firstLine="482"/>
        <w:jc w:val="center"/>
        <w:rPr>
          <w:rFonts w:hint="eastAsia"/>
          <w:b/>
          <w:bCs/>
          <w:color w:val="auto"/>
          <w:highlight w:val="none"/>
          <w:u w:val="none"/>
        </w:rPr>
      </w:pPr>
      <w:bookmarkStart w:id="125" w:name="_Ref51147576"/>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2.6</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1</w:t>
      </w:r>
      <w:r>
        <w:rPr>
          <w:b/>
          <w:bCs/>
          <w:color w:val="auto"/>
          <w:highlight w:val="none"/>
          <w:u w:val="none"/>
        </w:rPr>
        <w:fldChar w:fldCharType="end"/>
      </w:r>
      <w:bookmarkEnd w:id="125"/>
      <w:r>
        <w:rPr>
          <w:b/>
          <w:bCs/>
          <w:color w:val="auto"/>
          <w:highlight w:val="none"/>
          <w:u w:val="none"/>
        </w:rPr>
        <w:t xml:space="preserve">  </w:t>
      </w:r>
      <w:r>
        <w:rPr>
          <w:rFonts w:hint="eastAsia"/>
          <w:b/>
          <w:bCs/>
          <w:color w:val="auto"/>
          <w:highlight w:val="none"/>
          <w:u w:val="none"/>
        </w:rPr>
        <w:t>主要环境保护目标一览表</w:t>
      </w:r>
    </w:p>
    <w:tbl>
      <w:tblPr>
        <w:tblStyle w:val="5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06"/>
        <w:gridCol w:w="1809"/>
        <w:gridCol w:w="858"/>
        <w:gridCol w:w="1142"/>
        <w:gridCol w:w="1001"/>
        <w:gridCol w:w="3006"/>
      </w:tblGrid>
      <w:tr w14:paraId="77313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restart"/>
            <w:tcBorders>
              <w:top w:val="single" w:color="auto" w:sz="12" w:space="0"/>
              <w:left w:val="single" w:color="auto" w:sz="12" w:space="0"/>
              <w:bottom w:val="single" w:color="auto" w:sz="4" w:space="0"/>
              <w:right w:val="single" w:color="auto" w:sz="4" w:space="0"/>
            </w:tcBorders>
            <w:vAlign w:val="center"/>
          </w:tcPr>
          <w:p w14:paraId="3246B01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编号</w:t>
            </w:r>
          </w:p>
        </w:tc>
        <w:tc>
          <w:tcPr>
            <w:tcW w:w="434" w:type="pct"/>
            <w:vMerge w:val="restart"/>
            <w:tcBorders>
              <w:top w:val="single" w:color="auto" w:sz="12" w:space="0"/>
              <w:left w:val="single" w:color="auto" w:sz="4" w:space="0"/>
              <w:bottom w:val="single" w:color="auto" w:sz="4" w:space="0"/>
              <w:right w:val="single" w:color="auto" w:sz="4" w:space="0"/>
            </w:tcBorders>
            <w:vAlign w:val="center"/>
          </w:tcPr>
          <w:p w14:paraId="5CDDF3E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环境</w:t>
            </w:r>
          </w:p>
          <w:p w14:paraId="49E238A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要素</w:t>
            </w:r>
          </w:p>
        </w:tc>
        <w:tc>
          <w:tcPr>
            <w:tcW w:w="974" w:type="pct"/>
            <w:vMerge w:val="restart"/>
            <w:tcBorders>
              <w:top w:val="single" w:color="auto" w:sz="12" w:space="0"/>
              <w:left w:val="single" w:color="auto" w:sz="4" w:space="0"/>
              <w:bottom w:val="single" w:color="auto" w:sz="4" w:space="0"/>
              <w:right w:val="single" w:color="auto" w:sz="4" w:space="0"/>
            </w:tcBorders>
            <w:vAlign w:val="center"/>
          </w:tcPr>
          <w:p w14:paraId="06A391A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保护目标</w:t>
            </w:r>
          </w:p>
        </w:tc>
        <w:tc>
          <w:tcPr>
            <w:tcW w:w="1077" w:type="pct"/>
            <w:gridSpan w:val="2"/>
            <w:tcBorders>
              <w:top w:val="single" w:color="auto" w:sz="12" w:space="0"/>
              <w:left w:val="single" w:color="auto" w:sz="4" w:space="0"/>
              <w:bottom w:val="single" w:color="auto" w:sz="4" w:space="0"/>
              <w:right w:val="single" w:color="auto" w:sz="4" w:space="0"/>
            </w:tcBorders>
            <w:vAlign w:val="center"/>
          </w:tcPr>
          <w:p w14:paraId="4C1724E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距厂界最近距离</w:t>
            </w:r>
          </w:p>
        </w:tc>
        <w:tc>
          <w:tcPr>
            <w:tcW w:w="539" w:type="pct"/>
            <w:vMerge w:val="restart"/>
            <w:tcBorders>
              <w:top w:val="single" w:color="auto" w:sz="12" w:space="0"/>
              <w:left w:val="single" w:color="auto" w:sz="4" w:space="0"/>
              <w:bottom w:val="single" w:color="auto" w:sz="4" w:space="0"/>
              <w:right w:val="single" w:color="auto" w:sz="4" w:space="0"/>
            </w:tcBorders>
            <w:vAlign w:val="center"/>
          </w:tcPr>
          <w:p w14:paraId="2EEFBA7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人口（人）</w:t>
            </w:r>
          </w:p>
        </w:tc>
        <w:tc>
          <w:tcPr>
            <w:tcW w:w="1618" w:type="pct"/>
            <w:vMerge w:val="restart"/>
            <w:tcBorders>
              <w:top w:val="single" w:color="auto" w:sz="12" w:space="0"/>
              <w:left w:val="single" w:color="auto" w:sz="4" w:space="0"/>
              <w:bottom w:val="single" w:color="auto" w:sz="4" w:space="0"/>
              <w:right w:val="single" w:color="auto" w:sz="12" w:space="0"/>
            </w:tcBorders>
            <w:vAlign w:val="center"/>
          </w:tcPr>
          <w:p w14:paraId="3DD0329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功能区划要求</w:t>
            </w:r>
          </w:p>
        </w:tc>
      </w:tr>
      <w:tr w14:paraId="1608C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12" w:space="0"/>
              <w:left w:val="single" w:color="auto" w:sz="12" w:space="0"/>
              <w:bottom w:val="single" w:color="auto" w:sz="4" w:space="0"/>
              <w:right w:val="single" w:color="auto" w:sz="4" w:space="0"/>
            </w:tcBorders>
            <w:vAlign w:val="center"/>
          </w:tcPr>
          <w:p w14:paraId="35A7B4B7">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12" w:space="0"/>
              <w:left w:val="single" w:color="auto" w:sz="4" w:space="0"/>
              <w:bottom w:val="single" w:color="auto" w:sz="4" w:space="0"/>
              <w:right w:val="single" w:color="auto" w:sz="4" w:space="0"/>
            </w:tcBorders>
            <w:vAlign w:val="center"/>
          </w:tcPr>
          <w:p w14:paraId="7DCC9509">
            <w:pPr>
              <w:spacing w:line="240" w:lineRule="auto"/>
              <w:ind w:firstLine="0" w:firstLineChars="0"/>
              <w:jc w:val="center"/>
              <w:rPr>
                <w:rFonts w:hint="eastAsia"/>
                <w:color w:val="auto"/>
                <w:sz w:val="21"/>
                <w:szCs w:val="21"/>
                <w:highlight w:val="none"/>
                <w:u w:val="none"/>
              </w:rPr>
            </w:pPr>
          </w:p>
        </w:tc>
        <w:tc>
          <w:tcPr>
            <w:tcW w:w="974" w:type="pct"/>
            <w:vMerge w:val="continue"/>
            <w:tcBorders>
              <w:top w:val="single" w:color="auto" w:sz="12" w:space="0"/>
              <w:left w:val="single" w:color="auto" w:sz="4" w:space="0"/>
              <w:bottom w:val="single" w:color="auto" w:sz="4" w:space="0"/>
              <w:right w:val="single" w:color="auto" w:sz="4" w:space="0"/>
            </w:tcBorders>
            <w:vAlign w:val="center"/>
          </w:tcPr>
          <w:p w14:paraId="2C7E8231">
            <w:pPr>
              <w:spacing w:line="240" w:lineRule="auto"/>
              <w:ind w:firstLine="0" w:firstLineChars="0"/>
              <w:jc w:val="center"/>
              <w:rPr>
                <w:rFonts w:hint="eastAsia"/>
                <w:color w:val="auto"/>
                <w:sz w:val="21"/>
                <w:szCs w:val="21"/>
                <w:highlight w:val="none"/>
                <w:u w:val="none"/>
              </w:rPr>
            </w:pPr>
          </w:p>
        </w:tc>
        <w:tc>
          <w:tcPr>
            <w:tcW w:w="462" w:type="pct"/>
            <w:tcBorders>
              <w:top w:val="single" w:color="auto" w:sz="4" w:space="0"/>
              <w:left w:val="single" w:color="auto" w:sz="4" w:space="0"/>
              <w:bottom w:val="single" w:color="auto" w:sz="4" w:space="0"/>
              <w:right w:val="single" w:color="auto" w:sz="4" w:space="0"/>
            </w:tcBorders>
            <w:vAlign w:val="center"/>
          </w:tcPr>
          <w:p w14:paraId="0C55587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方位</w:t>
            </w:r>
          </w:p>
        </w:tc>
        <w:tc>
          <w:tcPr>
            <w:tcW w:w="615" w:type="pct"/>
            <w:tcBorders>
              <w:top w:val="single" w:color="auto" w:sz="4" w:space="0"/>
              <w:left w:val="single" w:color="auto" w:sz="4" w:space="0"/>
              <w:bottom w:val="single" w:color="auto" w:sz="4" w:space="0"/>
              <w:right w:val="single" w:color="auto" w:sz="4" w:space="0"/>
            </w:tcBorders>
            <w:vAlign w:val="center"/>
          </w:tcPr>
          <w:p w14:paraId="412F655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水平距离（m）</w:t>
            </w:r>
          </w:p>
        </w:tc>
        <w:tc>
          <w:tcPr>
            <w:tcW w:w="539" w:type="pct"/>
            <w:vMerge w:val="continue"/>
            <w:tcBorders>
              <w:top w:val="single" w:color="auto" w:sz="12" w:space="0"/>
              <w:left w:val="single" w:color="auto" w:sz="4" w:space="0"/>
              <w:bottom w:val="single" w:color="auto" w:sz="4" w:space="0"/>
              <w:right w:val="single" w:color="auto" w:sz="4" w:space="0"/>
            </w:tcBorders>
            <w:vAlign w:val="center"/>
          </w:tcPr>
          <w:p w14:paraId="525040A1">
            <w:pPr>
              <w:spacing w:line="240" w:lineRule="auto"/>
              <w:ind w:firstLine="0" w:firstLineChars="0"/>
              <w:jc w:val="center"/>
              <w:rPr>
                <w:rFonts w:hint="eastAsia"/>
                <w:color w:val="auto"/>
                <w:sz w:val="21"/>
                <w:szCs w:val="21"/>
                <w:highlight w:val="none"/>
                <w:u w:val="none"/>
              </w:rPr>
            </w:pPr>
          </w:p>
        </w:tc>
        <w:tc>
          <w:tcPr>
            <w:tcW w:w="1618" w:type="pct"/>
            <w:vMerge w:val="continue"/>
            <w:tcBorders>
              <w:top w:val="single" w:color="auto" w:sz="12" w:space="0"/>
              <w:left w:val="single" w:color="auto" w:sz="4" w:space="0"/>
              <w:bottom w:val="single" w:color="auto" w:sz="4" w:space="0"/>
              <w:right w:val="single" w:color="auto" w:sz="12" w:space="0"/>
            </w:tcBorders>
            <w:vAlign w:val="center"/>
          </w:tcPr>
          <w:p w14:paraId="6BCC41E5">
            <w:pPr>
              <w:spacing w:line="240" w:lineRule="auto"/>
              <w:ind w:firstLine="0" w:firstLineChars="0"/>
              <w:jc w:val="center"/>
              <w:rPr>
                <w:rFonts w:hint="eastAsia"/>
                <w:color w:val="auto"/>
                <w:sz w:val="21"/>
                <w:szCs w:val="21"/>
                <w:highlight w:val="none"/>
                <w:u w:val="none"/>
              </w:rPr>
            </w:pPr>
          </w:p>
        </w:tc>
      </w:tr>
      <w:tr w14:paraId="6DFA5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restart"/>
            <w:tcBorders>
              <w:top w:val="single" w:color="auto" w:sz="4" w:space="0"/>
              <w:left w:val="single" w:color="auto" w:sz="12" w:space="0"/>
              <w:bottom w:val="single" w:color="auto" w:sz="4" w:space="0"/>
              <w:right w:val="single" w:color="auto" w:sz="4" w:space="0"/>
            </w:tcBorders>
            <w:vAlign w:val="center"/>
          </w:tcPr>
          <w:p w14:paraId="6AB223D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434" w:type="pct"/>
            <w:vMerge w:val="restart"/>
            <w:tcBorders>
              <w:top w:val="single" w:color="auto" w:sz="4" w:space="0"/>
              <w:left w:val="single" w:color="auto" w:sz="4" w:space="0"/>
              <w:bottom w:val="single" w:color="auto" w:sz="4" w:space="0"/>
              <w:right w:val="single" w:color="auto" w:sz="4" w:space="0"/>
            </w:tcBorders>
            <w:vAlign w:val="center"/>
          </w:tcPr>
          <w:p w14:paraId="4F16839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环境</w:t>
            </w:r>
          </w:p>
          <w:p w14:paraId="2DC31B7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空气</w:t>
            </w:r>
          </w:p>
        </w:tc>
        <w:tc>
          <w:tcPr>
            <w:tcW w:w="974" w:type="pct"/>
            <w:tcBorders>
              <w:top w:val="single" w:color="auto" w:sz="4" w:space="0"/>
              <w:left w:val="single" w:color="auto" w:sz="4" w:space="0"/>
              <w:bottom w:val="single" w:color="auto" w:sz="4" w:space="0"/>
              <w:right w:val="single" w:color="auto" w:sz="4" w:space="0"/>
            </w:tcBorders>
            <w:vAlign w:val="center"/>
          </w:tcPr>
          <w:p w14:paraId="31005A8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新厝镇</w:t>
            </w:r>
          </w:p>
        </w:tc>
        <w:tc>
          <w:tcPr>
            <w:tcW w:w="462" w:type="pct"/>
            <w:tcBorders>
              <w:top w:val="single" w:color="auto" w:sz="4" w:space="0"/>
              <w:left w:val="single" w:color="auto" w:sz="4" w:space="0"/>
              <w:bottom w:val="single" w:color="auto" w:sz="4" w:space="0"/>
              <w:right w:val="single" w:color="auto" w:sz="4" w:space="0"/>
            </w:tcBorders>
            <w:vAlign w:val="center"/>
          </w:tcPr>
          <w:p w14:paraId="759DA16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NNW</w:t>
            </w:r>
          </w:p>
        </w:tc>
        <w:tc>
          <w:tcPr>
            <w:tcW w:w="615" w:type="pct"/>
            <w:tcBorders>
              <w:top w:val="single" w:color="auto" w:sz="4" w:space="0"/>
              <w:left w:val="single" w:color="auto" w:sz="4" w:space="0"/>
              <w:bottom w:val="single" w:color="auto" w:sz="4" w:space="0"/>
              <w:right w:val="single" w:color="auto" w:sz="4" w:space="0"/>
            </w:tcBorders>
            <w:vAlign w:val="center"/>
          </w:tcPr>
          <w:p w14:paraId="3B465E7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6624.46</w:t>
            </w:r>
          </w:p>
        </w:tc>
        <w:tc>
          <w:tcPr>
            <w:tcW w:w="539" w:type="pct"/>
            <w:tcBorders>
              <w:top w:val="single" w:color="auto" w:sz="4" w:space="0"/>
              <w:left w:val="single" w:color="auto" w:sz="4" w:space="0"/>
              <w:bottom w:val="single" w:color="auto" w:sz="4" w:space="0"/>
              <w:right w:val="single" w:color="auto" w:sz="4" w:space="0"/>
            </w:tcBorders>
            <w:vAlign w:val="center"/>
          </w:tcPr>
          <w:p w14:paraId="15A1BD2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2800</w:t>
            </w:r>
          </w:p>
        </w:tc>
        <w:tc>
          <w:tcPr>
            <w:tcW w:w="1618" w:type="pct"/>
            <w:vMerge w:val="restart"/>
            <w:tcBorders>
              <w:top w:val="single" w:color="auto" w:sz="4" w:space="0"/>
              <w:left w:val="single" w:color="auto" w:sz="4" w:space="0"/>
              <w:bottom w:val="single" w:color="auto" w:sz="4" w:space="0"/>
              <w:right w:val="single" w:color="auto" w:sz="12" w:space="0"/>
            </w:tcBorders>
            <w:vAlign w:val="center"/>
          </w:tcPr>
          <w:p w14:paraId="78E1C85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二类区：</w:t>
            </w:r>
          </w:p>
          <w:p w14:paraId="08D0CA7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《环境空气质量标准》（GB3095-2012）及</w:t>
            </w:r>
          </w:p>
          <w:p w14:paraId="4CF4FF7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其修改单的二级标准</w:t>
            </w:r>
          </w:p>
        </w:tc>
      </w:tr>
      <w:tr w14:paraId="35BAE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7B66E19">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CAA863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96F050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上后村（莆田）</w:t>
            </w:r>
          </w:p>
        </w:tc>
        <w:tc>
          <w:tcPr>
            <w:tcW w:w="462" w:type="pct"/>
            <w:tcBorders>
              <w:top w:val="single" w:color="auto" w:sz="4" w:space="0"/>
              <w:left w:val="single" w:color="auto" w:sz="4" w:space="0"/>
              <w:bottom w:val="single" w:color="auto" w:sz="4" w:space="0"/>
              <w:right w:val="single" w:color="auto" w:sz="4" w:space="0"/>
            </w:tcBorders>
            <w:vAlign w:val="center"/>
          </w:tcPr>
          <w:p w14:paraId="131FCE6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NW</w:t>
            </w:r>
          </w:p>
        </w:tc>
        <w:tc>
          <w:tcPr>
            <w:tcW w:w="615" w:type="pct"/>
            <w:tcBorders>
              <w:top w:val="single" w:color="auto" w:sz="4" w:space="0"/>
              <w:left w:val="single" w:color="auto" w:sz="4" w:space="0"/>
              <w:bottom w:val="single" w:color="auto" w:sz="4" w:space="0"/>
              <w:right w:val="single" w:color="auto" w:sz="4" w:space="0"/>
            </w:tcBorders>
            <w:vAlign w:val="center"/>
          </w:tcPr>
          <w:p w14:paraId="463F2E5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8935.82</w:t>
            </w:r>
          </w:p>
        </w:tc>
        <w:tc>
          <w:tcPr>
            <w:tcW w:w="539" w:type="pct"/>
            <w:tcBorders>
              <w:top w:val="single" w:color="auto" w:sz="4" w:space="0"/>
              <w:left w:val="single" w:color="auto" w:sz="4" w:space="0"/>
              <w:bottom w:val="single" w:color="auto" w:sz="4" w:space="0"/>
              <w:right w:val="single" w:color="auto" w:sz="4" w:space="0"/>
            </w:tcBorders>
            <w:vAlign w:val="center"/>
          </w:tcPr>
          <w:p w14:paraId="00E1E4C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520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5115A1C">
            <w:pPr>
              <w:spacing w:line="240" w:lineRule="auto"/>
              <w:ind w:firstLine="0" w:firstLineChars="0"/>
              <w:jc w:val="center"/>
              <w:rPr>
                <w:rFonts w:hint="eastAsia"/>
                <w:color w:val="auto"/>
                <w:sz w:val="21"/>
                <w:szCs w:val="21"/>
                <w:highlight w:val="none"/>
                <w:u w:val="none"/>
              </w:rPr>
            </w:pPr>
          </w:p>
        </w:tc>
      </w:tr>
      <w:tr w14:paraId="1BDC0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E033225">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3BA79CB1">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4B203ED5">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莆江村（莆田）</w:t>
            </w:r>
          </w:p>
        </w:tc>
        <w:tc>
          <w:tcPr>
            <w:tcW w:w="462" w:type="pct"/>
            <w:tcBorders>
              <w:top w:val="single" w:color="auto" w:sz="4" w:space="0"/>
              <w:left w:val="single" w:color="auto" w:sz="4" w:space="0"/>
              <w:bottom w:val="single" w:color="auto" w:sz="4" w:space="0"/>
              <w:right w:val="single" w:color="auto" w:sz="4" w:space="0"/>
            </w:tcBorders>
            <w:vAlign w:val="center"/>
          </w:tcPr>
          <w:p w14:paraId="2F175C4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NW</w:t>
            </w:r>
          </w:p>
        </w:tc>
        <w:tc>
          <w:tcPr>
            <w:tcW w:w="615" w:type="pct"/>
            <w:tcBorders>
              <w:top w:val="single" w:color="auto" w:sz="4" w:space="0"/>
              <w:left w:val="single" w:color="auto" w:sz="4" w:space="0"/>
              <w:bottom w:val="single" w:color="auto" w:sz="4" w:space="0"/>
              <w:right w:val="single" w:color="auto" w:sz="4" w:space="0"/>
            </w:tcBorders>
            <w:vAlign w:val="center"/>
          </w:tcPr>
          <w:p w14:paraId="2E3CD78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7470.65</w:t>
            </w:r>
          </w:p>
        </w:tc>
        <w:tc>
          <w:tcPr>
            <w:tcW w:w="539" w:type="pct"/>
            <w:tcBorders>
              <w:top w:val="single" w:color="auto" w:sz="4" w:space="0"/>
              <w:left w:val="single" w:color="auto" w:sz="4" w:space="0"/>
              <w:bottom w:val="single" w:color="auto" w:sz="4" w:space="0"/>
              <w:right w:val="single" w:color="auto" w:sz="4" w:space="0"/>
            </w:tcBorders>
            <w:vAlign w:val="center"/>
          </w:tcPr>
          <w:p w14:paraId="6F2542E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w:t>
            </w:r>
            <w:r>
              <w:rPr>
                <w:color w:val="auto"/>
                <w:sz w:val="21"/>
                <w:szCs w:val="21"/>
                <w:highlight w:val="none"/>
                <w:u w:val="none"/>
              </w:rPr>
              <w:t>50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384E1EE">
            <w:pPr>
              <w:spacing w:line="240" w:lineRule="auto"/>
              <w:ind w:firstLine="0" w:firstLineChars="0"/>
              <w:jc w:val="center"/>
              <w:rPr>
                <w:rFonts w:hint="eastAsia"/>
                <w:color w:val="auto"/>
                <w:sz w:val="21"/>
                <w:szCs w:val="21"/>
                <w:highlight w:val="none"/>
                <w:u w:val="none"/>
              </w:rPr>
            </w:pPr>
          </w:p>
        </w:tc>
      </w:tr>
      <w:tr w14:paraId="2079C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44D4E84">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4CA03EF">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505A37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峰头村</w:t>
            </w:r>
          </w:p>
        </w:tc>
        <w:tc>
          <w:tcPr>
            <w:tcW w:w="462" w:type="pct"/>
            <w:tcBorders>
              <w:top w:val="single" w:color="auto" w:sz="4" w:space="0"/>
              <w:left w:val="single" w:color="auto" w:sz="4" w:space="0"/>
              <w:bottom w:val="single" w:color="auto" w:sz="4" w:space="0"/>
              <w:right w:val="single" w:color="auto" w:sz="4" w:space="0"/>
            </w:tcBorders>
            <w:vAlign w:val="center"/>
          </w:tcPr>
          <w:p w14:paraId="545CFC8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WNW</w:t>
            </w:r>
          </w:p>
        </w:tc>
        <w:tc>
          <w:tcPr>
            <w:tcW w:w="615" w:type="pct"/>
            <w:tcBorders>
              <w:top w:val="single" w:color="auto" w:sz="4" w:space="0"/>
              <w:left w:val="single" w:color="auto" w:sz="4" w:space="0"/>
              <w:bottom w:val="single" w:color="auto" w:sz="4" w:space="0"/>
              <w:right w:val="single" w:color="auto" w:sz="4" w:space="0"/>
            </w:tcBorders>
            <w:vAlign w:val="center"/>
          </w:tcPr>
          <w:p w14:paraId="0E516B6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6697.54</w:t>
            </w:r>
          </w:p>
        </w:tc>
        <w:tc>
          <w:tcPr>
            <w:tcW w:w="539" w:type="pct"/>
            <w:tcBorders>
              <w:top w:val="single" w:color="auto" w:sz="4" w:space="0"/>
              <w:left w:val="single" w:color="auto" w:sz="4" w:space="0"/>
              <w:bottom w:val="single" w:color="auto" w:sz="4" w:space="0"/>
              <w:right w:val="single" w:color="auto" w:sz="4" w:space="0"/>
            </w:tcBorders>
            <w:vAlign w:val="center"/>
          </w:tcPr>
          <w:p w14:paraId="6492923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1490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5FFC6C8">
            <w:pPr>
              <w:spacing w:line="240" w:lineRule="auto"/>
              <w:ind w:firstLine="0" w:firstLineChars="0"/>
              <w:jc w:val="center"/>
              <w:rPr>
                <w:rFonts w:hint="eastAsia"/>
                <w:color w:val="auto"/>
                <w:sz w:val="21"/>
                <w:szCs w:val="21"/>
                <w:highlight w:val="none"/>
                <w:u w:val="none"/>
              </w:rPr>
            </w:pPr>
          </w:p>
        </w:tc>
      </w:tr>
      <w:tr w14:paraId="42A40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A649399">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F7F4E5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1ED3FE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漆林村</w:t>
            </w:r>
          </w:p>
        </w:tc>
        <w:tc>
          <w:tcPr>
            <w:tcW w:w="462" w:type="pct"/>
            <w:tcBorders>
              <w:top w:val="single" w:color="auto" w:sz="4" w:space="0"/>
              <w:left w:val="single" w:color="auto" w:sz="4" w:space="0"/>
              <w:bottom w:val="single" w:color="auto" w:sz="4" w:space="0"/>
              <w:right w:val="single" w:color="auto" w:sz="4" w:space="0"/>
            </w:tcBorders>
            <w:vAlign w:val="center"/>
          </w:tcPr>
          <w:p w14:paraId="15B8D10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WNW</w:t>
            </w:r>
          </w:p>
        </w:tc>
        <w:tc>
          <w:tcPr>
            <w:tcW w:w="615" w:type="pct"/>
            <w:tcBorders>
              <w:top w:val="single" w:color="auto" w:sz="4" w:space="0"/>
              <w:left w:val="single" w:color="auto" w:sz="4" w:space="0"/>
              <w:bottom w:val="single" w:color="auto" w:sz="4" w:space="0"/>
              <w:right w:val="single" w:color="auto" w:sz="4" w:space="0"/>
            </w:tcBorders>
            <w:vAlign w:val="center"/>
          </w:tcPr>
          <w:p w14:paraId="6E3843D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6942.68</w:t>
            </w:r>
          </w:p>
        </w:tc>
        <w:tc>
          <w:tcPr>
            <w:tcW w:w="539" w:type="pct"/>
            <w:tcBorders>
              <w:top w:val="single" w:color="auto" w:sz="4" w:space="0"/>
              <w:left w:val="single" w:color="auto" w:sz="4" w:space="0"/>
              <w:bottom w:val="single" w:color="auto" w:sz="4" w:space="0"/>
              <w:right w:val="single" w:color="auto" w:sz="4" w:space="0"/>
            </w:tcBorders>
            <w:vAlign w:val="center"/>
          </w:tcPr>
          <w:p w14:paraId="7F8FC62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2800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9B1BCC7">
            <w:pPr>
              <w:spacing w:line="240" w:lineRule="auto"/>
              <w:ind w:firstLine="0" w:firstLineChars="0"/>
              <w:jc w:val="center"/>
              <w:rPr>
                <w:rFonts w:hint="eastAsia"/>
                <w:color w:val="auto"/>
                <w:sz w:val="21"/>
                <w:szCs w:val="21"/>
                <w:highlight w:val="none"/>
                <w:u w:val="none"/>
              </w:rPr>
            </w:pPr>
          </w:p>
        </w:tc>
      </w:tr>
      <w:tr w14:paraId="1809C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A8C5E55">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60BA364">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7881C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大东村</w:t>
            </w:r>
          </w:p>
          <w:p w14:paraId="6BAFC24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（莆田）</w:t>
            </w:r>
          </w:p>
        </w:tc>
        <w:tc>
          <w:tcPr>
            <w:tcW w:w="462" w:type="pct"/>
            <w:tcBorders>
              <w:top w:val="single" w:color="auto" w:sz="4" w:space="0"/>
              <w:left w:val="single" w:color="auto" w:sz="4" w:space="0"/>
              <w:bottom w:val="single" w:color="auto" w:sz="4" w:space="0"/>
              <w:right w:val="single" w:color="auto" w:sz="4" w:space="0"/>
            </w:tcBorders>
            <w:vAlign w:val="center"/>
          </w:tcPr>
          <w:p w14:paraId="50BDC6A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NW</w:t>
            </w:r>
          </w:p>
        </w:tc>
        <w:tc>
          <w:tcPr>
            <w:tcW w:w="615" w:type="pct"/>
            <w:tcBorders>
              <w:top w:val="single" w:color="auto" w:sz="4" w:space="0"/>
              <w:left w:val="single" w:color="auto" w:sz="4" w:space="0"/>
              <w:bottom w:val="single" w:color="auto" w:sz="4" w:space="0"/>
              <w:right w:val="single" w:color="auto" w:sz="4" w:space="0"/>
            </w:tcBorders>
            <w:vAlign w:val="center"/>
          </w:tcPr>
          <w:p w14:paraId="1B7B0E5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7997.57</w:t>
            </w:r>
          </w:p>
        </w:tc>
        <w:tc>
          <w:tcPr>
            <w:tcW w:w="539" w:type="pct"/>
            <w:tcBorders>
              <w:top w:val="single" w:color="auto" w:sz="4" w:space="0"/>
              <w:left w:val="single" w:color="auto" w:sz="4" w:space="0"/>
              <w:bottom w:val="single" w:color="auto" w:sz="4" w:space="0"/>
              <w:right w:val="single" w:color="auto" w:sz="4" w:space="0"/>
            </w:tcBorders>
            <w:vAlign w:val="center"/>
          </w:tcPr>
          <w:p w14:paraId="5AE234B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1200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30D15CA">
            <w:pPr>
              <w:spacing w:line="240" w:lineRule="auto"/>
              <w:ind w:firstLine="0" w:firstLineChars="0"/>
              <w:jc w:val="center"/>
              <w:rPr>
                <w:rFonts w:hint="eastAsia"/>
                <w:color w:val="auto"/>
                <w:sz w:val="21"/>
                <w:szCs w:val="21"/>
                <w:highlight w:val="none"/>
                <w:u w:val="none"/>
              </w:rPr>
            </w:pPr>
          </w:p>
        </w:tc>
      </w:tr>
      <w:tr w14:paraId="5C779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939FB37">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06747A5">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534568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霞埔村</w:t>
            </w:r>
          </w:p>
        </w:tc>
        <w:tc>
          <w:tcPr>
            <w:tcW w:w="462" w:type="pct"/>
            <w:tcBorders>
              <w:top w:val="single" w:color="auto" w:sz="4" w:space="0"/>
              <w:left w:val="single" w:color="auto" w:sz="4" w:space="0"/>
              <w:bottom w:val="single" w:color="auto" w:sz="4" w:space="0"/>
              <w:right w:val="single" w:color="auto" w:sz="4" w:space="0"/>
            </w:tcBorders>
            <w:vAlign w:val="center"/>
          </w:tcPr>
          <w:p w14:paraId="63E8BE8D">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NW</w:t>
            </w:r>
          </w:p>
        </w:tc>
        <w:tc>
          <w:tcPr>
            <w:tcW w:w="615" w:type="pct"/>
            <w:tcBorders>
              <w:top w:val="single" w:color="auto" w:sz="4" w:space="0"/>
              <w:left w:val="single" w:color="auto" w:sz="4" w:space="0"/>
              <w:bottom w:val="single" w:color="auto" w:sz="4" w:space="0"/>
              <w:right w:val="single" w:color="auto" w:sz="4" w:space="0"/>
            </w:tcBorders>
            <w:vAlign w:val="center"/>
          </w:tcPr>
          <w:p w14:paraId="72E31FE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5590.23</w:t>
            </w:r>
          </w:p>
        </w:tc>
        <w:tc>
          <w:tcPr>
            <w:tcW w:w="539" w:type="pct"/>
            <w:tcBorders>
              <w:top w:val="single" w:color="auto" w:sz="4" w:space="0"/>
              <w:left w:val="single" w:color="auto" w:sz="4" w:space="0"/>
              <w:bottom w:val="single" w:color="auto" w:sz="4" w:space="0"/>
              <w:right w:val="single" w:color="auto" w:sz="4" w:space="0"/>
            </w:tcBorders>
            <w:vAlign w:val="center"/>
          </w:tcPr>
          <w:p w14:paraId="0E4CDF3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850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61B9D8A">
            <w:pPr>
              <w:spacing w:line="240" w:lineRule="auto"/>
              <w:ind w:firstLine="0" w:firstLineChars="0"/>
              <w:jc w:val="center"/>
              <w:rPr>
                <w:rFonts w:hint="eastAsia"/>
                <w:color w:val="auto"/>
                <w:sz w:val="21"/>
                <w:szCs w:val="21"/>
                <w:highlight w:val="none"/>
                <w:u w:val="none"/>
              </w:rPr>
            </w:pPr>
          </w:p>
        </w:tc>
      </w:tr>
      <w:tr w14:paraId="1CBAA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27D0C91">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257FEA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44D2112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*芝山</w:t>
            </w:r>
          </w:p>
        </w:tc>
        <w:tc>
          <w:tcPr>
            <w:tcW w:w="462" w:type="pct"/>
            <w:tcBorders>
              <w:top w:val="single" w:color="auto" w:sz="4" w:space="0"/>
              <w:left w:val="single" w:color="auto" w:sz="4" w:space="0"/>
              <w:bottom w:val="single" w:color="auto" w:sz="4" w:space="0"/>
              <w:right w:val="single" w:color="auto" w:sz="4" w:space="0"/>
            </w:tcBorders>
            <w:vAlign w:val="center"/>
          </w:tcPr>
          <w:p w14:paraId="49EA05D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31EF448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2388.43</w:t>
            </w:r>
          </w:p>
        </w:tc>
        <w:tc>
          <w:tcPr>
            <w:tcW w:w="539" w:type="pct"/>
            <w:tcBorders>
              <w:top w:val="single" w:color="auto" w:sz="4" w:space="0"/>
              <w:left w:val="single" w:color="auto" w:sz="4" w:space="0"/>
              <w:bottom w:val="single" w:color="auto" w:sz="4" w:space="0"/>
              <w:right w:val="single" w:color="auto" w:sz="4" w:space="0"/>
            </w:tcBorders>
            <w:vAlign w:val="center"/>
          </w:tcPr>
          <w:p w14:paraId="4323C73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1800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E9DF486">
            <w:pPr>
              <w:spacing w:line="240" w:lineRule="auto"/>
              <w:ind w:firstLine="0" w:firstLineChars="0"/>
              <w:jc w:val="center"/>
              <w:rPr>
                <w:rFonts w:hint="eastAsia"/>
                <w:color w:val="auto"/>
                <w:sz w:val="21"/>
                <w:szCs w:val="21"/>
                <w:highlight w:val="none"/>
                <w:u w:val="none"/>
              </w:rPr>
            </w:pPr>
          </w:p>
        </w:tc>
      </w:tr>
      <w:tr w14:paraId="11706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EF24EB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0C20F3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FCF1AF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*高局</w:t>
            </w:r>
          </w:p>
        </w:tc>
        <w:tc>
          <w:tcPr>
            <w:tcW w:w="462" w:type="pct"/>
            <w:tcBorders>
              <w:top w:val="single" w:color="auto" w:sz="4" w:space="0"/>
              <w:left w:val="single" w:color="auto" w:sz="4" w:space="0"/>
              <w:bottom w:val="single" w:color="auto" w:sz="4" w:space="0"/>
              <w:right w:val="single" w:color="auto" w:sz="4" w:space="0"/>
            </w:tcBorders>
            <w:vAlign w:val="center"/>
          </w:tcPr>
          <w:p w14:paraId="274AF33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01614B4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2924.53</w:t>
            </w:r>
          </w:p>
        </w:tc>
        <w:tc>
          <w:tcPr>
            <w:tcW w:w="539" w:type="pct"/>
            <w:tcBorders>
              <w:top w:val="single" w:color="auto" w:sz="4" w:space="0"/>
              <w:left w:val="single" w:color="auto" w:sz="4" w:space="0"/>
              <w:bottom w:val="single" w:color="auto" w:sz="4" w:space="0"/>
              <w:right w:val="single" w:color="auto" w:sz="4" w:space="0"/>
            </w:tcBorders>
            <w:vAlign w:val="center"/>
          </w:tcPr>
          <w:p w14:paraId="0C9131B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980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92D144C">
            <w:pPr>
              <w:spacing w:line="240" w:lineRule="auto"/>
              <w:ind w:firstLine="0" w:firstLineChars="0"/>
              <w:jc w:val="center"/>
              <w:rPr>
                <w:rFonts w:hint="eastAsia"/>
                <w:color w:val="auto"/>
                <w:sz w:val="21"/>
                <w:szCs w:val="21"/>
                <w:highlight w:val="none"/>
                <w:u w:val="none"/>
              </w:rPr>
            </w:pPr>
          </w:p>
        </w:tc>
      </w:tr>
      <w:tr w14:paraId="47568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0F6DF06">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39D6ACF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BB74E8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西山</w:t>
            </w:r>
          </w:p>
        </w:tc>
        <w:tc>
          <w:tcPr>
            <w:tcW w:w="462" w:type="pct"/>
            <w:tcBorders>
              <w:top w:val="single" w:color="auto" w:sz="4" w:space="0"/>
              <w:left w:val="single" w:color="auto" w:sz="4" w:space="0"/>
              <w:bottom w:val="single" w:color="auto" w:sz="4" w:space="0"/>
              <w:right w:val="single" w:color="auto" w:sz="4" w:space="0"/>
            </w:tcBorders>
            <w:vAlign w:val="center"/>
          </w:tcPr>
          <w:p w14:paraId="424BC0F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NNE</w:t>
            </w:r>
          </w:p>
        </w:tc>
        <w:tc>
          <w:tcPr>
            <w:tcW w:w="615" w:type="pct"/>
            <w:tcBorders>
              <w:top w:val="single" w:color="auto" w:sz="4" w:space="0"/>
              <w:left w:val="single" w:color="auto" w:sz="4" w:space="0"/>
              <w:bottom w:val="single" w:color="auto" w:sz="4" w:space="0"/>
              <w:right w:val="single" w:color="auto" w:sz="4" w:space="0"/>
            </w:tcBorders>
            <w:vAlign w:val="center"/>
          </w:tcPr>
          <w:p w14:paraId="6F35D72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3171.4</w:t>
            </w:r>
          </w:p>
        </w:tc>
        <w:tc>
          <w:tcPr>
            <w:tcW w:w="539" w:type="pct"/>
            <w:tcBorders>
              <w:top w:val="single" w:color="auto" w:sz="4" w:space="0"/>
              <w:left w:val="single" w:color="auto" w:sz="4" w:space="0"/>
              <w:bottom w:val="single" w:color="auto" w:sz="4" w:space="0"/>
              <w:right w:val="single" w:color="auto" w:sz="4" w:space="0"/>
            </w:tcBorders>
            <w:vAlign w:val="center"/>
          </w:tcPr>
          <w:p w14:paraId="7F8C122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410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BA1C02E">
            <w:pPr>
              <w:spacing w:line="240" w:lineRule="auto"/>
              <w:ind w:firstLine="0" w:firstLineChars="0"/>
              <w:jc w:val="center"/>
              <w:rPr>
                <w:rFonts w:hint="eastAsia"/>
                <w:color w:val="auto"/>
                <w:sz w:val="21"/>
                <w:szCs w:val="21"/>
                <w:highlight w:val="none"/>
                <w:u w:val="none"/>
              </w:rPr>
            </w:pPr>
          </w:p>
        </w:tc>
      </w:tr>
      <w:tr w14:paraId="3DF9A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D6CAB71">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CFA073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0EF3717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东井村</w:t>
            </w:r>
          </w:p>
        </w:tc>
        <w:tc>
          <w:tcPr>
            <w:tcW w:w="462" w:type="pct"/>
            <w:tcBorders>
              <w:top w:val="single" w:color="auto" w:sz="4" w:space="0"/>
              <w:left w:val="single" w:color="auto" w:sz="4" w:space="0"/>
              <w:bottom w:val="single" w:color="auto" w:sz="4" w:space="0"/>
              <w:right w:val="single" w:color="auto" w:sz="4" w:space="0"/>
            </w:tcBorders>
            <w:vAlign w:val="center"/>
          </w:tcPr>
          <w:p w14:paraId="2C53D93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27BFD7D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4119.54</w:t>
            </w:r>
          </w:p>
        </w:tc>
        <w:tc>
          <w:tcPr>
            <w:tcW w:w="539" w:type="pct"/>
            <w:tcBorders>
              <w:top w:val="single" w:color="auto" w:sz="4" w:space="0"/>
              <w:left w:val="single" w:color="auto" w:sz="4" w:space="0"/>
              <w:bottom w:val="single" w:color="auto" w:sz="4" w:space="0"/>
              <w:right w:val="single" w:color="auto" w:sz="4" w:space="0"/>
            </w:tcBorders>
            <w:vAlign w:val="center"/>
          </w:tcPr>
          <w:p w14:paraId="05C7041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5420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EF451FA">
            <w:pPr>
              <w:spacing w:line="240" w:lineRule="auto"/>
              <w:ind w:firstLine="0" w:firstLineChars="0"/>
              <w:jc w:val="center"/>
              <w:rPr>
                <w:rFonts w:hint="eastAsia"/>
                <w:color w:val="auto"/>
                <w:sz w:val="21"/>
                <w:szCs w:val="21"/>
                <w:highlight w:val="none"/>
                <w:u w:val="none"/>
              </w:rPr>
            </w:pPr>
          </w:p>
        </w:tc>
      </w:tr>
      <w:tr w14:paraId="3B67E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E97E8F8">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4D1324F">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883CDB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沾泽村</w:t>
            </w:r>
          </w:p>
        </w:tc>
        <w:tc>
          <w:tcPr>
            <w:tcW w:w="462" w:type="pct"/>
            <w:tcBorders>
              <w:top w:val="single" w:color="auto" w:sz="4" w:space="0"/>
              <w:left w:val="single" w:color="auto" w:sz="4" w:space="0"/>
              <w:bottom w:val="single" w:color="auto" w:sz="4" w:space="0"/>
              <w:right w:val="single" w:color="auto" w:sz="4" w:space="0"/>
            </w:tcBorders>
            <w:vAlign w:val="center"/>
          </w:tcPr>
          <w:p w14:paraId="337827E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23A049ED">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3915.03</w:t>
            </w:r>
          </w:p>
        </w:tc>
        <w:tc>
          <w:tcPr>
            <w:tcW w:w="539" w:type="pct"/>
            <w:tcBorders>
              <w:top w:val="single" w:color="auto" w:sz="4" w:space="0"/>
              <w:left w:val="single" w:color="auto" w:sz="4" w:space="0"/>
              <w:bottom w:val="single" w:color="auto" w:sz="4" w:space="0"/>
              <w:right w:val="single" w:color="auto" w:sz="4" w:space="0"/>
            </w:tcBorders>
            <w:vAlign w:val="center"/>
          </w:tcPr>
          <w:p w14:paraId="5740BD9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1790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9B76343">
            <w:pPr>
              <w:spacing w:line="240" w:lineRule="auto"/>
              <w:ind w:firstLine="0" w:firstLineChars="0"/>
              <w:jc w:val="center"/>
              <w:rPr>
                <w:rFonts w:hint="eastAsia"/>
                <w:color w:val="auto"/>
                <w:sz w:val="21"/>
                <w:szCs w:val="21"/>
                <w:highlight w:val="none"/>
                <w:u w:val="none"/>
              </w:rPr>
            </w:pPr>
          </w:p>
        </w:tc>
      </w:tr>
      <w:tr w14:paraId="4A49E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1D19255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8B92EE0">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34825C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南曹村</w:t>
            </w:r>
          </w:p>
        </w:tc>
        <w:tc>
          <w:tcPr>
            <w:tcW w:w="462" w:type="pct"/>
            <w:tcBorders>
              <w:top w:val="single" w:color="auto" w:sz="4" w:space="0"/>
              <w:left w:val="single" w:color="auto" w:sz="4" w:space="0"/>
              <w:bottom w:val="single" w:color="auto" w:sz="4" w:space="0"/>
              <w:right w:val="single" w:color="auto" w:sz="4" w:space="0"/>
            </w:tcBorders>
            <w:vAlign w:val="center"/>
          </w:tcPr>
          <w:p w14:paraId="21DE64C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6BCC776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2628.22</w:t>
            </w:r>
          </w:p>
        </w:tc>
        <w:tc>
          <w:tcPr>
            <w:tcW w:w="539" w:type="pct"/>
            <w:tcBorders>
              <w:top w:val="single" w:color="auto" w:sz="4" w:space="0"/>
              <w:left w:val="single" w:color="auto" w:sz="4" w:space="0"/>
              <w:bottom w:val="single" w:color="auto" w:sz="4" w:space="0"/>
              <w:right w:val="single" w:color="auto" w:sz="4" w:space="0"/>
            </w:tcBorders>
            <w:vAlign w:val="center"/>
          </w:tcPr>
          <w:p w14:paraId="1E0CF60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5788</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247DF2E">
            <w:pPr>
              <w:spacing w:line="240" w:lineRule="auto"/>
              <w:ind w:firstLine="0" w:firstLineChars="0"/>
              <w:jc w:val="center"/>
              <w:rPr>
                <w:rFonts w:hint="eastAsia"/>
                <w:color w:val="auto"/>
                <w:sz w:val="21"/>
                <w:szCs w:val="21"/>
                <w:highlight w:val="none"/>
                <w:u w:val="none"/>
              </w:rPr>
            </w:pPr>
          </w:p>
        </w:tc>
      </w:tr>
      <w:tr w14:paraId="3B131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10A629EF">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1A3646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0450A90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*东江水厂</w:t>
            </w:r>
          </w:p>
        </w:tc>
        <w:tc>
          <w:tcPr>
            <w:tcW w:w="462" w:type="pct"/>
            <w:tcBorders>
              <w:top w:val="single" w:color="auto" w:sz="4" w:space="0"/>
              <w:left w:val="single" w:color="auto" w:sz="4" w:space="0"/>
              <w:bottom w:val="single" w:color="auto" w:sz="4" w:space="0"/>
              <w:right w:val="single" w:color="auto" w:sz="4" w:space="0"/>
            </w:tcBorders>
            <w:vAlign w:val="center"/>
          </w:tcPr>
          <w:p w14:paraId="2572307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28B914ED">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2164.16</w:t>
            </w:r>
          </w:p>
        </w:tc>
        <w:tc>
          <w:tcPr>
            <w:tcW w:w="539" w:type="pct"/>
            <w:tcBorders>
              <w:top w:val="single" w:color="auto" w:sz="4" w:space="0"/>
              <w:left w:val="single" w:color="auto" w:sz="4" w:space="0"/>
              <w:bottom w:val="single" w:color="auto" w:sz="4" w:space="0"/>
              <w:right w:val="single" w:color="auto" w:sz="4" w:space="0"/>
            </w:tcBorders>
            <w:vAlign w:val="center"/>
          </w:tcPr>
          <w:p w14:paraId="5F64929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058005F">
            <w:pPr>
              <w:spacing w:line="240" w:lineRule="auto"/>
              <w:ind w:firstLine="0" w:firstLineChars="0"/>
              <w:jc w:val="center"/>
              <w:rPr>
                <w:rFonts w:hint="eastAsia"/>
                <w:color w:val="auto"/>
                <w:sz w:val="21"/>
                <w:szCs w:val="21"/>
                <w:highlight w:val="none"/>
                <w:u w:val="none"/>
              </w:rPr>
            </w:pPr>
          </w:p>
        </w:tc>
      </w:tr>
      <w:tr w14:paraId="55024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65BABB8">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5D79CF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BAE8C6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东沃村</w:t>
            </w:r>
          </w:p>
        </w:tc>
        <w:tc>
          <w:tcPr>
            <w:tcW w:w="462" w:type="pct"/>
            <w:tcBorders>
              <w:top w:val="single" w:color="auto" w:sz="4" w:space="0"/>
              <w:left w:val="single" w:color="auto" w:sz="4" w:space="0"/>
              <w:bottom w:val="single" w:color="auto" w:sz="4" w:space="0"/>
              <w:right w:val="single" w:color="auto" w:sz="4" w:space="0"/>
            </w:tcBorders>
            <w:vAlign w:val="center"/>
          </w:tcPr>
          <w:p w14:paraId="124BF90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WNW</w:t>
            </w:r>
          </w:p>
        </w:tc>
        <w:tc>
          <w:tcPr>
            <w:tcW w:w="615" w:type="pct"/>
            <w:tcBorders>
              <w:top w:val="single" w:color="auto" w:sz="4" w:space="0"/>
              <w:left w:val="single" w:color="auto" w:sz="4" w:space="0"/>
              <w:bottom w:val="single" w:color="auto" w:sz="4" w:space="0"/>
              <w:right w:val="single" w:color="auto" w:sz="4" w:space="0"/>
            </w:tcBorders>
            <w:vAlign w:val="center"/>
          </w:tcPr>
          <w:p w14:paraId="079D0CD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5080</w:t>
            </w:r>
          </w:p>
        </w:tc>
        <w:tc>
          <w:tcPr>
            <w:tcW w:w="539" w:type="pct"/>
            <w:tcBorders>
              <w:top w:val="single" w:color="auto" w:sz="4" w:space="0"/>
              <w:left w:val="single" w:color="auto" w:sz="4" w:space="0"/>
              <w:bottom w:val="single" w:color="auto" w:sz="4" w:space="0"/>
              <w:right w:val="single" w:color="auto" w:sz="4" w:space="0"/>
            </w:tcBorders>
            <w:vAlign w:val="center"/>
          </w:tcPr>
          <w:p w14:paraId="2F0317C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790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4B52968">
            <w:pPr>
              <w:spacing w:line="240" w:lineRule="auto"/>
              <w:ind w:firstLine="0" w:firstLineChars="0"/>
              <w:jc w:val="center"/>
              <w:rPr>
                <w:rFonts w:hint="eastAsia"/>
                <w:color w:val="auto"/>
                <w:sz w:val="21"/>
                <w:szCs w:val="21"/>
                <w:highlight w:val="none"/>
                <w:u w:val="none"/>
              </w:rPr>
            </w:pPr>
          </w:p>
        </w:tc>
      </w:tr>
      <w:tr w14:paraId="5C644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25EACFF">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51FA0C9">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967F2F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潘厝村</w:t>
            </w:r>
          </w:p>
        </w:tc>
        <w:tc>
          <w:tcPr>
            <w:tcW w:w="462" w:type="pct"/>
            <w:tcBorders>
              <w:top w:val="single" w:color="auto" w:sz="4" w:space="0"/>
              <w:left w:val="single" w:color="auto" w:sz="4" w:space="0"/>
              <w:bottom w:val="single" w:color="auto" w:sz="4" w:space="0"/>
              <w:right w:val="single" w:color="auto" w:sz="4" w:space="0"/>
            </w:tcBorders>
            <w:vAlign w:val="center"/>
          </w:tcPr>
          <w:p w14:paraId="23E0030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63E130E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4409.26</w:t>
            </w:r>
          </w:p>
        </w:tc>
        <w:tc>
          <w:tcPr>
            <w:tcW w:w="539" w:type="pct"/>
            <w:tcBorders>
              <w:top w:val="single" w:color="auto" w:sz="4" w:space="0"/>
              <w:left w:val="single" w:color="auto" w:sz="4" w:space="0"/>
              <w:bottom w:val="single" w:color="auto" w:sz="4" w:space="0"/>
              <w:right w:val="single" w:color="auto" w:sz="4" w:space="0"/>
            </w:tcBorders>
            <w:vAlign w:val="center"/>
          </w:tcPr>
          <w:p w14:paraId="511F114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2710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FE76D99">
            <w:pPr>
              <w:spacing w:line="240" w:lineRule="auto"/>
              <w:ind w:firstLine="0" w:firstLineChars="0"/>
              <w:jc w:val="center"/>
              <w:rPr>
                <w:rFonts w:hint="eastAsia"/>
                <w:color w:val="auto"/>
                <w:sz w:val="21"/>
                <w:szCs w:val="21"/>
                <w:highlight w:val="none"/>
                <w:u w:val="none"/>
              </w:rPr>
            </w:pPr>
          </w:p>
        </w:tc>
      </w:tr>
      <w:tr w14:paraId="5F923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0E786794">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3C2A505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E59D115">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何厝村</w:t>
            </w:r>
          </w:p>
        </w:tc>
        <w:tc>
          <w:tcPr>
            <w:tcW w:w="462" w:type="pct"/>
            <w:tcBorders>
              <w:top w:val="single" w:color="auto" w:sz="4" w:space="0"/>
              <w:left w:val="single" w:color="auto" w:sz="4" w:space="0"/>
              <w:bottom w:val="single" w:color="auto" w:sz="4" w:space="0"/>
              <w:right w:val="single" w:color="auto" w:sz="4" w:space="0"/>
            </w:tcBorders>
            <w:vAlign w:val="center"/>
          </w:tcPr>
          <w:p w14:paraId="16B6EF8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031063F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3507.62</w:t>
            </w:r>
          </w:p>
        </w:tc>
        <w:tc>
          <w:tcPr>
            <w:tcW w:w="539" w:type="pct"/>
            <w:tcBorders>
              <w:top w:val="single" w:color="auto" w:sz="4" w:space="0"/>
              <w:left w:val="single" w:color="auto" w:sz="4" w:space="0"/>
              <w:bottom w:val="single" w:color="auto" w:sz="4" w:space="0"/>
              <w:right w:val="single" w:color="auto" w:sz="4" w:space="0"/>
            </w:tcBorders>
            <w:vAlign w:val="center"/>
          </w:tcPr>
          <w:p w14:paraId="26D7C49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6360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E9E7243">
            <w:pPr>
              <w:spacing w:line="240" w:lineRule="auto"/>
              <w:ind w:firstLine="0" w:firstLineChars="0"/>
              <w:jc w:val="center"/>
              <w:rPr>
                <w:rFonts w:hint="eastAsia"/>
                <w:color w:val="auto"/>
                <w:sz w:val="21"/>
                <w:szCs w:val="21"/>
                <w:highlight w:val="none"/>
                <w:u w:val="none"/>
              </w:rPr>
            </w:pPr>
          </w:p>
        </w:tc>
      </w:tr>
      <w:tr w14:paraId="584E9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07C02F9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2ED62B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7F17B5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田头村</w:t>
            </w:r>
          </w:p>
        </w:tc>
        <w:tc>
          <w:tcPr>
            <w:tcW w:w="462" w:type="pct"/>
            <w:tcBorders>
              <w:top w:val="single" w:color="auto" w:sz="4" w:space="0"/>
              <w:left w:val="single" w:color="auto" w:sz="4" w:space="0"/>
              <w:bottom w:val="single" w:color="auto" w:sz="4" w:space="0"/>
              <w:right w:val="single" w:color="auto" w:sz="4" w:space="0"/>
            </w:tcBorders>
            <w:vAlign w:val="center"/>
          </w:tcPr>
          <w:p w14:paraId="2615CFE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2DD5070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4637.76</w:t>
            </w:r>
          </w:p>
        </w:tc>
        <w:tc>
          <w:tcPr>
            <w:tcW w:w="539" w:type="pct"/>
            <w:tcBorders>
              <w:top w:val="single" w:color="auto" w:sz="4" w:space="0"/>
              <w:left w:val="single" w:color="auto" w:sz="4" w:space="0"/>
              <w:bottom w:val="single" w:color="auto" w:sz="4" w:space="0"/>
              <w:right w:val="single" w:color="auto" w:sz="4" w:space="0"/>
            </w:tcBorders>
            <w:vAlign w:val="center"/>
          </w:tcPr>
          <w:p w14:paraId="607BE0B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B690E19">
            <w:pPr>
              <w:spacing w:line="240" w:lineRule="auto"/>
              <w:ind w:firstLine="0" w:firstLineChars="0"/>
              <w:jc w:val="center"/>
              <w:rPr>
                <w:rFonts w:hint="eastAsia"/>
                <w:color w:val="auto"/>
                <w:sz w:val="21"/>
                <w:szCs w:val="21"/>
                <w:highlight w:val="none"/>
                <w:u w:val="none"/>
              </w:rPr>
            </w:pPr>
          </w:p>
        </w:tc>
      </w:tr>
      <w:tr w14:paraId="08265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9EA8FD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69C7409">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0B1C43B5">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下堡村</w:t>
            </w:r>
          </w:p>
        </w:tc>
        <w:tc>
          <w:tcPr>
            <w:tcW w:w="462" w:type="pct"/>
            <w:tcBorders>
              <w:top w:val="single" w:color="auto" w:sz="4" w:space="0"/>
              <w:left w:val="single" w:color="auto" w:sz="4" w:space="0"/>
              <w:bottom w:val="single" w:color="auto" w:sz="4" w:space="0"/>
              <w:right w:val="single" w:color="auto" w:sz="4" w:space="0"/>
            </w:tcBorders>
            <w:vAlign w:val="center"/>
          </w:tcPr>
          <w:p w14:paraId="565E205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740B7C2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4439.91</w:t>
            </w:r>
          </w:p>
        </w:tc>
        <w:tc>
          <w:tcPr>
            <w:tcW w:w="539" w:type="pct"/>
            <w:tcBorders>
              <w:top w:val="single" w:color="auto" w:sz="4" w:space="0"/>
              <w:left w:val="single" w:color="auto" w:sz="4" w:space="0"/>
              <w:bottom w:val="single" w:color="auto" w:sz="4" w:space="0"/>
              <w:right w:val="single" w:color="auto" w:sz="4" w:space="0"/>
            </w:tcBorders>
            <w:vAlign w:val="center"/>
          </w:tcPr>
          <w:p w14:paraId="77A7AAA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3394</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649CC0F">
            <w:pPr>
              <w:spacing w:line="240" w:lineRule="auto"/>
              <w:ind w:firstLine="0" w:firstLineChars="0"/>
              <w:jc w:val="center"/>
              <w:rPr>
                <w:rFonts w:hint="eastAsia"/>
                <w:color w:val="auto"/>
                <w:sz w:val="21"/>
                <w:szCs w:val="21"/>
                <w:highlight w:val="none"/>
                <w:u w:val="none"/>
              </w:rPr>
            </w:pPr>
          </w:p>
        </w:tc>
      </w:tr>
      <w:tr w14:paraId="10477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2352BD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CDE9D9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35040D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下石村</w:t>
            </w:r>
          </w:p>
        </w:tc>
        <w:tc>
          <w:tcPr>
            <w:tcW w:w="462" w:type="pct"/>
            <w:tcBorders>
              <w:top w:val="single" w:color="auto" w:sz="4" w:space="0"/>
              <w:left w:val="single" w:color="auto" w:sz="4" w:space="0"/>
              <w:bottom w:val="single" w:color="auto" w:sz="4" w:space="0"/>
              <w:right w:val="single" w:color="auto" w:sz="4" w:space="0"/>
            </w:tcBorders>
            <w:vAlign w:val="center"/>
          </w:tcPr>
          <w:p w14:paraId="48D508B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2FBB672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3590.41</w:t>
            </w:r>
          </w:p>
        </w:tc>
        <w:tc>
          <w:tcPr>
            <w:tcW w:w="539" w:type="pct"/>
            <w:tcBorders>
              <w:top w:val="single" w:color="auto" w:sz="4" w:space="0"/>
              <w:left w:val="single" w:color="auto" w:sz="4" w:space="0"/>
              <w:bottom w:val="single" w:color="auto" w:sz="4" w:space="0"/>
              <w:right w:val="single" w:color="auto" w:sz="4" w:space="0"/>
            </w:tcBorders>
            <w:vAlign w:val="center"/>
          </w:tcPr>
          <w:p w14:paraId="4371693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2360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0DE03DF">
            <w:pPr>
              <w:spacing w:line="240" w:lineRule="auto"/>
              <w:ind w:firstLine="0" w:firstLineChars="0"/>
              <w:jc w:val="center"/>
              <w:rPr>
                <w:rFonts w:hint="eastAsia"/>
                <w:color w:val="auto"/>
                <w:sz w:val="21"/>
                <w:szCs w:val="21"/>
                <w:highlight w:val="none"/>
                <w:u w:val="none"/>
              </w:rPr>
            </w:pPr>
          </w:p>
        </w:tc>
      </w:tr>
      <w:tr w14:paraId="5CDD0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0DCFB01">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8962157">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289E77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江阴镇</w:t>
            </w:r>
          </w:p>
        </w:tc>
        <w:tc>
          <w:tcPr>
            <w:tcW w:w="462" w:type="pct"/>
            <w:tcBorders>
              <w:top w:val="single" w:color="auto" w:sz="4" w:space="0"/>
              <w:left w:val="single" w:color="auto" w:sz="4" w:space="0"/>
              <w:bottom w:val="single" w:color="auto" w:sz="4" w:space="0"/>
              <w:right w:val="single" w:color="auto" w:sz="4" w:space="0"/>
            </w:tcBorders>
            <w:vAlign w:val="center"/>
          </w:tcPr>
          <w:p w14:paraId="4F827AE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5BB2D21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4384.59</w:t>
            </w:r>
          </w:p>
        </w:tc>
        <w:tc>
          <w:tcPr>
            <w:tcW w:w="539" w:type="pct"/>
            <w:tcBorders>
              <w:top w:val="single" w:color="auto" w:sz="4" w:space="0"/>
              <w:left w:val="single" w:color="auto" w:sz="4" w:space="0"/>
              <w:bottom w:val="single" w:color="auto" w:sz="4" w:space="0"/>
              <w:right w:val="single" w:color="auto" w:sz="4" w:space="0"/>
            </w:tcBorders>
            <w:vAlign w:val="center"/>
          </w:tcPr>
          <w:p w14:paraId="763320E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10000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2817E75">
            <w:pPr>
              <w:spacing w:line="240" w:lineRule="auto"/>
              <w:ind w:firstLine="0" w:firstLineChars="0"/>
              <w:jc w:val="center"/>
              <w:rPr>
                <w:rFonts w:hint="eastAsia"/>
                <w:color w:val="auto"/>
                <w:sz w:val="21"/>
                <w:szCs w:val="21"/>
                <w:highlight w:val="none"/>
                <w:u w:val="none"/>
              </w:rPr>
            </w:pPr>
          </w:p>
        </w:tc>
      </w:tr>
      <w:tr w14:paraId="5045C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68201C5">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48AAD6B">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72BCD5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*后林</w:t>
            </w:r>
          </w:p>
        </w:tc>
        <w:tc>
          <w:tcPr>
            <w:tcW w:w="462" w:type="pct"/>
            <w:tcBorders>
              <w:top w:val="single" w:color="auto" w:sz="4" w:space="0"/>
              <w:left w:val="single" w:color="auto" w:sz="4" w:space="0"/>
              <w:bottom w:val="single" w:color="auto" w:sz="4" w:space="0"/>
              <w:right w:val="single" w:color="auto" w:sz="4" w:space="0"/>
            </w:tcBorders>
            <w:vAlign w:val="center"/>
          </w:tcPr>
          <w:p w14:paraId="2670886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462D811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2682.32</w:t>
            </w:r>
          </w:p>
        </w:tc>
        <w:tc>
          <w:tcPr>
            <w:tcW w:w="539" w:type="pct"/>
            <w:tcBorders>
              <w:top w:val="single" w:color="auto" w:sz="4" w:space="0"/>
              <w:left w:val="single" w:color="auto" w:sz="4" w:space="0"/>
              <w:bottom w:val="single" w:color="auto" w:sz="4" w:space="0"/>
              <w:right w:val="single" w:color="auto" w:sz="4" w:space="0"/>
            </w:tcBorders>
            <w:vAlign w:val="center"/>
          </w:tcPr>
          <w:p w14:paraId="5ABDB5CE">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AF47C00">
            <w:pPr>
              <w:spacing w:line="240" w:lineRule="auto"/>
              <w:ind w:firstLine="0" w:firstLineChars="0"/>
              <w:jc w:val="center"/>
              <w:rPr>
                <w:rFonts w:hint="eastAsia"/>
                <w:color w:val="auto"/>
                <w:sz w:val="21"/>
                <w:szCs w:val="21"/>
                <w:highlight w:val="none"/>
                <w:u w:val="none"/>
              </w:rPr>
            </w:pPr>
          </w:p>
        </w:tc>
      </w:tr>
      <w:tr w14:paraId="78893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136A152">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7D77A44">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07A546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岭兜</w:t>
            </w:r>
          </w:p>
        </w:tc>
        <w:tc>
          <w:tcPr>
            <w:tcW w:w="462" w:type="pct"/>
            <w:tcBorders>
              <w:top w:val="single" w:color="auto" w:sz="4" w:space="0"/>
              <w:left w:val="single" w:color="auto" w:sz="4" w:space="0"/>
              <w:bottom w:val="single" w:color="auto" w:sz="4" w:space="0"/>
              <w:right w:val="single" w:color="auto" w:sz="4" w:space="0"/>
            </w:tcBorders>
            <w:vAlign w:val="center"/>
          </w:tcPr>
          <w:p w14:paraId="6003C04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0AF3BEE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2792.96</w:t>
            </w:r>
          </w:p>
        </w:tc>
        <w:tc>
          <w:tcPr>
            <w:tcW w:w="539" w:type="pct"/>
            <w:tcBorders>
              <w:top w:val="single" w:color="auto" w:sz="4" w:space="0"/>
              <w:left w:val="single" w:color="auto" w:sz="4" w:space="0"/>
              <w:bottom w:val="single" w:color="auto" w:sz="4" w:space="0"/>
              <w:right w:val="single" w:color="auto" w:sz="4" w:space="0"/>
            </w:tcBorders>
            <w:vAlign w:val="center"/>
          </w:tcPr>
          <w:p w14:paraId="43F07C3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BDA15F4">
            <w:pPr>
              <w:spacing w:line="240" w:lineRule="auto"/>
              <w:ind w:firstLine="0" w:firstLineChars="0"/>
              <w:jc w:val="center"/>
              <w:rPr>
                <w:rFonts w:hint="eastAsia"/>
                <w:color w:val="auto"/>
                <w:sz w:val="21"/>
                <w:szCs w:val="21"/>
                <w:highlight w:val="none"/>
                <w:u w:val="none"/>
              </w:rPr>
            </w:pPr>
          </w:p>
        </w:tc>
      </w:tr>
      <w:tr w14:paraId="362C4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358310F">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95EE92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922B1A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布厝</w:t>
            </w:r>
          </w:p>
        </w:tc>
        <w:tc>
          <w:tcPr>
            <w:tcW w:w="462" w:type="pct"/>
            <w:tcBorders>
              <w:top w:val="single" w:color="auto" w:sz="4" w:space="0"/>
              <w:left w:val="single" w:color="auto" w:sz="4" w:space="0"/>
              <w:bottom w:val="single" w:color="auto" w:sz="4" w:space="0"/>
              <w:right w:val="single" w:color="auto" w:sz="4" w:space="0"/>
            </w:tcBorders>
            <w:vAlign w:val="center"/>
          </w:tcPr>
          <w:p w14:paraId="0305B6D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0D4372C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2949.58</w:t>
            </w:r>
          </w:p>
        </w:tc>
        <w:tc>
          <w:tcPr>
            <w:tcW w:w="539" w:type="pct"/>
            <w:tcBorders>
              <w:top w:val="single" w:color="auto" w:sz="4" w:space="0"/>
              <w:left w:val="single" w:color="auto" w:sz="4" w:space="0"/>
              <w:bottom w:val="single" w:color="auto" w:sz="4" w:space="0"/>
              <w:right w:val="single" w:color="auto" w:sz="4" w:space="0"/>
            </w:tcBorders>
            <w:vAlign w:val="center"/>
          </w:tcPr>
          <w:p w14:paraId="6F960F2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450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ACF84F3">
            <w:pPr>
              <w:spacing w:line="240" w:lineRule="auto"/>
              <w:ind w:firstLine="0" w:firstLineChars="0"/>
              <w:jc w:val="center"/>
              <w:rPr>
                <w:rFonts w:hint="eastAsia"/>
                <w:color w:val="auto"/>
                <w:sz w:val="21"/>
                <w:szCs w:val="21"/>
                <w:highlight w:val="none"/>
                <w:u w:val="none"/>
              </w:rPr>
            </w:pPr>
          </w:p>
        </w:tc>
      </w:tr>
      <w:tr w14:paraId="78722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BC78DBE">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195AB8F">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5E3584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西兰</w:t>
            </w:r>
          </w:p>
        </w:tc>
        <w:tc>
          <w:tcPr>
            <w:tcW w:w="462" w:type="pct"/>
            <w:tcBorders>
              <w:top w:val="single" w:color="auto" w:sz="4" w:space="0"/>
              <w:left w:val="single" w:color="auto" w:sz="4" w:space="0"/>
              <w:bottom w:val="single" w:color="auto" w:sz="4" w:space="0"/>
              <w:right w:val="single" w:color="auto" w:sz="4" w:space="0"/>
            </w:tcBorders>
            <w:vAlign w:val="center"/>
          </w:tcPr>
          <w:p w14:paraId="6DBD7E2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199D24B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3104.94</w:t>
            </w:r>
          </w:p>
        </w:tc>
        <w:tc>
          <w:tcPr>
            <w:tcW w:w="539" w:type="pct"/>
            <w:tcBorders>
              <w:top w:val="single" w:color="auto" w:sz="4" w:space="0"/>
              <w:left w:val="single" w:color="auto" w:sz="4" w:space="0"/>
              <w:bottom w:val="single" w:color="auto" w:sz="4" w:space="0"/>
              <w:right w:val="single" w:color="auto" w:sz="4" w:space="0"/>
            </w:tcBorders>
            <w:vAlign w:val="center"/>
          </w:tcPr>
          <w:p w14:paraId="3C95464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5B629E6">
            <w:pPr>
              <w:spacing w:line="240" w:lineRule="auto"/>
              <w:ind w:firstLine="0" w:firstLineChars="0"/>
              <w:jc w:val="center"/>
              <w:rPr>
                <w:rFonts w:hint="eastAsia"/>
                <w:color w:val="auto"/>
                <w:sz w:val="21"/>
                <w:szCs w:val="21"/>
                <w:highlight w:val="none"/>
                <w:u w:val="none"/>
              </w:rPr>
            </w:pPr>
          </w:p>
        </w:tc>
      </w:tr>
      <w:tr w14:paraId="0DCD5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F10E436">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60FBE4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502F79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*沙塘</w:t>
            </w:r>
          </w:p>
        </w:tc>
        <w:tc>
          <w:tcPr>
            <w:tcW w:w="462" w:type="pct"/>
            <w:tcBorders>
              <w:top w:val="single" w:color="auto" w:sz="4" w:space="0"/>
              <w:left w:val="single" w:color="auto" w:sz="4" w:space="0"/>
              <w:bottom w:val="single" w:color="auto" w:sz="4" w:space="0"/>
              <w:right w:val="single" w:color="auto" w:sz="4" w:space="0"/>
            </w:tcBorders>
            <w:vAlign w:val="center"/>
          </w:tcPr>
          <w:p w14:paraId="4DE1413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55906B6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3376.28</w:t>
            </w:r>
          </w:p>
        </w:tc>
        <w:tc>
          <w:tcPr>
            <w:tcW w:w="539" w:type="pct"/>
            <w:tcBorders>
              <w:top w:val="single" w:color="auto" w:sz="4" w:space="0"/>
              <w:left w:val="single" w:color="auto" w:sz="4" w:space="0"/>
              <w:bottom w:val="single" w:color="auto" w:sz="4" w:space="0"/>
              <w:right w:val="single" w:color="auto" w:sz="4" w:space="0"/>
            </w:tcBorders>
            <w:vAlign w:val="center"/>
          </w:tcPr>
          <w:p w14:paraId="2075D2C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1555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324974D">
            <w:pPr>
              <w:spacing w:line="240" w:lineRule="auto"/>
              <w:ind w:firstLine="0" w:firstLineChars="0"/>
              <w:jc w:val="center"/>
              <w:rPr>
                <w:rFonts w:hint="eastAsia"/>
                <w:color w:val="auto"/>
                <w:sz w:val="21"/>
                <w:szCs w:val="21"/>
                <w:highlight w:val="none"/>
                <w:u w:val="none"/>
              </w:rPr>
            </w:pPr>
          </w:p>
        </w:tc>
      </w:tr>
      <w:tr w14:paraId="7B9AC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18C9A26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A677E6B">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F69892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张厝</w:t>
            </w:r>
          </w:p>
        </w:tc>
        <w:tc>
          <w:tcPr>
            <w:tcW w:w="462" w:type="pct"/>
            <w:tcBorders>
              <w:top w:val="single" w:color="auto" w:sz="4" w:space="0"/>
              <w:left w:val="single" w:color="auto" w:sz="4" w:space="0"/>
              <w:bottom w:val="single" w:color="auto" w:sz="4" w:space="0"/>
              <w:right w:val="single" w:color="auto" w:sz="4" w:space="0"/>
            </w:tcBorders>
            <w:vAlign w:val="center"/>
          </w:tcPr>
          <w:p w14:paraId="4EBFF63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35563DC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4451.53</w:t>
            </w:r>
          </w:p>
        </w:tc>
        <w:tc>
          <w:tcPr>
            <w:tcW w:w="539" w:type="pct"/>
            <w:tcBorders>
              <w:top w:val="single" w:color="auto" w:sz="4" w:space="0"/>
              <w:left w:val="single" w:color="auto" w:sz="4" w:space="0"/>
              <w:bottom w:val="single" w:color="auto" w:sz="4" w:space="0"/>
              <w:right w:val="single" w:color="auto" w:sz="4" w:space="0"/>
            </w:tcBorders>
            <w:vAlign w:val="center"/>
          </w:tcPr>
          <w:p w14:paraId="488DD1C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1235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3B616F1">
            <w:pPr>
              <w:spacing w:line="240" w:lineRule="auto"/>
              <w:ind w:firstLine="0" w:firstLineChars="0"/>
              <w:jc w:val="center"/>
              <w:rPr>
                <w:rFonts w:hint="eastAsia"/>
                <w:color w:val="auto"/>
                <w:sz w:val="21"/>
                <w:szCs w:val="21"/>
                <w:highlight w:val="none"/>
                <w:u w:val="none"/>
              </w:rPr>
            </w:pPr>
          </w:p>
        </w:tc>
      </w:tr>
      <w:tr w14:paraId="47A49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BA660F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38E3CDB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657861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钱塘</w:t>
            </w:r>
          </w:p>
        </w:tc>
        <w:tc>
          <w:tcPr>
            <w:tcW w:w="462" w:type="pct"/>
            <w:tcBorders>
              <w:top w:val="single" w:color="auto" w:sz="4" w:space="0"/>
              <w:left w:val="single" w:color="auto" w:sz="4" w:space="0"/>
              <w:bottom w:val="single" w:color="auto" w:sz="4" w:space="0"/>
              <w:right w:val="single" w:color="auto" w:sz="4" w:space="0"/>
            </w:tcBorders>
            <w:vAlign w:val="center"/>
          </w:tcPr>
          <w:p w14:paraId="36BF614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670349C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4209.92</w:t>
            </w:r>
          </w:p>
        </w:tc>
        <w:tc>
          <w:tcPr>
            <w:tcW w:w="539" w:type="pct"/>
            <w:tcBorders>
              <w:top w:val="single" w:color="auto" w:sz="4" w:space="0"/>
              <w:left w:val="single" w:color="auto" w:sz="4" w:space="0"/>
              <w:bottom w:val="single" w:color="auto" w:sz="4" w:space="0"/>
              <w:right w:val="single" w:color="auto" w:sz="4" w:space="0"/>
            </w:tcBorders>
            <w:vAlign w:val="center"/>
          </w:tcPr>
          <w:p w14:paraId="0432AD4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2065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72EC0BB">
            <w:pPr>
              <w:spacing w:line="240" w:lineRule="auto"/>
              <w:ind w:firstLine="0" w:firstLineChars="0"/>
              <w:jc w:val="center"/>
              <w:rPr>
                <w:rFonts w:hint="eastAsia"/>
                <w:color w:val="auto"/>
                <w:sz w:val="21"/>
                <w:szCs w:val="21"/>
                <w:highlight w:val="none"/>
                <w:u w:val="none"/>
              </w:rPr>
            </w:pPr>
          </w:p>
        </w:tc>
      </w:tr>
      <w:tr w14:paraId="6F67D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1183E14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B651BE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40EB797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后陈村</w:t>
            </w:r>
          </w:p>
        </w:tc>
        <w:tc>
          <w:tcPr>
            <w:tcW w:w="462" w:type="pct"/>
            <w:tcBorders>
              <w:top w:val="single" w:color="auto" w:sz="4" w:space="0"/>
              <w:left w:val="single" w:color="auto" w:sz="4" w:space="0"/>
              <w:bottom w:val="single" w:color="auto" w:sz="4" w:space="0"/>
              <w:right w:val="single" w:color="auto" w:sz="4" w:space="0"/>
            </w:tcBorders>
            <w:vAlign w:val="center"/>
          </w:tcPr>
          <w:p w14:paraId="249F348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0AADF8C8">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4526.93</w:t>
            </w:r>
          </w:p>
        </w:tc>
        <w:tc>
          <w:tcPr>
            <w:tcW w:w="539" w:type="pct"/>
            <w:tcBorders>
              <w:top w:val="single" w:color="auto" w:sz="4" w:space="0"/>
              <w:left w:val="single" w:color="auto" w:sz="4" w:space="0"/>
              <w:bottom w:val="single" w:color="auto" w:sz="4" w:space="0"/>
              <w:right w:val="single" w:color="auto" w:sz="4" w:space="0"/>
            </w:tcBorders>
            <w:vAlign w:val="center"/>
          </w:tcPr>
          <w:p w14:paraId="4F2DC1C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1740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9710209">
            <w:pPr>
              <w:spacing w:line="240" w:lineRule="auto"/>
              <w:ind w:firstLine="0" w:firstLineChars="0"/>
              <w:jc w:val="center"/>
              <w:rPr>
                <w:rFonts w:hint="eastAsia"/>
                <w:color w:val="auto"/>
                <w:sz w:val="21"/>
                <w:szCs w:val="21"/>
                <w:highlight w:val="none"/>
                <w:u w:val="none"/>
              </w:rPr>
            </w:pPr>
          </w:p>
        </w:tc>
      </w:tr>
      <w:tr w14:paraId="0E083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D14E9FA">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6610818">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380465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垄北</w:t>
            </w:r>
          </w:p>
        </w:tc>
        <w:tc>
          <w:tcPr>
            <w:tcW w:w="462" w:type="pct"/>
            <w:tcBorders>
              <w:top w:val="single" w:color="auto" w:sz="4" w:space="0"/>
              <w:left w:val="single" w:color="auto" w:sz="4" w:space="0"/>
              <w:bottom w:val="single" w:color="auto" w:sz="4" w:space="0"/>
              <w:right w:val="single" w:color="auto" w:sz="4" w:space="0"/>
            </w:tcBorders>
            <w:vAlign w:val="center"/>
          </w:tcPr>
          <w:p w14:paraId="1B16D48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55E48BA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3296.46</w:t>
            </w:r>
          </w:p>
        </w:tc>
        <w:tc>
          <w:tcPr>
            <w:tcW w:w="539" w:type="pct"/>
            <w:tcBorders>
              <w:top w:val="single" w:color="auto" w:sz="4" w:space="0"/>
              <w:left w:val="single" w:color="auto" w:sz="4" w:space="0"/>
              <w:bottom w:val="single" w:color="auto" w:sz="4" w:space="0"/>
              <w:right w:val="single" w:color="auto" w:sz="4" w:space="0"/>
            </w:tcBorders>
            <w:vAlign w:val="center"/>
          </w:tcPr>
          <w:p w14:paraId="3BCF21A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780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144AA0D1">
            <w:pPr>
              <w:spacing w:line="240" w:lineRule="auto"/>
              <w:ind w:firstLine="0" w:firstLineChars="0"/>
              <w:jc w:val="center"/>
              <w:rPr>
                <w:rFonts w:hint="eastAsia"/>
                <w:color w:val="auto"/>
                <w:sz w:val="21"/>
                <w:szCs w:val="21"/>
                <w:highlight w:val="none"/>
                <w:u w:val="none"/>
              </w:rPr>
            </w:pPr>
          </w:p>
        </w:tc>
      </w:tr>
      <w:tr w14:paraId="478C6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D586681">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3615AE5">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8E9031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赤厝村</w:t>
            </w:r>
          </w:p>
        </w:tc>
        <w:tc>
          <w:tcPr>
            <w:tcW w:w="462" w:type="pct"/>
            <w:tcBorders>
              <w:top w:val="single" w:color="auto" w:sz="4" w:space="0"/>
              <w:left w:val="single" w:color="auto" w:sz="4" w:space="0"/>
              <w:bottom w:val="single" w:color="auto" w:sz="4" w:space="0"/>
              <w:right w:val="single" w:color="auto" w:sz="4" w:space="0"/>
            </w:tcBorders>
            <w:vAlign w:val="center"/>
          </w:tcPr>
          <w:p w14:paraId="1E288BF5">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148E008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5748.95</w:t>
            </w:r>
          </w:p>
        </w:tc>
        <w:tc>
          <w:tcPr>
            <w:tcW w:w="539" w:type="pct"/>
            <w:tcBorders>
              <w:top w:val="single" w:color="auto" w:sz="4" w:space="0"/>
              <w:left w:val="single" w:color="auto" w:sz="4" w:space="0"/>
              <w:bottom w:val="single" w:color="auto" w:sz="4" w:space="0"/>
              <w:right w:val="single" w:color="auto" w:sz="4" w:space="0"/>
            </w:tcBorders>
            <w:vAlign w:val="center"/>
          </w:tcPr>
          <w:p w14:paraId="26B83D8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1700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51D13C7">
            <w:pPr>
              <w:spacing w:line="240" w:lineRule="auto"/>
              <w:ind w:firstLine="0" w:firstLineChars="0"/>
              <w:jc w:val="center"/>
              <w:rPr>
                <w:rFonts w:hint="eastAsia"/>
                <w:color w:val="auto"/>
                <w:sz w:val="21"/>
                <w:szCs w:val="21"/>
                <w:highlight w:val="none"/>
                <w:u w:val="none"/>
              </w:rPr>
            </w:pPr>
          </w:p>
        </w:tc>
      </w:tr>
      <w:tr w14:paraId="469F5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F8386C4">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3D5EF10">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140F4FA">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门口村</w:t>
            </w:r>
          </w:p>
        </w:tc>
        <w:tc>
          <w:tcPr>
            <w:tcW w:w="462" w:type="pct"/>
            <w:tcBorders>
              <w:top w:val="single" w:color="auto" w:sz="4" w:space="0"/>
              <w:left w:val="single" w:color="auto" w:sz="4" w:space="0"/>
              <w:bottom w:val="single" w:color="auto" w:sz="4" w:space="0"/>
              <w:right w:val="single" w:color="auto" w:sz="4" w:space="0"/>
            </w:tcBorders>
            <w:vAlign w:val="center"/>
          </w:tcPr>
          <w:p w14:paraId="1403158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555EB04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5260.29</w:t>
            </w:r>
          </w:p>
        </w:tc>
        <w:tc>
          <w:tcPr>
            <w:tcW w:w="539" w:type="pct"/>
            <w:tcBorders>
              <w:top w:val="single" w:color="auto" w:sz="4" w:space="0"/>
              <w:left w:val="single" w:color="auto" w:sz="4" w:space="0"/>
              <w:bottom w:val="single" w:color="auto" w:sz="4" w:space="0"/>
              <w:right w:val="single" w:color="auto" w:sz="4" w:space="0"/>
            </w:tcBorders>
            <w:vAlign w:val="center"/>
          </w:tcPr>
          <w:p w14:paraId="2C9E009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3220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48893EA">
            <w:pPr>
              <w:spacing w:line="240" w:lineRule="auto"/>
              <w:ind w:firstLine="0" w:firstLineChars="0"/>
              <w:jc w:val="center"/>
              <w:rPr>
                <w:rFonts w:hint="eastAsia"/>
                <w:color w:val="auto"/>
                <w:sz w:val="21"/>
                <w:szCs w:val="21"/>
                <w:highlight w:val="none"/>
                <w:u w:val="none"/>
              </w:rPr>
            </w:pPr>
          </w:p>
        </w:tc>
      </w:tr>
      <w:tr w14:paraId="46CAD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AFF4D6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F48C08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050FEF8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后陈村</w:t>
            </w:r>
          </w:p>
        </w:tc>
        <w:tc>
          <w:tcPr>
            <w:tcW w:w="462" w:type="pct"/>
            <w:tcBorders>
              <w:top w:val="single" w:color="auto" w:sz="4" w:space="0"/>
              <w:left w:val="single" w:color="auto" w:sz="4" w:space="0"/>
              <w:bottom w:val="single" w:color="auto" w:sz="4" w:space="0"/>
              <w:right w:val="single" w:color="auto" w:sz="4" w:space="0"/>
            </w:tcBorders>
            <w:vAlign w:val="center"/>
          </w:tcPr>
          <w:p w14:paraId="4F644BF5">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55C2C7E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5149.03</w:t>
            </w:r>
          </w:p>
        </w:tc>
        <w:tc>
          <w:tcPr>
            <w:tcW w:w="539" w:type="pct"/>
            <w:tcBorders>
              <w:top w:val="single" w:color="auto" w:sz="4" w:space="0"/>
              <w:left w:val="single" w:color="auto" w:sz="4" w:space="0"/>
              <w:bottom w:val="single" w:color="auto" w:sz="4" w:space="0"/>
              <w:right w:val="single" w:color="auto" w:sz="4" w:space="0"/>
            </w:tcBorders>
            <w:vAlign w:val="center"/>
          </w:tcPr>
          <w:p w14:paraId="2C7BB0D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1740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03C5D0F">
            <w:pPr>
              <w:spacing w:line="240" w:lineRule="auto"/>
              <w:ind w:firstLine="0" w:firstLineChars="0"/>
              <w:jc w:val="center"/>
              <w:rPr>
                <w:rFonts w:hint="eastAsia"/>
                <w:color w:val="auto"/>
                <w:sz w:val="21"/>
                <w:szCs w:val="21"/>
                <w:highlight w:val="none"/>
                <w:u w:val="none"/>
              </w:rPr>
            </w:pPr>
          </w:p>
        </w:tc>
      </w:tr>
      <w:tr w14:paraId="45B7C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E66B8E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5D14BE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95943F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岭口村</w:t>
            </w:r>
          </w:p>
        </w:tc>
        <w:tc>
          <w:tcPr>
            <w:tcW w:w="462" w:type="pct"/>
            <w:tcBorders>
              <w:top w:val="single" w:color="auto" w:sz="4" w:space="0"/>
              <w:left w:val="single" w:color="auto" w:sz="4" w:space="0"/>
              <w:bottom w:val="single" w:color="auto" w:sz="4" w:space="0"/>
              <w:right w:val="single" w:color="auto" w:sz="4" w:space="0"/>
            </w:tcBorders>
            <w:vAlign w:val="center"/>
          </w:tcPr>
          <w:p w14:paraId="7091485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109174A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6840.31</w:t>
            </w:r>
          </w:p>
        </w:tc>
        <w:tc>
          <w:tcPr>
            <w:tcW w:w="539" w:type="pct"/>
            <w:tcBorders>
              <w:top w:val="single" w:color="auto" w:sz="4" w:space="0"/>
              <w:left w:val="single" w:color="auto" w:sz="4" w:space="0"/>
              <w:bottom w:val="single" w:color="auto" w:sz="4" w:space="0"/>
              <w:right w:val="single" w:color="auto" w:sz="4" w:space="0"/>
            </w:tcBorders>
            <w:vAlign w:val="center"/>
          </w:tcPr>
          <w:p w14:paraId="3734B09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490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B6751BD">
            <w:pPr>
              <w:spacing w:line="240" w:lineRule="auto"/>
              <w:ind w:firstLine="0" w:firstLineChars="0"/>
              <w:jc w:val="center"/>
              <w:rPr>
                <w:rFonts w:hint="eastAsia"/>
                <w:color w:val="auto"/>
                <w:sz w:val="21"/>
                <w:szCs w:val="21"/>
                <w:highlight w:val="none"/>
                <w:u w:val="none"/>
              </w:rPr>
            </w:pPr>
          </w:p>
        </w:tc>
      </w:tr>
      <w:tr w14:paraId="3A43D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702FF1E">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901ED6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9FE4C0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龙门村</w:t>
            </w:r>
          </w:p>
        </w:tc>
        <w:tc>
          <w:tcPr>
            <w:tcW w:w="462" w:type="pct"/>
            <w:tcBorders>
              <w:top w:val="single" w:color="auto" w:sz="4" w:space="0"/>
              <w:left w:val="single" w:color="auto" w:sz="4" w:space="0"/>
              <w:bottom w:val="single" w:color="auto" w:sz="4" w:space="0"/>
              <w:right w:val="single" w:color="auto" w:sz="4" w:space="0"/>
            </w:tcBorders>
            <w:vAlign w:val="center"/>
          </w:tcPr>
          <w:p w14:paraId="1BB7BC2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72B9F78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5714.45</w:t>
            </w:r>
          </w:p>
        </w:tc>
        <w:tc>
          <w:tcPr>
            <w:tcW w:w="539" w:type="pct"/>
            <w:tcBorders>
              <w:top w:val="single" w:color="auto" w:sz="4" w:space="0"/>
              <w:left w:val="single" w:color="auto" w:sz="4" w:space="0"/>
              <w:bottom w:val="single" w:color="auto" w:sz="4" w:space="0"/>
              <w:right w:val="single" w:color="auto" w:sz="4" w:space="0"/>
            </w:tcBorders>
            <w:vAlign w:val="center"/>
          </w:tcPr>
          <w:p w14:paraId="635B2F8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1600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C3AE3D9">
            <w:pPr>
              <w:spacing w:line="240" w:lineRule="auto"/>
              <w:ind w:firstLine="0" w:firstLineChars="0"/>
              <w:jc w:val="center"/>
              <w:rPr>
                <w:rFonts w:hint="eastAsia"/>
                <w:color w:val="auto"/>
                <w:sz w:val="21"/>
                <w:szCs w:val="21"/>
                <w:highlight w:val="none"/>
                <w:u w:val="none"/>
              </w:rPr>
            </w:pPr>
          </w:p>
        </w:tc>
      </w:tr>
      <w:tr w14:paraId="7FEC9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6972299">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F171AE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46FE929">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后庄村</w:t>
            </w:r>
          </w:p>
        </w:tc>
        <w:tc>
          <w:tcPr>
            <w:tcW w:w="462" w:type="pct"/>
            <w:tcBorders>
              <w:top w:val="single" w:color="auto" w:sz="4" w:space="0"/>
              <w:left w:val="single" w:color="auto" w:sz="4" w:space="0"/>
              <w:bottom w:val="single" w:color="auto" w:sz="4" w:space="0"/>
              <w:right w:val="single" w:color="auto" w:sz="4" w:space="0"/>
            </w:tcBorders>
            <w:vAlign w:val="center"/>
          </w:tcPr>
          <w:p w14:paraId="44508A4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60D4E0F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5992.59</w:t>
            </w:r>
          </w:p>
        </w:tc>
        <w:tc>
          <w:tcPr>
            <w:tcW w:w="539" w:type="pct"/>
            <w:tcBorders>
              <w:top w:val="single" w:color="auto" w:sz="4" w:space="0"/>
              <w:left w:val="single" w:color="auto" w:sz="4" w:space="0"/>
              <w:bottom w:val="single" w:color="auto" w:sz="4" w:space="0"/>
              <w:right w:val="single" w:color="auto" w:sz="4" w:space="0"/>
            </w:tcBorders>
            <w:vAlign w:val="center"/>
          </w:tcPr>
          <w:p w14:paraId="61C644A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1320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E44C956">
            <w:pPr>
              <w:spacing w:line="240" w:lineRule="auto"/>
              <w:ind w:firstLine="0" w:firstLineChars="0"/>
              <w:jc w:val="center"/>
              <w:rPr>
                <w:rFonts w:hint="eastAsia"/>
                <w:color w:val="auto"/>
                <w:sz w:val="21"/>
                <w:szCs w:val="21"/>
                <w:highlight w:val="none"/>
                <w:u w:val="none"/>
              </w:rPr>
            </w:pPr>
          </w:p>
        </w:tc>
      </w:tr>
      <w:tr w14:paraId="4955A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238BDD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5D8913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048B5B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北郭村</w:t>
            </w:r>
          </w:p>
        </w:tc>
        <w:tc>
          <w:tcPr>
            <w:tcW w:w="462" w:type="pct"/>
            <w:tcBorders>
              <w:top w:val="single" w:color="auto" w:sz="4" w:space="0"/>
              <w:left w:val="single" w:color="auto" w:sz="4" w:space="0"/>
              <w:bottom w:val="single" w:color="auto" w:sz="4" w:space="0"/>
              <w:right w:val="single" w:color="auto" w:sz="4" w:space="0"/>
            </w:tcBorders>
            <w:vAlign w:val="center"/>
          </w:tcPr>
          <w:p w14:paraId="206FFE2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0376F63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8671.78</w:t>
            </w:r>
          </w:p>
        </w:tc>
        <w:tc>
          <w:tcPr>
            <w:tcW w:w="539" w:type="pct"/>
            <w:tcBorders>
              <w:top w:val="single" w:color="auto" w:sz="4" w:space="0"/>
              <w:left w:val="single" w:color="auto" w:sz="4" w:space="0"/>
              <w:bottom w:val="single" w:color="auto" w:sz="4" w:space="0"/>
              <w:right w:val="single" w:color="auto" w:sz="4" w:space="0"/>
            </w:tcBorders>
            <w:vAlign w:val="center"/>
          </w:tcPr>
          <w:p w14:paraId="05D15F9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2310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C4D3777">
            <w:pPr>
              <w:spacing w:line="240" w:lineRule="auto"/>
              <w:ind w:firstLine="0" w:firstLineChars="0"/>
              <w:jc w:val="center"/>
              <w:rPr>
                <w:rFonts w:hint="eastAsia"/>
                <w:color w:val="auto"/>
                <w:sz w:val="21"/>
                <w:szCs w:val="21"/>
                <w:highlight w:val="none"/>
                <w:u w:val="none"/>
              </w:rPr>
            </w:pPr>
          </w:p>
        </w:tc>
      </w:tr>
      <w:tr w14:paraId="27711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restart"/>
            <w:tcBorders>
              <w:top w:val="single" w:color="auto" w:sz="4" w:space="0"/>
              <w:left w:val="single" w:color="auto" w:sz="12" w:space="0"/>
              <w:bottom w:val="single" w:color="auto" w:sz="4" w:space="0"/>
              <w:right w:val="single" w:color="auto" w:sz="4" w:space="0"/>
            </w:tcBorders>
            <w:vAlign w:val="center"/>
          </w:tcPr>
          <w:p w14:paraId="7573115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w:t>
            </w:r>
          </w:p>
        </w:tc>
        <w:tc>
          <w:tcPr>
            <w:tcW w:w="434" w:type="pct"/>
            <w:vMerge w:val="restart"/>
            <w:tcBorders>
              <w:top w:val="single" w:color="auto" w:sz="4" w:space="0"/>
              <w:left w:val="single" w:color="auto" w:sz="4" w:space="0"/>
              <w:bottom w:val="single" w:color="auto" w:sz="4" w:space="0"/>
              <w:right w:val="single" w:color="auto" w:sz="4" w:space="0"/>
            </w:tcBorders>
            <w:vAlign w:val="center"/>
          </w:tcPr>
          <w:p w14:paraId="5A6CCC6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环境</w:t>
            </w:r>
          </w:p>
          <w:p w14:paraId="1AEAAC9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风险</w:t>
            </w:r>
          </w:p>
        </w:tc>
        <w:tc>
          <w:tcPr>
            <w:tcW w:w="974" w:type="pct"/>
            <w:tcBorders>
              <w:top w:val="single" w:color="auto" w:sz="4" w:space="0"/>
              <w:left w:val="single" w:color="auto" w:sz="4" w:space="0"/>
              <w:bottom w:val="single" w:color="auto" w:sz="4" w:space="0"/>
              <w:right w:val="single" w:color="auto" w:sz="4" w:space="0"/>
            </w:tcBorders>
            <w:vAlign w:val="center"/>
          </w:tcPr>
          <w:p w14:paraId="37EBEB8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芝山</w:t>
            </w:r>
          </w:p>
        </w:tc>
        <w:tc>
          <w:tcPr>
            <w:tcW w:w="462" w:type="pct"/>
            <w:tcBorders>
              <w:top w:val="single" w:color="auto" w:sz="4" w:space="0"/>
              <w:left w:val="single" w:color="auto" w:sz="4" w:space="0"/>
              <w:bottom w:val="single" w:color="auto" w:sz="4" w:space="0"/>
              <w:right w:val="single" w:color="auto" w:sz="4" w:space="0"/>
            </w:tcBorders>
            <w:vAlign w:val="center"/>
          </w:tcPr>
          <w:p w14:paraId="70B78F9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NNE</w:t>
            </w:r>
          </w:p>
        </w:tc>
        <w:tc>
          <w:tcPr>
            <w:tcW w:w="615" w:type="pct"/>
            <w:tcBorders>
              <w:top w:val="single" w:color="auto" w:sz="4" w:space="0"/>
              <w:left w:val="single" w:color="auto" w:sz="4" w:space="0"/>
              <w:bottom w:val="single" w:color="auto" w:sz="4" w:space="0"/>
              <w:right w:val="single" w:color="auto" w:sz="4" w:space="0"/>
            </w:tcBorders>
            <w:vAlign w:val="center"/>
          </w:tcPr>
          <w:p w14:paraId="4D0D06E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2388.43</w:t>
            </w:r>
          </w:p>
        </w:tc>
        <w:tc>
          <w:tcPr>
            <w:tcW w:w="539" w:type="pct"/>
            <w:tcBorders>
              <w:top w:val="single" w:color="auto" w:sz="4" w:space="0"/>
              <w:left w:val="single" w:color="auto" w:sz="4" w:space="0"/>
              <w:bottom w:val="single" w:color="auto" w:sz="4" w:space="0"/>
              <w:right w:val="single" w:color="auto" w:sz="4" w:space="0"/>
            </w:tcBorders>
            <w:vAlign w:val="center"/>
          </w:tcPr>
          <w:p w14:paraId="07CF6ED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1800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BDCFA0A">
            <w:pPr>
              <w:spacing w:line="240" w:lineRule="auto"/>
              <w:ind w:firstLine="0" w:firstLineChars="0"/>
              <w:jc w:val="center"/>
              <w:rPr>
                <w:rFonts w:hint="eastAsia"/>
                <w:color w:val="auto"/>
                <w:sz w:val="21"/>
                <w:szCs w:val="21"/>
                <w:highlight w:val="none"/>
                <w:u w:val="none"/>
              </w:rPr>
            </w:pPr>
          </w:p>
        </w:tc>
      </w:tr>
      <w:tr w14:paraId="39141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9B4E89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C4CB276">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5675A7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高局</w:t>
            </w:r>
          </w:p>
        </w:tc>
        <w:tc>
          <w:tcPr>
            <w:tcW w:w="462" w:type="pct"/>
            <w:tcBorders>
              <w:top w:val="single" w:color="auto" w:sz="4" w:space="0"/>
              <w:left w:val="single" w:color="auto" w:sz="4" w:space="0"/>
              <w:bottom w:val="single" w:color="auto" w:sz="4" w:space="0"/>
              <w:right w:val="single" w:color="auto" w:sz="4" w:space="0"/>
            </w:tcBorders>
            <w:vAlign w:val="center"/>
          </w:tcPr>
          <w:p w14:paraId="790776E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2E6961AC">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2924.53</w:t>
            </w:r>
          </w:p>
        </w:tc>
        <w:tc>
          <w:tcPr>
            <w:tcW w:w="539" w:type="pct"/>
            <w:tcBorders>
              <w:top w:val="single" w:color="auto" w:sz="4" w:space="0"/>
              <w:left w:val="single" w:color="auto" w:sz="4" w:space="0"/>
              <w:bottom w:val="single" w:color="auto" w:sz="4" w:space="0"/>
              <w:right w:val="single" w:color="auto" w:sz="4" w:space="0"/>
            </w:tcBorders>
            <w:vAlign w:val="center"/>
          </w:tcPr>
          <w:p w14:paraId="1BD4D0B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980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E58A08D">
            <w:pPr>
              <w:spacing w:line="240" w:lineRule="auto"/>
              <w:ind w:firstLine="0" w:firstLineChars="0"/>
              <w:jc w:val="center"/>
              <w:rPr>
                <w:rFonts w:hint="eastAsia"/>
                <w:color w:val="auto"/>
                <w:sz w:val="21"/>
                <w:szCs w:val="21"/>
                <w:highlight w:val="none"/>
                <w:u w:val="none"/>
              </w:rPr>
            </w:pPr>
          </w:p>
        </w:tc>
      </w:tr>
      <w:tr w14:paraId="5CE9C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5392C428">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07C0E78">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243E68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后林</w:t>
            </w:r>
          </w:p>
        </w:tc>
        <w:tc>
          <w:tcPr>
            <w:tcW w:w="462" w:type="pct"/>
            <w:tcBorders>
              <w:top w:val="single" w:color="auto" w:sz="4" w:space="0"/>
              <w:left w:val="single" w:color="auto" w:sz="4" w:space="0"/>
              <w:bottom w:val="single" w:color="auto" w:sz="4" w:space="0"/>
              <w:right w:val="single" w:color="auto" w:sz="4" w:space="0"/>
            </w:tcBorders>
            <w:vAlign w:val="center"/>
          </w:tcPr>
          <w:p w14:paraId="31F0FB6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ESE</w:t>
            </w:r>
          </w:p>
        </w:tc>
        <w:tc>
          <w:tcPr>
            <w:tcW w:w="615" w:type="pct"/>
            <w:tcBorders>
              <w:top w:val="single" w:color="auto" w:sz="4" w:space="0"/>
              <w:left w:val="single" w:color="auto" w:sz="4" w:space="0"/>
              <w:bottom w:val="single" w:color="auto" w:sz="4" w:space="0"/>
              <w:right w:val="single" w:color="auto" w:sz="4" w:space="0"/>
            </w:tcBorders>
            <w:vAlign w:val="center"/>
          </w:tcPr>
          <w:p w14:paraId="04E9773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2682.32</w:t>
            </w:r>
          </w:p>
        </w:tc>
        <w:tc>
          <w:tcPr>
            <w:tcW w:w="539" w:type="pct"/>
            <w:tcBorders>
              <w:top w:val="single" w:color="auto" w:sz="4" w:space="0"/>
              <w:left w:val="single" w:color="auto" w:sz="4" w:space="0"/>
              <w:bottom w:val="single" w:color="auto" w:sz="4" w:space="0"/>
              <w:right w:val="single" w:color="auto" w:sz="4" w:space="0"/>
            </w:tcBorders>
            <w:vAlign w:val="center"/>
          </w:tcPr>
          <w:p w14:paraId="0B8F0F7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410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A50E83A">
            <w:pPr>
              <w:spacing w:line="240" w:lineRule="auto"/>
              <w:ind w:firstLine="0" w:firstLineChars="0"/>
              <w:jc w:val="center"/>
              <w:rPr>
                <w:rFonts w:hint="eastAsia"/>
                <w:color w:val="auto"/>
                <w:sz w:val="21"/>
                <w:szCs w:val="21"/>
                <w:highlight w:val="none"/>
                <w:u w:val="none"/>
              </w:rPr>
            </w:pPr>
          </w:p>
        </w:tc>
      </w:tr>
      <w:tr w14:paraId="47680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0EC6436B">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715196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F7CE48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东江水厂</w:t>
            </w:r>
          </w:p>
        </w:tc>
        <w:tc>
          <w:tcPr>
            <w:tcW w:w="462" w:type="pct"/>
            <w:tcBorders>
              <w:top w:val="single" w:color="auto" w:sz="4" w:space="0"/>
              <w:left w:val="single" w:color="auto" w:sz="4" w:space="0"/>
              <w:bottom w:val="single" w:color="auto" w:sz="4" w:space="0"/>
              <w:right w:val="single" w:color="auto" w:sz="4" w:space="0"/>
            </w:tcBorders>
            <w:vAlign w:val="center"/>
          </w:tcPr>
          <w:p w14:paraId="6557F3E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7A3484C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2164.16</w:t>
            </w:r>
          </w:p>
        </w:tc>
        <w:tc>
          <w:tcPr>
            <w:tcW w:w="539" w:type="pct"/>
            <w:tcBorders>
              <w:top w:val="single" w:color="auto" w:sz="4" w:space="0"/>
              <w:left w:val="single" w:color="auto" w:sz="4" w:space="0"/>
              <w:bottom w:val="single" w:color="auto" w:sz="4" w:space="0"/>
              <w:right w:val="single" w:color="auto" w:sz="4" w:space="0"/>
            </w:tcBorders>
            <w:vAlign w:val="center"/>
          </w:tcPr>
          <w:p w14:paraId="4BD60E3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DED65D2">
            <w:pPr>
              <w:spacing w:line="240" w:lineRule="auto"/>
              <w:ind w:firstLine="0" w:firstLineChars="0"/>
              <w:jc w:val="center"/>
              <w:rPr>
                <w:rFonts w:hint="eastAsia"/>
                <w:color w:val="auto"/>
                <w:sz w:val="21"/>
                <w:szCs w:val="21"/>
                <w:highlight w:val="none"/>
                <w:u w:val="none"/>
              </w:rPr>
            </w:pPr>
          </w:p>
        </w:tc>
      </w:tr>
      <w:tr w14:paraId="17412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D18F1A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0FA7CC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491259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沙塘</w:t>
            </w:r>
          </w:p>
        </w:tc>
        <w:tc>
          <w:tcPr>
            <w:tcW w:w="462" w:type="pct"/>
            <w:tcBorders>
              <w:top w:val="single" w:color="auto" w:sz="4" w:space="0"/>
              <w:left w:val="single" w:color="auto" w:sz="4" w:space="0"/>
              <w:bottom w:val="single" w:color="auto" w:sz="4" w:space="0"/>
              <w:right w:val="single" w:color="auto" w:sz="4" w:space="0"/>
            </w:tcBorders>
            <w:vAlign w:val="center"/>
          </w:tcPr>
          <w:p w14:paraId="2F5B3EF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S</w:t>
            </w:r>
            <w:r>
              <w:rPr>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5A8C276E">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3376.28</w:t>
            </w:r>
          </w:p>
        </w:tc>
        <w:tc>
          <w:tcPr>
            <w:tcW w:w="539" w:type="pct"/>
            <w:tcBorders>
              <w:top w:val="single" w:color="auto" w:sz="4" w:space="0"/>
              <w:left w:val="single" w:color="auto" w:sz="4" w:space="0"/>
              <w:bottom w:val="single" w:color="auto" w:sz="4" w:space="0"/>
              <w:right w:val="single" w:color="auto" w:sz="4" w:space="0"/>
            </w:tcBorders>
            <w:vAlign w:val="center"/>
          </w:tcPr>
          <w:p w14:paraId="4DD197A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1555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7CB3C2B2">
            <w:pPr>
              <w:spacing w:line="240" w:lineRule="auto"/>
              <w:ind w:firstLine="0" w:firstLineChars="0"/>
              <w:jc w:val="center"/>
              <w:rPr>
                <w:rFonts w:hint="eastAsia"/>
                <w:color w:val="auto"/>
                <w:sz w:val="21"/>
                <w:szCs w:val="21"/>
                <w:highlight w:val="none"/>
                <w:u w:val="none"/>
              </w:rPr>
            </w:pPr>
          </w:p>
        </w:tc>
      </w:tr>
      <w:tr w14:paraId="621E8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AC77599">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0F74859">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99F490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垄北</w:t>
            </w:r>
          </w:p>
        </w:tc>
        <w:tc>
          <w:tcPr>
            <w:tcW w:w="462" w:type="pct"/>
            <w:tcBorders>
              <w:top w:val="single" w:color="auto" w:sz="4" w:space="0"/>
              <w:left w:val="single" w:color="auto" w:sz="4" w:space="0"/>
              <w:bottom w:val="single" w:color="auto" w:sz="4" w:space="0"/>
              <w:right w:val="single" w:color="auto" w:sz="4" w:space="0"/>
            </w:tcBorders>
            <w:vAlign w:val="center"/>
          </w:tcPr>
          <w:p w14:paraId="6EC1BBC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194DB58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3296.46</w:t>
            </w:r>
          </w:p>
        </w:tc>
        <w:tc>
          <w:tcPr>
            <w:tcW w:w="539" w:type="pct"/>
            <w:tcBorders>
              <w:top w:val="single" w:color="auto" w:sz="4" w:space="0"/>
              <w:left w:val="single" w:color="auto" w:sz="4" w:space="0"/>
              <w:bottom w:val="single" w:color="auto" w:sz="4" w:space="0"/>
              <w:right w:val="single" w:color="auto" w:sz="4" w:space="0"/>
            </w:tcBorders>
            <w:vAlign w:val="center"/>
          </w:tcPr>
          <w:p w14:paraId="55390B9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780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87DEDF5">
            <w:pPr>
              <w:spacing w:line="240" w:lineRule="auto"/>
              <w:ind w:firstLine="0" w:firstLineChars="0"/>
              <w:jc w:val="center"/>
              <w:rPr>
                <w:rFonts w:hint="eastAsia"/>
                <w:color w:val="auto"/>
                <w:sz w:val="21"/>
                <w:szCs w:val="21"/>
                <w:highlight w:val="none"/>
                <w:u w:val="none"/>
              </w:rPr>
            </w:pPr>
          </w:p>
        </w:tc>
      </w:tr>
      <w:tr w14:paraId="5F447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7CF158B">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E7A61E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80B47D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西山</w:t>
            </w:r>
          </w:p>
        </w:tc>
        <w:tc>
          <w:tcPr>
            <w:tcW w:w="462" w:type="pct"/>
            <w:tcBorders>
              <w:top w:val="single" w:color="auto" w:sz="4" w:space="0"/>
              <w:left w:val="single" w:color="auto" w:sz="4" w:space="0"/>
              <w:bottom w:val="single" w:color="auto" w:sz="4" w:space="0"/>
              <w:right w:val="single" w:color="auto" w:sz="4" w:space="0"/>
            </w:tcBorders>
            <w:vAlign w:val="center"/>
          </w:tcPr>
          <w:p w14:paraId="13CFEA6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NNE</w:t>
            </w:r>
          </w:p>
        </w:tc>
        <w:tc>
          <w:tcPr>
            <w:tcW w:w="615" w:type="pct"/>
            <w:tcBorders>
              <w:top w:val="single" w:color="auto" w:sz="4" w:space="0"/>
              <w:left w:val="single" w:color="auto" w:sz="4" w:space="0"/>
              <w:bottom w:val="single" w:color="auto" w:sz="4" w:space="0"/>
              <w:right w:val="single" w:color="auto" w:sz="4" w:space="0"/>
            </w:tcBorders>
            <w:vAlign w:val="center"/>
          </w:tcPr>
          <w:p w14:paraId="2A616A4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3171.4</w:t>
            </w:r>
          </w:p>
        </w:tc>
        <w:tc>
          <w:tcPr>
            <w:tcW w:w="539" w:type="pct"/>
            <w:tcBorders>
              <w:top w:val="single" w:color="auto" w:sz="4" w:space="0"/>
              <w:left w:val="single" w:color="auto" w:sz="4" w:space="0"/>
              <w:bottom w:val="single" w:color="auto" w:sz="4" w:space="0"/>
              <w:right w:val="single" w:color="auto" w:sz="4" w:space="0"/>
            </w:tcBorders>
            <w:vAlign w:val="center"/>
          </w:tcPr>
          <w:p w14:paraId="7638253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1622</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62F800D3">
            <w:pPr>
              <w:spacing w:line="240" w:lineRule="auto"/>
              <w:ind w:firstLine="0" w:firstLineChars="0"/>
              <w:jc w:val="center"/>
              <w:rPr>
                <w:rFonts w:hint="eastAsia"/>
                <w:color w:val="auto"/>
                <w:sz w:val="21"/>
                <w:szCs w:val="21"/>
                <w:highlight w:val="none"/>
                <w:u w:val="none"/>
              </w:rPr>
            </w:pPr>
          </w:p>
        </w:tc>
      </w:tr>
      <w:tr w14:paraId="17E52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61704434">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AF557AF">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131916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南曹村</w:t>
            </w:r>
          </w:p>
        </w:tc>
        <w:tc>
          <w:tcPr>
            <w:tcW w:w="462" w:type="pct"/>
            <w:tcBorders>
              <w:top w:val="single" w:color="auto" w:sz="4" w:space="0"/>
              <w:left w:val="single" w:color="auto" w:sz="4" w:space="0"/>
              <w:bottom w:val="single" w:color="auto" w:sz="4" w:space="0"/>
              <w:right w:val="single" w:color="auto" w:sz="4" w:space="0"/>
            </w:tcBorders>
            <w:vAlign w:val="center"/>
          </w:tcPr>
          <w:p w14:paraId="05A47C3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ENE</w:t>
            </w:r>
          </w:p>
        </w:tc>
        <w:tc>
          <w:tcPr>
            <w:tcW w:w="615" w:type="pct"/>
            <w:tcBorders>
              <w:top w:val="single" w:color="auto" w:sz="4" w:space="0"/>
              <w:left w:val="single" w:color="auto" w:sz="4" w:space="0"/>
              <w:bottom w:val="single" w:color="auto" w:sz="4" w:space="0"/>
              <w:right w:val="single" w:color="auto" w:sz="4" w:space="0"/>
            </w:tcBorders>
            <w:vAlign w:val="center"/>
          </w:tcPr>
          <w:p w14:paraId="123EAC6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2628.22</w:t>
            </w:r>
          </w:p>
        </w:tc>
        <w:tc>
          <w:tcPr>
            <w:tcW w:w="539" w:type="pct"/>
            <w:tcBorders>
              <w:top w:val="single" w:color="auto" w:sz="4" w:space="0"/>
              <w:left w:val="single" w:color="auto" w:sz="4" w:space="0"/>
              <w:bottom w:val="single" w:color="auto" w:sz="4" w:space="0"/>
              <w:right w:val="single" w:color="auto" w:sz="4" w:space="0"/>
            </w:tcBorders>
            <w:vAlign w:val="center"/>
          </w:tcPr>
          <w:p w14:paraId="0969353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5788</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42AC570">
            <w:pPr>
              <w:spacing w:line="240" w:lineRule="auto"/>
              <w:ind w:firstLine="0" w:firstLineChars="0"/>
              <w:jc w:val="center"/>
              <w:rPr>
                <w:rFonts w:hint="eastAsia"/>
                <w:color w:val="auto"/>
                <w:sz w:val="21"/>
                <w:szCs w:val="21"/>
                <w:highlight w:val="none"/>
                <w:u w:val="none"/>
              </w:rPr>
            </w:pPr>
          </w:p>
        </w:tc>
      </w:tr>
      <w:tr w14:paraId="3EB34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C16B4D2">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E23C8D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DDD815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岭兜</w:t>
            </w:r>
          </w:p>
        </w:tc>
        <w:tc>
          <w:tcPr>
            <w:tcW w:w="462" w:type="pct"/>
            <w:tcBorders>
              <w:top w:val="single" w:color="auto" w:sz="4" w:space="0"/>
              <w:left w:val="single" w:color="auto" w:sz="4" w:space="0"/>
              <w:bottom w:val="single" w:color="auto" w:sz="4" w:space="0"/>
              <w:right w:val="single" w:color="auto" w:sz="4" w:space="0"/>
            </w:tcBorders>
            <w:vAlign w:val="center"/>
          </w:tcPr>
          <w:p w14:paraId="15B7527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34E2E4F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2792.96</w:t>
            </w:r>
          </w:p>
        </w:tc>
        <w:tc>
          <w:tcPr>
            <w:tcW w:w="539" w:type="pct"/>
            <w:tcBorders>
              <w:top w:val="single" w:color="auto" w:sz="4" w:space="0"/>
              <w:left w:val="single" w:color="auto" w:sz="4" w:space="0"/>
              <w:bottom w:val="single" w:color="auto" w:sz="4" w:space="0"/>
              <w:right w:val="single" w:color="auto" w:sz="4" w:space="0"/>
            </w:tcBorders>
            <w:vAlign w:val="center"/>
          </w:tcPr>
          <w:p w14:paraId="7F7598E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690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5D77242A">
            <w:pPr>
              <w:spacing w:line="240" w:lineRule="auto"/>
              <w:ind w:firstLine="0" w:firstLineChars="0"/>
              <w:jc w:val="center"/>
              <w:rPr>
                <w:rFonts w:hint="eastAsia"/>
                <w:color w:val="auto"/>
                <w:sz w:val="21"/>
                <w:szCs w:val="21"/>
                <w:highlight w:val="none"/>
                <w:u w:val="none"/>
              </w:rPr>
            </w:pPr>
          </w:p>
        </w:tc>
      </w:tr>
      <w:tr w14:paraId="46998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EE12BE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F5D90A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38289B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布厝</w:t>
            </w:r>
          </w:p>
        </w:tc>
        <w:tc>
          <w:tcPr>
            <w:tcW w:w="462" w:type="pct"/>
            <w:tcBorders>
              <w:top w:val="single" w:color="auto" w:sz="4" w:space="0"/>
              <w:left w:val="single" w:color="auto" w:sz="4" w:space="0"/>
              <w:bottom w:val="single" w:color="auto" w:sz="4" w:space="0"/>
              <w:right w:val="single" w:color="auto" w:sz="4" w:space="0"/>
            </w:tcBorders>
            <w:vAlign w:val="center"/>
          </w:tcPr>
          <w:p w14:paraId="21EA1CC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2D5EDC5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2949.58</w:t>
            </w:r>
          </w:p>
        </w:tc>
        <w:tc>
          <w:tcPr>
            <w:tcW w:w="539" w:type="pct"/>
            <w:tcBorders>
              <w:top w:val="single" w:color="auto" w:sz="4" w:space="0"/>
              <w:left w:val="single" w:color="auto" w:sz="4" w:space="0"/>
              <w:bottom w:val="single" w:color="auto" w:sz="4" w:space="0"/>
              <w:right w:val="single" w:color="auto" w:sz="4" w:space="0"/>
            </w:tcBorders>
            <w:vAlign w:val="center"/>
          </w:tcPr>
          <w:p w14:paraId="2B375AC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450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5A28373">
            <w:pPr>
              <w:spacing w:line="240" w:lineRule="auto"/>
              <w:ind w:firstLine="0" w:firstLineChars="0"/>
              <w:jc w:val="center"/>
              <w:rPr>
                <w:rFonts w:hint="eastAsia"/>
                <w:color w:val="auto"/>
                <w:sz w:val="21"/>
                <w:szCs w:val="21"/>
                <w:highlight w:val="none"/>
                <w:u w:val="none"/>
              </w:rPr>
            </w:pPr>
          </w:p>
        </w:tc>
      </w:tr>
      <w:tr w14:paraId="4ED44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0C278D1F">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645DA73D">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7E5CC3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何厝村</w:t>
            </w:r>
          </w:p>
        </w:tc>
        <w:tc>
          <w:tcPr>
            <w:tcW w:w="462" w:type="pct"/>
            <w:tcBorders>
              <w:top w:val="single" w:color="auto" w:sz="4" w:space="0"/>
              <w:left w:val="single" w:color="auto" w:sz="4" w:space="0"/>
              <w:bottom w:val="single" w:color="auto" w:sz="4" w:space="0"/>
              <w:right w:val="single" w:color="auto" w:sz="4" w:space="0"/>
            </w:tcBorders>
            <w:vAlign w:val="center"/>
          </w:tcPr>
          <w:p w14:paraId="45D839E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1331A67D">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3507.62</w:t>
            </w:r>
          </w:p>
        </w:tc>
        <w:tc>
          <w:tcPr>
            <w:tcW w:w="539" w:type="pct"/>
            <w:tcBorders>
              <w:top w:val="single" w:color="auto" w:sz="4" w:space="0"/>
              <w:left w:val="single" w:color="auto" w:sz="4" w:space="0"/>
              <w:bottom w:val="single" w:color="auto" w:sz="4" w:space="0"/>
              <w:right w:val="single" w:color="auto" w:sz="4" w:space="0"/>
            </w:tcBorders>
            <w:vAlign w:val="center"/>
          </w:tcPr>
          <w:p w14:paraId="72CCC7E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6360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351DAF20">
            <w:pPr>
              <w:spacing w:line="240" w:lineRule="auto"/>
              <w:ind w:firstLine="0" w:firstLineChars="0"/>
              <w:jc w:val="center"/>
              <w:rPr>
                <w:rFonts w:hint="eastAsia"/>
                <w:color w:val="auto"/>
                <w:sz w:val="21"/>
                <w:szCs w:val="21"/>
                <w:highlight w:val="none"/>
                <w:u w:val="none"/>
              </w:rPr>
            </w:pPr>
          </w:p>
        </w:tc>
      </w:tr>
      <w:tr w14:paraId="50893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FAC31B6">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BFBEE28">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AEC429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西兰</w:t>
            </w:r>
          </w:p>
        </w:tc>
        <w:tc>
          <w:tcPr>
            <w:tcW w:w="462" w:type="pct"/>
            <w:tcBorders>
              <w:top w:val="single" w:color="auto" w:sz="4" w:space="0"/>
              <w:left w:val="single" w:color="auto" w:sz="4" w:space="0"/>
              <w:bottom w:val="single" w:color="auto" w:sz="4" w:space="0"/>
              <w:right w:val="single" w:color="auto" w:sz="4" w:space="0"/>
            </w:tcBorders>
            <w:vAlign w:val="center"/>
          </w:tcPr>
          <w:p w14:paraId="74C4187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21EC47A2">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3104.94</w:t>
            </w:r>
          </w:p>
        </w:tc>
        <w:tc>
          <w:tcPr>
            <w:tcW w:w="539" w:type="pct"/>
            <w:tcBorders>
              <w:top w:val="single" w:color="auto" w:sz="4" w:space="0"/>
              <w:left w:val="single" w:color="auto" w:sz="4" w:space="0"/>
              <w:bottom w:val="single" w:color="auto" w:sz="4" w:space="0"/>
              <w:right w:val="single" w:color="auto" w:sz="4" w:space="0"/>
            </w:tcBorders>
            <w:vAlign w:val="center"/>
          </w:tcPr>
          <w:p w14:paraId="0084CBA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1846E54">
            <w:pPr>
              <w:spacing w:line="240" w:lineRule="auto"/>
              <w:ind w:firstLine="0" w:firstLineChars="0"/>
              <w:jc w:val="center"/>
              <w:rPr>
                <w:rFonts w:hint="eastAsia"/>
                <w:color w:val="auto"/>
                <w:sz w:val="21"/>
                <w:szCs w:val="21"/>
                <w:highlight w:val="none"/>
                <w:u w:val="none"/>
              </w:rPr>
            </w:pPr>
          </w:p>
        </w:tc>
      </w:tr>
      <w:tr w14:paraId="12AE4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C3512C6">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B1E0474">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99DBDC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下石村</w:t>
            </w:r>
          </w:p>
        </w:tc>
        <w:tc>
          <w:tcPr>
            <w:tcW w:w="462" w:type="pct"/>
            <w:tcBorders>
              <w:top w:val="single" w:color="auto" w:sz="4" w:space="0"/>
              <w:left w:val="single" w:color="auto" w:sz="4" w:space="0"/>
              <w:bottom w:val="single" w:color="auto" w:sz="4" w:space="0"/>
              <w:right w:val="single" w:color="auto" w:sz="4" w:space="0"/>
            </w:tcBorders>
            <w:vAlign w:val="center"/>
          </w:tcPr>
          <w:p w14:paraId="2385EA1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637123D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3590.41</w:t>
            </w:r>
          </w:p>
        </w:tc>
        <w:tc>
          <w:tcPr>
            <w:tcW w:w="539" w:type="pct"/>
            <w:tcBorders>
              <w:top w:val="single" w:color="auto" w:sz="4" w:space="0"/>
              <w:left w:val="single" w:color="auto" w:sz="4" w:space="0"/>
              <w:bottom w:val="single" w:color="auto" w:sz="4" w:space="0"/>
              <w:right w:val="single" w:color="auto" w:sz="4" w:space="0"/>
            </w:tcBorders>
            <w:vAlign w:val="center"/>
          </w:tcPr>
          <w:p w14:paraId="067868D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2360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5459C383">
            <w:pPr>
              <w:spacing w:line="240" w:lineRule="auto"/>
              <w:ind w:firstLine="0" w:firstLineChars="0"/>
              <w:jc w:val="center"/>
              <w:rPr>
                <w:rFonts w:hint="eastAsia"/>
                <w:color w:val="auto"/>
                <w:sz w:val="21"/>
                <w:szCs w:val="21"/>
                <w:highlight w:val="none"/>
                <w:u w:val="none"/>
              </w:rPr>
            </w:pPr>
          </w:p>
        </w:tc>
      </w:tr>
      <w:tr w14:paraId="02445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386442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0F25BDA">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CBA641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张厝</w:t>
            </w:r>
          </w:p>
        </w:tc>
        <w:tc>
          <w:tcPr>
            <w:tcW w:w="462" w:type="pct"/>
            <w:tcBorders>
              <w:top w:val="single" w:color="auto" w:sz="4" w:space="0"/>
              <w:left w:val="single" w:color="auto" w:sz="4" w:space="0"/>
              <w:bottom w:val="single" w:color="auto" w:sz="4" w:space="0"/>
              <w:right w:val="single" w:color="auto" w:sz="4" w:space="0"/>
            </w:tcBorders>
            <w:vAlign w:val="center"/>
          </w:tcPr>
          <w:p w14:paraId="559E41B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S</w:t>
            </w:r>
            <w:r>
              <w:rPr>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334BB2EB">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4451.53</w:t>
            </w:r>
          </w:p>
        </w:tc>
        <w:tc>
          <w:tcPr>
            <w:tcW w:w="539" w:type="pct"/>
            <w:tcBorders>
              <w:top w:val="single" w:color="auto" w:sz="4" w:space="0"/>
              <w:left w:val="single" w:color="auto" w:sz="4" w:space="0"/>
              <w:bottom w:val="single" w:color="auto" w:sz="4" w:space="0"/>
              <w:right w:val="single" w:color="auto" w:sz="4" w:space="0"/>
            </w:tcBorders>
            <w:vAlign w:val="center"/>
          </w:tcPr>
          <w:p w14:paraId="7A1BA60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1235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11BC5CE4">
            <w:pPr>
              <w:spacing w:line="240" w:lineRule="auto"/>
              <w:ind w:firstLine="0" w:firstLineChars="0"/>
              <w:jc w:val="center"/>
              <w:rPr>
                <w:rFonts w:hint="eastAsia"/>
                <w:color w:val="auto"/>
                <w:sz w:val="21"/>
                <w:szCs w:val="21"/>
                <w:highlight w:val="none"/>
                <w:u w:val="none"/>
              </w:rPr>
            </w:pPr>
          </w:p>
        </w:tc>
      </w:tr>
      <w:tr w14:paraId="1C031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13224A25">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5833441">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35785EA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钱塘</w:t>
            </w:r>
          </w:p>
        </w:tc>
        <w:tc>
          <w:tcPr>
            <w:tcW w:w="462" w:type="pct"/>
            <w:tcBorders>
              <w:top w:val="single" w:color="auto" w:sz="4" w:space="0"/>
              <w:left w:val="single" w:color="auto" w:sz="4" w:space="0"/>
              <w:bottom w:val="single" w:color="auto" w:sz="4" w:space="0"/>
              <w:right w:val="single" w:color="auto" w:sz="4" w:space="0"/>
            </w:tcBorders>
            <w:vAlign w:val="center"/>
          </w:tcPr>
          <w:p w14:paraId="65D5147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SE</w:t>
            </w:r>
          </w:p>
        </w:tc>
        <w:tc>
          <w:tcPr>
            <w:tcW w:w="615" w:type="pct"/>
            <w:tcBorders>
              <w:top w:val="single" w:color="auto" w:sz="4" w:space="0"/>
              <w:left w:val="single" w:color="auto" w:sz="4" w:space="0"/>
              <w:bottom w:val="single" w:color="auto" w:sz="4" w:space="0"/>
              <w:right w:val="single" w:color="auto" w:sz="4" w:space="0"/>
            </w:tcBorders>
            <w:vAlign w:val="center"/>
          </w:tcPr>
          <w:p w14:paraId="3A7F48F0">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4209.92</w:t>
            </w:r>
          </w:p>
        </w:tc>
        <w:tc>
          <w:tcPr>
            <w:tcW w:w="539" w:type="pct"/>
            <w:tcBorders>
              <w:top w:val="single" w:color="auto" w:sz="4" w:space="0"/>
              <w:left w:val="single" w:color="auto" w:sz="4" w:space="0"/>
              <w:bottom w:val="single" w:color="auto" w:sz="4" w:space="0"/>
              <w:right w:val="single" w:color="auto" w:sz="4" w:space="0"/>
            </w:tcBorders>
            <w:vAlign w:val="center"/>
          </w:tcPr>
          <w:p w14:paraId="401DF70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2065</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5899B6B5">
            <w:pPr>
              <w:spacing w:line="240" w:lineRule="auto"/>
              <w:ind w:firstLine="0" w:firstLineChars="0"/>
              <w:jc w:val="center"/>
              <w:rPr>
                <w:rFonts w:hint="eastAsia"/>
                <w:color w:val="auto"/>
                <w:sz w:val="21"/>
                <w:szCs w:val="21"/>
                <w:highlight w:val="none"/>
                <w:u w:val="none"/>
              </w:rPr>
            </w:pPr>
          </w:p>
        </w:tc>
      </w:tr>
      <w:tr w14:paraId="570DB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D091B43">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167B774">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22F5960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潘厝村</w:t>
            </w:r>
          </w:p>
        </w:tc>
        <w:tc>
          <w:tcPr>
            <w:tcW w:w="462" w:type="pct"/>
            <w:tcBorders>
              <w:top w:val="single" w:color="auto" w:sz="4" w:space="0"/>
              <w:left w:val="single" w:color="auto" w:sz="4" w:space="0"/>
              <w:bottom w:val="single" w:color="auto" w:sz="4" w:space="0"/>
              <w:right w:val="single" w:color="auto" w:sz="4" w:space="0"/>
            </w:tcBorders>
            <w:vAlign w:val="center"/>
          </w:tcPr>
          <w:p w14:paraId="4288C5C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N</w:t>
            </w: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1417870F">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4409.26</w:t>
            </w:r>
          </w:p>
        </w:tc>
        <w:tc>
          <w:tcPr>
            <w:tcW w:w="539" w:type="pct"/>
            <w:tcBorders>
              <w:top w:val="single" w:color="auto" w:sz="4" w:space="0"/>
              <w:left w:val="single" w:color="auto" w:sz="4" w:space="0"/>
              <w:bottom w:val="single" w:color="auto" w:sz="4" w:space="0"/>
              <w:right w:val="single" w:color="auto" w:sz="4" w:space="0"/>
            </w:tcBorders>
            <w:vAlign w:val="center"/>
          </w:tcPr>
          <w:p w14:paraId="65A50D4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2710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7FB8443">
            <w:pPr>
              <w:spacing w:line="240" w:lineRule="auto"/>
              <w:ind w:firstLine="0" w:firstLineChars="0"/>
              <w:jc w:val="center"/>
              <w:rPr>
                <w:rFonts w:hint="eastAsia"/>
                <w:color w:val="auto"/>
                <w:sz w:val="21"/>
                <w:szCs w:val="21"/>
                <w:highlight w:val="none"/>
                <w:u w:val="none"/>
              </w:rPr>
            </w:pPr>
          </w:p>
        </w:tc>
      </w:tr>
      <w:tr w14:paraId="2C741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33A92CC">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391E6ED5">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5F8EA93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东井村</w:t>
            </w:r>
          </w:p>
        </w:tc>
        <w:tc>
          <w:tcPr>
            <w:tcW w:w="462" w:type="pct"/>
            <w:tcBorders>
              <w:top w:val="single" w:color="auto" w:sz="4" w:space="0"/>
              <w:left w:val="single" w:color="auto" w:sz="4" w:space="0"/>
              <w:bottom w:val="single" w:color="auto" w:sz="4" w:space="0"/>
              <w:right w:val="single" w:color="auto" w:sz="4" w:space="0"/>
            </w:tcBorders>
            <w:vAlign w:val="center"/>
          </w:tcPr>
          <w:p w14:paraId="7EFF440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N</w:t>
            </w: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21E29E1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4119.54</w:t>
            </w:r>
          </w:p>
        </w:tc>
        <w:tc>
          <w:tcPr>
            <w:tcW w:w="539" w:type="pct"/>
            <w:tcBorders>
              <w:top w:val="single" w:color="auto" w:sz="4" w:space="0"/>
              <w:left w:val="single" w:color="auto" w:sz="4" w:space="0"/>
              <w:bottom w:val="single" w:color="auto" w:sz="4" w:space="0"/>
              <w:right w:val="single" w:color="auto" w:sz="4" w:space="0"/>
            </w:tcBorders>
            <w:vAlign w:val="center"/>
          </w:tcPr>
          <w:p w14:paraId="0DD7731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5420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1D67A6BB">
            <w:pPr>
              <w:spacing w:line="240" w:lineRule="auto"/>
              <w:ind w:firstLine="0" w:firstLineChars="0"/>
              <w:jc w:val="center"/>
              <w:rPr>
                <w:rFonts w:hint="eastAsia"/>
                <w:color w:val="auto"/>
                <w:sz w:val="21"/>
                <w:szCs w:val="21"/>
                <w:highlight w:val="none"/>
                <w:u w:val="none"/>
              </w:rPr>
            </w:pPr>
          </w:p>
        </w:tc>
      </w:tr>
      <w:tr w14:paraId="34153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CD0FBD8">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785A8AD2">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448C962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后陈村</w:t>
            </w:r>
          </w:p>
        </w:tc>
        <w:tc>
          <w:tcPr>
            <w:tcW w:w="462" w:type="pct"/>
            <w:tcBorders>
              <w:top w:val="single" w:color="auto" w:sz="4" w:space="0"/>
              <w:left w:val="single" w:color="auto" w:sz="4" w:space="0"/>
              <w:bottom w:val="single" w:color="auto" w:sz="4" w:space="0"/>
              <w:right w:val="single" w:color="auto" w:sz="4" w:space="0"/>
            </w:tcBorders>
            <w:vAlign w:val="center"/>
          </w:tcPr>
          <w:p w14:paraId="6068ED0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N</w:t>
            </w:r>
            <w:r>
              <w:rPr>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3459C20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4526.93</w:t>
            </w:r>
          </w:p>
        </w:tc>
        <w:tc>
          <w:tcPr>
            <w:tcW w:w="539" w:type="pct"/>
            <w:tcBorders>
              <w:top w:val="single" w:color="auto" w:sz="4" w:space="0"/>
              <w:left w:val="single" w:color="auto" w:sz="4" w:space="0"/>
              <w:bottom w:val="single" w:color="auto" w:sz="4" w:space="0"/>
              <w:right w:val="single" w:color="auto" w:sz="4" w:space="0"/>
            </w:tcBorders>
            <w:vAlign w:val="center"/>
          </w:tcPr>
          <w:p w14:paraId="7274EE3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1740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AE2A65F">
            <w:pPr>
              <w:spacing w:line="240" w:lineRule="auto"/>
              <w:ind w:firstLine="0" w:firstLineChars="0"/>
              <w:jc w:val="center"/>
              <w:rPr>
                <w:rFonts w:hint="eastAsia"/>
                <w:color w:val="auto"/>
                <w:sz w:val="21"/>
                <w:szCs w:val="21"/>
                <w:highlight w:val="none"/>
                <w:u w:val="none"/>
              </w:rPr>
            </w:pPr>
          </w:p>
        </w:tc>
      </w:tr>
      <w:tr w14:paraId="57CD1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C42F83E">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03A2224">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713C7AB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沾泽村</w:t>
            </w:r>
          </w:p>
        </w:tc>
        <w:tc>
          <w:tcPr>
            <w:tcW w:w="462" w:type="pct"/>
            <w:tcBorders>
              <w:top w:val="single" w:color="auto" w:sz="4" w:space="0"/>
              <w:left w:val="single" w:color="auto" w:sz="4" w:space="0"/>
              <w:bottom w:val="single" w:color="auto" w:sz="4" w:space="0"/>
              <w:right w:val="single" w:color="auto" w:sz="4" w:space="0"/>
            </w:tcBorders>
            <w:vAlign w:val="center"/>
          </w:tcPr>
          <w:p w14:paraId="383CD52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10CA6A87">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3915.03</w:t>
            </w:r>
          </w:p>
        </w:tc>
        <w:tc>
          <w:tcPr>
            <w:tcW w:w="539" w:type="pct"/>
            <w:tcBorders>
              <w:top w:val="single" w:color="auto" w:sz="4" w:space="0"/>
              <w:left w:val="single" w:color="auto" w:sz="4" w:space="0"/>
              <w:bottom w:val="single" w:color="auto" w:sz="4" w:space="0"/>
              <w:right w:val="single" w:color="auto" w:sz="4" w:space="0"/>
            </w:tcBorders>
            <w:vAlign w:val="center"/>
          </w:tcPr>
          <w:p w14:paraId="40656E5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1790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0E4713BE">
            <w:pPr>
              <w:spacing w:line="240" w:lineRule="auto"/>
              <w:ind w:firstLine="0" w:firstLineChars="0"/>
              <w:jc w:val="center"/>
              <w:rPr>
                <w:rFonts w:hint="eastAsia"/>
                <w:color w:val="auto"/>
                <w:sz w:val="21"/>
                <w:szCs w:val="21"/>
                <w:highlight w:val="none"/>
                <w:u w:val="none"/>
              </w:rPr>
            </w:pPr>
          </w:p>
        </w:tc>
      </w:tr>
      <w:tr w14:paraId="12002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720A4051">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0E524895">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05B7380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田头村</w:t>
            </w:r>
          </w:p>
        </w:tc>
        <w:tc>
          <w:tcPr>
            <w:tcW w:w="462" w:type="pct"/>
            <w:tcBorders>
              <w:top w:val="single" w:color="auto" w:sz="4" w:space="0"/>
              <w:left w:val="single" w:color="auto" w:sz="4" w:space="0"/>
              <w:bottom w:val="single" w:color="auto" w:sz="4" w:space="0"/>
              <w:right w:val="single" w:color="auto" w:sz="4" w:space="0"/>
            </w:tcBorders>
            <w:vAlign w:val="center"/>
          </w:tcPr>
          <w:p w14:paraId="60EC107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5B41B053">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4637.76</w:t>
            </w:r>
          </w:p>
        </w:tc>
        <w:tc>
          <w:tcPr>
            <w:tcW w:w="539" w:type="pct"/>
            <w:tcBorders>
              <w:top w:val="single" w:color="auto" w:sz="4" w:space="0"/>
              <w:left w:val="single" w:color="auto" w:sz="4" w:space="0"/>
              <w:bottom w:val="single" w:color="auto" w:sz="4" w:space="0"/>
              <w:right w:val="single" w:color="auto" w:sz="4" w:space="0"/>
            </w:tcBorders>
            <w:vAlign w:val="center"/>
          </w:tcPr>
          <w:p w14:paraId="0216585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2740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E47C292">
            <w:pPr>
              <w:spacing w:line="240" w:lineRule="auto"/>
              <w:ind w:firstLine="0" w:firstLineChars="0"/>
              <w:jc w:val="center"/>
              <w:rPr>
                <w:rFonts w:hint="eastAsia"/>
                <w:color w:val="auto"/>
                <w:sz w:val="21"/>
                <w:szCs w:val="21"/>
                <w:highlight w:val="none"/>
                <w:u w:val="none"/>
              </w:rPr>
            </w:pPr>
          </w:p>
        </w:tc>
      </w:tr>
      <w:tr w14:paraId="59A55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29FFC6B0">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47609C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4F6302B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江阴镇</w:t>
            </w:r>
          </w:p>
        </w:tc>
        <w:tc>
          <w:tcPr>
            <w:tcW w:w="462" w:type="pct"/>
            <w:tcBorders>
              <w:top w:val="single" w:color="auto" w:sz="4" w:space="0"/>
              <w:left w:val="single" w:color="auto" w:sz="4" w:space="0"/>
              <w:bottom w:val="single" w:color="auto" w:sz="4" w:space="0"/>
              <w:right w:val="single" w:color="auto" w:sz="4" w:space="0"/>
            </w:tcBorders>
            <w:vAlign w:val="center"/>
          </w:tcPr>
          <w:p w14:paraId="246B3ED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r>
              <w:rPr>
                <w:color w:val="auto"/>
                <w:sz w:val="21"/>
                <w:szCs w:val="21"/>
                <w:highlight w:val="none"/>
                <w:u w:val="none"/>
              </w:rPr>
              <w:t>NE</w:t>
            </w:r>
          </w:p>
        </w:tc>
        <w:tc>
          <w:tcPr>
            <w:tcW w:w="615" w:type="pct"/>
            <w:tcBorders>
              <w:top w:val="single" w:color="auto" w:sz="4" w:space="0"/>
              <w:left w:val="single" w:color="auto" w:sz="4" w:space="0"/>
              <w:bottom w:val="single" w:color="auto" w:sz="4" w:space="0"/>
              <w:right w:val="single" w:color="auto" w:sz="4" w:space="0"/>
            </w:tcBorders>
            <w:vAlign w:val="center"/>
          </w:tcPr>
          <w:p w14:paraId="41572961">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4384.59</w:t>
            </w:r>
          </w:p>
        </w:tc>
        <w:tc>
          <w:tcPr>
            <w:tcW w:w="539" w:type="pct"/>
            <w:tcBorders>
              <w:top w:val="single" w:color="auto" w:sz="4" w:space="0"/>
              <w:left w:val="single" w:color="auto" w:sz="4" w:space="0"/>
              <w:bottom w:val="single" w:color="auto" w:sz="4" w:space="0"/>
              <w:right w:val="single" w:color="auto" w:sz="4" w:space="0"/>
            </w:tcBorders>
            <w:vAlign w:val="center"/>
          </w:tcPr>
          <w:p w14:paraId="47DB559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10000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46E61A9">
            <w:pPr>
              <w:spacing w:line="240" w:lineRule="auto"/>
              <w:ind w:firstLine="0" w:firstLineChars="0"/>
              <w:jc w:val="center"/>
              <w:rPr>
                <w:rFonts w:hint="eastAsia"/>
                <w:color w:val="auto"/>
                <w:sz w:val="21"/>
                <w:szCs w:val="21"/>
                <w:highlight w:val="none"/>
                <w:u w:val="none"/>
              </w:rPr>
            </w:pPr>
          </w:p>
        </w:tc>
      </w:tr>
      <w:tr w14:paraId="22FC4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37E9A87D">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19F1A173">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65CB6AA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下堡村</w:t>
            </w:r>
          </w:p>
        </w:tc>
        <w:tc>
          <w:tcPr>
            <w:tcW w:w="462" w:type="pct"/>
            <w:tcBorders>
              <w:top w:val="single" w:color="auto" w:sz="4" w:space="0"/>
              <w:left w:val="single" w:color="auto" w:sz="4" w:space="0"/>
              <w:bottom w:val="single" w:color="auto" w:sz="4" w:space="0"/>
              <w:right w:val="single" w:color="auto" w:sz="4" w:space="0"/>
            </w:tcBorders>
            <w:vAlign w:val="center"/>
          </w:tcPr>
          <w:p w14:paraId="47C86E0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E</w:t>
            </w:r>
          </w:p>
        </w:tc>
        <w:tc>
          <w:tcPr>
            <w:tcW w:w="615" w:type="pct"/>
            <w:tcBorders>
              <w:top w:val="single" w:color="auto" w:sz="4" w:space="0"/>
              <w:left w:val="single" w:color="auto" w:sz="4" w:space="0"/>
              <w:bottom w:val="single" w:color="auto" w:sz="4" w:space="0"/>
              <w:right w:val="single" w:color="auto" w:sz="4" w:space="0"/>
            </w:tcBorders>
            <w:vAlign w:val="center"/>
          </w:tcPr>
          <w:p w14:paraId="6F30D934">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4439.91</w:t>
            </w:r>
          </w:p>
        </w:tc>
        <w:tc>
          <w:tcPr>
            <w:tcW w:w="539" w:type="pct"/>
            <w:tcBorders>
              <w:top w:val="single" w:color="auto" w:sz="4" w:space="0"/>
              <w:left w:val="single" w:color="auto" w:sz="4" w:space="0"/>
              <w:bottom w:val="single" w:color="auto" w:sz="4" w:space="0"/>
              <w:right w:val="single" w:color="auto" w:sz="4" w:space="0"/>
            </w:tcBorders>
            <w:vAlign w:val="center"/>
          </w:tcPr>
          <w:p w14:paraId="40098C9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w:t>
            </w:r>
            <w:r>
              <w:rPr>
                <w:rFonts w:hint="eastAsia"/>
                <w:color w:val="auto"/>
                <w:sz w:val="21"/>
                <w:szCs w:val="21"/>
                <w:highlight w:val="none"/>
                <w:u w:val="none"/>
              </w:rPr>
              <w:t>394</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49642C17">
            <w:pPr>
              <w:spacing w:line="240" w:lineRule="auto"/>
              <w:ind w:firstLine="0" w:firstLineChars="0"/>
              <w:jc w:val="center"/>
              <w:rPr>
                <w:rFonts w:hint="eastAsia"/>
                <w:color w:val="auto"/>
                <w:sz w:val="21"/>
                <w:szCs w:val="21"/>
                <w:highlight w:val="none"/>
                <w:u w:val="none"/>
              </w:rPr>
            </w:pPr>
          </w:p>
        </w:tc>
      </w:tr>
      <w:tr w14:paraId="4D822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vMerge w:val="continue"/>
            <w:tcBorders>
              <w:top w:val="single" w:color="auto" w:sz="4" w:space="0"/>
              <w:left w:val="single" w:color="auto" w:sz="12" w:space="0"/>
              <w:bottom w:val="single" w:color="auto" w:sz="4" w:space="0"/>
              <w:right w:val="single" w:color="auto" w:sz="4" w:space="0"/>
            </w:tcBorders>
            <w:vAlign w:val="center"/>
          </w:tcPr>
          <w:p w14:paraId="43FD113E">
            <w:pPr>
              <w:spacing w:line="240" w:lineRule="auto"/>
              <w:ind w:firstLine="0" w:firstLineChars="0"/>
              <w:jc w:val="center"/>
              <w:rPr>
                <w:rFonts w:hint="eastAsia"/>
                <w:color w:val="auto"/>
                <w:sz w:val="21"/>
                <w:szCs w:val="21"/>
                <w:highlight w:val="none"/>
                <w:u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5E8B3E8E">
            <w:pPr>
              <w:spacing w:line="240" w:lineRule="auto"/>
              <w:ind w:firstLine="0" w:firstLineChars="0"/>
              <w:jc w:val="center"/>
              <w:rPr>
                <w:rFonts w:hint="eastAsia"/>
                <w:color w:val="auto"/>
                <w:sz w:val="21"/>
                <w:szCs w:val="21"/>
                <w:highlight w:val="none"/>
                <w:u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EEBAEE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东沃村</w:t>
            </w:r>
          </w:p>
        </w:tc>
        <w:tc>
          <w:tcPr>
            <w:tcW w:w="462" w:type="pct"/>
            <w:tcBorders>
              <w:top w:val="single" w:color="auto" w:sz="4" w:space="0"/>
              <w:left w:val="single" w:color="auto" w:sz="4" w:space="0"/>
              <w:bottom w:val="single" w:color="auto" w:sz="4" w:space="0"/>
              <w:right w:val="single" w:color="auto" w:sz="4" w:space="0"/>
            </w:tcBorders>
            <w:vAlign w:val="center"/>
          </w:tcPr>
          <w:p w14:paraId="52A2455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WNW</w:t>
            </w:r>
          </w:p>
        </w:tc>
        <w:tc>
          <w:tcPr>
            <w:tcW w:w="615" w:type="pct"/>
            <w:tcBorders>
              <w:top w:val="single" w:color="auto" w:sz="4" w:space="0"/>
              <w:left w:val="single" w:color="auto" w:sz="4" w:space="0"/>
              <w:bottom w:val="single" w:color="auto" w:sz="4" w:space="0"/>
              <w:right w:val="single" w:color="auto" w:sz="4" w:space="0"/>
            </w:tcBorders>
            <w:vAlign w:val="center"/>
          </w:tcPr>
          <w:p w14:paraId="364AD786">
            <w:pPr>
              <w:spacing w:line="240" w:lineRule="auto"/>
              <w:ind w:firstLine="0" w:firstLineChars="0"/>
              <w:jc w:val="center"/>
              <w:rPr>
                <w:rFonts w:hint="eastAsia"/>
                <w:color w:val="auto"/>
                <w:sz w:val="21"/>
                <w:szCs w:val="21"/>
                <w:highlight w:val="none"/>
                <w:u w:val="none"/>
              </w:rPr>
            </w:pPr>
            <w:r>
              <w:rPr>
                <w:rFonts w:hint="eastAsia" w:hAnsi="Times New Roman"/>
                <w:color w:val="auto"/>
                <w:sz w:val="21"/>
                <w:szCs w:val="21"/>
                <w:highlight w:val="none"/>
                <w:u w:val="none"/>
              </w:rPr>
              <w:t>5080</w:t>
            </w:r>
          </w:p>
        </w:tc>
        <w:tc>
          <w:tcPr>
            <w:tcW w:w="539" w:type="pct"/>
            <w:tcBorders>
              <w:top w:val="single" w:color="auto" w:sz="4" w:space="0"/>
              <w:left w:val="single" w:color="auto" w:sz="4" w:space="0"/>
              <w:bottom w:val="single" w:color="auto" w:sz="4" w:space="0"/>
              <w:right w:val="single" w:color="auto" w:sz="4" w:space="0"/>
            </w:tcBorders>
            <w:vAlign w:val="center"/>
          </w:tcPr>
          <w:p w14:paraId="703AFD0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7</w:t>
            </w:r>
            <w:r>
              <w:rPr>
                <w:color w:val="auto"/>
                <w:sz w:val="21"/>
                <w:szCs w:val="21"/>
                <w:highlight w:val="none"/>
                <w:u w:val="none"/>
              </w:rPr>
              <w:t>90</w:t>
            </w:r>
          </w:p>
        </w:tc>
        <w:tc>
          <w:tcPr>
            <w:tcW w:w="1618" w:type="pct"/>
            <w:vMerge w:val="continue"/>
            <w:tcBorders>
              <w:top w:val="single" w:color="auto" w:sz="4" w:space="0"/>
              <w:left w:val="single" w:color="auto" w:sz="4" w:space="0"/>
              <w:bottom w:val="single" w:color="auto" w:sz="4" w:space="0"/>
              <w:right w:val="single" w:color="auto" w:sz="12" w:space="0"/>
            </w:tcBorders>
            <w:vAlign w:val="center"/>
          </w:tcPr>
          <w:p w14:paraId="2208FA96">
            <w:pPr>
              <w:spacing w:line="240" w:lineRule="auto"/>
              <w:ind w:firstLine="0" w:firstLineChars="0"/>
              <w:jc w:val="center"/>
              <w:rPr>
                <w:rFonts w:hint="eastAsia"/>
                <w:color w:val="auto"/>
                <w:sz w:val="21"/>
                <w:szCs w:val="21"/>
                <w:highlight w:val="none"/>
                <w:u w:val="none"/>
              </w:rPr>
            </w:pPr>
          </w:p>
        </w:tc>
      </w:tr>
      <w:tr w14:paraId="18BD3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tcBorders>
              <w:top w:val="single" w:color="auto" w:sz="4" w:space="0"/>
              <w:left w:val="single" w:color="auto" w:sz="12" w:space="0"/>
              <w:bottom w:val="single" w:color="auto" w:sz="4" w:space="0"/>
              <w:right w:val="single" w:color="auto" w:sz="4" w:space="0"/>
            </w:tcBorders>
            <w:vAlign w:val="center"/>
          </w:tcPr>
          <w:p w14:paraId="149DE13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w:t>
            </w:r>
          </w:p>
        </w:tc>
        <w:tc>
          <w:tcPr>
            <w:tcW w:w="434" w:type="pct"/>
            <w:tcBorders>
              <w:top w:val="single" w:color="auto" w:sz="4" w:space="0"/>
              <w:left w:val="single" w:color="auto" w:sz="4" w:space="0"/>
              <w:bottom w:val="single" w:color="auto" w:sz="4" w:space="0"/>
              <w:right w:val="single" w:color="auto" w:sz="4" w:space="0"/>
            </w:tcBorders>
            <w:vAlign w:val="center"/>
          </w:tcPr>
          <w:p w14:paraId="07D5828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海洋环境</w:t>
            </w:r>
          </w:p>
        </w:tc>
        <w:tc>
          <w:tcPr>
            <w:tcW w:w="974" w:type="pct"/>
            <w:tcBorders>
              <w:top w:val="single" w:color="auto" w:sz="4" w:space="0"/>
              <w:left w:val="single" w:color="auto" w:sz="4" w:space="0"/>
              <w:bottom w:val="single" w:color="auto" w:sz="4" w:space="0"/>
              <w:right w:val="single" w:color="auto" w:sz="4" w:space="0"/>
            </w:tcBorders>
            <w:vAlign w:val="center"/>
          </w:tcPr>
          <w:p w14:paraId="24FE1BF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兴化湾西北部浅海养殖区</w:t>
            </w:r>
          </w:p>
        </w:tc>
        <w:tc>
          <w:tcPr>
            <w:tcW w:w="462" w:type="pct"/>
            <w:tcBorders>
              <w:top w:val="single" w:color="auto" w:sz="4" w:space="0"/>
              <w:left w:val="single" w:color="auto" w:sz="4" w:space="0"/>
              <w:bottom w:val="single" w:color="auto" w:sz="4" w:space="0"/>
              <w:right w:val="single" w:color="auto" w:sz="4" w:space="0"/>
            </w:tcBorders>
            <w:vAlign w:val="center"/>
          </w:tcPr>
          <w:p w14:paraId="438383C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NW</w:t>
            </w:r>
          </w:p>
        </w:tc>
        <w:tc>
          <w:tcPr>
            <w:tcW w:w="1154" w:type="pct"/>
            <w:gridSpan w:val="2"/>
            <w:tcBorders>
              <w:top w:val="single" w:color="auto" w:sz="4" w:space="0"/>
              <w:left w:val="single" w:color="auto" w:sz="4" w:space="0"/>
              <w:bottom w:val="single" w:color="auto" w:sz="4" w:space="0"/>
              <w:right w:val="single" w:color="auto" w:sz="4" w:space="0"/>
            </w:tcBorders>
            <w:vAlign w:val="center"/>
          </w:tcPr>
          <w:p w14:paraId="2764751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距工业区污水厂排污口直线距离最近7</w:t>
            </w:r>
            <w:r>
              <w:rPr>
                <w:rFonts w:hint="eastAsia"/>
                <w:color w:val="auto"/>
                <w:sz w:val="21"/>
                <w:szCs w:val="21"/>
                <w:highlight w:val="none"/>
                <w:u w:val="none"/>
              </w:rPr>
              <w:t>km</w:t>
            </w:r>
          </w:p>
        </w:tc>
        <w:tc>
          <w:tcPr>
            <w:tcW w:w="1618" w:type="pct"/>
            <w:tcBorders>
              <w:top w:val="single" w:color="auto" w:sz="4" w:space="0"/>
              <w:left w:val="single" w:color="auto" w:sz="4" w:space="0"/>
              <w:bottom w:val="single" w:color="auto" w:sz="4" w:space="0"/>
              <w:right w:val="single" w:color="auto" w:sz="12" w:space="0"/>
            </w:tcBorders>
            <w:vAlign w:val="center"/>
          </w:tcPr>
          <w:p w14:paraId="53EBD0F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《海水水质标准》（GB3097-1997）二类</w:t>
            </w:r>
            <w:r>
              <w:rPr>
                <w:rFonts w:hint="eastAsia"/>
                <w:color w:val="auto"/>
                <w:sz w:val="21"/>
                <w:szCs w:val="21"/>
                <w:highlight w:val="none"/>
                <w:u w:val="none"/>
              </w:rPr>
              <w:t>、三类</w:t>
            </w:r>
          </w:p>
        </w:tc>
      </w:tr>
      <w:tr w14:paraId="64CF2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tcBorders>
              <w:top w:val="single" w:color="auto" w:sz="4" w:space="0"/>
              <w:left w:val="single" w:color="auto" w:sz="12" w:space="0"/>
              <w:bottom w:val="single" w:color="auto" w:sz="4" w:space="0"/>
              <w:right w:val="single" w:color="auto" w:sz="4" w:space="0"/>
            </w:tcBorders>
            <w:vAlign w:val="center"/>
          </w:tcPr>
          <w:p w14:paraId="2EB9472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w:t>
            </w:r>
          </w:p>
        </w:tc>
        <w:tc>
          <w:tcPr>
            <w:tcW w:w="434" w:type="pct"/>
            <w:tcBorders>
              <w:top w:val="single" w:color="auto" w:sz="4" w:space="0"/>
              <w:left w:val="single" w:color="auto" w:sz="4" w:space="0"/>
              <w:bottom w:val="single" w:color="auto" w:sz="4" w:space="0"/>
              <w:right w:val="single" w:color="auto" w:sz="4" w:space="0"/>
            </w:tcBorders>
            <w:vAlign w:val="center"/>
          </w:tcPr>
          <w:p w14:paraId="14EBC31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地下水</w:t>
            </w:r>
          </w:p>
        </w:tc>
        <w:tc>
          <w:tcPr>
            <w:tcW w:w="2590" w:type="pct"/>
            <w:gridSpan w:val="4"/>
            <w:tcBorders>
              <w:top w:val="single" w:color="auto" w:sz="4" w:space="0"/>
              <w:left w:val="single" w:color="auto" w:sz="4" w:space="0"/>
              <w:bottom w:val="single" w:color="auto" w:sz="4" w:space="0"/>
              <w:right w:val="single" w:color="auto" w:sz="4" w:space="0"/>
            </w:tcBorders>
            <w:vAlign w:val="center"/>
          </w:tcPr>
          <w:p w14:paraId="33A72E7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项目场地所在水文地质单元</w:t>
            </w:r>
          </w:p>
        </w:tc>
        <w:tc>
          <w:tcPr>
            <w:tcW w:w="1618" w:type="pct"/>
            <w:tcBorders>
              <w:top w:val="single" w:color="auto" w:sz="4" w:space="0"/>
              <w:left w:val="single" w:color="auto" w:sz="4" w:space="0"/>
              <w:bottom w:val="single" w:color="auto" w:sz="4" w:space="0"/>
              <w:right w:val="single" w:color="auto" w:sz="12" w:space="0"/>
            </w:tcBorders>
            <w:vAlign w:val="center"/>
          </w:tcPr>
          <w:p w14:paraId="2FAEED3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《地下水质量标准》（GB/T14848-2017）</w:t>
            </w:r>
            <w:r>
              <w:rPr>
                <w:rFonts w:hint="eastAsia"/>
                <w:color w:val="auto"/>
                <w:sz w:val="21"/>
                <w:szCs w:val="21"/>
                <w:highlight w:val="none"/>
                <w:u w:val="none"/>
              </w:rPr>
              <w:t>Ⅳ类</w:t>
            </w:r>
            <w:r>
              <w:rPr>
                <w:color w:val="auto"/>
                <w:sz w:val="21"/>
                <w:szCs w:val="21"/>
                <w:highlight w:val="none"/>
                <w:u w:val="none"/>
              </w:rPr>
              <w:t>标准</w:t>
            </w:r>
          </w:p>
        </w:tc>
      </w:tr>
      <w:tr w14:paraId="64E1C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tcBorders>
              <w:top w:val="single" w:color="auto" w:sz="4" w:space="0"/>
              <w:left w:val="single" w:color="auto" w:sz="12" w:space="0"/>
              <w:bottom w:val="single" w:color="auto" w:sz="4" w:space="0"/>
              <w:right w:val="single" w:color="auto" w:sz="4" w:space="0"/>
            </w:tcBorders>
            <w:vAlign w:val="center"/>
          </w:tcPr>
          <w:p w14:paraId="7A93C55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w:t>
            </w:r>
          </w:p>
        </w:tc>
        <w:tc>
          <w:tcPr>
            <w:tcW w:w="434" w:type="pct"/>
            <w:tcBorders>
              <w:top w:val="single" w:color="auto" w:sz="4" w:space="0"/>
              <w:left w:val="single" w:color="auto" w:sz="4" w:space="0"/>
              <w:bottom w:val="single" w:color="auto" w:sz="4" w:space="0"/>
              <w:right w:val="single" w:color="auto" w:sz="4" w:space="0"/>
            </w:tcBorders>
            <w:vAlign w:val="center"/>
          </w:tcPr>
          <w:p w14:paraId="1206856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声环境</w:t>
            </w:r>
          </w:p>
        </w:tc>
        <w:tc>
          <w:tcPr>
            <w:tcW w:w="2590" w:type="pct"/>
            <w:gridSpan w:val="4"/>
            <w:tcBorders>
              <w:top w:val="single" w:color="auto" w:sz="4" w:space="0"/>
              <w:left w:val="single" w:color="auto" w:sz="4" w:space="0"/>
              <w:bottom w:val="single" w:color="auto" w:sz="4" w:space="0"/>
              <w:right w:val="single" w:color="auto" w:sz="4" w:space="0"/>
            </w:tcBorders>
            <w:vAlign w:val="center"/>
          </w:tcPr>
          <w:p w14:paraId="1F37ADEF">
            <w:pPr>
              <w:spacing w:line="240" w:lineRule="auto"/>
              <w:ind w:firstLine="0" w:firstLineChars="0"/>
              <w:jc w:val="center"/>
              <w:rPr>
                <w:rFonts w:hint="eastAsia"/>
                <w:color w:val="auto"/>
                <w:sz w:val="21"/>
                <w:szCs w:val="21"/>
                <w:highlight w:val="none"/>
                <w:u w:val="none"/>
              </w:rPr>
            </w:pPr>
            <w:bookmarkStart w:id="126" w:name="_Hlk105518998"/>
            <w:r>
              <w:rPr>
                <w:color w:val="auto"/>
                <w:sz w:val="21"/>
                <w:szCs w:val="21"/>
                <w:highlight w:val="none"/>
                <w:u w:val="none"/>
              </w:rPr>
              <w:t>厂界外200m范围内没有声环境敏感目标</w:t>
            </w:r>
            <w:bookmarkEnd w:id="126"/>
          </w:p>
        </w:tc>
        <w:tc>
          <w:tcPr>
            <w:tcW w:w="1618" w:type="pct"/>
            <w:tcBorders>
              <w:top w:val="single" w:color="auto" w:sz="4" w:space="0"/>
              <w:left w:val="single" w:color="auto" w:sz="4" w:space="0"/>
              <w:bottom w:val="single" w:color="auto" w:sz="4" w:space="0"/>
              <w:right w:val="single" w:color="auto" w:sz="12" w:space="0"/>
            </w:tcBorders>
            <w:vAlign w:val="center"/>
          </w:tcPr>
          <w:p w14:paraId="36187F8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《声环境质量标准》（GB3096-2008）3类区</w:t>
            </w:r>
          </w:p>
        </w:tc>
      </w:tr>
      <w:tr w14:paraId="4D0EB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6" w:type="pct"/>
            <w:tcBorders>
              <w:top w:val="single" w:color="auto" w:sz="4" w:space="0"/>
              <w:left w:val="single" w:color="auto" w:sz="12" w:space="0"/>
              <w:bottom w:val="single" w:color="auto" w:sz="12" w:space="0"/>
              <w:right w:val="single" w:color="auto" w:sz="4" w:space="0"/>
            </w:tcBorders>
            <w:vAlign w:val="center"/>
          </w:tcPr>
          <w:p w14:paraId="44FDAF5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6</w:t>
            </w:r>
          </w:p>
        </w:tc>
        <w:tc>
          <w:tcPr>
            <w:tcW w:w="434" w:type="pct"/>
            <w:tcBorders>
              <w:top w:val="single" w:color="auto" w:sz="4" w:space="0"/>
              <w:left w:val="single" w:color="auto" w:sz="4" w:space="0"/>
              <w:bottom w:val="single" w:color="auto" w:sz="12" w:space="0"/>
              <w:right w:val="single" w:color="auto" w:sz="4" w:space="0"/>
            </w:tcBorders>
            <w:vAlign w:val="center"/>
          </w:tcPr>
          <w:p w14:paraId="533D62C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土壤</w:t>
            </w:r>
          </w:p>
        </w:tc>
        <w:tc>
          <w:tcPr>
            <w:tcW w:w="2590" w:type="pct"/>
            <w:gridSpan w:val="4"/>
            <w:tcBorders>
              <w:top w:val="single" w:color="auto" w:sz="4" w:space="0"/>
              <w:left w:val="single" w:color="auto" w:sz="4" w:space="0"/>
              <w:bottom w:val="single" w:color="auto" w:sz="12" w:space="0"/>
              <w:right w:val="single" w:color="auto" w:sz="4" w:space="0"/>
            </w:tcBorders>
            <w:vAlign w:val="center"/>
          </w:tcPr>
          <w:p w14:paraId="7502ED3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项目场地内及周边土壤环境</w:t>
            </w:r>
          </w:p>
        </w:tc>
        <w:tc>
          <w:tcPr>
            <w:tcW w:w="1618" w:type="pct"/>
            <w:tcBorders>
              <w:top w:val="single" w:color="auto" w:sz="4" w:space="0"/>
              <w:left w:val="single" w:color="auto" w:sz="4" w:space="0"/>
              <w:bottom w:val="single" w:color="auto" w:sz="12" w:space="0"/>
              <w:right w:val="single" w:color="auto" w:sz="12" w:space="0"/>
            </w:tcBorders>
            <w:vAlign w:val="center"/>
          </w:tcPr>
          <w:p w14:paraId="0C52518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《土壤环境质量  建设用地土壤污染风险管控标准</w:t>
            </w:r>
            <w:r>
              <w:rPr>
                <w:rFonts w:hint="eastAsia"/>
                <w:color w:val="auto"/>
                <w:sz w:val="21"/>
                <w:szCs w:val="21"/>
                <w:highlight w:val="none"/>
                <w:u w:val="none"/>
              </w:rPr>
              <w:t>（</w:t>
            </w:r>
            <w:r>
              <w:rPr>
                <w:color w:val="auto"/>
                <w:sz w:val="21"/>
                <w:szCs w:val="21"/>
                <w:highlight w:val="none"/>
                <w:u w:val="none"/>
              </w:rPr>
              <w:t>试行</w:t>
            </w:r>
            <w:r>
              <w:rPr>
                <w:rFonts w:hint="eastAsia"/>
                <w:color w:val="auto"/>
                <w:sz w:val="21"/>
                <w:szCs w:val="21"/>
                <w:highlight w:val="none"/>
                <w:u w:val="none"/>
              </w:rPr>
              <w:t>）</w:t>
            </w:r>
            <w:r>
              <w:rPr>
                <w:color w:val="auto"/>
                <w:sz w:val="21"/>
                <w:szCs w:val="21"/>
                <w:highlight w:val="none"/>
                <w:u w:val="none"/>
              </w:rPr>
              <w:t>》（GB36600-2018）表1第二类用地筛选值</w:t>
            </w:r>
          </w:p>
        </w:tc>
      </w:tr>
    </w:tbl>
    <w:p w14:paraId="49392973">
      <w:pPr>
        <w:ind w:firstLine="420"/>
        <w:rPr>
          <w:rFonts w:hint="eastAsia"/>
          <w:color w:val="auto"/>
          <w:sz w:val="21"/>
          <w:szCs w:val="21"/>
          <w:highlight w:val="none"/>
          <w:u w:val="none"/>
        </w:rPr>
      </w:pPr>
      <w:r>
        <w:rPr>
          <w:rFonts w:hint="eastAsia"/>
          <w:color w:val="auto"/>
          <w:sz w:val="21"/>
          <w:szCs w:val="21"/>
          <w:highlight w:val="none"/>
          <w:u w:val="none"/>
        </w:rPr>
        <w:t>*注：为大气评价范围内的敏感目标，其他为大气预测范围内敏感目标。</w:t>
      </w:r>
    </w:p>
    <w:p w14:paraId="30F80D5A">
      <w:pPr>
        <w:ind w:firstLine="0" w:firstLineChars="0"/>
        <w:jc w:val="center"/>
        <w:rPr>
          <w:rFonts w:hint="eastAsia"/>
          <w:b/>
          <w:bCs/>
          <w:color w:val="auto"/>
          <w:highlight w:val="none"/>
          <w:u w:val="none"/>
        </w:rPr>
      </w:pPr>
      <w:r>
        <w:rPr>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2.6</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 \* ARABIC \s 2 </w:instrText>
      </w:r>
      <w:r>
        <w:rPr>
          <w:b/>
          <w:bCs/>
          <w:color w:val="auto"/>
          <w:highlight w:val="none"/>
          <w:u w:val="none"/>
        </w:rPr>
        <w:fldChar w:fldCharType="separate"/>
      </w:r>
      <w:r>
        <w:rPr>
          <w:b/>
          <w:bCs/>
          <w:color w:val="auto"/>
          <w:highlight w:val="none"/>
          <w:u w:val="none"/>
        </w:rPr>
        <w:t>2</w:t>
      </w:r>
      <w:r>
        <w:rPr>
          <w:b/>
          <w:bCs/>
          <w:color w:val="auto"/>
          <w:highlight w:val="none"/>
          <w:u w:val="none"/>
        </w:rPr>
        <w:fldChar w:fldCharType="end"/>
      </w:r>
      <w:r>
        <w:rPr>
          <w:b/>
          <w:bCs/>
          <w:color w:val="auto"/>
          <w:highlight w:val="none"/>
          <w:u w:val="none"/>
        </w:rPr>
        <w:t xml:space="preserve">  </w:t>
      </w:r>
      <w:r>
        <w:rPr>
          <w:rFonts w:hint="eastAsia"/>
          <w:b/>
          <w:bCs/>
          <w:color w:val="auto"/>
          <w:highlight w:val="none"/>
          <w:u w:val="none"/>
        </w:rPr>
        <w:t>海洋自然保护区、省级重要湿地基本情况一览表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73"/>
        <w:gridCol w:w="1673"/>
        <w:gridCol w:w="1674"/>
        <w:gridCol w:w="1674"/>
        <w:gridCol w:w="2593"/>
      </w:tblGrid>
      <w:tr w14:paraId="30379C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01" w:type="pct"/>
            <w:vAlign w:val="center"/>
          </w:tcPr>
          <w:p w14:paraId="3724F0BD">
            <w:pPr>
              <w:pStyle w:val="92"/>
              <w:rPr>
                <w:color w:val="auto"/>
                <w:highlight w:val="none"/>
                <w:u w:val="none"/>
              </w:rPr>
            </w:pPr>
            <w:r>
              <w:rPr>
                <w:rFonts w:hint="eastAsia"/>
                <w:color w:val="auto"/>
                <w:highlight w:val="none"/>
                <w:u w:val="none"/>
              </w:rPr>
              <w:t>湿地名称</w:t>
            </w:r>
          </w:p>
        </w:tc>
        <w:tc>
          <w:tcPr>
            <w:tcW w:w="901" w:type="pct"/>
            <w:vAlign w:val="center"/>
          </w:tcPr>
          <w:p w14:paraId="1F346199">
            <w:pPr>
              <w:pStyle w:val="92"/>
              <w:rPr>
                <w:color w:val="auto"/>
                <w:highlight w:val="none"/>
                <w:u w:val="none"/>
              </w:rPr>
            </w:pPr>
            <w:r>
              <w:rPr>
                <w:rFonts w:hint="eastAsia"/>
                <w:color w:val="auto"/>
                <w:highlight w:val="none"/>
                <w:u w:val="none"/>
              </w:rPr>
              <w:t>与本项目</w:t>
            </w:r>
          </w:p>
          <w:p w14:paraId="3790E361">
            <w:pPr>
              <w:pStyle w:val="92"/>
              <w:rPr>
                <w:color w:val="auto"/>
                <w:highlight w:val="none"/>
                <w:u w:val="none"/>
              </w:rPr>
            </w:pPr>
            <w:r>
              <w:rPr>
                <w:rFonts w:hint="eastAsia"/>
                <w:color w:val="auto"/>
                <w:highlight w:val="none"/>
                <w:u w:val="none"/>
              </w:rPr>
              <w:t>方位距离</w:t>
            </w:r>
          </w:p>
        </w:tc>
        <w:tc>
          <w:tcPr>
            <w:tcW w:w="901" w:type="pct"/>
            <w:vAlign w:val="center"/>
          </w:tcPr>
          <w:p w14:paraId="4C6FCDF0">
            <w:pPr>
              <w:pStyle w:val="92"/>
              <w:rPr>
                <w:color w:val="auto"/>
                <w:highlight w:val="none"/>
                <w:u w:val="none"/>
              </w:rPr>
            </w:pPr>
            <w:r>
              <w:rPr>
                <w:rFonts w:hint="eastAsia"/>
                <w:color w:val="auto"/>
                <w:highlight w:val="none"/>
                <w:u w:val="none"/>
              </w:rPr>
              <w:t>湿地类型</w:t>
            </w:r>
          </w:p>
        </w:tc>
        <w:tc>
          <w:tcPr>
            <w:tcW w:w="901" w:type="pct"/>
            <w:vAlign w:val="center"/>
          </w:tcPr>
          <w:p w14:paraId="783C57E3">
            <w:pPr>
              <w:pStyle w:val="92"/>
              <w:rPr>
                <w:color w:val="auto"/>
                <w:highlight w:val="none"/>
                <w:u w:val="none"/>
              </w:rPr>
            </w:pPr>
            <w:r>
              <w:rPr>
                <w:rFonts w:hint="eastAsia"/>
                <w:color w:val="auto"/>
                <w:highlight w:val="none"/>
                <w:u w:val="none"/>
              </w:rPr>
              <w:t>湿地面积</w:t>
            </w:r>
          </w:p>
          <w:p w14:paraId="3E04884A">
            <w:pPr>
              <w:pStyle w:val="92"/>
              <w:rPr>
                <w:color w:val="auto"/>
                <w:highlight w:val="none"/>
                <w:u w:val="none"/>
              </w:rPr>
            </w:pPr>
            <w:r>
              <w:rPr>
                <w:rFonts w:hint="eastAsia"/>
                <w:color w:val="auto"/>
                <w:highlight w:val="none"/>
                <w:u w:val="none"/>
              </w:rPr>
              <w:t>（</w:t>
            </w:r>
            <w:r>
              <w:rPr>
                <w:color w:val="auto"/>
                <w:highlight w:val="none"/>
                <w:u w:val="none"/>
              </w:rPr>
              <w:t>hm</w:t>
            </w:r>
            <w:r>
              <w:rPr>
                <w:color w:val="auto"/>
                <w:highlight w:val="none"/>
                <w:u w:val="none"/>
                <w:vertAlign w:val="superscript"/>
              </w:rPr>
              <w:t>2</w:t>
            </w:r>
            <w:r>
              <w:rPr>
                <w:rFonts w:hint="eastAsia"/>
                <w:color w:val="auto"/>
                <w:highlight w:val="none"/>
                <w:u w:val="none"/>
              </w:rPr>
              <w:t>）</w:t>
            </w:r>
          </w:p>
        </w:tc>
        <w:tc>
          <w:tcPr>
            <w:tcW w:w="1398" w:type="pct"/>
            <w:vAlign w:val="center"/>
          </w:tcPr>
          <w:p w14:paraId="4EED5D38">
            <w:pPr>
              <w:pStyle w:val="92"/>
              <w:rPr>
                <w:color w:val="auto"/>
                <w:highlight w:val="none"/>
                <w:u w:val="none"/>
              </w:rPr>
            </w:pPr>
            <w:r>
              <w:rPr>
                <w:rFonts w:hint="eastAsia"/>
                <w:color w:val="auto"/>
                <w:highlight w:val="none"/>
                <w:u w:val="none"/>
              </w:rPr>
              <w:t>保护区面积</w:t>
            </w:r>
          </w:p>
          <w:p w14:paraId="031DFB20">
            <w:pPr>
              <w:pStyle w:val="92"/>
              <w:rPr>
                <w:color w:val="auto"/>
                <w:highlight w:val="none"/>
                <w:u w:val="none"/>
              </w:rPr>
            </w:pPr>
            <w:r>
              <w:rPr>
                <w:rFonts w:hint="eastAsia"/>
                <w:color w:val="auto"/>
                <w:highlight w:val="none"/>
                <w:u w:val="none"/>
              </w:rPr>
              <w:t>（</w:t>
            </w:r>
            <w:r>
              <w:rPr>
                <w:color w:val="auto"/>
                <w:highlight w:val="none"/>
                <w:u w:val="none"/>
              </w:rPr>
              <w:t>hm</w:t>
            </w:r>
            <w:r>
              <w:rPr>
                <w:color w:val="auto"/>
                <w:highlight w:val="none"/>
                <w:u w:val="none"/>
                <w:vertAlign w:val="superscript"/>
              </w:rPr>
              <w:t>2</w:t>
            </w:r>
            <w:r>
              <w:rPr>
                <w:rFonts w:hint="eastAsia"/>
                <w:color w:val="auto"/>
                <w:highlight w:val="none"/>
                <w:u w:val="none"/>
              </w:rPr>
              <w:t>）</w:t>
            </w:r>
          </w:p>
        </w:tc>
      </w:tr>
      <w:tr w14:paraId="3C24CA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01" w:type="pct"/>
            <w:vAlign w:val="center"/>
          </w:tcPr>
          <w:p w14:paraId="607E4B61">
            <w:pPr>
              <w:pStyle w:val="92"/>
              <w:rPr>
                <w:color w:val="auto"/>
                <w:highlight w:val="none"/>
                <w:u w:val="none"/>
              </w:rPr>
            </w:pPr>
            <w:r>
              <w:rPr>
                <w:rFonts w:hint="eastAsia"/>
                <w:color w:val="auto"/>
                <w:highlight w:val="none"/>
                <w:u w:val="none"/>
              </w:rPr>
              <w:t>兴化湾水鸟省级自然保护区</w:t>
            </w:r>
          </w:p>
        </w:tc>
        <w:tc>
          <w:tcPr>
            <w:tcW w:w="901" w:type="pct"/>
            <w:vAlign w:val="center"/>
          </w:tcPr>
          <w:p w14:paraId="681EBDE0">
            <w:pPr>
              <w:pStyle w:val="92"/>
              <w:rPr>
                <w:color w:val="auto"/>
                <w:highlight w:val="none"/>
                <w:u w:val="none"/>
              </w:rPr>
            </w:pPr>
            <w:r>
              <w:rPr>
                <w:rFonts w:hint="eastAsia"/>
                <w:color w:val="auto"/>
                <w:highlight w:val="none"/>
                <w:u w:val="none"/>
              </w:rPr>
              <w:t>E，789</w:t>
            </w:r>
            <w:r>
              <w:rPr>
                <w:color w:val="auto"/>
                <w:highlight w:val="none"/>
                <w:u w:val="none"/>
              </w:rPr>
              <w:t>0</w:t>
            </w:r>
            <w:r>
              <w:rPr>
                <w:rFonts w:hint="eastAsia"/>
                <w:color w:val="auto"/>
                <w:highlight w:val="none"/>
                <w:u w:val="none"/>
              </w:rPr>
              <w:t>m</w:t>
            </w:r>
          </w:p>
        </w:tc>
        <w:tc>
          <w:tcPr>
            <w:tcW w:w="901" w:type="pct"/>
            <w:vAlign w:val="center"/>
          </w:tcPr>
          <w:p w14:paraId="7E671AF4">
            <w:pPr>
              <w:pStyle w:val="92"/>
              <w:rPr>
                <w:color w:val="auto"/>
                <w:highlight w:val="none"/>
                <w:u w:val="none"/>
              </w:rPr>
            </w:pPr>
            <w:r>
              <w:rPr>
                <w:rFonts w:hint="eastAsia"/>
                <w:color w:val="auto"/>
                <w:highlight w:val="none"/>
                <w:u w:val="none"/>
              </w:rPr>
              <w:t>浅海水域、淤泥质海滩、水产养殖场、红树林</w:t>
            </w:r>
          </w:p>
        </w:tc>
        <w:tc>
          <w:tcPr>
            <w:tcW w:w="901" w:type="pct"/>
            <w:vAlign w:val="center"/>
          </w:tcPr>
          <w:p w14:paraId="54820803">
            <w:pPr>
              <w:pStyle w:val="92"/>
              <w:rPr>
                <w:color w:val="auto"/>
                <w:highlight w:val="none"/>
                <w:u w:val="none"/>
              </w:rPr>
            </w:pPr>
            <w:r>
              <w:rPr>
                <w:color w:val="auto"/>
                <w:highlight w:val="none"/>
                <w:u w:val="none"/>
              </w:rPr>
              <w:t>7661.8209</w:t>
            </w:r>
          </w:p>
        </w:tc>
        <w:tc>
          <w:tcPr>
            <w:tcW w:w="1398" w:type="pct"/>
            <w:vAlign w:val="center"/>
          </w:tcPr>
          <w:p w14:paraId="1B7A4138">
            <w:pPr>
              <w:pStyle w:val="92"/>
              <w:rPr>
                <w:color w:val="auto"/>
                <w:highlight w:val="none"/>
                <w:u w:val="none"/>
              </w:rPr>
            </w:pPr>
            <w:r>
              <w:rPr>
                <w:rFonts w:hint="eastAsia"/>
                <w:color w:val="auto"/>
                <w:highlight w:val="none"/>
                <w:u w:val="none"/>
              </w:rPr>
              <w:t>总面积</w:t>
            </w:r>
            <w:r>
              <w:rPr>
                <w:color w:val="auto"/>
                <w:highlight w:val="none"/>
                <w:u w:val="none"/>
              </w:rPr>
              <w:t>7518.36hm</w:t>
            </w:r>
            <w:r>
              <w:rPr>
                <w:color w:val="auto"/>
                <w:highlight w:val="none"/>
                <w:u w:val="none"/>
                <w:vertAlign w:val="superscript"/>
              </w:rPr>
              <w:t>2</w:t>
            </w:r>
            <w:r>
              <w:rPr>
                <w:color w:val="auto"/>
                <w:highlight w:val="none"/>
                <w:u w:val="none"/>
              </w:rPr>
              <w:t>，</w:t>
            </w:r>
            <w:r>
              <w:rPr>
                <w:rFonts w:hint="eastAsia"/>
                <w:color w:val="auto"/>
                <w:highlight w:val="none"/>
                <w:u w:val="none"/>
              </w:rPr>
              <w:t>其中核心区面积</w:t>
            </w:r>
            <w:r>
              <w:rPr>
                <w:color w:val="auto"/>
                <w:highlight w:val="none"/>
                <w:u w:val="none"/>
              </w:rPr>
              <w:t>2282.66hm</w:t>
            </w:r>
            <w:r>
              <w:rPr>
                <w:color w:val="auto"/>
                <w:highlight w:val="none"/>
                <w:u w:val="none"/>
                <w:vertAlign w:val="superscript"/>
              </w:rPr>
              <w:t>2</w:t>
            </w:r>
            <w:r>
              <w:rPr>
                <w:color w:val="auto"/>
                <w:highlight w:val="none"/>
                <w:u w:val="none"/>
              </w:rPr>
              <w:t>，实验区面积5235.70hm</w:t>
            </w:r>
            <w:r>
              <w:rPr>
                <w:color w:val="auto"/>
                <w:highlight w:val="none"/>
                <w:u w:val="none"/>
                <w:vertAlign w:val="superscript"/>
              </w:rPr>
              <w:t>2</w:t>
            </w:r>
          </w:p>
        </w:tc>
      </w:tr>
    </w:tbl>
    <w:p w14:paraId="6A89A7CF">
      <w:pPr>
        <w:rPr>
          <w:rFonts w:hint="eastAsia"/>
          <w:color w:val="auto"/>
          <w:highlight w:val="none"/>
          <w:u w:val="none"/>
        </w:rPr>
        <w:sectPr>
          <w:footerReference r:id="rId13" w:type="default"/>
          <w:pgSz w:w="11907" w:h="16840"/>
          <w:pgMar w:top="1418" w:right="1418" w:bottom="1418" w:left="1418" w:header="851" w:footer="1072" w:gutter="0"/>
          <w:cols w:space="720" w:num="1"/>
          <w:docGrid w:linePitch="326" w:charSpace="0"/>
        </w:sectPr>
      </w:pPr>
    </w:p>
    <w:p w14:paraId="3DF79581">
      <w:pPr>
        <w:ind w:firstLine="0" w:firstLineChars="0"/>
        <w:jc w:val="center"/>
        <w:rPr>
          <w:rFonts w:hint="eastAsia"/>
          <w:b/>
          <w:bCs/>
          <w:color w:val="auto"/>
          <w:highlight w:val="none"/>
          <w:u w:val="none"/>
        </w:rPr>
      </w:pPr>
      <w:bookmarkStart w:id="127" w:name="_Ref148907333"/>
      <w:r>
        <w:rPr>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2.6</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 \* ARABIC \s 2 </w:instrText>
      </w:r>
      <w:r>
        <w:rPr>
          <w:b/>
          <w:bCs/>
          <w:color w:val="auto"/>
          <w:highlight w:val="none"/>
          <w:u w:val="none"/>
        </w:rPr>
        <w:fldChar w:fldCharType="separate"/>
      </w:r>
      <w:r>
        <w:rPr>
          <w:b/>
          <w:bCs/>
          <w:color w:val="auto"/>
          <w:highlight w:val="none"/>
          <w:u w:val="none"/>
        </w:rPr>
        <w:t>3</w:t>
      </w:r>
      <w:r>
        <w:rPr>
          <w:b/>
          <w:bCs/>
          <w:color w:val="auto"/>
          <w:highlight w:val="none"/>
          <w:u w:val="none"/>
        </w:rPr>
        <w:fldChar w:fldCharType="end"/>
      </w:r>
      <w:bookmarkEnd w:id="127"/>
      <w:r>
        <w:rPr>
          <w:b/>
          <w:bCs/>
          <w:color w:val="auto"/>
          <w:highlight w:val="none"/>
          <w:u w:val="none"/>
        </w:rPr>
        <w:t xml:space="preserve">  </w:t>
      </w:r>
      <w:r>
        <w:rPr>
          <w:rFonts w:hint="eastAsia"/>
          <w:b/>
          <w:bCs/>
          <w:color w:val="auto"/>
          <w:highlight w:val="none"/>
          <w:u w:val="none"/>
        </w:rPr>
        <w:t>海洋生态保护红线及保护要求一览表</w:t>
      </w:r>
    </w:p>
    <w:tbl>
      <w:tblPr>
        <w:tblStyle w:val="58"/>
        <w:tblW w:w="50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3"/>
        <w:gridCol w:w="1281"/>
        <w:gridCol w:w="711"/>
        <w:gridCol w:w="1307"/>
        <w:gridCol w:w="1172"/>
        <w:gridCol w:w="8849"/>
      </w:tblGrid>
      <w:tr w14:paraId="0B8A3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53" w:type="pct"/>
            <w:vAlign w:val="center"/>
          </w:tcPr>
          <w:p w14:paraId="5E2F3F84">
            <w:pPr>
              <w:pStyle w:val="92"/>
              <w:rPr>
                <w:color w:val="auto"/>
                <w:highlight w:val="none"/>
                <w:u w:val="none"/>
              </w:rPr>
            </w:pPr>
            <w:r>
              <w:rPr>
                <w:color w:val="auto"/>
                <w:highlight w:val="none"/>
                <w:u w:val="none"/>
              </w:rPr>
              <w:t>代码</w:t>
            </w:r>
          </w:p>
        </w:tc>
        <w:tc>
          <w:tcPr>
            <w:tcW w:w="447" w:type="pct"/>
            <w:vAlign w:val="center"/>
          </w:tcPr>
          <w:p w14:paraId="55A499FF">
            <w:pPr>
              <w:pStyle w:val="92"/>
              <w:rPr>
                <w:color w:val="auto"/>
                <w:highlight w:val="none"/>
                <w:u w:val="none"/>
              </w:rPr>
            </w:pPr>
            <w:r>
              <w:rPr>
                <w:color w:val="auto"/>
                <w:highlight w:val="none"/>
                <w:u w:val="none"/>
              </w:rPr>
              <w:t>名称</w:t>
            </w:r>
          </w:p>
        </w:tc>
        <w:tc>
          <w:tcPr>
            <w:tcW w:w="248" w:type="pct"/>
            <w:vAlign w:val="center"/>
          </w:tcPr>
          <w:p w14:paraId="26B4ACD2">
            <w:pPr>
              <w:pStyle w:val="92"/>
              <w:rPr>
                <w:color w:val="auto"/>
                <w:highlight w:val="none"/>
                <w:u w:val="none"/>
              </w:rPr>
            </w:pPr>
            <w:r>
              <w:rPr>
                <w:color w:val="auto"/>
                <w:highlight w:val="none"/>
                <w:u w:val="none"/>
              </w:rPr>
              <w:t>类型</w:t>
            </w:r>
          </w:p>
        </w:tc>
        <w:tc>
          <w:tcPr>
            <w:tcW w:w="456" w:type="pct"/>
            <w:vAlign w:val="center"/>
          </w:tcPr>
          <w:p w14:paraId="7C56BE51">
            <w:pPr>
              <w:pStyle w:val="92"/>
              <w:rPr>
                <w:color w:val="auto"/>
                <w:highlight w:val="none"/>
                <w:u w:val="none"/>
              </w:rPr>
            </w:pPr>
            <w:r>
              <w:rPr>
                <w:color w:val="auto"/>
                <w:highlight w:val="none"/>
                <w:u w:val="none"/>
              </w:rPr>
              <w:t>与本项目</w:t>
            </w:r>
          </w:p>
          <w:p w14:paraId="26D014F3">
            <w:pPr>
              <w:pStyle w:val="92"/>
              <w:rPr>
                <w:color w:val="auto"/>
                <w:highlight w:val="none"/>
                <w:u w:val="none"/>
              </w:rPr>
            </w:pPr>
            <w:r>
              <w:rPr>
                <w:color w:val="auto"/>
                <w:highlight w:val="none"/>
                <w:u w:val="none"/>
              </w:rPr>
              <w:t>方位和距离</w:t>
            </w:r>
          </w:p>
        </w:tc>
        <w:tc>
          <w:tcPr>
            <w:tcW w:w="409" w:type="pct"/>
            <w:vAlign w:val="center"/>
          </w:tcPr>
          <w:p w14:paraId="17C07AEF">
            <w:pPr>
              <w:pStyle w:val="92"/>
              <w:rPr>
                <w:color w:val="auto"/>
                <w:highlight w:val="none"/>
                <w:u w:val="none"/>
              </w:rPr>
            </w:pPr>
            <w:r>
              <w:rPr>
                <w:color w:val="auto"/>
                <w:highlight w:val="none"/>
                <w:u w:val="none"/>
              </w:rPr>
              <w:t>生态保护</w:t>
            </w:r>
          </w:p>
          <w:p w14:paraId="4E38CF55">
            <w:pPr>
              <w:pStyle w:val="92"/>
              <w:rPr>
                <w:color w:val="auto"/>
                <w:highlight w:val="none"/>
                <w:u w:val="none"/>
              </w:rPr>
            </w:pPr>
            <w:r>
              <w:rPr>
                <w:color w:val="auto"/>
                <w:highlight w:val="none"/>
                <w:u w:val="none"/>
              </w:rPr>
              <w:t>目标</w:t>
            </w:r>
          </w:p>
        </w:tc>
        <w:tc>
          <w:tcPr>
            <w:tcW w:w="3087" w:type="pct"/>
            <w:vAlign w:val="center"/>
          </w:tcPr>
          <w:p w14:paraId="7476C5AB">
            <w:pPr>
              <w:pStyle w:val="92"/>
              <w:rPr>
                <w:color w:val="auto"/>
                <w:highlight w:val="none"/>
                <w:u w:val="none"/>
              </w:rPr>
            </w:pPr>
            <w:r>
              <w:rPr>
                <w:color w:val="auto"/>
                <w:highlight w:val="none"/>
                <w:u w:val="none"/>
              </w:rPr>
              <w:t>管控措施</w:t>
            </w:r>
          </w:p>
        </w:tc>
      </w:tr>
      <w:tr w14:paraId="2C554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4F73703F">
            <w:pPr>
              <w:pStyle w:val="92"/>
              <w:rPr>
                <w:color w:val="auto"/>
                <w:highlight w:val="none"/>
                <w:u w:val="none"/>
              </w:rPr>
            </w:pPr>
            <w:r>
              <w:rPr>
                <w:color w:val="auto"/>
                <w:highlight w:val="none"/>
                <w:u w:val="none"/>
              </w:rPr>
              <w:t>350100-WET-Ⅱ-09</w:t>
            </w:r>
          </w:p>
        </w:tc>
        <w:tc>
          <w:tcPr>
            <w:tcW w:w="447" w:type="pct"/>
            <w:vAlign w:val="center"/>
          </w:tcPr>
          <w:p w14:paraId="1AA6013F">
            <w:pPr>
              <w:pStyle w:val="92"/>
              <w:rPr>
                <w:color w:val="auto"/>
                <w:highlight w:val="none"/>
                <w:u w:val="none"/>
              </w:rPr>
            </w:pPr>
            <w:r>
              <w:rPr>
                <w:color w:val="auto"/>
                <w:highlight w:val="none"/>
                <w:u w:val="none"/>
              </w:rPr>
              <w:t>兴化湾新厝重要滨海湿地生态保护红线区</w:t>
            </w:r>
          </w:p>
        </w:tc>
        <w:tc>
          <w:tcPr>
            <w:tcW w:w="248" w:type="pct"/>
            <w:vAlign w:val="center"/>
          </w:tcPr>
          <w:p w14:paraId="6D8A97FD">
            <w:pPr>
              <w:pStyle w:val="92"/>
              <w:rPr>
                <w:color w:val="auto"/>
                <w:highlight w:val="none"/>
                <w:u w:val="none"/>
              </w:rPr>
            </w:pPr>
            <w:r>
              <w:rPr>
                <w:color w:val="auto"/>
                <w:highlight w:val="none"/>
                <w:u w:val="none"/>
              </w:rPr>
              <w:t>重要滨海湿地</w:t>
            </w:r>
          </w:p>
        </w:tc>
        <w:tc>
          <w:tcPr>
            <w:tcW w:w="456" w:type="pct"/>
            <w:vAlign w:val="center"/>
          </w:tcPr>
          <w:p w14:paraId="78F5B766">
            <w:pPr>
              <w:pStyle w:val="92"/>
              <w:rPr>
                <w:color w:val="auto"/>
                <w:highlight w:val="none"/>
                <w:u w:val="none"/>
              </w:rPr>
            </w:pPr>
            <w:r>
              <w:rPr>
                <w:color w:val="auto"/>
                <w:highlight w:val="none"/>
                <w:u w:val="none"/>
              </w:rPr>
              <w:t>W，</w:t>
            </w:r>
            <w:r>
              <w:rPr>
                <w:rFonts w:hint="eastAsia"/>
                <w:color w:val="auto"/>
                <w:highlight w:val="none"/>
                <w:u w:val="none"/>
              </w:rPr>
              <w:t>391</w:t>
            </w:r>
            <w:r>
              <w:rPr>
                <w:color w:val="auto"/>
                <w:highlight w:val="none"/>
                <w:u w:val="none"/>
              </w:rPr>
              <w:t>m</w:t>
            </w:r>
          </w:p>
        </w:tc>
        <w:tc>
          <w:tcPr>
            <w:tcW w:w="409" w:type="pct"/>
            <w:vAlign w:val="center"/>
          </w:tcPr>
          <w:p w14:paraId="0589B2E1">
            <w:pPr>
              <w:pStyle w:val="92"/>
              <w:rPr>
                <w:color w:val="auto"/>
                <w:highlight w:val="none"/>
                <w:u w:val="none"/>
              </w:rPr>
            </w:pPr>
            <w:r>
              <w:rPr>
                <w:color w:val="auto"/>
                <w:highlight w:val="none"/>
                <w:u w:val="none"/>
              </w:rPr>
              <w:t>湿地生态系统；珍稀濒危动物物种；水禽生境</w:t>
            </w:r>
          </w:p>
        </w:tc>
        <w:tc>
          <w:tcPr>
            <w:tcW w:w="3087" w:type="pct"/>
            <w:vAlign w:val="center"/>
          </w:tcPr>
          <w:p w14:paraId="0EA007BB">
            <w:pPr>
              <w:pStyle w:val="92"/>
              <w:jc w:val="left"/>
              <w:rPr>
                <w:color w:val="auto"/>
                <w:highlight w:val="none"/>
                <w:u w:val="none"/>
              </w:rPr>
            </w:pPr>
            <w:r>
              <w:rPr>
                <w:color w:val="auto"/>
                <w:highlight w:val="none"/>
                <w:u w:val="none"/>
              </w:rPr>
              <w:t>管控措施：维持海域自然属性，保持自然岸线形态、长度，保持海底地形、海洋水动力环境稳定。禁止围填海、矿产资源开发、底土开挖等可能改变海域自然属性、破坏湿地生态系统功能和生态保护对象的开发活动，限制沿岸生产养殖活动；生产设施与水禽筑巢区、觅食及栖息地等集中分布区须保留安全距离；禁止高噪音等惊扰鸟类的作业，禁止大面积使用栖息水鸟害怕的颜色。在受损的滨海湿地，综合运用生态廊道、退养还湿、植被恢复、海岸生态防护等手段，恢复湿地生态系统功能。确需在生态保护红线区内进行渔业及执法码头、陆岛交通码头、道路交通、航道锚地、海底管线、能源等公益或公共基础设施建设的，要经严格科学论证并经相关主管部门审批后实施。环境保护要求：按照海洋环境保护法律法规及相关规划要求进行管理，禁止排放有害有毒的污水、油类、油性混合物、热污染物及其他污染物和废弃物，禁止新设污染物集中排放口，禁止倾废，改善海洋环境质量。</w:t>
            </w:r>
          </w:p>
        </w:tc>
      </w:tr>
      <w:tr w14:paraId="1DBE0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5EB55BBD">
            <w:pPr>
              <w:pStyle w:val="92"/>
              <w:rPr>
                <w:color w:val="auto"/>
                <w:highlight w:val="none"/>
                <w:u w:val="none"/>
              </w:rPr>
            </w:pPr>
            <w:r>
              <w:rPr>
                <w:color w:val="auto"/>
                <w:highlight w:val="none"/>
                <w:u w:val="none"/>
              </w:rPr>
              <w:t>350303-EST-Ⅱ-02</w:t>
            </w:r>
          </w:p>
        </w:tc>
        <w:tc>
          <w:tcPr>
            <w:tcW w:w="447" w:type="pct"/>
            <w:vAlign w:val="center"/>
          </w:tcPr>
          <w:p w14:paraId="6E8D392D">
            <w:pPr>
              <w:pStyle w:val="92"/>
              <w:rPr>
                <w:color w:val="auto"/>
                <w:highlight w:val="none"/>
                <w:u w:val="none"/>
              </w:rPr>
            </w:pPr>
            <w:r>
              <w:rPr>
                <w:color w:val="auto"/>
                <w:highlight w:val="none"/>
                <w:u w:val="none"/>
              </w:rPr>
              <w:t>萩芦溪重要河口生态保护红线区</w:t>
            </w:r>
          </w:p>
        </w:tc>
        <w:tc>
          <w:tcPr>
            <w:tcW w:w="248" w:type="pct"/>
            <w:vAlign w:val="center"/>
          </w:tcPr>
          <w:p w14:paraId="3AD7532E">
            <w:pPr>
              <w:pStyle w:val="92"/>
              <w:rPr>
                <w:color w:val="auto"/>
                <w:highlight w:val="none"/>
                <w:u w:val="none"/>
              </w:rPr>
            </w:pPr>
            <w:r>
              <w:rPr>
                <w:color w:val="auto"/>
                <w:highlight w:val="none"/>
                <w:u w:val="none"/>
              </w:rPr>
              <w:t>重要河口</w:t>
            </w:r>
          </w:p>
        </w:tc>
        <w:tc>
          <w:tcPr>
            <w:tcW w:w="456" w:type="pct"/>
            <w:vAlign w:val="center"/>
          </w:tcPr>
          <w:p w14:paraId="719EF1D6">
            <w:pPr>
              <w:pStyle w:val="92"/>
              <w:rPr>
                <w:color w:val="auto"/>
                <w:highlight w:val="none"/>
                <w:u w:val="none"/>
              </w:rPr>
            </w:pPr>
            <w:r>
              <w:rPr>
                <w:color w:val="auto"/>
                <w:highlight w:val="none"/>
                <w:u w:val="none"/>
              </w:rPr>
              <w:t>W，</w:t>
            </w:r>
            <w:r>
              <w:rPr>
                <w:rFonts w:hint="eastAsia"/>
                <w:color w:val="auto"/>
                <w:highlight w:val="none"/>
                <w:u w:val="none"/>
              </w:rPr>
              <w:t>2038</w:t>
            </w:r>
            <w:r>
              <w:rPr>
                <w:color w:val="auto"/>
                <w:highlight w:val="none"/>
                <w:u w:val="none"/>
              </w:rPr>
              <w:t>m</w:t>
            </w:r>
          </w:p>
        </w:tc>
        <w:tc>
          <w:tcPr>
            <w:tcW w:w="409" w:type="pct"/>
            <w:vAlign w:val="center"/>
          </w:tcPr>
          <w:p w14:paraId="79B08EAF">
            <w:pPr>
              <w:pStyle w:val="92"/>
              <w:rPr>
                <w:color w:val="auto"/>
                <w:highlight w:val="none"/>
                <w:u w:val="none"/>
              </w:rPr>
            </w:pPr>
            <w:r>
              <w:rPr>
                <w:color w:val="auto"/>
                <w:highlight w:val="none"/>
                <w:u w:val="none"/>
              </w:rPr>
              <w:t>河口生态系统与珍稀濒危鸟类</w:t>
            </w:r>
          </w:p>
        </w:tc>
        <w:tc>
          <w:tcPr>
            <w:tcW w:w="3087" w:type="pct"/>
            <w:vAlign w:val="center"/>
          </w:tcPr>
          <w:p w14:paraId="055EB7CE">
            <w:pPr>
              <w:pStyle w:val="92"/>
              <w:jc w:val="left"/>
              <w:rPr>
                <w:color w:val="auto"/>
                <w:highlight w:val="none"/>
                <w:u w:val="none"/>
              </w:rPr>
            </w:pPr>
            <w:r>
              <w:rPr>
                <w:color w:val="auto"/>
                <w:highlight w:val="none"/>
                <w:u w:val="none"/>
              </w:rPr>
              <w:t>管控措施：保护河口生态系统，保护珍稀濒危鸟类，保障渔业资源自然繁殖空间，兼容道路交通等民生基础设施，严格限制改变海域的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改善海洋环境质量。</w:t>
            </w:r>
          </w:p>
        </w:tc>
      </w:tr>
      <w:tr w14:paraId="7A1AC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1D231DFB">
            <w:pPr>
              <w:pStyle w:val="92"/>
              <w:rPr>
                <w:color w:val="auto"/>
                <w:highlight w:val="none"/>
                <w:u w:val="none"/>
              </w:rPr>
            </w:pPr>
            <w:r>
              <w:rPr>
                <w:color w:val="auto"/>
                <w:highlight w:val="none"/>
                <w:u w:val="none"/>
              </w:rPr>
              <w:t>350300-FSH-Ⅱ-01</w:t>
            </w:r>
          </w:p>
        </w:tc>
        <w:tc>
          <w:tcPr>
            <w:tcW w:w="447" w:type="pct"/>
            <w:vAlign w:val="center"/>
          </w:tcPr>
          <w:p w14:paraId="6741EB7D">
            <w:pPr>
              <w:pStyle w:val="92"/>
              <w:rPr>
                <w:color w:val="auto"/>
                <w:highlight w:val="none"/>
                <w:u w:val="none"/>
              </w:rPr>
            </w:pPr>
            <w:r>
              <w:rPr>
                <w:color w:val="auto"/>
                <w:highlight w:val="none"/>
                <w:u w:val="none"/>
              </w:rPr>
              <w:t>木兰溪</w:t>
            </w:r>
            <w:r>
              <w:rPr>
                <w:rFonts w:hint="eastAsia"/>
                <w:color w:val="auto"/>
                <w:highlight w:val="none"/>
                <w:u w:val="none"/>
              </w:rPr>
              <w:t>口</w:t>
            </w:r>
            <w:r>
              <w:rPr>
                <w:color w:val="auto"/>
                <w:highlight w:val="none"/>
                <w:u w:val="none"/>
              </w:rPr>
              <w:t>重要渔业水域生态保护红线区</w:t>
            </w:r>
          </w:p>
        </w:tc>
        <w:tc>
          <w:tcPr>
            <w:tcW w:w="248" w:type="pct"/>
            <w:vAlign w:val="center"/>
          </w:tcPr>
          <w:p w14:paraId="66F41B49">
            <w:pPr>
              <w:pStyle w:val="92"/>
              <w:rPr>
                <w:color w:val="auto"/>
                <w:highlight w:val="none"/>
                <w:u w:val="none"/>
              </w:rPr>
            </w:pPr>
            <w:r>
              <w:rPr>
                <w:color w:val="auto"/>
                <w:highlight w:val="none"/>
                <w:u w:val="none"/>
              </w:rPr>
              <w:t>重要渔业水域</w:t>
            </w:r>
          </w:p>
        </w:tc>
        <w:tc>
          <w:tcPr>
            <w:tcW w:w="456" w:type="pct"/>
            <w:vAlign w:val="center"/>
          </w:tcPr>
          <w:p w14:paraId="3DC7A98B">
            <w:pPr>
              <w:pStyle w:val="92"/>
              <w:rPr>
                <w:color w:val="auto"/>
                <w:highlight w:val="none"/>
                <w:u w:val="none"/>
              </w:rPr>
            </w:pPr>
            <w:r>
              <w:rPr>
                <w:color w:val="auto"/>
                <w:highlight w:val="none"/>
                <w:u w:val="none"/>
              </w:rPr>
              <w:t>SW，2</w:t>
            </w:r>
            <w:r>
              <w:rPr>
                <w:rFonts w:hint="eastAsia"/>
                <w:color w:val="auto"/>
                <w:highlight w:val="none"/>
                <w:u w:val="none"/>
              </w:rPr>
              <w:t>250</w:t>
            </w:r>
            <w:r>
              <w:rPr>
                <w:color w:val="auto"/>
                <w:highlight w:val="none"/>
                <w:u w:val="none"/>
              </w:rPr>
              <w:t>m</w:t>
            </w:r>
          </w:p>
        </w:tc>
        <w:tc>
          <w:tcPr>
            <w:tcW w:w="409" w:type="pct"/>
            <w:vAlign w:val="center"/>
          </w:tcPr>
          <w:p w14:paraId="2FC01429">
            <w:pPr>
              <w:pStyle w:val="92"/>
              <w:rPr>
                <w:color w:val="auto"/>
                <w:highlight w:val="none"/>
                <w:u w:val="none"/>
              </w:rPr>
            </w:pPr>
            <w:r>
              <w:rPr>
                <w:color w:val="auto"/>
                <w:highlight w:val="none"/>
                <w:u w:val="none"/>
              </w:rPr>
              <w:t>保护洄游鳗苗等重要渔业种苗资源</w:t>
            </w:r>
          </w:p>
        </w:tc>
        <w:tc>
          <w:tcPr>
            <w:tcW w:w="3087" w:type="pct"/>
            <w:vAlign w:val="center"/>
          </w:tcPr>
          <w:p w14:paraId="76D23A7D">
            <w:pPr>
              <w:pStyle w:val="92"/>
              <w:jc w:val="left"/>
              <w:rPr>
                <w:color w:val="auto"/>
                <w:highlight w:val="none"/>
                <w:u w:val="none"/>
              </w:rPr>
            </w:pPr>
            <w:r>
              <w:rPr>
                <w:color w:val="auto"/>
                <w:highlight w:val="none"/>
                <w:u w:val="none"/>
              </w:rPr>
              <w:t>管控措施：每年十月至翌年四月为鳗苗旺发期，实行有序有度采捕；禁止截断洄游通道的开发活动；禁止破坏性捕捞方式；严格执行禁渔期、禁渔区制度以及渔具渔法规定。开展增殖放流活动，保护和恢复水产资源。维持海域自然属性，保护渔业资源产卵场、育幼场、索饵场和洄游通道。禁止截断洄游通道的等开发活动；禁止破坏性捕捞方式，合理有序开展捕捞作业；严格执行禁渔期、禁渔区制度以及渔具渔法规定。允许符合规划的港口和航道用海。可适度进行养殖用海，注意控制养殖密度和养殖方式，减少养殖污染，提倡生态养殖。开展增殖放流活动，保护和恢复水产资源。保障渔业资源自然繁殖空间，兼容道路交通等民生基础设施，严格限制改变海域自然属性。环境保护要求：按照海洋环境保护法律法规及相关规划要求进行管理，防止船舶污水、溢油及化学品泄漏等对渔业水域水质造成不利影响，改善海洋环境质量。</w:t>
            </w:r>
          </w:p>
        </w:tc>
      </w:tr>
      <w:tr w14:paraId="5F0DB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70323E82">
            <w:pPr>
              <w:pStyle w:val="92"/>
              <w:rPr>
                <w:color w:val="auto"/>
                <w:highlight w:val="none"/>
                <w:u w:val="none"/>
              </w:rPr>
            </w:pPr>
            <w:r>
              <w:rPr>
                <w:color w:val="auto"/>
                <w:highlight w:val="none"/>
                <w:u w:val="none"/>
              </w:rPr>
              <w:t>350300-EST-Ⅱ-01</w:t>
            </w:r>
          </w:p>
        </w:tc>
        <w:tc>
          <w:tcPr>
            <w:tcW w:w="447" w:type="pct"/>
            <w:vAlign w:val="center"/>
          </w:tcPr>
          <w:p w14:paraId="5294F30B">
            <w:pPr>
              <w:pStyle w:val="92"/>
              <w:rPr>
                <w:color w:val="auto"/>
                <w:highlight w:val="none"/>
                <w:u w:val="none"/>
              </w:rPr>
            </w:pPr>
            <w:r>
              <w:rPr>
                <w:color w:val="auto"/>
                <w:highlight w:val="none"/>
                <w:u w:val="none"/>
              </w:rPr>
              <w:t>木兰溪重要河口生态保护红线区</w:t>
            </w:r>
          </w:p>
        </w:tc>
        <w:tc>
          <w:tcPr>
            <w:tcW w:w="248" w:type="pct"/>
            <w:vAlign w:val="center"/>
          </w:tcPr>
          <w:p w14:paraId="373CC38A">
            <w:pPr>
              <w:pStyle w:val="92"/>
              <w:rPr>
                <w:color w:val="auto"/>
                <w:highlight w:val="none"/>
                <w:u w:val="none"/>
              </w:rPr>
            </w:pPr>
            <w:r>
              <w:rPr>
                <w:color w:val="auto"/>
                <w:highlight w:val="none"/>
                <w:u w:val="none"/>
              </w:rPr>
              <w:t>重要河口</w:t>
            </w:r>
          </w:p>
        </w:tc>
        <w:tc>
          <w:tcPr>
            <w:tcW w:w="456" w:type="pct"/>
            <w:vAlign w:val="center"/>
          </w:tcPr>
          <w:p w14:paraId="3126571B">
            <w:pPr>
              <w:pStyle w:val="92"/>
              <w:rPr>
                <w:color w:val="auto"/>
                <w:highlight w:val="none"/>
                <w:u w:val="none"/>
              </w:rPr>
            </w:pPr>
            <w:r>
              <w:rPr>
                <w:color w:val="auto"/>
                <w:highlight w:val="none"/>
                <w:u w:val="none"/>
              </w:rPr>
              <w:t>SW，8</w:t>
            </w:r>
            <w:r>
              <w:rPr>
                <w:rFonts w:hint="eastAsia"/>
                <w:color w:val="auto"/>
                <w:highlight w:val="none"/>
                <w:u w:val="none"/>
              </w:rPr>
              <w:t>580</w:t>
            </w:r>
            <w:r>
              <w:rPr>
                <w:color w:val="auto"/>
                <w:highlight w:val="none"/>
                <w:u w:val="none"/>
              </w:rPr>
              <w:t>m</w:t>
            </w:r>
          </w:p>
        </w:tc>
        <w:tc>
          <w:tcPr>
            <w:tcW w:w="409" w:type="pct"/>
            <w:vAlign w:val="center"/>
          </w:tcPr>
          <w:p w14:paraId="26E875B6">
            <w:pPr>
              <w:pStyle w:val="92"/>
              <w:rPr>
                <w:color w:val="auto"/>
                <w:highlight w:val="none"/>
                <w:u w:val="none"/>
              </w:rPr>
            </w:pPr>
            <w:r>
              <w:rPr>
                <w:color w:val="auto"/>
                <w:highlight w:val="none"/>
                <w:u w:val="none"/>
              </w:rPr>
              <w:t>河口生态系统与珍稀濒危鸟类</w:t>
            </w:r>
          </w:p>
        </w:tc>
        <w:tc>
          <w:tcPr>
            <w:tcW w:w="3087" w:type="pct"/>
            <w:vAlign w:val="center"/>
          </w:tcPr>
          <w:p w14:paraId="3EF884DC">
            <w:pPr>
              <w:pStyle w:val="92"/>
              <w:jc w:val="left"/>
              <w:rPr>
                <w:color w:val="auto"/>
                <w:highlight w:val="none"/>
                <w:u w:val="none"/>
              </w:rPr>
            </w:pPr>
            <w:r>
              <w:rPr>
                <w:color w:val="auto"/>
                <w:highlight w:val="none"/>
                <w:u w:val="none"/>
              </w:rPr>
              <w:t>管控措施：保护河口生态系统，保护珍稀濒危鸟类，保障渔业资源自然繁殖空间，兼容道路交通等民生基础设施，严格限制改变海域的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改善海洋环境质量。</w:t>
            </w:r>
          </w:p>
        </w:tc>
      </w:tr>
      <w:tr w14:paraId="2E958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2C85B13D">
            <w:pPr>
              <w:pStyle w:val="92"/>
              <w:rPr>
                <w:color w:val="auto"/>
                <w:highlight w:val="none"/>
                <w:u w:val="none"/>
              </w:rPr>
            </w:pPr>
            <w:r>
              <w:rPr>
                <w:color w:val="auto"/>
                <w:highlight w:val="none"/>
                <w:u w:val="none"/>
              </w:rPr>
              <w:t xml:space="preserve">350305-FSH-Ⅱ-02 </w:t>
            </w:r>
          </w:p>
        </w:tc>
        <w:tc>
          <w:tcPr>
            <w:tcW w:w="447" w:type="pct"/>
            <w:vAlign w:val="center"/>
          </w:tcPr>
          <w:p w14:paraId="1FED4C5A">
            <w:pPr>
              <w:pStyle w:val="92"/>
              <w:rPr>
                <w:color w:val="auto"/>
                <w:highlight w:val="none"/>
                <w:u w:val="none"/>
              </w:rPr>
            </w:pPr>
            <w:r>
              <w:rPr>
                <w:color w:val="auto"/>
                <w:highlight w:val="none"/>
                <w:u w:val="none"/>
              </w:rPr>
              <w:t>筶杯岛南面重要渔业水域生态保护红线区</w:t>
            </w:r>
          </w:p>
        </w:tc>
        <w:tc>
          <w:tcPr>
            <w:tcW w:w="248" w:type="pct"/>
            <w:vAlign w:val="center"/>
          </w:tcPr>
          <w:p w14:paraId="6D96CE57">
            <w:pPr>
              <w:pStyle w:val="92"/>
              <w:rPr>
                <w:color w:val="auto"/>
                <w:highlight w:val="none"/>
                <w:u w:val="none"/>
              </w:rPr>
            </w:pPr>
            <w:r>
              <w:rPr>
                <w:color w:val="auto"/>
                <w:highlight w:val="none"/>
                <w:u w:val="none"/>
              </w:rPr>
              <w:t>重要渔业水域</w:t>
            </w:r>
          </w:p>
        </w:tc>
        <w:tc>
          <w:tcPr>
            <w:tcW w:w="456" w:type="pct"/>
            <w:vAlign w:val="center"/>
          </w:tcPr>
          <w:p w14:paraId="4D76E1E8">
            <w:pPr>
              <w:pStyle w:val="92"/>
              <w:rPr>
                <w:color w:val="auto"/>
                <w:highlight w:val="none"/>
                <w:u w:val="none"/>
              </w:rPr>
            </w:pPr>
            <w:r>
              <w:rPr>
                <w:color w:val="auto"/>
                <w:highlight w:val="none"/>
                <w:u w:val="none"/>
              </w:rPr>
              <w:t>S，1</w:t>
            </w:r>
            <w:r>
              <w:rPr>
                <w:rFonts w:hint="eastAsia"/>
                <w:color w:val="auto"/>
                <w:highlight w:val="none"/>
                <w:u w:val="none"/>
              </w:rPr>
              <w:t>21</w:t>
            </w:r>
            <w:r>
              <w:rPr>
                <w:color w:val="auto"/>
                <w:highlight w:val="none"/>
                <w:u w:val="none"/>
              </w:rPr>
              <w:t>00m</w:t>
            </w:r>
          </w:p>
        </w:tc>
        <w:tc>
          <w:tcPr>
            <w:tcW w:w="409" w:type="pct"/>
            <w:vAlign w:val="center"/>
          </w:tcPr>
          <w:p w14:paraId="64C55653">
            <w:pPr>
              <w:pStyle w:val="92"/>
              <w:rPr>
                <w:color w:val="auto"/>
                <w:highlight w:val="none"/>
                <w:u w:val="none"/>
              </w:rPr>
            </w:pPr>
            <w:r>
              <w:rPr>
                <w:color w:val="auto"/>
                <w:highlight w:val="none"/>
                <w:u w:val="none"/>
              </w:rPr>
              <w:t>保护巴菲蛤种质资源</w:t>
            </w:r>
          </w:p>
        </w:tc>
        <w:tc>
          <w:tcPr>
            <w:tcW w:w="3087" w:type="pct"/>
            <w:vAlign w:val="center"/>
          </w:tcPr>
          <w:p w14:paraId="018D8E37">
            <w:pPr>
              <w:pStyle w:val="92"/>
              <w:jc w:val="left"/>
              <w:rPr>
                <w:color w:val="auto"/>
                <w:highlight w:val="none"/>
                <w:u w:val="none"/>
              </w:rPr>
            </w:pPr>
            <w:r>
              <w:rPr>
                <w:color w:val="auto"/>
                <w:highlight w:val="none"/>
                <w:u w:val="none"/>
              </w:rPr>
              <w:t>管控措施：保护巴菲蛤种质资源，严格实施定期限量采捕；禁止破坏性捕捞方式；开展增殖放流活动，保护和恢复水产资源。维持海域自然属性，保护渔业资源产卵场、育幼场、索饵场和洄游通道。禁止截断洄游通道、水下爆破施工等开发活动；禁止破坏性捕捞方式，合理有序开展捕捞作业；严格执行禁渔期、禁渔区制度以及渔具渔法规定。允许符合规划的港口和航道用海。可适度进行养殖用海，注意控制养殖密度和养殖方式，减少养殖污染，提倡生态养殖。开展增殖放流活动，保护和恢复水产资源。保障渔业资源自然繁殖空间，兼容道路交通等民生基础设施，严格限制改变海域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防止船舶污水、溢油及化学品泄漏等对渔业水域水质造成不利影响，改善海洋环境质量。</w:t>
            </w:r>
          </w:p>
        </w:tc>
      </w:tr>
      <w:tr w14:paraId="63A91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38B12E3B">
            <w:pPr>
              <w:pStyle w:val="92"/>
              <w:rPr>
                <w:color w:val="auto"/>
                <w:highlight w:val="none"/>
                <w:u w:val="none"/>
              </w:rPr>
            </w:pPr>
            <w:r>
              <w:rPr>
                <w:color w:val="auto"/>
                <w:highlight w:val="none"/>
                <w:u w:val="none"/>
              </w:rPr>
              <w:t>350305-LCR-Ⅱ-01</w:t>
            </w:r>
          </w:p>
        </w:tc>
        <w:tc>
          <w:tcPr>
            <w:tcW w:w="447" w:type="pct"/>
            <w:vAlign w:val="center"/>
          </w:tcPr>
          <w:p w14:paraId="00475FE5">
            <w:pPr>
              <w:pStyle w:val="92"/>
              <w:rPr>
                <w:color w:val="auto"/>
                <w:highlight w:val="none"/>
                <w:u w:val="none"/>
              </w:rPr>
            </w:pPr>
            <w:r>
              <w:rPr>
                <w:color w:val="auto"/>
                <w:highlight w:val="none"/>
                <w:u w:val="none"/>
              </w:rPr>
              <w:t>苦鹅头海滩岩海洋自然景观与历史文化遗迹生态保护红线区</w:t>
            </w:r>
          </w:p>
        </w:tc>
        <w:tc>
          <w:tcPr>
            <w:tcW w:w="248" w:type="pct"/>
            <w:vAlign w:val="center"/>
          </w:tcPr>
          <w:p w14:paraId="4D3696E1">
            <w:pPr>
              <w:pStyle w:val="92"/>
              <w:rPr>
                <w:color w:val="auto"/>
                <w:highlight w:val="none"/>
                <w:u w:val="none"/>
              </w:rPr>
            </w:pPr>
            <w:r>
              <w:rPr>
                <w:color w:val="auto"/>
                <w:highlight w:val="none"/>
                <w:u w:val="none"/>
              </w:rPr>
              <w:t>自然景观与历史文化遗迹</w:t>
            </w:r>
          </w:p>
        </w:tc>
        <w:tc>
          <w:tcPr>
            <w:tcW w:w="456" w:type="pct"/>
            <w:vAlign w:val="center"/>
          </w:tcPr>
          <w:p w14:paraId="4247028B">
            <w:pPr>
              <w:pStyle w:val="92"/>
              <w:rPr>
                <w:color w:val="auto"/>
                <w:highlight w:val="none"/>
                <w:u w:val="none"/>
              </w:rPr>
            </w:pPr>
            <w:r>
              <w:rPr>
                <w:color w:val="auto"/>
                <w:highlight w:val="none"/>
                <w:u w:val="none"/>
              </w:rPr>
              <w:t>SW，1</w:t>
            </w:r>
            <w:r>
              <w:rPr>
                <w:rFonts w:hint="eastAsia"/>
                <w:color w:val="auto"/>
                <w:highlight w:val="none"/>
                <w:u w:val="none"/>
              </w:rPr>
              <w:t>307</w:t>
            </w:r>
            <w:r>
              <w:rPr>
                <w:color w:val="auto"/>
                <w:highlight w:val="none"/>
                <w:u w:val="none"/>
              </w:rPr>
              <w:t>0m</w:t>
            </w:r>
          </w:p>
        </w:tc>
        <w:tc>
          <w:tcPr>
            <w:tcW w:w="409" w:type="pct"/>
            <w:vAlign w:val="center"/>
          </w:tcPr>
          <w:p w14:paraId="39395754">
            <w:pPr>
              <w:pStyle w:val="92"/>
              <w:rPr>
                <w:color w:val="auto"/>
                <w:highlight w:val="none"/>
                <w:u w:val="none"/>
              </w:rPr>
            </w:pPr>
            <w:r>
              <w:rPr>
                <w:color w:val="auto"/>
                <w:highlight w:val="none"/>
                <w:u w:val="none"/>
              </w:rPr>
              <w:t>海滩岩自然遗迹</w:t>
            </w:r>
          </w:p>
        </w:tc>
        <w:tc>
          <w:tcPr>
            <w:tcW w:w="3087" w:type="pct"/>
            <w:vAlign w:val="center"/>
          </w:tcPr>
          <w:p w14:paraId="67D7FA45">
            <w:pPr>
              <w:pStyle w:val="92"/>
              <w:jc w:val="left"/>
              <w:rPr>
                <w:color w:val="auto"/>
                <w:highlight w:val="none"/>
                <w:u w:val="none"/>
              </w:rPr>
            </w:pPr>
            <w:r>
              <w:rPr>
                <w:color w:val="auto"/>
                <w:highlight w:val="none"/>
                <w:u w:val="none"/>
              </w:rPr>
              <w:t>管控措施：维持海岸自然景观和历史遗迹的原始风貌。禁止开展污染海洋环境、破坏岸滩整洁、排放海洋垃圾、引发岸滩蚀退等损害公众健康、妨碍公众亲水活动的开发活动。严格控制岸线附近的景区建设工程，严格限制占用沙滩和沿海防护林，严格限制近海养殖活动。可允许符合规划的港口与航道用海，允许适度进行交通和旅游基础设施建设。环境保护要求：按照海洋环境保护法律法规及相关规划要求进行管理，禁止排放有害有毒的污水、油类、油性混合物、热污染物及其他污染物和废弃物，禁止新设污染物集中排放口，已建集中排污口适时退出，禁止倾废，改善海洋环境质量。</w:t>
            </w:r>
          </w:p>
        </w:tc>
      </w:tr>
      <w:tr w14:paraId="4B651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68065740">
            <w:pPr>
              <w:pStyle w:val="92"/>
              <w:rPr>
                <w:color w:val="auto"/>
                <w:highlight w:val="none"/>
                <w:u w:val="none"/>
              </w:rPr>
            </w:pPr>
            <w:r>
              <w:rPr>
                <w:color w:val="auto"/>
                <w:highlight w:val="none"/>
                <w:u w:val="none"/>
              </w:rPr>
              <w:t>350305-FSH-Ⅱ-04</w:t>
            </w:r>
          </w:p>
        </w:tc>
        <w:tc>
          <w:tcPr>
            <w:tcW w:w="447" w:type="pct"/>
            <w:vAlign w:val="center"/>
          </w:tcPr>
          <w:p w14:paraId="564E1E25">
            <w:pPr>
              <w:pStyle w:val="92"/>
              <w:rPr>
                <w:color w:val="auto"/>
                <w:highlight w:val="none"/>
                <w:u w:val="none"/>
              </w:rPr>
            </w:pPr>
            <w:r>
              <w:rPr>
                <w:color w:val="auto"/>
                <w:highlight w:val="none"/>
                <w:u w:val="none"/>
              </w:rPr>
              <w:t>埭头田边重要渔业水域生态保护红线区</w:t>
            </w:r>
          </w:p>
        </w:tc>
        <w:tc>
          <w:tcPr>
            <w:tcW w:w="248" w:type="pct"/>
            <w:vAlign w:val="center"/>
          </w:tcPr>
          <w:p w14:paraId="0DE760DD">
            <w:pPr>
              <w:pStyle w:val="92"/>
              <w:rPr>
                <w:color w:val="auto"/>
                <w:highlight w:val="none"/>
                <w:u w:val="none"/>
              </w:rPr>
            </w:pPr>
            <w:r>
              <w:rPr>
                <w:color w:val="auto"/>
                <w:highlight w:val="none"/>
                <w:u w:val="none"/>
              </w:rPr>
              <w:t>重要渔业水域</w:t>
            </w:r>
          </w:p>
        </w:tc>
        <w:tc>
          <w:tcPr>
            <w:tcW w:w="456" w:type="pct"/>
            <w:vAlign w:val="center"/>
          </w:tcPr>
          <w:p w14:paraId="007BB596">
            <w:pPr>
              <w:pStyle w:val="92"/>
              <w:rPr>
                <w:color w:val="auto"/>
                <w:highlight w:val="none"/>
                <w:u w:val="none"/>
              </w:rPr>
            </w:pPr>
            <w:r>
              <w:rPr>
                <w:color w:val="auto"/>
                <w:highlight w:val="none"/>
                <w:u w:val="none"/>
              </w:rPr>
              <w:t>S，1</w:t>
            </w:r>
            <w:r>
              <w:rPr>
                <w:rFonts w:hint="eastAsia"/>
                <w:color w:val="auto"/>
                <w:highlight w:val="none"/>
                <w:u w:val="none"/>
              </w:rPr>
              <w:t>3724</w:t>
            </w:r>
            <w:r>
              <w:rPr>
                <w:color w:val="auto"/>
                <w:highlight w:val="none"/>
                <w:u w:val="none"/>
              </w:rPr>
              <w:t>m</w:t>
            </w:r>
          </w:p>
        </w:tc>
        <w:tc>
          <w:tcPr>
            <w:tcW w:w="409" w:type="pct"/>
            <w:vAlign w:val="center"/>
          </w:tcPr>
          <w:p w14:paraId="24F1F0EB">
            <w:pPr>
              <w:pStyle w:val="92"/>
              <w:rPr>
                <w:color w:val="auto"/>
                <w:highlight w:val="none"/>
                <w:u w:val="none"/>
              </w:rPr>
            </w:pPr>
            <w:r>
              <w:rPr>
                <w:color w:val="auto"/>
                <w:highlight w:val="none"/>
                <w:u w:val="none"/>
              </w:rPr>
              <w:t>保护褶牡蛎种质资源及其生境</w:t>
            </w:r>
          </w:p>
        </w:tc>
        <w:tc>
          <w:tcPr>
            <w:tcW w:w="3087" w:type="pct"/>
            <w:vAlign w:val="center"/>
          </w:tcPr>
          <w:p w14:paraId="70B42E67">
            <w:pPr>
              <w:pStyle w:val="92"/>
              <w:jc w:val="left"/>
              <w:rPr>
                <w:color w:val="auto"/>
                <w:highlight w:val="none"/>
                <w:u w:val="none"/>
              </w:rPr>
            </w:pPr>
            <w:r>
              <w:rPr>
                <w:color w:val="auto"/>
                <w:highlight w:val="none"/>
                <w:u w:val="none"/>
              </w:rPr>
              <w:t>管控措施：每年立夏季节前后一个月左右为附苗时间，实施严格管理；禁止破坏性捕捞方式；开展增殖放流活动，保护和恢复水产资源。保障渔业资源自然繁殖空间，兼容道路交通等民生基础设施，严格限制改变海域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防止船舶污水、溢油及化学品泄漏等对渔业水域水质造成不利影响，改善海洋环境质量。</w:t>
            </w:r>
          </w:p>
        </w:tc>
      </w:tr>
      <w:tr w14:paraId="40E50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7F7A07F9">
            <w:pPr>
              <w:pStyle w:val="92"/>
              <w:rPr>
                <w:color w:val="auto"/>
                <w:highlight w:val="none"/>
                <w:u w:val="none"/>
              </w:rPr>
            </w:pPr>
            <w:r>
              <w:rPr>
                <w:color w:val="auto"/>
                <w:highlight w:val="none"/>
                <w:u w:val="none"/>
              </w:rPr>
              <w:t>350300-NCS-Ⅱ-01</w:t>
            </w:r>
          </w:p>
        </w:tc>
        <w:tc>
          <w:tcPr>
            <w:tcW w:w="447" w:type="pct"/>
            <w:vAlign w:val="center"/>
          </w:tcPr>
          <w:p w14:paraId="0790DCC9">
            <w:pPr>
              <w:pStyle w:val="92"/>
              <w:rPr>
                <w:color w:val="auto"/>
                <w:highlight w:val="none"/>
                <w:u w:val="none"/>
              </w:rPr>
            </w:pPr>
            <w:r>
              <w:rPr>
                <w:color w:val="auto"/>
                <w:highlight w:val="none"/>
                <w:u w:val="none"/>
              </w:rPr>
              <w:t>黄岐至淇沪重要自然岸线及沙源保护海域生态保护红线区</w:t>
            </w:r>
          </w:p>
        </w:tc>
        <w:tc>
          <w:tcPr>
            <w:tcW w:w="248" w:type="pct"/>
            <w:vAlign w:val="center"/>
          </w:tcPr>
          <w:p w14:paraId="5B72D246">
            <w:pPr>
              <w:pStyle w:val="92"/>
              <w:rPr>
                <w:color w:val="auto"/>
                <w:highlight w:val="none"/>
                <w:u w:val="none"/>
              </w:rPr>
            </w:pPr>
            <w:r>
              <w:rPr>
                <w:color w:val="auto"/>
                <w:highlight w:val="none"/>
                <w:u w:val="none"/>
              </w:rPr>
              <w:t>重要自然岸线及沙源保护海域</w:t>
            </w:r>
          </w:p>
        </w:tc>
        <w:tc>
          <w:tcPr>
            <w:tcW w:w="456" w:type="pct"/>
            <w:vAlign w:val="center"/>
          </w:tcPr>
          <w:p w14:paraId="5EF9BDAA">
            <w:pPr>
              <w:pStyle w:val="92"/>
              <w:rPr>
                <w:color w:val="auto"/>
                <w:highlight w:val="none"/>
                <w:u w:val="none"/>
              </w:rPr>
            </w:pPr>
            <w:r>
              <w:rPr>
                <w:color w:val="auto"/>
                <w:highlight w:val="none"/>
                <w:u w:val="none"/>
              </w:rPr>
              <w:t>SE，1</w:t>
            </w:r>
            <w:r>
              <w:rPr>
                <w:rFonts w:hint="eastAsia"/>
                <w:color w:val="auto"/>
                <w:highlight w:val="none"/>
                <w:u w:val="none"/>
              </w:rPr>
              <w:t>5175</w:t>
            </w:r>
            <w:r>
              <w:rPr>
                <w:color w:val="auto"/>
                <w:highlight w:val="none"/>
                <w:u w:val="none"/>
              </w:rPr>
              <w:t>m</w:t>
            </w:r>
          </w:p>
        </w:tc>
        <w:tc>
          <w:tcPr>
            <w:tcW w:w="409" w:type="pct"/>
            <w:vAlign w:val="center"/>
          </w:tcPr>
          <w:p w14:paraId="2DEE14BA">
            <w:pPr>
              <w:pStyle w:val="92"/>
              <w:rPr>
                <w:color w:val="auto"/>
                <w:highlight w:val="none"/>
                <w:u w:val="none"/>
              </w:rPr>
            </w:pPr>
            <w:r>
              <w:rPr>
                <w:color w:val="auto"/>
                <w:highlight w:val="none"/>
                <w:u w:val="none"/>
              </w:rPr>
              <w:t>保护沙滩自然岸线</w:t>
            </w:r>
          </w:p>
        </w:tc>
        <w:tc>
          <w:tcPr>
            <w:tcW w:w="3087" w:type="pct"/>
            <w:vAlign w:val="center"/>
          </w:tcPr>
          <w:p w14:paraId="219DE19D">
            <w:pPr>
              <w:pStyle w:val="92"/>
              <w:jc w:val="left"/>
              <w:rPr>
                <w:color w:val="auto"/>
                <w:highlight w:val="none"/>
                <w:u w:val="none"/>
              </w:rPr>
            </w:pPr>
            <w:r>
              <w:rPr>
                <w:color w:val="auto"/>
                <w:highlight w:val="none"/>
                <w:u w:val="none"/>
              </w:rPr>
              <w:t>管控措施：维持岸线自然属性，严格保持自然岸线形态、长度，保持海岸原始景观。禁止挖砂、采石、倾倒、垃圾填埋等破坏沙滩或诱发岸滩蚀退的开发活动。可适度进行沿岸交通、旅游及其他基础设施建设，建设活动应以不破坏岸线核心自然景观为前提。清理不合理的岸线占用项目，整治影响岸滩稳定和滨海旅游活动的设施，实施岸线整治修复工程，清理海岸垃圾、碎石等废弃物，加强沿海防护林建设和养护，恢复岸线的自然属性和景观。保障渔业资源自然繁殖空间，兼容道路交通等民生基础设施，严格限制改变海域自然属性。环境保护要求：按照海洋环境保护法律法规及相关规划要求进行管理，改善海洋环境质量，防治海岸侵蚀灾害，维持自然岸线。</w:t>
            </w:r>
          </w:p>
        </w:tc>
      </w:tr>
      <w:tr w14:paraId="621D7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2D4293E1">
            <w:pPr>
              <w:pStyle w:val="92"/>
              <w:rPr>
                <w:color w:val="auto"/>
                <w:highlight w:val="none"/>
                <w:u w:val="none"/>
              </w:rPr>
            </w:pPr>
            <w:r>
              <w:rPr>
                <w:color w:val="auto"/>
                <w:highlight w:val="none"/>
                <w:u w:val="none"/>
              </w:rPr>
              <w:t>350100-MPA-Ⅰ-09</w:t>
            </w:r>
          </w:p>
        </w:tc>
        <w:tc>
          <w:tcPr>
            <w:tcW w:w="447" w:type="pct"/>
            <w:vAlign w:val="center"/>
          </w:tcPr>
          <w:p w14:paraId="6E2FFB6C">
            <w:pPr>
              <w:pStyle w:val="92"/>
              <w:rPr>
                <w:color w:val="auto"/>
                <w:highlight w:val="none"/>
                <w:u w:val="none"/>
              </w:rPr>
            </w:pPr>
            <w:r>
              <w:rPr>
                <w:color w:val="auto"/>
                <w:highlight w:val="none"/>
                <w:u w:val="none"/>
              </w:rPr>
              <w:t>福清兴化湾鸟类海洋保护区生态保护红线区</w:t>
            </w:r>
          </w:p>
        </w:tc>
        <w:tc>
          <w:tcPr>
            <w:tcW w:w="248" w:type="pct"/>
            <w:vAlign w:val="center"/>
          </w:tcPr>
          <w:p w14:paraId="41CD5286">
            <w:pPr>
              <w:pStyle w:val="92"/>
              <w:rPr>
                <w:color w:val="auto"/>
                <w:highlight w:val="none"/>
                <w:u w:val="none"/>
              </w:rPr>
            </w:pPr>
            <w:r>
              <w:rPr>
                <w:color w:val="auto"/>
                <w:highlight w:val="none"/>
                <w:u w:val="none"/>
              </w:rPr>
              <w:t>海洋保护区</w:t>
            </w:r>
          </w:p>
        </w:tc>
        <w:tc>
          <w:tcPr>
            <w:tcW w:w="456" w:type="pct"/>
            <w:vAlign w:val="center"/>
          </w:tcPr>
          <w:p w14:paraId="7CE3B4EB">
            <w:pPr>
              <w:pStyle w:val="92"/>
              <w:rPr>
                <w:color w:val="auto"/>
                <w:highlight w:val="none"/>
                <w:u w:val="none"/>
              </w:rPr>
            </w:pPr>
            <w:r>
              <w:rPr>
                <w:color w:val="auto"/>
                <w:highlight w:val="none"/>
                <w:u w:val="none"/>
              </w:rPr>
              <w:t>NE，</w:t>
            </w:r>
            <w:r>
              <w:rPr>
                <w:rFonts w:hint="eastAsia"/>
                <w:color w:val="auto"/>
                <w:highlight w:val="none"/>
                <w:u w:val="none"/>
              </w:rPr>
              <w:t>7924</w:t>
            </w:r>
            <w:r>
              <w:rPr>
                <w:color w:val="auto"/>
                <w:highlight w:val="none"/>
                <w:u w:val="none"/>
              </w:rPr>
              <w:t>m</w:t>
            </w:r>
          </w:p>
        </w:tc>
        <w:tc>
          <w:tcPr>
            <w:tcW w:w="409" w:type="pct"/>
            <w:vAlign w:val="center"/>
          </w:tcPr>
          <w:p w14:paraId="46A09E32">
            <w:pPr>
              <w:pStyle w:val="92"/>
              <w:rPr>
                <w:color w:val="auto"/>
                <w:highlight w:val="none"/>
                <w:u w:val="none"/>
              </w:rPr>
            </w:pPr>
            <w:r>
              <w:rPr>
                <w:color w:val="auto"/>
                <w:highlight w:val="none"/>
                <w:u w:val="none"/>
              </w:rPr>
              <w:t>湿地生态系统；红树林生态系统；珍稀濒危动物物种；水禽生境</w:t>
            </w:r>
          </w:p>
        </w:tc>
        <w:tc>
          <w:tcPr>
            <w:tcW w:w="3087" w:type="pct"/>
            <w:vAlign w:val="center"/>
          </w:tcPr>
          <w:p w14:paraId="1AE1C3B3">
            <w:pPr>
              <w:pStyle w:val="92"/>
              <w:jc w:val="left"/>
              <w:rPr>
                <w:color w:val="auto"/>
                <w:highlight w:val="none"/>
                <w:u w:val="none"/>
              </w:rPr>
            </w:pPr>
            <w:r>
              <w:rPr>
                <w:color w:val="auto"/>
                <w:highlight w:val="none"/>
                <w:u w:val="none"/>
              </w:rPr>
              <w:t>管控措施：执行《中华人民共和国自然保护区条例》、《海洋自然保护区管理办法》等相关法律法规和保护区管理规定。环境保护要求：按照海洋环境保护法律法规及相关规划要求进行管理，禁止排放有害有毒的污水、油类、油性混合物、热污染物及其他污染物和废弃物，禁止新设污染物集中排放口，禁止倾废，改善海洋环境质量。</w:t>
            </w:r>
          </w:p>
        </w:tc>
      </w:tr>
      <w:tr w14:paraId="37443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1EFFE85A">
            <w:pPr>
              <w:pStyle w:val="92"/>
              <w:rPr>
                <w:color w:val="auto"/>
                <w:highlight w:val="none"/>
                <w:u w:val="none"/>
              </w:rPr>
            </w:pPr>
            <w:r>
              <w:rPr>
                <w:color w:val="auto"/>
                <w:highlight w:val="none"/>
                <w:u w:val="none"/>
              </w:rPr>
              <w:t xml:space="preserve">350100-WET-Ⅱ-08 </w:t>
            </w:r>
          </w:p>
        </w:tc>
        <w:tc>
          <w:tcPr>
            <w:tcW w:w="447" w:type="pct"/>
            <w:vAlign w:val="center"/>
          </w:tcPr>
          <w:p w14:paraId="5A818907">
            <w:pPr>
              <w:pStyle w:val="92"/>
              <w:rPr>
                <w:color w:val="auto"/>
                <w:highlight w:val="none"/>
                <w:u w:val="none"/>
              </w:rPr>
            </w:pPr>
            <w:r>
              <w:rPr>
                <w:color w:val="auto"/>
                <w:highlight w:val="none"/>
                <w:u w:val="none"/>
              </w:rPr>
              <w:t>兴化湾江镜重要滨海湿地生态保护红线区</w:t>
            </w:r>
          </w:p>
        </w:tc>
        <w:tc>
          <w:tcPr>
            <w:tcW w:w="248" w:type="pct"/>
            <w:vAlign w:val="center"/>
          </w:tcPr>
          <w:p w14:paraId="3672C48F">
            <w:pPr>
              <w:pStyle w:val="92"/>
              <w:rPr>
                <w:color w:val="auto"/>
                <w:highlight w:val="none"/>
                <w:u w:val="none"/>
              </w:rPr>
            </w:pPr>
            <w:r>
              <w:rPr>
                <w:color w:val="auto"/>
                <w:highlight w:val="none"/>
                <w:u w:val="none"/>
              </w:rPr>
              <w:t>重要滨海湿地</w:t>
            </w:r>
          </w:p>
        </w:tc>
        <w:tc>
          <w:tcPr>
            <w:tcW w:w="456" w:type="pct"/>
            <w:vAlign w:val="center"/>
          </w:tcPr>
          <w:p w14:paraId="6BEB74D1">
            <w:pPr>
              <w:pStyle w:val="92"/>
              <w:rPr>
                <w:color w:val="auto"/>
                <w:highlight w:val="none"/>
                <w:u w:val="none"/>
              </w:rPr>
            </w:pPr>
            <w:r>
              <w:rPr>
                <w:color w:val="auto"/>
                <w:highlight w:val="none"/>
                <w:u w:val="none"/>
              </w:rPr>
              <w:t>NE，7</w:t>
            </w:r>
            <w:r>
              <w:rPr>
                <w:rFonts w:hint="eastAsia"/>
                <w:color w:val="auto"/>
                <w:highlight w:val="none"/>
                <w:u w:val="none"/>
              </w:rPr>
              <w:t>8</w:t>
            </w:r>
            <w:r>
              <w:rPr>
                <w:color w:val="auto"/>
                <w:highlight w:val="none"/>
                <w:u w:val="none"/>
              </w:rPr>
              <w:t>00m</w:t>
            </w:r>
          </w:p>
        </w:tc>
        <w:tc>
          <w:tcPr>
            <w:tcW w:w="409" w:type="pct"/>
            <w:vAlign w:val="center"/>
          </w:tcPr>
          <w:p w14:paraId="42ED7215">
            <w:pPr>
              <w:pStyle w:val="92"/>
              <w:rPr>
                <w:color w:val="auto"/>
                <w:highlight w:val="none"/>
                <w:u w:val="none"/>
              </w:rPr>
            </w:pPr>
            <w:r>
              <w:rPr>
                <w:color w:val="auto"/>
                <w:highlight w:val="none"/>
                <w:u w:val="none"/>
              </w:rPr>
              <w:t>湿地生态系统；红树林生态系统；珍稀濒危动物物种；水禽生境</w:t>
            </w:r>
          </w:p>
        </w:tc>
        <w:tc>
          <w:tcPr>
            <w:tcW w:w="3087" w:type="pct"/>
            <w:vAlign w:val="center"/>
          </w:tcPr>
          <w:p w14:paraId="2A3E68B8">
            <w:pPr>
              <w:pStyle w:val="92"/>
              <w:rPr>
                <w:color w:val="auto"/>
                <w:highlight w:val="none"/>
                <w:u w:val="none"/>
              </w:rPr>
            </w:pPr>
            <w:r>
              <w:rPr>
                <w:color w:val="auto"/>
                <w:highlight w:val="none"/>
                <w:u w:val="none"/>
              </w:rPr>
              <w:t>管控措施：维持海域自然属性，保持自然岸线形态、长度，保持海底地形、海洋水动力环境稳定。禁止围填海、矿产资源开发、底土开挖等可能改变海域自然属性、破坏湿地生态系统功能和生态保护对象的开发活动，限制沿岸生产养殖活动；生产设施与水禽筑巢区、觅食及栖息地等集中分布区须保留安全距离；禁止高噪音等惊扰鸟类的作业，禁止大面积使用栖息水鸟害怕的颜色。在受损的滨海湿地，综合运用生态廊道、退养还湿、植被恢复、海岸生态防护等手段，恢复湿地生态系统功能。确需在生态保护红线区内进行渔业及执法码头、陆岛交通码头、道路交通、航道锚地、海底管线、能源等公益或公共基础设施建设的，要经严格科学论证并经相关主管部门审批后实施。环境保护要求：按照海洋环境保护法律法规及相关规划要求进行管理，禁止排放有害有毒的污水、油类、油性混合物、热污染物及其他污染物和废弃物，禁止倾废，改善海洋环境质量。</w:t>
            </w:r>
          </w:p>
        </w:tc>
      </w:tr>
      <w:tr w14:paraId="675F5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4E7AD12F">
            <w:pPr>
              <w:pStyle w:val="92"/>
              <w:rPr>
                <w:color w:val="auto"/>
                <w:highlight w:val="none"/>
                <w:u w:val="none"/>
              </w:rPr>
            </w:pPr>
            <w:r>
              <w:rPr>
                <w:color w:val="auto"/>
                <w:highlight w:val="none"/>
                <w:u w:val="none"/>
              </w:rPr>
              <w:t>350305-FSH-Ⅱ-03</w:t>
            </w:r>
          </w:p>
        </w:tc>
        <w:tc>
          <w:tcPr>
            <w:tcW w:w="447" w:type="pct"/>
            <w:vAlign w:val="center"/>
          </w:tcPr>
          <w:p w14:paraId="58B7E8EA">
            <w:pPr>
              <w:pStyle w:val="92"/>
              <w:rPr>
                <w:color w:val="auto"/>
                <w:highlight w:val="none"/>
                <w:u w:val="none"/>
              </w:rPr>
            </w:pPr>
            <w:r>
              <w:rPr>
                <w:color w:val="auto"/>
                <w:highlight w:val="none"/>
                <w:u w:val="none"/>
              </w:rPr>
              <w:t>兴化湾南部重要渔业水域生态保护红线区</w:t>
            </w:r>
          </w:p>
        </w:tc>
        <w:tc>
          <w:tcPr>
            <w:tcW w:w="248" w:type="pct"/>
            <w:vAlign w:val="center"/>
          </w:tcPr>
          <w:p w14:paraId="226F47FB">
            <w:pPr>
              <w:pStyle w:val="92"/>
              <w:rPr>
                <w:color w:val="auto"/>
                <w:highlight w:val="none"/>
                <w:u w:val="none"/>
              </w:rPr>
            </w:pPr>
            <w:r>
              <w:rPr>
                <w:color w:val="auto"/>
                <w:highlight w:val="none"/>
                <w:u w:val="none"/>
              </w:rPr>
              <w:t>重要渔业水域</w:t>
            </w:r>
          </w:p>
        </w:tc>
        <w:tc>
          <w:tcPr>
            <w:tcW w:w="456" w:type="pct"/>
            <w:vAlign w:val="center"/>
          </w:tcPr>
          <w:p w14:paraId="22291C09">
            <w:pPr>
              <w:pStyle w:val="92"/>
              <w:rPr>
                <w:color w:val="auto"/>
                <w:highlight w:val="none"/>
                <w:u w:val="none"/>
              </w:rPr>
            </w:pPr>
            <w:r>
              <w:rPr>
                <w:color w:val="auto"/>
                <w:highlight w:val="none"/>
                <w:u w:val="none"/>
              </w:rPr>
              <w:t>SE，1</w:t>
            </w:r>
            <w:r>
              <w:rPr>
                <w:rFonts w:hint="eastAsia"/>
                <w:color w:val="auto"/>
                <w:highlight w:val="none"/>
                <w:u w:val="none"/>
              </w:rPr>
              <w:t>570</w:t>
            </w:r>
            <w:r>
              <w:rPr>
                <w:color w:val="auto"/>
                <w:highlight w:val="none"/>
                <w:u w:val="none"/>
              </w:rPr>
              <w:t>0m</w:t>
            </w:r>
          </w:p>
        </w:tc>
        <w:tc>
          <w:tcPr>
            <w:tcW w:w="409" w:type="pct"/>
            <w:vAlign w:val="center"/>
          </w:tcPr>
          <w:p w14:paraId="1E25536C">
            <w:pPr>
              <w:pStyle w:val="92"/>
              <w:rPr>
                <w:color w:val="auto"/>
                <w:highlight w:val="none"/>
                <w:u w:val="none"/>
              </w:rPr>
            </w:pPr>
            <w:r>
              <w:rPr>
                <w:color w:val="auto"/>
                <w:highlight w:val="none"/>
                <w:u w:val="none"/>
              </w:rPr>
              <w:t>保护重要鱼类及对虾种质资源</w:t>
            </w:r>
          </w:p>
        </w:tc>
        <w:tc>
          <w:tcPr>
            <w:tcW w:w="3087" w:type="pct"/>
            <w:vAlign w:val="center"/>
          </w:tcPr>
          <w:p w14:paraId="18FE1B05">
            <w:pPr>
              <w:pStyle w:val="92"/>
              <w:jc w:val="left"/>
              <w:rPr>
                <w:color w:val="auto"/>
                <w:highlight w:val="none"/>
                <w:u w:val="none"/>
              </w:rPr>
            </w:pPr>
            <w:r>
              <w:rPr>
                <w:color w:val="auto"/>
                <w:highlight w:val="none"/>
                <w:u w:val="none"/>
              </w:rPr>
              <w:t>管控措施：保护重要鱼类及对虾种质资源；禁止截断洄游通道的开发活动；禁止破坏性捕捞方式；严格执行禁渔期、禁渔区制度以及渔具渔法规定。开展增殖放流活动，保护和恢复水产资源。保障渔业资源自然繁殖空间，兼容道路交通等民生基础设施，严格限制改变海域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防止船舶污水、溢油及化学品泄漏等对渔业水域水质造成不利影响，改善海洋环境质量。</w:t>
            </w:r>
          </w:p>
        </w:tc>
      </w:tr>
      <w:tr w14:paraId="6419C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50C91784">
            <w:pPr>
              <w:pStyle w:val="92"/>
              <w:rPr>
                <w:color w:val="auto"/>
                <w:highlight w:val="none"/>
                <w:u w:val="none"/>
              </w:rPr>
            </w:pPr>
            <w:r>
              <w:rPr>
                <w:color w:val="auto"/>
                <w:highlight w:val="none"/>
                <w:u w:val="none"/>
              </w:rPr>
              <w:t>350100-WET-Ⅱ-07</w:t>
            </w:r>
          </w:p>
        </w:tc>
        <w:tc>
          <w:tcPr>
            <w:tcW w:w="447" w:type="pct"/>
            <w:vAlign w:val="center"/>
          </w:tcPr>
          <w:p w14:paraId="4D97FAFE">
            <w:pPr>
              <w:pStyle w:val="92"/>
              <w:rPr>
                <w:color w:val="auto"/>
                <w:highlight w:val="none"/>
                <w:u w:val="none"/>
              </w:rPr>
            </w:pPr>
            <w:r>
              <w:rPr>
                <w:color w:val="auto"/>
                <w:highlight w:val="none"/>
                <w:u w:val="none"/>
              </w:rPr>
              <w:t>兴化湾前薛-牛头尾重要滨海湿地生态保护红线区</w:t>
            </w:r>
          </w:p>
        </w:tc>
        <w:tc>
          <w:tcPr>
            <w:tcW w:w="248" w:type="pct"/>
            <w:vAlign w:val="center"/>
          </w:tcPr>
          <w:p w14:paraId="5A84CC85">
            <w:pPr>
              <w:pStyle w:val="92"/>
              <w:rPr>
                <w:color w:val="auto"/>
                <w:highlight w:val="none"/>
                <w:u w:val="none"/>
              </w:rPr>
            </w:pPr>
            <w:r>
              <w:rPr>
                <w:color w:val="auto"/>
                <w:highlight w:val="none"/>
                <w:u w:val="none"/>
              </w:rPr>
              <w:t>重要滨海湿地</w:t>
            </w:r>
          </w:p>
        </w:tc>
        <w:tc>
          <w:tcPr>
            <w:tcW w:w="456" w:type="pct"/>
            <w:vAlign w:val="center"/>
          </w:tcPr>
          <w:p w14:paraId="33A6F9E3">
            <w:pPr>
              <w:pStyle w:val="92"/>
              <w:rPr>
                <w:color w:val="auto"/>
                <w:highlight w:val="none"/>
                <w:u w:val="none"/>
              </w:rPr>
            </w:pPr>
            <w:r>
              <w:rPr>
                <w:color w:val="auto"/>
                <w:highlight w:val="none"/>
                <w:u w:val="none"/>
              </w:rPr>
              <w:t>E，</w:t>
            </w:r>
            <w:r>
              <w:rPr>
                <w:rFonts w:hint="eastAsia"/>
                <w:color w:val="auto"/>
                <w:highlight w:val="none"/>
                <w:u w:val="none"/>
              </w:rPr>
              <w:t>1916</w:t>
            </w:r>
            <w:r>
              <w:rPr>
                <w:color w:val="auto"/>
                <w:highlight w:val="none"/>
                <w:u w:val="none"/>
              </w:rPr>
              <w:t>0m</w:t>
            </w:r>
          </w:p>
        </w:tc>
        <w:tc>
          <w:tcPr>
            <w:tcW w:w="409" w:type="pct"/>
            <w:vAlign w:val="center"/>
          </w:tcPr>
          <w:p w14:paraId="27CD3EB3">
            <w:pPr>
              <w:pStyle w:val="92"/>
              <w:rPr>
                <w:color w:val="auto"/>
                <w:highlight w:val="none"/>
                <w:u w:val="none"/>
              </w:rPr>
            </w:pPr>
            <w:r>
              <w:rPr>
                <w:color w:val="auto"/>
                <w:highlight w:val="none"/>
                <w:u w:val="none"/>
              </w:rPr>
              <w:t>湿地生态系统；红树林生态系统；珍稀濒危动物物种；水禽生境</w:t>
            </w:r>
          </w:p>
        </w:tc>
        <w:tc>
          <w:tcPr>
            <w:tcW w:w="3087" w:type="pct"/>
            <w:vAlign w:val="center"/>
          </w:tcPr>
          <w:p w14:paraId="07EB2C93">
            <w:pPr>
              <w:pStyle w:val="92"/>
              <w:jc w:val="left"/>
              <w:rPr>
                <w:color w:val="auto"/>
                <w:highlight w:val="none"/>
                <w:u w:val="none"/>
              </w:rPr>
            </w:pPr>
            <w:r>
              <w:rPr>
                <w:color w:val="auto"/>
                <w:highlight w:val="none"/>
                <w:u w:val="none"/>
              </w:rPr>
              <w:t>管控措施：维持海域自然属性，保持自然岸线形态、长度，保持海底地形、海洋水动力环境稳定。禁止围填海、矿产资源开发、底土开挖等可能改变海域自然属性、破坏湿地生态系统功能和生态保护对象的开发活动，限制沿岸生产养殖活动；生产设施与水禽筑巢区、觅食及栖息地等集中分布区须保留安全距离；禁止高噪音等惊扰鸟类的作业，禁止大面积使用栖息水鸟害怕的颜色。在受损的滨海湿地，综合运用生态廊道、退养还湿、植被恢复、海岸生态防护等手段，恢复湿地生态系统功能。确需在生态保护红线区内进行渔业及执法码头、陆岛交通码头、道路交通、航道锚地、海底管线、能源等公益或公共基础设施建设的，要经严格科学论证并经相关主管部门审批后实施。环境保护要求：按照海洋环境保护法律法规及相关规划要求进行管理，禁止排放有害有毒的污水、油类、油性混合物、热污染物及其他污染物和废弃物，禁止新设污染物集中排放口，禁止倾废，改善海洋环境质量。</w:t>
            </w:r>
          </w:p>
        </w:tc>
      </w:tr>
      <w:tr w14:paraId="71DFF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4C94A45D">
            <w:pPr>
              <w:pStyle w:val="92"/>
              <w:rPr>
                <w:color w:val="auto"/>
                <w:highlight w:val="none"/>
                <w:u w:val="none"/>
              </w:rPr>
            </w:pPr>
            <w:r>
              <w:rPr>
                <w:color w:val="auto"/>
                <w:highlight w:val="none"/>
                <w:u w:val="none"/>
              </w:rPr>
              <w:t>350300-NCS-Ⅱ-03</w:t>
            </w:r>
          </w:p>
        </w:tc>
        <w:tc>
          <w:tcPr>
            <w:tcW w:w="447" w:type="pct"/>
            <w:vAlign w:val="center"/>
          </w:tcPr>
          <w:p w14:paraId="7D7258E6">
            <w:pPr>
              <w:pStyle w:val="92"/>
              <w:rPr>
                <w:color w:val="auto"/>
                <w:highlight w:val="none"/>
                <w:u w:val="none"/>
              </w:rPr>
            </w:pPr>
            <w:r>
              <w:rPr>
                <w:color w:val="auto"/>
                <w:highlight w:val="none"/>
                <w:u w:val="none"/>
              </w:rPr>
              <w:t>小日岛重要自然岸线及沙源保护海域生态保护红线区</w:t>
            </w:r>
          </w:p>
        </w:tc>
        <w:tc>
          <w:tcPr>
            <w:tcW w:w="248" w:type="pct"/>
            <w:vAlign w:val="center"/>
          </w:tcPr>
          <w:p w14:paraId="26C97CF2">
            <w:pPr>
              <w:pStyle w:val="92"/>
              <w:rPr>
                <w:color w:val="auto"/>
                <w:highlight w:val="none"/>
                <w:u w:val="none"/>
              </w:rPr>
            </w:pPr>
            <w:r>
              <w:rPr>
                <w:color w:val="auto"/>
                <w:highlight w:val="none"/>
                <w:u w:val="none"/>
              </w:rPr>
              <w:t>重要自然岸线及沙源保护海域</w:t>
            </w:r>
          </w:p>
        </w:tc>
        <w:tc>
          <w:tcPr>
            <w:tcW w:w="456" w:type="pct"/>
            <w:vAlign w:val="center"/>
          </w:tcPr>
          <w:p w14:paraId="1ACB2077">
            <w:pPr>
              <w:pStyle w:val="92"/>
              <w:rPr>
                <w:color w:val="auto"/>
                <w:highlight w:val="none"/>
                <w:u w:val="none"/>
              </w:rPr>
            </w:pPr>
            <w:r>
              <w:rPr>
                <w:color w:val="auto"/>
                <w:highlight w:val="none"/>
                <w:u w:val="none"/>
              </w:rPr>
              <w:t>SE，3</w:t>
            </w:r>
            <w:r>
              <w:rPr>
                <w:rFonts w:hint="eastAsia"/>
                <w:color w:val="auto"/>
                <w:highlight w:val="none"/>
                <w:u w:val="none"/>
              </w:rPr>
              <w:t>05</w:t>
            </w:r>
            <w:r>
              <w:rPr>
                <w:color w:val="auto"/>
                <w:highlight w:val="none"/>
                <w:u w:val="none"/>
              </w:rPr>
              <w:t>00m</w:t>
            </w:r>
          </w:p>
        </w:tc>
        <w:tc>
          <w:tcPr>
            <w:tcW w:w="409" w:type="pct"/>
            <w:vAlign w:val="center"/>
          </w:tcPr>
          <w:p w14:paraId="7DA932D1">
            <w:pPr>
              <w:pStyle w:val="92"/>
              <w:rPr>
                <w:color w:val="auto"/>
                <w:highlight w:val="none"/>
                <w:u w:val="none"/>
              </w:rPr>
            </w:pPr>
            <w:r>
              <w:rPr>
                <w:color w:val="auto"/>
                <w:highlight w:val="none"/>
                <w:u w:val="none"/>
              </w:rPr>
              <w:t>保护海岛沙滩自然岸线</w:t>
            </w:r>
          </w:p>
        </w:tc>
        <w:tc>
          <w:tcPr>
            <w:tcW w:w="3087" w:type="pct"/>
            <w:vAlign w:val="center"/>
          </w:tcPr>
          <w:p w14:paraId="5F0F87F7">
            <w:pPr>
              <w:pStyle w:val="92"/>
              <w:jc w:val="left"/>
              <w:rPr>
                <w:color w:val="auto"/>
                <w:highlight w:val="none"/>
                <w:u w:val="none"/>
              </w:rPr>
            </w:pPr>
            <w:r>
              <w:rPr>
                <w:color w:val="auto"/>
                <w:highlight w:val="none"/>
                <w:u w:val="none"/>
              </w:rPr>
              <w:t>管控措施：维持岸线自然属性，严格保持自然岸线形态、长度，保持海岸原始景观。禁止挖砂、采石、倾倒、垃圾填埋等破坏沙滩或诱发岸滩蚀退的开发活动。可适度进行沿岸交通、旅游及其他基础设施建设，建设活动应以不破坏岸线核心自然景观为前提。清理不合理的岸线占用项目，整治影响岸滩稳定和滨海旅游活动的设施，实施岸线整治修复工程，清理海岸垃圾、碎石等废弃物，加强沿海防护林建设和养护，恢复岸线的自然属性和景观。允许开放式养殖，保障盐场生产安全。保障开放式养殖用海，优化养殖结构，沿岸海湾兼容渔船靠泊避风功能，兼容新能源工业用海、滨海旅游用海，严格限制改变海域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改善海洋环境质量，防治海岸侵蚀灾害，维持自然岸线。</w:t>
            </w:r>
          </w:p>
        </w:tc>
      </w:tr>
      <w:tr w14:paraId="42622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 w:type="pct"/>
            <w:vAlign w:val="center"/>
          </w:tcPr>
          <w:p w14:paraId="38B89A61">
            <w:pPr>
              <w:pStyle w:val="92"/>
              <w:rPr>
                <w:color w:val="auto"/>
                <w:highlight w:val="none"/>
                <w:u w:val="none"/>
              </w:rPr>
            </w:pPr>
            <w:r>
              <w:rPr>
                <w:color w:val="auto"/>
                <w:highlight w:val="none"/>
                <w:u w:val="none"/>
              </w:rPr>
              <w:t>350300-NCS-Ⅱ-02</w:t>
            </w:r>
          </w:p>
        </w:tc>
        <w:tc>
          <w:tcPr>
            <w:tcW w:w="447" w:type="pct"/>
            <w:vAlign w:val="center"/>
          </w:tcPr>
          <w:p w14:paraId="1D075A2D">
            <w:pPr>
              <w:pStyle w:val="92"/>
              <w:rPr>
                <w:color w:val="auto"/>
                <w:highlight w:val="none"/>
                <w:u w:val="none"/>
              </w:rPr>
            </w:pPr>
            <w:r>
              <w:rPr>
                <w:color w:val="auto"/>
                <w:highlight w:val="none"/>
                <w:u w:val="none"/>
              </w:rPr>
              <w:t>南日岛重要自然岸线及沙源保护海域生态保护红线区</w:t>
            </w:r>
          </w:p>
        </w:tc>
        <w:tc>
          <w:tcPr>
            <w:tcW w:w="248" w:type="pct"/>
            <w:vAlign w:val="center"/>
          </w:tcPr>
          <w:p w14:paraId="3E1B2925">
            <w:pPr>
              <w:pStyle w:val="92"/>
              <w:rPr>
                <w:color w:val="auto"/>
                <w:highlight w:val="none"/>
                <w:u w:val="none"/>
              </w:rPr>
            </w:pPr>
            <w:r>
              <w:rPr>
                <w:color w:val="auto"/>
                <w:highlight w:val="none"/>
                <w:u w:val="none"/>
              </w:rPr>
              <w:t xml:space="preserve">重要自然岸线及沙源保护海域 </w:t>
            </w:r>
          </w:p>
        </w:tc>
        <w:tc>
          <w:tcPr>
            <w:tcW w:w="456" w:type="pct"/>
            <w:vAlign w:val="center"/>
          </w:tcPr>
          <w:p w14:paraId="33063E25">
            <w:pPr>
              <w:pStyle w:val="92"/>
              <w:rPr>
                <w:color w:val="auto"/>
                <w:highlight w:val="none"/>
                <w:u w:val="none"/>
              </w:rPr>
            </w:pPr>
            <w:r>
              <w:rPr>
                <w:color w:val="auto"/>
                <w:highlight w:val="none"/>
                <w:u w:val="none"/>
              </w:rPr>
              <w:t>SE，30</w:t>
            </w:r>
            <w:r>
              <w:rPr>
                <w:rFonts w:hint="eastAsia"/>
                <w:color w:val="auto"/>
                <w:highlight w:val="none"/>
                <w:u w:val="none"/>
              </w:rPr>
              <w:t>7</w:t>
            </w:r>
            <w:r>
              <w:rPr>
                <w:color w:val="auto"/>
                <w:highlight w:val="none"/>
                <w:u w:val="none"/>
              </w:rPr>
              <w:t>00m</w:t>
            </w:r>
          </w:p>
        </w:tc>
        <w:tc>
          <w:tcPr>
            <w:tcW w:w="409" w:type="pct"/>
            <w:vAlign w:val="center"/>
          </w:tcPr>
          <w:p w14:paraId="118AD2C8">
            <w:pPr>
              <w:pStyle w:val="92"/>
              <w:rPr>
                <w:color w:val="auto"/>
                <w:highlight w:val="none"/>
                <w:u w:val="none"/>
              </w:rPr>
            </w:pPr>
            <w:r>
              <w:rPr>
                <w:color w:val="auto"/>
                <w:highlight w:val="none"/>
                <w:u w:val="none"/>
              </w:rPr>
              <w:t>保护海岛沙滩自然岸线</w:t>
            </w:r>
          </w:p>
        </w:tc>
        <w:tc>
          <w:tcPr>
            <w:tcW w:w="3087" w:type="pct"/>
            <w:vAlign w:val="center"/>
          </w:tcPr>
          <w:p w14:paraId="15C5051F">
            <w:pPr>
              <w:pStyle w:val="92"/>
              <w:jc w:val="left"/>
              <w:rPr>
                <w:color w:val="auto"/>
                <w:highlight w:val="none"/>
                <w:u w:val="none"/>
              </w:rPr>
            </w:pPr>
            <w:r>
              <w:rPr>
                <w:color w:val="auto"/>
                <w:highlight w:val="none"/>
                <w:u w:val="none"/>
              </w:rPr>
              <w:t>管控措施：维持岸线自然属性，严格保持自然岸线形态、长度，保持海岸原始景观。禁止挖砂、采石、倾倒、垃圾填埋等破坏沙滩或诱发岸滩蚀退的开发活动。可适度进行沿岸交通、旅游及其他基础设施建设，建设活动应以不破坏岸线核心自然景观为前提。清理不合理的岸线占用项目，整治影响岸滩稳定和滨海旅游活动的设施，实施岸线整治修复工程，清理海岸垃圾、碎石等废弃物，加强沿海防护林建设和养护，恢复岸线的自然属性和景观。允许开放式养殖，保障盐场生产安全。保障开放式养殖用海，优化养殖结构，沿海海湾兼容渔船靠泊避风功能，兼容新能源工业用海、滨海旅游用海，严格限制改变海域自然属性。环境保护要求：按照海洋环境保护法律法规及相关规划要求进行管理，禁止排放有害有毒的污水、油类、油性混合物、热污染物及其他污染物和废弃物，禁止新设污染物集中排放口和垃圾倾倒区，已建集中排污口适时退出，改善海洋环境质量，防治海岸侵蚀灾害，维持自然岸线。</w:t>
            </w:r>
          </w:p>
        </w:tc>
      </w:tr>
    </w:tbl>
    <w:p w14:paraId="4B91A1B4">
      <w:pPr>
        <w:ind w:firstLine="0" w:firstLineChars="0"/>
        <w:rPr>
          <w:rFonts w:hint="eastAsia"/>
          <w:color w:val="auto"/>
          <w:highlight w:val="none"/>
          <w:u w:val="none"/>
        </w:rPr>
      </w:pPr>
    </w:p>
    <w:p w14:paraId="2CF542D2">
      <w:pPr>
        <w:ind w:firstLine="0" w:firstLineChars="0"/>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58113041">
      <w:pPr>
        <w:ind w:firstLine="0" w:firstLineChars="0"/>
        <w:jc w:val="center"/>
        <w:rPr>
          <w:rFonts w:hint="eastAsia"/>
          <w:color w:val="auto"/>
          <w:highlight w:val="none"/>
          <w:u w:val="none"/>
        </w:rPr>
      </w:pPr>
    </w:p>
    <w:p w14:paraId="525C0E02">
      <w:pPr>
        <w:pStyle w:val="3"/>
        <w:rPr>
          <w:rFonts w:hint="eastAsia"/>
          <w:color w:val="auto"/>
          <w:highlight w:val="none"/>
          <w:u w:val="none"/>
        </w:rPr>
      </w:pPr>
      <w:bookmarkStart w:id="128" w:name="_Toc17793"/>
      <w:bookmarkStart w:id="129" w:name="_Toc148374772"/>
      <w:bookmarkStart w:id="130" w:name="_Toc148374444"/>
      <w:bookmarkStart w:id="131" w:name="_Toc148374886"/>
      <w:r>
        <w:rPr>
          <w:rFonts w:hint="eastAsia"/>
          <w:color w:val="auto"/>
          <w:highlight w:val="none"/>
          <w:u w:val="none"/>
        </w:rPr>
        <w:t>现有工程回顾</w:t>
      </w:r>
      <w:bookmarkEnd w:id="128"/>
      <w:bookmarkEnd w:id="129"/>
      <w:bookmarkEnd w:id="130"/>
      <w:bookmarkEnd w:id="131"/>
    </w:p>
    <w:p w14:paraId="309253B8">
      <w:pPr>
        <w:pStyle w:val="4"/>
        <w:rPr>
          <w:color w:val="auto"/>
          <w:highlight w:val="none"/>
          <w:u w:val="none"/>
        </w:rPr>
      </w:pPr>
      <w:bookmarkStart w:id="132" w:name="_Toc148374773"/>
      <w:bookmarkStart w:id="133" w:name="_Toc148374445"/>
      <w:bookmarkStart w:id="134" w:name="_Toc7307"/>
      <w:bookmarkStart w:id="135" w:name="_Toc148374887"/>
      <w:r>
        <w:rPr>
          <w:color w:val="auto"/>
          <w:highlight w:val="none"/>
          <w:u w:val="none"/>
        </w:rPr>
        <w:t>企业概况及环保手续履行情况</w:t>
      </w:r>
      <w:bookmarkEnd w:id="132"/>
      <w:bookmarkEnd w:id="133"/>
      <w:bookmarkEnd w:id="134"/>
      <w:bookmarkEnd w:id="135"/>
    </w:p>
    <w:p w14:paraId="78A29062">
      <w:pPr>
        <w:ind w:firstLine="482"/>
        <w:rPr>
          <w:rFonts w:hint="eastAsia"/>
          <w:b/>
          <w:bCs/>
          <w:color w:val="auto"/>
          <w:highlight w:val="none"/>
          <w:u w:val="none"/>
        </w:rPr>
      </w:pPr>
      <w:r>
        <w:rPr>
          <w:b/>
          <w:bCs/>
          <w:color w:val="auto"/>
          <w:highlight w:val="none"/>
          <w:u w:val="none"/>
        </w:rPr>
        <w:t>（</w:t>
      </w:r>
      <w:r>
        <w:rPr>
          <w:rFonts w:hint="eastAsia"/>
          <w:b/>
          <w:bCs/>
          <w:color w:val="auto"/>
          <w:highlight w:val="none"/>
          <w:u w:val="none"/>
        </w:rPr>
        <w:t>1</w:t>
      </w:r>
      <w:r>
        <w:rPr>
          <w:b/>
          <w:bCs/>
          <w:color w:val="auto"/>
          <w:highlight w:val="none"/>
          <w:u w:val="none"/>
        </w:rPr>
        <w:t>）万华福建公司企业概况</w:t>
      </w:r>
    </w:p>
    <w:p w14:paraId="0F89F7F1">
      <w:pPr>
        <w:rPr>
          <w:rFonts w:hint="eastAsia"/>
          <w:color w:val="auto"/>
          <w:highlight w:val="none"/>
          <w:u w:val="none"/>
          <w:lang w:val="en-US"/>
        </w:rPr>
      </w:pPr>
      <w:r>
        <w:rPr>
          <w:color w:val="auto"/>
          <w:highlight w:val="none"/>
          <w:u w:val="none"/>
        </w:rPr>
        <w:t>2020年</w:t>
      </w:r>
      <w:r>
        <w:rPr>
          <w:rFonts w:hint="eastAsia"/>
          <w:color w:val="auto"/>
          <w:highlight w:val="none"/>
          <w:u w:val="none"/>
        </w:rPr>
        <w:t>，</w:t>
      </w:r>
      <w:r>
        <w:rPr>
          <w:color w:val="auto"/>
          <w:highlight w:val="none"/>
          <w:u w:val="none"/>
        </w:rPr>
        <w:t>万华福建公司</w:t>
      </w:r>
      <w:r>
        <w:rPr>
          <w:rFonts w:hint="eastAsia"/>
          <w:color w:val="auto"/>
          <w:highlight w:val="none"/>
          <w:u w:val="none"/>
        </w:rPr>
        <w:t>收购</w:t>
      </w:r>
      <w:r>
        <w:rPr>
          <w:color w:val="auto"/>
          <w:highlight w:val="none"/>
          <w:u w:val="none"/>
        </w:rPr>
        <w:t>福建省东南电化股份有限公司除热电装置、烧碱装置之外的所有资产</w:t>
      </w:r>
      <w:r>
        <w:rPr>
          <w:rFonts w:hint="eastAsia"/>
          <w:color w:val="auto"/>
          <w:highlight w:val="none"/>
          <w:u w:val="none"/>
        </w:rPr>
        <w:t>，</w:t>
      </w:r>
      <w:r>
        <w:rPr>
          <w:rFonts w:hint="eastAsia"/>
          <w:color w:val="auto"/>
          <w:highlight w:val="none"/>
          <w:u w:val="none"/>
          <w:lang w:val="en-US"/>
        </w:rPr>
        <w:t>主要</w:t>
      </w:r>
      <w:r>
        <w:rPr>
          <w:rFonts w:hint="eastAsia"/>
          <w:color w:val="auto"/>
          <w:highlight w:val="none"/>
          <w:u w:val="none"/>
        </w:rPr>
        <w:t>包括</w:t>
      </w:r>
      <w:r>
        <w:rPr>
          <w:rFonts w:hint="eastAsia"/>
          <w:color w:val="auto"/>
          <w:highlight w:val="none"/>
          <w:u w:val="none"/>
          <w:lang w:val="en-US"/>
        </w:rPr>
        <w:t>当时在产的</w:t>
      </w:r>
      <w:r>
        <w:rPr>
          <w:color w:val="auto"/>
          <w:highlight w:val="none"/>
          <w:u w:val="none"/>
        </w:rPr>
        <w:t>10万吨TDI产能</w:t>
      </w:r>
      <w:r>
        <w:rPr>
          <w:rFonts w:hint="eastAsia"/>
          <w:color w:val="auto"/>
          <w:highlight w:val="none"/>
          <w:u w:val="none"/>
        </w:rPr>
        <w:t>、</w:t>
      </w:r>
      <w:r>
        <w:rPr>
          <w:color w:val="auto"/>
          <w:highlight w:val="none"/>
          <w:u w:val="none"/>
        </w:rPr>
        <w:t>已批</w:t>
      </w:r>
      <w:r>
        <w:rPr>
          <w:rFonts w:hint="eastAsia"/>
          <w:color w:val="auto"/>
          <w:highlight w:val="none"/>
          <w:u w:val="none"/>
        </w:rPr>
        <w:t>未建</w:t>
      </w:r>
      <w:r>
        <w:rPr>
          <w:color w:val="auto"/>
          <w:highlight w:val="none"/>
          <w:u w:val="none"/>
        </w:rPr>
        <w:t>15万吨TDI产能</w:t>
      </w:r>
      <w:r>
        <w:rPr>
          <w:rFonts w:hint="eastAsia"/>
          <w:color w:val="auto"/>
          <w:highlight w:val="none"/>
          <w:u w:val="none"/>
        </w:rPr>
        <w:t>，</w:t>
      </w:r>
      <w:r>
        <w:rPr>
          <w:rFonts w:hint="eastAsia"/>
          <w:color w:val="auto"/>
          <w:highlight w:val="none"/>
          <w:u w:val="none"/>
          <w:lang w:val="en-US"/>
        </w:rPr>
        <w:t>PVC资产（主要为已停产的PVC装置区，包括乙炔装置区、VCM合成和PVC聚合装置区）以及</w:t>
      </w:r>
      <w:r>
        <w:rPr>
          <w:color w:val="auto"/>
          <w:highlight w:val="none"/>
          <w:u w:val="none"/>
        </w:rPr>
        <w:t>相关土地使用权和直接配套装置</w:t>
      </w:r>
      <w:r>
        <w:rPr>
          <w:rFonts w:hint="eastAsia"/>
          <w:color w:val="auto"/>
          <w:highlight w:val="none"/>
          <w:u w:val="none"/>
        </w:rPr>
        <w:t>。</w:t>
      </w:r>
      <w:r>
        <w:rPr>
          <w:rFonts w:hint="eastAsia"/>
          <w:color w:val="auto"/>
          <w:highlight w:val="none"/>
          <w:u w:val="none"/>
          <w:lang w:val="en-US"/>
        </w:rPr>
        <w:t>其中，乙炔装置区于2021年5月拆除完成（2021年2月完成拆除污染防治方案及拆除应急预案的备案），VCM合成和PVC聚合装置区于2021年10月拆除完成（2021年5月完成拆除污染防治方案及拆除应急预案的备案）。原10万吨TDI项目过渡使用至2023年一季度</w:t>
      </w:r>
      <w:r>
        <w:rPr>
          <w:rFonts w:hint="eastAsia"/>
          <w:color w:val="auto"/>
          <w:highlight w:val="none"/>
          <w:u w:val="none"/>
        </w:rPr>
        <w:t>停产拆除（</w:t>
      </w:r>
      <w:r>
        <w:rPr>
          <w:rFonts w:hint="eastAsia"/>
          <w:color w:val="auto"/>
          <w:highlight w:val="none"/>
          <w:u w:val="none"/>
          <w:lang w:val="en-US"/>
        </w:rPr>
        <w:t>2022年11月完成拆除污染防治及拆除应急预案的备案</w:t>
      </w:r>
      <w:r>
        <w:rPr>
          <w:rFonts w:hint="eastAsia"/>
          <w:color w:val="auto"/>
          <w:highlight w:val="none"/>
          <w:u w:val="none"/>
        </w:rPr>
        <w:t>）</w:t>
      </w:r>
      <w:r>
        <w:rPr>
          <w:color w:val="auto"/>
          <w:highlight w:val="none"/>
          <w:u w:val="none"/>
        </w:rPr>
        <w:t>。</w:t>
      </w:r>
    </w:p>
    <w:p w14:paraId="3AF9813D">
      <w:pPr>
        <w:rPr>
          <w:rFonts w:hint="eastAsia"/>
          <w:color w:val="auto"/>
          <w:highlight w:val="none"/>
          <w:u w:val="none"/>
        </w:rPr>
      </w:pPr>
      <w:r>
        <w:rPr>
          <w:rFonts w:hint="eastAsia"/>
          <w:lang w:val="en-US"/>
        </w:rPr>
        <w:t>根据发展需要，</w:t>
      </w:r>
      <w:r>
        <w:t>万华福建公司</w:t>
      </w:r>
      <w:r>
        <w:rPr>
          <w:rFonts w:hint="eastAsia"/>
          <w:lang w:val="en-US"/>
        </w:rPr>
        <w:t>在已拆除的乙炔装置区、VCM合成和PVC聚合装置区、10万吨TDI项目区，进行重新布局，规划建设</w:t>
      </w:r>
      <w:r>
        <w:t>年产48万吨甲醛项目等</w:t>
      </w:r>
      <w:r>
        <w:rPr>
          <w:rFonts w:hint="eastAsia"/>
        </w:rPr>
        <w:t>，上述地块为</w:t>
      </w:r>
      <w:r>
        <w:t>万华福建公司</w:t>
      </w:r>
      <w:r>
        <w:rPr>
          <w:rFonts w:hint="eastAsia"/>
        </w:rPr>
        <w:t>主要生产地块</w:t>
      </w:r>
      <w:r>
        <w:rPr>
          <w:rFonts w:hint="eastAsia"/>
          <w:color w:val="auto"/>
          <w:highlight w:val="none"/>
          <w:u w:val="none"/>
        </w:rPr>
        <w:t>。</w:t>
      </w:r>
    </w:p>
    <w:p w14:paraId="10DFCCD7">
      <w:pPr>
        <w:rPr>
          <w:rFonts w:hint="eastAsia"/>
          <w:color w:val="auto"/>
          <w:highlight w:val="none"/>
          <w:u w:val="none"/>
        </w:rPr>
      </w:pPr>
      <w:r>
        <w:rPr>
          <w:color w:val="auto"/>
          <w:highlight w:val="none"/>
          <w:u w:val="none"/>
        </w:rPr>
        <w:t>2021年</w:t>
      </w:r>
      <w:r>
        <w:rPr>
          <w:rFonts w:hint="eastAsia"/>
          <w:color w:val="auto"/>
          <w:highlight w:val="none"/>
          <w:u w:val="none"/>
          <w:lang w:val="en-US"/>
        </w:rPr>
        <w:t>12</w:t>
      </w:r>
      <w:r>
        <w:rPr>
          <w:color w:val="auto"/>
          <w:highlight w:val="none"/>
          <w:u w:val="none"/>
        </w:rPr>
        <w:t>月</w:t>
      </w:r>
      <w:r>
        <w:rPr>
          <w:rFonts w:hint="eastAsia"/>
          <w:color w:val="auto"/>
          <w:highlight w:val="none"/>
          <w:u w:val="none"/>
          <w:lang w:val="en-US"/>
        </w:rPr>
        <w:t>10日</w:t>
      </w:r>
      <w:r>
        <w:rPr>
          <w:color w:val="auto"/>
          <w:highlight w:val="none"/>
          <w:u w:val="none"/>
        </w:rPr>
        <w:t>万华福建公司</w:t>
      </w:r>
      <w:r>
        <w:rPr>
          <w:rFonts w:hint="eastAsia"/>
          <w:color w:val="auto"/>
          <w:highlight w:val="none"/>
          <w:u w:val="none"/>
          <w:lang w:val="en-US"/>
        </w:rPr>
        <w:t>收购</w:t>
      </w:r>
      <w:r>
        <w:rPr>
          <w:rFonts w:hint="eastAsia"/>
          <w:color w:val="auto"/>
          <w:highlight w:val="none"/>
          <w:u w:val="none"/>
        </w:rPr>
        <w:t>福建省福化天辰气体有限公司，</w:t>
      </w:r>
      <w:r>
        <w:rPr>
          <w:rFonts w:hint="eastAsia"/>
          <w:color w:val="auto"/>
          <w:highlight w:val="none"/>
          <w:u w:val="none"/>
          <w:lang w:val="en-US"/>
        </w:rPr>
        <w:t>该地块为气体装置地块，为大型煤气化项目，主要产品为液氨、氢气、一氧化碳，副产液氧、液氮、液氩、液体硫磺，</w:t>
      </w:r>
      <w:r>
        <w:rPr>
          <w:rFonts w:hint="eastAsia"/>
          <w:color w:val="auto"/>
          <w:highlight w:val="none"/>
          <w:u w:val="none"/>
        </w:rPr>
        <w:t>主要生产工序为气化工序、净化工序、合成工序。</w:t>
      </w:r>
    </w:p>
    <w:p w14:paraId="74C2191D">
      <w:pPr>
        <w:rPr>
          <w:rFonts w:hint="eastAsia"/>
          <w:color w:val="auto"/>
          <w:highlight w:val="none"/>
          <w:u w:val="none"/>
        </w:rPr>
      </w:pPr>
      <w:r>
        <w:rPr>
          <w:rFonts w:hint="eastAsia"/>
          <w:color w:val="auto"/>
          <w:highlight w:val="none"/>
          <w:u w:val="none"/>
        </w:rPr>
        <w:t>综上，</w:t>
      </w:r>
      <w:r>
        <w:rPr>
          <w:color w:val="auto"/>
          <w:highlight w:val="none"/>
          <w:u w:val="none"/>
        </w:rPr>
        <w:t>万华福建公司</w:t>
      </w:r>
      <w:r>
        <w:rPr>
          <w:rFonts w:hint="eastAsia"/>
          <w:color w:val="auto"/>
          <w:highlight w:val="none"/>
          <w:u w:val="none"/>
        </w:rPr>
        <w:t>目前整个厂区分为两个地块，分别为</w:t>
      </w:r>
      <w:r>
        <w:rPr>
          <w:rFonts w:hint="eastAsia"/>
          <w:b/>
          <w:bCs/>
          <w:color w:val="auto"/>
          <w:highlight w:val="none"/>
          <w:u w:val="none"/>
          <w:lang w:val="en-US"/>
        </w:rPr>
        <w:t>主要</w:t>
      </w:r>
      <w:r>
        <w:rPr>
          <w:rFonts w:hint="eastAsia"/>
          <w:b/>
          <w:bCs/>
          <w:color w:val="auto"/>
          <w:highlight w:val="none"/>
          <w:u w:val="none"/>
        </w:rPr>
        <w:t>生产地块、气体装置地块，</w:t>
      </w:r>
      <w:r>
        <w:rPr>
          <w:rFonts w:hint="eastAsia"/>
          <w:b/>
          <w:bCs/>
          <w:color w:val="auto"/>
          <w:highlight w:val="none"/>
          <w:u w:val="none"/>
          <w:lang w:val="en-US"/>
        </w:rPr>
        <w:t>两个地块均属于</w:t>
      </w:r>
      <w:r>
        <w:rPr>
          <w:color w:val="auto"/>
          <w:highlight w:val="none"/>
          <w:u w:val="none"/>
        </w:rPr>
        <w:t>万华福建公司</w:t>
      </w:r>
      <w:r>
        <w:rPr>
          <w:rFonts w:hint="eastAsia"/>
          <w:b/>
          <w:bCs/>
          <w:color w:val="auto"/>
          <w:highlight w:val="none"/>
          <w:u w:val="none"/>
        </w:rPr>
        <w:t>。</w:t>
      </w:r>
      <w:r>
        <w:rPr>
          <w:rFonts w:hint="eastAsia"/>
          <w:color w:val="auto"/>
          <w:highlight w:val="none"/>
          <w:u w:val="none"/>
        </w:rPr>
        <w:t>各地块内现有项目如下：</w:t>
      </w:r>
    </w:p>
    <w:p w14:paraId="554A528A">
      <w:pPr>
        <w:ind w:firstLine="482"/>
        <w:rPr>
          <w:rFonts w:hint="eastAsia"/>
          <w:color w:val="auto"/>
          <w:highlight w:val="none"/>
          <w:u w:val="none"/>
        </w:rPr>
      </w:pPr>
      <w:r>
        <w:rPr>
          <w:rFonts w:hint="eastAsia"/>
          <w:b/>
          <w:color w:val="auto"/>
          <w:highlight w:val="none"/>
          <w:u w:val="none"/>
        </w:rPr>
        <w:t>主要生产地块：</w:t>
      </w:r>
      <w:r>
        <w:rPr>
          <w:rFonts w:hint="eastAsia"/>
          <w:color w:val="auto"/>
          <w:highlight w:val="none"/>
          <w:u w:val="none"/>
        </w:rPr>
        <w:t>年产80万吨PVC项目</w:t>
      </w:r>
      <w:r>
        <w:rPr>
          <w:rFonts w:hint="eastAsia"/>
          <w:color w:val="auto"/>
          <w:highlight w:val="none"/>
          <w:u w:val="none"/>
          <w:lang w:val="en-US" w:eastAsia="zh-CN"/>
        </w:rPr>
        <w:t>等</w:t>
      </w:r>
      <w:r>
        <w:rPr>
          <w:rFonts w:hint="eastAsia"/>
          <w:color w:val="auto"/>
          <w:highlight w:val="none"/>
          <w:u w:val="none"/>
        </w:rPr>
        <w:t>。</w:t>
      </w:r>
    </w:p>
    <w:p w14:paraId="1F4D4C48">
      <w:pPr>
        <w:ind w:firstLine="482"/>
        <w:rPr>
          <w:rFonts w:hint="eastAsia"/>
          <w:color w:val="auto"/>
          <w:highlight w:val="none"/>
          <w:u w:val="none"/>
        </w:rPr>
      </w:pPr>
      <w:r>
        <w:rPr>
          <w:rFonts w:hint="eastAsia"/>
          <w:b/>
          <w:color w:val="auto"/>
          <w:highlight w:val="none"/>
          <w:u w:val="none"/>
        </w:rPr>
        <w:t>气体装置地块（气体厂区）：</w:t>
      </w:r>
      <w:r>
        <w:rPr>
          <w:rFonts w:hint="eastAsia"/>
          <w:bCs/>
          <w:color w:val="auto"/>
          <w:highlight w:val="none"/>
          <w:u w:val="none"/>
        </w:rPr>
        <w:t>主要为</w:t>
      </w:r>
      <w:r>
        <w:rPr>
          <w:rFonts w:hint="eastAsia"/>
          <w:color w:val="auto"/>
          <w:highlight w:val="none"/>
          <w:u w:val="none"/>
        </w:rPr>
        <w:t>大型煤气化项目。</w:t>
      </w:r>
    </w:p>
    <w:p w14:paraId="737418F4">
      <w:pPr>
        <w:rPr>
          <w:rFonts w:hint="eastAsia"/>
          <w:color w:val="auto"/>
          <w:highlight w:val="none"/>
          <w:u w:val="none"/>
        </w:rPr>
      </w:pPr>
      <w:r>
        <w:rPr>
          <w:rFonts w:hint="eastAsia"/>
          <w:color w:val="auto"/>
          <w:highlight w:val="none"/>
          <w:u w:val="none"/>
        </w:rPr>
        <w:t>因万华福建公司两个生产地块为各自独立的地块，</w:t>
      </w:r>
      <w:r>
        <w:rPr>
          <w:color w:val="auto"/>
          <w:highlight w:val="none"/>
          <w:u w:val="none"/>
        </w:rPr>
        <w:t>万华福建公司</w:t>
      </w:r>
      <w:r>
        <w:rPr>
          <w:rFonts w:hint="eastAsia"/>
          <w:color w:val="auto"/>
          <w:highlight w:val="none"/>
          <w:u w:val="none"/>
        </w:rPr>
        <w:t>对两个地块上的生产活动分别申领排污许可证：</w:t>
      </w:r>
    </w:p>
    <w:p w14:paraId="47EE4EB0">
      <w:pPr>
        <w:rPr>
          <w:rFonts w:hint="eastAsia"/>
          <w:color w:val="auto"/>
          <w:highlight w:val="none"/>
          <w:u w:val="none"/>
        </w:rPr>
      </w:pPr>
      <w:r>
        <w:rPr>
          <w:rFonts w:hint="eastAsia"/>
          <w:color w:val="auto"/>
          <w:highlight w:val="none"/>
          <w:u w:val="none"/>
        </w:rPr>
        <w:t>①主要生</w:t>
      </w:r>
      <w:r>
        <w:rPr>
          <w:rFonts w:hint="eastAsia" w:ascii="宋体" w:cs="宋体"/>
          <w:color w:val="auto"/>
          <w:highlight w:val="none"/>
          <w:u w:val="none"/>
        </w:rPr>
        <w:t>产地块：以</w:t>
      </w:r>
      <w:r>
        <w:rPr>
          <w:color w:val="auto"/>
          <w:highlight w:val="none"/>
          <w:u w:val="none"/>
        </w:rPr>
        <w:t>“</w:t>
      </w:r>
      <w:r>
        <w:rPr>
          <w:rFonts w:hint="eastAsia" w:ascii="宋体" w:cs="宋体"/>
          <w:color w:val="auto"/>
          <w:highlight w:val="none"/>
          <w:u w:val="none"/>
        </w:rPr>
        <w:t>万华化学（福建）有限公司</w:t>
      </w:r>
      <w:r>
        <w:rPr>
          <w:color w:val="auto"/>
          <w:highlight w:val="none"/>
          <w:u w:val="none"/>
        </w:rPr>
        <w:t>”</w:t>
      </w:r>
      <w:r>
        <w:rPr>
          <w:rFonts w:hint="eastAsia" w:ascii="宋体" w:cs="宋体"/>
          <w:color w:val="auto"/>
          <w:highlight w:val="none"/>
          <w:u w:val="none"/>
        </w:rPr>
        <w:t>为单位名称申领排污许可证，许可证编码为：</w:t>
      </w:r>
      <w:r>
        <w:rPr>
          <w:color w:val="auto"/>
          <w:highlight w:val="none"/>
          <w:u w:val="none"/>
        </w:rPr>
        <w:t>91350181MA33QYY14K001P</w:t>
      </w:r>
      <w:r>
        <w:rPr>
          <w:rFonts w:hint="eastAsia" w:ascii="宋体" w:cs="宋体"/>
          <w:color w:val="auto"/>
          <w:highlight w:val="none"/>
          <w:u w:val="none"/>
        </w:rPr>
        <w:t>。</w:t>
      </w:r>
    </w:p>
    <w:p w14:paraId="1C4D8E21">
      <w:pPr>
        <w:rPr>
          <w:rFonts w:hint="eastAsia"/>
          <w:color w:val="auto"/>
          <w:highlight w:val="none"/>
          <w:u w:val="none"/>
        </w:rPr>
      </w:pPr>
      <w:r>
        <w:rPr>
          <w:rFonts w:hint="eastAsia" w:ascii="宋体" w:cs="宋体"/>
          <w:color w:val="auto"/>
          <w:highlight w:val="none"/>
          <w:u w:val="none"/>
        </w:rPr>
        <w:t>②气体装置地块：以</w:t>
      </w:r>
      <w:r>
        <w:rPr>
          <w:color w:val="auto"/>
          <w:highlight w:val="none"/>
          <w:u w:val="none"/>
        </w:rPr>
        <w:t>“</w:t>
      </w:r>
      <w:r>
        <w:rPr>
          <w:rFonts w:hint="eastAsia" w:ascii="宋体" w:cs="宋体"/>
          <w:color w:val="auto"/>
          <w:highlight w:val="none"/>
          <w:u w:val="none"/>
        </w:rPr>
        <w:t>万华化学（福建）有限公司气体厂区</w:t>
      </w:r>
      <w:r>
        <w:rPr>
          <w:color w:val="auto"/>
          <w:highlight w:val="none"/>
          <w:u w:val="none"/>
        </w:rPr>
        <w:t>”</w:t>
      </w:r>
      <w:r>
        <w:rPr>
          <w:rFonts w:hint="eastAsia" w:ascii="宋体" w:cs="宋体"/>
          <w:color w:val="auto"/>
          <w:highlight w:val="none"/>
          <w:u w:val="none"/>
        </w:rPr>
        <w:t>为单位名称申领排污许可证，许可证编码为：</w:t>
      </w:r>
      <w:r>
        <w:rPr>
          <w:color w:val="auto"/>
          <w:highlight w:val="none"/>
          <w:u w:val="none"/>
        </w:rPr>
        <w:t>91350181MA33QYY14K002P</w:t>
      </w:r>
      <w:r>
        <w:rPr>
          <w:rFonts w:hint="eastAsia" w:ascii="宋体" w:cs="宋体"/>
          <w:color w:val="auto"/>
          <w:highlight w:val="none"/>
          <w:u w:val="none"/>
        </w:rPr>
        <w:t>。</w:t>
      </w:r>
    </w:p>
    <w:p w14:paraId="665259CF">
      <w:pPr>
        <w:rPr>
          <w:rFonts w:hint="eastAsia"/>
          <w:color w:val="auto"/>
          <w:highlight w:val="none"/>
          <w:u w:val="none"/>
        </w:rPr>
      </w:pPr>
      <w:r>
        <w:rPr>
          <w:rFonts w:hint="eastAsia" w:ascii="宋体" w:cs="宋体"/>
          <w:color w:val="auto"/>
          <w:highlight w:val="none"/>
          <w:u w:val="none"/>
        </w:rPr>
        <w:t>另外</w:t>
      </w:r>
      <w:r>
        <w:rPr>
          <w:color w:val="auto"/>
          <w:highlight w:val="none"/>
          <w:u w:val="none"/>
        </w:rPr>
        <w:t>，</w:t>
      </w:r>
      <w:r>
        <w:rPr>
          <w:rFonts w:hint="eastAsia" w:ascii="宋体" w:cs="宋体"/>
          <w:color w:val="auto"/>
          <w:highlight w:val="none"/>
          <w:u w:val="none"/>
        </w:rPr>
        <w:t>建设单位于</w:t>
      </w:r>
      <w:r>
        <w:rPr>
          <w:color w:val="auto"/>
          <w:highlight w:val="none"/>
          <w:u w:val="none"/>
        </w:rPr>
        <w:t>2023年3月编制完成</w:t>
      </w:r>
      <w:r>
        <w:rPr>
          <w:rFonts w:hint="eastAsia"/>
          <w:color w:val="auto"/>
          <w:highlight w:val="none"/>
          <w:u w:val="none"/>
          <w:lang w:val="en-US"/>
        </w:rPr>
        <w:t>并备案</w:t>
      </w:r>
      <w:r>
        <w:rPr>
          <w:color w:val="auto"/>
          <w:highlight w:val="none"/>
          <w:u w:val="none"/>
        </w:rPr>
        <w:t>《万华化学（福建）有限公司突发环境事件应急预案》，</w:t>
      </w:r>
      <w:r>
        <w:rPr>
          <w:rFonts w:hint="eastAsia"/>
          <w:color w:val="auto"/>
          <w:highlight w:val="none"/>
          <w:u w:val="none"/>
          <w:lang w:val="en-US"/>
        </w:rPr>
        <w:t>2024年7月18日气体装置地块又单独完成并备案了《</w:t>
      </w:r>
      <w:r>
        <w:rPr>
          <w:color w:val="auto"/>
          <w:highlight w:val="none"/>
          <w:u w:val="none"/>
          <w:lang w:val="en-US"/>
        </w:rPr>
        <w:t>万华化学</w:t>
      </w:r>
      <w:r>
        <w:rPr>
          <w:rFonts w:hint="eastAsia"/>
          <w:color w:val="auto"/>
          <w:highlight w:val="none"/>
          <w:u w:val="none"/>
          <w:lang w:val="en-US"/>
        </w:rPr>
        <w:t>（</w:t>
      </w:r>
      <w:r>
        <w:rPr>
          <w:color w:val="auto"/>
          <w:highlight w:val="none"/>
          <w:u w:val="none"/>
          <w:lang w:val="en-US"/>
        </w:rPr>
        <w:t>福建</w:t>
      </w:r>
      <w:r>
        <w:rPr>
          <w:rFonts w:hint="eastAsia"/>
          <w:color w:val="auto"/>
          <w:highlight w:val="none"/>
          <w:u w:val="none"/>
          <w:lang w:val="en-US"/>
        </w:rPr>
        <w:t>）</w:t>
      </w:r>
      <w:r>
        <w:rPr>
          <w:color w:val="auto"/>
          <w:highlight w:val="none"/>
          <w:u w:val="none"/>
          <w:lang w:val="en-US"/>
        </w:rPr>
        <w:t>有限公司</w:t>
      </w:r>
      <w:r>
        <w:rPr>
          <w:rFonts w:hint="eastAsia"/>
          <w:color w:val="auto"/>
          <w:highlight w:val="none"/>
          <w:u w:val="none"/>
          <w:lang w:val="en-US"/>
        </w:rPr>
        <w:t>气体厂区</w:t>
      </w:r>
      <w:r>
        <w:rPr>
          <w:color w:val="auto"/>
          <w:highlight w:val="none"/>
          <w:u w:val="none"/>
          <w:lang w:val="en-US"/>
        </w:rPr>
        <w:t>突发环境事件应急预案</w:t>
      </w:r>
      <w:r>
        <w:rPr>
          <w:rFonts w:hint="eastAsia"/>
          <w:color w:val="auto"/>
          <w:highlight w:val="none"/>
          <w:u w:val="none"/>
          <w:lang w:val="en-US"/>
        </w:rPr>
        <w:t>》。</w:t>
      </w:r>
    </w:p>
    <w:p w14:paraId="004C4188">
      <w:pPr>
        <w:ind w:firstLine="482"/>
        <w:rPr>
          <w:rFonts w:hint="eastAsia"/>
          <w:b/>
          <w:bCs/>
          <w:color w:val="auto"/>
          <w:highlight w:val="none"/>
          <w:u w:val="none"/>
          <w:lang w:val="en-US"/>
        </w:rPr>
      </w:pPr>
      <w:r>
        <w:rPr>
          <w:rFonts w:hint="eastAsia"/>
          <w:b/>
          <w:bCs/>
          <w:color w:val="auto"/>
          <w:highlight w:val="none"/>
          <w:u w:val="none"/>
        </w:rPr>
        <w:t>（2）异氰酸酯公司</w:t>
      </w:r>
      <w:r>
        <w:rPr>
          <w:rFonts w:hint="eastAsia"/>
          <w:b/>
          <w:bCs/>
          <w:color w:val="auto"/>
          <w:highlight w:val="none"/>
          <w:u w:val="none"/>
          <w:lang w:val="en-US"/>
        </w:rPr>
        <w:t>概况</w:t>
      </w:r>
    </w:p>
    <w:p w14:paraId="087A9E08">
      <w:pPr>
        <w:rPr>
          <w:rFonts w:hint="eastAsia"/>
          <w:color w:val="auto"/>
          <w:highlight w:val="none"/>
          <w:u w:val="none"/>
          <w:lang w:val="en-US"/>
        </w:rPr>
      </w:pPr>
      <w:r>
        <w:rPr>
          <w:rFonts w:hint="eastAsia"/>
          <w:snapToGrid w:val="0"/>
          <w:color w:val="auto"/>
          <w:highlight w:val="none"/>
          <w:u w:val="none"/>
        </w:rPr>
        <w:t>万华福建公司与</w:t>
      </w:r>
      <w:r>
        <w:rPr>
          <w:rFonts w:hint="eastAsia"/>
          <w:color w:val="auto"/>
          <w:highlight w:val="none"/>
          <w:u w:val="none"/>
        </w:rPr>
        <w:t>福建奕彤投资有限公司、宁波中韬投资股份有限公司</w:t>
      </w:r>
      <w:r>
        <w:rPr>
          <w:rFonts w:hint="eastAsia"/>
          <w:snapToGrid w:val="0"/>
          <w:color w:val="auto"/>
          <w:highlight w:val="none"/>
          <w:u w:val="none"/>
        </w:rPr>
        <w:t>合资成立了万华化学（福建）异氰酸酯有限公司，其中万华福建公司</w:t>
      </w:r>
      <w:r>
        <w:rPr>
          <w:rFonts w:hint="eastAsia"/>
          <w:snapToGrid w:val="0"/>
          <w:color w:val="auto"/>
          <w:highlight w:val="none"/>
          <w:u w:val="none"/>
          <w:lang w:val="en-US"/>
        </w:rPr>
        <w:t>占股64%，</w:t>
      </w:r>
      <w:r>
        <w:rPr>
          <w:rFonts w:hint="eastAsia"/>
          <w:color w:val="auto"/>
          <w:highlight w:val="none"/>
          <w:u w:val="none"/>
        </w:rPr>
        <w:t>其</w:t>
      </w:r>
      <w:r>
        <w:rPr>
          <w:rFonts w:hint="eastAsia"/>
          <w:color w:val="auto"/>
          <w:highlight w:val="none"/>
          <w:u w:val="none"/>
          <w:lang w:val="en-US"/>
        </w:rPr>
        <w:t>位于</w:t>
      </w:r>
      <w:r>
        <w:rPr>
          <w:rFonts w:hint="eastAsia"/>
          <w:snapToGrid w:val="0"/>
          <w:color w:val="auto"/>
          <w:highlight w:val="none"/>
          <w:u w:val="none"/>
        </w:rPr>
        <w:t>万华福建公司</w:t>
      </w:r>
      <w:r>
        <w:rPr>
          <w:rFonts w:hint="eastAsia"/>
          <w:color w:val="auto"/>
          <w:highlight w:val="none"/>
          <w:u w:val="none"/>
          <w:lang w:val="en-US"/>
        </w:rPr>
        <w:t>主要生产地块南侧。</w:t>
      </w:r>
    </w:p>
    <w:p w14:paraId="630D3F0B">
      <w:pPr>
        <w:rPr>
          <w:rFonts w:hint="eastAsia"/>
          <w:color w:val="auto"/>
          <w:highlight w:val="none"/>
          <w:u w:val="none"/>
        </w:rPr>
      </w:pPr>
      <w:r>
        <w:rPr>
          <w:rFonts w:hint="eastAsia"/>
          <w:color w:val="auto"/>
          <w:highlight w:val="none"/>
          <w:u w:val="none"/>
        </w:rPr>
        <w:t>为配套</w:t>
      </w:r>
      <w:r>
        <w:rPr>
          <w:rFonts w:hint="eastAsia"/>
          <w:color w:val="auto"/>
          <w:highlight w:val="none"/>
          <w:u w:val="none"/>
          <w:lang w:val="en-US"/>
        </w:rPr>
        <w:t>各生产项目</w:t>
      </w:r>
      <w:r>
        <w:rPr>
          <w:rFonts w:hint="eastAsia"/>
          <w:color w:val="auto"/>
          <w:highlight w:val="none"/>
          <w:u w:val="none"/>
        </w:rPr>
        <w:t>以及服务整个万华化学福建产业园，异氰酸酯公司配套建设物料储运、公辅工程及环保工程等附属配套设施，其环评报告（《万华化学（福建）异氰酸酯有限公司附属配套设施工程环境影响报告书》）于2021年9月14日通过福州市生态环境局审批（榕环评[2021]12号，见附件</w:t>
      </w:r>
      <w:r>
        <w:rPr>
          <w:rFonts w:hint="eastAsia"/>
          <w:color w:val="auto"/>
          <w:highlight w:val="none"/>
          <w:u w:val="none"/>
          <w:lang w:val="en-US" w:eastAsia="zh-CN"/>
        </w:rPr>
        <w:t>9</w:t>
      </w:r>
      <w:r>
        <w:rPr>
          <w:rFonts w:hint="eastAsia"/>
          <w:color w:val="auto"/>
          <w:highlight w:val="none"/>
          <w:u w:val="none"/>
        </w:rPr>
        <w:t>）。万华福建公司TDI项目、PVC项目、甲醛项目、苯胺项目等的供水、部分储罐、装灌车、废气处理、废水处理、固废贮存等，依托异氰酸酯公司及其附属配套设施工程（其中废水处理系统、能量回收装置、苯胺焦油焚烧炉、封闭式地面火炬、危废贮存间、综合供水站、脱盐水及蒸汽凝液处理站等资产已于2024年5月转移至万华环保科技公司）。</w:t>
      </w:r>
    </w:p>
    <w:p w14:paraId="0E3882AC">
      <w:pPr>
        <w:rPr>
          <w:rFonts w:hint="eastAsia"/>
          <w:color w:val="auto"/>
          <w:highlight w:val="none"/>
          <w:u w:val="none"/>
          <w:lang w:val="en-US"/>
        </w:rPr>
      </w:pPr>
      <w:r>
        <w:rPr>
          <w:rFonts w:hint="eastAsia"/>
          <w:color w:val="auto"/>
          <w:highlight w:val="none"/>
          <w:u w:val="none"/>
          <w:lang w:val="en-US"/>
        </w:rPr>
        <w:t>2023年6月异氰酸酯公司附属配套设施工程完成第一阶段竣工环保自主验收；2024年2月异氰酸酯公司附属配套设施工程完成第二阶段竣工环保自主验收。已验收的工程包括：物料储运系统、综合供水站、脱盐水及蒸汽凝液处理站、预留的1套原水制脱盐水系统、循环水站、消防系统、空压制氮系统、供电系统、罐区、PVC包装厂房及仓库（含一期工程PVC包装生产设施及配套废气治理设施）等公辅工程；火炬系统、能量回收装置、低浓度废水处理系统（一期工程）、离心母液处理系统（一期工程）、综合废水处理系统（一期工程）、雨水监测池、一般固废临时储存场、危险废物临时储存场及相关废气处理设施等环保工程；未验收的工程包括：二期工程PVC包装生产设施及配套废气治理设施，污水处理设施（二期工程）。</w:t>
      </w:r>
    </w:p>
    <w:p w14:paraId="28F9CA71">
      <w:pPr>
        <w:ind w:firstLine="482"/>
        <w:rPr>
          <w:rFonts w:hint="eastAsia"/>
          <w:b/>
          <w:bCs/>
          <w:color w:val="auto"/>
          <w:highlight w:val="none"/>
          <w:u w:val="none"/>
          <w:lang w:val="en-US"/>
        </w:rPr>
      </w:pPr>
      <w:r>
        <w:rPr>
          <w:rFonts w:hint="eastAsia"/>
          <w:b/>
          <w:bCs/>
          <w:color w:val="auto"/>
          <w:highlight w:val="none"/>
          <w:u w:val="none"/>
          <w:lang w:val="en-US"/>
        </w:rPr>
        <w:t>（3）万华环保科技公司概况</w:t>
      </w:r>
    </w:p>
    <w:p w14:paraId="11D80F3F">
      <w:pPr>
        <w:rPr>
          <w:rFonts w:hint="eastAsia"/>
          <w:color w:val="auto"/>
          <w:highlight w:val="none"/>
          <w:u w:val="none"/>
          <w:lang w:val="en-US"/>
        </w:rPr>
      </w:pPr>
      <w:r>
        <w:rPr>
          <w:rFonts w:hint="eastAsia"/>
          <w:color w:val="auto"/>
          <w:highlight w:val="none"/>
          <w:u w:val="none"/>
          <w:lang w:val="en-US"/>
        </w:rPr>
        <w:t>万华集团为实现园区一体化、规模化的建设理念，结合集团发展需要，借鉴万华烟台工业园成立专门环保公司统筹管理园区环保设施的成功经验，万华化学集团环保科技有限公司（成立于2019年3月14日，由万华化学集团股份有限公司独资成立）与宁波中韬投资股份有限公司合资成立万华环保科技公司。</w:t>
      </w:r>
    </w:p>
    <w:p w14:paraId="28CD8E39">
      <w:pPr>
        <w:rPr>
          <w:rFonts w:hint="eastAsia"/>
          <w:color w:val="auto"/>
          <w:highlight w:val="none"/>
          <w:u w:val="none"/>
          <w:lang w:val="en-US"/>
        </w:rPr>
      </w:pPr>
      <w:r>
        <w:rPr>
          <w:rFonts w:hint="eastAsia"/>
          <w:color w:val="auto"/>
          <w:highlight w:val="none"/>
          <w:u w:val="none"/>
          <w:lang w:val="en-US"/>
        </w:rPr>
        <w:t>万华环保科技公司于2022年11月4日取得营业执照，2024年5月13日与异氰酸酯公司完成资产划分，异氰酸酯公司将部分资产转移至万华环保科技公司并分别取得排污许可证。同时万华环保科技公司拟新增编组站地块，并在新增的编组站地块建设1套废水处理系统，主要配套万华福建公司气体扩能改造项目污水处理，以及万华福建其他项目中水回用</w:t>
      </w:r>
      <w:r>
        <w:rPr>
          <w:rFonts w:hint="eastAsia"/>
          <w:color w:val="auto"/>
          <w:highlight w:val="none"/>
          <w:u w:val="none"/>
        </w:rPr>
        <w:t>（编组站项目</w:t>
      </w:r>
      <w:r>
        <w:rPr>
          <w:rStyle w:val="161"/>
          <w:rFonts w:hint="eastAsia"/>
          <w:color w:val="auto"/>
          <w:sz w:val="24"/>
          <w:szCs w:val="24"/>
          <w:highlight w:val="none"/>
          <w:u w:val="none"/>
        </w:rPr>
        <w:t>环境影响评价报告</w:t>
      </w:r>
      <w:r>
        <w:rPr>
          <w:rFonts w:hint="eastAsia"/>
          <w:color w:val="auto"/>
          <w:highlight w:val="none"/>
          <w:u w:val="none"/>
        </w:rPr>
        <w:t>《万华环保科技（福建）有限公司编组站项目环境影响报告书》已于2025年3月18日</w:t>
      </w:r>
      <w:r>
        <w:rPr>
          <w:rStyle w:val="161"/>
          <w:color w:val="auto"/>
          <w:sz w:val="24"/>
          <w:szCs w:val="24"/>
          <w:highlight w:val="none"/>
          <w:u w:val="none"/>
        </w:rPr>
        <w:t>通过福州市生态环境局审批</w:t>
      </w:r>
      <w:r>
        <w:rPr>
          <w:rStyle w:val="161"/>
          <w:rFonts w:hint="eastAsia"/>
          <w:color w:val="auto"/>
          <w:sz w:val="24"/>
          <w:szCs w:val="24"/>
          <w:highlight w:val="none"/>
          <w:u w:val="none"/>
        </w:rPr>
        <w:t>，批文号：榕融环评[2025]16号</w:t>
      </w:r>
      <w:r>
        <w:rPr>
          <w:rStyle w:val="161"/>
          <w:rFonts w:hint="eastAsia"/>
          <w:color w:val="auto"/>
          <w:sz w:val="24"/>
          <w:szCs w:val="24"/>
          <w:highlight w:val="none"/>
          <w:u w:val="none"/>
          <w:lang w:eastAsia="zh-CN"/>
        </w:rPr>
        <w:t>）</w:t>
      </w:r>
      <w:r>
        <w:rPr>
          <w:rFonts w:hint="eastAsia"/>
          <w:color w:val="auto"/>
          <w:highlight w:val="none"/>
          <w:u w:val="none"/>
          <w:lang w:val="en-US"/>
        </w:rPr>
        <w:t>，万华环保科技公司占地面积将达到36公顷，其中现有厂内用地（原异氰酸酯公司划转用地）12公顷，新增编组站地块24公顷。</w:t>
      </w:r>
    </w:p>
    <w:p w14:paraId="70D5EC3B">
      <w:pPr>
        <w:rPr>
          <w:rFonts w:hint="eastAsia"/>
          <w:color w:val="auto"/>
          <w:highlight w:val="none"/>
          <w:u w:val="none"/>
          <w:lang w:val="en-US"/>
        </w:rPr>
      </w:pPr>
      <w:r>
        <w:rPr>
          <w:rFonts w:hint="eastAsia"/>
          <w:color w:val="auto"/>
          <w:highlight w:val="none"/>
          <w:u w:val="none"/>
        </w:rPr>
        <w:t>①现有工程</w:t>
      </w:r>
    </w:p>
    <w:p w14:paraId="59D4973B">
      <w:pPr>
        <w:rPr>
          <w:rFonts w:hint="eastAsia"/>
          <w:color w:val="auto"/>
          <w:highlight w:val="none"/>
          <w:u w:val="none"/>
          <w:lang w:val="en-US"/>
        </w:rPr>
      </w:pPr>
      <w:r>
        <w:rPr>
          <w:rFonts w:hint="eastAsia"/>
          <w:color w:val="auto"/>
          <w:highlight w:val="none"/>
          <w:u w:val="none"/>
          <w:lang w:val="en-US"/>
        </w:rPr>
        <w:t>2024年5月，异氰酸酯公司已将其废水处理系统、能量回收装置、苯胺焦油焚烧炉、封闭式地面火炬、危废贮存间、综合供水站、脱盐水及蒸汽凝液处理站等资产转移至万华环保科技公司，由其进行专业化统筹管理，具体划分内容见</w:t>
      </w:r>
      <w:r>
        <w:rPr>
          <w:rFonts w:hint="eastAsia"/>
          <w:color w:val="auto"/>
          <w:highlight w:val="none"/>
          <w:u w:val="none"/>
          <w:lang w:val="en-US"/>
        </w:rPr>
        <w:fldChar w:fldCharType="begin"/>
      </w:r>
      <w:r>
        <w:rPr>
          <w:rFonts w:hint="eastAsia"/>
          <w:color w:val="auto"/>
          <w:highlight w:val="none"/>
          <w:u w:val="none"/>
          <w:lang w:val="en-US"/>
        </w:rPr>
        <w:instrText xml:space="preserve"> REF _Ref31553 \h </w:instrText>
      </w:r>
      <w:r>
        <w:rPr>
          <w:rFonts w:hint="eastAsia"/>
          <w:color w:val="auto"/>
          <w:highlight w:val="none"/>
          <w:u w:val="none"/>
          <w:lang w:val="en-US"/>
        </w:rPr>
        <w:fldChar w:fldCharType="separate"/>
      </w:r>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3.1</w:t>
      </w:r>
      <w:r>
        <w:rPr>
          <w:b/>
          <w:bCs/>
          <w:color w:val="auto"/>
          <w:highlight w:val="none"/>
          <w:u w:val="none"/>
        </w:rPr>
        <w:fldChar w:fldCharType="end"/>
      </w:r>
      <w:r>
        <w:rPr>
          <w:b/>
          <w:bCs/>
          <w:color w:val="auto"/>
          <w:highlight w:val="none"/>
          <w:u w:val="none"/>
        </w:rPr>
        <w:noBreakHyphen/>
      </w:r>
      <w:r>
        <w:rPr>
          <w:b/>
          <w:bCs/>
          <w:color w:val="auto"/>
          <w:highlight w:val="none"/>
          <w:u w:val="none"/>
        </w:rPr>
        <w:t>1</w:t>
      </w:r>
      <w:r>
        <w:rPr>
          <w:rFonts w:hint="eastAsia"/>
          <w:color w:val="auto"/>
          <w:highlight w:val="none"/>
          <w:u w:val="none"/>
          <w:lang w:val="en-US"/>
        </w:rPr>
        <w:fldChar w:fldCharType="end"/>
      </w:r>
      <w:r>
        <w:rPr>
          <w:rFonts w:hint="eastAsia"/>
          <w:color w:val="auto"/>
          <w:highlight w:val="none"/>
          <w:u w:val="none"/>
          <w:lang w:val="en-US"/>
        </w:rPr>
        <w:t>。异氰酸酯公司转移至万华环保公司的资产均已在《万华化学(福建)异氰酸酯有限公司附属配套设施工程环境影响报告书》进行了评价，并取得批复。</w:t>
      </w:r>
    </w:p>
    <w:p w14:paraId="4BBA9FC1">
      <w:pPr>
        <w:pStyle w:val="981"/>
        <w:ind w:firstLine="0" w:firstLineChars="0"/>
        <w:jc w:val="center"/>
        <w:rPr>
          <w:rFonts w:hint="eastAsia"/>
          <w:b/>
          <w:bCs/>
          <w:color w:val="auto"/>
          <w:highlight w:val="none"/>
          <w:u w:val="none"/>
          <w:lang w:val="en-US"/>
        </w:rPr>
      </w:pPr>
      <w:bookmarkStart w:id="136" w:name="_Ref31553"/>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1</w:t>
      </w:r>
      <w:r>
        <w:rPr>
          <w:b/>
          <w:bCs/>
          <w:color w:val="auto"/>
          <w:highlight w:val="none"/>
          <w:u w:val="none"/>
        </w:rPr>
        <w:fldChar w:fldCharType="end"/>
      </w:r>
      <w:bookmarkEnd w:id="136"/>
      <w:r>
        <w:rPr>
          <w:b/>
          <w:bCs/>
          <w:color w:val="auto"/>
          <w:highlight w:val="none"/>
          <w:u w:val="none"/>
        </w:rPr>
        <w:t xml:space="preserve"> </w:t>
      </w:r>
      <w:r>
        <w:rPr>
          <w:rFonts w:hint="eastAsia"/>
          <w:b/>
          <w:bCs/>
          <w:color w:val="auto"/>
          <w:highlight w:val="none"/>
          <w:u w:val="none"/>
          <w:lang w:val="en-US"/>
        </w:rPr>
        <w:t>异氰酸酯公司设施转移至万华环保科技公司一览表</w:t>
      </w:r>
    </w:p>
    <w:tbl>
      <w:tblPr>
        <w:tblStyle w:val="5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1075"/>
        <w:gridCol w:w="4382"/>
        <w:gridCol w:w="2341"/>
      </w:tblGrid>
      <w:tr w14:paraId="792B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9" w:type="pct"/>
            <w:tcBorders>
              <w:top w:val="single" w:color="auto" w:sz="12" w:space="0"/>
              <w:left w:val="single" w:color="auto" w:sz="12" w:space="0"/>
            </w:tcBorders>
            <w:vAlign w:val="center"/>
          </w:tcPr>
          <w:p w14:paraId="518F897A">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序号</w:t>
            </w:r>
          </w:p>
        </w:tc>
        <w:tc>
          <w:tcPr>
            <w:tcW w:w="2939" w:type="pct"/>
            <w:gridSpan w:val="2"/>
            <w:tcBorders>
              <w:top w:val="single" w:color="auto" w:sz="12" w:space="0"/>
            </w:tcBorders>
            <w:vAlign w:val="center"/>
          </w:tcPr>
          <w:p w14:paraId="0A99E96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现有工程</w:t>
            </w:r>
          </w:p>
        </w:tc>
        <w:tc>
          <w:tcPr>
            <w:tcW w:w="1261" w:type="pct"/>
            <w:tcBorders>
              <w:top w:val="single" w:color="auto" w:sz="12" w:space="0"/>
              <w:right w:val="single" w:color="auto" w:sz="12" w:space="0"/>
            </w:tcBorders>
            <w:vAlign w:val="center"/>
          </w:tcPr>
          <w:p w14:paraId="4D9C1DB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建设进度</w:t>
            </w:r>
          </w:p>
        </w:tc>
      </w:tr>
      <w:tr w14:paraId="4DF4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1D832D7D">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w:t>
            </w:r>
          </w:p>
        </w:tc>
        <w:tc>
          <w:tcPr>
            <w:tcW w:w="2939" w:type="pct"/>
            <w:gridSpan w:val="2"/>
            <w:vAlign w:val="center"/>
          </w:tcPr>
          <w:p w14:paraId="4C74C364">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综合供水站</w:t>
            </w:r>
          </w:p>
        </w:tc>
        <w:tc>
          <w:tcPr>
            <w:tcW w:w="1261" w:type="pct"/>
            <w:tcBorders>
              <w:right w:val="single" w:color="auto" w:sz="12" w:space="0"/>
            </w:tcBorders>
            <w:vAlign w:val="center"/>
          </w:tcPr>
          <w:p w14:paraId="3678A8E6">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69B4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2ED4AEDE">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2</w:t>
            </w:r>
          </w:p>
        </w:tc>
        <w:tc>
          <w:tcPr>
            <w:tcW w:w="2939" w:type="pct"/>
            <w:gridSpan w:val="2"/>
            <w:vAlign w:val="center"/>
          </w:tcPr>
          <w:p w14:paraId="304559E2">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脱盐水及蒸汽凝液处理站</w:t>
            </w:r>
          </w:p>
        </w:tc>
        <w:tc>
          <w:tcPr>
            <w:tcW w:w="1261" w:type="pct"/>
            <w:tcBorders>
              <w:right w:val="single" w:color="auto" w:sz="12" w:space="0"/>
            </w:tcBorders>
            <w:vAlign w:val="center"/>
          </w:tcPr>
          <w:p w14:paraId="6F9607C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5951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5E0718B7">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3</w:t>
            </w:r>
          </w:p>
        </w:tc>
        <w:tc>
          <w:tcPr>
            <w:tcW w:w="2939" w:type="pct"/>
            <w:gridSpan w:val="2"/>
            <w:vAlign w:val="center"/>
          </w:tcPr>
          <w:p w14:paraId="514C0630">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消防水系统</w:t>
            </w:r>
          </w:p>
        </w:tc>
        <w:tc>
          <w:tcPr>
            <w:tcW w:w="1261" w:type="pct"/>
            <w:tcBorders>
              <w:right w:val="single" w:color="auto" w:sz="12" w:space="0"/>
            </w:tcBorders>
            <w:vAlign w:val="center"/>
          </w:tcPr>
          <w:p w14:paraId="6C9633E1">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559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1B3C28A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4</w:t>
            </w:r>
          </w:p>
        </w:tc>
        <w:tc>
          <w:tcPr>
            <w:tcW w:w="2939" w:type="pct"/>
            <w:gridSpan w:val="2"/>
            <w:vAlign w:val="center"/>
          </w:tcPr>
          <w:p w14:paraId="6DF00320">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能量回收装置</w:t>
            </w:r>
          </w:p>
        </w:tc>
        <w:tc>
          <w:tcPr>
            <w:tcW w:w="1261" w:type="pct"/>
            <w:tcBorders>
              <w:right w:val="single" w:color="auto" w:sz="12" w:space="0"/>
            </w:tcBorders>
            <w:vAlign w:val="center"/>
          </w:tcPr>
          <w:p w14:paraId="2BB4E3E1">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26B6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1A59D3AB">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5</w:t>
            </w:r>
          </w:p>
        </w:tc>
        <w:tc>
          <w:tcPr>
            <w:tcW w:w="2939" w:type="pct"/>
            <w:gridSpan w:val="2"/>
            <w:vAlign w:val="center"/>
          </w:tcPr>
          <w:p w14:paraId="031A1679">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苯胺焦油焚烧炉</w:t>
            </w:r>
          </w:p>
        </w:tc>
        <w:tc>
          <w:tcPr>
            <w:tcW w:w="1261" w:type="pct"/>
            <w:tcBorders>
              <w:right w:val="single" w:color="auto" w:sz="12" w:space="0"/>
            </w:tcBorders>
            <w:vAlign w:val="center"/>
          </w:tcPr>
          <w:p w14:paraId="1ADCE126">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0121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34764B06">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6</w:t>
            </w:r>
          </w:p>
        </w:tc>
        <w:tc>
          <w:tcPr>
            <w:tcW w:w="2939" w:type="pct"/>
            <w:gridSpan w:val="2"/>
            <w:vAlign w:val="center"/>
          </w:tcPr>
          <w:p w14:paraId="3928E22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地面封闭式</w:t>
            </w:r>
            <w:r>
              <w:rPr>
                <w:color w:val="auto"/>
                <w:sz w:val="21"/>
                <w:szCs w:val="21"/>
                <w:highlight w:val="none"/>
                <w:u w:val="none"/>
                <w:lang w:val="en-US"/>
              </w:rPr>
              <w:t>火炬系统</w:t>
            </w:r>
          </w:p>
        </w:tc>
        <w:tc>
          <w:tcPr>
            <w:tcW w:w="1261" w:type="pct"/>
            <w:tcBorders>
              <w:right w:val="single" w:color="auto" w:sz="12" w:space="0"/>
            </w:tcBorders>
            <w:vAlign w:val="center"/>
          </w:tcPr>
          <w:p w14:paraId="70798647">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7126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729080A1">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7</w:t>
            </w:r>
          </w:p>
        </w:tc>
        <w:tc>
          <w:tcPr>
            <w:tcW w:w="2939" w:type="pct"/>
            <w:gridSpan w:val="2"/>
            <w:vAlign w:val="center"/>
          </w:tcPr>
          <w:p w14:paraId="2CA39FB8">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危废</w:t>
            </w:r>
            <w:r>
              <w:rPr>
                <w:rFonts w:hint="eastAsia"/>
                <w:color w:val="auto"/>
                <w:sz w:val="21"/>
                <w:szCs w:val="21"/>
                <w:highlight w:val="none"/>
                <w:u w:val="none"/>
                <w:lang w:val="en-US"/>
              </w:rPr>
              <w:t>贮存</w:t>
            </w:r>
            <w:r>
              <w:rPr>
                <w:color w:val="auto"/>
                <w:sz w:val="21"/>
                <w:szCs w:val="21"/>
                <w:highlight w:val="none"/>
                <w:u w:val="none"/>
                <w:lang w:val="en-US"/>
              </w:rPr>
              <w:t>间一</w:t>
            </w:r>
          </w:p>
        </w:tc>
        <w:tc>
          <w:tcPr>
            <w:tcW w:w="1261" w:type="pct"/>
            <w:tcBorders>
              <w:right w:val="single" w:color="auto" w:sz="12" w:space="0"/>
            </w:tcBorders>
            <w:vAlign w:val="center"/>
          </w:tcPr>
          <w:p w14:paraId="1C332532">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3E12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7448479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8</w:t>
            </w:r>
          </w:p>
        </w:tc>
        <w:tc>
          <w:tcPr>
            <w:tcW w:w="2939" w:type="pct"/>
            <w:gridSpan w:val="2"/>
            <w:vAlign w:val="center"/>
          </w:tcPr>
          <w:p w14:paraId="13EF05B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危废</w:t>
            </w:r>
            <w:r>
              <w:rPr>
                <w:rFonts w:hint="eastAsia"/>
                <w:color w:val="auto"/>
                <w:sz w:val="21"/>
                <w:szCs w:val="21"/>
                <w:highlight w:val="none"/>
                <w:u w:val="none"/>
                <w:lang w:val="en-US"/>
              </w:rPr>
              <w:t>贮存</w:t>
            </w:r>
            <w:r>
              <w:rPr>
                <w:color w:val="auto"/>
                <w:sz w:val="21"/>
                <w:szCs w:val="21"/>
                <w:highlight w:val="none"/>
                <w:u w:val="none"/>
                <w:lang w:val="en-US"/>
              </w:rPr>
              <w:t>间二</w:t>
            </w:r>
          </w:p>
        </w:tc>
        <w:tc>
          <w:tcPr>
            <w:tcW w:w="1261" w:type="pct"/>
            <w:tcBorders>
              <w:right w:val="single" w:color="auto" w:sz="12" w:space="0"/>
            </w:tcBorders>
            <w:vAlign w:val="center"/>
          </w:tcPr>
          <w:p w14:paraId="53BABDDB">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42DC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5FB584CE">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9</w:t>
            </w:r>
          </w:p>
        </w:tc>
        <w:tc>
          <w:tcPr>
            <w:tcW w:w="579" w:type="pct"/>
            <w:vMerge w:val="restart"/>
            <w:vAlign w:val="center"/>
          </w:tcPr>
          <w:p w14:paraId="51B4AE1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污水处理系统</w:t>
            </w:r>
          </w:p>
        </w:tc>
        <w:tc>
          <w:tcPr>
            <w:tcW w:w="2360" w:type="pct"/>
            <w:vAlign w:val="center"/>
          </w:tcPr>
          <w:p w14:paraId="1B87D811">
            <w:pPr>
              <w:spacing w:line="240" w:lineRule="auto"/>
              <w:ind w:firstLine="0" w:firstLineChars="0"/>
              <w:jc w:val="center"/>
              <w:rPr>
                <w:rFonts w:hint="eastAsia" w:eastAsia="宋体"/>
                <w:color w:val="auto"/>
                <w:sz w:val="21"/>
                <w:szCs w:val="21"/>
                <w:highlight w:val="none"/>
                <w:u w:val="none"/>
                <w:lang w:val="en-US" w:eastAsia="zh-CN"/>
              </w:rPr>
            </w:pPr>
            <w:r>
              <w:rPr>
                <w:color w:val="auto"/>
                <w:sz w:val="21"/>
                <w:szCs w:val="21"/>
                <w:highlight w:val="none"/>
                <w:u w:val="none"/>
                <w:lang w:val="en-US"/>
              </w:rPr>
              <w:t>低浓度废水处理</w:t>
            </w:r>
            <w:r>
              <w:rPr>
                <w:rFonts w:hint="eastAsia"/>
                <w:color w:val="auto"/>
                <w:sz w:val="21"/>
                <w:szCs w:val="21"/>
                <w:highlight w:val="none"/>
                <w:u w:val="none"/>
                <w:lang w:val="en-US" w:eastAsia="zh-CN"/>
              </w:rPr>
              <w:t>系统</w:t>
            </w:r>
          </w:p>
        </w:tc>
        <w:tc>
          <w:tcPr>
            <w:tcW w:w="1261" w:type="pct"/>
            <w:tcBorders>
              <w:right w:val="single" w:color="auto" w:sz="12" w:space="0"/>
            </w:tcBorders>
            <w:vAlign w:val="center"/>
          </w:tcPr>
          <w:p w14:paraId="4578B5A1">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一期已验收</w:t>
            </w:r>
          </w:p>
        </w:tc>
      </w:tr>
      <w:tr w14:paraId="0C67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285EDEF3">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10</w:t>
            </w:r>
          </w:p>
        </w:tc>
        <w:tc>
          <w:tcPr>
            <w:tcW w:w="579" w:type="pct"/>
            <w:vMerge w:val="continue"/>
            <w:vAlign w:val="center"/>
          </w:tcPr>
          <w:p w14:paraId="5A9BD463">
            <w:pPr>
              <w:spacing w:line="240" w:lineRule="auto"/>
              <w:ind w:firstLine="0" w:firstLineChars="0"/>
              <w:jc w:val="center"/>
              <w:rPr>
                <w:rFonts w:hint="eastAsia"/>
                <w:color w:val="auto"/>
                <w:sz w:val="21"/>
                <w:szCs w:val="21"/>
                <w:highlight w:val="none"/>
                <w:u w:val="none"/>
                <w:lang w:val="en-US"/>
              </w:rPr>
            </w:pPr>
          </w:p>
        </w:tc>
        <w:tc>
          <w:tcPr>
            <w:tcW w:w="2360" w:type="pct"/>
            <w:vAlign w:val="center"/>
          </w:tcPr>
          <w:p w14:paraId="272FB814">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综合废水处理系统</w:t>
            </w:r>
          </w:p>
        </w:tc>
        <w:tc>
          <w:tcPr>
            <w:tcW w:w="1261" w:type="pct"/>
            <w:tcBorders>
              <w:right w:val="single" w:color="auto" w:sz="12" w:space="0"/>
            </w:tcBorders>
            <w:vAlign w:val="center"/>
          </w:tcPr>
          <w:p w14:paraId="6CB59022">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一期已验收</w:t>
            </w:r>
          </w:p>
        </w:tc>
      </w:tr>
      <w:tr w14:paraId="4EA5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755C8A54">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11</w:t>
            </w:r>
          </w:p>
        </w:tc>
        <w:tc>
          <w:tcPr>
            <w:tcW w:w="579" w:type="pct"/>
            <w:vMerge w:val="continue"/>
            <w:vAlign w:val="center"/>
          </w:tcPr>
          <w:p w14:paraId="7A33AFA6">
            <w:pPr>
              <w:spacing w:line="240" w:lineRule="auto"/>
              <w:ind w:firstLine="0" w:firstLineChars="0"/>
              <w:jc w:val="center"/>
              <w:rPr>
                <w:rFonts w:hint="eastAsia"/>
                <w:color w:val="auto"/>
                <w:sz w:val="21"/>
                <w:szCs w:val="21"/>
                <w:highlight w:val="none"/>
                <w:u w:val="none"/>
                <w:lang w:val="en-US"/>
              </w:rPr>
            </w:pPr>
          </w:p>
        </w:tc>
        <w:tc>
          <w:tcPr>
            <w:tcW w:w="2360" w:type="pct"/>
            <w:vAlign w:val="center"/>
          </w:tcPr>
          <w:p w14:paraId="2BE66C51">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离心母液处理系统</w:t>
            </w:r>
          </w:p>
        </w:tc>
        <w:tc>
          <w:tcPr>
            <w:tcW w:w="1261" w:type="pct"/>
            <w:tcBorders>
              <w:right w:val="single" w:color="auto" w:sz="12" w:space="0"/>
            </w:tcBorders>
            <w:vAlign w:val="center"/>
          </w:tcPr>
          <w:p w14:paraId="41D62064">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一期已验收</w:t>
            </w:r>
          </w:p>
        </w:tc>
      </w:tr>
      <w:tr w14:paraId="79B0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39B9639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12</w:t>
            </w:r>
          </w:p>
        </w:tc>
        <w:tc>
          <w:tcPr>
            <w:tcW w:w="579" w:type="pct"/>
            <w:vMerge w:val="continue"/>
            <w:vAlign w:val="center"/>
          </w:tcPr>
          <w:p w14:paraId="182D769D">
            <w:pPr>
              <w:spacing w:line="240" w:lineRule="auto"/>
              <w:ind w:firstLine="0" w:firstLineChars="0"/>
              <w:jc w:val="center"/>
              <w:rPr>
                <w:rFonts w:hint="eastAsia"/>
                <w:color w:val="auto"/>
                <w:sz w:val="21"/>
                <w:szCs w:val="21"/>
                <w:highlight w:val="none"/>
                <w:u w:val="none"/>
                <w:lang w:val="en-US"/>
              </w:rPr>
            </w:pPr>
          </w:p>
        </w:tc>
        <w:tc>
          <w:tcPr>
            <w:tcW w:w="2360" w:type="pct"/>
            <w:vAlign w:val="center"/>
          </w:tcPr>
          <w:p w14:paraId="232C1CB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原水净化装置</w:t>
            </w:r>
          </w:p>
        </w:tc>
        <w:tc>
          <w:tcPr>
            <w:tcW w:w="1261" w:type="pct"/>
            <w:tcBorders>
              <w:right w:val="single" w:color="auto" w:sz="12" w:space="0"/>
            </w:tcBorders>
            <w:vAlign w:val="center"/>
          </w:tcPr>
          <w:p w14:paraId="6E562404">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暂未建设</w:t>
            </w:r>
          </w:p>
        </w:tc>
      </w:tr>
      <w:tr w14:paraId="6D37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tcBorders>
            <w:vAlign w:val="center"/>
          </w:tcPr>
          <w:p w14:paraId="09DA9998">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w:t>
            </w:r>
            <w:r>
              <w:rPr>
                <w:rFonts w:hint="eastAsia"/>
                <w:color w:val="auto"/>
                <w:sz w:val="21"/>
                <w:szCs w:val="21"/>
                <w:highlight w:val="none"/>
                <w:u w:val="none"/>
                <w:lang w:val="en-US"/>
              </w:rPr>
              <w:t>3</w:t>
            </w:r>
          </w:p>
        </w:tc>
        <w:tc>
          <w:tcPr>
            <w:tcW w:w="2939" w:type="pct"/>
            <w:gridSpan w:val="2"/>
            <w:vAlign w:val="center"/>
          </w:tcPr>
          <w:p w14:paraId="22430342">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雨水监控池</w:t>
            </w:r>
          </w:p>
        </w:tc>
        <w:tc>
          <w:tcPr>
            <w:tcW w:w="1261" w:type="pct"/>
            <w:tcBorders>
              <w:right w:val="single" w:color="auto" w:sz="12" w:space="0"/>
            </w:tcBorders>
            <w:vAlign w:val="center"/>
          </w:tcPr>
          <w:p w14:paraId="7FE0C6CD">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r w14:paraId="22B8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Borders>
              <w:left w:val="single" w:color="auto" w:sz="12" w:space="0"/>
              <w:bottom w:val="single" w:color="auto" w:sz="12" w:space="0"/>
            </w:tcBorders>
            <w:vAlign w:val="center"/>
          </w:tcPr>
          <w:p w14:paraId="09F9987F">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w:t>
            </w:r>
            <w:r>
              <w:rPr>
                <w:rFonts w:hint="eastAsia"/>
                <w:color w:val="auto"/>
                <w:sz w:val="21"/>
                <w:szCs w:val="21"/>
                <w:highlight w:val="none"/>
                <w:u w:val="none"/>
                <w:lang w:val="en-US"/>
              </w:rPr>
              <w:t>4</w:t>
            </w:r>
          </w:p>
        </w:tc>
        <w:tc>
          <w:tcPr>
            <w:tcW w:w="2939" w:type="pct"/>
            <w:gridSpan w:val="2"/>
            <w:tcBorders>
              <w:bottom w:val="single" w:color="auto" w:sz="12" w:space="0"/>
            </w:tcBorders>
            <w:vAlign w:val="center"/>
          </w:tcPr>
          <w:p w14:paraId="475BF5B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事故应急</w:t>
            </w:r>
            <w:r>
              <w:rPr>
                <w:color w:val="auto"/>
                <w:sz w:val="21"/>
                <w:szCs w:val="21"/>
                <w:highlight w:val="none"/>
                <w:u w:val="none"/>
                <w:lang w:val="en-US"/>
              </w:rPr>
              <w:t>池</w:t>
            </w:r>
          </w:p>
        </w:tc>
        <w:tc>
          <w:tcPr>
            <w:tcW w:w="1261" w:type="pct"/>
            <w:tcBorders>
              <w:bottom w:val="single" w:color="auto" w:sz="12" w:space="0"/>
              <w:right w:val="single" w:color="auto" w:sz="12" w:space="0"/>
            </w:tcBorders>
            <w:vAlign w:val="center"/>
          </w:tcPr>
          <w:p w14:paraId="2DEE1C16">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已验收</w:t>
            </w:r>
          </w:p>
        </w:tc>
      </w:tr>
    </w:tbl>
    <w:p w14:paraId="140B6B59">
      <w:pPr>
        <w:rPr>
          <w:rFonts w:hint="eastAsia"/>
          <w:color w:val="auto"/>
          <w:highlight w:val="none"/>
          <w:u w:val="none"/>
          <w:lang w:val="en-US"/>
        </w:rPr>
      </w:pPr>
    </w:p>
    <w:p w14:paraId="1521EB35">
      <w:pPr>
        <w:rPr>
          <w:rFonts w:hint="eastAsia"/>
          <w:color w:val="auto"/>
          <w:highlight w:val="none"/>
          <w:u w:val="none"/>
          <w:lang w:val="en-US"/>
        </w:rPr>
      </w:pPr>
      <w:r>
        <w:rPr>
          <w:rFonts w:hint="eastAsia"/>
          <w:color w:val="auto"/>
          <w:highlight w:val="none"/>
          <w:u w:val="none"/>
          <w:lang w:val="en-US"/>
        </w:rPr>
        <w:t>2024年5月，万华环保科技公司取得排污许可证（证书编号：91350181MAC3HFKQ55001V）和危废经营许可证（证书编号：FZ01810004）；同年5月，万华环保科技公司编制实施了《万华环保科技（福建）有限公司突发环境事件应急预案》，并在福州市福清生态环境局完成备案（350181-2024-023-M）。</w:t>
      </w:r>
    </w:p>
    <w:p w14:paraId="51491ABB">
      <w:pPr>
        <w:rPr>
          <w:rFonts w:hint="eastAsia"/>
          <w:color w:val="auto"/>
          <w:highlight w:val="none"/>
          <w:u w:val="none"/>
          <w:lang w:val="en-US"/>
        </w:rPr>
      </w:pPr>
      <w:r>
        <w:rPr>
          <w:rFonts w:hint="eastAsia"/>
          <w:color w:val="auto"/>
          <w:highlight w:val="none"/>
          <w:u w:val="none"/>
          <w:lang w:val="en-US"/>
        </w:rPr>
        <w:t>②拟建工程</w:t>
      </w:r>
    </w:p>
    <w:p w14:paraId="7C9366E6">
      <w:pPr>
        <w:rPr>
          <w:rFonts w:hint="eastAsia"/>
          <w:color w:val="auto"/>
          <w:highlight w:val="none"/>
          <w:u w:val="none"/>
        </w:rPr>
      </w:pPr>
      <w:r>
        <w:rPr>
          <w:rFonts w:hint="eastAsia"/>
          <w:color w:val="auto"/>
          <w:highlight w:val="none"/>
          <w:u w:val="none"/>
          <w:lang w:val="en-US"/>
        </w:rPr>
        <w:t>万华环保科技公司拟在新增的编组站地块（24公顷，位于福建东南电化股份有限公司西北侧）建设1套废水处理设施，分为四个单元，包含编组站废水处理单元（设计规模1500m</w:t>
      </w:r>
      <w:r>
        <w:rPr>
          <w:rFonts w:hint="eastAsia"/>
          <w:color w:val="auto"/>
          <w:highlight w:val="none"/>
          <w:u w:val="none"/>
          <w:vertAlign w:val="superscript"/>
          <w:lang w:val="en-US"/>
        </w:rPr>
        <w:t>3</w:t>
      </w:r>
      <w:r>
        <w:rPr>
          <w:rFonts w:hint="eastAsia"/>
          <w:color w:val="auto"/>
          <w:highlight w:val="none"/>
          <w:u w:val="none"/>
          <w:lang w:val="en-US"/>
        </w:rPr>
        <w:t>/h）、编组站中水回用预处理单元（设计规模2000m</w:t>
      </w:r>
      <w:r>
        <w:rPr>
          <w:rFonts w:hint="eastAsia"/>
          <w:color w:val="auto"/>
          <w:highlight w:val="none"/>
          <w:u w:val="none"/>
          <w:vertAlign w:val="superscript"/>
          <w:lang w:val="en-US"/>
        </w:rPr>
        <w:t>3</w:t>
      </w:r>
      <w:r>
        <w:rPr>
          <w:rFonts w:hint="eastAsia"/>
          <w:color w:val="auto"/>
          <w:highlight w:val="none"/>
          <w:u w:val="none"/>
          <w:lang w:val="en-US"/>
        </w:rPr>
        <w:t>/h）、编组站中水回用单元（设计规模2000m</w:t>
      </w:r>
      <w:r>
        <w:rPr>
          <w:rFonts w:hint="eastAsia"/>
          <w:color w:val="auto"/>
          <w:highlight w:val="none"/>
          <w:u w:val="none"/>
          <w:vertAlign w:val="superscript"/>
          <w:lang w:val="en-US"/>
        </w:rPr>
        <w:t>3</w:t>
      </w:r>
      <w:r>
        <w:rPr>
          <w:rFonts w:hint="eastAsia"/>
          <w:color w:val="auto"/>
          <w:highlight w:val="none"/>
          <w:u w:val="none"/>
          <w:lang w:val="en-US"/>
        </w:rPr>
        <w:t>/h）、编组站浓水处理单元（设计规模500m</w:t>
      </w:r>
      <w:r>
        <w:rPr>
          <w:rFonts w:hint="eastAsia"/>
          <w:color w:val="auto"/>
          <w:highlight w:val="none"/>
          <w:u w:val="none"/>
          <w:vertAlign w:val="superscript"/>
          <w:lang w:val="en-US"/>
        </w:rPr>
        <w:t>3</w:t>
      </w:r>
      <w:r>
        <w:rPr>
          <w:rFonts w:hint="eastAsia"/>
          <w:color w:val="auto"/>
          <w:highlight w:val="none"/>
          <w:u w:val="none"/>
          <w:lang w:val="en-US"/>
        </w:rPr>
        <w:t>/h），主要配套万华福建公司气体扩能改造项目污水处理，以及万华福建其他项目中水回用。该项目环境影响评价报告《万华环保科技（福建）有限公司编组站项目环境影响报告书》已于2025年3月18日通过福州市生态环境局审批（批文号：榕融环评[2025]16号）。</w:t>
      </w:r>
    </w:p>
    <w:p w14:paraId="3DDF8622">
      <w:pPr>
        <w:rPr>
          <w:rFonts w:hint="eastAsia"/>
          <w:color w:val="auto"/>
          <w:highlight w:val="none"/>
          <w:u w:val="none"/>
        </w:rPr>
      </w:pPr>
      <w:r>
        <w:rPr>
          <w:rFonts w:hint="eastAsia"/>
          <w:color w:val="auto"/>
          <w:highlight w:val="none"/>
          <w:u w:val="none"/>
        </w:rPr>
        <w:t>万华化学福建产业园范围见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_Ref152696902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图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1.1</w:t>
      </w:r>
      <w:r>
        <w:rPr>
          <w:color w:val="auto"/>
          <w:highlight w:val="none"/>
          <w:u w:val="none"/>
        </w:rPr>
        <w:fldChar w:fldCharType="end"/>
      </w:r>
      <w:r>
        <w:rPr>
          <w:color w:val="auto"/>
          <w:highlight w:val="none"/>
          <w:u w:val="none"/>
        </w:rPr>
        <w:noBreakHyphen/>
      </w:r>
      <w:r>
        <w:rPr>
          <w:rFonts w:hint="eastAsia"/>
          <w:color w:val="auto"/>
          <w:highlight w:val="none"/>
          <w:u w:val="none"/>
        </w:rPr>
        <w:t>2</w:t>
      </w:r>
      <w:r>
        <w:rPr>
          <w:color w:val="auto"/>
          <w:highlight w:val="none"/>
          <w:u w:val="none"/>
        </w:rPr>
        <w:fldChar w:fldCharType="end"/>
      </w:r>
      <w:r>
        <w:rPr>
          <w:rFonts w:hint="eastAsia"/>
          <w:color w:val="auto"/>
          <w:highlight w:val="none"/>
          <w:u w:val="none"/>
        </w:rPr>
        <w:t>。</w:t>
      </w:r>
    </w:p>
    <w:p w14:paraId="43299480">
      <w:pPr>
        <w:ind w:firstLine="482"/>
        <w:rPr>
          <w:rFonts w:hint="eastAsia"/>
          <w:b/>
          <w:bCs/>
          <w:color w:val="auto"/>
          <w:highlight w:val="none"/>
          <w:u w:val="none"/>
        </w:rPr>
      </w:pPr>
      <w:r>
        <w:rPr>
          <w:b/>
          <w:bCs/>
          <w:color w:val="auto"/>
          <w:highlight w:val="none"/>
          <w:u w:val="none"/>
        </w:rPr>
        <w:t>（</w:t>
      </w:r>
      <w:r>
        <w:rPr>
          <w:rFonts w:hint="eastAsia"/>
          <w:b/>
          <w:bCs/>
          <w:color w:val="auto"/>
          <w:highlight w:val="none"/>
          <w:u w:val="none"/>
          <w:lang w:val="en-US"/>
        </w:rPr>
        <w:t>4</w:t>
      </w:r>
      <w:r>
        <w:rPr>
          <w:b/>
          <w:bCs/>
          <w:color w:val="auto"/>
          <w:highlight w:val="none"/>
          <w:u w:val="none"/>
        </w:rPr>
        <w:t>）</w:t>
      </w:r>
      <w:r>
        <w:rPr>
          <w:rFonts w:hint="eastAsia"/>
          <w:b/>
          <w:bCs/>
          <w:color w:val="auto"/>
          <w:highlight w:val="none"/>
          <w:u w:val="none"/>
        </w:rPr>
        <w:t>万华福建公司</w:t>
      </w:r>
      <w:r>
        <w:rPr>
          <w:b/>
          <w:bCs/>
          <w:color w:val="auto"/>
          <w:highlight w:val="none"/>
          <w:u w:val="none"/>
        </w:rPr>
        <w:t>现有项目环评审批</w:t>
      </w:r>
      <w:r>
        <w:rPr>
          <w:rFonts w:hint="eastAsia"/>
          <w:b/>
          <w:bCs/>
          <w:color w:val="auto"/>
          <w:highlight w:val="none"/>
          <w:u w:val="none"/>
        </w:rPr>
        <w:t>及验收</w:t>
      </w:r>
      <w:r>
        <w:rPr>
          <w:b/>
          <w:bCs/>
          <w:color w:val="auto"/>
          <w:highlight w:val="none"/>
          <w:u w:val="none"/>
        </w:rPr>
        <w:t>情况</w:t>
      </w:r>
    </w:p>
    <w:p w14:paraId="2D32DDA6">
      <w:pPr>
        <w:pStyle w:val="981"/>
        <w:rPr>
          <w:rFonts w:hint="eastAsia"/>
          <w:color w:val="auto"/>
          <w:highlight w:val="none"/>
          <w:u w:val="none"/>
        </w:rPr>
      </w:pPr>
      <w:r>
        <w:rPr>
          <w:rFonts w:hint="eastAsia"/>
          <w:color w:val="auto"/>
          <w:highlight w:val="none"/>
          <w:u w:val="none"/>
        </w:rPr>
        <w:t>①万华福建公司厂外管廊项目</w:t>
      </w:r>
    </w:p>
    <w:p w14:paraId="136DF968">
      <w:pPr>
        <w:pStyle w:val="981"/>
        <w:rPr>
          <w:rFonts w:hint="eastAsia"/>
          <w:color w:val="auto"/>
          <w:highlight w:val="none"/>
          <w:u w:val="none"/>
          <w:lang w:val="en-US"/>
        </w:rPr>
      </w:pPr>
      <w:r>
        <w:rPr>
          <w:rFonts w:hint="eastAsia"/>
          <w:color w:val="auto"/>
          <w:highlight w:val="none"/>
          <w:u w:val="none"/>
        </w:rPr>
        <w:t>2</w:t>
      </w:r>
      <w:r>
        <w:rPr>
          <w:color w:val="auto"/>
          <w:highlight w:val="none"/>
          <w:u w:val="none"/>
        </w:rPr>
        <w:t>021年</w:t>
      </w:r>
      <w:r>
        <w:rPr>
          <w:rFonts w:hint="eastAsia"/>
          <w:color w:val="auto"/>
          <w:highlight w:val="none"/>
          <w:u w:val="none"/>
        </w:rPr>
        <w:t>1</w:t>
      </w:r>
      <w:r>
        <w:rPr>
          <w:color w:val="auto"/>
          <w:highlight w:val="none"/>
          <w:u w:val="none"/>
        </w:rPr>
        <w:t>2月31日</w:t>
      </w:r>
      <w:r>
        <w:rPr>
          <w:rFonts w:hint="eastAsia"/>
          <w:color w:val="auto"/>
          <w:highlight w:val="none"/>
          <w:u w:val="none"/>
        </w:rPr>
        <w:t>，《万华化学（福建）有限公司厂外管廊项目环境影响报告表》通过福州市福清生态环境局审批（榕融环评[</w:t>
      </w:r>
      <w:r>
        <w:rPr>
          <w:color w:val="auto"/>
          <w:highlight w:val="none"/>
          <w:u w:val="none"/>
        </w:rPr>
        <w:t>2021]133号</w:t>
      </w:r>
      <w:r>
        <w:rPr>
          <w:rFonts w:hint="eastAsia"/>
          <w:color w:val="auto"/>
          <w:highlight w:val="none"/>
          <w:u w:val="none"/>
        </w:rPr>
        <w:t>）（见附件</w:t>
      </w:r>
      <w:r>
        <w:rPr>
          <w:rFonts w:hint="eastAsia"/>
          <w:color w:val="auto"/>
          <w:highlight w:val="none"/>
          <w:u w:val="none"/>
          <w:lang w:val="en-US" w:eastAsia="zh-CN"/>
        </w:rPr>
        <w:t>19</w:t>
      </w:r>
      <w:r>
        <w:rPr>
          <w:rFonts w:hint="eastAsia"/>
          <w:color w:val="auto"/>
          <w:highlight w:val="none"/>
          <w:u w:val="none"/>
        </w:rPr>
        <w:t>），</w:t>
      </w:r>
      <w:bookmarkStart w:id="137" w:name="_Hlk175154511"/>
      <w:r>
        <w:rPr>
          <w:rFonts w:hint="eastAsia"/>
          <w:color w:val="auto"/>
          <w:highlight w:val="none"/>
          <w:u w:val="none"/>
          <w:lang w:val="en-US"/>
        </w:rPr>
        <w:t>2024年1月完成竣工环保自主验收。</w:t>
      </w:r>
    </w:p>
    <w:bookmarkEnd w:id="137"/>
    <w:p w14:paraId="1E97BF77">
      <w:pPr>
        <w:pStyle w:val="981"/>
      </w:pPr>
      <w:r>
        <w:rPr>
          <w:rFonts w:hint="eastAsia"/>
        </w:rPr>
        <w:t>②万华福建公司年产80万吨PVC项目</w:t>
      </w:r>
    </w:p>
    <w:p w14:paraId="49B3B28D">
      <w:pPr>
        <w:pStyle w:val="981"/>
        <w:rPr>
          <w:lang w:val="en-US"/>
        </w:rPr>
      </w:pPr>
      <w:r>
        <w:rPr>
          <w:rFonts w:hint="eastAsia"/>
        </w:rPr>
        <w:t>2</w:t>
      </w:r>
      <w:r>
        <w:t>022年</w:t>
      </w:r>
      <w:r>
        <w:rPr>
          <w:rFonts w:hint="eastAsia"/>
        </w:rPr>
        <w:t>1</w:t>
      </w:r>
      <w:r>
        <w:t>月</w:t>
      </w:r>
      <w:r>
        <w:rPr>
          <w:rFonts w:hint="eastAsia"/>
        </w:rPr>
        <w:t>1</w:t>
      </w:r>
      <w:r>
        <w:t>2日</w:t>
      </w:r>
      <w:r>
        <w:rPr>
          <w:rFonts w:hint="eastAsia"/>
        </w:rPr>
        <w:t>，《万华化学（福建）有限公司年产80万吨PVC项目环境影响报告书》通过福州市福清生态环境局审批（榕融环评[</w:t>
      </w:r>
      <w:r>
        <w:t>2022]5号</w:t>
      </w:r>
      <w:r>
        <w:rPr>
          <w:rFonts w:hint="eastAsia"/>
        </w:rPr>
        <w:t>）（见附件1</w:t>
      </w:r>
      <w:r>
        <w:rPr>
          <w:rFonts w:hint="eastAsia"/>
          <w:lang w:val="en-US"/>
        </w:rPr>
        <w:t>6</w:t>
      </w:r>
      <w:r>
        <w:rPr>
          <w:rFonts w:hint="eastAsia"/>
        </w:rPr>
        <w:t>）。</w:t>
      </w:r>
      <w:r>
        <w:t>项目分两期建设，</w:t>
      </w:r>
      <w:r>
        <w:rPr>
          <w:rFonts w:hint="eastAsia"/>
          <w:lang w:val="en-US"/>
        </w:rPr>
        <w:t>现一期工程已</w:t>
      </w:r>
      <w:r>
        <w:rPr>
          <w:rFonts w:hint="eastAsia"/>
        </w:rPr>
        <w:t>竣工环保</w:t>
      </w:r>
      <w:r>
        <w:rPr>
          <w:rFonts w:hint="eastAsia"/>
          <w:lang w:val="en-US"/>
        </w:rPr>
        <w:t>自主</w:t>
      </w:r>
      <w:r>
        <w:t>验收</w:t>
      </w:r>
      <w:r>
        <w:rPr>
          <w:rFonts w:hint="eastAsia"/>
          <w:lang w:val="en-US"/>
        </w:rPr>
        <w:t>。</w:t>
      </w:r>
    </w:p>
    <w:p w14:paraId="6876FBEA">
      <w:pPr>
        <w:pStyle w:val="981"/>
      </w:pPr>
      <w:r>
        <w:rPr>
          <w:rFonts w:hint="eastAsia"/>
        </w:rPr>
        <w:t>③万华福建公司年产48万吨甲醛项目</w:t>
      </w:r>
    </w:p>
    <w:p w14:paraId="51C2D949">
      <w:pPr>
        <w:pStyle w:val="981"/>
        <w:rPr>
          <w:lang w:val="en-US"/>
        </w:rPr>
      </w:pPr>
      <w:r>
        <w:rPr>
          <w:rFonts w:hint="eastAsia"/>
        </w:rPr>
        <w:t>2</w:t>
      </w:r>
      <w:r>
        <w:t>022年</w:t>
      </w:r>
      <w:r>
        <w:rPr>
          <w:rFonts w:hint="eastAsia"/>
        </w:rPr>
        <w:t>1</w:t>
      </w:r>
      <w:r>
        <w:t>月</w:t>
      </w:r>
      <w:r>
        <w:rPr>
          <w:rFonts w:hint="eastAsia"/>
        </w:rPr>
        <w:t>1</w:t>
      </w:r>
      <w:r>
        <w:t>2日</w:t>
      </w:r>
      <w:r>
        <w:rPr>
          <w:rFonts w:hint="eastAsia"/>
        </w:rPr>
        <w:t>，《万华化学（福建）有限公司大型煤气化有效气综合利用-年产48万吨甲醛项目环境影响评价报告书》通过福州市福清生态环境局的审批（榕融环评[</w:t>
      </w:r>
      <w:r>
        <w:t>2022]6号</w:t>
      </w:r>
      <w:r>
        <w:rPr>
          <w:rFonts w:hint="eastAsia"/>
        </w:rPr>
        <w:t>）（见附件</w:t>
      </w:r>
      <w:r>
        <w:rPr>
          <w:rFonts w:hint="eastAsia"/>
          <w:lang w:val="en-US"/>
        </w:rPr>
        <w:t>15</w:t>
      </w:r>
      <w:r>
        <w:rPr>
          <w:rFonts w:hint="eastAsia"/>
        </w:rPr>
        <w:t>）。</w:t>
      </w:r>
      <w:r>
        <w:rPr>
          <w:rFonts w:hint="eastAsia"/>
          <w:lang w:val="en-US"/>
        </w:rPr>
        <w:t>项目分两期建设，现一期工程已</w:t>
      </w:r>
      <w:r>
        <w:rPr>
          <w:rFonts w:hint="eastAsia"/>
        </w:rPr>
        <w:t>竣工环保</w:t>
      </w:r>
      <w:r>
        <w:rPr>
          <w:rFonts w:hint="eastAsia"/>
          <w:lang w:val="en-US"/>
        </w:rPr>
        <w:t>自主</w:t>
      </w:r>
      <w:r>
        <w:t>验收。</w:t>
      </w:r>
    </w:p>
    <w:p w14:paraId="5BB9E5B2">
      <w:pPr>
        <w:pStyle w:val="981"/>
      </w:pPr>
      <w:r>
        <w:rPr>
          <w:rFonts w:hint="eastAsia"/>
        </w:rPr>
        <w:t>④万华福建公司扩建25万吨TDI项目（</w:t>
      </w:r>
      <w:r>
        <w:rPr>
          <w:rFonts w:hint="eastAsia"/>
          <w:lang w:val="en-US"/>
        </w:rPr>
        <w:t>替代现有10万吨及已批15万吨产能</w:t>
      </w:r>
      <w:r>
        <w:rPr>
          <w:rFonts w:hint="eastAsia"/>
        </w:rPr>
        <w:t>）</w:t>
      </w:r>
    </w:p>
    <w:p w14:paraId="31923E05">
      <w:pPr>
        <w:pStyle w:val="981"/>
        <w:rPr>
          <w:lang w:val="en-US"/>
        </w:rPr>
      </w:pPr>
      <w:r>
        <w:rPr>
          <w:rFonts w:hint="eastAsia"/>
        </w:rPr>
        <w:t>2</w:t>
      </w:r>
      <w:r>
        <w:t>022年</w:t>
      </w:r>
      <w:r>
        <w:rPr>
          <w:rFonts w:hint="eastAsia"/>
        </w:rPr>
        <w:t>1</w:t>
      </w:r>
      <w:r>
        <w:t>月</w:t>
      </w:r>
      <w:r>
        <w:rPr>
          <w:rFonts w:hint="eastAsia"/>
        </w:rPr>
        <w:t>1</w:t>
      </w:r>
      <w:r>
        <w:t>3日</w:t>
      </w:r>
      <w:r>
        <w:rPr>
          <w:rFonts w:hint="eastAsia"/>
        </w:rPr>
        <w:t>，《万华化学（福建）有限公司扩建25万吨TDI项目（</w:t>
      </w:r>
      <w:r>
        <w:rPr>
          <w:rFonts w:hint="eastAsia"/>
          <w:lang w:val="en-US"/>
        </w:rPr>
        <w:t>替代现有10万吨及已批15万吨产能</w:t>
      </w:r>
      <w:r>
        <w:rPr>
          <w:rFonts w:hint="eastAsia"/>
        </w:rPr>
        <w:t>）环境影响报告书》通过福州市生态环境局审批（榕环评[</w:t>
      </w:r>
      <w:r>
        <w:t>2022]2号</w:t>
      </w:r>
      <w:r>
        <w:rPr>
          <w:rFonts w:hint="eastAsia"/>
        </w:rPr>
        <w:t>）（见附件</w:t>
      </w:r>
      <w:r>
        <w:rPr>
          <w:rFonts w:hint="eastAsia"/>
          <w:lang w:val="en-US"/>
        </w:rPr>
        <w:t>5</w:t>
      </w:r>
      <w:r>
        <w:rPr>
          <w:rFonts w:hint="eastAsia"/>
        </w:rPr>
        <w:t>）。</w:t>
      </w:r>
      <w:r>
        <w:rPr>
          <w:rFonts w:hint="eastAsia"/>
          <w:lang w:val="en-US"/>
        </w:rPr>
        <w:t>项目已建成，现已完成竣工环保自主验收。</w:t>
      </w:r>
    </w:p>
    <w:p w14:paraId="7C8A753B">
      <w:pPr>
        <w:pStyle w:val="981"/>
      </w:pPr>
      <w:r>
        <w:rPr>
          <w:rFonts w:hint="eastAsia"/>
        </w:rPr>
        <w:t>⑤万华福建公司年产1</w:t>
      </w:r>
      <w:r>
        <w:t>08万吨苯胺项目</w:t>
      </w:r>
    </w:p>
    <w:p w14:paraId="67E0A710">
      <w:pPr>
        <w:pStyle w:val="981"/>
      </w:pPr>
      <w:r>
        <w:rPr>
          <w:rFonts w:hint="eastAsia"/>
        </w:rPr>
        <w:t>2</w:t>
      </w:r>
      <w:r>
        <w:t>022年</w:t>
      </w:r>
      <w:r>
        <w:rPr>
          <w:rFonts w:hint="eastAsia"/>
        </w:rPr>
        <w:t>1</w:t>
      </w:r>
      <w:r>
        <w:t>月</w:t>
      </w:r>
      <w:r>
        <w:rPr>
          <w:rFonts w:hint="eastAsia"/>
        </w:rPr>
        <w:t>1</w:t>
      </w:r>
      <w:r>
        <w:t>4日</w:t>
      </w:r>
      <w:r>
        <w:rPr>
          <w:rFonts w:hint="eastAsia"/>
        </w:rPr>
        <w:t>，《万华化学（福建）有限公司年产1</w:t>
      </w:r>
      <w:r>
        <w:t>08万吨苯胺项目</w:t>
      </w:r>
      <w:r>
        <w:rPr>
          <w:rFonts w:hint="eastAsia"/>
        </w:rPr>
        <w:t>环境影响评价报告书》通过福州市福清生态环境局的审批（榕融环评[</w:t>
      </w:r>
      <w:r>
        <w:t>2022]8号</w:t>
      </w:r>
      <w:r>
        <w:rPr>
          <w:rFonts w:hint="eastAsia"/>
        </w:rPr>
        <w:t>）（见附件</w:t>
      </w:r>
      <w:r>
        <w:rPr>
          <w:rFonts w:hint="eastAsia"/>
          <w:lang w:val="en-US"/>
        </w:rPr>
        <w:t>17</w:t>
      </w:r>
      <w:r>
        <w:rPr>
          <w:rFonts w:hint="eastAsia"/>
        </w:rPr>
        <w:t>），</w:t>
      </w:r>
      <w:r>
        <w:rPr>
          <w:rFonts w:hint="eastAsia"/>
          <w:lang w:val="en-US"/>
        </w:rPr>
        <w:t>项目分三期建设，现一期工程已</w:t>
      </w:r>
      <w:r>
        <w:rPr>
          <w:rFonts w:hint="eastAsia"/>
        </w:rPr>
        <w:t>竣工环保</w:t>
      </w:r>
      <w:r>
        <w:rPr>
          <w:rFonts w:hint="eastAsia"/>
          <w:lang w:val="en-US"/>
        </w:rPr>
        <w:t>自主</w:t>
      </w:r>
      <w:r>
        <w:t>验收</w:t>
      </w:r>
      <w:r>
        <w:rPr>
          <w:rFonts w:hint="eastAsia"/>
          <w:lang w:val="en-US"/>
        </w:rPr>
        <w:t>。</w:t>
      </w:r>
    </w:p>
    <w:p w14:paraId="7CB64555">
      <w:pPr>
        <w:pStyle w:val="981"/>
      </w:pPr>
      <w:r>
        <w:rPr>
          <w:rFonts w:hint="eastAsia"/>
        </w:rPr>
        <w:t>⑥西区管廊改造项目</w:t>
      </w:r>
    </w:p>
    <w:p w14:paraId="15610BE0">
      <w:pPr>
        <w:pStyle w:val="981"/>
      </w:pPr>
      <w:r>
        <w:rPr>
          <w:rFonts w:hint="eastAsia"/>
        </w:rPr>
        <w:t>2</w:t>
      </w:r>
      <w:r>
        <w:t>022年</w:t>
      </w:r>
      <w:r>
        <w:rPr>
          <w:rFonts w:hint="eastAsia"/>
        </w:rPr>
        <w:t>1</w:t>
      </w:r>
      <w:r>
        <w:t>1月</w:t>
      </w:r>
      <w:r>
        <w:rPr>
          <w:rFonts w:hint="eastAsia"/>
        </w:rPr>
        <w:t>2日，《万华化学（福建）有限公司西区管廊改造项目环境影响报告表》通过福州市福清生态环境局的审批（榕融环评[2022]121号）（见附件</w:t>
      </w:r>
      <w:r>
        <w:rPr>
          <w:rFonts w:hint="eastAsia"/>
          <w:lang w:val="en-US"/>
        </w:rPr>
        <w:t>18</w:t>
      </w:r>
      <w:r>
        <w:rPr>
          <w:rFonts w:hint="eastAsia"/>
        </w:rPr>
        <w:t>），现已</w:t>
      </w:r>
      <w:r>
        <w:rPr>
          <w:rFonts w:hint="eastAsia"/>
          <w:lang w:val="en-US"/>
        </w:rPr>
        <w:t>完成竣工环保自主验收。</w:t>
      </w:r>
    </w:p>
    <w:p w14:paraId="2D4F8207">
      <w:r>
        <w:rPr>
          <w:rFonts w:hint="eastAsia"/>
        </w:rPr>
        <w:t>⑦大型煤气化项目</w:t>
      </w:r>
    </w:p>
    <w:p w14:paraId="06EEFFE9">
      <w:pPr>
        <w:rPr>
          <w:lang w:val="en-US"/>
        </w:rPr>
      </w:pPr>
      <w:r>
        <w:rPr>
          <w:rFonts w:hint="eastAsia"/>
          <w:lang w:val="en-US"/>
        </w:rPr>
        <w:t>2017年</w:t>
      </w:r>
      <w:r>
        <w:t>12月21日</w:t>
      </w:r>
      <w:r>
        <w:rPr>
          <w:rFonts w:hint="eastAsia"/>
        </w:rPr>
        <w:t>，《福建省福化天辰气体有限公司大型煤气化项目环境影响报告书》</w:t>
      </w:r>
      <w:r>
        <w:rPr>
          <w:rFonts w:hint="eastAsia"/>
          <w:lang w:val="en-US"/>
        </w:rPr>
        <w:t>通过了福州市生态环境局的审批（</w:t>
      </w:r>
      <w:r>
        <w:t>榕环保评[2017]106号</w:t>
      </w:r>
      <w:r>
        <w:rPr>
          <w:rFonts w:hint="eastAsia"/>
          <w:lang w:val="en-US"/>
        </w:rPr>
        <w:t>），</w:t>
      </w:r>
      <w:r>
        <w:rPr>
          <w:rFonts w:hint="eastAsia"/>
        </w:rPr>
        <w:t>万华收购后，项目建设工程内容发生变更调整，</w:t>
      </w:r>
      <w:r>
        <w:rPr>
          <w:rFonts w:hint="eastAsia"/>
          <w:lang w:val="en-US"/>
        </w:rPr>
        <w:t>于2</w:t>
      </w:r>
      <w:r>
        <w:rPr>
          <w:lang w:val="en-US"/>
        </w:rPr>
        <w:t>021</w:t>
      </w:r>
      <w:r>
        <w:rPr>
          <w:rFonts w:hint="eastAsia"/>
          <w:lang w:val="en-US"/>
        </w:rPr>
        <w:t>年8月1</w:t>
      </w:r>
      <w:r>
        <w:rPr>
          <w:lang w:val="en-US"/>
        </w:rPr>
        <w:t>1</w:t>
      </w:r>
      <w:r>
        <w:rPr>
          <w:rFonts w:hint="eastAsia"/>
          <w:lang w:val="en-US"/>
        </w:rPr>
        <w:t>日通过</w:t>
      </w:r>
      <w:r>
        <w:rPr>
          <w:rFonts w:hint="eastAsia"/>
        </w:rPr>
        <w:t>该项目环境影响补充说明技术审查会。</w:t>
      </w:r>
      <w:r>
        <w:rPr>
          <w:rFonts w:hint="eastAsia"/>
          <w:lang w:val="en-US"/>
        </w:rPr>
        <w:t>目前项目已完成竣工环保自主验收。</w:t>
      </w:r>
    </w:p>
    <w:p w14:paraId="3A39D641">
      <w:pPr>
        <w:rPr>
          <w:lang w:val="en-US"/>
        </w:rPr>
      </w:pPr>
      <w:r>
        <w:rPr>
          <w:rFonts w:hint="eastAsia"/>
          <w:lang w:val="en-US"/>
        </w:rPr>
        <w:t>⑧</w:t>
      </w:r>
      <w:r>
        <w:rPr>
          <w:rFonts w:hint="eastAsia"/>
        </w:rPr>
        <w:t>大型煤气化项目厂外管线建设工程</w:t>
      </w:r>
    </w:p>
    <w:p w14:paraId="1C9DE124">
      <w:pPr>
        <w:rPr>
          <w:lang w:val="en-US"/>
        </w:rPr>
      </w:pPr>
      <w:r>
        <w:rPr>
          <w:rFonts w:hint="eastAsia"/>
        </w:rPr>
        <w:t>2022年2月17日，</w:t>
      </w:r>
      <w:r>
        <w:t>《福建省福化天辰气体有限公司大型煤气化项目厂外管线建设工程</w:t>
      </w:r>
      <w:r>
        <w:rPr>
          <w:rFonts w:hint="eastAsia"/>
        </w:rPr>
        <w:t>项目</w:t>
      </w:r>
      <w:r>
        <w:t>环境影响报告表》</w:t>
      </w:r>
      <w:r>
        <w:rPr>
          <w:rFonts w:hint="eastAsia"/>
          <w:lang w:val="en-US"/>
        </w:rPr>
        <w:t>通过了</w:t>
      </w:r>
      <w:r>
        <w:rPr>
          <w:rFonts w:hint="eastAsia"/>
        </w:rPr>
        <w:t>福州市福清生态环境局</w:t>
      </w:r>
      <w:r>
        <w:rPr>
          <w:rFonts w:hint="eastAsia"/>
          <w:lang w:val="en-US"/>
        </w:rPr>
        <w:t>的审批（榕融环评[2022]20号），该项目现完成竣工环保自主验收。</w:t>
      </w:r>
    </w:p>
    <w:p w14:paraId="6FFF52ED">
      <w:pPr>
        <w:rPr>
          <w:lang w:val="en-US"/>
        </w:rPr>
      </w:pPr>
      <w:r>
        <w:rPr>
          <w:rFonts w:hint="eastAsia"/>
          <w:lang w:val="en-US"/>
        </w:rPr>
        <w:t>⑨</w:t>
      </w:r>
      <w:r>
        <w:rPr>
          <w:lang w:val="en-US"/>
        </w:rPr>
        <w:t>资源综合利用项目——磨煤机制浆水优化</w:t>
      </w:r>
    </w:p>
    <w:p w14:paraId="454C2107">
      <w:pPr>
        <w:rPr>
          <w:rFonts w:hint="eastAsia"/>
          <w:color w:val="auto"/>
          <w:highlight w:val="none"/>
          <w:u w:val="none"/>
        </w:rPr>
      </w:pPr>
      <w:r>
        <w:rPr>
          <w:rFonts w:hint="eastAsia"/>
          <w:lang w:val="en-US"/>
        </w:rPr>
        <w:t>综上，</w:t>
      </w:r>
      <w:r>
        <w:t>现有工程环评批复及验收情况回顾一览表如下</w:t>
      </w:r>
      <w:r>
        <w:rPr>
          <w:color w:val="auto"/>
          <w:highlight w:val="none"/>
          <w:u w:val="none"/>
        </w:rPr>
        <w:t>：</w:t>
      </w:r>
    </w:p>
    <w:p w14:paraId="149BD825">
      <w:pPr>
        <w:pStyle w:val="981"/>
        <w:ind w:firstLine="0" w:firstLineChars="0"/>
        <w:jc w:val="center"/>
        <w:rPr>
          <w:rFonts w:hint="eastAsia"/>
          <w:b/>
          <w:bCs/>
          <w:color w:val="auto"/>
          <w:highlight w:val="none"/>
          <w:u w:val="none"/>
        </w:rPr>
      </w:pPr>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2</w:t>
      </w:r>
      <w:r>
        <w:rPr>
          <w:b/>
          <w:bCs/>
          <w:color w:val="auto"/>
          <w:highlight w:val="none"/>
          <w:u w:val="none"/>
        </w:rPr>
        <w:fldChar w:fldCharType="end"/>
      </w:r>
      <w:r>
        <w:rPr>
          <w:b/>
          <w:bCs/>
          <w:color w:val="auto"/>
          <w:highlight w:val="none"/>
          <w:u w:val="none"/>
        </w:rPr>
        <w:t xml:space="preserve">  现有工程</w:t>
      </w:r>
      <w:r>
        <w:rPr>
          <w:rFonts w:hint="eastAsia"/>
          <w:b/>
          <w:bCs/>
          <w:color w:val="auto"/>
          <w:highlight w:val="none"/>
          <w:u w:val="none"/>
        </w:rPr>
        <w:t>（主要生产地块）</w:t>
      </w:r>
      <w:r>
        <w:rPr>
          <w:b/>
          <w:bCs/>
          <w:color w:val="auto"/>
          <w:highlight w:val="none"/>
          <w:u w:val="none"/>
        </w:rPr>
        <w:t>环评批复及验收情况一览表</w:t>
      </w:r>
    </w:p>
    <w:tbl>
      <w:tblPr>
        <w:tblStyle w:val="58"/>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261"/>
        <w:gridCol w:w="1409"/>
        <w:gridCol w:w="1382"/>
        <w:gridCol w:w="2428"/>
      </w:tblGrid>
      <w:tr w14:paraId="0DB5C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522" w:type="pct"/>
            <w:vAlign w:val="center"/>
          </w:tcPr>
          <w:p w14:paraId="39BFCBAC">
            <w:pPr>
              <w:spacing w:line="240" w:lineRule="auto"/>
              <w:ind w:firstLine="0" w:firstLineChars="0"/>
              <w:jc w:val="center"/>
              <w:rPr>
                <w:rFonts w:hAnsi="Times New Roman" w:cs="宋体"/>
                <w:snapToGrid w:val="0"/>
                <w:color w:val="auto"/>
                <w:kern w:val="2"/>
                <w:sz w:val="21"/>
                <w:szCs w:val="21"/>
                <w:highlight w:val="none"/>
                <w:u w:val="none"/>
                <w:lang w:val="en-US"/>
              </w:rPr>
            </w:pPr>
            <w:r>
              <w:rPr>
                <w:color w:val="auto"/>
                <w:sz w:val="21"/>
                <w:szCs w:val="21"/>
                <w:highlight w:val="none"/>
                <w:u w:val="none"/>
                <w:lang w:val="en-US"/>
              </w:rPr>
              <w:t>项目名称</w:t>
            </w:r>
          </w:p>
        </w:tc>
        <w:tc>
          <w:tcPr>
            <w:tcW w:w="677" w:type="pct"/>
            <w:vAlign w:val="center"/>
          </w:tcPr>
          <w:p w14:paraId="0DF56339">
            <w:pPr>
              <w:spacing w:line="240" w:lineRule="auto"/>
              <w:ind w:firstLine="0" w:firstLineChars="0"/>
              <w:jc w:val="center"/>
              <w:rPr>
                <w:rFonts w:hAnsi="Times New Roman" w:cs="宋体"/>
                <w:snapToGrid w:val="0"/>
                <w:color w:val="auto"/>
                <w:kern w:val="2"/>
                <w:sz w:val="21"/>
                <w:szCs w:val="21"/>
                <w:highlight w:val="none"/>
                <w:u w:val="none"/>
                <w:lang w:val="en-US"/>
              </w:rPr>
            </w:pPr>
            <w:r>
              <w:rPr>
                <w:color w:val="auto"/>
                <w:sz w:val="21"/>
                <w:szCs w:val="21"/>
                <w:highlight w:val="none"/>
                <w:u w:val="none"/>
                <w:lang w:val="en-US"/>
              </w:rPr>
              <w:t>审批时间</w:t>
            </w:r>
          </w:p>
        </w:tc>
        <w:tc>
          <w:tcPr>
            <w:tcW w:w="756" w:type="pct"/>
            <w:vAlign w:val="center"/>
          </w:tcPr>
          <w:p w14:paraId="19EC3E1A">
            <w:pPr>
              <w:spacing w:line="240" w:lineRule="auto"/>
              <w:ind w:firstLine="0" w:firstLineChars="0"/>
              <w:jc w:val="center"/>
              <w:rPr>
                <w:rFonts w:hAnsi="Times New Roman" w:cs="宋体"/>
                <w:snapToGrid w:val="0"/>
                <w:color w:val="auto"/>
                <w:kern w:val="2"/>
                <w:sz w:val="21"/>
                <w:szCs w:val="21"/>
                <w:highlight w:val="none"/>
                <w:u w:val="none"/>
                <w:lang w:val="en-US"/>
              </w:rPr>
            </w:pPr>
            <w:r>
              <w:rPr>
                <w:color w:val="auto"/>
                <w:sz w:val="21"/>
                <w:szCs w:val="21"/>
                <w:highlight w:val="none"/>
                <w:u w:val="none"/>
                <w:lang w:val="en-US"/>
              </w:rPr>
              <w:t>审批部门</w:t>
            </w:r>
          </w:p>
        </w:tc>
        <w:tc>
          <w:tcPr>
            <w:tcW w:w="742" w:type="pct"/>
            <w:vAlign w:val="center"/>
          </w:tcPr>
          <w:p w14:paraId="17172E5C">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环评批复</w:t>
            </w:r>
          </w:p>
          <w:p w14:paraId="6F5A3AC3">
            <w:pPr>
              <w:spacing w:line="240" w:lineRule="auto"/>
              <w:ind w:firstLine="0" w:firstLineChars="0"/>
              <w:jc w:val="center"/>
              <w:rPr>
                <w:rFonts w:hAnsi="Times New Roman" w:cs="宋体"/>
                <w:snapToGrid w:val="0"/>
                <w:color w:val="auto"/>
                <w:kern w:val="2"/>
                <w:sz w:val="21"/>
                <w:szCs w:val="21"/>
                <w:highlight w:val="none"/>
                <w:u w:val="none"/>
                <w:lang w:val="en-US"/>
              </w:rPr>
            </w:pPr>
            <w:r>
              <w:rPr>
                <w:color w:val="auto"/>
                <w:sz w:val="21"/>
                <w:szCs w:val="21"/>
                <w:highlight w:val="none"/>
                <w:u w:val="none"/>
                <w:lang w:val="en-US"/>
              </w:rPr>
              <w:t>文件</w:t>
            </w:r>
          </w:p>
        </w:tc>
        <w:tc>
          <w:tcPr>
            <w:tcW w:w="1303" w:type="pct"/>
            <w:vAlign w:val="center"/>
          </w:tcPr>
          <w:p w14:paraId="738D45A5">
            <w:pPr>
              <w:spacing w:line="240" w:lineRule="auto"/>
              <w:ind w:firstLine="0" w:firstLineChars="0"/>
              <w:jc w:val="center"/>
              <w:rPr>
                <w:rFonts w:hAnsi="Times New Roman" w:cs="宋体"/>
                <w:snapToGrid w:val="0"/>
                <w:color w:val="auto"/>
                <w:kern w:val="2"/>
                <w:sz w:val="21"/>
                <w:szCs w:val="21"/>
                <w:highlight w:val="none"/>
                <w:u w:val="none"/>
                <w:lang w:val="en-US"/>
              </w:rPr>
            </w:pPr>
            <w:r>
              <w:rPr>
                <w:color w:val="auto"/>
                <w:sz w:val="21"/>
                <w:szCs w:val="21"/>
                <w:highlight w:val="none"/>
                <w:u w:val="none"/>
                <w:lang w:val="en-US"/>
              </w:rPr>
              <w:t>竣工环保验收时间</w:t>
            </w:r>
          </w:p>
        </w:tc>
      </w:tr>
      <w:tr w14:paraId="5E421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1095AF55">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《万华化学（福建）有限公司厂外管廊项目环境影响报告表》</w:t>
            </w:r>
          </w:p>
        </w:tc>
        <w:tc>
          <w:tcPr>
            <w:tcW w:w="677" w:type="pct"/>
            <w:vAlign w:val="center"/>
          </w:tcPr>
          <w:p w14:paraId="597405FA">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2021年12月31日</w:t>
            </w:r>
          </w:p>
        </w:tc>
        <w:tc>
          <w:tcPr>
            <w:tcW w:w="756" w:type="pct"/>
            <w:vAlign w:val="center"/>
          </w:tcPr>
          <w:p w14:paraId="53162734">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13EAD880">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榕融环评[2021]133号</w:t>
            </w:r>
          </w:p>
        </w:tc>
        <w:tc>
          <w:tcPr>
            <w:tcW w:w="2428" w:type="dxa"/>
            <w:vAlign w:val="center"/>
          </w:tcPr>
          <w:p w14:paraId="33805B7A">
            <w:pPr>
              <w:spacing w:line="240" w:lineRule="auto"/>
              <w:ind w:firstLine="0" w:firstLineChars="0"/>
              <w:jc w:val="center"/>
              <w:rPr>
                <w:color w:val="auto"/>
                <w:sz w:val="21"/>
                <w:szCs w:val="21"/>
                <w:highlight w:val="none"/>
                <w:u w:val="none"/>
                <w:lang w:val="en-US"/>
              </w:rPr>
            </w:pPr>
            <w:r>
              <w:rPr>
                <w:rFonts w:hint="eastAsia"/>
                <w:color w:val="auto"/>
                <w:sz w:val="21"/>
                <w:szCs w:val="21"/>
                <w:highlight w:val="none"/>
                <w:u w:val="none"/>
                <w:lang w:val="en-US"/>
              </w:rPr>
              <w:t>已验收</w:t>
            </w:r>
          </w:p>
        </w:tc>
      </w:tr>
      <w:tr w14:paraId="13754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290F09FA">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《万华化学（福建）有限公司年产80万吨PVC项目环境影响报告书》</w:t>
            </w:r>
          </w:p>
        </w:tc>
        <w:tc>
          <w:tcPr>
            <w:tcW w:w="677" w:type="pct"/>
            <w:vAlign w:val="center"/>
          </w:tcPr>
          <w:p w14:paraId="40FE918A">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2022年1月12日</w:t>
            </w:r>
          </w:p>
        </w:tc>
        <w:tc>
          <w:tcPr>
            <w:tcW w:w="756" w:type="pct"/>
            <w:vAlign w:val="center"/>
          </w:tcPr>
          <w:p w14:paraId="01222D2F">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172C1395">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榕融环评[2022]5号</w:t>
            </w:r>
          </w:p>
        </w:tc>
        <w:tc>
          <w:tcPr>
            <w:tcW w:w="2428" w:type="dxa"/>
            <w:vAlign w:val="center"/>
          </w:tcPr>
          <w:p w14:paraId="10F7F4C1">
            <w:pPr>
              <w:spacing w:line="240" w:lineRule="auto"/>
              <w:ind w:firstLine="0" w:firstLineChars="0"/>
              <w:jc w:val="center"/>
              <w:rPr>
                <w:color w:val="auto"/>
                <w:sz w:val="21"/>
                <w:szCs w:val="21"/>
                <w:highlight w:val="none"/>
                <w:u w:val="none"/>
                <w:lang w:val="en-US"/>
              </w:rPr>
            </w:pPr>
            <w:r>
              <w:rPr>
                <w:rFonts w:hint="eastAsia"/>
                <w:color w:val="auto"/>
                <w:sz w:val="21"/>
                <w:szCs w:val="21"/>
                <w:highlight w:val="none"/>
                <w:u w:val="none"/>
                <w:lang w:val="en-US"/>
              </w:rPr>
              <w:t>一期已验收</w:t>
            </w:r>
          </w:p>
        </w:tc>
      </w:tr>
      <w:tr w14:paraId="5EC8C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14937AC2">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《万华化学（福建）有限公司大型煤气化有效气综合利用-年产48万吨甲醛项目环境影响评价报告书》</w:t>
            </w:r>
          </w:p>
        </w:tc>
        <w:tc>
          <w:tcPr>
            <w:tcW w:w="677" w:type="pct"/>
            <w:vAlign w:val="center"/>
          </w:tcPr>
          <w:p w14:paraId="78D92B78">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2022年1月12日</w:t>
            </w:r>
          </w:p>
        </w:tc>
        <w:tc>
          <w:tcPr>
            <w:tcW w:w="756" w:type="pct"/>
            <w:vAlign w:val="center"/>
          </w:tcPr>
          <w:p w14:paraId="3E658BA0">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58AA4015">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榕融环评[2022]6号</w:t>
            </w:r>
          </w:p>
        </w:tc>
        <w:tc>
          <w:tcPr>
            <w:tcW w:w="2428" w:type="dxa"/>
            <w:vAlign w:val="center"/>
          </w:tcPr>
          <w:p w14:paraId="16693FFF">
            <w:pPr>
              <w:spacing w:line="240" w:lineRule="auto"/>
              <w:ind w:firstLine="0" w:firstLineChars="0"/>
              <w:jc w:val="center"/>
              <w:rPr>
                <w:color w:val="auto"/>
                <w:sz w:val="21"/>
                <w:szCs w:val="21"/>
                <w:highlight w:val="none"/>
                <w:u w:val="none"/>
                <w:lang w:val="en-US"/>
              </w:rPr>
            </w:pPr>
            <w:r>
              <w:rPr>
                <w:rFonts w:hint="eastAsia"/>
                <w:color w:val="auto"/>
                <w:sz w:val="21"/>
                <w:szCs w:val="21"/>
                <w:highlight w:val="none"/>
                <w:u w:val="none"/>
                <w:lang w:val="en-US"/>
              </w:rPr>
              <w:t>一期已验收</w:t>
            </w:r>
          </w:p>
        </w:tc>
      </w:tr>
      <w:tr w14:paraId="2C962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58C7DF53">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《万华化学（福建）有限公司扩建25万吨TDI项目</w:t>
            </w:r>
            <w:r>
              <w:rPr>
                <w:rFonts w:hint="eastAsia"/>
                <w:color w:val="auto"/>
                <w:sz w:val="21"/>
                <w:szCs w:val="21"/>
                <w:highlight w:val="none"/>
                <w:u w:val="none"/>
                <w:lang w:val="en-US"/>
              </w:rPr>
              <w:t>（替代现有10万吨及已批15万吨产能）</w:t>
            </w:r>
            <w:r>
              <w:rPr>
                <w:color w:val="auto"/>
                <w:sz w:val="21"/>
                <w:szCs w:val="21"/>
                <w:highlight w:val="none"/>
                <w:u w:val="none"/>
                <w:lang w:val="en-US"/>
              </w:rPr>
              <w:t>环境影响报告书》</w:t>
            </w:r>
          </w:p>
        </w:tc>
        <w:tc>
          <w:tcPr>
            <w:tcW w:w="677" w:type="pct"/>
            <w:vAlign w:val="center"/>
          </w:tcPr>
          <w:p w14:paraId="06CF6A5E">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2022年1月13日</w:t>
            </w:r>
          </w:p>
        </w:tc>
        <w:tc>
          <w:tcPr>
            <w:tcW w:w="756" w:type="pct"/>
            <w:vAlign w:val="center"/>
          </w:tcPr>
          <w:p w14:paraId="5E304B3F">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福州市生态环境局</w:t>
            </w:r>
          </w:p>
        </w:tc>
        <w:tc>
          <w:tcPr>
            <w:tcW w:w="742" w:type="pct"/>
            <w:vAlign w:val="center"/>
          </w:tcPr>
          <w:p w14:paraId="7DC3AB71">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榕环评[2022]2号</w:t>
            </w:r>
          </w:p>
        </w:tc>
        <w:tc>
          <w:tcPr>
            <w:tcW w:w="2428" w:type="dxa"/>
            <w:vAlign w:val="center"/>
          </w:tcPr>
          <w:p w14:paraId="5694FC0B">
            <w:pPr>
              <w:spacing w:line="240" w:lineRule="auto"/>
              <w:ind w:firstLine="0" w:firstLineChars="0"/>
              <w:jc w:val="center"/>
              <w:rPr>
                <w:color w:val="auto"/>
                <w:sz w:val="21"/>
                <w:szCs w:val="21"/>
                <w:highlight w:val="none"/>
                <w:u w:val="none"/>
                <w:lang w:val="en-US"/>
              </w:rPr>
            </w:pPr>
            <w:r>
              <w:rPr>
                <w:rFonts w:hint="eastAsia"/>
                <w:color w:val="auto"/>
                <w:sz w:val="21"/>
                <w:szCs w:val="21"/>
                <w:highlight w:val="none"/>
                <w:u w:val="none"/>
                <w:lang w:val="en-US"/>
              </w:rPr>
              <w:t>已验收</w:t>
            </w:r>
          </w:p>
        </w:tc>
      </w:tr>
      <w:tr w14:paraId="3D322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170B377B">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《万华化学（福建）有限公司年产108万吨苯胺项目环境影响评价报告书》</w:t>
            </w:r>
          </w:p>
        </w:tc>
        <w:tc>
          <w:tcPr>
            <w:tcW w:w="677" w:type="pct"/>
            <w:vAlign w:val="center"/>
          </w:tcPr>
          <w:p w14:paraId="245C2999">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2022年1月14日</w:t>
            </w:r>
          </w:p>
        </w:tc>
        <w:tc>
          <w:tcPr>
            <w:tcW w:w="756" w:type="pct"/>
            <w:vAlign w:val="center"/>
          </w:tcPr>
          <w:p w14:paraId="7EB4AA18">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73EE60EA">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榕融环评[2022]8号</w:t>
            </w:r>
          </w:p>
        </w:tc>
        <w:tc>
          <w:tcPr>
            <w:tcW w:w="2428" w:type="dxa"/>
            <w:vAlign w:val="center"/>
          </w:tcPr>
          <w:p w14:paraId="1B08D72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一期已验收</w:t>
            </w:r>
          </w:p>
        </w:tc>
      </w:tr>
      <w:tr w14:paraId="06E14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2" w:type="pct"/>
            <w:vAlign w:val="center"/>
          </w:tcPr>
          <w:p w14:paraId="4783BC31">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《万华化学（福建）有限公司西区管廊改造项目环境影响报告表》</w:t>
            </w:r>
          </w:p>
        </w:tc>
        <w:tc>
          <w:tcPr>
            <w:tcW w:w="677" w:type="pct"/>
            <w:vAlign w:val="center"/>
          </w:tcPr>
          <w:p w14:paraId="23D784FC">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2022年11月2日</w:t>
            </w:r>
          </w:p>
        </w:tc>
        <w:tc>
          <w:tcPr>
            <w:tcW w:w="756" w:type="pct"/>
            <w:vAlign w:val="center"/>
          </w:tcPr>
          <w:p w14:paraId="1E158194">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3A18CFED">
            <w:pPr>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榕融环评[2022]121号</w:t>
            </w:r>
          </w:p>
        </w:tc>
        <w:tc>
          <w:tcPr>
            <w:tcW w:w="2428" w:type="dxa"/>
            <w:vAlign w:val="center"/>
          </w:tcPr>
          <w:p w14:paraId="64ED83AC">
            <w:pPr>
              <w:spacing w:line="240" w:lineRule="auto"/>
              <w:ind w:firstLine="0" w:firstLineChars="0"/>
              <w:jc w:val="center"/>
              <w:rPr>
                <w:color w:val="auto"/>
                <w:sz w:val="21"/>
                <w:szCs w:val="21"/>
                <w:highlight w:val="none"/>
                <w:u w:val="none"/>
                <w:lang w:val="en-US"/>
              </w:rPr>
            </w:pPr>
            <w:r>
              <w:rPr>
                <w:rFonts w:hint="eastAsia"/>
                <w:color w:val="auto"/>
                <w:sz w:val="21"/>
                <w:szCs w:val="21"/>
                <w:highlight w:val="none"/>
                <w:u w:val="none"/>
                <w:lang w:val="en-US"/>
              </w:rPr>
              <w:t>一期已验收</w:t>
            </w:r>
          </w:p>
        </w:tc>
      </w:tr>
    </w:tbl>
    <w:p w14:paraId="0CBD52AB">
      <w:pPr>
        <w:pStyle w:val="981"/>
        <w:ind w:firstLine="0" w:firstLineChars="0"/>
        <w:jc w:val="center"/>
        <w:rPr>
          <w:rFonts w:hint="eastAsia"/>
          <w:b/>
          <w:bCs/>
          <w:color w:val="auto"/>
          <w:highlight w:val="none"/>
          <w:u w:val="none"/>
        </w:rPr>
      </w:pPr>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3</w:t>
      </w:r>
      <w:r>
        <w:rPr>
          <w:b/>
          <w:bCs/>
          <w:color w:val="auto"/>
          <w:highlight w:val="none"/>
          <w:u w:val="none"/>
        </w:rPr>
        <w:fldChar w:fldCharType="end"/>
      </w:r>
      <w:r>
        <w:rPr>
          <w:b/>
          <w:bCs/>
          <w:color w:val="auto"/>
          <w:highlight w:val="none"/>
          <w:u w:val="none"/>
        </w:rPr>
        <w:t xml:space="preserve">  现有工程</w:t>
      </w:r>
      <w:r>
        <w:rPr>
          <w:rFonts w:hint="eastAsia"/>
          <w:b/>
          <w:bCs/>
          <w:color w:val="auto"/>
          <w:highlight w:val="none"/>
          <w:u w:val="none"/>
        </w:rPr>
        <w:t>（气体装置地块）</w:t>
      </w:r>
      <w:r>
        <w:rPr>
          <w:b/>
          <w:bCs/>
          <w:color w:val="auto"/>
          <w:highlight w:val="none"/>
          <w:u w:val="none"/>
        </w:rPr>
        <w:t>环评批复及验收情况一览表</w:t>
      </w:r>
    </w:p>
    <w:tbl>
      <w:tblPr>
        <w:tblStyle w:val="58"/>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261"/>
        <w:gridCol w:w="1409"/>
        <w:gridCol w:w="1382"/>
        <w:gridCol w:w="2428"/>
      </w:tblGrid>
      <w:tr w14:paraId="17844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522" w:type="pct"/>
            <w:vAlign w:val="center"/>
          </w:tcPr>
          <w:p w14:paraId="56191C66">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color w:val="auto"/>
                <w:sz w:val="21"/>
                <w:szCs w:val="21"/>
                <w:highlight w:val="none"/>
                <w:u w:val="none"/>
                <w:lang w:val="en-US"/>
              </w:rPr>
              <w:t>项目名称</w:t>
            </w:r>
          </w:p>
        </w:tc>
        <w:tc>
          <w:tcPr>
            <w:tcW w:w="677" w:type="pct"/>
            <w:vAlign w:val="center"/>
          </w:tcPr>
          <w:p w14:paraId="1C634A53">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color w:val="auto"/>
                <w:sz w:val="21"/>
                <w:szCs w:val="21"/>
                <w:highlight w:val="none"/>
                <w:u w:val="none"/>
                <w:lang w:val="en-US"/>
              </w:rPr>
              <w:t>审批时间</w:t>
            </w:r>
          </w:p>
        </w:tc>
        <w:tc>
          <w:tcPr>
            <w:tcW w:w="756" w:type="pct"/>
            <w:vAlign w:val="center"/>
          </w:tcPr>
          <w:p w14:paraId="282720C1">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color w:val="auto"/>
                <w:sz w:val="21"/>
                <w:szCs w:val="21"/>
                <w:highlight w:val="none"/>
                <w:u w:val="none"/>
                <w:lang w:val="en-US"/>
              </w:rPr>
              <w:t>审批部门</w:t>
            </w:r>
          </w:p>
        </w:tc>
        <w:tc>
          <w:tcPr>
            <w:tcW w:w="742" w:type="pct"/>
            <w:vAlign w:val="center"/>
          </w:tcPr>
          <w:p w14:paraId="00205459">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环评批复</w:t>
            </w:r>
          </w:p>
          <w:p w14:paraId="735091B4">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color w:val="auto"/>
                <w:sz w:val="21"/>
                <w:szCs w:val="21"/>
                <w:highlight w:val="none"/>
                <w:u w:val="none"/>
                <w:lang w:val="en-US"/>
              </w:rPr>
              <w:t>文件</w:t>
            </w:r>
          </w:p>
        </w:tc>
        <w:tc>
          <w:tcPr>
            <w:tcW w:w="1303" w:type="pct"/>
            <w:vAlign w:val="center"/>
          </w:tcPr>
          <w:p w14:paraId="74F28925">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color w:val="auto"/>
                <w:sz w:val="21"/>
                <w:szCs w:val="21"/>
                <w:highlight w:val="none"/>
                <w:u w:val="none"/>
                <w:lang w:val="en-US"/>
              </w:rPr>
              <w:t>竣工环保验收时间</w:t>
            </w:r>
          </w:p>
        </w:tc>
      </w:tr>
      <w:tr w14:paraId="5426A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522" w:type="pct"/>
            <w:vAlign w:val="center"/>
          </w:tcPr>
          <w:p w14:paraId="48CEEA6E">
            <w:pPr>
              <w:tabs>
                <w:tab w:val="left" w:pos="0"/>
              </w:tabs>
              <w:adjustRightInd w:val="0"/>
              <w:snapToGrid w:val="0"/>
              <w:spacing w:line="240" w:lineRule="auto"/>
              <w:ind w:firstLine="0" w:firstLineChars="0"/>
              <w:jc w:val="center"/>
              <w:rPr>
                <w:rFonts w:hint="eastAsia"/>
                <w:bCs/>
                <w:color w:val="auto"/>
                <w:sz w:val="21"/>
                <w:szCs w:val="21"/>
                <w:highlight w:val="none"/>
                <w:u w:val="none"/>
              </w:rPr>
            </w:pPr>
            <w:r>
              <w:rPr>
                <w:bCs/>
                <w:color w:val="auto"/>
                <w:sz w:val="21"/>
                <w:szCs w:val="21"/>
                <w:highlight w:val="none"/>
                <w:u w:val="none"/>
              </w:rPr>
              <w:t>《福建省福化天辰气体有限公司大型煤气化项目环境影响报告书》</w:t>
            </w:r>
          </w:p>
        </w:tc>
        <w:tc>
          <w:tcPr>
            <w:tcW w:w="677" w:type="pct"/>
            <w:vAlign w:val="center"/>
          </w:tcPr>
          <w:p w14:paraId="450467C2">
            <w:pPr>
              <w:tabs>
                <w:tab w:val="left" w:pos="0"/>
              </w:tabs>
              <w:adjustRightInd w:val="0"/>
              <w:snapToGrid w:val="0"/>
              <w:spacing w:line="240" w:lineRule="auto"/>
              <w:ind w:firstLine="0" w:firstLineChars="0"/>
              <w:jc w:val="center"/>
              <w:rPr>
                <w:rFonts w:hint="eastAsia"/>
                <w:bCs/>
                <w:color w:val="auto"/>
                <w:sz w:val="21"/>
                <w:szCs w:val="21"/>
                <w:highlight w:val="none"/>
                <w:u w:val="none"/>
              </w:rPr>
            </w:pPr>
            <w:r>
              <w:rPr>
                <w:bCs/>
                <w:color w:val="auto"/>
                <w:sz w:val="21"/>
                <w:szCs w:val="21"/>
                <w:highlight w:val="none"/>
                <w:u w:val="none"/>
              </w:rPr>
              <w:t>2017年12月21日</w:t>
            </w:r>
          </w:p>
        </w:tc>
        <w:tc>
          <w:tcPr>
            <w:tcW w:w="756" w:type="pct"/>
            <w:vAlign w:val="center"/>
          </w:tcPr>
          <w:p w14:paraId="550D6999">
            <w:pPr>
              <w:tabs>
                <w:tab w:val="left" w:pos="0"/>
              </w:tabs>
              <w:adjustRightInd w:val="0"/>
              <w:snapToGrid w:val="0"/>
              <w:spacing w:line="240" w:lineRule="auto"/>
              <w:ind w:firstLine="0" w:firstLineChars="0"/>
              <w:jc w:val="center"/>
              <w:rPr>
                <w:rFonts w:hint="eastAsia"/>
                <w:bCs/>
                <w:color w:val="auto"/>
                <w:sz w:val="21"/>
                <w:szCs w:val="21"/>
                <w:highlight w:val="none"/>
                <w:u w:val="none"/>
              </w:rPr>
            </w:pPr>
            <w:r>
              <w:rPr>
                <w:bCs/>
                <w:color w:val="auto"/>
                <w:sz w:val="21"/>
                <w:szCs w:val="21"/>
                <w:highlight w:val="none"/>
                <w:u w:val="none"/>
              </w:rPr>
              <w:t>福州市生态环境局</w:t>
            </w:r>
          </w:p>
        </w:tc>
        <w:tc>
          <w:tcPr>
            <w:tcW w:w="742" w:type="pct"/>
            <w:vAlign w:val="center"/>
          </w:tcPr>
          <w:p w14:paraId="7E98F08A">
            <w:pPr>
              <w:tabs>
                <w:tab w:val="left" w:pos="0"/>
              </w:tabs>
              <w:adjustRightInd w:val="0"/>
              <w:snapToGrid w:val="0"/>
              <w:spacing w:line="240" w:lineRule="auto"/>
              <w:ind w:firstLine="0" w:firstLineChars="0"/>
              <w:jc w:val="center"/>
              <w:rPr>
                <w:rFonts w:hint="eastAsia"/>
                <w:color w:val="auto"/>
                <w:sz w:val="21"/>
                <w:szCs w:val="21"/>
                <w:highlight w:val="none"/>
                <w:u w:val="none"/>
              </w:rPr>
            </w:pPr>
            <w:r>
              <w:rPr>
                <w:color w:val="auto"/>
                <w:sz w:val="21"/>
                <w:szCs w:val="21"/>
                <w:highlight w:val="none"/>
                <w:u w:val="none"/>
              </w:rPr>
              <w:t>榕环保评[2017]106号</w:t>
            </w:r>
          </w:p>
        </w:tc>
        <w:tc>
          <w:tcPr>
            <w:tcW w:w="2428" w:type="dxa"/>
            <w:vAlign w:val="center"/>
          </w:tcPr>
          <w:p w14:paraId="4C50D5CB">
            <w:pPr>
              <w:tabs>
                <w:tab w:val="left" w:pos="0"/>
              </w:tabs>
              <w:adjustRightInd w:val="0"/>
              <w:snapToGrid w:val="0"/>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已验收</w:t>
            </w:r>
          </w:p>
        </w:tc>
      </w:tr>
      <w:tr w14:paraId="1048B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522" w:type="pct"/>
            <w:vAlign w:val="center"/>
          </w:tcPr>
          <w:p w14:paraId="6A4A54BB">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bCs/>
                <w:color w:val="auto"/>
                <w:sz w:val="21"/>
                <w:szCs w:val="21"/>
                <w:highlight w:val="none"/>
                <w:u w:val="none"/>
              </w:rPr>
              <w:t>《福建省福化天辰气体有限公司大型煤气化项目厂外管线建设工程环境影响报告表》</w:t>
            </w:r>
          </w:p>
        </w:tc>
        <w:tc>
          <w:tcPr>
            <w:tcW w:w="677" w:type="pct"/>
            <w:vAlign w:val="center"/>
          </w:tcPr>
          <w:p w14:paraId="40A1760E">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bCs/>
                <w:color w:val="auto"/>
                <w:sz w:val="21"/>
                <w:szCs w:val="21"/>
                <w:highlight w:val="none"/>
                <w:u w:val="none"/>
              </w:rPr>
              <w:t>2022年2月17日</w:t>
            </w:r>
          </w:p>
        </w:tc>
        <w:tc>
          <w:tcPr>
            <w:tcW w:w="756" w:type="pct"/>
            <w:vAlign w:val="center"/>
          </w:tcPr>
          <w:p w14:paraId="0D3AD50D">
            <w:pPr>
              <w:tabs>
                <w:tab w:val="left" w:pos="0"/>
              </w:tabs>
              <w:adjustRightInd w:val="0"/>
              <w:snapToGrid w:val="0"/>
              <w:spacing w:line="240" w:lineRule="auto"/>
              <w:ind w:firstLine="0" w:firstLineChars="0"/>
              <w:jc w:val="center"/>
              <w:rPr>
                <w:rFonts w:hint="eastAsia"/>
                <w:bCs/>
                <w:snapToGrid w:val="0"/>
                <w:color w:val="auto"/>
                <w:kern w:val="2"/>
                <w:sz w:val="21"/>
                <w:szCs w:val="21"/>
                <w:highlight w:val="none"/>
                <w:u w:val="none"/>
                <w:lang w:val="en-US"/>
              </w:rPr>
            </w:pPr>
            <w:r>
              <w:rPr>
                <w:bCs/>
                <w:color w:val="auto"/>
                <w:sz w:val="21"/>
                <w:szCs w:val="21"/>
                <w:highlight w:val="none"/>
                <w:u w:val="none"/>
              </w:rPr>
              <w:t>福州市福清生态环境局</w:t>
            </w:r>
          </w:p>
        </w:tc>
        <w:tc>
          <w:tcPr>
            <w:tcW w:w="742" w:type="pct"/>
            <w:vAlign w:val="center"/>
          </w:tcPr>
          <w:p w14:paraId="250BFEA9">
            <w:pPr>
              <w:tabs>
                <w:tab w:val="left" w:pos="0"/>
              </w:tabs>
              <w:adjustRightInd w:val="0"/>
              <w:snapToGrid w:val="0"/>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榕融环评[2022]20号</w:t>
            </w:r>
          </w:p>
        </w:tc>
        <w:tc>
          <w:tcPr>
            <w:tcW w:w="2428" w:type="dxa"/>
            <w:vAlign w:val="center"/>
          </w:tcPr>
          <w:p w14:paraId="58354FF1">
            <w:pPr>
              <w:tabs>
                <w:tab w:val="left" w:pos="0"/>
              </w:tabs>
              <w:adjustRightInd w:val="0"/>
              <w:snapToGrid w:val="0"/>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已验收</w:t>
            </w:r>
          </w:p>
        </w:tc>
      </w:tr>
      <w:tr w14:paraId="350AF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522" w:type="pct"/>
            <w:vAlign w:val="center"/>
          </w:tcPr>
          <w:p w14:paraId="5016807B">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《万华化学（福建）有限公司资源综合利用项目——磨煤机制浆水优化环境影响报告表》</w:t>
            </w:r>
          </w:p>
        </w:tc>
        <w:tc>
          <w:tcPr>
            <w:tcW w:w="677" w:type="pct"/>
            <w:vAlign w:val="center"/>
          </w:tcPr>
          <w:p w14:paraId="0A4BCC46">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2023年6月6日</w:t>
            </w:r>
          </w:p>
        </w:tc>
        <w:tc>
          <w:tcPr>
            <w:tcW w:w="756" w:type="pct"/>
            <w:vAlign w:val="center"/>
          </w:tcPr>
          <w:p w14:paraId="18E847E3">
            <w:pPr>
              <w:spacing w:line="240" w:lineRule="auto"/>
              <w:ind w:firstLine="0" w:firstLineChars="0"/>
              <w:jc w:val="center"/>
              <w:rPr>
                <w:rFonts w:hAnsi="Times New Roman" w:cs="宋体"/>
                <w:bCs/>
                <w:snapToGrid w:val="0"/>
                <w:color w:val="auto"/>
                <w:kern w:val="2"/>
                <w:sz w:val="21"/>
                <w:szCs w:val="21"/>
                <w:highlight w:val="none"/>
                <w:u w:val="none"/>
                <w:lang w:val="en-US"/>
              </w:rPr>
            </w:pPr>
            <w:r>
              <w:rPr>
                <w:color w:val="auto"/>
                <w:sz w:val="21"/>
                <w:szCs w:val="21"/>
                <w:highlight w:val="none"/>
                <w:u w:val="none"/>
                <w:lang w:val="en-US"/>
              </w:rPr>
              <w:t>福州市福清生态环境局</w:t>
            </w:r>
          </w:p>
        </w:tc>
        <w:tc>
          <w:tcPr>
            <w:tcW w:w="742" w:type="pct"/>
            <w:vAlign w:val="center"/>
          </w:tcPr>
          <w:p w14:paraId="221A9A9F">
            <w:pPr>
              <w:tabs>
                <w:tab w:val="left" w:pos="0"/>
              </w:tabs>
              <w:adjustRightInd w:val="0"/>
              <w:snapToGrid w:val="0"/>
              <w:spacing w:line="240" w:lineRule="auto"/>
              <w:ind w:firstLine="0" w:firstLineChars="0"/>
              <w:jc w:val="center"/>
              <w:rPr>
                <w:color w:val="auto"/>
                <w:sz w:val="21"/>
                <w:szCs w:val="21"/>
                <w:highlight w:val="none"/>
                <w:u w:val="none"/>
                <w:lang w:val="en-US"/>
              </w:rPr>
            </w:pPr>
            <w:r>
              <w:rPr>
                <w:color w:val="auto"/>
                <w:sz w:val="21"/>
                <w:szCs w:val="21"/>
                <w:highlight w:val="none"/>
                <w:u w:val="none"/>
                <w:lang w:val="en-US"/>
              </w:rPr>
              <w:t>榕融环评[2023]51号</w:t>
            </w:r>
          </w:p>
        </w:tc>
        <w:tc>
          <w:tcPr>
            <w:tcW w:w="2428" w:type="dxa"/>
            <w:vAlign w:val="center"/>
          </w:tcPr>
          <w:p w14:paraId="71AA805A">
            <w:pPr>
              <w:tabs>
                <w:tab w:val="left" w:pos="0"/>
              </w:tabs>
              <w:adjustRightInd w:val="0"/>
              <w:snapToGrid w:val="0"/>
              <w:spacing w:line="240" w:lineRule="auto"/>
              <w:ind w:firstLine="0" w:firstLineChars="0"/>
              <w:jc w:val="center"/>
              <w:rPr>
                <w:color w:val="auto"/>
                <w:sz w:val="21"/>
                <w:szCs w:val="21"/>
                <w:highlight w:val="none"/>
                <w:u w:val="none"/>
                <w:lang w:val="en-US"/>
              </w:rPr>
            </w:pPr>
            <w:r>
              <w:rPr>
                <w:color w:val="auto"/>
                <w:sz w:val="21"/>
                <w:szCs w:val="21"/>
                <w:highlight w:val="none"/>
                <w:u w:val="none"/>
              </w:rPr>
              <w:t>正在建设</w:t>
            </w:r>
          </w:p>
        </w:tc>
      </w:tr>
    </w:tbl>
    <w:p w14:paraId="01D41276">
      <w:pPr>
        <w:rPr>
          <w:rFonts w:hint="eastAsia"/>
          <w:color w:val="auto"/>
          <w:highlight w:val="none"/>
          <w:u w:val="none"/>
        </w:rPr>
      </w:pPr>
      <w:r>
        <w:t>根据现有工程建设</w:t>
      </w:r>
      <w:r>
        <w:rPr>
          <w:rFonts w:hint="eastAsia"/>
        </w:rPr>
        <w:t>进展</w:t>
      </w:r>
      <w:r>
        <w:t>及已批待建情况，本评价对</w:t>
      </w:r>
      <w:r>
        <w:rPr>
          <w:rFonts w:hint="eastAsia"/>
          <w:lang w:val="en-US"/>
        </w:rPr>
        <w:t>主要生产地块中的</w:t>
      </w:r>
      <w:r>
        <w:rPr>
          <w:rFonts w:hint="eastAsia"/>
        </w:rPr>
        <w:t>年产80万吨PVC项目</w:t>
      </w:r>
      <w:r>
        <w:rPr>
          <w:rFonts w:hint="eastAsia"/>
          <w:lang w:val="en-US"/>
        </w:rPr>
        <w:t>等块</w:t>
      </w:r>
      <w:r>
        <w:rPr>
          <w:rFonts w:hint="eastAsia"/>
        </w:rPr>
        <w:t>展开回顾，同时对正在进行环境影响评价的万华福建公司TDI二期扩建36万吨/年项目进行介绍</w:t>
      </w:r>
      <w:r>
        <w:rPr>
          <w:rFonts w:hint="eastAsia"/>
          <w:color w:val="auto"/>
          <w:highlight w:val="none"/>
          <w:u w:val="none"/>
        </w:rPr>
        <w:t>。</w:t>
      </w:r>
    </w:p>
    <w:p w14:paraId="3FD4E4ED">
      <w:pPr>
        <w:pStyle w:val="4"/>
        <w:rPr>
          <w:color w:val="auto"/>
          <w:highlight w:val="none"/>
          <w:u w:val="none"/>
        </w:rPr>
      </w:pPr>
      <w:bookmarkStart w:id="138" w:name="_Toc148374774"/>
      <w:bookmarkStart w:id="139" w:name="_Toc148374446"/>
      <w:bookmarkStart w:id="140" w:name="_Toc6097"/>
      <w:bookmarkStart w:id="141" w:name="_Toc148374888"/>
      <w:r>
        <w:rPr>
          <w:rFonts w:hint="eastAsia" w:eastAsia="宋体"/>
          <w:color w:val="auto"/>
          <w:highlight w:val="none"/>
          <w:u w:val="none"/>
        </w:rPr>
        <w:t>主要生产地块总体平面布局和雨污管网分布</w:t>
      </w:r>
      <w:bookmarkEnd w:id="138"/>
      <w:bookmarkEnd w:id="139"/>
      <w:bookmarkEnd w:id="140"/>
      <w:bookmarkEnd w:id="141"/>
    </w:p>
    <w:p w14:paraId="655F2A72">
      <w:pPr>
        <w:pStyle w:val="6"/>
        <w:spacing w:before="156" w:after="156"/>
        <w:rPr>
          <w:color w:val="auto"/>
          <w:highlight w:val="none"/>
          <w:u w:val="none"/>
          <w:lang w:val="en-US"/>
        </w:rPr>
      </w:pPr>
      <w:bookmarkStart w:id="142" w:name="_Toc148374447"/>
      <w:bookmarkStart w:id="143" w:name="_Toc148374889"/>
      <w:r>
        <w:rPr>
          <w:rFonts w:hint="eastAsia"/>
          <w:color w:val="auto"/>
          <w:highlight w:val="none"/>
          <w:u w:val="none"/>
          <w:lang w:val="en-US"/>
        </w:rPr>
        <w:t>主要生产地块现有工程总体平面布局</w:t>
      </w:r>
      <w:bookmarkEnd w:id="142"/>
      <w:bookmarkEnd w:id="143"/>
    </w:p>
    <w:p w14:paraId="0EEC39CC">
      <w:pPr>
        <w:rPr>
          <w:rFonts w:hint="eastAsia"/>
          <w:color w:val="auto"/>
          <w:highlight w:val="none"/>
          <w:u w:val="none"/>
          <w:lang w:val="en-US"/>
        </w:rPr>
      </w:pPr>
      <w:r>
        <w:rPr>
          <w:rFonts w:hint="eastAsia"/>
          <w:color w:val="auto"/>
          <w:highlight w:val="none"/>
          <w:u w:val="none"/>
        </w:rPr>
        <w:t>万华福建公司主要生产地块现有工程主要包括年产25万吨TDI项目、年产48万吨甲醛项目、年产80万吨PVC项目和年产108万吨苯胺项目。其中</w:t>
      </w:r>
      <w:r>
        <w:rPr>
          <w:rStyle w:val="70"/>
          <w:rFonts w:hint="eastAsia"/>
          <w:color w:val="auto"/>
          <w:sz w:val="24"/>
          <w:szCs w:val="24"/>
          <w:highlight w:val="none"/>
          <w:u w:val="none"/>
          <w:lang w:val="en-US"/>
        </w:rPr>
        <w:t>苯胺项目位于主要生产地块北侧，甲醛项目位于苯胺项目南侧；</w:t>
      </w:r>
      <w:r>
        <w:rPr>
          <w:rFonts w:hint="eastAsia"/>
          <w:color w:val="auto"/>
          <w:highlight w:val="none"/>
          <w:u w:val="none"/>
          <w:lang w:val="en-US"/>
        </w:rPr>
        <w:t>PVC项目位于地块南侧，25万吨TDI项目位于PVC项目北侧，拟扩建的TDI二期项目位于地块中部，本次技改扩能项目位于25万吨TDI项目占地范围内，现有工程平面布置图见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_Ref141372955 \h</w:instrText>
      </w:r>
      <w:r>
        <w:rPr>
          <w:color w:val="auto"/>
          <w:highlight w:val="none"/>
          <w:u w:val="none"/>
          <w:lang w:val="en-US"/>
        </w:rPr>
        <w:instrText xml:space="preserve">  \* MERGEFORMAT </w:instrText>
      </w:r>
      <w:r>
        <w:rPr>
          <w:color w:val="auto"/>
          <w:highlight w:val="none"/>
          <w:u w:val="none"/>
          <w:lang w:val="en-US"/>
        </w:rPr>
        <w:fldChar w:fldCharType="separate"/>
      </w:r>
      <w:r>
        <w:rPr>
          <w:color w:val="auto"/>
          <w:highlight w:val="none"/>
          <w:u w:val="none"/>
        </w:rPr>
        <w:t>图</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3.2</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lang w:val="en-US"/>
        </w:rPr>
        <w:fldChar w:fldCharType="end"/>
      </w:r>
      <w:r>
        <w:rPr>
          <w:rFonts w:hint="eastAsia"/>
          <w:color w:val="auto"/>
          <w:highlight w:val="none"/>
          <w:u w:val="none"/>
          <w:lang w:val="en-US"/>
        </w:rPr>
        <w:t>。</w:t>
      </w:r>
    </w:p>
    <w:p w14:paraId="17720D8B">
      <w:pPr>
        <w:pStyle w:val="6"/>
        <w:spacing w:before="156" w:after="156"/>
        <w:rPr>
          <w:color w:val="auto"/>
          <w:highlight w:val="none"/>
          <w:u w:val="none"/>
          <w:lang w:val="en-US"/>
        </w:rPr>
      </w:pPr>
      <w:r>
        <w:rPr>
          <w:rFonts w:hint="eastAsia"/>
          <w:color w:val="auto"/>
          <w:highlight w:val="none"/>
          <w:u w:val="none"/>
          <w:lang w:val="en-US"/>
        </w:rPr>
        <w:t>主要生产地块现有工程管网布局</w:t>
      </w:r>
    </w:p>
    <w:p w14:paraId="0D7E5D73">
      <w:pPr>
        <w:rPr>
          <w:rFonts w:hint="eastAsia"/>
          <w:color w:val="auto"/>
          <w:highlight w:val="none"/>
          <w:u w:val="none"/>
        </w:rPr>
      </w:pPr>
      <w:r>
        <w:rPr>
          <w:rStyle w:val="70"/>
          <w:rFonts w:hint="eastAsia"/>
          <w:color w:val="auto"/>
          <w:sz w:val="24"/>
          <w:szCs w:val="24"/>
          <w:highlight w:val="none"/>
          <w:u w:val="none"/>
          <w:lang w:val="en-US"/>
        </w:rPr>
        <w:t>主要生产地块</w:t>
      </w:r>
      <w:r>
        <w:rPr>
          <w:rFonts w:hint="eastAsia"/>
          <w:color w:val="auto"/>
          <w:highlight w:val="none"/>
          <w:u w:val="none"/>
          <w:lang w:val="en-US"/>
        </w:rPr>
        <w:t>内四个主要项目（TDI、PVC、甲醛、苯胺）的污水均通过高架管廊输送到万华环保科技公司污水处理系统进行处理，主要生产地块在西南侧建有29000m</w:t>
      </w:r>
      <w:r>
        <w:rPr>
          <w:rFonts w:hint="eastAsia"/>
          <w:color w:val="auto"/>
          <w:highlight w:val="none"/>
          <w:u w:val="none"/>
          <w:vertAlign w:val="superscript"/>
          <w:lang w:val="en-US"/>
        </w:rPr>
        <w:t>3</w:t>
      </w:r>
      <w:r>
        <w:rPr>
          <w:rFonts w:hint="eastAsia"/>
          <w:color w:val="auto"/>
          <w:highlight w:val="none"/>
          <w:u w:val="none"/>
          <w:lang w:val="en-US"/>
        </w:rPr>
        <w:t>的事故应急池（</w:t>
      </w:r>
      <w:r>
        <w:rPr>
          <w:color w:val="auto"/>
          <w:highlight w:val="none"/>
          <w:u w:val="none"/>
        </w:rPr>
        <w:t>1个5000m</w:t>
      </w:r>
      <w:r>
        <w:rPr>
          <w:color w:val="auto"/>
          <w:highlight w:val="none"/>
          <w:u w:val="none"/>
          <w:vertAlign w:val="superscript"/>
        </w:rPr>
        <w:t>3</w:t>
      </w:r>
      <w:r>
        <w:rPr>
          <w:color w:val="auto"/>
          <w:highlight w:val="none"/>
          <w:u w:val="none"/>
        </w:rPr>
        <w:t>事故应急池</w:t>
      </w:r>
      <w:r>
        <w:rPr>
          <w:rFonts w:hint="eastAsia"/>
          <w:color w:val="auto"/>
          <w:highlight w:val="none"/>
          <w:u w:val="none"/>
        </w:rPr>
        <w:t>、</w:t>
      </w:r>
      <w:r>
        <w:rPr>
          <w:color w:val="auto"/>
          <w:highlight w:val="none"/>
          <w:u w:val="none"/>
        </w:rPr>
        <w:t>2个5000m</w:t>
      </w:r>
      <w:r>
        <w:rPr>
          <w:color w:val="auto"/>
          <w:highlight w:val="none"/>
          <w:u w:val="none"/>
          <w:vertAlign w:val="superscript"/>
        </w:rPr>
        <w:t>3</w:t>
      </w:r>
      <w:r>
        <w:rPr>
          <w:color w:val="auto"/>
          <w:highlight w:val="none"/>
          <w:u w:val="none"/>
        </w:rPr>
        <w:t>事故应急水罐</w:t>
      </w:r>
      <w:r>
        <w:rPr>
          <w:rFonts w:hint="eastAsia"/>
          <w:color w:val="auto"/>
          <w:highlight w:val="none"/>
          <w:u w:val="none"/>
        </w:rPr>
        <w:t>及1</w:t>
      </w:r>
      <w:r>
        <w:rPr>
          <w:color w:val="auto"/>
          <w:highlight w:val="none"/>
          <w:u w:val="none"/>
        </w:rPr>
        <w:t>个14000m</w:t>
      </w:r>
      <w:r>
        <w:rPr>
          <w:color w:val="auto"/>
          <w:highlight w:val="none"/>
          <w:u w:val="none"/>
          <w:vertAlign w:val="superscript"/>
        </w:rPr>
        <w:t>3</w:t>
      </w:r>
      <w:r>
        <w:rPr>
          <w:color w:val="auto"/>
          <w:highlight w:val="none"/>
          <w:u w:val="none"/>
        </w:rPr>
        <w:t>事故应急水罐</w:t>
      </w:r>
      <w:r>
        <w:rPr>
          <w:rFonts w:hint="eastAsia"/>
          <w:color w:val="auto"/>
          <w:highlight w:val="none"/>
          <w:u w:val="none"/>
          <w:lang w:val="en-US"/>
        </w:rPr>
        <w:t>），用于收集主要生产地块的事故废水，福建省东南电化股份有限公司的事故废水也依托</w:t>
      </w:r>
      <w:r>
        <w:rPr>
          <w:rFonts w:hint="eastAsia"/>
          <w:color w:val="auto"/>
          <w:highlight w:val="none"/>
          <w:u w:val="none"/>
        </w:rPr>
        <w:t>万华福建公司主要生产地块的事故应急池</w:t>
      </w:r>
      <w:r>
        <w:rPr>
          <w:rFonts w:hint="eastAsia"/>
          <w:color w:val="auto"/>
          <w:highlight w:val="none"/>
          <w:u w:val="none"/>
          <w:lang w:val="en-US"/>
        </w:rPr>
        <w:t>（</w:t>
      </w:r>
      <w:r>
        <w:rPr>
          <w:rFonts w:hint="eastAsia"/>
          <w:color w:val="auto"/>
          <w:highlight w:val="none"/>
          <w:u w:val="none"/>
        </w:rPr>
        <w:t>万华福建公司与福建东南电化土地分割后，虽然对其雨污管网进行了改造，但是改造后东南电化与万华福建公司主要生产地块装置区的雨水管网仍旧不能够分开，东南电化的雨水排放最终仍由万华福建公司雨水监测井监测达标后排放，不达标雨水及事故洗消废水则暂存于万华福建公司主要生产地块的事故应急池，再由万华环保科技公司污水处理站处理达标后排放</w:t>
      </w:r>
      <w:r>
        <w:rPr>
          <w:rFonts w:hint="eastAsia"/>
          <w:color w:val="auto"/>
          <w:highlight w:val="none"/>
          <w:u w:val="none"/>
          <w:lang w:val="en-US"/>
        </w:rPr>
        <w:t>）。主要生产地块内现有</w:t>
      </w:r>
      <w:r>
        <w:rPr>
          <w:color w:val="auto"/>
          <w:highlight w:val="none"/>
          <w:u w:val="none"/>
        </w:rPr>
        <w:t>厂区雨水、污水和事故水的收集如</w:t>
      </w:r>
      <w:r>
        <w:rPr>
          <w:color w:val="auto"/>
          <w:highlight w:val="none"/>
          <w:u w:val="none"/>
        </w:rPr>
        <w:fldChar w:fldCharType="begin"/>
      </w:r>
      <w:r>
        <w:rPr>
          <w:color w:val="auto"/>
          <w:highlight w:val="none"/>
          <w:u w:val="none"/>
        </w:rPr>
        <w:instrText xml:space="preserve"> REF _Ref149258867 \h  \* MERGEFORMAT </w:instrText>
      </w:r>
      <w:r>
        <w:rPr>
          <w:color w:val="auto"/>
          <w:highlight w:val="none"/>
          <w:u w:val="none"/>
        </w:rPr>
        <w:fldChar w:fldCharType="separate"/>
      </w:r>
      <w:r>
        <w:rPr>
          <w:color w:val="auto"/>
          <w:highlight w:val="none"/>
          <w:u w:val="none"/>
        </w:rPr>
        <w:t>图</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3.2</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所示</w:t>
      </w:r>
      <w:r>
        <w:rPr>
          <w:rFonts w:hint="eastAsia"/>
          <w:color w:val="auto"/>
          <w:highlight w:val="none"/>
          <w:u w:val="none"/>
        </w:rPr>
        <w:t>。</w:t>
      </w:r>
    </w:p>
    <w:p w14:paraId="43D3B0FC">
      <w:pPr>
        <w:rPr>
          <w:rFonts w:hint="eastAsia"/>
          <w:color w:val="auto"/>
          <w:highlight w:val="none"/>
          <w:u w:val="none"/>
        </w:rPr>
        <w:sectPr>
          <w:pgSz w:w="11906" w:h="16838"/>
          <w:pgMar w:top="1418" w:right="1418" w:bottom="1418" w:left="1418" w:header="1134" w:footer="992" w:gutter="0"/>
          <w:cols w:space="720" w:num="1"/>
          <w:docGrid w:type="lines" w:linePitch="312" w:charSpace="0"/>
        </w:sectPr>
      </w:pPr>
    </w:p>
    <w:p w14:paraId="5A57B4AD">
      <w:pPr>
        <w:pStyle w:val="4"/>
        <w:rPr>
          <w:color w:val="auto"/>
          <w:highlight w:val="none"/>
          <w:u w:val="none"/>
        </w:rPr>
      </w:pPr>
      <w:bookmarkStart w:id="144" w:name="_Toc30913"/>
      <w:bookmarkStart w:id="145" w:name="_Toc148374892"/>
      <w:bookmarkStart w:id="146" w:name="_Toc148374450"/>
      <w:r>
        <w:rPr>
          <w:color w:val="auto"/>
          <w:highlight w:val="none"/>
          <w:u w:val="none"/>
        </w:rPr>
        <w:t>25万吨/年TDI项</w:t>
      </w:r>
      <w:r>
        <w:rPr>
          <w:rFonts w:eastAsia="楷体"/>
          <w:color w:val="auto"/>
          <w:highlight w:val="none"/>
          <w:u w:val="none"/>
        </w:rPr>
        <w:t>目</w:t>
      </w:r>
      <w:r>
        <w:rPr>
          <w:rFonts w:hint="eastAsia" w:eastAsia="楷体" w:cs="宋体"/>
          <w:color w:val="auto"/>
          <w:highlight w:val="none"/>
          <w:u w:val="none"/>
        </w:rPr>
        <w:t>（TDI一期工程）</w:t>
      </w:r>
      <w:bookmarkEnd w:id="144"/>
    </w:p>
    <w:p w14:paraId="71BB2464">
      <w:pPr>
        <w:pStyle w:val="6"/>
        <w:spacing w:before="156" w:after="156"/>
        <w:rPr>
          <w:color w:val="auto"/>
          <w:highlight w:val="none"/>
          <w:u w:val="none"/>
        </w:rPr>
      </w:pPr>
      <w:r>
        <w:rPr>
          <w:color w:val="auto"/>
          <w:highlight w:val="none"/>
          <w:u w:val="none"/>
        </w:rPr>
        <w:t>工程组成</w:t>
      </w:r>
      <w:bookmarkEnd w:id="145"/>
      <w:bookmarkEnd w:id="146"/>
    </w:p>
    <w:p w14:paraId="336FFE79">
      <w:pPr>
        <w:pStyle w:val="981"/>
        <w:rPr>
          <w:rFonts w:hint="eastAsia"/>
          <w:color w:val="auto"/>
          <w:highlight w:val="none"/>
          <w:u w:val="none"/>
        </w:rPr>
      </w:pPr>
      <w:r>
        <w:rPr>
          <w:color w:val="auto"/>
          <w:highlight w:val="none"/>
          <w:u w:val="none"/>
        </w:rPr>
        <w:t>现有25万吨/年TDI项目</w:t>
      </w:r>
      <w:r>
        <w:rPr>
          <w:rFonts w:hint="eastAsia"/>
          <w:color w:val="auto"/>
          <w:highlight w:val="none"/>
          <w:u w:val="none"/>
        </w:rPr>
        <w:t>，是</w:t>
      </w:r>
      <w:r>
        <w:rPr>
          <w:rFonts w:hint="eastAsia"/>
          <w:color w:val="auto"/>
          <w:highlight w:val="none"/>
          <w:u w:val="none"/>
          <w:lang w:val="en-US"/>
        </w:rPr>
        <w:t>从东南电化收购的</w:t>
      </w:r>
      <w:r>
        <w:rPr>
          <w:rFonts w:hint="eastAsia"/>
          <w:color w:val="auto"/>
          <w:highlight w:val="none"/>
          <w:u w:val="none"/>
        </w:rPr>
        <w:t>扩建15万吨/年TDI装置与</w:t>
      </w:r>
      <w:r>
        <w:rPr>
          <w:rFonts w:hint="eastAsia"/>
          <w:color w:val="auto"/>
          <w:highlight w:val="none"/>
          <w:u w:val="none"/>
          <w:lang w:val="en-US"/>
        </w:rPr>
        <w:t>原</w:t>
      </w:r>
      <w:r>
        <w:rPr>
          <w:rFonts w:hint="eastAsia"/>
          <w:color w:val="auto"/>
          <w:highlight w:val="none"/>
          <w:u w:val="none"/>
        </w:rPr>
        <w:t>10万吨/年TDI装置（</w:t>
      </w:r>
      <w:r>
        <w:rPr>
          <w:rFonts w:hint="eastAsia"/>
          <w:color w:val="auto"/>
          <w:highlight w:val="none"/>
          <w:u w:val="none"/>
          <w:lang w:val="en-US"/>
        </w:rPr>
        <w:t>已拆除</w:t>
      </w:r>
      <w:r>
        <w:rPr>
          <w:rFonts w:hint="eastAsia"/>
          <w:color w:val="auto"/>
          <w:highlight w:val="none"/>
          <w:u w:val="none"/>
        </w:rPr>
        <w:t>）合并产能，改为1套25万吨/年TDI项目</w:t>
      </w:r>
      <w:r>
        <w:rPr>
          <w:rFonts w:hint="eastAsia"/>
          <w:color w:val="auto"/>
          <w:highlight w:val="none"/>
          <w:u w:val="none"/>
          <w:lang w:val="en-US"/>
        </w:rPr>
        <w:t>。</w:t>
      </w:r>
      <w:r>
        <w:rPr>
          <w:rFonts w:hint="eastAsia"/>
          <w:color w:val="auto"/>
          <w:highlight w:val="none"/>
          <w:u w:val="none"/>
        </w:rPr>
        <w:t>工程于2</w:t>
      </w:r>
      <w:r>
        <w:rPr>
          <w:color w:val="auto"/>
          <w:highlight w:val="none"/>
          <w:u w:val="none"/>
        </w:rPr>
        <w:t>02</w:t>
      </w:r>
      <w:r>
        <w:rPr>
          <w:rFonts w:hint="eastAsia"/>
          <w:color w:val="auto"/>
          <w:highlight w:val="none"/>
          <w:u w:val="none"/>
          <w:lang w:val="en-US"/>
        </w:rPr>
        <w:t>4</w:t>
      </w:r>
      <w:r>
        <w:rPr>
          <w:color w:val="auto"/>
          <w:highlight w:val="none"/>
          <w:u w:val="none"/>
        </w:rPr>
        <w:t>年</w:t>
      </w:r>
      <w:r>
        <w:rPr>
          <w:rFonts w:hint="eastAsia"/>
          <w:color w:val="auto"/>
          <w:highlight w:val="none"/>
          <w:u w:val="none"/>
          <w:lang w:val="en-US"/>
        </w:rPr>
        <w:t>5</w:t>
      </w:r>
      <w:r>
        <w:rPr>
          <w:rFonts w:hint="eastAsia"/>
          <w:color w:val="auto"/>
          <w:highlight w:val="none"/>
          <w:u w:val="none"/>
        </w:rPr>
        <w:t>月</w:t>
      </w:r>
      <w:r>
        <w:rPr>
          <w:rFonts w:hint="eastAsia"/>
          <w:color w:val="auto"/>
          <w:highlight w:val="none"/>
          <w:u w:val="none"/>
          <w:lang w:val="en-US"/>
        </w:rPr>
        <w:t>完成竣工环保自主验收</w:t>
      </w:r>
      <w:r>
        <w:rPr>
          <w:color w:val="auto"/>
          <w:highlight w:val="none"/>
          <w:u w:val="none"/>
        </w:rPr>
        <w:t>。</w:t>
      </w:r>
      <w:r>
        <w:rPr>
          <w:rFonts w:hint="eastAsia"/>
          <w:color w:val="auto"/>
          <w:highlight w:val="none"/>
          <w:u w:val="none"/>
          <w:lang w:val="en-US"/>
        </w:rPr>
        <w:t>该项目工程</w:t>
      </w:r>
      <w:r>
        <w:rPr>
          <w:color w:val="auto"/>
          <w:highlight w:val="none"/>
          <w:u w:val="none"/>
        </w:rPr>
        <w:t>组成详见</w:t>
      </w:r>
      <w:r>
        <w:rPr>
          <w:rFonts w:hint="eastAsia"/>
          <w:color w:val="auto"/>
          <w:highlight w:val="none"/>
          <w:u w:val="none"/>
        </w:rPr>
        <w:fldChar w:fldCharType="begin"/>
      </w:r>
      <w:r>
        <w:rPr>
          <w:rFonts w:hint="eastAsia"/>
          <w:color w:val="auto"/>
          <w:highlight w:val="none"/>
          <w:u w:val="none"/>
        </w:rPr>
        <w:instrText xml:space="preserve"> REF _Ref30660 \h </w:instrText>
      </w:r>
      <w:r>
        <w:rPr>
          <w:color w:val="auto"/>
          <w:highlight w:val="none"/>
          <w:u w:val="none"/>
        </w:rPr>
        <w:instrText xml:space="preserve"> \* MERGEFORMAT </w:instrText>
      </w:r>
      <w:r>
        <w:rPr>
          <w:rFonts w:hint="eastAsia"/>
          <w:color w:val="auto"/>
          <w:highlight w:val="none"/>
          <w:u w:val="none"/>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3.3</w:t>
      </w:r>
      <w:r>
        <w:rPr>
          <w:color w:val="auto"/>
          <w:highlight w:val="none"/>
          <w:u w:val="none"/>
        </w:rPr>
        <w:fldChar w:fldCharType="end"/>
      </w:r>
      <w:r>
        <w:rPr>
          <w:color w:val="auto"/>
          <w:highlight w:val="none"/>
          <w:u w:val="none"/>
        </w:rPr>
        <w:noBreakHyphen/>
      </w:r>
      <w:r>
        <w:rPr>
          <w:color w:val="auto"/>
          <w:highlight w:val="none"/>
          <w:u w:val="none"/>
        </w:rPr>
        <w:t>1</w:t>
      </w:r>
      <w:r>
        <w:rPr>
          <w:rFonts w:hint="eastAsia"/>
          <w:color w:val="auto"/>
          <w:highlight w:val="none"/>
          <w:u w:val="none"/>
        </w:rPr>
        <w:fldChar w:fldCharType="end"/>
      </w:r>
      <w:r>
        <w:rPr>
          <w:color w:val="auto"/>
          <w:highlight w:val="none"/>
          <w:u w:val="none"/>
        </w:rPr>
        <w:t>。</w:t>
      </w:r>
    </w:p>
    <w:p w14:paraId="6A824265">
      <w:pPr>
        <w:rPr>
          <w:rFonts w:hint="eastAsia"/>
          <w:color w:val="auto"/>
          <w:highlight w:val="none"/>
          <w:u w:val="none"/>
        </w:rPr>
      </w:pPr>
      <w:r>
        <w:rPr>
          <w:rFonts w:hint="eastAsia"/>
          <w:color w:val="auto"/>
          <w:highlight w:val="none"/>
          <w:u w:val="none"/>
        </w:rPr>
        <w:t>根据《万华化学（福建）有限公司扩建25 万吨 TDI项目（替代现有10万吨及已批15 万吨产能）环境影响报告书》，该项目焦油颗粒送往万华环保科技公司能量回收装置进行焚烧处置，红水废水依托万华环保科技公司的综合废水处理系统处理，但实际建设时调整为焦油颗粒送往焦油颗粒中转仓临时存储后，经专用密闭槽车送往万华福建公司大型煤气化项目作为水煤浆气化原料，红水废水也送往万华福建公司大型煤气化项目作为水煤浆气化原料，焦油颗粒、红水废水作为水煤浆气化原料已在《万华化学(福建)有限公司资源综合利用项目--磨煤机制浆水优化环境影响报告表》中进行评价。根据25 万吨 TDI项目竣工环保验收监测报告，其验收仅明确了焦油颗粒和红水废水利用处置方式，对焦油颗粒、红水废水的运输装卸方式的改变，污染防治措施的工艺、规模处理去向、排放形式调整等，未纳入 25 万吨 TDI项目验收范围内。目前磨煤机制浆水优化项目正在设备调试中，尚未验收。</w:t>
      </w:r>
    </w:p>
    <w:p w14:paraId="4B091433">
      <w:pPr>
        <w:pStyle w:val="6"/>
        <w:spacing w:before="120" w:after="120"/>
        <w:rPr>
          <w:color w:val="auto"/>
          <w:highlight w:val="none"/>
          <w:u w:val="none"/>
        </w:rPr>
      </w:pPr>
      <w:bookmarkStart w:id="147" w:name="_Toc148374893"/>
      <w:bookmarkStart w:id="148" w:name="_Toc148374451"/>
      <w:r>
        <w:rPr>
          <w:color w:val="auto"/>
          <w:highlight w:val="none"/>
          <w:u w:val="none"/>
        </w:rPr>
        <w:t>产品方案、</w:t>
      </w:r>
      <w:r>
        <w:rPr>
          <w:rFonts w:hint="eastAsia"/>
          <w:color w:val="auto"/>
          <w:highlight w:val="none"/>
          <w:u w:val="none"/>
          <w:lang w:val="en-US"/>
        </w:rPr>
        <w:t>原辅材料、主要生产设备</w:t>
      </w:r>
      <w:r>
        <w:rPr>
          <w:color w:val="auto"/>
          <w:highlight w:val="none"/>
          <w:u w:val="none"/>
        </w:rPr>
        <w:t>与</w:t>
      </w:r>
      <w:r>
        <w:rPr>
          <w:rFonts w:hint="eastAsia"/>
          <w:color w:val="auto"/>
          <w:highlight w:val="none"/>
          <w:u w:val="none"/>
        </w:rPr>
        <w:t>生产</w:t>
      </w:r>
      <w:r>
        <w:rPr>
          <w:color w:val="auto"/>
          <w:highlight w:val="none"/>
          <w:u w:val="none"/>
        </w:rPr>
        <w:t>工艺</w:t>
      </w:r>
      <w:bookmarkEnd w:id="147"/>
      <w:bookmarkEnd w:id="148"/>
    </w:p>
    <w:p w14:paraId="3658B481">
      <w:pPr>
        <w:pStyle w:val="7"/>
        <w:spacing w:before="120"/>
        <w:rPr>
          <w:color w:val="auto"/>
          <w:highlight w:val="none"/>
          <w:u w:val="none"/>
        </w:rPr>
      </w:pPr>
      <w:r>
        <w:rPr>
          <w:color w:val="auto"/>
          <w:highlight w:val="none"/>
          <w:u w:val="none"/>
        </w:rPr>
        <w:t>产品方案及</w:t>
      </w:r>
      <w:r>
        <w:rPr>
          <w:rFonts w:hint="eastAsia"/>
          <w:color w:val="auto"/>
          <w:highlight w:val="none"/>
          <w:u w:val="none"/>
          <w:lang w:val="en-US"/>
        </w:rPr>
        <w:t>原辅材料</w:t>
      </w:r>
    </w:p>
    <w:p w14:paraId="7DABE52F">
      <w:pPr>
        <w:bidi w:val="0"/>
        <w:rPr>
          <w:rFonts w:hint="eastAsia" w:eastAsia="宋体"/>
          <w:lang w:eastAsia="zh-CN"/>
        </w:rPr>
      </w:pPr>
      <w:r>
        <w:rPr>
          <w:rFonts w:hint="eastAsia"/>
        </w:rPr>
        <w:t>涉密删除</w:t>
      </w:r>
      <w:r>
        <w:rPr>
          <w:rFonts w:hint="eastAsia"/>
          <w:lang w:eastAsia="zh-CN"/>
        </w:rPr>
        <w:t>。</w:t>
      </w:r>
    </w:p>
    <w:p w14:paraId="5D849FB7">
      <w:pPr>
        <w:pStyle w:val="7"/>
        <w:spacing w:before="120"/>
        <w:rPr>
          <w:color w:val="auto"/>
          <w:highlight w:val="none"/>
          <w:u w:val="none"/>
        </w:rPr>
      </w:pPr>
      <w:r>
        <w:rPr>
          <w:rFonts w:hint="eastAsia"/>
          <w:color w:val="auto"/>
          <w:highlight w:val="none"/>
          <w:u w:val="none"/>
          <w:lang w:val="en-US"/>
        </w:rPr>
        <w:t>主要生产设备</w:t>
      </w:r>
    </w:p>
    <w:p w14:paraId="34B949ED">
      <w:pPr>
        <w:bidi w:val="0"/>
        <w:rPr>
          <w:rFonts w:hint="eastAsia"/>
          <w:lang w:eastAsia="zh-CN"/>
        </w:rPr>
      </w:pPr>
      <w:bookmarkStart w:id="149" w:name="_Ref1659"/>
      <w:r>
        <w:rPr>
          <w:rFonts w:hint="eastAsia"/>
        </w:rPr>
        <w:t>涉密删除</w:t>
      </w:r>
      <w:r>
        <w:rPr>
          <w:rFonts w:hint="eastAsia"/>
          <w:lang w:eastAsia="zh-CN"/>
        </w:rPr>
        <w:t>。</w:t>
      </w:r>
    </w:p>
    <w:bookmarkEnd w:id="149"/>
    <w:p w14:paraId="438DDC70">
      <w:pPr>
        <w:pStyle w:val="7"/>
        <w:spacing w:before="120"/>
        <w:rPr>
          <w:color w:val="auto"/>
          <w:highlight w:val="none"/>
          <w:u w:val="none"/>
        </w:rPr>
      </w:pPr>
      <w:r>
        <w:rPr>
          <w:rFonts w:hint="eastAsia"/>
          <w:color w:val="auto"/>
          <w:highlight w:val="none"/>
          <w:u w:val="none"/>
        </w:rPr>
        <w:t>生产</w:t>
      </w:r>
      <w:r>
        <w:rPr>
          <w:color w:val="auto"/>
          <w:highlight w:val="none"/>
          <w:u w:val="none"/>
        </w:rPr>
        <w:t>工艺</w:t>
      </w:r>
    </w:p>
    <w:p w14:paraId="344E9293">
      <w:pPr>
        <w:rPr>
          <w:rFonts w:hint="eastAsia"/>
          <w:color w:val="auto"/>
          <w:highlight w:val="none"/>
          <w:u w:val="none"/>
        </w:rPr>
      </w:pPr>
      <w:r>
        <w:rPr>
          <w:rFonts w:hint="eastAsia"/>
          <w:color w:val="auto"/>
          <w:highlight w:val="none"/>
          <w:u w:val="none"/>
        </w:rPr>
        <w:t>25万吨/年TDI项目生产工艺与本次</w:t>
      </w:r>
      <w:r>
        <w:rPr>
          <w:rFonts w:hint="eastAsia"/>
          <w:color w:val="auto"/>
          <w:highlight w:val="none"/>
          <w:u w:val="none"/>
          <w:lang w:val="en-US"/>
        </w:rPr>
        <w:t>技改扩能</w:t>
      </w:r>
      <w:r>
        <w:rPr>
          <w:rFonts w:hint="eastAsia"/>
          <w:color w:val="auto"/>
          <w:highlight w:val="none"/>
          <w:u w:val="none"/>
        </w:rPr>
        <w:t>项目基本一致，详细工艺描述见5</w:t>
      </w:r>
      <w:r>
        <w:rPr>
          <w:color w:val="auto"/>
          <w:highlight w:val="none"/>
          <w:u w:val="none"/>
        </w:rPr>
        <w:t>.1</w:t>
      </w:r>
      <w:r>
        <w:rPr>
          <w:rFonts w:hint="eastAsia"/>
          <w:color w:val="auto"/>
          <w:highlight w:val="none"/>
          <w:u w:val="none"/>
        </w:rPr>
        <w:t>小节。</w:t>
      </w:r>
    </w:p>
    <w:p w14:paraId="4559DBBB">
      <w:pPr>
        <w:pStyle w:val="6"/>
        <w:spacing w:before="120" w:after="120"/>
        <w:rPr>
          <w:color w:val="auto"/>
          <w:highlight w:val="none"/>
          <w:u w:val="none"/>
        </w:rPr>
      </w:pPr>
      <w:bookmarkStart w:id="150" w:name="_Toc148374453"/>
      <w:bookmarkStart w:id="151" w:name="_Toc148374895"/>
      <w:r>
        <w:rPr>
          <w:color w:val="auto"/>
          <w:highlight w:val="none"/>
          <w:u w:val="none"/>
        </w:rPr>
        <w:t>现有工程污染防治措施</w:t>
      </w:r>
      <w:bookmarkEnd w:id="150"/>
      <w:bookmarkEnd w:id="151"/>
    </w:p>
    <w:p w14:paraId="234F75F8">
      <w:pPr>
        <w:pStyle w:val="7"/>
        <w:spacing w:before="120"/>
        <w:rPr>
          <w:color w:val="auto"/>
          <w:highlight w:val="none"/>
          <w:u w:val="none"/>
        </w:rPr>
      </w:pPr>
      <w:r>
        <w:rPr>
          <w:color w:val="auto"/>
          <w:highlight w:val="none"/>
          <w:u w:val="none"/>
        </w:rPr>
        <w:t>废气治理措施</w:t>
      </w:r>
    </w:p>
    <w:p w14:paraId="3A6D6730">
      <w:pPr>
        <w:numPr>
          <w:ilvl w:val="0"/>
          <w:numId w:val="6"/>
        </w:numPr>
        <w:rPr>
          <w:rFonts w:hint="eastAsia"/>
          <w:color w:val="auto"/>
          <w:highlight w:val="none"/>
          <w:u w:val="none"/>
          <w:lang w:val="en-US"/>
        </w:rPr>
      </w:pPr>
      <w:r>
        <w:rPr>
          <w:rFonts w:hint="eastAsia"/>
          <w:color w:val="auto"/>
          <w:highlight w:val="none"/>
          <w:u w:val="none"/>
          <w:lang w:val="en-US"/>
        </w:rPr>
        <w:t>硝化单元</w:t>
      </w:r>
    </w:p>
    <w:p w14:paraId="121C69D7">
      <w:pPr>
        <w:numPr>
          <w:ilvl w:val="255"/>
          <w:numId w:val="0"/>
        </w:numPr>
        <w:ind w:firstLine="480" w:firstLineChars="200"/>
        <w:rPr>
          <w:rFonts w:hint="eastAsia"/>
          <w:color w:val="auto"/>
          <w:highlight w:val="none"/>
          <w:u w:val="none"/>
          <w:lang w:val="en-US"/>
        </w:rPr>
      </w:pPr>
      <w:r>
        <w:rPr>
          <w:rFonts w:hint="eastAsia"/>
          <w:color w:val="auto"/>
          <w:highlight w:val="none"/>
          <w:u w:val="none"/>
          <w:lang w:val="en-US"/>
        </w:rPr>
        <w:t>硝化单元包括酸性废气和碱性废气，酸性废气主要为一硝化、二硝化、酸洗工序产生的废气，同时含</w:t>
      </w:r>
      <w:r>
        <w:rPr>
          <w:color w:val="auto"/>
          <w:highlight w:val="none"/>
          <w:u w:val="none"/>
        </w:rPr>
        <w:t>MNT废酸储罐、浓硝酸储罐呼吸气</w:t>
      </w:r>
      <w:r>
        <w:rPr>
          <w:rFonts w:hint="eastAsia"/>
          <w:color w:val="auto"/>
          <w:highlight w:val="none"/>
          <w:u w:val="none"/>
        </w:rPr>
        <w:t>，主要污染物为</w:t>
      </w:r>
      <w:r>
        <w:rPr>
          <w:color w:val="auto"/>
          <w:highlight w:val="none"/>
          <w:u w:val="none"/>
        </w:rPr>
        <w:t>少量NO</w:t>
      </w:r>
      <w:r>
        <w:rPr>
          <w:color w:val="auto"/>
          <w:highlight w:val="none"/>
          <w:u w:val="none"/>
          <w:vertAlign w:val="subscript"/>
        </w:rPr>
        <w:t>X</w:t>
      </w:r>
      <w:r>
        <w:rPr>
          <w:color w:val="auto"/>
          <w:highlight w:val="none"/>
          <w:u w:val="none"/>
        </w:rPr>
        <w:t>（硝酸雾）</w:t>
      </w:r>
      <w:r>
        <w:rPr>
          <w:rFonts w:hint="eastAsia"/>
          <w:color w:val="auto"/>
          <w:highlight w:val="none"/>
          <w:u w:val="none"/>
        </w:rPr>
        <w:t>等，</w:t>
      </w:r>
      <w:r>
        <w:rPr>
          <w:color w:val="auto"/>
          <w:highlight w:val="none"/>
          <w:u w:val="none"/>
        </w:rPr>
        <w:t>在厂区内经加压水吸收预处理</w:t>
      </w:r>
      <w:r>
        <w:rPr>
          <w:rFonts w:hint="eastAsia"/>
          <w:color w:val="auto"/>
          <w:highlight w:val="none"/>
          <w:u w:val="none"/>
        </w:rPr>
        <w:t>（硝烟吸收塔）</w:t>
      </w:r>
      <w:r>
        <w:rPr>
          <w:color w:val="auto"/>
          <w:highlight w:val="none"/>
          <w:u w:val="none"/>
        </w:rPr>
        <w:t>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color w:val="auto"/>
          <w:highlight w:val="none"/>
          <w:u w:val="none"/>
        </w:rPr>
        <w:t>。</w:t>
      </w:r>
      <w:r>
        <w:rPr>
          <w:rFonts w:hint="eastAsia"/>
          <w:color w:val="auto"/>
          <w:highlight w:val="none"/>
          <w:u w:val="none"/>
          <w:lang w:val="en-US"/>
        </w:rPr>
        <w:t>碱性废气主要为碱洗、中性洗产生的碱性废气及TDI废水处理的碱性尾气，主要污染物</w:t>
      </w:r>
      <w:r>
        <w:rPr>
          <w:color w:val="auto"/>
          <w:highlight w:val="none"/>
          <w:u w:val="none"/>
        </w:rPr>
        <w:t>为甲苯、二硝基甲苯、氨和VOC</w:t>
      </w:r>
      <w:r>
        <w:rPr>
          <w:color w:val="auto"/>
          <w:highlight w:val="none"/>
          <w:u w:val="none"/>
          <w:vertAlign w:val="subscript"/>
        </w:rPr>
        <w:t>S</w:t>
      </w:r>
      <w:r>
        <w:rPr>
          <w:rFonts w:hint="eastAsia"/>
          <w:color w:val="auto"/>
          <w:highlight w:val="none"/>
          <w:u w:val="none"/>
          <w:lang w:val="en-US"/>
        </w:rPr>
        <w:t>，</w:t>
      </w:r>
      <w:r>
        <w:rPr>
          <w:color w:val="auto"/>
          <w:highlight w:val="none"/>
          <w:u w:val="none"/>
        </w:rPr>
        <w:t>在厂区内经水洗塔预处理</w:t>
      </w:r>
      <w:r>
        <w:rPr>
          <w:rFonts w:hint="eastAsia"/>
          <w:color w:val="auto"/>
          <w:highlight w:val="none"/>
          <w:u w:val="none"/>
        </w:rPr>
        <w:t>（碱性废气吸收塔）</w:t>
      </w:r>
      <w:r>
        <w:rPr>
          <w:color w:val="auto"/>
          <w:highlight w:val="none"/>
          <w:u w:val="none"/>
        </w:rPr>
        <w:t>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rFonts w:hint="eastAsia"/>
          <w:color w:val="auto"/>
          <w:highlight w:val="none"/>
          <w:u w:val="none"/>
          <w:lang w:val="en-US"/>
        </w:rPr>
        <w:t>。</w:t>
      </w:r>
    </w:p>
    <w:p w14:paraId="671528EE">
      <w:pPr>
        <w:numPr>
          <w:ilvl w:val="0"/>
          <w:numId w:val="6"/>
        </w:numPr>
        <w:rPr>
          <w:rFonts w:hint="eastAsia"/>
          <w:color w:val="auto"/>
          <w:highlight w:val="none"/>
          <w:u w:val="none"/>
          <w:lang w:val="en-US"/>
        </w:rPr>
      </w:pPr>
      <w:r>
        <w:rPr>
          <w:rFonts w:hint="eastAsia"/>
          <w:color w:val="auto"/>
          <w:highlight w:val="none"/>
          <w:u w:val="none"/>
          <w:lang w:val="en-US"/>
        </w:rPr>
        <w:t>氢化单元</w:t>
      </w:r>
    </w:p>
    <w:p w14:paraId="31D02BC5">
      <w:pPr>
        <w:numPr>
          <w:ilvl w:val="255"/>
          <w:numId w:val="0"/>
        </w:numPr>
        <w:ind w:firstLine="480" w:firstLineChars="200"/>
        <w:rPr>
          <w:rFonts w:hint="eastAsia"/>
          <w:color w:val="auto"/>
          <w:highlight w:val="none"/>
          <w:u w:val="none"/>
        </w:rPr>
      </w:pPr>
      <w:r>
        <w:rPr>
          <w:rFonts w:hint="eastAsia"/>
          <w:color w:val="auto"/>
          <w:highlight w:val="none"/>
          <w:u w:val="none"/>
          <w:lang w:val="en-US"/>
        </w:rPr>
        <w:t>氢化单元包括</w:t>
      </w:r>
      <w:r>
        <w:rPr>
          <w:color w:val="auto"/>
          <w:highlight w:val="none"/>
          <w:u w:val="none"/>
        </w:rPr>
        <w:t>TDA精制尾气</w:t>
      </w:r>
      <w:r>
        <w:rPr>
          <w:rFonts w:hint="eastAsia"/>
          <w:color w:val="auto"/>
          <w:highlight w:val="none"/>
          <w:u w:val="none"/>
          <w:lang w:val="en-US"/>
        </w:rPr>
        <w:t>和反应驰放气。TDA精制尾气主要为精制部分脱水塔、脱邻塔、精制塔不凝气，同时含粗TDA中间储罐呼吸气及OTDA储罐呼吸气，</w:t>
      </w:r>
      <w:r>
        <w:rPr>
          <w:rFonts w:hint="eastAsia"/>
          <w:color w:val="auto"/>
          <w:highlight w:val="none"/>
          <w:u w:val="none"/>
        </w:rPr>
        <w:t>主要污染物为</w:t>
      </w:r>
      <w:r>
        <w:rPr>
          <w:color w:val="auto"/>
          <w:highlight w:val="none"/>
          <w:u w:val="none"/>
        </w:rPr>
        <w:t>TDA</w:t>
      </w:r>
      <w:r>
        <w:rPr>
          <w:rFonts w:hint="eastAsia"/>
          <w:color w:val="auto"/>
          <w:highlight w:val="none"/>
          <w:u w:val="none"/>
        </w:rPr>
        <w:t>、</w:t>
      </w:r>
      <w:r>
        <w:rPr>
          <w:color w:val="auto"/>
          <w:highlight w:val="none"/>
          <w:u w:val="none"/>
        </w:rPr>
        <w:t>VOC</w:t>
      </w:r>
      <w:r>
        <w:rPr>
          <w:color w:val="auto"/>
          <w:highlight w:val="none"/>
          <w:u w:val="none"/>
          <w:vertAlign w:val="subscript"/>
        </w:rPr>
        <w:t>S</w:t>
      </w:r>
      <w:r>
        <w:rPr>
          <w:color w:val="auto"/>
          <w:highlight w:val="none"/>
          <w:u w:val="none"/>
        </w:rPr>
        <w:t>等</w:t>
      </w:r>
      <w:r>
        <w:rPr>
          <w:rFonts w:hint="eastAsia"/>
          <w:color w:val="auto"/>
          <w:highlight w:val="none"/>
          <w:u w:val="none"/>
          <w:lang w:val="en-US"/>
        </w:rPr>
        <w:t>，废气经“冷凝+水洗涤+活性炭吸附”后，由1根34m高排气筒（DA010）排放。</w:t>
      </w:r>
      <w:r>
        <w:rPr>
          <w:color w:val="auto"/>
          <w:highlight w:val="none"/>
          <w:u w:val="none"/>
          <w:lang w:val="en-US"/>
        </w:rPr>
        <w:t>反应驰放气</w:t>
      </w:r>
      <w:r>
        <w:rPr>
          <w:rFonts w:hint="eastAsia"/>
          <w:color w:val="auto"/>
          <w:highlight w:val="none"/>
          <w:u w:val="none"/>
          <w:lang w:val="en-US"/>
        </w:rPr>
        <w:t>为DNT加氢反应工序为防止反应器中惰性组分聚集而连续驰放的氢气，</w:t>
      </w:r>
      <w:r>
        <w:rPr>
          <w:rFonts w:hint="eastAsia"/>
          <w:color w:val="auto"/>
          <w:highlight w:val="none"/>
          <w:u w:val="none"/>
        </w:rPr>
        <w:t>主要污染物为</w:t>
      </w:r>
      <w:r>
        <w:rPr>
          <w:color w:val="auto"/>
          <w:highlight w:val="none"/>
          <w:u w:val="none"/>
        </w:rPr>
        <w:t>VOC</w:t>
      </w:r>
      <w:r>
        <w:rPr>
          <w:color w:val="auto"/>
          <w:highlight w:val="none"/>
          <w:u w:val="none"/>
          <w:vertAlign w:val="subscript"/>
        </w:rPr>
        <w:t>S</w:t>
      </w:r>
      <w:r>
        <w:rPr>
          <w:rFonts w:hint="eastAsia"/>
          <w:color w:val="auto"/>
          <w:highlight w:val="none"/>
          <w:u w:val="none"/>
          <w:lang w:val="en-US"/>
        </w:rPr>
        <w:t>，</w:t>
      </w:r>
      <w:r>
        <w:rPr>
          <w:color w:val="auto"/>
          <w:highlight w:val="none"/>
          <w:u w:val="none"/>
        </w:rPr>
        <w:t>在厂区内经</w:t>
      </w:r>
      <w:r>
        <w:rPr>
          <w:rFonts w:hint="eastAsia"/>
          <w:color w:val="auto"/>
          <w:highlight w:val="none"/>
          <w:u w:val="none"/>
        </w:rPr>
        <w:t>“</w:t>
      </w:r>
      <w:r>
        <w:rPr>
          <w:color w:val="auto"/>
          <w:highlight w:val="none"/>
          <w:u w:val="none"/>
        </w:rPr>
        <w:t>冷凝+水洗涤</w:t>
      </w:r>
      <w:r>
        <w:rPr>
          <w:rFonts w:hint="eastAsia"/>
          <w:color w:val="auto"/>
          <w:highlight w:val="none"/>
          <w:u w:val="none"/>
        </w:rPr>
        <w:t>”</w:t>
      </w:r>
      <w:r>
        <w:rPr>
          <w:color w:val="auto"/>
          <w:highlight w:val="none"/>
          <w:u w:val="none"/>
        </w:rPr>
        <w:t>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p>
    <w:p w14:paraId="1A2C0155">
      <w:pPr>
        <w:numPr>
          <w:ilvl w:val="0"/>
          <w:numId w:val="6"/>
        </w:numPr>
        <w:rPr>
          <w:rFonts w:hint="eastAsia"/>
          <w:color w:val="auto"/>
          <w:highlight w:val="none"/>
          <w:u w:val="none"/>
          <w:lang w:val="en-US"/>
        </w:rPr>
      </w:pPr>
      <w:r>
        <w:rPr>
          <w:rFonts w:hint="eastAsia"/>
          <w:color w:val="auto"/>
          <w:highlight w:val="none"/>
          <w:u w:val="none"/>
          <w:lang w:val="en-US"/>
        </w:rPr>
        <w:t>光化单元</w:t>
      </w:r>
    </w:p>
    <w:p w14:paraId="253BC869">
      <w:pPr>
        <w:numPr>
          <w:ilvl w:val="255"/>
          <w:numId w:val="0"/>
        </w:numPr>
        <w:ind w:firstLine="480" w:firstLineChars="200"/>
        <w:rPr>
          <w:rFonts w:hint="eastAsia"/>
          <w:color w:val="auto"/>
          <w:highlight w:val="none"/>
          <w:u w:val="none"/>
          <w:lang w:val="en-US"/>
        </w:rPr>
      </w:pPr>
      <w:r>
        <w:rPr>
          <w:color w:val="auto"/>
          <w:highlight w:val="none"/>
          <w:u w:val="none"/>
          <w:lang w:val="en-US"/>
        </w:rPr>
        <w:t>光化尾气</w:t>
      </w:r>
      <w:r>
        <w:rPr>
          <w:rFonts w:hint="eastAsia"/>
          <w:color w:val="auto"/>
          <w:highlight w:val="none"/>
          <w:u w:val="none"/>
          <w:lang w:val="en-US"/>
        </w:rPr>
        <w:t>主要为光气化反应系统中低压光气吸收塔顶排放的废气，同时</w:t>
      </w:r>
      <w:r>
        <w:rPr>
          <w:color w:val="auto"/>
          <w:highlight w:val="none"/>
          <w:u w:val="none"/>
          <w:lang w:val="en-US"/>
        </w:rPr>
        <w:t>含TDI不合格产品储罐呼吸气</w:t>
      </w:r>
      <w:r>
        <w:rPr>
          <w:rFonts w:hint="eastAsia"/>
          <w:color w:val="auto"/>
          <w:highlight w:val="none"/>
          <w:u w:val="none"/>
          <w:lang w:val="en-US"/>
        </w:rPr>
        <w:t>，</w:t>
      </w:r>
      <w:r>
        <w:rPr>
          <w:color w:val="auto"/>
          <w:highlight w:val="none"/>
          <w:u w:val="none"/>
        </w:rPr>
        <w:t>主要污染物为微量HCl、Cl</w:t>
      </w:r>
      <w:r>
        <w:rPr>
          <w:color w:val="auto"/>
          <w:highlight w:val="none"/>
          <w:u w:val="none"/>
          <w:vertAlign w:val="subscript"/>
        </w:rPr>
        <w:t>2</w:t>
      </w:r>
      <w:r>
        <w:rPr>
          <w:color w:val="auto"/>
          <w:highlight w:val="none"/>
          <w:u w:val="none"/>
        </w:rPr>
        <w:t>、光气、TDI、ODCB和VOC</w:t>
      </w:r>
      <w:r>
        <w:rPr>
          <w:color w:val="auto"/>
          <w:highlight w:val="none"/>
          <w:u w:val="none"/>
          <w:vertAlign w:val="subscript"/>
        </w:rPr>
        <w:t>S</w:t>
      </w:r>
      <w:r>
        <w:rPr>
          <w:rFonts w:hint="eastAsia"/>
          <w:color w:val="auto"/>
          <w:highlight w:val="none"/>
          <w:u w:val="none"/>
        </w:rPr>
        <w:t>等</w:t>
      </w:r>
      <w:r>
        <w:rPr>
          <w:color w:val="auto"/>
          <w:highlight w:val="none"/>
          <w:u w:val="none"/>
        </w:rPr>
        <w:t>，</w:t>
      </w:r>
      <w:r>
        <w:rPr>
          <w:color w:val="auto"/>
          <w:highlight w:val="none"/>
          <w:u w:val="none"/>
          <w:lang w:val="en-US"/>
        </w:rPr>
        <w:t>在厂区内经</w:t>
      </w:r>
      <w:r>
        <w:rPr>
          <w:rFonts w:hint="eastAsia"/>
          <w:color w:val="auto"/>
          <w:highlight w:val="none"/>
          <w:u w:val="none"/>
          <w:lang w:val="en-US"/>
        </w:rPr>
        <w:t>“</w:t>
      </w:r>
      <w:r>
        <w:rPr>
          <w:color w:val="auto"/>
          <w:highlight w:val="none"/>
          <w:u w:val="none"/>
          <w:lang w:val="en-US"/>
        </w:rPr>
        <w:t>酸分解+碱分解</w:t>
      </w:r>
      <w:r>
        <w:rPr>
          <w:rFonts w:hint="eastAsia"/>
          <w:color w:val="auto"/>
          <w:highlight w:val="none"/>
          <w:u w:val="none"/>
          <w:lang w:val="en-US"/>
        </w:rPr>
        <w:t>”</w:t>
      </w:r>
      <w:r>
        <w:rPr>
          <w:color w:val="auto"/>
          <w:highlight w:val="none"/>
          <w:u w:val="none"/>
          <w:lang w:val="en-US"/>
        </w:rPr>
        <w:t>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color w:val="auto"/>
          <w:highlight w:val="none"/>
          <w:u w:val="none"/>
          <w:lang w:val="en-US"/>
        </w:rPr>
        <w:t>。</w:t>
      </w:r>
    </w:p>
    <w:p w14:paraId="01843645">
      <w:pPr>
        <w:numPr>
          <w:ilvl w:val="0"/>
          <w:numId w:val="6"/>
        </w:numPr>
        <w:rPr>
          <w:rFonts w:hint="eastAsia"/>
          <w:color w:val="auto"/>
          <w:highlight w:val="none"/>
          <w:u w:val="none"/>
        </w:rPr>
      </w:pPr>
      <w:r>
        <w:rPr>
          <w:color w:val="auto"/>
          <w:highlight w:val="none"/>
          <w:u w:val="none"/>
        </w:rPr>
        <w:t>ODCB储罐废气</w:t>
      </w:r>
    </w:p>
    <w:p w14:paraId="4822AB8A">
      <w:pPr>
        <w:rPr>
          <w:rFonts w:hint="eastAsia"/>
          <w:color w:val="auto"/>
          <w:highlight w:val="none"/>
          <w:u w:val="none"/>
          <w:lang w:val="en-US"/>
        </w:rPr>
      </w:pPr>
      <w:r>
        <w:rPr>
          <w:color w:val="auto"/>
          <w:highlight w:val="none"/>
          <w:u w:val="none"/>
        </w:rPr>
        <w:t>ODCB储罐废气</w:t>
      </w:r>
      <w:r>
        <w:rPr>
          <w:rFonts w:hint="eastAsia"/>
          <w:color w:val="auto"/>
          <w:highlight w:val="none"/>
          <w:u w:val="none"/>
        </w:rPr>
        <w:t>主要污染物为ODCB，</w:t>
      </w:r>
      <w:r>
        <w:rPr>
          <w:color w:val="auto"/>
          <w:highlight w:val="none"/>
          <w:u w:val="none"/>
          <w:lang w:val="en-US"/>
        </w:rPr>
        <w:t>经两级活性炭吸附处理后，由一根15m高排气筒</w:t>
      </w:r>
      <w:r>
        <w:rPr>
          <w:rFonts w:hint="eastAsia"/>
          <w:color w:val="auto"/>
          <w:highlight w:val="none"/>
          <w:u w:val="none"/>
          <w:lang w:val="en-US"/>
        </w:rPr>
        <w:t>（DA017）</w:t>
      </w:r>
      <w:r>
        <w:rPr>
          <w:color w:val="auto"/>
          <w:highlight w:val="none"/>
          <w:u w:val="none"/>
          <w:lang w:val="en-US"/>
        </w:rPr>
        <w:t>排放。</w:t>
      </w:r>
    </w:p>
    <w:p w14:paraId="751BA8FE">
      <w:pPr>
        <w:rPr>
          <w:rFonts w:hint="eastAsia"/>
          <w:color w:val="auto"/>
          <w:highlight w:val="none"/>
          <w:u w:val="none"/>
          <w:lang w:val="en-US"/>
        </w:rPr>
      </w:pPr>
      <w:r>
        <w:rPr>
          <w:rFonts w:hint="eastAsia"/>
          <w:color w:val="auto"/>
          <w:highlight w:val="none"/>
          <w:u w:val="none"/>
          <w:lang w:val="en-US"/>
        </w:rPr>
        <w:t>（5）焦油颗粒装车站中转仓废气</w:t>
      </w:r>
    </w:p>
    <w:p w14:paraId="412F181A">
      <w:pPr>
        <w:rPr>
          <w:rFonts w:hint="eastAsia"/>
          <w:color w:val="auto"/>
          <w:highlight w:val="none"/>
          <w:u w:val="none"/>
          <w:lang w:val="en-US"/>
        </w:rPr>
      </w:pPr>
      <w:r>
        <w:rPr>
          <w:rFonts w:hint="eastAsia"/>
          <w:color w:val="auto"/>
          <w:highlight w:val="none"/>
          <w:u w:val="none"/>
          <w:lang w:val="en-US"/>
        </w:rPr>
        <w:t>焦油颗粒中转仓用于临时储存光化单元产生的焦油颗粒，后经专用密闭槽车送往万华福建公司大型煤气化项目作为水煤浆气化原料。焦油颗粒通过密闭循环风送系统，送至装车站高位料仓内；在料仓底部，安装有伸缩装料机，装料机与槽车顶部口相连，连接部位采用软密封；装车过程中槽车内的废气，通过专用风机抽吸，与料仓内的废气一同经过二级除尘后达标排放，除尘器收集的粉尘进入料仓。</w:t>
      </w:r>
    </w:p>
    <w:p w14:paraId="46BC72CA">
      <w:pPr>
        <w:rPr>
          <w:rFonts w:hint="eastAsia"/>
          <w:color w:val="auto"/>
          <w:highlight w:val="none"/>
          <w:u w:val="none"/>
          <w:lang w:val="en-US"/>
        </w:rPr>
      </w:pPr>
      <w:r>
        <w:rPr>
          <w:rFonts w:hint="eastAsia"/>
          <w:color w:val="auto"/>
          <w:highlight w:val="none"/>
          <w:u w:val="none"/>
          <w:lang w:val="en-US"/>
        </w:rPr>
        <w:t>焦油颗粒中转仓主要废气污染物为颗粒物、VOCs，通过二级除尘处理后，由一根23m高排气筒排放。</w:t>
      </w:r>
    </w:p>
    <w:p w14:paraId="02625030">
      <w:pPr>
        <w:pStyle w:val="7"/>
        <w:spacing w:before="120"/>
        <w:rPr>
          <w:color w:val="auto"/>
          <w:highlight w:val="none"/>
          <w:u w:val="none"/>
        </w:rPr>
      </w:pPr>
      <w:r>
        <w:rPr>
          <w:color w:val="auto"/>
          <w:highlight w:val="none"/>
          <w:u w:val="none"/>
        </w:rPr>
        <w:t>废水治理措施</w:t>
      </w:r>
    </w:p>
    <w:p w14:paraId="10AAE4A8">
      <w:pPr>
        <w:rPr>
          <w:rFonts w:hint="eastAsia"/>
          <w:color w:val="auto"/>
          <w:highlight w:val="none"/>
          <w:u w:val="none"/>
          <w:lang w:val="en-US"/>
        </w:rPr>
      </w:pPr>
      <w:r>
        <w:rPr>
          <w:rFonts w:hint="eastAsia"/>
          <w:color w:val="auto"/>
          <w:highlight w:val="none"/>
          <w:u w:val="none"/>
        </w:rPr>
        <w:t>25万吨/年TDI项目</w:t>
      </w:r>
      <w:r>
        <w:rPr>
          <w:color w:val="auto"/>
          <w:highlight w:val="none"/>
          <w:u w:val="none"/>
          <w:lang w:val="en-US"/>
        </w:rPr>
        <w:t>的</w:t>
      </w:r>
      <w:r>
        <w:rPr>
          <w:color w:val="auto"/>
          <w:highlight w:val="none"/>
          <w:u w:val="none"/>
        </w:rPr>
        <w:t>酸性废水和碱性废水通过厂内废水预处理单元预处理后</w:t>
      </w:r>
      <w:r>
        <w:rPr>
          <w:rFonts w:hint="eastAsia"/>
          <w:color w:val="auto"/>
          <w:highlight w:val="none"/>
          <w:u w:val="none"/>
        </w:rPr>
        <w:t>，</w:t>
      </w:r>
      <w:r>
        <w:rPr>
          <w:color w:val="auto"/>
          <w:highlight w:val="none"/>
          <w:u w:val="none"/>
        </w:rPr>
        <w:t>与硝硫浓缩酸性废水、废酸浓缩酸性废水、</w:t>
      </w:r>
      <w:r>
        <w:rPr>
          <w:rFonts w:hint="eastAsia"/>
          <w:color w:val="auto"/>
          <w:highlight w:val="none"/>
          <w:u w:val="none"/>
        </w:rPr>
        <w:t>汽提酸性废水（酸性废水）、</w:t>
      </w:r>
      <w:r>
        <w:rPr>
          <w:color w:val="auto"/>
          <w:highlight w:val="none"/>
          <w:u w:val="none"/>
        </w:rPr>
        <w:t>TDA废水、光化中和废水一同</w:t>
      </w:r>
      <w:r>
        <w:rPr>
          <w:rFonts w:hint="eastAsia"/>
          <w:color w:val="auto"/>
          <w:highlight w:val="none"/>
          <w:u w:val="none"/>
        </w:rPr>
        <w:t>经高架管廊，送往万华环保科技公司</w:t>
      </w:r>
      <w:r>
        <w:rPr>
          <w:rFonts w:hint="eastAsia"/>
          <w:color w:val="auto"/>
          <w:highlight w:val="none"/>
          <w:u w:val="none"/>
          <w:lang w:val="en-US"/>
        </w:rPr>
        <w:t>现有污水站的</w:t>
      </w:r>
      <w:r>
        <w:rPr>
          <w:color w:val="auto"/>
          <w:highlight w:val="none"/>
          <w:u w:val="none"/>
        </w:rPr>
        <w:t>综合废水处理系统处理，处理达标后通过</w:t>
      </w:r>
      <w:r>
        <w:rPr>
          <w:rFonts w:hint="eastAsia"/>
          <w:color w:val="auto"/>
          <w:highlight w:val="none"/>
          <w:u w:val="none"/>
          <w:lang w:eastAsia="zh-CN"/>
        </w:rPr>
        <w:t>福州江阴港城经济区</w:t>
      </w:r>
      <w:r>
        <w:rPr>
          <w:color w:val="auto"/>
          <w:highlight w:val="none"/>
          <w:u w:val="none"/>
        </w:rPr>
        <w:t>污水处理厂</w:t>
      </w:r>
      <w:r>
        <w:rPr>
          <w:rFonts w:hint="eastAsia"/>
          <w:color w:val="auto"/>
          <w:highlight w:val="none"/>
          <w:u w:val="none"/>
        </w:rPr>
        <w:t>尾水</w:t>
      </w:r>
      <w:r>
        <w:rPr>
          <w:color w:val="auto"/>
          <w:highlight w:val="none"/>
          <w:u w:val="none"/>
        </w:rPr>
        <w:t>排海管道排海；</w:t>
      </w:r>
      <w:r>
        <w:rPr>
          <w:rFonts w:hint="eastAsia"/>
          <w:color w:val="auto"/>
          <w:highlight w:val="none"/>
          <w:u w:val="none"/>
          <w:lang w:val="en-US"/>
        </w:rPr>
        <w:t>红水废水（碱性废水）送往万华福建公司大型煤气化项目作为水煤浆气化原料，</w:t>
      </w:r>
      <w:r>
        <w:rPr>
          <w:rFonts w:hint="eastAsia"/>
          <w:color w:val="auto"/>
          <w:highlight w:val="none"/>
          <w:u w:val="none"/>
          <w:lang w:bidi="ar"/>
        </w:rPr>
        <w:t>当大型煤气化项目进行检修无法接收废水时，红水废水临时进入万华环保科技公司综合废水处理系统进行处理。</w:t>
      </w:r>
      <w:r>
        <w:rPr>
          <w:color w:val="auto"/>
          <w:highlight w:val="none"/>
          <w:u w:val="none"/>
        </w:rPr>
        <w:t>地面冲洗水</w:t>
      </w:r>
      <w:r>
        <w:rPr>
          <w:rFonts w:hint="eastAsia"/>
          <w:color w:val="auto"/>
          <w:highlight w:val="none"/>
          <w:u w:val="none"/>
        </w:rPr>
        <w:t>、</w:t>
      </w:r>
      <w:r>
        <w:rPr>
          <w:color w:val="auto"/>
          <w:highlight w:val="none"/>
          <w:u w:val="none"/>
        </w:rPr>
        <w:t>设备清洗水、办公及生活污水和初期雨水</w:t>
      </w:r>
      <w:r>
        <w:rPr>
          <w:rFonts w:hint="eastAsia"/>
          <w:color w:val="auto"/>
          <w:highlight w:val="none"/>
          <w:u w:val="none"/>
        </w:rPr>
        <w:t>经高架管廊送往万华环保科技公司</w:t>
      </w:r>
      <w:r>
        <w:rPr>
          <w:rFonts w:hint="eastAsia"/>
          <w:color w:val="auto"/>
          <w:highlight w:val="none"/>
          <w:u w:val="none"/>
          <w:lang w:val="en-US"/>
        </w:rPr>
        <w:t>现</w:t>
      </w:r>
      <w:r>
        <w:rPr>
          <w:color w:val="auto"/>
          <w:highlight w:val="none"/>
          <w:u w:val="none"/>
        </w:rPr>
        <w:t>低浓度废水处理系统处理，处理合格后排入</w:t>
      </w:r>
      <w:r>
        <w:rPr>
          <w:rFonts w:hint="eastAsia"/>
          <w:color w:val="auto"/>
          <w:highlight w:val="none"/>
          <w:u w:val="none"/>
          <w:lang w:eastAsia="zh-CN"/>
        </w:rPr>
        <w:t>福州江阴港城经济区</w:t>
      </w:r>
      <w:r>
        <w:rPr>
          <w:color w:val="auto"/>
          <w:highlight w:val="none"/>
          <w:u w:val="none"/>
        </w:rPr>
        <w:t>污水处理厂进一步处理</w:t>
      </w:r>
      <w:r>
        <w:rPr>
          <w:rFonts w:hint="eastAsia"/>
          <w:color w:val="auto"/>
          <w:highlight w:val="none"/>
          <w:u w:val="none"/>
        </w:rPr>
        <w:t>，</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w:t>
      </w:r>
      <w:r>
        <w:rPr>
          <w:rFonts w:hint="eastAsia"/>
          <w:color w:val="auto"/>
          <w:highlight w:val="none"/>
          <w:u w:val="none"/>
        </w:rPr>
        <w:t>。</w:t>
      </w:r>
    </w:p>
    <w:p w14:paraId="0712C2C0">
      <w:pPr>
        <w:rPr>
          <w:color w:val="auto"/>
          <w:highlight w:val="none"/>
          <w:u w:val="none"/>
          <w:lang w:val="en-US"/>
        </w:rPr>
      </w:pPr>
      <w:r>
        <w:rPr>
          <w:rFonts w:hint="eastAsia"/>
          <w:color w:val="auto"/>
          <w:highlight w:val="none"/>
          <w:u w:val="none"/>
        </w:rPr>
        <w:t>25万吨/年TDI项目</w:t>
      </w:r>
      <w:r>
        <w:rPr>
          <w:color w:val="auto"/>
          <w:highlight w:val="none"/>
          <w:u w:val="none"/>
          <w:lang w:val="en-US"/>
        </w:rPr>
        <w:t>废水排放汇总见</w:t>
      </w:r>
      <w:r>
        <w:rPr>
          <w:color w:val="auto"/>
          <w:highlight w:val="none"/>
          <w:u w:val="none"/>
          <w:lang w:val="en-US"/>
        </w:rPr>
        <w:fldChar w:fldCharType="begin"/>
      </w:r>
      <w:r>
        <w:rPr>
          <w:color w:val="auto"/>
          <w:highlight w:val="none"/>
          <w:u w:val="none"/>
          <w:lang w:val="en-US"/>
        </w:rPr>
        <w:instrText xml:space="preserve"> REF _Ref153992903 \h  \* MERGEFORMAT </w:instrText>
      </w:r>
      <w:r>
        <w:rPr>
          <w:color w:val="auto"/>
          <w:highlight w:val="none"/>
          <w:u w:val="none"/>
          <w:lang w:val="en-US"/>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3.3</w:t>
      </w:r>
      <w:r>
        <w:rPr>
          <w:color w:val="auto"/>
          <w:highlight w:val="none"/>
          <w:u w:val="none"/>
        </w:rPr>
        <w:fldChar w:fldCharType="end"/>
      </w:r>
      <w:r>
        <w:rPr>
          <w:color w:val="auto"/>
          <w:highlight w:val="none"/>
          <w:u w:val="none"/>
        </w:rPr>
        <w:noBreakHyphen/>
      </w:r>
      <w:r>
        <w:rPr>
          <w:color w:val="auto"/>
          <w:highlight w:val="none"/>
          <w:u w:val="none"/>
        </w:rPr>
        <w:t>8</w:t>
      </w:r>
      <w:r>
        <w:rPr>
          <w:color w:val="auto"/>
          <w:highlight w:val="none"/>
          <w:u w:val="none"/>
          <w:lang w:val="en-US"/>
        </w:rPr>
        <w:fldChar w:fldCharType="end"/>
      </w:r>
      <w:r>
        <w:rPr>
          <w:color w:val="auto"/>
          <w:highlight w:val="none"/>
          <w:u w:val="none"/>
          <w:lang w:val="en-US"/>
        </w:rPr>
        <w:t>。</w:t>
      </w:r>
    </w:p>
    <w:p w14:paraId="75C5EF54">
      <w:pPr>
        <w:ind w:firstLine="482"/>
        <w:jc w:val="center"/>
        <w:rPr>
          <w:rFonts w:hint="eastAsia"/>
          <w:b/>
          <w:bCs/>
          <w:color w:val="auto"/>
          <w:highlight w:val="none"/>
          <w:u w:val="none"/>
          <w:lang w:val="en-US"/>
        </w:rPr>
      </w:pPr>
      <w:bookmarkStart w:id="152" w:name="_Ref153992903"/>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3.3</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8</w:t>
      </w:r>
      <w:r>
        <w:rPr>
          <w:b/>
          <w:bCs/>
          <w:color w:val="auto"/>
          <w:highlight w:val="none"/>
          <w:u w:val="none"/>
        </w:rPr>
        <w:fldChar w:fldCharType="end"/>
      </w:r>
      <w:bookmarkEnd w:id="152"/>
      <w:r>
        <w:rPr>
          <w:b/>
          <w:bCs/>
          <w:color w:val="auto"/>
          <w:highlight w:val="none"/>
          <w:u w:val="none"/>
          <w:lang w:val="en-US"/>
        </w:rPr>
        <w:t xml:space="preserve">   废水污染源排放及处置情况一览表</w:t>
      </w:r>
    </w:p>
    <w:tbl>
      <w:tblPr>
        <w:tblStyle w:val="58"/>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71"/>
        <w:gridCol w:w="2716"/>
        <w:gridCol w:w="1418"/>
        <w:gridCol w:w="4255"/>
      </w:tblGrid>
      <w:tr w14:paraId="217BC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671" w:type="dxa"/>
            <w:vAlign w:val="center"/>
          </w:tcPr>
          <w:p w14:paraId="457B5078">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序号</w:t>
            </w:r>
          </w:p>
        </w:tc>
        <w:tc>
          <w:tcPr>
            <w:tcW w:w="2716" w:type="dxa"/>
            <w:vAlign w:val="center"/>
          </w:tcPr>
          <w:p w14:paraId="26CAD540">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废水种类</w:t>
            </w:r>
          </w:p>
        </w:tc>
        <w:tc>
          <w:tcPr>
            <w:tcW w:w="1418" w:type="dxa"/>
            <w:vAlign w:val="center"/>
          </w:tcPr>
          <w:p w14:paraId="4E63C0EE">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产生量（t/h）</w:t>
            </w:r>
          </w:p>
        </w:tc>
        <w:tc>
          <w:tcPr>
            <w:tcW w:w="4255" w:type="dxa"/>
            <w:vAlign w:val="center"/>
          </w:tcPr>
          <w:p w14:paraId="63ED4BA4">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排放去向</w:t>
            </w:r>
          </w:p>
        </w:tc>
      </w:tr>
      <w:tr w14:paraId="2B6FD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23F38F9E">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1</w:t>
            </w:r>
          </w:p>
        </w:tc>
        <w:tc>
          <w:tcPr>
            <w:tcW w:w="2716" w:type="dxa"/>
            <w:vAlign w:val="center"/>
          </w:tcPr>
          <w:p w14:paraId="51D96CF9">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硝硫浓缩酸性废水</w:t>
            </w:r>
          </w:p>
        </w:tc>
        <w:tc>
          <w:tcPr>
            <w:tcW w:w="1418" w:type="dxa"/>
            <w:vAlign w:val="center"/>
          </w:tcPr>
          <w:p w14:paraId="1D367EBA">
            <w:pPr>
              <w:spacing w:line="240" w:lineRule="auto"/>
              <w:ind w:firstLine="0" w:firstLineChars="0"/>
              <w:jc w:val="center"/>
              <w:rPr>
                <w:rFonts w:hint="default" w:hAnsi="Times New Roman" w:eastAsia="宋体"/>
                <w:color w:val="auto"/>
                <w:kern w:val="2"/>
                <w:sz w:val="21"/>
                <w:szCs w:val="21"/>
                <w:highlight w:val="none"/>
                <w:u w:val="none"/>
                <w:lang w:val="en-US" w:eastAsia="zh-CN"/>
              </w:rPr>
            </w:pPr>
            <w:r>
              <w:rPr>
                <w:rFonts w:hint="eastAsia"/>
                <w:color w:val="auto"/>
                <w:sz w:val="21"/>
                <w:szCs w:val="21"/>
                <w:highlight w:val="none"/>
                <w:u w:val="none"/>
                <w:lang w:val="en-US" w:eastAsia="zh-CN"/>
              </w:rPr>
              <w:t>9.28</w:t>
            </w:r>
          </w:p>
        </w:tc>
        <w:tc>
          <w:tcPr>
            <w:tcW w:w="4255" w:type="dxa"/>
            <w:vMerge w:val="restart"/>
            <w:vAlign w:val="center"/>
          </w:tcPr>
          <w:p w14:paraId="4EA8591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送往</w:t>
            </w:r>
            <w:r>
              <w:rPr>
                <w:rFonts w:hint="eastAsia"/>
                <w:color w:val="auto"/>
                <w:sz w:val="21"/>
                <w:szCs w:val="21"/>
                <w:highlight w:val="none"/>
                <w:u w:val="none"/>
              </w:rPr>
              <w:t>万华环保科技公司</w:t>
            </w:r>
            <w:r>
              <w:rPr>
                <w:color w:val="auto"/>
                <w:sz w:val="21"/>
                <w:szCs w:val="21"/>
                <w:highlight w:val="none"/>
                <w:u w:val="none"/>
                <w:lang w:val="en-US"/>
              </w:rPr>
              <w:t>污水处理站综合废水处理</w:t>
            </w:r>
            <w:r>
              <w:rPr>
                <w:rFonts w:hint="eastAsia"/>
                <w:color w:val="auto"/>
                <w:sz w:val="21"/>
                <w:szCs w:val="21"/>
                <w:highlight w:val="none"/>
                <w:u w:val="none"/>
                <w:lang w:val="en-US"/>
              </w:rPr>
              <w:t>系统</w:t>
            </w:r>
            <w:r>
              <w:rPr>
                <w:color w:val="auto"/>
                <w:sz w:val="21"/>
                <w:szCs w:val="21"/>
                <w:highlight w:val="none"/>
                <w:u w:val="none"/>
                <w:lang w:val="en-US"/>
              </w:rPr>
              <w:t>，</w:t>
            </w:r>
            <w:r>
              <w:rPr>
                <w:rFonts w:hint="eastAsia"/>
                <w:color w:val="auto"/>
                <w:sz w:val="21"/>
                <w:szCs w:val="21"/>
                <w:highlight w:val="none"/>
                <w:u w:val="none"/>
                <w:lang w:val="en-US"/>
              </w:rPr>
              <w:t>处理达标后通过</w:t>
            </w:r>
            <w:r>
              <w:rPr>
                <w:rFonts w:hint="eastAsia"/>
                <w:color w:val="auto"/>
                <w:sz w:val="21"/>
                <w:szCs w:val="21"/>
                <w:highlight w:val="none"/>
                <w:u w:val="none"/>
                <w:lang w:val="en-US" w:eastAsia="zh-CN"/>
              </w:rPr>
              <w:t>福州江阴港城经济区</w:t>
            </w:r>
            <w:r>
              <w:rPr>
                <w:rFonts w:hint="eastAsia"/>
                <w:color w:val="auto"/>
                <w:sz w:val="21"/>
                <w:szCs w:val="21"/>
                <w:highlight w:val="none"/>
                <w:u w:val="none"/>
                <w:lang w:val="en-US"/>
              </w:rPr>
              <w:t>污水处理厂尾水排海管道排海</w:t>
            </w:r>
          </w:p>
        </w:tc>
      </w:tr>
      <w:tr w14:paraId="5F34A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7BFABD2F">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2</w:t>
            </w:r>
          </w:p>
        </w:tc>
        <w:tc>
          <w:tcPr>
            <w:tcW w:w="2716" w:type="dxa"/>
            <w:vAlign w:val="center"/>
          </w:tcPr>
          <w:p w14:paraId="5D38A909">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废酸浓缩酸性废水</w:t>
            </w:r>
          </w:p>
        </w:tc>
        <w:tc>
          <w:tcPr>
            <w:tcW w:w="1418" w:type="dxa"/>
            <w:vAlign w:val="center"/>
          </w:tcPr>
          <w:p w14:paraId="61B9AC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9.03</w:t>
            </w:r>
          </w:p>
        </w:tc>
        <w:tc>
          <w:tcPr>
            <w:tcW w:w="4255" w:type="dxa"/>
            <w:vMerge w:val="continue"/>
            <w:vAlign w:val="center"/>
          </w:tcPr>
          <w:p w14:paraId="2B2C57E5">
            <w:pPr>
              <w:spacing w:line="240" w:lineRule="auto"/>
              <w:ind w:firstLine="0" w:firstLineChars="0"/>
              <w:jc w:val="center"/>
              <w:rPr>
                <w:rFonts w:hAnsi="Times New Roman"/>
                <w:color w:val="auto"/>
                <w:kern w:val="2"/>
                <w:sz w:val="21"/>
                <w:szCs w:val="21"/>
                <w:highlight w:val="none"/>
                <w:u w:val="none"/>
                <w:lang w:val="en-US"/>
              </w:rPr>
            </w:pPr>
          </w:p>
        </w:tc>
      </w:tr>
      <w:tr w14:paraId="32DAC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1962C85">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3</w:t>
            </w:r>
          </w:p>
        </w:tc>
        <w:tc>
          <w:tcPr>
            <w:tcW w:w="2716" w:type="dxa"/>
            <w:vAlign w:val="center"/>
          </w:tcPr>
          <w:p w14:paraId="7936A223">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汽提酸性废水（酸性废水）</w:t>
            </w:r>
          </w:p>
        </w:tc>
        <w:tc>
          <w:tcPr>
            <w:tcW w:w="1418" w:type="dxa"/>
            <w:vAlign w:val="center"/>
          </w:tcPr>
          <w:p w14:paraId="3FF6FE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13.30</w:t>
            </w:r>
          </w:p>
        </w:tc>
        <w:tc>
          <w:tcPr>
            <w:tcW w:w="4255" w:type="dxa"/>
            <w:vMerge w:val="continue"/>
            <w:vAlign w:val="center"/>
          </w:tcPr>
          <w:p w14:paraId="019E5976">
            <w:pPr>
              <w:spacing w:line="240" w:lineRule="auto"/>
              <w:ind w:firstLine="0" w:firstLineChars="0"/>
              <w:jc w:val="center"/>
              <w:rPr>
                <w:rFonts w:hAnsi="Times New Roman"/>
                <w:color w:val="auto"/>
                <w:kern w:val="2"/>
                <w:sz w:val="21"/>
                <w:szCs w:val="21"/>
                <w:highlight w:val="none"/>
                <w:u w:val="none"/>
                <w:lang w:val="en-US"/>
              </w:rPr>
            </w:pPr>
          </w:p>
        </w:tc>
      </w:tr>
      <w:tr w14:paraId="78E57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D144CFF">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4</w:t>
            </w:r>
          </w:p>
        </w:tc>
        <w:tc>
          <w:tcPr>
            <w:tcW w:w="2716" w:type="dxa"/>
            <w:vAlign w:val="center"/>
          </w:tcPr>
          <w:p w14:paraId="5EDA913D">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TDA废水</w:t>
            </w:r>
          </w:p>
        </w:tc>
        <w:tc>
          <w:tcPr>
            <w:tcW w:w="1418" w:type="dxa"/>
            <w:vAlign w:val="center"/>
          </w:tcPr>
          <w:p w14:paraId="0202B5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17.75</w:t>
            </w:r>
          </w:p>
        </w:tc>
        <w:tc>
          <w:tcPr>
            <w:tcW w:w="4255" w:type="dxa"/>
            <w:vMerge w:val="continue"/>
            <w:vAlign w:val="center"/>
          </w:tcPr>
          <w:p w14:paraId="3CE6AF72">
            <w:pPr>
              <w:spacing w:line="240" w:lineRule="auto"/>
              <w:ind w:firstLine="0" w:firstLineChars="0"/>
              <w:jc w:val="center"/>
              <w:rPr>
                <w:rFonts w:hAnsi="Times New Roman"/>
                <w:color w:val="auto"/>
                <w:kern w:val="2"/>
                <w:sz w:val="21"/>
                <w:szCs w:val="21"/>
                <w:highlight w:val="none"/>
                <w:u w:val="none"/>
                <w:lang w:val="en-US"/>
              </w:rPr>
            </w:pPr>
          </w:p>
        </w:tc>
      </w:tr>
      <w:tr w14:paraId="6F589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1641B19F">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5</w:t>
            </w:r>
          </w:p>
        </w:tc>
        <w:tc>
          <w:tcPr>
            <w:tcW w:w="2716" w:type="dxa"/>
            <w:vAlign w:val="center"/>
          </w:tcPr>
          <w:p w14:paraId="7147D9EE">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光化中和废水</w:t>
            </w:r>
          </w:p>
        </w:tc>
        <w:tc>
          <w:tcPr>
            <w:tcW w:w="1418" w:type="dxa"/>
            <w:vAlign w:val="center"/>
          </w:tcPr>
          <w:p w14:paraId="6C807000">
            <w:pPr>
              <w:spacing w:line="240" w:lineRule="auto"/>
              <w:ind w:firstLine="0" w:firstLineChars="0"/>
              <w:jc w:val="center"/>
              <w:rPr>
                <w:rFonts w:hint="default" w:hAnsi="Times New Roman" w:eastAsia="宋体"/>
                <w:color w:val="auto"/>
                <w:kern w:val="2"/>
                <w:sz w:val="21"/>
                <w:szCs w:val="21"/>
                <w:highlight w:val="none"/>
                <w:u w:val="none"/>
                <w:lang w:val="en-US" w:eastAsia="zh-CN"/>
              </w:rPr>
            </w:pPr>
            <w:r>
              <w:rPr>
                <w:rFonts w:hint="eastAsia"/>
                <w:color w:val="auto"/>
                <w:sz w:val="21"/>
                <w:szCs w:val="21"/>
                <w:highlight w:val="none"/>
                <w:u w:val="none"/>
                <w:lang w:val="en-US" w:eastAsia="zh-CN"/>
              </w:rPr>
              <w:t>0.90</w:t>
            </w:r>
          </w:p>
        </w:tc>
        <w:tc>
          <w:tcPr>
            <w:tcW w:w="4255" w:type="dxa"/>
            <w:vMerge w:val="continue"/>
            <w:vAlign w:val="center"/>
          </w:tcPr>
          <w:p w14:paraId="1655A99D">
            <w:pPr>
              <w:spacing w:line="240" w:lineRule="auto"/>
              <w:ind w:firstLine="0" w:firstLineChars="0"/>
              <w:jc w:val="center"/>
              <w:rPr>
                <w:rFonts w:hAnsi="Times New Roman"/>
                <w:color w:val="auto"/>
                <w:kern w:val="2"/>
                <w:sz w:val="21"/>
                <w:szCs w:val="21"/>
                <w:highlight w:val="none"/>
                <w:u w:val="none"/>
                <w:lang w:val="en-US"/>
              </w:rPr>
            </w:pPr>
          </w:p>
        </w:tc>
      </w:tr>
      <w:tr w14:paraId="743C5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34CCC33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w:t>
            </w:r>
          </w:p>
        </w:tc>
        <w:tc>
          <w:tcPr>
            <w:tcW w:w="2716" w:type="dxa"/>
            <w:vAlign w:val="center"/>
          </w:tcPr>
          <w:p w14:paraId="2E6924D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设备清洗水</w:t>
            </w:r>
          </w:p>
        </w:tc>
        <w:tc>
          <w:tcPr>
            <w:tcW w:w="1418" w:type="dxa"/>
            <w:vAlign w:val="center"/>
          </w:tcPr>
          <w:p w14:paraId="12B61CA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12</w:t>
            </w:r>
          </w:p>
        </w:tc>
        <w:tc>
          <w:tcPr>
            <w:tcW w:w="4255" w:type="dxa"/>
            <w:vMerge w:val="restart"/>
            <w:vAlign w:val="center"/>
          </w:tcPr>
          <w:p w14:paraId="6F74F087">
            <w:pPr>
              <w:spacing w:before="120" w:beforeLines="50" w:after="120" w:afterLines="50" w:line="240" w:lineRule="auto"/>
              <w:ind w:firstLine="42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送往</w:t>
            </w:r>
            <w:r>
              <w:rPr>
                <w:rFonts w:hint="eastAsia"/>
                <w:color w:val="auto"/>
                <w:sz w:val="21"/>
                <w:szCs w:val="21"/>
                <w:highlight w:val="none"/>
                <w:u w:val="none"/>
              </w:rPr>
              <w:t>万华环保科技公司</w:t>
            </w:r>
            <w:r>
              <w:rPr>
                <w:color w:val="auto"/>
                <w:sz w:val="21"/>
                <w:szCs w:val="21"/>
                <w:highlight w:val="none"/>
                <w:u w:val="none"/>
                <w:lang w:val="en-US"/>
              </w:rPr>
              <w:t>污水处理站低浓度废水处理</w:t>
            </w:r>
            <w:r>
              <w:rPr>
                <w:rFonts w:hint="eastAsia"/>
                <w:color w:val="auto"/>
                <w:sz w:val="21"/>
                <w:szCs w:val="21"/>
                <w:highlight w:val="none"/>
                <w:u w:val="none"/>
                <w:lang w:val="en-US"/>
              </w:rPr>
              <w:t>系统</w:t>
            </w:r>
            <w:r>
              <w:rPr>
                <w:color w:val="auto"/>
                <w:sz w:val="21"/>
                <w:szCs w:val="21"/>
                <w:highlight w:val="none"/>
                <w:u w:val="none"/>
                <w:lang w:val="en-US"/>
              </w:rPr>
              <w:t>，</w:t>
            </w:r>
            <w:r>
              <w:rPr>
                <w:rFonts w:hint="eastAsia"/>
                <w:color w:val="auto"/>
                <w:sz w:val="21"/>
                <w:szCs w:val="21"/>
                <w:highlight w:val="none"/>
                <w:u w:val="none"/>
                <w:lang w:val="en-US"/>
              </w:rPr>
              <w:t>处理达标后</w:t>
            </w:r>
            <w:r>
              <w:rPr>
                <w:color w:val="auto"/>
                <w:sz w:val="21"/>
                <w:szCs w:val="21"/>
                <w:highlight w:val="none"/>
                <w:u w:val="none"/>
                <w:lang w:val="en-US"/>
              </w:rPr>
              <w:t>排入</w:t>
            </w:r>
            <w:r>
              <w:rPr>
                <w:rFonts w:hint="eastAsia"/>
                <w:color w:val="auto"/>
                <w:sz w:val="21"/>
                <w:szCs w:val="21"/>
                <w:highlight w:val="none"/>
                <w:u w:val="none"/>
                <w:lang w:val="en-US" w:eastAsia="zh-CN"/>
              </w:rPr>
              <w:t>福州江阴港城经济区</w:t>
            </w:r>
            <w:r>
              <w:rPr>
                <w:color w:val="auto"/>
                <w:sz w:val="21"/>
                <w:szCs w:val="21"/>
                <w:highlight w:val="none"/>
                <w:u w:val="none"/>
                <w:lang w:val="en-US"/>
              </w:rPr>
              <w:t>污水处理厂</w:t>
            </w:r>
          </w:p>
        </w:tc>
      </w:tr>
      <w:tr w14:paraId="66256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494AAB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7</w:t>
            </w:r>
          </w:p>
        </w:tc>
        <w:tc>
          <w:tcPr>
            <w:tcW w:w="2716" w:type="dxa"/>
            <w:vAlign w:val="center"/>
          </w:tcPr>
          <w:p w14:paraId="509BA9BB">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地面冲洗水</w:t>
            </w:r>
          </w:p>
        </w:tc>
        <w:tc>
          <w:tcPr>
            <w:tcW w:w="1418" w:type="dxa"/>
            <w:vAlign w:val="center"/>
          </w:tcPr>
          <w:p w14:paraId="7ECB3A3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2.32</w:t>
            </w:r>
          </w:p>
        </w:tc>
        <w:tc>
          <w:tcPr>
            <w:tcW w:w="4255" w:type="dxa"/>
            <w:vMerge w:val="continue"/>
            <w:vAlign w:val="center"/>
          </w:tcPr>
          <w:p w14:paraId="5584E3D6">
            <w:pPr>
              <w:spacing w:before="120" w:beforeLines="50" w:after="120" w:afterLines="50" w:line="240" w:lineRule="auto"/>
              <w:ind w:firstLine="0" w:firstLineChars="0"/>
              <w:jc w:val="center"/>
              <w:rPr>
                <w:rFonts w:hAnsi="Times New Roman"/>
                <w:color w:val="auto"/>
                <w:kern w:val="2"/>
                <w:sz w:val="21"/>
                <w:szCs w:val="21"/>
                <w:highlight w:val="none"/>
                <w:u w:val="none"/>
                <w:lang w:val="en-US"/>
              </w:rPr>
            </w:pPr>
          </w:p>
        </w:tc>
      </w:tr>
      <w:tr w14:paraId="0499F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440CF6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8</w:t>
            </w:r>
          </w:p>
        </w:tc>
        <w:tc>
          <w:tcPr>
            <w:tcW w:w="2716" w:type="dxa"/>
            <w:vAlign w:val="center"/>
          </w:tcPr>
          <w:p w14:paraId="4062E935">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办公及生活污水</w:t>
            </w:r>
          </w:p>
        </w:tc>
        <w:tc>
          <w:tcPr>
            <w:tcW w:w="1418" w:type="dxa"/>
            <w:vAlign w:val="center"/>
          </w:tcPr>
          <w:p w14:paraId="2D997EB5">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0.26</w:t>
            </w:r>
          </w:p>
        </w:tc>
        <w:tc>
          <w:tcPr>
            <w:tcW w:w="4255" w:type="dxa"/>
            <w:vMerge w:val="continue"/>
            <w:vAlign w:val="center"/>
          </w:tcPr>
          <w:p w14:paraId="749EA12B">
            <w:pPr>
              <w:widowControl/>
              <w:spacing w:line="240" w:lineRule="auto"/>
              <w:ind w:firstLine="0" w:firstLineChars="0"/>
              <w:jc w:val="center"/>
              <w:rPr>
                <w:rFonts w:hAnsi="Times New Roman"/>
                <w:color w:val="auto"/>
                <w:kern w:val="2"/>
                <w:sz w:val="21"/>
                <w:szCs w:val="21"/>
                <w:highlight w:val="none"/>
                <w:u w:val="none"/>
                <w:lang w:val="en-US"/>
              </w:rPr>
            </w:pPr>
          </w:p>
        </w:tc>
      </w:tr>
      <w:tr w14:paraId="02115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20A843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9</w:t>
            </w:r>
          </w:p>
        </w:tc>
        <w:tc>
          <w:tcPr>
            <w:tcW w:w="2716" w:type="dxa"/>
            <w:vAlign w:val="center"/>
          </w:tcPr>
          <w:p w14:paraId="7236873E">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初期雨水</w:t>
            </w:r>
          </w:p>
        </w:tc>
        <w:tc>
          <w:tcPr>
            <w:tcW w:w="1418" w:type="dxa"/>
            <w:vAlign w:val="center"/>
          </w:tcPr>
          <w:p w14:paraId="30EF51FB">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3.5</w:t>
            </w:r>
          </w:p>
        </w:tc>
        <w:tc>
          <w:tcPr>
            <w:tcW w:w="4255" w:type="dxa"/>
            <w:vMerge w:val="continue"/>
            <w:vAlign w:val="center"/>
          </w:tcPr>
          <w:p w14:paraId="6828D8C8">
            <w:pPr>
              <w:widowControl/>
              <w:spacing w:line="240" w:lineRule="auto"/>
              <w:ind w:firstLine="0" w:firstLineChars="0"/>
              <w:jc w:val="center"/>
              <w:rPr>
                <w:rFonts w:hAnsi="Times New Roman"/>
                <w:color w:val="auto"/>
                <w:kern w:val="2"/>
                <w:sz w:val="21"/>
                <w:szCs w:val="21"/>
                <w:highlight w:val="none"/>
                <w:u w:val="none"/>
                <w:lang w:val="en-US"/>
              </w:rPr>
            </w:pPr>
          </w:p>
        </w:tc>
      </w:tr>
      <w:tr w14:paraId="5EC2F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6F7FF7F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10</w:t>
            </w:r>
          </w:p>
        </w:tc>
        <w:tc>
          <w:tcPr>
            <w:tcW w:w="2716" w:type="dxa"/>
            <w:vAlign w:val="center"/>
          </w:tcPr>
          <w:p w14:paraId="1B59614F">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黄水废水</w:t>
            </w:r>
          </w:p>
        </w:tc>
        <w:tc>
          <w:tcPr>
            <w:tcW w:w="1418" w:type="dxa"/>
            <w:vAlign w:val="center"/>
          </w:tcPr>
          <w:p w14:paraId="4EF6C753">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7.62</w:t>
            </w:r>
          </w:p>
        </w:tc>
        <w:tc>
          <w:tcPr>
            <w:tcW w:w="4255" w:type="dxa"/>
            <w:vAlign w:val="center"/>
          </w:tcPr>
          <w:p w14:paraId="6C499AC2">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回用硝化工序</w:t>
            </w:r>
          </w:p>
        </w:tc>
      </w:tr>
      <w:tr w14:paraId="40726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7949E7F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1</w:t>
            </w:r>
            <w:r>
              <w:rPr>
                <w:rFonts w:hint="eastAsia"/>
                <w:color w:val="auto"/>
                <w:sz w:val="21"/>
                <w:szCs w:val="21"/>
                <w:highlight w:val="none"/>
                <w:u w:val="none"/>
                <w:lang w:val="en-US"/>
              </w:rPr>
              <w:t>1</w:t>
            </w:r>
          </w:p>
        </w:tc>
        <w:tc>
          <w:tcPr>
            <w:tcW w:w="2716" w:type="dxa"/>
            <w:vAlign w:val="center"/>
          </w:tcPr>
          <w:p w14:paraId="2354940C">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红水废水（碱性废水）</w:t>
            </w:r>
          </w:p>
        </w:tc>
        <w:tc>
          <w:tcPr>
            <w:tcW w:w="1418" w:type="dxa"/>
            <w:vAlign w:val="center"/>
          </w:tcPr>
          <w:p w14:paraId="7EC05584">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18.24</w:t>
            </w:r>
          </w:p>
        </w:tc>
        <w:tc>
          <w:tcPr>
            <w:tcW w:w="4255" w:type="dxa"/>
            <w:vAlign w:val="center"/>
          </w:tcPr>
          <w:p w14:paraId="339D9BE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送往万华福建公司大型煤气化项目作为水煤浆气化原料</w:t>
            </w:r>
          </w:p>
        </w:tc>
      </w:tr>
    </w:tbl>
    <w:p w14:paraId="00AF6E61">
      <w:pPr>
        <w:pStyle w:val="981"/>
        <w:ind w:firstLine="420"/>
        <w:rPr>
          <w:rFonts w:hint="eastAsia"/>
          <w:color w:val="auto"/>
          <w:sz w:val="21"/>
          <w:szCs w:val="21"/>
          <w:highlight w:val="none"/>
          <w:u w:val="none"/>
          <w:lang w:val="en-US"/>
        </w:rPr>
      </w:pPr>
      <w:r>
        <w:rPr>
          <w:rFonts w:hint="eastAsia"/>
          <w:color w:val="auto"/>
          <w:sz w:val="21"/>
          <w:szCs w:val="21"/>
          <w:highlight w:val="none"/>
          <w:u w:val="none"/>
          <w:lang w:val="en-US"/>
        </w:rPr>
        <w:t>注：表中数据为实际运行统计数据。</w:t>
      </w:r>
    </w:p>
    <w:p w14:paraId="652A2945">
      <w:pPr>
        <w:pStyle w:val="981"/>
        <w:ind w:firstLine="482"/>
        <w:rPr>
          <w:rFonts w:hint="eastAsia"/>
          <w:b/>
          <w:bCs/>
          <w:color w:val="auto"/>
          <w:highlight w:val="none"/>
          <w:u w:val="none"/>
          <w:lang w:val="en-US"/>
        </w:rPr>
      </w:pPr>
      <w:r>
        <w:rPr>
          <w:rFonts w:hint="eastAsia"/>
          <w:b/>
          <w:bCs/>
          <w:color w:val="auto"/>
          <w:highlight w:val="none"/>
          <w:u w:val="none"/>
          <w:lang w:val="en-US"/>
        </w:rPr>
        <w:t>（1）TDI废水预处理单元（厂内预处理）</w:t>
      </w:r>
    </w:p>
    <w:p w14:paraId="1D7E3873">
      <w:pPr>
        <w:rPr>
          <w:rFonts w:hint="eastAsia"/>
          <w:color w:val="auto"/>
          <w:highlight w:val="none"/>
          <w:u w:val="none"/>
        </w:rPr>
      </w:pPr>
      <w:r>
        <w:rPr>
          <w:color w:val="auto"/>
          <w:highlight w:val="none"/>
          <w:u w:val="none"/>
        </w:rPr>
        <w:t>TDI废水预处理单元接收硝化碱洗单元的红水（碱性废水）、酸浓缩汽提单元的酸性废水及汽提凝液</w:t>
      </w:r>
      <w:r>
        <w:rPr>
          <w:rFonts w:hint="eastAsia"/>
          <w:color w:val="auto"/>
          <w:highlight w:val="none"/>
          <w:u w:val="none"/>
        </w:rPr>
        <w:t>进行预处理</w:t>
      </w:r>
      <w:r>
        <w:rPr>
          <w:color w:val="auto"/>
          <w:highlight w:val="none"/>
          <w:u w:val="none"/>
        </w:rPr>
        <w:t>，</w:t>
      </w:r>
      <w:r>
        <w:rPr>
          <w:rFonts w:hint="eastAsia"/>
          <w:color w:val="auto"/>
          <w:highlight w:val="none"/>
          <w:u w:val="none"/>
        </w:rPr>
        <w:t>回收废水中的DNT，同时去除废水中的甲苯。</w:t>
      </w:r>
    </w:p>
    <w:p w14:paraId="0E4866CD">
      <w:pPr>
        <w:ind w:firstLineChars="0"/>
        <w:rPr>
          <w:rFonts w:hint="eastAsia"/>
          <w:b/>
          <w:bCs/>
          <w:color w:val="auto"/>
          <w:highlight w:val="none"/>
          <w:u w:val="none"/>
        </w:rPr>
      </w:pPr>
      <w:r>
        <w:rPr>
          <w:rFonts w:hint="eastAsia"/>
          <w:b/>
          <w:bCs/>
          <w:color w:val="auto"/>
          <w:highlight w:val="none"/>
          <w:u w:val="none"/>
        </w:rPr>
        <w:t>①碱性废水（红水）预处理</w:t>
      </w:r>
    </w:p>
    <w:p w14:paraId="0A9C83D8">
      <w:pPr>
        <w:rPr>
          <w:rFonts w:hint="eastAsia"/>
          <w:color w:val="auto"/>
          <w:highlight w:val="none"/>
          <w:u w:val="none"/>
          <w:lang w:val="en-US"/>
        </w:rPr>
      </w:pPr>
      <w:r>
        <w:rPr>
          <w:rFonts w:hint="eastAsia"/>
          <w:color w:val="auto"/>
          <w:highlight w:val="none"/>
          <w:u w:val="none"/>
          <w:lang w:val="en-US" w:eastAsia="zh-CN"/>
        </w:rPr>
        <w:t>涉密删除。</w:t>
      </w:r>
    </w:p>
    <w:p w14:paraId="317A9FE1">
      <w:pPr>
        <w:ind w:left="480" w:firstLine="0" w:firstLineChars="0"/>
        <w:rPr>
          <w:rFonts w:hint="eastAsia"/>
          <w:b/>
          <w:bCs/>
          <w:color w:val="auto"/>
          <w:highlight w:val="none"/>
          <w:u w:val="none"/>
        </w:rPr>
      </w:pPr>
      <w:r>
        <w:rPr>
          <w:rFonts w:hint="eastAsia"/>
          <w:b/>
          <w:bCs/>
          <w:color w:val="auto"/>
          <w:highlight w:val="none"/>
          <w:u w:val="none"/>
        </w:rPr>
        <w:t>②酸性废水（汽提酸性水）预处理</w:t>
      </w:r>
    </w:p>
    <w:p w14:paraId="48544D3C">
      <w:pPr>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1AFD5531">
      <w:pPr>
        <w:ind w:firstLine="482"/>
        <w:rPr>
          <w:rFonts w:hint="eastAsia"/>
          <w:b/>
          <w:bCs/>
          <w:color w:val="auto"/>
          <w:highlight w:val="none"/>
          <w:u w:val="none"/>
          <w:lang w:val="en-US"/>
        </w:rPr>
      </w:pPr>
      <w:r>
        <w:rPr>
          <w:rFonts w:hint="eastAsia"/>
          <w:b/>
          <w:bCs/>
          <w:color w:val="auto"/>
          <w:highlight w:val="none"/>
          <w:u w:val="none"/>
          <w:lang w:val="en-US"/>
        </w:rPr>
        <w:t>（2）</w:t>
      </w:r>
      <w:r>
        <w:rPr>
          <w:rFonts w:hint="eastAsia"/>
          <w:color w:val="auto"/>
          <w:highlight w:val="none"/>
          <w:u w:val="none"/>
        </w:rPr>
        <w:t>万华环保科技公司</w:t>
      </w:r>
      <w:r>
        <w:rPr>
          <w:b/>
          <w:bCs/>
          <w:color w:val="auto"/>
          <w:highlight w:val="none"/>
          <w:u w:val="none"/>
          <w:lang w:val="en-US"/>
        </w:rPr>
        <w:t>综合废水处理系统</w:t>
      </w:r>
    </w:p>
    <w:p w14:paraId="03B9FB91">
      <w:pPr>
        <w:rPr>
          <w:rFonts w:hint="eastAsia"/>
          <w:color w:val="auto"/>
          <w:highlight w:val="none"/>
          <w:u w:val="none"/>
          <w:lang w:val="en-US"/>
        </w:rPr>
      </w:pPr>
      <w:bookmarkStart w:id="153" w:name="_Hlk151643893"/>
      <w:r>
        <w:rPr>
          <w:rFonts w:hint="eastAsia"/>
          <w:color w:val="auto"/>
          <w:highlight w:val="none"/>
          <w:u w:val="none"/>
          <w:lang w:val="en-US"/>
        </w:rPr>
        <w:t>2</w:t>
      </w:r>
      <w:r>
        <w:rPr>
          <w:color w:val="auto"/>
          <w:highlight w:val="none"/>
          <w:u w:val="none"/>
          <w:lang w:val="en-US"/>
        </w:rPr>
        <w:t>5</w:t>
      </w:r>
      <w:r>
        <w:rPr>
          <w:rFonts w:hint="eastAsia"/>
          <w:color w:val="auto"/>
          <w:highlight w:val="none"/>
          <w:u w:val="none"/>
          <w:lang w:val="en-US"/>
        </w:rPr>
        <w:t>万吨/年T</w:t>
      </w:r>
      <w:r>
        <w:rPr>
          <w:color w:val="auto"/>
          <w:highlight w:val="none"/>
          <w:u w:val="none"/>
          <w:lang w:val="en-US"/>
        </w:rPr>
        <w:t>DI</w:t>
      </w:r>
      <w:r>
        <w:rPr>
          <w:rFonts w:hint="eastAsia"/>
          <w:color w:val="auto"/>
          <w:highlight w:val="none"/>
          <w:u w:val="none"/>
          <w:lang w:val="en-US"/>
        </w:rPr>
        <w:t>项目高浓度废水依托</w:t>
      </w:r>
      <w:r>
        <w:rPr>
          <w:color w:val="auto"/>
          <w:highlight w:val="none"/>
          <w:u w:val="none"/>
          <w:lang w:val="en-US"/>
        </w:rPr>
        <w:t>万华</w:t>
      </w:r>
      <w:r>
        <w:rPr>
          <w:rFonts w:hint="eastAsia"/>
          <w:color w:val="auto"/>
          <w:highlight w:val="none"/>
          <w:u w:val="none"/>
          <w:lang w:val="en-US"/>
        </w:rPr>
        <w:t>环保科技</w:t>
      </w:r>
      <w:r>
        <w:rPr>
          <w:color w:val="auto"/>
          <w:highlight w:val="none"/>
          <w:u w:val="none"/>
          <w:lang w:val="en-US"/>
        </w:rPr>
        <w:t>公司综合废水处理系统</w:t>
      </w:r>
      <w:r>
        <w:rPr>
          <w:rFonts w:hint="eastAsia"/>
          <w:color w:val="auto"/>
          <w:highlight w:val="none"/>
          <w:u w:val="none"/>
          <w:lang w:val="en-US"/>
        </w:rPr>
        <w:t>进行处理。</w:t>
      </w:r>
      <w:bookmarkEnd w:id="153"/>
      <w:r>
        <w:rPr>
          <w:color w:val="auto"/>
          <w:highlight w:val="none"/>
          <w:u w:val="none"/>
          <w:lang w:val="en-US"/>
        </w:rPr>
        <w:t>处理系统包括芬顿单元，难生化废水处理单元，废水深处理单元。高浓度废水经芬顿单元处理后，与其他难生化废水进入难生化废水处理单元，采用“固定化高效微生物法厌氧+好氧”工艺处理，再进入废水深处理单元，采用“高密度沉淀池+反硝化滤池+硝化滤池+反硝化滤池+前臭氧氧化+低负荷生物滤池+末端臭氧氧化”工艺处理，因尾水盐度指标较高（设计TDS≤12000mg/L，氯离子≤3000mg/L），高于江阴污水处理厂接管标准（氯离子≤800mg/L），尾水由</w:t>
      </w:r>
      <w:r>
        <w:rPr>
          <w:rFonts w:hint="eastAsia"/>
          <w:color w:val="auto"/>
          <w:highlight w:val="none"/>
          <w:u w:val="none"/>
          <w:lang w:val="en-US" w:eastAsia="zh-CN"/>
        </w:rPr>
        <w:t>福州江阴港城经济区</w:t>
      </w:r>
      <w:r>
        <w:rPr>
          <w:color w:val="auto"/>
          <w:highlight w:val="none"/>
          <w:u w:val="none"/>
          <w:lang w:val="en-US"/>
        </w:rPr>
        <w:t>污水处理厂</w:t>
      </w:r>
      <w:r>
        <w:rPr>
          <w:rFonts w:hint="eastAsia"/>
          <w:color w:val="auto"/>
          <w:highlight w:val="none"/>
          <w:u w:val="none"/>
          <w:lang w:val="en-US"/>
        </w:rPr>
        <w:t>尾水</w:t>
      </w:r>
      <w:r>
        <w:rPr>
          <w:color w:val="auto"/>
          <w:highlight w:val="none"/>
          <w:u w:val="none"/>
          <w:lang w:val="en-US"/>
        </w:rPr>
        <w:t>排海管道排海。</w:t>
      </w:r>
      <w:r>
        <w:rPr>
          <w:rFonts w:hint="eastAsia"/>
          <w:color w:val="auto"/>
          <w:highlight w:val="none"/>
          <w:u w:val="none"/>
          <w:lang w:val="en-US"/>
        </w:rPr>
        <w:t>综合废水处理系统设计处理能力420m</w:t>
      </w:r>
      <w:r>
        <w:rPr>
          <w:color w:val="auto"/>
          <w:highlight w:val="none"/>
          <w:u w:val="none"/>
          <w:vertAlign w:val="superscript"/>
          <w:lang w:val="en-US"/>
        </w:rPr>
        <w:t>3</w:t>
      </w:r>
      <w:r>
        <w:rPr>
          <w:rFonts w:hint="eastAsia"/>
          <w:color w:val="auto"/>
          <w:highlight w:val="none"/>
          <w:u w:val="none"/>
          <w:lang w:val="en-US"/>
        </w:rPr>
        <w:t>/h（分期建设，一期210m</w:t>
      </w:r>
      <w:r>
        <w:rPr>
          <w:color w:val="auto"/>
          <w:highlight w:val="none"/>
          <w:u w:val="none"/>
          <w:vertAlign w:val="superscript"/>
          <w:lang w:val="en-US"/>
        </w:rPr>
        <w:t>3</w:t>
      </w:r>
      <w:r>
        <w:rPr>
          <w:rFonts w:hint="eastAsia"/>
          <w:color w:val="auto"/>
          <w:highlight w:val="none"/>
          <w:u w:val="none"/>
          <w:lang w:val="en-US"/>
        </w:rPr>
        <w:t>/h，二期210m</w:t>
      </w:r>
      <w:r>
        <w:rPr>
          <w:color w:val="auto"/>
          <w:highlight w:val="none"/>
          <w:u w:val="none"/>
          <w:vertAlign w:val="superscript"/>
          <w:lang w:val="en-US"/>
        </w:rPr>
        <w:t>3</w:t>
      </w:r>
      <w:r>
        <w:rPr>
          <w:rFonts w:hint="eastAsia"/>
          <w:color w:val="auto"/>
          <w:highlight w:val="none"/>
          <w:u w:val="none"/>
          <w:lang w:val="en-US"/>
        </w:rPr>
        <w:t>/h），目前一期已竣工环保验收，二期预计25年3月前建成投用。</w:t>
      </w:r>
    </w:p>
    <w:p w14:paraId="10F49716">
      <w:pPr>
        <w:ind w:firstLine="482"/>
        <w:rPr>
          <w:rFonts w:hint="eastAsia"/>
          <w:b/>
          <w:bCs/>
          <w:color w:val="auto"/>
          <w:highlight w:val="none"/>
          <w:u w:val="none"/>
          <w:lang w:val="en-US"/>
        </w:rPr>
      </w:pPr>
      <w:r>
        <w:rPr>
          <w:rFonts w:hint="eastAsia"/>
          <w:b/>
          <w:bCs/>
          <w:color w:val="auto"/>
          <w:highlight w:val="none"/>
          <w:u w:val="none"/>
          <w:lang w:val="en-US"/>
        </w:rPr>
        <w:t>（3）</w:t>
      </w:r>
      <w:r>
        <w:rPr>
          <w:rFonts w:hint="eastAsia"/>
          <w:color w:val="auto"/>
          <w:highlight w:val="none"/>
          <w:u w:val="none"/>
        </w:rPr>
        <w:t>万华环保科技公司</w:t>
      </w:r>
      <w:r>
        <w:rPr>
          <w:b/>
          <w:bCs/>
          <w:color w:val="auto"/>
          <w:highlight w:val="none"/>
          <w:u w:val="none"/>
          <w:lang w:val="en-US"/>
        </w:rPr>
        <w:t>低浓度废水处理系统</w:t>
      </w:r>
    </w:p>
    <w:p w14:paraId="1254DD51">
      <w:pPr>
        <w:rPr>
          <w:rFonts w:hint="eastAsia"/>
          <w:color w:val="auto"/>
          <w:highlight w:val="none"/>
          <w:u w:val="none"/>
        </w:rPr>
      </w:pPr>
      <w:r>
        <w:rPr>
          <w:rFonts w:hint="eastAsia"/>
          <w:color w:val="auto"/>
          <w:highlight w:val="none"/>
          <w:u w:val="none"/>
          <w:lang w:val="en-US"/>
        </w:rPr>
        <w:t>2</w:t>
      </w:r>
      <w:r>
        <w:rPr>
          <w:color w:val="auto"/>
          <w:highlight w:val="none"/>
          <w:u w:val="none"/>
          <w:lang w:val="en-US"/>
        </w:rPr>
        <w:t>5万吨</w:t>
      </w:r>
      <w:r>
        <w:rPr>
          <w:rFonts w:hint="eastAsia"/>
          <w:color w:val="auto"/>
          <w:highlight w:val="none"/>
          <w:u w:val="none"/>
          <w:lang w:val="en-US"/>
        </w:rPr>
        <w:t>/</w:t>
      </w:r>
      <w:r>
        <w:rPr>
          <w:color w:val="auto"/>
          <w:highlight w:val="none"/>
          <w:u w:val="none"/>
          <w:lang w:val="en-US"/>
        </w:rPr>
        <w:t>年</w:t>
      </w:r>
      <w:r>
        <w:rPr>
          <w:rFonts w:hint="eastAsia"/>
          <w:color w:val="auto"/>
          <w:highlight w:val="none"/>
          <w:u w:val="none"/>
          <w:lang w:val="en-US"/>
        </w:rPr>
        <w:t>T</w:t>
      </w:r>
      <w:r>
        <w:rPr>
          <w:color w:val="auto"/>
          <w:highlight w:val="none"/>
          <w:u w:val="none"/>
          <w:lang w:val="en-US"/>
        </w:rPr>
        <w:t>DI项目</w:t>
      </w:r>
      <w:r>
        <w:rPr>
          <w:rFonts w:hint="eastAsia"/>
          <w:color w:val="auto"/>
          <w:highlight w:val="none"/>
          <w:u w:val="none"/>
          <w:lang w:val="en-US"/>
        </w:rPr>
        <w:t>的</w:t>
      </w:r>
      <w:r>
        <w:rPr>
          <w:color w:val="auto"/>
          <w:highlight w:val="none"/>
          <w:u w:val="none"/>
          <w:lang w:val="en-US"/>
        </w:rPr>
        <w:t>初期雨水、</w:t>
      </w:r>
      <w:r>
        <w:rPr>
          <w:rFonts w:hint="eastAsia"/>
          <w:color w:val="auto"/>
          <w:highlight w:val="none"/>
          <w:u w:val="none"/>
          <w:lang w:val="en-US"/>
        </w:rPr>
        <w:t>办公</w:t>
      </w:r>
      <w:r>
        <w:rPr>
          <w:color w:val="auto"/>
          <w:highlight w:val="none"/>
          <w:u w:val="none"/>
          <w:lang w:val="en-US"/>
        </w:rPr>
        <w:t>生活污水、</w:t>
      </w:r>
      <w:r>
        <w:rPr>
          <w:rFonts w:hint="eastAsia"/>
          <w:color w:val="auto"/>
          <w:highlight w:val="none"/>
          <w:u w:val="none"/>
          <w:lang w:val="en-US"/>
        </w:rPr>
        <w:t>地面冲洗水、设备清洗水</w:t>
      </w:r>
      <w:r>
        <w:rPr>
          <w:color w:val="auto"/>
          <w:highlight w:val="none"/>
          <w:u w:val="none"/>
          <w:lang w:val="en-US"/>
        </w:rPr>
        <w:t>废水依托</w:t>
      </w:r>
      <w:r>
        <w:rPr>
          <w:rFonts w:hint="eastAsia"/>
          <w:color w:val="auto"/>
          <w:highlight w:val="none"/>
          <w:u w:val="none"/>
        </w:rPr>
        <w:t>万华环保科技公司</w:t>
      </w:r>
      <w:r>
        <w:rPr>
          <w:rFonts w:hint="eastAsia"/>
          <w:color w:val="auto"/>
          <w:highlight w:val="none"/>
          <w:u w:val="none"/>
          <w:lang w:val="en-US"/>
        </w:rPr>
        <w:t>低浓度</w:t>
      </w:r>
      <w:r>
        <w:rPr>
          <w:color w:val="auto"/>
          <w:highlight w:val="none"/>
          <w:u w:val="none"/>
          <w:lang w:val="en-US"/>
        </w:rPr>
        <w:t>废水处理系统进行处理</w:t>
      </w:r>
      <w:r>
        <w:rPr>
          <w:rFonts w:hint="eastAsia"/>
          <w:color w:val="auto"/>
          <w:highlight w:val="none"/>
          <w:u w:val="none"/>
          <w:lang w:val="en-US"/>
        </w:rPr>
        <w:t>。该处理系统</w:t>
      </w:r>
      <w:r>
        <w:rPr>
          <w:color w:val="auto"/>
          <w:highlight w:val="none"/>
          <w:u w:val="none"/>
        </w:rPr>
        <w:t>采用“混凝沉淀+A/O+二沉池”工艺处理达标后排入</w:t>
      </w:r>
      <w:r>
        <w:rPr>
          <w:rFonts w:hint="eastAsia"/>
          <w:color w:val="auto"/>
          <w:highlight w:val="none"/>
          <w:u w:val="none"/>
          <w:lang w:eastAsia="zh-CN"/>
        </w:rPr>
        <w:t>福州江阴港城经济区</w:t>
      </w:r>
      <w:r>
        <w:rPr>
          <w:color w:val="auto"/>
          <w:highlight w:val="none"/>
          <w:u w:val="none"/>
        </w:rPr>
        <w:t>污水处理厂</w:t>
      </w:r>
      <w:r>
        <w:rPr>
          <w:rFonts w:hint="eastAsia"/>
          <w:color w:val="auto"/>
          <w:highlight w:val="none"/>
          <w:u w:val="none"/>
        </w:rPr>
        <w:t>。</w:t>
      </w:r>
    </w:p>
    <w:p w14:paraId="5CBB3A5A">
      <w:pPr>
        <w:rPr>
          <w:rFonts w:hint="eastAsia"/>
          <w:color w:val="auto"/>
          <w:highlight w:val="none"/>
          <w:u w:val="none"/>
        </w:rPr>
      </w:pPr>
      <w:r>
        <w:rPr>
          <w:color w:val="auto"/>
          <w:highlight w:val="none"/>
          <w:u w:val="none"/>
        </w:rPr>
        <w:t>低浓度废水处理系统分两期建设，一期工程处理规模为180m</w:t>
      </w:r>
      <w:r>
        <w:rPr>
          <w:color w:val="auto"/>
          <w:highlight w:val="none"/>
          <w:u w:val="none"/>
          <w:vertAlign w:val="superscript"/>
        </w:rPr>
        <w:t>3</w:t>
      </w:r>
      <w:r>
        <w:rPr>
          <w:color w:val="auto"/>
          <w:highlight w:val="none"/>
          <w:u w:val="none"/>
        </w:rPr>
        <w:t>/h，二期工程处理规模为180m</w:t>
      </w:r>
      <w:r>
        <w:rPr>
          <w:color w:val="auto"/>
          <w:highlight w:val="none"/>
          <w:u w:val="none"/>
          <w:vertAlign w:val="superscript"/>
        </w:rPr>
        <w:t>3</w:t>
      </w:r>
      <w:r>
        <w:rPr>
          <w:color w:val="auto"/>
          <w:highlight w:val="none"/>
          <w:u w:val="none"/>
        </w:rPr>
        <w:t>/h，总处理规模为360m</w:t>
      </w:r>
      <w:r>
        <w:rPr>
          <w:color w:val="auto"/>
          <w:highlight w:val="none"/>
          <w:u w:val="none"/>
          <w:vertAlign w:val="superscript"/>
        </w:rPr>
        <w:t>3</w:t>
      </w:r>
      <w:r>
        <w:rPr>
          <w:color w:val="auto"/>
          <w:highlight w:val="none"/>
          <w:u w:val="none"/>
        </w:rPr>
        <w:t>/h</w:t>
      </w:r>
      <w:r>
        <w:rPr>
          <w:rFonts w:hint="eastAsia"/>
          <w:color w:val="auto"/>
          <w:highlight w:val="none"/>
          <w:u w:val="none"/>
          <w:lang w:val="en-US"/>
        </w:rPr>
        <w:t>，目前一期</w:t>
      </w:r>
      <w:r>
        <w:rPr>
          <w:color w:val="auto"/>
          <w:highlight w:val="none"/>
          <w:u w:val="none"/>
        </w:rPr>
        <w:t>180m</w:t>
      </w:r>
      <w:r>
        <w:rPr>
          <w:color w:val="auto"/>
          <w:highlight w:val="none"/>
          <w:u w:val="none"/>
          <w:vertAlign w:val="superscript"/>
        </w:rPr>
        <w:t>3</w:t>
      </w:r>
      <w:r>
        <w:rPr>
          <w:color w:val="auto"/>
          <w:highlight w:val="none"/>
          <w:u w:val="none"/>
        </w:rPr>
        <w:t>/h</w:t>
      </w:r>
      <w:r>
        <w:rPr>
          <w:rFonts w:hint="eastAsia"/>
          <w:color w:val="auto"/>
          <w:highlight w:val="none"/>
          <w:u w:val="none"/>
          <w:lang w:val="en-US"/>
        </w:rPr>
        <w:t>已验收，二期预计25年3月前建成投用。</w:t>
      </w:r>
    </w:p>
    <w:p w14:paraId="28D12303">
      <w:pPr>
        <w:pStyle w:val="7"/>
        <w:spacing w:before="120"/>
        <w:rPr>
          <w:color w:val="auto"/>
          <w:highlight w:val="none"/>
          <w:u w:val="none"/>
        </w:rPr>
      </w:pPr>
      <w:r>
        <w:rPr>
          <w:color w:val="auto"/>
          <w:highlight w:val="none"/>
          <w:u w:val="none"/>
        </w:rPr>
        <w:t>固体废物治理措施</w:t>
      </w:r>
    </w:p>
    <w:p w14:paraId="7A38FF0E">
      <w:pPr>
        <w:rPr>
          <w:rFonts w:hint="eastAsia"/>
          <w:color w:val="auto"/>
          <w:highlight w:val="none"/>
          <w:u w:val="none"/>
          <w:lang w:val="en-US"/>
        </w:rPr>
      </w:pPr>
      <w:r>
        <w:rPr>
          <w:rFonts w:hint="eastAsia"/>
          <w:color w:val="auto"/>
          <w:highlight w:val="none"/>
          <w:u w:val="none"/>
          <w:lang w:val="en-US"/>
        </w:rPr>
        <w:t>2</w:t>
      </w:r>
      <w:r>
        <w:rPr>
          <w:color w:val="auto"/>
          <w:highlight w:val="none"/>
          <w:u w:val="none"/>
          <w:lang w:val="en-US"/>
        </w:rPr>
        <w:t>5</w:t>
      </w:r>
      <w:r>
        <w:rPr>
          <w:rFonts w:hint="eastAsia"/>
          <w:color w:val="auto"/>
          <w:highlight w:val="none"/>
          <w:u w:val="none"/>
          <w:lang w:val="en-US"/>
        </w:rPr>
        <w:t>万吨/年T</w:t>
      </w:r>
      <w:r>
        <w:rPr>
          <w:color w:val="auto"/>
          <w:highlight w:val="none"/>
          <w:u w:val="none"/>
          <w:lang w:val="en-US"/>
        </w:rPr>
        <w:t>DI</w:t>
      </w:r>
      <w:r>
        <w:rPr>
          <w:rFonts w:hint="eastAsia"/>
          <w:color w:val="auto"/>
          <w:highlight w:val="none"/>
          <w:u w:val="none"/>
          <w:lang w:val="en-US"/>
        </w:rPr>
        <w:t>项目</w:t>
      </w:r>
      <w:r>
        <w:rPr>
          <w:color w:val="auto"/>
          <w:highlight w:val="none"/>
          <w:u w:val="none"/>
          <w:lang w:val="en-US"/>
        </w:rPr>
        <w:t>固体废物包括装置反应产生的轻油、焦油颗粒、TDI废液、废活性炭、废催化剂、废包装材料、机修废机油、废导热油、废抹布、废劳保</w:t>
      </w:r>
      <w:r>
        <w:rPr>
          <w:rFonts w:hint="eastAsia"/>
          <w:color w:val="auto"/>
          <w:highlight w:val="none"/>
          <w:u w:val="none"/>
          <w:lang w:val="en-US"/>
        </w:rPr>
        <w:t>用品</w:t>
      </w:r>
      <w:r>
        <w:rPr>
          <w:color w:val="auto"/>
          <w:highlight w:val="none"/>
          <w:u w:val="none"/>
          <w:lang w:val="en-US"/>
        </w:rPr>
        <w:t>等危险废物，以及办公产生的生活垃圾。</w:t>
      </w:r>
      <w:r>
        <w:rPr>
          <w:rFonts w:hint="eastAsia"/>
          <w:color w:val="auto"/>
          <w:highlight w:val="none"/>
          <w:u w:val="none"/>
          <w:lang w:val="en-US"/>
        </w:rPr>
        <w:t>其中轻油、TDI废液送往万华环保科技公司能量回收装置进行焚烧处理，</w:t>
      </w:r>
      <w:r>
        <w:rPr>
          <w:color w:val="auto"/>
          <w:highlight w:val="none"/>
          <w:u w:val="none"/>
          <w:lang w:val="en-US"/>
        </w:rPr>
        <w:t>焦油颗粒</w:t>
      </w:r>
      <w:r>
        <w:rPr>
          <w:rFonts w:hint="eastAsia"/>
          <w:color w:val="auto"/>
          <w:highlight w:val="none"/>
          <w:u w:val="none"/>
        </w:rPr>
        <w:t>送往万华福建公司大型煤气化项目作为水煤浆气化原料，其他危险废物委托有危险废物处置资质单位进行处理，</w:t>
      </w:r>
      <w:r>
        <w:rPr>
          <w:rFonts w:hint="eastAsia"/>
          <w:color w:val="auto"/>
          <w:highlight w:val="none"/>
          <w:u w:val="none"/>
          <w:lang w:val="en-US"/>
        </w:rPr>
        <w:t>生活垃圾</w:t>
      </w:r>
      <w:r>
        <w:rPr>
          <w:rFonts w:hint="eastAsia"/>
          <w:color w:val="auto"/>
          <w:highlight w:val="none"/>
          <w:u w:val="none"/>
        </w:rPr>
        <w:t>定点收集后由环卫部门处理。</w:t>
      </w:r>
    </w:p>
    <w:p w14:paraId="779DBB89">
      <w:pPr>
        <w:rPr>
          <w:rFonts w:hint="eastAsia"/>
          <w:color w:val="auto"/>
          <w:highlight w:val="none"/>
          <w:u w:val="none"/>
          <w:lang w:val="en-US"/>
        </w:rPr>
      </w:pPr>
      <w:r>
        <w:rPr>
          <w:rFonts w:hint="eastAsia"/>
          <w:color w:val="auto"/>
          <w:highlight w:val="none"/>
          <w:u w:val="none"/>
        </w:rPr>
        <w:t>25万吨/年TDI项目产生的危险废物</w:t>
      </w:r>
      <w:r>
        <w:rPr>
          <w:rFonts w:hint="eastAsia"/>
          <w:color w:val="auto"/>
          <w:highlight w:val="none"/>
          <w:u w:val="none"/>
          <w:lang w:val="en-US"/>
        </w:rPr>
        <w:t>临时</w:t>
      </w:r>
      <w:r>
        <w:rPr>
          <w:rFonts w:hint="eastAsia"/>
          <w:color w:val="auto"/>
          <w:highlight w:val="none"/>
          <w:u w:val="none"/>
        </w:rPr>
        <w:t>贮存在万华环保科技公司1#</w:t>
      </w:r>
      <w:r>
        <w:rPr>
          <w:color w:val="auto"/>
          <w:highlight w:val="none"/>
          <w:u w:val="none"/>
          <w:lang w:val="en-US"/>
        </w:rPr>
        <w:t>危废</w:t>
      </w:r>
      <w:r>
        <w:rPr>
          <w:rFonts w:hint="eastAsia"/>
          <w:color w:val="auto"/>
          <w:highlight w:val="none"/>
          <w:u w:val="none"/>
          <w:lang w:val="en-US"/>
        </w:rPr>
        <w:t>贮存</w:t>
      </w:r>
      <w:r>
        <w:rPr>
          <w:color w:val="auto"/>
          <w:highlight w:val="none"/>
          <w:u w:val="none"/>
          <w:lang w:val="en-US"/>
        </w:rPr>
        <w:t>间</w:t>
      </w:r>
      <w:r>
        <w:rPr>
          <w:rFonts w:hint="eastAsia"/>
          <w:color w:val="auto"/>
          <w:highlight w:val="none"/>
          <w:u w:val="none"/>
          <w:lang w:val="en-US"/>
        </w:rPr>
        <w:t>（</w:t>
      </w:r>
      <w:r>
        <w:rPr>
          <w:rFonts w:hint="eastAsia"/>
          <w:color w:val="auto"/>
          <w:highlight w:val="none"/>
          <w:u w:val="none"/>
        </w:rPr>
        <w:t>万华环保科技公司</w:t>
      </w:r>
      <w:r>
        <w:rPr>
          <w:color w:val="auto"/>
          <w:highlight w:val="none"/>
          <w:u w:val="none"/>
          <w:lang w:val="en-US"/>
        </w:rPr>
        <w:t>危废</w:t>
      </w:r>
      <w:r>
        <w:rPr>
          <w:rFonts w:hint="eastAsia"/>
          <w:color w:val="auto"/>
          <w:highlight w:val="none"/>
          <w:u w:val="none"/>
          <w:lang w:val="en-US"/>
        </w:rPr>
        <w:t>贮存</w:t>
      </w:r>
      <w:r>
        <w:rPr>
          <w:color w:val="auto"/>
          <w:highlight w:val="none"/>
          <w:u w:val="none"/>
          <w:lang w:val="en-US"/>
        </w:rPr>
        <w:t>间</w:t>
      </w:r>
      <w:r>
        <w:rPr>
          <w:rFonts w:hint="eastAsia"/>
          <w:color w:val="auto"/>
          <w:highlight w:val="none"/>
          <w:u w:val="none"/>
          <w:lang w:val="en-US"/>
        </w:rPr>
        <w:t>共2间，1</w:t>
      </w:r>
      <w:r>
        <w:rPr>
          <w:color w:val="auto"/>
          <w:highlight w:val="none"/>
          <w:u w:val="none"/>
          <w:lang w:val="en-US"/>
        </w:rPr>
        <w:t>#危废</w:t>
      </w:r>
      <w:r>
        <w:rPr>
          <w:rFonts w:hint="eastAsia"/>
          <w:color w:val="auto"/>
          <w:highlight w:val="none"/>
          <w:u w:val="none"/>
          <w:lang w:val="en-US"/>
        </w:rPr>
        <w:t>贮存</w:t>
      </w:r>
      <w:r>
        <w:rPr>
          <w:color w:val="auto"/>
          <w:highlight w:val="none"/>
          <w:u w:val="none"/>
          <w:lang w:val="en-US"/>
        </w:rPr>
        <w:t>间</w:t>
      </w:r>
      <w:r>
        <w:rPr>
          <w:rFonts w:hint="eastAsia"/>
          <w:color w:val="auto"/>
          <w:highlight w:val="none"/>
          <w:u w:val="none"/>
          <w:lang w:val="en-US"/>
        </w:rPr>
        <w:t>面积为</w:t>
      </w:r>
      <w:r>
        <w:rPr>
          <w:color w:val="auto"/>
          <w:highlight w:val="none"/>
          <w:u w:val="none"/>
          <w:lang w:val="en-US"/>
        </w:rPr>
        <w:t>160m</w:t>
      </w:r>
      <w:r>
        <w:rPr>
          <w:color w:val="auto"/>
          <w:highlight w:val="none"/>
          <w:u w:val="none"/>
          <w:vertAlign w:val="superscript"/>
          <w:lang w:val="en-US"/>
        </w:rPr>
        <w:t>2</w:t>
      </w:r>
      <w:r>
        <w:rPr>
          <w:rFonts w:hint="eastAsia"/>
          <w:color w:val="auto"/>
          <w:highlight w:val="none"/>
          <w:u w:val="none"/>
          <w:lang w:val="en-US"/>
        </w:rPr>
        <w:t>，2</w:t>
      </w:r>
      <w:r>
        <w:rPr>
          <w:color w:val="auto"/>
          <w:highlight w:val="none"/>
          <w:u w:val="none"/>
          <w:lang w:val="en-US"/>
        </w:rPr>
        <w:t>#危废</w:t>
      </w:r>
      <w:r>
        <w:rPr>
          <w:rFonts w:hint="eastAsia"/>
          <w:color w:val="auto"/>
          <w:highlight w:val="none"/>
          <w:u w:val="none"/>
          <w:lang w:val="en-US"/>
        </w:rPr>
        <w:t>贮存</w:t>
      </w:r>
      <w:r>
        <w:rPr>
          <w:color w:val="auto"/>
          <w:highlight w:val="none"/>
          <w:u w:val="none"/>
          <w:lang w:val="en-US"/>
        </w:rPr>
        <w:t>间</w:t>
      </w:r>
      <w:r>
        <w:rPr>
          <w:rFonts w:hint="eastAsia"/>
          <w:color w:val="auto"/>
          <w:highlight w:val="none"/>
          <w:u w:val="none"/>
          <w:lang w:val="en-US"/>
        </w:rPr>
        <w:t>面积为4</w:t>
      </w:r>
      <w:r>
        <w:rPr>
          <w:color w:val="auto"/>
          <w:highlight w:val="none"/>
          <w:u w:val="none"/>
          <w:lang w:val="en-US"/>
        </w:rPr>
        <w:t>50m</w:t>
      </w:r>
      <w:r>
        <w:rPr>
          <w:color w:val="auto"/>
          <w:highlight w:val="none"/>
          <w:u w:val="none"/>
          <w:vertAlign w:val="superscript"/>
          <w:lang w:val="en-US"/>
        </w:rPr>
        <w:t>2</w:t>
      </w:r>
      <w:r>
        <w:rPr>
          <w:rFonts w:hint="eastAsia"/>
          <w:color w:val="auto"/>
          <w:highlight w:val="none"/>
          <w:u w:val="none"/>
          <w:lang w:val="en-US"/>
        </w:rPr>
        <w:t>，</w:t>
      </w:r>
      <w:r>
        <w:rPr>
          <w:color w:val="auto"/>
          <w:highlight w:val="none"/>
          <w:u w:val="none"/>
          <w:lang w:val="en-US"/>
        </w:rPr>
        <w:t>总面积610m</w:t>
      </w:r>
      <w:r>
        <w:rPr>
          <w:color w:val="auto"/>
          <w:highlight w:val="none"/>
          <w:u w:val="none"/>
          <w:vertAlign w:val="superscript"/>
          <w:lang w:val="en-US"/>
        </w:rPr>
        <w:t>2</w:t>
      </w:r>
      <w:r>
        <w:rPr>
          <w:rFonts w:hint="eastAsia"/>
          <w:color w:val="auto"/>
          <w:highlight w:val="none"/>
          <w:u w:val="none"/>
          <w:lang w:val="en-US"/>
        </w:rPr>
        <w:t>），其</w:t>
      </w:r>
      <w:r>
        <w:rPr>
          <w:color w:val="auto"/>
          <w:highlight w:val="none"/>
          <w:u w:val="none"/>
          <w:lang w:val="en-US"/>
        </w:rPr>
        <w:t>产生的危险废物单独贮存</w:t>
      </w:r>
      <w:r>
        <w:rPr>
          <w:rFonts w:hint="eastAsia"/>
          <w:color w:val="auto"/>
          <w:highlight w:val="none"/>
          <w:u w:val="none"/>
          <w:lang w:val="en-US"/>
        </w:rPr>
        <w:t>在该危废间内</w:t>
      </w:r>
      <w:r>
        <w:rPr>
          <w:color w:val="auto"/>
          <w:highlight w:val="none"/>
          <w:u w:val="none"/>
          <w:lang w:val="en-US"/>
        </w:rPr>
        <w:t>，危险废物的转移、贮存、台账、处置由万华福建公司负责管理。</w:t>
      </w:r>
    </w:p>
    <w:p w14:paraId="0BC47D0D">
      <w:pPr>
        <w:pStyle w:val="7"/>
        <w:spacing w:before="120"/>
        <w:rPr>
          <w:color w:val="auto"/>
          <w:highlight w:val="none"/>
          <w:u w:val="none"/>
        </w:rPr>
      </w:pPr>
      <w:r>
        <w:rPr>
          <w:rFonts w:hint="eastAsia"/>
          <w:color w:val="auto"/>
          <w:highlight w:val="none"/>
          <w:u w:val="none"/>
        </w:rPr>
        <w:t>地下水防治措施</w:t>
      </w:r>
    </w:p>
    <w:p w14:paraId="02E3B7D8">
      <w:pPr>
        <w:rPr>
          <w:rFonts w:hint="eastAsia"/>
          <w:color w:val="auto"/>
          <w:highlight w:val="none"/>
          <w:u w:val="none"/>
          <w:lang w:val="en-US"/>
        </w:rPr>
      </w:pPr>
      <w:r>
        <w:rPr>
          <w:rFonts w:hint="eastAsia"/>
          <w:color w:val="auto"/>
          <w:highlight w:val="none"/>
          <w:u w:val="none"/>
          <w:lang w:val="en-US"/>
        </w:rPr>
        <w:t>2</w:t>
      </w:r>
      <w:r>
        <w:rPr>
          <w:color w:val="auto"/>
          <w:highlight w:val="none"/>
          <w:u w:val="none"/>
          <w:lang w:val="en-US"/>
        </w:rPr>
        <w:t>5</w:t>
      </w:r>
      <w:r>
        <w:rPr>
          <w:rFonts w:hint="eastAsia"/>
          <w:color w:val="auto"/>
          <w:highlight w:val="none"/>
          <w:u w:val="none"/>
          <w:lang w:val="en-US"/>
        </w:rPr>
        <w:t>万吨/年T</w:t>
      </w:r>
      <w:r>
        <w:rPr>
          <w:color w:val="auto"/>
          <w:highlight w:val="none"/>
          <w:u w:val="none"/>
          <w:lang w:val="en-US"/>
        </w:rPr>
        <w:t>DI</w:t>
      </w:r>
      <w:r>
        <w:rPr>
          <w:rFonts w:hint="eastAsia"/>
          <w:color w:val="auto"/>
          <w:highlight w:val="none"/>
          <w:u w:val="none"/>
          <w:lang w:val="en-US"/>
        </w:rPr>
        <w:t>项目装置区实际建设分区情况见</w:t>
      </w:r>
      <w:r>
        <w:rPr>
          <w:rFonts w:hint="eastAsia"/>
          <w:color w:val="auto"/>
          <w:highlight w:val="none"/>
          <w:u w:val="none"/>
          <w:lang w:val="en-US"/>
        </w:rPr>
        <w:fldChar w:fldCharType="begin"/>
      </w:r>
      <w:r>
        <w:rPr>
          <w:rFonts w:hint="eastAsia"/>
          <w:color w:val="auto"/>
          <w:highlight w:val="none"/>
          <w:u w:val="none"/>
          <w:lang w:val="en-US"/>
        </w:rPr>
        <w:instrText xml:space="preserve"> REF _Ref193030445 \h  \* MERGEFORMAT </w:instrText>
      </w:r>
      <w:r>
        <w:rPr>
          <w:rFonts w:hint="eastAsia"/>
          <w:color w:val="auto"/>
          <w:highlight w:val="none"/>
          <w:u w:val="none"/>
          <w:lang w:val="en-US"/>
        </w:rPr>
        <w:fldChar w:fldCharType="separate"/>
      </w:r>
      <w:r>
        <w:rPr>
          <w:rFonts w:hAnsi="Times New Roman"/>
          <w:color w:val="auto"/>
          <w:highlight w:val="none"/>
          <w:u w:val="none"/>
        </w:rPr>
        <w:t>表3.3</w:t>
      </w:r>
      <w:r>
        <w:rPr>
          <w:rFonts w:hAnsi="Times New Roman"/>
          <w:color w:val="auto"/>
          <w:highlight w:val="none"/>
          <w:u w:val="none"/>
        </w:rPr>
        <w:noBreakHyphen/>
      </w:r>
      <w:r>
        <w:rPr>
          <w:rFonts w:hAnsi="Times New Roman"/>
          <w:color w:val="auto"/>
          <w:highlight w:val="none"/>
          <w:u w:val="none"/>
        </w:rPr>
        <w:t>5</w:t>
      </w:r>
      <w:r>
        <w:rPr>
          <w:rFonts w:hint="eastAsia"/>
          <w:color w:val="auto"/>
          <w:highlight w:val="none"/>
          <w:u w:val="none"/>
          <w:lang w:val="en-US"/>
        </w:rPr>
        <w:fldChar w:fldCharType="end"/>
      </w:r>
      <w:r>
        <w:rPr>
          <w:rFonts w:hint="eastAsia"/>
          <w:color w:val="auto"/>
          <w:highlight w:val="none"/>
          <w:u w:val="none"/>
          <w:lang w:val="en-US"/>
        </w:rPr>
        <w:t>。其地下水污染防渗措施基本符合分区防渗要求，满足《石油化工工程防渗技术规范》（GBT50934-2013）中相关防渗要求。装置区内已按环评要求设置3个地下水监测井（上游1个，下游2个）并进行跟踪监测。</w:t>
      </w:r>
    </w:p>
    <w:p w14:paraId="7E888AED">
      <w:pPr>
        <w:pStyle w:val="6"/>
        <w:spacing w:before="120" w:after="120"/>
        <w:rPr>
          <w:color w:val="auto"/>
          <w:highlight w:val="none"/>
          <w:u w:val="none"/>
          <w:lang w:val="en-US"/>
        </w:rPr>
      </w:pPr>
      <w:bookmarkStart w:id="154" w:name="_Toc148374454"/>
      <w:bookmarkStart w:id="155" w:name="_Toc148374896"/>
      <w:r>
        <w:rPr>
          <w:color w:val="auto"/>
          <w:highlight w:val="none"/>
          <w:u w:val="none"/>
          <w:lang w:val="en-US"/>
        </w:rPr>
        <w:t xml:space="preserve"> </w:t>
      </w:r>
      <w:r>
        <w:rPr>
          <w:rFonts w:hint="eastAsia"/>
          <w:color w:val="auto"/>
          <w:highlight w:val="none"/>
          <w:u w:val="none"/>
          <w:lang w:val="en-US"/>
        </w:rPr>
        <w:t>污染物达标情况分析</w:t>
      </w:r>
      <w:bookmarkEnd w:id="154"/>
      <w:bookmarkEnd w:id="155"/>
    </w:p>
    <w:p w14:paraId="5746A852">
      <w:pPr>
        <w:pStyle w:val="7"/>
        <w:spacing w:before="120"/>
        <w:rPr>
          <w:color w:val="auto"/>
          <w:highlight w:val="none"/>
          <w:u w:val="none"/>
          <w:lang w:val="en-US"/>
        </w:rPr>
      </w:pPr>
      <w:r>
        <w:rPr>
          <w:rFonts w:hint="eastAsia"/>
          <w:color w:val="auto"/>
          <w:highlight w:val="none"/>
          <w:u w:val="none"/>
          <w:lang w:val="en-US"/>
        </w:rPr>
        <w:t>废气</w:t>
      </w:r>
    </w:p>
    <w:p w14:paraId="06AF7493">
      <w:pPr>
        <w:ind w:firstLine="482"/>
        <w:rPr>
          <w:rStyle w:val="982"/>
          <w:rFonts w:hint="eastAsia"/>
          <w:color w:val="auto"/>
          <w:highlight w:val="none"/>
          <w:u w:val="none"/>
        </w:rPr>
      </w:pPr>
      <w:r>
        <w:rPr>
          <w:rFonts w:hint="eastAsia"/>
          <w:color w:val="auto"/>
          <w:highlight w:val="none"/>
          <w:u w:val="none"/>
          <w:lang w:val="en-US"/>
        </w:rPr>
        <w:t>根据2023年12月9日~2023年12月10日竣工环保验收监测报告，TDI一期工程TDA精制尾气（含粗TDA中间储罐和OTDA储罐呯吸气）经“冷凝+水洗涤+活性炭吸附”处理后通过1根34m的排气简排放（DA010）</w:t>
      </w:r>
      <w:r>
        <w:rPr>
          <w:rStyle w:val="982"/>
          <w:color w:val="auto"/>
          <w:highlight w:val="none"/>
          <w:u w:val="none"/>
        </w:rPr>
        <w:t>。</w:t>
      </w:r>
    </w:p>
    <w:p w14:paraId="36A1A73A">
      <w:pPr>
        <w:rPr>
          <w:rFonts w:hint="eastAsia"/>
          <w:color w:val="auto"/>
          <w:highlight w:val="none"/>
          <w:u w:val="none"/>
          <w:lang w:val="en-US"/>
        </w:rPr>
      </w:pPr>
      <w:r>
        <w:rPr>
          <w:rFonts w:hint="eastAsia"/>
          <w:lang w:val="en-US"/>
        </w:rPr>
        <w:t>根据2023年12月9日~10日监测结果表明，TDA精制尾气（含粗IDA中间储罐和OTDA储罐呼吸气）苯胺类能够符合</w:t>
      </w:r>
      <w:r>
        <w:t>《石油化学工业污染物排放标准》</w:t>
      </w:r>
      <w:r>
        <w:rPr>
          <w:rFonts w:hint="eastAsia"/>
        </w:rPr>
        <w:t>（</w:t>
      </w:r>
      <w:r>
        <w:t>GB31571-2015</w:t>
      </w:r>
      <w:r>
        <w:rPr>
          <w:rFonts w:hint="eastAsia"/>
        </w:rPr>
        <w:t>）</w:t>
      </w:r>
      <w:r>
        <w:rPr>
          <w:rFonts w:hint="eastAsia"/>
          <w:lang w:val="en-US"/>
        </w:rPr>
        <w:t>及其修改单表6废气中有机特征污染物排放限值要求，非甲烷总烃去除率符合GB31571-2015及其修改单表6要求，非甲烷总烃排放浓度符合《工业企业挥发性有机物排放标准》（DB3571782-2018）表1其他行业允许排放浓度限值要求</w:t>
      </w:r>
      <w:r>
        <w:rPr>
          <w:rFonts w:hint="eastAsia"/>
          <w:color w:val="auto"/>
          <w:highlight w:val="none"/>
          <w:u w:val="none"/>
          <w:lang w:val="en-US"/>
        </w:rPr>
        <w:t>。</w:t>
      </w:r>
    </w:p>
    <w:p w14:paraId="7E5E323E">
      <w:pPr>
        <w:rPr>
          <w:rFonts w:hint="eastAsia"/>
          <w:color w:val="auto"/>
          <w:highlight w:val="none"/>
          <w:u w:val="none"/>
          <w:lang w:val="en-US"/>
        </w:rPr>
      </w:pPr>
      <w:r>
        <w:rPr>
          <w:rFonts w:hint="eastAsia"/>
          <w:color w:val="auto"/>
          <w:highlight w:val="none"/>
          <w:u w:val="none"/>
          <w:lang w:val="en-US"/>
        </w:rPr>
        <w:t>ODCB储罐废气经“两级活性炭吸附”处理后通过1根15m的排气筒排放（DA017）；焦油颗粒</w:t>
      </w:r>
      <w:r>
        <w:rPr>
          <w:rFonts w:hint="eastAsia"/>
          <w:color w:val="auto"/>
          <w:highlight w:val="none"/>
          <w:u w:val="none"/>
          <w:lang w:val="en-US" w:eastAsia="zh-CN"/>
        </w:rPr>
        <w:t>装车站</w:t>
      </w:r>
      <w:r>
        <w:rPr>
          <w:rFonts w:hint="eastAsia"/>
          <w:color w:val="auto"/>
          <w:highlight w:val="none"/>
          <w:u w:val="none"/>
          <w:lang w:val="en-US"/>
        </w:rPr>
        <w:t>废气通过二级除尘处理后，由一根23m高排气筒排放。</w:t>
      </w:r>
    </w:p>
    <w:p w14:paraId="1D9832AE">
      <w:pPr>
        <w:rPr>
          <w:rFonts w:hint="eastAsia"/>
          <w:color w:val="auto"/>
          <w:highlight w:val="none"/>
          <w:u w:val="none"/>
          <w:lang w:val="en-US"/>
        </w:rPr>
      </w:pPr>
      <w:r>
        <w:rPr>
          <w:rFonts w:hint="eastAsia"/>
          <w:color w:val="auto"/>
          <w:highlight w:val="none"/>
          <w:u w:val="none"/>
          <w:lang w:val="en-US"/>
        </w:rPr>
        <w:t>2024年12月24日~2024年12月25日</w:t>
      </w:r>
      <w:r>
        <w:rPr>
          <w:rFonts w:hint="eastAsia"/>
          <w:color w:val="auto"/>
          <w:highlight w:val="none"/>
          <w:u w:val="none"/>
          <w:lang w:val="en-US" w:eastAsia="zh-CN"/>
        </w:rPr>
        <w:t>建设单位委托</w:t>
      </w:r>
      <w:r>
        <w:rPr>
          <w:rFonts w:hint="eastAsia"/>
          <w:color w:val="auto"/>
          <w:highlight w:val="none"/>
          <w:u w:val="none"/>
          <w:lang w:val="en-US"/>
        </w:rPr>
        <w:t>对焦油颗粒中转仓废气和ODCB储罐废气进行监测，根据自行监测结果，ODCB储罐废气氯苯类排放浓度为未检出，能够符合GB31571-2015及其修改单表6废气中有机特征污染物排放限值要求，非甲烷总烃符合DB35/1782-2018表1其他行业允许排放浓度限值</w:t>
      </w:r>
      <w:r>
        <w:rPr>
          <w:rFonts w:hint="eastAsia"/>
          <w:color w:val="auto"/>
          <w:highlight w:val="none"/>
          <w:u w:val="none"/>
          <w:lang w:val="en-US" w:eastAsia="zh-CN"/>
        </w:rPr>
        <w:t>和最高允许排放速率</w:t>
      </w:r>
      <w:r>
        <w:rPr>
          <w:rFonts w:hint="eastAsia"/>
          <w:color w:val="auto"/>
          <w:highlight w:val="none"/>
          <w:u w:val="none"/>
          <w:lang w:val="en-US"/>
        </w:rPr>
        <w:t>要求。焦油颗粒中转仓废气中非甲烷总烃符合DB35/1782-2018表1其他行业允许排放浓度限值</w:t>
      </w:r>
      <w:r>
        <w:rPr>
          <w:rFonts w:hint="eastAsia"/>
          <w:color w:val="auto"/>
          <w:highlight w:val="none"/>
          <w:u w:val="none"/>
          <w:lang w:val="en-US" w:eastAsia="zh-CN"/>
        </w:rPr>
        <w:t>和最高允许排放速率</w:t>
      </w:r>
      <w:r>
        <w:rPr>
          <w:rFonts w:hint="eastAsia"/>
          <w:color w:val="auto"/>
          <w:highlight w:val="none"/>
          <w:u w:val="none"/>
          <w:lang w:val="en-US"/>
        </w:rPr>
        <w:t>要求，颗粒物排放浓度为未检出，符合GB31571-2015及其修改单表5工艺加热炉排放要求。</w:t>
      </w:r>
    </w:p>
    <w:p w14:paraId="72DCFED8">
      <w:pPr>
        <w:pStyle w:val="981"/>
        <w:ind w:firstLine="482"/>
        <w:rPr>
          <w:rFonts w:hint="eastAsia"/>
          <w:b/>
          <w:bCs/>
          <w:color w:val="auto"/>
          <w:highlight w:val="none"/>
          <w:u w:val="none"/>
        </w:rPr>
      </w:pPr>
      <w:r>
        <w:rPr>
          <w:b/>
          <w:bCs/>
          <w:color w:val="auto"/>
          <w:highlight w:val="none"/>
          <w:u w:val="none"/>
        </w:rPr>
        <w:t>（2）无组织废气</w:t>
      </w:r>
    </w:p>
    <w:p w14:paraId="70991213">
      <w:pPr>
        <w:pStyle w:val="981"/>
        <w:rPr>
          <w:rFonts w:hAnsi="Times New Roman"/>
          <w:color w:val="auto"/>
          <w:lang w:val="en-US"/>
        </w:rPr>
      </w:pPr>
      <w:r>
        <w:rPr>
          <w:rFonts w:hAnsi="Times New Roman"/>
          <w:color w:val="auto"/>
          <w:lang w:val="en-US"/>
        </w:rPr>
        <w:t>验收期间监测结果表明：厂界无组织废气排放监控点</w:t>
      </w:r>
      <w:r>
        <w:rPr>
          <w:rFonts w:hint="eastAsia" w:hAnsi="Times New Roman"/>
          <w:color w:val="auto"/>
          <w:lang w:val="en-US"/>
        </w:rPr>
        <w:t>各污染物满足相应的标准限制。</w:t>
      </w:r>
    </w:p>
    <w:p w14:paraId="40F1853B">
      <w:pPr>
        <w:pStyle w:val="981"/>
        <w:rPr>
          <w:rFonts w:hAnsi="Times New Roman"/>
          <w:color w:val="auto"/>
          <w:highlight w:val="none"/>
          <w:u w:val="none"/>
          <w:lang w:val="en-US"/>
        </w:rPr>
      </w:pPr>
      <w:r>
        <w:rPr>
          <w:rFonts w:hAnsi="Times New Roman"/>
          <w:lang w:val="en-US"/>
        </w:rPr>
        <w:t>厂内TDI一期工程无组织排放监控点非甲烷总烃小时平均浓度符合《挥发性有机物无组织排放控制标准》（GB37822-2019）中表A1厂区内VOCs无组织排放限值要求</w:t>
      </w:r>
      <w:r>
        <w:rPr>
          <w:rFonts w:hAnsi="Times New Roman"/>
          <w:color w:val="auto"/>
          <w:highlight w:val="none"/>
          <w:u w:val="none"/>
          <w:lang w:val="en-US"/>
        </w:rPr>
        <w:t>。</w:t>
      </w:r>
    </w:p>
    <w:p w14:paraId="3C2A0084">
      <w:pPr>
        <w:pStyle w:val="7"/>
        <w:spacing w:before="120"/>
        <w:rPr>
          <w:color w:val="auto"/>
          <w:highlight w:val="none"/>
          <w:u w:val="none"/>
          <w:lang w:val="en-US"/>
        </w:rPr>
      </w:pPr>
      <w:r>
        <w:rPr>
          <w:rFonts w:hint="eastAsia"/>
          <w:color w:val="auto"/>
          <w:highlight w:val="none"/>
          <w:u w:val="none"/>
          <w:lang w:val="en-US"/>
        </w:rPr>
        <w:t>废水</w:t>
      </w:r>
    </w:p>
    <w:p w14:paraId="32628C37">
      <w:pPr>
        <w:rPr>
          <w:rFonts w:hint="eastAsia"/>
          <w:color w:val="auto"/>
          <w:highlight w:val="none"/>
          <w:u w:val="none"/>
        </w:rPr>
      </w:pPr>
      <w:r>
        <w:rPr>
          <w:rFonts w:hint="eastAsia"/>
          <w:color w:val="auto"/>
          <w:highlight w:val="none"/>
          <w:u w:val="none"/>
          <w:lang w:val="en-US"/>
        </w:rPr>
        <w:t>TDI一期工程地面冲洗水、设备清洗水、办公及生活污水和初期雨水依托</w:t>
      </w:r>
      <w:r>
        <w:rPr>
          <w:rFonts w:hint="eastAsia"/>
          <w:color w:val="auto"/>
          <w:highlight w:val="none"/>
          <w:u w:val="none"/>
        </w:rPr>
        <w:t>万华环保科技公司</w:t>
      </w:r>
      <w:r>
        <w:rPr>
          <w:rFonts w:hint="eastAsia"/>
          <w:color w:val="auto"/>
          <w:highlight w:val="none"/>
          <w:u w:val="none"/>
          <w:lang w:val="en-US"/>
        </w:rPr>
        <w:t>低浓度废水处理系统处理，</w:t>
      </w:r>
      <w:r>
        <w:rPr>
          <w:color w:val="auto"/>
          <w:highlight w:val="none"/>
          <w:u w:val="none"/>
          <w:lang w:val="en-US"/>
        </w:rPr>
        <w:t>硝硫浓缩酸性废水</w:t>
      </w:r>
      <w:r>
        <w:rPr>
          <w:rFonts w:hint="eastAsia"/>
          <w:color w:val="auto"/>
          <w:highlight w:val="none"/>
          <w:u w:val="none"/>
          <w:lang w:val="en-US"/>
        </w:rPr>
        <w:t>、</w:t>
      </w:r>
      <w:r>
        <w:rPr>
          <w:color w:val="auto"/>
          <w:highlight w:val="none"/>
          <w:u w:val="none"/>
          <w:lang w:val="en-US"/>
        </w:rPr>
        <w:t>废酸浓缩酸性废水、</w:t>
      </w:r>
      <w:r>
        <w:rPr>
          <w:rFonts w:hint="eastAsia"/>
          <w:color w:val="auto"/>
          <w:highlight w:val="none"/>
          <w:u w:val="none"/>
          <w:lang w:val="en-US"/>
        </w:rPr>
        <w:t>汽提酸性废水、</w:t>
      </w:r>
      <w:r>
        <w:rPr>
          <w:color w:val="auto"/>
          <w:highlight w:val="none"/>
          <w:u w:val="none"/>
          <w:lang w:val="en-US"/>
        </w:rPr>
        <w:t>TDA废水、光化中和废水</w:t>
      </w:r>
      <w:r>
        <w:rPr>
          <w:rFonts w:hint="eastAsia"/>
          <w:color w:val="auto"/>
          <w:highlight w:val="none"/>
          <w:u w:val="none"/>
          <w:lang w:val="en-US"/>
        </w:rPr>
        <w:t>依托</w:t>
      </w:r>
      <w:r>
        <w:rPr>
          <w:rFonts w:hint="eastAsia"/>
          <w:color w:val="auto"/>
          <w:highlight w:val="none"/>
          <w:u w:val="none"/>
        </w:rPr>
        <w:t>万华环保科技公司</w:t>
      </w:r>
      <w:r>
        <w:rPr>
          <w:color w:val="auto"/>
          <w:highlight w:val="none"/>
          <w:u w:val="none"/>
          <w:lang w:val="en-US"/>
        </w:rPr>
        <w:t>综合废水处理系统处理，根据《万华化学</w:t>
      </w:r>
      <w:r>
        <w:rPr>
          <w:rFonts w:hint="eastAsia"/>
          <w:color w:val="auto"/>
          <w:highlight w:val="none"/>
          <w:u w:val="none"/>
          <w:lang w:val="en-US"/>
        </w:rPr>
        <w:t>（</w:t>
      </w:r>
      <w:r>
        <w:rPr>
          <w:color w:val="auto"/>
          <w:highlight w:val="none"/>
          <w:u w:val="none"/>
          <w:lang w:val="en-US"/>
        </w:rPr>
        <w:t>福建</w:t>
      </w:r>
      <w:r>
        <w:rPr>
          <w:rFonts w:hint="eastAsia"/>
          <w:color w:val="auto"/>
          <w:highlight w:val="none"/>
          <w:u w:val="none"/>
          <w:lang w:val="en-US"/>
        </w:rPr>
        <w:t>）</w:t>
      </w:r>
      <w:r>
        <w:rPr>
          <w:color w:val="auto"/>
          <w:highlight w:val="none"/>
          <w:u w:val="none"/>
          <w:lang w:val="en-US"/>
        </w:rPr>
        <w:t>异氰酸酯有限公司附属配套设施工程第二阶段竣工环境保护验收监测报告》监测结果</w:t>
      </w:r>
      <w:r>
        <w:rPr>
          <w:rFonts w:hint="eastAsia"/>
          <w:color w:val="auto"/>
          <w:highlight w:val="none"/>
          <w:u w:val="none"/>
          <w:lang w:val="en-US"/>
        </w:rPr>
        <w:t>，低浓度废水处理系统出水水质符合</w:t>
      </w:r>
      <w:r>
        <w:rPr>
          <w:color w:val="auto"/>
          <w:highlight w:val="none"/>
          <w:u w:val="none"/>
        </w:rPr>
        <w:t>《石油化学工业污染物排放标准》</w:t>
      </w:r>
      <w:r>
        <w:rPr>
          <w:rFonts w:hint="eastAsia"/>
          <w:color w:val="auto"/>
          <w:highlight w:val="none"/>
          <w:u w:val="none"/>
        </w:rPr>
        <w:t>（</w:t>
      </w:r>
      <w:r>
        <w:rPr>
          <w:color w:val="auto"/>
          <w:highlight w:val="none"/>
          <w:u w:val="none"/>
        </w:rPr>
        <w:t>GB31571-2015</w:t>
      </w:r>
      <w:r>
        <w:rPr>
          <w:rFonts w:hint="eastAsia"/>
          <w:color w:val="auto"/>
          <w:highlight w:val="none"/>
          <w:u w:val="none"/>
        </w:rPr>
        <w:t>）</w:t>
      </w:r>
      <w:r>
        <w:rPr>
          <w:color w:val="auto"/>
          <w:highlight w:val="none"/>
          <w:u w:val="none"/>
        </w:rPr>
        <w:t>中表1间接排放限值及表3特征污染物排放限值、江阴污水处理厂纳管标准中的最严格浓度限值</w:t>
      </w:r>
      <w:r>
        <w:rPr>
          <w:rFonts w:hint="eastAsia"/>
          <w:color w:val="auto"/>
          <w:highlight w:val="none"/>
          <w:u w:val="none"/>
        </w:rPr>
        <w:t>要求</w:t>
      </w:r>
      <w:r>
        <w:rPr>
          <w:color w:val="auto"/>
          <w:highlight w:val="none"/>
          <w:u w:val="none"/>
        </w:rPr>
        <w:t>，</w:t>
      </w:r>
      <w:r>
        <w:rPr>
          <w:color w:val="auto"/>
          <w:highlight w:val="none"/>
          <w:u w:val="none"/>
          <w:lang w:val="en-US"/>
        </w:rPr>
        <w:t>综合废水处理系统</w:t>
      </w:r>
      <w:r>
        <w:rPr>
          <w:rFonts w:hint="eastAsia"/>
          <w:color w:val="auto"/>
          <w:highlight w:val="none"/>
          <w:u w:val="none"/>
          <w:lang w:val="en-US"/>
        </w:rPr>
        <w:t>水质符合</w:t>
      </w:r>
      <w:r>
        <w:rPr>
          <w:color w:val="auto"/>
          <w:highlight w:val="none"/>
          <w:u w:val="none"/>
        </w:rPr>
        <w:t>《烧碱、聚氯乙烯工业污染物排放标准》</w:t>
      </w:r>
      <w:r>
        <w:rPr>
          <w:rFonts w:hint="eastAsia"/>
          <w:color w:val="auto"/>
          <w:highlight w:val="none"/>
          <w:u w:val="none"/>
        </w:rPr>
        <w:t>（</w:t>
      </w:r>
      <w:r>
        <w:rPr>
          <w:color w:val="auto"/>
          <w:highlight w:val="none"/>
          <w:u w:val="none"/>
        </w:rPr>
        <w:t>GB15581-2016</w:t>
      </w:r>
      <w:r>
        <w:rPr>
          <w:rFonts w:hint="eastAsia"/>
          <w:color w:val="auto"/>
          <w:highlight w:val="none"/>
          <w:u w:val="none"/>
        </w:rPr>
        <w:t>）</w:t>
      </w:r>
      <w:r>
        <w:rPr>
          <w:color w:val="auto"/>
          <w:highlight w:val="none"/>
          <w:u w:val="none"/>
        </w:rPr>
        <w:t>表1直接排放限值、《石油化学工业污染物排放标准》</w:t>
      </w:r>
      <w:r>
        <w:rPr>
          <w:rFonts w:hint="eastAsia"/>
          <w:color w:val="auto"/>
          <w:highlight w:val="none"/>
          <w:u w:val="none"/>
        </w:rPr>
        <w:t>（</w:t>
      </w:r>
      <w:r>
        <w:rPr>
          <w:color w:val="auto"/>
          <w:highlight w:val="none"/>
          <w:u w:val="none"/>
        </w:rPr>
        <w:t>GB 31571-2015</w:t>
      </w:r>
      <w:r>
        <w:rPr>
          <w:rFonts w:hint="eastAsia"/>
          <w:color w:val="auto"/>
          <w:highlight w:val="none"/>
          <w:u w:val="none"/>
        </w:rPr>
        <w:t>）</w:t>
      </w:r>
      <w:r>
        <w:rPr>
          <w:color w:val="auto"/>
          <w:highlight w:val="none"/>
          <w:u w:val="none"/>
        </w:rPr>
        <w:t>表1直接排放限值和表3有机特征污染物排放限值、《城镇污水处理厂污染物排放标准》</w:t>
      </w:r>
      <w:r>
        <w:rPr>
          <w:rFonts w:hint="eastAsia"/>
          <w:color w:val="auto"/>
          <w:highlight w:val="none"/>
          <w:u w:val="none"/>
        </w:rPr>
        <w:t>（</w:t>
      </w:r>
      <w:r>
        <w:rPr>
          <w:color w:val="auto"/>
          <w:highlight w:val="none"/>
          <w:u w:val="none"/>
        </w:rPr>
        <w:t>GB18918-2002</w:t>
      </w:r>
      <w:r>
        <w:rPr>
          <w:rFonts w:hint="eastAsia"/>
          <w:color w:val="auto"/>
          <w:highlight w:val="none"/>
          <w:u w:val="none"/>
        </w:rPr>
        <w:t>）</w:t>
      </w:r>
      <w:r>
        <w:rPr>
          <w:color w:val="auto"/>
          <w:highlight w:val="none"/>
          <w:u w:val="none"/>
        </w:rPr>
        <w:t>表1一级A标准中的最严格浓度限值</w:t>
      </w:r>
      <w:r>
        <w:rPr>
          <w:rFonts w:hint="eastAsia"/>
          <w:color w:val="auto"/>
          <w:highlight w:val="none"/>
          <w:u w:val="none"/>
        </w:rPr>
        <w:t>要求。</w:t>
      </w:r>
    </w:p>
    <w:p w14:paraId="09A9DFAB">
      <w:pPr>
        <w:pStyle w:val="7"/>
        <w:spacing w:before="120"/>
        <w:rPr>
          <w:color w:val="auto"/>
          <w:highlight w:val="none"/>
          <w:u w:val="none"/>
        </w:rPr>
      </w:pPr>
      <w:r>
        <w:rPr>
          <w:rFonts w:hint="eastAsia"/>
          <w:color w:val="auto"/>
          <w:highlight w:val="none"/>
          <w:u w:val="none"/>
        </w:rPr>
        <w:t>固废</w:t>
      </w:r>
    </w:p>
    <w:p w14:paraId="08F7C22C">
      <w:pPr>
        <w:rPr>
          <w:rFonts w:hint="eastAsia"/>
          <w:color w:val="auto"/>
          <w:highlight w:val="none"/>
          <w:u w:val="none"/>
        </w:rPr>
      </w:pPr>
      <w:r>
        <w:rPr>
          <w:rFonts w:hint="eastAsia"/>
          <w:color w:val="auto"/>
          <w:highlight w:val="none"/>
          <w:u w:val="none"/>
        </w:rPr>
        <w:t>根据</w:t>
      </w:r>
      <w:r>
        <w:rPr>
          <w:rFonts w:hint="eastAsia"/>
          <w:color w:val="auto"/>
          <w:highlight w:val="none"/>
          <w:u w:val="none"/>
          <w:lang w:val="en-US"/>
        </w:rPr>
        <w:t>TDI一期工程竣工环保验收监测报告，其固体废物产生与处置结果情况见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_Ref168680169 \h</w:instrText>
      </w:r>
      <w:r>
        <w:rPr>
          <w:color w:val="auto"/>
          <w:highlight w:val="none"/>
          <w:u w:val="none"/>
          <w:lang w:val="en-US"/>
        </w:rPr>
        <w:instrText xml:space="preserve"> </w:instrText>
      </w:r>
      <w:r>
        <w:rPr>
          <w:color w:val="auto"/>
          <w:highlight w:val="none"/>
          <w:u w:val="none"/>
          <w:lang w:val="en-US"/>
        </w:rPr>
        <w:fldChar w:fldCharType="separate"/>
      </w:r>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3.3</w:t>
      </w:r>
      <w:r>
        <w:rPr>
          <w:b/>
          <w:bCs/>
          <w:color w:val="auto"/>
          <w:highlight w:val="none"/>
          <w:u w:val="none"/>
        </w:rPr>
        <w:fldChar w:fldCharType="end"/>
      </w:r>
      <w:r>
        <w:rPr>
          <w:b/>
          <w:bCs/>
          <w:color w:val="auto"/>
          <w:highlight w:val="none"/>
          <w:u w:val="none"/>
        </w:rPr>
        <w:noBreakHyphen/>
      </w:r>
      <w:r>
        <w:rPr>
          <w:b/>
          <w:bCs/>
          <w:color w:val="auto"/>
          <w:highlight w:val="none"/>
          <w:u w:val="none"/>
        </w:rPr>
        <w:t>13</w:t>
      </w:r>
      <w:r>
        <w:rPr>
          <w:color w:val="auto"/>
          <w:highlight w:val="none"/>
          <w:u w:val="none"/>
          <w:lang w:val="en-US"/>
        </w:rPr>
        <w:fldChar w:fldCharType="end"/>
      </w:r>
      <w:r>
        <w:rPr>
          <w:rFonts w:hint="eastAsia"/>
          <w:color w:val="auto"/>
          <w:highlight w:val="none"/>
          <w:u w:val="none"/>
          <w:lang w:val="en-US"/>
        </w:rPr>
        <w:t>。</w:t>
      </w:r>
    </w:p>
    <w:p w14:paraId="00DA9FAB">
      <w:pPr>
        <w:rPr>
          <w:rFonts w:hint="eastAsia"/>
          <w:color w:val="auto"/>
          <w:highlight w:val="none"/>
          <w:u w:val="none"/>
        </w:rPr>
      </w:pPr>
      <w:r>
        <w:rPr>
          <w:rFonts w:hint="eastAsia"/>
          <w:color w:val="auto"/>
          <w:highlight w:val="none"/>
          <w:u w:val="none"/>
        </w:rPr>
        <w:t>根据《万华化学（福建）有限公司扩建25万吨TDI项目竣工环保验收监测报告》，焦油颗粒的排放去向发生调整，从原环评要求的依托</w:t>
      </w:r>
      <w:r>
        <w:rPr>
          <w:rFonts w:hint="eastAsia"/>
          <w:color w:val="auto"/>
          <w:highlight w:val="none"/>
          <w:u w:val="none"/>
          <w:lang w:val="en-US"/>
        </w:rPr>
        <w:t>万华环保科技公司能量回收装置进行焚烧处理</w:t>
      </w:r>
      <w:r>
        <w:rPr>
          <w:rFonts w:hint="eastAsia"/>
          <w:color w:val="auto"/>
          <w:highlight w:val="none"/>
          <w:u w:val="none"/>
        </w:rPr>
        <w:t>，调整为送往万华福建公司大型煤气化项目作为水煤浆气化原料，针对TDI焦油颗粒的利用，建设单位进行了《万华化学（福建）有限公司TDI焦油颗粒“点对点”定向利用技术论证报告》且已通过评审，本评价引用其论证结论来说明焦油颗粒排放去向的可行性。</w:t>
      </w:r>
    </w:p>
    <w:p w14:paraId="5E2C1D30">
      <w:pPr>
        <w:rPr>
          <w:rFonts w:hint="eastAsia"/>
          <w:color w:val="auto"/>
          <w:highlight w:val="none"/>
          <w:u w:val="none"/>
        </w:rPr>
      </w:pPr>
      <w:r>
        <w:rPr>
          <w:rFonts w:hint="eastAsia"/>
          <w:color w:val="auto"/>
          <w:highlight w:val="none"/>
          <w:u w:val="none"/>
        </w:rPr>
        <w:t>根据“点对点”利用论证报告，焦油颗粒替代原料煤项目综合利用TDI焦油颗粒，来源稳定可靠，可减少部分原煤的使用，利用后大型煤气化项目产品及产量均没有发生变化。TDI焦油颗粒主要成分明确，物料进气化炉后不会生成其他额外物质，不会对工艺气、废水、固废产生影响，煤制气所产生的煤渣为一般固废。利用焦油颗粒后大型煤气化项目污染防治措施可行，环境风险可防可控。焦油颗粒利用有较好的经济效益，同时也降低了危险废物委外处置量，减轻了环境风险，从环境保护角度分析，大型煤气化项目利用焦油颗粒是可行的。</w:t>
      </w:r>
    </w:p>
    <w:p w14:paraId="13D66DE7">
      <w:pPr>
        <w:rPr>
          <w:rFonts w:hint="eastAsia"/>
          <w:color w:val="auto"/>
          <w:highlight w:val="none"/>
          <w:u w:val="none"/>
        </w:rPr>
        <w:sectPr>
          <w:footerReference r:id="rId15" w:type="default"/>
          <w:headerReference r:id="rId14" w:type="even"/>
          <w:footerReference r:id="rId16" w:type="even"/>
          <w:pgSz w:w="11907" w:h="16839"/>
          <w:pgMar w:top="1361" w:right="1361" w:bottom="1361" w:left="1361" w:header="851" w:footer="992" w:gutter="0"/>
          <w:paperSrc w:first="15" w:other="15"/>
          <w:cols w:space="720" w:num="1"/>
          <w:docGrid w:linePitch="381" w:charSpace="0"/>
        </w:sectPr>
      </w:pPr>
      <w:r>
        <w:rPr>
          <w:rFonts w:hint="eastAsia"/>
          <w:color w:val="auto"/>
          <w:highlight w:val="none"/>
          <w:u w:val="none"/>
        </w:rPr>
        <w:t>“点对点”利用论证报告对焦油颗粒申请定向利用规模为1.5万吨/年，现有工程焦油颗粒未超过利用量，满足要求。</w:t>
      </w:r>
    </w:p>
    <w:p w14:paraId="016B8CE3">
      <w:pPr>
        <w:widowControl/>
        <w:ind w:firstLine="0" w:firstLineChars="0"/>
        <w:jc w:val="center"/>
        <w:rPr>
          <w:rFonts w:hAnsi="Times New Roman"/>
          <w:b/>
          <w:bCs/>
          <w:color w:val="auto"/>
          <w:highlight w:val="none"/>
          <w:u w:val="none"/>
          <w:lang w:val="en-US"/>
        </w:rPr>
      </w:pPr>
      <w:bookmarkStart w:id="156" w:name="_Ref168680169"/>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3.3</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13</w:t>
      </w:r>
      <w:r>
        <w:rPr>
          <w:b/>
          <w:bCs/>
          <w:color w:val="auto"/>
          <w:highlight w:val="none"/>
          <w:u w:val="none"/>
        </w:rPr>
        <w:fldChar w:fldCharType="end"/>
      </w:r>
      <w:bookmarkEnd w:id="156"/>
      <w:r>
        <w:rPr>
          <w:rFonts w:hAnsi="Times New Roman"/>
          <w:b/>
          <w:bCs/>
          <w:color w:val="auto"/>
          <w:highlight w:val="none"/>
          <w:u w:val="none"/>
        </w:rPr>
        <w:t xml:space="preserve">  </w:t>
      </w:r>
      <w:r>
        <w:rPr>
          <w:rFonts w:hint="eastAsia" w:hAnsi="Times New Roman"/>
          <w:b/>
          <w:bCs/>
          <w:color w:val="auto"/>
          <w:highlight w:val="none"/>
          <w:u w:val="none"/>
        </w:rPr>
        <w:t>TDI一期工程</w:t>
      </w:r>
      <w:r>
        <w:rPr>
          <w:rFonts w:hint="eastAsia" w:hAnsi="Times New Roman"/>
          <w:b/>
          <w:bCs/>
          <w:color w:val="auto"/>
          <w:highlight w:val="none"/>
          <w:u w:val="none"/>
          <w:lang w:val="en-US"/>
        </w:rPr>
        <w:t>固体废物产生与处置情况一览表</w:t>
      </w:r>
    </w:p>
    <w:tbl>
      <w:tblPr>
        <w:tblStyle w:val="5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957"/>
        <w:gridCol w:w="1095"/>
        <w:gridCol w:w="2227"/>
        <w:gridCol w:w="1995"/>
        <w:gridCol w:w="1992"/>
        <w:gridCol w:w="992"/>
        <w:gridCol w:w="4400"/>
      </w:tblGrid>
      <w:tr w14:paraId="3A212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2" w:type="pct"/>
            <w:tcBorders>
              <w:tl2br w:val="nil"/>
              <w:tr2bl w:val="nil"/>
            </w:tcBorders>
            <w:vAlign w:val="center"/>
          </w:tcPr>
          <w:p w14:paraId="16089897">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序号</w:t>
            </w:r>
          </w:p>
        </w:tc>
        <w:tc>
          <w:tcPr>
            <w:tcW w:w="334" w:type="pct"/>
            <w:tcBorders>
              <w:tl2br w:val="nil"/>
              <w:tr2bl w:val="nil"/>
            </w:tcBorders>
            <w:vAlign w:val="center"/>
          </w:tcPr>
          <w:p w14:paraId="62D28E3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装置名称</w:t>
            </w:r>
          </w:p>
        </w:tc>
        <w:tc>
          <w:tcPr>
            <w:tcW w:w="382" w:type="pct"/>
            <w:tcBorders>
              <w:tl2br w:val="nil"/>
              <w:tr2bl w:val="nil"/>
            </w:tcBorders>
            <w:vAlign w:val="center"/>
          </w:tcPr>
          <w:p w14:paraId="42A652D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固废名称</w:t>
            </w:r>
          </w:p>
        </w:tc>
        <w:tc>
          <w:tcPr>
            <w:tcW w:w="777" w:type="pct"/>
            <w:tcBorders>
              <w:tl2br w:val="nil"/>
              <w:tr2bl w:val="nil"/>
            </w:tcBorders>
            <w:vAlign w:val="center"/>
          </w:tcPr>
          <w:p w14:paraId="01C4101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主要成分</w:t>
            </w:r>
          </w:p>
        </w:tc>
        <w:tc>
          <w:tcPr>
            <w:tcW w:w="696" w:type="pct"/>
            <w:tcBorders>
              <w:tl2br w:val="nil"/>
              <w:tr2bl w:val="nil"/>
            </w:tcBorders>
            <w:vAlign w:val="center"/>
          </w:tcPr>
          <w:p w14:paraId="59A9247B">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产生量（t/a）</w:t>
            </w:r>
          </w:p>
        </w:tc>
        <w:tc>
          <w:tcPr>
            <w:tcW w:w="695" w:type="pct"/>
            <w:tcBorders>
              <w:tl2br w:val="nil"/>
              <w:tr2bl w:val="nil"/>
            </w:tcBorders>
            <w:vAlign w:val="center"/>
          </w:tcPr>
          <w:p w14:paraId="48E9676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固废类别与代码</w:t>
            </w:r>
          </w:p>
        </w:tc>
        <w:tc>
          <w:tcPr>
            <w:tcW w:w="346" w:type="pct"/>
            <w:tcBorders>
              <w:tl2br w:val="nil"/>
              <w:tr2bl w:val="nil"/>
            </w:tcBorders>
            <w:vAlign w:val="center"/>
          </w:tcPr>
          <w:p w14:paraId="3D30369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排放规律</w:t>
            </w:r>
          </w:p>
        </w:tc>
        <w:tc>
          <w:tcPr>
            <w:tcW w:w="1535" w:type="pct"/>
            <w:tcBorders>
              <w:tl2br w:val="nil"/>
              <w:tr2bl w:val="nil"/>
            </w:tcBorders>
            <w:vAlign w:val="center"/>
          </w:tcPr>
          <w:p w14:paraId="7DAB928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处置方法</w:t>
            </w:r>
          </w:p>
        </w:tc>
      </w:tr>
      <w:tr w14:paraId="19907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2470ECD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w:t>
            </w:r>
          </w:p>
        </w:tc>
        <w:tc>
          <w:tcPr>
            <w:tcW w:w="334" w:type="pct"/>
            <w:tcBorders>
              <w:tl2br w:val="nil"/>
              <w:tr2bl w:val="nil"/>
            </w:tcBorders>
            <w:vAlign w:val="center"/>
          </w:tcPr>
          <w:p w14:paraId="1B3B30C7">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硝化单元</w:t>
            </w:r>
          </w:p>
        </w:tc>
        <w:tc>
          <w:tcPr>
            <w:tcW w:w="382" w:type="pct"/>
            <w:tcBorders>
              <w:tl2br w:val="nil"/>
              <w:tr2bl w:val="nil"/>
            </w:tcBorders>
            <w:vAlign w:val="center"/>
          </w:tcPr>
          <w:p w14:paraId="48CB040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废DNT</w:t>
            </w:r>
          </w:p>
        </w:tc>
        <w:tc>
          <w:tcPr>
            <w:tcW w:w="777" w:type="pct"/>
            <w:tcBorders>
              <w:tl2br w:val="nil"/>
              <w:tr2bl w:val="nil"/>
            </w:tcBorders>
            <w:vAlign w:val="center"/>
          </w:tcPr>
          <w:p w14:paraId="2F657FAB">
            <w:pPr>
              <w:spacing w:line="240" w:lineRule="auto"/>
              <w:ind w:firstLine="0" w:firstLineChars="0"/>
              <w:jc w:val="center"/>
              <w:rPr>
                <w:rFonts w:hint="eastAsia"/>
                <w:color w:val="auto"/>
                <w:sz w:val="18"/>
                <w:szCs w:val="18"/>
                <w:highlight w:val="none"/>
                <w:u w:val="none"/>
                <w:lang w:val="en-US"/>
              </w:rPr>
            </w:pPr>
            <w:r>
              <w:rPr>
                <w:color w:val="auto"/>
                <w:sz w:val="18"/>
                <w:szCs w:val="18"/>
                <w:highlight w:val="none"/>
                <w:u w:val="none"/>
              </w:rPr>
              <w:t>DNT、酸盐</w:t>
            </w:r>
          </w:p>
        </w:tc>
        <w:tc>
          <w:tcPr>
            <w:tcW w:w="696" w:type="pct"/>
            <w:tcBorders>
              <w:tl2br w:val="nil"/>
              <w:tr2bl w:val="nil"/>
            </w:tcBorders>
            <w:vAlign w:val="center"/>
          </w:tcPr>
          <w:p w14:paraId="63DF8CC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1.17</w:t>
            </w:r>
          </w:p>
        </w:tc>
        <w:tc>
          <w:tcPr>
            <w:tcW w:w="695" w:type="pct"/>
            <w:tcBorders>
              <w:tl2br w:val="nil"/>
              <w:tr2bl w:val="nil"/>
            </w:tcBorders>
            <w:vAlign w:val="center"/>
          </w:tcPr>
          <w:p w14:paraId="122876F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HW49</w:t>
            </w:r>
          </w:p>
          <w:p w14:paraId="35690FA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900-999-49</w:t>
            </w:r>
          </w:p>
        </w:tc>
        <w:tc>
          <w:tcPr>
            <w:tcW w:w="346" w:type="pct"/>
            <w:tcBorders>
              <w:tl2br w:val="nil"/>
              <w:tr2bl w:val="nil"/>
            </w:tcBorders>
            <w:vAlign w:val="center"/>
          </w:tcPr>
          <w:p w14:paraId="1A89D09C">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3414B5D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2710F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567D1AE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w:t>
            </w:r>
          </w:p>
        </w:tc>
        <w:tc>
          <w:tcPr>
            <w:tcW w:w="334" w:type="pct"/>
            <w:vMerge w:val="restart"/>
            <w:tcBorders>
              <w:tl2br w:val="nil"/>
              <w:tr2bl w:val="nil"/>
            </w:tcBorders>
            <w:vAlign w:val="center"/>
          </w:tcPr>
          <w:p w14:paraId="187E103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氢化单元</w:t>
            </w:r>
          </w:p>
        </w:tc>
        <w:tc>
          <w:tcPr>
            <w:tcW w:w="382" w:type="pct"/>
            <w:tcBorders>
              <w:tl2br w:val="nil"/>
              <w:tr2bl w:val="nil"/>
            </w:tcBorders>
            <w:vAlign w:val="center"/>
          </w:tcPr>
          <w:p w14:paraId="374026C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轻油</w:t>
            </w:r>
          </w:p>
        </w:tc>
        <w:tc>
          <w:tcPr>
            <w:tcW w:w="777" w:type="pct"/>
            <w:tcBorders>
              <w:tl2br w:val="nil"/>
              <w:tr2bl w:val="nil"/>
            </w:tcBorders>
            <w:vAlign w:val="center"/>
          </w:tcPr>
          <w:p w14:paraId="331D821B">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焦油、甲基环己烷、甲基环己醇、TDA、含有硫酸钠盐</w:t>
            </w:r>
          </w:p>
        </w:tc>
        <w:tc>
          <w:tcPr>
            <w:tcW w:w="696" w:type="pct"/>
            <w:tcBorders>
              <w:tl2br w:val="nil"/>
              <w:tr2bl w:val="nil"/>
            </w:tcBorders>
            <w:vAlign w:val="center"/>
          </w:tcPr>
          <w:p w14:paraId="0E15146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601.5</w:t>
            </w:r>
          </w:p>
        </w:tc>
        <w:tc>
          <w:tcPr>
            <w:tcW w:w="695" w:type="pct"/>
            <w:tcBorders>
              <w:tl2br w:val="nil"/>
              <w:tr2bl w:val="nil"/>
            </w:tcBorders>
            <w:vAlign w:val="center"/>
          </w:tcPr>
          <w:p w14:paraId="59BCC86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3A5FE89C">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261-022-11</w:t>
            </w:r>
          </w:p>
        </w:tc>
        <w:tc>
          <w:tcPr>
            <w:tcW w:w="346" w:type="pct"/>
            <w:tcBorders>
              <w:tl2br w:val="nil"/>
              <w:tr2bl w:val="nil"/>
            </w:tcBorders>
            <w:vAlign w:val="center"/>
          </w:tcPr>
          <w:p w14:paraId="0C6B8B6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14D0BDE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送能量回收装置焚烧</w:t>
            </w:r>
          </w:p>
        </w:tc>
      </w:tr>
      <w:tr w14:paraId="499BB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50AF684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3</w:t>
            </w:r>
          </w:p>
        </w:tc>
        <w:tc>
          <w:tcPr>
            <w:tcW w:w="334" w:type="pct"/>
            <w:vMerge w:val="continue"/>
            <w:tcBorders>
              <w:tl2br w:val="nil"/>
              <w:tr2bl w:val="nil"/>
            </w:tcBorders>
            <w:vAlign w:val="center"/>
          </w:tcPr>
          <w:p w14:paraId="7440AD8E">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704F162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废催化剂</w:t>
            </w:r>
          </w:p>
        </w:tc>
        <w:tc>
          <w:tcPr>
            <w:tcW w:w="777" w:type="pct"/>
            <w:tcBorders>
              <w:tl2br w:val="nil"/>
              <w:tr2bl w:val="nil"/>
            </w:tcBorders>
            <w:vAlign w:val="center"/>
          </w:tcPr>
          <w:p w14:paraId="2511897F">
            <w:pPr>
              <w:spacing w:line="240" w:lineRule="auto"/>
              <w:ind w:firstLine="0" w:firstLineChars="0"/>
              <w:jc w:val="center"/>
              <w:rPr>
                <w:rFonts w:hint="eastAsia"/>
                <w:color w:val="auto"/>
                <w:sz w:val="18"/>
                <w:szCs w:val="18"/>
                <w:highlight w:val="none"/>
                <w:u w:val="none"/>
                <w:lang w:val="en-US"/>
              </w:rPr>
            </w:pPr>
            <w:r>
              <w:rPr>
                <w:snapToGrid w:val="0"/>
                <w:color w:val="auto"/>
                <w:sz w:val="18"/>
                <w:szCs w:val="18"/>
                <w:highlight w:val="none"/>
                <w:u w:val="none"/>
              </w:rPr>
              <w:t>废催化剂</w:t>
            </w:r>
          </w:p>
        </w:tc>
        <w:tc>
          <w:tcPr>
            <w:tcW w:w="696" w:type="pct"/>
            <w:tcBorders>
              <w:tl2br w:val="nil"/>
              <w:tr2bl w:val="nil"/>
            </w:tcBorders>
            <w:vAlign w:val="center"/>
          </w:tcPr>
          <w:p w14:paraId="2CD490F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127.8</w:t>
            </w:r>
          </w:p>
        </w:tc>
        <w:tc>
          <w:tcPr>
            <w:tcW w:w="695" w:type="pct"/>
            <w:tcBorders>
              <w:tl2br w:val="nil"/>
              <w:tr2bl w:val="nil"/>
            </w:tcBorders>
            <w:vAlign w:val="center"/>
          </w:tcPr>
          <w:p w14:paraId="71C97C83">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rPr>
              <w:t>危险废物 HW</w:t>
            </w:r>
            <w:r>
              <w:rPr>
                <w:rFonts w:hint="eastAsia"/>
                <w:color w:val="auto"/>
                <w:sz w:val="18"/>
                <w:szCs w:val="18"/>
                <w:highlight w:val="none"/>
                <w:u w:val="none"/>
                <w:lang w:val="en-US" w:eastAsia="zh-CN"/>
              </w:rPr>
              <w:t>46</w:t>
            </w:r>
          </w:p>
          <w:p w14:paraId="59BA9D4F">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900-037</w:t>
            </w:r>
            <w:r>
              <w:rPr>
                <w:rFonts w:hint="eastAsia"/>
                <w:color w:val="auto"/>
                <w:sz w:val="18"/>
                <w:szCs w:val="18"/>
                <w:highlight w:val="none"/>
                <w:u w:val="none"/>
                <w:lang w:val="en-US"/>
              </w:rPr>
              <w:t>-</w:t>
            </w:r>
            <w:r>
              <w:rPr>
                <w:rFonts w:hint="eastAsia"/>
                <w:color w:val="auto"/>
                <w:sz w:val="18"/>
                <w:szCs w:val="18"/>
                <w:highlight w:val="none"/>
                <w:u w:val="none"/>
                <w:lang w:val="en-US" w:eastAsia="zh-CN"/>
              </w:rPr>
              <w:t>46</w:t>
            </w:r>
          </w:p>
        </w:tc>
        <w:tc>
          <w:tcPr>
            <w:tcW w:w="346" w:type="pct"/>
            <w:tcBorders>
              <w:tl2br w:val="nil"/>
              <w:tr2bl w:val="nil"/>
            </w:tcBorders>
            <w:vAlign w:val="center"/>
          </w:tcPr>
          <w:p w14:paraId="6731B2F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78AAC02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委托内蒙古熙泰再生资源处理有限责任公司处置</w:t>
            </w:r>
            <w:r>
              <w:rPr>
                <w:rFonts w:hint="eastAsia"/>
                <w:color w:val="auto"/>
                <w:sz w:val="18"/>
                <w:szCs w:val="18"/>
                <w:highlight w:val="none"/>
                <w:u w:val="none"/>
                <w:vertAlign w:val="superscript"/>
                <w:lang w:val="en-US"/>
              </w:rPr>
              <w:t>（2）</w:t>
            </w:r>
          </w:p>
        </w:tc>
      </w:tr>
      <w:tr w14:paraId="27C5F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759C198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4</w:t>
            </w:r>
          </w:p>
        </w:tc>
        <w:tc>
          <w:tcPr>
            <w:tcW w:w="334" w:type="pct"/>
            <w:vMerge w:val="continue"/>
            <w:tcBorders>
              <w:tl2br w:val="nil"/>
              <w:tr2bl w:val="nil"/>
            </w:tcBorders>
            <w:vAlign w:val="center"/>
          </w:tcPr>
          <w:p w14:paraId="008C25C4">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1B917BE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废活性炭</w:t>
            </w:r>
          </w:p>
        </w:tc>
        <w:tc>
          <w:tcPr>
            <w:tcW w:w="777" w:type="pct"/>
            <w:tcBorders>
              <w:tl2br w:val="nil"/>
              <w:tr2bl w:val="nil"/>
            </w:tcBorders>
            <w:vAlign w:val="center"/>
          </w:tcPr>
          <w:p w14:paraId="374A895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废活性炭</w:t>
            </w:r>
          </w:p>
        </w:tc>
        <w:tc>
          <w:tcPr>
            <w:tcW w:w="696" w:type="pct"/>
            <w:tcBorders>
              <w:tl2br w:val="nil"/>
              <w:tr2bl w:val="nil"/>
            </w:tcBorders>
            <w:vAlign w:val="center"/>
          </w:tcPr>
          <w:p w14:paraId="41836D5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16.8</w:t>
            </w:r>
          </w:p>
        </w:tc>
        <w:tc>
          <w:tcPr>
            <w:tcW w:w="695" w:type="pct"/>
            <w:tcBorders>
              <w:tl2br w:val="nil"/>
              <w:tr2bl w:val="nil"/>
            </w:tcBorders>
            <w:vAlign w:val="center"/>
          </w:tcPr>
          <w:p w14:paraId="6A07651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HW49</w:t>
            </w:r>
          </w:p>
          <w:p w14:paraId="38BE418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900-039-49</w:t>
            </w:r>
          </w:p>
        </w:tc>
        <w:tc>
          <w:tcPr>
            <w:tcW w:w="346" w:type="pct"/>
            <w:tcBorders>
              <w:tl2br w:val="nil"/>
              <w:tr2bl w:val="nil"/>
            </w:tcBorders>
            <w:vAlign w:val="center"/>
          </w:tcPr>
          <w:p w14:paraId="75E4C2E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64157F6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77C4A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709142E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5</w:t>
            </w:r>
          </w:p>
        </w:tc>
        <w:tc>
          <w:tcPr>
            <w:tcW w:w="334" w:type="pct"/>
            <w:vMerge w:val="continue"/>
            <w:tcBorders>
              <w:tl2br w:val="nil"/>
              <w:tr2bl w:val="nil"/>
            </w:tcBorders>
            <w:vAlign w:val="center"/>
          </w:tcPr>
          <w:p w14:paraId="0FC0D8DD">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744C3F4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TDA精馏残渣</w:t>
            </w:r>
          </w:p>
        </w:tc>
        <w:tc>
          <w:tcPr>
            <w:tcW w:w="777" w:type="pct"/>
            <w:tcBorders>
              <w:tl2br w:val="nil"/>
              <w:tr2bl w:val="nil"/>
            </w:tcBorders>
            <w:vAlign w:val="center"/>
          </w:tcPr>
          <w:p w14:paraId="2C24219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rPr>
              <w:t>TDA、焦油等</w:t>
            </w:r>
          </w:p>
        </w:tc>
        <w:tc>
          <w:tcPr>
            <w:tcW w:w="696" w:type="pct"/>
            <w:tcBorders>
              <w:tl2br w:val="nil"/>
              <w:tr2bl w:val="nil"/>
            </w:tcBorders>
            <w:vAlign w:val="center"/>
          </w:tcPr>
          <w:p w14:paraId="012A857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16.6</w:t>
            </w:r>
          </w:p>
        </w:tc>
        <w:tc>
          <w:tcPr>
            <w:tcW w:w="695" w:type="pct"/>
            <w:tcBorders>
              <w:tl2br w:val="nil"/>
              <w:tr2bl w:val="nil"/>
            </w:tcBorders>
            <w:vAlign w:val="center"/>
          </w:tcPr>
          <w:p w14:paraId="574DE7C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62C1080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261-023-11</w:t>
            </w:r>
          </w:p>
        </w:tc>
        <w:tc>
          <w:tcPr>
            <w:tcW w:w="346" w:type="pct"/>
            <w:tcBorders>
              <w:tl2br w:val="nil"/>
              <w:tr2bl w:val="nil"/>
            </w:tcBorders>
            <w:vAlign w:val="center"/>
          </w:tcPr>
          <w:p w14:paraId="225D878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7924119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6EBA4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4E0473C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6</w:t>
            </w:r>
          </w:p>
        </w:tc>
        <w:tc>
          <w:tcPr>
            <w:tcW w:w="334" w:type="pct"/>
            <w:vMerge w:val="restart"/>
            <w:tcBorders>
              <w:tl2br w:val="nil"/>
              <w:tr2bl w:val="nil"/>
            </w:tcBorders>
            <w:vAlign w:val="center"/>
          </w:tcPr>
          <w:p w14:paraId="1BDA3F9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光化单元</w:t>
            </w:r>
          </w:p>
        </w:tc>
        <w:tc>
          <w:tcPr>
            <w:tcW w:w="382" w:type="pct"/>
            <w:tcBorders>
              <w:tl2br w:val="nil"/>
              <w:tr2bl w:val="nil"/>
            </w:tcBorders>
            <w:vAlign w:val="center"/>
          </w:tcPr>
          <w:p w14:paraId="1EC60A0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焦油颗粒</w:t>
            </w:r>
          </w:p>
        </w:tc>
        <w:tc>
          <w:tcPr>
            <w:tcW w:w="777" w:type="pct"/>
            <w:tcBorders>
              <w:tl2br w:val="nil"/>
              <w:tr2bl w:val="nil"/>
            </w:tcBorders>
            <w:vAlign w:val="center"/>
          </w:tcPr>
          <w:p w14:paraId="2E7A77CB">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高度聚合的CDI、UDI、缩脲</w:t>
            </w:r>
          </w:p>
        </w:tc>
        <w:tc>
          <w:tcPr>
            <w:tcW w:w="696" w:type="pct"/>
            <w:tcBorders>
              <w:tl2br w:val="nil"/>
              <w:tr2bl w:val="nil"/>
            </w:tcBorders>
            <w:vAlign w:val="center"/>
          </w:tcPr>
          <w:p w14:paraId="2B527FC3">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16000</w:t>
            </w:r>
          </w:p>
        </w:tc>
        <w:tc>
          <w:tcPr>
            <w:tcW w:w="695" w:type="pct"/>
            <w:tcBorders>
              <w:tl2br w:val="nil"/>
              <w:tr2bl w:val="nil"/>
            </w:tcBorders>
            <w:vAlign w:val="center"/>
          </w:tcPr>
          <w:p w14:paraId="16FC2D97">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636DB3D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261-016-11</w:t>
            </w:r>
          </w:p>
        </w:tc>
        <w:tc>
          <w:tcPr>
            <w:tcW w:w="346" w:type="pct"/>
            <w:tcBorders>
              <w:tl2br w:val="nil"/>
              <w:tr2bl w:val="nil"/>
            </w:tcBorders>
            <w:vAlign w:val="center"/>
          </w:tcPr>
          <w:p w14:paraId="02997C4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5542621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送万华福建公司大型煤气化项目作为气化炉的替代原料进行综合利用</w:t>
            </w:r>
          </w:p>
        </w:tc>
      </w:tr>
      <w:tr w14:paraId="34B91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7B654C3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7</w:t>
            </w:r>
          </w:p>
        </w:tc>
        <w:tc>
          <w:tcPr>
            <w:tcW w:w="334" w:type="pct"/>
            <w:vMerge w:val="continue"/>
            <w:tcBorders>
              <w:tl2br w:val="nil"/>
              <w:tr2bl w:val="nil"/>
            </w:tcBorders>
            <w:vAlign w:val="center"/>
          </w:tcPr>
          <w:p w14:paraId="78290DED">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5A082F5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TDI废液</w:t>
            </w:r>
          </w:p>
        </w:tc>
        <w:tc>
          <w:tcPr>
            <w:tcW w:w="777" w:type="pct"/>
            <w:tcBorders>
              <w:tl2br w:val="nil"/>
              <w:tr2bl w:val="nil"/>
            </w:tcBorders>
            <w:vAlign w:val="center"/>
          </w:tcPr>
          <w:p w14:paraId="070DDCC7">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TDI及有机杂质</w:t>
            </w:r>
          </w:p>
        </w:tc>
        <w:tc>
          <w:tcPr>
            <w:tcW w:w="696" w:type="pct"/>
            <w:tcBorders>
              <w:tl2br w:val="nil"/>
              <w:tr2bl w:val="nil"/>
            </w:tcBorders>
            <w:vAlign w:val="center"/>
          </w:tcPr>
          <w:p w14:paraId="39DB778A">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2800</w:t>
            </w:r>
          </w:p>
        </w:tc>
        <w:tc>
          <w:tcPr>
            <w:tcW w:w="695" w:type="pct"/>
            <w:tcBorders>
              <w:tl2br w:val="nil"/>
              <w:tr2bl w:val="nil"/>
            </w:tcBorders>
            <w:vAlign w:val="center"/>
          </w:tcPr>
          <w:p w14:paraId="3385BA4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2C482B2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261-016-11</w:t>
            </w:r>
          </w:p>
        </w:tc>
        <w:tc>
          <w:tcPr>
            <w:tcW w:w="346" w:type="pct"/>
            <w:tcBorders>
              <w:tl2br w:val="nil"/>
              <w:tr2bl w:val="nil"/>
            </w:tcBorders>
            <w:vAlign w:val="center"/>
          </w:tcPr>
          <w:p w14:paraId="67AB7C0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38C33AF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送能量回收装置焚烧</w:t>
            </w:r>
          </w:p>
        </w:tc>
      </w:tr>
      <w:tr w14:paraId="3CB42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3B48006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8</w:t>
            </w:r>
          </w:p>
        </w:tc>
        <w:tc>
          <w:tcPr>
            <w:tcW w:w="334" w:type="pct"/>
            <w:vMerge w:val="continue"/>
            <w:tcBorders>
              <w:tl2br w:val="nil"/>
              <w:tr2bl w:val="nil"/>
            </w:tcBorders>
            <w:vAlign w:val="center"/>
          </w:tcPr>
          <w:p w14:paraId="544350A5">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3579A7C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TDI精馏残渣</w:t>
            </w:r>
          </w:p>
        </w:tc>
        <w:tc>
          <w:tcPr>
            <w:tcW w:w="777" w:type="pct"/>
            <w:tcBorders>
              <w:tl2br w:val="nil"/>
              <w:tr2bl w:val="nil"/>
            </w:tcBorders>
            <w:vAlign w:val="center"/>
          </w:tcPr>
          <w:p w14:paraId="17255A7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TDI</w:t>
            </w:r>
            <w:r>
              <w:rPr>
                <w:rFonts w:hint="eastAsia"/>
                <w:color w:val="auto"/>
                <w:sz w:val="18"/>
                <w:szCs w:val="18"/>
                <w:highlight w:val="none"/>
                <w:u w:val="none"/>
              </w:rPr>
              <w:t>、焦油、</w:t>
            </w:r>
            <w:r>
              <w:rPr>
                <w:rFonts w:hint="eastAsia"/>
                <w:color w:val="auto"/>
                <w:sz w:val="18"/>
                <w:szCs w:val="18"/>
                <w:highlight w:val="none"/>
                <w:u w:val="none"/>
                <w:lang w:val="en-US"/>
              </w:rPr>
              <w:t>ODCB</w:t>
            </w:r>
            <w:r>
              <w:rPr>
                <w:rFonts w:hint="eastAsia"/>
                <w:color w:val="auto"/>
                <w:sz w:val="18"/>
                <w:szCs w:val="18"/>
                <w:highlight w:val="none"/>
                <w:u w:val="none"/>
              </w:rPr>
              <w:t>等</w:t>
            </w:r>
          </w:p>
        </w:tc>
        <w:tc>
          <w:tcPr>
            <w:tcW w:w="696" w:type="pct"/>
            <w:tcBorders>
              <w:tl2br w:val="nil"/>
              <w:tr2bl w:val="nil"/>
            </w:tcBorders>
            <w:vAlign w:val="center"/>
          </w:tcPr>
          <w:p w14:paraId="0F0CB91D">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rPr>
              <w:t>58.</w:t>
            </w:r>
            <w:r>
              <w:rPr>
                <w:rFonts w:hint="eastAsia"/>
                <w:color w:val="auto"/>
                <w:sz w:val="18"/>
                <w:szCs w:val="18"/>
                <w:highlight w:val="none"/>
                <w:u w:val="none"/>
                <w:lang w:val="en-US" w:eastAsia="zh-CN"/>
              </w:rPr>
              <w:t>34</w:t>
            </w:r>
          </w:p>
        </w:tc>
        <w:tc>
          <w:tcPr>
            <w:tcW w:w="695" w:type="pct"/>
            <w:tcBorders>
              <w:tl2br w:val="nil"/>
              <w:tr2bl w:val="nil"/>
            </w:tcBorders>
            <w:vAlign w:val="center"/>
          </w:tcPr>
          <w:p w14:paraId="7626494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35D5138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261-016-11</w:t>
            </w:r>
          </w:p>
        </w:tc>
        <w:tc>
          <w:tcPr>
            <w:tcW w:w="346" w:type="pct"/>
            <w:tcBorders>
              <w:tl2br w:val="nil"/>
              <w:tr2bl w:val="nil"/>
            </w:tcBorders>
            <w:vAlign w:val="center"/>
          </w:tcPr>
          <w:p w14:paraId="4A5B4F3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2BFA4EF7">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5A734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657F187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w:t>
            </w:r>
          </w:p>
        </w:tc>
        <w:tc>
          <w:tcPr>
            <w:tcW w:w="334" w:type="pct"/>
            <w:vMerge w:val="continue"/>
            <w:tcBorders>
              <w:tl2br w:val="nil"/>
              <w:tr2bl w:val="nil"/>
            </w:tcBorders>
            <w:vAlign w:val="center"/>
          </w:tcPr>
          <w:p w14:paraId="57DB6287">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vAlign w:val="center"/>
          </w:tcPr>
          <w:p w14:paraId="165FBD3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光化退料</w:t>
            </w:r>
          </w:p>
        </w:tc>
        <w:tc>
          <w:tcPr>
            <w:tcW w:w="777" w:type="pct"/>
            <w:tcBorders>
              <w:tl2br w:val="nil"/>
              <w:tr2bl w:val="nil"/>
            </w:tcBorders>
            <w:vAlign w:val="center"/>
          </w:tcPr>
          <w:p w14:paraId="71E9ED1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rPr>
              <w:t>TDI、ODCB等</w:t>
            </w:r>
          </w:p>
        </w:tc>
        <w:tc>
          <w:tcPr>
            <w:tcW w:w="696" w:type="pct"/>
            <w:tcBorders>
              <w:tl2br w:val="nil"/>
              <w:tr2bl w:val="nil"/>
            </w:tcBorders>
            <w:vAlign w:val="center"/>
          </w:tcPr>
          <w:p w14:paraId="3638B77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141.66</w:t>
            </w:r>
          </w:p>
        </w:tc>
        <w:tc>
          <w:tcPr>
            <w:tcW w:w="695" w:type="pct"/>
            <w:tcBorders>
              <w:tl2br w:val="nil"/>
              <w:tr2bl w:val="nil"/>
            </w:tcBorders>
            <w:vAlign w:val="center"/>
          </w:tcPr>
          <w:p w14:paraId="38E20CB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HW11</w:t>
            </w:r>
          </w:p>
          <w:p w14:paraId="530FB2A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261-025-11</w:t>
            </w:r>
          </w:p>
        </w:tc>
        <w:tc>
          <w:tcPr>
            <w:tcW w:w="346" w:type="pct"/>
            <w:tcBorders>
              <w:tl2br w:val="nil"/>
              <w:tr2bl w:val="nil"/>
            </w:tcBorders>
            <w:vAlign w:val="center"/>
          </w:tcPr>
          <w:p w14:paraId="1C46BF5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612819D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09C14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013FA69B">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10</w:t>
            </w:r>
          </w:p>
        </w:tc>
        <w:tc>
          <w:tcPr>
            <w:tcW w:w="334" w:type="pct"/>
            <w:vMerge w:val="continue"/>
            <w:tcBorders>
              <w:tl2br w:val="nil"/>
              <w:tr2bl w:val="nil"/>
            </w:tcBorders>
            <w:vAlign w:val="center"/>
          </w:tcPr>
          <w:p w14:paraId="47983783">
            <w:pPr>
              <w:spacing w:line="240" w:lineRule="auto"/>
              <w:ind w:firstLine="0" w:firstLineChars="0"/>
              <w:jc w:val="center"/>
              <w:rPr>
                <w:rFonts w:hint="eastAsia"/>
                <w:color w:val="auto"/>
                <w:sz w:val="18"/>
                <w:szCs w:val="18"/>
                <w:highlight w:val="none"/>
                <w:u w:val="none"/>
                <w:lang w:val="en-US"/>
              </w:rPr>
            </w:pPr>
          </w:p>
        </w:tc>
        <w:tc>
          <w:tcPr>
            <w:tcW w:w="382" w:type="pct"/>
            <w:tcBorders>
              <w:tl2br w:val="nil"/>
              <w:tr2bl w:val="nil"/>
            </w:tcBorders>
            <w:shd w:val="clear" w:color="auto" w:fill="auto"/>
            <w:vAlign w:val="center"/>
          </w:tcPr>
          <w:p w14:paraId="44A78113">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废活性炭</w:t>
            </w:r>
          </w:p>
        </w:tc>
        <w:tc>
          <w:tcPr>
            <w:tcW w:w="777" w:type="pct"/>
            <w:tcBorders>
              <w:tl2br w:val="nil"/>
              <w:tr2bl w:val="nil"/>
            </w:tcBorders>
            <w:shd w:val="clear" w:color="auto" w:fill="auto"/>
            <w:vAlign w:val="center"/>
          </w:tcPr>
          <w:p w14:paraId="79E8B8CE">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废活性炭</w:t>
            </w:r>
          </w:p>
        </w:tc>
        <w:tc>
          <w:tcPr>
            <w:tcW w:w="696" w:type="pct"/>
            <w:tcBorders>
              <w:tl2br w:val="nil"/>
              <w:tr2bl w:val="nil"/>
            </w:tcBorders>
            <w:shd w:val="clear" w:color="auto" w:fill="auto"/>
            <w:vAlign w:val="center"/>
          </w:tcPr>
          <w:p w14:paraId="69DF559E">
            <w:pPr>
              <w:spacing w:line="240" w:lineRule="auto"/>
              <w:ind w:firstLine="0" w:firstLineChars="0"/>
              <w:jc w:val="center"/>
              <w:rPr>
                <w:rFonts w:hint="default"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eastAsia="zh-CN"/>
              </w:rPr>
              <w:t>100</w:t>
            </w:r>
          </w:p>
        </w:tc>
        <w:tc>
          <w:tcPr>
            <w:tcW w:w="695" w:type="pct"/>
            <w:tcBorders>
              <w:tl2br w:val="nil"/>
              <w:tr2bl w:val="nil"/>
            </w:tcBorders>
            <w:shd w:val="clear" w:color="auto" w:fill="auto"/>
            <w:vAlign w:val="center"/>
          </w:tcPr>
          <w:p w14:paraId="35EE1A1B">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rPr>
              <w:t>危险废物 HW</w:t>
            </w:r>
            <w:r>
              <w:rPr>
                <w:rFonts w:hint="eastAsia"/>
                <w:color w:val="auto"/>
                <w:sz w:val="18"/>
                <w:szCs w:val="18"/>
                <w:highlight w:val="none"/>
                <w:u w:val="none"/>
                <w:lang w:val="en-US" w:eastAsia="zh-CN"/>
              </w:rPr>
              <w:t>45</w:t>
            </w:r>
          </w:p>
          <w:p w14:paraId="65E8D0C9">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eastAsia="zh-CN"/>
              </w:rPr>
              <w:t>261-084-45</w:t>
            </w:r>
          </w:p>
        </w:tc>
        <w:tc>
          <w:tcPr>
            <w:tcW w:w="346" w:type="pct"/>
            <w:tcBorders>
              <w:tl2br w:val="nil"/>
              <w:tr2bl w:val="nil"/>
            </w:tcBorders>
            <w:shd w:val="clear" w:color="auto" w:fill="auto"/>
            <w:vAlign w:val="center"/>
          </w:tcPr>
          <w:p w14:paraId="5684AC71">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间断</w:t>
            </w:r>
          </w:p>
        </w:tc>
        <w:tc>
          <w:tcPr>
            <w:tcW w:w="1535" w:type="pct"/>
            <w:tcBorders>
              <w:tl2br w:val="nil"/>
              <w:tr2bl w:val="nil"/>
            </w:tcBorders>
            <w:shd w:val="clear" w:color="auto" w:fill="auto"/>
            <w:vAlign w:val="center"/>
          </w:tcPr>
          <w:p w14:paraId="1F66D1F2">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委托福建省固体废物处置有限公司处置</w:t>
            </w:r>
          </w:p>
        </w:tc>
      </w:tr>
      <w:tr w14:paraId="35761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13A7E3F2">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11</w:t>
            </w:r>
          </w:p>
        </w:tc>
        <w:tc>
          <w:tcPr>
            <w:tcW w:w="334" w:type="pct"/>
            <w:tcBorders>
              <w:tl2br w:val="nil"/>
              <w:tr2bl w:val="nil"/>
            </w:tcBorders>
            <w:vAlign w:val="center"/>
          </w:tcPr>
          <w:p w14:paraId="2AE077D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储罐区</w:t>
            </w:r>
          </w:p>
        </w:tc>
        <w:tc>
          <w:tcPr>
            <w:tcW w:w="382" w:type="pct"/>
            <w:tcBorders>
              <w:tl2br w:val="nil"/>
              <w:tr2bl w:val="nil"/>
            </w:tcBorders>
            <w:vAlign w:val="center"/>
          </w:tcPr>
          <w:p w14:paraId="0061F3B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废活性炭</w:t>
            </w:r>
          </w:p>
        </w:tc>
        <w:tc>
          <w:tcPr>
            <w:tcW w:w="777" w:type="pct"/>
            <w:tcBorders>
              <w:tl2br w:val="nil"/>
              <w:tr2bl w:val="nil"/>
            </w:tcBorders>
            <w:vAlign w:val="center"/>
          </w:tcPr>
          <w:p w14:paraId="48CF2B9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废活性炭</w:t>
            </w:r>
          </w:p>
        </w:tc>
        <w:tc>
          <w:tcPr>
            <w:tcW w:w="696" w:type="pct"/>
            <w:tcBorders>
              <w:tl2br w:val="nil"/>
              <w:tr2bl w:val="nil"/>
            </w:tcBorders>
            <w:vAlign w:val="center"/>
          </w:tcPr>
          <w:p w14:paraId="4EC8FD1A">
            <w:pPr>
              <w:spacing w:line="240" w:lineRule="auto"/>
              <w:ind w:firstLine="0" w:firstLineChars="0"/>
              <w:jc w:val="center"/>
              <w:rPr>
                <w:rFonts w:hint="eastAsia" w:eastAsia="宋体"/>
                <w:color w:val="auto"/>
                <w:sz w:val="18"/>
                <w:szCs w:val="18"/>
                <w:highlight w:val="none"/>
                <w:u w:val="none"/>
                <w:lang w:val="en-US" w:eastAsia="zh-CN"/>
              </w:rPr>
            </w:pPr>
            <w:r>
              <w:rPr>
                <w:rFonts w:hint="eastAsia"/>
                <w:color w:val="auto"/>
                <w:sz w:val="18"/>
                <w:szCs w:val="18"/>
                <w:highlight w:val="none"/>
                <w:u w:val="none"/>
                <w:lang w:val="en-US" w:eastAsia="zh-CN"/>
              </w:rPr>
              <w:t>2</w:t>
            </w:r>
          </w:p>
        </w:tc>
        <w:tc>
          <w:tcPr>
            <w:tcW w:w="695" w:type="pct"/>
            <w:tcBorders>
              <w:tl2br w:val="nil"/>
              <w:tr2bl w:val="nil"/>
            </w:tcBorders>
            <w:vAlign w:val="center"/>
          </w:tcPr>
          <w:p w14:paraId="0FA2B93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废活性炭 HW49</w:t>
            </w:r>
          </w:p>
          <w:p w14:paraId="70A86CF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900-039-49</w:t>
            </w:r>
          </w:p>
        </w:tc>
        <w:tc>
          <w:tcPr>
            <w:tcW w:w="346" w:type="pct"/>
            <w:tcBorders>
              <w:tl2br w:val="nil"/>
              <w:tr2bl w:val="nil"/>
            </w:tcBorders>
            <w:vAlign w:val="center"/>
          </w:tcPr>
          <w:p w14:paraId="08690E7C">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415D5AE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4E825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0DB2D756">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12</w:t>
            </w:r>
          </w:p>
        </w:tc>
        <w:tc>
          <w:tcPr>
            <w:tcW w:w="334" w:type="pct"/>
            <w:tcBorders>
              <w:tl2br w:val="nil"/>
              <w:tr2bl w:val="nil"/>
            </w:tcBorders>
            <w:vAlign w:val="center"/>
          </w:tcPr>
          <w:p w14:paraId="20FBBA7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原料材料仓库</w:t>
            </w:r>
          </w:p>
        </w:tc>
        <w:tc>
          <w:tcPr>
            <w:tcW w:w="382" w:type="pct"/>
            <w:tcBorders>
              <w:tl2br w:val="nil"/>
              <w:tr2bl w:val="nil"/>
            </w:tcBorders>
            <w:vAlign w:val="center"/>
          </w:tcPr>
          <w:p w14:paraId="742E026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废弃化学品包装桶或袋</w:t>
            </w:r>
          </w:p>
        </w:tc>
        <w:tc>
          <w:tcPr>
            <w:tcW w:w="777" w:type="pct"/>
            <w:tcBorders>
              <w:tl2br w:val="nil"/>
              <w:tr2bl w:val="nil"/>
            </w:tcBorders>
            <w:vAlign w:val="center"/>
          </w:tcPr>
          <w:p w14:paraId="241E538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危险化学品</w:t>
            </w:r>
          </w:p>
        </w:tc>
        <w:tc>
          <w:tcPr>
            <w:tcW w:w="696" w:type="pct"/>
            <w:tcBorders>
              <w:tl2br w:val="nil"/>
              <w:tr2bl w:val="nil"/>
            </w:tcBorders>
            <w:vAlign w:val="center"/>
          </w:tcPr>
          <w:p w14:paraId="3A781C1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31.56</w:t>
            </w:r>
          </w:p>
        </w:tc>
        <w:tc>
          <w:tcPr>
            <w:tcW w:w="695" w:type="pct"/>
            <w:tcBorders>
              <w:tl2br w:val="nil"/>
              <w:tr2bl w:val="nil"/>
            </w:tcBorders>
            <w:vAlign w:val="center"/>
          </w:tcPr>
          <w:p w14:paraId="2CD99BD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HW49</w:t>
            </w:r>
          </w:p>
          <w:p w14:paraId="333C042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900-041-49</w:t>
            </w:r>
          </w:p>
        </w:tc>
        <w:tc>
          <w:tcPr>
            <w:tcW w:w="346" w:type="pct"/>
            <w:tcBorders>
              <w:tl2br w:val="nil"/>
              <w:tr2bl w:val="nil"/>
            </w:tcBorders>
            <w:vAlign w:val="center"/>
          </w:tcPr>
          <w:p w14:paraId="207955B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69D9403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26EAB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790F4F73">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13</w:t>
            </w:r>
          </w:p>
        </w:tc>
        <w:tc>
          <w:tcPr>
            <w:tcW w:w="334" w:type="pct"/>
            <w:tcBorders>
              <w:tl2br w:val="nil"/>
              <w:tr2bl w:val="nil"/>
            </w:tcBorders>
            <w:vAlign w:val="center"/>
          </w:tcPr>
          <w:p w14:paraId="5B67DED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机械设备修理</w:t>
            </w:r>
          </w:p>
        </w:tc>
        <w:tc>
          <w:tcPr>
            <w:tcW w:w="382" w:type="pct"/>
            <w:tcBorders>
              <w:tl2br w:val="nil"/>
              <w:tr2bl w:val="nil"/>
            </w:tcBorders>
            <w:vAlign w:val="center"/>
          </w:tcPr>
          <w:p w14:paraId="3ADDE0A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废机油</w:t>
            </w:r>
          </w:p>
        </w:tc>
        <w:tc>
          <w:tcPr>
            <w:tcW w:w="777" w:type="pct"/>
            <w:tcBorders>
              <w:tl2br w:val="nil"/>
              <w:tr2bl w:val="nil"/>
            </w:tcBorders>
            <w:vAlign w:val="center"/>
          </w:tcPr>
          <w:p w14:paraId="6D00907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废矿物油</w:t>
            </w:r>
          </w:p>
        </w:tc>
        <w:tc>
          <w:tcPr>
            <w:tcW w:w="696" w:type="pct"/>
            <w:tcBorders>
              <w:tl2br w:val="nil"/>
              <w:tr2bl w:val="nil"/>
            </w:tcBorders>
            <w:vAlign w:val="center"/>
          </w:tcPr>
          <w:p w14:paraId="49B2A2E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1.95</w:t>
            </w:r>
          </w:p>
        </w:tc>
        <w:tc>
          <w:tcPr>
            <w:tcW w:w="695" w:type="pct"/>
            <w:tcBorders>
              <w:tl2br w:val="nil"/>
              <w:tr2bl w:val="nil"/>
            </w:tcBorders>
            <w:vAlign w:val="center"/>
          </w:tcPr>
          <w:p w14:paraId="6520865B">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HW08</w:t>
            </w:r>
          </w:p>
          <w:p w14:paraId="2BCF365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900-249-08</w:t>
            </w:r>
          </w:p>
        </w:tc>
        <w:tc>
          <w:tcPr>
            <w:tcW w:w="346" w:type="pct"/>
            <w:tcBorders>
              <w:tl2br w:val="nil"/>
              <w:tr2bl w:val="nil"/>
            </w:tcBorders>
            <w:vAlign w:val="center"/>
          </w:tcPr>
          <w:p w14:paraId="4765577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15D852BC">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5BE05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149995EE">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14</w:t>
            </w:r>
          </w:p>
        </w:tc>
        <w:tc>
          <w:tcPr>
            <w:tcW w:w="334" w:type="pct"/>
            <w:tcBorders>
              <w:tl2br w:val="nil"/>
              <w:tr2bl w:val="nil"/>
            </w:tcBorders>
            <w:vAlign w:val="center"/>
          </w:tcPr>
          <w:p w14:paraId="6319909E">
            <w:pPr>
              <w:pStyle w:val="92"/>
              <w:rPr>
                <w:color w:val="auto"/>
                <w:sz w:val="18"/>
                <w:szCs w:val="18"/>
                <w:highlight w:val="none"/>
                <w:u w:val="none"/>
              </w:rPr>
            </w:pPr>
            <w:r>
              <w:rPr>
                <w:rFonts w:hint="eastAsia"/>
                <w:color w:val="auto"/>
                <w:sz w:val="18"/>
                <w:szCs w:val="18"/>
                <w:highlight w:val="none"/>
                <w:u w:val="none"/>
              </w:rPr>
              <w:t>焦油干燥</w:t>
            </w:r>
          </w:p>
          <w:p w14:paraId="66CDF05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rPr>
              <w:t>导热蒸汽锅炉</w:t>
            </w:r>
          </w:p>
        </w:tc>
        <w:tc>
          <w:tcPr>
            <w:tcW w:w="382" w:type="pct"/>
            <w:tcBorders>
              <w:tl2br w:val="nil"/>
              <w:tr2bl w:val="nil"/>
            </w:tcBorders>
            <w:vAlign w:val="center"/>
          </w:tcPr>
          <w:p w14:paraId="058A058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废导热油</w:t>
            </w:r>
          </w:p>
        </w:tc>
        <w:tc>
          <w:tcPr>
            <w:tcW w:w="777" w:type="pct"/>
            <w:tcBorders>
              <w:tl2br w:val="nil"/>
              <w:tr2bl w:val="nil"/>
            </w:tcBorders>
            <w:vAlign w:val="center"/>
          </w:tcPr>
          <w:p w14:paraId="1B02262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废矿物油</w:t>
            </w:r>
          </w:p>
        </w:tc>
        <w:tc>
          <w:tcPr>
            <w:tcW w:w="696" w:type="pct"/>
            <w:tcBorders>
              <w:tl2br w:val="nil"/>
              <w:tr2bl w:val="nil"/>
            </w:tcBorders>
            <w:vAlign w:val="center"/>
          </w:tcPr>
          <w:p w14:paraId="3C7E0BB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0.5</w:t>
            </w:r>
            <w:r>
              <w:rPr>
                <w:rFonts w:hint="eastAsia"/>
                <w:color w:val="auto"/>
                <w:sz w:val="18"/>
                <w:szCs w:val="18"/>
                <w:highlight w:val="none"/>
                <w:u w:val="none"/>
                <w:vertAlign w:val="superscript"/>
                <w:lang w:val="en-US"/>
              </w:rPr>
              <w:t>（1）</w:t>
            </w:r>
          </w:p>
        </w:tc>
        <w:tc>
          <w:tcPr>
            <w:tcW w:w="695" w:type="pct"/>
            <w:tcBorders>
              <w:tl2br w:val="nil"/>
              <w:tr2bl w:val="nil"/>
            </w:tcBorders>
            <w:vAlign w:val="center"/>
          </w:tcPr>
          <w:p w14:paraId="4A94671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HW08</w:t>
            </w:r>
          </w:p>
          <w:p w14:paraId="3A449223">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900-249-08</w:t>
            </w:r>
          </w:p>
        </w:tc>
        <w:tc>
          <w:tcPr>
            <w:tcW w:w="346" w:type="pct"/>
            <w:tcBorders>
              <w:tl2br w:val="nil"/>
              <w:tr2bl w:val="nil"/>
            </w:tcBorders>
            <w:vAlign w:val="center"/>
          </w:tcPr>
          <w:p w14:paraId="73A710F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6B41F1A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2AAEF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shd w:val="clear" w:color="auto" w:fill="auto"/>
            <w:vAlign w:val="center"/>
          </w:tcPr>
          <w:p w14:paraId="476F18AB">
            <w:pPr>
              <w:spacing w:line="240" w:lineRule="auto"/>
              <w:ind w:firstLine="0" w:firstLineChars="0"/>
              <w:jc w:val="center"/>
              <w:rPr>
                <w:rFonts w:hint="eastAsia" w:ascii="Times New Roman" w:hAnsi="宋体" w:eastAsia="宋体" w:cs="Times New Roman"/>
                <w:color w:val="auto"/>
                <w:sz w:val="18"/>
                <w:szCs w:val="18"/>
                <w:highlight w:val="none"/>
                <w:u w:val="none"/>
                <w:lang w:val="en-US" w:eastAsia="zh-CN" w:bidi="ar-SA"/>
              </w:rPr>
            </w:pPr>
            <w:r>
              <w:rPr>
                <w:rFonts w:hint="eastAsia"/>
                <w:color w:val="auto"/>
                <w:sz w:val="18"/>
                <w:szCs w:val="18"/>
                <w:highlight w:val="none"/>
                <w:u w:val="none"/>
                <w:lang w:val="en-US"/>
              </w:rPr>
              <w:t>15</w:t>
            </w:r>
          </w:p>
        </w:tc>
        <w:tc>
          <w:tcPr>
            <w:tcW w:w="334" w:type="pct"/>
            <w:tcBorders>
              <w:tl2br w:val="nil"/>
              <w:tr2bl w:val="nil"/>
            </w:tcBorders>
            <w:vAlign w:val="center"/>
          </w:tcPr>
          <w:p w14:paraId="0C123CAE">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rPr>
              <w:t>不合格</w:t>
            </w:r>
            <w:r>
              <w:rPr>
                <w:color w:val="auto"/>
                <w:sz w:val="18"/>
                <w:szCs w:val="18"/>
                <w:highlight w:val="none"/>
                <w:u w:val="none"/>
              </w:rPr>
              <w:t>TDI储罐</w:t>
            </w:r>
            <w:r>
              <w:rPr>
                <w:rFonts w:hint="eastAsia"/>
                <w:color w:val="auto"/>
                <w:sz w:val="18"/>
                <w:szCs w:val="18"/>
                <w:highlight w:val="none"/>
                <w:u w:val="none"/>
              </w:rPr>
              <w:t>氮封罐</w:t>
            </w:r>
          </w:p>
        </w:tc>
        <w:tc>
          <w:tcPr>
            <w:tcW w:w="382" w:type="pct"/>
            <w:tcBorders>
              <w:tl2br w:val="nil"/>
              <w:tr2bl w:val="nil"/>
            </w:tcBorders>
            <w:vAlign w:val="center"/>
          </w:tcPr>
          <w:p w14:paraId="32AE898C">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废氮封油</w:t>
            </w:r>
          </w:p>
        </w:tc>
        <w:tc>
          <w:tcPr>
            <w:tcW w:w="777" w:type="pct"/>
            <w:tcBorders>
              <w:tl2br w:val="nil"/>
              <w:tr2bl w:val="nil"/>
            </w:tcBorders>
            <w:vAlign w:val="center"/>
          </w:tcPr>
          <w:p w14:paraId="6CDF8B6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废矿物油</w:t>
            </w:r>
          </w:p>
        </w:tc>
        <w:tc>
          <w:tcPr>
            <w:tcW w:w="696" w:type="pct"/>
            <w:tcBorders>
              <w:tl2br w:val="nil"/>
              <w:tr2bl w:val="nil"/>
            </w:tcBorders>
            <w:vAlign w:val="center"/>
          </w:tcPr>
          <w:p w14:paraId="56F33266">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w:t>
            </w:r>
            <w:r>
              <w:rPr>
                <w:rFonts w:hint="eastAsia"/>
                <w:color w:val="auto"/>
                <w:sz w:val="18"/>
                <w:szCs w:val="18"/>
                <w:highlight w:val="none"/>
                <w:u w:val="none"/>
                <w:vertAlign w:val="superscript"/>
                <w:lang w:val="en-US"/>
              </w:rPr>
              <w:t>（1）</w:t>
            </w:r>
          </w:p>
        </w:tc>
        <w:tc>
          <w:tcPr>
            <w:tcW w:w="695" w:type="pct"/>
            <w:tcBorders>
              <w:tl2br w:val="nil"/>
              <w:tr2bl w:val="nil"/>
            </w:tcBorders>
            <w:vAlign w:val="center"/>
          </w:tcPr>
          <w:p w14:paraId="4AE1606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HW08</w:t>
            </w:r>
          </w:p>
          <w:p w14:paraId="433B1D3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900-249-08</w:t>
            </w:r>
          </w:p>
        </w:tc>
        <w:tc>
          <w:tcPr>
            <w:tcW w:w="346" w:type="pct"/>
            <w:tcBorders>
              <w:tl2br w:val="nil"/>
              <w:tr2bl w:val="nil"/>
            </w:tcBorders>
            <w:vAlign w:val="center"/>
          </w:tcPr>
          <w:p w14:paraId="4DDD893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46E718CB">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委托福建省固体废物处置有限公司处置</w:t>
            </w:r>
          </w:p>
        </w:tc>
      </w:tr>
      <w:tr w14:paraId="641FD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14EA44B0">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16</w:t>
            </w:r>
          </w:p>
        </w:tc>
        <w:tc>
          <w:tcPr>
            <w:tcW w:w="334" w:type="pct"/>
            <w:tcBorders>
              <w:tl2br w:val="nil"/>
              <w:tr2bl w:val="nil"/>
            </w:tcBorders>
            <w:vAlign w:val="center"/>
          </w:tcPr>
          <w:p w14:paraId="7A59C2C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w:t>
            </w:r>
          </w:p>
        </w:tc>
        <w:tc>
          <w:tcPr>
            <w:tcW w:w="382" w:type="pct"/>
            <w:tcBorders>
              <w:tl2br w:val="nil"/>
              <w:tr2bl w:val="nil"/>
            </w:tcBorders>
            <w:vAlign w:val="center"/>
          </w:tcPr>
          <w:p w14:paraId="6091C73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废劳保用品、废抹布</w:t>
            </w:r>
          </w:p>
        </w:tc>
        <w:tc>
          <w:tcPr>
            <w:tcW w:w="777" w:type="pct"/>
            <w:tcBorders>
              <w:tl2br w:val="nil"/>
              <w:tr2bl w:val="nil"/>
            </w:tcBorders>
            <w:vAlign w:val="center"/>
          </w:tcPr>
          <w:p w14:paraId="5393BBE1">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危险化学品</w:t>
            </w:r>
          </w:p>
        </w:tc>
        <w:tc>
          <w:tcPr>
            <w:tcW w:w="696" w:type="pct"/>
            <w:tcBorders>
              <w:tl2br w:val="nil"/>
              <w:tr2bl w:val="nil"/>
            </w:tcBorders>
            <w:vAlign w:val="center"/>
          </w:tcPr>
          <w:p w14:paraId="659B8419">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0.63</w:t>
            </w:r>
          </w:p>
        </w:tc>
        <w:tc>
          <w:tcPr>
            <w:tcW w:w="695" w:type="pct"/>
            <w:tcBorders>
              <w:tl2br w:val="nil"/>
              <w:tr2bl w:val="nil"/>
            </w:tcBorders>
            <w:vAlign w:val="center"/>
          </w:tcPr>
          <w:p w14:paraId="1A27995D">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危险废物 HW49</w:t>
            </w:r>
          </w:p>
          <w:p w14:paraId="7C3335E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900-041-49</w:t>
            </w:r>
          </w:p>
        </w:tc>
        <w:tc>
          <w:tcPr>
            <w:tcW w:w="346" w:type="pct"/>
            <w:tcBorders>
              <w:tl2br w:val="nil"/>
              <w:tr2bl w:val="nil"/>
            </w:tcBorders>
            <w:vAlign w:val="center"/>
          </w:tcPr>
          <w:p w14:paraId="53A91805">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间断</w:t>
            </w:r>
          </w:p>
        </w:tc>
        <w:tc>
          <w:tcPr>
            <w:tcW w:w="1535" w:type="pct"/>
            <w:tcBorders>
              <w:tl2br w:val="nil"/>
              <w:tr2bl w:val="nil"/>
            </w:tcBorders>
            <w:vAlign w:val="center"/>
          </w:tcPr>
          <w:p w14:paraId="190B5DF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根据“危险废物豁免管理清单”废弃的含油抹布、劳保用品。在未分类收集的情况下，全过程不按危险废物管理。</w:t>
            </w:r>
          </w:p>
        </w:tc>
      </w:tr>
      <w:tr w14:paraId="481BF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tcBorders>
              <w:tl2br w:val="nil"/>
              <w:tr2bl w:val="nil"/>
            </w:tcBorders>
            <w:vAlign w:val="center"/>
          </w:tcPr>
          <w:p w14:paraId="347487DA">
            <w:pPr>
              <w:spacing w:line="240" w:lineRule="auto"/>
              <w:ind w:firstLine="0" w:firstLineChars="0"/>
              <w:jc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17</w:t>
            </w:r>
          </w:p>
        </w:tc>
        <w:tc>
          <w:tcPr>
            <w:tcW w:w="334" w:type="pct"/>
            <w:tcBorders>
              <w:tl2br w:val="nil"/>
              <w:tr2bl w:val="nil"/>
            </w:tcBorders>
            <w:vAlign w:val="center"/>
          </w:tcPr>
          <w:p w14:paraId="758C7522">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生活及办公垃圾</w:t>
            </w:r>
          </w:p>
        </w:tc>
        <w:tc>
          <w:tcPr>
            <w:tcW w:w="382" w:type="pct"/>
            <w:tcBorders>
              <w:tl2br w:val="nil"/>
              <w:tr2bl w:val="nil"/>
            </w:tcBorders>
            <w:vAlign w:val="center"/>
          </w:tcPr>
          <w:p w14:paraId="2876895F">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生活垃圾</w:t>
            </w:r>
          </w:p>
        </w:tc>
        <w:tc>
          <w:tcPr>
            <w:tcW w:w="777" w:type="pct"/>
            <w:tcBorders>
              <w:tl2br w:val="nil"/>
              <w:tr2bl w:val="nil"/>
            </w:tcBorders>
            <w:vAlign w:val="center"/>
          </w:tcPr>
          <w:p w14:paraId="6680CA4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生活垃圾</w:t>
            </w:r>
          </w:p>
        </w:tc>
        <w:tc>
          <w:tcPr>
            <w:tcW w:w="696" w:type="pct"/>
            <w:tcBorders>
              <w:tl2br w:val="nil"/>
              <w:tr2bl w:val="nil"/>
            </w:tcBorders>
            <w:vAlign w:val="center"/>
          </w:tcPr>
          <w:p w14:paraId="75DC7AD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37.5</w:t>
            </w:r>
          </w:p>
        </w:tc>
        <w:tc>
          <w:tcPr>
            <w:tcW w:w="695" w:type="pct"/>
            <w:tcBorders>
              <w:tl2br w:val="nil"/>
              <w:tr2bl w:val="nil"/>
            </w:tcBorders>
            <w:vAlign w:val="center"/>
          </w:tcPr>
          <w:p w14:paraId="2661E978">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900-099-S64</w:t>
            </w:r>
          </w:p>
        </w:tc>
        <w:tc>
          <w:tcPr>
            <w:tcW w:w="346" w:type="pct"/>
            <w:tcBorders>
              <w:tl2br w:val="nil"/>
              <w:tr2bl w:val="nil"/>
            </w:tcBorders>
            <w:vAlign w:val="center"/>
          </w:tcPr>
          <w:p w14:paraId="15466634">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连续</w:t>
            </w:r>
          </w:p>
        </w:tc>
        <w:tc>
          <w:tcPr>
            <w:tcW w:w="1535" w:type="pct"/>
            <w:tcBorders>
              <w:tl2br w:val="nil"/>
              <w:tr2bl w:val="nil"/>
            </w:tcBorders>
            <w:vAlign w:val="center"/>
          </w:tcPr>
          <w:p w14:paraId="48CBA8EA">
            <w:pPr>
              <w:spacing w:line="240" w:lineRule="auto"/>
              <w:ind w:firstLine="0" w:firstLineChars="0"/>
              <w:jc w:val="center"/>
              <w:rPr>
                <w:rFonts w:hint="eastAsia"/>
                <w:color w:val="auto"/>
                <w:sz w:val="18"/>
                <w:szCs w:val="18"/>
                <w:highlight w:val="none"/>
                <w:u w:val="none"/>
                <w:lang w:val="en-US"/>
              </w:rPr>
            </w:pPr>
            <w:r>
              <w:rPr>
                <w:rFonts w:hint="eastAsia"/>
                <w:color w:val="auto"/>
                <w:sz w:val="18"/>
                <w:szCs w:val="18"/>
                <w:highlight w:val="none"/>
                <w:u w:val="none"/>
                <w:lang w:val="en-US"/>
              </w:rPr>
              <w:t>当地环卫部门统一收集</w:t>
            </w:r>
          </w:p>
        </w:tc>
      </w:tr>
    </w:tbl>
    <w:p w14:paraId="7334C105">
      <w:pPr>
        <w:ind w:firstLine="420"/>
        <w:rPr>
          <w:rFonts w:hint="eastAsia"/>
          <w:color w:val="auto"/>
          <w:sz w:val="21"/>
          <w:szCs w:val="21"/>
          <w:highlight w:val="none"/>
          <w:u w:val="none"/>
          <w:lang w:val="en-US"/>
        </w:rPr>
      </w:pPr>
      <w:r>
        <w:rPr>
          <w:rFonts w:hint="eastAsia"/>
          <w:color w:val="auto"/>
          <w:sz w:val="21"/>
          <w:szCs w:val="21"/>
          <w:highlight w:val="none"/>
          <w:u w:val="none"/>
          <w:lang w:val="en-US"/>
        </w:rPr>
        <w:t>注：（1）尚未产生的固废量按环评报告中的量进行统计。</w:t>
      </w:r>
    </w:p>
    <w:p w14:paraId="49DDC6B1">
      <w:pPr>
        <w:ind w:firstLine="420"/>
        <w:rPr>
          <w:rFonts w:hint="eastAsia"/>
          <w:color w:val="auto"/>
          <w:sz w:val="21"/>
          <w:szCs w:val="21"/>
          <w:highlight w:val="none"/>
          <w:u w:val="none"/>
          <w:lang w:val="en-US"/>
        </w:rPr>
      </w:pPr>
      <w:r>
        <w:rPr>
          <w:rFonts w:hint="eastAsia"/>
          <w:color w:val="auto"/>
          <w:sz w:val="21"/>
          <w:szCs w:val="21"/>
          <w:highlight w:val="none"/>
          <w:u w:val="none"/>
          <w:lang w:val="en-US"/>
        </w:rPr>
        <w:t>（2）氢化废镍催化剂委托内蒙古熙泰再生资源处理有限责任公司处置，已完成跨省转移手续，见附件</w:t>
      </w:r>
      <w:r>
        <w:rPr>
          <w:rFonts w:hint="eastAsia"/>
          <w:color w:val="auto"/>
          <w:sz w:val="21"/>
          <w:szCs w:val="21"/>
          <w:highlight w:val="none"/>
          <w:u w:val="none"/>
          <w:lang w:val="en-US" w:eastAsia="zh-CN"/>
        </w:rPr>
        <w:t>21</w:t>
      </w:r>
      <w:r>
        <w:rPr>
          <w:rFonts w:hint="eastAsia"/>
          <w:color w:val="auto"/>
          <w:sz w:val="21"/>
          <w:szCs w:val="21"/>
          <w:highlight w:val="none"/>
          <w:u w:val="none"/>
          <w:lang w:val="en-US"/>
        </w:rPr>
        <w:t xml:space="preserve"> 危险废物跨省转移报批表。</w:t>
      </w:r>
    </w:p>
    <w:p w14:paraId="5C1C411A">
      <w:pPr>
        <w:ind w:firstLine="420"/>
        <w:rPr>
          <w:rFonts w:hint="eastAsia"/>
          <w:color w:val="auto"/>
          <w:sz w:val="21"/>
          <w:szCs w:val="21"/>
          <w:highlight w:val="none"/>
          <w:u w:val="none"/>
          <w:lang w:val="en-US"/>
        </w:rPr>
      </w:pPr>
    </w:p>
    <w:p w14:paraId="42FA6341">
      <w:pPr>
        <w:ind w:firstLine="0" w:firstLineChars="0"/>
        <w:rPr>
          <w:rFonts w:hint="eastAsia"/>
          <w:color w:val="auto"/>
          <w:highlight w:val="none"/>
          <w:u w:val="none"/>
          <w:lang w:val="en-US"/>
        </w:rPr>
      </w:pPr>
    </w:p>
    <w:p w14:paraId="1ABE822B">
      <w:pPr>
        <w:ind w:firstLine="0" w:firstLineChars="0"/>
        <w:rPr>
          <w:rFonts w:hint="eastAsia"/>
          <w:color w:val="auto"/>
          <w:highlight w:val="none"/>
          <w:u w:val="none"/>
        </w:rPr>
      </w:pPr>
    </w:p>
    <w:p w14:paraId="19945F06">
      <w:pPr>
        <w:rPr>
          <w:rFonts w:hint="eastAsia"/>
          <w:color w:val="auto"/>
          <w:highlight w:val="none"/>
          <w:u w:val="none"/>
        </w:rPr>
        <w:sectPr>
          <w:pgSz w:w="16839" w:h="11907" w:orient="landscape"/>
          <w:pgMar w:top="1361" w:right="1361" w:bottom="1361" w:left="1361" w:header="851" w:footer="992" w:gutter="0"/>
          <w:paperSrc w:first="15" w:other="15"/>
          <w:cols w:space="720" w:num="1"/>
          <w:docGrid w:linePitch="381" w:charSpace="0"/>
        </w:sectPr>
      </w:pPr>
    </w:p>
    <w:p w14:paraId="6C0E33E1">
      <w:pPr>
        <w:pStyle w:val="6"/>
        <w:spacing w:before="120" w:after="120"/>
        <w:rPr>
          <w:color w:val="auto"/>
          <w:highlight w:val="none"/>
          <w:u w:val="none"/>
        </w:rPr>
      </w:pPr>
      <w:bookmarkStart w:id="157" w:name="_Toc148374455"/>
      <w:bookmarkStart w:id="158" w:name="_Toc148374897"/>
      <w:r>
        <w:rPr>
          <w:rFonts w:hint="eastAsia"/>
          <w:color w:val="auto"/>
          <w:highlight w:val="none"/>
          <w:u w:val="none"/>
          <w:lang w:val="en-US"/>
        </w:rPr>
        <w:t>污染物排放情况汇总</w:t>
      </w:r>
      <w:bookmarkEnd w:id="157"/>
      <w:bookmarkEnd w:id="158"/>
    </w:p>
    <w:p w14:paraId="36EA6B70">
      <w:pPr>
        <w:rPr>
          <w:rFonts w:hint="eastAsia"/>
          <w:color w:val="auto"/>
          <w:highlight w:val="none"/>
          <w:u w:val="none"/>
          <w:lang w:val="en-US"/>
        </w:rPr>
      </w:pPr>
      <w:bookmarkStart w:id="159" w:name="_Ref152439068"/>
      <w:r>
        <w:rPr>
          <w:rFonts w:hint="eastAsia"/>
          <w:lang w:val="en-US"/>
        </w:rPr>
        <w:t>25万吨/年TDI项目已于2</w:t>
      </w:r>
      <w:r>
        <w:rPr>
          <w:lang w:val="en-US"/>
        </w:rPr>
        <w:t>02</w:t>
      </w:r>
      <w:r>
        <w:rPr>
          <w:rFonts w:hint="eastAsia"/>
          <w:lang w:val="en-US"/>
        </w:rPr>
        <w:t>4年5月完成竣工环保自主验收，其废气排放量参考2024年全年排污许可执行报告，并按照实际工况折算成满负荷工况，同时根据《万华化学（福建）有限公司泄漏检测与修复（LDAR）第一季度~第四季度总结报告》（2024年）</w:t>
      </w:r>
      <w:r>
        <w:rPr>
          <w:rFonts w:hint="eastAsia"/>
          <w:color w:val="auto"/>
          <w:highlight w:val="none"/>
          <w:u w:val="none"/>
          <w:lang w:val="en-US"/>
        </w:rPr>
        <w:t>。</w:t>
      </w:r>
    </w:p>
    <w:p w14:paraId="5A287084">
      <w:pPr>
        <w:ind w:firstLine="482"/>
        <w:jc w:val="center"/>
        <w:rPr>
          <w:rFonts w:hint="eastAsia"/>
          <w:b/>
          <w:bCs/>
          <w:color w:val="auto"/>
          <w:highlight w:val="none"/>
          <w:u w:val="none"/>
        </w:rPr>
      </w:pPr>
      <w:bookmarkStart w:id="160" w:name="_Ref10972"/>
      <w:r>
        <w:rPr>
          <w:b/>
          <w:bCs/>
          <w:color w:val="auto"/>
          <w:highlight w:val="none"/>
          <w:u w:val="none"/>
          <w:lang w:val="en-US"/>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3.3</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15</w:t>
      </w:r>
      <w:r>
        <w:rPr>
          <w:b/>
          <w:bCs/>
          <w:color w:val="auto"/>
          <w:highlight w:val="none"/>
          <w:u w:val="none"/>
        </w:rPr>
        <w:fldChar w:fldCharType="end"/>
      </w:r>
      <w:bookmarkEnd w:id="159"/>
      <w:bookmarkEnd w:id="160"/>
      <w:r>
        <w:rPr>
          <w:b/>
          <w:bCs/>
          <w:color w:val="auto"/>
          <w:highlight w:val="none"/>
          <w:u w:val="none"/>
        </w:rPr>
        <w:t xml:space="preserve">  </w:t>
      </w:r>
      <w:r>
        <w:rPr>
          <w:rFonts w:hint="eastAsia"/>
          <w:b/>
          <w:bCs/>
          <w:color w:val="auto"/>
          <w:highlight w:val="none"/>
          <w:u w:val="none"/>
          <w:lang w:val="en-US"/>
        </w:rPr>
        <w:t>25万吨/年TDI项目</w:t>
      </w:r>
      <w:r>
        <w:rPr>
          <w:b/>
          <w:bCs/>
          <w:color w:val="auto"/>
          <w:highlight w:val="none"/>
          <w:u w:val="none"/>
        </w:rPr>
        <w:t>主要污染物排放量核算汇总</w:t>
      </w:r>
      <w:r>
        <w:rPr>
          <w:rFonts w:hint="eastAsia"/>
          <w:b/>
          <w:bCs/>
          <w:color w:val="auto"/>
          <w:highlight w:val="none"/>
          <w:u w:val="none"/>
        </w:rPr>
        <w:t>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40" w:type="dxa"/>
          <w:bottom w:w="0" w:type="dxa"/>
          <w:right w:w="40" w:type="dxa"/>
        </w:tblCellMar>
      </w:tblPr>
      <w:tblGrid>
        <w:gridCol w:w="1861"/>
        <w:gridCol w:w="4419"/>
        <w:gridCol w:w="1014"/>
        <w:gridCol w:w="1971"/>
      </w:tblGrid>
      <w:tr w14:paraId="320FA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710" w:hRule="atLeast"/>
          <w:tblHeader/>
          <w:jc w:val="center"/>
        </w:trPr>
        <w:tc>
          <w:tcPr>
            <w:tcW w:w="1004" w:type="pct"/>
            <w:vAlign w:val="center"/>
          </w:tcPr>
          <w:p w14:paraId="5C716712">
            <w:pPr>
              <w:pStyle w:val="92"/>
              <w:rPr>
                <w:color w:val="auto"/>
                <w:highlight w:val="none"/>
                <w:u w:val="none"/>
              </w:rPr>
            </w:pPr>
            <w:bookmarkStart w:id="161" w:name="_Toc148374776"/>
            <w:bookmarkStart w:id="162" w:name="_Toc148374898"/>
            <w:bookmarkStart w:id="163" w:name="_Toc87001483"/>
            <w:bookmarkStart w:id="164" w:name="_Toc83736628"/>
            <w:bookmarkStart w:id="165" w:name="_Toc148374456"/>
            <w:r>
              <w:rPr>
                <w:color w:val="auto"/>
                <w:highlight w:val="none"/>
                <w:u w:val="none"/>
              </w:rPr>
              <w:t>种类</w:t>
            </w:r>
          </w:p>
        </w:tc>
        <w:tc>
          <w:tcPr>
            <w:tcW w:w="2384" w:type="pct"/>
            <w:vAlign w:val="center"/>
          </w:tcPr>
          <w:p w14:paraId="058C05B1">
            <w:pPr>
              <w:pStyle w:val="92"/>
              <w:rPr>
                <w:color w:val="auto"/>
                <w:highlight w:val="none"/>
                <w:u w:val="none"/>
              </w:rPr>
            </w:pPr>
            <w:r>
              <w:rPr>
                <w:color w:val="auto"/>
                <w:highlight w:val="none"/>
                <w:u w:val="none"/>
              </w:rPr>
              <w:t>污染物名称</w:t>
            </w:r>
          </w:p>
        </w:tc>
        <w:tc>
          <w:tcPr>
            <w:tcW w:w="547" w:type="pct"/>
            <w:vAlign w:val="center"/>
          </w:tcPr>
          <w:p w14:paraId="67C31D35">
            <w:pPr>
              <w:pStyle w:val="92"/>
              <w:rPr>
                <w:color w:val="auto"/>
                <w:highlight w:val="none"/>
                <w:u w:val="none"/>
              </w:rPr>
            </w:pPr>
            <w:r>
              <w:rPr>
                <w:color w:val="auto"/>
                <w:highlight w:val="none"/>
                <w:u w:val="none"/>
              </w:rPr>
              <w:t>单位</w:t>
            </w:r>
          </w:p>
        </w:tc>
        <w:tc>
          <w:tcPr>
            <w:tcW w:w="1063" w:type="pct"/>
            <w:vAlign w:val="center"/>
          </w:tcPr>
          <w:p w14:paraId="43446627">
            <w:pPr>
              <w:pStyle w:val="92"/>
              <w:rPr>
                <w:color w:val="auto"/>
                <w:highlight w:val="none"/>
                <w:u w:val="none"/>
              </w:rPr>
            </w:pPr>
            <w:r>
              <w:rPr>
                <w:color w:val="auto"/>
                <w:highlight w:val="none"/>
                <w:u w:val="none"/>
              </w:rPr>
              <w:t>排放量</w:t>
            </w:r>
          </w:p>
        </w:tc>
      </w:tr>
      <w:tr w14:paraId="02404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restart"/>
            <w:vAlign w:val="center"/>
          </w:tcPr>
          <w:p w14:paraId="1EC1FB5F">
            <w:pPr>
              <w:pStyle w:val="92"/>
              <w:rPr>
                <w:color w:val="auto"/>
                <w:highlight w:val="none"/>
                <w:u w:val="none"/>
              </w:rPr>
            </w:pPr>
            <w:r>
              <w:rPr>
                <w:color w:val="auto"/>
                <w:highlight w:val="none"/>
                <w:u w:val="none"/>
              </w:rPr>
              <w:t>废气</w:t>
            </w:r>
          </w:p>
          <w:p w14:paraId="12D520F0">
            <w:pPr>
              <w:pStyle w:val="92"/>
              <w:rPr>
                <w:color w:val="auto"/>
                <w:highlight w:val="none"/>
                <w:u w:val="none"/>
              </w:rPr>
            </w:pPr>
            <w:r>
              <w:rPr>
                <w:color w:val="auto"/>
                <w:highlight w:val="none"/>
                <w:u w:val="none"/>
              </w:rPr>
              <w:t>污染物</w:t>
            </w:r>
          </w:p>
        </w:tc>
        <w:tc>
          <w:tcPr>
            <w:tcW w:w="2384" w:type="pct"/>
            <w:vAlign w:val="center"/>
          </w:tcPr>
          <w:p w14:paraId="155D5E39">
            <w:pPr>
              <w:pStyle w:val="92"/>
              <w:rPr>
                <w:color w:val="auto"/>
                <w:highlight w:val="none"/>
                <w:u w:val="none"/>
              </w:rPr>
            </w:pPr>
            <w:r>
              <w:rPr>
                <w:color w:val="auto"/>
                <w:highlight w:val="none"/>
                <w:u w:val="none"/>
              </w:rPr>
              <w:t>NO</w:t>
            </w:r>
            <w:r>
              <w:rPr>
                <w:color w:val="auto"/>
                <w:highlight w:val="none"/>
                <w:u w:val="none"/>
                <w:vertAlign w:val="subscript"/>
              </w:rPr>
              <w:t>X</w:t>
            </w:r>
          </w:p>
        </w:tc>
        <w:tc>
          <w:tcPr>
            <w:tcW w:w="547" w:type="pct"/>
            <w:vAlign w:val="center"/>
          </w:tcPr>
          <w:p w14:paraId="39F46BAD">
            <w:pPr>
              <w:pStyle w:val="92"/>
              <w:rPr>
                <w:color w:val="auto"/>
                <w:highlight w:val="none"/>
                <w:u w:val="none"/>
              </w:rPr>
            </w:pPr>
            <w:r>
              <w:rPr>
                <w:color w:val="auto"/>
                <w:highlight w:val="none"/>
                <w:u w:val="none"/>
              </w:rPr>
              <w:t>t/a</w:t>
            </w:r>
          </w:p>
        </w:tc>
        <w:tc>
          <w:tcPr>
            <w:tcW w:w="1063" w:type="pct"/>
            <w:vAlign w:val="center"/>
          </w:tcPr>
          <w:p w14:paraId="70D3A3D0">
            <w:pPr>
              <w:pStyle w:val="92"/>
              <w:rPr>
                <w:color w:val="auto"/>
                <w:highlight w:val="none"/>
                <w:u w:val="none"/>
              </w:rPr>
            </w:pPr>
            <w:r>
              <w:rPr>
                <w:color w:val="auto"/>
                <w:highlight w:val="none"/>
                <w:u w:val="none"/>
              </w:rPr>
              <w:t>/</w:t>
            </w:r>
          </w:p>
        </w:tc>
      </w:tr>
      <w:tr w14:paraId="29DEB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76C43CDE">
            <w:pPr>
              <w:pStyle w:val="92"/>
              <w:rPr>
                <w:color w:val="auto"/>
                <w:highlight w:val="none"/>
                <w:u w:val="none"/>
              </w:rPr>
            </w:pPr>
          </w:p>
        </w:tc>
        <w:tc>
          <w:tcPr>
            <w:tcW w:w="2384" w:type="pct"/>
            <w:vAlign w:val="center"/>
          </w:tcPr>
          <w:p w14:paraId="616002D7">
            <w:pPr>
              <w:pStyle w:val="92"/>
              <w:rPr>
                <w:color w:val="auto"/>
                <w:highlight w:val="none"/>
                <w:u w:val="none"/>
              </w:rPr>
            </w:pPr>
            <w:r>
              <w:rPr>
                <w:color w:val="auto"/>
                <w:highlight w:val="none"/>
                <w:u w:val="none"/>
              </w:rPr>
              <w:t>硝基苯类</w:t>
            </w:r>
          </w:p>
        </w:tc>
        <w:tc>
          <w:tcPr>
            <w:tcW w:w="547" w:type="pct"/>
            <w:vAlign w:val="center"/>
          </w:tcPr>
          <w:p w14:paraId="3B59DC21">
            <w:pPr>
              <w:pStyle w:val="92"/>
              <w:rPr>
                <w:color w:val="auto"/>
                <w:highlight w:val="none"/>
                <w:u w:val="none"/>
              </w:rPr>
            </w:pPr>
            <w:r>
              <w:rPr>
                <w:color w:val="auto"/>
                <w:highlight w:val="none"/>
                <w:u w:val="none"/>
              </w:rPr>
              <w:t>t/a</w:t>
            </w:r>
          </w:p>
        </w:tc>
        <w:tc>
          <w:tcPr>
            <w:tcW w:w="1063" w:type="pct"/>
            <w:vAlign w:val="center"/>
          </w:tcPr>
          <w:p w14:paraId="015EB8A8">
            <w:pPr>
              <w:pStyle w:val="92"/>
              <w:rPr>
                <w:color w:val="auto"/>
                <w:highlight w:val="none"/>
                <w:u w:val="none"/>
              </w:rPr>
            </w:pPr>
            <w:r>
              <w:rPr>
                <w:color w:val="auto"/>
                <w:highlight w:val="none"/>
                <w:u w:val="none"/>
              </w:rPr>
              <w:t>0.921</w:t>
            </w:r>
          </w:p>
        </w:tc>
      </w:tr>
      <w:tr w14:paraId="6FE28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F1CF320">
            <w:pPr>
              <w:pStyle w:val="92"/>
              <w:rPr>
                <w:color w:val="auto"/>
                <w:highlight w:val="none"/>
                <w:u w:val="none"/>
              </w:rPr>
            </w:pPr>
          </w:p>
        </w:tc>
        <w:tc>
          <w:tcPr>
            <w:tcW w:w="2384" w:type="pct"/>
            <w:vAlign w:val="center"/>
          </w:tcPr>
          <w:p w14:paraId="74A7F078">
            <w:pPr>
              <w:pStyle w:val="92"/>
              <w:rPr>
                <w:color w:val="auto"/>
                <w:highlight w:val="none"/>
                <w:u w:val="none"/>
              </w:rPr>
            </w:pPr>
            <w:r>
              <w:rPr>
                <w:color w:val="auto"/>
                <w:highlight w:val="none"/>
                <w:u w:val="none"/>
              </w:rPr>
              <w:t>甲苯</w:t>
            </w:r>
          </w:p>
        </w:tc>
        <w:tc>
          <w:tcPr>
            <w:tcW w:w="547" w:type="pct"/>
            <w:vAlign w:val="center"/>
          </w:tcPr>
          <w:p w14:paraId="69C12C05">
            <w:pPr>
              <w:pStyle w:val="92"/>
              <w:rPr>
                <w:color w:val="auto"/>
                <w:highlight w:val="none"/>
                <w:u w:val="none"/>
              </w:rPr>
            </w:pPr>
            <w:r>
              <w:rPr>
                <w:color w:val="auto"/>
                <w:highlight w:val="none"/>
                <w:u w:val="none"/>
              </w:rPr>
              <w:t>t/a</w:t>
            </w:r>
          </w:p>
        </w:tc>
        <w:tc>
          <w:tcPr>
            <w:tcW w:w="1063" w:type="pct"/>
            <w:vAlign w:val="center"/>
          </w:tcPr>
          <w:p w14:paraId="32C2A28B">
            <w:pPr>
              <w:pStyle w:val="92"/>
              <w:rPr>
                <w:color w:val="auto"/>
                <w:highlight w:val="none"/>
                <w:u w:val="none"/>
              </w:rPr>
            </w:pPr>
            <w:r>
              <w:rPr>
                <w:color w:val="auto"/>
                <w:highlight w:val="none"/>
                <w:u w:val="none"/>
              </w:rPr>
              <w:t>0.422</w:t>
            </w:r>
          </w:p>
        </w:tc>
      </w:tr>
      <w:tr w14:paraId="0FF1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60C03AF9">
            <w:pPr>
              <w:pStyle w:val="92"/>
              <w:rPr>
                <w:color w:val="auto"/>
                <w:highlight w:val="none"/>
                <w:u w:val="none"/>
              </w:rPr>
            </w:pPr>
          </w:p>
        </w:tc>
        <w:tc>
          <w:tcPr>
            <w:tcW w:w="2384" w:type="pct"/>
            <w:vAlign w:val="center"/>
          </w:tcPr>
          <w:p w14:paraId="49A34AD5">
            <w:pPr>
              <w:pStyle w:val="92"/>
              <w:rPr>
                <w:color w:val="auto"/>
                <w:highlight w:val="none"/>
                <w:u w:val="none"/>
              </w:rPr>
            </w:pPr>
            <w:r>
              <w:rPr>
                <w:color w:val="auto"/>
                <w:highlight w:val="none"/>
                <w:u w:val="none"/>
              </w:rPr>
              <w:t>氨</w:t>
            </w:r>
          </w:p>
        </w:tc>
        <w:tc>
          <w:tcPr>
            <w:tcW w:w="547" w:type="pct"/>
            <w:vAlign w:val="center"/>
          </w:tcPr>
          <w:p w14:paraId="187AA832">
            <w:pPr>
              <w:pStyle w:val="92"/>
              <w:rPr>
                <w:color w:val="auto"/>
                <w:highlight w:val="none"/>
                <w:u w:val="none"/>
              </w:rPr>
            </w:pPr>
            <w:r>
              <w:rPr>
                <w:color w:val="auto"/>
                <w:highlight w:val="none"/>
                <w:u w:val="none"/>
              </w:rPr>
              <w:t>t/a</w:t>
            </w:r>
          </w:p>
        </w:tc>
        <w:tc>
          <w:tcPr>
            <w:tcW w:w="1063" w:type="pct"/>
            <w:vAlign w:val="center"/>
          </w:tcPr>
          <w:p w14:paraId="34933F56">
            <w:pPr>
              <w:pStyle w:val="92"/>
              <w:rPr>
                <w:color w:val="auto"/>
                <w:highlight w:val="none"/>
                <w:u w:val="none"/>
              </w:rPr>
            </w:pPr>
            <w:r>
              <w:rPr>
                <w:color w:val="auto"/>
                <w:highlight w:val="none"/>
                <w:u w:val="none"/>
              </w:rPr>
              <w:t>/</w:t>
            </w:r>
          </w:p>
        </w:tc>
      </w:tr>
      <w:tr w14:paraId="1965F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413E5255">
            <w:pPr>
              <w:pStyle w:val="92"/>
              <w:rPr>
                <w:color w:val="auto"/>
                <w:highlight w:val="none"/>
                <w:u w:val="none"/>
              </w:rPr>
            </w:pPr>
          </w:p>
        </w:tc>
        <w:tc>
          <w:tcPr>
            <w:tcW w:w="2384" w:type="pct"/>
            <w:vAlign w:val="center"/>
          </w:tcPr>
          <w:p w14:paraId="0EE94B38">
            <w:pPr>
              <w:pStyle w:val="92"/>
              <w:rPr>
                <w:color w:val="auto"/>
                <w:highlight w:val="none"/>
                <w:u w:val="none"/>
              </w:rPr>
            </w:pPr>
            <w:r>
              <w:rPr>
                <w:color w:val="auto"/>
                <w:highlight w:val="none"/>
                <w:u w:val="none"/>
              </w:rPr>
              <w:t>VOC</w:t>
            </w:r>
            <w:r>
              <w:rPr>
                <w:color w:val="auto"/>
                <w:highlight w:val="none"/>
                <w:u w:val="none"/>
                <w:vertAlign w:val="subscript"/>
              </w:rPr>
              <w:t>S</w:t>
            </w:r>
            <w:r>
              <w:rPr>
                <w:rFonts w:hint="eastAsia"/>
                <w:color w:val="auto"/>
                <w:highlight w:val="none"/>
                <w:u w:val="none"/>
                <w:vertAlign w:val="superscript"/>
              </w:rPr>
              <w:t>（1）</w:t>
            </w:r>
          </w:p>
        </w:tc>
        <w:tc>
          <w:tcPr>
            <w:tcW w:w="547" w:type="pct"/>
            <w:vAlign w:val="center"/>
          </w:tcPr>
          <w:p w14:paraId="26F749A2">
            <w:pPr>
              <w:pStyle w:val="92"/>
              <w:rPr>
                <w:color w:val="auto"/>
                <w:highlight w:val="none"/>
                <w:u w:val="none"/>
              </w:rPr>
            </w:pPr>
            <w:r>
              <w:rPr>
                <w:color w:val="auto"/>
                <w:highlight w:val="none"/>
                <w:u w:val="none"/>
              </w:rPr>
              <w:t>t/a</w:t>
            </w:r>
          </w:p>
        </w:tc>
        <w:tc>
          <w:tcPr>
            <w:tcW w:w="1063" w:type="pct"/>
            <w:vAlign w:val="center"/>
          </w:tcPr>
          <w:p w14:paraId="77D09EB8">
            <w:pPr>
              <w:pStyle w:val="92"/>
              <w:rPr>
                <w:rFonts w:hint="default" w:eastAsia="宋体"/>
                <w:color w:val="auto"/>
                <w:highlight w:val="none"/>
                <w:u w:val="none"/>
                <w:lang w:val="en-US" w:eastAsia="zh-CN"/>
              </w:rPr>
            </w:pPr>
            <w:r>
              <w:rPr>
                <w:rFonts w:hint="eastAsia"/>
                <w:color w:val="auto"/>
                <w:highlight w:val="none"/>
                <w:u w:val="none"/>
              </w:rPr>
              <w:t>13.</w:t>
            </w:r>
            <w:r>
              <w:rPr>
                <w:rFonts w:hint="eastAsia"/>
                <w:color w:val="auto"/>
                <w:highlight w:val="none"/>
                <w:u w:val="none"/>
                <w:lang w:val="en-US" w:eastAsia="zh-CN"/>
              </w:rPr>
              <w:t>915</w:t>
            </w:r>
          </w:p>
        </w:tc>
      </w:tr>
      <w:tr w14:paraId="56DF0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7774DA16">
            <w:pPr>
              <w:pStyle w:val="92"/>
              <w:rPr>
                <w:color w:val="auto"/>
                <w:highlight w:val="none"/>
                <w:u w:val="none"/>
              </w:rPr>
            </w:pPr>
          </w:p>
        </w:tc>
        <w:tc>
          <w:tcPr>
            <w:tcW w:w="2384" w:type="pct"/>
            <w:vAlign w:val="center"/>
          </w:tcPr>
          <w:p w14:paraId="58DF7D12">
            <w:pPr>
              <w:pStyle w:val="92"/>
              <w:rPr>
                <w:color w:val="auto"/>
                <w:highlight w:val="none"/>
                <w:u w:val="none"/>
              </w:rPr>
            </w:pPr>
            <w:r>
              <w:rPr>
                <w:color w:val="auto"/>
                <w:highlight w:val="none"/>
                <w:u w:val="none"/>
              </w:rPr>
              <w:t>苯胺类</w:t>
            </w:r>
          </w:p>
        </w:tc>
        <w:tc>
          <w:tcPr>
            <w:tcW w:w="547" w:type="pct"/>
            <w:vAlign w:val="center"/>
          </w:tcPr>
          <w:p w14:paraId="10CDF7C7">
            <w:pPr>
              <w:pStyle w:val="92"/>
              <w:rPr>
                <w:color w:val="auto"/>
                <w:highlight w:val="none"/>
                <w:u w:val="none"/>
              </w:rPr>
            </w:pPr>
            <w:r>
              <w:rPr>
                <w:color w:val="auto"/>
                <w:highlight w:val="none"/>
                <w:u w:val="none"/>
              </w:rPr>
              <w:t>t/a</w:t>
            </w:r>
          </w:p>
        </w:tc>
        <w:tc>
          <w:tcPr>
            <w:tcW w:w="1063" w:type="pct"/>
            <w:vAlign w:val="center"/>
          </w:tcPr>
          <w:p w14:paraId="48A757C6">
            <w:pPr>
              <w:pStyle w:val="92"/>
              <w:rPr>
                <w:color w:val="auto"/>
                <w:highlight w:val="none"/>
                <w:u w:val="none"/>
              </w:rPr>
            </w:pPr>
            <w:r>
              <w:rPr>
                <w:rFonts w:hint="eastAsia"/>
                <w:color w:val="auto"/>
                <w:highlight w:val="none"/>
                <w:u w:val="none"/>
                <w:lang w:bidi="ar"/>
              </w:rPr>
              <w:t>4.852</w:t>
            </w:r>
          </w:p>
        </w:tc>
      </w:tr>
      <w:tr w14:paraId="65099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4663D4FC">
            <w:pPr>
              <w:pStyle w:val="92"/>
              <w:rPr>
                <w:color w:val="auto"/>
                <w:highlight w:val="none"/>
                <w:u w:val="none"/>
              </w:rPr>
            </w:pPr>
          </w:p>
        </w:tc>
        <w:tc>
          <w:tcPr>
            <w:tcW w:w="2384" w:type="pct"/>
            <w:vAlign w:val="center"/>
          </w:tcPr>
          <w:p w14:paraId="7EEE95B2">
            <w:pPr>
              <w:pStyle w:val="92"/>
              <w:rPr>
                <w:color w:val="auto"/>
                <w:highlight w:val="none"/>
                <w:u w:val="none"/>
              </w:rPr>
            </w:pPr>
            <w:r>
              <w:rPr>
                <w:color w:val="auto"/>
                <w:highlight w:val="none"/>
                <w:u w:val="none"/>
              </w:rPr>
              <w:t>TDI</w:t>
            </w:r>
          </w:p>
        </w:tc>
        <w:tc>
          <w:tcPr>
            <w:tcW w:w="547" w:type="pct"/>
            <w:vAlign w:val="center"/>
          </w:tcPr>
          <w:p w14:paraId="21F1B8D0">
            <w:pPr>
              <w:pStyle w:val="92"/>
              <w:rPr>
                <w:color w:val="auto"/>
                <w:highlight w:val="none"/>
                <w:u w:val="none"/>
              </w:rPr>
            </w:pPr>
            <w:r>
              <w:rPr>
                <w:color w:val="auto"/>
                <w:highlight w:val="none"/>
                <w:u w:val="none"/>
              </w:rPr>
              <w:t>t/a</w:t>
            </w:r>
          </w:p>
        </w:tc>
        <w:tc>
          <w:tcPr>
            <w:tcW w:w="1063" w:type="pct"/>
            <w:vAlign w:val="center"/>
          </w:tcPr>
          <w:p w14:paraId="514BD3CF">
            <w:pPr>
              <w:pStyle w:val="92"/>
              <w:rPr>
                <w:color w:val="auto"/>
                <w:highlight w:val="none"/>
                <w:u w:val="none"/>
              </w:rPr>
            </w:pPr>
            <w:r>
              <w:rPr>
                <w:color w:val="auto"/>
                <w:highlight w:val="none"/>
                <w:u w:val="none"/>
              </w:rPr>
              <w:t>1.363</w:t>
            </w:r>
          </w:p>
        </w:tc>
      </w:tr>
      <w:tr w14:paraId="5042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3C7E7BBE">
            <w:pPr>
              <w:pStyle w:val="92"/>
              <w:rPr>
                <w:color w:val="auto"/>
                <w:highlight w:val="none"/>
                <w:u w:val="none"/>
              </w:rPr>
            </w:pPr>
          </w:p>
        </w:tc>
        <w:tc>
          <w:tcPr>
            <w:tcW w:w="2384" w:type="pct"/>
            <w:vAlign w:val="center"/>
          </w:tcPr>
          <w:p w14:paraId="5B5DECA8">
            <w:pPr>
              <w:pStyle w:val="92"/>
              <w:rPr>
                <w:color w:val="auto"/>
                <w:highlight w:val="none"/>
                <w:u w:val="none"/>
              </w:rPr>
            </w:pPr>
            <w:r>
              <w:rPr>
                <w:color w:val="auto"/>
                <w:highlight w:val="none"/>
                <w:u w:val="none"/>
              </w:rPr>
              <w:t>氯苯类</w:t>
            </w:r>
          </w:p>
        </w:tc>
        <w:tc>
          <w:tcPr>
            <w:tcW w:w="547" w:type="pct"/>
            <w:vAlign w:val="center"/>
          </w:tcPr>
          <w:p w14:paraId="3D4CD18F">
            <w:pPr>
              <w:pStyle w:val="92"/>
              <w:rPr>
                <w:color w:val="auto"/>
                <w:highlight w:val="none"/>
                <w:u w:val="none"/>
              </w:rPr>
            </w:pPr>
            <w:r>
              <w:rPr>
                <w:color w:val="auto"/>
                <w:highlight w:val="none"/>
                <w:u w:val="none"/>
              </w:rPr>
              <w:t>t/a</w:t>
            </w:r>
          </w:p>
        </w:tc>
        <w:tc>
          <w:tcPr>
            <w:tcW w:w="1063" w:type="pct"/>
            <w:vAlign w:val="center"/>
          </w:tcPr>
          <w:p w14:paraId="47101D56">
            <w:pPr>
              <w:pStyle w:val="92"/>
              <w:rPr>
                <w:color w:val="auto"/>
                <w:highlight w:val="none"/>
                <w:u w:val="none"/>
              </w:rPr>
            </w:pPr>
            <w:r>
              <w:rPr>
                <w:rFonts w:hint="eastAsia"/>
                <w:color w:val="auto"/>
                <w:highlight w:val="none"/>
                <w:u w:val="none"/>
              </w:rPr>
              <w:t>1.695</w:t>
            </w:r>
          </w:p>
        </w:tc>
      </w:tr>
      <w:tr w14:paraId="2FDF5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1925A9B3">
            <w:pPr>
              <w:pStyle w:val="92"/>
              <w:rPr>
                <w:color w:val="auto"/>
                <w:highlight w:val="none"/>
                <w:u w:val="none"/>
              </w:rPr>
            </w:pPr>
          </w:p>
        </w:tc>
        <w:tc>
          <w:tcPr>
            <w:tcW w:w="2384" w:type="pct"/>
            <w:vAlign w:val="center"/>
          </w:tcPr>
          <w:p w14:paraId="54EC0414">
            <w:pPr>
              <w:pStyle w:val="92"/>
              <w:rPr>
                <w:color w:val="auto"/>
                <w:highlight w:val="none"/>
                <w:u w:val="none"/>
              </w:rPr>
            </w:pPr>
            <w:r>
              <w:rPr>
                <w:color w:val="auto"/>
                <w:highlight w:val="none"/>
                <w:u w:val="none"/>
              </w:rPr>
              <w:t>光气</w:t>
            </w:r>
          </w:p>
        </w:tc>
        <w:tc>
          <w:tcPr>
            <w:tcW w:w="547" w:type="pct"/>
            <w:vAlign w:val="center"/>
          </w:tcPr>
          <w:p w14:paraId="7D655B1D">
            <w:pPr>
              <w:pStyle w:val="92"/>
              <w:rPr>
                <w:color w:val="auto"/>
                <w:highlight w:val="none"/>
                <w:u w:val="none"/>
              </w:rPr>
            </w:pPr>
            <w:r>
              <w:rPr>
                <w:color w:val="auto"/>
                <w:highlight w:val="none"/>
                <w:u w:val="none"/>
              </w:rPr>
              <w:t>t/a</w:t>
            </w:r>
          </w:p>
        </w:tc>
        <w:tc>
          <w:tcPr>
            <w:tcW w:w="1063" w:type="pct"/>
            <w:vAlign w:val="center"/>
          </w:tcPr>
          <w:p w14:paraId="34655E4C">
            <w:pPr>
              <w:pStyle w:val="92"/>
              <w:rPr>
                <w:color w:val="auto"/>
                <w:highlight w:val="none"/>
                <w:u w:val="none"/>
              </w:rPr>
            </w:pPr>
            <w:r>
              <w:rPr>
                <w:color w:val="auto"/>
                <w:highlight w:val="none"/>
                <w:u w:val="none"/>
              </w:rPr>
              <w:t>0.189</w:t>
            </w:r>
          </w:p>
        </w:tc>
      </w:tr>
      <w:tr w14:paraId="636469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27674AEB">
            <w:pPr>
              <w:pStyle w:val="92"/>
              <w:rPr>
                <w:color w:val="auto"/>
                <w:highlight w:val="none"/>
                <w:u w:val="none"/>
              </w:rPr>
            </w:pPr>
          </w:p>
        </w:tc>
        <w:tc>
          <w:tcPr>
            <w:tcW w:w="2384" w:type="pct"/>
            <w:vAlign w:val="center"/>
          </w:tcPr>
          <w:p w14:paraId="40B1DAA2">
            <w:pPr>
              <w:pStyle w:val="92"/>
              <w:rPr>
                <w:color w:val="auto"/>
                <w:highlight w:val="none"/>
                <w:u w:val="none"/>
              </w:rPr>
            </w:pPr>
            <w:r>
              <w:rPr>
                <w:color w:val="auto"/>
                <w:highlight w:val="none"/>
                <w:u w:val="none"/>
              </w:rPr>
              <w:t>氯化氢</w:t>
            </w:r>
          </w:p>
        </w:tc>
        <w:tc>
          <w:tcPr>
            <w:tcW w:w="547" w:type="pct"/>
            <w:vAlign w:val="center"/>
          </w:tcPr>
          <w:p w14:paraId="021D5AB6">
            <w:pPr>
              <w:pStyle w:val="92"/>
              <w:rPr>
                <w:color w:val="auto"/>
                <w:highlight w:val="none"/>
                <w:u w:val="none"/>
              </w:rPr>
            </w:pPr>
            <w:r>
              <w:rPr>
                <w:color w:val="auto"/>
                <w:highlight w:val="none"/>
                <w:u w:val="none"/>
              </w:rPr>
              <w:t>t/a</w:t>
            </w:r>
          </w:p>
        </w:tc>
        <w:tc>
          <w:tcPr>
            <w:tcW w:w="1063" w:type="pct"/>
            <w:vAlign w:val="center"/>
          </w:tcPr>
          <w:p w14:paraId="3B2DB423">
            <w:pPr>
              <w:pStyle w:val="92"/>
              <w:rPr>
                <w:color w:val="auto"/>
                <w:highlight w:val="none"/>
                <w:u w:val="none"/>
              </w:rPr>
            </w:pPr>
            <w:r>
              <w:rPr>
                <w:color w:val="auto"/>
                <w:highlight w:val="none"/>
                <w:u w:val="none"/>
              </w:rPr>
              <w:t>2.267</w:t>
            </w:r>
          </w:p>
        </w:tc>
      </w:tr>
      <w:tr w14:paraId="16CC2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1E22BDC2">
            <w:pPr>
              <w:pStyle w:val="92"/>
              <w:rPr>
                <w:color w:val="auto"/>
                <w:highlight w:val="none"/>
                <w:u w:val="none"/>
              </w:rPr>
            </w:pPr>
          </w:p>
        </w:tc>
        <w:tc>
          <w:tcPr>
            <w:tcW w:w="2384" w:type="pct"/>
            <w:vAlign w:val="center"/>
          </w:tcPr>
          <w:p w14:paraId="35D684FB">
            <w:pPr>
              <w:pStyle w:val="92"/>
              <w:rPr>
                <w:color w:val="auto"/>
                <w:highlight w:val="none"/>
                <w:u w:val="none"/>
              </w:rPr>
            </w:pPr>
            <w:r>
              <w:rPr>
                <w:color w:val="auto"/>
                <w:highlight w:val="none"/>
                <w:u w:val="none"/>
              </w:rPr>
              <w:t>氯气</w:t>
            </w:r>
          </w:p>
        </w:tc>
        <w:tc>
          <w:tcPr>
            <w:tcW w:w="547" w:type="pct"/>
            <w:vAlign w:val="center"/>
          </w:tcPr>
          <w:p w14:paraId="01B8724B">
            <w:pPr>
              <w:pStyle w:val="92"/>
              <w:rPr>
                <w:color w:val="auto"/>
                <w:highlight w:val="none"/>
                <w:u w:val="none"/>
              </w:rPr>
            </w:pPr>
            <w:r>
              <w:rPr>
                <w:color w:val="auto"/>
                <w:highlight w:val="none"/>
                <w:u w:val="none"/>
              </w:rPr>
              <w:t>t/a</w:t>
            </w:r>
          </w:p>
        </w:tc>
        <w:tc>
          <w:tcPr>
            <w:tcW w:w="1063" w:type="pct"/>
            <w:vAlign w:val="center"/>
          </w:tcPr>
          <w:p w14:paraId="1C056A4F">
            <w:pPr>
              <w:pStyle w:val="92"/>
              <w:rPr>
                <w:color w:val="auto"/>
                <w:highlight w:val="none"/>
                <w:u w:val="none"/>
              </w:rPr>
            </w:pPr>
            <w:r>
              <w:rPr>
                <w:color w:val="auto"/>
                <w:highlight w:val="none"/>
                <w:u w:val="none"/>
              </w:rPr>
              <w:t>2.200</w:t>
            </w:r>
          </w:p>
        </w:tc>
      </w:tr>
      <w:tr w14:paraId="43EA9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30407D64">
            <w:pPr>
              <w:pStyle w:val="92"/>
              <w:rPr>
                <w:color w:val="auto"/>
                <w:highlight w:val="none"/>
                <w:u w:val="none"/>
              </w:rPr>
            </w:pPr>
          </w:p>
        </w:tc>
        <w:tc>
          <w:tcPr>
            <w:tcW w:w="2384" w:type="pct"/>
            <w:vAlign w:val="center"/>
          </w:tcPr>
          <w:p w14:paraId="35172BB0">
            <w:pPr>
              <w:pStyle w:val="92"/>
              <w:rPr>
                <w:color w:val="auto"/>
                <w:highlight w:val="none"/>
                <w:u w:val="none"/>
              </w:rPr>
            </w:pPr>
            <w:r>
              <w:rPr>
                <w:rFonts w:hint="eastAsia"/>
                <w:color w:val="auto"/>
                <w:highlight w:val="none"/>
                <w:u w:val="none"/>
              </w:rPr>
              <w:t>颗粒物</w:t>
            </w:r>
          </w:p>
        </w:tc>
        <w:tc>
          <w:tcPr>
            <w:tcW w:w="547" w:type="pct"/>
            <w:vAlign w:val="center"/>
          </w:tcPr>
          <w:p w14:paraId="54F3C7EB">
            <w:pPr>
              <w:pStyle w:val="92"/>
              <w:rPr>
                <w:color w:val="auto"/>
                <w:highlight w:val="none"/>
                <w:u w:val="none"/>
              </w:rPr>
            </w:pPr>
            <w:r>
              <w:rPr>
                <w:color w:val="auto"/>
                <w:highlight w:val="none"/>
                <w:u w:val="none"/>
              </w:rPr>
              <w:t>t/a</w:t>
            </w:r>
          </w:p>
        </w:tc>
        <w:tc>
          <w:tcPr>
            <w:tcW w:w="1063" w:type="pct"/>
            <w:vAlign w:val="center"/>
          </w:tcPr>
          <w:p w14:paraId="27495911">
            <w:pPr>
              <w:pStyle w:val="92"/>
              <w:rPr>
                <w:color w:val="auto"/>
                <w:highlight w:val="none"/>
                <w:u w:val="none"/>
              </w:rPr>
            </w:pPr>
            <w:r>
              <w:rPr>
                <w:rFonts w:hint="eastAsia"/>
                <w:color w:val="auto"/>
                <w:highlight w:val="none"/>
                <w:u w:val="none"/>
              </w:rPr>
              <w:t>0.00168</w:t>
            </w:r>
          </w:p>
        </w:tc>
      </w:tr>
      <w:tr w14:paraId="26D70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restart"/>
            <w:vAlign w:val="center"/>
          </w:tcPr>
          <w:p w14:paraId="1A3E71DE">
            <w:pPr>
              <w:pStyle w:val="92"/>
              <w:rPr>
                <w:color w:val="auto"/>
                <w:highlight w:val="none"/>
                <w:u w:val="none"/>
              </w:rPr>
            </w:pPr>
            <w:r>
              <w:rPr>
                <w:color w:val="auto"/>
                <w:highlight w:val="none"/>
                <w:u w:val="none"/>
              </w:rPr>
              <w:t>废水</w:t>
            </w:r>
          </w:p>
          <w:p w14:paraId="68A31023">
            <w:pPr>
              <w:pStyle w:val="92"/>
              <w:rPr>
                <w:color w:val="auto"/>
                <w:highlight w:val="none"/>
                <w:u w:val="none"/>
              </w:rPr>
            </w:pPr>
            <w:r>
              <w:rPr>
                <w:color w:val="auto"/>
                <w:highlight w:val="none"/>
                <w:u w:val="none"/>
              </w:rPr>
              <w:t>污染物</w:t>
            </w:r>
            <w:r>
              <w:rPr>
                <w:rFonts w:hint="eastAsia"/>
                <w:color w:val="auto"/>
                <w:highlight w:val="none"/>
                <w:u w:val="none"/>
                <w:vertAlign w:val="superscript"/>
              </w:rPr>
              <w:t>（2）</w:t>
            </w:r>
          </w:p>
        </w:tc>
        <w:tc>
          <w:tcPr>
            <w:tcW w:w="2384" w:type="pct"/>
            <w:vAlign w:val="center"/>
          </w:tcPr>
          <w:p w14:paraId="52AEFB49">
            <w:pPr>
              <w:pStyle w:val="92"/>
              <w:rPr>
                <w:color w:val="auto"/>
                <w:highlight w:val="none"/>
                <w:u w:val="none"/>
              </w:rPr>
            </w:pPr>
            <w:r>
              <w:rPr>
                <w:color w:val="auto"/>
                <w:highlight w:val="none"/>
                <w:u w:val="none"/>
              </w:rPr>
              <w:t>水量</w:t>
            </w:r>
          </w:p>
        </w:tc>
        <w:tc>
          <w:tcPr>
            <w:tcW w:w="547" w:type="pct"/>
            <w:vAlign w:val="center"/>
          </w:tcPr>
          <w:p w14:paraId="1DEB00EE">
            <w:pPr>
              <w:pStyle w:val="92"/>
              <w:rPr>
                <w:color w:val="auto"/>
                <w:highlight w:val="none"/>
                <w:u w:val="none"/>
              </w:rPr>
            </w:pPr>
            <w:r>
              <w:rPr>
                <w:color w:val="auto"/>
                <w:highlight w:val="none"/>
                <w:u w:val="none"/>
              </w:rPr>
              <w:t>t/a</w:t>
            </w:r>
          </w:p>
        </w:tc>
        <w:tc>
          <w:tcPr>
            <w:tcW w:w="1971" w:type="dxa"/>
            <w:vAlign w:val="center"/>
          </w:tcPr>
          <w:p w14:paraId="5B8F6308">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eastAsia="zh-CN" w:bidi="ar"/>
              </w:rPr>
              <w:t>373257.24</w:t>
            </w:r>
          </w:p>
        </w:tc>
      </w:tr>
      <w:tr w14:paraId="58593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22839EE1">
            <w:pPr>
              <w:pStyle w:val="92"/>
              <w:rPr>
                <w:color w:val="auto"/>
                <w:highlight w:val="none"/>
                <w:u w:val="none"/>
              </w:rPr>
            </w:pPr>
          </w:p>
        </w:tc>
        <w:tc>
          <w:tcPr>
            <w:tcW w:w="2384" w:type="pct"/>
            <w:vAlign w:val="center"/>
          </w:tcPr>
          <w:p w14:paraId="2E72DF14">
            <w:pPr>
              <w:pStyle w:val="92"/>
              <w:rPr>
                <w:color w:val="auto"/>
                <w:highlight w:val="none"/>
                <w:u w:val="none"/>
              </w:rPr>
            </w:pPr>
            <w:r>
              <w:rPr>
                <w:color w:val="auto"/>
                <w:highlight w:val="none"/>
                <w:u w:val="none"/>
              </w:rPr>
              <w:t>COD</w:t>
            </w:r>
          </w:p>
        </w:tc>
        <w:tc>
          <w:tcPr>
            <w:tcW w:w="547" w:type="pct"/>
            <w:vAlign w:val="center"/>
          </w:tcPr>
          <w:p w14:paraId="07E4C4BB">
            <w:pPr>
              <w:pStyle w:val="92"/>
              <w:rPr>
                <w:color w:val="auto"/>
                <w:highlight w:val="none"/>
                <w:u w:val="none"/>
              </w:rPr>
            </w:pPr>
            <w:r>
              <w:rPr>
                <w:color w:val="auto"/>
                <w:highlight w:val="none"/>
                <w:u w:val="none"/>
              </w:rPr>
              <w:t>t/a</w:t>
            </w:r>
          </w:p>
        </w:tc>
        <w:tc>
          <w:tcPr>
            <w:tcW w:w="1971" w:type="dxa"/>
            <w:vAlign w:val="center"/>
          </w:tcPr>
          <w:p w14:paraId="6E5BF1D4">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eastAsia="zh-CN" w:bidi="ar"/>
              </w:rPr>
              <w:t>18.66</w:t>
            </w:r>
          </w:p>
        </w:tc>
      </w:tr>
      <w:tr w14:paraId="0BA8A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72D9E0F0">
            <w:pPr>
              <w:pStyle w:val="92"/>
              <w:rPr>
                <w:color w:val="auto"/>
                <w:highlight w:val="none"/>
                <w:u w:val="none"/>
              </w:rPr>
            </w:pPr>
          </w:p>
        </w:tc>
        <w:tc>
          <w:tcPr>
            <w:tcW w:w="2384" w:type="pct"/>
            <w:vAlign w:val="center"/>
          </w:tcPr>
          <w:p w14:paraId="2B97427D">
            <w:pPr>
              <w:pStyle w:val="92"/>
              <w:rPr>
                <w:color w:val="auto"/>
                <w:highlight w:val="none"/>
                <w:u w:val="none"/>
              </w:rPr>
            </w:pPr>
            <w:r>
              <w:rPr>
                <w:color w:val="auto"/>
                <w:highlight w:val="none"/>
                <w:u w:val="none"/>
              </w:rPr>
              <w:t>氨氮</w:t>
            </w:r>
          </w:p>
        </w:tc>
        <w:tc>
          <w:tcPr>
            <w:tcW w:w="547" w:type="pct"/>
            <w:vAlign w:val="center"/>
          </w:tcPr>
          <w:p w14:paraId="64DE6D14">
            <w:pPr>
              <w:pStyle w:val="92"/>
              <w:rPr>
                <w:color w:val="auto"/>
                <w:highlight w:val="none"/>
                <w:u w:val="none"/>
              </w:rPr>
            </w:pPr>
            <w:r>
              <w:rPr>
                <w:color w:val="auto"/>
                <w:highlight w:val="none"/>
                <w:u w:val="none"/>
              </w:rPr>
              <w:t>t/a</w:t>
            </w:r>
          </w:p>
        </w:tc>
        <w:tc>
          <w:tcPr>
            <w:tcW w:w="1971" w:type="dxa"/>
            <w:vAlign w:val="center"/>
          </w:tcPr>
          <w:p w14:paraId="440B96E5">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eastAsia="zh-CN" w:bidi="ar"/>
              </w:rPr>
              <w:t>1.87</w:t>
            </w:r>
          </w:p>
        </w:tc>
      </w:tr>
      <w:tr w14:paraId="7A7AA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60412B63">
            <w:pPr>
              <w:pStyle w:val="92"/>
              <w:rPr>
                <w:color w:val="auto"/>
                <w:highlight w:val="none"/>
                <w:u w:val="none"/>
              </w:rPr>
            </w:pPr>
          </w:p>
        </w:tc>
        <w:tc>
          <w:tcPr>
            <w:tcW w:w="2384" w:type="pct"/>
            <w:vAlign w:val="center"/>
          </w:tcPr>
          <w:p w14:paraId="3F2A61B0">
            <w:pPr>
              <w:pStyle w:val="92"/>
              <w:rPr>
                <w:color w:val="auto"/>
                <w:highlight w:val="none"/>
                <w:u w:val="none"/>
              </w:rPr>
            </w:pPr>
            <w:r>
              <w:rPr>
                <w:color w:val="auto"/>
                <w:highlight w:val="none"/>
                <w:u w:val="none"/>
              </w:rPr>
              <w:t>SS</w:t>
            </w:r>
          </w:p>
        </w:tc>
        <w:tc>
          <w:tcPr>
            <w:tcW w:w="547" w:type="pct"/>
            <w:vAlign w:val="center"/>
          </w:tcPr>
          <w:p w14:paraId="57F265EB">
            <w:pPr>
              <w:pStyle w:val="92"/>
              <w:rPr>
                <w:color w:val="auto"/>
                <w:highlight w:val="none"/>
                <w:u w:val="none"/>
              </w:rPr>
            </w:pPr>
            <w:r>
              <w:rPr>
                <w:color w:val="auto"/>
                <w:highlight w:val="none"/>
                <w:u w:val="none"/>
              </w:rPr>
              <w:t>t/a</w:t>
            </w:r>
          </w:p>
        </w:tc>
        <w:tc>
          <w:tcPr>
            <w:tcW w:w="1971" w:type="dxa"/>
            <w:vAlign w:val="center"/>
          </w:tcPr>
          <w:p w14:paraId="093CBF11">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0.1</w:t>
            </w:r>
          </w:p>
        </w:tc>
      </w:tr>
      <w:tr w14:paraId="3080A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4EA787DD">
            <w:pPr>
              <w:pStyle w:val="92"/>
              <w:rPr>
                <w:color w:val="auto"/>
                <w:highlight w:val="none"/>
                <w:u w:val="none"/>
              </w:rPr>
            </w:pPr>
          </w:p>
        </w:tc>
        <w:tc>
          <w:tcPr>
            <w:tcW w:w="2384" w:type="pct"/>
            <w:vAlign w:val="center"/>
          </w:tcPr>
          <w:p w14:paraId="0C140E38">
            <w:pPr>
              <w:pStyle w:val="92"/>
              <w:rPr>
                <w:color w:val="auto"/>
                <w:highlight w:val="none"/>
                <w:u w:val="none"/>
              </w:rPr>
            </w:pPr>
            <w:r>
              <w:rPr>
                <w:color w:val="auto"/>
                <w:highlight w:val="none"/>
                <w:u w:val="none"/>
              </w:rPr>
              <w:t>硫酸根</w:t>
            </w:r>
          </w:p>
        </w:tc>
        <w:tc>
          <w:tcPr>
            <w:tcW w:w="547" w:type="pct"/>
            <w:vAlign w:val="center"/>
          </w:tcPr>
          <w:p w14:paraId="78722127">
            <w:pPr>
              <w:pStyle w:val="92"/>
              <w:rPr>
                <w:color w:val="auto"/>
                <w:highlight w:val="none"/>
                <w:u w:val="none"/>
              </w:rPr>
            </w:pPr>
            <w:r>
              <w:rPr>
                <w:color w:val="auto"/>
                <w:highlight w:val="none"/>
                <w:u w:val="none"/>
              </w:rPr>
              <w:t>t/a</w:t>
            </w:r>
          </w:p>
        </w:tc>
        <w:tc>
          <w:tcPr>
            <w:tcW w:w="1971" w:type="dxa"/>
            <w:vAlign w:val="center"/>
          </w:tcPr>
          <w:p w14:paraId="4D6ED8D1">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1056.17</w:t>
            </w:r>
          </w:p>
        </w:tc>
      </w:tr>
      <w:tr w14:paraId="3D7ED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90" w:hRule="atLeast"/>
          <w:jc w:val="center"/>
        </w:trPr>
        <w:tc>
          <w:tcPr>
            <w:tcW w:w="1004" w:type="pct"/>
            <w:vMerge w:val="continue"/>
            <w:vAlign w:val="center"/>
          </w:tcPr>
          <w:p w14:paraId="52EC1E4E">
            <w:pPr>
              <w:pStyle w:val="92"/>
              <w:rPr>
                <w:color w:val="auto"/>
                <w:highlight w:val="none"/>
                <w:u w:val="none"/>
              </w:rPr>
            </w:pPr>
          </w:p>
        </w:tc>
        <w:tc>
          <w:tcPr>
            <w:tcW w:w="2384" w:type="pct"/>
            <w:vAlign w:val="center"/>
          </w:tcPr>
          <w:p w14:paraId="475371AC">
            <w:pPr>
              <w:pStyle w:val="92"/>
              <w:rPr>
                <w:color w:val="auto"/>
                <w:highlight w:val="none"/>
                <w:u w:val="none"/>
              </w:rPr>
            </w:pPr>
            <w:r>
              <w:rPr>
                <w:color w:val="auto"/>
                <w:highlight w:val="none"/>
                <w:u w:val="none"/>
              </w:rPr>
              <w:t>硝酸根</w:t>
            </w:r>
          </w:p>
        </w:tc>
        <w:tc>
          <w:tcPr>
            <w:tcW w:w="547" w:type="pct"/>
            <w:vAlign w:val="center"/>
          </w:tcPr>
          <w:p w14:paraId="673CBD6E">
            <w:pPr>
              <w:pStyle w:val="92"/>
              <w:rPr>
                <w:color w:val="auto"/>
                <w:highlight w:val="none"/>
                <w:u w:val="none"/>
              </w:rPr>
            </w:pPr>
            <w:r>
              <w:rPr>
                <w:color w:val="auto"/>
                <w:highlight w:val="none"/>
                <w:u w:val="none"/>
              </w:rPr>
              <w:t>t/a</w:t>
            </w:r>
          </w:p>
        </w:tc>
        <w:tc>
          <w:tcPr>
            <w:tcW w:w="1971" w:type="dxa"/>
            <w:vAlign w:val="center"/>
          </w:tcPr>
          <w:p w14:paraId="203C1F05">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632</w:t>
            </w:r>
          </w:p>
        </w:tc>
      </w:tr>
      <w:tr w14:paraId="0A141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4645D1D1">
            <w:pPr>
              <w:pStyle w:val="92"/>
              <w:rPr>
                <w:color w:val="auto"/>
                <w:highlight w:val="none"/>
                <w:u w:val="none"/>
              </w:rPr>
            </w:pPr>
          </w:p>
        </w:tc>
        <w:tc>
          <w:tcPr>
            <w:tcW w:w="2384" w:type="pct"/>
            <w:vAlign w:val="center"/>
          </w:tcPr>
          <w:p w14:paraId="7F8F14CA">
            <w:pPr>
              <w:pStyle w:val="92"/>
              <w:rPr>
                <w:color w:val="auto"/>
                <w:highlight w:val="none"/>
                <w:u w:val="none"/>
              </w:rPr>
            </w:pPr>
            <w:r>
              <w:rPr>
                <w:color w:val="auto"/>
                <w:highlight w:val="none"/>
                <w:u w:val="none"/>
              </w:rPr>
              <w:t>甲苯</w:t>
            </w:r>
          </w:p>
        </w:tc>
        <w:tc>
          <w:tcPr>
            <w:tcW w:w="547" w:type="pct"/>
            <w:vAlign w:val="center"/>
          </w:tcPr>
          <w:p w14:paraId="2F1D8FBB">
            <w:pPr>
              <w:pStyle w:val="92"/>
              <w:rPr>
                <w:color w:val="auto"/>
                <w:highlight w:val="none"/>
                <w:u w:val="none"/>
              </w:rPr>
            </w:pPr>
            <w:r>
              <w:rPr>
                <w:color w:val="auto"/>
                <w:highlight w:val="none"/>
                <w:u w:val="none"/>
              </w:rPr>
              <w:t>t/a</w:t>
            </w:r>
          </w:p>
        </w:tc>
        <w:tc>
          <w:tcPr>
            <w:tcW w:w="1971" w:type="dxa"/>
            <w:vAlign w:val="center"/>
          </w:tcPr>
          <w:p w14:paraId="1C1FC6A3">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0.03</w:t>
            </w:r>
          </w:p>
        </w:tc>
      </w:tr>
      <w:tr w14:paraId="2BEBE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4098360C">
            <w:pPr>
              <w:pStyle w:val="92"/>
              <w:rPr>
                <w:color w:val="auto"/>
                <w:highlight w:val="none"/>
                <w:u w:val="none"/>
              </w:rPr>
            </w:pPr>
          </w:p>
        </w:tc>
        <w:tc>
          <w:tcPr>
            <w:tcW w:w="2384" w:type="pct"/>
            <w:vAlign w:val="center"/>
          </w:tcPr>
          <w:p w14:paraId="2A5E489F">
            <w:pPr>
              <w:pStyle w:val="92"/>
              <w:rPr>
                <w:color w:val="auto"/>
                <w:highlight w:val="none"/>
                <w:u w:val="none"/>
              </w:rPr>
            </w:pPr>
            <w:r>
              <w:rPr>
                <w:color w:val="auto"/>
                <w:highlight w:val="none"/>
                <w:u w:val="none"/>
              </w:rPr>
              <w:t>石油类</w:t>
            </w:r>
          </w:p>
        </w:tc>
        <w:tc>
          <w:tcPr>
            <w:tcW w:w="547" w:type="pct"/>
            <w:vAlign w:val="center"/>
          </w:tcPr>
          <w:p w14:paraId="7E14C291">
            <w:pPr>
              <w:pStyle w:val="92"/>
              <w:rPr>
                <w:color w:val="auto"/>
                <w:highlight w:val="none"/>
                <w:u w:val="none"/>
              </w:rPr>
            </w:pPr>
            <w:r>
              <w:rPr>
                <w:color w:val="auto"/>
                <w:highlight w:val="none"/>
                <w:u w:val="none"/>
              </w:rPr>
              <w:t>t/a</w:t>
            </w:r>
          </w:p>
        </w:tc>
        <w:tc>
          <w:tcPr>
            <w:tcW w:w="1971" w:type="dxa"/>
            <w:vAlign w:val="center"/>
          </w:tcPr>
          <w:p w14:paraId="7D792776">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0.01</w:t>
            </w:r>
          </w:p>
        </w:tc>
      </w:tr>
      <w:tr w14:paraId="23A37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13AC242F">
            <w:pPr>
              <w:pStyle w:val="92"/>
              <w:rPr>
                <w:color w:val="auto"/>
                <w:highlight w:val="none"/>
                <w:u w:val="none"/>
              </w:rPr>
            </w:pPr>
          </w:p>
        </w:tc>
        <w:tc>
          <w:tcPr>
            <w:tcW w:w="2384" w:type="pct"/>
            <w:vAlign w:val="center"/>
          </w:tcPr>
          <w:p w14:paraId="4DF4D792">
            <w:pPr>
              <w:pStyle w:val="92"/>
              <w:rPr>
                <w:color w:val="auto"/>
                <w:highlight w:val="none"/>
                <w:u w:val="none"/>
              </w:rPr>
            </w:pPr>
            <w:r>
              <w:rPr>
                <w:color w:val="auto"/>
                <w:highlight w:val="none"/>
                <w:u w:val="none"/>
              </w:rPr>
              <w:t>邻二氯苯</w:t>
            </w:r>
          </w:p>
        </w:tc>
        <w:tc>
          <w:tcPr>
            <w:tcW w:w="547" w:type="pct"/>
            <w:vAlign w:val="center"/>
          </w:tcPr>
          <w:p w14:paraId="44FED43B">
            <w:pPr>
              <w:pStyle w:val="92"/>
              <w:rPr>
                <w:color w:val="auto"/>
                <w:highlight w:val="none"/>
                <w:u w:val="none"/>
              </w:rPr>
            </w:pPr>
            <w:r>
              <w:rPr>
                <w:color w:val="auto"/>
                <w:highlight w:val="none"/>
                <w:u w:val="none"/>
              </w:rPr>
              <w:t>t/a</w:t>
            </w:r>
          </w:p>
        </w:tc>
        <w:tc>
          <w:tcPr>
            <w:tcW w:w="1971" w:type="dxa"/>
            <w:vAlign w:val="center"/>
          </w:tcPr>
          <w:p w14:paraId="7F20AD40">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0.14</w:t>
            </w:r>
          </w:p>
        </w:tc>
      </w:tr>
      <w:tr w14:paraId="33A02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2234C9C">
            <w:pPr>
              <w:pStyle w:val="92"/>
              <w:rPr>
                <w:color w:val="auto"/>
                <w:highlight w:val="none"/>
                <w:u w:val="none"/>
              </w:rPr>
            </w:pPr>
          </w:p>
        </w:tc>
        <w:tc>
          <w:tcPr>
            <w:tcW w:w="2384" w:type="pct"/>
            <w:vAlign w:val="center"/>
          </w:tcPr>
          <w:p w14:paraId="2F3ED025">
            <w:pPr>
              <w:pStyle w:val="92"/>
              <w:rPr>
                <w:color w:val="auto"/>
                <w:highlight w:val="none"/>
                <w:u w:val="none"/>
              </w:rPr>
            </w:pPr>
            <w:r>
              <w:rPr>
                <w:color w:val="auto"/>
                <w:highlight w:val="none"/>
                <w:u w:val="none"/>
              </w:rPr>
              <w:t>氯离子</w:t>
            </w:r>
          </w:p>
        </w:tc>
        <w:tc>
          <w:tcPr>
            <w:tcW w:w="547" w:type="pct"/>
            <w:vAlign w:val="center"/>
          </w:tcPr>
          <w:p w14:paraId="17C3DC42">
            <w:pPr>
              <w:pStyle w:val="92"/>
              <w:rPr>
                <w:color w:val="auto"/>
                <w:highlight w:val="none"/>
                <w:u w:val="none"/>
              </w:rPr>
            </w:pPr>
            <w:r>
              <w:rPr>
                <w:color w:val="auto"/>
                <w:highlight w:val="none"/>
                <w:u w:val="none"/>
              </w:rPr>
              <w:t>t/a</w:t>
            </w:r>
          </w:p>
        </w:tc>
        <w:tc>
          <w:tcPr>
            <w:tcW w:w="1971" w:type="dxa"/>
            <w:vAlign w:val="center"/>
          </w:tcPr>
          <w:p w14:paraId="4FE58806">
            <w:pPr>
              <w:widowControl/>
              <w:spacing w:line="240" w:lineRule="auto"/>
              <w:ind w:firstLine="0" w:firstLineChars="0"/>
              <w:jc w:val="center"/>
              <w:rPr>
                <w:rFonts w:hint="eastAsia"/>
                <w:color w:val="auto"/>
                <w:highlight w:val="none"/>
                <w:u w:val="none"/>
                <w:lang w:val="en-US"/>
              </w:rPr>
            </w:pPr>
            <w:r>
              <w:rPr>
                <w:rFonts w:hint="eastAsia"/>
                <w:color w:val="auto"/>
                <w:sz w:val="21"/>
                <w:szCs w:val="21"/>
                <w:highlight w:val="none"/>
                <w:u w:val="none"/>
                <w:lang w:val="en-US" w:bidi="ar"/>
              </w:rPr>
              <w:t>41.69</w:t>
            </w:r>
          </w:p>
        </w:tc>
      </w:tr>
      <w:tr w14:paraId="0340E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2168A249">
            <w:pPr>
              <w:pStyle w:val="92"/>
              <w:rPr>
                <w:color w:val="auto"/>
                <w:highlight w:val="none"/>
                <w:u w:val="none"/>
              </w:rPr>
            </w:pPr>
          </w:p>
        </w:tc>
        <w:tc>
          <w:tcPr>
            <w:tcW w:w="2384" w:type="pct"/>
            <w:vAlign w:val="center"/>
          </w:tcPr>
          <w:p w14:paraId="4626893C">
            <w:pPr>
              <w:pStyle w:val="92"/>
              <w:rPr>
                <w:color w:val="auto"/>
                <w:highlight w:val="none"/>
                <w:u w:val="none"/>
              </w:rPr>
            </w:pPr>
            <w:r>
              <w:rPr>
                <w:color w:val="auto"/>
                <w:highlight w:val="none"/>
                <w:u w:val="none"/>
              </w:rPr>
              <w:t>二硝基甲苯</w:t>
            </w:r>
          </w:p>
        </w:tc>
        <w:tc>
          <w:tcPr>
            <w:tcW w:w="547" w:type="pct"/>
            <w:vAlign w:val="center"/>
          </w:tcPr>
          <w:p w14:paraId="4F6B9DE9">
            <w:pPr>
              <w:pStyle w:val="92"/>
              <w:rPr>
                <w:color w:val="auto"/>
                <w:highlight w:val="none"/>
                <w:u w:val="none"/>
              </w:rPr>
            </w:pPr>
            <w:r>
              <w:rPr>
                <w:color w:val="auto"/>
                <w:highlight w:val="none"/>
                <w:u w:val="none"/>
              </w:rPr>
              <w:t>t/a</w:t>
            </w:r>
          </w:p>
        </w:tc>
        <w:tc>
          <w:tcPr>
            <w:tcW w:w="1971" w:type="dxa"/>
            <w:vAlign w:val="center"/>
          </w:tcPr>
          <w:p w14:paraId="6E95C8B0">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0.69</w:t>
            </w:r>
          </w:p>
        </w:tc>
      </w:tr>
      <w:tr w14:paraId="359DE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6C10F661">
            <w:pPr>
              <w:pStyle w:val="92"/>
              <w:rPr>
                <w:color w:val="auto"/>
                <w:highlight w:val="none"/>
                <w:u w:val="none"/>
              </w:rPr>
            </w:pPr>
          </w:p>
        </w:tc>
        <w:tc>
          <w:tcPr>
            <w:tcW w:w="2384" w:type="pct"/>
            <w:vAlign w:val="center"/>
          </w:tcPr>
          <w:p w14:paraId="61C8D1C9">
            <w:pPr>
              <w:pStyle w:val="92"/>
              <w:rPr>
                <w:color w:val="auto"/>
                <w:highlight w:val="none"/>
                <w:u w:val="none"/>
              </w:rPr>
            </w:pPr>
            <w:r>
              <w:rPr>
                <w:color w:val="auto"/>
                <w:highlight w:val="none"/>
                <w:u w:val="none"/>
              </w:rPr>
              <w:t>挥发酚</w:t>
            </w:r>
          </w:p>
        </w:tc>
        <w:tc>
          <w:tcPr>
            <w:tcW w:w="547" w:type="pct"/>
            <w:vAlign w:val="center"/>
          </w:tcPr>
          <w:p w14:paraId="7025082C">
            <w:pPr>
              <w:pStyle w:val="92"/>
              <w:rPr>
                <w:color w:val="auto"/>
                <w:highlight w:val="none"/>
                <w:u w:val="none"/>
              </w:rPr>
            </w:pPr>
            <w:r>
              <w:rPr>
                <w:color w:val="auto"/>
                <w:highlight w:val="none"/>
                <w:u w:val="none"/>
              </w:rPr>
              <w:t>t/a</w:t>
            </w:r>
          </w:p>
        </w:tc>
        <w:tc>
          <w:tcPr>
            <w:tcW w:w="1971" w:type="dxa"/>
            <w:vAlign w:val="center"/>
          </w:tcPr>
          <w:p w14:paraId="57B77F5D">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w:t>
            </w:r>
          </w:p>
        </w:tc>
      </w:tr>
      <w:tr w14:paraId="63F14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055515C5">
            <w:pPr>
              <w:pStyle w:val="92"/>
              <w:rPr>
                <w:color w:val="auto"/>
                <w:highlight w:val="none"/>
                <w:u w:val="none"/>
              </w:rPr>
            </w:pPr>
          </w:p>
        </w:tc>
        <w:tc>
          <w:tcPr>
            <w:tcW w:w="2384" w:type="pct"/>
            <w:vAlign w:val="center"/>
          </w:tcPr>
          <w:p w14:paraId="2C30CA4F">
            <w:pPr>
              <w:pStyle w:val="92"/>
              <w:rPr>
                <w:color w:val="auto"/>
                <w:highlight w:val="none"/>
                <w:u w:val="none"/>
              </w:rPr>
            </w:pPr>
            <w:r>
              <w:rPr>
                <w:color w:val="auto"/>
                <w:highlight w:val="none"/>
                <w:u w:val="none"/>
              </w:rPr>
              <w:t>苯胺类</w:t>
            </w:r>
          </w:p>
        </w:tc>
        <w:tc>
          <w:tcPr>
            <w:tcW w:w="547" w:type="pct"/>
            <w:vAlign w:val="center"/>
          </w:tcPr>
          <w:p w14:paraId="66CE04D3">
            <w:pPr>
              <w:pStyle w:val="92"/>
              <w:rPr>
                <w:color w:val="auto"/>
                <w:highlight w:val="none"/>
                <w:u w:val="none"/>
              </w:rPr>
            </w:pPr>
            <w:r>
              <w:rPr>
                <w:color w:val="auto"/>
                <w:highlight w:val="none"/>
                <w:u w:val="none"/>
              </w:rPr>
              <w:t>t/a</w:t>
            </w:r>
          </w:p>
        </w:tc>
        <w:tc>
          <w:tcPr>
            <w:tcW w:w="1971" w:type="dxa"/>
            <w:vAlign w:val="center"/>
          </w:tcPr>
          <w:p w14:paraId="089C017A">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0.17</w:t>
            </w:r>
          </w:p>
        </w:tc>
      </w:tr>
      <w:tr w14:paraId="175BA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3AE01331">
            <w:pPr>
              <w:pStyle w:val="92"/>
              <w:rPr>
                <w:color w:val="auto"/>
                <w:highlight w:val="none"/>
                <w:u w:val="none"/>
              </w:rPr>
            </w:pPr>
          </w:p>
        </w:tc>
        <w:tc>
          <w:tcPr>
            <w:tcW w:w="2384" w:type="pct"/>
            <w:vAlign w:val="center"/>
          </w:tcPr>
          <w:p w14:paraId="414D02D6">
            <w:pPr>
              <w:pStyle w:val="92"/>
              <w:rPr>
                <w:color w:val="auto"/>
                <w:highlight w:val="none"/>
                <w:u w:val="none"/>
              </w:rPr>
            </w:pPr>
            <w:r>
              <w:rPr>
                <w:color w:val="auto"/>
                <w:highlight w:val="none"/>
                <w:u w:val="none"/>
              </w:rPr>
              <w:t>总氮</w:t>
            </w:r>
          </w:p>
        </w:tc>
        <w:tc>
          <w:tcPr>
            <w:tcW w:w="547" w:type="pct"/>
            <w:vAlign w:val="center"/>
          </w:tcPr>
          <w:p w14:paraId="4272A2E2">
            <w:pPr>
              <w:pStyle w:val="92"/>
              <w:rPr>
                <w:color w:val="auto"/>
                <w:highlight w:val="none"/>
                <w:u w:val="none"/>
              </w:rPr>
            </w:pPr>
            <w:r>
              <w:rPr>
                <w:color w:val="auto"/>
                <w:highlight w:val="none"/>
                <w:u w:val="none"/>
              </w:rPr>
              <w:t>t/a</w:t>
            </w:r>
          </w:p>
        </w:tc>
        <w:tc>
          <w:tcPr>
            <w:tcW w:w="1971" w:type="dxa"/>
            <w:vAlign w:val="center"/>
          </w:tcPr>
          <w:p w14:paraId="42DF9B75">
            <w:pPr>
              <w:widowControl/>
              <w:spacing w:line="240" w:lineRule="auto"/>
              <w:ind w:firstLine="0" w:firstLineChars="0"/>
              <w:jc w:val="center"/>
              <w:rPr>
                <w:rFonts w:hint="eastAsia"/>
                <w:color w:val="auto"/>
                <w:highlight w:val="none"/>
                <w:u w:val="none"/>
              </w:rPr>
            </w:pPr>
            <w:r>
              <w:rPr>
                <w:rFonts w:hint="eastAsia"/>
                <w:color w:val="auto"/>
                <w:sz w:val="21"/>
                <w:szCs w:val="21"/>
                <w:highlight w:val="none"/>
                <w:u w:val="none"/>
                <w:lang w:val="en-US" w:bidi="ar"/>
              </w:rPr>
              <w:t>5.18</w:t>
            </w:r>
          </w:p>
        </w:tc>
      </w:tr>
      <w:tr w14:paraId="47BC6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32DA9836">
            <w:pPr>
              <w:pStyle w:val="92"/>
              <w:rPr>
                <w:color w:val="auto"/>
                <w:highlight w:val="none"/>
                <w:u w:val="none"/>
              </w:rPr>
            </w:pPr>
          </w:p>
        </w:tc>
        <w:tc>
          <w:tcPr>
            <w:tcW w:w="2384" w:type="pct"/>
            <w:vAlign w:val="center"/>
          </w:tcPr>
          <w:p w14:paraId="070E2710">
            <w:pPr>
              <w:pStyle w:val="92"/>
              <w:rPr>
                <w:color w:val="auto"/>
                <w:highlight w:val="none"/>
                <w:u w:val="none"/>
              </w:rPr>
            </w:pPr>
            <w:r>
              <w:rPr>
                <w:rFonts w:hint="eastAsia"/>
                <w:color w:val="auto"/>
                <w:highlight w:val="none"/>
                <w:u w:val="none"/>
              </w:rPr>
              <w:t>TDS</w:t>
            </w:r>
          </w:p>
        </w:tc>
        <w:tc>
          <w:tcPr>
            <w:tcW w:w="547" w:type="pct"/>
            <w:vAlign w:val="center"/>
          </w:tcPr>
          <w:p w14:paraId="44FD4350">
            <w:pPr>
              <w:pStyle w:val="92"/>
              <w:rPr>
                <w:color w:val="auto"/>
                <w:highlight w:val="none"/>
                <w:u w:val="none"/>
              </w:rPr>
            </w:pPr>
            <w:r>
              <w:rPr>
                <w:color w:val="auto"/>
                <w:highlight w:val="none"/>
                <w:u w:val="none"/>
              </w:rPr>
              <w:t>t/a</w:t>
            </w:r>
          </w:p>
        </w:tc>
        <w:tc>
          <w:tcPr>
            <w:tcW w:w="1971" w:type="dxa"/>
            <w:vAlign w:val="center"/>
          </w:tcPr>
          <w:p w14:paraId="430C3E3C">
            <w:pPr>
              <w:widowControl/>
              <w:spacing w:line="240" w:lineRule="auto"/>
              <w:ind w:firstLine="0" w:firstLineChars="0"/>
              <w:jc w:val="center"/>
              <w:rPr>
                <w:rFonts w:hint="eastAsia"/>
                <w:color w:val="auto"/>
                <w:highlight w:val="none"/>
                <w:u w:val="none"/>
                <w:lang w:val="en-US"/>
              </w:rPr>
            </w:pPr>
            <w:r>
              <w:rPr>
                <w:rFonts w:hint="eastAsia"/>
                <w:color w:val="auto"/>
                <w:sz w:val="21"/>
                <w:szCs w:val="21"/>
                <w:highlight w:val="none"/>
                <w:u w:val="none"/>
                <w:lang w:val="en-US" w:bidi="ar"/>
              </w:rPr>
              <w:t>2607.33</w:t>
            </w:r>
          </w:p>
        </w:tc>
      </w:tr>
      <w:tr w14:paraId="59FDD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restart"/>
            <w:vAlign w:val="center"/>
          </w:tcPr>
          <w:p w14:paraId="22974E69">
            <w:pPr>
              <w:pStyle w:val="92"/>
              <w:rPr>
                <w:color w:val="auto"/>
                <w:highlight w:val="none"/>
                <w:u w:val="none"/>
              </w:rPr>
            </w:pPr>
            <w:r>
              <w:rPr>
                <w:color w:val="auto"/>
                <w:highlight w:val="none"/>
                <w:u w:val="none"/>
              </w:rPr>
              <w:t>固体废物</w:t>
            </w:r>
          </w:p>
        </w:tc>
        <w:tc>
          <w:tcPr>
            <w:tcW w:w="2384" w:type="pct"/>
            <w:vAlign w:val="center"/>
          </w:tcPr>
          <w:p w14:paraId="21A7E551">
            <w:pPr>
              <w:pStyle w:val="92"/>
              <w:rPr>
                <w:color w:val="auto"/>
                <w:highlight w:val="none"/>
                <w:u w:val="none"/>
              </w:rPr>
            </w:pPr>
            <w:r>
              <w:rPr>
                <w:color w:val="auto"/>
                <w:highlight w:val="none"/>
                <w:u w:val="none"/>
              </w:rPr>
              <w:t>轻油</w:t>
            </w:r>
          </w:p>
        </w:tc>
        <w:tc>
          <w:tcPr>
            <w:tcW w:w="547" w:type="pct"/>
            <w:vAlign w:val="center"/>
          </w:tcPr>
          <w:p w14:paraId="41151FBB">
            <w:pPr>
              <w:pStyle w:val="92"/>
              <w:rPr>
                <w:color w:val="auto"/>
                <w:highlight w:val="none"/>
                <w:u w:val="none"/>
              </w:rPr>
            </w:pPr>
            <w:r>
              <w:rPr>
                <w:color w:val="auto"/>
                <w:highlight w:val="none"/>
                <w:u w:val="none"/>
              </w:rPr>
              <w:t>t/a</w:t>
            </w:r>
          </w:p>
        </w:tc>
        <w:tc>
          <w:tcPr>
            <w:tcW w:w="1063" w:type="pct"/>
            <w:vAlign w:val="center"/>
          </w:tcPr>
          <w:p w14:paraId="626F1176">
            <w:pPr>
              <w:pStyle w:val="92"/>
              <w:rPr>
                <w:color w:val="auto"/>
                <w:highlight w:val="none"/>
                <w:u w:val="none"/>
              </w:rPr>
            </w:pPr>
            <w:r>
              <w:rPr>
                <w:color w:val="auto"/>
                <w:highlight w:val="none"/>
                <w:u w:val="none"/>
              </w:rPr>
              <w:t>0</w:t>
            </w:r>
          </w:p>
        </w:tc>
      </w:tr>
      <w:tr w14:paraId="4C595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79F37B97">
            <w:pPr>
              <w:pStyle w:val="92"/>
              <w:rPr>
                <w:color w:val="auto"/>
                <w:highlight w:val="none"/>
                <w:u w:val="none"/>
              </w:rPr>
            </w:pPr>
          </w:p>
        </w:tc>
        <w:tc>
          <w:tcPr>
            <w:tcW w:w="2384" w:type="pct"/>
            <w:vAlign w:val="center"/>
          </w:tcPr>
          <w:p w14:paraId="0CD93AA2">
            <w:pPr>
              <w:pStyle w:val="92"/>
              <w:rPr>
                <w:color w:val="auto"/>
                <w:highlight w:val="none"/>
                <w:u w:val="none"/>
              </w:rPr>
            </w:pPr>
            <w:r>
              <w:rPr>
                <w:color w:val="auto"/>
                <w:highlight w:val="none"/>
                <w:u w:val="none"/>
              </w:rPr>
              <w:t>废催化剂</w:t>
            </w:r>
          </w:p>
        </w:tc>
        <w:tc>
          <w:tcPr>
            <w:tcW w:w="547" w:type="pct"/>
            <w:vAlign w:val="center"/>
          </w:tcPr>
          <w:p w14:paraId="04AB0630">
            <w:pPr>
              <w:pStyle w:val="92"/>
              <w:rPr>
                <w:color w:val="auto"/>
                <w:highlight w:val="none"/>
                <w:u w:val="none"/>
              </w:rPr>
            </w:pPr>
            <w:r>
              <w:rPr>
                <w:color w:val="auto"/>
                <w:highlight w:val="none"/>
                <w:u w:val="none"/>
              </w:rPr>
              <w:t>t/a</w:t>
            </w:r>
          </w:p>
        </w:tc>
        <w:tc>
          <w:tcPr>
            <w:tcW w:w="1063" w:type="pct"/>
            <w:vAlign w:val="center"/>
          </w:tcPr>
          <w:p w14:paraId="30190ECB">
            <w:pPr>
              <w:pStyle w:val="92"/>
              <w:rPr>
                <w:color w:val="auto"/>
                <w:highlight w:val="none"/>
                <w:u w:val="none"/>
              </w:rPr>
            </w:pPr>
            <w:r>
              <w:rPr>
                <w:color w:val="auto"/>
                <w:highlight w:val="none"/>
                <w:u w:val="none"/>
              </w:rPr>
              <w:t>0</w:t>
            </w:r>
          </w:p>
        </w:tc>
      </w:tr>
      <w:tr w14:paraId="17C0B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19F0689E">
            <w:pPr>
              <w:pStyle w:val="92"/>
              <w:rPr>
                <w:color w:val="auto"/>
                <w:highlight w:val="none"/>
                <w:u w:val="none"/>
              </w:rPr>
            </w:pPr>
          </w:p>
        </w:tc>
        <w:tc>
          <w:tcPr>
            <w:tcW w:w="2384" w:type="pct"/>
            <w:vAlign w:val="center"/>
          </w:tcPr>
          <w:p w14:paraId="36EA2F05">
            <w:pPr>
              <w:pStyle w:val="92"/>
              <w:rPr>
                <w:color w:val="auto"/>
                <w:highlight w:val="none"/>
                <w:u w:val="none"/>
              </w:rPr>
            </w:pPr>
            <w:r>
              <w:rPr>
                <w:color w:val="auto"/>
                <w:highlight w:val="none"/>
                <w:u w:val="none"/>
              </w:rPr>
              <w:t>废活性炭</w:t>
            </w:r>
          </w:p>
        </w:tc>
        <w:tc>
          <w:tcPr>
            <w:tcW w:w="547" w:type="pct"/>
            <w:vAlign w:val="center"/>
          </w:tcPr>
          <w:p w14:paraId="511AA071">
            <w:pPr>
              <w:pStyle w:val="92"/>
              <w:rPr>
                <w:color w:val="auto"/>
                <w:highlight w:val="none"/>
                <w:u w:val="none"/>
              </w:rPr>
            </w:pPr>
            <w:r>
              <w:rPr>
                <w:color w:val="auto"/>
                <w:highlight w:val="none"/>
                <w:u w:val="none"/>
              </w:rPr>
              <w:t>t/a</w:t>
            </w:r>
          </w:p>
        </w:tc>
        <w:tc>
          <w:tcPr>
            <w:tcW w:w="1063" w:type="pct"/>
            <w:vAlign w:val="center"/>
          </w:tcPr>
          <w:p w14:paraId="0589EFC9">
            <w:pPr>
              <w:pStyle w:val="92"/>
              <w:rPr>
                <w:color w:val="auto"/>
                <w:highlight w:val="none"/>
                <w:u w:val="none"/>
              </w:rPr>
            </w:pPr>
            <w:r>
              <w:rPr>
                <w:color w:val="auto"/>
                <w:highlight w:val="none"/>
                <w:u w:val="none"/>
              </w:rPr>
              <w:t>0</w:t>
            </w:r>
          </w:p>
        </w:tc>
      </w:tr>
      <w:tr w14:paraId="2D6D2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776C9D4">
            <w:pPr>
              <w:pStyle w:val="92"/>
              <w:rPr>
                <w:color w:val="auto"/>
                <w:highlight w:val="none"/>
                <w:u w:val="none"/>
              </w:rPr>
            </w:pPr>
          </w:p>
        </w:tc>
        <w:tc>
          <w:tcPr>
            <w:tcW w:w="2384" w:type="pct"/>
            <w:vAlign w:val="center"/>
          </w:tcPr>
          <w:p w14:paraId="0329BAB6">
            <w:pPr>
              <w:pStyle w:val="92"/>
              <w:rPr>
                <w:color w:val="auto"/>
                <w:highlight w:val="none"/>
                <w:u w:val="none"/>
              </w:rPr>
            </w:pPr>
            <w:r>
              <w:rPr>
                <w:color w:val="auto"/>
                <w:highlight w:val="none"/>
                <w:u w:val="none"/>
              </w:rPr>
              <w:t>焦油颗粒</w:t>
            </w:r>
          </w:p>
        </w:tc>
        <w:tc>
          <w:tcPr>
            <w:tcW w:w="547" w:type="pct"/>
            <w:vAlign w:val="center"/>
          </w:tcPr>
          <w:p w14:paraId="72EC92C9">
            <w:pPr>
              <w:pStyle w:val="92"/>
              <w:rPr>
                <w:color w:val="auto"/>
                <w:highlight w:val="none"/>
                <w:u w:val="none"/>
              </w:rPr>
            </w:pPr>
            <w:r>
              <w:rPr>
                <w:color w:val="auto"/>
                <w:highlight w:val="none"/>
                <w:u w:val="none"/>
              </w:rPr>
              <w:t>t/a</w:t>
            </w:r>
          </w:p>
        </w:tc>
        <w:tc>
          <w:tcPr>
            <w:tcW w:w="1063" w:type="pct"/>
            <w:vAlign w:val="center"/>
          </w:tcPr>
          <w:p w14:paraId="78C80B79">
            <w:pPr>
              <w:pStyle w:val="92"/>
              <w:rPr>
                <w:color w:val="auto"/>
                <w:highlight w:val="none"/>
                <w:u w:val="none"/>
              </w:rPr>
            </w:pPr>
            <w:r>
              <w:rPr>
                <w:color w:val="auto"/>
                <w:highlight w:val="none"/>
                <w:u w:val="none"/>
              </w:rPr>
              <w:t>0</w:t>
            </w:r>
          </w:p>
        </w:tc>
      </w:tr>
      <w:tr w14:paraId="31F5B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0362147">
            <w:pPr>
              <w:pStyle w:val="92"/>
              <w:rPr>
                <w:color w:val="auto"/>
                <w:highlight w:val="none"/>
                <w:u w:val="none"/>
              </w:rPr>
            </w:pPr>
          </w:p>
        </w:tc>
        <w:tc>
          <w:tcPr>
            <w:tcW w:w="2384" w:type="pct"/>
            <w:vAlign w:val="center"/>
          </w:tcPr>
          <w:p w14:paraId="47A77769">
            <w:pPr>
              <w:pStyle w:val="92"/>
              <w:rPr>
                <w:color w:val="auto"/>
                <w:highlight w:val="none"/>
                <w:u w:val="none"/>
              </w:rPr>
            </w:pPr>
            <w:r>
              <w:rPr>
                <w:color w:val="auto"/>
                <w:highlight w:val="none"/>
                <w:u w:val="none"/>
              </w:rPr>
              <w:t>TDI废液</w:t>
            </w:r>
          </w:p>
        </w:tc>
        <w:tc>
          <w:tcPr>
            <w:tcW w:w="547" w:type="pct"/>
            <w:vAlign w:val="center"/>
          </w:tcPr>
          <w:p w14:paraId="7E9CD015">
            <w:pPr>
              <w:pStyle w:val="92"/>
              <w:rPr>
                <w:color w:val="auto"/>
                <w:highlight w:val="none"/>
                <w:u w:val="none"/>
              </w:rPr>
            </w:pPr>
            <w:r>
              <w:rPr>
                <w:color w:val="auto"/>
                <w:highlight w:val="none"/>
                <w:u w:val="none"/>
              </w:rPr>
              <w:t>t/a</w:t>
            </w:r>
          </w:p>
        </w:tc>
        <w:tc>
          <w:tcPr>
            <w:tcW w:w="1063" w:type="pct"/>
            <w:vAlign w:val="center"/>
          </w:tcPr>
          <w:p w14:paraId="60E7A6C5">
            <w:pPr>
              <w:pStyle w:val="92"/>
              <w:rPr>
                <w:color w:val="auto"/>
                <w:highlight w:val="none"/>
                <w:u w:val="none"/>
              </w:rPr>
            </w:pPr>
            <w:r>
              <w:rPr>
                <w:color w:val="auto"/>
                <w:highlight w:val="none"/>
                <w:u w:val="none"/>
              </w:rPr>
              <w:t>0</w:t>
            </w:r>
          </w:p>
        </w:tc>
      </w:tr>
      <w:tr w14:paraId="075B8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3AA82DD5">
            <w:pPr>
              <w:pStyle w:val="92"/>
              <w:rPr>
                <w:color w:val="auto"/>
                <w:highlight w:val="none"/>
                <w:u w:val="none"/>
              </w:rPr>
            </w:pPr>
          </w:p>
        </w:tc>
        <w:tc>
          <w:tcPr>
            <w:tcW w:w="2384" w:type="pct"/>
            <w:vAlign w:val="center"/>
          </w:tcPr>
          <w:p w14:paraId="60F30BC9">
            <w:pPr>
              <w:pStyle w:val="92"/>
              <w:rPr>
                <w:color w:val="auto"/>
                <w:highlight w:val="none"/>
                <w:u w:val="none"/>
              </w:rPr>
            </w:pPr>
            <w:r>
              <w:rPr>
                <w:color w:val="auto"/>
                <w:highlight w:val="none"/>
                <w:u w:val="none"/>
              </w:rPr>
              <w:t>废活性炭</w:t>
            </w:r>
          </w:p>
        </w:tc>
        <w:tc>
          <w:tcPr>
            <w:tcW w:w="547" w:type="pct"/>
            <w:vAlign w:val="center"/>
          </w:tcPr>
          <w:p w14:paraId="6717FBD4">
            <w:pPr>
              <w:pStyle w:val="92"/>
              <w:rPr>
                <w:color w:val="auto"/>
                <w:highlight w:val="none"/>
                <w:u w:val="none"/>
              </w:rPr>
            </w:pPr>
            <w:r>
              <w:rPr>
                <w:color w:val="auto"/>
                <w:highlight w:val="none"/>
                <w:u w:val="none"/>
              </w:rPr>
              <w:t>t/a</w:t>
            </w:r>
          </w:p>
        </w:tc>
        <w:tc>
          <w:tcPr>
            <w:tcW w:w="1063" w:type="pct"/>
            <w:vAlign w:val="center"/>
          </w:tcPr>
          <w:p w14:paraId="1E24DDBE">
            <w:pPr>
              <w:pStyle w:val="92"/>
              <w:rPr>
                <w:color w:val="auto"/>
                <w:highlight w:val="none"/>
                <w:u w:val="none"/>
              </w:rPr>
            </w:pPr>
            <w:r>
              <w:rPr>
                <w:color w:val="auto"/>
                <w:highlight w:val="none"/>
                <w:u w:val="none"/>
              </w:rPr>
              <w:t>0</w:t>
            </w:r>
          </w:p>
        </w:tc>
      </w:tr>
      <w:tr w14:paraId="68A33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C698DA4">
            <w:pPr>
              <w:pStyle w:val="92"/>
              <w:rPr>
                <w:color w:val="auto"/>
                <w:highlight w:val="none"/>
                <w:u w:val="none"/>
              </w:rPr>
            </w:pPr>
          </w:p>
        </w:tc>
        <w:tc>
          <w:tcPr>
            <w:tcW w:w="2384" w:type="pct"/>
            <w:vAlign w:val="center"/>
          </w:tcPr>
          <w:p w14:paraId="586BC3DD">
            <w:pPr>
              <w:pStyle w:val="92"/>
              <w:rPr>
                <w:color w:val="auto"/>
                <w:highlight w:val="none"/>
                <w:u w:val="none"/>
              </w:rPr>
            </w:pPr>
            <w:r>
              <w:rPr>
                <w:color w:val="auto"/>
                <w:highlight w:val="none"/>
                <w:u w:val="none"/>
              </w:rPr>
              <w:t>废弃化学品包装桶或袋</w:t>
            </w:r>
          </w:p>
        </w:tc>
        <w:tc>
          <w:tcPr>
            <w:tcW w:w="547" w:type="pct"/>
            <w:vAlign w:val="center"/>
          </w:tcPr>
          <w:p w14:paraId="3945D5B8">
            <w:pPr>
              <w:pStyle w:val="92"/>
              <w:rPr>
                <w:color w:val="auto"/>
                <w:highlight w:val="none"/>
                <w:u w:val="none"/>
              </w:rPr>
            </w:pPr>
            <w:r>
              <w:rPr>
                <w:color w:val="auto"/>
                <w:highlight w:val="none"/>
                <w:u w:val="none"/>
              </w:rPr>
              <w:t>t/a</w:t>
            </w:r>
          </w:p>
        </w:tc>
        <w:tc>
          <w:tcPr>
            <w:tcW w:w="1063" w:type="pct"/>
            <w:vAlign w:val="center"/>
          </w:tcPr>
          <w:p w14:paraId="4724C4EB">
            <w:pPr>
              <w:pStyle w:val="92"/>
              <w:rPr>
                <w:color w:val="auto"/>
                <w:highlight w:val="none"/>
                <w:u w:val="none"/>
              </w:rPr>
            </w:pPr>
            <w:r>
              <w:rPr>
                <w:color w:val="auto"/>
                <w:highlight w:val="none"/>
                <w:u w:val="none"/>
              </w:rPr>
              <w:t>0</w:t>
            </w:r>
          </w:p>
        </w:tc>
      </w:tr>
      <w:tr w14:paraId="14F87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7F6D911">
            <w:pPr>
              <w:pStyle w:val="92"/>
              <w:rPr>
                <w:color w:val="auto"/>
                <w:highlight w:val="none"/>
                <w:u w:val="none"/>
              </w:rPr>
            </w:pPr>
          </w:p>
        </w:tc>
        <w:tc>
          <w:tcPr>
            <w:tcW w:w="2384" w:type="pct"/>
            <w:vAlign w:val="center"/>
          </w:tcPr>
          <w:p w14:paraId="33F2504C">
            <w:pPr>
              <w:pStyle w:val="92"/>
              <w:rPr>
                <w:color w:val="auto"/>
                <w:highlight w:val="none"/>
                <w:u w:val="none"/>
              </w:rPr>
            </w:pPr>
            <w:r>
              <w:rPr>
                <w:color w:val="auto"/>
                <w:highlight w:val="none"/>
                <w:u w:val="none"/>
              </w:rPr>
              <w:t>废机油</w:t>
            </w:r>
          </w:p>
        </w:tc>
        <w:tc>
          <w:tcPr>
            <w:tcW w:w="547" w:type="pct"/>
            <w:vAlign w:val="center"/>
          </w:tcPr>
          <w:p w14:paraId="71FF3565">
            <w:pPr>
              <w:pStyle w:val="92"/>
              <w:rPr>
                <w:color w:val="auto"/>
                <w:highlight w:val="none"/>
                <w:u w:val="none"/>
              </w:rPr>
            </w:pPr>
            <w:r>
              <w:rPr>
                <w:color w:val="auto"/>
                <w:highlight w:val="none"/>
                <w:u w:val="none"/>
              </w:rPr>
              <w:t>t/a</w:t>
            </w:r>
          </w:p>
        </w:tc>
        <w:tc>
          <w:tcPr>
            <w:tcW w:w="1063" w:type="pct"/>
            <w:vAlign w:val="center"/>
          </w:tcPr>
          <w:p w14:paraId="66B04FF6">
            <w:pPr>
              <w:pStyle w:val="92"/>
              <w:rPr>
                <w:color w:val="auto"/>
                <w:highlight w:val="none"/>
                <w:u w:val="none"/>
              </w:rPr>
            </w:pPr>
            <w:r>
              <w:rPr>
                <w:color w:val="auto"/>
                <w:highlight w:val="none"/>
                <w:u w:val="none"/>
              </w:rPr>
              <w:t>0</w:t>
            </w:r>
          </w:p>
        </w:tc>
      </w:tr>
      <w:tr w14:paraId="4B067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1BC6E5A2">
            <w:pPr>
              <w:pStyle w:val="92"/>
              <w:rPr>
                <w:color w:val="auto"/>
                <w:highlight w:val="none"/>
                <w:u w:val="none"/>
              </w:rPr>
            </w:pPr>
          </w:p>
        </w:tc>
        <w:tc>
          <w:tcPr>
            <w:tcW w:w="2384" w:type="pct"/>
            <w:vAlign w:val="center"/>
          </w:tcPr>
          <w:p w14:paraId="38642B07">
            <w:pPr>
              <w:pStyle w:val="92"/>
              <w:rPr>
                <w:color w:val="auto"/>
                <w:highlight w:val="none"/>
                <w:u w:val="none"/>
              </w:rPr>
            </w:pPr>
            <w:r>
              <w:rPr>
                <w:color w:val="auto"/>
                <w:highlight w:val="none"/>
                <w:u w:val="none"/>
              </w:rPr>
              <w:t>废导热油</w:t>
            </w:r>
          </w:p>
        </w:tc>
        <w:tc>
          <w:tcPr>
            <w:tcW w:w="547" w:type="pct"/>
            <w:vAlign w:val="center"/>
          </w:tcPr>
          <w:p w14:paraId="75D387B4">
            <w:pPr>
              <w:pStyle w:val="92"/>
              <w:rPr>
                <w:color w:val="auto"/>
                <w:highlight w:val="none"/>
                <w:u w:val="none"/>
              </w:rPr>
            </w:pPr>
            <w:r>
              <w:rPr>
                <w:color w:val="auto"/>
                <w:highlight w:val="none"/>
                <w:u w:val="none"/>
              </w:rPr>
              <w:t>t/a</w:t>
            </w:r>
          </w:p>
        </w:tc>
        <w:tc>
          <w:tcPr>
            <w:tcW w:w="1063" w:type="pct"/>
            <w:vAlign w:val="center"/>
          </w:tcPr>
          <w:p w14:paraId="4F09EE44">
            <w:pPr>
              <w:pStyle w:val="92"/>
              <w:rPr>
                <w:color w:val="auto"/>
                <w:highlight w:val="none"/>
                <w:u w:val="none"/>
              </w:rPr>
            </w:pPr>
            <w:r>
              <w:rPr>
                <w:color w:val="auto"/>
                <w:highlight w:val="none"/>
                <w:u w:val="none"/>
              </w:rPr>
              <w:t>0</w:t>
            </w:r>
          </w:p>
        </w:tc>
      </w:tr>
      <w:tr w14:paraId="0CBF8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5189FCAB">
            <w:pPr>
              <w:pStyle w:val="92"/>
              <w:rPr>
                <w:color w:val="auto"/>
                <w:highlight w:val="none"/>
                <w:u w:val="none"/>
              </w:rPr>
            </w:pPr>
          </w:p>
        </w:tc>
        <w:tc>
          <w:tcPr>
            <w:tcW w:w="2384" w:type="pct"/>
            <w:vAlign w:val="center"/>
          </w:tcPr>
          <w:p w14:paraId="35AF2009">
            <w:pPr>
              <w:pStyle w:val="92"/>
              <w:rPr>
                <w:color w:val="auto"/>
                <w:highlight w:val="none"/>
                <w:u w:val="none"/>
              </w:rPr>
            </w:pPr>
            <w:r>
              <w:rPr>
                <w:color w:val="auto"/>
                <w:highlight w:val="none"/>
                <w:u w:val="none"/>
              </w:rPr>
              <w:t>废氮封油</w:t>
            </w:r>
          </w:p>
        </w:tc>
        <w:tc>
          <w:tcPr>
            <w:tcW w:w="547" w:type="pct"/>
            <w:vAlign w:val="center"/>
          </w:tcPr>
          <w:p w14:paraId="1A6CD309">
            <w:pPr>
              <w:pStyle w:val="92"/>
              <w:rPr>
                <w:color w:val="auto"/>
                <w:highlight w:val="none"/>
                <w:u w:val="none"/>
              </w:rPr>
            </w:pPr>
            <w:r>
              <w:rPr>
                <w:color w:val="auto"/>
                <w:highlight w:val="none"/>
                <w:u w:val="none"/>
              </w:rPr>
              <w:t>t/a</w:t>
            </w:r>
          </w:p>
        </w:tc>
        <w:tc>
          <w:tcPr>
            <w:tcW w:w="1063" w:type="pct"/>
            <w:vAlign w:val="center"/>
          </w:tcPr>
          <w:p w14:paraId="5BE8CAF9">
            <w:pPr>
              <w:pStyle w:val="92"/>
              <w:rPr>
                <w:color w:val="auto"/>
                <w:highlight w:val="none"/>
                <w:u w:val="none"/>
              </w:rPr>
            </w:pPr>
            <w:r>
              <w:rPr>
                <w:color w:val="auto"/>
                <w:highlight w:val="none"/>
                <w:u w:val="none"/>
              </w:rPr>
              <w:t>0</w:t>
            </w:r>
          </w:p>
        </w:tc>
      </w:tr>
      <w:tr w14:paraId="58F37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2C02EAF2">
            <w:pPr>
              <w:pStyle w:val="92"/>
              <w:rPr>
                <w:color w:val="auto"/>
                <w:highlight w:val="none"/>
                <w:u w:val="none"/>
              </w:rPr>
            </w:pPr>
          </w:p>
        </w:tc>
        <w:tc>
          <w:tcPr>
            <w:tcW w:w="2384" w:type="pct"/>
            <w:vAlign w:val="center"/>
          </w:tcPr>
          <w:p w14:paraId="06FC1531">
            <w:pPr>
              <w:pStyle w:val="92"/>
              <w:rPr>
                <w:color w:val="auto"/>
                <w:highlight w:val="none"/>
                <w:u w:val="none"/>
              </w:rPr>
            </w:pPr>
            <w:r>
              <w:rPr>
                <w:color w:val="auto"/>
                <w:highlight w:val="none"/>
                <w:u w:val="none"/>
              </w:rPr>
              <w:t>废抹布、废劳保</w:t>
            </w:r>
          </w:p>
        </w:tc>
        <w:tc>
          <w:tcPr>
            <w:tcW w:w="547" w:type="pct"/>
            <w:vAlign w:val="center"/>
          </w:tcPr>
          <w:p w14:paraId="0FC5B306">
            <w:pPr>
              <w:pStyle w:val="92"/>
              <w:rPr>
                <w:color w:val="auto"/>
                <w:highlight w:val="none"/>
                <w:u w:val="none"/>
              </w:rPr>
            </w:pPr>
            <w:r>
              <w:rPr>
                <w:color w:val="auto"/>
                <w:highlight w:val="none"/>
                <w:u w:val="none"/>
              </w:rPr>
              <w:t>t/a</w:t>
            </w:r>
          </w:p>
        </w:tc>
        <w:tc>
          <w:tcPr>
            <w:tcW w:w="1063" w:type="pct"/>
            <w:vAlign w:val="center"/>
          </w:tcPr>
          <w:p w14:paraId="2E71A5D4">
            <w:pPr>
              <w:pStyle w:val="92"/>
              <w:rPr>
                <w:color w:val="auto"/>
                <w:highlight w:val="none"/>
                <w:u w:val="none"/>
              </w:rPr>
            </w:pPr>
            <w:r>
              <w:rPr>
                <w:color w:val="auto"/>
                <w:highlight w:val="none"/>
                <w:u w:val="none"/>
              </w:rPr>
              <w:t>0</w:t>
            </w:r>
          </w:p>
        </w:tc>
      </w:tr>
      <w:tr w14:paraId="0B540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1004" w:type="pct"/>
            <w:vMerge w:val="continue"/>
            <w:vAlign w:val="center"/>
          </w:tcPr>
          <w:p w14:paraId="0EFA433D">
            <w:pPr>
              <w:pStyle w:val="92"/>
              <w:rPr>
                <w:color w:val="auto"/>
                <w:highlight w:val="none"/>
                <w:u w:val="none"/>
              </w:rPr>
            </w:pPr>
          </w:p>
        </w:tc>
        <w:tc>
          <w:tcPr>
            <w:tcW w:w="2384" w:type="pct"/>
            <w:vAlign w:val="center"/>
          </w:tcPr>
          <w:p w14:paraId="31F23CE0">
            <w:pPr>
              <w:pStyle w:val="92"/>
              <w:rPr>
                <w:color w:val="auto"/>
                <w:highlight w:val="none"/>
                <w:u w:val="none"/>
              </w:rPr>
            </w:pPr>
            <w:r>
              <w:rPr>
                <w:color w:val="auto"/>
                <w:highlight w:val="none"/>
                <w:u w:val="none"/>
              </w:rPr>
              <w:t>生活垃圾</w:t>
            </w:r>
          </w:p>
        </w:tc>
        <w:tc>
          <w:tcPr>
            <w:tcW w:w="547" w:type="pct"/>
            <w:vAlign w:val="center"/>
          </w:tcPr>
          <w:p w14:paraId="35161C51">
            <w:pPr>
              <w:pStyle w:val="92"/>
              <w:rPr>
                <w:color w:val="auto"/>
                <w:highlight w:val="none"/>
                <w:u w:val="none"/>
              </w:rPr>
            </w:pPr>
            <w:r>
              <w:rPr>
                <w:color w:val="auto"/>
                <w:highlight w:val="none"/>
                <w:u w:val="none"/>
              </w:rPr>
              <w:t>t/a</w:t>
            </w:r>
          </w:p>
        </w:tc>
        <w:tc>
          <w:tcPr>
            <w:tcW w:w="1063" w:type="pct"/>
            <w:vAlign w:val="center"/>
          </w:tcPr>
          <w:p w14:paraId="2C491915">
            <w:pPr>
              <w:pStyle w:val="92"/>
              <w:rPr>
                <w:color w:val="auto"/>
                <w:highlight w:val="none"/>
                <w:u w:val="none"/>
              </w:rPr>
            </w:pPr>
            <w:r>
              <w:rPr>
                <w:color w:val="auto"/>
                <w:highlight w:val="none"/>
                <w:u w:val="none"/>
              </w:rPr>
              <w:t>0</w:t>
            </w:r>
          </w:p>
        </w:tc>
      </w:tr>
    </w:tbl>
    <w:p w14:paraId="46807E21">
      <w:pPr>
        <w:ind w:firstLine="420"/>
        <w:rPr>
          <w:rFonts w:hint="eastAsia"/>
          <w:color w:val="auto"/>
          <w:sz w:val="21"/>
          <w:szCs w:val="21"/>
          <w:highlight w:val="none"/>
          <w:u w:val="none"/>
          <w:lang w:val="en-US"/>
        </w:rPr>
      </w:pPr>
    </w:p>
    <w:p w14:paraId="5154A52A">
      <w:pPr>
        <w:pStyle w:val="4"/>
        <w:spacing w:before="120" w:after="120"/>
        <w:rPr>
          <w:color w:val="auto"/>
          <w:highlight w:val="none"/>
          <w:u w:val="none"/>
        </w:rPr>
      </w:pPr>
      <w:bookmarkStart w:id="166" w:name="_Toc8663"/>
      <w:r>
        <w:rPr>
          <w:color w:val="auto"/>
          <w:highlight w:val="none"/>
          <w:u w:val="none"/>
        </w:rPr>
        <w:t>年产48万吨甲醛项目</w:t>
      </w:r>
      <w:bookmarkEnd w:id="161"/>
      <w:bookmarkEnd w:id="162"/>
      <w:bookmarkEnd w:id="163"/>
      <w:bookmarkEnd w:id="164"/>
      <w:bookmarkEnd w:id="165"/>
      <w:bookmarkEnd w:id="166"/>
    </w:p>
    <w:p w14:paraId="37512E86">
      <w:pPr>
        <w:pStyle w:val="6"/>
        <w:spacing w:before="120" w:after="120"/>
        <w:rPr>
          <w:color w:val="auto"/>
          <w:highlight w:val="none"/>
          <w:u w:val="none"/>
        </w:rPr>
      </w:pPr>
      <w:r>
        <w:rPr>
          <w:rFonts w:hint="eastAsia"/>
          <w:color w:val="auto"/>
          <w:highlight w:val="none"/>
          <w:u w:val="none"/>
        </w:rPr>
        <w:t>工程组成</w:t>
      </w:r>
    </w:p>
    <w:p w14:paraId="4072A498">
      <w:pPr>
        <w:rPr>
          <w:rFonts w:hint="eastAsia"/>
          <w:color w:val="auto"/>
          <w:highlight w:val="none"/>
          <w:u w:val="none"/>
        </w:rPr>
      </w:pPr>
      <w:r>
        <w:rPr>
          <w:color w:val="auto"/>
          <w:highlight w:val="none"/>
          <w:u w:val="none"/>
        </w:rPr>
        <w:t>年产48万吨甲醛项目</w:t>
      </w:r>
      <w:r>
        <w:rPr>
          <w:rFonts w:hint="eastAsia"/>
          <w:color w:val="auto"/>
          <w:highlight w:val="none"/>
          <w:u w:val="none"/>
        </w:rPr>
        <w:t>环境影响评价报告</w:t>
      </w:r>
      <w:r>
        <w:rPr>
          <w:color w:val="auto"/>
          <w:highlight w:val="none"/>
          <w:u w:val="none"/>
        </w:rPr>
        <w:t>于2022年1月12日</w:t>
      </w:r>
      <w:r>
        <w:rPr>
          <w:rFonts w:hint="eastAsia"/>
          <w:color w:val="auto"/>
          <w:highlight w:val="none"/>
          <w:u w:val="none"/>
        </w:rPr>
        <w:t>由</w:t>
      </w:r>
      <w:r>
        <w:rPr>
          <w:color w:val="auto"/>
          <w:highlight w:val="none"/>
          <w:u w:val="none"/>
        </w:rPr>
        <w:t>福州市生态环境局以“榕融环评[2022]6号”文</w:t>
      </w:r>
      <w:r>
        <w:rPr>
          <w:rFonts w:hint="eastAsia"/>
          <w:color w:val="auto"/>
          <w:highlight w:val="none"/>
          <w:u w:val="none"/>
        </w:rPr>
        <w:t>进行批复。工程分两期建设，现已建成一期</w:t>
      </w:r>
      <w:r>
        <w:rPr>
          <w:color w:val="auto"/>
          <w:highlight w:val="none"/>
          <w:u w:val="none"/>
        </w:rPr>
        <w:t>24</w:t>
      </w:r>
      <w:r>
        <w:rPr>
          <w:rFonts w:hint="eastAsia"/>
          <w:color w:val="auto"/>
          <w:highlight w:val="none"/>
          <w:u w:val="none"/>
        </w:rPr>
        <w:t>万吨产能及配套工程，</w:t>
      </w:r>
      <w:r>
        <w:rPr>
          <w:rFonts w:hint="eastAsia"/>
          <w:color w:val="auto"/>
          <w:highlight w:val="none"/>
          <w:u w:val="none"/>
          <w:lang w:val="en-US"/>
        </w:rPr>
        <w:t>并</w:t>
      </w:r>
      <w:r>
        <w:rPr>
          <w:rFonts w:hint="eastAsia"/>
          <w:color w:val="auto"/>
          <w:highlight w:val="none"/>
          <w:u w:val="none"/>
        </w:rPr>
        <w:t>2</w:t>
      </w:r>
      <w:r>
        <w:rPr>
          <w:color w:val="auto"/>
          <w:highlight w:val="none"/>
          <w:u w:val="none"/>
        </w:rPr>
        <w:t>023年</w:t>
      </w:r>
      <w:r>
        <w:rPr>
          <w:rFonts w:hint="eastAsia"/>
          <w:color w:val="auto"/>
          <w:highlight w:val="none"/>
          <w:u w:val="none"/>
        </w:rPr>
        <w:t>6月</w:t>
      </w:r>
      <w:bookmarkStart w:id="167" w:name="_Hlk175156382"/>
      <w:r>
        <w:rPr>
          <w:rFonts w:hint="eastAsia"/>
          <w:color w:val="auto"/>
          <w:highlight w:val="none"/>
          <w:u w:val="none"/>
          <w:lang w:val="en-US"/>
        </w:rPr>
        <w:t>完成</w:t>
      </w:r>
      <w:r>
        <w:rPr>
          <w:rFonts w:hint="eastAsia"/>
          <w:color w:val="auto"/>
          <w:highlight w:val="none"/>
          <w:u w:val="none"/>
        </w:rPr>
        <w:t>阶段性竣工环保</w:t>
      </w:r>
      <w:r>
        <w:rPr>
          <w:rFonts w:hint="eastAsia"/>
          <w:color w:val="auto"/>
          <w:highlight w:val="none"/>
          <w:u w:val="none"/>
          <w:lang w:val="en-US"/>
        </w:rPr>
        <w:t>自主</w:t>
      </w:r>
      <w:r>
        <w:rPr>
          <w:rFonts w:hint="eastAsia"/>
          <w:color w:val="auto"/>
          <w:highlight w:val="none"/>
          <w:u w:val="none"/>
        </w:rPr>
        <w:t>验收</w:t>
      </w:r>
      <w:bookmarkEnd w:id="167"/>
      <w:r>
        <w:rPr>
          <w:rFonts w:hint="eastAsia"/>
          <w:color w:val="auto"/>
          <w:highlight w:val="none"/>
          <w:u w:val="none"/>
        </w:rPr>
        <w:t>，二期工程正在建设中</w:t>
      </w:r>
      <w:r>
        <w:rPr>
          <w:color w:val="auto"/>
          <w:highlight w:val="none"/>
          <w:u w:val="none"/>
        </w:rPr>
        <w:t>。</w:t>
      </w:r>
    </w:p>
    <w:p w14:paraId="7F4C3AEB">
      <w:pPr>
        <w:pStyle w:val="6"/>
        <w:spacing w:before="120" w:after="120"/>
        <w:rPr>
          <w:color w:val="auto"/>
          <w:highlight w:val="none"/>
          <w:u w:val="none"/>
        </w:rPr>
      </w:pPr>
      <w:r>
        <w:rPr>
          <w:rFonts w:hint="eastAsia"/>
          <w:color w:val="auto"/>
          <w:highlight w:val="none"/>
          <w:u w:val="none"/>
          <w:lang w:val="en-US"/>
        </w:rPr>
        <w:t>产品方案及生产工艺</w:t>
      </w:r>
    </w:p>
    <w:p w14:paraId="2A7D5736">
      <w:pPr>
        <w:pStyle w:val="7"/>
        <w:spacing w:before="120"/>
        <w:rPr>
          <w:color w:val="auto"/>
          <w:highlight w:val="none"/>
          <w:u w:val="none"/>
          <w:lang w:val="en-US"/>
        </w:rPr>
      </w:pPr>
      <w:r>
        <w:rPr>
          <w:rFonts w:hint="eastAsia"/>
          <w:color w:val="auto"/>
          <w:highlight w:val="none"/>
          <w:u w:val="none"/>
          <w:lang w:val="en-US"/>
        </w:rPr>
        <w:t>产品方案及原辅材料</w:t>
      </w:r>
    </w:p>
    <w:p w14:paraId="2587869D">
      <w:pPr>
        <w:pStyle w:val="981"/>
        <w:rPr>
          <w:rFonts w:hint="eastAsia"/>
          <w:color w:val="auto"/>
          <w:highlight w:val="none"/>
          <w:u w:val="none"/>
          <w:lang w:val="en-US"/>
        </w:rPr>
      </w:pPr>
      <w:r>
        <w:rPr>
          <w:rFonts w:hint="eastAsia"/>
        </w:rPr>
        <w:t>涉密删除</w:t>
      </w:r>
      <w:r>
        <w:rPr>
          <w:rFonts w:hint="eastAsia"/>
          <w:color w:val="auto"/>
          <w:highlight w:val="none"/>
          <w:u w:val="none"/>
          <w:lang w:val="en-US"/>
        </w:rPr>
        <w:t>。</w:t>
      </w:r>
    </w:p>
    <w:p w14:paraId="4787D46D">
      <w:pPr>
        <w:pStyle w:val="7"/>
        <w:spacing w:before="120"/>
        <w:rPr>
          <w:color w:val="auto"/>
          <w:highlight w:val="none"/>
          <w:u w:val="none"/>
          <w:lang w:val="en-US"/>
        </w:rPr>
      </w:pPr>
      <w:r>
        <w:rPr>
          <w:rFonts w:hint="eastAsia"/>
          <w:color w:val="auto"/>
          <w:highlight w:val="none"/>
          <w:u w:val="none"/>
          <w:lang w:val="en-US"/>
        </w:rPr>
        <w:t>生产工艺</w:t>
      </w:r>
    </w:p>
    <w:p w14:paraId="40ED329D">
      <w:pPr>
        <w:pStyle w:val="981"/>
        <w:rPr>
          <w:rFonts w:hint="eastAsia"/>
          <w:color w:val="auto"/>
          <w:highlight w:val="none"/>
          <w:u w:val="none"/>
        </w:rPr>
      </w:pPr>
      <w:r>
        <w:rPr>
          <w:rFonts w:hint="eastAsia"/>
        </w:rPr>
        <w:t>涉密删除</w:t>
      </w:r>
      <w:r>
        <w:rPr>
          <w:rFonts w:hint="eastAsia"/>
          <w:color w:val="auto"/>
          <w:highlight w:val="none"/>
          <w:u w:val="none"/>
        </w:rPr>
        <w:t>。</w:t>
      </w:r>
    </w:p>
    <w:p w14:paraId="5FC2FB09">
      <w:pPr>
        <w:pStyle w:val="6"/>
        <w:spacing w:before="120" w:after="120"/>
        <w:rPr>
          <w:color w:val="auto"/>
          <w:highlight w:val="none"/>
          <w:u w:val="none"/>
        </w:rPr>
      </w:pPr>
      <w:r>
        <w:rPr>
          <w:rFonts w:hint="eastAsia"/>
          <w:color w:val="auto"/>
          <w:highlight w:val="none"/>
          <w:u w:val="none"/>
          <w:lang w:val="en-US"/>
        </w:rPr>
        <w:t>现有工程污染防治措施</w:t>
      </w:r>
    </w:p>
    <w:p w14:paraId="5B7FBCB1">
      <w:pPr>
        <w:pStyle w:val="7"/>
        <w:spacing w:before="120"/>
        <w:rPr>
          <w:color w:val="auto"/>
          <w:highlight w:val="none"/>
          <w:u w:val="none"/>
          <w:lang w:val="en-US"/>
        </w:rPr>
      </w:pPr>
      <w:r>
        <w:rPr>
          <w:rFonts w:hint="eastAsia"/>
          <w:color w:val="auto"/>
          <w:highlight w:val="none"/>
          <w:u w:val="none"/>
          <w:lang w:val="en-US"/>
        </w:rPr>
        <w:t>废水</w:t>
      </w:r>
    </w:p>
    <w:p w14:paraId="4E76B7AE">
      <w:pPr>
        <w:rPr>
          <w:rFonts w:hint="eastAsia"/>
          <w:color w:val="auto"/>
          <w:highlight w:val="none"/>
          <w:u w:val="none"/>
        </w:rPr>
      </w:pPr>
      <w:r>
        <w:rPr>
          <w:color w:val="auto"/>
          <w:highlight w:val="none"/>
          <w:u w:val="none"/>
        </w:rPr>
        <w:t>（1）地面冲洗废水及初期雨水</w:t>
      </w:r>
    </w:p>
    <w:p w14:paraId="3B715ED6">
      <w:pPr>
        <w:rPr>
          <w:rFonts w:hint="eastAsia"/>
          <w:color w:val="auto"/>
          <w:highlight w:val="none"/>
          <w:u w:val="none"/>
        </w:rPr>
      </w:pPr>
      <w:r>
        <w:rPr>
          <w:color w:val="auto"/>
          <w:highlight w:val="none"/>
          <w:u w:val="none"/>
        </w:rPr>
        <w:t>地面冲洗废水及初期雨水送</w:t>
      </w:r>
      <w:r>
        <w:rPr>
          <w:rFonts w:hint="eastAsia"/>
          <w:color w:val="auto"/>
          <w:highlight w:val="none"/>
          <w:u w:val="none"/>
        </w:rPr>
        <w:t>万华环保科技公司</w:t>
      </w:r>
      <w:r>
        <w:rPr>
          <w:color w:val="auto"/>
          <w:highlight w:val="none"/>
          <w:u w:val="none"/>
        </w:rPr>
        <w:t>低浓度</w:t>
      </w:r>
      <w:r>
        <w:rPr>
          <w:rFonts w:hint="eastAsia"/>
          <w:color w:val="auto"/>
          <w:highlight w:val="none"/>
          <w:u w:val="none"/>
        </w:rPr>
        <w:t>废水</w:t>
      </w:r>
      <w:r>
        <w:rPr>
          <w:color w:val="auto"/>
          <w:highlight w:val="none"/>
          <w:u w:val="none"/>
        </w:rPr>
        <w:t>处理</w:t>
      </w:r>
      <w:r>
        <w:rPr>
          <w:rFonts w:hint="eastAsia"/>
          <w:color w:val="auto"/>
          <w:highlight w:val="none"/>
          <w:u w:val="none"/>
        </w:rPr>
        <w:t>系统</w:t>
      </w:r>
      <w:r>
        <w:rPr>
          <w:color w:val="auto"/>
          <w:highlight w:val="none"/>
          <w:u w:val="none"/>
        </w:rPr>
        <w:t>处理，达标后进入</w:t>
      </w:r>
      <w:r>
        <w:rPr>
          <w:rFonts w:hint="eastAsia"/>
          <w:color w:val="auto"/>
          <w:highlight w:val="none"/>
          <w:u w:val="none"/>
          <w:lang w:eastAsia="zh-CN"/>
        </w:rPr>
        <w:t>福州江阴港城经济区</w:t>
      </w:r>
      <w:r>
        <w:rPr>
          <w:color w:val="auto"/>
          <w:highlight w:val="none"/>
          <w:u w:val="none"/>
        </w:rPr>
        <w:t>污水处理厂处理达标后排入兴化湾。</w:t>
      </w:r>
    </w:p>
    <w:p w14:paraId="074FFC4E">
      <w:pPr>
        <w:rPr>
          <w:rFonts w:hint="eastAsia"/>
          <w:color w:val="auto"/>
          <w:highlight w:val="none"/>
          <w:u w:val="none"/>
        </w:rPr>
      </w:pPr>
      <w:r>
        <w:rPr>
          <w:color w:val="auto"/>
          <w:highlight w:val="none"/>
          <w:u w:val="none"/>
        </w:rPr>
        <w:t>（2）生活污水</w:t>
      </w:r>
    </w:p>
    <w:p w14:paraId="228EF788">
      <w:pPr>
        <w:rPr>
          <w:rFonts w:hint="eastAsia"/>
          <w:color w:val="auto"/>
          <w:highlight w:val="none"/>
          <w:u w:val="none"/>
          <w:lang w:val="en-US"/>
        </w:rPr>
      </w:pPr>
      <w:r>
        <w:rPr>
          <w:color w:val="auto"/>
          <w:highlight w:val="none"/>
          <w:u w:val="none"/>
        </w:rPr>
        <w:t>生活污水经化粪池处理后送</w:t>
      </w:r>
      <w:r>
        <w:rPr>
          <w:rFonts w:hint="eastAsia"/>
          <w:color w:val="auto"/>
          <w:highlight w:val="none"/>
          <w:u w:val="none"/>
        </w:rPr>
        <w:t>万华环保科技公司</w:t>
      </w:r>
      <w:r>
        <w:rPr>
          <w:color w:val="auto"/>
          <w:highlight w:val="none"/>
          <w:u w:val="none"/>
        </w:rPr>
        <w:t>低浓度</w:t>
      </w:r>
      <w:r>
        <w:rPr>
          <w:rFonts w:hint="eastAsia"/>
          <w:color w:val="auto"/>
          <w:highlight w:val="none"/>
          <w:u w:val="none"/>
        </w:rPr>
        <w:t>废水</w:t>
      </w:r>
      <w:r>
        <w:rPr>
          <w:color w:val="auto"/>
          <w:highlight w:val="none"/>
          <w:u w:val="none"/>
        </w:rPr>
        <w:t>处理</w:t>
      </w:r>
      <w:r>
        <w:rPr>
          <w:rFonts w:hint="eastAsia"/>
          <w:color w:val="auto"/>
          <w:highlight w:val="none"/>
          <w:u w:val="none"/>
        </w:rPr>
        <w:t>系统</w:t>
      </w:r>
      <w:r>
        <w:rPr>
          <w:color w:val="auto"/>
          <w:highlight w:val="none"/>
          <w:u w:val="none"/>
        </w:rPr>
        <w:t>处理，达标后进入</w:t>
      </w:r>
      <w:r>
        <w:rPr>
          <w:rFonts w:hint="eastAsia"/>
          <w:color w:val="auto"/>
          <w:highlight w:val="none"/>
          <w:u w:val="none"/>
          <w:lang w:eastAsia="zh-CN"/>
        </w:rPr>
        <w:t>福州江阴港城经济区</w:t>
      </w:r>
      <w:r>
        <w:rPr>
          <w:rFonts w:hint="eastAsia"/>
          <w:color w:val="auto"/>
          <w:highlight w:val="none"/>
          <w:u w:val="none"/>
          <w:lang w:val="en-US"/>
        </w:rPr>
        <w:t>污水厂处理达标后排入兴化湾。</w:t>
      </w:r>
    </w:p>
    <w:p w14:paraId="61BAE2E9">
      <w:pPr>
        <w:pStyle w:val="7"/>
        <w:spacing w:before="120"/>
        <w:rPr>
          <w:color w:val="auto"/>
          <w:highlight w:val="none"/>
          <w:u w:val="none"/>
        </w:rPr>
      </w:pPr>
      <w:r>
        <w:rPr>
          <w:color w:val="auto"/>
          <w:highlight w:val="none"/>
          <w:u w:val="none"/>
        </w:rPr>
        <w:t>固废</w:t>
      </w:r>
    </w:p>
    <w:p w14:paraId="59A001EC">
      <w:pPr>
        <w:rPr>
          <w:rFonts w:hint="eastAsia"/>
          <w:color w:val="auto"/>
          <w:highlight w:val="none"/>
          <w:u w:val="none"/>
        </w:rPr>
      </w:pPr>
      <w:r>
        <w:rPr>
          <w:rFonts w:hint="eastAsia"/>
          <w:color w:val="auto"/>
          <w:highlight w:val="none"/>
          <w:u w:val="none"/>
        </w:rPr>
        <w:t>甲醛项目</w:t>
      </w:r>
      <w:r>
        <w:rPr>
          <w:color w:val="auto"/>
          <w:highlight w:val="none"/>
          <w:u w:val="none"/>
        </w:rPr>
        <w:t>固体废物</w:t>
      </w:r>
      <w:r>
        <w:rPr>
          <w:rFonts w:hint="eastAsia"/>
          <w:color w:val="auto"/>
          <w:highlight w:val="none"/>
          <w:u w:val="none"/>
        </w:rPr>
        <w:t>主要</w:t>
      </w:r>
      <w:r>
        <w:rPr>
          <w:color w:val="auto"/>
          <w:highlight w:val="none"/>
          <w:u w:val="none"/>
        </w:rPr>
        <w:t>包括</w:t>
      </w:r>
      <w:r>
        <w:rPr>
          <w:color w:val="auto"/>
          <w:szCs w:val="21"/>
          <w:highlight w:val="none"/>
          <w:u w:val="none"/>
        </w:rPr>
        <w:t>甲醛合成废催化剂、甲醛尾气处理废催化剂、</w:t>
      </w:r>
      <w:r>
        <w:rPr>
          <w:color w:val="auto"/>
          <w:highlight w:val="none"/>
          <w:u w:val="none"/>
        </w:rPr>
        <w:t>废机油、甲醛装置废导热油等危险废物，以及生活办公产生的生活垃圾。</w:t>
      </w:r>
      <w:r>
        <w:rPr>
          <w:rFonts w:hint="eastAsia"/>
          <w:color w:val="auto"/>
          <w:highlight w:val="none"/>
          <w:u w:val="none"/>
        </w:rPr>
        <w:t>其中</w:t>
      </w:r>
      <w:r>
        <w:rPr>
          <w:color w:val="auto"/>
          <w:szCs w:val="21"/>
          <w:highlight w:val="none"/>
          <w:u w:val="none"/>
        </w:rPr>
        <w:t>甲醛合成废催化剂、甲醛尾气处理废催化剂</w:t>
      </w:r>
      <w:r>
        <w:rPr>
          <w:rFonts w:hint="eastAsia"/>
          <w:color w:val="auto"/>
          <w:szCs w:val="21"/>
          <w:highlight w:val="none"/>
          <w:u w:val="none"/>
        </w:rPr>
        <w:t>等委托内蒙古熙泰再生资源处理有限责任公司处置（已完成跨省转移手续，见附件</w:t>
      </w:r>
      <w:r>
        <w:rPr>
          <w:color w:val="auto"/>
          <w:szCs w:val="21"/>
          <w:highlight w:val="none"/>
          <w:u w:val="none"/>
        </w:rPr>
        <w:t>2</w:t>
      </w:r>
      <w:r>
        <w:rPr>
          <w:rFonts w:hint="eastAsia"/>
          <w:color w:val="auto"/>
          <w:szCs w:val="21"/>
          <w:highlight w:val="none"/>
          <w:u w:val="none"/>
          <w:lang w:val="en-US"/>
        </w:rPr>
        <w:t>1</w:t>
      </w:r>
      <w:r>
        <w:rPr>
          <w:rFonts w:hint="eastAsia"/>
          <w:color w:val="auto"/>
          <w:szCs w:val="21"/>
          <w:highlight w:val="none"/>
          <w:u w:val="none"/>
        </w:rPr>
        <w:t>），</w:t>
      </w:r>
      <w:r>
        <w:rPr>
          <w:color w:val="auto"/>
          <w:highlight w:val="none"/>
          <w:u w:val="none"/>
        </w:rPr>
        <w:t>废机油</w:t>
      </w:r>
      <w:r>
        <w:rPr>
          <w:rFonts w:hint="eastAsia"/>
          <w:color w:val="auto"/>
          <w:highlight w:val="none"/>
          <w:u w:val="none"/>
        </w:rPr>
        <w:t>、</w:t>
      </w:r>
      <w:r>
        <w:rPr>
          <w:color w:val="auto"/>
          <w:highlight w:val="none"/>
          <w:u w:val="none"/>
        </w:rPr>
        <w:t>废导热油等</w:t>
      </w:r>
      <w:r>
        <w:rPr>
          <w:rFonts w:hint="eastAsia"/>
          <w:color w:val="auto"/>
          <w:highlight w:val="none"/>
          <w:u w:val="none"/>
        </w:rPr>
        <w:t>委托</w:t>
      </w:r>
      <w:r>
        <w:rPr>
          <w:rFonts w:hint="eastAsia"/>
          <w:color w:val="auto"/>
          <w:highlight w:val="none"/>
          <w:u w:val="none"/>
          <w:lang w:val="en-US"/>
        </w:rPr>
        <w:t>邵武绿益新环保产业开发有限公司</w:t>
      </w:r>
      <w:r>
        <w:rPr>
          <w:rFonts w:hint="eastAsia"/>
          <w:color w:val="auto"/>
          <w:highlight w:val="none"/>
          <w:u w:val="none"/>
        </w:rPr>
        <w:t>处置，</w:t>
      </w:r>
      <w:r>
        <w:rPr>
          <w:color w:val="auto"/>
          <w:highlight w:val="none"/>
          <w:u w:val="none"/>
        </w:rPr>
        <w:t>生活垃圾</w:t>
      </w:r>
      <w:r>
        <w:rPr>
          <w:rFonts w:hint="eastAsia"/>
          <w:color w:val="auto"/>
          <w:highlight w:val="none"/>
          <w:u w:val="none"/>
        </w:rPr>
        <w:t>委托环卫部门清运。</w:t>
      </w:r>
    </w:p>
    <w:p w14:paraId="7FBAAA84">
      <w:pPr>
        <w:pStyle w:val="7"/>
        <w:spacing w:before="120"/>
        <w:rPr>
          <w:color w:val="auto"/>
          <w:highlight w:val="none"/>
          <w:u w:val="none"/>
        </w:rPr>
      </w:pPr>
      <w:r>
        <w:rPr>
          <w:rFonts w:hint="eastAsia"/>
          <w:color w:val="auto"/>
          <w:highlight w:val="none"/>
          <w:u w:val="none"/>
        </w:rPr>
        <w:t>地下水污染防治措施</w:t>
      </w:r>
    </w:p>
    <w:p w14:paraId="703E814D">
      <w:pPr>
        <w:rPr>
          <w:rFonts w:hint="eastAsia"/>
          <w:color w:val="auto"/>
          <w:highlight w:val="none"/>
          <w:u w:val="none"/>
          <w:lang w:val="en-US"/>
        </w:rPr>
      </w:pPr>
      <w:r>
        <w:rPr>
          <w:rFonts w:hint="eastAsia"/>
          <w:color w:val="auto"/>
          <w:highlight w:val="none"/>
          <w:u w:val="none"/>
        </w:rPr>
        <w:t>甲醛项目</w:t>
      </w:r>
      <w:r>
        <w:rPr>
          <w:rFonts w:hint="eastAsia"/>
          <w:color w:val="auto"/>
          <w:highlight w:val="none"/>
          <w:u w:val="none"/>
          <w:lang w:val="en-US"/>
        </w:rPr>
        <w:t>装置区实际建设分区情况见</w:t>
      </w:r>
      <w:r>
        <w:rPr>
          <w:rFonts w:hint="eastAsia"/>
          <w:color w:val="auto"/>
          <w:highlight w:val="none"/>
          <w:u w:val="none"/>
          <w:lang w:val="en-US"/>
        </w:rPr>
        <w:fldChar w:fldCharType="begin"/>
      </w:r>
      <w:r>
        <w:rPr>
          <w:rFonts w:hint="eastAsia"/>
          <w:color w:val="auto"/>
          <w:highlight w:val="none"/>
          <w:u w:val="none"/>
          <w:lang w:val="en-US"/>
        </w:rPr>
        <w:instrText xml:space="preserve"> REF _Ref193032722 \h  \* MERGEFORMAT </w:instrText>
      </w:r>
      <w:r>
        <w:rPr>
          <w:rFonts w:hint="eastAsia"/>
          <w:color w:val="auto"/>
          <w:highlight w:val="none"/>
          <w:u w:val="none"/>
          <w:lang w:val="en-US"/>
        </w:rPr>
        <w:fldChar w:fldCharType="separate"/>
      </w:r>
      <w:r>
        <w:rPr>
          <w:rFonts w:hAnsi="Times New Roman"/>
          <w:color w:val="auto"/>
          <w:highlight w:val="none"/>
          <w:u w:val="none"/>
        </w:rPr>
        <w:t>表</w:t>
      </w:r>
      <w:r>
        <w:rPr>
          <w:rFonts w:hAnsi="Times New Roman"/>
          <w:color w:val="auto"/>
          <w:highlight w:val="none"/>
          <w:u w:val="none"/>
        </w:rPr>
        <w:fldChar w:fldCharType="begin"/>
      </w:r>
      <w:r>
        <w:rPr>
          <w:rFonts w:hAnsi="Times New Roman"/>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3.4</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lang w:val="en-US"/>
        </w:rPr>
        <w:fldChar w:fldCharType="end"/>
      </w:r>
      <w:r>
        <w:rPr>
          <w:rFonts w:hint="eastAsia"/>
          <w:color w:val="auto"/>
          <w:highlight w:val="none"/>
          <w:u w:val="none"/>
          <w:lang w:val="en-US"/>
        </w:rPr>
        <w:t>。地下水防渗措施基本符合分区防渗要求，满足环评批复的地下水防渗要求。装置区内已按环评要求设置3个地下水监测井（上游1个，下游2个）并进行跟踪监测。</w:t>
      </w:r>
    </w:p>
    <w:p w14:paraId="6A76AF8C">
      <w:pPr>
        <w:pStyle w:val="6"/>
        <w:spacing w:before="120" w:after="120"/>
        <w:rPr>
          <w:color w:val="auto"/>
          <w:highlight w:val="none"/>
          <w:u w:val="none"/>
        </w:rPr>
      </w:pPr>
      <w:r>
        <w:rPr>
          <w:rFonts w:hint="eastAsia"/>
          <w:color w:val="auto"/>
          <w:highlight w:val="none"/>
          <w:u w:val="none"/>
          <w:lang w:val="en-US"/>
        </w:rPr>
        <w:t>甲醛项目一期工程（</w:t>
      </w:r>
      <w:r>
        <w:rPr>
          <w:color w:val="auto"/>
          <w:highlight w:val="none"/>
          <w:u w:val="none"/>
        </w:rPr>
        <w:t>24</w:t>
      </w:r>
      <w:r>
        <w:rPr>
          <w:rFonts w:hint="eastAsia"/>
          <w:color w:val="auto"/>
          <w:highlight w:val="none"/>
          <w:u w:val="none"/>
        </w:rPr>
        <w:t>万吨产能及其配套工程</w:t>
      </w:r>
      <w:r>
        <w:rPr>
          <w:rFonts w:hint="eastAsia"/>
          <w:color w:val="auto"/>
          <w:highlight w:val="none"/>
          <w:u w:val="none"/>
          <w:lang w:val="en-US"/>
        </w:rPr>
        <w:t>）污染物排放达标情况分析</w:t>
      </w:r>
    </w:p>
    <w:p w14:paraId="66396E84">
      <w:pPr>
        <w:pStyle w:val="7"/>
        <w:spacing w:before="120"/>
        <w:rPr>
          <w:color w:val="auto"/>
          <w:highlight w:val="none"/>
          <w:u w:val="none"/>
          <w:lang w:val="en-US"/>
        </w:rPr>
      </w:pPr>
      <w:r>
        <w:rPr>
          <w:rFonts w:hint="eastAsia"/>
          <w:color w:val="auto"/>
          <w:highlight w:val="none"/>
          <w:u w:val="none"/>
          <w:lang w:val="en-US"/>
        </w:rPr>
        <w:t>废气</w:t>
      </w:r>
    </w:p>
    <w:p w14:paraId="0B2C9769">
      <w:pPr>
        <w:rPr>
          <w:rFonts w:hint="eastAsia"/>
          <w:color w:val="auto"/>
          <w:highlight w:val="none"/>
          <w:u w:val="none"/>
        </w:rPr>
      </w:pPr>
      <w:r>
        <w:rPr>
          <w:color w:val="auto"/>
          <w:highlight w:val="none"/>
          <w:u w:val="none"/>
        </w:rPr>
        <w:t>（1）有组织废气</w:t>
      </w:r>
    </w:p>
    <w:p w14:paraId="7F097135">
      <w:pPr>
        <w:rPr>
          <w:rFonts w:hint="eastAsia"/>
          <w:color w:val="auto"/>
          <w:highlight w:val="none"/>
          <w:u w:val="none"/>
        </w:rPr>
      </w:pPr>
      <w:r>
        <w:rPr>
          <w:rFonts w:hint="eastAsia"/>
        </w:rPr>
        <w:t>甲醛项目一期</w:t>
      </w:r>
      <w:r>
        <w:t>工程甲醛吸收塔废气以及甲醛罐区大小呼吸废气经ECS催化氧化系统处理后通过37m</w:t>
      </w:r>
      <w:r>
        <w:rPr>
          <w:rFonts w:hint="eastAsia"/>
        </w:rPr>
        <w:t>高</w:t>
      </w:r>
      <w:r>
        <w:t>排气筒</w:t>
      </w:r>
      <w:r>
        <w:rPr>
          <w:rFonts w:hint="eastAsia"/>
        </w:rPr>
        <w:t>（</w:t>
      </w:r>
      <w:r>
        <w:t>DA00</w:t>
      </w:r>
      <w:r>
        <w:rPr>
          <w:rFonts w:hint="eastAsia"/>
          <w:lang w:val="en-US"/>
        </w:rPr>
        <w:t>7</w:t>
      </w:r>
      <w:r>
        <w:rPr>
          <w:rFonts w:hint="eastAsia"/>
        </w:rPr>
        <w:t>）</w:t>
      </w:r>
      <w:r>
        <w:t>排放</w:t>
      </w:r>
      <w:r>
        <w:rPr>
          <w:rStyle w:val="982"/>
          <w:color w:val="auto"/>
        </w:rPr>
        <w:t>。</w:t>
      </w:r>
      <w:r>
        <w:rPr>
          <w:rStyle w:val="982"/>
          <w:rFonts w:hint="eastAsia"/>
          <w:color w:val="auto"/>
        </w:rPr>
        <w:t>根据</w:t>
      </w:r>
      <w:r>
        <w:rPr>
          <w:rStyle w:val="982"/>
          <w:color w:val="auto"/>
        </w:rPr>
        <w:t>监测</w:t>
      </w:r>
      <w:r>
        <w:t>结果，甲醛</w:t>
      </w:r>
      <w:r>
        <w:rPr>
          <w:rFonts w:hint="eastAsia"/>
        </w:rPr>
        <w:t>符合</w:t>
      </w:r>
      <w:r>
        <w:t>《工业企业挥发性有机物排放标准》（DB35/1782-2018）表1</w:t>
      </w:r>
      <w:r>
        <w:rPr>
          <w:rFonts w:hint="eastAsia"/>
        </w:rPr>
        <w:t>中</w:t>
      </w:r>
      <w:r>
        <w:t>其他行业排放标准</w:t>
      </w:r>
      <w:r>
        <w:rPr>
          <w:rFonts w:hint="eastAsia"/>
        </w:rPr>
        <w:t>；</w:t>
      </w:r>
      <w:r>
        <w:t>甲醇</w:t>
      </w:r>
      <w:r>
        <w:rPr>
          <w:rFonts w:hint="eastAsia"/>
        </w:rPr>
        <w:t>符合</w:t>
      </w:r>
      <w:r>
        <w:t>《石油化学工业污染物排放标准》（GB31571-2015）</w:t>
      </w:r>
      <w:r>
        <w:rPr>
          <w:rFonts w:hint="eastAsia"/>
        </w:rPr>
        <w:t>及其修改单中</w:t>
      </w:r>
      <w:r>
        <w:t>表6排放限值</w:t>
      </w:r>
      <w:r>
        <w:rPr>
          <w:color w:val="auto"/>
          <w:highlight w:val="none"/>
          <w:u w:val="none"/>
        </w:rPr>
        <w:t>。</w:t>
      </w:r>
    </w:p>
    <w:p w14:paraId="0C547EF0">
      <w:pPr>
        <w:pStyle w:val="981"/>
        <w:rPr>
          <w:rFonts w:hint="eastAsia"/>
          <w:color w:val="auto"/>
          <w:highlight w:val="none"/>
          <w:u w:val="none"/>
        </w:rPr>
      </w:pPr>
      <w:r>
        <w:rPr>
          <w:color w:val="auto"/>
          <w:highlight w:val="none"/>
          <w:u w:val="none"/>
        </w:rPr>
        <w:t>（2）无组织废气</w:t>
      </w:r>
    </w:p>
    <w:p w14:paraId="07797465">
      <w:pPr>
        <w:pStyle w:val="981"/>
        <w:rPr>
          <w:rFonts w:hAnsi="Times New Roman"/>
          <w:color w:val="auto"/>
          <w:highlight w:val="none"/>
          <w:u w:val="none"/>
        </w:rPr>
      </w:pPr>
      <w:r>
        <w:rPr>
          <w:rFonts w:hAnsi="Times New Roman"/>
          <w:color w:val="auto"/>
        </w:rPr>
        <w:t>甲醛项目一期工程厂界无组织及厂区无组织废气监测结果</w:t>
      </w:r>
      <w:r>
        <w:rPr>
          <w:rFonts w:hint="eastAsia" w:hAnsi="Times New Roman"/>
          <w:color w:val="auto"/>
        </w:rPr>
        <w:t>，</w:t>
      </w:r>
      <w:r>
        <w:rPr>
          <w:rStyle w:val="982"/>
          <w:rFonts w:hAnsi="Times New Roman"/>
          <w:color w:val="auto"/>
        </w:rPr>
        <w:t>根据监测</w:t>
      </w:r>
      <w:r>
        <w:rPr>
          <w:rFonts w:hAnsi="Times New Roman"/>
          <w:color w:val="auto"/>
        </w:rPr>
        <w:t>结果，厂界无组织监控点</w:t>
      </w:r>
      <w:r>
        <w:rPr>
          <w:rFonts w:hint="eastAsia" w:hAnsi="Times New Roman"/>
          <w:color w:val="auto"/>
        </w:rPr>
        <w:t>各污染物满足相应的标准要求</w:t>
      </w:r>
      <w:r>
        <w:rPr>
          <w:rFonts w:hAnsi="Times New Roman"/>
          <w:color w:val="auto"/>
          <w:highlight w:val="none"/>
          <w:u w:val="none"/>
        </w:rPr>
        <w:t>。</w:t>
      </w:r>
    </w:p>
    <w:p w14:paraId="1D30669C">
      <w:pPr>
        <w:rPr>
          <w:rFonts w:hint="eastAsia"/>
          <w:color w:val="auto"/>
          <w:highlight w:val="none"/>
          <w:u w:val="none"/>
          <w:lang w:val="en-US"/>
        </w:rPr>
      </w:pPr>
    </w:p>
    <w:p w14:paraId="64DD3328">
      <w:pPr>
        <w:rPr>
          <w:rFonts w:hint="eastAsia"/>
          <w:color w:val="auto"/>
          <w:highlight w:val="none"/>
          <w:u w:val="none"/>
        </w:rPr>
        <w:sectPr>
          <w:footerReference r:id="rId18" w:type="default"/>
          <w:headerReference r:id="rId17" w:type="even"/>
          <w:footerReference r:id="rId19" w:type="even"/>
          <w:pgSz w:w="11907" w:h="16839"/>
          <w:pgMar w:top="1361" w:right="1361" w:bottom="1361" w:left="1361" w:header="851" w:footer="992" w:gutter="0"/>
          <w:paperSrc w:first="15" w:other="15"/>
          <w:cols w:space="720" w:num="1"/>
          <w:docGrid w:linePitch="381" w:charSpace="0"/>
        </w:sectPr>
      </w:pPr>
    </w:p>
    <w:p w14:paraId="23979091">
      <w:pPr>
        <w:pStyle w:val="7"/>
        <w:spacing w:before="120"/>
        <w:rPr>
          <w:color w:val="auto"/>
          <w:highlight w:val="none"/>
          <w:u w:val="none"/>
          <w:lang w:val="en-US"/>
        </w:rPr>
      </w:pPr>
      <w:r>
        <w:rPr>
          <w:rFonts w:hint="eastAsia"/>
          <w:color w:val="auto"/>
          <w:highlight w:val="none"/>
          <w:u w:val="none"/>
          <w:lang w:val="en-US"/>
        </w:rPr>
        <w:t>废水</w:t>
      </w:r>
    </w:p>
    <w:p w14:paraId="0891C8A5">
      <w:pPr>
        <w:rPr>
          <w:rFonts w:hint="eastAsia"/>
          <w:color w:val="auto"/>
          <w:highlight w:val="none"/>
          <w:u w:val="none"/>
          <w:lang w:val="en-US"/>
        </w:rPr>
      </w:pPr>
      <w:r>
        <w:rPr>
          <w:color w:val="auto"/>
          <w:highlight w:val="none"/>
          <w:u w:val="none"/>
        </w:rPr>
        <w:t>甲醛装置区地面冲洗废水及初期雨水</w:t>
      </w:r>
      <w:r>
        <w:rPr>
          <w:rFonts w:hint="eastAsia"/>
          <w:color w:val="auto"/>
          <w:highlight w:val="none"/>
          <w:u w:val="none"/>
        </w:rPr>
        <w:t>，</w:t>
      </w:r>
      <w:r>
        <w:rPr>
          <w:rFonts w:hint="eastAsia"/>
          <w:color w:val="auto"/>
          <w:highlight w:val="none"/>
          <w:u w:val="none"/>
          <w:lang w:val="en-US"/>
        </w:rPr>
        <w:t>依托</w:t>
      </w:r>
      <w:r>
        <w:rPr>
          <w:rFonts w:hint="eastAsia"/>
          <w:color w:val="auto"/>
          <w:highlight w:val="none"/>
          <w:u w:val="none"/>
        </w:rPr>
        <w:t>万华环保科技公司</w:t>
      </w:r>
      <w:r>
        <w:rPr>
          <w:color w:val="auto"/>
          <w:highlight w:val="none"/>
          <w:u w:val="none"/>
        </w:rPr>
        <w:t>低浓度</w:t>
      </w:r>
      <w:r>
        <w:rPr>
          <w:rFonts w:hint="eastAsia"/>
          <w:color w:val="auto"/>
          <w:highlight w:val="none"/>
          <w:u w:val="none"/>
        </w:rPr>
        <w:t>废水</w:t>
      </w:r>
      <w:r>
        <w:rPr>
          <w:color w:val="auto"/>
          <w:highlight w:val="none"/>
          <w:u w:val="none"/>
        </w:rPr>
        <w:t>处理</w:t>
      </w:r>
      <w:r>
        <w:rPr>
          <w:rFonts w:hint="eastAsia"/>
          <w:color w:val="auto"/>
          <w:highlight w:val="none"/>
          <w:u w:val="none"/>
        </w:rPr>
        <w:t>系统</w:t>
      </w:r>
      <w:r>
        <w:rPr>
          <w:color w:val="auto"/>
          <w:highlight w:val="none"/>
          <w:u w:val="none"/>
        </w:rPr>
        <w:t>处理</w:t>
      </w:r>
      <w:r>
        <w:rPr>
          <w:rFonts w:hint="eastAsia"/>
          <w:color w:val="auto"/>
          <w:highlight w:val="none"/>
          <w:u w:val="none"/>
        </w:rPr>
        <w:t>。</w:t>
      </w:r>
      <w:r>
        <w:rPr>
          <w:rFonts w:hint="eastAsia"/>
          <w:color w:val="auto"/>
          <w:highlight w:val="none"/>
          <w:u w:val="none"/>
          <w:lang w:val="en-US"/>
        </w:rPr>
        <w:t>根据甲醛项目阶段性竣工环保验收监测报告，在阶段性验收期间，</w:t>
      </w:r>
      <w:r>
        <w:rPr>
          <w:rFonts w:hint="eastAsia"/>
          <w:color w:val="auto"/>
          <w:highlight w:val="none"/>
          <w:u w:val="none"/>
        </w:rPr>
        <w:t>万华环保科技公司</w:t>
      </w:r>
      <w:r>
        <w:rPr>
          <w:color w:val="auto"/>
          <w:highlight w:val="none"/>
          <w:u w:val="none"/>
        </w:rPr>
        <w:t>低浓度</w:t>
      </w:r>
      <w:r>
        <w:rPr>
          <w:rFonts w:hint="eastAsia"/>
          <w:color w:val="auto"/>
          <w:highlight w:val="none"/>
          <w:u w:val="none"/>
        </w:rPr>
        <w:t>废水</w:t>
      </w:r>
      <w:r>
        <w:rPr>
          <w:color w:val="auto"/>
          <w:highlight w:val="none"/>
          <w:u w:val="none"/>
        </w:rPr>
        <w:t>处理</w:t>
      </w:r>
      <w:r>
        <w:rPr>
          <w:rFonts w:hint="eastAsia"/>
          <w:color w:val="auto"/>
          <w:highlight w:val="none"/>
          <w:u w:val="none"/>
        </w:rPr>
        <w:t>系统</w:t>
      </w:r>
      <w:r>
        <w:rPr>
          <w:rFonts w:hint="eastAsia"/>
          <w:color w:val="auto"/>
          <w:highlight w:val="none"/>
          <w:u w:val="none"/>
          <w:lang w:val="en-US"/>
        </w:rPr>
        <w:t>出水浓度能满足</w:t>
      </w:r>
      <w:r>
        <w:rPr>
          <w:color w:val="auto"/>
          <w:highlight w:val="none"/>
          <w:u w:val="none"/>
          <w:lang w:val="en-US"/>
        </w:rPr>
        <w:t>《石油化学工业污染物排放标准》（GB31571-2015）中表1间接排放限值、表3特征污染物排放限值及</w:t>
      </w:r>
      <w:r>
        <w:rPr>
          <w:rFonts w:hint="eastAsia"/>
          <w:color w:val="auto"/>
          <w:highlight w:val="none"/>
          <w:u w:val="none"/>
          <w:lang w:val="en-US" w:eastAsia="zh-CN"/>
        </w:rPr>
        <w:t>福州江阴港城经济区</w:t>
      </w:r>
      <w:r>
        <w:rPr>
          <w:color w:val="auto"/>
          <w:highlight w:val="none"/>
          <w:u w:val="none"/>
          <w:lang w:val="en-US"/>
        </w:rPr>
        <w:t>污水处理厂纳管标准中的最严格浓度限值</w:t>
      </w:r>
      <w:r>
        <w:rPr>
          <w:rFonts w:hint="eastAsia"/>
          <w:color w:val="auto"/>
          <w:highlight w:val="none"/>
          <w:u w:val="none"/>
          <w:lang w:val="en-US"/>
        </w:rPr>
        <w:t>。</w:t>
      </w:r>
    </w:p>
    <w:p w14:paraId="5BCB1DBC">
      <w:pPr>
        <w:pStyle w:val="6"/>
        <w:spacing w:before="120" w:after="120"/>
        <w:rPr>
          <w:color w:val="auto"/>
          <w:highlight w:val="none"/>
          <w:u w:val="none"/>
        </w:rPr>
      </w:pPr>
      <w:r>
        <w:rPr>
          <w:color w:val="auto"/>
          <w:highlight w:val="none"/>
          <w:u w:val="none"/>
        </w:rPr>
        <w:t>污染物</w:t>
      </w:r>
      <w:r>
        <w:rPr>
          <w:rFonts w:hint="eastAsia"/>
          <w:color w:val="auto"/>
          <w:highlight w:val="none"/>
          <w:u w:val="none"/>
        </w:rPr>
        <w:t>排放</w:t>
      </w:r>
      <w:r>
        <w:rPr>
          <w:color w:val="auto"/>
          <w:highlight w:val="none"/>
          <w:u w:val="none"/>
        </w:rPr>
        <w:t>汇总</w:t>
      </w:r>
    </w:p>
    <w:p w14:paraId="1A408D31">
      <w:pPr>
        <w:rPr>
          <w:rFonts w:hint="eastAsia"/>
          <w:color w:val="auto"/>
          <w:highlight w:val="none"/>
          <w:u w:val="none"/>
          <w:lang w:val="en-US"/>
        </w:rPr>
      </w:pPr>
      <w:r>
        <w:rPr>
          <w:rFonts w:hint="eastAsia"/>
          <w:lang w:val="en-US"/>
        </w:rPr>
        <w:t>甲醛项目一期工程已于2</w:t>
      </w:r>
      <w:r>
        <w:rPr>
          <w:lang w:val="en-US"/>
        </w:rPr>
        <w:t>023</w:t>
      </w:r>
      <w:r>
        <w:rPr>
          <w:rFonts w:hint="eastAsia"/>
          <w:lang w:val="en-US"/>
        </w:rPr>
        <w:t>年6月完成竣工环保自主验收，根据项目2024年全年排污许可执行报告，并按照实际工况折算成满负荷工况，同时根据《万华化学（福建）有限公司泄漏检测与修复（LDAR）第一季度~第四季度总结报告》（2024年）</w:t>
      </w:r>
      <w:r>
        <w:rPr>
          <w:rFonts w:hint="eastAsia"/>
          <w:color w:val="auto"/>
          <w:highlight w:val="none"/>
          <w:u w:val="none"/>
          <w:lang w:val="en-US"/>
        </w:rPr>
        <w:t>。</w:t>
      </w:r>
    </w:p>
    <w:p w14:paraId="54A043A0">
      <w:pPr>
        <w:ind w:firstLine="482"/>
        <w:jc w:val="center"/>
        <w:rPr>
          <w:rFonts w:hAnsi="Times New Roman"/>
          <w:b/>
          <w:color w:val="auto"/>
          <w:highlight w:val="none"/>
          <w:u w:val="none"/>
          <w:lang w:val="en-US"/>
        </w:rPr>
      </w:pPr>
      <w:bookmarkStart w:id="168" w:name="_Ref153913574"/>
      <w:r>
        <w:rPr>
          <w:rFonts w:hAnsi="Times New Roman"/>
          <w:b/>
          <w:color w:val="auto"/>
          <w:highlight w:val="none"/>
          <w:u w:val="none"/>
          <w:lang w:val="en-US"/>
        </w:rPr>
        <w:t>表</w:t>
      </w:r>
      <w:r>
        <w:rPr>
          <w:rFonts w:hAnsi="Times New Roman"/>
          <w:b/>
          <w:color w:val="auto"/>
          <w:highlight w:val="none"/>
          <w:u w:val="none"/>
          <w:lang w:val="en-US"/>
        </w:rPr>
        <w:fldChar w:fldCharType="begin"/>
      </w:r>
      <w:r>
        <w:rPr>
          <w:rFonts w:hAnsi="Times New Roman"/>
          <w:b/>
          <w:color w:val="auto"/>
          <w:highlight w:val="none"/>
          <w:u w:val="none"/>
          <w:lang w:val="en-US"/>
        </w:rPr>
        <w:instrText xml:space="preserve"> STYLEREF 2 \s </w:instrText>
      </w:r>
      <w:r>
        <w:rPr>
          <w:rFonts w:hAnsi="Times New Roman"/>
          <w:b/>
          <w:color w:val="auto"/>
          <w:highlight w:val="none"/>
          <w:u w:val="none"/>
          <w:lang w:val="en-US"/>
        </w:rPr>
        <w:fldChar w:fldCharType="separate"/>
      </w:r>
      <w:r>
        <w:rPr>
          <w:rFonts w:hAnsi="Times New Roman"/>
          <w:b/>
          <w:color w:val="auto"/>
          <w:highlight w:val="none"/>
          <w:u w:val="none"/>
          <w:lang w:val="en-US"/>
        </w:rPr>
        <w:t>3.4</w:t>
      </w:r>
      <w:r>
        <w:rPr>
          <w:rFonts w:hAnsi="Times New Roman"/>
          <w:b/>
          <w:color w:val="auto"/>
          <w:highlight w:val="none"/>
          <w:u w:val="none"/>
          <w:lang w:val="en-US"/>
        </w:rPr>
        <w:fldChar w:fldCharType="end"/>
      </w:r>
      <w:r>
        <w:rPr>
          <w:rFonts w:hAnsi="Times New Roman"/>
          <w:b/>
          <w:color w:val="auto"/>
          <w:highlight w:val="none"/>
          <w:u w:val="none"/>
          <w:lang w:val="en-US"/>
        </w:rPr>
        <w:noBreakHyphen/>
      </w:r>
      <w:r>
        <w:rPr>
          <w:rFonts w:hAnsi="Times New Roman"/>
          <w:b/>
          <w:color w:val="auto"/>
          <w:highlight w:val="none"/>
          <w:u w:val="none"/>
          <w:lang w:val="en-US"/>
        </w:rPr>
        <w:fldChar w:fldCharType="begin"/>
      </w:r>
      <w:r>
        <w:rPr>
          <w:rFonts w:hAnsi="Times New Roman"/>
          <w:b/>
          <w:color w:val="auto"/>
          <w:highlight w:val="none"/>
          <w:u w:val="none"/>
          <w:lang w:val="en-US"/>
        </w:rPr>
        <w:instrText xml:space="preserve"> SEQ 表格 \* ARABIC \s 2 </w:instrText>
      </w:r>
      <w:r>
        <w:rPr>
          <w:rFonts w:hAnsi="Times New Roman"/>
          <w:b/>
          <w:color w:val="auto"/>
          <w:highlight w:val="none"/>
          <w:u w:val="none"/>
          <w:lang w:val="en-US"/>
        </w:rPr>
        <w:fldChar w:fldCharType="separate"/>
      </w:r>
      <w:r>
        <w:rPr>
          <w:rFonts w:hAnsi="Times New Roman"/>
          <w:b/>
          <w:color w:val="auto"/>
          <w:highlight w:val="none"/>
          <w:u w:val="none"/>
          <w:lang w:val="en-US"/>
        </w:rPr>
        <w:t>8</w:t>
      </w:r>
      <w:r>
        <w:rPr>
          <w:rFonts w:hAnsi="Times New Roman"/>
          <w:b/>
          <w:color w:val="auto"/>
          <w:highlight w:val="none"/>
          <w:u w:val="none"/>
          <w:lang w:val="en-US"/>
        </w:rPr>
        <w:fldChar w:fldCharType="end"/>
      </w:r>
      <w:bookmarkEnd w:id="168"/>
      <w:r>
        <w:rPr>
          <w:rFonts w:hAnsi="Times New Roman"/>
          <w:b/>
          <w:color w:val="auto"/>
          <w:highlight w:val="none"/>
          <w:u w:val="none"/>
          <w:lang w:val="en-US"/>
        </w:rPr>
        <w:t>项目污染物排放核算量汇总表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2147"/>
        <w:gridCol w:w="2963"/>
        <w:gridCol w:w="2314"/>
      </w:tblGrid>
      <w:tr w14:paraId="7654C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9" w:type="pct"/>
            <w:tcBorders>
              <w:tl2br w:val="nil"/>
              <w:tr2bl w:val="nil"/>
            </w:tcBorders>
            <w:vAlign w:val="center"/>
          </w:tcPr>
          <w:p w14:paraId="234F2CD7">
            <w:pPr>
              <w:spacing w:line="240" w:lineRule="auto"/>
              <w:ind w:firstLine="0" w:firstLineChars="0"/>
              <w:jc w:val="center"/>
              <w:rPr>
                <w:rFonts w:hint="eastAsia" w:cs="Calibri"/>
                <w:color w:val="auto"/>
                <w:sz w:val="21"/>
                <w:szCs w:val="21"/>
                <w:highlight w:val="none"/>
                <w:u w:val="none"/>
              </w:rPr>
            </w:pPr>
            <w:r>
              <w:rPr>
                <w:rFonts w:hint="eastAsia"/>
                <w:color w:val="auto"/>
                <w:sz w:val="21"/>
                <w:szCs w:val="21"/>
                <w:highlight w:val="none"/>
                <w:u w:val="none"/>
              </w:rPr>
              <w:t>装置</w:t>
            </w:r>
          </w:p>
        </w:tc>
        <w:tc>
          <w:tcPr>
            <w:tcW w:w="1128" w:type="pct"/>
            <w:tcBorders>
              <w:tl2br w:val="nil"/>
              <w:tr2bl w:val="nil"/>
            </w:tcBorders>
            <w:vAlign w:val="center"/>
          </w:tcPr>
          <w:p w14:paraId="2F77F42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类别</w:t>
            </w:r>
          </w:p>
        </w:tc>
        <w:tc>
          <w:tcPr>
            <w:tcW w:w="1557" w:type="pct"/>
            <w:tcBorders>
              <w:tl2br w:val="nil"/>
              <w:tr2bl w:val="nil"/>
            </w:tcBorders>
            <w:vAlign w:val="center"/>
          </w:tcPr>
          <w:p w14:paraId="27DEFB1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1216" w:type="pct"/>
            <w:tcBorders>
              <w:tl2br w:val="nil"/>
              <w:tr2bl w:val="nil"/>
            </w:tcBorders>
            <w:vAlign w:val="center"/>
          </w:tcPr>
          <w:p w14:paraId="3052DF7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外排量(t/a)</w:t>
            </w:r>
          </w:p>
        </w:tc>
      </w:tr>
      <w:tr w14:paraId="01E93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restart"/>
            <w:tcBorders>
              <w:tl2br w:val="nil"/>
              <w:tr2bl w:val="nil"/>
            </w:tcBorders>
            <w:vAlign w:val="center"/>
          </w:tcPr>
          <w:p w14:paraId="2E12A856">
            <w:pPr>
              <w:spacing w:line="240" w:lineRule="auto"/>
              <w:ind w:firstLine="0" w:firstLineChars="0"/>
              <w:jc w:val="center"/>
              <w:rPr>
                <w:rFonts w:hint="eastAsia" w:cs="Calibri"/>
                <w:color w:val="auto"/>
                <w:sz w:val="21"/>
                <w:szCs w:val="21"/>
                <w:highlight w:val="none"/>
                <w:u w:val="none"/>
              </w:rPr>
            </w:pPr>
            <w:r>
              <w:rPr>
                <w:color w:val="auto"/>
                <w:sz w:val="21"/>
                <w:szCs w:val="21"/>
                <w:highlight w:val="none"/>
                <w:u w:val="none"/>
              </w:rPr>
              <w:t>甲醛</w:t>
            </w:r>
            <w:r>
              <w:rPr>
                <w:rFonts w:hint="eastAsia"/>
                <w:color w:val="auto"/>
                <w:sz w:val="21"/>
                <w:szCs w:val="21"/>
                <w:highlight w:val="none"/>
                <w:u w:val="none"/>
              </w:rPr>
              <w:t>装置</w:t>
            </w:r>
          </w:p>
        </w:tc>
        <w:tc>
          <w:tcPr>
            <w:tcW w:w="1128" w:type="pct"/>
            <w:vMerge w:val="restart"/>
            <w:tcBorders>
              <w:tl2br w:val="nil"/>
              <w:tr2bl w:val="nil"/>
            </w:tcBorders>
            <w:vAlign w:val="center"/>
          </w:tcPr>
          <w:p w14:paraId="1CD0AE4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废气</w:t>
            </w:r>
          </w:p>
        </w:tc>
        <w:tc>
          <w:tcPr>
            <w:tcW w:w="1557" w:type="pct"/>
            <w:tcBorders>
              <w:tl2br w:val="nil"/>
              <w:tr2bl w:val="nil"/>
            </w:tcBorders>
            <w:vAlign w:val="center"/>
          </w:tcPr>
          <w:p w14:paraId="0CBBAF9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甲醇</w:t>
            </w:r>
          </w:p>
        </w:tc>
        <w:tc>
          <w:tcPr>
            <w:tcW w:w="2314" w:type="dxa"/>
            <w:tcBorders>
              <w:tl2br w:val="nil"/>
              <w:tr2bl w:val="nil"/>
            </w:tcBorders>
            <w:vAlign w:val="center"/>
          </w:tcPr>
          <w:p w14:paraId="174D0C9A">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1.943</w:t>
            </w:r>
          </w:p>
        </w:tc>
      </w:tr>
      <w:tr w14:paraId="0153F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6C30E7AA">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continue"/>
            <w:tcBorders>
              <w:tl2br w:val="nil"/>
              <w:tr2bl w:val="nil"/>
            </w:tcBorders>
            <w:vAlign w:val="center"/>
          </w:tcPr>
          <w:p w14:paraId="2B3461E4">
            <w:pPr>
              <w:tabs>
                <w:tab w:val="left" w:pos="0"/>
              </w:tabs>
              <w:spacing w:line="240" w:lineRule="auto"/>
              <w:ind w:firstLine="0" w:firstLineChars="0"/>
              <w:jc w:val="center"/>
              <w:rPr>
                <w:rFonts w:hint="eastAsia"/>
                <w:color w:val="auto"/>
                <w:sz w:val="21"/>
                <w:szCs w:val="21"/>
                <w:highlight w:val="none"/>
                <w:u w:val="none"/>
              </w:rPr>
            </w:pPr>
          </w:p>
        </w:tc>
        <w:tc>
          <w:tcPr>
            <w:tcW w:w="1557" w:type="pct"/>
            <w:tcBorders>
              <w:tl2br w:val="nil"/>
              <w:tr2bl w:val="nil"/>
            </w:tcBorders>
            <w:vAlign w:val="center"/>
          </w:tcPr>
          <w:p w14:paraId="139C3F6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甲醛</w:t>
            </w:r>
          </w:p>
        </w:tc>
        <w:tc>
          <w:tcPr>
            <w:tcW w:w="2314" w:type="dxa"/>
            <w:tcBorders>
              <w:tl2br w:val="nil"/>
              <w:tr2bl w:val="nil"/>
            </w:tcBorders>
            <w:vAlign w:val="center"/>
          </w:tcPr>
          <w:p w14:paraId="6C39D2A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1.231</w:t>
            </w:r>
          </w:p>
        </w:tc>
      </w:tr>
      <w:tr w14:paraId="4089D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0C87B5EF">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continue"/>
            <w:tcBorders>
              <w:tl2br w:val="nil"/>
              <w:tr2bl w:val="nil"/>
            </w:tcBorders>
            <w:vAlign w:val="center"/>
          </w:tcPr>
          <w:p w14:paraId="4D5B5B1B">
            <w:pPr>
              <w:tabs>
                <w:tab w:val="left" w:pos="0"/>
              </w:tabs>
              <w:spacing w:line="240" w:lineRule="auto"/>
              <w:ind w:firstLine="0" w:firstLineChars="0"/>
              <w:jc w:val="center"/>
              <w:rPr>
                <w:rFonts w:hint="eastAsia"/>
                <w:color w:val="auto"/>
                <w:sz w:val="21"/>
                <w:szCs w:val="21"/>
                <w:highlight w:val="none"/>
                <w:u w:val="none"/>
              </w:rPr>
            </w:pPr>
          </w:p>
        </w:tc>
        <w:tc>
          <w:tcPr>
            <w:tcW w:w="1557" w:type="pct"/>
            <w:tcBorders>
              <w:tl2br w:val="nil"/>
              <w:tr2bl w:val="nil"/>
            </w:tcBorders>
            <w:vAlign w:val="center"/>
          </w:tcPr>
          <w:p w14:paraId="44C2F28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VOCs</w:t>
            </w:r>
          </w:p>
        </w:tc>
        <w:tc>
          <w:tcPr>
            <w:tcW w:w="2314" w:type="dxa"/>
            <w:tcBorders>
              <w:tl2br w:val="nil"/>
              <w:tr2bl w:val="nil"/>
            </w:tcBorders>
            <w:vAlign w:val="center"/>
          </w:tcPr>
          <w:p w14:paraId="05DE69B4">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48.19</w:t>
            </w:r>
          </w:p>
        </w:tc>
      </w:tr>
      <w:tr w14:paraId="362B9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0313FA03">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restart"/>
            <w:tcBorders>
              <w:tl2br w:val="nil"/>
              <w:tr2bl w:val="nil"/>
            </w:tcBorders>
            <w:vAlign w:val="center"/>
          </w:tcPr>
          <w:p w14:paraId="306B024F">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废水</w:t>
            </w:r>
            <w:r>
              <w:rPr>
                <w:rStyle w:val="70"/>
                <w:rFonts w:hint="eastAsia"/>
                <w:color w:val="auto"/>
                <w:highlight w:val="none"/>
                <w:u w:val="none"/>
                <w:lang w:val="en-US"/>
              </w:rPr>
              <w:t>*</w:t>
            </w:r>
          </w:p>
        </w:tc>
        <w:tc>
          <w:tcPr>
            <w:tcW w:w="1557" w:type="pct"/>
            <w:tcBorders>
              <w:tl2br w:val="nil"/>
              <w:tr2bl w:val="nil"/>
            </w:tcBorders>
            <w:vAlign w:val="center"/>
          </w:tcPr>
          <w:p w14:paraId="1444538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废水量</w:t>
            </w:r>
          </w:p>
        </w:tc>
        <w:tc>
          <w:tcPr>
            <w:tcW w:w="1216" w:type="pct"/>
            <w:tcBorders>
              <w:tl2br w:val="nil"/>
              <w:tr2bl w:val="nil"/>
            </w:tcBorders>
            <w:vAlign w:val="center"/>
          </w:tcPr>
          <w:p w14:paraId="1C45A083">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7259.29</w:t>
            </w:r>
          </w:p>
        </w:tc>
      </w:tr>
      <w:tr w14:paraId="15839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4069EE7B">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continue"/>
            <w:tcBorders>
              <w:tl2br w:val="nil"/>
              <w:tr2bl w:val="nil"/>
            </w:tcBorders>
            <w:vAlign w:val="center"/>
          </w:tcPr>
          <w:p w14:paraId="3AEEB755">
            <w:pPr>
              <w:tabs>
                <w:tab w:val="left" w:pos="0"/>
              </w:tabs>
              <w:spacing w:line="240" w:lineRule="auto"/>
              <w:ind w:firstLine="0" w:firstLineChars="0"/>
              <w:jc w:val="center"/>
              <w:rPr>
                <w:rFonts w:hint="eastAsia"/>
                <w:color w:val="auto"/>
                <w:sz w:val="21"/>
                <w:szCs w:val="21"/>
                <w:highlight w:val="none"/>
                <w:u w:val="none"/>
              </w:rPr>
            </w:pPr>
          </w:p>
        </w:tc>
        <w:tc>
          <w:tcPr>
            <w:tcW w:w="1557" w:type="pct"/>
            <w:tcBorders>
              <w:tl2br w:val="nil"/>
              <w:tr2bl w:val="nil"/>
            </w:tcBorders>
            <w:vAlign w:val="center"/>
          </w:tcPr>
          <w:p w14:paraId="72FBF8C4">
            <w:pPr>
              <w:spacing w:line="240" w:lineRule="auto"/>
              <w:ind w:firstLine="0" w:firstLineChars="0"/>
              <w:jc w:val="center"/>
              <w:rPr>
                <w:rFonts w:hint="eastAsia"/>
                <w:color w:val="auto"/>
                <w:sz w:val="21"/>
                <w:szCs w:val="21"/>
                <w:highlight w:val="none"/>
                <w:u w:val="none"/>
                <w:vertAlign w:val="superscript"/>
              </w:rPr>
            </w:pPr>
            <w:r>
              <w:rPr>
                <w:color w:val="auto"/>
                <w:sz w:val="21"/>
                <w:szCs w:val="21"/>
                <w:highlight w:val="none"/>
                <w:u w:val="none"/>
              </w:rPr>
              <w:t>COD</w:t>
            </w:r>
          </w:p>
        </w:tc>
        <w:tc>
          <w:tcPr>
            <w:tcW w:w="1216" w:type="pct"/>
            <w:tcBorders>
              <w:tl2br w:val="nil"/>
              <w:tr2bl w:val="nil"/>
            </w:tcBorders>
            <w:vAlign w:val="center"/>
          </w:tcPr>
          <w:p w14:paraId="47835C9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0.363</w:t>
            </w:r>
          </w:p>
        </w:tc>
      </w:tr>
      <w:tr w14:paraId="795E2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7357E08A">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continue"/>
            <w:tcBorders>
              <w:tl2br w:val="nil"/>
              <w:tr2bl w:val="nil"/>
            </w:tcBorders>
            <w:vAlign w:val="center"/>
          </w:tcPr>
          <w:p w14:paraId="0D4E11EF">
            <w:pPr>
              <w:tabs>
                <w:tab w:val="left" w:pos="0"/>
              </w:tabs>
              <w:spacing w:line="240" w:lineRule="auto"/>
              <w:ind w:firstLine="0" w:firstLineChars="0"/>
              <w:jc w:val="center"/>
              <w:rPr>
                <w:rFonts w:hint="eastAsia"/>
                <w:color w:val="auto"/>
                <w:sz w:val="21"/>
                <w:szCs w:val="21"/>
                <w:highlight w:val="none"/>
                <w:u w:val="none"/>
              </w:rPr>
            </w:pPr>
          </w:p>
        </w:tc>
        <w:tc>
          <w:tcPr>
            <w:tcW w:w="1557" w:type="pct"/>
            <w:tcBorders>
              <w:tl2br w:val="nil"/>
              <w:tr2bl w:val="nil"/>
            </w:tcBorders>
            <w:vAlign w:val="center"/>
          </w:tcPr>
          <w:p w14:paraId="0712C4C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氨氮</w:t>
            </w:r>
          </w:p>
        </w:tc>
        <w:tc>
          <w:tcPr>
            <w:tcW w:w="1216" w:type="pct"/>
            <w:tcBorders>
              <w:tl2br w:val="nil"/>
              <w:tr2bl w:val="nil"/>
            </w:tcBorders>
            <w:vAlign w:val="center"/>
          </w:tcPr>
          <w:p w14:paraId="7614070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0.036</w:t>
            </w:r>
          </w:p>
        </w:tc>
      </w:tr>
      <w:tr w14:paraId="74884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2C074EE6">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restart"/>
            <w:tcBorders>
              <w:tl2br w:val="nil"/>
              <w:tr2bl w:val="nil"/>
            </w:tcBorders>
            <w:vAlign w:val="center"/>
          </w:tcPr>
          <w:p w14:paraId="2F6AA57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固废</w:t>
            </w:r>
          </w:p>
        </w:tc>
        <w:tc>
          <w:tcPr>
            <w:tcW w:w="1557" w:type="pct"/>
            <w:tcBorders>
              <w:tl2br w:val="nil"/>
              <w:tr2bl w:val="nil"/>
            </w:tcBorders>
            <w:vAlign w:val="center"/>
          </w:tcPr>
          <w:p w14:paraId="2959E2B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危险废物</w:t>
            </w:r>
          </w:p>
        </w:tc>
        <w:tc>
          <w:tcPr>
            <w:tcW w:w="1216" w:type="pct"/>
            <w:tcBorders>
              <w:tl2br w:val="nil"/>
              <w:tr2bl w:val="nil"/>
            </w:tcBorders>
            <w:vAlign w:val="center"/>
          </w:tcPr>
          <w:p w14:paraId="785BCB0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4196E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vMerge w:val="continue"/>
            <w:tcBorders>
              <w:tl2br w:val="nil"/>
              <w:tr2bl w:val="nil"/>
            </w:tcBorders>
            <w:vAlign w:val="center"/>
          </w:tcPr>
          <w:p w14:paraId="2A8ABBB6">
            <w:pPr>
              <w:tabs>
                <w:tab w:val="left" w:pos="0"/>
              </w:tabs>
              <w:spacing w:line="240" w:lineRule="auto"/>
              <w:ind w:firstLine="0" w:firstLineChars="0"/>
              <w:jc w:val="center"/>
              <w:rPr>
                <w:rFonts w:hint="eastAsia" w:cs="Calibri"/>
                <w:color w:val="auto"/>
                <w:sz w:val="21"/>
                <w:szCs w:val="21"/>
                <w:highlight w:val="none"/>
                <w:u w:val="none"/>
              </w:rPr>
            </w:pPr>
          </w:p>
        </w:tc>
        <w:tc>
          <w:tcPr>
            <w:tcW w:w="1128" w:type="pct"/>
            <w:vMerge w:val="continue"/>
            <w:tcBorders>
              <w:tl2br w:val="nil"/>
              <w:tr2bl w:val="nil"/>
            </w:tcBorders>
            <w:vAlign w:val="center"/>
          </w:tcPr>
          <w:p w14:paraId="27500DC2">
            <w:pPr>
              <w:tabs>
                <w:tab w:val="left" w:pos="0"/>
              </w:tabs>
              <w:spacing w:line="240" w:lineRule="auto"/>
              <w:ind w:firstLine="0" w:firstLineChars="0"/>
              <w:jc w:val="center"/>
              <w:rPr>
                <w:rFonts w:hint="eastAsia"/>
                <w:color w:val="auto"/>
                <w:sz w:val="21"/>
                <w:szCs w:val="21"/>
                <w:highlight w:val="none"/>
                <w:u w:val="none"/>
              </w:rPr>
            </w:pPr>
          </w:p>
        </w:tc>
        <w:tc>
          <w:tcPr>
            <w:tcW w:w="1557" w:type="pct"/>
            <w:tcBorders>
              <w:tl2br w:val="nil"/>
              <w:tr2bl w:val="nil"/>
            </w:tcBorders>
            <w:vAlign w:val="center"/>
          </w:tcPr>
          <w:p w14:paraId="452CA0B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生活垃圾</w:t>
            </w:r>
          </w:p>
        </w:tc>
        <w:tc>
          <w:tcPr>
            <w:tcW w:w="1216" w:type="pct"/>
            <w:tcBorders>
              <w:tl2br w:val="nil"/>
              <w:tr2bl w:val="nil"/>
            </w:tcBorders>
            <w:vAlign w:val="center"/>
          </w:tcPr>
          <w:p w14:paraId="5C1F8DF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bl>
    <w:p w14:paraId="55C7A1D0">
      <w:pPr>
        <w:pStyle w:val="1012"/>
        <w:ind w:firstLine="422"/>
        <w:rPr>
          <w:rFonts w:hint="eastAsia"/>
          <w:color w:val="auto"/>
          <w:highlight w:val="none"/>
          <w:u w:val="none"/>
          <w:lang w:val="en-US"/>
        </w:rPr>
      </w:pPr>
      <w:r>
        <w:rPr>
          <w:rFonts w:hint="eastAsia"/>
          <w:b/>
          <w:bCs/>
          <w:color w:val="auto"/>
          <w:sz w:val="21"/>
          <w:szCs w:val="21"/>
          <w:highlight w:val="none"/>
          <w:u w:val="none"/>
          <w:lang w:val="en-US"/>
        </w:rPr>
        <w:t>*注：废水为进入万华环保科技公司废水处理系统的排放量。</w:t>
      </w:r>
    </w:p>
    <w:p w14:paraId="66978B51">
      <w:pPr>
        <w:pStyle w:val="4"/>
        <w:spacing w:before="120" w:after="120"/>
        <w:rPr>
          <w:rFonts w:ascii="Times New Roman" w:hAnsi="Times New Roman"/>
          <w:color w:val="auto"/>
          <w:highlight w:val="none"/>
          <w:u w:val="none"/>
        </w:rPr>
      </w:pPr>
      <w:bookmarkStart w:id="169" w:name="_Toc87001484"/>
      <w:bookmarkStart w:id="170" w:name="_Toc148374906"/>
      <w:bookmarkStart w:id="171" w:name="_Toc13908"/>
      <w:bookmarkStart w:id="172" w:name="_Toc148374777"/>
      <w:bookmarkStart w:id="173" w:name="_Toc148374464"/>
      <w:r>
        <w:rPr>
          <w:rFonts w:hint="eastAsia" w:ascii="宋体" w:hAnsi="宋体" w:eastAsia="宋体" w:cs="宋体"/>
          <w:color w:val="auto"/>
          <w:highlight w:val="none"/>
          <w:u w:val="none"/>
        </w:rPr>
        <w:t>年产</w:t>
      </w:r>
      <w:r>
        <w:rPr>
          <w:rFonts w:ascii="Times New Roman" w:hAnsi="Times New Roman"/>
          <w:color w:val="auto"/>
          <w:highlight w:val="none"/>
          <w:u w:val="none"/>
        </w:rPr>
        <w:t>80</w:t>
      </w:r>
      <w:r>
        <w:rPr>
          <w:rFonts w:hint="eastAsia" w:ascii="宋体" w:hAnsi="宋体" w:eastAsia="宋体" w:cs="宋体"/>
          <w:color w:val="auto"/>
          <w:highlight w:val="none"/>
          <w:u w:val="none"/>
        </w:rPr>
        <w:t>万吨</w:t>
      </w:r>
      <w:r>
        <w:rPr>
          <w:rFonts w:ascii="Times New Roman" w:hAnsi="Times New Roman"/>
          <w:color w:val="auto"/>
          <w:highlight w:val="none"/>
          <w:u w:val="none"/>
        </w:rPr>
        <w:t>PVC</w:t>
      </w:r>
      <w:r>
        <w:rPr>
          <w:rFonts w:hint="eastAsia" w:ascii="宋体" w:hAnsi="宋体" w:eastAsia="宋体" w:cs="宋体"/>
          <w:color w:val="auto"/>
          <w:highlight w:val="none"/>
          <w:u w:val="none"/>
        </w:rPr>
        <w:t>项目</w:t>
      </w:r>
      <w:bookmarkEnd w:id="169"/>
      <w:bookmarkEnd w:id="170"/>
      <w:bookmarkEnd w:id="171"/>
      <w:bookmarkEnd w:id="172"/>
      <w:bookmarkEnd w:id="173"/>
    </w:p>
    <w:p w14:paraId="5EC88BB3">
      <w:pPr>
        <w:pStyle w:val="6"/>
        <w:spacing w:before="120" w:after="120"/>
        <w:rPr>
          <w:color w:val="auto"/>
          <w:highlight w:val="none"/>
          <w:u w:val="none"/>
        </w:rPr>
      </w:pPr>
      <w:bookmarkStart w:id="174" w:name="_Toc148374907"/>
      <w:bookmarkStart w:id="175" w:name="_Toc148374465"/>
      <w:r>
        <w:rPr>
          <w:rFonts w:hint="eastAsia"/>
          <w:color w:val="auto"/>
          <w:highlight w:val="none"/>
          <w:u w:val="none"/>
        </w:rPr>
        <w:t>工程</w:t>
      </w:r>
      <w:r>
        <w:rPr>
          <w:color w:val="auto"/>
          <w:highlight w:val="none"/>
          <w:u w:val="none"/>
        </w:rPr>
        <w:t>组成</w:t>
      </w:r>
      <w:bookmarkEnd w:id="174"/>
      <w:bookmarkEnd w:id="175"/>
    </w:p>
    <w:p w14:paraId="4EA433BC">
      <w:pPr>
        <w:rPr>
          <w:rFonts w:hint="eastAsia"/>
          <w:color w:val="auto"/>
          <w:highlight w:val="none"/>
          <w:u w:val="none"/>
        </w:rPr>
      </w:pPr>
      <w:r>
        <w:rPr>
          <w:color w:val="auto"/>
          <w:highlight w:val="none"/>
          <w:u w:val="none"/>
        </w:rPr>
        <w:t>年产80万吨PVC项目主要包括80万吨/年VCM装置和PVC装置，分两期建设，一期、二期分别建设40万吨/年的VCM和PVC装置及配套设施</w:t>
      </w:r>
      <w:r>
        <w:rPr>
          <w:rFonts w:hint="eastAsia"/>
          <w:color w:val="auto"/>
          <w:highlight w:val="none"/>
          <w:u w:val="none"/>
        </w:rPr>
        <w:t>。</w:t>
      </w:r>
    </w:p>
    <w:p w14:paraId="0C6187BF">
      <w:pPr>
        <w:rPr>
          <w:rFonts w:hint="eastAsia"/>
          <w:color w:val="auto"/>
          <w:highlight w:val="none"/>
          <w:u w:val="none"/>
        </w:rPr>
      </w:pPr>
      <w:r>
        <w:rPr>
          <w:rFonts w:hint="eastAsia"/>
          <w:color w:val="auto"/>
          <w:highlight w:val="none"/>
          <w:u w:val="none"/>
        </w:rPr>
        <w:t>万华福建公司年产80万吨PVC项目环境影响报告书</w:t>
      </w:r>
      <w:r>
        <w:rPr>
          <w:color w:val="auto"/>
          <w:highlight w:val="none"/>
          <w:u w:val="none"/>
        </w:rPr>
        <w:t>于2022年1月</w:t>
      </w:r>
      <w:r>
        <w:rPr>
          <w:rFonts w:hint="eastAsia"/>
          <w:color w:val="auto"/>
          <w:highlight w:val="none"/>
          <w:u w:val="none"/>
          <w:lang w:val="en-US"/>
        </w:rPr>
        <w:t>12</w:t>
      </w:r>
      <w:r>
        <w:rPr>
          <w:color w:val="auto"/>
          <w:highlight w:val="none"/>
          <w:u w:val="none"/>
        </w:rPr>
        <w:t>日</w:t>
      </w:r>
      <w:r>
        <w:rPr>
          <w:rFonts w:hint="eastAsia"/>
          <w:color w:val="auto"/>
          <w:highlight w:val="none"/>
          <w:u w:val="none"/>
        </w:rPr>
        <w:t>由</w:t>
      </w:r>
      <w:r>
        <w:rPr>
          <w:color w:val="auto"/>
          <w:highlight w:val="none"/>
          <w:u w:val="none"/>
        </w:rPr>
        <w:t>福州市</w:t>
      </w:r>
      <w:r>
        <w:rPr>
          <w:rFonts w:hint="eastAsia"/>
          <w:color w:val="auto"/>
          <w:highlight w:val="none"/>
          <w:u w:val="none"/>
          <w:lang w:val="en-US"/>
        </w:rPr>
        <w:t>福清</w:t>
      </w:r>
      <w:r>
        <w:rPr>
          <w:color w:val="auto"/>
          <w:highlight w:val="none"/>
          <w:u w:val="none"/>
        </w:rPr>
        <w:t>生态环境局以“</w:t>
      </w:r>
      <w:r>
        <w:rPr>
          <w:rFonts w:hint="eastAsia"/>
          <w:color w:val="auto"/>
          <w:highlight w:val="none"/>
          <w:u w:val="none"/>
        </w:rPr>
        <w:t>榕融环评〔2022〕5号</w:t>
      </w:r>
      <w:r>
        <w:rPr>
          <w:color w:val="auto"/>
          <w:highlight w:val="none"/>
          <w:u w:val="none"/>
        </w:rPr>
        <w:t>”文</w:t>
      </w:r>
      <w:r>
        <w:rPr>
          <w:rFonts w:hint="eastAsia"/>
          <w:color w:val="auto"/>
          <w:highlight w:val="none"/>
          <w:u w:val="none"/>
        </w:rPr>
        <w:t>进行批复。工程于2</w:t>
      </w:r>
      <w:r>
        <w:rPr>
          <w:color w:val="auto"/>
          <w:highlight w:val="none"/>
          <w:u w:val="none"/>
        </w:rPr>
        <w:t>02</w:t>
      </w:r>
      <w:r>
        <w:rPr>
          <w:rFonts w:hint="eastAsia"/>
          <w:color w:val="auto"/>
          <w:highlight w:val="none"/>
          <w:u w:val="none"/>
          <w:lang w:val="en-US"/>
        </w:rPr>
        <w:t>4</w:t>
      </w:r>
      <w:r>
        <w:rPr>
          <w:color w:val="auto"/>
          <w:highlight w:val="none"/>
          <w:u w:val="none"/>
        </w:rPr>
        <w:t>年</w:t>
      </w:r>
      <w:r>
        <w:rPr>
          <w:rFonts w:hint="eastAsia"/>
          <w:color w:val="auto"/>
          <w:highlight w:val="none"/>
          <w:u w:val="none"/>
          <w:lang w:val="en-US"/>
        </w:rPr>
        <w:t>5</w:t>
      </w:r>
      <w:r>
        <w:rPr>
          <w:rFonts w:hint="eastAsia"/>
          <w:color w:val="auto"/>
          <w:highlight w:val="none"/>
          <w:u w:val="none"/>
        </w:rPr>
        <w:t>月</w:t>
      </w:r>
      <w:r>
        <w:rPr>
          <w:rFonts w:hint="eastAsia"/>
          <w:color w:val="auto"/>
          <w:highlight w:val="none"/>
          <w:u w:val="none"/>
          <w:lang w:val="en-US"/>
        </w:rPr>
        <w:t>完成</w:t>
      </w:r>
      <w:r>
        <w:rPr>
          <w:rFonts w:hint="eastAsia"/>
          <w:color w:val="auto"/>
          <w:highlight w:val="none"/>
          <w:u w:val="none"/>
        </w:rPr>
        <w:t>阶段性竣工环保</w:t>
      </w:r>
      <w:r>
        <w:rPr>
          <w:rFonts w:hint="eastAsia"/>
          <w:color w:val="auto"/>
          <w:highlight w:val="none"/>
          <w:u w:val="none"/>
          <w:lang w:val="en-US"/>
        </w:rPr>
        <w:t>自主</w:t>
      </w:r>
      <w:r>
        <w:rPr>
          <w:rFonts w:hint="eastAsia"/>
          <w:color w:val="auto"/>
          <w:highlight w:val="none"/>
          <w:u w:val="none"/>
        </w:rPr>
        <w:t>验收（一期工程），</w:t>
      </w:r>
      <w:r>
        <w:rPr>
          <w:rFonts w:hint="eastAsia"/>
          <w:color w:val="auto"/>
          <w:highlight w:val="none"/>
          <w:u w:val="none"/>
          <w:lang w:val="en-US"/>
        </w:rPr>
        <w:t>目前，</w:t>
      </w:r>
      <w:r>
        <w:rPr>
          <w:rFonts w:hint="eastAsia"/>
          <w:color w:val="auto"/>
          <w:highlight w:val="none"/>
          <w:u w:val="none"/>
        </w:rPr>
        <w:t>二期工程正在建设</w:t>
      </w:r>
      <w:r>
        <w:rPr>
          <w:color w:val="auto"/>
          <w:highlight w:val="none"/>
          <w:u w:val="none"/>
        </w:rPr>
        <w:t>。</w:t>
      </w:r>
    </w:p>
    <w:p w14:paraId="6B588124">
      <w:pPr>
        <w:rPr>
          <w:rFonts w:hint="eastAsia"/>
          <w:color w:val="auto"/>
          <w:highlight w:val="none"/>
          <w:u w:val="none"/>
        </w:rPr>
      </w:pPr>
    </w:p>
    <w:p w14:paraId="3D5F358B">
      <w:pPr>
        <w:rPr>
          <w:rFonts w:hint="eastAsia"/>
          <w:color w:val="auto"/>
          <w:highlight w:val="none"/>
          <w:u w:val="none"/>
        </w:rPr>
        <w:sectPr>
          <w:pgSz w:w="11907" w:h="16839"/>
          <w:pgMar w:top="1418" w:right="1304" w:bottom="1304" w:left="1304" w:header="851" w:footer="992" w:gutter="0"/>
          <w:paperSrc w:first="7" w:other="7"/>
          <w:cols w:space="720" w:num="1"/>
          <w:docGrid w:linePitch="381" w:charSpace="0"/>
        </w:sectPr>
      </w:pPr>
    </w:p>
    <w:p w14:paraId="52E789A6">
      <w:pPr>
        <w:pStyle w:val="6"/>
        <w:spacing w:before="120" w:after="120"/>
        <w:rPr>
          <w:color w:val="auto"/>
          <w:highlight w:val="none"/>
          <w:u w:val="none"/>
        </w:rPr>
      </w:pPr>
      <w:bookmarkStart w:id="176" w:name="_Toc148374908"/>
      <w:bookmarkStart w:id="177" w:name="_Toc148374466"/>
      <w:r>
        <w:rPr>
          <w:rFonts w:hint="eastAsia"/>
          <w:color w:val="auto"/>
          <w:highlight w:val="none"/>
          <w:u w:val="none"/>
          <w:lang w:val="en-US"/>
        </w:rPr>
        <w:t>产品方案及生产工艺</w:t>
      </w:r>
      <w:bookmarkEnd w:id="176"/>
      <w:bookmarkEnd w:id="177"/>
    </w:p>
    <w:p w14:paraId="1798873D">
      <w:pPr>
        <w:pStyle w:val="7"/>
        <w:spacing w:before="120"/>
        <w:rPr>
          <w:color w:val="auto"/>
          <w:highlight w:val="none"/>
          <w:u w:val="none"/>
          <w:lang w:val="en-US"/>
        </w:rPr>
      </w:pPr>
      <w:r>
        <w:rPr>
          <w:rFonts w:hint="eastAsia"/>
          <w:color w:val="auto"/>
          <w:highlight w:val="none"/>
          <w:u w:val="none"/>
          <w:lang w:val="en-US"/>
        </w:rPr>
        <w:t>产品方案</w:t>
      </w:r>
    </w:p>
    <w:p w14:paraId="5188F225">
      <w:pPr>
        <w:pStyle w:val="981"/>
        <w:rPr>
          <w:rFonts w:hint="eastAsia"/>
          <w:color w:val="auto"/>
          <w:highlight w:val="none"/>
          <w:u w:val="none"/>
          <w:lang w:val="en-US"/>
        </w:rPr>
      </w:pPr>
      <w:r>
        <w:rPr>
          <w:rFonts w:hint="eastAsia"/>
        </w:rPr>
        <w:t>涉密删除</w:t>
      </w:r>
      <w:r>
        <w:rPr>
          <w:rFonts w:hint="eastAsia"/>
          <w:color w:val="auto"/>
          <w:highlight w:val="none"/>
          <w:u w:val="none"/>
          <w:lang w:val="en-US"/>
        </w:rPr>
        <w:t>。</w:t>
      </w:r>
    </w:p>
    <w:p w14:paraId="2F798CB3">
      <w:pPr>
        <w:pStyle w:val="7"/>
        <w:spacing w:before="120"/>
        <w:rPr>
          <w:color w:val="auto"/>
          <w:highlight w:val="none"/>
          <w:u w:val="none"/>
          <w:lang w:val="en-US"/>
        </w:rPr>
      </w:pPr>
      <w:r>
        <w:rPr>
          <w:rFonts w:hint="eastAsia"/>
          <w:color w:val="auto"/>
          <w:highlight w:val="none"/>
          <w:u w:val="none"/>
          <w:lang w:val="en-US"/>
        </w:rPr>
        <w:t>生产工艺</w:t>
      </w:r>
    </w:p>
    <w:p w14:paraId="65177E99">
      <w:pPr>
        <w:pStyle w:val="988"/>
        <w:ind w:firstLine="480"/>
        <w:rPr>
          <w:rStyle w:val="993"/>
          <w:color w:val="auto"/>
          <w:highlight w:val="none"/>
          <w:u w:val="none"/>
        </w:rPr>
      </w:pPr>
      <w:r>
        <w:rPr>
          <w:rFonts w:hint="eastAsia"/>
        </w:rPr>
        <w:t>涉密删除</w:t>
      </w:r>
      <w:r>
        <w:rPr>
          <w:rStyle w:val="993"/>
          <w:color w:val="auto"/>
          <w:highlight w:val="none"/>
          <w:u w:val="none"/>
        </w:rPr>
        <w:t>。</w:t>
      </w:r>
    </w:p>
    <w:p w14:paraId="712BE8DB">
      <w:pPr>
        <w:pStyle w:val="6"/>
        <w:spacing w:before="120" w:after="120"/>
        <w:rPr>
          <w:color w:val="auto"/>
          <w:highlight w:val="none"/>
          <w:u w:val="none"/>
        </w:rPr>
      </w:pPr>
      <w:bookmarkStart w:id="178" w:name="_Toc148374467"/>
      <w:bookmarkStart w:id="179" w:name="_Toc148374909"/>
      <w:r>
        <w:rPr>
          <w:color w:val="auto"/>
          <w:highlight w:val="none"/>
          <w:u w:val="none"/>
        </w:rPr>
        <w:t>项目平面布置图</w:t>
      </w:r>
      <w:bookmarkEnd w:id="178"/>
      <w:bookmarkEnd w:id="179"/>
    </w:p>
    <w:p w14:paraId="3C90FF16">
      <w:pPr>
        <w:rPr>
          <w:rFonts w:hint="eastAsia"/>
          <w:color w:val="auto"/>
          <w:highlight w:val="none"/>
          <w:u w:val="none"/>
        </w:rPr>
      </w:pPr>
      <w:r>
        <w:rPr>
          <w:rFonts w:hint="eastAsia"/>
        </w:rPr>
        <w:t>涉密删除</w:t>
      </w:r>
      <w:r>
        <w:rPr>
          <w:color w:val="auto"/>
          <w:highlight w:val="none"/>
          <w:u w:val="none"/>
        </w:rPr>
        <w:t>。</w:t>
      </w:r>
    </w:p>
    <w:p w14:paraId="2196CDA1">
      <w:pPr>
        <w:pStyle w:val="6"/>
        <w:spacing w:before="120" w:after="120"/>
        <w:rPr>
          <w:color w:val="auto"/>
          <w:highlight w:val="none"/>
          <w:u w:val="none"/>
        </w:rPr>
      </w:pPr>
      <w:bookmarkStart w:id="180" w:name="_Toc148374910"/>
      <w:bookmarkStart w:id="181" w:name="_Toc148374468"/>
      <w:r>
        <w:rPr>
          <w:rFonts w:hint="eastAsia"/>
          <w:color w:val="auto"/>
          <w:highlight w:val="none"/>
          <w:u w:val="none"/>
          <w:lang w:val="en-US"/>
        </w:rPr>
        <w:t>现有工程污染防治措施</w:t>
      </w:r>
      <w:bookmarkEnd w:id="180"/>
      <w:bookmarkEnd w:id="181"/>
    </w:p>
    <w:p w14:paraId="315B5CC6">
      <w:pPr>
        <w:pStyle w:val="7"/>
        <w:spacing w:before="120"/>
        <w:rPr>
          <w:color w:val="auto"/>
          <w:highlight w:val="none"/>
          <w:u w:val="none"/>
          <w:lang w:val="en-US"/>
        </w:rPr>
      </w:pPr>
      <w:r>
        <w:rPr>
          <w:rFonts w:hint="eastAsia"/>
          <w:color w:val="auto"/>
          <w:highlight w:val="none"/>
          <w:u w:val="none"/>
          <w:lang w:val="en-US"/>
        </w:rPr>
        <w:t>废气</w:t>
      </w:r>
    </w:p>
    <w:p w14:paraId="21A89CBD">
      <w:pPr>
        <w:rPr>
          <w:rFonts w:hint="eastAsia"/>
          <w:color w:val="auto"/>
          <w:highlight w:val="none"/>
          <w:u w:val="none"/>
        </w:rPr>
      </w:pPr>
      <w:r>
        <w:rPr>
          <w:color w:val="auto"/>
          <w:highlight w:val="none"/>
          <w:u w:val="none"/>
        </w:rPr>
        <w:t>（1）焚烧</w:t>
      </w:r>
      <w:r>
        <w:rPr>
          <w:rFonts w:hint="eastAsia"/>
          <w:color w:val="auto"/>
          <w:highlight w:val="none"/>
          <w:u w:val="none"/>
        </w:rPr>
        <w:t>炉烟气</w:t>
      </w:r>
    </w:p>
    <w:p w14:paraId="5C91CF35">
      <w:pPr>
        <w:rPr>
          <w:rFonts w:hint="eastAsia"/>
          <w:color w:val="auto"/>
          <w:highlight w:val="none"/>
          <w:u w:val="none"/>
        </w:rPr>
      </w:pPr>
      <w:r>
        <w:rPr>
          <w:color w:val="auto"/>
          <w:highlight w:val="none"/>
          <w:u w:val="none"/>
        </w:rPr>
        <w:t>一、二期</w:t>
      </w:r>
      <w:r>
        <w:rPr>
          <w:rFonts w:hint="eastAsia"/>
          <w:color w:val="auto"/>
          <w:highlight w:val="none"/>
          <w:u w:val="none"/>
        </w:rPr>
        <w:t>项目分别</w:t>
      </w:r>
      <w:r>
        <w:rPr>
          <w:color w:val="auto"/>
          <w:highlight w:val="none"/>
          <w:u w:val="none"/>
        </w:rPr>
        <w:t>设置</w:t>
      </w:r>
      <w:r>
        <w:rPr>
          <w:rFonts w:hint="eastAsia"/>
          <w:color w:val="auto"/>
          <w:highlight w:val="none"/>
          <w:u w:val="none"/>
        </w:rPr>
        <w:t>2</w:t>
      </w:r>
      <w:r>
        <w:rPr>
          <w:color w:val="auto"/>
          <w:highlight w:val="none"/>
          <w:u w:val="none"/>
        </w:rPr>
        <w:t>套焚烧炉（</w:t>
      </w:r>
      <w:r>
        <w:rPr>
          <w:rFonts w:hint="eastAsia"/>
          <w:color w:val="auto"/>
          <w:highlight w:val="none"/>
          <w:u w:val="none"/>
        </w:rPr>
        <w:t>每期项目</w:t>
      </w:r>
      <w:r>
        <w:rPr>
          <w:color w:val="auto"/>
          <w:highlight w:val="none"/>
          <w:u w:val="none"/>
        </w:rPr>
        <w:t>1用1备</w:t>
      </w:r>
      <w:r>
        <w:rPr>
          <w:rFonts w:hint="eastAsia"/>
          <w:color w:val="auto"/>
          <w:highlight w:val="none"/>
          <w:u w:val="none"/>
        </w:rPr>
        <w:t>，共2用2备</w:t>
      </w:r>
      <w:r>
        <w:rPr>
          <w:color w:val="auto"/>
          <w:highlight w:val="none"/>
          <w:u w:val="none"/>
        </w:rPr>
        <w:t>），EDC回收工序尾气、碱洗罐和水洗罐尾气、轻组分塔尾气、真空塔废气、高沸塔废气及来自PVC单元的PVC回收尾气、中间罐区的呼吸气、废水汽提尾气、废水储罐顶部排气、工艺废料罐排气、污水罐排气、轻组分塔废液及真空塔废液，一同收集至废液废气焚烧炉作焚烧处理，焚烧处理后尾气经“低氮燃烧+急冷+HCl吸收塔+碱洗”</w:t>
      </w:r>
      <w:r>
        <w:rPr>
          <w:rFonts w:hint="eastAsia"/>
          <w:color w:val="auto"/>
          <w:highlight w:val="none"/>
          <w:u w:val="none"/>
        </w:rPr>
        <w:t>处理后</w:t>
      </w:r>
      <w:r>
        <w:rPr>
          <w:color w:val="auto"/>
          <w:highlight w:val="none"/>
          <w:u w:val="none"/>
        </w:rPr>
        <w:t>通过50m</w:t>
      </w:r>
      <w:r>
        <w:rPr>
          <w:rFonts w:hint="eastAsia"/>
          <w:color w:val="auto"/>
          <w:highlight w:val="none"/>
          <w:u w:val="none"/>
        </w:rPr>
        <w:t>高</w:t>
      </w:r>
      <w:r>
        <w:rPr>
          <w:color w:val="auto"/>
          <w:highlight w:val="none"/>
          <w:u w:val="none"/>
        </w:rPr>
        <w:t>排气筒排放。焚烧烟气中二氧化硫、氮氧化物、烟尘、HCl、二氯乙烷、二噁英和非甲烷总烃排放浓度</w:t>
      </w:r>
      <w:r>
        <w:rPr>
          <w:rFonts w:hint="eastAsia"/>
          <w:color w:val="auto"/>
          <w:highlight w:val="none"/>
          <w:u w:val="none"/>
        </w:rPr>
        <w:t>执行</w:t>
      </w:r>
      <w:r>
        <w:rPr>
          <w:color w:val="auto"/>
          <w:highlight w:val="none"/>
          <w:u w:val="none"/>
        </w:rPr>
        <w:t>《烧碱、聚氯乙烯工业污染物排放标准》（GB15581-2016）表4大气污染物特别排放限值中的相关要求。</w:t>
      </w:r>
    </w:p>
    <w:p w14:paraId="60C70835">
      <w:pPr>
        <w:rPr>
          <w:rFonts w:hint="eastAsia"/>
          <w:color w:val="auto"/>
          <w:highlight w:val="none"/>
          <w:u w:val="none"/>
        </w:rPr>
      </w:pPr>
      <w:r>
        <w:rPr>
          <w:color w:val="auto"/>
          <w:highlight w:val="none"/>
          <w:u w:val="none"/>
        </w:rPr>
        <w:t>（2）EDC裂解炉</w:t>
      </w:r>
      <w:r>
        <w:rPr>
          <w:rFonts w:hint="eastAsia"/>
          <w:color w:val="auto"/>
          <w:highlight w:val="none"/>
          <w:u w:val="none"/>
        </w:rPr>
        <w:t>烟气</w:t>
      </w:r>
    </w:p>
    <w:p w14:paraId="4E92BEEE">
      <w:pPr>
        <w:rPr>
          <w:rFonts w:hint="eastAsia"/>
          <w:color w:val="auto"/>
          <w:highlight w:val="none"/>
          <w:u w:val="none"/>
        </w:rPr>
      </w:pPr>
      <w:r>
        <w:rPr>
          <w:rFonts w:hint="eastAsia"/>
          <w:color w:val="auto"/>
          <w:highlight w:val="none"/>
          <w:u w:val="none"/>
        </w:rPr>
        <w:t>一、</w:t>
      </w:r>
      <w:r>
        <w:rPr>
          <w:color w:val="auto"/>
          <w:highlight w:val="none"/>
          <w:u w:val="none"/>
        </w:rPr>
        <w:t>二期</w:t>
      </w:r>
      <w:r>
        <w:rPr>
          <w:rFonts w:hint="eastAsia"/>
          <w:color w:val="auto"/>
          <w:highlight w:val="none"/>
          <w:u w:val="none"/>
        </w:rPr>
        <w:t>项目</w:t>
      </w:r>
      <w:r>
        <w:rPr>
          <w:color w:val="auto"/>
          <w:highlight w:val="none"/>
          <w:u w:val="none"/>
        </w:rPr>
        <w:t>分别设置</w:t>
      </w:r>
      <w:r>
        <w:rPr>
          <w:rFonts w:hint="eastAsia"/>
          <w:color w:val="auto"/>
          <w:highlight w:val="none"/>
          <w:u w:val="none"/>
        </w:rPr>
        <w:t>2</w:t>
      </w:r>
      <w:r>
        <w:rPr>
          <w:color w:val="auto"/>
          <w:highlight w:val="none"/>
          <w:u w:val="none"/>
        </w:rPr>
        <w:t>套裂解炉（</w:t>
      </w:r>
      <w:r>
        <w:rPr>
          <w:rFonts w:hint="eastAsia"/>
          <w:color w:val="auto"/>
          <w:highlight w:val="none"/>
          <w:u w:val="none"/>
        </w:rPr>
        <w:t>每期项目</w:t>
      </w:r>
      <w:r>
        <w:rPr>
          <w:rFonts w:hint="eastAsia"/>
          <w:color w:val="auto"/>
          <w:highlight w:val="none"/>
          <w:u w:val="none"/>
          <w:lang w:val="en-US"/>
        </w:rPr>
        <w:t>2台裂解炉</w:t>
      </w:r>
      <w:r>
        <w:rPr>
          <w:color w:val="auto"/>
          <w:highlight w:val="none"/>
          <w:u w:val="none"/>
        </w:rPr>
        <w:t>），每股裂解烟气经低氮燃烧后通过一根50m</w:t>
      </w:r>
      <w:r>
        <w:rPr>
          <w:rFonts w:hint="eastAsia"/>
          <w:color w:val="auto"/>
          <w:highlight w:val="none"/>
          <w:u w:val="none"/>
        </w:rPr>
        <w:t>高</w:t>
      </w:r>
      <w:r>
        <w:rPr>
          <w:color w:val="auto"/>
          <w:highlight w:val="none"/>
          <w:u w:val="none"/>
        </w:rPr>
        <w:t>排气筒排放。经低氮燃烧后二氧化硫、氮氧化物、烟尘和非甲烷总烃</w:t>
      </w:r>
      <w:r>
        <w:rPr>
          <w:rFonts w:hint="eastAsia"/>
          <w:color w:val="auto"/>
          <w:highlight w:val="none"/>
          <w:u w:val="none"/>
        </w:rPr>
        <w:t>执行</w:t>
      </w:r>
      <w:r>
        <w:rPr>
          <w:color w:val="auto"/>
          <w:highlight w:val="none"/>
          <w:u w:val="none"/>
        </w:rPr>
        <w:t>《烧碱、聚氯乙烯工业污染物排放标准》（GB15581-2016）表4大气污染物特别排放限值中的相关要求。</w:t>
      </w:r>
    </w:p>
    <w:p w14:paraId="6EB39CF4">
      <w:pPr>
        <w:rPr>
          <w:rFonts w:hint="eastAsia"/>
          <w:color w:val="auto"/>
          <w:highlight w:val="none"/>
          <w:u w:val="none"/>
        </w:rPr>
      </w:pPr>
      <w:r>
        <w:rPr>
          <w:color w:val="auto"/>
          <w:highlight w:val="none"/>
          <w:u w:val="none"/>
        </w:rPr>
        <w:t>（3）干燥旋风分离排气</w:t>
      </w:r>
    </w:p>
    <w:p w14:paraId="7B993D70">
      <w:pPr>
        <w:rPr>
          <w:rFonts w:hint="eastAsia"/>
          <w:color w:val="auto"/>
          <w:highlight w:val="none"/>
          <w:u w:val="none"/>
        </w:rPr>
      </w:pPr>
      <w:r>
        <w:rPr>
          <w:color w:val="auto"/>
          <w:highlight w:val="none"/>
          <w:u w:val="none"/>
        </w:rPr>
        <w:t>一期</w:t>
      </w:r>
      <w:r>
        <w:rPr>
          <w:rFonts w:hint="eastAsia"/>
          <w:color w:val="auto"/>
          <w:highlight w:val="none"/>
          <w:u w:val="none"/>
        </w:rPr>
        <w:t>、</w:t>
      </w:r>
      <w:r>
        <w:rPr>
          <w:color w:val="auto"/>
          <w:highlight w:val="none"/>
          <w:u w:val="none"/>
        </w:rPr>
        <w:t>二期</w:t>
      </w:r>
      <w:r>
        <w:rPr>
          <w:rFonts w:hint="eastAsia"/>
          <w:color w:val="auto"/>
          <w:highlight w:val="none"/>
          <w:u w:val="none"/>
        </w:rPr>
        <w:t>项目各</w:t>
      </w:r>
      <w:r>
        <w:rPr>
          <w:color w:val="auto"/>
          <w:highlight w:val="none"/>
          <w:u w:val="none"/>
        </w:rPr>
        <w:t>布设</w:t>
      </w:r>
      <w:r>
        <w:rPr>
          <w:rFonts w:hint="eastAsia"/>
          <w:color w:val="auto"/>
          <w:highlight w:val="none"/>
          <w:u w:val="none"/>
        </w:rPr>
        <w:t>2</w:t>
      </w:r>
      <w:r>
        <w:rPr>
          <w:color w:val="auto"/>
          <w:highlight w:val="none"/>
          <w:u w:val="none"/>
        </w:rPr>
        <w:t>套干燥装置</w:t>
      </w:r>
      <w:r>
        <w:rPr>
          <w:rFonts w:hint="eastAsia"/>
          <w:color w:val="auto"/>
          <w:highlight w:val="none"/>
          <w:u w:val="none"/>
        </w:rPr>
        <w:t>（共4套）</w:t>
      </w:r>
      <w:r>
        <w:rPr>
          <w:color w:val="auto"/>
          <w:highlight w:val="none"/>
          <w:u w:val="none"/>
        </w:rPr>
        <w:t>，排气各经一套“旋风分离+湿式洗涤”处理后，分别通过一根</w:t>
      </w:r>
      <w:r>
        <w:rPr>
          <w:rFonts w:hint="eastAsia"/>
          <w:color w:val="auto"/>
          <w:highlight w:val="none"/>
          <w:u w:val="none"/>
          <w:lang w:val="en-US"/>
        </w:rPr>
        <w:t>45</w:t>
      </w:r>
      <w:r>
        <w:rPr>
          <w:color w:val="auto"/>
          <w:highlight w:val="none"/>
          <w:u w:val="none"/>
        </w:rPr>
        <w:t>m</w:t>
      </w:r>
      <w:r>
        <w:rPr>
          <w:rFonts w:hint="eastAsia"/>
          <w:color w:val="auto"/>
          <w:highlight w:val="none"/>
          <w:u w:val="none"/>
        </w:rPr>
        <w:t>高</w:t>
      </w:r>
      <w:r>
        <w:rPr>
          <w:color w:val="auto"/>
          <w:highlight w:val="none"/>
          <w:u w:val="none"/>
        </w:rPr>
        <w:t>的排气筒排放。颗粒物和氯乙烯排放浓度</w:t>
      </w:r>
      <w:r>
        <w:rPr>
          <w:rFonts w:hint="eastAsia"/>
          <w:color w:val="auto"/>
          <w:highlight w:val="none"/>
          <w:u w:val="none"/>
        </w:rPr>
        <w:t>执行</w:t>
      </w:r>
      <w:r>
        <w:rPr>
          <w:color w:val="auto"/>
          <w:highlight w:val="none"/>
          <w:u w:val="none"/>
        </w:rPr>
        <w:t>《烧碱、聚氯乙烯工业污染物排放标准》（GB15581-2016）表4大气污染物特别排放限值中的相关要求。</w:t>
      </w:r>
    </w:p>
    <w:p w14:paraId="40D6FB2E">
      <w:pPr>
        <w:rPr>
          <w:rFonts w:hint="eastAsia"/>
          <w:color w:val="auto"/>
          <w:highlight w:val="none"/>
          <w:u w:val="none"/>
        </w:rPr>
      </w:pPr>
      <w:r>
        <w:rPr>
          <w:color w:val="auto"/>
          <w:highlight w:val="none"/>
          <w:u w:val="none"/>
        </w:rPr>
        <w:t>（4）产品缓冲料斗排气</w:t>
      </w:r>
    </w:p>
    <w:p w14:paraId="126EF98B">
      <w:pPr>
        <w:rPr>
          <w:rFonts w:hint="eastAsia"/>
          <w:color w:val="auto"/>
          <w:highlight w:val="none"/>
          <w:u w:val="none"/>
        </w:rPr>
      </w:pPr>
      <w:r>
        <w:rPr>
          <w:color w:val="auto"/>
          <w:highlight w:val="none"/>
          <w:u w:val="none"/>
        </w:rPr>
        <w:t>一期</w:t>
      </w:r>
      <w:r>
        <w:rPr>
          <w:rFonts w:hint="eastAsia"/>
          <w:color w:val="auto"/>
          <w:highlight w:val="none"/>
          <w:u w:val="none"/>
        </w:rPr>
        <w:t>、</w:t>
      </w:r>
      <w:r>
        <w:rPr>
          <w:color w:val="auto"/>
          <w:highlight w:val="none"/>
          <w:u w:val="none"/>
        </w:rPr>
        <w:t>二期</w:t>
      </w:r>
      <w:r>
        <w:rPr>
          <w:rFonts w:hint="eastAsia"/>
          <w:color w:val="auto"/>
          <w:highlight w:val="none"/>
          <w:u w:val="none"/>
        </w:rPr>
        <w:t>项目</w:t>
      </w:r>
      <w:r>
        <w:rPr>
          <w:color w:val="auto"/>
          <w:highlight w:val="none"/>
          <w:u w:val="none"/>
        </w:rPr>
        <w:t>均</w:t>
      </w:r>
      <w:r>
        <w:rPr>
          <w:rFonts w:hint="eastAsia"/>
          <w:color w:val="auto"/>
          <w:highlight w:val="none"/>
          <w:u w:val="none"/>
        </w:rPr>
        <w:t>设置2</w:t>
      </w:r>
      <w:r>
        <w:rPr>
          <w:color w:val="auto"/>
          <w:highlight w:val="none"/>
          <w:u w:val="none"/>
        </w:rPr>
        <w:t>套缓冲料斗</w:t>
      </w:r>
      <w:r>
        <w:rPr>
          <w:rFonts w:hint="eastAsia"/>
          <w:color w:val="auto"/>
          <w:highlight w:val="none"/>
          <w:u w:val="none"/>
        </w:rPr>
        <w:t>（共4套）</w:t>
      </w:r>
      <w:r>
        <w:rPr>
          <w:color w:val="auto"/>
          <w:highlight w:val="none"/>
          <w:u w:val="none"/>
        </w:rPr>
        <w:t>，排气各经</w:t>
      </w:r>
      <w:r>
        <w:rPr>
          <w:rFonts w:hint="eastAsia"/>
          <w:color w:val="auto"/>
          <w:highlight w:val="none"/>
          <w:u w:val="none"/>
        </w:rPr>
        <w:t>1</w:t>
      </w:r>
      <w:r>
        <w:rPr>
          <w:color w:val="auto"/>
          <w:highlight w:val="none"/>
          <w:u w:val="none"/>
        </w:rPr>
        <w:t>套布袋除尘器处理后</w:t>
      </w:r>
      <w:r>
        <w:rPr>
          <w:rFonts w:hint="eastAsia"/>
          <w:color w:val="auto"/>
          <w:highlight w:val="none"/>
          <w:u w:val="none"/>
        </w:rPr>
        <w:t>各</w:t>
      </w:r>
      <w:r>
        <w:rPr>
          <w:color w:val="auto"/>
          <w:highlight w:val="none"/>
          <w:u w:val="none"/>
        </w:rPr>
        <w:t>通过一根15m</w:t>
      </w:r>
      <w:r>
        <w:rPr>
          <w:rFonts w:hint="eastAsia"/>
          <w:color w:val="auto"/>
          <w:highlight w:val="none"/>
          <w:u w:val="none"/>
        </w:rPr>
        <w:t>高</w:t>
      </w:r>
      <w:r>
        <w:rPr>
          <w:color w:val="auto"/>
          <w:highlight w:val="none"/>
          <w:u w:val="none"/>
        </w:rPr>
        <w:t>的排气筒排放。主要成分为颗粒物，排放浓度</w:t>
      </w:r>
      <w:r>
        <w:rPr>
          <w:rFonts w:hint="eastAsia"/>
          <w:color w:val="auto"/>
          <w:highlight w:val="none"/>
          <w:u w:val="none"/>
        </w:rPr>
        <w:t>执行</w:t>
      </w:r>
      <w:r>
        <w:rPr>
          <w:color w:val="auto"/>
          <w:highlight w:val="none"/>
          <w:u w:val="none"/>
        </w:rPr>
        <w:t>《烧碱、聚氯乙烯工业污染物排放标准》（GB15581-2016）表4大气污染物特别排放限值中的相关要求。</w:t>
      </w:r>
    </w:p>
    <w:p w14:paraId="4667F734">
      <w:pPr>
        <w:pStyle w:val="988"/>
        <w:ind w:firstLine="480"/>
        <w:rPr>
          <w:color w:val="auto"/>
          <w:highlight w:val="none"/>
          <w:u w:val="none"/>
        </w:rPr>
      </w:pPr>
      <w:r>
        <w:rPr>
          <w:color w:val="auto"/>
          <w:highlight w:val="none"/>
          <w:u w:val="none"/>
        </w:rPr>
        <w:t>（5）分散剂破袋机排气</w:t>
      </w:r>
    </w:p>
    <w:p w14:paraId="1D835817">
      <w:pPr>
        <w:spacing w:before="120"/>
        <w:rPr>
          <w:rFonts w:hint="eastAsia"/>
          <w:color w:val="auto"/>
          <w:highlight w:val="none"/>
          <w:u w:val="none"/>
        </w:rPr>
      </w:pPr>
      <w:r>
        <w:rPr>
          <w:color w:val="auto"/>
          <w:highlight w:val="none"/>
          <w:u w:val="none"/>
        </w:rPr>
        <w:t>一期和二期</w:t>
      </w:r>
      <w:r>
        <w:rPr>
          <w:rFonts w:hint="eastAsia"/>
          <w:color w:val="auto"/>
          <w:highlight w:val="none"/>
          <w:u w:val="none"/>
        </w:rPr>
        <w:t>项目</w:t>
      </w:r>
      <w:r>
        <w:rPr>
          <w:color w:val="auto"/>
          <w:highlight w:val="none"/>
          <w:u w:val="none"/>
        </w:rPr>
        <w:t>分散剂破袋机废气</w:t>
      </w:r>
      <w:r>
        <w:rPr>
          <w:rFonts w:hint="eastAsia"/>
          <w:color w:val="auto"/>
          <w:highlight w:val="none"/>
          <w:u w:val="none"/>
        </w:rPr>
        <w:t>共同经1</w:t>
      </w:r>
      <w:r>
        <w:rPr>
          <w:color w:val="auto"/>
          <w:highlight w:val="none"/>
          <w:u w:val="none"/>
        </w:rPr>
        <w:t>套粉尘过滤器处理后，通过一根15m</w:t>
      </w:r>
      <w:r>
        <w:rPr>
          <w:rFonts w:hint="eastAsia"/>
          <w:color w:val="auto"/>
          <w:highlight w:val="none"/>
          <w:u w:val="none"/>
        </w:rPr>
        <w:t>高</w:t>
      </w:r>
      <w:r>
        <w:rPr>
          <w:color w:val="auto"/>
          <w:highlight w:val="none"/>
          <w:u w:val="none"/>
        </w:rPr>
        <w:t>的排气筒排放。主要成分为颗粒物，排放浓度</w:t>
      </w:r>
      <w:r>
        <w:rPr>
          <w:rFonts w:hint="eastAsia"/>
          <w:color w:val="auto"/>
          <w:highlight w:val="none"/>
          <w:u w:val="none"/>
        </w:rPr>
        <w:t>执行</w:t>
      </w:r>
      <w:r>
        <w:rPr>
          <w:color w:val="auto"/>
          <w:highlight w:val="none"/>
          <w:u w:val="none"/>
        </w:rPr>
        <w:t>《烧碱、聚氯乙烯工业污染物排放标准》（GB15581-2016）表4大气污染物特别排放限值中的相关要求。</w:t>
      </w:r>
    </w:p>
    <w:p w14:paraId="476A3D4A">
      <w:pPr>
        <w:pStyle w:val="7"/>
        <w:spacing w:before="120"/>
        <w:rPr>
          <w:color w:val="auto"/>
          <w:highlight w:val="none"/>
          <w:u w:val="none"/>
          <w:lang w:val="en-US"/>
        </w:rPr>
      </w:pPr>
      <w:r>
        <w:rPr>
          <w:rFonts w:hint="eastAsia"/>
          <w:color w:val="auto"/>
          <w:highlight w:val="none"/>
          <w:u w:val="none"/>
          <w:lang w:val="en-US"/>
        </w:rPr>
        <w:t>废水</w:t>
      </w:r>
    </w:p>
    <w:p w14:paraId="51BE105B">
      <w:pPr>
        <w:rPr>
          <w:rFonts w:hint="eastAsia"/>
          <w:color w:val="auto"/>
          <w:highlight w:val="none"/>
          <w:u w:val="none"/>
        </w:rPr>
      </w:pPr>
      <w:r>
        <w:rPr>
          <w:rFonts w:hint="eastAsia"/>
          <w:color w:val="auto"/>
          <w:highlight w:val="none"/>
          <w:u w:val="none"/>
        </w:rPr>
        <w:t>PVC项目</w:t>
      </w:r>
      <w:r>
        <w:rPr>
          <w:color w:val="auto"/>
          <w:highlight w:val="none"/>
          <w:u w:val="none"/>
        </w:rPr>
        <w:t>废水主要包括各工艺生产废水、地面冲洗废水、生活污水、初期污染雨水等。离心废水委托</w:t>
      </w:r>
      <w:r>
        <w:rPr>
          <w:rFonts w:hint="eastAsia"/>
          <w:color w:val="auto"/>
          <w:highlight w:val="none"/>
          <w:u w:val="none"/>
        </w:rPr>
        <w:t>万华环保科技公司</w:t>
      </w:r>
      <w:r>
        <w:rPr>
          <w:color w:val="auto"/>
          <w:highlight w:val="none"/>
          <w:u w:val="none"/>
        </w:rPr>
        <w:t>离心母液处理系统处理</w:t>
      </w:r>
      <w:r>
        <w:rPr>
          <w:rFonts w:hint="eastAsia"/>
          <w:color w:val="auto"/>
          <w:highlight w:val="none"/>
          <w:u w:val="none"/>
        </w:rPr>
        <w:t>，</w:t>
      </w:r>
      <w:r>
        <w:rPr>
          <w:color w:val="auto"/>
          <w:highlight w:val="none"/>
          <w:u w:val="none"/>
        </w:rPr>
        <w:t>一期工程处理后的废水回用于异氰酸酯公司循环水系统，二期工程处理后的废水</w:t>
      </w:r>
      <w:r>
        <w:rPr>
          <w:rFonts w:hint="eastAsia"/>
          <w:color w:val="auto"/>
          <w:highlight w:val="none"/>
          <w:u w:val="none"/>
        </w:rPr>
        <w:t>作为4#循环水站（二期建设）</w:t>
      </w:r>
      <w:r>
        <w:rPr>
          <w:rFonts w:hint="eastAsia"/>
          <w:color w:val="auto"/>
          <w:highlight w:val="none"/>
          <w:u w:val="none"/>
          <w:lang w:val="en-US"/>
        </w:rPr>
        <w:t>补水进行</w:t>
      </w:r>
      <w:r>
        <w:rPr>
          <w:color w:val="auto"/>
          <w:highlight w:val="none"/>
          <w:u w:val="none"/>
        </w:rPr>
        <w:t>回用；其余生产废水委托</w:t>
      </w:r>
      <w:r>
        <w:rPr>
          <w:rFonts w:hint="eastAsia"/>
          <w:color w:val="auto"/>
          <w:highlight w:val="none"/>
          <w:u w:val="none"/>
        </w:rPr>
        <w:t>万华环保科技公司</w:t>
      </w:r>
      <w:r>
        <w:rPr>
          <w:color w:val="auto"/>
          <w:highlight w:val="none"/>
          <w:u w:val="none"/>
        </w:rPr>
        <w:t>废水综合处理系统，处理达标后由</w:t>
      </w:r>
      <w:r>
        <w:rPr>
          <w:rFonts w:hint="eastAsia"/>
          <w:color w:val="auto"/>
          <w:highlight w:val="none"/>
          <w:u w:val="none"/>
          <w:lang w:eastAsia="zh-CN"/>
        </w:rPr>
        <w:t>福州江阴港城经济区</w:t>
      </w:r>
      <w:r>
        <w:rPr>
          <w:color w:val="auto"/>
          <w:highlight w:val="none"/>
          <w:u w:val="none"/>
        </w:rPr>
        <w:t>污水处理厂已建排海管道排海；地面冲洗水</w:t>
      </w:r>
      <w:r>
        <w:rPr>
          <w:rFonts w:hint="eastAsia"/>
          <w:color w:val="auto"/>
          <w:highlight w:val="none"/>
          <w:u w:val="none"/>
        </w:rPr>
        <w:t>、</w:t>
      </w:r>
      <w:r>
        <w:rPr>
          <w:color w:val="auto"/>
          <w:highlight w:val="none"/>
          <w:u w:val="none"/>
        </w:rPr>
        <w:t>初期污染雨水</w:t>
      </w:r>
      <w:r>
        <w:rPr>
          <w:rFonts w:hint="eastAsia"/>
          <w:color w:val="auto"/>
          <w:highlight w:val="none"/>
          <w:u w:val="none"/>
        </w:rPr>
        <w:t>、</w:t>
      </w:r>
      <w:r>
        <w:rPr>
          <w:color w:val="auto"/>
          <w:highlight w:val="none"/>
          <w:u w:val="none"/>
        </w:rPr>
        <w:t>生活污水委托</w:t>
      </w:r>
      <w:r>
        <w:rPr>
          <w:rFonts w:hint="eastAsia"/>
          <w:color w:val="auto"/>
          <w:highlight w:val="none"/>
          <w:u w:val="none"/>
        </w:rPr>
        <w:t>万华环保科技公司</w:t>
      </w:r>
      <w:r>
        <w:rPr>
          <w:color w:val="auto"/>
          <w:highlight w:val="none"/>
          <w:u w:val="none"/>
        </w:rPr>
        <w:t>低浓度废水处理系统，处理合格后排入</w:t>
      </w:r>
      <w:r>
        <w:rPr>
          <w:rFonts w:hint="eastAsia"/>
          <w:color w:val="auto"/>
          <w:highlight w:val="none"/>
          <w:u w:val="none"/>
          <w:lang w:eastAsia="zh-CN"/>
        </w:rPr>
        <w:t>福州江阴港城经济区</w:t>
      </w:r>
      <w:r>
        <w:rPr>
          <w:color w:val="auto"/>
          <w:highlight w:val="none"/>
          <w:u w:val="none"/>
        </w:rPr>
        <w:t>污水处理厂进一步处理。此外，二期循环水站排水排入异氰酸酯公司监测水池，监测合格后排入</w:t>
      </w:r>
      <w:r>
        <w:rPr>
          <w:rFonts w:hint="eastAsia"/>
          <w:color w:val="auto"/>
          <w:highlight w:val="none"/>
          <w:u w:val="none"/>
          <w:lang w:eastAsia="zh-CN"/>
        </w:rPr>
        <w:t>福州江阴港城经济区</w:t>
      </w:r>
      <w:r>
        <w:rPr>
          <w:color w:val="auto"/>
          <w:highlight w:val="none"/>
          <w:u w:val="none"/>
        </w:rPr>
        <w:t>污水处理厂。</w:t>
      </w:r>
    </w:p>
    <w:p w14:paraId="0386500C">
      <w:pPr>
        <w:pStyle w:val="7"/>
        <w:spacing w:before="120"/>
        <w:rPr>
          <w:color w:val="auto"/>
          <w:szCs w:val="22"/>
          <w:highlight w:val="none"/>
          <w:u w:val="none"/>
        </w:rPr>
      </w:pPr>
      <w:r>
        <w:rPr>
          <w:color w:val="auto"/>
          <w:highlight w:val="none"/>
          <w:u w:val="none"/>
        </w:rPr>
        <w:t>固体废物</w:t>
      </w:r>
    </w:p>
    <w:p w14:paraId="52B99FCB">
      <w:pPr>
        <w:rPr>
          <w:rFonts w:hint="eastAsia"/>
          <w:color w:val="auto"/>
          <w:highlight w:val="none"/>
          <w:u w:val="none"/>
        </w:rPr>
      </w:pPr>
      <w:r>
        <w:rPr>
          <w:rFonts w:hint="eastAsia"/>
          <w:color w:val="auto"/>
          <w:highlight w:val="none"/>
          <w:u w:val="none"/>
        </w:rPr>
        <w:t>PVC项目</w:t>
      </w:r>
      <w:r>
        <w:rPr>
          <w:color w:val="auto"/>
          <w:highlight w:val="none"/>
          <w:u w:val="none"/>
        </w:rPr>
        <w:t>固体废物</w:t>
      </w:r>
      <w:r>
        <w:rPr>
          <w:rFonts w:hint="eastAsia"/>
          <w:color w:val="auto"/>
          <w:highlight w:val="none"/>
          <w:u w:val="none"/>
        </w:rPr>
        <w:t>主要</w:t>
      </w:r>
      <w:r>
        <w:rPr>
          <w:color w:val="auto"/>
          <w:highlight w:val="none"/>
          <w:u w:val="none"/>
        </w:rPr>
        <w:t>包括加氢反应器废催化剂、轻组分塔废液、真空塔废液、焦炭、机修废机油以及生活办公产生的生活垃圾。</w:t>
      </w:r>
      <w:r>
        <w:rPr>
          <w:rFonts w:hint="eastAsia"/>
          <w:color w:val="auto"/>
          <w:highlight w:val="none"/>
          <w:u w:val="none"/>
        </w:rPr>
        <w:t>其中</w:t>
      </w:r>
      <w:r>
        <w:rPr>
          <w:color w:val="auto"/>
          <w:highlight w:val="none"/>
          <w:u w:val="none"/>
        </w:rPr>
        <w:t>加氢反应器废催化剂</w:t>
      </w:r>
      <w:r>
        <w:rPr>
          <w:rFonts w:hint="eastAsia"/>
          <w:color w:val="auto"/>
          <w:highlight w:val="none"/>
          <w:u w:val="none"/>
        </w:rPr>
        <w:t>、焦炭、</w:t>
      </w:r>
      <w:r>
        <w:rPr>
          <w:color w:val="auto"/>
          <w:highlight w:val="none"/>
          <w:u w:val="none"/>
        </w:rPr>
        <w:t>机修废机油</w:t>
      </w:r>
      <w:r>
        <w:rPr>
          <w:rFonts w:hint="eastAsia"/>
          <w:color w:val="auto"/>
          <w:highlight w:val="none"/>
          <w:u w:val="none"/>
        </w:rPr>
        <w:t>为危险废物，委托有危险废物处置资质的单位处理，</w:t>
      </w:r>
      <w:r>
        <w:rPr>
          <w:color w:val="auto"/>
          <w:highlight w:val="none"/>
          <w:u w:val="none"/>
        </w:rPr>
        <w:t>轻组分塔废液</w:t>
      </w:r>
      <w:r>
        <w:rPr>
          <w:rFonts w:hint="eastAsia"/>
          <w:color w:val="auto"/>
          <w:highlight w:val="none"/>
          <w:u w:val="none"/>
        </w:rPr>
        <w:t>、</w:t>
      </w:r>
      <w:r>
        <w:rPr>
          <w:color w:val="auto"/>
          <w:highlight w:val="none"/>
          <w:u w:val="none"/>
        </w:rPr>
        <w:t>真空塔废液</w:t>
      </w:r>
      <w:r>
        <w:rPr>
          <w:rFonts w:hint="eastAsia"/>
          <w:color w:val="auto"/>
          <w:highlight w:val="none"/>
          <w:u w:val="none"/>
        </w:rPr>
        <w:t>送VCM装置焚烧单元进行焚烧处理，</w:t>
      </w:r>
      <w:r>
        <w:rPr>
          <w:color w:val="auto"/>
          <w:highlight w:val="none"/>
          <w:u w:val="none"/>
        </w:rPr>
        <w:t>生活垃圾</w:t>
      </w:r>
      <w:r>
        <w:rPr>
          <w:rFonts w:hint="eastAsia"/>
          <w:color w:val="auto"/>
          <w:highlight w:val="none"/>
          <w:u w:val="none"/>
        </w:rPr>
        <w:t>委托环卫部门清运。</w:t>
      </w:r>
    </w:p>
    <w:p w14:paraId="4447F333">
      <w:pPr>
        <w:pStyle w:val="7"/>
        <w:spacing w:before="120"/>
        <w:rPr>
          <w:color w:val="auto"/>
          <w:highlight w:val="none"/>
          <w:u w:val="none"/>
        </w:rPr>
      </w:pPr>
      <w:r>
        <w:rPr>
          <w:rFonts w:hint="eastAsia"/>
          <w:color w:val="auto"/>
          <w:highlight w:val="none"/>
          <w:u w:val="none"/>
        </w:rPr>
        <w:t>地下水污染防治措施</w:t>
      </w:r>
    </w:p>
    <w:p w14:paraId="4C706430">
      <w:pPr>
        <w:rPr>
          <w:rStyle w:val="70"/>
          <w:rFonts w:hint="eastAsia"/>
          <w:color w:val="auto"/>
          <w:highlight w:val="none"/>
          <w:u w:val="none"/>
        </w:rPr>
      </w:pPr>
      <w:r>
        <w:rPr>
          <w:rFonts w:hint="eastAsia"/>
          <w:color w:val="auto"/>
          <w:highlight w:val="none"/>
          <w:u w:val="none"/>
        </w:rPr>
        <w:t>根据PVC项目验收监测报告，建设单位防渗工程实施情况</w:t>
      </w:r>
      <w:r>
        <w:rPr>
          <w:rFonts w:hint="eastAsia"/>
          <w:color w:val="auto"/>
          <w:highlight w:val="none"/>
          <w:u w:val="none"/>
          <w:lang w:val="en-US"/>
        </w:rPr>
        <w:t>如下</w:t>
      </w:r>
      <w:r>
        <w:rPr>
          <w:rFonts w:hint="eastAsia"/>
          <w:color w:val="auto"/>
          <w:highlight w:val="none"/>
          <w:u w:val="none"/>
          <w:lang w:val="en-US"/>
        </w:rPr>
        <w:fldChar w:fldCharType="begin"/>
      </w:r>
      <w:r>
        <w:rPr>
          <w:rFonts w:hint="eastAsia"/>
          <w:color w:val="auto"/>
          <w:highlight w:val="none"/>
          <w:u w:val="none"/>
          <w:lang w:val="en-US"/>
        </w:rPr>
        <w:instrText xml:space="preserve"> REF _Ref20705 \h </w:instrText>
      </w:r>
      <w:r>
        <w:rPr>
          <w:rFonts w:hint="eastAsia"/>
          <w:color w:val="auto"/>
          <w:highlight w:val="none"/>
          <w:u w:val="none"/>
          <w:lang w:val="en-US"/>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3.5</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lang w:val="en-US"/>
        </w:rPr>
        <w:fldChar w:fldCharType="end"/>
      </w:r>
      <w:r>
        <w:rPr>
          <w:rFonts w:hint="eastAsia"/>
          <w:color w:val="auto"/>
          <w:highlight w:val="none"/>
          <w:u w:val="none"/>
        </w:rPr>
        <w:t>，防渗工程满足《石油化工工程防渗技术规范》（GB/T50934-2013）要求。该项目地下水跟踪监测依托厂区已有的3个地下水监控井，满足自行监测要求。</w:t>
      </w:r>
    </w:p>
    <w:p w14:paraId="36341ADE">
      <w:pPr>
        <w:pStyle w:val="6"/>
        <w:spacing w:before="120" w:after="120"/>
        <w:rPr>
          <w:color w:val="auto"/>
          <w:highlight w:val="none"/>
          <w:u w:val="none"/>
        </w:rPr>
      </w:pPr>
      <w:bookmarkStart w:id="182" w:name="_Toc148374911"/>
      <w:bookmarkStart w:id="183" w:name="_Toc148374469"/>
      <w:r>
        <w:rPr>
          <w:rFonts w:hint="eastAsia"/>
          <w:color w:val="auto"/>
          <w:highlight w:val="none"/>
          <w:u w:val="none"/>
          <w:lang w:val="en-US"/>
        </w:rPr>
        <w:t>现有工程污染物排放达标情况分析</w:t>
      </w:r>
      <w:bookmarkEnd w:id="182"/>
      <w:bookmarkEnd w:id="183"/>
    </w:p>
    <w:p w14:paraId="572C5B8A">
      <w:pPr>
        <w:ind w:firstLine="482"/>
        <w:rPr>
          <w:rFonts w:hint="eastAsia"/>
          <w:b/>
          <w:bCs/>
          <w:color w:val="auto"/>
          <w:highlight w:val="none"/>
          <w:u w:val="none"/>
        </w:rPr>
      </w:pPr>
      <w:r>
        <w:rPr>
          <w:b/>
          <w:bCs/>
          <w:color w:val="auto"/>
          <w:highlight w:val="none"/>
          <w:u w:val="none"/>
        </w:rPr>
        <w:t>（1）有组织废气</w:t>
      </w:r>
    </w:p>
    <w:p w14:paraId="45527162">
      <w:pPr>
        <w:pStyle w:val="981"/>
        <w:rPr>
          <w:rFonts w:hint="eastAsia"/>
          <w:color w:val="auto"/>
          <w:highlight w:val="none"/>
          <w:u w:val="none"/>
        </w:rPr>
      </w:pPr>
      <w:r>
        <w:rPr>
          <w:rFonts w:hint="eastAsia"/>
          <w:color w:val="auto"/>
          <w:highlight w:val="none"/>
          <w:u w:val="none"/>
          <w:lang w:val="en-US"/>
        </w:rPr>
        <w:t>PVC项目有组织</w:t>
      </w:r>
      <w:r>
        <w:rPr>
          <w:rFonts w:hint="eastAsia"/>
          <w:color w:val="auto"/>
          <w:highlight w:val="none"/>
          <w:u w:val="none"/>
        </w:rPr>
        <w:t>废气</w:t>
      </w:r>
      <w:r>
        <w:rPr>
          <w:rFonts w:hint="eastAsia"/>
          <w:color w:val="auto"/>
          <w:highlight w:val="none"/>
          <w:u w:val="none"/>
          <w:lang w:val="en-US"/>
        </w:rPr>
        <w:t>主要包括</w:t>
      </w:r>
      <w:r>
        <w:rPr>
          <w:rFonts w:hint="eastAsia"/>
          <w:color w:val="auto"/>
          <w:highlight w:val="none"/>
          <w:u w:val="none"/>
        </w:rPr>
        <w:t>废液焚烧炉（A炉）废气、裂解炉烟气、干燥废气、缓冲料斗废气和分散剂破袋粉尘。</w:t>
      </w:r>
    </w:p>
    <w:p w14:paraId="04F0D36B">
      <w:pPr>
        <w:pStyle w:val="981"/>
        <w:rPr>
          <w:rFonts w:hint="eastAsia"/>
          <w:color w:val="auto"/>
          <w:highlight w:val="none"/>
          <w:u w:val="none"/>
        </w:rPr>
      </w:pPr>
      <w:r>
        <w:rPr>
          <w:rFonts w:hint="eastAsia"/>
          <w:color w:val="auto"/>
        </w:rPr>
        <w:t>根据</w:t>
      </w:r>
      <w:r>
        <w:rPr>
          <w:rFonts w:hint="eastAsia"/>
          <w:color w:val="auto"/>
          <w:lang w:val="en-US"/>
        </w:rPr>
        <w:t>验收</w:t>
      </w:r>
      <w:r>
        <w:rPr>
          <w:rFonts w:hint="eastAsia"/>
          <w:color w:val="auto"/>
        </w:rPr>
        <w:t>监测结果，焚烧炉废气和其它工艺废气排放满足《烧碱、聚氯乙烯工业污染物排放标准》（GB15581-2016）表4大气污染物特别排放限值中的相关要求。折算单位产品非甲烷总烃排放量满足《烧碱、聚氯乙烯工业污染物排放标准》（GB15581-2016）表4要求（0.2kg/t）</w:t>
      </w:r>
      <w:r>
        <w:rPr>
          <w:rFonts w:hint="eastAsia"/>
          <w:color w:val="auto"/>
          <w:highlight w:val="none"/>
          <w:u w:val="none"/>
        </w:rPr>
        <w:t>。</w:t>
      </w:r>
    </w:p>
    <w:p w14:paraId="1DE505CE">
      <w:pPr>
        <w:pStyle w:val="981"/>
        <w:ind w:firstLine="482"/>
        <w:rPr>
          <w:rFonts w:hint="eastAsia"/>
          <w:b/>
          <w:bCs/>
          <w:color w:val="auto"/>
          <w:highlight w:val="none"/>
          <w:u w:val="none"/>
        </w:rPr>
      </w:pPr>
      <w:r>
        <w:rPr>
          <w:b/>
          <w:bCs/>
          <w:color w:val="auto"/>
          <w:highlight w:val="none"/>
          <w:u w:val="none"/>
        </w:rPr>
        <w:t>（2）无组织废气</w:t>
      </w:r>
    </w:p>
    <w:p w14:paraId="0FD825A4">
      <w:pPr>
        <w:pStyle w:val="981"/>
        <w:rPr>
          <w:rFonts w:hint="eastAsia"/>
          <w:color w:val="auto"/>
          <w:highlight w:val="none"/>
          <w:u w:val="none"/>
        </w:rPr>
      </w:pPr>
      <w:r>
        <w:rPr>
          <w:rFonts w:hint="eastAsia" w:hAnsi="Times New Roman"/>
          <w:color w:val="auto"/>
          <w:lang w:val="en-US"/>
        </w:rPr>
        <w:t>根据验收监测结果，PVC项目</w:t>
      </w:r>
      <w:r>
        <w:rPr>
          <w:rFonts w:hAnsi="Times New Roman"/>
          <w:color w:val="auto"/>
          <w:lang w:val="en-US"/>
        </w:rPr>
        <w:t>正常运行</w:t>
      </w:r>
      <w:r>
        <w:rPr>
          <w:rFonts w:hint="eastAsia" w:hAnsi="Times New Roman"/>
          <w:color w:val="auto"/>
          <w:lang w:val="en-US"/>
        </w:rPr>
        <w:t>期间</w:t>
      </w:r>
      <w:r>
        <w:rPr>
          <w:rFonts w:hAnsi="Times New Roman"/>
          <w:color w:val="auto"/>
          <w:lang w:val="en-US"/>
        </w:rPr>
        <w:t>，厂界无组织</w:t>
      </w:r>
      <w:r>
        <w:rPr>
          <w:rFonts w:hint="eastAsia" w:hAnsi="Times New Roman"/>
          <w:color w:val="auto"/>
          <w:lang w:val="en-US"/>
        </w:rPr>
        <w:t>各污染物满足相应的标准限值要求</w:t>
      </w:r>
      <w:r>
        <w:rPr>
          <w:rFonts w:hint="eastAsia"/>
          <w:color w:val="auto"/>
          <w:highlight w:val="none"/>
          <w:u w:val="none"/>
        </w:rPr>
        <w:t>。</w:t>
      </w:r>
    </w:p>
    <w:p w14:paraId="3A7C7D36">
      <w:pPr>
        <w:pStyle w:val="7"/>
        <w:spacing w:before="120"/>
        <w:rPr>
          <w:color w:val="auto"/>
          <w:highlight w:val="none"/>
          <w:u w:val="none"/>
          <w:lang w:val="en-US"/>
        </w:rPr>
      </w:pPr>
      <w:r>
        <w:rPr>
          <w:rFonts w:hint="eastAsia"/>
          <w:color w:val="auto"/>
          <w:highlight w:val="none"/>
          <w:u w:val="none"/>
          <w:lang w:val="en-US"/>
        </w:rPr>
        <w:t>废水</w:t>
      </w:r>
    </w:p>
    <w:p w14:paraId="54DC4B52">
      <w:pPr>
        <w:rPr>
          <w:rFonts w:hint="eastAsia"/>
          <w:color w:val="auto"/>
          <w:highlight w:val="none"/>
          <w:u w:val="none"/>
          <w:lang w:val="en-US"/>
        </w:rPr>
      </w:pPr>
      <w:r>
        <w:rPr>
          <w:color w:val="auto"/>
          <w:highlight w:val="none"/>
          <w:u w:val="none"/>
          <w:lang w:val="en-US"/>
        </w:rPr>
        <w:t>PVC项目废水依托</w:t>
      </w:r>
      <w:r>
        <w:rPr>
          <w:rFonts w:hint="eastAsia"/>
          <w:color w:val="auto"/>
          <w:highlight w:val="none"/>
          <w:u w:val="none"/>
          <w:lang w:val="en-US"/>
        </w:rPr>
        <w:t>万华环保科技公司污水处理站</w:t>
      </w:r>
      <w:r>
        <w:rPr>
          <w:color w:val="auto"/>
          <w:highlight w:val="none"/>
          <w:u w:val="none"/>
          <w:lang w:val="en-US"/>
        </w:rPr>
        <w:t>，</w:t>
      </w:r>
      <w:r>
        <w:rPr>
          <w:rFonts w:hint="eastAsia"/>
          <w:color w:val="auto"/>
          <w:highlight w:val="none"/>
          <w:u w:val="none"/>
          <w:lang w:val="en-US"/>
        </w:rPr>
        <w:t>处理后污水站尾水达标情况见3.3.4.2小节。</w:t>
      </w:r>
    </w:p>
    <w:p w14:paraId="2242664D">
      <w:pPr>
        <w:pStyle w:val="7"/>
        <w:spacing w:before="120"/>
        <w:rPr>
          <w:color w:val="auto"/>
          <w:highlight w:val="none"/>
          <w:u w:val="none"/>
          <w:lang w:val="en-US"/>
        </w:rPr>
      </w:pPr>
      <w:r>
        <w:rPr>
          <w:color w:val="auto"/>
          <w:highlight w:val="none"/>
          <w:u w:val="none"/>
          <w:lang w:val="en-US"/>
        </w:rPr>
        <w:t>固废</w:t>
      </w:r>
    </w:p>
    <w:p w14:paraId="685B65D2">
      <w:pPr>
        <w:rPr>
          <w:rFonts w:hint="eastAsia"/>
          <w:color w:val="auto"/>
          <w:highlight w:val="none"/>
          <w:u w:val="none"/>
          <w:lang w:val="en-US"/>
        </w:rPr>
      </w:pPr>
      <w:r>
        <w:rPr>
          <w:color w:val="auto"/>
          <w:highlight w:val="none"/>
          <w:u w:val="none"/>
          <w:lang w:val="en-US"/>
        </w:rPr>
        <w:t>PVC项目产生的固体废物主要包括①氧氯化单元加氢反应器废催化剂（S1）、②EDC精制单元轻组分塔废液（S2）、③EDC精制单元真空塔废液（S3）、④EDC裂解单元随反应气流进入急冷塔被过滤器过滤出的焦炭（S4）；⑤来自PVC装置区的PVC等外品（S5）；⑥日常机修过程产生的废机油（S6），⑦原辅料废弃的化学品包装桶或袋（S7）以及来自办公管理的回生活垃圾（S8）。</w:t>
      </w:r>
    </w:p>
    <w:p w14:paraId="155E1EEE">
      <w:pPr>
        <w:rPr>
          <w:rFonts w:hint="eastAsia"/>
          <w:color w:val="auto"/>
          <w:highlight w:val="none"/>
          <w:u w:val="none"/>
          <w:lang w:val="en-US"/>
        </w:rPr>
      </w:pPr>
      <w:r>
        <w:rPr>
          <w:rFonts w:hint="eastAsia"/>
          <w:color w:val="auto"/>
          <w:highlight w:val="none"/>
          <w:u w:val="none"/>
          <w:lang w:val="en-US"/>
        </w:rPr>
        <w:t>其中：</w:t>
      </w:r>
      <w:r>
        <w:rPr>
          <w:color w:val="auto"/>
          <w:highlight w:val="none"/>
          <w:u w:val="none"/>
          <w:lang w:val="en-US"/>
        </w:rPr>
        <w:t>EDC裂解单元焦炭（S4）</w:t>
      </w:r>
      <w:r>
        <w:rPr>
          <w:rFonts w:hint="eastAsia"/>
          <w:color w:val="auto"/>
          <w:highlight w:val="none"/>
          <w:u w:val="none"/>
          <w:lang w:val="en-US"/>
        </w:rPr>
        <w:t>属于危险废物，委托福建绿洲固体废物处置有限公司和福建省固体废物处置有限公司处理，</w:t>
      </w:r>
      <w:r>
        <w:rPr>
          <w:color w:val="auto"/>
          <w:highlight w:val="none"/>
          <w:u w:val="none"/>
          <w:lang w:val="en-US"/>
        </w:rPr>
        <w:t>日常机修过程产生的废机油（S6）和原辅料废弃的化学品包装桶或袋（S7）属于危险废物，</w:t>
      </w:r>
      <w:r>
        <w:rPr>
          <w:rFonts w:hint="eastAsia"/>
          <w:color w:val="auto"/>
          <w:highlight w:val="none"/>
          <w:u w:val="none"/>
          <w:lang w:val="en-US"/>
        </w:rPr>
        <w:t>委托福建省固体废物处置有限公司和邵武绿益新环保产业开发有限公司</w:t>
      </w:r>
      <w:r>
        <w:rPr>
          <w:color w:val="auto"/>
          <w:highlight w:val="none"/>
          <w:u w:val="none"/>
          <w:lang w:val="en-US"/>
        </w:rPr>
        <w:t>；</w:t>
      </w:r>
      <w:r>
        <w:rPr>
          <w:rFonts w:hint="eastAsia"/>
          <w:color w:val="auto"/>
          <w:highlight w:val="none"/>
          <w:u w:val="none"/>
          <w:lang w:val="en-US"/>
        </w:rPr>
        <w:t>加氢反应器废催化剂（</w:t>
      </w:r>
      <w:r>
        <w:rPr>
          <w:color w:val="auto"/>
          <w:highlight w:val="none"/>
          <w:u w:val="none"/>
          <w:lang w:val="en-US"/>
        </w:rPr>
        <w:t>S1）</w:t>
      </w:r>
      <w:r>
        <w:rPr>
          <w:rFonts w:hint="eastAsia"/>
          <w:color w:val="auto"/>
          <w:highlight w:val="none"/>
          <w:u w:val="none"/>
          <w:lang w:val="en-US"/>
        </w:rPr>
        <w:t>目前暂未产生，后续产生后委托有资质单位处理。</w:t>
      </w:r>
    </w:p>
    <w:p w14:paraId="56D54AAE">
      <w:pPr>
        <w:rPr>
          <w:rFonts w:hint="eastAsia"/>
          <w:color w:val="auto"/>
          <w:highlight w:val="none"/>
          <w:u w:val="none"/>
          <w:lang w:val="en-US"/>
        </w:rPr>
      </w:pPr>
      <w:r>
        <w:rPr>
          <w:color w:val="auto"/>
          <w:highlight w:val="none"/>
          <w:u w:val="none"/>
          <w:lang w:val="en-US"/>
        </w:rPr>
        <w:t>EDC精制单元轻组分塔废液（S2）和真空塔废液（S3）属于危险废物，送VCM装置区焚烧炉焚烧；PVC等外品（S5）属于一般固体废物，外卖综合利用</w:t>
      </w:r>
      <w:r>
        <w:rPr>
          <w:rFonts w:hint="eastAsia"/>
          <w:color w:val="auto"/>
          <w:highlight w:val="none"/>
          <w:u w:val="none"/>
          <w:lang w:val="en-US"/>
        </w:rPr>
        <w:t>。</w:t>
      </w:r>
    </w:p>
    <w:p w14:paraId="4F9ED438">
      <w:pPr>
        <w:pStyle w:val="6"/>
        <w:spacing w:before="120" w:after="120"/>
        <w:rPr>
          <w:color w:val="auto"/>
          <w:highlight w:val="none"/>
          <w:u w:val="none"/>
        </w:rPr>
      </w:pPr>
      <w:r>
        <w:rPr>
          <w:rFonts w:hint="eastAsia"/>
          <w:color w:val="auto"/>
          <w:highlight w:val="none"/>
          <w:u w:val="none"/>
        </w:rPr>
        <w:t>污染物排放汇总</w:t>
      </w:r>
    </w:p>
    <w:p w14:paraId="1B404E79">
      <w:pPr>
        <w:rPr>
          <w:rFonts w:hint="eastAsia"/>
          <w:color w:val="auto"/>
          <w:highlight w:val="none"/>
          <w:u w:val="none"/>
        </w:rPr>
      </w:pPr>
      <w:r>
        <w:rPr>
          <w:rFonts w:hint="eastAsia"/>
          <w:lang w:val="en-US"/>
        </w:rPr>
        <w:t>PVC一期项目已于2</w:t>
      </w:r>
      <w:r>
        <w:rPr>
          <w:lang w:val="en-US"/>
        </w:rPr>
        <w:t>02</w:t>
      </w:r>
      <w:r>
        <w:rPr>
          <w:rFonts w:hint="eastAsia"/>
          <w:lang w:val="en-US"/>
        </w:rPr>
        <w:t>4年5月完成竣工环保自主验收，其废气排放量参考2024年全年排污许可执行报告，并按照实际工况折算成满负荷工况，同时根据《万华化学（福建）有限公司泄漏检测与修复（LDAR）第一季度~第四季度总结报告》（2024年）</w:t>
      </w:r>
      <w:r>
        <w:rPr>
          <w:color w:val="auto"/>
          <w:highlight w:val="none"/>
          <w:u w:val="none"/>
        </w:rPr>
        <w:t>。</w:t>
      </w:r>
    </w:p>
    <w:p w14:paraId="75B12A00">
      <w:pPr>
        <w:pStyle w:val="85"/>
        <w:rPr>
          <w:color w:val="auto"/>
          <w:highlight w:val="none"/>
          <w:u w:val="none"/>
        </w:rPr>
      </w:pPr>
      <w:bookmarkStart w:id="184" w:name="_Ref176268720"/>
      <w:bookmarkStart w:id="185" w:name="_Toc148374913"/>
      <w:bookmarkStart w:id="186" w:name="_Toc148374778"/>
      <w:bookmarkStart w:id="187" w:name="_Toc148374471"/>
      <w:r>
        <w:rPr>
          <w:bCs/>
          <w:color w:val="auto"/>
          <w:highlight w:val="none"/>
          <w:u w:val="none"/>
        </w:rPr>
        <w:t>表</w:t>
      </w:r>
      <w:r>
        <w:rPr>
          <w:b w:val="0"/>
          <w:bCs/>
          <w:color w:val="auto"/>
          <w:highlight w:val="none"/>
          <w:u w:val="none"/>
        </w:rPr>
        <w:fldChar w:fldCharType="begin"/>
      </w:r>
      <w:r>
        <w:rPr>
          <w:bCs/>
          <w:color w:val="auto"/>
          <w:highlight w:val="none"/>
          <w:u w:val="none"/>
        </w:rPr>
        <w:instrText xml:space="preserve"> STYLEREF 2 \s </w:instrText>
      </w:r>
      <w:r>
        <w:rPr>
          <w:b w:val="0"/>
          <w:bCs/>
          <w:color w:val="auto"/>
          <w:highlight w:val="none"/>
          <w:u w:val="none"/>
        </w:rPr>
        <w:fldChar w:fldCharType="separate"/>
      </w:r>
      <w:r>
        <w:rPr>
          <w:b w:val="0"/>
          <w:bCs/>
          <w:color w:val="auto"/>
          <w:highlight w:val="none"/>
          <w:u w:val="none"/>
        </w:rPr>
        <w:t>3.5</w:t>
      </w:r>
      <w:r>
        <w:rPr>
          <w:b w:val="0"/>
          <w:bCs/>
          <w:color w:val="auto"/>
          <w:highlight w:val="none"/>
          <w:u w:val="none"/>
        </w:rPr>
        <w:fldChar w:fldCharType="end"/>
      </w:r>
      <w:r>
        <w:rPr>
          <w:bCs/>
          <w:color w:val="auto"/>
          <w:highlight w:val="none"/>
          <w:u w:val="none"/>
        </w:rPr>
        <w:noBreakHyphen/>
      </w:r>
      <w:r>
        <w:rPr>
          <w:b w:val="0"/>
          <w:bCs/>
          <w:color w:val="auto"/>
          <w:highlight w:val="none"/>
          <w:u w:val="none"/>
        </w:rPr>
        <w:fldChar w:fldCharType="begin"/>
      </w:r>
      <w:r>
        <w:rPr>
          <w:bCs/>
          <w:color w:val="auto"/>
          <w:highlight w:val="none"/>
          <w:u w:val="none"/>
        </w:rPr>
        <w:instrText xml:space="preserve"> SEQ 表格 \* ARABIC \s 2 </w:instrText>
      </w:r>
      <w:r>
        <w:rPr>
          <w:b w:val="0"/>
          <w:bCs/>
          <w:color w:val="auto"/>
          <w:highlight w:val="none"/>
          <w:u w:val="none"/>
        </w:rPr>
        <w:fldChar w:fldCharType="separate"/>
      </w:r>
      <w:r>
        <w:rPr>
          <w:bCs/>
          <w:color w:val="auto"/>
          <w:highlight w:val="none"/>
          <w:u w:val="none"/>
        </w:rPr>
        <w:t>9</w:t>
      </w:r>
      <w:r>
        <w:rPr>
          <w:b w:val="0"/>
          <w:bCs/>
          <w:color w:val="auto"/>
          <w:highlight w:val="none"/>
          <w:u w:val="none"/>
        </w:rPr>
        <w:fldChar w:fldCharType="end"/>
      </w:r>
      <w:bookmarkEnd w:id="184"/>
      <w:r>
        <w:rPr>
          <w:color w:val="auto"/>
          <w:highlight w:val="none"/>
          <w:u w:val="none"/>
        </w:rPr>
        <w:t xml:space="preserve">  </w:t>
      </w:r>
      <w:r>
        <w:rPr>
          <w:rFonts w:hint="eastAsia"/>
          <w:color w:val="auto"/>
          <w:highlight w:val="none"/>
          <w:u w:val="none"/>
        </w:rPr>
        <w:t>P</w:t>
      </w:r>
      <w:r>
        <w:rPr>
          <w:color w:val="auto"/>
          <w:highlight w:val="none"/>
          <w:u w:val="none"/>
        </w:rPr>
        <w:t>VC项目主要污染物排放量核算汇总</w:t>
      </w:r>
    </w:p>
    <w:tbl>
      <w:tblPr>
        <w:tblStyle w:val="58"/>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0" w:type="dxa"/>
          <w:bottom w:w="0" w:type="dxa"/>
          <w:right w:w="40" w:type="dxa"/>
        </w:tblCellMar>
      </w:tblPr>
      <w:tblGrid>
        <w:gridCol w:w="1054"/>
        <w:gridCol w:w="4045"/>
        <w:gridCol w:w="1490"/>
        <w:gridCol w:w="2562"/>
      </w:tblGrid>
      <w:tr w14:paraId="71138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blHeader/>
        </w:trPr>
        <w:tc>
          <w:tcPr>
            <w:tcW w:w="576" w:type="pct"/>
            <w:vAlign w:val="center"/>
          </w:tcPr>
          <w:p w14:paraId="28A5307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种类</w:t>
            </w:r>
          </w:p>
        </w:tc>
        <w:tc>
          <w:tcPr>
            <w:tcW w:w="2210" w:type="pct"/>
            <w:vAlign w:val="center"/>
          </w:tcPr>
          <w:p w14:paraId="6440555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污染物名称</w:t>
            </w:r>
          </w:p>
        </w:tc>
        <w:tc>
          <w:tcPr>
            <w:tcW w:w="814" w:type="pct"/>
            <w:vAlign w:val="center"/>
          </w:tcPr>
          <w:p w14:paraId="1317A35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单位</w:t>
            </w:r>
          </w:p>
        </w:tc>
        <w:tc>
          <w:tcPr>
            <w:tcW w:w="1400" w:type="pct"/>
            <w:vAlign w:val="center"/>
          </w:tcPr>
          <w:p w14:paraId="0CE2BA5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排放量</w:t>
            </w:r>
          </w:p>
        </w:tc>
      </w:tr>
      <w:tr w14:paraId="3AE4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restart"/>
            <w:vAlign w:val="center"/>
          </w:tcPr>
          <w:p w14:paraId="14E62D0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废气</w:t>
            </w:r>
          </w:p>
        </w:tc>
        <w:tc>
          <w:tcPr>
            <w:tcW w:w="2210" w:type="pct"/>
            <w:vAlign w:val="center"/>
          </w:tcPr>
          <w:p w14:paraId="5D5B609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废气量</w:t>
            </w:r>
          </w:p>
        </w:tc>
        <w:tc>
          <w:tcPr>
            <w:tcW w:w="814" w:type="pct"/>
            <w:vAlign w:val="center"/>
          </w:tcPr>
          <w:p w14:paraId="1595F11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万m</w:t>
            </w:r>
            <w:r>
              <w:rPr>
                <w:color w:val="auto"/>
                <w:sz w:val="21"/>
                <w:szCs w:val="21"/>
                <w:highlight w:val="none"/>
                <w:u w:val="none"/>
                <w:vertAlign w:val="superscript"/>
              </w:rPr>
              <w:t>3</w:t>
            </w:r>
            <w:r>
              <w:rPr>
                <w:color w:val="auto"/>
                <w:sz w:val="21"/>
                <w:szCs w:val="21"/>
                <w:highlight w:val="none"/>
                <w:u w:val="none"/>
              </w:rPr>
              <w:t>/a</w:t>
            </w:r>
          </w:p>
        </w:tc>
        <w:tc>
          <w:tcPr>
            <w:tcW w:w="1400" w:type="pct"/>
            <w:vAlign w:val="center"/>
          </w:tcPr>
          <w:p w14:paraId="344E4CC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714720</w:t>
            </w:r>
          </w:p>
        </w:tc>
      </w:tr>
      <w:tr w14:paraId="09123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64F1D807">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2CF96D9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SO</w:t>
            </w:r>
            <w:r>
              <w:rPr>
                <w:color w:val="auto"/>
                <w:sz w:val="21"/>
                <w:szCs w:val="21"/>
                <w:highlight w:val="none"/>
                <w:u w:val="none"/>
                <w:vertAlign w:val="subscript"/>
              </w:rPr>
              <w:t>2</w:t>
            </w:r>
          </w:p>
        </w:tc>
        <w:tc>
          <w:tcPr>
            <w:tcW w:w="814" w:type="pct"/>
            <w:vAlign w:val="center"/>
          </w:tcPr>
          <w:p w14:paraId="77EE2D0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0741F9A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9.1</w:t>
            </w:r>
          </w:p>
        </w:tc>
      </w:tr>
      <w:tr w14:paraId="1E3E0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1BAE929D">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133B5BB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NOx</w:t>
            </w:r>
          </w:p>
        </w:tc>
        <w:tc>
          <w:tcPr>
            <w:tcW w:w="814" w:type="pct"/>
            <w:vAlign w:val="center"/>
          </w:tcPr>
          <w:p w14:paraId="673B3F2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66F348D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136.32</w:t>
            </w:r>
          </w:p>
        </w:tc>
      </w:tr>
      <w:tr w14:paraId="3728A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4CECBF09">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31699B4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颗粒物（烟尘）</w:t>
            </w:r>
          </w:p>
        </w:tc>
        <w:tc>
          <w:tcPr>
            <w:tcW w:w="814" w:type="pct"/>
            <w:vAlign w:val="center"/>
          </w:tcPr>
          <w:p w14:paraId="3B76D8E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596C9F5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114.08</w:t>
            </w:r>
          </w:p>
        </w:tc>
      </w:tr>
      <w:tr w14:paraId="3CDFB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2DC72C05">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4CF0857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氯化氢</w:t>
            </w:r>
          </w:p>
        </w:tc>
        <w:tc>
          <w:tcPr>
            <w:tcW w:w="814" w:type="pct"/>
            <w:vAlign w:val="center"/>
          </w:tcPr>
          <w:p w14:paraId="423D3BA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4225BD6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6.74</w:t>
            </w:r>
          </w:p>
        </w:tc>
      </w:tr>
      <w:tr w14:paraId="7D319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6E3F5D26">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0FE56DB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氯乙烯</w:t>
            </w:r>
          </w:p>
        </w:tc>
        <w:tc>
          <w:tcPr>
            <w:tcW w:w="814" w:type="pct"/>
            <w:vAlign w:val="center"/>
          </w:tcPr>
          <w:p w14:paraId="6FB0047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4EA7248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27.30</w:t>
            </w:r>
          </w:p>
        </w:tc>
      </w:tr>
      <w:tr w14:paraId="5268D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71D5012A">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139A8E1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二氯乙烷</w:t>
            </w:r>
          </w:p>
        </w:tc>
        <w:tc>
          <w:tcPr>
            <w:tcW w:w="814" w:type="pct"/>
            <w:vAlign w:val="center"/>
          </w:tcPr>
          <w:p w14:paraId="2B49B62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45DD35E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6</w:t>
            </w:r>
          </w:p>
        </w:tc>
      </w:tr>
      <w:tr w14:paraId="66CBF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1B437F5A">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07796A8D">
            <w:pPr>
              <w:spacing w:line="240" w:lineRule="auto"/>
              <w:ind w:firstLine="0" w:firstLineChars="0"/>
              <w:jc w:val="center"/>
              <w:rPr>
                <w:rFonts w:hint="eastAsia"/>
                <w:color w:val="auto"/>
                <w:sz w:val="21"/>
                <w:szCs w:val="21"/>
                <w:highlight w:val="none"/>
                <w:u w:val="none"/>
                <w:vertAlign w:val="superscript"/>
              </w:rPr>
            </w:pPr>
            <w:r>
              <w:rPr>
                <w:color w:val="auto"/>
                <w:sz w:val="21"/>
                <w:szCs w:val="21"/>
                <w:highlight w:val="none"/>
                <w:u w:val="none"/>
              </w:rPr>
              <w:t>二噁英</w:t>
            </w:r>
          </w:p>
        </w:tc>
        <w:tc>
          <w:tcPr>
            <w:tcW w:w="814" w:type="pct"/>
            <w:vAlign w:val="center"/>
          </w:tcPr>
          <w:p w14:paraId="57F9684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g/a</w:t>
            </w:r>
          </w:p>
        </w:tc>
        <w:tc>
          <w:tcPr>
            <w:tcW w:w="1400" w:type="pct"/>
            <w:vAlign w:val="center"/>
          </w:tcPr>
          <w:p w14:paraId="1623644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0.03g</w:t>
            </w:r>
          </w:p>
        </w:tc>
      </w:tr>
      <w:tr w14:paraId="6F094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3A5E64BF">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524BCF8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非甲烷总烃</w:t>
            </w:r>
          </w:p>
        </w:tc>
        <w:tc>
          <w:tcPr>
            <w:tcW w:w="814" w:type="pct"/>
            <w:vAlign w:val="center"/>
          </w:tcPr>
          <w:p w14:paraId="416617B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04A9540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33.78</w:t>
            </w:r>
          </w:p>
        </w:tc>
      </w:tr>
      <w:tr w14:paraId="7DE23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5183457D">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340DA5F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氯气</w:t>
            </w:r>
          </w:p>
        </w:tc>
        <w:tc>
          <w:tcPr>
            <w:tcW w:w="814" w:type="pct"/>
            <w:vAlign w:val="center"/>
          </w:tcPr>
          <w:p w14:paraId="0AA4377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58EFAD8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w:t>
            </w:r>
            <w:r>
              <w:rPr>
                <w:color w:val="auto"/>
                <w:sz w:val="21"/>
                <w:szCs w:val="21"/>
                <w:highlight w:val="none"/>
                <w:u w:val="none"/>
              </w:rPr>
              <w:t>.04</w:t>
            </w:r>
          </w:p>
        </w:tc>
      </w:tr>
      <w:tr w14:paraId="4B457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restart"/>
            <w:vAlign w:val="center"/>
          </w:tcPr>
          <w:p w14:paraId="6AD96B78">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废水</w:t>
            </w:r>
            <w:r>
              <w:rPr>
                <w:rFonts w:hint="eastAsia"/>
                <w:color w:val="auto"/>
                <w:sz w:val="21"/>
                <w:szCs w:val="21"/>
                <w:highlight w:val="none"/>
                <w:u w:val="none"/>
                <w:lang w:val="en-US"/>
              </w:rPr>
              <w:t>*</w:t>
            </w:r>
          </w:p>
        </w:tc>
        <w:tc>
          <w:tcPr>
            <w:tcW w:w="2210" w:type="pct"/>
            <w:vAlign w:val="center"/>
          </w:tcPr>
          <w:p w14:paraId="31FCD2B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水量</w:t>
            </w:r>
          </w:p>
        </w:tc>
        <w:tc>
          <w:tcPr>
            <w:tcW w:w="814" w:type="pct"/>
            <w:vAlign w:val="center"/>
          </w:tcPr>
          <w:p w14:paraId="4B2C23D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776726B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1280000</w:t>
            </w:r>
          </w:p>
        </w:tc>
      </w:tr>
      <w:tr w14:paraId="06181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42BC77AC">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5347D13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COD</w:t>
            </w:r>
          </w:p>
        </w:tc>
        <w:tc>
          <w:tcPr>
            <w:tcW w:w="814" w:type="pct"/>
            <w:vAlign w:val="center"/>
          </w:tcPr>
          <w:p w14:paraId="0531C24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60F730C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64</w:t>
            </w:r>
          </w:p>
        </w:tc>
      </w:tr>
      <w:tr w14:paraId="63278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644B2FA5">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336FAC7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氨氮</w:t>
            </w:r>
          </w:p>
        </w:tc>
        <w:tc>
          <w:tcPr>
            <w:tcW w:w="814" w:type="pct"/>
            <w:vAlign w:val="center"/>
          </w:tcPr>
          <w:p w14:paraId="5E388E7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3ABF979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3.52</w:t>
            </w:r>
          </w:p>
        </w:tc>
      </w:tr>
      <w:tr w14:paraId="47A47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7F55E005">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1C80190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BOD</w:t>
            </w:r>
            <w:r>
              <w:rPr>
                <w:color w:val="auto"/>
                <w:sz w:val="21"/>
                <w:szCs w:val="21"/>
                <w:highlight w:val="none"/>
                <w:u w:val="none"/>
                <w:vertAlign w:val="subscript"/>
              </w:rPr>
              <w:t>5</w:t>
            </w:r>
          </w:p>
        </w:tc>
        <w:tc>
          <w:tcPr>
            <w:tcW w:w="814" w:type="pct"/>
            <w:vAlign w:val="center"/>
          </w:tcPr>
          <w:p w14:paraId="794DDDA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3B3DA9B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12.8</w:t>
            </w:r>
          </w:p>
        </w:tc>
      </w:tr>
      <w:tr w14:paraId="7F8C8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0B20989D">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7C8B79D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SS</w:t>
            </w:r>
          </w:p>
        </w:tc>
        <w:tc>
          <w:tcPr>
            <w:tcW w:w="814" w:type="pct"/>
            <w:vAlign w:val="center"/>
          </w:tcPr>
          <w:p w14:paraId="0DCE909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488DB60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12.8</w:t>
            </w:r>
          </w:p>
        </w:tc>
      </w:tr>
      <w:tr w14:paraId="6DC39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4CB1F2CF">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61BCC93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氯乙烯</w:t>
            </w:r>
          </w:p>
        </w:tc>
        <w:tc>
          <w:tcPr>
            <w:tcW w:w="814" w:type="pct"/>
            <w:vAlign w:val="center"/>
          </w:tcPr>
          <w:p w14:paraId="227F160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007D9B8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0.0288</w:t>
            </w:r>
          </w:p>
        </w:tc>
      </w:tr>
      <w:tr w14:paraId="79CDF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03D9249B">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3C5DFCB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二氯乙烷</w:t>
            </w:r>
          </w:p>
        </w:tc>
        <w:tc>
          <w:tcPr>
            <w:tcW w:w="814" w:type="pct"/>
            <w:vAlign w:val="center"/>
          </w:tcPr>
          <w:p w14:paraId="7CB3D67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1A38382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0.1728</w:t>
            </w:r>
          </w:p>
        </w:tc>
      </w:tr>
      <w:tr w14:paraId="6A8C1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0" w:type="dxa"/>
            <w:bottom w:w="0" w:type="dxa"/>
            <w:right w:w="40" w:type="dxa"/>
          </w:tblCellMar>
        </w:tblPrEx>
        <w:trPr>
          <w:trHeight w:val="340" w:hRule="atLeast"/>
        </w:trPr>
        <w:tc>
          <w:tcPr>
            <w:tcW w:w="576" w:type="pct"/>
            <w:vMerge w:val="continue"/>
            <w:vAlign w:val="center"/>
          </w:tcPr>
          <w:p w14:paraId="6EB54D92">
            <w:pPr>
              <w:tabs>
                <w:tab w:val="left" w:pos="0"/>
              </w:tabs>
              <w:spacing w:line="240" w:lineRule="auto"/>
              <w:ind w:firstLine="0" w:firstLineChars="0"/>
              <w:jc w:val="center"/>
              <w:rPr>
                <w:rFonts w:hint="eastAsia"/>
                <w:color w:val="auto"/>
                <w:sz w:val="21"/>
                <w:szCs w:val="21"/>
                <w:highlight w:val="none"/>
                <w:u w:val="none"/>
              </w:rPr>
            </w:pPr>
          </w:p>
        </w:tc>
        <w:tc>
          <w:tcPr>
            <w:tcW w:w="2210" w:type="pct"/>
            <w:vAlign w:val="center"/>
          </w:tcPr>
          <w:p w14:paraId="3C6DDC5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总铜</w:t>
            </w:r>
          </w:p>
        </w:tc>
        <w:tc>
          <w:tcPr>
            <w:tcW w:w="814" w:type="pct"/>
            <w:vAlign w:val="center"/>
          </w:tcPr>
          <w:p w14:paraId="5DAACAA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400" w:type="pct"/>
            <w:vAlign w:val="center"/>
          </w:tcPr>
          <w:p w14:paraId="7C2D225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0.288</w:t>
            </w:r>
          </w:p>
        </w:tc>
      </w:tr>
    </w:tbl>
    <w:p w14:paraId="1C764BED">
      <w:pPr>
        <w:pStyle w:val="1012"/>
        <w:ind w:firstLine="422"/>
        <w:rPr>
          <w:rFonts w:hint="eastAsia"/>
          <w:color w:val="auto"/>
          <w:highlight w:val="none"/>
          <w:u w:val="none"/>
          <w:lang w:val="en-US"/>
        </w:rPr>
      </w:pPr>
      <w:r>
        <w:rPr>
          <w:rFonts w:hint="eastAsia"/>
          <w:b/>
          <w:bCs/>
          <w:color w:val="auto"/>
          <w:sz w:val="21"/>
          <w:szCs w:val="21"/>
          <w:highlight w:val="none"/>
          <w:u w:val="none"/>
          <w:lang w:val="en-US"/>
        </w:rPr>
        <w:t>*注：废水为进入万华环保科技公司废水处理系统的排放量。</w:t>
      </w:r>
    </w:p>
    <w:p w14:paraId="014B9107">
      <w:pPr>
        <w:pStyle w:val="4"/>
        <w:spacing w:before="120" w:after="120"/>
        <w:rPr>
          <w:color w:val="auto"/>
          <w:highlight w:val="none"/>
          <w:u w:val="none"/>
        </w:rPr>
      </w:pPr>
      <w:bookmarkStart w:id="188" w:name="_Toc12116"/>
      <w:r>
        <w:rPr>
          <w:rFonts w:hint="eastAsia"/>
          <w:color w:val="auto"/>
          <w:highlight w:val="none"/>
          <w:u w:val="none"/>
        </w:rPr>
        <w:t>年产</w:t>
      </w:r>
      <w:r>
        <w:rPr>
          <w:rFonts w:ascii="Times New Roman" w:hAnsi="Times New Roman"/>
          <w:color w:val="auto"/>
          <w:highlight w:val="none"/>
          <w:u w:val="none"/>
        </w:rPr>
        <w:t>108</w:t>
      </w:r>
      <w:r>
        <w:rPr>
          <w:rFonts w:hint="eastAsia" w:ascii="宋体" w:hAnsi="宋体" w:eastAsia="宋体" w:cs="宋体"/>
          <w:color w:val="auto"/>
          <w:highlight w:val="none"/>
          <w:u w:val="none"/>
        </w:rPr>
        <w:t>万吨苯胺项目</w:t>
      </w:r>
      <w:bookmarkEnd w:id="185"/>
      <w:bookmarkEnd w:id="186"/>
      <w:bookmarkEnd w:id="187"/>
      <w:bookmarkEnd w:id="188"/>
    </w:p>
    <w:p w14:paraId="4B07696C">
      <w:pPr>
        <w:pStyle w:val="6"/>
        <w:spacing w:before="120" w:after="120"/>
        <w:rPr>
          <w:color w:val="auto"/>
          <w:highlight w:val="none"/>
          <w:u w:val="none"/>
        </w:rPr>
      </w:pPr>
      <w:bookmarkStart w:id="189" w:name="_Toc148374914"/>
      <w:bookmarkStart w:id="190" w:name="_Toc148374472"/>
      <w:r>
        <w:rPr>
          <w:color w:val="auto"/>
          <w:highlight w:val="none"/>
          <w:u w:val="none"/>
        </w:rPr>
        <w:t>工程组成</w:t>
      </w:r>
      <w:bookmarkEnd w:id="189"/>
      <w:bookmarkEnd w:id="190"/>
    </w:p>
    <w:p w14:paraId="766430B2">
      <w:pPr>
        <w:rPr>
          <w:rFonts w:hint="eastAsia"/>
          <w:color w:val="auto"/>
          <w:highlight w:val="none"/>
          <w:u w:val="none"/>
        </w:rPr>
      </w:pPr>
      <w:r>
        <w:rPr>
          <w:rFonts w:hint="eastAsia"/>
          <w:color w:val="auto"/>
          <w:highlight w:val="none"/>
          <w:u w:val="none"/>
        </w:rPr>
        <w:t>年产1</w:t>
      </w:r>
      <w:r>
        <w:rPr>
          <w:color w:val="auto"/>
          <w:highlight w:val="none"/>
          <w:u w:val="none"/>
        </w:rPr>
        <w:t>08万吨苯胺项目分三期建设</w:t>
      </w:r>
      <w:r>
        <w:rPr>
          <w:rFonts w:hint="eastAsia"/>
          <w:color w:val="auto"/>
          <w:highlight w:val="none"/>
          <w:u w:val="none"/>
        </w:rPr>
        <w:t>。一期建设</w:t>
      </w:r>
      <w:r>
        <w:rPr>
          <w:color w:val="auto"/>
          <w:highlight w:val="none"/>
          <w:u w:val="none"/>
        </w:rPr>
        <w:t>2</w:t>
      </w:r>
      <w:r>
        <w:rPr>
          <w:rFonts w:hint="eastAsia"/>
          <w:color w:val="auto"/>
          <w:highlight w:val="none"/>
          <w:u w:val="none"/>
        </w:rPr>
        <w:t>套</w:t>
      </w:r>
      <w:r>
        <w:rPr>
          <w:color w:val="auto"/>
          <w:highlight w:val="none"/>
          <w:u w:val="none"/>
        </w:rPr>
        <w:t>36</w:t>
      </w:r>
      <w:r>
        <w:rPr>
          <w:rFonts w:hint="eastAsia"/>
          <w:color w:val="auto"/>
          <w:highlight w:val="none"/>
          <w:u w:val="none"/>
        </w:rPr>
        <w:t>万吨</w:t>
      </w:r>
      <w:r>
        <w:rPr>
          <w:color w:val="auto"/>
          <w:highlight w:val="none"/>
          <w:u w:val="none"/>
        </w:rPr>
        <w:t>/</w:t>
      </w:r>
      <w:r>
        <w:rPr>
          <w:rFonts w:hint="eastAsia"/>
          <w:color w:val="auto"/>
          <w:highlight w:val="none"/>
          <w:u w:val="none"/>
        </w:rPr>
        <w:t>年硝酸、</w:t>
      </w:r>
      <w:r>
        <w:rPr>
          <w:color w:val="auto"/>
          <w:highlight w:val="none"/>
          <w:u w:val="none"/>
        </w:rPr>
        <w:t>1</w:t>
      </w:r>
      <w:r>
        <w:rPr>
          <w:rFonts w:hint="eastAsia"/>
          <w:color w:val="auto"/>
          <w:highlight w:val="none"/>
          <w:u w:val="none"/>
        </w:rPr>
        <w:t>套</w:t>
      </w:r>
      <w:r>
        <w:rPr>
          <w:color w:val="auto"/>
          <w:highlight w:val="none"/>
          <w:u w:val="none"/>
        </w:rPr>
        <w:t>48</w:t>
      </w:r>
      <w:r>
        <w:rPr>
          <w:rFonts w:hint="eastAsia"/>
          <w:color w:val="auto"/>
          <w:highlight w:val="none"/>
          <w:u w:val="none"/>
        </w:rPr>
        <w:t>万吨</w:t>
      </w:r>
      <w:r>
        <w:rPr>
          <w:color w:val="auto"/>
          <w:highlight w:val="none"/>
          <w:u w:val="none"/>
        </w:rPr>
        <w:t>/</w:t>
      </w:r>
      <w:r>
        <w:rPr>
          <w:rFonts w:hint="eastAsia"/>
          <w:color w:val="auto"/>
          <w:highlight w:val="none"/>
          <w:u w:val="none"/>
        </w:rPr>
        <w:t>年硝基苯、</w:t>
      </w:r>
      <w:r>
        <w:rPr>
          <w:color w:val="auto"/>
          <w:highlight w:val="none"/>
          <w:u w:val="none"/>
        </w:rPr>
        <w:t>1</w:t>
      </w:r>
      <w:r>
        <w:rPr>
          <w:rFonts w:hint="eastAsia"/>
          <w:color w:val="auto"/>
          <w:highlight w:val="none"/>
          <w:u w:val="none"/>
        </w:rPr>
        <w:t>套</w:t>
      </w:r>
      <w:r>
        <w:rPr>
          <w:color w:val="auto"/>
          <w:highlight w:val="none"/>
          <w:u w:val="none"/>
        </w:rPr>
        <w:t>36</w:t>
      </w:r>
      <w:r>
        <w:rPr>
          <w:rFonts w:hint="eastAsia"/>
          <w:color w:val="auto"/>
          <w:highlight w:val="none"/>
          <w:u w:val="none"/>
        </w:rPr>
        <w:t>万吨</w:t>
      </w:r>
      <w:r>
        <w:rPr>
          <w:color w:val="auto"/>
          <w:highlight w:val="none"/>
          <w:u w:val="none"/>
        </w:rPr>
        <w:t>/</w:t>
      </w:r>
      <w:r>
        <w:rPr>
          <w:rFonts w:hint="eastAsia"/>
          <w:color w:val="auto"/>
          <w:highlight w:val="none"/>
          <w:u w:val="none"/>
        </w:rPr>
        <w:t>年苯胺装置；二期新建</w:t>
      </w:r>
      <w:r>
        <w:rPr>
          <w:color w:val="auto"/>
          <w:highlight w:val="none"/>
          <w:u w:val="none"/>
        </w:rPr>
        <w:t>1</w:t>
      </w:r>
      <w:r>
        <w:rPr>
          <w:rFonts w:hint="eastAsia"/>
          <w:color w:val="auto"/>
          <w:highlight w:val="none"/>
          <w:u w:val="none"/>
        </w:rPr>
        <w:t>套</w:t>
      </w:r>
      <w:r>
        <w:rPr>
          <w:color w:val="auto"/>
          <w:highlight w:val="none"/>
          <w:u w:val="none"/>
        </w:rPr>
        <w:t>48</w:t>
      </w:r>
      <w:r>
        <w:rPr>
          <w:rFonts w:hint="eastAsia"/>
          <w:color w:val="auto"/>
          <w:highlight w:val="none"/>
          <w:u w:val="none"/>
        </w:rPr>
        <w:t>万吨</w:t>
      </w:r>
      <w:r>
        <w:rPr>
          <w:color w:val="auto"/>
          <w:highlight w:val="none"/>
          <w:u w:val="none"/>
        </w:rPr>
        <w:t>/</w:t>
      </w:r>
      <w:r>
        <w:rPr>
          <w:rFonts w:hint="eastAsia"/>
          <w:color w:val="auto"/>
          <w:highlight w:val="none"/>
          <w:u w:val="none"/>
        </w:rPr>
        <w:t>年硝基苯、</w:t>
      </w:r>
      <w:r>
        <w:rPr>
          <w:color w:val="auto"/>
          <w:highlight w:val="none"/>
          <w:u w:val="none"/>
        </w:rPr>
        <w:t>1</w:t>
      </w:r>
      <w:r>
        <w:rPr>
          <w:rFonts w:hint="eastAsia"/>
          <w:color w:val="auto"/>
          <w:highlight w:val="none"/>
          <w:u w:val="none"/>
        </w:rPr>
        <w:t>套</w:t>
      </w:r>
      <w:r>
        <w:rPr>
          <w:color w:val="auto"/>
          <w:highlight w:val="none"/>
          <w:u w:val="none"/>
        </w:rPr>
        <w:t>36</w:t>
      </w:r>
      <w:r>
        <w:rPr>
          <w:rFonts w:hint="eastAsia"/>
          <w:color w:val="auto"/>
          <w:highlight w:val="none"/>
          <w:u w:val="none"/>
        </w:rPr>
        <w:t>万吨</w:t>
      </w:r>
      <w:r>
        <w:rPr>
          <w:color w:val="auto"/>
          <w:highlight w:val="none"/>
          <w:u w:val="none"/>
        </w:rPr>
        <w:t>/</w:t>
      </w:r>
      <w:r>
        <w:rPr>
          <w:rFonts w:hint="eastAsia"/>
          <w:color w:val="auto"/>
          <w:highlight w:val="none"/>
          <w:u w:val="none"/>
        </w:rPr>
        <w:t>年苯胺装置；三期再新建</w:t>
      </w:r>
      <w:r>
        <w:rPr>
          <w:color w:val="auto"/>
          <w:highlight w:val="none"/>
          <w:u w:val="none"/>
        </w:rPr>
        <w:t>1</w:t>
      </w:r>
      <w:r>
        <w:rPr>
          <w:rFonts w:hint="eastAsia"/>
          <w:color w:val="auto"/>
          <w:highlight w:val="none"/>
          <w:u w:val="none"/>
        </w:rPr>
        <w:t>套</w:t>
      </w:r>
      <w:r>
        <w:rPr>
          <w:color w:val="auto"/>
          <w:highlight w:val="none"/>
          <w:u w:val="none"/>
        </w:rPr>
        <w:t>36</w:t>
      </w:r>
      <w:r>
        <w:rPr>
          <w:rFonts w:hint="eastAsia"/>
          <w:color w:val="auto"/>
          <w:highlight w:val="none"/>
          <w:u w:val="none"/>
        </w:rPr>
        <w:t>万吨</w:t>
      </w:r>
      <w:r>
        <w:rPr>
          <w:color w:val="auto"/>
          <w:highlight w:val="none"/>
          <w:u w:val="none"/>
        </w:rPr>
        <w:t>/</w:t>
      </w:r>
      <w:r>
        <w:rPr>
          <w:rFonts w:hint="eastAsia"/>
          <w:color w:val="auto"/>
          <w:highlight w:val="none"/>
          <w:u w:val="none"/>
        </w:rPr>
        <w:t>年硝酸、</w:t>
      </w:r>
      <w:r>
        <w:rPr>
          <w:color w:val="auto"/>
          <w:highlight w:val="none"/>
          <w:u w:val="none"/>
        </w:rPr>
        <w:t>1</w:t>
      </w:r>
      <w:r>
        <w:rPr>
          <w:rFonts w:hint="eastAsia"/>
          <w:color w:val="auto"/>
          <w:highlight w:val="none"/>
          <w:u w:val="none"/>
        </w:rPr>
        <w:t>套</w:t>
      </w:r>
      <w:r>
        <w:rPr>
          <w:color w:val="auto"/>
          <w:highlight w:val="none"/>
          <w:u w:val="none"/>
        </w:rPr>
        <w:t>48</w:t>
      </w:r>
      <w:r>
        <w:rPr>
          <w:rFonts w:hint="eastAsia"/>
          <w:color w:val="auto"/>
          <w:highlight w:val="none"/>
          <w:u w:val="none"/>
        </w:rPr>
        <w:t>万吨</w:t>
      </w:r>
      <w:r>
        <w:rPr>
          <w:color w:val="auto"/>
          <w:highlight w:val="none"/>
          <w:u w:val="none"/>
        </w:rPr>
        <w:t>/</w:t>
      </w:r>
      <w:r>
        <w:rPr>
          <w:rFonts w:hint="eastAsia"/>
          <w:color w:val="auto"/>
          <w:highlight w:val="none"/>
          <w:u w:val="none"/>
        </w:rPr>
        <w:t>年硝基苯、</w:t>
      </w:r>
      <w:r>
        <w:rPr>
          <w:color w:val="auto"/>
          <w:highlight w:val="none"/>
          <w:u w:val="none"/>
        </w:rPr>
        <w:t>1</w:t>
      </w:r>
      <w:r>
        <w:rPr>
          <w:rFonts w:hint="eastAsia"/>
          <w:color w:val="auto"/>
          <w:highlight w:val="none"/>
          <w:u w:val="none"/>
        </w:rPr>
        <w:t>套</w:t>
      </w:r>
      <w:r>
        <w:rPr>
          <w:color w:val="auto"/>
          <w:highlight w:val="none"/>
          <w:u w:val="none"/>
        </w:rPr>
        <w:t>36</w:t>
      </w:r>
      <w:r>
        <w:rPr>
          <w:rFonts w:hint="eastAsia"/>
          <w:color w:val="auto"/>
          <w:highlight w:val="none"/>
          <w:u w:val="none"/>
        </w:rPr>
        <w:t>万吨</w:t>
      </w:r>
      <w:r>
        <w:rPr>
          <w:color w:val="auto"/>
          <w:highlight w:val="none"/>
          <w:u w:val="none"/>
        </w:rPr>
        <w:t>/</w:t>
      </w:r>
      <w:r>
        <w:rPr>
          <w:rFonts w:hint="eastAsia"/>
          <w:color w:val="auto"/>
          <w:highlight w:val="none"/>
          <w:u w:val="none"/>
        </w:rPr>
        <w:t>年苯胺装置。</w:t>
      </w:r>
    </w:p>
    <w:p w14:paraId="7CAD0782">
      <w:pPr>
        <w:rPr>
          <w:rFonts w:hint="eastAsia"/>
          <w:color w:val="auto"/>
          <w:highlight w:val="none"/>
          <w:u w:val="none"/>
        </w:rPr>
      </w:pPr>
      <w:r>
        <w:rPr>
          <w:rFonts w:hint="eastAsia"/>
          <w:color w:val="auto"/>
          <w:highlight w:val="none"/>
          <w:u w:val="none"/>
        </w:rPr>
        <w:t>万华福建公司年产108万吨苯胺项目环境影响评价报告于2022年1月1</w:t>
      </w:r>
      <w:r>
        <w:rPr>
          <w:rFonts w:hint="eastAsia"/>
          <w:color w:val="auto"/>
          <w:highlight w:val="none"/>
          <w:u w:val="none"/>
          <w:lang w:val="en-US"/>
        </w:rPr>
        <w:t>4</w:t>
      </w:r>
      <w:r>
        <w:rPr>
          <w:rFonts w:hint="eastAsia"/>
          <w:color w:val="auto"/>
          <w:highlight w:val="none"/>
          <w:u w:val="none"/>
        </w:rPr>
        <w:t>日由福州市</w:t>
      </w:r>
      <w:r>
        <w:rPr>
          <w:rFonts w:hint="eastAsia"/>
          <w:color w:val="auto"/>
          <w:highlight w:val="none"/>
          <w:u w:val="none"/>
          <w:lang w:val="en-US"/>
        </w:rPr>
        <w:t>福清</w:t>
      </w:r>
      <w:r>
        <w:rPr>
          <w:rFonts w:hint="eastAsia"/>
          <w:color w:val="auto"/>
          <w:highlight w:val="none"/>
          <w:u w:val="none"/>
        </w:rPr>
        <w:t>生态环境局以“</w:t>
      </w:r>
      <w:r>
        <w:rPr>
          <w:rFonts w:hint="eastAsia"/>
          <w:color w:val="auto"/>
          <w:highlight w:val="none"/>
          <w:u w:val="none"/>
          <w:lang w:val="en-US"/>
        </w:rPr>
        <w:t>榕融环评〔2022〕8号</w:t>
      </w:r>
      <w:r>
        <w:rPr>
          <w:rFonts w:hint="eastAsia"/>
          <w:color w:val="auto"/>
          <w:highlight w:val="none"/>
          <w:u w:val="none"/>
        </w:rPr>
        <w:t>”文进行批复（见附件1</w:t>
      </w:r>
      <w:r>
        <w:rPr>
          <w:rFonts w:hint="eastAsia"/>
          <w:color w:val="auto"/>
          <w:highlight w:val="none"/>
          <w:u w:val="none"/>
          <w:lang w:val="en-US"/>
        </w:rPr>
        <w:t>7</w:t>
      </w:r>
      <w:r>
        <w:rPr>
          <w:rFonts w:hint="eastAsia"/>
          <w:color w:val="auto"/>
          <w:highlight w:val="none"/>
          <w:u w:val="none"/>
        </w:rPr>
        <w:t>）。工程于202</w:t>
      </w:r>
      <w:r>
        <w:rPr>
          <w:rFonts w:hint="eastAsia"/>
          <w:color w:val="auto"/>
          <w:highlight w:val="none"/>
          <w:u w:val="none"/>
          <w:lang w:val="en-US"/>
        </w:rPr>
        <w:t>4</w:t>
      </w:r>
      <w:r>
        <w:rPr>
          <w:rFonts w:hint="eastAsia"/>
          <w:color w:val="auto"/>
          <w:highlight w:val="none"/>
          <w:u w:val="none"/>
        </w:rPr>
        <w:t>年</w:t>
      </w:r>
      <w:r>
        <w:rPr>
          <w:rFonts w:hint="eastAsia"/>
          <w:color w:val="auto"/>
          <w:highlight w:val="none"/>
          <w:u w:val="none"/>
          <w:lang w:val="en-US"/>
        </w:rPr>
        <w:t>4</w:t>
      </w:r>
      <w:r>
        <w:rPr>
          <w:rFonts w:hint="eastAsia"/>
          <w:color w:val="auto"/>
          <w:highlight w:val="none"/>
          <w:u w:val="none"/>
        </w:rPr>
        <w:t>月</w:t>
      </w:r>
      <w:bookmarkStart w:id="191" w:name="_Hlk175156499"/>
      <w:r>
        <w:rPr>
          <w:rFonts w:hint="eastAsia"/>
          <w:color w:val="auto"/>
          <w:highlight w:val="none"/>
          <w:u w:val="none"/>
          <w:lang w:val="en-US"/>
        </w:rPr>
        <w:t>完成阶段性竣工环保自主验收</w:t>
      </w:r>
      <w:bookmarkEnd w:id="191"/>
      <w:r>
        <w:rPr>
          <w:rFonts w:hint="eastAsia"/>
          <w:color w:val="auto"/>
          <w:highlight w:val="none"/>
          <w:u w:val="none"/>
        </w:rPr>
        <w:t>（一期工程），二期工程正在建设。</w:t>
      </w:r>
    </w:p>
    <w:p w14:paraId="15060755">
      <w:pPr>
        <w:rPr>
          <w:rFonts w:hint="eastAsia"/>
          <w:color w:val="auto"/>
          <w:highlight w:val="none"/>
          <w:u w:val="none"/>
        </w:rPr>
        <w:sectPr>
          <w:footerReference r:id="rId20" w:type="default"/>
          <w:pgSz w:w="11907" w:h="16840"/>
          <w:pgMar w:top="1418" w:right="1418" w:bottom="1418" w:left="1418" w:header="851" w:footer="992" w:gutter="0"/>
          <w:paperSrc w:first="15" w:other="15"/>
          <w:cols w:space="720" w:num="1"/>
          <w:docGrid w:linePitch="389" w:charSpace="0"/>
        </w:sectPr>
      </w:pPr>
    </w:p>
    <w:p w14:paraId="1ACF470A">
      <w:pPr>
        <w:pStyle w:val="6"/>
        <w:spacing w:before="120" w:after="120"/>
        <w:rPr>
          <w:color w:val="auto"/>
          <w:highlight w:val="none"/>
          <w:u w:val="none"/>
        </w:rPr>
      </w:pPr>
      <w:r>
        <w:rPr>
          <w:rFonts w:hint="eastAsia"/>
          <w:color w:val="auto"/>
          <w:highlight w:val="none"/>
          <w:u w:val="none"/>
          <w:lang w:val="en-US"/>
        </w:rPr>
        <w:t>产品方案及生产工艺</w:t>
      </w:r>
    </w:p>
    <w:p w14:paraId="198E7C26">
      <w:pPr>
        <w:rPr>
          <w:rFonts w:hint="eastAsia"/>
          <w:color w:val="auto"/>
          <w:highlight w:val="none"/>
          <w:u w:val="none"/>
          <w:lang w:val="en-US"/>
        </w:rPr>
      </w:pPr>
      <w:r>
        <w:rPr>
          <w:rFonts w:hint="eastAsia"/>
        </w:rPr>
        <w:t>涉密删除</w:t>
      </w:r>
      <w:r>
        <w:rPr>
          <w:rFonts w:hint="eastAsia"/>
          <w:color w:val="auto"/>
          <w:highlight w:val="none"/>
          <w:u w:val="none"/>
          <w:lang w:val="en-US"/>
        </w:rPr>
        <w:t>。</w:t>
      </w:r>
    </w:p>
    <w:p w14:paraId="0A3D6B24">
      <w:pPr>
        <w:pStyle w:val="6"/>
        <w:spacing w:before="156" w:after="156"/>
        <w:rPr>
          <w:color w:val="auto"/>
          <w:highlight w:val="none"/>
          <w:u w:val="none"/>
        </w:rPr>
      </w:pPr>
      <w:bookmarkStart w:id="192" w:name="_Toc148374917"/>
      <w:bookmarkStart w:id="193" w:name="_Toc148374475"/>
      <w:r>
        <w:rPr>
          <w:rFonts w:hint="eastAsia"/>
          <w:color w:val="auto"/>
          <w:highlight w:val="none"/>
          <w:u w:val="none"/>
          <w:lang w:val="en-US"/>
        </w:rPr>
        <w:t>现有工程污染防治措施</w:t>
      </w:r>
      <w:bookmarkEnd w:id="192"/>
      <w:bookmarkEnd w:id="193"/>
    </w:p>
    <w:p w14:paraId="7143F36E">
      <w:pPr>
        <w:pStyle w:val="7"/>
        <w:spacing w:before="156"/>
        <w:rPr>
          <w:color w:val="auto"/>
          <w:highlight w:val="none"/>
          <w:u w:val="none"/>
        </w:rPr>
      </w:pPr>
      <w:r>
        <w:rPr>
          <w:rFonts w:hint="eastAsia"/>
          <w:color w:val="auto"/>
          <w:highlight w:val="none"/>
          <w:u w:val="none"/>
          <w:lang w:val="en-US"/>
        </w:rPr>
        <w:t>废气</w:t>
      </w:r>
    </w:p>
    <w:p w14:paraId="56DEBB5F">
      <w:pPr>
        <w:rPr>
          <w:rFonts w:hint="eastAsia"/>
          <w:color w:val="auto"/>
          <w:highlight w:val="none"/>
          <w:u w:val="none"/>
        </w:rPr>
      </w:pPr>
      <w:r>
        <w:rPr>
          <w:rFonts w:hint="eastAsia"/>
          <w:color w:val="auto"/>
          <w:highlight w:val="none"/>
          <w:u w:val="none"/>
          <w:lang w:val="en-US"/>
        </w:rPr>
        <w:t>（1）硝酸装置尾气</w:t>
      </w:r>
    </w:p>
    <w:p w14:paraId="39C70175">
      <w:pPr>
        <w:rPr>
          <w:rFonts w:hint="eastAsia"/>
          <w:color w:val="auto"/>
          <w:highlight w:val="none"/>
          <w:u w:val="none"/>
          <w:lang w:val="en-US"/>
        </w:rPr>
      </w:pPr>
      <w:r>
        <w:rPr>
          <w:rFonts w:hint="eastAsia"/>
          <w:color w:val="auto"/>
          <w:highlight w:val="none"/>
          <w:u w:val="none"/>
          <w:lang w:val="en-US"/>
        </w:rPr>
        <w:t>一期工程建设2套硝酸装置，硝酸装置的有组织废气主要为</w:t>
      </w:r>
      <w:r>
        <w:rPr>
          <w:rFonts w:hint="eastAsia"/>
          <w:color w:val="auto"/>
          <w:highlight w:val="none"/>
          <w:u w:val="none"/>
        </w:rPr>
        <w:t>吸收塔顶出来的尾气，其被加热至360℃并经</w:t>
      </w:r>
      <w:r>
        <w:rPr>
          <w:rFonts w:hint="eastAsia"/>
          <w:color w:val="auto"/>
          <w:highlight w:val="none"/>
          <w:u w:val="none"/>
          <w:lang w:val="en-US"/>
        </w:rPr>
        <w:t>装置内氨</w:t>
      </w:r>
      <w:r>
        <w:rPr>
          <w:rFonts w:hint="eastAsia"/>
          <w:color w:val="auto"/>
          <w:highlight w:val="none"/>
          <w:u w:val="none"/>
        </w:rPr>
        <w:t>还原反应器处理后，通过</w:t>
      </w:r>
      <w:r>
        <w:rPr>
          <w:rFonts w:hint="eastAsia"/>
          <w:color w:val="auto"/>
          <w:highlight w:val="none"/>
          <w:u w:val="none"/>
          <w:lang w:val="en-US"/>
        </w:rPr>
        <w:t>76m高的排气筒排放（2套装置各设置1根排气筒，排气筒编号分别为DA</w:t>
      </w:r>
      <w:r>
        <w:rPr>
          <w:color w:val="auto"/>
          <w:highlight w:val="none"/>
          <w:u w:val="none"/>
          <w:lang w:val="en-US"/>
        </w:rPr>
        <w:t>018</w:t>
      </w:r>
      <w:r>
        <w:rPr>
          <w:rFonts w:hint="eastAsia"/>
          <w:color w:val="auto"/>
          <w:highlight w:val="none"/>
          <w:u w:val="none"/>
          <w:lang w:val="en-US"/>
        </w:rPr>
        <w:t>、DA</w:t>
      </w:r>
      <w:r>
        <w:rPr>
          <w:color w:val="auto"/>
          <w:highlight w:val="none"/>
          <w:u w:val="none"/>
          <w:lang w:val="en-US"/>
        </w:rPr>
        <w:t>019</w:t>
      </w:r>
      <w:r>
        <w:rPr>
          <w:rFonts w:hint="eastAsia"/>
          <w:color w:val="auto"/>
          <w:highlight w:val="none"/>
          <w:u w:val="none"/>
          <w:lang w:val="en-US"/>
        </w:rPr>
        <w:t>），主要污染物为</w:t>
      </w:r>
      <w:r>
        <w:rPr>
          <w:rFonts w:hint="eastAsia"/>
          <w:color w:val="auto"/>
          <w:highlight w:val="none"/>
          <w:u w:val="none"/>
        </w:rPr>
        <w:t>NOx、</w:t>
      </w:r>
      <w:r>
        <w:rPr>
          <w:bCs/>
          <w:color w:val="auto"/>
          <w:highlight w:val="none"/>
          <w:u w:val="none"/>
        </w:rPr>
        <w:t>NH</w:t>
      </w:r>
      <w:r>
        <w:rPr>
          <w:bCs/>
          <w:color w:val="auto"/>
          <w:highlight w:val="none"/>
          <w:u w:val="none"/>
          <w:vertAlign w:val="subscript"/>
        </w:rPr>
        <w:t>3</w:t>
      </w:r>
      <w:r>
        <w:rPr>
          <w:rFonts w:hint="eastAsia"/>
          <w:color w:val="auto"/>
          <w:highlight w:val="none"/>
          <w:u w:val="none"/>
        </w:rPr>
        <w:t>，经处理后的尾气执行《硝酸工业污染物排放标准》（GB26131-2010）限值要求。</w:t>
      </w:r>
    </w:p>
    <w:p w14:paraId="228FA618">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2</w:t>
      </w:r>
      <w:r>
        <w:rPr>
          <w:rFonts w:hint="eastAsia"/>
          <w:color w:val="auto"/>
          <w:highlight w:val="none"/>
          <w:u w:val="none"/>
        </w:rPr>
        <w:t>）能量回收焚烧烟气</w:t>
      </w:r>
    </w:p>
    <w:p w14:paraId="7BE3B038">
      <w:pPr>
        <w:rPr>
          <w:rFonts w:hint="eastAsia"/>
          <w:color w:val="auto"/>
          <w:highlight w:val="none"/>
          <w:u w:val="none"/>
        </w:rPr>
      </w:pPr>
      <w:r>
        <w:rPr>
          <w:rFonts w:hint="eastAsia"/>
          <w:color w:val="auto"/>
          <w:highlight w:val="none"/>
          <w:u w:val="none"/>
        </w:rPr>
        <w:t>一期工程建设1套硝基苯装置、1套苯胺装置，装置产生的部分污染物送万华环保科技公司能量回收装置焚烧处置。</w:t>
      </w:r>
    </w:p>
    <w:p w14:paraId="68EC5BD0">
      <w:pPr>
        <w:rPr>
          <w:rFonts w:hint="eastAsia"/>
          <w:color w:val="auto"/>
          <w:highlight w:val="none"/>
          <w:u w:val="none"/>
        </w:rPr>
      </w:pPr>
      <w:r>
        <w:rPr>
          <w:rFonts w:hint="eastAsia"/>
          <w:color w:val="auto"/>
          <w:highlight w:val="none"/>
          <w:u w:val="none"/>
        </w:rPr>
        <w:t>①硝基苯装置：硝化尾气（氮氧化物）、硝化尾气（氨废气）以及硝基苯贮罐尾气送入万华环保科技公司能量回收装置焚烧。污苯也送能量回收装置焚烧。</w:t>
      </w:r>
    </w:p>
    <w:p w14:paraId="4E8B23FC">
      <w:pPr>
        <w:rPr>
          <w:rFonts w:hint="eastAsia"/>
          <w:color w:val="auto"/>
          <w:highlight w:val="none"/>
          <w:u w:val="none"/>
        </w:rPr>
      </w:pPr>
      <w:r>
        <w:rPr>
          <w:rFonts w:hint="eastAsia"/>
          <w:color w:val="auto"/>
          <w:highlight w:val="none"/>
          <w:u w:val="none"/>
        </w:rPr>
        <w:t>②苯胺装置：加</w:t>
      </w:r>
      <w:bookmarkStart w:id="194" w:name="OLE_LINK22"/>
      <w:r>
        <w:rPr>
          <w:rFonts w:hint="eastAsia"/>
          <w:color w:val="auto"/>
          <w:highlight w:val="none"/>
          <w:u w:val="none"/>
        </w:rPr>
        <w:t>氢还原精制单元</w:t>
      </w:r>
      <w:r>
        <w:rPr>
          <w:color w:val="auto"/>
          <w:highlight w:val="none"/>
          <w:u w:val="none"/>
        </w:rPr>
        <w:t>解析分离器</w:t>
      </w:r>
      <w:r>
        <w:rPr>
          <w:rFonts w:hint="eastAsia"/>
          <w:color w:val="auto"/>
          <w:highlight w:val="none"/>
          <w:u w:val="none"/>
        </w:rPr>
        <w:t>产生的</w:t>
      </w:r>
      <w:r>
        <w:rPr>
          <w:color w:val="auto"/>
          <w:highlight w:val="none"/>
          <w:u w:val="none"/>
        </w:rPr>
        <w:t>解析气</w:t>
      </w:r>
      <w:r>
        <w:rPr>
          <w:rFonts w:hint="eastAsia"/>
          <w:color w:val="auto"/>
          <w:highlight w:val="none"/>
          <w:u w:val="none"/>
        </w:rPr>
        <w:t>送入万华环保科技公司能量回收装置焚烧。由脱水塔塔顶采出的轻组分也送能量回收装置焚</w:t>
      </w:r>
      <w:bookmarkEnd w:id="194"/>
      <w:r>
        <w:rPr>
          <w:rFonts w:hint="eastAsia"/>
          <w:color w:val="auto"/>
          <w:highlight w:val="none"/>
          <w:u w:val="none"/>
        </w:rPr>
        <w:t>烧。</w:t>
      </w:r>
    </w:p>
    <w:p w14:paraId="4AF06A31">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3</w:t>
      </w:r>
      <w:r>
        <w:rPr>
          <w:rFonts w:hint="eastAsia"/>
          <w:color w:val="auto"/>
          <w:highlight w:val="none"/>
          <w:u w:val="none"/>
        </w:rPr>
        <w:t>）苯胺焦油焚烧炉</w:t>
      </w:r>
    </w:p>
    <w:p w14:paraId="0426A602">
      <w:pPr>
        <w:rPr>
          <w:rFonts w:hint="eastAsia"/>
          <w:color w:val="auto"/>
          <w:highlight w:val="none"/>
          <w:u w:val="none"/>
          <w:lang w:val="en-US"/>
        </w:rPr>
      </w:pPr>
      <w:bookmarkStart w:id="195" w:name="OLE_LINK23"/>
      <w:r>
        <w:rPr>
          <w:rFonts w:hint="eastAsia"/>
          <w:color w:val="auto"/>
          <w:highlight w:val="none"/>
          <w:u w:val="none"/>
        </w:rPr>
        <w:t>苯胺精馏塔底部排出的</w:t>
      </w:r>
      <w:r>
        <w:rPr>
          <w:color w:val="auto"/>
          <w:highlight w:val="none"/>
          <w:u w:val="none"/>
        </w:rPr>
        <w:t>重组分（苯胺焦油）和</w:t>
      </w:r>
      <w:r>
        <w:rPr>
          <w:rFonts w:hint="eastAsia"/>
          <w:color w:val="auto"/>
          <w:highlight w:val="none"/>
          <w:u w:val="none"/>
        </w:rPr>
        <w:t>硝基苯加氢还原单元排出的</w:t>
      </w:r>
      <w:r>
        <w:rPr>
          <w:color w:val="auto"/>
          <w:highlight w:val="none"/>
          <w:u w:val="none"/>
        </w:rPr>
        <w:t>富氢尾气</w:t>
      </w:r>
      <w:r>
        <w:rPr>
          <w:rFonts w:hint="eastAsia"/>
          <w:color w:val="auto"/>
          <w:highlight w:val="none"/>
          <w:u w:val="none"/>
          <w:lang w:val="en-US"/>
        </w:rPr>
        <w:t>依托</w:t>
      </w:r>
      <w:r>
        <w:rPr>
          <w:rFonts w:hint="eastAsia"/>
          <w:color w:val="auto"/>
          <w:highlight w:val="none"/>
          <w:u w:val="none"/>
        </w:rPr>
        <w:t>万华环保科技公司</w:t>
      </w:r>
      <w:r>
        <w:rPr>
          <w:color w:val="auto"/>
          <w:highlight w:val="none"/>
          <w:u w:val="none"/>
        </w:rPr>
        <w:t>苯胺焦油焚烧炉</w:t>
      </w:r>
      <w:r>
        <w:rPr>
          <w:rFonts w:hint="eastAsia"/>
          <w:color w:val="auto"/>
          <w:highlight w:val="none"/>
          <w:u w:val="none"/>
          <w:lang w:val="en-US"/>
        </w:rPr>
        <w:t>处理，</w:t>
      </w:r>
      <w:r>
        <w:rPr>
          <w:rFonts w:hint="eastAsia"/>
          <w:color w:val="auto"/>
          <w:highlight w:val="none"/>
          <w:u w:val="none"/>
        </w:rPr>
        <w:t>苯胺焦油焚烧炉处理规模750kg/h。苯胺焦油焚烧炉采用“低氮燃烧+SNCR脱硝+干式喷射(活性炭)+布袋除尘+SCR”工艺，净化烟气与能量回收装置共用1根50m排气筒排放；采用LNG作为辅助燃料。</w:t>
      </w:r>
    </w:p>
    <w:bookmarkEnd w:id="195"/>
    <w:p w14:paraId="59BB43C9">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4</w:t>
      </w:r>
      <w:r>
        <w:rPr>
          <w:rFonts w:hint="eastAsia"/>
          <w:color w:val="auto"/>
          <w:highlight w:val="none"/>
          <w:u w:val="none"/>
        </w:rPr>
        <w:t>）火炬系统</w:t>
      </w:r>
    </w:p>
    <w:p w14:paraId="0024648B">
      <w:pPr>
        <w:rPr>
          <w:rFonts w:hint="eastAsia"/>
          <w:color w:val="auto"/>
          <w:highlight w:val="none"/>
          <w:u w:val="none"/>
        </w:rPr>
      </w:pPr>
      <w:r>
        <w:rPr>
          <w:rFonts w:hint="eastAsia"/>
          <w:color w:val="auto"/>
          <w:highlight w:val="none"/>
          <w:u w:val="none"/>
        </w:rPr>
        <w:t>苯胺项目非正常工况和事故应急情况下的废气依托万华环保科技公司封闭式地面火炬焚烧处置。</w:t>
      </w:r>
    </w:p>
    <w:p w14:paraId="0F31D8E7">
      <w:pPr>
        <w:pStyle w:val="7"/>
        <w:spacing w:before="156"/>
        <w:rPr>
          <w:color w:val="auto"/>
          <w:highlight w:val="none"/>
          <w:u w:val="none"/>
        </w:rPr>
      </w:pPr>
      <w:r>
        <w:rPr>
          <w:rFonts w:hint="eastAsia"/>
          <w:color w:val="auto"/>
          <w:highlight w:val="none"/>
          <w:u w:val="none"/>
          <w:lang w:val="en-US"/>
        </w:rPr>
        <w:t>废水</w:t>
      </w:r>
    </w:p>
    <w:p w14:paraId="065AD670">
      <w:pPr>
        <w:rPr>
          <w:rFonts w:hint="eastAsia"/>
          <w:color w:val="auto"/>
          <w:highlight w:val="none"/>
          <w:u w:val="none"/>
          <w:lang w:val="en-US"/>
        </w:rPr>
      </w:pPr>
      <w:r>
        <w:rPr>
          <w:rFonts w:hint="eastAsia"/>
          <w:color w:val="auto"/>
          <w:highlight w:val="none"/>
          <w:u w:val="none"/>
          <w:lang w:val="en-US"/>
        </w:rPr>
        <w:t>苯胺装置生产废水、各污染区域的地坪冲洗水、初期雨水由区域设置的初期雨水收集，经水泵加压后上管廊送至</w:t>
      </w:r>
      <w:r>
        <w:rPr>
          <w:rFonts w:hint="eastAsia"/>
          <w:color w:val="auto"/>
          <w:highlight w:val="none"/>
          <w:u w:val="none"/>
        </w:rPr>
        <w:t>万华环保科技公司</w:t>
      </w:r>
      <w:r>
        <w:rPr>
          <w:rFonts w:hint="eastAsia"/>
          <w:color w:val="auto"/>
          <w:highlight w:val="none"/>
          <w:u w:val="none"/>
          <w:lang w:val="en-US"/>
        </w:rPr>
        <w:t>低浓度废水处理系统，处理达标后纳入</w:t>
      </w:r>
      <w:r>
        <w:rPr>
          <w:rFonts w:hint="eastAsia"/>
          <w:color w:val="auto"/>
          <w:highlight w:val="none"/>
          <w:u w:val="none"/>
          <w:lang w:val="en-US" w:eastAsia="zh-CN"/>
        </w:rPr>
        <w:t>福州江阴港城经济区</w:t>
      </w:r>
      <w:r>
        <w:rPr>
          <w:rFonts w:hint="eastAsia"/>
          <w:color w:val="auto"/>
          <w:highlight w:val="none"/>
          <w:u w:val="none"/>
          <w:lang w:val="en-US"/>
        </w:rPr>
        <w:t>污水处理厂处理；硝基苯装置生产废水用污水泵经管廊输送至</w:t>
      </w:r>
      <w:r>
        <w:rPr>
          <w:rFonts w:hint="eastAsia"/>
          <w:color w:val="auto"/>
          <w:highlight w:val="none"/>
          <w:u w:val="none"/>
        </w:rPr>
        <w:t>万华环保科技公司</w:t>
      </w:r>
      <w:r>
        <w:rPr>
          <w:rFonts w:hint="eastAsia"/>
          <w:color w:val="auto"/>
          <w:highlight w:val="none"/>
          <w:u w:val="none"/>
          <w:lang w:val="en-US"/>
        </w:rPr>
        <w:t>综合废水处理系统处理达标后，</w:t>
      </w:r>
      <w:r>
        <w:rPr>
          <w:color w:val="auto"/>
          <w:highlight w:val="none"/>
          <w:u w:val="none"/>
        </w:rPr>
        <w:t>通过</w:t>
      </w:r>
      <w:r>
        <w:rPr>
          <w:rFonts w:hint="eastAsia"/>
          <w:color w:val="auto"/>
          <w:highlight w:val="none"/>
          <w:u w:val="none"/>
          <w:lang w:eastAsia="zh-CN"/>
        </w:rPr>
        <w:t>福州江阴港城经济区</w:t>
      </w:r>
      <w:r>
        <w:rPr>
          <w:color w:val="auto"/>
          <w:highlight w:val="none"/>
          <w:u w:val="none"/>
        </w:rPr>
        <w:t>污水处理厂</w:t>
      </w:r>
      <w:r>
        <w:rPr>
          <w:rFonts w:hint="eastAsia"/>
          <w:color w:val="auto"/>
          <w:highlight w:val="none"/>
          <w:u w:val="none"/>
        </w:rPr>
        <w:t>尾水</w:t>
      </w:r>
      <w:r>
        <w:rPr>
          <w:color w:val="auto"/>
          <w:highlight w:val="none"/>
          <w:u w:val="none"/>
        </w:rPr>
        <w:t>排海管道排海</w:t>
      </w:r>
      <w:r>
        <w:rPr>
          <w:rFonts w:hint="eastAsia"/>
          <w:color w:val="auto"/>
          <w:highlight w:val="none"/>
          <w:u w:val="none"/>
        </w:rPr>
        <w:t>。</w:t>
      </w:r>
      <w:r>
        <w:rPr>
          <w:rFonts w:hint="eastAsia"/>
          <w:color w:val="auto"/>
          <w:highlight w:val="none"/>
          <w:u w:val="none"/>
          <w:lang w:val="en-US"/>
        </w:rPr>
        <w:t>生活污水各区域分别收集，经化粪池处理后，加压经管廊送至</w:t>
      </w:r>
      <w:r>
        <w:rPr>
          <w:rFonts w:hint="eastAsia"/>
          <w:color w:val="auto"/>
          <w:highlight w:val="none"/>
          <w:u w:val="none"/>
        </w:rPr>
        <w:t>万华环保科技公司</w:t>
      </w:r>
      <w:r>
        <w:rPr>
          <w:rFonts w:hint="eastAsia"/>
          <w:color w:val="auto"/>
          <w:highlight w:val="none"/>
          <w:u w:val="none"/>
          <w:lang w:val="en-US"/>
        </w:rPr>
        <w:t>的低浓度废水处理系统。</w:t>
      </w:r>
    </w:p>
    <w:p w14:paraId="65E1313A">
      <w:pPr>
        <w:pStyle w:val="7"/>
        <w:spacing w:before="156"/>
        <w:rPr>
          <w:color w:val="auto"/>
          <w:highlight w:val="none"/>
          <w:u w:val="none"/>
        </w:rPr>
      </w:pPr>
      <w:r>
        <w:rPr>
          <w:color w:val="auto"/>
          <w:highlight w:val="none"/>
          <w:u w:val="none"/>
        </w:rPr>
        <w:t>固体废物</w:t>
      </w:r>
    </w:p>
    <w:p w14:paraId="0B2A665B">
      <w:pPr>
        <w:rPr>
          <w:rFonts w:hint="eastAsia"/>
          <w:color w:val="auto"/>
          <w:highlight w:val="none"/>
          <w:u w:val="none"/>
        </w:rPr>
      </w:pPr>
      <w:r>
        <w:rPr>
          <w:rFonts w:hint="eastAsia"/>
          <w:color w:val="auto"/>
          <w:highlight w:val="none"/>
          <w:u w:val="none"/>
        </w:rPr>
        <w:t>苯胺项目固体废物主要包括各装置产生的废催化剂、污苯、</w:t>
      </w:r>
      <w:r>
        <w:rPr>
          <w:color w:val="auto"/>
          <w:highlight w:val="none"/>
          <w:u w:val="none"/>
        </w:rPr>
        <w:t>轻组分、重组分（苯胺焦油）</w:t>
      </w:r>
      <w:r>
        <w:rPr>
          <w:rFonts w:hint="eastAsia"/>
          <w:color w:val="auto"/>
          <w:highlight w:val="none"/>
          <w:u w:val="none"/>
        </w:rPr>
        <w:t>，装螺栓、垫片、阀门产生的废弃纸盒、木板等，以及办公产生的生活垃圾。其中</w:t>
      </w:r>
      <w:r>
        <w:rPr>
          <w:color w:val="auto"/>
          <w:highlight w:val="none"/>
          <w:u w:val="none"/>
        </w:rPr>
        <w:t>氨转化催化剂、SCR催化剂、污苯、轻组分、重组分（苯胺焦油）、甲烷催化剂等</w:t>
      </w:r>
      <w:r>
        <w:rPr>
          <w:rFonts w:hint="eastAsia"/>
          <w:color w:val="auto"/>
          <w:highlight w:val="none"/>
          <w:u w:val="none"/>
        </w:rPr>
        <w:t>为危险废物，</w:t>
      </w:r>
      <w:r>
        <w:rPr>
          <w:color w:val="auto"/>
          <w:highlight w:val="none"/>
          <w:u w:val="none"/>
        </w:rPr>
        <w:t>污苯</w:t>
      </w:r>
      <w:r>
        <w:rPr>
          <w:rFonts w:hint="eastAsia"/>
          <w:color w:val="auto"/>
          <w:highlight w:val="none"/>
          <w:u w:val="none"/>
        </w:rPr>
        <w:t>、</w:t>
      </w:r>
      <w:r>
        <w:rPr>
          <w:color w:val="auto"/>
          <w:highlight w:val="none"/>
          <w:u w:val="none"/>
        </w:rPr>
        <w:t>轻组分</w:t>
      </w:r>
      <w:r>
        <w:rPr>
          <w:rFonts w:hint="eastAsia"/>
          <w:color w:val="auto"/>
          <w:highlight w:val="none"/>
          <w:u w:val="none"/>
        </w:rPr>
        <w:t>送万华环保科技公司能量回收装置焚烧处置，</w:t>
      </w:r>
      <w:r>
        <w:rPr>
          <w:color w:val="auto"/>
          <w:highlight w:val="none"/>
          <w:u w:val="none"/>
        </w:rPr>
        <w:t>重组分（苯胺焦油）</w:t>
      </w:r>
      <w:r>
        <w:rPr>
          <w:rFonts w:hint="eastAsia"/>
          <w:color w:val="auto"/>
          <w:highlight w:val="none"/>
          <w:u w:val="none"/>
        </w:rPr>
        <w:t>送万华环保科技公司</w:t>
      </w:r>
      <w:r>
        <w:rPr>
          <w:color w:val="auto"/>
          <w:highlight w:val="none"/>
          <w:u w:val="none"/>
        </w:rPr>
        <w:t>苯胺焦油焚烧炉</w:t>
      </w:r>
      <w:r>
        <w:rPr>
          <w:rFonts w:hint="eastAsia"/>
          <w:color w:val="auto"/>
          <w:highlight w:val="none"/>
          <w:u w:val="none"/>
        </w:rPr>
        <w:t>焚烧处置，其他的危险废物委托有危险废物处置资质单位处置；装螺栓、垫片、阀门产生的废弃纸盒、木板等收集后外卖，生活垃圾委托环卫部门清运。</w:t>
      </w:r>
    </w:p>
    <w:p w14:paraId="16F14334">
      <w:pPr>
        <w:pStyle w:val="7"/>
        <w:rPr>
          <w:color w:val="auto"/>
          <w:highlight w:val="none"/>
          <w:u w:val="none"/>
        </w:rPr>
      </w:pPr>
      <w:r>
        <w:rPr>
          <w:rFonts w:hint="eastAsia"/>
          <w:color w:val="auto"/>
          <w:highlight w:val="none"/>
          <w:u w:val="none"/>
        </w:rPr>
        <w:t>地下水污染物防治措施</w:t>
      </w:r>
    </w:p>
    <w:p w14:paraId="6C4AA71A">
      <w:pPr>
        <w:rPr>
          <w:rFonts w:hint="eastAsia"/>
          <w:color w:val="auto"/>
          <w:highlight w:val="none"/>
          <w:u w:val="none"/>
        </w:rPr>
      </w:pPr>
      <w:r>
        <w:rPr>
          <w:rFonts w:hint="eastAsia"/>
          <w:color w:val="auto"/>
          <w:highlight w:val="none"/>
          <w:u w:val="none"/>
        </w:rPr>
        <w:t>根据苯胺项目验收监测报告，该项目防渗工程实施情况见</w:t>
      </w:r>
      <w:r>
        <w:rPr>
          <w:rFonts w:hint="eastAsia"/>
          <w:color w:val="auto"/>
          <w:highlight w:val="none"/>
          <w:u w:val="none"/>
          <w:lang w:val="en-US"/>
        </w:rPr>
        <w:fldChar w:fldCharType="begin"/>
      </w:r>
      <w:r>
        <w:rPr>
          <w:rFonts w:hint="eastAsia"/>
          <w:color w:val="auto"/>
          <w:highlight w:val="none"/>
          <w:u w:val="none"/>
          <w:lang w:val="en-US"/>
        </w:rPr>
        <w:instrText xml:space="preserve"> REF _Ref24693 \h </w:instrText>
      </w:r>
      <w:r>
        <w:rPr>
          <w:rFonts w:hint="eastAsia"/>
          <w:color w:val="auto"/>
          <w:highlight w:val="none"/>
          <w:u w:val="none"/>
          <w:lang w:val="en-US"/>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3.6</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lang w:val="en-US"/>
        </w:rPr>
        <w:fldChar w:fldCharType="end"/>
      </w:r>
      <w:r>
        <w:rPr>
          <w:rFonts w:hint="eastAsia"/>
          <w:color w:val="auto"/>
          <w:highlight w:val="none"/>
          <w:u w:val="none"/>
        </w:rPr>
        <w:t>，防渗工程满足《石油化工工程防渗技术规范》（GB/T50934-2013）要求。</w:t>
      </w:r>
    </w:p>
    <w:p w14:paraId="06F97A8D">
      <w:pPr>
        <w:rPr>
          <w:rStyle w:val="70"/>
          <w:rFonts w:hint="eastAsia"/>
          <w:color w:val="auto"/>
          <w:highlight w:val="none"/>
          <w:u w:val="none"/>
        </w:rPr>
      </w:pPr>
      <w:r>
        <w:rPr>
          <w:rFonts w:hint="eastAsia"/>
          <w:color w:val="auto"/>
          <w:highlight w:val="none"/>
          <w:u w:val="none"/>
        </w:rPr>
        <w:t>该项目地下水跟踪监测依托厂区已有的5个地下水监控井，满足自行监测要求。</w:t>
      </w:r>
    </w:p>
    <w:p w14:paraId="74A56668">
      <w:pPr>
        <w:pStyle w:val="6"/>
        <w:spacing w:before="156" w:after="156"/>
        <w:rPr>
          <w:color w:val="auto"/>
          <w:highlight w:val="none"/>
          <w:u w:val="none"/>
        </w:rPr>
      </w:pPr>
      <w:bookmarkStart w:id="196" w:name="_Toc148374476"/>
      <w:bookmarkStart w:id="197" w:name="_Toc148374918"/>
      <w:r>
        <w:rPr>
          <w:rFonts w:hint="eastAsia"/>
          <w:color w:val="auto"/>
          <w:highlight w:val="none"/>
          <w:u w:val="none"/>
          <w:lang w:val="en-US"/>
        </w:rPr>
        <w:t>现有工程污染物排放达标情况分析</w:t>
      </w:r>
      <w:bookmarkEnd w:id="196"/>
      <w:bookmarkEnd w:id="197"/>
    </w:p>
    <w:p w14:paraId="610D83D7">
      <w:pPr>
        <w:ind w:firstLine="482"/>
        <w:rPr>
          <w:rFonts w:hint="eastAsia"/>
          <w:b/>
          <w:bCs/>
          <w:color w:val="auto"/>
          <w:highlight w:val="none"/>
          <w:u w:val="none"/>
        </w:rPr>
      </w:pPr>
      <w:r>
        <w:rPr>
          <w:b/>
          <w:bCs/>
          <w:color w:val="auto"/>
          <w:highlight w:val="none"/>
          <w:u w:val="none"/>
        </w:rPr>
        <w:t>（1）有组织废气</w:t>
      </w:r>
    </w:p>
    <w:p w14:paraId="65FB6BA0">
      <w:pPr>
        <w:pStyle w:val="981"/>
        <w:rPr>
          <w:rFonts w:hint="eastAsia"/>
          <w:color w:val="auto"/>
        </w:rPr>
      </w:pPr>
      <w:r>
        <w:rPr>
          <w:rFonts w:hint="eastAsia"/>
          <w:color w:val="auto"/>
          <w:lang w:val="en-US"/>
        </w:rPr>
        <w:t>苯胺一期项目于2023年12月10日~2023年12月11日对硝酸装置废气进行验收监测</w:t>
      </w:r>
      <w:r>
        <w:rPr>
          <w:rFonts w:hint="eastAsia"/>
          <w:color w:val="auto"/>
        </w:rPr>
        <w:t>，根据竣工环保验收监测报告，项目正常运行期间，1#硝酸装置生产废气经处理后氨排放速率符合《恶臭污染物排放标准》（GB14554-93）表2排放标准值；氮氧化物排放浓度符合《硝酸工业污染物排放标准》（GB26131-2010）表6大气污染物特别排放限值。</w:t>
      </w:r>
    </w:p>
    <w:p w14:paraId="0F1A19F7">
      <w:pPr>
        <w:pStyle w:val="981"/>
        <w:rPr>
          <w:rFonts w:hint="eastAsia"/>
          <w:color w:val="auto"/>
          <w:highlight w:val="none"/>
          <w:u w:val="none"/>
        </w:rPr>
      </w:pPr>
      <w:r>
        <w:rPr>
          <w:rFonts w:hint="eastAsia"/>
          <w:color w:val="auto"/>
        </w:rPr>
        <w:t>2#硝酸装置生产废气经处理后氨排放速率符合《恶臭污染物排放标准》（GB14554-93）表2排放标准值；氮氧化物排放浓度符合《硝酸工业污染物排放标准》（GB26131-2010）表6大气污染物特别排放限值</w:t>
      </w:r>
      <w:r>
        <w:rPr>
          <w:rFonts w:hint="eastAsia"/>
          <w:color w:val="auto"/>
          <w:highlight w:val="none"/>
          <w:u w:val="none"/>
        </w:rPr>
        <w:t>。</w:t>
      </w:r>
    </w:p>
    <w:p w14:paraId="00950B2A">
      <w:pPr>
        <w:pStyle w:val="981"/>
        <w:ind w:firstLine="482"/>
        <w:rPr>
          <w:rFonts w:hint="eastAsia"/>
          <w:b/>
          <w:bCs/>
          <w:color w:val="auto"/>
          <w:highlight w:val="none"/>
          <w:u w:val="none"/>
        </w:rPr>
      </w:pPr>
      <w:r>
        <w:rPr>
          <w:rFonts w:hint="eastAsia"/>
          <w:b/>
          <w:bCs/>
          <w:color w:val="auto"/>
          <w:highlight w:val="none"/>
          <w:u w:val="none"/>
        </w:rPr>
        <w:t>单位产品排气量核算：</w:t>
      </w:r>
    </w:p>
    <w:p w14:paraId="0132EEC9">
      <w:pPr>
        <w:pStyle w:val="981"/>
        <w:rPr>
          <w:rFonts w:hint="eastAsia"/>
          <w:color w:val="auto"/>
          <w:highlight w:val="none"/>
          <w:u w:val="none"/>
        </w:rPr>
      </w:pPr>
      <w:r>
        <w:rPr>
          <w:rFonts w:hint="eastAsia"/>
          <w:color w:val="auto"/>
        </w:rPr>
        <w:t>单位产品排气量符合《硝酸工业污染物排放标准》（GB26131-2010）表6中单位产品基准排气量限值要求</w:t>
      </w:r>
      <w:r>
        <w:rPr>
          <w:rFonts w:hint="eastAsia"/>
          <w:color w:val="auto"/>
          <w:highlight w:val="none"/>
          <w:u w:val="none"/>
        </w:rPr>
        <w:t>。</w:t>
      </w:r>
    </w:p>
    <w:p w14:paraId="7899BD5E">
      <w:pPr>
        <w:pStyle w:val="981"/>
        <w:ind w:firstLine="482"/>
        <w:rPr>
          <w:rFonts w:hint="eastAsia"/>
          <w:b/>
          <w:bCs/>
          <w:color w:val="auto"/>
          <w:highlight w:val="none"/>
          <w:u w:val="none"/>
        </w:rPr>
      </w:pPr>
      <w:r>
        <w:rPr>
          <w:b/>
          <w:bCs/>
          <w:color w:val="auto"/>
          <w:highlight w:val="none"/>
          <w:u w:val="none"/>
        </w:rPr>
        <w:t>（2）无组织废气</w:t>
      </w:r>
    </w:p>
    <w:p w14:paraId="4497500A">
      <w:pPr>
        <w:pStyle w:val="981"/>
        <w:rPr>
          <w:rFonts w:hAnsi="Times New Roman"/>
          <w:color w:val="auto"/>
          <w:highlight w:val="none"/>
          <w:u w:val="none"/>
          <w:lang w:val="en-US"/>
        </w:rPr>
      </w:pPr>
      <w:r>
        <w:rPr>
          <w:rFonts w:hint="eastAsia" w:hAnsi="Times New Roman"/>
          <w:color w:val="auto"/>
          <w:highlight w:val="none"/>
          <w:u w:val="none"/>
          <w:lang w:val="en-US"/>
        </w:rPr>
        <w:t>苯胺项目一期工程</w:t>
      </w:r>
      <w:r>
        <w:rPr>
          <w:rFonts w:hAnsi="Times New Roman"/>
          <w:color w:val="auto"/>
          <w:highlight w:val="none"/>
          <w:u w:val="none"/>
          <w:lang w:val="en-US"/>
        </w:rPr>
        <w:t>无组织</w:t>
      </w:r>
      <w:r>
        <w:rPr>
          <w:rFonts w:hint="eastAsia" w:hAnsi="Times New Roman"/>
          <w:color w:val="auto"/>
          <w:highlight w:val="none"/>
          <w:u w:val="none"/>
          <w:lang w:val="en-US"/>
        </w:rPr>
        <w:t>厂界</w:t>
      </w:r>
      <w:r>
        <w:rPr>
          <w:rFonts w:hAnsi="Times New Roman"/>
          <w:color w:val="auto"/>
          <w:highlight w:val="none"/>
          <w:u w:val="none"/>
          <w:lang w:val="en-US"/>
        </w:rPr>
        <w:t>无组织废气</w:t>
      </w:r>
      <w:r>
        <w:rPr>
          <w:rFonts w:hint="eastAsia" w:hAnsi="Times New Roman"/>
          <w:color w:val="auto"/>
          <w:highlight w:val="none"/>
          <w:u w:val="none"/>
          <w:lang w:val="en-US"/>
        </w:rPr>
        <w:t>验收监测达标分析引用2023年11月16~17日对万华福建公司厂界的无组织污染物的检测数据，监测期间苯胺项目正常运行，各</w:t>
      </w:r>
      <w:r>
        <w:rPr>
          <w:rFonts w:hint="eastAsia" w:hAnsi="Times New Roman"/>
          <w:color w:val="auto"/>
          <w:highlight w:val="none"/>
          <w:u w:val="none"/>
          <w:lang w:val="en-US" w:eastAsia="zh-CN"/>
        </w:rPr>
        <w:t>污染</w:t>
      </w:r>
      <w:r>
        <w:rPr>
          <w:rFonts w:hint="eastAsia" w:hAnsi="Times New Roman"/>
          <w:color w:val="auto"/>
          <w:highlight w:val="none"/>
          <w:u w:val="none"/>
          <w:lang w:val="en-US"/>
        </w:rPr>
        <w:t>因子均能满足相应的排放标准限值</w:t>
      </w:r>
      <w:r>
        <w:rPr>
          <w:rFonts w:hAnsi="Times New Roman"/>
          <w:color w:val="auto"/>
          <w:highlight w:val="none"/>
          <w:u w:val="none"/>
          <w:lang w:val="en-US"/>
        </w:rPr>
        <w:t>。</w:t>
      </w:r>
    </w:p>
    <w:p w14:paraId="7A22748A">
      <w:pPr>
        <w:pStyle w:val="981"/>
        <w:rPr>
          <w:rFonts w:hAnsi="Times New Roman"/>
          <w:color w:val="auto"/>
          <w:highlight w:val="none"/>
          <w:u w:val="none"/>
          <w:lang w:val="en-US"/>
        </w:rPr>
      </w:pPr>
      <w:r>
        <w:rPr>
          <w:rFonts w:hint="eastAsia" w:hAnsi="Times New Roman"/>
          <w:color w:val="auto"/>
          <w:lang w:val="en-US"/>
        </w:rPr>
        <w:t>根据2023年12月10日~2023年12月11日监测结果，苯胺一期项目正常运行期间，厂区内非甲烷总烃满足《工业企业挥发性有机物排放标准》（DB35/1782-2018）中表2标准限值要求</w:t>
      </w:r>
      <w:r>
        <w:rPr>
          <w:rFonts w:hint="eastAsia" w:hAnsi="Times New Roman"/>
          <w:color w:val="auto"/>
          <w:highlight w:val="none"/>
          <w:u w:val="none"/>
          <w:lang w:val="en-US"/>
        </w:rPr>
        <w:t>。</w:t>
      </w:r>
    </w:p>
    <w:p w14:paraId="08318595">
      <w:pPr>
        <w:pStyle w:val="7"/>
        <w:spacing w:before="156"/>
        <w:rPr>
          <w:color w:val="auto"/>
          <w:highlight w:val="none"/>
          <w:u w:val="none"/>
          <w:lang w:val="en-US"/>
        </w:rPr>
      </w:pPr>
      <w:r>
        <w:rPr>
          <w:rFonts w:hint="eastAsia"/>
          <w:color w:val="auto"/>
          <w:highlight w:val="none"/>
          <w:u w:val="none"/>
          <w:lang w:val="en-US"/>
        </w:rPr>
        <w:t>废水</w:t>
      </w:r>
    </w:p>
    <w:p w14:paraId="6EDE5561">
      <w:pPr>
        <w:rPr>
          <w:rFonts w:hint="eastAsia"/>
          <w:color w:val="auto"/>
          <w:highlight w:val="none"/>
          <w:u w:val="none"/>
          <w:lang w:val="en-US"/>
        </w:rPr>
      </w:pPr>
      <w:r>
        <w:rPr>
          <w:rFonts w:hint="eastAsia"/>
          <w:color w:val="auto"/>
          <w:highlight w:val="none"/>
          <w:u w:val="none"/>
          <w:lang w:val="en-US"/>
        </w:rPr>
        <w:t>苯胺</w:t>
      </w:r>
      <w:r>
        <w:rPr>
          <w:color w:val="auto"/>
          <w:highlight w:val="none"/>
          <w:u w:val="none"/>
          <w:lang w:val="en-US"/>
        </w:rPr>
        <w:t>项目废水依托</w:t>
      </w:r>
      <w:r>
        <w:rPr>
          <w:rFonts w:hint="eastAsia"/>
          <w:color w:val="auto"/>
          <w:highlight w:val="none"/>
          <w:u w:val="none"/>
        </w:rPr>
        <w:t>万华环保科技公司</w:t>
      </w:r>
      <w:r>
        <w:rPr>
          <w:rFonts w:hint="eastAsia"/>
          <w:color w:val="auto"/>
          <w:highlight w:val="none"/>
          <w:u w:val="none"/>
          <w:lang w:val="en-US"/>
        </w:rPr>
        <w:t>厂区污水处理站</w:t>
      </w:r>
      <w:r>
        <w:rPr>
          <w:color w:val="auto"/>
          <w:highlight w:val="none"/>
          <w:u w:val="none"/>
          <w:lang w:val="en-US"/>
        </w:rPr>
        <w:t>，</w:t>
      </w:r>
      <w:r>
        <w:rPr>
          <w:rFonts w:hint="eastAsia"/>
          <w:color w:val="auto"/>
          <w:highlight w:val="none"/>
          <w:u w:val="none"/>
          <w:lang w:val="en-US"/>
        </w:rPr>
        <w:t>处理后污水站废水达标情况见3.3.4.2小节。</w:t>
      </w:r>
    </w:p>
    <w:p w14:paraId="627E698A">
      <w:pPr>
        <w:pStyle w:val="7"/>
        <w:spacing w:before="156"/>
        <w:rPr>
          <w:color w:val="auto"/>
          <w:highlight w:val="none"/>
          <w:u w:val="none"/>
          <w:lang w:val="en-US"/>
        </w:rPr>
      </w:pPr>
      <w:r>
        <w:rPr>
          <w:rFonts w:hint="eastAsia"/>
          <w:color w:val="auto"/>
          <w:highlight w:val="none"/>
          <w:u w:val="none"/>
          <w:lang w:val="en-US"/>
        </w:rPr>
        <w:t>固废</w:t>
      </w:r>
    </w:p>
    <w:p w14:paraId="26A3C45A">
      <w:pPr>
        <w:rPr>
          <w:rFonts w:hint="eastAsia"/>
          <w:color w:val="auto"/>
          <w:highlight w:val="none"/>
          <w:u w:val="none"/>
          <w:lang w:val="en-US"/>
        </w:rPr>
      </w:pPr>
      <w:r>
        <w:rPr>
          <w:rFonts w:hint="eastAsia"/>
          <w:color w:val="auto"/>
          <w:highlight w:val="none"/>
          <w:u w:val="none"/>
          <w:lang w:val="en-US"/>
        </w:rPr>
        <w:t>苯胺一期项目产生的危险废物包括各装置产生的废催化剂、污苯、轻组分、重组分（苯胺焦油）及废机油等危险废物。</w:t>
      </w:r>
    </w:p>
    <w:p w14:paraId="73B075C7">
      <w:pPr>
        <w:rPr>
          <w:rFonts w:hint="eastAsia"/>
          <w:color w:val="auto"/>
          <w:highlight w:val="none"/>
          <w:u w:val="none"/>
          <w:lang w:val="en-US"/>
        </w:rPr>
      </w:pPr>
      <w:r>
        <w:rPr>
          <w:rFonts w:hint="eastAsia"/>
          <w:color w:val="auto"/>
          <w:highlight w:val="none"/>
          <w:u w:val="none"/>
          <w:lang w:val="en-US"/>
        </w:rPr>
        <w:t>污苯、轻组分送入万华环保科技公司能量回收装置焚烧处置，重组分（苯胺焦油）送入</w:t>
      </w:r>
      <w:r>
        <w:rPr>
          <w:rFonts w:hint="eastAsia"/>
          <w:color w:val="auto"/>
          <w:highlight w:val="none"/>
          <w:u w:val="none"/>
        </w:rPr>
        <w:t>万华环保科技公司苯胺焦油焚烧炉</w:t>
      </w:r>
      <w:r>
        <w:rPr>
          <w:rFonts w:hint="eastAsia"/>
          <w:color w:val="auto"/>
          <w:highlight w:val="none"/>
          <w:u w:val="none"/>
          <w:lang w:val="en-US"/>
        </w:rPr>
        <w:t>焚烧处置，废机油委托邵武绿益新环保产业开发有限公司处置；各类废催化剂（废氨转化催化剂、废SCR催化剂、废甲烷化催化剂）目前暂未产生，后续产生后临时贮存于危废间（依托万华环保科技公司危废间），委托有危废处置资质单位处置</w:t>
      </w:r>
      <w:r>
        <w:rPr>
          <w:color w:val="auto"/>
          <w:highlight w:val="none"/>
          <w:u w:val="none"/>
          <w:lang w:val="en-US"/>
        </w:rPr>
        <w:t>。</w:t>
      </w:r>
    </w:p>
    <w:p w14:paraId="53A33F44">
      <w:pPr>
        <w:pStyle w:val="6"/>
        <w:spacing w:before="156" w:after="156"/>
        <w:rPr>
          <w:color w:val="auto"/>
          <w:highlight w:val="none"/>
          <w:u w:val="none"/>
        </w:rPr>
      </w:pPr>
      <w:bookmarkStart w:id="198" w:name="_Toc148374477"/>
      <w:bookmarkStart w:id="199" w:name="_Toc148374919"/>
      <w:bookmarkStart w:id="200" w:name="_Toc148374478"/>
      <w:bookmarkStart w:id="201" w:name="_Toc148374920"/>
      <w:bookmarkStart w:id="202" w:name="_Toc148374779"/>
      <w:r>
        <w:rPr>
          <w:rFonts w:hint="eastAsia"/>
          <w:color w:val="auto"/>
          <w:highlight w:val="none"/>
          <w:u w:val="none"/>
        </w:rPr>
        <w:t>污染物排放汇总</w:t>
      </w:r>
      <w:bookmarkEnd w:id="198"/>
      <w:bookmarkEnd w:id="199"/>
    </w:p>
    <w:p w14:paraId="38BEE3CD">
      <w:pPr>
        <w:rPr>
          <w:rFonts w:hint="eastAsia"/>
          <w:color w:val="auto"/>
          <w:highlight w:val="none"/>
          <w:u w:val="none"/>
          <w:lang w:val="en-US"/>
        </w:rPr>
      </w:pPr>
      <w:r>
        <w:rPr>
          <w:rFonts w:hint="eastAsia"/>
          <w:lang w:val="en-US"/>
        </w:rPr>
        <w:t>苯胺项目一期工程已于2</w:t>
      </w:r>
      <w:r>
        <w:rPr>
          <w:lang w:val="en-US"/>
        </w:rPr>
        <w:t>02</w:t>
      </w:r>
      <w:r>
        <w:rPr>
          <w:rFonts w:hint="eastAsia"/>
          <w:lang w:val="en-US"/>
        </w:rPr>
        <w:t>4年5月完成竣工环保验收，其废气排放量参考2024年全年排污许可执行报告，并按照满负荷工况进行折算；同时根据《万华化学（福建）有限公司泄漏检测与修复（LDAR）第一季度~第四季度总结报告》（2024年）</w:t>
      </w:r>
      <w:r>
        <w:rPr>
          <w:rFonts w:hint="eastAsia"/>
          <w:color w:val="auto"/>
          <w:highlight w:val="none"/>
          <w:u w:val="none"/>
          <w:lang w:val="en-US"/>
        </w:rPr>
        <w:t>。</w:t>
      </w:r>
    </w:p>
    <w:p w14:paraId="2B6ECB50">
      <w:pPr>
        <w:ind w:firstLine="482"/>
        <w:jc w:val="center"/>
        <w:rPr>
          <w:rFonts w:hint="eastAsia"/>
          <w:b/>
          <w:bCs/>
          <w:color w:val="auto"/>
          <w:highlight w:val="none"/>
          <w:u w:val="none"/>
        </w:rPr>
      </w:pPr>
      <w:bookmarkStart w:id="203" w:name="_Ref141379083"/>
      <w:r>
        <w:rPr>
          <w:b/>
          <w:bCs/>
          <w:color w:val="auto"/>
          <w:highlight w:val="none"/>
          <w:u w:val="none"/>
        </w:rPr>
        <w:t>表</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3.6</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表格 \* ARABIC \s 2 </w:instrText>
      </w:r>
      <w:r>
        <w:rPr>
          <w:b/>
          <w:bCs/>
          <w:color w:val="auto"/>
          <w:highlight w:val="none"/>
          <w:u w:val="none"/>
        </w:rPr>
        <w:fldChar w:fldCharType="separate"/>
      </w:r>
      <w:r>
        <w:rPr>
          <w:b/>
          <w:bCs/>
          <w:color w:val="auto"/>
          <w:highlight w:val="none"/>
          <w:u w:val="none"/>
        </w:rPr>
        <w:t>9</w:t>
      </w:r>
      <w:r>
        <w:rPr>
          <w:b/>
          <w:bCs/>
          <w:color w:val="auto"/>
          <w:highlight w:val="none"/>
          <w:u w:val="none"/>
        </w:rPr>
        <w:fldChar w:fldCharType="end"/>
      </w:r>
      <w:bookmarkEnd w:id="203"/>
      <w:r>
        <w:rPr>
          <w:b/>
          <w:bCs/>
          <w:color w:val="auto"/>
          <w:highlight w:val="none"/>
          <w:u w:val="none"/>
        </w:rPr>
        <w:t xml:space="preserve">  </w:t>
      </w:r>
      <w:r>
        <w:rPr>
          <w:rFonts w:hint="eastAsia"/>
          <w:b/>
          <w:bCs/>
          <w:color w:val="auto"/>
          <w:highlight w:val="none"/>
          <w:u w:val="none"/>
        </w:rPr>
        <w:t>苯胺</w:t>
      </w:r>
      <w:r>
        <w:rPr>
          <w:b/>
          <w:bCs/>
          <w:color w:val="auto"/>
          <w:highlight w:val="none"/>
          <w:u w:val="none"/>
        </w:rPr>
        <w:t>项目主要污染物汇总</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40" w:type="dxa"/>
          <w:bottom w:w="0" w:type="dxa"/>
          <w:right w:w="40" w:type="dxa"/>
        </w:tblCellMar>
      </w:tblPr>
      <w:tblGrid>
        <w:gridCol w:w="1279"/>
        <w:gridCol w:w="2159"/>
        <w:gridCol w:w="1274"/>
        <w:gridCol w:w="1557"/>
        <w:gridCol w:w="1493"/>
        <w:gridCol w:w="1388"/>
      </w:tblGrid>
      <w:tr w14:paraId="2A843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tblHeader/>
          <w:jc w:val="center"/>
        </w:trPr>
        <w:tc>
          <w:tcPr>
            <w:tcW w:w="699" w:type="pct"/>
            <w:vMerge w:val="restart"/>
            <w:vAlign w:val="center"/>
          </w:tcPr>
          <w:p w14:paraId="547A7D0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种类</w:t>
            </w:r>
          </w:p>
        </w:tc>
        <w:tc>
          <w:tcPr>
            <w:tcW w:w="1180" w:type="pct"/>
            <w:vMerge w:val="restart"/>
            <w:vAlign w:val="center"/>
          </w:tcPr>
          <w:p w14:paraId="7A1B3B8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污染物名称</w:t>
            </w:r>
          </w:p>
        </w:tc>
        <w:tc>
          <w:tcPr>
            <w:tcW w:w="696" w:type="pct"/>
            <w:vMerge w:val="restart"/>
            <w:vAlign w:val="center"/>
          </w:tcPr>
          <w:p w14:paraId="01C7768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单位</w:t>
            </w:r>
          </w:p>
        </w:tc>
        <w:tc>
          <w:tcPr>
            <w:tcW w:w="2425" w:type="pct"/>
            <w:gridSpan w:val="3"/>
            <w:vAlign w:val="center"/>
          </w:tcPr>
          <w:p w14:paraId="5C1B9DD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工程排放量</w:t>
            </w:r>
          </w:p>
        </w:tc>
      </w:tr>
      <w:tr w14:paraId="1ABF7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tblHeader/>
          <w:jc w:val="center"/>
        </w:trPr>
        <w:tc>
          <w:tcPr>
            <w:tcW w:w="699" w:type="pct"/>
            <w:vMerge w:val="continue"/>
            <w:vAlign w:val="center"/>
          </w:tcPr>
          <w:p w14:paraId="2C981BD1">
            <w:pPr>
              <w:spacing w:line="240" w:lineRule="auto"/>
              <w:ind w:firstLine="0" w:firstLineChars="0"/>
              <w:jc w:val="center"/>
              <w:rPr>
                <w:rFonts w:hint="eastAsia"/>
                <w:color w:val="auto"/>
                <w:sz w:val="21"/>
                <w:szCs w:val="21"/>
                <w:highlight w:val="none"/>
                <w:u w:val="none"/>
              </w:rPr>
            </w:pPr>
          </w:p>
        </w:tc>
        <w:tc>
          <w:tcPr>
            <w:tcW w:w="1180" w:type="pct"/>
            <w:vMerge w:val="continue"/>
            <w:vAlign w:val="center"/>
          </w:tcPr>
          <w:p w14:paraId="626FF106">
            <w:pPr>
              <w:spacing w:line="240" w:lineRule="auto"/>
              <w:ind w:firstLine="0" w:firstLineChars="0"/>
              <w:jc w:val="center"/>
              <w:rPr>
                <w:rFonts w:hint="eastAsia"/>
                <w:color w:val="auto"/>
                <w:sz w:val="21"/>
                <w:szCs w:val="21"/>
                <w:highlight w:val="none"/>
                <w:u w:val="none"/>
              </w:rPr>
            </w:pPr>
          </w:p>
        </w:tc>
        <w:tc>
          <w:tcPr>
            <w:tcW w:w="696" w:type="pct"/>
            <w:vMerge w:val="continue"/>
            <w:vAlign w:val="center"/>
          </w:tcPr>
          <w:p w14:paraId="7B7E53AF">
            <w:pPr>
              <w:spacing w:line="240" w:lineRule="auto"/>
              <w:ind w:firstLine="0" w:firstLineChars="0"/>
              <w:jc w:val="center"/>
              <w:rPr>
                <w:rFonts w:hint="eastAsia"/>
                <w:color w:val="auto"/>
                <w:sz w:val="21"/>
                <w:szCs w:val="21"/>
                <w:highlight w:val="none"/>
                <w:u w:val="none"/>
              </w:rPr>
            </w:pPr>
          </w:p>
        </w:tc>
        <w:tc>
          <w:tcPr>
            <w:tcW w:w="851" w:type="pct"/>
            <w:vAlign w:val="center"/>
          </w:tcPr>
          <w:p w14:paraId="385D5EF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有组织废气</w:t>
            </w:r>
          </w:p>
        </w:tc>
        <w:tc>
          <w:tcPr>
            <w:tcW w:w="816" w:type="pct"/>
            <w:vAlign w:val="center"/>
          </w:tcPr>
          <w:p w14:paraId="7111872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无组织废气</w:t>
            </w:r>
          </w:p>
        </w:tc>
        <w:tc>
          <w:tcPr>
            <w:tcW w:w="758" w:type="pct"/>
            <w:vAlign w:val="center"/>
          </w:tcPr>
          <w:p w14:paraId="487A669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排放量合计</w:t>
            </w:r>
          </w:p>
        </w:tc>
      </w:tr>
      <w:tr w14:paraId="74A48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restart"/>
            <w:vAlign w:val="center"/>
          </w:tcPr>
          <w:p w14:paraId="3F1E414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废气</w:t>
            </w:r>
          </w:p>
          <w:p w14:paraId="06BA16A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1180" w:type="pct"/>
            <w:vAlign w:val="center"/>
          </w:tcPr>
          <w:p w14:paraId="2C030B4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废气量</w:t>
            </w:r>
          </w:p>
        </w:tc>
        <w:tc>
          <w:tcPr>
            <w:tcW w:w="696" w:type="pct"/>
            <w:vAlign w:val="center"/>
          </w:tcPr>
          <w:p w14:paraId="0BD4BF7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万m</w:t>
            </w:r>
            <w:r>
              <w:rPr>
                <w:color w:val="auto"/>
                <w:sz w:val="21"/>
                <w:szCs w:val="21"/>
                <w:highlight w:val="none"/>
                <w:u w:val="none"/>
                <w:vertAlign w:val="superscript"/>
              </w:rPr>
              <w:t>3</w:t>
            </w:r>
            <w:r>
              <w:rPr>
                <w:color w:val="auto"/>
                <w:sz w:val="21"/>
                <w:szCs w:val="21"/>
                <w:highlight w:val="none"/>
                <w:u w:val="none"/>
              </w:rPr>
              <w:t>/a</w:t>
            </w:r>
          </w:p>
        </w:tc>
        <w:tc>
          <w:tcPr>
            <w:tcW w:w="851" w:type="pct"/>
            <w:vAlign w:val="center"/>
          </w:tcPr>
          <w:p w14:paraId="7BC2312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4.88×10</w:t>
            </w:r>
            <w:r>
              <w:rPr>
                <w:color w:val="auto"/>
                <w:sz w:val="21"/>
                <w:szCs w:val="21"/>
                <w:highlight w:val="none"/>
                <w:u w:val="none"/>
                <w:vertAlign w:val="superscript"/>
              </w:rPr>
              <w:t>5</w:t>
            </w:r>
          </w:p>
        </w:tc>
        <w:tc>
          <w:tcPr>
            <w:tcW w:w="816" w:type="pct"/>
            <w:vAlign w:val="center"/>
          </w:tcPr>
          <w:p w14:paraId="63E4F88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758" w:type="pct"/>
            <w:vAlign w:val="center"/>
          </w:tcPr>
          <w:p w14:paraId="621FAFB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4.88×10</w:t>
            </w:r>
            <w:r>
              <w:rPr>
                <w:color w:val="auto"/>
                <w:sz w:val="21"/>
                <w:szCs w:val="21"/>
                <w:highlight w:val="none"/>
                <w:u w:val="none"/>
                <w:vertAlign w:val="superscript"/>
              </w:rPr>
              <w:t>5</w:t>
            </w:r>
          </w:p>
        </w:tc>
      </w:tr>
      <w:tr w14:paraId="5C143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674DD96A">
            <w:pPr>
              <w:spacing w:line="240" w:lineRule="auto"/>
              <w:ind w:firstLine="0" w:firstLineChars="0"/>
              <w:jc w:val="center"/>
              <w:rPr>
                <w:rFonts w:hint="eastAsia"/>
                <w:color w:val="auto"/>
                <w:sz w:val="21"/>
                <w:szCs w:val="21"/>
                <w:highlight w:val="none"/>
                <w:u w:val="none"/>
              </w:rPr>
            </w:pPr>
          </w:p>
        </w:tc>
        <w:tc>
          <w:tcPr>
            <w:tcW w:w="1180" w:type="pct"/>
            <w:vAlign w:val="center"/>
          </w:tcPr>
          <w:p w14:paraId="309AAE1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NH</w:t>
            </w:r>
            <w:r>
              <w:rPr>
                <w:color w:val="auto"/>
                <w:sz w:val="21"/>
                <w:szCs w:val="21"/>
                <w:highlight w:val="none"/>
                <w:u w:val="none"/>
                <w:vertAlign w:val="subscript"/>
              </w:rPr>
              <w:t>3</w:t>
            </w:r>
          </w:p>
        </w:tc>
        <w:tc>
          <w:tcPr>
            <w:tcW w:w="696" w:type="pct"/>
            <w:vAlign w:val="center"/>
          </w:tcPr>
          <w:p w14:paraId="3916A35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348536C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56.1</w:t>
            </w:r>
          </w:p>
        </w:tc>
        <w:tc>
          <w:tcPr>
            <w:tcW w:w="816" w:type="pct"/>
            <w:vAlign w:val="center"/>
          </w:tcPr>
          <w:p w14:paraId="7592E83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0.432</w:t>
            </w:r>
          </w:p>
        </w:tc>
        <w:tc>
          <w:tcPr>
            <w:tcW w:w="758" w:type="pct"/>
            <w:vAlign w:val="center"/>
          </w:tcPr>
          <w:p w14:paraId="1FE2D50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56.532</w:t>
            </w:r>
          </w:p>
        </w:tc>
      </w:tr>
      <w:tr w14:paraId="1DE67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0F63A51F">
            <w:pPr>
              <w:spacing w:line="240" w:lineRule="auto"/>
              <w:ind w:firstLine="0" w:firstLineChars="0"/>
              <w:jc w:val="center"/>
              <w:rPr>
                <w:rFonts w:hint="eastAsia"/>
                <w:color w:val="auto"/>
                <w:sz w:val="21"/>
                <w:szCs w:val="21"/>
                <w:highlight w:val="none"/>
                <w:u w:val="none"/>
              </w:rPr>
            </w:pPr>
          </w:p>
        </w:tc>
        <w:tc>
          <w:tcPr>
            <w:tcW w:w="1180" w:type="pct"/>
            <w:vAlign w:val="center"/>
          </w:tcPr>
          <w:p w14:paraId="7CC25D1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NO</w:t>
            </w:r>
            <w:r>
              <w:rPr>
                <w:color w:val="auto"/>
                <w:sz w:val="21"/>
                <w:szCs w:val="21"/>
                <w:highlight w:val="none"/>
                <w:u w:val="none"/>
                <w:vertAlign w:val="subscript"/>
              </w:rPr>
              <w:t>x</w:t>
            </w:r>
          </w:p>
        </w:tc>
        <w:tc>
          <w:tcPr>
            <w:tcW w:w="696" w:type="pct"/>
            <w:vAlign w:val="center"/>
          </w:tcPr>
          <w:p w14:paraId="477947F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12CAB31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280.8</w:t>
            </w:r>
          </w:p>
        </w:tc>
        <w:tc>
          <w:tcPr>
            <w:tcW w:w="816" w:type="pct"/>
            <w:vAlign w:val="center"/>
          </w:tcPr>
          <w:p w14:paraId="0544289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8.64</w:t>
            </w:r>
          </w:p>
        </w:tc>
        <w:tc>
          <w:tcPr>
            <w:tcW w:w="758" w:type="pct"/>
            <w:vAlign w:val="center"/>
          </w:tcPr>
          <w:p w14:paraId="22D69A3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289.44</w:t>
            </w:r>
          </w:p>
        </w:tc>
      </w:tr>
      <w:tr w14:paraId="5489B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2CD0738E">
            <w:pPr>
              <w:spacing w:line="240" w:lineRule="auto"/>
              <w:ind w:firstLine="0" w:firstLineChars="0"/>
              <w:jc w:val="center"/>
              <w:rPr>
                <w:rFonts w:hint="eastAsia"/>
                <w:color w:val="auto"/>
                <w:sz w:val="21"/>
                <w:szCs w:val="21"/>
                <w:highlight w:val="none"/>
                <w:u w:val="none"/>
              </w:rPr>
            </w:pPr>
          </w:p>
        </w:tc>
        <w:tc>
          <w:tcPr>
            <w:tcW w:w="1180" w:type="pct"/>
            <w:vAlign w:val="center"/>
          </w:tcPr>
          <w:p w14:paraId="53EDD31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w:t>
            </w:r>
          </w:p>
        </w:tc>
        <w:tc>
          <w:tcPr>
            <w:tcW w:w="696" w:type="pct"/>
            <w:vAlign w:val="center"/>
          </w:tcPr>
          <w:p w14:paraId="65C7342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2627A09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5949A3F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0.6</w:t>
            </w:r>
          </w:p>
        </w:tc>
        <w:tc>
          <w:tcPr>
            <w:tcW w:w="758" w:type="pct"/>
            <w:vAlign w:val="center"/>
          </w:tcPr>
          <w:p w14:paraId="7923268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0.6</w:t>
            </w:r>
          </w:p>
        </w:tc>
      </w:tr>
      <w:tr w14:paraId="060DD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416E5EF2">
            <w:pPr>
              <w:spacing w:line="240" w:lineRule="auto"/>
              <w:ind w:firstLine="0" w:firstLineChars="0"/>
              <w:jc w:val="center"/>
              <w:rPr>
                <w:rFonts w:hint="eastAsia"/>
                <w:color w:val="auto"/>
                <w:sz w:val="21"/>
                <w:szCs w:val="21"/>
                <w:highlight w:val="none"/>
                <w:u w:val="none"/>
              </w:rPr>
            </w:pPr>
          </w:p>
        </w:tc>
        <w:tc>
          <w:tcPr>
            <w:tcW w:w="1180" w:type="pct"/>
            <w:vAlign w:val="center"/>
          </w:tcPr>
          <w:p w14:paraId="423D3E2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硝基苯</w:t>
            </w:r>
          </w:p>
        </w:tc>
        <w:tc>
          <w:tcPr>
            <w:tcW w:w="696" w:type="pct"/>
            <w:vAlign w:val="center"/>
          </w:tcPr>
          <w:p w14:paraId="42857E7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1652369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6B05D72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1.11</w:t>
            </w:r>
          </w:p>
        </w:tc>
        <w:tc>
          <w:tcPr>
            <w:tcW w:w="758" w:type="pct"/>
            <w:vAlign w:val="center"/>
          </w:tcPr>
          <w:p w14:paraId="5A1C2D9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1.11</w:t>
            </w:r>
          </w:p>
        </w:tc>
      </w:tr>
      <w:tr w14:paraId="3DF37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5B0C2A82">
            <w:pPr>
              <w:spacing w:line="240" w:lineRule="auto"/>
              <w:ind w:firstLine="0" w:firstLineChars="0"/>
              <w:jc w:val="center"/>
              <w:rPr>
                <w:rFonts w:hint="eastAsia"/>
                <w:color w:val="auto"/>
                <w:sz w:val="21"/>
                <w:szCs w:val="21"/>
                <w:highlight w:val="none"/>
                <w:u w:val="none"/>
              </w:rPr>
            </w:pPr>
          </w:p>
        </w:tc>
        <w:tc>
          <w:tcPr>
            <w:tcW w:w="1180" w:type="pct"/>
            <w:vAlign w:val="center"/>
          </w:tcPr>
          <w:p w14:paraId="7CC7A20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苯胺</w:t>
            </w:r>
          </w:p>
        </w:tc>
        <w:tc>
          <w:tcPr>
            <w:tcW w:w="696" w:type="pct"/>
            <w:vAlign w:val="center"/>
          </w:tcPr>
          <w:p w14:paraId="119EE5F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17E91A4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64A1348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1.35</w:t>
            </w:r>
          </w:p>
        </w:tc>
        <w:tc>
          <w:tcPr>
            <w:tcW w:w="758" w:type="pct"/>
            <w:vAlign w:val="center"/>
          </w:tcPr>
          <w:p w14:paraId="17694E7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1.35</w:t>
            </w:r>
          </w:p>
        </w:tc>
      </w:tr>
      <w:tr w14:paraId="4C091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3FB92F75">
            <w:pPr>
              <w:spacing w:line="240" w:lineRule="auto"/>
              <w:ind w:firstLine="0" w:firstLineChars="0"/>
              <w:jc w:val="center"/>
              <w:rPr>
                <w:rFonts w:hint="eastAsia"/>
                <w:color w:val="auto"/>
                <w:sz w:val="21"/>
                <w:szCs w:val="21"/>
                <w:highlight w:val="none"/>
                <w:u w:val="none"/>
              </w:rPr>
            </w:pPr>
          </w:p>
        </w:tc>
        <w:tc>
          <w:tcPr>
            <w:tcW w:w="1180" w:type="pct"/>
            <w:vAlign w:val="center"/>
          </w:tcPr>
          <w:p w14:paraId="3E5E6F9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VOCs</w:t>
            </w:r>
          </w:p>
        </w:tc>
        <w:tc>
          <w:tcPr>
            <w:tcW w:w="696" w:type="pct"/>
            <w:vAlign w:val="center"/>
          </w:tcPr>
          <w:p w14:paraId="47EB2C9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241ACD6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334626B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3.06</w:t>
            </w:r>
          </w:p>
        </w:tc>
        <w:tc>
          <w:tcPr>
            <w:tcW w:w="758" w:type="pct"/>
            <w:vAlign w:val="center"/>
          </w:tcPr>
          <w:p w14:paraId="2547BC2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3.06</w:t>
            </w:r>
          </w:p>
        </w:tc>
      </w:tr>
      <w:tr w14:paraId="1B309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Align w:val="center"/>
          </w:tcPr>
          <w:p w14:paraId="13DE31F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废水</w:t>
            </w:r>
          </w:p>
        </w:tc>
        <w:tc>
          <w:tcPr>
            <w:tcW w:w="1180" w:type="pct"/>
            <w:vAlign w:val="center"/>
          </w:tcPr>
          <w:p w14:paraId="4E2EF28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污染物名称</w:t>
            </w:r>
          </w:p>
        </w:tc>
        <w:tc>
          <w:tcPr>
            <w:tcW w:w="696" w:type="pct"/>
            <w:vAlign w:val="center"/>
          </w:tcPr>
          <w:p w14:paraId="7A1BB25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单位</w:t>
            </w:r>
          </w:p>
        </w:tc>
        <w:tc>
          <w:tcPr>
            <w:tcW w:w="851" w:type="pct"/>
            <w:vAlign w:val="center"/>
          </w:tcPr>
          <w:p w14:paraId="1395600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综合废水处理后排海</w:t>
            </w:r>
          </w:p>
        </w:tc>
        <w:tc>
          <w:tcPr>
            <w:tcW w:w="816" w:type="pct"/>
            <w:vAlign w:val="center"/>
          </w:tcPr>
          <w:p w14:paraId="64922E8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园区污水处理厂处理后排海</w:t>
            </w:r>
          </w:p>
        </w:tc>
        <w:tc>
          <w:tcPr>
            <w:tcW w:w="758" w:type="pct"/>
            <w:vAlign w:val="center"/>
          </w:tcPr>
          <w:p w14:paraId="570FFB8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排放量合计</w:t>
            </w:r>
          </w:p>
        </w:tc>
      </w:tr>
      <w:tr w14:paraId="2C3C9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restart"/>
            <w:vAlign w:val="center"/>
          </w:tcPr>
          <w:p w14:paraId="3324255C">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废水污染物</w:t>
            </w:r>
            <w:r>
              <w:rPr>
                <w:rFonts w:hint="eastAsia"/>
                <w:color w:val="auto"/>
                <w:sz w:val="21"/>
                <w:szCs w:val="21"/>
                <w:highlight w:val="none"/>
                <w:u w:val="none"/>
                <w:lang w:val="en-US"/>
              </w:rPr>
              <w:t>*</w:t>
            </w:r>
          </w:p>
        </w:tc>
        <w:tc>
          <w:tcPr>
            <w:tcW w:w="1180" w:type="pct"/>
            <w:vAlign w:val="center"/>
          </w:tcPr>
          <w:p w14:paraId="0CBA159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废水量</w:t>
            </w:r>
          </w:p>
        </w:tc>
        <w:tc>
          <w:tcPr>
            <w:tcW w:w="696" w:type="pct"/>
            <w:vAlign w:val="center"/>
          </w:tcPr>
          <w:p w14:paraId="59DBDDA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62D45E8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1116288</w:t>
            </w:r>
          </w:p>
        </w:tc>
        <w:tc>
          <w:tcPr>
            <w:tcW w:w="816" w:type="pct"/>
            <w:vAlign w:val="center"/>
          </w:tcPr>
          <w:p w14:paraId="083A9C9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1701540</w:t>
            </w:r>
          </w:p>
        </w:tc>
        <w:tc>
          <w:tcPr>
            <w:tcW w:w="758" w:type="pct"/>
            <w:vAlign w:val="center"/>
          </w:tcPr>
          <w:p w14:paraId="4B94F30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2817828</w:t>
            </w:r>
          </w:p>
        </w:tc>
      </w:tr>
      <w:tr w14:paraId="6B4FD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2CB9F592">
            <w:pPr>
              <w:spacing w:line="240" w:lineRule="auto"/>
              <w:ind w:firstLine="0" w:firstLineChars="0"/>
              <w:jc w:val="center"/>
              <w:rPr>
                <w:rFonts w:hint="eastAsia"/>
                <w:color w:val="auto"/>
                <w:sz w:val="21"/>
                <w:szCs w:val="21"/>
                <w:highlight w:val="none"/>
                <w:u w:val="none"/>
              </w:rPr>
            </w:pPr>
          </w:p>
        </w:tc>
        <w:tc>
          <w:tcPr>
            <w:tcW w:w="1180" w:type="pct"/>
            <w:vAlign w:val="center"/>
          </w:tcPr>
          <w:p w14:paraId="750EAC8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COD</w:t>
            </w:r>
          </w:p>
        </w:tc>
        <w:tc>
          <w:tcPr>
            <w:tcW w:w="696" w:type="pct"/>
            <w:vAlign w:val="center"/>
          </w:tcPr>
          <w:p w14:paraId="4EFD32E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6297620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55.8</w:t>
            </w:r>
          </w:p>
        </w:tc>
        <w:tc>
          <w:tcPr>
            <w:tcW w:w="816" w:type="pct"/>
            <w:vAlign w:val="center"/>
          </w:tcPr>
          <w:p w14:paraId="6498554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85.0</w:t>
            </w:r>
          </w:p>
        </w:tc>
        <w:tc>
          <w:tcPr>
            <w:tcW w:w="758" w:type="pct"/>
            <w:vAlign w:val="center"/>
          </w:tcPr>
          <w:p w14:paraId="430D2BA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140.8</w:t>
            </w:r>
          </w:p>
        </w:tc>
      </w:tr>
      <w:tr w14:paraId="3CDC0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71D228EC">
            <w:pPr>
              <w:spacing w:line="240" w:lineRule="auto"/>
              <w:ind w:firstLine="0" w:firstLineChars="0"/>
              <w:jc w:val="center"/>
              <w:rPr>
                <w:rFonts w:hint="eastAsia"/>
                <w:color w:val="auto"/>
                <w:sz w:val="21"/>
                <w:szCs w:val="21"/>
                <w:highlight w:val="none"/>
                <w:u w:val="none"/>
              </w:rPr>
            </w:pPr>
          </w:p>
        </w:tc>
        <w:tc>
          <w:tcPr>
            <w:tcW w:w="1180" w:type="pct"/>
            <w:vAlign w:val="center"/>
          </w:tcPr>
          <w:p w14:paraId="2678CF9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SS</w:t>
            </w:r>
          </w:p>
        </w:tc>
        <w:tc>
          <w:tcPr>
            <w:tcW w:w="696" w:type="pct"/>
            <w:vAlign w:val="center"/>
          </w:tcPr>
          <w:p w14:paraId="03C1607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2C9EE2C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666E46C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17.02</w:t>
            </w:r>
          </w:p>
        </w:tc>
        <w:tc>
          <w:tcPr>
            <w:tcW w:w="758" w:type="pct"/>
            <w:vAlign w:val="center"/>
          </w:tcPr>
          <w:p w14:paraId="2F9D33E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17.02</w:t>
            </w:r>
          </w:p>
        </w:tc>
      </w:tr>
      <w:tr w14:paraId="07356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6063118F">
            <w:pPr>
              <w:spacing w:line="240" w:lineRule="auto"/>
              <w:ind w:firstLine="0" w:firstLineChars="0"/>
              <w:jc w:val="center"/>
              <w:rPr>
                <w:rFonts w:hint="eastAsia"/>
                <w:color w:val="auto"/>
                <w:sz w:val="21"/>
                <w:szCs w:val="21"/>
                <w:highlight w:val="none"/>
                <w:u w:val="none"/>
              </w:rPr>
            </w:pPr>
          </w:p>
        </w:tc>
        <w:tc>
          <w:tcPr>
            <w:tcW w:w="1180" w:type="pct"/>
            <w:vAlign w:val="center"/>
          </w:tcPr>
          <w:p w14:paraId="53A58F2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氨氮</w:t>
            </w:r>
          </w:p>
        </w:tc>
        <w:tc>
          <w:tcPr>
            <w:tcW w:w="696" w:type="pct"/>
            <w:vAlign w:val="center"/>
          </w:tcPr>
          <w:p w14:paraId="11720D8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5F7DFAF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5.58</w:t>
            </w:r>
          </w:p>
        </w:tc>
        <w:tc>
          <w:tcPr>
            <w:tcW w:w="816" w:type="pct"/>
            <w:vAlign w:val="center"/>
          </w:tcPr>
          <w:p w14:paraId="7F129AE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8.51</w:t>
            </w:r>
          </w:p>
        </w:tc>
        <w:tc>
          <w:tcPr>
            <w:tcW w:w="758" w:type="pct"/>
            <w:vAlign w:val="center"/>
          </w:tcPr>
          <w:p w14:paraId="07CE0F8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14.09</w:t>
            </w:r>
          </w:p>
        </w:tc>
      </w:tr>
      <w:tr w14:paraId="37A93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275CA637">
            <w:pPr>
              <w:spacing w:line="240" w:lineRule="auto"/>
              <w:ind w:firstLine="0" w:firstLineChars="0"/>
              <w:jc w:val="center"/>
              <w:rPr>
                <w:rFonts w:hint="eastAsia"/>
                <w:color w:val="auto"/>
                <w:sz w:val="21"/>
                <w:szCs w:val="21"/>
                <w:highlight w:val="none"/>
                <w:u w:val="none"/>
              </w:rPr>
            </w:pPr>
          </w:p>
        </w:tc>
        <w:tc>
          <w:tcPr>
            <w:tcW w:w="1180" w:type="pct"/>
            <w:vAlign w:val="center"/>
          </w:tcPr>
          <w:p w14:paraId="286146C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BOD</w:t>
            </w:r>
            <w:r>
              <w:rPr>
                <w:color w:val="auto"/>
                <w:sz w:val="21"/>
                <w:szCs w:val="21"/>
                <w:highlight w:val="none"/>
                <w:u w:val="none"/>
                <w:vertAlign w:val="subscript"/>
              </w:rPr>
              <w:t>5</w:t>
            </w:r>
          </w:p>
        </w:tc>
        <w:tc>
          <w:tcPr>
            <w:tcW w:w="696" w:type="pct"/>
            <w:vAlign w:val="center"/>
          </w:tcPr>
          <w:p w14:paraId="36E5F08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2E484A0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11.16</w:t>
            </w:r>
          </w:p>
        </w:tc>
        <w:tc>
          <w:tcPr>
            <w:tcW w:w="816" w:type="pct"/>
            <w:vAlign w:val="center"/>
          </w:tcPr>
          <w:p w14:paraId="264C94C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0.97</w:t>
            </w:r>
          </w:p>
        </w:tc>
        <w:tc>
          <w:tcPr>
            <w:tcW w:w="758" w:type="pct"/>
            <w:vAlign w:val="center"/>
          </w:tcPr>
          <w:p w14:paraId="62F3A26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12.13</w:t>
            </w:r>
          </w:p>
        </w:tc>
      </w:tr>
      <w:tr w14:paraId="17898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729BD9CE">
            <w:pPr>
              <w:spacing w:line="240" w:lineRule="auto"/>
              <w:ind w:firstLine="0" w:firstLineChars="0"/>
              <w:jc w:val="center"/>
              <w:rPr>
                <w:rFonts w:hint="eastAsia"/>
                <w:color w:val="auto"/>
                <w:sz w:val="21"/>
                <w:szCs w:val="21"/>
                <w:highlight w:val="none"/>
                <w:u w:val="none"/>
              </w:rPr>
            </w:pPr>
          </w:p>
        </w:tc>
        <w:tc>
          <w:tcPr>
            <w:tcW w:w="1180" w:type="pct"/>
            <w:vAlign w:val="center"/>
          </w:tcPr>
          <w:p w14:paraId="5FFFAF7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w:t>
            </w:r>
          </w:p>
        </w:tc>
        <w:tc>
          <w:tcPr>
            <w:tcW w:w="696" w:type="pct"/>
            <w:vAlign w:val="center"/>
          </w:tcPr>
          <w:p w14:paraId="6EFB5D5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3C38CF2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0.111</w:t>
            </w:r>
          </w:p>
        </w:tc>
        <w:tc>
          <w:tcPr>
            <w:tcW w:w="816" w:type="pct"/>
            <w:vAlign w:val="center"/>
          </w:tcPr>
          <w:p w14:paraId="6A6F475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758" w:type="pct"/>
            <w:vAlign w:val="center"/>
          </w:tcPr>
          <w:p w14:paraId="4A115F8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0.111</w:t>
            </w:r>
          </w:p>
        </w:tc>
      </w:tr>
      <w:tr w14:paraId="6AD7C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12B91A06">
            <w:pPr>
              <w:spacing w:line="240" w:lineRule="auto"/>
              <w:ind w:firstLine="0" w:firstLineChars="0"/>
              <w:jc w:val="center"/>
              <w:rPr>
                <w:rFonts w:hint="eastAsia"/>
                <w:color w:val="auto"/>
                <w:sz w:val="21"/>
                <w:szCs w:val="21"/>
                <w:highlight w:val="none"/>
                <w:u w:val="none"/>
              </w:rPr>
            </w:pPr>
          </w:p>
        </w:tc>
        <w:tc>
          <w:tcPr>
            <w:tcW w:w="1180" w:type="pct"/>
            <w:vAlign w:val="center"/>
          </w:tcPr>
          <w:p w14:paraId="622802F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硝基苯</w:t>
            </w:r>
          </w:p>
        </w:tc>
        <w:tc>
          <w:tcPr>
            <w:tcW w:w="696" w:type="pct"/>
            <w:vAlign w:val="center"/>
          </w:tcPr>
          <w:p w14:paraId="34068CB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7A50C07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2.232</w:t>
            </w:r>
          </w:p>
        </w:tc>
        <w:tc>
          <w:tcPr>
            <w:tcW w:w="816" w:type="pct"/>
            <w:vAlign w:val="center"/>
          </w:tcPr>
          <w:p w14:paraId="06F45E5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1.191</w:t>
            </w:r>
          </w:p>
        </w:tc>
        <w:tc>
          <w:tcPr>
            <w:tcW w:w="758" w:type="pct"/>
            <w:vAlign w:val="center"/>
          </w:tcPr>
          <w:p w14:paraId="67D4D40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3.423</w:t>
            </w:r>
          </w:p>
        </w:tc>
      </w:tr>
      <w:tr w14:paraId="608D8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741599BB">
            <w:pPr>
              <w:spacing w:line="240" w:lineRule="auto"/>
              <w:ind w:firstLine="0" w:firstLineChars="0"/>
              <w:jc w:val="center"/>
              <w:rPr>
                <w:rFonts w:hint="eastAsia"/>
                <w:color w:val="auto"/>
                <w:sz w:val="21"/>
                <w:szCs w:val="21"/>
                <w:highlight w:val="none"/>
                <w:u w:val="none"/>
              </w:rPr>
            </w:pPr>
          </w:p>
        </w:tc>
        <w:tc>
          <w:tcPr>
            <w:tcW w:w="1180" w:type="pct"/>
            <w:vAlign w:val="center"/>
          </w:tcPr>
          <w:p w14:paraId="7BB79F2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苯胺</w:t>
            </w:r>
          </w:p>
        </w:tc>
        <w:tc>
          <w:tcPr>
            <w:tcW w:w="696" w:type="pct"/>
            <w:vAlign w:val="center"/>
          </w:tcPr>
          <w:p w14:paraId="4E62987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3780686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816" w:type="pct"/>
            <w:vAlign w:val="center"/>
          </w:tcPr>
          <w:p w14:paraId="5431CFF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0.851</w:t>
            </w:r>
          </w:p>
        </w:tc>
        <w:tc>
          <w:tcPr>
            <w:tcW w:w="758" w:type="pct"/>
            <w:vAlign w:val="center"/>
          </w:tcPr>
          <w:p w14:paraId="1605334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0.851</w:t>
            </w:r>
          </w:p>
        </w:tc>
      </w:tr>
      <w:tr w14:paraId="689D9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31644148">
            <w:pPr>
              <w:spacing w:line="240" w:lineRule="auto"/>
              <w:ind w:firstLine="0" w:firstLineChars="0"/>
              <w:jc w:val="center"/>
              <w:rPr>
                <w:rFonts w:hint="eastAsia"/>
                <w:color w:val="auto"/>
                <w:sz w:val="21"/>
                <w:szCs w:val="21"/>
                <w:highlight w:val="none"/>
                <w:u w:val="none"/>
              </w:rPr>
            </w:pPr>
          </w:p>
        </w:tc>
        <w:tc>
          <w:tcPr>
            <w:tcW w:w="1180" w:type="pct"/>
            <w:vAlign w:val="center"/>
          </w:tcPr>
          <w:p w14:paraId="6E29312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酚盐</w:t>
            </w:r>
          </w:p>
        </w:tc>
        <w:tc>
          <w:tcPr>
            <w:tcW w:w="696" w:type="pct"/>
            <w:vAlign w:val="center"/>
          </w:tcPr>
          <w:p w14:paraId="3D50C39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5E6C913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39</w:t>
            </w:r>
          </w:p>
        </w:tc>
        <w:tc>
          <w:tcPr>
            <w:tcW w:w="816" w:type="pct"/>
            <w:vAlign w:val="center"/>
          </w:tcPr>
          <w:p w14:paraId="060C7DA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758" w:type="pct"/>
            <w:vAlign w:val="center"/>
          </w:tcPr>
          <w:p w14:paraId="283DDEE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39</w:t>
            </w:r>
          </w:p>
        </w:tc>
      </w:tr>
      <w:tr w14:paraId="0FA54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restart"/>
            <w:vAlign w:val="center"/>
          </w:tcPr>
          <w:p w14:paraId="7FAB07E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固体废物</w:t>
            </w:r>
          </w:p>
        </w:tc>
        <w:tc>
          <w:tcPr>
            <w:tcW w:w="1180" w:type="pct"/>
            <w:vAlign w:val="center"/>
          </w:tcPr>
          <w:p w14:paraId="5F5BEF7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废氨转化催化剂</w:t>
            </w:r>
          </w:p>
        </w:tc>
        <w:tc>
          <w:tcPr>
            <w:tcW w:w="696" w:type="pct"/>
            <w:vAlign w:val="center"/>
          </w:tcPr>
          <w:p w14:paraId="64FE25C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04FB5D8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259.2 kg/a</w:t>
            </w:r>
          </w:p>
        </w:tc>
        <w:tc>
          <w:tcPr>
            <w:tcW w:w="816" w:type="pct"/>
            <w:vAlign w:val="center"/>
          </w:tcPr>
          <w:p w14:paraId="3A405DB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259.2 kg/a</w:t>
            </w:r>
          </w:p>
        </w:tc>
        <w:tc>
          <w:tcPr>
            <w:tcW w:w="758" w:type="pct"/>
            <w:vAlign w:val="center"/>
          </w:tcPr>
          <w:p w14:paraId="5257DC2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46027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52999AEF">
            <w:pPr>
              <w:spacing w:line="240" w:lineRule="auto"/>
              <w:ind w:firstLine="0" w:firstLineChars="0"/>
              <w:jc w:val="center"/>
              <w:rPr>
                <w:rFonts w:hint="eastAsia"/>
                <w:color w:val="auto"/>
                <w:sz w:val="21"/>
                <w:szCs w:val="21"/>
                <w:highlight w:val="none"/>
                <w:u w:val="none"/>
              </w:rPr>
            </w:pPr>
          </w:p>
        </w:tc>
        <w:tc>
          <w:tcPr>
            <w:tcW w:w="1180" w:type="pct"/>
            <w:vAlign w:val="center"/>
          </w:tcPr>
          <w:p w14:paraId="69D99DB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废SCR催化剂</w:t>
            </w:r>
          </w:p>
        </w:tc>
        <w:tc>
          <w:tcPr>
            <w:tcW w:w="696" w:type="pct"/>
            <w:vAlign w:val="center"/>
          </w:tcPr>
          <w:p w14:paraId="5C84359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5709DAD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5.7</w:t>
            </w:r>
          </w:p>
        </w:tc>
        <w:tc>
          <w:tcPr>
            <w:tcW w:w="816" w:type="pct"/>
            <w:vAlign w:val="center"/>
          </w:tcPr>
          <w:p w14:paraId="301C7DC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5.7</w:t>
            </w:r>
          </w:p>
        </w:tc>
        <w:tc>
          <w:tcPr>
            <w:tcW w:w="758" w:type="pct"/>
            <w:vAlign w:val="center"/>
          </w:tcPr>
          <w:p w14:paraId="501162A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51AE8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68D1F702">
            <w:pPr>
              <w:spacing w:line="240" w:lineRule="auto"/>
              <w:ind w:firstLine="0" w:firstLineChars="0"/>
              <w:jc w:val="center"/>
              <w:rPr>
                <w:rFonts w:hint="eastAsia"/>
                <w:color w:val="auto"/>
                <w:sz w:val="21"/>
                <w:szCs w:val="21"/>
                <w:highlight w:val="none"/>
                <w:u w:val="none"/>
              </w:rPr>
            </w:pPr>
          </w:p>
        </w:tc>
        <w:tc>
          <w:tcPr>
            <w:tcW w:w="1180" w:type="pct"/>
            <w:vAlign w:val="center"/>
          </w:tcPr>
          <w:p w14:paraId="59FDF24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污苯</w:t>
            </w:r>
          </w:p>
        </w:tc>
        <w:tc>
          <w:tcPr>
            <w:tcW w:w="696" w:type="pct"/>
            <w:vAlign w:val="center"/>
          </w:tcPr>
          <w:p w14:paraId="7E444C8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1D37F25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570</w:t>
            </w:r>
          </w:p>
        </w:tc>
        <w:tc>
          <w:tcPr>
            <w:tcW w:w="816" w:type="pct"/>
            <w:vAlign w:val="center"/>
          </w:tcPr>
          <w:p w14:paraId="0658C8A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570</w:t>
            </w:r>
          </w:p>
        </w:tc>
        <w:tc>
          <w:tcPr>
            <w:tcW w:w="758" w:type="pct"/>
            <w:vAlign w:val="center"/>
          </w:tcPr>
          <w:p w14:paraId="1716685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4AC84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304C41DA">
            <w:pPr>
              <w:spacing w:line="240" w:lineRule="auto"/>
              <w:ind w:firstLine="0" w:firstLineChars="0"/>
              <w:jc w:val="center"/>
              <w:rPr>
                <w:rFonts w:hint="eastAsia"/>
                <w:color w:val="auto"/>
                <w:sz w:val="21"/>
                <w:szCs w:val="21"/>
                <w:highlight w:val="none"/>
                <w:u w:val="none"/>
              </w:rPr>
            </w:pPr>
          </w:p>
        </w:tc>
        <w:tc>
          <w:tcPr>
            <w:tcW w:w="1180" w:type="pct"/>
            <w:vAlign w:val="center"/>
          </w:tcPr>
          <w:p w14:paraId="78870F2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轻组分</w:t>
            </w:r>
          </w:p>
        </w:tc>
        <w:tc>
          <w:tcPr>
            <w:tcW w:w="696" w:type="pct"/>
            <w:vAlign w:val="center"/>
          </w:tcPr>
          <w:p w14:paraId="705D258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4075AEA5">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165</w:t>
            </w:r>
          </w:p>
        </w:tc>
        <w:tc>
          <w:tcPr>
            <w:tcW w:w="816" w:type="pct"/>
            <w:vAlign w:val="center"/>
          </w:tcPr>
          <w:p w14:paraId="7DB9BA7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165</w:t>
            </w:r>
          </w:p>
        </w:tc>
        <w:tc>
          <w:tcPr>
            <w:tcW w:w="758" w:type="pct"/>
            <w:vAlign w:val="center"/>
          </w:tcPr>
          <w:p w14:paraId="593469B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55422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7F8042E1">
            <w:pPr>
              <w:spacing w:line="240" w:lineRule="auto"/>
              <w:ind w:firstLine="0" w:firstLineChars="0"/>
              <w:jc w:val="center"/>
              <w:rPr>
                <w:rFonts w:hint="eastAsia"/>
                <w:color w:val="auto"/>
                <w:sz w:val="21"/>
                <w:szCs w:val="21"/>
                <w:highlight w:val="none"/>
                <w:u w:val="none"/>
              </w:rPr>
            </w:pPr>
          </w:p>
        </w:tc>
        <w:tc>
          <w:tcPr>
            <w:tcW w:w="1180" w:type="pct"/>
            <w:vAlign w:val="center"/>
          </w:tcPr>
          <w:p w14:paraId="7692B77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重组分</w:t>
            </w:r>
          </w:p>
          <w:p w14:paraId="7595F2B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（苯胺焦油）</w:t>
            </w:r>
          </w:p>
        </w:tc>
        <w:tc>
          <w:tcPr>
            <w:tcW w:w="696" w:type="pct"/>
            <w:vAlign w:val="center"/>
          </w:tcPr>
          <w:p w14:paraId="148DABF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1A0A762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5079</w:t>
            </w:r>
          </w:p>
        </w:tc>
        <w:tc>
          <w:tcPr>
            <w:tcW w:w="816" w:type="pct"/>
            <w:vAlign w:val="center"/>
          </w:tcPr>
          <w:p w14:paraId="1E6366B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5079</w:t>
            </w:r>
          </w:p>
        </w:tc>
        <w:tc>
          <w:tcPr>
            <w:tcW w:w="758" w:type="pct"/>
            <w:vAlign w:val="center"/>
          </w:tcPr>
          <w:p w14:paraId="666895A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1B0A0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6705FBEA">
            <w:pPr>
              <w:spacing w:line="240" w:lineRule="auto"/>
              <w:ind w:firstLine="0" w:firstLineChars="0"/>
              <w:jc w:val="center"/>
              <w:rPr>
                <w:rFonts w:hint="eastAsia"/>
                <w:color w:val="auto"/>
                <w:sz w:val="21"/>
                <w:szCs w:val="21"/>
                <w:highlight w:val="none"/>
                <w:u w:val="none"/>
              </w:rPr>
            </w:pPr>
          </w:p>
        </w:tc>
        <w:tc>
          <w:tcPr>
            <w:tcW w:w="1180" w:type="pct"/>
            <w:vAlign w:val="center"/>
          </w:tcPr>
          <w:p w14:paraId="6B9E2203">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废甲烷化催化剂</w:t>
            </w:r>
          </w:p>
        </w:tc>
        <w:tc>
          <w:tcPr>
            <w:tcW w:w="696" w:type="pct"/>
            <w:vAlign w:val="center"/>
          </w:tcPr>
          <w:p w14:paraId="2C8BBD69">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07EE236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w:t>
            </w:r>
          </w:p>
        </w:tc>
        <w:tc>
          <w:tcPr>
            <w:tcW w:w="816" w:type="pct"/>
            <w:vAlign w:val="center"/>
          </w:tcPr>
          <w:p w14:paraId="55D14ACF">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w:t>
            </w:r>
          </w:p>
        </w:tc>
        <w:tc>
          <w:tcPr>
            <w:tcW w:w="758" w:type="pct"/>
            <w:vAlign w:val="center"/>
          </w:tcPr>
          <w:p w14:paraId="592FD4F8">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0038F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6B7786A4">
            <w:pPr>
              <w:spacing w:line="240" w:lineRule="auto"/>
              <w:ind w:firstLine="0" w:firstLineChars="0"/>
              <w:jc w:val="center"/>
              <w:rPr>
                <w:rFonts w:hint="eastAsia"/>
                <w:color w:val="auto"/>
                <w:sz w:val="21"/>
                <w:szCs w:val="21"/>
                <w:highlight w:val="none"/>
                <w:u w:val="none"/>
              </w:rPr>
            </w:pPr>
          </w:p>
        </w:tc>
        <w:tc>
          <w:tcPr>
            <w:tcW w:w="1180" w:type="pct"/>
            <w:vAlign w:val="center"/>
          </w:tcPr>
          <w:p w14:paraId="637526B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废机油</w:t>
            </w:r>
          </w:p>
        </w:tc>
        <w:tc>
          <w:tcPr>
            <w:tcW w:w="696" w:type="pct"/>
            <w:vAlign w:val="center"/>
          </w:tcPr>
          <w:p w14:paraId="205BB62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7968481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15</w:t>
            </w:r>
          </w:p>
        </w:tc>
        <w:tc>
          <w:tcPr>
            <w:tcW w:w="816" w:type="pct"/>
            <w:vAlign w:val="center"/>
          </w:tcPr>
          <w:p w14:paraId="30A37F17">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15</w:t>
            </w:r>
          </w:p>
        </w:tc>
        <w:tc>
          <w:tcPr>
            <w:tcW w:w="758" w:type="pct"/>
            <w:vAlign w:val="center"/>
          </w:tcPr>
          <w:p w14:paraId="0B4F674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29612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2370ECB9">
            <w:pPr>
              <w:spacing w:line="240" w:lineRule="auto"/>
              <w:ind w:firstLine="0" w:firstLineChars="0"/>
              <w:jc w:val="center"/>
              <w:rPr>
                <w:rFonts w:hint="eastAsia"/>
                <w:color w:val="auto"/>
                <w:sz w:val="21"/>
                <w:szCs w:val="21"/>
                <w:highlight w:val="none"/>
                <w:u w:val="none"/>
              </w:rPr>
            </w:pPr>
          </w:p>
        </w:tc>
        <w:tc>
          <w:tcPr>
            <w:tcW w:w="1180" w:type="pct"/>
            <w:vAlign w:val="center"/>
          </w:tcPr>
          <w:p w14:paraId="3E36421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废纸盒，木板，塑料袋等</w:t>
            </w:r>
          </w:p>
        </w:tc>
        <w:tc>
          <w:tcPr>
            <w:tcW w:w="696" w:type="pct"/>
            <w:vAlign w:val="center"/>
          </w:tcPr>
          <w:p w14:paraId="429215C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795AD16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1.5</w:t>
            </w:r>
          </w:p>
        </w:tc>
        <w:tc>
          <w:tcPr>
            <w:tcW w:w="816" w:type="pct"/>
            <w:vAlign w:val="center"/>
          </w:tcPr>
          <w:p w14:paraId="2C1F5EC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1.5</w:t>
            </w:r>
          </w:p>
        </w:tc>
        <w:tc>
          <w:tcPr>
            <w:tcW w:w="758" w:type="pct"/>
            <w:vAlign w:val="center"/>
          </w:tcPr>
          <w:p w14:paraId="4A8347AA">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tr w14:paraId="5178A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699" w:type="pct"/>
            <w:vMerge w:val="continue"/>
            <w:vAlign w:val="center"/>
          </w:tcPr>
          <w:p w14:paraId="0E893DA1">
            <w:pPr>
              <w:spacing w:line="240" w:lineRule="auto"/>
              <w:ind w:firstLine="0" w:firstLineChars="0"/>
              <w:jc w:val="center"/>
              <w:rPr>
                <w:rFonts w:hint="eastAsia"/>
                <w:color w:val="auto"/>
                <w:sz w:val="21"/>
                <w:szCs w:val="21"/>
                <w:highlight w:val="none"/>
                <w:u w:val="none"/>
              </w:rPr>
            </w:pPr>
          </w:p>
        </w:tc>
        <w:tc>
          <w:tcPr>
            <w:tcW w:w="1180" w:type="pct"/>
            <w:vAlign w:val="center"/>
          </w:tcPr>
          <w:p w14:paraId="420DEF8D">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生活垃圾</w:t>
            </w:r>
          </w:p>
        </w:tc>
        <w:tc>
          <w:tcPr>
            <w:tcW w:w="696" w:type="pct"/>
            <w:vAlign w:val="center"/>
          </w:tcPr>
          <w:p w14:paraId="2BABD88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851" w:type="pct"/>
            <w:vAlign w:val="center"/>
          </w:tcPr>
          <w:p w14:paraId="7A9F7B6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32.4</w:t>
            </w:r>
          </w:p>
        </w:tc>
        <w:tc>
          <w:tcPr>
            <w:tcW w:w="816" w:type="pct"/>
            <w:vAlign w:val="center"/>
          </w:tcPr>
          <w:p w14:paraId="534D1021">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32.4</w:t>
            </w:r>
          </w:p>
        </w:tc>
        <w:tc>
          <w:tcPr>
            <w:tcW w:w="758" w:type="pct"/>
            <w:vAlign w:val="center"/>
          </w:tcPr>
          <w:p w14:paraId="4E709E60">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0</w:t>
            </w:r>
          </w:p>
        </w:tc>
      </w:tr>
      <w:bookmarkEnd w:id="200"/>
      <w:bookmarkEnd w:id="201"/>
      <w:bookmarkEnd w:id="202"/>
    </w:tbl>
    <w:p w14:paraId="1BD07A9D">
      <w:pPr>
        <w:pStyle w:val="1012"/>
        <w:ind w:firstLine="422"/>
        <w:rPr>
          <w:rFonts w:hint="eastAsia"/>
          <w:color w:val="auto"/>
          <w:highlight w:val="none"/>
          <w:u w:val="none"/>
          <w:lang w:val="en-US"/>
        </w:rPr>
      </w:pPr>
      <w:r>
        <w:rPr>
          <w:rFonts w:hint="eastAsia"/>
          <w:b/>
          <w:bCs/>
          <w:color w:val="auto"/>
          <w:sz w:val="21"/>
          <w:szCs w:val="21"/>
          <w:highlight w:val="none"/>
          <w:u w:val="none"/>
          <w:lang w:val="en-US"/>
        </w:rPr>
        <w:t>*注：废水为进入万华环保科技公司废水处理系统的排放量。</w:t>
      </w:r>
    </w:p>
    <w:p w14:paraId="27FC8DA3">
      <w:pPr>
        <w:pStyle w:val="4"/>
        <w:rPr>
          <w:color w:val="auto"/>
          <w:highlight w:val="none"/>
          <w:u w:val="none"/>
        </w:rPr>
      </w:pPr>
      <w:bookmarkStart w:id="204" w:name="_Toc12254"/>
      <w:r>
        <w:rPr>
          <w:rFonts w:hint="eastAsia"/>
          <w:color w:val="auto"/>
          <w:highlight w:val="none"/>
          <w:u w:val="none"/>
        </w:rPr>
        <w:t>扩建</w:t>
      </w:r>
      <w:r>
        <w:rPr>
          <w:color w:val="auto"/>
          <w:highlight w:val="none"/>
          <w:u w:val="none"/>
        </w:rPr>
        <w:t>36万吨/年TDI项目（TDI二期工程）</w:t>
      </w:r>
      <w:bookmarkEnd w:id="204"/>
    </w:p>
    <w:p w14:paraId="1ED26D53">
      <w:pPr>
        <w:pStyle w:val="5"/>
        <w:tabs>
          <w:tab w:val="left" w:pos="993"/>
        </w:tabs>
        <w:ind w:firstLine="480"/>
        <w:rPr>
          <w:rFonts w:hint="eastAsia"/>
          <w:color w:val="auto"/>
          <w:highlight w:val="none"/>
          <w:u w:val="none"/>
        </w:rPr>
      </w:pPr>
      <w:r>
        <w:rPr>
          <w:rFonts w:hint="eastAsia"/>
          <w:color w:val="auto"/>
          <w:highlight w:val="none"/>
          <w:u w:val="none"/>
        </w:rPr>
        <w:t>根据万华福建公司规划，其TDI总产能将扩建至72万吨/年，包括二期扩建36万吨/年、一期</w:t>
      </w:r>
      <w:r>
        <w:rPr>
          <w:rFonts w:hint="eastAsia"/>
          <w:color w:val="auto"/>
          <w:highlight w:val="none"/>
          <w:u w:val="none"/>
          <w:lang w:val="en-US"/>
        </w:rPr>
        <w:t>技改扩能</w:t>
      </w:r>
      <w:r>
        <w:rPr>
          <w:rFonts w:hint="eastAsia"/>
          <w:color w:val="auto"/>
          <w:highlight w:val="none"/>
          <w:u w:val="none"/>
        </w:rPr>
        <w:t>36万吨/年（本项目）。目前二期扩建36万吨/年TDI项目环境影响评价已委托福建省环境保护设计院有限公司正在编制中，</w:t>
      </w:r>
      <w:r>
        <w:rPr>
          <w:rFonts w:hint="eastAsia"/>
          <w:color w:val="auto"/>
          <w:highlight w:val="none"/>
          <w:u w:val="none"/>
          <w:lang w:val="en-US"/>
        </w:rPr>
        <w:t>该项目计划在本项目前先行建设</w:t>
      </w:r>
      <w:r>
        <w:rPr>
          <w:rFonts w:hint="eastAsia"/>
          <w:color w:val="auto"/>
          <w:highlight w:val="none"/>
          <w:u w:val="none"/>
        </w:rPr>
        <w:t>，因此本次评价将该项目作为现有工程进行回顾介绍。</w:t>
      </w:r>
    </w:p>
    <w:p w14:paraId="562EE573">
      <w:pPr>
        <w:pStyle w:val="5"/>
        <w:tabs>
          <w:tab w:val="left" w:pos="993"/>
        </w:tabs>
        <w:ind w:firstLine="48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6025529A">
      <w:pPr>
        <w:pStyle w:val="6"/>
        <w:spacing w:before="156" w:after="156"/>
        <w:rPr>
          <w:color w:val="auto"/>
          <w:highlight w:val="none"/>
          <w:u w:val="none"/>
        </w:rPr>
      </w:pPr>
      <w:r>
        <w:rPr>
          <w:rFonts w:hint="eastAsia"/>
          <w:color w:val="auto"/>
          <w:highlight w:val="none"/>
          <w:u w:val="none"/>
        </w:rPr>
        <w:t>产品方案、原辅材料与生产工艺</w:t>
      </w:r>
    </w:p>
    <w:p w14:paraId="290A1EB8">
      <w:pPr>
        <w:pStyle w:val="5"/>
        <w:tabs>
          <w:tab w:val="left" w:pos="993"/>
        </w:tabs>
        <w:ind w:firstLine="480"/>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0449504A">
      <w:pPr>
        <w:pStyle w:val="6"/>
        <w:spacing w:before="156" w:after="156"/>
        <w:rPr>
          <w:color w:val="auto"/>
          <w:highlight w:val="none"/>
          <w:u w:val="none"/>
          <w:lang w:val="en-US"/>
        </w:rPr>
      </w:pPr>
      <w:r>
        <w:rPr>
          <w:rFonts w:hint="eastAsia"/>
          <w:color w:val="auto"/>
          <w:highlight w:val="none"/>
          <w:u w:val="none"/>
          <w:lang w:val="en-US"/>
        </w:rPr>
        <w:t>工程污染防治措施</w:t>
      </w:r>
    </w:p>
    <w:p w14:paraId="0B99D963">
      <w:pPr>
        <w:pStyle w:val="7"/>
        <w:spacing w:before="156"/>
        <w:rPr>
          <w:color w:val="auto"/>
          <w:highlight w:val="none"/>
          <w:u w:val="none"/>
          <w:lang w:val="en-US"/>
        </w:rPr>
      </w:pPr>
      <w:r>
        <w:rPr>
          <w:rFonts w:hint="eastAsia"/>
          <w:color w:val="auto"/>
          <w:highlight w:val="none"/>
          <w:u w:val="none"/>
          <w:lang w:val="en-US"/>
        </w:rPr>
        <w:t>废气污染防治措施</w:t>
      </w:r>
    </w:p>
    <w:p w14:paraId="28356EC7">
      <w:pPr>
        <w:ind w:left="480" w:firstLine="0" w:firstLineChars="0"/>
        <w:rPr>
          <w:rFonts w:hint="eastAsia"/>
          <w:color w:val="auto"/>
          <w:highlight w:val="none"/>
          <w:u w:val="none"/>
          <w:lang w:val="en-US"/>
        </w:rPr>
      </w:pPr>
      <w:r>
        <w:rPr>
          <w:rFonts w:hint="eastAsia"/>
          <w:color w:val="auto"/>
          <w:highlight w:val="none"/>
          <w:u w:val="none"/>
          <w:lang w:val="en-US"/>
        </w:rPr>
        <w:t>（1）硝化单元</w:t>
      </w:r>
    </w:p>
    <w:p w14:paraId="24E78A88">
      <w:pPr>
        <w:numPr>
          <w:ilvl w:val="255"/>
          <w:numId w:val="0"/>
        </w:numPr>
        <w:ind w:firstLine="480" w:firstLineChars="200"/>
        <w:rPr>
          <w:rFonts w:hint="eastAsia"/>
          <w:color w:val="auto"/>
          <w:highlight w:val="none"/>
          <w:u w:val="none"/>
          <w:lang w:val="en-US"/>
        </w:rPr>
      </w:pPr>
      <w:r>
        <w:rPr>
          <w:rFonts w:hint="eastAsia"/>
          <w:color w:val="auto"/>
          <w:highlight w:val="none"/>
          <w:u w:val="none"/>
          <w:lang w:val="en-US"/>
        </w:rPr>
        <w:t>硝化单元包括酸性废气和碱性废气。酸性废气含</w:t>
      </w:r>
      <w:r>
        <w:rPr>
          <w:color w:val="auto"/>
          <w:highlight w:val="none"/>
          <w:u w:val="none"/>
        </w:rPr>
        <w:t>MNT废酸储罐、浓硝酸储罐呼吸气</w:t>
      </w:r>
      <w:r>
        <w:rPr>
          <w:rFonts w:hint="eastAsia"/>
          <w:color w:val="auto"/>
          <w:highlight w:val="none"/>
          <w:u w:val="none"/>
        </w:rPr>
        <w:t>，主要污染物为</w:t>
      </w:r>
      <w:r>
        <w:rPr>
          <w:color w:val="auto"/>
          <w:highlight w:val="none"/>
          <w:u w:val="none"/>
        </w:rPr>
        <w:t>少量NO</w:t>
      </w:r>
      <w:r>
        <w:rPr>
          <w:color w:val="auto"/>
          <w:highlight w:val="none"/>
          <w:u w:val="none"/>
          <w:vertAlign w:val="subscript"/>
        </w:rPr>
        <w:t>X</w:t>
      </w:r>
      <w:r>
        <w:rPr>
          <w:color w:val="auto"/>
          <w:highlight w:val="none"/>
          <w:u w:val="none"/>
        </w:rPr>
        <w:t>（硝酸雾）</w:t>
      </w:r>
      <w:r>
        <w:rPr>
          <w:rFonts w:hint="eastAsia"/>
          <w:color w:val="auto"/>
          <w:highlight w:val="none"/>
          <w:u w:val="none"/>
        </w:rPr>
        <w:t>等，</w:t>
      </w:r>
      <w:r>
        <w:rPr>
          <w:color w:val="auto"/>
          <w:highlight w:val="none"/>
          <w:u w:val="none"/>
        </w:rPr>
        <w:t>在厂区内经加压水吸收预处理后，委托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color w:val="auto"/>
          <w:highlight w:val="none"/>
          <w:u w:val="none"/>
        </w:rPr>
        <w:t>。</w:t>
      </w:r>
      <w:r>
        <w:rPr>
          <w:rFonts w:hint="eastAsia"/>
          <w:color w:val="auto"/>
          <w:highlight w:val="none"/>
          <w:u w:val="none"/>
          <w:lang w:val="en-US"/>
        </w:rPr>
        <w:t>碱性废气主要污染物</w:t>
      </w:r>
      <w:r>
        <w:rPr>
          <w:color w:val="auto"/>
          <w:highlight w:val="none"/>
          <w:u w:val="none"/>
        </w:rPr>
        <w:t>主要污染物为甲苯、二硝基甲苯、氨和VOC</w:t>
      </w:r>
      <w:r>
        <w:rPr>
          <w:color w:val="auto"/>
          <w:highlight w:val="none"/>
          <w:u w:val="none"/>
          <w:vertAlign w:val="subscript"/>
        </w:rPr>
        <w:t>S</w:t>
      </w:r>
      <w:r>
        <w:rPr>
          <w:rFonts w:hint="eastAsia"/>
          <w:color w:val="auto"/>
          <w:highlight w:val="none"/>
          <w:u w:val="none"/>
          <w:lang w:val="en-US"/>
        </w:rPr>
        <w:t>，</w:t>
      </w:r>
      <w:r>
        <w:rPr>
          <w:color w:val="auto"/>
          <w:highlight w:val="none"/>
          <w:u w:val="none"/>
        </w:rPr>
        <w:t>在厂区内经</w:t>
      </w:r>
      <w:r>
        <w:rPr>
          <w:rFonts w:hint="eastAsia"/>
          <w:color w:val="auto"/>
          <w:highlight w:val="none"/>
          <w:u w:val="none"/>
        </w:rPr>
        <w:t>加压</w:t>
      </w:r>
      <w:r>
        <w:rPr>
          <w:color w:val="auto"/>
          <w:highlight w:val="none"/>
          <w:u w:val="none"/>
        </w:rPr>
        <w:t>水</w:t>
      </w:r>
      <w:r>
        <w:rPr>
          <w:rFonts w:hint="eastAsia"/>
          <w:color w:val="auto"/>
          <w:highlight w:val="none"/>
          <w:u w:val="none"/>
        </w:rPr>
        <w:t>洗涤</w:t>
      </w:r>
      <w:r>
        <w:rPr>
          <w:color w:val="auto"/>
          <w:highlight w:val="none"/>
          <w:u w:val="none"/>
        </w:rPr>
        <w:t>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rFonts w:hint="eastAsia"/>
          <w:color w:val="auto"/>
          <w:highlight w:val="none"/>
          <w:u w:val="none"/>
          <w:lang w:val="en-US"/>
        </w:rPr>
        <w:t>。</w:t>
      </w:r>
    </w:p>
    <w:p w14:paraId="61BA4CC2">
      <w:pPr>
        <w:ind w:firstLineChars="0"/>
        <w:rPr>
          <w:rFonts w:hint="eastAsia"/>
          <w:color w:val="auto"/>
          <w:highlight w:val="none"/>
          <w:u w:val="none"/>
          <w:lang w:val="en-US"/>
        </w:rPr>
      </w:pPr>
      <w:r>
        <w:rPr>
          <w:rFonts w:hint="eastAsia"/>
          <w:color w:val="auto"/>
          <w:highlight w:val="none"/>
          <w:u w:val="none"/>
          <w:lang w:val="en-US"/>
        </w:rPr>
        <w:t>（2）氢化单元</w:t>
      </w:r>
    </w:p>
    <w:p w14:paraId="431FA803">
      <w:pPr>
        <w:numPr>
          <w:ilvl w:val="255"/>
          <w:numId w:val="0"/>
        </w:numPr>
        <w:ind w:firstLine="480" w:firstLineChars="200"/>
        <w:rPr>
          <w:rFonts w:hint="eastAsia"/>
          <w:color w:val="auto"/>
          <w:highlight w:val="none"/>
          <w:u w:val="none"/>
        </w:rPr>
      </w:pPr>
      <w:r>
        <w:rPr>
          <w:rFonts w:hint="eastAsia"/>
          <w:color w:val="auto"/>
          <w:highlight w:val="none"/>
          <w:u w:val="none"/>
          <w:lang w:val="en-US"/>
        </w:rPr>
        <w:t>氢化单元包括</w:t>
      </w:r>
      <w:r>
        <w:rPr>
          <w:color w:val="auto"/>
          <w:highlight w:val="none"/>
          <w:u w:val="none"/>
        </w:rPr>
        <w:t>TDA精制尾气</w:t>
      </w:r>
      <w:r>
        <w:rPr>
          <w:rFonts w:hint="eastAsia"/>
          <w:color w:val="auto"/>
          <w:highlight w:val="none"/>
          <w:u w:val="none"/>
          <w:lang w:val="en-US"/>
        </w:rPr>
        <w:t>和反应驰放气。TDA精制尾气含粗TDA中间储罐呼吸气及OTDA储罐呼吸气，</w:t>
      </w:r>
      <w:r>
        <w:rPr>
          <w:rFonts w:hint="eastAsia"/>
          <w:color w:val="auto"/>
          <w:highlight w:val="none"/>
          <w:u w:val="none"/>
        </w:rPr>
        <w:t>主要污染物为</w:t>
      </w:r>
      <w:r>
        <w:rPr>
          <w:color w:val="auto"/>
          <w:highlight w:val="none"/>
          <w:u w:val="none"/>
        </w:rPr>
        <w:t>TDA</w:t>
      </w:r>
      <w:r>
        <w:rPr>
          <w:rFonts w:hint="eastAsia"/>
          <w:color w:val="auto"/>
          <w:highlight w:val="none"/>
          <w:u w:val="none"/>
        </w:rPr>
        <w:t>、</w:t>
      </w:r>
      <w:r>
        <w:rPr>
          <w:color w:val="auto"/>
          <w:highlight w:val="none"/>
          <w:u w:val="none"/>
        </w:rPr>
        <w:t>VOC</w:t>
      </w:r>
      <w:r>
        <w:rPr>
          <w:color w:val="auto"/>
          <w:highlight w:val="none"/>
          <w:u w:val="none"/>
          <w:vertAlign w:val="subscript"/>
        </w:rPr>
        <w:t>S</w:t>
      </w:r>
      <w:r>
        <w:rPr>
          <w:color w:val="auto"/>
          <w:highlight w:val="none"/>
          <w:u w:val="none"/>
        </w:rPr>
        <w:t>等</w:t>
      </w:r>
      <w:r>
        <w:rPr>
          <w:rFonts w:hint="eastAsia"/>
          <w:color w:val="auto"/>
          <w:highlight w:val="none"/>
          <w:u w:val="none"/>
          <w:lang w:val="en-US"/>
        </w:rPr>
        <w:t>，废气经“冷凝+水洗涤+活性炭吸附”后，由1根</w:t>
      </w:r>
      <w:bookmarkStart w:id="205" w:name="OLE_LINK14"/>
      <w:r>
        <w:rPr>
          <w:rFonts w:hint="eastAsia"/>
          <w:color w:val="auto"/>
          <w:highlight w:val="none"/>
          <w:u w:val="none"/>
          <w:lang w:val="en-US"/>
        </w:rPr>
        <w:t>34</w:t>
      </w:r>
      <w:bookmarkEnd w:id="205"/>
      <w:r>
        <w:rPr>
          <w:rFonts w:hint="eastAsia"/>
          <w:color w:val="auto"/>
          <w:highlight w:val="none"/>
          <w:u w:val="none"/>
          <w:lang w:val="en-US"/>
        </w:rPr>
        <w:t>m高排气筒排放。</w:t>
      </w:r>
      <w:r>
        <w:rPr>
          <w:color w:val="auto"/>
          <w:highlight w:val="none"/>
          <w:u w:val="none"/>
          <w:lang w:val="en-US"/>
        </w:rPr>
        <w:t>反应驰放气</w:t>
      </w:r>
      <w:r>
        <w:rPr>
          <w:rFonts w:hint="eastAsia"/>
          <w:color w:val="auto"/>
          <w:highlight w:val="none"/>
          <w:u w:val="none"/>
        </w:rPr>
        <w:t>主要污染物为</w:t>
      </w:r>
      <w:r>
        <w:rPr>
          <w:color w:val="auto"/>
          <w:highlight w:val="none"/>
          <w:u w:val="none"/>
        </w:rPr>
        <w:t>VOC</w:t>
      </w:r>
      <w:r>
        <w:rPr>
          <w:color w:val="auto"/>
          <w:highlight w:val="none"/>
          <w:u w:val="none"/>
          <w:vertAlign w:val="subscript"/>
        </w:rPr>
        <w:t>S</w:t>
      </w:r>
      <w:r>
        <w:rPr>
          <w:rFonts w:hint="eastAsia"/>
          <w:color w:val="auto"/>
          <w:highlight w:val="none"/>
          <w:u w:val="none"/>
          <w:lang w:val="en-US"/>
        </w:rPr>
        <w:t>，</w:t>
      </w:r>
      <w:r>
        <w:rPr>
          <w:color w:val="auto"/>
          <w:highlight w:val="none"/>
          <w:u w:val="none"/>
        </w:rPr>
        <w:t>在厂区内经</w:t>
      </w:r>
      <w:r>
        <w:rPr>
          <w:rFonts w:hint="eastAsia"/>
          <w:color w:val="auto"/>
          <w:highlight w:val="none"/>
          <w:u w:val="none"/>
        </w:rPr>
        <w:t>“</w:t>
      </w:r>
      <w:r>
        <w:rPr>
          <w:color w:val="auto"/>
          <w:highlight w:val="none"/>
          <w:u w:val="none"/>
        </w:rPr>
        <w:t>冷凝+水洗涤</w:t>
      </w:r>
      <w:r>
        <w:rPr>
          <w:rFonts w:hint="eastAsia"/>
          <w:color w:val="auto"/>
          <w:highlight w:val="none"/>
          <w:u w:val="none"/>
        </w:rPr>
        <w:t>”</w:t>
      </w:r>
      <w:r>
        <w:rPr>
          <w:color w:val="auto"/>
          <w:highlight w:val="none"/>
          <w:u w:val="none"/>
        </w:rPr>
        <w:t>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p>
    <w:p w14:paraId="307D4665">
      <w:pPr>
        <w:rPr>
          <w:rFonts w:hint="eastAsia"/>
          <w:color w:val="auto"/>
          <w:highlight w:val="none"/>
          <w:u w:val="none"/>
          <w:lang w:val="en-US"/>
        </w:rPr>
      </w:pPr>
      <w:r>
        <w:rPr>
          <w:rFonts w:hint="eastAsia"/>
          <w:color w:val="auto"/>
          <w:highlight w:val="none"/>
          <w:u w:val="none"/>
          <w:lang w:val="en-US"/>
        </w:rPr>
        <w:t>（3）光化单元</w:t>
      </w:r>
    </w:p>
    <w:p w14:paraId="51025939">
      <w:pPr>
        <w:numPr>
          <w:ilvl w:val="255"/>
          <w:numId w:val="0"/>
        </w:numPr>
        <w:ind w:firstLine="480" w:firstLineChars="200"/>
        <w:rPr>
          <w:rFonts w:hint="eastAsia"/>
          <w:color w:val="auto"/>
          <w:highlight w:val="none"/>
          <w:u w:val="none"/>
          <w:lang w:val="en-US"/>
        </w:rPr>
      </w:pPr>
      <w:r>
        <w:rPr>
          <w:color w:val="auto"/>
          <w:highlight w:val="none"/>
          <w:u w:val="none"/>
          <w:lang w:val="en-US"/>
        </w:rPr>
        <w:t>光化尾气含TDI不合格产品储罐呼吸气</w:t>
      </w:r>
      <w:r>
        <w:rPr>
          <w:rFonts w:hint="eastAsia"/>
          <w:color w:val="auto"/>
          <w:highlight w:val="none"/>
          <w:u w:val="none"/>
          <w:lang w:val="en-US"/>
        </w:rPr>
        <w:t>，</w:t>
      </w:r>
      <w:r>
        <w:rPr>
          <w:color w:val="auto"/>
          <w:highlight w:val="none"/>
          <w:u w:val="none"/>
        </w:rPr>
        <w:t>主要污染物为微量HCl、Cl</w:t>
      </w:r>
      <w:r>
        <w:rPr>
          <w:color w:val="auto"/>
          <w:highlight w:val="none"/>
          <w:u w:val="none"/>
          <w:vertAlign w:val="subscript"/>
        </w:rPr>
        <w:t>2</w:t>
      </w:r>
      <w:r>
        <w:rPr>
          <w:color w:val="auto"/>
          <w:highlight w:val="none"/>
          <w:u w:val="none"/>
        </w:rPr>
        <w:t>、光气、TDI、ODCB和VOC</w:t>
      </w:r>
      <w:r>
        <w:rPr>
          <w:color w:val="auto"/>
          <w:highlight w:val="none"/>
          <w:u w:val="none"/>
          <w:vertAlign w:val="subscript"/>
        </w:rPr>
        <w:t>S</w:t>
      </w:r>
      <w:r>
        <w:rPr>
          <w:rFonts w:hint="eastAsia"/>
          <w:color w:val="auto"/>
          <w:highlight w:val="none"/>
          <w:u w:val="none"/>
        </w:rPr>
        <w:t>等</w:t>
      </w:r>
      <w:r>
        <w:rPr>
          <w:color w:val="auto"/>
          <w:highlight w:val="none"/>
          <w:u w:val="none"/>
        </w:rPr>
        <w:t>，</w:t>
      </w:r>
      <w:r>
        <w:rPr>
          <w:color w:val="auto"/>
          <w:highlight w:val="none"/>
          <w:u w:val="none"/>
          <w:lang w:val="en-US"/>
        </w:rPr>
        <w:t>在厂区内经</w:t>
      </w:r>
      <w:r>
        <w:rPr>
          <w:rFonts w:hint="eastAsia"/>
          <w:color w:val="auto"/>
          <w:highlight w:val="none"/>
          <w:u w:val="none"/>
          <w:lang w:val="en-US"/>
        </w:rPr>
        <w:t>“酸分解+碱分解”</w:t>
      </w:r>
      <w:r>
        <w:rPr>
          <w:color w:val="auto"/>
          <w:highlight w:val="none"/>
          <w:u w:val="none"/>
          <w:lang w:val="en-US"/>
        </w:rPr>
        <w:t>预处理后，委托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color w:val="auto"/>
          <w:highlight w:val="none"/>
          <w:u w:val="none"/>
          <w:lang w:val="en-US"/>
        </w:rPr>
        <w:t>。</w:t>
      </w:r>
    </w:p>
    <w:p w14:paraId="6225B2F3">
      <w:pPr>
        <w:ind w:left="480" w:firstLine="0" w:firstLineChars="0"/>
        <w:rPr>
          <w:rFonts w:hint="eastAsia"/>
          <w:color w:val="auto"/>
          <w:highlight w:val="none"/>
          <w:u w:val="none"/>
        </w:rPr>
      </w:pPr>
      <w:r>
        <w:rPr>
          <w:rFonts w:hint="eastAsia"/>
          <w:color w:val="auto"/>
          <w:highlight w:val="none"/>
          <w:u w:val="none"/>
        </w:rPr>
        <w:t>（4）</w:t>
      </w:r>
      <w:r>
        <w:rPr>
          <w:color w:val="auto"/>
          <w:highlight w:val="none"/>
          <w:u w:val="none"/>
        </w:rPr>
        <w:t>ODCB储罐废气</w:t>
      </w:r>
    </w:p>
    <w:p w14:paraId="5B4F0CE9">
      <w:pPr>
        <w:rPr>
          <w:rFonts w:hint="eastAsia"/>
          <w:color w:val="auto"/>
          <w:highlight w:val="none"/>
          <w:u w:val="none"/>
        </w:rPr>
      </w:pPr>
      <w:r>
        <w:rPr>
          <w:color w:val="auto"/>
          <w:highlight w:val="none"/>
          <w:u w:val="none"/>
        </w:rPr>
        <w:t>ODCB储罐废气</w:t>
      </w:r>
      <w:r>
        <w:rPr>
          <w:rFonts w:hint="eastAsia"/>
          <w:color w:val="auto"/>
          <w:highlight w:val="none"/>
          <w:u w:val="none"/>
        </w:rPr>
        <w:t>主要污染物为ODCB，</w:t>
      </w:r>
      <w:r>
        <w:rPr>
          <w:color w:val="auto"/>
          <w:highlight w:val="none"/>
          <w:u w:val="none"/>
          <w:lang w:val="en-US"/>
        </w:rPr>
        <w:t>经两级活性炭吸附处理后，由一根15m高排气筒排放。</w:t>
      </w:r>
    </w:p>
    <w:p w14:paraId="02AF316C">
      <w:pPr>
        <w:pStyle w:val="7"/>
        <w:spacing w:before="156"/>
        <w:rPr>
          <w:color w:val="auto"/>
          <w:highlight w:val="none"/>
          <w:u w:val="none"/>
          <w:lang w:val="en-US"/>
        </w:rPr>
      </w:pPr>
      <w:r>
        <w:rPr>
          <w:rFonts w:hint="eastAsia"/>
          <w:color w:val="auto"/>
          <w:highlight w:val="none"/>
          <w:u w:val="none"/>
          <w:lang w:val="en-US"/>
        </w:rPr>
        <w:t>废水污染防治措施</w:t>
      </w:r>
    </w:p>
    <w:p w14:paraId="1607A97E">
      <w:pPr>
        <w:pStyle w:val="5"/>
        <w:tabs>
          <w:tab w:val="left" w:pos="993"/>
        </w:tabs>
        <w:ind w:firstLine="480"/>
        <w:rPr>
          <w:rFonts w:hint="eastAsia"/>
          <w:color w:val="auto"/>
          <w:highlight w:val="none"/>
          <w:u w:val="none"/>
        </w:rPr>
      </w:pPr>
      <w:r>
        <w:rPr>
          <w:rFonts w:hint="eastAsia"/>
          <w:color w:val="auto"/>
          <w:highlight w:val="none"/>
          <w:u w:val="none"/>
        </w:rPr>
        <w:t>扩建36</w:t>
      </w:r>
      <w:r>
        <w:rPr>
          <w:color w:val="auto"/>
          <w:highlight w:val="none"/>
          <w:u w:val="none"/>
        </w:rPr>
        <w:t>万吨/年TDI</w:t>
      </w:r>
      <w:r>
        <w:rPr>
          <w:rFonts w:hint="eastAsia"/>
          <w:color w:val="auto"/>
          <w:highlight w:val="none"/>
          <w:u w:val="none"/>
          <w:lang w:val="en-US"/>
        </w:rPr>
        <w:t>二期</w:t>
      </w:r>
      <w:r>
        <w:rPr>
          <w:color w:val="auto"/>
          <w:highlight w:val="none"/>
          <w:u w:val="none"/>
        </w:rPr>
        <w:t>项目的</w:t>
      </w:r>
      <w:r>
        <w:rPr>
          <w:rFonts w:hint="eastAsia"/>
          <w:color w:val="auto"/>
          <w:highlight w:val="none"/>
          <w:u w:val="none"/>
        </w:rPr>
        <w:t>硝硫浓缩酸性废水、废酸浓缩酸性废水、汽提酸性废水、</w:t>
      </w:r>
      <w:r>
        <w:rPr>
          <w:color w:val="auto"/>
          <w:highlight w:val="none"/>
          <w:u w:val="none"/>
        </w:rPr>
        <w:t>TDA汽提废水、TDA废水、光化中和废水、设备清洗废水通过明管输送万华环保科技公司综合废水处理系统处理，处理达标后通过</w:t>
      </w:r>
      <w:r>
        <w:rPr>
          <w:rFonts w:hint="eastAsia"/>
          <w:color w:val="auto"/>
          <w:highlight w:val="none"/>
          <w:u w:val="none"/>
          <w:lang w:eastAsia="zh-CN"/>
        </w:rPr>
        <w:t>福州江阴港城经济区</w:t>
      </w:r>
      <w:r>
        <w:rPr>
          <w:color w:val="auto"/>
          <w:highlight w:val="none"/>
          <w:u w:val="none"/>
        </w:rPr>
        <w:t>污水处理厂尾水排海管道排海；</w:t>
      </w:r>
      <w:r>
        <w:rPr>
          <w:rFonts w:hint="eastAsia"/>
          <w:color w:val="auto"/>
          <w:highlight w:val="none"/>
          <w:u w:val="none"/>
        </w:rPr>
        <w:t>红水废水、</w:t>
      </w:r>
      <w:r>
        <w:rPr>
          <w:color w:val="auto"/>
          <w:highlight w:val="none"/>
          <w:u w:val="none"/>
        </w:rPr>
        <w:t>TDA汽提高浓度废水通过明管输送至</w:t>
      </w:r>
      <w:r>
        <w:rPr>
          <w:rFonts w:hint="eastAsia"/>
          <w:color w:val="auto"/>
          <w:highlight w:val="none"/>
          <w:u w:val="none"/>
        </w:rPr>
        <w:t>万华福建公司</w:t>
      </w:r>
      <w:r>
        <w:rPr>
          <w:color w:val="auto"/>
          <w:highlight w:val="none"/>
          <w:u w:val="none"/>
        </w:rPr>
        <w:t>大型煤气化项目作为水煤浆气化原料；</w:t>
      </w:r>
      <w:r>
        <w:rPr>
          <w:rFonts w:hint="eastAsia"/>
          <w:color w:val="auto"/>
          <w:highlight w:val="none"/>
          <w:u w:val="none"/>
        </w:rPr>
        <w:t>黄水废水收集至黄水酸性水罐后返回至</w:t>
      </w:r>
      <w:r>
        <w:rPr>
          <w:color w:val="auto"/>
          <w:highlight w:val="none"/>
          <w:u w:val="none"/>
        </w:rPr>
        <w:t>DNT反应工序循环使用不外排。地面冲洗水、初期雨水及生活污水送至</w:t>
      </w:r>
      <w:r>
        <w:rPr>
          <w:rFonts w:hint="eastAsia"/>
          <w:color w:val="auto"/>
          <w:highlight w:val="none"/>
          <w:u w:val="none"/>
          <w:lang w:val="en-US"/>
        </w:rPr>
        <w:t>万华环保科技公司</w:t>
      </w:r>
      <w:r>
        <w:rPr>
          <w:color w:val="auto"/>
          <w:highlight w:val="none"/>
          <w:u w:val="none"/>
        </w:rPr>
        <w:t>污水处理站低浓度废水处理系统处理，处理达标后排入</w:t>
      </w:r>
      <w:r>
        <w:rPr>
          <w:rFonts w:hint="eastAsia"/>
          <w:color w:val="auto"/>
          <w:highlight w:val="none"/>
          <w:u w:val="none"/>
          <w:lang w:eastAsia="zh-CN"/>
        </w:rPr>
        <w:t>福州江阴港城经济区</w:t>
      </w:r>
      <w:r>
        <w:rPr>
          <w:color w:val="auto"/>
          <w:highlight w:val="none"/>
          <w:u w:val="none"/>
        </w:rPr>
        <w:t>污水处理厂进一步处理。</w:t>
      </w:r>
    </w:p>
    <w:p w14:paraId="3EFE1587">
      <w:pPr>
        <w:pStyle w:val="5"/>
        <w:tabs>
          <w:tab w:val="left" w:pos="993"/>
        </w:tabs>
        <w:ind w:firstLine="480"/>
        <w:rPr>
          <w:rFonts w:hint="eastAsia"/>
          <w:color w:val="auto"/>
          <w:highlight w:val="none"/>
          <w:u w:val="none"/>
        </w:rPr>
      </w:pPr>
      <w:r>
        <w:rPr>
          <w:rFonts w:hint="eastAsia"/>
          <w:color w:val="auto"/>
          <w:highlight w:val="none"/>
          <w:u w:val="none"/>
        </w:rPr>
        <w:t>扩建36</w:t>
      </w:r>
      <w:r>
        <w:rPr>
          <w:color w:val="auto"/>
          <w:highlight w:val="none"/>
          <w:u w:val="none"/>
        </w:rPr>
        <w:t>万吨/年TDI项目</w:t>
      </w:r>
      <w:r>
        <w:rPr>
          <w:rFonts w:hint="eastAsia"/>
          <w:color w:val="auto"/>
          <w:highlight w:val="none"/>
          <w:u w:val="none"/>
        </w:rPr>
        <w:t>废水排放汇总见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_Ref171440981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lang w:val="en-US"/>
        </w:rPr>
        <w:t>表</w:t>
      </w:r>
      <w:r>
        <w:rPr>
          <w:color w:val="auto"/>
          <w:highlight w:val="none"/>
          <w:u w:val="none"/>
          <w:lang w:val="en-US"/>
        </w:rPr>
        <w:fldChar w:fldCharType="begin"/>
      </w:r>
      <w:r>
        <w:rPr>
          <w:color w:val="auto"/>
          <w:highlight w:val="none"/>
          <w:u w:val="none"/>
          <w:lang w:val="en-US"/>
        </w:rPr>
        <w:instrText xml:space="preserve"> STYLEREF 2 \s </w:instrText>
      </w:r>
      <w:r>
        <w:rPr>
          <w:color w:val="auto"/>
          <w:highlight w:val="none"/>
          <w:u w:val="none"/>
          <w:lang w:val="en-US"/>
        </w:rPr>
        <w:fldChar w:fldCharType="separate"/>
      </w:r>
      <w:r>
        <w:rPr>
          <w:color w:val="auto"/>
          <w:highlight w:val="none"/>
          <w:u w:val="none"/>
          <w:lang w:val="en-US"/>
        </w:rPr>
        <w:t>3.7</w:t>
      </w:r>
      <w:r>
        <w:rPr>
          <w:color w:val="auto"/>
          <w:highlight w:val="none"/>
          <w:u w:val="none"/>
          <w:lang w:val="en-US"/>
        </w:rPr>
        <w:fldChar w:fldCharType="end"/>
      </w:r>
      <w:r>
        <w:rPr>
          <w:color w:val="auto"/>
          <w:highlight w:val="none"/>
          <w:u w:val="none"/>
          <w:lang w:val="en-US"/>
        </w:rPr>
        <w:noBreakHyphen/>
      </w:r>
      <w:r>
        <w:rPr>
          <w:color w:val="auto"/>
          <w:highlight w:val="none"/>
          <w:u w:val="none"/>
          <w:lang w:val="en-US"/>
        </w:rPr>
        <w:t>4</w:t>
      </w:r>
      <w:r>
        <w:rPr>
          <w:color w:val="auto"/>
          <w:highlight w:val="none"/>
          <w:u w:val="none"/>
        </w:rPr>
        <w:fldChar w:fldCharType="end"/>
      </w:r>
      <w:r>
        <w:rPr>
          <w:rFonts w:hint="eastAsia"/>
          <w:color w:val="auto"/>
          <w:highlight w:val="none"/>
          <w:u w:val="none"/>
        </w:rPr>
        <w:t>。万华环保科技公司污水处理站综合废水处理系统、低浓度废水处理系统概况已在</w:t>
      </w:r>
      <w:r>
        <w:rPr>
          <w:color w:val="auto"/>
          <w:highlight w:val="none"/>
          <w:u w:val="none"/>
        </w:rPr>
        <w:t>25万吨/年TDI项目（TDI一期工程）</w:t>
      </w:r>
      <w:r>
        <w:rPr>
          <w:rFonts w:hint="eastAsia"/>
          <w:color w:val="auto"/>
          <w:highlight w:val="none"/>
          <w:u w:val="none"/>
        </w:rPr>
        <w:t>废水处理措施章节中介绍，见3.3.3.2小节。</w:t>
      </w:r>
    </w:p>
    <w:p w14:paraId="348CA2DA">
      <w:pPr>
        <w:ind w:firstLine="0" w:firstLineChars="0"/>
        <w:jc w:val="center"/>
        <w:rPr>
          <w:rFonts w:hint="eastAsia"/>
          <w:b/>
          <w:bCs/>
          <w:color w:val="auto"/>
          <w:highlight w:val="none"/>
          <w:u w:val="none"/>
          <w:lang w:val="en-US"/>
        </w:rPr>
      </w:pPr>
      <w:bookmarkStart w:id="206" w:name="_Ref171440981"/>
      <w:r>
        <w:rPr>
          <w:b/>
          <w:bCs/>
          <w:color w:val="auto"/>
          <w:highlight w:val="none"/>
          <w:u w:val="none"/>
          <w:lang w:val="en-US"/>
        </w:rPr>
        <w:t>表</w:t>
      </w:r>
      <w:r>
        <w:rPr>
          <w:b/>
          <w:bCs/>
          <w:color w:val="auto"/>
          <w:highlight w:val="none"/>
          <w:u w:val="none"/>
          <w:lang w:val="en-US"/>
        </w:rPr>
        <w:fldChar w:fldCharType="begin"/>
      </w:r>
      <w:r>
        <w:rPr>
          <w:b/>
          <w:bCs/>
          <w:color w:val="auto"/>
          <w:highlight w:val="none"/>
          <w:u w:val="none"/>
          <w:lang w:val="en-US"/>
        </w:rPr>
        <w:instrText xml:space="preserve"> STYLEREF 2 \s </w:instrText>
      </w:r>
      <w:r>
        <w:rPr>
          <w:b/>
          <w:bCs/>
          <w:color w:val="auto"/>
          <w:highlight w:val="none"/>
          <w:u w:val="none"/>
          <w:lang w:val="en-US"/>
        </w:rPr>
        <w:fldChar w:fldCharType="separate"/>
      </w:r>
      <w:r>
        <w:rPr>
          <w:b/>
          <w:bCs/>
          <w:color w:val="auto"/>
          <w:highlight w:val="none"/>
          <w:u w:val="none"/>
          <w:lang w:val="en-US"/>
        </w:rPr>
        <w:t>3.7</w:t>
      </w:r>
      <w:r>
        <w:rPr>
          <w:b/>
          <w:bCs/>
          <w:color w:val="auto"/>
          <w:highlight w:val="none"/>
          <w:u w:val="none"/>
          <w:lang w:val="en-US"/>
        </w:rPr>
        <w:fldChar w:fldCharType="end"/>
      </w:r>
      <w:r>
        <w:rPr>
          <w:b/>
          <w:bCs/>
          <w:color w:val="auto"/>
          <w:highlight w:val="none"/>
          <w:u w:val="none"/>
          <w:lang w:val="en-US"/>
        </w:rPr>
        <w:noBreakHyphen/>
      </w:r>
      <w:r>
        <w:rPr>
          <w:b/>
          <w:bCs/>
          <w:color w:val="auto"/>
          <w:highlight w:val="none"/>
          <w:u w:val="none"/>
          <w:lang w:val="en-US"/>
        </w:rPr>
        <w:fldChar w:fldCharType="begin"/>
      </w:r>
      <w:r>
        <w:rPr>
          <w:b/>
          <w:bCs/>
          <w:color w:val="auto"/>
          <w:highlight w:val="none"/>
          <w:u w:val="none"/>
          <w:lang w:val="en-US"/>
        </w:rPr>
        <w:instrText xml:space="preserve"> SEQ 表格 \* ARABIC \s 2 </w:instrText>
      </w:r>
      <w:r>
        <w:rPr>
          <w:b/>
          <w:bCs/>
          <w:color w:val="auto"/>
          <w:highlight w:val="none"/>
          <w:u w:val="none"/>
          <w:lang w:val="en-US"/>
        </w:rPr>
        <w:fldChar w:fldCharType="separate"/>
      </w:r>
      <w:r>
        <w:rPr>
          <w:b/>
          <w:bCs/>
          <w:color w:val="auto"/>
          <w:highlight w:val="none"/>
          <w:u w:val="none"/>
          <w:lang w:val="en-US"/>
        </w:rPr>
        <w:t>4</w:t>
      </w:r>
      <w:r>
        <w:rPr>
          <w:b/>
          <w:bCs/>
          <w:color w:val="auto"/>
          <w:highlight w:val="none"/>
          <w:u w:val="none"/>
          <w:lang w:val="en-US"/>
        </w:rPr>
        <w:fldChar w:fldCharType="end"/>
      </w:r>
      <w:bookmarkEnd w:id="206"/>
      <w:r>
        <w:rPr>
          <w:b/>
          <w:bCs/>
          <w:color w:val="auto"/>
          <w:highlight w:val="none"/>
          <w:u w:val="none"/>
          <w:lang w:val="en-US"/>
        </w:rPr>
        <w:t xml:space="preserve"> </w:t>
      </w:r>
      <w:r>
        <w:rPr>
          <w:rFonts w:hint="eastAsia"/>
          <w:b/>
          <w:bCs/>
          <w:color w:val="auto"/>
          <w:highlight w:val="none"/>
          <w:u w:val="none"/>
          <w:lang w:val="en-US"/>
        </w:rPr>
        <w:t>扩建36万吨/年TDI项目废水污染源排放及处置情况一览表</w:t>
      </w:r>
    </w:p>
    <w:tbl>
      <w:tblPr>
        <w:tblStyle w:val="58"/>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71"/>
        <w:gridCol w:w="2716"/>
        <w:gridCol w:w="1418"/>
        <w:gridCol w:w="4255"/>
      </w:tblGrid>
      <w:tr w14:paraId="575A7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671" w:type="dxa"/>
            <w:vAlign w:val="center"/>
          </w:tcPr>
          <w:p w14:paraId="70114D66">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序号</w:t>
            </w:r>
          </w:p>
        </w:tc>
        <w:tc>
          <w:tcPr>
            <w:tcW w:w="2716" w:type="dxa"/>
            <w:vAlign w:val="center"/>
          </w:tcPr>
          <w:p w14:paraId="6E1FAB95">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废水种类</w:t>
            </w:r>
          </w:p>
        </w:tc>
        <w:tc>
          <w:tcPr>
            <w:tcW w:w="1418" w:type="dxa"/>
            <w:vAlign w:val="center"/>
          </w:tcPr>
          <w:p w14:paraId="7E13F747">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产生量（t/h）</w:t>
            </w:r>
          </w:p>
        </w:tc>
        <w:tc>
          <w:tcPr>
            <w:tcW w:w="4255" w:type="dxa"/>
            <w:vAlign w:val="center"/>
          </w:tcPr>
          <w:p w14:paraId="205FF21C">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排放去向</w:t>
            </w:r>
          </w:p>
        </w:tc>
      </w:tr>
      <w:tr w14:paraId="2E48C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4D486376">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1</w:t>
            </w:r>
          </w:p>
        </w:tc>
        <w:tc>
          <w:tcPr>
            <w:tcW w:w="2716" w:type="dxa"/>
            <w:vAlign w:val="center"/>
          </w:tcPr>
          <w:p w14:paraId="419B9686">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硝硫浓缩酸性废水</w:t>
            </w:r>
          </w:p>
        </w:tc>
        <w:tc>
          <w:tcPr>
            <w:tcW w:w="1418" w:type="dxa"/>
            <w:vAlign w:val="center"/>
          </w:tcPr>
          <w:p w14:paraId="5B3D4D95">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13.18</w:t>
            </w:r>
          </w:p>
        </w:tc>
        <w:tc>
          <w:tcPr>
            <w:tcW w:w="4255" w:type="dxa"/>
            <w:vMerge w:val="restart"/>
            <w:vAlign w:val="center"/>
          </w:tcPr>
          <w:p w14:paraId="341228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rPr>
              <w:t>送往</w:t>
            </w:r>
            <w:r>
              <w:rPr>
                <w:rFonts w:hint="eastAsia"/>
                <w:color w:val="auto"/>
                <w:sz w:val="21"/>
                <w:szCs w:val="21"/>
                <w:highlight w:val="none"/>
                <w:u w:val="none"/>
              </w:rPr>
              <w:t>万华环保科技公司</w:t>
            </w:r>
            <w:r>
              <w:rPr>
                <w:color w:val="auto"/>
                <w:sz w:val="21"/>
                <w:szCs w:val="21"/>
                <w:highlight w:val="none"/>
                <w:u w:val="none"/>
                <w:lang w:val="en-US"/>
              </w:rPr>
              <w:t>污水处理站综合废水处理单元，</w:t>
            </w:r>
            <w:r>
              <w:rPr>
                <w:rFonts w:hint="eastAsia"/>
                <w:color w:val="auto"/>
                <w:sz w:val="21"/>
                <w:szCs w:val="21"/>
                <w:highlight w:val="none"/>
                <w:u w:val="none"/>
                <w:lang w:val="en-US"/>
              </w:rPr>
              <w:t>处理达标后通过福州江阴港城经济区污水处理厂尾水排海管道排海</w:t>
            </w:r>
          </w:p>
        </w:tc>
      </w:tr>
      <w:tr w14:paraId="14831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3295BB1">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2</w:t>
            </w:r>
          </w:p>
        </w:tc>
        <w:tc>
          <w:tcPr>
            <w:tcW w:w="2716" w:type="dxa"/>
            <w:vAlign w:val="center"/>
          </w:tcPr>
          <w:p w14:paraId="0B30BFF8">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废酸浓缩酸性废水</w:t>
            </w:r>
          </w:p>
        </w:tc>
        <w:tc>
          <w:tcPr>
            <w:tcW w:w="1418" w:type="dxa"/>
            <w:vAlign w:val="center"/>
          </w:tcPr>
          <w:p w14:paraId="72A3F2F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11.27</w:t>
            </w:r>
          </w:p>
        </w:tc>
        <w:tc>
          <w:tcPr>
            <w:tcW w:w="4255" w:type="dxa"/>
            <w:vMerge w:val="continue"/>
            <w:vAlign w:val="center"/>
          </w:tcPr>
          <w:p w14:paraId="48353A36">
            <w:pPr>
              <w:spacing w:line="240" w:lineRule="auto"/>
              <w:ind w:firstLine="0" w:firstLineChars="0"/>
              <w:jc w:val="center"/>
              <w:rPr>
                <w:rFonts w:hAnsi="Times New Roman"/>
                <w:color w:val="auto"/>
                <w:kern w:val="2"/>
                <w:sz w:val="21"/>
                <w:szCs w:val="21"/>
                <w:highlight w:val="none"/>
                <w:u w:val="none"/>
                <w:lang w:val="en-US"/>
              </w:rPr>
            </w:pPr>
          </w:p>
        </w:tc>
      </w:tr>
      <w:tr w14:paraId="6A57F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EB4C9D8">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3</w:t>
            </w:r>
          </w:p>
        </w:tc>
        <w:tc>
          <w:tcPr>
            <w:tcW w:w="2716" w:type="dxa"/>
            <w:vAlign w:val="center"/>
          </w:tcPr>
          <w:p w14:paraId="21552699">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汽提酸性废水</w:t>
            </w:r>
          </w:p>
        </w:tc>
        <w:tc>
          <w:tcPr>
            <w:tcW w:w="1418" w:type="dxa"/>
            <w:vAlign w:val="center"/>
          </w:tcPr>
          <w:p w14:paraId="3B37858B">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16.63</w:t>
            </w:r>
          </w:p>
        </w:tc>
        <w:tc>
          <w:tcPr>
            <w:tcW w:w="4255" w:type="dxa"/>
            <w:vMerge w:val="continue"/>
            <w:vAlign w:val="center"/>
          </w:tcPr>
          <w:p w14:paraId="0E25087E">
            <w:pPr>
              <w:spacing w:line="240" w:lineRule="auto"/>
              <w:ind w:firstLine="0" w:firstLineChars="0"/>
              <w:jc w:val="center"/>
              <w:rPr>
                <w:rFonts w:hAnsi="Times New Roman"/>
                <w:color w:val="auto"/>
                <w:kern w:val="2"/>
                <w:sz w:val="21"/>
                <w:szCs w:val="21"/>
                <w:highlight w:val="none"/>
                <w:u w:val="none"/>
                <w:lang w:val="en-US"/>
              </w:rPr>
            </w:pPr>
          </w:p>
        </w:tc>
      </w:tr>
      <w:tr w14:paraId="09177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6977A9A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w:t>
            </w:r>
          </w:p>
        </w:tc>
        <w:tc>
          <w:tcPr>
            <w:tcW w:w="2716" w:type="dxa"/>
            <w:shd w:val="clear" w:color="auto" w:fill="auto"/>
            <w:vAlign w:val="center"/>
          </w:tcPr>
          <w:p w14:paraId="19C1180E">
            <w:pPr>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color w:val="auto"/>
                <w:sz w:val="21"/>
                <w:szCs w:val="21"/>
                <w:highlight w:val="none"/>
                <w:u w:val="none"/>
                <w:lang w:val="en-US"/>
              </w:rPr>
              <w:t>TDA废水</w:t>
            </w:r>
          </w:p>
        </w:tc>
        <w:tc>
          <w:tcPr>
            <w:tcW w:w="1418" w:type="dxa"/>
            <w:shd w:val="clear" w:color="auto" w:fill="auto"/>
            <w:vAlign w:val="center"/>
          </w:tcPr>
          <w:p w14:paraId="0E7B5570">
            <w:pPr>
              <w:spacing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hAnsi="Times New Roman"/>
                <w:color w:val="auto"/>
                <w:kern w:val="2"/>
                <w:sz w:val="21"/>
                <w:szCs w:val="21"/>
                <w:highlight w:val="none"/>
                <w:u w:val="none"/>
                <w:lang w:val="en-US"/>
              </w:rPr>
              <w:t>7.25</w:t>
            </w:r>
          </w:p>
        </w:tc>
        <w:tc>
          <w:tcPr>
            <w:tcW w:w="4255" w:type="dxa"/>
            <w:vMerge w:val="continue"/>
            <w:vAlign w:val="center"/>
          </w:tcPr>
          <w:p w14:paraId="2B155C98">
            <w:pPr>
              <w:spacing w:line="240" w:lineRule="auto"/>
              <w:ind w:firstLine="0" w:firstLineChars="0"/>
              <w:jc w:val="center"/>
              <w:rPr>
                <w:rFonts w:hAnsi="Times New Roman"/>
                <w:color w:val="auto"/>
                <w:kern w:val="2"/>
                <w:sz w:val="21"/>
                <w:szCs w:val="21"/>
                <w:highlight w:val="none"/>
                <w:u w:val="none"/>
                <w:lang w:val="en-US"/>
              </w:rPr>
            </w:pPr>
          </w:p>
        </w:tc>
      </w:tr>
      <w:tr w14:paraId="26A2A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73700B4">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5</w:t>
            </w:r>
          </w:p>
        </w:tc>
        <w:tc>
          <w:tcPr>
            <w:tcW w:w="2716" w:type="dxa"/>
            <w:shd w:val="clear" w:color="auto" w:fill="auto"/>
            <w:vAlign w:val="center"/>
          </w:tcPr>
          <w:p w14:paraId="47572824">
            <w:pPr>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color w:val="auto"/>
                <w:sz w:val="21"/>
                <w:szCs w:val="21"/>
                <w:highlight w:val="none"/>
                <w:u w:val="none"/>
                <w:lang w:val="en-US"/>
              </w:rPr>
              <w:t>光化中和废水</w:t>
            </w:r>
          </w:p>
        </w:tc>
        <w:tc>
          <w:tcPr>
            <w:tcW w:w="1418" w:type="dxa"/>
            <w:shd w:val="clear" w:color="auto" w:fill="auto"/>
            <w:vAlign w:val="center"/>
          </w:tcPr>
          <w:p w14:paraId="214654BB">
            <w:pPr>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hAnsi="Times New Roman"/>
                <w:color w:val="auto"/>
                <w:kern w:val="2"/>
                <w:sz w:val="21"/>
                <w:szCs w:val="21"/>
                <w:highlight w:val="none"/>
                <w:u w:val="none"/>
                <w:lang w:val="en-US"/>
              </w:rPr>
              <w:t>4.89</w:t>
            </w:r>
          </w:p>
        </w:tc>
        <w:tc>
          <w:tcPr>
            <w:tcW w:w="4255" w:type="dxa"/>
            <w:vMerge w:val="continue"/>
            <w:vAlign w:val="center"/>
          </w:tcPr>
          <w:p w14:paraId="20AB67AC">
            <w:pPr>
              <w:spacing w:line="240" w:lineRule="auto"/>
              <w:ind w:firstLine="0" w:firstLineChars="0"/>
              <w:jc w:val="center"/>
              <w:rPr>
                <w:rFonts w:hAnsi="Times New Roman"/>
                <w:color w:val="auto"/>
                <w:kern w:val="2"/>
                <w:sz w:val="21"/>
                <w:szCs w:val="21"/>
                <w:highlight w:val="none"/>
                <w:u w:val="none"/>
                <w:lang w:val="en-US"/>
              </w:rPr>
            </w:pPr>
          </w:p>
        </w:tc>
      </w:tr>
      <w:tr w14:paraId="3C494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2BF31695">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6</w:t>
            </w:r>
          </w:p>
        </w:tc>
        <w:tc>
          <w:tcPr>
            <w:tcW w:w="2716" w:type="dxa"/>
            <w:shd w:val="clear" w:color="auto" w:fill="auto"/>
            <w:vAlign w:val="center"/>
          </w:tcPr>
          <w:p w14:paraId="0EE06548">
            <w:pPr>
              <w:spacing w:line="240" w:lineRule="auto"/>
              <w:ind w:firstLine="0" w:firstLineChars="0"/>
              <w:jc w:val="center"/>
              <w:rPr>
                <w:rFonts w:hint="eastAsia" w:ascii="Times New Roman" w:hAnsi="宋体" w:eastAsia="宋体" w:cs="Times New Roman"/>
                <w:color w:val="auto"/>
                <w:sz w:val="21"/>
                <w:szCs w:val="21"/>
                <w:highlight w:val="none"/>
                <w:u w:val="none"/>
                <w:lang w:val="en-US" w:eastAsia="zh-CN" w:bidi="ar-SA"/>
              </w:rPr>
            </w:pPr>
            <w:r>
              <w:rPr>
                <w:rFonts w:hint="eastAsia"/>
                <w:color w:val="auto"/>
                <w:sz w:val="21"/>
                <w:szCs w:val="21"/>
                <w:highlight w:val="none"/>
                <w:u w:val="none"/>
                <w:lang w:val="en-US"/>
              </w:rPr>
              <w:t>设备清洗水</w:t>
            </w:r>
          </w:p>
        </w:tc>
        <w:tc>
          <w:tcPr>
            <w:tcW w:w="1418" w:type="dxa"/>
            <w:shd w:val="clear" w:color="auto" w:fill="auto"/>
            <w:vAlign w:val="center"/>
          </w:tcPr>
          <w:p w14:paraId="67457B8E">
            <w:pPr>
              <w:spacing w:line="240" w:lineRule="auto"/>
              <w:ind w:firstLine="0" w:firstLineChars="0"/>
              <w:jc w:val="center"/>
              <w:rPr>
                <w:rFonts w:hint="eastAsia" w:ascii="Times New Roman" w:hAnsi="宋体" w:eastAsia="宋体" w:cs="Times New Roman"/>
                <w:color w:val="auto"/>
                <w:sz w:val="21"/>
                <w:szCs w:val="21"/>
                <w:highlight w:val="none"/>
                <w:u w:val="none"/>
                <w:lang w:val="en-US" w:eastAsia="zh-CN" w:bidi="ar-SA"/>
              </w:rPr>
            </w:pPr>
            <w:r>
              <w:rPr>
                <w:rFonts w:hint="eastAsia"/>
                <w:color w:val="auto"/>
                <w:sz w:val="21"/>
                <w:szCs w:val="21"/>
                <w:highlight w:val="none"/>
                <w:u w:val="none"/>
                <w:lang w:val="en-US"/>
              </w:rPr>
              <w:t>10</w:t>
            </w:r>
          </w:p>
        </w:tc>
        <w:tc>
          <w:tcPr>
            <w:tcW w:w="4255" w:type="dxa"/>
            <w:vMerge w:val="continue"/>
            <w:tcBorders>
              <w:bottom w:val="single" w:color="auto" w:sz="4" w:space="0"/>
            </w:tcBorders>
            <w:vAlign w:val="center"/>
          </w:tcPr>
          <w:p w14:paraId="745A82D8">
            <w:pPr>
              <w:spacing w:line="240" w:lineRule="auto"/>
              <w:ind w:firstLine="0" w:firstLineChars="0"/>
              <w:jc w:val="center"/>
              <w:rPr>
                <w:rFonts w:hAnsi="Times New Roman"/>
                <w:color w:val="auto"/>
                <w:kern w:val="2"/>
                <w:sz w:val="21"/>
                <w:szCs w:val="21"/>
                <w:highlight w:val="none"/>
                <w:u w:val="none"/>
                <w:lang w:val="en-US"/>
              </w:rPr>
            </w:pPr>
          </w:p>
        </w:tc>
      </w:tr>
      <w:tr w14:paraId="27532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2256A32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7</w:t>
            </w:r>
          </w:p>
        </w:tc>
        <w:tc>
          <w:tcPr>
            <w:tcW w:w="2716" w:type="dxa"/>
            <w:shd w:val="clear" w:color="auto" w:fill="auto"/>
            <w:vAlign w:val="center"/>
          </w:tcPr>
          <w:p w14:paraId="7BE4D231">
            <w:pPr>
              <w:spacing w:line="240" w:lineRule="auto"/>
              <w:ind w:firstLine="0" w:firstLineChars="0"/>
              <w:jc w:val="center"/>
              <w:rPr>
                <w:rFonts w:hint="eastAsia" w:ascii="Times New Roman" w:hAnsi="宋体" w:eastAsia="宋体" w:cs="Times New Roman"/>
                <w:color w:val="auto"/>
                <w:sz w:val="21"/>
                <w:szCs w:val="21"/>
                <w:highlight w:val="none"/>
                <w:u w:val="none"/>
                <w:lang w:val="en-US" w:eastAsia="zh-CN" w:bidi="ar-SA"/>
              </w:rPr>
            </w:pPr>
            <w:r>
              <w:rPr>
                <w:rFonts w:hint="eastAsia"/>
                <w:color w:val="auto"/>
                <w:sz w:val="21"/>
                <w:szCs w:val="21"/>
                <w:highlight w:val="none"/>
                <w:u w:val="none"/>
                <w:lang w:val="en-US"/>
              </w:rPr>
              <w:t>TDA汽提废水</w:t>
            </w:r>
          </w:p>
        </w:tc>
        <w:tc>
          <w:tcPr>
            <w:tcW w:w="1418" w:type="dxa"/>
            <w:shd w:val="clear" w:color="auto" w:fill="auto"/>
            <w:vAlign w:val="center"/>
          </w:tcPr>
          <w:p w14:paraId="22D5696B">
            <w:pPr>
              <w:spacing w:line="240" w:lineRule="auto"/>
              <w:ind w:firstLine="0" w:firstLineChars="0"/>
              <w:jc w:val="center"/>
              <w:rPr>
                <w:rFonts w:hint="eastAsia" w:ascii="Times New Roman" w:hAnsi="宋体" w:eastAsia="宋体" w:cs="Times New Roman"/>
                <w:color w:val="auto"/>
                <w:sz w:val="21"/>
                <w:szCs w:val="21"/>
                <w:highlight w:val="none"/>
                <w:u w:val="none"/>
                <w:lang w:val="en-US" w:eastAsia="zh-CN" w:bidi="ar-SA"/>
              </w:rPr>
            </w:pPr>
            <w:r>
              <w:rPr>
                <w:rFonts w:hint="eastAsia"/>
                <w:color w:val="auto"/>
                <w:sz w:val="21"/>
                <w:szCs w:val="21"/>
                <w:highlight w:val="none"/>
                <w:u w:val="none"/>
                <w:lang w:val="en-US"/>
              </w:rPr>
              <w:t>27.19</w:t>
            </w:r>
          </w:p>
        </w:tc>
        <w:tc>
          <w:tcPr>
            <w:tcW w:w="4255" w:type="dxa"/>
            <w:tcBorders>
              <w:top w:val="single" w:color="auto" w:sz="4" w:space="0"/>
            </w:tcBorders>
            <w:vAlign w:val="center"/>
          </w:tcPr>
          <w:p w14:paraId="5436D422">
            <w:pPr>
              <w:spacing w:line="240" w:lineRule="auto"/>
              <w:ind w:firstLine="0" w:firstLineChars="0"/>
              <w:jc w:val="center"/>
              <w:rPr>
                <w:rFonts w:hint="eastAsia" w:hAnsi="Times New Roman" w:eastAsia="宋体"/>
                <w:color w:val="auto"/>
                <w:kern w:val="2"/>
                <w:sz w:val="21"/>
                <w:szCs w:val="21"/>
                <w:highlight w:val="none"/>
                <w:u w:val="none"/>
                <w:lang w:val="en-US" w:eastAsia="zh-CN"/>
              </w:rPr>
            </w:pPr>
            <w:r>
              <w:rPr>
                <w:rFonts w:hint="eastAsia" w:ascii="Times New Roman" w:hAnsi="宋体" w:eastAsia="宋体" w:cs="Times New Roman"/>
                <w:color w:val="auto"/>
                <w:sz w:val="21"/>
                <w:szCs w:val="21"/>
                <w:highlight w:val="none"/>
                <w:u w:val="none"/>
                <w:lang w:val="en-US"/>
              </w:rPr>
              <w:t>送</w:t>
            </w:r>
            <w:r>
              <w:rPr>
                <w:rFonts w:hint="eastAsia" w:ascii="Times New Roman" w:hAnsi="宋体" w:eastAsia="宋体" w:cs="Times New Roman"/>
                <w:color w:val="auto"/>
                <w:sz w:val="21"/>
                <w:szCs w:val="21"/>
                <w:highlight w:val="none"/>
                <w:u w:val="none"/>
                <w:lang w:val="en-US" w:eastAsia="zh-CN"/>
              </w:rPr>
              <w:t>往</w:t>
            </w:r>
            <w:r>
              <w:rPr>
                <w:rFonts w:hint="eastAsia" w:ascii="Times New Roman" w:hAnsi="宋体" w:eastAsia="宋体" w:cs="Times New Roman"/>
                <w:color w:val="auto"/>
                <w:sz w:val="21"/>
                <w:szCs w:val="21"/>
                <w:highlight w:val="none"/>
                <w:u w:val="none"/>
                <w:lang w:val="en-US"/>
              </w:rPr>
              <w:t>万华环保科技公司编组站废水处理系统处理后</w:t>
            </w:r>
            <w:r>
              <w:rPr>
                <w:rFonts w:hint="eastAsia" w:ascii="Times New Roman" w:hAnsi="宋体" w:eastAsia="宋体" w:cs="Times New Roman"/>
                <w:color w:val="auto"/>
                <w:sz w:val="21"/>
                <w:szCs w:val="21"/>
                <w:highlight w:val="none"/>
                <w:u w:val="none"/>
                <w:lang w:val="en-US" w:eastAsia="zh-CN"/>
              </w:rPr>
              <w:t>，</w:t>
            </w:r>
            <w:r>
              <w:rPr>
                <w:rFonts w:hint="eastAsia" w:ascii="Times New Roman" w:hAnsi="宋体" w:eastAsia="宋体" w:cs="Times New Roman"/>
                <w:color w:val="auto"/>
                <w:sz w:val="21"/>
                <w:szCs w:val="21"/>
                <w:highlight w:val="none"/>
                <w:u w:val="none"/>
                <w:lang w:val="en-US"/>
              </w:rPr>
              <w:t>回用于万华福建产业园内各循环冷却水系统补充水，编组站废水处理系统中水回用装置的浓水处理达标后通过福州江阴港城经济区污水处理厂已建的尾水排海管道排海</w:t>
            </w:r>
            <w:r>
              <w:rPr>
                <w:rFonts w:hint="eastAsia" w:ascii="Times New Roman" w:hAnsi="宋体" w:eastAsia="宋体" w:cs="Times New Roman"/>
                <w:color w:val="auto"/>
                <w:sz w:val="21"/>
                <w:szCs w:val="21"/>
                <w:highlight w:val="none"/>
                <w:u w:val="none"/>
                <w:lang w:val="en-US" w:eastAsia="zh-CN"/>
              </w:rPr>
              <w:t>。</w:t>
            </w:r>
          </w:p>
        </w:tc>
      </w:tr>
      <w:tr w14:paraId="488E6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4169A70E">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8</w:t>
            </w:r>
          </w:p>
        </w:tc>
        <w:tc>
          <w:tcPr>
            <w:tcW w:w="2716" w:type="dxa"/>
            <w:vAlign w:val="center"/>
          </w:tcPr>
          <w:p w14:paraId="07CF2262">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地面冲洗水</w:t>
            </w:r>
          </w:p>
        </w:tc>
        <w:tc>
          <w:tcPr>
            <w:tcW w:w="1418" w:type="dxa"/>
            <w:vAlign w:val="center"/>
          </w:tcPr>
          <w:p w14:paraId="572041F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4.44</w:t>
            </w:r>
          </w:p>
        </w:tc>
        <w:tc>
          <w:tcPr>
            <w:tcW w:w="4255" w:type="dxa"/>
            <w:vMerge w:val="restart"/>
            <w:vAlign w:val="center"/>
          </w:tcPr>
          <w:p w14:paraId="55EA69BC">
            <w:pPr>
              <w:spacing w:line="240" w:lineRule="auto"/>
              <w:ind w:firstLine="0" w:firstLineChars="0"/>
              <w:jc w:val="center"/>
              <w:rPr>
                <w:rFonts w:hint="eastAsia"/>
                <w:color w:val="auto"/>
                <w:sz w:val="21"/>
                <w:szCs w:val="21"/>
                <w:highlight w:val="none"/>
                <w:u w:val="none"/>
                <w:lang w:val="en-US" w:eastAsia="zh-CN"/>
              </w:rPr>
            </w:pPr>
            <w:r>
              <w:rPr>
                <w:rFonts w:hint="eastAsia"/>
                <w:color w:val="auto"/>
                <w:sz w:val="21"/>
                <w:szCs w:val="21"/>
                <w:highlight w:val="none"/>
                <w:u w:val="none"/>
                <w:lang w:val="en-US"/>
              </w:rPr>
              <w:t>送往</w:t>
            </w:r>
            <w:r>
              <w:rPr>
                <w:rFonts w:hint="eastAsia"/>
                <w:color w:val="auto"/>
                <w:sz w:val="21"/>
                <w:szCs w:val="21"/>
                <w:highlight w:val="none"/>
                <w:u w:val="none"/>
              </w:rPr>
              <w:t>万华</w:t>
            </w:r>
            <w:r>
              <w:rPr>
                <w:rFonts w:hint="eastAsia"/>
                <w:color w:val="auto"/>
                <w:sz w:val="21"/>
                <w:szCs w:val="21"/>
                <w:highlight w:val="none"/>
                <w:u w:val="none"/>
                <w:lang w:val="en-US"/>
              </w:rPr>
              <w:t>环保科技公司污水处理站低浓度废水处理单元，处理后</w:t>
            </w:r>
            <w:r>
              <w:rPr>
                <w:rFonts w:hint="eastAsia"/>
                <w:color w:val="auto"/>
                <w:sz w:val="21"/>
                <w:szCs w:val="21"/>
                <w:highlight w:val="none"/>
                <w:u w:val="none"/>
                <w:lang w:val="en-US" w:eastAsia="zh-CN"/>
              </w:rPr>
              <w:t>尾水进入编组站</w:t>
            </w:r>
          </w:p>
          <w:p w14:paraId="7A147DC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lang w:val="en-US" w:eastAsia="zh-CN"/>
              </w:rPr>
              <w:t>废水处理系统进一步处理</w:t>
            </w:r>
          </w:p>
        </w:tc>
      </w:tr>
      <w:tr w14:paraId="728EC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0EB093BE">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9</w:t>
            </w:r>
          </w:p>
        </w:tc>
        <w:tc>
          <w:tcPr>
            <w:tcW w:w="2716" w:type="dxa"/>
            <w:vAlign w:val="center"/>
          </w:tcPr>
          <w:p w14:paraId="2AAA4A77">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生活污水</w:t>
            </w:r>
          </w:p>
        </w:tc>
        <w:tc>
          <w:tcPr>
            <w:tcW w:w="1418" w:type="dxa"/>
            <w:vAlign w:val="center"/>
          </w:tcPr>
          <w:p w14:paraId="18DAA882">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0.26</w:t>
            </w:r>
          </w:p>
        </w:tc>
        <w:tc>
          <w:tcPr>
            <w:tcW w:w="4255" w:type="dxa"/>
            <w:vMerge w:val="continue"/>
            <w:vAlign w:val="center"/>
          </w:tcPr>
          <w:p w14:paraId="7244D962">
            <w:pPr>
              <w:widowControl/>
              <w:spacing w:line="240" w:lineRule="auto"/>
              <w:ind w:firstLine="0" w:firstLineChars="0"/>
              <w:jc w:val="center"/>
              <w:rPr>
                <w:rFonts w:hAnsi="Times New Roman"/>
                <w:color w:val="auto"/>
                <w:kern w:val="2"/>
                <w:sz w:val="21"/>
                <w:szCs w:val="21"/>
                <w:highlight w:val="none"/>
                <w:u w:val="none"/>
                <w:lang w:val="en-US"/>
              </w:rPr>
            </w:pPr>
          </w:p>
        </w:tc>
      </w:tr>
      <w:tr w14:paraId="42815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45DFFEF5">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10</w:t>
            </w:r>
          </w:p>
        </w:tc>
        <w:tc>
          <w:tcPr>
            <w:tcW w:w="2716" w:type="dxa"/>
            <w:vAlign w:val="center"/>
          </w:tcPr>
          <w:p w14:paraId="15619A71">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初期雨水</w:t>
            </w:r>
          </w:p>
        </w:tc>
        <w:tc>
          <w:tcPr>
            <w:tcW w:w="1418" w:type="dxa"/>
            <w:vAlign w:val="center"/>
          </w:tcPr>
          <w:p w14:paraId="3961180C">
            <w:pPr>
              <w:spacing w:line="240" w:lineRule="auto"/>
              <w:ind w:firstLine="0" w:firstLineChars="0"/>
              <w:jc w:val="center"/>
              <w:rPr>
                <w:rFonts w:hint="default" w:hAnsi="Times New Roman" w:eastAsia="宋体"/>
                <w:color w:val="auto"/>
                <w:kern w:val="2"/>
                <w:sz w:val="21"/>
                <w:szCs w:val="21"/>
                <w:highlight w:val="none"/>
                <w:u w:val="none"/>
                <w:lang w:val="en-US" w:eastAsia="zh-CN"/>
              </w:rPr>
            </w:pPr>
            <w:r>
              <w:rPr>
                <w:rFonts w:hint="eastAsia" w:hAnsi="Times New Roman"/>
                <w:color w:val="0000FF"/>
                <w:kern w:val="2"/>
                <w:sz w:val="21"/>
                <w:szCs w:val="21"/>
                <w:highlight w:val="none"/>
                <w:u w:val="none"/>
                <w:lang w:val="en-US" w:eastAsia="zh-CN"/>
              </w:rPr>
              <w:t>7.21</w:t>
            </w:r>
          </w:p>
        </w:tc>
        <w:tc>
          <w:tcPr>
            <w:tcW w:w="4255" w:type="dxa"/>
            <w:vMerge w:val="continue"/>
            <w:vAlign w:val="center"/>
          </w:tcPr>
          <w:p w14:paraId="5FB6F8A8">
            <w:pPr>
              <w:widowControl/>
              <w:spacing w:line="240" w:lineRule="auto"/>
              <w:ind w:firstLine="0" w:firstLineChars="0"/>
              <w:jc w:val="center"/>
              <w:rPr>
                <w:rFonts w:hAnsi="Times New Roman"/>
                <w:color w:val="auto"/>
                <w:kern w:val="2"/>
                <w:sz w:val="21"/>
                <w:szCs w:val="21"/>
                <w:highlight w:val="none"/>
                <w:u w:val="none"/>
                <w:lang w:val="en-US"/>
              </w:rPr>
            </w:pPr>
          </w:p>
        </w:tc>
      </w:tr>
      <w:tr w14:paraId="28123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2D3E9C72">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11</w:t>
            </w:r>
          </w:p>
        </w:tc>
        <w:tc>
          <w:tcPr>
            <w:tcW w:w="2716" w:type="dxa"/>
            <w:vAlign w:val="center"/>
          </w:tcPr>
          <w:p w14:paraId="55A0A158">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黄水废水</w:t>
            </w:r>
          </w:p>
        </w:tc>
        <w:tc>
          <w:tcPr>
            <w:tcW w:w="1418" w:type="dxa"/>
            <w:vAlign w:val="center"/>
          </w:tcPr>
          <w:p w14:paraId="121BA505">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22.08</w:t>
            </w:r>
          </w:p>
        </w:tc>
        <w:tc>
          <w:tcPr>
            <w:tcW w:w="4255" w:type="dxa"/>
            <w:vAlign w:val="center"/>
          </w:tcPr>
          <w:p w14:paraId="739F5CF6">
            <w:pPr>
              <w:spacing w:line="240" w:lineRule="auto"/>
              <w:ind w:firstLine="0" w:firstLineChars="0"/>
              <w:jc w:val="center"/>
              <w:rPr>
                <w:rFonts w:hAnsi="Times New Roman"/>
                <w:color w:val="auto"/>
                <w:kern w:val="2"/>
                <w:sz w:val="21"/>
                <w:szCs w:val="21"/>
                <w:highlight w:val="none"/>
                <w:u w:val="none"/>
                <w:lang w:val="en-US"/>
              </w:rPr>
            </w:pPr>
            <w:r>
              <w:rPr>
                <w:color w:val="auto"/>
                <w:sz w:val="21"/>
                <w:szCs w:val="21"/>
                <w:highlight w:val="none"/>
                <w:u w:val="none"/>
                <w:lang w:val="en-US"/>
              </w:rPr>
              <w:t>回用硝化工序</w:t>
            </w:r>
          </w:p>
        </w:tc>
      </w:tr>
      <w:tr w14:paraId="67237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5E242FD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12</w:t>
            </w:r>
          </w:p>
        </w:tc>
        <w:tc>
          <w:tcPr>
            <w:tcW w:w="2716" w:type="dxa"/>
            <w:vAlign w:val="center"/>
          </w:tcPr>
          <w:p w14:paraId="534D5565">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TDA汽提</w:t>
            </w:r>
            <w:r>
              <w:rPr>
                <w:rFonts w:hint="eastAsia"/>
                <w:color w:val="auto"/>
                <w:sz w:val="21"/>
                <w:szCs w:val="21"/>
                <w:highlight w:val="none"/>
                <w:u w:val="none"/>
                <w:lang w:val="en-US"/>
              </w:rPr>
              <w:t>高浓度废水</w:t>
            </w:r>
          </w:p>
        </w:tc>
        <w:tc>
          <w:tcPr>
            <w:tcW w:w="1418" w:type="dxa"/>
            <w:vAlign w:val="center"/>
          </w:tcPr>
          <w:p w14:paraId="1C9D66FE">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3.69</w:t>
            </w:r>
          </w:p>
        </w:tc>
        <w:tc>
          <w:tcPr>
            <w:tcW w:w="4255" w:type="dxa"/>
            <w:vMerge w:val="restart"/>
            <w:vAlign w:val="center"/>
          </w:tcPr>
          <w:p w14:paraId="32DCAF58">
            <w:pPr>
              <w:spacing w:line="240" w:lineRule="auto"/>
              <w:ind w:firstLine="420"/>
              <w:jc w:val="center"/>
              <w:rPr>
                <w:rFonts w:hint="eastAsia"/>
                <w:color w:val="auto"/>
                <w:sz w:val="21"/>
                <w:szCs w:val="21"/>
                <w:highlight w:val="none"/>
                <w:u w:val="none"/>
                <w:lang w:val="en-US"/>
              </w:rPr>
            </w:pPr>
            <w:r>
              <w:rPr>
                <w:rFonts w:hint="eastAsia"/>
                <w:color w:val="auto"/>
                <w:sz w:val="21"/>
                <w:szCs w:val="21"/>
                <w:highlight w:val="none"/>
                <w:u w:val="none"/>
              </w:rPr>
              <w:t>送往万华福建公司大型煤气化项目作为水煤浆气化原料</w:t>
            </w:r>
          </w:p>
        </w:tc>
      </w:tr>
      <w:tr w14:paraId="7898D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71" w:type="dxa"/>
            <w:vAlign w:val="center"/>
          </w:tcPr>
          <w:p w14:paraId="617F3B1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13</w:t>
            </w:r>
          </w:p>
        </w:tc>
        <w:tc>
          <w:tcPr>
            <w:tcW w:w="2716" w:type="dxa"/>
            <w:vAlign w:val="center"/>
          </w:tcPr>
          <w:p w14:paraId="00886CE8">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红水废水</w:t>
            </w:r>
          </w:p>
        </w:tc>
        <w:tc>
          <w:tcPr>
            <w:tcW w:w="1418" w:type="dxa"/>
            <w:vAlign w:val="center"/>
          </w:tcPr>
          <w:p w14:paraId="113112B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22.08</w:t>
            </w:r>
          </w:p>
        </w:tc>
        <w:tc>
          <w:tcPr>
            <w:tcW w:w="4255" w:type="dxa"/>
            <w:vMerge w:val="continue"/>
            <w:vAlign w:val="center"/>
          </w:tcPr>
          <w:p w14:paraId="6326D5DD">
            <w:pPr>
              <w:spacing w:line="240" w:lineRule="auto"/>
              <w:ind w:firstLine="0" w:firstLineChars="0"/>
              <w:jc w:val="center"/>
              <w:rPr>
                <w:rFonts w:hint="eastAsia"/>
                <w:color w:val="auto"/>
                <w:sz w:val="21"/>
                <w:szCs w:val="21"/>
                <w:highlight w:val="none"/>
                <w:u w:val="none"/>
                <w:lang w:val="en-US"/>
              </w:rPr>
            </w:pPr>
          </w:p>
        </w:tc>
      </w:tr>
    </w:tbl>
    <w:p w14:paraId="2D0E1984">
      <w:pPr>
        <w:pStyle w:val="5"/>
        <w:tabs>
          <w:tab w:val="left" w:pos="993"/>
        </w:tabs>
        <w:ind w:firstLine="480"/>
        <w:rPr>
          <w:rFonts w:hint="eastAsia"/>
          <w:color w:val="auto"/>
          <w:highlight w:val="none"/>
          <w:u w:val="none"/>
        </w:rPr>
      </w:pPr>
    </w:p>
    <w:p w14:paraId="345C1CDE">
      <w:pPr>
        <w:pStyle w:val="7"/>
        <w:spacing w:before="156"/>
        <w:rPr>
          <w:color w:val="auto"/>
          <w:highlight w:val="none"/>
          <w:u w:val="none"/>
          <w:lang w:val="en-US"/>
        </w:rPr>
      </w:pPr>
      <w:r>
        <w:rPr>
          <w:rFonts w:hint="eastAsia"/>
          <w:color w:val="auto"/>
          <w:highlight w:val="none"/>
          <w:u w:val="none"/>
          <w:lang w:val="en-US"/>
        </w:rPr>
        <w:t>固废</w:t>
      </w:r>
    </w:p>
    <w:p w14:paraId="4CCC477D">
      <w:pPr>
        <w:pStyle w:val="5"/>
        <w:tabs>
          <w:tab w:val="left" w:pos="993"/>
        </w:tabs>
        <w:ind w:firstLine="480"/>
        <w:rPr>
          <w:rFonts w:hint="eastAsia"/>
          <w:color w:val="auto"/>
          <w:highlight w:val="none"/>
          <w:u w:val="none"/>
          <w:lang w:val="en-US"/>
        </w:rPr>
      </w:pPr>
      <w:r>
        <w:rPr>
          <w:rFonts w:hint="eastAsia"/>
          <w:color w:val="auto"/>
          <w:highlight w:val="none"/>
          <w:u w:val="none"/>
        </w:rPr>
        <w:t>扩建36</w:t>
      </w:r>
      <w:r>
        <w:rPr>
          <w:color w:val="auto"/>
          <w:highlight w:val="none"/>
          <w:u w:val="none"/>
        </w:rPr>
        <w:t>万吨/年TDI项目</w:t>
      </w:r>
      <w:r>
        <w:rPr>
          <w:color w:val="auto"/>
          <w:highlight w:val="none"/>
          <w:u w:val="none"/>
          <w:lang w:val="en-US"/>
        </w:rPr>
        <w:t>固体废物</w:t>
      </w:r>
      <w:r>
        <w:rPr>
          <w:rFonts w:hint="eastAsia"/>
          <w:color w:val="auto"/>
          <w:highlight w:val="none"/>
          <w:u w:val="none"/>
          <w:lang w:val="en-US"/>
        </w:rPr>
        <w:t>包括生产过程产生的轻油、废催化剂、焦油颗粒、废活性炭、</w:t>
      </w:r>
      <w:r>
        <w:rPr>
          <w:color w:val="auto"/>
          <w:highlight w:val="none"/>
          <w:u w:val="none"/>
          <w:lang w:val="en-US"/>
        </w:rPr>
        <w:t>TDI废液、废包装材料、机修废油、废导热油、废氮封油、废劳保用品、废抹布等危险废物，以及生活办公产生的生活垃圾。</w:t>
      </w:r>
      <w:r>
        <w:rPr>
          <w:rFonts w:hint="eastAsia"/>
          <w:color w:val="auto"/>
          <w:highlight w:val="none"/>
          <w:u w:val="none"/>
          <w:lang w:val="en-US"/>
        </w:rPr>
        <w:t>其中轻油、TDI废液送往万华环保科技公司能量回收装置进行焚烧处理，</w:t>
      </w:r>
      <w:r>
        <w:rPr>
          <w:color w:val="auto"/>
          <w:highlight w:val="none"/>
          <w:u w:val="none"/>
          <w:lang w:val="en-US"/>
        </w:rPr>
        <w:t>焦油颗粒</w:t>
      </w:r>
      <w:r>
        <w:rPr>
          <w:rFonts w:hint="eastAsia"/>
          <w:color w:val="auto"/>
          <w:highlight w:val="none"/>
          <w:u w:val="none"/>
        </w:rPr>
        <w:t>送往万华福建公司大型煤气化项目作为水煤浆气化原料，其他危险废物委托有危险废物处置资质单位进行处理，</w:t>
      </w:r>
      <w:r>
        <w:rPr>
          <w:rFonts w:hint="eastAsia"/>
          <w:color w:val="auto"/>
          <w:highlight w:val="none"/>
          <w:u w:val="none"/>
          <w:lang w:val="en-US"/>
        </w:rPr>
        <w:t>生活垃圾</w:t>
      </w:r>
      <w:r>
        <w:rPr>
          <w:rFonts w:hint="eastAsia"/>
          <w:color w:val="auto"/>
          <w:highlight w:val="none"/>
          <w:u w:val="none"/>
        </w:rPr>
        <w:t>定点收集后由环卫部门处理</w:t>
      </w:r>
      <w:r>
        <w:rPr>
          <w:rFonts w:hint="eastAsia"/>
          <w:color w:val="auto"/>
          <w:highlight w:val="none"/>
          <w:u w:val="none"/>
          <w:lang w:val="en-US"/>
        </w:rPr>
        <w:t>。</w:t>
      </w:r>
    </w:p>
    <w:p w14:paraId="4FF1A181">
      <w:pPr>
        <w:pStyle w:val="7"/>
        <w:spacing w:before="156"/>
        <w:rPr>
          <w:color w:val="auto"/>
          <w:highlight w:val="none"/>
          <w:u w:val="none"/>
          <w:lang w:val="en-US"/>
        </w:rPr>
      </w:pPr>
      <w:r>
        <w:rPr>
          <w:color w:val="auto"/>
          <w:highlight w:val="none"/>
          <w:u w:val="none"/>
          <w:lang w:val="en-US"/>
        </w:rPr>
        <w:t>污染物排放情况汇总</w:t>
      </w:r>
    </w:p>
    <w:p w14:paraId="03CDA9C2">
      <w:pPr>
        <w:pStyle w:val="5"/>
        <w:tabs>
          <w:tab w:val="left" w:pos="993"/>
        </w:tabs>
        <w:ind w:firstLine="480"/>
        <w:rPr>
          <w:rFonts w:hint="eastAsia"/>
          <w:color w:val="auto"/>
          <w:highlight w:val="none"/>
          <w:u w:val="none"/>
        </w:rPr>
      </w:pPr>
      <w:r>
        <w:rPr>
          <w:rFonts w:hint="eastAsia"/>
          <w:color w:val="auto"/>
          <w:highlight w:val="none"/>
          <w:u w:val="none"/>
        </w:rPr>
        <w:t>扩建36</w:t>
      </w:r>
      <w:r>
        <w:rPr>
          <w:color w:val="auto"/>
          <w:highlight w:val="none"/>
          <w:u w:val="none"/>
        </w:rPr>
        <w:t>万吨/年TDI项目</w:t>
      </w:r>
      <w:r>
        <w:rPr>
          <w:rFonts w:hint="eastAsia"/>
          <w:color w:val="auto"/>
          <w:highlight w:val="none"/>
          <w:u w:val="none"/>
        </w:rPr>
        <w:t>污染物排放量统计见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_Ref171551057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lang w:val="en-US"/>
        </w:rPr>
        <w:t>表</w:t>
      </w:r>
      <w:r>
        <w:rPr>
          <w:color w:val="auto"/>
          <w:highlight w:val="none"/>
          <w:u w:val="none"/>
          <w:lang w:val="en-US"/>
        </w:rPr>
        <w:fldChar w:fldCharType="begin"/>
      </w:r>
      <w:r>
        <w:rPr>
          <w:color w:val="auto"/>
          <w:highlight w:val="none"/>
          <w:u w:val="none"/>
          <w:lang w:val="en-US"/>
        </w:rPr>
        <w:instrText xml:space="preserve"> STYLEREF 2 \s </w:instrText>
      </w:r>
      <w:r>
        <w:rPr>
          <w:color w:val="auto"/>
          <w:highlight w:val="none"/>
          <w:u w:val="none"/>
          <w:lang w:val="en-US"/>
        </w:rPr>
        <w:fldChar w:fldCharType="separate"/>
      </w:r>
      <w:r>
        <w:rPr>
          <w:color w:val="auto"/>
          <w:highlight w:val="none"/>
          <w:u w:val="none"/>
          <w:lang w:val="en-US"/>
        </w:rPr>
        <w:t>3.7</w:t>
      </w:r>
      <w:r>
        <w:rPr>
          <w:color w:val="auto"/>
          <w:highlight w:val="none"/>
          <w:u w:val="none"/>
          <w:lang w:val="en-US"/>
        </w:rPr>
        <w:fldChar w:fldCharType="end"/>
      </w:r>
      <w:r>
        <w:rPr>
          <w:color w:val="auto"/>
          <w:highlight w:val="none"/>
          <w:u w:val="none"/>
          <w:lang w:val="en-US"/>
        </w:rPr>
        <w:noBreakHyphen/>
      </w:r>
      <w:r>
        <w:rPr>
          <w:color w:val="auto"/>
          <w:highlight w:val="none"/>
          <w:u w:val="none"/>
          <w:lang w:val="en-US"/>
        </w:rPr>
        <w:t>6</w:t>
      </w:r>
      <w:r>
        <w:rPr>
          <w:color w:val="auto"/>
          <w:highlight w:val="none"/>
          <w:u w:val="none"/>
        </w:rPr>
        <w:fldChar w:fldCharType="end"/>
      </w:r>
      <w:r>
        <w:rPr>
          <w:rFonts w:hint="eastAsia"/>
          <w:color w:val="auto"/>
          <w:highlight w:val="none"/>
          <w:u w:val="none"/>
        </w:rPr>
        <w:t>。</w:t>
      </w:r>
    </w:p>
    <w:p w14:paraId="03F62D6E">
      <w:pPr>
        <w:ind w:firstLine="0" w:firstLineChars="0"/>
        <w:jc w:val="center"/>
        <w:rPr>
          <w:rFonts w:hint="eastAsia"/>
          <w:b/>
          <w:bCs/>
          <w:color w:val="auto"/>
          <w:highlight w:val="none"/>
          <w:u w:val="none"/>
          <w:lang w:val="en-US"/>
        </w:rPr>
      </w:pPr>
      <w:bookmarkStart w:id="207" w:name="_Ref171551057"/>
      <w:r>
        <w:rPr>
          <w:b/>
          <w:bCs/>
          <w:color w:val="auto"/>
          <w:highlight w:val="none"/>
          <w:u w:val="none"/>
          <w:lang w:val="en-US"/>
        </w:rPr>
        <w:t>表</w:t>
      </w:r>
      <w:r>
        <w:rPr>
          <w:b/>
          <w:bCs/>
          <w:color w:val="auto"/>
          <w:highlight w:val="none"/>
          <w:u w:val="none"/>
          <w:lang w:val="en-US"/>
        </w:rPr>
        <w:fldChar w:fldCharType="begin"/>
      </w:r>
      <w:r>
        <w:rPr>
          <w:b/>
          <w:bCs/>
          <w:color w:val="auto"/>
          <w:highlight w:val="none"/>
          <w:u w:val="none"/>
          <w:lang w:val="en-US"/>
        </w:rPr>
        <w:instrText xml:space="preserve"> STYLEREF 2 \s </w:instrText>
      </w:r>
      <w:r>
        <w:rPr>
          <w:b/>
          <w:bCs/>
          <w:color w:val="auto"/>
          <w:highlight w:val="none"/>
          <w:u w:val="none"/>
          <w:lang w:val="en-US"/>
        </w:rPr>
        <w:fldChar w:fldCharType="separate"/>
      </w:r>
      <w:r>
        <w:rPr>
          <w:b/>
          <w:bCs/>
          <w:color w:val="auto"/>
          <w:highlight w:val="none"/>
          <w:u w:val="none"/>
          <w:lang w:val="en-US"/>
        </w:rPr>
        <w:t>3.7</w:t>
      </w:r>
      <w:r>
        <w:rPr>
          <w:b/>
          <w:bCs/>
          <w:color w:val="auto"/>
          <w:highlight w:val="none"/>
          <w:u w:val="none"/>
          <w:lang w:val="en-US"/>
        </w:rPr>
        <w:fldChar w:fldCharType="end"/>
      </w:r>
      <w:r>
        <w:rPr>
          <w:b/>
          <w:bCs/>
          <w:color w:val="auto"/>
          <w:highlight w:val="none"/>
          <w:u w:val="none"/>
          <w:lang w:val="en-US"/>
        </w:rPr>
        <w:noBreakHyphen/>
      </w:r>
      <w:r>
        <w:rPr>
          <w:b/>
          <w:bCs/>
          <w:color w:val="auto"/>
          <w:highlight w:val="none"/>
          <w:u w:val="none"/>
          <w:lang w:val="en-US"/>
        </w:rPr>
        <w:fldChar w:fldCharType="begin"/>
      </w:r>
      <w:r>
        <w:rPr>
          <w:b/>
          <w:bCs/>
          <w:color w:val="auto"/>
          <w:highlight w:val="none"/>
          <w:u w:val="none"/>
          <w:lang w:val="en-US"/>
        </w:rPr>
        <w:instrText xml:space="preserve"> SEQ 表格 \* ARABIC \s 2 </w:instrText>
      </w:r>
      <w:r>
        <w:rPr>
          <w:b/>
          <w:bCs/>
          <w:color w:val="auto"/>
          <w:highlight w:val="none"/>
          <w:u w:val="none"/>
          <w:lang w:val="en-US"/>
        </w:rPr>
        <w:fldChar w:fldCharType="separate"/>
      </w:r>
      <w:r>
        <w:rPr>
          <w:b/>
          <w:bCs/>
          <w:color w:val="auto"/>
          <w:highlight w:val="none"/>
          <w:u w:val="none"/>
          <w:lang w:val="en-US"/>
        </w:rPr>
        <w:t>6</w:t>
      </w:r>
      <w:r>
        <w:rPr>
          <w:b/>
          <w:bCs/>
          <w:color w:val="auto"/>
          <w:highlight w:val="none"/>
          <w:u w:val="none"/>
          <w:lang w:val="en-US"/>
        </w:rPr>
        <w:fldChar w:fldCharType="end"/>
      </w:r>
      <w:bookmarkEnd w:id="207"/>
      <w:r>
        <w:rPr>
          <w:b/>
          <w:bCs/>
          <w:color w:val="auto"/>
          <w:highlight w:val="none"/>
          <w:u w:val="none"/>
          <w:lang w:val="en-US"/>
        </w:rPr>
        <w:t xml:space="preserve"> </w:t>
      </w:r>
      <w:r>
        <w:rPr>
          <w:rFonts w:hint="eastAsia"/>
          <w:b/>
          <w:bCs/>
          <w:color w:val="auto"/>
          <w:highlight w:val="none"/>
          <w:u w:val="none"/>
          <w:lang w:val="en-US"/>
        </w:rPr>
        <w:t>扩建36万吨/年TDI项目主要污染物排放量核算汇总一览表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40" w:type="dxa"/>
          <w:bottom w:w="0" w:type="dxa"/>
          <w:right w:w="40" w:type="dxa"/>
        </w:tblCellMar>
      </w:tblPr>
      <w:tblGrid>
        <w:gridCol w:w="1369"/>
        <w:gridCol w:w="2304"/>
        <w:gridCol w:w="1356"/>
        <w:gridCol w:w="1526"/>
        <w:gridCol w:w="1243"/>
        <w:gridCol w:w="1352"/>
      </w:tblGrid>
      <w:tr w14:paraId="4AD38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1639800C">
            <w:pPr>
              <w:pStyle w:val="92"/>
              <w:rPr>
                <w:snapToGrid w:val="0"/>
                <w:color w:val="auto"/>
                <w:highlight w:val="none"/>
                <w:u w:val="none"/>
              </w:rPr>
            </w:pPr>
            <w:r>
              <w:rPr>
                <w:snapToGrid w:val="0"/>
                <w:color w:val="auto"/>
                <w:highlight w:val="none"/>
                <w:u w:val="none"/>
              </w:rPr>
              <w:t>种类</w:t>
            </w:r>
          </w:p>
        </w:tc>
        <w:tc>
          <w:tcPr>
            <w:tcW w:w="1259" w:type="pct"/>
            <w:vMerge w:val="restart"/>
            <w:vAlign w:val="center"/>
          </w:tcPr>
          <w:p w14:paraId="36F210D8">
            <w:pPr>
              <w:pStyle w:val="92"/>
              <w:rPr>
                <w:snapToGrid w:val="0"/>
                <w:color w:val="auto"/>
                <w:highlight w:val="none"/>
                <w:u w:val="none"/>
              </w:rPr>
            </w:pPr>
            <w:r>
              <w:rPr>
                <w:snapToGrid w:val="0"/>
                <w:color w:val="auto"/>
                <w:highlight w:val="none"/>
                <w:u w:val="none"/>
              </w:rPr>
              <w:t>污染物名称</w:t>
            </w:r>
          </w:p>
        </w:tc>
        <w:tc>
          <w:tcPr>
            <w:tcW w:w="741" w:type="pct"/>
            <w:vMerge w:val="restart"/>
            <w:vAlign w:val="center"/>
          </w:tcPr>
          <w:p w14:paraId="7F7D090E">
            <w:pPr>
              <w:pStyle w:val="92"/>
              <w:rPr>
                <w:snapToGrid w:val="0"/>
                <w:color w:val="auto"/>
                <w:highlight w:val="none"/>
                <w:u w:val="none"/>
              </w:rPr>
            </w:pPr>
            <w:r>
              <w:rPr>
                <w:snapToGrid w:val="0"/>
                <w:color w:val="auto"/>
                <w:highlight w:val="none"/>
                <w:u w:val="none"/>
              </w:rPr>
              <w:t>单位</w:t>
            </w:r>
          </w:p>
        </w:tc>
        <w:tc>
          <w:tcPr>
            <w:tcW w:w="2252" w:type="pct"/>
            <w:gridSpan w:val="3"/>
            <w:vAlign w:val="center"/>
          </w:tcPr>
          <w:p w14:paraId="7AD14F13">
            <w:pPr>
              <w:pStyle w:val="92"/>
              <w:rPr>
                <w:snapToGrid w:val="0"/>
                <w:color w:val="auto"/>
                <w:highlight w:val="none"/>
                <w:u w:val="none"/>
              </w:rPr>
            </w:pPr>
            <w:r>
              <w:rPr>
                <w:rFonts w:hint="eastAsia"/>
                <w:snapToGrid w:val="0"/>
                <w:color w:val="auto"/>
                <w:highlight w:val="none"/>
                <w:u w:val="none"/>
              </w:rPr>
              <w:t>污染物量</w:t>
            </w:r>
          </w:p>
        </w:tc>
      </w:tr>
      <w:tr w14:paraId="3A6A08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0343F3F">
            <w:pPr>
              <w:pStyle w:val="92"/>
              <w:rPr>
                <w:snapToGrid w:val="0"/>
                <w:color w:val="auto"/>
                <w:highlight w:val="none"/>
                <w:u w:val="none"/>
              </w:rPr>
            </w:pPr>
          </w:p>
        </w:tc>
        <w:tc>
          <w:tcPr>
            <w:tcW w:w="1259" w:type="pct"/>
            <w:vMerge w:val="continue"/>
            <w:vAlign w:val="center"/>
          </w:tcPr>
          <w:p w14:paraId="5F6B29C1">
            <w:pPr>
              <w:pStyle w:val="92"/>
              <w:rPr>
                <w:snapToGrid w:val="0"/>
                <w:color w:val="auto"/>
                <w:highlight w:val="none"/>
                <w:u w:val="none"/>
              </w:rPr>
            </w:pPr>
          </w:p>
        </w:tc>
        <w:tc>
          <w:tcPr>
            <w:tcW w:w="741" w:type="pct"/>
            <w:vMerge w:val="continue"/>
            <w:vAlign w:val="center"/>
          </w:tcPr>
          <w:p w14:paraId="2D2DB119">
            <w:pPr>
              <w:pStyle w:val="92"/>
              <w:rPr>
                <w:snapToGrid w:val="0"/>
                <w:color w:val="auto"/>
                <w:highlight w:val="none"/>
                <w:u w:val="none"/>
              </w:rPr>
            </w:pPr>
          </w:p>
        </w:tc>
        <w:tc>
          <w:tcPr>
            <w:tcW w:w="834" w:type="pct"/>
            <w:vAlign w:val="center"/>
          </w:tcPr>
          <w:p w14:paraId="4CEFD9B5">
            <w:pPr>
              <w:pStyle w:val="92"/>
              <w:rPr>
                <w:snapToGrid w:val="0"/>
                <w:color w:val="auto"/>
                <w:highlight w:val="none"/>
                <w:u w:val="none"/>
              </w:rPr>
            </w:pPr>
            <w:r>
              <w:rPr>
                <w:color w:val="auto"/>
                <w:highlight w:val="none"/>
                <w:u w:val="none"/>
              </w:rPr>
              <w:t>产生量</w:t>
            </w:r>
          </w:p>
        </w:tc>
        <w:tc>
          <w:tcPr>
            <w:tcW w:w="679" w:type="pct"/>
            <w:vAlign w:val="center"/>
          </w:tcPr>
          <w:p w14:paraId="287FD57D">
            <w:pPr>
              <w:pStyle w:val="92"/>
              <w:rPr>
                <w:snapToGrid w:val="0"/>
                <w:color w:val="auto"/>
                <w:highlight w:val="none"/>
                <w:u w:val="none"/>
              </w:rPr>
            </w:pPr>
            <w:r>
              <w:rPr>
                <w:color w:val="auto"/>
                <w:highlight w:val="none"/>
                <w:u w:val="none"/>
              </w:rPr>
              <w:t>削减量</w:t>
            </w:r>
          </w:p>
        </w:tc>
        <w:tc>
          <w:tcPr>
            <w:tcW w:w="739" w:type="pct"/>
            <w:vAlign w:val="center"/>
          </w:tcPr>
          <w:p w14:paraId="4B2DE2FE">
            <w:pPr>
              <w:pStyle w:val="92"/>
              <w:rPr>
                <w:snapToGrid w:val="0"/>
                <w:color w:val="auto"/>
                <w:highlight w:val="none"/>
                <w:u w:val="none"/>
              </w:rPr>
            </w:pPr>
            <w:r>
              <w:rPr>
                <w:color w:val="auto"/>
                <w:highlight w:val="none"/>
                <w:u w:val="none"/>
              </w:rPr>
              <w:t>排放量</w:t>
            </w:r>
          </w:p>
        </w:tc>
      </w:tr>
      <w:tr w14:paraId="64B5F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10C7D73A">
            <w:pPr>
              <w:pStyle w:val="92"/>
              <w:rPr>
                <w:snapToGrid w:val="0"/>
                <w:color w:val="auto"/>
                <w:highlight w:val="none"/>
                <w:u w:val="none"/>
              </w:rPr>
            </w:pPr>
            <w:r>
              <w:rPr>
                <w:snapToGrid w:val="0"/>
                <w:color w:val="auto"/>
                <w:highlight w:val="none"/>
                <w:u w:val="none"/>
              </w:rPr>
              <w:t>废气</w:t>
            </w:r>
          </w:p>
        </w:tc>
        <w:tc>
          <w:tcPr>
            <w:tcW w:w="1259" w:type="pct"/>
            <w:vAlign w:val="center"/>
          </w:tcPr>
          <w:p w14:paraId="5D9886BD">
            <w:pPr>
              <w:pStyle w:val="92"/>
              <w:rPr>
                <w:snapToGrid w:val="0"/>
                <w:color w:val="auto"/>
                <w:highlight w:val="none"/>
                <w:u w:val="none"/>
              </w:rPr>
            </w:pPr>
            <w:r>
              <w:rPr>
                <w:rFonts w:hint="eastAsia"/>
                <w:snapToGrid w:val="0"/>
                <w:color w:val="auto"/>
                <w:highlight w:val="none"/>
                <w:u w:val="none"/>
              </w:rPr>
              <w:t>废气量</w:t>
            </w:r>
          </w:p>
        </w:tc>
        <w:tc>
          <w:tcPr>
            <w:tcW w:w="741" w:type="pct"/>
            <w:vAlign w:val="center"/>
          </w:tcPr>
          <w:p w14:paraId="3F75E31E">
            <w:pPr>
              <w:pStyle w:val="92"/>
              <w:rPr>
                <w:snapToGrid w:val="0"/>
                <w:color w:val="auto"/>
                <w:highlight w:val="none"/>
                <w:u w:val="none"/>
              </w:rPr>
            </w:pPr>
            <w:r>
              <w:rPr>
                <w:color w:val="auto"/>
                <w:highlight w:val="none"/>
                <w:u w:val="none"/>
              </w:rPr>
              <w:t>万m</w:t>
            </w:r>
            <w:r>
              <w:rPr>
                <w:color w:val="auto"/>
                <w:highlight w:val="none"/>
                <w:u w:val="none"/>
                <w:vertAlign w:val="superscript"/>
              </w:rPr>
              <w:t>3</w:t>
            </w:r>
            <w:r>
              <w:rPr>
                <w:color w:val="auto"/>
                <w:highlight w:val="none"/>
                <w:u w:val="none"/>
              </w:rPr>
              <w:t>/a</w:t>
            </w:r>
          </w:p>
        </w:tc>
        <w:tc>
          <w:tcPr>
            <w:tcW w:w="834" w:type="pct"/>
            <w:vAlign w:val="bottom"/>
          </w:tcPr>
          <w:p w14:paraId="2896C34D">
            <w:pPr>
              <w:pStyle w:val="92"/>
              <w:rPr>
                <w:snapToGrid w:val="0"/>
                <w:color w:val="auto"/>
                <w:highlight w:val="none"/>
                <w:u w:val="none"/>
              </w:rPr>
            </w:pPr>
            <w:r>
              <w:rPr>
                <w:rFonts w:hint="eastAsia"/>
                <w:snapToGrid w:val="0"/>
                <w:color w:val="auto"/>
                <w:highlight w:val="none"/>
                <w:u w:val="none"/>
              </w:rPr>
              <w:t>3931</w:t>
            </w:r>
          </w:p>
        </w:tc>
        <w:tc>
          <w:tcPr>
            <w:tcW w:w="679" w:type="pct"/>
            <w:vAlign w:val="bottom"/>
          </w:tcPr>
          <w:p w14:paraId="3ACF2CCD">
            <w:pPr>
              <w:pStyle w:val="92"/>
              <w:rPr>
                <w:snapToGrid w:val="0"/>
                <w:color w:val="auto"/>
                <w:highlight w:val="none"/>
                <w:u w:val="none"/>
              </w:rPr>
            </w:pPr>
            <w:r>
              <w:rPr>
                <w:rFonts w:hint="eastAsia"/>
                <w:snapToGrid w:val="0"/>
                <w:color w:val="auto"/>
                <w:highlight w:val="none"/>
                <w:u w:val="none"/>
              </w:rPr>
              <w:t>/</w:t>
            </w:r>
          </w:p>
        </w:tc>
        <w:tc>
          <w:tcPr>
            <w:tcW w:w="739" w:type="pct"/>
            <w:vAlign w:val="bottom"/>
          </w:tcPr>
          <w:p w14:paraId="38F6876B">
            <w:pPr>
              <w:pStyle w:val="92"/>
              <w:rPr>
                <w:snapToGrid w:val="0"/>
                <w:color w:val="auto"/>
                <w:highlight w:val="none"/>
                <w:u w:val="none"/>
              </w:rPr>
            </w:pPr>
            <w:r>
              <w:rPr>
                <w:rFonts w:hint="eastAsia"/>
                <w:snapToGrid w:val="0"/>
                <w:color w:val="auto"/>
                <w:highlight w:val="none"/>
                <w:u w:val="none"/>
              </w:rPr>
              <w:t>3931</w:t>
            </w:r>
          </w:p>
        </w:tc>
      </w:tr>
      <w:tr w14:paraId="34E77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2DD4BBF">
            <w:pPr>
              <w:pStyle w:val="92"/>
              <w:rPr>
                <w:snapToGrid w:val="0"/>
                <w:color w:val="auto"/>
                <w:highlight w:val="none"/>
                <w:u w:val="none"/>
              </w:rPr>
            </w:pPr>
          </w:p>
        </w:tc>
        <w:tc>
          <w:tcPr>
            <w:tcW w:w="1259" w:type="pct"/>
            <w:vAlign w:val="center"/>
          </w:tcPr>
          <w:p w14:paraId="6EAFB081">
            <w:pPr>
              <w:pStyle w:val="92"/>
              <w:rPr>
                <w:snapToGrid w:val="0"/>
                <w:color w:val="auto"/>
                <w:highlight w:val="none"/>
                <w:u w:val="none"/>
              </w:rPr>
            </w:pPr>
            <w:r>
              <w:rPr>
                <w:snapToGrid w:val="0"/>
                <w:color w:val="auto"/>
                <w:highlight w:val="none"/>
                <w:u w:val="none"/>
              </w:rPr>
              <w:t>NO</w:t>
            </w:r>
            <w:r>
              <w:rPr>
                <w:snapToGrid w:val="0"/>
                <w:color w:val="auto"/>
                <w:highlight w:val="none"/>
                <w:u w:val="none"/>
                <w:vertAlign w:val="subscript"/>
              </w:rPr>
              <w:t>X</w:t>
            </w:r>
          </w:p>
        </w:tc>
        <w:tc>
          <w:tcPr>
            <w:tcW w:w="741" w:type="pct"/>
            <w:vAlign w:val="center"/>
          </w:tcPr>
          <w:p w14:paraId="65134810">
            <w:pPr>
              <w:pStyle w:val="92"/>
              <w:rPr>
                <w:snapToGrid w:val="0"/>
                <w:color w:val="auto"/>
                <w:highlight w:val="none"/>
                <w:u w:val="none"/>
              </w:rPr>
            </w:pPr>
            <w:r>
              <w:rPr>
                <w:snapToGrid w:val="0"/>
                <w:color w:val="auto"/>
                <w:highlight w:val="none"/>
                <w:u w:val="none"/>
              </w:rPr>
              <w:t>t/a</w:t>
            </w:r>
          </w:p>
        </w:tc>
        <w:tc>
          <w:tcPr>
            <w:tcW w:w="834" w:type="pct"/>
            <w:vAlign w:val="bottom"/>
          </w:tcPr>
          <w:p w14:paraId="2FC069C0">
            <w:pPr>
              <w:pStyle w:val="92"/>
              <w:rPr>
                <w:rFonts w:eastAsia="等线"/>
                <w:color w:val="auto"/>
                <w:highlight w:val="none"/>
                <w:u w:val="none"/>
              </w:rPr>
            </w:pPr>
            <w:r>
              <w:rPr>
                <w:rFonts w:eastAsia="等线"/>
                <w:color w:val="auto"/>
                <w:highlight w:val="none"/>
                <w:u w:val="none"/>
              </w:rPr>
              <w:t xml:space="preserve">18.25 </w:t>
            </w:r>
          </w:p>
        </w:tc>
        <w:tc>
          <w:tcPr>
            <w:tcW w:w="679" w:type="pct"/>
            <w:vAlign w:val="bottom"/>
          </w:tcPr>
          <w:p w14:paraId="03A5BFB9">
            <w:pPr>
              <w:pStyle w:val="92"/>
              <w:rPr>
                <w:rFonts w:eastAsia="等线"/>
                <w:color w:val="auto"/>
                <w:highlight w:val="none"/>
                <w:u w:val="none"/>
              </w:rPr>
            </w:pPr>
            <w:r>
              <w:rPr>
                <w:rFonts w:eastAsia="等线"/>
                <w:color w:val="auto"/>
                <w:highlight w:val="none"/>
                <w:u w:val="none"/>
              </w:rPr>
              <w:t xml:space="preserve">18.25 </w:t>
            </w:r>
          </w:p>
        </w:tc>
        <w:tc>
          <w:tcPr>
            <w:tcW w:w="739" w:type="pct"/>
            <w:vAlign w:val="bottom"/>
          </w:tcPr>
          <w:p w14:paraId="08B8CEF0">
            <w:pPr>
              <w:pStyle w:val="92"/>
              <w:rPr>
                <w:snapToGrid w:val="0"/>
                <w:color w:val="auto"/>
                <w:highlight w:val="none"/>
                <w:u w:val="none"/>
              </w:rPr>
            </w:pPr>
            <w:r>
              <w:rPr>
                <w:rFonts w:hint="eastAsia"/>
                <w:snapToGrid w:val="0"/>
                <w:color w:val="auto"/>
                <w:highlight w:val="none"/>
                <w:u w:val="none"/>
              </w:rPr>
              <w:t>/</w:t>
            </w:r>
          </w:p>
        </w:tc>
      </w:tr>
      <w:tr w14:paraId="4AB9E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014AD5F">
            <w:pPr>
              <w:pStyle w:val="92"/>
              <w:rPr>
                <w:snapToGrid w:val="0"/>
                <w:color w:val="auto"/>
                <w:highlight w:val="none"/>
                <w:u w:val="none"/>
              </w:rPr>
            </w:pPr>
          </w:p>
        </w:tc>
        <w:tc>
          <w:tcPr>
            <w:tcW w:w="1259" w:type="pct"/>
            <w:vAlign w:val="center"/>
          </w:tcPr>
          <w:p w14:paraId="244BDFFE">
            <w:pPr>
              <w:pStyle w:val="92"/>
              <w:rPr>
                <w:snapToGrid w:val="0"/>
                <w:color w:val="auto"/>
                <w:highlight w:val="none"/>
                <w:u w:val="none"/>
              </w:rPr>
            </w:pPr>
            <w:r>
              <w:rPr>
                <w:snapToGrid w:val="0"/>
                <w:color w:val="auto"/>
                <w:highlight w:val="none"/>
                <w:u w:val="none"/>
              </w:rPr>
              <w:t>硝基苯类</w:t>
            </w:r>
          </w:p>
        </w:tc>
        <w:tc>
          <w:tcPr>
            <w:tcW w:w="741" w:type="pct"/>
            <w:vAlign w:val="center"/>
          </w:tcPr>
          <w:p w14:paraId="0DDCDBE2">
            <w:pPr>
              <w:pStyle w:val="92"/>
              <w:rPr>
                <w:snapToGrid w:val="0"/>
                <w:color w:val="auto"/>
                <w:highlight w:val="none"/>
                <w:u w:val="none"/>
              </w:rPr>
            </w:pPr>
            <w:r>
              <w:rPr>
                <w:snapToGrid w:val="0"/>
                <w:color w:val="auto"/>
                <w:highlight w:val="none"/>
                <w:u w:val="none"/>
              </w:rPr>
              <w:t>t/a</w:t>
            </w:r>
          </w:p>
        </w:tc>
        <w:tc>
          <w:tcPr>
            <w:tcW w:w="834" w:type="pct"/>
            <w:vAlign w:val="bottom"/>
          </w:tcPr>
          <w:p w14:paraId="6CEC20F3">
            <w:pPr>
              <w:pStyle w:val="92"/>
              <w:rPr>
                <w:snapToGrid w:val="0"/>
                <w:color w:val="auto"/>
                <w:highlight w:val="none"/>
                <w:u w:val="none"/>
              </w:rPr>
            </w:pPr>
            <w:r>
              <w:rPr>
                <w:rFonts w:eastAsia="等线"/>
                <w:color w:val="auto"/>
                <w:sz w:val="22"/>
                <w:szCs w:val="22"/>
                <w:highlight w:val="none"/>
                <w:u w:val="none"/>
              </w:rPr>
              <w:t xml:space="preserve">1.16 </w:t>
            </w:r>
          </w:p>
        </w:tc>
        <w:tc>
          <w:tcPr>
            <w:tcW w:w="679" w:type="pct"/>
            <w:vAlign w:val="bottom"/>
          </w:tcPr>
          <w:p w14:paraId="39B8FECB">
            <w:pPr>
              <w:pStyle w:val="92"/>
              <w:rPr>
                <w:snapToGrid w:val="0"/>
                <w:color w:val="auto"/>
                <w:highlight w:val="none"/>
                <w:u w:val="none"/>
              </w:rPr>
            </w:pPr>
            <w:r>
              <w:rPr>
                <w:rFonts w:eastAsia="等线"/>
                <w:color w:val="auto"/>
                <w:sz w:val="22"/>
                <w:szCs w:val="22"/>
                <w:highlight w:val="none"/>
                <w:u w:val="none"/>
              </w:rPr>
              <w:t xml:space="preserve">0.07 </w:t>
            </w:r>
          </w:p>
        </w:tc>
        <w:tc>
          <w:tcPr>
            <w:tcW w:w="739" w:type="pct"/>
            <w:vAlign w:val="bottom"/>
          </w:tcPr>
          <w:p w14:paraId="0913769C">
            <w:pPr>
              <w:pStyle w:val="92"/>
              <w:rPr>
                <w:snapToGrid w:val="0"/>
                <w:color w:val="auto"/>
                <w:highlight w:val="none"/>
                <w:u w:val="none"/>
              </w:rPr>
            </w:pPr>
            <w:r>
              <w:rPr>
                <w:rFonts w:eastAsia="等线"/>
                <w:color w:val="auto"/>
                <w:sz w:val="22"/>
                <w:szCs w:val="22"/>
                <w:highlight w:val="none"/>
                <w:u w:val="none"/>
              </w:rPr>
              <w:t xml:space="preserve">1.09 </w:t>
            </w:r>
          </w:p>
        </w:tc>
      </w:tr>
      <w:tr w14:paraId="09339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A211243">
            <w:pPr>
              <w:pStyle w:val="92"/>
              <w:rPr>
                <w:snapToGrid w:val="0"/>
                <w:color w:val="auto"/>
                <w:highlight w:val="none"/>
                <w:u w:val="none"/>
              </w:rPr>
            </w:pPr>
          </w:p>
        </w:tc>
        <w:tc>
          <w:tcPr>
            <w:tcW w:w="1259" w:type="pct"/>
            <w:vAlign w:val="center"/>
          </w:tcPr>
          <w:p w14:paraId="41C66CC1">
            <w:pPr>
              <w:pStyle w:val="92"/>
              <w:rPr>
                <w:snapToGrid w:val="0"/>
                <w:color w:val="auto"/>
                <w:highlight w:val="none"/>
                <w:u w:val="none"/>
              </w:rPr>
            </w:pPr>
            <w:r>
              <w:rPr>
                <w:snapToGrid w:val="0"/>
                <w:color w:val="auto"/>
                <w:highlight w:val="none"/>
                <w:u w:val="none"/>
              </w:rPr>
              <w:t>甲苯</w:t>
            </w:r>
          </w:p>
        </w:tc>
        <w:tc>
          <w:tcPr>
            <w:tcW w:w="741" w:type="pct"/>
            <w:vAlign w:val="center"/>
          </w:tcPr>
          <w:p w14:paraId="74470ED6">
            <w:pPr>
              <w:pStyle w:val="92"/>
              <w:rPr>
                <w:snapToGrid w:val="0"/>
                <w:color w:val="auto"/>
                <w:highlight w:val="none"/>
                <w:u w:val="none"/>
              </w:rPr>
            </w:pPr>
            <w:r>
              <w:rPr>
                <w:snapToGrid w:val="0"/>
                <w:color w:val="auto"/>
                <w:highlight w:val="none"/>
                <w:u w:val="none"/>
              </w:rPr>
              <w:t>t/a</w:t>
            </w:r>
          </w:p>
        </w:tc>
        <w:tc>
          <w:tcPr>
            <w:tcW w:w="834" w:type="pct"/>
            <w:vAlign w:val="bottom"/>
          </w:tcPr>
          <w:p w14:paraId="65112911">
            <w:pPr>
              <w:pStyle w:val="92"/>
              <w:rPr>
                <w:snapToGrid w:val="0"/>
                <w:color w:val="auto"/>
                <w:highlight w:val="none"/>
                <w:u w:val="none"/>
              </w:rPr>
            </w:pPr>
            <w:r>
              <w:rPr>
                <w:rFonts w:eastAsia="等线"/>
                <w:color w:val="auto"/>
                <w:highlight w:val="none"/>
                <w:u w:val="none"/>
              </w:rPr>
              <w:t xml:space="preserve">1.94 </w:t>
            </w:r>
          </w:p>
        </w:tc>
        <w:tc>
          <w:tcPr>
            <w:tcW w:w="679" w:type="pct"/>
            <w:vAlign w:val="bottom"/>
          </w:tcPr>
          <w:p w14:paraId="5E615ECB">
            <w:pPr>
              <w:pStyle w:val="92"/>
              <w:rPr>
                <w:snapToGrid w:val="0"/>
                <w:color w:val="auto"/>
                <w:highlight w:val="none"/>
                <w:u w:val="none"/>
              </w:rPr>
            </w:pPr>
            <w:r>
              <w:rPr>
                <w:rFonts w:eastAsia="等线"/>
                <w:color w:val="auto"/>
                <w:highlight w:val="none"/>
                <w:u w:val="none"/>
              </w:rPr>
              <w:t xml:space="preserve">1.47 </w:t>
            </w:r>
          </w:p>
        </w:tc>
        <w:tc>
          <w:tcPr>
            <w:tcW w:w="739" w:type="pct"/>
            <w:vAlign w:val="bottom"/>
          </w:tcPr>
          <w:p w14:paraId="587E87FB">
            <w:pPr>
              <w:pStyle w:val="92"/>
              <w:rPr>
                <w:snapToGrid w:val="0"/>
                <w:color w:val="auto"/>
                <w:highlight w:val="none"/>
                <w:u w:val="none"/>
              </w:rPr>
            </w:pPr>
            <w:r>
              <w:rPr>
                <w:rFonts w:eastAsia="等线"/>
                <w:color w:val="auto"/>
                <w:highlight w:val="none"/>
                <w:u w:val="none"/>
              </w:rPr>
              <w:t xml:space="preserve">0.47 </w:t>
            </w:r>
          </w:p>
        </w:tc>
      </w:tr>
      <w:tr w14:paraId="6999D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BAD8836">
            <w:pPr>
              <w:pStyle w:val="92"/>
              <w:rPr>
                <w:snapToGrid w:val="0"/>
                <w:color w:val="auto"/>
                <w:highlight w:val="none"/>
                <w:u w:val="none"/>
              </w:rPr>
            </w:pPr>
          </w:p>
        </w:tc>
        <w:tc>
          <w:tcPr>
            <w:tcW w:w="1259" w:type="pct"/>
            <w:vAlign w:val="center"/>
          </w:tcPr>
          <w:p w14:paraId="6B4F4260">
            <w:pPr>
              <w:pStyle w:val="92"/>
              <w:rPr>
                <w:snapToGrid w:val="0"/>
                <w:color w:val="auto"/>
                <w:highlight w:val="none"/>
                <w:u w:val="none"/>
              </w:rPr>
            </w:pPr>
            <w:r>
              <w:rPr>
                <w:snapToGrid w:val="0"/>
                <w:color w:val="auto"/>
                <w:highlight w:val="none"/>
                <w:u w:val="none"/>
              </w:rPr>
              <w:t>氨</w:t>
            </w:r>
          </w:p>
        </w:tc>
        <w:tc>
          <w:tcPr>
            <w:tcW w:w="741" w:type="pct"/>
            <w:vAlign w:val="center"/>
          </w:tcPr>
          <w:p w14:paraId="5AB25702">
            <w:pPr>
              <w:pStyle w:val="92"/>
              <w:rPr>
                <w:snapToGrid w:val="0"/>
                <w:color w:val="auto"/>
                <w:highlight w:val="none"/>
                <w:u w:val="none"/>
              </w:rPr>
            </w:pPr>
            <w:r>
              <w:rPr>
                <w:snapToGrid w:val="0"/>
                <w:color w:val="auto"/>
                <w:highlight w:val="none"/>
                <w:u w:val="none"/>
              </w:rPr>
              <w:t>t/a</w:t>
            </w:r>
          </w:p>
        </w:tc>
        <w:tc>
          <w:tcPr>
            <w:tcW w:w="834" w:type="pct"/>
            <w:vAlign w:val="bottom"/>
          </w:tcPr>
          <w:p w14:paraId="06C0C491">
            <w:pPr>
              <w:pStyle w:val="92"/>
              <w:rPr>
                <w:snapToGrid w:val="0"/>
                <w:color w:val="auto"/>
                <w:highlight w:val="none"/>
                <w:u w:val="none"/>
              </w:rPr>
            </w:pPr>
            <w:r>
              <w:rPr>
                <w:rFonts w:eastAsia="等线"/>
                <w:color w:val="auto"/>
                <w:highlight w:val="none"/>
                <w:u w:val="none"/>
              </w:rPr>
              <w:t xml:space="preserve">13.19 </w:t>
            </w:r>
          </w:p>
        </w:tc>
        <w:tc>
          <w:tcPr>
            <w:tcW w:w="679" w:type="pct"/>
            <w:vAlign w:val="bottom"/>
          </w:tcPr>
          <w:p w14:paraId="2C41A42D">
            <w:pPr>
              <w:pStyle w:val="92"/>
              <w:rPr>
                <w:snapToGrid w:val="0"/>
                <w:color w:val="auto"/>
                <w:highlight w:val="none"/>
                <w:u w:val="none"/>
              </w:rPr>
            </w:pPr>
            <w:r>
              <w:rPr>
                <w:rFonts w:eastAsia="等线"/>
                <w:color w:val="auto"/>
                <w:highlight w:val="none"/>
                <w:u w:val="none"/>
              </w:rPr>
              <w:t xml:space="preserve">13.19 </w:t>
            </w:r>
          </w:p>
        </w:tc>
        <w:tc>
          <w:tcPr>
            <w:tcW w:w="739" w:type="pct"/>
            <w:vAlign w:val="bottom"/>
          </w:tcPr>
          <w:p w14:paraId="6D442058">
            <w:pPr>
              <w:pStyle w:val="92"/>
              <w:rPr>
                <w:snapToGrid w:val="0"/>
                <w:color w:val="auto"/>
                <w:highlight w:val="none"/>
                <w:u w:val="none"/>
              </w:rPr>
            </w:pPr>
            <w:r>
              <w:rPr>
                <w:rFonts w:hint="eastAsia"/>
                <w:snapToGrid w:val="0"/>
                <w:color w:val="auto"/>
                <w:highlight w:val="none"/>
                <w:u w:val="none"/>
              </w:rPr>
              <w:t>/</w:t>
            </w:r>
          </w:p>
        </w:tc>
      </w:tr>
      <w:tr w14:paraId="4E8D3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D5553D6">
            <w:pPr>
              <w:pStyle w:val="92"/>
              <w:rPr>
                <w:snapToGrid w:val="0"/>
                <w:color w:val="auto"/>
                <w:highlight w:val="none"/>
                <w:u w:val="none"/>
              </w:rPr>
            </w:pPr>
          </w:p>
        </w:tc>
        <w:tc>
          <w:tcPr>
            <w:tcW w:w="1259" w:type="pct"/>
            <w:vAlign w:val="center"/>
          </w:tcPr>
          <w:p w14:paraId="5D7E1880">
            <w:pPr>
              <w:pStyle w:val="92"/>
              <w:rPr>
                <w:snapToGrid w:val="0"/>
                <w:color w:val="auto"/>
                <w:highlight w:val="none"/>
                <w:u w:val="none"/>
              </w:rPr>
            </w:pPr>
            <w:r>
              <w:rPr>
                <w:snapToGrid w:val="0"/>
                <w:color w:val="auto"/>
                <w:highlight w:val="none"/>
                <w:u w:val="none"/>
              </w:rPr>
              <w:t>苯胺类</w:t>
            </w:r>
          </w:p>
        </w:tc>
        <w:tc>
          <w:tcPr>
            <w:tcW w:w="741" w:type="pct"/>
            <w:vAlign w:val="center"/>
          </w:tcPr>
          <w:p w14:paraId="497EC595">
            <w:pPr>
              <w:pStyle w:val="92"/>
              <w:rPr>
                <w:snapToGrid w:val="0"/>
                <w:color w:val="auto"/>
                <w:highlight w:val="none"/>
                <w:u w:val="none"/>
              </w:rPr>
            </w:pPr>
            <w:r>
              <w:rPr>
                <w:snapToGrid w:val="0"/>
                <w:color w:val="auto"/>
                <w:highlight w:val="none"/>
                <w:u w:val="none"/>
              </w:rPr>
              <w:t>t/a</w:t>
            </w:r>
          </w:p>
        </w:tc>
        <w:tc>
          <w:tcPr>
            <w:tcW w:w="834" w:type="pct"/>
            <w:vAlign w:val="bottom"/>
          </w:tcPr>
          <w:p w14:paraId="1F6ED23A">
            <w:pPr>
              <w:pStyle w:val="92"/>
              <w:rPr>
                <w:snapToGrid w:val="0"/>
                <w:color w:val="auto"/>
                <w:highlight w:val="none"/>
                <w:u w:val="none"/>
              </w:rPr>
            </w:pPr>
            <w:r>
              <w:rPr>
                <w:rFonts w:eastAsia="等线"/>
                <w:color w:val="auto"/>
                <w:highlight w:val="none"/>
                <w:u w:val="none"/>
              </w:rPr>
              <w:t xml:space="preserve">8.24 </w:t>
            </w:r>
          </w:p>
        </w:tc>
        <w:tc>
          <w:tcPr>
            <w:tcW w:w="679" w:type="pct"/>
            <w:vAlign w:val="bottom"/>
          </w:tcPr>
          <w:p w14:paraId="7983C087">
            <w:pPr>
              <w:pStyle w:val="92"/>
              <w:rPr>
                <w:snapToGrid w:val="0"/>
                <w:color w:val="auto"/>
                <w:highlight w:val="none"/>
                <w:u w:val="none"/>
              </w:rPr>
            </w:pPr>
            <w:r>
              <w:rPr>
                <w:rFonts w:eastAsia="等线"/>
                <w:color w:val="auto"/>
                <w:highlight w:val="none"/>
                <w:u w:val="none"/>
              </w:rPr>
              <w:t xml:space="preserve">3.23 </w:t>
            </w:r>
          </w:p>
        </w:tc>
        <w:tc>
          <w:tcPr>
            <w:tcW w:w="739" w:type="pct"/>
            <w:vAlign w:val="bottom"/>
          </w:tcPr>
          <w:p w14:paraId="4E7DE37E">
            <w:pPr>
              <w:pStyle w:val="92"/>
              <w:rPr>
                <w:snapToGrid w:val="0"/>
                <w:color w:val="auto"/>
                <w:highlight w:val="none"/>
                <w:u w:val="none"/>
              </w:rPr>
            </w:pPr>
            <w:r>
              <w:rPr>
                <w:rFonts w:eastAsia="等线"/>
                <w:color w:val="auto"/>
                <w:highlight w:val="none"/>
                <w:u w:val="none"/>
              </w:rPr>
              <w:t xml:space="preserve">5.01 </w:t>
            </w:r>
          </w:p>
        </w:tc>
      </w:tr>
      <w:tr w14:paraId="7C40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B11F4BE">
            <w:pPr>
              <w:pStyle w:val="92"/>
              <w:rPr>
                <w:snapToGrid w:val="0"/>
                <w:color w:val="auto"/>
                <w:highlight w:val="none"/>
                <w:u w:val="none"/>
              </w:rPr>
            </w:pPr>
          </w:p>
        </w:tc>
        <w:tc>
          <w:tcPr>
            <w:tcW w:w="1259" w:type="pct"/>
            <w:vAlign w:val="center"/>
          </w:tcPr>
          <w:p w14:paraId="1AE6DF56">
            <w:pPr>
              <w:pStyle w:val="92"/>
              <w:rPr>
                <w:snapToGrid w:val="0"/>
                <w:color w:val="auto"/>
                <w:highlight w:val="none"/>
                <w:u w:val="none"/>
              </w:rPr>
            </w:pPr>
            <w:r>
              <w:rPr>
                <w:snapToGrid w:val="0"/>
                <w:color w:val="auto"/>
                <w:highlight w:val="none"/>
                <w:u w:val="none"/>
              </w:rPr>
              <w:t>TDI</w:t>
            </w:r>
          </w:p>
        </w:tc>
        <w:tc>
          <w:tcPr>
            <w:tcW w:w="741" w:type="pct"/>
            <w:vAlign w:val="center"/>
          </w:tcPr>
          <w:p w14:paraId="2612B691">
            <w:pPr>
              <w:pStyle w:val="92"/>
              <w:rPr>
                <w:snapToGrid w:val="0"/>
                <w:color w:val="auto"/>
                <w:highlight w:val="none"/>
                <w:u w:val="none"/>
              </w:rPr>
            </w:pPr>
            <w:r>
              <w:rPr>
                <w:snapToGrid w:val="0"/>
                <w:color w:val="auto"/>
                <w:highlight w:val="none"/>
                <w:u w:val="none"/>
              </w:rPr>
              <w:t>t/a</w:t>
            </w:r>
          </w:p>
        </w:tc>
        <w:tc>
          <w:tcPr>
            <w:tcW w:w="834" w:type="pct"/>
            <w:vAlign w:val="bottom"/>
          </w:tcPr>
          <w:p w14:paraId="36F2A7BA">
            <w:pPr>
              <w:pStyle w:val="92"/>
              <w:rPr>
                <w:snapToGrid w:val="0"/>
                <w:color w:val="auto"/>
                <w:highlight w:val="none"/>
                <w:u w:val="none"/>
              </w:rPr>
            </w:pPr>
            <w:r>
              <w:rPr>
                <w:rFonts w:eastAsia="等线"/>
                <w:color w:val="auto"/>
                <w:highlight w:val="none"/>
                <w:u w:val="none"/>
              </w:rPr>
              <w:t xml:space="preserve">3.75 </w:t>
            </w:r>
          </w:p>
        </w:tc>
        <w:tc>
          <w:tcPr>
            <w:tcW w:w="679" w:type="pct"/>
            <w:vAlign w:val="bottom"/>
          </w:tcPr>
          <w:p w14:paraId="16195640">
            <w:pPr>
              <w:pStyle w:val="92"/>
              <w:rPr>
                <w:snapToGrid w:val="0"/>
                <w:color w:val="auto"/>
                <w:highlight w:val="none"/>
                <w:u w:val="none"/>
              </w:rPr>
            </w:pPr>
            <w:r>
              <w:rPr>
                <w:rFonts w:eastAsia="等线"/>
                <w:color w:val="auto"/>
                <w:highlight w:val="none"/>
                <w:u w:val="none"/>
              </w:rPr>
              <w:t xml:space="preserve">2.24 </w:t>
            </w:r>
          </w:p>
        </w:tc>
        <w:tc>
          <w:tcPr>
            <w:tcW w:w="739" w:type="pct"/>
            <w:vAlign w:val="bottom"/>
          </w:tcPr>
          <w:p w14:paraId="650E9A42">
            <w:pPr>
              <w:pStyle w:val="92"/>
              <w:rPr>
                <w:snapToGrid w:val="0"/>
                <w:color w:val="auto"/>
                <w:highlight w:val="none"/>
                <w:u w:val="none"/>
              </w:rPr>
            </w:pPr>
            <w:r>
              <w:rPr>
                <w:rFonts w:eastAsia="等线"/>
                <w:color w:val="auto"/>
                <w:highlight w:val="none"/>
                <w:u w:val="none"/>
              </w:rPr>
              <w:t xml:space="preserve">1.51 </w:t>
            </w:r>
          </w:p>
        </w:tc>
      </w:tr>
      <w:tr w14:paraId="49CC6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A520354">
            <w:pPr>
              <w:pStyle w:val="92"/>
              <w:rPr>
                <w:snapToGrid w:val="0"/>
                <w:color w:val="auto"/>
                <w:highlight w:val="none"/>
                <w:u w:val="none"/>
              </w:rPr>
            </w:pPr>
          </w:p>
        </w:tc>
        <w:tc>
          <w:tcPr>
            <w:tcW w:w="1259" w:type="pct"/>
            <w:vAlign w:val="center"/>
          </w:tcPr>
          <w:p w14:paraId="175686C2">
            <w:pPr>
              <w:pStyle w:val="92"/>
              <w:rPr>
                <w:snapToGrid w:val="0"/>
                <w:color w:val="auto"/>
                <w:highlight w:val="none"/>
                <w:u w:val="none"/>
              </w:rPr>
            </w:pPr>
            <w:r>
              <w:rPr>
                <w:snapToGrid w:val="0"/>
                <w:color w:val="auto"/>
                <w:highlight w:val="none"/>
                <w:u w:val="none"/>
              </w:rPr>
              <w:t>氯苯类</w:t>
            </w:r>
          </w:p>
        </w:tc>
        <w:tc>
          <w:tcPr>
            <w:tcW w:w="741" w:type="pct"/>
            <w:vAlign w:val="center"/>
          </w:tcPr>
          <w:p w14:paraId="6D7C80C3">
            <w:pPr>
              <w:pStyle w:val="92"/>
              <w:rPr>
                <w:snapToGrid w:val="0"/>
                <w:color w:val="auto"/>
                <w:highlight w:val="none"/>
                <w:u w:val="none"/>
              </w:rPr>
            </w:pPr>
            <w:r>
              <w:rPr>
                <w:snapToGrid w:val="0"/>
                <w:color w:val="auto"/>
                <w:highlight w:val="none"/>
                <w:u w:val="none"/>
              </w:rPr>
              <w:t>t/a</w:t>
            </w:r>
          </w:p>
        </w:tc>
        <w:tc>
          <w:tcPr>
            <w:tcW w:w="834" w:type="pct"/>
            <w:vAlign w:val="bottom"/>
          </w:tcPr>
          <w:p w14:paraId="5C64B332">
            <w:pPr>
              <w:pStyle w:val="92"/>
              <w:rPr>
                <w:color w:val="auto"/>
                <w:highlight w:val="none"/>
                <w:u w:val="none"/>
              </w:rPr>
            </w:pPr>
            <w:r>
              <w:rPr>
                <w:rFonts w:eastAsia="等线"/>
                <w:color w:val="auto"/>
                <w:sz w:val="22"/>
                <w:szCs w:val="22"/>
                <w:highlight w:val="none"/>
                <w:u w:val="none"/>
              </w:rPr>
              <w:t xml:space="preserve">21.68 </w:t>
            </w:r>
          </w:p>
        </w:tc>
        <w:tc>
          <w:tcPr>
            <w:tcW w:w="679" w:type="pct"/>
            <w:vAlign w:val="bottom"/>
          </w:tcPr>
          <w:p w14:paraId="1E3B76D5">
            <w:pPr>
              <w:pStyle w:val="92"/>
              <w:rPr>
                <w:color w:val="auto"/>
                <w:highlight w:val="none"/>
                <w:u w:val="none"/>
              </w:rPr>
            </w:pPr>
            <w:r>
              <w:rPr>
                <w:rFonts w:eastAsia="等线"/>
                <w:color w:val="auto"/>
                <w:sz w:val="22"/>
                <w:szCs w:val="22"/>
                <w:highlight w:val="none"/>
                <w:u w:val="none"/>
              </w:rPr>
              <w:t xml:space="preserve">19.73 </w:t>
            </w:r>
          </w:p>
        </w:tc>
        <w:tc>
          <w:tcPr>
            <w:tcW w:w="739" w:type="pct"/>
            <w:vAlign w:val="bottom"/>
          </w:tcPr>
          <w:p w14:paraId="6A4A91E8">
            <w:pPr>
              <w:pStyle w:val="92"/>
              <w:rPr>
                <w:color w:val="auto"/>
                <w:highlight w:val="none"/>
                <w:u w:val="none"/>
              </w:rPr>
            </w:pPr>
            <w:r>
              <w:rPr>
                <w:rFonts w:eastAsia="等线"/>
                <w:color w:val="auto"/>
                <w:sz w:val="22"/>
                <w:szCs w:val="22"/>
                <w:highlight w:val="none"/>
                <w:u w:val="none"/>
              </w:rPr>
              <w:t xml:space="preserve">1.95 </w:t>
            </w:r>
          </w:p>
        </w:tc>
      </w:tr>
      <w:tr w14:paraId="4B574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22D7F19">
            <w:pPr>
              <w:pStyle w:val="92"/>
              <w:rPr>
                <w:snapToGrid w:val="0"/>
                <w:color w:val="auto"/>
                <w:highlight w:val="none"/>
                <w:u w:val="none"/>
              </w:rPr>
            </w:pPr>
          </w:p>
        </w:tc>
        <w:tc>
          <w:tcPr>
            <w:tcW w:w="1259" w:type="pct"/>
            <w:vAlign w:val="center"/>
          </w:tcPr>
          <w:p w14:paraId="6671CCDA">
            <w:pPr>
              <w:pStyle w:val="92"/>
              <w:rPr>
                <w:snapToGrid w:val="0"/>
                <w:color w:val="auto"/>
                <w:highlight w:val="none"/>
                <w:u w:val="none"/>
              </w:rPr>
            </w:pPr>
            <w:r>
              <w:rPr>
                <w:snapToGrid w:val="0"/>
                <w:color w:val="auto"/>
                <w:highlight w:val="none"/>
                <w:u w:val="none"/>
              </w:rPr>
              <w:t>光气</w:t>
            </w:r>
          </w:p>
        </w:tc>
        <w:tc>
          <w:tcPr>
            <w:tcW w:w="741" w:type="pct"/>
            <w:vAlign w:val="center"/>
          </w:tcPr>
          <w:p w14:paraId="36CCC12E">
            <w:pPr>
              <w:pStyle w:val="92"/>
              <w:rPr>
                <w:snapToGrid w:val="0"/>
                <w:color w:val="auto"/>
                <w:highlight w:val="none"/>
                <w:u w:val="none"/>
              </w:rPr>
            </w:pPr>
            <w:r>
              <w:rPr>
                <w:snapToGrid w:val="0"/>
                <w:color w:val="auto"/>
                <w:highlight w:val="none"/>
                <w:u w:val="none"/>
              </w:rPr>
              <w:t>t/a</w:t>
            </w:r>
          </w:p>
        </w:tc>
        <w:tc>
          <w:tcPr>
            <w:tcW w:w="834" w:type="pct"/>
            <w:vAlign w:val="bottom"/>
          </w:tcPr>
          <w:p w14:paraId="681BD075">
            <w:pPr>
              <w:pStyle w:val="92"/>
              <w:rPr>
                <w:snapToGrid w:val="0"/>
                <w:color w:val="auto"/>
                <w:highlight w:val="none"/>
                <w:u w:val="none"/>
              </w:rPr>
            </w:pPr>
            <w:r>
              <w:rPr>
                <w:rFonts w:eastAsia="等线"/>
                <w:color w:val="auto"/>
                <w:highlight w:val="none"/>
                <w:u w:val="none"/>
              </w:rPr>
              <w:t xml:space="preserve">2.61 </w:t>
            </w:r>
          </w:p>
        </w:tc>
        <w:tc>
          <w:tcPr>
            <w:tcW w:w="679" w:type="pct"/>
            <w:vAlign w:val="bottom"/>
          </w:tcPr>
          <w:p w14:paraId="0E19150A">
            <w:pPr>
              <w:pStyle w:val="92"/>
              <w:rPr>
                <w:snapToGrid w:val="0"/>
                <w:color w:val="auto"/>
                <w:highlight w:val="none"/>
                <w:u w:val="none"/>
              </w:rPr>
            </w:pPr>
            <w:r>
              <w:rPr>
                <w:rFonts w:eastAsia="等线"/>
                <w:color w:val="auto"/>
                <w:highlight w:val="none"/>
                <w:u w:val="none"/>
              </w:rPr>
              <w:t xml:space="preserve">2.40 </w:t>
            </w:r>
          </w:p>
        </w:tc>
        <w:tc>
          <w:tcPr>
            <w:tcW w:w="739" w:type="pct"/>
            <w:vAlign w:val="bottom"/>
          </w:tcPr>
          <w:p w14:paraId="7348CFC3">
            <w:pPr>
              <w:pStyle w:val="92"/>
              <w:rPr>
                <w:snapToGrid w:val="0"/>
                <w:color w:val="auto"/>
                <w:highlight w:val="none"/>
                <w:u w:val="none"/>
              </w:rPr>
            </w:pPr>
            <w:r>
              <w:rPr>
                <w:rFonts w:eastAsia="等线"/>
                <w:color w:val="auto"/>
                <w:highlight w:val="none"/>
                <w:u w:val="none"/>
              </w:rPr>
              <w:t xml:space="preserve">0.21 </w:t>
            </w:r>
          </w:p>
        </w:tc>
      </w:tr>
      <w:tr w14:paraId="0BC44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F8BC532">
            <w:pPr>
              <w:pStyle w:val="92"/>
              <w:rPr>
                <w:snapToGrid w:val="0"/>
                <w:color w:val="auto"/>
                <w:highlight w:val="none"/>
                <w:u w:val="none"/>
              </w:rPr>
            </w:pPr>
          </w:p>
        </w:tc>
        <w:tc>
          <w:tcPr>
            <w:tcW w:w="1259" w:type="pct"/>
            <w:vAlign w:val="center"/>
          </w:tcPr>
          <w:p w14:paraId="60191463">
            <w:pPr>
              <w:pStyle w:val="92"/>
              <w:rPr>
                <w:snapToGrid w:val="0"/>
                <w:color w:val="auto"/>
                <w:highlight w:val="none"/>
                <w:u w:val="none"/>
              </w:rPr>
            </w:pPr>
            <w:r>
              <w:rPr>
                <w:snapToGrid w:val="0"/>
                <w:color w:val="auto"/>
                <w:highlight w:val="none"/>
                <w:u w:val="none"/>
              </w:rPr>
              <w:t>VOC</w:t>
            </w:r>
            <w:r>
              <w:rPr>
                <w:snapToGrid w:val="0"/>
                <w:color w:val="auto"/>
                <w:highlight w:val="none"/>
                <w:u w:val="none"/>
                <w:vertAlign w:val="subscript"/>
              </w:rPr>
              <w:t>S</w:t>
            </w:r>
          </w:p>
        </w:tc>
        <w:tc>
          <w:tcPr>
            <w:tcW w:w="741" w:type="pct"/>
            <w:vAlign w:val="center"/>
          </w:tcPr>
          <w:p w14:paraId="3D2FF24E">
            <w:pPr>
              <w:pStyle w:val="92"/>
              <w:rPr>
                <w:snapToGrid w:val="0"/>
                <w:color w:val="auto"/>
                <w:highlight w:val="none"/>
                <w:u w:val="none"/>
              </w:rPr>
            </w:pPr>
            <w:r>
              <w:rPr>
                <w:snapToGrid w:val="0"/>
                <w:color w:val="auto"/>
                <w:highlight w:val="none"/>
                <w:u w:val="none"/>
              </w:rPr>
              <w:t>t/a</w:t>
            </w:r>
          </w:p>
        </w:tc>
        <w:tc>
          <w:tcPr>
            <w:tcW w:w="834" w:type="pct"/>
            <w:vAlign w:val="bottom"/>
          </w:tcPr>
          <w:p w14:paraId="736F7A17">
            <w:pPr>
              <w:pStyle w:val="92"/>
              <w:rPr>
                <w:color w:val="auto"/>
                <w:highlight w:val="none"/>
                <w:u w:val="none"/>
              </w:rPr>
            </w:pPr>
            <w:r>
              <w:rPr>
                <w:rFonts w:eastAsia="等线"/>
                <w:color w:val="auto"/>
                <w:sz w:val="22"/>
                <w:szCs w:val="22"/>
                <w:highlight w:val="none"/>
                <w:u w:val="none"/>
              </w:rPr>
              <w:t xml:space="preserve">604.26 </w:t>
            </w:r>
          </w:p>
        </w:tc>
        <w:tc>
          <w:tcPr>
            <w:tcW w:w="679" w:type="pct"/>
            <w:vAlign w:val="bottom"/>
          </w:tcPr>
          <w:p w14:paraId="16ABC9CE">
            <w:pPr>
              <w:pStyle w:val="92"/>
              <w:rPr>
                <w:color w:val="auto"/>
                <w:highlight w:val="none"/>
                <w:u w:val="none"/>
              </w:rPr>
            </w:pPr>
            <w:r>
              <w:rPr>
                <w:rFonts w:eastAsia="等线"/>
                <w:color w:val="auto"/>
                <w:sz w:val="22"/>
                <w:szCs w:val="22"/>
                <w:highlight w:val="none"/>
                <w:u w:val="none"/>
              </w:rPr>
              <w:t xml:space="preserve">588.49 </w:t>
            </w:r>
          </w:p>
        </w:tc>
        <w:tc>
          <w:tcPr>
            <w:tcW w:w="739" w:type="pct"/>
            <w:vAlign w:val="bottom"/>
          </w:tcPr>
          <w:p w14:paraId="5769AAA4">
            <w:pPr>
              <w:pStyle w:val="92"/>
              <w:rPr>
                <w:color w:val="auto"/>
                <w:highlight w:val="none"/>
                <w:u w:val="none"/>
              </w:rPr>
            </w:pPr>
            <w:r>
              <w:rPr>
                <w:rFonts w:eastAsia="等线"/>
                <w:color w:val="auto"/>
                <w:sz w:val="22"/>
                <w:szCs w:val="22"/>
                <w:highlight w:val="none"/>
                <w:u w:val="none"/>
              </w:rPr>
              <w:t xml:space="preserve">15.77 </w:t>
            </w:r>
          </w:p>
        </w:tc>
      </w:tr>
      <w:tr w14:paraId="5790E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0419227B">
            <w:pPr>
              <w:pStyle w:val="92"/>
              <w:rPr>
                <w:snapToGrid w:val="0"/>
                <w:color w:val="auto"/>
                <w:highlight w:val="none"/>
                <w:u w:val="none"/>
              </w:rPr>
            </w:pPr>
          </w:p>
        </w:tc>
        <w:tc>
          <w:tcPr>
            <w:tcW w:w="1259" w:type="pct"/>
            <w:vAlign w:val="center"/>
          </w:tcPr>
          <w:p w14:paraId="534C847A">
            <w:pPr>
              <w:pStyle w:val="92"/>
              <w:rPr>
                <w:snapToGrid w:val="0"/>
                <w:color w:val="auto"/>
                <w:highlight w:val="none"/>
                <w:u w:val="none"/>
              </w:rPr>
            </w:pPr>
            <w:r>
              <w:rPr>
                <w:snapToGrid w:val="0"/>
                <w:color w:val="auto"/>
                <w:highlight w:val="none"/>
                <w:u w:val="none"/>
              </w:rPr>
              <w:t>氯化氢</w:t>
            </w:r>
          </w:p>
        </w:tc>
        <w:tc>
          <w:tcPr>
            <w:tcW w:w="741" w:type="pct"/>
            <w:vAlign w:val="center"/>
          </w:tcPr>
          <w:p w14:paraId="39831436">
            <w:pPr>
              <w:pStyle w:val="92"/>
              <w:rPr>
                <w:snapToGrid w:val="0"/>
                <w:color w:val="auto"/>
                <w:highlight w:val="none"/>
                <w:u w:val="none"/>
              </w:rPr>
            </w:pPr>
            <w:r>
              <w:rPr>
                <w:snapToGrid w:val="0"/>
                <w:color w:val="auto"/>
                <w:highlight w:val="none"/>
                <w:u w:val="none"/>
              </w:rPr>
              <w:t>t/a</w:t>
            </w:r>
          </w:p>
        </w:tc>
        <w:tc>
          <w:tcPr>
            <w:tcW w:w="834" w:type="pct"/>
            <w:vAlign w:val="bottom"/>
          </w:tcPr>
          <w:p w14:paraId="74AB37ED">
            <w:pPr>
              <w:pStyle w:val="92"/>
              <w:rPr>
                <w:snapToGrid w:val="0"/>
                <w:color w:val="auto"/>
                <w:highlight w:val="none"/>
                <w:u w:val="none"/>
              </w:rPr>
            </w:pPr>
            <w:r>
              <w:rPr>
                <w:rFonts w:eastAsia="等线"/>
                <w:color w:val="auto"/>
                <w:highlight w:val="none"/>
                <w:u w:val="none"/>
              </w:rPr>
              <w:t xml:space="preserve">163.25 </w:t>
            </w:r>
          </w:p>
        </w:tc>
        <w:tc>
          <w:tcPr>
            <w:tcW w:w="679" w:type="pct"/>
            <w:vAlign w:val="bottom"/>
          </w:tcPr>
          <w:p w14:paraId="678D76E8">
            <w:pPr>
              <w:pStyle w:val="92"/>
              <w:rPr>
                <w:snapToGrid w:val="0"/>
                <w:color w:val="auto"/>
                <w:highlight w:val="none"/>
                <w:u w:val="none"/>
              </w:rPr>
            </w:pPr>
            <w:r>
              <w:rPr>
                <w:rFonts w:eastAsia="等线"/>
                <w:color w:val="auto"/>
                <w:highlight w:val="none"/>
                <w:u w:val="none"/>
              </w:rPr>
              <w:t xml:space="preserve">160.00 </w:t>
            </w:r>
          </w:p>
        </w:tc>
        <w:tc>
          <w:tcPr>
            <w:tcW w:w="739" w:type="pct"/>
            <w:vAlign w:val="bottom"/>
          </w:tcPr>
          <w:p w14:paraId="39178D34">
            <w:pPr>
              <w:pStyle w:val="92"/>
              <w:rPr>
                <w:snapToGrid w:val="0"/>
                <w:color w:val="auto"/>
                <w:highlight w:val="none"/>
                <w:u w:val="none"/>
              </w:rPr>
            </w:pPr>
            <w:r>
              <w:rPr>
                <w:rFonts w:eastAsia="等线"/>
                <w:color w:val="auto"/>
                <w:highlight w:val="none"/>
                <w:u w:val="none"/>
              </w:rPr>
              <w:t xml:space="preserve">3.25 </w:t>
            </w:r>
          </w:p>
        </w:tc>
      </w:tr>
      <w:tr w14:paraId="4459F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CBF3348">
            <w:pPr>
              <w:pStyle w:val="92"/>
              <w:rPr>
                <w:snapToGrid w:val="0"/>
                <w:color w:val="auto"/>
                <w:highlight w:val="none"/>
                <w:u w:val="none"/>
              </w:rPr>
            </w:pPr>
          </w:p>
        </w:tc>
        <w:tc>
          <w:tcPr>
            <w:tcW w:w="1259" w:type="pct"/>
            <w:vAlign w:val="center"/>
          </w:tcPr>
          <w:p w14:paraId="7E1F4E6F">
            <w:pPr>
              <w:pStyle w:val="92"/>
              <w:rPr>
                <w:snapToGrid w:val="0"/>
                <w:color w:val="auto"/>
                <w:highlight w:val="none"/>
                <w:u w:val="none"/>
              </w:rPr>
            </w:pPr>
            <w:r>
              <w:rPr>
                <w:snapToGrid w:val="0"/>
                <w:color w:val="auto"/>
                <w:highlight w:val="none"/>
                <w:u w:val="none"/>
              </w:rPr>
              <w:t>氯气</w:t>
            </w:r>
          </w:p>
        </w:tc>
        <w:tc>
          <w:tcPr>
            <w:tcW w:w="741" w:type="pct"/>
            <w:vAlign w:val="center"/>
          </w:tcPr>
          <w:p w14:paraId="1210ED24">
            <w:pPr>
              <w:pStyle w:val="92"/>
              <w:rPr>
                <w:snapToGrid w:val="0"/>
                <w:color w:val="auto"/>
                <w:highlight w:val="none"/>
                <w:u w:val="none"/>
              </w:rPr>
            </w:pPr>
            <w:r>
              <w:rPr>
                <w:snapToGrid w:val="0"/>
                <w:color w:val="auto"/>
                <w:highlight w:val="none"/>
                <w:u w:val="none"/>
              </w:rPr>
              <w:t>t/a</w:t>
            </w:r>
          </w:p>
        </w:tc>
        <w:tc>
          <w:tcPr>
            <w:tcW w:w="834" w:type="pct"/>
            <w:vAlign w:val="bottom"/>
          </w:tcPr>
          <w:p w14:paraId="2E663873">
            <w:pPr>
              <w:pStyle w:val="92"/>
              <w:rPr>
                <w:snapToGrid w:val="0"/>
                <w:color w:val="auto"/>
                <w:highlight w:val="none"/>
                <w:u w:val="none"/>
              </w:rPr>
            </w:pPr>
            <w:r>
              <w:rPr>
                <w:rFonts w:eastAsia="等线"/>
                <w:color w:val="auto"/>
                <w:highlight w:val="none"/>
                <w:u w:val="none"/>
              </w:rPr>
              <w:t xml:space="preserve">14.37 </w:t>
            </w:r>
          </w:p>
        </w:tc>
        <w:tc>
          <w:tcPr>
            <w:tcW w:w="679" w:type="pct"/>
            <w:vAlign w:val="bottom"/>
          </w:tcPr>
          <w:p w14:paraId="22905A5D">
            <w:pPr>
              <w:pStyle w:val="92"/>
              <w:rPr>
                <w:snapToGrid w:val="0"/>
                <w:color w:val="auto"/>
                <w:highlight w:val="none"/>
                <w:u w:val="none"/>
              </w:rPr>
            </w:pPr>
            <w:r>
              <w:rPr>
                <w:rFonts w:eastAsia="等线"/>
                <w:color w:val="auto"/>
                <w:highlight w:val="none"/>
                <w:u w:val="none"/>
              </w:rPr>
              <w:t xml:space="preserve">11.20 </w:t>
            </w:r>
          </w:p>
        </w:tc>
        <w:tc>
          <w:tcPr>
            <w:tcW w:w="739" w:type="pct"/>
            <w:vAlign w:val="bottom"/>
          </w:tcPr>
          <w:p w14:paraId="16E7594F">
            <w:pPr>
              <w:pStyle w:val="92"/>
              <w:rPr>
                <w:snapToGrid w:val="0"/>
                <w:color w:val="auto"/>
                <w:highlight w:val="none"/>
                <w:u w:val="none"/>
              </w:rPr>
            </w:pPr>
            <w:r>
              <w:rPr>
                <w:rFonts w:eastAsia="等线"/>
                <w:color w:val="auto"/>
                <w:highlight w:val="none"/>
                <w:u w:val="none"/>
              </w:rPr>
              <w:t xml:space="preserve">3.17 </w:t>
            </w:r>
          </w:p>
        </w:tc>
      </w:tr>
      <w:tr w14:paraId="6A5B6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4A404B93">
            <w:pPr>
              <w:pStyle w:val="92"/>
              <w:rPr>
                <w:color w:val="auto"/>
                <w:highlight w:val="none"/>
                <w:u w:val="none"/>
              </w:rPr>
            </w:pPr>
            <w:r>
              <w:rPr>
                <w:color w:val="auto"/>
                <w:highlight w:val="none"/>
                <w:u w:val="none"/>
              </w:rPr>
              <w:t>废水</w:t>
            </w:r>
          </w:p>
        </w:tc>
        <w:tc>
          <w:tcPr>
            <w:tcW w:w="1259" w:type="pct"/>
            <w:vAlign w:val="center"/>
          </w:tcPr>
          <w:p w14:paraId="1FA028DC">
            <w:pPr>
              <w:pStyle w:val="92"/>
              <w:rPr>
                <w:color w:val="auto"/>
                <w:highlight w:val="none"/>
                <w:u w:val="none"/>
              </w:rPr>
            </w:pPr>
            <w:r>
              <w:rPr>
                <w:color w:val="auto"/>
                <w:highlight w:val="none"/>
                <w:u w:val="none"/>
              </w:rPr>
              <w:t>水量</w:t>
            </w:r>
          </w:p>
        </w:tc>
        <w:tc>
          <w:tcPr>
            <w:tcW w:w="741" w:type="pct"/>
            <w:vAlign w:val="center"/>
          </w:tcPr>
          <w:p w14:paraId="5E4C4D52">
            <w:pPr>
              <w:pStyle w:val="92"/>
              <w:rPr>
                <w:color w:val="auto"/>
                <w:highlight w:val="none"/>
                <w:u w:val="none"/>
              </w:rPr>
            </w:pPr>
            <w:r>
              <w:rPr>
                <w:color w:val="auto"/>
                <w:highlight w:val="none"/>
                <w:u w:val="none"/>
              </w:rPr>
              <w:t>t/a</w:t>
            </w:r>
          </w:p>
        </w:tc>
        <w:tc>
          <w:tcPr>
            <w:tcW w:w="1526" w:type="dxa"/>
            <w:vAlign w:val="center"/>
          </w:tcPr>
          <w:p w14:paraId="303F34FB">
            <w:pPr>
              <w:pStyle w:val="92"/>
              <w:ind w:firstLine="0" w:firstLineChars="0"/>
              <w:rPr>
                <w:rFonts w:eastAsia="等线"/>
                <w:color w:val="auto"/>
                <w:highlight w:val="none"/>
                <w:u w:val="none"/>
              </w:rPr>
            </w:pPr>
            <w:r>
              <w:rPr>
                <w:color w:val="auto"/>
                <w:highlight w:val="none"/>
                <w:u w:val="none"/>
              </w:rPr>
              <w:t xml:space="preserve">1014766 </w:t>
            </w:r>
          </w:p>
        </w:tc>
        <w:tc>
          <w:tcPr>
            <w:tcW w:w="1243" w:type="dxa"/>
            <w:vAlign w:val="center"/>
          </w:tcPr>
          <w:p w14:paraId="03E05422">
            <w:pPr>
              <w:pStyle w:val="92"/>
              <w:ind w:firstLine="0" w:firstLineChars="0"/>
              <w:rPr>
                <w:rFonts w:eastAsia="等线"/>
                <w:color w:val="auto"/>
                <w:highlight w:val="none"/>
                <w:u w:val="none"/>
              </w:rPr>
            </w:pPr>
            <w:r>
              <w:rPr>
                <w:rFonts w:hint="eastAsia"/>
                <w:color w:val="auto"/>
                <w:highlight w:val="none"/>
                <w:u w:val="none"/>
              </w:rPr>
              <w:t>559332</w:t>
            </w:r>
          </w:p>
        </w:tc>
        <w:tc>
          <w:tcPr>
            <w:tcW w:w="1352" w:type="dxa"/>
            <w:vAlign w:val="center"/>
          </w:tcPr>
          <w:p w14:paraId="500852C0">
            <w:pPr>
              <w:pStyle w:val="92"/>
              <w:ind w:firstLine="0" w:firstLineChars="0"/>
              <w:rPr>
                <w:rFonts w:eastAsia="等线"/>
                <w:color w:val="auto"/>
                <w:highlight w:val="none"/>
                <w:u w:val="none"/>
              </w:rPr>
            </w:pPr>
            <w:r>
              <w:rPr>
                <w:rFonts w:hint="eastAsia"/>
                <w:color w:val="auto"/>
                <w:highlight w:val="none"/>
                <w:u w:val="none"/>
              </w:rPr>
              <w:t>455434</w:t>
            </w:r>
            <w:r>
              <w:rPr>
                <w:color w:val="auto"/>
                <w:highlight w:val="none"/>
                <w:u w:val="none"/>
              </w:rPr>
              <w:t xml:space="preserve"> </w:t>
            </w:r>
          </w:p>
        </w:tc>
      </w:tr>
      <w:tr w14:paraId="697AD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F30E010">
            <w:pPr>
              <w:pStyle w:val="92"/>
              <w:rPr>
                <w:color w:val="auto"/>
                <w:highlight w:val="none"/>
                <w:u w:val="none"/>
              </w:rPr>
            </w:pPr>
          </w:p>
        </w:tc>
        <w:tc>
          <w:tcPr>
            <w:tcW w:w="1259" w:type="pct"/>
            <w:vAlign w:val="center"/>
          </w:tcPr>
          <w:p w14:paraId="2110A2A7">
            <w:pPr>
              <w:pStyle w:val="92"/>
              <w:rPr>
                <w:snapToGrid w:val="0"/>
                <w:color w:val="auto"/>
                <w:highlight w:val="none"/>
                <w:u w:val="none"/>
              </w:rPr>
            </w:pPr>
            <w:r>
              <w:rPr>
                <w:color w:val="auto"/>
                <w:highlight w:val="none"/>
                <w:u w:val="none"/>
              </w:rPr>
              <w:t>COD</w:t>
            </w:r>
          </w:p>
        </w:tc>
        <w:tc>
          <w:tcPr>
            <w:tcW w:w="741" w:type="pct"/>
            <w:vAlign w:val="center"/>
          </w:tcPr>
          <w:p w14:paraId="163C962B">
            <w:pPr>
              <w:pStyle w:val="92"/>
              <w:rPr>
                <w:color w:val="auto"/>
                <w:highlight w:val="none"/>
                <w:u w:val="none"/>
              </w:rPr>
            </w:pPr>
            <w:r>
              <w:rPr>
                <w:color w:val="auto"/>
                <w:highlight w:val="none"/>
                <w:u w:val="none"/>
              </w:rPr>
              <w:t>t/a</w:t>
            </w:r>
          </w:p>
        </w:tc>
        <w:tc>
          <w:tcPr>
            <w:tcW w:w="1526" w:type="dxa"/>
            <w:vAlign w:val="center"/>
          </w:tcPr>
          <w:p w14:paraId="2D59BD9F">
            <w:pPr>
              <w:pStyle w:val="92"/>
              <w:ind w:firstLine="0" w:firstLineChars="0"/>
              <w:rPr>
                <w:rFonts w:eastAsia="等线"/>
                <w:color w:val="auto"/>
                <w:highlight w:val="none"/>
                <w:u w:val="none"/>
              </w:rPr>
            </w:pPr>
            <w:r>
              <w:rPr>
                <w:color w:val="auto"/>
                <w:highlight w:val="none"/>
                <w:u w:val="none"/>
              </w:rPr>
              <w:t xml:space="preserve">2075.04 </w:t>
            </w:r>
          </w:p>
        </w:tc>
        <w:tc>
          <w:tcPr>
            <w:tcW w:w="1243" w:type="dxa"/>
            <w:vAlign w:val="center"/>
          </w:tcPr>
          <w:p w14:paraId="66CC59F8">
            <w:pPr>
              <w:pStyle w:val="92"/>
              <w:ind w:firstLine="0" w:firstLineChars="0"/>
              <w:rPr>
                <w:rFonts w:eastAsia="等线"/>
                <w:color w:val="auto"/>
                <w:highlight w:val="none"/>
                <w:u w:val="none"/>
              </w:rPr>
            </w:pPr>
            <w:r>
              <w:rPr>
                <w:color w:val="auto"/>
                <w:highlight w:val="none"/>
                <w:u w:val="none"/>
              </w:rPr>
              <w:t xml:space="preserve">2052.27 </w:t>
            </w:r>
          </w:p>
        </w:tc>
        <w:tc>
          <w:tcPr>
            <w:tcW w:w="1352" w:type="dxa"/>
            <w:vAlign w:val="center"/>
          </w:tcPr>
          <w:p w14:paraId="48A47DCC">
            <w:pPr>
              <w:pStyle w:val="92"/>
              <w:ind w:firstLine="0" w:firstLineChars="0"/>
              <w:rPr>
                <w:rFonts w:eastAsia="等线"/>
                <w:color w:val="auto"/>
                <w:highlight w:val="none"/>
                <w:u w:val="none"/>
              </w:rPr>
            </w:pPr>
            <w:r>
              <w:rPr>
                <w:color w:val="auto"/>
                <w:highlight w:val="none"/>
                <w:u w:val="none"/>
              </w:rPr>
              <w:t xml:space="preserve">22.77 </w:t>
            </w:r>
          </w:p>
        </w:tc>
      </w:tr>
      <w:tr w14:paraId="7A5D4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292B55BC">
            <w:pPr>
              <w:pStyle w:val="92"/>
              <w:rPr>
                <w:color w:val="auto"/>
                <w:highlight w:val="none"/>
                <w:u w:val="none"/>
              </w:rPr>
            </w:pPr>
          </w:p>
        </w:tc>
        <w:tc>
          <w:tcPr>
            <w:tcW w:w="1259" w:type="pct"/>
            <w:vAlign w:val="center"/>
          </w:tcPr>
          <w:p w14:paraId="7E84D407">
            <w:pPr>
              <w:pStyle w:val="92"/>
              <w:rPr>
                <w:snapToGrid w:val="0"/>
                <w:color w:val="auto"/>
                <w:highlight w:val="none"/>
                <w:u w:val="none"/>
              </w:rPr>
            </w:pPr>
            <w:r>
              <w:rPr>
                <w:rFonts w:hint="eastAsia"/>
                <w:color w:val="auto"/>
                <w:highlight w:val="none"/>
                <w:u w:val="none"/>
              </w:rPr>
              <w:t>氨氮</w:t>
            </w:r>
          </w:p>
        </w:tc>
        <w:tc>
          <w:tcPr>
            <w:tcW w:w="741" w:type="pct"/>
            <w:vAlign w:val="center"/>
          </w:tcPr>
          <w:p w14:paraId="48C6FC5D">
            <w:pPr>
              <w:pStyle w:val="92"/>
              <w:rPr>
                <w:color w:val="auto"/>
                <w:highlight w:val="none"/>
                <w:u w:val="none"/>
              </w:rPr>
            </w:pPr>
            <w:r>
              <w:rPr>
                <w:color w:val="auto"/>
                <w:highlight w:val="none"/>
                <w:u w:val="none"/>
              </w:rPr>
              <w:t>t/a</w:t>
            </w:r>
          </w:p>
        </w:tc>
        <w:tc>
          <w:tcPr>
            <w:tcW w:w="1526" w:type="dxa"/>
            <w:vAlign w:val="center"/>
          </w:tcPr>
          <w:p w14:paraId="14CC6450">
            <w:pPr>
              <w:pStyle w:val="92"/>
              <w:ind w:firstLine="0" w:firstLineChars="0"/>
              <w:rPr>
                <w:rFonts w:eastAsia="等线"/>
                <w:color w:val="auto"/>
                <w:highlight w:val="none"/>
                <w:u w:val="none"/>
              </w:rPr>
            </w:pPr>
            <w:r>
              <w:rPr>
                <w:color w:val="auto"/>
                <w:highlight w:val="none"/>
                <w:u w:val="none"/>
              </w:rPr>
              <w:t xml:space="preserve">529.49 </w:t>
            </w:r>
          </w:p>
        </w:tc>
        <w:tc>
          <w:tcPr>
            <w:tcW w:w="1243" w:type="dxa"/>
            <w:vAlign w:val="center"/>
          </w:tcPr>
          <w:p w14:paraId="00311374">
            <w:pPr>
              <w:pStyle w:val="92"/>
              <w:ind w:firstLine="0" w:firstLineChars="0"/>
              <w:rPr>
                <w:rFonts w:eastAsia="等线"/>
                <w:color w:val="auto"/>
                <w:highlight w:val="none"/>
                <w:u w:val="none"/>
              </w:rPr>
            </w:pPr>
            <w:r>
              <w:rPr>
                <w:color w:val="auto"/>
                <w:highlight w:val="none"/>
                <w:u w:val="none"/>
              </w:rPr>
              <w:t xml:space="preserve">527.21 </w:t>
            </w:r>
          </w:p>
        </w:tc>
        <w:tc>
          <w:tcPr>
            <w:tcW w:w="1352" w:type="dxa"/>
            <w:vAlign w:val="center"/>
          </w:tcPr>
          <w:p w14:paraId="75C3FA11">
            <w:pPr>
              <w:pStyle w:val="92"/>
              <w:ind w:firstLine="0" w:firstLineChars="0"/>
              <w:rPr>
                <w:rFonts w:eastAsia="等线"/>
                <w:color w:val="auto"/>
                <w:highlight w:val="none"/>
                <w:u w:val="none"/>
              </w:rPr>
            </w:pPr>
            <w:r>
              <w:rPr>
                <w:color w:val="auto"/>
                <w:highlight w:val="none"/>
                <w:u w:val="none"/>
              </w:rPr>
              <w:t xml:space="preserve">2.28 </w:t>
            </w:r>
          </w:p>
        </w:tc>
      </w:tr>
      <w:tr w14:paraId="329E2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8BE8908">
            <w:pPr>
              <w:pStyle w:val="92"/>
              <w:rPr>
                <w:color w:val="auto"/>
                <w:highlight w:val="none"/>
                <w:u w:val="none"/>
              </w:rPr>
            </w:pPr>
          </w:p>
        </w:tc>
        <w:tc>
          <w:tcPr>
            <w:tcW w:w="1259" w:type="pct"/>
            <w:vAlign w:val="center"/>
          </w:tcPr>
          <w:p w14:paraId="709BDB09">
            <w:pPr>
              <w:pStyle w:val="92"/>
              <w:rPr>
                <w:snapToGrid w:val="0"/>
                <w:color w:val="auto"/>
                <w:highlight w:val="none"/>
                <w:u w:val="none"/>
              </w:rPr>
            </w:pPr>
            <w:r>
              <w:rPr>
                <w:color w:val="auto"/>
                <w:highlight w:val="none"/>
                <w:u w:val="none"/>
              </w:rPr>
              <w:t>SS</w:t>
            </w:r>
          </w:p>
        </w:tc>
        <w:tc>
          <w:tcPr>
            <w:tcW w:w="741" w:type="pct"/>
            <w:vAlign w:val="center"/>
          </w:tcPr>
          <w:p w14:paraId="262ECE06">
            <w:pPr>
              <w:pStyle w:val="92"/>
              <w:rPr>
                <w:color w:val="auto"/>
                <w:highlight w:val="none"/>
                <w:u w:val="none"/>
              </w:rPr>
            </w:pPr>
            <w:r>
              <w:rPr>
                <w:color w:val="auto"/>
                <w:highlight w:val="none"/>
                <w:u w:val="none"/>
              </w:rPr>
              <w:t>t/a</w:t>
            </w:r>
          </w:p>
        </w:tc>
        <w:tc>
          <w:tcPr>
            <w:tcW w:w="1526" w:type="dxa"/>
            <w:vAlign w:val="center"/>
          </w:tcPr>
          <w:p w14:paraId="6CA2896E">
            <w:pPr>
              <w:pStyle w:val="92"/>
              <w:ind w:firstLine="0" w:firstLineChars="0"/>
              <w:rPr>
                <w:color w:val="auto"/>
                <w:highlight w:val="none"/>
                <w:u w:val="none"/>
              </w:rPr>
            </w:pPr>
            <w:r>
              <w:rPr>
                <w:color w:val="auto"/>
                <w:highlight w:val="none"/>
                <w:u w:val="none"/>
              </w:rPr>
              <w:t xml:space="preserve">3.69 </w:t>
            </w:r>
          </w:p>
        </w:tc>
        <w:tc>
          <w:tcPr>
            <w:tcW w:w="1243" w:type="dxa"/>
            <w:vAlign w:val="center"/>
          </w:tcPr>
          <w:p w14:paraId="327F2537">
            <w:pPr>
              <w:pStyle w:val="92"/>
              <w:ind w:firstLine="0" w:firstLineChars="0"/>
              <w:rPr>
                <w:color w:val="auto"/>
                <w:highlight w:val="none"/>
                <w:u w:val="none"/>
              </w:rPr>
            </w:pPr>
            <w:r>
              <w:rPr>
                <w:color w:val="auto"/>
                <w:highlight w:val="none"/>
                <w:u w:val="none"/>
              </w:rPr>
              <w:t xml:space="preserve">3.10 </w:t>
            </w:r>
          </w:p>
        </w:tc>
        <w:tc>
          <w:tcPr>
            <w:tcW w:w="1352" w:type="dxa"/>
            <w:vAlign w:val="center"/>
          </w:tcPr>
          <w:p w14:paraId="52C38A51">
            <w:pPr>
              <w:pStyle w:val="92"/>
              <w:ind w:firstLine="0" w:firstLineChars="0"/>
              <w:rPr>
                <w:color w:val="auto"/>
                <w:highlight w:val="none"/>
                <w:u w:val="none"/>
              </w:rPr>
            </w:pPr>
            <w:r>
              <w:rPr>
                <w:color w:val="auto"/>
                <w:highlight w:val="none"/>
                <w:u w:val="none"/>
              </w:rPr>
              <w:t xml:space="preserve">0.59 </w:t>
            </w:r>
          </w:p>
        </w:tc>
      </w:tr>
      <w:tr w14:paraId="5CB8F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798C4991">
            <w:pPr>
              <w:pStyle w:val="92"/>
              <w:rPr>
                <w:color w:val="auto"/>
                <w:highlight w:val="none"/>
                <w:u w:val="none"/>
              </w:rPr>
            </w:pPr>
          </w:p>
        </w:tc>
        <w:tc>
          <w:tcPr>
            <w:tcW w:w="1259" w:type="pct"/>
            <w:vAlign w:val="center"/>
          </w:tcPr>
          <w:p w14:paraId="15EF3BC3">
            <w:pPr>
              <w:pStyle w:val="92"/>
              <w:rPr>
                <w:snapToGrid w:val="0"/>
                <w:color w:val="auto"/>
                <w:highlight w:val="none"/>
                <w:u w:val="none"/>
              </w:rPr>
            </w:pPr>
            <w:r>
              <w:rPr>
                <w:rFonts w:hint="eastAsia"/>
                <w:color w:val="auto"/>
                <w:highlight w:val="none"/>
                <w:u w:val="none"/>
              </w:rPr>
              <w:t>硫酸根</w:t>
            </w:r>
          </w:p>
        </w:tc>
        <w:tc>
          <w:tcPr>
            <w:tcW w:w="741" w:type="pct"/>
            <w:vAlign w:val="center"/>
          </w:tcPr>
          <w:p w14:paraId="15D45387">
            <w:pPr>
              <w:pStyle w:val="92"/>
              <w:rPr>
                <w:color w:val="auto"/>
                <w:highlight w:val="none"/>
                <w:u w:val="none"/>
              </w:rPr>
            </w:pPr>
            <w:r>
              <w:rPr>
                <w:color w:val="auto"/>
                <w:highlight w:val="none"/>
                <w:u w:val="none"/>
              </w:rPr>
              <w:t>t/a</w:t>
            </w:r>
          </w:p>
        </w:tc>
        <w:tc>
          <w:tcPr>
            <w:tcW w:w="1526" w:type="dxa"/>
            <w:vAlign w:val="center"/>
          </w:tcPr>
          <w:p w14:paraId="0D95118D">
            <w:pPr>
              <w:pStyle w:val="92"/>
              <w:ind w:firstLine="0" w:firstLineChars="0"/>
              <w:rPr>
                <w:rFonts w:eastAsia="等线"/>
                <w:color w:val="auto"/>
                <w:highlight w:val="none"/>
                <w:u w:val="none"/>
              </w:rPr>
            </w:pPr>
            <w:r>
              <w:rPr>
                <w:color w:val="auto"/>
                <w:highlight w:val="none"/>
                <w:u w:val="none"/>
              </w:rPr>
              <w:t xml:space="preserve">15711.14 </w:t>
            </w:r>
          </w:p>
        </w:tc>
        <w:tc>
          <w:tcPr>
            <w:tcW w:w="1243" w:type="dxa"/>
            <w:vAlign w:val="center"/>
          </w:tcPr>
          <w:p w14:paraId="2ACF07D8">
            <w:pPr>
              <w:pStyle w:val="92"/>
              <w:ind w:firstLine="0" w:firstLineChars="0"/>
              <w:rPr>
                <w:rFonts w:eastAsia="等线"/>
                <w:color w:val="auto"/>
                <w:highlight w:val="none"/>
                <w:u w:val="none"/>
              </w:rPr>
            </w:pPr>
            <w:r>
              <w:rPr>
                <w:color w:val="auto"/>
                <w:highlight w:val="none"/>
                <w:u w:val="none"/>
              </w:rPr>
              <w:t xml:space="preserve">14193.83 </w:t>
            </w:r>
          </w:p>
        </w:tc>
        <w:tc>
          <w:tcPr>
            <w:tcW w:w="1352" w:type="dxa"/>
            <w:vAlign w:val="center"/>
          </w:tcPr>
          <w:p w14:paraId="636CB718">
            <w:pPr>
              <w:pStyle w:val="92"/>
              <w:ind w:firstLine="0" w:firstLineChars="0"/>
              <w:rPr>
                <w:rFonts w:eastAsia="等线"/>
                <w:color w:val="auto"/>
                <w:highlight w:val="none"/>
                <w:u w:val="none"/>
              </w:rPr>
            </w:pPr>
            <w:r>
              <w:rPr>
                <w:color w:val="auto"/>
                <w:highlight w:val="none"/>
                <w:u w:val="none"/>
              </w:rPr>
              <w:t xml:space="preserve">1517.31 </w:t>
            </w:r>
          </w:p>
        </w:tc>
      </w:tr>
      <w:tr w14:paraId="2E92A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E86CCB9">
            <w:pPr>
              <w:pStyle w:val="92"/>
              <w:rPr>
                <w:color w:val="auto"/>
                <w:highlight w:val="none"/>
                <w:u w:val="none"/>
              </w:rPr>
            </w:pPr>
          </w:p>
        </w:tc>
        <w:tc>
          <w:tcPr>
            <w:tcW w:w="1259" w:type="pct"/>
            <w:vAlign w:val="center"/>
          </w:tcPr>
          <w:p w14:paraId="5468B317">
            <w:pPr>
              <w:pStyle w:val="92"/>
              <w:rPr>
                <w:snapToGrid w:val="0"/>
                <w:color w:val="auto"/>
                <w:highlight w:val="none"/>
                <w:u w:val="none"/>
              </w:rPr>
            </w:pPr>
            <w:r>
              <w:rPr>
                <w:rFonts w:hint="eastAsia"/>
                <w:color w:val="auto"/>
                <w:highlight w:val="none"/>
                <w:u w:val="none"/>
              </w:rPr>
              <w:t>硝酸根</w:t>
            </w:r>
          </w:p>
        </w:tc>
        <w:tc>
          <w:tcPr>
            <w:tcW w:w="741" w:type="pct"/>
            <w:vAlign w:val="center"/>
          </w:tcPr>
          <w:p w14:paraId="4FAB6A0C">
            <w:pPr>
              <w:pStyle w:val="92"/>
              <w:rPr>
                <w:color w:val="auto"/>
                <w:highlight w:val="none"/>
                <w:u w:val="none"/>
              </w:rPr>
            </w:pPr>
            <w:r>
              <w:rPr>
                <w:color w:val="auto"/>
                <w:highlight w:val="none"/>
                <w:u w:val="none"/>
              </w:rPr>
              <w:t>t/a</w:t>
            </w:r>
          </w:p>
        </w:tc>
        <w:tc>
          <w:tcPr>
            <w:tcW w:w="1526" w:type="dxa"/>
            <w:vAlign w:val="center"/>
          </w:tcPr>
          <w:p w14:paraId="7E102F63">
            <w:pPr>
              <w:pStyle w:val="92"/>
              <w:ind w:firstLine="0" w:firstLineChars="0"/>
              <w:rPr>
                <w:rFonts w:eastAsia="等线"/>
                <w:color w:val="auto"/>
                <w:highlight w:val="none"/>
                <w:u w:val="none"/>
              </w:rPr>
            </w:pPr>
            <w:r>
              <w:rPr>
                <w:color w:val="auto"/>
                <w:highlight w:val="none"/>
                <w:u w:val="none"/>
              </w:rPr>
              <w:t xml:space="preserve">31469.87 </w:t>
            </w:r>
          </w:p>
        </w:tc>
        <w:tc>
          <w:tcPr>
            <w:tcW w:w="1243" w:type="dxa"/>
            <w:vAlign w:val="center"/>
          </w:tcPr>
          <w:p w14:paraId="4DF6F1C9">
            <w:pPr>
              <w:pStyle w:val="92"/>
              <w:ind w:firstLine="0" w:firstLineChars="0"/>
              <w:rPr>
                <w:rFonts w:eastAsia="等线"/>
                <w:color w:val="auto"/>
                <w:highlight w:val="none"/>
                <w:u w:val="none"/>
              </w:rPr>
            </w:pPr>
            <w:r>
              <w:rPr>
                <w:color w:val="auto"/>
                <w:highlight w:val="none"/>
                <w:u w:val="none"/>
              </w:rPr>
              <w:t xml:space="preserve">30560.45 </w:t>
            </w:r>
          </w:p>
        </w:tc>
        <w:tc>
          <w:tcPr>
            <w:tcW w:w="1352" w:type="dxa"/>
            <w:vAlign w:val="center"/>
          </w:tcPr>
          <w:p w14:paraId="15A67993">
            <w:pPr>
              <w:pStyle w:val="92"/>
              <w:ind w:firstLine="0" w:firstLineChars="0"/>
              <w:rPr>
                <w:rFonts w:eastAsia="等线"/>
                <w:color w:val="auto"/>
                <w:highlight w:val="none"/>
                <w:u w:val="none"/>
              </w:rPr>
            </w:pPr>
            <w:r>
              <w:rPr>
                <w:color w:val="auto"/>
                <w:highlight w:val="none"/>
                <w:u w:val="none"/>
              </w:rPr>
              <w:t xml:space="preserve">909.42 </w:t>
            </w:r>
          </w:p>
        </w:tc>
      </w:tr>
      <w:tr w14:paraId="1EAF5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C6F3C8A">
            <w:pPr>
              <w:pStyle w:val="92"/>
              <w:rPr>
                <w:color w:val="auto"/>
                <w:highlight w:val="none"/>
                <w:u w:val="none"/>
              </w:rPr>
            </w:pPr>
          </w:p>
        </w:tc>
        <w:tc>
          <w:tcPr>
            <w:tcW w:w="1259" w:type="pct"/>
            <w:vAlign w:val="center"/>
          </w:tcPr>
          <w:p w14:paraId="627257A4">
            <w:pPr>
              <w:pStyle w:val="92"/>
              <w:rPr>
                <w:snapToGrid w:val="0"/>
                <w:color w:val="auto"/>
                <w:highlight w:val="none"/>
                <w:u w:val="none"/>
              </w:rPr>
            </w:pPr>
            <w:r>
              <w:rPr>
                <w:rFonts w:hint="eastAsia"/>
                <w:color w:val="auto"/>
                <w:highlight w:val="none"/>
                <w:u w:val="none"/>
              </w:rPr>
              <w:t>甲苯</w:t>
            </w:r>
          </w:p>
        </w:tc>
        <w:tc>
          <w:tcPr>
            <w:tcW w:w="741" w:type="pct"/>
            <w:vAlign w:val="center"/>
          </w:tcPr>
          <w:p w14:paraId="579922CA">
            <w:pPr>
              <w:pStyle w:val="92"/>
              <w:rPr>
                <w:color w:val="auto"/>
                <w:highlight w:val="none"/>
                <w:u w:val="none"/>
              </w:rPr>
            </w:pPr>
            <w:r>
              <w:rPr>
                <w:color w:val="auto"/>
                <w:highlight w:val="none"/>
                <w:u w:val="none"/>
              </w:rPr>
              <w:t>t/a</w:t>
            </w:r>
          </w:p>
        </w:tc>
        <w:tc>
          <w:tcPr>
            <w:tcW w:w="1526" w:type="dxa"/>
            <w:vAlign w:val="center"/>
          </w:tcPr>
          <w:p w14:paraId="28D89506">
            <w:pPr>
              <w:pStyle w:val="92"/>
              <w:ind w:firstLine="0" w:firstLineChars="0"/>
              <w:rPr>
                <w:rFonts w:eastAsia="等线"/>
                <w:color w:val="auto"/>
                <w:highlight w:val="none"/>
                <w:u w:val="none"/>
              </w:rPr>
            </w:pPr>
            <w:r>
              <w:rPr>
                <w:color w:val="auto"/>
                <w:highlight w:val="none"/>
                <w:u w:val="none"/>
              </w:rPr>
              <w:t xml:space="preserve">4.86 </w:t>
            </w:r>
          </w:p>
        </w:tc>
        <w:tc>
          <w:tcPr>
            <w:tcW w:w="1243" w:type="dxa"/>
            <w:vAlign w:val="center"/>
          </w:tcPr>
          <w:p w14:paraId="17D9C167">
            <w:pPr>
              <w:pStyle w:val="92"/>
              <w:ind w:firstLine="0" w:firstLineChars="0"/>
              <w:rPr>
                <w:rFonts w:eastAsia="等线"/>
                <w:color w:val="auto"/>
                <w:highlight w:val="none"/>
                <w:u w:val="none"/>
              </w:rPr>
            </w:pPr>
            <w:r>
              <w:rPr>
                <w:color w:val="auto"/>
                <w:highlight w:val="none"/>
                <w:u w:val="none"/>
              </w:rPr>
              <w:t xml:space="preserve">4.82 </w:t>
            </w:r>
          </w:p>
        </w:tc>
        <w:tc>
          <w:tcPr>
            <w:tcW w:w="1352" w:type="dxa"/>
            <w:vAlign w:val="center"/>
          </w:tcPr>
          <w:p w14:paraId="17DD4511">
            <w:pPr>
              <w:pStyle w:val="92"/>
              <w:ind w:firstLine="0" w:firstLineChars="0"/>
              <w:rPr>
                <w:rFonts w:eastAsia="等线"/>
                <w:color w:val="auto"/>
                <w:highlight w:val="none"/>
                <w:u w:val="none"/>
              </w:rPr>
            </w:pPr>
            <w:r>
              <w:rPr>
                <w:color w:val="auto"/>
                <w:highlight w:val="none"/>
                <w:u w:val="none"/>
              </w:rPr>
              <w:t xml:space="preserve">0.04 </w:t>
            </w:r>
          </w:p>
        </w:tc>
      </w:tr>
      <w:tr w14:paraId="20C01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88D5321">
            <w:pPr>
              <w:pStyle w:val="92"/>
              <w:rPr>
                <w:color w:val="auto"/>
                <w:highlight w:val="none"/>
                <w:u w:val="none"/>
              </w:rPr>
            </w:pPr>
          </w:p>
        </w:tc>
        <w:tc>
          <w:tcPr>
            <w:tcW w:w="1259" w:type="pct"/>
            <w:vAlign w:val="center"/>
          </w:tcPr>
          <w:p w14:paraId="70BB0110">
            <w:pPr>
              <w:pStyle w:val="92"/>
              <w:rPr>
                <w:snapToGrid w:val="0"/>
                <w:color w:val="auto"/>
                <w:highlight w:val="none"/>
                <w:u w:val="none"/>
              </w:rPr>
            </w:pPr>
            <w:r>
              <w:rPr>
                <w:rFonts w:hint="eastAsia"/>
                <w:color w:val="auto"/>
                <w:highlight w:val="none"/>
                <w:u w:val="none"/>
              </w:rPr>
              <w:t>邻二氯苯</w:t>
            </w:r>
          </w:p>
        </w:tc>
        <w:tc>
          <w:tcPr>
            <w:tcW w:w="741" w:type="pct"/>
            <w:vAlign w:val="center"/>
          </w:tcPr>
          <w:p w14:paraId="5124A81D">
            <w:pPr>
              <w:pStyle w:val="92"/>
              <w:rPr>
                <w:color w:val="auto"/>
                <w:highlight w:val="none"/>
                <w:u w:val="none"/>
              </w:rPr>
            </w:pPr>
            <w:r>
              <w:rPr>
                <w:color w:val="auto"/>
                <w:highlight w:val="none"/>
                <w:u w:val="none"/>
              </w:rPr>
              <w:t>t/a</w:t>
            </w:r>
          </w:p>
        </w:tc>
        <w:tc>
          <w:tcPr>
            <w:tcW w:w="1526" w:type="dxa"/>
            <w:vAlign w:val="center"/>
          </w:tcPr>
          <w:p w14:paraId="0652508F">
            <w:pPr>
              <w:pStyle w:val="92"/>
              <w:ind w:firstLine="0" w:firstLineChars="0"/>
              <w:rPr>
                <w:rFonts w:eastAsia="等线"/>
                <w:color w:val="auto"/>
                <w:highlight w:val="none"/>
                <w:u w:val="none"/>
              </w:rPr>
            </w:pPr>
            <w:r>
              <w:rPr>
                <w:rFonts w:hint="eastAsia"/>
                <w:color w:val="auto"/>
                <w:highlight w:val="none"/>
                <w:u w:val="none"/>
              </w:rPr>
              <w:t>0.4</w:t>
            </w:r>
          </w:p>
        </w:tc>
        <w:tc>
          <w:tcPr>
            <w:tcW w:w="1243" w:type="dxa"/>
            <w:vAlign w:val="center"/>
          </w:tcPr>
          <w:p w14:paraId="1EE92045">
            <w:pPr>
              <w:pStyle w:val="92"/>
              <w:ind w:firstLine="0" w:firstLineChars="0"/>
              <w:rPr>
                <w:rFonts w:eastAsia="等线"/>
                <w:color w:val="auto"/>
                <w:highlight w:val="none"/>
                <w:u w:val="none"/>
              </w:rPr>
            </w:pPr>
            <w:r>
              <w:rPr>
                <w:color w:val="auto"/>
                <w:highlight w:val="none"/>
                <w:u w:val="none"/>
              </w:rPr>
              <w:t>0.</w:t>
            </w:r>
            <w:r>
              <w:rPr>
                <w:rFonts w:hint="eastAsia"/>
                <w:color w:val="auto"/>
                <w:highlight w:val="none"/>
                <w:u w:val="none"/>
              </w:rPr>
              <w:t>24</w:t>
            </w:r>
          </w:p>
        </w:tc>
        <w:tc>
          <w:tcPr>
            <w:tcW w:w="1352" w:type="dxa"/>
            <w:vAlign w:val="center"/>
          </w:tcPr>
          <w:p w14:paraId="7087B1E2">
            <w:pPr>
              <w:pStyle w:val="92"/>
              <w:ind w:firstLine="0" w:firstLineChars="0"/>
              <w:rPr>
                <w:rFonts w:eastAsia="等线"/>
                <w:color w:val="auto"/>
                <w:highlight w:val="none"/>
                <w:u w:val="none"/>
              </w:rPr>
            </w:pPr>
            <w:r>
              <w:rPr>
                <w:color w:val="auto"/>
                <w:highlight w:val="none"/>
                <w:u w:val="none"/>
              </w:rPr>
              <w:t xml:space="preserve">0.16 </w:t>
            </w:r>
          </w:p>
        </w:tc>
      </w:tr>
      <w:tr w14:paraId="1E254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04EB9C4D">
            <w:pPr>
              <w:pStyle w:val="92"/>
              <w:rPr>
                <w:color w:val="auto"/>
                <w:highlight w:val="none"/>
                <w:u w:val="none"/>
              </w:rPr>
            </w:pPr>
          </w:p>
        </w:tc>
        <w:tc>
          <w:tcPr>
            <w:tcW w:w="1259" w:type="pct"/>
            <w:vAlign w:val="center"/>
          </w:tcPr>
          <w:p w14:paraId="5DD7DC2F">
            <w:pPr>
              <w:pStyle w:val="92"/>
              <w:rPr>
                <w:snapToGrid w:val="0"/>
                <w:color w:val="auto"/>
                <w:highlight w:val="none"/>
                <w:u w:val="none"/>
              </w:rPr>
            </w:pPr>
            <w:r>
              <w:rPr>
                <w:rFonts w:hint="eastAsia"/>
                <w:color w:val="auto"/>
                <w:highlight w:val="none"/>
                <w:u w:val="none"/>
              </w:rPr>
              <w:t>氯离子</w:t>
            </w:r>
          </w:p>
        </w:tc>
        <w:tc>
          <w:tcPr>
            <w:tcW w:w="741" w:type="pct"/>
            <w:vAlign w:val="center"/>
          </w:tcPr>
          <w:p w14:paraId="3D26E957">
            <w:pPr>
              <w:pStyle w:val="92"/>
              <w:rPr>
                <w:color w:val="auto"/>
                <w:highlight w:val="none"/>
                <w:u w:val="none"/>
              </w:rPr>
            </w:pPr>
            <w:r>
              <w:rPr>
                <w:color w:val="auto"/>
                <w:highlight w:val="none"/>
                <w:u w:val="none"/>
              </w:rPr>
              <w:t>t/a</w:t>
            </w:r>
          </w:p>
        </w:tc>
        <w:tc>
          <w:tcPr>
            <w:tcW w:w="1526" w:type="dxa"/>
            <w:vAlign w:val="top"/>
          </w:tcPr>
          <w:p w14:paraId="18D28886">
            <w:pPr>
              <w:pStyle w:val="92"/>
              <w:ind w:firstLine="0" w:firstLineChars="0"/>
              <w:rPr>
                <w:rFonts w:eastAsia="等线"/>
                <w:color w:val="auto"/>
                <w:highlight w:val="none"/>
                <w:u w:val="none"/>
              </w:rPr>
            </w:pPr>
            <w:r>
              <w:rPr>
                <w:color w:val="auto"/>
                <w:highlight w:val="none"/>
                <w:u w:val="none"/>
              </w:rPr>
              <w:t xml:space="preserve">239.07 </w:t>
            </w:r>
          </w:p>
        </w:tc>
        <w:tc>
          <w:tcPr>
            <w:tcW w:w="1243" w:type="dxa"/>
            <w:vAlign w:val="top"/>
          </w:tcPr>
          <w:p w14:paraId="5FCC2EF4">
            <w:pPr>
              <w:pStyle w:val="92"/>
              <w:ind w:firstLine="0" w:firstLineChars="0"/>
              <w:rPr>
                <w:rFonts w:eastAsia="等线"/>
                <w:color w:val="auto"/>
                <w:highlight w:val="none"/>
                <w:u w:val="none"/>
              </w:rPr>
            </w:pPr>
            <w:r>
              <w:rPr>
                <w:color w:val="auto"/>
                <w:highlight w:val="none"/>
                <w:u w:val="none"/>
              </w:rPr>
              <w:t xml:space="preserve">158.99 </w:t>
            </w:r>
          </w:p>
        </w:tc>
        <w:tc>
          <w:tcPr>
            <w:tcW w:w="1352" w:type="dxa"/>
            <w:vAlign w:val="top"/>
          </w:tcPr>
          <w:p w14:paraId="37324246">
            <w:pPr>
              <w:pStyle w:val="92"/>
              <w:ind w:firstLine="0" w:firstLineChars="0"/>
              <w:rPr>
                <w:rFonts w:eastAsia="等线"/>
                <w:color w:val="auto"/>
                <w:highlight w:val="none"/>
                <w:u w:val="none"/>
              </w:rPr>
            </w:pPr>
            <w:r>
              <w:rPr>
                <w:color w:val="auto"/>
                <w:highlight w:val="none"/>
                <w:u w:val="none"/>
              </w:rPr>
              <w:t xml:space="preserve">80.08 </w:t>
            </w:r>
          </w:p>
        </w:tc>
      </w:tr>
      <w:tr w14:paraId="11FD7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6FC6924">
            <w:pPr>
              <w:pStyle w:val="92"/>
              <w:rPr>
                <w:color w:val="auto"/>
                <w:highlight w:val="none"/>
                <w:u w:val="none"/>
              </w:rPr>
            </w:pPr>
          </w:p>
        </w:tc>
        <w:tc>
          <w:tcPr>
            <w:tcW w:w="1259" w:type="pct"/>
            <w:vAlign w:val="center"/>
          </w:tcPr>
          <w:p w14:paraId="6C5A4173">
            <w:pPr>
              <w:pStyle w:val="92"/>
              <w:rPr>
                <w:color w:val="auto"/>
                <w:highlight w:val="none"/>
                <w:u w:val="none"/>
              </w:rPr>
            </w:pPr>
            <w:r>
              <w:rPr>
                <w:rFonts w:hint="eastAsia"/>
                <w:color w:val="auto"/>
                <w:highlight w:val="none"/>
                <w:u w:val="none"/>
              </w:rPr>
              <w:t>TDS</w:t>
            </w:r>
          </w:p>
        </w:tc>
        <w:tc>
          <w:tcPr>
            <w:tcW w:w="741" w:type="pct"/>
            <w:vAlign w:val="center"/>
          </w:tcPr>
          <w:p w14:paraId="5D8DBB88">
            <w:pPr>
              <w:pStyle w:val="92"/>
              <w:rPr>
                <w:color w:val="auto"/>
                <w:highlight w:val="none"/>
                <w:u w:val="none"/>
              </w:rPr>
            </w:pPr>
            <w:r>
              <w:rPr>
                <w:rFonts w:hint="eastAsia"/>
                <w:color w:val="auto"/>
                <w:highlight w:val="none"/>
                <w:u w:val="none"/>
              </w:rPr>
              <w:t>t/a</w:t>
            </w:r>
          </w:p>
        </w:tc>
        <w:tc>
          <w:tcPr>
            <w:tcW w:w="1526" w:type="dxa"/>
            <w:vAlign w:val="center"/>
          </w:tcPr>
          <w:p w14:paraId="216039D5">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58058.78</w:t>
            </w:r>
          </w:p>
        </w:tc>
        <w:tc>
          <w:tcPr>
            <w:tcW w:w="1243" w:type="dxa"/>
            <w:vAlign w:val="center"/>
          </w:tcPr>
          <w:p w14:paraId="039769AA">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 xml:space="preserve">54234.50 </w:t>
            </w:r>
          </w:p>
        </w:tc>
        <w:tc>
          <w:tcPr>
            <w:tcW w:w="1352" w:type="dxa"/>
            <w:vAlign w:val="center"/>
          </w:tcPr>
          <w:p w14:paraId="62BD449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3824.28</w:t>
            </w:r>
            <w:r>
              <w:rPr>
                <w:rFonts w:hint="eastAsia"/>
                <w:color w:val="auto"/>
                <w:sz w:val="21"/>
                <w:szCs w:val="21"/>
                <w:highlight w:val="none"/>
                <w:u w:val="none"/>
              </w:rPr>
              <w:t xml:space="preserve"> </w:t>
            </w:r>
          </w:p>
        </w:tc>
      </w:tr>
      <w:tr w14:paraId="509B0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2E521E2">
            <w:pPr>
              <w:pStyle w:val="92"/>
              <w:rPr>
                <w:color w:val="auto"/>
                <w:highlight w:val="none"/>
                <w:u w:val="none"/>
              </w:rPr>
            </w:pPr>
          </w:p>
        </w:tc>
        <w:tc>
          <w:tcPr>
            <w:tcW w:w="1259" w:type="pct"/>
            <w:vAlign w:val="center"/>
          </w:tcPr>
          <w:p w14:paraId="6B51B1DE">
            <w:pPr>
              <w:pStyle w:val="92"/>
              <w:rPr>
                <w:snapToGrid w:val="0"/>
                <w:color w:val="auto"/>
                <w:highlight w:val="none"/>
                <w:u w:val="none"/>
              </w:rPr>
            </w:pPr>
            <w:r>
              <w:rPr>
                <w:rFonts w:hint="eastAsia"/>
                <w:color w:val="auto"/>
                <w:highlight w:val="none"/>
                <w:u w:val="none"/>
              </w:rPr>
              <w:t>二硝基甲苯</w:t>
            </w:r>
          </w:p>
        </w:tc>
        <w:tc>
          <w:tcPr>
            <w:tcW w:w="741" w:type="pct"/>
            <w:vAlign w:val="center"/>
          </w:tcPr>
          <w:p w14:paraId="38217887">
            <w:pPr>
              <w:pStyle w:val="92"/>
              <w:rPr>
                <w:color w:val="auto"/>
                <w:highlight w:val="none"/>
                <w:u w:val="none"/>
              </w:rPr>
            </w:pPr>
            <w:r>
              <w:rPr>
                <w:color w:val="auto"/>
                <w:highlight w:val="none"/>
                <w:u w:val="none"/>
              </w:rPr>
              <w:t>t/a</w:t>
            </w:r>
          </w:p>
        </w:tc>
        <w:tc>
          <w:tcPr>
            <w:tcW w:w="1526" w:type="dxa"/>
            <w:vAlign w:val="center"/>
          </w:tcPr>
          <w:p w14:paraId="771995A7">
            <w:pPr>
              <w:pStyle w:val="92"/>
              <w:ind w:firstLine="0" w:firstLineChars="0"/>
              <w:rPr>
                <w:rFonts w:eastAsia="等线"/>
                <w:color w:val="auto"/>
                <w:highlight w:val="none"/>
                <w:u w:val="none"/>
              </w:rPr>
            </w:pPr>
            <w:r>
              <w:rPr>
                <w:color w:val="auto"/>
                <w:highlight w:val="none"/>
                <w:u w:val="none"/>
              </w:rPr>
              <w:t xml:space="preserve">16.88 </w:t>
            </w:r>
          </w:p>
        </w:tc>
        <w:tc>
          <w:tcPr>
            <w:tcW w:w="1243" w:type="dxa"/>
            <w:vAlign w:val="center"/>
          </w:tcPr>
          <w:p w14:paraId="2B8F13DE">
            <w:pPr>
              <w:pStyle w:val="92"/>
              <w:ind w:firstLine="0" w:firstLineChars="0"/>
              <w:rPr>
                <w:rFonts w:eastAsia="等线"/>
                <w:color w:val="auto"/>
                <w:highlight w:val="none"/>
                <w:u w:val="none"/>
              </w:rPr>
            </w:pPr>
            <w:r>
              <w:rPr>
                <w:color w:val="auto"/>
                <w:highlight w:val="none"/>
                <w:u w:val="none"/>
              </w:rPr>
              <w:t xml:space="preserve">16.08 </w:t>
            </w:r>
          </w:p>
        </w:tc>
        <w:tc>
          <w:tcPr>
            <w:tcW w:w="1352" w:type="dxa"/>
            <w:vAlign w:val="center"/>
          </w:tcPr>
          <w:p w14:paraId="2AF9EA37">
            <w:pPr>
              <w:pStyle w:val="92"/>
              <w:ind w:firstLine="0" w:firstLineChars="0"/>
              <w:rPr>
                <w:rFonts w:eastAsia="等线"/>
                <w:color w:val="auto"/>
                <w:highlight w:val="none"/>
                <w:u w:val="none"/>
              </w:rPr>
            </w:pPr>
            <w:r>
              <w:rPr>
                <w:color w:val="auto"/>
                <w:highlight w:val="none"/>
                <w:u w:val="none"/>
              </w:rPr>
              <w:t xml:space="preserve">0.79 </w:t>
            </w:r>
          </w:p>
        </w:tc>
      </w:tr>
      <w:tr w14:paraId="5147F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75494D1">
            <w:pPr>
              <w:pStyle w:val="92"/>
              <w:rPr>
                <w:color w:val="auto"/>
                <w:highlight w:val="none"/>
                <w:u w:val="none"/>
              </w:rPr>
            </w:pPr>
          </w:p>
        </w:tc>
        <w:tc>
          <w:tcPr>
            <w:tcW w:w="1259" w:type="pct"/>
            <w:vAlign w:val="center"/>
          </w:tcPr>
          <w:p w14:paraId="32DDF53C">
            <w:pPr>
              <w:pStyle w:val="92"/>
              <w:rPr>
                <w:snapToGrid w:val="0"/>
                <w:color w:val="auto"/>
                <w:highlight w:val="none"/>
                <w:u w:val="none"/>
              </w:rPr>
            </w:pPr>
            <w:r>
              <w:rPr>
                <w:rFonts w:hint="eastAsia"/>
                <w:color w:val="auto"/>
                <w:highlight w:val="none"/>
                <w:u w:val="none"/>
              </w:rPr>
              <w:t>挥发酚</w:t>
            </w:r>
          </w:p>
        </w:tc>
        <w:tc>
          <w:tcPr>
            <w:tcW w:w="741" w:type="pct"/>
            <w:vAlign w:val="center"/>
          </w:tcPr>
          <w:p w14:paraId="0815DA70">
            <w:pPr>
              <w:pStyle w:val="92"/>
              <w:rPr>
                <w:color w:val="auto"/>
                <w:highlight w:val="none"/>
                <w:u w:val="none"/>
              </w:rPr>
            </w:pPr>
            <w:r>
              <w:rPr>
                <w:color w:val="auto"/>
                <w:highlight w:val="none"/>
                <w:u w:val="none"/>
              </w:rPr>
              <w:t>t/a</w:t>
            </w:r>
          </w:p>
        </w:tc>
        <w:tc>
          <w:tcPr>
            <w:tcW w:w="1526" w:type="dxa"/>
            <w:vAlign w:val="center"/>
          </w:tcPr>
          <w:p w14:paraId="4969B3C8">
            <w:pPr>
              <w:pStyle w:val="92"/>
              <w:ind w:firstLine="0" w:firstLineChars="0"/>
              <w:rPr>
                <w:rFonts w:eastAsia="等线"/>
                <w:color w:val="auto"/>
                <w:highlight w:val="none"/>
                <w:u w:val="none"/>
              </w:rPr>
            </w:pPr>
            <w:r>
              <w:rPr>
                <w:color w:val="auto"/>
                <w:highlight w:val="none"/>
                <w:u w:val="none"/>
              </w:rPr>
              <w:t xml:space="preserve">176.65 </w:t>
            </w:r>
          </w:p>
        </w:tc>
        <w:tc>
          <w:tcPr>
            <w:tcW w:w="1243" w:type="dxa"/>
            <w:vAlign w:val="center"/>
          </w:tcPr>
          <w:p w14:paraId="7722E93A">
            <w:pPr>
              <w:pStyle w:val="92"/>
              <w:ind w:firstLine="0" w:firstLineChars="0"/>
              <w:rPr>
                <w:rFonts w:eastAsia="等线"/>
                <w:color w:val="auto"/>
                <w:highlight w:val="none"/>
                <w:u w:val="none"/>
              </w:rPr>
            </w:pPr>
            <w:r>
              <w:rPr>
                <w:color w:val="auto"/>
                <w:highlight w:val="none"/>
                <w:u w:val="none"/>
              </w:rPr>
              <w:t xml:space="preserve">176.65 </w:t>
            </w:r>
          </w:p>
        </w:tc>
        <w:tc>
          <w:tcPr>
            <w:tcW w:w="1352" w:type="dxa"/>
            <w:vAlign w:val="center"/>
          </w:tcPr>
          <w:p w14:paraId="115A53A7">
            <w:pPr>
              <w:pStyle w:val="92"/>
              <w:ind w:firstLine="0" w:firstLineChars="0"/>
              <w:rPr>
                <w:color w:val="auto"/>
                <w:highlight w:val="none"/>
                <w:u w:val="none"/>
              </w:rPr>
            </w:pPr>
            <w:r>
              <w:rPr>
                <w:color w:val="auto"/>
                <w:highlight w:val="none"/>
                <w:u w:val="none"/>
              </w:rPr>
              <w:t xml:space="preserve">0.00 </w:t>
            </w:r>
          </w:p>
        </w:tc>
      </w:tr>
      <w:tr w14:paraId="3448A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00D7DA9">
            <w:pPr>
              <w:pStyle w:val="92"/>
              <w:rPr>
                <w:color w:val="auto"/>
                <w:highlight w:val="none"/>
                <w:u w:val="none"/>
              </w:rPr>
            </w:pPr>
          </w:p>
        </w:tc>
        <w:tc>
          <w:tcPr>
            <w:tcW w:w="1259" w:type="pct"/>
            <w:vAlign w:val="center"/>
          </w:tcPr>
          <w:p w14:paraId="309AA3DF">
            <w:pPr>
              <w:pStyle w:val="92"/>
              <w:rPr>
                <w:snapToGrid w:val="0"/>
                <w:color w:val="auto"/>
                <w:highlight w:val="none"/>
                <w:u w:val="none"/>
              </w:rPr>
            </w:pPr>
            <w:r>
              <w:rPr>
                <w:rFonts w:hint="eastAsia"/>
                <w:color w:val="auto"/>
                <w:highlight w:val="none"/>
                <w:u w:val="none"/>
              </w:rPr>
              <w:t>苯胺类</w:t>
            </w:r>
          </w:p>
        </w:tc>
        <w:tc>
          <w:tcPr>
            <w:tcW w:w="741" w:type="pct"/>
            <w:vAlign w:val="center"/>
          </w:tcPr>
          <w:p w14:paraId="378D75EF">
            <w:pPr>
              <w:pStyle w:val="92"/>
              <w:rPr>
                <w:color w:val="auto"/>
                <w:highlight w:val="none"/>
                <w:u w:val="none"/>
              </w:rPr>
            </w:pPr>
            <w:r>
              <w:rPr>
                <w:color w:val="auto"/>
                <w:highlight w:val="none"/>
                <w:u w:val="none"/>
              </w:rPr>
              <w:t>t/a</w:t>
            </w:r>
          </w:p>
        </w:tc>
        <w:tc>
          <w:tcPr>
            <w:tcW w:w="1526" w:type="dxa"/>
            <w:vAlign w:val="top"/>
          </w:tcPr>
          <w:p w14:paraId="48F21615">
            <w:pPr>
              <w:pStyle w:val="92"/>
              <w:ind w:firstLine="0" w:firstLineChars="0"/>
              <w:rPr>
                <w:rFonts w:eastAsia="等线"/>
                <w:color w:val="auto"/>
                <w:highlight w:val="none"/>
                <w:u w:val="none"/>
              </w:rPr>
            </w:pPr>
            <w:r>
              <w:rPr>
                <w:color w:val="auto"/>
                <w:highlight w:val="none"/>
                <w:u w:val="none"/>
              </w:rPr>
              <w:t xml:space="preserve">324.44 </w:t>
            </w:r>
          </w:p>
        </w:tc>
        <w:tc>
          <w:tcPr>
            <w:tcW w:w="1243" w:type="dxa"/>
            <w:vAlign w:val="top"/>
          </w:tcPr>
          <w:p w14:paraId="0A460FAE">
            <w:pPr>
              <w:pStyle w:val="92"/>
              <w:ind w:firstLine="0" w:firstLineChars="0"/>
              <w:rPr>
                <w:rFonts w:eastAsia="等线"/>
                <w:color w:val="auto"/>
                <w:highlight w:val="none"/>
                <w:u w:val="none"/>
              </w:rPr>
            </w:pPr>
            <w:r>
              <w:rPr>
                <w:color w:val="auto"/>
                <w:highlight w:val="none"/>
                <w:u w:val="none"/>
              </w:rPr>
              <w:t xml:space="preserve">324.24 </w:t>
            </w:r>
          </w:p>
        </w:tc>
        <w:tc>
          <w:tcPr>
            <w:tcW w:w="1352" w:type="dxa"/>
            <w:vAlign w:val="top"/>
          </w:tcPr>
          <w:p w14:paraId="3CD436D7">
            <w:pPr>
              <w:pStyle w:val="92"/>
              <w:ind w:firstLine="0" w:firstLineChars="0"/>
              <w:rPr>
                <w:rFonts w:eastAsia="等线"/>
                <w:color w:val="auto"/>
                <w:highlight w:val="none"/>
                <w:u w:val="none"/>
              </w:rPr>
            </w:pPr>
            <w:r>
              <w:rPr>
                <w:color w:val="auto"/>
                <w:highlight w:val="none"/>
                <w:u w:val="none"/>
              </w:rPr>
              <w:t xml:space="preserve">0.20 </w:t>
            </w:r>
          </w:p>
        </w:tc>
      </w:tr>
      <w:tr w14:paraId="00956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2E91037">
            <w:pPr>
              <w:pStyle w:val="92"/>
              <w:rPr>
                <w:color w:val="auto"/>
                <w:highlight w:val="none"/>
                <w:u w:val="none"/>
              </w:rPr>
            </w:pPr>
          </w:p>
        </w:tc>
        <w:tc>
          <w:tcPr>
            <w:tcW w:w="1259" w:type="pct"/>
            <w:vAlign w:val="center"/>
          </w:tcPr>
          <w:p w14:paraId="221FF456">
            <w:pPr>
              <w:pStyle w:val="92"/>
              <w:rPr>
                <w:snapToGrid w:val="0"/>
                <w:color w:val="auto"/>
                <w:highlight w:val="none"/>
                <w:u w:val="none"/>
              </w:rPr>
            </w:pPr>
            <w:r>
              <w:rPr>
                <w:rFonts w:hint="eastAsia"/>
                <w:color w:val="auto"/>
                <w:highlight w:val="none"/>
                <w:u w:val="none"/>
              </w:rPr>
              <w:t>总氮</w:t>
            </w:r>
          </w:p>
        </w:tc>
        <w:tc>
          <w:tcPr>
            <w:tcW w:w="741" w:type="pct"/>
            <w:vAlign w:val="center"/>
          </w:tcPr>
          <w:p w14:paraId="3EED3F5D">
            <w:pPr>
              <w:pStyle w:val="92"/>
              <w:rPr>
                <w:color w:val="auto"/>
                <w:highlight w:val="none"/>
                <w:u w:val="none"/>
              </w:rPr>
            </w:pPr>
            <w:r>
              <w:rPr>
                <w:color w:val="auto"/>
                <w:highlight w:val="none"/>
                <w:u w:val="none"/>
              </w:rPr>
              <w:t>t/a</w:t>
            </w:r>
          </w:p>
        </w:tc>
        <w:tc>
          <w:tcPr>
            <w:tcW w:w="1526" w:type="dxa"/>
            <w:vAlign w:val="top"/>
          </w:tcPr>
          <w:p w14:paraId="2EA4AE80">
            <w:pPr>
              <w:pStyle w:val="92"/>
              <w:ind w:firstLine="0" w:firstLineChars="0"/>
              <w:rPr>
                <w:rFonts w:eastAsia="等线"/>
                <w:color w:val="auto"/>
                <w:highlight w:val="none"/>
                <w:u w:val="none"/>
              </w:rPr>
            </w:pPr>
            <w:r>
              <w:rPr>
                <w:color w:val="auto"/>
                <w:highlight w:val="none"/>
                <w:u w:val="none"/>
              </w:rPr>
              <w:t xml:space="preserve">8427.22 </w:t>
            </w:r>
          </w:p>
        </w:tc>
        <w:tc>
          <w:tcPr>
            <w:tcW w:w="1243" w:type="dxa"/>
            <w:vAlign w:val="top"/>
          </w:tcPr>
          <w:p w14:paraId="7EC7248F">
            <w:pPr>
              <w:pStyle w:val="92"/>
              <w:ind w:firstLine="0" w:firstLineChars="0"/>
              <w:rPr>
                <w:rFonts w:eastAsia="等线"/>
                <w:color w:val="auto"/>
                <w:highlight w:val="none"/>
                <w:u w:val="none"/>
              </w:rPr>
            </w:pPr>
            <w:r>
              <w:rPr>
                <w:color w:val="auto"/>
                <w:highlight w:val="none"/>
                <w:u w:val="none"/>
              </w:rPr>
              <w:t xml:space="preserve">8421.27 </w:t>
            </w:r>
          </w:p>
        </w:tc>
        <w:tc>
          <w:tcPr>
            <w:tcW w:w="1352" w:type="dxa"/>
            <w:vAlign w:val="top"/>
          </w:tcPr>
          <w:p w14:paraId="38D28DC4">
            <w:pPr>
              <w:pStyle w:val="92"/>
              <w:ind w:firstLine="0" w:firstLineChars="0"/>
              <w:rPr>
                <w:rFonts w:eastAsia="等线"/>
                <w:color w:val="auto"/>
                <w:highlight w:val="none"/>
                <w:u w:val="none"/>
              </w:rPr>
            </w:pPr>
            <w:r>
              <w:rPr>
                <w:color w:val="auto"/>
                <w:highlight w:val="none"/>
                <w:u w:val="none"/>
              </w:rPr>
              <w:t xml:space="preserve">5.95 </w:t>
            </w:r>
          </w:p>
        </w:tc>
      </w:tr>
      <w:tr w14:paraId="1A8F6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7FF46549">
            <w:pPr>
              <w:pStyle w:val="92"/>
              <w:rPr>
                <w:color w:val="auto"/>
                <w:highlight w:val="none"/>
                <w:u w:val="none"/>
              </w:rPr>
            </w:pPr>
          </w:p>
        </w:tc>
        <w:tc>
          <w:tcPr>
            <w:tcW w:w="1259" w:type="pct"/>
            <w:vAlign w:val="center"/>
          </w:tcPr>
          <w:p w14:paraId="5DDEA192">
            <w:pPr>
              <w:pStyle w:val="92"/>
              <w:rPr>
                <w:snapToGrid w:val="0"/>
                <w:color w:val="auto"/>
                <w:highlight w:val="none"/>
                <w:u w:val="none"/>
              </w:rPr>
            </w:pPr>
            <w:r>
              <w:rPr>
                <w:rFonts w:hint="eastAsia"/>
                <w:color w:val="auto"/>
                <w:highlight w:val="none"/>
                <w:u w:val="none"/>
              </w:rPr>
              <w:t>石油类</w:t>
            </w:r>
          </w:p>
        </w:tc>
        <w:tc>
          <w:tcPr>
            <w:tcW w:w="741" w:type="pct"/>
            <w:vAlign w:val="center"/>
          </w:tcPr>
          <w:p w14:paraId="40E953C0">
            <w:pPr>
              <w:pStyle w:val="92"/>
              <w:rPr>
                <w:color w:val="auto"/>
                <w:highlight w:val="none"/>
                <w:u w:val="none"/>
              </w:rPr>
            </w:pPr>
            <w:r>
              <w:rPr>
                <w:color w:val="auto"/>
                <w:highlight w:val="none"/>
                <w:u w:val="none"/>
              </w:rPr>
              <w:t>t/a</w:t>
            </w:r>
          </w:p>
        </w:tc>
        <w:tc>
          <w:tcPr>
            <w:tcW w:w="1526" w:type="dxa"/>
            <w:vAlign w:val="center"/>
          </w:tcPr>
          <w:p w14:paraId="523ED44D">
            <w:pPr>
              <w:pStyle w:val="92"/>
              <w:ind w:firstLine="0" w:firstLineChars="0"/>
              <w:rPr>
                <w:color w:val="auto"/>
                <w:highlight w:val="none"/>
                <w:u w:val="none"/>
              </w:rPr>
            </w:pPr>
            <w:r>
              <w:rPr>
                <w:color w:val="auto"/>
                <w:highlight w:val="none"/>
                <w:u w:val="none"/>
              </w:rPr>
              <w:t xml:space="preserve">0.161 </w:t>
            </w:r>
          </w:p>
        </w:tc>
        <w:tc>
          <w:tcPr>
            <w:tcW w:w="1243" w:type="dxa"/>
            <w:vAlign w:val="center"/>
          </w:tcPr>
          <w:p w14:paraId="4F6368DC">
            <w:pPr>
              <w:pStyle w:val="92"/>
              <w:ind w:firstLine="0" w:firstLineChars="0"/>
              <w:rPr>
                <w:color w:val="auto"/>
                <w:highlight w:val="none"/>
                <w:u w:val="none"/>
              </w:rPr>
            </w:pPr>
            <w:r>
              <w:rPr>
                <w:color w:val="auto"/>
                <w:highlight w:val="none"/>
                <w:u w:val="none"/>
              </w:rPr>
              <w:t xml:space="preserve">0.102 </w:t>
            </w:r>
          </w:p>
        </w:tc>
        <w:tc>
          <w:tcPr>
            <w:tcW w:w="1352" w:type="dxa"/>
            <w:vAlign w:val="center"/>
          </w:tcPr>
          <w:p w14:paraId="33BAA66D">
            <w:pPr>
              <w:pStyle w:val="92"/>
              <w:ind w:firstLine="0" w:firstLineChars="0"/>
              <w:rPr>
                <w:color w:val="auto"/>
                <w:highlight w:val="none"/>
                <w:u w:val="none"/>
              </w:rPr>
            </w:pPr>
            <w:r>
              <w:rPr>
                <w:color w:val="auto"/>
                <w:highlight w:val="none"/>
                <w:u w:val="none"/>
              </w:rPr>
              <w:t xml:space="preserve">0.059 </w:t>
            </w:r>
          </w:p>
        </w:tc>
      </w:tr>
      <w:tr w14:paraId="0F40B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0AD52581">
            <w:pPr>
              <w:pStyle w:val="92"/>
              <w:rPr>
                <w:color w:val="auto"/>
                <w:highlight w:val="none"/>
                <w:u w:val="none"/>
              </w:rPr>
            </w:pPr>
            <w:r>
              <w:rPr>
                <w:color w:val="auto"/>
                <w:highlight w:val="none"/>
                <w:u w:val="none"/>
              </w:rPr>
              <w:t>固体废物</w:t>
            </w:r>
          </w:p>
        </w:tc>
        <w:tc>
          <w:tcPr>
            <w:tcW w:w="1259" w:type="pct"/>
            <w:vAlign w:val="center"/>
          </w:tcPr>
          <w:p w14:paraId="2E0C86AD">
            <w:pPr>
              <w:pStyle w:val="92"/>
              <w:rPr>
                <w:snapToGrid w:val="0"/>
                <w:color w:val="auto"/>
                <w:highlight w:val="none"/>
                <w:u w:val="none"/>
              </w:rPr>
            </w:pPr>
            <w:r>
              <w:rPr>
                <w:snapToGrid w:val="0"/>
                <w:color w:val="auto"/>
                <w:highlight w:val="none"/>
                <w:u w:val="none"/>
              </w:rPr>
              <w:t>工业固废</w:t>
            </w:r>
          </w:p>
        </w:tc>
        <w:tc>
          <w:tcPr>
            <w:tcW w:w="741" w:type="pct"/>
            <w:vAlign w:val="center"/>
          </w:tcPr>
          <w:p w14:paraId="31977942">
            <w:pPr>
              <w:pStyle w:val="92"/>
              <w:rPr>
                <w:color w:val="auto"/>
                <w:highlight w:val="none"/>
                <w:u w:val="none"/>
              </w:rPr>
            </w:pPr>
            <w:r>
              <w:rPr>
                <w:color w:val="auto"/>
                <w:highlight w:val="none"/>
                <w:u w:val="none"/>
              </w:rPr>
              <w:t>t/a</w:t>
            </w:r>
          </w:p>
        </w:tc>
        <w:tc>
          <w:tcPr>
            <w:tcW w:w="834" w:type="pct"/>
            <w:vAlign w:val="center"/>
          </w:tcPr>
          <w:p w14:paraId="1B13ADB9">
            <w:pPr>
              <w:pStyle w:val="92"/>
              <w:rPr>
                <w:color w:val="auto"/>
                <w:highlight w:val="none"/>
                <w:u w:val="none"/>
              </w:rPr>
            </w:pPr>
            <w:r>
              <w:rPr>
                <w:rFonts w:hint="eastAsia"/>
                <w:color w:val="auto"/>
                <w:highlight w:val="none"/>
                <w:u w:val="none"/>
              </w:rPr>
              <w:t>26913.5</w:t>
            </w:r>
          </w:p>
        </w:tc>
        <w:tc>
          <w:tcPr>
            <w:tcW w:w="679" w:type="pct"/>
            <w:vAlign w:val="center"/>
          </w:tcPr>
          <w:p w14:paraId="5CFC5664">
            <w:pPr>
              <w:pStyle w:val="92"/>
              <w:rPr>
                <w:color w:val="auto"/>
                <w:highlight w:val="none"/>
                <w:u w:val="none"/>
              </w:rPr>
            </w:pPr>
            <w:r>
              <w:rPr>
                <w:rFonts w:hint="eastAsia"/>
                <w:color w:val="auto"/>
                <w:highlight w:val="none"/>
                <w:u w:val="none"/>
              </w:rPr>
              <w:t>26913.5</w:t>
            </w:r>
          </w:p>
        </w:tc>
        <w:tc>
          <w:tcPr>
            <w:tcW w:w="739" w:type="pct"/>
            <w:vAlign w:val="center"/>
          </w:tcPr>
          <w:p w14:paraId="578B1F68">
            <w:pPr>
              <w:pStyle w:val="92"/>
              <w:rPr>
                <w:color w:val="auto"/>
                <w:highlight w:val="none"/>
                <w:u w:val="none"/>
              </w:rPr>
            </w:pPr>
            <w:r>
              <w:rPr>
                <w:rFonts w:hint="eastAsia"/>
                <w:color w:val="auto"/>
                <w:highlight w:val="none"/>
                <w:u w:val="none"/>
              </w:rPr>
              <w:t>0</w:t>
            </w:r>
          </w:p>
        </w:tc>
      </w:tr>
      <w:tr w14:paraId="53E86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0422D3C">
            <w:pPr>
              <w:pStyle w:val="92"/>
              <w:rPr>
                <w:color w:val="auto"/>
                <w:highlight w:val="none"/>
                <w:u w:val="none"/>
              </w:rPr>
            </w:pPr>
          </w:p>
        </w:tc>
        <w:tc>
          <w:tcPr>
            <w:tcW w:w="1259" w:type="pct"/>
            <w:vAlign w:val="center"/>
          </w:tcPr>
          <w:p w14:paraId="45CE36DB">
            <w:pPr>
              <w:pStyle w:val="92"/>
              <w:rPr>
                <w:snapToGrid w:val="0"/>
                <w:color w:val="auto"/>
                <w:highlight w:val="none"/>
                <w:u w:val="none"/>
              </w:rPr>
            </w:pPr>
            <w:r>
              <w:rPr>
                <w:snapToGrid w:val="0"/>
                <w:color w:val="auto"/>
                <w:highlight w:val="none"/>
                <w:u w:val="none"/>
              </w:rPr>
              <w:t>生活垃圾</w:t>
            </w:r>
          </w:p>
        </w:tc>
        <w:tc>
          <w:tcPr>
            <w:tcW w:w="741" w:type="pct"/>
            <w:vAlign w:val="center"/>
          </w:tcPr>
          <w:p w14:paraId="131B4428">
            <w:pPr>
              <w:pStyle w:val="92"/>
              <w:rPr>
                <w:color w:val="auto"/>
                <w:highlight w:val="none"/>
                <w:u w:val="none"/>
              </w:rPr>
            </w:pPr>
            <w:r>
              <w:rPr>
                <w:color w:val="auto"/>
                <w:highlight w:val="none"/>
                <w:u w:val="none"/>
              </w:rPr>
              <w:t>t/a</w:t>
            </w:r>
          </w:p>
        </w:tc>
        <w:tc>
          <w:tcPr>
            <w:tcW w:w="834" w:type="pct"/>
            <w:vAlign w:val="center"/>
          </w:tcPr>
          <w:p w14:paraId="181268C8">
            <w:pPr>
              <w:pStyle w:val="92"/>
              <w:rPr>
                <w:snapToGrid w:val="0"/>
                <w:color w:val="auto"/>
                <w:highlight w:val="none"/>
                <w:u w:val="none"/>
              </w:rPr>
            </w:pPr>
            <w:r>
              <w:rPr>
                <w:rFonts w:hint="eastAsia" w:eastAsia="等线"/>
                <w:color w:val="auto"/>
                <w:highlight w:val="none"/>
                <w:u w:val="none"/>
              </w:rPr>
              <w:t>8.5</w:t>
            </w:r>
          </w:p>
        </w:tc>
        <w:tc>
          <w:tcPr>
            <w:tcW w:w="679" w:type="pct"/>
            <w:vAlign w:val="center"/>
          </w:tcPr>
          <w:p w14:paraId="154A879E">
            <w:pPr>
              <w:pStyle w:val="92"/>
              <w:rPr>
                <w:snapToGrid w:val="0"/>
                <w:color w:val="auto"/>
                <w:highlight w:val="none"/>
                <w:u w:val="none"/>
              </w:rPr>
            </w:pPr>
            <w:r>
              <w:rPr>
                <w:rFonts w:hint="eastAsia" w:eastAsia="等线"/>
                <w:color w:val="auto"/>
                <w:highlight w:val="none"/>
                <w:u w:val="none"/>
              </w:rPr>
              <w:t>8.5</w:t>
            </w:r>
          </w:p>
        </w:tc>
        <w:tc>
          <w:tcPr>
            <w:tcW w:w="739" w:type="pct"/>
            <w:vAlign w:val="center"/>
          </w:tcPr>
          <w:p w14:paraId="67416C66">
            <w:pPr>
              <w:pStyle w:val="92"/>
              <w:rPr>
                <w:snapToGrid w:val="0"/>
                <w:color w:val="auto"/>
                <w:highlight w:val="none"/>
                <w:u w:val="none"/>
              </w:rPr>
            </w:pPr>
            <w:r>
              <w:rPr>
                <w:rFonts w:hint="eastAsia"/>
                <w:snapToGrid w:val="0"/>
                <w:color w:val="auto"/>
                <w:highlight w:val="none"/>
                <w:u w:val="none"/>
              </w:rPr>
              <w:t>0</w:t>
            </w:r>
          </w:p>
        </w:tc>
      </w:tr>
    </w:tbl>
    <w:p w14:paraId="41E478E1">
      <w:pPr>
        <w:pStyle w:val="5"/>
        <w:tabs>
          <w:tab w:val="left" w:pos="993"/>
        </w:tabs>
        <w:ind w:firstLine="0" w:firstLineChars="0"/>
        <w:rPr>
          <w:rFonts w:hint="eastAsia"/>
          <w:color w:val="auto"/>
          <w:highlight w:val="none"/>
          <w:u w:val="none"/>
          <w:lang w:val="en-US"/>
        </w:rPr>
      </w:pPr>
    </w:p>
    <w:p w14:paraId="77718864">
      <w:pPr>
        <w:pStyle w:val="4"/>
        <w:rPr>
          <w:rFonts w:hint="eastAsia" w:eastAsia="宋体"/>
          <w:color w:val="auto"/>
          <w:highlight w:val="none"/>
          <w:u w:val="none"/>
        </w:rPr>
      </w:pPr>
      <w:bookmarkStart w:id="208" w:name="_Toc32463"/>
      <w:r>
        <w:rPr>
          <w:rFonts w:hint="eastAsia" w:eastAsia="宋体"/>
          <w:color w:val="auto"/>
          <w:highlight w:val="none"/>
          <w:u w:val="none"/>
        </w:rPr>
        <w:t>气体装置工程</w:t>
      </w:r>
      <w:bookmarkEnd w:id="208"/>
    </w:p>
    <w:p w14:paraId="598A6428">
      <w:pPr>
        <w:pStyle w:val="5"/>
        <w:ind w:firstLine="480"/>
        <w:rPr>
          <w:rFonts w:hint="eastAsia"/>
          <w:color w:val="auto"/>
          <w:highlight w:val="none"/>
          <w:u w:val="none"/>
        </w:rPr>
      </w:pPr>
      <w:r>
        <w:rPr>
          <w:color w:val="auto"/>
          <w:highlight w:val="none"/>
          <w:u w:val="none"/>
        </w:rPr>
        <w:t>2021年</w:t>
      </w:r>
      <w:r>
        <w:rPr>
          <w:rFonts w:hint="eastAsia"/>
          <w:color w:val="auto"/>
          <w:highlight w:val="none"/>
          <w:u w:val="none"/>
          <w:lang w:val="en-US"/>
        </w:rPr>
        <w:t>12</w:t>
      </w:r>
      <w:r>
        <w:rPr>
          <w:color w:val="auto"/>
          <w:highlight w:val="none"/>
          <w:u w:val="none"/>
        </w:rPr>
        <w:t>月</w:t>
      </w:r>
      <w:r>
        <w:rPr>
          <w:rFonts w:hint="eastAsia"/>
          <w:color w:val="auto"/>
          <w:highlight w:val="none"/>
          <w:u w:val="none"/>
          <w:lang w:val="en-US"/>
        </w:rPr>
        <w:t>10日</w:t>
      </w:r>
      <w:r>
        <w:rPr>
          <w:rFonts w:hint="eastAsia"/>
          <w:color w:val="auto"/>
          <w:highlight w:val="none"/>
          <w:u w:val="none"/>
        </w:rPr>
        <w:t>万华福建公司</w:t>
      </w:r>
      <w:r>
        <w:rPr>
          <w:rFonts w:hint="eastAsia"/>
          <w:color w:val="auto"/>
          <w:highlight w:val="none"/>
          <w:u w:val="none"/>
          <w:lang w:val="en-US"/>
        </w:rPr>
        <w:t>与</w:t>
      </w:r>
      <w:r>
        <w:rPr>
          <w:rFonts w:hint="eastAsia"/>
          <w:color w:val="auto"/>
          <w:highlight w:val="none"/>
          <w:u w:val="none"/>
        </w:rPr>
        <w:t>福建省福化天辰气体有限公司</w:t>
      </w:r>
      <w:r>
        <w:rPr>
          <w:rFonts w:hint="eastAsia"/>
          <w:color w:val="auto"/>
          <w:highlight w:val="none"/>
          <w:u w:val="none"/>
          <w:lang w:val="en-US"/>
        </w:rPr>
        <w:t>签订资产转让协议</w:t>
      </w:r>
      <w:r>
        <w:rPr>
          <w:rFonts w:hint="eastAsia"/>
          <w:color w:val="auto"/>
          <w:highlight w:val="none"/>
          <w:u w:val="none"/>
        </w:rPr>
        <w:t>，</w:t>
      </w:r>
      <w:r>
        <w:rPr>
          <w:rFonts w:hint="eastAsia"/>
          <w:color w:val="auto"/>
          <w:highlight w:val="none"/>
          <w:u w:val="none"/>
          <w:lang w:val="en-US"/>
        </w:rPr>
        <w:t>收购福化天辰造气装置区，收购后该地块为气体装置地块</w:t>
      </w:r>
      <w:r>
        <w:rPr>
          <w:rFonts w:hint="eastAsia"/>
          <w:color w:val="auto"/>
          <w:highlight w:val="none"/>
          <w:u w:val="none"/>
        </w:rPr>
        <w:t>，气体装置地块</w:t>
      </w:r>
      <w:r>
        <w:rPr>
          <w:rFonts w:hint="eastAsia"/>
          <w:color w:val="auto"/>
          <w:highlight w:val="none"/>
          <w:u w:val="none"/>
          <w:lang w:val="en-US"/>
        </w:rPr>
        <w:t>和主要生产地块同属于</w:t>
      </w:r>
      <w:r>
        <w:rPr>
          <w:rFonts w:hint="eastAsia"/>
          <w:color w:val="auto"/>
          <w:highlight w:val="none"/>
          <w:u w:val="none"/>
        </w:rPr>
        <w:t>万华福建公司。气体装置地块</w:t>
      </w:r>
      <w:r>
        <w:rPr>
          <w:rFonts w:hint="eastAsia"/>
          <w:color w:val="auto"/>
          <w:highlight w:val="none"/>
          <w:u w:val="none"/>
          <w:lang w:val="en-US"/>
        </w:rPr>
        <w:t>位于</w:t>
      </w:r>
      <w:r>
        <w:rPr>
          <w:rFonts w:hint="eastAsia"/>
          <w:color w:val="auto"/>
          <w:highlight w:val="none"/>
          <w:u w:val="none"/>
        </w:rPr>
        <w:t>万华福建公司主要生产地块的北侧，两个地块相对独立，属于不同的经营场所，另行持有排污许可证（证号：</w:t>
      </w:r>
      <w:r>
        <w:rPr>
          <w:color w:val="auto"/>
          <w:highlight w:val="none"/>
          <w:u w:val="none"/>
        </w:rPr>
        <w:t>91350181MA33QYY14K002P</w:t>
      </w:r>
      <w:r>
        <w:rPr>
          <w:rFonts w:hint="eastAsia"/>
          <w:color w:val="auto"/>
          <w:highlight w:val="none"/>
          <w:u w:val="none"/>
        </w:rPr>
        <w:t>）。</w:t>
      </w:r>
    </w:p>
    <w:p w14:paraId="2D3127E0">
      <w:pPr>
        <w:pStyle w:val="5"/>
        <w:ind w:firstLine="482"/>
        <w:rPr>
          <w:rFonts w:hint="eastAsia"/>
          <w:b/>
          <w:bCs/>
          <w:color w:val="auto"/>
          <w:highlight w:val="none"/>
          <w:u w:val="none"/>
        </w:rPr>
      </w:pPr>
      <w:r>
        <w:rPr>
          <w:rFonts w:hint="eastAsia"/>
          <w:b/>
          <w:bCs/>
          <w:color w:val="auto"/>
          <w:highlight w:val="none"/>
          <w:u w:val="none"/>
        </w:rPr>
        <w:t>（1）气体装置地块现有工程</w:t>
      </w:r>
    </w:p>
    <w:p w14:paraId="51D391F1">
      <w:pPr>
        <w:pStyle w:val="5"/>
        <w:ind w:firstLine="480"/>
        <w:rPr>
          <w:rFonts w:hint="eastAsia" w:ascii="宋体"/>
          <w:color w:val="auto"/>
          <w:highlight w:val="none"/>
          <w:u w:val="none"/>
        </w:rPr>
      </w:pPr>
      <w:r>
        <w:rPr>
          <w:rFonts w:hint="eastAsia"/>
        </w:rPr>
        <w:t>气体装置地块</w:t>
      </w:r>
      <w:r>
        <w:rPr>
          <w:rFonts w:hint="eastAsia"/>
          <w:lang w:val="en-US"/>
        </w:rPr>
        <w:t>内已验收投产的项目为</w:t>
      </w:r>
      <w:r>
        <w:rPr>
          <w:rFonts w:hint="eastAsia" w:ascii="宋体"/>
        </w:rPr>
        <w:t>万华福建公司大型煤气化项目（原福化天辰气体有限公司大型煤气化项目），</w:t>
      </w:r>
      <w:r>
        <w:rPr>
          <w:rFonts w:hint="eastAsia"/>
        </w:rPr>
        <w:t>生产能力为45万吨/年合成氨联合生产装置（总氨69万吨/年，液氨产品量44.47万吨/年）</w:t>
      </w:r>
      <w:r>
        <w:rPr>
          <w:rFonts w:hint="eastAsia"/>
          <w:lang w:val="en-US"/>
        </w:rPr>
        <w:t>等</w:t>
      </w:r>
      <w:r>
        <w:rPr>
          <w:rFonts w:hint="eastAsia" w:ascii="宋体"/>
        </w:rPr>
        <w:t>。生产的氢气、一氧化碳、氮气、液氨用于配套万华福建公司</w:t>
      </w:r>
      <w:r>
        <w:rPr>
          <w:rFonts w:hint="eastAsia" w:cs="Arial"/>
        </w:rPr>
        <w:t>TDI</w:t>
      </w:r>
      <w:r>
        <w:rPr>
          <w:rFonts w:hint="eastAsia" w:ascii="宋体"/>
        </w:rPr>
        <w:t>项目和</w:t>
      </w:r>
      <w:r>
        <w:rPr>
          <w:rFonts w:hint="eastAsia" w:cs="Arial"/>
        </w:rPr>
        <w:t>异氰酸酯公司MDI</w:t>
      </w:r>
      <w:r>
        <w:rPr>
          <w:rFonts w:hint="eastAsia" w:ascii="宋体"/>
        </w:rPr>
        <w:t>项目，以及天辰耀隆己内酰胺项目</w:t>
      </w:r>
      <w:r>
        <w:rPr>
          <w:rFonts w:hint="eastAsia" w:ascii="宋体"/>
          <w:color w:val="auto"/>
          <w:highlight w:val="none"/>
          <w:u w:val="none"/>
        </w:rPr>
        <w:t>。</w:t>
      </w:r>
    </w:p>
    <w:p w14:paraId="33101CDB">
      <w:pPr>
        <w:pStyle w:val="5"/>
        <w:ind w:firstLine="480"/>
      </w:pPr>
      <w:r>
        <w:rPr>
          <w:rFonts w:hint="eastAsia" w:ascii="宋体"/>
          <w:lang w:val="en-US"/>
        </w:rPr>
        <w:t>该项目主要包括</w:t>
      </w:r>
      <w:r>
        <w:t>空分、气化（煤浆制备、气化框架）、变换及热回收、低温甲醇洗、液氮洗、氨合成、PSA制氢、CO深冷分离</w:t>
      </w:r>
      <w:r>
        <w:rPr>
          <w:rFonts w:hint="eastAsia"/>
        </w:rPr>
        <w:t>、</w:t>
      </w:r>
      <w:r>
        <w:t>硫回收</w:t>
      </w:r>
      <w:r>
        <w:rPr>
          <w:rFonts w:hint="eastAsia"/>
          <w:lang w:val="en-US"/>
        </w:rPr>
        <w:t>等单元，主要废气污染物包括</w:t>
      </w:r>
      <w:r>
        <w:rPr>
          <w:rFonts w:hint="eastAsia"/>
        </w:rPr>
        <w:t>低温甲醇洗单元洗涤塔尾气中的甲醇、硫化氢、</w:t>
      </w:r>
      <w:r>
        <w:rPr>
          <w:rFonts w:hAnsi="Times New Roman"/>
          <w:lang w:val="en-US" w:bidi="ar"/>
        </w:rPr>
        <w:t>VOCs</w:t>
      </w:r>
      <w:r>
        <w:rPr>
          <w:rFonts w:hint="eastAsia" w:hAnsi="Times New Roman"/>
          <w:lang w:val="en-US" w:bidi="ar"/>
        </w:rPr>
        <w:t>，</w:t>
      </w:r>
      <w:r>
        <w:rPr>
          <w:rFonts w:hint="eastAsia"/>
        </w:rPr>
        <w:t>气化单元煤粉尘废气，硫回收制液硫装置尾气中二氧化硫、氮氧化物，</w:t>
      </w:r>
      <w:r>
        <w:rPr>
          <w:rFonts w:hint="eastAsia"/>
          <w:lang w:val="en-US"/>
        </w:rPr>
        <w:t>污水处理设施的氨和硫化氢等。主要执行标准为：</w:t>
      </w:r>
      <w:r>
        <w:rPr>
          <w:rFonts w:hint="eastAsia"/>
        </w:rPr>
        <w:t>甲醇执行《石油化学工业污染物排放标准》（GB31571-2015）及其修改单表6中所列有机特征污染物及其排放限值，硫化氢执行《恶臭污染物排放标准》（GB14554-93）中的标准限值；非甲烷总烃参照执行《工业企业挥发性有机物排放标准》（DB35/1782-2018）中的标准限值；气化单元煤粉尘废气中颗粒物执行《大气污染物综合排放标准》（GB16297-1996）表2中二级标准限值；硫回收制液硫装置尾气中二氧化硫执行《石油炼制工业污染物排放标准》（GB31570-2015）中表4的酸性气回收装置特别排放限值。氮氧化物参照执行《石油炼制工业污染物排放标准》（GB31570-2015）中工艺加热炉标准。</w:t>
      </w:r>
    </w:p>
    <w:p w14:paraId="2D333747">
      <w:pPr>
        <w:rPr>
          <w:lang w:val="en-US" w:bidi="ar"/>
        </w:rPr>
      </w:pPr>
      <w:r>
        <w:rPr>
          <w:rFonts w:hint="eastAsia"/>
          <w:lang w:val="en-US" w:bidi="ar"/>
        </w:rPr>
        <w:t>该项目废水经气体装置地块内污水站处理达标后排入</w:t>
      </w:r>
      <w:r>
        <w:rPr>
          <w:rFonts w:hint="eastAsia"/>
          <w:lang w:val="en-US" w:eastAsia="zh-CN" w:bidi="ar"/>
        </w:rPr>
        <w:t>福州江阴港城经济区</w:t>
      </w:r>
      <w:r>
        <w:rPr>
          <w:rFonts w:hint="eastAsia"/>
          <w:lang w:val="en-US" w:bidi="ar"/>
        </w:rPr>
        <w:t>污水处理厂集中处理，废水排放执行《合成氨工业水污染物排放标准》（</w:t>
      </w:r>
      <w:r>
        <w:rPr>
          <w:rFonts w:hAnsi="Times New Roman"/>
          <w:lang w:val="en-US" w:bidi="ar"/>
        </w:rPr>
        <w:t>GB13458-2013</w:t>
      </w:r>
      <w:r>
        <w:rPr>
          <w:rFonts w:hint="eastAsia"/>
          <w:lang w:val="en-US" w:bidi="ar"/>
        </w:rPr>
        <w:t>）中表</w:t>
      </w:r>
      <w:r>
        <w:rPr>
          <w:rFonts w:hAnsi="Times New Roman"/>
          <w:lang w:val="en-US" w:bidi="ar"/>
        </w:rPr>
        <w:t>2</w:t>
      </w:r>
      <w:r>
        <w:rPr>
          <w:rFonts w:hint="eastAsia"/>
          <w:lang w:val="en-US" w:bidi="ar"/>
        </w:rPr>
        <w:t>的间接排放标准并满足</w:t>
      </w:r>
      <w:r>
        <w:rPr>
          <w:rFonts w:hint="eastAsia"/>
          <w:lang w:val="en-US" w:eastAsia="zh-CN" w:bidi="ar"/>
        </w:rPr>
        <w:t>福州江阴港城经济区</w:t>
      </w:r>
      <w:r>
        <w:rPr>
          <w:rFonts w:hint="eastAsia"/>
          <w:lang w:val="en-US" w:bidi="ar"/>
        </w:rPr>
        <w:t>污水处理厂进水水质要求。</w:t>
      </w:r>
    </w:p>
    <w:p w14:paraId="6401471D">
      <w:pPr>
        <w:pStyle w:val="5"/>
        <w:ind w:firstLine="480"/>
        <w:rPr>
          <w:rFonts w:hint="eastAsia"/>
          <w:color w:val="auto"/>
          <w:highlight w:val="none"/>
          <w:u w:val="none"/>
        </w:rPr>
      </w:pPr>
      <w:r>
        <w:rPr>
          <w:rFonts w:hint="eastAsia"/>
          <w:lang w:val="en-US"/>
        </w:rPr>
        <w:t>2023年该项目对</w:t>
      </w:r>
      <w:r>
        <w:rPr>
          <w:lang w:val="en-US"/>
        </w:rPr>
        <w:t>气化单元</w:t>
      </w:r>
      <w:r>
        <w:rPr>
          <w:rFonts w:hint="eastAsia"/>
          <w:lang w:val="en-US"/>
        </w:rPr>
        <w:t>进行技改，</w:t>
      </w:r>
      <w:r>
        <w:rPr>
          <w:rFonts w:hint="eastAsia"/>
        </w:rPr>
        <w:t>综合利用万华福建公司各</w:t>
      </w:r>
      <w:r>
        <w:rPr>
          <w:rFonts w:hint="eastAsia"/>
          <w:lang w:val="en-US"/>
        </w:rPr>
        <w:t>项目区</w:t>
      </w:r>
      <w:r>
        <w:rPr>
          <w:rFonts w:hint="eastAsia"/>
        </w:rPr>
        <w:t>的部分废物作为气化原料，在水煤浆作为气化原料的基础上，在磨煤和制浆的过程加入如下物质：</w:t>
      </w:r>
      <w:r>
        <w:rPr>
          <w:rFonts w:hint="eastAsia" w:hAnsi="Times New Roman"/>
          <w:lang w:val="en-US"/>
        </w:rPr>
        <w:t>①</w:t>
      </w:r>
      <w:r>
        <w:rPr>
          <w:lang w:val="en-US"/>
        </w:rPr>
        <w:t>25</w:t>
      </w:r>
      <w:r>
        <w:rPr>
          <w:rFonts w:hint="eastAsia"/>
          <w:lang w:val="en-US"/>
        </w:rPr>
        <w:t>万吨</w:t>
      </w:r>
      <w:r>
        <w:rPr>
          <w:lang w:val="en-US"/>
        </w:rPr>
        <w:t>/年TDI项目</w:t>
      </w:r>
      <w:r>
        <w:rPr>
          <w:rFonts w:hint="eastAsia"/>
          <w:lang w:val="en-US"/>
        </w:rPr>
        <w:t>中</w:t>
      </w:r>
      <w:r>
        <w:rPr>
          <w:lang w:val="en-US"/>
        </w:rPr>
        <w:t>TDI焦油、TDI红水</w:t>
      </w:r>
      <w:r>
        <w:rPr>
          <w:rFonts w:hint="eastAsia"/>
          <w:lang w:val="en-US"/>
        </w:rPr>
        <w:t>；</w:t>
      </w:r>
      <w:r>
        <w:rPr>
          <w:rFonts w:hint="eastAsia" w:hAnsi="Times New Roman"/>
          <w:lang w:val="en-US"/>
        </w:rPr>
        <w:t>②年</w:t>
      </w:r>
      <w:r>
        <w:rPr>
          <w:rFonts w:hint="eastAsia"/>
          <w:lang w:val="en-US"/>
        </w:rPr>
        <w:t>产</w:t>
      </w:r>
      <w:r>
        <w:rPr>
          <w:lang w:val="en-US"/>
        </w:rPr>
        <w:t>108万吨苯胺项目</w:t>
      </w:r>
      <w:r>
        <w:rPr>
          <w:rFonts w:hint="eastAsia"/>
          <w:lang w:val="en-US"/>
        </w:rPr>
        <w:t>硝苯装置氨洗废水；</w:t>
      </w:r>
      <w:r>
        <w:rPr>
          <w:rFonts w:hint="eastAsia"/>
        </w:rPr>
        <w:t>③后期规划建设的甲醇项目的异丁基油、甲醇烷烃油。技改后整体项目的产品和产能不变，每年减少使用原料煤和煤浆添加剂，</w:t>
      </w:r>
      <w:r>
        <w:rPr>
          <w:rFonts w:hint="eastAsia"/>
          <w:lang w:val="en-US"/>
        </w:rPr>
        <w:t>该</w:t>
      </w:r>
      <w:r>
        <w:rPr>
          <w:rFonts w:hint="eastAsia"/>
        </w:rPr>
        <w:t>技改项目环评于2</w:t>
      </w:r>
      <w:r>
        <w:t>023</w:t>
      </w:r>
      <w:r>
        <w:rPr>
          <w:rFonts w:hint="eastAsia"/>
        </w:rPr>
        <w:t>年6月</w:t>
      </w:r>
      <w:r>
        <w:rPr>
          <w:rFonts w:hint="eastAsia"/>
          <w:lang w:val="en-US"/>
        </w:rPr>
        <w:t>6日取得</w:t>
      </w:r>
      <w:r>
        <w:rPr>
          <w:rFonts w:hint="eastAsia"/>
        </w:rPr>
        <w:t>福清市生态环境局批复（见附件</w:t>
      </w:r>
      <w:r>
        <w:rPr>
          <w:rFonts w:hint="eastAsia"/>
          <w:lang w:val="en-US"/>
        </w:rPr>
        <w:t>20</w:t>
      </w:r>
      <w:r>
        <w:rPr>
          <w:rFonts w:hint="eastAsia"/>
        </w:rPr>
        <w:t>），</w:t>
      </w:r>
      <w:r>
        <w:rPr>
          <w:rFonts w:hint="eastAsia"/>
          <w:lang w:val="en-US"/>
        </w:rPr>
        <w:t>目前</w:t>
      </w:r>
      <w:r>
        <w:rPr>
          <w:rFonts w:hint="eastAsia"/>
        </w:rPr>
        <w:t>气化单元技改工程正在建设中</w:t>
      </w:r>
      <w:r>
        <w:rPr>
          <w:rFonts w:hint="eastAsia"/>
          <w:color w:val="auto"/>
          <w:highlight w:val="none"/>
          <w:u w:val="none"/>
        </w:rPr>
        <w:t>。</w:t>
      </w:r>
    </w:p>
    <w:p w14:paraId="20121E92">
      <w:pPr>
        <w:rPr>
          <w:rFonts w:hint="eastAsia"/>
          <w:color w:val="auto"/>
          <w:highlight w:val="none"/>
          <w:u w:val="none"/>
        </w:rPr>
      </w:pPr>
      <w:r>
        <w:rPr>
          <w:rFonts w:hint="eastAsia"/>
          <w:color w:val="auto"/>
          <w:highlight w:val="none"/>
          <w:u w:val="none"/>
          <w:lang w:val="en-US"/>
        </w:rPr>
        <w:t>气体装置地块现有工程</w:t>
      </w:r>
      <w:r>
        <w:rPr>
          <w:color w:val="auto"/>
          <w:highlight w:val="none"/>
          <w:u w:val="none"/>
        </w:rPr>
        <w:t>污染物排放量汇总见</w:t>
      </w:r>
      <w:r>
        <w:rPr>
          <w:color w:val="auto"/>
          <w:highlight w:val="none"/>
          <w:u w:val="none"/>
        </w:rPr>
        <w:fldChar w:fldCharType="begin"/>
      </w:r>
      <w:r>
        <w:rPr>
          <w:color w:val="auto"/>
          <w:highlight w:val="none"/>
          <w:u w:val="none"/>
        </w:rPr>
        <w:instrText xml:space="preserve"> REF _Ref153899822 \h  \* MERGEFORMAT </w:instrText>
      </w:r>
      <w:r>
        <w:rPr>
          <w:color w:val="auto"/>
          <w:highlight w:val="none"/>
          <w:u w:val="none"/>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3.8</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722B8441">
      <w:pPr>
        <w:pStyle w:val="1010"/>
        <w:rPr>
          <w:color w:val="auto"/>
          <w:highlight w:val="none"/>
          <w:u w:val="none"/>
        </w:rPr>
      </w:pPr>
      <w:bookmarkStart w:id="209" w:name="_Ref23489"/>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表格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209"/>
      <w:r>
        <w:rPr>
          <w:color w:val="auto"/>
          <w:highlight w:val="none"/>
          <w:u w:val="none"/>
        </w:rPr>
        <w:t xml:space="preserve">  </w:t>
      </w:r>
      <w:r>
        <w:rPr>
          <w:rFonts w:hint="eastAsia"/>
          <w:color w:val="auto"/>
          <w:highlight w:val="none"/>
          <w:u w:val="none"/>
        </w:rPr>
        <w:t>现有气体装置地块煤气化项目污染物排放统计汇总</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autofit"/>
        <w:tblCellMar>
          <w:top w:w="0" w:type="dxa"/>
          <w:left w:w="108" w:type="dxa"/>
          <w:bottom w:w="0" w:type="dxa"/>
          <w:right w:w="108" w:type="dxa"/>
        </w:tblCellMar>
      </w:tblPr>
      <w:tblGrid>
        <w:gridCol w:w="1281"/>
        <w:gridCol w:w="71"/>
        <w:gridCol w:w="1252"/>
        <w:gridCol w:w="271"/>
        <w:gridCol w:w="1317"/>
        <w:gridCol w:w="1181"/>
        <w:gridCol w:w="2026"/>
        <w:gridCol w:w="132"/>
        <w:gridCol w:w="1755"/>
      </w:tblGrid>
      <w:tr w14:paraId="0FA8F84E">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5000" w:type="pct"/>
            <w:gridSpan w:val="9"/>
            <w:tcBorders>
              <w:tl2br w:val="nil"/>
              <w:tr2bl w:val="nil"/>
            </w:tcBorders>
            <w:vAlign w:val="center"/>
          </w:tcPr>
          <w:p w14:paraId="0A7D9AD1">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一、</w:t>
            </w:r>
            <w:r>
              <w:rPr>
                <w:color w:val="auto"/>
                <w:sz w:val="21"/>
                <w:szCs w:val="21"/>
                <w:highlight w:val="none"/>
                <w:u w:val="none"/>
              </w:rPr>
              <w:t>废气</w:t>
            </w:r>
          </w:p>
        </w:tc>
      </w:tr>
      <w:tr w14:paraId="7917802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433" w:hRule="atLeast"/>
          <w:jc w:val="center"/>
        </w:trPr>
        <w:tc>
          <w:tcPr>
            <w:tcW w:w="690" w:type="pct"/>
            <w:tcBorders>
              <w:tl2br w:val="nil"/>
              <w:tr2bl w:val="nil"/>
            </w:tcBorders>
            <w:vAlign w:val="center"/>
          </w:tcPr>
          <w:p w14:paraId="604A7A8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858" w:type="pct"/>
            <w:gridSpan w:val="3"/>
            <w:tcBorders>
              <w:tl2br w:val="nil"/>
              <w:tr2bl w:val="nil"/>
            </w:tcBorders>
            <w:vAlign w:val="center"/>
          </w:tcPr>
          <w:p w14:paraId="244BCE6F">
            <w:pPr>
              <w:tabs>
                <w:tab w:val="left" w:pos="0"/>
              </w:tabs>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实际排放量</w:t>
            </w:r>
            <w:r>
              <w:rPr>
                <w:rFonts w:hint="eastAsia"/>
                <w:color w:val="auto"/>
                <w:sz w:val="21"/>
                <w:szCs w:val="21"/>
                <w:highlight w:val="none"/>
                <w:u w:val="none"/>
                <w:vertAlign w:val="superscript"/>
                <w:lang w:val="en-US"/>
              </w:rPr>
              <w:t>（1）</w:t>
            </w:r>
          </w:p>
          <w:p w14:paraId="0B3B4B0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c>
          <w:tcPr>
            <w:tcW w:w="1345" w:type="pct"/>
            <w:gridSpan w:val="2"/>
            <w:tcBorders>
              <w:tl2br w:val="nil"/>
              <w:tr2bl w:val="nil"/>
            </w:tcBorders>
            <w:vAlign w:val="center"/>
          </w:tcPr>
          <w:p w14:paraId="7CBAD336">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环评及批复要求</w:t>
            </w:r>
          </w:p>
          <w:p w14:paraId="2645C63D">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控制排放量t/a</w:t>
            </w:r>
          </w:p>
        </w:tc>
        <w:tc>
          <w:tcPr>
            <w:tcW w:w="1162" w:type="pct"/>
            <w:gridSpan w:val="2"/>
            <w:tcBorders>
              <w:tl2br w:val="nil"/>
              <w:tr2bl w:val="nil"/>
            </w:tcBorders>
            <w:vAlign w:val="center"/>
          </w:tcPr>
          <w:p w14:paraId="5DD2E34E">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排污许可证中</w:t>
            </w:r>
          </w:p>
          <w:p w14:paraId="7E671CA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允许排放总量t/a</w:t>
            </w:r>
          </w:p>
        </w:tc>
        <w:tc>
          <w:tcPr>
            <w:tcW w:w="945" w:type="pct"/>
            <w:tcBorders>
              <w:tl2br w:val="nil"/>
              <w:tr2bl w:val="nil"/>
            </w:tcBorders>
            <w:vAlign w:val="center"/>
          </w:tcPr>
          <w:p w14:paraId="54C3DD8E">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从严得气体装置地块许可排放量t/a</w:t>
            </w:r>
          </w:p>
        </w:tc>
      </w:tr>
      <w:tr w14:paraId="19B7A9A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159C43C5">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颗粒物</w:t>
            </w:r>
          </w:p>
        </w:tc>
        <w:tc>
          <w:tcPr>
            <w:tcW w:w="858" w:type="pct"/>
            <w:gridSpan w:val="3"/>
            <w:tcBorders>
              <w:tl2br w:val="nil"/>
              <w:tr2bl w:val="nil"/>
            </w:tcBorders>
            <w:vAlign w:val="center"/>
          </w:tcPr>
          <w:p w14:paraId="26E089C0">
            <w:pPr>
              <w:tabs>
                <w:tab w:val="left" w:pos="0"/>
              </w:tabs>
              <w:rPr>
                <w:rFonts w:hint="eastAsia"/>
                <w:color w:val="auto"/>
                <w:highlight w:val="none"/>
                <w:u w:val="none"/>
              </w:rPr>
            </w:pPr>
            <w:r>
              <w:rPr>
                <w:color w:val="auto"/>
                <w:highlight w:val="none"/>
                <w:u w:val="none"/>
              </w:rPr>
              <w:t>15.8</w:t>
            </w:r>
          </w:p>
        </w:tc>
        <w:tc>
          <w:tcPr>
            <w:tcW w:w="1345" w:type="pct"/>
            <w:gridSpan w:val="2"/>
            <w:tcBorders>
              <w:tl2br w:val="nil"/>
              <w:tr2bl w:val="nil"/>
            </w:tcBorders>
            <w:vAlign w:val="center"/>
          </w:tcPr>
          <w:p w14:paraId="0F11528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28.88</w:t>
            </w:r>
          </w:p>
        </w:tc>
        <w:tc>
          <w:tcPr>
            <w:tcW w:w="1162" w:type="pct"/>
            <w:gridSpan w:val="2"/>
            <w:tcBorders>
              <w:tl2br w:val="nil"/>
              <w:tr2bl w:val="nil"/>
            </w:tcBorders>
            <w:vAlign w:val="center"/>
          </w:tcPr>
          <w:p w14:paraId="269805B2">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945" w:type="pct"/>
            <w:tcBorders>
              <w:tl2br w:val="nil"/>
              <w:tr2bl w:val="nil"/>
            </w:tcBorders>
            <w:vAlign w:val="center"/>
          </w:tcPr>
          <w:p w14:paraId="311F52C9">
            <w:pPr>
              <w:tabs>
                <w:tab w:val="left" w:pos="0"/>
              </w:tabs>
              <w:rPr>
                <w:rFonts w:hint="eastAsia"/>
                <w:color w:val="auto"/>
                <w:highlight w:val="none"/>
                <w:u w:val="none"/>
              </w:rPr>
            </w:pPr>
            <w:r>
              <w:rPr>
                <w:color w:val="auto"/>
                <w:highlight w:val="none"/>
                <w:u w:val="none"/>
              </w:rPr>
              <w:t>28.88</w:t>
            </w:r>
          </w:p>
        </w:tc>
      </w:tr>
      <w:tr w14:paraId="7E2A7BB3">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5F56F0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硫化氢</w:t>
            </w:r>
          </w:p>
        </w:tc>
        <w:tc>
          <w:tcPr>
            <w:tcW w:w="858" w:type="pct"/>
            <w:gridSpan w:val="3"/>
            <w:tcBorders>
              <w:tl2br w:val="nil"/>
              <w:tr2bl w:val="nil"/>
            </w:tcBorders>
            <w:vAlign w:val="center"/>
          </w:tcPr>
          <w:p w14:paraId="23B1FC59">
            <w:pPr>
              <w:tabs>
                <w:tab w:val="left" w:pos="0"/>
              </w:tabs>
              <w:rPr>
                <w:rFonts w:hint="eastAsia"/>
                <w:color w:val="auto"/>
                <w:highlight w:val="none"/>
                <w:u w:val="none"/>
              </w:rPr>
            </w:pPr>
            <w:r>
              <w:rPr>
                <w:color w:val="auto"/>
                <w:highlight w:val="none"/>
                <w:u w:val="none"/>
              </w:rPr>
              <w:t>2.9584</w:t>
            </w:r>
          </w:p>
        </w:tc>
        <w:tc>
          <w:tcPr>
            <w:tcW w:w="1345" w:type="pct"/>
            <w:gridSpan w:val="2"/>
            <w:tcBorders>
              <w:tl2br w:val="nil"/>
              <w:tr2bl w:val="nil"/>
            </w:tcBorders>
            <w:vAlign w:val="center"/>
          </w:tcPr>
          <w:p w14:paraId="7E2AA5C4">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7.04</w:t>
            </w:r>
          </w:p>
        </w:tc>
        <w:tc>
          <w:tcPr>
            <w:tcW w:w="1162" w:type="pct"/>
            <w:gridSpan w:val="2"/>
            <w:tcBorders>
              <w:tl2br w:val="nil"/>
              <w:tr2bl w:val="nil"/>
            </w:tcBorders>
            <w:vAlign w:val="center"/>
          </w:tcPr>
          <w:p w14:paraId="45263C5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945" w:type="pct"/>
            <w:tcBorders>
              <w:tl2br w:val="nil"/>
              <w:tr2bl w:val="nil"/>
            </w:tcBorders>
            <w:vAlign w:val="center"/>
          </w:tcPr>
          <w:p w14:paraId="66E51A2F">
            <w:pPr>
              <w:tabs>
                <w:tab w:val="left" w:pos="0"/>
              </w:tabs>
              <w:rPr>
                <w:rFonts w:hint="eastAsia"/>
                <w:color w:val="auto"/>
                <w:highlight w:val="none"/>
                <w:u w:val="none"/>
              </w:rPr>
            </w:pPr>
            <w:r>
              <w:rPr>
                <w:color w:val="auto"/>
                <w:highlight w:val="none"/>
                <w:u w:val="none"/>
              </w:rPr>
              <w:t>7.04</w:t>
            </w:r>
          </w:p>
        </w:tc>
      </w:tr>
      <w:tr w14:paraId="1B93084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ED8812E">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甲醇</w:t>
            </w:r>
          </w:p>
        </w:tc>
        <w:tc>
          <w:tcPr>
            <w:tcW w:w="858" w:type="pct"/>
            <w:gridSpan w:val="3"/>
            <w:tcBorders>
              <w:tl2br w:val="nil"/>
              <w:tr2bl w:val="nil"/>
            </w:tcBorders>
            <w:vAlign w:val="center"/>
          </w:tcPr>
          <w:p w14:paraId="12E0A4FE">
            <w:pPr>
              <w:tabs>
                <w:tab w:val="left" w:pos="0"/>
              </w:tabs>
              <w:rPr>
                <w:rFonts w:hint="eastAsia"/>
                <w:color w:val="auto"/>
                <w:highlight w:val="none"/>
                <w:u w:val="none"/>
              </w:rPr>
            </w:pPr>
            <w:r>
              <w:rPr>
                <w:color w:val="auto"/>
                <w:highlight w:val="none"/>
                <w:u w:val="none"/>
              </w:rPr>
              <w:t>33.6</w:t>
            </w:r>
          </w:p>
        </w:tc>
        <w:tc>
          <w:tcPr>
            <w:tcW w:w="1345" w:type="pct"/>
            <w:gridSpan w:val="2"/>
            <w:tcBorders>
              <w:tl2br w:val="nil"/>
              <w:tr2bl w:val="nil"/>
            </w:tcBorders>
            <w:vAlign w:val="center"/>
          </w:tcPr>
          <w:p w14:paraId="4F26719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41.352</w:t>
            </w:r>
          </w:p>
        </w:tc>
        <w:tc>
          <w:tcPr>
            <w:tcW w:w="1162" w:type="pct"/>
            <w:gridSpan w:val="2"/>
            <w:tcBorders>
              <w:tl2br w:val="nil"/>
              <w:tr2bl w:val="nil"/>
            </w:tcBorders>
            <w:vAlign w:val="center"/>
          </w:tcPr>
          <w:p w14:paraId="10E0E5CF">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945" w:type="pct"/>
            <w:tcBorders>
              <w:tl2br w:val="nil"/>
              <w:tr2bl w:val="nil"/>
            </w:tcBorders>
            <w:vAlign w:val="center"/>
          </w:tcPr>
          <w:p w14:paraId="1EDCE6E8">
            <w:pPr>
              <w:tabs>
                <w:tab w:val="left" w:pos="0"/>
              </w:tabs>
              <w:rPr>
                <w:rFonts w:hint="eastAsia"/>
                <w:color w:val="auto"/>
                <w:highlight w:val="none"/>
                <w:u w:val="none"/>
              </w:rPr>
            </w:pPr>
            <w:r>
              <w:rPr>
                <w:color w:val="auto"/>
                <w:highlight w:val="none"/>
                <w:u w:val="none"/>
              </w:rPr>
              <w:t>41.352</w:t>
            </w:r>
          </w:p>
        </w:tc>
      </w:tr>
      <w:tr w14:paraId="43B40DB8">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72B270C0">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二氧化硫</w:t>
            </w:r>
          </w:p>
        </w:tc>
        <w:tc>
          <w:tcPr>
            <w:tcW w:w="858" w:type="pct"/>
            <w:gridSpan w:val="3"/>
            <w:tcBorders>
              <w:tl2br w:val="nil"/>
              <w:tr2bl w:val="nil"/>
            </w:tcBorders>
            <w:vAlign w:val="center"/>
          </w:tcPr>
          <w:p w14:paraId="429C5C7A">
            <w:pPr>
              <w:tabs>
                <w:tab w:val="left" w:pos="0"/>
              </w:tabs>
              <w:rPr>
                <w:rFonts w:hint="eastAsia"/>
                <w:color w:val="auto"/>
                <w:highlight w:val="none"/>
                <w:u w:val="none"/>
              </w:rPr>
            </w:pPr>
            <w:r>
              <w:rPr>
                <w:color w:val="auto"/>
                <w:highlight w:val="none"/>
                <w:u w:val="none"/>
              </w:rPr>
              <w:t>0.776</w:t>
            </w:r>
          </w:p>
        </w:tc>
        <w:tc>
          <w:tcPr>
            <w:tcW w:w="1345" w:type="pct"/>
            <w:gridSpan w:val="2"/>
            <w:tcBorders>
              <w:tl2br w:val="nil"/>
              <w:tr2bl w:val="nil"/>
            </w:tcBorders>
            <w:vAlign w:val="center"/>
          </w:tcPr>
          <w:p w14:paraId="03948F5D">
            <w:pPr>
              <w:tabs>
                <w:tab w:val="left" w:pos="0"/>
              </w:tabs>
              <w:rPr>
                <w:rFonts w:hint="eastAsia"/>
                <w:color w:val="auto"/>
                <w:highlight w:val="none"/>
                <w:u w:val="none"/>
              </w:rPr>
            </w:pPr>
            <w:r>
              <w:rPr>
                <w:color w:val="auto"/>
                <w:highlight w:val="none"/>
                <w:u w:val="none"/>
              </w:rPr>
              <w:t>16.56</w:t>
            </w:r>
          </w:p>
        </w:tc>
        <w:tc>
          <w:tcPr>
            <w:tcW w:w="1162" w:type="pct"/>
            <w:gridSpan w:val="2"/>
            <w:tcBorders>
              <w:tl2br w:val="nil"/>
              <w:tr2bl w:val="nil"/>
            </w:tcBorders>
            <w:vAlign w:val="center"/>
          </w:tcPr>
          <w:p w14:paraId="754C8A7F">
            <w:pPr>
              <w:tabs>
                <w:tab w:val="left" w:pos="0"/>
              </w:tabs>
              <w:rPr>
                <w:rFonts w:hint="eastAsia"/>
                <w:color w:val="auto"/>
                <w:highlight w:val="none"/>
                <w:u w:val="none"/>
              </w:rPr>
            </w:pPr>
            <w:r>
              <w:rPr>
                <w:color w:val="auto"/>
                <w:highlight w:val="none"/>
                <w:u w:val="none"/>
              </w:rPr>
              <w:t>7.7056</w:t>
            </w:r>
          </w:p>
        </w:tc>
        <w:tc>
          <w:tcPr>
            <w:tcW w:w="945" w:type="pct"/>
            <w:tcBorders>
              <w:tl2br w:val="nil"/>
              <w:tr2bl w:val="nil"/>
            </w:tcBorders>
            <w:vAlign w:val="center"/>
          </w:tcPr>
          <w:p w14:paraId="146A0E52">
            <w:pPr>
              <w:tabs>
                <w:tab w:val="left" w:pos="0"/>
              </w:tabs>
              <w:rPr>
                <w:rFonts w:hint="eastAsia"/>
                <w:color w:val="auto"/>
                <w:highlight w:val="none"/>
                <w:u w:val="none"/>
              </w:rPr>
            </w:pPr>
            <w:r>
              <w:rPr>
                <w:color w:val="auto"/>
                <w:highlight w:val="none"/>
                <w:u w:val="none"/>
              </w:rPr>
              <w:t>7.7056</w:t>
            </w:r>
          </w:p>
        </w:tc>
      </w:tr>
      <w:tr w14:paraId="39B6AE6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6D7F32F1">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氮氧化物</w:t>
            </w:r>
          </w:p>
        </w:tc>
        <w:tc>
          <w:tcPr>
            <w:tcW w:w="858" w:type="pct"/>
            <w:gridSpan w:val="3"/>
            <w:tcBorders>
              <w:tl2br w:val="nil"/>
              <w:tr2bl w:val="nil"/>
            </w:tcBorders>
            <w:vAlign w:val="center"/>
          </w:tcPr>
          <w:p w14:paraId="43D2455B">
            <w:pPr>
              <w:tabs>
                <w:tab w:val="left" w:pos="0"/>
              </w:tabs>
              <w:rPr>
                <w:rFonts w:hint="eastAsia"/>
                <w:color w:val="auto"/>
                <w:highlight w:val="none"/>
                <w:u w:val="none"/>
              </w:rPr>
            </w:pPr>
            <w:r>
              <w:rPr>
                <w:color w:val="auto"/>
                <w:highlight w:val="none"/>
                <w:u w:val="none"/>
              </w:rPr>
              <w:t>0.368</w:t>
            </w:r>
          </w:p>
        </w:tc>
        <w:tc>
          <w:tcPr>
            <w:tcW w:w="1345" w:type="pct"/>
            <w:gridSpan w:val="2"/>
            <w:tcBorders>
              <w:tl2br w:val="nil"/>
              <w:tr2bl w:val="nil"/>
            </w:tcBorders>
            <w:vAlign w:val="center"/>
          </w:tcPr>
          <w:p w14:paraId="74BB8CFF">
            <w:pPr>
              <w:tabs>
                <w:tab w:val="left" w:pos="0"/>
              </w:tabs>
              <w:rPr>
                <w:rFonts w:hint="eastAsia"/>
                <w:color w:val="auto"/>
                <w:highlight w:val="none"/>
                <w:u w:val="none"/>
              </w:rPr>
            </w:pPr>
            <w:r>
              <w:rPr>
                <w:color w:val="auto"/>
                <w:highlight w:val="none"/>
                <w:u w:val="none"/>
              </w:rPr>
              <w:t>16.56</w:t>
            </w:r>
          </w:p>
        </w:tc>
        <w:tc>
          <w:tcPr>
            <w:tcW w:w="1162" w:type="pct"/>
            <w:gridSpan w:val="2"/>
            <w:tcBorders>
              <w:tl2br w:val="nil"/>
              <w:tr2bl w:val="nil"/>
            </w:tcBorders>
            <w:vAlign w:val="center"/>
          </w:tcPr>
          <w:p w14:paraId="5A1D03C7">
            <w:pPr>
              <w:tabs>
                <w:tab w:val="left" w:pos="0"/>
              </w:tabs>
              <w:rPr>
                <w:rFonts w:hint="eastAsia"/>
                <w:color w:val="auto"/>
                <w:highlight w:val="none"/>
                <w:u w:val="none"/>
              </w:rPr>
            </w:pPr>
            <w:r>
              <w:rPr>
                <w:color w:val="auto"/>
                <w:highlight w:val="none"/>
                <w:u w:val="none"/>
              </w:rPr>
              <w:t>7.7056</w:t>
            </w:r>
            <w:r>
              <w:rPr>
                <w:rFonts w:hint="eastAsia"/>
                <w:color w:val="auto"/>
                <w:highlight w:val="none"/>
                <w:u w:val="none"/>
                <w:vertAlign w:val="superscript"/>
              </w:rPr>
              <w:t>（</w:t>
            </w:r>
            <w:r>
              <w:rPr>
                <w:rFonts w:hint="eastAsia"/>
                <w:color w:val="auto"/>
                <w:highlight w:val="none"/>
                <w:u w:val="none"/>
                <w:vertAlign w:val="superscript"/>
                <w:lang w:val="en-US"/>
              </w:rPr>
              <w:t>2</w:t>
            </w:r>
            <w:r>
              <w:rPr>
                <w:rFonts w:hint="eastAsia"/>
                <w:color w:val="auto"/>
                <w:highlight w:val="none"/>
                <w:u w:val="none"/>
                <w:vertAlign w:val="superscript"/>
              </w:rPr>
              <w:t>）</w:t>
            </w:r>
          </w:p>
        </w:tc>
        <w:tc>
          <w:tcPr>
            <w:tcW w:w="945" w:type="pct"/>
            <w:tcBorders>
              <w:tl2br w:val="nil"/>
              <w:tr2bl w:val="nil"/>
            </w:tcBorders>
            <w:vAlign w:val="center"/>
          </w:tcPr>
          <w:p w14:paraId="2626CDEC">
            <w:pPr>
              <w:tabs>
                <w:tab w:val="left" w:pos="0"/>
              </w:tabs>
              <w:rPr>
                <w:rFonts w:hint="eastAsia"/>
                <w:color w:val="auto"/>
                <w:highlight w:val="none"/>
                <w:u w:val="none"/>
              </w:rPr>
            </w:pPr>
            <w:r>
              <w:rPr>
                <w:color w:val="auto"/>
                <w:highlight w:val="none"/>
                <w:u w:val="none"/>
              </w:rPr>
              <w:t>7.7056</w:t>
            </w:r>
          </w:p>
        </w:tc>
      </w:tr>
      <w:tr w14:paraId="2D26F220">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304D6CD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w:t>
            </w:r>
          </w:p>
        </w:tc>
        <w:tc>
          <w:tcPr>
            <w:tcW w:w="858" w:type="pct"/>
            <w:gridSpan w:val="3"/>
            <w:tcBorders>
              <w:tl2br w:val="nil"/>
              <w:tr2bl w:val="nil"/>
            </w:tcBorders>
            <w:vAlign w:val="center"/>
          </w:tcPr>
          <w:p w14:paraId="2554B877">
            <w:pPr>
              <w:tabs>
                <w:tab w:val="left" w:pos="0"/>
              </w:tabs>
              <w:rPr>
                <w:rFonts w:hint="eastAsia"/>
                <w:color w:val="auto"/>
                <w:highlight w:val="none"/>
                <w:u w:val="none"/>
              </w:rPr>
            </w:pPr>
            <w:r>
              <w:rPr>
                <w:color w:val="auto"/>
                <w:highlight w:val="none"/>
                <w:u w:val="none"/>
              </w:rPr>
              <w:t>0.0368</w:t>
            </w:r>
          </w:p>
        </w:tc>
        <w:tc>
          <w:tcPr>
            <w:tcW w:w="1345" w:type="pct"/>
            <w:gridSpan w:val="2"/>
            <w:tcBorders>
              <w:tl2br w:val="nil"/>
              <w:tr2bl w:val="nil"/>
            </w:tcBorders>
            <w:vAlign w:val="center"/>
          </w:tcPr>
          <w:p w14:paraId="3E35709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24.76</w:t>
            </w:r>
          </w:p>
        </w:tc>
        <w:tc>
          <w:tcPr>
            <w:tcW w:w="1162" w:type="pct"/>
            <w:gridSpan w:val="2"/>
            <w:tcBorders>
              <w:tl2br w:val="nil"/>
              <w:tr2bl w:val="nil"/>
            </w:tcBorders>
            <w:vAlign w:val="center"/>
          </w:tcPr>
          <w:p w14:paraId="232D360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945" w:type="pct"/>
            <w:tcBorders>
              <w:tl2br w:val="nil"/>
              <w:tr2bl w:val="nil"/>
            </w:tcBorders>
            <w:vAlign w:val="center"/>
          </w:tcPr>
          <w:p w14:paraId="187DCCCF">
            <w:pPr>
              <w:tabs>
                <w:tab w:val="left" w:pos="0"/>
              </w:tabs>
              <w:rPr>
                <w:rFonts w:hint="eastAsia"/>
                <w:color w:val="auto"/>
                <w:highlight w:val="none"/>
                <w:u w:val="none"/>
              </w:rPr>
            </w:pPr>
            <w:r>
              <w:rPr>
                <w:color w:val="auto"/>
                <w:highlight w:val="none"/>
                <w:u w:val="none"/>
              </w:rPr>
              <w:t>24.76</w:t>
            </w:r>
          </w:p>
        </w:tc>
      </w:tr>
      <w:tr w14:paraId="6E2659E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A236FB2">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VOCs</w:t>
            </w:r>
          </w:p>
        </w:tc>
        <w:tc>
          <w:tcPr>
            <w:tcW w:w="858" w:type="pct"/>
            <w:gridSpan w:val="3"/>
            <w:tcBorders>
              <w:tl2br w:val="nil"/>
              <w:tr2bl w:val="nil"/>
            </w:tcBorders>
            <w:vAlign w:val="center"/>
          </w:tcPr>
          <w:p w14:paraId="4C80D0BC">
            <w:pPr>
              <w:tabs>
                <w:tab w:val="left" w:pos="0"/>
              </w:tabs>
              <w:rPr>
                <w:rFonts w:hint="eastAsia"/>
                <w:color w:val="auto"/>
                <w:highlight w:val="none"/>
                <w:u w:val="none"/>
              </w:rPr>
            </w:pPr>
            <w:r>
              <w:rPr>
                <w:color w:val="auto"/>
                <w:highlight w:val="none"/>
                <w:u w:val="none"/>
              </w:rPr>
              <w:t>34.4</w:t>
            </w:r>
          </w:p>
        </w:tc>
        <w:tc>
          <w:tcPr>
            <w:tcW w:w="1345" w:type="pct"/>
            <w:gridSpan w:val="2"/>
            <w:tcBorders>
              <w:tl2br w:val="nil"/>
              <w:tr2bl w:val="nil"/>
            </w:tcBorders>
            <w:vAlign w:val="center"/>
          </w:tcPr>
          <w:p w14:paraId="04D4AAA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41.352</w:t>
            </w:r>
          </w:p>
        </w:tc>
        <w:tc>
          <w:tcPr>
            <w:tcW w:w="1162" w:type="pct"/>
            <w:gridSpan w:val="2"/>
            <w:tcBorders>
              <w:tl2br w:val="nil"/>
              <w:tr2bl w:val="nil"/>
            </w:tcBorders>
            <w:vAlign w:val="center"/>
          </w:tcPr>
          <w:p w14:paraId="6DA42AF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945" w:type="pct"/>
            <w:tcBorders>
              <w:tl2br w:val="nil"/>
              <w:tr2bl w:val="nil"/>
            </w:tcBorders>
            <w:vAlign w:val="center"/>
          </w:tcPr>
          <w:p w14:paraId="4E109B65">
            <w:pPr>
              <w:tabs>
                <w:tab w:val="left" w:pos="0"/>
              </w:tabs>
              <w:rPr>
                <w:rFonts w:hint="eastAsia"/>
                <w:color w:val="auto"/>
                <w:highlight w:val="none"/>
                <w:u w:val="none"/>
              </w:rPr>
            </w:pPr>
            <w:r>
              <w:rPr>
                <w:color w:val="auto"/>
                <w:highlight w:val="none"/>
                <w:u w:val="none"/>
              </w:rPr>
              <w:t>41.352</w:t>
            </w:r>
          </w:p>
        </w:tc>
      </w:tr>
      <w:tr w14:paraId="4EF0ADD0">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5000" w:type="pct"/>
            <w:gridSpan w:val="9"/>
            <w:tcBorders>
              <w:tl2br w:val="nil"/>
              <w:tr2bl w:val="nil"/>
            </w:tcBorders>
            <w:vAlign w:val="center"/>
          </w:tcPr>
          <w:p w14:paraId="5054593F">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二、</w:t>
            </w:r>
            <w:r>
              <w:rPr>
                <w:color w:val="auto"/>
                <w:sz w:val="21"/>
                <w:szCs w:val="21"/>
                <w:highlight w:val="none"/>
                <w:u w:val="none"/>
              </w:rPr>
              <w:t>废水</w:t>
            </w:r>
          </w:p>
        </w:tc>
      </w:tr>
      <w:tr w14:paraId="4FFED975">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0248DBEF">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污染物</w:t>
            </w:r>
          </w:p>
        </w:tc>
        <w:tc>
          <w:tcPr>
            <w:tcW w:w="674" w:type="pct"/>
            <w:tcBorders>
              <w:tl2br w:val="nil"/>
              <w:tr2bl w:val="nil"/>
            </w:tcBorders>
            <w:vAlign w:val="center"/>
          </w:tcPr>
          <w:p w14:paraId="402A0B5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实际排放</w:t>
            </w:r>
            <w:r>
              <w:rPr>
                <w:rFonts w:hint="eastAsia"/>
                <w:color w:val="auto"/>
                <w:sz w:val="21"/>
                <w:szCs w:val="21"/>
                <w:highlight w:val="none"/>
                <w:u w:val="none"/>
                <w:lang w:val="en-US"/>
              </w:rPr>
              <w:t>*</w:t>
            </w:r>
            <w:r>
              <w:rPr>
                <w:color w:val="auto"/>
                <w:sz w:val="21"/>
                <w:szCs w:val="21"/>
                <w:highlight w:val="none"/>
                <w:u w:val="none"/>
              </w:rPr>
              <w:t>量t/a</w:t>
            </w:r>
          </w:p>
        </w:tc>
        <w:tc>
          <w:tcPr>
            <w:tcW w:w="855" w:type="pct"/>
            <w:gridSpan w:val="2"/>
            <w:tcBorders>
              <w:tl2br w:val="nil"/>
              <w:tr2bl w:val="nil"/>
            </w:tcBorders>
            <w:vAlign w:val="center"/>
          </w:tcPr>
          <w:p w14:paraId="2802905B">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环评及批复要求控制排放量t/a</w:t>
            </w:r>
          </w:p>
        </w:tc>
        <w:tc>
          <w:tcPr>
            <w:tcW w:w="635" w:type="pct"/>
            <w:tcBorders>
              <w:tl2br w:val="nil"/>
              <w:tr2bl w:val="nil"/>
            </w:tcBorders>
            <w:vAlign w:val="center"/>
          </w:tcPr>
          <w:p w14:paraId="0568CBED">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排污许可证中允许排放总量t/a</w:t>
            </w:r>
          </w:p>
        </w:tc>
        <w:tc>
          <w:tcPr>
            <w:tcW w:w="1091" w:type="pct"/>
            <w:tcBorders>
              <w:right w:val="single" w:color="000000" w:sz="8" w:space="0"/>
              <w:tl2br w:val="nil"/>
              <w:tr2bl w:val="nil"/>
            </w:tcBorders>
            <w:vAlign w:val="center"/>
          </w:tcPr>
          <w:p w14:paraId="206406E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江阴污水处理厂执行GB18918-2002表1一级A标准后许可排放量t/a</w:t>
            </w:r>
          </w:p>
        </w:tc>
        <w:tc>
          <w:tcPr>
            <w:tcW w:w="1016" w:type="pct"/>
            <w:gridSpan w:val="2"/>
            <w:tcBorders>
              <w:left w:val="single" w:color="000000" w:sz="8" w:space="0"/>
              <w:tl2br w:val="nil"/>
              <w:tr2bl w:val="nil"/>
            </w:tcBorders>
            <w:vAlign w:val="center"/>
          </w:tcPr>
          <w:p w14:paraId="3869DAE2">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从严得气体装置地块许可排放量</w:t>
            </w:r>
            <w:r>
              <w:rPr>
                <w:color w:val="auto"/>
                <w:highlight w:val="none"/>
                <w:u w:val="none"/>
              </w:rPr>
              <w:t>t/a</w:t>
            </w:r>
          </w:p>
        </w:tc>
      </w:tr>
      <w:tr w14:paraId="2AB2F97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72" w:hRule="atLeast"/>
          <w:jc w:val="center"/>
        </w:trPr>
        <w:tc>
          <w:tcPr>
            <w:tcW w:w="728" w:type="pct"/>
            <w:gridSpan w:val="2"/>
            <w:tcBorders>
              <w:tl2br w:val="nil"/>
              <w:tr2bl w:val="nil"/>
            </w:tcBorders>
            <w:vAlign w:val="center"/>
          </w:tcPr>
          <w:p w14:paraId="7EE930A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COD</w:t>
            </w:r>
          </w:p>
        </w:tc>
        <w:tc>
          <w:tcPr>
            <w:tcW w:w="674" w:type="pct"/>
            <w:tcBorders>
              <w:tl2br w:val="nil"/>
              <w:tr2bl w:val="nil"/>
            </w:tcBorders>
            <w:vAlign w:val="center"/>
          </w:tcPr>
          <w:p w14:paraId="52FD2826">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135.35</w:t>
            </w:r>
          </w:p>
        </w:tc>
        <w:tc>
          <w:tcPr>
            <w:tcW w:w="855" w:type="pct"/>
            <w:gridSpan w:val="2"/>
            <w:tcBorders>
              <w:tl2br w:val="nil"/>
              <w:tr2bl w:val="nil"/>
            </w:tcBorders>
            <w:vAlign w:val="center"/>
          </w:tcPr>
          <w:p w14:paraId="54FA28C6">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236</w:t>
            </w:r>
          </w:p>
        </w:tc>
        <w:tc>
          <w:tcPr>
            <w:tcW w:w="635" w:type="pct"/>
            <w:tcBorders>
              <w:tl2br w:val="nil"/>
              <w:tr2bl w:val="nil"/>
            </w:tcBorders>
            <w:vAlign w:val="center"/>
          </w:tcPr>
          <w:p w14:paraId="1BFB0E25">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236</w:t>
            </w:r>
          </w:p>
        </w:tc>
        <w:tc>
          <w:tcPr>
            <w:tcW w:w="1091" w:type="pct"/>
            <w:tcBorders>
              <w:right w:val="single" w:color="000000" w:sz="8" w:space="0"/>
              <w:tl2br w:val="nil"/>
              <w:tr2bl w:val="nil"/>
            </w:tcBorders>
            <w:vAlign w:val="center"/>
          </w:tcPr>
          <w:p w14:paraId="095A6F98">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118</w:t>
            </w:r>
          </w:p>
        </w:tc>
        <w:tc>
          <w:tcPr>
            <w:tcW w:w="1016" w:type="pct"/>
            <w:gridSpan w:val="2"/>
            <w:tcBorders>
              <w:left w:val="single" w:color="000000" w:sz="8" w:space="0"/>
              <w:tl2br w:val="nil"/>
              <w:tr2bl w:val="nil"/>
            </w:tcBorders>
            <w:vAlign w:val="center"/>
          </w:tcPr>
          <w:p w14:paraId="6D77DF00">
            <w:pPr>
              <w:tabs>
                <w:tab w:val="left" w:pos="0"/>
              </w:tabs>
              <w:rPr>
                <w:rFonts w:hint="eastAsia"/>
                <w:color w:val="auto"/>
                <w:highlight w:val="none"/>
                <w:u w:val="none"/>
              </w:rPr>
            </w:pPr>
            <w:r>
              <w:rPr>
                <w:color w:val="auto"/>
                <w:highlight w:val="none"/>
                <w:u w:val="none"/>
              </w:rPr>
              <w:t>118</w:t>
            </w:r>
          </w:p>
        </w:tc>
      </w:tr>
      <w:tr w14:paraId="6707BD19">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160" w:hRule="atLeast"/>
          <w:jc w:val="center"/>
        </w:trPr>
        <w:tc>
          <w:tcPr>
            <w:tcW w:w="728" w:type="pct"/>
            <w:gridSpan w:val="2"/>
            <w:tcBorders>
              <w:tl2br w:val="nil"/>
              <w:tr2bl w:val="nil"/>
            </w:tcBorders>
            <w:vAlign w:val="center"/>
          </w:tcPr>
          <w:p w14:paraId="2F19047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氨氮</w:t>
            </w:r>
          </w:p>
        </w:tc>
        <w:tc>
          <w:tcPr>
            <w:tcW w:w="674" w:type="pct"/>
            <w:tcBorders>
              <w:tl2br w:val="nil"/>
              <w:tr2bl w:val="nil"/>
            </w:tcBorders>
            <w:vAlign w:val="center"/>
          </w:tcPr>
          <w:p w14:paraId="6DCC8EC9">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13.53</w:t>
            </w:r>
          </w:p>
        </w:tc>
        <w:tc>
          <w:tcPr>
            <w:tcW w:w="855" w:type="pct"/>
            <w:gridSpan w:val="2"/>
            <w:tcBorders>
              <w:tl2br w:val="nil"/>
              <w:tr2bl w:val="nil"/>
            </w:tcBorders>
            <w:vAlign w:val="center"/>
          </w:tcPr>
          <w:p w14:paraId="5B8E9B25">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35.4</w:t>
            </w:r>
          </w:p>
        </w:tc>
        <w:tc>
          <w:tcPr>
            <w:tcW w:w="635" w:type="pct"/>
            <w:tcBorders>
              <w:tl2br w:val="nil"/>
              <w:tr2bl w:val="nil"/>
            </w:tcBorders>
            <w:vAlign w:val="center"/>
          </w:tcPr>
          <w:p w14:paraId="08E2CA76">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35.4</w:t>
            </w:r>
          </w:p>
        </w:tc>
        <w:tc>
          <w:tcPr>
            <w:tcW w:w="1091" w:type="pct"/>
            <w:tcBorders>
              <w:right w:val="single" w:color="000000" w:sz="8" w:space="0"/>
              <w:tl2br w:val="nil"/>
              <w:tr2bl w:val="nil"/>
            </w:tcBorders>
            <w:vAlign w:val="center"/>
          </w:tcPr>
          <w:p w14:paraId="7F7DD98B">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11.8</w:t>
            </w:r>
          </w:p>
        </w:tc>
        <w:tc>
          <w:tcPr>
            <w:tcW w:w="1016" w:type="pct"/>
            <w:gridSpan w:val="2"/>
            <w:tcBorders>
              <w:left w:val="single" w:color="000000" w:sz="8" w:space="0"/>
              <w:tl2br w:val="nil"/>
              <w:tr2bl w:val="nil"/>
            </w:tcBorders>
            <w:vAlign w:val="center"/>
          </w:tcPr>
          <w:p w14:paraId="1A0FB10B">
            <w:pPr>
              <w:tabs>
                <w:tab w:val="left" w:pos="0"/>
              </w:tabs>
              <w:rPr>
                <w:rFonts w:hint="eastAsia"/>
                <w:color w:val="auto"/>
                <w:highlight w:val="none"/>
                <w:u w:val="none"/>
              </w:rPr>
            </w:pPr>
            <w:r>
              <w:rPr>
                <w:color w:val="auto"/>
                <w:highlight w:val="none"/>
                <w:u w:val="none"/>
              </w:rPr>
              <w:t>11.8</w:t>
            </w:r>
          </w:p>
        </w:tc>
      </w:tr>
      <w:tr w14:paraId="53EE2B1C">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2EEE5A9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挥发酚</w:t>
            </w:r>
          </w:p>
        </w:tc>
        <w:tc>
          <w:tcPr>
            <w:tcW w:w="674" w:type="pct"/>
            <w:tcBorders>
              <w:tl2br w:val="nil"/>
              <w:tr2bl w:val="nil"/>
            </w:tcBorders>
            <w:vAlign w:val="center"/>
          </w:tcPr>
          <w:p w14:paraId="091581DD">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0.27</w:t>
            </w:r>
          </w:p>
        </w:tc>
        <w:tc>
          <w:tcPr>
            <w:tcW w:w="855" w:type="pct"/>
            <w:gridSpan w:val="2"/>
            <w:tcBorders>
              <w:tl2br w:val="nil"/>
              <w:tr2bl w:val="nil"/>
            </w:tcBorders>
            <w:vAlign w:val="center"/>
          </w:tcPr>
          <w:p w14:paraId="1923A134">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0.24</w:t>
            </w:r>
          </w:p>
        </w:tc>
        <w:tc>
          <w:tcPr>
            <w:tcW w:w="635" w:type="pct"/>
            <w:tcBorders>
              <w:tl2br w:val="nil"/>
              <w:tr2bl w:val="nil"/>
            </w:tcBorders>
            <w:vAlign w:val="center"/>
          </w:tcPr>
          <w:p w14:paraId="06EBF7E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2592DCC5">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0.24</w:t>
            </w:r>
          </w:p>
        </w:tc>
        <w:tc>
          <w:tcPr>
            <w:tcW w:w="1016" w:type="pct"/>
            <w:gridSpan w:val="2"/>
            <w:tcBorders>
              <w:left w:val="single" w:color="000000" w:sz="8" w:space="0"/>
              <w:tl2br w:val="nil"/>
              <w:tr2bl w:val="nil"/>
            </w:tcBorders>
            <w:vAlign w:val="center"/>
          </w:tcPr>
          <w:p w14:paraId="0E2C48B6">
            <w:pPr>
              <w:tabs>
                <w:tab w:val="left" w:pos="0"/>
              </w:tabs>
              <w:rPr>
                <w:rFonts w:hint="eastAsia"/>
                <w:color w:val="auto"/>
                <w:highlight w:val="none"/>
                <w:u w:val="none"/>
              </w:rPr>
            </w:pPr>
            <w:r>
              <w:rPr>
                <w:color w:val="auto"/>
                <w:highlight w:val="none"/>
                <w:u w:val="none"/>
              </w:rPr>
              <w:t>0.24</w:t>
            </w:r>
          </w:p>
        </w:tc>
      </w:tr>
      <w:tr w14:paraId="762D53C2">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72F8A57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氰化物</w:t>
            </w:r>
          </w:p>
        </w:tc>
        <w:tc>
          <w:tcPr>
            <w:tcW w:w="674" w:type="pct"/>
            <w:tcBorders>
              <w:tl2br w:val="nil"/>
              <w:tr2bl w:val="nil"/>
            </w:tcBorders>
            <w:vAlign w:val="center"/>
          </w:tcPr>
          <w:p w14:paraId="47F0AD55">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0.54</w:t>
            </w:r>
          </w:p>
        </w:tc>
        <w:tc>
          <w:tcPr>
            <w:tcW w:w="855" w:type="pct"/>
            <w:gridSpan w:val="2"/>
            <w:tcBorders>
              <w:tl2br w:val="nil"/>
              <w:tr2bl w:val="nil"/>
            </w:tcBorders>
            <w:vAlign w:val="center"/>
          </w:tcPr>
          <w:p w14:paraId="77366D51">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0.47</w:t>
            </w:r>
          </w:p>
        </w:tc>
        <w:tc>
          <w:tcPr>
            <w:tcW w:w="635" w:type="pct"/>
            <w:tcBorders>
              <w:tl2br w:val="nil"/>
              <w:tr2bl w:val="nil"/>
            </w:tcBorders>
            <w:vAlign w:val="center"/>
          </w:tcPr>
          <w:p w14:paraId="7E0CBBA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4987DFFE">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0.47</w:t>
            </w:r>
          </w:p>
        </w:tc>
        <w:tc>
          <w:tcPr>
            <w:tcW w:w="1016" w:type="pct"/>
            <w:gridSpan w:val="2"/>
            <w:tcBorders>
              <w:left w:val="single" w:color="000000" w:sz="8" w:space="0"/>
              <w:tl2br w:val="nil"/>
              <w:tr2bl w:val="nil"/>
            </w:tcBorders>
            <w:vAlign w:val="center"/>
          </w:tcPr>
          <w:p w14:paraId="7CA8E385">
            <w:pPr>
              <w:tabs>
                <w:tab w:val="left" w:pos="0"/>
              </w:tabs>
              <w:rPr>
                <w:rFonts w:hint="eastAsia"/>
                <w:color w:val="auto"/>
                <w:highlight w:val="none"/>
                <w:u w:val="none"/>
              </w:rPr>
            </w:pPr>
            <w:r>
              <w:rPr>
                <w:color w:val="auto"/>
                <w:highlight w:val="none"/>
                <w:u w:val="none"/>
              </w:rPr>
              <w:t>0.47</w:t>
            </w:r>
          </w:p>
        </w:tc>
      </w:tr>
      <w:tr w14:paraId="5E8A38D4">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43F32FCA">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悬浮物</w:t>
            </w:r>
          </w:p>
        </w:tc>
        <w:tc>
          <w:tcPr>
            <w:tcW w:w="674" w:type="pct"/>
            <w:tcBorders>
              <w:tl2br w:val="nil"/>
              <w:tr2bl w:val="nil"/>
            </w:tcBorders>
            <w:vAlign w:val="center"/>
          </w:tcPr>
          <w:p w14:paraId="637D2B07">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27.07</w:t>
            </w:r>
          </w:p>
        </w:tc>
        <w:tc>
          <w:tcPr>
            <w:tcW w:w="855" w:type="pct"/>
            <w:gridSpan w:val="2"/>
            <w:tcBorders>
              <w:tl2br w:val="nil"/>
              <w:tr2bl w:val="nil"/>
            </w:tcBorders>
            <w:vAlign w:val="center"/>
          </w:tcPr>
          <w:p w14:paraId="53E892CB">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165.2</w:t>
            </w:r>
          </w:p>
        </w:tc>
        <w:tc>
          <w:tcPr>
            <w:tcW w:w="635" w:type="pct"/>
            <w:tcBorders>
              <w:tl2br w:val="nil"/>
              <w:tr2bl w:val="nil"/>
            </w:tcBorders>
            <w:vAlign w:val="center"/>
          </w:tcPr>
          <w:p w14:paraId="1C545B20">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6B38AB3F">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23.6</w:t>
            </w:r>
          </w:p>
        </w:tc>
        <w:tc>
          <w:tcPr>
            <w:tcW w:w="1016" w:type="pct"/>
            <w:gridSpan w:val="2"/>
            <w:tcBorders>
              <w:left w:val="single" w:color="000000" w:sz="8" w:space="0"/>
              <w:tl2br w:val="nil"/>
              <w:tr2bl w:val="nil"/>
            </w:tcBorders>
            <w:vAlign w:val="center"/>
          </w:tcPr>
          <w:p w14:paraId="780E7ACE">
            <w:pPr>
              <w:tabs>
                <w:tab w:val="left" w:pos="0"/>
              </w:tabs>
              <w:rPr>
                <w:rFonts w:hint="eastAsia"/>
                <w:color w:val="auto"/>
                <w:highlight w:val="none"/>
                <w:u w:val="none"/>
              </w:rPr>
            </w:pPr>
            <w:r>
              <w:rPr>
                <w:color w:val="auto"/>
                <w:highlight w:val="none"/>
                <w:u w:val="none"/>
              </w:rPr>
              <w:t>23.6</w:t>
            </w:r>
          </w:p>
        </w:tc>
      </w:tr>
      <w:tr w14:paraId="661CF81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77B310ED">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总磷</w:t>
            </w:r>
          </w:p>
        </w:tc>
        <w:tc>
          <w:tcPr>
            <w:tcW w:w="674" w:type="pct"/>
            <w:tcBorders>
              <w:tl2br w:val="nil"/>
              <w:tr2bl w:val="nil"/>
            </w:tcBorders>
            <w:vAlign w:val="center"/>
          </w:tcPr>
          <w:p w14:paraId="2B9D543A">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1.35</w:t>
            </w:r>
          </w:p>
        </w:tc>
        <w:tc>
          <w:tcPr>
            <w:tcW w:w="855" w:type="pct"/>
            <w:gridSpan w:val="2"/>
            <w:tcBorders>
              <w:tl2br w:val="nil"/>
              <w:tr2bl w:val="nil"/>
            </w:tcBorders>
            <w:vAlign w:val="center"/>
          </w:tcPr>
          <w:p w14:paraId="4DB4FFEC">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635" w:type="pct"/>
            <w:tcBorders>
              <w:tl2br w:val="nil"/>
              <w:tr2bl w:val="nil"/>
            </w:tcBorders>
            <w:vAlign w:val="center"/>
          </w:tcPr>
          <w:p w14:paraId="33CAEC2F">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0AD38CB0">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1.18</w:t>
            </w:r>
          </w:p>
        </w:tc>
        <w:tc>
          <w:tcPr>
            <w:tcW w:w="1016" w:type="pct"/>
            <w:gridSpan w:val="2"/>
            <w:tcBorders>
              <w:left w:val="single" w:color="000000" w:sz="8" w:space="0"/>
              <w:tl2br w:val="nil"/>
              <w:tr2bl w:val="nil"/>
            </w:tcBorders>
            <w:vAlign w:val="center"/>
          </w:tcPr>
          <w:p w14:paraId="70C8E598">
            <w:pPr>
              <w:tabs>
                <w:tab w:val="left" w:pos="0"/>
              </w:tabs>
              <w:rPr>
                <w:rFonts w:hint="eastAsia"/>
                <w:color w:val="auto"/>
                <w:highlight w:val="none"/>
                <w:u w:val="none"/>
              </w:rPr>
            </w:pPr>
            <w:r>
              <w:rPr>
                <w:color w:val="auto"/>
                <w:highlight w:val="none"/>
                <w:u w:val="none"/>
              </w:rPr>
              <w:t>1.18</w:t>
            </w:r>
          </w:p>
        </w:tc>
      </w:tr>
      <w:tr w14:paraId="750EF58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00679981">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总氮</w:t>
            </w:r>
          </w:p>
        </w:tc>
        <w:tc>
          <w:tcPr>
            <w:tcW w:w="674" w:type="pct"/>
            <w:tcBorders>
              <w:tl2br w:val="nil"/>
              <w:tr2bl w:val="nil"/>
            </w:tcBorders>
            <w:vAlign w:val="center"/>
          </w:tcPr>
          <w:p w14:paraId="21788DFB">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40.60</w:t>
            </w:r>
          </w:p>
        </w:tc>
        <w:tc>
          <w:tcPr>
            <w:tcW w:w="855" w:type="pct"/>
            <w:gridSpan w:val="2"/>
            <w:tcBorders>
              <w:tl2br w:val="nil"/>
              <w:tr2bl w:val="nil"/>
            </w:tcBorders>
            <w:vAlign w:val="center"/>
          </w:tcPr>
          <w:p w14:paraId="28EB9ECB">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635" w:type="pct"/>
            <w:tcBorders>
              <w:tl2br w:val="nil"/>
              <w:tr2bl w:val="nil"/>
            </w:tcBorders>
            <w:vAlign w:val="center"/>
          </w:tcPr>
          <w:p w14:paraId="723793FB">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266.82</w:t>
            </w:r>
          </w:p>
        </w:tc>
        <w:tc>
          <w:tcPr>
            <w:tcW w:w="1091" w:type="pct"/>
            <w:tcBorders>
              <w:right w:val="single" w:color="000000" w:sz="8" w:space="0"/>
              <w:tl2br w:val="nil"/>
              <w:tr2bl w:val="nil"/>
            </w:tcBorders>
            <w:vAlign w:val="center"/>
          </w:tcPr>
          <w:p w14:paraId="5934F3E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35.4</w:t>
            </w:r>
          </w:p>
        </w:tc>
        <w:tc>
          <w:tcPr>
            <w:tcW w:w="1016" w:type="pct"/>
            <w:gridSpan w:val="2"/>
            <w:tcBorders>
              <w:left w:val="single" w:color="000000" w:sz="8" w:space="0"/>
              <w:tl2br w:val="nil"/>
              <w:tr2bl w:val="nil"/>
            </w:tcBorders>
            <w:vAlign w:val="center"/>
          </w:tcPr>
          <w:p w14:paraId="5F7DB829">
            <w:pPr>
              <w:tabs>
                <w:tab w:val="left" w:pos="0"/>
              </w:tabs>
              <w:rPr>
                <w:rFonts w:hint="eastAsia"/>
                <w:color w:val="auto"/>
                <w:highlight w:val="none"/>
                <w:u w:val="none"/>
              </w:rPr>
            </w:pPr>
            <w:r>
              <w:rPr>
                <w:color w:val="auto"/>
                <w:highlight w:val="none"/>
                <w:u w:val="none"/>
              </w:rPr>
              <w:t>35.4</w:t>
            </w:r>
          </w:p>
        </w:tc>
      </w:tr>
      <w:tr w14:paraId="4CFCB121">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59EE26D1">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硫化物</w:t>
            </w:r>
          </w:p>
        </w:tc>
        <w:tc>
          <w:tcPr>
            <w:tcW w:w="674" w:type="pct"/>
            <w:tcBorders>
              <w:tl2br w:val="nil"/>
              <w:tr2bl w:val="nil"/>
            </w:tcBorders>
            <w:vAlign w:val="center"/>
          </w:tcPr>
          <w:p w14:paraId="2053F39F">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1.35</w:t>
            </w:r>
          </w:p>
        </w:tc>
        <w:tc>
          <w:tcPr>
            <w:tcW w:w="855" w:type="pct"/>
            <w:gridSpan w:val="2"/>
            <w:tcBorders>
              <w:tl2br w:val="nil"/>
              <w:tr2bl w:val="nil"/>
            </w:tcBorders>
            <w:vAlign w:val="center"/>
          </w:tcPr>
          <w:p w14:paraId="4FB5F07B">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1.18</w:t>
            </w:r>
          </w:p>
        </w:tc>
        <w:tc>
          <w:tcPr>
            <w:tcW w:w="635" w:type="pct"/>
            <w:tcBorders>
              <w:tl2br w:val="nil"/>
              <w:tr2bl w:val="nil"/>
            </w:tcBorders>
            <w:vAlign w:val="center"/>
          </w:tcPr>
          <w:p w14:paraId="11D770B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110C8BCE">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1.18</w:t>
            </w:r>
          </w:p>
        </w:tc>
        <w:tc>
          <w:tcPr>
            <w:tcW w:w="1016" w:type="pct"/>
            <w:gridSpan w:val="2"/>
            <w:tcBorders>
              <w:left w:val="single" w:color="000000" w:sz="8" w:space="0"/>
              <w:tl2br w:val="nil"/>
              <w:tr2bl w:val="nil"/>
            </w:tcBorders>
            <w:vAlign w:val="center"/>
          </w:tcPr>
          <w:p w14:paraId="295C1775">
            <w:pPr>
              <w:tabs>
                <w:tab w:val="left" w:pos="0"/>
              </w:tabs>
              <w:rPr>
                <w:rFonts w:hint="eastAsia"/>
                <w:color w:val="auto"/>
                <w:highlight w:val="none"/>
                <w:u w:val="none"/>
              </w:rPr>
            </w:pPr>
            <w:r>
              <w:rPr>
                <w:color w:val="auto"/>
                <w:highlight w:val="none"/>
                <w:u w:val="none"/>
              </w:rPr>
              <w:t>1.18</w:t>
            </w:r>
          </w:p>
        </w:tc>
      </w:tr>
      <w:tr w14:paraId="221EC329">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728" w:type="pct"/>
            <w:gridSpan w:val="2"/>
            <w:tcBorders>
              <w:tl2br w:val="nil"/>
              <w:tr2bl w:val="nil"/>
            </w:tcBorders>
            <w:vAlign w:val="center"/>
          </w:tcPr>
          <w:p w14:paraId="15241FB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石油类</w:t>
            </w:r>
          </w:p>
        </w:tc>
        <w:tc>
          <w:tcPr>
            <w:tcW w:w="674" w:type="pct"/>
            <w:tcBorders>
              <w:tl2br w:val="nil"/>
              <w:tr2bl w:val="nil"/>
            </w:tcBorders>
            <w:vAlign w:val="center"/>
          </w:tcPr>
          <w:p w14:paraId="25E1C2CB">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2.71</w:t>
            </w:r>
          </w:p>
        </w:tc>
        <w:tc>
          <w:tcPr>
            <w:tcW w:w="855" w:type="pct"/>
            <w:gridSpan w:val="2"/>
            <w:tcBorders>
              <w:tl2br w:val="nil"/>
              <w:tr2bl w:val="nil"/>
            </w:tcBorders>
            <w:vAlign w:val="center"/>
          </w:tcPr>
          <w:p w14:paraId="60FA9D44">
            <w:pPr>
              <w:tabs>
                <w:tab w:val="left" w:pos="0"/>
              </w:tabs>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7.08</w:t>
            </w:r>
          </w:p>
        </w:tc>
        <w:tc>
          <w:tcPr>
            <w:tcW w:w="635" w:type="pct"/>
            <w:tcBorders>
              <w:tl2br w:val="nil"/>
              <w:tr2bl w:val="nil"/>
            </w:tcBorders>
            <w:vAlign w:val="center"/>
          </w:tcPr>
          <w:p w14:paraId="09702A66">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w:t>
            </w:r>
          </w:p>
        </w:tc>
        <w:tc>
          <w:tcPr>
            <w:tcW w:w="1091" w:type="pct"/>
            <w:tcBorders>
              <w:right w:val="single" w:color="000000" w:sz="8" w:space="0"/>
              <w:tl2br w:val="nil"/>
              <w:tr2bl w:val="nil"/>
            </w:tcBorders>
            <w:vAlign w:val="center"/>
          </w:tcPr>
          <w:p w14:paraId="2F1745BA">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2.36</w:t>
            </w:r>
          </w:p>
        </w:tc>
        <w:tc>
          <w:tcPr>
            <w:tcW w:w="1016" w:type="pct"/>
            <w:gridSpan w:val="2"/>
            <w:tcBorders>
              <w:left w:val="single" w:color="000000" w:sz="8" w:space="0"/>
              <w:tl2br w:val="nil"/>
              <w:tr2bl w:val="nil"/>
            </w:tcBorders>
            <w:vAlign w:val="center"/>
          </w:tcPr>
          <w:p w14:paraId="2ADAACAA">
            <w:pPr>
              <w:tabs>
                <w:tab w:val="left" w:pos="0"/>
              </w:tabs>
              <w:rPr>
                <w:rFonts w:hint="eastAsia"/>
                <w:color w:val="auto"/>
                <w:highlight w:val="none"/>
                <w:u w:val="none"/>
              </w:rPr>
            </w:pPr>
            <w:r>
              <w:rPr>
                <w:color w:val="auto"/>
                <w:highlight w:val="none"/>
                <w:u w:val="none"/>
              </w:rPr>
              <w:t>2.36</w:t>
            </w:r>
          </w:p>
        </w:tc>
      </w:tr>
    </w:tbl>
    <w:p w14:paraId="3695CFEE">
      <w:pPr>
        <w:pStyle w:val="5"/>
        <w:ind w:firstLine="482"/>
        <w:rPr>
          <w:rFonts w:hint="eastAsia"/>
          <w:color w:val="auto"/>
          <w:highlight w:val="none"/>
          <w:u w:val="none"/>
        </w:rPr>
      </w:pPr>
      <w:r>
        <w:rPr>
          <w:rFonts w:hint="eastAsia"/>
          <w:b/>
          <w:bCs/>
          <w:color w:val="auto"/>
          <w:highlight w:val="none"/>
          <w:u w:val="none"/>
        </w:rPr>
        <w:t>（2）气体装置地块拟建工程</w:t>
      </w:r>
    </w:p>
    <w:p w14:paraId="2C56B25B">
      <w:pPr>
        <w:pStyle w:val="981"/>
        <w:rPr>
          <w:rFonts w:hint="eastAsia"/>
          <w:color w:val="auto"/>
          <w:highlight w:val="none"/>
          <w:u w:val="none"/>
          <w:lang w:val="en-US"/>
        </w:rPr>
      </w:pPr>
      <w:r>
        <w:rPr>
          <w:rFonts w:hint="eastAsia"/>
          <w:lang w:val="en-US"/>
        </w:rPr>
        <w:t>万华福建公司拟在</w:t>
      </w:r>
      <w:r>
        <w:rPr>
          <w:rFonts w:hint="eastAsia"/>
        </w:rPr>
        <w:t>现有气体装置地块内对现有三台气化系统进行改造，并新增2套气化炉及配套装置，改建后合成气总产能提升330000 Nm</w:t>
      </w:r>
      <w:r>
        <w:rPr>
          <w:rFonts w:hint="eastAsia"/>
          <w:vertAlign w:val="superscript"/>
        </w:rPr>
        <w:t>3</w:t>
      </w:r>
      <w:r>
        <w:rPr>
          <w:rFonts w:hint="eastAsia"/>
        </w:rPr>
        <w:t>/h等。改扩建后整个气体装置地块液氨总产能644700吨/年，氢气总产能160000万Nm</w:t>
      </w:r>
      <w:r>
        <w:rPr>
          <w:rFonts w:hint="eastAsia"/>
          <w:vertAlign w:val="superscript"/>
        </w:rPr>
        <w:t>3</w:t>
      </w:r>
      <w:r>
        <w:rPr>
          <w:rFonts w:hint="eastAsia"/>
        </w:rPr>
        <w:t>/年</w:t>
      </w:r>
      <w:r>
        <w:rPr>
          <w:rFonts w:hint="eastAsia"/>
          <w:lang w:val="en-US"/>
        </w:rPr>
        <w:t>等</w:t>
      </w:r>
      <w:r>
        <w:rPr>
          <w:rFonts w:hint="eastAsia"/>
        </w:rPr>
        <w:t>。</w:t>
      </w:r>
      <w:r>
        <w:rPr>
          <w:rFonts w:hint="eastAsia"/>
          <w:lang w:val="en-US"/>
        </w:rPr>
        <w:t>目前该改扩建项目环境影响评价（《万华福建工业园MDI一体化扩能配套项目-气体扩能改造项目环境影响报告书》）取得批复</w:t>
      </w:r>
      <w:r>
        <w:rPr>
          <w:rFonts w:hint="eastAsia"/>
          <w:color w:val="auto"/>
          <w:highlight w:val="none"/>
          <w:u w:val="none"/>
          <w:lang w:val="en-US"/>
        </w:rPr>
        <w:t>。</w:t>
      </w:r>
    </w:p>
    <w:p w14:paraId="15051F2F">
      <w:pPr>
        <w:rPr>
          <w:rFonts w:hint="eastAsia"/>
          <w:color w:val="auto"/>
          <w:highlight w:val="none"/>
          <w:u w:val="none"/>
        </w:rPr>
      </w:pPr>
      <w:r>
        <w:rPr>
          <w:rFonts w:hint="eastAsia"/>
          <w:color w:val="auto"/>
          <w:highlight w:val="none"/>
          <w:u w:val="none"/>
          <w:lang w:val="en-US"/>
        </w:rPr>
        <w:t>根据《万华福建工业园MDI一体化扩能配套项目-气体扩能改造项目环境影响报告书》，</w:t>
      </w:r>
      <w:r>
        <w:rPr>
          <w:rFonts w:hint="eastAsia"/>
          <w:b/>
          <w:bCs/>
          <w:color w:val="auto"/>
          <w:highlight w:val="none"/>
          <w:u w:val="none"/>
        </w:rPr>
        <w:t>气体装置地块</w:t>
      </w:r>
      <w:r>
        <w:rPr>
          <w:rFonts w:hint="eastAsia"/>
          <w:color w:val="auto"/>
          <w:highlight w:val="none"/>
          <w:u w:val="none"/>
          <w:lang w:val="en-US"/>
        </w:rPr>
        <w:t>拟改扩建工程污染物排放量见</w:t>
      </w:r>
      <w:r>
        <w:rPr>
          <w:color w:val="auto"/>
          <w:highlight w:val="none"/>
          <w:u w:val="none"/>
        </w:rPr>
        <w:fldChar w:fldCharType="begin"/>
      </w:r>
      <w:r>
        <w:rPr>
          <w:color w:val="auto"/>
          <w:highlight w:val="none"/>
          <w:u w:val="none"/>
        </w:rPr>
        <w:instrText xml:space="preserve"> REF _Ref153899822 \h  \* MERGEFORMAT </w:instrText>
      </w:r>
      <w:r>
        <w:rPr>
          <w:color w:val="auto"/>
          <w:highlight w:val="none"/>
          <w:u w:val="none"/>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3.8</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w:t>
      </w:r>
    </w:p>
    <w:p w14:paraId="008A048D">
      <w:pPr>
        <w:pStyle w:val="1010"/>
        <w:rPr>
          <w:color w:val="auto"/>
          <w:highlight w:val="none"/>
          <w:u w:val="none"/>
        </w:rPr>
      </w:pPr>
      <w:bookmarkStart w:id="210" w:name="_Ref153899822"/>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表格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210"/>
      <w:r>
        <w:rPr>
          <w:color w:val="auto"/>
          <w:highlight w:val="none"/>
          <w:u w:val="none"/>
        </w:rPr>
        <w:t xml:space="preserve">  </w:t>
      </w:r>
      <w:r>
        <w:rPr>
          <w:rFonts w:hint="eastAsia"/>
          <w:color w:val="auto"/>
          <w:highlight w:val="none"/>
          <w:u w:val="none"/>
        </w:rPr>
        <w:t>气体装置地块拟扩能改造后污染物排放量统计汇总</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autofit"/>
        <w:tblCellMar>
          <w:top w:w="0" w:type="dxa"/>
          <w:left w:w="108" w:type="dxa"/>
          <w:bottom w:w="0" w:type="dxa"/>
          <w:right w:w="108" w:type="dxa"/>
        </w:tblCellMar>
      </w:tblPr>
      <w:tblGrid>
        <w:gridCol w:w="1552"/>
        <w:gridCol w:w="2511"/>
        <w:gridCol w:w="2712"/>
        <w:gridCol w:w="2511"/>
      </w:tblGrid>
      <w:tr w14:paraId="66CB9AB2">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433" w:hRule="atLeast"/>
          <w:jc w:val="center"/>
        </w:trPr>
        <w:tc>
          <w:tcPr>
            <w:tcW w:w="836" w:type="pct"/>
            <w:tcBorders>
              <w:tl2br w:val="nil"/>
              <w:tr2bl w:val="nil"/>
            </w:tcBorders>
            <w:vAlign w:val="center"/>
          </w:tcPr>
          <w:p w14:paraId="49DD4AB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1352" w:type="pct"/>
            <w:tcBorders>
              <w:tl2br w:val="nil"/>
              <w:tr2bl w:val="nil"/>
            </w:tcBorders>
            <w:vAlign w:val="center"/>
          </w:tcPr>
          <w:p w14:paraId="49886935">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气体装置地块现有</w:t>
            </w:r>
          </w:p>
          <w:p w14:paraId="1138FEEF">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工程允许排放量</w:t>
            </w:r>
            <w:r>
              <w:rPr>
                <w:rFonts w:hint="eastAsia"/>
                <w:color w:val="auto"/>
                <w:sz w:val="21"/>
                <w:szCs w:val="21"/>
                <w:highlight w:val="none"/>
                <w:u w:val="none"/>
              </w:rPr>
              <w:t>t/a</w:t>
            </w:r>
          </w:p>
        </w:tc>
        <w:tc>
          <w:tcPr>
            <w:tcW w:w="1460" w:type="pct"/>
            <w:tcBorders>
              <w:tl2br w:val="nil"/>
              <w:tr2bl w:val="nil"/>
            </w:tcBorders>
            <w:vAlign w:val="center"/>
          </w:tcPr>
          <w:p w14:paraId="5298C0C9">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改扩建项目（拟建）</w:t>
            </w:r>
          </w:p>
          <w:p w14:paraId="4928AE12">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新增排放量</w:t>
            </w:r>
            <w:r>
              <w:rPr>
                <w:rFonts w:hint="eastAsia"/>
                <w:color w:val="auto"/>
                <w:sz w:val="21"/>
                <w:szCs w:val="21"/>
                <w:highlight w:val="none"/>
                <w:u w:val="none"/>
              </w:rPr>
              <w:t>t/a</w:t>
            </w:r>
          </w:p>
        </w:tc>
        <w:tc>
          <w:tcPr>
            <w:tcW w:w="1352" w:type="pct"/>
            <w:tcBorders>
              <w:tl2br w:val="nil"/>
              <w:tr2bl w:val="nil"/>
            </w:tcBorders>
            <w:vAlign w:val="center"/>
          </w:tcPr>
          <w:p w14:paraId="38AAB438">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改扩建后气体装置地块</w:t>
            </w:r>
          </w:p>
          <w:p w14:paraId="07D08D5B">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总排放量t/a</w:t>
            </w:r>
          </w:p>
        </w:tc>
      </w:tr>
      <w:tr w14:paraId="47D30626">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433" w:hRule="atLeast"/>
          <w:jc w:val="center"/>
        </w:trPr>
        <w:tc>
          <w:tcPr>
            <w:tcW w:w="5000" w:type="pct"/>
            <w:gridSpan w:val="4"/>
            <w:tcBorders>
              <w:tl2br w:val="nil"/>
              <w:tr2bl w:val="nil"/>
            </w:tcBorders>
            <w:vAlign w:val="center"/>
          </w:tcPr>
          <w:p w14:paraId="2BFA992C">
            <w:pPr>
              <w:tabs>
                <w:tab w:val="left" w:pos="0"/>
              </w:tabs>
              <w:spacing w:line="240" w:lineRule="auto"/>
              <w:ind w:firstLine="0" w:firstLineChars="0"/>
              <w:rPr>
                <w:rFonts w:hint="eastAsia"/>
                <w:color w:val="auto"/>
                <w:sz w:val="21"/>
                <w:szCs w:val="21"/>
                <w:highlight w:val="none"/>
                <w:u w:val="none"/>
                <w:lang w:val="en-US"/>
              </w:rPr>
            </w:pPr>
            <w:r>
              <w:rPr>
                <w:rFonts w:hint="eastAsia"/>
                <w:color w:val="auto"/>
                <w:sz w:val="21"/>
                <w:szCs w:val="21"/>
                <w:highlight w:val="none"/>
                <w:u w:val="none"/>
              </w:rPr>
              <w:t>一、</w:t>
            </w:r>
            <w:r>
              <w:rPr>
                <w:color w:val="auto"/>
                <w:sz w:val="21"/>
                <w:szCs w:val="21"/>
                <w:highlight w:val="none"/>
                <w:u w:val="none"/>
              </w:rPr>
              <w:t>废气</w:t>
            </w:r>
          </w:p>
        </w:tc>
      </w:tr>
      <w:tr w14:paraId="00DE6D14">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433" w:hRule="atLeast"/>
          <w:jc w:val="center"/>
        </w:trPr>
        <w:tc>
          <w:tcPr>
            <w:tcW w:w="836" w:type="pct"/>
            <w:tcBorders>
              <w:tl2br w:val="nil"/>
              <w:tr2bl w:val="nil"/>
            </w:tcBorders>
            <w:vAlign w:val="center"/>
          </w:tcPr>
          <w:p w14:paraId="059FBF7E">
            <w:pPr>
              <w:pStyle w:val="38"/>
              <w:jc w:val="center"/>
              <w:rPr>
                <w:rFonts w:ascii="Times New Roman" w:hAnsi="Times New Roman" w:cs="Times New Roman"/>
                <w:color w:val="auto"/>
                <w:szCs w:val="21"/>
                <w:highlight w:val="none"/>
                <w:u w:val="none"/>
              </w:rPr>
            </w:pPr>
            <w:r>
              <w:rPr>
                <w:rFonts w:ascii="Times New Roman" w:hAnsi="Times New Roman" w:cs="Times New Roman"/>
                <w:color w:val="auto"/>
                <w:szCs w:val="21"/>
                <w:highlight w:val="none"/>
                <w:u w:val="none"/>
              </w:rPr>
              <w:t>废气量</w:t>
            </w:r>
          </w:p>
          <w:p w14:paraId="5C81F686">
            <w:pPr>
              <w:tabs>
                <w:tab w:val="left" w:pos="0"/>
              </w:tabs>
              <w:spacing w:line="240" w:lineRule="auto"/>
              <w:ind w:firstLine="0" w:firstLineChars="0"/>
              <w:jc w:val="center"/>
              <w:rPr>
                <w:rFonts w:hint="eastAsia"/>
                <w:color w:val="auto"/>
                <w:sz w:val="21"/>
                <w:szCs w:val="21"/>
                <w:highlight w:val="none"/>
                <w:u w:val="none"/>
              </w:rPr>
            </w:pPr>
            <w:r>
              <w:rPr>
                <w:rFonts w:hAnsi="Times New Roman"/>
                <w:color w:val="auto"/>
                <w:sz w:val="21"/>
                <w:szCs w:val="21"/>
                <w:highlight w:val="none"/>
                <w:u w:val="none"/>
              </w:rPr>
              <w:t>万m</w:t>
            </w:r>
            <w:r>
              <w:rPr>
                <w:rFonts w:hAnsi="Times New Roman"/>
                <w:color w:val="auto"/>
                <w:sz w:val="21"/>
                <w:szCs w:val="21"/>
                <w:highlight w:val="none"/>
                <w:u w:val="none"/>
                <w:vertAlign w:val="superscript"/>
              </w:rPr>
              <w:t>3</w:t>
            </w:r>
            <w:r>
              <w:rPr>
                <w:rFonts w:hAnsi="Times New Roman"/>
                <w:color w:val="auto"/>
                <w:sz w:val="21"/>
                <w:szCs w:val="21"/>
                <w:highlight w:val="none"/>
                <w:u w:val="none"/>
              </w:rPr>
              <w:t>/a</w:t>
            </w:r>
          </w:p>
        </w:tc>
        <w:tc>
          <w:tcPr>
            <w:tcW w:w="1352" w:type="pct"/>
            <w:tcBorders>
              <w:tl2br w:val="nil"/>
              <w:tr2bl w:val="nil"/>
            </w:tcBorders>
            <w:vAlign w:val="center"/>
          </w:tcPr>
          <w:p w14:paraId="00DB63E7">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221600</w:t>
            </w:r>
          </w:p>
        </w:tc>
        <w:tc>
          <w:tcPr>
            <w:tcW w:w="1460" w:type="pct"/>
            <w:tcBorders>
              <w:tl2br w:val="nil"/>
              <w:tr2bl w:val="nil"/>
            </w:tcBorders>
            <w:vAlign w:val="center"/>
          </w:tcPr>
          <w:p w14:paraId="7B9433A3">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165772</w:t>
            </w:r>
          </w:p>
        </w:tc>
        <w:tc>
          <w:tcPr>
            <w:tcW w:w="1352" w:type="pct"/>
            <w:tcBorders>
              <w:tl2br w:val="nil"/>
              <w:tr2bl w:val="nil"/>
            </w:tcBorders>
            <w:vAlign w:val="center"/>
          </w:tcPr>
          <w:p w14:paraId="7F8DE02F">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387372</w:t>
            </w:r>
          </w:p>
        </w:tc>
      </w:tr>
      <w:tr w14:paraId="19E519E5">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700B516F">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颗粒物</w:t>
            </w:r>
          </w:p>
        </w:tc>
        <w:tc>
          <w:tcPr>
            <w:tcW w:w="1352" w:type="pct"/>
            <w:tcBorders>
              <w:tl2br w:val="nil"/>
              <w:tr2bl w:val="nil"/>
            </w:tcBorders>
            <w:shd w:val="clear" w:color="auto" w:fill="auto"/>
            <w:vAlign w:val="center"/>
          </w:tcPr>
          <w:p w14:paraId="7D3FFFDD">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28.88</w:t>
            </w:r>
          </w:p>
        </w:tc>
        <w:tc>
          <w:tcPr>
            <w:tcW w:w="1460" w:type="pct"/>
            <w:tcBorders>
              <w:tl2br w:val="nil"/>
              <w:tr2bl w:val="nil"/>
            </w:tcBorders>
            <w:vAlign w:val="center"/>
          </w:tcPr>
          <w:p w14:paraId="1B47C649">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15.112</w:t>
            </w:r>
          </w:p>
        </w:tc>
        <w:tc>
          <w:tcPr>
            <w:tcW w:w="1352" w:type="pct"/>
            <w:tcBorders>
              <w:tl2br w:val="nil"/>
              <w:tr2bl w:val="nil"/>
            </w:tcBorders>
            <w:vAlign w:val="center"/>
          </w:tcPr>
          <w:p w14:paraId="2B8EA1E2">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43.992</w:t>
            </w:r>
          </w:p>
        </w:tc>
      </w:tr>
      <w:tr w14:paraId="3E089AE5">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051F21EA">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硫化氢</w:t>
            </w:r>
          </w:p>
        </w:tc>
        <w:tc>
          <w:tcPr>
            <w:tcW w:w="1352" w:type="pct"/>
            <w:tcBorders>
              <w:tl2br w:val="nil"/>
              <w:tr2bl w:val="nil"/>
            </w:tcBorders>
            <w:shd w:val="clear" w:color="auto" w:fill="auto"/>
            <w:vAlign w:val="center"/>
          </w:tcPr>
          <w:p w14:paraId="1664B892">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7.04</w:t>
            </w:r>
          </w:p>
        </w:tc>
        <w:tc>
          <w:tcPr>
            <w:tcW w:w="1460" w:type="pct"/>
            <w:tcBorders>
              <w:tl2br w:val="nil"/>
              <w:tr2bl w:val="nil"/>
            </w:tcBorders>
            <w:vAlign w:val="center"/>
          </w:tcPr>
          <w:p w14:paraId="3109731C">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2.68</w:t>
            </w:r>
          </w:p>
        </w:tc>
        <w:tc>
          <w:tcPr>
            <w:tcW w:w="1352" w:type="pct"/>
            <w:tcBorders>
              <w:tl2br w:val="nil"/>
              <w:tr2bl w:val="nil"/>
            </w:tcBorders>
            <w:vAlign w:val="center"/>
          </w:tcPr>
          <w:p w14:paraId="5291CA3E">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9.72</w:t>
            </w:r>
          </w:p>
        </w:tc>
      </w:tr>
      <w:tr w14:paraId="69DF8B3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6B2B0C05">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甲醇</w:t>
            </w:r>
          </w:p>
        </w:tc>
        <w:tc>
          <w:tcPr>
            <w:tcW w:w="1352" w:type="pct"/>
            <w:tcBorders>
              <w:tl2br w:val="nil"/>
              <w:tr2bl w:val="nil"/>
            </w:tcBorders>
            <w:shd w:val="clear" w:color="auto" w:fill="auto"/>
            <w:vAlign w:val="center"/>
          </w:tcPr>
          <w:p w14:paraId="6D790AEF">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41.352</w:t>
            </w:r>
          </w:p>
        </w:tc>
        <w:tc>
          <w:tcPr>
            <w:tcW w:w="1460" w:type="pct"/>
            <w:tcBorders>
              <w:tl2br w:val="nil"/>
              <w:tr2bl w:val="nil"/>
            </w:tcBorders>
            <w:vAlign w:val="center"/>
          </w:tcPr>
          <w:p w14:paraId="57A55B0C">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47.128</w:t>
            </w:r>
          </w:p>
        </w:tc>
        <w:tc>
          <w:tcPr>
            <w:tcW w:w="1352" w:type="pct"/>
            <w:tcBorders>
              <w:tl2br w:val="nil"/>
              <w:tr2bl w:val="nil"/>
            </w:tcBorders>
            <w:vAlign w:val="center"/>
          </w:tcPr>
          <w:p w14:paraId="7DA2CEAC">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88.48</w:t>
            </w:r>
          </w:p>
        </w:tc>
      </w:tr>
      <w:tr w14:paraId="70400D7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3FED1BE4">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二氧化硫</w:t>
            </w:r>
          </w:p>
        </w:tc>
        <w:tc>
          <w:tcPr>
            <w:tcW w:w="1352" w:type="pct"/>
            <w:tcBorders>
              <w:tl2br w:val="nil"/>
              <w:tr2bl w:val="nil"/>
            </w:tcBorders>
            <w:shd w:val="clear" w:color="auto" w:fill="auto"/>
            <w:vAlign w:val="center"/>
          </w:tcPr>
          <w:p w14:paraId="0653E248">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7.7056</w:t>
            </w:r>
          </w:p>
        </w:tc>
        <w:tc>
          <w:tcPr>
            <w:tcW w:w="1460" w:type="pct"/>
            <w:tcBorders>
              <w:tl2br w:val="nil"/>
              <w:tr2bl w:val="nil"/>
            </w:tcBorders>
            <w:vAlign w:val="center"/>
          </w:tcPr>
          <w:p w14:paraId="5B1C9F93">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4.12</w:t>
            </w:r>
          </w:p>
        </w:tc>
        <w:tc>
          <w:tcPr>
            <w:tcW w:w="1352" w:type="pct"/>
            <w:tcBorders>
              <w:tl2br w:val="nil"/>
              <w:tr2bl w:val="nil"/>
            </w:tcBorders>
            <w:vAlign w:val="center"/>
          </w:tcPr>
          <w:p w14:paraId="7422A5D0">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11.8256</w:t>
            </w:r>
          </w:p>
        </w:tc>
      </w:tr>
      <w:tr w14:paraId="077E5D1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6451F755">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氮氧化物</w:t>
            </w:r>
          </w:p>
        </w:tc>
        <w:tc>
          <w:tcPr>
            <w:tcW w:w="1352" w:type="pct"/>
            <w:tcBorders>
              <w:tl2br w:val="nil"/>
              <w:tr2bl w:val="nil"/>
            </w:tcBorders>
            <w:shd w:val="clear" w:color="auto" w:fill="auto"/>
            <w:vAlign w:val="center"/>
          </w:tcPr>
          <w:p w14:paraId="378A5504">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7.7056</w:t>
            </w:r>
          </w:p>
        </w:tc>
        <w:tc>
          <w:tcPr>
            <w:tcW w:w="1460" w:type="pct"/>
            <w:tcBorders>
              <w:tl2br w:val="nil"/>
              <w:tr2bl w:val="nil"/>
            </w:tcBorders>
            <w:vAlign w:val="center"/>
          </w:tcPr>
          <w:p w14:paraId="50EC4BD3">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4.808</w:t>
            </w:r>
          </w:p>
        </w:tc>
        <w:tc>
          <w:tcPr>
            <w:tcW w:w="1352" w:type="pct"/>
            <w:tcBorders>
              <w:tl2br w:val="nil"/>
              <w:tr2bl w:val="nil"/>
            </w:tcBorders>
            <w:vAlign w:val="center"/>
          </w:tcPr>
          <w:p w14:paraId="1425C189">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12.5136</w:t>
            </w:r>
          </w:p>
        </w:tc>
      </w:tr>
      <w:tr w14:paraId="71EAE83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15C71228">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w:t>
            </w:r>
          </w:p>
        </w:tc>
        <w:tc>
          <w:tcPr>
            <w:tcW w:w="1352" w:type="pct"/>
            <w:tcBorders>
              <w:tl2br w:val="nil"/>
              <w:tr2bl w:val="nil"/>
            </w:tcBorders>
            <w:shd w:val="clear" w:color="auto" w:fill="auto"/>
            <w:vAlign w:val="center"/>
          </w:tcPr>
          <w:p w14:paraId="11103C3C">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24.76</w:t>
            </w:r>
          </w:p>
        </w:tc>
        <w:tc>
          <w:tcPr>
            <w:tcW w:w="1460" w:type="pct"/>
            <w:tcBorders>
              <w:tl2br w:val="nil"/>
              <w:tr2bl w:val="nil"/>
            </w:tcBorders>
            <w:vAlign w:val="center"/>
          </w:tcPr>
          <w:p w14:paraId="36E38A03">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0.8</w:t>
            </w:r>
          </w:p>
        </w:tc>
        <w:tc>
          <w:tcPr>
            <w:tcW w:w="1352" w:type="pct"/>
            <w:tcBorders>
              <w:tl2br w:val="nil"/>
              <w:tr2bl w:val="nil"/>
            </w:tcBorders>
            <w:vAlign w:val="center"/>
          </w:tcPr>
          <w:p w14:paraId="5232621E">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25.56</w:t>
            </w:r>
          </w:p>
        </w:tc>
      </w:tr>
      <w:tr w14:paraId="4643837B">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vAlign w:val="center"/>
          </w:tcPr>
          <w:p w14:paraId="5BDCA070">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VOCs</w:t>
            </w:r>
          </w:p>
        </w:tc>
        <w:tc>
          <w:tcPr>
            <w:tcW w:w="1352" w:type="pct"/>
            <w:tcBorders>
              <w:tl2br w:val="nil"/>
              <w:tr2bl w:val="nil"/>
            </w:tcBorders>
            <w:shd w:val="clear" w:color="auto" w:fill="auto"/>
            <w:vAlign w:val="center"/>
          </w:tcPr>
          <w:p w14:paraId="3A03C3BA">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41.352</w:t>
            </w:r>
          </w:p>
        </w:tc>
        <w:tc>
          <w:tcPr>
            <w:tcW w:w="1460" w:type="pct"/>
            <w:tcBorders>
              <w:tl2br w:val="nil"/>
              <w:tr2bl w:val="nil"/>
            </w:tcBorders>
            <w:vAlign w:val="center"/>
          </w:tcPr>
          <w:p w14:paraId="3D7884A5">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49.128</w:t>
            </w:r>
          </w:p>
        </w:tc>
        <w:tc>
          <w:tcPr>
            <w:tcW w:w="1352" w:type="pct"/>
            <w:tcBorders>
              <w:tl2br w:val="nil"/>
              <w:tr2bl w:val="nil"/>
            </w:tcBorders>
            <w:vAlign w:val="center"/>
          </w:tcPr>
          <w:p w14:paraId="5385921F">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90.48</w:t>
            </w:r>
          </w:p>
        </w:tc>
      </w:tr>
      <w:tr w14:paraId="5AD85E7D">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2717E5D2">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二、</w:t>
            </w:r>
            <w:r>
              <w:rPr>
                <w:color w:val="auto"/>
                <w:sz w:val="21"/>
                <w:szCs w:val="21"/>
                <w:highlight w:val="none"/>
                <w:u w:val="none"/>
              </w:rPr>
              <w:t>废水</w:t>
            </w:r>
          </w:p>
        </w:tc>
      </w:tr>
      <w:tr w14:paraId="2E31C94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39ADB9E7">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水量</w:t>
            </w:r>
          </w:p>
        </w:tc>
        <w:tc>
          <w:tcPr>
            <w:tcW w:w="1352" w:type="pct"/>
            <w:tcBorders>
              <w:tl2br w:val="nil"/>
              <w:tr2bl w:val="nil"/>
            </w:tcBorders>
            <w:shd w:val="clear" w:color="auto" w:fill="auto"/>
            <w:vAlign w:val="center"/>
          </w:tcPr>
          <w:p w14:paraId="58C19A40">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2706900</w:t>
            </w:r>
          </w:p>
        </w:tc>
        <w:tc>
          <w:tcPr>
            <w:tcW w:w="1460" w:type="pct"/>
            <w:tcBorders>
              <w:tl2br w:val="nil"/>
              <w:tr2bl w:val="nil"/>
            </w:tcBorders>
            <w:vAlign w:val="center"/>
          </w:tcPr>
          <w:p w14:paraId="16476018">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-817500</w:t>
            </w:r>
          </w:p>
        </w:tc>
        <w:tc>
          <w:tcPr>
            <w:tcW w:w="1352" w:type="pct"/>
            <w:tcBorders>
              <w:tl2br w:val="nil"/>
              <w:tr2bl w:val="nil"/>
            </w:tcBorders>
            <w:vAlign w:val="center"/>
          </w:tcPr>
          <w:p w14:paraId="4B3E4033">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1889400</w:t>
            </w:r>
          </w:p>
        </w:tc>
      </w:tr>
      <w:tr w14:paraId="356C625F">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836" w:type="pct"/>
            <w:tcBorders>
              <w:tl2br w:val="nil"/>
              <w:tr2bl w:val="nil"/>
            </w:tcBorders>
            <w:shd w:val="clear" w:color="auto" w:fill="auto"/>
            <w:vAlign w:val="center"/>
          </w:tcPr>
          <w:p w14:paraId="47049AF0">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COD</w:t>
            </w:r>
          </w:p>
        </w:tc>
        <w:tc>
          <w:tcPr>
            <w:tcW w:w="1352" w:type="pct"/>
            <w:tcBorders>
              <w:tl2br w:val="nil"/>
              <w:tr2bl w:val="nil"/>
            </w:tcBorders>
            <w:shd w:val="clear" w:color="auto" w:fill="auto"/>
            <w:vAlign w:val="center"/>
          </w:tcPr>
          <w:p w14:paraId="16B8CEB8">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118</w:t>
            </w:r>
          </w:p>
        </w:tc>
        <w:tc>
          <w:tcPr>
            <w:tcW w:w="1460" w:type="pct"/>
            <w:tcBorders>
              <w:tl2br w:val="nil"/>
              <w:tr2bl w:val="nil"/>
            </w:tcBorders>
            <w:vAlign w:val="center"/>
          </w:tcPr>
          <w:p w14:paraId="4ADF210A">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32.54</w:t>
            </w:r>
          </w:p>
        </w:tc>
        <w:tc>
          <w:tcPr>
            <w:tcW w:w="1352" w:type="pct"/>
            <w:tcBorders>
              <w:tl2br w:val="nil"/>
              <w:tr2bl w:val="nil"/>
            </w:tcBorders>
            <w:vAlign w:val="center"/>
          </w:tcPr>
          <w:p w14:paraId="6D035F50">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150.54</w:t>
            </w:r>
          </w:p>
        </w:tc>
      </w:tr>
      <w:tr w14:paraId="1BD65C4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1A0695FB">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氨氮</w:t>
            </w:r>
          </w:p>
        </w:tc>
        <w:tc>
          <w:tcPr>
            <w:tcW w:w="1352" w:type="pct"/>
            <w:tcBorders>
              <w:tl2br w:val="nil"/>
              <w:tr2bl w:val="nil"/>
            </w:tcBorders>
            <w:shd w:val="clear" w:color="auto" w:fill="auto"/>
            <w:vAlign w:val="center"/>
          </w:tcPr>
          <w:p w14:paraId="09B46BE5">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11.8</w:t>
            </w:r>
          </w:p>
        </w:tc>
        <w:tc>
          <w:tcPr>
            <w:tcW w:w="1460" w:type="pct"/>
            <w:tcBorders>
              <w:tl2br w:val="nil"/>
              <w:tr2bl w:val="nil"/>
            </w:tcBorders>
            <w:vAlign w:val="center"/>
          </w:tcPr>
          <w:p w14:paraId="699BDC06">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3.25</w:t>
            </w:r>
          </w:p>
        </w:tc>
        <w:tc>
          <w:tcPr>
            <w:tcW w:w="1352" w:type="pct"/>
            <w:tcBorders>
              <w:tl2br w:val="nil"/>
              <w:tr2bl w:val="nil"/>
            </w:tcBorders>
            <w:vAlign w:val="center"/>
          </w:tcPr>
          <w:p w14:paraId="1B54B5FD">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15.05</w:t>
            </w:r>
          </w:p>
        </w:tc>
      </w:tr>
      <w:tr w14:paraId="6F3CB959">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099F5143">
            <w:pPr>
              <w:tabs>
                <w:tab w:val="left" w:pos="0"/>
              </w:tabs>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BOD5</w:t>
            </w:r>
          </w:p>
        </w:tc>
        <w:tc>
          <w:tcPr>
            <w:tcW w:w="1352" w:type="pct"/>
            <w:tcBorders>
              <w:tl2br w:val="nil"/>
              <w:tr2bl w:val="nil"/>
            </w:tcBorders>
            <w:shd w:val="clear" w:color="auto" w:fill="auto"/>
            <w:vAlign w:val="center"/>
          </w:tcPr>
          <w:p w14:paraId="3FFD2AAB">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w:t>
            </w:r>
          </w:p>
        </w:tc>
        <w:tc>
          <w:tcPr>
            <w:tcW w:w="1460" w:type="pct"/>
            <w:tcBorders>
              <w:tl2br w:val="nil"/>
              <w:tr2bl w:val="nil"/>
            </w:tcBorders>
            <w:vAlign w:val="center"/>
          </w:tcPr>
          <w:p w14:paraId="6E5AA5DB">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29.17</w:t>
            </w:r>
          </w:p>
        </w:tc>
        <w:tc>
          <w:tcPr>
            <w:tcW w:w="1352" w:type="pct"/>
            <w:tcBorders>
              <w:tl2br w:val="nil"/>
              <w:tr2bl w:val="nil"/>
            </w:tcBorders>
            <w:vAlign w:val="center"/>
          </w:tcPr>
          <w:p w14:paraId="2699A431">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29.17</w:t>
            </w:r>
          </w:p>
        </w:tc>
      </w:tr>
      <w:tr w14:paraId="185121A9">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079F8B7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挥发酚</w:t>
            </w:r>
          </w:p>
        </w:tc>
        <w:tc>
          <w:tcPr>
            <w:tcW w:w="1352" w:type="pct"/>
            <w:tcBorders>
              <w:tl2br w:val="nil"/>
              <w:tr2bl w:val="nil"/>
            </w:tcBorders>
            <w:shd w:val="clear" w:color="auto" w:fill="auto"/>
            <w:vAlign w:val="center"/>
          </w:tcPr>
          <w:p w14:paraId="0EB5F8B9">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0.24</w:t>
            </w:r>
          </w:p>
        </w:tc>
        <w:tc>
          <w:tcPr>
            <w:tcW w:w="1460" w:type="pct"/>
            <w:tcBorders>
              <w:tl2br w:val="nil"/>
              <w:tr2bl w:val="nil"/>
            </w:tcBorders>
            <w:vAlign w:val="center"/>
          </w:tcPr>
          <w:p w14:paraId="7613964A">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0.033</w:t>
            </w:r>
          </w:p>
        </w:tc>
        <w:tc>
          <w:tcPr>
            <w:tcW w:w="1352" w:type="pct"/>
            <w:tcBorders>
              <w:tl2br w:val="nil"/>
              <w:tr2bl w:val="nil"/>
            </w:tcBorders>
            <w:vAlign w:val="center"/>
          </w:tcPr>
          <w:p w14:paraId="687980DA">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0.273</w:t>
            </w:r>
          </w:p>
        </w:tc>
      </w:tr>
      <w:tr w14:paraId="0C0C7A7E">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7B850A89">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氰化物</w:t>
            </w:r>
          </w:p>
        </w:tc>
        <w:tc>
          <w:tcPr>
            <w:tcW w:w="1352" w:type="pct"/>
            <w:tcBorders>
              <w:tl2br w:val="nil"/>
              <w:tr2bl w:val="nil"/>
            </w:tcBorders>
            <w:shd w:val="clear" w:color="auto" w:fill="auto"/>
            <w:vAlign w:val="center"/>
          </w:tcPr>
          <w:p w14:paraId="39F2282D">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0.47</w:t>
            </w:r>
          </w:p>
        </w:tc>
        <w:tc>
          <w:tcPr>
            <w:tcW w:w="1460" w:type="pct"/>
            <w:tcBorders>
              <w:tl2br w:val="nil"/>
              <w:tr2bl w:val="nil"/>
            </w:tcBorders>
            <w:vAlign w:val="center"/>
          </w:tcPr>
          <w:p w14:paraId="19FC0A4F">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-0.443</w:t>
            </w:r>
          </w:p>
        </w:tc>
        <w:tc>
          <w:tcPr>
            <w:tcW w:w="1352" w:type="pct"/>
            <w:tcBorders>
              <w:tl2br w:val="nil"/>
              <w:tr2bl w:val="nil"/>
            </w:tcBorders>
            <w:vAlign w:val="center"/>
          </w:tcPr>
          <w:p w14:paraId="752448DF">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0.027</w:t>
            </w:r>
          </w:p>
        </w:tc>
      </w:tr>
      <w:tr w14:paraId="7A4D3B50">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55C3E16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悬浮物</w:t>
            </w:r>
          </w:p>
        </w:tc>
        <w:tc>
          <w:tcPr>
            <w:tcW w:w="1352" w:type="pct"/>
            <w:tcBorders>
              <w:tl2br w:val="nil"/>
              <w:tr2bl w:val="nil"/>
            </w:tcBorders>
            <w:shd w:val="clear" w:color="auto" w:fill="auto"/>
            <w:vAlign w:val="center"/>
          </w:tcPr>
          <w:p w14:paraId="56AB1E02">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23.6</w:t>
            </w:r>
          </w:p>
        </w:tc>
        <w:tc>
          <w:tcPr>
            <w:tcW w:w="1460" w:type="pct"/>
            <w:tcBorders>
              <w:tl2br w:val="nil"/>
              <w:tr2bl w:val="nil"/>
            </w:tcBorders>
            <w:vAlign w:val="center"/>
          </w:tcPr>
          <w:p w14:paraId="7DAB1AA6">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6.47</w:t>
            </w:r>
          </w:p>
        </w:tc>
        <w:tc>
          <w:tcPr>
            <w:tcW w:w="1352" w:type="pct"/>
            <w:tcBorders>
              <w:tl2br w:val="nil"/>
              <w:tr2bl w:val="nil"/>
            </w:tcBorders>
            <w:vAlign w:val="center"/>
          </w:tcPr>
          <w:p w14:paraId="282A5009">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30.07</w:t>
            </w:r>
          </w:p>
        </w:tc>
      </w:tr>
      <w:tr w14:paraId="188781F5">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7FE9684A">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总磷</w:t>
            </w:r>
          </w:p>
        </w:tc>
        <w:tc>
          <w:tcPr>
            <w:tcW w:w="1352" w:type="pct"/>
            <w:tcBorders>
              <w:tl2br w:val="nil"/>
              <w:tr2bl w:val="nil"/>
            </w:tcBorders>
            <w:shd w:val="clear" w:color="auto" w:fill="auto"/>
            <w:vAlign w:val="center"/>
          </w:tcPr>
          <w:p w14:paraId="3852E561">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1.18</w:t>
            </w:r>
          </w:p>
        </w:tc>
        <w:tc>
          <w:tcPr>
            <w:tcW w:w="1460" w:type="pct"/>
            <w:tcBorders>
              <w:tl2br w:val="nil"/>
              <w:tr2bl w:val="nil"/>
            </w:tcBorders>
            <w:vAlign w:val="center"/>
          </w:tcPr>
          <w:p w14:paraId="5F3695E0">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0.33</w:t>
            </w:r>
          </w:p>
        </w:tc>
        <w:tc>
          <w:tcPr>
            <w:tcW w:w="1352" w:type="pct"/>
            <w:tcBorders>
              <w:tl2br w:val="nil"/>
              <w:tr2bl w:val="nil"/>
            </w:tcBorders>
            <w:vAlign w:val="center"/>
          </w:tcPr>
          <w:p w14:paraId="4C2091D5">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1.51</w:t>
            </w:r>
          </w:p>
        </w:tc>
      </w:tr>
      <w:tr w14:paraId="4894B533">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219144DC">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总氮</w:t>
            </w:r>
          </w:p>
        </w:tc>
        <w:tc>
          <w:tcPr>
            <w:tcW w:w="1352" w:type="pct"/>
            <w:tcBorders>
              <w:tl2br w:val="nil"/>
              <w:tr2bl w:val="nil"/>
            </w:tcBorders>
            <w:shd w:val="clear" w:color="auto" w:fill="auto"/>
            <w:vAlign w:val="center"/>
          </w:tcPr>
          <w:p w14:paraId="5D0B6FE1">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35.4</w:t>
            </w:r>
          </w:p>
        </w:tc>
        <w:tc>
          <w:tcPr>
            <w:tcW w:w="1460" w:type="pct"/>
            <w:tcBorders>
              <w:tl2br w:val="nil"/>
              <w:tr2bl w:val="nil"/>
            </w:tcBorders>
            <w:vAlign w:val="center"/>
          </w:tcPr>
          <w:p w14:paraId="1AD00147">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-20.35</w:t>
            </w:r>
          </w:p>
        </w:tc>
        <w:tc>
          <w:tcPr>
            <w:tcW w:w="1352" w:type="pct"/>
            <w:tcBorders>
              <w:tl2br w:val="nil"/>
              <w:tr2bl w:val="nil"/>
            </w:tcBorders>
            <w:vAlign w:val="center"/>
          </w:tcPr>
          <w:p w14:paraId="38CDC1E8">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15.05</w:t>
            </w:r>
          </w:p>
        </w:tc>
      </w:tr>
      <w:tr w14:paraId="7EFB4F1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0BF85027">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硫化物</w:t>
            </w:r>
          </w:p>
        </w:tc>
        <w:tc>
          <w:tcPr>
            <w:tcW w:w="1352" w:type="pct"/>
            <w:tcBorders>
              <w:tl2br w:val="nil"/>
              <w:tr2bl w:val="nil"/>
            </w:tcBorders>
            <w:shd w:val="clear" w:color="auto" w:fill="auto"/>
            <w:vAlign w:val="center"/>
          </w:tcPr>
          <w:p w14:paraId="5027ADDA">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1.18</w:t>
            </w:r>
          </w:p>
        </w:tc>
        <w:tc>
          <w:tcPr>
            <w:tcW w:w="1460" w:type="pct"/>
            <w:tcBorders>
              <w:tl2br w:val="nil"/>
              <w:tr2bl w:val="nil"/>
            </w:tcBorders>
            <w:vAlign w:val="center"/>
          </w:tcPr>
          <w:p w14:paraId="1D455B31">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0.325</w:t>
            </w:r>
          </w:p>
        </w:tc>
        <w:tc>
          <w:tcPr>
            <w:tcW w:w="1352" w:type="pct"/>
            <w:tcBorders>
              <w:tl2br w:val="nil"/>
              <w:tr2bl w:val="nil"/>
            </w:tcBorders>
            <w:vAlign w:val="center"/>
          </w:tcPr>
          <w:p w14:paraId="08C815DC">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1.505</w:t>
            </w:r>
          </w:p>
        </w:tc>
      </w:tr>
      <w:tr w14:paraId="006AA07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0A163213">
            <w:pPr>
              <w:tabs>
                <w:tab w:val="left" w:pos="0"/>
              </w:tabs>
              <w:spacing w:line="240" w:lineRule="auto"/>
              <w:ind w:firstLine="0" w:firstLineChars="0"/>
              <w:jc w:val="center"/>
              <w:rPr>
                <w:rFonts w:hint="eastAsia"/>
                <w:color w:val="auto"/>
                <w:sz w:val="21"/>
                <w:szCs w:val="21"/>
                <w:highlight w:val="none"/>
                <w:u w:val="none"/>
              </w:rPr>
            </w:pPr>
            <w:r>
              <w:rPr>
                <w:color w:val="auto"/>
                <w:sz w:val="21"/>
                <w:szCs w:val="21"/>
                <w:highlight w:val="none"/>
                <w:u w:val="none"/>
              </w:rPr>
              <w:t>石油类</w:t>
            </w:r>
          </w:p>
        </w:tc>
        <w:tc>
          <w:tcPr>
            <w:tcW w:w="1352" w:type="pct"/>
            <w:tcBorders>
              <w:tl2br w:val="nil"/>
              <w:tr2bl w:val="nil"/>
            </w:tcBorders>
            <w:shd w:val="clear" w:color="auto" w:fill="auto"/>
            <w:vAlign w:val="center"/>
          </w:tcPr>
          <w:p w14:paraId="108BBB2D">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2.36</w:t>
            </w:r>
          </w:p>
        </w:tc>
        <w:tc>
          <w:tcPr>
            <w:tcW w:w="1460" w:type="pct"/>
            <w:tcBorders>
              <w:tl2br w:val="nil"/>
              <w:tr2bl w:val="nil"/>
            </w:tcBorders>
            <w:vAlign w:val="center"/>
          </w:tcPr>
          <w:p w14:paraId="5B9870A2">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0.65</w:t>
            </w:r>
          </w:p>
        </w:tc>
        <w:tc>
          <w:tcPr>
            <w:tcW w:w="1352" w:type="pct"/>
            <w:tcBorders>
              <w:tl2br w:val="nil"/>
              <w:tr2bl w:val="nil"/>
            </w:tcBorders>
            <w:vAlign w:val="center"/>
          </w:tcPr>
          <w:p w14:paraId="0225D50A">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3.01</w:t>
            </w:r>
          </w:p>
        </w:tc>
      </w:tr>
      <w:tr w14:paraId="69B8CC18">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159B1283">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总汞</w:t>
            </w:r>
          </w:p>
        </w:tc>
        <w:tc>
          <w:tcPr>
            <w:tcW w:w="1352" w:type="pct"/>
            <w:tcBorders>
              <w:tl2br w:val="nil"/>
              <w:tr2bl w:val="nil"/>
            </w:tcBorders>
            <w:shd w:val="clear" w:color="auto" w:fill="auto"/>
            <w:vAlign w:val="center"/>
          </w:tcPr>
          <w:p w14:paraId="7921D9D0">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w:t>
            </w:r>
          </w:p>
        </w:tc>
        <w:tc>
          <w:tcPr>
            <w:tcW w:w="1460" w:type="pct"/>
            <w:tcBorders>
              <w:tl2br w:val="nil"/>
              <w:tr2bl w:val="nil"/>
            </w:tcBorders>
            <w:vAlign w:val="center"/>
          </w:tcPr>
          <w:p w14:paraId="22ADF06A">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0.0012</w:t>
            </w:r>
          </w:p>
        </w:tc>
        <w:tc>
          <w:tcPr>
            <w:tcW w:w="1352" w:type="pct"/>
            <w:tcBorders>
              <w:tl2br w:val="nil"/>
              <w:tr2bl w:val="nil"/>
            </w:tcBorders>
            <w:vAlign w:val="center"/>
          </w:tcPr>
          <w:p w14:paraId="05ECD51F">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0.0012</w:t>
            </w:r>
          </w:p>
        </w:tc>
      </w:tr>
      <w:tr w14:paraId="47A790D6">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717A99A5">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总砷</w:t>
            </w:r>
          </w:p>
        </w:tc>
        <w:tc>
          <w:tcPr>
            <w:tcW w:w="1352" w:type="pct"/>
            <w:tcBorders>
              <w:tl2br w:val="nil"/>
              <w:tr2bl w:val="nil"/>
            </w:tcBorders>
            <w:shd w:val="clear" w:color="auto" w:fill="auto"/>
            <w:vAlign w:val="center"/>
          </w:tcPr>
          <w:p w14:paraId="0765427C">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w:t>
            </w:r>
          </w:p>
        </w:tc>
        <w:tc>
          <w:tcPr>
            <w:tcW w:w="1460" w:type="pct"/>
            <w:tcBorders>
              <w:tl2br w:val="nil"/>
              <w:tr2bl w:val="nil"/>
            </w:tcBorders>
            <w:vAlign w:val="center"/>
          </w:tcPr>
          <w:p w14:paraId="52B4461E">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0.42</w:t>
            </w:r>
          </w:p>
        </w:tc>
        <w:tc>
          <w:tcPr>
            <w:tcW w:w="1352" w:type="pct"/>
            <w:tcBorders>
              <w:tl2br w:val="nil"/>
              <w:tr2bl w:val="nil"/>
            </w:tcBorders>
            <w:vAlign w:val="center"/>
          </w:tcPr>
          <w:p w14:paraId="68F2DA24">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0.42</w:t>
            </w:r>
          </w:p>
        </w:tc>
      </w:tr>
      <w:tr w14:paraId="12A3E102">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026C41F4">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总铅</w:t>
            </w:r>
          </w:p>
        </w:tc>
        <w:tc>
          <w:tcPr>
            <w:tcW w:w="1352" w:type="pct"/>
            <w:tcBorders>
              <w:tl2br w:val="nil"/>
              <w:tr2bl w:val="nil"/>
            </w:tcBorders>
            <w:shd w:val="clear" w:color="auto" w:fill="auto"/>
            <w:vAlign w:val="center"/>
          </w:tcPr>
          <w:p w14:paraId="0E2AE9D0">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w:t>
            </w:r>
          </w:p>
        </w:tc>
        <w:tc>
          <w:tcPr>
            <w:tcW w:w="1460" w:type="pct"/>
            <w:tcBorders>
              <w:tl2br w:val="nil"/>
              <w:tr2bl w:val="nil"/>
            </w:tcBorders>
            <w:vAlign w:val="center"/>
          </w:tcPr>
          <w:p w14:paraId="1F587E93">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0.54</w:t>
            </w:r>
          </w:p>
        </w:tc>
        <w:tc>
          <w:tcPr>
            <w:tcW w:w="1352" w:type="pct"/>
            <w:tcBorders>
              <w:tl2br w:val="nil"/>
              <w:tr2bl w:val="nil"/>
            </w:tcBorders>
            <w:vAlign w:val="center"/>
          </w:tcPr>
          <w:p w14:paraId="20FC85C0">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0.54</w:t>
            </w:r>
          </w:p>
        </w:tc>
      </w:tr>
      <w:tr w14:paraId="0E5C3856">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836" w:type="pct"/>
            <w:tcBorders>
              <w:tl2br w:val="nil"/>
              <w:tr2bl w:val="nil"/>
            </w:tcBorders>
            <w:shd w:val="clear" w:color="auto" w:fill="auto"/>
            <w:vAlign w:val="center"/>
          </w:tcPr>
          <w:p w14:paraId="33FBBD6E">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氟化物</w:t>
            </w:r>
          </w:p>
        </w:tc>
        <w:tc>
          <w:tcPr>
            <w:tcW w:w="1352" w:type="pct"/>
            <w:tcBorders>
              <w:tl2br w:val="nil"/>
              <w:tr2bl w:val="nil"/>
            </w:tcBorders>
            <w:shd w:val="clear" w:color="auto" w:fill="auto"/>
            <w:vAlign w:val="center"/>
          </w:tcPr>
          <w:p w14:paraId="5B9EE52C">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0</w:t>
            </w:r>
          </w:p>
        </w:tc>
        <w:tc>
          <w:tcPr>
            <w:tcW w:w="1460" w:type="pct"/>
            <w:tcBorders>
              <w:tl2br w:val="nil"/>
              <w:tr2bl w:val="nil"/>
            </w:tcBorders>
            <w:vAlign w:val="center"/>
          </w:tcPr>
          <w:p w14:paraId="79CABC5F">
            <w:pPr>
              <w:tabs>
                <w:tab w:val="left" w:pos="0"/>
              </w:tabs>
              <w:spacing w:line="240" w:lineRule="auto"/>
              <w:ind w:firstLine="0" w:firstLineChars="0"/>
              <w:rPr>
                <w:rFonts w:hint="eastAsia"/>
                <w:color w:val="auto"/>
                <w:sz w:val="21"/>
                <w:szCs w:val="21"/>
                <w:highlight w:val="none"/>
                <w:u w:val="none"/>
              </w:rPr>
            </w:pPr>
            <w:r>
              <w:rPr>
                <w:rFonts w:hint="eastAsia"/>
                <w:color w:val="auto"/>
                <w:sz w:val="21"/>
                <w:szCs w:val="21"/>
                <w:highlight w:val="none"/>
                <w:u w:val="none"/>
              </w:rPr>
              <w:t>30.07</w:t>
            </w:r>
          </w:p>
        </w:tc>
        <w:tc>
          <w:tcPr>
            <w:tcW w:w="1352" w:type="pct"/>
            <w:tcBorders>
              <w:tl2br w:val="nil"/>
              <w:tr2bl w:val="nil"/>
            </w:tcBorders>
            <w:vAlign w:val="center"/>
          </w:tcPr>
          <w:p w14:paraId="71A97E39">
            <w:pPr>
              <w:tabs>
                <w:tab w:val="left" w:pos="0"/>
              </w:tabs>
              <w:spacing w:line="240" w:lineRule="auto"/>
              <w:ind w:firstLine="0" w:firstLineChars="0"/>
              <w:rPr>
                <w:rFonts w:hint="eastAsia"/>
                <w:color w:val="auto"/>
                <w:sz w:val="21"/>
                <w:szCs w:val="21"/>
                <w:highlight w:val="none"/>
                <w:u w:val="none"/>
              </w:rPr>
            </w:pPr>
            <w:r>
              <w:rPr>
                <w:color w:val="auto"/>
                <w:sz w:val="21"/>
                <w:szCs w:val="21"/>
                <w:highlight w:val="none"/>
                <w:u w:val="none"/>
              </w:rPr>
              <w:t>30.07</w:t>
            </w:r>
          </w:p>
        </w:tc>
      </w:tr>
    </w:tbl>
    <w:p w14:paraId="64AE4C8C">
      <w:pPr>
        <w:pStyle w:val="981"/>
        <w:rPr>
          <w:rFonts w:hint="eastAsia"/>
          <w:color w:val="auto"/>
          <w:highlight w:val="none"/>
          <w:u w:val="none"/>
        </w:rPr>
      </w:pPr>
    </w:p>
    <w:p w14:paraId="7AEDE7E0">
      <w:pPr>
        <w:pStyle w:val="4"/>
        <w:rPr>
          <w:rFonts w:hint="eastAsia" w:ascii="宋体" w:hAnsi="宋体" w:eastAsia="宋体" w:cs="宋体"/>
          <w:color w:val="auto"/>
          <w:highlight w:val="none"/>
          <w:u w:val="none"/>
        </w:rPr>
      </w:pPr>
      <w:bookmarkStart w:id="211" w:name="_Toc148374783"/>
      <w:bookmarkStart w:id="212" w:name="_Toc9918"/>
      <w:bookmarkStart w:id="213" w:name="_Toc149421631"/>
      <w:bookmarkStart w:id="214" w:name="_Toc148374931"/>
      <w:bookmarkStart w:id="215" w:name="_Toc148374489"/>
      <w:r>
        <w:rPr>
          <w:rFonts w:hint="eastAsia" w:ascii="宋体" w:hAnsi="宋体" w:eastAsia="宋体" w:cs="宋体"/>
          <w:color w:val="auto"/>
          <w:highlight w:val="none"/>
          <w:u w:val="none"/>
        </w:rPr>
        <w:t>万华福建公司现有工程及</w:t>
      </w:r>
      <w:r>
        <w:rPr>
          <w:rFonts w:hint="eastAsia" w:ascii="宋体" w:hAnsi="宋体" w:eastAsia="宋体" w:cs="宋体"/>
          <w:color w:val="auto"/>
          <w:highlight w:val="none"/>
          <w:u w:val="none"/>
          <w:lang w:val="en-US"/>
        </w:rPr>
        <w:t>万华环保科技公司</w:t>
      </w:r>
      <w:r>
        <w:rPr>
          <w:rFonts w:ascii="宋体" w:hAnsi="宋体" w:eastAsia="宋体" w:cs="宋体"/>
          <w:color w:val="auto"/>
          <w:highlight w:val="none"/>
          <w:u w:val="none"/>
        </w:rPr>
        <w:t>排污许可证执行情况</w:t>
      </w:r>
      <w:bookmarkEnd w:id="211"/>
      <w:bookmarkEnd w:id="212"/>
      <w:bookmarkEnd w:id="213"/>
      <w:bookmarkEnd w:id="214"/>
      <w:bookmarkEnd w:id="215"/>
    </w:p>
    <w:p w14:paraId="13E57FA7">
      <w:pPr>
        <w:pStyle w:val="6"/>
        <w:spacing w:before="156" w:after="156"/>
        <w:rPr>
          <w:color w:val="auto"/>
          <w:highlight w:val="none"/>
          <w:u w:val="none"/>
          <w:lang w:val="en-US"/>
        </w:rPr>
      </w:pPr>
      <w:r>
        <w:rPr>
          <w:rFonts w:hint="eastAsia"/>
          <w:color w:val="auto"/>
          <w:highlight w:val="none"/>
          <w:u w:val="none"/>
          <w:lang w:val="en-US"/>
        </w:rPr>
        <w:t>万华福建公司现有工程</w:t>
      </w:r>
      <w:r>
        <w:rPr>
          <w:rFonts w:hint="eastAsia"/>
          <w:color w:val="auto"/>
          <w:highlight w:val="none"/>
          <w:u w:val="none"/>
        </w:rPr>
        <w:t>排污许可证核发情况</w:t>
      </w:r>
    </w:p>
    <w:p w14:paraId="665EE622">
      <w:pPr>
        <w:rPr>
          <w:rFonts w:hint="eastAsia"/>
          <w:color w:val="auto"/>
          <w:highlight w:val="none"/>
          <w:u w:val="none"/>
          <w:lang w:val="en-US"/>
        </w:rPr>
      </w:pPr>
      <w:r>
        <w:rPr>
          <w:rFonts w:hint="eastAsia"/>
          <w:color w:val="auto"/>
          <w:highlight w:val="none"/>
          <w:u w:val="none"/>
          <w:lang w:val="en-US"/>
        </w:rPr>
        <w:t>（1）主要生产地块</w:t>
      </w:r>
    </w:p>
    <w:p w14:paraId="61AF9698">
      <w:pPr>
        <w:rPr>
          <w:rFonts w:hint="eastAsia"/>
          <w:color w:val="auto"/>
          <w:highlight w:val="none"/>
          <w:u w:val="none"/>
          <w:lang w:val="en-US"/>
        </w:rPr>
      </w:pPr>
      <w:r>
        <w:rPr>
          <w:lang w:val="en-US"/>
        </w:rPr>
        <w:t>万华福建公司于</w:t>
      </w:r>
      <w:r>
        <w:rPr>
          <w:rFonts w:hint="eastAsia"/>
          <w:lang w:val="en-US"/>
        </w:rPr>
        <w:t>2024年6月18日重新申请了排污许可证，对现有工程已投产工程，包括25万吨/年TDI项目、年产48万吨甲醛项目（一期工程）、年产80万吨PVC项目（一期工程）、年产108万吨苯胺项目（一期工程）</w:t>
      </w:r>
      <w:r>
        <w:rPr>
          <w:lang w:val="en-US"/>
        </w:rPr>
        <w:t>进行了排污许可证</w:t>
      </w:r>
      <w:r>
        <w:rPr>
          <w:rFonts w:hint="eastAsia"/>
          <w:lang w:val="en-US"/>
        </w:rPr>
        <w:t>重新申请</w:t>
      </w:r>
      <w:r>
        <w:rPr>
          <w:lang w:val="en-US"/>
        </w:rPr>
        <w:t>（证书编号：91350181MA33QYY14K001P），有效期为202</w:t>
      </w:r>
      <w:r>
        <w:rPr>
          <w:rFonts w:hint="eastAsia"/>
          <w:lang w:val="en-US"/>
        </w:rPr>
        <w:t>4</w:t>
      </w:r>
      <w:r>
        <w:rPr>
          <w:lang w:val="en-US"/>
        </w:rPr>
        <w:t>年</w:t>
      </w:r>
      <w:r>
        <w:rPr>
          <w:rFonts w:hint="eastAsia"/>
          <w:lang w:val="en-US"/>
        </w:rPr>
        <w:t>06</w:t>
      </w:r>
      <w:r>
        <w:rPr>
          <w:lang w:val="en-US"/>
        </w:rPr>
        <w:t>月1</w:t>
      </w:r>
      <w:r>
        <w:rPr>
          <w:rFonts w:hint="eastAsia"/>
          <w:lang w:val="en-US"/>
        </w:rPr>
        <w:t>8</w:t>
      </w:r>
      <w:r>
        <w:rPr>
          <w:lang w:val="en-US"/>
        </w:rPr>
        <w:t>日至202</w:t>
      </w:r>
      <w:r>
        <w:rPr>
          <w:rFonts w:hint="eastAsia"/>
          <w:lang w:val="en-US"/>
        </w:rPr>
        <w:t>9</w:t>
      </w:r>
      <w:r>
        <w:rPr>
          <w:lang w:val="en-US"/>
        </w:rPr>
        <w:t>年</w:t>
      </w:r>
      <w:r>
        <w:rPr>
          <w:rFonts w:hint="eastAsia"/>
          <w:lang w:val="en-US"/>
        </w:rPr>
        <w:t>06</w:t>
      </w:r>
      <w:r>
        <w:rPr>
          <w:lang w:val="en-US"/>
        </w:rPr>
        <w:t>月1</w:t>
      </w:r>
      <w:r>
        <w:rPr>
          <w:rFonts w:hint="eastAsia"/>
          <w:lang w:val="en-US"/>
        </w:rPr>
        <w:t>7</w:t>
      </w:r>
      <w:r>
        <w:rPr>
          <w:lang w:val="en-US"/>
        </w:rPr>
        <w:t>日。</w:t>
      </w:r>
      <w:r>
        <w:rPr>
          <w:rFonts w:hint="eastAsia"/>
          <w:lang w:val="en-US"/>
        </w:rPr>
        <w:t>万华福建公司主要生产地块排污许可证中颗粒物、SO</w:t>
      </w:r>
      <w:r>
        <w:rPr>
          <w:rFonts w:hint="eastAsia"/>
          <w:vertAlign w:val="subscript"/>
          <w:lang w:val="en-US"/>
        </w:rPr>
        <w:t>2</w:t>
      </w:r>
      <w:r>
        <w:rPr>
          <w:rFonts w:hint="eastAsia"/>
          <w:lang w:val="en-US"/>
        </w:rPr>
        <w:t>、NO</w:t>
      </w:r>
      <w:r>
        <w:rPr>
          <w:rFonts w:hint="eastAsia"/>
          <w:vertAlign w:val="subscript"/>
          <w:lang w:val="en-US"/>
        </w:rPr>
        <w:t>X</w:t>
      </w:r>
      <w:r>
        <w:rPr>
          <w:lang w:val="en-US"/>
        </w:rPr>
        <w:t>和</w:t>
      </w:r>
      <w:r>
        <w:rPr>
          <w:rFonts w:hint="eastAsia"/>
          <w:lang w:val="en-US"/>
        </w:rPr>
        <w:t>VOCs</w:t>
      </w:r>
      <w:r>
        <w:rPr>
          <w:lang w:val="en-US"/>
        </w:rPr>
        <w:t>排放量分别为。</w:t>
      </w:r>
      <w:r>
        <w:rPr>
          <w:rFonts w:hint="eastAsia"/>
          <w:lang w:val="en-US"/>
        </w:rPr>
        <w:t>万华福建公司主要生产地块废水均依托万华环保科技公司废水处理系统处理，废水许可排放量也均纳入万华环保科技公司废水处理系统统计</w:t>
      </w:r>
      <w:r>
        <w:rPr>
          <w:rFonts w:hint="eastAsia"/>
          <w:color w:val="auto"/>
          <w:highlight w:val="none"/>
          <w:u w:val="none"/>
          <w:lang w:val="en-US"/>
        </w:rPr>
        <w:t>。根据上述对现有工程各项目污染物排放量情况分析，万华福建公司主要生产地块排污许可证执行情况见</w:t>
      </w:r>
      <w:r>
        <w:rPr>
          <w:rFonts w:hint="eastAsia"/>
          <w:color w:val="auto"/>
          <w:highlight w:val="none"/>
          <w:u w:val="none"/>
          <w:lang w:val="en-US"/>
        </w:rPr>
        <w:fldChar w:fldCharType="begin"/>
      </w:r>
      <w:r>
        <w:rPr>
          <w:rFonts w:hint="eastAsia"/>
          <w:color w:val="auto"/>
          <w:highlight w:val="none"/>
          <w:u w:val="none"/>
          <w:lang w:val="en-US"/>
        </w:rPr>
        <w:instrText xml:space="preserve"> REF _Ref22437 \h </w:instrText>
      </w:r>
      <w:r>
        <w:rPr>
          <w:rFonts w:hint="eastAsia"/>
          <w:color w:val="auto"/>
          <w:highlight w:val="none"/>
          <w:u w:val="none"/>
          <w:lang w:val="en-US"/>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3.11</w:t>
      </w:r>
      <w:r>
        <w:rPr>
          <w:color w:val="auto"/>
          <w:highlight w:val="none"/>
          <w:u w:val="none"/>
        </w:rPr>
        <w:fldChar w:fldCharType="end"/>
      </w:r>
      <w:r>
        <w:rPr>
          <w:color w:val="auto"/>
          <w:highlight w:val="none"/>
          <w:u w:val="none"/>
        </w:rPr>
        <w:noBreakHyphen/>
      </w:r>
      <w:r>
        <w:rPr>
          <w:color w:val="auto"/>
          <w:highlight w:val="none"/>
          <w:u w:val="none"/>
        </w:rPr>
        <w:t>1</w:t>
      </w:r>
      <w:r>
        <w:rPr>
          <w:rFonts w:hint="eastAsia"/>
          <w:color w:val="auto"/>
          <w:highlight w:val="none"/>
          <w:u w:val="none"/>
          <w:lang w:val="en-US"/>
        </w:rPr>
        <w:fldChar w:fldCharType="end"/>
      </w:r>
      <w:r>
        <w:rPr>
          <w:rFonts w:hint="eastAsia"/>
          <w:color w:val="auto"/>
          <w:highlight w:val="none"/>
          <w:u w:val="none"/>
          <w:lang w:val="en-US"/>
        </w:rPr>
        <w:t>。根据</w:t>
      </w:r>
      <w:r>
        <w:rPr>
          <w:rFonts w:hint="eastAsia"/>
          <w:color w:val="auto"/>
          <w:highlight w:val="none"/>
          <w:u w:val="none"/>
          <w:lang w:val="en-US"/>
        </w:rPr>
        <w:fldChar w:fldCharType="begin"/>
      </w:r>
      <w:r>
        <w:rPr>
          <w:rFonts w:hint="eastAsia"/>
          <w:color w:val="auto"/>
          <w:highlight w:val="none"/>
          <w:u w:val="none"/>
          <w:lang w:val="en-US"/>
        </w:rPr>
        <w:instrText xml:space="preserve"> REF _Ref22437 \h </w:instrText>
      </w:r>
      <w:r>
        <w:rPr>
          <w:rFonts w:hint="eastAsia"/>
          <w:color w:val="auto"/>
          <w:highlight w:val="none"/>
          <w:u w:val="none"/>
          <w:lang w:val="en-US"/>
        </w:rPr>
        <w:fldChar w:fldCharType="separate"/>
      </w:r>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3.11</w:t>
      </w:r>
      <w:r>
        <w:rPr>
          <w:color w:val="auto"/>
          <w:highlight w:val="none"/>
          <w:u w:val="none"/>
        </w:rPr>
        <w:fldChar w:fldCharType="end"/>
      </w:r>
      <w:r>
        <w:rPr>
          <w:color w:val="auto"/>
          <w:highlight w:val="none"/>
          <w:u w:val="none"/>
        </w:rPr>
        <w:noBreakHyphen/>
      </w:r>
      <w:r>
        <w:rPr>
          <w:color w:val="auto"/>
          <w:highlight w:val="none"/>
          <w:u w:val="none"/>
        </w:rPr>
        <w:t>1</w:t>
      </w:r>
      <w:r>
        <w:rPr>
          <w:rFonts w:hint="eastAsia"/>
          <w:color w:val="auto"/>
          <w:highlight w:val="none"/>
          <w:u w:val="none"/>
          <w:lang w:val="en-US"/>
        </w:rPr>
        <w:fldChar w:fldCharType="end"/>
      </w:r>
      <w:r>
        <w:rPr>
          <w:rFonts w:hint="eastAsia"/>
          <w:color w:val="auto"/>
          <w:highlight w:val="none"/>
          <w:u w:val="none"/>
          <w:lang w:val="en-US"/>
        </w:rPr>
        <w:t>可知，现有工程主要生产地块污染物排放未超过排污许可证中的许可排放量。</w:t>
      </w:r>
    </w:p>
    <w:p w14:paraId="283122CE">
      <w:pPr>
        <w:pStyle w:val="1010"/>
        <w:rPr>
          <w:color w:val="auto"/>
          <w:highlight w:val="none"/>
          <w:u w:val="none"/>
        </w:rPr>
      </w:pPr>
      <w:bookmarkStart w:id="216" w:name="_Ref22437"/>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表格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216"/>
      <w:r>
        <w:rPr>
          <w:color w:val="auto"/>
          <w:highlight w:val="none"/>
          <w:u w:val="none"/>
        </w:rPr>
        <w:t xml:space="preserve">  </w:t>
      </w:r>
      <w:r>
        <w:rPr>
          <w:rFonts w:hint="eastAsia"/>
          <w:color w:val="auto"/>
          <w:highlight w:val="none"/>
          <w:u w:val="none"/>
        </w:rPr>
        <w:t>主要生产地块排污许可证中许可排放情况</w:t>
      </w:r>
    </w:p>
    <w:tbl>
      <w:tblPr>
        <w:tblStyle w:val="5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autofit"/>
        <w:tblCellMar>
          <w:top w:w="0" w:type="dxa"/>
          <w:left w:w="108" w:type="dxa"/>
          <w:bottom w:w="0" w:type="dxa"/>
          <w:right w:w="108" w:type="dxa"/>
        </w:tblCellMar>
      </w:tblPr>
      <w:tblGrid>
        <w:gridCol w:w="804"/>
        <w:gridCol w:w="1151"/>
        <w:gridCol w:w="1894"/>
        <w:gridCol w:w="1443"/>
        <w:gridCol w:w="1708"/>
        <w:gridCol w:w="1088"/>
        <w:gridCol w:w="1191"/>
      </w:tblGrid>
      <w:tr w14:paraId="145A8651">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433" w:hRule="atLeast"/>
          <w:jc w:val="center"/>
        </w:trPr>
        <w:tc>
          <w:tcPr>
            <w:tcW w:w="433" w:type="pct"/>
            <w:tcBorders>
              <w:tl2br w:val="nil"/>
              <w:tr2bl w:val="nil"/>
            </w:tcBorders>
            <w:vAlign w:val="center"/>
          </w:tcPr>
          <w:p w14:paraId="00110DA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污染物</w:t>
            </w:r>
          </w:p>
        </w:tc>
        <w:tc>
          <w:tcPr>
            <w:tcW w:w="620" w:type="pct"/>
            <w:tcBorders>
              <w:tl2br w:val="nil"/>
              <w:tr2bl w:val="nil"/>
            </w:tcBorders>
            <w:vAlign w:val="center"/>
          </w:tcPr>
          <w:p w14:paraId="2945B13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25万吨/年TDI项目</w:t>
            </w:r>
            <w:r>
              <w:rPr>
                <w:rFonts w:hAnsi="Times New Roman"/>
                <w:color w:val="auto"/>
                <w:kern w:val="2"/>
                <w:sz w:val="21"/>
                <w:szCs w:val="21"/>
                <w:highlight w:val="none"/>
                <w:u w:val="none"/>
                <w:lang w:val="en-US"/>
              </w:rPr>
              <w:t>t/a</w:t>
            </w:r>
          </w:p>
        </w:tc>
        <w:tc>
          <w:tcPr>
            <w:tcW w:w="1020" w:type="pct"/>
            <w:tcBorders>
              <w:tl2br w:val="nil"/>
              <w:tr2bl w:val="nil"/>
            </w:tcBorders>
            <w:vAlign w:val="center"/>
          </w:tcPr>
          <w:p w14:paraId="71AB3908">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年产48万吨甲醛项目（一期工程）</w:t>
            </w:r>
          </w:p>
          <w:p w14:paraId="50B7D10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t/a</w:t>
            </w:r>
          </w:p>
        </w:tc>
        <w:tc>
          <w:tcPr>
            <w:tcW w:w="777" w:type="pct"/>
            <w:tcBorders>
              <w:tl2br w:val="nil"/>
              <w:tr2bl w:val="nil"/>
            </w:tcBorders>
            <w:vAlign w:val="center"/>
          </w:tcPr>
          <w:p w14:paraId="36DAF3C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年产80万吨PVC项目（一期工程）</w:t>
            </w:r>
            <w:r>
              <w:rPr>
                <w:rFonts w:hAnsi="Times New Roman"/>
                <w:color w:val="auto"/>
                <w:kern w:val="2"/>
                <w:sz w:val="21"/>
                <w:szCs w:val="21"/>
                <w:highlight w:val="none"/>
                <w:u w:val="none"/>
                <w:lang w:val="en-US"/>
              </w:rPr>
              <w:t>t/a</w:t>
            </w:r>
          </w:p>
        </w:tc>
        <w:tc>
          <w:tcPr>
            <w:tcW w:w="920" w:type="pct"/>
            <w:tcBorders>
              <w:tl2br w:val="nil"/>
              <w:tr2bl w:val="nil"/>
            </w:tcBorders>
            <w:vAlign w:val="center"/>
          </w:tcPr>
          <w:p w14:paraId="08C5F06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年产108万吨苯胺项目（一期工程）t/a</w:t>
            </w:r>
          </w:p>
        </w:tc>
        <w:tc>
          <w:tcPr>
            <w:tcW w:w="586" w:type="pct"/>
            <w:tcBorders>
              <w:tl2br w:val="nil"/>
              <w:tr2bl w:val="nil"/>
            </w:tcBorders>
            <w:vAlign w:val="center"/>
          </w:tcPr>
          <w:p w14:paraId="2CA48F9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合计</w:t>
            </w:r>
          </w:p>
          <w:p w14:paraId="4025441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（t/a）</w:t>
            </w:r>
          </w:p>
        </w:tc>
        <w:tc>
          <w:tcPr>
            <w:tcW w:w="641" w:type="pct"/>
            <w:tcBorders>
              <w:tl2br w:val="nil"/>
              <w:tr2bl w:val="nil"/>
            </w:tcBorders>
            <w:vAlign w:val="center"/>
          </w:tcPr>
          <w:p w14:paraId="70B2BF1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排污许可排放量t/a</w:t>
            </w:r>
          </w:p>
        </w:tc>
      </w:tr>
      <w:tr w14:paraId="4407FF77">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433" w:type="pct"/>
            <w:tcBorders>
              <w:tl2br w:val="nil"/>
              <w:tr2bl w:val="nil"/>
            </w:tcBorders>
            <w:vAlign w:val="center"/>
          </w:tcPr>
          <w:p w14:paraId="6FDF8FB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颗粒物</w:t>
            </w:r>
          </w:p>
        </w:tc>
        <w:tc>
          <w:tcPr>
            <w:tcW w:w="620" w:type="pct"/>
            <w:tcBorders>
              <w:tl2br w:val="nil"/>
              <w:tr2bl w:val="nil"/>
            </w:tcBorders>
            <w:vAlign w:val="center"/>
          </w:tcPr>
          <w:p w14:paraId="6E9850F7">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0.00168</w:t>
            </w:r>
          </w:p>
        </w:tc>
        <w:tc>
          <w:tcPr>
            <w:tcW w:w="1020" w:type="pct"/>
            <w:tcBorders>
              <w:tl2br w:val="nil"/>
              <w:tr2bl w:val="nil"/>
            </w:tcBorders>
            <w:vAlign w:val="center"/>
          </w:tcPr>
          <w:p w14:paraId="646701A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777" w:type="pct"/>
            <w:tcBorders>
              <w:tl2br w:val="nil"/>
              <w:tr2bl w:val="nil"/>
            </w:tcBorders>
            <w:vAlign w:val="center"/>
          </w:tcPr>
          <w:p w14:paraId="5EB7292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0.559</w:t>
            </w:r>
          </w:p>
        </w:tc>
        <w:tc>
          <w:tcPr>
            <w:tcW w:w="920" w:type="pct"/>
            <w:tcBorders>
              <w:tl2br w:val="nil"/>
              <w:tr2bl w:val="nil"/>
            </w:tcBorders>
            <w:vAlign w:val="center"/>
          </w:tcPr>
          <w:p w14:paraId="33B19913">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586" w:type="pct"/>
            <w:tcBorders>
              <w:tl2br w:val="nil"/>
              <w:tr2bl w:val="nil"/>
            </w:tcBorders>
            <w:vAlign w:val="center"/>
          </w:tcPr>
          <w:p w14:paraId="3F4A4FA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0.56068</w:t>
            </w:r>
          </w:p>
        </w:tc>
        <w:tc>
          <w:tcPr>
            <w:tcW w:w="641" w:type="pct"/>
            <w:tcBorders>
              <w:tl2br w:val="nil"/>
              <w:tr2bl w:val="nil"/>
            </w:tcBorders>
            <w:vAlign w:val="center"/>
          </w:tcPr>
          <w:p w14:paraId="20DFC7F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240</w:t>
            </w:r>
          </w:p>
        </w:tc>
      </w:tr>
      <w:tr w14:paraId="73C1D31A">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433" w:type="pct"/>
            <w:tcBorders>
              <w:tl2br w:val="nil"/>
              <w:tr2bl w:val="nil"/>
            </w:tcBorders>
            <w:vAlign w:val="center"/>
          </w:tcPr>
          <w:p w14:paraId="01E047C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二氧化硫</w:t>
            </w:r>
          </w:p>
        </w:tc>
        <w:tc>
          <w:tcPr>
            <w:tcW w:w="620" w:type="pct"/>
            <w:tcBorders>
              <w:tl2br w:val="nil"/>
              <w:tr2bl w:val="nil"/>
            </w:tcBorders>
            <w:vAlign w:val="center"/>
          </w:tcPr>
          <w:p w14:paraId="142F7FEE">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1020" w:type="pct"/>
            <w:tcBorders>
              <w:tl2br w:val="nil"/>
              <w:tr2bl w:val="nil"/>
            </w:tcBorders>
            <w:vAlign w:val="center"/>
          </w:tcPr>
          <w:p w14:paraId="7D4B9BF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777" w:type="pct"/>
            <w:tcBorders>
              <w:tl2br w:val="nil"/>
              <w:tr2bl w:val="nil"/>
            </w:tcBorders>
            <w:shd w:val="clear" w:color="auto" w:fill="auto"/>
            <w:vAlign w:val="center"/>
          </w:tcPr>
          <w:p w14:paraId="58AC112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2.079</w:t>
            </w:r>
          </w:p>
        </w:tc>
        <w:tc>
          <w:tcPr>
            <w:tcW w:w="920" w:type="pct"/>
            <w:tcBorders>
              <w:tl2br w:val="nil"/>
              <w:tr2bl w:val="nil"/>
            </w:tcBorders>
            <w:vAlign w:val="center"/>
          </w:tcPr>
          <w:p w14:paraId="5C1BC44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586" w:type="pct"/>
            <w:tcBorders>
              <w:tl2br w:val="nil"/>
              <w:tr2bl w:val="nil"/>
            </w:tcBorders>
            <w:vAlign w:val="center"/>
          </w:tcPr>
          <w:p w14:paraId="304615AA">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2.079</w:t>
            </w:r>
          </w:p>
        </w:tc>
        <w:tc>
          <w:tcPr>
            <w:tcW w:w="641" w:type="pct"/>
            <w:tcBorders>
              <w:tl2br w:val="nil"/>
              <w:tr2bl w:val="nil"/>
            </w:tcBorders>
            <w:vAlign w:val="center"/>
          </w:tcPr>
          <w:p w14:paraId="0BB9D8E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4.55</w:t>
            </w:r>
          </w:p>
        </w:tc>
      </w:tr>
      <w:tr w14:paraId="4746168B">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433" w:type="pct"/>
            <w:tcBorders>
              <w:tl2br w:val="nil"/>
              <w:tr2bl w:val="nil"/>
            </w:tcBorders>
            <w:vAlign w:val="center"/>
          </w:tcPr>
          <w:p w14:paraId="6DCC827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氮氧化物</w:t>
            </w:r>
          </w:p>
        </w:tc>
        <w:tc>
          <w:tcPr>
            <w:tcW w:w="620" w:type="pct"/>
            <w:tcBorders>
              <w:tl2br w:val="nil"/>
              <w:tr2bl w:val="nil"/>
            </w:tcBorders>
            <w:vAlign w:val="center"/>
          </w:tcPr>
          <w:p w14:paraId="59B59FA3">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1020" w:type="pct"/>
            <w:tcBorders>
              <w:tl2br w:val="nil"/>
              <w:tr2bl w:val="nil"/>
            </w:tcBorders>
            <w:vAlign w:val="center"/>
          </w:tcPr>
          <w:p w14:paraId="27BA2807">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w:t>
            </w:r>
          </w:p>
        </w:tc>
        <w:tc>
          <w:tcPr>
            <w:tcW w:w="777" w:type="pct"/>
            <w:tcBorders>
              <w:tl2br w:val="nil"/>
              <w:tr2bl w:val="nil"/>
            </w:tcBorders>
            <w:shd w:val="clear" w:color="auto" w:fill="auto"/>
            <w:vAlign w:val="center"/>
          </w:tcPr>
          <w:p w14:paraId="2B9E5907">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23.75</w:t>
            </w:r>
          </w:p>
        </w:tc>
        <w:tc>
          <w:tcPr>
            <w:tcW w:w="920" w:type="pct"/>
            <w:tcBorders>
              <w:tl2br w:val="nil"/>
              <w:tr2bl w:val="nil"/>
            </w:tcBorders>
            <w:vAlign w:val="center"/>
          </w:tcPr>
          <w:p w14:paraId="74CA3C21">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19.922</w:t>
            </w:r>
          </w:p>
        </w:tc>
        <w:tc>
          <w:tcPr>
            <w:tcW w:w="586" w:type="pct"/>
            <w:tcBorders>
              <w:tl2br w:val="nil"/>
              <w:tr2bl w:val="nil"/>
            </w:tcBorders>
            <w:vAlign w:val="center"/>
          </w:tcPr>
          <w:p w14:paraId="0D71AEF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43.672</w:t>
            </w:r>
          </w:p>
        </w:tc>
        <w:tc>
          <w:tcPr>
            <w:tcW w:w="641" w:type="pct"/>
            <w:tcBorders>
              <w:tl2br w:val="nil"/>
              <w:tr2bl w:val="nil"/>
            </w:tcBorders>
            <w:vAlign w:val="center"/>
          </w:tcPr>
          <w:p w14:paraId="5D52A9B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203.192</w:t>
            </w:r>
          </w:p>
        </w:tc>
      </w:tr>
      <w:tr w14:paraId="36333BB0">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433" w:type="pct"/>
            <w:tcBorders>
              <w:tl2br w:val="nil"/>
              <w:tr2bl w:val="nil"/>
            </w:tcBorders>
            <w:vAlign w:val="center"/>
          </w:tcPr>
          <w:p w14:paraId="66DBA16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VOCs</w:t>
            </w:r>
          </w:p>
        </w:tc>
        <w:tc>
          <w:tcPr>
            <w:tcW w:w="620" w:type="pct"/>
            <w:tcBorders>
              <w:tl2br w:val="nil"/>
              <w:tr2bl w:val="nil"/>
            </w:tcBorders>
            <w:vAlign w:val="center"/>
          </w:tcPr>
          <w:p w14:paraId="12CB83C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4.60398</w:t>
            </w:r>
          </w:p>
        </w:tc>
        <w:tc>
          <w:tcPr>
            <w:tcW w:w="1020" w:type="pct"/>
            <w:tcBorders>
              <w:tl2br w:val="nil"/>
              <w:tr2bl w:val="nil"/>
            </w:tcBorders>
            <w:vAlign w:val="center"/>
          </w:tcPr>
          <w:p w14:paraId="248BF65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1.5369</w:t>
            </w:r>
          </w:p>
        </w:tc>
        <w:tc>
          <w:tcPr>
            <w:tcW w:w="777" w:type="pct"/>
            <w:tcBorders>
              <w:tl2br w:val="nil"/>
              <w:tr2bl w:val="nil"/>
            </w:tcBorders>
            <w:vAlign w:val="center"/>
          </w:tcPr>
          <w:p w14:paraId="28770BA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29.55</w:t>
            </w:r>
          </w:p>
        </w:tc>
        <w:tc>
          <w:tcPr>
            <w:tcW w:w="920" w:type="pct"/>
            <w:tcBorders>
              <w:tl2br w:val="nil"/>
              <w:tr2bl w:val="nil"/>
            </w:tcBorders>
            <w:vAlign w:val="center"/>
          </w:tcPr>
          <w:p w14:paraId="7A07C708">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1.4103</w:t>
            </w:r>
          </w:p>
        </w:tc>
        <w:tc>
          <w:tcPr>
            <w:tcW w:w="586" w:type="pct"/>
            <w:tcBorders>
              <w:tl2br w:val="nil"/>
              <w:tr2bl w:val="nil"/>
            </w:tcBorders>
            <w:vAlign w:val="center"/>
          </w:tcPr>
          <w:p w14:paraId="176B804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37.1012</w:t>
            </w:r>
          </w:p>
        </w:tc>
        <w:tc>
          <w:tcPr>
            <w:tcW w:w="641" w:type="pct"/>
            <w:tcBorders>
              <w:tl2br w:val="nil"/>
              <w:tr2bl w:val="nil"/>
            </w:tcBorders>
            <w:vAlign w:val="center"/>
          </w:tcPr>
          <w:p w14:paraId="12252619">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59.194</w:t>
            </w:r>
          </w:p>
        </w:tc>
      </w:tr>
      <w:tr w14:paraId="145389CE">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jc w:val="center"/>
        </w:trPr>
        <w:tc>
          <w:tcPr>
            <w:tcW w:w="433" w:type="pct"/>
            <w:tcBorders>
              <w:tl2br w:val="nil"/>
              <w:tr2bl w:val="nil"/>
            </w:tcBorders>
            <w:vAlign w:val="center"/>
          </w:tcPr>
          <w:p w14:paraId="6685A806">
            <w:pPr>
              <w:spacing w:line="240" w:lineRule="auto"/>
              <w:ind w:firstLine="0" w:firstLineChars="0"/>
              <w:jc w:val="center"/>
              <w:rPr>
                <w:rFonts w:hAnsi="Times New Roman"/>
                <w:color w:val="auto"/>
                <w:kern w:val="2"/>
                <w:sz w:val="21"/>
                <w:szCs w:val="21"/>
                <w:highlight w:val="none"/>
                <w:u w:val="none"/>
                <w:lang w:val="en-US"/>
              </w:rPr>
            </w:pPr>
          </w:p>
        </w:tc>
        <w:tc>
          <w:tcPr>
            <w:tcW w:w="620" w:type="pct"/>
            <w:tcBorders>
              <w:tl2br w:val="nil"/>
              <w:tr2bl w:val="nil"/>
            </w:tcBorders>
            <w:vAlign w:val="center"/>
          </w:tcPr>
          <w:p w14:paraId="308BED42">
            <w:pPr>
              <w:spacing w:line="240" w:lineRule="auto"/>
              <w:ind w:firstLine="0" w:firstLineChars="0"/>
              <w:jc w:val="center"/>
              <w:rPr>
                <w:rFonts w:hAnsi="Times New Roman"/>
                <w:color w:val="auto"/>
                <w:kern w:val="2"/>
                <w:sz w:val="21"/>
                <w:szCs w:val="21"/>
                <w:highlight w:val="none"/>
                <w:u w:val="none"/>
                <w:lang w:val="en-US"/>
              </w:rPr>
            </w:pPr>
          </w:p>
        </w:tc>
        <w:tc>
          <w:tcPr>
            <w:tcW w:w="1020" w:type="pct"/>
            <w:tcBorders>
              <w:tl2br w:val="nil"/>
              <w:tr2bl w:val="nil"/>
            </w:tcBorders>
            <w:vAlign w:val="center"/>
          </w:tcPr>
          <w:p w14:paraId="0319D938">
            <w:pPr>
              <w:spacing w:line="240" w:lineRule="auto"/>
              <w:ind w:firstLine="0" w:firstLineChars="0"/>
              <w:jc w:val="center"/>
              <w:rPr>
                <w:rFonts w:hAnsi="Times New Roman"/>
                <w:color w:val="auto"/>
                <w:kern w:val="2"/>
                <w:sz w:val="21"/>
                <w:szCs w:val="21"/>
                <w:highlight w:val="none"/>
                <w:u w:val="none"/>
                <w:lang w:val="en-US"/>
              </w:rPr>
            </w:pPr>
          </w:p>
        </w:tc>
        <w:tc>
          <w:tcPr>
            <w:tcW w:w="777" w:type="pct"/>
            <w:tcBorders>
              <w:tl2br w:val="nil"/>
              <w:tr2bl w:val="nil"/>
            </w:tcBorders>
            <w:vAlign w:val="center"/>
          </w:tcPr>
          <w:p w14:paraId="11AEDD76">
            <w:pPr>
              <w:spacing w:line="240" w:lineRule="auto"/>
              <w:ind w:firstLine="0" w:firstLineChars="0"/>
              <w:jc w:val="center"/>
              <w:rPr>
                <w:rFonts w:hAnsi="Times New Roman"/>
                <w:color w:val="auto"/>
                <w:kern w:val="2"/>
                <w:sz w:val="21"/>
                <w:szCs w:val="21"/>
                <w:highlight w:val="none"/>
                <w:u w:val="none"/>
                <w:lang w:val="en-US"/>
              </w:rPr>
            </w:pPr>
          </w:p>
        </w:tc>
        <w:tc>
          <w:tcPr>
            <w:tcW w:w="920" w:type="pct"/>
            <w:tcBorders>
              <w:tl2br w:val="nil"/>
              <w:tr2bl w:val="nil"/>
            </w:tcBorders>
            <w:vAlign w:val="center"/>
          </w:tcPr>
          <w:p w14:paraId="7C72C079">
            <w:pPr>
              <w:spacing w:line="240" w:lineRule="auto"/>
              <w:ind w:firstLine="0" w:firstLineChars="0"/>
              <w:jc w:val="center"/>
              <w:rPr>
                <w:rFonts w:hAnsi="Times New Roman"/>
                <w:color w:val="auto"/>
                <w:kern w:val="2"/>
                <w:sz w:val="21"/>
                <w:szCs w:val="21"/>
                <w:highlight w:val="none"/>
                <w:u w:val="none"/>
                <w:lang w:val="en-US"/>
              </w:rPr>
            </w:pPr>
          </w:p>
        </w:tc>
        <w:tc>
          <w:tcPr>
            <w:tcW w:w="586" w:type="pct"/>
            <w:tcBorders>
              <w:tl2br w:val="nil"/>
              <w:tr2bl w:val="nil"/>
            </w:tcBorders>
            <w:vAlign w:val="center"/>
          </w:tcPr>
          <w:p w14:paraId="594ED32C">
            <w:pPr>
              <w:spacing w:line="240" w:lineRule="auto"/>
              <w:ind w:firstLine="0" w:firstLineChars="0"/>
              <w:jc w:val="center"/>
              <w:rPr>
                <w:rFonts w:hAnsi="Times New Roman"/>
                <w:color w:val="auto"/>
                <w:kern w:val="2"/>
                <w:sz w:val="21"/>
                <w:szCs w:val="21"/>
                <w:highlight w:val="none"/>
                <w:u w:val="none"/>
                <w:lang w:val="en-US"/>
              </w:rPr>
            </w:pPr>
          </w:p>
        </w:tc>
        <w:tc>
          <w:tcPr>
            <w:tcW w:w="641" w:type="pct"/>
            <w:tcBorders>
              <w:tl2br w:val="nil"/>
              <w:tr2bl w:val="nil"/>
            </w:tcBorders>
            <w:vAlign w:val="center"/>
          </w:tcPr>
          <w:p w14:paraId="40082A82">
            <w:pPr>
              <w:spacing w:line="240" w:lineRule="auto"/>
              <w:ind w:firstLine="0" w:firstLineChars="0"/>
              <w:jc w:val="center"/>
              <w:rPr>
                <w:rFonts w:hAnsi="Times New Roman"/>
                <w:color w:val="auto"/>
                <w:kern w:val="2"/>
                <w:sz w:val="21"/>
                <w:szCs w:val="21"/>
                <w:highlight w:val="none"/>
                <w:u w:val="none"/>
                <w:lang w:val="en-US"/>
              </w:rPr>
            </w:pPr>
          </w:p>
        </w:tc>
      </w:tr>
    </w:tbl>
    <w:p w14:paraId="63DA6FBD">
      <w:pPr>
        <w:rPr>
          <w:rFonts w:hint="eastAsia"/>
          <w:color w:val="auto"/>
          <w:highlight w:val="none"/>
          <w:u w:val="none"/>
          <w:lang w:val="en-US"/>
        </w:rPr>
      </w:pPr>
      <w:r>
        <w:rPr>
          <w:rFonts w:hint="eastAsia"/>
          <w:color w:val="auto"/>
          <w:highlight w:val="none"/>
          <w:u w:val="none"/>
          <w:lang w:val="en-US"/>
        </w:rPr>
        <w:t>（2）气体装置地块</w:t>
      </w:r>
    </w:p>
    <w:p w14:paraId="4DFD7F93">
      <w:pPr>
        <w:rPr>
          <w:rFonts w:hint="eastAsia"/>
          <w:color w:val="auto"/>
          <w:highlight w:val="none"/>
          <w:u w:val="none"/>
          <w:lang w:val="en-US"/>
        </w:rPr>
      </w:pPr>
      <w:r>
        <w:rPr>
          <w:lang w:val="en-US"/>
        </w:rPr>
        <w:t>万华福建公司气体</w:t>
      </w:r>
      <w:r>
        <w:rPr>
          <w:rFonts w:hint="eastAsia"/>
          <w:lang w:val="en-US"/>
        </w:rPr>
        <w:t>装置厂区</w:t>
      </w:r>
      <w:r>
        <w:rPr>
          <w:lang w:val="en-US"/>
        </w:rPr>
        <w:t>于2022年6月对大型煤气化项目进行了排污许可证的申领（证书编号：91350181MA33QYY14K002P，有效期为2022年8月22日至2027年8月21日）。排污许可证中SO</w:t>
      </w:r>
      <w:r>
        <w:rPr>
          <w:vertAlign w:val="subscript"/>
          <w:lang w:val="en-US"/>
        </w:rPr>
        <w:t>2</w:t>
      </w:r>
      <w:r>
        <w:rPr>
          <w:lang w:val="en-US"/>
        </w:rPr>
        <w:t>和N</w:t>
      </w:r>
      <w:r>
        <w:rPr>
          <w:rFonts w:hint="eastAsia"/>
          <w:lang w:val="en-US"/>
        </w:rPr>
        <w:t>O</w:t>
      </w:r>
      <w:r>
        <w:rPr>
          <w:lang w:val="en-US"/>
        </w:rPr>
        <w:t>x</w:t>
      </w:r>
      <w:r>
        <w:rPr>
          <w:rFonts w:hint="eastAsia"/>
          <w:lang w:val="en-US"/>
        </w:rPr>
        <w:t>许可</w:t>
      </w:r>
      <w:r>
        <w:rPr>
          <w:lang w:val="en-US"/>
        </w:rPr>
        <w:t>排放量分别为；COD、氨氮和总氮的</w:t>
      </w:r>
      <w:r>
        <w:rPr>
          <w:rFonts w:hint="eastAsia"/>
          <w:lang w:val="en-US"/>
        </w:rPr>
        <w:t>许可</w:t>
      </w:r>
      <w:r>
        <w:rPr>
          <w:lang w:val="en-US"/>
        </w:rPr>
        <w:t>排放总量分别为。</w:t>
      </w:r>
      <w:r>
        <w:rPr>
          <w:rFonts w:hint="eastAsia"/>
          <w:lang w:val="en-US"/>
        </w:rPr>
        <w:t>气体装置地块排污许可执行情况见</w:t>
      </w:r>
      <w:r>
        <w:rPr>
          <w:rFonts w:hint="eastAsia"/>
          <w:lang w:val="en-US"/>
        </w:rPr>
        <w:fldChar w:fldCharType="begin"/>
      </w:r>
      <w:r>
        <w:rPr>
          <w:rFonts w:hint="eastAsia"/>
          <w:lang w:val="en-US"/>
        </w:rPr>
        <w:instrText xml:space="preserve"> REF _Ref9161 \h </w:instrText>
      </w:r>
      <w:r>
        <w:rPr>
          <w:rFonts w:hint="eastAsia"/>
          <w:lang w:val="en-US"/>
        </w:rPr>
        <w:fldChar w:fldCharType="separate"/>
      </w:r>
      <w:r>
        <w:t>表</w:t>
      </w:r>
      <w:r>
        <w:fldChar w:fldCharType="begin"/>
      </w:r>
      <w:r>
        <w:instrText xml:space="preserve"> STYLEREF 2 \s </w:instrText>
      </w:r>
      <w:r>
        <w:fldChar w:fldCharType="separate"/>
      </w:r>
      <w:r>
        <w:t>3.11</w:t>
      </w:r>
      <w:r>
        <w:fldChar w:fldCharType="end"/>
      </w:r>
      <w:r>
        <w:noBreakHyphen/>
      </w:r>
      <w:r>
        <w:t>2</w:t>
      </w:r>
      <w:r>
        <w:rPr>
          <w:rFonts w:hint="eastAsia"/>
          <w:lang w:val="en-US"/>
        </w:rPr>
        <w:fldChar w:fldCharType="end"/>
      </w:r>
      <w:r>
        <w:rPr>
          <w:rFonts w:hint="eastAsia"/>
          <w:lang w:val="en-US"/>
        </w:rPr>
        <w:t>。根据</w:t>
      </w:r>
      <w:r>
        <w:rPr>
          <w:rFonts w:hint="eastAsia"/>
          <w:lang w:val="en-US"/>
        </w:rPr>
        <w:fldChar w:fldCharType="begin"/>
      </w:r>
      <w:r>
        <w:rPr>
          <w:rFonts w:hint="eastAsia"/>
          <w:lang w:val="en-US"/>
        </w:rPr>
        <w:instrText xml:space="preserve"> REF _Ref9161 \h </w:instrText>
      </w:r>
      <w:r>
        <w:rPr>
          <w:rFonts w:hint="eastAsia"/>
          <w:lang w:val="en-US"/>
        </w:rPr>
        <w:fldChar w:fldCharType="separate"/>
      </w:r>
      <w:r>
        <w:t>表</w:t>
      </w:r>
      <w:r>
        <w:fldChar w:fldCharType="begin"/>
      </w:r>
      <w:r>
        <w:instrText xml:space="preserve"> STYLEREF 2 \s </w:instrText>
      </w:r>
      <w:r>
        <w:fldChar w:fldCharType="separate"/>
      </w:r>
      <w:r>
        <w:t>3.11</w:t>
      </w:r>
      <w:r>
        <w:fldChar w:fldCharType="end"/>
      </w:r>
      <w:r>
        <w:noBreakHyphen/>
      </w:r>
      <w:r>
        <w:t>2</w:t>
      </w:r>
      <w:r>
        <w:rPr>
          <w:rFonts w:hint="eastAsia"/>
          <w:lang w:val="en-US"/>
        </w:rPr>
        <w:fldChar w:fldCharType="end"/>
      </w:r>
      <w:r>
        <w:rPr>
          <w:rFonts w:hint="eastAsia"/>
          <w:lang w:val="en-US"/>
        </w:rPr>
        <w:t>可知，现有工程气体装置地块污染物未超过排污许可证中许可排放量</w:t>
      </w:r>
      <w:r>
        <w:rPr>
          <w:rFonts w:hint="eastAsia"/>
          <w:color w:val="auto"/>
          <w:highlight w:val="none"/>
          <w:u w:val="none"/>
          <w:lang w:val="en-US"/>
        </w:rPr>
        <w:t>。</w:t>
      </w:r>
    </w:p>
    <w:p w14:paraId="1114030C">
      <w:pPr>
        <w:pStyle w:val="1010"/>
        <w:rPr>
          <w:color w:val="auto"/>
          <w:highlight w:val="none"/>
          <w:u w:val="none"/>
        </w:rPr>
      </w:pPr>
      <w:bookmarkStart w:id="217" w:name="_Ref9161"/>
      <w:r>
        <w:rPr>
          <w:color w:val="auto"/>
          <w:highlight w:val="none"/>
          <w:u w:val="none"/>
        </w:rPr>
        <w:t>表</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3.11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表格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217"/>
      <w:r>
        <w:rPr>
          <w:color w:val="auto"/>
          <w:highlight w:val="none"/>
          <w:u w:val="none"/>
        </w:rPr>
        <w:t xml:space="preserve">  </w:t>
      </w:r>
      <w:r>
        <w:rPr>
          <w:rFonts w:hint="eastAsia"/>
          <w:color w:val="auto"/>
          <w:highlight w:val="none"/>
          <w:u w:val="none"/>
        </w:rPr>
        <w:t>气体装置地块排污许可证中许可排放情况</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14:paraId="79C1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14:paraId="47C59244">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种类</w:t>
            </w:r>
          </w:p>
        </w:tc>
        <w:tc>
          <w:tcPr>
            <w:tcW w:w="2321" w:type="dxa"/>
          </w:tcPr>
          <w:p w14:paraId="0189094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污染物</w:t>
            </w:r>
          </w:p>
        </w:tc>
        <w:tc>
          <w:tcPr>
            <w:tcW w:w="2322" w:type="dxa"/>
          </w:tcPr>
          <w:p w14:paraId="0136BD92">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实际排放量t/a</w:t>
            </w:r>
          </w:p>
        </w:tc>
        <w:tc>
          <w:tcPr>
            <w:tcW w:w="2322" w:type="dxa"/>
          </w:tcPr>
          <w:p w14:paraId="2C13416A">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排污许可排放量t/a</w:t>
            </w:r>
          </w:p>
        </w:tc>
      </w:tr>
      <w:tr w14:paraId="798F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Merge w:val="restart"/>
          </w:tcPr>
          <w:p w14:paraId="06DCF4FA">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废气</w:t>
            </w:r>
          </w:p>
        </w:tc>
        <w:tc>
          <w:tcPr>
            <w:tcW w:w="2321" w:type="dxa"/>
          </w:tcPr>
          <w:p w14:paraId="65AEDFA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SO</w:t>
            </w:r>
            <w:r>
              <w:rPr>
                <w:rFonts w:hint="eastAsia" w:hAnsi="Times New Roman"/>
                <w:color w:val="auto"/>
                <w:kern w:val="2"/>
                <w:sz w:val="21"/>
                <w:szCs w:val="21"/>
                <w:highlight w:val="none"/>
                <w:u w:val="none"/>
                <w:vertAlign w:val="subscript"/>
                <w:lang w:val="en-US"/>
              </w:rPr>
              <w:t>2</w:t>
            </w:r>
          </w:p>
        </w:tc>
        <w:tc>
          <w:tcPr>
            <w:tcW w:w="2322" w:type="dxa"/>
          </w:tcPr>
          <w:p w14:paraId="00C7ED48">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0.776</w:t>
            </w:r>
          </w:p>
        </w:tc>
        <w:tc>
          <w:tcPr>
            <w:tcW w:w="2322" w:type="dxa"/>
          </w:tcPr>
          <w:p w14:paraId="10E6992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7.7056</w:t>
            </w:r>
          </w:p>
        </w:tc>
      </w:tr>
      <w:tr w14:paraId="1E0A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Merge w:val="continue"/>
          </w:tcPr>
          <w:p w14:paraId="0A4E87DB">
            <w:pPr>
              <w:spacing w:line="240" w:lineRule="auto"/>
              <w:ind w:firstLine="0" w:firstLineChars="0"/>
              <w:jc w:val="center"/>
              <w:rPr>
                <w:rFonts w:hAnsi="Times New Roman"/>
                <w:color w:val="auto"/>
                <w:kern w:val="2"/>
                <w:sz w:val="21"/>
                <w:szCs w:val="21"/>
                <w:highlight w:val="none"/>
                <w:u w:val="none"/>
                <w:lang w:val="en-US"/>
              </w:rPr>
            </w:pPr>
          </w:p>
        </w:tc>
        <w:tc>
          <w:tcPr>
            <w:tcW w:w="2321" w:type="dxa"/>
          </w:tcPr>
          <w:p w14:paraId="01BE9FE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NOx</w:t>
            </w:r>
          </w:p>
        </w:tc>
        <w:tc>
          <w:tcPr>
            <w:tcW w:w="2322" w:type="dxa"/>
          </w:tcPr>
          <w:p w14:paraId="0909DF87">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0.368</w:t>
            </w:r>
          </w:p>
        </w:tc>
        <w:tc>
          <w:tcPr>
            <w:tcW w:w="2322" w:type="dxa"/>
          </w:tcPr>
          <w:p w14:paraId="5AD0F9C3">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7.7056</w:t>
            </w:r>
          </w:p>
        </w:tc>
      </w:tr>
      <w:tr w14:paraId="2E93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Merge w:val="restart"/>
          </w:tcPr>
          <w:p w14:paraId="171FFB8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废水</w:t>
            </w:r>
          </w:p>
        </w:tc>
        <w:tc>
          <w:tcPr>
            <w:tcW w:w="2321" w:type="dxa"/>
          </w:tcPr>
          <w:p w14:paraId="41026CC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COD</w:t>
            </w:r>
          </w:p>
        </w:tc>
        <w:tc>
          <w:tcPr>
            <w:tcW w:w="2322" w:type="dxa"/>
          </w:tcPr>
          <w:p w14:paraId="1512C663">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135.35</w:t>
            </w:r>
          </w:p>
        </w:tc>
        <w:tc>
          <w:tcPr>
            <w:tcW w:w="2322" w:type="dxa"/>
          </w:tcPr>
          <w:p w14:paraId="0C518621">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236</w:t>
            </w:r>
          </w:p>
        </w:tc>
      </w:tr>
      <w:tr w14:paraId="666E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Merge w:val="continue"/>
          </w:tcPr>
          <w:p w14:paraId="6731D42A">
            <w:pPr>
              <w:spacing w:line="240" w:lineRule="auto"/>
              <w:ind w:firstLine="0" w:firstLineChars="0"/>
              <w:jc w:val="center"/>
              <w:rPr>
                <w:rFonts w:hAnsi="Times New Roman"/>
                <w:color w:val="auto"/>
                <w:kern w:val="2"/>
                <w:sz w:val="21"/>
                <w:szCs w:val="21"/>
                <w:highlight w:val="none"/>
                <w:u w:val="none"/>
                <w:lang w:val="en-US"/>
              </w:rPr>
            </w:pPr>
          </w:p>
        </w:tc>
        <w:tc>
          <w:tcPr>
            <w:tcW w:w="2321" w:type="dxa"/>
          </w:tcPr>
          <w:p w14:paraId="7DA5408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氨氮</w:t>
            </w:r>
          </w:p>
        </w:tc>
        <w:tc>
          <w:tcPr>
            <w:tcW w:w="2322" w:type="dxa"/>
          </w:tcPr>
          <w:p w14:paraId="47AA2D4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13.53</w:t>
            </w:r>
          </w:p>
        </w:tc>
        <w:tc>
          <w:tcPr>
            <w:tcW w:w="2322" w:type="dxa"/>
          </w:tcPr>
          <w:p w14:paraId="6697BE5A">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35.4</w:t>
            </w:r>
          </w:p>
        </w:tc>
      </w:tr>
      <w:tr w14:paraId="62F1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vMerge w:val="continue"/>
          </w:tcPr>
          <w:p w14:paraId="3841A77F">
            <w:pPr>
              <w:spacing w:line="240" w:lineRule="auto"/>
              <w:ind w:firstLine="0" w:firstLineChars="0"/>
              <w:jc w:val="center"/>
              <w:rPr>
                <w:rFonts w:hAnsi="Times New Roman"/>
                <w:color w:val="auto"/>
                <w:kern w:val="2"/>
                <w:sz w:val="21"/>
                <w:szCs w:val="21"/>
                <w:highlight w:val="none"/>
                <w:u w:val="none"/>
                <w:lang w:val="en-US"/>
              </w:rPr>
            </w:pPr>
          </w:p>
        </w:tc>
        <w:tc>
          <w:tcPr>
            <w:tcW w:w="2321" w:type="dxa"/>
          </w:tcPr>
          <w:p w14:paraId="49C37B11">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总氮</w:t>
            </w:r>
          </w:p>
        </w:tc>
        <w:tc>
          <w:tcPr>
            <w:tcW w:w="2322" w:type="dxa"/>
          </w:tcPr>
          <w:p w14:paraId="6B55236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40.6</w:t>
            </w:r>
          </w:p>
        </w:tc>
        <w:tc>
          <w:tcPr>
            <w:tcW w:w="2322" w:type="dxa"/>
          </w:tcPr>
          <w:p w14:paraId="3C3BF34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266.82</w:t>
            </w:r>
          </w:p>
        </w:tc>
      </w:tr>
    </w:tbl>
    <w:p w14:paraId="56922826">
      <w:pPr>
        <w:rPr>
          <w:rFonts w:hint="eastAsia"/>
          <w:color w:val="auto"/>
          <w:highlight w:val="none"/>
          <w:u w:val="none"/>
          <w:lang w:val="en-US"/>
        </w:rPr>
      </w:pPr>
    </w:p>
    <w:p w14:paraId="401B2208">
      <w:pPr>
        <w:pStyle w:val="6"/>
        <w:spacing w:before="156" w:after="156"/>
        <w:rPr>
          <w:color w:val="auto"/>
          <w:highlight w:val="none"/>
          <w:u w:val="none"/>
        </w:rPr>
      </w:pP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有限公司排污许可证核发情况</w:t>
      </w:r>
    </w:p>
    <w:p w14:paraId="6BF559C8">
      <w:pPr>
        <w:rPr>
          <w:rFonts w:hint="eastAsia"/>
          <w:color w:val="auto"/>
          <w:highlight w:val="none"/>
          <w:u w:val="none"/>
        </w:rPr>
      </w:pPr>
      <w:r>
        <w:rPr>
          <w:rFonts w:hint="eastAsia"/>
          <w:lang w:val="en-US"/>
        </w:rPr>
        <w:t>2024年5月13日，万华环保科技公司申请</w:t>
      </w:r>
      <w:r>
        <w:rPr>
          <w:rFonts w:hint="eastAsia"/>
        </w:rPr>
        <w:t>排污许可证（证书编号：91350181MAC3HFKQ55001V），</w:t>
      </w:r>
      <w:r>
        <w:rPr>
          <w:rFonts w:hint="eastAsia"/>
          <w:lang w:val="en-US"/>
        </w:rPr>
        <w:t>有效期为2024年5月13日至2029年5月12日。</w:t>
      </w:r>
      <w:r>
        <w:rPr>
          <w:lang w:val="en-US"/>
        </w:rPr>
        <w:t>排污许可证中</w:t>
      </w:r>
      <w:r>
        <w:rPr>
          <w:rFonts w:hint="eastAsia"/>
          <w:lang w:val="en-US"/>
        </w:rPr>
        <w:t>废气污染物颗粒物、SO</w:t>
      </w:r>
      <w:r>
        <w:rPr>
          <w:rFonts w:hint="eastAsia"/>
          <w:vertAlign w:val="subscript"/>
          <w:lang w:val="en-US"/>
        </w:rPr>
        <w:t>2</w:t>
      </w:r>
      <w:r>
        <w:rPr>
          <w:rFonts w:hint="eastAsia"/>
          <w:lang w:val="en-US"/>
        </w:rPr>
        <w:t>、NO</w:t>
      </w:r>
      <w:r>
        <w:rPr>
          <w:rFonts w:hint="eastAsia"/>
          <w:vertAlign w:val="subscript"/>
          <w:lang w:val="en-US"/>
        </w:rPr>
        <w:t>X</w:t>
      </w:r>
      <w:r>
        <w:rPr>
          <w:rFonts w:hint="eastAsia"/>
          <w:lang w:val="en-US"/>
        </w:rPr>
        <w:t>、VOC</w:t>
      </w:r>
      <w:r>
        <w:rPr>
          <w:vertAlign w:val="subscript"/>
          <w:lang w:val="en-US"/>
        </w:rPr>
        <w:t>S</w:t>
      </w:r>
      <w:r>
        <w:rPr>
          <w:lang w:val="en-US"/>
        </w:rPr>
        <w:t>排放量分别为t/a</w:t>
      </w:r>
      <w:r>
        <w:rPr>
          <w:rFonts w:hint="eastAsia"/>
          <w:lang w:val="en-US"/>
        </w:rPr>
        <w:t>；废水污染物CODcr、氨氮、总氮排放量</w:t>
      </w:r>
      <w:r>
        <w:rPr>
          <w:color w:val="auto"/>
          <w:highlight w:val="none"/>
          <w:u w:val="none"/>
          <w:lang w:val="en-US"/>
        </w:rPr>
        <w:t>。</w:t>
      </w:r>
    </w:p>
    <w:p w14:paraId="3E82356F">
      <w:pPr>
        <w:pStyle w:val="6"/>
        <w:spacing w:before="156" w:after="156"/>
        <w:rPr>
          <w:color w:val="auto"/>
          <w:highlight w:val="none"/>
          <w:u w:val="none"/>
          <w:lang w:val="en-US"/>
        </w:rPr>
      </w:pPr>
      <w:r>
        <w:rPr>
          <w:rFonts w:hint="eastAsia"/>
          <w:color w:val="auto"/>
          <w:highlight w:val="none"/>
          <w:u w:val="none"/>
          <w:lang w:val="en-US"/>
        </w:rPr>
        <w:t>自行监测情况</w:t>
      </w:r>
    </w:p>
    <w:p w14:paraId="2448ACD5">
      <w:pPr>
        <w:rPr>
          <w:rFonts w:hint="eastAsia"/>
          <w:color w:val="auto"/>
          <w:highlight w:val="none"/>
          <w:u w:val="none"/>
          <w:lang w:val="en-US"/>
        </w:rPr>
      </w:pPr>
      <w:r>
        <w:rPr>
          <w:rFonts w:hint="eastAsia"/>
          <w:color w:val="auto"/>
          <w:highlight w:val="none"/>
          <w:u w:val="none"/>
          <w:lang w:val="en-US"/>
        </w:rPr>
        <w:t>（1）</w:t>
      </w:r>
      <w:r>
        <w:rPr>
          <w:color w:val="auto"/>
          <w:highlight w:val="none"/>
          <w:u w:val="none"/>
          <w:lang w:val="en-US"/>
        </w:rPr>
        <w:t>废气</w:t>
      </w:r>
      <w:r>
        <w:rPr>
          <w:rFonts w:hint="eastAsia"/>
          <w:color w:val="auto"/>
          <w:highlight w:val="none"/>
          <w:u w:val="none"/>
          <w:lang w:val="en-US"/>
        </w:rPr>
        <w:t>自行监测达标</w:t>
      </w:r>
      <w:r>
        <w:rPr>
          <w:color w:val="auto"/>
          <w:highlight w:val="none"/>
          <w:u w:val="none"/>
          <w:lang w:val="en-US"/>
        </w:rPr>
        <w:t>情况</w:t>
      </w:r>
    </w:p>
    <w:p w14:paraId="131B2220">
      <w:pPr>
        <w:rPr>
          <w:rFonts w:hint="eastAsia"/>
          <w:color w:val="auto"/>
          <w:highlight w:val="none"/>
          <w:u w:val="none"/>
          <w:lang w:val="en-US"/>
        </w:rPr>
      </w:pPr>
      <w:r>
        <w:rPr>
          <w:rFonts w:hint="eastAsia" w:ascii="Calibri" w:hAnsi="Calibri" w:cs="Calibri"/>
          <w:color w:val="auto"/>
          <w:highlight w:val="none"/>
          <w:u w:val="none"/>
          <w:lang w:val="en-US"/>
        </w:rPr>
        <w:t>①</w:t>
      </w:r>
      <w:r>
        <w:rPr>
          <w:rFonts w:hint="eastAsia"/>
          <w:color w:val="auto"/>
          <w:highlight w:val="none"/>
          <w:u w:val="none"/>
          <w:lang w:val="en-US"/>
        </w:rPr>
        <w:t>有组织废气自行监测达标情况</w:t>
      </w:r>
    </w:p>
    <w:p w14:paraId="12F8E8B0">
      <w:pPr>
        <w:rPr>
          <w:rFonts w:hAnsi="Times New Roman"/>
          <w:color w:val="auto"/>
          <w:kern w:val="2"/>
          <w:szCs w:val="28"/>
          <w:highlight w:val="none"/>
          <w:u w:val="none"/>
          <w:lang w:val="en-US"/>
        </w:rPr>
      </w:pPr>
      <w:bookmarkStart w:id="218" w:name="_Hlk173422165"/>
      <w:r>
        <w:rPr>
          <w:rFonts w:hint="eastAsia" w:hAnsi="Times New Roman"/>
          <w:color w:val="auto"/>
          <w:kern w:val="2"/>
          <w:szCs w:val="28"/>
          <w:highlight w:val="none"/>
          <w:u w:val="none"/>
          <w:lang w:val="en-US"/>
        </w:rPr>
        <w:t>2024年5月以来万华福建公司主要生产地块已完成验收的装置包括25万吨/年TDI、甲醛装置一期，PVC项目一期，苯胺项目一期。</w:t>
      </w:r>
    </w:p>
    <w:p w14:paraId="72037137">
      <w:pPr>
        <w:rPr>
          <w:rFonts w:hint="eastAsia"/>
          <w:color w:val="auto"/>
          <w:highlight w:val="none"/>
          <w:u w:val="none"/>
          <w:lang w:val="en-US"/>
        </w:rPr>
      </w:pPr>
      <w:r>
        <w:rPr>
          <w:rFonts w:hint="eastAsia"/>
          <w:color w:val="auto"/>
          <w:kern w:val="2"/>
          <w:szCs w:val="28"/>
          <w:highlight w:val="none"/>
          <w:u w:val="none"/>
          <w:lang w:val="en-US"/>
        </w:rPr>
        <w:t>根据前文分析，在验收期间正常工况下，</w:t>
      </w:r>
      <w:r>
        <w:rPr>
          <w:rFonts w:hint="eastAsia" w:hAnsi="Times New Roman"/>
          <w:color w:val="auto"/>
          <w:kern w:val="2"/>
          <w:szCs w:val="28"/>
          <w:highlight w:val="none"/>
          <w:u w:val="none"/>
          <w:lang w:val="en-US"/>
        </w:rPr>
        <w:t>25万吨/年TDI、甲醛装置一期、PVC项目一期、苯胺项目一期，</w:t>
      </w:r>
      <w:r>
        <w:rPr>
          <w:rFonts w:hint="eastAsia"/>
          <w:color w:val="auto"/>
          <w:highlight w:val="none"/>
          <w:u w:val="none"/>
          <w:lang w:val="en-US"/>
        </w:rPr>
        <w:t>各设备排放口排放的污染物均能满足相应的排放标准限值要求。</w:t>
      </w:r>
    </w:p>
    <w:p w14:paraId="091B3D8D">
      <w:pPr>
        <w:rPr>
          <w:rFonts w:hint="eastAsia"/>
          <w:color w:val="auto"/>
          <w:highlight w:val="none"/>
          <w:u w:val="none"/>
          <w:lang w:val="en-US"/>
        </w:rPr>
      </w:pPr>
      <w:r>
        <w:rPr>
          <w:rFonts w:hint="eastAsia"/>
          <w:color w:val="auto"/>
          <w:highlight w:val="none"/>
          <w:u w:val="none"/>
          <w:lang w:val="en-US"/>
        </w:rPr>
        <w:t>企业也对各装置区调试阶段至今的废气排放进行自行监测：在线监测的装置有甲醛装置区甲醛吸收塔（非甲烷总烃）、PVC装置区焚烧炉（SO</w:t>
      </w:r>
      <w:r>
        <w:rPr>
          <w:rFonts w:hint="eastAsia"/>
          <w:color w:val="auto"/>
          <w:highlight w:val="none"/>
          <w:u w:val="none"/>
          <w:vertAlign w:val="subscript"/>
          <w:lang w:val="en-US"/>
        </w:rPr>
        <w:t>2</w:t>
      </w:r>
      <w:r>
        <w:rPr>
          <w:rFonts w:hint="eastAsia"/>
          <w:color w:val="auto"/>
          <w:highlight w:val="none"/>
          <w:u w:val="none"/>
          <w:lang w:val="en-US"/>
        </w:rPr>
        <w:t>、NO</w:t>
      </w:r>
      <w:r>
        <w:rPr>
          <w:rFonts w:hint="eastAsia"/>
          <w:color w:val="auto"/>
          <w:highlight w:val="none"/>
          <w:u w:val="none"/>
          <w:vertAlign w:val="subscript"/>
          <w:lang w:val="en-US"/>
        </w:rPr>
        <w:t>X</w:t>
      </w:r>
      <w:r>
        <w:rPr>
          <w:rFonts w:hint="eastAsia"/>
          <w:color w:val="auto"/>
          <w:highlight w:val="none"/>
          <w:u w:val="none"/>
          <w:lang w:val="en-US"/>
        </w:rPr>
        <w:t>、烟尘、非甲烷总烃）和裂解炉（SO</w:t>
      </w:r>
      <w:r>
        <w:rPr>
          <w:rFonts w:hint="eastAsia"/>
          <w:color w:val="auto"/>
          <w:highlight w:val="none"/>
          <w:u w:val="none"/>
          <w:vertAlign w:val="subscript"/>
          <w:lang w:val="en-US"/>
        </w:rPr>
        <w:t>2</w:t>
      </w:r>
      <w:r>
        <w:rPr>
          <w:rFonts w:hint="eastAsia"/>
          <w:color w:val="auto"/>
          <w:highlight w:val="none"/>
          <w:u w:val="none"/>
          <w:lang w:val="en-US"/>
        </w:rPr>
        <w:t>、NO</w:t>
      </w:r>
      <w:r>
        <w:rPr>
          <w:rFonts w:hint="eastAsia"/>
          <w:color w:val="auto"/>
          <w:highlight w:val="none"/>
          <w:u w:val="none"/>
          <w:vertAlign w:val="subscript"/>
          <w:lang w:val="en-US"/>
        </w:rPr>
        <w:t>X</w:t>
      </w:r>
      <w:r>
        <w:rPr>
          <w:rFonts w:hint="eastAsia"/>
          <w:color w:val="auto"/>
          <w:highlight w:val="none"/>
          <w:u w:val="none"/>
          <w:lang w:val="en-US"/>
        </w:rPr>
        <w:t>）、苯胺装置区硝酸尾气排放口（NO</w:t>
      </w:r>
      <w:r>
        <w:rPr>
          <w:rFonts w:hint="eastAsia"/>
          <w:color w:val="auto"/>
          <w:highlight w:val="none"/>
          <w:u w:val="none"/>
          <w:vertAlign w:val="subscript"/>
          <w:lang w:val="en-US"/>
        </w:rPr>
        <w:t>X</w:t>
      </w:r>
      <w:r>
        <w:rPr>
          <w:rFonts w:hint="eastAsia"/>
          <w:color w:val="auto"/>
          <w:highlight w:val="none"/>
          <w:u w:val="none"/>
          <w:lang w:val="en-US"/>
        </w:rPr>
        <w:t>），根据2024年全年在线监测结果，各设备排放口排放的污染物均能满足相应的标准限值要求（除检修、开停车等非正常工况外）。</w:t>
      </w:r>
    </w:p>
    <w:p w14:paraId="7514F35B">
      <w:pPr>
        <w:rPr>
          <w:rFonts w:hint="eastAsia"/>
          <w:color w:val="auto"/>
          <w:highlight w:val="none"/>
          <w:u w:val="none"/>
          <w:lang w:val="en-US"/>
        </w:rPr>
      </w:pPr>
      <w:r>
        <w:rPr>
          <w:rFonts w:hint="eastAsia"/>
          <w:color w:val="auto"/>
          <w:highlight w:val="none"/>
          <w:u w:val="none"/>
          <w:lang w:val="en-US"/>
        </w:rPr>
        <w:t>同时建设单位对各装置区进行委托监测，根据2024年全年监测情况，2024年1月23日、7月23日建设单位委托对PVC一期装置废气1</w:t>
      </w:r>
      <w:r>
        <w:rPr>
          <w:color w:val="auto"/>
          <w:highlight w:val="none"/>
          <w:u w:val="none"/>
        </w:rPr>
        <w:t>套焚烧炉</w:t>
      </w:r>
      <w:r>
        <w:rPr>
          <w:rFonts w:hint="eastAsia"/>
          <w:color w:val="auto"/>
          <w:highlight w:val="none"/>
          <w:u w:val="none"/>
          <w:lang w:val="en-US"/>
        </w:rPr>
        <w:t>（氯化氢、二氯乙烷</w:t>
      </w:r>
      <w:r>
        <w:rPr>
          <w:color w:val="auto"/>
          <w:highlight w:val="none"/>
          <w:u w:val="none"/>
        </w:rPr>
        <w:t>）</w:t>
      </w:r>
      <w:r>
        <w:rPr>
          <w:rFonts w:hint="eastAsia"/>
          <w:color w:val="auto"/>
          <w:highlight w:val="none"/>
          <w:u w:val="none"/>
        </w:rPr>
        <w:t>、</w:t>
      </w:r>
      <w:r>
        <w:rPr>
          <w:rFonts w:hint="eastAsia"/>
          <w:color w:val="auto"/>
          <w:highlight w:val="none"/>
          <w:u w:val="none"/>
          <w:lang w:val="en-US"/>
        </w:rPr>
        <w:t>2套EDC</w:t>
      </w:r>
      <w:r>
        <w:rPr>
          <w:color w:val="auto"/>
          <w:highlight w:val="none"/>
          <w:u w:val="none"/>
        </w:rPr>
        <w:t>裂解炉</w:t>
      </w:r>
      <w:r>
        <w:rPr>
          <w:rFonts w:hint="eastAsia"/>
          <w:color w:val="auto"/>
          <w:highlight w:val="none"/>
          <w:u w:val="none"/>
        </w:rPr>
        <w:t>（</w:t>
      </w:r>
      <w:r>
        <w:rPr>
          <w:rFonts w:hint="eastAsia"/>
          <w:color w:val="auto"/>
          <w:highlight w:val="none"/>
          <w:u w:val="none"/>
          <w:lang w:val="en-US"/>
        </w:rPr>
        <w:t>非甲烷总烃、颗粒物</w:t>
      </w:r>
      <w:r>
        <w:rPr>
          <w:rFonts w:hint="eastAsia"/>
          <w:color w:val="auto"/>
          <w:highlight w:val="none"/>
          <w:u w:val="none"/>
        </w:rPr>
        <w:t>）、2</w:t>
      </w:r>
      <w:r>
        <w:rPr>
          <w:color w:val="auto"/>
          <w:highlight w:val="none"/>
          <w:u w:val="none"/>
        </w:rPr>
        <w:t>套干燥装置</w:t>
      </w:r>
      <w:r>
        <w:rPr>
          <w:rFonts w:hint="eastAsia"/>
          <w:color w:val="auto"/>
          <w:highlight w:val="none"/>
          <w:u w:val="none"/>
        </w:rPr>
        <w:t>（</w:t>
      </w:r>
      <w:r>
        <w:rPr>
          <w:rFonts w:hint="eastAsia"/>
          <w:color w:val="auto"/>
          <w:highlight w:val="none"/>
          <w:u w:val="none"/>
          <w:lang w:val="en-US"/>
        </w:rPr>
        <w:t>非甲烷总烃、颗粒物、氯乙烯</w:t>
      </w:r>
      <w:r>
        <w:rPr>
          <w:rFonts w:hint="eastAsia"/>
          <w:color w:val="auto"/>
          <w:highlight w:val="none"/>
          <w:u w:val="none"/>
        </w:rPr>
        <w:t>）、</w:t>
      </w:r>
      <w:r>
        <w:rPr>
          <w:rFonts w:hint="eastAsia"/>
          <w:color w:val="auto"/>
          <w:highlight w:val="none"/>
          <w:u w:val="none"/>
          <w:lang w:val="en-US"/>
        </w:rPr>
        <w:t>2套产品缓冲斗废气</w:t>
      </w:r>
      <w:r>
        <w:rPr>
          <w:rFonts w:hint="eastAsia"/>
          <w:color w:val="auto"/>
          <w:highlight w:val="none"/>
          <w:u w:val="none"/>
        </w:rPr>
        <w:t>（</w:t>
      </w:r>
      <w:r>
        <w:rPr>
          <w:rFonts w:hint="eastAsia"/>
          <w:color w:val="auto"/>
          <w:highlight w:val="none"/>
          <w:u w:val="none"/>
          <w:lang w:val="en-US"/>
        </w:rPr>
        <w:t>颗粒物</w:t>
      </w:r>
      <w:r>
        <w:rPr>
          <w:rFonts w:hint="eastAsia"/>
          <w:color w:val="auto"/>
          <w:highlight w:val="none"/>
          <w:u w:val="none"/>
        </w:rPr>
        <w:t>）、1</w:t>
      </w:r>
      <w:r>
        <w:rPr>
          <w:color w:val="auto"/>
          <w:highlight w:val="none"/>
          <w:u w:val="none"/>
        </w:rPr>
        <w:t>套</w:t>
      </w:r>
      <w:r>
        <w:rPr>
          <w:rFonts w:hint="eastAsia"/>
          <w:color w:val="auto"/>
          <w:highlight w:val="none"/>
          <w:u w:val="none"/>
          <w:lang w:val="en-US"/>
        </w:rPr>
        <w:t>分散剂破袋废气</w:t>
      </w:r>
      <w:r>
        <w:rPr>
          <w:rFonts w:hint="eastAsia"/>
          <w:color w:val="auto"/>
          <w:highlight w:val="none"/>
          <w:u w:val="none"/>
        </w:rPr>
        <w:t>（</w:t>
      </w:r>
      <w:r>
        <w:rPr>
          <w:rFonts w:hint="eastAsia"/>
          <w:color w:val="auto"/>
          <w:highlight w:val="none"/>
          <w:u w:val="none"/>
          <w:lang w:val="en-US"/>
        </w:rPr>
        <w:t>颗粒物</w:t>
      </w:r>
      <w:r>
        <w:rPr>
          <w:rFonts w:hint="eastAsia"/>
          <w:color w:val="auto"/>
          <w:highlight w:val="none"/>
          <w:u w:val="none"/>
        </w:rPr>
        <w:t>）</w:t>
      </w:r>
      <w:r>
        <w:rPr>
          <w:rFonts w:hint="eastAsia"/>
          <w:color w:val="auto"/>
          <w:highlight w:val="none"/>
          <w:u w:val="none"/>
          <w:lang w:val="en-US"/>
        </w:rPr>
        <w:t>进行监测，2024年2月4日对</w:t>
      </w:r>
      <w:r>
        <w:rPr>
          <w:rFonts w:hint="eastAsia"/>
          <w:color w:val="auto"/>
          <w:highlight w:val="none"/>
          <w:u w:val="none"/>
        </w:rPr>
        <w:t>2</w:t>
      </w:r>
      <w:r>
        <w:rPr>
          <w:color w:val="auto"/>
          <w:highlight w:val="none"/>
          <w:u w:val="none"/>
        </w:rPr>
        <w:t>套干燥装置</w:t>
      </w:r>
      <w:r>
        <w:rPr>
          <w:rFonts w:hint="eastAsia"/>
          <w:color w:val="auto"/>
          <w:highlight w:val="none"/>
          <w:u w:val="none"/>
        </w:rPr>
        <w:t>（</w:t>
      </w:r>
      <w:r>
        <w:rPr>
          <w:rFonts w:hint="eastAsia"/>
          <w:color w:val="auto"/>
          <w:highlight w:val="none"/>
          <w:u w:val="none"/>
          <w:lang w:val="en-US"/>
        </w:rPr>
        <w:t>非甲烷总烃、颗粒物</w:t>
      </w:r>
      <w:r>
        <w:rPr>
          <w:rFonts w:hint="eastAsia"/>
          <w:color w:val="auto"/>
          <w:highlight w:val="none"/>
          <w:u w:val="none"/>
        </w:rPr>
        <w:t>）进行监测</w:t>
      </w:r>
      <w:r>
        <w:rPr>
          <w:rFonts w:hint="eastAsia"/>
          <w:color w:val="auto"/>
          <w:highlight w:val="none"/>
          <w:u w:val="none"/>
          <w:lang w:val="en-US"/>
        </w:rPr>
        <w:t>，2024年4月15日、10月16日对焚烧炉（氯乙烯、氯化氢）、</w:t>
      </w:r>
      <w:r>
        <w:rPr>
          <w:color w:val="auto"/>
          <w:highlight w:val="none"/>
          <w:u w:val="none"/>
        </w:rPr>
        <w:t>布袋除尘器</w:t>
      </w:r>
      <w:r>
        <w:rPr>
          <w:rFonts w:hint="eastAsia"/>
          <w:color w:val="auto"/>
          <w:highlight w:val="none"/>
          <w:u w:val="none"/>
        </w:rPr>
        <w:t>（</w:t>
      </w:r>
      <w:r>
        <w:rPr>
          <w:rFonts w:hint="eastAsia"/>
          <w:color w:val="auto"/>
          <w:highlight w:val="none"/>
          <w:u w:val="none"/>
          <w:lang w:val="en-US"/>
        </w:rPr>
        <w:t>颗粒物</w:t>
      </w:r>
      <w:r>
        <w:rPr>
          <w:rFonts w:hint="eastAsia"/>
          <w:color w:val="auto"/>
          <w:highlight w:val="none"/>
          <w:u w:val="none"/>
        </w:rPr>
        <w:t>）、2</w:t>
      </w:r>
      <w:r>
        <w:rPr>
          <w:color w:val="auto"/>
          <w:highlight w:val="none"/>
          <w:u w:val="none"/>
        </w:rPr>
        <w:t>套干燥装置</w:t>
      </w:r>
      <w:r>
        <w:rPr>
          <w:rFonts w:hint="eastAsia"/>
          <w:color w:val="auto"/>
          <w:highlight w:val="none"/>
          <w:u w:val="none"/>
        </w:rPr>
        <w:t>（</w:t>
      </w:r>
      <w:r>
        <w:rPr>
          <w:rFonts w:hint="eastAsia"/>
          <w:color w:val="auto"/>
          <w:highlight w:val="none"/>
          <w:u w:val="none"/>
          <w:lang w:val="en-US"/>
        </w:rPr>
        <w:t>非甲烷总烃、颗粒物、氯乙烯</w:t>
      </w:r>
      <w:r>
        <w:rPr>
          <w:rFonts w:hint="eastAsia"/>
          <w:color w:val="auto"/>
          <w:highlight w:val="none"/>
          <w:u w:val="none"/>
        </w:rPr>
        <w:t>）、</w:t>
      </w:r>
      <w:r>
        <w:rPr>
          <w:rFonts w:hint="eastAsia"/>
          <w:color w:val="auto"/>
          <w:highlight w:val="none"/>
          <w:u w:val="none"/>
          <w:lang w:val="en-US"/>
        </w:rPr>
        <w:t>2套产品缓冲斗废气排放口（颗粒物）进行监测，2024年5月7日、6月7日、7月23日、8月6日、10月16日、11月12日对干燥旋风分离废气（非甲烷总烃、颗粒物）进行监测，2024年2月26日对焚烧炉二噁英进行监测；2024年1月23日、7月23日对TDI装置中的精制废气（苯胺类、非甲烷总烃）和储罐废气（氯苯类、非甲烷总烃）进行监测，2024年2月4日、2024年4月15日、8月6日、9月19日、10月16日、11月12日对TDA精制废气（非甲烷总烃）、ODCB储罐废气（非甲烷总烃）进行监测；2024年1月23日、7月23日对甲醇吸收塔废气（甲醇、甲醛）进行监测；2024年1月23日、4月15日、5月7日、6月7日、7月23日对苯胺项目区硝酸尾气（氨）进行监测，根据监测结果，各设备排放口排放的污染物均能满足相应的标准限值要求。</w:t>
      </w:r>
    </w:p>
    <w:p w14:paraId="48758887">
      <w:pPr>
        <w:rPr>
          <w:rFonts w:hint="eastAsia"/>
          <w:color w:val="auto"/>
          <w:highlight w:val="none"/>
          <w:u w:val="none"/>
          <w:lang w:val="en-US"/>
        </w:rPr>
      </w:pPr>
      <w:r>
        <w:rPr>
          <w:rFonts w:hint="eastAsia"/>
          <w:color w:val="auto"/>
          <w:highlight w:val="none"/>
          <w:u w:val="none"/>
          <w:lang w:val="en-US"/>
        </w:rPr>
        <w:t>万华福建公司TDI装置区的部分废气依托万华环保科技公司能量回收装置</w:t>
      </w:r>
      <w:r>
        <w:rPr>
          <w:rFonts w:hint="eastAsia" w:hAnsi="Times New Roman"/>
          <w:color w:val="auto"/>
          <w:szCs w:val="28"/>
          <w:highlight w:val="none"/>
          <w:u w:val="none"/>
        </w:rPr>
        <w:t>（原异氰酸酯公司附属配套设施工程的能量回收装置）</w:t>
      </w:r>
      <w:r>
        <w:rPr>
          <w:rFonts w:hint="eastAsia"/>
          <w:color w:val="auto"/>
          <w:highlight w:val="none"/>
          <w:u w:val="none"/>
          <w:lang w:val="en-US"/>
        </w:rPr>
        <w:t>进行焚烧处置后经</w:t>
      </w:r>
      <w:r>
        <w:rPr>
          <w:rFonts w:hint="eastAsia"/>
          <w:color w:val="auto"/>
          <w:highlight w:val="none"/>
          <w:u w:val="none"/>
        </w:rPr>
        <w:t>一根5</w:t>
      </w:r>
      <w:r>
        <w:rPr>
          <w:color w:val="auto"/>
          <w:highlight w:val="none"/>
          <w:u w:val="none"/>
        </w:rPr>
        <w:t>0</w:t>
      </w:r>
      <w:r>
        <w:rPr>
          <w:rFonts w:hint="eastAsia"/>
          <w:color w:val="auto"/>
          <w:highlight w:val="none"/>
          <w:u w:val="none"/>
        </w:rPr>
        <w:t>m高排气筒排放</w:t>
      </w:r>
      <w:r>
        <w:rPr>
          <w:rFonts w:hAnsi="Times New Roman"/>
          <w:color w:val="auto"/>
          <w:highlight w:val="none"/>
          <w:u w:val="none"/>
        </w:rPr>
        <w:t>（排污口编号FQ-0001）</w:t>
      </w:r>
      <w:r>
        <w:rPr>
          <w:rFonts w:hint="eastAsia"/>
          <w:color w:val="auto"/>
          <w:highlight w:val="none"/>
          <w:u w:val="none"/>
          <w:lang w:val="en-US"/>
        </w:rPr>
        <w:t>，苯胺装置区部分废气依托能量回收装置、</w:t>
      </w:r>
      <w:r>
        <w:rPr>
          <w:rFonts w:hint="eastAsia"/>
          <w:color w:val="auto"/>
          <w:highlight w:val="none"/>
          <w:u w:val="none"/>
        </w:rPr>
        <w:t>苯胺焦油焚烧炉</w:t>
      </w:r>
      <w:r>
        <w:rPr>
          <w:rFonts w:hint="eastAsia"/>
          <w:color w:val="auto"/>
          <w:highlight w:val="none"/>
          <w:u w:val="none"/>
          <w:lang w:val="en-US"/>
        </w:rPr>
        <w:t>进行处置。</w:t>
      </w:r>
    </w:p>
    <w:p w14:paraId="60037ADB">
      <w:pPr>
        <w:pStyle w:val="74"/>
        <w:ind w:firstLine="480"/>
        <w:rPr>
          <w:rFonts w:hint="eastAsia" w:ascii="宋体"/>
          <w:color w:val="auto"/>
          <w:highlight w:val="none"/>
          <w:u w:val="none"/>
        </w:rPr>
      </w:pPr>
      <w:r>
        <w:rPr>
          <w:rFonts w:hint="eastAsia" w:hAnsi="Times New Roman"/>
          <w:color w:val="auto"/>
          <w:szCs w:val="28"/>
          <w:highlight w:val="none"/>
          <w:u w:val="none"/>
        </w:rPr>
        <w:t>根据</w:t>
      </w:r>
      <w:r>
        <w:rPr>
          <w:rFonts w:hint="eastAsia" w:ascii="宋体"/>
          <w:color w:val="auto"/>
          <w:highlight w:val="none"/>
          <w:u w:val="none"/>
        </w:rPr>
        <w:t>《万华化学（福建）异氰酸酯有限公司附属配套设施工程阶段性竣工验收保护验收监测报告》和《万华化学（福建）异氰酸酯有限公司附属配套设施工程（第二阶段）竣工验收保护验收监测报告》，</w:t>
      </w:r>
      <w:r>
        <w:rPr>
          <w:rFonts w:hint="eastAsia"/>
          <w:color w:val="auto"/>
          <w:highlight w:val="none"/>
          <w:u w:val="none"/>
        </w:rPr>
        <w:t>万华环保科技有限公司</w:t>
      </w:r>
      <w:r>
        <w:rPr>
          <w:rFonts w:hint="eastAsia" w:hAnsi="Times New Roman"/>
          <w:color w:val="auto"/>
          <w:szCs w:val="28"/>
          <w:highlight w:val="none"/>
          <w:u w:val="none"/>
        </w:rPr>
        <w:t>能量回收装置、</w:t>
      </w:r>
      <w:r>
        <w:rPr>
          <w:rFonts w:hint="eastAsia"/>
          <w:color w:val="auto"/>
          <w:highlight w:val="none"/>
          <w:u w:val="none"/>
        </w:rPr>
        <w:t>苯胺焦油焚烧炉</w:t>
      </w:r>
      <w:r>
        <w:rPr>
          <w:rFonts w:ascii="Times New Roman" w:hAnsi="Times New Roman" w:cs="Times New Roman"/>
          <w:color w:val="auto"/>
          <w:highlight w:val="none"/>
          <w:u w:val="none"/>
        </w:rPr>
        <w:t>废气依托</w:t>
      </w:r>
      <w:r>
        <w:rPr>
          <w:rFonts w:hint="eastAsia" w:ascii="Times New Roman" w:hAnsi="Times New Roman" w:cs="Times New Roman"/>
          <w:color w:val="auto"/>
          <w:highlight w:val="none"/>
          <w:u w:val="none"/>
        </w:rPr>
        <w:t>的</w:t>
      </w:r>
      <w:r>
        <w:rPr>
          <w:rFonts w:ascii="Times New Roman" w:hAnsi="Times New Roman" w:cs="Times New Roman"/>
          <w:color w:val="auto"/>
          <w:highlight w:val="none"/>
          <w:u w:val="none"/>
        </w:rPr>
        <w:t>油气回收装置</w:t>
      </w:r>
      <w:r>
        <w:rPr>
          <w:rFonts w:hint="eastAsia" w:ascii="宋体"/>
          <w:color w:val="auto"/>
          <w:highlight w:val="none"/>
          <w:u w:val="none"/>
        </w:rPr>
        <w:t>，均已完成环保验收，废气的各污染物排放均能满足相应的排放限值要求。</w:t>
      </w:r>
    </w:p>
    <w:p w14:paraId="008D1F45">
      <w:pPr>
        <w:pStyle w:val="74"/>
        <w:ind w:firstLine="480"/>
        <w:rPr>
          <w:rFonts w:ascii="Times New Roman" w:hAnsi="Times New Roman" w:cs="Times New Roman"/>
          <w:color w:val="auto"/>
          <w:highlight w:val="none"/>
          <w:u w:val="none"/>
        </w:rPr>
      </w:pPr>
      <w:r>
        <w:rPr>
          <w:rFonts w:hint="eastAsia" w:ascii="宋体"/>
          <w:color w:val="auto"/>
          <w:highlight w:val="none"/>
          <w:u w:val="none"/>
        </w:rPr>
        <w:t>异氰酸酯公司</w:t>
      </w:r>
      <w:r>
        <w:rPr>
          <w:rFonts w:hint="eastAsia" w:ascii="Times New Roman" w:hAnsi="Times New Roman" w:cs="Times New Roman"/>
          <w:color w:val="auto"/>
          <w:highlight w:val="none"/>
          <w:u w:val="none"/>
        </w:rPr>
        <w:t>分别于</w:t>
      </w:r>
      <w:r>
        <w:rPr>
          <w:rFonts w:ascii="Times New Roman" w:hAnsi="Times New Roman" w:cs="Times New Roman"/>
          <w:color w:val="auto"/>
          <w:highlight w:val="none"/>
          <w:u w:val="none"/>
        </w:rPr>
        <w:t>202</w:t>
      </w:r>
      <w:r>
        <w:rPr>
          <w:rFonts w:hint="eastAsia" w:ascii="Times New Roman" w:hAnsi="Times New Roman" w:cs="Times New Roman"/>
          <w:color w:val="auto"/>
          <w:highlight w:val="none"/>
          <w:u w:val="none"/>
        </w:rPr>
        <w:t>4</w:t>
      </w:r>
      <w:r>
        <w:rPr>
          <w:rFonts w:ascii="Times New Roman" w:hAnsi="Times New Roman" w:cs="Times New Roman"/>
          <w:color w:val="auto"/>
          <w:highlight w:val="none"/>
          <w:u w:val="none"/>
        </w:rPr>
        <w:t>年</w:t>
      </w:r>
      <w:r>
        <w:rPr>
          <w:rFonts w:hint="eastAsia" w:ascii="Times New Roman" w:hAnsi="Times New Roman" w:cs="Times New Roman"/>
          <w:color w:val="auto"/>
          <w:highlight w:val="none"/>
          <w:u w:val="none"/>
        </w:rPr>
        <w:t>1</w:t>
      </w:r>
      <w:r>
        <w:rPr>
          <w:rFonts w:ascii="Times New Roman" w:hAnsi="Times New Roman" w:cs="Times New Roman"/>
          <w:color w:val="auto"/>
          <w:highlight w:val="none"/>
          <w:u w:val="none"/>
        </w:rPr>
        <w:t>月</w:t>
      </w:r>
      <w:r>
        <w:rPr>
          <w:rFonts w:hint="eastAsia" w:ascii="Times New Roman" w:hAnsi="Times New Roman" w:cs="Times New Roman"/>
          <w:color w:val="auto"/>
          <w:highlight w:val="none"/>
          <w:u w:val="none"/>
        </w:rPr>
        <w:t>9</w:t>
      </w:r>
      <w:r>
        <w:rPr>
          <w:rFonts w:ascii="Times New Roman" w:hAnsi="Times New Roman" w:cs="Times New Roman"/>
          <w:color w:val="auto"/>
          <w:highlight w:val="none"/>
          <w:u w:val="none"/>
        </w:rPr>
        <w:t>日、</w:t>
      </w:r>
      <w:r>
        <w:rPr>
          <w:rFonts w:hint="eastAsia" w:ascii="Times New Roman" w:hAnsi="Times New Roman" w:cs="Times New Roman"/>
          <w:color w:val="auto"/>
          <w:highlight w:val="none"/>
          <w:u w:val="none"/>
        </w:rPr>
        <w:t>2</w:t>
      </w:r>
      <w:r>
        <w:rPr>
          <w:rFonts w:ascii="Times New Roman" w:hAnsi="Times New Roman" w:cs="Times New Roman"/>
          <w:color w:val="auto"/>
          <w:highlight w:val="none"/>
          <w:u w:val="none"/>
        </w:rPr>
        <w:t>月</w:t>
      </w:r>
      <w:r>
        <w:rPr>
          <w:rFonts w:hint="eastAsia" w:ascii="Times New Roman" w:hAnsi="Times New Roman" w:cs="Times New Roman"/>
          <w:color w:val="auto"/>
          <w:highlight w:val="none"/>
          <w:u w:val="none"/>
        </w:rPr>
        <w:t>20</w:t>
      </w:r>
      <w:r>
        <w:rPr>
          <w:rFonts w:ascii="Times New Roman" w:hAnsi="Times New Roman" w:cs="Times New Roman"/>
          <w:color w:val="auto"/>
          <w:highlight w:val="none"/>
          <w:u w:val="none"/>
        </w:rPr>
        <w:t>日、3月</w:t>
      </w:r>
      <w:r>
        <w:rPr>
          <w:rFonts w:hint="eastAsia" w:ascii="Times New Roman" w:hAnsi="Times New Roman" w:cs="Times New Roman"/>
          <w:color w:val="auto"/>
          <w:highlight w:val="none"/>
          <w:u w:val="none"/>
        </w:rPr>
        <w:t>20</w:t>
      </w:r>
      <w:r>
        <w:rPr>
          <w:rFonts w:ascii="Times New Roman" w:hAnsi="Times New Roman" w:cs="Times New Roman"/>
          <w:color w:val="auto"/>
          <w:highlight w:val="none"/>
          <w:u w:val="none"/>
        </w:rPr>
        <w:t>日、4月1</w:t>
      </w:r>
      <w:r>
        <w:rPr>
          <w:rFonts w:hint="eastAsia" w:ascii="Times New Roman" w:hAnsi="Times New Roman" w:cs="Times New Roman"/>
          <w:color w:val="auto"/>
          <w:highlight w:val="none"/>
          <w:u w:val="none"/>
        </w:rPr>
        <w:t>8</w:t>
      </w:r>
      <w:r>
        <w:rPr>
          <w:rFonts w:ascii="Times New Roman" w:hAnsi="Times New Roman" w:cs="Times New Roman"/>
          <w:color w:val="auto"/>
          <w:highlight w:val="none"/>
          <w:u w:val="none"/>
        </w:rPr>
        <w:t>日、5月1</w:t>
      </w:r>
      <w:r>
        <w:rPr>
          <w:rFonts w:hint="eastAsia" w:ascii="Times New Roman" w:hAnsi="Times New Roman" w:cs="Times New Roman"/>
          <w:color w:val="auto"/>
          <w:highlight w:val="none"/>
          <w:u w:val="none"/>
        </w:rPr>
        <w:t>3</w:t>
      </w:r>
      <w:r>
        <w:rPr>
          <w:rFonts w:ascii="Times New Roman" w:hAnsi="Times New Roman" w:cs="Times New Roman"/>
          <w:color w:val="auto"/>
          <w:highlight w:val="none"/>
          <w:u w:val="none"/>
        </w:rPr>
        <w:t>日、6月</w:t>
      </w:r>
      <w:r>
        <w:rPr>
          <w:rFonts w:hint="eastAsia" w:ascii="Times New Roman" w:hAnsi="Times New Roman" w:cs="Times New Roman"/>
          <w:color w:val="auto"/>
          <w:highlight w:val="none"/>
          <w:u w:val="none"/>
        </w:rPr>
        <w:t>17</w:t>
      </w:r>
      <w:r>
        <w:rPr>
          <w:rFonts w:ascii="Times New Roman" w:hAnsi="Times New Roman" w:cs="Times New Roman"/>
          <w:color w:val="auto"/>
          <w:highlight w:val="none"/>
          <w:u w:val="none"/>
        </w:rPr>
        <w:t>日</w:t>
      </w:r>
      <w:r>
        <w:rPr>
          <w:rFonts w:hint="eastAsia" w:ascii="Times New Roman" w:hAnsi="Times New Roman" w:cs="Times New Roman"/>
          <w:color w:val="auto"/>
          <w:highlight w:val="none"/>
          <w:u w:val="none"/>
        </w:rPr>
        <w:t>，万华环保科技公司7月16日、8月1日、9月3日、10月9日、11月20日</w:t>
      </w:r>
      <w:r>
        <w:rPr>
          <w:rFonts w:ascii="Times New Roman" w:hAnsi="Times New Roman" w:cs="Times New Roman"/>
          <w:color w:val="auto"/>
          <w:highlight w:val="none"/>
          <w:u w:val="none"/>
        </w:rPr>
        <w:t>对</w:t>
      </w:r>
      <w:r>
        <w:rPr>
          <w:rFonts w:hint="eastAsia" w:hAnsi="Times New Roman"/>
          <w:color w:val="auto"/>
          <w:szCs w:val="28"/>
          <w:highlight w:val="none"/>
          <w:u w:val="none"/>
        </w:rPr>
        <w:t>能量回收装置</w:t>
      </w:r>
      <w:r>
        <w:rPr>
          <w:rFonts w:ascii="Times New Roman" w:hAnsi="Times New Roman" w:cs="Times New Roman"/>
          <w:color w:val="auto"/>
          <w:highlight w:val="none"/>
          <w:u w:val="none"/>
        </w:rPr>
        <w:t>进行自行监测，监测因子</w:t>
      </w:r>
      <w:r>
        <w:rPr>
          <w:rFonts w:hint="eastAsia" w:ascii="Times New Roman" w:hAnsi="Times New Roman" w:cs="Times New Roman"/>
          <w:color w:val="auto"/>
          <w:highlight w:val="none"/>
          <w:u w:val="none"/>
        </w:rPr>
        <w:t>为氨、氯气、四氯化碳、甲苯、光气、苯胺类、甲醇、甲醛、氯苯类、硝基苯类</w:t>
      </w:r>
      <w:r>
        <w:rPr>
          <w:rFonts w:ascii="Times New Roman" w:hAnsi="Times New Roman" w:cs="Times New Roman"/>
          <w:color w:val="auto"/>
          <w:highlight w:val="none"/>
          <w:u w:val="none"/>
        </w:rPr>
        <w:t>、非甲烷总烃</w:t>
      </w:r>
      <w:r>
        <w:rPr>
          <w:rFonts w:hint="eastAsia" w:ascii="Times New Roman" w:hAnsi="Times New Roman" w:cs="Times New Roman"/>
          <w:color w:val="auto"/>
          <w:highlight w:val="none"/>
          <w:u w:val="none"/>
        </w:rPr>
        <w:t>，其监测结果</w:t>
      </w:r>
      <w:r>
        <w:rPr>
          <w:rFonts w:ascii="Times New Roman" w:hAnsi="Times New Roman" w:cs="Times New Roman"/>
          <w:color w:val="auto"/>
          <w:highlight w:val="none"/>
          <w:u w:val="none"/>
        </w:rPr>
        <w:t>均能满足相应的排放标准限值要求。</w:t>
      </w:r>
    </w:p>
    <w:bookmarkEnd w:id="218"/>
    <w:p w14:paraId="40F54946">
      <w:pPr>
        <w:rPr>
          <w:rFonts w:hint="eastAsia"/>
          <w:color w:val="auto"/>
          <w:highlight w:val="none"/>
          <w:u w:val="none"/>
          <w:lang w:val="en-US"/>
        </w:rPr>
      </w:pPr>
      <w:r>
        <w:rPr>
          <w:rFonts w:hint="eastAsia"/>
          <w:color w:val="auto"/>
          <w:highlight w:val="none"/>
          <w:u w:val="none"/>
          <w:lang w:val="en-US"/>
        </w:rPr>
        <w:t>②</w:t>
      </w:r>
      <w:r>
        <w:rPr>
          <w:color w:val="auto"/>
          <w:highlight w:val="none"/>
          <w:u w:val="none"/>
          <w:lang w:val="en-US"/>
        </w:rPr>
        <w:t>无组织废气</w:t>
      </w:r>
      <w:r>
        <w:rPr>
          <w:rFonts w:hint="eastAsia"/>
          <w:color w:val="auto"/>
          <w:highlight w:val="none"/>
          <w:u w:val="none"/>
          <w:lang w:val="en-US"/>
        </w:rPr>
        <w:t>自行监测</w:t>
      </w:r>
      <w:r>
        <w:rPr>
          <w:color w:val="auto"/>
          <w:highlight w:val="none"/>
          <w:u w:val="none"/>
          <w:lang w:val="en-US"/>
        </w:rPr>
        <w:t>达标情况</w:t>
      </w:r>
    </w:p>
    <w:p w14:paraId="1D08C68B">
      <w:pPr>
        <w:jc w:val="left"/>
        <w:rPr>
          <w:rFonts w:hint="eastAsia"/>
          <w:color w:val="auto"/>
          <w:highlight w:val="none"/>
          <w:u w:val="none"/>
          <w:lang w:val="en-US"/>
        </w:rPr>
      </w:pPr>
      <w:r>
        <w:rPr>
          <w:color w:val="auto"/>
          <w:highlight w:val="none"/>
          <w:u w:val="none"/>
          <w:lang w:val="en-US"/>
        </w:rPr>
        <w:t>万华福建公司</w:t>
      </w:r>
      <w:r>
        <w:rPr>
          <w:rFonts w:hint="eastAsia"/>
          <w:color w:val="auto"/>
          <w:highlight w:val="none"/>
          <w:u w:val="none"/>
          <w:lang w:val="en-US"/>
        </w:rPr>
        <w:t>于</w:t>
      </w:r>
      <w:r>
        <w:rPr>
          <w:color w:val="auto"/>
          <w:highlight w:val="none"/>
          <w:u w:val="none"/>
          <w:lang w:val="en-US"/>
        </w:rPr>
        <w:t>202</w:t>
      </w:r>
      <w:r>
        <w:rPr>
          <w:rFonts w:hint="eastAsia"/>
          <w:color w:val="auto"/>
          <w:highlight w:val="none"/>
          <w:u w:val="none"/>
          <w:lang w:val="en-US"/>
        </w:rPr>
        <w:t>4</w:t>
      </w:r>
      <w:r>
        <w:rPr>
          <w:color w:val="auto"/>
          <w:highlight w:val="none"/>
          <w:u w:val="none"/>
          <w:lang w:val="en-US"/>
        </w:rPr>
        <w:t>年</w:t>
      </w:r>
      <w:r>
        <w:rPr>
          <w:rFonts w:hint="eastAsia"/>
          <w:color w:val="auto"/>
          <w:highlight w:val="none"/>
          <w:u w:val="none"/>
          <w:lang w:val="en-US"/>
        </w:rPr>
        <w:t>1</w:t>
      </w:r>
      <w:r>
        <w:rPr>
          <w:color w:val="auto"/>
          <w:highlight w:val="none"/>
          <w:u w:val="none"/>
          <w:lang w:val="en-US"/>
        </w:rPr>
        <w:t>月</w:t>
      </w:r>
      <w:r>
        <w:rPr>
          <w:rFonts w:hint="eastAsia"/>
          <w:color w:val="auto"/>
          <w:highlight w:val="none"/>
          <w:u w:val="none"/>
          <w:lang w:val="en-US"/>
        </w:rPr>
        <w:t>24</w:t>
      </w:r>
      <w:r>
        <w:rPr>
          <w:color w:val="auto"/>
          <w:highlight w:val="none"/>
          <w:u w:val="none"/>
          <w:lang w:val="en-US"/>
        </w:rPr>
        <w:t>日</w:t>
      </w:r>
      <w:r>
        <w:rPr>
          <w:rFonts w:hint="eastAsia"/>
          <w:color w:val="auto"/>
          <w:highlight w:val="none"/>
          <w:u w:val="none"/>
          <w:lang w:val="en-US"/>
        </w:rPr>
        <w:t>、4月19日、7月23日、10月16日对企业无组织废气排放进行监测。</w:t>
      </w:r>
    </w:p>
    <w:p w14:paraId="544098A4">
      <w:pPr>
        <w:jc w:val="left"/>
        <w:rPr>
          <w:color w:val="auto"/>
          <w:highlight w:val="none"/>
          <w:u w:val="none"/>
          <w:lang w:val="en-US"/>
        </w:rPr>
      </w:pPr>
      <w:r>
        <w:rPr>
          <w:color w:val="auto"/>
          <w:highlight w:val="none"/>
          <w:u w:val="none"/>
          <w:lang w:val="en-US"/>
        </w:rPr>
        <w:t>根据监测</w:t>
      </w:r>
      <w:r>
        <w:rPr>
          <w:rFonts w:hint="eastAsia"/>
          <w:color w:val="auto"/>
          <w:highlight w:val="none"/>
          <w:u w:val="none"/>
          <w:lang w:val="en-US"/>
        </w:rPr>
        <w:t>结果</w:t>
      </w:r>
      <w:r>
        <w:rPr>
          <w:color w:val="auto"/>
          <w:highlight w:val="none"/>
          <w:u w:val="none"/>
          <w:lang w:val="en-US"/>
        </w:rPr>
        <w:t>，厂界无组织排放的各污染物浓度满足</w:t>
      </w:r>
      <w:r>
        <w:rPr>
          <w:color w:val="auto"/>
          <w:highlight w:val="none"/>
          <w:u w:val="none"/>
        </w:rPr>
        <w:t>《石油化学工业污染物排放标准》（GB31571-2015）</w:t>
      </w:r>
      <w:r>
        <w:rPr>
          <w:rFonts w:hint="eastAsia"/>
          <w:color w:val="auto"/>
          <w:highlight w:val="none"/>
          <w:u w:val="none"/>
        </w:rPr>
        <w:t>及其修改单</w:t>
      </w:r>
      <w:r>
        <w:rPr>
          <w:color w:val="auto"/>
          <w:highlight w:val="none"/>
          <w:u w:val="none"/>
        </w:rPr>
        <w:t>、《工业企业挥发性有机物排放标准》（DB35/1782-2018）、《烧碱、聚氯乙烯工业污染物排放标准》（GB15581-2016）、《大气污染物综合排放标准》（GB16297-1996）、《硝酸工业污染物排放标准》（GB26131-2010）</w:t>
      </w:r>
      <w:r>
        <w:rPr>
          <w:color w:val="auto"/>
          <w:highlight w:val="none"/>
          <w:u w:val="none"/>
          <w:lang w:val="en-US"/>
        </w:rPr>
        <w:t>和《恶臭污染物排放标准》（GB14554- 93）中最严格</w:t>
      </w:r>
      <w:r>
        <w:rPr>
          <w:rFonts w:hint="eastAsia"/>
          <w:color w:val="auto"/>
          <w:highlight w:val="none"/>
          <w:u w:val="none"/>
          <w:lang w:val="en-US"/>
        </w:rPr>
        <w:t>标准限值</w:t>
      </w:r>
      <w:r>
        <w:rPr>
          <w:color w:val="auto"/>
          <w:highlight w:val="none"/>
          <w:u w:val="none"/>
          <w:lang w:val="en-US"/>
        </w:rPr>
        <w:t>要求。</w:t>
      </w:r>
    </w:p>
    <w:p w14:paraId="16B4551C">
      <w:pPr>
        <w:jc w:val="left"/>
        <w:rPr>
          <w:rFonts w:hint="eastAsia"/>
          <w:color w:val="auto"/>
          <w:highlight w:val="none"/>
          <w:u w:val="none"/>
          <w:lang w:val="en-US"/>
        </w:rPr>
      </w:pPr>
      <w:r>
        <w:rPr>
          <w:color w:val="auto"/>
          <w:highlight w:val="none"/>
          <w:u w:val="none"/>
          <w:lang w:val="en-US"/>
        </w:rPr>
        <w:t>（</w:t>
      </w:r>
      <w:r>
        <w:rPr>
          <w:rFonts w:hint="eastAsia"/>
          <w:color w:val="auto"/>
          <w:highlight w:val="none"/>
          <w:u w:val="none"/>
          <w:lang w:val="en-US"/>
        </w:rPr>
        <w:t>2</w:t>
      </w:r>
      <w:r>
        <w:rPr>
          <w:color w:val="auto"/>
          <w:highlight w:val="none"/>
          <w:u w:val="none"/>
          <w:lang w:val="en-US"/>
        </w:rPr>
        <w:t>）现有废水污染物</w:t>
      </w:r>
      <w:r>
        <w:rPr>
          <w:rFonts w:hint="eastAsia"/>
          <w:color w:val="auto"/>
          <w:highlight w:val="none"/>
          <w:u w:val="none"/>
          <w:lang w:val="en-US"/>
        </w:rPr>
        <w:t>自行监测</w:t>
      </w:r>
      <w:r>
        <w:rPr>
          <w:color w:val="auto"/>
          <w:highlight w:val="none"/>
          <w:u w:val="none"/>
          <w:lang w:val="en-US"/>
        </w:rPr>
        <w:t>达标情况分析</w:t>
      </w:r>
    </w:p>
    <w:p w14:paraId="1F31BEA2">
      <w:pPr>
        <w:pStyle w:val="74"/>
        <w:ind w:firstLine="480"/>
        <w:rPr>
          <w:rFonts w:hint="eastAsia" w:ascii="宋体"/>
          <w:color w:val="auto"/>
          <w:highlight w:val="none"/>
          <w:u w:val="none"/>
        </w:rPr>
      </w:pPr>
      <w:r>
        <w:rPr>
          <w:color w:val="auto"/>
          <w:highlight w:val="none"/>
          <w:u w:val="none"/>
        </w:rPr>
        <w:t>万华福建公司</w:t>
      </w:r>
      <w:r>
        <w:rPr>
          <w:rFonts w:hint="eastAsia" w:hAnsi="Times New Roman"/>
          <w:color w:val="auto"/>
          <w:highlight w:val="none"/>
          <w:u w:val="none"/>
        </w:rPr>
        <w:t>废水通过预处理后依托</w:t>
      </w:r>
      <w:r>
        <w:rPr>
          <w:rFonts w:hint="eastAsia"/>
          <w:color w:val="auto"/>
          <w:highlight w:val="none"/>
          <w:u w:val="none"/>
        </w:rPr>
        <w:t>万华环保科技公司低浓度废水处理系统和综合废水处理系统（原</w:t>
      </w:r>
      <w:r>
        <w:rPr>
          <w:rFonts w:hint="eastAsia" w:ascii="宋体"/>
          <w:color w:val="auto"/>
          <w:highlight w:val="none"/>
          <w:u w:val="none"/>
        </w:rPr>
        <w:t>异氰酸酯公司</w:t>
      </w:r>
      <w:r>
        <w:rPr>
          <w:rFonts w:hint="eastAsia" w:hAnsi="Times New Roman"/>
          <w:color w:val="auto"/>
          <w:highlight w:val="none"/>
          <w:u w:val="none"/>
        </w:rPr>
        <w:t>附属设施工程废水处理系统</w:t>
      </w:r>
      <w:r>
        <w:rPr>
          <w:rFonts w:hint="eastAsia"/>
          <w:color w:val="auto"/>
          <w:highlight w:val="none"/>
          <w:u w:val="none"/>
        </w:rPr>
        <w:t>）</w:t>
      </w:r>
      <w:r>
        <w:rPr>
          <w:rFonts w:hint="eastAsia" w:hAnsi="Times New Roman"/>
          <w:color w:val="auto"/>
          <w:highlight w:val="none"/>
          <w:u w:val="none"/>
        </w:rPr>
        <w:t>进行处理。根据</w:t>
      </w:r>
      <w:r>
        <w:rPr>
          <w:rFonts w:hint="eastAsia" w:ascii="宋体"/>
          <w:color w:val="auto"/>
          <w:highlight w:val="none"/>
          <w:u w:val="none"/>
        </w:rPr>
        <w:t>《万华化学（福建）异氰酸酯有限公司附属配套设施工程阶段性竣工验收保护验收监测报告》和《万华化学（福建）异氰酸酯有限公司附属配套设施工程（第二阶段）竣工验收保护验收监测报告》，低浓度废水处理系统一期工程（处理规模</w:t>
      </w:r>
      <w:r>
        <w:rPr>
          <w:rFonts w:ascii="Times New Roman" w:hAnsi="Times New Roman" w:cs="Times New Roman"/>
          <w:color w:val="auto"/>
          <w:highlight w:val="none"/>
          <w:u w:val="none"/>
        </w:rPr>
        <w:t>180m</w:t>
      </w:r>
      <w:r>
        <w:rPr>
          <w:rFonts w:ascii="Times New Roman" w:hAnsi="Times New Roman" w:cs="Times New Roman"/>
          <w:color w:val="auto"/>
          <w:highlight w:val="none"/>
          <w:u w:val="none"/>
          <w:vertAlign w:val="superscript"/>
        </w:rPr>
        <w:t>3</w:t>
      </w:r>
      <w:r>
        <w:rPr>
          <w:rFonts w:ascii="Times New Roman" w:hAnsi="Times New Roman" w:cs="Times New Roman"/>
          <w:color w:val="auto"/>
          <w:highlight w:val="none"/>
          <w:u w:val="none"/>
        </w:rPr>
        <w:t>/h）</w:t>
      </w:r>
      <w:r>
        <w:rPr>
          <w:rFonts w:hint="eastAsia" w:ascii="Times New Roman" w:hAnsi="Times New Roman" w:cs="Times New Roman"/>
          <w:color w:val="auto"/>
          <w:highlight w:val="none"/>
          <w:u w:val="none"/>
        </w:rPr>
        <w:t>、综合废水处理系统一期工程（</w:t>
      </w:r>
      <w:r>
        <w:rPr>
          <w:rFonts w:hint="eastAsia" w:ascii="宋体"/>
          <w:color w:val="auto"/>
          <w:highlight w:val="none"/>
          <w:u w:val="none"/>
        </w:rPr>
        <w:t>处理规模</w:t>
      </w:r>
      <w:r>
        <w:rPr>
          <w:rFonts w:hint="eastAsia" w:ascii="Times New Roman" w:hAnsi="Times New Roman" w:cs="Times New Roman"/>
          <w:color w:val="auto"/>
          <w:highlight w:val="none"/>
          <w:u w:val="none"/>
        </w:rPr>
        <w:t>21</w:t>
      </w:r>
      <w:r>
        <w:rPr>
          <w:rFonts w:ascii="Times New Roman" w:hAnsi="Times New Roman" w:cs="Times New Roman"/>
          <w:color w:val="auto"/>
          <w:highlight w:val="none"/>
          <w:u w:val="none"/>
        </w:rPr>
        <w:t>0m</w:t>
      </w:r>
      <w:r>
        <w:rPr>
          <w:rFonts w:ascii="Times New Roman" w:hAnsi="Times New Roman" w:cs="Times New Roman"/>
          <w:color w:val="auto"/>
          <w:highlight w:val="none"/>
          <w:u w:val="none"/>
          <w:vertAlign w:val="superscript"/>
        </w:rPr>
        <w:t>3</w:t>
      </w:r>
      <w:r>
        <w:rPr>
          <w:rFonts w:ascii="Times New Roman" w:hAnsi="Times New Roman" w:cs="Times New Roman"/>
          <w:color w:val="auto"/>
          <w:highlight w:val="none"/>
          <w:u w:val="none"/>
        </w:rPr>
        <w:t>/h</w:t>
      </w:r>
      <w:r>
        <w:rPr>
          <w:rFonts w:hint="eastAsia" w:ascii="Times New Roman" w:hAnsi="Times New Roman" w:cs="Times New Roman"/>
          <w:color w:val="auto"/>
          <w:highlight w:val="none"/>
          <w:u w:val="none"/>
        </w:rPr>
        <w:t>）</w:t>
      </w:r>
      <w:r>
        <w:rPr>
          <w:rFonts w:hint="eastAsia" w:ascii="宋体"/>
          <w:color w:val="auto"/>
          <w:highlight w:val="none"/>
          <w:u w:val="none"/>
        </w:rPr>
        <w:t>已完成竣工环保验收，其排放废水中各污染物均能满足相应的排放标准限值要求。</w:t>
      </w:r>
    </w:p>
    <w:p w14:paraId="526B0DD0">
      <w:pPr>
        <w:rPr>
          <w:rFonts w:hint="eastAsia"/>
          <w:color w:val="auto"/>
          <w:highlight w:val="none"/>
          <w:u w:val="none"/>
          <w:lang w:val="en-US"/>
        </w:rPr>
      </w:pPr>
      <w:r>
        <w:rPr>
          <w:rFonts w:hint="eastAsia"/>
          <w:color w:val="auto"/>
          <w:highlight w:val="none"/>
          <w:u w:val="none"/>
          <w:lang w:val="en-US"/>
        </w:rPr>
        <w:t>①低浓度废水处理系统自行</w:t>
      </w:r>
      <w:r>
        <w:rPr>
          <w:color w:val="auto"/>
          <w:highlight w:val="none"/>
          <w:u w:val="none"/>
          <w:lang w:val="en-US"/>
        </w:rPr>
        <w:t>监测数据达标性分析</w:t>
      </w:r>
    </w:p>
    <w:p w14:paraId="6FFDD0E8">
      <w:pPr>
        <w:rPr>
          <w:rFonts w:hint="eastAsia" w:ascii="宋体"/>
          <w:color w:val="auto"/>
          <w:highlight w:val="none"/>
          <w:u w:val="none"/>
        </w:rPr>
      </w:pPr>
      <w:r>
        <w:rPr>
          <w:rFonts w:hint="eastAsia"/>
          <w:color w:val="auto"/>
          <w:highlight w:val="none"/>
          <w:u w:val="none"/>
        </w:rPr>
        <w:t>万华环保科技公司</w:t>
      </w:r>
      <w:r>
        <w:rPr>
          <w:rFonts w:hint="eastAsia" w:hAnsi="Times New Roman"/>
          <w:color w:val="auto"/>
          <w:highlight w:val="none"/>
          <w:u w:val="none"/>
          <w:lang w:val="en-US"/>
        </w:rPr>
        <w:t>低浓度废水处理系统配套在线监测装置，根据</w:t>
      </w:r>
      <w:r>
        <w:rPr>
          <w:color w:val="auto"/>
          <w:highlight w:val="none"/>
          <w:u w:val="none"/>
          <w:lang w:val="en-US"/>
        </w:rPr>
        <w:t>202</w:t>
      </w:r>
      <w:r>
        <w:rPr>
          <w:rFonts w:hint="eastAsia"/>
          <w:color w:val="auto"/>
          <w:highlight w:val="none"/>
          <w:u w:val="none"/>
          <w:lang w:val="en-US"/>
        </w:rPr>
        <w:t>4</w:t>
      </w:r>
      <w:r>
        <w:rPr>
          <w:color w:val="auto"/>
          <w:highlight w:val="none"/>
          <w:u w:val="none"/>
          <w:lang w:val="en-US"/>
        </w:rPr>
        <w:t>年</w:t>
      </w:r>
      <w:r>
        <w:rPr>
          <w:rFonts w:hint="eastAsia"/>
          <w:color w:val="auto"/>
          <w:highlight w:val="none"/>
          <w:u w:val="none"/>
          <w:lang w:val="en-US"/>
        </w:rPr>
        <w:t>1</w:t>
      </w:r>
      <w:r>
        <w:rPr>
          <w:color w:val="auto"/>
          <w:highlight w:val="none"/>
          <w:u w:val="none"/>
          <w:lang w:val="en-US"/>
        </w:rPr>
        <w:t>月~</w:t>
      </w:r>
      <w:r>
        <w:rPr>
          <w:rFonts w:hint="eastAsia"/>
          <w:color w:val="auto"/>
          <w:highlight w:val="none"/>
          <w:u w:val="none"/>
          <w:lang w:val="en-US"/>
        </w:rPr>
        <w:t>12</w:t>
      </w:r>
      <w:r>
        <w:rPr>
          <w:color w:val="auto"/>
          <w:highlight w:val="none"/>
          <w:u w:val="none"/>
          <w:lang w:val="en-US"/>
        </w:rPr>
        <w:t>月</w:t>
      </w:r>
      <w:r>
        <w:rPr>
          <w:rFonts w:hint="eastAsia"/>
          <w:color w:val="auto"/>
          <w:highlight w:val="none"/>
          <w:u w:val="none"/>
          <w:lang w:val="en-US"/>
        </w:rPr>
        <w:t>低浓度废水</w:t>
      </w:r>
      <w:r>
        <w:rPr>
          <w:color w:val="auto"/>
          <w:highlight w:val="none"/>
          <w:u w:val="none"/>
          <w:lang w:val="en-US"/>
        </w:rPr>
        <w:t>水质在线监测数据</w:t>
      </w:r>
      <w:r>
        <w:rPr>
          <w:rFonts w:hint="eastAsia"/>
          <w:color w:val="auto"/>
          <w:highlight w:val="none"/>
          <w:u w:val="none"/>
          <w:lang w:val="en-US"/>
        </w:rPr>
        <w:t>，</w:t>
      </w:r>
      <w:r>
        <w:rPr>
          <w:color w:val="auto"/>
          <w:highlight w:val="none"/>
          <w:u w:val="none"/>
          <w:lang w:val="en-US"/>
        </w:rPr>
        <w:t>外排水中COD、氨氮、总磷、总氮的浓度</w:t>
      </w:r>
      <w:r>
        <w:rPr>
          <w:rFonts w:hint="eastAsia" w:ascii="宋体"/>
          <w:color w:val="auto"/>
          <w:highlight w:val="none"/>
          <w:u w:val="none"/>
        </w:rPr>
        <w:t>均能满足相应的排放标准限值要求。</w:t>
      </w:r>
    </w:p>
    <w:p w14:paraId="77444725">
      <w:pPr>
        <w:pStyle w:val="71"/>
        <w:rPr>
          <w:rFonts w:ascii="Times New Roman" w:hAnsi="Times New Roman" w:cs="Times New Roman"/>
          <w:color w:val="auto"/>
          <w:highlight w:val="none"/>
          <w:u w:val="none"/>
        </w:rPr>
      </w:pPr>
      <w:r>
        <w:rPr>
          <w:rFonts w:ascii="Times New Roman" w:hAnsi="Times New Roman" w:cs="Times New Roman"/>
          <w:color w:val="auto"/>
          <w:highlight w:val="none"/>
          <w:u w:val="none"/>
        </w:rPr>
        <w:t>2024年1月10日</w:t>
      </w:r>
      <w:r>
        <w:rPr>
          <w:rFonts w:hint="eastAsia" w:ascii="Times New Roman" w:hAnsi="Times New Roman" w:cs="Times New Roman"/>
          <w:color w:val="auto"/>
          <w:highlight w:val="none"/>
          <w:u w:val="none"/>
        </w:rPr>
        <w:t>、4月2日、7月2日、10月15日</w:t>
      </w:r>
      <w:r>
        <w:rPr>
          <w:rFonts w:ascii="Times New Roman" w:hAnsi="Times New Roman" w:cs="Times New Roman"/>
          <w:color w:val="auto"/>
          <w:highlight w:val="none"/>
          <w:u w:val="none"/>
        </w:rPr>
        <w:t>万华环保科技公司对低</w:t>
      </w:r>
      <w:r>
        <w:rPr>
          <w:rFonts w:hint="eastAsia" w:ascii="Times New Roman" w:hAnsi="Times New Roman" w:cs="Times New Roman"/>
          <w:color w:val="auto"/>
          <w:highlight w:val="none"/>
          <w:u w:val="none"/>
        </w:rPr>
        <w:t>浓度</w:t>
      </w:r>
      <w:r>
        <w:rPr>
          <w:rFonts w:ascii="Times New Roman" w:hAnsi="Times New Roman" w:cs="Times New Roman"/>
          <w:color w:val="auto"/>
          <w:highlight w:val="none"/>
          <w:u w:val="none"/>
        </w:rPr>
        <w:t>废水处理系统废水各污染物进行自行监测，根据监测结果，低</w:t>
      </w:r>
      <w:r>
        <w:rPr>
          <w:rFonts w:hint="eastAsia" w:ascii="Times New Roman" w:hAnsi="Times New Roman" w:cs="Times New Roman"/>
          <w:color w:val="auto"/>
          <w:highlight w:val="none"/>
          <w:u w:val="none"/>
        </w:rPr>
        <w:t>浓度</w:t>
      </w:r>
      <w:r>
        <w:rPr>
          <w:rFonts w:ascii="Times New Roman" w:hAnsi="Times New Roman" w:cs="Times New Roman"/>
          <w:color w:val="auto"/>
          <w:highlight w:val="none"/>
          <w:u w:val="none"/>
        </w:rPr>
        <w:t>废水处理系统尾水中各污染物（色度、悬浮物、BOD</w:t>
      </w:r>
      <w:r>
        <w:rPr>
          <w:rFonts w:ascii="Times New Roman" w:hAnsi="Times New Roman" w:cs="Times New Roman"/>
          <w:color w:val="auto"/>
          <w:highlight w:val="none"/>
          <w:u w:val="none"/>
          <w:vertAlign w:val="subscript"/>
        </w:rPr>
        <w:t>5</w:t>
      </w:r>
      <w:r>
        <w:rPr>
          <w:rFonts w:ascii="Times New Roman" w:hAnsi="Times New Roman" w:cs="Times New Roman"/>
          <w:color w:val="auto"/>
          <w:highlight w:val="none"/>
          <w:u w:val="none"/>
        </w:rPr>
        <w:t>、硫化物、石油类、挥发酚、硝基苯类、苯酚类</w:t>
      </w:r>
      <w:r>
        <w:rPr>
          <w:rFonts w:hint="eastAsia" w:ascii="Times New Roman" w:hAnsi="Times New Roman" w:cs="Times New Roman"/>
          <w:color w:val="auto"/>
          <w:highlight w:val="none"/>
          <w:u w:val="none"/>
        </w:rPr>
        <w:t>、氯苯</w:t>
      </w:r>
      <w:r>
        <w:rPr>
          <w:rFonts w:ascii="Times New Roman" w:hAnsi="Times New Roman" w:cs="Times New Roman"/>
          <w:color w:val="auto"/>
          <w:highlight w:val="none"/>
          <w:u w:val="none"/>
        </w:rPr>
        <w:t>）均能满足相应的排放标准限值要求。</w:t>
      </w:r>
      <w:r>
        <w:rPr>
          <w:rFonts w:hint="eastAsia" w:ascii="Times New Roman" w:hAnsi="Times New Roman" w:cs="Times New Roman"/>
          <w:color w:val="auto"/>
          <w:highlight w:val="none"/>
          <w:u w:val="none"/>
        </w:rPr>
        <w:t>2月18日、3月7日、5月13日、6月5日、8月1日、9月3日、11月7日</w:t>
      </w:r>
      <w:r>
        <w:rPr>
          <w:rFonts w:ascii="Times New Roman" w:hAnsi="Times New Roman" w:cs="Times New Roman"/>
          <w:color w:val="auto"/>
          <w:highlight w:val="none"/>
          <w:u w:val="none"/>
        </w:rPr>
        <w:t>万华环保科技公司对低</w:t>
      </w:r>
      <w:r>
        <w:rPr>
          <w:rFonts w:hint="eastAsia" w:ascii="Times New Roman" w:hAnsi="Times New Roman" w:cs="Times New Roman"/>
          <w:color w:val="auto"/>
          <w:highlight w:val="none"/>
          <w:u w:val="none"/>
        </w:rPr>
        <w:t>浓度</w:t>
      </w:r>
      <w:r>
        <w:rPr>
          <w:rFonts w:ascii="Times New Roman" w:hAnsi="Times New Roman" w:cs="Times New Roman"/>
          <w:color w:val="auto"/>
          <w:highlight w:val="none"/>
          <w:u w:val="none"/>
        </w:rPr>
        <w:t>废水处理系统废水各污染物</w:t>
      </w:r>
      <w:r>
        <w:rPr>
          <w:rFonts w:hint="eastAsia" w:ascii="Times New Roman" w:hAnsi="Times New Roman" w:cs="Times New Roman"/>
          <w:color w:val="auto"/>
          <w:highlight w:val="none"/>
          <w:u w:val="none"/>
        </w:rPr>
        <w:t>（色度、悬浮物、硫化物、石油类、挥发酚）进行监测，</w:t>
      </w:r>
      <w:r>
        <w:rPr>
          <w:rFonts w:ascii="Times New Roman" w:hAnsi="Times New Roman" w:cs="Times New Roman"/>
          <w:color w:val="auto"/>
          <w:highlight w:val="none"/>
          <w:u w:val="none"/>
        </w:rPr>
        <w:t>根据监测结果，</w:t>
      </w:r>
      <w:r>
        <w:rPr>
          <w:rFonts w:hint="eastAsia" w:ascii="Times New Roman" w:hAnsi="Times New Roman" w:cs="Times New Roman"/>
          <w:color w:val="auto"/>
          <w:highlight w:val="none"/>
          <w:u w:val="none"/>
        </w:rPr>
        <w:t>各污染物均能</w:t>
      </w:r>
      <w:r>
        <w:rPr>
          <w:rFonts w:ascii="Times New Roman" w:hAnsi="Times New Roman" w:cs="Times New Roman"/>
          <w:color w:val="auto"/>
          <w:highlight w:val="none"/>
          <w:u w:val="none"/>
        </w:rPr>
        <w:t>满足相应的排放标准限值要求。</w:t>
      </w:r>
    </w:p>
    <w:p w14:paraId="116A41D1">
      <w:pPr>
        <w:rPr>
          <w:rFonts w:hint="eastAsia"/>
          <w:color w:val="auto"/>
          <w:highlight w:val="none"/>
          <w:u w:val="none"/>
          <w:lang w:val="en-US"/>
        </w:rPr>
      </w:pPr>
      <w:r>
        <w:rPr>
          <w:rFonts w:hint="eastAsia"/>
          <w:color w:val="auto"/>
          <w:highlight w:val="none"/>
          <w:u w:val="none"/>
          <w:lang w:val="en-US"/>
        </w:rPr>
        <w:t>②综合废水处理系统</w:t>
      </w:r>
      <w:r>
        <w:rPr>
          <w:color w:val="auto"/>
          <w:highlight w:val="none"/>
          <w:u w:val="none"/>
          <w:lang w:val="en-US"/>
        </w:rPr>
        <w:t>自行监测数据达标性分析</w:t>
      </w:r>
    </w:p>
    <w:p w14:paraId="346BADA4">
      <w:pPr>
        <w:rPr>
          <w:rFonts w:hAnsi="Times New Roman"/>
          <w:color w:val="auto"/>
          <w:highlight w:val="none"/>
          <w:u w:val="none"/>
          <w:lang w:val="en-US"/>
        </w:rPr>
      </w:pPr>
      <w:r>
        <w:rPr>
          <w:rFonts w:hint="eastAsia"/>
          <w:color w:val="auto"/>
          <w:highlight w:val="none"/>
          <w:u w:val="none"/>
        </w:rPr>
        <w:t>万华环保科技公司</w:t>
      </w:r>
      <w:r>
        <w:rPr>
          <w:rFonts w:hAnsi="Times New Roman"/>
          <w:color w:val="auto"/>
          <w:highlight w:val="none"/>
          <w:u w:val="none"/>
          <w:lang w:val="en-US"/>
        </w:rPr>
        <w:t>综合废水处理系统配套在线监测装置。根据2024年1月~12月综合废水水质在线监测数据，外排水中COD、氨氮、总磷、总氮的浓度均符合</w:t>
      </w:r>
      <w:r>
        <w:rPr>
          <w:rFonts w:hAnsi="Times New Roman"/>
          <w:color w:val="auto"/>
          <w:highlight w:val="none"/>
          <w:u w:val="none"/>
        </w:rPr>
        <w:t>相应的排放标准限值要求</w:t>
      </w:r>
      <w:r>
        <w:rPr>
          <w:rFonts w:hAnsi="Times New Roman"/>
          <w:color w:val="auto"/>
          <w:highlight w:val="none"/>
          <w:u w:val="none"/>
          <w:lang w:val="en-US"/>
        </w:rPr>
        <w:t>。</w:t>
      </w:r>
    </w:p>
    <w:p w14:paraId="21F147B1">
      <w:pPr>
        <w:rPr>
          <w:rFonts w:hAnsi="Times New Roman"/>
          <w:color w:val="auto"/>
          <w:highlight w:val="none"/>
          <w:u w:val="none"/>
          <w:lang w:val="en-US"/>
        </w:rPr>
      </w:pPr>
      <w:r>
        <w:rPr>
          <w:rFonts w:hAnsi="Times New Roman"/>
          <w:color w:val="auto"/>
          <w:highlight w:val="none"/>
          <w:u w:val="none"/>
          <w:lang w:val="en-US"/>
        </w:rPr>
        <w:t>2024年1月10日、4月2日、7月2日、10月15日万华环保科技公司对综合废水处理系统废水各污染物进行自行监测，根据监测结果，综合废水处理系统尾水中各污染物（BOD</w:t>
      </w:r>
      <w:r>
        <w:rPr>
          <w:rFonts w:hAnsi="Times New Roman"/>
          <w:color w:val="auto"/>
          <w:highlight w:val="none"/>
          <w:u w:val="none"/>
          <w:vertAlign w:val="subscript"/>
          <w:lang w:val="en-US"/>
        </w:rPr>
        <w:t>5</w:t>
      </w:r>
      <w:r>
        <w:rPr>
          <w:rFonts w:hAnsi="Times New Roman"/>
          <w:color w:val="auto"/>
          <w:highlight w:val="none"/>
          <w:u w:val="none"/>
          <w:lang w:val="en-US"/>
        </w:rPr>
        <w:t>、总铜、硫化物、石油类、挥发酚、四氯化碳、1，2-二氯乙烷、氯乙烯、苯、甲苯、氯苯、1，2-二氯苯、硝基苯类、苯胺类、甲醛）</w:t>
      </w:r>
      <w:r>
        <w:rPr>
          <w:rFonts w:hAnsi="Times New Roman"/>
          <w:color w:val="auto"/>
          <w:highlight w:val="none"/>
          <w:u w:val="none"/>
        </w:rPr>
        <w:t>均能满足相应的排放标准限值要求</w:t>
      </w:r>
      <w:r>
        <w:rPr>
          <w:rFonts w:hAnsi="Times New Roman"/>
          <w:color w:val="auto"/>
          <w:highlight w:val="none"/>
          <w:u w:val="none"/>
          <w:lang w:val="en-US"/>
        </w:rPr>
        <w:t>。</w:t>
      </w:r>
    </w:p>
    <w:p w14:paraId="40582658">
      <w:pPr>
        <w:rPr>
          <w:rFonts w:hAnsi="Times New Roman"/>
          <w:color w:val="auto"/>
          <w:highlight w:val="none"/>
          <w:u w:val="none"/>
          <w:lang w:val="en-US"/>
        </w:rPr>
      </w:pPr>
      <w:r>
        <w:rPr>
          <w:rFonts w:hAnsi="Times New Roman"/>
          <w:color w:val="auto"/>
          <w:highlight w:val="none"/>
          <w:u w:val="none"/>
          <w:lang w:val="en-US"/>
        </w:rPr>
        <w:t>2024年1月5日、1月26日、1月29日、2月6日、2月28日、3月11日、3月20日、3月27日、4月12日、4月17日、4月24日、4月29日、5月13日、5月20日、5月29日、6月11日、6月17日、6月26日、7月8日、7月16日、7月24日、8月7日、8月12日、8月19日、8月27日、9月10日、9月19日、9月23日、9月30日、10月9日、10月23日、10月29日、11月12日、11月20日万华环保科技公司对综合废水处理系统废水（硫化物、石油类、挥发酚）；</w:t>
      </w:r>
    </w:p>
    <w:p w14:paraId="10C3DE08">
      <w:pPr>
        <w:rPr>
          <w:rFonts w:hAnsi="Times New Roman"/>
          <w:color w:val="auto"/>
          <w:highlight w:val="none"/>
          <w:u w:val="none"/>
          <w:lang w:val="en-US"/>
        </w:rPr>
      </w:pPr>
      <w:r>
        <w:rPr>
          <w:rFonts w:hAnsi="Times New Roman"/>
          <w:color w:val="auto"/>
          <w:highlight w:val="none"/>
          <w:u w:val="none"/>
          <w:lang w:val="en-US"/>
        </w:rPr>
        <w:t>2月18日、3月7日、5月7日、6月5日、8月1日、9月3日、11月7日万华环保科技公司对综合废水处理系统废水（BOD</w:t>
      </w:r>
      <w:r>
        <w:rPr>
          <w:rFonts w:hAnsi="Times New Roman"/>
          <w:color w:val="auto"/>
          <w:highlight w:val="none"/>
          <w:u w:val="none"/>
          <w:vertAlign w:val="subscript"/>
          <w:lang w:val="en-US"/>
        </w:rPr>
        <w:t>5</w:t>
      </w:r>
      <w:r>
        <w:rPr>
          <w:rFonts w:hAnsi="Times New Roman"/>
          <w:color w:val="auto"/>
          <w:highlight w:val="none"/>
          <w:u w:val="none"/>
          <w:lang w:val="en-US"/>
        </w:rPr>
        <w:t>、总铜、硫化物、石油类、挥发酚）；</w:t>
      </w:r>
    </w:p>
    <w:p w14:paraId="45298723">
      <w:pPr>
        <w:rPr>
          <w:rFonts w:hAnsi="Times New Roman"/>
          <w:color w:val="auto"/>
          <w:highlight w:val="none"/>
          <w:u w:val="none"/>
          <w:lang w:val="en-US"/>
        </w:rPr>
      </w:pPr>
      <w:r>
        <w:rPr>
          <w:rFonts w:hAnsi="Times New Roman"/>
          <w:color w:val="auto"/>
          <w:highlight w:val="none"/>
          <w:u w:val="none"/>
          <w:lang w:val="en-US"/>
        </w:rPr>
        <w:t>根据监测结果，综合废水处理系统尾水中各污染物</w:t>
      </w:r>
      <w:r>
        <w:rPr>
          <w:rFonts w:hAnsi="Times New Roman"/>
          <w:color w:val="auto"/>
          <w:highlight w:val="none"/>
          <w:u w:val="none"/>
        </w:rPr>
        <w:t>均能满足相应的排放标准限值要求</w:t>
      </w:r>
      <w:r>
        <w:rPr>
          <w:rFonts w:hAnsi="Times New Roman"/>
          <w:color w:val="auto"/>
          <w:highlight w:val="none"/>
          <w:u w:val="none"/>
          <w:lang w:val="en-US"/>
        </w:rPr>
        <w:t>。</w:t>
      </w:r>
    </w:p>
    <w:p w14:paraId="65322653">
      <w:pPr>
        <w:rPr>
          <w:rFonts w:hint="eastAsia"/>
          <w:color w:val="auto"/>
          <w:highlight w:val="none"/>
          <w:u w:val="none"/>
          <w:lang w:val="en-US"/>
        </w:rPr>
      </w:pPr>
      <w:r>
        <w:rPr>
          <w:color w:val="auto"/>
          <w:highlight w:val="none"/>
          <w:u w:val="none"/>
          <w:lang w:val="en-US"/>
        </w:rPr>
        <w:t>（3）厂界噪声</w:t>
      </w:r>
      <w:r>
        <w:rPr>
          <w:rFonts w:hint="eastAsia"/>
          <w:color w:val="auto"/>
          <w:highlight w:val="none"/>
          <w:u w:val="none"/>
          <w:lang w:val="en-US"/>
        </w:rPr>
        <w:t>自行监测</w:t>
      </w:r>
      <w:r>
        <w:rPr>
          <w:color w:val="auto"/>
          <w:highlight w:val="none"/>
          <w:u w:val="none"/>
          <w:lang w:val="en-US"/>
        </w:rPr>
        <w:t>达标情况分析</w:t>
      </w:r>
    </w:p>
    <w:p w14:paraId="4FF52B79">
      <w:pPr>
        <w:rPr>
          <w:rFonts w:hint="eastAsia"/>
          <w:color w:val="auto"/>
          <w:highlight w:val="none"/>
          <w:u w:val="none"/>
        </w:rPr>
      </w:pPr>
      <w:r>
        <w:rPr>
          <w:color w:val="auto"/>
          <w:highlight w:val="none"/>
          <w:u w:val="none"/>
        </w:rPr>
        <w:t>万华福建公司</w:t>
      </w:r>
      <w:r>
        <w:rPr>
          <w:rFonts w:hint="eastAsia"/>
          <w:color w:val="auto"/>
          <w:highlight w:val="none"/>
          <w:u w:val="none"/>
        </w:rPr>
        <w:t>于2</w:t>
      </w:r>
      <w:r>
        <w:rPr>
          <w:color w:val="auto"/>
          <w:highlight w:val="none"/>
          <w:u w:val="none"/>
        </w:rPr>
        <w:t>02</w:t>
      </w:r>
      <w:r>
        <w:rPr>
          <w:rFonts w:hint="eastAsia"/>
          <w:color w:val="auto"/>
          <w:highlight w:val="none"/>
          <w:u w:val="none"/>
          <w:lang w:val="en-US"/>
        </w:rPr>
        <w:t>4</w:t>
      </w:r>
      <w:r>
        <w:rPr>
          <w:rFonts w:hint="eastAsia"/>
          <w:color w:val="auto"/>
          <w:highlight w:val="none"/>
          <w:u w:val="none"/>
        </w:rPr>
        <w:t>年</w:t>
      </w:r>
      <w:r>
        <w:rPr>
          <w:color w:val="auto"/>
          <w:highlight w:val="none"/>
          <w:u w:val="none"/>
        </w:rPr>
        <w:t>每个季度对现有工程的厂界昼夜噪声进行1次监测</w:t>
      </w:r>
      <w:r>
        <w:rPr>
          <w:rFonts w:hint="eastAsia"/>
          <w:color w:val="auto"/>
          <w:highlight w:val="none"/>
          <w:u w:val="none"/>
        </w:rPr>
        <w:t>，</w:t>
      </w:r>
      <w:r>
        <w:rPr>
          <w:rFonts w:hint="eastAsia"/>
          <w:color w:val="auto"/>
          <w:highlight w:val="none"/>
          <w:u w:val="none"/>
          <w:lang w:val="en-US"/>
        </w:rPr>
        <w:t>根据</w:t>
      </w:r>
      <w:r>
        <w:rPr>
          <w:color w:val="auto"/>
          <w:highlight w:val="none"/>
          <w:u w:val="none"/>
        </w:rPr>
        <w:t>监测结果，</w:t>
      </w:r>
      <w:r>
        <w:rPr>
          <w:rFonts w:hint="eastAsia"/>
          <w:color w:val="auto"/>
          <w:highlight w:val="none"/>
          <w:u w:val="none"/>
        </w:rPr>
        <w:t>企业厂界</w:t>
      </w:r>
      <w:r>
        <w:rPr>
          <w:color w:val="auto"/>
          <w:highlight w:val="none"/>
          <w:u w:val="none"/>
        </w:rPr>
        <w:t>昼间</w:t>
      </w:r>
      <w:r>
        <w:rPr>
          <w:rFonts w:hint="eastAsia"/>
          <w:color w:val="auto"/>
          <w:highlight w:val="none"/>
          <w:u w:val="none"/>
        </w:rPr>
        <w:t>、</w:t>
      </w:r>
      <w:r>
        <w:rPr>
          <w:color w:val="auto"/>
          <w:highlight w:val="none"/>
          <w:u w:val="none"/>
        </w:rPr>
        <w:t>夜间噪声均符合《工业企业厂界环境噪声排放标准》</w:t>
      </w:r>
      <w:r>
        <w:rPr>
          <w:rFonts w:hint="eastAsia"/>
          <w:color w:val="auto"/>
          <w:highlight w:val="none"/>
          <w:u w:val="none"/>
        </w:rPr>
        <w:t>（</w:t>
      </w:r>
      <w:r>
        <w:rPr>
          <w:color w:val="auto"/>
          <w:highlight w:val="none"/>
          <w:u w:val="none"/>
        </w:rPr>
        <w:t>GB12348-2008</w:t>
      </w:r>
      <w:r>
        <w:rPr>
          <w:rFonts w:hint="eastAsia"/>
          <w:color w:val="auto"/>
          <w:highlight w:val="none"/>
          <w:u w:val="none"/>
        </w:rPr>
        <w:t>）限值</w:t>
      </w:r>
      <w:r>
        <w:rPr>
          <w:color w:val="auto"/>
          <w:highlight w:val="none"/>
          <w:u w:val="none"/>
        </w:rPr>
        <w:t>要求</w:t>
      </w:r>
      <w:r>
        <w:rPr>
          <w:rFonts w:hint="eastAsia"/>
          <w:color w:val="auto"/>
          <w:highlight w:val="none"/>
          <w:u w:val="none"/>
        </w:rPr>
        <w:t>。</w:t>
      </w:r>
    </w:p>
    <w:p w14:paraId="0B919B53">
      <w:pPr>
        <w:pStyle w:val="4"/>
        <w:rPr>
          <w:color w:val="auto"/>
          <w:highlight w:val="none"/>
          <w:u w:val="none"/>
        </w:rPr>
      </w:pPr>
      <w:bookmarkStart w:id="219" w:name="_Toc7512"/>
      <w:r>
        <w:rPr>
          <w:color w:val="auto"/>
          <w:highlight w:val="none"/>
          <w:u w:val="none"/>
        </w:rPr>
        <w:t>现有工程应急预案</w:t>
      </w:r>
      <w:bookmarkEnd w:id="219"/>
    </w:p>
    <w:p w14:paraId="6C0074E0">
      <w:pPr>
        <w:pStyle w:val="981"/>
        <w:rPr>
          <w:rFonts w:hint="eastAsia"/>
          <w:color w:val="auto"/>
          <w:highlight w:val="none"/>
          <w:u w:val="none"/>
          <w:lang w:val="en-US"/>
        </w:rPr>
      </w:pPr>
      <w:r>
        <w:rPr>
          <w:rFonts w:hint="eastAsia"/>
          <w:color w:val="auto"/>
          <w:highlight w:val="none"/>
          <w:u w:val="none"/>
        </w:rPr>
        <w:t>万华福建公司</w:t>
      </w:r>
      <w:r>
        <w:rPr>
          <w:rFonts w:hint="eastAsia"/>
          <w:color w:val="auto"/>
          <w:highlight w:val="none"/>
          <w:u w:val="none"/>
          <w:lang w:val="en-US"/>
        </w:rPr>
        <w:t>2023年3月2</w:t>
      </w:r>
      <w:r>
        <w:rPr>
          <w:color w:val="auto"/>
          <w:highlight w:val="none"/>
          <w:u w:val="none"/>
          <w:lang w:val="en-US"/>
        </w:rPr>
        <w:t>7</w:t>
      </w:r>
      <w:r>
        <w:rPr>
          <w:rFonts w:hint="eastAsia"/>
          <w:color w:val="auto"/>
          <w:highlight w:val="none"/>
          <w:u w:val="none"/>
          <w:lang w:val="en-US"/>
        </w:rPr>
        <w:t>日完成</w:t>
      </w:r>
      <w:r>
        <w:rPr>
          <w:color w:val="auto"/>
          <w:highlight w:val="none"/>
          <w:u w:val="none"/>
          <w:lang w:val="en-US"/>
        </w:rPr>
        <w:t>《万华化学</w:t>
      </w:r>
      <w:r>
        <w:rPr>
          <w:rFonts w:hint="eastAsia"/>
          <w:color w:val="auto"/>
          <w:highlight w:val="none"/>
          <w:u w:val="none"/>
          <w:lang w:val="en-US"/>
        </w:rPr>
        <w:t>（</w:t>
      </w:r>
      <w:r>
        <w:rPr>
          <w:color w:val="auto"/>
          <w:highlight w:val="none"/>
          <w:u w:val="none"/>
          <w:lang w:val="en-US"/>
        </w:rPr>
        <w:t>福建</w:t>
      </w:r>
      <w:r>
        <w:rPr>
          <w:rFonts w:hint="eastAsia"/>
          <w:color w:val="auto"/>
          <w:highlight w:val="none"/>
          <w:u w:val="none"/>
          <w:lang w:val="en-US"/>
        </w:rPr>
        <w:t>）</w:t>
      </w:r>
      <w:r>
        <w:rPr>
          <w:color w:val="auto"/>
          <w:highlight w:val="none"/>
          <w:u w:val="none"/>
          <w:lang w:val="en-US"/>
        </w:rPr>
        <w:t>有限公司突发环境事件应急预案》</w:t>
      </w:r>
      <w:r>
        <w:rPr>
          <w:rFonts w:hint="eastAsia"/>
          <w:color w:val="auto"/>
          <w:highlight w:val="none"/>
          <w:u w:val="none"/>
          <w:lang w:val="en-US"/>
        </w:rPr>
        <w:t>的备案，</w:t>
      </w:r>
      <w:r>
        <w:rPr>
          <w:color w:val="auto"/>
          <w:highlight w:val="none"/>
          <w:u w:val="none"/>
          <w:lang w:val="en-US"/>
        </w:rPr>
        <w:t>已实施的现有工程风险防范、应急措施详见“9.环境风险评价”中9.1现有工程风险防范措施。</w:t>
      </w:r>
    </w:p>
    <w:p w14:paraId="68909847">
      <w:pPr>
        <w:pStyle w:val="981"/>
        <w:rPr>
          <w:rFonts w:hint="eastAsia"/>
          <w:color w:val="auto"/>
          <w:highlight w:val="none"/>
          <w:u w:val="none"/>
          <w:lang w:val="en-US"/>
        </w:rPr>
      </w:pPr>
      <w:r>
        <w:rPr>
          <w:rFonts w:hint="eastAsia"/>
          <w:color w:val="auto"/>
          <w:highlight w:val="none"/>
          <w:u w:val="none"/>
          <w:lang w:val="en-US"/>
        </w:rPr>
        <w:t>2024年7月18日气体装置地块独立完成《</w:t>
      </w:r>
      <w:r>
        <w:rPr>
          <w:color w:val="auto"/>
          <w:highlight w:val="none"/>
          <w:u w:val="none"/>
          <w:lang w:val="en-US"/>
        </w:rPr>
        <w:t>万华化学</w:t>
      </w:r>
      <w:r>
        <w:rPr>
          <w:rFonts w:hint="eastAsia"/>
          <w:color w:val="auto"/>
          <w:highlight w:val="none"/>
          <w:u w:val="none"/>
          <w:lang w:val="en-US"/>
        </w:rPr>
        <w:t>（</w:t>
      </w:r>
      <w:r>
        <w:rPr>
          <w:color w:val="auto"/>
          <w:highlight w:val="none"/>
          <w:u w:val="none"/>
          <w:lang w:val="en-US"/>
        </w:rPr>
        <w:t>福建</w:t>
      </w:r>
      <w:r>
        <w:rPr>
          <w:rFonts w:hint="eastAsia"/>
          <w:color w:val="auto"/>
          <w:highlight w:val="none"/>
          <w:u w:val="none"/>
          <w:lang w:val="en-US"/>
        </w:rPr>
        <w:t>）</w:t>
      </w:r>
      <w:r>
        <w:rPr>
          <w:color w:val="auto"/>
          <w:highlight w:val="none"/>
          <w:u w:val="none"/>
          <w:lang w:val="en-US"/>
        </w:rPr>
        <w:t>有限公司</w:t>
      </w:r>
      <w:r>
        <w:rPr>
          <w:rFonts w:hint="eastAsia"/>
          <w:color w:val="auto"/>
          <w:highlight w:val="none"/>
          <w:u w:val="none"/>
          <w:lang w:val="en-US"/>
        </w:rPr>
        <w:t>气体厂区</w:t>
      </w:r>
      <w:r>
        <w:rPr>
          <w:color w:val="auto"/>
          <w:highlight w:val="none"/>
          <w:u w:val="none"/>
          <w:lang w:val="en-US"/>
        </w:rPr>
        <w:t>突发环境事件应急预案</w:t>
      </w:r>
      <w:r>
        <w:rPr>
          <w:rFonts w:hint="eastAsia"/>
          <w:color w:val="auto"/>
          <w:highlight w:val="none"/>
          <w:u w:val="none"/>
          <w:lang w:val="en-US"/>
        </w:rPr>
        <w:t>》的备案。</w:t>
      </w:r>
    </w:p>
    <w:p w14:paraId="68B2C30B">
      <w:pPr>
        <w:pStyle w:val="4"/>
        <w:rPr>
          <w:color w:val="auto"/>
          <w:highlight w:val="none"/>
          <w:u w:val="none"/>
          <w:lang w:val="en-US"/>
        </w:rPr>
      </w:pPr>
      <w:bookmarkStart w:id="220" w:name="_Toc10312"/>
      <w:bookmarkStart w:id="221" w:name="_Hlk148355883"/>
      <w:r>
        <w:rPr>
          <w:rFonts w:hint="eastAsia"/>
          <w:color w:val="auto"/>
          <w:highlight w:val="none"/>
          <w:u w:val="none"/>
          <w:lang w:val="en-US"/>
        </w:rPr>
        <w:t>环保投诉情况</w:t>
      </w:r>
      <w:bookmarkEnd w:id="220"/>
    </w:p>
    <w:p w14:paraId="451DF910">
      <w:pPr>
        <w:pStyle w:val="981"/>
        <w:rPr>
          <w:rFonts w:hint="eastAsia"/>
          <w:color w:val="auto"/>
          <w:highlight w:val="none"/>
          <w:u w:val="none"/>
          <w:lang w:val="en-US"/>
        </w:rPr>
      </w:pPr>
      <w:r>
        <w:rPr>
          <w:rFonts w:hint="eastAsia"/>
          <w:color w:val="auto"/>
          <w:highlight w:val="none"/>
          <w:u w:val="none"/>
          <w:lang w:val="en-US"/>
        </w:rPr>
        <w:t>万华福建公司现有工程投产运行情况良好，未出现重大事故或环境投诉事件。</w:t>
      </w:r>
    </w:p>
    <w:bookmarkEnd w:id="221"/>
    <w:p w14:paraId="7E49E835">
      <w:pPr>
        <w:rPr>
          <w:rFonts w:hint="eastAsia"/>
          <w:color w:val="auto"/>
          <w:highlight w:val="none"/>
          <w:u w:val="none"/>
        </w:rPr>
      </w:pPr>
    </w:p>
    <w:p w14:paraId="745E273F">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5B148E9A">
      <w:pPr>
        <w:pStyle w:val="3"/>
        <w:rPr>
          <w:rFonts w:hint="eastAsia"/>
          <w:color w:val="auto"/>
          <w:highlight w:val="none"/>
          <w:u w:val="none"/>
        </w:rPr>
      </w:pPr>
      <w:bookmarkStart w:id="222" w:name="_Toc148374786"/>
      <w:bookmarkStart w:id="223" w:name="_Toc148374935"/>
      <w:bookmarkStart w:id="224" w:name="_Toc148374493"/>
      <w:bookmarkStart w:id="225" w:name="_Toc19819"/>
      <w:r>
        <w:rPr>
          <w:rFonts w:hint="eastAsia"/>
          <w:color w:val="auto"/>
          <w:highlight w:val="none"/>
          <w:u w:val="none"/>
        </w:rPr>
        <w:t>拟建工程概况</w:t>
      </w:r>
      <w:bookmarkEnd w:id="222"/>
      <w:bookmarkEnd w:id="223"/>
      <w:bookmarkEnd w:id="224"/>
      <w:bookmarkEnd w:id="225"/>
    </w:p>
    <w:p w14:paraId="3EAF8762">
      <w:pPr>
        <w:pStyle w:val="4"/>
        <w:rPr>
          <w:color w:val="auto"/>
          <w:highlight w:val="none"/>
          <w:u w:val="none"/>
        </w:rPr>
      </w:pPr>
      <w:bookmarkStart w:id="226" w:name="_Toc148374787"/>
      <w:bookmarkStart w:id="227" w:name="_Toc148374494"/>
      <w:bookmarkStart w:id="228" w:name="_Toc5528"/>
      <w:bookmarkStart w:id="229" w:name="_Toc148374936"/>
      <w:r>
        <w:rPr>
          <w:rFonts w:hint="eastAsia"/>
          <w:color w:val="auto"/>
          <w:highlight w:val="none"/>
          <w:u w:val="none"/>
        </w:rPr>
        <w:t>项目基本情况</w:t>
      </w:r>
      <w:bookmarkEnd w:id="226"/>
      <w:bookmarkEnd w:id="227"/>
      <w:bookmarkEnd w:id="228"/>
      <w:bookmarkEnd w:id="229"/>
    </w:p>
    <w:p w14:paraId="6EE9817B">
      <w:pPr>
        <w:rPr>
          <w:rFonts w:hint="eastAsia"/>
          <w:color w:val="auto"/>
          <w:highlight w:val="none"/>
          <w:u w:val="none"/>
        </w:rPr>
      </w:pPr>
      <w:r>
        <w:rPr>
          <w:rFonts w:hint="eastAsia"/>
          <w:color w:val="auto"/>
          <w:highlight w:val="none"/>
          <w:u w:val="none"/>
        </w:rPr>
        <w:t>（1）项目名称：万华化学（福建）有限公司</w:t>
      </w:r>
      <w:r>
        <w:rPr>
          <w:rFonts w:hint="eastAsia"/>
          <w:color w:val="auto"/>
          <w:highlight w:val="none"/>
          <w:u w:val="none"/>
          <w:lang w:val="en-US"/>
        </w:rPr>
        <w:t>TDI一期技改扩能36</w:t>
      </w:r>
      <w:r>
        <w:rPr>
          <w:rFonts w:hint="eastAsia"/>
          <w:color w:val="auto"/>
          <w:highlight w:val="none"/>
          <w:u w:val="none"/>
        </w:rPr>
        <w:t>万吨/年项目</w:t>
      </w:r>
    </w:p>
    <w:p w14:paraId="0F194572">
      <w:pPr>
        <w:rPr>
          <w:rFonts w:hint="eastAsia"/>
          <w:color w:val="auto"/>
          <w:highlight w:val="none"/>
          <w:u w:val="none"/>
        </w:rPr>
      </w:pPr>
      <w:r>
        <w:rPr>
          <w:rFonts w:hint="eastAsia"/>
          <w:color w:val="auto"/>
          <w:highlight w:val="none"/>
          <w:u w:val="none"/>
        </w:rPr>
        <w:t>（2）建设单位：万华化学（福建）有限公司</w:t>
      </w:r>
    </w:p>
    <w:p w14:paraId="5789E055">
      <w:pPr>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rPr>
        <w:t>）建设地点：福建省福州市福清市江阴镇江阴港城经济区西部工业片区</w:t>
      </w:r>
    </w:p>
    <w:p w14:paraId="5F700660">
      <w:pPr>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rPr>
        <w:t>）经济指标：</w:t>
      </w:r>
    </w:p>
    <w:p w14:paraId="67B1877C">
      <w:pPr>
        <w:rPr>
          <w:rFonts w:hint="eastAsia"/>
          <w:color w:val="auto"/>
          <w:highlight w:val="none"/>
          <w:u w:val="none"/>
          <w:lang w:val="en-US"/>
        </w:rPr>
      </w:pPr>
      <w:r>
        <w:rPr>
          <w:rFonts w:hint="eastAsia"/>
          <w:color w:val="auto"/>
          <w:highlight w:val="none"/>
          <w:u w:val="none"/>
        </w:rPr>
        <w:t>（</w:t>
      </w:r>
      <w:r>
        <w:rPr>
          <w:color w:val="auto"/>
          <w:highlight w:val="none"/>
          <w:u w:val="none"/>
        </w:rPr>
        <w:t>5</w:t>
      </w:r>
      <w:r>
        <w:rPr>
          <w:rFonts w:hint="eastAsia"/>
          <w:color w:val="auto"/>
          <w:highlight w:val="none"/>
          <w:u w:val="none"/>
        </w:rPr>
        <w:t>）建设性质：</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p>
    <w:p w14:paraId="20A78E7E">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6</w:t>
      </w:r>
      <w:r>
        <w:rPr>
          <w:rFonts w:hint="eastAsia"/>
          <w:color w:val="auto"/>
          <w:highlight w:val="none"/>
          <w:u w:val="none"/>
        </w:rPr>
        <w:t>）年运行时间：；</w:t>
      </w:r>
    </w:p>
    <w:p w14:paraId="57124792">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7</w:t>
      </w:r>
      <w:r>
        <w:rPr>
          <w:rFonts w:hint="eastAsia"/>
          <w:color w:val="auto"/>
          <w:highlight w:val="none"/>
          <w:u w:val="none"/>
        </w:rPr>
        <w:t>）生产班次与定员：。</w:t>
      </w:r>
    </w:p>
    <w:p w14:paraId="73509709">
      <w:pPr>
        <w:rPr>
          <w:rFonts w:hint="eastAsia"/>
          <w:color w:val="auto"/>
          <w:highlight w:val="none"/>
          <w:u w:val="none"/>
          <w:lang w:val="en-US"/>
        </w:rPr>
      </w:pPr>
      <w:r>
        <w:rPr>
          <w:rFonts w:hint="eastAsia"/>
          <w:color w:val="auto"/>
          <w:highlight w:val="none"/>
          <w:u w:val="none"/>
        </w:rPr>
        <w:t>（</w:t>
      </w:r>
      <w:r>
        <w:rPr>
          <w:rFonts w:hint="eastAsia"/>
          <w:color w:val="auto"/>
          <w:highlight w:val="none"/>
          <w:u w:val="none"/>
          <w:lang w:val="en-US"/>
        </w:rPr>
        <w:t>8</w:t>
      </w:r>
      <w:r>
        <w:rPr>
          <w:rFonts w:hint="eastAsia"/>
          <w:color w:val="auto"/>
          <w:highlight w:val="none"/>
          <w:u w:val="none"/>
        </w:rPr>
        <w:t>）</w:t>
      </w:r>
      <w:r>
        <w:rPr>
          <w:rFonts w:hint="eastAsia"/>
          <w:color w:val="auto"/>
          <w:highlight w:val="none"/>
          <w:u w:val="none"/>
          <w:lang w:val="en-US"/>
        </w:rPr>
        <w:t>主要技改扩能内容：。</w:t>
      </w:r>
    </w:p>
    <w:p w14:paraId="3FC08092">
      <w:pPr>
        <w:pStyle w:val="4"/>
        <w:rPr>
          <w:color w:val="auto"/>
          <w:highlight w:val="none"/>
          <w:u w:val="none"/>
        </w:rPr>
      </w:pPr>
      <w:bookmarkStart w:id="230" w:name="_Toc148374495"/>
      <w:bookmarkStart w:id="231" w:name="_Toc148374788"/>
      <w:bookmarkStart w:id="232" w:name="_Toc148374937"/>
      <w:bookmarkStart w:id="233" w:name="_Toc14849"/>
      <w:r>
        <w:rPr>
          <w:rFonts w:hint="eastAsia"/>
          <w:color w:val="auto"/>
          <w:highlight w:val="none"/>
          <w:u w:val="none"/>
        </w:rPr>
        <w:t>建设规模及产品方案</w:t>
      </w:r>
      <w:bookmarkEnd w:id="230"/>
      <w:bookmarkEnd w:id="231"/>
      <w:bookmarkEnd w:id="232"/>
      <w:bookmarkEnd w:id="233"/>
    </w:p>
    <w:p w14:paraId="57113F5F">
      <w:pPr>
        <w:pStyle w:val="6"/>
        <w:spacing w:before="156" w:after="156"/>
        <w:rPr>
          <w:color w:val="auto"/>
          <w:highlight w:val="none"/>
          <w:u w:val="none"/>
        </w:rPr>
      </w:pPr>
      <w:bookmarkStart w:id="234" w:name="_Toc148374938"/>
      <w:bookmarkStart w:id="235" w:name="_Toc148374496"/>
      <w:r>
        <w:rPr>
          <w:rFonts w:hint="eastAsia"/>
          <w:color w:val="auto"/>
          <w:highlight w:val="none"/>
          <w:u w:val="none"/>
        </w:rPr>
        <w:t>项目建设规模</w:t>
      </w:r>
      <w:bookmarkEnd w:id="234"/>
      <w:bookmarkEnd w:id="235"/>
    </w:p>
    <w:p w14:paraId="4BB913A6">
      <w:pPr>
        <w:rPr>
          <w:rFonts w:hint="eastAsia"/>
          <w:color w:val="auto"/>
          <w:highlight w:val="none"/>
          <w:u w:val="none"/>
        </w:rPr>
      </w:pPr>
      <w:r>
        <w:rPr>
          <w:rFonts w:hint="eastAsia"/>
          <w:color w:val="auto"/>
          <w:highlight w:val="none"/>
          <w:u w:val="none"/>
        </w:rPr>
        <w:t>本次</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rFonts w:hint="eastAsia"/>
          <w:color w:val="auto"/>
          <w:highlight w:val="none"/>
          <w:u w:val="none"/>
        </w:rPr>
        <w:t>工程各生产装置设计生产规模见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_Ref138346305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color w:val="auto"/>
          <w:highlight w:val="none"/>
          <w:u w:val="none"/>
        </w:rPr>
        <w:t>4.2</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1633B5FA">
      <w:pPr>
        <w:pStyle w:val="85"/>
        <w:rPr>
          <w:color w:val="auto"/>
          <w:highlight w:val="none"/>
          <w:u w:val="none"/>
        </w:rPr>
      </w:pPr>
      <w:bookmarkStart w:id="236" w:name="_Ref138346305"/>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4.2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236"/>
      <w:r>
        <w:rPr>
          <w:color w:val="auto"/>
          <w:highlight w:val="none"/>
          <w:u w:val="none"/>
        </w:rPr>
        <w:t xml:space="preserve">  </w:t>
      </w:r>
      <w:r>
        <w:rPr>
          <w:rFonts w:hint="eastAsia"/>
          <w:color w:val="auto"/>
          <w:highlight w:val="none"/>
          <w:u w:val="none"/>
        </w:rPr>
        <w:t>技改扩能工程各生产装置设计生产规模一览表</w:t>
      </w:r>
    </w:p>
    <w:tbl>
      <w:tblPr>
        <w:tblStyle w:val="59"/>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05"/>
        <w:gridCol w:w="1839"/>
        <w:gridCol w:w="1198"/>
        <w:gridCol w:w="2570"/>
        <w:gridCol w:w="2570"/>
      </w:tblGrid>
      <w:tr w14:paraId="622410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497A071A">
            <w:pPr>
              <w:spacing w:line="240" w:lineRule="auto"/>
              <w:ind w:firstLine="0" w:firstLineChars="0"/>
              <w:jc w:val="center"/>
              <w:rPr>
                <w:rFonts w:hint="eastAsia"/>
                <w:color w:val="auto"/>
                <w:sz w:val="21"/>
                <w:szCs w:val="21"/>
                <w:highlight w:val="none"/>
                <w:u w:val="none"/>
              </w:rPr>
            </w:pPr>
            <w:bookmarkStart w:id="237" w:name="_Toc148374939"/>
            <w:bookmarkStart w:id="238" w:name="_Toc148374497"/>
            <w:r>
              <w:rPr>
                <w:rFonts w:hint="eastAsia"/>
                <w:color w:val="auto"/>
                <w:sz w:val="21"/>
                <w:szCs w:val="21"/>
                <w:highlight w:val="none"/>
                <w:u w:val="none"/>
              </w:rPr>
              <w:t>序号</w:t>
            </w:r>
          </w:p>
        </w:tc>
        <w:tc>
          <w:tcPr>
            <w:tcW w:w="990" w:type="pct"/>
            <w:vAlign w:val="center"/>
          </w:tcPr>
          <w:p w14:paraId="4436FD0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装置名称</w:t>
            </w:r>
          </w:p>
        </w:tc>
        <w:tc>
          <w:tcPr>
            <w:tcW w:w="645" w:type="pct"/>
            <w:vAlign w:val="center"/>
          </w:tcPr>
          <w:p w14:paraId="0430290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单位</w:t>
            </w:r>
          </w:p>
        </w:tc>
        <w:tc>
          <w:tcPr>
            <w:tcW w:w="1384" w:type="pct"/>
            <w:vAlign w:val="center"/>
          </w:tcPr>
          <w:p w14:paraId="18E4120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新增规模</w:t>
            </w:r>
          </w:p>
        </w:tc>
        <w:tc>
          <w:tcPr>
            <w:tcW w:w="1384" w:type="pct"/>
            <w:vAlign w:val="center"/>
          </w:tcPr>
          <w:p w14:paraId="00C404C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技改扩能改造后</w:t>
            </w:r>
          </w:p>
        </w:tc>
      </w:tr>
      <w:tr w14:paraId="0EC51F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4A57917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w:t>
            </w:r>
          </w:p>
        </w:tc>
        <w:tc>
          <w:tcPr>
            <w:tcW w:w="990" w:type="pct"/>
            <w:vAlign w:val="center"/>
          </w:tcPr>
          <w:p w14:paraId="408F550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硝化单元</w:t>
            </w:r>
          </w:p>
        </w:tc>
        <w:tc>
          <w:tcPr>
            <w:tcW w:w="645" w:type="pct"/>
          </w:tcPr>
          <w:p w14:paraId="08E292D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万t</w:t>
            </w:r>
            <w:r>
              <w:rPr>
                <w:color w:val="auto"/>
                <w:sz w:val="21"/>
                <w:szCs w:val="21"/>
                <w:highlight w:val="none"/>
                <w:u w:val="none"/>
              </w:rPr>
              <w:t>/a</w:t>
            </w:r>
          </w:p>
        </w:tc>
        <w:tc>
          <w:tcPr>
            <w:tcW w:w="1384" w:type="pct"/>
            <w:vAlign w:val="center"/>
          </w:tcPr>
          <w:p w14:paraId="4B109E4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11.2</w:t>
            </w:r>
          </w:p>
        </w:tc>
        <w:tc>
          <w:tcPr>
            <w:tcW w:w="1384" w:type="pct"/>
            <w:vAlign w:val="center"/>
          </w:tcPr>
          <w:p w14:paraId="3D189B22">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41.</w:t>
            </w:r>
            <w:r>
              <w:rPr>
                <w:rFonts w:hint="eastAsia"/>
                <w:color w:val="auto"/>
                <w:sz w:val="21"/>
                <w:szCs w:val="21"/>
                <w:highlight w:val="none"/>
                <w:u w:val="none"/>
                <w:lang w:val="en-US"/>
              </w:rPr>
              <w:t>7</w:t>
            </w:r>
          </w:p>
        </w:tc>
      </w:tr>
      <w:tr w14:paraId="3FF839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351A6BF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w:t>
            </w:r>
          </w:p>
        </w:tc>
        <w:tc>
          <w:tcPr>
            <w:tcW w:w="990" w:type="pct"/>
            <w:vAlign w:val="center"/>
          </w:tcPr>
          <w:p w14:paraId="021F982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氢化单元</w:t>
            </w:r>
          </w:p>
        </w:tc>
        <w:tc>
          <w:tcPr>
            <w:tcW w:w="645" w:type="pct"/>
          </w:tcPr>
          <w:p w14:paraId="72B4B75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万t</w:t>
            </w:r>
            <w:r>
              <w:rPr>
                <w:color w:val="auto"/>
                <w:sz w:val="21"/>
                <w:szCs w:val="21"/>
                <w:highlight w:val="none"/>
                <w:u w:val="none"/>
              </w:rPr>
              <w:t>/a</w:t>
            </w:r>
          </w:p>
        </w:tc>
        <w:tc>
          <w:tcPr>
            <w:tcW w:w="1384" w:type="pct"/>
            <w:vAlign w:val="center"/>
          </w:tcPr>
          <w:p w14:paraId="78761EB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7</w:t>
            </w:r>
          </w:p>
        </w:tc>
        <w:tc>
          <w:tcPr>
            <w:tcW w:w="1384" w:type="pct"/>
            <w:vAlign w:val="center"/>
          </w:tcPr>
          <w:p w14:paraId="150CB7A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27</w:t>
            </w:r>
          </w:p>
        </w:tc>
      </w:tr>
      <w:tr w14:paraId="117AE9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00D2AB4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w:t>
            </w:r>
          </w:p>
        </w:tc>
        <w:tc>
          <w:tcPr>
            <w:tcW w:w="990" w:type="pct"/>
            <w:vAlign w:val="center"/>
          </w:tcPr>
          <w:p w14:paraId="5684882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光化单元</w:t>
            </w:r>
          </w:p>
        </w:tc>
        <w:tc>
          <w:tcPr>
            <w:tcW w:w="645" w:type="pct"/>
            <w:vAlign w:val="center"/>
          </w:tcPr>
          <w:p w14:paraId="1FD6A12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万t</w:t>
            </w:r>
            <w:r>
              <w:rPr>
                <w:color w:val="auto"/>
                <w:sz w:val="21"/>
                <w:szCs w:val="21"/>
                <w:highlight w:val="none"/>
                <w:u w:val="none"/>
              </w:rPr>
              <w:t>/a</w:t>
            </w:r>
          </w:p>
        </w:tc>
        <w:tc>
          <w:tcPr>
            <w:tcW w:w="1384" w:type="pct"/>
            <w:vAlign w:val="center"/>
          </w:tcPr>
          <w:p w14:paraId="5B600D7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11</w:t>
            </w:r>
          </w:p>
        </w:tc>
        <w:tc>
          <w:tcPr>
            <w:tcW w:w="1384" w:type="pct"/>
            <w:vAlign w:val="center"/>
          </w:tcPr>
          <w:p w14:paraId="0771AF8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36</w:t>
            </w:r>
          </w:p>
        </w:tc>
      </w:tr>
    </w:tbl>
    <w:p w14:paraId="4B40C8CA">
      <w:pPr>
        <w:pStyle w:val="6"/>
        <w:spacing w:before="156" w:after="156"/>
        <w:rPr>
          <w:color w:val="auto"/>
          <w:highlight w:val="none"/>
          <w:u w:val="none"/>
        </w:rPr>
      </w:pPr>
      <w:r>
        <w:rPr>
          <w:rFonts w:hint="eastAsia"/>
          <w:color w:val="auto"/>
          <w:highlight w:val="none"/>
          <w:u w:val="none"/>
        </w:rPr>
        <w:t>项目产品方案</w:t>
      </w:r>
      <w:bookmarkEnd w:id="237"/>
      <w:bookmarkEnd w:id="238"/>
    </w:p>
    <w:p w14:paraId="0F63D563">
      <w:pPr>
        <w:rPr>
          <w:rFonts w:hint="eastAsia"/>
          <w:color w:val="auto"/>
          <w:highlight w:val="none"/>
          <w:u w:val="none"/>
        </w:rPr>
      </w:pPr>
      <w:r>
        <w:rPr>
          <w:rFonts w:hint="eastAsia"/>
          <w:color w:val="auto"/>
          <w:highlight w:val="none"/>
          <w:u w:val="none"/>
        </w:rPr>
        <w:t>本次</w:t>
      </w:r>
      <w:r>
        <w:rPr>
          <w:rFonts w:hint="eastAsia"/>
          <w:color w:val="auto"/>
          <w:highlight w:val="none"/>
          <w:u w:val="none"/>
          <w:lang w:val="en-US"/>
        </w:rPr>
        <w:t>技改扩能</w:t>
      </w:r>
      <w:r>
        <w:rPr>
          <w:rFonts w:hint="eastAsia"/>
          <w:color w:val="auto"/>
          <w:highlight w:val="none"/>
          <w:u w:val="none"/>
        </w:rPr>
        <w:t>工程的产品方案详见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_Ref138359219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color w:val="auto"/>
          <w:highlight w:val="none"/>
          <w:u w:val="none"/>
        </w:rPr>
        <w:t>4.2</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w:t>
      </w:r>
    </w:p>
    <w:p w14:paraId="03FDEEF1">
      <w:pPr>
        <w:pStyle w:val="85"/>
        <w:rPr>
          <w:color w:val="auto"/>
          <w:highlight w:val="none"/>
          <w:u w:val="none"/>
        </w:rPr>
      </w:pPr>
      <w:bookmarkStart w:id="239" w:name="_Ref138359219"/>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4.2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w:t>
      </w:r>
      <w:r>
        <w:rPr>
          <w:color w:val="auto"/>
          <w:highlight w:val="none"/>
          <w:u w:val="none"/>
        </w:rPr>
        <w:fldChar w:fldCharType="end"/>
      </w:r>
      <w:bookmarkEnd w:id="239"/>
      <w:r>
        <w:rPr>
          <w:color w:val="auto"/>
          <w:highlight w:val="none"/>
          <w:u w:val="none"/>
        </w:rPr>
        <w:t xml:space="preserve">  </w:t>
      </w:r>
      <w:r>
        <w:rPr>
          <w:rFonts w:hint="eastAsia"/>
          <w:color w:val="auto"/>
          <w:highlight w:val="none"/>
          <w:u w:val="none"/>
        </w:rPr>
        <w:t>技改扩能工程各类产品方案一览表</w:t>
      </w:r>
    </w:p>
    <w:tbl>
      <w:tblPr>
        <w:tblStyle w:val="59"/>
        <w:tblW w:w="499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43"/>
        <w:gridCol w:w="1118"/>
        <w:gridCol w:w="897"/>
        <w:gridCol w:w="854"/>
        <w:gridCol w:w="706"/>
        <w:gridCol w:w="1294"/>
        <w:gridCol w:w="1010"/>
        <w:gridCol w:w="2657"/>
      </w:tblGrid>
      <w:tr w14:paraId="473916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0" w:type="pct"/>
            <w:vAlign w:val="center"/>
          </w:tcPr>
          <w:p w14:paraId="5B46CD29">
            <w:pPr>
              <w:spacing w:line="240" w:lineRule="auto"/>
              <w:ind w:firstLine="0" w:firstLineChars="0"/>
              <w:jc w:val="center"/>
              <w:rPr>
                <w:rStyle w:val="161"/>
                <w:rFonts w:hint="eastAsia"/>
                <w:color w:val="auto"/>
                <w:highlight w:val="none"/>
                <w:u w:val="none"/>
              </w:rPr>
            </w:pPr>
            <w:bookmarkStart w:id="240" w:name="_Hlk148477027"/>
            <w:bookmarkStart w:id="241" w:name="_Toc148374940"/>
            <w:bookmarkStart w:id="242" w:name="_Toc148374498"/>
            <w:r>
              <w:rPr>
                <w:rStyle w:val="161"/>
                <w:rFonts w:hint="eastAsia"/>
                <w:color w:val="auto"/>
                <w:highlight w:val="none"/>
                <w:u w:val="none"/>
              </w:rPr>
              <w:t>序号</w:t>
            </w:r>
          </w:p>
        </w:tc>
        <w:tc>
          <w:tcPr>
            <w:tcW w:w="602" w:type="pct"/>
            <w:vAlign w:val="center"/>
          </w:tcPr>
          <w:p w14:paraId="50FCAD4B">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产品名称</w:t>
            </w:r>
          </w:p>
        </w:tc>
        <w:tc>
          <w:tcPr>
            <w:tcW w:w="483" w:type="pct"/>
            <w:vAlign w:val="center"/>
          </w:tcPr>
          <w:p w14:paraId="4A5551D8">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新增产量</w:t>
            </w:r>
          </w:p>
        </w:tc>
        <w:tc>
          <w:tcPr>
            <w:tcW w:w="460" w:type="pct"/>
            <w:vAlign w:val="center"/>
          </w:tcPr>
          <w:p w14:paraId="6D4D619B">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扩能后产量</w:t>
            </w:r>
          </w:p>
        </w:tc>
        <w:tc>
          <w:tcPr>
            <w:tcW w:w="380" w:type="pct"/>
            <w:vAlign w:val="center"/>
          </w:tcPr>
          <w:p w14:paraId="1501D251">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单位</w:t>
            </w:r>
          </w:p>
        </w:tc>
        <w:tc>
          <w:tcPr>
            <w:tcW w:w="697" w:type="pct"/>
            <w:vAlign w:val="center"/>
          </w:tcPr>
          <w:p w14:paraId="50531E06">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纯度</w:t>
            </w:r>
          </w:p>
        </w:tc>
        <w:tc>
          <w:tcPr>
            <w:tcW w:w="1975" w:type="pct"/>
            <w:gridSpan w:val="2"/>
            <w:vAlign w:val="center"/>
          </w:tcPr>
          <w:p w14:paraId="68A6C21F">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备注</w:t>
            </w:r>
          </w:p>
        </w:tc>
      </w:tr>
      <w:tr w14:paraId="68C17B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0" w:type="pct"/>
            <w:vAlign w:val="center"/>
          </w:tcPr>
          <w:p w14:paraId="7AF1ACB2">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1</w:t>
            </w:r>
          </w:p>
        </w:tc>
        <w:tc>
          <w:tcPr>
            <w:tcW w:w="602" w:type="pct"/>
            <w:vAlign w:val="center"/>
          </w:tcPr>
          <w:p w14:paraId="2BF45236">
            <w:pPr>
              <w:spacing w:line="240" w:lineRule="auto"/>
              <w:ind w:firstLine="0" w:firstLineChars="0"/>
              <w:jc w:val="center"/>
              <w:rPr>
                <w:rStyle w:val="161"/>
                <w:rFonts w:hint="eastAsia"/>
                <w:color w:val="auto"/>
                <w:highlight w:val="none"/>
                <w:u w:val="none"/>
              </w:rPr>
            </w:pPr>
            <w:r>
              <w:rPr>
                <w:rStyle w:val="161"/>
                <w:color w:val="auto"/>
                <w:highlight w:val="none"/>
                <w:u w:val="none"/>
              </w:rPr>
              <w:t>TDI</w:t>
            </w:r>
            <w:r>
              <w:rPr>
                <w:rStyle w:val="161"/>
                <w:rFonts w:hint="eastAsia"/>
                <w:color w:val="auto"/>
                <w:highlight w:val="none"/>
                <w:u w:val="none"/>
              </w:rPr>
              <w:t>（甲苯二异氰酸酯）</w:t>
            </w:r>
          </w:p>
        </w:tc>
        <w:tc>
          <w:tcPr>
            <w:tcW w:w="483" w:type="pct"/>
            <w:vAlign w:val="center"/>
          </w:tcPr>
          <w:p w14:paraId="2465C915">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110000</w:t>
            </w:r>
          </w:p>
        </w:tc>
        <w:tc>
          <w:tcPr>
            <w:tcW w:w="460" w:type="pct"/>
            <w:vAlign w:val="center"/>
          </w:tcPr>
          <w:p w14:paraId="5766ABF7">
            <w:pPr>
              <w:spacing w:line="240" w:lineRule="auto"/>
              <w:ind w:firstLine="0" w:firstLineChars="0"/>
              <w:jc w:val="center"/>
              <w:rPr>
                <w:rStyle w:val="161"/>
                <w:rFonts w:hint="eastAsia"/>
                <w:color w:val="auto"/>
                <w:highlight w:val="none"/>
                <w:u w:val="none"/>
              </w:rPr>
            </w:pPr>
            <w:r>
              <w:rPr>
                <w:rStyle w:val="161"/>
                <w:color w:val="auto"/>
                <w:highlight w:val="none"/>
                <w:u w:val="none"/>
              </w:rPr>
              <w:t>3</w:t>
            </w:r>
            <w:r>
              <w:rPr>
                <w:rStyle w:val="161"/>
                <w:rFonts w:hint="eastAsia"/>
                <w:color w:val="auto"/>
                <w:highlight w:val="none"/>
                <w:u w:val="none"/>
                <w:lang w:val="en-US"/>
              </w:rPr>
              <w:t>6</w:t>
            </w:r>
            <w:r>
              <w:rPr>
                <w:rStyle w:val="161"/>
                <w:color w:val="auto"/>
                <w:highlight w:val="none"/>
                <w:u w:val="none"/>
              </w:rPr>
              <w:t>0000</w:t>
            </w:r>
          </w:p>
        </w:tc>
        <w:tc>
          <w:tcPr>
            <w:tcW w:w="380" w:type="pct"/>
            <w:vAlign w:val="center"/>
          </w:tcPr>
          <w:p w14:paraId="315631EC">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t</w:t>
            </w:r>
            <w:r>
              <w:rPr>
                <w:rStyle w:val="161"/>
                <w:color w:val="auto"/>
                <w:highlight w:val="none"/>
                <w:u w:val="none"/>
              </w:rPr>
              <w:t>/a</w:t>
            </w:r>
          </w:p>
        </w:tc>
        <w:tc>
          <w:tcPr>
            <w:tcW w:w="697" w:type="pct"/>
            <w:vAlign w:val="center"/>
          </w:tcPr>
          <w:p w14:paraId="61C0C818">
            <w:pPr>
              <w:spacing w:line="240" w:lineRule="auto"/>
              <w:ind w:firstLine="0" w:firstLineChars="0"/>
              <w:jc w:val="center"/>
              <w:rPr>
                <w:rStyle w:val="161"/>
                <w:rFonts w:hint="eastAsia" w:eastAsia="宋体"/>
                <w:color w:val="auto"/>
                <w:highlight w:val="none"/>
                <w:u w:val="none"/>
                <w:lang w:eastAsia="zh-CN"/>
              </w:rPr>
            </w:pPr>
            <w:r>
              <w:rPr>
                <w:rStyle w:val="161"/>
                <w:rFonts w:hint="eastAsia"/>
                <w:color w:val="auto"/>
                <w:highlight w:val="none"/>
                <w:u w:val="none"/>
              </w:rPr>
              <w:t>≥</w:t>
            </w:r>
            <w:r>
              <w:rPr>
                <w:rStyle w:val="161"/>
                <w:color w:val="auto"/>
                <w:highlight w:val="none"/>
                <w:u w:val="none"/>
              </w:rPr>
              <w:t xml:space="preserve">99.5 </w:t>
            </w:r>
            <w:r>
              <w:rPr>
                <w:rStyle w:val="161"/>
                <w:rFonts w:hint="eastAsia"/>
                <w:color w:val="auto"/>
                <w:highlight w:val="none"/>
                <w:u w:val="none"/>
                <w:lang w:eastAsia="zh-CN"/>
              </w:rPr>
              <w:t>%wt</w:t>
            </w:r>
          </w:p>
        </w:tc>
        <w:tc>
          <w:tcPr>
            <w:tcW w:w="544" w:type="pct"/>
            <w:vAlign w:val="center"/>
          </w:tcPr>
          <w:p w14:paraId="2E9DBB43">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产品</w:t>
            </w:r>
          </w:p>
        </w:tc>
        <w:tc>
          <w:tcPr>
            <w:tcW w:w="1431" w:type="pct"/>
          </w:tcPr>
          <w:p w14:paraId="150E8BEE">
            <w:pPr>
              <w:spacing w:line="240" w:lineRule="auto"/>
              <w:ind w:firstLine="0" w:firstLineChars="0"/>
              <w:jc w:val="center"/>
              <w:rPr>
                <w:rStyle w:val="161"/>
                <w:rFonts w:hint="eastAsia"/>
                <w:color w:val="auto"/>
                <w:highlight w:val="none"/>
                <w:u w:val="none"/>
              </w:rPr>
            </w:pPr>
          </w:p>
        </w:tc>
      </w:tr>
      <w:tr w14:paraId="4D2ABE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400" w:type="pct"/>
            <w:vAlign w:val="center"/>
          </w:tcPr>
          <w:p w14:paraId="4DC5C591">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2</w:t>
            </w:r>
          </w:p>
        </w:tc>
        <w:tc>
          <w:tcPr>
            <w:tcW w:w="602" w:type="pct"/>
            <w:vAlign w:val="center"/>
          </w:tcPr>
          <w:p w14:paraId="39D5D27C">
            <w:pPr>
              <w:spacing w:line="240" w:lineRule="auto"/>
              <w:ind w:firstLine="0" w:firstLineChars="0"/>
              <w:jc w:val="center"/>
              <w:rPr>
                <w:rStyle w:val="161"/>
                <w:rFonts w:hint="eastAsia"/>
                <w:color w:val="auto"/>
                <w:highlight w:val="none"/>
                <w:u w:val="none"/>
              </w:rPr>
            </w:pPr>
            <w:r>
              <w:rPr>
                <w:rStyle w:val="161"/>
                <w:color w:val="auto"/>
                <w:highlight w:val="none"/>
                <w:u w:val="none"/>
              </w:rPr>
              <w:t>OTDA</w:t>
            </w:r>
            <w:r>
              <w:rPr>
                <w:rStyle w:val="161"/>
                <w:rFonts w:hint="eastAsia"/>
                <w:color w:val="auto"/>
                <w:highlight w:val="none"/>
                <w:u w:val="none"/>
              </w:rPr>
              <w:t>（邻甲苯二胺）</w:t>
            </w:r>
          </w:p>
        </w:tc>
        <w:tc>
          <w:tcPr>
            <w:tcW w:w="483" w:type="pct"/>
            <w:vAlign w:val="center"/>
          </w:tcPr>
          <w:p w14:paraId="66B65533">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2550</w:t>
            </w:r>
          </w:p>
        </w:tc>
        <w:tc>
          <w:tcPr>
            <w:tcW w:w="460" w:type="pct"/>
            <w:vAlign w:val="center"/>
          </w:tcPr>
          <w:p w14:paraId="21259815">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8800</w:t>
            </w:r>
          </w:p>
        </w:tc>
        <w:tc>
          <w:tcPr>
            <w:tcW w:w="380" w:type="pct"/>
            <w:vAlign w:val="center"/>
          </w:tcPr>
          <w:p w14:paraId="1C876FB7">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t</w:t>
            </w:r>
            <w:r>
              <w:rPr>
                <w:rStyle w:val="161"/>
                <w:color w:val="auto"/>
                <w:highlight w:val="none"/>
                <w:u w:val="none"/>
              </w:rPr>
              <w:t>/a</w:t>
            </w:r>
          </w:p>
        </w:tc>
        <w:tc>
          <w:tcPr>
            <w:tcW w:w="697" w:type="pct"/>
            <w:vAlign w:val="center"/>
          </w:tcPr>
          <w:p w14:paraId="1E39F970">
            <w:pPr>
              <w:spacing w:line="240" w:lineRule="auto"/>
              <w:ind w:firstLine="0" w:firstLineChars="0"/>
              <w:jc w:val="center"/>
              <w:rPr>
                <w:rStyle w:val="161"/>
                <w:rFonts w:hint="eastAsia" w:eastAsia="宋体"/>
                <w:color w:val="auto"/>
                <w:highlight w:val="none"/>
                <w:u w:val="none"/>
                <w:lang w:eastAsia="zh-CN"/>
              </w:rPr>
            </w:pPr>
            <w:r>
              <w:rPr>
                <w:rStyle w:val="161"/>
                <w:rFonts w:hint="eastAsia"/>
                <w:color w:val="auto"/>
                <w:highlight w:val="none"/>
                <w:u w:val="none"/>
              </w:rPr>
              <w:t>≥</w:t>
            </w:r>
            <w:r>
              <w:rPr>
                <w:rStyle w:val="161"/>
                <w:color w:val="auto"/>
                <w:highlight w:val="none"/>
                <w:u w:val="none"/>
              </w:rPr>
              <w:t xml:space="preserve">99.5 </w:t>
            </w:r>
            <w:r>
              <w:rPr>
                <w:rStyle w:val="161"/>
                <w:rFonts w:hint="eastAsia"/>
                <w:color w:val="auto"/>
                <w:highlight w:val="none"/>
                <w:u w:val="none"/>
                <w:lang w:eastAsia="zh-CN"/>
              </w:rPr>
              <w:t>%wt</w:t>
            </w:r>
          </w:p>
        </w:tc>
        <w:tc>
          <w:tcPr>
            <w:tcW w:w="544" w:type="pct"/>
            <w:vAlign w:val="center"/>
          </w:tcPr>
          <w:p w14:paraId="3913FD52">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副产品</w:t>
            </w:r>
          </w:p>
        </w:tc>
        <w:tc>
          <w:tcPr>
            <w:tcW w:w="1431" w:type="pct"/>
          </w:tcPr>
          <w:p w14:paraId="11B98D36">
            <w:pPr>
              <w:spacing w:line="240" w:lineRule="auto"/>
              <w:ind w:firstLine="0" w:firstLineChars="0"/>
              <w:jc w:val="center"/>
              <w:rPr>
                <w:rStyle w:val="161"/>
                <w:rFonts w:hint="eastAsia"/>
                <w:color w:val="auto"/>
                <w:highlight w:val="none"/>
                <w:u w:val="none"/>
              </w:rPr>
            </w:pPr>
          </w:p>
        </w:tc>
      </w:tr>
      <w:tr w14:paraId="0E68E5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0" w:type="pct"/>
            <w:vAlign w:val="center"/>
          </w:tcPr>
          <w:p w14:paraId="6651E042">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3</w:t>
            </w:r>
          </w:p>
        </w:tc>
        <w:tc>
          <w:tcPr>
            <w:tcW w:w="602" w:type="pct"/>
            <w:vAlign w:val="center"/>
          </w:tcPr>
          <w:p w14:paraId="6CFD07E8">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rPr>
              <w:t>干氯化氢</w:t>
            </w:r>
            <w:r>
              <w:rPr>
                <w:rStyle w:val="161"/>
                <w:rFonts w:hint="eastAsia"/>
                <w:color w:val="auto"/>
                <w:highlight w:val="none"/>
                <w:u w:val="none"/>
                <w:lang w:val="en-US"/>
              </w:rPr>
              <w:t>*</w:t>
            </w:r>
          </w:p>
        </w:tc>
        <w:tc>
          <w:tcPr>
            <w:tcW w:w="483" w:type="pct"/>
            <w:vAlign w:val="center"/>
          </w:tcPr>
          <w:p w14:paraId="4B1E5429">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92940</w:t>
            </w:r>
          </w:p>
        </w:tc>
        <w:tc>
          <w:tcPr>
            <w:tcW w:w="460" w:type="pct"/>
            <w:vAlign w:val="center"/>
          </w:tcPr>
          <w:p w14:paraId="735AB880">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296600</w:t>
            </w:r>
          </w:p>
        </w:tc>
        <w:tc>
          <w:tcPr>
            <w:tcW w:w="380" w:type="pct"/>
            <w:vAlign w:val="center"/>
          </w:tcPr>
          <w:p w14:paraId="6748E47A">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t</w:t>
            </w:r>
            <w:r>
              <w:rPr>
                <w:rStyle w:val="161"/>
                <w:color w:val="auto"/>
                <w:highlight w:val="none"/>
                <w:u w:val="none"/>
              </w:rPr>
              <w:t>/a</w:t>
            </w:r>
          </w:p>
        </w:tc>
        <w:tc>
          <w:tcPr>
            <w:tcW w:w="697" w:type="pct"/>
            <w:vAlign w:val="center"/>
          </w:tcPr>
          <w:p w14:paraId="08FC5B77">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w:t>
            </w:r>
            <w:r>
              <w:rPr>
                <w:rStyle w:val="161"/>
                <w:color w:val="auto"/>
                <w:highlight w:val="none"/>
                <w:u w:val="none"/>
              </w:rPr>
              <w:t>99.5</w:t>
            </w:r>
            <w:r>
              <w:rPr>
                <w:rStyle w:val="161"/>
                <w:rFonts w:hint="eastAsia"/>
                <w:color w:val="auto"/>
                <w:highlight w:val="none"/>
                <w:u w:val="none"/>
              </w:rPr>
              <w:t>%</w:t>
            </w:r>
          </w:p>
        </w:tc>
        <w:tc>
          <w:tcPr>
            <w:tcW w:w="544" w:type="pct"/>
            <w:vAlign w:val="center"/>
          </w:tcPr>
          <w:p w14:paraId="08B40785">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副产品</w:t>
            </w:r>
          </w:p>
        </w:tc>
        <w:tc>
          <w:tcPr>
            <w:tcW w:w="1431" w:type="pct"/>
          </w:tcPr>
          <w:p w14:paraId="013C5E49">
            <w:pPr>
              <w:spacing w:line="240" w:lineRule="auto"/>
              <w:ind w:firstLine="0" w:firstLineChars="0"/>
              <w:jc w:val="center"/>
              <w:rPr>
                <w:rStyle w:val="161"/>
                <w:rFonts w:hint="eastAsia" w:eastAsia="宋体"/>
                <w:color w:val="auto"/>
                <w:highlight w:val="none"/>
                <w:u w:val="none"/>
                <w:lang w:eastAsia="zh-CN"/>
              </w:rPr>
            </w:pPr>
          </w:p>
        </w:tc>
      </w:tr>
      <w:tr w14:paraId="4A723A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0" w:type="pct"/>
            <w:vAlign w:val="center"/>
          </w:tcPr>
          <w:p w14:paraId="11703DB0">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4</w:t>
            </w:r>
          </w:p>
        </w:tc>
        <w:tc>
          <w:tcPr>
            <w:tcW w:w="602" w:type="pct"/>
            <w:vAlign w:val="center"/>
          </w:tcPr>
          <w:p w14:paraId="5FF8F133">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盐酸</w:t>
            </w:r>
          </w:p>
        </w:tc>
        <w:tc>
          <w:tcPr>
            <w:tcW w:w="483" w:type="pct"/>
            <w:vAlign w:val="center"/>
          </w:tcPr>
          <w:p w14:paraId="536857B3">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21175</w:t>
            </w:r>
          </w:p>
        </w:tc>
        <w:tc>
          <w:tcPr>
            <w:tcW w:w="460" w:type="pct"/>
            <w:vAlign w:val="center"/>
          </w:tcPr>
          <w:p w14:paraId="1D6D6EC3">
            <w:pPr>
              <w:spacing w:line="240" w:lineRule="auto"/>
              <w:ind w:firstLine="0" w:firstLineChars="0"/>
              <w:jc w:val="center"/>
              <w:rPr>
                <w:rStyle w:val="161"/>
                <w:rFonts w:hint="eastAsia"/>
                <w:color w:val="auto"/>
                <w:highlight w:val="none"/>
                <w:u w:val="none"/>
                <w:lang w:val="en-US"/>
              </w:rPr>
            </w:pPr>
            <w:r>
              <w:rPr>
                <w:rStyle w:val="161"/>
                <w:rFonts w:hint="eastAsia"/>
                <w:color w:val="auto"/>
                <w:highlight w:val="none"/>
                <w:u w:val="none"/>
                <w:lang w:val="en-US"/>
              </w:rPr>
              <w:t>91600</w:t>
            </w:r>
          </w:p>
        </w:tc>
        <w:tc>
          <w:tcPr>
            <w:tcW w:w="380" w:type="pct"/>
            <w:vAlign w:val="center"/>
          </w:tcPr>
          <w:p w14:paraId="4739C003">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t</w:t>
            </w:r>
            <w:r>
              <w:rPr>
                <w:rStyle w:val="161"/>
                <w:color w:val="auto"/>
                <w:highlight w:val="none"/>
                <w:u w:val="none"/>
              </w:rPr>
              <w:t>/a</w:t>
            </w:r>
          </w:p>
        </w:tc>
        <w:tc>
          <w:tcPr>
            <w:tcW w:w="697" w:type="pct"/>
            <w:vAlign w:val="center"/>
          </w:tcPr>
          <w:p w14:paraId="02DC64EA">
            <w:pPr>
              <w:spacing w:line="240" w:lineRule="auto"/>
              <w:ind w:firstLine="0" w:firstLineChars="0"/>
              <w:jc w:val="center"/>
              <w:rPr>
                <w:rStyle w:val="161"/>
                <w:rFonts w:hint="eastAsia" w:eastAsia="宋体"/>
                <w:color w:val="auto"/>
                <w:highlight w:val="none"/>
                <w:u w:val="none"/>
                <w:lang w:eastAsia="zh-CN"/>
              </w:rPr>
            </w:pPr>
            <w:r>
              <w:rPr>
                <w:rStyle w:val="161"/>
                <w:rFonts w:hint="eastAsia"/>
                <w:color w:val="auto"/>
                <w:highlight w:val="none"/>
                <w:u w:val="none"/>
              </w:rPr>
              <w:t>≥</w:t>
            </w:r>
            <w:r>
              <w:rPr>
                <w:rStyle w:val="161"/>
                <w:color w:val="auto"/>
                <w:highlight w:val="none"/>
                <w:u w:val="none"/>
              </w:rPr>
              <w:t xml:space="preserve">31 </w:t>
            </w:r>
            <w:r>
              <w:rPr>
                <w:rStyle w:val="161"/>
                <w:rFonts w:hint="eastAsia"/>
                <w:color w:val="auto"/>
                <w:highlight w:val="none"/>
                <w:u w:val="none"/>
                <w:lang w:eastAsia="zh-CN"/>
              </w:rPr>
              <w:t>%wt</w:t>
            </w:r>
          </w:p>
        </w:tc>
        <w:tc>
          <w:tcPr>
            <w:tcW w:w="544" w:type="pct"/>
            <w:vAlign w:val="center"/>
          </w:tcPr>
          <w:p w14:paraId="196214E7">
            <w:pPr>
              <w:spacing w:line="240" w:lineRule="auto"/>
              <w:ind w:firstLine="0" w:firstLineChars="0"/>
              <w:jc w:val="center"/>
              <w:rPr>
                <w:rStyle w:val="161"/>
                <w:rFonts w:hint="eastAsia"/>
                <w:color w:val="auto"/>
                <w:highlight w:val="none"/>
                <w:u w:val="none"/>
              </w:rPr>
            </w:pPr>
            <w:r>
              <w:rPr>
                <w:rStyle w:val="161"/>
                <w:rFonts w:hint="eastAsia"/>
                <w:color w:val="auto"/>
                <w:highlight w:val="none"/>
                <w:u w:val="none"/>
              </w:rPr>
              <w:t>副产品</w:t>
            </w:r>
          </w:p>
        </w:tc>
        <w:tc>
          <w:tcPr>
            <w:tcW w:w="1431" w:type="pct"/>
          </w:tcPr>
          <w:p w14:paraId="5A70CDF6">
            <w:pPr>
              <w:spacing w:line="240" w:lineRule="auto"/>
              <w:ind w:firstLine="0" w:firstLineChars="0"/>
              <w:jc w:val="center"/>
              <w:rPr>
                <w:rStyle w:val="161"/>
                <w:rFonts w:hint="eastAsia"/>
                <w:color w:val="auto"/>
                <w:highlight w:val="none"/>
                <w:u w:val="none"/>
              </w:rPr>
            </w:pPr>
          </w:p>
        </w:tc>
      </w:tr>
      <w:bookmarkEnd w:id="240"/>
    </w:tbl>
    <w:p w14:paraId="541DA6B4">
      <w:pPr>
        <w:spacing w:line="240" w:lineRule="auto"/>
        <w:ind w:firstLine="0" w:firstLineChars="0"/>
        <w:rPr>
          <w:rFonts w:hAnsi="Times New Roman"/>
          <w:color w:val="auto"/>
          <w:sz w:val="21"/>
          <w:szCs w:val="21"/>
          <w:highlight w:val="none"/>
          <w:u w:val="none"/>
          <w:lang w:val="en-US"/>
        </w:rPr>
      </w:pPr>
    </w:p>
    <w:p w14:paraId="2BE56334">
      <w:pPr>
        <w:pStyle w:val="6"/>
        <w:spacing w:before="156" w:after="156"/>
        <w:rPr>
          <w:color w:val="auto"/>
          <w:highlight w:val="none"/>
          <w:u w:val="none"/>
        </w:rPr>
      </w:pPr>
      <w:r>
        <w:rPr>
          <w:rFonts w:hint="eastAsia"/>
          <w:color w:val="auto"/>
          <w:highlight w:val="none"/>
          <w:u w:val="none"/>
        </w:rPr>
        <w:t>产品规格</w:t>
      </w:r>
      <w:bookmarkEnd w:id="241"/>
      <w:bookmarkEnd w:id="242"/>
      <w:r>
        <w:rPr>
          <w:rFonts w:hint="eastAsia"/>
          <w:color w:val="auto"/>
          <w:highlight w:val="none"/>
          <w:u w:val="none"/>
          <w:lang w:val="en-US"/>
        </w:rPr>
        <w:t>和质量标准</w:t>
      </w:r>
    </w:p>
    <w:p w14:paraId="531F47B9">
      <w:pPr>
        <w:rPr>
          <w:rFonts w:hint="eastAsia"/>
          <w:color w:val="auto"/>
          <w:highlight w:val="none"/>
          <w:u w:val="none"/>
          <w:lang w:val="en-US"/>
        </w:rPr>
      </w:pPr>
      <w:r>
        <w:rPr>
          <w:rFonts w:hint="eastAsia"/>
          <w:color w:val="auto"/>
          <w:highlight w:val="none"/>
          <w:u w:val="none"/>
          <w:lang w:val="en-US" w:eastAsia="zh-CN"/>
        </w:rPr>
        <w:t>涉密删除</w:t>
      </w:r>
      <w:r>
        <w:rPr>
          <w:rFonts w:hint="eastAsia"/>
          <w:color w:val="auto"/>
          <w:highlight w:val="none"/>
          <w:u w:val="none"/>
          <w:lang w:val="en-US"/>
        </w:rPr>
        <w:t>。</w:t>
      </w:r>
    </w:p>
    <w:p w14:paraId="3702E0A1">
      <w:pPr>
        <w:rPr>
          <w:rFonts w:hint="eastAsia"/>
          <w:color w:val="auto"/>
          <w:highlight w:val="none"/>
          <w:u w:val="none"/>
        </w:rPr>
      </w:pPr>
      <w:r>
        <w:rPr>
          <w:rFonts w:hint="eastAsia"/>
          <w:color w:val="auto"/>
          <w:highlight w:val="none"/>
          <w:u w:val="none"/>
        </w:rPr>
        <w:t>本项目所有产品及副产品销售需达到国家或行业产品质量标准</w:t>
      </w:r>
      <w:r>
        <w:rPr>
          <w:color w:val="auto"/>
          <w:highlight w:val="none"/>
          <w:u w:val="none"/>
        </w:rPr>
        <w:t>。</w:t>
      </w:r>
    </w:p>
    <w:p w14:paraId="17C1787C">
      <w:pPr>
        <w:pStyle w:val="6"/>
        <w:spacing w:before="156" w:after="156"/>
        <w:rPr>
          <w:color w:val="auto"/>
          <w:highlight w:val="none"/>
          <w:u w:val="none"/>
        </w:rPr>
      </w:pPr>
      <w:bookmarkStart w:id="243" w:name="_Toc148374500"/>
      <w:bookmarkStart w:id="244" w:name="_Toc148374942"/>
      <w:r>
        <w:rPr>
          <w:rFonts w:hint="eastAsia"/>
          <w:color w:val="auto"/>
          <w:highlight w:val="none"/>
          <w:u w:val="none"/>
        </w:rPr>
        <w:t>包装及运输形式</w:t>
      </w:r>
      <w:bookmarkEnd w:id="243"/>
      <w:bookmarkEnd w:id="244"/>
    </w:p>
    <w:p w14:paraId="2D3F58CF">
      <w:pPr>
        <w:rPr>
          <w:rFonts w:hint="eastAsia"/>
          <w:color w:val="auto"/>
          <w:highlight w:val="none"/>
          <w:u w:val="none"/>
        </w:rPr>
      </w:pPr>
      <w:r>
        <w:rPr>
          <w:rFonts w:hint="eastAsia"/>
          <w:color w:val="auto"/>
          <w:highlight w:val="none"/>
          <w:u w:val="none"/>
        </w:rPr>
        <w:t>本项目原料及产品</w:t>
      </w:r>
      <w:r>
        <w:rPr>
          <w:rFonts w:hint="eastAsia"/>
          <w:color w:val="auto"/>
          <w:highlight w:val="none"/>
          <w:u w:val="none"/>
          <w:lang w:val="en-US" w:eastAsia="zh-CN"/>
        </w:rPr>
        <w:t>的增加未改变现有管道输送方式，</w:t>
      </w:r>
      <w:r>
        <w:rPr>
          <w:rFonts w:hint="eastAsia"/>
          <w:color w:val="auto"/>
          <w:highlight w:val="none"/>
          <w:u w:val="none"/>
        </w:rPr>
        <w:t>主要</w:t>
      </w:r>
      <w:r>
        <w:rPr>
          <w:rFonts w:hint="eastAsia"/>
          <w:color w:val="auto"/>
          <w:highlight w:val="none"/>
          <w:u w:val="none"/>
          <w:lang w:val="en-US" w:eastAsia="zh-CN"/>
        </w:rPr>
        <w:t>也是</w:t>
      </w:r>
      <w:r>
        <w:rPr>
          <w:rFonts w:hint="eastAsia"/>
          <w:color w:val="auto"/>
          <w:highlight w:val="none"/>
          <w:u w:val="none"/>
        </w:rPr>
        <w:t>通过管道运输，</w:t>
      </w:r>
      <w:r>
        <w:rPr>
          <w:color w:val="auto"/>
          <w:highlight w:val="none"/>
          <w:u w:val="none"/>
        </w:rPr>
        <w:t>少部分汽车运输。</w:t>
      </w:r>
    </w:p>
    <w:p w14:paraId="29868816">
      <w:pPr>
        <w:pStyle w:val="4"/>
        <w:rPr>
          <w:color w:val="auto"/>
          <w:highlight w:val="none"/>
          <w:u w:val="none"/>
        </w:rPr>
      </w:pPr>
      <w:bookmarkStart w:id="245" w:name="_Toc148374501"/>
      <w:bookmarkStart w:id="246" w:name="_Toc148374789"/>
      <w:bookmarkStart w:id="247" w:name="_Toc10981"/>
      <w:bookmarkStart w:id="248" w:name="_Toc148374943"/>
      <w:r>
        <w:rPr>
          <w:rFonts w:hint="eastAsia" w:eastAsia="宋体"/>
          <w:color w:val="auto"/>
          <w:highlight w:val="none"/>
          <w:u w:val="none"/>
          <w:lang w:val="en-US"/>
        </w:rPr>
        <w:t>技改</w:t>
      </w:r>
      <w:r>
        <w:rPr>
          <w:rFonts w:hint="eastAsia"/>
          <w:color w:val="auto"/>
          <w:highlight w:val="none"/>
          <w:u w:val="none"/>
        </w:rPr>
        <w:t>项目组成</w:t>
      </w:r>
      <w:bookmarkEnd w:id="245"/>
      <w:bookmarkEnd w:id="246"/>
      <w:bookmarkEnd w:id="247"/>
      <w:bookmarkEnd w:id="248"/>
    </w:p>
    <w:p w14:paraId="469B2DA7">
      <w:pPr>
        <w:pStyle w:val="56"/>
        <w:rPr>
          <w:rFonts w:hint="eastAsia"/>
          <w:color w:val="auto"/>
          <w:highlight w:val="none"/>
          <w:u w:val="none"/>
          <w:lang w:val="en-US" w:eastAsia="zh-CN"/>
        </w:rPr>
      </w:pPr>
      <w:r>
        <w:rPr>
          <w:rFonts w:hint="eastAsia"/>
          <w:color w:val="auto"/>
          <w:highlight w:val="none"/>
          <w:u w:val="none"/>
          <w:lang w:val="en-US" w:eastAsia="zh-CN"/>
        </w:rPr>
        <w:t>涉密删除。</w:t>
      </w:r>
    </w:p>
    <w:p w14:paraId="25EE8867">
      <w:pPr>
        <w:pStyle w:val="4"/>
        <w:rPr>
          <w:rFonts w:hint="eastAsia" w:eastAsiaTheme="minorEastAsia"/>
          <w:color w:val="auto"/>
          <w:highlight w:val="none"/>
          <w:u w:val="none"/>
        </w:rPr>
      </w:pPr>
      <w:bookmarkStart w:id="249" w:name="_Toc148374791"/>
      <w:bookmarkStart w:id="250" w:name="_Toc148374507"/>
      <w:bookmarkStart w:id="251" w:name="_Toc32527"/>
      <w:bookmarkStart w:id="252" w:name="_Toc148374949"/>
      <w:r>
        <w:rPr>
          <w:rFonts w:hint="eastAsia"/>
          <w:color w:val="auto"/>
          <w:highlight w:val="none"/>
          <w:u w:val="none"/>
        </w:rPr>
        <w:t>原辅材料及动力消耗</w:t>
      </w:r>
      <w:bookmarkEnd w:id="249"/>
      <w:bookmarkEnd w:id="250"/>
      <w:bookmarkEnd w:id="251"/>
      <w:bookmarkEnd w:id="252"/>
    </w:p>
    <w:p w14:paraId="018DC688">
      <w:pPr>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2D58B9DC">
      <w:pPr>
        <w:pStyle w:val="6"/>
        <w:spacing w:before="156" w:after="156"/>
        <w:rPr>
          <w:color w:val="auto"/>
          <w:highlight w:val="none"/>
          <w:u w:val="none"/>
        </w:rPr>
      </w:pPr>
      <w:bookmarkStart w:id="253" w:name="_Toc148374509"/>
      <w:bookmarkStart w:id="254" w:name="_Toc148374951"/>
      <w:r>
        <w:rPr>
          <w:rFonts w:hint="eastAsia"/>
          <w:color w:val="auto"/>
          <w:highlight w:val="none"/>
          <w:u w:val="none"/>
        </w:rPr>
        <w:t>主要动力消耗</w:t>
      </w:r>
      <w:bookmarkEnd w:id="253"/>
      <w:bookmarkEnd w:id="254"/>
    </w:p>
    <w:p w14:paraId="3FDEFA19">
      <w:pPr>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4B94C89D">
      <w:pPr>
        <w:pStyle w:val="4"/>
        <w:rPr>
          <w:color w:val="auto"/>
          <w:highlight w:val="none"/>
          <w:u w:val="none"/>
        </w:rPr>
      </w:pPr>
      <w:bookmarkStart w:id="255" w:name="_Toc148374946"/>
      <w:bookmarkStart w:id="256" w:name="_Toc148374504"/>
      <w:bookmarkStart w:id="257" w:name="_Toc148374790"/>
      <w:bookmarkStart w:id="258" w:name="_Toc2692"/>
      <w:bookmarkStart w:id="259" w:name="_Toc148374510"/>
      <w:bookmarkStart w:id="260" w:name="_Toc148374952"/>
      <w:r>
        <w:rPr>
          <w:rFonts w:hint="eastAsia"/>
          <w:color w:val="auto"/>
          <w:highlight w:val="none"/>
          <w:u w:val="none"/>
        </w:rPr>
        <w:t>生产设备</w:t>
      </w:r>
      <w:bookmarkEnd w:id="255"/>
      <w:bookmarkEnd w:id="256"/>
      <w:bookmarkEnd w:id="257"/>
      <w:r>
        <w:rPr>
          <w:rFonts w:hint="eastAsia" w:eastAsia="宋体"/>
          <w:color w:val="auto"/>
          <w:highlight w:val="none"/>
          <w:u w:val="none"/>
          <w:lang w:val="en-US"/>
        </w:rPr>
        <w:t>、物料及产品理化性质</w:t>
      </w:r>
      <w:bookmarkEnd w:id="258"/>
    </w:p>
    <w:bookmarkEnd w:id="259"/>
    <w:bookmarkEnd w:id="260"/>
    <w:p w14:paraId="28F6C5F3">
      <w:pPr>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7D2F4503">
      <w:pPr>
        <w:pStyle w:val="4"/>
        <w:rPr>
          <w:color w:val="auto"/>
          <w:highlight w:val="none"/>
          <w:u w:val="none"/>
        </w:rPr>
      </w:pPr>
      <w:bookmarkStart w:id="261" w:name="_Toc148374511"/>
      <w:bookmarkStart w:id="262" w:name="_Toc148374792"/>
      <w:bookmarkStart w:id="263" w:name="_Toc6906"/>
      <w:bookmarkStart w:id="264" w:name="_Toc148374953"/>
      <w:r>
        <w:rPr>
          <w:rFonts w:hint="eastAsia"/>
          <w:color w:val="auto"/>
          <w:highlight w:val="none"/>
          <w:u w:val="none"/>
        </w:rPr>
        <w:t>总平面布置</w:t>
      </w:r>
      <w:bookmarkEnd w:id="261"/>
      <w:bookmarkEnd w:id="262"/>
      <w:bookmarkEnd w:id="263"/>
      <w:bookmarkEnd w:id="264"/>
    </w:p>
    <w:p w14:paraId="19BBFBC1">
      <w:pPr>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5BB5D482">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7C493144">
      <w:pPr>
        <w:pStyle w:val="4"/>
        <w:rPr>
          <w:color w:val="auto"/>
          <w:highlight w:val="none"/>
          <w:u w:val="none"/>
        </w:rPr>
      </w:pPr>
      <w:bookmarkStart w:id="265" w:name="_Toc12548"/>
      <w:bookmarkStart w:id="266" w:name="_Toc148374512"/>
      <w:bookmarkStart w:id="267" w:name="_Toc148374954"/>
      <w:bookmarkStart w:id="268" w:name="_Toc148374793"/>
      <w:r>
        <w:rPr>
          <w:rFonts w:hint="eastAsia"/>
          <w:color w:val="auto"/>
          <w:highlight w:val="none"/>
          <w:u w:val="none"/>
        </w:rPr>
        <w:t>储运工程</w:t>
      </w:r>
      <w:bookmarkEnd w:id="265"/>
      <w:bookmarkEnd w:id="266"/>
      <w:bookmarkEnd w:id="267"/>
      <w:bookmarkEnd w:id="268"/>
    </w:p>
    <w:p w14:paraId="1EF3F597">
      <w:pPr>
        <w:pStyle w:val="981"/>
        <w:rPr>
          <w:rFonts w:hint="eastAsia"/>
          <w:color w:val="auto"/>
          <w:highlight w:val="none"/>
          <w:u w:val="none"/>
        </w:rPr>
      </w:pPr>
      <w:r>
        <w:rPr>
          <w:rFonts w:hint="eastAsia"/>
          <w:color w:val="auto"/>
          <w:highlight w:val="none"/>
          <w:u w:val="none"/>
          <w:lang w:val="en-US" w:eastAsia="zh-CN"/>
        </w:rPr>
        <w:t>涉密删除</w:t>
      </w:r>
      <w:r>
        <w:rPr>
          <w:rFonts w:hint="eastAsia"/>
          <w:color w:val="auto"/>
          <w:highlight w:val="none"/>
          <w:u w:val="none"/>
        </w:rPr>
        <w:t>。</w:t>
      </w:r>
    </w:p>
    <w:p w14:paraId="0D9113DC">
      <w:pPr>
        <w:pStyle w:val="4"/>
        <w:rPr>
          <w:color w:val="auto"/>
          <w:highlight w:val="none"/>
          <w:u w:val="none"/>
        </w:rPr>
      </w:pPr>
      <w:bookmarkStart w:id="269" w:name="_Toc148374957"/>
      <w:bookmarkStart w:id="270" w:name="_Toc148374515"/>
      <w:bookmarkStart w:id="271" w:name="_Toc148374794"/>
      <w:bookmarkStart w:id="272" w:name="_Toc14551"/>
      <w:r>
        <w:rPr>
          <w:rFonts w:hint="eastAsia"/>
          <w:color w:val="auto"/>
          <w:highlight w:val="none"/>
          <w:u w:val="none"/>
        </w:rPr>
        <w:t>公辅及环保工程</w:t>
      </w:r>
      <w:bookmarkEnd w:id="269"/>
      <w:bookmarkEnd w:id="270"/>
      <w:bookmarkEnd w:id="271"/>
      <w:bookmarkEnd w:id="272"/>
    </w:p>
    <w:p w14:paraId="11B39ED7">
      <w:pPr>
        <w:pStyle w:val="6"/>
        <w:spacing w:before="156" w:after="156"/>
        <w:rPr>
          <w:color w:val="auto"/>
          <w:highlight w:val="none"/>
          <w:u w:val="none"/>
        </w:rPr>
      </w:pPr>
      <w:bookmarkStart w:id="273" w:name="_Toc148374958"/>
      <w:bookmarkStart w:id="274" w:name="_Toc148374516"/>
      <w:r>
        <w:rPr>
          <w:color w:val="auto"/>
          <w:highlight w:val="none"/>
          <w:u w:val="none"/>
        </w:rPr>
        <w:t>给排水工程</w:t>
      </w:r>
      <w:bookmarkEnd w:id="273"/>
      <w:bookmarkEnd w:id="274"/>
    </w:p>
    <w:p w14:paraId="32E14F42">
      <w:pPr>
        <w:pStyle w:val="7"/>
        <w:spacing w:before="156"/>
        <w:rPr>
          <w:color w:val="auto"/>
          <w:highlight w:val="none"/>
          <w:u w:val="none"/>
        </w:rPr>
      </w:pPr>
      <w:r>
        <w:rPr>
          <w:color w:val="auto"/>
          <w:highlight w:val="none"/>
          <w:u w:val="none"/>
        </w:rPr>
        <w:t>给水工程</w:t>
      </w:r>
    </w:p>
    <w:p w14:paraId="08AA76D0">
      <w:pPr>
        <w:rPr>
          <w:rFonts w:hint="eastAsia"/>
          <w:color w:val="auto"/>
          <w:highlight w:val="none"/>
          <w:u w:val="none"/>
          <w:lang w:val="en-US"/>
        </w:rPr>
      </w:pPr>
      <w:r>
        <w:rPr>
          <w:rFonts w:hint="eastAsia"/>
          <w:color w:val="auto"/>
          <w:highlight w:val="none"/>
          <w:u w:val="none"/>
          <w:lang w:val="en-US"/>
        </w:rPr>
        <w:t>本次技改扩能项目生产生活用水、循环冷却水、消防给水、脱盐水等均依托现有工程。</w:t>
      </w:r>
    </w:p>
    <w:p w14:paraId="0E9CC941">
      <w:pPr>
        <w:rPr>
          <w:rFonts w:hint="eastAsia"/>
          <w:color w:val="auto"/>
          <w:highlight w:val="none"/>
          <w:u w:val="none"/>
        </w:rPr>
      </w:pPr>
      <w:r>
        <w:rPr>
          <w:rFonts w:hint="eastAsia"/>
          <w:color w:val="auto"/>
          <w:highlight w:val="none"/>
          <w:u w:val="none"/>
        </w:rPr>
        <w:t>（</w:t>
      </w:r>
      <w:r>
        <w:rPr>
          <w:color w:val="auto"/>
          <w:highlight w:val="none"/>
          <w:u w:val="none"/>
        </w:rPr>
        <w:t>1）生产、生活给水系统</w:t>
      </w:r>
    </w:p>
    <w:p w14:paraId="2FE1853A">
      <w:pPr>
        <w:rPr>
          <w:rFonts w:hint="eastAsia"/>
          <w:color w:val="auto"/>
          <w:highlight w:val="none"/>
          <w:u w:val="none"/>
          <w:lang w:val="en-US"/>
        </w:rPr>
      </w:pPr>
      <w:r>
        <w:rPr>
          <w:rFonts w:hint="eastAsia"/>
          <w:color w:val="auto"/>
          <w:highlight w:val="none"/>
          <w:u w:val="none"/>
        </w:rPr>
        <w:t>园区水源包括：生活用水水源和工业用水水源。</w:t>
      </w:r>
      <w:r>
        <w:rPr>
          <w:rFonts w:hint="eastAsia"/>
          <w:color w:val="auto"/>
          <w:highlight w:val="none"/>
          <w:u w:val="none"/>
          <w:lang w:val="en-US"/>
        </w:rPr>
        <w:t>生活用水由配套市政管网供水。</w:t>
      </w:r>
    </w:p>
    <w:p w14:paraId="79C0C7E6">
      <w:pPr>
        <w:rPr>
          <w:rFonts w:hint="eastAsia"/>
          <w:color w:val="auto"/>
          <w:highlight w:val="none"/>
          <w:u w:val="none"/>
        </w:rPr>
      </w:pPr>
      <w:r>
        <w:rPr>
          <w:rFonts w:hint="eastAsia"/>
          <w:color w:val="auto"/>
          <w:highlight w:val="none"/>
          <w:u w:val="none"/>
        </w:rPr>
        <w:t>工业用水水源由</w:t>
      </w:r>
      <w:r>
        <w:rPr>
          <w:rFonts w:hint="eastAsia"/>
          <w:color w:val="auto"/>
          <w:highlight w:val="none"/>
          <w:u w:val="none"/>
          <w:lang w:val="en-US"/>
        </w:rPr>
        <w:t>万</w:t>
      </w:r>
      <w:r>
        <w:rPr>
          <w:rFonts w:hint="eastAsia"/>
          <w:color w:val="auto"/>
          <w:highlight w:val="none"/>
          <w:u w:val="none"/>
        </w:rPr>
        <w:t>华环保科技公司</w:t>
      </w:r>
      <w:r>
        <w:rPr>
          <w:rFonts w:hint="eastAsia"/>
          <w:color w:val="auto"/>
          <w:highlight w:val="none"/>
          <w:u w:val="none"/>
          <w:lang w:val="en-US"/>
        </w:rPr>
        <w:t>综合</w:t>
      </w:r>
      <w:r>
        <w:rPr>
          <w:color w:val="auto"/>
          <w:highlight w:val="none"/>
          <w:u w:val="none"/>
        </w:rPr>
        <w:t>水站供给，</w:t>
      </w:r>
      <w:r>
        <w:rPr>
          <w:rFonts w:hint="eastAsia"/>
          <w:color w:val="auto"/>
          <w:highlight w:val="none"/>
          <w:u w:val="none"/>
          <w:lang w:val="en-US"/>
        </w:rPr>
        <w:t>万</w:t>
      </w:r>
      <w:r>
        <w:rPr>
          <w:rFonts w:hint="eastAsia"/>
          <w:color w:val="auto"/>
          <w:highlight w:val="none"/>
          <w:u w:val="none"/>
        </w:rPr>
        <w:t>华环保科技公司</w:t>
      </w:r>
      <w:r>
        <w:rPr>
          <w:rFonts w:hint="eastAsia"/>
          <w:color w:val="auto"/>
          <w:highlight w:val="none"/>
          <w:u w:val="none"/>
          <w:lang w:val="en-US"/>
        </w:rPr>
        <w:t>综合</w:t>
      </w:r>
      <w:r>
        <w:rPr>
          <w:color w:val="auto"/>
          <w:highlight w:val="none"/>
          <w:u w:val="none"/>
        </w:rPr>
        <w:t>水站</w:t>
      </w:r>
      <w:r>
        <w:rPr>
          <w:rFonts w:hint="eastAsia"/>
          <w:color w:val="auto"/>
          <w:highlight w:val="none"/>
          <w:u w:val="none"/>
        </w:rPr>
        <w:t>供水能力</w:t>
      </w:r>
      <w:r>
        <w:rPr>
          <w:color w:val="auto"/>
          <w:highlight w:val="none"/>
          <w:u w:val="none"/>
        </w:rPr>
        <w:t>2</w:t>
      </w:r>
      <w:r>
        <w:rPr>
          <w:rFonts w:hint="eastAsia"/>
          <w:color w:val="auto"/>
          <w:highlight w:val="none"/>
          <w:u w:val="none"/>
          <w:lang w:val="en-US"/>
        </w:rPr>
        <w:t>4</w:t>
      </w:r>
      <w:r>
        <w:rPr>
          <w:color w:val="auto"/>
          <w:highlight w:val="none"/>
          <w:u w:val="none"/>
        </w:rPr>
        <w:t>00m</w:t>
      </w:r>
      <w:r>
        <w:rPr>
          <w:color w:val="auto"/>
          <w:highlight w:val="none"/>
          <w:u w:val="none"/>
          <w:vertAlign w:val="superscript"/>
        </w:rPr>
        <w:t>3</w:t>
      </w:r>
      <w:r>
        <w:rPr>
          <w:color w:val="auto"/>
          <w:highlight w:val="none"/>
          <w:u w:val="none"/>
        </w:rPr>
        <w:t>/h，其水质满足《生活饮用水卫生标准》</w:t>
      </w:r>
      <w:r>
        <w:rPr>
          <w:rFonts w:hint="eastAsia"/>
          <w:color w:val="auto"/>
          <w:highlight w:val="none"/>
          <w:u w:val="none"/>
        </w:rPr>
        <w:t>（</w:t>
      </w:r>
      <w:r>
        <w:rPr>
          <w:color w:val="auto"/>
          <w:highlight w:val="none"/>
          <w:u w:val="none"/>
        </w:rPr>
        <w:t>GB5749-2022）的要求。</w:t>
      </w:r>
      <w:r>
        <w:rPr>
          <w:rFonts w:hint="eastAsia"/>
          <w:color w:val="auto"/>
          <w:highlight w:val="none"/>
          <w:u w:val="none"/>
        </w:rPr>
        <w:t>本项目生产用水</w:t>
      </w:r>
      <w:r>
        <w:rPr>
          <w:rFonts w:hint="eastAsia"/>
          <w:color w:val="auto"/>
          <w:highlight w:val="none"/>
          <w:u w:val="none"/>
          <w:lang w:val="en-US"/>
        </w:rPr>
        <w:t>新增</w:t>
      </w:r>
      <w:r>
        <w:rPr>
          <w:rFonts w:hint="eastAsia"/>
          <w:color w:val="auto"/>
          <w:highlight w:val="none"/>
          <w:u w:val="none"/>
        </w:rPr>
        <w:t>量</w:t>
      </w:r>
      <w:r>
        <w:rPr>
          <w:rFonts w:hint="eastAsia"/>
          <w:color w:val="auto"/>
          <w:highlight w:val="none"/>
          <w:u w:val="none"/>
          <w:lang w:val="en-US"/>
        </w:rPr>
        <w:t>10.35</w:t>
      </w:r>
      <w:r>
        <w:rPr>
          <w:color w:val="auto"/>
          <w:highlight w:val="none"/>
          <w:u w:val="none"/>
        </w:rPr>
        <w:t>m</w:t>
      </w:r>
      <w:r>
        <w:rPr>
          <w:color w:val="auto"/>
          <w:highlight w:val="none"/>
          <w:u w:val="none"/>
          <w:vertAlign w:val="superscript"/>
        </w:rPr>
        <w:t>3</w:t>
      </w:r>
      <w:r>
        <w:rPr>
          <w:color w:val="auto"/>
          <w:highlight w:val="none"/>
          <w:u w:val="none"/>
        </w:rPr>
        <w:t>/h，新鲜水站</w:t>
      </w:r>
      <w:r>
        <w:rPr>
          <w:rFonts w:hint="eastAsia"/>
          <w:color w:val="auto"/>
          <w:highlight w:val="none"/>
          <w:u w:val="none"/>
        </w:rPr>
        <w:t>工业用水</w:t>
      </w:r>
      <w:r>
        <w:rPr>
          <w:color w:val="auto"/>
          <w:highlight w:val="none"/>
          <w:u w:val="none"/>
        </w:rPr>
        <w:t>供水量约为2400m</w:t>
      </w:r>
      <w:r>
        <w:rPr>
          <w:color w:val="auto"/>
          <w:highlight w:val="none"/>
          <w:u w:val="none"/>
          <w:vertAlign w:val="superscript"/>
        </w:rPr>
        <w:t>3</w:t>
      </w:r>
      <w:r>
        <w:rPr>
          <w:color w:val="auto"/>
          <w:highlight w:val="none"/>
          <w:u w:val="none"/>
        </w:rPr>
        <w:t>/h，能满足本项目的生产用水需求。</w:t>
      </w:r>
    </w:p>
    <w:p w14:paraId="73C1CDD8">
      <w:pPr>
        <w:rPr>
          <w:rFonts w:hint="eastAsia"/>
          <w:color w:val="auto"/>
          <w:highlight w:val="none"/>
          <w:u w:val="none"/>
        </w:rPr>
      </w:pPr>
      <w:r>
        <w:rPr>
          <w:rFonts w:hint="eastAsia"/>
          <w:color w:val="auto"/>
          <w:highlight w:val="none"/>
          <w:u w:val="none"/>
        </w:rPr>
        <w:t>（</w:t>
      </w:r>
      <w:r>
        <w:rPr>
          <w:color w:val="auto"/>
          <w:highlight w:val="none"/>
          <w:u w:val="none"/>
        </w:rPr>
        <w:t>2）循环冷却水系统</w:t>
      </w:r>
    </w:p>
    <w:p w14:paraId="6D02CB15">
      <w:pPr>
        <w:pStyle w:val="981"/>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循环冷却水</w:t>
      </w:r>
      <w:r>
        <w:rPr>
          <w:rFonts w:hint="eastAsia"/>
          <w:color w:val="auto"/>
          <w:highlight w:val="none"/>
          <w:u w:val="none"/>
          <w:lang w:val="en-US"/>
        </w:rPr>
        <w:t>新增</w:t>
      </w:r>
      <w:r>
        <w:rPr>
          <w:rFonts w:hint="eastAsia"/>
          <w:color w:val="auto"/>
          <w:highlight w:val="none"/>
          <w:u w:val="none"/>
        </w:rPr>
        <w:t>用水量为</w:t>
      </w:r>
      <w:r>
        <w:rPr>
          <w:rFonts w:hint="eastAsia"/>
          <w:color w:val="auto"/>
          <w:highlight w:val="none"/>
          <w:u w:val="none"/>
          <w:lang w:val="en-US"/>
        </w:rPr>
        <w:t>10080</w:t>
      </w:r>
      <w:r>
        <w:rPr>
          <w:color w:val="auto"/>
          <w:highlight w:val="none"/>
          <w:u w:val="none"/>
        </w:rPr>
        <w:t>m</w:t>
      </w:r>
      <w:r>
        <w:rPr>
          <w:color w:val="auto"/>
          <w:highlight w:val="none"/>
          <w:u w:val="none"/>
          <w:vertAlign w:val="superscript"/>
        </w:rPr>
        <w:t>3</w:t>
      </w:r>
      <w:r>
        <w:rPr>
          <w:color w:val="auto"/>
          <w:highlight w:val="none"/>
          <w:u w:val="none"/>
        </w:rPr>
        <w:t>/h，主要</w:t>
      </w:r>
      <w:r>
        <w:rPr>
          <w:rFonts w:hint="eastAsia"/>
          <w:color w:val="auto"/>
          <w:highlight w:val="none"/>
          <w:u w:val="none"/>
          <w:lang w:val="en-US"/>
        </w:rPr>
        <w:t>为</w:t>
      </w:r>
      <w:r>
        <w:rPr>
          <w:color w:val="auto"/>
          <w:highlight w:val="none"/>
          <w:u w:val="none"/>
        </w:rPr>
        <w:t>硝化工序。</w:t>
      </w:r>
      <w:r>
        <w:rPr>
          <w:rFonts w:hAnsi="Times New Roman"/>
          <w:color w:val="auto"/>
          <w:highlight w:val="none"/>
          <w:u w:val="none"/>
        </w:rPr>
        <w:t>本项目循环水依托</w:t>
      </w:r>
      <w:r>
        <w:rPr>
          <w:rFonts w:hint="eastAsia" w:hAnsi="Times New Roman"/>
          <w:color w:val="auto"/>
          <w:highlight w:val="none"/>
          <w:u w:val="none"/>
        </w:rPr>
        <w:t>异氰酸酯公司</w:t>
      </w:r>
      <w:r>
        <w:rPr>
          <w:rFonts w:hAnsi="Times New Roman"/>
          <w:color w:val="auto"/>
          <w:highlight w:val="none"/>
          <w:u w:val="none"/>
        </w:rPr>
        <w:t>附属配套设施项目循环水站，循环水站设计规模为90000m</w:t>
      </w:r>
      <w:r>
        <w:rPr>
          <w:rFonts w:hAnsi="Times New Roman"/>
          <w:color w:val="auto"/>
          <w:highlight w:val="none"/>
          <w:u w:val="none"/>
          <w:vertAlign w:val="superscript"/>
        </w:rPr>
        <w:t>3</w:t>
      </w:r>
      <w:r>
        <w:rPr>
          <w:rFonts w:hAnsi="Times New Roman"/>
          <w:color w:val="auto"/>
          <w:highlight w:val="none"/>
          <w:u w:val="none"/>
        </w:rPr>
        <w:t>/h，循环水供水温度33℃，回水温度41℃。负责供给TDI</w:t>
      </w:r>
      <w:r>
        <w:rPr>
          <w:rFonts w:hint="eastAsia" w:hAnsi="Times New Roman"/>
          <w:color w:val="auto"/>
          <w:highlight w:val="none"/>
          <w:u w:val="none"/>
          <w:lang w:val="en-US"/>
        </w:rPr>
        <w:t>一期</w:t>
      </w:r>
      <w:r>
        <w:rPr>
          <w:rFonts w:hAnsi="Times New Roman"/>
          <w:color w:val="auto"/>
          <w:highlight w:val="none"/>
          <w:u w:val="none"/>
        </w:rPr>
        <w:t>项目循环水的规模为：3</w:t>
      </w:r>
      <w:r>
        <w:rPr>
          <w:rFonts w:hint="eastAsia" w:hAnsi="Times New Roman"/>
          <w:color w:val="auto"/>
          <w:highlight w:val="none"/>
          <w:u w:val="none"/>
          <w:lang w:val="en-US"/>
        </w:rPr>
        <w:t>65</w:t>
      </w:r>
      <w:r>
        <w:rPr>
          <w:rFonts w:hAnsi="Times New Roman"/>
          <w:color w:val="auto"/>
          <w:highlight w:val="none"/>
          <w:u w:val="none"/>
        </w:rPr>
        <w:t>00m</w:t>
      </w:r>
      <w:r>
        <w:rPr>
          <w:rFonts w:hAnsi="Times New Roman"/>
          <w:color w:val="auto"/>
          <w:highlight w:val="none"/>
          <w:u w:val="none"/>
          <w:vertAlign w:val="superscript"/>
        </w:rPr>
        <w:t>3</w:t>
      </w:r>
      <w:r>
        <w:rPr>
          <w:rFonts w:hAnsi="Times New Roman"/>
          <w:color w:val="auto"/>
          <w:highlight w:val="none"/>
          <w:u w:val="none"/>
        </w:rPr>
        <w:t>/h，循环水泵由3台12500m</w:t>
      </w:r>
      <w:r>
        <w:rPr>
          <w:rFonts w:hAnsi="Times New Roman"/>
          <w:color w:val="auto"/>
          <w:highlight w:val="none"/>
          <w:u w:val="none"/>
          <w:vertAlign w:val="superscript"/>
        </w:rPr>
        <w:t>3</w:t>
      </w:r>
      <w:r>
        <w:rPr>
          <w:rFonts w:hAnsi="Times New Roman"/>
          <w:color w:val="auto"/>
          <w:highlight w:val="none"/>
          <w:u w:val="none"/>
        </w:rPr>
        <w:t>/h 工频泵+1台10000m</w:t>
      </w:r>
      <w:r>
        <w:rPr>
          <w:rFonts w:hAnsi="Times New Roman"/>
          <w:color w:val="auto"/>
          <w:highlight w:val="none"/>
          <w:u w:val="none"/>
          <w:vertAlign w:val="superscript"/>
        </w:rPr>
        <w:t>3</w:t>
      </w:r>
      <w:r>
        <w:rPr>
          <w:rFonts w:hAnsi="Times New Roman"/>
          <w:color w:val="auto"/>
          <w:highlight w:val="none"/>
          <w:u w:val="none"/>
        </w:rPr>
        <w:t>/h变频泵组成，冷却塔规模为5000m</w:t>
      </w:r>
      <w:r>
        <w:rPr>
          <w:rFonts w:hAnsi="Times New Roman"/>
          <w:color w:val="auto"/>
          <w:highlight w:val="none"/>
          <w:u w:val="none"/>
          <w:vertAlign w:val="superscript"/>
        </w:rPr>
        <w:t>3</w:t>
      </w:r>
      <w:r>
        <w:rPr>
          <w:rFonts w:hAnsi="Times New Roman"/>
          <w:color w:val="auto"/>
          <w:highlight w:val="none"/>
          <w:u w:val="none"/>
        </w:rPr>
        <w:t>×</w:t>
      </w:r>
      <w:r>
        <w:rPr>
          <w:rFonts w:hint="eastAsia" w:hAnsi="Times New Roman"/>
          <w:color w:val="auto"/>
          <w:highlight w:val="none"/>
          <w:u w:val="none"/>
          <w:lang w:val="en-US"/>
        </w:rPr>
        <w:t>18</w:t>
      </w:r>
      <w:r>
        <w:rPr>
          <w:rFonts w:hAnsi="Times New Roman"/>
          <w:color w:val="auto"/>
          <w:highlight w:val="none"/>
          <w:u w:val="none"/>
        </w:rPr>
        <w:t>座。所依托循环水系统满足本项目循环冷却水的用水需求。</w:t>
      </w:r>
    </w:p>
    <w:p w14:paraId="1F35C8F6">
      <w:pPr>
        <w:rPr>
          <w:rFonts w:hint="eastAsia"/>
          <w:color w:val="auto"/>
          <w:highlight w:val="none"/>
          <w:u w:val="none"/>
        </w:rPr>
      </w:pPr>
      <w:r>
        <w:rPr>
          <w:rFonts w:hint="eastAsia"/>
          <w:color w:val="auto"/>
          <w:highlight w:val="none"/>
          <w:u w:val="none"/>
        </w:rPr>
        <w:t>（</w:t>
      </w:r>
      <w:r>
        <w:rPr>
          <w:color w:val="auto"/>
          <w:highlight w:val="none"/>
          <w:u w:val="none"/>
        </w:rPr>
        <w:t>3）脱盐水系统</w:t>
      </w:r>
    </w:p>
    <w:p w14:paraId="6D6B413C">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次技改扩能后</w:t>
      </w:r>
      <w:r>
        <w:rPr>
          <w:rFonts w:hint="eastAsia"/>
          <w:color w:val="auto"/>
          <w:highlight w:val="none"/>
          <w:u w:val="none"/>
        </w:rPr>
        <w:t>项目</w:t>
      </w:r>
      <w:r>
        <w:rPr>
          <w:rFonts w:hint="eastAsia"/>
          <w:color w:val="auto"/>
          <w:highlight w:val="none"/>
          <w:u w:val="none"/>
          <w:lang w:val="en-US"/>
        </w:rPr>
        <w:t>新增</w:t>
      </w:r>
      <w:r>
        <w:rPr>
          <w:rFonts w:hint="eastAsia"/>
          <w:color w:val="auto"/>
          <w:highlight w:val="none"/>
          <w:u w:val="none"/>
        </w:rPr>
        <w:t>脱盐水用量</w:t>
      </w:r>
      <w:r>
        <w:rPr>
          <w:rFonts w:hint="eastAsia"/>
          <w:color w:val="auto"/>
          <w:highlight w:val="none"/>
          <w:u w:val="none"/>
          <w:lang w:val="en-US"/>
        </w:rPr>
        <w:t>32.4</w:t>
      </w:r>
      <w:r>
        <w:rPr>
          <w:color w:val="auto"/>
          <w:highlight w:val="none"/>
          <w:u w:val="none"/>
        </w:rPr>
        <w:t>t/h，用于硝化、光化工序。依托</w:t>
      </w:r>
      <w:r>
        <w:rPr>
          <w:rFonts w:hint="eastAsia"/>
          <w:color w:val="auto"/>
          <w:highlight w:val="none"/>
          <w:u w:val="none"/>
          <w:lang w:val="en-US"/>
        </w:rPr>
        <w:t>万</w:t>
      </w:r>
      <w:r>
        <w:rPr>
          <w:rFonts w:hint="eastAsia"/>
          <w:color w:val="auto"/>
          <w:highlight w:val="none"/>
          <w:u w:val="none"/>
        </w:rPr>
        <w:t>华环保科技公司</w:t>
      </w:r>
      <w:r>
        <w:rPr>
          <w:color w:val="auto"/>
          <w:highlight w:val="none"/>
          <w:u w:val="none"/>
        </w:rPr>
        <w:t>脱盐水及蒸汽凝液处理站，</w:t>
      </w:r>
      <w:r>
        <w:rPr>
          <w:rFonts w:hint="eastAsia"/>
          <w:color w:val="auto"/>
          <w:highlight w:val="none"/>
          <w:u w:val="none"/>
          <w:lang w:val="en-US"/>
        </w:rPr>
        <w:t>原水制</w:t>
      </w:r>
      <w:r>
        <w:rPr>
          <w:color w:val="auto"/>
          <w:highlight w:val="none"/>
          <w:u w:val="none"/>
        </w:rPr>
        <w:t>脱盐水装置外供规模2×150m</w:t>
      </w:r>
      <w:r>
        <w:rPr>
          <w:color w:val="auto"/>
          <w:highlight w:val="none"/>
          <w:u w:val="none"/>
          <w:vertAlign w:val="superscript"/>
        </w:rPr>
        <w:t>3</w:t>
      </w:r>
      <w:r>
        <w:rPr>
          <w:color w:val="auto"/>
          <w:highlight w:val="none"/>
          <w:u w:val="none"/>
        </w:rPr>
        <w:t>/h，蒸汽冷凝液制脱盐水规模2×150m</w:t>
      </w:r>
      <w:r>
        <w:rPr>
          <w:color w:val="auto"/>
          <w:highlight w:val="none"/>
          <w:u w:val="none"/>
          <w:vertAlign w:val="superscript"/>
        </w:rPr>
        <w:t>3</w:t>
      </w:r>
      <w:r>
        <w:rPr>
          <w:color w:val="auto"/>
          <w:highlight w:val="none"/>
          <w:u w:val="none"/>
        </w:rPr>
        <w:t>/h，</w:t>
      </w:r>
      <w:r>
        <w:rPr>
          <w:rFonts w:hint="eastAsia"/>
          <w:color w:val="auto"/>
          <w:highlight w:val="none"/>
          <w:u w:val="none"/>
          <w:lang w:val="en-US"/>
        </w:rPr>
        <w:t>除氧水装置外供规模50</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rPr>
        <w:t>，</w:t>
      </w:r>
      <w:r>
        <w:rPr>
          <w:rFonts w:hint="eastAsia"/>
          <w:color w:val="auto"/>
          <w:highlight w:val="none"/>
          <w:u w:val="none"/>
          <w:lang w:val="en-US"/>
        </w:rPr>
        <w:t>产能为45</w:t>
      </w:r>
      <w:r>
        <w:rPr>
          <w:color w:val="auto"/>
          <w:highlight w:val="none"/>
          <w:u w:val="none"/>
        </w:rPr>
        <w:t>0m</w:t>
      </w:r>
      <w:r>
        <w:rPr>
          <w:color w:val="auto"/>
          <w:highlight w:val="none"/>
          <w:u w:val="none"/>
          <w:vertAlign w:val="superscript"/>
        </w:rPr>
        <w:t>3</w:t>
      </w:r>
      <w:r>
        <w:rPr>
          <w:color w:val="auto"/>
          <w:highlight w:val="none"/>
          <w:u w:val="none"/>
        </w:rPr>
        <w:t>/h。</w:t>
      </w:r>
    </w:p>
    <w:p w14:paraId="46B279A8">
      <w:pPr>
        <w:pStyle w:val="7"/>
        <w:spacing w:before="156"/>
        <w:rPr>
          <w:color w:val="auto"/>
          <w:highlight w:val="none"/>
          <w:u w:val="none"/>
        </w:rPr>
      </w:pPr>
      <w:r>
        <w:rPr>
          <w:rFonts w:hint="eastAsia"/>
          <w:color w:val="auto"/>
          <w:highlight w:val="none"/>
          <w:u w:val="none"/>
        </w:rPr>
        <w:t>排水工程</w:t>
      </w:r>
    </w:p>
    <w:p w14:paraId="47F1FA5F">
      <w:pPr>
        <w:rPr>
          <w:rFonts w:hint="eastAsia"/>
          <w:color w:val="auto"/>
          <w:highlight w:val="none"/>
          <w:u w:val="none"/>
          <w:lang w:val="en-US"/>
        </w:rPr>
      </w:pPr>
      <w:r>
        <w:rPr>
          <w:rFonts w:hint="eastAsia"/>
          <w:color w:val="auto"/>
          <w:highlight w:val="none"/>
          <w:u w:val="none"/>
        </w:rPr>
        <w:t>根据污水性质，厂区排水系统划分为生活污水排水系统、生产废水排水系统、地面冲洗及初期雨水排水系统、雨水排水系统和事故污水收集系统，</w:t>
      </w:r>
      <w:r>
        <w:rPr>
          <w:rFonts w:hint="eastAsia"/>
          <w:color w:val="auto"/>
          <w:highlight w:val="none"/>
          <w:u w:val="none"/>
          <w:lang w:val="en-US"/>
        </w:rPr>
        <w:t>现有工程</w:t>
      </w:r>
      <w:r>
        <w:rPr>
          <w:color w:val="auto"/>
          <w:highlight w:val="none"/>
          <w:u w:val="none"/>
        </w:rPr>
        <w:t>废水管网均为明管敷设。</w:t>
      </w:r>
      <w:r>
        <w:rPr>
          <w:rFonts w:hint="eastAsia"/>
          <w:color w:val="auto"/>
          <w:highlight w:val="none"/>
          <w:u w:val="none"/>
          <w:lang w:val="en-US"/>
        </w:rPr>
        <w:t>本次技改扩能依托现有排水系统。</w:t>
      </w:r>
    </w:p>
    <w:p w14:paraId="291EEE46">
      <w:pPr>
        <w:rPr>
          <w:rFonts w:hint="eastAsia"/>
          <w:color w:val="auto"/>
          <w:highlight w:val="none"/>
          <w:u w:val="none"/>
        </w:rPr>
      </w:pPr>
      <w:r>
        <w:rPr>
          <w:rFonts w:hint="eastAsia"/>
          <w:color w:val="auto"/>
          <w:highlight w:val="none"/>
          <w:u w:val="none"/>
        </w:rPr>
        <w:t>（</w:t>
      </w:r>
      <w:r>
        <w:rPr>
          <w:color w:val="auto"/>
          <w:highlight w:val="none"/>
          <w:u w:val="none"/>
        </w:rPr>
        <w:t>1）生活污水排水系统</w:t>
      </w:r>
    </w:p>
    <w:p w14:paraId="22A7AC27">
      <w:pPr>
        <w:rPr>
          <w:rFonts w:hint="eastAsia"/>
          <w:color w:val="auto"/>
          <w:highlight w:val="none"/>
          <w:u w:val="none"/>
        </w:rPr>
      </w:pPr>
      <w:r>
        <w:rPr>
          <w:rFonts w:hint="eastAsia"/>
          <w:color w:val="auto"/>
          <w:highlight w:val="none"/>
          <w:u w:val="none"/>
          <w:lang w:val="en-US"/>
        </w:rPr>
        <w:t>本次技改扩能不能增加生活污水。</w:t>
      </w:r>
      <w:r>
        <w:rPr>
          <w:rFonts w:hint="eastAsia"/>
          <w:color w:val="auto"/>
          <w:highlight w:val="none"/>
          <w:u w:val="none"/>
        </w:rPr>
        <w:t>由单独管线输送，并入管廊中的低浓度废水处理系统输送总管，</w:t>
      </w:r>
      <w:r>
        <w:rPr>
          <w:rFonts w:hint="eastAsia"/>
          <w:color w:val="auto"/>
          <w:highlight w:val="none"/>
          <w:u w:val="none"/>
          <w:lang w:val="en-US" w:eastAsia="zh-CN"/>
        </w:rPr>
        <w:t>送往</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公司低浓度废水处理系统处理，排水量为</w:t>
      </w:r>
      <w:r>
        <w:rPr>
          <w:rFonts w:hint="eastAsia"/>
          <w:color w:val="auto"/>
          <w:highlight w:val="none"/>
          <w:u w:val="none"/>
          <w:lang w:val="en-US"/>
        </w:rPr>
        <w:t>0.</w:t>
      </w:r>
      <w:r>
        <w:rPr>
          <w:rFonts w:hint="eastAsia"/>
          <w:color w:val="auto"/>
          <w:highlight w:val="none"/>
          <w:u w:val="none"/>
          <w:lang w:val="en-US" w:eastAsia="zh-CN"/>
        </w:rPr>
        <w:t>55</w:t>
      </w:r>
      <w:r>
        <w:rPr>
          <w:color w:val="auto"/>
          <w:highlight w:val="none"/>
          <w:u w:val="none"/>
        </w:rPr>
        <w:t>m</w:t>
      </w:r>
      <w:r>
        <w:rPr>
          <w:color w:val="auto"/>
          <w:highlight w:val="none"/>
          <w:u w:val="none"/>
          <w:vertAlign w:val="superscript"/>
        </w:rPr>
        <w:t>3</w:t>
      </w:r>
      <w:r>
        <w:rPr>
          <w:color w:val="auto"/>
          <w:highlight w:val="none"/>
          <w:u w:val="none"/>
        </w:rPr>
        <w:t>/h。</w:t>
      </w:r>
    </w:p>
    <w:p w14:paraId="15841AE7">
      <w:pPr>
        <w:rPr>
          <w:rFonts w:hint="eastAsia"/>
          <w:color w:val="auto"/>
          <w:highlight w:val="none"/>
          <w:u w:val="none"/>
        </w:rPr>
      </w:pPr>
      <w:r>
        <w:rPr>
          <w:rFonts w:hint="eastAsia"/>
          <w:color w:val="auto"/>
          <w:highlight w:val="none"/>
          <w:u w:val="none"/>
        </w:rPr>
        <w:t>（</w:t>
      </w:r>
      <w:r>
        <w:rPr>
          <w:color w:val="auto"/>
          <w:highlight w:val="none"/>
          <w:u w:val="none"/>
        </w:rPr>
        <w:t>2）生产污水排水系统</w:t>
      </w:r>
    </w:p>
    <w:p w14:paraId="7E617F5F">
      <w:pPr>
        <w:rPr>
          <w:rFonts w:hint="eastAsia"/>
          <w:color w:val="auto"/>
          <w:highlight w:val="none"/>
          <w:u w:val="none"/>
        </w:rPr>
      </w:pPr>
      <w:r>
        <w:rPr>
          <w:rFonts w:hint="eastAsia"/>
          <w:color w:val="auto"/>
          <w:highlight w:val="none"/>
          <w:u w:val="none"/>
        </w:rPr>
        <w:t>本项目生产装置中硝硫浓缩酸性废水、废酸浓缩酸性废水、汽提酸性废水、TDA废水、光化中和废水、</w:t>
      </w:r>
      <w:r>
        <w:rPr>
          <w:rFonts w:hAnsi="Times New Roman"/>
          <w:color w:val="auto"/>
          <w:highlight w:val="none"/>
          <w:u w:val="none"/>
        </w:rPr>
        <w:t>设备清洗水</w:t>
      </w:r>
      <w:r>
        <w:rPr>
          <w:rFonts w:hint="eastAsia"/>
          <w:color w:val="auto"/>
          <w:highlight w:val="none"/>
          <w:u w:val="none"/>
          <w:lang w:val="en-US"/>
        </w:rPr>
        <w:t>依托</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综合废水处理系统处理；</w:t>
      </w:r>
      <w:r>
        <w:rPr>
          <w:rFonts w:hint="eastAsia"/>
          <w:color w:val="auto"/>
          <w:highlight w:val="none"/>
          <w:u w:val="none"/>
        </w:rPr>
        <w:t>各股废水由单独管线输送，并入管廊中的</w:t>
      </w:r>
      <w:r>
        <w:rPr>
          <w:color w:val="auto"/>
          <w:highlight w:val="none"/>
          <w:u w:val="none"/>
        </w:rPr>
        <w:t>综合废水处理系统</w:t>
      </w:r>
      <w:r>
        <w:rPr>
          <w:rFonts w:hint="eastAsia"/>
          <w:color w:val="auto"/>
          <w:highlight w:val="none"/>
          <w:u w:val="none"/>
        </w:rPr>
        <w:t>输送总管，送往</w:t>
      </w:r>
      <w:r>
        <w:rPr>
          <w:color w:val="auto"/>
          <w:highlight w:val="none"/>
          <w:u w:val="none"/>
        </w:rPr>
        <w:t>万华</w:t>
      </w:r>
      <w:r>
        <w:rPr>
          <w:rFonts w:hint="eastAsia"/>
          <w:color w:val="auto"/>
          <w:highlight w:val="none"/>
          <w:u w:val="none"/>
        </w:rPr>
        <w:t>环保科技公司</w:t>
      </w:r>
      <w:r>
        <w:rPr>
          <w:color w:val="auto"/>
          <w:highlight w:val="none"/>
          <w:u w:val="none"/>
        </w:rPr>
        <w:t>综合废水处理系统处理；地面冲洗水</w:t>
      </w:r>
      <w:r>
        <w:rPr>
          <w:rFonts w:hint="eastAsia"/>
          <w:color w:val="auto"/>
          <w:highlight w:val="none"/>
          <w:u w:val="none"/>
        </w:rPr>
        <w:t>由单独管线输送，并入管廊中的低浓度废水处理系统输送总管，送往</w:t>
      </w:r>
      <w:r>
        <w:rPr>
          <w:color w:val="auto"/>
          <w:highlight w:val="none"/>
          <w:u w:val="none"/>
        </w:rPr>
        <w:t>万华</w:t>
      </w:r>
      <w:r>
        <w:rPr>
          <w:rFonts w:hint="eastAsia"/>
          <w:color w:val="auto"/>
          <w:highlight w:val="none"/>
          <w:u w:val="none"/>
        </w:rPr>
        <w:t>环保科技公司低浓度废水处理系统处理；</w:t>
      </w:r>
      <w:r>
        <w:rPr>
          <w:rFonts w:hint="eastAsia"/>
          <w:color w:val="auto"/>
          <w:highlight w:val="none"/>
          <w:u w:val="none"/>
          <w:lang w:val="en-US" w:eastAsia="zh-CN"/>
        </w:rPr>
        <w:t>氢化单元脱水废水</w:t>
      </w:r>
      <w:r>
        <w:rPr>
          <w:rFonts w:hint="eastAsia"/>
          <w:color w:val="auto"/>
          <w:highlight w:val="none"/>
          <w:u w:val="none"/>
        </w:rPr>
        <w:t>由单独管线输送，经管廊送往</w:t>
      </w:r>
      <w:r>
        <w:rPr>
          <w:rFonts w:hint="eastAsia"/>
          <w:color w:val="auto"/>
          <w:highlight w:val="none"/>
          <w:u w:val="none"/>
          <w:lang w:val="en-US" w:eastAsia="zh-CN"/>
        </w:rPr>
        <w:t>TDI二期氢化单元汽提系统处理</w:t>
      </w:r>
      <w:r>
        <w:rPr>
          <w:rFonts w:hint="eastAsia"/>
          <w:color w:val="auto"/>
          <w:highlight w:val="none"/>
          <w:u w:val="none"/>
        </w:rPr>
        <w:t>。</w:t>
      </w:r>
    </w:p>
    <w:p w14:paraId="7690C295">
      <w:pPr>
        <w:rPr>
          <w:rFonts w:hint="eastAsia"/>
          <w:color w:val="auto"/>
          <w:highlight w:val="none"/>
          <w:u w:val="none"/>
        </w:rPr>
      </w:pPr>
      <w:r>
        <w:rPr>
          <w:rFonts w:hint="eastAsia"/>
          <w:color w:val="auto"/>
          <w:highlight w:val="none"/>
          <w:u w:val="none"/>
        </w:rPr>
        <w:t>本项目红水废水由独立管道输送，</w:t>
      </w:r>
      <w:r>
        <w:rPr>
          <w:rFonts w:hint="eastAsia"/>
          <w:color w:val="auto"/>
          <w:highlight w:val="none"/>
          <w:u w:val="none"/>
          <w:lang w:val="en-US" w:eastAsia="zh-CN"/>
        </w:rPr>
        <w:t>由</w:t>
      </w:r>
      <w:r>
        <w:rPr>
          <w:rFonts w:hint="eastAsia"/>
          <w:color w:val="auto"/>
          <w:highlight w:val="none"/>
          <w:u w:val="none"/>
        </w:rPr>
        <w:t>管廊送往万华福建公司气体扩能改造项目作为水煤浆气化原料。</w:t>
      </w:r>
    </w:p>
    <w:p w14:paraId="55EEAC53">
      <w:pPr>
        <w:rPr>
          <w:rFonts w:hint="eastAsia"/>
          <w:color w:val="auto"/>
          <w:highlight w:val="none"/>
          <w:u w:val="none"/>
        </w:rPr>
      </w:pPr>
      <w:r>
        <w:rPr>
          <w:rFonts w:hint="eastAsia"/>
          <w:color w:val="auto"/>
          <w:highlight w:val="none"/>
          <w:u w:val="none"/>
        </w:rPr>
        <w:t>（</w:t>
      </w:r>
      <w:r>
        <w:rPr>
          <w:color w:val="auto"/>
          <w:highlight w:val="none"/>
          <w:u w:val="none"/>
        </w:rPr>
        <w:t>3）初期雨水排水系统</w:t>
      </w:r>
    </w:p>
    <w:p w14:paraId="4055CDEF">
      <w:pPr>
        <w:rPr>
          <w:rFonts w:hint="eastAsia"/>
          <w:color w:val="auto"/>
          <w:highlight w:val="none"/>
          <w:u w:val="none"/>
          <w:lang w:val="en-US"/>
        </w:rPr>
      </w:pPr>
      <w:r>
        <w:rPr>
          <w:rFonts w:hint="eastAsia"/>
          <w:color w:val="auto"/>
          <w:highlight w:val="none"/>
          <w:u w:val="none"/>
        </w:rPr>
        <w:t>本</w:t>
      </w:r>
      <w:r>
        <w:rPr>
          <w:rFonts w:hint="eastAsia"/>
          <w:color w:val="auto"/>
          <w:highlight w:val="none"/>
          <w:u w:val="none"/>
          <w:lang w:val="en-US"/>
        </w:rPr>
        <w:t>次扩能在现有装置区，无增加污染区域。</w:t>
      </w:r>
      <w:r>
        <w:rPr>
          <w:color w:val="auto"/>
          <w:highlight w:val="none"/>
          <w:u w:val="none"/>
        </w:rPr>
        <w:t>TDI</w:t>
      </w:r>
      <w:r>
        <w:rPr>
          <w:rFonts w:hint="eastAsia"/>
          <w:color w:val="auto"/>
          <w:highlight w:val="none"/>
          <w:u w:val="none"/>
          <w:lang w:val="en-US"/>
        </w:rPr>
        <w:t>一期</w:t>
      </w:r>
      <w:r>
        <w:rPr>
          <w:color w:val="auto"/>
          <w:highlight w:val="none"/>
          <w:u w:val="none"/>
        </w:rPr>
        <w:t>界区内污染区域面积约1</w:t>
      </w:r>
      <w:r>
        <w:rPr>
          <w:rFonts w:hint="eastAsia"/>
          <w:color w:val="auto"/>
          <w:highlight w:val="none"/>
          <w:u w:val="none"/>
          <w:lang w:val="en-US"/>
        </w:rPr>
        <w:t>6800</w:t>
      </w:r>
      <w:r>
        <w:rPr>
          <w:color w:val="auto"/>
          <w:highlight w:val="none"/>
          <w:u w:val="none"/>
        </w:rPr>
        <w:t>m</w:t>
      </w:r>
      <w:r>
        <w:rPr>
          <w:color w:val="auto"/>
          <w:highlight w:val="none"/>
          <w:u w:val="none"/>
          <w:vertAlign w:val="superscript"/>
        </w:rPr>
        <w:t>2</w:t>
      </w:r>
      <w:r>
        <w:rPr>
          <w:color w:val="auto"/>
          <w:highlight w:val="none"/>
          <w:u w:val="none"/>
        </w:rPr>
        <w:t>，按照雨水厚度15mm计算，</w:t>
      </w:r>
      <w:r>
        <w:rPr>
          <w:rFonts w:hint="eastAsia"/>
          <w:color w:val="auto"/>
          <w:highlight w:val="none"/>
          <w:u w:val="none"/>
          <w:lang w:val="en-US" w:eastAsia="zh-CN"/>
        </w:rPr>
        <w:t>根据原环评测算，</w:t>
      </w:r>
      <w:r>
        <w:rPr>
          <w:color w:val="auto"/>
          <w:highlight w:val="none"/>
          <w:u w:val="none"/>
        </w:rPr>
        <w:t>界区内一次污染雨水量约</w:t>
      </w:r>
      <w:r>
        <w:rPr>
          <w:rFonts w:hint="eastAsia"/>
          <w:color w:val="auto"/>
          <w:highlight w:val="none"/>
          <w:u w:val="none"/>
          <w:lang w:val="en-US" w:eastAsia="zh-CN"/>
        </w:rPr>
        <w:t>252</w:t>
      </w:r>
      <w:r>
        <w:rPr>
          <w:color w:val="auto"/>
          <w:highlight w:val="none"/>
          <w:u w:val="none"/>
        </w:rPr>
        <w:t>m</w:t>
      </w:r>
      <w:r>
        <w:rPr>
          <w:color w:val="auto"/>
          <w:highlight w:val="none"/>
          <w:u w:val="none"/>
          <w:vertAlign w:val="superscript"/>
        </w:rPr>
        <w:t>3</w:t>
      </w:r>
      <w:r>
        <w:rPr>
          <w:rFonts w:hint="eastAsia"/>
          <w:color w:val="auto"/>
          <w:highlight w:val="none"/>
          <w:u w:val="none"/>
        </w:rPr>
        <w:t>，</w:t>
      </w:r>
      <w:r>
        <w:rPr>
          <w:rFonts w:hint="eastAsia"/>
          <w:color w:val="auto"/>
          <w:highlight w:val="none"/>
          <w:u w:val="none"/>
          <w:lang w:val="en-US"/>
        </w:rPr>
        <w:t>收集至初期雨水收集池</w:t>
      </w:r>
      <w:r>
        <w:rPr>
          <w:color w:val="auto"/>
          <w:highlight w:val="none"/>
          <w:u w:val="none"/>
        </w:rPr>
        <w:t>。池内污水经加压送</w:t>
      </w:r>
      <w:r>
        <w:rPr>
          <w:rFonts w:hint="eastAsia"/>
          <w:color w:val="auto"/>
          <w:highlight w:val="none"/>
          <w:u w:val="none"/>
        </w:rPr>
        <w:t>往万华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低浓度废水处理系统处理。</w:t>
      </w:r>
    </w:p>
    <w:p w14:paraId="36CA253D">
      <w:pPr>
        <w:rPr>
          <w:rFonts w:hint="eastAsia"/>
          <w:color w:val="auto"/>
          <w:highlight w:val="none"/>
          <w:u w:val="none"/>
        </w:rPr>
      </w:pPr>
      <w:r>
        <w:rPr>
          <w:rFonts w:hint="eastAsia"/>
          <w:color w:val="auto"/>
          <w:highlight w:val="none"/>
          <w:u w:val="none"/>
        </w:rPr>
        <w:t>（</w:t>
      </w:r>
      <w:r>
        <w:rPr>
          <w:color w:val="auto"/>
          <w:highlight w:val="none"/>
          <w:u w:val="none"/>
        </w:rPr>
        <w:t>4）雨水排水系统</w:t>
      </w:r>
    </w:p>
    <w:p w14:paraId="04035FB8">
      <w:pPr>
        <w:rPr>
          <w:rFonts w:hint="eastAsia"/>
          <w:color w:val="auto"/>
          <w:highlight w:val="none"/>
          <w:u w:val="none"/>
        </w:rPr>
      </w:pPr>
      <w:r>
        <w:rPr>
          <w:rFonts w:hint="eastAsia"/>
          <w:color w:val="auto"/>
          <w:highlight w:val="none"/>
          <w:u w:val="none"/>
        </w:rPr>
        <w:t>本项目采用埋管排除雨水，厂区后期清净雨水经本系统收集，就近排至雨排水干管，</w:t>
      </w:r>
      <w:r>
        <w:rPr>
          <w:color w:val="auto"/>
          <w:highlight w:val="none"/>
          <w:u w:val="none"/>
        </w:rPr>
        <w:t>最终排出厂外。</w:t>
      </w:r>
    </w:p>
    <w:p w14:paraId="107BBF0F">
      <w:pPr>
        <w:rPr>
          <w:rFonts w:hint="eastAsia"/>
          <w:color w:val="auto"/>
          <w:highlight w:val="none"/>
          <w:u w:val="none"/>
        </w:rPr>
      </w:pPr>
      <w:r>
        <w:rPr>
          <w:rFonts w:hint="eastAsia"/>
          <w:color w:val="auto"/>
          <w:highlight w:val="none"/>
          <w:u w:val="none"/>
        </w:rPr>
        <w:t>（</w:t>
      </w:r>
      <w:r>
        <w:rPr>
          <w:color w:val="auto"/>
          <w:highlight w:val="none"/>
          <w:u w:val="none"/>
        </w:rPr>
        <w:t>5）事故</w:t>
      </w:r>
      <w:r>
        <w:rPr>
          <w:rFonts w:hint="eastAsia"/>
          <w:color w:val="auto"/>
          <w:highlight w:val="none"/>
          <w:u w:val="none"/>
        </w:rPr>
        <w:t>废水</w:t>
      </w:r>
      <w:r>
        <w:rPr>
          <w:color w:val="auto"/>
          <w:highlight w:val="none"/>
          <w:u w:val="none"/>
        </w:rPr>
        <w:t>收集系统</w:t>
      </w:r>
    </w:p>
    <w:p w14:paraId="765D522D">
      <w:pPr>
        <w:rPr>
          <w:rFonts w:hint="eastAsia"/>
          <w:color w:val="auto"/>
          <w:highlight w:val="none"/>
          <w:u w:val="none"/>
          <w:lang w:val="en-US"/>
        </w:rPr>
      </w:pPr>
      <w:r>
        <w:rPr>
          <w:rFonts w:hint="eastAsia"/>
          <w:color w:val="auto"/>
          <w:highlight w:val="none"/>
          <w:u w:val="none"/>
        </w:rPr>
        <w:t>本</w:t>
      </w:r>
      <w:r>
        <w:rPr>
          <w:rFonts w:hint="eastAsia"/>
          <w:color w:val="auto"/>
          <w:highlight w:val="none"/>
          <w:u w:val="none"/>
          <w:lang w:val="en-US"/>
        </w:rPr>
        <w:t>次技改扩能不改变现有事故废水收集系统。</w:t>
      </w:r>
    </w:p>
    <w:p w14:paraId="75267D3C">
      <w:pPr>
        <w:rPr>
          <w:rFonts w:hint="eastAsia"/>
          <w:color w:val="auto"/>
          <w:highlight w:val="none"/>
          <w:u w:val="none"/>
        </w:rPr>
      </w:pPr>
      <w:r>
        <w:rPr>
          <w:rFonts w:hint="eastAsia"/>
          <w:color w:val="auto"/>
          <w:highlight w:val="none"/>
          <w:u w:val="none"/>
          <w:lang w:val="en-US"/>
        </w:rPr>
        <w:t>TDI一期装置区</w:t>
      </w:r>
      <w:r>
        <w:rPr>
          <w:rFonts w:hint="eastAsia"/>
          <w:color w:val="auto"/>
          <w:highlight w:val="none"/>
          <w:u w:val="none"/>
        </w:rPr>
        <w:t>利用工艺装置区周围设置的围堰、集水坑及初期雨水池收集事故</w:t>
      </w:r>
      <w:r>
        <w:rPr>
          <w:rFonts w:hint="eastAsia"/>
          <w:color w:val="auto"/>
          <w:highlight w:val="none"/>
          <w:u w:val="none"/>
          <w:lang w:val="en-US"/>
        </w:rPr>
        <w:t>废</w:t>
      </w:r>
      <w:r>
        <w:rPr>
          <w:rFonts w:hint="eastAsia"/>
          <w:color w:val="auto"/>
          <w:highlight w:val="none"/>
          <w:u w:val="none"/>
        </w:rPr>
        <w:t>水，事故废水排至园区雨水管网系统，至装置西南侧</w:t>
      </w:r>
      <w:r>
        <w:rPr>
          <w:color w:val="auto"/>
          <w:highlight w:val="none"/>
          <w:u w:val="none"/>
        </w:rPr>
        <w:t>的厂区雨水监测池。通过厂区雨水管道末端的切换措施，进入</w:t>
      </w:r>
      <w:r>
        <w:rPr>
          <w:rFonts w:hint="eastAsia"/>
          <w:color w:val="auto"/>
          <w:highlight w:val="none"/>
          <w:u w:val="none"/>
        </w:rPr>
        <w:t>万华福建公司厂区</w:t>
      </w:r>
      <w:r>
        <w:rPr>
          <w:color w:val="auto"/>
          <w:highlight w:val="none"/>
          <w:u w:val="none"/>
        </w:rPr>
        <w:t>29000m</w:t>
      </w:r>
      <w:r>
        <w:rPr>
          <w:color w:val="auto"/>
          <w:highlight w:val="none"/>
          <w:u w:val="none"/>
          <w:vertAlign w:val="superscript"/>
        </w:rPr>
        <w:t>3</w:t>
      </w:r>
      <w:r>
        <w:rPr>
          <w:color w:val="auto"/>
          <w:highlight w:val="none"/>
          <w:u w:val="none"/>
        </w:rPr>
        <w:t>事故废水收集系统。该事故水系统由一</w:t>
      </w:r>
      <w:r>
        <w:rPr>
          <w:rFonts w:hint="eastAsia"/>
          <w:color w:val="auto"/>
          <w:highlight w:val="none"/>
          <w:u w:val="none"/>
        </w:rPr>
        <w:t>座</w:t>
      </w:r>
      <w:r>
        <w:rPr>
          <w:color w:val="auto"/>
          <w:highlight w:val="none"/>
          <w:u w:val="none"/>
        </w:rPr>
        <w:t>5000m</w:t>
      </w:r>
      <w:r>
        <w:rPr>
          <w:color w:val="auto"/>
          <w:highlight w:val="none"/>
          <w:u w:val="none"/>
          <w:vertAlign w:val="superscript"/>
        </w:rPr>
        <w:t>3</w:t>
      </w:r>
      <w:r>
        <w:rPr>
          <w:color w:val="auto"/>
          <w:highlight w:val="none"/>
          <w:u w:val="none"/>
        </w:rPr>
        <w:t>事故水池，</w:t>
      </w:r>
      <w:r>
        <w:rPr>
          <w:rFonts w:hint="eastAsia"/>
          <w:color w:val="auto"/>
          <w:highlight w:val="none"/>
          <w:u w:val="none"/>
        </w:rPr>
        <w:t>2个</w:t>
      </w:r>
      <w:r>
        <w:rPr>
          <w:color w:val="auto"/>
          <w:highlight w:val="none"/>
          <w:u w:val="none"/>
        </w:rPr>
        <w:t>5000m</w:t>
      </w:r>
      <w:r>
        <w:rPr>
          <w:color w:val="auto"/>
          <w:highlight w:val="none"/>
          <w:u w:val="none"/>
          <w:vertAlign w:val="superscript"/>
        </w:rPr>
        <w:t>3</w:t>
      </w:r>
      <w:r>
        <w:rPr>
          <w:color w:val="auto"/>
          <w:highlight w:val="none"/>
          <w:u w:val="none"/>
        </w:rPr>
        <w:t>事故水罐，</w:t>
      </w:r>
      <w:r>
        <w:rPr>
          <w:rFonts w:hint="eastAsia"/>
          <w:color w:val="auto"/>
          <w:highlight w:val="none"/>
          <w:u w:val="none"/>
        </w:rPr>
        <w:t>1</w:t>
      </w:r>
      <w:r>
        <w:rPr>
          <w:color w:val="auto"/>
          <w:highlight w:val="none"/>
          <w:u w:val="none"/>
        </w:rPr>
        <w:t>个14000m</w:t>
      </w:r>
      <w:r>
        <w:rPr>
          <w:color w:val="auto"/>
          <w:highlight w:val="none"/>
          <w:u w:val="none"/>
          <w:vertAlign w:val="superscript"/>
        </w:rPr>
        <w:t>3</w:t>
      </w:r>
      <w:r>
        <w:rPr>
          <w:color w:val="auto"/>
          <w:highlight w:val="none"/>
          <w:u w:val="none"/>
        </w:rPr>
        <w:t>事故水罐</w:t>
      </w:r>
      <w:r>
        <w:rPr>
          <w:rFonts w:hint="eastAsia"/>
          <w:color w:val="auto"/>
          <w:highlight w:val="none"/>
          <w:u w:val="none"/>
        </w:rPr>
        <w:t>（</w:t>
      </w:r>
      <w:r>
        <w:rPr>
          <w:rFonts w:hint="eastAsia"/>
          <w:color w:val="auto"/>
          <w:highlight w:val="none"/>
          <w:u w:val="none"/>
          <w:lang w:val="en-US"/>
        </w:rPr>
        <w:t>PVC项目区</w:t>
      </w:r>
      <w:r>
        <w:rPr>
          <w:rFonts w:hint="eastAsia"/>
          <w:color w:val="auto"/>
          <w:highlight w:val="none"/>
          <w:u w:val="none"/>
        </w:rPr>
        <w:t>）</w:t>
      </w:r>
      <w:r>
        <w:rPr>
          <w:color w:val="auto"/>
          <w:highlight w:val="none"/>
          <w:u w:val="none"/>
        </w:rPr>
        <w:t>组成。通过水池旁的加压泵提升至事故水系统</w:t>
      </w:r>
      <w:r>
        <w:rPr>
          <w:rFonts w:hint="eastAsia"/>
          <w:color w:val="auto"/>
          <w:highlight w:val="none"/>
          <w:u w:val="none"/>
        </w:rPr>
        <w:t>，</w:t>
      </w:r>
      <w:r>
        <w:rPr>
          <w:color w:val="auto"/>
          <w:highlight w:val="none"/>
          <w:u w:val="none"/>
        </w:rPr>
        <w:t>满足</w:t>
      </w:r>
      <w:r>
        <w:rPr>
          <w:rFonts w:hint="eastAsia"/>
          <w:color w:val="auto"/>
          <w:highlight w:val="none"/>
          <w:u w:val="none"/>
          <w:lang w:val="en-US"/>
        </w:rPr>
        <w:t>TDI装置区</w:t>
      </w:r>
      <w:r>
        <w:rPr>
          <w:color w:val="auto"/>
          <w:highlight w:val="none"/>
          <w:u w:val="none"/>
        </w:rPr>
        <w:t>的消防事故废水的存储要求。发生事故时，事故废水进入雨水系统，此时关闭末端雨水排出口总阀门，打开接至事故</w:t>
      </w:r>
      <w:r>
        <w:rPr>
          <w:rFonts w:hint="eastAsia"/>
          <w:color w:val="auto"/>
          <w:highlight w:val="none"/>
          <w:u w:val="none"/>
        </w:rPr>
        <w:t>废水收集系统的排水阀门，使事故废水进入事故废水收集系统。事故后用泵分批将事故废水送至万华</w:t>
      </w:r>
      <w:r>
        <w:rPr>
          <w:rFonts w:hint="eastAsia"/>
          <w:color w:val="auto"/>
          <w:highlight w:val="none"/>
          <w:u w:val="none"/>
          <w:lang w:val="en-US"/>
        </w:rPr>
        <w:t>环保科技</w:t>
      </w:r>
      <w:r>
        <w:rPr>
          <w:rFonts w:hint="eastAsia"/>
          <w:color w:val="auto"/>
          <w:highlight w:val="none"/>
          <w:u w:val="none"/>
        </w:rPr>
        <w:t>公司综合废水处理系统处理。事故后用泵分批将事故废水送至万华环保科技公司综合废水处理系统处理，万华环保科技公司综合废水处理系统</w:t>
      </w:r>
      <w:r>
        <w:rPr>
          <w:rFonts w:hint="eastAsia" w:hAnsi="Times New Roman"/>
          <w:color w:val="auto"/>
          <w:highlight w:val="none"/>
          <w:u w:val="none"/>
        </w:rPr>
        <w:t>总处理能力</w:t>
      </w:r>
      <w:r>
        <w:rPr>
          <w:rFonts w:hAnsi="Times New Roman"/>
          <w:color w:val="auto"/>
          <w:highlight w:val="none"/>
          <w:u w:val="none"/>
        </w:rPr>
        <w:t>420m</w:t>
      </w:r>
      <w:r>
        <w:rPr>
          <w:rFonts w:hint="eastAsia" w:hAnsi="Times New Roman"/>
          <w:color w:val="auto"/>
          <w:highlight w:val="none"/>
          <w:u w:val="none"/>
        </w:rPr>
        <w:t>³</w:t>
      </w:r>
      <w:r>
        <w:rPr>
          <w:rFonts w:hAnsi="Times New Roman"/>
          <w:color w:val="auto"/>
          <w:highlight w:val="none"/>
          <w:u w:val="none"/>
        </w:rPr>
        <w:t>/h</w:t>
      </w:r>
      <w:r>
        <w:rPr>
          <w:rFonts w:hint="eastAsia" w:hAnsi="Times New Roman"/>
          <w:color w:val="auto"/>
          <w:highlight w:val="none"/>
          <w:u w:val="none"/>
        </w:rPr>
        <w:t>，配套芬顿调节池、芬顿缓冲池、难生化调节池、难生化缓冲池，有效容积分别达到</w:t>
      </w:r>
      <w:r>
        <w:rPr>
          <w:rFonts w:hAnsi="Times New Roman"/>
          <w:color w:val="auto"/>
          <w:highlight w:val="none"/>
          <w:u w:val="none"/>
        </w:rPr>
        <w:t>600m</w:t>
      </w:r>
      <w:r>
        <w:rPr>
          <w:rFonts w:hint="eastAsia" w:hAnsi="Times New Roman"/>
          <w:color w:val="auto"/>
          <w:highlight w:val="none"/>
          <w:u w:val="none"/>
        </w:rPr>
        <w:t>³、</w:t>
      </w:r>
      <w:r>
        <w:rPr>
          <w:rFonts w:hAnsi="Times New Roman"/>
          <w:color w:val="auto"/>
          <w:highlight w:val="none"/>
          <w:u w:val="none"/>
        </w:rPr>
        <w:t>600m</w:t>
      </w:r>
      <w:r>
        <w:rPr>
          <w:rFonts w:hint="eastAsia" w:hAnsi="Times New Roman"/>
          <w:color w:val="auto"/>
          <w:highlight w:val="none"/>
          <w:u w:val="none"/>
        </w:rPr>
        <w:t>³、</w:t>
      </w:r>
      <w:r>
        <w:rPr>
          <w:rFonts w:hAnsi="Times New Roman"/>
          <w:color w:val="auto"/>
          <w:highlight w:val="none"/>
          <w:u w:val="none"/>
        </w:rPr>
        <w:t>6000m</w:t>
      </w:r>
      <w:r>
        <w:rPr>
          <w:rFonts w:hint="eastAsia" w:hAnsi="Times New Roman"/>
          <w:color w:val="auto"/>
          <w:highlight w:val="none"/>
          <w:u w:val="none"/>
        </w:rPr>
        <w:t>³、</w:t>
      </w:r>
      <w:r>
        <w:rPr>
          <w:rFonts w:hAnsi="Times New Roman"/>
          <w:color w:val="auto"/>
          <w:highlight w:val="none"/>
          <w:u w:val="none"/>
        </w:rPr>
        <w:t>6000m</w:t>
      </w:r>
      <w:r>
        <w:rPr>
          <w:rFonts w:hint="eastAsia" w:hAnsi="Times New Roman"/>
          <w:color w:val="auto"/>
          <w:highlight w:val="none"/>
          <w:u w:val="none"/>
        </w:rPr>
        <w:t>³，事故废水进入调节池进行水质水量调节后，各废水处理单元可接受废水水质水量一定范围的波动，事故发生后，建设单位将对事故废水水质进行监测，并根据水质监测结果，按小流量分批次输送的原则，进入调节池进行水质水量调节后，送至后续物化、生化处理单元进行处理，可避免对处理系统造成冲击，保证达标排放。</w:t>
      </w:r>
      <w:r>
        <w:rPr>
          <w:rFonts w:hint="eastAsia"/>
          <w:color w:val="auto"/>
          <w:highlight w:val="none"/>
          <w:u w:val="none"/>
        </w:rPr>
        <w:t>雨污管网图见</w:t>
      </w:r>
      <w:r>
        <w:rPr>
          <w:color w:val="auto"/>
          <w:highlight w:val="none"/>
          <w:u w:val="none"/>
        </w:rPr>
        <w:fldChar w:fldCharType="begin"/>
      </w:r>
      <w:r>
        <w:rPr>
          <w:color w:val="auto"/>
          <w:highlight w:val="none"/>
          <w:u w:val="none"/>
        </w:rPr>
        <w:instrText xml:space="preserve"> REF _Ref149258867 \h </w:instrText>
      </w:r>
      <w:r>
        <w:rPr>
          <w:color w:val="auto"/>
          <w:highlight w:val="none"/>
          <w:u w:val="none"/>
        </w:rPr>
        <w:fldChar w:fldCharType="separate"/>
      </w:r>
      <w:r>
        <w:rPr>
          <w:b/>
          <w:bCs/>
          <w:color w:val="auto"/>
          <w:highlight w:val="none"/>
          <w:u w:val="none"/>
        </w:rPr>
        <w:t>图</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3.2</w:t>
      </w:r>
      <w:r>
        <w:rPr>
          <w:b/>
          <w:bCs/>
          <w:color w:val="auto"/>
          <w:highlight w:val="none"/>
          <w:u w:val="none"/>
        </w:rPr>
        <w:fldChar w:fldCharType="end"/>
      </w:r>
      <w:r>
        <w:rPr>
          <w:b/>
          <w:bCs/>
          <w:color w:val="auto"/>
          <w:highlight w:val="none"/>
          <w:u w:val="none"/>
        </w:rPr>
        <w:noBreakHyphen/>
      </w:r>
      <w:r>
        <w:rPr>
          <w:b/>
          <w:bCs/>
          <w:color w:val="auto"/>
          <w:highlight w:val="none"/>
          <w:u w:val="none"/>
        </w:rPr>
        <w:t>2</w:t>
      </w:r>
      <w:r>
        <w:rPr>
          <w:color w:val="auto"/>
          <w:highlight w:val="none"/>
          <w:u w:val="none"/>
        </w:rPr>
        <w:fldChar w:fldCharType="end"/>
      </w:r>
      <w:r>
        <w:rPr>
          <w:color w:val="auto"/>
          <w:highlight w:val="none"/>
          <w:u w:val="none"/>
        </w:rPr>
        <w:t>。</w:t>
      </w:r>
    </w:p>
    <w:p w14:paraId="609F4E6C">
      <w:pPr>
        <w:rPr>
          <w:rFonts w:hint="eastAsia"/>
          <w:color w:val="auto"/>
          <w:highlight w:val="none"/>
          <w:u w:val="none"/>
        </w:rPr>
      </w:pPr>
      <w:r>
        <w:rPr>
          <w:rFonts w:hint="eastAsia"/>
          <w:color w:val="auto"/>
          <w:highlight w:val="none"/>
          <w:u w:val="none"/>
        </w:rPr>
        <w:t>另根据现有工程环评及其批复要求，万华福建公司事故水池需与邻近企业事故水池互联互通，如本厂事故容积满负荷时，可将事故水加压送至邻近企业事故水贮存系统，邻近企业事故时也可将其事故水送至本厂事故水池存储，本厂事故水池内设置提升加压泵两台，一电一柴，柴油泵为备用泵，水泵电机性能如下：</w:t>
      </w:r>
      <w:r>
        <w:rPr>
          <w:color w:val="auto"/>
          <w:highlight w:val="none"/>
          <w:u w:val="none"/>
        </w:rPr>
        <w:t>Q=1500~2000m</w:t>
      </w:r>
      <w:r>
        <w:rPr>
          <w:color w:val="auto"/>
          <w:highlight w:val="none"/>
          <w:u w:val="none"/>
          <w:vertAlign w:val="superscript"/>
        </w:rPr>
        <w:t>3</w:t>
      </w:r>
      <w:r>
        <w:rPr>
          <w:color w:val="auto"/>
          <w:highlight w:val="none"/>
          <w:u w:val="none"/>
        </w:rPr>
        <w:t>/h，H=45~40m。</w:t>
      </w:r>
      <w:r>
        <w:rPr>
          <w:rFonts w:hint="eastAsia"/>
          <w:color w:val="auto"/>
          <w:highlight w:val="none"/>
          <w:u w:val="none"/>
        </w:rPr>
        <w:t>目前万华福建公司</w:t>
      </w:r>
      <w:r>
        <w:rPr>
          <w:color w:val="auto"/>
          <w:highlight w:val="none"/>
          <w:u w:val="none"/>
        </w:rPr>
        <w:t>事故水收集系统与</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24000m</w:t>
      </w:r>
      <w:r>
        <w:rPr>
          <w:color w:val="auto"/>
          <w:highlight w:val="none"/>
          <w:u w:val="none"/>
          <w:vertAlign w:val="superscript"/>
        </w:rPr>
        <w:t>3</w:t>
      </w:r>
      <w:r>
        <w:rPr>
          <w:color w:val="auto"/>
          <w:highlight w:val="none"/>
          <w:u w:val="none"/>
        </w:rPr>
        <w:t>消防事故水池</w:t>
      </w:r>
      <w:r>
        <w:rPr>
          <w:rFonts w:hint="eastAsia"/>
          <w:color w:val="auto"/>
          <w:highlight w:val="none"/>
          <w:u w:val="none"/>
        </w:rPr>
        <w:t>已实现</w:t>
      </w:r>
      <w:r>
        <w:rPr>
          <w:color w:val="auto"/>
          <w:highlight w:val="none"/>
          <w:u w:val="none"/>
        </w:rPr>
        <w:t>互联互通。</w:t>
      </w:r>
    </w:p>
    <w:p w14:paraId="5A90672A">
      <w:pPr>
        <w:rPr>
          <w:rFonts w:hint="eastAsia"/>
          <w:color w:val="auto"/>
          <w:highlight w:val="none"/>
          <w:u w:val="none"/>
        </w:rPr>
      </w:pPr>
      <w:r>
        <w:rPr>
          <w:rFonts w:hint="eastAsia"/>
          <w:color w:val="auto"/>
          <w:highlight w:val="none"/>
          <w:u w:val="none"/>
        </w:rPr>
        <w:t>对于含有挥发性物料的消防事故废水，出围堰或主项界区处设置水封井，水封高度不小于</w:t>
      </w:r>
      <w:r>
        <w:rPr>
          <w:color w:val="auto"/>
          <w:highlight w:val="none"/>
          <w:u w:val="none"/>
        </w:rPr>
        <w:t>250mm。</w:t>
      </w:r>
    </w:p>
    <w:p w14:paraId="70D29F9B">
      <w:pPr>
        <w:pStyle w:val="6"/>
        <w:spacing w:before="156" w:after="156"/>
        <w:rPr>
          <w:color w:val="auto"/>
          <w:highlight w:val="none"/>
          <w:u w:val="none"/>
        </w:rPr>
      </w:pPr>
      <w:bookmarkStart w:id="275" w:name="_Toc148374959"/>
      <w:bookmarkStart w:id="276" w:name="_Toc148374517"/>
      <w:r>
        <w:rPr>
          <w:color w:val="auto"/>
          <w:highlight w:val="none"/>
          <w:u w:val="none"/>
        </w:rPr>
        <w:t>供电系统</w:t>
      </w:r>
      <w:bookmarkEnd w:id="275"/>
      <w:bookmarkEnd w:id="276"/>
    </w:p>
    <w:p w14:paraId="5B41E5FB">
      <w:pPr>
        <w:pStyle w:val="981"/>
        <w:rPr>
          <w:rFonts w:hint="eastAsia"/>
          <w:color w:val="auto"/>
          <w:highlight w:val="none"/>
          <w:u w:val="none"/>
          <w:lang w:val="en-US"/>
        </w:rPr>
      </w:pPr>
      <w:r>
        <w:rPr>
          <w:rFonts w:hint="eastAsia"/>
          <w:color w:val="auto"/>
          <w:highlight w:val="none"/>
          <w:u w:val="none"/>
          <w:lang w:val="en-US"/>
        </w:rPr>
        <w:t>本次技改扩能依托现有TDI一期装置区供电系统。</w:t>
      </w:r>
    </w:p>
    <w:p w14:paraId="0A20C4F3">
      <w:pPr>
        <w:pStyle w:val="981"/>
        <w:rPr>
          <w:rFonts w:hint="eastAsia"/>
          <w:color w:val="auto"/>
          <w:highlight w:val="none"/>
          <w:u w:val="none"/>
        </w:rPr>
      </w:pPr>
      <w:r>
        <w:rPr>
          <w:rFonts w:hint="eastAsia"/>
          <w:color w:val="auto"/>
          <w:highlight w:val="none"/>
          <w:u w:val="none"/>
        </w:rPr>
        <w:t>本项目位于福州江阴港城经济区，目前</w:t>
      </w:r>
      <w:r>
        <w:rPr>
          <w:color w:val="auto"/>
          <w:highlight w:val="none"/>
          <w:u w:val="none"/>
        </w:rPr>
        <w:t>该区域电网220kV公用变电站2座，分别为220kV顺宝变和220kV美得专用变；110kV公用变电站2座，分别为何厝变、南曹变，110kV专用变电站4座，分别为天辰变、耀隆变、东南电化变、新福兴变。区域内现有江阴电厂（1200MW）作为省网主力电源通过500kV向主网供电，另有江阴风电场（14MW）及天辰耀隆（60MW）、东南电化（52MW）2座自备电厂。片区公用电网最大负荷为271MW，年用电</w:t>
      </w:r>
      <w:r>
        <w:rPr>
          <w:rFonts w:hint="eastAsia"/>
          <w:color w:val="auto"/>
          <w:highlight w:val="none"/>
          <w:u w:val="none"/>
        </w:rPr>
        <w:t>量</w:t>
      </w:r>
      <w:r>
        <w:rPr>
          <w:color w:val="auto"/>
          <w:highlight w:val="none"/>
          <w:u w:val="none"/>
        </w:rPr>
        <w:t>17.6亿kWh。</w:t>
      </w:r>
    </w:p>
    <w:p w14:paraId="26304DEF">
      <w:pPr>
        <w:pStyle w:val="981"/>
        <w:rPr>
          <w:rFonts w:hint="eastAsia"/>
          <w:color w:val="auto"/>
          <w:highlight w:val="none"/>
          <w:u w:val="none"/>
        </w:rPr>
      </w:pPr>
      <w:r>
        <w:rPr>
          <w:rFonts w:hint="eastAsia"/>
          <w:color w:val="auto"/>
          <w:highlight w:val="none"/>
          <w:u w:val="none"/>
        </w:rPr>
        <w:t>万华福建公司内设</w:t>
      </w:r>
      <w:r>
        <w:rPr>
          <w:color w:val="auto"/>
          <w:highlight w:val="none"/>
          <w:u w:val="none"/>
        </w:rPr>
        <w:t>220kV盛华变一座，由顺宝变不同220kV母线段敷设2回220kV线路对盛华变供电，外电源采用双重电源满足</w:t>
      </w:r>
      <w:r>
        <w:rPr>
          <w:rFonts w:hint="eastAsia"/>
          <w:color w:val="auto"/>
          <w:highlight w:val="none"/>
          <w:u w:val="none"/>
        </w:rPr>
        <w:t>厂内</w:t>
      </w:r>
      <w:r>
        <w:rPr>
          <w:color w:val="auto"/>
          <w:highlight w:val="none"/>
          <w:u w:val="none"/>
        </w:rPr>
        <w:t>项目用电需求。</w:t>
      </w:r>
    </w:p>
    <w:p w14:paraId="262A9162">
      <w:pPr>
        <w:pStyle w:val="981"/>
        <w:rPr>
          <w:rFonts w:hint="eastAsia"/>
          <w:color w:val="auto"/>
          <w:highlight w:val="none"/>
          <w:u w:val="none"/>
        </w:rPr>
      </w:pPr>
      <w:r>
        <w:rPr>
          <w:color w:val="auto"/>
          <w:highlight w:val="none"/>
          <w:u w:val="none"/>
        </w:rPr>
        <w:t>TDI装置区建有35kV变电所一座，变电所两回35kV电源分别引自220kV盛华变不同35kV母线段，供电系统电压等级为10/0.69kV、10/0.4kV，各电压等级均采用单母线分段接线形式。所内设2台35/10kV 50000kVA变压器和8台10/0.69kV 3150kVA变压器、2台10/0.4kV 2500kVA变压器，变压器富余容量可满足TDI装置新增负荷需求。变电所内设1444kW柴油发电机两套，为重要的一级负荷提供备用应急电源。</w:t>
      </w:r>
    </w:p>
    <w:p w14:paraId="4A1821FC">
      <w:pPr>
        <w:pStyle w:val="6"/>
        <w:spacing w:before="156" w:after="156"/>
        <w:rPr>
          <w:color w:val="auto"/>
          <w:highlight w:val="none"/>
          <w:u w:val="none"/>
        </w:rPr>
      </w:pPr>
      <w:bookmarkStart w:id="277" w:name="_Toc148374960"/>
      <w:bookmarkStart w:id="278" w:name="_Toc148374518"/>
      <w:r>
        <w:rPr>
          <w:rFonts w:hint="eastAsia"/>
          <w:color w:val="auto"/>
          <w:highlight w:val="none"/>
          <w:u w:val="none"/>
        </w:rPr>
        <w:t>供热系统</w:t>
      </w:r>
      <w:bookmarkEnd w:id="277"/>
      <w:bookmarkEnd w:id="278"/>
    </w:p>
    <w:p w14:paraId="1ADCA208">
      <w:pPr>
        <w:pStyle w:val="981"/>
        <w:rPr>
          <w:rFonts w:hint="eastAsia"/>
          <w:color w:val="auto"/>
          <w:highlight w:val="none"/>
          <w:u w:val="none"/>
          <w:lang w:val="en-US"/>
        </w:rPr>
      </w:pPr>
      <w:r>
        <w:rPr>
          <w:rFonts w:hint="eastAsia"/>
          <w:color w:val="auto"/>
          <w:highlight w:val="none"/>
          <w:u w:val="none"/>
          <w:lang w:val="en-US"/>
        </w:rPr>
        <w:t>TDI一期</w:t>
      </w:r>
      <w:r>
        <w:rPr>
          <w:rFonts w:hint="eastAsia"/>
          <w:color w:val="auto"/>
          <w:highlight w:val="none"/>
          <w:u w:val="none"/>
        </w:rPr>
        <w:t>供热范围是硝化工序、氢化工序、光化工序。供热介质为蒸汽，由福建省东南电化股份有限公司现有热电站、万华福建公司气体装置地块、万华福建公司硝苯装置、万华环保科技公司能量回收装置并网后提供。</w:t>
      </w:r>
      <w:r>
        <w:rPr>
          <w:rFonts w:hint="eastAsia"/>
          <w:color w:val="auto"/>
          <w:highlight w:val="none"/>
          <w:u w:val="none"/>
          <w:lang w:val="en-US"/>
        </w:rPr>
        <w:t>本次技改扩能未超过其供热范围，依托现有工程。</w:t>
      </w:r>
    </w:p>
    <w:p w14:paraId="56C966E6">
      <w:pPr>
        <w:pStyle w:val="6"/>
        <w:spacing w:before="156" w:after="156"/>
        <w:rPr>
          <w:color w:val="auto"/>
          <w:highlight w:val="none"/>
          <w:u w:val="none"/>
        </w:rPr>
      </w:pPr>
      <w:bookmarkStart w:id="279" w:name="_Toc148374519"/>
      <w:bookmarkStart w:id="280" w:name="_Toc148374961"/>
      <w:r>
        <w:rPr>
          <w:rFonts w:hint="eastAsia"/>
          <w:color w:val="auto"/>
          <w:highlight w:val="none"/>
          <w:u w:val="none"/>
        </w:rPr>
        <w:t>供气系统</w:t>
      </w:r>
      <w:bookmarkEnd w:id="279"/>
      <w:bookmarkEnd w:id="280"/>
    </w:p>
    <w:p w14:paraId="077D640B">
      <w:pPr>
        <w:pStyle w:val="981"/>
        <w:rPr>
          <w:rFonts w:hint="eastAsia"/>
          <w:color w:val="auto"/>
          <w:highlight w:val="none"/>
          <w:u w:val="none"/>
        </w:rPr>
      </w:pPr>
      <w:r>
        <w:rPr>
          <w:rFonts w:hint="eastAsia"/>
          <w:color w:val="auto"/>
          <w:highlight w:val="none"/>
          <w:u w:val="none"/>
        </w:rPr>
        <w:t>本项目所需仪表空气、压缩空气、氮气等由万华</w:t>
      </w:r>
      <w:r>
        <w:rPr>
          <w:rFonts w:hint="eastAsia"/>
          <w:color w:val="auto"/>
          <w:highlight w:val="none"/>
          <w:u w:val="none"/>
          <w:lang w:val="en-US"/>
        </w:rPr>
        <w:t>码头</w:t>
      </w:r>
      <w:r>
        <w:rPr>
          <w:rFonts w:hint="eastAsia"/>
          <w:color w:val="auto"/>
          <w:highlight w:val="none"/>
          <w:u w:val="none"/>
        </w:rPr>
        <w:t>公司现有空压站和万华福建公司气体</w:t>
      </w:r>
      <w:r>
        <w:rPr>
          <w:rFonts w:hint="eastAsia"/>
          <w:color w:val="auto"/>
          <w:highlight w:val="none"/>
          <w:u w:val="none"/>
          <w:lang w:val="en-US"/>
        </w:rPr>
        <w:t>装置地块</w:t>
      </w:r>
      <w:r>
        <w:rPr>
          <w:rFonts w:hint="eastAsia"/>
          <w:color w:val="auto"/>
          <w:highlight w:val="none"/>
          <w:u w:val="none"/>
        </w:rPr>
        <w:t>并网后提供，本项目不需要</w:t>
      </w:r>
      <w:r>
        <w:rPr>
          <w:rFonts w:hint="eastAsia"/>
          <w:color w:val="auto"/>
          <w:highlight w:val="none"/>
          <w:u w:val="none"/>
          <w:lang w:val="en-US"/>
        </w:rPr>
        <w:t>新增</w:t>
      </w:r>
      <w:r>
        <w:rPr>
          <w:rFonts w:hint="eastAsia"/>
          <w:color w:val="auto"/>
          <w:highlight w:val="none"/>
          <w:u w:val="none"/>
        </w:rPr>
        <w:t>建设空分、空压站。</w:t>
      </w:r>
    </w:p>
    <w:p w14:paraId="3522812E">
      <w:pPr>
        <w:pStyle w:val="6"/>
        <w:spacing w:before="156" w:after="156"/>
        <w:rPr>
          <w:color w:val="auto"/>
          <w:highlight w:val="none"/>
          <w:u w:val="none"/>
        </w:rPr>
      </w:pPr>
      <w:bookmarkStart w:id="281" w:name="_Toc148374962"/>
      <w:bookmarkStart w:id="282" w:name="_Toc148374520"/>
      <w:r>
        <w:rPr>
          <w:rFonts w:hint="eastAsia"/>
          <w:color w:val="auto"/>
          <w:highlight w:val="none"/>
          <w:u w:val="none"/>
        </w:rPr>
        <w:t>制冷系统</w:t>
      </w:r>
      <w:bookmarkEnd w:id="281"/>
      <w:bookmarkEnd w:id="282"/>
    </w:p>
    <w:p w14:paraId="07C292A3">
      <w:pPr>
        <w:rPr>
          <w:rFonts w:hint="eastAsia"/>
          <w:color w:val="auto"/>
          <w:highlight w:val="none"/>
          <w:u w:val="none"/>
          <w:lang w:val="en-US"/>
        </w:rPr>
      </w:pPr>
      <w:r>
        <w:rPr>
          <w:rFonts w:hint="eastAsia"/>
          <w:color w:val="auto"/>
          <w:highlight w:val="none"/>
          <w:u w:val="none"/>
          <w:lang w:val="en-US"/>
        </w:rPr>
        <w:t>本次技改扩能依托现有冷冻站。</w:t>
      </w:r>
    </w:p>
    <w:p w14:paraId="4E803149">
      <w:pPr>
        <w:rPr>
          <w:rFonts w:hint="eastAsia"/>
          <w:color w:val="auto"/>
          <w:highlight w:val="none"/>
          <w:u w:val="none"/>
        </w:rPr>
      </w:pPr>
      <w:r>
        <w:rPr>
          <w:color w:val="auto"/>
          <w:highlight w:val="none"/>
          <w:u w:val="none"/>
        </w:rPr>
        <w:t>冷冻站内设置7℃制冷系统和-15℃制冷系统。</w:t>
      </w:r>
    </w:p>
    <w:p w14:paraId="6DB0D07B">
      <w:pPr>
        <w:pStyle w:val="6"/>
        <w:spacing w:before="156" w:after="156"/>
        <w:rPr>
          <w:color w:val="auto"/>
          <w:highlight w:val="none"/>
          <w:u w:val="none"/>
        </w:rPr>
      </w:pPr>
      <w:bookmarkStart w:id="283" w:name="_Toc148374963"/>
      <w:bookmarkStart w:id="284" w:name="_Toc148374521"/>
      <w:r>
        <w:rPr>
          <w:rFonts w:hint="eastAsia"/>
          <w:color w:val="auto"/>
          <w:highlight w:val="none"/>
          <w:u w:val="none"/>
        </w:rPr>
        <w:t>消防系统</w:t>
      </w:r>
      <w:bookmarkEnd w:id="283"/>
      <w:bookmarkEnd w:id="284"/>
    </w:p>
    <w:p w14:paraId="333B0209">
      <w:pPr>
        <w:rPr>
          <w:rFonts w:hint="eastAsia"/>
          <w:color w:val="auto"/>
          <w:highlight w:val="none"/>
          <w:u w:val="none"/>
        </w:rPr>
      </w:pPr>
      <w:r>
        <w:rPr>
          <w:rFonts w:hint="eastAsia"/>
          <w:color w:val="auto"/>
          <w:highlight w:val="none"/>
          <w:u w:val="none"/>
        </w:rPr>
        <w:t>（</w:t>
      </w:r>
      <w:r>
        <w:rPr>
          <w:color w:val="auto"/>
          <w:highlight w:val="none"/>
          <w:u w:val="none"/>
        </w:rPr>
        <w:t>1）消防给水</w:t>
      </w:r>
    </w:p>
    <w:p w14:paraId="79C9D6C7">
      <w:pPr>
        <w:rPr>
          <w:rFonts w:hint="eastAsia"/>
          <w:color w:val="auto"/>
          <w:highlight w:val="none"/>
          <w:u w:val="none"/>
        </w:rPr>
      </w:pPr>
      <w:r>
        <w:rPr>
          <w:rFonts w:hint="eastAsia"/>
          <w:color w:val="auto"/>
          <w:highlight w:val="none"/>
          <w:u w:val="none"/>
        </w:rPr>
        <w:t>本项目消防给水依托万华</w:t>
      </w:r>
      <w:r>
        <w:rPr>
          <w:rFonts w:hint="eastAsia"/>
          <w:color w:val="auto"/>
          <w:highlight w:val="none"/>
          <w:u w:val="none"/>
          <w:lang w:val="en-US"/>
        </w:rPr>
        <w:t>环保科技</w:t>
      </w:r>
      <w:r>
        <w:rPr>
          <w:rFonts w:hint="eastAsia"/>
          <w:color w:val="auto"/>
          <w:highlight w:val="none"/>
          <w:u w:val="none"/>
        </w:rPr>
        <w:t>公司的</w:t>
      </w:r>
      <w:r>
        <w:rPr>
          <w:color w:val="auto"/>
          <w:highlight w:val="none"/>
          <w:u w:val="none"/>
        </w:rPr>
        <w:t>2座11000m</w:t>
      </w:r>
      <w:r>
        <w:rPr>
          <w:color w:val="auto"/>
          <w:highlight w:val="none"/>
          <w:u w:val="none"/>
          <w:vertAlign w:val="superscript"/>
        </w:rPr>
        <w:t>3</w:t>
      </w:r>
      <w:r>
        <w:rPr>
          <w:color w:val="auto"/>
          <w:highlight w:val="none"/>
          <w:u w:val="none"/>
        </w:rPr>
        <w:t>的消防水罐，地上布置，消防贮水达到20000m</w:t>
      </w:r>
      <w:r>
        <w:rPr>
          <w:color w:val="auto"/>
          <w:highlight w:val="none"/>
          <w:u w:val="none"/>
          <w:vertAlign w:val="superscript"/>
        </w:rPr>
        <w:t>3</w:t>
      </w:r>
      <w:r>
        <w:rPr>
          <w:color w:val="auto"/>
          <w:highlight w:val="none"/>
          <w:u w:val="none"/>
        </w:rPr>
        <w:t>。消防给水采用稳高压消防给水系统，系统供水压力不小于1.0MPa，消防用水量不小于200L/s</w:t>
      </w:r>
      <w:r>
        <w:rPr>
          <w:rFonts w:hint="eastAsia"/>
          <w:color w:val="auto"/>
          <w:highlight w:val="none"/>
          <w:u w:val="none"/>
        </w:rPr>
        <w:t>，</w:t>
      </w:r>
      <w:r>
        <w:rPr>
          <w:color w:val="auto"/>
          <w:highlight w:val="none"/>
          <w:u w:val="none"/>
        </w:rPr>
        <w:t>火灾延续供水时间：</w:t>
      </w:r>
      <w:r>
        <w:rPr>
          <w:rFonts w:hint="eastAsia"/>
          <w:color w:val="auto"/>
          <w:highlight w:val="none"/>
          <w:u w:val="none"/>
        </w:rPr>
        <w:t>工艺</w:t>
      </w:r>
      <w:r>
        <w:rPr>
          <w:color w:val="auto"/>
          <w:highlight w:val="none"/>
          <w:u w:val="none"/>
        </w:rPr>
        <w:t>装置区3h；罐区4h。一次消防用水量不小于3000m</w:t>
      </w:r>
      <w:r>
        <w:rPr>
          <w:color w:val="auto"/>
          <w:highlight w:val="none"/>
          <w:u w:val="none"/>
          <w:vertAlign w:val="superscript"/>
        </w:rPr>
        <w:t>3</w:t>
      </w:r>
      <w:r>
        <w:rPr>
          <w:color w:val="auto"/>
          <w:highlight w:val="none"/>
          <w:u w:val="none"/>
        </w:rPr>
        <w:t>。</w:t>
      </w:r>
    </w:p>
    <w:p w14:paraId="4F418362">
      <w:pPr>
        <w:rPr>
          <w:rFonts w:hint="eastAsia"/>
          <w:color w:val="auto"/>
          <w:highlight w:val="none"/>
          <w:u w:val="none"/>
        </w:rPr>
      </w:pPr>
      <w:r>
        <w:rPr>
          <w:rFonts w:hint="eastAsia"/>
          <w:color w:val="auto"/>
          <w:highlight w:val="none"/>
          <w:u w:val="none"/>
        </w:rPr>
        <w:t>本项目室外消防给水管网按独立环状布置，且与厂区消防环网相连。管网上设地上式室外消火栓，每个室外消火栓旁设室外消火栓箱。消火栓间距不大于</w:t>
      </w:r>
      <w:r>
        <w:rPr>
          <w:color w:val="auto"/>
          <w:highlight w:val="none"/>
          <w:u w:val="none"/>
        </w:rPr>
        <w:t>60m。建筑物内设室内消火栓，消防水由室外消防管网直接供给。</w:t>
      </w:r>
    </w:p>
    <w:p w14:paraId="1F5A2071">
      <w:pPr>
        <w:rPr>
          <w:rFonts w:hint="eastAsia"/>
          <w:color w:val="auto"/>
          <w:highlight w:val="none"/>
          <w:u w:val="none"/>
        </w:rPr>
      </w:pPr>
      <w:r>
        <w:rPr>
          <w:rFonts w:hint="eastAsia"/>
          <w:color w:val="auto"/>
          <w:highlight w:val="none"/>
          <w:u w:val="none"/>
        </w:rPr>
        <w:t>工艺生产装置区四周设置固定式消防水炮，对该区域实行控制性保护。高度超过</w:t>
      </w:r>
      <w:r>
        <w:rPr>
          <w:color w:val="auto"/>
          <w:highlight w:val="none"/>
          <w:u w:val="none"/>
        </w:rPr>
        <w:t>15</w:t>
      </w:r>
      <w:r>
        <w:rPr>
          <w:rFonts w:hint="eastAsia"/>
          <w:color w:val="auto"/>
          <w:highlight w:val="none"/>
          <w:u w:val="none"/>
        </w:rPr>
        <w:t>m</w:t>
      </w:r>
      <w:r>
        <w:rPr>
          <w:color w:val="auto"/>
          <w:highlight w:val="none"/>
          <w:u w:val="none"/>
        </w:rPr>
        <w:t>的工艺装置设备框架平台设消防竖管。</w:t>
      </w:r>
      <w:r>
        <w:rPr>
          <w:rFonts w:hint="eastAsia"/>
          <w:color w:val="auto"/>
          <w:highlight w:val="none"/>
          <w:u w:val="none"/>
        </w:rPr>
        <w:t>本项目消防水枪（水炮）均采用水</w:t>
      </w:r>
      <w:r>
        <w:rPr>
          <w:color w:val="auto"/>
          <w:highlight w:val="none"/>
          <w:u w:val="none"/>
        </w:rPr>
        <w:t>/雾两用型。</w:t>
      </w:r>
    </w:p>
    <w:p w14:paraId="5F9B60B9">
      <w:pPr>
        <w:rPr>
          <w:rFonts w:hint="eastAsia"/>
          <w:color w:val="auto"/>
          <w:highlight w:val="none"/>
          <w:u w:val="none"/>
        </w:rPr>
      </w:pPr>
      <w:r>
        <w:rPr>
          <w:rFonts w:hint="eastAsia"/>
          <w:color w:val="auto"/>
          <w:highlight w:val="none"/>
          <w:u w:val="none"/>
        </w:rPr>
        <w:t>（</w:t>
      </w:r>
      <w:r>
        <w:rPr>
          <w:color w:val="auto"/>
          <w:highlight w:val="none"/>
          <w:u w:val="none"/>
        </w:rPr>
        <w:t>2）泡沫消防系统</w:t>
      </w:r>
    </w:p>
    <w:p w14:paraId="66DA7298">
      <w:pPr>
        <w:rPr>
          <w:rFonts w:hint="eastAsia"/>
          <w:color w:val="auto"/>
          <w:highlight w:val="none"/>
          <w:u w:val="none"/>
        </w:rPr>
      </w:pPr>
      <w:r>
        <w:rPr>
          <w:rFonts w:hint="eastAsia"/>
          <w:color w:val="auto"/>
          <w:highlight w:val="none"/>
          <w:u w:val="none"/>
        </w:rPr>
        <w:t>本项目依托硝苯项目泡沫站</w:t>
      </w:r>
      <w:r>
        <w:rPr>
          <w:color w:val="auto"/>
          <w:highlight w:val="none"/>
          <w:u w:val="none"/>
        </w:rPr>
        <w:t>，泡沫混合液供给量不小于48L/s，混合比按3%计，采用抗溶性泡沫原液，连续供给时间30min。装置区设置室外泡沫消火栓及泡沫栓箱，泡沫栓间距不大于60m。泡沫管线枝状布置。</w:t>
      </w:r>
    </w:p>
    <w:p w14:paraId="656B25CE">
      <w:pPr>
        <w:rPr>
          <w:rFonts w:hint="eastAsia"/>
          <w:color w:val="auto"/>
          <w:highlight w:val="none"/>
          <w:u w:val="none"/>
        </w:rPr>
      </w:pPr>
      <w:r>
        <w:rPr>
          <w:rFonts w:hint="eastAsia"/>
          <w:color w:val="auto"/>
          <w:highlight w:val="none"/>
          <w:u w:val="none"/>
        </w:rPr>
        <w:t>（</w:t>
      </w:r>
      <w:r>
        <w:rPr>
          <w:color w:val="auto"/>
          <w:highlight w:val="none"/>
          <w:u w:val="none"/>
        </w:rPr>
        <w:t>3）移动式灭火设施</w:t>
      </w:r>
    </w:p>
    <w:p w14:paraId="5A9641F3">
      <w:pPr>
        <w:rPr>
          <w:rFonts w:hint="eastAsia"/>
          <w:color w:val="auto"/>
          <w:highlight w:val="none"/>
          <w:u w:val="none"/>
        </w:rPr>
      </w:pPr>
      <w:r>
        <w:rPr>
          <w:rFonts w:hint="eastAsia"/>
          <w:color w:val="auto"/>
          <w:highlight w:val="none"/>
          <w:u w:val="none"/>
        </w:rPr>
        <w:t>依据国家现行的有关消防法规的要求，针对不同的对象在本工程范围内配置一定数量的移动式灭火设备和器材。装置各单元按照《石油化工企业设计防火标准》（</w:t>
      </w:r>
      <w:r>
        <w:rPr>
          <w:color w:val="auto"/>
          <w:highlight w:val="none"/>
          <w:u w:val="none"/>
        </w:rPr>
        <w:t>GB50160-2008</w:t>
      </w:r>
      <w:r>
        <w:rPr>
          <w:rFonts w:hint="eastAsia"/>
          <w:color w:val="auto"/>
          <w:highlight w:val="none"/>
          <w:u w:val="none"/>
        </w:rPr>
        <w:t>）</w:t>
      </w:r>
      <w:r>
        <w:rPr>
          <w:color w:val="auto"/>
          <w:highlight w:val="none"/>
          <w:u w:val="none"/>
        </w:rPr>
        <w:t>和《建筑灭火器配置设计规范》</w:t>
      </w:r>
      <w:r>
        <w:rPr>
          <w:rFonts w:hint="eastAsia"/>
          <w:color w:val="auto"/>
          <w:highlight w:val="none"/>
          <w:u w:val="none"/>
        </w:rPr>
        <w:t>（</w:t>
      </w:r>
      <w:r>
        <w:rPr>
          <w:color w:val="auto"/>
          <w:highlight w:val="none"/>
          <w:u w:val="none"/>
        </w:rPr>
        <w:t>GB50140-2005</w:t>
      </w:r>
      <w:r>
        <w:rPr>
          <w:rFonts w:hint="eastAsia"/>
          <w:color w:val="auto"/>
          <w:highlight w:val="none"/>
          <w:u w:val="none"/>
        </w:rPr>
        <w:t>）</w:t>
      </w:r>
      <w:r>
        <w:rPr>
          <w:color w:val="auto"/>
          <w:highlight w:val="none"/>
          <w:u w:val="none"/>
        </w:rPr>
        <w:t>的要求配置灭火器，灭火器放置在专用灭火器箱内。</w:t>
      </w:r>
    </w:p>
    <w:p w14:paraId="516CF99E">
      <w:pPr>
        <w:rPr>
          <w:rFonts w:hint="eastAsia"/>
          <w:color w:val="auto"/>
          <w:highlight w:val="none"/>
          <w:u w:val="none"/>
        </w:rPr>
      </w:pPr>
      <w:r>
        <w:rPr>
          <w:rFonts w:hint="eastAsia"/>
          <w:color w:val="auto"/>
          <w:highlight w:val="none"/>
          <w:u w:val="none"/>
        </w:rPr>
        <w:t>（</w:t>
      </w:r>
      <w:r>
        <w:rPr>
          <w:color w:val="auto"/>
          <w:highlight w:val="none"/>
          <w:u w:val="none"/>
        </w:rPr>
        <w:t>4）消防废水</w:t>
      </w:r>
    </w:p>
    <w:p w14:paraId="5CB10347">
      <w:pPr>
        <w:rPr>
          <w:rFonts w:hint="eastAsia"/>
          <w:color w:val="auto"/>
          <w:highlight w:val="none"/>
          <w:u w:val="none"/>
        </w:rPr>
      </w:pPr>
      <w:r>
        <w:rPr>
          <w:rFonts w:hint="eastAsia"/>
          <w:color w:val="auto"/>
          <w:highlight w:val="none"/>
          <w:u w:val="none"/>
        </w:rPr>
        <w:t>详见</w:t>
      </w:r>
      <w:r>
        <w:rPr>
          <w:color w:val="auto"/>
          <w:highlight w:val="none"/>
          <w:u w:val="none"/>
        </w:rPr>
        <w:t>4.8.1.2</w:t>
      </w:r>
      <w:r>
        <w:rPr>
          <w:rFonts w:hint="eastAsia"/>
          <w:color w:val="auto"/>
          <w:highlight w:val="none"/>
          <w:u w:val="none"/>
        </w:rPr>
        <w:t>小节</w:t>
      </w:r>
      <w:r>
        <w:rPr>
          <w:color w:val="auto"/>
          <w:highlight w:val="none"/>
          <w:u w:val="none"/>
        </w:rPr>
        <w:t>（5）</w:t>
      </w:r>
      <w:r>
        <w:rPr>
          <w:rFonts w:hint="eastAsia"/>
          <w:color w:val="auto"/>
          <w:highlight w:val="none"/>
          <w:u w:val="none"/>
        </w:rPr>
        <w:t>中</w:t>
      </w:r>
      <w:r>
        <w:rPr>
          <w:color w:val="auto"/>
          <w:highlight w:val="none"/>
          <w:u w:val="none"/>
        </w:rPr>
        <w:t>事故废水收集系统描述。</w:t>
      </w:r>
    </w:p>
    <w:p w14:paraId="0DD7B5AE">
      <w:pPr>
        <w:pStyle w:val="6"/>
        <w:spacing w:before="156" w:after="156"/>
        <w:rPr>
          <w:color w:val="auto"/>
          <w:highlight w:val="none"/>
          <w:u w:val="none"/>
        </w:rPr>
      </w:pPr>
      <w:bookmarkStart w:id="285" w:name="_Toc148374964"/>
      <w:bookmarkStart w:id="286" w:name="_Toc148374522"/>
      <w:r>
        <w:rPr>
          <w:color w:val="auto"/>
          <w:highlight w:val="none"/>
          <w:u w:val="none"/>
        </w:rPr>
        <w:t>污水处理系统</w:t>
      </w:r>
      <w:bookmarkEnd w:id="285"/>
      <w:bookmarkEnd w:id="286"/>
    </w:p>
    <w:p w14:paraId="2761837E">
      <w:pPr>
        <w:rPr>
          <w:rFonts w:hint="eastAsia"/>
          <w:color w:val="auto"/>
          <w:highlight w:val="none"/>
          <w:u w:val="none"/>
          <w:lang w:val="en-US"/>
        </w:rPr>
      </w:pPr>
      <w:r>
        <w:rPr>
          <w:rFonts w:hint="eastAsia"/>
          <w:color w:val="auto"/>
          <w:highlight w:val="none"/>
          <w:u w:val="none"/>
          <w:lang w:val="en-US"/>
        </w:rPr>
        <w:t>本项目技改扩能不改变污水排放方式和去向。</w:t>
      </w:r>
    </w:p>
    <w:p w14:paraId="62FE43DA">
      <w:pPr>
        <w:rPr>
          <w:rFonts w:hint="eastAsia"/>
          <w:color w:val="auto"/>
          <w:highlight w:val="none"/>
          <w:u w:val="none"/>
        </w:rPr>
      </w:pPr>
      <w:r>
        <w:rPr>
          <w:rFonts w:hint="eastAsia"/>
          <w:color w:val="auto"/>
          <w:highlight w:val="none"/>
          <w:u w:val="none"/>
        </w:rPr>
        <w:t>污水处理采用分质分流分类处理。</w:t>
      </w:r>
    </w:p>
    <w:p w14:paraId="4F7DDC2F">
      <w:pPr>
        <w:rPr>
          <w:rFonts w:hint="eastAsia"/>
          <w:color w:val="auto"/>
          <w:highlight w:val="none"/>
          <w:u w:val="none"/>
        </w:rPr>
      </w:pPr>
      <w:r>
        <w:rPr>
          <w:rFonts w:hint="eastAsia"/>
          <w:color w:val="auto"/>
          <w:highlight w:val="none"/>
          <w:u w:val="none"/>
        </w:rPr>
        <w:t>本项目汽提酸性废水通过厂内废水预处理单元预处理后，与硝硫浓缩酸性废水、废酸浓缩酸性废水、</w:t>
      </w:r>
      <w:r>
        <w:rPr>
          <w:color w:val="auto"/>
          <w:highlight w:val="none"/>
          <w:u w:val="none"/>
        </w:rPr>
        <w:t>TDA废水</w:t>
      </w:r>
      <w:r>
        <w:rPr>
          <w:rFonts w:hint="eastAsia"/>
          <w:color w:val="auto"/>
          <w:highlight w:val="none"/>
          <w:u w:val="none"/>
        </w:rPr>
        <w:t>、</w:t>
      </w:r>
      <w:r>
        <w:rPr>
          <w:color w:val="auto"/>
          <w:highlight w:val="none"/>
          <w:u w:val="none"/>
        </w:rPr>
        <w:t>光化中和废水</w:t>
      </w:r>
      <w:r>
        <w:rPr>
          <w:rFonts w:hint="eastAsia"/>
          <w:color w:val="auto"/>
          <w:highlight w:val="none"/>
          <w:u w:val="none"/>
        </w:rPr>
        <w:t>、</w:t>
      </w:r>
      <w:r>
        <w:rPr>
          <w:rFonts w:hint="eastAsia"/>
          <w:color w:val="auto"/>
          <w:highlight w:val="none"/>
          <w:u w:val="none"/>
          <w:lang w:val="en-US"/>
        </w:rPr>
        <w:t>设备清洗废水</w:t>
      </w:r>
      <w:r>
        <w:rPr>
          <w:color w:val="auto"/>
          <w:highlight w:val="none"/>
          <w:u w:val="none"/>
        </w:rPr>
        <w:t>一同委托</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污水处理站综合废水处理系统处理，处理达标后通过</w:t>
      </w:r>
      <w:r>
        <w:rPr>
          <w:rFonts w:hint="eastAsia"/>
          <w:color w:val="auto"/>
          <w:highlight w:val="none"/>
          <w:u w:val="none"/>
          <w:lang w:eastAsia="zh-CN"/>
        </w:rPr>
        <w:t>福州江阴港城经济区</w:t>
      </w:r>
      <w:r>
        <w:rPr>
          <w:color w:val="auto"/>
          <w:highlight w:val="none"/>
          <w:u w:val="none"/>
        </w:rPr>
        <w:t>污水处理厂已建</w:t>
      </w:r>
      <w:r>
        <w:rPr>
          <w:rFonts w:hint="eastAsia"/>
          <w:color w:val="auto"/>
          <w:highlight w:val="none"/>
          <w:u w:val="none"/>
        </w:rPr>
        <w:t>的尾水</w:t>
      </w:r>
      <w:r>
        <w:rPr>
          <w:color w:val="auto"/>
          <w:highlight w:val="none"/>
          <w:u w:val="none"/>
        </w:rPr>
        <w:t>排海管道排海</w:t>
      </w:r>
      <w:r>
        <w:rPr>
          <w:rFonts w:hint="eastAsia"/>
          <w:color w:val="auto"/>
          <w:highlight w:val="none"/>
          <w:u w:val="none"/>
        </w:rPr>
        <w:t>。</w:t>
      </w:r>
    </w:p>
    <w:p w14:paraId="2A74D6AF">
      <w:pPr>
        <w:rPr>
          <w:rFonts w:hint="eastAsia"/>
          <w:color w:val="auto"/>
          <w:highlight w:val="none"/>
          <w:u w:val="none"/>
        </w:rPr>
      </w:pPr>
      <w:r>
        <w:rPr>
          <w:rFonts w:hint="eastAsia"/>
          <w:color w:val="auto"/>
          <w:highlight w:val="none"/>
          <w:u w:val="none"/>
        </w:rPr>
        <w:t>红水废水通过厂内废水预处理单元预处理后，送往万华福建公司气体扩能改造项目（位于气体装置地块）作为水煤浆气化原料；当气体扩能改造项目进行检修无法接收废水时，红水废水临时进入万华环保科技公司综合废水处理系统处理进行处理。</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w:t>
      </w:r>
      <w:r>
        <w:rPr>
          <w:rFonts w:hint="eastAsia"/>
          <w:color w:val="auto"/>
          <w:highlight w:val="none"/>
          <w:u w:val="none"/>
        </w:rPr>
        <w:t>。</w:t>
      </w:r>
    </w:p>
    <w:p w14:paraId="5F5CC8B8">
      <w:pPr>
        <w:rPr>
          <w:rFonts w:hint="eastAsia"/>
          <w:color w:val="auto"/>
          <w:highlight w:val="none"/>
          <w:u w:val="none"/>
        </w:rPr>
      </w:pPr>
      <w:r>
        <w:rPr>
          <w:color w:val="auto"/>
          <w:highlight w:val="none"/>
          <w:u w:val="none"/>
        </w:rPr>
        <w:t>地面冲洗水</w:t>
      </w:r>
      <w:r>
        <w:rPr>
          <w:rFonts w:hint="eastAsia"/>
          <w:color w:val="auto"/>
          <w:highlight w:val="none"/>
          <w:u w:val="none"/>
        </w:rPr>
        <w:t>、</w:t>
      </w:r>
      <w:r>
        <w:rPr>
          <w:color w:val="auto"/>
          <w:highlight w:val="none"/>
          <w:u w:val="none"/>
        </w:rPr>
        <w:t>办公及生活污水和初期雨水委托</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污水处理站低浓度废水处理系统处理，处理后</w:t>
      </w:r>
      <w:r>
        <w:rPr>
          <w:rFonts w:hint="eastAsia"/>
          <w:color w:val="auto"/>
          <w:highlight w:val="none"/>
          <w:u w:val="none"/>
        </w:rPr>
        <w:t>尾水进入编组站废水处理系统进一步处理后回用于万华福建产业园内各循环冷却水系统补充水，编组站废水处理系统中水回用装置的浓水处理达标后通过福州江阴港城经济区污水处理厂已建的尾水排海管道排海</w:t>
      </w:r>
      <w:r>
        <w:rPr>
          <w:color w:val="auto"/>
          <w:highlight w:val="none"/>
          <w:u w:val="none"/>
        </w:rPr>
        <w:t>。</w:t>
      </w:r>
    </w:p>
    <w:p w14:paraId="7D12B605">
      <w:pPr>
        <w:ind w:firstLine="0" w:firstLineChars="0"/>
        <w:rPr>
          <w:rFonts w:hint="eastAsia"/>
          <w:color w:val="auto"/>
          <w:highlight w:val="none"/>
          <w:u w:val="none"/>
        </w:rPr>
      </w:pPr>
    </w:p>
    <w:p w14:paraId="51DDC78A">
      <w:pPr>
        <w:ind w:firstLine="0" w:firstLineChars="0"/>
        <w:rPr>
          <w:rFonts w:hint="eastAsia"/>
          <w:color w:val="auto"/>
          <w:highlight w:val="none"/>
          <w:u w:val="none"/>
        </w:rPr>
      </w:pPr>
    </w:p>
    <w:p w14:paraId="443CDE5C">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6E2B5878">
      <w:pPr>
        <w:pStyle w:val="3"/>
        <w:rPr>
          <w:rFonts w:hint="eastAsia"/>
          <w:color w:val="auto"/>
          <w:highlight w:val="none"/>
          <w:u w:val="none"/>
        </w:rPr>
      </w:pPr>
      <w:bookmarkStart w:id="287" w:name="_Toc148374529"/>
      <w:bookmarkStart w:id="288" w:name="_Toc148374797"/>
      <w:bookmarkStart w:id="289" w:name="_Toc8956"/>
      <w:bookmarkStart w:id="290" w:name="_Toc148374971"/>
      <w:r>
        <w:rPr>
          <w:rFonts w:hint="eastAsia"/>
          <w:color w:val="auto"/>
          <w:highlight w:val="none"/>
          <w:u w:val="none"/>
        </w:rPr>
        <w:t>工程分析</w:t>
      </w:r>
      <w:bookmarkEnd w:id="287"/>
      <w:bookmarkEnd w:id="288"/>
      <w:bookmarkEnd w:id="289"/>
      <w:bookmarkEnd w:id="290"/>
    </w:p>
    <w:p w14:paraId="4C204E45">
      <w:pPr>
        <w:rPr>
          <w:rFonts w:hint="eastAsia"/>
          <w:color w:val="auto"/>
          <w:highlight w:val="none"/>
          <w:u w:val="none"/>
          <w:lang w:val="en-US" w:eastAsia="zh-CN"/>
        </w:rPr>
      </w:pPr>
      <w:r>
        <w:rPr>
          <w:rFonts w:hint="eastAsia"/>
          <w:color w:val="auto"/>
          <w:highlight w:val="none"/>
          <w:u w:val="none"/>
          <w:lang w:val="en-US" w:eastAsia="zh-CN"/>
        </w:rPr>
        <w:t>涉密删除。</w:t>
      </w:r>
    </w:p>
    <w:p w14:paraId="0644AE2C">
      <w:pPr>
        <w:pStyle w:val="4"/>
        <w:rPr>
          <w:color w:val="auto"/>
          <w:highlight w:val="none"/>
          <w:u w:val="none"/>
        </w:rPr>
      </w:pPr>
      <w:bookmarkStart w:id="291" w:name="_Toc148374535"/>
      <w:bookmarkStart w:id="292" w:name="_Toc148374799"/>
      <w:bookmarkStart w:id="293" w:name="_Toc148374977"/>
      <w:bookmarkStart w:id="294" w:name="_Toc358"/>
      <w:r>
        <w:rPr>
          <w:color w:val="auto"/>
          <w:highlight w:val="none"/>
          <w:u w:val="none"/>
        </w:rPr>
        <w:t>公用及辅助工程排污</w:t>
      </w:r>
      <w:bookmarkEnd w:id="291"/>
      <w:bookmarkEnd w:id="292"/>
      <w:bookmarkEnd w:id="293"/>
      <w:bookmarkEnd w:id="294"/>
    </w:p>
    <w:p w14:paraId="13DA722E">
      <w:pPr>
        <w:pStyle w:val="6"/>
        <w:spacing w:before="156" w:after="156"/>
        <w:rPr>
          <w:color w:val="auto"/>
          <w:highlight w:val="none"/>
          <w:u w:val="none"/>
        </w:rPr>
      </w:pPr>
      <w:bookmarkStart w:id="295" w:name="_Toc148374536"/>
      <w:bookmarkStart w:id="296" w:name="_Toc148374978"/>
      <w:r>
        <w:rPr>
          <w:rFonts w:hint="eastAsia"/>
          <w:color w:val="auto"/>
          <w:highlight w:val="none"/>
          <w:u w:val="none"/>
        </w:rPr>
        <w:t>脱盐水及供热</w:t>
      </w:r>
      <w:bookmarkEnd w:id="295"/>
      <w:bookmarkEnd w:id="296"/>
    </w:p>
    <w:p w14:paraId="3E5AF7EC">
      <w:pPr>
        <w:rPr>
          <w:rFonts w:hint="eastAsia"/>
          <w:color w:val="auto"/>
          <w:highlight w:val="none"/>
          <w:u w:val="none"/>
        </w:rPr>
      </w:pPr>
      <w:r>
        <w:rPr>
          <w:rFonts w:hint="eastAsia"/>
          <w:color w:val="auto"/>
          <w:highlight w:val="none"/>
          <w:u w:val="none"/>
        </w:rPr>
        <w:t>（</w:t>
      </w:r>
      <w:r>
        <w:rPr>
          <w:color w:val="auto"/>
          <w:highlight w:val="none"/>
          <w:u w:val="none"/>
        </w:rPr>
        <w:t>1）脱盐水系统排污</w:t>
      </w:r>
    </w:p>
    <w:p w14:paraId="42E5EED4">
      <w:pPr>
        <w:rPr>
          <w:rFonts w:hint="eastAsia"/>
          <w:color w:val="auto"/>
          <w:highlight w:val="none"/>
          <w:u w:val="none"/>
        </w:rPr>
      </w:pPr>
      <w:r>
        <w:rPr>
          <w:rFonts w:hint="eastAsia"/>
          <w:color w:val="auto"/>
          <w:highlight w:val="none"/>
          <w:u w:val="none"/>
        </w:rPr>
        <w:t>本项目脱盐水依托万华</w:t>
      </w:r>
      <w:r>
        <w:rPr>
          <w:rFonts w:hint="eastAsia"/>
          <w:color w:val="auto"/>
          <w:highlight w:val="none"/>
          <w:u w:val="none"/>
          <w:lang w:val="en-US"/>
        </w:rPr>
        <w:t>环保科技</w:t>
      </w:r>
      <w:r>
        <w:rPr>
          <w:rFonts w:hint="eastAsia"/>
          <w:color w:val="auto"/>
          <w:highlight w:val="none"/>
          <w:u w:val="none"/>
        </w:rPr>
        <w:t>公司脱盐水及蒸汽凝液处理站，本项目不新建脱盐水站，无新增脱盐水系统排污。</w:t>
      </w:r>
    </w:p>
    <w:p w14:paraId="0A08098B">
      <w:pPr>
        <w:rPr>
          <w:rFonts w:hint="eastAsia"/>
          <w:color w:val="auto"/>
          <w:highlight w:val="none"/>
          <w:u w:val="none"/>
        </w:rPr>
      </w:pPr>
      <w:r>
        <w:rPr>
          <w:rFonts w:hint="eastAsia"/>
          <w:color w:val="auto"/>
          <w:highlight w:val="none"/>
          <w:u w:val="none"/>
        </w:rPr>
        <w:t>（</w:t>
      </w:r>
      <w:r>
        <w:rPr>
          <w:color w:val="auto"/>
          <w:highlight w:val="none"/>
          <w:u w:val="none"/>
        </w:rPr>
        <w:t>2）供热系统排污</w:t>
      </w:r>
    </w:p>
    <w:p w14:paraId="7162DAC2">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项目蒸汽由福建省东南电化股份有限公司现有热电站，本项目不新建供热系统，无新增</w:t>
      </w:r>
      <w:r>
        <w:rPr>
          <w:color w:val="auto"/>
          <w:highlight w:val="none"/>
          <w:u w:val="none"/>
        </w:rPr>
        <w:t>供热系统</w:t>
      </w:r>
      <w:r>
        <w:rPr>
          <w:rFonts w:hint="eastAsia"/>
          <w:color w:val="auto"/>
          <w:highlight w:val="none"/>
          <w:u w:val="none"/>
        </w:rPr>
        <w:t>排污。</w:t>
      </w:r>
    </w:p>
    <w:p w14:paraId="786F2654">
      <w:pPr>
        <w:pStyle w:val="6"/>
        <w:spacing w:before="156" w:after="156"/>
        <w:rPr>
          <w:color w:val="auto"/>
          <w:highlight w:val="none"/>
          <w:u w:val="none"/>
        </w:rPr>
      </w:pPr>
      <w:r>
        <w:rPr>
          <w:rFonts w:hint="eastAsia"/>
          <w:color w:val="auto"/>
          <w:highlight w:val="none"/>
          <w:u w:val="none"/>
        </w:rPr>
        <w:t>液环真空泵</w:t>
      </w:r>
    </w:p>
    <w:p w14:paraId="5B1E6D69">
      <w:pPr>
        <w:rPr>
          <w:rFonts w:hint="eastAsia"/>
          <w:color w:val="auto"/>
          <w:highlight w:val="none"/>
          <w:u w:val="none"/>
        </w:rPr>
      </w:pPr>
      <w:r>
        <w:rPr>
          <w:rFonts w:hint="eastAsia"/>
          <w:color w:val="auto"/>
          <w:highlight w:val="none"/>
          <w:u w:val="none"/>
        </w:rPr>
        <w:t>本项目硝化工序真空泵采用稀硝酸、汽提酸性凝液、硝硫酸性凝液作为循环液，其中稀硝酸真空泵排液回用于5</w:t>
      </w:r>
      <w:r>
        <w:rPr>
          <w:color w:val="auto"/>
          <w:highlight w:val="none"/>
          <w:u w:val="none"/>
        </w:rPr>
        <w:t>0%</w:t>
      </w:r>
      <w:r>
        <w:rPr>
          <w:rFonts w:hint="eastAsia"/>
          <w:color w:val="auto"/>
          <w:highlight w:val="none"/>
          <w:u w:val="none"/>
        </w:rPr>
        <w:t>稀硝酸系统进行酸浓缩，</w:t>
      </w:r>
      <w:r>
        <w:rPr>
          <w:rFonts w:hAnsi="Times New Roman"/>
          <w:color w:val="auto"/>
          <w:highlight w:val="none"/>
          <w:u w:val="none"/>
        </w:rPr>
        <w:t>汽提酸性凝液</w:t>
      </w:r>
      <w:r>
        <w:rPr>
          <w:rFonts w:hint="eastAsia" w:hAnsi="Times New Roman"/>
          <w:color w:val="auto"/>
          <w:highlight w:val="none"/>
          <w:u w:val="none"/>
        </w:rPr>
        <w:t>真空泵排液并入汽提酸性废水、</w:t>
      </w:r>
      <w:r>
        <w:rPr>
          <w:rFonts w:hint="eastAsia"/>
          <w:color w:val="auto"/>
          <w:highlight w:val="none"/>
          <w:u w:val="none"/>
        </w:rPr>
        <w:t>硝硫酸性凝液</w:t>
      </w:r>
      <w:r>
        <w:rPr>
          <w:rFonts w:hint="eastAsia" w:hAnsi="Times New Roman"/>
          <w:color w:val="auto"/>
          <w:highlight w:val="none"/>
          <w:u w:val="none"/>
        </w:rPr>
        <w:t>真空泵排液并入硝硫浓缩酸性废水，依托</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综合废水处理系统处理</w:t>
      </w:r>
      <w:r>
        <w:rPr>
          <w:rFonts w:hint="eastAsia"/>
          <w:color w:val="auto"/>
          <w:highlight w:val="none"/>
          <w:u w:val="none"/>
        </w:rPr>
        <w:t>，真空泵排液量较小，本评价不对其进行单独计算。</w:t>
      </w:r>
    </w:p>
    <w:p w14:paraId="39582997">
      <w:pPr>
        <w:rPr>
          <w:rFonts w:hint="eastAsia"/>
          <w:color w:val="auto"/>
          <w:highlight w:val="none"/>
          <w:u w:val="none"/>
        </w:rPr>
      </w:pPr>
      <w:r>
        <w:rPr>
          <w:rFonts w:hint="eastAsia"/>
          <w:color w:val="auto"/>
          <w:highlight w:val="none"/>
          <w:u w:val="none"/>
        </w:rPr>
        <w:t>氢化工序</w:t>
      </w:r>
      <w:r>
        <w:rPr>
          <w:rFonts w:hint="eastAsia" w:hAnsi="Times New Roman"/>
          <w:color w:val="auto"/>
          <w:highlight w:val="none"/>
          <w:u w:val="none"/>
        </w:rPr>
        <w:t>液环真空泵采用脱盐水作为循环液，其排水并入TDA废水依托</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综合废水处理系统处理</w:t>
      </w:r>
      <w:r>
        <w:rPr>
          <w:rFonts w:hint="eastAsia"/>
          <w:color w:val="auto"/>
          <w:highlight w:val="none"/>
          <w:u w:val="none"/>
        </w:rPr>
        <w:t>，</w:t>
      </w:r>
      <w:r>
        <w:rPr>
          <w:rFonts w:hint="eastAsia" w:hAnsi="Times New Roman"/>
          <w:color w:val="auto"/>
          <w:highlight w:val="none"/>
          <w:u w:val="none"/>
        </w:rPr>
        <w:t>其排水量较小，</w:t>
      </w:r>
      <w:r>
        <w:rPr>
          <w:rFonts w:hint="eastAsia"/>
          <w:color w:val="auto"/>
          <w:highlight w:val="none"/>
          <w:u w:val="none"/>
        </w:rPr>
        <w:t>本评价不对其进行单独计算。</w:t>
      </w:r>
    </w:p>
    <w:p w14:paraId="06405489">
      <w:pPr>
        <w:rPr>
          <w:rFonts w:hint="eastAsia"/>
          <w:color w:val="auto"/>
          <w:highlight w:val="none"/>
          <w:u w:val="none"/>
        </w:rPr>
      </w:pPr>
      <w:r>
        <w:rPr>
          <w:rFonts w:hint="eastAsia"/>
          <w:color w:val="auto"/>
          <w:highlight w:val="none"/>
          <w:u w:val="none"/>
        </w:rPr>
        <w:t>光化工序真空泵采用ODCB作为循环液，其排液用泵送往</w:t>
      </w:r>
      <w:r>
        <w:rPr>
          <w:color w:val="auto"/>
          <w:highlight w:val="none"/>
          <w:u w:val="none"/>
        </w:rPr>
        <w:t>ODCB精馏塔，循环使用</w:t>
      </w:r>
      <w:r>
        <w:rPr>
          <w:rFonts w:hint="eastAsia"/>
          <w:color w:val="auto"/>
          <w:highlight w:val="none"/>
          <w:u w:val="none"/>
        </w:rPr>
        <w:t>不外排。</w:t>
      </w:r>
    </w:p>
    <w:p w14:paraId="6CF7B49A">
      <w:pPr>
        <w:pStyle w:val="6"/>
        <w:spacing w:before="156" w:after="156"/>
        <w:rPr>
          <w:color w:val="auto"/>
          <w:highlight w:val="none"/>
          <w:u w:val="none"/>
        </w:rPr>
      </w:pPr>
      <w:bookmarkStart w:id="297" w:name="_Toc148374537"/>
      <w:bookmarkStart w:id="298" w:name="_Toc148374979"/>
      <w:r>
        <w:rPr>
          <w:color w:val="auto"/>
          <w:highlight w:val="none"/>
          <w:u w:val="none"/>
        </w:rPr>
        <w:t>空压</w:t>
      </w:r>
      <w:bookmarkEnd w:id="297"/>
      <w:bookmarkEnd w:id="298"/>
    </w:p>
    <w:p w14:paraId="75D877EB">
      <w:pPr>
        <w:rPr>
          <w:rFonts w:hint="eastAsia"/>
          <w:color w:val="auto"/>
          <w:highlight w:val="none"/>
          <w:u w:val="none"/>
        </w:rPr>
      </w:pPr>
      <w:r>
        <w:rPr>
          <w:rFonts w:hint="eastAsia"/>
          <w:color w:val="auto"/>
          <w:highlight w:val="none"/>
          <w:u w:val="none"/>
        </w:rPr>
        <w:t>本项目仪表空气全部由万华</w:t>
      </w:r>
      <w:r>
        <w:rPr>
          <w:rFonts w:hint="eastAsia"/>
          <w:color w:val="auto"/>
          <w:highlight w:val="none"/>
          <w:u w:val="none"/>
          <w:lang w:val="en-US"/>
        </w:rPr>
        <w:t>码头</w:t>
      </w:r>
      <w:r>
        <w:rPr>
          <w:rFonts w:hint="eastAsia"/>
          <w:color w:val="auto"/>
          <w:highlight w:val="none"/>
          <w:u w:val="none"/>
        </w:rPr>
        <w:t>公司现有空压站和万华福建公司气体厂区并网后提供，不新增空压系统，无新增空压系统排污。</w:t>
      </w:r>
    </w:p>
    <w:p w14:paraId="0C7D7BDE">
      <w:pPr>
        <w:pStyle w:val="6"/>
        <w:spacing w:before="156" w:after="156"/>
        <w:rPr>
          <w:color w:val="auto"/>
          <w:highlight w:val="none"/>
          <w:u w:val="none"/>
        </w:rPr>
      </w:pPr>
      <w:bookmarkStart w:id="299" w:name="_Toc148374538"/>
      <w:bookmarkStart w:id="300" w:name="_Toc148374980"/>
      <w:r>
        <w:rPr>
          <w:rFonts w:hint="eastAsia"/>
          <w:color w:val="auto"/>
          <w:highlight w:val="none"/>
          <w:u w:val="none"/>
        </w:rPr>
        <w:t>制氮</w:t>
      </w:r>
      <w:bookmarkEnd w:id="299"/>
      <w:bookmarkEnd w:id="300"/>
    </w:p>
    <w:p w14:paraId="4505B31D">
      <w:pPr>
        <w:rPr>
          <w:rFonts w:hint="eastAsia"/>
          <w:color w:val="auto"/>
          <w:highlight w:val="none"/>
          <w:u w:val="none"/>
        </w:rPr>
      </w:pPr>
      <w:r>
        <w:rPr>
          <w:rFonts w:hint="eastAsia"/>
          <w:color w:val="auto"/>
          <w:highlight w:val="none"/>
          <w:u w:val="none"/>
        </w:rPr>
        <w:t>本项目所需氮气全部由万华福建公司气体厂区提供，</w:t>
      </w:r>
      <w:r>
        <w:rPr>
          <w:color w:val="auto"/>
          <w:highlight w:val="none"/>
          <w:u w:val="none"/>
        </w:rPr>
        <w:t>不建设制氮装置，</w:t>
      </w:r>
      <w:r>
        <w:rPr>
          <w:rFonts w:hint="eastAsia"/>
          <w:color w:val="auto"/>
          <w:highlight w:val="none"/>
          <w:u w:val="none"/>
        </w:rPr>
        <w:t>无新增制氮装置排污。</w:t>
      </w:r>
    </w:p>
    <w:p w14:paraId="06B5339C">
      <w:pPr>
        <w:pStyle w:val="6"/>
        <w:spacing w:before="156" w:after="156"/>
        <w:rPr>
          <w:color w:val="auto"/>
          <w:highlight w:val="none"/>
          <w:u w:val="none"/>
        </w:rPr>
      </w:pPr>
      <w:bookmarkStart w:id="301" w:name="_Toc148374539"/>
      <w:bookmarkStart w:id="302" w:name="_Toc148374981"/>
      <w:r>
        <w:rPr>
          <w:rFonts w:hint="eastAsia"/>
          <w:color w:val="auto"/>
          <w:highlight w:val="none"/>
          <w:u w:val="none"/>
        </w:rPr>
        <w:t>储运工程</w:t>
      </w:r>
      <w:bookmarkEnd w:id="301"/>
      <w:bookmarkEnd w:id="302"/>
    </w:p>
    <w:p w14:paraId="70899381">
      <w:pPr>
        <w:rPr>
          <w:rFonts w:hint="eastAsia"/>
          <w:color w:val="auto"/>
          <w:highlight w:val="none"/>
          <w:u w:val="none"/>
          <w:lang w:val="en-US"/>
        </w:rPr>
      </w:pPr>
      <w:r>
        <w:rPr>
          <w:rFonts w:hint="eastAsia"/>
          <w:color w:val="auto"/>
          <w:highlight w:val="none"/>
          <w:u w:val="none"/>
          <w:lang w:val="en-US"/>
        </w:rPr>
        <w:t>本项目储运工程环境影响包括焦油装车站转运影响和储罐静置和工作损耗。</w:t>
      </w:r>
    </w:p>
    <w:p w14:paraId="68EC9FAA">
      <w:pPr>
        <w:rPr>
          <w:rFonts w:hint="eastAsia"/>
          <w:color w:val="auto"/>
          <w:highlight w:val="none"/>
          <w:u w:val="none"/>
          <w:lang w:val="en-US"/>
        </w:rPr>
      </w:pPr>
      <w:r>
        <w:rPr>
          <w:rFonts w:hint="eastAsia"/>
          <w:color w:val="auto"/>
          <w:highlight w:val="none"/>
          <w:u w:val="none"/>
          <w:lang w:val="en-US"/>
        </w:rPr>
        <w:t>（1）焦油装车站</w:t>
      </w:r>
    </w:p>
    <w:p w14:paraId="49AC63E3">
      <w:pPr>
        <w:rPr>
          <w:lang w:val="en-US"/>
        </w:rPr>
      </w:pPr>
      <w:r>
        <w:rPr>
          <w:rFonts w:hint="eastAsia"/>
          <w:lang w:val="en-US"/>
        </w:rPr>
        <w:t>本次技改扩能依托现有装车站转运焦油颗粒，通过增加装车站转运频次，提高周转量，来满足焦油颗粒转运需求。</w:t>
      </w:r>
    </w:p>
    <w:p w14:paraId="6F62C8D9">
      <w:pPr>
        <w:rPr>
          <w:lang w:val="en-US"/>
        </w:rPr>
      </w:pPr>
      <w:r>
        <w:rPr>
          <w:rFonts w:hint="eastAsia"/>
          <w:lang w:val="en-US"/>
        </w:rPr>
        <w:t>焦油装车站：TDI生产中产生的焦油颗粒通过密闭循环风送系统，送至装车站高位料仓内；在料仓底部，安装有伸缩装料机，装料机与槽车顶部口相连，连接部位采用软密封；装车过程中槽车内的废气，通过专用风机抽吸，经过两级过滤后达标排放。</w:t>
      </w:r>
    </w:p>
    <w:p w14:paraId="3EC7FE98">
      <w:pPr>
        <w:rPr>
          <w:lang w:val="en-US"/>
        </w:rPr>
      </w:pPr>
      <w:r>
        <w:rPr>
          <w:rFonts w:hint="eastAsia"/>
          <w:lang w:val="en-US"/>
        </w:rPr>
        <w:t>TDI一期由25万吨/年扩能至36万吨/年，同时TDI二期焦油颗粒通过新增管道引入该装车站，本次技改扩能后焦油装车站转运焦油颗粒为44000t/a，满足转运需求。</w:t>
      </w:r>
    </w:p>
    <w:p w14:paraId="5BC5D6BA">
      <w:pPr>
        <w:rPr>
          <w:rFonts w:hint="eastAsia"/>
          <w:color w:val="auto"/>
          <w:highlight w:val="none"/>
          <w:u w:val="none"/>
          <w:lang w:val="en-US"/>
        </w:rPr>
      </w:pPr>
      <w:r>
        <w:rPr>
          <w:rFonts w:hint="eastAsia"/>
          <w:lang w:val="en-US"/>
        </w:rPr>
        <w:t>本次技改扩能后排放量为1500m</w:t>
      </w:r>
      <w:r>
        <w:rPr>
          <w:rFonts w:hint="eastAsia"/>
          <w:vertAlign w:val="superscript"/>
          <w:lang w:val="en-US"/>
        </w:rPr>
        <w:t>3</w:t>
      </w:r>
      <w:r>
        <w:rPr>
          <w:rFonts w:hint="eastAsia"/>
          <w:lang w:val="en-US"/>
        </w:rPr>
        <w:t>/h，装车站废气排放浓度类比现有工程</w:t>
      </w:r>
      <w:r>
        <w:rPr>
          <w:rFonts w:hint="eastAsia"/>
          <w:color w:val="auto"/>
          <w:highlight w:val="none"/>
          <w:u w:val="none"/>
          <w:lang w:val="en-US"/>
        </w:rPr>
        <w:t>。</w:t>
      </w:r>
    </w:p>
    <w:p w14:paraId="57FF3A53">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2</w:t>
      </w:r>
      <w:r>
        <w:rPr>
          <w:color w:val="auto"/>
          <w:highlight w:val="none"/>
          <w:u w:val="none"/>
        </w:rPr>
        <w:t>）储罐废气</w:t>
      </w:r>
    </w:p>
    <w:p w14:paraId="756D6A99">
      <w:pPr>
        <w:rPr>
          <w:rFonts w:hint="eastAsia"/>
          <w:color w:val="auto"/>
          <w:highlight w:val="none"/>
          <w:u w:val="none"/>
          <w:lang w:val="en-US"/>
        </w:rPr>
      </w:pPr>
      <w:r>
        <w:rPr>
          <w:rFonts w:hint="eastAsia"/>
          <w:color w:val="auto"/>
          <w:highlight w:val="none"/>
          <w:u w:val="none"/>
        </w:rPr>
        <w:t>本</w:t>
      </w:r>
      <w:r>
        <w:rPr>
          <w:rFonts w:hint="eastAsia"/>
          <w:color w:val="auto"/>
          <w:highlight w:val="none"/>
          <w:u w:val="none"/>
          <w:lang w:val="en-US"/>
        </w:rPr>
        <w:t>次技改扩能储罐均依托现有储罐</w:t>
      </w:r>
      <w:r>
        <w:rPr>
          <w:rFonts w:hint="eastAsia"/>
          <w:color w:val="auto"/>
          <w:highlight w:val="none"/>
          <w:u w:val="none"/>
        </w:rPr>
        <w:t>，</w:t>
      </w:r>
      <w:r>
        <w:rPr>
          <w:color w:val="auto"/>
          <w:highlight w:val="none"/>
          <w:u w:val="none"/>
        </w:rPr>
        <w:t>储罐设置情况见</w:t>
      </w:r>
      <w:r>
        <w:rPr>
          <w:color w:val="auto"/>
          <w:highlight w:val="none"/>
          <w:u w:val="none"/>
        </w:rPr>
        <w:fldChar w:fldCharType="begin"/>
      </w:r>
      <w:r>
        <w:rPr>
          <w:color w:val="auto"/>
          <w:highlight w:val="none"/>
          <w:u w:val="none"/>
        </w:rPr>
        <w:instrText xml:space="preserve"> REF _Ref138589095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4.7</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_Ref144576944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4.7</w:t>
      </w:r>
      <w:r>
        <w:rPr>
          <w:color w:val="auto"/>
          <w:highlight w:val="none"/>
          <w:u w:val="none"/>
        </w:rPr>
        <w:fldChar w:fldCharType="end"/>
      </w:r>
      <w:r>
        <w:rPr>
          <w:color w:val="auto"/>
          <w:highlight w:val="none"/>
          <w:u w:val="none"/>
        </w:rPr>
        <w:noBreakHyphen/>
      </w:r>
      <w:r>
        <w:rPr>
          <w:color w:val="auto"/>
          <w:highlight w:val="none"/>
          <w:u w:val="none"/>
        </w:rPr>
        <w:t>3</w:t>
      </w:r>
      <w:r>
        <w:rPr>
          <w:color w:val="auto"/>
          <w:highlight w:val="none"/>
          <w:u w:val="none"/>
        </w:rPr>
        <w:fldChar w:fldCharType="end"/>
      </w:r>
      <w:r>
        <w:rPr>
          <w:rFonts w:hint="eastAsia"/>
          <w:color w:val="auto"/>
          <w:highlight w:val="none"/>
          <w:u w:val="none"/>
        </w:rPr>
        <w:t>。</w:t>
      </w:r>
    </w:p>
    <w:p w14:paraId="019F77BB">
      <w:pPr>
        <w:rPr>
          <w:rFonts w:hint="eastAsia"/>
          <w:color w:val="auto"/>
          <w:highlight w:val="none"/>
          <w:u w:val="none"/>
        </w:rPr>
      </w:pPr>
      <w:r>
        <w:rPr>
          <w:rFonts w:hint="eastAsia"/>
          <w:color w:val="auto"/>
          <w:highlight w:val="none"/>
          <w:u w:val="none"/>
        </w:rPr>
        <w:t>本项目固定顶罐无组织废气主要来自于静置储存过程中蒸发损耗和收发物料过程中产生的工作损耗。</w:t>
      </w:r>
      <w:r>
        <w:rPr>
          <w:color w:val="auto"/>
          <w:highlight w:val="none"/>
          <w:u w:val="none"/>
        </w:rPr>
        <w:t>其它压力罐通常装有安全阀，可以阻止因沸腾引起的外排</w:t>
      </w:r>
      <w:r>
        <w:rPr>
          <w:rFonts w:hint="eastAsia"/>
          <w:color w:val="auto"/>
          <w:highlight w:val="none"/>
          <w:u w:val="none"/>
        </w:rPr>
        <w:t>损耗</w:t>
      </w:r>
      <w:r>
        <w:rPr>
          <w:color w:val="auto"/>
          <w:highlight w:val="none"/>
          <w:u w:val="none"/>
        </w:rPr>
        <w:t>以</w:t>
      </w:r>
      <w:r>
        <w:rPr>
          <w:rFonts w:hint="eastAsia"/>
          <w:color w:val="auto"/>
          <w:highlight w:val="none"/>
          <w:u w:val="none"/>
        </w:rPr>
        <w:t>及因昼夜温差和气压变化引起的呼吸损耗，</w:t>
      </w:r>
      <w:r>
        <w:rPr>
          <w:color w:val="auto"/>
          <w:highlight w:val="none"/>
          <w:u w:val="none"/>
        </w:rPr>
        <w:t>压力罐的操作中几乎没有</w:t>
      </w:r>
      <w:r>
        <w:rPr>
          <w:rFonts w:hint="eastAsia"/>
          <w:color w:val="auto"/>
          <w:highlight w:val="none"/>
          <w:u w:val="none"/>
        </w:rPr>
        <w:t>静止损耗</w:t>
      </w:r>
      <w:r>
        <w:rPr>
          <w:color w:val="auto"/>
          <w:highlight w:val="none"/>
          <w:u w:val="none"/>
        </w:rPr>
        <w:t>或工作</w:t>
      </w:r>
      <w:r>
        <w:rPr>
          <w:rFonts w:hint="eastAsia"/>
          <w:color w:val="auto"/>
          <w:highlight w:val="none"/>
          <w:u w:val="none"/>
        </w:rPr>
        <w:t>损耗</w:t>
      </w:r>
      <w:r>
        <w:rPr>
          <w:color w:val="auto"/>
          <w:highlight w:val="none"/>
          <w:u w:val="none"/>
        </w:rPr>
        <w:t>发</w:t>
      </w:r>
      <w:r>
        <w:rPr>
          <w:rFonts w:hint="eastAsia"/>
          <w:color w:val="auto"/>
          <w:highlight w:val="none"/>
          <w:u w:val="none"/>
        </w:rPr>
        <w:t>生。</w:t>
      </w:r>
    </w:p>
    <w:p w14:paraId="5DC0F60E">
      <w:pPr>
        <w:rPr>
          <w:rFonts w:hint="eastAsia"/>
          <w:color w:val="auto"/>
          <w:highlight w:val="none"/>
          <w:u w:val="none"/>
        </w:rPr>
      </w:pPr>
      <w:r>
        <w:rPr>
          <w:rFonts w:hint="eastAsia"/>
          <w:color w:val="auto"/>
          <w:highlight w:val="none"/>
          <w:u w:val="none"/>
        </w:rPr>
        <w:t>因此，</w:t>
      </w:r>
      <w:r>
        <w:rPr>
          <w:color w:val="auto"/>
          <w:highlight w:val="none"/>
          <w:u w:val="none"/>
        </w:rPr>
        <w:t>本评价主要估算固定顶储罐调和挥发损失量。VOCs储存调和挥发损失量计算采用</w:t>
      </w:r>
      <w:r>
        <w:rPr>
          <w:rFonts w:hint="eastAsia"/>
          <w:color w:val="auto"/>
          <w:highlight w:val="none"/>
          <w:u w:val="none"/>
        </w:rPr>
        <w:t>《石化行业VOCs污染源排查工作指南》</w:t>
      </w:r>
      <w:r>
        <w:rPr>
          <w:color w:val="auto"/>
          <w:highlight w:val="none"/>
          <w:u w:val="none"/>
        </w:rPr>
        <w:t>中推荐的公式。具体计算过程详见“5.4 VOCS排</w:t>
      </w:r>
      <w:r>
        <w:rPr>
          <w:rFonts w:hint="eastAsia"/>
          <w:color w:val="auto"/>
          <w:highlight w:val="none"/>
          <w:u w:val="none"/>
        </w:rPr>
        <w:t>放量估算”小节。</w:t>
      </w:r>
    </w:p>
    <w:p w14:paraId="4EAC6EF9">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3</w:t>
      </w:r>
      <w:r>
        <w:rPr>
          <w:color w:val="auto"/>
          <w:highlight w:val="none"/>
          <w:u w:val="none"/>
        </w:rPr>
        <w:t>）有机液体装车挥发损耗排放计算</w:t>
      </w:r>
    </w:p>
    <w:p w14:paraId="482A1D60">
      <w:pPr>
        <w:rPr>
          <w:rFonts w:hint="eastAsia"/>
          <w:color w:val="auto"/>
          <w:highlight w:val="none"/>
          <w:u w:val="none"/>
        </w:rPr>
      </w:pPr>
      <w:r>
        <w:rPr>
          <w:rFonts w:hint="eastAsia"/>
          <w:color w:val="auto"/>
          <w:highlight w:val="none"/>
          <w:u w:val="none"/>
        </w:rPr>
        <w:t>本项目产品及中间产品均由管道运出，</w:t>
      </w:r>
      <w:r>
        <w:rPr>
          <w:color w:val="auto"/>
          <w:highlight w:val="none"/>
          <w:u w:val="none"/>
        </w:rPr>
        <w:t>故无装车废气损耗。</w:t>
      </w:r>
    </w:p>
    <w:p w14:paraId="12B5BA54">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4</w:t>
      </w:r>
      <w:r>
        <w:rPr>
          <w:color w:val="auto"/>
          <w:highlight w:val="none"/>
          <w:u w:val="none"/>
        </w:rPr>
        <w:t>）无机液体储罐及装卸废气</w:t>
      </w:r>
    </w:p>
    <w:p w14:paraId="60B9E2CF">
      <w:pPr>
        <w:rPr>
          <w:rFonts w:hint="eastAsia"/>
          <w:color w:val="auto"/>
          <w:highlight w:val="none"/>
          <w:u w:val="none"/>
        </w:rPr>
      </w:pPr>
      <w:r>
        <w:rPr>
          <w:rFonts w:hint="eastAsia"/>
          <w:color w:val="auto"/>
          <w:highlight w:val="none"/>
          <w:u w:val="none"/>
        </w:rPr>
        <w:t>本项目无机液体储罐均采用立式固定顶罐，</w:t>
      </w:r>
      <w:r>
        <w:rPr>
          <w:color w:val="auto"/>
          <w:highlight w:val="none"/>
          <w:u w:val="none"/>
        </w:rPr>
        <w:t>各酸罐内的挥发气体经管道收集至</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能量回收</w:t>
      </w:r>
      <w:r>
        <w:rPr>
          <w:rFonts w:hint="eastAsia"/>
          <w:color w:val="auto"/>
          <w:highlight w:val="none"/>
          <w:u w:val="none"/>
        </w:rPr>
        <w:t>装置进行焚烧处置。</w:t>
      </w:r>
    </w:p>
    <w:p w14:paraId="563F052D">
      <w:pPr>
        <w:rPr>
          <w:rFonts w:hint="eastAsia"/>
          <w:color w:val="auto"/>
          <w:highlight w:val="none"/>
          <w:u w:val="none"/>
          <w:lang w:val="en-US"/>
        </w:rPr>
      </w:pPr>
      <w:r>
        <w:rPr>
          <w:rFonts w:hint="eastAsia"/>
          <w:color w:val="auto"/>
          <w:highlight w:val="none"/>
          <w:u w:val="none"/>
        </w:rPr>
        <w:t>①</w:t>
      </w:r>
      <w:r>
        <w:rPr>
          <w:rFonts w:hint="eastAsia"/>
          <w:color w:val="auto"/>
          <w:highlight w:val="none"/>
          <w:u w:val="none"/>
          <w:lang w:val="en-US"/>
        </w:rPr>
        <w:t>静置损耗</w:t>
      </w:r>
    </w:p>
    <w:p w14:paraId="4AB6715B">
      <w:pPr>
        <w:rPr>
          <w:rFonts w:hint="eastAsia"/>
          <w:color w:val="auto"/>
          <w:highlight w:val="none"/>
          <w:u w:val="none"/>
        </w:rPr>
      </w:pPr>
      <w:r>
        <w:rPr>
          <w:rFonts w:hint="eastAsia"/>
          <w:color w:val="auto"/>
          <w:highlight w:val="none"/>
          <w:u w:val="none"/>
        </w:rPr>
        <w:t>固定</w:t>
      </w:r>
      <w:r>
        <w:rPr>
          <w:rFonts w:hint="eastAsia"/>
          <w:color w:val="auto"/>
          <w:highlight w:val="none"/>
          <w:u w:val="none"/>
          <w:lang w:val="en-US"/>
        </w:rPr>
        <w:t>顶</w:t>
      </w:r>
      <w:r>
        <w:rPr>
          <w:rFonts w:hint="eastAsia"/>
          <w:color w:val="auto"/>
          <w:highlight w:val="none"/>
          <w:u w:val="none"/>
        </w:rPr>
        <w:t>罐</w:t>
      </w:r>
      <w:r>
        <w:rPr>
          <w:rFonts w:hint="eastAsia"/>
          <w:color w:val="auto"/>
          <w:highlight w:val="none"/>
          <w:u w:val="none"/>
          <w:lang w:val="en-US"/>
        </w:rPr>
        <w:t>静置</w:t>
      </w:r>
      <w:r>
        <w:rPr>
          <w:rFonts w:hint="eastAsia"/>
          <w:color w:val="auto"/>
          <w:highlight w:val="none"/>
          <w:u w:val="none"/>
        </w:rPr>
        <w:t>储存</w:t>
      </w:r>
      <w:r>
        <w:rPr>
          <w:rFonts w:hint="eastAsia"/>
          <w:color w:val="auto"/>
          <w:highlight w:val="none"/>
          <w:u w:val="none"/>
          <w:lang w:val="en-US"/>
        </w:rPr>
        <w:t>过程中蒸发损耗</w:t>
      </w:r>
      <w:r>
        <w:rPr>
          <w:rFonts w:hint="eastAsia"/>
          <w:color w:val="auto"/>
          <w:highlight w:val="none"/>
          <w:u w:val="none"/>
        </w:rPr>
        <w:t>通过美国石油学会（API）推荐方法，计算公式如下：</w:t>
      </w:r>
    </w:p>
    <w:p w14:paraId="54277A03">
      <w:pPr>
        <w:rPr>
          <w:rFonts w:hint="eastAsia"/>
          <w:color w:val="auto"/>
          <w:highlight w:val="none"/>
          <w:u w:val="none"/>
        </w:rPr>
      </w:pPr>
      <w:bookmarkStart w:id="303" w:name="_Toc481158506"/>
      <w:r>
        <w:rPr>
          <w:rFonts w:hint="eastAsia"/>
          <w:color w:val="auto"/>
          <w:highlight w:val="none"/>
          <w:u w:val="none"/>
        </w:rPr>
        <w:t>L</w:t>
      </w:r>
      <w:r>
        <w:rPr>
          <w:rFonts w:hint="eastAsia"/>
          <w:color w:val="auto"/>
          <w:highlight w:val="none"/>
          <w:u w:val="none"/>
          <w:vertAlign w:val="subscript"/>
        </w:rPr>
        <w:t>B</w:t>
      </w:r>
      <w:r>
        <w:rPr>
          <w:rFonts w:hint="eastAsia"/>
          <w:color w:val="auto"/>
          <w:highlight w:val="none"/>
          <w:u w:val="none"/>
        </w:rPr>
        <w:t>=0.191×Mv ×（P/（100910-P））</w:t>
      </w:r>
      <w:r>
        <w:rPr>
          <w:rFonts w:hint="eastAsia"/>
          <w:color w:val="auto"/>
          <w:highlight w:val="none"/>
          <w:u w:val="none"/>
          <w:vertAlign w:val="superscript"/>
        </w:rPr>
        <w:t>0.68</w:t>
      </w:r>
      <w:r>
        <w:rPr>
          <w:rFonts w:hint="eastAsia"/>
          <w:color w:val="auto"/>
          <w:highlight w:val="none"/>
          <w:u w:val="none"/>
        </w:rPr>
        <w:t>×D</w:t>
      </w:r>
      <w:r>
        <w:rPr>
          <w:rFonts w:hint="eastAsia"/>
          <w:color w:val="auto"/>
          <w:highlight w:val="none"/>
          <w:u w:val="none"/>
          <w:vertAlign w:val="superscript"/>
        </w:rPr>
        <w:t>1.73</w:t>
      </w:r>
      <w:r>
        <w:rPr>
          <w:rFonts w:hint="eastAsia"/>
          <w:color w:val="auto"/>
          <w:highlight w:val="none"/>
          <w:u w:val="none"/>
        </w:rPr>
        <w:t>×H</w:t>
      </w:r>
      <w:r>
        <w:rPr>
          <w:rFonts w:hint="eastAsia"/>
          <w:color w:val="auto"/>
          <w:highlight w:val="none"/>
          <w:u w:val="none"/>
          <w:vertAlign w:val="superscript"/>
        </w:rPr>
        <w:t>0.51</w:t>
      </w:r>
      <w:r>
        <w:rPr>
          <w:rFonts w:hint="eastAsia"/>
          <w:color w:val="auto"/>
          <w:highlight w:val="none"/>
          <w:u w:val="none"/>
        </w:rPr>
        <w:t>×△T</w:t>
      </w:r>
      <w:r>
        <w:rPr>
          <w:rFonts w:hint="eastAsia"/>
          <w:color w:val="auto"/>
          <w:highlight w:val="none"/>
          <w:u w:val="none"/>
          <w:vertAlign w:val="superscript"/>
        </w:rPr>
        <w:t>0.45</w:t>
      </w:r>
      <w:r>
        <w:rPr>
          <w:rFonts w:hint="eastAsia"/>
          <w:color w:val="auto"/>
          <w:highlight w:val="none"/>
          <w:u w:val="none"/>
        </w:rPr>
        <w:t>×F</w:t>
      </w:r>
      <w:r>
        <w:rPr>
          <w:rFonts w:hint="eastAsia"/>
          <w:color w:val="auto"/>
          <w:highlight w:val="none"/>
          <w:u w:val="none"/>
          <w:vertAlign w:val="subscript"/>
        </w:rPr>
        <w:t>P</w:t>
      </w:r>
      <w:r>
        <w:rPr>
          <w:rFonts w:hint="eastAsia"/>
          <w:color w:val="auto"/>
          <w:highlight w:val="none"/>
          <w:u w:val="none"/>
        </w:rPr>
        <w:t>×C×K</w:t>
      </w:r>
      <w:r>
        <w:rPr>
          <w:rFonts w:hint="eastAsia"/>
          <w:color w:val="auto"/>
          <w:highlight w:val="none"/>
          <w:u w:val="none"/>
          <w:vertAlign w:val="subscript"/>
        </w:rPr>
        <w:t>C</w:t>
      </w:r>
      <w:bookmarkEnd w:id="303"/>
    </w:p>
    <w:p w14:paraId="0980A9A6">
      <w:pPr>
        <w:rPr>
          <w:rFonts w:hint="eastAsia"/>
          <w:color w:val="auto"/>
          <w:highlight w:val="none"/>
          <w:u w:val="none"/>
        </w:rPr>
      </w:pPr>
      <w:r>
        <w:rPr>
          <w:rFonts w:hint="eastAsia"/>
          <w:color w:val="auto"/>
          <w:highlight w:val="none"/>
          <w:u w:val="none"/>
        </w:rPr>
        <w:t>式中：L</w:t>
      </w:r>
      <w:r>
        <w:rPr>
          <w:rFonts w:hint="eastAsia"/>
          <w:color w:val="auto"/>
          <w:highlight w:val="none"/>
          <w:u w:val="none"/>
          <w:vertAlign w:val="subscript"/>
        </w:rPr>
        <w:t>B</w:t>
      </w:r>
      <w:r>
        <w:rPr>
          <w:rFonts w:hint="eastAsia"/>
          <w:color w:val="auto"/>
          <w:highlight w:val="none"/>
          <w:u w:val="none"/>
        </w:rPr>
        <w:t>—固定顶罐的呼吸排放量（kg/a）；</w:t>
      </w:r>
    </w:p>
    <w:p w14:paraId="27F8EFA4">
      <w:pPr>
        <w:rPr>
          <w:rFonts w:hint="eastAsia"/>
          <w:color w:val="auto"/>
          <w:highlight w:val="none"/>
          <w:u w:val="none"/>
        </w:rPr>
      </w:pPr>
      <w:r>
        <w:rPr>
          <w:rFonts w:hint="eastAsia"/>
          <w:color w:val="auto"/>
          <w:highlight w:val="none"/>
          <w:u w:val="none"/>
        </w:rPr>
        <w:t xml:space="preserve">      Mv—储罐内蒸气的分子量；</w:t>
      </w:r>
    </w:p>
    <w:p w14:paraId="140E321C">
      <w:pPr>
        <w:rPr>
          <w:rFonts w:hint="eastAsia"/>
          <w:color w:val="auto"/>
          <w:highlight w:val="none"/>
          <w:u w:val="none"/>
        </w:rPr>
      </w:pPr>
      <w:r>
        <w:rPr>
          <w:rFonts w:hint="eastAsia"/>
          <w:color w:val="auto"/>
          <w:highlight w:val="none"/>
          <w:u w:val="none"/>
        </w:rPr>
        <w:t xml:space="preserve">      P—在大量液体状态下，真实的蒸气压力（Pa）；</w:t>
      </w:r>
    </w:p>
    <w:p w14:paraId="7FA5133E">
      <w:pPr>
        <w:rPr>
          <w:rFonts w:hint="eastAsia"/>
          <w:color w:val="auto"/>
          <w:highlight w:val="none"/>
          <w:u w:val="none"/>
        </w:rPr>
      </w:pPr>
      <w:r>
        <w:rPr>
          <w:rFonts w:hint="eastAsia"/>
          <w:color w:val="auto"/>
          <w:highlight w:val="none"/>
          <w:u w:val="none"/>
        </w:rPr>
        <w:t xml:space="preserve">      D—罐的直径（m）；</w:t>
      </w:r>
    </w:p>
    <w:p w14:paraId="7AE01EC4">
      <w:pPr>
        <w:rPr>
          <w:rFonts w:hint="eastAsia"/>
          <w:color w:val="auto"/>
          <w:highlight w:val="none"/>
          <w:u w:val="none"/>
        </w:rPr>
      </w:pPr>
      <w:r>
        <w:rPr>
          <w:rFonts w:hint="eastAsia"/>
          <w:color w:val="auto"/>
          <w:highlight w:val="none"/>
          <w:u w:val="none"/>
        </w:rPr>
        <w:t xml:space="preserve">      H—平均蒸气空间高度（m），以固定顶罐储存系数的80%计算；</w:t>
      </w:r>
    </w:p>
    <w:p w14:paraId="03093F1E">
      <w:pPr>
        <w:rPr>
          <w:rFonts w:hint="eastAsia"/>
          <w:color w:val="auto"/>
          <w:highlight w:val="none"/>
          <w:u w:val="none"/>
        </w:rPr>
      </w:pPr>
      <w:r>
        <w:rPr>
          <w:rFonts w:hint="eastAsia"/>
          <w:color w:val="auto"/>
          <w:highlight w:val="none"/>
          <w:u w:val="none"/>
        </w:rPr>
        <w:t xml:space="preserve">      △T—一天之内的平均温度差（℃），年平均温差取7℃；</w:t>
      </w:r>
    </w:p>
    <w:p w14:paraId="14C70365">
      <w:pPr>
        <w:rPr>
          <w:rFonts w:hint="eastAsia"/>
          <w:color w:val="auto"/>
          <w:highlight w:val="none"/>
          <w:u w:val="none"/>
        </w:rPr>
      </w:pPr>
      <w:r>
        <w:rPr>
          <w:rFonts w:hint="eastAsia"/>
          <w:color w:val="auto"/>
          <w:highlight w:val="none"/>
          <w:u w:val="none"/>
        </w:rPr>
        <w:t xml:space="preserve">      F</w:t>
      </w:r>
      <w:r>
        <w:rPr>
          <w:rFonts w:hint="eastAsia"/>
          <w:color w:val="auto"/>
          <w:highlight w:val="none"/>
          <w:u w:val="none"/>
          <w:vertAlign w:val="subscript"/>
        </w:rPr>
        <w:t>P</w:t>
      </w:r>
      <w:r>
        <w:rPr>
          <w:rFonts w:hint="eastAsia"/>
          <w:color w:val="auto"/>
          <w:highlight w:val="none"/>
          <w:u w:val="none"/>
        </w:rPr>
        <w:t>—涂层因子（无量纲），参考《能源技术手册》表2-7-4，涂料系数取1.20；</w:t>
      </w:r>
    </w:p>
    <w:p w14:paraId="31D9F497">
      <w:pPr>
        <w:rPr>
          <w:rFonts w:hint="eastAsia"/>
          <w:color w:val="auto"/>
          <w:highlight w:val="none"/>
          <w:u w:val="none"/>
        </w:rPr>
      </w:pPr>
      <w:r>
        <w:rPr>
          <w:rFonts w:hint="eastAsia"/>
          <w:color w:val="auto"/>
          <w:highlight w:val="none"/>
          <w:u w:val="none"/>
        </w:rPr>
        <w:t xml:space="preserve">      C—小直径储罐的校正系数；对于直径大于等于9.14m的储罐，可取值1.0，直径在0~9m之间的罐体，C=1-0.0123（D-9）2；</w:t>
      </w:r>
    </w:p>
    <w:p w14:paraId="1189067F">
      <w:pPr>
        <w:ind w:firstLine="1200" w:firstLineChars="500"/>
        <w:rPr>
          <w:rFonts w:hint="eastAsia"/>
          <w:color w:val="auto"/>
          <w:highlight w:val="none"/>
          <w:u w:val="none"/>
        </w:rPr>
      </w:pPr>
      <w:r>
        <w:rPr>
          <w:rFonts w:hint="eastAsia"/>
          <w:color w:val="auto"/>
          <w:highlight w:val="none"/>
          <w:u w:val="none"/>
        </w:rPr>
        <w:t>K</w:t>
      </w:r>
      <w:r>
        <w:rPr>
          <w:rFonts w:hint="eastAsia"/>
          <w:color w:val="auto"/>
          <w:highlight w:val="none"/>
          <w:u w:val="none"/>
          <w:vertAlign w:val="subscript"/>
        </w:rPr>
        <w:t>C</w:t>
      </w:r>
      <w:r>
        <w:rPr>
          <w:rFonts w:hint="eastAsia"/>
          <w:color w:val="auto"/>
          <w:highlight w:val="none"/>
          <w:u w:val="none"/>
        </w:rPr>
        <w:t>—产品因子（石油原油KC取0.65，其他的液体取1.0）。</w:t>
      </w:r>
    </w:p>
    <w:p w14:paraId="50CAEE1C">
      <w:pPr>
        <w:rPr>
          <w:rFonts w:hint="eastAsia"/>
          <w:color w:val="auto"/>
          <w:highlight w:val="none"/>
          <w:u w:val="none"/>
          <w:lang w:val="en-US"/>
        </w:rPr>
      </w:pPr>
      <w:r>
        <w:rPr>
          <w:rFonts w:hint="eastAsia"/>
          <w:color w:val="auto"/>
          <w:highlight w:val="none"/>
          <w:u w:val="none"/>
        </w:rPr>
        <w:t>②</w:t>
      </w:r>
      <w:r>
        <w:rPr>
          <w:rFonts w:hint="eastAsia"/>
          <w:color w:val="auto"/>
          <w:highlight w:val="none"/>
          <w:u w:val="none"/>
          <w:lang w:val="en-US"/>
        </w:rPr>
        <w:t>工作损耗</w:t>
      </w:r>
    </w:p>
    <w:p w14:paraId="141D75F3">
      <w:pPr>
        <w:rPr>
          <w:rFonts w:hint="eastAsia"/>
          <w:color w:val="auto"/>
          <w:highlight w:val="none"/>
          <w:u w:val="none"/>
        </w:rPr>
      </w:pPr>
      <w:r>
        <w:rPr>
          <w:rFonts w:hint="eastAsia"/>
          <w:color w:val="auto"/>
          <w:highlight w:val="none"/>
          <w:u w:val="none"/>
        </w:rPr>
        <w:t>固定</w:t>
      </w:r>
      <w:r>
        <w:rPr>
          <w:rFonts w:hint="eastAsia"/>
          <w:color w:val="auto"/>
          <w:highlight w:val="none"/>
          <w:u w:val="none"/>
          <w:lang w:val="en-US"/>
        </w:rPr>
        <w:t>顶</w:t>
      </w:r>
      <w:r>
        <w:rPr>
          <w:rFonts w:hint="eastAsia"/>
          <w:color w:val="auto"/>
          <w:highlight w:val="none"/>
          <w:u w:val="none"/>
        </w:rPr>
        <w:t>罐</w:t>
      </w:r>
      <w:r>
        <w:rPr>
          <w:rFonts w:hint="eastAsia"/>
          <w:color w:val="auto"/>
          <w:highlight w:val="none"/>
          <w:u w:val="none"/>
          <w:lang w:val="en-US"/>
        </w:rPr>
        <w:t>的收发物料过程中产生的工作损耗，</w:t>
      </w:r>
      <w:r>
        <w:rPr>
          <w:rFonts w:hint="eastAsia"/>
          <w:color w:val="auto"/>
          <w:highlight w:val="none"/>
          <w:u w:val="none"/>
        </w:rPr>
        <w:t>通过美国石油学会（API）推荐方法计算，如下式：</w:t>
      </w:r>
    </w:p>
    <w:p w14:paraId="4942B395">
      <w:pPr>
        <w:rPr>
          <w:rFonts w:hint="eastAsia"/>
          <w:color w:val="auto"/>
          <w:highlight w:val="none"/>
          <w:u w:val="none"/>
        </w:rPr>
      </w:pPr>
      <w:r>
        <w:rPr>
          <w:rFonts w:hint="eastAsia"/>
          <w:color w:val="auto"/>
          <w:highlight w:val="none"/>
          <w:u w:val="none"/>
        </w:rPr>
        <w:drawing>
          <wp:inline distT="0" distB="0" distL="114300" distR="114300">
            <wp:extent cx="2707640" cy="243205"/>
            <wp:effectExtent l="0" t="0" r="16510" b="3810"/>
            <wp:docPr id="9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3"/>
                    <pic:cNvPicPr>
                      <a:picLocks noChangeAspect="1"/>
                    </pic:cNvPicPr>
                  </pic:nvPicPr>
                  <pic:blipFill>
                    <a:blip r:embed="rId30"/>
                    <a:stretch>
                      <a:fillRect/>
                    </a:stretch>
                  </pic:blipFill>
                  <pic:spPr>
                    <a:xfrm>
                      <a:off x="0" y="0"/>
                      <a:ext cx="2707640" cy="243205"/>
                    </a:xfrm>
                    <a:prstGeom prst="rect">
                      <a:avLst/>
                    </a:prstGeom>
                    <a:noFill/>
                    <a:ln>
                      <a:noFill/>
                    </a:ln>
                  </pic:spPr>
                </pic:pic>
              </a:graphicData>
            </a:graphic>
          </wp:inline>
        </w:drawing>
      </w:r>
    </w:p>
    <w:p w14:paraId="1EF03FD6">
      <w:pPr>
        <w:rPr>
          <w:rFonts w:hint="eastAsia"/>
          <w:color w:val="auto"/>
          <w:highlight w:val="none"/>
          <w:u w:val="none"/>
        </w:rPr>
      </w:pPr>
      <w:r>
        <w:rPr>
          <w:rFonts w:hint="eastAsia"/>
          <w:color w:val="auto"/>
          <w:highlight w:val="none"/>
          <w:u w:val="none"/>
        </w:rPr>
        <w:t>式中，Lw—装罐损耗，kg/a；</w:t>
      </w:r>
    </w:p>
    <w:p w14:paraId="01CDAD04">
      <w:pPr>
        <w:rPr>
          <w:rFonts w:hint="eastAsia"/>
          <w:color w:val="auto"/>
          <w:highlight w:val="none"/>
          <w:u w:val="none"/>
        </w:rPr>
      </w:pPr>
      <w:r>
        <w:rPr>
          <w:rFonts w:hint="eastAsia"/>
          <w:color w:val="auto"/>
          <w:highlight w:val="none"/>
          <w:u w:val="none"/>
        </w:rPr>
        <w:t xml:space="preserve">      Mv—储存物质的分子量；</w:t>
      </w:r>
    </w:p>
    <w:p w14:paraId="4A7335BD">
      <w:pPr>
        <w:rPr>
          <w:rFonts w:hint="eastAsia"/>
          <w:color w:val="auto"/>
          <w:highlight w:val="none"/>
          <w:u w:val="none"/>
        </w:rPr>
      </w:pPr>
      <w:r>
        <w:rPr>
          <w:rFonts w:hint="eastAsia"/>
          <w:color w:val="auto"/>
          <w:highlight w:val="none"/>
          <w:u w:val="none"/>
        </w:rPr>
        <w:t xml:space="preserve">      P—存储物质平均存储温度下的真实蒸汽压，kPa；</w:t>
      </w:r>
    </w:p>
    <w:p w14:paraId="40E171D9">
      <w:pPr>
        <w:rPr>
          <w:rFonts w:hint="eastAsia"/>
          <w:color w:val="auto"/>
          <w:highlight w:val="none"/>
          <w:u w:val="none"/>
        </w:rPr>
      </w:pPr>
      <w:r>
        <w:rPr>
          <w:rFonts w:hint="eastAsia"/>
          <w:color w:val="auto"/>
          <w:highlight w:val="none"/>
          <w:u w:val="none"/>
        </w:rPr>
        <w:t xml:space="preserve">      V—储罐容积，m</w:t>
      </w:r>
      <w:r>
        <w:rPr>
          <w:rFonts w:hint="eastAsia"/>
          <w:color w:val="auto"/>
          <w:highlight w:val="none"/>
          <w:u w:val="none"/>
          <w:vertAlign w:val="superscript"/>
        </w:rPr>
        <w:t>3</w:t>
      </w:r>
      <w:r>
        <w:rPr>
          <w:rFonts w:hint="eastAsia"/>
          <w:color w:val="auto"/>
          <w:highlight w:val="none"/>
          <w:u w:val="none"/>
        </w:rPr>
        <w:t>；</w:t>
      </w:r>
    </w:p>
    <w:p w14:paraId="23D968AD">
      <w:pPr>
        <w:rPr>
          <w:rFonts w:hint="eastAsia"/>
          <w:color w:val="auto"/>
          <w:highlight w:val="none"/>
          <w:u w:val="none"/>
        </w:rPr>
      </w:pPr>
      <w:r>
        <w:rPr>
          <w:rFonts w:hint="eastAsia"/>
          <w:color w:val="auto"/>
          <w:highlight w:val="none"/>
          <w:u w:val="none"/>
        </w:rPr>
        <w:t xml:space="preserve">      N—翻转次数；</w:t>
      </w:r>
    </w:p>
    <w:p w14:paraId="66917C54">
      <w:pPr>
        <w:rPr>
          <w:rFonts w:hint="eastAsia"/>
          <w:color w:val="auto"/>
          <w:highlight w:val="none"/>
          <w:u w:val="none"/>
        </w:rPr>
      </w:pPr>
      <w:r>
        <w:rPr>
          <w:rFonts w:hint="eastAsia"/>
          <w:color w:val="auto"/>
          <w:highlight w:val="none"/>
          <w:u w:val="none"/>
        </w:rPr>
        <w:t xml:space="preserve">      Kn—翻转系数，当年周转次数N大于36时，Kn＝（180＋N）/6N，当N小于或等于36时，Kn＝1。</w:t>
      </w:r>
    </w:p>
    <w:p w14:paraId="7E97E668">
      <w:pPr>
        <w:rPr>
          <w:rFonts w:hint="eastAsia"/>
          <w:color w:val="auto"/>
          <w:highlight w:val="none"/>
          <w:u w:val="none"/>
        </w:rPr>
      </w:pPr>
      <w:r>
        <w:rPr>
          <w:rFonts w:hint="eastAsia"/>
          <w:color w:val="auto"/>
          <w:highlight w:val="none"/>
          <w:u w:val="none"/>
        </w:rPr>
        <w:t>本项目硝酸储罐、</w:t>
      </w:r>
      <w:r>
        <w:rPr>
          <w:color w:val="auto"/>
          <w:highlight w:val="none"/>
          <w:u w:val="none"/>
        </w:rPr>
        <w:t>MNT</w:t>
      </w:r>
      <w:r>
        <w:rPr>
          <w:rFonts w:hint="eastAsia"/>
          <w:color w:val="auto"/>
          <w:highlight w:val="none"/>
          <w:u w:val="none"/>
        </w:rPr>
        <w:t>废酸储罐工作损耗、静置损耗废气，由尾气吸收管密闭收集，经液环压缩机加压后送至硝烟吸收塔与硝化工序的酸性废气一起</w:t>
      </w:r>
      <w:r>
        <w:rPr>
          <w:color w:val="auto"/>
          <w:highlight w:val="none"/>
          <w:u w:val="none"/>
        </w:rPr>
        <w:t>进行</w:t>
      </w:r>
      <w:r>
        <w:rPr>
          <w:rFonts w:hint="eastAsia"/>
          <w:color w:val="auto"/>
          <w:highlight w:val="none"/>
          <w:u w:val="none"/>
        </w:rPr>
        <w:t>低温</w:t>
      </w:r>
      <w:r>
        <w:rPr>
          <w:color w:val="auto"/>
          <w:highlight w:val="none"/>
          <w:u w:val="none"/>
        </w:rPr>
        <w:t>加压</w:t>
      </w:r>
      <w:r>
        <w:rPr>
          <w:rFonts w:hint="eastAsia"/>
          <w:color w:val="auto"/>
          <w:highlight w:val="none"/>
          <w:u w:val="none"/>
        </w:rPr>
        <w:t>水吸收预处理后，送往万华环保科技公司能量回收装置进行处置，硝酸储罐、</w:t>
      </w:r>
      <w:r>
        <w:rPr>
          <w:color w:val="auto"/>
          <w:highlight w:val="none"/>
          <w:u w:val="none"/>
        </w:rPr>
        <w:t>MNT</w:t>
      </w:r>
      <w:r>
        <w:rPr>
          <w:rFonts w:hint="eastAsia"/>
          <w:color w:val="auto"/>
          <w:highlight w:val="none"/>
          <w:u w:val="none"/>
        </w:rPr>
        <w:t>废酸储罐工作损耗、静置损耗废气不存在无组织排放。</w:t>
      </w:r>
    </w:p>
    <w:p w14:paraId="6E981924">
      <w:pPr>
        <w:rPr>
          <w:rFonts w:hint="eastAsia" w:eastAsia="宋体"/>
          <w:color w:val="auto"/>
          <w:highlight w:val="none"/>
          <w:u w:val="none"/>
          <w:lang w:eastAsia="zh-CN"/>
        </w:rPr>
        <w:sectPr>
          <w:pgSz w:w="11906" w:h="16838"/>
          <w:pgMar w:top="1440" w:right="1418" w:bottom="1440" w:left="1418" w:header="851" w:footer="992" w:gutter="0"/>
          <w:cols w:space="425" w:num="1"/>
          <w:docGrid w:type="lines" w:linePitch="312" w:charSpace="0"/>
        </w:sectPr>
      </w:pPr>
      <w:r>
        <w:rPr>
          <w:rFonts w:hint="eastAsia"/>
          <w:color w:val="auto"/>
          <w:highlight w:val="none"/>
          <w:u w:val="none"/>
        </w:rPr>
        <w:t>本项目无机液体储罐废气产生及有组织排放情况见</w:t>
      </w:r>
      <w:r>
        <w:rPr>
          <w:rFonts w:hint="eastAsia"/>
          <w:color w:val="auto"/>
          <w:highlight w:val="none"/>
          <w:u w:val="none"/>
        </w:rPr>
        <w:fldChar w:fldCharType="begin"/>
      </w:r>
      <w:r>
        <w:rPr>
          <w:rFonts w:hint="eastAsia"/>
          <w:color w:val="auto"/>
          <w:highlight w:val="none"/>
          <w:u w:val="none"/>
        </w:rPr>
        <w:instrText xml:space="preserve"> REF _Ref24264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5.4</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rPr>
        <w:fldChar w:fldCharType="end"/>
      </w:r>
      <w:r>
        <w:rPr>
          <w:rFonts w:hint="eastAsia"/>
          <w:color w:val="auto"/>
          <w:highlight w:val="none"/>
          <w:u w:val="none"/>
          <w:lang w:val="en-US" w:eastAsia="zh-CN"/>
        </w:rPr>
        <w:t>~</w:t>
      </w:r>
      <w:r>
        <w:rPr>
          <w:rFonts w:hint="eastAsia"/>
          <w:color w:val="auto"/>
          <w:highlight w:val="none"/>
          <w:u w:val="none"/>
          <w:lang w:eastAsia="zh-CN"/>
        </w:rPr>
        <w:fldChar w:fldCharType="begin"/>
      </w:r>
      <w:r>
        <w:rPr>
          <w:rFonts w:hint="eastAsia"/>
          <w:color w:val="auto"/>
          <w:highlight w:val="none"/>
          <w:u w:val="none"/>
          <w:lang w:eastAsia="zh-CN"/>
        </w:rPr>
        <w:instrText xml:space="preserve"> REF _Ref24274 \h </w:instrText>
      </w:r>
      <w:r>
        <w:rPr>
          <w:rFonts w:hint="eastAsia"/>
          <w:color w:val="auto"/>
          <w:highlight w:val="none"/>
          <w:u w:val="none"/>
          <w:lang w:eastAsia="zh-CN"/>
        </w:rPr>
        <w:fldChar w:fldCharType="separate"/>
      </w:r>
      <w:r>
        <w:rPr>
          <w:rFonts w:hint="eastAsia"/>
          <w:color w:val="auto"/>
          <w:highlight w:val="none"/>
          <w:u w:val="none"/>
        </w:rPr>
        <w:t xml:space="preserve">表 </w:t>
      </w:r>
      <w:r>
        <w:rPr>
          <w:rFonts w:hint="eastAsia"/>
          <w:color w:val="auto"/>
          <w:highlight w:val="none"/>
          <w:u w:val="none"/>
        </w:rPr>
        <w:fldChar w:fldCharType="begin"/>
      </w:r>
      <w:r>
        <w:rPr>
          <w:rFonts w:hint="eastAsia"/>
          <w:color w:val="auto"/>
          <w:highlight w:val="none"/>
          <w:u w:val="none"/>
        </w:rPr>
        <w:instrText xml:space="preserve"> STYLEREF 2 \s </w:instrText>
      </w:r>
      <w:r>
        <w:rPr>
          <w:rFonts w:hint="eastAsia"/>
          <w:color w:val="auto"/>
          <w:highlight w:val="none"/>
          <w:u w:val="none"/>
        </w:rPr>
        <w:fldChar w:fldCharType="separate"/>
      </w:r>
      <w:r>
        <w:rPr>
          <w:rFonts w:hint="eastAsia"/>
          <w:color w:val="auto"/>
          <w:highlight w:val="none"/>
          <w:u w:val="none"/>
        </w:rPr>
        <w:t>5.4</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6</w:t>
      </w:r>
      <w:r>
        <w:rPr>
          <w:rFonts w:hint="eastAsia"/>
          <w:color w:val="auto"/>
          <w:highlight w:val="none"/>
          <w:u w:val="none"/>
          <w:lang w:eastAsia="zh-CN"/>
        </w:rPr>
        <w:fldChar w:fldCharType="end"/>
      </w:r>
      <w:r>
        <w:rPr>
          <w:rFonts w:hint="eastAsia"/>
          <w:color w:val="auto"/>
          <w:highlight w:val="none"/>
          <w:u w:val="none"/>
          <w:lang w:eastAsia="zh-CN"/>
        </w:rPr>
        <w:t>。</w:t>
      </w:r>
    </w:p>
    <w:p w14:paraId="4185C35C">
      <w:pPr>
        <w:pStyle w:val="85"/>
        <w:rPr>
          <w:color w:val="auto"/>
          <w:highlight w:val="none"/>
          <w:u w:val="none"/>
        </w:rPr>
      </w:pPr>
      <w:bookmarkStart w:id="304" w:name="_Ref24264"/>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304"/>
      <w:r>
        <w:rPr>
          <w:rFonts w:hint="eastAsia"/>
          <w:color w:val="auto"/>
          <w:highlight w:val="none"/>
          <w:u w:val="none"/>
        </w:rPr>
        <w:t xml:space="preserve"> 本项目储罐新增大呼吸损耗参数选定和计算结果一览表</w:t>
      </w:r>
    </w:p>
    <w:tbl>
      <w:tblPr>
        <w:tblStyle w:val="5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808"/>
        <w:gridCol w:w="1064"/>
        <w:gridCol w:w="1226"/>
        <w:gridCol w:w="1064"/>
        <w:gridCol w:w="1061"/>
        <w:gridCol w:w="1160"/>
        <w:gridCol w:w="1132"/>
        <w:gridCol w:w="1172"/>
        <w:gridCol w:w="1410"/>
        <w:gridCol w:w="1140"/>
        <w:gridCol w:w="1342"/>
      </w:tblGrid>
      <w:tr w14:paraId="341ED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restart"/>
            <w:tcBorders>
              <w:tl2br w:val="nil"/>
              <w:tr2bl w:val="nil"/>
            </w:tcBorders>
            <w:vAlign w:val="center"/>
          </w:tcPr>
          <w:p w14:paraId="43A47EF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序号</w:t>
            </w:r>
          </w:p>
        </w:tc>
        <w:tc>
          <w:tcPr>
            <w:tcW w:w="1808" w:type="dxa"/>
            <w:vMerge w:val="restart"/>
            <w:tcBorders>
              <w:tl2br w:val="nil"/>
              <w:tr2bl w:val="nil"/>
            </w:tcBorders>
            <w:vAlign w:val="center"/>
          </w:tcPr>
          <w:p w14:paraId="18A845D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储存</w:t>
            </w:r>
          </w:p>
          <w:p w14:paraId="0A8D119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物质</w:t>
            </w:r>
          </w:p>
        </w:tc>
        <w:tc>
          <w:tcPr>
            <w:tcW w:w="9289" w:type="dxa"/>
            <w:gridSpan w:val="8"/>
            <w:tcBorders>
              <w:tl2br w:val="nil"/>
              <w:tr2bl w:val="nil"/>
            </w:tcBorders>
            <w:vAlign w:val="center"/>
          </w:tcPr>
          <w:p w14:paraId="60E8B3A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参数选定</w:t>
            </w:r>
          </w:p>
        </w:tc>
        <w:tc>
          <w:tcPr>
            <w:tcW w:w="2482" w:type="dxa"/>
            <w:gridSpan w:val="2"/>
            <w:tcBorders>
              <w:tl2br w:val="nil"/>
              <w:tr2bl w:val="nil"/>
            </w:tcBorders>
            <w:vAlign w:val="center"/>
          </w:tcPr>
          <w:p w14:paraId="5A4214A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大呼吸损耗计算</w:t>
            </w:r>
          </w:p>
        </w:tc>
      </w:tr>
      <w:tr w14:paraId="20417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tcBorders>
              <w:tl2br w:val="nil"/>
              <w:tr2bl w:val="nil"/>
            </w:tcBorders>
            <w:vAlign w:val="center"/>
          </w:tcPr>
          <w:p w14:paraId="1D23B286">
            <w:pPr>
              <w:widowControl/>
              <w:spacing w:line="240" w:lineRule="auto"/>
              <w:ind w:firstLine="0" w:firstLineChars="0"/>
              <w:jc w:val="center"/>
              <w:rPr>
                <w:rFonts w:hint="eastAsia"/>
                <w:color w:val="auto"/>
                <w:sz w:val="21"/>
                <w:szCs w:val="21"/>
                <w:highlight w:val="none"/>
                <w:u w:val="none"/>
              </w:rPr>
            </w:pPr>
          </w:p>
        </w:tc>
        <w:tc>
          <w:tcPr>
            <w:tcW w:w="1808" w:type="dxa"/>
            <w:vMerge w:val="continue"/>
            <w:tcBorders>
              <w:tl2br w:val="nil"/>
              <w:tr2bl w:val="nil"/>
            </w:tcBorders>
            <w:vAlign w:val="center"/>
          </w:tcPr>
          <w:p w14:paraId="7D84700E">
            <w:pPr>
              <w:widowControl/>
              <w:spacing w:line="240" w:lineRule="auto"/>
              <w:ind w:firstLine="0" w:firstLineChars="0"/>
              <w:jc w:val="center"/>
              <w:rPr>
                <w:rFonts w:hint="eastAsia"/>
                <w:color w:val="auto"/>
                <w:sz w:val="21"/>
                <w:szCs w:val="21"/>
                <w:highlight w:val="none"/>
                <w:u w:val="none"/>
              </w:rPr>
            </w:pPr>
          </w:p>
        </w:tc>
        <w:tc>
          <w:tcPr>
            <w:tcW w:w="1064" w:type="dxa"/>
            <w:tcBorders>
              <w:tl2br w:val="nil"/>
              <w:tr2bl w:val="nil"/>
            </w:tcBorders>
            <w:vAlign w:val="center"/>
          </w:tcPr>
          <w:p w14:paraId="5CCBBDD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w:t>
            </w:r>
          </w:p>
        </w:tc>
        <w:tc>
          <w:tcPr>
            <w:tcW w:w="1226" w:type="dxa"/>
            <w:tcBorders>
              <w:tl2br w:val="nil"/>
              <w:tr2bl w:val="nil"/>
            </w:tcBorders>
            <w:vAlign w:val="center"/>
          </w:tcPr>
          <w:p w14:paraId="0F3E217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P(kPa)</w:t>
            </w:r>
          </w:p>
        </w:tc>
        <w:tc>
          <w:tcPr>
            <w:tcW w:w="1064" w:type="dxa"/>
            <w:tcBorders>
              <w:tl2br w:val="nil"/>
              <w:tr2bl w:val="nil"/>
            </w:tcBorders>
            <w:vAlign w:val="center"/>
          </w:tcPr>
          <w:p w14:paraId="5D97B07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V(m</w:t>
            </w:r>
            <w:r>
              <w:rPr>
                <w:color w:val="auto"/>
                <w:sz w:val="21"/>
                <w:szCs w:val="21"/>
                <w:highlight w:val="none"/>
                <w:u w:val="none"/>
                <w:vertAlign w:val="superscript"/>
              </w:rPr>
              <w:t>3</w:t>
            </w:r>
            <w:r>
              <w:rPr>
                <w:color w:val="auto"/>
                <w:sz w:val="21"/>
                <w:szCs w:val="21"/>
                <w:highlight w:val="none"/>
                <w:u w:val="none"/>
              </w:rPr>
              <w:t>)</w:t>
            </w:r>
          </w:p>
        </w:tc>
        <w:tc>
          <w:tcPr>
            <w:tcW w:w="1061" w:type="dxa"/>
            <w:tcBorders>
              <w:tl2br w:val="nil"/>
              <w:tr2bl w:val="nil"/>
            </w:tcBorders>
            <w:vAlign w:val="center"/>
          </w:tcPr>
          <w:p w14:paraId="1F58DEC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N(次/a)</w:t>
            </w:r>
          </w:p>
        </w:tc>
        <w:tc>
          <w:tcPr>
            <w:tcW w:w="1160" w:type="dxa"/>
            <w:tcBorders>
              <w:tl2br w:val="nil"/>
              <w:tr2bl w:val="nil"/>
            </w:tcBorders>
            <w:vAlign w:val="center"/>
          </w:tcPr>
          <w:p w14:paraId="2F68531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Kn</w:t>
            </w:r>
          </w:p>
        </w:tc>
        <w:tc>
          <w:tcPr>
            <w:tcW w:w="1132" w:type="dxa"/>
            <w:tcBorders>
              <w:tl2br w:val="nil"/>
              <w:tr2bl w:val="nil"/>
            </w:tcBorders>
            <w:vAlign w:val="center"/>
          </w:tcPr>
          <w:p w14:paraId="5047589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Kc</w:t>
            </w:r>
          </w:p>
        </w:tc>
        <w:tc>
          <w:tcPr>
            <w:tcW w:w="1172" w:type="dxa"/>
            <w:tcBorders>
              <w:tl2br w:val="nil"/>
              <w:tr2bl w:val="nil"/>
            </w:tcBorders>
            <w:vAlign w:val="center"/>
          </w:tcPr>
          <w:p w14:paraId="5C1D7EA7">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ρ(g/</w:t>
            </w:r>
            <w:r>
              <w:rPr>
                <w:rFonts w:hint="eastAsia"/>
                <w:color w:val="auto"/>
                <w:sz w:val="21"/>
                <w:szCs w:val="21"/>
                <w:highlight w:val="none"/>
                <w:u w:val="none"/>
                <w:lang w:val="en-US"/>
              </w:rPr>
              <w:t>c</w:t>
            </w:r>
            <w:r>
              <w:rPr>
                <w:color w:val="auto"/>
                <w:sz w:val="21"/>
                <w:szCs w:val="21"/>
                <w:highlight w:val="none"/>
                <w:u w:val="none"/>
              </w:rPr>
              <w:t>m</w:t>
            </w:r>
            <w:r>
              <w:rPr>
                <w:color w:val="auto"/>
                <w:sz w:val="21"/>
                <w:szCs w:val="21"/>
                <w:highlight w:val="none"/>
                <w:u w:val="none"/>
                <w:vertAlign w:val="superscript"/>
              </w:rPr>
              <w:t>3</w:t>
            </w:r>
            <w:r>
              <w:rPr>
                <w:color w:val="auto"/>
                <w:sz w:val="21"/>
                <w:szCs w:val="21"/>
                <w:highlight w:val="none"/>
                <w:u w:val="none"/>
              </w:rPr>
              <w:t>)</w:t>
            </w:r>
          </w:p>
        </w:tc>
        <w:tc>
          <w:tcPr>
            <w:tcW w:w="1410" w:type="dxa"/>
            <w:tcBorders>
              <w:tl2br w:val="nil"/>
              <w:tr2bl w:val="nil"/>
            </w:tcBorders>
            <w:vAlign w:val="center"/>
          </w:tcPr>
          <w:p w14:paraId="7290AD8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m(t/a)</w:t>
            </w:r>
          </w:p>
        </w:tc>
        <w:tc>
          <w:tcPr>
            <w:tcW w:w="1140" w:type="dxa"/>
            <w:tcBorders>
              <w:tl2br w:val="nil"/>
              <w:tr2bl w:val="nil"/>
            </w:tcBorders>
            <w:vAlign w:val="center"/>
          </w:tcPr>
          <w:p w14:paraId="335ECEB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总损耗</w:t>
            </w:r>
          </w:p>
        </w:tc>
        <w:tc>
          <w:tcPr>
            <w:tcW w:w="1342" w:type="dxa"/>
            <w:tcBorders>
              <w:tl2br w:val="nil"/>
              <w:tr2bl w:val="nil"/>
            </w:tcBorders>
            <w:vAlign w:val="center"/>
          </w:tcPr>
          <w:p w14:paraId="572E24A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瞬时最大产生源强</w:t>
            </w:r>
          </w:p>
        </w:tc>
      </w:tr>
      <w:tr w14:paraId="70C5C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tcBorders>
              <w:tl2br w:val="nil"/>
              <w:tr2bl w:val="nil"/>
            </w:tcBorders>
            <w:vAlign w:val="center"/>
          </w:tcPr>
          <w:p w14:paraId="0BB9A185">
            <w:pPr>
              <w:widowControl/>
              <w:spacing w:line="240" w:lineRule="auto"/>
              <w:ind w:firstLine="0" w:firstLineChars="0"/>
              <w:jc w:val="center"/>
              <w:rPr>
                <w:rFonts w:hint="eastAsia"/>
                <w:color w:val="auto"/>
                <w:sz w:val="21"/>
                <w:szCs w:val="21"/>
                <w:highlight w:val="none"/>
                <w:u w:val="none"/>
              </w:rPr>
            </w:pPr>
          </w:p>
        </w:tc>
        <w:tc>
          <w:tcPr>
            <w:tcW w:w="1808" w:type="dxa"/>
            <w:vMerge w:val="continue"/>
            <w:tcBorders>
              <w:tl2br w:val="nil"/>
              <w:tr2bl w:val="nil"/>
            </w:tcBorders>
            <w:vAlign w:val="center"/>
          </w:tcPr>
          <w:p w14:paraId="6B76248F">
            <w:pPr>
              <w:widowControl/>
              <w:spacing w:line="240" w:lineRule="auto"/>
              <w:ind w:firstLine="0" w:firstLineChars="0"/>
              <w:jc w:val="center"/>
              <w:rPr>
                <w:rFonts w:hint="eastAsia"/>
                <w:color w:val="auto"/>
                <w:sz w:val="21"/>
                <w:szCs w:val="21"/>
                <w:highlight w:val="none"/>
                <w:u w:val="none"/>
              </w:rPr>
            </w:pPr>
          </w:p>
        </w:tc>
        <w:tc>
          <w:tcPr>
            <w:tcW w:w="1064" w:type="dxa"/>
            <w:tcBorders>
              <w:tl2br w:val="nil"/>
              <w:tr2bl w:val="nil"/>
            </w:tcBorders>
            <w:vAlign w:val="center"/>
          </w:tcPr>
          <w:p w14:paraId="2E65797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分子量</w:t>
            </w:r>
          </w:p>
        </w:tc>
        <w:tc>
          <w:tcPr>
            <w:tcW w:w="1226" w:type="dxa"/>
            <w:tcBorders>
              <w:tl2br w:val="nil"/>
              <w:tr2bl w:val="nil"/>
            </w:tcBorders>
            <w:vAlign w:val="center"/>
          </w:tcPr>
          <w:p w14:paraId="05F172E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真实</w:t>
            </w:r>
          </w:p>
          <w:p w14:paraId="1AD26D0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蒸汽压</w:t>
            </w:r>
          </w:p>
        </w:tc>
        <w:tc>
          <w:tcPr>
            <w:tcW w:w="1064" w:type="dxa"/>
            <w:tcBorders>
              <w:tl2br w:val="nil"/>
              <w:tr2bl w:val="nil"/>
            </w:tcBorders>
            <w:vAlign w:val="center"/>
          </w:tcPr>
          <w:p w14:paraId="15AE50B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储罐</w:t>
            </w:r>
          </w:p>
          <w:p w14:paraId="5B5BFAF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容积</w:t>
            </w:r>
          </w:p>
        </w:tc>
        <w:tc>
          <w:tcPr>
            <w:tcW w:w="1061" w:type="dxa"/>
            <w:tcBorders>
              <w:tl2br w:val="nil"/>
              <w:tr2bl w:val="nil"/>
            </w:tcBorders>
            <w:vAlign w:val="center"/>
          </w:tcPr>
          <w:p w14:paraId="72B69D5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次数</w:t>
            </w:r>
          </w:p>
        </w:tc>
        <w:tc>
          <w:tcPr>
            <w:tcW w:w="1160" w:type="dxa"/>
            <w:tcBorders>
              <w:tl2br w:val="nil"/>
              <w:tr2bl w:val="nil"/>
            </w:tcBorders>
            <w:vAlign w:val="center"/>
          </w:tcPr>
          <w:p w14:paraId="62BE9F0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系数</w:t>
            </w:r>
          </w:p>
        </w:tc>
        <w:tc>
          <w:tcPr>
            <w:tcW w:w="1132" w:type="dxa"/>
            <w:tcBorders>
              <w:tl2br w:val="nil"/>
              <w:tr2bl w:val="nil"/>
            </w:tcBorders>
            <w:vAlign w:val="center"/>
          </w:tcPr>
          <w:p w14:paraId="45E848D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系数</w:t>
            </w:r>
          </w:p>
        </w:tc>
        <w:tc>
          <w:tcPr>
            <w:tcW w:w="1172" w:type="dxa"/>
            <w:tcBorders>
              <w:tl2br w:val="nil"/>
              <w:tr2bl w:val="nil"/>
            </w:tcBorders>
            <w:vAlign w:val="center"/>
          </w:tcPr>
          <w:p w14:paraId="7B3ED311">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密度</w:t>
            </w:r>
          </w:p>
        </w:tc>
        <w:tc>
          <w:tcPr>
            <w:tcW w:w="1410" w:type="dxa"/>
            <w:tcBorders>
              <w:tl2br w:val="nil"/>
              <w:tr2bl w:val="nil"/>
            </w:tcBorders>
            <w:vAlign w:val="center"/>
          </w:tcPr>
          <w:p w14:paraId="34341C27">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年消</w:t>
            </w:r>
          </w:p>
          <w:p w14:paraId="4E28CA1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耗量</w:t>
            </w:r>
          </w:p>
        </w:tc>
        <w:tc>
          <w:tcPr>
            <w:tcW w:w="1140" w:type="dxa"/>
            <w:tcBorders>
              <w:tl2br w:val="nil"/>
              <w:tr2bl w:val="nil"/>
            </w:tcBorders>
            <w:vAlign w:val="center"/>
          </w:tcPr>
          <w:p w14:paraId="0DDD26C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kg/a</w:t>
            </w:r>
          </w:p>
        </w:tc>
        <w:tc>
          <w:tcPr>
            <w:tcW w:w="1342" w:type="dxa"/>
            <w:tcBorders>
              <w:tl2br w:val="nil"/>
              <w:tr2bl w:val="nil"/>
            </w:tcBorders>
            <w:vAlign w:val="center"/>
          </w:tcPr>
          <w:p w14:paraId="78264F8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kg/h</w:t>
            </w:r>
          </w:p>
        </w:tc>
      </w:tr>
      <w:tr w14:paraId="33657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6F249453">
            <w:pPr>
              <w:widowControl/>
              <w:spacing w:line="240" w:lineRule="auto"/>
              <w:ind w:firstLine="0" w:firstLineChars="0"/>
              <w:jc w:val="center"/>
              <w:rPr>
                <w:rFonts w:hint="eastAsia"/>
                <w:color w:val="auto"/>
                <w:sz w:val="21"/>
                <w:szCs w:val="21"/>
                <w:highlight w:val="none"/>
                <w:u w:val="none"/>
              </w:rPr>
            </w:pPr>
            <w:bookmarkStart w:id="305" w:name="_Hlk521430539"/>
            <w:r>
              <w:rPr>
                <w:color w:val="auto"/>
                <w:sz w:val="21"/>
                <w:szCs w:val="21"/>
                <w:highlight w:val="none"/>
                <w:u w:val="none"/>
              </w:rPr>
              <w:t>1</w:t>
            </w:r>
          </w:p>
        </w:tc>
        <w:tc>
          <w:tcPr>
            <w:tcW w:w="1808" w:type="dxa"/>
            <w:tcBorders>
              <w:tl2br w:val="nil"/>
              <w:tr2bl w:val="nil"/>
            </w:tcBorders>
            <w:vAlign w:val="center"/>
          </w:tcPr>
          <w:p w14:paraId="695B2F8F">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浓硝酸</w:t>
            </w:r>
          </w:p>
        </w:tc>
        <w:tc>
          <w:tcPr>
            <w:tcW w:w="1064" w:type="dxa"/>
            <w:tcBorders>
              <w:tl2br w:val="nil"/>
              <w:tr2bl w:val="nil"/>
            </w:tcBorders>
            <w:vAlign w:val="center"/>
          </w:tcPr>
          <w:p w14:paraId="6A3C611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63</w:t>
            </w:r>
          </w:p>
        </w:tc>
        <w:tc>
          <w:tcPr>
            <w:tcW w:w="1226" w:type="dxa"/>
            <w:tcBorders>
              <w:tl2br w:val="nil"/>
              <w:tr2bl w:val="nil"/>
            </w:tcBorders>
            <w:vAlign w:val="center"/>
          </w:tcPr>
          <w:p w14:paraId="29653E31">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6.4</w:t>
            </w:r>
          </w:p>
        </w:tc>
        <w:tc>
          <w:tcPr>
            <w:tcW w:w="1064" w:type="dxa"/>
            <w:tcBorders>
              <w:tl2br w:val="nil"/>
              <w:tr2bl w:val="nil"/>
            </w:tcBorders>
            <w:vAlign w:val="center"/>
          </w:tcPr>
          <w:p w14:paraId="2C0FB64B">
            <w:pPr>
              <w:widowControl/>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50</w:t>
            </w:r>
            <w:r>
              <w:rPr>
                <w:rFonts w:hint="eastAsia"/>
                <w:color w:val="auto"/>
                <w:sz w:val="21"/>
                <w:szCs w:val="21"/>
                <w:highlight w:val="none"/>
                <w:u w:val="none"/>
                <w:lang w:val="en-US"/>
              </w:rPr>
              <w:t>0</w:t>
            </w:r>
          </w:p>
        </w:tc>
        <w:tc>
          <w:tcPr>
            <w:tcW w:w="1061" w:type="dxa"/>
            <w:tcBorders>
              <w:tl2br w:val="nil"/>
              <w:tr2bl w:val="nil"/>
            </w:tcBorders>
            <w:vAlign w:val="center"/>
          </w:tcPr>
          <w:p w14:paraId="71D12293">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136</w:t>
            </w:r>
          </w:p>
        </w:tc>
        <w:tc>
          <w:tcPr>
            <w:tcW w:w="1160" w:type="dxa"/>
            <w:tcBorders>
              <w:tl2br w:val="nil"/>
              <w:tr2bl w:val="nil"/>
            </w:tcBorders>
            <w:vAlign w:val="center"/>
          </w:tcPr>
          <w:p w14:paraId="7F285E9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32" w:type="dxa"/>
            <w:tcBorders>
              <w:tl2br w:val="nil"/>
              <w:tr2bl w:val="nil"/>
            </w:tcBorders>
            <w:vAlign w:val="center"/>
          </w:tcPr>
          <w:p w14:paraId="4AC24E3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72" w:type="dxa"/>
            <w:tcBorders>
              <w:tl2br w:val="nil"/>
              <w:tr2bl w:val="nil"/>
            </w:tcBorders>
            <w:vAlign w:val="center"/>
          </w:tcPr>
          <w:p w14:paraId="1B3FF2E5">
            <w:pPr>
              <w:widowControl/>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1.</w:t>
            </w:r>
            <w:r>
              <w:rPr>
                <w:rFonts w:hint="eastAsia"/>
                <w:color w:val="auto"/>
                <w:sz w:val="21"/>
                <w:szCs w:val="21"/>
                <w:highlight w:val="none"/>
                <w:u w:val="none"/>
                <w:lang w:val="en-US"/>
              </w:rPr>
              <w:t>42</w:t>
            </w:r>
          </w:p>
        </w:tc>
        <w:tc>
          <w:tcPr>
            <w:tcW w:w="1410" w:type="dxa"/>
            <w:tcBorders>
              <w:tl2br w:val="nil"/>
              <w:tr2bl w:val="nil"/>
            </w:tcBorders>
            <w:vAlign w:val="center"/>
          </w:tcPr>
          <w:p w14:paraId="7F55FD46">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98111</w:t>
            </w:r>
          </w:p>
        </w:tc>
        <w:tc>
          <w:tcPr>
            <w:tcW w:w="1140" w:type="dxa"/>
            <w:tcBorders>
              <w:tl2br w:val="nil"/>
              <w:tr2bl w:val="nil"/>
            </w:tcBorders>
            <w:vAlign w:val="center"/>
          </w:tcPr>
          <w:p w14:paraId="20E26E9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29.8852</w:t>
            </w:r>
          </w:p>
        </w:tc>
        <w:tc>
          <w:tcPr>
            <w:tcW w:w="1342" w:type="dxa"/>
            <w:tcBorders>
              <w:tl2br w:val="nil"/>
              <w:tr2bl w:val="nil"/>
            </w:tcBorders>
            <w:vAlign w:val="center"/>
          </w:tcPr>
          <w:p w14:paraId="29B8D8E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0.0037</w:t>
            </w:r>
          </w:p>
        </w:tc>
      </w:tr>
      <w:tr w14:paraId="7E4E2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562D6C2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2</w:t>
            </w:r>
          </w:p>
        </w:tc>
        <w:tc>
          <w:tcPr>
            <w:tcW w:w="1808" w:type="dxa"/>
            <w:tcBorders>
              <w:tl2br w:val="nil"/>
              <w:tr2bl w:val="nil"/>
            </w:tcBorders>
            <w:vAlign w:val="center"/>
          </w:tcPr>
          <w:p w14:paraId="279AC44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MNT废酸</w:t>
            </w:r>
          </w:p>
        </w:tc>
        <w:tc>
          <w:tcPr>
            <w:tcW w:w="1064" w:type="dxa"/>
            <w:tcBorders>
              <w:tl2br w:val="nil"/>
              <w:tr2bl w:val="nil"/>
            </w:tcBorders>
            <w:vAlign w:val="center"/>
          </w:tcPr>
          <w:p w14:paraId="77687C6E">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63</w:t>
            </w:r>
          </w:p>
        </w:tc>
        <w:tc>
          <w:tcPr>
            <w:tcW w:w="1226" w:type="dxa"/>
            <w:tcBorders>
              <w:tl2br w:val="nil"/>
              <w:tr2bl w:val="nil"/>
            </w:tcBorders>
            <w:vAlign w:val="center"/>
          </w:tcPr>
          <w:p w14:paraId="7E7A8157">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0.012</w:t>
            </w:r>
          </w:p>
        </w:tc>
        <w:tc>
          <w:tcPr>
            <w:tcW w:w="1064" w:type="dxa"/>
            <w:tcBorders>
              <w:tl2br w:val="nil"/>
              <w:tr2bl w:val="nil"/>
            </w:tcBorders>
            <w:vAlign w:val="center"/>
          </w:tcPr>
          <w:p w14:paraId="3CC0F0B3">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1000</w:t>
            </w:r>
          </w:p>
        </w:tc>
        <w:tc>
          <w:tcPr>
            <w:tcW w:w="1061" w:type="dxa"/>
            <w:tcBorders>
              <w:tl2br w:val="nil"/>
              <w:tr2bl w:val="nil"/>
            </w:tcBorders>
            <w:vAlign w:val="center"/>
          </w:tcPr>
          <w:p w14:paraId="50DED3E0">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171</w:t>
            </w:r>
          </w:p>
        </w:tc>
        <w:tc>
          <w:tcPr>
            <w:tcW w:w="1160" w:type="dxa"/>
            <w:tcBorders>
              <w:tl2br w:val="nil"/>
              <w:tr2bl w:val="nil"/>
            </w:tcBorders>
            <w:vAlign w:val="center"/>
          </w:tcPr>
          <w:p w14:paraId="0F7311D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32" w:type="dxa"/>
            <w:tcBorders>
              <w:tl2br w:val="nil"/>
              <w:tr2bl w:val="nil"/>
            </w:tcBorders>
            <w:vAlign w:val="center"/>
          </w:tcPr>
          <w:p w14:paraId="4C803A4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72" w:type="dxa"/>
            <w:tcBorders>
              <w:tl2br w:val="nil"/>
              <w:tr2bl w:val="nil"/>
            </w:tcBorders>
            <w:vAlign w:val="center"/>
          </w:tcPr>
          <w:p w14:paraId="6E49639A">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1.005</w:t>
            </w:r>
          </w:p>
        </w:tc>
        <w:tc>
          <w:tcPr>
            <w:tcW w:w="1410" w:type="dxa"/>
            <w:tcBorders>
              <w:tl2br w:val="nil"/>
              <w:tr2bl w:val="nil"/>
            </w:tcBorders>
            <w:vAlign w:val="center"/>
          </w:tcPr>
          <w:p w14:paraId="107EFDAA">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171111</w:t>
            </w:r>
          </w:p>
        </w:tc>
        <w:tc>
          <w:tcPr>
            <w:tcW w:w="1140" w:type="dxa"/>
            <w:tcBorders>
              <w:tl2br w:val="nil"/>
              <w:tr2bl w:val="nil"/>
            </w:tcBorders>
            <w:vAlign w:val="center"/>
          </w:tcPr>
          <w:p w14:paraId="72D619D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0.1409</w:t>
            </w:r>
          </w:p>
        </w:tc>
        <w:tc>
          <w:tcPr>
            <w:tcW w:w="1342" w:type="dxa"/>
            <w:tcBorders>
              <w:tl2br w:val="nil"/>
              <w:tr2bl w:val="nil"/>
            </w:tcBorders>
            <w:shd w:val="clear" w:color="auto" w:fill="auto"/>
            <w:vAlign w:val="bottom"/>
          </w:tcPr>
          <w:p w14:paraId="1AA9C74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0.000018</w:t>
            </w:r>
          </w:p>
        </w:tc>
      </w:tr>
      <w:bookmarkEnd w:id="305"/>
    </w:tbl>
    <w:p w14:paraId="17835440">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r>
        <w:rPr>
          <w:rFonts w:hint="eastAsia"/>
          <w:color w:val="auto"/>
          <w:highlight w:val="none"/>
          <w:u w:val="none"/>
        </w:rPr>
        <w:t xml:space="preserve"> 本次技改扩能后储罐大呼吸损耗参数选定和计算结果一览表</w:t>
      </w:r>
    </w:p>
    <w:tbl>
      <w:tblPr>
        <w:tblStyle w:val="5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808"/>
        <w:gridCol w:w="1064"/>
        <w:gridCol w:w="1226"/>
        <w:gridCol w:w="1064"/>
        <w:gridCol w:w="1061"/>
        <w:gridCol w:w="1160"/>
        <w:gridCol w:w="1132"/>
        <w:gridCol w:w="1172"/>
        <w:gridCol w:w="1410"/>
        <w:gridCol w:w="1140"/>
        <w:gridCol w:w="1342"/>
      </w:tblGrid>
      <w:tr w14:paraId="3B910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restart"/>
            <w:tcBorders>
              <w:tl2br w:val="nil"/>
              <w:tr2bl w:val="nil"/>
            </w:tcBorders>
            <w:vAlign w:val="center"/>
          </w:tcPr>
          <w:p w14:paraId="2443CF5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序号</w:t>
            </w:r>
          </w:p>
        </w:tc>
        <w:tc>
          <w:tcPr>
            <w:tcW w:w="1808" w:type="dxa"/>
            <w:vMerge w:val="restart"/>
            <w:tcBorders>
              <w:tl2br w:val="nil"/>
              <w:tr2bl w:val="nil"/>
            </w:tcBorders>
            <w:vAlign w:val="center"/>
          </w:tcPr>
          <w:p w14:paraId="58758635">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储存</w:t>
            </w:r>
          </w:p>
          <w:p w14:paraId="2FAA7E0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物质</w:t>
            </w:r>
          </w:p>
        </w:tc>
        <w:tc>
          <w:tcPr>
            <w:tcW w:w="9289" w:type="dxa"/>
            <w:gridSpan w:val="8"/>
            <w:tcBorders>
              <w:tl2br w:val="nil"/>
              <w:tr2bl w:val="nil"/>
            </w:tcBorders>
            <w:vAlign w:val="center"/>
          </w:tcPr>
          <w:p w14:paraId="3AB216D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参数选定</w:t>
            </w:r>
          </w:p>
        </w:tc>
        <w:tc>
          <w:tcPr>
            <w:tcW w:w="2482" w:type="dxa"/>
            <w:gridSpan w:val="2"/>
            <w:tcBorders>
              <w:tl2br w:val="nil"/>
              <w:tr2bl w:val="nil"/>
            </w:tcBorders>
            <w:vAlign w:val="center"/>
          </w:tcPr>
          <w:p w14:paraId="5D23A58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大呼吸损耗计算</w:t>
            </w:r>
          </w:p>
        </w:tc>
      </w:tr>
      <w:tr w14:paraId="4D45B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tcBorders>
              <w:tl2br w:val="nil"/>
              <w:tr2bl w:val="nil"/>
            </w:tcBorders>
            <w:vAlign w:val="center"/>
          </w:tcPr>
          <w:p w14:paraId="45B159A5">
            <w:pPr>
              <w:widowControl/>
              <w:spacing w:line="240" w:lineRule="auto"/>
              <w:ind w:firstLine="0" w:firstLineChars="0"/>
              <w:jc w:val="center"/>
              <w:rPr>
                <w:rFonts w:hint="eastAsia"/>
                <w:color w:val="auto"/>
                <w:sz w:val="21"/>
                <w:szCs w:val="21"/>
                <w:highlight w:val="none"/>
                <w:u w:val="none"/>
              </w:rPr>
            </w:pPr>
          </w:p>
        </w:tc>
        <w:tc>
          <w:tcPr>
            <w:tcW w:w="1808" w:type="dxa"/>
            <w:vMerge w:val="continue"/>
            <w:tcBorders>
              <w:tl2br w:val="nil"/>
              <w:tr2bl w:val="nil"/>
            </w:tcBorders>
            <w:vAlign w:val="center"/>
          </w:tcPr>
          <w:p w14:paraId="3FC8F00C">
            <w:pPr>
              <w:widowControl/>
              <w:spacing w:line="240" w:lineRule="auto"/>
              <w:ind w:firstLine="0" w:firstLineChars="0"/>
              <w:jc w:val="center"/>
              <w:rPr>
                <w:rFonts w:hint="eastAsia"/>
                <w:color w:val="auto"/>
                <w:sz w:val="21"/>
                <w:szCs w:val="21"/>
                <w:highlight w:val="none"/>
                <w:u w:val="none"/>
              </w:rPr>
            </w:pPr>
          </w:p>
        </w:tc>
        <w:tc>
          <w:tcPr>
            <w:tcW w:w="1064" w:type="dxa"/>
            <w:tcBorders>
              <w:tl2br w:val="nil"/>
              <w:tr2bl w:val="nil"/>
            </w:tcBorders>
            <w:vAlign w:val="center"/>
          </w:tcPr>
          <w:p w14:paraId="1AADE5C9">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w:t>
            </w:r>
          </w:p>
        </w:tc>
        <w:tc>
          <w:tcPr>
            <w:tcW w:w="1226" w:type="dxa"/>
            <w:tcBorders>
              <w:tl2br w:val="nil"/>
              <w:tr2bl w:val="nil"/>
            </w:tcBorders>
            <w:vAlign w:val="center"/>
          </w:tcPr>
          <w:p w14:paraId="1C55194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P(kPa)</w:t>
            </w:r>
          </w:p>
        </w:tc>
        <w:tc>
          <w:tcPr>
            <w:tcW w:w="1064" w:type="dxa"/>
            <w:tcBorders>
              <w:tl2br w:val="nil"/>
              <w:tr2bl w:val="nil"/>
            </w:tcBorders>
            <w:vAlign w:val="center"/>
          </w:tcPr>
          <w:p w14:paraId="07B86B2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V(m</w:t>
            </w:r>
            <w:r>
              <w:rPr>
                <w:color w:val="auto"/>
                <w:sz w:val="21"/>
                <w:szCs w:val="21"/>
                <w:highlight w:val="none"/>
                <w:u w:val="none"/>
                <w:vertAlign w:val="superscript"/>
              </w:rPr>
              <w:t>3</w:t>
            </w:r>
            <w:r>
              <w:rPr>
                <w:color w:val="auto"/>
                <w:sz w:val="21"/>
                <w:szCs w:val="21"/>
                <w:highlight w:val="none"/>
                <w:u w:val="none"/>
              </w:rPr>
              <w:t>)</w:t>
            </w:r>
          </w:p>
        </w:tc>
        <w:tc>
          <w:tcPr>
            <w:tcW w:w="1061" w:type="dxa"/>
            <w:tcBorders>
              <w:tl2br w:val="nil"/>
              <w:tr2bl w:val="nil"/>
            </w:tcBorders>
            <w:vAlign w:val="center"/>
          </w:tcPr>
          <w:p w14:paraId="48F46CC5">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N(次/a)</w:t>
            </w:r>
          </w:p>
        </w:tc>
        <w:tc>
          <w:tcPr>
            <w:tcW w:w="1160" w:type="dxa"/>
            <w:tcBorders>
              <w:tl2br w:val="nil"/>
              <w:tr2bl w:val="nil"/>
            </w:tcBorders>
            <w:vAlign w:val="center"/>
          </w:tcPr>
          <w:p w14:paraId="63FDB015">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Kn</w:t>
            </w:r>
          </w:p>
        </w:tc>
        <w:tc>
          <w:tcPr>
            <w:tcW w:w="1132" w:type="dxa"/>
            <w:tcBorders>
              <w:tl2br w:val="nil"/>
              <w:tr2bl w:val="nil"/>
            </w:tcBorders>
            <w:vAlign w:val="center"/>
          </w:tcPr>
          <w:p w14:paraId="165912C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Kc</w:t>
            </w:r>
          </w:p>
        </w:tc>
        <w:tc>
          <w:tcPr>
            <w:tcW w:w="1172" w:type="dxa"/>
            <w:tcBorders>
              <w:tl2br w:val="nil"/>
              <w:tr2bl w:val="nil"/>
            </w:tcBorders>
            <w:vAlign w:val="center"/>
          </w:tcPr>
          <w:p w14:paraId="7231835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ρ(g/</w:t>
            </w:r>
            <w:r>
              <w:rPr>
                <w:rFonts w:hint="eastAsia"/>
                <w:color w:val="auto"/>
                <w:sz w:val="21"/>
                <w:szCs w:val="21"/>
                <w:highlight w:val="none"/>
                <w:u w:val="none"/>
                <w:lang w:val="en-US"/>
              </w:rPr>
              <w:t>c</w:t>
            </w:r>
            <w:r>
              <w:rPr>
                <w:color w:val="auto"/>
                <w:sz w:val="21"/>
                <w:szCs w:val="21"/>
                <w:highlight w:val="none"/>
                <w:u w:val="none"/>
              </w:rPr>
              <w:t>m</w:t>
            </w:r>
            <w:r>
              <w:rPr>
                <w:color w:val="auto"/>
                <w:sz w:val="21"/>
                <w:szCs w:val="21"/>
                <w:highlight w:val="none"/>
                <w:u w:val="none"/>
                <w:vertAlign w:val="superscript"/>
              </w:rPr>
              <w:t>3</w:t>
            </w:r>
            <w:r>
              <w:rPr>
                <w:color w:val="auto"/>
                <w:sz w:val="21"/>
                <w:szCs w:val="21"/>
                <w:highlight w:val="none"/>
                <w:u w:val="none"/>
              </w:rPr>
              <w:t>)</w:t>
            </w:r>
          </w:p>
        </w:tc>
        <w:tc>
          <w:tcPr>
            <w:tcW w:w="1410" w:type="dxa"/>
            <w:tcBorders>
              <w:tl2br w:val="nil"/>
              <w:tr2bl w:val="nil"/>
            </w:tcBorders>
            <w:vAlign w:val="center"/>
          </w:tcPr>
          <w:p w14:paraId="7088FC9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m(t/a)</w:t>
            </w:r>
          </w:p>
        </w:tc>
        <w:tc>
          <w:tcPr>
            <w:tcW w:w="1140" w:type="dxa"/>
            <w:tcBorders>
              <w:tl2br w:val="nil"/>
              <w:tr2bl w:val="nil"/>
            </w:tcBorders>
            <w:vAlign w:val="center"/>
          </w:tcPr>
          <w:p w14:paraId="524F387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总损耗</w:t>
            </w:r>
          </w:p>
        </w:tc>
        <w:tc>
          <w:tcPr>
            <w:tcW w:w="1342" w:type="dxa"/>
            <w:tcBorders>
              <w:tl2br w:val="nil"/>
              <w:tr2bl w:val="nil"/>
            </w:tcBorders>
            <w:vAlign w:val="center"/>
          </w:tcPr>
          <w:p w14:paraId="4435568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瞬时最大产生源强</w:t>
            </w:r>
          </w:p>
        </w:tc>
      </w:tr>
      <w:tr w14:paraId="153D8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tcBorders>
              <w:tl2br w:val="nil"/>
              <w:tr2bl w:val="nil"/>
            </w:tcBorders>
            <w:vAlign w:val="center"/>
          </w:tcPr>
          <w:p w14:paraId="07DFDD9C">
            <w:pPr>
              <w:widowControl/>
              <w:spacing w:line="240" w:lineRule="auto"/>
              <w:ind w:firstLine="0" w:firstLineChars="0"/>
              <w:jc w:val="center"/>
              <w:rPr>
                <w:rFonts w:hint="eastAsia"/>
                <w:color w:val="auto"/>
                <w:sz w:val="21"/>
                <w:szCs w:val="21"/>
                <w:highlight w:val="none"/>
                <w:u w:val="none"/>
              </w:rPr>
            </w:pPr>
          </w:p>
        </w:tc>
        <w:tc>
          <w:tcPr>
            <w:tcW w:w="1808" w:type="dxa"/>
            <w:vMerge w:val="continue"/>
            <w:tcBorders>
              <w:tl2br w:val="nil"/>
              <w:tr2bl w:val="nil"/>
            </w:tcBorders>
            <w:vAlign w:val="center"/>
          </w:tcPr>
          <w:p w14:paraId="3245513C">
            <w:pPr>
              <w:widowControl/>
              <w:spacing w:line="240" w:lineRule="auto"/>
              <w:ind w:firstLine="0" w:firstLineChars="0"/>
              <w:jc w:val="center"/>
              <w:rPr>
                <w:rFonts w:hint="eastAsia"/>
                <w:color w:val="auto"/>
                <w:sz w:val="21"/>
                <w:szCs w:val="21"/>
                <w:highlight w:val="none"/>
                <w:u w:val="none"/>
              </w:rPr>
            </w:pPr>
          </w:p>
        </w:tc>
        <w:tc>
          <w:tcPr>
            <w:tcW w:w="1064" w:type="dxa"/>
            <w:tcBorders>
              <w:tl2br w:val="nil"/>
              <w:tr2bl w:val="nil"/>
            </w:tcBorders>
            <w:vAlign w:val="center"/>
          </w:tcPr>
          <w:p w14:paraId="284A410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分子量</w:t>
            </w:r>
          </w:p>
        </w:tc>
        <w:tc>
          <w:tcPr>
            <w:tcW w:w="1226" w:type="dxa"/>
            <w:tcBorders>
              <w:tl2br w:val="nil"/>
              <w:tr2bl w:val="nil"/>
            </w:tcBorders>
            <w:vAlign w:val="center"/>
          </w:tcPr>
          <w:p w14:paraId="43ADF91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真实</w:t>
            </w:r>
          </w:p>
          <w:p w14:paraId="0439ED1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蒸汽压</w:t>
            </w:r>
          </w:p>
        </w:tc>
        <w:tc>
          <w:tcPr>
            <w:tcW w:w="1064" w:type="dxa"/>
            <w:tcBorders>
              <w:tl2br w:val="nil"/>
              <w:tr2bl w:val="nil"/>
            </w:tcBorders>
            <w:vAlign w:val="center"/>
          </w:tcPr>
          <w:p w14:paraId="3D49E10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储罐</w:t>
            </w:r>
          </w:p>
          <w:p w14:paraId="564B8B0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容积</w:t>
            </w:r>
          </w:p>
        </w:tc>
        <w:tc>
          <w:tcPr>
            <w:tcW w:w="1061" w:type="dxa"/>
            <w:tcBorders>
              <w:tl2br w:val="nil"/>
              <w:tr2bl w:val="nil"/>
            </w:tcBorders>
            <w:vAlign w:val="center"/>
          </w:tcPr>
          <w:p w14:paraId="2B22A86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次数</w:t>
            </w:r>
          </w:p>
        </w:tc>
        <w:tc>
          <w:tcPr>
            <w:tcW w:w="1160" w:type="dxa"/>
            <w:tcBorders>
              <w:tl2br w:val="nil"/>
              <w:tr2bl w:val="nil"/>
            </w:tcBorders>
            <w:vAlign w:val="center"/>
          </w:tcPr>
          <w:p w14:paraId="6BA324B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系数</w:t>
            </w:r>
          </w:p>
        </w:tc>
        <w:tc>
          <w:tcPr>
            <w:tcW w:w="1132" w:type="dxa"/>
            <w:tcBorders>
              <w:tl2br w:val="nil"/>
              <w:tr2bl w:val="nil"/>
            </w:tcBorders>
            <w:vAlign w:val="center"/>
          </w:tcPr>
          <w:p w14:paraId="6CC5AF77">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系数</w:t>
            </w:r>
          </w:p>
        </w:tc>
        <w:tc>
          <w:tcPr>
            <w:tcW w:w="1172" w:type="dxa"/>
            <w:tcBorders>
              <w:tl2br w:val="nil"/>
              <w:tr2bl w:val="nil"/>
            </w:tcBorders>
            <w:vAlign w:val="center"/>
          </w:tcPr>
          <w:p w14:paraId="76E960A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密度</w:t>
            </w:r>
          </w:p>
        </w:tc>
        <w:tc>
          <w:tcPr>
            <w:tcW w:w="1410" w:type="dxa"/>
            <w:tcBorders>
              <w:tl2br w:val="nil"/>
              <w:tr2bl w:val="nil"/>
            </w:tcBorders>
            <w:vAlign w:val="center"/>
          </w:tcPr>
          <w:p w14:paraId="722D4985">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年消</w:t>
            </w:r>
          </w:p>
          <w:p w14:paraId="4E6A5A5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耗量</w:t>
            </w:r>
          </w:p>
        </w:tc>
        <w:tc>
          <w:tcPr>
            <w:tcW w:w="1140" w:type="dxa"/>
            <w:tcBorders>
              <w:tl2br w:val="nil"/>
              <w:tr2bl w:val="nil"/>
            </w:tcBorders>
            <w:vAlign w:val="center"/>
          </w:tcPr>
          <w:p w14:paraId="6118B28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kg/a</w:t>
            </w:r>
          </w:p>
        </w:tc>
        <w:tc>
          <w:tcPr>
            <w:tcW w:w="1342" w:type="dxa"/>
            <w:tcBorders>
              <w:tl2br w:val="nil"/>
              <w:tr2bl w:val="nil"/>
            </w:tcBorders>
            <w:vAlign w:val="center"/>
          </w:tcPr>
          <w:p w14:paraId="0B8555E9">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kg/h</w:t>
            </w:r>
          </w:p>
        </w:tc>
      </w:tr>
      <w:tr w14:paraId="5D24D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7508C57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808" w:type="dxa"/>
            <w:tcBorders>
              <w:tl2br w:val="nil"/>
              <w:tr2bl w:val="nil"/>
            </w:tcBorders>
            <w:vAlign w:val="center"/>
          </w:tcPr>
          <w:p w14:paraId="6C8D99F0">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浓硝酸</w:t>
            </w:r>
          </w:p>
        </w:tc>
        <w:tc>
          <w:tcPr>
            <w:tcW w:w="1064" w:type="dxa"/>
            <w:tcBorders>
              <w:tl2br w:val="nil"/>
              <w:tr2bl w:val="nil"/>
            </w:tcBorders>
            <w:vAlign w:val="center"/>
          </w:tcPr>
          <w:p w14:paraId="0F576F52">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63</w:t>
            </w:r>
          </w:p>
        </w:tc>
        <w:tc>
          <w:tcPr>
            <w:tcW w:w="1226" w:type="dxa"/>
            <w:tcBorders>
              <w:tl2br w:val="nil"/>
              <w:tr2bl w:val="nil"/>
            </w:tcBorders>
            <w:vAlign w:val="center"/>
          </w:tcPr>
          <w:p w14:paraId="28565C41">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6.4</w:t>
            </w:r>
          </w:p>
        </w:tc>
        <w:tc>
          <w:tcPr>
            <w:tcW w:w="1064" w:type="dxa"/>
            <w:tcBorders>
              <w:tl2br w:val="nil"/>
              <w:tr2bl w:val="nil"/>
            </w:tcBorders>
            <w:vAlign w:val="center"/>
          </w:tcPr>
          <w:p w14:paraId="141DFDB0">
            <w:pPr>
              <w:widowControl/>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50</w:t>
            </w:r>
            <w:r>
              <w:rPr>
                <w:rFonts w:hint="eastAsia"/>
                <w:color w:val="auto"/>
                <w:sz w:val="21"/>
                <w:szCs w:val="21"/>
                <w:highlight w:val="none"/>
                <w:u w:val="none"/>
                <w:lang w:val="en-US"/>
              </w:rPr>
              <w:t>0</w:t>
            </w:r>
          </w:p>
        </w:tc>
        <w:tc>
          <w:tcPr>
            <w:tcW w:w="1061" w:type="dxa"/>
            <w:tcBorders>
              <w:tl2br w:val="nil"/>
              <w:tr2bl w:val="nil"/>
            </w:tcBorders>
            <w:vAlign w:val="center"/>
          </w:tcPr>
          <w:p w14:paraId="5D99F4C5">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446</w:t>
            </w:r>
          </w:p>
        </w:tc>
        <w:tc>
          <w:tcPr>
            <w:tcW w:w="1160" w:type="dxa"/>
            <w:tcBorders>
              <w:tl2br w:val="nil"/>
              <w:tr2bl w:val="nil"/>
            </w:tcBorders>
            <w:vAlign w:val="center"/>
          </w:tcPr>
          <w:p w14:paraId="76500D5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32" w:type="dxa"/>
            <w:tcBorders>
              <w:tl2br w:val="nil"/>
              <w:tr2bl w:val="nil"/>
            </w:tcBorders>
            <w:vAlign w:val="center"/>
          </w:tcPr>
          <w:p w14:paraId="781DCD4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72" w:type="dxa"/>
            <w:tcBorders>
              <w:tl2br w:val="nil"/>
              <w:tr2bl w:val="nil"/>
            </w:tcBorders>
            <w:vAlign w:val="center"/>
          </w:tcPr>
          <w:p w14:paraId="2A580511">
            <w:pPr>
              <w:widowControl/>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1.</w:t>
            </w:r>
            <w:r>
              <w:rPr>
                <w:rFonts w:hint="eastAsia"/>
                <w:color w:val="auto"/>
                <w:sz w:val="21"/>
                <w:szCs w:val="21"/>
                <w:highlight w:val="none"/>
                <w:u w:val="none"/>
                <w:lang w:val="en-US"/>
              </w:rPr>
              <w:t>42</w:t>
            </w:r>
          </w:p>
        </w:tc>
        <w:tc>
          <w:tcPr>
            <w:tcW w:w="1410" w:type="dxa"/>
            <w:tcBorders>
              <w:tl2br w:val="nil"/>
              <w:tr2bl w:val="nil"/>
            </w:tcBorders>
            <w:vAlign w:val="center"/>
          </w:tcPr>
          <w:p w14:paraId="0DC7178C">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321090</w:t>
            </w:r>
          </w:p>
        </w:tc>
        <w:tc>
          <w:tcPr>
            <w:tcW w:w="1140" w:type="dxa"/>
            <w:tcBorders>
              <w:tl2br w:val="nil"/>
              <w:tr2bl w:val="nil"/>
            </w:tcBorders>
            <w:vAlign w:val="center"/>
          </w:tcPr>
          <w:p w14:paraId="29DF1C72">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98.0058</w:t>
            </w:r>
          </w:p>
        </w:tc>
        <w:tc>
          <w:tcPr>
            <w:tcW w:w="1342" w:type="dxa"/>
            <w:tcBorders>
              <w:tl2br w:val="nil"/>
              <w:tr2bl w:val="nil"/>
            </w:tcBorders>
            <w:vAlign w:val="center"/>
          </w:tcPr>
          <w:p w14:paraId="6F52F8EF">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0.01225</w:t>
            </w:r>
          </w:p>
        </w:tc>
      </w:tr>
      <w:tr w14:paraId="7D524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69B97DF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2</w:t>
            </w:r>
          </w:p>
        </w:tc>
        <w:tc>
          <w:tcPr>
            <w:tcW w:w="1808" w:type="dxa"/>
            <w:tcBorders>
              <w:tl2br w:val="nil"/>
              <w:tr2bl w:val="nil"/>
            </w:tcBorders>
            <w:vAlign w:val="center"/>
          </w:tcPr>
          <w:p w14:paraId="0C230F0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MNT废酸</w:t>
            </w:r>
          </w:p>
        </w:tc>
        <w:tc>
          <w:tcPr>
            <w:tcW w:w="1064" w:type="dxa"/>
            <w:tcBorders>
              <w:tl2br w:val="nil"/>
              <w:tr2bl w:val="nil"/>
            </w:tcBorders>
            <w:vAlign w:val="center"/>
          </w:tcPr>
          <w:p w14:paraId="380366C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63</w:t>
            </w:r>
          </w:p>
        </w:tc>
        <w:tc>
          <w:tcPr>
            <w:tcW w:w="1226" w:type="dxa"/>
            <w:tcBorders>
              <w:tl2br w:val="nil"/>
              <w:tr2bl w:val="nil"/>
            </w:tcBorders>
            <w:vAlign w:val="center"/>
          </w:tcPr>
          <w:p w14:paraId="758A3907">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0.012</w:t>
            </w:r>
          </w:p>
        </w:tc>
        <w:tc>
          <w:tcPr>
            <w:tcW w:w="1064" w:type="dxa"/>
            <w:tcBorders>
              <w:tl2br w:val="nil"/>
              <w:tr2bl w:val="nil"/>
            </w:tcBorders>
            <w:vAlign w:val="center"/>
          </w:tcPr>
          <w:p w14:paraId="52BABADA">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1000</w:t>
            </w:r>
          </w:p>
        </w:tc>
        <w:tc>
          <w:tcPr>
            <w:tcW w:w="1061" w:type="dxa"/>
            <w:tcBorders>
              <w:tl2br w:val="nil"/>
              <w:tr2bl w:val="nil"/>
            </w:tcBorders>
            <w:vAlign w:val="center"/>
          </w:tcPr>
          <w:p w14:paraId="609F1A08">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558</w:t>
            </w:r>
          </w:p>
        </w:tc>
        <w:tc>
          <w:tcPr>
            <w:tcW w:w="1160" w:type="dxa"/>
            <w:tcBorders>
              <w:tl2br w:val="nil"/>
              <w:tr2bl w:val="nil"/>
            </w:tcBorders>
            <w:vAlign w:val="center"/>
          </w:tcPr>
          <w:p w14:paraId="52B680C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32" w:type="dxa"/>
            <w:tcBorders>
              <w:tl2br w:val="nil"/>
              <w:tr2bl w:val="nil"/>
            </w:tcBorders>
            <w:vAlign w:val="center"/>
          </w:tcPr>
          <w:p w14:paraId="3E76D391">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172" w:type="dxa"/>
            <w:tcBorders>
              <w:tl2br w:val="nil"/>
              <w:tr2bl w:val="nil"/>
            </w:tcBorders>
            <w:vAlign w:val="center"/>
          </w:tcPr>
          <w:p w14:paraId="6F9F3EE2">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1.005</w:t>
            </w:r>
          </w:p>
        </w:tc>
        <w:tc>
          <w:tcPr>
            <w:tcW w:w="1410" w:type="dxa"/>
            <w:tcBorders>
              <w:tl2br w:val="nil"/>
              <w:tr2bl w:val="nil"/>
            </w:tcBorders>
            <w:vAlign w:val="center"/>
          </w:tcPr>
          <w:p w14:paraId="4B3C62CE">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560000</w:t>
            </w:r>
          </w:p>
        </w:tc>
        <w:tc>
          <w:tcPr>
            <w:tcW w:w="1140" w:type="dxa"/>
            <w:tcBorders>
              <w:tl2br w:val="nil"/>
              <w:tr2bl w:val="nil"/>
            </w:tcBorders>
            <w:vAlign w:val="center"/>
          </w:tcPr>
          <w:p w14:paraId="66A758AB">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0.4598</w:t>
            </w:r>
          </w:p>
        </w:tc>
        <w:tc>
          <w:tcPr>
            <w:tcW w:w="1342" w:type="dxa"/>
            <w:tcBorders>
              <w:tl2br w:val="nil"/>
              <w:tr2bl w:val="nil"/>
            </w:tcBorders>
            <w:vAlign w:val="center"/>
          </w:tcPr>
          <w:p w14:paraId="3D017E2D">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0.000057</w:t>
            </w:r>
          </w:p>
        </w:tc>
      </w:tr>
    </w:tbl>
    <w:p w14:paraId="58791133">
      <w:pPr>
        <w:pStyle w:val="85"/>
        <w:rPr>
          <w:color w:val="auto"/>
          <w:highlight w:val="none"/>
          <w:u w:val="none"/>
        </w:rPr>
      </w:pPr>
    </w:p>
    <w:p w14:paraId="3795B675">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5</w:t>
      </w:r>
      <w:r>
        <w:rPr>
          <w:color w:val="auto"/>
          <w:highlight w:val="none"/>
          <w:u w:val="none"/>
        </w:rPr>
        <w:fldChar w:fldCharType="end"/>
      </w:r>
      <w:r>
        <w:rPr>
          <w:rFonts w:hint="eastAsia"/>
          <w:color w:val="auto"/>
          <w:highlight w:val="none"/>
          <w:u w:val="none"/>
        </w:rPr>
        <w:t xml:space="preserve"> 技改扩能后储罐小呼吸损耗参数选定和计算结果一览表</w:t>
      </w:r>
    </w:p>
    <w:tbl>
      <w:tblPr>
        <w:tblStyle w:val="5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490"/>
        <w:gridCol w:w="981"/>
        <w:gridCol w:w="1354"/>
        <w:gridCol w:w="759"/>
        <w:gridCol w:w="967"/>
        <w:gridCol w:w="916"/>
        <w:gridCol w:w="950"/>
        <w:gridCol w:w="882"/>
        <w:gridCol w:w="1211"/>
        <w:gridCol w:w="1214"/>
        <w:gridCol w:w="1354"/>
        <w:gridCol w:w="1271"/>
      </w:tblGrid>
      <w:tr w14:paraId="6FC75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9" w:type="dxa"/>
            <w:vMerge w:val="restart"/>
            <w:tcBorders>
              <w:tl2br w:val="nil"/>
              <w:tr2bl w:val="nil"/>
            </w:tcBorders>
            <w:vAlign w:val="center"/>
          </w:tcPr>
          <w:p w14:paraId="058573A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序号</w:t>
            </w:r>
          </w:p>
        </w:tc>
        <w:tc>
          <w:tcPr>
            <w:tcW w:w="1490" w:type="dxa"/>
            <w:vMerge w:val="restart"/>
            <w:tcBorders>
              <w:tl2br w:val="nil"/>
              <w:tr2bl w:val="nil"/>
            </w:tcBorders>
            <w:vAlign w:val="center"/>
          </w:tcPr>
          <w:p w14:paraId="6BB3B77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储存物质</w:t>
            </w:r>
          </w:p>
        </w:tc>
        <w:tc>
          <w:tcPr>
            <w:tcW w:w="8020" w:type="dxa"/>
            <w:gridSpan w:val="8"/>
            <w:tcBorders>
              <w:tl2br w:val="nil"/>
              <w:tr2bl w:val="nil"/>
            </w:tcBorders>
            <w:vAlign w:val="center"/>
          </w:tcPr>
          <w:p w14:paraId="68936271">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参数选定</w:t>
            </w:r>
          </w:p>
        </w:tc>
        <w:tc>
          <w:tcPr>
            <w:tcW w:w="3839" w:type="dxa"/>
            <w:gridSpan w:val="3"/>
            <w:tcBorders>
              <w:tl2br w:val="nil"/>
              <w:tr2bl w:val="nil"/>
            </w:tcBorders>
            <w:vAlign w:val="center"/>
          </w:tcPr>
          <w:p w14:paraId="79348B0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小呼吸损耗计算</w:t>
            </w:r>
          </w:p>
        </w:tc>
      </w:tr>
      <w:tr w14:paraId="698E1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9" w:type="dxa"/>
            <w:vMerge w:val="continue"/>
            <w:tcBorders>
              <w:tl2br w:val="nil"/>
              <w:tr2bl w:val="nil"/>
            </w:tcBorders>
            <w:vAlign w:val="center"/>
          </w:tcPr>
          <w:p w14:paraId="4C823B6F">
            <w:pPr>
              <w:widowControl/>
              <w:spacing w:line="240" w:lineRule="auto"/>
              <w:ind w:firstLine="0" w:firstLineChars="0"/>
              <w:jc w:val="center"/>
              <w:rPr>
                <w:rFonts w:hint="eastAsia"/>
                <w:color w:val="auto"/>
                <w:sz w:val="21"/>
                <w:szCs w:val="21"/>
                <w:highlight w:val="none"/>
                <w:u w:val="none"/>
              </w:rPr>
            </w:pPr>
          </w:p>
        </w:tc>
        <w:tc>
          <w:tcPr>
            <w:tcW w:w="1490" w:type="dxa"/>
            <w:vMerge w:val="continue"/>
            <w:tcBorders>
              <w:tl2br w:val="nil"/>
              <w:tr2bl w:val="nil"/>
            </w:tcBorders>
            <w:vAlign w:val="center"/>
          </w:tcPr>
          <w:p w14:paraId="3B2EF68E">
            <w:pPr>
              <w:widowControl/>
              <w:spacing w:line="240" w:lineRule="auto"/>
              <w:ind w:firstLine="0" w:firstLineChars="0"/>
              <w:jc w:val="center"/>
              <w:rPr>
                <w:rFonts w:hint="eastAsia"/>
                <w:color w:val="auto"/>
                <w:sz w:val="21"/>
                <w:szCs w:val="21"/>
                <w:highlight w:val="none"/>
                <w:u w:val="none"/>
              </w:rPr>
            </w:pPr>
          </w:p>
        </w:tc>
        <w:tc>
          <w:tcPr>
            <w:tcW w:w="981" w:type="dxa"/>
            <w:tcBorders>
              <w:tl2br w:val="nil"/>
              <w:tr2bl w:val="nil"/>
            </w:tcBorders>
            <w:vAlign w:val="center"/>
          </w:tcPr>
          <w:p w14:paraId="13B5684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Mv</w:t>
            </w:r>
          </w:p>
        </w:tc>
        <w:tc>
          <w:tcPr>
            <w:tcW w:w="1354" w:type="dxa"/>
            <w:tcBorders>
              <w:tl2br w:val="nil"/>
              <w:tr2bl w:val="nil"/>
            </w:tcBorders>
            <w:vAlign w:val="center"/>
          </w:tcPr>
          <w:p w14:paraId="316E123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P（Pa）</w:t>
            </w:r>
          </w:p>
        </w:tc>
        <w:tc>
          <w:tcPr>
            <w:tcW w:w="759" w:type="dxa"/>
            <w:tcBorders>
              <w:tl2br w:val="nil"/>
              <w:tr2bl w:val="nil"/>
            </w:tcBorders>
            <w:vAlign w:val="center"/>
          </w:tcPr>
          <w:p w14:paraId="66BE423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D(m)</w:t>
            </w:r>
          </w:p>
        </w:tc>
        <w:tc>
          <w:tcPr>
            <w:tcW w:w="967" w:type="dxa"/>
            <w:tcBorders>
              <w:tl2br w:val="nil"/>
              <w:tr2bl w:val="nil"/>
            </w:tcBorders>
            <w:vAlign w:val="center"/>
          </w:tcPr>
          <w:p w14:paraId="2C00121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H(m)</w:t>
            </w:r>
          </w:p>
        </w:tc>
        <w:tc>
          <w:tcPr>
            <w:tcW w:w="916" w:type="dxa"/>
            <w:tcBorders>
              <w:tl2br w:val="nil"/>
              <w:tr2bl w:val="nil"/>
            </w:tcBorders>
            <w:vAlign w:val="center"/>
          </w:tcPr>
          <w:p w14:paraId="19C23CA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△T (℃)</w:t>
            </w:r>
          </w:p>
        </w:tc>
        <w:tc>
          <w:tcPr>
            <w:tcW w:w="950" w:type="dxa"/>
            <w:tcBorders>
              <w:tl2br w:val="nil"/>
              <w:tr2bl w:val="nil"/>
            </w:tcBorders>
            <w:vAlign w:val="center"/>
          </w:tcPr>
          <w:p w14:paraId="4B9E36D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Fp</w:t>
            </w:r>
          </w:p>
        </w:tc>
        <w:tc>
          <w:tcPr>
            <w:tcW w:w="882" w:type="dxa"/>
            <w:tcBorders>
              <w:tl2br w:val="nil"/>
              <w:tr2bl w:val="nil"/>
            </w:tcBorders>
            <w:vAlign w:val="center"/>
          </w:tcPr>
          <w:p w14:paraId="0FAA1A2B">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C</w:t>
            </w:r>
          </w:p>
        </w:tc>
        <w:tc>
          <w:tcPr>
            <w:tcW w:w="1211" w:type="dxa"/>
            <w:tcBorders>
              <w:tl2br w:val="nil"/>
              <w:tr2bl w:val="nil"/>
            </w:tcBorders>
            <w:vAlign w:val="center"/>
          </w:tcPr>
          <w:p w14:paraId="0BBA8B1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Kc</w:t>
            </w:r>
          </w:p>
        </w:tc>
        <w:tc>
          <w:tcPr>
            <w:tcW w:w="1214" w:type="dxa"/>
            <w:tcBorders>
              <w:tl2br w:val="nil"/>
              <w:tr2bl w:val="nil"/>
            </w:tcBorders>
            <w:vAlign w:val="center"/>
          </w:tcPr>
          <w:p w14:paraId="0E77807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单罐损耗</w:t>
            </w:r>
          </w:p>
        </w:tc>
        <w:tc>
          <w:tcPr>
            <w:tcW w:w="1354" w:type="dxa"/>
            <w:tcBorders>
              <w:tl2br w:val="nil"/>
              <w:tr2bl w:val="nil"/>
            </w:tcBorders>
            <w:vAlign w:val="center"/>
          </w:tcPr>
          <w:p w14:paraId="1987760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总损耗</w:t>
            </w:r>
          </w:p>
        </w:tc>
        <w:tc>
          <w:tcPr>
            <w:tcW w:w="1271" w:type="dxa"/>
            <w:tcBorders>
              <w:tl2br w:val="nil"/>
              <w:tr2bl w:val="nil"/>
            </w:tcBorders>
            <w:vAlign w:val="center"/>
          </w:tcPr>
          <w:p w14:paraId="7CC696A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源强</w:t>
            </w:r>
          </w:p>
        </w:tc>
      </w:tr>
      <w:tr w14:paraId="72858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9" w:type="dxa"/>
            <w:vMerge w:val="continue"/>
            <w:tcBorders>
              <w:tl2br w:val="nil"/>
              <w:tr2bl w:val="nil"/>
            </w:tcBorders>
            <w:vAlign w:val="center"/>
          </w:tcPr>
          <w:p w14:paraId="0C246232">
            <w:pPr>
              <w:widowControl/>
              <w:spacing w:line="240" w:lineRule="auto"/>
              <w:ind w:firstLine="0" w:firstLineChars="0"/>
              <w:jc w:val="center"/>
              <w:rPr>
                <w:rFonts w:hint="eastAsia"/>
                <w:color w:val="auto"/>
                <w:sz w:val="21"/>
                <w:szCs w:val="21"/>
                <w:highlight w:val="none"/>
                <w:u w:val="none"/>
              </w:rPr>
            </w:pPr>
          </w:p>
        </w:tc>
        <w:tc>
          <w:tcPr>
            <w:tcW w:w="1490" w:type="dxa"/>
            <w:vMerge w:val="continue"/>
            <w:tcBorders>
              <w:tl2br w:val="nil"/>
              <w:tr2bl w:val="nil"/>
            </w:tcBorders>
            <w:vAlign w:val="center"/>
          </w:tcPr>
          <w:p w14:paraId="6AD7E0D8">
            <w:pPr>
              <w:widowControl/>
              <w:spacing w:line="240" w:lineRule="auto"/>
              <w:ind w:firstLine="0" w:firstLineChars="0"/>
              <w:jc w:val="center"/>
              <w:rPr>
                <w:rFonts w:hint="eastAsia"/>
                <w:color w:val="auto"/>
                <w:sz w:val="21"/>
                <w:szCs w:val="21"/>
                <w:highlight w:val="none"/>
                <w:u w:val="none"/>
              </w:rPr>
            </w:pPr>
          </w:p>
        </w:tc>
        <w:tc>
          <w:tcPr>
            <w:tcW w:w="981" w:type="dxa"/>
            <w:tcBorders>
              <w:tl2br w:val="nil"/>
              <w:tr2bl w:val="nil"/>
            </w:tcBorders>
            <w:vAlign w:val="center"/>
          </w:tcPr>
          <w:p w14:paraId="76D99FA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分子量</w:t>
            </w:r>
          </w:p>
        </w:tc>
        <w:tc>
          <w:tcPr>
            <w:tcW w:w="1354" w:type="dxa"/>
            <w:tcBorders>
              <w:tl2br w:val="nil"/>
              <w:tr2bl w:val="nil"/>
            </w:tcBorders>
            <w:vAlign w:val="center"/>
          </w:tcPr>
          <w:p w14:paraId="15CE93C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真实蒸汽压</w:t>
            </w:r>
          </w:p>
        </w:tc>
        <w:tc>
          <w:tcPr>
            <w:tcW w:w="759" w:type="dxa"/>
            <w:tcBorders>
              <w:tl2br w:val="nil"/>
              <w:tr2bl w:val="nil"/>
            </w:tcBorders>
            <w:vAlign w:val="center"/>
          </w:tcPr>
          <w:p w14:paraId="3107DF2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直径</w:t>
            </w:r>
          </w:p>
        </w:tc>
        <w:tc>
          <w:tcPr>
            <w:tcW w:w="967" w:type="dxa"/>
            <w:tcBorders>
              <w:tl2br w:val="nil"/>
              <w:tr2bl w:val="nil"/>
            </w:tcBorders>
            <w:vAlign w:val="center"/>
          </w:tcPr>
          <w:p w14:paraId="1607EAC7">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蒸汽高度</w:t>
            </w:r>
          </w:p>
        </w:tc>
        <w:tc>
          <w:tcPr>
            <w:tcW w:w="916" w:type="dxa"/>
            <w:tcBorders>
              <w:tl2br w:val="nil"/>
              <w:tr2bl w:val="nil"/>
            </w:tcBorders>
            <w:vAlign w:val="center"/>
          </w:tcPr>
          <w:p w14:paraId="48C69C7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温差</w:t>
            </w:r>
          </w:p>
        </w:tc>
        <w:tc>
          <w:tcPr>
            <w:tcW w:w="950" w:type="dxa"/>
            <w:tcBorders>
              <w:tl2br w:val="nil"/>
              <w:tr2bl w:val="nil"/>
            </w:tcBorders>
            <w:vAlign w:val="center"/>
          </w:tcPr>
          <w:p w14:paraId="066CBE8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因子</w:t>
            </w:r>
          </w:p>
        </w:tc>
        <w:tc>
          <w:tcPr>
            <w:tcW w:w="882" w:type="dxa"/>
            <w:tcBorders>
              <w:tl2br w:val="nil"/>
              <w:tr2bl w:val="nil"/>
            </w:tcBorders>
            <w:vAlign w:val="center"/>
          </w:tcPr>
          <w:p w14:paraId="14D6C160">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系数</w:t>
            </w:r>
          </w:p>
        </w:tc>
        <w:tc>
          <w:tcPr>
            <w:tcW w:w="1211" w:type="dxa"/>
            <w:tcBorders>
              <w:tl2br w:val="nil"/>
              <w:tr2bl w:val="nil"/>
            </w:tcBorders>
            <w:vAlign w:val="center"/>
          </w:tcPr>
          <w:p w14:paraId="0DC5426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因子</w:t>
            </w:r>
          </w:p>
        </w:tc>
        <w:tc>
          <w:tcPr>
            <w:tcW w:w="1214" w:type="dxa"/>
            <w:tcBorders>
              <w:tl2br w:val="nil"/>
              <w:tr2bl w:val="nil"/>
            </w:tcBorders>
            <w:vAlign w:val="center"/>
          </w:tcPr>
          <w:p w14:paraId="63919B5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kg/a</w:t>
            </w:r>
          </w:p>
        </w:tc>
        <w:tc>
          <w:tcPr>
            <w:tcW w:w="1354" w:type="dxa"/>
            <w:tcBorders>
              <w:tl2br w:val="nil"/>
              <w:tr2bl w:val="nil"/>
            </w:tcBorders>
            <w:vAlign w:val="center"/>
          </w:tcPr>
          <w:p w14:paraId="6402748F">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kg/a</w:t>
            </w:r>
          </w:p>
        </w:tc>
        <w:tc>
          <w:tcPr>
            <w:tcW w:w="1271" w:type="dxa"/>
            <w:tcBorders>
              <w:tl2br w:val="nil"/>
              <w:tr2bl w:val="nil"/>
            </w:tcBorders>
            <w:vAlign w:val="center"/>
          </w:tcPr>
          <w:p w14:paraId="4D3E851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kg/h</w:t>
            </w:r>
          </w:p>
        </w:tc>
      </w:tr>
      <w:tr w14:paraId="0829D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9" w:type="dxa"/>
            <w:tcBorders>
              <w:tl2br w:val="nil"/>
              <w:tr2bl w:val="nil"/>
            </w:tcBorders>
            <w:vAlign w:val="center"/>
          </w:tcPr>
          <w:p w14:paraId="08191F8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490" w:type="dxa"/>
            <w:tcBorders>
              <w:tl2br w:val="nil"/>
              <w:tr2bl w:val="nil"/>
            </w:tcBorders>
            <w:vAlign w:val="center"/>
          </w:tcPr>
          <w:p w14:paraId="46DB0B28">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浓硝酸</w:t>
            </w:r>
          </w:p>
        </w:tc>
        <w:tc>
          <w:tcPr>
            <w:tcW w:w="981" w:type="dxa"/>
            <w:tcBorders>
              <w:tl2br w:val="nil"/>
              <w:tr2bl w:val="nil"/>
            </w:tcBorders>
            <w:vAlign w:val="center"/>
          </w:tcPr>
          <w:p w14:paraId="5C47CF3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63</w:t>
            </w:r>
          </w:p>
        </w:tc>
        <w:tc>
          <w:tcPr>
            <w:tcW w:w="1354" w:type="dxa"/>
            <w:tcBorders>
              <w:tl2br w:val="nil"/>
              <w:tr2bl w:val="nil"/>
            </w:tcBorders>
            <w:vAlign w:val="center"/>
          </w:tcPr>
          <w:p w14:paraId="49E4D748">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6400</w:t>
            </w:r>
          </w:p>
        </w:tc>
        <w:tc>
          <w:tcPr>
            <w:tcW w:w="759" w:type="dxa"/>
            <w:tcBorders>
              <w:tl2br w:val="nil"/>
              <w:tr2bl w:val="nil"/>
            </w:tcBorders>
            <w:vAlign w:val="center"/>
          </w:tcPr>
          <w:p w14:paraId="6B23B361">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9.4</w:t>
            </w:r>
          </w:p>
        </w:tc>
        <w:tc>
          <w:tcPr>
            <w:tcW w:w="967" w:type="dxa"/>
            <w:tcBorders>
              <w:tl2br w:val="nil"/>
              <w:tr2bl w:val="nil"/>
            </w:tcBorders>
            <w:vAlign w:val="center"/>
          </w:tcPr>
          <w:p w14:paraId="53A5825A">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9.4</w:t>
            </w:r>
          </w:p>
        </w:tc>
        <w:tc>
          <w:tcPr>
            <w:tcW w:w="916" w:type="dxa"/>
            <w:tcBorders>
              <w:tl2br w:val="nil"/>
              <w:tr2bl w:val="nil"/>
            </w:tcBorders>
            <w:vAlign w:val="center"/>
          </w:tcPr>
          <w:p w14:paraId="0F86A91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7</w:t>
            </w:r>
          </w:p>
        </w:tc>
        <w:tc>
          <w:tcPr>
            <w:tcW w:w="950" w:type="dxa"/>
            <w:tcBorders>
              <w:tl2br w:val="nil"/>
              <w:tr2bl w:val="nil"/>
            </w:tcBorders>
            <w:vAlign w:val="center"/>
          </w:tcPr>
          <w:p w14:paraId="3C127F0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1.2</w:t>
            </w:r>
          </w:p>
        </w:tc>
        <w:tc>
          <w:tcPr>
            <w:tcW w:w="882" w:type="dxa"/>
            <w:tcBorders>
              <w:tl2br w:val="nil"/>
              <w:tr2bl w:val="nil"/>
            </w:tcBorders>
            <w:vAlign w:val="center"/>
          </w:tcPr>
          <w:p w14:paraId="2C9FD99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211" w:type="dxa"/>
            <w:tcBorders>
              <w:tl2br w:val="nil"/>
              <w:tr2bl w:val="nil"/>
            </w:tcBorders>
            <w:vAlign w:val="center"/>
          </w:tcPr>
          <w:p w14:paraId="0B6AD8C9">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214" w:type="dxa"/>
            <w:tcBorders>
              <w:tl2br w:val="nil"/>
              <w:tr2bl w:val="nil"/>
            </w:tcBorders>
            <w:vAlign w:val="bottom"/>
          </w:tcPr>
          <w:p w14:paraId="1D0B5E94">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163.286</w:t>
            </w:r>
          </w:p>
        </w:tc>
        <w:tc>
          <w:tcPr>
            <w:tcW w:w="1354" w:type="dxa"/>
            <w:tcBorders>
              <w:tl2br w:val="nil"/>
              <w:tr2bl w:val="nil"/>
            </w:tcBorders>
            <w:vAlign w:val="bottom"/>
          </w:tcPr>
          <w:p w14:paraId="58381926">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326.572</w:t>
            </w:r>
          </w:p>
        </w:tc>
        <w:tc>
          <w:tcPr>
            <w:tcW w:w="1271" w:type="dxa"/>
            <w:tcBorders>
              <w:tl2br w:val="nil"/>
              <w:tr2bl w:val="nil"/>
            </w:tcBorders>
            <w:vAlign w:val="bottom"/>
          </w:tcPr>
          <w:p w14:paraId="7B29A848">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0.0408</w:t>
            </w:r>
          </w:p>
        </w:tc>
      </w:tr>
      <w:tr w14:paraId="0D2CC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9" w:type="dxa"/>
            <w:tcBorders>
              <w:tl2br w:val="nil"/>
              <w:tr2bl w:val="nil"/>
            </w:tcBorders>
            <w:vAlign w:val="center"/>
          </w:tcPr>
          <w:p w14:paraId="4946B046">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2</w:t>
            </w:r>
          </w:p>
        </w:tc>
        <w:tc>
          <w:tcPr>
            <w:tcW w:w="1490" w:type="dxa"/>
            <w:tcBorders>
              <w:tl2br w:val="nil"/>
              <w:tr2bl w:val="nil"/>
            </w:tcBorders>
            <w:vAlign w:val="center"/>
          </w:tcPr>
          <w:p w14:paraId="37E53B81">
            <w:pPr>
              <w:widowControl/>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MNT废酸</w:t>
            </w:r>
          </w:p>
        </w:tc>
        <w:tc>
          <w:tcPr>
            <w:tcW w:w="981" w:type="dxa"/>
            <w:tcBorders>
              <w:tl2br w:val="nil"/>
              <w:tr2bl w:val="nil"/>
            </w:tcBorders>
            <w:vAlign w:val="center"/>
          </w:tcPr>
          <w:p w14:paraId="7028A80A">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63</w:t>
            </w:r>
          </w:p>
        </w:tc>
        <w:tc>
          <w:tcPr>
            <w:tcW w:w="1354" w:type="dxa"/>
            <w:tcBorders>
              <w:tl2br w:val="nil"/>
              <w:tr2bl w:val="nil"/>
            </w:tcBorders>
            <w:vAlign w:val="center"/>
          </w:tcPr>
          <w:p w14:paraId="62C38237">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12</w:t>
            </w:r>
          </w:p>
        </w:tc>
        <w:tc>
          <w:tcPr>
            <w:tcW w:w="759" w:type="dxa"/>
            <w:tcBorders>
              <w:tl2br w:val="nil"/>
              <w:tr2bl w:val="nil"/>
            </w:tcBorders>
            <w:vAlign w:val="center"/>
          </w:tcPr>
          <w:p w14:paraId="0167581E">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11</w:t>
            </w:r>
          </w:p>
        </w:tc>
        <w:tc>
          <w:tcPr>
            <w:tcW w:w="967" w:type="dxa"/>
            <w:tcBorders>
              <w:tl2br w:val="nil"/>
              <w:tr2bl w:val="nil"/>
            </w:tcBorders>
            <w:vAlign w:val="center"/>
          </w:tcPr>
          <w:p w14:paraId="74AC2C18">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11</w:t>
            </w:r>
          </w:p>
        </w:tc>
        <w:tc>
          <w:tcPr>
            <w:tcW w:w="916" w:type="dxa"/>
            <w:tcBorders>
              <w:tl2br w:val="nil"/>
              <w:tr2bl w:val="nil"/>
            </w:tcBorders>
            <w:vAlign w:val="center"/>
          </w:tcPr>
          <w:p w14:paraId="0C24939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7</w:t>
            </w:r>
          </w:p>
        </w:tc>
        <w:tc>
          <w:tcPr>
            <w:tcW w:w="950" w:type="dxa"/>
            <w:tcBorders>
              <w:tl2br w:val="nil"/>
              <w:tr2bl w:val="nil"/>
            </w:tcBorders>
            <w:vAlign w:val="center"/>
          </w:tcPr>
          <w:p w14:paraId="723E415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1.2</w:t>
            </w:r>
          </w:p>
        </w:tc>
        <w:tc>
          <w:tcPr>
            <w:tcW w:w="882" w:type="dxa"/>
            <w:tcBorders>
              <w:tl2br w:val="nil"/>
              <w:tr2bl w:val="nil"/>
            </w:tcBorders>
            <w:vAlign w:val="center"/>
          </w:tcPr>
          <w:p w14:paraId="595DD018">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211" w:type="dxa"/>
            <w:tcBorders>
              <w:tl2br w:val="nil"/>
              <w:tr2bl w:val="nil"/>
            </w:tcBorders>
            <w:vAlign w:val="center"/>
          </w:tcPr>
          <w:p w14:paraId="7F04FDC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1214" w:type="dxa"/>
            <w:tcBorders>
              <w:tl2br w:val="nil"/>
              <w:tr2bl w:val="nil"/>
            </w:tcBorders>
            <w:vAlign w:val="bottom"/>
          </w:tcPr>
          <w:p w14:paraId="7D8801E5">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0.3927</w:t>
            </w:r>
          </w:p>
        </w:tc>
        <w:tc>
          <w:tcPr>
            <w:tcW w:w="1354" w:type="dxa"/>
            <w:tcBorders>
              <w:tl2br w:val="nil"/>
              <w:tr2bl w:val="nil"/>
            </w:tcBorders>
            <w:vAlign w:val="bottom"/>
          </w:tcPr>
          <w:p w14:paraId="65BDA94C">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0.7854</w:t>
            </w:r>
          </w:p>
        </w:tc>
        <w:tc>
          <w:tcPr>
            <w:tcW w:w="1271" w:type="dxa"/>
            <w:tcBorders>
              <w:tl2br w:val="nil"/>
              <w:tr2bl w:val="nil"/>
            </w:tcBorders>
            <w:vAlign w:val="bottom"/>
          </w:tcPr>
          <w:p w14:paraId="3814B33C">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0.0001</w:t>
            </w:r>
          </w:p>
        </w:tc>
      </w:tr>
    </w:tbl>
    <w:p w14:paraId="0A60A7AE">
      <w:pPr>
        <w:pStyle w:val="85"/>
        <w:rPr>
          <w:color w:val="auto"/>
          <w:highlight w:val="none"/>
          <w:u w:val="none"/>
        </w:rPr>
      </w:pPr>
      <w:bookmarkStart w:id="306" w:name="_Ref24274"/>
      <w:r>
        <w:rPr>
          <w:rFonts w:hint="eastAsia"/>
          <w:color w:val="auto"/>
          <w:highlight w:val="none"/>
          <w:u w:val="none"/>
        </w:rPr>
        <w:t xml:space="preserve">表 </w:t>
      </w:r>
      <w:r>
        <w:rPr>
          <w:rFonts w:hint="eastAsia"/>
          <w:color w:val="auto"/>
          <w:highlight w:val="none"/>
          <w:u w:val="none"/>
        </w:rPr>
        <w:fldChar w:fldCharType="begin"/>
      </w:r>
      <w:r>
        <w:rPr>
          <w:rFonts w:hint="eastAsia"/>
          <w:color w:val="auto"/>
          <w:highlight w:val="none"/>
          <w:u w:val="none"/>
        </w:rPr>
        <w:instrText xml:space="preserve"> STYLEREF 2 \s </w:instrText>
      </w:r>
      <w:r>
        <w:rPr>
          <w:rFonts w:hint="eastAsia"/>
          <w:color w:val="auto"/>
          <w:highlight w:val="none"/>
          <w:u w:val="none"/>
        </w:rPr>
        <w:fldChar w:fldCharType="separate"/>
      </w:r>
      <w:r>
        <w:rPr>
          <w:rFonts w:hint="eastAsia"/>
          <w:color w:val="auto"/>
          <w:highlight w:val="none"/>
          <w:u w:val="none"/>
        </w:rPr>
        <w:t>5.4</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fldChar w:fldCharType="begin"/>
      </w:r>
      <w:r>
        <w:rPr>
          <w:rFonts w:hint="eastAsia"/>
          <w:color w:val="auto"/>
          <w:highlight w:val="none"/>
          <w:u w:val="none"/>
        </w:rPr>
        <w:instrText xml:space="preserve"> SEQ 表 \* ARABIC \s 2 </w:instrText>
      </w:r>
      <w:r>
        <w:rPr>
          <w:rFonts w:hint="eastAsia"/>
          <w:color w:val="auto"/>
          <w:highlight w:val="none"/>
          <w:u w:val="none"/>
        </w:rPr>
        <w:fldChar w:fldCharType="separate"/>
      </w:r>
      <w:r>
        <w:rPr>
          <w:rFonts w:hint="eastAsia"/>
          <w:color w:val="auto"/>
          <w:highlight w:val="none"/>
          <w:u w:val="none"/>
        </w:rPr>
        <w:t>6</w:t>
      </w:r>
      <w:r>
        <w:rPr>
          <w:rFonts w:hint="eastAsia"/>
          <w:color w:val="auto"/>
          <w:highlight w:val="none"/>
          <w:u w:val="none"/>
        </w:rPr>
        <w:fldChar w:fldCharType="end"/>
      </w:r>
      <w:bookmarkEnd w:id="306"/>
      <w:r>
        <w:rPr>
          <w:rFonts w:hint="eastAsia"/>
          <w:color w:val="auto"/>
          <w:highlight w:val="none"/>
          <w:u w:val="none"/>
        </w:rPr>
        <w:t xml:space="preserve"> 本次技改扩能后大小呼吸污染物产生及排放结果统计一览表</w:t>
      </w:r>
    </w:p>
    <w:tbl>
      <w:tblPr>
        <w:tblStyle w:val="58"/>
        <w:tblpPr w:leftFromText="180" w:rightFromText="180" w:vertAnchor="text" w:horzAnchor="page" w:tblpX="1138" w:tblpY="297"/>
        <w:tblOverlap w:val="never"/>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414"/>
        <w:gridCol w:w="2267"/>
        <w:gridCol w:w="1921"/>
        <w:gridCol w:w="2352"/>
        <w:gridCol w:w="2038"/>
        <w:gridCol w:w="2403"/>
      </w:tblGrid>
      <w:tr w14:paraId="545A0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1" w:type="pct"/>
            <w:vMerge w:val="restart"/>
            <w:tcBorders>
              <w:bottom w:val="single" w:color="auto" w:sz="4" w:space="0"/>
            </w:tcBorders>
            <w:vAlign w:val="center"/>
          </w:tcPr>
          <w:p w14:paraId="390D6D4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序号</w:t>
            </w:r>
          </w:p>
        </w:tc>
        <w:tc>
          <w:tcPr>
            <w:tcW w:w="852" w:type="pct"/>
            <w:vMerge w:val="restart"/>
            <w:tcBorders>
              <w:bottom w:val="single" w:color="auto" w:sz="4" w:space="0"/>
            </w:tcBorders>
            <w:vAlign w:val="center"/>
          </w:tcPr>
          <w:p w14:paraId="5325A63D">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污染物</w:t>
            </w:r>
          </w:p>
        </w:tc>
        <w:tc>
          <w:tcPr>
            <w:tcW w:w="1478" w:type="pct"/>
            <w:gridSpan w:val="2"/>
            <w:tcBorders>
              <w:bottom w:val="single" w:color="auto" w:sz="4" w:space="0"/>
            </w:tcBorders>
            <w:vAlign w:val="center"/>
          </w:tcPr>
          <w:p w14:paraId="66675883">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小呼吸产生情况</w:t>
            </w:r>
          </w:p>
        </w:tc>
        <w:tc>
          <w:tcPr>
            <w:tcW w:w="1549" w:type="pct"/>
            <w:gridSpan w:val="2"/>
            <w:tcBorders>
              <w:bottom w:val="single" w:color="auto" w:sz="4" w:space="0"/>
            </w:tcBorders>
            <w:vAlign w:val="center"/>
          </w:tcPr>
          <w:p w14:paraId="25BB7814">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大呼吸产生情况</w:t>
            </w:r>
          </w:p>
        </w:tc>
        <w:tc>
          <w:tcPr>
            <w:tcW w:w="848" w:type="pct"/>
            <w:vMerge w:val="restart"/>
            <w:tcBorders>
              <w:bottom w:val="single" w:color="auto" w:sz="4" w:space="0"/>
            </w:tcBorders>
            <w:vAlign w:val="center"/>
          </w:tcPr>
          <w:p w14:paraId="23FA4C9E">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处理措施</w:t>
            </w:r>
          </w:p>
        </w:tc>
      </w:tr>
      <w:tr w14:paraId="6ED69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1" w:type="pct"/>
            <w:vMerge w:val="continue"/>
            <w:tcBorders>
              <w:top w:val="single" w:color="auto" w:sz="4" w:space="0"/>
              <w:bottom w:val="single" w:color="auto" w:sz="4" w:space="0"/>
            </w:tcBorders>
            <w:vAlign w:val="center"/>
          </w:tcPr>
          <w:p w14:paraId="1D29D953">
            <w:pPr>
              <w:widowControl/>
              <w:spacing w:line="240" w:lineRule="auto"/>
              <w:ind w:firstLine="0" w:firstLineChars="0"/>
              <w:jc w:val="center"/>
              <w:rPr>
                <w:rFonts w:hint="eastAsia"/>
                <w:color w:val="auto"/>
                <w:sz w:val="21"/>
                <w:szCs w:val="21"/>
                <w:highlight w:val="none"/>
                <w:u w:val="none"/>
              </w:rPr>
            </w:pPr>
          </w:p>
        </w:tc>
        <w:tc>
          <w:tcPr>
            <w:tcW w:w="852" w:type="pct"/>
            <w:vMerge w:val="continue"/>
            <w:tcBorders>
              <w:top w:val="single" w:color="auto" w:sz="4" w:space="0"/>
              <w:bottom w:val="single" w:color="auto" w:sz="4" w:space="0"/>
            </w:tcBorders>
            <w:vAlign w:val="center"/>
          </w:tcPr>
          <w:p w14:paraId="6982F661">
            <w:pPr>
              <w:widowControl/>
              <w:spacing w:line="240" w:lineRule="auto"/>
              <w:ind w:firstLine="0" w:firstLineChars="0"/>
              <w:jc w:val="center"/>
              <w:rPr>
                <w:rFonts w:hint="eastAsia"/>
                <w:color w:val="auto"/>
                <w:sz w:val="21"/>
                <w:szCs w:val="21"/>
                <w:highlight w:val="none"/>
                <w:u w:val="none"/>
              </w:rPr>
            </w:pPr>
          </w:p>
        </w:tc>
        <w:tc>
          <w:tcPr>
            <w:tcW w:w="800" w:type="pct"/>
            <w:tcBorders>
              <w:top w:val="single" w:color="auto" w:sz="4" w:space="0"/>
              <w:bottom w:val="single" w:color="auto" w:sz="4" w:space="0"/>
            </w:tcBorders>
            <w:vAlign w:val="center"/>
          </w:tcPr>
          <w:p w14:paraId="6032CE0A">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产生量(kg/a)</w:t>
            </w:r>
          </w:p>
        </w:tc>
        <w:tc>
          <w:tcPr>
            <w:tcW w:w="678" w:type="pct"/>
            <w:tcBorders>
              <w:top w:val="single" w:color="auto" w:sz="4" w:space="0"/>
              <w:bottom w:val="single" w:color="auto" w:sz="4" w:space="0"/>
            </w:tcBorders>
            <w:vAlign w:val="center"/>
          </w:tcPr>
          <w:p w14:paraId="18173791">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源强(kg/h)</w:t>
            </w:r>
          </w:p>
        </w:tc>
        <w:tc>
          <w:tcPr>
            <w:tcW w:w="830" w:type="pct"/>
            <w:tcBorders>
              <w:top w:val="single" w:color="auto" w:sz="4" w:space="0"/>
              <w:bottom w:val="single" w:color="auto" w:sz="4" w:space="0"/>
            </w:tcBorders>
            <w:vAlign w:val="center"/>
          </w:tcPr>
          <w:p w14:paraId="4DBB78A9">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产生量(kg/a)</w:t>
            </w:r>
          </w:p>
        </w:tc>
        <w:tc>
          <w:tcPr>
            <w:tcW w:w="719" w:type="pct"/>
            <w:tcBorders>
              <w:top w:val="single" w:color="auto" w:sz="4" w:space="0"/>
              <w:bottom w:val="single" w:color="auto" w:sz="4" w:space="0"/>
            </w:tcBorders>
            <w:vAlign w:val="center"/>
          </w:tcPr>
          <w:p w14:paraId="2C10D412">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源强(kg/h)</w:t>
            </w:r>
          </w:p>
        </w:tc>
        <w:tc>
          <w:tcPr>
            <w:tcW w:w="848" w:type="pct"/>
            <w:vMerge w:val="continue"/>
            <w:tcBorders>
              <w:top w:val="single" w:color="auto" w:sz="4" w:space="0"/>
              <w:bottom w:val="single" w:color="auto" w:sz="4" w:space="0"/>
            </w:tcBorders>
            <w:vAlign w:val="center"/>
          </w:tcPr>
          <w:p w14:paraId="1CA486DD">
            <w:pPr>
              <w:widowControl/>
              <w:spacing w:line="240" w:lineRule="auto"/>
              <w:ind w:firstLine="0" w:firstLineChars="0"/>
              <w:jc w:val="center"/>
              <w:rPr>
                <w:rFonts w:hint="eastAsia"/>
                <w:color w:val="auto"/>
                <w:sz w:val="21"/>
                <w:szCs w:val="21"/>
                <w:highlight w:val="none"/>
                <w:u w:val="none"/>
              </w:rPr>
            </w:pPr>
          </w:p>
        </w:tc>
      </w:tr>
      <w:tr w14:paraId="223F5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1" w:type="pct"/>
            <w:tcBorders>
              <w:top w:val="single" w:color="auto" w:sz="4" w:space="0"/>
            </w:tcBorders>
            <w:vAlign w:val="center"/>
          </w:tcPr>
          <w:p w14:paraId="3A11FDEC">
            <w:pPr>
              <w:widowControl/>
              <w:spacing w:line="240" w:lineRule="auto"/>
              <w:ind w:firstLine="0" w:firstLineChars="0"/>
              <w:jc w:val="center"/>
              <w:rPr>
                <w:rFonts w:hint="eastAsia"/>
                <w:color w:val="auto"/>
                <w:sz w:val="21"/>
                <w:szCs w:val="21"/>
                <w:highlight w:val="none"/>
                <w:u w:val="none"/>
              </w:rPr>
            </w:pPr>
            <w:r>
              <w:rPr>
                <w:color w:val="auto"/>
                <w:sz w:val="21"/>
                <w:szCs w:val="21"/>
                <w:highlight w:val="none"/>
                <w:u w:val="none"/>
              </w:rPr>
              <w:t>1</w:t>
            </w:r>
          </w:p>
        </w:tc>
        <w:tc>
          <w:tcPr>
            <w:tcW w:w="852" w:type="pct"/>
            <w:tcBorders>
              <w:top w:val="single" w:color="auto" w:sz="4" w:space="0"/>
            </w:tcBorders>
            <w:vAlign w:val="center"/>
          </w:tcPr>
          <w:p w14:paraId="5F470BE4">
            <w:pPr>
              <w:widowControl/>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浓硝酸</w:t>
            </w:r>
          </w:p>
        </w:tc>
        <w:tc>
          <w:tcPr>
            <w:tcW w:w="800" w:type="pct"/>
            <w:tcBorders>
              <w:top w:val="single" w:color="auto" w:sz="4" w:space="0"/>
            </w:tcBorders>
            <w:vAlign w:val="center"/>
          </w:tcPr>
          <w:p w14:paraId="43A01CC5">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326.572</w:t>
            </w:r>
          </w:p>
        </w:tc>
        <w:tc>
          <w:tcPr>
            <w:tcW w:w="678" w:type="pct"/>
            <w:tcBorders>
              <w:top w:val="single" w:color="auto" w:sz="4" w:space="0"/>
            </w:tcBorders>
            <w:vAlign w:val="center"/>
          </w:tcPr>
          <w:p w14:paraId="707C7D77">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0.0408</w:t>
            </w:r>
          </w:p>
        </w:tc>
        <w:tc>
          <w:tcPr>
            <w:tcW w:w="830" w:type="pct"/>
            <w:tcBorders>
              <w:top w:val="single" w:color="auto" w:sz="4" w:space="0"/>
            </w:tcBorders>
            <w:vAlign w:val="center"/>
          </w:tcPr>
          <w:p w14:paraId="72E63E81">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98.0058</w:t>
            </w:r>
          </w:p>
        </w:tc>
        <w:tc>
          <w:tcPr>
            <w:tcW w:w="719" w:type="pct"/>
            <w:tcBorders>
              <w:top w:val="single" w:color="auto" w:sz="4" w:space="0"/>
            </w:tcBorders>
            <w:vAlign w:val="center"/>
          </w:tcPr>
          <w:p w14:paraId="05F8D9DF">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0.01225</w:t>
            </w:r>
          </w:p>
        </w:tc>
        <w:tc>
          <w:tcPr>
            <w:tcW w:w="848" w:type="pct"/>
            <w:vMerge w:val="restart"/>
            <w:tcBorders>
              <w:top w:val="single" w:color="auto" w:sz="4" w:space="0"/>
            </w:tcBorders>
            <w:vAlign w:val="center"/>
          </w:tcPr>
          <w:p w14:paraId="36CAEEFE">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rPr>
              <w:t>经硝烟吸收塔处理后并入酸性废气收集至万华环保科技公司能量回收装置处置</w:t>
            </w:r>
          </w:p>
        </w:tc>
      </w:tr>
      <w:tr w14:paraId="71648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71" w:type="pct"/>
            <w:tcBorders>
              <w:top w:val="single" w:color="auto" w:sz="4" w:space="0"/>
            </w:tcBorders>
            <w:vAlign w:val="center"/>
          </w:tcPr>
          <w:p w14:paraId="73B33193">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w:t>
            </w:r>
          </w:p>
        </w:tc>
        <w:tc>
          <w:tcPr>
            <w:tcW w:w="852" w:type="pct"/>
            <w:tcBorders>
              <w:top w:val="single" w:color="auto" w:sz="4" w:space="0"/>
            </w:tcBorders>
            <w:vAlign w:val="center"/>
          </w:tcPr>
          <w:p w14:paraId="3C81D8E0">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MNT废酸</w:t>
            </w:r>
          </w:p>
        </w:tc>
        <w:tc>
          <w:tcPr>
            <w:tcW w:w="2267" w:type="dxa"/>
            <w:tcBorders>
              <w:top w:val="single" w:color="auto" w:sz="4" w:space="0"/>
            </w:tcBorders>
            <w:vAlign w:val="center"/>
          </w:tcPr>
          <w:p w14:paraId="5C69E89C">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0.7854</w:t>
            </w:r>
          </w:p>
        </w:tc>
        <w:tc>
          <w:tcPr>
            <w:tcW w:w="1921" w:type="dxa"/>
            <w:tcBorders>
              <w:top w:val="single" w:color="auto" w:sz="4" w:space="0"/>
            </w:tcBorders>
            <w:vAlign w:val="center"/>
          </w:tcPr>
          <w:p w14:paraId="660D7D57">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0.0001</w:t>
            </w:r>
          </w:p>
        </w:tc>
        <w:tc>
          <w:tcPr>
            <w:tcW w:w="2352" w:type="dxa"/>
            <w:tcBorders>
              <w:top w:val="single" w:color="auto" w:sz="4" w:space="0"/>
            </w:tcBorders>
            <w:vAlign w:val="center"/>
          </w:tcPr>
          <w:p w14:paraId="2E8E5630">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0.4598</w:t>
            </w:r>
          </w:p>
        </w:tc>
        <w:tc>
          <w:tcPr>
            <w:tcW w:w="2038" w:type="dxa"/>
            <w:tcBorders>
              <w:top w:val="single" w:color="auto" w:sz="4" w:space="0"/>
            </w:tcBorders>
            <w:vAlign w:val="center"/>
          </w:tcPr>
          <w:p w14:paraId="258D3247">
            <w:pPr>
              <w:widowControl/>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0.000057</w:t>
            </w:r>
          </w:p>
        </w:tc>
        <w:tc>
          <w:tcPr>
            <w:tcW w:w="848" w:type="pct"/>
            <w:vMerge w:val="continue"/>
            <w:vAlign w:val="center"/>
          </w:tcPr>
          <w:p w14:paraId="34CE822B">
            <w:pPr>
              <w:pStyle w:val="1008"/>
              <w:rPr>
                <w:color w:val="auto"/>
                <w:highlight w:val="none"/>
                <w:u w:val="none"/>
              </w:rPr>
            </w:pPr>
          </w:p>
        </w:tc>
      </w:tr>
    </w:tbl>
    <w:p w14:paraId="382FF3BD">
      <w:pPr>
        <w:rPr>
          <w:rFonts w:hint="eastAsia"/>
          <w:color w:val="auto"/>
          <w:highlight w:val="none"/>
          <w:u w:val="none"/>
        </w:rPr>
      </w:pPr>
    </w:p>
    <w:p w14:paraId="22A66C75">
      <w:pPr>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659B9354">
      <w:pPr>
        <w:pStyle w:val="6"/>
        <w:spacing w:before="156" w:after="156"/>
        <w:rPr>
          <w:color w:val="auto"/>
          <w:highlight w:val="none"/>
          <w:u w:val="none"/>
        </w:rPr>
      </w:pPr>
      <w:bookmarkStart w:id="307" w:name="_Toc148374540"/>
      <w:bookmarkStart w:id="308" w:name="_Toc148374982"/>
      <w:r>
        <w:rPr>
          <w:rFonts w:hint="eastAsia"/>
          <w:color w:val="auto"/>
          <w:highlight w:val="none"/>
          <w:u w:val="none"/>
        </w:rPr>
        <w:t>污水预处理系统排污</w:t>
      </w:r>
      <w:bookmarkEnd w:id="307"/>
      <w:bookmarkEnd w:id="308"/>
    </w:p>
    <w:p w14:paraId="1C6FDAA7">
      <w:pPr>
        <w:rPr>
          <w:rFonts w:hint="eastAsia"/>
          <w:color w:val="auto"/>
          <w:highlight w:val="none"/>
          <w:u w:val="none"/>
        </w:rPr>
      </w:pPr>
      <w:r>
        <w:rPr>
          <w:rFonts w:hint="eastAsia"/>
          <w:color w:val="auto"/>
          <w:highlight w:val="none"/>
          <w:u w:val="none"/>
        </w:rPr>
        <w:t>（</w:t>
      </w:r>
      <w:r>
        <w:rPr>
          <w:color w:val="auto"/>
          <w:highlight w:val="none"/>
          <w:u w:val="none"/>
        </w:rPr>
        <w:t>1）废气污染源</w:t>
      </w:r>
    </w:p>
    <w:p w14:paraId="0A240A0B">
      <w:pPr>
        <w:rPr>
          <w:rFonts w:hint="eastAsia"/>
          <w:color w:val="auto"/>
          <w:highlight w:val="none"/>
          <w:u w:val="none"/>
        </w:rPr>
      </w:pPr>
      <w:r>
        <w:rPr>
          <w:rFonts w:hint="eastAsia"/>
          <w:color w:val="auto"/>
          <w:highlight w:val="none"/>
          <w:u w:val="none"/>
        </w:rPr>
        <w:t>TDI废水预处理单元与酸浓缩单元、硝化单元为硝化工序联合装置，废水预处理单元产生的废气主要为汽提塔顶尾气，</w:t>
      </w:r>
      <w:r>
        <w:rPr>
          <w:color w:val="auto"/>
          <w:highlight w:val="none"/>
          <w:u w:val="none"/>
        </w:rPr>
        <w:t>其中碱性废气主要成分为水和</w:t>
      </w:r>
      <w:r>
        <w:rPr>
          <w:rFonts w:hint="eastAsia"/>
          <w:color w:val="auto"/>
          <w:highlight w:val="none"/>
          <w:u w:val="none"/>
        </w:rPr>
        <w:t>氨气</w:t>
      </w:r>
      <w:r>
        <w:rPr>
          <w:color w:val="auto"/>
          <w:highlight w:val="none"/>
          <w:u w:val="none"/>
        </w:rPr>
        <w:t>，经过塔</w:t>
      </w:r>
      <w:r>
        <w:rPr>
          <w:rFonts w:hint="eastAsia"/>
          <w:color w:val="auto"/>
          <w:highlight w:val="none"/>
          <w:u w:val="none"/>
        </w:rPr>
        <w:t>顶换热器冷凝后，</w:t>
      </w:r>
      <w:r>
        <w:rPr>
          <w:color w:val="auto"/>
          <w:highlight w:val="none"/>
          <w:u w:val="none"/>
        </w:rPr>
        <w:t>与硝化单元中碱洗、中性洗单元碱性废气吸收塔排出的碱性废气通</w:t>
      </w:r>
      <w:r>
        <w:rPr>
          <w:rFonts w:hint="eastAsia"/>
          <w:color w:val="auto"/>
          <w:highlight w:val="none"/>
          <w:u w:val="none"/>
        </w:rPr>
        <w:t>过管道合并后，</w:t>
      </w:r>
      <w:r>
        <w:rPr>
          <w:color w:val="auto"/>
          <w:highlight w:val="none"/>
          <w:u w:val="none"/>
        </w:rPr>
        <w:t>送往</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能量回收装</w:t>
      </w:r>
      <w:r>
        <w:rPr>
          <w:rFonts w:hint="eastAsia"/>
          <w:color w:val="auto"/>
          <w:highlight w:val="none"/>
          <w:u w:val="none"/>
        </w:rPr>
        <w:t>置焚烧处置；</w:t>
      </w:r>
      <w:r>
        <w:rPr>
          <w:color w:val="auto"/>
          <w:highlight w:val="none"/>
          <w:u w:val="none"/>
        </w:rPr>
        <w:t>酸性废气主要成分为水</w:t>
      </w:r>
      <w:r>
        <w:rPr>
          <w:rFonts w:hint="eastAsia"/>
          <w:color w:val="auto"/>
          <w:highlight w:val="none"/>
          <w:u w:val="none"/>
        </w:rPr>
        <w:t>、</w:t>
      </w:r>
      <w:r>
        <w:rPr>
          <w:color w:val="auto"/>
          <w:highlight w:val="none"/>
          <w:u w:val="none"/>
        </w:rPr>
        <w:t>氮气</w:t>
      </w:r>
      <w:r>
        <w:rPr>
          <w:rFonts w:hint="eastAsia"/>
          <w:color w:val="auto"/>
          <w:highlight w:val="none"/>
          <w:u w:val="none"/>
        </w:rPr>
        <w:t>和酸雾</w:t>
      </w:r>
      <w:r>
        <w:rPr>
          <w:color w:val="auto"/>
          <w:highlight w:val="none"/>
          <w:u w:val="none"/>
        </w:rPr>
        <w:t>，经过塔顶换热器冷凝后，</w:t>
      </w:r>
      <w:r>
        <w:rPr>
          <w:rFonts w:hint="eastAsia"/>
          <w:color w:val="auto"/>
          <w:highlight w:val="none"/>
          <w:u w:val="none"/>
        </w:rPr>
        <w:t>与在一硝化中产生的亚硝酸和硝酸气体、</w:t>
      </w:r>
      <w:r>
        <w:rPr>
          <w:color w:val="auto"/>
          <w:highlight w:val="none"/>
          <w:u w:val="none"/>
        </w:rPr>
        <w:t>二硝化部分及酸洗部分的废气通过管道合并，</w:t>
      </w:r>
      <w:r>
        <w:rPr>
          <w:rFonts w:hint="eastAsia"/>
          <w:color w:val="auto"/>
          <w:highlight w:val="none"/>
          <w:u w:val="none"/>
        </w:rPr>
        <w:t>再通过废酸浓缩单元中的硝烟回收机组送往硝烟吸收塔，</w:t>
      </w:r>
      <w:r>
        <w:rPr>
          <w:color w:val="auto"/>
          <w:highlight w:val="none"/>
          <w:u w:val="none"/>
        </w:rPr>
        <w:t>处理后送往</w:t>
      </w:r>
      <w:r>
        <w:rPr>
          <w:rFonts w:hint="eastAsia"/>
          <w:color w:val="auto"/>
          <w:highlight w:val="none"/>
          <w:u w:val="none"/>
        </w:rPr>
        <w:t>万华</w:t>
      </w:r>
      <w:r>
        <w:rPr>
          <w:rFonts w:hint="eastAsia"/>
          <w:color w:val="auto"/>
          <w:highlight w:val="none"/>
          <w:u w:val="none"/>
          <w:lang w:val="en-US"/>
        </w:rPr>
        <w:t>环保科技</w:t>
      </w:r>
      <w:r>
        <w:rPr>
          <w:rFonts w:hint="eastAsia"/>
          <w:color w:val="auto"/>
          <w:highlight w:val="none"/>
          <w:u w:val="none"/>
        </w:rPr>
        <w:t>公司能量回收装置焚烧处置。</w:t>
      </w:r>
    </w:p>
    <w:p w14:paraId="23A20584">
      <w:pPr>
        <w:rPr>
          <w:rFonts w:hint="eastAsia"/>
          <w:color w:val="auto"/>
          <w:highlight w:val="none"/>
          <w:u w:val="none"/>
        </w:rPr>
      </w:pPr>
      <w:r>
        <w:rPr>
          <w:rFonts w:hint="eastAsia"/>
          <w:color w:val="auto"/>
          <w:highlight w:val="none"/>
          <w:u w:val="none"/>
        </w:rPr>
        <w:t>（</w:t>
      </w:r>
      <w:r>
        <w:rPr>
          <w:color w:val="auto"/>
          <w:highlight w:val="none"/>
          <w:u w:val="none"/>
        </w:rPr>
        <w:t>2）废水污染源</w:t>
      </w:r>
    </w:p>
    <w:p w14:paraId="19BA514D">
      <w:pPr>
        <w:rPr>
          <w:rFonts w:hint="eastAsia"/>
          <w:color w:val="auto"/>
          <w:highlight w:val="none"/>
          <w:u w:val="none"/>
        </w:rPr>
      </w:pPr>
      <w:r>
        <w:rPr>
          <w:rFonts w:hint="eastAsia"/>
          <w:color w:val="auto"/>
          <w:highlight w:val="none"/>
          <w:u w:val="none"/>
        </w:rPr>
        <w:t>废水处理单元共处理两股废水，</w:t>
      </w:r>
      <w:r>
        <w:rPr>
          <w:color w:val="auto"/>
          <w:highlight w:val="none"/>
          <w:u w:val="none"/>
        </w:rPr>
        <w:t>分别为来自硝化碱洗单元的红水（碱性废水）及来</w:t>
      </w:r>
      <w:r>
        <w:rPr>
          <w:rFonts w:hint="eastAsia"/>
          <w:color w:val="auto"/>
          <w:highlight w:val="none"/>
          <w:u w:val="none"/>
        </w:rPr>
        <w:t>自酸浓缩汽提单元的酸性废水，</w:t>
      </w:r>
      <w:r>
        <w:rPr>
          <w:color w:val="auto"/>
          <w:highlight w:val="none"/>
          <w:u w:val="none"/>
        </w:rPr>
        <w:t>处理后红水碱性废水（W1-3）</w:t>
      </w:r>
      <w:r>
        <w:rPr>
          <w:rFonts w:hint="eastAsia"/>
          <w:color w:val="auto"/>
          <w:highlight w:val="none"/>
          <w:u w:val="none"/>
        </w:rPr>
        <w:t>送往万华福建公司气体扩能改造项目作为水煤浆气化原料，</w:t>
      </w:r>
      <w:r>
        <w:rPr>
          <w:color w:val="auto"/>
          <w:highlight w:val="none"/>
          <w:u w:val="none"/>
        </w:rPr>
        <w:t>汽提酸性废水（W1-4）</w:t>
      </w:r>
      <w:r>
        <w:rPr>
          <w:rFonts w:hint="eastAsia"/>
          <w:color w:val="auto"/>
          <w:highlight w:val="none"/>
          <w:u w:val="none"/>
        </w:rPr>
        <w:t>委托万华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综合废水处理系统作进一步</w:t>
      </w:r>
      <w:r>
        <w:rPr>
          <w:rFonts w:hint="eastAsia"/>
          <w:color w:val="auto"/>
          <w:highlight w:val="none"/>
          <w:u w:val="none"/>
        </w:rPr>
        <w:t>处理。</w:t>
      </w:r>
    </w:p>
    <w:p w14:paraId="1BCDC13B">
      <w:pPr>
        <w:pStyle w:val="6"/>
        <w:spacing w:before="156" w:after="156"/>
        <w:rPr>
          <w:color w:val="auto"/>
          <w:highlight w:val="none"/>
          <w:u w:val="none"/>
        </w:rPr>
      </w:pPr>
      <w:bookmarkStart w:id="309" w:name="_Toc148374983"/>
      <w:bookmarkStart w:id="310" w:name="_Toc148374541"/>
      <w:r>
        <w:rPr>
          <w:rFonts w:hint="eastAsia"/>
          <w:color w:val="auto"/>
          <w:highlight w:val="none"/>
          <w:u w:val="none"/>
        </w:rPr>
        <w:t>场地及设备冲洗水</w:t>
      </w:r>
      <w:bookmarkEnd w:id="309"/>
      <w:bookmarkEnd w:id="310"/>
    </w:p>
    <w:p w14:paraId="3F7AA822">
      <w:pPr>
        <w:rPr>
          <w:rFonts w:hint="eastAsia"/>
          <w:color w:val="auto"/>
          <w:highlight w:val="none"/>
          <w:u w:val="none"/>
          <w:lang w:val="en-US"/>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项目</w:t>
      </w:r>
      <w:r>
        <w:rPr>
          <w:rFonts w:hint="eastAsia"/>
          <w:color w:val="auto"/>
          <w:highlight w:val="none"/>
          <w:u w:val="none"/>
          <w:lang w:val="en-US"/>
        </w:rPr>
        <w:t>不新增用地，</w:t>
      </w:r>
      <w:r>
        <w:rPr>
          <w:rFonts w:hint="eastAsia"/>
          <w:b/>
          <w:bCs/>
          <w:color w:val="auto"/>
          <w:highlight w:val="none"/>
          <w:u w:val="none"/>
          <w:lang w:val="en-US"/>
        </w:rPr>
        <w:t>因此不新增场地及设备冲洗水。</w:t>
      </w:r>
    </w:p>
    <w:p w14:paraId="5F9106ED">
      <w:pPr>
        <w:rPr>
          <w:rFonts w:hint="eastAsia"/>
          <w:color w:val="auto"/>
          <w:highlight w:val="none"/>
          <w:u w:val="none"/>
        </w:rPr>
      </w:pPr>
      <w:bookmarkStart w:id="311" w:name="_Toc148374984"/>
      <w:bookmarkStart w:id="312" w:name="_Toc148374542"/>
      <w:r>
        <w:rPr>
          <w:color w:val="auto"/>
          <w:highlight w:val="none"/>
          <w:u w:val="none"/>
        </w:rPr>
        <w:t>本工程主要生产设施及罐区面积为</w:t>
      </w:r>
      <w:r>
        <w:rPr>
          <w:rFonts w:hint="eastAsia"/>
          <w:color w:val="auto"/>
          <w:highlight w:val="none"/>
          <w:u w:val="none"/>
          <w:lang w:val="en-US"/>
        </w:rPr>
        <w:t>37100</w:t>
      </w:r>
      <w:r>
        <w:rPr>
          <w:color w:val="auto"/>
          <w:highlight w:val="none"/>
          <w:u w:val="none"/>
        </w:rPr>
        <w:t>m</w:t>
      </w:r>
      <w:r>
        <w:rPr>
          <w:color w:val="auto"/>
          <w:highlight w:val="none"/>
          <w:u w:val="none"/>
          <w:vertAlign w:val="superscript"/>
        </w:rPr>
        <w:t>2</w:t>
      </w:r>
      <w:r>
        <w:rPr>
          <w:color w:val="auto"/>
          <w:highlight w:val="none"/>
          <w:u w:val="none"/>
        </w:rPr>
        <w:t>，</w:t>
      </w:r>
      <w:r>
        <w:rPr>
          <w:rFonts w:hint="eastAsia"/>
          <w:color w:val="auto"/>
          <w:highlight w:val="none"/>
          <w:u w:val="none"/>
        </w:rPr>
        <w:t>场地冲洗水用量为1.5L/m</w:t>
      </w:r>
      <w:r>
        <w:rPr>
          <w:rFonts w:hint="eastAsia"/>
          <w:color w:val="auto"/>
          <w:highlight w:val="none"/>
          <w:u w:val="none"/>
          <w:vertAlign w:val="superscript"/>
        </w:rPr>
        <w:t>2</w:t>
      </w:r>
      <w:r>
        <w:rPr>
          <w:rFonts w:hint="eastAsia"/>
          <w:color w:val="auto"/>
          <w:highlight w:val="none"/>
          <w:u w:val="none"/>
        </w:rPr>
        <w:t>·次，</w:t>
      </w:r>
      <w:r>
        <w:rPr>
          <w:rFonts w:hAnsi="Times New Roman"/>
          <w:color w:val="auto"/>
          <w:highlight w:val="none"/>
          <w:u w:val="none"/>
        </w:rPr>
        <w:t>地坪冲洗水为2.32m</w:t>
      </w:r>
      <w:r>
        <w:rPr>
          <w:rFonts w:hAnsi="Times New Roman"/>
          <w:color w:val="auto"/>
          <w:highlight w:val="none"/>
          <w:u w:val="none"/>
          <w:vertAlign w:val="superscript"/>
        </w:rPr>
        <w:t>3</w:t>
      </w:r>
      <w:r>
        <w:rPr>
          <w:rFonts w:hAnsi="Times New Roman"/>
          <w:color w:val="auto"/>
          <w:highlight w:val="none"/>
          <w:u w:val="none"/>
        </w:rPr>
        <w:t>/h，</w:t>
      </w:r>
      <w:r>
        <w:rPr>
          <w:rFonts w:hint="eastAsia"/>
          <w:color w:val="auto"/>
          <w:highlight w:val="none"/>
          <w:u w:val="none"/>
        </w:rPr>
        <w:t>则地面冲洗用水量约为</w:t>
      </w:r>
      <w:r>
        <w:rPr>
          <w:rFonts w:hint="eastAsia"/>
          <w:color w:val="auto"/>
          <w:highlight w:val="none"/>
          <w:u w:val="none"/>
          <w:lang w:val="en-US"/>
        </w:rPr>
        <w:t>55.65</w:t>
      </w:r>
      <w:r>
        <w:rPr>
          <w:rFonts w:hint="eastAsia"/>
          <w:color w:val="auto"/>
          <w:highlight w:val="none"/>
          <w:u w:val="none"/>
        </w:rPr>
        <w:t>t/次，一般每个月冲洗</w:t>
      </w:r>
      <w:r>
        <w:rPr>
          <w:color w:val="auto"/>
          <w:highlight w:val="none"/>
          <w:u w:val="none"/>
        </w:rPr>
        <w:t>1</w:t>
      </w:r>
      <w:r>
        <w:rPr>
          <w:rFonts w:hint="eastAsia"/>
          <w:color w:val="auto"/>
          <w:highlight w:val="none"/>
          <w:u w:val="none"/>
        </w:rPr>
        <w:t>次，则全年地面冲洗用水量为</w:t>
      </w:r>
      <w:r>
        <w:rPr>
          <w:rFonts w:hint="eastAsia"/>
          <w:color w:val="auto"/>
          <w:highlight w:val="none"/>
          <w:u w:val="none"/>
          <w:lang w:val="en-US"/>
        </w:rPr>
        <w:t>667.8</w:t>
      </w:r>
      <w:r>
        <w:rPr>
          <w:color w:val="auto"/>
          <w:highlight w:val="none"/>
          <w:u w:val="none"/>
        </w:rPr>
        <w:t>t/a</w:t>
      </w:r>
      <w:r>
        <w:rPr>
          <w:rFonts w:hint="eastAsia"/>
          <w:color w:val="auto"/>
          <w:highlight w:val="none"/>
          <w:u w:val="none"/>
        </w:rPr>
        <w:t>，排水系数取0.8，则地面冲洗废水排放量约为</w:t>
      </w:r>
      <w:r>
        <w:rPr>
          <w:rFonts w:hint="eastAsia"/>
          <w:color w:val="auto"/>
          <w:highlight w:val="none"/>
          <w:u w:val="none"/>
          <w:lang w:val="en-US"/>
        </w:rPr>
        <w:t>534.24</w:t>
      </w:r>
      <w:r>
        <w:rPr>
          <w:color w:val="auto"/>
          <w:highlight w:val="none"/>
          <w:u w:val="none"/>
        </w:rPr>
        <w:t>t/a</w:t>
      </w:r>
      <w:r>
        <w:rPr>
          <w:rFonts w:hint="eastAsia"/>
          <w:color w:val="auto"/>
          <w:highlight w:val="none"/>
          <w:u w:val="none"/>
        </w:rPr>
        <w:t>，每次按冲洗</w:t>
      </w:r>
      <w:r>
        <w:rPr>
          <w:color w:val="auto"/>
          <w:highlight w:val="none"/>
          <w:u w:val="none"/>
        </w:rPr>
        <w:t>5</w:t>
      </w:r>
      <w:r>
        <w:rPr>
          <w:rFonts w:hint="eastAsia"/>
          <w:color w:val="auto"/>
          <w:highlight w:val="none"/>
          <w:u w:val="none"/>
        </w:rPr>
        <w:t>个小时计算，则每小时产生的废水排放量为</w:t>
      </w:r>
      <w:r>
        <w:rPr>
          <w:rFonts w:hint="eastAsia"/>
          <w:color w:val="auto"/>
          <w:highlight w:val="none"/>
          <w:u w:val="none"/>
          <w:lang w:val="en-US"/>
        </w:rPr>
        <w:t>11.13</w:t>
      </w:r>
      <w:r>
        <w:rPr>
          <w:rFonts w:hint="eastAsia"/>
          <w:color w:val="auto"/>
          <w:highlight w:val="none"/>
          <w:u w:val="none"/>
        </w:rPr>
        <w:t>t/h。</w:t>
      </w:r>
      <w:r>
        <w:rPr>
          <w:color w:val="auto"/>
          <w:highlight w:val="none"/>
          <w:u w:val="none"/>
        </w:rPr>
        <w:t>主要污染物COD的浓度约为500mg/L、SS浓度约为1000mg/L</w:t>
      </w:r>
      <w:r>
        <w:rPr>
          <w:rFonts w:hint="eastAsia"/>
          <w:color w:val="auto"/>
          <w:highlight w:val="none"/>
          <w:u w:val="none"/>
        </w:rPr>
        <w:t>、</w:t>
      </w:r>
      <w:r>
        <w:rPr>
          <w:color w:val="auto"/>
          <w:highlight w:val="none"/>
          <w:u w:val="none"/>
        </w:rPr>
        <w:t>石油</w:t>
      </w:r>
      <w:r>
        <w:rPr>
          <w:rFonts w:hint="eastAsia"/>
          <w:color w:val="auto"/>
          <w:highlight w:val="none"/>
          <w:u w:val="none"/>
        </w:rPr>
        <w:t>类浓度约为</w:t>
      </w:r>
      <w:r>
        <w:rPr>
          <w:color w:val="auto"/>
          <w:highlight w:val="none"/>
          <w:u w:val="none"/>
        </w:rPr>
        <w:t>20mg/L</w:t>
      </w:r>
      <w:r>
        <w:rPr>
          <w:rFonts w:hint="eastAsia"/>
          <w:color w:val="auto"/>
          <w:highlight w:val="none"/>
          <w:u w:val="none"/>
        </w:rPr>
        <w:t>，送往万华</w:t>
      </w:r>
      <w:r>
        <w:rPr>
          <w:rFonts w:hint="eastAsia"/>
          <w:color w:val="auto"/>
          <w:highlight w:val="none"/>
          <w:u w:val="none"/>
          <w:lang w:val="en-US"/>
        </w:rPr>
        <w:t>环保科技</w:t>
      </w:r>
      <w:r>
        <w:rPr>
          <w:rFonts w:hint="eastAsia"/>
          <w:color w:val="auto"/>
          <w:highlight w:val="none"/>
          <w:u w:val="none"/>
        </w:rPr>
        <w:t>公司低浓度废水处理系统处理。</w:t>
      </w:r>
    </w:p>
    <w:p w14:paraId="59C3A57C">
      <w:pPr>
        <w:rPr>
          <w:rFonts w:hint="eastAsia"/>
          <w:b/>
          <w:bCs/>
          <w:color w:val="auto"/>
          <w:highlight w:val="none"/>
          <w:u w:val="none"/>
        </w:rPr>
      </w:pPr>
      <w:r>
        <w:rPr>
          <w:rFonts w:hint="eastAsia"/>
          <w:color w:val="auto"/>
          <w:highlight w:val="none"/>
          <w:u w:val="none"/>
        </w:rPr>
        <w:t>根据建设单位提供的设计资料，项目酸浓缩处理装置等部分</w:t>
      </w:r>
      <w:r>
        <w:rPr>
          <w:color w:val="auto"/>
          <w:highlight w:val="none"/>
          <w:u w:val="none"/>
        </w:rPr>
        <w:t>设备</w:t>
      </w:r>
      <w:r>
        <w:rPr>
          <w:rFonts w:hint="eastAsia"/>
          <w:color w:val="auto"/>
          <w:highlight w:val="none"/>
          <w:u w:val="none"/>
        </w:rPr>
        <w:t>需定期清洗，清洗</w:t>
      </w:r>
      <w:r>
        <w:rPr>
          <w:color w:val="auto"/>
          <w:highlight w:val="none"/>
          <w:u w:val="none"/>
        </w:rPr>
        <w:t>废水排放量约</w:t>
      </w:r>
      <w:r>
        <w:rPr>
          <w:rFonts w:hint="eastAsia"/>
          <w:color w:val="auto"/>
          <w:highlight w:val="none"/>
          <w:u w:val="none"/>
          <w:lang w:val="en-US"/>
        </w:rPr>
        <w:t>12</w:t>
      </w:r>
      <w:r>
        <w:rPr>
          <w:color w:val="auto"/>
          <w:highlight w:val="none"/>
          <w:u w:val="none"/>
        </w:rPr>
        <w:t>0</w:t>
      </w:r>
      <w:r>
        <w:rPr>
          <w:rFonts w:hint="eastAsia"/>
          <w:color w:val="auto"/>
          <w:highlight w:val="none"/>
          <w:u w:val="none"/>
        </w:rPr>
        <w:t>t</w:t>
      </w:r>
      <w:r>
        <w:rPr>
          <w:color w:val="auto"/>
          <w:highlight w:val="none"/>
          <w:u w:val="none"/>
        </w:rPr>
        <w:t>/</w:t>
      </w:r>
      <w:r>
        <w:rPr>
          <w:rFonts w:hint="eastAsia"/>
          <w:color w:val="auto"/>
          <w:highlight w:val="none"/>
          <w:u w:val="none"/>
        </w:rPr>
        <w:t>次（</w:t>
      </w:r>
      <w:r>
        <w:rPr>
          <w:rFonts w:hint="eastAsia"/>
          <w:color w:val="auto"/>
          <w:highlight w:val="none"/>
          <w:u w:val="none"/>
          <w:lang w:val="en-US"/>
        </w:rPr>
        <w:t>12</w:t>
      </w:r>
      <w:r>
        <w:rPr>
          <w:rFonts w:hint="eastAsia"/>
          <w:color w:val="auto"/>
          <w:highlight w:val="none"/>
          <w:u w:val="none"/>
        </w:rPr>
        <w:t>t</w:t>
      </w:r>
      <w:r>
        <w:rPr>
          <w:color w:val="auto"/>
          <w:highlight w:val="none"/>
          <w:u w:val="none"/>
        </w:rPr>
        <w:t>/h</w:t>
      </w:r>
      <w:r>
        <w:rPr>
          <w:rFonts w:hint="eastAsia"/>
          <w:color w:val="auto"/>
          <w:highlight w:val="none"/>
          <w:u w:val="none"/>
        </w:rPr>
        <w:t>）</w:t>
      </w:r>
      <w:r>
        <w:rPr>
          <w:color w:val="auto"/>
          <w:highlight w:val="none"/>
          <w:u w:val="none"/>
        </w:rPr>
        <w:t>，</w:t>
      </w:r>
      <w:r>
        <w:rPr>
          <w:rFonts w:hint="eastAsia"/>
          <w:color w:val="auto"/>
          <w:highlight w:val="none"/>
          <w:u w:val="none"/>
        </w:rPr>
        <w:t>每个月清洗一次，则项目</w:t>
      </w:r>
      <w:r>
        <w:rPr>
          <w:color w:val="auto"/>
          <w:highlight w:val="none"/>
          <w:u w:val="none"/>
        </w:rPr>
        <w:t>设备</w:t>
      </w:r>
      <w:r>
        <w:rPr>
          <w:rFonts w:hint="eastAsia"/>
          <w:color w:val="auto"/>
          <w:highlight w:val="none"/>
          <w:u w:val="none"/>
        </w:rPr>
        <w:t>清洗</w:t>
      </w:r>
      <w:r>
        <w:rPr>
          <w:color w:val="auto"/>
          <w:highlight w:val="none"/>
          <w:u w:val="none"/>
        </w:rPr>
        <w:t>水排放</w:t>
      </w:r>
      <w:r>
        <w:rPr>
          <w:rFonts w:hint="eastAsia"/>
          <w:color w:val="auto"/>
          <w:highlight w:val="none"/>
          <w:u w:val="none"/>
        </w:rPr>
        <w:t>量为</w:t>
      </w:r>
      <w:r>
        <w:rPr>
          <w:rFonts w:hint="eastAsia"/>
          <w:color w:val="auto"/>
          <w:highlight w:val="none"/>
          <w:u w:val="none"/>
          <w:lang w:val="en-US"/>
        </w:rPr>
        <w:t>1440</w:t>
      </w:r>
      <w:r>
        <w:rPr>
          <w:color w:val="auto"/>
          <w:highlight w:val="none"/>
          <w:u w:val="none"/>
        </w:rPr>
        <w:t>t/a</w:t>
      </w:r>
      <w:r>
        <w:rPr>
          <w:rFonts w:hint="eastAsia"/>
          <w:color w:val="auto"/>
          <w:highlight w:val="none"/>
          <w:u w:val="none"/>
        </w:rPr>
        <w:t>，</w:t>
      </w:r>
      <w:r>
        <w:rPr>
          <w:color w:val="auto"/>
          <w:highlight w:val="none"/>
          <w:u w:val="none"/>
        </w:rPr>
        <w:t>主要污染物</w:t>
      </w:r>
      <w:r>
        <w:rPr>
          <w:rFonts w:hint="eastAsia"/>
          <w:color w:val="auto"/>
          <w:highlight w:val="none"/>
          <w:u w:val="none"/>
        </w:rPr>
        <w:t>为</w:t>
      </w:r>
      <w:r>
        <w:rPr>
          <w:color w:val="auto"/>
          <w:highlight w:val="none"/>
          <w:u w:val="none"/>
        </w:rPr>
        <w:t>COD</w:t>
      </w:r>
      <w:r>
        <w:rPr>
          <w:rFonts w:hint="eastAsia"/>
          <w:color w:val="auto"/>
          <w:highlight w:val="none"/>
          <w:u w:val="none"/>
        </w:rPr>
        <w:t>、硫酸根、硝酸根、</w:t>
      </w:r>
      <w:r>
        <w:rPr>
          <w:color w:val="auto"/>
          <w:highlight w:val="none"/>
          <w:u w:val="none"/>
        </w:rPr>
        <w:t>DNT</w:t>
      </w:r>
      <w:r>
        <w:rPr>
          <w:rFonts w:hint="eastAsia"/>
          <w:color w:val="auto"/>
          <w:highlight w:val="none"/>
          <w:u w:val="none"/>
        </w:rPr>
        <w:t>等，</w:t>
      </w:r>
      <w:r>
        <w:rPr>
          <w:rFonts w:hint="eastAsia"/>
          <w:color w:val="auto"/>
          <w:highlight w:val="none"/>
          <w:u w:val="none"/>
          <w:lang w:val="en-US"/>
        </w:rPr>
        <w:t>考虑到设备清洗废水</w:t>
      </w:r>
      <w:r>
        <w:rPr>
          <w:rFonts w:hint="eastAsia"/>
          <w:color w:val="auto"/>
          <w:highlight w:val="none"/>
          <w:u w:val="none"/>
        </w:rPr>
        <w:t>硫酸根、硝酸根</w:t>
      </w:r>
      <w:r>
        <w:rPr>
          <w:rFonts w:hint="eastAsia"/>
          <w:color w:val="auto"/>
          <w:highlight w:val="none"/>
          <w:u w:val="none"/>
          <w:lang w:val="en-US"/>
        </w:rPr>
        <w:t>等含量较高，不满足</w:t>
      </w:r>
      <w:r>
        <w:rPr>
          <w:rFonts w:hint="eastAsia"/>
          <w:color w:val="auto"/>
          <w:highlight w:val="none"/>
          <w:u w:val="none"/>
        </w:rPr>
        <w:t>低浓度废水处理系统处理</w:t>
      </w:r>
      <w:r>
        <w:rPr>
          <w:rFonts w:hint="eastAsia"/>
          <w:color w:val="auto"/>
          <w:highlight w:val="none"/>
          <w:u w:val="none"/>
          <w:lang w:val="en-US"/>
        </w:rPr>
        <w:t>进水要求，</w:t>
      </w:r>
      <w:r>
        <w:rPr>
          <w:rFonts w:hint="eastAsia"/>
          <w:b/>
          <w:bCs/>
          <w:color w:val="auto"/>
          <w:highlight w:val="none"/>
          <w:u w:val="none"/>
          <w:lang w:val="en-US"/>
        </w:rPr>
        <w:t>因此本次技改扩能将这股废水</w:t>
      </w:r>
      <w:r>
        <w:rPr>
          <w:rFonts w:hint="eastAsia"/>
          <w:b/>
          <w:bCs/>
          <w:color w:val="auto"/>
          <w:highlight w:val="none"/>
          <w:u w:val="none"/>
        </w:rPr>
        <w:t>送往万华</w:t>
      </w:r>
      <w:r>
        <w:rPr>
          <w:rFonts w:hint="eastAsia"/>
          <w:b/>
          <w:bCs/>
          <w:color w:val="auto"/>
          <w:highlight w:val="none"/>
          <w:u w:val="none"/>
          <w:lang w:val="en-US"/>
        </w:rPr>
        <w:t>环保科技</w:t>
      </w:r>
      <w:r>
        <w:rPr>
          <w:rFonts w:hint="eastAsia"/>
          <w:b/>
          <w:bCs/>
          <w:color w:val="auto"/>
          <w:highlight w:val="none"/>
          <w:u w:val="none"/>
        </w:rPr>
        <w:t>公司综合废水处理系统处理。</w:t>
      </w:r>
    </w:p>
    <w:p w14:paraId="41B07BC2">
      <w:pPr>
        <w:pStyle w:val="6"/>
        <w:spacing w:before="156" w:after="156"/>
        <w:rPr>
          <w:color w:val="auto"/>
          <w:highlight w:val="none"/>
          <w:u w:val="none"/>
        </w:rPr>
      </w:pPr>
      <w:r>
        <w:rPr>
          <w:rFonts w:hint="eastAsia"/>
          <w:color w:val="auto"/>
          <w:highlight w:val="none"/>
          <w:u w:val="none"/>
        </w:rPr>
        <w:t>厂区初期雨水</w:t>
      </w:r>
      <w:bookmarkEnd w:id="311"/>
      <w:bookmarkEnd w:id="312"/>
    </w:p>
    <w:p w14:paraId="2A88A907">
      <w:pPr>
        <w:rPr>
          <w:rFonts w:hint="eastAsia"/>
          <w:color w:val="auto"/>
          <w:highlight w:val="none"/>
          <w:u w:val="none"/>
        </w:rPr>
      </w:pPr>
      <w:r>
        <w:rPr>
          <w:rFonts w:hint="eastAsia"/>
          <w:color w:val="auto"/>
          <w:highlight w:val="none"/>
          <w:u w:val="none"/>
        </w:rPr>
        <w:t>现有工程在工艺装置区周围设置围堰及集水坑用于收集初期雨水，在工艺装置界区设置一座</w:t>
      </w:r>
      <w:r>
        <w:rPr>
          <w:rFonts w:hint="eastAsia"/>
          <w:color w:val="auto"/>
          <w:highlight w:val="none"/>
          <w:u w:val="none"/>
          <w:lang w:val="en-US"/>
        </w:rPr>
        <w:t>759m</w:t>
      </w:r>
      <w:r>
        <w:rPr>
          <w:rFonts w:hint="eastAsia"/>
          <w:color w:val="auto"/>
          <w:highlight w:val="none"/>
          <w:u w:val="none"/>
          <w:vertAlign w:val="superscript"/>
          <w:lang w:val="en-US"/>
        </w:rPr>
        <w:t>3</w:t>
      </w:r>
      <w:r>
        <w:rPr>
          <w:rFonts w:hint="eastAsia"/>
          <w:color w:val="auto"/>
          <w:highlight w:val="none"/>
          <w:u w:val="none"/>
        </w:rPr>
        <w:t>初期雨水收集池。池内污水经加压沿外管架送至万华</w:t>
      </w:r>
      <w:r>
        <w:rPr>
          <w:rFonts w:hint="eastAsia"/>
          <w:color w:val="auto"/>
          <w:highlight w:val="none"/>
          <w:u w:val="none"/>
          <w:lang w:val="en-US"/>
        </w:rPr>
        <w:t>环保科技</w:t>
      </w:r>
      <w:r>
        <w:rPr>
          <w:rFonts w:hint="eastAsia"/>
          <w:color w:val="auto"/>
          <w:highlight w:val="none"/>
          <w:u w:val="none"/>
        </w:rPr>
        <w:t>公司低浓度废水处理系统处理。</w:t>
      </w:r>
    </w:p>
    <w:p w14:paraId="57C94C6E">
      <w:pPr>
        <w:rPr>
          <w:rFonts w:hint="eastAsia"/>
          <w:color w:val="auto"/>
          <w:highlight w:val="none"/>
          <w:u w:val="none"/>
        </w:rPr>
      </w:pPr>
      <w:r>
        <w:rPr>
          <w:rFonts w:hint="eastAsia"/>
          <w:color w:val="auto"/>
          <w:highlight w:val="none"/>
          <w:u w:val="none"/>
        </w:rPr>
        <w:t>本次</w:t>
      </w:r>
      <w:r>
        <w:rPr>
          <w:rFonts w:hint="eastAsia"/>
          <w:color w:val="auto"/>
          <w:highlight w:val="none"/>
          <w:u w:val="none"/>
          <w:lang w:val="en-US"/>
        </w:rPr>
        <w:t>技</w:t>
      </w:r>
      <w:r>
        <w:rPr>
          <w:rFonts w:hint="eastAsia"/>
          <w:color w:val="auto"/>
          <w:highlight w:val="none"/>
          <w:u w:val="none"/>
        </w:rPr>
        <w:t>改扩</w:t>
      </w:r>
      <w:r>
        <w:rPr>
          <w:rFonts w:hint="eastAsia"/>
          <w:color w:val="auto"/>
          <w:highlight w:val="none"/>
          <w:u w:val="none"/>
          <w:lang w:val="en-US"/>
        </w:rPr>
        <w:t>能</w:t>
      </w:r>
      <w:r>
        <w:rPr>
          <w:rFonts w:hint="eastAsia"/>
          <w:color w:val="auto"/>
          <w:highlight w:val="none"/>
          <w:u w:val="none"/>
        </w:rPr>
        <w:t>，扩</w:t>
      </w:r>
      <w:r>
        <w:rPr>
          <w:rFonts w:hint="eastAsia"/>
          <w:color w:val="auto"/>
          <w:highlight w:val="none"/>
          <w:u w:val="none"/>
          <w:lang w:val="en-US"/>
        </w:rPr>
        <w:t>能</w:t>
      </w:r>
      <w:r>
        <w:rPr>
          <w:rFonts w:hint="eastAsia"/>
          <w:color w:val="auto"/>
          <w:highlight w:val="none"/>
          <w:u w:val="none"/>
        </w:rPr>
        <w:t>的</w:t>
      </w:r>
      <w:r>
        <w:rPr>
          <w:rFonts w:hint="eastAsia"/>
          <w:color w:val="auto"/>
          <w:highlight w:val="none"/>
          <w:u w:val="none"/>
          <w:lang w:val="en-US"/>
        </w:rPr>
        <w:t>T</w:t>
      </w:r>
      <w:r>
        <w:rPr>
          <w:rFonts w:hint="eastAsia"/>
          <w:color w:val="auto"/>
          <w:highlight w:val="none"/>
          <w:u w:val="none"/>
        </w:rPr>
        <w:t>DI装置设备均位于现有装置区中，罐区内</w:t>
      </w:r>
      <w:r>
        <w:rPr>
          <w:rFonts w:hint="eastAsia"/>
          <w:color w:val="auto"/>
          <w:highlight w:val="none"/>
          <w:u w:val="none"/>
          <w:lang w:val="en-US"/>
        </w:rPr>
        <w:t>储罐无新增</w:t>
      </w:r>
      <w:r>
        <w:rPr>
          <w:rFonts w:hint="eastAsia"/>
          <w:color w:val="auto"/>
          <w:highlight w:val="none"/>
          <w:u w:val="none"/>
        </w:rPr>
        <w:t>，现有工程核算初期雨水时，已将上述装置区、罐区整体计入受污染区域面积，本次</w:t>
      </w:r>
      <w:r>
        <w:rPr>
          <w:rFonts w:hint="eastAsia"/>
          <w:color w:val="auto"/>
          <w:highlight w:val="none"/>
          <w:u w:val="none"/>
          <w:lang w:val="en-US"/>
        </w:rPr>
        <w:t>技</w:t>
      </w:r>
      <w:r>
        <w:rPr>
          <w:rFonts w:hint="eastAsia"/>
          <w:color w:val="auto"/>
          <w:highlight w:val="none"/>
          <w:u w:val="none"/>
        </w:rPr>
        <w:t>改扩能不新增受污染区域面积，也不新增初期雨水量，初期污染雨水量取原环评核算数据</w:t>
      </w:r>
      <w:r>
        <w:rPr>
          <w:rFonts w:hint="eastAsia"/>
          <w:color w:val="auto"/>
          <w:highlight w:val="none"/>
          <w:u w:val="none"/>
          <w:lang w:val="en-US"/>
        </w:rPr>
        <w:t>3.5</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/h。初期雨水水质取原环评数据为COD≤500mg/L、SS≤200mg/L，初期雨水由初期雨水池收集后经泵提升送至万华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低浓度废水处理系统处理。</w:t>
      </w:r>
    </w:p>
    <w:p w14:paraId="6085FE76">
      <w:pPr>
        <w:pStyle w:val="6"/>
        <w:spacing w:before="156" w:after="156"/>
        <w:rPr>
          <w:color w:val="auto"/>
          <w:highlight w:val="none"/>
          <w:u w:val="none"/>
        </w:rPr>
      </w:pPr>
      <w:bookmarkStart w:id="313" w:name="_Toc148374985"/>
      <w:bookmarkStart w:id="314" w:name="_Toc148374543"/>
      <w:r>
        <w:rPr>
          <w:color w:val="auto"/>
          <w:highlight w:val="none"/>
          <w:u w:val="none"/>
        </w:rPr>
        <w:t>办公和生活设施排污</w:t>
      </w:r>
      <w:bookmarkEnd w:id="313"/>
      <w:bookmarkEnd w:id="314"/>
    </w:p>
    <w:p w14:paraId="0F7FE14B">
      <w:pPr>
        <w:rPr>
          <w:rFonts w:hint="eastAsia"/>
          <w:color w:val="auto"/>
          <w:highlight w:val="none"/>
          <w:u w:val="none"/>
          <w:lang w:val="en-US"/>
        </w:rPr>
      </w:pPr>
      <w:r>
        <w:rPr>
          <w:rFonts w:hAnsi="Times New Roman"/>
          <w:color w:val="auto"/>
          <w:highlight w:val="none"/>
          <w:u w:val="none"/>
        </w:rPr>
        <w:t>本次</w:t>
      </w:r>
      <w:r>
        <w:rPr>
          <w:rFonts w:hint="eastAsia" w:hAnsi="Times New Roman"/>
          <w:color w:val="auto"/>
          <w:highlight w:val="none"/>
          <w:u w:val="none"/>
          <w:lang w:val="en-US"/>
        </w:rPr>
        <w:t>技改</w:t>
      </w:r>
      <w:r>
        <w:rPr>
          <w:rFonts w:hint="eastAsia" w:hAnsi="Times New Roman"/>
          <w:color w:val="auto"/>
          <w:highlight w:val="none"/>
          <w:u w:val="none"/>
        </w:rPr>
        <w:t>扩能</w:t>
      </w:r>
      <w:r>
        <w:rPr>
          <w:rFonts w:hAnsi="Times New Roman"/>
          <w:color w:val="auto"/>
          <w:highlight w:val="none"/>
          <w:u w:val="none"/>
        </w:rPr>
        <w:t>所需员工由厂内调剂，</w:t>
      </w:r>
      <w:r>
        <w:rPr>
          <w:rFonts w:hint="eastAsia" w:hAnsi="Times New Roman"/>
          <w:color w:val="auto"/>
          <w:highlight w:val="none"/>
          <w:u w:val="none"/>
          <w:lang w:val="en-US"/>
        </w:rPr>
        <w:t>职工人数109人，</w:t>
      </w:r>
      <w:r>
        <w:rPr>
          <w:rFonts w:hAnsi="Times New Roman"/>
          <w:color w:val="auto"/>
          <w:highlight w:val="none"/>
          <w:u w:val="none"/>
        </w:rPr>
        <w:t>不新增职工，</w:t>
      </w:r>
      <w:r>
        <w:rPr>
          <w:rFonts w:hint="eastAsia" w:hAnsi="Times New Roman"/>
          <w:color w:val="auto"/>
          <w:highlight w:val="none"/>
          <w:u w:val="none"/>
          <w:lang w:val="en-US"/>
        </w:rPr>
        <w:t>不新增生活污水</w:t>
      </w:r>
      <w:r>
        <w:rPr>
          <w:rFonts w:hint="eastAsia" w:hAnsi="Times New Roman"/>
          <w:color w:val="auto"/>
          <w:highlight w:val="none"/>
          <w:u w:val="none"/>
          <w:lang w:val="en-US" w:eastAsia="zh-CN"/>
        </w:rPr>
        <w:t>、</w:t>
      </w:r>
      <w:r>
        <w:rPr>
          <w:rFonts w:hint="eastAsia" w:hAnsi="Times New Roman"/>
          <w:color w:val="auto"/>
          <w:highlight w:val="none"/>
          <w:u w:val="none"/>
          <w:lang w:val="en-US"/>
        </w:rPr>
        <w:t>生活垃圾</w:t>
      </w:r>
      <w:r>
        <w:rPr>
          <w:rFonts w:hint="eastAsia" w:hAnsi="Times New Roman"/>
          <w:color w:val="auto"/>
          <w:highlight w:val="none"/>
          <w:u w:val="none"/>
          <w:lang w:val="en-US" w:eastAsia="zh-CN"/>
        </w:rPr>
        <w:t>每天消耗量，但由于技改后操作时间增加，生活污水和生活垃圾根据工作时间增加，产生量也相应增加</w:t>
      </w:r>
      <w:r>
        <w:rPr>
          <w:rFonts w:hint="eastAsia" w:hAnsi="Times New Roman"/>
          <w:color w:val="auto"/>
          <w:highlight w:val="none"/>
          <w:u w:val="none"/>
          <w:lang w:val="en-US"/>
        </w:rPr>
        <w:t>。生活污水量</w:t>
      </w:r>
      <w:r>
        <w:rPr>
          <w:rFonts w:hint="eastAsia" w:hAnsi="Times New Roman"/>
          <w:color w:val="auto"/>
          <w:highlight w:val="none"/>
          <w:u w:val="none"/>
          <w:lang w:val="en-US" w:eastAsia="zh-CN"/>
        </w:rPr>
        <w:t>6.21</w:t>
      </w:r>
      <w:r>
        <w:rPr>
          <w:rFonts w:hint="eastAsia" w:hAnsi="Times New Roman"/>
          <w:color w:val="auto"/>
          <w:highlight w:val="none"/>
          <w:u w:val="none"/>
          <w:lang w:val="en-US"/>
        </w:rPr>
        <w:t>m</w:t>
      </w:r>
      <w:r>
        <w:rPr>
          <w:rFonts w:hint="eastAsia" w:hAnsi="Times New Roman"/>
          <w:color w:val="auto"/>
          <w:highlight w:val="none"/>
          <w:u w:val="none"/>
          <w:vertAlign w:val="superscript"/>
          <w:lang w:val="en-US"/>
        </w:rPr>
        <w:t>3</w:t>
      </w:r>
      <w:r>
        <w:rPr>
          <w:rFonts w:hint="eastAsia" w:hAnsi="Times New Roman"/>
          <w:color w:val="auto"/>
          <w:highlight w:val="none"/>
          <w:u w:val="none"/>
          <w:lang w:val="en-US"/>
        </w:rPr>
        <w:t>/d（</w:t>
      </w:r>
      <w:r>
        <w:rPr>
          <w:rFonts w:hint="eastAsia" w:hAnsi="Times New Roman"/>
          <w:color w:val="auto"/>
          <w:highlight w:val="none"/>
          <w:u w:val="none"/>
          <w:lang w:val="en-US" w:eastAsia="zh-CN"/>
        </w:rPr>
        <w:t>2070</w:t>
      </w:r>
      <w:r>
        <w:rPr>
          <w:rFonts w:hint="eastAsia" w:hAnsi="Times New Roman"/>
          <w:color w:val="auto"/>
          <w:highlight w:val="none"/>
          <w:u w:val="none"/>
          <w:lang w:val="en-US"/>
        </w:rPr>
        <w:t>t/a），生活垃圾54.5kg/d（18.17t/a）。</w:t>
      </w:r>
    </w:p>
    <w:p w14:paraId="37F2A75B">
      <w:pPr>
        <w:pStyle w:val="6"/>
        <w:spacing w:before="156" w:after="156"/>
        <w:rPr>
          <w:color w:val="auto"/>
          <w:highlight w:val="none"/>
          <w:u w:val="none"/>
        </w:rPr>
      </w:pPr>
      <w:bookmarkStart w:id="315" w:name="_Toc148374986"/>
      <w:bookmarkStart w:id="316" w:name="_Toc148374544"/>
      <w:r>
        <w:rPr>
          <w:color w:val="auto"/>
          <w:highlight w:val="none"/>
          <w:u w:val="none"/>
        </w:rPr>
        <w:t>运输工程</w:t>
      </w:r>
      <w:bookmarkEnd w:id="315"/>
      <w:bookmarkEnd w:id="316"/>
    </w:p>
    <w:p w14:paraId="730B0EDE">
      <w:pPr>
        <w:rPr>
          <w:rFonts w:hint="eastAsia"/>
          <w:color w:val="auto"/>
          <w:highlight w:val="none"/>
          <w:u w:val="none"/>
        </w:rPr>
      </w:pPr>
      <w:r>
        <w:rPr>
          <w:rFonts w:hint="eastAsia"/>
          <w:color w:val="auto"/>
          <w:highlight w:val="none"/>
          <w:u w:val="none"/>
        </w:rPr>
        <w:t>本项目建成运行后物料运入及运出量均有所增加，其中运入运出</w:t>
      </w:r>
      <w:r>
        <w:rPr>
          <w:rFonts w:hint="eastAsia"/>
          <w:color w:val="auto"/>
          <w:highlight w:val="none"/>
          <w:u w:val="none"/>
          <w:lang w:val="en-US"/>
        </w:rPr>
        <w:t>22</w:t>
      </w:r>
      <w:r>
        <w:rPr>
          <w:color w:val="auto"/>
          <w:highlight w:val="none"/>
          <w:u w:val="none"/>
        </w:rPr>
        <w:t>吨/年，依托社</w:t>
      </w:r>
      <w:r>
        <w:rPr>
          <w:rFonts w:hint="eastAsia"/>
          <w:color w:val="auto"/>
          <w:highlight w:val="none"/>
          <w:u w:val="none"/>
        </w:rPr>
        <w:t>会大型车辆运输，运输量以</w:t>
      </w:r>
      <w:r>
        <w:rPr>
          <w:color w:val="auto"/>
          <w:highlight w:val="none"/>
          <w:u w:val="none"/>
        </w:rPr>
        <w:t>15吨/车计，年新增</w:t>
      </w:r>
      <w:r>
        <w:rPr>
          <w:rFonts w:hint="eastAsia"/>
          <w:color w:val="auto"/>
          <w:highlight w:val="none"/>
          <w:u w:val="none"/>
          <w:lang w:val="en-US"/>
        </w:rPr>
        <w:t>2</w:t>
      </w:r>
      <w:r>
        <w:rPr>
          <w:color w:val="auto"/>
          <w:highlight w:val="none"/>
          <w:u w:val="none"/>
        </w:rPr>
        <w:t>车次，在本评价范围内的运输路线主</w:t>
      </w:r>
      <w:r>
        <w:rPr>
          <w:rFonts w:hint="eastAsia"/>
          <w:color w:val="auto"/>
          <w:highlight w:val="none"/>
          <w:u w:val="none"/>
        </w:rPr>
        <w:t>要为：沈海高速</w:t>
      </w:r>
      <w:r>
        <w:rPr>
          <w:color w:val="auto"/>
          <w:highlight w:val="none"/>
          <w:u w:val="none"/>
        </w:rPr>
        <w:t>-渔平高速-江阴支线-厂内，路线长约7公里。</w:t>
      </w:r>
    </w:p>
    <w:p w14:paraId="0A465F6D">
      <w:pPr>
        <w:rPr>
          <w:rFonts w:hint="eastAsia"/>
          <w:color w:val="auto"/>
          <w:highlight w:val="none"/>
          <w:u w:val="none"/>
        </w:rPr>
      </w:pPr>
      <w:r>
        <w:rPr>
          <w:rFonts w:hint="eastAsia"/>
          <w:color w:val="auto"/>
          <w:highlight w:val="none"/>
          <w:u w:val="none"/>
        </w:rPr>
        <w:t>本评价拟采用《</w:t>
      </w:r>
      <w:bookmarkStart w:id="317" w:name="OLE_LINK26"/>
      <w:r>
        <w:rPr>
          <w:rFonts w:hint="eastAsia"/>
          <w:color w:val="auto"/>
          <w:highlight w:val="none"/>
          <w:u w:val="none"/>
        </w:rPr>
        <w:t>环境保护部公告[2014]92号附件3道路机动车大气污染物排放清单编制技术指南</w:t>
      </w:r>
      <w:bookmarkEnd w:id="317"/>
      <w:r>
        <w:rPr>
          <w:rFonts w:hint="eastAsia"/>
          <w:color w:val="auto"/>
          <w:highlight w:val="none"/>
          <w:u w:val="none"/>
        </w:rPr>
        <w:t>（试行）》推荐的单车排放因子作为本次评价使用的单车排放因子，重型货车NOx、CO和THC（总碳氢有机气体）排放系数分别为0.907 g/km·辆、4.5 g/km·辆、0.573 g/km·辆，因此本项目移动源排放污染物主要为NOx、CO和THC（总碳氢有机气体），年新增排放量为</w:t>
      </w:r>
      <w:r>
        <w:rPr>
          <w:color w:val="auto"/>
          <w:highlight w:val="none"/>
          <w:u w:val="none"/>
        </w:rPr>
        <w:t>0.0</w:t>
      </w:r>
      <w:r>
        <w:rPr>
          <w:rFonts w:hint="eastAsia"/>
          <w:color w:val="auto"/>
          <w:highlight w:val="none"/>
          <w:u w:val="none"/>
          <w:lang w:val="en-US"/>
        </w:rPr>
        <w:t>127</w:t>
      </w:r>
      <w:r>
        <w:rPr>
          <w:rFonts w:hint="eastAsia"/>
          <w:color w:val="auto"/>
          <w:highlight w:val="none"/>
          <w:u w:val="none"/>
        </w:rPr>
        <w:t>kg/a，</w:t>
      </w:r>
      <w:r>
        <w:rPr>
          <w:color w:val="auto"/>
          <w:highlight w:val="none"/>
          <w:u w:val="none"/>
        </w:rPr>
        <w:t>0.</w:t>
      </w:r>
      <w:r>
        <w:rPr>
          <w:rFonts w:hint="eastAsia"/>
          <w:color w:val="auto"/>
          <w:highlight w:val="none"/>
          <w:u w:val="none"/>
          <w:lang w:val="en-US"/>
        </w:rPr>
        <w:t>063</w:t>
      </w:r>
      <w:r>
        <w:rPr>
          <w:rFonts w:hint="eastAsia"/>
          <w:color w:val="auto"/>
          <w:highlight w:val="none"/>
          <w:u w:val="none"/>
        </w:rPr>
        <w:t>kg/a，</w:t>
      </w:r>
      <w:r>
        <w:rPr>
          <w:color w:val="auto"/>
          <w:highlight w:val="none"/>
          <w:u w:val="none"/>
        </w:rPr>
        <w:t>0.0</w:t>
      </w:r>
      <w:r>
        <w:rPr>
          <w:rFonts w:hint="eastAsia"/>
          <w:color w:val="auto"/>
          <w:highlight w:val="none"/>
          <w:u w:val="none"/>
          <w:lang w:val="en-US"/>
        </w:rPr>
        <w:t>08</w:t>
      </w:r>
      <w:r>
        <w:rPr>
          <w:rFonts w:hint="eastAsia"/>
          <w:color w:val="auto"/>
          <w:highlight w:val="none"/>
          <w:u w:val="none"/>
        </w:rPr>
        <w:t>kg/a。</w:t>
      </w:r>
    </w:p>
    <w:p w14:paraId="48C786FA">
      <w:pPr>
        <w:rPr>
          <w:rFonts w:hint="eastAsia"/>
          <w:color w:val="auto"/>
          <w:highlight w:val="none"/>
          <w:u w:val="none"/>
        </w:rPr>
      </w:pPr>
      <w:r>
        <w:rPr>
          <w:rFonts w:hint="eastAsia"/>
          <w:color w:val="auto"/>
          <w:highlight w:val="none"/>
          <w:u w:val="none"/>
        </w:rPr>
        <w:t>企业应合理安排运输量和运输时段，同是优先选用国六排放标准的汽车或新能源汽车运输，降低运输车辆尾气排放的影响。</w:t>
      </w:r>
    </w:p>
    <w:p w14:paraId="29920F5F">
      <w:pPr>
        <w:pStyle w:val="6"/>
        <w:spacing w:before="156" w:after="156"/>
        <w:rPr>
          <w:color w:val="auto"/>
          <w:highlight w:val="none"/>
          <w:u w:val="none"/>
        </w:rPr>
      </w:pPr>
      <w:bookmarkStart w:id="318" w:name="_Toc148374987"/>
      <w:bookmarkStart w:id="319" w:name="_Toc148374545"/>
      <w:r>
        <w:rPr>
          <w:color w:val="auto"/>
          <w:highlight w:val="none"/>
          <w:u w:val="none"/>
        </w:rPr>
        <w:t>其他污染源</w:t>
      </w:r>
      <w:bookmarkEnd w:id="318"/>
      <w:bookmarkEnd w:id="319"/>
    </w:p>
    <w:p w14:paraId="63646E3A">
      <w:pPr>
        <w:rPr>
          <w:rFonts w:hint="eastAsia"/>
          <w:color w:val="auto"/>
          <w:highlight w:val="none"/>
          <w:u w:val="none"/>
          <w:lang w:val="en-US"/>
        </w:rPr>
      </w:pPr>
      <w:r>
        <w:rPr>
          <w:rFonts w:hint="eastAsia"/>
          <w:color w:val="auto"/>
          <w:highlight w:val="none"/>
          <w:u w:val="none"/>
          <w:lang w:val="en-US"/>
        </w:rPr>
        <w:t>根据建设单位提供资料，其他污染源包括</w:t>
      </w:r>
      <w:r>
        <w:rPr>
          <w:rFonts w:hint="eastAsia"/>
          <w:color w:val="auto"/>
          <w:highlight w:val="none"/>
          <w:u w:val="none"/>
        </w:rPr>
        <w:t>废弃化学品包装桶或袋（</w:t>
      </w:r>
      <w:r>
        <w:rPr>
          <w:color w:val="auto"/>
          <w:highlight w:val="none"/>
          <w:u w:val="none"/>
        </w:rPr>
        <w:t>S5</w:t>
      </w:r>
      <w:r>
        <w:rPr>
          <w:rFonts w:hint="eastAsia"/>
          <w:color w:val="auto"/>
          <w:highlight w:val="none"/>
          <w:u w:val="none"/>
        </w:rPr>
        <w:t>）、</w:t>
      </w:r>
      <w:r>
        <w:rPr>
          <w:color w:val="auto"/>
          <w:highlight w:val="none"/>
          <w:u w:val="none"/>
        </w:rPr>
        <w:t>机修废油</w:t>
      </w:r>
      <w:r>
        <w:rPr>
          <w:rFonts w:hint="eastAsia"/>
          <w:color w:val="auto"/>
          <w:highlight w:val="none"/>
          <w:u w:val="none"/>
        </w:rPr>
        <w:t>（</w:t>
      </w:r>
      <w:r>
        <w:rPr>
          <w:color w:val="auto"/>
          <w:highlight w:val="none"/>
          <w:u w:val="none"/>
        </w:rPr>
        <w:t>S6</w:t>
      </w:r>
      <w:r>
        <w:rPr>
          <w:rFonts w:hint="eastAsia"/>
          <w:color w:val="auto"/>
          <w:highlight w:val="none"/>
          <w:u w:val="none"/>
        </w:rPr>
        <w:t>）、</w:t>
      </w:r>
      <w:r>
        <w:rPr>
          <w:color w:val="auto"/>
          <w:highlight w:val="none"/>
          <w:u w:val="none"/>
        </w:rPr>
        <w:t>废导热油</w:t>
      </w:r>
      <w:r>
        <w:rPr>
          <w:rFonts w:hint="eastAsia"/>
          <w:color w:val="auto"/>
          <w:highlight w:val="none"/>
          <w:u w:val="none"/>
        </w:rPr>
        <w:t>（</w:t>
      </w:r>
      <w:r>
        <w:rPr>
          <w:color w:val="auto"/>
          <w:highlight w:val="none"/>
          <w:u w:val="none"/>
        </w:rPr>
        <w:t>S7</w:t>
      </w:r>
      <w:r>
        <w:rPr>
          <w:rFonts w:hint="eastAsia"/>
          <w:color w:val="auto"/>
          <w:highlight w:val="none"/>
          <w:u w:val="none"/>
        </w:rPr>
        <w:t>）、</w:t>
      </w:r>
      <w:r>
        <w:rPr>
          <w:color w:val="auto"/>
          <w:highlight w:val="none"/>
          <w:u w:val="none"/>
        </w:rPr>
        <w:t>废氮封油</w:t>
      </w:r>
      <w:r>
        <w:rPr>
          <w:rFonts w:hint="eastAsia"/>
          <w:color w:val="auto"/>
          <w:highlight w:val="none"/>
          <w:u w:val="none"/>
        </w:rPr>
        <w:t>（</w:t>
      </w:r>
      <w:r>
        <w:rPr>
          <w:color w:val="auto"/>
          <w:highlight w:val="none"/>
          <w:u w:val="none"/>
        </w:rPr>
        <w:t>S8</w:t>
      </w:r>
      <w:r>
        <w:rPr>
          <w:rFonts w:hint="eastAsia"/>
          <w:color w:val="auto"/>
          <w:highlight w:val="none"/>
          <w:u w:val="none"/>
        </w:rPr>
        <w:t>）、</w:t>
      </w:r>
      <w:r>
        <w:rPr>
          <w:color w:val="auto"/>
          <w:highlight w:val="none"/>
          <w:u w:val="none"/>
        </w:rPr>
        <w:t>废劳保</w:t>
      </w:r>
      <w:r>
        <w:rPr>
          <w:rFonts w:hint="eastAsia"/>
          <w:color w:val="auto"/>
          <w:highlight w:val="none"/>
          <w:u w:val="none"/>
        </w:rPr>
        <w:t>用品</w:t>
      </w:r>
      <w:r>
        <w:rPr>
          <w:color w:val="auto"/>
          <w:highlight w:val="none"/>
          <w:u w:val="none"/>
        </w:rPr>
        <w:t>、废抹布</w:t>
      </w:r>
      <w:r>
        <w:rPr>
          <w:rFonts w:hint="eastAsia"/>
          <w:color w:val="auto"/>
          <w:highlight w:val="none"/>
          <w:u w:val="none"/>
        </w:rPr>
        <w:t>（</w:t>
      </w:r>
      <w:r>
        <w:rPr>
          <w:color w:val="auto"/>
          <w:highlight w:val="none"/>
          <w:u w:val="none"/>
        </w:rPr>
        <w:t>S9</w:t>
      </w:r>
      <w:r>
        <w:rPr>
          <w:rFonts w:hint="eastAsia"/>
          <w:color w:val="auto"/>
          <w:highlight w:val="none"/>
          <w:u w:val="none"/>
        </w:rPr>
        <w:t>）</w:t>
      </w:r>
      <w:r>
        <w:rPr>
          <w:rFonts w:hint="eastAsia"/>
          <w:color w:val="auto"/>
          <w:highlight w:val="none"/>
          <w:u w:val="none"/>
          <w:lang w:val="en-US"/>
        </w:rPr>
        <w:t>等。本次技改扩能项目新增量很少，忽略不计。</w:t>
      </w:r>
    </w:p>
    <w:p w14:paraId="1EE5822F">
      <w:pPr>
        <w:pStyle w:val="4"/>
        <w:rPr>
          <w:color w:val="auto"/>
          <w:highlight w:val="none"/>
          <w:u w:val="none"/>
        </w:rPr>
      </w:pPr>
      <w:bookmarkStart w:id="320" w:name="_Toc148374988"/>
      <w:bookmarkStart w:id="321" w:name="_Toc148374546"/>
      <w:bookmarkStart w:id="322" w:name="_Toc27272"/>
      <w:bookmarkStart w:id="323" w:name="_Toc148374800"/>
      <w:r>
        <w:rPr>
          <w:rFonts w:hint="eastAsia"/>
          <w:color w:val="auto"/>
          <w:highlight w:val="none"/>
          <w:u w:val="none"/>
        </w:rPr>
        <w:t>平衡分析</w:t>
      </w:r>
      <w:bookmarkEnd w:id="320"/>
      <w:bookmarkEnd w:id="321"/>
      <w:bookmarkEnd w:id="322"/>
      <w:bookmarkEnd w:id="323"/>
    </w:p>
    <w:p w14:paraId="217B1B9A">
      <w:pPr>
        <w:rPr>
          <w:rFonts w:hint="eastAsia"/>
          <w:color w:val="auto"/>
          <w:highlight w:val="none"/>
          <w:u w:val="none"/>
          <w:lang w:val="en-US"/>
        </w:rPr>
      </w:pPr>
      <w:r>
        <w:rPr>
          <w:rFonts w:hint="eastAsia"/>
          <w:color w:val="auto"/>
          <w:highlight w:val="none"/>
          <w:u w:val="none"/>
          <w:lang w:val="en-US" w:eastAsia="zh-CN"/>
        </w:rPr>
        <w:t>涉密删除</w:t>
      </w:r>
      <w:r>
        <w:rPr>
          <w:rFonts w:hint="eastAsia"/>
          <w:color w:val="auto"/>
          <w:highlight w:val="none"/>
          <w:u w:val="none"/>
        </w:rPr>
        <w:t>。</w:t>
      </w:r>
    </w:p>
    <w:p w14:paraId="0134FAE1">
      <w:pPr>
        <w:pStyle w:val="4"/>
        <w:rPr>
          <w:rFonts w:ascii="Times New Roman" w:hAnsi="Times New Roman"/>
          <w:color w:val="auto"/>
          <w:highlight w:val="none"/>
          <w:u w:val="none"/>
        </w:rPr>
      </w:pPr>
      <w:bookmarkStart w:id="324" w:name="_Toc148374992"/>
      <w:bookmarkStart w:id="325" w:name="_Toc148374801"/>
      <w:bookmarkStart w:id="326" w:name="_Toc20780"/>
      <w:bookmarkStart w:id="327" w:name="_Toc148374550"/>
      <w:r>
        <w:rPr>
          <w:rFonts w:hint="eastAsia" w:ascii="Times New Roman" w:hAnsi="Times New Roman" w:eastAsia="宋体"/>
          <w:color w:val="auto"/>
          <w:highlight w:val="none"/>
          <w:u w:val="none"/>
          <w:lang w:val="en-US"/>
        </w:rPr>
        <w:t>TDI一期</w:t>
      </w:r>
      <w:r>
        <w:rPr>
          <w:rFonts w:ascii="Times New Roman" w:hAnsi="Times New Roman"/>
          <w:color w:val="auto"/>
          <w:highlight w:val="none"/>
          <w:u w:val="none"/>
        </w:rPr>
        <w:t>VOCs</w:t>
      </w:r>
      <w:r>
        <w:rPr>
          <w:rFonts w:hint="eastAsia" w:ascii="宋体" w:hAnsi="宋体" w:eastAsia="宋体" w:cs="宋体"/>
          <w:color w:val="auto"/>
          <w:highlight w:val="none"/>
          <w:u w:val="none"/>
        </w:rPr>
        <w:t>排放量估算</w:t>
      </w:r>
      <w:bookmarkEnd w:id="324"/>
      <w:bookmarkEnd w:id="325"/>
      <w:bookmarkEnd w:id="326"/>
      <w:bookmarkEnd w:id="327"/>
    </w:p>
    <w:p w14:paraId="6889327F">
      <w:pPr>
        <w:rPr>
          <w:rFonts w:hint="eastAsia"/>
          <w:color w:val="auto"/>
          <w:highlight w:val="none"/>
          <w:u w:val="none"/>
        </w:rPr>
      </w:pPr>
      <w:r>
        <w:rPr>
          <w:rFonts w:hint="eastAsia"/>
          <w:color w:val="auto"/>
          <w:highlight w:val="none"/>
          <w:u w:val="none"/>
        </w:rPr>
        <w:t>根据</w:t>
      </w:r>
      <w:r>
        <w:rPr>
          <w:color w:val="auto"/>
          <w:highlight w:val="none"/>
          <w:u w:val="none"/>
        </w:rPr>
        <w:t>《石化行业挥发性有机物综合整治方案》（环发</w:t>
      </w:r>
      <w:r>
        <w:rPr>
          <w:rFonts w:hint="eastAsia"/>
          <w:color w:val="auto"/>
          <w:highlight w:val="none"/>
          <w:u w:val="none"/>
        </w:rPr>
        <w:t>[</w:t>
      </w:r>
      <w:r>
        <w:rPr>
          <w:color w:val="auto"/>
          <w:highlight w:val="none"/>
          <w:u w:val="none"/>
        </w:rPr>
        <w:t>2014]177号）、《石化行业建设项目挥发性有机物（VOCs）排放量估算方法技术指南》，</w:t>
      </w:r>
      <w:r>
        <w:rPr>
          <w:rFonts w:hint="eastAsia"/>
          <w:color w:val="auto"/>
          <w:highlight w:val="none"/>
          <w:u w:val="none"/>
        </w:rPr>
        <w:t>本评价对项目挥发性有机物（</w:t>
      </w:r>
      <w:r>
        <w:rPr>
          <w:color w:val="auto"/>
          <w:highlight w:val="none"/>
          <w:u w:val="none"/>
        </w:rPr>
        <w:t>VOCs）污染源进行分析和排放量估算</w:t>
      </w:r>
      <w:r>
        <w:rPr>
          <w:rFonts w:hint="eastAsia"/>
          <w:color w:val="auto"/>
          <w:highlight w:val="none"/>
          <w:u w:val="none"/>
        </w:rPr>
        <w:t>。</w:t>
      </w:r>
    </w:p>
    <w:p w14:paraId="72632B25">
      <w:pPr>
        <w:pStyle w:val="6"/>
        <w:spacing w:before="156" w:after="156"/>
        <w:rPr>
          <w:color w:val="auto"/>
          <w:highlight w:val="none"/>
          <w:u w:val="none"/>
        </w:rPr>
      </w:pPr>
      <w:bookmarkStart w:id="328" w:name="_Toc148374993"/>
      <w:bookmarkStart w:id="329" w:name="_Toc148374551"/>
      <w:r>
        <w:rPr>
          <w:color w:val="auto"/>
          <w:highlight w:val="none"/>
          <w:u w:val="none"/>
        </w:rPr>
        <w:t>VOC</w:t>
      </w:r>
      <w:r>
        <w:rPr>
          <w:color w:val="auto"/>
          <w:highlight w:val="none"/>
          <w:u w:val="none"/>
          <w:vertAlign w:val="subscript"/>
        </w:rPr>
        <w:t>S</w:t>
      </w:r>
      <w:r>
        <w:rPr>
          <w:color w:val="auto"/>
          <w:highlight w:val="none"/>
          <w:u w:val="none"/>
        </w:rPr>
        <w:t>污染源归类解析</w:t>
      </w:r>
      <w:bookmarkEnd w:id="328"/>
      <w:bookmarkEnd w:id="329"/>
    </w:p>
    <w:p w14:paraId="617B1D28">
      <w:pPr>
        <w:rPr>
          <w:rFonts w:hint="eastAsia"/>
          <w:color w:val="auto"/>
          <w:highlight w:val="none"/>
          <w:u w:val="none"/>
        </w:rPr>
      </w:pPr>
      <w:r>
        <w:rPr>
          <w:rFonts w:hint="eastAsia"/>
          <w:color w:val="auto"/>
          <w:highlight w:val="none"/>
          <w:u w:val="none"/>
        </w:rPr>
        <w:t>按照《石化行业</w:t>
      </w:r>
      <w:r>
        <w:rPr>
          <w:color w:val="auto"/>
          <w:highlight w:val="none"/>
          <w:u w:val="none"/>
        </w:rPr>
        <w:t>VOCs污染源排查工作指南》中规定的源项分类，对项目VOCs产</w:t>
      </w:r>
      <w:r>
        <w:rPr>
          <w:rFonts w:hint="eastAsia"/>
          <w:color w:val="auto"/>
          <w:highlight w:val="none"/>
          <w:u w:val="none"/>
        </w:rPr>
        <w:t>生环节进行汇总统计，详见</w:t>
      </w:r>
      <w:r>
        <w:rPr>
          <w:color w:val="auto"/>
          <w:highlight w:val="none"/>
          <w:u w:val="none"/>
        </w:rPr>
        <w:fldChar w:fldCharType="begin"/>
      </w:r>
      <w:r>
        <w:rPr>
          <w:color w:val="auto"/>
          <w:highlight w:val="none"/>
          <w:u w:val="none"/>
        </w:rPr>
        <w:instrText xml:space="preserve"> REF _Ref138694221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color w:val="auto"/>
          <w:highlight w:val="none"/>
          <w:u w:val="none"/>
        </w:rPr>
        <w:t>。</w:t>
      </w:r>
    </w:p>
    <w:p w14:paraId="4B1A64F7">
      <w:pPr>
        <w:rPr>
          <w:rFonts w:hint="eastAsia"/>
          <w:color w:val="auto"/>
          <w:highlight w:val="none"/>
          <w:u w:val="none"/>
        </w:rPr>
      </w:pPr>
      <w:r>
        <w:rPr>
          <w:rFonts w:hint="eastAsia"/>
          <w:color w:val="auto"/>
          <w:highlight w:val="none"/>
          <w:u w:val="none"/>
        </w:rPr>
        <w:t>从本项目污染源源强产生的角度，</w:t>
      </w:r>
      <w:r>
        <w:rPr>
          <w:color w:val="auto"/>
          <w:highlight w:val="none"/>
          <w:u w:val="none"/>
        </w:rPr>
        <w:t>对涉及VOC</w:t>
      </w:r>
      <w:r>
        <w:rPr>
          <w:color w:val="auto"/>
          <w:highlight w:val="none"/>
          <w:u w:val="none"/>
          <w:vertAlign w:val="subscript"/>
        </w:rPr>
        <w:t>S</w:t>
      </w:r>
      <w:r>
        <w:rPr>
          <w:color w:val="auto"/>
          <w:highlight w:val="none"/>
          <w:u w:val="none"/>
        </w:rPr>
        <w:t>污染源进行</w:t>
      </w:r>
      <w:r>
        <w:rPr>
          <w:rFonts w:hint="eastAsia"/>
          <w:color w:val="auto"/>
          <w:highlight w:val="none"/>
          <w:u w:val="none"/>
        </w:rPr>
        <w:t>解析</w:t>
      </w:r>
      <w:r>
        <w:rPr>
          <w:color w:val="auto"/>
          <w:highlight w:val="none"/>
          <w:u w:val="none"/>
        </w:rPr>
        <w:t>，确定本项目VOC</w:t>
      </w:r>
      <w:r>
        <w:rPr>
          <w:color w:val="auto"/>
          <w:highlight w:val="none"/>
          <w:u w:val="none"/>
          <w:vertAlign w:val="subscript"/>
        </w:rPr>
        <w:t>S</w:t>
      </w:r>
      <w:r>
        <w:rPr>
          <w:rFonts w:hint="eastAsia"/>
          <w:color w:val="auto"/>
          <w:highlight w:val="none"/>
          <w:u w:val="none"/>
        </w:rPr>
        <w:t>核算源项为设备动静密封点污染源、</w:t>
      </w:r>
      <w:r>
        <w:rPr>
          <w:color w:val="auto"/>
          <w:highlight w:val="none"/>
          <w:u w:val="none"/>
        </w:rPr>
        <w:t>有机液体储存污染源、有机液体装卸挥发损失、工</w:t>
      </w:r>
      <w:r>
        <w:rPr>
          <w:rFonts w:hint="eastAsia"/>
          <w:color w:val="auto"/>
          <w:highlight w:val="none"/>
          <w:u w:val="none"/>
        </w:rPr>
        <w:t>艺有组织污染源、</w:t>
      </w:r>
      <w:r>
        <w:rPr>
          <w:color w:val="auto"/>
          <w:highlight w:val="none"/>
          <w:u w:val="none"/>
        </w:rPr>
        <w:t>无组织污染源排放，共4类。</w:t>
      </w:r>
    </w:p>
    <w:p w14:paraId="4EA044FA">
      <w:pPr>
        <w:pStyle w:val="476"/>
        <w:rPr>
          <w:color w:val="auto"/>
          <w:highlight w:val="none"/>
          <w:u w:val="none"/>
        </w:rPr>
      </w:pPr>
      <w:bookmarkStart w:id="330" w:name="_Ref13869422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330"/>
      <w:r>
        <w:rPr>
          <w:color w:val="auto"/>
          <w:highlight w:val="none"/>
          <w:u w:val="none"/>
        </w:rPr>
        <w:t xml:space="preserve">  VOCs产生环节汇总表</w:t>
      </w:r>
    </w:p>
    <w:tbl>
      <w:tblPr>
        <w:tblStyle w:val="799"/>
        <w:tblW w:w="912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66"/>
        <w:gridCol w:w="1729"/>
        <w:gridCol w:w="5528"/>
        <w:gridCol w:w="1203"/>
      </w:tblGrid>
      <w:tr w14:paraId="2096E7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7582FE36">
            <w:pPr>
              <w:pStyle w:val="92"/>
              <w:rPr>
                <w:rFonts w:ascii="Calibri"/>
                <w:color w:val="auto"/>
                <w:highlight w:val="none"/>
                <w:u w:val="none"/>
                <w:lang w:eastAsia="en-US"/>
              </w:rPr>
            </w:pPr>
            <w:r>
              <w:rPr>
                <w:rFonts w:hint="eastAsia" w:ascii="Calibri"/>
                <w:color w:val="auto"/>
                <w:highlight w:val="none"/>
                <w:u w:val="none"/>
                <w:lang w:eastAsia="en-US"/>
              </w:rPr>
              <w:t>序号</w:t>
            </w:r>
          </w:p>
        </w:tc>
        <w:tc>
          <w:tcPr>
            <w:tcW w:w="1729" w:type="dxa"/>
            <w:vAlign w:val="center"/>
          </w:tcPr>
          <w:p w14:paraId="3D5F6430">
            <w:pPr>
              <w:pStyle w:val="92"/>
              <w:rPr>
                <w:rFonts w:ascii="Calibri"/>
                <w:color w:val="auto"/>
                <w:highlight w:val="none"/>
                <w:u w:val="none"/>
                <w:lang w:eastAsia="en-US"/>
              </w:rPr>
            </w:pPr>
            <w:r>
              <w:rPr>
                <w:rFonts w:hint="eastAsia" w:ascii="Calibri"/>
                <w:color w:val="auto"/>
                <w:highlight w:val="none"/>
                <w:u w:val="none"/>
                <w:lang w:eastAsia="en-US"/>
              </w:rPr>
              <w:t>源项分类</w:t>
            </w:r>
          </w:p>
        </w:tc>
        <w:tc>
          <w:tcPr>
            <w:tcW w:w="5528" w:type="dxa"/>
            <w:vAlign w:val="center"/>
          </w:tcPr>
          <w:p w14:paraId="0F9367F9">
            <w:pPr>
              <w:pStyle w:val="92"/>
              <w:rPr>
                <w:rFonts w:ascii="Calibri"/>
                <w:color w:val="auto"/>
                <w:highlight w:val="none"/>
                <w:u w:val="none"/>
                <w:lang w:eastAsia="en-US"/>
              </w:rPr>
            </w:pPr>
            <w:r>
              <w:rPr>
                <w:rFonts w:ascii="Calibri"/>
                <w:color w:val="auto"/>
                <w:highlight w:val="none"/>
                <w:u w:val="none"/>
                <w:lang w:eastAsia="en-US"/>
              </w:rPr>
              <w:t>VOCs</w:t>
            </w:r>
            <w:r>
              <w:rPr>
                <w:rFonts w:hint="eastAsia" w:ascii="Calibri"/>
                <w:color w:val="auto"/>
                <w:highlight w:val="none"/>
                <w:u w:val="none"/>
                <w:lang w:eastAsia="en-US"/>
              </w:rPr>
              <w:t>产生环节</w:t>
            </w:r>
          </w:p>
        </w:tc>
        <w:tc>
          <w:tcPr>
            <w:tcW w:w="1203" w:type="dxa"/>
            <w:vAlign w:val="center"/>
          </w:tcPr>
          <w:p w14:paraId="25086977">
            <w:pPr>
              <w:pStyle w:val="92"/>
              <w:rPr>
                <w:rFonts w:ascii="Calibri"/>
                <w:color w:val="auto"/>
                <w:highlight w:val="none"/>
                <w:u w:val="none"/>
                <w:lang w:eastAsia="en-US"/>
              </w:rPr>
            </w:pPr>
            <w:r>
              <w:rPr>
                <w:rFonts w:hint="eastAsia" w:ascii="Calibri"/>
                <w:color w:val="auto"/>
                <w:highlight w:val="none"/>
                <w:u w:val="none"/>
                <w:lang w:eastAsia="en-US"/>
              </w:rPr>
              <w:t>是否有</w:t>
            </w:r>
          </w:p>
          <w:p w14:paraId="4EC2C1F0">
            <w:pPr>
              <w:pStyle w:val="92"/>
              <w:rPr>
                <w:rFonts w:ascii="Calibri"/>
                <w:color w:val="auto"/>
                <w:highlight w:val="none"/>
                <w:u w:val="none"/>
                <w:lang w:eastAsia="en-US"/>
              </w:rPr>
            </w:pPr>
            <w:r>
              <w:rPr>
                <w:rFonts w:ascii="Calibri"/>
                <w:color w:val="auto"/>
                <w:highlight w:val="none"/>
                <w:u w:val="none"/>
                <w:lang w:eastAsia="en-US"/>
              </w:rPr>
              <w:t>VOCs</w:t>
            </w:r>
            <w:r>
              <w:rPr>
                <w:rFonts w:hint="eastAsia" w:ascii="Calibri"/>
                <w:color w:val="auto"/>
                <w:highlight w:val="none"/>
                <w:u w:val="none"/>
                <w:lang w:eastAsia="en-US"/>
              </w:rPr>
              <w:t>排放</w:t>
            </w:r>
          </w:p>
        </w:tc>
      </w:tr>
      <w:tr w14:paraId="54E4B8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583C3F77">
            <w:pPr>
              <w:pStyle w:val="92"/>
              <w:rPr>
                <w:rFonts w:ascii="Calibri"/>
                <w:color w:val="auto"/>
                <w:highlight w:val="none"/>
                <w:u w:val="none"/>
                <w:lang w:eastAsia="en-US"/>
              </w:rPr>
            </w:pPr>
            <w:r>
              <w:rPr>
                <w:rFonts w:ascii="Calibri"/>
                <w:color w:val="auto"/>
                <w:highlight w:val="none"/>
                <w:u w:val="none"/>
                <w:lang w:eastAsia="en-US"/>
              </w:rPr>
              <w:t>1</w:t>
            </w:r>
          </w:p>
        </w:tc>
        <w:tc>
          <w:tcPr>
            <w:tcW w:w="1729" w:type="dxa"/>
            <w:vAlign w:val="center"/>
          </w:tcPr>
          <w:p w14:paraId="1A5B9EE3">
            <w:pPr>
              <w:pStyle w:val="92"/>
              <w:rPr>
                <w:rFonts w:ascii="Calibri"/>
                <w:color w:val="auto"/>
                <w:highlight w:val="none"/>
                <w:u w:val="none"/>
                <w:lang w:eastAsia="en-US"/>
              </w:rPr>
            </w:pPr>
            <w:r>
              <w:rPr>
                <w:rFonts w:hint="eastAsia" w:ascii="Calibri"/>
                <w:color w:val="auto"/>
                <w:highlight w:val="none"/>
                <w:u w:val="none"/>
                <w:lang w:eastAsia="en-US"/>
              </w:rPr>
              <w:t>设备动静密封点污染源</w:t>
            </w:r>
          </w:p>
        </w:tc>
        <w:tc>
          <w:tcPr>
            <w:tcW w:w="5528" w:type="dxa"/>
            <w:vAlign w:val="center"/>
          </w:tcPr>
          <w:p w14:paraId="47EB1819">
            <w:pPr>
              <w:pStyle w:val="92"/>
              <w:rPr>
                <w:rFonts w:ascii="Calibri"/>
                <w:color w:val="auto"/>
                <w:highlight w:val="none"/>
                <w:u w:val="none"/>
                <w:lang w:eastAsia="en-US"/>
              </w:rPr>
            </w:pPr>
            <w:r>
              <w:rPr>
                <w:rFonts w:hint="eastAsia" w:ascii="Calibri"/>
                <w:color w:val="auto"/>
                <w:highlight w:val="none"/>
                <w:u w:val="none"/>
                <w:lang w:eastAsia="en-US"/>
              </w:rPr>
              <w:t>装置区设备动静密封组件，如阀门、法兰、泵、压缩机、连接件、开口管线等存在无组织挥发。</w:t>
            </w:r>
          </w:p>
        </w:tc>
        <w:tc>
          <w:tcPr>
            <w:tcW w:w="1203" w:type="dxa"/>
            <w:vAlign w:val="center"/>
          </w:tcPr>
          <w:p w14:paraId="21084250">
            <w:pPr>
              <w:pStyle w:val="92"/>
              <w:rPr>
                <w:rFonts w:ascii="Calibri"/>
                <w:color w:val="auto"/>
                <w:highlight w:val="none"/>
                <w:u w:val="none"/>
                <w:lang w:eastAsia="en-US"/>
              </w:rPr>
            </w:pPr>
            <w:r>
              <w:rPr>
                <w:rFonts w:hint="eastAsia" w:ascii="Calibri"/>
                <w:color w:val="auto"/>
                <w:highlight w:val="none"/>
                <w:u w:val="none"/>
                <w:lang w:eastAsia="en-US"/>
              </w:rPr>
              <w:t>有</w:t>
            </w:r>
          </w:p>
        </w:tc>
      </w:tr>
      <w:tr w14:paraId="013051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658BA97D">
            <w:pPr>
              <w:pStyle w:val="92"/>
              <w:rPr>
                <w:rFonts w:ascii="Calibri"/>
                <w:color w:val="auto"/>
                <w:highlight w:val="none"/>
                <w:u w:val="none"/>
                <w:lang w:eastAsia="en-US"/>
              </w:rPr>
            </w:pPr>
            <w:r>
              <w:rPr>
                <w:rFonts w:ascii="Calibri"/>
                <w:color w:val="auto"/>
                <w:highlight w:val="none"/>
                <w:u w:val="none"/>
                <w:lang w:eastAsia="en-US"/>
              </w:rPr>
              <w:t>2</w:t>
            </w:r>
          </w:p>
        </w:tc>
        <w:tc>
          <w:tcPr>
            <w:tcW w:w="1729" w:type="dxa"/>
            <w:vAlign w:val="center"/>
          </w:tcPr>
          <w:p w14:paraId="39F218AC">
            <w:pPr>
              <w:pStyle w:val="92"/>
              <w:rPr>
                <w:rFonts w:ascii="Calibri"/>
                <w:color w:val="auto"/>
                <w:highlight w:val="none"/>
                <w:u w:val="none"/>
                <w:lang w:eastAsia="en-US"/>
              </w:rPr>
            </w:pPr>
            <w:r>
              <w:rPr>
                <w:rFonts w:hint="eastAsia" w:ascii="Calibri"/>
                <w:color w:val="auto"/>
                <w:highlight w:val="none"/>
                <w:u w:val="none"/>
                <w:lang w:eastAsia="en-US"/>
              </w:rPr>
              <w:t>有机液体储存污染源</w:t>
            </w:r>
          </w:p>
        </w:tc>
        <w:tc>
          <w:tcPr>
            <w:tcW w:w="5528" w:type="dxa"/>
            <w:vAlign w:val="center"/>
          </w:tcPr>
          <w:p w14:paraId="17A9466B">
            <w:pPr>
              <w:pStyle w:val="92"/>
              <w:rPr>
                <w:rFonts w:ascii="Calibri"/>
                <w:color w:val="auto"/>
                <w:highlight w:val="none"/>
                <w:u w:val="none"/>
                <w:lang w:eastAsia="en-US"/>
              </w:rPr>
            </w:pPr>
            <w:r>
              <w:rPr>
                <w:rFonts w:hint="eastAsia" w:ascii="Calibri"/>
                <w:color w:val="auto"/>
                <w:highlight w:val="none"/>
                <w:u w:val="none"/>
                <w:lang w:eastAsia="en-US"/>
              </w:rPr>
              <w:t>项目储罐储存过程存在无组织挥发，包括静置损耗和工作损耗。</w:t>
            </w:r>
          </w:p>
        </w:tc>
        <w:tc>
          <w:tcPr>
            <w:tcW w:w="1203" w:type="dxa"/>
            <w:vAlign w:val="center"/>
          </w:tcPr>
          <w:p w14:paraId="53FF38BB">
            <w:pPr>
              <w:pStyle w:val="92"/>
              <w:rPr>
                <w:rFonts w:ascii="Calibri"/>
                <w:color w:val="auto"/>
                <w:highlight w:val="none"/>
                <w:u w:val="none"/>
                <w:lang w:eastAsia="en-US"/>
              </w:rPr>
            </w:pPr>
            <w:r>
              <w:rPr>
                <w:rFonts w:hint="eastAsia" w:ascii="Calibri"/>
                <w:color w:val="auto"/>
                <w:highlight w:val="none"/>
                <w:u w:val="none"/>
                <w:lang w:eastAsia="en-US"/>
              </w:rPr>
              <w:t>有</w:t>
            </w:r>
          </w:p>
        </w:tc>
      </w:tr>
      <w:tr w14:paraId="5608E1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35A6ECC3">
            <w:pPr>
              <w:pStyle w:val="92"/>
              <w:rPr>
                <w:rFonts w:ascii="Calibri"/>
                <w:color w:val="auto"/>
                <w:highlight w:val="none"/>
                <w:u w:val="none"/>
                <w:lang w:eastAsia="en-US"/>
              </w:rPr>
            </w:pPr>
            <w:r>
              <w:rPr>
                <w:rFonts w:ascii="Calibri"/>
                <w:color w:val="auto"/>
                <w:highlight w:val="none"/>
                <w:u w:val="none"/>
                <w:lang w:eastAsia="en-US"/>
              </w:rPr>
              <w:t>3</w:t>
            </w:r>
          </w:p>
        </w:tc>
        <w:tc>
          <w:tcPr>
            <w:tcW w:w="1729" w:type="dxa"/>
            <w:vAlign w:val="center"/>
          </w:tcPr>
          <w:p w14:paraId="5FD5BE45">
            <w:pPr>
              <w:pStyle w:val="92"/>
              <w:rPr>
                <w:rFonts w:ascii="Calibri"/>
                <w:color w:val="auto"/>
                <w:highlight w:val="none"/>
                <w:u w:val="none"/>
                <w:lang w:eastAsia="en-US"/>
              </w:rPr>
            </w:pPr>
            <w:r>
              <w:rPr>
                <w:rFonts w:hint="eastAsia" w:ascii="Calibri"/>
                <w:color w:val="auto"/>
                <w:highlight w:val="none"/>
                <w:u w:val="none"/>
                <w:lang w:eastAsia="en-US"/>
              </w:rPr>
              <w:t>有机液体装卸挥发损失</w:t>
            </w:r>
          </w:p>
        </w:tc>
        <w:tc>
          <w:tcPr>
            <w:tcW w:w="5528" w:type="dxa"/>
            <w:vAlign w:val="center"/>
          </w:tcPr>
          <w:p w14:paraId="25F142AC">
            <w:pPr>
              <w:pStyle w:val="92"/>
              <w:rPr>
                <w:rFonts w:ascii="Calibri"/>
                <w:color w:val="auto"/>
                <w:highlight w:val="none"/>
                <w:u w:val="none"/>
                <w:lang w:eastAsia="en-US"/>
              </w:rPr>
            </w:pPr>
            <w:r>
              <w:rPr>
                <w:rFonts w:hint="eastAsia" w:ascii="Calibri"/>
                <w:color w:val="auto"/>
                <w:highlight w:val="none"/>
                <w:u w:val="none"/>
                <w:lang w:eastAsia="en-US"/>
              </w:rPr>
              <w:t>挥发性有机物在装卸、分装过程中逸散进入大气的</w:t>
            </w:r>
            <w:r>
              <w:rPr>
                <w:rFonts w:ascii="Calibri"/>
                <w:color w:val="auto"/>
                <w:highlight w:val="none"/>
                <w:u w:val="none"/>
                <w:lang w:eastAsia="en-US"/>
              </w:rPr>
              <w:t>VOCs</w:t>
            </w:r>
            <w:r>
              <w:rPr>
                <w:rFonts w:hint="eastAsia" w:ascii="Calibri"/>
                <w:color w:val="auto"/>
                <w:highlight w:val="none"/>
                <w:u w:val="none"/>
                <w:lang w:eastAsia="en-US"/>
              </w:rPr>
              <w:t>。进厂的</w:t>
            </w:r>
            <w:r>
              <w:rPr>
                <w:rFonts w:ascii="Calibri"/>
                <w:color w:val="auto"/>
                <w:highlight w:val="none"/>
                <w:u w:val="none"/>
                <w:lang w:eastAsia="en-US"/>
              </w:rPr>
              <w:t>VOCs</w:t>
            </w:r>
            <w:r>
              <w:rPr>
                <w:rFonts w:hint="eastAsia" w:ascii="Calibri"/>
                <w:color w:val="auto"/>
                <w:highlight w:val="none"/>
                <w:u w:val="none"/>
                <w:lang w:eastAsia="en-US"/>
              </w:rPr>
              <w:t>装卸损耗量，已经在储罐损耗中进行计算，无出厂装卸损耗。</w:t>
            </w:r>
          </w:p>
        </w:tc>
        <w:tc>
          <w:tcPr>
            <w:tcW w:w="1203" w:type="dxa"/>
            <w:vAlign w:val="center"/>
          </w:tcPr>
          <w:p w14:paraId="33977FA6">
            <w:pPr>
              <w:pStyle w:val="92"/>
              <w:rPr>
                <w:rFonts w:ascii="Calibri"/>
                <w:color w:val="auto"/>
                <w:highlight w:val="none"/>
                <w:u w:val="none"/>
                <w:lang w:eastAsia="en-US"/>
              </w:rPr>
            </w:pPr>
            <w:r>
              <w:rPr>
                <w:rFonts w:hint="eastAsia" w:ascii="Calibri"/>
                <w:color w:val="auto"/>
                <w:highlight w:val="none"/>
                <w:u w:val="none"/>
                <w:lang w:eastAsia="en-US"/>
              </w:rPr>
              <w:t>无</w:t>
            </w:r>
          </w:p>
        </w:tc>
      </w:tr>
      <w:tr w14:paraId="0B4853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2DCDBDF8">
            <w:pPr>
              <w:pStyle w:val="92"/>
              <w:rPr>
                <w:rFonts w:ascii="Calibri"/>
                <w:color w:val="auto"/>
                <w:highlight w:val="none"/>
                <w:u w:val="none"/>
                <w:lang w:eastAsia="en-US"/>
              </w:rPr>
            </w:pPr>
            <w:r>
              <w:rPr>
                <w:rFonts w:ascii="Calibri"/>
                <w:color w:val="auto"/>
                <w:highlight w:val="none"/>
                <w:u w:val="none"/>
                <w:lang w:eastAsia="en-US"/>
              </w:rPr>
              <w:t>4</w:t>
            </w:r>
          </w:p>
        </w:tc>
        <w:tc>
          <w:tcPr>
            <w:tcW w:w="1729" w:type="dxa"/>
            <w:vAlign w:val="center"/>
          </w:tcPr>
          <w:p w14:paraId="48FD8F09">
            <w:pPr>
              <w:pStyle w:val="92"/>
              <w:rPr>
                <w:rFonts w:ascii="Calibri"/>
                <w:color w:val="auto"/>
                <w:highlight w:val="none"/>
                <w:u w:val="none"/>
                <w:lang w:eastAsia="en-US"/>
              </w:rPr>
            </w:pPr>
            <w:r>
              <w:rPr>
                <w:rFonts w:hint="eastAsia" w:ascii="Calibri"/>
                <w:color w:val="auto"/>
                <w:highlight w:val="none"/>
                <w:u w:val="none"/>
                <w:lang w:eastAsia="en-US"/>
              </w:rPr>
              <w:t>废水收集及处理系统</w:t>
            </w:r>
            <w:r>
              <w:rPr>
                <w:rFonts w:ascii="Calibri"/>
                <w:color w:val="auto"/>
                <w:highlight w:val="none"/>
                <w:u w:val="none"/>
                <w:lang w:eastAsia="en-US"/>
              </w:rPr>
              <w:t>VOCs</w:t>
            </w:r>
            <w:r>
              <w:rPr>
                <w:rFonts w:hint="eastAsia" w:ascii="Calibri"/>
                <w:color w:val="auto"/>
                <w:highlight w:val="none"/>
                <w:u w:val="none"/>
                <w:lang w:eastAsia="en-US"/>
              </w:rPr>
              <w:t>排放</w:t>
            </w:r>
          </w:p>
        </w:tc>
        <w:tc>
          <w:tcPr>
            <w:tcW w:w="5528" w:type="dxa"/>
            <w:vAlign w:val="center"/>
          </w:tcPr>
          <w:p w14:paraId="42653219">
            <w:pPr>
              <w:pStyle w:val="92"/>
              <w:rPr>
                <w:rFonts w:ascii="Calibri"/>
                <w:color w:val="auto"/>
                <w:highlight w:val="none"/>
                <w:u w:val="none"/>
                <w:lang w:eastAsia="en-US"/>
              </w:rPr>
            </w:pPr>
            <w:r>
              <w:rPr>
                <w:rFonts w:hint="eastAsia" w:ascii="Calibri"/>
                <w:color w:val="auto"/>
                <w:highlight w:val="none"/>
                <w:u w:val="none"/>
                <w:lang w:eastAsia="en-US"/>
              </w:rPr>
              <w:t>污水预处理过程在全密闭的萃取分离罐中进行，处理过程产生的碱性废气经加压水洗涤预处理后去焚烧，酸性废气酸性废气经硝烟吸收塔处理后去焚烧，不另产生</w:t>
            </w:r>
            <w:r>
              <w:rPr>
                <w:rFonts w:ascii="Calibri"/>
                <w:color w:val="auto"/>
                <w:highlight w:val="none"/>
                <w:u w:val="none"/>
                <w:lang w:eastAsia="en-US"/>
              </w:rPr>
              <w:t>VOCs</w:t>
            </w:r>
            <w:r>
              <w:rPr>
                <w:rFonts w:hint="eastAsia" w:ascii="Calibri"/>
                <w:color w:val="auto"/>
                <w:highlight w:val="none"/>
                <w:u w:val="none"/>
                <w:lang w:eastAsia="en-US"/>
              </w:rPr>
              <w:t>排放。</w:t>
            </w:r>
          </w:p>
        </w:tc>
        <w:tc>
          <w:tcPr>
            <w:tcW w:w="1203" w:type="dxa"/>
            <w:vAlign w:val="center"/>
          </w:tcPr>
          <w:p w14:paraId="3F3FBD27">
            <w:pPr>
              <w:pStyle w:val="92"/>
              <w:rPr>
                <w:rFonts w:ascii="Calibri"/>
                <w:color w:val="auto"/>
                <w:highlight w:val="none"/>
                <w:u w:val="none"/>
                <w:lang w:eastAsia="en-US"/>
              </w:rPr>
            </w:pPr>
            <w:r>
              <w:rPr>
                <w:rFonts w:hint="eastAsia" w:ascii="Calibri"/>
                <w:color w:val="auto"/>
                <w:highlight w:val="none"/>
                <w:u w:val="none"/>
                <w:lang w:eastAsia="en-US"/>
              </w:rPr>
              <w:t>无</w:t>
            </w:r>
          </w:p>
        </w:tc>
      </w:tr>
      <w:tr w14:paraId="65116F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70B2FA96">
            <w:pPr>
              <w:pStyle w:val="92"/>
              <w:rPr>
                <w:rFonts w:ascii="Calibri"/>
                <w:color w:val="auto"/>
                <w:highlight w:val="none"/>
                <w:u w:val="none"/>
                <w:lang w:eastAsia="en-US"/>
              </w:rPr>
            </w:pPr>
            <w:r>
              <w:rPr>
                <w:rFonts w:ascii="Calibri"/>
                <w:color w:val="auto"/>
                <w:highlight w:val="none"/>
                <w:u w:val="none"/>
                <w:lang w:eastAsia="en-US"/>
              </w:rPr>
              <w:t>5</w:t>
            </w:r>
          </w:p>
        </w:tc>
        <w:tc>
          <w:tcPr>
            <w:tcW w:w="1729" w:type="dxa"/>
            <w:vAlign w:val="center"/>
          </w:tcPr>
          <w:p w14:paraId="1D444A99">
            <w:pPr>
              <w:pStyle w:val="92"/>
              <w:rPr>
                <w:rFonts w:ascii="Calibri"/>
                <w:color w:val="auto"/>
                <w:highlight w:val="none"/>
                <w:u w:val="none"/>
                <w:lang w:eastAsia="en-US"/>
              </w:rPr>
            </w:pPr>
            <w:r>
              <w:rPr>
                <w:rFonts w:hint="eastAsia" w:ascii="Calibri"/>
                <w:color w:val="auto"/>
                <w:highlight w:val="none"/>
                <w:u w:val="none"/>
                <w:lang w:eastAsia="en-US"/>
              </w:rPr>
              <w:t>工艺有组织污染源</w:t>
            </w:r>
          </w:p>
        </w:tc>
        <w:tc>
          <w:tcPr>
            <w:tcW w:w="5528" w:type="dxa"/>
            <w:vAlign w:val="center"/>
          </w:tcPr>
          <w:p w14:paraId="5FEE9E08">
            <w:pPr>
              <w:pStyle w:val="92"/>
              <w:rPr>
                <w:rFonts w:ascii="Calibri"/>
                <w:color w:val="auto"/>
                <w:highlight w:val="none"/>
                <w:u w:val="none"/>
                <w:lang w:eastAsia="en-US"/>
              </w:rPr>
            </w:pPr>
            <w:r>
              <w:rPr>
                <w:rFonts w:hint="eastAsia" w:ascii="Calibri"/>
                <w:color w:val="auto"/>
                <w:highlight w:val="none"/>
                <w:u w:val="none"/>
                <w:lang w:eastAsia="en-US"/>
              </w:rPr>
              <w:t>项目生产过程产生少量有机废气（以挥发性有机物计）。</w:t>
            </w:r>
          </w:p>
        </w:tc>
        <w:tc>
          <w:tcPr>
            <w:tcW w:w="1203" w:type="dxa"/>
            <w:vAlign w:val="center"/>
          </w:tcPr>
          <w:p w14:paraId="60317990">
            <w:pPr>
              <w:pStyle w:val="92"/>
              <w:rPr>
                <w:rFonts w:ascii="Calibri"/>
                <w:color w:val="auto"/>
                <w:highlight w:val="none"/>
                <w:u w:val="none"/>
                <w:lang w:eastAsia="en-US"/>
              </w:rPr>
            </w:pPr>
            <w:r>
              <w:rPr>
                <w:rFonts w:hint="eastAsia" w:ascii="Calibri"/>
                <w:color w:val="auto"/>
                <w:highlight w:val="none"/>
                <w:u w:val="none"/>
                <w:lang w:eastAsia="en-US"/>
              </w:rPr>
              <w:t>有</w:t>
            </w:r>
          </w:p>
        </w:tc>
      </w:tr>
      <w:tr w14:paraId="4F7DBA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68E74BE3">
            <w:pPr>
              <w:pStyle w:val="92"/>
              <w:rPr>
                <w:rFonts w:ascii="Calibri"/>
                <w:color w:val="auto"/>
                <w:highlight w:val="none"/>
                <w:u w:val="none"/>
                <w:lang w:eastAsia="en-US"/>
              </w:rPr>
            </w:pPr>
            <w:r>
              <w:rPr>
                <w:rFonts w:ascii="Calibri"/>
                <w:color w:val="auto"/>
                <w:highlight w:val="none"/>
                <w:u w:val="none"/>
                <w:lang w:eastAsia="en-US"/>
              </w:rPr>
              <w:t>6</w:t>
            </w:r>
          </w:p>
        </w:tc>
        <w:tc>
          <w:tcPr>
            <w:tcW w:w="1729" w:type="dxa"/>
            <w:vAlign w:val="center"/>
          </w:tcPr>
          <w:p w14:paraId="0C5733C9">
            <w:pPr>
              <w:pStyle w:val="92"/>
              <w:rPr>
                <w:rFonts w:ascii="Calibri"/>
                <w:color w:val="auto"/>
                <w:highlight w:val="none"/>
                <w:u w:val="none"/>
                <w:lang w:eastAsia="en-US"/>
              </w:rPr>
            </w:pPr>
            <w:r>
              <w:rPr>
                <w:rFonts w:hint="eastAsia" w:ascii="Calibri"/>
                <w:color w:val="auto"/>
                <w:highlight w:val="none"/>
                <w:u w:val="none"/>
                <w:lang w:eastAsia="en-US"/>
              </w:rPr>
              <w:t>冷却塔、循环水冷却系统释放</w:t>
            </w:r>
          </w:p>
        </w:tc>
        <w:tc>
          <w:tcPr>
            <w:tcW w:w="5528" w:type="dxa"/>
            <w:vAlign w:val="center"/>
          </w:tcPr>
          <w:p w14:paraId="086A6437">
            <w:pPr>
              <w:pStyle w:val="92"/>
              <w:rPr>
                <w:rFonts w:ascii="Calibri"/>
                <w:color w:val="auto"/>
                <w:highlight w:val="none"/>
                <w:u w:val="none"/>
                <w:lang w:eastAsia="en-US"/>
              </w:rPr>
            </w:pPr>
            <w:r>
              <w:rPr>
                <w:rFonts w:hint="eastAsia" w:ascii="Calibri"/>
                <w:color w:val="auto"/>
                <w:highlight w:val="none"/>
                <w:u w:val="none"/>
                <w:lang w:eastAsia="en-US"/>
              </w:rPr>
              <w:t>项目冷却塔、循环冷却水运行过程无</w:t>
            </w:r>
            <w:r>
              <w:rPr>
                <w:rFonts w:ascii="Calibri"/>
                <w:color w:val="auto"/>
                <w:highlight w:val="none"/>
                <w:u w:val="none"/>
                <w:lang w:eastAsia="en-US"/>
              </w:rPr>
              <w:t>VOCs</w:t>
            </w:r>
            <w:r>
              <w:rPr>
                <w:rFonts w:hint="eastAsia" w:ascii="Calibri"/>
                <w:color w:val="auto"/>
                <w:highlight w:val="none"/>
                <w:u w:val="none"/>
                <w:lang w:eastAsia="en-US"/>
              </w:rPr>
              <w:t>排放。</w:t>
            </w:r>
          </w:p>
        </w:tc>
        <w:tc>
          <w:tcPr>
            <w:tcW w:w="1203" w:type="dxa"/>
            <w:vAlign w:val="center"/>
          </w:tcPr>
          <w:p w14:paraId="74933C50">
            <w:pPr>
              <w:pStyle w:val="92"/>
              <w:rPr>
                <w:rFonts w:ascii="Calibri"/>
                <w:color w:val="auto"/>
                <w:highlight w:val="none"/>
                <w:u w:val="none"/>
                <w:lang w:eastAsia="en-US"/>
              </w:rPr>
            </w:pPr>
            <w:r>
              <w:rPr>
                <w:rFonts w:hint="eastAsia" w:ascii="Calibri"/>
                <w:color w:val="auto"/>
                <w:highlight w:val="none"/>
                <w:u w:val="none"/>
                <w:lang w:eastAsia="en-US"/>
              </w:rPr>
              <w:t>无</w:t>
            </w:r>
          </w:p>
        </w:tc>
      </w:tr>
      <w:tr w14:paraId="60894D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257A0014">
            <w:pPr>
              <w:pStyle w:val="92"/>
              <w:rPr>
                <w:rFonts w:ascii="Calibri"/>
                <w:color w:val="auto"/>
                <w:highlight w:val="none"/>
                <w:u w:val="none"/>
                <w:lang w:eastAsia="en-US"/>
              </w:rPr>
            </w:pPr>
            <w:r>
              <w:rPr>
                <w:rFonts w:ascii="Calibri"/>
                <w:color w:val="auto"/>
                <w:highlight w:val="none"/>
                <w:u w:val="none"/>
                <w:lang w:eastAsia="en-US"/>
              </w:rPr>
              <w:t>7</w:t>
            </w:r>
          </w:p>
        </w:tc>
        <w:tc>
          <w:tcPr>
            <w:tcW w:w="1729" w:type="dxa"/>
            <w:vAlign w:val="center"/>
          </w:tcPr>
          <w:p w14:paraId="5461C626">
            <w:pPr>
              <w:pStyle w:val="92"/>
              <w:rPr>
                <w:rFonts w:ascii="Calibri"/>
                <w:color w:val="auto"/>
                <w:highlight w:val="none"/>
                <w:u w:val="none"/>
                <w:lang w:eastAsia="en-US"/>
              </w:rPr>
            </w:pPr>
            <w:r>
              <w:rPr>
                <w:rFonts w:hint="eastAsia" w:ascii="Calibri"/>
                <w:color w:val="auto"/>
                <w:highlight w:val="none"/>
                <w:u w:val="none"/>
                <w:lang w:eastAsia="en-US"/>
              </w:rPr>
              <w:t>非正常工况（含开停车及维修）排放</w:t>
            </w:r>
          </w:p>
        </w:tc>
        <w:tc>
          <w:tcPr>
            <w:tcW w:w="5528" w:type="dxa"/>
            <w:vAlign w:val="center"/>
          </w:tcPr>
          <w:p w14:paraId="45FB7333">
            <w:pPr>
              <w:pStyle w:val="92"/>
              <w:rPr>
                <w:rFonts w:ascii="Calibri"/>
                <w:color w:val="auto"/>
                <w:highlight w:val="none"/>
                <w:u w:val="none"/>
                <w:lang w:eastAsia="en-US"/>
              </w:rPr>
            </w:pPr>
            <w:r>
              <w:rPr>
                <w:rFonts w:hint="eastAsia" w:ascii="Calibri"/>
                <w:color w:val="auto"/>
                <w:highlight w:val="none"/>
                <w:u w:val="none"/>
                <w:lang w:eastAsia="en-US"/>
              </w:rPr>
              <w:t>本项目装置开车工况时，废气处理设施先于装置开车，停车工况则相反，因此，非正常工况下，废气中</w:t>
            </w:r>
            <w:r>
              <w:rPr>
                <w:rFonts w:ascii="Calibri"/>
                <w:color w:val="auto"/>
                <w:highlight w:val="none"/>
                <w:u w:val="none"/>
                <w:lang w:eastAsia="en-US"/>
              </w:rPr>
              <w:t>VOCs</w:t>
            </w:r>
            <w:r>
              <w:rPr>
                <w:rFonts w:hint="eastAsia" w:ascii="Calibri"/>
                <w:color w:val="auto"/>
                <w:highlight w:val="none"/>
                <w:u w:val="none"/>
                <w:lang w:eastAsia="en-US"/>
              </w:rPr>
              <w:t>排放量低于正常工况。</w:t>
            </w:r>
          </w:p>
        </w:tc>
        <w:tc>
          <w:tcPr>
            <w:tcW w:w="1203" w:type="dxa"/>
            <w:vAlign w:val="center"/>
          </w:tcPr>
          <w:p w14:paraId="5A7F4BBC">
            <w:pPr>
              <w:pStyle w:val="92"/>
              <w:rPr>
                <w:rFonts w:ascii="Calibri"/>
                <w:color w:val="auto"/>
                <w:highlight w:val="none"/>
                <w:u w:val="none"/>
                <w:lang w:eastAsia="en-US"/>
              </w:rPr>
            </w:pPr>
            <w:r>
              <w:rPr>
                <w:rFonts w:hint="eastAsia" w:ascii="Calibri"/>
                <w:color w:val="auto"/>
                <w:highlight w:val="none"/>
                <w:u w:val="none"/>
                <w:lang w:eastAsia="en-US"/>
              </w:rPr>
              <w:t>无</w:t>
            </w:r>
          </w:p>
        </w:tc>
      </w:tr>
      <w:tr w14:paraId="3A56FB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0E7B9263">
            <w:pPr>
              <w:pStyle w:val="92"/>
              <w:rPr>
                <w:rFonts w:ascii="Calibri"/>
                <w:color w:val="auto"/>
                <w:highlight w:val="none"/>
                <w:u w:val="none"/>
                <w:lang w:eastAsia="en-US"/>
              </w:rPr>
            </w:pPr>
            <w:r>
              <w:rPr>
                <w:rFonts w:ascii="Calibri"/>
                <w:color w:val="auto"/>
                <w:highlight w:val="none"/>
                <w:u w:val="none"/>
                <w:lang w:eastAsia="en-US"/>
              </w:rPr>
              <w:t>8</w:t>
            </w:r>
          </w:p>
        </w:tc>
        <w:tc>
          <w:tcPr>
            <w:tcW w:w="1729" w:type="dxa"/>
            <w:vAlign w:val="center"/>
          </w:tcPr>
          <w:p w14:paraId="35ABA7AC">
            <w:pPr>
              <w:pStyle w:val="92"/>
              <w:rPr>
                <w:rFonts w:ascii="Calibri"/>
                <w:color w:val="auto"/>
                <w:highlight w:val="none"/>
                <w:u w:val="none"/>
                <w:lang w:eastAsia="en-US"/>
              </w:rPr>
            </w:pPr>
            <w:r>
              <w:rPr>
                <w:rFonts w:hint="eastAsia" w:ascii="Calibri"/>
                <w:color w:val="auto"/>
                <w:highlight w:val="none"/>
                <w:u w:val="none"/>
                <w:lang w:eastAsia="en-US"/>
              </w:rPr>
              <w:t>工艺无组织排放</w:t>
            </w:r>
          </w:p>
        </w:tc>
        <w:tc>
          <w:tcPr>
            <w:tcW w:w="5528" w:type="dxa"/>
            <w:vAlign w:val="center"/>
          </w:tcPr>
          <w:p w14:paraId="154C44CF">
            <w:pPr>
              <w:pStyle w:val="92"/>
              <w:rPr>
                <w:rFonts w:ascii="Calibri"/>
                <w:color w:val="auto"/>
                <w:highlight w:val="none"/>
                <w:u w:val="none"/>
                <w:lang w:eastAsia="en-US"/>
              </w:rPr>
            </w:pPr>
            <w:r>
              <w:rPr>
                <w:rFonts w:hint="eastAsia" w:ascii="Calibri"/>
                <w:color w:val="auto"/>
                <w:highlight w:val="none"/>
                <w:u w:val="none"/>
                <w:lang w:eastAsia="en-US"/>
              </w:rPr>
              <w:t>无组织排放</w:t>
            </w:r>
          </w:p>
        </w:tc>
        <w:tc>
          <w:tcPr>
            <w:tcW w:w="1203" w:type="dxa"/>
            <w:vAlign w:val="center"/>
          </w:tcPr>
          <w:p w14:paraId="29F86C14">
            <w:pPr>
              <w:pStyle w:val="92"/>
              <w:rPr>
                <w:rFonts w:ascii="Calibri"/>
                <w:color w:val="auto"/>
                <w:highlight w:val="none"/>
                <w:u w:val="none"/>
                <w:lang w:eastAsia="en-US"/>
              </w:rPr>
            </w:pPr>
            <w:r>
              <w:rPr>
                <w:rFonts w:hint="eastAsia" w:ascii="Calibri"/>
                <w:color w:val="auto"/>
                <w:highlight w:val="none"/>
                <w:u w:val="none"/>
                <w:lang w:eastAsia="en-US"/>
              </w:rPr>
              <w:t>无</w:t>
            </w:r>
          </w:p>
        </w:tc>
      </w:tr>
      <w:tr w14:paraId="169D33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35FD4A95">
            <w:pPr>
              <w:pStyle w:val="92"/>
              <w:rPr>
                <w:rFonts w:ascii="Calibri"/>
                <w:color w:val="auto"/>
                <w:highlight w:val="none"/>
                <w:u w:val="none"/>
                <w:lang w:eastAsia="en-US"/>
              </w:rPr>
            </w:pPr>
            <w:r>
              <w:rPr>
                <w:rFonts w:ascii="Calibri"/>
                <w:color w:val="auto"/>
                <w:highlight w:val="none"/>
                <w:u w:val="none"/>
                <w:lang w:eastAsia="en-US"/>
              </w:rPr>
              <w:t>9</w:t>
            </w:r>
          </w:p>
        </w:tc>
        <w:tc>
          <w:tcPr>
            <w:tcW w:w="1729" w:type="dxa"/>
            <w:vAlign w:val="center"/>
          </w:tcPr>
          <w:p w14:paraId="5123015B">
            <w:pPr>
              <w:pStyle w:val="92"/>
              <w:rPr>
                <w:rFonts w:ascii="Calibri"/>
                <w:color w:val="auto"/>
                <w:highlight w:val="none"/>
                <w:u w:val="none"/>
                <w:lang w:eastAsia="en-US"/>
              </w:rPr>
            </w:pPr>
            <w:r>
              <w:rPr>
                <w:rFonts w:hint="eastAsia" w:ascii="Calibri"/>
                <w:color w:val="auto"/>
                <w:highlight w:val="none"/>
                <w:u w:val="none"/>
                <w:lang w:eastAsia="en-US"/>
              </w:rPr>
              <w:t>火炬排放</w:t>
            </w:r>
          </w:p>
        </w:tc>
        <w:tc>
          <w:tcPr>
            <w:tcW w:w="5528" w:type="dxa"/>
            <w:vAlign w:val="center"/>
          </w:tcPr>
          <w:p w14:paraId="46F7E7FC">
            <w:pPr>
              <w:pStyle w:val="92"/>
              <w:rPr>
                <w:rFonts w:ascii="Calibri"/>
                <w:color w:val="auto"/>
                <w:highlight w:val="none"/>
                <w:u w:val="none"/>
                <w:lang w:eastAsia="en-US"/>
              </w:rPr>
            </w:pPr>
            <w:r>
              <w:rPr>
                <w:rFonts w:hint="eastAsia" w:ascii="Calibri"/>
                <w:color w:val="auto"/>
                <w:highlight w:val="none"/>
                <w:u w:val="none"/>
                <w:lang w:eastAsia="en-US"/>
              </w:rPr>
              <w:t>本项目未设置火炬系统，应急工况部分废气依托万华环保科技公司火炬系统</w:t>
            </w:r>
          </w:p>
        </w:tc>
        <w:tc>
          <w:tcPr>
            <w:tcW w:w="1203" w:type="dxa"/>
            <w:vAlign w:val="center"/>
          </w:tcPr>
          <w:p w14:paraId="2F8B85EA">
            <w:pPr>
              <w:pStyle w:val="92"/>
              <w:rPr>
                <w:rFonts w:ascii="Calibri"/>
                <w:color w:val="auto"/>
                <w:highlight w:val="none"/>
                <w:u w:val="none"/>
                <w:lang w:eastAsia="en-US"/>
              </w:rPr>
            </w:pPr>
            <w:r>
              <w:rPr>
                <w:rFonts w:hint="eastAsia" w:ascii="Calibri"/>
                <w:color w:val="auto"/>
                <w:highlight w:val="none"/>
                <w:u w:val="none"/>
                <w:lang w:eastAsia="en-US"/>
              </w:rPr>
              <w:t>无</w:t>
            </w:r>
          </w:p>
        </w:tc>
      </w:tr>
      <w:tr w14:paraId="110604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66" w:type="dxa"/>
            <w:vAlign w:val="center"/>
          </w:tcPr>
          <w:p w14:paraId="27DD1337">
            <w:pPr>
              <w:pStyle w:val="92"/>
              <w:rPr>
                <w:rFonts w:ascii="Calibri"/>
                <w:color w:val="auto"/>
                <w:highlight w:val="none"/>
                <w:u w:val="none"/>
                <w:lang w:eastAsia="en-US"/>
              </w:rPr>
            </w:pPr>
            <w:r>
              <w:rPr>
                <w:rFonts w:ascii="Calibri"/>
                <w:color w:val="auto"/>
                <w:highlight w:val="none"/>
                <w:u w:val="none"/>
                <w:lang w:eastAsia="en-US"/>
              </w:rPr>
              <w:t>10</w:t>
            </w:r>
          </w:p>
        </w:tc>
        <w:tc>
          <w:tcPr>
            <w:tcW w:w="1729" w:type="dxa"/>
            <w:vAlign w:val="center"/>
          </w:tcPr>
          <w:p w14:paraId="6736E6D7">
            <w:pPr>
              <w:pStyle w:val="92"/>
              <w:rPr>
                <w:rFonts w:ascii="Calibri"/>
                <w:color w:val="auto"/>
                <w:highlight w:val="none"/>
                <w:u w:val="none"/>
                <w:lang w:eastAsia="en-US"/>
              </w:rPr>
            </w:pPr>
            <w:r>
              <w:rPr>
                <w:rFonts w:hint="eastAsia" w:ascii="Calibri"/>
                <w:color w:val="auto"/>
                <w:highlight w:val="none"/>
                <w:u w:val="none"/>
                <w:lang w:eastAsia="en-US"/>
              </w:rPr>
              <w:t>采样过程</w:t>
            </w:r>
            <w:r>
              <w:rPr>
                <w:rFonts w:ascii="Calibri"/>
                <w:color w:val="auto"/>
                <w:highlight w:val="none"/>
                <w:u w:val="none"/>
                <w:lang w:eastAsia="en-US"/>
              </w:rPr>
              <w:t>VOCs</w:t>
            </w:r>
            <w:r>
              <w:rPr>
                <w:rFonts w:hint="eastAsia" w:ascii="Calibri"/>
                <w:color w:val="auto"/>
                <w:highlight w:val="none"/>
                <w:u w:val="none"/>
                <w:lang w:eastAsia="en-US"/>
              </w:rPr>
              <w:t>排放源</w:t>
            </w:r>
          </w:p>
        </w:tc>
        <w:tc>
          <w:tcPr>
            <w:tcW w:w="5528" w:type="dxa"/>
            <w:vAlign w:val="center"/>
          </w:tcPr>
          <w:p w14:paraId="4042B958">
            <w:pPr>
              <w:pStyle w:val="92"/>
              <w:rPr>
                <w:rFonts w:ascii="Calibri"/>
                <w:color w:val="auto"/>
                <w:highlight w:val="none"/>
                <w:u w:val="none"/>
                <w:lang w:eastAsia="en-US"/>
              </w:rPr>
            </w:pPr>
            <w:r>
              <w:rPr>
                <w:rFonts w:hint="eastAsia" w:ascii="Calibri"/>
                <w:color w:val="auto"/>
                <w:highlight w:val="none"/>
                <w:u w:val="none"/>
                <w:lang w:eastAsia="en-US"/>
              </w:rPr>
              <w:t>项目采样过程为密闭采样，采样过程不考虑</w:t>
            </w:r>
            <w:r>
              <w:rPr>
                <w:rFonts w:ascii="Calibri"/>
                <w:color w:val="auto"/>
                <w:highlight w:val="none"/>
                <w:u w:val="none"/>
                <w:lang w:eastAsia="en-US"/>
              </w:rPr>
              <w:t>VOCs</w:t>
            </w:r>
            <w:r>
              <w:rPr>
                <w:rFonts w:hint="eastAsia" w:ascii="Calibri"/>
                <w:color w:val="auto"/>
                <w:highlight w:val="none"/>
                <w:u w:val="none"/>
                <w:lang w:eastAsia="en-US"/>
              </w:rPr>
              <w:t>排放。</w:t>
            </w:r>
          </w:p>
        </w:tc>
        <w:tc>
          <w:tcPr>
            <w:tcW w:w="1203" w:type="dxa"/>
            <w:vAlign w:val="center"/>
          </w:tcPr>
          <w:p w14:paraId="5ACD4CBE">
            <w:pPr>
              <w:pStyle w:val="92"/>
              <w:rPr>
                <w:rFonts w:ascii="Calibri"/>
                <w:color w:val="auto"/>
                <w:highlight w:val="none"/>
                <w:u w:val="none"/>
                <w:lang w:eastAsia="en-US"/>
              </w:rPr>
            </w:pPr>
            <w:r>
              <w:rPr>
                <w:rFonts w:hint="eastAsia" w:ascii="Calibri"/>
                <w:color w:val="auto"/>
                <w:highlight w:val="none"/>
                <w:u w:val="none"/>
                <w:lang w:eastAsia="en-US"/>
              </w:rPr>
              <w:t>无</w:t>
            </w:r>
          </w:p>
        </w:tc>
      </w:tr>
    </w:tbl>
    <w:p w14:paraId="2EF3A011">
      <w:pPr>
        <w:pStyle w:val="6"/>
        <w:spacing w:before="156" w:after="156"/>
        <w:rPr>
          <w:color w:val="auto"/>
          <w:highlight w:val="none"/>
          <w:u w:val="none"/>
        </w:rPr>
      </w:pPr>
      <w:bookmarkStart w:id="331" w:name="_Toc148374552"/>
      <w:bookmarkStart w:id="332" w:name="_Toc148374994"/>
      <w:r>
        <w:rPr>
          <w:rFonts w:hint="eastAsia"/>
          <w:color w:val="auto"/>
          <w:highlight w:val="none"/>
          <w:u w:val="none"/>
        </w:rPr>
        <w:t>各环节</w:t>
      </w:r>
      <w:r>
        <w:rPr>
          <w:color w:val="auto"/>
          <w:highlight w:val="none"/>
          <w:u w:val="none"/>
        </w:rPr>
        <w:t>VOCs排放量估算</w:t>
      </w:r>
      <w:bookmarkEnd w:id="331"/>
      <w:bookmarkEnd w:id="332"/>
    </w:p>
    <w:p w14:paraId="5350735B">
      <w:pPr>
        <w:pStyle w:val="7"/>
        <w:spacing w:before="156"/>
        <w:rPr>
          <w:color w:val="auto"/>
          <w:highlight w:val="none"/>
          <w:u w:val="none"/>
        </w:rPr>
      </w:pPr>
      <w:r>
        <w:rPr>
          <w:rFonts w:hint="eastAsia"/>
          <w:color w:val="auto"/>
          <w:highlight w:val="none"/>
          <w:u w:val="none"/>
        </w:rPr>
        <w:t>设备动静密封点</w:t>
      </w:r>
      <w:r>
        <w:rPr>
          <w:color w:val="auto"/>
          <w:highlight w:val="none"/>
          <w:u w:val="none"/>
        </w:rPr>
        <w:t>VOCS排放量估算</w:t>
      </w:r>
    </w:p>
    <w:p w14:paraId="50665954">
      <w:pPr>
        <w:rPr>
          <w:rFonts w:hint="eastAsia"/>
          <w:color w:val="auto"/>
          <w:highlight w:val="none"/>
          <w:u w:val="none"/>
        </w:rPr>
      </w:pPr>
      <w:r>
        <w:rPr>
          <w:rFonts w:hint="eastAsia"/>
          <w:color w:val="auto"/>
          <w:highlight w:val="none"/>
          <w:u w:val="none"/>
        </w:rPr>
        <w:t>（</w:t>
      </w:r>
      <w:r>
        <w:rPr>
          <w:color w:val="auto"/>
          <w:highlight w:val="none"/>
          <w:u w:val="none"/>
        </w:rPr>
        <w:t>1）计算公式</w:t>
      </w:r>
    </w:p>
    <w:p w14:paraId="017DBB3E">
      <w:pPr>
        <w:rPr>
          <w:rFonts w:hint="eastAsia"/>
          <w:color w:val="auto"/>
          <w:highlight w:val="none"/>
          <w:u w:val="none"/>
        </w:rPr>
      </w:pPr>
      <w:r>
        <w:rPr>
          <w:rFonts w:hint="eastAsia"/>
          <w:color w:val="auto"/>
          <w:highlight w:val="none"/>
          <w:u w:val="none"/>
        </w:rPr>
        <w:t xml:space="preserve">根据《排污许可证申请与核发技术规范 </w:t>
      </w:r>
      <w:r>
        <w:rPr>
          <w:color w:val="auto"/>
          <w:highlight w:val="none"/>
          <w:u w:val="none"/>
        </w:rPr>
        <w:t>石化工业》</w:t>
      </w:r>
      <w:r>
        <w:rPr>
          <w:rFonts w:hint="eastAsia"/>
          <w:color w:val="auto"/>
          <w:highlight w:val="none"/>
          <w:u w:val="none"/>
        </w:rPr>
        <w:t>（</w:t>
      </w:r>
      <w:r>
        <w:rPr>
          <w:color w:val="auto"/>
          <w:highlight w:val="none"/>
          <w:u w:val="none"/>
        </w:rPr>
        <w:t>HJ 853-2017</w:t>
      </w:r>
      <w:r>
        <w:rPr>
          <w:rFonts w:hint="eastAsia"/>
          <w:color w:val="auto"/>
          <w:highlight w:val="none"/>
          <w:u w:val="none"/>
        </w:rPr>
        <w:t>）</w:t>
      </w:r>
      <w:r>
        <w:rPr>
          <w:color w:val="auto"/>
          <w:highlight w:val="none"/>
          <w:u w:val="none"/>
        </w:rPr>
        <w:t>中设备与管线组件密封点泄漏</w:t>
      </w:r>
      <w:r>
        <w:rPr>
          <w:rFonts w:hint="eastAsia"/>
          <w:color w:val="auto"/>
          <w:highlight w:val="none"/>
          <w:u w:val="none"/>
        </w:rPr>
        <w:t>挥发性有机物年许可排放量按如下公式计算：</w:t>
      </w:r>
    </w:p>
    <w:p w14:paraId="4F84F730">
      <w:pPr>
        <w:jc w:val="center"/>
        <w:rPr>
          <w:rFonts w:hint="eastAsia"/>
          <w:color w:val="auto"/>
          <w:highlight w:val="none"/>
          <w:u w:val="none"/>
        </w:rPr>
      </w:pPr>
      <w:r>
        <w:rPr>
          <w:color w:val="auto"/>
          <w:highlight w:val="none"/>
          <w:u w:val="none"/>
        </w:rPr>
        <w:drawing>
          <wp:inline distT="0" distB="0" distL="0" distR="0">
            <wp:extent cx="2419350" cy="454660"/>
            <wp:effectExtent l="0" t="0" r="0" b="254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1"/>
                    <a:stretch>
                      <a:fillRect/>
                    </a:stretch>
                  </pic:blipFill>
                  <pic:spPr>
                    <a:xfrm>
                      <a:off x="0" y="0"/>
                      <a:ext cx="2449229" cy="460656"/>
                    </a:xfrm>
                    <a:prstGeom prst="rect">
                      <a:avLst/>
                    </a:prstGeom>
                  </pic:spPr>
                </pic:pic>
              </a:graphicData>
            </a:graphic>
          </wp:inline>
        </w:drawing>
      </w:r>
    </w:p>
    <w:p w14:paraId="3B0BD916">
      <w:pPr>
        <w:rPr>
          <w:rFonts w:hint="eastAsia"/>
          <w:color w:val="auto"/>
          <w:highlight w:val="none"/>
          <w:u w:val="none"/>
        </w:rPr>
      </w:pPr>
      <w:r>
        <w:rPr>
          <w:rFonts w:hint="eastAsia"/>
          <w:color w:val="auto"/>
          <w:highlight w:val="none"/>
          <w:u w:val="none"/>
        </w:rPr>
        <w:t>式中：</w:t>
      </w:r>
    </w:p>
    <w:p w14:paraId="5093EE78">
      <w:pPr>
        <w:rPr>
          <w:rFonts w:hint="eastAsia"/>
          <w:color w:val="auto"/>
          <w:highlight w:val="none"/>
          <w:u w:val="none"/>
        </w:rPr>
      </w:pPr>
      <w:r>
        <w:rPr>
          <w:rFonts w:hint="eastAsia"/>
          <w:i/>
          <w:iCs/>
          <w:color w:val="auto"/>
          <w:highlight w:val="none"/>
          <w:u w:val="none"/>
        </w:rPr>
        <w:t>E</w:t>
      </w:r>
      <w:r>
        <w:rPr>
          <w:rFonts w:hint="eastAsia"/>
          <w:color w:val="auto"/>
          <w:highlight w:val="none"/>
          <w:u w:val="none"/>
          <w:vertAlign w:val="subscript"/>
        </w:rPr>
        <w:t>设备</w:t>
      </w:r>
      <w:r>
        <w:rPr>
          <w:rFonts w:hint="eastAsia"/>
          <w:color w:val="auto"/>
          <w:highlight w:val="none"/>
          <w:u w:val="none"/>
        </w:rPr>
        <w:t>——设备与管线组件密封点泄漏的挥发性有机物排放量，kg/a；</w:t>
      </w:r>
    </w:p>
    <w:p w14:paraId="56304463">
      <w:pPr>
        <w:rPr>
          <w:rFonts w:hint="eastAsia"/>
          <w:color w:val="auto"/>
          <w:highlight w:val="none"/>
          <w:u w:val="none"/>
        </w:rPr>
      </w:pPr>
      <w:r>
        <w:rPr>
          <w:i/>
          <w:iCs/>
          <w:color w:val="auto"/>
          <w:highlight w:val="none"/>
          <w:u w:val="none"/>
        </w:rPr>
        <w:t>t</w:t>
      </w:r>
      <w:r>
        <w:rPr>
          <w:i/>
          <w:iCs/>
          <w:color w:val="auto"/>
          <w:highlight w:val="none"/>
          <w:u w:val="none"/>
          <w:vertAlign w:val="subscript"/>
        </w:rPr>
        <w:t>i</w:t>
      </w:r>
      <w:r>
        <w:rPr>
          <w:rFonts w:hint="eastAsia"/>
          <w:color w:val="auto"/>
          <w:highlight w:val="none"/>
          <w:u w:val="none"/>
        </w:rPr>
        <w:t>——密封点i的年运行时间，h/a；</w:t>
      </w:r>
    </w:p>
    <w:p w14:paraId="14BC7F28">
      <w:pPr>
        <w:rPr>
          <w:rFonts w:hint="eastAsia"/>
          <w:color w:val="auto"/>
          <w:highlight w:val="none"/>
          <w:u w:val="none"/>
        </w:rPr>
      </w:pPr>
      <w:r>
        <w:rPr>
          <w:i/>
          <w:iCs/>
          <w:color w:val="auto"/>
          <w:highlight w:val="none"/>
          <w:u w:val="none"/>
        </w:rPr>
        <w:t>e</w:t>
      </w:r>
      <w:r>
        <w:rPr>
          <w:i/>
          <w:iCs/>
          <w:color w:val="auto"/>
          <w:highlight w:val="none"/>
          <w:u w:val="none"/>
          <w:vertAlign w:val="subscript"/>
        </w:rPr>
        <w:t>TOC,i</w:t>
      </w:r>
      <w:r>
        <w:rPr>
          <w:rFonts w:hint="eastAsia"/>
          <w:color w:val="auto"/>
          <w:highlight w:val="none"/>
          <w:u w:val="none"/>
        </w:rPr>
        <w:t>——密封点i的总有机碳（TOC）排放速率，kg/h，根据《排污许可证申请与核发技术规范  石化工业》（</w:t>
      </w:r>
      <w:r>
        <w:rPr>
          <w:color w:val="auto"/>
          <w:highlight w:val="none"/>
          <w:u w:val="none"/>
        </w:rPr>
        <w:t>HJ 853-2017</w:t>
      </w:r>
      <w:r>
        <w:rPr>
          <w:rFonts w:hint="eastAsia"/>
          <w:color w:val="auto"/>
          <w:highlight w:val="none"/>
          <w:u w:val="none"/>
        </w:rPr>
        <w:t>）表4进行取值；</w:t>
      </w:r>
    </w:p>
    <w:p w14:paraId="1E66D84E">
      <w:pPr>
        <w:rPr>
          <w:rFonts w:hint="eastAsia"/>
          <w:color w:val="auto"/>
          <w:highlight w:val="none"/>
          <w:u w:val="none"/>
        </w:rPr>
      </w:pPr>
      <w:r>
        <w:rPr>
          <w:i/>
          <w:iCs/>
          <w:color w:val="auto"/>
          <w:highlight w:val="none"/>
          <w:u w:val="none"/>
        </w:rPr>
        <w:t>WF</w:t>
      </w:r>
      <w:r>
        <w:rPr>
          <w:i/>
          <w:iCs/>
          <w:color w:val="auto"/>
          <w:highlight w:val="none"/>
          <w:u w:val="none"/>
          <w:vertAlign w:val="subscript"/>
        </w:rPr>
        <w:t>VOCs,i</w:t>
      </w:r>
      <w:r>
        <w:rPr>
          <w:rFonts w:hint="eastAsia"/>
          <w:color w:val="auto"/>
          <w:highlight w:val="none"/>
          <w:u w:val="none"/>
        </w:rPr>
        <w:t>——流经密封点i的物料中挥发性有机物平均质量分数，根据设计文件取值；</w:t>
      </w:r>
    </w:p>
    <w:p w14:paraId="6A84F9B5">
      <w:pPr>
        <w:rPr>
          <w:rFonts w:hint="eastAsia"/>
          <w:color w:val="auto"/>
          <w:highlight w:val="none"/>
          <w:u w:val="none"/>
        </w:rPr>
      </w:pPr>
      <w:r>
        <w:rPr>
          <w:i/>
          <w:iCs/>
          <w:color w:val="auto"/>
          <w:highlight w:val="none"/>
          <w:u w:val="none"/>
        </w:rPr>
        <w:t>WF</w:t>
      </w:r>
      <w:r>
        <w:rPr>
          <w:i/>
          <w:iCs/>
          <w:color w:val="auto"/>
          <w:highlight w:val="none"/>
          <w:u w:val="none"/>
          <w:vertAlign w:val="subscript"/>
        </w:rPr>
        <w:t>TOC,i</w:t>
      </w:r>
      <w:r>
        <w:rPr>
          <w:rFonts w:hint="eastAsia"/>
          <w:color w:val="auto"/>
          <w:highlight w:val="none"/>
          <w:u w:val="none"/>
        </w:rPr>
        <w:t>——流经密封点i的物料中总有机碳（TOC）平均质量分数，根据设计文件取值；</w:t>
      </w:r>
    </w:p>
    <w:p w14:paraId="0A6C78A3">
      <w:pPr>
        <w:rPr>
          <w:rFonts w:hint="eastAsia"/>
          <w:color w:val="auto"/>
          <w:highlight w:val="none"/>
          <w:u w:val="none"/>
        </w:rPr>
      </w:pPr>
      <w:r>
        <w:rPr>
          <w:rFonts w:hint="eastAsia"/>
          <w:i/>
          <w:iCs/>
          <w:color w:val="auto"/>
          <w:highlight w:val="none"/>
          <w:u w:val="none"/>
        </w:rPr>
        <w:t>n</w:t>
      </w:r>
      <w:r>
        <w:rPr>
          <w:rFonts w:hint="eastAsia"/>
          <w:color w:val="auto"/>
          <w:highlight w:val="none"/>
          <w:u w:val="none"/>
        </w:rPr>
        <w:t>——挥发性有机物流经的设备与管线组件密封点数。</w:t>
      </w:r>
    </w:p>
    <w:p w14:paraId="7E5CBD8F">
      <w:pPr>
        <w:rPr>
          <w:rFonts w:hint="eastAsia"/>
          <w:color w:val="auto"/>
          <w:highlight w:val="none"/>
          <w:u w:val="none"/>
        </w:rPr>
      </w:pPr>
      <w:r>
        <w:rPr>
          <w:rFonts w:hint="eastAsia"/>
          <w:color w:val="auto"/>
          <w:highlight w:val="none"/>
          <w:u w:val="none"/>
        </w:rPr>
        <w:t>（</w:t>
      </w:r>
      <w:r>
        <w:rPr>
          <w:color w:val="auto"/>
          <w:highlight w:val="none"/>
          <w:u w:val="none"/>
        </w:rPr>
        <w:t>2）估算结果</w:t>
      </w:r>
    </w:p>
    <w:p w14:paraId="46E10791">
      <w:pPr>
        <w:rPr>
          <w:rFonts w:hint="eastAsia"/>
          <w:color w:val="auto"/>
          <w:highlight w:val="none"/>
          <w:u w:val="none"/>
          <w:lang w:val="en-US"/>
        </w:rPr>
      </w:pPr>
      <w:r>
        <w:rPr>
          <w:color w:val="auto"/>
          <w:highlight w:val="none"/>
          <w:u w:val="none"/>
          <w:lang w:val="en-US"/>
        </w:rPr>
        <w:t>①</w:t>
      </w:r>
      <w:r>
        <w:rPr>
          <w:rFonts w:hint="eastAsia"/>
          <w:color w:val="auto"/>
          <w:highlight w:val="none"/>
          <w:u w:val="none"/>
          <w:lang w:val="en-US"/>
        </w:rPr>
        <w:t>本次技改扩能新增</w:t>
      </w:r>
    </w:p>
    <w:p w14:paraId="41EC1FD1">
      <w:pPr>
        <w:rPr>
          <w:rFonts w:hint="eastAsia"/>
          <w:color w:val="auto"/>
          <w:highlight w:val="none"/>
          <w:u w:val="none"/>
        </w:rPr>
      </w:pPr>
      <w:r>
        <w:rPr>
          <w:rFonts w:hint="eastAsia"/>
          <w:color w:val="auto"/>
          <w:highlight w:val="none"/>
          <w:u w:val="none"/>
        </w:rPr>
        <w:t>项目各装置区、</w:t>
      </w:r>
      <w:r>
        <w:rPr>
          <w:rFonts w:hint="eastAsia"/>
          <w:color w:val="auto"/>
          <w:highlight w:val="none"/>
          <w:u w:val="none"/>
          <w:lang w:val="en-US"/>
        </w:rPr>
        <w:t>储罐区</w:t>
      </w:r>
      <w:r>
        <w:rPr>
          <w:rFonts w:hint="eastAsia"/>
          <w:color w:val="auto"/>
          <w:highlight w:val="none"/>
          <w:u w:val="none"/>
        </w:rPr>
        <w:t>排放系数按《排污许可证申请与核发技术规范</w:t>
      </w:r>
      <w:r>
        <w:rPr>
          <w:color w:val="auto"/>
          <w:highlight w:val="none"/>
          <w:u w:val="none"/>
        </w:rPr>
        <w:t xml:space="preserve"> 石化工业》</w:t>
      </w:r>
      <w:r>
        <w:rPr>
          <w:rFonts w:hint="eastAsia"/>
          <w:color w:val="auto"/>
          <w:highlight w:val="none"/>
          <w:u w:val="none"/>
        </w:rPr>
        <w:t>（</w:t>
      </w:r>
      <w:r>
        <w:rPr>
          <w:color w:val="auto"/>
          <w:highlight w:val="none"/>
          <w:u w:val="none"/>
        </w:rPr>
        <w:t>HJ 853-2017</w:t>
      </w:r>
      <w:r>
        <w:rPr>
          <w:rFonts w:hint="eastAsia"/>
          <w:color w:val="auto"/>
          <w:highlight w:val="none"/>
          <w:u w:val="none"/>
        </w:rPr>
        <w:t>）</w:t>
      </w:r>
      <w:r>
        <w:rPr>
          <w:color w:val="auto"/>
          <w:highlight w:val="none"/>
          <w:u w:val="none"/>
        </w:rPr>
        <w:t>中表 4 石油化学工业类型选取，气体阀门、开口阀或开口管线、有机液体阀门等设备类型来源于设计资料统计，各装置VOC</w:t>
      </w:r>
      <w:r>
        <w:rPr>
          <w:color w:val="auto"/>
          <w:highlight w:val="none"/>
          <w:u w:val="none"/>
          <w:vertAlign w:val="subscript"/>
        </w:rPr>
        <w:t>S</w:t>
      </w:r>
      <w:r>
        <w:rPr>
          <w:color w:val="auto"/>
          <w:highlight w:val="none"/>
          <w:u w:val="none"/>
        </w:rPr>
        <w:t>排放计算</w:t>
      </w:r>
      <w:r>
        <w:rPr>
          <w:rFonts w:hint="eastAsia"/>
          <w:color w:val="auto"/>
          <w:highlight w:val="none"/>
          <w:u w:val="none"/>
        </w:rPr>
        <w:t>结果</w:t>
      </w:r>
      <w:r>
        <w:rPr>
          <w:color w:val="auto"/>
          <w:highlight w:val="none"/>
          <w:u w:val="none"/>
        </w:rPr>
        <w:t>见</w:t>
      </w:r>
      <w:r>
        <w:rPr>
          <w:color w:val="auto"/>
          <w:highlight w:val="none"/>
          <w:u w:val="none"/>
        </w:rPr>
        <w:fldChar w:fldCharType="begin"/>
      </w:r>
      <w:r>
        <w:rPr>
          <w:color w:val="auto"/>
          <w:highlight w:val="none"/>
          <w:u w:val="none"/>
        </w:rPr>
        <w:instrText xml:space="preserve"> REF _Ref138699575 \h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5.6</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2</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REF _Ref138699580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3</w:t>
      </w:r>
      <w:r>
        <w:rPr>
          <w:color w:val="auto"/>
          <w:highlight w:val="none"/>
          <w:u w:val="none"/>
        </w:rPr>
        <w:fldChar w:fldCharType="end"/>
      </w:r>
      <w:r>
        <w:rPr>
          <w:rFonts w:hint="eastAsia"/>
          <w:color w:val="auto"/>
          <w:highlight w:val="none"/>
          <w:u w:val="none"/>
        </w:rPr>
        <w:t>。</w:t>
      </w:r>
    </w:p>
    <w:p w14:paraId="1A8D5C1C">
      <w:pPr>
        <w:pStyle w:val="85"/>
        <w:rPr>
          <w:color w:val="auto"/>
          <w:highlight w:val="none"/>
          <w:u w:val="none"/>
        </w:rPr>
      </w:pPr>
      <w:bookmarkStart w:id="333" w:name="_Ref138699575"/>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w:t>
      </w:r>
      <w:r>
        <w:rPr>
          <w:color w:val="auto"/>
          <w:highlight w:val="none"/>
          <w:u w:val="none"/>
        </w:rPr>
        <w:fldChar w:fldCharType="end"/>
      </w:r>
      <w:bookmarkEnd w:id="333"/>
      <w:r>
        <w:rPr>
          <w:color w:val="auto"/>
          <w:highlight w:val="none"/>
          <w:u w:val="none"/>
        </w:rPr>
        <w:t xml:space="preserve">  </w:t>
      </w:r>
      <w:r>
        <w:rPr>
          <w:rFonts w:hint="eastAsia"/>
          <w:color w:val="auto"/>
          <w:highlight w:val="none"/>
          <w:u w:val="none"/>
        </w:rPr>
        <w:t>硝化单元新增设备动静密封点泄漏</w:t>
      </w:r>
      <w:r>
        <w:rPr>
          <w:color w:val="auto"/>
          <w:highlight w:val="none"/>
          <w:u w:val="none"/>
        </w:rPr>
        <w:t xml:space="preserve"> VOCs 排放</w:t>
      </w:r>
      <w:r>
        <w:rPr>
          <w:rFonts w:hint="eastAsia"/>
          <w:color w:val="auto"/>
          <w:highlight w:val="none"/>
          <w:u w:val="none"/>
        </w:rPr>
        <w:t>估算结果</w:t>
      </w:r>
      <w:r>
        <w:rPr>
          <w:color w:val="auto"/>
          <w:highlight w:val="none"/>
          <w:u w:val="none"/>
        </w:rPr>
        <w:t>一览表</w:t>
      </w:r>
    </w:p>
    <w:tbl>
      <w:tblPr>
        <w:tblStyle w:val="799"/>
        <w:tblW w:w="508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737"/>
        <w:gridCol w:w="3447"/>
        <w:gridCol w:w="1752"/>
        <w:gridCol w:w="877"/>
        <w:gridCol w:w="710"/>
        <w:gridCol w:w="723"/>
      </w:tblGrid>
      <w:tr w14:paraId="023B4A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939" w:type="pct"/>
            <w:vMerge w:val="restart"/>
            <w:vAlign w:val="center"/>
          </w:tcPr>
          <w:p w14:paraId="3C13671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污染因子</w:t>
            </w:r>
          </w:p>
        </w:tc>
        <w:tc>
          <w:tcPr>
            <w:tcW w:w="1863" w:type="pct"/>
            <w:vMerge w:val="restart"/>
            <w:vAlign w:val="center"/>
          </w:tcPr>
          <w:p w14:paraId="4F6639F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设备名称</w:t>
            </w:r>
          </w:p>
        </w:tc>
        <w:tc>
          <w:tcPr>
            <w:tcW w:w="947" w:type="pct"/>
            <w:vMerge w:val="restart"/>
            <w:vAlign w:val="center"/>
          </w:tcPr>
          <w:p w14:paraId="1FCB82F1">
            <w:pPr>
              <w:spacing w:line="240" w:lineRule="auto"/>
              <w:ind w:firstLine="0" w:firstLineChars="0"/>
              <w:rPr>
                <w:rFonts w:hint="default" w:ascii="Times New Roman" w:hAnsi="Times New Roman" w:cs="Times New Roman"/>
                <w:color w:val="auto"/>
                <w:sz w:val="21"/>
                <w:szCs w:val="21"/>
                <w:highlight w:val="none"/>
                <w:u w:val="none"/>
                <w:lang w:val="en-US" w:eastAsia="en-US"/>
              </w:rPr>
            </w:pPr>
            <w:r>
              <w:rPr>
                <w:rFonts w:hint="default" w:ascii="Times New Roman" w:hAnsi="Times New Roman" w:cs="Times New Roman"/>
                <w:color w:val="auto"/>
                <w:sz w:val="21"/>
                <w:szCs w:val="21"/>
                <w:highlight w:val="none"/>
                <w:u w:val="none"/>
                <w:lang w:eastAsia="en-US"/>
              </w:rPr>
              <w:t>排放速率</w:t>
            </w:r>
            <w:r>
              <w:rPr>
                <w:rFonts w:hint="default" w:ascii="Times New Roman" w:hAnsi="Times New Roman" w:cs="Times New Roman"/>
                <w:color w:val="auto"/>
                <w:sz w:val="21"/>
                <w:szCs w:val="21"/>
                <w:highlight w:val="none"/>
                <w:u w:val="none"/>
                <w:lang w:val="en-US" w:eastAsia="en-US"/>
              </w:rPr>
              <w:t>e</w:t>
            </w:r>
            <w:r>
              <w:rPr>
                <w:rFonts w:hint="default" w:ascii="Times New Roman" w:hAnsi="Times New Roman" w:cs="Times New Roman"/>
                <w:color w:val="auto"/>
                <w:sz w:val="21"/>
                <w:szCs w:val="21"/>
                <w:highlight w:val="none"/>
                <w:u w:val="none"/>
                <w:vertAlign w:val="subscript"/>
                <w:lang w:val="en-US" w:eastAsia="en-US"/>
              </w:rPr>
              <w:t>TOC,i</w:t>
            </w:r>
            <w:r>
              <w:rPr>
                <w:rFonts w:hint="default" w:ascii="Times New Roman" w:hAnsi="Times New Roman" w:cs="Times New Roman"/>
                <w:color w:val="auto"/>
                <w:sz w:val="21"/>
                <w:szCs w:val="21"/>
                <w:highlight w:val="none"/>
                <w:u w:val="none"/>
                <w:lang w:val="en-US" w:eastAsia="en-US"/>
              </w:rPr>
              <w:t>/</w:t>
            </w:r>
          </w:p>
          <w:p w14:paraId="5D6B1DD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（kg/h/排放源）</w:t>
            </w:r>
          </w:p>
        </w:tc>
        <w:tc>
          <w:tcPr>
            <w:tcW w:w="474" w:type="pct"/>
            <w:vMerge w:val="restart"/>
            <w:vAlign w:val="center"/>
          </w:tcPr>
          <w:p w14:paraId="71645CC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新增数量</w:t>
            </w:r>
          </w:p>
          <w:p w14:paraId="324732E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（个）</w:t>
            </w:r>
          </w:p>
        </w:tc>
        <w:tc>
          <w:tcPr>
            <w:tcW w:w="775" w:type="pct"/>
            <w:gridSpan w:val="2"/>
            <w:tcBorders>
              <w:bottom w:val="single" w:color="auto" w:sz="4" w:space="0"/>
            </w:tcBorders>
            <w:vAlign w:val="center"/>
          </w:tcPr>
          <w:p w14:paraId="70798DA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VOCs排放量</w:t>
            </w:r>
          </w:p>
        </w:tc>
      </w:tr>
      <w:tr w14:paraId="2C3BC1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939" w:type="pct"/>
            <w:vMerge w:val="continue"/>
            <w:vAlign w:val="center"/>
          </w:tcPr>
          <w:p w14:paraId="3793E827">
            <w:pPr>
              <w:pStyle w:val="92"/>
              <w:rPr>
                <w:rFonts w:hint="default" w:ascii="Times New Roman" w:hAnsi="Times New Roman" w:cs="Times New Roman"/>
                <w:color w:val="auto"/>
                <w:sz w:val="21"/>
                <w:szCs w:val="21"/>
                <w:highlight w:val="none"/>
                <w:u w:val="none"/>
                <w:lang w:eastAsia="en-US"/>
              </w:rPr>
            </w:pPr>
          </w:p>
        </w:tc>
        <w:tc>
          <w:tcPr>
            <w:tcW w:w="1863" w:type="pct"/>
            <w:vMerge w:val="continue"/>
            <w:vAlign w:val="center"/>
          </w:tcPr>
          <w:p w14:paraId="403DF271">
            <w:pPr>
              <w:pStyle w:val="92"/>
              <w:rPr>
                <w:rFonts w:hint="default" w:ascii="Times New Roman" w:hAnsi="Times New Roman" w:cs="Times New Roman"/>
                <w:color w:val="auto"/>
                <w:sz w:val="21"/>
                <w:szCs w:val="21"/>
                <w:highlight w:val="none"/>
                <w:u w:val="none"/>
                <w:lang w:eastAsia="en-US"/>
              </w:rPr>
            </w:pPr>
          </w:p>
        </w:tc>
        <w:tc>
          <w:tcPr>
            <w:tcW w:w="947" w:type="pct"/>
            <w:vMerge w:val="continue"/>
            <w:vAlign w:val="center"/>
          </w:tcPr>
          <w:p w14:paraId="238AB477">
            <w:pPr>
              <w:pStyle w:val="92"/>
              <w:rPr>
                <w:rFonts w:hint="default" w:ascii="Times New Roman" w:hAnsi="Times New Roman" w:cs="Times New Roman"/>
                <w:color w:val="auto"/>
                <w:sz w:val="21"/>
                <w:szCs w:val="21"/>
                <w:highlight w:val="none"/>
                <w:u w:val="none"/>
                <w:lang w:eastAsia="en-US"/>
              </w:rPr>
            </w:pPr>
          </w:p>
        </w:tc>
        <w:tc>
          <w:tcPr>
            <w:tcW w:w="474" w:type="pct"/>
            <w:vMerge w:val="continue"/>
            <w:vAlign w:val="center"/>
          </w:tcPr>
          <w:p w14:paraId="1B3A03C9">
            <w:pPr>
              <w:pStyle w:val="92"/>
              <w:rPr>
                <w:rFonts w:hint="default" w:ascii="Times New Roman" w:hAnsi="Times New Roman" w:cs="Times New Roman"/>
                <w:color w:val="auto"/>
                <w:sz w:val="21"/>
                <w:szCs w:val="21"/>
                <w:highlight w:val="none"/>
                <w:u w:val="none"/>
                <w:lang w:eastAsia="en-US"/>
              </w:rPr>
            </w:pPr>
          </w:p>
        </w:tc>
        <w:tc>
          <w:tcPr>
            <w:tcW w:w="384" w:type="pct"/>
            <w:tcBorders>
              <w:top w:val="single" w:color="auto" w:sz="4" w:space="0"/>
            </w:tcBorders>
            <w:vAlign w:val="center"/>
          </w:tcPr>
          <w:p w14:paraId="1BB0059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w:t>
            </w:r>
          </w:p>
        </w:tc>
        <w:tc>
          <w:tcPr>
            <w:tcW w:w="391" w:type="pct"/>
            <w:tcBorders>
              <w:top w:val="single" w:color="auto" w:sz="4" w:space="0"/>
            </w:tcBorders>
            <w:vAlign w:val="center"/>
          </w:tcPr>
          <w:p w14:paraId="4AD36E5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t/a</w:t>
            </w:r>
          </w:p>
        </w:tc>
      </w:tr>
      <w:tr w14:paraId="1B5446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restart"/>
            <w:vAlign w:val="center"/>
          </w:tcPr>
          <w:p w14:paraId="0B7E7F1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w:t>
            </w:r>
          </w:p>
        </w:tc>
        <w:tc>
          <w:tcPr>
            <w:tcW w:w="1863" w:type="pct"/>
            <w:vAlign w:val="center"/>
          </w:tcPr>
          <w:p w14:paraId="0EDF83C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47" w:type="pct"/>
            <w:vAlign w:val="center"/>
          </w:tcPr>
          <w:p w14:paraId="2FCE657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474" w:type="pct"/>
            <w:vAlign w:val="center"/>
          </w:tcPr>
          <w:p w14:paraId="1C187F9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w:t>
            </w:r>
          </w:p>
        </w:tc>
        <w:tc>
          <w:tcPr>
            <w:tcW w:w="710" w:type="dxa"/>
            <w:vAlign w:val="center"/>
          </w:tcPr>
          <w:p w14:paraId="72E2D3F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0.0003 </w:t>
            </w:r>
          </w:p>
        </w:tc>
        <w:tc>
          <w:tcPr>
            <w:tcW w:w="723" w:type="dxa"/>
            <w:vAlign w:val="center"/>
          </w:tcPr>
          <w:p w14:paraId="02EB637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0.0023 </w:t>
            </w:r>
          </w:p>
        </w:tc>
      </w:tr>
      <w:tr w14:paraId="4D063E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0B12BDFA">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690ED87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47" w:type="pct"/>
            <w:vAlign w:val="center"/>
          </w:tcPr>
          <w:p w14:paraId="7993335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474" w:type="pct"/>
            <w:vAlign w:val="center"/>
          </w:tcPr>
          <w:p w14:paraId="1F261A0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20</w:t>
            </w:r>
          </w:p>
        </w:tc>
        <w:tc>
          <w:tcPr>
            <w:tcW w:w="710" w:type="dxa"/>
            <w:vAlign w:val="center"/>
          </w:tcPr>
          <w:p w14:paraId="13C05A3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0.0018 </w:t>
            </w:r>
          </w:p>
        </w:tc>
        <w:tc>
          <w:tcPr>
            <w:tcW w:w="723" w:type="dxa"/>
            <w:vAlign w:val="center"/>
          </w:tcPr>
          <w:p w14:paraId="55522FF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0.0144 </w:t>
            </w:r>
          </w:p>
        </w:tc>
      </w:tr>
      <w:tr w14:paraId="676160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039FD5BC">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25D7411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947" w:type="pct"/>
            <w:vAlign w:val="center"/>
          </w:tcPr>
          <w:p w14:paraId="4DE83D1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474" w:type="pct"/>
            <w:vAlign w:val="center"/>
          </w:tcPr>
          <w:p w14:paraId="617C3DE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w:t>
            </w:r>
          </w:p>
        </w:tc>
        <w:tc>
          <w:tcPr>
            <w:tcW w:w="710" w:type="dxa"/>
            <w:vAlign w:val="center"/>
          </w:tcPr>
          <w:p w14:paraId="765F704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0.0003 </w:t>
            </w:r>
          </w:p>
        </w:tc>
        <w:tc>
          <w:tcPr>
            <w:tcW w:w="723" w:type="dxa"/>
            <w:vAlign w:val="center"/>
          </w:tcPr>
          <w:p w14:paraId="466337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0.0026 </w:t>
            </w:r>
          </w:p>
        </w:tc>
      </w:tr>
      <w:tr w14:paraId="18ACA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1DAD1C13">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151AB53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947" w:type="pct"/>
            <w:vAlign w:val="center"/>
          </w:tcPr>
          <w:p w14:paraId="3CA7785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474" w:type="pct"/>
            <w:vAlign w:val="center"/>
          </w:tcPr>
          <w:p w14:paraId="7FC08E9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88</w:t>
            </w:r>
          </w:p>
        </w:tc>
        <w:tc>
          <w:tcPr>
            <w:tcW w:w="710" w:type="dxa"/>
            <w:vAlign w:val="center"/>
          </w:tcPr>
          <w:p w14:paraId="192C74F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0.0116 </w:t>
            </w:r>
          </w:p>
        </w:tc>
        <w:tc>
          <w:tcPr>
            <w:tcW w:w="723" w:type="dxa"/>
            <w:vAlign w:val="center"/>
          </w:tcPr>
          <w:p w14:paraId="5990878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0.0929 </w:t>
            </w:r>
          </w:p>
        </w:tc>
      </w:tr>
      <w:tr w14:paraId="2585EF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32C82703">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438D7E0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47" w:type="pct"/>
            <w:vAlign w:val="center"/>
          </w:tcPr>
          <w:p w14:paraId="26278CA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474" w:type="pct"/>
            <w:vAlign w:val="center"/>
          </w:tcPr>
          <w:p w14:paraId="564BEDE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w:t>
            </w:r>
          </w:p>
        </w:tc>
        <w:tc>
          <w:tcPr>
            <w:tcW w:w="710" w:type="dxa"/>
            <w:vAlign w:val="center"/>
          </w:tcPr>
          <w:p w14:paraId="39F1E3A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0.0025 </w:t>
            </w:r>
          </w:p>
        </w:tc>
        <w:tc>
          <w:tcPr>
            <w:tcW w:w="723" w:type="dxa"/>
            <w:vAlign w:val="center"/>
          </w:tcPr>
          <w:p w14:paraId="0FB81EE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0.0202 </w:t>
            </w:r>
          </w:p>
        </w:tc>
      </w:tr>
      <w:tr w14:paraId="6C2850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1E4BEB00">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61832CB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47" w:type="pct"/>
            <w:vAlign w:val="center"/>
          </w:tcPr>
          <w:p w14:paraId="0056B6B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74" w:type="pct"/>
            <w:vAlign w:val="center"/>
          </w:tcPr>
          <w:p w14:paraId="19ACE66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121</w:t>
            </w:r>
          </w:p>
        </w:tc>
        <w:tc>
          <w:tcPr>
            <w:tcW w:w="710" w:type="dxa"/>
            <w:vAlign w:val="center"/>
          </w:tcPr>
          <w:p w14:paraId="190F8EF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0.0165 </w:t>
            </w:r>
          </w:p>
        </w:tc>
        <w:tc>
          <w:tcPr>
            <w:tcW w:w="723" w:type="dxa"/>
            <w:vAlign w:val="center"/>
          </w:tcPr>
          <w:p w14:paraId="04EBFB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0.1324 </w:t>
            </w:r>
          </w:p>
        </w:tc>
      </w:tr>
      <w:tr w14:paraId="00BF50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restart"/>
            <w:vAlign w:val="center"/>
          </w:tcPr>
          <w:p w14:paraId="61A17CC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甲苯</w:t>
            </w:r>
          </w:p>
          <w:p w14:paraId="0B3BD56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63" w:type="pct"/>
            <w:vAlign w:val="center"/>
          </w:tcPr>
          <w:p w14:paraId="1176895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47" w:type="pct"/>
            <w:vAlign w:val="center"/>
          </w:tcPr>
          <w:p w14:paraId="0B80906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474" w:type="pct"/>
            <w:vAlign w:val="center"/>
          </w:tcPr>
          <w:p w14:paraId="5E315EB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w:t>
            </w:r>
          </w:p>
        </w:tc>
        <w:tc>
          <w:tcPr>
            <w:tcW w:w="710" w:type="dxa"/>
            <w:vAlign w:val="center"/>
          </w:tcPr>
          <w:p w14:paraId="270A95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0.0002 </w:t>
            </w:r>
          </w:p>
        </w:tc>
        <w:tc>
          <w:tcPr>
            <w:tcW w:w="723" w:type="dxa"/>
            <w:vAlign w:val="center"/>
          </w:tcPr>
          <w:p w14:paraId="5C24899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0.0017 </w:t>
            </w:r>
          </w:p>
        </w:tc>
      </w:tr>
      <w:tr w14:paraId="40E1A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4673C4E2">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6254F99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47" w:type="pct"/>
            <w:vAlign w:val="center"/>
          </w:tcPr>
          <w:p w14:paraId="70F7822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474" w:type="pct"/>
            <w:vAlign w:val="center"/>
          </w:tcPr>
          <w:p w14:paraId="6248CE6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w:t>
            </w:r>
          </w:p>
        </w:tc>
        <w:tc>
          <w:tcPr>
            <w:tcW w:w="710" w:type="dxa"/>
            <w:vAlign w:val="center"/>
          </w:tcPr>
          <w:p w14:paraId="1E236D7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0.0004 </w:t>
            </w:r>
          </w:p>
        </w:tc>
        <w:tc>
          <w:tcPr>
            <w:tcW w:w="723" w:type="dxa"/>
            <w:vAlign w:val="center"/>
          </w:tcPr>
          <w:p w14:paraId="502BF1A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0.0029 </w:t>
            </w:r>
          </w:p>
        </w:tc>
      </w:tr>
      <w:tr w14:paraId="7787A8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2BE57B94">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1DC2AED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947" w:type="pct"/>
            <w:vAlign w:val="center"/>
          </w:tcPr>
          <w:p w14:paraId="50B9376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474" w:type="pct"/>
            <w:vAlign w:val="center"/>
          </w:tcPr>
          <w:p w14:paraId="6C9056F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7</w:t>
            </w:r>
          </w:p>
        </w:tc>
        <w:tc>
          <w:tcPr>
            <w:tcW w:w="710" w:type="dxa"/>
            <w:vAlign w:val="center"/>
          </w:tcPr>
          <w:p w14:paraId="78644F8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0.0008 </w:t>
            </w:r>
          </w:p>
        </w:tc>
        <w:tc>
          <w:tcPr>
            <w:tcW w:w="723" w:type="dxa"/>
            <w:vAlign w:val="center"/>
          </w:tcPr>
          <w:p w14:paraId="3B4C41D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0.0060 </w:t>
            </w:r>
          </w:p>
        </w:tc>
      </w:tr>
      <w:tr w14:paraId="562C1B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2A509D31">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71AB272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947" w:type="pct"/>
            <w:vAlign w:val="center"/>
          </w:tcPr>
          <w:p w14:paraId="4E0A18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474" w:type="pct"/>
            <w:vAlign w:val="center"/>
          </w:tcPr>
          <w:p w14:paraId="7469203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15</w:t>
            </w:r>
          </w:p>
        </w:tc>
        <w:tc>
          <w:tcPr>
            <w:tcW w:w="710" w:type="dxa"/>
            <w:vAlign w:val="center"/>
          </w:tcPr>
          <w:p w14:paraId="0005CBD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0.0020 </w:t>
            </w:r>
          </w:p>
        </w:tc>
        <w:tc>
          <w:tcPr>
            <w:tcW w:w="723" w:type="dxa"/>
            <w:vAlign w:val="center"/>
          </w:tcPr>
          <w:p w14:paraId="7969429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0.0158 </w:t>
            </w:r>
          </w:p>
        </w:tc>
      </w:tr>
      <w:tr w14:paraId="303330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75206A8E">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77A4C70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47" w:type="pct"/>
            <w:vAlign w:val="center"/>
          </w:tcPr>
          <w:p w14:paraId="0773C0F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474" w:type="pct"/>
            <w:vAlign w:val="center"/>
          </w:tcPr>
          <w:p w14:paraId="7EBF905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w:t>
            </w:r>
          </w:p>
        </w:tc>
        <w:tc>
          <w:tcPr>
            <w:tcW w:w="710" w:type="dxa"/>
            <w:vAlign w:val="center"/>
          </w:tcPr>
          <w:p w14:paraId="161118B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0.0017 </w:t>
            </w:r>
          </w:p>
        </w:tc>
        <w:tc>
          <w:tcPr>
            <w:tcW w:w="723" w:type="dxa"/>
            <w:vAlign w:val="center"/>
          </w:tcPr>
          <w:p w14:paraId="28ED3C6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0.0134 </w:t>
            </w:r>
          </w:p>
        </w:tc>
      </w:tr>
      <w:tr w14:paraId="64389C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36CB4839">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2F9E767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47" w:type="pct"/>
            <w:vAlign w:val="center"/>
          </w:tcPr>
          <w:p w14:paraId="6D32AEA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74" w:type="pct"/>
            <w:vAlign w:val="center"/>
          </w:tcPr>
          <w:p w14:paraId="4C643D0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33</w:t>
            </w:r>
          </w:p>
        </w:tc>
        <w:tc>
          <w:tcPr>
            <w:tcW w:w="710" w:type="dxa"/>
            <w:vAlign w:val="center"/>
          </w:tcPr>
          <w:p w14:paraId="3C86EEA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0.0050 </w:t>
            </w:r>
          </w:p>
        </w:tc>
        <w:tc>
          <w:tcPr>
            <w:tcW w:w="723" w:type="dxa"/>
            <w:vAlign w:val="center"/>
          </w:tcPr>
          <w:p w14:paraId="1F7EF2E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0.0399 </w:t>
            </w:r>
          </w:p>
        </w:tc>
      </w:tr>
      <w:tr w14:paraId="447520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restart"/>
            <w:vAlign w:val="center"/>
          </w:tcPr>
          <w:p w14:paraId="6AEBB4C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DNT</w:t>
            </w:r>
          </w:p>
          <w:p w14:paraId="6F82534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63" w:type="pct"/>
            <w:vAlign w:val="center"/>
          </w:tcPr>
          <w:p w14:paraId="75C2FFF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47" w:type="pct"/>
            <w:vAlign w:val="center"/>
          </w:tcPr>
          <w:p w14:paraId="54E3D50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474" w:type="pct"/>
            <w:vAlign w:val="center"/>
          </w:tcPr>
          <w:p w14:paraId="4370E72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w:t>
            </w:r>
          </w:p>
        </w:tc>
        <w:tc>
          <w:tcPr>
            <w:tcW w:w="710" w:type="dxa"/>
            <w:vAlign w:val="center"/>
          </w:tcPr>
          <w:p w14:paraId="5D5FB88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0.0001 </w:t>
            </w:r>
          </w:p>
        </w:tc>
        <w:tc>
          <w:tcPr>
            <w:tcW w:w="723" w:type="dxa"/>
            <w:vAlign w:val="center"/>
          </w:tcPr>
          <w:p w14:paraId="3C37D1B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0.0012 </w:t>
            </w:r>
          </w:p>
        </w:tc>
      </w:tr>
      <w:tr w14:paraId="0143D9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5C78A267">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1AFB374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47" w:type="pct"/>
            <w:vAlign w:val="center"/>
          </w:tcPr>
          <w:p w14:paraId="3283EA1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474" w:type="pct"/>
            <w:vAlign w:val="center"/>
          </w:tcPr>
          <w:p w14:paraId="09B9668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710" w:type="dxa"/>
            <w:vAlign w:val="center"/>
          </w:tcPr>
          <w:p w14:paraId="289E220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0.0009 </w:t>
            </w:r>
          </w:p>
        </w:tc>
        <w:tc>
          <w:tcPr>
            <w:tcW w:w="723" w:type="dxa"/>
            <w:vAlign w:val="center"/>
          </w:tcPr>
          <w:p w14:paraId="558C451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0.0072 </w:t>
            </w:r>
          </w:p>
        </w:tc>
      </w:tr>
      <w:tr w14:paraId="6F5B41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22ED82EF">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0CC4CA4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47" w:type="pct"/>
            <w:vAlign w:val="center"/>
          </w:tcPr>
          <w:p w14:paraId="7491587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474" w:type="pct"/>
            <w:vAlign w:val="center"/>
          </w:tcPr>
          <w:p w14:paraId="06FB3AF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w:t>
            </w:r>
          </w:p>
        </w:tc>
        <w:tc>
          <w:tcPr>
            <w:tcW w:w="710" w:type="dxa"/>
            <w:vAlign w:val="center"/>
          </w:tcPr>
          <w:p w14:paraId="6F12B9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0.0008 </w:t>
            </w:r>
          </w:p>
        </w:tc>
        <w:tc>
          <w:tcPr>
            <w:tcW w:w="723" w:type="dxa"/>
            <w:vAlign w:val="center"/>
          </w:tcPr>
          <w:p w14:paraId="3C71A88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0.0067 </w:t>
            </w:r>
          </w:p>
        </w:tc>
      </w:tr>
      <w:tr w14:paraId="640172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9" w:type="pct"/>
            <w:vMerge w:val="continue"/>
            <w:vAlign w:val="center"/>
          </w:tcPr>
          <w:p w14:paraId="1AEA9CAA">
            <w:pPr>
              <w:pStyle w:val="92"/>
              <w:rPr>
                <w:rFonts w:hint="default" w:ascii="Times New Roman" w:hAnsi="Times New Roman" w:cs="Times New Roman"/>
                <w:color w:val="auto"/>
                <w:sz w:val="21"/>
                <w:szCs w:val="21"/>
                <w:highlight w:val="none"/>
                <w:u w:val="none"/>
                <w:lang w:eastAsia="en-US"/>
              </w:rPr>
            </w:pPr>
          </w:p>
        </w:tc>
        <w:tc>
          <w:tcPr>
            <w:tcW w:w="1863" w:type="pct"/>
            <w:vAlign w:val="center"/>
          </w:tcPr>
          <w:p w14:paraId="3588EF1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47" w:type="pct"/>
            <w:vAlign w:val="center"/>
          </w:tcPr>
          <w:p w14:paraId="6149FEB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74" w:type="pct"/>
            <w:vAlign w:val="center"/>
          </w:tcPr>
          <w:p w14:paraId="6EBD310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14 </w:t>
            </w:r>
          </w:p>
        </w:tc>
        <w:tc>
          <w:tcPr>
            <w:tcW w:w="710" w:type="dxa"/>
            <w:vAlign w:val="center"/>
          </w:tcPr>
          <w:p w14:paraId="6B0FD4F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0.0019 </w:t>
            </w:r>
          </w:p>
        </w:tc>
        <w:tc>
          <w:tcPr>
            <w:tcW w:w="723" w:type="dxa"/>
            <w:vAlign w:val="center"/>
          </w:tcPr>
          <w:p w14:paraId="596A746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0.0151 </w:t>
            </w:r>
          </w:p>
        </w:tc>
      </w:tr>
    </w:tbl>
    <w:p w14:paraId="268B0C14">
      <w:pPr>
        <w:pStyle w:val="85"/>
        <w:rPr>
          <w:color w:val="auto"/>
          <w:highlight w:val="none"/>
          <w:u w:val="none"/>
        </w:rPr>
      </w:pPr>
      <w:bookmarkStart w:id="334" w:name="_Ref138699580"/>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3</w:t>
      </w:r>
      <w:r>
        <w:rPr>
          <w:color w:val="auto"/>
          <w:highlight w:val="none"/>
          <w:u w:val="none"/>
        </w:rPr>
        <w:fldChar w:fldCharType="end"/>
      </w:r>
      <w:bookmarkEnd w:id="334"/>
      <w:r>
        <w:rPr>
          <w:color w:val="auto"/>
          <w:highlight w:val="none"/>
          <w:u w:val="none"/>
        </w:rPr>
        <w:t xml:space="preserve">  </w:t>
      </w:r>
      <w:r>
        <w:rPr>
          <w:rFonts w:hint="eastAsia"/>
          <w:color w:val="auto"/>
          <w:highlight w:val="none"/>
          <w:u w:val="none"/>
        </w:rPr>
        <w:t>光化单元新增设备动静密封点泄漏</w:t>
      </w:r>
      <w:r>
        <w:rPr>
          <w:color w:val="auto"/>
          <w:highlight w:val="none"/>
          <w:u w:val="none"/>
        </w:rPr>
        <w:t xml:space="preserve"> VOCs 排放估算一览表</w:t>
      </w:r>
    </w:p>
    <w:tbl>
      <w:tblPr>
        <w:tblStyle w:val="799"/>
        <w:tblW w:w="511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800"/>
        <w:gridCol w:w="3592"/>
        <w:gridCol w:w="1461"/>
        <w:gridCol w:w="956"/>
        <w:gridCol w:w="802"/>
        <w:gridCol w:w="700"/>
      </w:tblGrid>
      <w:tr w14:paraId="1BDBA6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restart"/>
            <w:vAlign w:val="center"/>
          </w:tcPr>
          <w:p w14:paraId="3F5B2AC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污染因子</w:t>
            </w:r>
          </w:p>
        </w:tc>
        <w:tc>
          <w:tcPr>
            <w:tcW w:w="1929" w:type="pct"/>
            <w:vMerge w:val="restart"/>
            <w:vAlign w:val="center"/>
          </w:tcPr>
          <w:p w14:paraId="2784705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设备名称</w:t>
            </w:r>
          </w:p>
        </w:tc>
        <w:tc>
          <w:tcPr>
            <w:tcW w:w="784" w:type="pct"/>
            <w:vMerge w:val="restart"/>
            <w:vAlign w:val="center"/>
          </w:tcPr>
          <w:p w14:paraId="1ED6192A">
            <w:pPr>
              <w:spacing w:line="240" w:lineRule="auto"/>
              <w:ind w:firstLine="0" w:firstLineChars="0"/>
              <w:rPr>
                <w:rFonts w:hint="default" w:ascii="Times New Roman" w:hAnsi="Times New Roman" w:cs="Times New Roman"/>
                <w:color w:val="auto"/>
                <w:sz w:val="21"/>
                <w:szCs w:val="21"/>
                <w:highlight w:val="none"/>
                <w:u w:val="none"/>
                <w:lang w:val="en-US" w:eastAsia="en-US"/>
              </w:rPr>
            </w:pPr>
            <w:r>
              <w:rPr>
                <w:rFonts w:hint="default" w:ascii="Times New Roman" w:hAnsi="Times New Roman" w:cs="Times New Roman"/>
                <w:color w:val="auto"/>
                <w:sz w:val="21"/>
                <w:szCs w:val="21"/>
                <w:highlight w:val="none"/>
                <w:u w:val="none"/>
                <w:lang w:eastAsia="en-US"/>
              </w:rPr>
              <w:t>排放速率</w:t>
            </w:r>
            <w:r>
              <w:rPr>
                <w:rFonts w:hint="default" w:ascii="Times New Roman" w:hAnsi="Times New Roman" w:cs="Times New Roman"/>
                <w:color w:val="auto"/>
                <w:sz w:val="21"/>
                <w:szCs w:val="21"/>
                <w:highlight w:val="none"/>
                <w:u w:val="none"/>
                <w:lang w:val="en-US" w:eastAsia="en-US"/>
              </w:rPr>
              <w:t>e</w:t>
            </w:r>
            <w:r>
              <w:rPr>
                <w:rFonts w:hint="default" w:ascii="Times New Roman" w:hAnsi="Times New Roman" w:cs="Times New Roman"/>
                <w:color w:val="auto"/>
                <w:sz w:val="21"/>
                <w:szCs w:val="21"/>
                <w:highlight w:val="none"/>
                <w:u w:val="none"/>
                <w:vertAlign w:val="subscript"/>
                <w:lang w:val="en-US" w:eastAsia="en-US"/>
              </w:rPr>
              <w:t>TOC,i</w:t>
            </w:r>
            <w:r>
              <w:rPr>
                <w:rFonts w:hint="default" w:ascii="Times New Roman" w:hAnsi="Times New Roman" w:cs="Times New Roman"/>
                <w:color w:val="auto"/>
                <w:sz w:val="21"/>
                <w:szCs w:val="21"/>
                <w:highlight w:val="none"/>
                <w:u w:val="none"/>
                <w:lang w:val="en-US" w:eastAsia="en-US"/>
              </w:rPr>
              <w:t>/</w:t>
            </w:r>
          </w:p>
          <w:p w14:paraId="1690212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（kg/h/排放源）</w:t>
            </w:r>
          </w:p>
        </w:tc>
        <w:tc>
          <w:tcPr>
            <w:tcW w:w="513" w:type="pct"/>
            <w:vMerge w:val="restart"/>
            <w:tcBorders>
              <w:right w:val="single" w:color="auto" w:sz="4" w:space="0"/>
            </w:tcBorders>
            <w:vAlign w:val="center"/>
          </w:tcPr>
          <w:p w14:paraId="32546D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数量</w:t>
            </w:r>
          </w:p>
          <w:p w14:paraId="6C05E1E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（个）</w:t>
            </w:r>
          </w:p>
        </w:tc>
        <w:tc>
          <w:tcPr>
            <w:tcW w:w="806" w:type="pct"/>
            <w:gridSpan w:val="2"/>
            <w:tcBorders>
              <w:left w:val="single" w:color="auto" w:sz="4" w:space="0"/>
              <w:bottom w:val="single" w:color="auto" w:sz="4" w:space="0"/>
            </w:tcBorders>
            <w:vAlign w:val="center"/>
          </w:tcPr>
          <w:p w14:paraId="38B8929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VOCs排放量</w:t>
            </w:r>
          </w:p>
        </w:tc>
      </w:tr>
      <w:tr w14:paraId="4D3D2A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5487F22D">
            <w:pPr>
              <w:pStyle w:val="92"/>
              <w:rPr>
                <w:rFonts w:hint="default" w:ascii="Times New Roman" w:hAnsi="Times New Roman" w:cs="Times New Roman"/>
                <w:color w:val="auto"/>
                <w:sz w:val="21"/>
                <w:szCs w:val="21"/>
                <w:highlight w:val="none"/>
                <w:u w:val="none"/>
                <w:lang w:eastAsia="en-US"/>
              </w:rPr>
            </w:pPr>
          </w:p>
        </w:tc>
        <w:tc>
          <w:tcPr>
            <w:tcW w:w="1929" w:type="pct"/>
            <w:vMerge w:val="continue"/>
            <w:vAlign w:val="center"/>
          </w:tcPr>
          <w:p w14:paraId="7E627B24">
            <w:pPr>
              <w:pStyle w:val="92"/>
              <w:rPr>
                <w:rFonts w:hint="default" w:ascii="Times New Roman" w:hAnsi="Times New Roman" w:cs="Times New Roman"/>
                <w:color w:val="auto"/>
                <w:sz w:val="21"/>
                <w:szCs w:val="21"/>
                <w:highlight w:val="none"/>
                <w:u w:val="none"/>
                <w:lang w:eastAsia="en-US"/>
              </w:rPr>
            </w:pPr>
          </w:p>
        </w:tc>
        <w:tc>
          <w:tcPr>
            <w:tcW w:w="784" w:type="pct"/>
            <w:vMerge w:val="continue"/>
            <w:vAlign w:val="center"/>
          </w:tcPr>
          <w:p w14:paraId="231B0945">
            <w:pPr>
              <w:spacing w:line="240" w:lineRule="auto"/>
              <w:ind w:firstLine="0" w:firstLineChars="0"/>
              <w:rPr>
                <w:rFonts w:hint="default" w:ascii="Times New Roman" w:hAnsi="Times New Roman" w:cs="Times New Roman"/>
                <w:color w:val="auto"/>
                <w:sz w:val="21"/>
                <w:szCs w:val="21"/>
                <w:highlight w:val="none"/>
                <w:u w:val="none"/>
                <w:lang w:eastAsia="en-US"/>
              </w:rPr>
            </w:pPr>
          </w:p>
        </w:tc>
        <w:tc>
          <w:tcPr>
            <w:tcW w:w="513" w:type="pct"/>
            <w:vMerge w:val="continue"/>
            <w:tcBorders>
              <w:right w:val="single" w:color="auto" w:sz="4" w:space="0"/>
            </w:tcBorders>
            <w:vAlign w:val="center"/>
          </w:tcPr>
          <w:p w14:paraId="5F3F52D6">
            <w:pPr>
              <w:pStyle w:val="92"/>
              <w:rPr>
                <w:rFonts w:hint="default" w:ascii="Times New Roman" w:hAnsi="Times New Roman" w:cs="Times New Roman"/>
                <w:color w:val="auto"/>
                <w:sz w:val="21"/>
                <w:szCs w:val="21"/>
                <w:highlight w:val="none"/>
                <w:u w:val="none"/>
                <w:lang w:eastAsia="en-US"/>
              </w:rPr>
            </w:pPr>
          </w:p>
        </w:tc>
        <w:tc>
          <w:tcPr>
            <w:tcW w:w="430" w:type="pct"/>
            <w:tcBorders>
              <w:top w:val="single" w:color="auto" w:sz="4" w:space="0"/>
              <w:left w:val="single" w:color="auto" w:sz="4" w:space="0"/>
            </w:tcBorders>
            <w:vAlign w:val="center"/>
          </w:tcPr>
          <w:p w14:paraId="1B59D37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w:t>
            </w:r>
          </w:p>
        </w:tc>
        <w:tc>
          <w:tcPr>
            <w:tcW w:w="375" w:type="pct"/>
            <w:tcBorders>
              <w:top w:val="single" w:color="auto" w:sz="4" w:space="0"/>
            </w:tcBorders>
            <w:vAlign w:val="center"/>
          </w:tcPr>
          <w:p w14:paraId="6012D33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t/a</w:t>
            </w:r>
          </w:p>
        </w:tc>
      </w:tr>
      <w:tr w14:paraId="2850AD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restart"/>
            <w:vAlign w:val="center"/>
          </w:tcPr>
          <w:p w14:paraId="3E8A306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TDI</w:t>
            </w:r>
          </w:p>
          <w:p w14:paraId="56702C9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929" w:type="pct"/>
            <w:vAlign w:val="center"/>
          </w:tcPr>
          <w:p w14:paraId="286AC3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784" w:type="pct"/>
            <w:vAlign w:val="center"/>
          </w:tcPr>
          <w:p w14:paraId="22DF516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6C4391F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w:t>
            </w:r>
          </w:p>
        </w:tc>
        <w:tc>
          <w:tcPr>
            <w:tcW w:w="430" w:type="pct"/>
            <w:vAlign w:val="center"/>
          </w:tcPr>
          <w:p w14:paraId="7742D87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0.0001 </w:t>
            </w:r>
          </w:p>
        </w:tc>
        <w:tc>
          <w:tcPr>
            <w:tcW w:w="375" w:type="pct"/>
            <w:vAlign w:val="center"/>
          </w:tcPr>
          <w:p w14:paraId="5A77284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0.0006 </w:t>
            </w:r>
          </w:p>
        </w:tc>
      </w:tr>
      <w:tr w14:paraId="5E57FA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3A120221">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5FE87C1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784" w:type="pct"/>
            <w:vAlign w:val="center"/>
          </w:tcPr>
          <w:p w14:paraId="74ED387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4B9D5E8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w:t>
            </w:r>
          </w:p>
        </w:tc>
        <w:tc>
          <w:tcPr>
            <w:tcW w:w="430" w:type="pct"/>
            <w:vAlign w:val="center"/>
          </w:tcPr>
          <w:p w14:paraId="6F40BE7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0.0003 </w:t>
            </w:r>
          </w:p>
        </w:tc>
        <w:tc>
          <w:tcPr>
            <w:tcW w:w="375" w:type="pct"/>
            <w:vAlign w:val="center"/>
          </w:tcPr>
          <w:p w14:paraId="21D75EA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0.0022 </w:t>
            </w:r>
          </w:p>
        </w:tc>
      </w:tr>
      <w:tr w14:paraId="3B1609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7030D5D0">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1C876EF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784" w:type="pct"/>
            <w:vAlign w:val="center"/>
          </w:tcPr>
          <w:p w14:paraId="12B8006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37F5062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18</w:t>
            </w:r>
          </w:p>
        </w:tc>
        <w:tc>
          <w:tcPr>
            <w:tcW w:w="430" w:type="pct"/>
            <w:vAlign w:val="center"/>
          </w:tcPr>
          <w:p w14:paraId="4DF9D4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0.0019 </w:t>
            </w:r>
          </w:p>
        </w:tc>
        <w:tc>
          <w:tcPr>
            <w:tcW w:w="375" w:type="pct"/>
            <w:vAlign w:val="center"/>
          </w:tcPr>
          <w:p w14:paraId="045E920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0.0156 </w:t>
            </w:r>
          </w:p>
        </w:tc>
      </w:tr>
      <w:tr w14:paraId="67367D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57668CD1">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14351E3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784" w:type="pct"/>
            <w:vAlign w:val="center"/>
          </w:tcPr>
          <w:p w14:paraId="54D6151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33F370F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430" w:type="pct"/>
            <w:vAlign w:val="center"/>
          </w:tcPr>
          <w:p w14:paraId="1D417F4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0.0013 </w:t>
            </w:r>
          </w:p>
        </w:tc>
        <w:tc>
          <w:tcPr>
            <w:tcW w:w="375" w:type="pct"/>
            <w:vAlign w:val="center"/>
          </w:tcPr>
          <w:p w14:paraId="74BBE46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0.0106 </w:t>
            </w:r>
          </w:p>
        </w:tc>
      </w:tr>
      <w:tr w14:paraId="5D2116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307538E0">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1C13B12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784" w:type="pct"/>
            <w:vAlign w:val="center"/>
          </w:tcPr>
          <w:p w14:paraId="3A8025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6137BE6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w:t>
            </w:r>
          </w:p>
        </w:tc>
        <w:tc>
          <w:tcPr>
            <w:tcW w:w="430" w:type="pct"/>
            <w:vAlign w:val="center"/>
          </w:tcPr>
          <w:p w14:paraId="329082C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0.0025 </w:t>
            </w:r>
          </w:p>
        </w:tc>
        <w:tc>
          <w:tcPr>
            <w:tcW w:w="375" w:type="pct"/>
            <w:vAlign w:val="center"/>
          </w:tcPr>
          <w:p w14:paraId="6CF70FA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0.0202 </w:t>
            </w:r>
          </w:p>
        </w:tc>
      </w:tr>
      <w:tr w14:paraId="5ADF88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5967E377">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018E3F5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784" w:type="pct"/>
            <w:vAlign w:val="center"/>
          </w:tcPr>
          <w:p w14:paraId="492006A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6CAB202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38</w:t>
            </w:r>
          </w:p>
        </w:tc>
        <w:tc>
          <w:tcPr>
            <w:tcW w:w="430" w:type="pct"/>
            <w:vAlign w:val="center"/>
          </w:tcPr>
          <w:p w14:paraId="7BFDA9B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0.0061 </w:t>
            </w:r>
          </w:p>
        </w:tc>
        <w:tc>
          <w:tcPr>
            <w:tcW w:w="375" w:type="pct"/>
            <w:vAlign w:val="center"/>
          </w:tcPr>
          <w:p w14:paraId="4D65F11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0.0490 </w:t>
            </w:r>
          </w:p>
        </w:tc>
      </w:tr>
      <w:tr w14:paraId="7B8674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restart"/>
            <w:vAlign w:val="center"/>
          </w:tcPr>
          <w:p w14:paraId="4C79F6B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ODCB</w:t>
            </w:r>
          </w:p>
          <w:p w14:paraId="7DFB3FB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929" w:type="pct"/>
            <w:vAlign w:val="center"/>
          </w:tcPr>
          <w:p w14:paraId="2AC8633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784" w:type="pct"/>
            <w:vAlign w:val="center"/>
          </w:tcPr>
          <w:p w14:paraId="6493FC7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1C4A45B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30</w:t>
            </w:r>
          </w:p>
        </w:tc>
        <w:tc>
          <w:tcPr>
            <w:tcW w:w="430" w:type="pct"/>
            <w:vAlign w:val="center"/>
          </w:tcPr>
          <w:p w14:paraId="686246F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0.0022 </w:t>
            </w:r>
          </w:p>
        </w:tc>
        <w:tc>
          <w:tcPr>
            <w:tcW w:w="375" w:type="pct"/>
            <w:vAlign w:val="center"/>
          </w:tcPr>
          <w:p w14:paraId="1D4858E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0.0173 </w:t>
            </w:r>
          </w:p>
        </w:tc>
      </w:tr>
      <w:tr w14:paraId="7CB65D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7033E8A5">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127104D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784" w:type="pct"/>
            <w:vAlign w:val="center"/>
          </w:tcPr>
          <w:p w14:paraId="14D3928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13A950D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w:t>
            </w:r>
          </w:p>
        </w:tc>
        <w:tc>
          <w:tcPr>
            <w:tcW w:w="430" w:type="pct"/>
            <w:vAlign w:val="center"/>
          </w:tcPr>
          <w:p w14:paraId="618FDF8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0.0002 </w:t>
            </w:r>
          </w:p>
        </w:tc>
        <w:tc>
          <w:tcPr>
            <w:tcW w:w="375" w:type="pct"/>
            <w:vAlign w:val="center"/>
          </w:tcPr>
          <w:p w14:paraId="677E8B6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0.0017 </w:t>
            </w:r>
          </w:p>
        </w:tc>
      </w:tr>
      <w:tr w14:paraId="13B7BF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7B249653">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45A7D6F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784" w:type="pct"/>
            <w:vAlign w:val="center"/>
          </w:tcPr>
          <w:p w14:paraId="52EF132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38BEB34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w:t>
            </w:r>
          </w:p>
        </w:tc>
        <w:tc>
          <w:tcPr>
            <w:tcW w:w="430" w:type="pct"/>
            <w:vAlign w:val="center"/>
          </w:tcPr>
          <w:p w14:paraId="06F1A60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0.0003 </w:t>
            </w:r>
          </w:p>
        </w:tc>
        <w:tc>
          <w:tcPr>
            <w:tcW w:w="375" w:type="pct"/>
            <w:vAlign w:val="center"/>
          </w:tcPr>
          <w:p w14:paraId="7F7A591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0.0021 </w:t>
            </w:r>
          </w:p>
        </w:tc>
      </w:tr>
      <w:tr w14:paraId="0FB8BB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0B4651ED">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23C1AFE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784" w:type="pct"/>
            <w:vAlign w:val="center"/>
          </w:tcPr>
          <w:p w14:paraId="5885798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1394C0C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w:t>
            </w:r>
          </w:p>
        </w:tc>
        <w:tc>
          <w:tcPr>
            <w:tcW w:w="430" w:type="pct"/>
            <w:vAlign w:val="center"/>
          </w:tcPr>
          <w:p w14:paraId="4CB4991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0.0004 </w:t>
            </w:r>
          </w:p>
        </w:tc>
        <w:tc>
          <w:tcPr>
            <w:tcW w:w="375" w:type="pct"/>
            <w:vAlign w:val="center"/>
          </w:tcPr>
          <w:p w14:paraId="4761D86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0.0034 </w:t>
            </w:r>
          </w:p>
        </w:tc>
      </w:tr>
      <w:tr w14:paraId="1E888E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3D0FE1ED">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255B09D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784" w:type="pct"/>
            <w:vAlign w:val="center"/>
          </w:tcPr>
          <w:p w14:paraId="3095D85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7F99943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35</w:t>
            </w:r>
          </w:p>
        </w:tc>
        <w:tc>
          <w:tcPr>
            <w:tcW w:w="430" w:type="pct"/>
            <w:vAlign w:val="center"/>
          </w:tcPr>
          <w:p w14:paraId="41D8D40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0.0031 </w:t>
            </w:r>
          </w:p>
        </w:tc>
        <w:tc>
          <w:tcPr>
            <w:tcW w:w="375" w:type="pct"/>
            <w:vAlign w:val="center"/>
          </w:tcPr>
          <w:p w14:paraId="364C0C8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0.0245 </w:t>
            </w:r>
          </w:p>
        </w:tc>
      </w:tr>
      <w:tr w14:paraId="20108D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restart"/>
            <w:tcBorders>
              <w:top w:val="single" w:color="auto" w:sz="4" w:space="0"/>
            </w:tcBorders>
            <w:vAlign w:val="center"/>
          </w:tcPr>
          <w:p w14:paraId="77D0867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光气</w:t>
            </w:r>
          </w:p>
        </w:tc>
        <w:tc>
          <w:tcPr>
            <w:tcW w:w="1929" w:type="pct"/>
            <w:tcBorders>
              <w:top w:val="single" w:color="auto" w:sz="4" w:space="0"/>
            </w:tcBorders>
            <w:vAlign w:val="center"/>
          </w:tcPr>
          <w:p w14:paraId="15C370A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784" w:type="pct"/>
            <w:vAlign w:val="center"/>
          </w:tcPr>
          <w:p w14:paraId="05C48B7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6026DF7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8</w:t>
            </w:r>
          </w:p>
        </w:tc>
        <w:tc>
          <w:tcPr>
            <w:tcW w:w="430" w:type="pct"/>
            <w:vAlign w:val="center"/>
          </w:tcPr>
          <w:p w14:paraId="4E57E1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0.0009 </w:t>
            </w:r>
          </w:p>
        </w:tc>
        <w:tc>
          <w:tcPr>
            <w:tcW w:w="375" w:type="pct"/>
            <w:vAlign w:val="center"/>
          </w:tcPr>
          <w:p w14:paraId="1C811BB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0.0069 </w:t>
            </w:r>
          </w:p>
        </w:tc>
      </w:tr>
      <w:tr w14:paraId="14B88E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3607A751">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5EAAAAD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784" w:type="pct"/>
            <w:vAlign w:val="center"/>
          </w:tcPr>
          <w:p w14:paraId="5467C5F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2C22EE8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16</w:t>
            </w:r>
          </w:p>
        </w:tc>
        <w:tc>
          <w:tcPr>
            <w:tcW w:w="430" w:type="pct"/>
            <w:vAlign w:val="center"/>
          </w:tcPr>
          <w:p w14:paraId="53264B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0.0021 </w:t>
            </w:r>
          </w:p>
        </w:tc>
        <w:tc>
          <w:tcPr>
            <w:tcW w:w="375" w:type="pct"/>
            <w:vAlign w:val="center"/>
          </w:tcPr>
          <w:p w14:paraId="7F37A4C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0.0169 </w:t>
            </w:r>
          </w:p>
        </w:tc>
      </w:tr>
      <w:tr w14:paraId="34FD11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074A3C24">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45F1EE5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784" w:type="pct"/>
            <w:vAlign w:val="center"/>
          </w:tcPr>
          <w:p w14:paraId="6D527C5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1078060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w:t>
            </w:r>
          </w:p>
        </w:tc>
        <w:tc>
          <w:tcPr>
            <w:tcW w:w="430" w:type="pct"/>
            <w:vAlign w:val="center"/>
          </w:tcPr>
          <w:p w14:paraId="678CACE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0.0004 </w:t>
            </w:r>
          </w:p>
        </w:tc>
        <w:tc>
          <w:tcPr>
            <w:tcW w:w="375" w:type="pct"/>
            <w:vAlign w:val="center"/>
          </w:tcPr>
          <w:p w14:paraId="1AD33DF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0.0034 </w:t>
            </w:r>
          </w:p>
        </w:tc>
      </w:tr>
      <w:tr w14:paraId="1C0B87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66" w:type="pct"/>
            <w:vMerge w:val="continue"/>
            <w:vAlign w:val="center"/>
          </w:tcPr>
          <w:p w14:paraId="6B8A0E58">
            <w:pPr>
              <w:pStyle w:val="92"/>
              <w:rPr>
                <w:rFonts w:hint="default" w:ascii="Times New Roman" w:hAnsi="Times New Roman" w:cs="Times New Roman"/>
                <w:color w:val="auto"/>
                <w:sz w:val="21"/>
                <w:szCs w:val="21"/>
                <w:highlight w:val="none"/>
                <w:u w:val="none"/>
                <w:lang w:eastAsia="en-US"/>
              </w:rPr>
            </w:pPr>
          </w:p>
        </w:tc>
        <w:tc>
          <w:tcPr>
            <w:tcW w:w="1929" w:type="pct"/>
            <w:vAlign w:val="center"/>
          </w:tcPr>
          <w:p w14:paraId="2A553BF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784" w:type="pct"/>
            <w:vAlign w:val="center"/>
          </w:tcPr>
          <w:p w14:paraId="22EAE95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2905C02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25</w:t>
            </w:r>
          </w:p>
        </w:tc>
        <w:tc>
          <w:tcPr>
            <w:tcW w:w="430" w:type="pct"/>
            <w:vAlign w:val="center"/>
          </w:tcPr>
          <w:p w14:paraId="5CA9C8C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0.0034 </w:t>
            </w:r>
          </w:p>
        </w:tc>
        <w:tc>
          <w:tcPr>
            <w:tcW w:w="375" w:type="pct"/>
            <w:vAlign w:val="center"/>
          </w:tcPr>
          <w:p w14:paraId="788832A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0.0272 </w:t>
            </w:r>
          </w:p>
        </w:tc>
      </w:tr>
    </w:tbl>
    <w:p w14:paraId="0166D086">
      <w:pPr>
        <w:rPr>
          <w:rFonts w:hint="eastAsia"/>
          <w:color w:val="auto"/>
          <w:highlight w:val="none"/>
          <w:u w:val="none"/>
          <w:lang w:val="en-US"/>
        </w:rPr>
      </w:pPr>
    </w:p>
    <w:p w14:paraId="605A457F">
      <w:pPr>
        <w:rPr>
          <w:rFonts w:hint="eastAsia"/>
          <w:color w:val="auto"/>
          <w:highlight w:val="none"/>
          <w:u w:val="none"/>
          <w:lang w:val="en-US"/>
        </w:rPr>
      </w:pPr>
      <w:r>
        <w:rPr>
          <w:color w:val="auto"/>
          <w:highlight w:val="none"/>
          <w:u w:val="none"/>
          <w:lang w:val="en-US"/>
        </w:rPr>
        <w:t>②</w:t>
      </w:r>
      <w:r>
        <w:rPr>
          <w:rFonts w:hint="eastAsia"/>
          <w:color w:val="auto"/>
          <w:highlight w:val="none"/>
          <w:u w:val="none"/>
          <w:lang w:val="en-US"/>
        </w:rPr>
        <w:t>技改扩能后设备密封点</w:t>
      </w:r>
    </w:p>
    <w:p w14:paraId="02290869">
      <w:pPr>
        <w:pStyle w:val="85"/>
        <w:rPr>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4</w:t>
      </w:r>
      <w:r>
        <w:rPr>
          <w:color w:val="auto"/>
          <w:highlight w:val="none"/>
          <w:u w:val="none"/>
        </w:rPr>
        <w:fldChar w:fldCharType="end"/>
      </w:r>
      <w:r>
        <w:rPr>
          <w:color w:val="auto"/>
          <w:highlight w:val="none"/>
          <w:u w:val="none"/>
        </w:rPr>
        <w:t xml:space="preserve">  </w:t>
      </w:r>
      <w:r>
        <w:rPr>
          <w:rFonts w:hint="eastAsia"/>
          <w:color w:val="auto"/>
          <w:highlight w:val="none"/>
          <w:u w:val="none"/>
        </w:rPr>
        <w:t>硝化单元设备动静密封点泄漏</w:t>
      </w:r>
      <w:r>
        <w:rPr>
          <w:color w:val="auto"/>
          <w:highlight w:val="none"/>
          <w:u w:val="none"/>
        </w:rPr>
        <w:t xml:space="preserve"> VOCs 排放</w:t>
      </w:r>
      <w:r>
        <w:rPr>
          <w:rFonts w:hint="eastAsia"/>
          <w:color w:val="auto"/>
          <w:highlight w:val="none"/>
          <w:u w:val="none"/>
        </w:rPr>
        <w:t>估算结果</w:t>
      </w:r>
      <w:r>
        <w:rPr>
          <w:color w:val="auto"/>
          <w:highlight w:val="none"/>
          <w:u w:val="none"/>
        </w:rPr>
        <w:t>一览表</w:t>
      </w:r>
    </w:p>
    <w:tbl>
      <w:tblPr>
        <w:tblStyle w:val="799"/>
        <w:tblW w:w="50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116"/>
        <w:gridCol w:w="3276"/>
        <w:gridCol w:w="1693"/>
        <w:gridCol w:w="1162"/>
        <w:gridCol w:w="1043"/>
        <w:gridCol w:w="987"/>
      </w:tblGrid>
      <w:tr w14:paraId="4B80B6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601" w:type="pct"/>
            <w:vMerge w:val="restart"/>
            <w:vAlign w:val="center"/>
          </w:tcPr>
          <w:p w14:paraId="7B3458F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污染因子</w:t>
            </w:r>
          </w:p>
        </w:tc>
        <w:tc>
          <w:tcPr>
            <w:tcW w:w="1765" w:type="pct"/>
            <w:vMerge w:val="restart"/>
            <w:vAlign w:val="center"/>
          </w:tcPr>
          <w:p w14:paraId="2245FE1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设备名称</w:t>
            </w:r>
          </w:p>
        </w:tc>
        <w:tc>
          <w:tcPr>
            <w:tcW w:w="912" w:type="pct"/>
            <w:vMerge w:val="restart"/>
            <w:vAlign w:val="center"/>
          </w:tcPr>
          <w:p w14:paraId="723244D2">
            <w:pPr>
              <w:spacing w:line="240" w:lineRule="auto"/>
              <w:ind w:firstLine="0" w:firstLineChars="0"/>
              <w:rPr>
                <w:rFonts w:hint="default" w:ascii="Times New Roman" w:hAnsi="Times New Roman" w:cs="Times New Roman"/>
                <w:color w:val="auto"/>
                <w:sz w:val="21"/>
                <w:szCs w:val="21"/>
                <w:highlight w:val="none"/>
                <w:u w:val="none"/>
                <w:lang w:val="en-US" w:eastAsia="en-US"/>
              </w:rPr>
            </w:pPr>
            <w:r>
              <w:rPr>
                <w:rFonts w:hint="default" w:ascii="Times New Roman" w:hAnsi="Times New Roman" w:cs="Times New Roman"/>
                <w:color w:val="auto"/>
                <w:sz w:val="21"/>
                <w:szCs w:val="21"/>
                <w:highlight w:val="none"/>
                <w:u w:val="none"/>
                <w:lang w:eastAsia="en-US"/>
              </w:rPr>
              <w:t>排放速率</w:t>
            </w:r>
            <w:r>
              <w:rPr>
                <w:rFonts w:hint="default" w:ascii="Times New Roman" w:hAnsi="Times New Roman" w:cs="Times New Roman"/>
                <w:color w:val="auto"/>
                <w:sz w:val="21"/>
                <w:szCs w:val="21"/>
                <w:highlight w:val="none"/>
                <w:u w:val="none"/>
                <w:lang w:val="en-US" w:eastAsia="en-US"/>
              </w:rPr>
              <w:t>e</w:t>
            </w:r>
            <w:r>
              <w:rPr>
                <w:rFonts w:hint="default" w:ascii="Times New Roman" w:hAnsi="Times New Roman" w:cs="Times New Roman"/>
                <w:color w:val="auto"/>
                <w:sz w:val="21"/>
                <w:szCs w:val="21"/>
                <w:highlight w:val="none"/>
                <w:u w:val="none"/>
                <w:vertAlign w:val="subscript"/>
                <w:lang w:val="en-US" w:eastAsia="en-US"/>
              </w:rPr>
              <w:t>TOC,i</w:t>
            </w:r>
            <w:r>
              <w:rPr>
                <w:rFonts w:hint="default" w:ascii="Times New Roman" w:hAnsi="Times New Roman" w:cs="Times New Roman"/>
                <w:color w:val="auto"/>
                <w:sz w:val="21"/>
                <w:szCs w:val="21"/>
                <w:highlight w:val="none"/>
                <w:u w:val="none"/>
                <w:lang w:val="en-US" w:eastAsia="en-US"/>
              </w:rPr>
              <w:t>/</w:t>
            </w:r>
          </w:p>
          <w:p w14:paraId="0D87258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（kg/h/排放源）</w:t>
            </w:r>
          </w:p>
        </w:tc>
        <w:tc>
          <w:tcPr>
            <w:tcW w:w="626" w:type="pct"/>
            <w:vMerge w:val="restart"/>
            <w:vAlign w:val="center"/>
          </w:tcPr>
          <w:p w14:paraId="14B75BA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技改扩能后数量</w:t>
            </w:r>
          </w:p>
          <w:p w14:paraId="5942C9B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（个）</w:t>
            </w:r>
          </w:p>
        </w:tc>
        <w:tc>
          <w:tcPr>
            <w:tcW w:w="1094" w:type="pct"/>
            <w:gridSpan w:val="2"/>
            <w:tcBorders>
              <w:bottom w:val="single" w:color="auto" w:sz="4" w:space="0"/>
            </w:tcBorders>
            <w:vAlign w:val="center"/>
          </w:tcPr>
          <w:p w14:paraId="72413AF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VOCs排放量</w:t>
            </w:r>
          </w:p>
        </w:tc>
      </w:tr>
      <w:tr w14:paraId="3F1182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601" w:type="pct"/>
            <w:vMerge w:val="continue"/>
            <w:vAlign w:val="center"/>
          </w:tcPr>
          <w:p w14:paraId="23EC0E18">
            <w:pPr>
              <w:pStyle w:val="92"/>
              <w:rPr>
                <w:rFonts w:hint="default" w:ascii="Times New Roman" w:hAnsi="Times New Roman" w:cs="Times New Roman"/>
                <w:color w:val="auto"/>
                <w:sz w:val="21"/>
                <w:szCs w:val="21"/>
                <w:highlight w:val="none"/>
                <w:u w:val="none"/>
                <w:lang w:eastAsia="en-US"/>
              </w:rPr>
            </w:pPr>
          </w:p>
        </w:tc>
        <w:tc>
          <w:tcPr>
            <w:tcW w:w="1765" w:type="pct"/>
            <w:vMerge w:val="continue"/>
            <w:vAlign w:val="center"/>
          </w:tcPr>
          <w:p w14:paraId="31E57800">
            <w:pPr>
              <w:pStyle w:val="92"/>
              <w:rPr>
                <w:rFonts w:hint="default" w:ascii="Times New Roman" w:hAnsi="Times New Roman" w:cs="Times New Roman"/>
                <w:color w:val="auto"/>
                <w:sz w:val="21"/>
                <w:szCs w:val="21"/>
                <w:highlight w:val="none"/>
                <w:u w:val="none"/>
                <w:lang w:eastAsia="en-US"/>
              </w:rPr>
            </w:pPr>
          </w:p>
        </w:tc>
        <w:tc>
          <w:tcPr>
            <w:tcW w:w="912" w:type="pct"/>
            <w:vMerge w:val="continue"/>
            <w:vAlign w:val="center"/>
          </w:tcPr>
          <w:p w14:paraId="4B396434">
            <w:pPr>
              <w:pStyle w:val="92"/>
              <w:rPr>
                <w:rFonts w:hint="default" w:ascii="Times New Roman" w:hAnsi="Times New Roman" w:cs="Times New Roman"/>
                <w:color w:val="auto"/>
                <w:sz w:val="21"/>
                <w:szCs w:val="21"/>
                <w:highlight w:val="none"/>
                <w:u w:val="none"/>
                <w:lang w:eastAsia="en-US"/>
              </w:rPr>
            </w:pPr>
          </w:p>
        </w:tc>
        <w:tc>
          <w:tcPr>
            <w:tcW w:w="626" w:type="pct"/>
            <w:vMerge w:val="continue"/>
            <w:vAlign w:val="center"/>
          </w:tcPr>
          <w:p w14:paraId="73C5EE50">
            <w:pPr>
              <w:pStyle w:val="92"/>
              <w:rPr>
                <w:rFonts w:hint="default" w:ascii="Times New Roman" w:hAnsi="Times New Roman" w:cs="Times New Roman"/>
                <w:color w:val="auto"/>
                <w:sz w:val="21"/>
                <w:szCs w:val="21"/>
                <w:highlight w:val="none"/>
                <w:u w:val="none"/>
                <w:lang w:eastAsia="en-US"/>
              </w:rPr>
            </w:pPr>
          </w:p>
        </w:tc>
        <w:tc>
          <w:tcPr>
            <w:tcW w:w="562" w:type="pct"/>
            <w:tcBorders>
              <w:top w:val="single" w:color="auto" w:sz="4" w:space="0"/>
            </w:tcBorders>
            <w:vAlign w:val="center"/>
          </w:tcPr>
          <w:p w14:paraId="0B54619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w:t>
            </w:r>
          </w:p>
        </w:tc>
        <w:tc>
          <w:tcPr>
            <w:tcW w:w="531" w:type="pct"/>
            <w:tcBorders>
              <w:top w:val="single" w:color="auto" w:sz="4" w:space="0"/>
            </w:tcBorders>
            <w:vAlign w:val="center"/>
          </w:tcPr>
          <w:p w14:paraId="3F3067F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t/a</w:t>
            </w:r>
          </w:p>
        </w:tc>
      </w:tr>
      <w:tr w14:paraId="6F7362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restart"/>
            <w:vAlign w:val="center"/>
          </w:tcPr>
          <w:p w14:paraId="1DD915F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w:t>
            </w:r>
          </w:p>
        </w:tc>
        <w:tc>
          <w:tcPr>
            <w:tcW w:w="1765" w:type="pct"/>
            <w:vAlign w:val="center"/>
          </w:tcPr>
          <w:p w14:paraId="2C2C8A5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12" w:type="pct"/>
            <w:vAlign w:val="center"/>
          </w:tcPr>
          <w:p w14:paraId="43C3C46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626" w:type="pct"/>
            <w:vAlign w:val="center"/>
          </w:tcPr>
          <w:p w14:paraId="4852A85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53</w:t>
            </w:r>
          </w:p>
        </w:tc>
        <w:tc>
          <w:tcPr>
            <w:tcW w:w="562" w:type="pct"/>
            <w:vAlign w:val="center"/>
          </w:tcPr>
          <w:p w14:paraId="2610F44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0.0038 </w:t>
            </w:r>
          </w:p>
        </w:tc>
        <w:tc>
          <w:tcPr>
            <w:tcW w:w="531" w:type="pct"/>
            <w:vAlign w:val="center"/>
          </w:tcPr>
          <w:p w14:paraId="737876D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0.0305 </w:t>
            </w:r>
          </w:p>
        </w:tc>
      </w:tr>
      <w:tr w14:paraId="305E3E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3895DCD4">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68458A4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12" w:type="pct"/>
            <w:vAlign w:val="center"/>
          </w:tcPr>
          <w:p w14:paraId="4ED5C64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626" w:type="pct"/>
            <w:vAlign w:val="center"/>
          </w:tcPr>
          <w:p w14:paraId="7A23F2B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158</w:t>
            </w:r>
          </w:p>
        </w:tc>
        <w:tc>
          <w:tcPr>
            <w:tcW w:w="562" w:type="pct"/>
            <w:vAlign w:val="center"/>
          </w:tcPr>
          <w:p w14:paraId="5022884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0.0142 </w:t>
            </w:r>
          </w:p>
        </w:tc>
        <w:tc>
          <w:tcPr>
            <w:tcW w:w="531" w:type="pct"/>
            <w:vAlign w:val="center"/>
          </w:tcPr>
          <w:p w14:paraId="57D20D8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0.1138 </w:t>
            </w:r>
          </w:p>
        </w:tc>
      </w:tr>
      <w:tr w14:paraId="18330E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2A908666">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0580BEF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912" w:type="pct"/>
            <w:vAlign w:val="center"/>
          </w:tcPr>
          <w:p w14:paraId="372BB1C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626" w:type="pct"/>
            <w:vAlign w:val="center"/>
          </w:tcPr>
          <w:p w14:paraId="224FC5C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337</w:t>
            </w:r>
          </w:p>
        </w:tc>
        <w:tc>
          <w:tcPr>
            <w:tcW w:w="562" w:type="pct"/>
            <w:vAlign w:val="center"/>
          </w:tcPr>
          <w:p w14:paraId="6964579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0.0364 </w:t>
            </w:r>
          </w:p>
        </w:tc>
        <w:tc>
          <w:tcPr>
            <w:tcW w:w="531" w:type="pct"/>
            <w:vAlign w:val="center"/>
          </w:tcPr>
          <w:p w14:paraId="4981EB7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0.2912 </w:t>
            </w:r>
          </w:p>
        </w:tc>
      </w:tr>
      <w:tr w14:paraId="355785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79BB19B1">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19D58A9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912" w:type="pct"/>
            <w:vAlign w:val="center"/>
          </w:tcPr>
          <w:p w14:paraId="3031D2D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626" w:type="pct"/>
            <w:vAlign w:val="center"/>
          </w:tcPr>
          <w:p w14:paraId="027246B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1856</w:t>
            </w:r>
          </w:p>
        </w:tc>
        <w:tc>
          <w:tcPr>
            <w:tcW w:w="562" w:type="pct"/>
            <w:vAlign w:val="center"/>
          </w:tcPr>
          <w:p w14:paraId="7510A92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0.2450 </w:t>
            </w:r>
          </w:p>
        </w:tc>
        <w:tc>
          <w:tcPr>
            <w:tcW w:w="531" w:type="pct"/>
            <w:vAlign w:val="center"/>
          </w:tcPr>
          <w:p w14:paraId="1B3758D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1.9599 </w:t>
            </w:r>
          </w:p>
        </w:tc>
      </w:tr>
      <w:tr w14:paraId="003B36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79970002">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30E83BD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12" w:type="pct"/>
            <w:vAlign w:val="center"/>
          </w:tcPr>
          <w:p w14:paraId="584CB5B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626" w:type="pct"/>
            <w:vAlign w:val="center"/>
          </w:tcPr>
          <w:p w14:paraId="11E33A8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75</w:t>
            </w:r>
          </w:p>
        </w:tc>
        <w:tc>
          <w:tcPr>
            <w:tcW w:w="562" w:type="pct"/>
            <w:vAlign w:val="center"/>
          </w:tcPr>
          <w:p w14:paraId="5549A7E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0.0315 </w:t>
            </w:r>
          </w:p>
        </w:tc>
        <w:tc>
          <w:tcPr>
            <w:tcW w:w="531" w:type="pct"/>
            <w:vAlign w:val="center"/>
          </w:tcPr>
          <w:p w14:paraId="05BB5F1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0.2520 </w:t>
            </w:r>
          </w:p>
        </w:tc>
      </w:tr>
      <w:tr w14:paraId="1CE249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7A950B2D">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42DAAC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912" w:type="pct"/>
            <w:vAlign w:val="center"/>
          </w:tcPr>
          <w:p w14:paraId="5A1D079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626" w:type="pct"/>
            <w:vAlign w:val="center"/>
          </w:tcPr>
          <w:p w14:paraId="26B8C55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33</w:t>
            </w:r>
          </w:p>
        </w:tc>
        <w:tc>
          <w:tcPr>
            <w:tcW w:w="562" w:type="pct"/>
            <w:vAlign w:val="center"/>
          </w:tcPr>
          <w:p w14:paraId="19771E6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0.0072 </w:t>
            </w:r>
          </w:p>
        </w:tc>
        <w:tc>
          <w:tcPr>
            <w:tcW w:w="531" w:type="pct"/>
            <w:vAlign w:val="center"/>
          </w:tcPr>
          <w:p w14:paraId="09D71F8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0.0578 </w:t>
            </w:r>
          </w:p>
        </w:tc>
      </w:tr>
      <w:tr w14:paraId="7552EE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3039E90D">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38AE722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12" w:type="pct"/>
            <w:vAlign w:val="center"/>
          </w:tcPr>
          <w:p w14:paraId="175E71F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626" w:type="pct"/>
            <w:vAlign w:val="center"/>
          </w:tcPr>
          <w:p w14:paraId="1D46561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2512</w:t>
            </w:r>
          </w:p>
        </w:tc>
        <w:tc>
          <w:tcPr>
            <w:tcW w:w="562" w:type="pct"/>
            <w:vAlign w:val="center"/>
          </w:tcPr>
          <w:p w14:paraId="2E60750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0.3382 </w:t>
            </w:r>
          </w:p>
        </w:tc>
        <w:tc>
          <w:tcPr>
            <w:tcW w:w="531" w:type="pct"/>
            <w:vAlign w:val="center"/>
          </w:tcPr>
          <w:p w14:paraId="4576B03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2.7052 </w:t>
            </w:r>
          </w:p>
        </w:tc>
      </w:tr>
      <w:tr w14:paraId="57F46E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restart"/>
            <w:vAlign w:val="center"/>
          </w:tcPr>
          <w:p w14:paraId="0997208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甲苯</w:t>
            </w:r>
          </w:p>
          <w:p w14:paraId="05C855A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765" w:type="pct"/>
            <w:vAlign w:val="center"/>
          </w:tcPr>
          <w:p w14:paraId="718BBE3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12" w:type="pct"/>
            <w:vAlign w:val="center"/>
          </w:tcPr>
          <w:p w14:paraId="190E15A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626" w:type="pct"/>
            <w:vAlign w:val="center"/>
          </w:tcPr>
          <w:p w14:paraId="4C62A73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12</w:t>
            </w:r>
          </w:p>
        </w:tc>
        <w:tc>
          <w:tcPr>
            <w:tcW w:w="562" w:type="pct"/>
            <w:vAlign w:val="center"/>
          </w:tcPr>
          <w:p w14:paraId="7FB62EF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0.0009 </w:t>
            </w:r>
          </w:p>
        </w:tc>
        <w:tc>
          <w:tcPr>
            <w:tcW w:w="531" w:type="pct"/>
            <w:vAlign w:val="center"/>
          </w:tcPr>
          <w:p w14:paraId="0B33A95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0.0069 </w:t>
            </w:r>
          </w:p>
        </w:tc>
      </w:tr>
      <w:tr w14:paraId="0D58CE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572F0E2A">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433F3D7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12" w:type="pct"/>
            <w:vAlign w:val="center"/>
          </w:tcPr>
          <w:p w14:paraId="6C26FB9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626" w:type="pct"/>
            <w:vAlign w:val="center"/>
          </w:tcPr>
          <w:p w14:paraId="2E8FA50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22</w:t>
            </w:r>
          </w:p>
        </w:tc>
        <w:tc>
          <w:tcPr>
            <w:tcW w:w="562" w:type="pct"/>
            <w:vAlign w:val="center"/>
          </w:tcPr>
          <w:p w14:paraId="57B9F1A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0.0020 </w:t>
            </w:r>
          </w:p>
        </w:tc>
        <w:tc>
          <w:tcPr>
            <w:tcW w:w="531" w:type="pct"/>
            <w:vAlign w:val="center"/>
          </w:tcPr>
          <w:p w14:paraId="137868C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0.0158 </w:t>
            </w:r>
          </w:p>
        </w:tc>
      </w:tr>
      <w:tr w14:paraId="08CC0F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22E572D6">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5773325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912" w:type="pct"/>
            <w:vAlign w:val="center"/>
          </w:tcPr>
          <w:p w14:paraId="7960039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626" w:type="pct"/>
            <w:vAlign w:val="center"/>
          </w:tcPr>
          <w:p w14:paraId="7376573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90</w:t>
            </w:r>
          </w:p>
        </w:tc>
        <w:tc>
          <w:tcPr>
            <w:tcW w:w="562" w:type="pct"/>
            <w:vAlign w:val="center"/>
          </w:tcPr>
          <w:p w14:paraId="1DFE104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0.0097 </w:t>
            </w:r>
          </w:p>
        </w:tc>
        <w:tc>
          <w:tcPr>
            <w:tcW w:w="531" w:type="pct"/>
            <w:vAlign w:val="center"/>
          </w:tcPr>
          <w:p w14:paraId="36C398D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0.0778 </w:t>
            </w:r>
          </w:p>
        </w:tc>
      </w:tr>
      <w:tr w14:paraId="6F4072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1782654C">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0074DB5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912" w:type="pct"/>
            <w:vAlign w:val="center"/>
          </w:tcPr>
          <w:p w14:paraId="1E0F846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626" w:type="pct"/>
            <w:vAlign w:val="center"/>
          </w:tcPr>
          <w:p w14:paraId="5458320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325</w:t>
            </w:r>
          </w:p>
        </w:tc>
        <w:tc>
          <w:tcPr>
            <w:tcW w:w="562" w:type="pct"/>
            <w:vAlign w:val="center"/>
          </w:tcPr>
          <w:p w14:paraId="5684E3A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0.0429 </w:t>
            </w:r>
          </w:p>
        </w:tc>
        <w:tc>
          <w:tcPr>
            <w:tcW w:w="531" w:type="pct"/>
            <w:vAlign w:val="center"/>
          </w:tcPr>
          <w:p w14:paraId="431DF4A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0.3432 </w:t>
            </w:r>
          </w:p>
        </w:tc>
      </w:tr>
      <w:tr w14:paraId="725003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1674A62A">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141745D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12" w:type="pct"/>
            <w:vAlign w:val="center"/>
          </w:tcPr>
          <w:p w14:paraId="5BDF25D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626" w:type="pct"/>
            <w:vAlign w:val="center"/>
          </w:tcPr>
          <w:p w14:paraId="1ABC8A8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14</w:t>
            </w:r>
          </w:p>
        </w:tc>
        <w:tc>
          <w:tcPr>
            <w:tcW w:w="562" w:type="pct"/>
            <w:vAlign w:val="center"/>
          </w:tcPr>
          <w:p w14:paraId="4E1BC8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0.0059 </w:t>
            </w:r>
          </w:p>
        </w:tc>
        <w:tc>
          <w:tcPr>
            <w:tcW w:w="531" w:type="pct"/>
            <w:vAlign w:val="center"/>
          </w:tcPr>
          <w:p w14:paraId="1AEC323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0.0470 </w:t>
            </w:r>
          </w:p>
        </w:tc>
      </w:tr>
      <w:tr w14:paraId="7F134A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02A93866">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30E557F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912" w:type="pct"/>
            <w:vAlign w:val="center"/>
          </w:tcPr>
          <w:p w14:paraId="696CF12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626" w:type="pct"/>
            <w:vAlign w:val="center"/>
          </w:tcPr>
          <w:p w14:paraId="136B71A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562" w:type="pct"/>
            <w:vAlign w:val="center"/>
          </w:tcPr>
          <w:p w14:paraId="1BF303E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0.0022 </w:t>
            </w:r>
          </w:p>
        </w:tc>
        <w:tc>
          <w:tcPr>
            <w:tcW w:w="531" w:type="pct"/>
            <w:vAlign w:val="center"/>
          </w:tcPr>
          <w:p w14:paraId="54E8B92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0.0175 </w:t>
            </w:r>
          </w:p>
        </w:tc>
      </w:tr>
      <w:tr w14:paraId="49A531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222B96EA">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7D49637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12" w:type="pct"/>
            <w:vAlign w:val="center"/>
          </w:tcPr>
          <w:p w14:paraId="037927D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626" w:type="pct"/>
            <w:vAlign w:val="center"/>
          </w:tcPr>
          <w:p w14:paraId="59F94C4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473</w:t>
            </w:r>
          </w:p>
        </w:tc>
        <w:tc>
          <w:tcPr>
            <w:tcW w:w="562" w:type="pct"/>
            <w:vAlign w:val="center"/>
          </w:tcPr>
          <w:p w14:paraId="4BF000F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0.0635 </w:t>
            </w:r>
          </w:p>
        </w:tc>
        <w:tc>
          <w:tcPr>
            <w:tcW w:w="531" w:type="pct"/>
            <w:vAlign w:val="center"/>
          </w:tcPr>
          <w:p w14:paraId="5162781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0.5083 </w:t>
            </w:r>
          </w:p>
        </w:tc>
      </w:tr>
      <w:tr w14:paraId="447A5C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restart"/>
            <w:vAlign w:val="center"/>
          </w:tcPr>
          <w:p w14:paraId="6157390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DNT</w:t>
            </w:r>
          </w:p>
          <w:p w14:paraId="6A34A18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765" w:type="pct"/>
            <w:vAlign w:val="center"/>
          </w:tcPr>
          <w:p w14:paraId="0026ABC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912" w:type="pct"/>
            <w:vAlign w:val="center"/>
          </w:tcPr>
          <w:p w14:paraId="6698363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626" w:type="pct"/>
            <w:vAlign w:val="center"/>
          </w:tcPr>
          <w:p w14:paraId="786609F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42</w:t>
            </w:r>
          </w:p>
        </w:tc>
        <w:tc>
          <w:tcPr>
            <w:tcW w:w="562" w:type="pct"/>
            <w:vAlign w:val="center"/>
          </w:tcPr>
          <w:p w14:paraId="7D9A4E3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0.0030 </w:t>
            </w:r>
          </w:p>
        </w:tc>
        <w:tc>
          <w:tcPr>
            <w:tcW w:w="531" w:type="pct"/>
            <w:vAlign w:val="center"/>
          </w:tcPr>
          <w:p w14:paraId="23B727B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0.0242 </w:t>
            </w:r>
          </w:p>
        </w:tc>
      </w:tr>
      <w:tr w14:paraId="7C797F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252B86F8">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11E59CC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912" w:type="pct"/>
            <w:vAlign w:val="center"/>
          </w:tcPr>
          <w:p w14:paraId="30BD53F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626" w:type="pct"/>
            <w:vAlign w:val="center"/>
          </w:tcPr>
          <w:p w14:paraId="6A4B0F5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108</w:t>
            </w:r>
          </w:p>
        </w:tc>
        <w:tc>
          <w:tcPr>
            <w:tcW w:w="562" w:type="pct"/>
            <w:vAlign w:val="center"/>
          </w:tcPr>
          <w:p w14:paraId="5C99141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0.0097 </w:t>
            </w:r>
          </w:p>
        </w:tc>
        <w:tc>
          <w:tcPr>
            <w:tcW w:w="531" w:type="pct"/>
            <w:vAlign w:val="center"/>
          </w:tcPr>
          <w:p w14:paraId="77A47DC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0.0778 </w:t>
            </w:r>
          </w:p>
        </w:tc>
      </w:tr>
      <w:tr w14:paraId="02FD7E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5C22ED07">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42EC0AC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912" w:type="pct"/>
            <w:vAlign w:val="center"/>
          </w:tcPr>
          <w:p w14:paraId="7466109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626" w:type="pct"/>
            <w:vAlign w:val="center"/>
          </w:tcPr>
          <w:p w14:paraId="0A984A3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185</w:t>
            </w:r>
          </w:p>
        </w:tc>
        <w:tc>
          <w:tcPr>
            <w:tcW w:w="562" w:type="pct"/>
            <w:vAlign w:val="center"/>
          </w:tcPr>
          <w:p w14:paraId="0F63676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0.0200 </w:t>
            </w:r>
          </w:p>
        </w:tc>
        <w:tc>
          <w:tcPr>
            <w:tcW w:w="531" w:type="pct"/>
            <w:vAlign w:val="center"/>
          </w:tcPr>
          <w:p w14:paraId="7382FBA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0.1598 </w:t>
            </w:r>
          </w:p>
        </w:tc>
      </w:tr>
      <w:tr w14:paraId="1258B7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51E70092">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260DC20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912" w:type="pct"/>
            <w:vAlign w:val="center"/>
          </w:tcPr>
          <w:p w14:paraId="78D8462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626" w:type="pct"/>
            <w:vAlign w:val="center"/>
          </w:tcPr>
          <w:p w14:paraId="1C07287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580</w:t>
            </w:r>
          </w:p>
        </w:tc>
        <w:tc>
          <w:tcPr>
            <w:tcW w:w="562" w:type="pct"/>
            <w:vAlign w:val="center"/>
          </w:tcPr>
          <w:p w14:paraId="59A769C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0.0766 </w:t>
            </w:r>
          </w:p>
        </w:tc>
        <w:tc>
          <w:tcPr>
            <w:tcW w:w="531" w:type="pct"/>
            <w:vAlign w:val="center"/>
          </w:tcPr>
          <w:p w14:paraId="0691619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0.6125 </w:t>
            </w:r>
          </w:p>
        </w:tc>
      </w:tr>
      <w:tr w14:paraId="3F7A20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7087F35E">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2A90635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912" w:type="pct"/>
            <w:vAlign w:val="center"/>
          </w:tcPr>
          <w:p w14:paraId="00400D1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626" w:type="pct"/>
            <w:vAlign w:val="center"/>
          </w:tcPr>
          <w:p w14:paraId="344341A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37</w:t>
            </w:r>
          </w:p>
        </w:tc>
        <w:tc>
          <w:tcPr>
            <w:tcW w:w="562" w:type="pct"/>
            <w:vAlign w:val="center"/>
          </w:tcPr>
          <w:p w14:paraId="133AD87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0.0155 </w:t>
            </w:r>
          </w:p>
        </w:tc>
        <w:tc>
          <w:tcPr>
            <w:tcW w:w="531" w:type="pct"/>
            <w:vAlign w:val="center"/>
          </w:tcPr>
          <w:p w14:paraId="538F674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0.1243 </w:t>
            </w:r>
          </w:p>
        </w:tc>
      </w:tr>
      <w:tr w14:paraId="1648CF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4B39004E">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64CD8CB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912" w:type="pct"/>
            <w:vAlign w:val="center"/>
          </w:tcPr>
          <w:p w14:paraId="3C9C6D9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626" w:type="pct"/>
            <w:vAlign w:val="center"/>
          </w:tcPr>
          <w:p w14:paraId="5826537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23</w:t>
            </w:r>
          </w:p>
        </w:tc>
        <w:tc>
          <w:tcPr>
            <w:tcW w:w="562" w:type="pct"/>
            <w:vAlign w:val="center"/>
          </w:tcPr>
          <w:p w14:paraId="515DBD5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0.0050 </w:t>
            </w:r>
          </w:p>
        </w:tc>
        <w:tc>
          <w:tcPr>
            <w:tcW w:w="531" w:type="pct"/>
            <w:vAlign w:val="center"/>
          </w:tcPr>
          <w:p w14:paraId="1436D2F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0.0403 </w:t>
            </w:r>
          </w:p>
        </w:tc>
      </w:tr>
      <w:tr w14:paraId="1414D3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01" w:type="pct"/>
            <w:vMerge w:val="continue"/>
            <w:vAlign w:val="center"/>
          </w:tcPr>
          <w:p w14:paraId="024C9BE5">
            <w:pPr>
              <w:pStyle w:val="92"/>
              <w:rPr>
                <w:rFonts w:hint="default" w:ascii="Times New Roman" w:hAnsi="Times New Roman" w:cs="Times New Roman"/>
                <w:color w:val="auto"/>
                <w:sz w:val="21"/>
                <w:szCs w:val="21"/>
                <w:highlight w:val="none"/>
                <w:u w:val="none"/>
                <w:lang w:eastAsia="en-US"/>
              </w:rPr>
            </w:pPr>
          </w:p>
        </w:tc>
        <w:tc>
          <w:tcPr>
            <w:tcW w:w="1765" w:type="pct"/>
            <w:vAlign w:val="center"/>
          </w:tcPr>
          <w:p w14:paraId="50055D7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912" w:type="pct"/>
            <w:vAlign w:val="center"/>
          </w:tcPr>
          <w:p w14:paraId="78E027D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626" w:type="pct"/>
            <w:vAlign w:val="center"/>
          </w:tcPr>
          <w:p w14:paraId="4A65C3D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975</w:t>
            </w:r>
          </w:p>
        </w:tc>
        <w:tc>
          <w:tcPr>
            <w:tcW w:w="562" w:type="pct"/>
            <w:vAlign w:val="center"/>
          </w:tcPr>
          <w:p w14:paraId="3D15F8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0.1299 </w:t>
            </w:r>
          </w:p>
        </w:tc>
        <w:tc>
          <w:tcPr>
            <w:tcW w:w="531" w:type="pct"/>
            <w:vAlign w:val="center"/>
          </w:tcPr>
          <w:p w14:paraId="0EF97BF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1.0389 </w:t>
            </w:r>
          </w:p>
        </w:tc>
      </w:tr>
    </w:tbl>
    <w:p w14:paraId="7DF70EA9">
      <w:pPr>
        <w:pStyle w:val="85"/>
        <w:rPr>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w:t>
      </w:r>
      <w:r>
        <w:rPr>
          <w:color w:val="auto"/>
          <w:highlight w:val="none"/>
          <w:u w:val="none"/>
        </w:rPr>
        <w:fldChar w:fldCharType="end"/>
      </w:r>
      <w:r>
        <w:rPr>
          <w:color w:val="auto"/>
          <w:highlight w:val="none"/>
          <w:u w:val="none"/>
        </w:rPr>
        <w:t xml:space="preserve">  </w:t>
      </w:r>
      <w:r>
        <w:rPr>
          <w:rFonts w:hint="eastAsia"/>
          <w:color w:val="auto"/>
          <w:highlight w:val="none"/>
          <w:u w:val="none"/>
        </w:rPr>
        <w:t>氢化单元设备动静密封点泄漏</w:t>
      </w:r>
      <w:r>
        <w:rPr>
          <w:color w:val="auto"/>
          <w:highlight w:val="none"/>
          <w:u w:val="none"/>
        </w:rPr>
        <w:t xml:space="preserve"> VOCs 排放估算一览表</w:t>
      </w:r>
    </w:p>
    <w:tbl>
      <w:tblPr>
        <w:tblStyle w:val="799"/>
        <w:tblW w:w="501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703"/>
        <w:gridCol w:w="3372"/>
        <w:gridCol w:w="1841"/>
        <w:gridCol w:w="734"/>
        <w:gridCol w:w="734"/>
        <w:gridCol w:w="745"/>
      </w:tblGrid>
      <w:tr w14:paraId="32CF58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restart"/>
            <w:vAlign w:val="center"/>
          </w:tcPr>
          <w:p w14:paraId="09FA600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污染因子</w:t>
            </w:r>
          </w:p>
        </w:tc>
        <w:tc>
          <w:tcPr>
            <w:tcW w:w="1846" w:type="pct"/>
            <w:vMerge w:val="restart"/>
            <w:vAlign w:val="center"/>
          </w:tcPr>
          <w:p w14:paraId="6541F4E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设备名称</w:t>
            </w:r>
          </w:p>
        </w:tc>
        <w:tc>
          <w:tcPr>
            <w:tcW w:w="1008" w:type="pct"/>
            <w:vMerge w:val="restart"/>
            <w:vAlign w:val="center"/>
          </w:tcPr>
          <w:p w14:paraId="2E5C58DF">
            <w:pPr>
              <w:spacing w:line="240" w:lineRule="auto"/>
              <w:ind w:firstLine="0" w:firstLineChars="0"/>
              <w:rPr>
                <w:rFonts w:hint="default" w:ascii="Times New Roman" w:hAnsi="Times New Roman" w:cs="Times New Roman"/>
                <w:color w:val="auto"/>
                <w:sz w:val="21"/>
                <w:szCs w:val="21"/>
                <w:highlight w:val="none"/>
                <w:u w:val="none"/>
                <w:lang w:val="en-US" w:eastAsia="en-US"/>
              </w:rPr>
            </w:pPr>
            <w:r>
              <w:rPr>
                <w:rFonts w:hint="default" w:ascii="Times New Roman" w:hAnsi="Times New Roman" w:cs="Times New Roman"/>
                <w:color w:val="auto"/>
                <w:sz w:val="21"/>
                <w:szCs w:val="21"/>
                <w:highlight w:val="none"/>
                <w:u w:val="none"/>
                <w:lang w:eastAsia="en-US"/>
              </w:rPr>
              <w:t>排放速率</w:t>
            </w:r>
            <w:r>
              <w:rPr>
                <w:rFonts w:hint="default" w:ascii="Times New Roman" w:hAnsi="Times New Roman" w:cs="Times New Roman"/>
                <w:color w:val="auto"/>
                <w:sz w:val="21"/>
                <w:szCs w:val="21"/>
                <w:highlight w:val="none"/>
                <w:u w:val="none"/>
                <w:lang w:val="en-US" w:eastAsia="en-US"/>
              </w:rPr>
              <w:t>e</w:t>
            </w:r>
            <w:r>
              <w:rPr>
                <w:rFonts w:hint="default" w:ascii="Times New Roman" w:hAnsi="Times New Roman" w:cs="Times New Roman"/>
                <w:color w:val="auto"/>
                <w:sz w:val="21"/>
                <w:szCs w:val="21"/>
                <w:highlight w:val="none"/>
                <w:u w:val="none"/>
                <w:vertAlign w:val="subscript"/>
                <w:lang w:val="en-US" w:eastAsia="en-US"/>
              </w:rPr>
              <w:t>TOC,i</w:t>
            </w:r>
            <w:r>
              <w:rPr>
                <w:rFonts w:hint="default" w:ascii="Times New Roman" w:hAnsi="Times New Roman" w:cs="Times New Roman"/>
                <w:color w:val="auto"/>
                <w:sz w:val="21"/>
                <w:szCs w:val="21"/>
                <w:highlight w:val="none"/>
                <w:u w:val="none"/>
                <w:lang w:val="en-US" w:eastAsia="en-US"/>
              </w:rPr>
              <w:t>/</w:t>
            </w:r>
          </w:p>
          <w:p w14:paraId="27CA238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（kg/h/排放源）</w:t>
            </w:r>
          </w:p>
        </w:tc>
        <w:tc>
          <w:tcPr>
            <w:tcW w:w="402" w:type="pct"/>
            <w:vMerge w:val="restart"/>
            <w:vAlign w:val="center"/>
          </w:tcPr>
          <w:p w14:paraId="10C1B49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数量</w:t>
            </w:r>
          </w:p>
          <w:p w14:paraId="723976F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（个）</w:t>
            </w:r>
          </w:p>
        </w:tc>
        <w:tc>
          <w:tcPr>
            <w:tcW w:w="809" w:type="pct"/>
            <w:gridSpan w:val="2"/>
            <w:tcBorders>
              <w:bottom w:val="single" w:color="auto" w:sz="4" w:space="0"/>
            </w:tcBorders>
            <w:vAlign w:val="center"/>
          </w:tcPr>
          <w:p w14:paraId="2196D75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VOCs排放量</w:t>
            </w:r>
          </w:p>
        </w:tc>
      </w:tr>
      <w:tr w14:paraId="4395A9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5773CC30">
            <w:pPr>
              <w:pStyle w:val="92"/>
              <w:rPr>
                <w:rFonts w:hint="default" w:ascii="Times New Roman" w:hAnsi="Times New Roman" w:cs="Times New Roman"/>
                <w:color w:val="auto"/>
                <w:sz w:val="21"/>
                <w:szCs w:val="21"/>
                <w:highlight w:val="none"/>
                <w:u w:val="none"/>
                <w:lang w:eastAsia="en-US"/>
              </w:rPr>
            </w:pPr>
          </w:p>
        </w:tc>
        <w:tc>
          <w:tcPr>
            <w:tcW w:w="1846" w:type="pct"/>
            <w:vMerge w:val="continue"/>
            <w:vAlign w:val="center"/>
          </w:tcPr>
          <w:p w14:paraId="106D391D">
            <w:pPr>
              <w:pStyle w:val="92"/>
              <w:rPr>
                <w:rFonts w:hint="default" w:ascii="Times New Roman" w:hAnsi="Times New Roman" w:cs="Times New Roman"/>
                <w:color w:val="auto"/>
                <w:sz w:val="21"/>
                <w:szCs w:val="21"/>
                <w:highlight w:val="none"/>
                <w:u w:val="none"/>
                <w:lang w:eastAsia="en-US"/>
              </w:rPr>
            </w:pPr>
          </w:p>
        </w:tc>
        <w:tc>
          <w:tcPr>
            <w:tcW w:w="1008" w:type="pct"/>
            <w:vMerge w:val="continue"/>
            <w:vAlign w:val="center"/>
          </w:tcPr>
          <w:p w14:paraId="4934C1AF">
            <w:pPr>
              <w:spacing w:line="240" w:lineRule="auto"/>
              <w:ind w:firstLine="0" w:firstLineChars="0"/>
              <w:rPr>
                <w:rFonts w:hint="default" w:ascii="Times New Roman" w:hAnsi="Times New Roman" w:cs="Times New Roman"/>
                <w:color w:val="auto"/>
                <w:sz w:val="21"/>
                <w:szCs w:val="21"/>
                <w:highlight w:val="none"/>
                <w:u w:val="none"/>
                <w:lang w:eastAsia="en-US"/>
              </w:rPr>
            </w:pPr>
          </w:p>
        </w:tc>
        <w:tc>
          <w:tcPr>
            <w:tcW w:w="402" w:type="pct"/>
            <w:vMerge w:val="continue"/>
            <w:vAlign w:val="center"/>
          </w:tcPr>
          <w:p w14:paraId="07F7409A">
            <w:pPr>
              <w:pStyle w:val="92"/>
              <w:rPr>
                <w:rFonts w:hint="default" w:ascii="Times New Roman" w:hAnsi="Times New Roman" w:cs="Times New Roman"/>
                <w:color w:val="auto"/>
                <w:sz w:val="21"/>
                <w:szCs w:val="21"/>
                <w:highlight w:val="none"/>
                <w:u w:val="none"/>
                <w:lang w:eastAsia="en-US"/>
              </w:rPr>
            </w:pPr>
          </w:p>
        </w:tc>
        <w:tc>
          <w:tcPr>
            <w:tcW w:w="402" w:type="pct"/>
            <w:tcBorders>
              <w:top w:val="single" w:color="auto" w:sz="4" w:space="0"/>
            </w:tcBorders>
            <w:vAlign w:val="center"/>
          </w:tcPr>
          <w:p w14:paraId="3376083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w:t>
            </w:r>
          </w:p>
        </w:tc>
        <w:tc>
          <w:tcPr>
            <w:tcW w:w="407" w:type="pct"/>
            <w:tcBorders>
              <w:top w:val="single" w:color="auto" w:sz="4" w:space="0"/>
            </w:tcBorders>
            <w:vAlign w:val="center"/>
          </w:tcPr>
          <w:p w14:paraId="52272A7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t/a</w:t>
            </w:r>
          </w:p>
        </w:tc>
      </w:tr>
      <w:tr w14:paraId="5C3DDD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restart"/>
            <w:vAlign w:val="center"/>
          </w:tcPr>
          <w:p w14:paraId="5F9332F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w:t>
            </w:r>
          </w:p>
        </w:tc>
        <w:tc>
          <w:tcPr>
            <w:tcW w:w="1846" w:type="pct"/>
            <w:vAlign w:val="center"/>
          </w:tcPr>
          <w:p w14:paraId="2D1612E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1008" w:type="pct"/>
            <w:vAlign w:val="center"/>
          </w:tcPr>
          <w:p w14:paraId="42E103F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402" w:type="pct"/>
            <w:vAlign w:val="center"/>
          </w:tcPr>
          <w:p w14:paraId="4D61C37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480</w:t>
            </w:r>
          </w:p>
        </w:tc>
        <w:tc>
          <w:tcPr>
            <w:tcW w:w="402" w:type="pct"/>
            <w:vAlign w:val="center"/>
          </w:tcPr>
          <w:p w14:paraId="3A958B6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0.0346 </w:t>
            </w:r>
          </w:p>
        </w:tc>
        <w:tc>
          <w:tcPr>
            <w:tcW w:w="407" w:type="pct"/>
            <w:vAlign w:val="center"/>
          </w:tcPr>
          <w:p w14:paraId="16126F2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0.2768</w:t>
            </w:r>
          </w:p>
        </w:tc>
      </w:tr>
      <w:tr w14:paraId="1215E0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4C6CAD33">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003D687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1008" w:type="pct"/>
            <w:vAlign w:val="center"/>
          </w:tcPr>
          <w:p w14:paraId="4EDCE55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402" w:type="pct"/>
            <w:vAlign w:val="center"/>
          </w:tcPr>
          <w:p w14:paraId="0B56DAC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453</w:t>
            </w:r>
          </w:p>
        </w:tc>
        <w:tc>
          <w:tcPr>
            <w:tcW w:w="402" w:type="pct"/>
            <w:vAlign w:val="center"/>
          </w:tcPr>
          <w:p w14:paraId="1E12DD0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0.0408 </w:t>
            </w:r>
          </w:p>
        </w:tc>
        <w:tc>
          <w:tcPr>
            <w:tcW w:w="407" w:type="pct"/>
            <w:vAlign w:val="center"/>
          </w:tcPr>
          <w:p w14:paraId="54B72BB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0.3264</w:t>
            </w:r>
          </w:p>
        </w:tc>
      </w:tr>
      <w:tr w14:paraId="49DA88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6C5A3A92">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5C85E36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1008" w:type="pct"/>
            <w:vAlign w:val="center"/>
          </w:tcPr>
          <w:p w14:paraId="1772DE7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402" w:type="pct"/>
            <w:vAlign w:val="center"/>
          </w:tcPr>
          <w:p w14:paraId="2CCE07A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2070</w:t>
            </w:r>
          </w:p>
        </w:tc>
        <w:tc>
          <w:tcPr>
            <w:tcW w:w="402" w:type="pct"/>
            <w:vAlign w:val="center"/>
          </w:tcPr>
          <w:p w14:paraId="7707510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0.2236 </w:t>
            </w:r>
          </w:p>
        </w:tc>
        <w:tc>
          <w:tcPr>
            <w:tcW w:w="407" w:type="pct"/>
            <w:vAlign w:val="center"/>
          </w:tcPr>
          <w:p w14:paraId="6EBC537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1.7888</w:t>
            </w:r>
          </w:p>
        </w:tc>
      </w:tr>
      <w:tr w14:paraId="6AA5DB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5FA5C8C8">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76149C9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1008" w:type="pct"/>
            <w:vAlign w:val="center"/>
          </w:tcPr>
          <w:p w14:paraId="0FC810F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402" w:type="pct"/>
            <w:vAlign w:val="center"/>
          </w:tcPr>
          <w:p w14:paraId="093FB1E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6060</w:t>
            </w:r>
          </w:p>
        </w:tc>
        <w:tc>
          <w:tcPr>
            <w:tcW w:w="402" w:type="pct"/>
            <w:vAlign w:val="center"/>
          </w:tcPr>
          <w:p w14:paraId="6B99443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0.7999 </w:t>
            </w:r>
          </w:p>
        </w:tc>
        <w:tc>
          <w:tcPr>
            <w:tcW w:w="407" w:type="pct"/>
            <w:vAlign w:val="center"/>
          </w:tcPr>
          <w:p w14:paraId="71DA9C2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6.3992</w:t>
            </w:r>
          </w:p>
        </w:tc>
      </w:tr>
      <w:tr w14:paraId="3B3E37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77DA6C3D">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11774F8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1008" w:type="pct"/>
            <w:vAlign w:val="center"/>
          </w:tcPr>
          <w:p w14:paraId="2931DEB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402" w:type="pct"/>
            <w:vAlign w:val="center"/>
          </w:tcPr>
          <w:p w14:paraId="79398D3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101</w:t>
            </w:r>
          </w:p>
        </w:tc>
        <w:tc>
          <w:tcPr>
            <w:tcW w:w="402" w:type="pct"/>
            <w:vAlign w:val="center"/>
          </w:tcPr>
          <w:p w14:paraId="2FEC1B9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0.0424 </w:t>
            </w:r>
          </w:p>
        </w:tc>
        <w:tc>
          <w:tcPr>
            <w:tcW w:w="407" w:type="pct"/>
            <w:vAlign w:val="center"/>
          </w:tcPr>
          <w:p w14:paraId="0FEABC1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0.3392</w:t>
            </w:r>
          </w:p>
        </w:tc>
      </w:tr>
      <w:tr w14:paraId="463BBF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5CEE0E47">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33A69CD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1008" w:type="pct"/>
            <w:vAlign w:val="center"/>
          </w:tcPr>
          <w:p w14:paraId="19DC0F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402" w:type="pct"/>
            <w:vAlign w:val="center"/>
          </w:tcPr>
          <w:p w14:paraId="2A4FF19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2" w:type="pct"/>
            <w:vAlign w:val="center"/>
          </w:tcPr>
          <w:p w14:paraId="57F536B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7" w:type="pct"/>
            <w:vAlign w:val="center"/>
          </w:tcPr>
          <w:p w14:paraId="75407E5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r>
      <w:tr w14:paraId="303499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7D2D6623">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51B43D1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1008" w:type="pct"/>
            <w:vAlign w:val="center"/>
          </w:tcPr>
          <w:p w14:paraId="0A99205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2" w:type="pct"/>
            <w:vAlign w:val="center"/>
          </w:tcPr>
          <w:p w14:paraId="2F7A297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9164</w:t>
            </w:r>
          </w:p>
        </w:tc>
        <w:tc>
          <w:tcPr>
            <w:tcW w:w="402" w:type="pct"/>
            <w:vAlign w:val="center"/>
          </w:tcPr>
          <w:p w14:paraId="7C95396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1.1412 </w:t>
            </w:r>
          </w:p>
        </w:tc>
        <w:tc>
          <w:tcPr>
            <w:tcW w:w="407" w:type="pct"/>
            <w:vAlign w:val="center"/>
          </w:tcPr>
          <w:p w14:paraId="03C824B3">
            <w:pPr>
              <w:pStyle w:val="92"/>
              <w:rPr>
                <w:rFonts w:hint="default" w:ascii="Times New Roman" w:hAnsi="Times New Roman" w:cs="Times New Roman"/>
                <w:color w:val="auto"/>
                <w:sz w:val="21"/>
                <w:szCs w:val="21"/>
                <w:highlight w:val="none"/>
                <w:u w:val="none"/>
                <w:lang w:val="zh-CN" w:eastAsia="en-US"/>
              </w:rPr>
            </w:pPr>
            <w:r>
              <w:rPr>
                <w:rFonts w:hint="default" w:ascii="Times New Roman" w:hAnsi="Times New Roman" w:cs="Times New Roman"/>
                <w:color w:val="auto"/>
                <w:sz w:val="21"/>
                <w:szCs w:val="21"/>
                <w:highlight w:val="none"/>
                <w:u w:val="none"/>
                <w:lang w:eastAsia="en-US"/>
              </w:rPr>
              <w:t>9.1304</w:t>
            </w:r>
          </w:p>
        </w:tc>
      </w:tr>
      <w:tr w14:paraId="408E85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restart"/>
            <w:vAlign w:val="center"/>
          </w:tcPr>
          <w:p w14:paraId="6CEA1A9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TDA</w:t>
            </w:r>
          </w:p>
          <w:p w14:paraId="6C0B7AE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46" w:type="pct"/>
            <w:vAlign w:val="center"/>
          </w:tcPr>
          <w:p w14:paraId="0F7704F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1008" w:type="pct"/>
            <w:vAlign w:val="center"/>
          </w:tcPr>
          <w:p w14:paraId="6405C30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402" w:type="pct"/>
            <w:vAlign w:val="center"/>
          </w:tcPr>
          <w:p w14:paraId="4C18D5B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280</w:t>
            </w:r>
          </w:p>
        </w:tc>
        <w:tc>
          <w:tcPr>
            <w:tcW w:w="402" w:type="pct"/>
            <w:vAlign w:val="center"/>
          </w:tcPr>
          <w:p w14:paraId="6FCAA67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0.0202 </w:t>
            </w:r>
          </w:p>
        </w:tc>
        <w:tc>
          <w:tcPr>
            <w:tcW w:w="741" w:type="dxa"/>
            <w:vAlign w:val="center"/>
          </w:tcPr>
          <w:p w14:paraId="4C6101C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0.1616</w:t>
            </w:r>
          </w:p>
        </w:tc>
      </w:tr>
      <w:tr w14:paraId="0ACF03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369958DC">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33F2CD8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1008" w:type="pct"/>
            <w:vAlign w:val="center"/>
          </w:tcPr>
          <w:p w14:paraId="04C2C90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402" w:type="pct"/>
            <w:vAlign w:val="center"/>
          </w:tcPr>
          <w:p w14:paraId="3FA79C8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403</w:t>
            </w:r>
          </w:p>
        </w:tc>
        <w:tc>
          <w:tcPr>
            <w:tcW w:w="402" w:type="pct"/>
            <w:vAlign w:val="center"/>
          </w:tcPr>
          <w:p w14:paraId="1C2C2E8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0.0363 </w:t>
            </w:r>
          </w:p>
        </w:tc>
        <w:tc>
          <w:tcPr>
            <w:tcW w:w="741" w:type="dxa"/>
            <w:vAlign w:val="center"/>
          </w:tcPr>
          <w:p w14:paraId="66028C5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0.2904</w:t>
            </w:r>
          </w:p>
        </w:tc>
      </w:tr>
      <w:tr w14:paraId="37E1C6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42D3B403">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4EADAD8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1008" w:type="pct"/>
            <w:vAlign w:val="center"/>
          </w:tcPr>
          <w:p w14:paraId="77E811F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402" w:type="pct"/>
            <w:vAlign w:val="center"/>
          </w:tcPr>
          <w:p w14:paraId="1D0590A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1011</w:t>
            </w:r>
          </w:p>
        </w:tc>
        <w:tc>
          <w:tcPr>
            <w:tcW w:w="402" w:type="pct"/>
            <w:vAlign w:val="center"/>
          </w:tcPr>
          <w:p w14:paraId="798B871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0.1092 </w:t>
            </w:r>
          </w:p>
        </w:tc>
        <w:tc>
          <w:tcPr>
            <w:tcW w:w="741" w:type="dxa"/>
            <w:vAlign w:val="center"/>
          </w:tcPr>
          <w:p w14:paraId="78CBA76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0.8736</w:t>
            </w:r>
          </w:p>
        </w:tc>
      </w:tr>
      <w:tr w14:paraId="7C8226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6B90A85A">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2797710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1008" w:type="pct"/>
            <w:vAlign w:val="center"/>
          </w:tcPr>
          <w:p w14:paraId="77D87FA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402" w:type="pct"/>
            <w:vAlign w:val="center"/>
          </w:tcPr>
          <w:p w14:paraId="47A5D62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3040</w:t>
            </w:r>
          </w:p>
        </w:tc>
        <w:tc>
          <w:tcPr>
            <w:tcW w:w="402" w:type="pct"/>
            <w:vAlign w:val="center"/>
          </w:tcPr>
          <w:p w14:paraId="4016524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0.4013 </w:t>
            </w:r>
          </w:p>
        </w:tc>
        <w:tc>
          <w:tcPr>
            <w:tcW w:w="741" w:type="dxa"/>
            <w:vAlign w:val="center"/>
          </w:tcPr>
          <w:p w14:paraId="335FC7D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3.2104</w:t>
            </w:r>
          </w:p>
        </w:tc>
      </w:tr>
      <w:tr w14:paraId="023601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28021FFF">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74923CB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1008" w:type="pct"/>
            <w:vAlign w:val="center"/>
          </w:tcPr>
          <w:p w14:paraId="292F684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402" w:type="pct"/>
            <w:vAlign w:val="center"/>
          </w:tcPr>
          <w:p w14:paraId="1AC16B0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81</w:t>
            </w:r>
          </w:p>
        </w:tc>
        <w:tc>
          <w:tcPr>
            <w:tcW w:w="402" w:type="pct"/>
            <w:vAlign w:val="center"/>
          </w:tcPr>
          <w:p w14:paraId="0934AF1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0.0340 </w:t>
            </w:r>
          </w:p>
        </w:tc>
        <w:tc>
          <w:tcPr>
            <w:tcW w:w="741" w:type="dxa"/>
            <w:vAlign w:val="center"/>
          </w:tcPr>
          <w:p w14:paraId="452D9EE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0.272</w:t>
            </w:r>
          </w:p>
        </w:tc>
      </w:tr>
      <w:tr w14:paraId="1CC141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6CEFCEF1">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46E2D99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1008" w:type="pct"/>
            <w:vAlign w:val="center"/>
          </w:tcPr>
          <w:p w14:paraId="07C2E90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402" w:type="pct"/>
            <w:vAlign w:val="center"/>
          </w:tcPr>
          <w:p w14:paraId="5B7168B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2" w:type="pct"/>
            <w:vAlign w:val="center"/>
          </w:tcPr>
          <w:p w14:paraId="28CBD5E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7" w:type="pct"/>
            <w:vAlign w:val="center"/>
          </w:tcPr>
          <w:p w14:paraId="2EDAD8F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r>
      <w:tr w14:paraId="6E12D5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32" w:type="pct"/>
            <w:vMerge w:val="continue"/>
            <w:vAlign w:val="center"/>
          </w:tcPr>
          <w:p w14:paraId="3D0D2F5F">
            <w:pPr>
              <w:pStyle w:val="92"/>
              <w:rPr>
                <w:rFonts w:hint="default" w:ascii="Times New Roman" w:hAnsi="Times New Roman" w:cs="Times New Roman"/>
                <w:color w:val="auto"/>
                <w:sz w:val="21"/>
                <w:szCs w:val="21"/>
                <w:highlight w:val="none"/>
                <w:u w:val="none"/>
                <w:lang w:eastAsia="en-US"/>
              </w:rPr>
            </w:pPr>
          </w:p>
        </w:tc>
        <w:tc>
          <w:tcPr>
            <w:tcW w:w="1846" w:type="pct"/>
            <w:vAlign w:val="center"/>
          </w:tcPr>
          <w:p w14:paraId="3DDF2CA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1008" w:type="pct"/>
            <w:vAlign w:val="center"/>
          </w:tcPr>
          <w:p w14:paraId="35C0ADA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402" w:type="pct"/>
            <w:vAlign w:val="center"/>
          </w:tcPr>
          <w:p w14:paraId="3BD3A9B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4815</w:t>
            </w:r>
          </w:p>
        </w:tc>
        <w:tc>
          <w:tcPr>
            <w:tcW w:w="402" w:type="pct"/>
            <w:vAlign w:val="center"/>
          </w:tcPr>
          <w:p w14:paraId="4223234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0.6009 </w:t>
            </w:r>
          </w:p>
        </w:tc>
        <w:tc>
          <w:tcPr>
            <w:tcW w:w="407" w:type="pct"/>
            <w:vAlign w:val="center"/>
          </w:tcPr>
          <w:p w14:paraId="590D4B6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4.808</w:t>
            </w:r>
          </w:p>
        </w:tc>
      </w:tr>
    </w:tbl>
    <w:p w14:paraId="638A38D4">
      <w:pPr>
        <w:pStyle w:val="85"/>
        <w:rPr>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6</w:t>
      </w:r>
      <w:r>
        <w:rPr>
          <w:color w:val="auto"/>
          <w:highlight w:val="none"/>
          <w:u w:val="none"/>
        </w:rPr>
        <w:fldChar w:fldCharType="end"/>
      </w:r>
      <w:r>
        <w:rPr>
          <w:color w:val="auto"/>
          <w:highlight w:val="none"/>
          <w:u w:val="none"/>
        </w:rPr>
        <w:t xml:space="preserve">  </w:t>
      </w:r>
      <w:r>
        <w:rPr>
          <w:rFonts w:hint="eastAsia"/>
          <w:color w:val="auto"/>
          <w:highlight w:val="none"/>
          <w:u w:val="none"/>
        </w:rPr>
        <w:t>光化单元设备动静密封点泄漏</w:t>
      </w:r>
      <w:r>
        <w:rPr>
          <w:color w:val="auto"/>
          <w:highlight w:val="none"/>
          <w:u w:val="none"/>
        </w:rPr>
        <w:t xml:space="preserve"> VOCs 排放估算一览表</w:t>
      </w:r>
    </w:p>
    <w:tbl>
      <w:tblPr>
        <w:tblStyle w:val="799"/>
        <w:tblW w:w="501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644"/>
        <w:gridCol w:w="3327"/>
        <w:gridCol w:w="1507"/>
        <w:gridCol w:w="937"/>
        <w:gridCol w:w="627"/>
        <w:gridCol w:w="1087"/>
      </w:tblGrid>
      <w:tr w14:paraId="523D06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48B3107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污染因子</w:t>
            </w:r>
          </w:p>
        </w:tc>
        <w:tc>
          <w:tcPr>
            <w:tcW w:w="1821" w:type="pct"/>
            <w:vMerge w:val="restart"/>
            <w:vAlign w:val="center"/>
          </w:tcPr>
          <w:p w14:paraId="188C150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设备名称</w:t>
            </w:r>
          </w:p>
        </w:tc>
        <w:tc>
          <w:tcPr>
            <w:tcW w:w="825" w:type="pct"/>
            <w:vMerge w:val="restart"/>
            <w:vAlign w:val="center"/>
          </w:tcPr>
          <w:p w14:paraId="510E846E">
            <w:pPr>
              <w:spacing w:line="240" w:lineRule="auto"/>
              <w:ind w:firstLine="0" w:firstLineChars="0"/>
              <w:rPr>
                <w:rFonts w:hint="default" w:ascii="Times New Roman" w:hAnsi="Times New Roman" w:cs="Times New Roman"/>
                <w:color w:val="auto"/>
                <w:sz w:val="21"/>
                <w:szCs w:val="21"/>
                <w:highlight w:val="none"/>
                <w:u w:val="none"/>
                <w:lang w:val="en-US" w:eastAsia="en-US"/>
              </w:rPr>
            </w:pPr>
            <w:r>
              <w:rPr>
                <w:rFonts w:hint="default" w:ascii="Times New Roman" w:hAnsi="Times New Roman" w:cs="Times New Roman"/>
                <w:color w:val="auto"/>
                <w:sz w:val="21"/>
                <w:szCs w:val="21"/>
                <w:highlight w:val="none"/>
                <w:u w:val="none"/>
                <w:lang w:eastAsia="en-US"/>
              </w:rPr>
              <w:t>排放速率</w:t>
            </w:r>
            <w:r>
              <w:rPr>
                <w:rFonts w:hint="default" w:ascii="Times New Roman" w:hAnsi="Times New Roman" w:cs="Times New Roman"/>
                <w:color w:val="auto"/>
                <w:sz w:val="21"/>
                <w:szCs w:val="21"/>
                <w:highlight w:val="none"/>
                <w:u w:val="none"/>
                <w:lang w:val="en-US" w:eastAsia="en-US"/>
              </w:rPr>
              <w:t>e</w:t>
            </w:r>
            <w:r>
              <w:rPr>
                <w:rFonts w:hint="default" w:ascii="Times New Roman" w:hAnsi="Times New Roman" w:cs="Times New Roman"/>
                <w:color w:val="auto"/>
                <w:sz w:val="21"/>
                <w:szCs w:val="21"/>
                <w:highlight w:val="none"/>
                <w:u w:val="none"/>
                <w:vertAlign w:val="subscript"/>
                <w:lang w:val="en-US" w:eastAsia="en-US"/>
              </w:rPr>
              <w:t>TOC,i</w:t>
            </w:r>
            <w:r>
              <w:rPr>
                <w:rFonts w:hint="default" w:ascii="Times New Roman" w:hAnsi="Times New Roman" w:cs="Times New Roman"/>
                <w:color w:val="auto"/>
                <w:sz w:val="21"/>
                <w:szCs w:val="21"/>
                <w:highlight w:val="none"/>
                <w:u w:val="none"/>
                <w:lang w:val="en-US" w:eastAsia="en-US"/>
              </w:rPr>
              <w:t>/</w:t>
            </w:r>
          </w:p>
          <w:p w14:paraId="34FB4B3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（kg/h/排放源）</w:t>
            </w:r>
          </w:p>
        </w:tc>
        <w:tc>
          <w:tcPr>
            <w:tcW w:w="513" w:type="pct"/>
            <w:vMerge w:val="restart"/>
            <w:tcBorders>
              <w:right w:val="single" w:color="auto" w:sz="4" w:space="0"/>
            </w:tcBorders>
            <w:vAlign w:val="center"/>
          </w:tcPr>
          <w:p w14:paraId="2781ACB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数量</w:t>
            </w:r>
          </w:p>
          <w:p w14:paraId="34CAB3C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（个）</w:t>
            </w:r>
          </w:p>
        </w:tc>
        <w:tc>
          <w:tcPr>
            <w:tcW w:w="938" w:type="pct"/>
            <w:gridSpan w:val="2"/>
            <w:tcBorders>
              <w:left w:val="single" w:color="auto" w:sz="4" w:space="0"/>
              <w:bottom w:val="single" w:color="auto" w:sz="4" w:space="0"/>
            </w:tcBorders>
            <w:vAlign w:val="center"/>
          </w:tcPr>
          <w:p w14:paraId="5F5EC87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VOCs排放量</w:t>
            </w:r>
          </w:p>
        </w:tc>
      </w:tr>
      <w:tr w14:paraId="7CA5AE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0A1ECB04">
            <w:pPr>
              <w:pStyle w:val="92"/>
              <w:rPr>
                <w:rFonts w:hint="default" w:ascii="Times New Roman" w:hAnsi="Times New Roman" w:cs="Times New Roman"/>
                <w:color w:val="auto"/>
                <w:sz w:val="21"/>
                <w:szCs w:val="21"/>
                <w:highlight w:val="none"/>
                <w:u w:val="none"/>
                <w:lang w:eastAsia="en-US"/>
              </w:rPr>
            </w:pPr>
          </w:p>
        </w:tc>
        <w:tc>
          <w:tcPr>
            <w:tcW w:w="1821" w:type="pct"/>
            <w:vMerge w:val="continue"/>
            <w:vAlign w:val="center"/>
          </w:tcPr>
          <w:p w14:paraId="5A5F1033">
            <w:pPr>
              <w:pStyle w:val="92"/>
              <w:rPr>
                <w:rFonts w:hint="default" w:ascii="Times New Roman" w:hAnsi="Times New Roman" w:cs="Times New Roman"/>
                <w:color w:val="auto"/>
                <w:sz w:val="21"/>
                <w:szCs w:val="21"/>
                <w:highlight w:val="none"/>
                <w:u w:val="none"/>
                <w:lang w:eastAsia="en-US"/>
              </w:rPr>
            </w:pPr>
          </w:p>
        </w:tc>
        <w:tc>
          <w:tcPr>
            <w:tcW w:w="825" w:type="pct"/>
            <w:vMerge w:val="continue"/>
            <w:vAlign w:val="center"/>
          </w:tcPr>
          <w:p w14:paraId="0BFD53C4">
            <w:pPr>
              <w:spacing w:line="240" w:lineRule="auto"/>
              <w:ind w:firstLine="0" w:firstLineChars="0"/>
              <w:rPr>
                <w:rFonts w:hint="default" w:ascii="Times New Roman" w:hAnsi="Times New Roman" w:cs="Times New Roman"/>
                <w:color w:val="auto"/>
                <w:sz w:val="21"/>
                <w:szCs w:val="21"/>
                <w:highlight w:val="none"/>
                <w:u w:val="none"/>
                <w:lang w:eastAsia="en-US"/>
              </w:rPr>
            </w:pPr>
          </w:p>
        </w:tc>
        <w:tc>
          <w:tcPr>
            <w:tcW w:w="513" w:type="pct"/>
            <w:vMerge w:val="continue"/>
            <w:tcBorders>
              <w:right w:val="single" w:color="auto" w:sz="4" w:space="0"/>
            </w:tcBorders>
            <w:vAlign w:val="center"/>
          </w:tcPr>
          <w:p w14:paraId="10833483">
            <w:pPr>
              <w:pStyle w:val="92"/>
              <w:rPr>
                <w:rFonts w:hint="default" w:ascii="Times New Roman" w:hAnsi="Times New Roman" w:cs="Times New Roman"/>
                <w:color w:val="auto"/>
                <w:sz w:val="21"/>
                <w:szCs w:val="21"/>
                <w:highlight w:val="none"/>
                <w:u w:val="none"/>
                <w:lang w:eastAsia="en-US"/>
              </w:rPr>
            </w:pPr>
          </w:p>
        </w:tc>
        <w:tc>
          <w:tcPr>
            <w:tcW w:w="343" w:type="pct"/>
            <w:tcBorders>
              <w:top w:val="single" w:color="auto" w:sz="4" w:space="0"/>
              <w:left w:val="single" w:color="auto" w:sz="4" w:space="0"/>
            </w:tcBorders>
            <w:vAlign w:val="center"/>
          </w:tcPr>
          <w:p w14:paraId="148242C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kg/h</w:t>
            </w:r>
          </w:p>
        </w:tc>
        <w:tc>
          <w:tcPr>
            <w:tcW w:w="594" w:type="pct"/>
            <w:tcBorders>
              <w:top w:val="single" w:color="auto" w:sz="4" w:space="0"/>
            </w:tcBorders>
            <w:vAlign w:val="center"/>
          </w:tcPr>
          <w:p w14:paraId="6449C20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t/a</w:t>
            </w:r>
          </w:p>
        </w:tc>
      </w:tr>
      <w:tr w14:paraId="5A1C7C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7B115B4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VOCs</w:t>
            </w:r>
          </w:p>
        </w:tc>
        <w:tc>
          <w:tcPr>
            <w:tcW w:w="1821" w:type="pct"/>
            <w:vAlign w:val="center"/>
          </w:tcPr>
          <w:p w14:paraId="63E81AB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825" w:type="pct"/>
            <w:vAlign w:val="center"/>
          </w:tcPr>
          <w:p w14:paraId="5A54FF6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09D6B2A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96</w:t>
            </w:r>
          </w:p>
        </w:tc>
        <w:tc>
          <w:tcPr>
            <w:tcW w:w="343" w:type="pct"/>
            <w:vAlign w:val="center"/>
          </w:tcPr>
          <w:p w14:paraId="0C8FF51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0.0069</w:t>
            </w:r>
          </w:p>
        </w:tc>
        <w:tc>
          <w:tcPr>
            <w:tcW w:w="594" w:type="pct"/>
            <w:vAlign w:val="center"/>
          </w:tcPr>
          <w:p w14:paraId="09BAB0C7">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0.0552 </w:t>
            </w:r>
          </w:p>
        </w:tc>
      </w:tr>
      <w:tr w14:paraId="1BFE7A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1F2CBD3">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2A822B0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825" w:type="pct"/>
            <w:vAlign w:val="center"/>
          </w:tcPr>
          <w:p w14:paraId="5EBA83E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34637AF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320</w:t>
            </w:r>
          </w:p>
        </w:tc>
        <w:tc>
          <w:tcPr>
            <w:tcW w:w="343" w:type="pct"/>
            <w:vAlign w:val="center"/>
          </w:tcPr>
          <w:p w14:paraId="6770BF6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0.0288</w:t>
            </w:r>
          </w:p>
        </w:tc>
        <w:tc>
          <w:tcPr>
            <w:tcW w:w="594" w:type="pct"/>
            <w:vAlign w:val="center"/>
          </w:tcPr>
          <w:p w14:paraId="6B6BA74F">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0.2304 </w:t>
            </w:r>
          </w:p>
        </w:tc>
      </w:tr>
      <w:tr w14:paraId="6F188B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0CA239E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46947B8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825" w:type="pct"/>
            <w:vAlign w:val="center"/>
          </w:tcPr>
          <w:p w14:paraId="4952F83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0F09A64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1138</w:t>
            </w:r>
          </w:p>
        </w:tc>
        <w:tc>
          <w:tcPr>
            <w:tcW w:w="343" w:type="pct"/>
            <w:vAlign w:val="center"/>
          </w:tcPr>
          <w:p w14:paraId="003CF08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0.1229</w:t>
            </w:r>
          </w:p>
        </w:tc>
        <w:tc>
          <w:tcPr>
            <w:tcW w:w="594" w:type="pct"/>
            <w:vAlign w:val="center"/>
          </w:tcPr>
          <w:p w14:paraId="3CE317E5">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0.9832 </w:t>
            </w:r>
          </w:p>
        </w:tc>
      </w:tr>
      <w:tr w14:paraId="30C76A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BA3F7E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7C6A8CA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825" w:type="pct"/>
            <w:vAlign w:val="center"/>
          </w:tcPr>
          <w:p w14:paraId="1EA372F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7F7DFE2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1992</w:t>
            </w:r>
          </w:p>
        </w:tc>
        <w:tc>
          <w:tcPr>
            <w:tcW w:w="343" w:type="pct"/>
            <w:vAlign w:val="center"/>
          </w:tcPr>
          <w:p w14:paraId="1F8B7C7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0.2629</w:t>
            </w:r>
          </w:p>
        </w:tc>
        <w:tc>
          <w:tcPr>
            <w:tcW w:w="594" w:type="pct"/>
            <w:vAlign w:val="center"/>
          </w:tcPr>
          <w:p w14:paraId="45322BCE">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2.1032 </w:t>
            </w:r>
          </w:p>
        </w:tc>
      </w:tr>
      <w:tr w14:paraId="02374D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6D4CD90E">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82FEF4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825" w:type="pct"/>
            <w:vAlign w:val="center"/>
          </w:tcPr>
          <w:p w14:paraId="21FABCE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2B2CA78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90</w:t>
            </w:r>
          </w:p>
        </w:tc>
        <w:tc>
          <w:tcPr>
            <w:tcW w:w="343" w:type="pct"/>
            <w:vAlign w:val="center"/>
          </w:tcPr>
          <w:p w14:paraId="6B24C5A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0.0378</w:t>
            </w:r>
          </w:p>
        </w:tc>
        <w:tc>
          <w:tcPr>
            <w:tcW w:w="594" w:type="pct"/>
            <w:vAlign w:val="center"/>
          </w:tcPr>
          <w:p w14:paraId="7CC08EE8">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0.3024 </w:t>
            </w:r>
          </w:p>
        </w:tc>
      </w:tr>
      <w:tr w14:paraId="0A9701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E9D2F8F">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F36375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825" w:type="pct"/>
            <w:vAlign w:val="center"/>
          </w:tcPr>
          <w:p w14:paraId="2DF63D3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513" w:type="pct"/>
            <w:vAlign w:val="center"/>
          </w:tcPr>
          <w:p w14:paraId="5A97C97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343" w:type="pct"/>
            <w:vAlign w:val="center"/>
          </w:tcPr>
          <w:p w14:paraId="0C199E1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0.0022</w:t>
            </w:r>
          </w:p>
        </w:tc>
        <w:tc>
          <w:tcPr>
            <w:tcW w:w="594" w:type="pct"/>
            <w:vAlign w:val="center"/>
          </w:tcPr>
          <w:p w14:paraId="4DD1F453">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0.0176 </w:t>
            </w:r>
          </w:p>
        </w:tc>
      </w:tr>
      <w:tr w14:paraId="7FBE62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5E233931">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855E4C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825" w:type="pct"/>
            <w:vAlign w:val="center"/>
          </w:tcPr>
          <w:p w14:paraId="6236167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5009605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3646</w:t>
            </w:r>
          </w:p>
        </w:tc>
        <w:tc>
          <w:tcPr>
            <w:tcW w:w="343" w:type="pct"/>
            <w:vAlign w:val="center"/>
          </w:tcPr>
          <w:p w14:paraId="12C307B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0.4616</w:t>
            </w:r>
          </w:p>
        </w:tc>
        <w:tc>
          <w:tcPr>
            <w:tcW w:w="594" w:type="pct"/>
            <w:vAlign w:val="center"/>
          </w:tcPr>
          <w:p w14:paraId="5F0C8E5D">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3.6920 </w:t>
            </w:r>
          </w:p>
        </w:tc>
      </w:tr>
      <w:tr w14:paraId="406A6D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45C90A6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TDA</w:t>
            </w:r>
          </w:p>
          <w:p w14:paraId="4CA0D1C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21" w:type="pct"/>
            <w:vAlign w:val="center"/>
          </w:tcPr>
          <w:p w14:paraId="509CC0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825" w:type="pct"/>
            <w:vAlign w:val="center"/>
          </w:tcPr>
          <w:p w14:paraId="28965AD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2B28DEF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343" w:type="pct"/>
            <w:vAlign w:val="center"/>
          </w:tcPr>
          <w:p w14:paraId="59FDE41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94" w:type="pct"/>
            <w:vAlign w:val="center"/>
          </w:tcPr>
          <w:p w14:paraId="7C255CEA">
            <w:pPr>
              <w:ind w:firstLine="420"/>
              <w:jc w:val="center"/>
              <w:rPr>
                <w:rFonts w:hint="default" w:ascii="Times New Roman" w:hAnsi="Times New Roman" w:cs="Times New Roman"/>
                <w:color w:val="auto"/>
                <w:sz w:val="21"/>
                <w:szCs w:val="21"/>
                <w:highlight w:val="none"/>
                <w:u w:val="none"/>
                <w:lang w:eastAsia="en-US"/>
              </w:rPr>
            </w:pPr>
          </w:p>
        </w:tc>
      </w:tr>
      <w:tr w14:paraId="7C4A4F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DEB2E0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5252158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825" w:type="pct"/>
            <w:vAlign w:val="center"/>
          </w:tcPr>
          <w:p w14:paraId="32113C2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5A3D890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11</w:t>
            </w:r>
          </w:p>
        </w:tc>
        <w:tc>
          <w:tcPr>
            <w:tcW w:w="343" w:type="pct"/>
            <w:vAlign w:val="center"/>
          </w:tcPr>
          <w:p w14:paraId="05BE716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0.0010</w:t>
            </w:r>
          </w:p>
        </w:tc>
        <w:tc>
          <w:tcPr>
            <w:tcW w:w="594" w:type="pct"/>
            <w:vAlign w:val="center"/>
          </w:tcPr>
          <w:p w14:paraId="7610C45E">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0.0080 </w:t>
            </w:r>
          </w:p>
        </w:tc>
      </w:tr>
      <w:tr w14:paraId="439EFE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9D6A7A6">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4AEA600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825" w:type="pct"/>
            <w:vAlign w:val="center"/>
          </w:tcPr>
          <w:p w14:paraId="1C7396E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1971275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30</w:t>
            </w:r>
          </w:p>
        </w:tc>
        <w:tc>
          <w:tcPr>
            <w:tcW w:w="343" w:type="pct"/>
            <w:vAlign w:val="center"/>
          </w:tcPr>
          <w:p w14:paraId="24FFCF8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0.0032</w:t>
            </w:r>
          </w:p>
        </w:tc>
        <w:tc>
          <w:tcPr>
            <w:tcW w:w="594" w:type="pct"/>
            <w:vAlign w:val="center"/>
          </w:tcPr>
          <w:p w14:paraId="04C98FD1">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0.0256 </w:t>
            </w:r>
          </w:p>
        </w:tc>
      </w:tr>
      <w:tr w14:paraId="59C43B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59AEE5B">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63B6F5A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825" w:type="pct"/>
            <w:vAlign w:val="center"/>
          </w:tcPr>
          <w:p w14:paraId="7CFB8E7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59945F6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60</w:t>
            </w:r>
          </w:p>
        </w:tc>
        <w:tc>
          <w:tcPr>
            <w:tcW w:w="343" w:type="pct"/>
            <w:vAlign w:val="center"/>
          </w:tcPr>
          <w:p w14:paraId="2C1D41B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0.0079</w:t>
            </w:r>
          </w:p>
        </w:tc>
        <w:tc>
          <w:tcPr>
            <w:tcW w:w="594" w:type="pct"/>
            <w:vAlign w:val="center"/>
          </w:tcPr>
          <w:p w14:paraId="797006DD">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0.0632 </w:t>
            </w:r>
          </w:p>
        </w:tc>
      </w:tr>
      <w:tr w14:paraId="19274A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582206E7">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2C6FA10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825" w:type="pct"/>
            <w:vAlign w:val="center"/>
          </w:tcPr>
          <w:p w14:paraId="5181BD4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7947DD1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w:t>
            </w:r>
          </w:p>
        </w:tc>
        <w:tc>
          <w:tcPr>
            <w:tcW w:w="343" w:type="pct"/>
            <w:vAlign w:val="center"/>
          </w:tcPr>
          <w:p w14:paraId="54F94B9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0.0008</w:t>
            </w:r>
          </w:p>
        </w:tc>
        <w:tc>
          <w:tcPr>
            <w:tcW w:w="594" w:type="pct"/>
            <w:vAlign w:val="center"/>
          </w:tcPr>
          <w:p w14:paraId="7AD6AFE8">
            <w:pPr>
              <w:widowControl/>
              <w:ind w:firstLine="420"/>
              <w:jc w:val="center"/>
              <w:textAlignment w:val="center"/>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val="en-US" w:eastAsia="en-US" w:bidi="ar"/>
              </w:rPr>
              <w:t xml:space="preserve">0.0064 </w:t>
            </w:r>
          </w:p>
        </w:tc>
      </w:tr>
      <w:tr w14:paraId="5BBEB9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35CF85B">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70B0665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825" w:type="pct"/>
            <w:vAlign w:val="center"/>
          </w:tcPr>
          <w:p w14:paraId="3A53FD8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513" w:type="pct"/>
            <w:vAlign w:val="center"/>
          </w:tcPr>
          <w:p w14:paraId="4332656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343" w:type="pct"/>
            <w:vAlign w:val="center"/>
          </w:tcPr>
          <w:p w14:paraId="7F6A260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94" w:type="pct"/>
            <w:vAlign w:val="center"/>
          </w:tcPr>
          <w:p w14:paraId="26426238">
            <w:pPr>
              <w:ind w:firstLine="420"/>
              <w:jc w:val="center"/>
              <w:rPr>
                <w:rFonts w:hint="default" w:ascii="Times New Roman" w:hAnsi="Times New Roman" w:cs="Times New Roman"/>
                <w:color w:val="auto"/>
                <w:sz w:val="21"/>
                <w:szCs w:val="21"/>
                <w:highlight w:val="none"/>
                <w:u w:val="none"/>
                <w:lang w:eastAsia="en-US"/>
              </w:rPr>
            </w:pPr>
          </w:p>
        </w:tc>
      </w:tr>
      <w:tr w14:paraId="7EA967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3ED80A07">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10591D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825" w:type="pct"/>
            <w:vAlign w:val="center"/>
          </w:tcPr>
          <w:p w14:paraId="4DB818F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2AA31A0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103</w:t>
            </w:r>
          </w:p>
        </w:tc>
        <w:tc>
          <w:tcPr>
            <w:tcW w:w="343" w:type="pct"/>
            <w:vAlign w:val="center"/>
          </w:tcPr>
          <w:p w14:paraId="4E2AFA8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0.0130</w:t>
            </w:r>
          </w:p>
        </w:tc>
        <w:tc>
          <w:tcPr>
            <w:tcW w:w="594" w:type="pct"/>
            <w:vAlign w:val="center"/>
          </w:tcPr>
          <w:p w14:paraId="61D9E16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0.1032 </w:t>
            </w:r>
          </w:p>
        </w:tc>
      </w:tr>
      <w:tr w14:paraId="1164A1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43E97C4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TDI</w:t>
            </w:r>
          </w:p>
          <w:p w14:paraId="6F526F3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21" w:type="pct"/>
            <w:vAlign w:val="center"/>
          </w:tcPr>
          <w:p w14:paraId="4881514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825" w:type="pct"/>
            <w:vAlign w:val="center"/>
          </w:tcPr>
          <w:p w14:paraId="2417983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383728C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23</w:t>
            </w:r>
          </w:p>
        </w:tc>
        <w:tc>
          <w:tcPr>
            <w:tcW w:w="343" w:type="pct"/>
            <w:vAlign w:val="center"/>
          </w:tcPr>
          <w:p w14:paraId="3724605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0.0017 </w:t>
            </w:r>
          </w:p>
        </w:tc>
        <w:tc>
          <w:tcPr>
            <w:tcW w:w="594" w:type="pct"/>
            <w:vAlign w:val="center"/>
          </w:tcPr>
          <w:p w14:paraId="0990C1B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0.0132 </w:t>
            </w:r>
          </w:p>
        </w:tc>
      </w:tr>
      <w:tr w14:paraId="158DA3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5C83A7E5">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41CCE82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825" w:type="pct"/>
            <w:vAlign w:val="center"/>
          </w:tcPr>
          <w:p w14:paraId="6CF3634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50349AB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215</w:t>
            </w:r>
          </w:p>
        </w:tc>
        <w:tc>
          <w:tcPr>
            <w:tcW w:w="343" w:type="pct"/>
            <w:vAlign w:val="center"/>
          </w:tcPr>
          <w:p w14:paraId="0D1F7AE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0.0194 </w:t>
            </w:r>
          </w:p>
        </w:tc>
        <w:tc>
          <w:tcPr>
            <w:tcW w:w="594" w:type="pct"/>
            <w:vAlign w:val="center"/>
          </w:tcPr>
          <w:p w14:paraId="0BBABA6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0.1548 </w:t>
            </w:r>
          </w:p>
        </w:tc>
      </w:tr>
      <w:tr w14:paraId="0F6E2A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5CC649B">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D3C82D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825" w:type="pct"/>
            <w:vAlign w:val="center"/>
          </w:tcPr>
          <w:p w14:paraId="55739D8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4F6E81A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630</w:t>
            </w:r>
          </w:p>
        </w:tc>
        <w:tc>
          <w:tcPr>
            <w:tcW w:w="343" w:type="pct"/>
            <w:vAlign w:val="center"/>
          </w:tcPr>
          <w:p w14:paraId="5D70E66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0.0680 </w:t>
            </w:r>
          </w:p>
        </w:tc>
        <w:tc>
          <w:tcPr>
            <w:tcW w:w="594" w:type="pct"/>
            <w:vAlign w:val="center"/>
          </w:tcPr>
          <w:p w14:paraId="4F446F4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0.5443 </w:t>
            </w:r>
          </w:p>
        </w:tc>
      </w:tr>
      <w:tr w14:paraId="7195E8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0578DD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9E9AB4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825" w:type="pct"/>
            <w:vAlign w:val="center"/>
          </w:tcPr>
          <w:p w14:paraId="645D914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749AFE4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615</w:t>
            </w:r>
          </w:p>
        </w:tc>
        <w:tc>
          <w:tcPr>
            <w:tcW w:w="343" w:type="pct"/>
            <w:vAlign w:val="center"/>
          </w:tcPr>
          <w:p w14:paraId="7919A71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0.0812 </w:t>
            </w:r>
          </w:p>
        </w:tc>
        <w:tc>
          <w:tcPr>
            <w:tcW w:w="594" w:type="pct"/>
            <w:vAlign w:val="center"/>
          </w:tcPr>
          <w:p w14:paraId="682BC0F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0.6494 </w:t>
            </w:r>
          </w:p>
        </w:tc>
      </w:tr>
      <w:tr w14:paraId="7DC7B7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F06F42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68D1B6D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825" w:type="pct"/>
            <w:vAlign w:val="center"/>
          </w:tcPr>
          <w:p w14:paraId="505F354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6F8CF92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58</w:t>
            </w:r>
          </w:p>
        </w:tc>
        <w:tc>
          <w:tcPr>
            <w:tcW w:w="343" w:type="pct"/>
            <w:vAlign w:val="center"/>
          </w:tcPr>
          <w:p w14:paraId="0E403F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0.0244 </w:t>
            </w:r>
          </w:p>
        </w:tc>
        <w:tc>
          <w:tcPr>
            <w:tcW w:w="594" w:type="pct"/>
            <w:vAlign w:val="center"/>
          </w:tcPr>
          <w:p w14:paraId="51D5451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0.1949 </w:t>
            </w:r>
          </w:p>
        </w:tc>
      </w:tr>
      <w:tr w14:paraId="6424EB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1E9D5FF">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2C3924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825" w:type="pct"/>
            <w:vAlign w:val="center"/>
          </w:tcPr>
          <w:p w14:paraId="13D02E6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513" w:type="pct"/>
            <w:vAlign w:val="center"/>
          </w:tcPr>
          <w:p w14:paraId="3491C3A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w:t>
            </w:r>
          </w:p>
        </w:tc>
        <w:tc>
          <w:tcPr>
            <w:tcW w:w="343" w:type="pct"/>
            <w:vAlign w:val="center"/>
          </w:tcPr>
          <w:p w14:paraId="570B65A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0.0009 </w:t>
            </w:r>
          </w:p>
        </w:tc>
        <w:tc>
          <w:tcPr>
            <w:tcW w:w="594" w:type="pct"/>
            <w:vAlign w:val="center"/>
          </w:tcPr>
          <w:p w14:paraId="6B48D51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0.0070 </w:t>
            </w:r>
          </w:p>
        </w:tc>
      </w:tr>
      <w:tr w14:paraId="5DD3A4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76543C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2E69EC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825" w:type="pct"/>
            <w:vAlign w:val="center"/>
          </w:tcPr>
          <w:p w14:paraId="6465546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1E643B7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1545</w:t>
            </w:r>
          </w:p>
        </w:tc>
        <w:tc>
          <w:tcPr>
            <w:tcW w:w="343" w:type="pct"/>
            <w:vAlign w:val="center"/>
          </w:tcPr>
          <w:p w14:paraId="064AA76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0.1955 </w:t>
            </w:r>
          </w:p>
        </w:tc>
        <w:tc>
          <w:tcPr>
            <w:tcW w:w="594" w:type="pct"/>
            <w:vAlign w:val="center"/>
          </w:tcPr>
          <w:p w14:paraId="79055D2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1.5637 </w:t>
            </w:r>
          </w:p>
        </w:tc>
      </w:tr>
      <w:tr w14:paraId="490C5C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1B5E25C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ODCB</w:t>
            </w:r>
          </w:p>
          <w:p w14:paraId="05DBEC8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21" w:type="pct"/>
            <w:vAlign w:val="center"/>
          </w:tcPr>
          <w:p w14:paraId="610CE6F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825" w:type="pct"/>
            <w:vAlign w:val="center"/>
          </w:tcPr>
          <w:p w14:paraId="4705138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28CB09A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78</w:t>
            </w:r>
          </w:p>
        </w:tc>
        <w:tc>
          <w:tcPr>
            <w:tcW w:w="343" w:type="pct"/>
            <w:vAlign w:val="center"/>
          </w:tcPr>
          <w:p w14:paraId="103EC6F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0.0056 </w:t>
            </w:r>
          </w:p>
        </w:tc>
        <w:tc>
          <w:tcPr>
            <w:tcW w:w="594" w:type="pct"/>
            <w:vAlign w:val="center"/>
          </w:tcPr>
          <w:p w14:paraId="5364473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0.0449 </w:t>
            </w:r>
          </w:p>
        </w:tc>
      </w:tr>
      <w:tr w14:paraId="77E57C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A3EAC19">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515D340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825" w:type="pct"/>
            <w:vAlign w:val="center"/>
          </w:tcPr>
          <w:p w14:paraId="7FA15DE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6C9B9E8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160</w:t>
            </w:r>
          </w:p>
        </w:tc>
        <w:tc>
          <w:tcPr>
            <w:tcW w:w="343" w:type="pct"/>
            <w:vAlign w:val="center"/>
          </w:tcPr>
          <w:p w14:paraId="291DDC4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0.0144 </w:t>
            </w:r>
          </w:p>
        </w:tc>
        <w:tc>
          <w:tcPr>
            <w:tcW w:w="594" w:type="pct"/>
            <w:vAlign w:val="center"/>
          </w:tcPr>
          <w:p w14:paraId="7998D9B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0.1152 </w:t>
            </w:r>
          </w:p>
        </w:tc>
      </w:tr>
      <w:tr w14:paraId="74C688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39D4E3A7">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72E4AE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825" w:type="pct"/>
            <w:vAlign w:val="center"/>
          </w:tcPr>
          <w:p w14:paraId="05FCFDA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559ABE5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571</w:t>
            </w:r>
          </w:p>
        </w:tc>
        <w:tc>
          <w:tcPr>
            <w:tcW w:w="343" w:type="pct"/>
            <w:vAlign w:val="center"/>
          </w:tcPr>
          <w:p w14:paraId="2C83DF1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0.0617 </w:t>
            </w:r>
          </w:p>
        </w:tc>
        <w:tc>
          <w:tcPr>
            <w:tcW w:w="594" w:type="pct"/>
            <w:vAlign w:val="center"/>
          </w:tcPr>
          <w:p w14:paraId="5A11B7D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0.4933 </w:t>
            </w:r>
          </w:p>
        </w:tc>
      </w:tr>
      <w:tr w14:paraId="3210ED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F5F19FD">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7E74FE0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825" w:type="pct"/>
            <w:vAlign w:val="center"/>
          </w:tcPr>
          <w:p w14:paraId="69438F1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5FD5591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998</w:t>
            </w:r>
          </w:p>
        </w:tc>
        <w:tc>
          <w:tcPr>
            <w:tcW w:w="343" w:type="pct"/>
            <w:vAlign w:val="center"/>
          </w:tcPr>
          <w:p w14:paraId="16C8C61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0.1317 </w:t>
            </w:r>
          </w:p>
        </w:tc>
        <w:tc>
          <w:tcPr>
            <w:tcW w:w="594" w:type="pct"/>
            <w:vAlign w:val="center"/>
          </w:tcPr>
          <w:p w14:paraId="2F64334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1.0539 </w:t>
            </w:r>
          </w:p>
        </w:tc>
      </w:tr>
      <w:tr w14:paraId="552CF8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E7D1A31">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0629BE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825" w:type="pct"/>
            <w:vAlign w:val="center"/>
          </w:tcPr>
          <w:p w14:paraId="5204899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131E81E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46</w:t>
            </w:r>
          </w:p>
        </w:tc>
        <w:tc>
          <w:tcPr>
            <w:tcW w:w="343" w:type="pct"/>
            <w:vAlign w:val="center"/>
          </w:tcPr>
          <w:p w14:paraId="146A48E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0.0193 </w:t>
            </w:r>
          </w:p>
        </w:tc>
        <w:tc>
          <w:tcPr>
            <w:tcW w:w="594" w:type="pct"/>
            <w:vAlign w:val="center"/>
          </w:tcPr>
          <w:p w14:paraId="4C7C3C9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0.1546 </w:t>
            </w:r>
          </w:p>
        </w:tc>
      </w:tr>
      <w:tr w14:paraId="0E8AB4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3944F35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2538A2C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825" w:type="pct"/>
            <w:vAlign w:val="center"/>
          </w:tcPr>
          <w:p w14:paraId="08C9996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513" w:type="pct"/>
            <w:vAlign w:val="center"/>
          </w:tcPr>
          <w:p w14:paraId="390E56C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5</w:t>
            </w:r>
          </w:p>
        </w:tc>
        <w:tc>
          <w:tcPr>
            <w:tcW w:w="343" w:type="pct"/>
            <w:vAlign w:val="center"/>
          </w:tcPr>
          <w:p w14:paraId="7624457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0.0011 </w:t>
            </w:r>
          </w:p>
        </w:tc>
        <w:tc>
          <w:tcPr>
            <w:tcW w:w="594" w:type="pct"/>
            <w:vAlign w:val="center"/>
          </w:tcPr>
          <w:p w14:paraId="6889EE5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0.0088 </w:t>
            </w:r>
          </w:p>
        </w:tc>
      </w:tr>
      <w:tr w14:paraId="7CF103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A36254E">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0A42132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825" w:type="pct"/>
            <w:vAlign w:val="center"/>
          </w:tcPr>
          <w:p w14:paraId="23E595B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39AD391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1858</w:t>
            </w:r>
          </w:p>
        </w:tc>
        <w:tc>
          <w:tcPr>
            <w:tcW w:w="343" w:type="pct"/>
            <w:vAlign w:val="center"/>
          </w:tcPr>
          <w:p w14:paraId="4573F64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0.2338 </w:t>
            </w:r>
          </w:p>
        </w:tc>
        <w:tc>
          <w:tcPr>
            <w:tcW w:w="594" w:type="pct"/>
            <w:vAlign w:val="center"/>
          </w:tcPr>
          <w:p w14:paraId="0CBAFFB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1.8707 </w:t>
            </w:r>
          </w:p>
        </w:tc>
      </w:tr>
      <w:tr w14:paraId="04EAFB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restart"/>
            <w:vAlign w:val="center"/>
          </w:tcPr>
          <w:p w14:paraId="451093F9">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光气</w:t>
            </w:r>
          </w:p>
          <w:p w14:paraId="280992C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（特征污染物）</w:t>
            </w:r>
          </w:p>
        </w:tc>
        <w:tc>
          <w:tcPr>
            <w:tcW w:w="1821" w:type="pct"/>
            <w:vAlign w:val="center"/>
          </w:tcPr>
          <w:p w14:paraId="12515FB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气体阀门</w:t>
            </w:r>
          </w:p>
        </w:tc>
        <w:tc>
          <w:tcPr>
            <w:tcW w:w="825" w:type="pct"/>
            <w:vAlign w:val="center"/>
          </w:tcPr>
          <w:p w14:paraId="56D1035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0.024</w:t>
            </w:r>
          </w:p>
        </w:tc>
        <w:tc>
          <w:tcPr>
            <w:tcW w:w="513" w:type="pct"/>
            <w:vAlign w:val="center"/>
          </w:tcPr>
          <w:p w14:paraId="2B7AB62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343" w:type="pct"/>
            <w:vAlign w:val="center"/>
          </w:tcPr>
          <w:p w14:paraId="1DAA5521">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0.0007 </w:t>
            </w:r>
          </w:p>
        </w:tc>
        <w:tc>
          <w:tcPr>
            <w:tcW w:w="594" w:type="pct"/>
            <w:vAlign w:val="center"/>
          </w:tcPr>
          <w:p w14:paraId="2A90827F">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0.0056 </w:t>
            </w:r>
          </w:p>
        </w:tc>
      </w:tr>
      <w:tr w14:paraId="41872A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5C90F1A">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4D55392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开口阀或开口管线</w:t>
            </w:r>
          </w:p>
        </w:tc>
        <w:tc>
          <w:tcPr>
            <w:tcW w:w="825" w:type="pct"/>
            <w:vAlign w:val="center"/>
          </w:tcPr>
          <w:p w14:paraId="597F604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w:t>
            </w:r>
          </w:p>
        </w:tc>
        <w:tc>
          <w:tcPr>
            <w:tcW w:w="513" w:type="pct"/>
            <w:vAlign w:val="center"/>
          </w:tcPr>
          <w:p w14:paraId="069DFB2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343" w:type="pct"/>
            <w:vAlign w:val="center"/>
          </w:tcPr>
          <w:p w14:paraId="75B811A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 </w:t>
            </w:r>
          </w:p>
        </w:tc>
        <w:tc>
          <w:tcPr>
            <w:tcW w:w="594" w:type="pct"/>
            <w:vAlign w:val="center"/>
          </w:tcPr>
          <w:p w14:paraId="318B213F">
            <w:pPr>
              <w:pStyle w:val="92"/>
              <w:rPr>
                <w:rFonts w:hint="default" w:ascii="Times New Roman" w:hAnsi="Times New Roman" w:cs="Times New Roman"/>
                <w:color w:val="auto"/>
                <w:sz w:val="21"/>
                <w:szCs w:val="21"/>
                <w:highlight w:val="none"/>
                <w:u w:val="none"/>
                <w:lang w:eastAsia="en-US"/>
              </w:rPr>
            </w:pPr>
          </w:p>
        </w:tc>
      </w:tr>
      <w:tr w14:paraId="0A8CCF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9652F74">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39DA633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有机液体阀门</w:t>
            </w:r>
          </w:p>
        </w:tc>
        <w:tc>
          <w:tcPr>
            <w:tcW w:w="825" w:type="pct"/>
            <w:vAlign w:val="center"/>
          </w:tcPr>
          <w:p w14:paraId="0A1CE20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0.036</w:t>
            </w:r>
          </w:p>
        </w:tc>
        <w:tc>
          <w:tcPr>
            <w:tcW w:w="513" w:type="pct"/>
            <w:vAlign w:val="center"/>
          </w:tcPr>
          <w:p w14:paraId="11176D4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40</w:t>
            </w:r>
          </w:p>
        </w:tc>
        <w:tc>
          <w:tcPr>
            <w:tcW w:w="343" w:type="pct"/>
            <w:vAlign w:val="center"/>
          </w:tcPr>
          <w:p w14:paraId="4AC8DF2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0.0043 </w:t>
            </w:r>
          </w:p>
        </w:tc>
        <w:tc>
          <w:tcPr>
            <w:tcW w:w="594" w:type="pct"/>
            <w:vAlign w:val="center"/>
          </w:tcPr>
          <w:p w14:paraId="17253C7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0.0344 </w:t>
            </w:r>
          </w:p>
        </w:tc>
      </w:tr>
      <w:tr w14:paraId="594CF9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57009B5E">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4D553E6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法兰或连接件</w:t>
            </w:r>
          </w:p>
        </w:tc>
        <w:tc>
          <w:tcPr>
            <w:tcW w:w="825" w:type="pct"/>
            <w:vAlign w:val="center"/>
          </w:tcPr>
          <w:p w14:paraId="5A47429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0.044</w:t>
            </w:r>
          </w:p>
        </w:tc>
        <w:tc>
          <w:tcPr>
            <w:tcW w:w="513" w:type="pct"/>
            <w:vAlign w:val="center"/>
          </w:tcPr>
          <w:p w14:paraId="7AD37B64">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100</w:t>
            </w:r>
          </w:p>
        </w:tc>
        <w:tc>
          <w:tcPr>
            <w:tcW w:w="343" w:type="pct"/>
            <w:vAlign w:val="center"/>
          </w:tcPr>
          <w:p w14:paraId="1E319CEC">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0.0132 </w:t>
            </w:r>
          </w:p>
        </w:tc>
        <w:tc>
          <w:tcPr>
            <w:tcW w:w="594" w:type="pct"/>
            <w:vAlign w:val="center"/>
          </w:tcPr>
          <w:p w14:paraId="705DCB4B">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0.1056 </w:t>
            </w:r>
          </w:p>
        </w:tc>
      </w:tr>
      <w:tr w14:paraId="6A0E44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791EBDDD">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2B66C38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泵、压缩机、搅拌器、泄压设备</w:t>
            </w:r>
          </w:p>
        </w:tc>
        <w:tc>
          <w:tcPr>
            <w:tcW w:w="825" w:type="pct"/>
            <w:vAlign w:val="center"/>
          </w:tcPr>
          <w:p w14:paraId="20677F17">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0.14</w:t>
            </w:r>
          </w:p>
        </w:tc>
        <w:tc>
          <w:tcPr>
            <w:tcW w:w="513" w:type="pct"/>
            <w:vAlign w:val="center"/>
          </w:tcPr>
          <w:p w14:paraId="3D834A8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14</w:t>
            </w:r>
          </w:p>
        </w:tc>
        <w:tc>
          <w:tcPr>
            <w:tcW w:w="343" w:type="pct"/>
            <w:vAlign w:val="center"/>
          </w:tcPr>
          <w:p w14:paraId="70D00213">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0.0059 </w:t>
            </w:r>
          </w:p>
        </w:tc>
        <w:tc>
          <w:tcPr>
            <w:tcW w:w="594" w:type="pct"/>
            <w:vAlign w:val="center"/>
          </w:tcPr>
          <w:p w14:paraId="76EC809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0.0472 </w:t>
            </w:r>
          </w:p>
        </w:tc>
      </w:tr>
      <w:tr w14:paraId="37C818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4063D128">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505BB0E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其他</w:t>
            </w:r>
          </w:p>
        </w:tc>
        <w:tc>
          <w:tcPr>
            <w:tcW w:w="825" w:type="pct"/>
            <w:vAlign w:val="center"/>
          </w:tcPr>
          <w:p w14:paraId="689EE27D">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0.073</w:t>
            </w:r>
          </w:p>
        </w:tc>
        <w:tc>
          <w:tcPr>
            <w:tcW w:w="513" w:type="pct"/>
            <w:vAlign w:val="center"/>
          </w:tcPr>
          <w:p w14:paraId="3263BB5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10</w:t>
            </w:r>
          </w:p>
        </w:tc>
        <w:tc>
          <w:tcPr>
            <w:tcW w:w="343" w:type="pct"/>
            <w:vAlign w:val="center"/>
          </w:tcPr>
          <w:p w14:paraId="3715C71A">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0.0022 </w:t>
            </w:r>
          </w:p>
        </w:tc>
        <w:tc>
          <w:tcPr>
            <w:tcW w:w="594" w:type="pct"/>
            <w:vAlign w:val="center"/>
          </w:tcPr>
          <w:p w14:paraId="5983FE85">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0.0176 </w:t>
            </w:r>
          </w:p>
        </w:tc>
      </w:tr>
      <w:tr w14:paraId="1C2AE6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900" w:type="pct"/>
            <w:vMerge w:val="continue"/>
            <w:vAlign w:val="center"/>
          </w:tcPr>
          <w:p w14:paraId="1260945C">
            <w:pPr>
              <w:pStyle w:val="92"/>
              <w:rPr>
                <w:rFonts w:hint="default" w:ascii="Times New Roman" w:hAnsi="Times New Roman" w:cs="Times New Roman"/>
                <w:color w:val="auto"/>
                <w:sz w:val="21"/>
                <w:szCs w:val="21"/>
                <w:highlight w:val="none"/>
                <w:u w:val="none"/>
                <w:lang w:eastAsia="en-US"/>
              </w:rPr>
            </w:pPr>
          </w:p>
        </w:tc>
        <w:tc>
          <w:tcPr>
            <w:tcW w:w="1821" w:type="pct"/>
            <w:vAlign w:val="center"/>
          </w:tcPr>
          <w:p w14:paraId="1E284732">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小计</w:t>
            </w:r>
          </w:p>
        </w:tc>
        <w:tc>
          <w:tcPr>
            <w:tcW w:w="825" w:type="pct"/>
            <w:vAlign w:val="center"/>
          </w:tcPr>
          <w:p w14:paraId="0A3FFE5E">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w:t>
            </w:r>
          </w:p>
        </w:tc>
        <w:tc>
          <w:tcPr>
            <w:tcW w:w="513" w:type="pct"/>
            <w:vAlign w:val="center"/>
          </w:tcPr>
          <w:p w14:paraId="540E0E46">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174</w:t>
            </w:r>
          </w:p>
        </w:tc>
        <w:tc>
          <w:tcPr>
            <w:tcW w:w="343" w:type="pct"/>
            <w:vAlign w:val="center"/>
          </w:tcPr>
          <w:p w14:paraId="3A468120">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0.0263 </w:t>
            </w:r>
          </w:p>
        </w:tc>
        <w:tc>
          <w:tcPr>
            <w:tcW w:w="594" w:type="pct"/>
            <w:vAlign w:val="center"/>
          </w:tcPr>
          <w:p w14:paraId="3DD47F78">
            <w:pPr>
              <w:pStyle w:val="92"/>
              <w:rPr>
                <w:rFonts w:hint="default" w:ascii="Times New Roman" w:hAnsi="Times New Roman" w:cs="Times New Roman"/>
                <w:color w:val="auto"/>
                <w:sz w:val="21"/>
                <w:szCs w:val="21"/>
                <w:highlight w:val="none"/>
                <w:u w:val="none"/>
                <w:lang w:eastAsia="en-US"/>
              </w:rPr>
            </w:pPr>
            <w:r>
              <w:rPr>
                <w:rFonts w:hint="default" w:ascii="Times New Roman" w:hAnsi="Times New Roman" w:cs="Times New Roman"/>
                <w:color w:val="auto"/>
                <w:sz w:val="21"/>
                <w:szCs w:val="21"/>
                <w:highlight w:val="none"/>
                <w:u w:val="none"/>
                <w:lang w:eastAsia="en-US"/>
              </w:rPr>
              <w:t xml:space="preserve">0.2104 </w:t>
            </w:r>
          </w:p>
        </w:tc>
      </w:tr>
    </w:tbl>
    <w:p w14:paraId="34C94BAF">
      <w:pPr>
        <w:pStyle w:val="85"/>
        <w:rPr>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7</w:t>
      </w:r>
      <w:r>
        <w:rPr>
          <w:color w:val="auto"/>
          <w:highlight w:val="none"/>
          <w:u w:val="none"/>
        </w:rPr>
        <w:fldChar w:fldCharType="end"/>
      </w:r>
      <w:r>
        <w:rPr>
          <w:color w:val="auto"/>
          <w:highlight w:val="none"/>
          <w:u w:val="none"/>
        </w:rPr>
        <w:t xml:space="preserve">  </w:t>
      </w:r>
      <w:r>
        <w:rPr>
          <w:rFonts w:hint="eastAsia"/>
          <w:color w:val="auto"/>
          <w:highlight w:val="none"/>
          <w:u w:val="none"/>
        </w:rPr>
        <w:t>储罐区动静密封点泄漏</w:t>
      </w:r>
      <w:r>
        <w:rPr>
          <w:color w:val="auto"/>
          <w:highlight w:val="none"/>
          <w:u w:val="none"/>
        </w:rPr>
        <w:t xml:space="preserve"> VOCs 排放估算一览表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1"/>
        <w:gridCol w:w="1844"/>
        <w:gridCol w:w="2076"/>
        <w:gridCol w:w="1858"/>
        <w:gridCol w:w="912"/>
        <w:gridCol w:w="899"/>
        <w:gridCol w:w="846"/>
      </w:tblGrid>
      <w:tr w14:paraId="0AD85E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restart"/>
            <w:vAlign w:val="center"/>
          </w:tcPr>
          <w:p w14:paraId="296937D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罐区</w:t>
            </w:r>
          </w:p>
        </w:tc>
        <w:tc>
          <w:tcPr>
            <w:tcW w:w="992" w:type="pct"/>
            <w:vMerge w:val="restart"/>
            <w:vAlign w:val="center"/>
          </w:tcPr>
          <w:p w14:paraId="448F0C1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污染因子</w:t>
            </w:r>
          </w:p>
        </w:tc>
        <w:tc>
          <w:tcPr>
            <w:tcW w:w="1117" w:type="pct"/>
            <w:vMerge w:val="restart"/>
            <w:vAlign w:val="center"/>
          </w:tcPr>
          <w:p w14:paraId="3ECFACE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设备名称</w:t>
            </w:r>
          </w:p>
        </w:tc>
        <w:tc>
          <w:tcPr>
            <w:tcW w:w="1000" w:type="pct"/>
            <w:vMerge w:val="restart"/>
            <w:vAlign w:val="center"/>
          </w:tcPr>
          <w:p w14:paraId="40296FB0">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rPr>
              <w:t>排放速率</w:t>
            </w:r>
            <w:r>
              <w:rPr>
                <w:color w:val="auto"/>
                <w:sz w:val="21"/>
                <w:szCs w:val="21"/>
                <w:highlight w:val="none"/>
                <w:u w:val="none"/>
                <w:lang w:val="en-US"/>
              </w:rPr>
              <w:t>e</w:t>
            </w:r>
            <w:r>
              <w:rPr>
                <w:color w:val="auto"/>
                <w:sz w:val="21"/>
                <w:szCs w:val="21"/>
                <w:highlight w:val="none"/>
                <w:u w:val="none"/>
                <w:vertAlign w:val="subscript"/>
                <w:lang w:val="en-US"/>
              </w:rPr>
              <w:t>TOC,i</w:t>
            </w:r>
            <w:r>
              <w:rPr>
                <w:color w:val="auto"/>
                <w:sz w:val="21"/>
                <w:szCs w:val="21"/>
                <w:highlight w:val="none"/>
                <w:u w:val="none"/>
                <w:lang w:val="en-US"/>
              </w:rPr>
              <w:t>/</w:t>
            </w:r>
          </w:p>
          <w:p w14:paraId="10AE953F">
            <w:pPr>
              <w:spacing w:line="240" w:lineRule="auto"/>
              <w:ind w:firstLine="0" w:firstLineChars="0"/>
              <w:jc w:val="center"/>
              <w:rPr>
                <w:rFonts w:hint="eastAsia"/>
                <w:color w:val="auto"/>
                <w:sz w:val="21"/>
                <w:szCs w:val="21"/>
                <w:highlight w:val="none"/>
                <w:u w:val="none"/>
                <w:lang w:val="en-US"/>
              </w:rPr>
            </w:pPr>
            <w:r>
              <w:rPr>
                <w:color w:val="auto"/>
                <w:sz w:val="21"/>
                <w:szCs w:val="21"/>
                <w:highlight w:val="none"/>
                <w:u w:val="none"/>
                <w:lang w:val="en-US"/>
              </w:rPr>
              <w:t>（kg/h/</w:t>
            </w:r>
            <w:r>
              <w:rPr>
                <w:color w:val="auto"/>
                <w:sz w:val="21"/>
                <w:szCs w:val="21"/>
                <w:highlight w:val="none"/>
                <w:u w:val="none"/>
              </w:rPr>
              <w:t>排放源</w:t>
            </w:r>
            <w:r>
              <w:rPr>
                <w:color w:val="auto"/>
                <w:sz w:val="21"/>
                <w:szCs w:val="21"/>
                <w:highlight w:val="none"/>
                <w:u w:val="none"/>
                <w:lang w:val="en-US"/>
              </w:rPr>
              <w:t>）</w:t>
            </w:r>
          </w:p>
        </w:tc>
        <w:tc>
          <w:tcPr>
            <w:tcW w:w="491" w:type="pct"/>
            <w:vMerge w:val="restart"/>
            <w:vAlign w:val="center"/>
          </w:tcPr>
          <w:p w14:paraId="14A0515B">
            <w:pPr>
              <w:pStyle w:val="92"/>
              <w:rPr>
                <w:color w:val="auto"/>
                <w:sz w:val="21"/>
                <w:szCs w:val="21"/>
                <w:highlight w:val="none"/>
                <w:u w:val="none"/>
              </w:rPr>
            </w:pPr>
            <w:r>
              <w:rPr>
                <w:rFonts w:hint="eastAsia"/>
                <w:color w:val="auto"/>
                <w:sz w:val="21"/>
                <w:szCs w:val="21"/>
                <w:highlight w:val="none"/>
                <w:u w:val="none"/>
              </w:rPr>
              <w:t>数量</w:t>
            </w:r>
          </w:p>
          <w:p w14:paraId="655DBDC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（个）</w:t>
            </w:r>
          </w:p>
        </w:tc>
        <w:tc>
          <w:tcPr>
            <w:tcW w:w="939" w:type="pct"/>
            <w:gridSpan w:val="2"/>
            <w:vAlign w:val="center"/>
          </w:tcPr>
          <w:p w14:paraId="5845DA6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VOCs</w:t>
            </w:r>
            <w:r>
              <w:rPr>
                <w:rFonts w:hint="eastAsia"/>
                <w:color w:val="auto"/>
                <w:sz w:val="21"/>
                <w:szCs w:val="21"/>
                <w:highlight w:val="none"/>
                <w:u w:val="none"/>
              </w:rPr>
              <w:t>排放量</w:t>
            </w:r>
          </w:p>
        </w:tc>
      </w:tr>
      <w:tr w14:paraId="1CE02D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29BBF5AA">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2ACC4922">
            <w:pPr>
              <w:spacing w:line="240" w:lineRule="auto"/>
              <w:ind w:firstLine="0" w:firstLineChars="0"/>
              <w:jc w:val="center"/>
              <w:rPr>
                <w:rFonts w:hint="eastAsia"/>
                <w:color w:val="auto"/>
                <w:sz w:val="21"/>
                <w:szCs w:val="21"/>
                <w:highlight w:val="none"/>
                <w:u w:val="none"/>
              </w:rPr>
            </w:pPr>
          </w:p>
        </w:tc>
        <w:tc>
          <w:tcPr>
            <w:tcW w:w="1117" w:type="pct"/>
            <w:vMerge w:val="continue"/>
            <w:vAlign w:val="center"/>
          </w:tcPr>
          <w:p w14:paraId="7A1E770A">
            <w:pPr>
              <w:spacing w:line="240" w:lineRule="auto"/>
              <w:ind w:firstLine="0" w:firstLineChars="0"/>
              <w:jc w:val="center"/>
              <w:rPr>
                <w:rFonts w:hint="eastAsia"/>
                <w:color w:val="auto"/>
                <w:sz w:val="21"/>
                <w:szCs w:val="21"/>
                <w:highlight w:val="none"/>
                <w:u w:val="none"/>
              </w:rPr>
            </w:pPr>
          </w:p>
        </w:tc>
        <w:tc>
          <w:tcPr>
            <w:tcW w:w="1000" w:type="pct"/>
            <w:vMerge w:val="continue"/>
            <w:vAlign w:val="center"/>
          </w:tcPr>
          <w:p w14:paraId="7DC9A4BA">
            <w:pPr>
              <w:spacing w:line="240" w:lineRule="auto"/>
              <w:ind w:firstLine="0" w:firstLineChars="0"/>
              <w:jc w:val="center"/>
              <w:rPr>
                <w:rFonts w:hint="eastAsia"/>
                <w:color w:val="auto"/>
                <w:sz w:val="21"/>
                <w:szCs w:val="21"/>
                <w:highlight w:val="none"/>
                <w:u w:val="none"/>
              </w:rPr>
            </w:pPr>
          </w:p>
        </w:tc>
        <w:tc>
          <w:tcPr>
            <w:tcW w:w="491" w:type="pct"/>
            <w:vMerge w:val="continue"/>
            <w:vAlign w:val="center"/>
          </w:tcPr>
          <w:p w14:paraId="3BC17B91">
            <w:pPr>
              <w:spacing w:line="240" w:lineRule="auto"/>
              <w:ind w:firstLine="0" w:firstLineChars="0"/>
              <w:jc w:val="center"/>
              <w:rPr>
                <w:rFonts w:hint="eastAsia"/>
                <w:color w:val="auto"/>
                <w:sz w:val="21"/>
                <w:szCs w:val="21"/>
                <w:highlight w:val="none"/>
                <w:u w:val="none"/>
              </w:rPr>
            </w:pPr>
          </w:p>
        </w:tc>
        <w:tc>
          <w:tcPr>
            <w:tcW w:w="484" w:type="pct"/>
            <w:vAlign w:val="center"/>
          </w:tcPr>
          <w:p w14:paraId="08AE373B">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kg/h</w:t>
            </w:r>
          </w:p>
        </w:tc>
        <w:tc>
          <w:tcPr>
            <w:tcW w:w="454" w:type="pct"/>
            <w:vAlign w:val="center"/>
          </w:tcPr>
          <w:p w14:paraId="1E8985D6">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t/a</w:t>
            </w:r>
          </w:p>
        </w:tc>
      </w:tr>
      <w:tr w14:paraId="1B1157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restart"/>
            <w:vAlign w:val="center"/>
          </w:tcPr>
          <w:p w14:paraId="5F3C4BE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ODCB</w:t>
            </w:r>
          </w:p>
          <w:p w14:paraId="273990F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储罐</w:t>
            </w:r>
          </w:p>
        </w:tc>
        <w:tc>
          <w:tcPr>
            <w:tcW w:w="992" w:type="pct"/>
            <w:vMerge w:val="restart"/>
            <w:vAlign w:val="center"/>
          </w:tcPr>
          <w:p w14:paraId="667A898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ODCB</w:t>
            </w:r>
          </w:p>
          <w:p w14:paraId="05FBC6C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（特征污染物）</w:t>
            </w:r>
          </w:p>
        </w:tc>
        <w:tc>
          <w:tcPr>
            <w:tcW w:w="1117" w:type="pct"/>
            <w:vAlign w:val="center"/>
          </w:tcPr>
          <w:p w14:paraId="2706ABD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气体阀门</w:t>
            </w:r>
          </w:p>
        </w:tc>
        <w:tc>
          <w:tcPr>
            <w:tcW w:w="1000" w:type="pct"/>
            <w:vAlign w:val="center"/>
          </w:tcPr>
          <w:p w14:paraId="45FB639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0.024</w:t>
            </w:r>
          </w:p>
        </w:tc>
        <w:tc>
          <w:tcPr>
            <w:tcW w:w="491" w:type="pct"/>
            <w:vAlign w:val="center"/>
          </w:tcPr>
          <w:p w14:paraId="5828AE2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33</w:t>
            </w:r>
          </w:p>
        </w:tc>
        <w:tc>
          <w:tcPr>
            <w:tcW w:w="484" w:type="pct"/>
            <w:vAlign w:val="center"/>
          </w:tcPr>
          <w:p w14:paraId="2BAE42F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0.0024</w:t>
            </w:r>
          </w:p>
        </w:tc>
        <w:tc>
          <w:tcPr>
            <w:tcW w:w="454" w:type="pct"/>
            <w:vAlign w:val="center"/>
          </w:tcPr>
          <w:p w14:paraId="574C096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0.0190</w:t>
            </w:r>
          </w:p>
        </w:tc>
      </w:tr>
      <w:tr w14:paraId="6EE16F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035EA9CD">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61A4D84A">
            <w:pPr>
              <w:spacing w:line="240" w:lineRule="auto"/>
              <w:ind w:firstLine="0" w:firstLineChars="0"/>
              <w:jc w:val="center"/>
              <w:rPr>
                <w:rFonts w:hint="eastAsia"/>
                <w:color w:val="auto"/>
                <w:sz w:val="21"/>
                <w:szCs w:val="21"/>
                <w:highlight w:val="none"/>
                <w:u w:val="none"/>
              </w:rPr>
            </w:pPr>
          </w:p>
        </w:tc>
        <w:tc>
          <w:tcPr>
            <w:tcW w:w="1117" w:type="pct"/>
            <w:vAlign w:val="center"/>
          </w:tcPr>
          <w:p w14:paraId="0C0A7F4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开口阀或开口管线</w:t>
            </w:r>
          </w:p>
        </w:tc>
        <w:tc>
          <w:tcPr>
            <w:tcW w:w="1000" w:type="pct"/>
            <w:vAlign w:val="center"/>
          </w:tcPr>
          <w:p w14:paraId="09C18BF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w:t>
            </w:r>
          </w:p>
        </w:tc>
        <w:tc>
          <w:tcPr>
            <w:tcW w:w="491" w:type="pct"/>
            <w:vAlign w:val="center"/>
          </w:tcPr>
          <w:p w14:paraId="6122DC3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11671C4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3BB376C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0CC10A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597080CD">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4C0A2D96">
            <w:pPr>
              <w:spacing w:line="240" w:lineRule="auto"/>
              <w:ind w:firstLine="0" w:firstLineChars="0"/>
              <w:jc w:val="center"/>
              <w:rPr>
                <w:rFonts w:hint="eastAsia"/>
                <w:color w:val="auto"/>
                <w:sz w:val="21"/>
                <w:szCs w:val="21"/>
                <w:highlight w:val="none"/>
                <w:u w:val="none"/>
              </w:rPr>
            </w:pPr>
          </w:p>
        </w:tc>
        <w:tc>
          <w:tcPr>
            <w:tcW w:w="1117" w:type="pct"/>
            <w:vAlign w:val="center"/>
          </w:tcPr>
          <w:p w14:paraId="3D83A9A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有机液体阀门</w:t>
            </w:r>
          </w:p>
        </w:tc>
        <w:tc>
          <w:tcPr>
            <w:tcW w:w="1000" w:type="pct"/>
            <w:vAlign w:val="center"/>
          </w:tcPr>
          <w:p w14:paraId="7F108DE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0.036</w:t>
            </w:r>
          </w:p>
        </w:tc>
        <w:tc>
          <w:tcPr>
            <w:tcW w:w="491" w:type="pct"/>
            <w:vAlign w:val="center"/>
          </w:tcPr>
          <w:p w14:paraId="392020F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209DAC5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5BE8CB0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428804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64B43DFA">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71BA8725">
            <w:pPr>
              <w:spacing w:line="240" w:lineRule="auto"/>
              <w:ind w:firstLine="0" w:firstLineChars="0"/>
              <w:jc w:val="center"/>
              <w:rPr>
                <w:rFonts w:hint="eastAsia"/>
                <w:color w:val="auto"/>
                <w:sz w:val="21"/>
                <w:szCs w:val="21"/>
                <w:highlight w:val="none"/>
                <w:u w:val="none"/>
              </w:rPr>
            </w:pPr>
          </w:p>
        </w:tc>
        <w:tc>
          <w:tcPr>
            <w:tcW w:w="1117" w:type="pct"/>
            <w:vAlign w:val="center"/>
          </w:tcPr>
          <w:p w14:paraId="1BDF82C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法兰或连接件</w:t>
            </w:r>
          </w:p>
        </w:tc>
        <w:tc>
          <w:tcPr>
            <w:tcW w:w="1000" w:type="pct"/>
            <w:vAlign w:val="center"/>
          </w:tcPr>
          <w:p w14:paraId="68A94C0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0.044</w:t>
            </w:r>
          </w:p>
        </w:tc>
        <w:tc>
          <w:tcPr>
            <w:tcW w:w="491" w:type="pct"/>
            <w:vAlign w:val="center"/>
          </w:tcPr>
          <w:p w14:paraId="41D6C82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64</w:t>
            </w:r>
          </w:p>
        </w:tc>
        <w:tc>
          <w:tcPr>
            <w:tcW w:w="484" w:type="pct"/>
            <w:vAlign w:val="center"/>
          </w:tcPr>
          <w:p w14:paraId="67C8E2D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0.0084</w:t>
            </w:r>
          </w:p>
        </w:tc>
        <w:tc>
          <w:tcPr>
            <w:tcW w:w="454" w:type="pct"/>
            <w:vAlign w:val="center"/>
          </w:tcPr>
          <w:p w14:paraId="20B45E0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0.0676</w:t>
            </w:r>
          </w:p>
        </w:tc>
      </w:tr>
      <w:tr w14:paraId="6FF70D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77196B3D">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2533F3A1">
            <w:pPr>
              <w:spacing w:line="240" w:lineRule="auto"/>
              <w:ind w:firstLine="0" w:firstLineChars="0"/>
              <w:jc w:val="center"/>
              <w:rPr>
                <w:rFonts w:hint="eastAsia"/>
                <w:color w:val="auto"/>
                <w:sz w:val="21"/>
                <w:szCs w:val="21"/>
                <w:highlight w:val="none"/>
                <w:u w:val="none"/>
              </w:rPr>
            </w:pPr>
          </w:p>
        </w:tc>
        <w:tc>
          <w:tcPr>
            <w:tcW w:w="1117" w:type="pct"/>
            <w:vAlign w:val="center"/>
          </w:tcPr>
          <w:p w14:paraId="551633B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泵、压缩机、</w:t>
            </w:r>
          </w:p>
          <w:p w14:paraId="4FC9DCB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搅拌器、泄压设备</w:t>
            </w:r>
          </w:p>
        </w:tc>
        <w:tc>
          <w:tcPr>
            <w:tcW w:w="1000" w:type="pct"/>
            <w:vAlign w:val="center"/>
          </w:tcPr>
          <w:p w14:paraId="0E2593B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0.14</w:t>
            </w:r>
          </w:p>
        </w:tc>
        <w:tc>
          <w:tcPr>
            <w:tcW w:w="491" w:type="pct"/>
            <w:vAlign w:val="center"/>
          </w:tcPr>
          <w:p w14:paraId="52A11D5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6</w:t>
            </w:r>
          </w:p>
        </w:tc>
        <w:tc>
          <w:tcPr>
            <w:tcW w:w="484" w:type="pct"/>
            <w:vAlign w:val="center"/>
          </w:tcPr>
          <w:p w14:paraId="09EF531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0.0025</w:t>
            </w:r>
          </w:p>
        </w:tc>
        <w:tc>
          <w:tcPr>
            <w:tcW w:w="454" w:type="pct"/>
            <w:vAlign w:val="center"/>
          </w:tcPr>
          <w:p w14:paraId="3D548EC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0.0202</w:t>
            </w:r>
          </w:p>
        </w:tc>
      </w:tr>
      <w:tr w14:paraId="18D3DB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73C7854A">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48515B33">
            <w:pPr>
              <w:spacing w:line="240" w:lineRule="auto"/>
              <w:ind w:firstLine="0" w:firstLineChars="0"/>
              <w:jc w:val="center"/>
              <w:rPr>
                <w:rFonts w:hint="eastAsia"/>
                <w:color w:val="auto"/>
                <w:sz w:val="21"/>
                <w:szCs w:val="21"/>
                <w:highlight w:val="none"/>
                <w:u w:val="none"/>
              </w:rPr>
            </w:pPr>
          </w:p>
        </w:tc>
        <w:tc>
          <w:tcPr>
            <w:tcW w:w="1117" w:type="pct"/>
            <w:vAlign w:val="center"/>
          </w:tcPr>
          <w:p w14:paraId="74247BF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其他</w:t>
            </w:r>
          </w:p>
        </w:tc>
        <w:tc>
          <w:tcPr>
            <w:tcW w:w="1000" w:type="pct"/>
            <w:vAlign w:val="center"/>
          </w:tcPr>
          <w:p w14:paraId="36B53ED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0.073</w:t>
            </w:r>
          </w:p>
        </w:tc>
        <w:tc>
          <w:tcPr>
            <w:tcW w:w="491" w:type="pct"/>
            <w:vAlign w:val="center"/>
          </w:tcPr>
          <w:p w14:paraId="6237FB3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18AC7F2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2C96309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11B8D2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128AC155">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702797C4">
            <w:pPr>
              <w:spacing w:line="240" w:lineRule="auto"/>
              <w:ind w:firstLine="0" w:firstLineChars="0"/>
              <w:jc w:val="center"/>
              <w:rPr>
                <w:rFonts w:hint="eastAsia"/>
                <w:color w:val="auto"/>
                <w:sz w:val="21"/>
                <w:szCs w:val="21"/>
                <w:highlight w:val="none"/>
                <w:u w:val="none"/>
              </w:rPr>
            </w:pPr>
          </w:p>
        </w:tc>
        <w:tc>
          <w:tcPr>
            <w:tcW w:w="1117" w:type="pct"/>
            <w:vAlign w:val="center"/>
          </w:tcPr>
          <w:p w14:paraId="39F63BC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小计</w:t>
            </w:r>
          </w:p>
        </w:tc>
        <w:tc>
          <w:tcPr>
            <w:tcW w:w="1000" w:type="pct"/>
            <w:vAlign w:val="center"/>
          </w:tcPr>
          <w:p w14:paraId="365F373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91" w:type="pct"/>
            <w:vAlign w:val="center"/>
          </w:tcPr>
          <w:p w14:paraId="7DD5826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103</w:t>
            </w:r>
          </w:p>
        </w:tc>
        <w:tc>
          <w:tcPr>
            <w:tcW w:w="484" w:type="pct"/>
            <w:vAlign w:val="center"/>
          </w:tcPr>
          <w:p w14:paraId="02F9AD2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0.0133</w:t>
            </w:r>
          </w:p>
        </w:tc>
        <w:tc>
          <w:tcPr>
            <w:tcW w:w="454" w:type="pct"/>
            <w:vAlign w:val="center"/>
          </w:tcPr>
          <w:p w14:paraId="3F754A8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0.1068</w:t>
            </w:r>
          </w:p>
        </w:tc>
      </w:tr>
      <w:tr w14:paraId="3676D1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restart"/>
            <w:vAlign w:val="center"/>
          </w:tcPr>
          <w:p w14:paraId="7A7D82F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DNT</w:t>
            </w:r>
          </w:p>
          <w:p w14:paraId="3C16C13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储罐</w:t>
            </w:r>
          </w:p>
        </w:tc>
        <w:tc>
          <w:tcPr>
            <w:tcW w:w="992" w:type="pct"/>
            <w:vMerge w:val="restart"/>
            <w:vAlign w:val="center"/>
          </w:tcPr>
          <w:p w14:paraId="4FFEE8F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DNT</w:t>
            </w:r>
          </w:p>
          <w:p w14:paraId="013D30D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（特征污染物）</w:t>
            </w:r>
          </w:p>
        </w:tc>
        <w:tc>
          <w:tcPr>
            <w:tcW w:w="1117" w:type="pct"/>
            <w:vAlign w:val="center"/>
          </w:tcPr>
          <w:p w14:paraId="2387766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气体阀门</w:t>
            </w:r>
          </w:p>
        </w:tc>
        <w:tc>
          <w:tcPr>
            <w:tcW w:w="1000" w:type="pct"/>
            <w:vAlign w:val="center"/>
          </w:tcPr>
          <w:p w14:paraId="1ED6468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0.024</w:t>
            </w:r>
          </w:p>
        </w:tc>
        <w:tc>
          <w:tcPr>
            <w:tcW w:w="491" w:type="pct"/>
            <w:vAlign w:val="center"/>
          </w:tcPr>
          <w:p w14:paraId="1D5B963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21</w:t>
            </w:r>
          </w:p>
        </w:tc>
        <w:tc>
          <w:tcPr>
            <w:tcW w:w="484" w:type="pct"/>
            <w:vAlign w:val="center"/>
          </w:tcPr>
          <w:p w14:paraId="5D9ED23F">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0.0015</w:t>
            </w:r>
          </w:p>
        </w:tc>
        <w:tc>
          <w:tcPr>
            <w:tcW w:w="454" w:type="pct"/>
          </w:tcPr>
          <w:p w14:paraId="30F4B2A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0.0121</w:t>
            </w:r>
          </w:p>
        </w:tc>
      </w:tr>
      <w:tr w14:paraId="69076E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0754542C">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492DD12F">
            <w:pPr>
              <w:spacing w:line="240" w:lineRule="auto"/>
              <w:ind w:firstLine="0" w:firstLineChars="0"/>
              <w:jc w:val="center"/>
              <w:rPr>
                <w:rFonts w:hint="eastAsia"/>
                <w:color w:val="auto"/>
                <w:sz w:val="21"/>
                <w:szCs w:val="21"/>
                <w:highlight w:val="none"/>
                <w:u w:val="none"/>
              </w:rPr>
            </w:pPr>
          </w:p>
        </w:tc>
        <w:tc>
          <w:tcPr>
            <w:tcW w:w="1117" w:type="pct"/>
            <w:vAlign w:val="center"/>
          </w:tcPr>
          <w:p w14:paraId="7DBED09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开口阀或开口管线</w:t>
            </w:r>
          </w:p>
        </w:tc>
        <w:tc>
          <w:tcPr>
            <w:tcW w:w="1000" w:type="pct"/>
            <w:vAlign w:val="center"/>
          </w:tcPr>
          <w:p w14:paraId="1C541203">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w:t>
            </w:r>
          </w:p>
        </w:tc>
        <w:tc>
          <w:tcPr>
            <w:tcW w:w="491" w:type="pct"/>
            <w:vAlign w:val="center"/>
          </w:tcPr>
          <w:p w14:paraId="6043AD9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1F66818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3A83B01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3C8856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5D202551">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354472FC">
            <w:pPr>
              <w:spacing w:line="240" w:lineRule="auto"/>
              <w:ind w:firstLine="0" w:firstLineChars="0"/>
              <w:jc w:val="center"/>
              <w:rPr>
                <w:rFonts w:hint="eastAsia"/>
                <w:color w:val="auto"/>
                <w:sz w:val="21"/>
                <w:szCs w:val="21"/>
                <w:highlight w:val="none"/>
                <w:u w:val="none"/>
              </w:rPr>
            </w:pPr>
          </w:p>
        </w:tc>
        <w:tc>
          <w:tcPr>
            <w:tcW w:w="1117" w:type="pct"/>
            <w:vAlign w:val="center"/>
          </w:tcPr>
          <w:p w14:paraId="1DFC103B">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有机液体阀门</w:t>
            </w:r>
          </w:p>
        </w:tc>
        <w:tc>
          <w:tcPr>
            <w:tcW w:w="1000" w:type="pct"/>
            <w:vAlign w:val="center"/>
          </w:tcPr>
          <w:p w14:paraId="6A07636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0.036</w:t>
            </w:r>
          </w:p>
        </w:tc>
        <w:tc>
          <w:tcPr>
            <w:tcW w:w="491" w:type="pct"/>
            <w:vAlign w:val="center"/>
          </w:tcPr>
          <w:p w14:paraId="387C3FB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11A4B07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7612711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07C244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556FC323">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3B9E0A74">
            <w:pPr>
              <w:spacing w:line="240" w:lineRule="auto"/>
              <w:ind w:firstLine="0" w:firstLineChars="0"/>
              <w:jc w:val="center"/>
              <w:rPr>
                <w:rFonts w:hint="eastAsia"/>
                <w:color w:val="auto"/>
                <w:sz w:val="21"/>
                <w:szCs w:val="21"/>
                <w:highlight w:val="none"/>
                <w:u w:val="none"/>
              </w:rPr>
            </w:pPr>
          </w:p>
        </w:tc>
        <w:tc>
          <w:tcPr>
            <w:tcW w:w="1117" w:type="pct"/>
            <w:vAlign w:val="center"/>
          </w:tcPr>
          <w:p w14:paraId="3903DDD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法兰或连接件</w:t>
            </w:r>
          </w:p>
        </w:tc>
        <w:tc>
          <w:tcPr>
            <w:tcW w:w="1000" w:type="pct"/>
            <w:vAlign w:val="center"/>
          </w:tcPr>
          <w:p w14:paraId="6461F81D">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0.044</w:t>
            </w:r>
          </w:p>
        </w:tc>
        <w:tc>
          <w:tcPr>
            <w:tcW w:w="491" w:type="pct"/>
            <w:vAlign w:val="center"/>
          </w:tcPr>
          <w:p w14:paraId="1D78522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45</w:t>
            </w:r>
          </w:p>
        </w:tc>
        <w:tc>
          <w:tcPr>
            <w:tcW w:w="484" w:type="pct"/>
            <w:vAlign w:val="center"/>
          </w:tcPr>
          <w:p w14:paraId="2BF5091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0.0059</w:t>
            </w:r>
          </w:p>
        </w:tc>
        <w:tc>
          <w:tcPr>
            <w:tcW w:w="454" w:type="pct"/>
          </w:tcPr>
          <w:p w14:paraId="726AD6E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0.0475</w:t>
            </w:r>
          </w:p>
        </w:tc>
      </w:tr>
      <w:tr w14:paraId="51B0F6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42CD2573">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53227E26">
            <w:pPr>
              <w:spacing w:line="240" w:lineRule="auto"/>
              <w:ind w:firstLine="0" w:firstLineChars="0"/>
              <w:jc w:val="center"/>
              <w:rPr>
                <w:rFonts w:hint="eastAsia"/>
                <w:color w:val="auto"/>
                <w:sz w:val="21"/>
                <w:szCs w:val="21"/>
                <w:highlight w:val="none"/>
                <w:u w:val="none"/>
              </w:rPr>
            </w:pPr>
          </w:p>
        </w:tc>
        <w:tc>
          <w:tcPr>
            <w:tcW w:w="1117" w:type="pct"/>
            <w:vAlign w:val="center"/>
          </w:tcPr>
          <w:p w14:paraId="6D4E5BA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泵、压缩机、</w:t>
            </w:r>
          </w:p>
          <w:p w14:paraId="7220274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搅拌器、泄压设备</w:t>
            </w:r>
          </w:p>
        </w:tc>
        <w:tc>
          <w:tcPr>
            <w:tcW w:w="1000" w:type="pct"/>
            <w:vAlign w:val="center"/>
          </w:tcPr>
          <w:p w14:paraId="568FE5C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0.14</w:t>
            </w:r>
          </w:p>
        </w:tc>
        <w:tc>
          <w:tcPr>
            <w:tcW w:w="491" w:type="pct"/>
            <w:vAlign w:val="center"/>
          </w:tcPr>
          <w:p w14:paraId="696EB71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lang w:val="en-US"/>
              </w:rPr>
              <w:t>9</w:t>
            </w:r>
          </w:p>
        </w:tc>
        <w:tc>
          <w:tcPr>
            <w:tcW w:w="484" w:type="pct"/>
            <w:vAlign w:val="center"/>
          </w:tcPr>
          <w:p w14:paraId="5771F4B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0.0038</w:t>
            </w:r>
          </w:p>
        </w:tc>
        <w:tc>
          <w:tcPr>
            <w:tcW w:w="454" w:type="pct"/>
          </w:tcPr>
          <w:p w14:paraId="49C6261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0.0302</w:t>
            </w:r>
          </w:p>
        </w:tc>
      </w:tr>
      <w:tr w14:paraId="0F1591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0CE42602">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2792E103">
            <w:pPr>
              <w:spacing w:line="240" w:lineRule="auto"/>
              <w:ind w:firstLine="0" w:firstLineChars="0"/>
              <w:jc w:val="center"/>
              <w:rPr>
                <w:rFonts w:hint="eastAsia"/>
                <w:color w:val="auto"/>
                <w:sz w:val="21"/>
                <w:szCs w:val="21"/>
                <w:highlight w:val="none"/>
                <w:u w:val="none"/>
              </w:rPr>
            </w:pPr>
          </w:p>
        </w:tc>
        <w:tc>
          <w:tcPr>
            <w:tcW w:w="1117" w:type="pct"/>
            <w:vAlign w:val="center"/>
          </w:tcPr>
          <w:p w14:paraId="48CEF21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其他</w:t>
            </w:r>
          </w:p>
        </w:tc>
        <w:tc>
          <w:tcPr>
            <w:tcW w:w="1000" w:type="pct"/>
            <w:vAlign w:val="center"/>
          </w:tcPr>
          <w:p w14:paraId="462AAA4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0.073</w:t>
            </w:r>
          </w:p>
        </w:tc>
        <w:tc>
          <w:tcPr>
            <w:tcW w:w="491" w:type="pct"/>
            <w:vAlign w:val="center"/>
          </w:tcPr>
          <w:p w14:paraId="6DD28582">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4058BCC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274EA4D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5BD01D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49888327">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151C42CA">
            <w:pPr>
              <w:spacing w:line="240" w:lineRule="auto"/>
              <w:ind w:firstLine="0" w:firstLineChars="0"/>
              <w:jc w:val="center"/>
              <w:rPr>
                <w:rFonts w:hint="eastAsia"/>
                <w:color w:val="auto"/>
                <w:sz w:val="21"/>
                <w:szCs w:val="21"/>
                <w:highlight w:val="none"/>
                <w:u w:val="none"/>
              </w:rPr>
            </w:pPr>
          </w:p>
        </w:tc>
        <w:tc>
          <w:tcPr>
            <w:tcW w:w="1117" w:type="pct"/>
            <w:vAlign w:val="center"/>
          </w:tcPr>
          <w:p w14:paraId="783B0E2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小计</w:t>
            </w:r>
          </w:p>
        </w:tc>
        <w:tc>
          <w:tcPr>
            <w:tcW w:w="1000" w:type="pct"/>
            <w:vAlign w:val="center"/>
          </w:tcPr>
          <w:p w14:paraId="0C9A048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91" w:type="pct"/>
            <w:vAlign w:val="center"/>
          </w:tcPr>
          <w:p w14:paraId="0BAC37F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75</w:t>
            </w:r>
          </w:p>
        </w:tc>
        <w:tc>
          <w:tcPr>
            <w:tcW w:w="484" w:type="pct"/>
            <w:vAlign w:val="center"/>
          </w:tcPr>
          <w:p w14:paraId="68EBA37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0.01123</w:t>
            </w:r>
          </w:p>
        </w:tc>
        <w:tc>
          <w:tcPr>
            <w:tcW w:w="454" w:type="pct"/>
          </w:tcPr>
          <w:p w14:paraId="32EA266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0.0899</w:t>
            </w:r>
          </w:p>
        </w:tc>
      </w:tr>
      <w:tr w14:paraId="7CFB60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restart"/>
            <w:vAlign w:val="center"/>
          </w:tcPr>
          <w:p w14:paraId="59F666B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粗TDA储罐</w:t>
            </w:r>
          </w:p>
        </w:tc>
        <w:tc>
          <w:tcPr>
            <w:tcW w:w="992" w:type="pct"/>
            <w:vMerge w:val="restart"/>
            <w:vAlign w:val="center"/>
          </w:tcPr>
          <w:p w14:paraId="5CCE6346">
            <w:pPr>
              <w:pStyle w:val="92"/>
              <w:rPr>
                <w:color w:val="auto"/>
                <w:sz w:val="21"/>
                <w:szCs w:val="21"/>
                <w:highlight w:val="none"/>
                <w:u w:val="none"/>
              </w:rPr>
            </w:pPr>
            <w:r>
              <w:rPr>
                <w:rFonts w:hint="eastAsia"/>
                <w:color w:val="auto"/>
                <w:sz w:val="21"/>
                <w:szCs w:val="21"/>
                <w:highlight w:val="none"/>
                <w:u w:val="none"/>
              </w:rPr>
              <w:t>TDA</w:t>
            </w:r>
          </w:p>
          <w:p w14:paraId="74C35F8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w:t>
            </w:r>
            <w:r>
              <w:rPr>
                <w:rFonts w:hint="eastAsia"/>
                <w:color w:val="auto"/>
                <w:sz w:val="21"/>
                <w:szCs w:val="21"/>
                <w:highlight w:val="none"/>
                <w:u w:val="none"/>
              </w:rPr>
              <w:t>特征污染物</w:t>
            </w:r>
            <w:r>
              <w:rPr>
                <w:rFonts w:hint="eastAsia"/>
                <w:color w:val="auto"/>
                <w:sz w:val="21"/>
                <w:szCs w:val="21"/>
                <w:highlight w:val="none"/>
                <w:u w:val="none"/>
                <w:lang w:val="en-US"/>
              </w:rPr>
              <w:t>）</w:t>
            </w:r>
          </w:p>
        </w:tc>
        <w:tc>
          <w:tcPr>
            <w:tcW w:w="1117" w:type="pct"/>
            <w:shd w:val="clear" w:color="auto" w:fill="auto"/>
            <w:vAlign w:val="center"/>
          </w:tcPr>
          <w:p w14:paraId="0633A0F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气体阀门</w:t>
            </w:r>
          </w:p>
        </w:tc>
        <w:tc>
          <w:tcPr>
            <w:tcW w:w="1000" w:type="pct"/>
            <w:vAlign w:val="center"/>
          </w:tcPr>
          <w:p w14:paraId="05B414E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0.024</w:t>
            </w:r>
          </w:p>
        </w:tc>
        <w:tc>
          <w:tcPr>
            <w:tcW w:w="491" w:type="pct"/>
            <w:vAlign w:val="center"/>
          </w:tcPr>
          <w:p w14:paraId="6892B99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20</w:t>
            </w:r>
          </w:p>
        </w:tc>
        <w:tc>
          <w:tcPr>
            <w:tcW w:w="484" w:type="pct"/>
            <w:vAlign w:val="center"/>
          </w:tcPr>
          <w:p w14:paraId="5FE676E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0.0014</w:t>
            </w:r>
          </w:p>
        </w:tc>
        <w:tc>
          <w:tcPr>
            <w:tcW w:w="454" w:type="pct"/>
          </w:tcPr>
          <w:p w14:paraId="276C335E">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0.0115</w:t>
            </w:r>
          </w:p>
        </w:tc>
      </w:tr>
      <w:tr w14:paraId="1ED746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52B24061">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1B5CAB79">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4D2AF97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开口阀或开口管线</w:t>
            </w:r>
          </w:p>
        </w:tc>
        <w:tc>
          <w:tcPr>
            <w:tcW w:w="1000" w:type="pct"/>
            <w:vAlign w:val="center"/>
          </w:tcPr>
          <w:p w14:paraId="04B0AF5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w:t>
            </w:r>
          </w:p>
        </w:tc>
        <w:tc>
          <w:tcPr>
            <w:tcW w:w="491" w:type="pct"/>
            <w:vAlign w:val="center"/>
          </w:tcPr>
          <w:p w14:paraId="094321B4">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6F70B75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5236E40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51BB11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43BE212D">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700B9123">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06CBEB19">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有机液体阀门</w:t>
            </w:r>
          </w:p>
        </w:tc>
        <w:tc>
          <w:tcPr>
            <w:tcW w:w="1000" w:type="pct"/>
            <w:vAlign w:val="center"/>
          </w:tcPr>
          <w:p w14:paraId="5806C97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0.036</w:t>
            </w:r>
          </w:p>
        </w:tc>
        <w:tc>
          <w:tcPr>
            <w:tcW w:w="491" w:type="pct"/>
            <w:vAlign w:val="center"/>
          </w:tcPr>
          <w:p w14:paraId="176BBA9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1AE1FCF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6AB2357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718546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109EC080">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354B9E88">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310D8B7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法兰或连接件</w:t>
            </w:r>
          </w:p>
        </w:tc>
        <w:tc>
          <w:tcPr>
            <w:tcW w:w="1000" w:type="pct"/>
            <w:vAlign w:val="center"/>
          </w:tcPr>
          <w:p w14:paraId="6FAB453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0.044</w:t>
            </w:r>
          </w:p>
        </w:tc>
        <w:tc>
          <w:tcPr>
            <w:tcW w:w="491" w:type="pct"/>
            <w:vAlign w:val="center"/>
          </w:tcPr>
          <w:p w14:paraId="188A4C2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42</w:t>
            </w:r>
          </w:p>
        </w:tc>
        <w:tc>
          <w:tcPr>
            <w:tcW w:w="484" w:type="pct"/>
            <w:vAlign w:val="center"/>
          </w:tcPr>
          <w:p w14:paraId="0C986EF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0.0055</w:t>
            </w:r>
          </w:p>
        </w:tc>
        <w:tc>
          <w:tcPr>
            <w:tcW w:w="454" w:type="pct"/>
          </w:tcPr>
          <w:p w14:paraId="4EE63B7F">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0.0444</w:t>
            </w:r>
          </w:p>
        </w:tc>
      </w:tr>
      <w:tr w14:paraId="409DE3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20E82ADC">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05C0F6B1">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56C4A3B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泵、压缩机、</w:t>
            </w:r>
          </w:p>
          <w:p w14:paraId="50C88A6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搅拌器、泄压设备</w:t>
            </w:r>
          </w:p>
        </w:tc>
        <w:tc>
          <w:tcPr>
            <w:tcW w:w="1000" w:type="pct"/>
            <w:vAlign w:val="center"/>
          </w:tcPr>
          <w:p w14:paraId="387267B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0.14</w:t>
            </w:r>
          </w:p>
        </w:tc>
        <w:tc>
          <w:tcPr>
            <w:tcW w:w="491" w:type="pct"/>
            <w:vAlign w:val="center"/>
          </w:tcPr>
          <w:p w14:paraId="18027AB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w:t>
            </w:r>
          </w:p>
        </w:tc>
        <w:tc>
          <w:tcPr>
            <w:tcW w:w="484" w:type="pct"/>
            <w:vAlign w:val="center"/>
          </w:tcPr>
          <w:p w14:paraId="322B0CD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0.0025</w:t>
            </w:r>
          </w:p>
        </w:tc>
        <w:tc>
          <w:tcPr>
            <w:tcW w:w="454" w:type="pct"/>
          </w:tcPr>
          <w:p w14:paraId="38982A5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0.0202</w:t>
            </w:r>
          </w:p>
        </w:tc>
      </w:tr>
      <w:tr w14:paraId="0A473F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04237082">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5E9FDA6E">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358B986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其他</w:t>
            </w:r>
          </w:p>
        </w:tc>
        <w:tc>
          <w:tcPr>
            <w:tcW w:w="1000" w:type="pct"/>
            <w:vAlign w:val="center"/>
          </w:tcPr>
          <w:p w14:paraId="4763B86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0.073</w:t>
            </w:r>
          </w:p>
        </w:tc>
        <w:tc>
          <w:tcPr>
            <w:tcW w:w="491" w:type="pct"/>
            <w:vAlign w:val="center"/>
          </w:tcPr>
          <w:p w14:paraId="57A7598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84" w:type="pct"/>
            <w:vAlign w:val="center"/>
          </w:tcPr>
          <w:p w14:paraId="4A23979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54" w:type="pct"/>
            <w:vAlign w:val="center"/>
          </w:tcPr>
          <w:p w14:paraId="527C6BF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00311A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58" w:type="pct"/>
            <w:vMerge w:val="continue"/>
            <w:vAlign w:val="center"/>
          </w:tcPr>
          <w:p w14:paraId="6A497D8D">
            <w:pPr>
              <w:spacing w:line="240" w:lineRule="auto"/>
              <w:ind w:firstLine="0" w:firstLineChars="0"/>
              <w:jc w:val="center"/>
              <w:rPr>
                <w:rFonts w:hint="eastAsia"/>
                <w:color w:val="auto"/>
                <w:sz w:val="21"/>
                <w:szCs w:val="21"/>
                <w:highlight w:val="none"/>
                <w:u w:val="none"/>
              </w:rPr>
            </w:pPr>
          </w:p>
        </w:tc>
        <w:tc>
          <w:tcPr>
            <w:tcW w:w="992" w:type="pct"/>
            <w:vMerge w:val="continue"/>
            <w:vAlign w:val="center"/>
          </w:tcPr>
          <w:p w14:paraId="20628927">
            <w:pPr>
              <w:spacing w:line="240" w:lineRule="auto"/>
              <w:ind w:firstLine="0" w:firstLineChars="0"/>
              <w:jc w:val="center"/>
              <w:rPr>
                <w:rFonts w:hint="eastAsia"/>
                <w:color w:val="auto"/>
                <w:sz w:val="21"/>
                <w:szCs w:val="21"/>
                <w:highlight w:val="none"/>
                <w:u w:val="none"/>
              </w:rPr>
            </w:pPr>
          </w:p>
        </w:tc>
        <w:tc>
          <w:tcPr>
            <w:tcW w:w="1117" w:type="pct"/>
            <w:shd w:val="clear" w:color="auto" w:fill="auto"/>
            <w:vAlign w:val="center"/>
          </w:tcPr>
          <w:p w14:paraId="7F346B77">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小计</w:t>
            </w:r>
          </w:p>
        </w:tc>
        <w:tc>
          <w:tcPr>
            <w:tcW w:w="1000" w:type="pct"/>
            <w:vAlign w:val="center"/>
          </w:tcPr>
          <w:p w14:paraId="190BAD51">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c>
          <w:tcPr>
            <w:tcW w:w="491" w:type="pct"/>
            <w:vAlign w:val="center"/>
          </w:tcPr>
          <w:p w14:paraId="7004C44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68</w:t>
            </w:r>
          </w:p>
        </w:tc>
        <w:tc>
          <w:tcPr>
            <w:tcW w:w="484" w:type="pct"/>
            <w:vAlign w:val="center"/>
          </w:tcPr>
          <w:p w14:paraId="01EADF6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0.0095</w:t>
            </w:r>
          </w:p>
        </w:tc>
        <w:tc>
          <w:tcPr>
            <w:tcW w:w="454" w:type="pct"/>
          </w:tcPr>
          <w:p w14:paraId="2A89B6A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0.0760</w:t>
            </w:r>
          </w:p>
        </w:tc>
      </w:tr>
    </w:tbl>
    <w:p w14:paraId="76BF9A70">
      <w:pPr>
        <w:pStyle w:val="7"/>
        <w:spacing w:before="156"/>
        <w:rPr>
          <w:color w:val="auto"/>
          <w:highlight w:val="none"/>
          <w:u w:val="none"/>
        </w:rPr>
      </w:pPr>
      <w:r>
        <w:rPr>
          <w:color w:val="auto"/>
          <w:highlight w:val="none"/>
          <w:u w:val="none"/>
        </w:rPr>
        <w:t>有机液体储存VOCs排放量估算</w:t>
      </w:r>
    </w:p>
    <w:p w14:paraId="2F94A11E">
      <w:pPr>
        <w:rPr>
          <w:rFonts w:hint="eastAsia"/>
          <w:color w:val="auto"/>
          <w:highlight w:val="none"/>
          <w:u w:val="none"/>
          <w:lang w:val="en-US"/>
        </w:rPr>
      </w:pPr>
      <w:r>
        <w:rPr>
          <w:rFonts w:hint="eastAsia"/>
          <w:color w:val="auto"/>
          <w:highlight w:val="none"/>
          <w:u w:val="none"/>
          <w:lang w:val="en-US"/>
        </w:rPr>
        <w:t>本次技改扩能项目依托的储罐依托现有工程，未发生变更。</w:t>
      </w:r>
    </w:p>
    <w:p w14:paraId="73F5C972">
      <w:pPr>
        <w:rPr>
          <w:rFonts w:hint="eastAsia"/>
          <w:color w:val="auto"/>
          <w:highlight w:val="none"/>
          <w:u w:val="none"/>
        </w:rPr>
      </w:pPr>
      <w:r>
        <w:rPr>
          <w:rFonts w:hint="eastAsia"/>
          <w:color w:val="auto"/>
          <w:highlight w:val="none"/>
          <w:u w:val="none"/>
        </w:rPr>
        <w:t>挥发性有机液体储罐（</w:t>
      </w:r>
      <w:r>
        <w:rPr>
          <w:color w:val="auto"/>
          <w:highlight w:val="none"/>
          <w:u w:val="none"/>
        </w:rPr>
        <w:t>包括ODCB储罐、TDI不合格产品储罐、粗TDA储</w:t>
      </w:r>
      <w:r>
        <w:rPr>
          <w:rFonts w:hint="eastAsia"/>
          <w:color w:val="auto"/>
          <w:highlight w:val="none"/>
          <w:u w:val="none"/>
        </w:rPr>
        <w:t>罐、MTDA储罐和</w:t>
      </w:r>
      <w:r>
        <w:rPr>
          <w:color w:val="auto"/>
          <w:highlight w:val="none"/>
          <w:u w:val="none"/>
        </w:rPr>
        <w:t>OTDA储罐）采取了相应的废气收集处理措施，另外DNT储罐罐体内采用水封措</w:t>
      </w:r>
      <w:r>
        <w:rPr>
          <w:rFonts w:hint="eastAsia"/>
          <w:color w:val="auto"/>
          <w:highlight w:val="none"/>
          <w:u w:val="none"/>
        </w:rPr>
        <w:t>施，</w:t>
      </w:r>
      <w:r>
        <w:rPr>
          <w:color w:val="auto"/>
          <w:highlight w:val="none"/>
          <w:u w:val="none"/>
        </w:rPr>
        <w:t>罐体中DNT的凝固点在57</w:t>
      </w:r>
      <w:r>
        <w:rPr>
          <w:rFonts w:hint="eastAsia"/>
          <w:color w:val="auto"/>
          <w:highlight w:val="none"/>
          <w:u w:val="none"/>
        </w:rPr>
        <w:t>℃</w:t>
      </w:r>
      <w:r>
        <w:rPr>
          <w:color w:val="auto"/>
          <w:highlight w:val="none"/>
          <w:u w:val="none"/>
        </w:rPr>
        <w:t>-62℃，储罐存储温度在60℃-80℃，较难挥发出有机</w:t>
      </w:r>
      <w:r>
        <w:rPr>
          <w:rFonts w:hint="eastAsia"/>
          <w:color w:val="auto"/>
          <w:highlight w:val="none"/>
          <w:u w:val="none"/>
        </w:rPr>
        <w:t>物，</w:t>
      </w:r>
      <w:r>
        <w:rPr>
          <w:color w:val="auto"/>
          <w:highlight w:val="none"/>
          <w:u w:val="none"/>
        </w:rPr>
        <w:t>故DNT罐体的有机物挥发量忽略不计。本项目各有机储罐存储真实蒸气压均＜5.2kPa，可以满足《挥发性有机物无组织排放控制标准》（GB37822-2019）及《石油化</w:t>
      </w:r>
      <w:r>
        <w:rPr>
          <w:rFonts w:hint="eastAsia"/>
          <w:color w:val="auto"/>
          <w:highlight w:val="none"/>
          <w:u w:val="none"/>
        </w:rPr>
        <w:t>学工业污染物排放标准》</w:t>
      </w:r>
      <w:r>
        <w:rPr>
          <w:color w:val="auto"/>
          <w:highlight w:val="none"/>
          <w:u w:val="none"/>
        </w:rPr>
        <w:t>（GB31571-2015）对挥发性有机液体储罐的控制要求。</w:t>
      </w:r>
    </w:p>
    <w:p w14:paraId="373E1A8B">
      <w:pPr>
        <w:rPr>
          <w:rFonts w:hint="eastAsia"/>
          <w:color w:val="auto"/>
          <w:highlight w:val="none"/>
          <w:u w:val="none"/>
        </w:rPr>
      </w:pPr>
      <w:r>
        <w:rPr>
          <w:rFonts w:hint="eastAsia"/>
          <w:color w:val="auto"/>
          <w:highlight w:val="none"/>
          <w:u w:val="none"/>
        </w:rPr>
        <w:t>根据《石化行业VOCs污染源排查工作指南》附录中的挥发性有机液体调和与储存挥发量计算方法，计算项目有机液体储罐的总损耗，本项目采用的储罐均为固定顶罐，各储罐均为白色，项目储罐VOCs排放估算结果</w:t>
      </w:r>
      <w:r>
        <w:rPr>
          <w:color w:val="auto"/>
          <w:highlight w:val="none"/>
          <w:u w:val="none"/>
        </w:rPr>
        <w:fldChar w:fldCharType="begin"/>
      </w:r>
      <w:r>
        <w:rPr>
          <w:color w:val="auto"/>
          <w:highlight w:val="none"/>
          <w:u w:val="none"/>
        </w:rPr>
        <w:instrText xml:space="preserve"> REF _Ref138701068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rFonts w:hint="eastAsia"/>
          <w:color w:val="auto"/>
          <w:highlight w:val="none"/>
          <w:u w:val="none"/>
        </w:rPr>
        <w:t>8</w:t>
      </w:r>
      <w:r>
        <w:rPr>
          <w:color w:val="auto"/>
          <w:highlight w:val="none"/>
          <w:u w:val="none"/>
        </w:rPr>
        <w:fldChar w:fldCharType="end"/>
      </w:r>
      <w:r>
        <w:rPr>
          <w:color w:val="auto"/>
          <w:highlight w:val="none"/>
          <w:u w:val="none"/>
        </w:rPr>
        <w:t>。</w:t>
      </w:r>
    </w:p>
    <w:p w14:paraId="648D1159">
      <w:pPr>
        <w:rPr>
          <w:rFonts w:hint="eastAsia"/>
          <w:color w:val="auto"/>
          <w:highlight w:val="none"/>
          <w:u w:val="none"/>
        </w:rPr>
      </w:pPr>
      <w:r>
        <w:rPr>
          <w:rFonts w:hint="eastAsia"/>
          <w:color w:val="auto"/>
          <w:highlight w:val="none"/>
          <w:u w:val="none"/>
        </w:rPr>
        <w:t>根据《挥发性有机物无组织排放控制标准》（GB</w:t>
      </w:r>
      <w:r>
        <w:rPr>
          <w:color w:val="auto"/>
          <w:highlight w:val="none"/>
          <w:u w:val="none"/>
        </w:rPr>
        <w:t>37822</w:t>
      </w:r>
      <w:r>
        <w:rPr>
          <w:rFonts w:hint="eastAsia"/>
          <w:color w:val="auto"/>
          <w:highlight w:val="none"/>
          <w:u w:val="none"/>
        </w:rPr>
        <w:t>-</w:t>
      </w:r>
      <w:r>
        <w:rPr>
          <w:color w:val="auto"/>
          <w:highlight w:val="none"/>
          <w:u w:val="none"/>
        </w:rPr>
        <w:t>2019</w:t>
      </w:r>
      <w:r>
        <w:rPr>
          <w:rFonts w:hint="eastAsia"/>
          <w:color w:val="auto"/>
          <w:highlight w:val="none"/>
          <w:u w:val="none"/>
        </w:rPr>
        <w:t>）及《关于印发&lt;重点行业挥发性有机物综合治理方案</w:t>
      </w:r>
      <w:r>
        <w:rPr>
          <w:color w:val="auto"/>
          <w:highlight w:val="none"/>
          <w:u w:val="none"/>
        </w:rPr>
        <w:t>&gt;</w:t>
      </w:r>
      <w:r>
        <w:rPr>
          <w:rFonts w:hint="eastAsia"/>
          <w:color w:val="auto"/>
          <w:highlight w:val="none"/>
          <w:u w:val="none"/>
        </w:rPr>
        <w:t>的通知》（环大气[</w:t>
      </w:r>
      <w:r>
        <w:rPr>
          <w:color w:val="auto"/>
          <w:highlight w:val="none"/>
          <w:u w:val="none"/>
        </w:rPr>
        <w:t>2019]53</w:t>
      </w:r>
      <w:r>
        <w:rPr>
          <w:rFonts w:hint="eastAsia"/>
          <w:color w:val="auto"/>
          <w:highlight w:val="none"/>
          <w:u w:val="none"/>
        </w:rPr>
        <w:t>号），遵循“应收尽收”的原则，将无组织排放转变为有组织排放进行控制，本项目各有机液体储罐呼吸阀经氮封后安装尾气吸收管，ODCB储罐废气收集后采用</w:t>
      </w:r>
      <w:r>
        <w:rPr>
          <w:color w:val="auto"/>
          <w:highlight w:val="none"/>
          <w:u w:val="none"/>
        </w:rPr>
        <w:t>两级活性炭吸附</w:t>
      </w:r>
      <w:r>
        <w:rPr>
          <w:rFonts w:hint="eastAsia"/>
          <w:color w:val="auto"/>
          <w:highlight w:val="none"/>
          <w:u w:val="none"/>
        </w:rPr>
        <w:t>后，通过一根1</w:t>
      </w:r>
      <w:r>
        <w:rPr>
          <w:color w:val="auto"/>
          <w:highlight w:val="none"/>
          <w:u w:val="none"/>
        </w:rPr>
        <w:t>5</w:t>
      </w:r>
      <w:r>
        <w:rPr>
          <w:rFonts w:hint="eastAsia"/>
          <w:color w:val="auto"/>
          <w:highlight w:val="none"/>
          <w:u w:val="none"/>
        </w:rPr>
        <w:t>m高排气筒排放；</w:t>
      </w:r>
      <w:r>
        <w:rPr>
          <w:color w:val="auto"/>
          <w:highlight w:val="none"/>
          <w:u w:val="none"/>
        </w:rPr>
        <w:t>TDI不合格产品储罐</w:t>
      </w:r>
      <w:r>
        <w:rPr>
          <w:rFonts w:hint="eastAsia"/>
          <w:color w:val="auto"/>
          <w:highlight w:val="none"/>
          <w:u w:val="none"/>
        </w:rPr>
        <w:t>废气收集后并入光化尾气依托万华</w:t>
      </w:r>
      <w:r>
        <w:rPr>
          <w:rFonts w:hint="eastAsia"/>
          <w:color w:val="auto"/>
          <w:highlight w:val="none"/>
          <w:u w:val="none"/>
          <w:lang w:val="en-US"/>
        </w:rPr>
        <w:t>环保科技</w:t>
      </w:r>
      <w:r>
        <w:rPr>
          <w:rFonts w:hint="eastAsia"/>
          <w:color w:val="auto"/>
          <w:highlight w:val="none"/>
          <w:u w:val="none"/>
        </w:rPr>
        <w:t>公司</w:t>
      </w:r>
      <w:r>
        <w:rPr>
          <w:color w:val="auto"/>
          <w:highlight w:val="none"/>
          <w:u w:val="none"/>
        </w:rPr>
        <w:t>能量回收装置焚烧处置。粗TDA储</w:t>
      </w:r>
      <w:r>
        <w:rPr>
          <w:rFonts w:hint="eastAsia"/>
          <w:color w:val="auto"/>
          <w:highlight w:val="none"/>
          <w:u w:val="none"/>
        </w:rPr>
        <w:t>罐和</w:t>
      </w:r>
      <w:r>
        <w:rPr>
          <w:color w:val="auto"/>
          <w:highlight w:val="none"/>
          <w:u w:val="none"/>
        </w:rPr>
        <w:t>OTDA储罐</w:t>
      </w:r>
      <w:r>
        <w:rPr>
          <w:rFonts w:hint="eastAsia"/>
          <w:color w:val="auto"/>
          <w:highlight w:val="none"/>
          <w:u w:val="none"/>
        </w:rPr>
        <w:t>废气收集后并入精制尾气，</w:t>
      </w:r>
      <w:r>
        <w:rPr>
          <w:color w:val="auto"/>
          <w:highlight w:val="none"/>
          <w:u w:val="none"/>
        </w:rPr>
        <w:t>经</w:t>
      </w:r>
      <w:r>
        <w:rPr>
          <w:rFonts w:hint="eastAsia"/>
          <w:color w:val="auto"/>
          <w:highlight w:val="none"/>
          <w:u w:val="none"/>
        </w:rPr>
        <w:t>“冷凝+</w:t>
      </w:r>
      <w:r>
        <w:rPr>
          <w:color w:val="auto"/>
          <w:highlight w:val="none"/>
          <w:u w:val="none"/>
        </w:rPr>
        <w:t>水洗涤+活性炭吸附</w:t>
      </w:r>
      <w:r>
        <w:rPr>
          <w:rFonts w:hint="eastAsia"/>
          <w:color w:val="auto"/>
          <w:highlight w:val="none"/>
          <w:u w:val="none"/>
        </w:rPr>
        <w:t>”</w:t>
      </w:r>
      <w:r>
        <w:rPr>
          <w:color w:val="auto"/>
          <w:highlight w:val="none"/>
          <w:u w:val="none"/>
        </w:rPr>
        <w:t>处理达标后由</w:t>
      </w:r>
      <w:r>
        <w:rPr>
          <w:rFonts w:hint="eastAsia"/>
          <w:color w:val="auto"/>
          <w:highlight w:val="none"/>
          <w:u w:val="none"/>
        </w:rPr>
        <w:t>3</w:t>
      </w:r>
      <w:r>
        <w:rPr>
          <w:rFonts w:hint="eastAsia"/>
          <w:color w:val="auto"/>
          <w:highlight w:val="none"/>
          <w:u w:val="none"/>
          <w:lang w:val="en-US"/>
        </w:rPr>
        <w:t>4</w:t>
      </w:r>
      <w:r>
        <w:rPr>
          <w:rFonts w:hint="eastAsia"/>
          <w:color w:val="auto"/>
          <w:highlight w:val="none"/>
          <w:u w:val="none"/>
        </w:rPr>
        <w:t>m高</w:t>
      </w:r>
      <w:r>
        <w:rPr>
          <w:color w:val="auto"/>
          <w:highlight w:val="none"/>
          <w:u w:val="none"/>
        </w:rPr>
        <w:t>排气筒排放。</w:t>
      </w:r>
    </w:p>
    <w:p w14:paraId="12DF6EC8">
      <w:pPr>
        <w:ind w:firstLine="0" w:firstLineChars="0"/>
        <w:rPr>
          <w:rFonts w:hint="eastAsia"/>
          <w:color w:val="auto"/>
          <w:highlight w:val="none"/>
          <w:u w:val="none"/>
        </w:rPr>
      </w:pPr>
    </w:p>
    <w:p w14:paraId="20A9B444">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4EF91AF0">
      <w:pPr>
        <w:pStyle w:val="7"/>
        <w:spacing w:before="156"/>
        <w:rPr>
          <w:color w:val="auto"/>
          <w:highlight w:val="none"/>
          <w:u w:val="none"/>
        </w:rPr>
      </w:pPr>
      <w:r>
        <w:rPr>
          <w:rFonts w:hint="eastAsia"/>
          <w:color w:val="auto"/>
          <w:highlight w:val="none"/>
          <w:u w:val="none"/>
        </w:rPr>
        <w:t>工艺有组织</w:t>
      </w:r>
      <w:r>
        <w:rPr>
          <w:color w:val="auto"/>
          <w:highlight w:val="none"/>
          <w:u w:val="none"/>
        </w:rPr>
        <w:t>VOCs排放</w:t>
      </w:r>
    </w:p>
    <w:p w14:paraId="458B4400">
      <w:pPr>
        <w:rPr>
          <w:rFonts w:hint="eastAsia"/>
          <w:color w:val="auto"/>
          <w:highlight w:val="none"/>
          <w:u w:val="none"/>
        </w:rPr>
      </w:pPr>
      <w:r>
        <w:rPr>
          <w:rFonts w:hint="eastAsia"/>
          <w:color w:val="auto"/>
          <w:highlight w:val="none"/>
          <w:u w:val="none"/>
        </w:rPr>
        <w:t>本项目工艺有组织</w:t>
      </w:r>
      <w:r>
        <w:rPr>
          <w:color w:val="auto"/>
          <w:highlight w:val="none"/>
          <w:u w:val="none"/>
        </w:rPr>
        <w:t>VOC</w:t>
      </w:r>
      <w:r>
        <w:rPr>
          <w:color w:val="auto"/>
          <w:highlight w:val="none"/>
          <w:u w:val="none"/>
          <w:vertAlign w:val="subscript"/>
        </w:rPr>
        <w:t>S</w:t>
      </w:r>
      <w:r>
        <w:rPr>
          <w:color w:val="auto"/>
          <w:highlight w:val="none"/>
          <w:u w:val="none"/>
        </w:rPr>
        <w:t>排放量详见5.1.4</w:t>
      </w:r>
      <w:r>
        <w:rPr>
          <w:rFonts w:hint="eastAsia"/>
          <w:color w:val="auto"/>
          <w:highlight w:val="none"/>
          <w:u w:val="none"/>
        </w:rPr>
        <w:t>小</w:t>
      </w:r>
      <w:r>
        <w:rPr>
          <w:color w:val="auto"/>
          <w:highlight w:val="none"/>
          <w:u w:val="none"/>
        </w:rPr>
        <w:t>节</w:t>
      </w:r>
      <w:r>
        <w:rPr>
          <w:rFonts w:hint="eastAsia"/>
          <w:color w:val="auto"/>
          <w:highlight w:val="none"/>
          <w:u w:val="none"/>
        </w:rPr>
        <w:t>。</w:t>
      </w:r>
      <w:r>
        <w:rPr>
          <w:color w:val="auto"/>
          <w:highlight w:val="none"/>
          <w:u w:val="none"/>
        </w:rPr>
        <w:t>酸性废气、碱性废气、</w:t>
      </w:r>
      <w:r>
        <w:rPr>
          <w:rFonts w:hint="eastAsia"/>
          <w:color w:val="auto"/>
          <w:highlight w:val="none"/>
          <w:u w:val="none"/>
        </w:rPr>
        <w:t>氢化单元反应驰放气、</w:t>
      </w:r>
      <w:r>
        <w:rPr>
          <w:color w:val="auto"/>
          <w:highlight w:val="none"/>
          <w:u w:val="none"/>
        </w:rPr>
        <w:t>光化尾气（含TDI不合格储罐呼吸气）经预</w:t>
      </w:r>
      <w:r>
        <w:rPr>
          <w:rFonts w:hint="eastAsia"/>
          <w:color w:val="auto"/>
          <w:highlight w:val="none"/>
          <w:u w:val="none"/>
        </w:rPr>
        <w:t>处理后送万华</w:t>
      </w:r>
      <w:r>
        <w:rPr>
          <w:rFonts w:hint="eastAsia"/>
          <w:color w:val="auto"/>
          <w:highlight w:val="none"/>
          <w:u w:val="none"/>
          <w:lang w:val="en-US"/>
        </w:rPr>
        <w:t>环保科技</w:t>
      </w:r>
      <w:r>
        <w:rPr>
          <w:rFonts w:hint="eastAsia"/>
          <w:color w:val="auto"/>
          <w:highlight w:val="none"/>
          <w:u w:val="none"/>
        </w:rPr>
        <w:t>公司能量回收装置焚烧，其</w:t>
      </w:r>
      <w:r>
        <w:rPr>
          <w:color w:val="auto"/>
          <w:highlight w:val="none"/>
          <w:u w:val="none"/>
        </w:rPr>
        <w:t>VOC</w:t>
      </w:r>
      <w:r>
        <w:rPr>
          <w:color w:val="auto"/>
          <w:highlight w:val="none"/>
          <w:u w:val="none"/>
          <w:vertAlign w:val="subscript"/>
        </w:rPr>
        <w:t>S</w:t>
      </w:r>
      <w:r>
        <w:rPr>
          <w:color w:val="auto"/>
          <w:highlight w:val="none"/>
          <w:u w:val="none"/>
        </w:rPr>
        <w:t>废气排放总量计入</w:t>
      </w:r>
      <w:r>
        <w:rPr>
          <w:rFonts w:hint="eastAsia"/>
          <w:color w:val="auto"/>
          <w:highlight w:val="none"/>
          <w:u w:val="none"/>
        </w:rPr>
        <w:t>附属配套设施</w:t>
      </w:r>
      <w:r>
        <w:rPr>
          <w:color w:val="auto"/>
          <w:highlight w:val="none"/>
          <w:u w:val="none"/>
        </w:rPr>
        <w:t>工程项目，不计入本项</w:t>
      </w:r>
      <w:r>
        <w:rPr>
          <w:rFonts w:hint="eastAsia"/>
          <w:color w:val="auto"/>
          <w:highlight w:val="none"/>
          <w:u w:val="none"/>
        </w:rPr>
        <w:t>目总量。</w:t>
      </w:r>
    </w:p>
    <w:p w14:paraId="0ABC938A">
      <w:pPr>
        <w:pStyle w:val="6"/>
        <w:spacing w:before="156" w:after="156"/>
        <w:rPr>
          <w:color w:val="auto"/>
          <w:highlight w:val="none"/>
          <w:u w:val="none"/>
        </w:rPr>
      </w:pPr>
      <w:bookmarkStart w:id="335" w:name="_Toc148374553"/>
      <w:bookmarkStart w:id="336" w:name="_Toc148374995"/>
      <w:r>
        <w:rPr>
          <w:rFonts w:hint="eastAsia"/>
          <w:color w:val="auto"/>
          <w:highlight w:val="none"/>
          <w:u w:val="none"/>
        </w:rPr>
        <w:t>本项目</w:t>
      </w:r>
      <w:r>
        <w:rPr>
          <w:color w:val="auto"/>
          <w:highlight w:val="none"/>
          <w:u w:val="none"/>
        </w:rPr>
        <w:t>VOC</w:t>
      </w:r>
      <w:r>
        <w:rPr>
          <w:color w:val="auto"/>
          <w:highlight w:val="none"/>
          <w:u w:val="none"/>
          <w:vertAlign w:val="subscript"/>
        </w:rPr>
        <w:t>S</w:t>
      </w:r>
      <w:r>
        <w:rPr>
          <w:color w:val="auto"/>
          <w:highlight w:val="none"/>
          <w:u w:val="none"/>
        </w:rPr>
        <w:t>总排放量估算</w:t>
      </w:r>
      <w:bookmarkEnd w:id="335"/>
      <w:bookmarkEnd w:id="336"/>
    </w:p>
    <w:p w14:paraId="7F74B8F2">
      <w:pPr>
        <w:rPr>
          <w:rFonts w:hint="eastAsia"/>
          <w:color w:val="auto"/>
          <w:highlight w:val="none"/>
          <w:u w:val="none"/>
        </w:rPr>
      </w:pPr>
      <w:r>
        <w:rPr>
          <w:rFonts w:hint="eastAsia"/>
          <w:color w:val="auto"/>
          <w:highlight w:val="none"/>
          <w:u w:val="none"/>
        </w:rPr>
        <w:t>通过本项目</w:t>
      </w:r>
      <w:r>
        <w:rPr>
          <w:color w:val="auto"/>
          <w:highlight w:val="none"/>
          <w:u w:val="none"/>
        </w:rPr>
        <w:t>VOC</w:t>
      </w:r>
      <w:r>
        <w:rPr>
          <w:color w:val="auto"/>
          <w:highlight w:val="none"/>
          <w:u w:val="none"/>
          <w:vertAlign w:val="subscript"/>
        </w:rPr>
        <w:t>S</w:t>
      </w:r>
      <w:r>
        <w:rPr>
          <w:color w:val="auto"/>
          <w:highlight w:val="none"/>
          <w:u w:val="none"/>
        </w:rPr>
        <w:t>污染源归类解析及VOC</w:t>
      </w:r>
      <w:r>
        <w:rPr>
          <w:color w:val="auto"/>
          <w:highlight w:val="none"/>
          <w:u w:val="none"/>
          <w:vertAlign w:val="subscript"/>
        </w:rPr>
        <w:t>S</w:t>
      </w:r>
      <w:r>
        <w:rPr>
          <w:color w:val="auto"/>
          <w:highlight w:val="none"/>
          <w:u w:val="none"/>
        </w:rPr>
        <w:t>污染源估算，本项目核算的VOC</w:t>
      </w:r>
      <w:r>
        <w:rPr>
          <w:color w:val="auto"/>
          <w:highlight w:val="none"/>
          <w:u w:val="none"/>
          <w:vertAlign w:val="subscript"/>
        </w:rPr>
        <w:t>S</w:t>
      </w:r>
      <w:r>
        <w:rPr>
          <w:color w:val="auto"/>
          <w:highlight w:val="none"/>
          <w:u w:val="none"/>
        </w:rPr>
        <w:t>排放</w:t>
      </w:r>
      <w:r>
        <w:rPr>
          <w:rFonts w:hint="eastAsia"/>
          <w:color w:val="auto"/>
          <w:highlight w:val="none"/>
          <w:u w:val="none"/>
        </w:rPr>
        <w:t>量详见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_Ref138701487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5.6</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9</w:t>
      </w:r>
      <w:r>
        <w:rPr>
          <w:color w:val="auto"/>
          <w:highlight w:val="none"/>
          <w:u w:val="none"/>
        </w:rPr>
        <w:fldChar w:fldCharType="end"/>
      </w:r>
      <w:r>
        <w:rPr>
          <w:rFonts w:hint="eastAsia"/>
          <w:color w:val="auto"/>
          <w:highlight w:val="none"/>
          <w:u w:val="none"/>
        </w:rPr>
        <w:t>，</w:t>
      </w:r>
      <w:r>
        <w:rPr>
          <w:rFonts w:hint="eastAsia"/>
          <w:color w:val="auto"/>
          <w:highlight w:val="none"/>
          <w:u w:val="none"/>
          <w:lang w:val="en-US"/>
        </w:rPr>
        <w:t>扩能改造前后TDI一期</w:t>
      </w:r>
      <w:r>
        <w:rPr>
          <w:color w:val="auto"/>
          <w:highlight w:val="none"/>
          <w:u w:val="none"/>
        </w:rPr>
        <w:t>VOC</w:t>
      </w:r>
      <w:r>
        <w:rPr>
          <w:color w:val="auto"/>
          <w:highlight w:val="none"/>
          <w:u w:val="none"/>
          <w:vertAlign w:val="subscript"/>
        </w:rPr>
        <w:t>S</w:t>
      </w:r>
      <w:r>
        <w:rPr>
          <w:color w:val="auto"/>
          <w:highlight w:val="none"/>
          <w:u w:val="none"/>
        </w:rPr>
        <w:t>排放</w:t>
      </w:r>
      <w:r>
        <w:rPr>
          <w:rFonts w:hint="eastAsia"/>
          <w:color w:val="auto"/>
          <w:highlight w:val="none"/>
          <w:u w:val="none"/>
        </w:rPr>
        <w:t>量</w:t>
      </w:r>
      <w:r>
        <w:rPr>
          <w:rFonts w:hint="eastAsia"/>
          <w:color w:val="auto"/>
          <w:highlight w:val="none"/>
          <w:u w:val="none"/>
          <w:lang w:val="en-US"/>
        </w:rPr>
        <w:t>变化，见</w:t>
      </w:r>
      <w:r>
        <w:rPr>
          <w:rFonts w:hint="eastAsia"/>
          <w:color w:val="auto"/>
          <w:highlight w:val="none"/>
          <w:u w:val="none"/>
          <w:lang w:val="en-US"/>
        </w:rPr>
        <w:fldChar w:fldCharType="begin"/>
      </w:r>
      <w:r>
        <w:rPr>
          <w:rFonts w:hint="eastAsia"/>
          <w:color w:val="auto"/>
          <w:highlight w:val="none"/>
          <w:u w:val="none"/>
          <w:lang w:val="en-US"/>
        </w:rPr>
        <w:instrText xml:space="preserve"> REF _Ref31932 \h </w:instrText>
      </w:r>
      <w:r>
        <w:rPr>
          <w:rFonts w:hint="eastAsia"/>
          <w:color w:val="auto"/>
          <w:highlight w:val="none"/>
          <w:u w:val="none"/>
          <w:lang w:val="en-US"/>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rFonts w:hint="eastAsia"/>
          <w:color w:val="auto"/>
          <w:highlight w:val="none"/>
          <w:u w:val="none"/>
        </w:rPr>
        <w:t>10</w:t>
      </w:r>
      <w:r>
        <w:rPr>
          <w:rFonts w:hint="eastAsia"/>
          <w:color w:val="auto"/>
          <w:highlight w:val="none"/>
          <w:u w:val="none"/>
          <w:lang w:val="en-US"/>
        </w:rPr>
        <w:fldChar w:fldCharType="end"/>
      </w:r>
      <w:r>
        <w:rPr>
          <w:color w:val="auto"/>
          <w:highlight w:val="none"/>
          <w:u w:val="none"/>
        </w:rPr>
        <w:t>。</w:t>
      </w:r>
    </w:p>
    <w:p w14:paraId="3BE81560">
      <w:pPr>
        <w:pStyle w:val="85"/>
        <w:rPr>
          <w:color w:val="auto"/>
          <w:highlight w:val="none"/>
          <w:u w:val="none"/>
        </w:rPr>
      </w:pPr>
      <w:bookmarkStart w:id="337" w:name="_Ref138701487"/>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9</w:t>
      </w:r>
      <w:r>
        <w:rPr>
          <w:color w:val="auto"/>
          <w:highlight w:val="none"/>
          <w:u w:val="none"/>
        </w:rPr>
        <w:fldChar w:fldCharType="end"/>
      </w:r>
      <w:bookmarkEnd w:id="337"/>
      <w:r>
        <w:rPr>
          <w:color w:val="auto"/>
          <w:highlight w:val="none"/>
          <w:u w:val="none"/>
        </w:rPr>
        <w:t xml:space="preserve">  </w:t>
      </w:r>
      <w:r>
        <w:rPr>
          <w:rFonts w:hint="eastAsia"/>
          <w:color w:val="auto"/>
          <w:highlight w:val="none"/>
          <w:u w:val="none"/>
        </w:rPr>
        <w:t>本次技改扩能后TDI一期</w:t>
      </w:r>
      <w:r>
        <w:rPr>
          <w:color w:val="auto"/>
          <w:highlight w:val="none"/>
          <w:u w:val="none"/>
        </w:rPr>
        <w:t>VOC</w:t>
      </w:r>
      <w:r>
        <w:rPr>
          <w:color w:val="auto"/>
          <w:highlight w:val="none"/>
          <w:u w:val="none"/>
          <w:vertAlign w:val="subscript"/>
        </w:rPr>
        <w:t>S</w:t>
      </w:r>
      <w:r>
        <w:rPr>
          <w:color w:val="auto"/>
          <w:highlight w:val="none"/>
          <w:u w:val="none"/>
        </w:rPr>
        <w:t>排放量汇总</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26"/>
        <w:gridCol w:w="4082"/>
        <w:gridCol w:w="1345"/>
        <w:gridCol w:w="1788"/>
        <w:gridCol w:w="1345"/>
      </w:tblGrid>
      <w:tr w14:paraId="7DA3EE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restart"/>
            <w:vAlign w:val="center"/>
          </w:tcPr>
          <w:p w14:paraId="5188C849">
            <w:pPr>
              <w:widowControl/>
              <w:spacing w:line="240" w:lineRule="auto"/>
              <w:ind w:firstLine="0" w:firstLineChars="0"/>
              <w:jc w:val="center"/>
              <w:rPr>
                <w:rFonts w:hint="eastAsia"/>
                <w:color w:val="auto"/>
                <w:sz w:val="21"/>
                <w:szCs w:val="21"/>
                <w:highlight w:val="none"/>
                <w:u w:val="none"/>
              </w:rPr>
            </w:pPr>
            <w:r>
              <w:rPr>
                <w:rStyle w:val="150"/>
                <w:rFonts w:hint="default"/>
                <w:color w:val="auto"/>
                <w:sz w:val="21"/>
                <w:szCs w:val="21"/>
                <w:highlight w:val="none"/>
                <w:u w:val="none"/>
              </w:rPr>
              <w:t>序号</w:t>
            </w:r>
          </w:p>
        </w:tc>
        <w:tc>
          <w:tcPr>
            <w:tcW w:w="2198" w:type="pct"/>
            <w:vMerge w:val="restart"/>
            <w:vAlign w:val="center"/>
          </w:tcPr>
          <w:p w14:paraId="07786C2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装置名称</w:t>
            </w:r>
          </w:p>
        </w:tc>
        <w:tc>
          <w:tcPr>
            <w:tcW w:w="2411" w:type="pct"/>
            <w:gridSpan w:val="3"/>
            <w:vAlign w:val="center"/>
          </w:tcPr>
          <w:p w14:paraId="31D96FD4">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VOC</w:t>
            </w:r>
            <w:r>
              <w:rPr>
                <w:color w:val="auto"/>
                <w:sz w:val="21"/>
                <w:szCs w:val="21"/>
                <w:highlight w:val="none"/>
                <w:u w:val="none"/>
                <w:vertAlign w:val="subscript"/>
              </w:rPr>
              <w:t>S</w:t>
            </w:r>
            <w:r>
              <w:rPr>
                <w:color w:val="auto"/>
                <w:sz w:val="21"/>
                <w:szCs w:val="21"/>
                <w:highlight w:val="none"/>
                <w:u w:val="none"/>
              </w:rPr>
              <w:t>排放（依托</w:t>
            </w:r>
            <w:r>
              <w:rPr>
                <w:rFonts w:hint="eastAsia"/>
                <w:color w:val="auto"/>
                <w:sz w:val="21"/>
                <w:szCs w:val="21"/>
                <w:highlight w:val="none"/>
                <w:u w:val="none"/>
              </w:rPr>
              <w:t>万华环保科技公司</w:t>
            </w:r>
            <w:r>
              <w:rPr>
                <w:color w:val="auto"/>
                <w:sz w:val="21"/>
                <w:szCs w:val="21"/>
                <w:highlight w:val="none"/>
                <w:u w:val="none"/>
              </w:rPr>
              <w:t>能量回收装置处</w:t>
            </w:r>
            <w:r>
              <w:rPr>
                <w:rFonts w:hint="eastAsia"/>
                <w:color w:val="auto"/>
                <w:sz w:val="21"/>
                <w:szCs w:val="21"/>
                <w:highlight w:val="none"/>
                <w:u w:val="none"/>
              </w:rPr>
              <w:t>理后的</w:t>
            </w:r>
            <w:r>
              <w:rPr>
                <w:color w:val="auto"/>
                <w:sz w:val="21"/>
                <w:szCs w:val="21"/>
                <w:highlight w:val="none"/>
                <w:u w:val="none"/>
              </w:rPr>
              <w:t>VOC</w:t>
            </w:r>
            <w:r>
              <w:rPr>
                <w:color w:val="auto"/>
                <w:sz w:val="21"/>
                <w:szCs w:val="21"/>
                <w:highlight w:val="none"/>
                <w:u w:val="none"/>
                <w:vertAlign w:val="subscript"/>
              </w:rPr>
              <w:t>S</w:t>
            </w:r>
            <w:r>
              <w:rPr>
                <w:color w:val="auto"/>
                <w:sz w:val="21"/>
                <w:szCs w:val="21"/>
                <w:highlight w:val="none"/>
                <w:u w:val="none"/>
              </w:rPr>
              <w:t>排放量不计入）</w:t>
            </w:r>
          </w:p>
        </w:tc>
      </w:tr>
      <w:tr w14:paraId="47C6A6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continue"/>
            <w:vAlign w:val="center"/>
          </w:tcPr>
          <w:p w14:paraId="14F55692">
            <w:pPr>
              <w:spacing w:line="240" w:lineRule="auto"/>
              <w:ind w:firstLine="0" w:firstLineChars="0"/>
              <w:jc w:val="center"/>
              <w:rPr>
                <w:rFonts w:hint="eastAsia"/>
                <w:color w:val="auto"/>
                <w:sz w:val="21"/>
                <w:szCs w:val="21"/>
                <w:highlight w:val="none"/>
                <w:u w:val="none"/>
              </w:rPr>
            </w:pPr>
          </w:p>
        </w:tc>
        <w:tc>
          <w:tcPr>
            <w:tcW w:w="2198" w:type="pct"/>
            <w:vMerge w:val="continue"/>
            <w:vAlign w:val="center"/>
          </w:tcPr>
          <w:p w14:paraId="2306DC42">
            <w:pPr>
              <w:spacing w:line="240" w:lineRule="auto"/>
              <w:ind w:firstLine="0" w:firstLineChars="0"/>
              <w:jc w:val="center"/>
              <w:rPr>
                <w:rFonts w:hint="eastAsia"/>
                <w:color w:val="auto"/>
                <w:sz w:val="21"/>
                <w:szCs w:val="21"/>
                <w:highlight w:val="none"/>
                <w:u w:val="none"/>
              </w:rPr>
            </w:pPr>
          </w:p>
        </w:tc>
        <w:tc>
          <w:tcPr>
            <w:tcW w:w="724" w:type="pct"/>
            <w:vAlign w:val="center"/>
          </w:tcPr>
          <w:p w14:paraId="593C92D0">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速率</w:t>
            </w:r>
          </w:p>
        </w:tc>
        <w:tc>
          <w:tcPr>
            <w:tcW w:w="963" w:type="pct"/>
            <w:vAlign w:val="center"/>
          </w:tcPr>
          <w:p w14:paraId="03D9104E">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排放量</w:t>
            </w:r>
          </w:p>
        </w:tc>
        <w:tc>
          <w:tcPr>
            <w:tcW w:w="724" w:type="pct"/>
            <w:vAlign w:val="center"/>
          </w:tcPr>
          <w:p w14:paraId="3953328A">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占比</w:t>
            </w:r>
          </w:p>
        </w:tc>
      </w:tr>
      <w:tr w14:paraId="76B621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continue"/>
            <w:vAlign w:val="center"/>
          </w:tcPr>
          <w:p w14:paraId="2AEBC30C">
            <w:pPr>
              <w:spacing w:line="240" w:lineRule="auto"/>
              <w:ind w:firstLine="0" w:firstLineChars="0"/>
              <w:jc w:val="center"/>
              <w:rPr>
                <w:rFonts w:hint="eastAsia"/>
                <w:color w:val="auto"/>
                <w:sz w:val="21"/>
                <w:szCs w:val="21"/>
                <w:highlight w:val="none"/>
                <w:u w:val="none"/>
              </w:rPr>
            </w:pPr>
          </w:p>
        </w:tc>
        <w:tc>
          <w:tcPr>
            <w:tcW w:w="2198" w:type="pct"/>
            <w:vMerge w:val="continue"/>
            <w:vAlign w:val="center"/>
          </w:tcPr>
          <w:p w14:paraId="31A66B38">
            <w:pPr>
              <w:spacing w:line="240" w:lineRule="auto"/>
              <w:ind w:firstLine="0" w:firstLineChars="0"/>
              <w:jc w:val="center"/>
              <w:rPr>
                <w:rFonts w:hint="eastAsia"/>
                <w:color w:val="auto"/>
                <w:sz w:val="21"/>
                <w:szCs w:val="21"/>
                <w:highlight w:val="none"/>
                <w:u w:val="none"/>
              </w:rPr>
            </w:pPr>
          </w:p>
        </w:tc>
        <w:tc>
          <w:tcPr>
            <w:tcW w:w="724" w:type="pct"/>
            <w:vAlign w:val="center"/>
          </w:tcPr>
          <w:p w14:paraId="586BFE3C">
            <w:pPr>
              <w:spacing w:line="240" w:lineRule="auto"/>
              <w:ind w:firstLine="0" w:firstLineChars="0"/>
              <w:jc w:val="center"/>
              <w:rPr>
                <w:rFonts w:hint="eastAsia"/>
                <w:color w:val="auto"/>
                <w:sz w:val="21"/>
                <w:szCs w:val="21"/>
                <w:highlight w:val="none"/>
                <w:u w:val="none"/>
              </w:rPr>
            </w:pPr>
            <w:r>
              <w:rPr>
                <w:color w:val="auto"/>
                <w:sz w:val="21"/>
                <w:szCs w:val="21"/>
                <w:highlight w:val="none"/>
                <w:u w:val="none"/>
              </w:rPr>
              <w:t>kg/h</w:t>
            </w:r>
          </w:p>
        </w:tc>
        <w:tc>
          <w:tcPr>
            <w:tcW w:w="963" w:type="pct"/>
            <w:vAlign w:val="center"/>
          </w:tcPr>
          <w:p w14:paraId="42053B28">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t</w:t>
            </w:r>
            <w:r>
              <w:rPr>
                <w:color w:val="auto"/>
                <w:sz w:val="21"/>
                <w:szCs w:val="21"/>
                <w:highlight w:val="none"/>
                <w:u w:val="none"/>
              </w:rPr>
              <w:t>/a</w:t>
            </w:r>
          </w:p>
        </w:tc>
        <w:tc>
          <w:tcPr>
            <w:tcW w:w="724" w:type="pct"/>
            <w:vAlign w:val="center"/>
          </w:tcPr>
          <w:p w14:paraId="5DBB54EE">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w:t>
            </w:r>
          </w:p>
        </w:tc>
      </w:tr>
      <w:tr w14:paraId="5B2A4B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Align w:val="center"/>
          </w:tcPr>
          <w:p w14:paraId="443A97A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w:t>
            </w:r>
          </w:p>
        </w:tc>
        <w:tc>
          <w:tcPr>
            <w:tcW w:w="2198" w:type="pct"/>
            <w:vAlign w:val="center"/>
          </w:tcPr>
          <w:p w14:paraId="16D98D4F">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设备动静密封点泄漏排放</w:t>
            </w:r>
          </w:p>
        </w:tc>
        <w:tc>
          <w:tcPr>
            <w:tcW w:w="1345" w:type="dxa"/>
            <w:vAlign w:val="center"/>
          </w:tcPr>
          <w:p w14:paraId="330ED1C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1.9750</w:t>
            </w:r>
          </w:p>
        </w:tc>
        <w:tc>
          <w:tcPr>
            <w:tcW w:w="1788" w:type="dxa"/>
            <w:vAlign w:val="center"/>
          </w:tcPr>
          <w:p w14:paraId="5A92EDC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15.8003</w:t>
            </w:r>
          </w:p>
        </w:tc>
        <w:tc>
          <w:tcPr>
            <w:tcW w:w="1345" w:type="dxa"/>
            <w:vAlign w:val="center"/>
          </w:tcPr>
          <w:p w14:paraId="51B9ACE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97.13</w:t>
            </w:r>
          </w:p>
        </w:tc>
      </w:tr>
      <w:tr w14:paraId="198A98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Align w:val="center"/>
          </w:tcPr>
          <w:p w14:paraId="008CCE65">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2</w:t>
            </w:r>
          </w:p>
        </w:tc>
        <w:tc>
          <w:tcPr>
            <w:tcW w:w="2198" w:type="pct"/>
            <w:vAlign w:val="center"/>
          </w:tcPr>
          <w:p w14:paraId="34D6A86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工艺有组织排放（</w:t>
            </w:r>
            <w:r>
              <w:rPr>
                <w:color w:val="auto"/>
                <w:sz w:val="21"/>
                <w:szCs w:val="21"/>
                <w:highlight w:val="none"/>
                <w:u w:val="none"/>
              </w:rPr>
              <w:t>含罐区呼吸</w:t>
            </w:r>
            <w:r>
              <w:rPr>
                <w:rFonts w:hint="eastAsia"/>
                <w:color w:val="auto"/>
                <w:sz w:val="21"/>
                <w:szCs w:val="21"/>
                <w:highlight w:val="none"/>
                <w:u w:val="none"/>
              </w:rPr>
              <w:t>废气）</w:t>
            </w:r>
          </w:p>
        </w:tc>
        <w:tc>
          <w:tcPr>
            <w:tcW w:w="1345" w:type="dxa"/>
            <w:vAlign w:val="center"/>
          </w:tcPr>
          <w:p w14:paraId="2A0805C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0.0583</w:t>
            </w:r>
          </w:p>
        </w:tc>
        <w:tc>
          <w:tcPr>
            <w:tcW w:w="1788" w:type="dxa"/>
            <w:vAlign w:val="center"/>
          </w:tcPr>
          <w:p w14:paraId="10D1D69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0.4665</w:t>
            </w:r>
          </w:p>
        </w:tc>
        <w:tc>
          <w:tcPr>
            <w:tcW w:w="1345" w:type="dxa"/>
            <w:vAlign w:val="center"/>
          </w:tcPr>
          <w:p w14:paraId="5D22C27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2.87</w:t>
            </w:r>
          </w:p>
        </w:tc>
      </w:tr>
      <w:tr w14:paraId="5FD092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Align w:val="center"/>
          </w:tcPr>
          <w:p w14:paraId="750BF2A6">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3</w:t>
            </w:r>
          </w:p>
        </w:tc>
        <w:tc>
          <w:tcPr>
            <w:tcW w:w="2198" w:type="pct"/>
            <w:vAlign w:val="center"/>
          </w:tcPr>
          <w:p w14:paraId="6668D3C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合计</w:t>
            </w:r>
          </w:p>
        </w:tc>
        <w:tc>
          <w:tcPr>
            <w:tcW w:w="1345" w:type="dxa"/>
            <w:vAlign w:val="center"/>
          </w:tcPr>
          <w:p w14:paraId="5E921EEF">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2.0333</w:t>
            </w:r>
          </w:p>
        </w:tc>
        <w:tc>
          <w:tcPr>
            <w:tcW w:w="1788" w:type="dxa"/>
            <w:vAlign w:val="center"/>
          </w:tcPr>
          <w:p w14:paraId="26B9B14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16.2668</w:t>
            </w:r>
          </w:p>
        </w:tc>
        <w:tc>
          <w:tcPr>
            <w:tcW w:w="1345" w:type="dxa"/>
            <w:vAlign w:val="center"/>
          </w:tcPr>
          <w:p w14:paraId="3CD2032C">
            <w:pPr>
              <w:spacing w:line="240" w:lineRule="auto"/>
              <w:ind w:firstLine="0" w:firstLineChars="0"/>
              <w:jc w:val="center"/>
              <w:rPr>
                <w:rFonts w:hint="eastAsia"/>
                <w:color w:val="auto"/>
                <w:sz w:val="21"/>
                <w:szCs w:val="21"/>
                <w:highlight w:val="none"/>
                <w:u w:val="none"/>
              </w:rPr>
            </w:pPr>
            <w:r>
              <w:rPr>
                <w:rFonts w:hint="eastAsia"/>
                <w:color w:val="auto"/>
                <w:sz w:val="21"/>
                <w:szCs w:val="21"/>
                <w:highlight w:val="none"/>
                <w:u w:val="none"/>
              </w:rPr>
              <w:t>1</w:t>
            </w:r>
            <w:r>
              <w:rPr>
                <w:color w:val="auto"/>
                <w:sz w:val="21"/>
                <w:szCs w:val="21"/>
                <w:highlight w:val="none"/>
                <w:u w:val="none"/>
              </w:rPr>
              <w:t>00</w:t>
            </w:r>
          </w:p>
        </w:tc>
      </w:tr>
    </w:tbl>
    <w:p w14:paraId="5F9C271F">
      <w:pPr>
        <w:pStyle w:val="85"/>
        <w:rPr>
          <w:color w:val="auto"/>
          <w:highlight w:val="none"/>
          <w:u w:val="none"/>
        </w:rPr>
      </w:pPr>
      <w:bookmarkStart w:id="338" w:name="_Ref31932"/>
      <w:bookmarkStart w:id="339" w:name="_Toc148374554"/>
      <w:bookmarkStart w:id="340" w:name="_Toc148374996"/>
      <w:bookmarkStart w:id="341" w:name="_Toc148374802"/>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10</w:t>
      </w:r>
      <w:r>
        <w:rPr>
          <w:color w:val="auto"/>
          <w:highlight w:val="none"/>
          <w:u w:val="none"/>
        </w:rPr>
        <w:fldChar w:fldCharType="end"/>
      </w:r>
      <w:bookmarkEnd w:id="338"/>
      <w:r>
        <w:rPr>
          <w:color w:val="auto"/>
          <w:highlight w:val="none"/>
          <w:u w:val="none"/>
        </w:rPr>
        <w:t xml:space="preserve">  </w:t>
      </w:r>
      <w:r>
        <w:rPr>
          <w:rFonts w:hint="eastAsia"/>
          <w:color w:val="auto"/>
          <w:highlight w:val="none"/>
          <w:u w:val="none"/>
        </w:rPr>
        <w:t>本项目扩能改造前后TDI一期VOCS排放量变化</w:t>
      </w:r>
    </w:p>
    <w:tbl>
      <w:tblPr>
        <w:tblStyle w:val="5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863"/>
        <w:gridCol w:w="1326"/>
        <w:gridCol w:w="1327"/>
        <w:gridCol w:w="1327"/>
        <w:gridCol w:w="1327"/>
        <w:gridCol w:w="1327"/>
      </w:tblGrid>
      <w:tr w14:paraId="45A6E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9" w:type="dxa"/>
            <w:vMerge w:val="restart"/>
            <w:tcBorders>
              <w:tl2br w:val="nil"/>
              <w:tr2bl w:val="nil"/>
            </w:tcBorders>
            <w:vAlign w:val="center"/>
          </w:tcPr>
          <w:p w14:paraId="0495C50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序号</w:t>
            </w:r>
          </w:p>
        </w:tc>
        <w:tc>
          <w:tcPr>
            <w:tcW w:w="1863" w:type="dxa"/>
            <w:vMerge w:val="restart"/>
            <w:tcBorders>
              <w:tl2br w:val="nil"/>
              <w:tr2bl w:val="nil"/>
            </w:tcBorders>
            <w:vAlign w:val="center"/>
          </w:tcPr>
          <w:p w14:paraId="00B36AB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装置名称</w:t>
            </w:r>
          </w:p>
        </w:tc>
        <w:tc>
          <w:tcPr>
            <w:tcW w:w="2653" w:type="dxa"/>
            <w:gridSpan w:val="2"/>
            <w:tcBorders>
              <w:tl2br w:val="nil"/>
              <w:tr2bl w:val="nil"/>
            </w:tcBorders>
            <w:vAlign w:val="center"/>
          </w:tcPr>
          <w:p w14:paraId="7E10CC0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现有工程排放量</w:t>
            </w:r>
          </w:p>
        </w:tc>
        <w:tc>
          <w:tcPr>
            <w:tcW w:w="2654" w:type="dxa"/>
            <w:gridSpan w:val="2"/>
            <w:tcBorders>
              <w:tl2br w:val="nil"/>
              <w:tr2bl w:val="nil"/>
            </w:tcBorders>
            <w:vAlign w:val="center"/>
          </w:tcPr>
          <w:p w14:paraId="657056E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扩能改造后排放量</w:t>
            </w:r>
          </w:p>
        </w:tc>
        <w:tc>
          <w:tcPr>
            <w:tcW w:w="1327" w:type="dxa"/>
            <w:vMerge w:val="restart"/>
            <w:tcBorders>
              <w:tl2br w:val="nil"/>
              <w:tr2bl w:val="nil"/>
            </w:tcBorders>
            <w:vAlign w:val="center"/>
          </w:tcPr>
          <w:p w14:paraId="21C2B50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污染源变化情况t/a</w:t>
            </w:r>
          </w:p>
        </w:tc>
      </w:tr>
      <w:tr w14:paraId="34FCB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9" w:type="dxa"/>
            <w:vMerge w:val="continue"/>
            <w:tcBorders>
              <w:tl2br w:val="nil"/>
              <w:tr2bl w:val="nil"/>
            </w:tcBorders>
            <w:vAlign w:val="center"/>
          </w:tcPr>
          <w:p w14:paraId="2EE3594A">
            <w:pPr>
              <w:spacing w:line="240" w:lineRule="auto"/>
              <w:ind w:firstLine="0" w:firstLineChars="0"/>
              <w:jc w:val="center"/>
              <w:rPr>
                <w:rFonts w:hint="eastAsia"/>
                <w:color w:val="auto"/>
                <w:sz w:val="21"/>
                <w:szCs w:val="21"/>
                <w:highlight w:val="none"/>
                <w:u w:val="none"/>
                <w:lang w:val="en-US"/>
              </w:rPr>
            </w:pPr>
          </w:p>
        </w:tc>
        <w:tc>
          <w:tcPr>
            <w:tcW w:w="1863" w:type="dxa"/>
            <w:vMerge w:val="continue"/>
            <w:tcBorders>
              <w:tl2br w:val="nil"/>
              <w:tr2bl w:val="nil"/>
            </w:tcBorders>
            <w:vAlign w:val="center"/>
          </w:tcPr>
          <w:p w14:paraId="62E5365C">
            <w:pPr>
              <w:spacing w:line="240" w:lineRule="auto"/>
              <w:ind w:firstLine="0" w:firstLineChars="0"/>
              <w:jc w:val="center"/>
              <w:rPr>
                <w:rFonts w:hint="eastAsia"/>
                <w:color w:val="auto"/>
                <w:sz w:val="21"/>
                <w:szCs w:val="21"/>
                <w:highlight w:val="none"/>
                <w:u w:val="none"/>
                <w:lang w:val="en-US"/>
              </w:rPr>
            </w:pPr>
          </w:p>
        </w:tc>
        <w:tc>
          <w:tcPr>
            <w:tcW w:w="1326" w:type="dxa"/>
            <w:tcBorders>
              <w:tl2br w:val="nil"/>
              <w:tr2bl w:val="nil"/>
            </w:tcBorders>
            <w:vAlign w:val="center"/>
          </w:tcPr>
          <w:p w14:paraId="0E63566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kg/h</w:t>
            </w:r>
          </w:p>
          <w:p w14:paraId="13F6148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（瞬时最大排放量）</w:t>
            </w:r>
          </w:p>
        </w:tc>
        <w:tc>
          <w:tcPr>
            <w:tcW w:w="1327" w:type="dxa"/>
            <w:tcBorders>
              <w:tl2br w:val="nil"/>
              <w:tr2bl w:val="nil"/>
            </w:tcBorders>
            <w:vAlign w:val="center"/>
          </w:tcPr>
          <w:p w14:paraId="627EE6A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t/a</w:t>
            </w:r>
          </w:p>
        </w:tc>
        <w:tc>
          <w:tcPr>
            <w:tcW w:w="1327" w:type="dxa"/>
            <w:tcBorders>
              <w:tl2br w:val="nil"/>
              <w:tr2bl w:val="nil"/>
            </w:tcBorders>
            <w:vAlign w:val="center"/>
          </w:tcPr>
          <w:p w14:paraId="3963331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kg/h</w:t>
            </w:r>
          </w:p>
          <w:p w14:paraId="2DABC97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（瞬时最大排放量）</w:t>
            </w:r>
          </w:p>
        </w:tc>
        <w:tc>
          <w:tcPr>
            <w:tcW w:w="1327" w:type="dxa"/>
            <w:tcBorders>
              <w:tl2br w:val="nil"/>
              <w:tr2bl w:val="nil"/>
            </w:tcBorders>
            <w:vAlign w:val="center"/>
          </w:tcPr>
          <w:p w14:paraId="325C47A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t/a</w:t>
            </w:r>
          </w:p>
        </w:tc>
        <w:tc>
          <w:tcPr>
            <w:tcW w:w="1327" w:type="dxa"/>
            <w:vMerge w:val="continue"/>
            <w:tcBorders>
              <w:tl2br w:val="nil"/>
              <w:tr2bl w:val="nil"/>
            </w:tcBorders>
            <w:vAlign w:val="center"/>
          </w:tcPr>
          <w:p w14:paraId="19358359">
            <w:pPr>
              <w:spacing w:line="240" w:lineRule="auto"/>
              <w:ind w:firstLine="0" w:firstLineChars="0"/>
              <w:jc w:val="center"/>
              <w:rPr>
                <w:rFonts w:hint="eastAsia"/>
                <w:color w:val="auto"/>
                <w:sz w:val="21"/>
                <w:szCs w:val="21"/>
                <w:highlight w:val="none"/>
                <w:u w:val="none"/>
                <w:lang w:val="en-US"/>
              </w:rPr>
            </w:pPr>
          </w:p>
        </w:tc>
      </w:tr>
      <w:tr w14:paraId="390A2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D277A8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w:t>
            </w:r>
          </w:p>
        </w:tc>
        <w:tc>
          <w:tcPr>
            <w:tcW w:w="1863" w:type="dxa"/>
            <w:tcBorders>
              <w:tl2br w:val="nil"/>
              <w:tr2bl w:val="nil"/>
            </w:tcBorders>
            <w:vAlign w:val="center"/>
          </w:tcPr>
          <w:p w14:paraId="4E953875">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设备动静密封点泄漏排放</w:t>
            </w:r>
          </w:p>
        </w:tc>
        <w:tc>
          <w:tcPr>
            <w:tcW w:w="1326" w:type="dxa"/>
            <w:tcBorders>
              <w:tl2br w:val="nil"/>
              <w:tr2bl w:val="nil"/>
            </w:tcBorders>
            <w:vAlign w:val="center"/>
          </w:tcPr>
          <w:p w14:paraId="4DA3B40C">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2.1382</w:t>
            </w:r>
          </w:p>
        </w:tc>
        <w:tc>
          <w:tcPr>
            <w:tcW w:w="1327" w:type="dxa"/>
            <w:tcBorders>
              <w:tl2br w:val="nil"/>
              <w:tr2bl w:val="nil"/>
            </w:tcBorders>
            <w:vAlign w:val="center"/>
          </w:tcPr>
          <w:p w14:paraId="1C3F1E82">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15.3952</w:t>
            </w:r>
          </w:p>
        </w:tc>
        <w:tc>
          <w:tcPr>
            <w:tcW w:w="1327" w:type="dxa"/>
            <w:tcBorders>
              <w:tl2br w:val="nil"/>
              <w:tr2bl w:val="nil"/>
            </w:tcBorders>
            <w:vAlign w:val="center"/>
          </w:tcPr>
          <w:p w14:paraId="3C82152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1.9750</w:t>
            </w:r>
          </w:p>
        </w:tc>
        <w:tc>
          <w:tcPr>
            <w:tcW w:w="1327" w:type="dxa"/>
            <w:tcBorders>
              <w:tl2br w:val="nil"/>
              <w:tr2bl w:val="nil"/>
            </w:tcBorders>
            <w:vAlign w:val="center"/>
          </w:tcPr>
          <w:p w14:paraId="65724E49">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15.8003</w:t>
            </w:r>
          </w:p>
        </w:tc>
        <w:tc>
          <w:tcPr>
            <w:tcW w:w="1327" w:type="dxa"/>
            <w:tcBorders>
              <w:tl2br w:val="nil"/>
              <w:tr2bl w:val="nil"/>
            </w:tcBorders>
            <w:vAlign w:val="center"/>
          </w:tcPr>
          <w:p w14:paraId="6D322D8B">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+0.4051</w:t>
            </w:r>
          </w:p>
        </w:tc>
      </w:tr>
      <w:tr w14:paraId="13451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520AE04">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w:t>
            </w:r>
          </w:p>
        </w:tc>
        <w:tc>
          <w:tcPr>
            <w:tcW w:w="1863" w:type="dxa"/>
            <w:tcBorders>
              <w:tl2br w:val="nil"/>
              <w:tr2bl w:val="nil"/>
            </w:tcBorders>
            <w:vAlign w:val="center"/>
          </w:tcPr>
          <w:p w14:paraId="61C0A0D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工艺有组织排放（含罐区呼吸废气）</w:t>
            </w:r>
          </w:p>
        </w:tc>
        <w:tc>
          <w:tcPr>
            <w:tcW w:w="1326" w:type="dxa"/>
            <w:tcBorders>
              <w:tl2br w:val="nil"/>
              <w:tr2bl w:val="nil"/>
            </w:tcBorders>
            <w:vAlign w:val="center"/>
          </w:tcPr>
          <w:p w14:paraId="35E6A28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0.0583</w:t>
            </w:r>
          </w:p>
        </w:tc>
        <w:tc>
          <w:tcPr>
            <w:tcW w:w="1327" w:type="dxa"/>
            <w:tcBorders>
              <w:tl2br w:val="nil"/>
              <w:tr2bl w:val="nil"/>
            </w:tcBorders>
            <w:vAlign w:val="center"/>
          </w:tcPr>
          <w:p w14:paraId="6BF61A1D">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0.4665</w:t>
            </w:r>
          </w:p>
        </w:tc>
        <w:tc>
          <w:tcPr>
            <w:tcW w:w="1327" w:type="dxa"/>
            <w:tcBorders>
              <w:tl2br w:val="nil"/>
              <w:tr2bl w:val="nil"/>
            </w:tcBorders>
            <w:vAlign w:val="center"/>
          </w:tcPr>
          <w:p w14:paraId="5B54BB27">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0.0583</w:t>
            </w:r>
          </w:p>
        </w:tc>
        <w:tc>
          <w:tcPr>
            <w:tcW w:w="1327" w:type="dxa"/>
            <w:tcBorders>
              <w:tl2br w:val="nil"/>
              <w:tr2bl w:val="nil"/>
            </w:tcBorders>
            <w:vAlign w:val="center"/>
          </w:tcPr>
          <w:p w14:paraId="5C9CA14E">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0.4665</w:t>
            </w:r>
          </w:p>
        </w:tc>
        <w:tc>
          <w:tcPr>
            <w:tcW w:w="1327" w:type="dxa"/>
            <w:tcBorders>
              <w:tl2br w:val="nil"/>
              <w:tr2bl w:val="nil"/>
            </w:tcBorders>
            <w:vAlign w:val="center"/>
          </w:tcPr>
          <w:p w14:paraId="7FE51AE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w:t>
            </w:r>
          </w:p>
        </w:tc>
      </w:tr>
      <w:tr w14:paraId="74C34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9" w:type="dxa"/>
            <w:tcBorders>
              <w:tl2br w:val="nil"/>
              <w:tr2bl w:val="nil"/>
            </w:tcBorders>
            <w:vAlign w:val="center"/>
          </w:tcPr>
          <w:p w14:paraId="5CDD318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3</w:t>
            </w:r>
          </w:p>
        </w:tc>
        <w:tc>
          <w:tcPr>
            <w:tcW w:w="1863" w:type="dxa"/>
            <w:tcBorders>
              <w:tl2br w:val="nil"/>
              <w:tr2bl w:val="nil"/>
            </w:tcBorders>
            <w:vAlign w:val="center"/>
          </w:tcPr>
          <w:p w14:paraId="2CC1CCAE">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合计</w:t>
            </w:r>
          </w:p>
        </w:tc>
        <w:tc>
          <w:tcPr>
            <w:tcW w:w="1326" w:type="dxa"/>
            <w:tcBorders>
              <w:tl2br w:val="nil"/>
              <w:tr2bl w:val="nil"/>
            </w:tcBorders>
            <w:vAlign w:val="center"/>
          </w:tcPr>
          <w:p w14:paraId="21D5F160">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2.1965</w:t>
            </w:r>
          </w:p>
        </w:tc>
        <w:tc>
          <w:tcPr>
            <w:tcW w:w="1327" w:type="dxa"/>
            <w:tcBorders>
              <w:tl2br w:val="nil"/>
              <w:tr2bl w:val="nil"/>
            </w:tcBorders>
            <w:vAlign w:val="center"/>
          </w:tcPr>
          <w:p w14:paraId="2799B243">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15.8617</w:t>
            </w:r>
          </w:p>
        </w:tc>
        <w:tc>
          <w:tcPr>
            <w:tcW w:w="1327" w:type="dxa"/>
            <w:tcBorders>
              <w:tl2br w:val="nil"/>
              <w:tr2bl w:val="nil"/>
            </w:tcBorders>
            <w:vAlign w:val="center"/>
          </w:tcPr>
          <w:p w14:paraId="4E588BA1">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2.0333</w:t>
            </w:r>
          </w:p>
        </w:tc>
        <w:tc>
          <w:tcPr>
            <w:tcW w:w="1327" w:type="dxa"/>
            <w:tcBorders>
              <w:tl2br w:val="nil"/>
              <w:tr2bl w:val="nil"/>
            </w:tcBorders>
            <w:vAlign w:val="center"/>
          </w:tcPr>
          <w:p w14:paraId="35F190C8">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16.2668</w:t>
            </w:r>
          </w:p>
        </w:tc>
        <w:tc>
          <w:tcPr>
            <w:tcW w:w="1327" w:type="dxa"/>
            <w:tcBorders>
              <w:tl2br w:val="nil"/>
              <w:tr2bl w:val="nil"/>
            </w:tcBorders>
            <w:vAlign w:val="center"/>
          </w:tcPr>
          <w:p w14:paraId="0F4C14B6">
            <w:pPr>
              <w:spacing w:line="240" w:lineRule="auto"/>
              <w:ind w:firstLine="0" w:firstLineChars="0"/>
              <w:jc w:val="center"/>
              <w:rPr>
                <w:rFonts w:hint="eastAsia"/>
                <w:color w:val="auto"/>
                <w:sz w:val="21"/>
                <w:szCs w:val="21"/>
                <w:highlight w:val="none"/>
                <w:u w:val="none"/>
                <w:lang w:val="en-US"/>
              </w:rPr>
            </w:pPr>
            <w:r>
              <w:rPr>
                <w:rFonts w:hint="eastAsia"/>
                <w:color w:val="auto"/>
                <w:sz w:val="21"/>
                <w:szCs w:val="21"/>
                <w:highlight w:val="none"/>
                <w:u w:val="none"/>
                <w:lang w:val="en-US"/>
              </w:rPr>
              <w:t>0.4051</w:t>
            </w:r>
          </w:p>
        </w:tc>
      </w:tr>
    </w:tbl>
    <w:p w14:paraId="033849B6">
      <w:pPr>
        <w:pStyle w:val="56"/>
        <w:rPr>
          <w:color w:val="auto"/>
          <w:highlight w:val="none"/>
          <w:u w:val="none"/>
        </w:rPr>
      </w:pPr>
    </w:p>
    <w:p w14:paraId="21707AD9">
      <w:pPr>
        <w:pStyle w:val="56"/>
        <w:rPr>
          <w:color w:val="auto"/>
          <w:highlight w:val="none"/>
          <w:u w:val="none"/>
        </w:rPr>
      </w:pPr>
    </w:p>
    <w:p w14:paraId="7325A55B">
      <w:pPr>
        <w:pStyle w:val="56"/>
        <w:rPr>
          <w:color w:val="auto"/>
          <w:highlight w:val="none"/>
          <w:u w:val="none"/>
        </w:rPr>
      </w:pPr>
    </w:p>
    <w:p w14:paraId="064592B1">
      <w:pPr>
        <w:pStyle w:val="56"/>
        <w:rPr>
          <w:color w:val="auto"/>
          <w:highlight w:val="none"/>
          <w:u w:val="none"/>
        </w:rPr>
      </w:pPr>
    </w:p>
    <w:p w14:paraId="361942E1">
      <w:pPr>
        <w:pStyle w:val="4"/>
        <w:rPr>
          <w:color w:val="auto"/>
          <w:highlight w:val="none"/>
          <w:u w:val="none"/>
        </w:rPr>
      </w:pPr>
      <w:bookmarkStart w:id="342" w:name="_Toc27026"/>
      <w:r>
        <w:rPr>
          <w:rFonts w:hint="eastAsia"/>
          <w:color w:val="auto"/>
          <w:highlight w:val="none"/>
          <w:u w:val="none"/>
        </w:rPr>
        <w:t>非正常工况排污分析</w:t>
      </w:r>
      <w:bookmarkEnd w:id="339"/>
      <w:bookmarkEnd w:id="340"/>
      <w:bookmarkEnd w:id="341"/>
      <w:bookmarkEnd w:id="342"/>
    </w:p>
    <w:p w14:paraId="02277C85">
      <w:pPr>
        <w:rPr>
          <w:rFonts w:hint="eastAsia"/>
          <w:color w:val="auto"/>
          <w:highlight w:val="none"/>
          <w:u w:val="none"/>
        </w:rPr>
      </w:pPr>
      <w:r>
        <w:rPr>
          <w:rFonts w:hint="eastAsia"/>
          <w:color w:val="auto"/>
          <w:highlight w:val="none"/>
          <w:u w:val="none"/>
        </w:rPr>
        <w:t>非正常排放主要指生产过程中开停车、</w:t>
      </w:r>
      <w:r>
        <w:rPr>
          <w:color w:val="auto"/>
          <w:highlight w:val="none"/>
          <w:u w:val="none"/>
        </w:rPr>
        <w:t>检修、发生故障情况下污染物的排放。非正</w:t>
      </w:r>
      <w:r>
        <w:rPr>
          <w:rFonts w:hint="eastAsia"/>
          <w:color w:val="auto"/>
          <w:highlight w:val="none"/>
          <w:u w:val="none"/>
        </w:rPr>
        <w:t>常排放大小及频率与生产装置的工艺水平、</w:t>
      </w:r>
      <w:r>
        <w:rPr>
          <w:color w:val="auto"/>
          <w:highlight w:val="none"/>
          <w:u w:val="none"/>
        </w:rPr>
        <w:t>操作管理水平等因素有密切关系。</w:t>
      </w:r>
    </w:p>
    <w:p w14:paraId="3FE0B86F">
      <w:pPr>
        <w:pStyle w:val="6"/>
        <w:spacing w:before="156" w:after="156"/>
        <w:rPr>
          <w:color w:val="auto"/>
          <w:highlight w:val="none"/>
          <w:u w:val="none"/>
        </w:rPr>
      </w:pPr>
      <w:bookmarkStart w:id="343" w:name="_Toc148374555"/>
      <w:bookmarkStart w:id="344" w:name="_Toc148374997"/>
      <w:r>
        <w:rPr>
          <w:rFonts w:hint="eastAsia"/>
          <w:color w:val="auto"/>
          <w:highlight w:val="none"/>
          <w:u w:val="none"/>
        </w:rPr>
        <w:t>非正常及事故工况废气</w:t>
      </w:r>
      <w:bookmarkEnd w:id="343"/>
      <w:bookmarkEnd w:id="344"/>
    </w:p>
    <w:p w14:paraId="4AF83FCD">
      <w:pPr>
        <w:rPr>
          <w:rFonts w:hint="eastAsia"/>
          <w:color w:val="auto"/>
          <w:highlight w:val="none"/>
          <w:u w:val="none"/>
        </w:rPr>
      </w:pPr>
      <w:r>
        <w:rPr>
          <w:rFonts w:hint="eastAsia"/>
          <w:color w:val="auto"/>
          <w:highlight w:val="none"/>
          <w:u w:val="none"/>
        </w:rPr>
        <w:t>项目非正常生产状况下的大气污染物排放源强见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_Ref138701899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5.7</w:t>
      </w:r>
      <w:r>
        <w:rPr>
          <w:color w:val="auto"/>
          <w:highlight w:val="none"/>
          <w:u w:val="none"/>
        </w:rPr>
        <w:fldChar w:fldCharType="end"/>
      </w:r>
      <w:r>
        <w:rPr>
          <w:color w:val="auto"/>
          <w:highlight w:val="none"/>
          <w:u w:val="none"/>
        </w:rPr>
        <w:noBreakHyphen/>
      </w:r>
      <w:r>
        <w:rPr>
          <w:rFonts w:hint="eastAsia"/>
          <w:color w:val="auto"/>
          <w:highlight w:val="none"/>
          <w:u w:val="none"/>
        </w:rPr>
        <w:t>1</w:t>
      </w:r>
      <w:r>
        <w:rPr>
          <w:color w:val="auto"/>
          <w:highlight w:val="none"/>
          <w:u w:val="none"/>
        </w:rPr>
        <w:fldChar w:fldCharType="end"/>
      </w:r>
      <w:r>
        <w:rPr>
          <w:color w:val="auto"/>
          <w:highlight w:val="none"/>
          <w:u w:val="none"/>
        </w:rPr>
        <w:t>。</w:t>
      </w:r>
    </w:p>
    <w:p w14:paraId="30B483B3">
      <w:pPr>
        <w:rPr>
          <w:rFonts w:hint="eastAsia"/>
          <w:color w:val="auto"/>
          <w:highlight w:val="none"/>
          <w:u w:val="none"/>
        </w:rPr>
      </w:pPr>
    </w:p>
    <w:p w14:paraId="182D36E8">
      <w:pPr>
        <w:rPr>
          <w:rFonts w:hint="eastAsia"/>
          <w:color w:val="auto"/>
          <w:highlight w:val="none"/>
          <w:u w:val="none"/>
        </w:rPr>
      </w:pPr>
    </w:p>
    <w:p w14:paraId="19A023B2">
      <w:pPr>
        <w:rPr>
          <w:rFonts w:hint="eastAsia"/>
          <w:color w:val="auto"/>
          <w:highlight w:val="none"/>
          <w:u w:val="none"/>
        </w:rPr>
      </w:pPr>
    </w:p>
    <w:p w14:paraId="2F862D18">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497CCBDB">
      <w:pPr>
        <w:pStyle w:val="85"/>
        <w:rPr>
          <w:color w:val="auto"/>
          <w:highlight w:val="none"/>
          <w:u w:val="none"/>
        </w:rPr>
      </w:pPr>
      <w:bookmarkStart w:id="345" w:name="_Ref138701899"/>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5.7</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345"/>
      <w:r>
        <w:rPr>
          <w:color w:val="auto"/>
          <w:highlight w:val="none"/>
          <w:u w:val="none"/>
        </w:rPr>
        <w:t xml:space="preserve">  </w:t>
      </w:r>
      <w:r>
        <w:rPr>
          <w:rFonts w:hint="eastAsia"/>
          <w:color w:val="auto"/>
          <w:highlight w:val="none"/>
          <w:u w:val="none"/>
        </w:rPr>
        <w:t>本项目非正常排放情况一览表</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454"/>
        <w:gridCol w:w="2587"/>
        <w:gridCol w:w="2246"/>
        <w:gridCol w:w="963"/>
        <w:gridCol w:w="879"/>
        <w:gridCol w:w="739"/>
        <w:gridCol w:w="879"/>
        <w:gridCol w:w="678"/>
        <w:gridCol w:w="1764"/>
        <w:gridCol w:w="879"/>
        <w:gridCol w:w="624"/>
        <w:gridCol w:w="625"/>
        <w:gridCol w:w="673"/>
      </w:tblGrid>
      <w:tr w14:paraId="0BCB315E">
        <w:tblPrEx>
          <w:tblCellMar>
            <w:top w:w="15" w:type="dxa"/>
            <w:left w:w="15" w:type="dxa"/>
            <w:bottom w:w="15" w:type="dxa"/>
            <w:right w:w="15" w:type="dxa"/>
          </w:tblCellMar>
        </w:tblPrEx>
        <w:trPr>
          <w:trHeight w:val="340" w:hRule="atLeast"/>
          <w:tblHeader/>
        </w:trPr>
        <w:tc>
          <w:tcPr>
            <w:tcW w:w="162" w:type="pct"/>
            <w:vMerge w:val="restart"/>
            <w:vAlign w:val="center"/>
          </w:tcPr>
          <w:p w14:paraId="53A57E1A">
            <w:pPr>
              <w:pStyle w:val="92"/>
              <w:rPr>
                <w:color w:val="auto"/>
                <w:highlight w:val="none"/>
                <w:u w:val="none"/>
              </w:rPr>
            </w:pPr>
            <w:r>
              <w:rPr>
                <w:color w:val="auto"/>
                <w:highlight w:val="none"/>
                <w:u w:val="none"/>
              </w:rPr>
              <w:t>序号</w:t>
            </w:r>
          </w:p>
        </w:tc>
        <w:tc>
          <w:tcPr>
            <w:tcW w:w="924" w:type="pct"/>
            <w:vMerge w:val="restart"/>
            <w:vAlign w:val="center"/>
          </w:tcPr>
          <w:p w14:paraId="0EE39AB8">
            <w:pPr>
              <w:pStyle w:val="92"/>
              <w:rPr>
                <w:color w:val="auto"/>
                <w:highlight w:val="none"/>
                <w:u w:val="none"/>
              </w:rPr>
            </w:pPr>
            <w:r>
              <w:rPr>
                <w:color w:val="auto"/>
                <w:highlight w:val="none"/>
                <w:u w:val="none"/>
              </w:rPr>
              <w:t>污染源</w:t>
            </w:r>
          </w:p>
        </w:tc>
        <w:tc>
          <w:tcPr>
            <w:tcW w:w="802" w:type="pct"/>
            <w:vMerge w:val="restart"/>
            <w:vAlign w:val="center"/>
          </w:tcPr>
          <w:p w14:paraId="4CB32E34">
            <w:pPr>
              <w:pStyle w:val="92"/>
              <w:rPr>
                <w:color w:val="auto"/>
                <w:highlight w:val="none"/>
                <w:u w:val="none"/>
              </w:rPr>
            </w:pPr>
            <w:r>
              <w:rPr>
                <w:color w:val="auto"/>
                <w:highlight w:val="none"/>
                <w:u w:val="none"/>
              </w:rPr>
              <w:t>产生</w:t>
            </w:r>
            <w:r>
              <w:rPr>
                <w:rFonts w:hint="eastAsia"/>
                <w:color w:val="auto"/>
                <w:highlight w:val="none"/>
                <w:u w:val="none"/>
              </w:rPr>
              <w:t>污染物</w:t>
            </w:r>
            <w:r>
              <w:rPr>
                <w:color w:val="auto"/>
                <w:highlight w:val="none"/>
                <w:u w:val="none"/>
              </w:rPr>
              <w:t>情况</w:t>
            </w:r>
          </w:p>
        </w:tc>
        <w:tc>
          <w:tcPr>
            <w:tcW w:w="344" w:type="pct"/>
            <w:vMerge w:val="restart"/>
            <w:vAlign w:val="center"/>
          </w:tcPr>
          <w:p w14:paraId="110064EC">
            <w:pPr>
              <w:pStyle w:val="92"/>
              <w:rPr>
                <w:color w:val="auto"/>
                <w:highlight w:val="none"/>
                <w:u w:val="none"/>
              </w:rPr>
            </w:pPr>
            <w:r>
              <w:rPr>
                <w:color w:val="auto"/>
                <w:highlight w:val="none"/>
                <w:u w:val="none"/>
              </w:rPr>
              <w:t>气量</w:t>
            </w:r>
          </w:p>
          <w:p w14:paraId="572C7804">
            <w:pPr>
              <w:pStyle w:val="92"/>
              <w:rPr>
                <w:color w:val="auto"/>
                <w:highlight w:val="none"/>
                <w:u w:val="none"/>
              </w:rPr>
            </w:pPr>
            <w:r>
              <w:rPr>
                <w:color w:val="auto"/>
                <w:highlight w:val="none"/>
                <w:u w:val="none"/>
              </w:rPr>
              <w:t>m</w:t>
            </w:r>
            <w:r>
              <w:rPr>
                <w:color w:val="auto"/>
                <w:highlight w:val="none"/>
                <w:u w:val="none"/>
                <w:vertAlign w:val="superscript"/>
              </w:rPr>
              <w:t>3</w:t>
            </w:r>
            <w:r>
              <w:rPr>
                <w:color w:val="auto"/>
                <w:highlight w:val="none"/>
                <w:u w:val="none"/>
              </w:rPr>
              <w:t>/h</w:t>
            </w:r>
          </w:p>
        </w:tc>
        <w:tc>
          <w:tcPr>
            <w:tcW w:w="1134" w:type="pct"/>
            <w:gridSpan w:val="4"/>
            <w:vAlign w:val="center"/>
          </w:tcPr>
          <w:p w14:paraId="600519D4">
            <w:pPr>
              <w:pStyle w:val="92"/>
              <w:rPr>
                <w:color w:val="auto"/>
                <w:highlight w:val="none"/>
                <w:u w:val="none"/>
              </w:rPr>
            </w:pPr>
            <w:r>
              <w:rPr>
                <w:color w:val="auto"/>
                <w:highlight w:val="none"/>
                <w:u w:val="none"/>
              </w:rPr>
              <w:t>排放情况</w:t>
            </w:r>
          </w:p>
        </w:tc>
        <w:tc>
          <w:tcPr>
            <w:tcW w:w="630" w:type="pct"/>
            <w:vMerge w:val="restart"/>
            <w:vAlign w:val="center"/>
          </w:tcPr>
          <w:p w14:paraId="3EBCB4D4">
            <w:pPr>
              <w:pStyle w:val="92"/>
              <w:rPr>
                <w:color w:val="auto"/>
                <w:highlight w:val="none"/>
                <w:u w:val="none"/>
              </w:rPr>
            </w:pPr>
            <w:r>
              <w:rPr>
                <w:rFonts w:hint="eastAsia"/>
                <w:color w:val="auto"/>
                <w:highlight w:val="none"/>
                <w:u w:val="none"/>
              </w:rPr>
              <w:t>措施</w:t>
            </w:r>
          </w:p>
        </w:tc>
        <w:tc>
          <w:tcPr>
            <w:tcW w:w="314" w:type="pct"/>
            <w:vMerge w:val="restart"/>
            <w:vAlign w:val="center"/>
          </w:tcPr>
          <w:p w14:paraId="6872088C">
            <w:pPr>
              <w:pStyle w:val="92"/>
              <w:rPr>
                <w:color w:val="auto"/>
                <w:highlight w:val="none"/>
                <w:u w:val="none"/>
              </w:rPr>
            </w:pPr>
            <w:r>
              <w:rPr>
                <w:rFonts w:hint="eastAsia"/>
                <w:color w:val="auto"/>
                <w:highlight w:val="none"/>
                <w:u w:val="none"/>
              </w:rPr>
              <w:t>排放时长</w:t>
            </w:r>
          </w:p>
          <w:p w14:paraId="79BED366">
            <w:pPr>
              <w:pStyle w:val="92"/>
              <w:rPr>
                <w:color w:val="auto"/>
                <w:highlight w:val="none"/>
                <w:u w:val="none"/>
              </w:rPr>
            </w:pPr>
            <w:r>
              <w:rPr>
                <w:rFonts w:hint="eastAsia"/>
                <w:color w:val="auto"/>
                <w:highlight w:val="none"/>
                <w:u w:val="none"/>
              </w:rPr>
              <w:t>（h</w:t>
            </w:r>
            <w:r>
              <w:rPr>
                <w:color w:val="auto"/>
                <w:highlight w:val="none"/>
                <w:u w:val="none"/>
              </w:rPr>
              <w:t>/a</w:t>
            </w:r>
            <w:r>
              <w:rPr>
                <w:rFonts w:hint="eastAsia"/>
                <w:color w:val="auto"/>
                <w:highlight w:val="none"/>
                <w:u w:val="none"/>
              </w:rPr>
              <w:t>）</w:t>
            </w:r>
          </w:p>
        </w:tc>
        <w:tc>
          <w:tcPr>
            <w:tcW w:w="686" w:type="pct"/>
            <w:gridSpan w:val="3"/>
            <w:vAlign w:val="center"/>
          </w:tcPr>
          <w:p w14:paraId="28C0E984">
            <w:pPr>
              <w:pStyle w:val="92"/>
              <w:rPr>
                <w:color w:val="auto"/>
                <w:highlight w:val="none"/>
                <w:u w:val="none"/>
              </w:rPr>
            </w:pPr>
            <w:r>
              <w:rPr>
                <w:rFonts w:hint="eastAsia"/>
                <w:color w:val="auto"/>
                <w:highlight w:val="none"/>
                <w:u w:val="none"/>
              </w:rPr>
              <w:t>排放源参数</w:t>
            </w:r>
          </w:p>
        </w:tc>
      </w:tr>
      <w:tr w14:paraId="47D02C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0D319069">
            <w:pPr>
              <w:pStyle w:val="92"/>
              <w:rPr>
                <w:color w:val="auto"/>
                <w:highlight w:val="none"/>
                <w:u w:val="none"/>
              </w:rPr>
            </w:pPr>
          </w:p>
        </w:tc>
        <w:tc>
          <w:tcPr>
            <w:tcW w:w="924" w:type="pct"/>
            <w:vMerge w:val="continue"/>
            <w:vAlign w:val="center"/>
          </w:tcPr>
          <w:p w14:paraId="417DB488">
            <w:pPr>
              <w:pStyle w:val="92"/>
              <w:rPr>
                <w:color w:val="auto"/>
                <w:highlight w:val="none"/>
                <w:u w:val="none"/>
              </w:rPr>
            </w:pPr>
          </w:p>
        </w:tc>
        <w:tc>
          <w:tcPr>
            <w:tcW w:w="802" w:type="pct"/>
            <w:vMerge w:val="continue"/>
            <w:vAlign w:val="center"/>
          </w:tcPr>
          <w:p w14:paraId="0E839B94">
            <w:pPr>
              <w:pStyle w:val="92"/>
              <w:rPr>
                <w:color w:val="auto"/>
                <w:highlight w:val="none"/>
                <w:u w:val="none"/>
              </w:rPr>
            </w:pPr>
          </w:p>
        </w:tc>
        <w:tc>
          <w:tcPr>
            <w:tcW w:w="344" w:type="pct"/>
            <w:vMerge w:val="continue"/>
            <w:vAlign w:val="center"/>
          </w:tcPr>
          <w:p w14:paraId="69F42BE5">
            <w:pPr>
              <w:pStyle w:val="92"/>
              <w:rPr>
                <w:color w:val="auto"/>
                <w:highlight w:val="none"/>
                <w:u w:val="none"/>
              </w:rPr>
            </w:pPr>
          </w:p>
        </w:tc>
        <w:tc>
          <w:tcPr>
            <w:tcW w:w="314" w:type="pct"/>
            <w:vAlign w:val="center"/>
          </w:tcPr>
          <w:p w14:paraId="5744D3B2">
            <w:pPr>
              <w:pStyle w:val="92"/>
              <w:rPr>
                <w:color w:val="auto"/>
                <w:highlight w:val="none"/>
                <w:u w:val="none"/>
              </w:rPr>
            </w:pPr>
            <w:r>
              <w:rPr>
                <w:color w:val="auto"/>
                <w:highlight w:val="none"/>
                <w:u w:val="none"/>
              </w:rPr>
              <w:t>污染物</w:t>
            </w:r>
          </w:p>
        </w:tc>
        <w:tc>
          <w:tcPr>
            <w:tcW w:w="264" w:type="pct"/>
            <w:vAlign w:val="center"/>
          </w:tcPr>
          <w:p w14:paraId="067A35E6">
            <w:pPr>
              <w:pStyle w:val="92"/>
              <w:rPr>
                <w:color w:val="auto"/>
                <w:highlight w:val="none"/>
                <w:u w:val="none"/>
              </w:rPr>
            </w:pPr>
            <w:r>
              <w:rPr>
                <w:color w:val="auto"/>
                <w:highlight w:val="none"/>
                <w:u w:val="none"/>
              </w:rPr>
              <w:t>浓度</w:t>
            </w:r>
          </w:p>
          <w:p w14:paraId="1972710E">
            <w:pPr>
              <w:pStyle w:val="92"/>
              <w:rPr>
                <w:color w:val="auto"/>
                <w:highlight w:val="none"/>
                <w:u w:val="none"/>
              </w:rPr>
            </w:pPr>
            <w:r>
              <w:rPr>
                <w:color w:val="auto"/>
                <w:highlight w:val="none"/>
                <w:u w:val="none"/>
              </w:rPr>
              <w:t>(mg/m</w:t>
            </w:r>
            <w:r>
              <w:rPr>
                <w:color w:val="auto"/>
                <w:highlight w:val="none"/>
                <w:u w:val="none"/>
                <w:vertAlign w:val="superscript"/>
              </w:rPr>
              <w:t>3</w:t>
            </w:r>
            <w:r>
              <w:rPr>
                <w:color w:val="auto"/>
                <w:highlight w:val="none"/>
                <w:u w:val="none"/>
              </w:rPr>
              <w:t>)</w:t>
            </w:r>
          </w:p>
        </w:tc>
        <w:tc>
          <w:tcPr>
            <w:tcW w:w="314" w:type="pct"/>
            <w:vAlign w:val="center"/>
          </w:tcPr>
          <w:p w14:paraId="5667D7EA">
            <w:pPr>
              <w:pStyle w:val="92"/>
              <w:rPr>
                <w:color w:val="auto"/>
                <w:highlight w:val="none"/>
                <w:u w:val="none"/>
              </w:rPr>
            </w:pPr>
            <w:r>
              <w:rPr>
                <w:color w:val="auto"/>
                <w:highlight w:val="none"/>
                <w:u w:val="none"/>
              </w:rPr>
              <w:t>排放速率</w:t>
            </w:r>
          </w:p>
          <w:p w14:paraId="68D2FDD4">
            <w:pPr>
              <w:pStyle w:val="92"/>
              <w:rPr>
                <w:color w:val="auto"/>
                <w:highlight w:val="none"/>
                <w:u w:val="none"/>
              </w:rPr>
            </w:pPr>
            <w:r>
              <w:rPr>
                <w:color w:val="auto"/>
                <w:highlight w:val="none"/>
                <w:u w:val="none"/>
              </w:rPr>
              <w:t>(kg/h)</w:t>
            </w:r>
          </w:p>
        </w:tc>
        <w:tc>
          <w:tcPr>
            <w:tcW w:w="242" w:type="pct"/>
            <w:vAlign w:val="center"/>
          </w:tcPr>
          <w:p w14:paraId="01609559">
            <w:pPr>
              <w:pStyle w:val="92"/>
              <w:rPr>
                <w:color w:val="auto"/>
                <w:highlight w:val="none"/>
                <w:u w:val="none"/>
              </w:rPr>
            </w:pPr>
            <w:r>
              <w:rPr>
                <w:color w:val="auto"/>
                <w:highlight w:val="none"/>
                <w:u w:val="none"/>
              </w:rPr>
              <w:t>排放量</w:t>
            </w:r>
          </w:p>
          <w:p w14:paraId="714E16F3">
            <w:pPr>
              <w:pStyle w:val="92"/>
              <w:rPr>
                <w:color w:val="auto"/>
                <w:highlight w:val="none"/>
                <w:u w:val="none"/>
              </w:rPr>
            </w:pPr>
            <w:r>
              <w:rPr>
                <w:color w:val="auto"/>
                <w:highlight w:val="none"/>
                <w:u w:val="none"/>
              </w:rPr>
              <w:t>(</w:t>
            </w:r>
            <w:r>
              <w:rPr>
                <w:rFonts w:hint="eastAsia"/>
                <w:color w:val="auto"/>
                <w:highlight w:val="none"/>
                <w:u w:val="none"/>
              </w:rPr>
              <w:t>kg</w:t>
            </w:r>
            <w:r>
              <w:rPr>
                <w:color w:val="auto"/>
                <w:highlight w:val="none"/>
                <w:u w:val="none"/>
              </w:rPr>
              <w:t>/a)</w:t>
            </w:r>
          </w:p>
        </w:tc>
        <w:tc>
          <w:tcPr>
            <w:tcW w:w="630" w:type="pct"/>
            <w:vMerge w:val="continue"/>
            <w:vAlign w:val="center"/>
          </w:tcPr>
          <w:p w14:paraId="5BD35B24">
            <w:pPr>
              <w:pStyle w:val="92"/>
              <w:rPr>
                <w:color w:val="auto"/>
                <w:highlight w:val="none"/>
                <w:u w:val="none"/>
              </w:rPr>
            </w:pPr>
          </w:p>
        </w:tc>
        <w:tc>
          <w:tcPr>
            <w:tcW w:w="314" w:type="pct"/>
            <w:vMerge w:val="continue"/>
            <w:vAlign w:val="center"/>
          </w:tcPr>
          <w:p w14:paraId="565C6AFD">
            <w:pPr>
              <w:pStyle w:val="92"/>
              <w:rPr>
                <w:color w:val="auto"/>
                <w:highlight w:val="none"/>
                <w:u w:val="none"/>
              </w:rPr>
            </w:pPr>
          </w:p>
        </w:tc>
        <w:tc>
          <w:tcPr>
            <w:tcW w:w="223" w:type="pct"/>
            <w:vAlign w:val="center"/>
          </w:tcPr>
          <w:p w14:paraId="32814FDE">
            <w:pPr>
              <w:pStyle w:val="92"/>
              <w:rPr>
                <w:color w:val="auto"/>
                <w:highlight w:val="none"/>
                <w:u w:val="none"/>
              </w:rPr>
            </w:pPr>
            <w:r>
              <w:rPr>
                <w:rFonts w:hint="eastAsia"/>
                <w:color w:val="auto"/>
                <w:highlight w:val="none"/>
                <w:u w:val="none"/>
              </w:rPr>
              <w:t>高度</w:t>
            </w:r>
          </w:p>
          <w:p w14:paraId="25E1B6F7">
            <w:pPr>
              <w:pStyle w:val="92"/>
              <w:rPr>
                <w:color w:val="auto"/>
                <w:highlight w:val="none"/>
                <w:u w:val="none"/>
              </w:rPr>
            </w:pPr>
            <w:r>
              <w:rPr>
                <w:rFonts w:hint="eastAsia"/>
                <w:color w:val="auto"/>
                <w:highlight w:val="none"/>
                <w:u w:val="none"/>
              </w:rPr>
              <w:t>（m）</w:t>
            </w:r>
          </w:p>
        </w:tc>
        <w:tc>
          <w:tcPr>
            <w:tcW w:w="223" w:type="pct"/>
            <w:vAlign w:val="center"/>
          </w:tcPr>
          <w:p w14:paraId="5F34E7DD">
            <w:pPr>
              <w:pStyle w:val="92"/>
              <w:rPr>
                <w:color w:val="auto"/>
                <w:highlight w:val="none"/>
                <w:u w:val="none"/>
              </w:rPr>
            </w:pPr>
            <w:r>
              <w:rPr>
                <w:rFonts w:hint="eastAsia"/>
                <w:color w:val="auto"/>
                <w:highlight w:val="none"/>
                <w:u w:val="none"/>
              </w:rPr>
              <w:t>直径</w:t>
            </w:r>
          </w:p>
          <w:p w14:paraId="0BAFE3BA">
            <w:pPr>
              <w:pStyle w:val="92"/>
              <w:rPr>
                <w:color w:val="auto"/>
                <w:highlight w:val="none"/>
                <w:u w:val="none"/>
              </w:rPr>
            </w:pPr>
            <w:r>
              <w:rPr>
                <w:rFonts w:hint="eastAsia"/>
                <w:color w:val="auto"/>
                <w:highlight w:val="none"/>
                <w:u w:val="none"/>
              </w:rPr>
              <w:t>（m）</w:t>
            </w:r>
          </w:p>
        </w:tc>
        <w:tc>
          <w:tcPr>
            <w:tcW w:w="240" w:type="pct"/>
            <w:vAlign w:val="center"/>
          </w:tcPr>
          <w:p w14:paraId="75C01342">
            <w:pPr>
              <w:pStyle w:val="92"/>
              <w:rPr>
                <w:color w:val="auto"/>
                <w:highlight w:val="none"/>
                <w:u w:val="none"/>
              </w:rPr>
            </w:pPr>
            <w:r>
              <w:rPr>
                <w:rFonts w:hint="eastAsia"/>
                <w:color w:val="auto"/>
                <w:highlight w:val="none"/>
                <w:u w:val="none"/>
              </w:rPr>
              <w:t>温度</w:t>
            </w:r>
          </w:p>
          <w:p w14:paraId="64AFD01F">
            <w:pPr>
              <w:pStyle w:val="92"/>
              <w:rPr>
                <w:color w:val="auto"/>
                <w:highlight w:val="none"/>
                <w:u w:val="none"/>
              </w:rPr>
            </w:pPr>
            <w:r>
              <w:rPr>
                <w:rFonts w:hint="eastAsia"/>
                <w:color w:val="auto"/>
                <w:highlight w:val="none"/>
                <w:u w:val="none"/>
              </w:rPr>
              <w:t>（℃）</w:t>
            </w:r>
          </w:p>
        </w:tc>
      </w:tr>
      <w:tr w14:paraId="54210A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90" w:hRule="atLeast"/>
        </w:trPr>
        <w:tc>
          <w:tcPr>
            <w:tcW w:w="162" w:type="pct"/>
            <w:vAlign w:val="center"/>
          </w:tcPr>
          <w:p w14:paraId="185836A6">
            <w:pPr>
              <w:pStyle w:val="92"/>
              <w:rPr>
                <w:color w:val="auto"/>
                <w:highlight w:val="none"/>
                <w:u w:val="none"/>
              </w:rPr>
            </w:pPr>
            <w:r>
              <w:rPr>
                <w:color w:val="auto"/>
                <w:highlight w:val="none"/>
                <w:u w:val="none"/>
              </w:rPr>
              <w:t>1</w:t>
            </w:r>
          </w:p>
        </w:tc>
        <w:tc>
          <w:tcPr>
            <w:tcW w:w="924" w:type="pct"/>
            <w:vAlign w:val="center"/>
          </w:tcPr>
          <w:p w14:paraId="0B353AC6">
            <w:pPr>
              <w:pStyle w:val="92"/>
              <w:rPr>
                <w:color w:val="auto"/>
                <w:highlight w:val="none"/>
                <w:u w:val="none"/>
              </w:rPr>
            </w:pPr>
            <w:r>
              <w:rPr>
                <w:color w:val="auto"/>
                <w:highlight w:val="none"/>
                <w:u w:val="none"/>
              </w:rPr>
              <w:t>反应器快速泄压气</w:t>
            </w:r>
          </w:p>
          <w:p w14:paraId="141C87D0">
            <w:pPr>
              <w:pStyle w:val="92"/>
              <w:rPr>
                <w:color w:val="auto"/>
                <w:highlight w:val="none"/>
                <w:u w:val="none"/>
              </w:rPr>
            </w:pPr>
            <w:r>
              <w:rPr>
                <w:color w:val="auto"/>
                <w:highlight w:val="none"/>
                <w:u w:val="none"/>
              </w:rPr>
              <w:t>（安全阀泄放罐）</w:t>
            </w:r>
          </w:p>
        </w:tc>
        <w:tc>
          <w:tcPr>
            <w:tcW w:w="802" w:type="pct"/>
            <w:vAlign w:val="center"/>
          </w:tcPr>
          <w:p w14:paraId="2592EDC9">
            <w:pPr>
              <w:pStyle w:val="92"/>
              <w:rPr>
                <w:color w:val="auto"/>
                <w:highlight w:val="none"/>
                <w:u w:val="none"/>
              </w:rPr>
            </w:pPr>
            <w:r>
              <w:rPr>
                <w:color w:val="auto"/>
                <w:highlight w:val="none"/>
                <w:u w:val="none"/>
              </w:rPr>
              <w:t>N</w:t>
            </w:r>
            <w:r>
              <w:rPr>
                <w:color w:val="auto"/>
                <w:highlight w:val="none"/>
                <w:u w:val="none"/>
                <w:vertAlign w:val="subscript"/>
              </w:rPr>
              <w:t>2</w:t>
            </w:r>
            <w:r>
              <w:rPr>
                <w:color w:val="auto"/>
                <w:highlight w:val="none"/>
                <w:u w:val="none"/>
              </w:rPr>
              <w:t>+H</w:t>
            </w:r>
            <w:r>
              <w:rPr>
                <w:color w:val="auto"/>
                <w:highlight w:val="none"/>
                <w:u w:val="none"/>
                <w:vertAlign w:val="subscript"/>
              </w:rPr>
              <w:t>2</w:t>
            </w:r>
            <w:r>
              <w:rPr>
                <w:color w:val="auto"/>
                <w:highlight w:val="none"/>
                <w:u w:val="none"/>
              </w:rPr>
              <w:t>O：99.7%</w:t>
            </w:r>
            <w:r>
              <w:rPr>
                <w:rFonts w:hint="eastAsia"/>
                <w:color w:val="auto"/>
                <w:highlight w:val="none"/>
                <w:u w:val="none"/>
              </w:rPr>
              <w:t>；</w:t>
            </w:r>
          </w:p>
          <w:p w14:paraId="10B90CD7">
            <w:pPr>
              <w:pStyle w:val="92"/>
              <w:rPr>
                <w:color w:val="auto"/>
                <w:highlight w:val="none"/>
                <w:u w:val="none"/>
              </w:rPr>
            </w:pPr>
            <w:r>
              <w:rPr>
                <w:color w:val="auto"/>
                <w:highlight w:val="none"/>
                <w:u w:val="none"/>
              </w:rPr>
              <w:t>TDA等有机物：＜0.3%</w:t>
            </w:r>
          </w:p>
        </w:tc>
        <w:tc>
          <w:tcPr>
            <w:tcW w:w="344" w:type="pct"/>
            <w:vAlign w:val="center"/>
          </w:tcPr>
          <w:p w14:paraId="262E5F43">
            <w:pPr>
              <w:pStyle w:val="92"/>
              <w:rPr>
                <w:color w:val="auto"/>
                <w:highlight w:val="none"/>
                <w:u w:val="none"/>
              </w:rPr>
            </w:pPr>
            <w:r>
              <w:rPr>
                <w:color w:val="auto"/>
                <w:highlight w:val="none"/>
                <w:u w:val="none"/>
              </w:rPr>
              <w:t>12000</w:t>
            </w:r>
          </w:p>
        </w:tc>
        <w:tc>
          <w:tcPr>
            <w:tcW w:w="314" w:type="pct"/>
            <w:vAlign w:val="center"/>
          </w:tcPr>
          <w:p w14:paraId="5C0947EF">
            <w:pPr>
              <w:pStyle w:val="92"/>
              <w:rPr>
                <w:color w:val="auto"/>
                <w:highlight w:val="none"/>
                <w:u w:val="none"/>
              </w:rPr>
            </w:pPr>
            <w:r>
              <w:rPr>
                <w:color w:val="auto"/>
                <w:highlight w:val="none"/>
                <w:u w:val="none"/>
              </w:rPr>
              <w:t>TDA</w:t>
            </w:r>
          </w:p>
        </w:tc>
        <w:tc>
          <w:tcPr>
            <w:tcW w:w="264" w:type="pct"/>
            <w:vAlign w:val="center"/>
          </w:tcPr>
          <w:p w14:paraId="6B19774F">
            <w:pPr>
              <w:pStyle w:val="92"/>
              <w:rPr>
                <w:color w:val="auto"/>
                <w:highlight w:val="none"/>
                <w:u w:val="none"/>
              </w:rPr>
            </w:pPr>
            <w:r>
              <w:rPr>
                <w:color w:val="auto"/>
                <w:highlight w:val="none"/>
                <w:u w:val="none"/>
              </w:rPr>
              <w:t>2.75</w:t>
            </w:r>
          </w:p>
        </w:tc>
        <w:tc>
          <w:tcPr>
            <w:tcW w:w="314" w:type="pct"/>
            <w:vAlign w:val="center"/>
          </w:tcPr>
          <w:p w14:paraId="4B030996">
            <w:pPr>
              <w:pStyle w:val="92"/>
              <w:rPr>
                <w:color w:val="auto"/>
                <w:highlight w:val="none"/>
                <w:u w:val="none"/>
              </w:rPr>
            </w:pPr>
            <w:r>
              <w:rPr>
                <w:color w:val="auto"/>
                <w:highlight w:val="none"/>
                <w:u w:val="none"/>
              </w:rPr>
              <w:t>0.033</w:t>
            </w:r>
          </w:p>
        </w:tc>
        <w:tc>
          <w:tcPr>
            <w:tcW w:w="242" w:type="pct"/>
            <w:vAlign w:val="center"/>
          </w:tcPr>
          <w:p w14:paraId="4E938AF2">
            <w:pPr>
              <w:pStyle w:val="92"/>
              <w:rPr>
                <w:color w:val="auto"/>
                <w:highlight w:val="none"/>
                <w:u w:val="none"/>
              </w:rPr>
            </w:pPr>
            <w:r>
              <w:rPr>
                <w:color w:val="auto"/>
                <w:highlight w:val="none"/>
                <w:u w:val="none"/>
              </w:rPr>
              <w:t>0.066</w:t>
            </w:r>
          </w:p>
        </w:tc>
        <w:tc>
          <w:tcPr>
            <w:tcW w:w="630" w:type="pct"/>
            <w:vAlign w:val="center"/>
          </w:tcPr>
          <w:p w14:paraId="0D463C62">
            <w:pPr>
              <w:pStyle w:val="92"/>
              <w:rPr>
                <w:color w:val="auto"/>
                <w:highlight w:val="none"/>
                <w:u w:val="none"/>
              </w:rPr>
            </w:pP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Align w:val="center"/>
          </w:tcPr>
          <w:p w14:paraId="5A87469A">
            <w:pPr>
              <w:pStyle w:val="92"/>
              <w:rPr>
                <w:color w:val="auto"/>
                <w:highlight w:val="none"/>
                <w:u w:val="none"/>
              </w:rPr>
            </w:pPr>
            <w:r>
              <w:rPr>
                <w:color w:val="auto"/>
                <w:highlight w:val="none"/>
                <w:u w:val="none"/>
              </w:rPr>
              <w:t>2</w:t>
            </w:r>
          </w:p>
          <w:p w14:paraId="12AC7B55">
            <w:pPr>
              <w:pStyle w:val="92"/>
              <w:rPr>
                <w:color w:val="auto"/>
                <w:highlight w:val="none"/>
                <w:u w:val="none"/>
              </w:rPr>
            </w:pPr>
            <w:r>
              <w:rPr>
                <w:bCs/>
                <w:color w:val="auto"/>
                <w:sz w:val="18"/>
                <w:szCs w:val="18"/>
                <w:highlight w:val="none"/>
                <w:u w:val="none"/>
              </w:rPr>
              <w:t>（1×2）</w:t>
            </w:r>
          </w:p>
        </w:tc>
        <w:tc>
          <w:tcPr>
            <w:tcW w:w="223" w:type="pct"/>
            <w:vAlign w:val="center"/>
          </w:tcPr>
          <w:p w14:paraId="7E04293E">
            <w:pPr>
              <w:pStyle w:val="92"/>
              <w:rPr>
                <w:color w:val="auto"/>
                <w:highlight w:val="none"/>
                <w:u w:val="none"/>
              </w:rPr>
            </w:pPr>
            <w:r>
              <w:rPr>
                <w:color w:val="auto"/>
                <w:highlight w:val="none"/>
                <w:u w:val="none"/>
              </w:rPr>
              <w:t>32</w:t>
            </w:r>
          </w:p>
        </w:tc>
        <w:tc>
          <w:tcPr>
            <w:tcW w:w="223" w:type="pct"/>
            <w:vAlign w:val="center"/>
          </w:tcPr>
          <w:p w14:paraId="00AF26AA">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Align w:val="center"/>
          </w:tcPr>
          <w:p w14:paraId="5A6AF40A">
            <w:pPr>
              <w:pStyle w:val="92"/>
              <w:rPr>
                <w:color w:val="auto"/>
                <w:highlight w:val="none"/>
                <w:u w:val="none"/>
              </w:rPr>
            </w:pPr>
            <w:r>
              <w:rPr>
                <w:rFonts w:hint="eastAsia"/>
                <w:color w:val="auto"/>
                <w:highlight w:val="none"/>
                <w:u w:val="none"/>
              </w:rPr>
              <w:t>1</w:t>
            </w:r>
            <w:r>
              <w:rPr>
                <w:color w:val="auto"/>
                <w:highlight w:val="none"/>
                <w:u w:val="none"/>
              </w:rPr>
              <w:t>000</w:t>
            </w:r>
          </w:p>
        </w:tc>
      </w:tr>
      <w:tr w14:paraId="293175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Align w:val="center"/>
          </w:tcPr>
          <w:p w14:paraId="12AB70F2">
            <w:pPr>
              <w:pStyle w:val="92"/>
              <w:rPr>
                <w:color w:val="auto"/>
                <w:highlight w:val="none"/>
                <w:u w:val="none"/>
              </w:rPr>
            </w:pPr>
            <w:r>
              <w:rPr>
                <w:color w:val="auto"/>
                <w:highlight w:val="none"/>
                <w:u w:val="none"/>
              </w:rPr>
              <w:t>2</w:t>
            </w:r>
          </w:p>
        </w:tc>
        <w:tc>
          <w:tcPr>
            <w:tcW w:w="924" w:type="pct"/>
            <w:vAlign w:val="center"/>
          </w:tcPr>
          <w:p w14:paraId="5618BC85">
            <w:pPr>
              <w:pStyle w:val="92"/>
              <w:rPr>
                <w:color w:val="auto"/>
                <w:highlight w:val="none"/>
                <w:u w:val="none"/>
              </w:rPr>
            </w:pPr>
            <w:r>
              <w:rPr>
                <w:color w:val="auto"/>
                <w:highlight w:val="none"/>
                <w:u w:val="none"/>
              </w:rPr>
              <w:t>反应器快速泄压气</w:t>
            </w:r>
          </w:p>
          <w:p w14:paraId="0E051489">
            <w:pPr>
              <w:pStyle w:val="92"/>
              <w:rPr>
                <w:color w:val="auto"/>
                <w:highlight w:val="none"/>
                <w:u w:val="none"/>
              </w:rPr>
            </w:pPr>
            <w:r>
              <w:rPr>
                <w:color w:val="auto"/>
                <w:highlight w:val="none"/>
                <w:u w:val="none"/>
              </w:rPr>
              <w:t>（停仪表风）</w:t>
            </w:r>
          </w:p>
        </w:tc>
        <w:tc>
          <w:tcPr>
            <w:tcW w:w="802" w:type="pct"/>
            <w:vAlign w:val="center"/>
          </w:tcPr>
          <w:p w14:paraId="73F1738E">
            <w:pPr>
              <w:pStyle w:val="92"/>
              <w:rPr>
                <w:color w:val="auto"/>
                <w:highlight w:val="none"/>
                <w:u w:val="none"/>
              </w:rPr>
            </w:pPr>
            <w:r>
              <w:rPr>
                <w:color w:val="auto"/>
                <w:highlight w:val="none"/>
                <w:u w:val="none"/>
              </w:rPr>
              <w:t>H</w:t>
            </w:r>
            <w:r>
              <w:rPr>
                <w:color w:val="auto"/>
                <w:highlight w:val="none"/>
                <w:u w:val="none"/>
                <w:vertAlign w:val="subscript"/>
              </w:rPr>
              <w:t>2</w:t>
            </w:r>
            <w:r>
              <w:rPr>
                <w:color w:val="auto"/>
                <w:highlight w:val="none"/>
                <w:u w:val="none"/>
              </w:rPr>
              <w:t>：85~90%</w:t>
            </w:r>
            <w:r>
              <w:rPr>
                <w:rFonts w:hint="eastAsia"/>
                <w:color w:val="auto"/>
                <w:highlight w:val="none"/>
                <w:u w:val="none"/>
              </w:rPr>
              <w:t>；</w:t>
            </w:r>
          </w:p>
          <w:p w14:paraId="10EAF9BD">
            <w:pPr>
              <w:pStyle w:val="92"/>
              <w:rPr>
                <w:color w:val="auto"/>
                <w:highlight w:val="none"/>
                <w:u w:val="none"/>
              </w:rPr>
            </w:pPr>
            <w:r>
              <w:rPr>
                <w:color w:val="auto"/>
                <w:highlight w:val="none"/>
                <w:u w:val="none"/>
              </w:rPr>
              <w:t>N</w:t>
            </w:r>
            <w:r>
              <w:rPr>
                <w:color w:val="auto"/>
                <w:highlight w:val="none"/>
                <w:u w:val="none"/>
                <w:vertAlign w:val="subscript"/>
              </w:rPr>
              <w:t>2</w:t>
            </w:r>
            <w:r>
              <w:rPr>
                <w:color w:val="auto"/>
                <w:highlight w:val="none"/>
                <w:u w:val="none"/>
              </w:rPr>
              <w:t>：3~6%</w:t>
            </w:r>
            <w:r>
              <w:rPr>
                <w:rFonts w:hint="eastAsia"/>
                <w:color w:val="auto"/>
                <w:highlight w:val="none"/>
                <w:u w:val="none"/>
              </w:rPr>
              <w:t>；</w:t>
            </w:r>
          </w:p>
          <w:p w14:paraId="217B718C">
            <w:pPr>
              <w:pStyle w:val="92"/>
              <w:rPr>
                <w:color w:val="auto"/>
                <w:highlight w:val="none"/>
                <w:u w:val="none"/>
              </w:rPr>
            </w:pPr>
            <w:r>
              <w:rPr>
                <w:color w:val="auto"/>
                <w:highlight w:val="none"/>
                <w:u w:val="none"/>
              </w:rPr>
              <w:t>H</w:t>
            </w:r>
            <w:r>
              <w:rPr>
                <w:color w:val="auto"/>
                <w:highlight w:val="none"/>
                <w:u w:val="none"/>
                <w:vertAlign w:val="subscript"/>
              </w:rPr>
              <w:t>2</w:t>
            </w:r>
            <w:r>
              <w:rPr>
                <w:color w:val="auto"/>
                <w:highlight w:val="none"/>
                <w:u w:val="none"/>
              </w:rPr>
              <w:t>O：5~15%</w:t>
            </w:r>
            <w:r>
              <w:rPr>
                <w:rFonts w:hint="eastAsia"/>
                <w:color w:val="auto"/>
                <w:highlight w:val="none"/>
                <w:u w:val="none"/>
              </w:rPr>
              <w:t>；</w:t>
            </w:r>
          </w:p>
          <w:p w14:paraId="17BFCFF1">
            <w:pPr>
              <w:pStyle w:val="92"/>
              <w:rPr>
                <w:color w:val="auto"/>
                <w:highlight w:val="none"/>
                <w:u w:val="none"/>
              </w:rPr>
            </w:pPr>
            <w:r>
              <w:rPr>
                <w:color w:val="auto"/>
                <w:highlight w:val="none"/>
                <w:u w:val="none"/>
              </w:rPr>
              <w:t>TDA等有机物：微量</w:t>
            </w:r>
          </w:p>
        </w:tc>
        <w:tc>
          <w:tcPr>
            <w:tcW w:w="344" w:type="pct"/>
            <w:vAlign w:val="center"/>
          </w:tcPr>
          <w:p w14:paraId="3499205A">
            <w:pPr>
              <w:pStyle w:val="92"/>
              <w:rPr>
                <w:color w:val="auto"/>
                <w:highlight w:val="none"/>
                <w:u w:val="none"/>
              </w:rPr>
            </w:pPr>
            <w:r>
              <w:rPr>
                <w:color w:val="auto"/>
                <w:highlight w:val="none"/>
                <w:u w:val="none"/>
              </w:rPr>
              <w:t>10000</w:t>
            </w:r>
          </w:p>
        </w:tc>
        <w:tc>
          <w:tcPr>
            <w:tcW w:w="314" w:type="pct"/>
            <w:vAlign w:val="center"/>
          </w:tcPr>
          <w:p w14:paraId="717AE154">
            <w:pPr>
              <w:pStyle w:val="92"/>
              <w:rPr>
                <w:color w:val="auto"/>
                <w:highlight w:val="none"/>
                <w:u w:val="none"/>
              </w:rPr>
            </w:pPr>
            <w:r>
              <w:rPr>
                <w:color w:val="auto"/>
                <w:highlight w:val="none"/>
                <w:u w:val="none"/>
              </w:rPr>
              <w:t>TDA</w:t>
            </w:r>
          </w:p>
        </w:tc>
        <w:tc>
          <w:tcPr>
            <w:tcW w:w="264" w:type="pct"/>
            <w:vAlign w:val="center"/>
          </w:tcPr>
          <w:p w14:paraId="12233C0B">
            <w:pPr>
              <w:pStyle w:val="92"/>
              <w:rPr>
                <w:color w:val="auto"/>
                <w:highlight w:val="none"/>
                <w:u w:val="none"/>
              </w:rPr>
            </w:pPr>
            <w:r>
              <w:rPr>
                <w:color w:val="auto"/>
                <w:highlight w:val="none"/>
                <w:u w:val="none"/>
              </w:rPr>
              <w:t>0.22</w:t>
            </w:r>
          </w:p>
        </w:tc>
        <w:tc>
          <w:tcPr>
            <w:tcW w:w="314" w:type="pct"/>
            <w:vAlign w:val="center"/>
          </w:tcPr>
          <w:p w14:paraId="6CC33475">
            <w:pPr>
              <w:pStyle w:val="92"/>
              <w:rPr>
                <w:color w:val="auto"/>
                <w:highlight w:val="none"/>
                <w:u w:val="none"/>
              </w:rPr>
            </w:pPr>
            <w:r>
              <w:rPr>
                <w:rFonts w:hint="eastAsia"/>
                <w:color w:val="auto"/>
                <w:highlight w:val="none"/>
                <w:u w:val="none"/>
              </w:rPr>
              <w:t>0</w:t>
            </w:r>
            <w:r>
              <w:rPr>
                <w:color w:val="auto"/>
                <w:highlight w:val="none"/>
                <w:u w:val="none"/>
              </w:rPr>
              <w:t>.002</w:t>
            </w:r>
          </w:p>
        </w:tc>
        <w:tc>
          <w:tcPr>
            <w:tcW w:w="242" w:type="pct"/>
            <w:vAlign w:val="center"/>
          </w:tcPr>
          <w:p w14:paraId="17C04AC4">
            <w:pPr>
              <w:pStyle w:val="92"/>
              <w:rPr>
                <w:color w:val="auto"/>
                <w:highlight w:val="none"/>
                <w:u w:val="none"/>
              </w:rPr>
            </w:pPr>
            <w:r>
              <w:rPr>
                <w:rFonts w:hint="eastAsia"/>
                <w:color w:val="auto"/>
                <w:highlight w:val="none"/>
                <w:u w:val="none"/>
              </w:rPr>
              <w:t>0</w:t>
            </w:r>
            <w:r>
              <w:rPr>
                <w:color w:val="auto"/>
                <w:highlight w:val="none"/>
                <w:u w:val="none"/>
              </w:rPr>
              <w:t>.004</w:t>
            </w:r>
          </w:p>
        </w:tc>
        <w:tc>
          <w:tcPr>
            <w:tcW w:w="630" w:type="pct"/>
            <w:vAlign w:val="center"/>
          </w:tcPr>
          <w:p w14:paraId="47010829">
            <w:pPr>
              <w:pStyle w:val="92"/>
              <w:rPr>
                <w:color w:val="auto"/>
                <w:highlight w:val="none"/>
                <w:u w:val="none"/>
              </w:rPr>
            </w:pP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Align w:val="center"/>
          </w:tcPr>
          <w:p w14:paraId="0DA2E743">
            <w:pPr>
              <w:pStyle w:val="92"/>
              <w:rPr>
                <w:color w:val="auto"/>
                <w:highlight w:val="none"/>
                <w:u w:val="none"/>
              </w:rPr>
            </w:pPr>
            <w:r>
              <w:rPr>
                <w:color w:val="auto"/>
                <w:highlight w:val="none"/>
                <w:u w:val="none"/>
              </w:rPr>
              <w:t>2</w:t>
            </w:r>
          </w:p>
          <w:p w14:paraId="3D8EAB10">
            <w:pPr>
              <w:pStyle w:val="92"/>
              <w:rPr>
                <w:color w:val="auto"/>
                <w:highlight w:val="none"/>
                <w:u w:val="none"/>
              </w:rPr>
            </w:pPr>
            <w:r>
              <w:rPr>
                <w:bCs/>
                <w:color w:val="auto"/>
                <w:sz w:val="18"/>
                <w:szCs w:val="18"/>
                <w:highlight w:val="none"/>
                <w:u w:val="none"/>
              </w:rPr>
              <w:t>（1×2）</w:t>
            </w:r>
          </w:p>
        </w:tc>
        <w:tc>
          <w:tcPr>
            <w:tcW w:w="223" w:type="pct"/>
            <w:vAlign w:val="center"/>
          </w:tcPr>
          <w:p w14:paraId="254567B8">
            <w:pPr>
              <w:pStyle w:val="92"/>
              <w:rPr>
                <w:color w:val="auto"/>
                <w:highlight w:val="none"/>
                <w:u w:val="none"/>
              </w:rPr>
            </w:pPr>
            <w:r>
              <w:rPr>
                <w:color w:val="auto"/>
                <w:highlight w:val="none"/>
                <w:u w:val="none"/>
              </w:rPr>
              <w:t>32</w:t>
            </w:r>
          </w:p>
        </w:tc>
        <w:tc>
          <w:tcPr>
            <w:tcW w:w="223" w:type="pct"/>
            <w:vAlign w:val="center"/>
          </w:tcPr>
          <w:p w14:paraId="72A8CEB0">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Align w:val="center"/>
          </w:tcPr>
          <w:p w14:paraId="510E35C4">
            <w:pPr>
              <w:pStyle w:val="92"/>
              <w:rPr>
                <w:color w:val="auto"/>
                <w:highlight w:val="none"/>
                <w:u w:val="none"/>
              </w:rPr>
            </w:pPr>
            <w:r>
              <w:rPr>
                <w:rFonts w:hint="eastAsia"/>
                <w:color w:val="auto"/>
                <w:highlight w:val="none"/>
                <w:u w:val="none"/>
              </w:rPr>
              <w:t>1</w:t>
            </w:r>
            <w:r>
              <w:rPr>
                <w:color w:val="auto"/>
                <w:highlight w:val="none"/>
                <w:u w:val="none"/>
              </w:rPr>
              <w:t>000</w:t>
            </w:r>
          </w:p>
        </w:tc>
      </w:tr>
      <w:tr w14:paraId="730F5D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Align w:val="center"/>
          </w:tcPr>
          <w:p w14:paraId="6977516D">
            <w:pPr>
              <w:pStyle w:val="92"/>
              <w:rPr>
                <w:color w:val="auto"/>
                <w:highlight w:val="none"/>
                <w:u w:val="none"/>
              </w:rPr>
            </w:pPr>
            <w:r>
              <w:rPr>
                <w:color w:val="auto"/>
                <w:highlight w:val="none"/>
                <w:u w:val="none"/>
              </w:rPr>
              <w:t>3</w:t>
            </w:r>
          </w:p>
        </w:tc>
        <w:tc>
          <w:tcPr>
            <w:tcW w:w="924" w:type="pct"/>
            <w:vAlign w:val="center"/>
          </w:tcPr>
          <w:p w14:paraId="217BAD13">
            <w:pPr>
              <w:pStyle w:val="92"/>
              <w:rPr>
                <w:color w:val="auto"/>
                <w:highlight w:val="none"/>
                <w:u w:val="none"/>
              </w:rPr>
            </w:pPr>
            <w:r>
              <w:rPr>
                <w:color w:val="auto"/>
                <w:highlight w:val="none"/>
                <w:u w:val="none"/>
              </w:rPr>
              <w:t>火灾工况泄放气</w:t>
            </w:r>
          </w:p>
        </w:tc>
        <w:tc>
          <w:tcPr>
            <w:tcW w:w="802" w:type="pct"/>
            <w:vAlign w:val="center"/>
          </w:tcPr>
          <w:p w14:paraId="20AB69A7">
            <w:pPr>
              <w:pStyle w:val="92"/>
              <w:rPr>
                <w:color w:val="auto"/>
                <w:highlight w:val="none"/>
                <w:u w:val="none"/>
              </w:rPr>
            </w:pPr>
            <w:r>
              <w:rPr>
                <w:color w:val="auto"/>
                <w:highlight w:val="none"/>
                <w:u w:val="none"/>
              </w:rPr>
              <w:t>H</w:t>
            </w:r>
            <w:r>
              <w:rPr>
                <w:color w:val="auto"/>
                <w:highlight w:val="none"/>
                <w:u w:val="none"/>
                <w:vertAlign w:val="subscript"/>
              </w:rPr>
              <w:t>2</w:t>
            </w:r>
            <w:r>
              <w:rPr>
                <w:color w:val="auto"/>
                <w:highlight w:val="none"/>
                <w:u w:val="none"/>
              </w:rPr>
              <w:t>：0~35%</w:t>
            </w:r>
            <w:r>
              <w:rPr>
                <w:rFonts w:hint="eastAsia"/>
                <w:color w:val="auto"/>
                <w:highlight w:val="none"/>
                <w:u w:val="none"/>
              </w:rPr>
              <w:t>；</w:t>
            </w:r>
          </w:p>
          <w:p w14:paraId="6B00E489">
            <w:pPr>
              <w:pStyle w:val="92"/>
              <w:rPr>
                <w:color w:val="auto"/>
                <w:highlight w:val="none"/>
                <w:u w:val="none"/>
              </w:rPr>
            </w:pPr>
            <w:r>
              <w:rPr>
                <w:color w:val="auto"/>
                <w:highlight w:val="none"/>
                <w:u w:val="none"/>
              </w:rPr>
              <w:t>N</w:t>
            </w:r>
            <w:r>
              <w:rPr>
                <w:color w:val="auto"/>
                <w:highlight w:val="none"/>
                <w:u w:val="none"/>
                <w:vertAlign w:val="subscript"/>
              </w:rPr>
              <w:t>2</w:t>
            </w:r>
            <w:r>
              <w:rPr>
                <w:color w:val="auto"/>
                <w:highlight w:val="none"/>
                <w:u w:val="none"/>
              </w:rPr>
              <w:t>：0~10%</w:t>
            </w:r>
            <w:r>
              <w:rPr>
                <w:rFonts w:hint="eastAsia"/>
                <w:color w:val="auto"/>
                <w:highlight w:val="none"/>
                <w:u w:val="none"/>
              </w:rPr>
              <w:t>；</w:t>
            </w:r>
          </w:p>
          <w:p w14:paraId="1C4C56CE">
            <w:pPr>
              <w:pStyle w:val="92"/>
              <w:rPr>
                <w:color w:val="auto"/>
                <w:highlight w:val="none"/>
                <w:u w:val="none"/>
              </w:rPr>
            </w:pPr>
            <w:r>
              <w:rPr>
                <w:color w:val="auto"/>
                <w:highlight w:val="none"/>
                <w:u w:val="none"/>
              </w:rPr>
              <w:t>H</w:t>
            </w:r>
            <w:r>
              <w:rPr>
                <w:color w:val="auto"/>
                <w:highlight w:val="none"/>
                <w:u w:val="none"/>
                <w:vertAlign w:val="subscript"/>
              </w:rPr>
              <w:t>2</w:t>
            </w:r>
            <w:r>
              <w:rPr>
                <w:color w:val="auto"/>
                <w:highlight w:val="none"/>
                <w:u w:val="none"/>
              </w:rPr>
              <w:t>O：55~100%</w:t>
            </w:r>
            <w:r>
              <w:rPr>
                <w:rFonts w:hint="eastAsia"/>
                <w:color w:val="auto"/>
                <w:highlight w:val="none"/>
                <w:u w:val="none"/>
              </w:rPr>
              <w:t>；</w:t>
            </w:r>
          </w:p>
          <w:p w14:paraId="37AADA34">
            <w:pPr>
              <w:pStyle w:val="92"/>
              <w:rPr>
                <w:color w:val="auto"/>
                <w:highlight w:val="none"/>
                <w:u w:val="none"/>
              </w:rPr>
            </w:pPr>
            <w:r>
              <w:rPr>
                <w:color w:val="auto"/>
                <w:highlight w:val="none"/>
                <w:u w:val="none"/>
              </w:rPr>
              <w:t>TDA等有机物：＜0.3%</w:t>
            </w:r>
          </w:p>
        </w:tc>
        <w:tc>
          <w:tcPr>
            <w:tcW w:w="344" w:type="pct"/>
            <w:vAlign w:val="center"/>
          </w:tcPr>
          <w:p w14:paraId="3081CDAA">
            <w:pPr>
              <w:pStyle w:val="92"/>
              <w:rPr>
                <w:color w:val="auto"/>
                <w:highlight w:val="none"/>
                <w:u w:val="none"/>
              </w:rPr>
            </w:pPr>
            <w:r>
              <w:rPr>
                <w:color w:val="auto"/>
                <w:highlight w:val="none"/>
                <w:u w:val="none"/>
              </w:rPr>
              <w:t>24000</w:t>
            </w:r>
          </w:p>
        </w:tc>
        <w:tc>
          <w:tcPr>
            <w:tcW w:w="314" w:type="pct"/>
            <w:vAlign w:val="center"/>
          </w:tcPr>
          <w:p w14:paraId="7EBBC540">
            <w:pPr>
              <w:pStyle w:val="92"/>
              <w:rPr>
                <w:color w:val="auto"/>
                <w:highlight w:val="none"/>
                <w:u w:val="none"/>
              </w:rPr>
            </w:pPr>
            <w:r>
              <w:rPr>
                <w:color w:val="auto"/>
                <w:highlight w:val="none"/>
                <w:u w:val="none"/>
              </w:rPr>
              <w:t>TDA</w:t>
            </w:r>
          </w:p>
        </w:tc>
        <w:tc>
          <w:tcPr>
            <w:tcW w:w="264" w:type="pct"/>
            <w:vAlign w:val="center"/>
          </w:tcPr>
          <w:p w14:paraId="048B27EF">
            <w:pPr>
              <w:pStyle w:val="92"/>
              <w:rPr>
                <w:color w:val="auto"/>
                <w:highlight w:val="none"/>
                <w:u w:val="none"/>
              </w:rPr>
            </w:pPr>
            <w:r>
              <w:rPr>
                <w:color w:val="auto"/>
                <w:highlight w:val="none"/>
                <w:u w:val="none"/>
              </w:rPr>
              <w:t>2.69</w:t>
            </w:r>
          </w:p>
        </w:tc>
        <w:tc>
          <w:tcPr>
            <w:tcW w:w="314" w:type="pct"/>
            <w:vAlign w:val="center"/>
          </w:tcPr>
          <w:p w14:paraId="69879CB7">
            <w:pPr>
              <w:pStyle w:val="92"/>
              <w:rPr>
                <w:color w:val="auto"/>
                <w:highlight w:val="none"/>
                <w:u w:val="none"/>
              </w:rPr>
            </w:pPr>
            <w:r>
              <w:rPr>
                <w:color w:val="auto"/>
                <w:highlight w:val="none"/>
                <w:u w:val="none"/>
              </w:rPr>
              <w:t>0.065</w:t>
            </w:r>
          </w:p>
        </w:tc>
        <w:tc>
          <w:tcPr>
            <w:tcW w:w="242" w:type="pct"/>
            <w:vAlign w:val="center"/>
          </w:tcPr>
          <w:p w14:paraId="12940EB8">
            <w:pPr>
              <w:pStyle w:val="92"/>
              <w:rPr>
                <w:color w:val="auto"/>
                <w:highlight w:val="none"/>
                <w:u w:val="none"/>
              </w:rPr>
            </w:pPr>
            <w:r>
              <w:rPr>
                <w:color w:val="auto"/>
                <w:highlight w:val="none"/>
                <w:u w:val="none"/>
              </w:rPr>
              <w:t>0.129</w:t>
            </w:r>
          </w:p>
        </w:tc>
        <w:tc>
          <w:tcPr>
            <w:tcW w:w="630" w:type="pct"/>
            <w:vAlign w:val="center"/>
          </w:tcPr>
          <w:p w14:paraId="55057472">
            <w:pPr>
              <w:pStyle w:val="92"/>
              <w:rPr>
                <w:color w:val="auto"/>
                <w:highlight w:val="none"/>
                <w:u w:val="none"/>
              </w:rPr>
            </w:pP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Align w:val="center"/>
          </w:tcPr>
          <w:p w14:paraId="4D511DD1">
            <w:pPr>
              <w:pStyle w:val="92"/>
              <w:rPr>
                <w:color w:val="auto"/>
                <w:highlight w:val="none"/>
                <w:u w:val="none"/>
              </w:rPr>
            </w:pPr>
            <w:r>
              <w:rPr>
                <w:color w:val="auto"/>
                <w:highlight w:val="none"/>
                <w:u w:val="none"/>
              </w:rPr>
              <w:t>2</w:t>
            </w:r>
          </w:p>
          <w:p w14:paraId="3BF1C40D">
            <w:pPr>
              <w:pStyle w:val="92"/>
              <w:rPr>
                <w:color w:val="auto"/>
                <w:highlight w:val="none"/>
                <w:u w:val="none"/>
              </w:rPr>
            </w:pPr>
            <w:r>
              <w:rPr>
                <w:bCs/>
                <w:color w:val="auto"/>
                <w:sz w:val="18"/>
                <w:szCs w:val="18"/>
                <w:highlight w:val="none"/>
                <w:u w:val="none"/>
              </w:rPr>
              <w:t>（1×2）</w:t>
            </w:r>
          </w:p>
        </w:tc>
        <w:tc>
          <w:tcPr>
            <w:tcW w:w="223" w:type="pct"/>
            <w:vAlign w:val="center"/>
          </w:tcPr>
          <w:p w14:paraId="44FAFA7E">
            <w:pPr>
              <w:pStyle w:val="92"/>
              <w:rPr>
                <w:color w:val="auto"/>
                <w:highlight w:val="none"/>
                <w:u w:val="none"/>
              </w:rPr>
            </w:pPr>
            <w:r>
              <w:rPr>
                <w:color w:val="auto"/>
                <w:highlight w:val="none"/>
                <w:u w:val="none"/>
              </w:rPr>
              <w:t>32</w:t>
            </w:r>
          </w:p>
        </w:tc>
        <w:tc>
          <w:tcPr>
            <w:tcW w:w="223" w:type="pct"/>
            <w:vAlign w:val="center"/>
          </w:tcPr>
          <w:p w14:paraId="6B689075">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Align w:val="center"/>
          </w:tcPr>
          <w:p w14:paraId="257ACCCB">
            <w:pPr>
              <w:pStyle w:val="92"/>
              <w:rPr>
                <w:color w:val="auto"/>
                <w:highlight w:val="none"/>
                <w:u w:val="none"/>
              </w:rPr>
            </w:pPr>
            <w:r>
              <w:rPr>
                <w:rFonts w:hint="eastAsia"/>
                <w:color w:val="auto"/>
                <w:highlight w:val="none"/>
                <w:u w:val="none"/>
              </w:rPr>
              <w:t>1</w:t>
            </w:r>
            <w:r>
              <w:rPr>
                <w:color w:val="auto"/>
                <w:highlight w:val="none"/>
                <w:u w:val="none"/>
              </w:rPr>
              <w:t>000</w:t>
            </w:r>
          </w:p>
        </w:tc>
      </w:tr>
      <w:tr w14:paraId="2355AA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Align w:val="center"/>
          </w:tcPr>
          <w:p w14:paraId="2F958F5F">
            <w:pPr>
              <w:pStyle w:val="92"/>
              <w:rPr>
                <w:color w:val="auto"/>
                <w:highlight w:val="none"/>
                <w:u w:val="none"/>
              </w:rPr>
            </w:pPr>
            <w:r>
              <w:rPr>
                <w:color w:val="auto"/>
                <w:highlight w:val="none"/>
                <w:u w:val="none"/>
              </w:rPr>
              <w:t>4</w:t>
            </w:r>
          </w:p>
        </w:tc>
        <w:tc>
          <w:tcPr>
            <w:tcW w:w="924" w:type="pct"/>
            <w:vAlign w:val="center"/>
          </w:tcPr>
          <w:p w14:paraId="17AA0F0C">
            <w:pPr>
              <w:pStyle w:val="92"/>
              <w:rPr>
                <w:color w:val="auto"/>
                <w:highlight w:val="none"/>
                <w:u w:val="none"/>
              </w:rPr>
            </w:pPr>
            <w:r>
              <w:rPr>
                <w:color w:val="auto"/>
                <w:highlight w:val="none"/>
                <w:u w:val="none"/>
              </w:rPr>
              <w:t>氢气总管泄放气</w:t>
            </w:r>
          </w:p>
          <w:p w14:paraId="72100989">
            <w:pPr>
              <w:pStyle w:val="92"/>
              <w:rPr>
                <w:color w:val="auto"/>
                <w:highlight w:val="none"/>
                <w:u w:val="none"/>
              </w:rPr>
            </w:pPr>
            <w:r>
              <w:rPr>
                <w:color w:val="auto"/>
                <w:highlight w:val="none"/>
                <w:u w:val="none"/>
              </w:rPr>
              <w:t>（安全阀施工）</w:t>
            </w:r>
          </w:p>
        </w:tc>
        <w:tc>
          <w:tcPr>
            <w:tcW w:w="802" w:type="pct"/>
            <w:vAlign w:val="center"/>
          </w:tcPr>
          <w:p w14:paraId="6C4AC63A">
            <w:pPr>
              <w:pStyle w:val="92"/>
              <w:rPr>
                <w:color w:val="auto"/>
                <w:highlight w:val="none"/>
                <w:u w:val="none"/>
              </w:rPr>
            </w:pPr>
            <w:r>
              <w:rPr>
                <w:color w:val="auto"/>
                <w:highlight w:val="none"/>
                <w:u w:val="none"/>
              </w:rPr>
              <w:t>H</w:t>
            </w:r>
            <w:r>
              <w:rPr>
                <w:color w:val="auto"/>
                <w:highlight w:val="none"/>
                <w:u w:val="none"/>
                <w:vertAlign w:val="subscript"/>
              </w:rPr>
              <w:t>2</w:t>
            </w:r>
            <w:r>
              <w:rPr>
                <w:color w:val="auto"/>
                <w:highlight w:val="none"/>
                <w:u w:val="none"/>
              </w:rPr>
              <w:t>：99.9%</w:t>
            </w:r>
          </w:p>
        </w:tc>
        <w:tc>
          <w:tcPr>
            <w:tcW w:w="344" w:type="pct"/>
            <w:vAlign w:val="center"/>
          </w:tcPr>
          <w:p w14:paraId="0BA389D9">
            <w:pPr>
              <w:pStyle w:val="92"/>
              <w:rPr>
                <w:color w:val="auto"/>
                <w:highlight w:val="none"/>
                <w:u w:val="none"/>
              </w:rPr>
            </w:pPr>
            <w:r>
              <w:rPr>
                <w:color w:val="auto"/>
                <w:highlight w:val="none"/>
                <w:u w:val="none"/>
              </w:rPr>
              <w:t>39000</w:t>
            </w:r>
          </w:p>
        </w:tc>
        <w:tc>
          <w:tcPr>
            <w:tcW w:w="314" w:type="pct"/>
            <w:vAlign w:val="center"/>
          </w:tcPr>
          <w:p w14:paraId="1BEBF72B">
            <w:pPr>
              <w:pStyle w:val="92"/>
              <w:rPr>
                <w:color w:val="auto"/>
                <w:highlight w:val="none"/>
                <w:u w:val="none"/>
              </w:rPr>
            </w:pPr>
            <w:r>
              <w:rPr>
                <w:color w:val="auto"/>
                <w:highlight w:val="none"/>
                <w:u w:val="none"/>
              </w:rPr>
              <w:t>H</w:t>
            </w:r>
            <w:r>
              <w:rPr>
                <w:color w:val="auto"/>
                <w:highlight w:val="none"/>
                <w:u w:val="none"/>
                <w:vertAlign w:val="subscript"/>
              </w:rPr>
              <w:t>2</w:t>
            </w:r>
          </w:p>
        </w:tc>
        <w:tc>
          <w:tcPr>
            <w:tcW w:w="264" w:type="pct"/>
            <w:vAlign w:val="center"/>
          </w:tcPr>
          <w:p w14:paraId="4675DBFA">
            <w:pPr>
              <w:pStyle w:val="92"/>
              <w:rPr>
                <w:color w:val="auto"/>
                <w:highlight w:val="none"/>
                <w:u w:val="none"/>
              </w:rPr>
            </w:pPr>
            <w:r>
              <w:rPr>
                <w:color w:val="auto"/>
                <w:highlight w:val="none"/>
                <w:u w:val="none"/>
              </w:rPr>
              <w:t>89744</w:t>
            </w:r>
          </w:p>
        </w:tc>
        <w:tc>
          <w:tcPr>
            <w:tcW w:w="314" w:type="pct"/>
            <w:vAlign w:val="center"/>
          </w:tcPr>
          <w:p w14:paraId="3284D7DE">
            <w:pPr>
              <w:pStyle w:val="92"/>
              <w:rPr>
                <w:color w:val="auto"/>
                <w:sz w:val="20"/>
                <w:szCs w:val="20"/>
                <w:highlight w:val="none"/>
                <w:u w:val="none"/>
              </w:rPr>
            </w:pPr>
            <w:r>
              <w:rPr>
                <w:color w:val="auto"/>
                <w:sz w:val="20"/>
                <w:szCs w:val="20"/>
                <w:highlight w:val="none"/>
                <w:u w:val="none"/>
              </w:rPr>
              <w:t>3500</w:t>
            </w:r>
          </w:p>
        </w:tc>
        <w:tc>
          <w:tcPr>
            <w:tcW w:w="242" w:type="pct"/>
            <w:vAlign w:val="center"/>
          </w:tcPr>
          <w:p w14:paraId="2D5A3585">
            <w:pPr>
              <w:pStyle w:val="92"/>
              <w:rPr>
                <w:color w:val="auto"/>
                <w:highlight w:val="none"/>
                <w:u w:val="none"/>
              </w:rPr>
            </w:pPr>
            <w:r>
              <w:rPr>
                <w:color w:val="auto"/>
                <w:highlight w:val="none"/>
                <w:u w:val="none"/>
              </w:rPr>
              <w:t>7000</w:t>
            </w:r>
          </w:p>
        </w:tc>
        <w:tc>
          <w:tcPr>
            <w:tcW w:w="630" w:type="pct"/>
            <w:vAlign w:val="center"/>
          </w:tcPr>
          <w:p w14:paraId="78C3E8EF">
            <w:pPr>
              <w:pStyle w:val="92"/>
              <w:rPr>
                <w:color w:val="auto"/>
                <w:highlight w:val="none"/>
                <w:u w:val="none"/>
              </w:rPr>
            </w:pP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Align w:val="center"/>
          </w:tcPr>
          <w:p w14:paraId="0ECC0CD1">
            <w:pPr>
              <w:pStyle w:val="92"/>
              <w:rPr>
                <w:color w:val="auto"/>
                <w:highlight w:val="none"/>
                <w:u w:val="none"/>
              </w:rPr>
            </w:pPr>
            <w:r>
              <w:rPr>
                <w:color w:val="auto"/>
                <w:highlight w:val="none"/>
                <w:u w:val="none"/>
              </w:rPr>
              <w:t>2</w:t>
            </w:r>
          </w:p>
          <w:p w14:paraId="4514684C">
            <w:pPr>
              <w:pStyle w:val="92"/>
              <w:rPr>
                <w:color w:val="auto"/>
                <w:highlight w:val="none"/>
                <w:u w:val="none"/>
              </w:rPr>
            </w:pPr>
            <w:r>
              <w:rPr>
                <w:bCs/>
                <w:color w:val="auto"/>
                <w:sz w:val="18"/>
                <w:szCs w:val="18"/>
                <w:highlight w:val="none"/>
                <w:u w:val="none"/>
              </w:rPr>
              <w:t>（1×2）</w:t>
            </w:r>
          </w:p>
        </w:tc>
        <w:tc>
          <w:tcPr>
            <w:tcW w:w="223" w:type="pct"/>
            <w:vAlign w:val="center"/>
          </w:tcPr>
          <w:p w14:paraId="3AF1F231">
            <w:pPr>
              <w:pStyle w:val="92"/>
              <w:rPr>
                <w:color w:val="auto"/>
                <w:highlight w:val="none"/>
                <w:u w:val="none"/>
              </w:rPr>
            </w:pPr>
            <w:r>
              <w:rPr>
                <w:color w:val="auto"/>
                <w:highlight w:val="none"/>
                <w:u w:val="none"/>
              </w:rPr>
              <w:t>32</w:t>
            </w:r>
          </w:p>
        </w:tc>
        <w:tc>
          <w:tcPr>
            <w:tcW w:w="223" w:type="pct"/>
            <w:vAlign w:val="center"/>
          </w:tcPr>
          <w:p w14:paraId="6EE51FAF">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Align w:val="center"/>
          </w:tcPr>
          <w:p w14:paraId="66FD6D44">
            <w:pPr>
              <w:pStyle w:val="92"/>
              <w:rPr>
                <w:color w:val="auto"/>
                <w:highlight w:val="none"/>
                <w:u w:val="none"/>
              </w:rPr>
            </w:pPr>
            <w:r>
              <w:rPr>
                <w:rFonts w:hint="eastAsia"/>
                <w:color w:val="auto"/>
                <w:highlight w:val="none"/>
                <w:u w:val="none"/>
              </w:rPr>
              <w:t>1</w:t>
            </w:r>
            <w:r>
              <w:rPr>
                <w:color w:val="auto"/>
                <w:highlight w:val="none"/>
                <w:u w:val="none"/>
              </w:rPr>
              <w:t>000</w:t>
            </w:r>
          </w:p>
        </w:tc>
      </w:tr>
      <w:tr w14:paraId="08ACBF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restart"/>
            <w:vAlign w:val="center"/>
          </w:tcPr>
          <w:p w14:paraId="2883D0C1">
            <w:pPr>
              <w:pStyle w:val="92"/>
              <w:rPr>
                <w:color w:val="auto"/>
                <w:highlight w:val="none"/>
                <w:u w:val="none"/>
              </w:rPr>
            </w:pPr>
            <w:r>
              <w:rPr>
                <w:color w:val="auto"/>
                <w:highlight w:val="none"/>
                <w:u w:val="none"/>
              </w:rPr>
              <w:t>5</w:t>
            </w:r>
          </w:p>
        </w:tc>
        <w:tc>
          <w:tcPr>
            <w:tcW w:w="924" w:type="pct"/>
            <w:vMerge w:val="restart"/>
            <w:vAlign w:val="center"/>
          </w:tcPr>
          <w:p w14:paraId="458CA7E4">
            <w:pPr>
              <w:pStyle w:val="92"/>
              <w:rPr>
                <w:color w:val="auto"/>
                <w:highlight w:val="none"/>
                <w:u w:val="none"/>
              </w:rPr>
            </w:pPr>
            <w:r>
              <w:rPr>
                <w:rFonts w:hint="eastAsia"/>
                <w:color w:val="auto"/>
                <w:highlight w:val="none"/>
                <w:u w:val="none"/>
              </w:rPr>
              <w:t>水洗涤塔、活性炭</w:t>
            </w:r>
            <w:r>
              <w:rPr>
                <w:color w:val="auto"/>
                <w:highlight w:val="none"/>
                <w:u w:val="none"/>
              </w:rPr>
              <w:t>吸附</w:t>
            </w:r>
          </w:p>
          <w:p w14:paraId="2CB03975">
            <w:pPr>
              <w:pStyle w:val="92"/>
              <w:rPr>
                <w:color w:val="auto"/>
                <w:highlight w:val="none"/>
                <w:u w:val="none"/>
              </w:rPr>
            </w:pPr>
            <w:r>
              <w:rPr>
                <w:color w:val="auto"/>
                <w:highlight w:val="none"/>
                <w:u w:val="none"/>
              </w:rPr>
              <w:t>装置故障导致精制尾气</w:t>
            </w:r>
          </w:p>
          <w:p w14:paraId="0A8B1905">
            <w:pPr>
              <w:pStyle w:val="92"/>
              <w:rPr>
                <w:color w:val="auto"/>
                <w:highlight w:val="none"/>
                <w:u w:val="none"/>
              </w:rPr>
            </w:pPr>
            <w:r>
              <w:rPr>
                <w:color w:val="auto"/>
                <w:highlight w:val="none"/>
                <w:u w:val="none"/>
              </w:rPr>
              <w:t>去除效率降低</w:t>
            </w:r>
          </w:p>
        </w:tc>
        <w:tc>
          <w:tcPr>
            <w:tcW w:w="802" w:type="pct"/>
            <w:vAlign w:val="center"/>
          </w:tcPr>
          <w:p w14:paraId="293C839B">
            <w:pPr>
              <w:pStyle w:val="92"/>
              <w:rPr>
                <w:color w:val="auto"/>
                <w:highlight w:val="none"/>
                <w:u w:val="none"/>
              </w:rPr>
            </w:pPr>
            <w:r>
              <w:rPr>
                <w:color w:val="auto"/>
                <w:highlight w:val="none"/>
                <w:u w:val="none"/>
              </w:rPr>
              <w:t>TDA</w:t>
            </w:r>
          </w:p>
        </w:tc>
        <w:tc>
          <w:tcPr>
            <w:tcW w:w="344" w:type="pct"/>
            <w:vMerge w:val="restart"/>
            <w:vAlign w:val="center"/>
          </w:tcPr>
          <w:p w14:paraId="119187C9">
            <w:pPr>
              <w:pStyle w:val="92"/>
              <w:rPr>
                <w:color w:val="auto"/>
                <w:highlight w:val="none"/>
                <w:u w:val="none"/>
              </w:rPr>
            </w:pPr>
            <w:r>
              <w:rPr>
                <w:rFonts w:hint="eastAsia"/>
                <w:color w:val="auto"/>
                <w:highlight w:val="none"/>
                <w:u w:val="none"/>
              </w:rPr>
              <w:t>1000</w:t>
            </w:r>
          </w:p>
        </w:tc>
        <w:tc>
          <w:tcPr>
            <w:tcW w:w="314" w:type="pct"/>
            <w:vAlign w:val="center"/>
          </w:tcPr>
          <w:p w14:paraId="1712DF85">
            <w:pPr>
              <w:pStyle w:val="92"/>
              <w:rPr>
                <w:color w:val="auto"/>
                <w:highlight w:val="none"/>
                <w:u w:val="none"/>
              </w:rPr>
            </w:pPr>
            <w:r>
              <w:rPr>
                <w:color w:val="auto"/>
                <w:highlight w:val="none"/>
                <w:u w:val="none"/>
              </w:rPr>
              <w:t>TDA</w:t>
            </w:r>
          </w:p>
        </w:tc>
        <w:tc>
          <w:tcPr>
            <w:tcW w:w="264" w:type="pct"/>
            <w:vAlign w:val="center"/>
          </w:tcPr>
          <w:p w14:paraId="4A15BF51">
            <w:pPr>
              <w:pStyle w:val="92"/>
              <w:rPr>
                <w:color w:val="auto"/>
                <w:highlight w:val="none"/>
                <w:u w:val="none"/>
              </w:rPr>
            </w:pPr>
            <w:r>
              <w:rPr>
                <w:color w:val="auto"/>
                <w:highlight w:val="none"/>
                <w:u w:val="none"/>
              </w:rPr>
              <w:t>126</w:t>
            </w:r>
          </w:p>
        </w:tc>
        <w:tc>
          <w:tcPr>
            <w:tcW w:w="314" w:type="pct"/>
            <w:vAlign w:val="center"/>
          </w:tcPr>
          <w:p w14:paraId="3F5963A3">
            <w:pPr>
              <w:pStyle w:val="92"/>
              <w:rPr>
                <w:color w:val="auto"/>
                <w:highlight w:val="none"/>
                <w:u w:val="none"/>
              </w:rPr>
            </w:pPr>
            <w:r>
              <w:rPr>
                <w:color w:val="auto"/>
                <w:highlight w:val="none"/>
                <w:u w:val="none"/>
              </w:rPr>
              <w:t xml:space="preserve">0.13 </w:t>
            </w:r>
          </w:p>
        </w:tc>
        <w:tc>
          <w:tcPr>
            <w:tcW w:w="242" w:type="pct"/>
            <w:vAlign w:val="center"/>
          </w:tcPr>
          <w:p w14:paraId="63503C8E">
            <w:pPr>
              <w:pStyle w:val="92"/>
              <w:rPr>
                <w:color w:val="auto"/>
                <w:highlight w:val="none"/>
                <w:u w:val="none"/>
              </w:rPr>
            </w:pPr>
            <w:r>
              <w:rPr>
                <w:color w:val="auto"/>
                <w:highlight w:val="none"/>
                <w:u w:val="none"/>
              </w:rPr>
              <w:t xml:space="preserve">0.25 </w:t>
            </w:r>
          </w:p>
        </w:tc>
        <w:tc>
          <w:tcPr>
            <w:tcW w:w="630" w:type="pct"/>
            <w:vMerge w:val="restart"/>
            <w:vAlign w:val="center"/>
          </w:tcPr>
          <w:p w14:paraId="182FF359">
            <w:pPr>
              <w:pStyle w:val="92"/>
              <w:rPr>
                <w:color w:val="auto"/>
                <w:highlight w:val="none"/>
                <w:u w:val="none"/>
              </w:rPr>
            </w:pPr>
            <w:r>
              <w:rPr>
                <w:color w:val="auto"/>
                <w:highlight w:val="none"/>
                <w:u w:val="none"/>
              </w:rPr>
              <w:t>冷凝+水洗涤</w:t>
            </w:r>
          </w:p>
          <w:p w14:paraId="0297560F">
            <w:pPr>
              <w:pStyle w:val="92"/>
              <w:rPr>
                <w:color w:val="auto"/>
                <w:highlight w:val="none"/>
                <w:u w:val="none"/>
              </w:rPr>
            </w:pPr>
            <w:r>
              <w:rPr>
                <w:color w:val="auto"/>
                <w:highlight w:val="none"/>
                <w:u w:val="none"/>
              </w:rPr>
              <w:t>+活性炭吸附</w:t>
            </w:r>
          </w:p>
        </w:tc>
        <w:tc>
          <w:tcPr>
            <w:tcW w:w="314" w:type="pct"/>
            <w:vMerge w:val="restart"/>
            <w:vAlign w:val="center"/>
          </w:tcPr>
          <w:p w14:paraId="02CD1DD3">
            <w:pPr>
              <w:pStyle w:val="92"/>
              <w:rPr>
                <w:color w:val="auto"/>
                <w:highlight w:val="none"/>
                <w:u w:val="none"/>
              </w:rPr>
            </w:pPr>
            <w:r>
              <w:rPr>
                <w:color w:val="auto"/>
                <w:highlight w:val="none"/>
                <w:u w:val="none"/>
              </w:rPr>
              <w:t>2</w:t>
            </w:r>
          </w:p>
          <w:p w14:paraId="11FDC6C1">
            <w:pPr>
              <w:pStyle w:val="92"/>
              <w:rPr>
                <w:color w:val="auto"/>
                <w:highlight w:val="none"/>
                <w:u w:val="none"/>
              </w:rPr>
            </w:pPr>
            <w:r>
              <w:rPr>
                <w:bCs/>
                <w:color w:val="auto"/>
                <w:sz w:val="18"/>
                <w:szCs w:val="18"/>
                <w:highlight w:val="none"/>
                <w:u w:val="none"/>
              </w:rPr>
              <w:t>（1×2）</w:t>
            </w:r>
          </w:p>
        </w:tc>
        <w:tc>
          <w:tcPr>
            <w:tcW w:w="223" w:type="pct"/>
            <w:vMerge w:val="restart"/>
            <w:vAlign w:val="center"/>
          </w:tcPr>
          <w:p w14:paraId="4FBE8CD6">
            <w:pPr>
              <w:pStyle w:val="92"/>
              <w:rPr>
                <w:color w:val="auto"/>
                <w:highlight w:val="none"/>
                <w:u w:val="none"/>
              </w:rPr>
            </w:pPr>
            <w:r>
              <w:rPr>
                <w:rFonts w:hint="eastAsia"/>
                <w:color w:val="auto"/>
                <w:highlight w:val="none"/>
                <w:u w:val="none"/>
              </w:rPr>
              <w:t>34</w:t>
            </w:r>
          </w:p>
        </w:tc>
        <w:tc>
          <w:tcPr>
            <w:tcW w:w="223" w:type="pct"/>
            <w:vMerge w:val="restart"/>
            <w:vAlign w:val="center"/>
          </w:tcPr>
          <w:p w14:paraId="5C2DBED5">
            <w:pPr>
              <w:pStyle w:val="92"/>
              <w:rPr>
                <w:color w:val="auto"/>
                <w:highlight w:val="none"/>
                <w:u w:val="none"/>
              </w:rPr>
            </w:pPr>
            <w:r>
              <w:rPr>
                <w:rFonts w:hint="eastAsia"/>
                <w:color w:val="auto"/>
                <w:highlight w:val="none"/>
                <w:u w:val="none"/>
              </w:rPr>
              <w:t>0</w:t>
            </w:r>
            <w:r>
              <w:rPr>
                <w:color w:val="auto"/>
                <w:highlight w:val="none"/>
                <w:u w:val="none"/>
              </w:rPr>
              <w:t>.35</w:t>
            </w:r>
          </w:p>
        </w:tc>
        <w:tc>
          <w:tcPr>
            <w:tcW w:w="240" w:type="pct"/>
            <w:vMerge w:val="restart"/>
            <w:vAlign w:val="center"/>
          </w:tcPr>
          <w:p w14:paraId="61FED7E1">
            <w:pPr>
              <w:pStyle w:val="92"/>
              <w:rPr>
                <w:color w:val="auto"/>
                <w:highlight w:val="none"/>
                <w:u w:val="none"/>
              </w:rPr>
            </w:pPr>
            <w:r>
              <w:rPr>
                <w:rFonts w:hint="eastAsia"/>
                <w:color w:val="auto"/>
                <w:highlight w:val="none"/>
                <w:u w:val="none"/>
              </w:rPr>
              <w:t>2</w:t>
            </w:r>
            <w:r>
              <w:rPr>
                <w:color w:val="auto"/>
                <w:highlight w:val="none"/>
                <w:u w:val="none"/>
              </w:rPr>
              <w:t>5</w:t>
            </w:r>
          </w:p>
        </w:tc>
      </w:tr>
      <w:tr w14:paraId="06D3F2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662E5B5D">
            <w:pPr>
              <w:pStyle w:val="92"/>
              <w:rPr>
                <w:color w:val="auto"/>
                <w:highlight w:val="none"/>
                <w:u w:val="none"/>
              </w:rPr>
            </w:pPr>
          </w:p>
        </w:tc>
        <w:tc>
          <w:tcPr>
            <w:tcW w:w="924" w:type="pct"/>
            <w:vMerge w:val="continue"/>
            <w:vAlign w:val="center"/>
          </w:tcPr>
          <w:p w14:paraId="1B73E5F7">
            <w:pPr>
              <w:pStyle w:val="92"/>
              <w:rPr>
                <w:color w:val="auto"/>
                <w:highlight w:val="none"/>
                <w:u w:val="none"/>
              </w:rPr>
            </w:pPr>
          </w:p>
        </w:tc>
        <w:tc>
          <w:tcPr>
            <w:tcW w:w="802" w:type="pct"/>
            <w:vAlign w:val="center"/>
          </w:tcPr>
          <w:p w14:paraId="4849ECC7">
            <w:pPr>
              <w:pStyle w:val="92"/>
              <w:rPr>
                <w:color w:val="auto"/>
                <w:highlight w:val="none"/>
                <w:u w:val="none"/>
              </w:rPr>
            </w:pPr>
            <w:r>
              <w:rPr>
                <w:color w:val="auto"/>
                <w:highlight w:val="none"/>
                <w:u w:val="none"/>
              </w:rPr>
              <w:t>VOC</w:t>
            </w:r>
            <w:r>
              <w:rPr>
                <w:color w:val="auto"/>
                <w:highlight w:val="none"/>
                <w:u w:val="none"/>
                <w:vertAlign w:val="subscript"/>
              </w:rPr>
              <w:t>S</w:t>
            </w:r>
          </w:p>
        </w:tc>
        <w:tc>
          <w:tcPr>
            <w:tcW w:w="344" w:type="pct"/>
            <w:vMerge w:val="continue"/>
            <w:vAlign w:val="center"/>
          </w:tcPr>
          <w:p w14:paraId="570D6309">
            <w:pPr>
              <w:pStyle w:val="92"/>
              <w:rPr>
                <w:color w:val="auto"/>
                <w:highlight w:val="none"/>
                <w:u w:val="none"/>
              </w:rPr>
            </w:pPr>
          </w:p>
        </w:tc>
        <w:tc>
          <w:tcPr>
            <w:tcW w:w="314" w:type="pct"/>
            <w:vAlign w:val="center"/>
          </w:tcPr>
          <w:p w14:paraId="379D3AD2">
            <w:pPr>
              <w:pStyle w:val="92"/>
              <w:rPr>
                <w:color w:val="auto"/>
                <w:highlight w:val="none"/>
                <w:u w:val="none"/>
              </w:rPr>
            </w:pPr>
            <w:r>
              <w:rPr>
                <w:color w:val="auto"/>
                <w:highlight w:val="none"/>
                <w:u w:val="none"/>
              </w:rPr>
              <w:t>VOC</w:t>
            </w:r>
            <w:r>
              <w:rPr>
                <w:color w:val="auto"/>
                <w:highlight w:val="none"/>
                <w:u w:val="none"/>
                <w:vertAlign w:val="subscript"/>
              </w:rPr>
              <w:t>S</w:t>
            </w:r>
          </w:p>
        </w:tc>
        <w:tc>
          <w:tcPr>
            <w:tcW w:w="264" w:type="pct"/>
            <w:vAlign w:val="center"/>
          </w:tcPr>
          <w:p w14:paraId="25E64902">
            <w:pPr>
              <w:pStyle w:val="92"/>
              <w:rPr>
                <w:color w:val="auto"/>
                <w:highlight w:val="none"/>
                <w:u w:val="none"/>
              </w:rPr>
            </w:pPr>
            <w:r>
              <w:rPr>
                <w:color w:val="auto"/>
                <w:highlight w:val="none"/>
                <w:u w:val="none"/>
              </w:rPr>
              <w:t>249</w:t>
            </w:r>
          </w:p>
        </w:tc>
        <w:tc>
          <w:tcPr>
            <w:tcW w:w="314" w:type="pct"/>
            <w:vAlign w:val="center"/>
          </w:tcPr>
          <w:p w14:paraId="0E8B867B">
            <w:pPr>
              <w:pStyle w:val="92"/>
              <w:rPr>
                <w:color w:val="auto"/>
                <w:highlight w:val="none"/>
                <w:u w:val="none"/>
              </w:rPr>
            </w:pPr>
            <w:r>
              <w:rPr>
                <w:color w:val="auto"/>
                <w:highlight w:val="none"/>
                <w:u w:val="none"/>
              </w:rPr>
              <w:t xml:space="preserve">0.25 </w:t>
            </w:r>
          </w:p>
        </w:tc>
        <w:tc>
          <w:tcPr>
            <w:tcW w:w="242" w:type="pct"/>
            <w:vAlign w:val="center"/>
          </w:tcPr>
          <w:p w14:paraId="19B2CB5E">
            <w:pPr>
              <w:pStyle w:val="92"/>
              <w:rPr>
                <w:color w:val="auto"/>
                <w:highlight w:val="none"/>
                <w:u w:val="none"/>
              </w:rPr>
            </w:pPr>
            <w:r>
              <w:rPr>
                <w:color w:val="auto"/>
                <w:highlight w:val="none"/>
                <w:u w:val="none"/>
              </w:rPr>
              <w:t xml:space="preserve">0.50 </w:t>
            </w:r>
          </w:p>
        </w:tc>
        <w:tc>
          <w:tcPr>
            <w:tcW w:w="630" w:type="pct"/>
            <w:vMerge w:val="continue"/>
            <w:vAlign w:val="center"/>
          </w:tcPr>
          <w:p w14:paraId="7B308ED7">
            <w:pPr>
              <w:pStyle w:val="92"/>
              <w:rPr>
                <w:color w:val="auto"/>
                <w:highlight w:val="none"/>
                <w:u w:val="none"/>
              </w:rPr>
            </w:pPr>
          </w:p>
        </w:tc>
        <w:tc>
          <w:tcPr>
            <w:tcW w:w="314" w:type="pct"/>
            <w:vMerge w:val="continue"/>
            <w:vAlign w:val="center"/>
          </w:tcPr>
          <w:p w14:paraId="10E4C911">
            <w:pPr>
              <w:pStyle w:val="92"/>
              <w:rPr>
                <w:color w:val="auto"/>
                <w:highlight w:val="none"/>
                <w:u w:val="none"/>
              </w:rPr>
            </w:pPr>
          </w:p>
        </w:tc>
        <w:tc>
          <w:tcPr>
            <w:tcW w:w="223" w:type="pct"/>
            <w:vMerge w:val="continue"/>
            <w:vAlign w:val="center"/>
          </w:tcPr>
          <w:p w14:paraId="34024780">
            <w:pPr>
              <w:pStyle w:val="92"/>
              <w:rPr>
                <w:color w:val="auto"/>
                <w:highlight w:val="none"/>
                <w:u w:val="none"/>
              </w:rPr>
            </w:pPr>
          </w:p>
        </w:tc>
        <w:tc>
          <w:tcPr>
            <w:tcW w:w="223" w:type="pct"/>
            <w:vMerge w:val="continue"/>
            <w:vAlign w:val="center"/>
          </w:tcPr>
          <w:p w14:paraId="567DC76D">
            <w:pPr>
              <w:pStyle w:val="92"/>
              <w:rPr>
                <w:color w:val="auto"/>
                <w:highlight w:val="none"/>
                <w:u w:val="none"/>
              </w:rPr>
            </w:pPr>
          </w:p>
        </w:tc>
        <w:tc>
          <w:tcPr>
            <w:tcW w:w="240" w:type="pct"/>
            <w:vMerge w:val="continue"/>
            <w:vAlign w:val="center"/>
          </w:tcPr>
          <w:p w14:paraId="325876D7">
            <w:pPr>
              <w:pStyle w:val="92"/>
              <w:rPr>
                <w:color w:val="auto"/>
                <w:highlight w:val="none"/>
                <w:u w:val="none"/>
              </w:rPr>
            </w:pPr>
          </w:p>
        </w:tc>
      </w:tr>
      <w:tr w14:paraId="122F47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restart"/>
            <w:vAlign w:val="center"/>
          </w:tcPr>
          <w:p w14:paraId="0C0D8410">
            <w:pPr>
              <w:pStyle w:val="92"/>
              <w:rPr>
                <w:color w:val="auto"/>
                <w:highlight w:val="none"/>
                <w:u w:val="none"/>
              </w:rPr>
            </w:pPr>
            <w:r>
              <w:rPr>
                <w:color w:val="auto"/>
                <w:highlight w:val="none"/>
                <w:u w:val="none"/>
              </w:rPr>
              <w:t>6</w:t>
            </w:r>
          </w:p>
        </w:tc>
        <w:tc>
          <w:tcPr>
            <w:tcW w:w="924" w:type="pct"/>
            <w:vAlign w:val="center"/>
          </w:tcPr>
          <w:p w14:paraId="7D90160D">
            <w:pPr>
              <w:pStyle w:val="92"/>
              <w:rPr>
                <w:color w:val="auto"/>
                <w:highlight w:val="none"/>
                <w:u w:val="none"/>
              </w:rPr>
            </w:pPr>
            <w:r>
              <w:rPr>
                <w:color w:val="auto"/>
                <w:highlight w:val="none"/>
                <w:u w:val="none"/>
              </w:rPr>
              <w:t>酸性废气</w:t>
            </w:r>
            <w:r>
              <w:rPr>
                <w:rFonts w:hint="eastAsia"/>
                <w:color w:val="auto"/>
                <w:highlight w:val="none"/>
                <w:u w:val="none"/>
              </w:rPr>
              <w:t>（</w:t>
            </w:r>
            <w:r>
              <w:rPr>
                <w:color w:val="auto"/>
                <w:highlight w:val="none"/>
                <w:u w:val="none"/>
              </w:rPr>
              <w:t>能量回收装置</w:t>
            </w:r>
            <w:r>
              <w:rPr>
                <w:rFonts w:hint="eastAsia"/>
                <w:color w:val="auto"/>
                <w:highlight w:val="none"/>
                <w:u w:val="none"/>
              </w:rPr>
              <w:t>故障</w:t>
            </w:r>
            <w:r>
              <w:rPr>
                <w:color w:val="auto"/>
                <w:highlight w:val="none"/>
                <w:u w:val="none"/>
              </w:rPr>
              <w:t>停车</w:t>
            </w:r>
            <w:r>
              <w:rPr>
                <w:rFonts w:hint="eastAsia"/>
                <w:color w:val="auto"/>
                <w:highlight w:val="none"/>
                <w:u w:val="none"/>
              </w:rPr>
              <w:t>）</w:t>
            </w:r>
          </w:p>
        </w:tc>
        <w:tc>
          <w:tcPr>
            <w:tcW w:w="802" w:type="pct"/>
            <w:vAlign w:val="center"/>
          </w:tcPr>
          <w:p w14:paraId="1BAAF26D">
            <w:pPr>
              <w:pStyle w:val="92"/>
              <w:rPr>
                <w:color w:val="auto"/>
                <w:highlight w:val="none"/>
                <w:u w:val="none"/>
              </w:rPr>
            </w:pPr>
            <w:r>
              <w:rPr>
                <w:color w:val="auto"/>
                <w:highlight w:val="none"/>
                <w:u w:val="none"/>
              </w:rPr>
              <w:t>NO</w:t>
            </w:r>
            <w:r>
              <w:rPr>
                <w:color w:val="auto"/>
                <w:highlight w:val="none"/>
                <w:u w:val="none"/>
                <w:vertAlign w:val="subscript"/>
              </w:rPr>
              <w:t>X</w:t>
            </w:r>
          </w:p>
        </w:tc>
        <w:tc>
          <w:tcPr>
            <w:tcW w:w="344" w:type="pct"/>
            <w:vAlign w:val="center"/>
          </w:tcPr>
          <w:p w14:paraId="08230343">
            <w:pPr>
              <w:pStyle w:val="92"/>
              <w:rPr>
                <w:color w:val="auto"/>
                <w:highlight w:val="none"/>
                <w:u w:val="none"/>
              </w:rPr>
            </w:pPr>
            <w:r>
              <w:rPr>
                <w:rFonts w:hint="eastAsia"/>
                <w:color w:val="auto"/>
                <w:highlight w:val="none"/>
                <w:u w:val="none"/>
              </w:rPr>
              <w:t>1200</w:t>
            </w:r>
          </w:p>
        </w:tc>
        <w:tc>
          <w:tcPr>
            <w:tcW w:w="314" w:type="pct"/>
            <w:vAlign w:val="center"/>
          </w:tcPr>
          <w:p w14:paraId="4240D5A4">
            <w:pPr>
              <w:pStyle w:val="92"/>
              <w:rPr>
                <w:color w:val="auto"/>
                <w:highlight w:val="none"/>
                <w:u w:val="none"/>
              </w:rPr>
            </w:pPr>
            <w:r>
              <w:rPr>
                <w:color w:val="auto"/>
                <w:highlight w:val="none"/>
                <w:u w:val="none"/>
              </w:rPr>
              <w:t>NO</w:t>
            </w:r>
            <w:r>
              <w:rPr>
                <w:color w:val="auto"/>
                <w:highlight w:val="none"/>
                <w:u w:val="none"/>
                <w:vertAlign w:val="subscript"/>
              </w:rPr>
              <w:t>X</w:t>
            </w:r>
          </w:p>
        </w:tc>
        <w:tc>
          <w:tcPr>
            <w:tcW w:w="264" w:type="pct"/>
            <w:vAlign w:val="center"/>
          </w:tcPr>
          <w:p w14:paraId="4C50C62D">
            <w:pPr>
              <w:pStyle w:val="92"/>
              <w:rPr>
                <w:color w:val="auto"/>
                <w:highlight w:val="none"/>
                <w:u w:val="none"/>
              </w:rPr>
            </w:pPr>
            <w:r>
              <w:rPr>
                <w:color w:val="auto"/>
                <w:highlight w:val="none"/>
                <w:u w:val="none"/>
              </w:rPr>
              <w:t xml:space="preserve">192 </w:t>
            </w:r>
          </w:p>
        </w:tc>
        <w:tc>
          <w:tcPr>
            <w:tcW w:w="314" w:type="pct"/>
            <w:vAlign w:val="center"/>
          </w:tcPr>
          <w:p w14:paraId="51CF7EC5">
            <w:pPr>
              <w:pStyle w:val="92"/>
              <w:rPr>
                <w:color w:val="auto"/>
                <w:highlight w:val="none"/>
                <w:u w:val="none"/>
              </w:rPr>
            </w:pPr>
            <w:r>
              <w:rPr>
                <w:color w:val="auto"/>
                <w:highlight w:val="none"/>
                <w:u w:val="none"/>
              </w:rPr>
              <w:t xml:space="preserve">0.23 </w:t>
            </w:r>
          </w:p>
        </w:tc>
        <w:tc>
          <w:tcPr>
            <w:tcW w:w="242" w:type="pct"/>
            <w:vAlign w:val="center"/>
          </w:tcPr>
          <w:p w14:paraId="203F1DEA">
            <w:pPr>
              <w:pStyle w:val="92"/>
              <w:rPr>
                <w:color w:val="auto"/>
                <w:highlight w:val="none"/>
                <w:u w:val="none"/>
              </w:rPr>
            </w:pPr>
            <w:r>
              <w:rPr>
                <w:color w:val="auto"/>
                <w:highlight w:val="none"/>
                <w:u w:val="none"/>
              </w:rPr>
              <w:t xml:space="preserve">0.46 </w:t>
            </w:r>
          </w:p>
        </w:tc>
        <w:tc>
          <w:tcPr>
            <w:tcW w:w="630" w:type="pct"/>
            <w:vAlign w:val="center"/>
          </w:tcPr>
          <w:p w14:paraId="306B6563">
            <w:pPr>
              <w:pStyle w:val="92"/>
              <w:rPr>
                <w:color w:val="auto"/>
                <w:highlight w:val="none"/>
                <w:u w:val="none"/>
              </w:rPr>
            </w:pPr>
            <w:r>
              <w:rPr>
                <w:color w:val="auto"/>
                <w:highlight w:val="none"/>
                <w:u w:val="none"/>
              </w:rPr>
              <w:t>水低温加压</w:t>
            </w:r>
          </w:p>
          <w:p w14:paraId="231D5677">
            <w:pPr>
              <w:pStyle w:val="92"/>
              <w:rPr>
                <w:color w:val="auto"/>
                <w:highlight w:val="none"/>
                <w:u w:val="none"/>
              </w:rPr>
            </w:pPr>
            <w:r>
              <w:rPr>
                <w:color w:val="auto"/>
                <w:highlight w:val="none"/>
                <w:u w:val="none"/>
              </w:rPr>
              <w:t>吸收</w:t>
            </w:r>
          </w:p>
        </w:tc>
        <w:tc>
          <w:tcPr>
            <w:tcW w:w="314" w:type="pct"/>
            <w:vAlign w:val="center"/>
          </w:tcPr>
          <w:p w14:paraId="378AE25B">
            <w:pPr>
              <w:pStyle w:val="92"/>
              <w:rPr>
                <w:color w:val="auto"/>
                <w:highlight w:val="none"/>
                <w:u w:val="none"/>
              </w:rPr>
            </w:pPr>
            <w:r>
              <w:rPr>
                <w:color w:val="auto"/>
                <w:highlight w:val="none"/>
                <w:u w:val="none"/>
              </w:rPr>
              <w:t>2</w:t>
            </w:r>
          </w:p>
          <w:p w14:paraId="661A8FB4">
            <w:pPr>
              <w:pStyle w:val="92"/>
              <w:rPr>
                <w:color w:val="auto"/>
                <w:highlight w:val="none"/>
                <w:u w:val="none"/>
              </w:rPr>
            </w:pPr>
            <w:r>
              <w:rPr>
                <w:bCs/>
                <w:color w:val="auto"/>
                <w:sz w:val="18"/>
                <w:szCs w:val="18"/>
                <w:highlight w:val="none"/>
                <w:u w:val="none"/>
              </w:rPr>
              <w:t>（1×2）</w:t>
            </w:r>
          </w:p>
        </w:tc>
        <w:tc>
          <w:tcPr>
            <w:tcW w:w="223" w:type="pct"/>
            <w:vAlign w:val="center"/>
          </w:tcPr>
          <w:p w14:paraId="2407D3A5">
            <w:pPr>
              <w:pStyle w:val="92"/>
              <w:rPr>
                <w:color w:val="auto"/>
                <w:highlight w:val="none"/>
                <w:u w:val="none"/>
              </w:rPr>
            </w:pPr>
            <w:r>
              <w:rPr>
                <w:rFonts w:hint="eastAsia"/>
                <w:color w:val="auto"/>
                <w:highlight w:val="none"/>
                <w:u w:val="none"/>
              </w:rPr>
              <w:t>36</w:t>
            </w:r>
          </w:p>
        </w:tc>
        <w:tc>
          <w:tcPr>
            <w:tcW w:w="223" w:type="pct"/>
            <w:vAlign w:val="center"/>
          </w:tcPr>
          <w:p w14:paraId="5B4F1FF4">
            <w:pPr>
              <w:pStyle w:val="92"/>
              <w:rPr>
                <w:color w:val="auto"/>
                <w:highlight w:val="none"/>
                <w:u w:val="none"/>
              </w:rPr>
            </w:pPr>
            <w:r>
              <w:rPr>
                <w:rFonts w:hint="eastAsia"/>
                <w:color w:val="auto"/>
                <w:highlight w:val="none"/>
                <w:u w:val="none"/>
              </w:rPr>
              <w:t>0</w:t>
            </w:r>
            <w:r>
              <w:rPr>
                <w:color w:val="auto"/>
                <w:highlight w:val="none"/>
                <w:u w:val="none"/>
              </w:rPr>
              <w:t>.2</w:t>
            </w:r>
          </w:p>
        </w:tc>
        <w:tc>
          <w:tcPr>
            <w:tcW w:w="240" w:type="pct"/>
            <w:vAlign w:val="center"/>
          </w:tcPr>
          <w:p w14:paraId="0589CAA1">
            <w:pPr>
              <w:pStyle w:val="92"/>
              <w:rPr>
                <w:color w:val="auto"/>
                <w:highlight w:val="none"/>
                <w:u w:val="none"/>
              </w:rPr>
            </w:pPr>
            <w:r>
              <w:rPr>
                <w:rFonts w:hint="eastAsia"/>
                <w:color w:val="auto"/>
                <w:highlight w:val="none"/>
                <w:u w:val="none"/>
              </w:rPr>
              <w:t>2</w:t>
            </w:r>
            <w:r>
              <w:rPr>
                <w:color w:val="auto"/>
                <w:highlight w:val="none"/>
                <w:u w:val="none"/>
              </w:rPr>
              <w:t>5</w:t>
            </w:r>
          </w:p>
        </w:tc>
      </w:tr>
      <w:tr w14:paraId="254836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3AC578EB">
            <w:pPr>
              <w:pStyle w:val="92"/>
              <w:rPr>
                <w:color w:val="auto"/>
                <w:highlight w:val="none"/>
                <w:u w:val="none"/>
              </w:rPr>
            </w:pPr>
          </w:p>
        </w:tc>
        <w:tc>
          <w:tcPr>
            <w:tcW w:w="924" w:type="pct"/>
            <w:vMerge w:val="restart"/>
            <w:vAlign w:val="center"/>
          </w:tcPr>
          <w:p w14:paraId="44BC95E1">
            <w:pPr>
              <w:pStyle w:val="92"/>
              <w:rPr>
                <w:color w:val="auto"/>
                <w:highlight w:val="none"/>
                <w:u w:val="none"/>
              </w:rPr>
            </w:pPr>
            <w:r>
              <w:rPr>
                <w:color w:val="auto"/>
                <w:highlight w:val="none"/>
                <w:u w:val="none"/>
              </w:rPr>
              <w:t>碱性废气</w:t>
            </w:r>
            <w:r>
              <w:rPr>
                <w:rFonts w:hint="eastAsia"/>
                <w:color w:val="auto"/>
                <w:highlight w:val="none"/>
                <w:u w:val="none"/>
              </w:rPr>
              <w:t>（</w:t>
            </w:r>
            <w:r>
              <w:rPr>
                <w:color w:val="auto"/>
                <w:highlight w:val="none"/>
                <w:u w:val="none"/>
              </w:rPr>
              <w:t>能量回收装置</w:t>
            </w:r>
            <w:r>
              <w:rPr>
                <w:rFonts w:hint="eastAsia"/>
                <w:color w:val="auto"/>
                <w:highlight w:val="none"/>
                <w:u w:val="none"/>
              </w:rPr>
              <w:t>故障停车）</w:t>
            </w:r>
          </w:p>
        </w:tc>
        <w:tc>
          <w:tcPr>
            <w:tcW w:w="802" w:type="pct"/>
            <w:vAlign w:val="center"/>
          </w:tcPr>
          <w:p w14:paraId="11CEAFA9">
            <w:pPr>
              <w:pStyle w:val="92"/>
              <w:rPr>
                <w:color w:val="auto"/>
                <w:highlight w:val="none"/>
                <w:u w:val="none"/>
              </w:rPr>
            </w:pPr>
            <w:r>
              <w:rPr>
                <w:color w:val="auto"/>
                <w:highlight w:val="none"/>
                <w:u w:val="none"/>
              </w:rPr>
              <w:t>硝基苯类</w:t>
            </w:r>
          </w:p>
        </w:tc>
        <w:tc>
          <w:tcPr>
            <w:tcW w:w="344" w:type="pct"/>
            <w:vMerge w:val="restart"/>
            <w:vAlign w:val="center"/>
          </w:tcPr>
          <w:p w14:paraId="41358E7B">
            <w:pPr>
              <w:pStyle w:val="92"/>
              <w:rPr>
                <w:color w:val="auto"/>
                <w:highlight w:val="none"/>
                <w:u w:val="none"/>
              </w:rPr>
            </w:pPr>
            <w:r>
              <w:rPr>
                <w:rFonts w:hint="eastAsia"/>
                <w:color w:val="auto"/>
                <w:highlight w:val="none"/>
                <w:u w:val="none"/>
              </w:rPr>
              <w:t>250</w:t>
            </w:r>
          </w:p>
        </w:tc>
        <w:tc>
          <w:tcPr>
            <w:tcW w:w="314" w:type="pct"/>
            <w:vAlign w:val="center"/>
          </w:tcPr>
          <w:p w14:paraId="3EA7E557">
            <w:pPr>
              <w:pStyle w:val="92"/>
              <w:rPr>
                <w:color w:val="auto"/>
                <w:highlight w:val="none"/>
                <w:u w:val="none"/>
              </w:rPr>
            </w:pPr>
            <w:r>
              <w:rPr>
                <w:color w:val="auto"/>
                <w:highlight w:val="none"/>
                <w:u w:val="none"/>
              </w:rPr>
              <w:t>硝基苯类</w:t>
            </w:r>
          </w:p>
        </w:tc>
        <w:tc>
          <w:tcPr>
            <w:tcW w:w="264" w:type="pct"/>
            <w:vAlign w:val="center"/>
          </w:tcPr>
          <w:p w14:paraId="4A162095">
            <w:pPr>
              <w:pStyle w:val="92"/>
              <w:rPr>
                <w:color w:val="auto"/>
                <w:highlight w:val="none"/>
                <w:u w:val="none"/>
              </w:rPr>
            </w:pPr>
            <w:r>
              <w:rPr>
                <w:color w:val="auto"/>
                <w:highlight w:val="none"/>
                <w:u w:val="none"/>
              </w:rPr>
              <w:t xml:space="preserve">16 </w:t>
            </w:r>
          </w:p>
        </w:tc>
        <w:tc>
          <w:tcPr>
            <w:tcW w:w="314" w:type="pct"/>
            <w:vAlign w:val="center"/>
          </w:tcPr>
          <w:p w14:paraId="4DECD622">
            <w:pPr>
              <w:pStyle w:val="92"/>
              <w:rPr>
                <w:color w:val="auto"/>
                <w:highlight w:val="none"/>
                <w:u w:val="none"/>
              </w:rPr>
            </w:pPr>
            <w:r>
              <w:rPr>
                <w:color w:val="auto"/>
                <w:highlight w:val="none"/>
                <w:u w:val="none"/>
              </w:rPr>
              <w:t>0.004</w:t>
            </w:r>
          </w:p>
        </w:tc>
        <w:tc>
          <w:tcPr>
            <w:tcW w:w="242" w:type="pct"/>
            <w:vAlign w:val="center"/>
          </w:tcPr>
          <w:p w14:paraId="11DFC6AC">
            <w:pPr>
              <w:pStyle w:val="92"/>
              <w:rPr>
                <w:color w:val="auto"/>
                <w:highlight w:val="none"/>
                <w:u w:val="none"/>
              </w:rPr>
            </w:pPr>
            <w:r>
              <w:rPr>
                <w:color w:val="auto"/>
                <w:highlight w:val="none"/>
                <w:u w:val="none"/>
              </w:rPr>
              <w:t>0.008</w:t>
            </w:r>
          </w:p>
        </w:tc>
        <w:tc>
          <w:tcPr>
            <w:tcW w:w="630" w:type="pct"/>
            <w:vMerge w:val="restart"/>
            <w:vAlign w:val="center"/>
          </w:tcPr>
          <w:p w14:paraId="50D572AD">
            <w:pPr>
              <w:pStyle w:val="92"/>
              <w:rPr>
                <w:color w:val="auto"/>
                <w:highlight w:val="none"/>
                <w:u w:val="none"/>
              </w:rPr>
            </w:pPr>
            <w:r>
              <w:rPr>
                <w:color w:val="auto"/>
                <w:highlight w:val="none"/>
                <w:u w:val="none"/>
              </w:rPr>
              <w:t>加压水洗涤后</w:t>
            </w:r>
          </w:p>
          <w:p w14:paraId="279D278C">
            <w:pPr>
              <w:pStyle w:val="92"/>
              <w:rPr>
                <w:color w:val="auto"/>
                <w:highlight w:val="none"/>
                <w:u w:val="none"/>
              </w:rPr>
            </w:pPr>
            <w:r>
              <w:rPr>
                <w:color w:val="auto"/>
                <w:highlight w:val="none"/>
                <w:u w:val="none"/>
              </w:rPr>
              <w:t>去</w:t>
            </w: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Merge w:val="restart"/>
            <w:vAlign w:val="center"/>
          </w:tcPr>
          <w:p w14:paraId="5302F163">
            <w:pPr>
              <w:pStyle w:val="92"/>
              <w:rPr>
                <w:color w:val="auto"/>
                <w:highlight w:val="none"/>
                <w:u w:val="none"/>
              </w:rPr>
            </w:pPr>
            <w:r>
              <w:rPr>
                <w:color w:val="auto"/>
                <w:highlight w:val="none"/>
                <w:u w:val="none"/>
              </w:rPr>
              <w:t>2</w:t>
            </w:r>
          </w:p>
          <w:p w14:paraId="32F34067">
            <w:pPr>
              <w:pStyle w:val="92"/>
              <w:rPr>
                <w:color w:val="auto"/>
                <w:highlight w:val="none"/>
                <w:u w:val="none"/>
              </w:rPr>
            </w:pPr>
            <w:r>
              <w:rPr>
                <w:bCs/>
                <w:color w:val="auto"/>
                <w:sz w:val="18"/>
                <w:szCs w:val="18"/>
                <w:highlight w:val="none"/>
                <w:u w:val="none"/>
              </w:rPr>
              <w:t>（1×2）</w:t>
            </w:r>
          </w:p>
        </w:tc>
        <w:tc>
          <w:tcPr>
            <w:tcW w:w="223" w:type="pct"/>
            <w:vMerge w:val="restart"/>
            <w:vAlign w:val="center"/>
          </w:tcPr>
          <w:p w14:paraId="38FA764D">
            <w:pPr>
              <w:pStyle w:val="92"/>
              <w:rPr>
                <w:color w:val="auto"/>
                <w:highlight w:val="none"/>
                <w:u w:val="none"/>
              </w:rPr>
            </w:pPr>
            <w:r>
              <w:rPr>
                <w:color w:val="auto"/>
                <w:highlight w:val="none"/>
                <w:u w:val="none"/>
              </w:rPr>
              <w:t>32</w:t>
            </w:r>
          </w:p>
        </w:tc>
        <w:tc>
          <w:tcPr>
            <w:tcW w:w="223" w:type="pct"/>
            <w:vMerge w:val="restart"/>
            <w:vAlign w:val="center"/>
          </w:tcPr>
          <w:p w14:paraId="7B993B5D">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Merge w:val="restart"/>
            <w:vAlign w:val="center"/>
          </w:tcPr>
          <w:p w14:paraId="4087655B">
            <w:pPr>
              <w:pStyle w:val="92"/>
              <w:rPr>
                <w:color w:val="auto"/>
                <w:highlight w:val="none"/>
                <w:u w:val="none"/>
              </w:rPr>
            </w:pPr>
            <w:r>
              <w:rPr>
                <w:rFonts w:hint="eastAsia"/>
                <w:color w:val="auto"/>
                <w:highlight w:val="none"/>
                <w:u w:val="none"/>
              </w:rPr>
              <w:t>1</w:t>
            </w:r>
            <w:r>
              <w:rPr>
                <w:color w:val="auto"/>
                <w:highlight w:val="none"/>
                <w:u w:val="none"/>
              </w:rPr>
              <w:t>000</w:t>
            </w:r>
          </w:p>
        </w:tc>
      </w:tr>
      <w:tr w14:paraId="13C4E9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5E631339">
            <w:pPr>
              <w:pStyle w:val="92"/>
              <w:rPr>
                <w:color w:val="auto"/>
                <w:highlight w:val="none"/>
                <w:u w:val="none"/>
              </w:rPr>
            </w:pPr>
          </w:p>
        </w:tc>
        <w:tc>
          <w:tcPr>
            <w:tcW w:w="924" w:type="pct"/>
            <w:vMerge w:val="continue"/>
            <w:vAlign w:val="center"/>
          </w:tcPr>
          <w:p w14:paraId="19E55FC8">
            <w:pPr>
              <w:pStyle w:val="92"/>
              <w:rPr>
                <w:color w:val="auto"/>
                <w:highlight w:val="none"/>
                <w:u w:val="none"/>
              </w:rPr>
            </w:pPr>
          </w:p>
        </w:tc>
        <w:tc>
          <w:tcPr>
            <w:tcW w:w="802" w:type="pct"/>
            <w:vAlign w:val="center"/>
          </w:tcPr>
          <w:p w14:paraId="0F98289E">
            <w:pPr>
              <w:pStyle w:val="92"/>
              <w:rPr>
                <w:color w:val="auto"/>
                <w:highlight w:val="none"/>
                <w:u w:val="none"/>
              </w:rPr>
            </w:pPr>
            <w:r>
              <w:rPr>
                <w:color w:val="auto"/>
                <w:highlight w:val="none"/>
                <w:u w:val="none"/>
              </w:rPr>
              <w:t>甲苯</w:t>
            </w:r>
          </w:p>
        </w:tc>
        <w:tc>
          <w:tcPr>
            <w:tcW w:w="344" w:type="pct"/>
            <w:vMerge w:val="continue"/>
            <w:vAlign w:val="center"/>
          </w:tcPr>
          <w:p w14:paraId="5B5AE846">
            <w:pPr>
              <w:pStyle w:val="92"/>
              <w:rPr>
                <w:color w:val="auto"/>
                <w:highlight w:val="none"/>
                <w:u w:val="none"/>
              </w:rPr>
            </w:pPr>
          </w:p>
        </w:tc>
        <w:tc>
          <w:tcPr>
            <w:tcW w:w="314" w:type="pct"/>
            <w:vAlign w:val="center"/>
          </w:tcPr>
          <w:p w14:paraId="498DAC15">
            <w:pPr>
              <w:pStyle w:val="92"/>
              <w:rPr>
                <w:color w:val="auto"/>
                <w:highlight w:val="none"/>
                <w:u w:val="none"/>
              </w:rPr>
            </w:pPr>
            <w:r>
              <w:rPr>
                <w:color w:val="auto"/>
                <w:highlight w:val="none"/>
                <w:u w:val="none"/>
              </w:rPr>
              <w:t>甲苯</w:t>
            </w:r>
          </w:p>
        </w:tc>
        <w:tc>
          <w:tcPr>
            <w:tcW w:w="264" w:type="pct"/>
            <w:vAlign w:val="center"/>
          </w:tcPr>
          <w:p w14:paraId="5B0F759F">
            <w:pPr>
              <w:pStyle w:val="92"/>
              <w:rPr>
                <w:color w:val="auto"/>
                <w:highlight w:val="none"/>
                <w:u w:val="none"/>
              </w:rPr>
            </w:pPr>
            <w:r>
              <w:rPr>
                <w:color w:val="auto"/>
                <w:highlight w:val="none"/>
                <w:u w:val="none"/>
              </w:rPr>
              <w:t xml:space="preserve">280 </w:t>
            </w:r>
          </w:p>
        </w:tc>
        <w:tc>
          <w:tcPr>
            <w:tcW w:w="314" w:type="pct"/>
            <w:vAlign w:val="center"/>
          </w:tcPr>
          <w:p w14:paraId="7B20465A">
            <w:pPr>
              <w:pStyle w:val="92"/>
              <w:rPr>
                <w:color w:val="auto"/>
                <w:highlight w:val="none"/>
                <w:u w:val="none"/>
              </w:rPr>
            </w:pPr>
            <w:r>
              <w:rPr>
                <w:color w:val="auto"/>
                <w:highlight w:val="none"/>
                <w:u w:val="none"/>
              </w:rPr>
              <w:t>0.07</w:t>
            </w:r>
          </w:p>
        </w:tc>
        <w:tc>
          <w:tcPr>
            <w:tcW w:w="242" w:type="pct"/>
            <w:vAlign w:val="center"/>
          </w:tcPr>
          <w:p w14:paraId="2037D2A0">
            <w:pPr>
              <w:pStyle w:val="92"/>
              <w:rPr>
                <w:color w:val="auto"/>
                <w:highlight w:val="none"/>
                <w:u w:val="none"/>
              </w:rPr>
            </w:pPr>
            <w:r>
              <w:rPr>
                <w:color w:val="auto"/>
                <w:highlight w:val="none"/>
                <w:u w:val="none"/>
              </w:rPr>
              <w:t>0.14</w:t>
            </w:r>
          </w:p>
        </w:tc>
        <w:tc>
          <w:tcPr>
            <w:tcW w:w="630" w:type="pct"/>
            <w:vMerge w:val="continue"/>
            <w:vAlign w:val="center"/>
          </w:tcPr>
          <w:p w14:paraId="1897F535">
            <w:pPr>
              <w:pStyle w:val="92"/>
              <w:rPr>
                <w:color w:val="auto"/>
                <w:highlight w:val="none"/>
                <w:u w:val="none"/>
              </w:rPr>
            </w:pPr>
          </w:p>
        </w:tc>
        <w:tc>
          <w:tcPr>
            <w:tcW w:w="314" w:type="pct"/>
            <w:vMerge w:val="continue"/>
            <w:vAlign w:val="center"/>
          </w:tcPr>
          <w:p w14:paraId="18A6A4C2">
            <w:pPr>
              <w:pStyle w:val="92"/>
              <w:rPr>
                <w:color w:val="auto"/>
                <w:highlight w:val="none"/>
                <w:u w:val="none"/>
              </w:rPr>
            </w:pPr>
          </w:p>
        </w:tc>
        <w:tc>
          <w:tcPr>
            <w:tcW w:w="223" w:type="pct"/>
            <w:vMerge w:val="continue"/>
            <w:vAlign w:val="center"/>
          </w:tcPr>
          <w:p w14:paraId="4C0B6A49">
            <w:pPr>
              <w:pStyle w:val="92"/>
              <w:rPr>
                <w:color w:val="auto"/>
                <w:highlight w:val="none"/>
                <w:u w:val="none"/>
              </w:rPr>
            </w:pPr>
          </w:p>
        </w:tc>
        <w:tc>
          <w:tcPr>
            <w:tcW w:w="223" w:type="pct"/>
            <w:vMerge w:val="continue"/>
            <w:vAlign w:val="center"/>
          </w:tcPr>
          <w:p w14:paraId="6CF95B1E">
            <w:pPr>
              <w:pStyle w:val="92"/>
              <w:rPr>
                <w:color w:val="auto"/>
                <w:highlight w:val="none"/>
                <w:u w:val="none"/>
              </w:rPr>
            </w:pPr>
          </w:p>
        </w:tc>
        <w:tc>
          <w:tcPr>
            <w:tcW w:w="240" w:type="pct"/>
            <w:vMerge w:val="continue"/>
            <w:vAlign w:val="center"/>
          </w:tcPr>
          <w:p w14:paraId="35297D9E">
            <w:pPr>
              <w:pStyle w:val="92"/>
              <w:rPr>
                <w:color w:val="auto"/>
                <w:highlight w:val="none"/>
                <w:u w:val="none"/>
              </w:rPr>
            </w:pPr>
          </w:p>
        </w:tc>
      </w:tr>
      <w:tr w14:paraId="548C8A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04443137">
            <w:pPr>
              <w:pStyle w:val="92"/>
              <w:rPr>
                <w:color w:val="auto"/>
                <w:highlight w:val="none"/>
                <w:u w:val="none"/>
              </w:rPr>
            </w:pPr>
          </w:p>
        </w:tc>
        <w:tc>
          <w:tcPr>
            <w:tcW w:w="924" w:type="pct"/>
            <w:vMerge w:val="continue"/>
            <w:vAlign w:val="center"/>
          </w:tcPr>
          <w:p w14:paraId="4720CF64">
            <w:pPr>
              <w:pStyle w:val="92"/>
              <w:rPr>
                <w:color w:val="auto"/>
                <w:highlight w:val="none"/>
                <w:u w:val="none"/>
              </w:rPr>
            </w:pPr>
          </w:p>
        </w:tc>
        <w:tc>
          <w:tcPr>
            <w:tcW w:w="802" w:type="pct"/>
            <w:vAlign w:val="center"/>
          </w:tcPr>
          <w:p w14:paraId="50C102F3">
            <w:pPr>
              <w:pStyle w:val="92"/>
              <w:rPr>
                <w:color w:val="auto"/>
                <w:highlight w:val="none"/>
                <w:u w:val="none"/>
              </w:rPr>
            </w:pPr>
            <w:r>
              <w:rPr>
                <w:color w:val="auto"/>
                <w:highlight w:val="none"/>
                <w:u w:val="none"/>
              </w:rPr>
              <w:t>氨</w:t>
            </w:r>
          </w:p>
        </w:tc>
        <w:tc>
          <w:tcPr>
            <w:tcW w:w="344" w:type="pct"/>
            <w:vMerge w:val="continue"/>
            <w:vAlign w:val="center"/>
          </w:tcPr>
          <w:p w14:paraId="179AF308">
            <w:pPr>
              <w:pStyle w:val="92"/>
              <w:rPr>
                <w:color w:val="auto"/>
                <w:highlight w:val="none"/>
                <w:u w:val="none"/>
              </w:rPr>
            </w:pPr>
          </w:p>
        </w:tc>
        <w:tc>
          <w:tcPr>
            <w:tcW w:w="314" w:type="pct"/>
            <w:vAlign w:val="center"/>
          </w:tcPr>
          <w:p w14:paraId="2E6A29B6">
            <w:pPr>
              <w:pStyle w:val="92"/>
              <w:rPr>
                <w:color w:val="auto"/>
                <w:highlight w:val="none"/>
                <w:u w:val="none"/>
              </w:rPr>
            </w:pPr>
            <w:r>
              <w:rPr>
                <w:color w:val="auto"/>
                <w:highlight w:val="none"/>
                <w:u w:val="none"/>
              </w:rPr>
              <w:t>氨</w:t>
            </w:r>
          </w:p>
        </w:tc>
        <w:tc>
          <w:tcPr>
            <w:tcW w:w="264" w:type="pct"/>
            <w:vAlign w:val="center"/>
          </w:tcPr>
          <w:p w14:paraId="39CF009C">
            <w:pPr>
              <w:pStyle w:val="92"/>
              <w:rPr>
                <w:color w:val="auto"/>
                <w:highlight w:val="none"/>
                <w:u w:val="none"/>
              </w:rPr>
            </w:pPr>
            <w:r>
              <w:rPr>
                <w:color w:val="auto"/>
                <w:highlight w:val="none"/>
                <w:u w:val="none"/>
              </w:rPr>
              <w:t xml:space="preserve">2640 </w:t>
            </w:r>
          </w:p>
        </w:tc>
        <w:tc>
          <w:tcPr>
            <w:tcW w:w="314" w:type="pct"/>
            <w:vAlign w:val="center"/>
          </w:tcPr>
          <w:p w14:paraId="5557442D">
            <w:pPr>
              <w:pStyle w:val="92"/>
              <w:rPr>
                <w:color w:val="auto"/>
                <w:highlight w:val="none"/>
                <w:u w:val="none"/>
              </w:rPr>
            </w:pPr>
            <w:r>
              <w:rPr>
                <w:color w:val="auto"/>
                <w:highlight w:val="none"/>
                <w:u w:val="none"/>
              </w:rPr>
              <w:t>0.66</w:t>
            </w:r>
          </w:p>
        </w:tc>
        <w:tc>
          <w:tcPr>
            <w:tcW w:w="242" w:type="pct"/>
            <w:vAlign w:val="center"/>
          </w:tcPr>
          <w:p w14:paraId="0FDF5495">
            <w:pPr>
              <w:pStyle w:val="92"/>
              <w:rPr>
                <w:color w:val="auto"/>
                <w:highlight w:val="none"/>
                <w:u w:val="none"/>
              </w:rPr>
            </w:pPr>
            <w:r>
              <w:rPr>
                <w:color w:val="auto"/>
                <w:highlight w:val="none"/>
                <w:u w:val="none"/>
              </w:rPr>
              <w:t>1.32</w:t>
            </w:r>
          </w:p>
        </w:tc>
        <w:tc>
          <w:tcPr>
            <w:tcW w:w="630" w:type="pct"/>
            <w:vMerge w:val="continue"/>
            <w:vAlign w:val="center"/>
          </w:tcPr>
          <w:p w14:paraId="05BC90A1">
            <w:pPr>
              <w:pStyle w:val="92"/>
              <w:rPr>
                <w:color w:val="auto"/>
                <w:highlight w:val="none"/>
                <w:u w:val="none"/>
              </w:rPr>
            </w:pPr>
          </w:p>
        </w:tc>
        <w:tc>
          <w:tcPr>
            <w:tcW w:w="314" w:type="pct"/>
            <w:vMerge w:val="continue"/>
            <w:vAlign w:val="center"/>
          </w:tcPr>
          <w:p w14:paraId="2E052251">
            <w:pPr>
              <w:pStyle w:val="92"/>
              <w:rPr>
                <w:color w:val="auto"/>
                <w:highlight w:val="none"/>
                <w:u w:val="none"/>
              </w:rPr>
            </w:pPr>
          </w:p>
        </w:tc>
        <w:tc>
          <w:tcPr>
            <w:tcW w:w="223" w:type="pct"/>
            <w:vMerge w:val="continue"/>
            <w:vAlign w:val="center"/>
          </w:tcPr>
          <w:p w14:paraId="16024F40">
            <w:pPr>
              <w:pStyle w:val="92"/>
              <w:rPr>
                <w:color w:val="auto"/>
                <w:highlight w:val="none"/>
                <w:u w:val="none"/>
              </w:rPr>
            </w:pPr>
          </w:p>
        </w:tc>
        <w:tc>
          <w:tcPr>
            <w:tcW w:w="223" w:type="pct"/>
            <w:vMerge w:val="continue"/>
            <w:vAlign w:val="center"/>
          </w:tcPr>
          <w:p w14:paraId="71A70B36">
            <w:pPr>
              <w:pStyle w:val="92"/>
              <w:rPr>
                <w:color w:val="auto"/>
                <w:highlight w:val="none"/>
                <w:u w:val="none"/>
              </w:rPr>
            </w:pPr>
          </w:p>
        </w:tc>
        <w:tc>
          <w:tcPr>
            <w:tcW w:w="240" w:type="pct"/>
            <w:vMerge w:val="continue"/>
            <w:vAlign w:val="center"/>
          </w:tcPr>
          <w:p w14:paraId="306602F7">
            <w:pPr>
              <w:pStyle w:val="92"/>
              <w:rPr>
                <w:color w:val="auto"/>
                <w:highlight w:val="none"/>
                <w:u w:val="none"/>
              </w:rPr>
            </w:pPr>
          </w:p>
        </w:tc>
      </w:tr>
      <w:tr w14:paraId="3F4915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2EA5A479">
            <w:pPr>
              <w:pStyle w:val="92"/>
              <w:rPr>
                <w:color w:val="auto"/>
                <w:highlight w:val="none"/>
                <w:u w:val="none"/>
              </w:rPr>
            </w:pPr>
          </w:p>
        </w:tc>
        <w:tc>
          <w:tcPr>
            <w:tcW w:w="924" w:type="pct"/>
            <w:vMerge w:val="continue"/>
            <w:vAlign w:val="center"/>
          </w:tcPr>
          <w:p w14:paraId="23A38BC1">
            <w:pPr>
              <w:pStyle w:val="92"/>
              <w:rPr>
                <w:color w:val="auto"/>
                <w:highlight w:val="none"/>
                <w:u w:val="none"/>
              </w:rPr>
            </w:pPr>
          </w:p>
        </w:tc>
        <w:tc>
          <w:tcPr>
            <w:tcW w:w="802" w:type="pct"/>
            <w:vAlign w:val="center"/>
          </w:tcPr>
          <w:p w14:paraId="54351DC4">
            <w:pPr>
              <w:pStyle w:val="92"/>
              <w:rPr>
                <w:color w:val="auto"/>
                <w:highlight w:val="none"/>
                <w:u w:val="none"/>
              </w:rPr>
            </w:pPr>
            <w:r>
              <w:rPr>
                <w:color w:val="auto"/>
                <w:highlight w:val="none"/>
                <w:u w:val="none"/>
              </w:rPr>
              <w:t>VOC</w:t>
            </w:r>
            <w:r>
              <w:rPr>
                <w:color w:val="auto"/>
                <w:highlight w:val="none"/>
                <w:u w:val="none"/>
                <w:vertAlign w:val="subscript"/>
              </w:rPr>
              <w:t>S</w:t>
            </w:r>
          </w:p>
        </w:tc>
        <w:tc>
          <w:tcPr>
            <w:tcW w:w="344" w:type="pct"/>
            <w:vMerge w:val="continue"/>
            <w:vAlign w:val="center"/>
          </w:tcPr>
          <w:p w14:paraId="14C3B9F4">
            <w:pPr>
              <w:pStyle w:val="92"/>
              <w:rPr>
                <w:color w:val="auto"/>
                <w:highlight w:val="none"/>
                <w:u w:val="none"/>
              </w:rPr>
            </w:pPr>
          </w:p>
        </w:tc>
        <w:tc>
          <w:tcPr>
            <w:tcW w:w="314" w:type="pct"/>
            <w:vAlign w:val="center"/>
          </w:tcPr>
          <w:p w14:paraId="33C17FA3">
            <w:pPr>
              <w:pStyle w:val="92"/>
              <w:rPr>
                <w:color w:val="auto"/>
                <w:highlight w:val="none"/>
                <w:u w:val="none"/>
              </w:rPr>
            </w:pPr>
            <w:r>
              <w:rPr>
                <w:color w:val="auto"/>
                <w:highlight w:val="none"/>
                <w:u w:val="none"/>
              </w:rPr>
              <w:t>VOC</w:t>
            </w:r>
            <w:r>
              <w:rPr>
                <w:color w:val="auto"/>
                <w:highlight w:val="none"/>
                <w:u w:val="none"/>
                <w:vertAlign w:val="subscript"/>
              </w:rPr>
              <w:t>S</w:t>
            </w:r>
          </w:p>
        </w:tc>
        <w:tc>
          <w:tcPr>
            <w:tcW w:w="264" w:type="pct"/>
            <w:vAlign w:val="center"/>
          </w:tcPr>
          <w:p w14:paraId="214A5A52">
            <w:pPr>
              <w:pStyle w:val="92"/>
              <w:rPr>
                <w:color w:val="auto"/>
                <w:highlight w:val="none"/>
                <w:u w:val="none"/>
              </w:rPr>
            </w:pPr>
            <w:r>
              <w:rPr>
                <w:color w:val="auto"/>
                <w:highlight w:val="none"/>
                <w:u w:val="none"/>
              </w:rPr>
              <w:t xml:space="preserve">280 </w:t>
            </w:r>
          </w:p>
        </w:tc>
        <w:tc>
          <w:tcPr>
            <w:tcW w:w="314" w:type="pct"/>
            <w:vAlign w:val="center"/>
          </w:tcPr>
          <w:p w14:paraId="3C77C7EB">
            <w:pPr>
              <w:pStyle w:val="92"/>
              <w:rPr>
                <w:color w:val="auto"/>
                <w:highlight w:val="none"/>
                <w:u w:val="none"/>
              </w:rPr>
            </w:pPr>
            <w:r>
              <w:rPr>
                <w:color w:val="auto"/>
                <w:highlight w:val="none"/>
                <w:u w:val="none"/>
              </w:rPr>
              <w:t>0.07</w:t>
            </w:r>
          </w:p>
        </w:tc>
        <w:tc>
          <w:tcPr>
            <w:tcW w:w="242" w:type="pct"/>
            <w:vAlign w:val="center"/>
          </w:tcPr>
          <w:p w14:paraId="5A3D4AD3">
            <w:pPr>
              <w:pStyle w:val="92"/>
              <w:rPr>
                <w:color w:val="auto"/>
                <w:highlight w:val="none"/>
                <w:u w:val="none"/>
              </w:rPr>
            </w:pPr>
            <w:r>
              <w:rPr>
                <w:color w:val="auto"/>
                <w:highlight w:val="none"/>
                <w:u w:val="none"/>
              </w:rPr>
              <w:t>0.14</w:t>
            </w:r>
          </w:p>
        </w:tc>
        <w:tc>
          <w:tcPr>
            <w:tcW w:w="630" w:type="pct"/>
            <w:vMerge w:val="continue"/>
            <w:vAlign w:val="center"/>
          </w:tcPr>
          <w:p w14:paraId="7C6C734A">
            <w:pPr>
              <w:pStyle w:val="92"/>
              <w:rPr>
                <w:color w:val="auto"/>
                <w:highlight w:val="none"/>
                <w:u w:val="none"/>
              </w:rPr>
            </w:pPr>
          </w:p>
        </w:tc>
        <w:tc>
          <w:tcPr>
            <w:tcW w:w="314" w:type="pct"/>
            <w:vMerge w:val="continue"/>
            <w:vAlign w:val="center"/>
          </w:tcPr>
          <w:p w14:paraId="678FDAA3">
            <w:pPr>
              <w:pStyle w:val="92"/>
              <w:rPr>
                <w:color w:val="auto"/>
                <w:highlight w:val="none"/>
                <w:u w:val="none"/>
              </w:rPr>
            </w:pPr>
          </w:p>
        </w:tc>
        <w:tc>
          <w:tcPr>
            <w:tcW w:w="223" w:type="pct"/>
            <w:vMerge w:val="continue"/>
            <w:vAlign w:val="center"/>
          </w:tcPr>
          <w:p w14:paraId="14C389B1">
            <w:pPr>
              <w:pStyle w:val="92"/>
              <w:rPr>
                <w:color w:val="auto"/>
                <w:highlight w:val="none"/>
                <w:u w:val="none"/>
              </w:rPr>
            </w:pPr>
          </w:p>
        </w:tc>
        <w:tc>
          <w:tcPr>
            <w:tcW w:w="223" w:type="pct"/>
            <w:vMerge w:val="continue"/>
            <w:vAlign w:val="center"/>
          </w:tcPr>
          <w:p w14:paraId="2C86030D">
            <w:pPr>
              <w:pStyle w:val="92"/>
              <w:rPr>
                <w:color w:val="auto"/>
                <w:highlight w:val="none"/>
                <w:u w:val="none"/>
              </w:rPr>
            </w:pPr>
          </w:p>
        </w:tc>
        <w:tc>
          <w:tcPr>
            <w:tcW w:w="240" w:type="pct"/>
            <w:vMerge w:val="continue"/>
            <w:vAlign w:val="center"/>
          </w:tcPr>
          <w:p w14:paraId="2C2FC298">
            <w:pPr>
              <w:pStyle w:val="92"/>
              <w:rPr>
                <w:color w:val="auto"/>
                <w:highlight w:val="none"/>
                <w:u w:val="none"/>
              </w:rPr>
            </w:pPr>
          </w:p>
        </w:tc>
      </w:tr>
      <w:tr w14:paraId="144A2E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71D9890B">
            <w:pPr>
              <w:pStyle w:val="92"/>
              <w:rPr>
                <w:color w:val="auto"/>
                <w:highlight w:val="none"/>
                <w:u w:val="none"/>
              </w:rPr>
            </w:pPr>
          </w:p>
        </w:tc>
        <w:tc>
          <w:tcPr>
            <w:tcW w:w="924" w:type="pct"/>
            <w:vAlign w:val="center"/>
          </w:tcPr>
          <w:p w14:paraId="416B5432">
            <w:pPr>
              <w:pStyle w:val="92"/>
              <w:rPr>
                <w:color w:val="auto"/>
                <w:highlight w:val="none"/>
                <w:u w:val="none"/>
              </w:rPr>
            </w:pPr>
            <w:r>
              <w:rPr>
                <w:rFonts w:hint="eastAsia"/>
                <w:color w:val="auto"/>
                <w:highlight w:val="none"/>
                <w:u w:val="none"/>
              </w:rPr>
              <w:t>反应驰放气</w:t>
            </w:r>
          </w:p>
        </w:tc>
        <w:tc>
          <w:tcPr>
            <w:tcW w:w="802" w:type="pct"/>
            <w:vAlign w:val="center"/>
          </w:tcPr>
          <w:p w14:paraId="4D89DCE7">
            <w:pPr>
              <w:pStyle w:val="92"/>
              <w:rPr>
                <w:color w:val="auto"/>
                <w:highlight w:val="none"/>
                <w:u w:val="none"/>
              </w:rPr>
            </w:pPr>
            <w:r>
              <w:rPr>
                <w:color w:val="auto"/>
                <w:highlight w:val="none"/>
                <w:u w:val="none"/>
              </w:rPr>
              <w:t>VOC</w:t>
            </w:r>
            <w:r>
              <w:rPr>
                <w:color w:val="auto"/>
                <w:highlight w:val="none"/>
                <w:u w:val="none"/>
                <w:vertAlign w:val="subscript"/>
              </w:rPr>
              <w:t>S</w:t>
            </w:r>
          </w:p>
        </w:tc>
        <w:tc>
          <w:tcPr>
            <w:tcW w:w="344" w:type="pct"/>
            <w:vAlign w:val="center"/>
          </w:tcPr>
          <w:p w14:paraId="3CEC627C">
            <w:pPr>
              <w:pStyle w:val="92"/>
              <w:rPr>
                <w:color w:val="auto"/>
                <w:highlight w:val="none"/>
                <w:u w:val="none"/>
              </w:rPr>
            </w:pPr>
            <w:r>
              <w:rPr>
                <w:rFonts w:hint="eastAsia"/>
                <w:color w:val="auto"/>
                <w:highlight w:val="none"/>
                <w:u w:val="none"/>
              </w:rPr>
              <w:t>1200</w:t>
            </w:r>
          </w:p>
        </w:tc>
        <w:tc>
          <w:tcPr>
            <w:tcW w:w="314" w:type="pct"/>
            <w:vAlign w:val="center"/>
          </w:tcPr>
          <w:p w14:paraId="538AFD59">
            <w:pPr>
              <w:pStyle w:val="92"/>
              <w:rPr>
                <w:color w:val="auto"/>
                <w:highlight w:val="none"/>
                <w:u w:val="none"/>
              </w:rPr>
            </w:pPr>
            <w:r>
              <w:rPr>
                <w:color w:val="auto"/>
                <w:highlight w:val="none"/>
                <w:u w:val="none"/>
              </w:rPr>
              <w:t>VOC</w:t>
            </w:r>
            <w:r>
              <w:rPr>
                <w:color w:val="auto"/>
                <w:highlight w:val="none"/>
                <w:u w:val="none"/>
                <w:vertAlign w:val="subscript"/>
              </w:rPr>
              <w:t>S</w:t>
            </w:r>
          </w:p>
        </w:tc>
        <w:tc>
          <w:tcPr>
            <w:tcW w:w="264" w:type="pct"/>
            <w:vAlign w:val="center"/>
          </w:tcPr>
          <w:p w14:paraId="1626120E">
            <w:pPr>
              <w:pStyle w:val="92"/>
              <w:rPr>
                <w:color w:val="auto"/>
                <w:highlight w:val="none"/>
                <w:u w:val="none"/>
              </w:rPr>
            </w:pPr>
            <w:r>
              <w:rPr>
                <w:color w:val="auto"/>
                <w:highlight w:val="none"/>
                <w:u w:val="none"/>
              </w:rPr>
              <w:t xml:space="preserve">1033 </w:t>
            </w:r>
          </w:p>
        </w:tc>
        <w:tc>
          <w:tcPr>
            <w:tcW w:w="314" w:type="pct"/>
            <w:vAlign w:val="center"/>
          </w:tcPr>
          <w:p w14:paraId="4D8F6AF1">
            <w:pPr>
              <w:pStyle w:val="92"/>
              <w:rPr>
                <w:color w:val="auto"/>
                <w:highlight w:val="none"/>
                <w:u w:val="none"/>
              </w:rPr>
            </w:pPr>
            <w:r>
              <w:rPr>
                <w:color w:val="auto"/>
                <w:highlight w:val="none"/>
                <w:u w:val="none"/>
              </w:rPr>
              <w:t>1.24</w:t>
            </w:r>
          </w:p>
        </w:tc>
        <w:tc>
          <w:tcPr>
            <w:tcW w:w="242" w:type="pct"/>
            <w:vAlign w:val="center"/>
          </w:tcPr>
          <w:p w14:paraId="120680D0">
            <w:pPr>
              <w:pStyle w:val="92"/>
              <w:rPr>
                <w:color w:val="auto"/>
                <w:highlight w:val="none"/>
                <w:u w:val="none"/>
              </w:rPr>
            </w:pPr>
            <w:r>
              <w:rPr>
                <w:color w:val="auto"/>
                <w:highlight w:val="none"/>
                <w:u w:val="none"/>
              </w:rPr>
              <w:t>2.48</w:t>
            </w:r>
          </w:p>
        </w:tc>
        <w:tc>
          <w:tcPr>
            <w:tcW w:w="630" w:type="pct"/>
            <w:vAlign w:val="center"/>
          </w:tcPr>
          <w:p w14:paraId="1E885633">
            <w:pPr>
              <w:pStyle w:val="92"/>
              <w:rPr>
                <w:color w:val="auto"/>
                <w:highlight w:val="none"/>
                <w:u w:val="none"/>
              </w:rPr>
            </w:pPr>
            <w:r>
              <w:rPr>
                <w:color w:val="auto"/>
                <w:highlight w:val="none"/>
                <w:u w:val="none"/>
              </w:rPr>
              <w:t>冷凝+水洗涤预处理后去</w:t>
            </w: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w:t>
            </w:r>
          </w:p>
        </w:tc>
        <w:tc>
          <w:tcPr>
            <w:tcW w:w="314" w:type="pct"/>
            <w:vAlign w:val="center"/>
          </w:tcPr>
          <w:p w14:paraId="6F5FA390">
            <w:pPr>
              <w:pStyle w:val="92"/>
              <w:rPr>
                <w:color w:val="auto"/>
                <w:highlight w:val="none"/>
                <w:u w:val="none"/>
              </w:rPr>
            </w:pPr>
            <w:r>
              <w:rPr>
                <w:color w:val="auto"/>
                <w:highlight w:val="none"/>
                <w:u w:val="none"/>
              </w:rPr>
              <w:t>2</w:t>
            </w:r>
          </w:p>
          <w:p w14:paraId="4312BEA1">
            <w:pPr>
              <w:pStyle w:val="92"/>
              <w:rPr>
                <w:color w:val="auto"/>
                <w:highlight w:val="none"/>
                <w:u w:val="none"/>
              </w:rPr>
            </w:pPr>
            <w:r>
              <w:rPr>
                <w:bCs/>
                <w:color w:val="auto"/>
                <w:sz w:val="18"/>
                <w:szCs w:val="18"/>
                <w:highlight w:val="none"/>
                <w:u w:val="none"/>
              </w:rPr>
              <w:t>（1×2）</w:t>
            </w:r>
          </w:p>
        </w:tc>
        <w:tc>
          <w:tcPr>
            <w:tcW w:w="223" w:type="pct"/>
            <w:vAlign w:val="center"/>
          </w:tcPr>
          <w:p w14:paraId="4127EEF2">
            <w:pPr>
              <w:pStyle w:val="92"/>
              <w:rPr>
                <w:color w:val="auto"/>
                <w:highlight w:val="none"/>
                <w:u w:val="none"/>
              </w:rPr>
            </w:pPr>
            <w:r>
              <w:rPr>
                <w:color w:val="auto"/>
                <w:highlight w:val="none"/>
                <w:u w:val="none"/>
              </w:rPr>
              <w:t>32</w:t>
            </w:r>
          </w:p>
        </w:tc>
        <w:tc>
          <w:tcPr>
            <w:tcW w:w="223" w:type="pct"/>
            <w:vAlign w:val="center"/>
          </w:tcPr>
          <w:p w14:paraId="34068631">
            <w:pPr>
              <w:pStyle w:val="92"/>
              <w:rPr>
                <w:color w:val="auto"/>
                <w:highlight w:val="none"/>
                <w:u w:val="none"/>
              </w:rPr>
            </w:pPr>
            <w:r>
              <w:rPr>
                <w:rFonts w:hint="eastAsia"/>
                <w:color w:val="auto"/>
                <w:highlight w:val="none"/>
                <w:u w:val="none"/>
              </w:rPr>
              <w:t>1</w:t>
            </w:r>
            <w:r>
              <w:rPr>
                <w:color w:val="auto"/>
                <w:highlight w:val="none"/>
                <w:u w:val="none"/>
              </w:rPr>
              <w:t>1</w:t>
            </w:r>
          </w:p>
        </w:tc>
        <w:tc>
          <w:tcPr>
            <w:tcW w:w="240" w:type="pct"/>
            <w:vAlign w:val="center"/>
          </w:tcPr>
          <w:p w14:paraId="7956DC31">
            <w:pPr>
              <w:pStyle w:val="92"/>
              <w:rPr>
                <w:color w:val="auto"/>
                <w:highlight w:val="none"/>
                <w:u w:val="none"/>
              </w:rPr>
            </w:pPr>
            <w:r>
              <w:rPr>
                <w:rFonts w:hint="eastAsia"/>
                <w:color w:val="auto"/>
                <w:highlight w:val="none"/>
                <w:u w:val="none"/>
              </w:rPr>
              <w:t>1</w:t>
            </w:r>
            <w:r>
              <w:rPr>
                <w:color w:val="auto"/>
                <w:highlight w:val="none"/>
                <w:u w:val="none"/>
              </w:rPr>
              <w:t>000</w:t>
            </w:r>
          </w:p>
        </w:tc>
      </w:tr>
      <w:tr w14:paraId="5D52F5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7CDB31AA">
            <w:pPr>
              <w:pStyle w:val="92"/>
              <w:rPr>
                <w:color w:val="auto"/>
                <w:highlight w:val="none"/>
                <w:u w:val="none"/>
              </w:rPr>
            </w:pPr>
          </w:p>
        </w:tc>
        <w:tc>
          <w:tcPr>
            <w:tcW w:w="924" w:type="pct"/>
            <w:vMerge w:val="restart"/>
            <w:vAlign w:val="center"/>
          </w:tcPr>
          <w:p w14:paraId="000D507B">
            <w:pPr>
              <w:pStyle w:val="92"/>
              <w:rPr>
                <w:color w:val="auto"/>
                <w:highlight w:val="none"/>
                <w:u w:val="none"/>
              </w:rPr>
            </w:pPr>
            <w:r>
              <w:rPr>
                <w:color w:val="auto"/>
                <w:highlight w:val="none"/>
                <w:u w:val="none"/>
              </w:rPr>
              <w:t>光化尾气</w:t>
            </w:r>
            <w:r>
              <w:rPr>
                <w:rFonts w:hint="eastAsia"/>
                <w:color w:val="auto"/>
                <w:highlight w:val="none"/>
                <w:u w:val="none"/>
              </w:rPr>
              <w:t>（</w:t>
            </w:r>
            <w:r>
              <w:rPr>
                <w:color w:val="auto"/>
                <w:highlight w:val="none"/>
                <w:u w:val="none"/>
              </w:rPr>
              <w:t>能量回收装置</w:t>
            </w:r>
            <w:r>
              <w:rPr>
                <w:rFonts w:hint="eastAsia"/>
                <w:color w:val="auto"/>
                <w:highlight w:val="none"/>
                <w:u w:val="none"/>
              </w:rPr>
              <w:t>故障停车）</w:t>
            </w:r>
          </w:p>
        </w:tc>
        <w:tc>
          <w:tcPr>
            <w:tcW w:w="802" w:type="pct"/>
            <w:vAlign w:val="center"/>
          </w:tcPr>
          <w:p w14:paraId="19D52CC4">
            <w:pPr>
              <w:pStyle w:val="92"/>
              <w:rPr>
                <w:color w:val="auto"/>
                <w:highlight w:val="none"/>
                <w:u w:val="none"/>
              </w:rPr>
            </w:pPr>
            <w:r>
              <w:rPr>
                <w:color w:val="auto"/>
                <w:highlight w:val="none"/>
                <w:u w:val="none"/>
              </w:rPr>
              <w:t>Cl</w:t>
            </w:r>
            <w:r>
              <w:rPr>
                <w:color w:val="auto"/>
                <w:highlight w:val="none"/>
                <w:u w:val="none"/>
                <w:vertAlign w:val="subscript"/>
              </w:rPr>
              <w:t>2</w:t>
            </w:r>
          </w:p>
        </w:tc>
        <w:tc>
          <w:tcPr>
            <w:tcW w:w="344" w:type="pct"/>
            <w:vMerge w:val="restart"/>
            <w:vAlign w:val="center"/>
          </w:tcPr>
          <w:p w14:paraId="222329E2">
            <w:pPr>
              <w:pStyle w:val="92"/>
              <w:rPr>
                <w:color w:val="auto"/>
                <w:highlight w:val="none"/>
                <w:u w:val="none"/>
              </w:rPr>
            </w:pPr>
            <w:r>
              <w:rPr>
                <w:color w:val="auto"/>
                <w:highlight w:val="none"/>
                <w:u w:val="none"/>
              </w:rPr>
              <w:t>1200</w:t>
            </w:r>
          </w:p>
        </w:tc>
        <w:tc>
          <w:tcPr>
            <w:tcW w:w="314" w:type="pct"/>
            <w:vAlign w:val="center"/>
          </w:tcPr>
          <w:p w14:paraId="3A0A7998">
            <w:pPr>
              <w:pStyle w:val="92"/>
              <w:rPr>
                <w:color w:val="auto"/>
                <w:highlight w:val="none"/>
                <w:u w:val="none"/>
              </w:rPr>
            </w:pPr>
            <w:r>
              <w:rPr>
                <w:color w:val="auto"/>
                <w:highlight w:val="none"/>
                <w:u w:val="none"/>
              </w:rPr>
              <w:t>Cl</w:t>
            </w:r>
            <w:r>
              <w:rPr>
                <w:color w:val="auto"/>
                <w:highlight w:val="none"/>
                <w:u w:val="none"/>
                <w:vertAlign w:val="subscript"/>
              </w:rPr>
              <w:t>2</w:t>
            </w:r>
          </w:p>
        </w:tc>
        <w:tc>
          <w:tcPr>
            <w:tcW w:w="264" w:type="pct"/>
            <w:vAlign w:val="center"/>
          </w:tcPr>
          <w:p w14:paraId="3EE79037">
            <w:pPr>
              <w:pStyle w:val="92"/>
              <w:rPr>
                <w:color w:val="auto"/>
                <w:highlight w:val="none"/>
                <w:u w:val="none"/>
              </w:rPr>
            </w:pPr>
            <w:r>
              <w:rPr>
                <w:rFonts w:hint="eastAsia"/>
                <w:color w:val="auto"/>
                <w:highlight w:val="none"/>
                <w:u w:val="none"/>
              </w:rPr>
              <w:t>10</w:t>
            </w:r>
          </w:p>
        </w:tc>
        <w:tc>
          <w:tcPr>
            <w:tcW w:w="314" w:type="pct"/>
            <w:vAlign w:val="center"/>
          </w:tcPr>
          <w:p w14:paraId="54945935">
            <w:pPr>
              <w:pStyle w:val="92"/>
              <w:rPr>
                <w:color w:val="auto"/>
                <w:highlight w:val="none"/>
                <w:u w:val="none"/>
              </w:rPr>
            </w:pPr>
            <w:r>
              <w:rPr>
                <w:rFonts w:hint="eastAsia"/>
                <w:color w:val="auto"/>
                <w:highlight w:val="none"/>
                <w:u w:val="none"/>
              </w:rPr>
              <w:t>0.0121</w:t>
            </w:r>
          </w:p>
        </w:tc>
        <w:tc>
          <w:tcPr>
            <w:tcW w:w="242" w:type="pct"/>
            <w:vAlign w:val="center"/>
          </w:tcPr>
          <w:p w14:paraId="5A2F2E2E">
            <w:pPr>
              <w:pStyle w:val="92"/>
              <w:rPr>
                <w:color w:val="auto"/>
                <w:highlight w:val="none"/>
                <w:u w:val="none"/>
              </w:rPr>
            </w:pPr>
            <w:r>
              <w:rPr>
                <w:rFonts w:hint="eastAsia"/>
                <w:color w:val="auto"/>
                <w:highlight w:val="none"/>
                <w:u w:val="none"/>
              </w:rPr>
              <w:t>0.0242</w:t>
            </w:r>
          </w:p>
        </w:tc>
        <w:tc>
          <w:tcPr>
            <w:tcW w:w="630" w:type="pct"/>
            <w:vMerge w:val="restart"/>
            <w:vAlign w:val="center"/>
          </w:tcPr>
          <w:p w14:paraId="5F0B7213">
            <w:pPr>
              <w:pStyle w:val="92"/>
              <w:rPr>
                <w:color w:val="auto"/>
                <w:highlight w:val="none"/>
                <w:u w:val="none"/>
              </w:rPr>
            </w:pPr>
            <w:r>
              <w:rPr>
                <w:color w:val="auto"/>
                <w:highlight w:val="none"/>
                <w:u w:val="none"/>
              </w:rPr>
              <w:t>酸分解+碱分解</w:t>
            </w:r>
          </w:p>
          <w:p w14:paraId="55243B29">
            <w:pPr>
              <w:pStyle w:val="92"/>
              <w:rPr>
                <w:color w:val="auto"/>
                <w:highlight w:val="none"/>
                <w:u w:val="none"/>
              </w:rPr>
            </w:pPr>
            <w:r>
              <w:rPr>
                <w:color w:val="auto"/>
                <w:highlight w:val="none"/>
                <w:u w:val="none"/>
              </w:rPr>
              <w:t>+活性炭吸附</w:t>
            </w:r>
          </w:p>
        </w:tc>
        <w:tc>
          <w:tcPr>
            <w:tcW w:w="314" w:type="pct"/>
            <w:vMerge w:val="restart"/>
            <w:vAlign w:val="center"/>
          </w:tcPr>
          <w:p w14:paraId="69FE8230">
            <w:pPr>
              <w:pStyle w:val="92"/>
              <w:rPr>
                <w:color w:val="auto"/>
                <w:highlight w:val="none"/>
                <w:u w:val="none"/>
              </w:rPr>
            </w:pPr>
            <w:r>
              <w:rPr>
                <w:color w:val="auto"/>
                <w:highlight w:val="none"/>
                <w:u w:val="none"/>
              </w:rPr>
              <w:t>2</w:t>
            </w:r>
          </w:p>
          <w:p w14:paraId="7BD4141C">
            <w:pPr>
              <w:pStyle w:val="92"/>
              <w:rPr>
                <w:color w:val="auto"/>
                <w:highlight w:val="none"/>
                <w:u w:val="none"/>
              </w:rPr>
            </w:pPr>
            <w:r>
              <w:rPr>
                <w:bCs/>
                <w:color w:val="auto"/>
                <w:sz w:val="18"/>
                <w:szCs w:val="18"/>
                <w:highlight w:val="none"/>
                <w:u w:val="none"/>
              </w:rPr>
              <w:t>（1×2）</w:t>
            </w:r>
          </w:p>
        </w:tc>
        <w:tc>
          <w:tcPr>
            <w:tcW w:w="223" w:type="pct"/>
            <w:vMerge w:val="restart"/>
            <w:vAlign w:val="center"/>
          </w:tcPr>
          <w:p w14:paraId="09F76DA3">
            <w:pPr>
              <w:pStyle w:val="92"/>
              <w:rPr>
                <w:color w:val="auto"/>
                <w:highlight w:val="none"/>
                <w:u w:val="none"/>
              </w:rPr>
            </w:pPr>
            <w:r>
              <w:rPr>
                <w:rFonts w:hint="eastAsia"/>
                <w:color w:val="auto"/>
                <w:highlight w:val="none"/>
                <w:u w:val="none"/>
              </w:rPr>
              <w:t>58</w:t>
            </w:r>
          </w:p>
        </w:tc>
        <w:tc>
          <w:tcPr>
            <w:tcW w:w="223" w:type="pct"/>
            <w:vMerge w:val="restart"/>
            <w:vAlign w:val="center"/>
          </w:tcPr>
          <w:p w14:paraId="7435C7A0">
            <w:pPr>
              <w:pStyle w:val="92"/>
              <w:rPr>
                <w:color w:val="auto"/>
                <w:highlight w:val="none"/>
                <w:u w:val="none"/>
              </w:rPr>
            </w:pPr>
            <w:r>
              <w:rPr>
                <w:rFonts w:hint="eastAsia"/>
                <w:color w:val="auto"/>
                <w:highlight w:val="none"/>
                <w:u w:val="none"/>
              </w:rPr>
              <w:t>0</w:t>
            </w:r>
            <w:r>
              <w:rPr>
                <w:color w:val="auto"/>
                <w:highlight w:val="none"/>
                <w:u w:val="none"/>
              </w:rPr>
              <w:t>.8</w:t>
            </w:r>
          </w:p>
        </w:tc>
        <w:tc>
          <w:tcPr>
            <w:tcW w:w="240" w:type="pct"/>
            <w:vMerge w:val="restart"/>
            <w:vAlign w:val="center"/>
          </w:tcPr>
          <w:p w14:paraId="4E3834EB">
            <w:pPr>
              <w:pStyle w:val="92"/>
              <w:rPr>
                <w:color w:val="auto"/>
                <w:highlight w:val="none"/>
                <w:u w:val="none"/>
              </w:rPr>
            </w:pPr>
            <w:r>
              <w:rPr>
                <w:rFonts w:hint="eastAsia"/>
                <w:color w:val="auto"/>
                <w:highlight w:val="none"/>
                <w:u w:val="none"/>
              </w:rPr>
              <w:t>3</w:t>
            </w:r>
            <w:r>
              <w:rPr>
                <w:color w:val="auto"/>
                <w:highlight w:val="none"/>
                <w:u w:val="none"/>
              </w:rPr>
              <w:t>0</w:t>
            </w:r>
          </w:p>
        </w:tc>
      </w:tr>
      <w:tr w14:paraId="704965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52A169C5">
            <w:pPr>
              <w:pStyle w:val="92"/>
              <w:rPr>
                <w:color w:val="auto"/>
                <w:highlight w:val="none"/>
                <w:u w:val="none"/>
              </w:rPr>
            </w:pPr>
          </w:p>
        </w:tc>
        <w:tc>
          <w:tcPr>
            <w:tcW w:w="924" w:type="pct"/>
            <w:vMerge w:val="continue"/>
            <w:vAlign w:val="center"/>
          </w:tcPr>
          <w:p w14:paraId="156399D6">
            <w:pPr>
              <w:pStyle w:val="92"/>
              <w:rPr>
                <w:color w:val="auto"/>
                <w:highlight w:val="none"/>
                <w:u w:val="none"/>
              </w:rPr>
            </w:pPr>
          </w:p>
        </w:tc>
        <w:tc>
          <w:tcPr>
            <w:tcW w:w="802" w:type="pct"/>
            <w:vAlign w:val="center"/>
          </w:tcPr>
          <w:p w14:paraId="29117678">
            <w:pPr>
              <w:pStyle w:val="92"/>
              <w:rPr>
                <w:color w:val="auto"/>
                <w:highlight w:val="none"/>
                <w:u w:val="none"/>
              </w:rPr>
            </w:pPr>
            <w:r>
              <w:rPr>
                <w:color w:val="auto"/>
                <w:highlight w:val="none"/>
                <w:u w:val="none"/>
              </w:rPr>
              <w:t>光气</w:t>
            </w:r>
          </w:p>
        </w:tc>
        <w:tc>
          <w:tcPr>
            <w:tcW w:w="344" w:type="pct"/>
            <w:vMerge w:val="continue"/>
            <w:vAlign w:val="center"/>
          </w:tcPr>
          <w:p w14:paraId="1DFA9743">
            <w:pPr>
              <w:pStyle w:val="92"/>
              <w:rPr>
                <w:color w:val="auto"/>
                <w:highlight w:val="none"/>
                <w:u w:val="none"/>
              </w:rPr>
            </w:pPr>
          </w:p>
        </w:tc>
        <w:tc>
          <w:tcPr>
            <w:tcW w:w="314" w:type="pct"/>
            <w:vAlign w:val="center"/>
          </w:tcPr>
          <w:p w14:paraId="3189ABA0">
            <w:pPr>
              <w:pStyle w:val="92"/>
              <w:rPr>
                <w:color w:val="auto"/>
                <w:highlight w:val="none"/>
                <w:u w:val="none"/>
              </w:rPr>
            </w:pPr>
            <w:r>
              <w:rPr>
                <w:color w:val="auto"/>
                <w:highlight w:val="none"/>
                <w:u w:val="none"/>
              </w:rPr>
              <w:t>光气</w:t>
            </w:r>
          </w:p>
        </w:tc>
        <w:tc>
          <w:tcPr>
            <w:tcW w:w="264" w:type="pct"/>
            <w:vAlign w:val="center"/>
          </w:tcPr>
          <w:p w14:paraId="0989DB24">
            <w:pPr>
              <w:pStyle w:val="92"/>
              <w:rPr>
                <w:color w:val="auto"/>
                <w:highlight w:val="none"/>
                <w:u w:val="none"/>
              </w:rPr>
            </w:pPr>
            <w:r>
              <w:rPr>
                <w:rFonts w:hint="eastAsia" w:eastAsia="等线"/>
                <w:color w:val="auto"/>
                <w:highlight w:val="none"/>
                <w:u w:val="none"/>
              </w:rPr>
              <w:t>0.5</w:t>
            </w:r>
          </w:p>
        </w:tc>
        <w:tc>
          <w:tcPr>
            <w:tcW w:w="314" w:type="pct"/>
            <w:vAlign w:val="center"/>
          </w:tcPr>
          <w:p w14:paraId="08A8A888">
            <w:pPr>
              <w:pStyle w:val="92"/>
              <w:rPr>
                <w:color w:val="auto"/>
                <w:highlight w:val="none"/>
                <w:u w:val="none"/>
              </w:rPr>
            </w:pPr>
            <w:r>
              <w:rPr>
                <w:rFonts w:eastAsia="等线"/>
                <w:color w:val="auto"/>
                <w:highlight w:val="none"/>
                <w:u w:val="none"/>
              </w:rPr>
              <w:t xml:space="preserve">0.0006 </w:t>
            </w:r>
          </w:p>
        </w:tc>
        <w:tc>
          <w:tcPr>
            <w:tcW w:w="242" w:type="pct"/>
            <w:vAlign w:val="center"/>
          </w:tcPr>
          <w:p w14:paraId="49562294">
            <w:pPr>
              <w:pStyle w:val="92"/>
              <w:rPr>
                <w:color w:val="auto"/>
                <w:highlight w:val="none"/>
                <w:u w:val="none"/>
              </w:rPr>
            </w:pPr>
            <w:r>
              <w:rPr>
                <w:rFonts w:eastAsia="等线"/>
                <w:color w:val="auto"/>
                <w:highlight w:val="none"/>
                <w:u w:val="none"/>
              </w:rPr>
              <w:t>0.0048</w:t>
            </w:r>
          </w:p>
        </w:tc>
        <w:tc>
          <w:tcPr>
            <w:tcW w:w="630" w:type="pct"/>
            <w:vMerge w:val="continue"/>
            <w:vAlign w:val="center"/>
          </w:tcPr>
          <w:p w14:paraId="087951F3">
            <w:pPr>
              <w:pStyle w:val="92"/>
              <w:rPr>
                <w:color w:val="auto"/>
                <w:highlight w:val="none"/>
                <w:u w:val="none"/>
              </w:rPr>
            </w:pPr>
          </w:p>
        </w:tc>
        <w:tc>
          <w:tcPr>
            <w:tcW w:w="314" w:type="pct"/>
            <w:vMerge w:val="continue"/>
            <w:vAlign w:val="center"/>
          </w:tcPr>
          <w:p w14:paraId="31498403">
            <w:pPr>
              <w:pStyle w:val="92"/>
              <w:rPr>
                <w:color w:val="auto"/>
                <w:highlight w:val="none"/>
                <w:u w:val="none"/>
              </w:rPr>
            </w:pPr>
          </w:p>
        </w:tc>
        <w:tc>
          <w:tcPr>
            <w:tcW w:w="223" w:type="pct"/>
            <w:vMerge w:val="continue"/>
            <w:vAlign w:val="center"/>
          </w:tcPr>
          <w:p w14:paraId="6C5A2B6C">
            <w:pPr>
              <w:pStyle w:val="92"/>
              <w:rPr>
                <w:color w:val="auto"/>
                <w:highlight w:val="none"/>
                <w:u w:val="none"/>
              </w:rPr>
            </w:pPr>
          </w:p>
        </w:tc>
        <w:tc>
          <w:tcPr>
            <w:tcW w:w="223" w:type="pct"/>
            <w:vMerge w:val="continue"/>
            <w:vAlign w:val="center"/>
          </w:tcPr>
          <w:p w14:paraId="5A40C13F">
            <w:pPr>
              <w:pStyle w:val="92"/>
              <w:rPr>
                <w:color w:val="auto"/>
                <w:highlight w:val="none"/>
                <w:u w:val="none"/>
              </w:rPr>
            </w:pPr>
          </w:p>
        </w:tc>
        <w:tc>
          <w:tcPr>
            <w:tcW w:w="240" w:type="pct"/>
            <w:vMerge w:val="continue"/>
            <w:vAlign w:val="center"/>
          </w:tcPr>
          <w:p w14:paraId="01428733">
            <w:pPr>
              <w:pStyle w:val="92"/>
              <w:rPr>
                <w:color w:val="auto"/>
                <w:highlight w:val="none"/>
                <w:u w:val="none"/>
              </w:rPr>
            </w:pPr>
          </w:p>
        </w:tc>
      </w:tr>
      <w:tr w14:paraId="4EC629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4AD809FE">
            <w:pPr>
              <w:pStyle w:val="92"/>
              <w:rPr>
                <w:color w:val="auto"/>
                <w:highlight w:val="none"/>
                <w:u w:val="none"/>
              </w:rPr>
            </w:pPr>
          </w:p>
        </w:tc>
        <w:tc>
          <w:tcPr>
            <w:tcW w:w="924" w:type="pct"/>
            <w:vMerge w:val="continue"/>
            <w:vAlign w:val="center"/>
          </w:tcPr>
          <w:p w14:paraId="5D043302">
            <w:pPr>
              <w:pStyle w:val="92"/>
              <w:rPr>
                <w:color w:val="auto"/>
                <w:highlight w:val="none"/>
                <w:u w:val="none"/>
              </w:rPr>
            </w:pPr>
          </w:p>
        </w:tc>
        <w:tc>
          <w:tcPr>
            <w:tcW w:w="802" w:type="pct"/>
            <w:vAlign w:val="center"/>
          </w:tcPr>
          <w:p w14:paraId="0525B67C">
            <w:pPr>
              <w:pStyle w:val="92"/>
              <w:rPr>
                <w:color w:val="auto"/>
                <w:highlight w:val="none"/>
                <w:u w:val="none"/>
              </w:rPr>
            </w:pPr>
            <w:r>
              <w:rPr>
                <w:color w:val="auto"/>
                <w:highlight w:val="none"/>
                <w:u w:val="none"/>
              </w:rPr>
              <w:t>邻二氯苯</w:t>
            </w:r>
          </w:p>
        </w:tc>
        <w:tc>
          <w:tcPr>
            <w:tcW w:w="344" w:type="pct"/>
            <w:vMerge w:val="continue"/>
            <w:vAlign w:val="center"/>
          </w:tcPr>
          <w:p w14:paraId="12D675F6">
            <w:pPr>
              <w:pStyle w:val="92"/>
              <w:rPr>
                <w:color w:val="auto"/>
                <w:highlight w:val="none"/>
                <w:u w:val="none"/>
              </w:rPr>
            </w:pPr>
          </w:p>
        </w:tc>
        <w:tc>
          <w:tcPr>
            <w:tcW w:w="314" w:type="pct"/>
            <w:vAlign w:val="center"/>
          </w:tcPr>
          <w:p w14:paraId="487819B6">
            <w:pPr>
              <w:pStyle w:val="92"/>
              <w:rPr>
                <w:color w:val="auto"/>
                <w:highlight w:val="none"/>
                <w:u w:val="none"/>
              </w:rPr>
            </w:pPr>
            <w:r>
              <w:rPr>
                <w:color w:val="auto"/>
                <w:highlight w:val="none"/>
                <w:u w:val="none"/>
              </w:rPr>
              <w:t>邻二氯苯</w:t>
            </w:r>
          </w:p>
        </w:tc>
        <w:tc>
          <w:tcPr>
            <w:tcW w:w="264" w:type="pct"/>
            <w:vAlign w:val="center"/>
          </w:tcPr>
          <w:p w14:paraId="427F2F90">
            <w:pPr>
              <w:pStyle w:val="92"/>
              <w:rPr>
                <w:color w:val="auto"/>
                <w:highlight w:val="none"/>
                <w:u w:val="none"/>
              </w:rPr>
            </w:pPr>
            <w:r>
              <w:rPr>
                <w:color w:val="auto"/>
                <w:highlight w:val="none"/>
                <w:u w:val="none"/>
              </w:rPr>
              <w:t xml:space="preserve">451 </w:t>
            </w:r>
          </w:p>
        </w:tc>
        <w:tc>
          <w:tcPr>
            <w:tcW w:w="314" w:type="pct"/>
            <w:vAlign w:val="center"/>
          </w:tcPr>
          <w:p w14:paraId="245075FD">
            <w:pPr>
              <w:pStyle w:val="92"/>
              <w:rPr>
                <w:color w:val="auto"/>
                <w:highlight w:val="none"/>
                <w:u w:val="none"/>
              </w:rPr>
            </w:pPr>
            <w:r>
              <w:rPr>
                <w:color w:val="auto"/>
                <w:highlight w:val="none"/>
                <w:u w:val="none"/>
              </w:rPr>
              <w:t xml:space="preserve">0.5415 </w:t>
            </w:r>
          </w:p>
        </w:tc>
        <w:tc>
          <w:tcPr>
            <w:tcW w:w="242" w:type="pct"/>
            <w:vAlign w:val="center"/>
          </w:tcPr>
          <w:p w14:paraId="3DCB3A1C">
            <w:pPr>
              <w:pStyle w:val="92"/>
              <w:rPr>
                <w:color w:val="auto"/>
                <w:highlight w:val="none"/>
                <w:u w:val="none"/>
              </w:rPr>
            </w:pPr>
            <w:r>
              <w:rPr>
                <w:color w:val="auto"/>
                <w:highlight w:val="none"/>
                <w:u w:val="none"/>
              </w:rPr>
              <w:t xml:space="preserve">1.0830 </w:t>
            </w:r>
          </w:p>
        </w:tc>
        <w:tc>
          <w:tcPr>
            <w:tcW w:w="630" w:type="pct"/>
            <w:vMerge w:val="continue"/>
            <w:vAlign w:val="center"/>
          </w:tcPr>
          <w:p w14:paraId="38811DC9">
            <w:pPr>
              <w:pStyle w:val="92"/>
              <w:rPr>
                <w:color w:val="auto"/>
                <w:highlight w:val="none"/>
                <w:u w:val="none"/>
              </w:rPr>
            </w:pPr>
          </w:p>
        </w:tc>
        <w:tc>
          <w:tcPr>
            <w:tcW w:w="314" w:type="pct"/>
            <w:vMerge w:val="continue"/>
            <w:vAlign w:val="center"/>
          </w:tcPr>
          <w:p w14:paraId="4C608B26">
            <w:pPr>
              <w:pStyle w:val="92"/>
              <w:rPr>
                <w:color w:val="auto"/>
                <w:highlight w:val="none"/>
                <w:u w:val="none"/>
              </w:rPr>
            </w:pPr>
          </w:p>
        </w:tc>
        <w:tc>
          <w:tcPr>
            <w:tcW w:w="223" w:type="pct"/>
            <w:vMerge w:val="continue"/>
            <w:vAlign w:val="center"/>
          </w:tcPr>
          <w:p w14:paraId="2EC7168F">
            <w:pPr>
              <w:pStyle w:val="92"/>
              <w:rPr>
                <w:color w:val="auto"/>
                <w:highlight w:val="none"/>
                <w:u w:val="none"/>
              </w:rPr>
            </w:pPr>
          </w:p>
        </w:tc>
        <w:tc>
          <w:tcPr>
            <w:tcW w:w="223" w:type="pct"/>
            <w:vMerge w:val="continue"/>
            <w:vAlign w:val="center"/>
          </w:tcPr>
          <w:p w14:paraId="26B9390D">
            <w:pPr>
              <w:pStyle w:val="92"/>
              <w:rPr>
                <w:color w:val="auto"/>
                <w:highlight w:val="none"/>
                <w:u w:val="none"/>
              </w:rPr>
            </w:pPr>
          </w:p>
        </w:tc>
        <w:tc>
          <w:tcPr>
            <w:tcW w:w="240" w:type="pct"/>
            <w:vMerge w:val="continue"/>
            <w:vAlign w:val="center"/>
          </w:tcPr>
          <w:p w14:paraId="2ACE7E0B">
            <w:pPr>
              <w:pStyle w:val="92"/>
              <w:rPr>
                <w:color w:val="auto"/>
                <w:highlight w:val="none"/>
                <w:u w:val="none"/>
              </w:rPr>
            </w:pPr>
          </w:p>
        </w:tc>
      </w:tr>
      <w:tr w14:paraId="70ABF3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23222614">
            <w:pPr>
              <w:pStyle w:val="92"/>
              <w:rPr>
                <w:color w:val="auto"/>
                <w:highlight w:val="none"/>
                <w:u w:val="none"/>
              </w:rPr>
            </w:pPr>
          </w:p>
        </w:tc>
        <w:tc>
          <w:tcPr>
            <w:tcW w:w="924" w:type="pct"/>
            <w:vMerge w:val="continue"/>
            <w:vAlign w:val="center"/>
          </w:tcPr>
          <w:p w14:paraId="701B89E1">
            <w:pPr>
              <w:pStyle w:val="92"/>
              <w:rPr>
                <w:color w:val="auto"/>
                <w:highlight w:val="none"/>
                <w:u w:val="none"/>
              </w:rPr>
            </w:pPr>
          </w:p>
        </w:tc>
        <w:tc>
          <w:tcPr>
            <w:tcW w:w="802" w:type="pct"/>
            <w:vAlign w:val="center"/>
          </w:tcPr>
          <w:p w14:paraId="6B857AEA">
            <w:pPr>
              <w:pStyle w:val="92"/>
              <w:rPr>
                <w:color w:val="auto"/>
                <w:highlight w:val="none"/>
                <w:u w:val="none"/>
              </w:rPr>
            </w:pPr>
            <w:r>
              <w:rPr>
                <w:color w:val="auto"/>
                <w:highlight w:val="none"/>
                <w:u w:val="none"/>
              </w:rPr>
              <w:t>HCl</w:t>
            </w:r>
          </w:p>
        </w:tc>
        <w:tc>
          <w:tcPr>
            <w:tcW w:w="344" w:type="pct"/>
            <w:vMerge w:val="continue"/>
            <w:vAlign w:val="center"/>
          </w:tcPr>
          <w:p w14:paraId="7AC95EB6">
            <w:pPr>
              <w:pStyle w:val="92"/>
              <w:rPr>
                <w:color w:val="auto"/>
                <w:highlight w:val="none"/>
                <w:u w:val="none"/>
              </w:rPr>
            </w:pPr>
          </w:p>
        </w:tc>
        <w:tc>
          <w:tcPr>
            <w:tcW w:w="314" w:type="pct"/>
            <w:vAlign w:val="center"/>
          </w:tcPr>
          <w:p w14:paraId="1A436820">
            <w:pPr>
              <w:pStyle w:val="92"/>
              <w:rPr>
                <w:color w:val="auto"/>
                <w:highlight w:val="none"/>
                <w:u w:val="none"/>
              </w:rPr>
            </w:pPr>
            <w:r>
              <w:rPr>
                <w:color w:val="auto"/>
                <w:highlight w:val="none"/>
                <w:u w:val="none"/>
              </w:rPr>
              <w:t>HCl</w:t>
            </w:r>
          </w:p>
        </w:tc>
        <w:tc>
          <w:tcPr>
            <w:tcW w:w="264" w:type="pct"/>
            <w:vAlign w:val="center"/>
          </w:tcPr>
          <w:p w14:paraId="26FE5EC8">
            <w:pPr>
              <w:pStyle w:val="92"/>
              <w:rPr>
                <w:color w:val="auto"/>
                <w:highlight w:val="none"/>
                <w:u w:val="none"/>
              </w:rPr>
            </w:pPr>
            <w:r>
              <w:rPr>
                <w:rFonts w:hint="eastAsia"/>
                <w:color w:val="auto"/>
                <w:highlight w:val="none"/>
                <w:u w:val="none"/>
              </w:rPr>
              <w:t>144</w:t>
            </w:r>
          </w:p>
        </w:tc>
        <w:tc>
          <w:tcPr>
            <w:tcW w:w="314" w:type="pct"/>
            <w:vAlign w:val="center"/>
          </w:tcPr>
          <w:p w14:paraId="0786D941">
            <w:pPr>
              <w:pStyle w:val="92"/>
              <w:rPr>
                <w:color w:val="auto"/>
                <w:highlight w:val="none"/>
                <w:u w:val="none"/>
              </w:rPr>
            </w:pPr>
            <w:r>
              <w:rPr>
                <w:rFonts w:hint="eastAsia"/>
                <w:color w:val="auto"/>
                <w:highlight w:val="none"/>
                <w:u w:val="none"/>
              </w:rPr>
              <w:t>0.1730</w:t>
            </w:r>
          </w:p>
        </w:tc>
        <w:tc>
          <w:tcPr>
            <w:tcW w:w="242" w:type="pct"/>
            <w:vAlign w:val="center"/>
          </w:tcPr>
          <w:p w14:paraId="5B4947BC">
            <w:pPr>
              <w:pStyle w:val="92"/>
              <w:rPr>
                <w:color w:val="auto"/>
                <w:highlight w:val="none"/>
                <w:u w:val="none"/>
              </w:rPr>
            </w:pPr>
            <w:r>
              <w:rPr>
                <w:rFonts w:hint="eastAsia"/>
                <w:color w:val="auto"/>
                <w:highlight w:val="none"/>
                <w:u w:val="none"/>
              </w:rPr>
              <w:t>0.3460</w:t>
            </w:r>
          </w:p>
        </w:tc>
        <w:tc>
          <w:tcPr>
            <w:tcW w:w="630" w:type="pct"/>
            <w:vMerge w:val="continue"/>
            <w:vAlign w:val="center"/>
          </w:tcPr>
          <w:p w14:paraId="2551EF2F">
            <w:pPr>
              <w:pStyle w:val="92"/>
              <w:rPr>
                <w:color w:val="auto"/>
                <w:highlight w:val="none"/>
                <w:u w:val="none"/>
              </w:rPr>
            </w:pPr>
          </w:p>
        </w:tc>
        <w:tc>
          <w:tcPr>
            <w:tcW w:w="314" w:type="pct"/>
            <w:vMerge w:val="continue"/>
            <w:vAlign w:val="center"/>
          </w:tcPr>
          <w:p w14:paraId="5351A987">
            <w:pPr>
              <w:pStyle w:val="92"/>
              <w:rPr>
                <w:color w:val="auto"/>
                <w:highlight w:val="none"/>
                <w:u w:val="none"/>
              </w:rPr>
            </w:pPr>
          </w:p>
        </w:tc>
        <w:tc>
          <w:tcPr>
            <w:tcW w:w="223" w:type="pct"/>
            <w:vMerge w:val="continue"/>
            <w:vAlign w:val="center"/>
          </w:tcPr>
          <w:p w14:paraId="7EE17682">
            <w:pPr>
              <w:pStyle w:val="92"/>
              <w:rPr>
                <w:color w:val="auto"/>
                <w:highlight w:val="none"/>
                <w:u w:val="none"/>
              </w:rPr>
            </w:pPr>
          </w:p>
        </w:tc>
        <w:tc>
          <w:tcPr>
            <w:tcW w:w="223" w:type="pct"/>
            <w:vMerge w:val="continue"/>
            <w:vAlign w:val="center"/>
          </w:tcPr>
          <w:p w14:paraId="2A8C4A98">
            <w:pPr>
              <w:pStyle w:val="92"/>
              <w:rPr>
                <w:color w:val="auto"/>
                <w:highlight w:val="none"/>
                <w:u w:val="none"/>
              </w:rPr>
            </w:pPr>
          </w:p>
        </w:tc>
        <w:tc>
          <w:tcPr>
            <w:tcW w:w="240" w:type="pct"/>
            <w:vMerge w:val="continue"/>
            <w:vAlign w:val="center"/>
          </w:tcPr>
          <w:p w14:paraId="63167C50">
            <w:pPr>
              <w:pStyle w:val="92"/>
              <w:rPr>
                <w:color w:val="auto"/>
                <w:highlight w:val="none"/>
                <w:u w:val="none"/>
              </w:rPr>
            </w:pPr>
          </w:p>
        </w:tc>
      </w:tr>
      <w:tr w14:paraId="3AD25B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0FB34C7F">
            <w:pPr>
              <w:pStyle w:val="92"/>
              <w:rPr>
                <w:color w:val="auto"/>
                <w:highlight w:val="none"/>
                <w:u w:val="none"/>
              </w:rPr>
            </w:pPr>
          </w:p>
        </w:tc>
        <w:tc>
          <w:tcPr>
            <w:tcW w:w="924" w:type="pct"/>
            <w:vMerge w:val="continue"/>
            <w:vAlign w:val="center"/>
          </w:tcPr>
          <w:p w14:paraId="6C8A50B7">
            <w:pPr>
              <w:pStyle w:val="92"/>
              <w:rPr>
                <w:color w:val="auto"/>
                <w:highlight w:val="none"/>
                <w:u w:val="none"/>
              </w:rPr>
            </w:pPr>
          </w:p>
        </w:tc>
        <w:tc>
          <w:tcPr>
            <w:tcW w:w="802" w:type="pct"/>
            <w:vAlign w:val="center"/>
          </w:tcPr>
          <w:p w14:paraId="11477F9C">
            <w:pPr>
              <w:pStyle w:val="92"/>
              <w:rPr>
                <w:color w:val="auto"/>
                <w:highlight w:val="none"/>
                <w:u w:val="none"/>
              </w:rPr>
            </w:pPr>
            <w:r>
              <w:rPr>
                <w:color w:val="auto"/>
                <w:highlight w:val="none"/>
                <w:u w:val="none"/>
              </w:rPr>
              <w:t>TDI</w:t>
            </w:r>
          </w:p>
        </w:tc>
        <w:tc>
          <w:tcPr>
            <w:tcW w:w="344" w:type="pct"/>
            <w:vMerge w:val="continue"/>
            <w:vAlign w:val="center"/>
          </w:tcPr>
          <w:p w14:paraId="7EF73259">
            <w:pPr>
              <w:pStyle w:val="92"/>
              <w:rPr>
                <w:color w:val="auto"/>
                <w:highlight w:val="none"/>
                <w:u w:val="none"/>
              </w:rPr>
            </w:pPr>
          </w:p>
        </w:tc>
        <w:tc>
          <w:tcPr>
            <w:tcW w:w="314" w:type="pct"/>
            <w:vAlign w:val="center"/>
          </w:tcPr>
          <w:p w14:paraId="6C5386C0">
            <w:pPr>
              <w:pStyle w:val="92"/>
              <w:rPr>
                <w:color w:val="auto"/>
                <w:highlight w:val="none"/>
                <w:u w:val="none"/>
              </w:rPr>
            </w:pPr>
            <w:r>
              <w:rPr>
                <w:color w:val="auto"/>
                <w:highlight w:val="none"/>
                <w:u w:val="none"/>
              </w:rPr>
              <w:t>TDI</w:t>
            </w:r>
          </w:p>
        </w:tc>
        <w:tc>
          <w:tcPr>
            <w:tcW w:w="264" w:type="pct"/>
            <w:vAlign w:val="center"/>
          </w:tcPr>
          <w:p w14:paraId="5B656EDB">
            <w:pPr>
              <w:pStyle w:val="92"/>
              <w:rPr>
                <w:color w:val="auto"/>
                <w:highlight w:val="none"/>
                <w:u w:val="none"/>
              </w:rPr>
            </w:pPr>
            <w:r>
              <w:rPr>
                <w:rFonts w:hint="eastAsia"/>
                <w:color w:val="auto"/>
                <w:highlight w:val="none"/>
                <w:u w:val="none"/>
              </w:rPr>
              <w:t>1</w:t>
            </w:r>
          </w:p>
        </w:tc>
        <w:tc>
          <w:tcPr>
            <w:tcW w:w="314" w:type="pct"/>
            <w:vAlign w:val="center"/>
          </w:tcPr>
          <w:p w14:paraId="5D5AB22E">
            <w:pPr>
              <w:pStyle w:val="92"/>
              <w:rPr>
                <w:color w:val="auto"/>
                <w:highlight w:val="none"/>
                <w:u w:val="none"/>
              </w:rPr>
            </w:pPr>
            <w:r>
              <w:rPr>
                <w:rFonts w:hint="eastAsia"/>
                <w:color w:val="auto"/>
                <w:highlight w:val="none"/>
                <w:u w:val="none"/>
              </w:rPr>
              <w:t>0.0017</w:t>
            </w:r>
          </w:p>
        </w:tc>
        <w:tc>
          <w:tcPr>
            <w:tcW w:w="242" w:type="pct"/>
            <w:vAlign w:val="center"/>
          </w:tcPr>
          <w:p w14:paraId="7B727AC1">
            <w:pPr>
              <w:pStyle w:val="92"/>
              <w:rPr>
                <w:color w:val="auto"/>
                <w:highlight w:val="none"/>
                <w:u w:val="none"/>
              </w:rPr>
            </w:pPr>
            <w:r>
              <w:rPr>
                <w:rFonts w:hint="eastAsia"/>
                <w:color w:val="auto"/>
                <w:highlight w:val="none"/>
                <w:u w:val="none"/>
              </w:rPr>
              <w:t>0.0035</w:t>
            </w:r>
          </w:p>
        </w:tc>
        <w:tc>
          <w:tcPr>
            <w:tcW w:w="630" w:type="pct"/>
            <w:vMerge w:val="continue"/>
            <w:vAlign w:val="center"/>
          </w:tcPr>
          <w:p w14:paraId="71DC3B77">
            <w:pPr>
              <w:pStyle w:val="92"/>
              <w:rPr>
                <w:color w:val="auto"/>
                <w:highlight w:val="none"/>
                <w:u w:val="none"/>
              </w:rPr>
            </w:pPr>
          </w:p>
        </w:tc>
        <w:tc>
          <w:tcPr>
            <w:tcW w:w="314" w:type="pct"/>
            <w:vMerge w:val="continue"/>
            <w:vAlign w:val="center"/>
          </w:tcPr>
          <w:p w14:paraId="28E24017">
            <w:pPr>
              <w:pStyle w:val="92"/>
              <w:rPr>
                <w:color w:val="auto"/>
                <w:highlight w:val="none"/>
                <w:u w:val="none"/>
              </w:rPr>
            </w:pPr>
          </w:p>
        </w:tc>
        <w:tc>
          <w:tcPr>
            <w:tcW w:w="223" w:type="pct"/>
            <w:vMerge w:val="continue"/>
            <w:vAlign w:val="center"/>
          </w:tcPr>
          <w:p w14:paraId="0AC16F93">
            <w:pPr>
              <w:pStyle w:val="92"/>
              <w:rPr>
                <w:color w:val="auto"/>
                <w:highlight w:val="none"/>
                <w:u w:val="none"/>
              </w:rPr>
            </w:pPr>
          </w:p>
        </w:tc>
        <w:tc>
          <w:tcPr>
            <w:tcW w:w="223" w:type="pct"/>
            <w:vMerge w:val="continue"/>
            <w:vAlign w:val="center"/>
          </w:tcPr>
          <w:p w14:paraId="39E21D3D">
            <w:pPr>
              <w:pStyle w:val="92"/>
              <w:rPr>
                <w:color w:val="auto"/>
                <w:highlight w:val="none"/>
                <w:u w:val="none"/>
              </w:rPr>
            </w:pPr>
          </w:p>
        </w:tc>
        <w:tc>
          <w:tcPr>
            <w:tcW w:w="240" w:type="pct"/>
            <w:vMerge w:val="continue"/>
            <w:vAlign w:val="center"/>
          </w:tcPr>
          <w:p w14:paraId="328887E6">
            <w:pPr>
              <w:pStyle w:val="92"/>
              <w:rPr>
                <w:color w:val="auto"/>
                <w:highlight w:val="none"/>
                <w:u w:val="none"/>
              </w:rPr>
            </w:pPr>
          </w:p>
        </w:tc>
      </w:tr>
      <w:tr w14:paraId="4D1452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32FE8290">
            <w:pPr>
              <w:pStyle w:val="92"/>
              <w:rPr>
                <w:color w:val="auto"/>
                <w:highlight w:val="none"/>
                <w:u w:val="none"/>
              </w:rPr>
            </w:pPr>
          </w:p>
        </w:tc>
        <w:tc>
          <w:tcPr>
            <w:tcW w:w="924" w:type="pct"/>
            <w:vMerge w:val="continue"/>
            <w:vAlign w:val="center"/>
          </w:tcPr>
          <w:p w14:paraId="68E3A108">
            <w:pPr>
              <w:pStyle w:val="92"/>
              <w:rPr>
                <w:color w:val="auto"/>
                <w:highlight w:val="none"/>
                <w:u w:val="none"/>
              </w:rPr>
            </w:pPr>
          </w:p>
        </w:tc>
        <w:tc>
          <w:tcPr>
            <w:tcW w:w="802" w:type="pct"/>
            <w:vAlign w:val="center"/>
          </w:tcPr>
          <w:p w14:paraId="7FA59E1F">
            <w:pPr>
              <w:pStyle w:val="92"/>
              <w:rPr>
                <w:color w:val="auto"/>
                <w:highlight w:val="none"/>
                <w:u w:val="none"/>
              </w:rPr>
            </w:pPr>
            <w:r>
              <w:rPr>
                <w:color w:val="auto"/>
                <w:highlight w:val="none"/>
                <w:u w:val="none"/>
              </w:rPr>
              <w:t>VOC</w:t>
            </w:r>
            <w:r>
              <w:rPr>
                <w:color w:val="auto"/>
                <w:highlight w:val="none"/>
                <w:u w:val="none"/>
                <w:vertAlign w:val="subscript"/>
              </w:rPr>
              <w:t>S</w:t>
            </w:r>
          </w:p>
        </w:tc>
        <w:tc>
          <w:tcPr>
            <w:tcW w:w="344" w:type="pct"/>
            <w:vMerge w:val="continue"/>
            <w:vAlign w:val="center"/>
          </w:tcPr>
          <w:p w14:paraId="0FB012E3">
            <w:pPr>
              <w:pStyle w:val="92"/>
              <w:rPr>
                <w:color w:val="auto"/>
                <w:highlight w:val="none"/>
                <w:u w:val="none"/>
              </w:rPr>
            </w:pPr>
          </w:p>
        </w:tc>
        <w:tc>
          <w:tcPr>
            <w:tcW w:w="314" w:type="pct"/>
            <w:vAlign w:val="center"/>
          </w:tcPr>
          <w:p w14:paraId="70D1393F">
            <w:pPr>
              <w:pStyle w:val="92"/>
              <w:rPr>
                <w:color w:val="auto"/>
                <w:highlight w:val="none"/>
                <w:u w:val="none"/>
              </w:rPr>
            </w:pPr>
            <w:r>
              <w:rPr>
                <w:color w:val="auto"/>
                <w:highlight w:val="none"/>
                <w:u w:val="none"/>
              </w:rPr>
              <w:t>VOC</w:t>
            </w:r>
            <w:r>
              <w:rPr>
                <w:color w:val="auto"/>
                <w:highlight w:val="none"/>
                <w:u w:val="none"/>
                <w:vertAlign w:val="subscript"/>
              </w:rPr>
              <w:t>S</w:t>
            </w:r>
          </w:p>
        </w:tc>
        <w:tc>
          <w:tcPr>
            <w:tcW w:w="264" w:type="pct"/>
            <w:vAlign w:val="center"/>
          </w:tcPr>
          <w:p w14:paraId="258E1B3A">
            <w:pPr>
              <w:pStyle w:val="92"/>
              <w:rPr>
                <w:color w:val="auto"/>
                <w:highlight w:val="none"/>
                <w:u w:val="none"/>
              </w:rPr>
            </w:pPr>
            <w:r>
              <w:rPr>
                <w:rFonts w:hint="eastAsia"/>
                <w:color w:val="auto"/>
                <w:highlight w:val="none"/>
                <w:u w:val="none"/>
              </w:rPr>
              <w:t>484</w:t>
            </w:r>
          </w:p>
        </w:tc>
        <w:tc>
          <w:tcPr>
            <w:tcW w:w="314" w:type="pct"/>
            <w:vAlign w:val="center"/>
          </w:tcPr>
          <w:p w14:paraId="57B744EE">
            <w:pPr>
              <w:pStyle w:val="92"/>
              <w:rPr>
                <w:color w:val="auto"/>
                <w:highlight w:val="none"/>
                <w:u w:val="none"/>
              </w:rPr>
            </w:pPr>
            <w:r>
              <w:rPr>
                <w:rFonts w:hint="eastAsia"/>
                <w:color w:val="auto"/>
                <w:highlight w:val="none"/>
                <w:u w:val="none"/>
              </w:rPr>
              <w:t>0.5813</w:t>
            </w:r>
          </w:p>
        </w:tc>
        <w:tc>
          <w:tcPr>
            <w:tcW w:w="242" w:type="pct"/>
            <w:vAlign w:val="center"/>
          </w:tcPr>
          <w:p w14:paraId="2CDC3587">
            <w:pPr>
              <w:pStyle w:val="92"/>
              <w:rPr>
                <w:color w:val="auto"/>
                <w:highlight w:val="none"/>
                <w:u w:val="none"/>
              </w:rPr>
            </w:pPr>
            <w:r>
              <w:rPr>
                <w:rFonts w:hint="eastAsia"/>
                <w:color w:val="auto"/>
                <w:highlight w:val="none"/>
                <w:u w:val="none"/>
              </w:rPr>
              <w:t>1.1626</w:t>
            </w:r>
          </w:p>
        </w:tc>
        <w:tc>
          <w:tcPr>
            <w:tcW w:w="630" w:type="pct"/>
            <w:vMerge w:val="continue"/>
            <w:vAlign w:val="center"/>
          </w:tcPr>
          <w:p w14:paraId="16FE586F">
            <w:pPr>
              <w:pStyle w:val="92"/>
              <w:rPr>
                <w:color w:val="auto"/>
                <w:highlight w:val="none"/>
                <w:u w:val="none"/>
              </w:rPr>
            </w:pPr>
          </w:p>
        </w:tc>
        <w:tc>
          <w:tcPr>
            <w:tcW w:w="314" w:type="pct"/>
            <w:vMerge w:val="continue"/>
            <w:vAlign w:val="center"/>
          </w:tcPr>
          <w:p w14:paraId="36934C61">
            <w:pPr>
              <w:pStyle w:val="92"/>
              <w:rPr>
                <w:color w:val="auto"/>
                <w:highlight w:val="none"/>
                <w:u w:val="none"/>
              </w:rPr>
            </w:pPr>
          </w:p>
        </w:tc>
        <w:tc>
          <w:tcPr>
            <w:tcW w:w="223" w:type="pct"/>
            <w:vMerge w:val="continue"/>
            <w:vAlign w:val="center"/>
          </w:tcPr>
          <w:p w14:paraId="4BE5E59A">
            <w:pPr>
              <w:pStyle w:val="92"/>
              <w:rPr>
                <w:color w:val="auto"/>
                <w:highlight w:val="none"/>
                <w:u w:val="none"/>
              </w:rPr>
            </w:pPr>
          </w:p>
        </w:tc>
        <w:tc>
          <w:tcPr>
            <w:tcW w:w="223" w:type="pct"/>
            <w:vMerge w:val="continue"/>
            <w:vAlign w:val="center"/>
          </w:tcPr>
          <w:p w14:paraId="4DA61FE8">
            <w:pPr>
              <w:pStyle w:val="92"/>
              <w:rPr>
                <w:color w:val="auto"/>
                <w:highlight w:val="none"/>
                <w:u w:val="none"/>
              </w:rPr>
            </w:pPr>
          </w:p>
        </w:tc>
        <w:tc>
          <w:tcPr>
            <w:tcW w:w="240" w:type="pct"/>
            <w:vMerge w:val="continue"/>
            <w:vAlign w:val="center"/>
          </w:tcPr>
          <w:p w14:paraId="7922F4C0">
            <w:pPr>
              <w:pStyle w:val="92"/>
              <w:rPr>
                <w:color w:val="auto"/>
                <w:highlight w:val="none"/>
                <w:u w:val="none"/>
              </w:rPr>
            </w:pPr>
          </w:p>
        </w:tc>
      </w:tr>
      <w:tr w14:paraId="557B97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restart"/>
            <w:vAlign w:val="center"/>
          </w:tcPr>
          <w:p w14:paraId="1F9C9092">
            <w:pPr>
              <w:pStyle w:val="92"/>
              <w:rPr>
                <w:color w:val="auto"/>
                <w:highlight w:val="none"/>
                <w:u w:val="none"/>
              </w:rPr>
            </w:pPr>
            <w:r>
              <w:rPr>
                <w:rFonts w:hint="eastAsia"/>
                <w:color w:val="auto"/>
                <w:highlight w:val="none"/>
                <w:u w:val="none"/>
              </w:rPr>
              <w:t>7</w:t>
            </w:r>
          </w:p>
        </w:tc>
        <w:tc>
          <w:tcPr>
            <w:tcW w:w="924" w:type="pct"/>
            <w:vMerge w:val="restart"/>
            <w:vAlign w:val="center"/>
          </w:tcPr>
          <w:p w14:paraId="5462EE54">
            <w:pPr>
              <w:pStyle w:val="92"/>
              <w:rPr>
                <w:color w:val="auto"/>
                <w:highlight w:val="none"/>
                <w:u w:val="none"/>
              </w:rPr>
            </w:pPr>
            <w:r>
              <w:rPr>
                <w:rFonts w:hint="eastAsia"/>
                <w:color w:val="auto"/>
                <w:highlight w:val="none"/>
                <w:u w:val="none"/>
              </w:rPr>
              <w:t>焦油颗粒装车站废气</w:t>
            </w:r>
          </w:p>
        </w:tc>
        <w:tc>
          <w:tcPr>
            <w:tcW w:w="802" w:type="pct"/>
            <w:vAlign w:val="center"/>
          </w:tcPr>
          <w:p w14:paraId="725DFCAE">
            <w:pPr>
              <w:pStyle w:val="92"/>
              <w:rPr>
                <w:color w:val="auto"/>
                <w:highlight w:val="none"/>
                <w:u w:val="none"/>
              </w:rPr>
            </w:pPr>
            <w:r>
              <w:rPr>
                <w:rFonts w:hint="eastAsia"/>
                <w:color w:val="auto"/>
                <w:highlight w:val="none"/>
                <w:u w:val="none"/>
              </w:rPr>
              <w:t>颗粒物</w:t>
            </w:r>
          </w:p>
        </w:tc>
        <w:tc>
          <w:tcPr>
            <w:tcW w:w="344" w:type="pct"/>
            <w:vMerge w:val="restart"/>
            <w:vAlign w:val="center"/>
          </w:tcPr>
          <w:p w14:paraId="1AB39C32">
            <w:pPr>
              <w:pStyle w:val="92"/>
              <w:rPr>
                <w:color w:val="auto"/>
                <w:highlight w:val="none"/>
                <w:u w:val="none"/>
              </w:rPr>
            </w:pPr>
            <w:r>
              <w:rPr>
                <w:rFonts w:hint="eastAsia"/>
                <w:color w:val="auto"/>
                <w:highlight w:val="none"/>
                <w:u w:val="none"/>
              </w:rPr>
              <w:t>1500</w:t>
            </w:r>
          </w:p>
        </w:tc>
        <w:tc>
          <w:tcPr>
            <w:tcW w:w="314" w:type="pct"/>
            <w:vAlign w:val="center"/>
          </w:tcPr>
          <w:p w14:paraId="777BDCBD">
            <w:pPr>
              <w:pStyle w:val="92"/>
              <w:rPr>
                <w:color w:val="auto"/>
                <w:highlight w:val="none"/>
                <w:u w:val="none"/>
              </w:rPr>
            </w:pPr>
            <w:r>
              <w:rPr>
                <w:rFonts w:hint="eastAsia"/>
                <w:color w:val="auto"/>
                <w:highlight w:val="none"/>
                <w:u w:val="none"/>
              </w:rPr>
              <w:t>颗粒物</w:t>
            </w:r>
          </w:p>
        </w:tc>
        <w:tc>
          <w:tcPr>
            <w:tcW w:w="264" w:type="pct"/>
            <w:vAlign w:val="center"/>
          </w:tcPr>
          <w:p w14:paraId="65D02FCD">
            <w:pPr>
              <w:pStyle w:val="92"/>
              <w:rPr>
                <w:color w:val="auto"/>
                <w:highlight w:val="none"/>
                <w:u w:val="none"/>
              </w:rPr>
            </w:pPr>
            <w:r>
              <w:rPr>
                <w:color w:val="auto"/>
                <w:highlight w:val="none"/>
                <w:u w:val="none"/>
              </w:rPr>
              <w:t>50</w:t>
            </w:r>
          </w:p>
        </w:tc>
        <w:tc>
          <w:tcPr>
            <w:tcW w:w="314" w:type="pct"/>
            <w:vAlign w:val="center"/>
          </w:tcPr>
          <w:p w14:paraId="7EC6B019">
            <w:pPr>
              <w:pStyle w:val="92"/>
              <w:rPr>
                <w:color w:val="auto"/>
                <w:highlight w:val="none"/>
                <w:u w:val="none"/>
              </w:rPr>
            </w:pPr>
            <w:r>
              <w:rPr>
                <w:color w:val="auto"/>
                <w:highlight w:val="none"/>
                <w:u w:val="none"/>
              </w:rPr>
              <w:t>0.075</w:t>
            </w:r>
          </w:p>
        </w:tc>
        <w:tc>
          <w:tcPr>
            <w:tcW w:w="242" w:type="pct"/>
            <w:vAlign w:val="center"/>
          </w:tcPr>
          <w:p w14:paraId="275EAD1D">
            <w:pPr>
              <w:pStyle w:val="92"/>
              <w:rPr>
                <w:color w:val="auto"/>
                <w:highlight w:val="none"/>
                <w:u w:val="none"/>
              </w:rPr>
            </w:pPr>
            <w:r>
              <w:rPr>
                <w:rFonts w:hint="eastAsia"/>
                <w:color w:val="auto"/>
                <w:highlight w:val="none"/>
                <w:u w:val="none"/>
              </w:rPr>
              <w:t>0.15</w:t>
            </w:r>
          </w:p>
        </w:tc>
        <w:tc>
          <w:tcPr>
            <w:tcW w:w="630" w:type="pct"/>
            <w:vMerge w:val="restart"/>
            <w:vAlign w:val="center"/>
          </w:tcPr>
          <w:p w14:paraId="7623F917">
            <w:pPr>
              <w:pStyle w:val="92"/>
              <w:rPr>
                <w:color w:val="auto"/>
                <w:highlight w:val="none"/>
                <w:u w:val="none"/>
              </w:rPr>
            </w:pPr>
            <w:r>
              <w:rPr>
                <w:rFonts w:hint="eastAsia"/>
                <w:color w:val="auto"/>
                <w:highlight w:val="none"/>
                <w:u w:val="none"/>
              </w:rPr>
              <w:t>停车</w:t>
            </w:r>
          </w:p>
        </w:tc>
        <w:tc>
          <w:tcPr>
            <w:tcW w:w="314" w:type="pct"/>
            <w:vMerge w:val="restart"/>
            <w:vAlign w:val="center"/>
          </w:tcPr>
          <w:p w14:paraId="5D17D31A">
            <w:pPr>
              <w:pStyle w:val="92"/>
              <w:rPr>
                <w:color w:val="auto"/>
                <w:highlight w:val="none"/>
                <w:u w:val="none"/>
              </w:rPr>
            </w:pPr>
            <w:r>
              <w:rPr>
                <w:rFonts w:hint="eastAsia"/>
                <w:color w:val="auto"/>
                <w:highlight w:val="none"/>
                <w:u w:val="none"/>
              </w:rPr>
              <w:t>2</w:t>
            </w:r>
          </w:p>
        </w:tc>
        <w:tc>
          <w:tcPr>
            <w:tcW w:w="223" w:type="pct"/>
            <w:vMerge w:val="restart"/>
            <w:vAlign w:val="center"/>
          </w:tcPr>
          <w:p w14:paraId="760A6E13">
            <w:pPr>
              <w:pStyle w:val="92"/>
              <w:rPr>
                <w:color w:val="auto"/>
                <w:highlight w:val="none"/>
                <w:u w:val="none"/>
              </w:rPr>
            </w:pPr>
            <w:r>
              <w:rPr>
                <w:rFonts w:hint="eastAsia"/>
                <w:color w:val="auto"/>
                <w:highlight w:val="none"/>
                <w:u w:val="none"/>
              </w:rPr>
              <w:t>23</w:t>
            </w:r>
          </w:p>
        </w:tc>
        <w:tc>
          <w:tcPr>
            <w:tcW w:w="223" w:type="pct"/>
            <w:vMerge w:val="restart"/>
            <w:vAlign w:val="center"/>
          </w:tcPr>
          <w:p w14:paraId="092DC2BF">
            <w:pPr>
              <w:pStyle w:val="92"/>
              <w:rPr>
                <w:color w:val="auto"/>
                <w:highlight w:val="none"/>
                <w:u w:val="none"/>
              </w:rPr>
            </w:pPr>
            <w:r>
              <w:rPr>
                <w:rFonts w:hint="eastAsia"/>
                <w:color w:val="auto"/>
                <w:highlight w:val="none"/>
                <w:u w:val="none"/>
              </w:rPr>
              <w:t>0.035</w:t>
            </w:r>
          </w:p>
        </w:tc>
        <w:tc>
          <w:tcPr>
            <w:tcW w:w="240" w:type="pct"/>
            <w:vMerge w:val="restart"/>
            <w:vAlign w:val="center"/>
          </w:tcPr>
          <w:p w14:paraId="3B94C5F8">
            <w:pPr>
              <w:pStyle w:val="92"/>
              <w:rPr>
                <w:color w:val="auto"/>
                <w:highlight w:val="none"/>
                <w:u w:val="none"/>
              </w:rPr>
            </w:pPr>
            <w:r>
              <w:rPr>
                <w:rFonts w:hint="eastAsia"/>
                <w:color w:val="auto"/>
                <w:highlight w:val="none"/>
                <w:u w:val="none"/>
              </w:rPr>
              <w:t>25</w:t>
            </w:r>
          </w:p>
        </w:tc>
      </w:tr>
      <w:tr w14:paraId="66A6BF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62" w:type="pct"/>
            <w:vMerge w:val="continue"/>
            <w:vAlign w:val="center"/>
          </w:tcPr>
          <w:p w14:paraId="017D8175">
            <w:pPr>
              <w:pStyle w:val="92"/>
              <w:rPr>
                <w:color w:val="auto"/>
                <w:highlight w:val="none"/>
                <w:u w:val="none"/>
              </w:rPr>
            </w:pPr>
          </w:p>
        </w:tc>
        <w:tc>
          <w:tcPr>
            <w:tcW w:w="924" w:type="pct"/>
            <w:vMerge w:val="continue"/>
            <w:vAlign w:val="center"/>
          </w:tcPr>
          <w:p w14:paraId="46DC1143">
            <w:pPr>
              <w:pStyle w:val="92"/>
              <w:rPr>
                <w:color w:val="auto"/>
                <w:highlight w:val="none"/>
                <w:u w:val="none"/>
              </w:rPr>
            </w:pPr>
          </w:p>
        </w:tc>
        <w:tc>
          <w:tcPr>
            <w:tcW w:w="802" w:type="pct"/>
            <w:vAlign w:val="center"/>
          </w:tcPr>
          <w:p w14:paraId="038F142E">
            <w:pPr>
              <w:pStyle w:val="92"/>
              <w:rPr>
                <w:color w:val="auto"/>
                <w:highlight w:val="none"/>
                <w:u w:val="none"/>
              </w:rPr>
            </w:pPr>
            <w:r>
              <w:rPr>
                <w:color w:val="auto"/>
                <w:highlight w:val="none"/>
                <w:u w:val="none"/>
              </w:rPr>
              <w:t>VOC</w:t>
            </w:r>
            <w:r>
              <w:rPr>
                <w:color w:val="auto"/>
                <w:highlight w:val="none"/>
                <w:u w:val="none"/>
                <w:vertAlign w:val="subscript"/>
              </w:rPr>
              <w:t>S</w:t>
            </w:r>
          </w:p>
        </w:tc>
        <w:tc>
          <w:tcPr>
            <w:tcW w:w="344" w:type="pct"/>
            <w:vMerge w:val="continue"/>
            <w:vAlign w:val="center"/>
          </w:tcPr>
          <w:p w14:paraId="2305E9AD">
            <w:pPr>
              <w:pStyle w:val="92"/>
              <w:rPr>
                <w:color w:val="auto"/>
                <w:highlight w:val="none"/>
                <w:u w:val="none"/>
              </w:rPr>
            </w:pPr>
          </w:p>
        </w:tc>
        <w:tc>
          <w:tcPr>
            <w:tcW w:w="314" w:type="pct"/>
            <w:vAlign w:val="center"/>
          </w:tcPr>
          <w:p w14:paraId="34E257D5">
            <w:pPr>
              <w:pStyle w:val="92"/>
              <w:rPr>
                <w:color w:val="auto"/>
                <w:highlight w:val="none"/>
                <w:u w:val="none"/>
              </w:rPr>
            </w:pPr>
            <w:r>
              <w:rPr>
                <w:rFonts w:hint="eastAsia"/>
                <w:color w:val="auto"/>
                <w:sz w:val="18"/>
                <w:szCs w:val="18"/>
                <w:highlight w:val="none"/>
                <w:u w:val="none"/>
              </w:rPr>
              <w:t>V</w:t>
            </w:r>
            <w:r>
              <w:rPr>
                <w:color w:val="auto"/>
                <w:sz w:val="18"/>
                <w:szCs w:val="18"/>
                <w:highlight w:val="none"/>
                <w:u w:val="none"/>
              </w:rPr>
              <w:t>OCs</w:t>
            </w:r>
          </w:p>
        </w:tc>
        <w:tc>
          <w:tcPr>
            <w:tcW w:w="264" w:type="pct"/>
            <w:vAlign w:val="center"/>
          </w:tcPr>
          <w:p w14:paraId="6A5052E1">
            <w:pPr>
              <w:pStyle w:val="92"/>
              <w:rPr>
                <w:color w:val="auto"/>
                <w:highlight w:val="none"/>
                <w:u w:val="none"/>
              </w:rPr>
            </w:pPr>
            <w:r>
              <w:rPr>
                <w:color w:val="auto"/>
                <w:highlight w:val="none"/>
                <w:u w:val="none"/>
              </w:rPr>
              <w:t>0.6</w:t>
            </w:r>
          </w:p>
        </w:tc>
        <w:tc>
          <w:tcPr>
            <w:tcW w:w="314" w:type="pct"/>
            <w:vAlign w:val="center"/>
          </w:tcPr>
          <w:p w14:paraId="26886D0A">
            <w:pPr>
              <w:pStyle w:val="92"/>
              <w:rPr>
                <w:color w:val="auto"/>
                <w:highlight w:val="none"/>
                <w:u w:val="none"/>
              </w:rPr>
            </w:pPr>
            <w:r>
              <w:rPr>
                <w:color w:val="auto"/>
                <w:highlight w:val="none"/>
                <w:u w:val="none"/>
              </w:rPr>
              <w:t>0.0009</w:t>
            </w:r>
          </w:p>
        </w:tc>
        <w:tc>
          <w:tcPr>
            <w:tcW w:w="242" w:type="pct"/>
            <w:vAlign w:val="center"/>
          </w:tcPr>
          <w:p w14:paraId="5ACBD04E">
            <w:pPr>
              <w:pStyle w:val="92"/>
              <w:rPr>
                <w:color w:val="auto"/>
                <w:highlight w:val="none"/>
                <w:u w:val="none"/>
              </w:rPr>
            </w:pPr>
            <w:r>
              <w:rPr>
                <w:rFonts w:hint="eastAsia"/>
                <w:color w:val="auto"/>
                <w:highlight w:val="none"/>
                <w:u w:val="none"/>
              </w:rPr>
              <w:t>0.0018</w:t>
            </w:r>
          </w:p>
        </w:tc>
        <w:tc>
          <w:tcPr>
            <w:tcW w:w="630" w:type="pct"/>
            <w:vMerge w:val="continue"/>
            <w:vAlign w:val="center"/>
          </w:tcPr>
          <w:p w14:paraId="5803189A">
            <w:pPr>
              <w:pStyle w:val="92"/>
              <w:rPr>
                <w:color w:val="auto"/>
                <w:highlight w:val="none"/>
                <w:u w:val="none"/>
              </w:rPr>
            </w:pPr>
          </w:p>
        </w:tc>
        <w:tc>
          <w:tcPr>
            <w:tcW w:w="314" w:type="pct"/>
            <w:vMerge w:val="continue"/>
            <w:vAlign w:val="center"/>
          </w:tcPr>
          <w:p w14:paraId="09D3A4BD">
            <w:pPr>
              <w:pStyle w:val="92"/>
              <w:rPr>
                <w:color w:val="auto"/>
                <w:highlight w:val="none"/>
                <w:u w:val="none"/>
              </w:rPr>
            </w:pPr>
          </w:p>
        </w:tc>
        <w:tc>
          <w:tcPr>
            <w:tcW w:w="223" w:type="pct"/>
            <w:vMerge w:val="continue"/>
            <w:vAlign w:val="center"/>
          </w:tcPr>
          <w:p w14:paraId="1763A381">
            <w:pPr>
              <w:pStyle w:val="92"/>
              <w:rPr>
                <w:color w:val="auto"/>
                <w:highlight w:val="none"/>
                <w:u w:val="none"/>
              </w:rPr>
            </w:pPr>
          </w:p>
        </w:tc>
        <w:tc>
          <w:tcPr>
            <w:tcW w:w="223" w:type="pct"/>
            <w:vMerge w:val="continue"/>
            <w:vAlign w:val="center"/>
          </w:tcPr>
          <w:p w14:paraId="64845238">
            <w:pPr>
              <w:pStyle w:val="92"/>
              <w:rPr>
                <w:color w:val="auto"/>
                <w:highlight w:val="none"/>
                <w:u w:val="none"/>
              </w:rPr>
            </w:pPr>
          </w:p>
        </w:tc>
        <w:tc>
          <w:tcPr>
            <w:tcW w:w="240" w:type="pct"/>
            <w:vMerge w:val="continue"/>
            <w:vAlign w:val="center"/>
          </w:tcPr>
          <w:p w14:paraId="43531DB0">
            <w:pPr>
              <w:pStyle w:val="92"/>
              <w:rPr>
                <w:color w:val="auto"/>
                <w:highlight w:val="none"/>
                <w:u w:val="none"/>
              </w:rPr>
            </w:pPr>
          </w:p>
        </w:tc>
      </w:tr>
    </w:tbl>
    <w:p w14:paraId="26126366">
      <w:pPr>
        <w:ind w:firstLine="0" w:firstLineChars="0"/>
        <w:rPr>
          <w:rFonts w:hint="eastAsia"/>
          <w:color w:val="auto"/>
          <w:highlight w:val="none"/>
          <w:u w:val="none"/>
        </w:rPr>
      </w:pPr>
    </w:p>
    <w:p w14:paraId="2A7C06B7">
      <w:pPr>
        <w:rPr>
          <w:rFonts w:hint="eastAsia"/>
          <w:color w:val="auto"/>
          <w:highlight w:val="none"/>
          <w:u w:val="none"/>
        </w:rPr>
      </w:pPr>
    </w:p>
    <w:p w14:paraId="731A58F8">
      <w:pPr>
        <w:rPr>
          <w:rFonts w:hint="eastAsia"/>
          <w:color w:val="auto"/>
          <w:highlight w:val="none"/>
          <w:u w:val="none"/>
        </w:rPr>
      </w:pPr>
    </w:p>
    <w:p w14:paraId="54D40EAA">
      <w:pPr>
        <w:rPr>
          <w:rFonts w:hint="eastAsia"/>
          <w:color w:val="auto"/>
          <w:highlight w:val="none"/>
          <w:u w:val="none"/>
        </w:rPr>
      </w:pPr>
    </w:p>
    <w:p w14:paraId="6643713D">
      <w:pPr>
        <w:rPr>
          <w:rFonts w:hint="eastAsia"/>
          <w:color w:val="auto"/>
          <w:highlight w:val="none"/>
          <w:u w:val="none"/>
        </w:rPr>
        <w:sectPr>
          <w:pgSz w:w="16840" w:h="11907" w:orient="landscape"/>
          <w:pgMar w:top="1701" w:right="1440" w:bottom="1701" w:left="1440" w:header="851" w:footer="992" w:gutter="0"/>
          <w:cols w:space="425" w:num="1"/>
          <w:docGrid w:type="lines" w:linePitch="312" w:charSpace="0"/>
        </w:sectPr>
      </w:pPr>
    </w:p>
    <w:p w14:paraId="445C1710">
      <w:pPr>
        <w:pStyle w:val="6"/>
        <w:spacing w:before="156" w:after="156"/>
        <w:rPr>
          <w:color w:val="auto"/>
          <w:highlight w:val="none"/>
          <w:u w:val="none"/>
        </w:rPr>
      </w:pPr>
      <w:bookmarkStart w:id="346" w:name="_Toc148374556"/>
      <w:bookmarkStart w:id="347" w:name="_Toc148374998"/>
      <w:r>
        <w:rPr>
          <w:rFonts w:hint="eastAsia"/>
          <w:color w:val="auto"/>
          <w:highlight w:val="none"/>
          <w:u w:val="none"/>
        </w:rPr>
        <w:t>非正常工况废水</w:t>
      </w:r>
      <w:bookmarkEnd w:id="346"/>
      <w:bookmarkEnd w:id="347"/>
    </w:p>
    <w:p w14:paraId="1BED9BDA">
      <w:pPr>
        <w:rPr>
          <w:rFonts w:hint="eastAsia"/>
          <w:color w:val="auto"/>
          <w:highlight w:val="none"/>
          <w:u w:val="none"/>
        </w:rPr>
      </w:pPr>
      <w:r>
        <w:rPr>
          <w:rFonts w:hint="eastAsia"/>
          <w:color w:val="auto"/>
          <w:highlight w:val="none"/>
          <w:u w:val="none"/>
        </w:rPr>
        <w:t>项目非正常工况废水主要是指装置开停车及设备检修过程中的罐体清空排水、</w:t>
      </w:r>
      <w:r>
        <w:rPr>
          <w:color w:val="auto"/>
          <w:highlight w:val="none"/>
          <w:u w:val="none"/>
        </w:rPr>
        <w:t>生</w:t>
      </w:r>
      <w:r>
        <w:rPr>
          <w:rFonts w:hint="eastAsia"/>
          <w:color w:val="auto"/>
          <w:highlight w:val="none"/>
          <w:u w:val="none"/>
        </w:rPr>
        <w:t>产不正常造成工艺物料泄漏、</w:t>
      </w:r>
      <w:r>
        <w:rPr>
          <w:color w:val="auto"/>
          <w:highlight w:val="none"/>
          <w:u w:val="none"/>
        </w:rPr>
        <w:t>生产</w:t>
      </w:r>
      <w:r>
        <w:rPr>
          <w:rFonts w:hint="eastAsia"/>
          <w:color w:val="auto"/>
          <w:highlight w:val="none"/>
          <w:u w:val="none"/>
        </w:rPr>
        <w:t>废水</w:t>
      </w:r>
      <w:r>
        <w:rPr>
          <w:color w:val="auto"/>
          <w:highlight w:val="none"/>
          <w:u w:val="none"/>
        </w:rPr>
        <w:t>排放量或者排放浓度大幅度增加超过了污水处理</w:t>
      </w:r>
      <w:r>
        <w:rPr>
          <w:rFonts w:hint="eastAsia"/>
          <w:color w:val="auto"/>
          <w:highlight w:val="none"/>
          <w:u w:val="none"/>
        </w:rPr>
        <w:t>装置的承载负荷时废水、</w:t>
      </w:r>
      <w:r>
        <w:rPr>
          <w:color w:val="auto"/>
          <w:highlight w:val="none"/>
          <w:u w:val="none"/>
        </w:rPr>
        <w:t>发生火灾时消防废水以及装置区内污水预处理系统、</w:t>
      </w:r>
      <w:r>
        <w:rPr>
          <w:rFonts w:hint="eastAsia"/>
          <w:color w:val="auto"/>
          <w:highlight w:val="none"/>
          <w:u w:val="none"/>
        </w:rPr>
        <w:t>万华环保科技公司</w:t>
      </w:r>
      <w:r>
        <w:rPr>
          <w:color w:val="auto"/>
          <w:highlight w:val="none"/>
          <w:u w:val="none"/>
        </w:rPr>
        <w:t>污水处理站出现故障而造成废水不能及</w:t>
      </w:r>
      <w:r>
        <w:rPr>
          <w:rFonts w:hint="eastAsia"/>
          <w:color w:val="auto"/>
          <w:highlight w:val="none"/>
          <w:u w:val="none"/>
        </w:rPr>
        <w:t>时处理等。</w:t>
      </w:r>
    </w:p>
    <w:p w14:paraId="68A3F613">
      <w:pPr>
        <w:pStyle w:val="6"/>
        <w:spacing w:before="156" w:after="156"/>
        <w:rPr>
          <w:color w:val="auto"/>
          <w:highlight w:val="none"/>
          <w:u w:val="none"/>
        </w:rPr>
      </w:pPr>
      <w:bookmarkStart w:id="348" w:name="_Toc148374999"/>
      <w:bookmarkStart w:id="349" w:name="_Toc148374557"/>
      <w:r>
        <w:rPr>
          <w:rFonts w:hint="eastAsia"/>
          <w:color w:val="auto"/>
          <w:highlight w:val="none"/>
          <w:u w:val="none"/>
        </w:rPr>
        <w:t>非正常工况噪声</w:t>
      </w:r>
      <w:bookmarkEnd w:id="348"/>
      <w:bookmarkEnd w:id="349"/>
    </w:p>
    <w:p w14:paraId="752414B6">
      <w:pPr>
        <w:rPr>
          <w:rFonts w:hint="eastAsia"/>
          <w:color w:val="auto"/>
          <w:highlight w:val="none"/>
          <w:u w:val="none"/>
        </w:rPr>
      </w:pPr>
      <w:r>
        <w:rPr>
          <w:rFonts w:hint="eastAsia"/>
          <w:color w:val="auto"/>
          <w:highlight w:val="none"/>
          <w:u w:val="none"/>
        </w:rPr>
        <w:t>噪声非正常排放源主要为开车时工艺管道吹汽噪声。</w:t>
      </w:r>
      <w:r>
        <w:rPr>
          <w:color w:val="auto"/>
          <w:highlight w:val="none"/>
          <w:u w:val="none"/>
        </w:rPr>
        <w:t>非正常工况下，开车时工艺管</w:t>
      </w:r>
      <w:r>
        <w:rPr>
          <w:rFonts w:hint="eastAsia"/>
          <w:color w:val="auto"/>
          <w:highlight w:val="none"/>
          <w:u w:val="none"/>
        </w:rPr>
        <w:t>道吹汽约为</w:t>
      </w:r>
      <w:r>
        <w:rPr>
          <w:color w:val="auto"/>
          <w:highlight w:val="none"/>
          <w:u w:val="none"/>
        </w:rPr>
        <w:t>~120dB(A)。</w:t>
      </w:r>
      <w:r>
        <w:rPr>
          <w:rFonts w:hint="eastAsia"/>
          <w:color w:val="auto"/>
          <w:highlight w:val="none"/>
          <w:u w:val="none"/>
        </w:rPr>
        <w:t>本项目</w:t>
      </w:r>
      <w:r>
        <w:rPr>
          <w:color w:val="auto"/>
          <w:highlight w:val="none"/>
          <w:u w:val="none"/>
        </w:rPr>
        <w:t>非正常工况噪声排放</w:t>
      </w:r>
      <w:r>
        <w:rPr>
          <w:rFonts w:hint="eastAsia"/>
          <w:color w:val="auto"/>
          <w:highlight w:val="none"/>
          <w:u w:val="none"/>
        </w:rPr>
        <w:t>情况</w:t>
      </w:r>
      <w:r>
        <w:rPr>
          <w:color w:val="auto"/>
          <w:highlight w:val="none"/>
          <w:u w:val="none"/>
        </w:rPr>
        <w:t>见</w:t>
      </w:r>
      <w:r>
        <w:rPr>
          <w:color w:val="auto"/>
          <w:highlight w:val="none"/>
          <w:u w:val="none"/>
        </w:rPr>
        <w:fldChar w:fldCharType="begin"/>
      </w:r>
      <w:r>
        <w:rPr>
          <w:color w:val="auto"/>
          <w:highlight w:val="none"/>
          <w:u w:val="none"/>
        </w:rPr>
        <w:instrText xml:space="preserve"> REF _Ref138702329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5.7</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2</w:t>
      </w:r>
      <w:r>
        <w:rPr>
          <w:color w:val="auto"/>
          <w:highlight w:val="none"/>
          <w:u w:val="none"/>
        </w:rPr>
        <w:fldChar w:fldCharType="end"/>
      </w:r>
      <w:r>
        <w:rPr>
          <w:color w:val="auto"/>
          <w:highlight w:val="none"/>
          <w:u w:val="none"/>
        </w:rPr>
        <w:t>。</w:t>
      </w:r>
    </w:p>
    <w:p w14:paraId="043B73D8">
      <w:pPr>
        <w:pStyle w:val="85"/>
        <w:rPr>
          <w:color w:val="auto"/>
          <w:highlight w:val="none"/>
          <w:u w:val="none"/>
        </w:rPr>
      </w:pPr>
      <w:bookmarkStart w:id="350" w:name="_Ref138702329"/>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5.7</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w:t>
      </w:r>
      <w:r>
        <w:rPr>
          <w:color w:val="auto"/>
          <w:highlight w:val="none"/>
          <w:u w:val="none"/>
        </w:rPr>
        <w:fldChar w:fldCharType="end"/>
      </w:r>
      <w:bookmarkEnd w:id="350"/>
      <w:r>
        <w:rPr>
          <w:color w:val="auto"/>
          <w:highlight w:val="none"/>
          <w:u w:val="none"/>
        </w:rPr>
        <w:t xml:space="preserve">  </w:t>
      </w:r>
      <w:r>
        <w:rPr>
          <w:rFonts w:hint="eastAsia"/>
          <w:color w:val="auto"/>
          <w:highlight w:val="none"/>
          <w:u w:val="none"/>
        </w:rPr>
        <w:t>噪声非正常工况的污染物排放</w:t>
      </w:r>
    </w:p>
    <w:tbl>
      <w:tblPr>
        <w:tblStyle w:val="79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90"/>
        <w:gridCol w:w="2967"/>
        <w:gridCol w:w="1658"/>
        <w:gridCol w:w="2441"/>
        <w:gridCol w:w="1344"/>
      </w:tblGrid>
      <w:tr w14:paraId="3D4DDF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79" w:type="pct"/>
          </w:tcPr>
          <w:p w14:paraId="77D7E455">
            <w:pPr>
              <w:pStyle w:val="92"/>
              <w:rPr>
                <w:rFonts w:ascii="Calibri"/>
                <w:color w:val="auto"/>
                <w:highlight w:val="none"/>
                <w:u w:val="none"/>
                <w:lang w:eastAsia="en-US"/>
              </w:rPr>
            </w:pPr>
            <w:r>
              <w:rPr>
                <w:rFonts w:ascii="Calibri"/>
                <w:color w:val="auto"/>
                <w:highlight w:val="none"/>
                <w:u w:val="none"/>
                <w:lang w:eastAsia="en-US"/>
              </w:rPr>
              <w:t>编号</w:t>
            </w:r>
          </w:p>
        </w:tc>
        <w:tc>
          <w:tcPr>
            <w:tcW w:w="1630" w:type="pct"/>
          </w:tcPr>
          <w:p w14:paraId="305F79EE">
            <w:pPr>
              <w:pStyle w:val="92"/>
              <w:rPr>
                <w:rFonts w:ascii="Calibri"/>
                <w:color w:val="auto"/>
                <w:highlight w:val="none"/>
                <w:u w:val="none"/>
                <w:lang w:eastAsia="en-US"/>
              </w:rPr>
            </w:pPr>
            <w:r>
              <w:rPr>
                <w:rFonts w:ascii="Calibri"/>
                <w:color w:val="auto"/>
                <w:highlight w:val="none"/>
                <w:u w:val="none"/>
                <w:lang w:eastAsia="en-US"/>
              </w:rPr>
              <w:t>噪声源位置</w:t>
            </w:r>
          </w:p>
        </w:tc>
        <w:tc>
          <w:tcPr>
            <w:tcW w:w="911" w:type="pct"/>
          </w:tcPr>
          <w:p w14:paraId="59D56C69">
            <w:pPr>
              <w:pStyle w:val="92"/>
              <w:rPr>
                <w:rFonts w:ascii="Calibri"/>
                <w:color w:val="auto"/>
                <w:highlight w:val="none"/>
                <w:u w:val="none"/>
                <w:lang w:eastAsia="en-US"/>
              </w:rPr>
            </w:pPr>
            <w:r>
              <w:rPr>
                <w:rFonts w:ascii="Calibri"/>
                <w:color w:val="auto"/>
                <w:highlight w:val="none"/>
                <w:u w:val="none"/>
                <w:lang w:eastAsia="en-US"/>
              </w:rPr>
              <w:t>噪声源名称</w:t>
            </w:r>
          </w:p>
        </w:tc>
        <w:tc>
          <w:tcPr>
            <w:tcW w:w="1341" w:type="pct"/>
          </w:tcPr>
          <w:p w14:paraId="6BACE6E3">
            <w:pPr>
              <w:pStyle w:val="92"/>
              <w:rPr>
                <w:rFonts w:ascii="Calibri"/>
                <w:color w:val="auto"/>
                <w:highlight w:val="none"/>
                <w:u w:val="none"/>
                <w:lang w:eastAsia="en-US"/>
              </w:rPr>
            </w:pPr>
            <w:r>
              <w:rPr>
                <w:rFonts w:ascii="Calibri"/>
                <w:color w:val="auto"/>
                <w:highlight w:val="none"/>
                <w:u w:val="none"/>
                <w:lang w:eastAsia="en-US"/>
              </w:rPr>
              <w:t>声压级 dB（A）</w:t>
            </w:r>
          </w:p>
        </w:tc>
        <w:tc>
          <w:tcPr>
            <w:tcW w:w="738" w:type="pct"/>
          </w:tcPr>
          <w:p w14:paraId="63227E23">
            <w:pPr>
              <w:pStyle w:val="92"/>
              <w:rPr>
                <w:rFonts w:ascii="Calibri"/>
                <w:color w:val="auto"/>
                <w:highlight w:val="none"/>
                <w:u w:val="none"/>
                <w:lang w:eastAsia="en-US"/>
              </w:rPr>
            </w:pPr>
            <w:r>
              <w:rPr>
                <w:rFonts w:ascii="Calibri"/>
                <w:color w:val="auto"/>
                <w:highlight w:val="none"/>
                <w:u w:val="none"/>
                <w:lang w:eastAsia="en-US"/>
              </w:rPr>
              <w:t>运行情况</w:t>
            </w:r>
          </w:p>
        </w:tc>
      </w:tr>
      <w:tr w14:paraId="0722F5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79" w:type="pct"/>
          </w:tcPr>
          <w:p w14:paraId="6F7C7DF6">
            <w:pPr>
              <w:pStyle w:val="92"/>
              <w:rPr>
                <w:rFonts w:ascii="Calibri"/>
                <w:color w:val="auto"/>
                <w:highlight w:val="none"/>
                <w:u w:val="none"/>
                <w:lang w:eastAsia="en-US"/>
              </w:rPr>
            </w:pPr>
            <w:r>
              <w:rPr>
                <w:rFonts w:ascii="Calibri"/>
                <w:color w:val="auto"/>
                <w:w w:val="99"/>
                <w:highlight w:val="none"/>
                <w:u w:val="none"/>
                <w:lang w:eastAsia="en-US"/>
              </w:rPr>
              <w:t>1</w:t>
            </w:r>
          </w:p>
        </w:tc>
        <w:tc>
          <w:tcPr>
            <w:tcW w:w="1630" w:type="pct"/>
          </w:tcPr>
          <w:p w14:paraId="15F94347">
            <w:pPr>
              <w:pStyle w:val="92"/>
              <w:rPr>
                <w:rFonts w:ascii="Calibri"/>
                <w:color w:val="auto"/>
                <w:highlight w:val="none"/>
                <w:u w:val="none"/>
                <w:lang w:eastAsia="en-US"/>
              </w:rPr>
            </w:pPr>
            <w:r>
              <w:rPr>
                <w:rFonts w:ascii="Calibri"/>
                <w:color w:val="auto"/>
                <w:highlight w:val="none"/>
                <w:u w:val="none"/>
                <w:lang w:eastAsia="en-US"/>
              </w:rPr>
              <w:t>开车时工艺管道吹汽</w:t>
            </w:r>
          </w:p>
        </w:tc>
        <w:tc>
          <w:tcPr>
            <w:tcW w:w="911" w:type="pct"/>
          </w:tcPr>
          <w:p w14:paraId="1696A67B">
            <w:pPr>
              <w:pStyle w:val="92"/>
              <w:rPr>
                <w:rFonts w:ascii="Calibri"/>
                <w:color w:val="auto"/>
                <w:highlight w:val="none"/>
                <w:u w:val="none"/>
                <w:lang w:eastAsia="en-US"/>
              </w:rPr>
            </w:pPr>
            <w:r>
              <w:rPr>
                <w:rFonts w:ascii="Calibri"/>
                <w:color w:val="auto"/>
                <w:highlight w:val="none"/>
                <w:u w:val="none"/>
                <w:lang w:eastAsia="en-US"/>
              </w:rPr>
              <w:t>管道吹汽</w:t>
            </w:r>
          </w:p>
        </w:tc>
        <w:tc>
          <w:tcPr>
            <w:tcW w:w="1341" w:type="pct"/>
          </w:tcPr>
          <w:p w14:paraId="2C7D6C31">
            <w:pPr>
              <w:pStyle w:val="92"/>
              <w:rPr>
                <w:rFonts w:ascii="Calibri"/>
                <w:color w:val="auto"/>
                <w:highlight w:val="none"/>
                <w:u w:val="none"/>
                <w:lang w:eastAsia="en-US"/>
              </w:rPr>
            </w:pPr>
            <w:r>
              <w:rPr>
                <w:rFonts w:ascii="Calibri"/>
                <w:color w:val="auto"/>
                <w:highlight w:val="none"/>
                <w:u w:val="none"/>
                <w:lang w:eastAsia="en-US"/>
              </w:rPr>
              <w:t>~120</w:t>
            </w:r>
          </w:p>
        </w:tc>
        <w:tc>
          <w:tcPr>
            <w:tcW w:w="738" w:type="pct"/>
          </w:tcPr>
          <w:p w14:paraId="62AC4D6B">
            <w:pPr>
              <w:pStyle w:val="92"/>
              <w:rPr>
                <w:rFonts w:ascii="Calibri"/>
                <w:color w:val="auto"/>
                <w:highlight w:val="none"/>
                <w:u w:val="none"/>
                <w:lang w:eastAsia="en-US"/>
              </w:rPr>
            </w:pPr>
            <w:r>
              <w:rPr>
                <w:rFonts w:ascii="Calibri"/>
                <w:color w:val="auto"/>
                <w:highlight w:val="none"/>
                <w:u w:val="none"/>
                <w:lang w:eastAsia="en-US"/>
              </w:rPr>
              <w:t>间断</w:t>
            </w:r>
          </w:p>
        </w:tc>
      </w:tr>
    </w:tbl>
    <w:p w14:paraId="633ED9A7">
      <w:pPr>
        <w:pStyle w:val="4"/>
        <w:rPr>
          <w:color w:val="auto"/>
          <w:highlight w:val="none"/>
          <w:u w:val="none"/>
        </w:rPr>
      </w:pPr>
      <w:bookmarkStart w:id="351" w:name="_Toc148374558"/>
      <w:bookmarkStart w:id="352" w:name="_Toc148375000"/>
      <w:bookmarkStart w:id="353" w:name="_Toc148374803"/>
      <w:bookmarkStart w:id="354" w:name="_Toc25626"/>
      <w:r>
        <w:rPr>
          <w:rFonts w:hint="eastAsia" w:eastAsia="宋体"/>
          <w:color w:val="auto"/>
          <w:highlight w:val="none"/>
          <w:u w:val="none"/>
          <w:lang w:val="en-US"/>
        </w:rPr>
        <w:t>本次技改扩能</w:t>
      </w:r>
      <w:r>
        <w:rPr>
          <w:rFonts w:hint="eastAsia"/>
          <w:color w:val="auto"/>
          <w:highlight w:val="none"/>
          <w:u w:val="none"/>
        </w:rPr>
        <w:t>污染源分类汇总</w:t>
      </w:r>
      <w:bookmarkEnd w:id="351"/>
      <w:bookmarkEnd w:id="352"/>
      <w:bookmarkEnd w:id="353"/>
      <w:bookmarkEnd w:id="354"/>
    </w:p>
    <w:p w14:paraId="7D30C89C">
      <w:pPr>
        <w:pStyle w:val="6"/>
        <w:spacing w:before="156" w:after="156"/>
        <w:rPr>
          <w:color w:val="auto"/>
          <w:highlight w:val="none"/>
          <w:u w:val="none"/>
        </w:rPr>
      </w:pPr>
      <w:bookmarkStart w:id="355" w:name="_Toc148374559"/>
      <w:bookmarkStart w:id="356" w:name="_Toc148375001"/>
      <w:r>
        <w:rPr>
          <w:rFonts w:hint="eastAsia"/>
          <w:color w:val="auto"/>
          <w:highlight w:val="none"/>
          <w:u w:val="none"/>
        </w:rPr>
        <w:t>废气</w:t>
      </w:r>
      <w:bookmarkEnd w:id="355"/>
      <w:bookmarkEnd w:id="356"/>
    </w:p>
    <w:p w14:paraId="538D0CEB">
      <w:pPr>
        <w:pStyle w:val="7"/>
        <w:spacing w:before="156"/>
        <w:rPr>
          <w:color w:val="auto"/>
          <w:highlight w:val="none"/>
          <w:u w:val="none"/>
        </w:rPr>
      </w:pPr>
      <w:r>
        <w:rPr>
          <w:rFonts w:hint="eastAsia"/>
          <w:color w:val="auto"/>
          <w:highlight w:val="none"/>
          <w:u w:val="none"/>
          <w:lang w:val="en-US"/>
        </w:rPr>
        <w:t>废气有组织排放</w:t>
      </w:r>
    </w:p>
    <w:p w14:paraId="65358423">
      <w:pPr>
        <w:rPr>
          <w:rFonts w:hint="eastAsia"/>
          <w:color w:val="auto"/>
          <w:highlight w:val="none"/>
          <w:u w:val="none"/>
          <w:lang w:val="en-US"/>
        </w:rPr>
      </w:pPr>
      <w:r>
        <w:rPr>
          <w:rFonts w:hint="eastAsia"/>
          <w:color w:val="auto"/>
          <w:highlight w:val="none"/>
          <w:u w:val="none"/>
          <w:lang w:val="en-US"/>
        </w:rPr>
        <w:t>本次技改扩能废气依托现有废气处理措施，硝化单元酸性废气、碱性废气，氢化单元的反应驰放气、光化单元的光化尾气依托万华环保科技公司能量回收装置，TDA精制尾气依托现有冷凝+水洗涤+活性炭吸附处理，ODCB储罐废气依托现有两级活性炭吸附处理，焦油颗粒装车站废气依托现有</w:t>
      </w:r>
      <w:r>
        <w:rPr>
          <w:rFonts w:hint="eastAsia"/>
          <w:color w:val="auto"/>
          <w:highlight w:val="none"/>
          <w:u w:val="none"/>
        </w:rPr>
        <w:t>二级粉尘过滤</w:t>
      </w:r>
      <w:r>
        <w:rPr>
          <w:rFonts w:hint="eastAsia"/>
          <w:color w:val="auto"/>
          <w:highlight w:val="none"/>
          <w:u w:val="none"/>
          <w:lang w:val="en-US"/>
        </w:rPr>
        <w:t>措施处理。</w:t>
      </w:r>
    </w:p>
    <w:p w14:paraId="511B1AB7">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次技改扩能后</w:t>
      </w:r>
      <w:r>
        <w:rPr>
          <w:rFonts w:hint="eastAsia"/>
          <w:color w:val="auto"/>
          <w:highlight w:val="none"/>
          <w:u w:val="none"/>
        </w:rPr>
        <w:t>有组织源强依据项目工艺设计资料及物料平衡核算结果，</w:t>
      </w:r>
      <w:r>
        <w:rPr>
          <w:color w:val="auto"/>
          <w:highlight w:val="none"/>
          <w:u w:val="none"/>
        </w:rPr>
        <w:t>详见5.</w:t>
      </w:r>
      <w:r>
        <w:rPr>
          <w:rFonts w:hint="eastAsia"/>
          <w:color w:val="auto"/>
          <w:highlight w:val="none"/>
          <w:u w:val="none"/>
          <w:lang w:val="en-US"/>
        </w:rPr>
        <w:t>3</w:t>
      </w:r>
      <w:r>
        <w:rPr>
          <w:color w:val="auto"/>
          <w:highlight w:val="none"/>
          <w:u w:val="none"/>
        </w:rPr>
        <w:t>及5.</w:t>
      </w:r>
      <w:r>
        <w:rPr>
          <w:rFonts w:hint="eastAsia"/>
          <w:color w:val="auto"/>
          <w:highlight w:val="none"/>
          <w:u w:val="none"/>
          <w:lang w:val="en-US"/>
        </w:rPr>
        <w:t>5</w:t>
      </w:r>
      <w:r>
        <w:rPr>
          <w:rFonts w:hint="eastAsia"/>
          <w:color w:val="auto"/>
          <w:highlight w:val="none"/>
          <w:u w:val="none"/>
        </w:rPr>
        <w:t>小节</w:t>
      </w:r>
      <w:r>
        <w:rPr>
          <w:color w:val="auto"/>
          <w:highlight w:val="none"/>
          <w:u w:val="none"/>
        </w:rPr>
        <w:t>。</w:t>
      </w:r>
    </w:p>
    <w:p w14:paraId="17DCBCD1">
      <w:pPr>
        <w:pStyle w:val="7"/>
        <w:spacing w:before="156"/>
        <w:rPr>
          <w:color w:val="auto"/>
          <w:highlight w:val="none"/>
          <w:u w:val="none"/>
        </w:rPr>
      </w:pPr>
      <w:r>
        <w:rPr>
          <w:rFonts w:hint="eastAsia"/>
          <w:color w:val="auto"/>
          <w:highlight w:val="none"/>
          <w:u w:val="none"/>
        </w:rPr>
        <w:t>废气无组织排放</w:t>
      </w:r>
    </w:p>
    <w:p w14:paraId="0A446BB4">
      <w:pPr>
        <w:rPr>
          <w:rFonts w:hint="eastAsia"/>
          <w:color w:val="auto"/>
          <w:highlight w:val="none"/>
          <w:u w:val="none"/>
        </w:rPr>
      </w:pPr>
      <w:r>
        <w:rPr>
          <w:rFonts w:hint="eastAsia"/>
          <w:color w:val="auto"/>
          <w:highlight w:val="none"/>
          <w:u w:val="none"/>
        </w:rPr>
        <w:t>本项目无组织排放源强主要为装置区少量无组织逃逸废气，</w:t>
      </w:r>
      <w:r>
        <w:rPr>
          <w:color w:val="auto"/>
          <w:highlight w:val="none"/>
          <w:u w:val="none"/>
        </w:rPr>
        <w:t>各车间动静密封点泄漏</w:t>
      </w:r>
      <w:r>
        <w:rPr>
          <w:rFonts w:hint="eastAsia"/>
          <w:color w:val="auto"/>
          <w:highlight w:val="none"/>
          <w:u w:val="none"/>
        </w:rPr>
        <w:t>的废气和项目储罐区呼吸气。</w:t>
      </w:r>
      <w:r>
        <w:rPr>
          <w:color w:val="auto"/>
          <w:highlight w:val="none"/>
          <w:u w:val="none"/>
        </w:rPr>
        <w:t>项目储罐区呼吸气均采用相应处理措</w:t>
      </w:r>
      <w:r>
        <w:rPr>
          <w:rFonts w:hint="eastAsia"/>
          <w:color w:val="auto"/>
          <w:highlight w:val="none"/>
          <w:u w:val="none"/>
        </w:rPr>
        <w:t>施处理，</w:t>
      </w:r>
      <w:r>
        <w:rPr>
          <w:color w:val="auto"/>
          <w:highlight w:val="none"/>
          <w:u w:val="none"/>
        </w:rPr>
        <w:t>本项目废气无组织污染源见</w:t>
      </w:r>
      <w:r>
        <w:rPr>
          <w:color w:val="auto"/>
          <w:highlight w:val="none"/>
          <w:u w:val="none"/>
        </w:rPr>
        <w:fldChar w:fldCharType="begin"/>
      </w:r>
      <w:r>
        <w:rPr>
          <w:color w:val="auto"/>
          <w:highlight w:val="none"/>
          <w:u w:val="none"/>
        </w:rPr>
        <w:instrText xml:space="preserve"> REF _Ref146401770 \h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5.8</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4</w:t>
      </w:r>
      <w:r>
        <w:rPr>
          <w:color w:val="auto"/>
          <w:highlight w:val="none"/>
          <w:u w:val="none"/>
        </w:rPr>
        <w:fldChar w:fldCharType="end"/>
      </w:r>
      <w:r>
        <w:rPr>
          <w:color w:val="auto"/>
          <w:highlight w:val="none"/>
          <w:u w:val="none"/>
        </w:rPr>
        <w:t>。</w:t>
      </w:r>
    </w:p>
    <w:p w14:paraId="7DE4A0B1">
      <w:pPr>
        <w:rPr>
          <w:rFonts w:hint="eastAsia"/>
          <w:color w:val="auto"/>
          <w:highlight w:val="none"/>
          <w:u w:val="none"/>
        </w:rPr>
      </w:pPr>
      <w:r>
        <w:rPr>
          <w:rFonts w:hint="eastAsia"/>
          <w:color w:val="auto"/>
          <w:highlight w:val="none"/>
          <w:u w:val="none"/>
        </w:rPr>
        <w:t>①装置区少量无组织废气</w:t>
      </w:r>
    </w:p>
    <w:p w14:paraId="46F5B15E">
      <w:pPr>
        <w:rPr>
          <w:rFonts w:hint="eastAsia"/>
          <w:color w:val="auto"/>
          <w:highlight w:val="none"/>
          <w:u w:val="none"/>
        </w:rPr>
      </w:pPr>
      <w:r>
        <w:rPr>
          <w:rFonts w:hint="eastAsia"/>
          <w:color w:val="auto"/>
          <w:highlight w:val="none"/>
          <w:u w:val="none"/>
        </w:rPr>
        <w:t>本项目</w:t>
      </w:r>
      <w:r>
        <w:rPr>
          <w:color w:val="auto"/>
          <w:highlight w:val="none"/>
          <w:u w:val="none"/>
        </w:rPr>
        <w:t>装置</w:t>
      </w:r>
      <w:r>
        <w:rPr>
          <w:rFonts w:hint="eastAsia"/>
          <w:color w:val="auto"/>
          <w:highlight w:val="none"/>
          <w:u w:val="none"/>
        </w:rPr>
        <w:t>区挥发性有机物</w:t>
      </w:r>
      <w:r>
        <w:rPr>
          <w:color w:val="auto"/>
          <w:highlight w:val="none"/>
          <w:u w:val="none"/>
        </w:rPr>
        <w:t>的无组织排放主要来自设备、管道、法兰、阀门泄漏和挥发损失。项目装置区</w:t>
      </w:r>
      <w:r>
        <w:rPr>
          <w:rFonts w:hint="eastAsia"/>
          <w:color w:val="auto"/>
          <w:highlight w:val="none"/>
          <w:u w:val="none"/>
        </w:rPr>
        <w:t>挥发性有机物</w:t>
      </w:r>
      <w:r>
        <w:rPr>
          <w:color w:val="auto"/>
          <w:highlight w:val="none"/>
          <w:u w:val="none"/>
        </w:rPr>
        <w:t>的动静密封</w:t>
      </w:r>
      <w:r>
        <w:rPr>
          <w:rFonts w:hint="eastAsia"/>
          <w:color w:val="auto"/>
          <w:highlight w:val="none"/>
          <w:u w:val="none"/>
        </w:rPr>
        <w:t>点</w:t>
      </w:r>
      <w:r>
        <w:rPr>
          <w:color w:val="auto"/>
          <w:highlight w:val="none"/>
          <w:u w:val="none"/>
        </w:rPr>
        <w:t>各污染物泄漏量计算见5.</w:t>
      </w:r>
      <w:r>
        <w:rPr>
          <w:rFonts w:hint="eastAsia"/>
          <w:color w:val="auto"/>
          <w:highlight w:val="none"/>
          <w:u w:val="none"/>
          <w:lang w:val="en-US"/>
        </w:rPr>
        <w:t>6</w:t>
      </w:r>
      <w:r>
        <w:rPr>
          <w:color w:val="auto"/>
          <w:highlight w:val="none"/>
          <w:u w:val="none"/>
        </w:rPr>
        <w:t>.2.1节。</w:t>
      </w:r>
    </w:p>
    <w:p w14:paraId="5AA241C8">
      <w:pPr>
        <w:rPr>
          <w:rFonts w:hint="eastAsia"/>
          <w:color w:val="auto"/>
          <w:highlight w:val="none"/>
          <w:u w:val="none"/>
        </w:rPr>
      </w:pPr>
      <w:r>
        <w:rPr>
          <w:rFonts w:hint="eastAsia"/>
          <w:color w:val="auto"/>
          <w:highlight w:val="none"/>
          <w:u w:val="none"/>
        </w:rPr>
        <w:t>同时类比</w:t>
      </w:r>
      <w:r>
        <w:rPr>
          <w:rFonts w:hint="eastAsia"/>
          <w:color w:val="auto"/>
          <w:highlight w:val="none"/>
          <w:u w:val="none"/>
          <w:lang w:val="en-US"/>
        </w:rPr>
        <w:t>现有工程</w:t>
      </w:r>
      <w:r>
        <w:rPr>
          <w:color w:val="auto"/>
          <w:highlight w:val="none"/>
          <w:u w:val="none"/>
        </w:rPr>
        <w:t>TDI项目，</w:t>
      </w:r>
      <w:r>
        <w:rPr>
          <w:rFonts w:hint="eastAsia"/>
          <w:color w:val="auto"/>
          <w:highlight w:val="none"/>
          <w:u w:val="none"/>
        </w:rPr>
        <w:t>装置区氯气无组织排放量</w:t>
      </w:r>
      <w:r>
        <w:rPr>
          <w:rFonts w:hint="eastAsia"/>
          <w:color w:val="auto"/>
          <w:highlight w:val="none"/>
          <w:u w:val="none"/>
          <w:lang w:val="en-US"/>
        </w:rPr>
        <w:t>约为</w:t>
      </w:r>
      <w:r>
        <w:rPr>
          <w:rFonts w:hint="eastAsia"/>
          <w:color w:val="auto"/>
          <w:highlight w:val="none"/>
          <w:u w:val="none"/>
        </w:rPr>
        <w:t>氯气</w:t>
      </w:r>
      <w:r>
        <w:rPr>
          <w:color w:val="auto"/>
          <w:highlight w:val="none"/>
          <w:u w:val="none"/>
        </w:rPr>
        <w:t>使用量的十万分之一计算，</w:t>
      </w:r>
      <w:r>
        <w:rPr>
          <w:rFonts w:hint="eastAsia"/>
          <w:color w:val="auto"/>
          <w:highlight w:val="none"/>
          <w:u w:val="none"/>
        </w:rPr>
        <w:t>则装置区无组织氯气</w:t>
      </w:r>
      <w:r>
        <w:rPr>
          <w:color w:val="auto"/>
          <w:highlight w:val="none"/>
          <w:u w:val="none"/>
        </w:rPr>
        <w:t>排放量为</w:t>
      </w:r>
      <w:r>
        <w:rPr>
          <w:rFonts w:hint="eastAsia"/>
          <w:color w:val="auto"/>
          <w:highlight w:val="none"/>
          <w:u w:val="none"/>
          <w:lang w:val="en-US"/>
        </w:rPr>
        <w:t>3.17</w:t>
      </w:r>
      <w:r>
        <w:rPr>
          <w:color w:val="auto"/>
          <w:highlight w:val="none"/>
          <w:u w:val="none"/>
        </w:rPr>
        <w:t>t/a，</w:t>
      </w:r>
      <w:r>
        <w:rPr>
          <w:rFonts w:hint="eastAsia"/>
          <w:color w:val="auto"/>
          <w:highlight w:val="none"/>
          <w:u w:val="none"/>
        </w:rPr>
        <w:t>氯化氢无组织排放量考虑光化单元产生的氯化氢产量的十万分之一计算，则装置区氯化氢无组织</w:t>
      </w:r>
      <w:r>
        <w:rPr>
          <w:color w:val="auto"/>
          <w:highlight w:val="none"/>
          <w:u w:val="none"/>
        </w:rPr>
        <w:t>排放量为</w:t>
      </w:r>
      <w:r>
        <w:rPr>
          <w:rFonts w:hint="eastAsia"/>
          <w:color w:val="auto"/>
          <w:highlight w:val="none"/>
          <w:u w:val="none"/>
          <w:lang w:val="en-US"/>
        </w:rPr>
        <w:t>3.25</w:t>
      </w:r>
      <w:r>
        <w:rPr>
          <w:color w:val="auto"/>
          <w:highlight w:val="none"/>
          <w:u w:val="none"/>
        </w:rPr>
        <w:t>t/a。</w:t>
      </w:r>
    </w:p>
    <w:p w14:paraId="1DC27F4F">
      <w:pPr>
        <w:rPr>
          <w:rFonts w:hint="eastAsia"/>
          <w:color w:val="auto"/>
          <w:highlight w:val="none"/>
          <w:u w:val="none"/>
        </w:rPr>
      </w:pPr>
      <w:r>
        <w:rPr>
          <w:rFonts w:hint="eastAsia"/>
          <w:color w:val="auto"/>
          <w:highlight w:val="none"/>
          <w:u w:val="none"/>
        </w:rPr>
        <w:t>②储罐区废气排放</w:t>
      </w:r>
    </w:p>
    <w:p w14:paraId="499AB185">
      <w:pPr>
        <w:rPr>
          <w:rFonts w:hint="eastAsia"/>
          <w:color w:val="auto"/>
          <w:highlight w:val="none"/>
          <w:u w:val="none"/>
        </w:rPr>
      </w:pPr>
      <w:r>
        <w:rPr>
          <w:rFonts w:hint="eastAsia"/>
          <w:color w:val="auto"/>
          <w:highlight w:val="none"/>
          <w:u w:val="none"/>
        </w:rPr>
        <w:t>储罐区废气排放情况详见</w:t>
      </w:r>
      <w:r>
        <w:rPr>
          <w:color w:val="auto"/>
          <w:highlight w:val="none"/>
          <w:u w:val="none"/>
        </w:rPr>
        <w:t>5.4.</w:t>
      </w:r>
      <w:r>
        <w:rPr>
          <w:rFonts w:hint="eastAsia"/>
          <w:color w:val="auto"/>
          <w:highlight w:val="none"/>
          <w:u w:val="none"/>
          <w:lang w:val="en-US"/>
        </w:rPr>
        <w:t>5</w:t>
      </w:r>
      <w:r>
        <w:rPr>
          <w:color w:val="auto"/>
          <w:highlight w:val="none"/>
          <w:u w:val="none"/>
        </w:rPr>
        <w:t>节。</w:t>
      </w:r>
    </w:p>
    <w:p w14:paraId="4E992185">
      <w:pPr>
        <w:pStyle w:val="6"/>
        <w:spacing w:before="156" w:after="156"/>
        <w:rPr>
          <w:color w:val="auto"/>
          <w:highlight w:val="none"/>
          <w:u w:val="none"/>
        </w:rPr>
      </w:pPr>
      <w:bookmarkStart w:id="357" w:name="_Toc148375002"/>
      <w:bookmarkStart w:id="358" w:name="_Toc148374560"/>
      <w:r>
        <w:rPr>
          <w:rFonts w:hint="eastAsia"/>
          <w:color w:val="auto"/>
          <w:highlight w:val="none"/>
          <w:u w:val="none"/>
        </w:rPr>
        <w:t>废水</w:t>
      </w:r>
      <w:bookmarkEnd w:id="357"/>
      <w:bookmarkEnd w:id="358"/>
    </w:p>
    <w:p w14:paraId="63A7BBDD">
      <w:pPr>
        <w:rPr>
          <w:rFonts w:hint="eastAsia"/>
          <w:color w:val="auto"/>
          <w:highlight w:val="none"/>
          <w:u w:val="none"/>
        </w:rPr>
      </w:pPr>
      <w:r>
        <w:rPr>
          <w:rFonts w:hint="eastAsia"/>
          <w:color w:val="auto"/>
          <w:highlight w:val="none"/>
          <w:u w:val="none"/>
          <w:lang w:val="en-US"/>
        </w:rPr>
        <w:t>本次技改扩能后</w:t>
      </w:r>
      <w:r>
        <w:rPr>
          <w:rFonts w:hint="eastAsia"/>
          <w:color w:val="auto"/>
          <w:highlight w:val="none"/>
          <w:u w:val="none"/>
        </w:rPr>
        <w:t>废水主要包括各工艺生产废水、</w:t>
      </w:r>
      <w:r>
        <w:rPr>
          <w:color w:val="auto"/>
          <w:highlight w:val="none"/>
          <w:u w:val="none"/>
        </w:rPr>
        <w:t>地面及设备冲洗水、</w:t>
      </w:r>
      <w:r>
        <w:rPr>
          <w:rFonts w:hint="eastAsia"/>
          <w:color w:val="auto"/>
          <w:highlight w:val="none"/>
          <w:u w:val="none"/>
        </w:rPr>
        <w:t>办公生活污水</w:t>
      </w:r>
      <w:r>
        <w:rPr>
          <w:color w:val="auto"/>
          <w:highlight w:val="none"/>
          <w:u w:val="none"/>
        </w:rPr>
        <w:t>、初期</w:t>
      </w:r>
      <w:r>
        <w:rPr>
          <w:rFonts w:hint="eastAsia"/>
          <w:color w:val="auto"/>
          <w:highlight w:val="none"/>
          <w:u w:val="none"/>
        </w:rPr>
        <w:t>雨水等。</w:t>
      </w:r>
    </w:p>
    <w:p w14:paraId="34DEF13E">
      <w:pPr>
        <w:rPr>
          <w:rFonts w:hint="eastAsia"/>
          <w:color w:val="auto"/>
          <w:highlight w:val="none"/>
          <w:u w:val="none"/>
        </w:rPr>
      </w:pPr>
      <w:r>
        <w:rPr>
          <w:rFonts w:hint="eastAsia"/>
          <w:color w:val="auto"/>
          <w:highlight w:val="none"/>
          <w:u w:val="none"/>
        </w:rPr>
        <w:t>废水产生及排放情况汇总详见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_Ref146458413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5.8</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5</w:t>
      </w:r>
      <w:r>
        <w:rPr>
          <w:color w:val="auto"/>
          <w:highlight w:val="none"/>
          <w:u w:val="none"/>
        </w:rPr>
        <w:fldChar w:fldCharType="end"/>
      </w:r>
      <w:r>
        <w:rPr>
          <w:color w:val="auto"/>
          <w:highlight w:val="none"/>
          <w:u w:val="none"/>
        </w:rPr>
        <w:t>。</w:t>
      </w:r>
    </w:p>
    <w:p w14:paraId="67D996D6">
      <w:pPr>
        <w:rPr>
          <w:rFonts w:hint="eastAsia"/>
          <w:color w:val="auto"/>
          <w:highlight w:val="none"/>
          <w:u w:val="none"/>
        </w:rPr>
      </w:pPr>
    </w:p>
    <w:p w14:paraId="217C7C3E">
      <w:pPr>
        <w:rPr>
          <w:rFonts w:hint="eastAsia"/>
          <w:color w:val="auto"/>
          <w:highlight w:val="none"/>
          <w:u w:val="none"/>
        </w:rPr>
      </w:pPr>
    </w:p>
    <w:p w14:paraId="3FB70A99">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6C1E72A3">
      <w:pPr>
        <w:pStyle w:val="85"/>
        <w:rPr>
          <w:color w:val="auto"/>
          <w:highlight w:val="none"/>
          <w:u w:val="none"/>
        </w:rPr>
      </w:pPr>
      <w:bookmarkStart w:id="359" w:name="_Ref24425"/>
      <w:bookmarkStart w:id="360" w:name="_Ref149229735"/>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359"/>
      <w:r>
        <w:rPr>
          <w:color w:val="auto"/>
          <w:highlight w:val="none"/>
          <w:u w:val="none"/>
        </w:rPr>
        <w:t xml:space="preserve">  </w:t>
      </w:r>
      <w:r>
        <w:rPr>
          <w:rFonts w:hint="eastAsia"/>
          <w:color w:val="auto"/>
          <w:highlight w:val="none"/>
          <w:u w:val="none"/>
        </w:rPr>
        <w:t>本项目新增废气有组织污染源产生及排放情况汇总表</w:t>
      </w:r>
    </w:p>
    <w:tbl>
      <w:tblPr>
        <w:tblStyle w:val="58"/>
        <w:tblW w:w="493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328"/>
        <w:gridCol w:w="458"/>
        <w:gridCol w:w="887"/>
        <w:gridCol w:w="879"/>
        <w:gridCol w:w="1523"/>
        <w:gridCol w:w="520"/>
        <w:gridCol w:w="785"/>
        <w:gridCol w:w="669"/>
        <w:gridCol w:w="965"/>
        <w:gridCol w:w="1164"/>
        <w:gridCol w:w="893"/>
        <w:gridCol w:w="615"/>
        <w:gridCol w:w="705"/>
        <w:gridCol w:w="570"/>
        <w:gridCol w:w="611"/>
        <w:gridCol w:w="611"/>
        <w:gridCol w:w="675"/>
        <w:gridCol w:w="951"/>
      </w:tblGrid>
      <w:tr w14:paraId="16CA9B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119" w:type="pct"/>
            <w:vMerge w:val="restart"/>
            <w:vAlign w:val="center"/>
          </w:tcPr>
          <w:p w14:paraId="6720B5FF">
            <w:pPr>
              <w:pStyle w:val="92"/>
              <w:rPr>
                <w:color w:val="auto"/>
                <w:sz w:val="18"/>
                <w:szCs w:val="18"/>
                <w:highlight w:val="none"/>
                <w:u w:val="none"/>
              </w:rPr>
            </w:pPr>
            <w:r>
              <w:rPr>
                <w:color w:val="auto"/>
                <w:sz w:val="18"/>
                <w:szCs w:val="18"/>
                <w:highlight w:val="none"/>
                <w:u w:val="none"/>
              </w:rPr>
              <w:t>生产</w:t>
            </w:r>
          </w:p>
          <w:p w14:paraId="6CF2EF4B">
            <w:pPr>
              <w:pStyle w:val="92"/>
              <w:rPr>
                <w:color w:val="auto"/>
                <w:sz w:val="18"/>
                <w:szCs w:val="18"/>
                <w:highlight w:val="none"/>
                <w:u w:val="none"/>
              </w:rPr>
            </w:pPr>
            <w:r>
              <w:rPr>
                <w:color w:val="auto"/>
                <w:sz w:val="18"/>
                <w:szCs w:val="18"/>
                <w:highlight w:val="none"/>
                <w:u w:val="none"/>
              </w:rPr>
              <w:t>单元</w:t>
            </w:r>
          </w:p>
        </w:tc>
        <w:tc>
          <w:tcPr>
            <w:tcW w:w="166" w:type="pct"/>
            <w:vMerge w:val="restart"/>
            <w:vAlign w:val="center"/>
          </w:tcPr>
          <w:p w14:paraId="3ED31385">
            <w:pPr>
              <w:pStyle w:val="92"/>
              <w:rPr>
                <w:color w:val="auto"/>
                <w:sz w:val="18"/>
                <w:szCs w:val="18"/>
                <w:highlight w:val="none"/>
                <w:u w:val="none"/>
              </w:rPr>
            </w:pPr>
            <w:r>
              <w:rPr>
                <w:color w:val="auto"/>
                <w:sz w:val="18"/>
                <w:szCs w:val="18"/>
                <w:highlight w:val="none"/>
                <w:u w:val="none"/>
              </w:rPr>
              <w:t>编号</w:t>
            </w:r>
          </w:p>
        </w:tc>
        <w:tc>
          <w:tcPr>
            <w:tcW w:w="321" w:type="pct"/>
            <w:vMerge w:val="restart"/>
            <w:vAlign w:val="center"/>
          </w:tcPr>
          <w:p w14:paraId="42A0B826">
            <w:pPr>
              <w:pStyle w:val="92"/>
              <w:rPr>
                <w:color w:val="auto"/>
                <w:sz w:val="18"/>
                <w:szCs w:val="18"/>
                <w:highlight w:val="none"/>
                <w:u w:val="none"/>
              </w:rPr>
            </w:pPr>
            <w:r>
              <w:rPr>
                <w:color w:val="auto"/>
                <w:sz w:val="18"/>
                <w:szCs w:val="18"/>
                <w:highlight w:val="none"/>
                <w:u w:val="none"/>
              </w:rPr>
              <w:t>污染源</w:t>
            </w:r>
          </w:p>
        </w:tc>
        <w:tc>
          <w:tcPr>
            <w:tcW w:w="318" w:type="pct"/>
            <w:vMerge w:val="restart"/>
            <w:vAlign w:val="center"/>
          </w:tcPr>
          <w:p w14:paraId="2AC553B0">
            <w:pPr>
              <w:pStyle w:val="92"/>
              <w:rPr>
                <w:color w:val="auto"/>
                <w:sz w:val="18"/>
                <w:szCs w:val="18"/>
                <w:highlight w:val="none"/>
                <w:u w:val="none"/>
              </w:rPr>
            </w:pPr>
            <w:r>
              <w:rPr>
                <w:rFonts w:hint="eastAsia"/>
                <w:color w:val="auto"/>
                <w:sz w:val="18"/>
                <w:szCs w:val="18"/>
                <w:highlight w:val="none"/>
                <w:u w:val="none"/>
              </w:rPr>
              <w:t>新增</w:t>
            </w:r>
            <w:r>
              <w:rPr>
                <w:color w:val="auto"/>
                <w:sz w:val="18"/>
                <w:szCs w:val="18"/>
                <w:highlight w:val="none"/>
                <w:u w:val="none"/>
              </w:rPr>
              <w:t>废气量</w:t>
            </w:r>
          </w:p>
          <w:p w14:paraId="6F283E28">
            <w:pPr>
              <w:pStyle w:val="92"/>
              <w:rPr>
                <w:color w:val="auto"/>
                <w:sz w:val="18"/>
                <w:szCs w:val="18"/>
                <w:highlight w:val="none"/>
                <w:u w:val="none"/>
              </w:rPr>
            </w:pPr>
            <w:r>
              <w:rPr>
                <w:color w:val="auto"/>
                <w:sz w:val="18"/>
                <w:szCs w:val="18"/>
                <w:highlight w:val="none"/>
                <w:u w:val="none"/>
              </w:rPr>
              <w:t>(m</w:t>
            </w:r>
            <w:r>
              <w:rPr>
                <w:color w:val="auto"/>
                <w:sz w:val="18"/>
                <w:szCs w:val="18"/>
                <w:highlight w:val="none"/>
                <w:u w:val="none"/>
                <w:vertAlign w:val="superscript"/>
              </w:rPr>
              <w:t>3</w:t>
            </w:r>
            <w:r>
              <w:rPr>
                <w:color w:val="auto"/>
                <w:sz w:val="18"/>
                <w:szCs w:val="18"/>
                <w:highlight w:val="none"/>
                <w:u w:val="none"/>
              </w:rPr>
              <w:t>/h)</w:t>
            </w:r>
          </w:p>
        </w:tc>
        <w:tc>
          <w:tcPr>
            <w:tcW w:w="1614" w:type="pct"/>
            <w:gridSpan w:val="5"/>
            <w:vAlign w:val="center"/>
          </w:tcPr>
          <w:p w14:paraId="75E57FB6">
            <w:pPr>
              <w:pStyle w:val="92"/>
              <w:rPr>
                <w:color w:val="auto"/>
                <w:sz w:val="18"/>
                <w:szCs w:val="18"/>
                <w:highlight w:val="none"/>
                <w:u w:val="none"/>
              </w:rPr>
            </w:pPr>
            <w:r>
              <w:rPr>
                <w:color w:val="auto"/>
                <w:sz w:val="18"/>
                <w:szCs w:val="18"/>
                <w:highlight w:val="none"/>
                <w:u w:val="none"/>
              </w:rPr>
              <w:t>污染物产生</w:t>
            </w:r>
          </w:p>
        </w:tc>
        <w:tc>
          <w:tcPr>
            <w:tcW w:w="421" w:type="pct"/>
            <w:vAlign w:val="center"/>
          </w:tcPr>
          <w:p w14:paraId="00615AA3">
            <w:pPr>
              <w:pStyle w:val="92"/>
              <w:rPr>
                <w:color w:val="auto"/>
                <w:sz w:val="18"/>
                <w:szCs w:val="18"/>
                <w:highlight w:val="none"/>
                <w:u w:val="none"/>
              </w:rPr>
            </w:pPr>
            <w:r>
              <w:rPr>
                <w:color w:val="auto"/>
                <w:sz w:val="18"/>
                <w:szCs w:val="18"/>
                <w:highlight w:val="none"/>
                <w:u w:val="none"/>
              </w:rPr>
              <w:t>尾气处理</w:t>
            </w:r>
          </w:p>
        </w:tc>
        <w:tc>
          <w:tcPr>
            <w:tcW w:w="800" w:type="pct"/>
            <w:gridSpan w:val="3"/>
            <w:vAlign w:val="center"/>
          </w:tcPr>
          <w:p w14:paraId="31DED9E3">
            <w:pPr>
              <w:pStyle w:val="92"/>
              <w:rPr>
                <w:color w:val="auto"/>
                <w:sz w:val="18"/>
                <w:szCs w:val="18"/>
                <w:highlight w:val="none"/>
                <w:u w:val="none"/>
              </w:rPr>
            </w:pPr>
            <w:r>
              <w:rPr>
                <w:color w:val="auto"/>
                <w:sz w:val="18"/>
                <w:szCs w:val="18"/>
                <w:highlight w:val="none"/>
                <w:u w:val="none"/>
              </w:rPr>
              <w:t>污染物排放</w:t>
            </w:r>
          </w:p>
        </w:tc>
        <w:tc>
          <w:tcPr>
            <w:tcW w:w="892" w:type="pct"/>
            <w:gridSpan w:val="4"/>
            <w:vAlign w:val="center"/>
          </w:tcPr>
          <w:p w14:paraId="4D59958F">
            <w:pPr>
              <w:pStyle w:val="92"/>
              <w:rPr>
                <w:color w:val="auto"/>
                <w:sz w:val="18"/>
                <w:szCs w:val="18"/>
                <w:highlight w:val="none"/>
                <w:u w:val="none"/>
              </w:rPr>
            </w:pPr>
            <w:r>
              <w:rPr>
                <w:color w:val="auto"/>
                <w:sz w:val="18"/>
                <w:szCs w:val="18"/>
                <w:highlight w:val="none"/>
                <w:u w:val="none"/>
              </w:rPr>
              <w:t>排气筒</w:t>
            </w:r>
            <w:r>
              <w:rPr>
                <w:rFonts w:hint="eastAsia"/>
                <w:color w:val="auto"/>
                <w:sz w:val="18"/>
                <w:szCs w:val="18"/>
                <w:highlight w:val="none"/>
                <w:u w:val="none"/>
              </w:rPr>
              <w:t>/烟囱</w:t>
            </w:r>
          </w:p>
        </w:tc>
        <w:tc>
          <w:tcPr>
            <w:tcW w:w="344" w:type="pct"/>
            <w:vMerge w:val="restart"/>
            <w:vAlign w:val="center"/>
          </w:tcPr>
          <w:p w14:paraId="00CB6ABE">
            <w:pPr>
              <w:pStyle w:val="92"/>
              <w:rPr>
                <w:color w:val="auto"/>
                <w:sz w:val="18"/>
                <w:szCs w:val="18"/>
                <w:highlight w:val="none"/>
                <w:u w:val="none"/>
              </w:rPr>
            </w:pPr>
            <w:r>
              <w:rPr>
                <w:color w:val="auto"/>
                <w:sz w:val="18"/>
                <w:szCs w:val="18"/>
                <w:highlight w:val="none"/>
                <w:u w:val="none"/>
              </w:rPr>
              <w:t>排放去向</w:t>
            </w:r>
          </w:p>
        </w:tc>
      </w:tr>
      <w:tr w14:paraId="122A31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119" w:type="pct"/>
            <w:vMerge w:val="continue"/>
            <w:vAlign w:val="center"/>
          </w:tcPr>
          <w:p w14:paraId="75C3B6A1">
            <w:pPr>
              <w:pStyle w:val="92"/>
              <w:rPr>
                <w:color w:val="auto"/>
                <w:sz w:val="18"/>
                <w:szCs w:val="18"/>
                <w:highlight w:val="none"/>
                <w:u w:val="none"/>
              </w:rPr>
            </w:pPr>
          </w:p>
        </w:tc>
        <w:tc>
          <w:tcPr>
            <w:tcW w:w="166" w:type="pct"/>
            <w:vMerge w:val="continue"/>
            <w:vAlign w:val="center"/>
          </w:tcPr>
          <w:p w14:paraId="70424851">
            <w:pPr>
              <w:pStyle w:val="92"/>
              <w:rPr>
                <w:color w:val="auto"/>
                <w:sz w:val="18"/>
                <w:szCs w:val="18"/>
                <w:highlight w:val="none"/>
                <w:u w:val="none"/>
              </w:rPr>
            </w:pPr>
          </w:p>
        </w:tc>
        <w:tc>
          <w:tcPr>
            <w:tcW w:w="321" w:type="pct"/>
            <w:vMerge w:val="continue"/>
            <w:vAlign w:val="center"/>
          </w:tcPr>
          <w:p w14:paraId="39DD3D64">
            <w:pPr>
              <w:pStyle w:val="92"/>
              <w:rPr>
                <w:color w:val="auto"/>
                <w:sz w:val="18"/>
                <w:szCs w:val="18"/>
                <w:highlight w:val="none"/>
                <w:u w:val="none"/>
              </w:rPr>
            </w:pPr>
          </w:p>
        </w:tc>
        <w:tc>
          <w:tcPr>
            <w:tcW w:w="318" w:type="pct"/>
            <w:vMerge w:val="continue"/>
            <w:vAlign w:val="center"/>
          </w:tcPr>
          <w:p w14:paraId="778909CE">
            <w:pPr>
              <w:pStyle w:val="92"/>
              <w:rPr>
                <w:color w:val="auto"/>
                <w:sz w:val="18"/>
                <w:szCs w:val="18"/>
                <w:highlight w:val="none"/>
                <w:u w:val="none"/>
              </w:rPr>
            </w:pPr>
          </w:p>
        </w:tc>
        <w:tc>
          <w:tcPr>
            <w:tcW w:w="551" w:type="pct"/>
            <w:vAlign w:val="center"/>
          </w:tcPr>
          <w:p w14:paraId="5F4A13ED">
            <w:pPr>
              <w:pStyle w:val="92"/>
              <w:rPr>
                <w:color w:val="auto"/>
                <w:sz w:val="18"/>
                <w:szCs w:val="18"/>
                <w:highlight w:val="none"/>
                <w:u w:val="none"/>
              </w:rPr>
            </w:pPr>
            <w:r>
              <w:rPr>
                <w:color w:val="auto"/>
                <w:sz w:val="18"/>
                <w:szCs w:val="18"/>
                <w:highlight w:val="none"/>
                <w:u w:val="none"/>
              </w:rPr>
              <w:t>污染物</w:t>
            </w:r>
          </w:p>
        </w:tc>
        <w:tc>
          <w:tcPr>
            <w:tcW w:w="188" w:type="pct"/>
            <w:vAlign w:val="center"/>
          </w:tcPr>
          <w:p w14:paraId="37EB611C">
            <w:pPr>
              <w:pStyle w:val="92"/>
              <w:rPr>
                <w:color w:val="auto"/>
                <w:sz w:val="18"/>
                <w:szCs w:val="18"/>
                <w:highlight w:val="none"/>
                <w:u w:val="none"/>
              </w:rPr>
            </w:pPr>
            <w:r>
              <w:rPr>
                <w:color w:val="auto"/>
                <w:sz w:val="18"/>
                <w:szCs w:val="18"/>
                <w:highlight w:val="none"/>
                <w:u w:val="none"/>
              </w:rPr>
              <w:t>核算</w:t>
            </w:r>
          </w:p>
          <w:p w14:paraId="5BF94C3B">
            <w:pPr>
              <w:pStyle w:val="92"/>
              <w:rPr>
                <w:color w:val="auto"/>
                <w:sz w:val="18"/>
                <w:szCs w:val="18"/>
                <w:highlight w:val="none"/>
                <w:u w:val="none"/>
              </w:rPr>
            </w:pPr>
            <w:r>
              <w:rPr>
                <w:color w:val="auto"/>
                <w:sz w:val="18"/>
                <w:szCs w:val="18"/>
                <w:highlight w:val="none"/>
                <w:u w:val="none"/>
              </w:rPr>
              <w:t>方法</w:t>
            </w:r>
          </w:p>
        </w:tc>
        <w:tc>
          <w:tcPr>
            <w:tcW w:w="284" w:type="pct"/>
            <w:vAlign w:val="center"/>
          </w:tcPr>
          <w:p w14:paraId="05EE6434">
            <w:pPr>
              <w:pStyle w:val="92"/>
              <w:rPr>
                <w:color w:val="auto"/>
                <w:sz w:val="18"/>
                <w:szCs w:val="18"/>
                <w:highlight w:val="none"/>
                <w:u w:val="none"/>
              </w:rPr>
            </w:pPr>
            <w:r>
              <w:rPr>
                <w:color w:val="auto"/>
                <w:sz w:val="18"/>
                <w:szCs w:val="18"/>
                <w:highlight w:val="none"/>
                <w:u w:val="none"/>
              </w:rPr>
              <w:t>产生</w:t>
            </w:r>
          </w:p>
          <w:p w14:paraId="2586E088">
            <w:pPr>
              <w:pStyle w:val="92"/>
              <w:rPr>
                <w:color w:val="auto"/>
                <w:sz w:val="18"/>
                <w:szCs w:val="18"/>
                <w:highlight w:val="none"/>
                <w:u w:val="none"/>
              </w:rPr>
            </w:pPr>
            <w:r>
              <w:rPr>
                <w:color w:val="auto"/>
                <w:sz w:val="18"/>
                <w:szCs w:val="18"/>
                <w:highlight w:val="none"/>
                <w:u w:val="none"/>
              </w:rPr>
              <w:t>浓度</w:t>
            </w:r>
          </w:p>
          <w:p w14:paraId="42607961">
            <w:pPr>
              <w:pStyle w:val="92"/>
              <w:rPr>
                <w:color w:val="auto"/>
                <w:sz w:val="18"/>
                <w:szCs w:val="18"/>
                <w:highlight w:val="none"/>
                <w:u w:val="none"/>
              </w:rPr>
            </w:pPr>
            <w:r>
              <w:rPr>
                <w:color w:val="auto"/>
                <w:sz w:val="18"/>
                <w:szCs w:val="18"/>
                <w:highlight w:val="none"/>
                <w:u w:val="none"/>
              </w:rPr>
              <w:t>(mg/m</w:t>
            </w:r>
            <w:r>
              <w:rPr>
                <w:color w:val="auto"/>
                <w:sz w:val="18"/>
                <w:szCs w:val="18"/>
                <w:highlight w:val="none"/>
                <w:u w:val="none"/>
                <w:vertAlign w:val="superscript"/>
              </w:rPr>
              <w:t>3</w:t>
            </w:r>
            <w:r>
              <w:rPr>
                <w:color w:val="auto"/>
                <w:sz w:val="18"/>
                <w:szCs w:val="18"/>
                <w:highlight w:val="none"/>
                <w:u w:val="none"/>
              </w:rPr>
              <w:t>)</w:t>
            </w:r>
          </w:p>
        </w:tc>
        <w:tc>
          <w:tcPr>
            <w:tcW w:w="242" w:type="pct"/>
            <w:vAlign w:val="center"/>
          </w:tcPr>
          <w:p w14:paraId="0A1D4C04">
            <w:pPr>
              <w:pStyle w:val="92"/>
              <w:rPr>
                <w:color w:val="auto"/>
                <w:sz w:val="18"/>
                <w:szCs w:val="18"/>
                <w:highlight w:val="none"/>
                <w:u w:val="none"/>
              </w:rPr>
            </w:pPr>
            <w:r>
              <w:rPr>
                <w:color w:val="auto"/>
                <w:sz w:val="18"/>
                <w:szCs w:val="18"/>
                <w:highlight w:val="none"/>
                <w:u w:val="none"/>
              </w:rPr>
              <w:t>产生速率(kg/h)</w:t>
            </w:r>
          </w:p>
        </w:tc>
        <w:tc>
          <w:tcPr>
            <w:tcW w:w="348" w:type="pct"/>
            <w:vAlign w:val="center"/>
          </w:tcPr>
          <w:p w14:paraId="20F9FDC3">
            <w:pPr>
              <w:pStyle w:val="92"/>
              <w:rPr>
                <w:color w:val="auto"/>
                <w:sz w:val="18"/>
                <w:szCs w:val="18"/>
                <w:highlight w:val="none"/>
                <w:u w:val="none"/>
              </w:rPr>
            </w:pPr>
            <w:r>
              <w:rPr>
                <w:color w:val="auto"/>
                <w:sz w:val="18"/>
                <w:szCs w:val="18"/>
                <w:highlight w:val="none"/>
                <w:u w:val="none"/>
              </w:rPr>
              <w:t>产生量</w:t>
            </w:r>
          </w:p>
          <w:p w14:paraId="3188E02E">
            <w:pPr>
              <w:pStyle w:val="92"/>
              <w:rPr>
                <w:color w:val="auto"/>
                <w:sz w:val="18"/>
                <w:szCs w:val="18"/>
                <w:highlight w:val="none"/>
                <w:u w:val="none"/>
              </w:rPr>
            </w:pPr>
            <w:r>
              <w:rPr>
                <w:color w:val="auto"/>
                <w:sz w:val="18"/>
                <w:szCs w:val="18"/>
                <w:highlight w:val="none"/>
                <w:u w:val="none"/>
              </w:rPr>
              <w:t>(t/a)</w:t>
            </w:r>
          </w:p>
        </w:tc>
        <w:tc>
          <w:tcPr>
            <w:tcW w:w="421" w:type="pct"/>
            <w:vAlign w:val="center"/>
          </w:tcPr>
          <w:p w14:paraId="6B0D2358">
            <w:pPr>
              <w:pStyle w:val="92"/>
              <w:rPr>
                <w:color w:val="auto"/>
                <w:sz w:val="18"/>
                <w:szCs w:val="18"/>
                <w:highlight w:val="none"/>
                <w:u w:val="none"/>
              </w:rPr>
            </w:pPr>
            <w:r>
              <w:rPr>
                <w:color w:val="auto"/>
                <w:sz w:val="18"/>
                <w:szCs w:val="18"/>
                <w:highlight w:val="none"/>
                <w:u w:val="none"/>
              </w:rPr>
              <w:t>处理措施</w:t>
            </w:r>
          </w:p>
        </w:tc>
        <w:tc>
          <w:tcPr>
            <w:tcW w:w="323" w:type="pct"/>
            <w:vAlign w:val="center"/>
          </w:tcPr>
          <w:p w14:paraId="7211D09D">
            <w:pPr>
              <w:pStyle w:val="92"/>
              <w:rPr>
                <w:color w:val="auto"/>
                <w:sz w:val="18"/>
                <w:szCs w:val="18"/>
                <w:highlight w:val="none"/>
                <w:u w:val="none"/>
              </w:rPr>
            </w:pPr>
            <w:r>
              <w:rPr>
                <w:color w:val="auto"/>
                <w:sz w:val="18"/>
                <w:szCs w:val="18"/>
                <w:highlight w:val="none"/>
                <w:u w:val="none"/>
              </w:rPr>
              <w:t>排放</w:t>
            </w:r>
          </w:p>
          <w:p w14:paraId="307D1BBC">
            <w:pPr>
              <w:pStyle w:val="92"/>
              <w:rPr>
                <w:color w:val="auto"/>
                <w:sz w:val="18"/>
                <w:szCs w:val="18"/>
                <w:highlight w:val="none"/>
                <w:u w:val="none"/>
              </w:rPr>
            </w:pPr>
            <w:r>
              <w:rPr>
                <w:color w:val="auto"/>
                <w:sz w:val="18"/>
                <w:szCs w:val="18"/>
                <w:highlight w:val="none"/>
                <w:u w:val="none"/>
              </w:rPr>
              <w:t>浓度</w:t>
            </w:r>
          </w:p>
          <w:p w14:paraId="4A9DC926">
            <w:pPr>
              <w:pStyle w:val="92"/>
              <w:rPr>
                <w:color w:val="auto"/>
                <w:sz w:val="18"/>
                <w:szCs w:val="18"/>
                <w:highlight w:val="none"/>
                <w:u w:val="none"/>
              </w:rPr>
            </w:pPr>
            <w:r>
              <w:rPr>
                <w:color w:val="auto"/>
                <w:sz w:val="18"/>
                <w:szCs w:val="18"/>
                <w:highlight w:val="none"/>
                <w:u w:val="none"/>
              </w:rPr>
              <w:t>(mg/m</w:t>
            </w:r>
            <w:r>
              <w:rPr>
                <w:color w:val="auto"/>
                <w:sz w:val="18"/>
                <w:szCs w:val="18"/>
                <w:highlight w:val="none"/>
                <w:u w:val="none"/>
                <w:vertAlign w:val="superscript"/>
              </w:rPr>
              <w:t>3</w:t>
            </w:r>
            <w:r>
              <w:rPr>
                <w:color w:val="auto"/>
                <w:sz w:val="18"/>
                <w:szCs w:val="18"/>
                <w:highlight w:val="none"/>
                <w:u w:val="none"/>
              </w:rPr>
              <w:t>)</w:t>
            </w:r>
          </w:p>
        </w:tc>
        <w:tc>
          <w:tcPr>
            <w:tcW w:w="222" w:type="pct"/>
            <w:vAlign w:val="center"/>
          </w:tcPr>
          <w:p w14:paraId="223A8615">
            <w:pPr>
              <w:pStyle w:val="92"/>
              <w:rPr>
                <w:color w:val="auto"/>
                <w:sz w:val="18"/>
                <w:szCs w:val="18"/>
                <w:highlight w:val="none"/>
                <w:u w:val="none"/>
              </w:rPr>
            </w:pPr>
            <w:r>
              <w:rPr>
                <w:color w:val="auto"/>
                <w:sz w:val="18"/>
                <w:szCs w:val="18"/>
                <w:highlight w:val="none"/>
                <w:u w:val="none"/>
              </w:rPr>
              <w:t>排放</w:t>
            </w:r>
          </w:p>
          <w:p w14:paraId="3A368DD9">
            <w:pPr>
              <w:pStyle w:val="92"/>
              <w:rPr>
                <w:color w:val="auto"/>
                <w:sz w:val="18"/>
                <w:szCs w:val="18"/>
                <w:highlight w:val="none"/>
                <w:u w:val="none"/>
              </w:rPr>
            </w:pPr>
            <w:r>
              <w:rPr>
                <w:color w:val="auto"/>
                <w:sz w:val="18"/>
                <w:szCs w:val="18"/>
                <w:highlight w:val="none"/>
                <w:u w:val="none"/>
              </w:rPr>
              <w:t>速率</w:t>
            </w:r>
          </w:p>
          <w:p w14:paraId="59EC9CD7">
            <w:pPr>
              <w:pStyle w:val="92"/>
              <w:rPr>
                <w:color w:val="auto"/>
                <w:sz w:val="18"/>
                <w:szCs w:val="18"/>
                <w:highlight w:val="none"/>
                <w:u w:val="none"/>
              </w:rPr>
            </w:pPr>
            <w:r>
              <w:rPr>
                <w:color w:val="auto"/>
                <w:sz w:val="18"/>
                <w:szCs w:val="18"/>
                <w:highlight w:val="none"/>
                <w:u w:val="none"/>
              </w:rPr>
              <w:t>(kg/h)</w:t>
            </w:r>
          </w:p>
        </w:tc>
        <w:tc>
          <w:tcPr>
            <w:tcW w:w="254" w:type="pct"/>
            <w:vAlign w:val="center"/>
          </w:tcPr>
          <w:p w14:paraId="6549CA3B">
            <w:pPr>
              <w:pStyle w:val="92"/>
              <w:rPr>
                <w:color w:val="auto"/>
                <w:sz w:val="18"/>
                <w:szCs w:val="18"/>
                <w:highlight w:val="none"/>
                <w:u w:val="none"/>
              </w:rPr>
            </w:pPr>
            <w:r>
              <w:rPr>
                <w:color w:val="auto"/>
                <w:sz w:val="18"/>
                <w:szCs w:val="18"/>
                <w:highlight w:val="none"/>
                <w:u w:val="none"/>
              </w:rPr>
              <w:t>排放量</w:t>
            </w:r>
          </w:p>
          <w:p w14:paraId="5AE02960">
            <w:pPr>
              <w:pStyle w:val="92"/>
              <w:rPr>
                <w:color w:val="auto"/>
                <w:sz w:val="18"/>
                <w:szCs w:val="18"/>
                <w:highlight w:val="none"/>
                <w:u w:val="none"/>
              </w:rPr>
            </w:pPr>
            <w:r>
              <w:rPr>
                <w:color w:val="auto"/>
                <w:sz w:val="18"/>
                <w:szCs w:val="18"/>
                <w:highlight w:val="none"/>
                <w:u w:val="none"/>
              </w:rPr>
              <w:t>(t/a)</w:t>
            </w:r>
          </w:p>
        </w:tc>
        <w:tc>
          <w:tcPr>
            <w:tcW w:w="206" w:type="pct"/>
            <w:vAlign w:val="center"/>
          </w:tcPr>
          <w:p w14:paraId="64A02FF3">
            <w:pPr>
              <w:pStyle w:val="92"/>
              <w:rPr>
                <w:color w:val="auto"/>
                <w:sz w:val="18"/>
                <w:szCs w:val="18"/>
                <w:highlight w:val="none"/>
                <w:u w:val="none"/>
              </w:rPr>
            </w:pPr>
            <w:r>
              <w:rPr>
                <w:color w:val="auto"/>
                <w:sz w:val="18"/>
                <w:szCs w:val="18"/>
                <w:highlight w:val="none"/>
                <w:u w:val="none"/>
              </w:rPr>
              <w:t>编号</w:t>
            </w:r>
          </w:p>
        </w:tc>
        <w:tc>
          <w:tcPr>
            <w:tcW w:w="221" w:type="pct"/>
            <w:vAlign w:val="center"/>
          </w:tcPr>
          <w:p w14:paraId="705C6294">
            <w:pPr>
              <w:pStyle w:val="92"/>
              <w:rPr>
                <w:color w:val="auto"/>
                <w:sz w:val="18"/>
                <w:szCs w:val="18"/>
                <w:highlight w:val="none"/>
                <w:u w:val="none"/>
              </w:rPr>
            </w:pPr>
            <w:r>
              <w:rPr>
                <w:color w:val="auto"/>
                <w:sz w:val="18"/>
                <w:szCs w:val="18"/>
                <w:highlight w:val="none"/>
                <w:u w:val="none"/>
              </w:rPr>
              <w:t>H</w:t>
            </w:r>
          </w:p>
          <w:p w14:paraId="233EB7C9">
            <w:pPr>
              <w:pStyle w:val="92"/>
              <w:rPr>
                <w:color w:val="auto"/>
                <w:sz w:val="18"/>
                <w:szCs w:val="18"/>
                <w:highlight w:val="none"/>
                <w:u w:val="none"/>
              </w:rPr>
            </w:pPr>
            <w:r>
              <w:rPr>
                <w:color w:val="auto"/>
                <w:sz w:val="18"/>
                <w:szCs w:val="18"/>
                <w:highlight w:val="none"/>
                <w:u w:val="none"/>
              </w:rPr>
              <w:t>（m）</w:t>
            </w:r>
          </w:p>
        </w:tc>
        <w:tc>
          <w:tcPr>
            <w:tcW w:w="221" w:type="pct"/>
            <w:vAlign w:val="center"/>
          </w:tcPr>
          <w:p w14:paraId="381D62C7">
            <w:pPr>
              <w:pStyle w:val="92"/>
              <w:rPr>
                <w:color w:val="auto"/>
                <w:sz w:val="18"/>
                <w:szCs w:val="18"/>
                <w:highlight w:val="none"/>
                <w:u w:val="none"/>
              </w:rPr>
            </w:pPr>
            <w:r>
              <w:rPr>
                <w:color w:val="auto"/>
                <w:sz w:val="18"/>
                <w:szCs w:val="18"/>
                <w:highlight w:val="none"/>
                <w:u w:val="none"/>
              </w:rPr>
              <w:t>D</w:t>
            </w:r>
          </w:p>
          <w:p w14:paraId="5A632E14">
            <w:pPr>
              <w:pStyle w:val="92"/>
              <w:rPr>
                <w:color w:val="auto"/>
                <w:sz w:val="18"/>
                <w:szCs w:val="18"/>
                <w:highlight w:val="none"/>
                <w:u w:val="none"/>
              </w:rPr>
            </w:pPr>
            <w:r>
              <w:rPr>
                <w:color w:val="auto"/>
                <w:sz w:val="18"/>
                <w:szCs w:val="18"/>
                <w:highlight w:val="none"/>
                <w:u w:val="none"/>
              </w:rPr>
              <w:t>（m）</w:t>
            </w:r>
          </w:p>
        </w:tc>
        <w:tc>
          <w:tcPr>
            <w:tcW w:w="244" w:type="pct"/>
            <w:vAlign w:val="center"/>
          </w:tcPr>
          <w:p w14:paraId="29EBA18A">
            <w:pPr>
              <w:pStyle w:val="92"/>
              <w:rPr>
                <w:color w:val="auto"/>
                <w:sz w:val="18"/>
                <w:szCs w:val="18"/>
                <w:highlight w:val="none"/>
                <w:u w:val="none"/>
              </w:rPr>
            </w:pPr>
            <w:r>
              <w:rPr>
                <w:color w:val="auto"/>
                <w:sz w:val="18"/>
                <w:szCs w:val="18"/>
                <w:highlight w:val="none"/>
                <w:u w:val="none"/>
              </w:rPr>
              <w:t>T</w:t>
            </w:r>
          </w:p>
          <w:p w14:paraId="4FA0F0AA">
            <w:pPr>
              <w:pStyle w:val="92"/>
              <w:rPr>
                <w:color w:val="auto"/>
                <w:sz w:val="18"/>
                <w:szCs w:val="18"/>
                <w:highlight w:val="none"/>
                <w:u w:val="none"/>
              </w:rPr>
            </w:pPr>
            <w:r>
              <w:rPr>
                <w:color w:val="auto"/>
                <w:sz w:val="18"/>
                <w:szCs w:val="18"/>
                <w:highlight w:val="none"/>
                <w:u w:val="none"/>
              </w:rPr>
              <w:t>（℃）</w:t>
            </w:r>
          </w:p>
        </w:tc>
        <w:tc>
          <w:tcPr>
            <w:tcW w:w="344" w:type="pct"/>
            <w:vMerge w:val="continue"/>
            <w:vAlign w:val="center"/>
          </w:tcPr>
          <w:p w14:paraId="6C3D992C">
            <w:pPr>
              <w:pStyle w:val="92"/>
              <w:rPr>
                <w:color w:val="auto"/>
                <w:sz w:val="18"/>
                <w:szCs w:val="18"/>
                <w:highlight w:val="none"/>
                <w:u w:val="none"/>
              </w:rPr>
            </w:pPr>
          </w:p>
        </w:tc>
      </w:tr>
      <w:tr w14:paraId="7258F6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restart"/>
            <w:vAlign w:val="center"/>
          </w:tcPr>
          <w:p w14:paraId="77A6F5A9">
            <w:pPr>
              <w:pStyle w:val="92"/>
              <w:rPr>
                <w:color w:val="auto"/>
                <w:sz w:val="18"/>
                <w:szCs w:val="18"/>
                <w:highlight w:val="none"/>
                <w:u w:val="none"/>
              </w:rPr>
            </w:pPr>
            <w:r>
              <w:rPr>
                <w:color w:val="auto"/>
                <w:sz w:val="18"/>
                <w:szCs w:val="18"/>
                <w:highlight w:val="none"/>
                <w:u w:val="none"/>
              </w:rPr>
              <w:t>硝化单元</w:t>
            </w:r>
          </w:p>
        </w:tc>
        <w:tc>
          <w:tcPr>
            <w:tcW w:w="166" w:type="pct"/>
            <w:vAlign w:val="center"/>
          </w:tcPr>
          <w:p w14:paraId="5B2B4FBA">
            <w:pPr>
              <w:pStyle w:val="92"/>
              <w:rPr>
                <w:color w:val="auto"/>
                <w:sz w:val="18"/>
                <w:szCs w:val="18"/>
                <w:highlight w:val="none"/>
                <w:u w:val="none"/>
              </w:rPr>
            </w:pPr>
            <w:r>
              <w:rPr>
                <w:color w:val="auto"/>
                <w:sz w:val="18"/>
                <w:szCs w:val="18"/>
                <w:highlight w:val="none"/>
                <w:u w:val="none"/>
              </w:rPr>
              <w:t>G1-1</w:t>
            </w:r>
          </w:p>
        </w:tc>
        <w:tc>
          <w:tcPr>
            <w:tcW w:w="321" w:type="pct"/>
            <w:vAlign w:val="center"/>
          </w:tcPr>
          <w:p w14:paraId="279E6BD0">
            <w:pPr>
              <w:pStyle w:val="92"/>
              <w:rPr>
                <w:color w:val="auto"/>
                <w:sz w:val="18"/>
                <w:szCs w:val="18"/>
                <w:highlight w:val="none"/>
                <w:u w:val="none"/>
              </w:rPr>
            </w:pPr>
            <w:r>
              <w:rPr>
                <w:color w:val="auto"/>
                <w:sz w:val="18"/>
                <w:szCs w:val="18"/>
                <w:highlight w:val="none"/>
                <w:u w:val="none"/>
              </w:rPr>
              <w:t>酸性废气（含MNT废酸储罐和浓硝酸储罐呼吸</w:t>
            </w:r>
            <w:r>
              <w:rPr>
                <w:rFonts w:hint="eastAsia"/>
                <w:color w:val="auto"/>
                <w:sz w:val="18"/>
                <w:szCs w:val="18"/>
                <w:highlight w:val="none"/>
                <w:u w:val="none"/>
              </w:rPr>
              <w:t>废</w:t>
            </w:r>
            <w:r>
              <w:rPr>
                <w:color w:val="auto"/>
                <w:sz w:val="18"/>
                <w:szCs w:val="18"/>
                <w:highlight w:val="none"/>
                <w:u w:val="none"/>
              </w:rPr>
              <w:t>气）</w:t>
            </w:r>
          </w:p>
        </w:tc>
        <w:tc>
          <w:tcPr>
            <w:tcW w:w="318" w:type="pct"/>
            <w:vAlign w:val="center"/>
          </w:tcPr>
          <w:p w14:paraId="039ACADB">
            <w:pPr>
              <w:pStyle w:val="92"/>
              <w:rPr>
                <w:color w:val="auto"/>
                <w:sz w:val="18"/>
                <w:szCs w:val="18"/>
                <w:highlight w:val="none"/>
                <w:u w:val="none"/>
              </w:rPr>
            </w:pPr>
            <w:r>
              <w:rPr>
                <w:rFonts w:hint="eastAsia"/>
                <w:color w:val="auto"/>
                <w:sz w:val="18"/>
                <w:szCs w:val="18"/>
                <w:highlight w:val="none"/>
                <w:u w:val="none"/>
              </w:rPr>
              <w:t>200</w:t>
            </w:r>
          </w:p>
        </w:tc>
        <w:tc>
          <w:tcPr>
            <w:tcW w:w="551" w:type="pct"/>
            <w:vAlign w:val="center"/>
          </w:tcPr>
          <w:p w14:paraId="6464E130">
            <w:pPr>
              <w:pStyle w:val="92"/>
              <w:rPr>
                <w:color w:val="auto"/>
                <w:sz w:val="18"/>
                <w:szCs w:val="18"/>
                <w:highlight w:val="none"/>
                <w:u w:val="none"/>
                <w:vertAlign w:val="subscript"/>
              </w:rPr>
            </w:pPr>
            <w:r>
              <w:rPr>
                <w:color w:val="auto"/>
                <w:sz w:val="18"/>
                <w:szCs w:val="18"/>
                <w:highlight w:val="none"/>
                <w:u w:val="none"/>
              </w:rPr>
              <w:t>NO</w:t>
            </w:r>
            <w:r>
              <w:rPr>
                <w:color w:val="auto"/>
                <w:sz w:val="18"/>
                <w:szCs w:val="18"/>
                <w:highlight w:val="none"/>
                <w:u w:val="none"/>
                <w:vertAlign w:val="subscript"/>
              </w:rPr>
              <w:t>X</w:t>
            </w:r>
          </w:p>
          <w:p w14:paraId="0D1FE008">
            <w:pPr>
              <w:pStyle w:val="92"/>
              <w:rPr>
                <w:color w:val="auto"/>
                <w:sz w:val="18"/>
                <w:szCs w:val="18"/>
                <w:highlight w:val="none"/>
                <w:u w:val="none"/>
              </w:rPr>
            </w:pPr>
            <w:r>
              <w:rPr>
                <w:color w:val="auto"/>
                <w:sz w:val="18"/>
                <w:szCs w:val="18"/>
                <w:highlight w:val="none"/>
                <w:u w:val="none"/>
              </w:rPr>
              <w:t>（硝酸雾）</w:t>
            </w:r>
          </w:p>
        </w:tc>
        <w:tc>
          <w:tcPr>
            <w:tcW w:w="188" w:type="pct"/>
            <w:vAlign w:val="center"/>
          </w:tcPr>
          <w:p w14:paraId="1AE25479">
            <w:pPr>
              <w:pStyle w:val="92"/>
              <w:rPr>
                <w:color w:val="auto"/>
                <w:sz w:val="18"/>
                <w:szCs w:val="18"/>
                <w:highlight w:val="none"/>
                <w:u w:val="none"/>
              </w:rPr>
            </w:pPr>
            <w:r>
              <w:rPr>
                <w:color w:val="auto"/>
                <w:sz w:val="18"/>
                <w:szCs w:val="18"/>
                <w:highlight w:val="none"/>
                <w:u w:val="none"/>
              </w:rPr>
              <w:t>物料衡算法</w:t>
            </w:r>
          </w:p>
        </w:tc>
        <w:tc>
          <w:tcPr>
            <w:tcW w:w="284" w:type="pct"/>
            <w:vAlign w:val="center"/>
          </w:tcPr>
          <w:p w14:paraId="77CF56F5">
            <w:pPr>
              <w:pStyle w:val="92"/>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19013</w:t>
            </w:r>
          </w:p>
        </w:tc>
        <w:tc>
          <w:tcPr>
            <w:tcW w:w="242" w:type="pct"/>
            <w:vAlign w:val="center"/>
          </w:tcPr>
          <w:p w14:paraId="6847ED43">
            <w:pPr>
              <w:pStyle w:val="92"/>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3.8</w:t>
            </w:r>
          </w:p>
        </w:tc>
        <w:tc>
          <w:tcPr>
            <w:tcW w:w="348" w:type="pct"/>
            <w:vAlign w:val="center"/>
          </w:tcPr>
          <w:p w14:paraId="2A6611B6">
            <w:pPr>
              <w:pStyle w:val="92"/>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30.42</w:t>
            </w:r>
          </w:p>
        </w:tc>
        <w:tc>
          <w:tcPr>
            <w:tcW w:w="421" w:type="pct"/>
            <w:vAlign w:val="center"/>
          </w:tcPr>
          <w:p w14:paraId="28C23BF3">
            <w:pPr>
              <w:pStyle w:val="92"/>
              <w:rPr>
                <w:color w:val="auto"/>
                <w:sz w:val="18"/>
                <w:szCs w:val="18"/>
                <w:highlight w:val="none"/>
                <w:u w:val="none"/>
              </w:rPr>
            </w:pPr>
            <w:r>
              <w:rPr>
                <w:rFonts w:hint="eastAsia"/>
                <w:color w:val="auto"/>
                <w:sz w:val="18"/>
                <w:szCs w:val="18"/>
                <w:highlight w:val="none"/>
                <w:u w:val="none"/>
              </w:rPr>
              <w:t>低温加压水</w:t>
            </w:r>
          </w:p>
          <w:p w14:paraId="3E82A208">
            <w:pPr>
              <w:pStyle w:val="92"/>
              <w:rPr>
                <w:color w:val="auto"/>
                <w:sz w:val="18"/>
                <w:szCs w:val="18"/>
                <w:highlight w:val="none"/>
                <w:u w:val="none"/>
              </w:rPr>
            </w:pPr>
            <w:r>
              <w:rPr>
                <w:rFonts w:hint="eastAsia"/>
                <w:color w:val="auto"/>
                <w:sz w:val="18"/>
                <w:szCs w:val="18"/>
                <w:highlight w:val="none"/>
                <w:u w:val="none"/>
              </w:rPr>
              <w:t>吸收预处理</w:t>
            </w:r>
          </w:p>
          <w:p w14:paraId="348EF50F">
            <w:pPr>
              <w:pStyle w:val="92"/>
              <w:rPr>
                <w:color w:val="auto"/>
                <w:sz w:val="18"/>
                <w:szCs w:val="18"/>
                <w:highlight w:val="none"/>
                <w:u w:val="none"/>
              </w:rPr>
            </w:pPr>
            <w:r>
              <w:rPr>
                <w:rFonts w:hint="eastAsia"/>
                <w:color w:val="auto"/>
                <w:sz w:val="18"/>
                <w:szCs w:val="18"/>
                <w:highlight w:val="none"/>
                <w:u w:val="none"/>
              </w:rPr>
              <w:t>后去焚烧</w:t>
            </w:r>
          </w:p>
        </w:tc>
        <w:tc>
          <w:tcPr>
            <w:tcW w:w="323" w:type="pct"/>
            <w:vAlign w:val="center"/>
          </w:tcPr>
          <w:p w14:paraId="6B5C065B">
            <w:pPr>
              <w:pStyle w:val="92"/>
              <w:rPr>
                <w:color w:val="auto"/>
                <w:sz w:val="18"/>
                <w:szCs w:val="18"/>
                <w:highlight w:val="none"/>
                <w:u w:val="none"/>
              </w:rPr>
            </w:pPr>
            <w:r>
              <w:rPr>
                <w:rFonts w:hint="eastAsia"/>
                <w:color w:val="auto"/>
                <w:sz w:val="18"/>
                <w:szCs w:val="18"/>
                <w:highlight w:val="none"/>
                <w:u w:val="none"/>
              </w:rPr>
              <w:t>190</w:t>
            </w:r>
          </w:p>
        </w:tc>
        <w:tc>
          <w:tcPr>
            <w:tcW w:w="222" w:type="pct"/>
            <w:vAlign w:val="center"/>
          </w:tcPr>
          <w:p w14:paraId="446CBCF5">
            <w:pPr>
              <w:pStyle w:val="92"/>
              <w:rPr>
                <w:color w:val="auto"/>
                <w:sz w:val="18"/>
                <w:szCs w:val="18"/>
                <w:highlight w:val="none"/>
                <w:u w:val="none"/>
              </w:rPr>
            </w:pPr>
            <w:r>
              <w:rPr>
                <w:rFonts w:hint="eastAsia"/>
                <w:color w:val="auto"/>
                <w:sz w:val="18"/>
                <w:szCs w:val="18"/>
                <w:highlight w:val="none"/>
                <w:u w:val="none"/>
              </w:rPr>
              <w:t>0.04</w:t>
            </w:r>
          </w:p>
        </w:tc>
        <w:tc>
          <w:tcPr>
            <w:tcW w:w="254" w:type="pct"/>
            <w:vAlign w:val="center"/>
          </w:tcPr>
          <w:p w14:paraId="1A99CC10">
            <w:pPr>
              <w:pStyle w:val="92"/>
              <w:rPr>
                <w:color w:val="auto"/>
                <w:sz w:val="18"/>
                <w:szCs w:val="18"/>
                <w:highlight w:val="none"/>
                <w:u w:val="none"/>
              </w:rPr>
            </w:pPr>
            <w:r>
              <w:rPr>
                <w:rFonts w:hint="eastAsia"/>
                <w:color w:val="auto"/>
                <w:sz w:val="18"/>
                <w:szCs w:val="18"/>
                <w:highlight w:val="none"/>
                <w:u w:val="none"/>
              </w:rPr>
              <w:t>0.31</w:t>
            </w:r>
          </w:p>
        </w:tc>
        <w:tc>
          <w:tcPr>
            <w:tcW w:w="206" w:type="pct"/>
            <w:vMerge w:val="restart"/>
            <w:vAlign w:val="center"/>
          </w:tcPr>
          <w:p w14:paraId="1936391D">
            <w:pPr>
              <w:pStyle w:val="92"/>
              <w:rPr>
                <w:color w:val="auto"/>
                <w:sz w:val="18"/>
                <w:szCs w:val="18"/>
                <w:highlight w:val="none"/>
                <w:u w:val="none"/>
              </w:rPr>
            </w:pPr>
            <w:r>
              <w:rPr>
                <w:color w:val="auto"/>
                <w:sz w:val="18"/>
                <w:szCs w:val="18"/>
                <w:highlight w:val="none"/>
                <w:u w:val="none"/>
              </w:rPr>
              <w:t>/</w:t>
            </w:r>
          </w:p>
        </w:tc>
        <w:tc>
          <w:tcPr>
            <w:tcW w:w="221" w:type="pct"/>
            <w:vMerge w:val="restart"/>
            <w:vAlign w:val="center"/>
          </w:tcPr>
          <w:p w14:paraId="5039C2F5">
            <w:pPr>
              <w:pStyle w:val="92"/>
              <w:rPr>
                <w:color w:val="auto"/>
                <w:sz w:val="18"/>
                <w:szCs w:val="18"/>
                <w:highlight w:val="none"/>
                <w:u w:val="none"/>
              </w:rPr>
            </w:pPr>
            <w:r>
              <w:rPr>
                <w:color w:val="auto"/>
                <w:sz w:val="18"/>
                <w:szCs w:val="18"/>
                <w:highlight w:val="none"/>
                <w:u w:val="none"/>
              </w:rPr>
              <w:t>50</w:t>
            </w:r>
          </w:p>
        </w:tc>
        <w:tc>
          <w:tcPr>
            <w:tcW w:w="221" w:type="pct"/>
            <w:vMerge w:val="restart"/>
            <w:vAlign w:val="center"/>
          </w:tcPr>
          <w:p w14:paraId="52F91E66">
            <w:pPr>
              <w:pStyle w:val="92"/>
              <w:rPr>
                <w:color w:val="auto"/>
                <w:sz w:val="18"/>
                <w:szCs w:val="18"/>
                <w:highlight w:val="none"/>
                <w:u w:val="none"/>
              </w:rPr>
            </w:pPr>
            <w:r>
              <w:rPr>
                <w:color w:val="auto"/>
                <w:sz w:val="18"/>
                <w:szCs w:val="18"/>
                <w:highlight w:val="none"/>
                <w:u w:val="none"/>
              </w:rPr>
              <w:t>2.0</w:t>
            </w:r>
          </w:p>
        </w:tc>
        <w:tc>
          <w:tcPr>
            <w:tcW w:w="244" w:type="pct"/>
            <w:vMerge w:val="restart"/>
            <w:vAlign w:val="center"/>
          </w:tcPr>
          <w:p w14:paraId="3A101063">
            <w:pPr>
              <w:pStyle w:val="92"/>
              <w:rPr>
                <w:color w:val="auto"/>
                <w:sz w:val="18"/>
                <w:szCs w:val="18"/>
                <w:highlight w:val="none"/>
                <w:u w:val="none"/>
              </w:rPr>
            </w:pPr>
            <w:r>
              <w:rPr>
                <w:color w:val="auto"/>
                <w:sz w:val="18"/>
                <w:szCs w:val="18"/>
                <w:highlight w:val="none"/>
                <w:u w:val="none"/>
              </w:rPr>
              <w:t>150</w:t>
            </w:r>
          </w:p>
        </w:tc>
        <w:tc>
          <w:tcPr>
            <w:tcW w:w="344" w:type="pct"/>
            <w:vMerge w:val="restart"/>
            <w:vAlign w:val="center"/>
          </w:tcPr>
          <w:p w14:paraId="15517DEF">
            <w:pPr>
              <w:pStyle w:val="92"/>
              <w:rPr>
                <w:color w:val="auto"/>
                <w:sz w:val="18"/>
                <w:szCs w:val="18"/>
                <w:highlight w:val="none"/>
                <w:u w:val="none"/>
              </w:rPr>
            </w:pPr>
            <w:r>
              <w:rPr>
                <w:rFonts w:hint="eastAsia"/>
                <w:color w:val="auto"/>
                <w:sz w:val="18"/>
                <w:szCs w:val="18"/>
                <w:highlight w:val="none"/>
                <w:u w:val="none"/>
              </w:rPr>
              <w:t>万华环保科技公司</w:t>
            </w:r>
            <w:r>
              <w:rPr>
                <w:color w:val="auto"/>
                <w:sz w:val="18"/>
                <w:szCs w:val="18"/>
                <w:highlight w:val="none"/>
                <w:u w:val="none"/>
              </w:rPr>
              <w:t>能量回收装置</w:t>
            </w:r>
          </w:p>
        </w:tc>
      </w:tr>
      <w:tr w14:paraId="0FF11B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59FEA459">
            <w:pPr>
              <w:pStyle w:val="92"/>
              <w:rPr>
                <w:color w:val="auto"/>
                <w:sz w:val="18"/>
                <w:szCs w:val="18"/>
                <w:highlight w:val="none"/>
                <w:u w:val="none"/>
              </w:rPr>
            </w:pPr>
          </w:p>
        </w:tc>
        <w:tc>
          <w:tcPr>
            <w:tcW w:w="166" w:type="pct"/>
            <w:vMerge w:val="restart"/>
            <w:vAlign w:val="center"/>
          </w:tcPr>
          <w:p w14:paraId="18F3D58F">
            <w:pPr>
              <w:pStyle w:val="92"/>
              <w:rPr>
                <w:color w:val="auto"/>
                <w:sz w:val="18"/>
                <w:szCs w:val="18"/>
                <w:highlight w:val="none"/>
                <w:u w:val="none"/>
              </w:rPr>
            </w:pPr>
            <w:r>
              <w:rPr>
                <w:color w:val="auto"/>
                <w:sz w:val="18"/>
                <w:szCs w:val="18"/>
                <w:highlight w:val="none"/>
                <w:u w:val="none"/>
              </w:rPr>
              <w:t>G1-2</w:t>
            </w:r>
          </w:p>
        </w:tc>
        <w:tc>
          <w:tcPr>
            <w:tcW w:w="321" w:type="pct"/>
            <w:vMerge w:val="restart"/>
            <w:vAlign w:val="center"/>
          </w:tcPr>
          <w:p w14:paraId="5D547FA7">
            <w:pPr>
              <w:pStyle w:val="92"/>
              <w:rPr>
                <w:color w:val="auto"/>
                <w:sz w:val="18"/>
                <w:szCs w:val="18"/>
                <w:highlight w:val="none"/>
                <w:u w:val="none"/>
              </w:rPr>
            </w:pPr>
            <w:r>
              <w:rPr>
                <w:color w:val="auto"/>
                <w:sz w:val="18"/>
                <w:szCs w:val="18"/>
                <w:highlight w:val="none"/>
                <w:u w:val="none"/>
              </w:rPr>
              <w:t>碱性废气</w:t>
            </w:r>
          </w:p>
        </w:tc>
        <w:tc>
          <w:tcPr>
            <w:tcW w:w="318" w:type="pct"/>
            <w:vMerge w:val="restart"/>
            <w:vAlign w:val="center"/>
          </w:tcPr>
          <w:p w14:paraId="0DB2060F">
            <w:pPr>
              <w:pStyle w:val="92"/>
              <w:rPr>
                <w:color w:val="auto"/>
                <w:sz w:val="18"/>
                <w:szCs w:val="18"/>
                <w:highlight w:val="none"/>
                <w:u w:val="none"/>
              </w:rPr>
            </w:pPr>
            <w:r>
              <w:rPr>
                <w:rFonts w:hint="eastAsia"/>
                <w:color w:val="auto"/>
                <w:sz w:val="18"/>
                <w:szCs w:val="18"/>
                <w:highlight w:val="none"/>
                <w:u w:val="none"/>
              </w:rPr>
              <w:t>18</w:t>
            </w:r>
          </w:p>
        </w:tc>
        <w:tc>
          <w:tcPr>
            <w:tcW w:w="551" w:type="pct"/>
            <w:vAlign w:val="center"/>
          </w:tcPr>
          <w:p w14:paraId="019F1F81">
            <w:pPr>
              <w:pStyle w:val="92"/>
              <w:rPr>
                <w:color w:val="auto"/>
                <w:sz w:val="18"/>
                <w:szCs w:val="18"/>
                <w:highlight w:val="none"/>
                <w:u w:val="none"/>
              </w:rPr>
            </w:pPr>
            <w:r>
              <w:rPr>
                <w:color w:val="auto"/>
                <w:sz w:val="18"/>
                <w:szCs w:val="18"/>
                <w:highlight w:val="none"/>
                <w:u w:val="none"/>
              </w:rPr>
              <w:t>二硝基甲苯</w:t>
            </w:r>
          </w:p>
          <w:p w14:paraId="5088583A">
            <w:pPr>
              <w:pStyle w:val="92"/>
              <w:rPr>
                <w:color w:val="auto"/>
                <w:sz w:val="18"/>
                <w:szCs w:val="18"/>
                <w:highlight w:val="none"/>
                <w:u w:val="none"/>
              </w:rPr>
            </w:pPr>
            <w:r>
              <w:rPr>
                <w:color w:val="auto"/>
                <w:sz w:val="18"/>
                <w:szCs w:val="18"/>
                <w:highlight w:val="none"/>
                <w:u w:val="none"/>
              </w:rPr>
              <w:t>（硝基苯类）</w:t>
            </w:r>
          </w:p>
        </w:tc>
        <w:tc>
          <w:tcPr>
            <w:tcW w:w="188" w:type="pct"/>
            <w:vMerge w:val="restart"/>
            <w:vAlign w:val="center"/>
          </w:tcPr>
          <w:p w14:paraId="19AD8409">
            <w:pPr>
              <w:pStyle w:val="92"/>
              <w:rPr>
                <w:color w:val="auto"/>
                <w:sz w:val="18"/>
                <w:szCs w:val="18"/>
                <w:highlight w:val="none"/>
                <w:u w:val="none"/>
              </w:rPr>
            </w:pPr>
            <w:r>
              <w:rPr>
                <w:color w:val="auto"/>
                <w:sz w:val="18"/>
                <w:szCs w:val="18"/>
                <w:highlight w:val="none"/>
                <w:u w:val="none"/>
              </w:rPr>
              <w:t>物料衡算法</w:t>
            </w:r>
          </w:p>
        </w:tc>
        <w:tc>
          <w:tcPr>
            <w:tcW w:w="284" w:type="pct"/>
            <w:vAlign w:val="center"/>
          </w:tcPr>
          <w:p w14:paraId="30AF1FD7">
            <w:pPr>
              <w:pStyle w:val="92"/>
              <w:rPr>
                <w:color w:val="auto"/>
                <w:sz w:val="18"/>
                <w:szCs w:val="18"/>
                <w:highlight w:val="none"/>
                <w:u w:val="none"/>
              </w:rPr>
            </w:pPr>
            <w:r>
              <w:rPr>
                <w:rFonts w:hint="eastAsia"/>
                <w:color w:val="auto"/>
                <w:sz w:val="18"/>
                <w:szCs w:val="18"/>
                <w:highlight w:val="none"/>
                <w:u w:val="none"/>
              </w:rPr>
              <w:t>37</w:t>
            </w:r>
          </w:p>
        </w:tc>
        <w:tc>
          <w:tcPr>
            <w:tcW w:w="242" w:type="pct"/>
            <w:vAlign w:val="center"/>
          </w:tcPr>
          <w:p w14:paraId="49655B63">
            <w:pPr>
              <w:pStyle w:val="92"/>
              <w:rPr>
                <w:color w:val="auto"/>
                <w:sz w:val="18"/>
                <w:szCs w:val="18"/>
                <w:highlight w:val="none"/>
                <w:u w:val="none"/>
              </w:rPr>
            </w:pPr>
            <w:r>
              <w:rPr>
                <w:rFonts w:hint="eastAsia"/>
                <w:color w:val="auto"/>
                <w:sz w:val="18"/>
                <w:szCs w:val="18"/>
                <w:highlight w:val="none"/>
                <w:u w:val="none"/>
              </w:rPr>
              <w:t>0.001</w:t>
            </w:r>
          </w:p>
        </w:tc>
        <w:tc>
          <w:tcPr>
            <w:tcW w:w="348" w:type="pct"/>
            <w:vAlign w:val="center"/>
          </w:tcPr>
          <w:p w14:paraId="506FCE77">
            <w:pPr>
              <w:pStyle w:val="92"/>
              <w:rPr>
                <w:color w:val="auto"/>
                <w:sz w:val="18"/>
                <w:szCs w:val="18"/>
                <w:highlight w:val="none"/>
                <w:u w:val="none"/>
              </w:rPr>
            </w:pPr>
            <w:r>
              <w:rPr>
                <w:rFonts w:hint="eastAsia"/>
                <w:color w:val="auto"/>
                <w:sz w:val="18"/>
                <w:szCs w:val="18"/>
                <w:highlight w:val="none"/>
                <w:u w:val="none"/>
              </w:rPr>
              <w:t>0.005</w:t>
            </w:r>
          </w:p>
        </w:tc>
        <w:tc>
          <w:tcPr>
            <w:tcW w:w="421" w:type="pct"/>
            <w:vMerge w:val="restart"/>
            <w:vAlign w:val="center"/>
          </w:tcPr>
          <w:p w14:paraId="6C507B7A">
            <w:pPr>
              <w:pStyle w:val="92"/>
              <w:rPr>
                <w:color w:val="auto"/>
                <w:sz w:val="18"/>
                <w:szCs w:val="18"/>
                <w:highlight w:val="none"/>
                <w:u w:val="none"/>
              </w:rPr>
            </w:pPr>
            <w:r>
              <w:rPr>
                <w:rFonts w:hint="eastAsia"/>
                <w:color w:val="auto"/>
                <w:sz w:val="18"/>
                <w:szCs w:val="18"/>
                <w:highlight w:val="none"/>
                <w:u w:val="none"/>
              </w:rPr>
              <w:t>加压水洗涤预处理后去焚烧</w:t>
            </w:r>
          </w:p>
        </w:tc>
        <w:tc>
          <w:tcPr>
            <w:tcW w:w="323" w:type="pct"/>
            <w:vAlign w:val="center"/>
          </w:tcPr>
          <w:p w14:paraId="669DE5C3">
            <w:pPr>
              <w:pStyle w:val="92"/>
              <w:rPr>
                <w:color w:val="auto"/>
                <w:sz w:val="18"/>
                <w:szCs w:val="18"/>
                <w:highlight w:val="none"/>
                <w:u w:val="none"/>
              </w:rPr>
            </w:pPr>
            <w:r>
              <w:rPr>
                <w:rFonts w:hint="eastAsia"/>
                <w:color w:val="auto"/>
                <w:sz w:val="18"/>
                <w:szCs w:val="18"/>
                <w:highlight w:val="none"/>
                <w:u w:val="none"/>
              </w:rPr>
              <w:t>15</w:t>
            </w:r>
          </w:p>
        </w:tc>
        <w:tc>
          <w:tcPr>
            <w:tcW w:w="222" w:type="pct"/>
            <w:vAlign w:val="center"/>
          </w:tcPr>
          <w:p w14:paraId="52846027">
            <w:pPr>
              <w:pStyle w:val="92"/>
              <w:rPr>
                <w:color w:val="auto"/>
                <w:sz w:val="18"/>
                <w:szCs w:val="18"/>
                <w:highlight w:val="none"/>
                <w:u w:val="none"/>
              </w:rPr>
            </w:pPr>
            <w:r>
              <w:rPr>
                <w:rFonts w:hint="eastAsia"/>
                <w:color w:val="auto"/>
                <w:sz w:val="18"/>
                <w:szCs w:val="18"/>
                <w:highlight w:val="none"/>
                <w:u w:val="none"/>
              </w:rPr>
              <w:t>0.0003</w:t>
            </w:r>
          </w:p>
        </w:tc>
        <w:tc>
          <w:tcPr>
            <w:tcW w:w="254" w:type="pct"/>
            <w:vAlign w:val="center"/>
          </w:tcPr>
          <w:p w14:paraId="3B698ABD">
            <w:pPr>
              <w:pStyle w:val="92"/>
              <w:rPr>
                <w:color w:val="auto"/>
                <w:sz w:val="18"/>
                <w:szCs w:val="18"/>
                <w:highlight w:val="none"/>
                <w:u w:val="none"/>
              </w:rPr>
            </w:pPr>
            <w:r>
              <w:rPr>
                <w:rFonts w:hint="eastAsia"/>
                <w:color w:val="auto"/>
                <w:sz w:val="18"/>
                <w:szCs w:val="18"/>
                <w:highlight w:val="none"/>
                <w:u w:val="none"/>
              </w:rPr>
              <w:t>0.002</w:t>
            </w:r>
          </w:p>
        </w:tc>
        <w:tc>
          <w:tcPr>
            <w:tcW w:w="206" w:type="pct"/>
            <w:vMerge w:val="continue"/>
            <w:vAlign w:val="center"/>
          </w:tcPr>
          <w:p w14:paraId="5AFC54F1">
            <w:pPr>
              <w:pStyle w:val="92"/>
              <w:rPr>
                <w:color w:val="auto"/>
                <w:sz w:val="18"/>
                <w:szCs w:val="18"/>
                <w:highlight w:val="none"/>
                <w:u w:val="none"/>
              </w:rPr>
            </w:pPr>
          </w:p>
        </w:tc>
        <w:tc>
          <w:tcPr>
            <w:tcW w:w="221" w:type="pct"/>
            <w:vMerge w:val="continue"/>
            <w:vAlign w:val="center"/>
          </w:tcPr>
          <w:p w14:paraId="1D538B0D">
            <w:pPr>
              <w:pStyle w:val="92"/>
              <w:rPr>
                <w:color w:val="auto"/>
                <w:sz w:val="18"/>
                <w:szCs w:val="18"/>
                <w:highlight w:val="none"/>
                <w:u w:val="none"/>
              </w:rPr>
            </w:pPr>
          </w:p>
        </w:tc>
        <w:tc>
          <w:tcPr>
            <w:tcW w:w="221" w:type="pct"/>
            <w:vMerge w:val="continue"/>
            <w:vAlign w:val="center"/>
          </w:tcPr>
          <w:p w14:paraId="290A41F9">
            <w:pPr>
              <w:pStyle w:val="92"/>
              <w:rPr>
                <w:color w:val="auto"/>
                <w:sz w:val="18"/>
                <w:szCs w:val="18"/>
                <w:highlight w:val="none"/>
                <w:u w:val="none"/>
              </w:rPr>
            </w:pPr>
          </w:p>
        </w:tc>
        <w:tc>
          <w:tcPr>
            <w:tcW w:w="244" w:type="pct"/>
            <w:vMerge w:val="continue"/>
            <w:vAlign w:val="center"/>
          </w:tcPr>
          <w:p w14:paraId="0991B58B">
            <w:pPr>
              <w:pStyle w:val="92"/>
              <w:rPr>
                <w:color w:val="auto"/>
                <w:sz w:val="18"/>
                <w:szCs w:val="18"/>
                <w:highlight w:val="none"/>
                <w:u w:val="none"/>
              </w:rPr>
            </w:pPr>
          </w:p>
        </w:tc>
        <w:tc>
          <w:tcPr>
            <w:tcW w:w="344" w:type="pct"/>
            <w:vMerge w:val="continue"/>
            <w:vAlign w:val="center"/>
          </w:tcPr>
          <w:p w14:paraId="35EE3EEF">
            <w:pPr>
              <w:pStyle w:val="92"/>
              <w:rPr>
                <w:color w:val="auto"/>
                <w:sz w:val="18"/>
                <w:szCs w:val="18"/>
                <w:highlight w:val="none"/>
                <w:u w:val="none"/>
              </w:rPr>
            </w:pPr>
          </w:p>
        </w:tc>
      </w:tr>
      <w:tr w14:paraId="4BFC89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2FB74008">
            <w:pPr>
              <w:pStyle w:val="92"/>
              <w:rPr>
                <w:color w:val="auto"/>
                <w:sz w:val="18"/>
                <w:szCs w:val="18"/>
                <w:highlight w:val="none"/>
                <w:u w:val="none"/>
              </w:rPr>
            </w:pPr>
          </w:p>
        </w:tc>
        <w:tc>
          <w:tcPr>
            <w:tcW w:w="166" w:type="pct"/>
            <w:vMerge w:val="continue"/>
            <w:vAlign w:val="center"/>
          </w:tcPr>
          <w:p w14:paraId="2420354B">
            <w:pPr>
              <w:pStyle w:val="92"/>
              <w:rPr>
                <w:color w:val="auto"/>
                <w:sz w:val="18"/>
                <w:szCs w:val="18"/>
                <w:highlight w:val="none"/>
                <w:u w:val="none"/>
              </w:rPr>
            </w:pPr>
          </w:p>
        </w:tc>
        <w:tc>
          <w:tcPr>
            <w:tcW w:w="321" w:type="pct"/>
            <w:vMerge w:val="continue"/>
            <w:vAlign w:val="center"/>
          </w:tcPr>
          <w:p w14:paraId="02A9558B">
            <w:pPr>
              <w:pStyle w:val="92"/>
              <w:rPr>
                <w:color w:val="auto"/>
                <w:sz w:val="18"/>
                <w:szCs w:val="18"/>
                <w:highlight w:val="none"/>
                <w:u w:val="none"/>
              </w:rPr>
            </w:pPr>
          </w:p>
        </w:tc>
        <w:tc>
          <w:tcPr>
            <w:tcW w:w="318" w:type="pct"/>
            <w:vMerge w:val="continue"/>
            <w:vAlign w:val="center"/>
          </w:tcPr>
          <w:p w14:paraId="35435A10">
            <w:pPr>
              <w:pStyle w:val="92"/>
              <w:rPr>
                <w:color w:val="auto"/>
                <w:sz w:val="18"/>
                <w:szCs w:val="18"/>
                <w:highlight w:val="none"/>
                <w:u w:val="none"/>
              </w:rPr>
            </w:pPr>
          </w:p>
        </w:tc>
        <w:tc>
          <w:tcPr>
            <w:tcW w:w="551" w:type="pct"/>
            <w:vAlign w:val="center"/>
          </w:tcPr>
          <w:p w14:paraId="73E2E3DD">
            <w:pPr>
              <w:pStyle w:val="92"/>
              <w:rPr>
                <w:color w:val="auto"/>
                <w:sz w:val="18"/>
                <w:szCs w:val="18"/>
                <w:highlight w:val="none"/>
                <w:u w:val="none"/>
              </w:rPr>
            </w:pPr>
            <w:r>
              <w:rPr>
                <w:color w:val="auto"/>
                <w:sz w:val="18"/>
                <w:szCs w:val="18"/>
                <w:highlight w:val="none"/>
                <w:u w:val="none"/>
              </w:rPr>
              <w:t>甲苯</w:t>
            </w:r>
          </w:p>
        </w:tc>
        <w:tc>
          <w:tcPr>
            <w:tcW w:w="188" w:type="pct"/>
            <w:vMerge w:val="continue"/>
            <w:vAlign w:val="center"/>
          </w:tcPr>
          <w:p w14:paraId="624C9423">
            <w:pPr>
              <w:pStyle w:val="92"/>
              <w:rPr>
                <w:color w:val="auto"/>
                <w:sz w:val="18"/>
                <w:szCs w:val="18"/>
                <w:highlight w:val="none"/>
                <w:u w:val="none"/>
              </w:rPr>
            </w:pPr>
          </w:p>
        </w:tc>
        <w:tc>
          <w:tcPr>
            <w:tcW w:w="284" w:type="pct"/>
            <w:vAlign w:val="center"/>
          </w:tcPr>
          <w:p w14:paraId="2EDBF07C">
            <w:pPr>
              <w:pStyle w:val="92"/>
              <w:rPr>
                <w:color w:val="auto"/>
                <w:sz w:val="18"/>
                <w:szCs w:val="18"/>
                <w:highlight w:val="none"/>
                <w:u w:val="none"/>
              </w:rPr>
            </w:pPr>
            <w:r>
              <w:rPr>
                <w:rFonts w:hint="eastAsia" w:eastAsia="等线"/>
                <w:color w:val="auto"/>
                <w:sz w:val="18"/>
                <w:szCs w:val="18"/>
                <w:highlight w:val="none"/>
                <w:u w:val="none"/>
              </w:rPr>
              <w:t>733</w:t>
            </w:r>
            <w:r>
              <w:rPr>
                <w:rFonts w:eastAsia="等线"/>
                <w:color w:val="auto"/>
                <w:sz w:val="18"/>
                <w:szCs w:val="18"/>
                <w:highlight w:val="none"/>
                <w:u w:val="none"/>
              </w:rPr>
              <w:t xml:space="preserve"> </w:t>
            </w:r>
          </w:p>
        </w:tc>
        <w:tc>
          <w:tcPr>
            <w:tcW w:w="242" w:type="pct"/>
            <w:vAlign w:val="center"/>
          </w:tcPr>
          <w:p w14:paraId="46A5A2DB">
            <w:pPr>
              <w:pStyle w:val="92"/>
              <w:rPr>
                <w:color w:val="auto"/>
                <w:sz w:val="18"/>
                <w:szCs w:val="18"/>
                <w:highlight w:val="none"/>
                <w:u w:val="none"/>
              </w:rPr>
            </w:pPr>
            <w:r>
              <w:rPr>
                <w:rFonts w:hint="eastAsia"/>
                <w:color w:val="auto"/>
                <w:sz w:val="18"/>
                <w:szCs w:val="18"/>
                <w:highlight w:val="none"/>
                <w:u w:val="none"/>
              </w:rPr>
              <w:t xml:space="preserve">0.013 </w:t>
            </w:r>
          </w:p>
        </w:tc>
        <w:tc>
          <w:tcPr>
            <w:tcW w:w="348" w:type="pct"/>
            <w:vAlign w:val="center"/>
          </w:tcPr>
          <w:p w14:paraId="5B659548">
            <w:pPr>
              <w:pStyle w:val="92"/>
              <w:rPr>
                <w:color w:val="auto"/>
                <w:sz w:val="18"/>
                <w:szCs w:val="18"/>
                <w:highlight w:val="none"/>
                <w:u w:val="none"/>
              </w:rPr>
            </w:pPr>
            <w:r>
              <w:rPr>
                <w:rFonts w:hint="eastAsia"/>
                <w:color w:val="auto"/>
                <w:sz w:val="18"/>
                <w:szCs w:val="18"/>
                <w:highlight w:val="none"/>
                <w:u w:val="none"/>
              </w:rPr>
              <w:t xml:space="preserve">0.106 </w:t>
            </w:r>
          </w:p>
        </w:tc>
        <w:tc>
          <w:tcPr>
            <w:tcW w:w="421" w:type="pct"/>
            <w:vMerge w:val="continue"/>
            <w:vAlign w:val="center"/>
          </w:tcPr>
          <w:p w14:paraId="631CD04F">
            <w:pPr>
              <w:pStyle w:val="92"/>
              <w:rPr>
                <w:color w:val="auto"/>
                <w:sz w:val="18"/>
                <w:szCs w:val="18"/>
                <w:highlight w:val="none"/>
                <w:u w:val="none"/>
              </w:rPr>
            </w:pPr>
          </w:p>
        </w:tc>
        <w:tc>
          <w:tcPr>
            <w:tcW w:w="323" w:type="pct"/>
            <w:vAlign w:val="center"/>
          </w:tcPr>
          <w:p w14:paraId="637048C7">
            <w:pPr>
              <w:pStyle w:val="92"/>
              <w:rPr>
                <w:color w:val="auto"/>
                <w:sz w:val="18"/>
                <w:szCs w:val="18"/>
                <w:highlight w:val="none"/>
                <w:u w:val="none"/>
              </w:rPr>
            </w:pPr>
            <w:r>
              <w:rPr>
                <w:rFonts w:hint="eastAsia"/>
                <w:color w:val="auto"/>
                <w:sz w:val="18"/>
                <w:szCs w:val="18"/>
                <w:highlight w:val="none"/>
                <w:u w:val="none"/>
              </w:rPr>
              <w:t>293</w:t>
            </w:r>
          </w:p>
        </w:tc>
        <w:tc>
          <w:tcPr>
            <w:tcW w:w="222" w:type="pct"/>
            <w:vAlign w:val="center"/>
          </w:tcPr>
          <w:p w14:paraId="65A4F194">
            <w:pPr>
              <w:pStyle w:val="92"/>
              <w:rPr>
                <w:color w:val="auto"/>
                <w:sz w:val="18"/>
                <w:szCs w:val="18"/>
                <w:highlight w:val="none"/>
                <w:u w:val="none"/>
              </w:rPr>
            </w:pPr>
            <w:r>
              <w:rPr>
                <w:rFonts w:hint="eastAsia"/>
                <w:color w:val="auto"/>
                <w:sz w:val="18"/>
                <w:szCs w:val="18"/>
                <w:highlight w:val="none"/>
                <w:u w:val="none"/>
              </w:rPr>
              <w:t>0.005</w:t>
            </w:r>
          </w:p>
        </w:tc>
        <w:tc>
          <w:tcPr>
            <w:tcW w:w="254" w:type="pct"/>
            <w:vAlign w:val="center"/>
          </w:tcPr>
          <w:p w14:paraId="03D49B34">
            <w:pPr>
              <w:pStyle w:val="92"/>
              <w:rPr>
                <w:color w:val="auto"/>
                <w:sz w:val="18"/>
                <w:szCs w:val="18"/>
                <w:highlight w:val="none"/>
                <w:u w:val="none"/>
              </w:rPr>
            </w:pPr>
            <w:r>
              <w:rPr>
                <w:rFonts w:hint="eastAsia"/>
                <w:color w:val="auto"/>
                <w:sz w:val="18"/>
                <w:szCs w:val="18"/>
                <w:highlight w:val="none"/>
                <w:u w:val="none"/>
              </w:rPr>
              <w:t>0.042</w:t>
            </w:r>
          </w:p>
        </w:tc>
        <w:tc>
          <w:tcPr>
            <w:tcW w:w="206" w:type="pct"/>
            <w:vMerge w:val="continue"/>
            <w:vAlign w:val="center"/>
          </w:tcPr>
          <w:p w14:paraId="0E52C49A">
            <w:pPr>
              <w:pStyle w:val="92"/>
              <w:rPr>
                <w:color w:val="auto"/>
                <w:sz w:val="18"/>
                <w:szCs w:val="18"/>
                <w:highlight w:val="none"/>
                <w:u w:val="none"/>
              </w:rPr>
            </w:pPr>
          </w:p>
        </w:tc>
        <w:tc>
          <w:tcPr>
            <w:tcW w:w="221" w:type="pct"/>
            <w:vMerge w:val="continue"/>
            <w:vAlign w:val="center"/>
          </w:tcPr>
          <w:p w14:paraId="184D0FF4">
            <w:pPr>
              <w:pStyle w:val="92"/>
              <w:rPr>
                <w:color w:val="auto"/>
                <w:sz w:val="18"/>
                <w:szCs w:val="18"/>
                <w:highlight w:val="none"/>
                <w:u w:val="none"/>
              </w:rPr>
            </w:pPr>
          </w:p>
        </w:tc>
        <w:tc>
          <w:tcPr>
            <w:tcW w:w="221" w:type="pct"/>
            <w:vMerge w:val="continue"/>
            <w:vAlign w:val="center"/>
          </w:tcPr>
          <w:p w14:paraId="5F69CC78">
            <w:pPr>
              <w:pStyle w:val="92"/>
              <w:rPr>
                <w:color w:val="auto"/>
                <w:sz w:val="18"/>
                <w:szCs w:val="18"/>
                <w:highlight w:val="none"/>
                <w:u w:val="none"/>
              </w:rPr>
            </w:pPr>
          </w:p>
        </w:tc>
        <w:tc>
          <w:tcPr>
            <w:tcW w:w="244" w:type="pct"/>
            <w:vMerge w:val="continue"/>
            <w:vAlign w:val="center"/>
          </w:tcPr>
          <w:p w14:paraId="78D606B6">
            <w:pPr>
              <w:pStyle w:val="92"/>
              <w:rPr>
                <w:color w:val="auto"/>
                <w:sz w:val="18"/>
                <w:szCs w:val="18"/>
                <w:highlight w:val="none"/>
                <w:u w:val="none"/>
              </w:rPr>
            </w:pPr>
          </w:p>
        </w:tc>
        <w:tc>
          <w:tcPr>
            <w:tcW w:w="344" w:type="pct"/>
            <w:vMerge w:val="continue"/>
            <w:vAlign w:val="center"/>
          </w:tcPr>
          <w:p w14:paraId="45CC5C44">
            <w:pPr>
              <w:pStyle w:val="92"/>
              <w:rPr>
                <w:color w:val="auto"/>
                <w:sz w:val="18"/>
                <w:szCs w:val="18"/>
                <w:highlight w:val="none"/>
                <w:u w:val="none"/>
              </w:rPr>
            </w:pPr>
          </w:p>
        </w:tc>
      </w:tr>
      <w:tr w14:paraId="129148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32256419">
            <w:pPr>
              <w:pStyle w:val="92"/>
              <w:rPr>
                <w:color w:val="auto"/>
                <w:sz w:val="18"/>
                <w:szCs w:val="18"/>
                <w:highlight w:val="none"/>
                <w:u w:val="none"/>
              </w:rPr>
            </w:pPr>
          </w:p>
        </w:tc>
        <w:tc>
          <w:tcPr>
            <w:tcW w:w="166" w:type="pct"/>
            <w:vMerge w:val="continue"/>
            <w:vAlign w:val="center"/>
          </w:tcPr>
          <w:p w14:paraId="5F7DD3E5">
            <w:pPr>
              <w:pStyle w:val="92"/>
              <w:rPr>
                <w:color w:val="auto"/>
                <w:sz w:val="18"/>
                <w:szCs w:val="18"/>
                <w:highlight w:val="none"/>
                <w:u w:val="none"/>
              </w:rPr>
            </w:pPr>
          </w:p>
        </w:tc>
        <w:tc>
          <w:tcPr>
            <w:tcW w:w="321" w:type="pct"/>
            <w:vMerge w:val="continue"/>
            <w:vAlign w:val="center"/>
          </w:tcPr>
          <w:p w14:paraId="7936D699">
            <w:pPr>
              <w:pStyle w:val="92"/>
              <w:rPr>
                <w:color w:val="auto"/>
                <w:sz w:val="18"/>
                <w:szCs w:val="18"/>
                <w:highlight w:val="none"/>
                <w:u w:val="none"/>
              </w:rPr>
            </w:pPr>
          </w:p>
        </w:tc>
        <w:tc>
          <w:tcPr>
            <w:tcW w:w="318" w:type="pct"/>
            <w:vMerge w:val="continue"/>
            <w:vAlign w:val="center"/>
          </w:tcPr>
          <w:p w14:paraId="47D3A6B0">
            <w:pPr>
              <w:pStyle w:val="92"/>
              <w:rPr>
                <w:color w:val="auto"/>
                <w:sz w:val="18"/>
                <w:szCs w:val="18"/>
                <w:highlight w:val="none"/>
                <w:u w:val="none"/>
              </w:rPr>
            </w:pPr>
          </w:p>
        </w:tc>
        <w:tc>
          <w:tcPr>
            <w:tcW w:w="551" w:type="pct"/>
            <w:vAlign w:val="center"/>
          </w:tcPr>
          <w:p w14:paraId="1DAE9890">
            <w:pPr>
              <w:pStyle w:val="92"/>
              <w:rPr>
                <w:color w:val="auto"/>
                <w:sz w:val="18"/>
                <w:szCs w:val="18"/>
                <w:highlight w:val="none"/>
                <w:u w:val="none"/>
              </w:rPr>
            </w:pPr>
            <w:r>
              <w:rPr>
                <w:color w:val="auto"/>
                <w:sz w:val="18"/>
                <w:szCs w:val="18"/>
                <w:highlight w:val="none"/>
                <w:u w:val="none"/>
              </w:rPr>
              <w:t>氨</w:t>
            </w:r>
          </w:p>
        </w:tc>
        <w:tc>
          <w:tcPr>
            <w:tcW w:w="188" w:type="pct"/>
            <w:vMerge w:val="continue"/>
            <w:vAlign w:val="center"/>
          </w:tcPr>
          <w:p w14:paraId="4E1F91FF">
            <w:pPr>
              <w:pStyle w:val="92"/>
              <w:rPr>
                <w:color w:val="auto"/>
                <w:sz w:val="18"/>
                <w:szCs w:val="18"/>
                <w:highlight w:val="none"/>
                <w:u w:val="none"/>
              </w:rPr>
            </w:pPr>
          </w:p>
        </w:tc>
        <w:tc>
          <w:tcPr>
            <w:tcW w:w="284" w:type="pct"/>
            <w:vAlign w:val="center"/>
          </w:tcPr>
          <w:p w14:paraId="2C30BAA1">
            <w:pPr>
              <w:pStyle w:val="92"/>
              <w:rPr>
                <w:color w:val="auto"/>
                <w:sz w:val="18"/>
                <w:szCs w:val="18"/>
                <w:highlight w:val="none"/>
                <w:u w:val="none"/>
              </w:rPr>
            </w:pPr>
            <w:r>
              <w:rPr>
                <w:rFonts w:eastAsia="等线"/>
                <w:color w:val="auto"/>
                <w:sz w:val="18"/>
                <w:szCs w:val="18"/>
                <w:highlight w:val="none"/>
                <w:u w:val="none"/>
              </w:rPr>
              <w:t xml:space="preserve">6593 </w:t>
            </w:r>
          </w:p>
        </w:tc>
        <w:tc>
          <w:tcPr>
            <w:tcW w:w="242" w:type="pct"/>
            <w:vAlign w:val="center"/>
          </w:tcPr>
          <w:p w14:paraId="647487E8">
            <w:pPr>
              <w:pStyle w:val="92"/>
              <w:rPr>
                <w:color w:val="auto"/>
                <w:sz w:val="18"/>
                <w:szCs w:val="18"/>
                <w:highlight w:val="none"/>
                <w:u w:val="none"/>
              </w:rPr>
            </w:pPr>
            <w:r>
              <w:rPr>
                <w:rFonts w:hint="eastAsia"/>
                <w:color w:val="auto"/>
                <w:sz w:val="18"/>
                <w:szCs w:val="18"/>
                <w:highlight w:val="none"/>
                <w:u w:val="none"/>
              </w:rPr>
              <w:t xml:space="preserve">0.119 </w:t>
            </w:r>
          </w:p>
        </w:tc>
        <w:tc>
          <w:tcPr>
            <w:tcW w:w="348" w:type="pct"/>
            <w:vAlign w:val="center"/>
          </w:tcPr>
          <w:p w14:paraId="658EABD1">
            <w:pPr>
              <w:pStyle w:val="92"/>
              <w:rPr>
                <w:color w:val="auto"/>
                <w:sz w:val="18"/>
                <w:szCs w:val="18"/>
                <w:highlight w:val="none"/>
                <w:u w:val="none"/>
              </w:rPr>
            </w:pPr>
            <w:r>
              <w:rPr>
                <w:rFonts w:hint="eastAsia"/>
                <w:color w:val="auto"/>
                <w:sz w:val="18"/>
                <w:szCs w:val="18"/>
                <w:highlight w:val="none"/>
                <w:u w:val="none"/>
              </w:rPr>
              <w:t xml:space="preserve">0.950 </w:t>
            </w:r>
          </w:p>
        </w:tc>
        <w:tc>
          <w:tcPr>
            <w:tcW w:w="421" w:type="pct"/>
            <w:vMerge w:val="continue"/>
            <w:vAlign w:val="center"/>
          </w:tcPr>
          <w:p w14:paraId="2D625747">
            <w:pPr>
              <w:pStyle w:val="92"/>
              <w:rPr>
                <w:color w:val="auto"/>
                <w:sz w:val="18"/>
                <w:szCs w:val="18"/>
                <w:highlight w:val="none"/>
                <w:u w:val="none"/>
              </w:rPr>
            </w:pPr>
          </w:p>
        </w:tc>
        <w:tc>
          <w:tcPr>
            <w:tcW w:w="323" w:type="pct"/>
            <w:vAlign w:val="center"/>
          </w:tcPr>
          <w:p w14:paraId="30BB1D47">
            <w:pPr>
              <w:pStyle w:val="92"/>
              <w:rPr>
                <w:color w:val="auto"/>
                <w:sz w:val="18"/>
                <w:szCs w:val="18"/>
                <w:highlight w:val="none"/>
                <w:u w:val="none"/>
              </w:rPr>
            </w:pPr>
            <w:r>
              <w:rPr>
                <w:rFonts w:hint="eastAsia"/>
                <w:color w:val="auto"/>
                <w:sz w:val="18"/>
                <w:szCs w:val="18"/>
                <w:highlight w:val="none"/>
                <w:u w:val="none"/>
              </w:rPr>
              <w:t xml:space="preserve">2637 </w:t>
            </w:r>
          </w:p>
        </w:tc>
        <w:tc>
          <w:tcPr>
            <w:tcW w:w="222" w:type="pct"/>
            <w:vAlign w:val="center"/>
          </w:tcPr>
          <w:p w14:paraId="155F0882">
            <w:pPr>
              <w:pStyle w:val="92"/>
              <w:rPr>
                <w:color w:val="auto"/>
                <w:sz w:val="18"/>
                <w:szCs w:val="18"/>
                <w:highlight w:val="none"/>
                <w:u w:val="none"/>
              </w:rPr>
            </w:pPr>
            <w:r>
              <w:rPr>
                <w:rFonts w:hint="eastAsia"/>
                <w:color w:val="auto"/>
                <w:sz w:val="18"/>
                <w:szCs w:val="18"/>
                <w:highlight w:val="none"/>
                <w:u w:val="none"/>
              </w:rPr>
              <w:t>0.048</w:t>
            </w:r>
          </w:p>
        </w:tc>
        <w:tc>
          <w:tcPr>
            <w:tcW w:w="254" w:type="pct"/>
            <w:vAlign w:val="center"/>
          </w:tcPr>
          <w:p w14:paraId="79D62349">
            <w:pPr>
              <w:pStyle w:val="92"/>
              <w:rPr>
                <w:color w:val="auto"/>
                <w:sz w:val="18"/>
                <w:szCs w:val="18"/>
                <w:highlight w:val="none"/>
                <w:u w:val="none"/>
              </w:rPr>
            </w:pPr>
            <w:r>
              <w:rPr>
                <w:rFonts w:hint="eastAsia"/>
                <w:color w:val="auto"/>
                <w:sz w:val="18"/>
                <w:szCs w:val="18"/>
                <w:highlight w:val="none"/>
                <w:u w:val="none"/>
              </w:rPr>
              <w:t>0.379</w:t>
            </w:r>
          </w:p>
        </w:tc>
        <w:tc>
          <w:tcPr>
            <w:tcW w:w="206" w:type="pct"/>
            <w:vMerge w:val="continue"/>
            <w:vAlign w:val="center"/>
          </w:tcPr>
          <w:p w14:paraId="2714B356">
            <w:pPr>
              <w:pStyle w:val="92"/>
              <w:rPr>
                <w:color w:val="auto"/>
                <w:sz w:val="18"/>
                <w:szCs w:val="18"/>
                <w:highlight w:val="none"/>
                <w:u w:val="none"/>
              </w:rPr>
            </w:pPr>
          </w:p>
        </w:tc>
        <w:tc>
          <w:tcPr>
            <w:tcW w:w="221" w:type="pct"/>
            <w:vMerge w:val="continue"/>
            <w:vAlign w:val="center"/>
          </w:tcPr>
          <w:p w14:paraId="6030C1FB">
            <w:pPr>
              <w:pStyle w:val="92"/>
              <w:rPr>
                <w:color w:val="auto"/>
                <w:sz w:val="18"/>
                <w:szCs w:val="18"/>
                <w:highlight w:val="none"/>
                <w:u w:val="none"/>
              </w:rPr>
            </w:pPr>
          </w:p>
        </w:tc>
        <w:tc>
          <w:tcPr>
            <w:tcW w:w="221" w:type="pct"/>
            <w:vMerge w:val="continue"/>
            <w:vAlign w:val="center"/>
          </w:tcPr>
          <w:p w14:paraId="498EAEEC">
            <w:pPr>
              <w:pStyle w:val="92"/>
              <w:rPr>
                <w:color w:val="auto"/>
                <w:sz w:val="18"/>
                <w:szCs w:val="18"/>
                <w:highlight w:val="none"/>
                <w:u w:val="none"/>
              </w:rPr>
            </w:pPr>
          </w:p>
        </w:tc>
        <w:tc>
          <w:tcPr>
            <w:tcW w:w="244" w:type="pct"/>
            <w:vMerge w:val="continue"/>
            <w:vAlign w:val="center"/>
          </w:tcPr>
          <w:p w14:paraId="01D96D6D">
            <w:pPr>
              <w:pStyle w:val="92"/>
              <w:rPr>
                <w:color w:val="auto"/>
                <w:sz w:val="18"/>
                <w:szCs w:val="18"/>
                <w:highlight w:val="none"/>
                <w:u w:val="none"/>
              </w:rPr>
            </w:pPr>
          </w:p>
        </w:tc>
        <w:tc>
          <w:tcPr>
            <w:tcW w:w="344" w:type="pct"/>
            <w:vMerge w:val="continue"/>
            <w:vAlign w:val="center"/>
          </w:tcPr>
          <w:p w14:paraId="0D47B256">
            <w:pPr>
              <w:pStyle w:val="92"/>
              <w:rPr>
                <w:color w:val="auto"/>
                <w:sz w:val="18"/>
                <w:szCs w:val="18"/>
                <w:highlight w:val="none"/>
                <w:u w:val="none"/>
              </w:rPr>
            </w:pPr>
          </w:p>
        </w:tc>
      </w:tr>
      <w:tr w14:paraId="16FC02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6A97AE0F">
            <w:pPr>
              <w:pStyle w:val="92"/>
              <w:rPr>
                <w:color w:val="auto"/>
                <w:sz w:val="18"/>
                <w:szCs w:val="18"/>
                <w:highlight w:val="none"/>
                <w:u w:val="none"/>
              </w:rPr>
            </w:pPr>
          </w:p>
        </w:tc>
        <w:tc>
          <w:tcPr>
            <w:tcW w:w="166" w:type="pct"/>
            <w:vMerge w:val="continue"/>
            <w:vAlign w:val="center"/>
          </w:tcPr>
          <w:p w14:paraId="57FD564B">
            <w:pPr>
              <w:pStyle w:val="92"/>
              <w:rPr>
                <w:color w:val="auto"/>
                <w:sz w:val="18"/>
                <w:szCs w:val="18"/>
                <w:highlight w:val="none"/>
                <w:u w:val="none"/>
              </w:rPr>
            </w:pPr>
          </w:p>
        </w:tc>
        <w:tc>
          <w:tcPr>
            <w:tcW w:w="321" w:type="pct"/>
            <w:vMerge w:val="continue"/>
            <w:vAlign w:val="center"/>
          </w:tcPr>
          <w:p w14:paraId="2CE45F80">
            <w:pPr>
              <w:pStyle w:val="92"/>
              <w:rPr>
                <w:color w:val="auto"/>
                <w:sz w:val="18"/>
                <w:szCs w:val="18"/>
                <w:highlight w:val="none"/>
                <w:u w:val="none"/>
              </w:rPr>
            </w:pPr>
          </w:p>
        </w:tc>
        <w:tc>
          <w:tcPr>
            <w:tcW w:w="318" w:type="pct"/>
            <w:vMerge w:val="continue"/>
            <w:vAlign w:val="center"/>
          </w:tcPr>
          <w:p w14:paraId="50308CB0">
            <w:pPr>
              <w:pStyle w:val="92"/>
              <w:rPr>
                <w:color w:val="auto"/>
                <w:sz w:val="18"/>
                <w:szCs w:val="18"/>
                <w:highlight w:val="none"/>
                <w:u w:val="none"/>
              </w:rPr>
            </w:pPr>
          </w:p>
        </w:tc>
        <w:tc>
          <w:tcPr>
            <w:tcW w:w="551" w:type="pct"/>
            <w:vAlign w:val="center"/>
          </w:tcPr>
          <w:p w14:paraId="719217F2">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8" w:type="pct"/>
            <w:vMerge w:val="continue"/>
            <w:vAlign w:val="center"/>
          </w:tcPr>
          <w:p w14:paraId="0CADA138">
            <w:pPr>
              <w:pStyle w:val="92"/>
              <w:rPr>
                <w:color w:val="auto"/>
                <w:sz w:val="18"/>
                <w:szCs w:val="18"/>
                <w:highlight w:val="none"/>
                <w:u w:val="none"/>
              </w:rPr>
            </w:pPr>
          </w:p>
        </w:tc>
        <w:tc>
          <w:tcPr>
            <w:tcW w:w="284" w:type="pct"/>
            <w:vAlign w:val="center"/>
          </w:tcPr>
          <w:p w14:paraId="7C0E9005">
            <w:pPr>
              <w:pStyle w:val="92"/>
              <w:rPr>
                <w:color w:val="auto"/>
                <w:sz w:val="18"/>
                <w:szCs w:val="18"/>
                <w:highlight w:val="none"/>
                <w:u w:val="none"/>
              </w:rPr>
            </w:pPr>
            <w:r>
              <w:rPr>
                <w:rFonts w:eastAsia="等线"/>
                <w:color w:val="auto"/>
                <w:sz w:val="18"/>
                <w:szCs w:val="18"/>
                <w:highlight w:val="none"/>
                <w:u w:val="none"/>
              </w:rPr>
              <w:t xml:space="preserve">733 </w:t>
            </w:r>
          </w:p>
        </w:tc>
        <w:tc>
          <w:tcPr>
            <w:tcW w:w="242" w:type="pct"/>
            <w:vAlign w:val="center"/>
          </w:tcPr>
          <w:p w14:paraId="55B8163D">
            <w:pPr>
              <w:pStyle w:val="92"/>
              <w:rPr>
                <w:color w:val="auto"/>
                <w:sz w:val="18"/>
                <w:szCs w:val="18"/>
                <w:highlight w:val="none"/>
                <w:u w:val="none"/>
              </w:rPr>
            </w:pPr>
            <w:r>
              <w:rPr>
                <w:rFonts w:hint="eastAsia"/>
                <w:color w:val="auto"/>
                <w:sz w:val="18"/>
                <w:szCs w:val="18"/>
                <w:highlight w:val="none"/>
                <w:u w:val="none"/>
              </w:rPr>
              <w:t xml:space="preserve">0.013 </w:t>
            </w:r>
          </w:p>
        </w:tc>
        <w:tc>
          <w:tcPr>
            <w:tcW w:w="348" w:type="pct"/>
            <w:vAlign w:val="center"/>
          </w:tcPr>
          <w:p w14:paraId="1239F6E8">
            <w:pPr>
              <w:pStyle w:val="92"/>
              <w:rPr>
                <w:color w:val="auto"/>
                <w:sz w:val="18"/>
                <w:szCs w:val="18"/>
                <w:highlight w:val="none"/>
                <w:u w:val="none"/>
              </w:rPr>
            </w:pPr>
            <w:r>
              <w:rPr>
                <w:rFonts w:hint="eastAsia"/>
                <w:color w:val="auto"/>
                <w:sz w:val="18"/>
                <w:szCs w:val="18"/>
                <w:highlight w:val="none"/>
                <w:u w:val="none"/>
              </w:rPr>
              <w:t xml:space="preserve">0.106 </w:t>
            </w:r>
          </w:p>
        </w:tc>
        <w:tc>
          <w:tcPr>
            <w:tcW w:w="421" w:type="pct"/>
            <w:vMerge w:val="continue"/>
            <w:vAlign w:val="center"/>
          </w:tcPr>
          <w:p w14:paraId="54C1E677">
            <w:pPr>
              <w:pStyle w:val="92"/>
              <w:rPr>
                <w:color w:val="auto"/>
                <w:sz w:val="18"/>
                <w:szCs w:val="18"/>
                <w:highlight w:val="none"/>
                <w:u w:val="none"/>
              </w:rPr>
            </w:pPr>
          </w:p>
        </w:tc>
        <w:tc>
          <w:tcPr>
            <w:tcW w:w="323" w:type="pct"/>
            <w:vAlign w:val="center"/>
          </w:tcPr>
          <w:p w14:paraId="2DB3484F">
            <w:pPr>
              <w:pStyle w:val="92"/>
              <w:rPr>
                <w:color w:val="auto"/>
                <w:sz w:val="18"/>
                <w:szCs w:val="18"/>
                <w:highlight w:val="none"/>
                <w:u w:val="none"/>
              </w:rPr>
            </w:pPr>
            <w:r>
              <w:rPr>
                <w:rFonts w:hint="eastAsia"/>
                <w:color w:val="auto"/>
                <w:sz w:val="18"/>
                <w:szCs w:val="18"/>
                <w:highlight w:val="none"/>
                <w:u w:val="none"/>
              </w:rPr>
              <w:t xml:space="preserve">293 </w:t>
            </w:r>
          </w:p>
        </w:tc>
        <w:tc>
          <w:tcPr>
            <w:tcW w:w="222" w:type="pct"/>
            <w:vAlign w:val="center"/>
          </w:tcPr>
          <w:p w14:paraId="51E9D9D0">
            <w:pPr>
              <w:pStyle w:val="92"/>
              <w:rPr>
                <w:color w:val="auto"/>
                <w:sz w:val="18"/>
                <w:szCs w:val="18"/>
                <w:highlight w:val="none"/>
                <w:u w:val="none"/>
              </w:rPr>
            </w:pPr>
            <w:r>
              <w:rPr>
                <w:rFonts w:hint="eastAsia"/>
                <w:color w:val="auto"/>
                <w:sz w:val="18"/>
                <w:szCs w:val="18"/>
                <w:highlight w:val="none"/>
                <w:u w:val="none"/>
              </w:rPr>
              <w:t>0.005</w:t>
            </w:r>
          </w:p>
        </w:tc>
        <w:tc>
          <w:tcPr>
            <w:tcW w:w="254" w:type="pct"/>
            <w:vAlign w:val="center"/>
          </w:tcPr>
          <w:p w14:paraId="1355D59C">
            <w:pPr>
              <w:pStyle w:val="92"/>
              <w:rPr>
                <w:color w:val="auto"/>
                <w:sz w:val="18"/>
                <w:szCs w:val="18"/>
                <w:highlight w:val="none"/>
                <w:u w:val="none"/>
              </w:rPr>
            </w:pPr>
            <w:r>
              <w:rPr>
                <w:rFonts w:hint="eastAsia"/>
                <w:color w:val="auto"/>
                <w:sz w:val="18"/>
                <w:szCs w:val="18"/>
                <w:highlight w:val="none"/>
                <w:u w:val="none"/>
              </w:rPr>
              <w:t>0.042</w:t>
            </w:r>
          </w:p>
        </w:tc>
        <w:tc>
          <w:tcPr>
            <w:tcW w:w="206" w:type="pct"/>
            <w:vMerge w:val="continue"/>
            <w:vAlign w:val="center"/>
          </w:tcPr>
          <w:p w14:paraId="5EF07B5D">
            <w:pPr>
              <w:pStyle w:val="92"/>
              <w:rPr>
                <w:color w:val="auto"/>
                <w:sz w:val="18"/>
                <w:szCs w:val="18"/>
                <w:highlight w:val="none"/>
                <w:u w:val="none"/>
              </w:rPr>
            </w:pPr>
          </w:p>
        </w:tc>
        <w:tc>
          <w:tcPr>
            <w:tcW w:w="221" w:type="pct"/>
            <w:vMerge w:val="continue"/>
            <w:vAlign w:val="center"/>
          </w:tcPr>
          <w:p w14:paraId="4AB999BE">
            <w:pPr>
              <w:pStyle w:val="92"/>
              <w:rPr>
                <w:color w:val="auto"/>
                <w:sz w:val="18"/>
                <w:szCs w:val="18"/>
                <w:highlight w:val="none"/>
                <w:u w:val="none"/>
              </w:rPr>
            </w:pPr>
          </w:p>
        </w:tc>
        <w:tc>
          <w:tcPr>
            <w:tcW w:w="221" w:type="pct"/>
            <w:vMerge w:val="continue"/>
            <w:vAlign w:val="center"/>
          </w:tcPr>
          <w:p w14:paraId="4D4BEAA2">
            <w:pPr>
              <w:pStyle w:val="92"/>
              <w:rPr>
                <w:color w:val="auto"/>
                <w:sz w:val="18"/>
                <w:szCs w:val="18"/>
                <w:highlight w:val="none"/>
                <w:u w:val="none"/>
              </w:rPr>
            </w:pPr>
          </w:p>
        </w:tc>
        <w:tc>
          <w:tcPr>
            <w:tcW w:w="244" w:type="pct"/>
            <w:vMerge w:val="continue"/>
            <w:vAlign w:val="center"/>
          </w:tcPr>
          <w:p w14:paraId="7475362B">
            <w:pPr>
              <w:pStyle w:val="92"/>
              <w:rPr>
                <w:color w:val="auto"/>
                <w:sz w:val="18"/>
                <w:szCs w:val="18"/>
                <w:highlight w:val="none"/>
                <w:u w:val="none"/>
              </w:rPr>
            </w:pPr>
          </w:p>
        </w:tc>
        <w:tc>
          <w:tcPr>
            <w:tcW w:w="344" w:type="pct"/>
            <w:vMerge w:val="continue"/>
            <w:vAlign w:val="center"/>
          </w:tcPr>
          <w:p w14:paraId="4FAC1059">
            <w:pPr>
              <w:pStyle w:val="92"/>
              <w:rPr>
                <w:color w:val="auto"/>
                <w:sz w:val="18"/>
                <w:szCs w:val="18"/>
                <w:highlight w:val="none"/>
                <w:u w:val="none"/>
              </w:rPr>
            </w:pPr>
          </w:p>
        </w:tc>
      </w:tr>
      <w:tr w14:paraId="64F594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restart"/>
            <w:vAlign w:val="center"/>
          </w:tcPr>
          <w:p w14:paraId="5CFB6584">
            <w:pPr>
              <w:pStyle w:val="92"/>
              <w:rPr>
                <w:color w:val="auto"/>
                <w:sz w:val="18"/>
                <w:szCs w:val="18"/>
                <w:highlight w:val="none"/>
                <w:u w:val="none"/>
              </w:rPr>
            </w:pPr>
            <w:r>
              <w:rPr>
                <w:color w:val="auto"/>
                <w:sz w:val="18"/>
                <w:szCs w:val="18"/>
                <w:highlight w:val="none"/>
                <w:u w:val="none"/>
              </w:rPr>
              <w:t>氢化单元</w:t>
            </w:r>
          </w:p>
        </w:tc>
        <w:tc>
          <w:tcPr>
            <w:tcW w:w="166" w:type="pct"/>
            <w:vAlign w:val="center"/>
          </w:tcPr>
          <w:p w14:paraId="337267EC">
            <w:pPr>
              <w:pStyle w:val="92"/>
              <w:rPr>
                <w:color w:val="auto"/>
                <w:sz w:val="18"/>
                <w:szCs w:val="18"/>
                <w:highlight w:val="none"/>
                <w:u w:val="none"/>
              </w:rPr>
            </w:pPr>
            <w:r>
              <w:rPr>
                <w:color w:val="auto"/>
                <w:sz w:val="18"/>
                <w:szCs w:val="18"/>
                <w:highlight w:val="none"/>
                <w:u w:val="none"/>
              </w:rPr>
              <w:t>G2-1</w:t>
            </w:r>
          </w:p>
        </w:tc>
        <w:tc>
          <w:tcPr>
            <w:tcW w:w="321" w:type="pct"/>
            <w:vAlign w:val="center"/>
          </w:tcPr>
          <w:p w14:paraId="4709A2F3">
            <w:pPr>
              <w:pStyle w:val="92"/>
              <w:rPr>
                <w:color w:val="auto"/>
                <w:sz w:val="18"/>
                <w:szCs w:val="18"/>
                <w:highlight w:val="none"/>
                <w:u w:val="none"/>
              </w:rPr>
            </w:pPr>
            <w:r>
              <w:rPr>
                <w:color w:val="auto"/>
                <w:sz w:val="18"/>
                <w:szCs w:val="18"/>
                <w:highlight w:val="none"/>
                <w:u w:val="none"/>
              </w:rPr>
              <w:t>反应驰放气</w:t>
            </w:r>
          </w:p>
        </w:tc>
        <w:tc>
          <w:tcPr>
            <w:tcW w:w="318" w:type="pct"/>
            <w:vAlign w:val="center"/>
          </w:tcPr>
          <w:p w14:paraId="57BD126D">
            <w:pPr>
              <w:pStyle w:val="92"/>
              <w:rPr>
                <w:color w:val="auto"/>
                <w:sz w:val="18"/>
                <w:szCs w:val="18"/>
                <w:highlight w:val="none"/>
                <w:u w:val="none"/>
              </w:rPr>
            </w:pPr>
            <w:r>
              <w:rPr>
                <w:rFonts w:hint="eastAsia"/>
                <w:color w:val="auto"/>
                <w:sz w:val="18"/>
                <w:szCs w:val="18"/>
                <w:highlight w:val="none"/>
                <w:u w:val="none"/>
              </w:rPr>
              <w:t>1077</w:t>
            </w:r>
          </w:p>
        </w:tc>
        <w:tc>
          <w:tcPr>
            <w:tcW w:w="551" w:type="pct"/>
            <w:vAlign w:val="center"/>
          </w:tcPr>
          <w:p w14:paraId="0B78CAC0">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8" w:type="pct"/>
            <w:vAlign w:val="center"/>
          </w:tcPr>
          <w:p w14:paraId="3406D17C">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049F628F">
            <w:pPr>
              <w:pStyle w:val="92"/>
              <w:rPr>
                <w:color w:val="auto"/>
                <w:sz w:val="18"/>
                <w:szCs w:val="18"/>
                <w:highlight w:val="none"/>
                <w:u w:val="none"/>
              </w:rPr>
            </w:pPr>
            <w:r>
              <w:rPr>
                <w:rFonts w:eastAsia="等线"/>
                <w:color w:val="auto"/>
                <w:sz w:val="18"/>
                <w:szCs w:val="18"/>
                <w:highlight w:val="none"/>
                <w:u w:val="none"/>
              </w:rPr>
              <w:t xml:space="preserve">5167 </w:t>
            </w:r>
          </w:p>
        </w:tc>
        <w:tc>
          <w:tcPr>
            <w:tcW w:w="242" w:type="pct"/>
            <w:shd w:val="clear" w:color="auto" w:fill="auto"/>
            <w:vAlign w:val="center"/>
          </w:tcPr>
          <w:p w14:paraId="7194B9A0">
            <w:pPr>
              <w:pStyle w:val="92"/>
              <w:rPr>
                <w:color w:val="auto"/>
                <w:sz w:val="18"/>
                <w:szCs w:val="18"/>
                <w:highlight w:val="none"/>
                <w:u w:val="none"/>
              </w:rPr>
            </w:pPr>
            <w:r>
              <w:rPr>
                <w:rFonts w:hint="eastAsia"/>
                <w:color w:val="auto"/>
                <w:sz w:val="18"/>
                <w:szCs w:val="18"/>
                <w:highlight w:val="none"/>
                <w:u w:val="none"/>
              </w:rPr>
              <w:t xml:space="preserve">5.56 </w:t>
            </w:r>
          </w:p>
        </w:tc>
        <w:tc>
          <w:tcPr>
            <w:tcW w:w="348" w:type="pct"/>
            <w:shd w:val="clear" w:color="auto" w:fill="auto"/>
            <w:vAlign w:val="center"/>
          </w:tcPr>
          <w:p w14:paraId="71A2195F">
            <w:pPr>
              <w:pStyle w:val="92"/>
              <w:rPr>
                <w:color w:val="auto"/>
                <w:sz w:val="18"/>
                <w:szCs w:val="18"/>
                <w:highlight w:val="none"/>
                <w:u w:val="none"/>
              </w:rPr>
            </w:pPr>
            <w:r>
              <w:rPr>
                <w:rFonts w:hint="eastAsia"/>
                <w:color w:val="auto"/>
                <w:sz w:val="18"/>
                <w:szCs w:val="18"/>
                <w:highlight w:val="none"/>
                <w:u w:val="none"/>
              </w:rPr>
              <w:t xml:space="preserve">44.52 </w:t>
            </w:r>
          </w:p>
        </w:tc>
        <w:tc>
          <w:tcPr>
            <w:tcW w:w="421" w:type="pct"/>
            <w:vAlign w:val="center"/>
          </w:tcPr>
          <w:p w14:paraId="72B4413A">
            <w:pPr>
              <w:pStyle w:val="92"/>
              <w:rPr>
                <w:color w:val="auto"/>
                <w:sz w:val="18"/>
                <w:szCs w:val="18"/>
                <w:highlight w:val="none"/>
                <w:u w:val="none"/>
              </w:rPr>
            </w:pPr>
            <w:r>
              <w:rPr>
                <w:rFonts w:hint="eastAsia"/>
                <w:color w:val="auto"/>
                <w:sz w:val="18"/>
                <w:szCs w:val="18"/>
                <w:highlight w:val="none"/>
                <w:u w:val="none"/>
              </w:rPr>
              <w:t>冷凝+水洗涤预处理后去焚烧</w:t>
            </w:r>
          </w:p>
        </w:tc>
        <w:tc>
          <w:tcPr>
            <w:tcW w:w="323" w:type="pct"/>
            <w:shd w:val="clear" w:color="auto" w:fill="auto"/>
            <w:vAlign w:val="center"/>
          </w:tcPr>
          <w:p w14:paraId="083747AF">
            <w:pPr>
              <w:pStyle w:val="92"/>
              <w:rPr>
                <w:color w:val="auto"/>
                <w:sz w:val="18"/>
                <w:szCs w:val="18"/>
                <w:highlight w:val="none"/>
                <w:u w:val="none"/>
              </w:rPr>
            </w:pPr>
            <w:r>
              <w:rPr>
                <w:rFonts w:hint="eastAsia"/>
                <w:color w:val="auto"/>
                <w:sz w:val="18"/>
                <w:szCs w:val="18"/>
                <w:highlight w:val="none"/>
                <w:u w:val="none"/>
              </w:rPr>
              <w:t>1033</w:t>
            </w:r>
          </w:p>
        </w:tc>
        <w:tc>
          <w:tcPr>
            <w:tcW w:w="222" w:type="pct"/>
            <w:shd w:val="clear" w:color="auto" w:fill="auto"/>
            <w:vAlign w:val="center"/>
          </w:tcPr>
          <w:p w14:paraId="4BC5B08F">
            <w:pPr>
              <w:pStyle w:val="92"/>
              <w:rPr>
                <w:color w:val="auto"/>
                <w:sz w:val="18"/>
                <w:szCs w:val="18"/>
                <w:highlight w:val="none"/>
                <w:u w:val="none"/>
              </w:rPr>
            </w:pPr>
            <w:r>
              <w:rPr>
                <w:rFonts w:hint="eastAsia"/>
                <w:color w:val="auto"/>
                <w:sz w:val="18"/>
                <w:szCs w:val="18"/>
                <w:highlight w:val="none"/>
                <w:u w:val="none"/>
              </w:rPr>
              <w:t xml:space="preserve">1.11 </w:t>
            </w:r>
          </w:p>
        </w:tc>
        <w:tc>
          <w:tcPr>
            <w:tcW w:w="254" w:type="pct"/>
            <w:shd w:val="clear" w:color="auto" w:fill="auto"/>
            <w:vAlign w:val="center"/>
          </w:tcPr>
          <w:p w14:paraId="7A132953">
            <w:pPr>
              <w:pStyle w:val="92"/>
              <w:rPr>
                <w:color w:val="auto"/>
                <w:sz w:val="18"/>
                <w:szCs w:val="18"/>
                <w:highlight w:val="none"/>
                <w:u w:val="none"/>
              </w:rPr>
            </w:pPr>
            <w:r>
              <w:rPr>
                <w:rFonts w:hint="eastAsia"/>
                <w:color w:val="auto"/>
                <w:sz w:val="18"/>
                <w:szCs w:val="18"/>
                <w:highlight w:val="none"/>
                <w:u w:val="none"/>
              </w:rPr>
              <w:t xml:space="preserve">8.90 </w:t>
            </w:r>
          </w:p>
        </w:tc>
        <w:tc>
          <w:tcPr>
            <w:tcW w:w="206" w:type="pct"/>
            <w:vMerge w:val="continue"/>
            <w:vAlign w:val="center"/>
          </w:tcPr>
          <w:p w14:paraId="4C254B04">
            <w:pPr>
              <w:pStyle w:val="92"/>
              <w:rPr>
                <w:color w:val="auto"/>
                <w:sz w:val="18"/>
                <w:szCs w:val="18"/>
                <w:highlight w:val="none"/>
                <w:u w:val="none"/>
              </w:rPr>
            </w:pPr>
          </w:p>
        </w:tc>
        <w:tc>
          <w:tcPr>
            <w:tcW w:w="221" w:type="pct"/>
            <w:vMerge w:val="continue"/>
            <w:vAlign w:val="center"/>
          </w:tcPr>
          <w:p w14:paraId="4DBBA7A7">
            <w:pPr>
              <w:pStyle w:val="92"/>
              <w:rPr>
                <w:color w:val="auto"/>
                <w:sz w:val="18"/>
                <w:szCs w:val="18"/>
                <w:highlight w:val="none"/>
                <w:u w:val="none"/>
              </w:rPr>
            </w:pPr>
          </w:p>
        </w:tc>
        <w:tc>
          <w:tcPr>
            <w:tcW w:w="221" w:type="pct"/>
            <w:vMerge w:val="continue"/>
            <w:vAlign w:val="center"/>
          </w:tcPr>
          <w:p w14:paraId="331B8B49">
            <w:pPr>
              <w:pStyle w:val="92"/>
              <w:rPr>
                <w:color w:val="auto"/>
                <w:sz w:val="18"/>
                <w:szCs w:val="18"/>
                <w:highlight w:val="none"/>
                <w:u w:val="none"/>
              </w:rPr>
            </w:pPr>
          </w:p>
        </w:tc>
        <w:tc>
          <w:tcPr>
            <w:tcW w:w="244" w:type="pct"/>
            <w:vMerge w:val="continue"/>
            <w:vAlign w:val="center"/>
          </w:tcPr>
          <w:p w14:paraId="42BB2C49">
            <w:pPr>
              <w:pStyle w:val="92"/>
              <w:rPr>
                <w:color w:val="auto"/>
                <w:sz w:val="18"/>
                <w:szCs w:val="18"/>
                <w:highlight w:val="none"/>
                <w:u w:val="none"/>
              </w:rPr>
            </w:pPr>
          </w:p>
        </w:tc>
        <w:tc>
          <w:tcPr>
            <w:tcW w:w="344" w:type="pct"/>
            <w:vMerge w:val="continue"/>
            <w:vAlign w:val="center"/>
          </w:tcPr>
          <w:p w14:paraId="219ED246">
            <w:pPr>
              <w:pStyle w:val="92"/>
              <w:rPr>
                <w:color w:val="auto"/>
                <w:sz w:val="18"/>
                <w:szCs w:val="18"/>
                <w:highlight w:val="none"/>
                <w:u w:val="none"/>
              </w:rPr>
            </w:pPr>
          </w:p>
        </w:tc>
      </w:tr>
      <w:tr w14:paraId="4B370C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3C4FFBB9">
            <w:pPr>
              <w:pStyle w:val="92"/>
              <w:rPr>
                <w:color w:val="auto"/>
                <w:sz w:val="18"/>
                <w:szCs w:val="18"/>
                <w:highlight w:val="none"/>
                <w:u w:val="none"/>
              </w:rPr>
            </w:pPr>
          </w:p>
        </w:tc>
        <w:tc>
          <w:tcPr>
            <w:tcW w:w="166" w:type="pct"/>
            <w:vMerge w:val="restart"/>
            <w:vAlign w:val="center"/>
          </w:tcPr>
          <w:p w14:paraId="6378CBA3">
            <w:pPr>
              <w:pStyle w:val="92"/>
              <w:rPr>
                <w:color w:val="auto"/>
                <w:sz w:val="18"/>
                <w:szCs w:val="18"/>
                <w:highlight w:val="none"/>
                <w:u w:val="none"/>
              </w:rPr>
            </w:pPr>
            <w:r>
              <w:rPr>
                <w:color w:val="auto"/>
                <w:sz w:val="18"/>
                <w:szCs w:val="18"/>
                <w:highlight w:val="none"/>
                <w:u w:val="none"/>
              </w:rPr>
              <w:t>G2-2</w:t>
            </w:r>
          </w:p>
        </w:tc>
        <w:tc>
          <w:tcPr>
            <w:tcW w:w="321" w:type="pct"/>
            <w:vMerge w:val="restart"/>
            <w:vAlign w:val="center"/>
          </w:tcPr>
          <w:p w14:paraId="2C29077B">
            <w:pPr>
              <w:pStyle w:val="92"/>
              <w:rPr>
                <w:color w:val="auto"/>
                <w:sz w:val="18"/>
                <w:szCs w:val="18"/>
                <w:highlight w:val="none"/>
                <w:u w:val="none"/>
              </w:rPr>
            </w:pPr>
            <w:r>
              <w:rPr>
                <w:color w:val="auto"/>
                <w:sz w:val="18"/>
                <w:szCs w:val="18"/>
                <w:highlight w:val="none"/>
                <w:u w:val="none"/>
              </w:rPr>
              <w:t>TDA精制尾气（含粗TDA中间储罐和OTDA储罐呼吸</w:t>
            </w:r>
            <w:r>
              <w:rPr>
                <w:rFonts w:hint="eastAsia"/>
                <w:color w:val="auto"/>
                <w:sz w:val="18"/>
                <w:szCs w:val="18"/>
                <w:highlight w:val="none"/>
                <w:u w:val="none"/>
              </w:rPr>
              <w:t>废</w:t>
            </w:r>
            <w:r>
              <w:rPr>
                <w:color w:val="auto"/>
                <w:sz w:val="18"/>
                <w:szCs w:val="18"/>
                <w:highlight w:val="none"/>
                <w:u w:val="none"/>
              </w:rPr>
              <w:t>气）</w:t>
            </w:r>
          </w:p>
        </w:tc>
        <w:tc>
          <w:tcPr>
            <w:tcW w:w="318" w:type="pct"/>
            <w:vMerge w:val="restart"/>
            <w:vAlign w:val="center"/>
          </w:tcPr>
          <w:p w14:paraId="3D10B64D">
            <w:pPr>
              <w:pStyle w:val="92"/>
              <w:rPr>
                <w:color w:val="auto"/>
                <w:sz w:val="18"/>
                <w:szCs w:val="18"/>
                <w:highlight w:val="none"/>
                <w:u w:val="none"/>
              </w:rPr>
            </w:pPr>
            <w:r>
              <w:rPr>
                <w:rFonts w:hint="eastAsia"/>
                <w:color w:val="auto"/>
                <w:sz w:val="18"/>
                <w:szCs w:val="18"/>
                <w:highlight w:val="none"/>
                <w:u w:val="none"/>
              </w:rPr>
              <w:t>374</w:t>
            </w:r>
          </w:p>
        </w:tc>
        <w:tc>
          <w:tcPr>
            <w:tcW w:w="551" w:type="pct"/>
            <w:shd w:val="clear" w:color="auto" w:fill="auto"/>
            <w:vAlign w:val="center"/>
          </w:tcPr>
          <w:p w14:paraId="452E7FCA">
            <w:pPr>
              <w:pStyle w:val="92"/>
              <w:rPr>
                <w:color w:val="auto"/>
                <w:sz w:val="18"/>
                <w:szCs w:val="18"/>
                <w:highlight w:val="none"/>
                <w:u w:val="none"/>
              </w:rPr>
            </w:pPr>
            <w:r>
              <w:rPr>
                <w:color w:val="auto"/>
                <w:sz w:val="18"/>
                <w:szCs w:val="18"/>
                <w:highlight w:val="none"/>
                <w:u w:val="none"/>
              </w:rPr>
              <w:t>TDA（苯胺类）</w:t>
            </w:r>
          </w:p>
          <w:p w14:paraId="23E93DBA">
            <w:pPr>
              <w:pStyle w:val="92"/>
              <w:rPr>
                <w:color w:val="auto"/>
                <w:sz w:val="18"/>
                <w:szCs w:val="18"/>
                <w:highlight w:val="none"/>
                <w:u w:val="none"/>
              </w:rPr>
            </w:pPr>
            <w:r>
              <w:rPr>
                <w:color w:val="auto"/>
                <w:sz w:val="18"/>
                <w:szCs w:val="18"/>
                <w:highlight w:val="none"/>
                <w:u w:val="none"/>
              </w:rPr>
              <w:t>（MTDA+OTDA）</w:t>
            </w:r>
          </w:p>
        </w:tc>
        <w:tc>
          <w:tcPr>
            <w:tcW w:w="188" w:type="pct"/>
            <w:vMerge w:val="restart"/>
            <w:vAlign w:val="center"/>
          </w:tcPr>
          <w:p w14:paraId="45F1DE23">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6AE3CF30">
            <w:pPr>
              <w:pStyle w:val="92"/>
              <w:rPr>
                <w:color w:val="auto"/>
                <w:sz w:val="18"/>
                <w:szCs w:val="18"/>
                <w:highlight w:val="none"/>
                <w:u w:val="none"/>
              </w:rPr>
            </w:pPr>
            <w:r>
              <w:rPr>
                <w:rFonts w:eastAsia="等线"/>
                <w:color w:val="auto"/>
                <w:sz w:val="18"/>
                <w:szCs w:val="18"/>
                <w:highlight w:val="none"/>
                <w:u w:val="none"/>
              </w:rPr>
              <w:t xml:space="preserve">417 </w:t>
            </w:r>
          </w:p>
        </w:tc>
        <w:tc>
          <w:tcPr>
            <w:tcW w:w="242" w:type="pct"/>
            <w:shd w:val="clear" w:color="auto" w:fill="auto"/>
            <w:vAlign w:val="center"/>
          </w:tcPr>
          <w:p w14:paraId="4090428C">
            <w:pPr>
              <w:pStyle w:val="92"/>
              <w:rPr>
                <w:color w:val="auto"/>
                <w:sz w:val="18"/>
                <w:szCs w:val="18"/>
                <w:highlight w:val="none"/>
                <w:u w:val="none"/>
              </w:rPr>
            </w:pPr>
            <w:r>
              <w:rPr>
                <w:rFonts w:hint="eastAsia"/>
                <w:color w:val="auto"/>
                <w:sz w:val="18"/>
                <w:szCs w:val="18"/>
                <w:highlight w:val="none"/>
                <w:u w:val="none"/>
              </w:rPr>
              <w:t>0.16</w:t>
            </w:r>
          </w:p>
        </w:tc>
        <w:tc>
          <w:tcPr>
            <w:tcW w:w="348" w:type="pct"/>
            <w:shd w:val="clear" w:color="auto" w:fill="auto"/>
            <w:vAlign w:val="center"/>
          </w:tcPr>
          <w:p w14:paraId="7955D417">
            <w:pPr>
              <w:pStyle w:val="92"/>
              <w:rPr>
                <w:color w:val="auto"/>
                <w:sz w:val="18"/>
                <w:szCs w:val="18"/>
                <w:highlight w:val="none"/>
                <w:u w:val="none"/>
              </w:rPr>
            </w:pPr>
            <w:r>
              <w:rPr>
                <w:rFonts w:hint="eastAsia"/>
                <w:color w:val="auto"/>
                <w:sz w:val="18"/>
                <w:szCs w:val="18"/>
                <w:highlight w:val="none"/>
                <w:u w:val="none"/>
              </w:rPr>
              <w:t>1.25</w:t>
            </w:r>
          </w:p>
        </w:tc>
        <w:tc>
          <w:tcPr>
            <w:tcW w:w="421" w:type="pct"/>
            <w:vMerge w:val="restart"/>
            <w:vAlign w:val="center"/>
          </w:tcPr>
          <w:p w14:paraId="6CB67163">
            <w:pPr>
              <w:pStyle w:val="92"/>
              <w:rPr>
                <w:color w:val="auto"/>
                <w:sz w:val="18"/>
                <w:szCs w:val="18"/>
                <w:highlight w:val="none"/>
                <w:u w:val="none"/>
              </w:rPr>
            </w:pPr>
            <w:r>
              <w:rPr>
                <w:color w:val="auto"/>
                <w:sz w:val="18"/>
                <w:szCs w:val="18"/>
                <w:highlight w:val="none"/>
                <w:u w:val="none"/>
              </w:rPr>
              <w:t>冷凝+水洗涤+活性炭吸附</w:t>
            </w:r>
          </w:p>
        </w:tc>
        <w:tc>
          <w:tcPr>
            <w:tcW w:w="323" w:type="pct"/>
            <w:shd w:val="clear" w:color="auto" w:fill="auto"/>
            <w:vAlign w:val="center"/>
          </w:tcPr>
          <w:p w14:paraId="2E28C6B2">
            <w:pPr>
              <w:pStyle w:val="92"/>
              <w:rPr>
                <w:color w:val="auto"/>
                <w:sz w:val="18"/>
                <w:szCs w:val="18"/>
                <w:highlight w:val="none"/>
                <w:u w:val="none"/>
              </w:rPr>
            </w:pPr>
            <w:r>
              <w:rPr>
                <w:rFonts w:eastAsia="等线"/>
                <w:color w:val="auto"/>
                <w:sz w:val="18"/>
                <w:szCs w:val="18"/>
                <w:highlight w:val="none"/>
                <w:u w:val="none"/>
              </w:rPr>
              <w:t xml:space="preserve">13 </w:t>
            </w:r>
          </w:p>
        </w:tc>
        <w:tc>
          <w:tcPr>
            <w:tcW w:w="222" w:type="pct"/>
            <w:shd w:val="clear" w:color="auto" w:fill="auto"/>
            <w:vAlign w:val="center"/>
          </w:tcPr>
          <w:p w14:paraId="6D5B6B82">
            <w:pPr>
              <w:pStyle w:val="92"/>
              <w:rPr>
                <w:color w:val="auto"/>
                <w:sz w:val="18"/>
                <w:szCs w:val="18"/>
                <w:highlight w:val="none"/>
                <w:u w:val="none"/>
              </w:rPr>
            </w:pPr>
            <w:r>
              <w:rPr>
                <w:rFonts w:hint="eastAsia"/>
                <w:color w:val="auto"/>
                <w:sz w:val="18"/>
                <w:szCs w:val="18"/>
                <w:highlight w:val="none"/>
                <w:u w:val="none"/>
              </w:rPr>
              <w:t>0.004</w:t>
            </w:r>
          </w:p>
        </w:tc>
        <w:tc>
          <w:tcPr>
            <w:tcW w:w="254" w:type="pct"/>
            <w:shd w:val="clear" w:color="auto" w:fill="auto"/>
            <w:vAlign w:val="center"/>
          </w:tcPr>
          <w:p w14:paraId="67385A0D">
            <w:pPr>
              <w:pStyle w:val="92"/>
              <w:rPr>
                <w:color w:val="auto"/>
                <w:sz w:val="18"/>
                <w:szCs w:val="18"/>
                <w:highlight w:val="none"/>
                <w:u w:val="none"/>
              </w:rPr>
            </w:pPr>
            <w:r>
              <w:rPr>
                <w:rFonts w:hint="eastAsia"/>
                <w:color w:val="auto"/>
                <w:sz w:val="18"/>
                <w:szCs w:val="18"/>
                <w:highlight w:val="none"/>
                <w:u w:val="none"/>
              </w:rPr>
              <w:t>0.037</w:t>
            </w:r>
          </w:p>
        </w:tc>
        <w:tc>
          <w:tcPr>
            <w:tcW w:w="206" w:type="pct"/>
            <w:vMerge w:val="restart"/>
            <w:vAlign w:val="center"/>
          </w:tcPr>
          <w:p w14:paraId="77E3A06D">
            <w:pPr>
              <w:pStyle w:val="92"/>
              <w:rPr>
                <w:color w:val="auto"/>
                <w:sz w:val="18"/>
                <w:szCs w:val="18"/>
                <w:highlight w:val="none"/>
                <w:u w:val="none"/>
              </w:rPr>
            </w:pPr>
            <w:r>
              <w:rPr>
                <w:rFonts w:hint="eastAsia"/>
                <w:color w:val="auto"/>
                <w:sz w:val="18"/>
                <w:szCs w:val="18"/>
                <w:highlight w:val="none"/>
                <w:u w:val="none"/>
              </w:rPr>
              <w:t>DA010</w:t>
            </w:r>
          </w:p>
        </w:tc>
        <w:tc>
          <w:tcPr>
            <w:tcW w:w="221" w:type="pct"/>
            <w:vMerge w:val="restart"/>
            <w:vAlign w:val="center"/>
          </w:tcPr>
          <w:p w14:paraId="728E7187">
            <w:pPr>
              <w:pStyle w:val="92"/>
              <w:rPr>
                <w:color w:val="auto"/>
                <w:sz w:val="18"/>
                <w:szCs w:val="18"/>
                <w:highlight w:val="none"/>
                <w:u w:val="none"/>
              </w:rPr>
            </w:pPr>
            <w:r>
              <w:rPr>
                <w:rFonts w:hint="eastAsia"/>
                <w:color w:val="auto"/>
                <w:sz w:val="18"/>
                <w:szCs w:val="18"/>
                <w:highlight w:val="none"/>
                <w:u w:val="none"/>
              </w:rPr>
              <w:t>34</w:t>
            </w:r>
          </w:p>
        </w:tc>
        <w:tc>
          <w:tcPr>
            <w:tcW w:w="221" w:type="pct"/>
            <w:vMerge w:val="restart"/>
            <w:vAlign w:val="center"/>
          </w:tcPr>
          <w:p w14:paraId="5DA632AA">
            <w:pPr>
              <w:pStyle w:val="92"/>
              <w:rPr>
                <w:color w:val="auto"/>
                <w:sz w:val="18"/>
                <w:szCs w:val="18"/>
                <w:highlight w:val="none"/>
                <w:u w:val="none"/>
              </w:rPr>
            </w:pPr>
            <w:r>
              <w:rPr>
                <w:color w:val="auto"/>
                <w:sz w:val="18"/>
                <w:szCs w:val="18"/>
                <w:highlight w:val="none"/>
                <w:u w:val="none"/>
              </w:rPr>
              <w:t>0.35</w:t>
            </w:r>
          </w:p>
        </w:tc>
        <w:tc>
          <w:tcPr>
            <w:tcW w:w="244" w:type="pct"/>
            <w:vMerge w:val="restart"/>
            <w:vAlign w:val="center"/>
          </w:tcPr>
          <w:p w14:paraId="4BF28FE1">
            <w:pPr>
              <w:pStyle w:val="92"/>
              <w:rPr>
                <w:color w:val="auto"/>
                <w:sz w:val="18"/>
                <w:szCs w:val="18"/>
                <w:highlight w:val="none"/>
                <w:u w:val="none"/>
              </w:rPr>
            </w:pPr>
            <w:r>
              <w:rPr>
                <w:color w:val="auto"/>
                <w:sz w:val="18"/>
                <w:szCs w:val="18"/>
                <w:highlight w:val="none"/>
                <w:u w:val="none"/>
              </w:rPr>
              <w:t>25</w:t>
            </w:r>
          </w:p>
        </w:tc>
        <w:tc>
          <w:tcPr>
            <w:tcW w:w="344" w:type="pct"/>
            <w:vMerge w:val="restart"/>
            <w:vAlign w:val="center"/>
          </w:tcPr>
          <w:p w14:paraId="338688B3">
            <w:pPr>
              <w:pStyle w:val="92"/>
              <w:rPr>
                <w:color w:val="auto"/>
                <w:sz w:val="18"/>
                <w:szCs w:val="18"/>
                <w:highlight w:val="none"/>
                <w:u w:val="none"/>
              </w:rPr>
            </w:pPr>
            <w:r>
              <w:rPr>
                <w:color w:val="auto"/>
                <w:sz w:val="18"/>
                <w:szCs w:val="18"/>
                <w:highlight w:val="none"/>
                <w:u w:val="none"/>
              </w:rPr>
              <w:t>大气</w:t>
            </w:r>
          </w:p>
        </w:tc>
      </w:tr>
      <w:tr w14:paraId="5FE68E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19E0A911">
            <w:pPr>
              <w:pStyle w:val="92"/>
              <w:rPr>
                <w:color w:val="auto"/>
                <w:sz w:val="18"/>
                <w:szCs w:val="18"/>
                <w:highlight w:val="none"/>
                <w:u w:val="none"/>
              </w:rPr>
            </w:pPr>
          </w:p>
        </w:tc>
        <w:tc>
          <w:tcPr>
            <w:tcW w:w="166" w:type="pct"/>
            <w:vMerge w:val="continue"/>
            <w:vAlign w:val="center"/>
          </w:tcPr>
          <w:p w14:paraId="5AC2ADA4">
            <w:pPr>
              <w:pStyle w:val="92"/>
              <w:rPr>
                <w:color w:val="auto"/>
                <w:sz w:val="18"/>
                <w:szCs w:val="18"/>
                <w:highlight w:val="none"/>
                <w:u w:val="none"/>
              </w:rPr>
            </w:pPr>
          </w:p>
        </w:tc>
        <w:tc>
          <w:tcPr>
            <w:tcW w:w="321" w:type="pct"/>
            <w:vMerge w:val="continue"/>
            <w:vAlign w:val="center"/>
          </w:tcPr>
          <w:p w14:paraId="798C5CD1">
            <w:pPr>
              <w:pStyle w:val="92"/>
              <w:rPr>
                <w:color w:val="auto"/>
                <w:sz w:val="18"/>
                <w:szCs w:val="18"/>
                <w:highlight w:val="none"/>
                <w:u w:val="none"/>
              </w:rPr>
            </w:pPr>
          </w:p>
        </w:tc>
        <w:tc>
          <w:tcPr>
            <w:tcW w:w="318" w:type="pct"/>
            <w:vMerge w:val="continue"/>
            <w:vAlign w:val="center"/>
          </w:tcPr>
          <w:p w14:paraId="18D1C1E1">
            <w:pPr>
              <w:pStyle w:val="92"/>
              <w:rPr>
                <w:color w:val="auto"/>
                <w:sz w:val="18"/>
                <w:szCs w:val="18"/>
                <w:highlight w:val="none"/>
                <w:u w:val="none"/>
              </w:rPr>
            </w:pPr>
          </w:p>
        </w:tc>
        <w:tc>
          <w:tcPr>
            <w:tcW w:w="551" w:type="pct"/>
            <w:shd w:val="clear" w:color="auto" w:fill="auto"/>
            <w:vAlign w:val="center"/>
          </w:tcPr>
          <w:p w14:paraId="42078345">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8" w:type="pct"/>
            <w:vMerge w:val="continue"/>
            <w:vAlign w:val="center"/>
          </w:tcPr>
          <w:p w14:paraId="3543C030">
            <w:pPr>
              <w:pStyle w:val="92"/>
              <w:rPr>
                <w:color w:val="auto"/>
                <w:sz w:val="18"/>
                <w:szCs w:val="18"/>
                <w:highlight w:val="none"/>
                <w:u w:val="none"/>
              </w:rPr>
            </w:pPr>
          </w:p>
        </w:tc>
        <w:tc>
          <w:tcPr>
            <w:tcW w:w="284" w:type="pct"/>
            <w:shd w:val="clear" w:color="auto" w:fill="auto"/>
            <w:vAlign w:val="center"/>
          </w:tcPr>
          <w:p w14:paraId="0330CE47">
            <w:pPr>
              <w:pStyle w:val="92"/>
              <w:rPr>
                <w:color w:val="auto"/>
                <w:sz w:val="18"/>
                <w:szCs w:val="18"/>
                <w:highlight w:val="none"/>
                <w:u w:val="none"/>
              </w:rPr>
            </w:pPr>
            <w:r>
              <w:rPr>
                <w:rFonts w:eastAsia="等线"/>
                <w:color w:val="auto"/>
                <w:sz w:val="18"/>
                <w:szCs w:val="18"/>
                <w:highlight w:val="none"/>
                <w:u w:val="none"/>
              </w:rPr>
              <w:t xml:space="preserve">833 </w:t>
            </w:r>
          </w:p>
        </w:tc>
        <w:tc>
          <w:tcPr>
            <w:tcW w:w="242" w:type="pct"/>
            <w:shd w:val="clear" w:color="auto" w:fill="auto"/>
            <w:vAlign w:val="center"/>
          </w:tcPr>
          <w:p w14:paraId="02662F4C">
            <w:pPr>
              <w:pStyle w:val="92"/>
              <w:rPr>
                <w:rFonts w:eastAsia="等线"/>
                <w:color w:val="auto"/>
                <w:sz w:val="18"/>
                <w:szCs w:val="18"/>
                <w:highlight w:val="none"/>
                <w:u w:val="none"/>
              </w:rPr>
            </w:pPr>
            <w:r>
              <w:rPr>
                <w:rFonts w:hint="eastAsia" w:eastAsia="等线"/>
                <w:color w:val="auto"/>
                <w:sz w:val="18"/>
                <w:szCs w:val="18"/>
                <w:highlight w:val="none"/>
                <w:u w:val="none"/>
              </w:rPr>
              <w:t>0.31</w:t>
            </w:r>
          </w:p>
        </w:tc>
        <w:tc>
          <w:tcPr>
            <w:tcW w:w="348" w:type="pct"/>
            <w:shd w:val="clear" w:color="auto" w:fill="auto"/>
            <w:vAlign w:val="center"/>
          </w:tcPr>
          <w:p w14:paraId="25311E40">
            <w:pPr>
              <w:pStyle w:val="92"/>
              <w:rPr>
                <w:rFonts w:eastAsia="等线"/>
                <w:color w:val="auto"/>
                <w:sz w:val="18"/>
                <w:szCs w:val="18"/>
                <w:highlight w:val="none"/>
                <w:u w:val="none"/>
              </w:rPr>
            </w:pPr>
            <w:r>
              <w:rPr>
                <w:rFonts w:hint="eastAsia" w:eastAsia="等线"/>
                <w:color w:val="auto"/>
                <w:sz w:val="18"/>
                <w:szCs w:val="18"/>
                <w:highlight w:val="none"/>
                <w:u w:val="none"/>
              </w:rPr>
              <w:t>2.49</w:t>
            </w:r>
          </w:p>
        </w:tc>
        <w:tc>
          <w:tcPr>
            <w:tcW w:w="421" w:type="pct"/>
            <w:vMerge w:val="continue"/>
            <w:vAlign w:val="center"/>
          </w:tcPr>
          <w:p w14:paraId="68624B18">
            <w:pPr>
              <w:pStyle w:val="92"/>
              <w:rPr>
                <w:color w:val="auto"/>
                <w:sz w:val="18"/>
                <w:szCs w:val="18"/>
                <w:highlight w:val="none"/>
                <w:u w:val="none"/>
              </w:rPr>
            </w:pPr>
          </w:p>
        </w:tc>
        <w:tc>
          <w:tcPr>
            <w:tcW w:w="323" w:type="pct"/>
            <w:shd w:val="clear" w:color="auto" w:fill="auto"/>
            <w:vAlign w:val="center"/>
          </w:tcPr>
          <w:p w14:paraId="1DE7C5B7">
            <w:pPr>
              <w:pStyle w:val="92"/>
              <w:rPr>
                <w:rFonts w:eastAsia="等线"/>
                <w:color w:val="auto"/>
                <w:sz w:val="18"/>
                <w:szCs w:val="18"/>
                <w:highlight w:val="none"/>
                <w:u w:val="none"/>
              </w:rPr>
            </w:pPr>
            <w:r>
              <w:rPr>
                <w:rFonts w:hint="eastAsia" w:eastAsia="等线"/>
                <w:color w:val="auto"/>
                <w:sz w:val="18"/>
                <w:szCs w:val="18"/>
                <w:highlight w:val="none"/>
                <w:u w:val="none"/>
              </w:rPr>
              <w:t>17</w:t>
            </w:r>
          </w:p>
        </w:tc>
        <w:tc>
          <w:tcPr>
            <w:tcW w:w="222" w:type="pct"/>
            <w:shd w:val="clear" w:color="auto" w:fill="auto"/>
            <w:vAlign w:val="center"/>
          </w:tcPr>
          <w:p w14:paraId="5F98C9D5">
            <w:pPr>
              <w:pStyle w:val="92"/>
              <w:rPr>
                <w:rFonts w:eastAsia="等线"/>
                <w:color w:val="auto"/>
                <w:sz w:val="18"/>
                <w:szCs w:val="18"/>
                <w:highlight w:val="none"/>
                <w:u w:val="none"/>
              </w:rPr>
            </w:pPr>
            <w:r>
              <w:rPr>
                <w:rFonts w:hint="eastAsia" w:eastAsia="等线"/>
                <w:color w:val="auto"/>
                <w:sz w:val="18"/>
                <w:szCs w:val="18"/>
                <w:highlight w:val="none"/>
                <w:u w:val="none"/>
              </w:rPr>
              <w:t>0.009</w:t>
            </w:r>
          </w:p>
        </w:tc>
        <w:tc>
          <w:tcPr>
            <w:tcW w:w="254" w:type="pct"/>
            <w:shd w:val="clear" w:color="auto" w:fill="auto"/>
            <w:vAlign w:val="center"/>
          </w:tcPr>
          <w:p w14:paraId="0383CDBE">
            <w:pPr>
              <w:pStyle w:val="92"/>
              <w:rPr>
                <w:rFonts w:eastAsia="等线"/>
                <w:color w:val="auto"/>
                <w:sz w:val="18"/>
                <w:szCs w:val="18"/>
                <w:highlight w:val="none"/>
                <w:u w:val="none"/>
              </w:rPr>
            </w:pPr>
            <w:r>
              <w:rPr>
                <w:rFonts w:hint="eastAsia" w:eastAsia="等线"/>
                <w:color w:val="auto"/>
                <w:sz w:val="18"/>
                <w:szCs w:val="18"/>
                <w:highlight w:val="none"/>
                <w:u w:val="none"/>
              </w:rPr>
              <w:t>0.075</w:t>
            </w:r>
          </w:p>
        </w:tc>
        <w:tc>
          <w:tcPr>
            <w:tcW w:w="206" w:type="pct"/>
            <w:vMerge w:val="continue"/>
            <w:vAlign w:val="center"/>
          </w:tcPr>
          <w:p w14:paraId="7278B1EF">
            <w:pPr>
              <w:pStyle w:val="92"/>
              <w:rPr>
                <w:color w:val="auto"/>
                <w:sz w:val="18"/>
                <w:szCs w:val="18"/>
                <w:highlight w:val="none"/>
                <w:u w:val="none"/>
              </w:rPr>
            </w:pPr>
          </w:p>
        </w:tc>
        <w:tc>
          <w:tcPr>
            <w:tcW w:w="221" w:type="pct"/>
            <w:vMerge w:val="continue"/>
            <w:vAlign w:val="center"/>
          </w:tcPr>
          <w:p w14:paraId="1B4F1BB5">
            <w:pPr>
              <w:pStyle w:val="92"/>
              <w:rPr>
                <w:color w:val="auto"/>
                <w:sz w:val="18"/>
                <w:szCs w:val="18"/>
                <w:highlight w:val="none"/>
                <w:u w:val="none"/>
              </w:rPr>
            </w:pPr>
          </w:p>
        </w:tc>
        <w:tc>
          <w:tcPr>
            <w:tcW w:w="221" w:type="pct"/>
            <w:vMerge w:val="continue"/>
            <w:vAlign w:val="center"/>
          </w:tcPr>
          <w:p w14:paraId="44E6A839">
            <w:pPr>
              <w:pStyle w:val="92"/>
              <w:rPr>
                <w:color w:val="auto"/>
                <w:sz w:val="18"/>
                <w:szCs w:val="18"/>
                <w:highlight w:val="none"/>
                <w:u w:val="none"/>
              </w:rPr>
            </w:pPr>
          </w:p>
        </w:tc>
        <w:tc>
          <w:tcPr>
            <w:tcW w:w="244" w:type="pct"/>
            <w:vMerge w:val="continue"/>
            <w:vAlign w:val="center"/>
          </w:tcPr>
          <w:p w14:paraId="5FD078C2">
            <w:pPr>
              <w:pStyle w:val="92"/>
              <w:rPr>
                <w:color w:val="auto"/>
                <w:sz w:val="18"/>
                <w:szCs w:val="18"/>
                <w:highlight w:val="none"/>
                <w:u w:val="none"/>
              </w:rPr>
            </w:pPr>
          </w:p>
        </w:tc>
        <w:tc>
          <w:tcPr>
            <w:tcW w:w="344" w:type="pct"/>
            <w:vMerge w:val="continue"/>
            <w:vAlign w:val="center"/>
          </w:tcPr>
          <w:p w14:paraId="5BB59373">
            <w:pPr>
              <w:pStyle w:val="92"/>
              <w:rPr>
                <w:color w:val="auto"/>
                <w:sz w:val="18"/>
                <w:szCs w:val="18"/>
                <w:highlight w:val="none"/>
                <w:u w:val="none"/>
              </w:rPr>
            </w:pPr>
          </w:p>
        </w:tc>
      </w:tr>
      <w:tr w14:paraId="53A80C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restart"/>
            <w:vAlign w:val="center"/>
          </w:tcPr>
          <w:p w14:paraId="2B07CB63">
            <w:pPr>
              <w:pStyle w:val="92"/>
              <w:rPr>
                <w:color w:val="auto"/>
                <w:sz w:val="18"/>
                <w:szCs w:val="18"/>
                <w:highlight w:val="none"/>
                <w:u w:val="none"/>
              </w:rPr>
            </w:pPr>
            <w:r>
              <w:rPr>
                <w:color w:val="auto"/>
                <w:sz w:val="18"/>
                <w:szCs w:val="18"/>
                <w:highlight w:val="none"/>
                <w:u w:val="none"/>
              </w:rPr>
              <w:t>光化单元</w:t>
            </w:r>
          </w:p>
        </w:tc>
        <w:tc>
          <w:tcPr>
            <w:tcW w:w="166" w:type="pct"/>
            <w:vMerge w:val="restart"/>
            <w:vAlign w:val="center"/>
          </w:tcPr>
          <w:p w14:paraId="65126224">
            <w:pPr>
              <w:pStyle w:val="92"/>
              <w:rPr>
                <w:color w:val="auto"/>
                <w:sz w:val="18"/>
                <w:szCs w:val="18"/>
                <w:highlight w:val="none"/>
                <w:u w:val="none"/>
              </w:rPr>
            </w:pPr>
            <w:r>
              <w:rPr>
                <w:color w:val="auto"/>
                <w:sz w:val="18"/>
                <w:szCs w:val="18"/>
                <w:highlight w:val="none"/>
                <w:u w:val="none"/>
              </w:rPr>
              <w:t>G3-1</w:t>
            </w:r>
          </w:p>
        </w:tc>
        <w:tc>
          <w:tcPr>
            <w:tcW w:w="321" w:type="pct"/>
            <w:vMerge w:val="restart"/>
            <w:vAlign w:val="center"/>
          </w:tcPr>
          <w:p w14:paraId="0D4BDC5E">
            <w:pPr>
              <w:pStyle w:val="92"/>
              <w:rPr>
                <w:color w:val="auto"/>
                <w:sz w:val="18"/>
                <w:szCs w:val="18"/>
                <w:highlight w:val="none"/>
                <w:u w:val="none"/>
              </w:rPr>
            </w:pPr>
            <w:r>
              <w:rPr>
                <w:color w:val="auto"/>
                <w:sz w:val="18"/>
                <w:szCs w:val="18"/>
                <w:highlight w:val="none"/>
                <w:u w:val="none"/>
              </w:rPr>
              <w:t>光化尾气（含TDI不合格储罐呼吸气）</w:t>
            </w:r>
          </w:p>
        </w:tc>
        <w:tc>
          <w:tcPr>
            <w:tcW w:w="318" w:type="pct"/>
            <w:vMerge w:val="restart"/>
            <w:vAlign w:val="center"/>
          </w:tcPr>
          <w:p w14:paraId="3251BB18">
            <w:pPr>
              <w:pStyle w:val="92"/>
              <w:rPr>
                <w:color w:val="auto"/>
                <w:sz w:val="18"/>
                <w:szCs w:val="18"/>
                <w:highlight w:val="none"/>
                <w:u w:val="none"/>
              </w:rPr>
            </w:pPr>
            <w:r>
              <w:rPr>
                <w:rFonts w:hint="eastAsia"/>
                <w:color w:val="auto"/>
                <w:sz w:val="18"/>
                <w:szCs w:val="18"/>
                <w:highlight w:val="none"/>
                <w:u w:val="none"/>
              </w:rPr>
              <w:t>800</w:t>
            </w:r>
          </w:p>
        </w:tc>
        <w:tc>
          <w:tcPr>
            <w:tcW w:w="551" w:type="pct"/>
            <w:shd w:val="clear" w:color="auto" w:fill="auto"/>
            <w:vAlign w:val="center"/>
          </w:tcPr>
          <w:p w14:paraId="0483635C">
            <w:pPr>
              <w:pStyle w:val="92"/>
              <w:rPr>
                <w:color w:val="auto"/>
                <w:sz w:val="18"/>
                <w:szCs w:val="18"/>
                <w:highlight w:val="none"/>
                <w:u w:val="none"/>
              </w:rPr>
            </w:pPr>
            <w:r>
              <w:rPr>
                <w:color w:val="auto"/>
                <w:sz w:val="18"/>
                <w:szCs w:val="18"/>
                <w:highlight w:val="none"/>
                <w:u w:val="none"/>
              </w:rPr>
              <w:t>Cl</w:t>
            </w:r>
            <w:r>
              <w:rPr>
                <w:color w:val="auto"/>
                <w:sz w:val="18"/>
                <w:szCs w:val="18"/>
                <w:highlight w:val="none"/>
                <w:u w:val="none"/>
                <w:vertAlign w:val="subscript"/>
              </w:rPr>
              <w:t>2</w:t>
            </w:r>
          </w:p>
        </w:tc>
        <w:tc>
          <w:tcPr>
            <w:tcW w:w="188" w:type="pct"/>
            <w:vMerge w:val="restart"/>
            <w:vAlign w:val="center"/>
          </w:tcPr>
          <w:p w14:paraId="3F877985">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4B4DA687">
            <w:pPr>
              <w:pStyle w:val="92"/>
              <w:rPr>
                <w:color w:val="auto"/>
                <w:sz w:val="18"/>
                <w:szCs w:val="18"/>
                <w:highlight w:val="none"/>
                <w:u w:val="none"/>
              </w:rPr>
            </w:pPr>
            <w:r>
              <w:rPr>
                <w:rFonts w:eastAsia="等线"/>
                <w:color w:val="auto"/>
                <w:sz w:val="18"/>
                <w:szCs w:val="18"/>
                <w:highlight w:val="none"/>
                <w:u w:val="none"/>
              </w:rPr>
              <w:t xml:space="preserve">1167 </w:t>
            </w:r>
          </w:p>
        </w:tc>
        <w:tc>
          <w:tcPr>
            <w:tcW w:w="242" w:type="pct"/>
            <w:shd w:val="clear" w:color="auto" w:fill="auto"/>
            <w:vAlign w:val="center"/>
          </w:tcPr>
          <w:p w14:paraId="7CFA6042">
            <w:pPr>
              <w:pStyle w:val="92"/>
              <w:rPr>
                <w:rFonts w:eastAsia="等线"/>
                <w:color w:val="auto"/>
                <w:sz w:val="18"/>
                <w:szCs w:val="18"/>
                <w:highlight w:val="none"/>
                <w:u w:val="none"/>
              </w:rPr>
            </w:pPr>
            <w:r>
              <w:rPr>
                <w:rFonts w:hint="eastAsia" w:eastAsia="等线"/>
                <w:color w:val="auto"/>
                <w:sz w:val="18"/>
                <w:szCs w:val="18"/>
                <w:highlight w:val="none"/>
                <w:u w:val="none"/>
              </w:rPr>
              <w:t xml:space="preserve">0.93 </w:t>
            </w:r>
          </w:p>
        </w:tc>
        <w:tc>
          <w:tcPr>
            <w:tcW w:w="348" w:type="pct"/>
            <w:shd w:val="clear" w:color="auto" w:fill="auto"/>
            <w:vAlign w:val="center"/>
          </w:tcPr>
          <w:p w14:paraId="2C4BAE4D">
            <w:pPr>
              <w:pStyle w:val="92"/>
              <w:rPr>
                <w:rFonts w:eastAsia="等线"/>
                <w:color w:val="auto"/>
                <w:sz w:val="18"/>
                <w:szCs w:val="18"/>
                <w:highlight w:val="none"/>
                <w:u w:val="none"/>
              </w:rPr>
            </w:pPr>
            <w:r>
              <w:rPr>
                <w:rFonts w:hint="eastAsia" w:eastAsia="等线"/>
                <w:color w:val="auto"/>
                <w:sz w:val="18"/>
                <w:szCs w:val="18"/>
                <w:highlight w:val="none"/>
                <w:u w:val="none"/>
              </w:rPr>
              <w:t xml:space="preserve">7.47 </w:t>
            </w:r>
          </w:p>
        </w:tc>
        <w:tc>
          <w:tcPr>
            <w:tcW w:w="421" w:type="pct"/>
            <w:vMerge w:val="restart"/>
            <w:vAlign w:val="center"/>
          </w:tcPr>
          <w:p w14:paraId="6E6A9038">
            <w:pPr>
              <w:pStyle w:val="92"/>
              <w:rPr>
                <w:rFonts w:eastAsia="等线"/>
                <w:color w:val="auto"/>
                <w:sz w:val="18"/>
                <w:szCs w:val="18"/>
                <w:highlight w:val="none"/>
                <w:u w:val="none"/>
              </w:rPr>
            </w:pPr>
            <w:r>
              <w:rPr>
                <w:rFonts w:eastAsia="等线"/>
                <w:color w:val="auto"/>
                <w:sz w:val="18"/>
                <w:szCs w:val="18"/>
                <w:highlight w:val="none"/>
                <w:u w:val="none"/>
              </w:rPr>
              <w:t>经</w:t>
            </w:r>
            <w:r>
              <w:rPr>
                <w:rFonts w:hint="eastAsia" w:eastAsia="等线"/>
                <w:color w:val="auto"/>
                <w:sz w:val="18"/>
                <w:szCs w:val="18"/>
                <w:highlight w:val="none"/>
                <w:u w:val="none"/>
              </w:rPr>
              <w:t>酸分解+碱分解</w:t>
            </w:r>
            <w:r>
              <w:rPr>
                <w:rFonts w:eastAsia="等线"/>
                <w:color w:val="auto"/>
                <w:sz w:val="18"/>
                <w:szCs w:val="18"/>
                <w:highlight w:val="none"/>
                <w:u w:val="none"/>
              </w:rPr>
              <w:t>预处理后去焚烧</w:t>
            </w:r>
          </w:p>
        </w:tc>
        <w:tc>
          <w:tcPr>
            <w:tcW w:w="323" w:type="pct"/>
            <w:shd w:val="clear" w:color="auto" w:fill="auto"/>
            <w:vAlign w:val="center"/>
          </w:tcPr>
          <w:p w14:paraId="092BA2CB">
            <w:pPr>
              <w:pStyle w:val="92"/>
              <w:rPr>
                <w:rFonts w:eastAsia="等线"/>
                <w:color w:val="auto"/>
                <w:sz w:val="18"/>
                <w:szCs w:val="18"/>
                <w:highlight w:val="none"/>
                <w:u w:val="none"/>
              </w:rPr>
            </w:pPr>
            <w:r>
              <w:rPr>
                <w:rFonts w:eastAsia="等线"/>
                <w:color w:val="auto"/>
                <w:sz w:val="18"/>
                <w:szCs w:val="18"/>
                <w:highlight w:val="none"/>
                <w:u w:val="none"/>
              </w:rPr>
              <w:t xml:space="preserve">58 </w:t>
            </w:r>
          </w:p>
        </w:tc>
        <w:tc>
          <w:tcPr>
            <w:tcW w:w="222" w:type="pct"/>
            <w:shd w:val="clear" w:color="auto" w:fill="auto"/>
            <w:vAlign w:val="center"/>
          </w:tcPr>
          <w:p w14:paraId="6A10EF54">
            <w:pPr>
              <w:pStyle w:val="92"/>
              <w:rPr>
                <w:rFonts w:eastAsia="等线"/>
                <w:color w:val="auto"/>
                <w:sz w:val="18"/>
                <w:szCs w:val="18"/>
                <w:highlight w:val="none"/>
                <w:u w:val="none"/>
              </w:rPr>
            </w:pPr>
            <w:r>
              <w:rPr>
                <w:rFonts w:hint="eastAsia" w:eastAsia="等线"/>
                <w:color w:val="auto"/>
                <w:sz w:val="18"/>
                <w:szCs w:val="18"/>
                <w:highlight w:val="none"/>
                <w:u w:val="none"/>
              </w:rPr>
              <w:t xml:space="preserve">0.05 </w:t>
            </w:r>
          </w:p>
        </w:tc>
        <w:tc>
          <w:tcPr>
            <w:tcW w:w="254" w:type="pct"/>
            <w:shd w:val="clear" w:color="auto" w:fill="auto"/>
            <w:vAlign w:val="center"/>
          </w:tcPr>
          <w:p w14:paraId="26BA6274">
            <w:pPr>
              <w:pStyle w:val="92"/>
              <w:rPr>
                <w:rFonts w:eastAsia="等线"/>
                <w:color w:val="auto"/>
                <w:sz w:val="18"/>
                <w:szCs w:val="18"/>
                <w:highlight w:val="none"/>
                <w:u w:val="none"/>
              </w:rPr>
            </w:pPr>
            <w:r>
              <w:rPr>
                <w:rFonts w:hint="eastAsia" w:eastAsia="等线"/>
                <w:color w:val="auto"/>
                <w:sz w:val="18"/>
                <w:szCs w:val="18"/>
                <w:highlight w:val="none"/>
                <w:u w:val="none"/>
              </w:rPr>
              <w:t xml:space="preserve">0.37 </w:t>
            </w:r>
          </w:p>
        </w:tc>
        <w:tc>
          <w:tcPr>
            <w:tcW w:w="206" w:type="pct"/>
            <w:vMerge w:val="restart"/>
            <w:vAlign w:val="center"/>
          </w:tcPr>
          <w:p w14:paraId="575FB60F">
            <w:pPr>
              <w:pStyle w:val="92"/>
              <w:rPr>
                <w:rFonts w:eastAsia="等线"/>
                <w:color w:val="auto"/>
                <w:sz w:val="18"/>
                <w:szCs w:val="18"/>
                <w:highlight w:val="none"/>
                <w:u w:val="none"/>
              </w:rPr>
            </w:pPr>
            <w:r>
              <w:rPr>
                <w:rFonts w:eastAsia="等线"/>
                <w:color w:val="auto"/>
                <w:sz w:val="18"/>
                <w:szCs w:val="18"/>
                <w:highlight w:val="none"/>
                <w:u w:val="none"/>
              </w:rPr>
              <w:t>/</w:t>
            </w:r>
          </w:p>
        </w:tc>
        <w:tc>
          <w:tcPr>
            <w:tcW w:w="221" w:type="pct"/>
            <w:vMerge w:val="restart"/>
            <w:vAlign w:val="center"/>
          </w:tcPr>
          <w:p w14:paraId="0DD846F4">
            <w:pPr>
              <w:pStyle w:val="92"/>
              <w:rPr>
                <w:rFonts w:eastAsia="等线"/>
                <w:color w:val="auto"/>
                <w:sz w:val="18"/>
                <w:szCs w:val="18"/>
                <w:highlight w:val="none"/>
                <w:u w:val="none"/>
              </w:rPr>
            </w:pPr>
            <w:r>
              <w:rPr>
                <w:rFonts w:eastAsia="等线"/>
                <w:color w:val="auto"/>
                <w:sz w:val="18"/>
                <w:szCs w:val="18"/>
                <w:highlight w:val="none"/>
                <w:u w:val="none"/>
              </w:rPr>
              <w:t>50</w:t>
            </w:r>
          </w:p>
        </w:tc>
        <w:tc>
          <w:tcPr>
            <w:tcW w:w="221" w:type="pct"/>
            <w:vMerge w:val="restart"/>
            <w:vAlign w:val="center"/>
          </w:tcPr>
          <w:p w14:paraId="3D26A887">
            <w:pPr>
              <w:pStyle w:val="92"/>
              <w:rPr>
                <w:rFonts w:eastAsia="等线"/>
                <w:color w:val="auto"/>
                <w:sz w:val="18"/>
                <w:szCs w:val="18"/>
                <w:highlight w:val="none"/>
                <w:u w:val="none"/>
              </w:rPr>
            </w:pPr>
            <w:r>
              <w:rPr>
                <w:rFonts w:eastAsia="等线"/>
                <w:color w:val="auto"/>
                <w:sz w:val="18"/>
                <w:szCs w:val="18"/>
                <w:highlight w:val="none"/>
                <w:u w:val="none"/>
              </w:rPr>
              <w:t>2.0</w:t>
            </w:r>
          </w:p>
        </w:tc>
        <w:tc>
          <w:tcPr>
            <w:tcW w:w="244" w:type="pct"/>
            <w:vMerge w:val="restart"/>
            <w:vAlign w:val="center"/>
          </w:tcPr>
          <w:p w14:paraId="0F1C0B21">
            <w:pPr>
              <w:pStyle w:val="92"/>
              <w:rPr>
                <w:rFonts w:eastAsia="等线"/>
                <w:color w:val="auto"/>
                <w:sz w:val="18"/>
                <w:szCs w:val="18"/>
                <w:highlight w:val="none"/>
                <w:u w:val="none"/>
              </w:rPr>
            </w:pPr>
            <w:r>
              <w:rPr>
                <w:rFonts w:eastAsia="等线"/>
                <w:color w:val="auto"/>
                <w:sz w:val="18"/>
                <w:szCs w:val="18"/>
                <w:highlight w:val="none"/>
                <w:u w:val="none"/>
              </w:rPr>
              <w:t>150</w:t>
            </w:r>
          </w:p>
        </w:tc>
        <w:tc>
          <w:tcPr>
            <w:tcW w:w="344" w:type="pct"/>
            <w:vMerge w:val="restart"/>
            <w:vAlign w:val="center"/>
          </w:tcPr>
          <w:p w14:paraId="41E39A6D">
            <w:pPr>
              <w:pStyle w:val="92"/>
              <w:rPr>
                <w:rFonts w:eastAsia="等线"/>
                <w:color w:val="auto"/>
                <w:sz w:val="18"/>
                <w:szCs w:val="18"/>
                <w:highlight w:val="none"/>
                <w:u w:val="none"/>
              </w:rPr>
            </w:pPr>
            <w:r>
              <w:rPr>
                <w:rFonts w:hint="eastAsia" w:eastAsia="等线"/>
                <w:color w:val="auto"/>
                <w:sz w:val="18"/>
                <w:szCs w:val="18"/>
                <w:highlight w:val="none"/>
                <w:u w:val="none"/>
              </w:rPr>
              <w:t>万华环保科技公司</w:t>
            </w:r>
            <w:r>
              <w:rPr>
                <w:rFonts w:eastAsia="等线"/>
                <w:color w:val="auto"/>
                <w:sz w:val="18"/>
                <w:szCs w:val="18"/>
                <w:highlight w:val="none"/>
                <w:u w:val="none"/>
              </w:rPr>
              <w:t>能量回收装置</w:t>
            </w:r>
          </w:p>
        </w:tc>
      </w:tr>
      <w:tr w14:paraId="72202B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70EA1BF5">
            <w:pPr>
              <w:pStyle w:val="92"/>
              <w:rPr>
                <w:color w:val="auto"/>
                <w:sz w:val="18"/>
                <w:szCs w:val="18"/>
                <w:highlight w:val="none"/>
                <w:u w:val="none"/>
              </w:rPr>
            </w:pPr>
          </w:p>
        </w:tc>
        <w:tc>
          <w:tcPr>
            <w:tcW w:w="166" w:type="pct"/>
            <w:vMerge w:val="continue"/>
            <w:vAlign w:val="center"/>
          </w:tcPr>
          <w:p w14:paraId="603F6EC1">
            <w:pPr>
              <w:pStyle w:val="92"/>
              <w:rPr>
                <w:color w:val="auto"/>
                <w:sz w:val="18"/>
                <w:szCs w:val="18"/>
                <w:highlight w:val="none"/>
                <w:u w:val="none"/>
              </w:rPr>
            </w:pPr>
          </w:p>
        </w:tc>
        <w:tc>
          <w:tcPr>
            <w:tcW w:w="321" w:type="pct"/>
            <w:vMerge w:val="continue"/>
            <w:vAlign w:val="center"/>
          </w:tcPr>
          <w:p w14:paraId="7C88B98D">
            <w:pPr>
              <w:pStyle w:val="92"/>
              <w:rPr>
                <w:color w:val="auto"/>
                <w:sz w:val="18"/>
                <w:szCs w:val="18"/>
                <w:highlight w:val="none"/>
                <w:u w:val="none"/>
              </w:rPr>
            </w:pPr>
          </w:p>
        </w:tc>
        <w:tc>
          <w:tcPr>
            <w:tcW w:w="318" w:type="pct"/>
            <w:vMerge w:val="continue"/>
            <w:vAlign w:val="center"/>
          </w:tcPr>
          <w:p w14:paraId="24435574">
            <w:pPr>
              <w:pStyle w:val="92"/>
              <w:rPr>
                <w:color w:val="auto"/>
                <w:sz w:val="18"/>
                <w:szCs w:val="18"/>
                <w:highlight w:val="none"/>
                <w:u w:val="none"/>
              </w:rPr>
            </w:pPr>
          </w:p>
        </w:tc>
        <w:tc>
          <w:tcPr>
            <w:tcW w:w="551" w:type="pct"/>
            <w:shd w:val="clear" w:color="auto" w:fill="auto"/>
            <w:vAlign w:val="center"/>
          </w:tcPr>
          <w:p w14:paraId="4632071A">
            <w:pPr>
              <w:pStyle w:val="92"/>
              <w:rPr>
                <w:color w:val="auto"/>
                <w:sz w:val="18"/>
                <w:szCs w:val="18"/>
                <w:highlight w:val="none"/>
                <w:u w:val="none"/>
              </w:rPr>
            </w:pPr>
            <w:r>
              <w:rPr>
                <w:color w:val="auto"/>
                <w:sz w:val="18"/>
                <w:szCs w:val="18"/>
                <w:highlight w:val="none"/>
                <w:u w:val="none"/>
              </w:rPr>
              <w:t>光气</w:t>
            </w:r>
          </w:p>
        </w:tc>
        <w:tc>
          <w:tcPr>
            <w:tcW w:w="188" w:type="pct"/>
            <w:vMerge w:val="continue"/>
            <w:vAlign w:val="center"/>
          </w:tcPr>
          <w:p w14:paraId="0847409F">
            <w:pPr>
              <w:pStyle w:val="92"/>
              <w:rPr>
                <w:color w:val="auto"/>
                <w:sz w:val="18"/>
                <w:szCs w:val="18"/>
                <w:highlight w:val="none"/>
                <w:u w:val="none"/>
              </w:rPr>
            </w:pPr>
          </w:p>
        </w:tc>
        <w:tc>
          <w:tcPr>
            <w:tcW w:w="284" w:type="pct"/>
            <w:shd w:val="clear" w:color="auto" w:fill="auto"/>
            <w:vAlign w:val="center"/>
          </w:tcPr>
          <w:p w14:paraId="3086D4E0">
            <w:pPr>
              <w:pStyle w:val="92"/>
              <w:rPr>
                <w:color w:val="auto"/>
                <w:sz w:val="18"/>
                <w:szCs w:val="18"/>
                <w:highlight w:val="none"/>
                <w:u w:val="none"/>
              </w:rPr>
            </w:pPr>
            <w:r>
              <w:rPr>
                <w:rFonts w:hint="eastAsia"/>
                <w:color w:val="auto"/>
                <w:sz w:val="18"/>
                <w:szCs w:val="18"/>
                <w:highlight w:val="none"/>
                <w:u w:val="none"/>
              </w:rPr>
              <w:t>250</w:t>
            </w:r>
          </w:p>
        </w:tc>
        <w:tc>
          <w:tcPr>
            <w:tcW w:w="242" w:type="pct"/>
            <w:shd w:val="clear" w:color="auto" w:fill="auto"/>
            <w:vAlign w:val="center"/>
          </w:tcPr>
          <w:p w14:paraId="3FA1694C">
            <w:pPr>
              <w:pStyle w:val="92"/>
              <w:rPr>
                <w:rFonts w:eastAsia="等线"/>
                <w:color w:val="auto"/>
                <w:sz w:val="18"/>
                <w:szCs w:val="18"/>
                <w:highlight w:val="none"/>
                <w:u w:val="none"/>
              </w:rPr>
            </w:pPr>
            <w:r>
              <w:rPr>
                <w:rFonts w:hint="eastAsia" w:eastAsia="等线"/>
                <w:color w:val="auto"/>
                <w:sz w:val="18"/>
                <w:szCs w:val="18"/>
                <w:highlight w:val="none"/>
                <w:u w:val="none"/>
              </w:rPr>
              <w:t>0.2</w:t>
            </w:r>
          </w:p>
        </w:tc>
        <w:tc>
          <w:tcPr>
            <w:tcW w:w="348" w:type="pct"/>
            <w:shd w:val="clear" w:color="auto" w:fill="auto"/>
            <w:vAlign w:val="center"/>
          </w:tcPr>
          <w:p w14:paraId="2E514CDF">
            <w:pPr>
              <w:pStyle w:val="92"/>
              <w:rPr>
                <w:rFonts w:eastAsia="等线"/>
                <w:color w:val="auto"/>
                <w:sz w:val="18"/>
                <w:szCs w:val="18"/>
                <w:highlight w:val="none"/>
                <w:u w:val="none"/>
              </w:rPr>
            </w:pPr>
            <w:r>
              <w:rPr>
                <w:rFonts w:hint="eastAsia" w:eastAsia="等线"/>
                <w:color w:val="auto"/>
                <w:sz w:val="18"/>
                <w:szCs w:val="18"/>
                <w:highlight w:val="none"/>
                <w:u w:val="none"/>
              </w:rPr>
              <w:t>1.6</w:t>
            </w:r>
          </w:p>
        </w:tc>
        <w:tc>
          <w:tcPr>
            <w:tcW w:w="421" w:type="pct"/>
            <w:vMerge w:val="continue"/>
            <w:vAlign w:val="center"/>
          </w:tcPr>
          <w:p w14:paraId="7FFECCB1">
            <w:pPr>
              <w:pStyle w:val="92"/>
              <w:rPr>
                <w:rFonts w:eastAsia="等线"/>
                <w:color w:val="auto"/>
                <w:sz w:val="18"/>
                <w:szCs w:val="18"/>
                <w:highlight w:val="none"/>
                <w:u w:val="none"/>
              </w:rPr>
            </w:pPr>
          </w:p>
        </w:tc>
        <w:tc>
          <w:tcPr>
            <w:tcW w:w="323" w:type="pct"/>
            <w:shd w:val="clear" w:color="auto" w:fill="auto"/>
            <w:vAlign w:val="center"/>
          </w:tcPr>
          <w:p w14:paraId="6CFF9FA7">
            <w:pPr>
              <w:pStyle w:val="92"/>
              <w:rPr>
                <w:rFonts w:eastAsia="等线"/>
                <w:color w:val="auto"/>
                <w:sz w:val="18"/>
                <w:szCs w:val="18"/>
                <w:highlight w:val="none"/>
                <w:u w:val="none"/>
              </w:rPr>
            </w:pPr>
            <w:r>
              <w:rPr>
                <w:rFonts w:hint="eastAsia" w:eastAsia="等线"/>
                <w:color w:val="auto"/>
                <w:sz w:val="18"/>
                <w:szCs w:val="18"/>
                <w:highlight w:val="none"/>
                <w:u w:val="none"/>
              </w:rPr>
              <w:t>0.5</w:t>
            </w:r>
          </w:p>
        </w:tc>
        <w:tc>
          <w:tcPr>
            <w:tcW w:w="222" w:type="pct"/>
            <w:shd w:val="clear" w:color="auto" w:fill="auto"/>
            <w:vAlign w:val="center"/>
          </w:tcPr>
          <w:p w14:paraId="259CC587">
            <w:pPr>
              <w:pStyle w:val="92"/>
              <w:rPr>
                <w:rFonts w:eastAsia="等线"/>
                <w:color w:val="auto"/>
                <w:sz w:val="18"/>
                <w:szCs w:val="18"/>
                <w:highlight w:val="none"/>
                <w:u w:val="none"/>
              </w:rPr>
            </w:pPr>
            <w:r>
              <w:rPr>
                <w:rFonts w:hint="eastAsia" w:eastAsia="等线"/>
                <w:color w:val="auto"/>
                <w:sz w:val="18"/>
                <w:szCs w:val="18"/>
                <w:highlight w:val="none"/>
                <w:u w:val="none"/>
              </w:rPr>
              <w:t>0.0004</w:t>
            </w:r>
          </w:p>
        </w:tc>
        <w:tc>
          <w:tcPr>
            <w:tcW w:w="254" w:type="pct"/>
            <w:shd w:val="clear" w:color="auto" w:fill="auto"/>
            <w:vAlign w:val="center"/>
          </w:tcPr>
          <w:p w14:paraId="0A528943">
            <w:pPr>
              <w:pStyle w:val="92"/>
              <w:rPr>
                <w:rFonts w:eastAsia="等线"/>
                <w:color w:val="auto"/>
                <w:sz w:val="18"/>
                <w:szCs w:val="18"/>
                <w:highlight w:val="none"/>
                <w:u w:val="none"/>
              </w:rPr>
            </w:pPr>
            <w:r>
              <w:rPr>
                <w:rFonts w:hint="eastAsia" w:eastAsia="等线"/>
                <w:color w:val="auto"/>
                <w:sz w:val="18"/>
                <w:szCs w:val="18"/>
                <w:highlight w:val="none"/>
                <w:u w:val="none"/>
              </w:rPr>
              <w:t>0.0032</w:t>
            </w:r>
          </w:p>
        </w:tc>
        <w:tc>
          <w:tcPr>
            <w:tcW w:w="206" w:type="pct"/>
            <w:vMerge w:val="continue"/>
            <w:vAlign w:val="center"/>
          </w:tcPr>
          <w:p w14:paraId="1B68922E">
            <w:pPr>
              <w:pStyle w:val="92"/>
              <w:rPr>
                <w:rFonts w:eastAsia="等线"/>
                <w:color w:val="auto"/>
                <w:sz w:val="18"/>
                <w:szCs w:val="18"/>
                <w:highlight w:val="none"/>
                <w:u w:val="none"/>
              </w:rPr>
            </w:pPr>
          </w:p>
        </w:tc>
        <w:tc>
          <w:tcPr>
            <w:tcW w:w="221" w:type="pct"/>
            <w:vMerge w:val="continue"/>
            <w:vAlign w:val="center"/>
          </w:tcPr>
          <w:p w14:paraId="15BCA317">
            <w:pPr>
              <w:pStyle w:val="92"/>
              <w:rPr>
                <w:rFonts w:eastAsia="等线"/>
                <w:color w:val="auto"/>
                <w:sz w:val="18"/>
                <w:szCs w:val="18"/>
                <w:highlight w:val="none"/>
                <w:u w:val="none"/>
              </w:rPr>
            </w:pPr>
          </w:p>
        </w:tc>
        <w:tc>
          <w:tcPr>
            <w:tcW w:w="221" w:type="pct"/>
            <w:vMerge w:val="continue"/>
            <w:vAlign w:val="center"/>
          </w:tcPr>
          <w:p w14:paraId="00C95B90">
            <w:pPr>
              <w:pStyle w:val="92"/>
              <w:rPr>
                <w:rFonts w:eastAsia="等线"/>
                <w:color w:val="auto"/>
                <w:sz w:val="18"/>
                <w:szCs w:val="18"/>
                <w:highlight w:val="none"/>
                <w:u w:val="none"/>
              </w:rPr>
            </w:pPr>
          </w:p>
        </w:tc>
        <w:tc>
          <w:tcPr>
            <w:tcW w:w="244" w:type="pct"/>
            <w:vMerge w:val="continue"/>
            <w:vAlign w:val="center"/>
          </w:tcPr>
          <w:p w14:paraId="47CA4B40">
            <w:pPr>
              <w:pStyle w:val="92"/>
              <w:rPr>
                <w:rFonts w:eastAsia="等线"/>
                <w:color w:val="auto"/>
                <w:sz w:val="18"/>
                <w:szCs w:val="18"/>
                <w:highlight w:val="none"/>
                <w:u w:val="none"/>
              </w:rPr>
            </w:pPr>
          </w:p>
        </w:tc>
        <w:tc>
          <w:tcPr>
            <w:tcW w:w="344" w:type="pct"/>
            <w:vMerge w:val="continue"/>
            <w:vAlign w:val="center"/>
          </w:tcPr>
          <w:p w14:paraId="36B5A8F9">
            <w:pPr>
              <w:pStyle w:val="92"/>
              <w:rPr>
                <w:rFonts w:eastAsia="等线"/>
                <w:color w:val="auto"/>
                <w:sz w:val="18"/>
                <w:szCs w:val="18"/>
                <w:highlight w:val="none"/>
                <w:u w:val="none"/>
              </w:rPr>
            </w:pPr>
          </w:p>
        </w:tc>
      </w:tr>
      <w:tr w14:paraId="3E97D0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573C4A88">
            <w:pPr>
              <w:pStyle w:val="92"/>
              <w:rPr>
                <w:color w:val="auto"/>
                <w:sz w:val="18"/>
                <w:szCs w:val="18"/>
                <w:highlight w:val="none"/>
                <w:u w:val="none"/>
              </w:rPr>
            </w:pPr>
          </w:p>
        </w:tc>
        <w:tc>
          <w:tcPr>
            <w:tcW w:w="166" w:type="pct"/>
            <w:vMerge w:val="continue"/>
            <w:vAlign w:val="center"/>
          </w:tcPr>
          <w:p w14:paraId="3F042A22">
            <w:pPr>
              <w:pStyle w:val="92"/>
              <w:rPr>
                <w:color w:val="auto"/>
                <w:sz w:val="18"/>
                <w:szCs w:val="18"/>
                <w:highlight w:val="none"/>
                <w:u w:val="none"/>
              </w:rPr>
            </w:pPr>
          </w:p>
        </w:tc>
        <w:tc>
          <w:tcPr>
            <w:tcW w:w="321" w:type="pct"/>
            <w:vMerge w:val="continue"/>
            <w:vAlign w:val="center"/>
          </w:tcPr>
          <w:p w14:paraId="1DD13551">
            <w:pPr>
              <w:pStyle w:val="92"/>
              <w:rPr>
                <w:color w:val="auto"/>
                <w:sz w:val="18"/>
                <w:szCs w:val="18"/>
                <w:highlight w:val="none"/>
                <w:u w:val="none"/>
              </w:rPr>
            </w:pPr>
          </w:p>
        </w:tc>
        <w:tc>
          <w:tcPr>
            <w:tcW w:w="318" w:type="pct"/>
            <w:vMerge w:val="continue"/>
            <w:vAlign w:val="center"/>
          </w:tcPr>
          <w:p w14:paraId="7DF72B87">
            <w:pPr>
              <w:pStyle w:val="92"/>
              <w:rPr>
                <w:color w:val="auto"/>
                <w:sz w:val="18"/>
                <w:szCs w:val="18"/>
                <w:highlight w:val="none"/>
                <w:u w:val="none"/>
              </w:rPr>
            </w:pPr>
          </w:p>
        </w:tc>
        <w:tc>
          <w:tcPr>
            <w:tcW w:w="551" w:type="pct"/>
            <w:shd w:val="clear" w:color="auto" w:fill="auto"/>
            <w:vAlign w:val="center"/>
          </w:tcPr>
          <w:p w14:paraId="0E4DE8B6">
            <w:pPr>
              <w:pStyle w:val="92"/>
              <w:rPr>
                <w:color w:val="auto"/>
                <w:sz w:val="18"/>
                <w:szCs w:val="18"/>
                <w:highlight w:val="none"/>
                <w:u w:val="none"/>
              </w:rPr>
            </w:pPr>
            <w:r>
              <w:rPr>
                <w:color w:val="auto"/>
                <w:sz w:val="18"/>
                <w:szCs w:val="18"/>
                <w:highlight w:val="none"/>
                <w:u w:val="none"/>
              </w:rPr>
              <w:t>邻二氯苯</w:t>
            </w:r>
          </w:p>
          <w:p w14:paraId="5DE53B99">
            <w:pPr>
              <w:pStyle w:val="92"/>
              <w:rPr>
                <w:color w:val="auto"/>
                <w:sz w:val="18"/>
                <w:szCs w:val="18"/>
                <w:highlight w:val="none"/>
                <w:u w:val="none"/>
              </w:rPr>
            </w:pPr>
            <w:r>
              <w:rPr>
                <w:color w:val="auto"/>
                <w:sz w:val="18"/>
                <w:szCs w:val="18"/>
                <w:highlight w:val="none"/>
                <w:u w:val="none"/>
              </w:rPr>
              <w:t>（氯苯类）</w:t>
            </w:r>
          </w:p>
        </w:tc>
        <w:tc>
          <w:tcPr>
            <w:tcW w:w="188" w:type="pct"/>
            <w:vMerge w:val="continue"/>
            <w:vAlign w:val="center"/>
          </w:tcPr>
          <w:p w14:paraId="3E2C403D">
            <w:pPr>
              <w:pStyle w:val="92"/>
              <w:rPr>
                <w:color w:val="auto"/>
                <w:sz w:val="18"/>
                <w:szCs w:val="18"/>
                <w:highlight w:val="none"/>
                <w:u w:val="none"/>
              </w:rPr>
            </w:pPr>
          </w:p>
        </w:tc>
        <w:tc>
          <w:tcPr>
            <w:tcW w:w="284" w:type="pct"/>
            <w:shd w:val="clear" w:color="auto" w:fill="auto"/>
            <w:vAlign w:val="center"/>
          </w:tcPr>
          <w:p w14:paraId="42A92DF7">
            <w:pPr>
              <w:pStyle w:val="92"/>
              <w:rPr>
                <w:color w:val="auto"/>
                <w:sz w:val="18"/>
                <w:szCs w:val="18"/>
                <w:highlight w:val="none"/>
                <w:u w:val="none"/>
              </w:rPr>
            </w:pPr>
            <w:r>
              <w:rPr>
                <w:rFonts w:hint="eastAsia"/>
                <w:color w:val="auto"/>
                <w:sz w:val="18"/>
                <w:szCs w:val="18"/>
                <w:highlight w:val="none"/>
                <w:u w:val="none"/>
              </w:rPr>
              <w:t>2052</w:t>
            </w:r>
          </w:p>
        </w:tc>
        <w:tc>
          <w:tcPr>
            <w:tcW w:w="242" w:type="pct"/>
            <w:shd w:val="clear" w:color="auto" w:fill="auto"/>
            <w:vAlign w:val="center"/>
          </w:tcPr>
          <w:p w14:paraId="6F553358">
            <w:pPr>
              <w:pStyle w:val="92"/>
              <w:rPr>
                <w:rFonts w:eastAsia="等线"/>
                <w:color w:val="auto"/>
                <w:sz w:val="18"/>
                <w:szCs w:val="18"/>
                <w:highlight w:val="none"/>
                <w:u w:val="none"/>
              </w:rPr>
            </w:pPr>
            <w:r>
              <w:rPr>
                <w:rFonts w:hint="eastAsia" w:eastAsia="等线"/>
                <w:color w:val="auto"/>
                <w:sz w:val="18"/>
                <w:szCs w:val="18"/>
                <w:highlight w:val="none"/>
                <w:u w:val="none"/>
              </w:rPr>
              <w:t>1.64</w:t>
            </w:r>
          </w:p>
        </w:tc>
        <w:tc>
          <w:tcPr>
            <w:tcW w:w="348" w:type="pct"/>
            <w:shd w:val="clear" w:color="auto" w:fill="auto"/>
            <w:vAlign w:val="center"/>
          </w:tcPr>
          <w:p w14:paraId="329FB646">
            <w:pPr>
              <w:pStyle w:val="92"/>
              <w:rPr>
                <w:rFonts w:eastAsia="等线"/>
                <w:color w:val="auto"/>
                <w:sz w:val="18"/>
                <w:szCs w:val="18"/>
                <w:highlight w:val="none"/>
                <w:u w:val="none"/>
              </w:rPr>
            </w:pPr>
            <w:r>
              <w:rPr>
                <w:rFonts w:hint="eastAsia" w:eastAsia="等线"/>
                <w:color w:val="auto"/>
                <w:sz w:val="18"/>
                <w:szCs w:val="18"/>
                <w:highlight w:val="none"/>
                <w:u w:val="none"/>
              </w:rPr>
              <w:t>13.13</w:t>
            </w:r>
          </w:p>
        </w:tc>
        <w:tc>
          <w:tcPr>
            <w:tcW w:w="421" w:type="pct"/>
            <w:vMerge w:val="continue"/>
            <w:vAlign w:val="center"/>
          </w:tcPr>
          <w:p w14:paraId="34206649">
            <w:pPr>
              <w:pStyle w:val="92"/>
              <w:rPr>
                <w:rFonts w:eastAsia="等线"/>
                <w:color w:val="auto"/>
                <w:sz w:val="18"/>
                <w:szCs w:val="18"/>
                <w:highlight w:val="none"/>
                <w:u w:val="none"/>
              </w:rPr>
            </w:pPr>
          </w:p>
        </w:tc>
        <w:tc>
          <w:tcPr>
            <w:tcW w:w="323" w:type="pct"/>
            <w:shd w:val="clear" w:color="auto" w:fill="auto"/>
            <w:vAlign w:val="center"/>
          </w:tcPr>
          <w:p w14:paraId="5A00C39A">
            <w:pPr>
              <w:pStyle w:val="92"/>
              <w:rPr>
                <w:rFonts w:eastAsia="等线"/>
                <w:color w:val="auto"/>
                <w:sz w:val="18"/>
                <w:szCs w:val="18"/>
                <w:highlight w:val="none"/>
                <w:u w:val="none"/>
              </w:rPr>
            </w:pPr>
            <w:r>
              <w:rPr>
                <w:rFonts w:hint="eastAsia" w:eastAsia="等线"/>
                <w:color w:val="auto"/>
                <w:sz w:val="18"/>
                <w:szCs w:val="18"/>
                <w:highlight w:val="none"/>
                <w:u w:val="none"/>
              </w:rPr>
              <w:t>2052</w:t>
            </w:r>
          </w:p>
        </w:tc>
        <w:tc>
          <w:tcPr>
            <w:tcW w:w="222" w:type="pct"/>
            <w:shd w:val="clear" w:color="auto" w:fill="auto"/>
            <w:vAlign w:val="center"/>
          </w:tcPr>
          <w:p w14:paraId="6A5CD6EA">
            <w:pPr>
              <w:pStyle w:val="92"/>
              <w:rPr>
                <w:rFonts w:eastAsia="等线"/>
                <w:color w:val="auto"/>
                <w:sz w:val="18"/>
                <w:szCs w:val="18"/>
                <w:highlight w:val="none"/>
                <w:u w:val="none"/>
              </w:rPr>
            </w:pPr>
            <w:r>
              <w:rPr>
                <w:rFonts w:hint="eastAsia" w:eastAsia="等线"/>
                <w:color w:val="auto"/>
                <w:sz w:val="18"/>
                <w:szCs w:val="18"/>
                <w:highlight w:val="none"/>
                <w:u w:val="none"/>
              </w:rPr>
              <w:t>1.64</w:t>
            </w:r>
          </w:p>
        </w:tc>
        <w:tc>
          <w:tcPr>
            <w:tcW w:w="254" w:type="pct"/>
            <w:shd w:val="clear" w:color="auto" w:fill="auto"/>
            <w:vAlign w:val="center"/>
          </w:tcPr>
          <w:p w14:paraId="06ADC566">
            <w:pPr>
              <w:pStyle w:val="92"/>
              <w:rPr>
                <w:rFonts w:eastAsia="等线"/>
                <w:color w:val="auto"/>
                <w:sz w:val="18"/>
                <w:szCs w:val="18"/>
                <w:highlight w:val="none"/>
                <w:u w:val="none"/>
              </w:rPr>
            </w:pPr>
            <w:r>
              <w:rPr>
                <w:rFonts w:hint="eastAsia" w:eastAsia="等线"/>
                <w:color w:val="auto"/>
                <w:sz w:val="18"/>
                <w:szCs w:val="18"/>
                <w:highlight w:val="none"/>
                <w:u w:val="none"/>
              </w:rPr>
              <w:t>13.13</w:t>
            </w:r>
          </w:p>
        </w:tc>
        <w:tc>
          <w:tcPr>
            <w:tcW w:w="206" w:type="pct"/>
            <w:vMerge w:val="continue"/>
            <w:vAlign w:val="center"/>
          </w:tcPr>
          <w:p w14:paraId="537A8D3B">
            <w:pPr>
              <w:pStyle w:val="92"/>
              <w:rPr>
                <w:rFonts w:eastAsia="等线"/>
                <w:color w:val="auto"/>
                <w:sz w:val="18"/>
                <w:szCs w:val="18"/>
                <w:highlight w:val="none"/>
                <w:u w:val="none"/>
              </w:rPr>
            </w:pPr>
          </w:p>
        </w:tc>
        <w:tc>
          <w:tcPr>
            <w:tcW w:w="221" w:type="pct"/>
            <w:vMerge w:val="continue"/>
            <w:vAlign w:val="center"/>
          </w:tcPr>
          <w:p w14:paraId="1F88EC99">
            <w:pPr>
              <w:pStyle w:val="92"/>
              <w:rPr>
                <w:rFonts w:eastAsia="等线"/>
                <w:color w:val="auto"/>
                <w:sz w:val="18"/>
                <w:szCs w:val="18"/>
                <w:highlight w:val="none"/>
                <w:u w:val="none"/>
              </w:rPr>
            </w:pPr>
          </w:p>
        </w:tc>
        <w:tc>
          <w:tcPr>
            <w:tcW w:w="221" w:type="pct"/>
            <w:vMerge w:val="continue"/>
            <w:vAlign w:val="center"/>
          </w:tcPr>
          <w:p w14:paraId="62E96D17">
            <w:pPr>
              <w:pStyle w:val="92"/>
              <w:rPr>
                <w:rFonts w:eastAsia="等线"/>
                <w:color w:val="auto"/>
                <w:sz w:val="18"/>
                <w:szCs w:val="18"/>
                <w:highlight w:val="none"/>
                <w:u w:val="none"/>
              </w:rPr>
            </w:pPr>
          </w:p>
        </w:tc>
        <w:tc>
          <w:tcPr>
            <w:tcW w:w="244" w:type="pct"/>
            <w:vMerge w:val="continue"/>
            <w:vAlign w:val="center"/>
          </w:tcPr>
          <w:p w14:paraId="300AFE72">
            <w:pPr>
              <w:pStyle w:val="92"/>
              <w:rPr>
                <w:rFonts w:eastAsia="等线"/>
                <w:color w:val="auto"/>
                <w:sz w:val="18"/>
                <w:szCs w:val="18"/>
                <w:highlight w:val="none"/>
                <w:u w:val="none"/>
              </w:rPr>
            </w:pPr>
          </w:p>
        </w:tc>
        <w:tc>
          <w:tcPr>
            <w:tcW w:w="344" w:type="pct"/>
            <w:vMerge w:val="continue"/>
            <w:vAlign w:val="center"/>
          </w:tcPr>
          <w:p w14:paraId="30D03541">
            <w:pPr>
              <w:pStyle w:val="92"/>
              <w:rPr>
                <w:rFonts w:eastAsia="等线"/>
                <w:color w:val="auto"/>
                <w:sz w:val="18"/>
                <w:szCs w:val="18"/>
                <w:highlight w:val="none"/>
                <w:u w:val="none"/>
              </w:rPr>
            </w:pPr>
          </w:p>
        </w:tc>
      </w:tr>
      <w:tr w14:paraId="27EC9C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611E59E8">
            <w:pPr>
              <w:pStyle w:val="92"/>
              <w:rPr>
                <w:color w:val="auto"/>
                <w:sz w:val="18"/>
                <w:szCs w:val="18"/>
                <w:highlight w:val="none"/>
                <w:u w:val="none"/>
              </w:rPr>
            </w:pPr>
          </w:p>
        </w:tc>
        <w:tc>
          <w:tcPr>
            <w:tcW w:w="166" w:type="pct"/>
            <w:vMerge w:val="continue"/>
            <w:vAlign w:val="center"/>
          </w:tcPr>
          <w:p w14:paraId="646C0DDE">
            <w:pPr>
              <w:pStyle w:val="92"/>
              <w:rPr>
                <w:color w:val="auto"/>
                <w:sz w:val="18"/>
                <w:szCs w:val="18"/>
                <w:highlight w:val="none"/>
                <w:u w:val="none"/>
              </w:rPr>
            </w:pPr>
          </w:p>
        </w:tc>
        <w:tc>
          <w:tcPr>
            <w:tcW w:w="321" w:type="pct"/>
            <w:vMerge w:val="continue"/>
            <w:vAlign w:val="center"/>
          </w:tcPr>
          <w:p w14:paraId="205CEFC4">
            <w:pPr>
              <w:pStyle w:val="92"/>
              <w:rPr>
                <w:color w:val="auto"/>
                <w:sz w:val="18"/>
                <w:szCs w:val="18"/>
                <w:highlight w:val="none"/>
                <w:u w:val="none"/>
              </w:rPr>
            </w:pPr>
          </w:p>
        </w:tc>
        <w:tc>
          <w:tcPr>
            <w:tcW w:w="318" w:type="pct"/>
            <w:vMerge w:val="continue"/>
            <w:vAlign w:val="center"/>
          </w:tcPr>
          <w:p w14:paraId="2866FE2F">
            <w:pPr>
              <w:pStyle w:val="92"/>
              <w:rPr>
                <w:color w:val="auto"/>
                <w:sz w:val="18"/>
                <w:szCs w:val="18"/>
                <w:highlight w:val="none"/>
                <w:u w:val="none"/>
              </w:rPr>
            </w:pPr>
          </w:p>
        </w:tc>
        <w:tc>
          <w:tcPr>
            <w:tcW w:w="551" w:type="pct"/>
            <w:shd w:val="clear" w:color="auto" w:fill="auto"/>
            <w:vAlign w:val="center"/>
          </w:tcPr>
          <w:p w14:paraId="12320B99">
            <w:pPr>
              <w:pStyle w:val="92"/>
              <w:rPr>
                <w:color w:val="auto"/>
                <w:sz w:val="18"/>
                <w:szCs w:val="18"/>
                <w:highlight w:val="none"/>
                <w:u w:val="none"/>
              </w:rPr>
            </w:pPr>
            <w:r>
              <w:rPr>
                <w:color w:val="auto"/>
                <w:sz w:val="18"/>
                <w:szCs w:val="18"/>
                <w:highlight w:val="none"/>
                <w:u w:val="none"/>
              </w:rPr>
              <w:t>HCl</w:t>
            </w:r>
          </w:p>
        </w:tc>
        <w:tc>
          <w:tcPr>
            <w:tcW w:w="188" w:type="pct"/>
            <w:vMerge w:val="continue"/>
            <w:vAlign w:val="center"/>
          </w:tcPr>
          <w:p w14:paraId="24F39ABD">
            <w:pPr>
              <w:pStyle w:val="92"/>
              <w:rPr>
                <w:color w:val="auto"/>
                <w:sz w:val="18"/>
                <w:szCs w:val="18"/>
                <w:highlight w:val="none"/>
                <w:u w:val="none"/>
              </w:rPr>
            </w:pPr>
          </w:p>
        </w:tc>
        <w:tc>
          <w:tcPr>
            <w:tcW w:w="284" w:type="pct"/>
            <w:shd w:val="clear" w:color="auto" w:fill="auto"/>
            <w:vAlign w:val="center"/>
          </w:tcPr>
          <w:p w14:paraId="30841A4E">
            <w:pPr>
              <w:pStyle w:val="92"/>
              <w:rPr>
                <w:color w:val="auto"/>
                <w:sz w:val="18"/>
                <w:szCs w:val="18"/>
                <w:highlight w:val="none"/>
                <w:u w:val="none"/>
              </w:rPr>
            </w:pPr>
            <w:r>
              <w:rPr>
                <w:rFonts w:eastAsia="等线"/>
                <w:color w:val="auto"/>
                <w:sz w:val="18"/>
                <w:szCs w:val="18"/>
                <w:highlight w:val="none"/>
                <w:u w:val="none"/>
              </w:rPr>
              <w:t xml:space="preserve">16667 </w:t>
            </w:r>
          </w:p>
        </w:tc>
        <w:tc>
          <w:tcPr>
            <w:tcW w:w="242" w:type="pct"/>
            <w:shd w:val="clear" w:color="auto" w:fill="auto"/>
            <w:vAlign w:val="center"/>
          </w:tcPr>
          <w:p w14:paraId="56F1ED6A">
            <w:pPr>
              <w:pStyle w:val="92"/>
              <w:rPr>
                <w:rFonts w:eastAsia="等线"/>
                <w:color w:val="auto"/>
                <w:sz w:val="18"/>
                <w:szCs w:val="18"/>
                <w:highlight w:val="none"/>
                <w:u w:val="none"/>
              </w:rPr>
            </w:pPr>
            <w:r>
              <w:rPr>
                <w:rFonts w:hint="eastAsia" w:eastAsia="等线"/>
                <w:color w:val="auto"/>
                <w:sz w:val="18"/>
                <w:szCs w:val="18"/>
                <w:highlight w:val="none"/>
                <w:u w:val="none"/>
              </w:rPr>
              <w:t xml:space="preserve">13.33 </w:t>
            </w:r>
          </w:p>
        </w:tc>
        <w:tc>
          <w:tcPr>
            <w:tcW w:w="348" w:type="pct"/>
            <w:shd w:val="clear" w:color="auto" w:fill="auto"/>
            <w:vAlign w:val="center"/>
          </w:tcPr>
          <w:p w14:paraId="1A2DD580">
            <w:pPr>
              <w:pStyle w:val="92"/>
              <w:rPr>
                <w:rFonts w:eastAsia="等线"/>
                <w:color w:val="auto"/>
                <w:sz w:val="18"/>
                <w:szCs w:val="18"/>
                <w:highlight w:val="none"/>
                <w:u w:val="none"/>
              </w:rPr>
            </w:pPr>
            <w:r>
              <w:rPr>
                <w:rFonts w:hint="eastAsia" w:eastAsia="等线"/>
                <w:color w:val="auto"/>
                <w:sz w:val="18"/>
                <w:szCs w:val="18"/>
                <w:highlight w:val="none"/>
                <w:u w:val="none"/>
              </w:rPr>
              <w:t xml:space="preserve">106.67 </w:t>
            </w:r>
          </w:p>
        </w:tc>
        <w:tc>
          <w:tcPr>
            <w:tcW w:w="421" w:type="pct"/>
            <w:vMerge w:val="continue"/>
            <w:vAlign w:val="center"/>
          </w:tcPr>
          <w:p w14:paraId="6B6448BE">
            <w:pPr>
              <w:pStyle w:val="92"/>
              <w:rPr>
                <w:rFonts w:eastAsia="等线"/>
                <w:color w:val="auto"/>
                <w:sz w:val="18"/>
                <w:szCs w:val="18"/>
                <w:highlight w:val="none"/>
                <w:u w:val="none"/>
              </w:rPr>
            </w:pPr>
          </w:p>
        </w:tc>
        <w:tc>
          <w:tcPr>
            <w:tcW w:w="323" w:type="pct"/>
            <w:shd w:val="clear" w:color="auto" w:fill="auto"/>
            <w:vAlign w:val="center"/>
          </w:tcPr>
          <w:p w14:paraId="0147988A">
            <w:pPr>
              <w:pStyle w:val="92"/>
              <w:rPr>
                <w:rFonts w:eastAsia="等线"/>
                <w:color w:val="auto"/>
                <w:sz w:val="18"/>
                <w:szCs w:val="18"/>
                <w:highlight w:val="none"/>
                <w:u w:val="none"/>
              </w:rPr>
            </w:pPr>
            <w:r>
              <w:rPr>
                <w:rFonts w:eastAsia="等线"/>
                <w:color w:val="auto"/>
                <w:sz w:val="18"/>
                <w:szCs w:val="18"/>
                <w:highlight w:val="none"/>
                <w:u w:val="none"/>
              </w:rPr>
              <w:t xml:space="preserve">833 </w:t>
            </w:r>
          </w:p>
        </w:tc>
        <w:tc>
          <w:tcPr>
            <w:tcW w:w="222" w:type="pct"/>
            <w:shd w:val="clear" w:color="auto" w:fill="auto"/>
            <w:vAlign w:val="center"/>
          </w:tcPr>
          <w:p w14:paraId="32B38ED2">
            <w:pPr>
              <w:pStyle w:val="92"/>
              <w:rPr>
                <w:rFonts w:eastAsia="等线"/>
                <w:color w:val="auto"/>
                <w:sz w:val="18"/>
                <w:szCs w:val="18"/>
                <w:highlight w:val="none"/>
                <w:u w:val="none"/>
              </w:rPr>
            </w:pPr>
            <w:r>
              <w:rPr>
                <w:rFonts w:hint="eastAsia" w:eastAsia="等线"/>
                <w:color w:val="auto"/>
                <w:sz w:val="18"/>
                <w:szCs w:val="18"/>
                <w:highlight w:val="none"/>
                <w:u w:val="none"/>
              </w:rPr>
              <w:t xml:space="preserve">0.67 </w:t>
            </w:r>
          </w:p>
        </w:tc>
        <w:tc>
          <w:tcPr>
            <w:tcW w:w="254" w:type="pct"/>
            <w:shd w:val="clear" w:color="auto" w:fill="auto"/>
            <w:vAlign w:val="center"/>
          </w:tcPr>
          <w:p w14:paraId="2D7AD9F8">
            <w:pPr>
              <w:pStyle w:val="92"/>
              <w:rPr>
                <w:rFonts w:eastAsia="等线"/>
                <w:color w:val="auto"/>
                <w:sz w:val="18"/>
                <w:szCs w:val="18"/>
                <w:highlight w:val="none"/>
                <w:u w:val="none"/>
              </w:rPr>
            </w:pPr>
            <w:r>
              <w:rPr>
                <w:rFonts w:hint="eastAsia" w:eastAsia="等线"/>
                <w:color w:val="auto"/>
                <w:sz w:val="18"/>
                <w:szCs w:val="18"/>
                <w:highlight w:val="none"/>
                <w:u w:val="none"/>
              </w:rPr>
              <w:t xml:space="preserve">5.33 </w:t>
            </w:r>
          </w:p>
        </w:tc>
        <w:tc>
          <w:tcPr>
            <w:tcW w:w="206" w:type="pct"/>
            <w:vMerge w:val="continue"/>
            <w:vAlign w:val="center"/>
          </w:tcPr>
          <w:p w14:paraId="5D08CF9A">
            <w:pPr>
              <w:pStyle w:val="92"/>
              <w:rPr>
                <w:rFonts w:eastAsia="等线"/>
                <w:color w:val="auto"/>
                <w:sz w:val="18"/>
                <w:szCs w:val="18"/>
                <w:highlight w:val="none"/>
                <w:u w:val="none"/>
              </w:rPr>
            </w:pPr>
          </w:p>
        </w:tc>
        <w:tc>
          <w:tcPr>
            <w:tcW w:w="221" w:type="pct"/>
            <w:vMerge w:val="continue"/>
            <w:vAlign w:val="center"/>
          </w:tcPr>
          <w:p w14:paraId="36113A99">
            <w:pPr>
              <w:pStyle w:val="92"/>
              <w:rPr>
                <w:rFonts w:eastAsia="等线"/>
                <w:color w:val="auto"/>
                <w:sz w:val="18"/>
                <w:szCs w:val="18"/>
                <w:highlight w:val="none"/>
                <w:u w:val="none"/>
              </w:rPr>
            </w:pPr>
          </w:p>
        </w:tc>
        <w:tc>
          <w:tcPr>
            <w:tcW w:w="221" w:type="pct"/>
            <w:vMerge w:val="continue"/>
            <w:vAlign w:val="center"/>
          </w:tcPr>
          <w:p w14:paraId="4E01D41A">
            <w:pPr>
              <w:pStyle w:val="92"/>
              <w:rPr>
                <w:rFonts w:eastAsia="等线"/>
                <w:color w:val="auto"/>
                <w:sz w:val="18"/>
                <w:szCs w:val="18"/>
                <w:highlight w:val="none"/>
                <w:u w:val="none"/>
              </w:rPr>
            </w:pPr>
          </w:p>
        </w:tc>
        <w:tc>
          <w:tcPr>
            <w:tcW w:w="244" w:type="pct"/>
            <w:vMerge w:val="continue"/>
            <w:vAlign w:val="center"/>
          </w:tcPr>
          <w:p w14:paraId="3732BF17">
            <w:pPr>
              <w:pStyle w:val="92"/>
              <w:rPr>
                <w:rFonts w:eastAsia="等线"/>
                <w:color w:val="auto"/>
                <w:sz w:val="18"/>
                <w:szCs w:val="18"/>
                <w:highlight w:val="none"/>
                <w:u w:val="none"/>
              </w:rPr>
            </w:pPr>
          </w:p>
        </w:tc>
        <w:tc>
          <w:tcPr>
            <w:tcW w:w="344" w:type="pct"/>
            <w:vMerge w:val="continue"/>
            <w:vAlign w:val="center"/>
          </w:tcPr>
          <w:p w14:paraId="30D9A06F">
            <w:pPr>
              <w:pStyle w:val="92"/>
              <w:rPr>
                <w:rFonts w:eastAsia="等线"/>
                <w:color w:val="auto"/>
                <w:sz w:val="18"/>
                <w:szCs w:val="18"/>
                <w:highlight w:val="none"/>
                <w:u w:val="none"/>
              </w:rPr>
            </w:pPr>
          </w:p>
        </w:tc>
      </w:tr>
      <w:tr w14:paraId="05E9AE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3B3588AC">
            <w:pPr>
              <w:pStyle w:val="92"/>
              <w:rPr>
                <w:color w:val="auto"/>
                <w:sz w:val="18"/>
                <w:szCs w:val="18"/>
                <w:highlight w:val="none"/>
                <w:u w:val="none"/>
              </w:rPr>
            </w:pPr>
          </w:p>
        </w:tc>
        <w:tc>
          <w:tcPr>
            <w:tcW w:w="166" w:type="pct"/>
            <w:vMerge w:val="continue"/>
            <w:vAlign w:val="center"/>
          </w:tcPr>
          <w:p w14:paraId="0FC8FFA3">
            <w:pPr>
              <w:pStyle w:val="92"/>
              <w:rPr>
                <w:color w:val="auto"/>
                <w:sz w:val="18"/>
                <w:szCs w:val="18"/>
                <w:highlight w:val="none"/>
                <w:u w:val="none"/>
              </w:rPr>
            </w:pPr>
          </w:p>
        </w:tc>
        <w:tc>
          <w:tcPr>
            <w:tcW w:w="321" w:type="pct"/>
            <w:vMerge w:val="continue"/>
            <w:vAlign w:val="center"/>
          </w:tcPr>
          <w:p w14:paraId="2D03B8D4">
            <w:pPr>
              <w:pStyle w:val="92"/>
              <w:rPr>
                <w:color w:val="auto"/>
                <w:sz w:val="18"/>
                <w:szCs w:val="18"/>
                <w:highlight w:val="none"/>
                <w:u w:val="none"/>
              </w:rPr>
            </w:pPr>
          </w:p>
        </w:tc>
        <w:tc>
          <w:tcPr>
            <w:tcW w:w="318" w:type="pct"/>
            <w:vMerge w:val="continue"/>
            <w:vAlign w:val="center"/>
          </w:tcPr>
          <w:p w14:paraId="02D661BB">
            <w:pPr>
              <w:pStyle w:val="92"/>
              <w:rPr>
                <w:color w:val="auto"/>
                <w:sz w:val="18"/>
                <w:szCs w:val="18"/>
                <w:highlight w:val="none"/>
                <w:u w:val="none"/>
              </w:rPr>
            </w:pPr>
          </w:p>
        </w:tc>
        <w:tc>
          <w:tcPr>
            <w:tcW w:w="551" w:type="pct"/>
            <w:shd w:val="clear" w:color="auto" w:fill="auto"/>
            <w:vAlign w:val="center"/>
          </w:tcPr>
          <w:p w14:paraId="756FE5B3">
            <w:pPr>
              <w:pStyle w:val="92"/>
              <w:rPr>
                <w:color w:val="auto"/>
                <w:sz w:val="18"/>
                <w:szCs w:val="18"/>
                <w:highlight w:val="none"/>
                <w:u w:val="none"/>
              </w:rPr>
            </w:pPr>
            <w:r>
              <w:rPr>
                <w:color w:val="auto"/>
                <w:sz w:val="18"/>
                <w:szCs w:val="18"/>
                <w:highlight w:val="none"/>
                <w:u w:val="none"/>
              </w:rPr>
              <w:t>TDI</w:t>
            </w:r>
          </w:p>
        </w:tc>
        <w:tc>
          <w:tcPr>
            <w:tcW w:w="188" w:type="pct"/>
            <w:vMerge w:val="continue"/>
            <w:vAlign w:val="center"/>
          </w:tcPr>
          <w:p w14:paraId="60CBE8A8">
            <w:pPr>
              <w:pStyle w:val="92"/>
              <w:rPr>
                <w:color w:val="auto"/>
                <w:sz w:val="18"/>
                <w:szCs w:val="18"/>
                <w:highlight w:val="none"/>
                <w:u w:val="none"/>
              </w:rPr>
            </w:pPr>
          </w:p>
        </w:tc>
        <w:tc>
          <w:tcPr>
            <w:tcW w:w="284" w:type="pct"/>
            <w:shd w:val="clear" w:color="auto" w:fill="auto"/>
            <w:vAlign w:val="center"/>
          </w:tcPr>
          <w:p w14:paraId="09A963B4">
            <w:pPr>
              <w:pStyle w:val="92"/>
              <w:rPr>
                <w:color w:val="auto"/>
                <w:sz w:val="18"/>
                <w:szCs w:val="18"/>
                <w:highlight w:val="none"/>
                <w:u w:val="none"/>
              </w:rPr>
            </w:pPr>
            <w:r>
              <w:rPr>
                <w:rFonts w:eastAsia="等线"/>
                <w:color w:val="auto"/>
                <w:sz w:val="18"/>
                <w:szCs w:val="18"/>
                <w:highlight w:val="none"/>
                <w:u w:val="none"/>
              </w:rPr>
              <w:t xml:space="preserve">233 </w:t>
            </w:r>
          </w:p>
        </w:tc>
        <w:tc>
          <w:tcPr>
            <w:tcW w:w="242" w:type="pct"/>
            <w:shd w:val="clear" w:color="auto" w:fill="auto"/>
            <w:vAlign w:val="center"/>
          </w:tcPr>
          <w:p w14:paraId="4262AEBB">
            <w:pPr>
              <w:pStyle w:val="92"/>
              <w:rPr>
                <w:rFonts w:eastAsia="等线"/>
                <w:color w:val="auto"/>
                <w:sz w:val="18"/>
                <w:szCs w:val="18"/>
                <w:highlight w:val="none"/>
                <w:u w:val="none"/>
              </w:rPr>
            </w:pPr>
            <w:r>
              <w:rPr>
                <w:rFonts w:hint="eastAsia" w:eastAsia="等线"/>
                <w:color w:val="auto"/>
                <w:sz w:val="18"/>
                <w:szCs w:val="18"/>
                <w:highlight w:val="none"/>
                <w:u w:val="none"/>
              </w:rPr>
              <w:t xml:space="preserve">0.19 </w:t>
            </w:r>
          </w:p>
        </w:tc>
        <w:tc>
          <w:tcPr>
            <w:tcW w:w="348" w:type="pct"/>
            <w:shd w:val="clear" w:color="auto" w:fill="auto"/>
            <w:vAlign w:val="center"/>
          </w:tcPr>
          <w:p w14:paraId="5ED61A91">
            <w:pPr>
              <w:pStyle w:val="92"/>
              <w:rPr>
                <w:rFonts w:eastAsia="等线"/>
                <w:color w:val="auto"/>
                <w:sz w:val="18"/>
                <w:szCs w:val="18"/>
                <w:highlight w:val="none"/>
                <w:u w:val="none"/>
              </w:rPr>
            </w:pPr>
            <w:r>
              <w:rPr>
                <w:rFonts w:hint="eastAsia" w:eastAsia="等线"/>
                <w:color w:val="auto"/>
                <w:sz w:val="18"/>
                <w:szCs w:val="18"/>
                <w:highlight w:val="none"/>
                <w:u w:val="none"/>
              </w:rPr>
              <w:t xml:space="preserve">1.49 </w:t>
            </w:r>
          </w:p>
        </w:tc>
        <w:tc>
          <w:tcPr>
            <w:tcW w:w="421" w:type="pct"/>
            <w:vMerge w:val="continue"/>
            <w:vAlign w:val="center"/>
          </w:tcPr>
          <w:p w14:paraId="56C61653">
            <w:pPr>
              <w:pStyle w:val="92"/>
              <w:rPr>
                <w:rFonts w:eastAsia="等线"/>
                <w:color w:val="auto"/>
                <w:sz w:val="18"/>
                <w:szCs w:val="18"/>
                <w:highlight w:val="none"/>
                <w:u w:val="none"/>
              </w:rPr>
            </w:pPr>
          </w:p>
        </w:tc>
        <w:tc>
          <w:tcPr>
            <w:tcW w:w="323" w:type="pct"/>
            <w:shd w:val="clear" w:color="auto" w:fill="auto"/>
            <w:vAlign w:val="center"/>
          </w:tcPr>
          <w:p w14:paraId="08534C57">
            <w:pPr>
              <w:pStyle w:val="92"/>
              <w:rPr>
                <w:rFonts w:eastAsia="等线"/>
                <w:color w:val="auto"/>
                <w:sz w:val="18"/>
                <w:szCs w:val="18"/>
                <w:highlight w:val="none"/>
                <w:u w:val="none"/>
              </w:rPr>
            </w:pPr>
            <w:r>
              <w:rPr>
                <w:rFonts w:eastAsia="等线"/>
                <w:color w:val="auto"/>
                <w:sz w:val="18"/>
                <w:szCs w:val="18"/>
                <w:highlight w:val="none"/>
                <w:u w:val="none"/>
              </w:rPr>
              <w:t xml:space="preserve">12 </w:t>
            </w:r>
          </w:p>
        </w:tc>
        <w:tc>
          <w:tcPr>
            <w:tcW w:w="222" w:type="pct"/>
            <w:shd w:val="clear" w:color="auto" w:fill="auto"/>
            <w:vAlign w:val="center"/>
          </w:tcPr>
          <w:p w14:paraId="7EA46571">
            <w:pPr>
              <w:pStyle w:val="92"/>
              <w:rPr>
                <w:rFonts w:eastAsia="等线"/>
                <w:color w:val="auto"/>
                <w:sz w:val="18"/>
                <w:szCs w:val="18"/>
                <w:highlight w:val="none"/>
                <w:u w:val="none"/>
              </w:rPr>
            </w:pPr>
            <w:r>
              <w:rPr>
                <w:rFonts w:hint="eastAsia" w:eastAsia="等线"/>
                <w:color w:val="auto"/>
                <w:sz w:val="18"/>
                <w:szCs w:val="18"/>
                <w:highlight w:val="none"/>
                <w:u w:val="none"/>
              </w:rPr>
              <w:t xml:space="preserve">0.01 </w:t>
            </w:r>
          </w:p>
        </w:tc>
        <w:tc>
          <w:tcPr>
            <w:tcW w:w="254" w:type="pct"/>
            <w:shd w:val="clear" w:color="auto" w:fill="auto"/>
            <w:vAlign w:val="center"/>
          </w:tcPr>
          <w:p w14:paraId="03D496F7">
            <w:pPr>
              <w:pStyle w:val="92"/>
              <w:rPr>
                <w:rFonts w:eastAsia="等线"/>
                <w:color w:val="auto"/>
                <w:sz w:val="18"/>
                <w:szCs w:val="18"/>
                <w:highlight w:val="none"/>
                <w:u w:val="none"/>
              </w:rPr>
            </w:pPr>
            <w:r>
              <w:rPr>
                <w:rFonts w:hint="eastAsia" w:eastAsia="等线"/>
                <w:color w:val="auto"/>
                <w:sz w:val="18"/>
                <w:szCs w:val="18"/>
                <w:highlight w:val="none"/>
                <w:u w:val="none"/>
              </w:rPr>
              <w:t xml:space="preserve">0.07 </w:t>
            </w:r>
          </w:p>
        </w:tc>
        <w:tc>
          <w:tcPr>
            <w:tcW w:w="206" w:type="pct"/>
            <w:vMerge w:val="continue"/>
            <w:vAlign w:val="center"/>
          </w:tcPr>
          <w:p w14:paraId="0DB03F66">
            <w:pPr>
              <w:pStyle w:val="92"/>
              <w:rPr>
                <w:rFonts w:eastAsia="等线"/>
                <w:color w:val="auto"/>
                <w:sz w:val="18"/>
                <w:szCs w:val="18"/>
                <w:highlight w:val="none"/>
                <w:u w:val="none"/>
              </w:rPr>
            </w:pPr>
          </w:p>
        </w:tc>
        <w:tc>
          <w:tcPr>
            <w:tcW w:w="221" w:type="pct"/>
            <w:vMerge w:val="continue"/>
            <w:vAlign w:val="center"/>
          </w:tcPr>
          <w:p w14:paraId="3D7CF257">
            <w:pPr>
              <w:pStyle w:val="92"/>
              <w:rPr>
                <w:rFonts w:eastAsia="等线"/>
                <w:color w:val="auto"/>
                <w:sz w:val="18"/>
                <w:szCs w:val="18"/>
                <w:highlight w:val="none"/>
                <w:u w:val="none"/>
              </w:rPr>
            </w:pPr>
          </w:p>
        </w:tc>
        <w:tc>
          <w:tcPr>
            <w:tcW w:w="221" w:type="pct"/>
            <w:vMerge w:val="continue"/>
            <w:vAlign w:val="center"/>
          </w:tcPr>
          <w:p w14:paraId="7D69B59D">
            <w:pPr>
              <w:pStyle w:val="92"/>
              <w:rPr>
                <w:rFonts w:eastAsia="等线"/>
                <w:color w:val="auto"/>
                <w:sz w:val="18"/>
                <w:szCs w:val="18"/>
                <w:highlight w:val="none"/>
                <w:u w:val="none"/>
              </w:rPr>
            </w:pPr>
          </w:p>
        </w:tc>
        <w:tc>
          <w:tcPr>
            <w:tcW w:w="244" w:type="pct"/>
            <w:vMerge w:val="continue"/>
            <w:vAlign w:val="center"/>
          </w:tcPr>
          <w:p w14:paraId="5B694936">
            <w:pPr>
              <w:pStyle w:val="92"/>
              <w:rPr>
                <w:rFonts w:eastAsia="等线"/>
                <w:color w:val="auto"/>
                <w:sz w:val="18"/>
                <w:szCs w:val="18"/>
                <w:highlight w:val="none"/>
                <w:u w:val="none"/>
              </w:rPr>
            </w:pPr>
          </w:p>
        </w:tc>
        <w:tc>
          <w:tcPr>
            <w:tcW w:w="344" w:type="pct"/>
            <w:vMerge w:val="continue"/>
            <w:vAlign w:val="center"/>
          </w:tcPr>
          <w:p w14:paraId="712A7C26">
            <w:pPr>
              <w:pStyle w:val="92"/>
              <w:rPr>
                <w:rFonts w:eastAsia="等线"/>
                <w:color w:val="auto"/>
                <w:sz w:val="18"/>
                <w:szCs w:val="18"/>
                <w:highlight w:val="none"/>
                <w:u w:val="none"/>
              </w:rPr>
            </w:pPr>
          </w:p>
        </w:tc>
      </w:tr>
      <w:tr w14:paraId="2EEB7D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70D25F93">
            <w:pPr>
              <w:pStyle w:val="92"/>
              <w:rPr>
                <w:color w:val="auto"/>
                <w:sz w:val="18"/>
                <w:szCs w:val="18"/>
                <w:highlight w:val="none"/>
                <w:u w:val="none"/>
              </w:rPr>
            </w:pPr>
          </w:p>
        </w:tc>
        <w:tc>
          <w:tcPr>
            <w:tcW w:w="166" w:type="pct"/>
            <w:vMerge w:val="continue"/>
            <w:vAlign w:val="center"/>
          </w:tcPr>
          <w:p w14:paraId="51A98309">
            <w:pPr>
              <w:pStyle w:val="92"/>
              <w:rPr>
                <w:color w:val="auto"/>
                <w:sz w:val="18"/>
                <w:szCs w:val="18"/>
                <w:highlight w:val="none"/>
                <w:u w:val="none"/>
              </w:rPr>
            </w:pPr>
          </w:p>
        </w:tc>
        <w:tc>
          <w:tcPr>
            <w:tcW w:w="321" w:type="pct"/>
            <w:vMerge w:val="continue"/>
            <w:vAlign w:val="center"/>
          </w:tcPr>
          <w:p w14:paraId="6F14DB31">
            <w:pPr>
              <w:pStyle w:val="92"/>
              <w:rPr>
                <w:color w:val="auto"/>
                <w:sz w:val="18"/>
                <w:szCs w:val="18"/>
                <w:highlight w:val="none"/>
                <w:u w:val="none"/>
              </w:rPr>
            </w:pPr>
          </w:p>
        </w:tc>
        <w:tc>
          <w:tcPr>
            <w:tcW w:w="318" w:type="pct"/>
            <w:vMerge w:val="continue"/>
            <w:vAlign w:val="center"/>
          </w:tcPr>
          <w:p w14:paraId="0E29C85C">
            <w:pPr>
              <w:pStyle w:val="92"/>
              <w:rPr>
                <w:color w:val="auto"/>
                <w:sz w:val="18"/>
                <w:szCs w:val="18"/>
                <w:highlight w:val="none"/>
                <w:u w:val="none"/>
              </w:rPr>
            </w:pPr>
          </w:p>
        </w:tc>
        <w:tc>
          <w:tcPr>
            <w:tcW w:w="551" w:type="pct"/>
            <w:shd w:val="clear" w:color="auto" w:fill="auto"/>
            <w:vAlign w:val="center"/>
          </w:tcPr>
          <w:p w14:paraId="73F83814">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8" w:type="pct"/>
            <w:vMerge w:val="continue"/>
            <w:vAlign w:val="center"/>
          </w:tcPr>
          <w:p w14:paraId="148C3C1F">
            <w:pPr>
              <w:pStyle w:val="92"/>
              <w:rPr>
                <w:color w:val="auto"/>
                <w:sz w:val="18"/>
                <w:szCs w:val="18"/>
                <w:highlight w:val="none"/>
                <w:u w:val="none"/>
              </w:rPr>
            </w:pPr>
          </w:p>
        </w:tc>
        <w:tc>
          <w:tcPr>
            <w:tcW w:w="284" w:type="pct"/>
            <w:shd w:val="clear" w:color="auto" w:fill="auto"/>
            <w:vAlign w:val="center"/>
          </w:tcPr>
          <w:p w14:paraId="62EB379E">
            <w:pPr>
              <w:pStyle w:val="92"/>
              <w:rPr>
                <w:color w:val="auto"/>
                <w:sz w:val="18"/>
                <w:szCs w:val="18"/>
                <w:highlight w:val="none"/>
                <w:u w:val="none"/>
              </w:rPr>
            </w:pPr>
            <w:r>
              <w:rPr>
                <w:rFonts w:eastAsia="等线"/>
                <w:color w:val="auto"/>
                <w:sz w:val="18"/>
                <w:szCs w:val="18"/>
                <w:highlight w:val="none"/>
                <w:u w:val="none"/>
              </w:rPr>
              <w:t xml:space="preserve">56000 </w:t>
            </w:r>
          </w:p>
        </w:tc>
        <w:tc>
          <w:tcPr>
            <w:tcW w:w="242" w:type="pct"/>
            <w:shd w:val="clear" w:color="auto" w:fill="auto"/>
            <w:vAlign w:val="center"/>
          </w:tcPr>
          <w:p w14:paraId="74C197BD">
            <w:pPr>
              <w:pStyle w:val="92"/>
              <w:rPr>
                <w:rFonts w:eastAsia="等线"/>
                <w:color w:val="auto"/>
                <w:sz w:val="18"/>
                <w:szCs w:val="18"/>
                <w:highlight w:val="none"/>
                <w:u w:val="none"/>
              </w:rPr>
            </w:pPr>
            <w:r>
              <w:rPr>
                <w:rFonts w:hint="eastAsia" w:eastAsia="等线"/>
                <w:color w:val="auto"/>
                <w:sz w:val="18"/>
                <w:szCs w:val="18"/>
                <w:highlight w:val="none"/>
                <w:u w:val="none"/>
              </w:rPr>
              <w:t xml:space="preserve">44.80 </w:t>
            </w:r>
          </w:p>
        </w:tc>
        <w:tc>
          <w:tcPr>
            <w:tcW w:w="348" w:type="pct"/>
            <w:shd w:val="clear" w:color="auto" w:fill="auto"/>
            <w:vAlign w:val="center"/>
          </w:tcPr>
          <w:p w14:paraId="41E72AB7">
            <w:pPr>
              <w:pStyle w:val="92"/>
              <w:rPr>
                <w:rFonts w:eastAsia="等线"/>
                <w:color w:val="auto"/>
                <w:sz w:val="18"/>
                <w:szCs w:val="18"/>
                <w:highlight w:val="none"/>
                <w:u w:val="none"/>
              </w:rPr>
            </w:pPr>
            <w:r>
              <w:rPr>
                <w:rFonts w:hint="eastAsia" w:eastAsia="等线"/>
                <w:color w:val="auto"/>
                <w:sz w:val="18"/>
                <w:szCs w:val="18"/>
                <w:highlight w:val="none"/>
                <w:u w:val="none"/>
              </w:rPr>
              <w:t xml:space="preserve">358.40 </w:t>
            </w:r>
          </w:p>
        </w:tc>
        <w:tc>
          <w:tcPr>
            <w:tcW w:w="421" w:type="pct"/>
            <w:vMerge w:val="continue"/>
            <w:vAlign w:val="center"/>
          </w:tcPr>
          <w:p w14:paraId="5C5E8E76">
            <w:pPr>
              <w:pStyle w:val="92"/>
              <w:rPr>
                <w:rFonts w:eastAsia="等线"/>
                <w:color w:val="auto"/>
                <w:sz w:val="18"/>
                <w:szCs w:val="18"/>
                <w:highlight w:val="none"/>
                <w:u w:val="none"/>
              </w:rPr>
            </w:pPr>
          </w:p>
        </w:tc>
        <w:tc>
          <w:tcPr>
            <w:tcW w:w="323" w:type="pct"/>
            <w:shd w:val="clear" w:color="auto" w:fill="auto"/>
            <w:vAlign w:val="center"/>
          </w:tcPr>
          <w:p w14:paraId="328C38DB">
            <w:pPr>
              <w:pStyle w:val="92"/>
              <w:rPr>
                <w:rFonts w:eastAsia="等线"/>
                <w:color w:val="auto"/>
                <w:sz w:val="18"/>
                <w:szCs w:val="18"/>
                <w:highlight w:val="none"/>
                <w:u w:val="none"/>
              </w:rPr>
            </w:pPr>
            <w:r>
              <w:rPr>
                <w:rFonts w:eastAsia="等线"/>
                <w:color w:val="auto"/>
                <w:sz w:val="18"/>
                <w:szCs w:val="18"/>
                <w:highlight w:val="none"/>
                <w:u w:val="none"/>
              </w:rPr>
              <w:t xml:space="preserve">2800 </w:t>
            </w:r>
          </w:p>
        </w:tc>
        <w:tc>
          <w:tcPr>
            <w:tcW w:w="222" w:type="pct"/>
            <w:shd w:val="clear" w:color="auto" w:fill="auto"/>
            <w:vAlign w:val="center"/>
          </w:tcPr>
          <w:p w14:paraId="486E0A4A">
            <w:pPr>
              <w:pStyle w:val="92"/>
              <w:rPr>
                <w:rFonts w:eastAsia="等线"/>
                <w:color w:val="auto"/>
                <w:sz w:val="18"/>
                <w:szCs w:val="18"/>
                <w:highlight w:val="none"/>
                <w:u w:val="none"/>
              </w:rPr>
            </w:pPr>
            <w:r>
              <w:rPr>
                <w:rFonts w:hint="eastAsia" w:eastAsia="等线"/>
                <w:color w:val="auto"/>
                <w:sz w:val="18"/>
                <w:szCs w:val="18"/>
                <w:highlight w:val="none"/>
                <w:u w:val="none"/>
              </w:rPr>
              <w:t xml:space="preserve">2.24 </w:t>
            </w:r>
          </w:p>
        </w:tc>
        <w:tc>
          <w:tcPr>
            <w:tcW w:w="254" w:type="pct"/>
            <w:shd w:val="clear" w:color="auto" w:fill="auto"/>
            <w:vAlign w:val="center"/>
          </w:tcPr>
          <w:p w14:paraId="408DA5D4">
            <w:pPr>
              <w:pStyle w:val="92"/>
              <w:rPr>
                <w:rFonts w:eastAsia="等线"/>
                <w:color w:val="auto"/>
                <w:sz w:val="18"/>
                <w:szCs w:val="18"/>
                <w:highlight w:val="none"/>
                <w:u w:val="none"/>
              </w:rPr>
            </w:pPr>
            <w:r>
              <w:rPr>
                <w:rFonts w:hint="eastAsia" w:eastAsia="等线"/>
                <w:color w:val="auto"/>
                <w:sz w:val="18"/>
                <w:szCs w:val="18"/>
                <w:highlight w:val="none"/>
                <w:u w:val="none"/>
              </w:rPr>
              <w:t xml:space="preserve">17.92 </w:t>
            </w:r>
          </w:p>
        </w:tc>
        <w:tc>
          <w:tcPr>
            <w:tcW w:w="206" w:type="pct"/>
            <w:vMerge w:val="continue"/>
            <w:vAlign w:val="center"/>
          </w:tcPr>
          <w:p w14:paraId="151F93E7">
            <w:pPr>
              <w:pStyle w:val="92"/>
              <w:rPr>
                <w:rFonts w:eastAsia="等线"/>
                <w:color w:val="auto"/>
                <w:sz w:val="18"/>
                <w:szCs w:val="18"/>
                <w:highlight w:val="none"/>
                <w:u w:val="none"/>
              </w:rPr>
            </w:pPr>
          </w:p>
        </w:tc>
        <w:tc>
          <w:tcPr>
            <w:tcW w:w="221" w:type="pct"/>
            <w:vMerge w:val="continue"/>
            <w:vAlign w:val="center"/>
          </w:tcPr>
          <w:p w14:paraId="7779CF3E">
            <w:pPr>
              <w:pStyle w:val="92"/>
              <w:rPr>
                <w:rFonts w:eastAsia="等线"/>
                <w:color w:val="auto"/>
                <w:sz w:val="18"/>
                <w:szCs w:val="18"/>
                <w:highlight w:val="none"/>
                <w:u w:val="none"/>
              </w:rPr>
            </w:pPr>
          </w:p>
        </w:tc>
        <w:tc>
          <w:tcPr>
            <w:tcW w:w="221" w:type="pct"/>
            <w:vMerge w:val="continue"/>
            <w:vAlign w:val="center"/>
          </w:tcPr>
          <w:p w14:paraId="171084EC">
            <w:pPr>
              <w:pStyle w:val="92"/>
              <w:rPr>
                <w:rFonts w:eastAsia="等线"/>
                <w:color w:val="auto"/>
                <w:sz w:val="18"/>
                <w:szCs w:val="18"/>
                <w:highlight w:val="none"/>
                <w:u w:val="none"/>
              </w:rPr>
            </w:pPr>
          </w:p>
        </w:tc>
        <w:tc>
          <w:tcPr>
            <w:tcW w:w="244" w:type="pct"/>
            <w:vMerge w:val="continue"/>
            <w:vAlign w:val="center"/>
          </w:tcPr>
          <w:p w14:paraId="6FC80DE6">
            <w:pPr>
              <w:pStyle w:val="92"/>
              <w:rPr>
                <w:rFonts w:eastAsia="等线"/>
                <w:color w:val="auto"/>
                <w:sz w:val="18"/>
                <w:szCs w:val="18"/>
                <w:highlight w:val="none"/>
                <w:u w:val="none"/>
              </w:rPr>
            </w:pPr>
          </w:p>
        </w:tc>
        <w:tc>
          <w:tcPr>
            <w:tcW w:w="344" w:type="pct"/>
            <w:vMerge w:val="continue"/>
            <w:vAlign w:val="center"/>
          </w:tcPr>
          <w:p w14:paraId="68CA2B49">
            <w:pPr>
              <w:pStyle w:val="92"/>
              <w:rPr>
                <w:rFonts w:eastAsia="等线"/>
                <w:color w:val="auto"/>
                <w:sz w:val="18"/>
                <w:szCs w:val="18"/>
                <w:highlight w:val="none"/>
                <w:u w:val="none"/>
              </w:rPr>
            </w:pPr>
          </w:p>
        </w:tc>
      </w:tr>
      <w:tr w14:paraId="689F6D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119" w:type="pct"/>
            <w:vMerge w:val="restart"/>
            <w:vAlign w:val="center"/>
          </w:tcPr>
          <w:p w14:paraId="1B439CEB">
            <w:pPr>
              <w:pStyle w:val="92"/>
              <w:rPr>
                <w:color w:val="auto"/>
                <w:sz w:val="18"/>
                <w:szCs w:val="18"/>
                <w:highlight w:val="none"/>
                <w:u w:val="none"/>
              </w:rPr>
            </w:pPr>
            <w:r>
              <w:rPr>
                <w:rFonts w:hint="eastAsia"/>
                <w:color w:val="auto"/>
                <w:sz w:val="18"/>
                <w:szCs w:val="18"/>
                <w:highlight w:val="none"/>
                <w:u w:val="none"/>
              </w:rPr>
              <w:t>储罐区</w:t>
            </w:r>
          </w:p>
        </w:tc>
        <w:tc>
          <w:tcPr>
            <w:tcW w:w="166" w:type="pct"/>
            <w:vMerge w:val="restart"/>
            <w:vAlign w:val="center"/>
          </w:tcPr>
          <w:p w14:paraId="0BE7B45F">
            <w:pPr>
              <w:pStyle w:val="92"/>
              <w:rPr>
                <w:color w:val="auto"/>
                <w:sz w:val="18"/>
                <w:szCs w:val="18"/>
                <w:highlight w:val="none"/>
                <w:u w:val="none"/>
              </w:rPr>
            </w:pPr>
            <w:r>
              <w:rPr>
                <w:rFonts w:hint="eastAsia"/>
                <w:color w:val="auto"/>
                <w:sz w:val="18"/>
                <w:szCs w:val="18"/>
                <w:highlight w:val="none"/>
                <w:u w:val="none"/>
              </w:rPr>
              <w:t>G</w:t>
            </w:r>
            <w:r>
              <w:rPr>
                <w:color w:val="auto"/>
                <w:sz w:val="18"/>
                <w:szCs w:val="18"/>
                <w:highlight w:val="none"/>
                <w:u w:val="none"/>
              </w:rPr>
              <w:t>4-1</w:t>
            </w:r>
          </w:p>
        </w:tc>
        <w:tc>
          <w:tcPr>
            <w:tcW w:w="321" w:type="pct"/>
            <w:vMerge w:val="restart"/>
            <w:vAlign w:val="center"/>
          </w:tcPr>
          <w:p w14:paraId="52FF618C">
            <w:pPr>
              <w:pStyle w:val="92"/>
              <w:rPr>
                <w:color w:val="auto"/>
                <w:sz w:val="18"/>
                <w:szCs w:val="18"/>
                <w:highlight w:val="none"/>
                <w:u w:val="none"/>
              </w:rPr>
            </w:pPr>
            <w:r>
              <w:rPr>
                <w:color w:val="auto"/>
                <w:sz w:val="18"/>
                <w:szCs w:val="18"/>
                <w:highlight w:val="none"/>
                <w:u w:val="none"/>
              </w:rPr>
              <w:t>ODCB</w:t>
            </w:r>
            <w:r>
              <w:rPr>
                <w:rFonts w:hint="eastAsia"/>
                <w:color w:val="auto"/>
                <w:sz w:val="18"/>
                <w:szCs w:val="18"/>
                <w:highlight w:val="none"/>
                <w:u w:val="none"/>
              </w:rPr>
              <w:t>储罐废气</w:t>
            </w:r>
          </w:p>
        </w:tc>
        <w:tc>
          <w:tcPr>
            <w:tcW w:w="318" w:type="pct"/>
            <w:vMerge w:val="restart"/>
            <w:vAlign w:val="center"/>
          </w:tcPr>
          <w:p w14:paraId="2A4E2B2D">
            <w:pPr>
              <w:pStyle w:val="92"/>
              <w:rPr>
                <w:color w:val="auto"/>
                <w:sz w:val="18"/>
                <w:szCs w:val="18"/>
                <w:highlight w:val="none"/>
                <w:u w:val="none"/>
              </w:rPr>
            </w:pPr>
            <w:r>
              <w:rPr>
                <w:rFonts w:hint="eastAsia"/>
                <w:color w:val="auto"/>
                <w:sz w:val="18"/>
                <w:szCs w:val="18"/>
                <w:highlight w:val="none"/>
                <w:u w:val="none"/>
              </w:rPr>
              <w:t>22</w:t>
            </w:r>
          </w:p>
        </w:tc>
        <w:tc>
          <w:tcPr>
            <w:tcW w:w="551" w:type="pct"/>
            <w:vAlign w:val="center"/>
          </w:tcPr>
          <w:p w14:paraId="13DB25BB">
            <w:pPr>
              <w:pStyle w:val="92"/>
              <w:rPr>
                <w:color w:val="auto"/>
                <w:sz w:val="18"/>
                <w:szCs w:val="18"/>
                <w:highlight w:val="none"/>
                <w:u w:val="none"/>
              </w:rPr>
            </w:pPr>
            <w:r>
              <w:rPr>
                <w:rFonts w:hint="eastAsia"/>
                <w:color w:val="auto"/>
                <w:sz w:val="18"/>
                <w:szCs w:val="18"/>
                <w:highlight w:val="none"/>
                <w:u w:val="none"/>
              </w:rPr>
              <w:t>O</w:t>
            </w:r>
            <w:r>
              <w:rPr>
                <w:color w:val="auto"/>
                <w:sz w:val="18"/>
                <w:szCs w:val="18"/>
                <w:highlight w:val="none"/>
                <w:u w:val="none"/>
              </w:rPr>
              <w:t>DCB</w:t>
            </w:r>
          </w:p>
        </w:tc>
        <w:tc>
          <w:tcPr>
            <w:tcW w:w="188" w:type="pct"/>
            <w:vMerge w:val="restart"/>
            <w:vAlign w:val="center"/>
          </w:tcPr>
          <w:p w14:paraId="59433C3E">
            <w:pPr>
              <w:pStyle w:val="92"/>
              <w:rPr>
                <w:color w:val="auto"/>
                <w:sz w:val="18"/>
                <w:szCs w:val="18"/>
                <w:highlight w:val="none"/>
                <w:u w:val="none"/>
              </w:rPr>
            </w:pPr>
            <w:r>
              <w:rPr>
                <w:rFonts w:hint="eastAsia"/>
                <w:color w:val="auto"/>
                <w:sz w:val="18"/>
                <w:szCs w:val="18"/>
                <w:highlight w:val="none"/>
                <w:u w:val="none"/>
              </w:rPr>
              <w:t>产污系数</w:t>
            </w:r>
          </w:p>
        </w:tc>
        <w:tc>
          <w:tcPr>
            <w:tcW w:w="284" w:type="pct"/>
            <w:vAlign w:val="center"/>
          </w:tcPr>
          <w:p w14:paraId="036AF10A">
            <w:pPr>
              <w:pStyle w:val="92"/>
              <w:rPr>
                <w:rFonts w:eastAsia="等线"/>
                <w:color w:val="auto"/>
                <w:sz w:val="18"/>
                <w:szCs w:val="18"/>
                <w:highlight w:val="none"/>
                <w:u w:val="none"/>
              </w:rPr>
            </w:pPr>
            <w:r>
              <w:rPr>
                <w:rFonts w:eastAsia="等线"/>
                <w:color w:val="auto"/>
                <w:sz w:val="18"/>
                <w:szCs w:val="18"/>
                <w:highlight w:val="none"/>
                <w:u w:val="none"/>
              </w:rPr>
              <w:t>62.5</w:t>
            </w:r>
          </w:p>
        </w:tc>
        <w:tc>
          <w:tcPr>
            <w:tcW w:w="242" w:type="pct"/>
            <w:vAlign w:val="center"/>
          </w:tcPr>
          <w:p w14:paraId="38ADD04B">
            <w:pPr>
              <w:pStyle w:val="92"/>
              <w:rPr>
                <w:rFonts w:eastAsia="等线"/>
                <w:color w:val="auto"/>
                <w:sz w:val="18"/>
                <w:szCs w:val="18"/>
                <w:highlight w:val="none"/>
                <w:u w:val="none"/>
              </w:rPr>
            </w:pPr>
            <w:r>
              <w:rPr>
                <w:rFonts w:hint="eastAsia" w:eastAsia="等线"/>
                <w:color w:val="auto"/>
                <w:sz w:val="18"/>
                <w:szCs w:val="18"/>
                <w:highlight w:val="none"/>
                <w:u w:val="none"/>
              </w:rPr>
              <w:t xml:space="preserve">0.001 </w:t>
            </w:r>
          </w:p>
        </w:tc>
        <w:tc>
          <w:tcPr>
            <w:tcW w:w="348" w:type="pct"/>
            <w:vAlign w:val="center"/>
          </w:tcPr>
          <w:p w14:paraId="7F1CA7E8">
            <w:pPr>
              <w:pStyle w:val="92"/>
              <w:rPr>
                <w:rFonts w:eastAsia="等线"/>
                <w:color w:val="auto"/>
                <w:sz w:val="18"/>
                <w:szCs w:val="18"/>
                <w:highlight w:val="none"/>
                <w:u w:val="none"/>
              </w:rPr>
            </w:pPr>
            <w:r>
              <w:rPr>
                <w:rFonts w:hint="eastAsia" w:eastAsia="等线"/>
                <w:color w:val="auto"/>
                <w:sz w:val="18"/>
                <w:szCs w:val="18"/>
                <w:highlight w:val="none"/>
                <w:u w:val="none"/>
              </w:rPr>
              <w:t xml:space="preserve">0.010 </w:t>
            </w:r>
          </w:p>
        </w:tc>
        <w:tc>
          <w:tcPr>
            <w:tcW w:w="421" w:type="pct"/>
            <w:vMerge w:val="restart"/>
            <w:vAlign w:val="center"/>
          </w:tcPr>
          <w:p w14:paraId="0962673F">
            <w:pPr>
              <w:pStyle w:val="92"/>
              <w:rPr>
                <w:rFonts w:eastAsia="等线"/>
                <w:color w:val="auto"/>
                <w:sz w:val="18"/>
                <w:szCs w:val="18"/>
                <w:highlight w:val="none"/>
                <w:u w:val="none"/>
              </w:rPr>
            </w:pPr>
            <w:r>
              <w:rPr>
                <w:rFonts w:hint="eastAsia" w:eastAsia="等线"/>
                <w:color w:val="auto"/>
                <w:sz w:val="18"/>
                <w:szCs w:val="18"/>
                <w:highlight w:val="none"/>
                <w:u w:val="none"/>
              </w:rPr>
              <w:t>两级活性炭吸附</w:t>
            </w:r>
          </w:p>
        </w:tc>
        <w:tc>
          <w:tcPr>
            <w:tcW w:w="323" w:type="pct"/>
            <w:vAlign w:val="center"/>
          </w:tcPr>
          <w:p w14:paraId="1F1F8806">
            <w:pPr>
              <w:pStyle w:val="92"/>
              <w:rPr>
                <w:rFonts w:eastAsia="等线"/>
                <w:color w:val="auto"/>
                <w:sz w:val="18"/>
                <w:szCs w:val="18"/>
                <w:highlight w:val="none"/>
                <w:u w:val="none"/>
              </w:rPr>
            </w:pPr>
            <w:r>
              <w:rPr>
                <w:rFonts w:hint="eastAsia" w:eastAsia="等线"/>
                <w:color w:val="auto"/>
                <w:sz w:val="18"/>
                <w:szCs w:val="18"/>
                <w:highlight w:val="none"/>
                <w:u w:val="none"/>
              </w:rPr>
              <w:t xml:space="preserve">1.88 </w:t>
            </w:r>
          </w:p>
        </w:tc>
        <w:tc>
          <w:tcPr>
            <w:tcW w:w="222" w:type="pct"/>
            <w:vAlign w:val="center"/>
          </w:tcPr>
          <w:p w14:paraId="17B20122">
            <w:pPr>
              <w:pStyle w:val="92"/>
              <w:rPr>
                <w:rFonts w:eastAsia="等线"/>
                <w:color w:val="auto"/>
                <w:sz w:val="18"/>
                <w:szCs w:val="18"/>
                <w:highlight w:val="none"/>
                <w:u w:val="none"/>
              </w:rPr>
            </w:pPr>
            <w:r>
              <w:rPr>
                <w:rFonts w:hint="eastAsia" w:eastAsia="等线"/>
                <w:color w:val="auto"/>
                <w:sz w:val="18"/>
                <w:szCs w:val="18"/>
                <w:highlight w:val="none"/>
                <w:u w:val="none"/>
              </w:rPr>
              <w:t xml:space="preserve">0.00004 </w:t>
            </w:r>
          </w:p>
        </w:tc>
        <w:tc>
          <w:tcPr>
            <w:tcW w:w="254" w:type="pct"/>
            <w:vAlign w:val="center"/>
          </w:tcPr>
          <w:p w14:paraId="22E23C9C">
            <w:pPr>
              <w:pStyle w:val="92"/>
              <w:rPr>
                <w:rFonts w:eastAsia="等线"/>
                <w:color w:val="auto"/>
                <w:sz w:val="18"/>
                <w:szCs w:val="18"/>
                <w:highlight w:val="none"/>
                <w:u w:val="none"/>
              </w:rPr>
            </w:pPr>
            <w:r>
              <w:rPr>
                <w:rFonts w:hint="eastAsia" w:eastAsia="等线"/>
                <w:color w:val="auto"/>
                <w:sz w:val="18"/>
                <w:szCs w:val="18"/>
                <w:highlight w:val="none"/>
                <w:u w:val="none"/>
              </w:rPr>
              <w:t xml:space="preserve">0.00031 </w:t>
            </w:r>
          </w:p>
        </w:tc>
        <w:tc>
          <w:tcPr>
            <w:tcW w:w="206" w:type="pct"/>
            <w:vMerge w:val="restart"/>
            <w:vAlign w:val="center"/>
          </w:tcPr>
          <w:p w14:paraId="5C3BFC8B">
            <w:pPr>
              <w:pStyle w:val="92"/>
              <w:rPr>
                <w:rFonts w:eastAsia="等线"/>
                <w:color w:val="auto"/>
                <w:sz w:val="18"/>
                <w:szCs w:val="18"/>
                <w:highlight w:val="none"/>
                <w:u w:val="none"/>
              </w:rPr>
            </w:pPr>
            <w:r>
              <w:rPr>
                <w:rFonts w:hint="eastAsia" w:eastAsia="等线"/>
                <w:color w:val="auto"/>
                <w:sz w:val="18"/>
                <w:szCs w:val="18"/>
                <w:highlight w:val="none"/>
                <w:u w:val="none"/>
              </w:rPr>
              <w:t>DA017</w:t>
            </w:r>
          </w:p>
        </w:tc>
        <w:tc>
          <w:tcPr>
            <w:tcW w:w="221" w:type="pct"/>
            <w:vMerge w:val="restart"/>
            <w:vAlign w:val="center"/>
          </w:tcPr>
          <w:p w14:paraId="04545277">
            <w:pPr>
              <w:pStyle w:val="92"/>
              <w:rPr>
                <w:color w:val="auto"/>
                <w:sz w:val="18"/>
                <w:szCs w:val="18"/>
                <w:highlight w:val="none"/>
                <w:u w:val="none"/>
              </w:rPr>
            </w:pPr>
            <w:r>
              <w:rPr>
                <w:rFonts w:hint="eastAsia"/>
                <w:color w:val="auto"/>
                <w:sz w:val="18"/>
                <w:szCs w:val="18"/>
                <w:highlight w:val="none"/>
                <w:u w:val="none"/>
              </w:rPr>
              <w:t>1</w:t>
            </w:r>
            <w:r>
              <w:rPr>
                <w:color w:val="auto"/>
                <w:sz w:val="18"/>
                <w:szCs w:val="18"/>
                <w:highlight w:val="none"/>
                <w:u w:val="none"/>
              </w:rPr>
              <w:t>5</w:t>
            </w:r>
          </w:p>
        </w:tc>
        <w:tc>
          <w:tcPr>
            <w:tcW w:w="221" w:type="pct"/>
            <w:vMerge w:val="restart"/>
            <w:vAlign w:val="center"/>
          </w:tcPr>
          <w:p w14:paraId="31EC5D46">
            <w:pPr>
              <w:pStyle w:val="92"/>
              <w:rPr>
                <w:color w:val="auto"/>
                <w:sz w:val="18"/>
                <w:szCs w:val="18"/>
                <w:highlight w:val="none"/>
                <w:u w:val="none"/>
              </w:rPr>
            </w:pPr>
            <w:r>
              <w:rPr>
                <w:rFonts w:hint="eastAsia"/>
                <w:color w:val="auto"/>
                <w:sz w:val="18"/>
                <w:szCs w:val="18"/>
                <w:highlight w:val="none"/>
                <w:u w:val="none"/>
              </w:rPr>
              <w:t>0</w:t>
            </w:r>
            <w:r>
              <w:rPr>
                <w:color w:val="auto"/>
                <w:sz w:val="18"/>
                <w:szCs w:val="18"/>
                <w:highlight w:val="none"/>
                <w:u w:val="none"/>
              </w:rPr>
              <w:t>.15</w:t>
            </w:r>
          </w:p>
        </w:tc>
        <w:tc>
          <w:tcPr>
            <w:tcW w:w="244" w:type="pct"/>
            <w:vMerge w:val="restart"/>
            <w:vAlign w:val="center"/>
          </w:tcPr>
          <w:p w14:paraId="53C30931">
            <w:pPr>
              <w:pStyle w:val="92"/>
              <w:rPr>
                <w:color w:val="auto"/>
                <w:sz w:val="18"/>
                <w:szCs w:val="18"/>
                <w:highlight w:val="none"/>
                <w:u w:val="none"/>
              </w:rPr>
            </w:pPr>
            <w:r>
              <w:rPr>
                <w:rFonts w:hint="eastAsia"/>
                <w:color w:val="auto"/>
                <w:sz w:val="18"/>
                <w:szCs w:val="18"/>
                <w:highlight w:val="none"/>
                <w:u w:val="none"/>
              </w:rPr>
              <w:t>2</w:t>
            </w:r>
            <w:r>
              <w:rPr>
                <w:color w:val="auto"/>
                <w:sz w:val="18"/>
                <w:szCs w:val="18"/>
                <w:highlight w:val="none"/>
                <w:u w:val="none"/>
              </w:rPr>
              <w:t>5</w:t>
            </w:r>
          </w:p>
        </w:tc>
        <w:tc>
          <w:tcPr>
            <w:tcW w:w="344" w:type="pct"/>
            <w:vMerge w:val="restart"/>
            <w:vAlign w:val="center"/>
          </w:tcPr>
          <w:p w14:paraId="7C447091">
            <w:pPr>
              <w:pStyle w:val="92"/>
              <w:rPr>
                <w:color w:val="auto"/>
                <w:sz w:val="18"/>
                <w:szCs w:val="18"/>
                <w:highlight w:val="none"/>
                <w:u w:val="none"/>
              </w:rPr>
            </w:pPr>
            <w:r>
              <w:rPr>
                <w:color w:val="auto"/>
                <w:sz w:val="18"/>
                <w:szCs w:val="18"/>
                <w:highlight w:val="none"/>
                <w:u w:val="none"/>
              </w:rPr>
              <w:t>大气</w:t>
            </w:r>
          </w:p>
        </w:tc>
      </w:tr>
      <w:tr w14:paraId="71E8E8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47414692">
            <w:pPr>
              <w:pStyle w:val="92"/>
              <w:rPr>
                <w:color w:val="auto"/>
                <w:sz w:val="18"/>
                <w:szCs w:val="18"/>
                <w:highlight w:val="none"/>
                <w:u w:val="none"/>
              </w:rPr>
            </w:pPr>
          </w:p>
        </w:tc>
        <w:tc>
          <w:tcPr>
            <w:tcW w:w="166" w:type="pct"/>
            <w:vMerge w:val="continue"/>
            <w:vAlign w:val="center"/>
          </w:tcPr>
          <w:p w14:paraId="2E3D2C40">
            <w:pPr>
              <w:pStyle w:val="92"/>
              <w:rPr>
                <w:color w:val="auto"/>
                <w:sz w:val="18"/>
                <w:szCs w:val="18"/>
                <w:highlight w:val="none"/>
                <w:u w:val="none"/>
              </w:rPr>
            </w:pPr>
          </w:p>
        </w:tc>
        <w:tc>
          <w:tcPr>
            <w:tcW w:w="321" w:type="pct"/>
            <w:vMerge w:val="continue"/>
            <w:vAlign w:val="center"/>
          </w:tcPr>
          <w:p w14:paraId="7BD76B96">
            <w:pPr>
              <w:pStyle w:val="92"/>
              <w:rPr>
                <w:color w:val="auto"/>
                <w:sz w:val="18"/>
                <w:szCs w:val="18"/>
                <w:highlight w:val="none"/>
                <w:u w:val="none"/>
              </w:rPr>
            </w:pPr>
          </w:p>
        </w:tc>
        <w:tc>
          <w:tcPr>
            <w:tcW w:w="318" w:type="pct"/>
            <w:vMerge w:val="continue"/>
            <w:vAlign w:val="center"/>
          </w:tcPr>
          <w:p w14:paraId="12475F9E">
            <w:pPr>
              <w:pStyle w:val="92"/>
              <w:rPr>
                <w:color w:val="auto"/>
                <w:sz w:val="18"/>
                <w:szCs w:val="18"/>
                <w:highlight w:val="none"/>
                <w:u w:val="none"/>
              </w:rPr>
            </w:pPr>
          </w:p>
        </w:tc>
        <w:tc>
          <w:tcPr>
            <w:tcW w:w="551" w:type="pct"/>
            <w:vAlign w:val="center"/>
          </w:tcPr>
          <w:p w14:paraId="572BE945">
            <w:pPr>
              <w:pStyle w:val="92"/>
              <w:rPr>
                <w:color w:val="auto"/>
                <w:sz w:val="18"/>
                <w:szCs w:val="18"/>
                <w:highlight w:val="none"/>
                <w:u w:val="none"/>
              </w:rPr>
            </w:pPr>
            <w:r>
              <w:rPr>
                <w:rFonts w:hint="eastAsia"/>
                <w:color w:val="auto"/>
                <w:sz w:val="18"/>
                <w:szCs w:val="18"/>
                <w:highlight w:val="none"/>
                <w:u w:val="none"/>
              </w:rPr>
              <w:t>V</w:t>
            </w:r>
            <w:r>
              <w:rPr>
                <w:color w:val="auto"/>
                <w:sz w:val="18"/>
                <w:szCs w:val="18"/>
                <w:highlight w:val="none"/>
                <w:u w:val="none"/>
              </w:rPr>
              <w:t>OCs</w:t>
            </w:r>
          </w:p>
        </w:tc>
        <w:tc>
          <w:tcPr>
            <w:tcW w:w="188" w:type="pct"/>
            <w:vMerge w:val="continue"/>
            <w:vAlign w:val="center"/>
          </w:tcPr>
          <w:p w14:paraId="4AA0D0BC">
            <w:pPr>
              <w:pStyle w:val="92"/>
              <w:rPr>
                <w:color w:val="auto"/>
                <w:sz w:val="18"/>
                <w:szCs w:val="18"/>
                <w:highlight w:val="none"/>
                <w:u w:val="none"/>
              </w:rPr>
            </w:pPr>
          </w:p>
        </w:tc>
        <w:tc>
          <w:tcPr>
            <w:tcW w:w="284" w:type="pct"/>
            <w:vAlign w:val="center"/>
          </w:tcPr>
          <w:p w14:paraId="16749FE1">
            <w:pPr>
              <w:pStyle w:val="92"/>
              <w:rPr>
                <w:rFonts w:eastAsia="等线"/>
                <w:color w:val="auto"/>
                <w:sz w:val="18"/>
                <w:szCs w:val="18"/>
                <w:highlight w:val="none"/>
                <w:u w:val="none"/>
              </w:rPr>
            </w:pPr>
            <w:r>
              <w:rPr>
                <w:rFonts w:eastAsia="等线"/>
                <w:color w:val="auto"/>
                <w:sz w:val="18"/>
                <w:szCs w:val="18"/>
                <w:highlight w:val="none"/>
                <w:u w:val="none"/>
              </w:rPr>
              <w:t>62.5</w:t>
            </w:r>
          </w:p>
        </w:tc>
        <w:tc>
          <w:tcPr>
            <w:tcW w:w="242" w:type="pct"/>
            <w:vAlign w:val="center"/>
          </w:tcPr>
          <w:p w14:paraId="13263D94">
            <w:pPr>
              <w:pStyle w:val="92"/>
              <w:rPr>
                <w:rFonts w:eastAsia="等线"/>
                <w:color w:val="auto"/>
                <w:sz w:val="18"/>
                <w:szCs w:val="18"/>
                <w:highlight w:val="none"/>
                <w:u w:val="none"/>
              </w:rPr>
            </w:pPr>
            <w:r>
              <w:rPr>
                <w:rFonts w:hint="eastAsia" w:eastAsia="等线"/>
                <w:color w:val="auto"/>
                <w:sz w:val="18"/>
                <w:szCs w:val="18"/>
                <w:highlight w:val="none"/>
                <w:u w:val="none"/>
              </w:rPr>
              <w:t xml:space="preserve">0.001 </w:t>
            </w:r>
          </w:p>
        </w:tc>
        <w:tc>
          <w:tcPr>
            <w:tcW w:w="348" w:type="pct"/>
            <w:vAlign w:val="center"/>
          </w:tcPr>
          <w:p w14:paraId="3D150B24">
            <w:pPr>
              <w:pStyle w:val="92"/>
              <w:rPr>
                <w:rFonts w:eastAsia="等线"/>
                <w:color w:val="auto"/>
                <w:sz w:val="18"/>
                <w:szCs w:val="18"/>
                <w:highlight w:val="none"/>
                <w:u w:val="none"/>
              </w:rPr>
            </w:pPr>
            <w:r>
              <w:rPr>
                <w:rFonts w:hint="eastAsia" w:eastAsia="等线"/>
                <w:color w:val="auto"/>
                <w:sz w:val="18"/>
                <w:szCs w:val="18"/>
                <w:highlight w:val="none"/>
                <w:u w:val="none"/>
              </w:rPr>
              <w:t xml:space="preserve">0.010 </w:t>
            </w:r>
          </w:p>
        </w:tc>
        <w:tc>
          <w:tcPr>
            <w:tcW w:w="421" w:type="pct"/>
            <w:vMerge w:val="continue"/>
            <w:vAlign w:val="center"/>
          </w:tcPr>
          <w:p w14:paraId="6B593CA4">
            <w:pPr>
              <w:pStyle w:val="92"/>
              <w:rPr>
                <w:rFonts w:eastAsia="等线"/>
                <w:color w:val="auto"/>
                <w:sz w:val="18"/>
                <w:szCs w:val="18"/>
                <w:highlight w:val="none"/>
                <w:u w:val="none"/>
              </w:rPr>
            </w:pPr>
          </w:p>
        </w:tc>
        <w:tc>
          <w:tcPr>
            <w:tcW w:w="323" w:type="pct"/>
            <w:vAlign w:val="center"/>
          </w:tcPr>
          <w:p w14:paraId="5978543E">
            <w:pPr>
              <w:pStyle w:val="92"/>
              <w:rPr>
                <w:rFonts w:eastAsia="等线"/>
                <w:color w:val="auto"/>
                <w:sz w:val="18"/>
                <w:szCs w:val="18"/>
                <w:highlight w:val="none"/>
                <w:u w:val="none"/>
              </w:rPr>
            </w:pPr>
            <w:r>
              <w:rPr>
                <w:rFonts w:hint="eastAsia" w:eastAsia="等线"/>
                <w:color w:val="auto"/>
                <w:sz w:val="18"/>
                <w:szCs w:val="18"/>
                <w:highlight w:val="none"/>
                <w:u w:val="none"/>
              </w:rPr>
              <w:t xml:space="preserve">1.88 </w:t>
            </w:r>
          </w:p>
        </w:tc>
        <w:tc>
          <w:tcPr>
            <w:tcW w:w="222" w:type="pct"/>
            <w:vAlign w:val="center"/>
          </w:tcPr>
          <w:p w14:paraId="7844A151">
            <w:pPr>
              <w:pStyle w:val="92"/>
              <w:rPr>
                <w:rFonts w:eastAsia="等线"/>
                <w:color w:val="auto"/>
                <w:sz w:val="18"/>
                <w:szCs w:val="18"/>
                <w:highlight w:val="none"/>
                <w:u w:val="none"/>
              </w:rPr>
            </w:pPr>
            <w:r>
              <w:rPr>
                <w:rFonts w:hint="eastAsia" w:eastAsia="等线"/>
                <w:color w:val="auto"/>
                <w:sz w:val="18"/>
                <w:szCs w:val="18"/>
                <w:highlight w:val="none"/>
                <w:u w:val="none"/>
              </w:rPr>
              <w:t xml:space="preserve">0.00004 </w:t>
            </w:r>
          </w:p>
        </w:tc>
        <w:tc>
          <w:tcPr>
            <w:tcW w:w="254" w:type="pct"/>
            <w:vAlign w:val="center"/>
          </w:tcPr>
          <w:p w14:paraId="7BED959C">
            <w:pPr>
              <w:pStyle w:val="92"/>
              <w:rPr>
                <w:rFonts w:eastAsia="等线"/>
                <w:color w:val="auto"/>
                <w:sz w:val="18"/>
                <w:szCs w:val="18"/>
                <w:highlight w:val="none"/>
                <w:u w:val="none"/>
              </w:rPr>
            </w:pPr>
            <w:r>
              <w:rPr>
                <w:rFonts w:hint="eastAsia" w:eastAsia="等线"/>
                <w:color w:val="auto"/>
                <w:sz w:val="18"/>
                <w:szCs w:val="18"/>
                <w:highlight w:val="none"/>
                <w:u w:val="none"/>
              </w:rPr>
              <w:t xml:space="preserve">0.00031 </w:t>
            </w:r>
          </w:p>
        </w:tc>
        <w:tc>
          <w:tcPr>
            <w:tcW w:w="206" w:type="pct"/>
            <w:vMerge w:val="continue"/>
            <w:vAlign w:val="center"/>
          </w:tcPr>
          <w:p w14:paraId="6491852B">
            <w:pPr>
              <w:pStyle w:val="92"/>
              <w:rPr>
                <w:rFonts w:eastAsia="等线"/>
                <w:color w:val="auto"/>
                <w:sz w:val="18"/>
                <w:szCs w:val="18"/>
                <w:highlight w:val="none"/>
                <w:u w:val="none"/>
              </w:rPr>
            </w:pPr>
          </w:p>
        </w:tc>
        <w:tc>
          <w:tcPr>
            <w:tcW w:w="221" w:type="pct"/>
            <w:vMerge w:val="continue"/>
            <w:vAlign w:val="center"/>
          </w:tcPr>
          <w:p w14:paraId="3DAEBA6F">
            <w:pPr>
              <w:pStyle w:val="92"/>
              <w:rPr>
                <w:color w:val="auto"/>
                <w:sz w:val="18"/>
                <w:szCs w:val="18"/>
                <w:highlight w:val="none"/>
                <w:u w:val="none"/>
              </w:rPr>
            </w:pPr>
          </w:p>
        </w:tc>
        <w:tc>
          <w:tcPr>
            <w:tcW w:w="221" w:type="pct"/>
            <w:vMerge w:val="continue"/>
            <w:vAlign w:val="center"/>
          </w:tcPr>
          <w:p w14:paraId="7332F8CE">
            <w:pPr>
              <w:pStyle w:val="92"/>
              <w:rPr>
                <w:color w:val="auto"/>
                <w:sz w:val="18"/>
                <w:szCs w:val="18"/>
                <w:highlight w:val="none"/>
                <w:u w:val="none"/>
              </w:rPr>
            </w:pPr>
          </w:p>
        </w:tc>
        <w:tc>
          <w:tcPr>
            <w:tcW w:w="244" w:type="pct"/>
            <w:vMerge w:val="continue"/>
            <w:vAlign w:val="center"/>
          </w:tcPr>
          <w:p w14:paraId="057FF7CB">
            <w:pPr>
              <w:pStyle w:val="92"/>
              <w:rPr>
                <w:color w:val="auto"/>
                <w:sz w:val="18"/>
                <w:szCs w:val="18"/>
                <w:highlight w:val="none"/>
                <w:u w:val="none"/>
              </w:rPr>
            </w:pPr>
          </w:p>
        </w:tc>
        <w:tc>
          <w:tcPr>
            <w:tcW w:w="344" w:type="pct"/>
            <w:vMerge w:val="continue"/>
            <w:vAlign w:val="center"/>
          </w:tcPr>
          <w:p w14:paraId="1951CB17">
            <w:pPr>
              <w:pStyle w:val="92"/>
              <w:rPr>
                <w:color w:val="auto"/>
                <w:sz w:val="18"/>
                <w:szCs w:val="18"/>
                <w:highlight w:val="none"/>
                <w:u w:val="none"/>
              </w:rPr>
            </w:pPr>
          </w:p>
        </w:tc>
      </w:tr>
      <w:tr w14:paraId="2472D2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restart"/>
            <w:vAlign w:val="center"/>
          </w:tcPr>
          <w:p w14:paraId="0F2C6AB8">
            <w:pPr>
              <w:pStyle w:val="92"/>
              <w:rPr>
                <w:color w:val="auto"/>
                <w:sz w:val="18"/>
                <w:szCs w:val="18"/>
                <w:highlight w:val="none"/>
                <w:u w:val="none"/>
              </w:rPr>
            </w:pPr>
            <w:r>
              <w:rPr>
                <w:rFonts w:hint="eastAsia"/>
                <w:color w:val="auto"/>
                <w:sz w:val="18"/>
                <w:szCs w:val="18"/>
                <w:highlight w:val="none"/>
                <w:u w:val="none"/>
              </w:rPr>
              <w:t>焦油装车站</w:t>
            </w:r>
          </w:p>
        </w:tc>
        <w:tc>
          <w:tcPr>
            <w:tcW w:w="166" w:type="pct"/>
            <w:vMerge w:val="restart"/>
            <w:vAlign w:val="center"/>
          </w:tcPr>
          <w:p w14:paraId="3606BDD5">
            <w:pPr>
              <w:pStyle w:val="92"/>
              <w:rPr>
                <w:color w:val="auto"/>
                <w:sz w:val="18"/>
                <w:szCs w:val="18"/>
                <w:highlight w:val="none"/>
                <w:u w:val="none"/>
              </w:rPr>
            </w:pPr>
            <w:r>
              <w:rPr>
                <w:rFonts w:hint="eastAsia"/>
                <w:color w:val="auto"/>
                <w:sz w:val="18"/>
                <w:szCs w:val="18"/>
                <w:highlight w:val="none"/>
                <w:u w:val="none"/>
              </w:rPr>
              <w:t>G5-1</w:t>
            </w:r>
          </w:p>
        </w:tc>
        <w:tc>
          <w:tcPr>
            <w:tcW w:w="321" w:type="pct"/>
            <w:vMerge w:val="restart"/>
            <w:vAlign w:val="center"/>
          </w:tcPr>
          <w:p w14:paraId="3BAD5591">
            <w:pPr>
              <w:pStyle w:val="92"/>
              <w:rPr>
                <w:color w:val="auto"/>
                <w:sz w:val="18"/>
                <w:szCs w:val="18"/>
                <w:highlight w:val="none"/>
                <w:u w:val="none"/>
              </w:rPr>
            </w:pPr>
            <w:r>
              <w:rPr>
                <w:rFonts w:hint="eastAsia"/>
                <w:color w:val="auto"/>
                <w:sz w:val="18"/>
                <w:szCs w:val="18"/>
                <w:highlight w:val="none"/>
                <w:u w:val="none"/>
              </w:rPr>
              <w:t>焦油颗粒装车废气</w:t>
            </w:r>
          </w:p>
        </w:tc>
        <w:tc>
          <w:tcPr>
            <w:tcW w:w="318" w:type="pct"/>
            <w:vMerge w:val="restart"/>
            <w:vAlign w:val="center"/>
          </w:tcPr>
          <w:p w14:paraId="03B87691">
            <w:pPr>
              <w:pStyle w:val="92"/>
              <w:rPr>
                <w:color w:val="auto"/>
                <w:sz w:val="18"/>
                <w:szCs w:val="18"/>
                <w:highlight w:val="none"/>
                <w:u w:val="none"/>
              </w:rPr>
            </w:pPr>
            <w:r>
              <w:rPr>
                <w:rFonts w:hint="eastAsia"/>
                <w:color w:val="auto"/>
                <w:sz w:val="18"/>
                <w:szCs w:val="18"/>
                <w:highlight w:val="none"/>
                <w:u w:val="none"/>
              </w:rPr>
              <w:t>1000</w:t>
            </w:r>
          </w:p>
        </w:tc>
        <w:tc>
          <w:tcPr>
            <w:tcW w:w="551" w:type="pct"/>
            <w:vAlign w:val="center"/>
          </w:tcPr>
          <w:p w14:paraId="56A958D0">
            <w:pPr>
              <w:pStyle w:val="92"/>
              <w:rPr>
                <w:color w:val="auto"/>
                <w:sz w:val="18"/>
                <w:szCs w:val="18"/>
                <w:highlight w:val="none"/>
                <w:u w:val="none"/>
              </w:rPr>
            </w:pPr>
            <w:r>
              <w:rPr>
                <w:rFonts w:hint="eastAsia"/>
                <w:color w:val="auto"/>
                <w:sz w:val="18"/>
                <w:szCs w:val="18"/>
                <w:highlight w:val="none"/>
                <w:u w:val="none"/>
              </w:rPr>
              <w:t>颗粒物</w:t>
            </w:r>
          </w:p>
        </w:tc>
        <w:tc>
          <w:tcPr>
            <w:tcW w:w="188" w:type="pct"/>
            <w:vMerge w:val="restart"/>
            <w:vAlign w:val="center"/>
          </w:tcPr>
          <w:p w14:paraId="39C10FFC">
            <w:pPr>
              <w:pStyle w:val="92"/>
              <w:rPr>
                <w:color w:val="auto"/>
                <w:sz w:val="18"/>
                <w:szCs w:val="18"/>
                <w:highlight w:val="none"/>
                <w:u w:val="none"/>
              </w:rPr>
            </w:pPr>
            <w:r>
              <w:rPr>
                <w:rFonts w:hint="eastAsia"/>
                <w:color w:val="auto"/>
                <w:sz w:val="18"/>
                <w:szCs w:val="18"/>
                <w:highlight w:val="none"/>
                <w:u w:val="none"/>
              </w:rPr>
              <w:t>类比法</w:t>
            </w:r>
          </w:p>
        </w:tc>
        <w:tc>
          <w:tcPr>
            <w:tcW w:w="284" w:type="pct"/>
            <w:vAlign w:val="center"/>
          </w:tcPr>
          <w:p w14:paraId="3E8F0A04">
            <w:pPr>
              <w:pStyle w:val="92"/>
              <w:rPr>
                <w:rFonts w:eastAsia="等线"/>
                <w:color w:val="auto"/>
                <w:sz w:val="18"/>
                <w:szCs w:val="18"/>
                <w:highlight w:val="none"/>
                <w:u w:val="none"/>
              </w:rPr>
            </w:pPr>
            <w:r>
              <w:rPr>
                <w:color w:val="auto"/>
                <w:highlight w:val="none"/>
                <w:u w:val="none"/>
              </w:rPr>
              <w:t>50</w:t>
            </w:r>
          </w:p>
        </w:tc>
        <w:tc>
          <w:tcPr>
            <w:tcW w:w="669" w:type="dxa"/>
            <w:vAlign w:val="center"/>
          </w:tcPr>
          <w:p w14:paraId="108022A2">
            <w:pPr>
              <w:pStyle w:val="92"/>
              <w:rPr>
                <w:rFonts w:eastAsia="等线"/>
                <w:color w:val="auto"/>
                <w:sz w:val="18"/>
                <w:szCs w:val="18"/>
                <w:highlight w:val="none"/>
                <w:u w:val="none"/>
              </w:rPr>
            </w:pPr>
            <w:r>
              <w:rPr>
                <w:color w:val="auto"/>
                <w:highlight w:val="none"/>
                <w:u w:val="none"/>
              </w:rPr>
              <w:t>0.05</w:t>
            </w:r>
          </w:p>
        </w:tc>
        <w:tc>
          <w:tcPr>
            <w:tcW w:w="965" w:type="dxa"/>
            <w:vAlign w:val="center"/>
          </w:tcPr>
          <w:p w14:paraId="1EBD58E6">
            <w:pPr>
              <w:pStyle w:val="92"/>
              <w:rPr>
                <w:rFonts w:eastAsia="等线"/>
                <w:color w:val="auto"/>
                <w:sz w:val="18"/>
                <w:szCs w:val="18"/>
                <w:highlight w:val="none"/>
                <w:u w:val="none"/>
              </w:rPr>
            </w:pPr>
            <w:r>
              <w:rPr>
                <w:color w:val="auto"/>
                <w:highlight w:val="none"/>
                <w:u w:val="none"/>
              </w:rPr>
              <w:t>0.4</w:t>
            </w:r>
          </w:p>
        </w:tc>
        <w:tc>
          <w:tcPr>
            <w:tcW w:w="421" w:type="pct"/>
            <w:vMerge w:val="restart"/>
            <w:vAlign w:val="center"/>
          </w:tcPr>
          <w:p w14:paraId="6108444C">
            <w:pPr>
              <w:pStyle w:val="92"/>
              <w:rPr>
                <w:rFonts w:eastAsia="等线"/>
                <w:color w:val="auto"/>
                <w:sz w:val="18"/>
                <w:szCs w:val="18"/>
                <w:highlight w:val="none"/>
                <w:u w:val="none"/>
              </w:rPr>
            </w:pPr>
            <w:r>
              <w:rPr>
                <w:rFonts w:hint="eastAsia" w:eastAsia="等线"/>
                <w:color w:val="auto"/>
                <w:sz w:val="18"/>
                <w:szCs w:val="18"/>
                <w:highlight w:val="none"/>
                <w:u w:val="none"/>
              </w:rPr>
              <w:t>二级粉尘过滤器</w:t>
            </w:r>
          </w:p>
        </w:tc>
        <w:tc>
          <w:tcPr>
            <w:tcW w:w="893" w:type="dxa"/>
            <w:vAlign w:val="center"/>
          </w:tcPr>
          <w:p w14:paraId="15310229">
            <w:pPr>
              <w:pStyle w:val="92"/>
              <w:rPr>
                <w:rFonts w:eastAsia="等线"/>
                <w:color w:val="auto"/>
                <w:sz w:val="18"/>
                <w:szCs w:val="18"/>
                <w:highlight w:val="none"/>
                <w:u w:val="none"/>
              </w:rPr>
            </w:pPr>
            <w:r>
              <w:rPr>
                <w:color w:val="auto"/>
                <w:highlight w:val="none"/>
                <w:u w:val="none"/>
              </w:rPr>
              <w:t>0.5</w:t>
            </w:r>
          </w:p>
        </w:tc>
        <w:tc>
          <w:tcPr>
            <w:tcW w:w="615" w:type="dxa"/>
            <w:vAlign w:val="center"/>
          </w:tcPr>
          <w:p w14:paraId="142C9D9D">
            <w:pPr>
              <w:pStyle w:val="92"/>
              <w:rPr>
                <w:rFonts w:eastAsia="等线"/>
                <w:color w:val="auto"/>
                <w:sz w:val="18"/>
                <w:szCs w:val="18"/>
                <w:highlight w:val="none"/>
                <w:u w:val="none"/>
              </w:rPr>
            </w:pPr>
            <w:r>
              <w:rPr>
                <w:color w:val="auto"/>
                <w:highlight w:val="none"/>
                <w:u w:val="none"/>
              </w:rPr>
              <w:t>0.0005</w:t>
            </w:r>
          </w:p>
        </w:tc>
        <w:tc>
          <w:tcPr>
            <w:tcW w:w="705" w:type="dxa"/>
            <w:vAlign w:val="center"/>
          </w:tcPr>
          <w:p w14:paraId="0EA744CA">
            <w:pPr>
              <w:pStyle w:val="92"/>
              <w:rPr>
                <w:rFonts w:eastAsia="等线"/>
                <w:color w:val="auto"/>
                <w:sz w:val="18"/>
                <w:szCs w:val="18"/>
                <w:highlight w:val="none"/>
                <w:u w:val="none"/>
              </w:rPr>
            </w:pPr>
            <w:r>
              <w:rPr>
                <w:color w:val="auto"/>
                <w:highlight w:val="none"/>
                <w:u w:val="none"/>
              </w:rPr>
              <w:t>0.004</w:t>
            </w:r>
          </w:p>
        </w:tc>
        <w:tc>
          <w:tcPr>
            <w:tcW w:w="206" w:type="pct"/>
            <w:vMerge w:val="restart"/>
            <w:vAlign w:val="center"/>
          </w:tcPr>
          <w:p w14:paraId="4206A810">
            <w:pPr>
              <w:pStyle w:val="92"/>
              <w:rPr>
                <w:rFonts w:eastAsia="等线"/>
                <w:color w:val="auto"/>
                <w:sz w:val="18"/>
                <w:szCs w:val="18"/>
                <w:highlight w:val="none"/>
                <w:u w:val="none"/>
              </w:rPr>
            </w:pPr>
            <w:r>
              <w:rPr>
                <w:rFonts w:hint="eastAsia" w:eastAsia="等线"/>
                <w:color w:val="auto"/>
                <w:sz w:val="18"/>
                <w:szCs w:val="18"/>
                <w:highlight w:val="none"/>
                <w:u w:val="none"/>
              </w:rPr>
              <w:t>/</w:t>
            </w:r>
          </w:p>
        </w:tc>
        <w:tc>
          <w:tcPr>
            <w:tcW w:w="221" w:type="pct"/>
            <w:vMerge w:val="restart"/>
            <w:vAlign w:val="center"/>
          </w:tcPr>
          <w:p w14:paraId="146A4DE0">
            <w:pPr>
              <w:pStyle w:val="92"/>
              <w:rPr>
                <w:color w:val="auto"/>
                <w:sz w:val="18"/>
                <w:szCs w:val="18"/>
                <w:highlight w:val="none"/>
                <w:u w:val="none"/>
              </w:rPr>
            </w:pPr>
            <w:r>
              <w:rPr>
                <w:rFonts w:hint="eastAsia"/>
                <w:color w:val="auto"/>
                <w:sz w:val="18"/>
                <w:szCs w:val="18"/>
                <w:highlight w:val="none"/>
                <w:u w:val="none"/>
              </w:rPr>
              <w:t>23</w:t>
            </w:r>
          </w:p>
        </w:tc>
        <w:tc>
          <w:tcPr>
            <w:tcW w:w="221" w:type="pct"/>
            <w:vMerge w:val="restart"/>
            <w:vAlign w:val="center"/>
          </w:tcPr>
          <w:p w14:paraId="4D3A389B">
            <w:pPr>
              <w:pStyle w:val="92"/>
              <w:rPr>
                <w:color w:val="auto"/>
                <w:sz w:val="18"/>
                <w:szCs w:val="18"/>
                <w:highlight w:val="none"/>
                <w:u w:val="none"/>
              </w:rPr>
            </w:pPr>
            <w:r>
              <w:rPr>
                <w:rFonts w:hint="eastAsia"/>
                <w:color w:val="auto"/>
                <w:sz w:val="18"/>
                <w:szCs w:val="18"/>
                <w:highlight w:val="none"/>
                <w:u w:val="none"/>
              </w:rPr>
              <w:t>0.03</w:t>
            </w:r>
          </w:p>
        </w:tc>
        <w:tc>
          <w:tcPr>
            <w:tcW w:w="244" w:type="pct"/>
            <w:vMerge w:val="restart"/>
            <w:vAlign w:val="center"/>
          </w:tcPr>
          <w:p w14:paraId="4D9A6EEB">
            <w:pPr>
              <w:pStyle w:val="92"/>
              <w:rPr>
                <w:color w:val="auto"/>
                <w:sz w:val="18"/>
                <w:szCs w:val="18"/>
                <w:highlight w:val="none"/>
                <w:u w:val="none"/>
              </w:rPr>
            </w:pPr>
            <w:r>
              <w:rPr>
                <w:rFonts w:hint="eastAsia"/>
                <w:color w:val="auto"/>
                <w:sz w:val="18"/>
                <w:szCs w:val="18"/>
                <w:highlight w:val="none"/>
                <w:u w:val="none"/>
              </w:rPr>
              <w:t>25</w:t>
            </w:r>
          </w:p>
        </w:tc>
        <w:tc>
          <w:tcPr>
            <w:tcW w:w="344" w:type="pct"/>
            <w:vMerge w:val="restart"/>
            <w:vAlign w:val="center"/>
          </w:tcPr>
          <w:p w14:paraId="389E1AB1">
            <w:pPr>
              <w:pStyle w:val="92"/>
              <w:rPr>
                <w:color w:val="auto"/>
                <w:sz w:val="18"/>
                <w:szCs w:val="18"/>
                <w:highlight w:val="none"/>
                <w:u w:val="none"/>
              </w:rPr>
            </w:pPr>
            <w:r>
              <w:rPr>
                <w:rFonts w:hint="eastAsia"/>
                <w:color w:val="auto"/>
                <w:sz w:val="18"/>
                <w:szCs w:val="18"/>
                <w:highlight w:val="none"/>
                <w:u w:val="none"/>
              </w:rPr>
              <w:t>大气</w:t>
            </w:r>
          </w:p>
        </w:tc>
      </w:tr>
      <w:tr w14:paraId="674467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19" w:type="pct"/>
            <w:vMerge w:val="continue"/>
            <w:vAlign w:val="center"/>
          </w:tcPr>
          <w:p w14:paraId="64089FD8">
            <w:pPr>
              <w:pStyle w:val="92"/>
              <w:rPr>
                <w:color w:val="auto"/>
                <w:sz w:val="18"/>
                <w:szCs w:val="18"/>
                <w:highlight w:val="none"/>
                <w:u w:val="none"/>
              </w:rPr>
            </w:pPr>
          </w:p>
        </w:tc>
        <w:tc>
          <w:tcPr>
            <w:tcW w:w="166" w:type="pct"/>
            <w:vMerge w:val="continue"/>
            <w:vAlign w:val="center"/>
          </w:tcPr>
          <w:p w14:paraId="39E90460">
            <w:pPr>
              <w:pStyle w:val="92"/>
              <w:rPr>
                <w:color w:val="auto"/>
                <w:sz w:val="18"/>
                <w:szCs w:val="18"/>
                <w:highlight w:val="none"/>
                <w:u w:val="none"/>
              </w:rPr>
            </w:pPr>
          </w:p>
        </w:tc>
        <w:tc>
          <w:tcPr>
            <w:tcW w:w="321" w:type="pct"/>
            <w:vMerge w:val="continue"/>
            <w:vAlign w:val="center"/>
          </w:tcPr>
          <w:p w14:paraId="3B59A7B9">
            <w:pPr>
              <w:pStyle w:val="92"/>
              <w:rPr>
                <w:color w:val="auto"/>
                <w:sz w:val="18"/>
                <w:szCs w:val="18"/>
                <w:highlight w:val="none"/>
                <w:u w:val="none"/>
              </w:rPr>
            </w:pPr>
          </w:p>
        </w:tc>
        <w:tc>
          <w:tcPr>
            <w:tcW w:w="318" w:type="pct"/>
            <w:vMerge w:val="continue"/>
            <w:vAlign w:val="center"/>
          </w:tcPr>
          <w:p w14:paraId="79843DAB">
            <w:pPr>
              <w:pStyle w:val="92"/>
              <w:rPr>
                <w:color w:val="auto"/>
                <w:sz w:val="18"/>
                <w:szCs w:val="18"/>
                <w:highlight w:val="none"/>
                <w:u w:val="none"/>
              </w:rPr>
            </w:pPr>
          </w:p>
        </w:tc>
        <w:tc>
          <w:tcPr>
            <w:tcW w:w="551" w:type="pct"/>
            <w:vAlign w:val="center"/>
          </w:tcPr>
          <w:p w14:paraId="613EC4AD">
            <w:pPr>
              <w:pStyle w:val="92"/>
              <w:rPr>
                <w:color w:val="auto"/>
                <w:sz w:val="18"/>
                <w:szCs w:val="18"/>
                <w:highlight w:val="none"/>
                <w:u w:val="none"/>
              </w:rPr>
            </w:pPr>
            <w:r>
              <w:rPr>
                <w:rFonts w:hint="eastAsia"/>
                <w:color w:val="auto"/>
                <w:sz w:val="18"/>
                <w:szCs w:val="18"/>
                <w:highlight w:val="none"/>
                <w:u w:val="none"/>
              </w:rPr>
              <w:t>V</w:t>
            </w:r>
            <w:r>
              <w:rPr>
                <w:color w:val="auto"/>
                <w:sz w:val="18"/>
                <w:szCs w:val="18"/>
                <w:highlight w:val="none"/>
                <w:u w:val="none"/>
              </w:rPr>
              <w:t>OCs</w:t>
            </w:r>
          </w:p>
        </w:tc>
        <w:tc>
          <w:tcPr>
            <w:tcW w:w="188" w:type="pct"/>
            <w:vMerge w:val="continue"/>
            <w:vAlign w:val="center"/>
          </w:tcPr>
          <w:p w14:paraId="400C0EEB">
            <w:pPr>
              <w:pStyle w:val="92"/>
              <w:rPr>
                <w:color w:val="auto"/>
                <w:sz w:val="18"/>
                <w:szCs w:val="18"/>
                <w:highlight w:val="none"/>
                <w:u w:val="none"/>
              </w:rPr>
            </w:pPr>
          </w:p>
        </w:tc>
        <w:tc>
          <w:tcPr>
            <w:tcW w:w="284" w:type="pct"/>
            <w:vAlign w:val="center"/>
          </w:tcPr>
          <w:p w14:paraId="29A520B1">
            <w:pPr>
              <w:pStyle w:val="92"/>
              <w:rPr>
                <w:rFonts w:eastAsia="等线"/>
                <w:color w:val="auto"/>
                <w:sz w:val="18"/>
                <w:szCs w:val="18"/>
                <w:highlight w:val="none"/>
                <w:u w:val="none"/>
              </w:rPr>
            </w:pPr>
            <w:r>
              <w:rPr>
                <w:color w:val="auto"/>
                <w:highlight w:val="none"/>
                <w:u w:val="none"/>
              </w:rPr>
              <w:t>0.6</w:t>
            </w:r>
          </w:p>
        </w:tc>
        <w:tc>
          <w:tcPr>
            <w:tcW w:w="669" w:type="dxa"/>
            <w:vAlign w:val="center"/>
          </w:tcPr>
          <w:p w14:paraId="3EE3FF8A">
            <w:pPr>
              <w:pStyle w:val="92"/>
              <w:rPr>
                <w:rFonts w:eastAsia="等线"/>
                <w:color w:val="auto"/>
                <w:sz w:val="18"/>
                <w:szCs w:val="18"/>
                <w:highlight w:val="none"/>
                <w:u w:val="none"/>
              </w:rPr>
            </w:pPr>
            <w:r>
              <w:rPr>
                <w:color w:val="auto"/>
                <w:highlight w:val="none"/>
                <w:u w:val="none"/>
              </w:rPr>
              <w:t>0.0006</w:t>
            </w:r>
          </w:p>
        </w:tc>
        <w:tc>
          <w:tcPr>
            <w:tcW w:w="965" w:type="dxa"/>
            <w:vAlign w:val="center"/>
          </w:tcPr>
          <w:p w14:paraId="4BCF37C9">
            <w:pPr>
              <w:pStyle w:val="92"/>
              <w:rPr>
                <w:rFonts w:eastAsia="等线"/>
                <w:color w:val="auto"/>
                <w:sz w:val="18"/>
                <w:szCs w:val="18"/>
                <w:highlight w:val="none"/>
                <w:u w:val="none"/>
              </w:rPr>
            </w:pPr>
            <w:r>
              <w:rPr>
                <w:color w:val="auto"/>
                <w:highlight w:val="none"/>
                <w:u w:val="none"/>
              </w:rPr>
              <w:t>0.0048</w:t>
            </w:r>
          </w:p>
        </w:tc>
        <w:tc>
          <w:tcPr>
            <w:tcW w:w="421" w:type="pct"/>
            <w:vMerge w:val="continue"/>
            <w:vAlign w:val="center"/>
          </w:tcPr>
          <w:p w14:paraId="679BEE03">
            <w:pPr>
              <w:pStyle w:val="92"/>
              <w:rPr>
                <w:rFonts w:eastAsia="等线"/>
                <w:color w:val="auto"/>
                <w:sz w:val="18"/>
                <w:szCs w:val="18"/>
                <w:highlight w:val="none"/>
                <w:u w:val="none"/>
              </w:rPr>
            </w:pPr>
          </w:p>
        </w:tc>
        <w:tc>
          <w:tcPr>
            <w:tcW w:w="893" w:type="dxa"/>
            <w:vAlign w:val="center"/>
          </w:tcPr>
          <w:p w14:paraId="6406DAAE">
            <w:pPr>
              <w:pStyle w:val="92"/>
              <w:rPr>
                <w:rFonts w:eastAsia="等线"/>
                <w:color w:val="auto"/>
                <w:sz w:val="18"/>
                <w:szCs w:val="18"/>
                <w:highlight w:val="none"/>
                <w:u w:val="none"/>
              </w:rPr>
            </w:pPr>
            <w:r>
              <w:rPr>
                <w:rFonts w:hint="eastAsia"/>
                <w:color w:val="auto"/>
                <w:highlight w:val="none"/>
                <w:u w:val="none"/>
              </w:rPr>
              <w:t>0.6</w:t>
            </w:r>
          </w:p>
        </w:tc>
        <w:tc>
          <w:tcPr>
            <w:tcW w:w="615" w:type="dxa"/>
            <w:vAlign w:val="center"/>
          </w:tcPr>
          <w:p w14:paraId="76002D22">
            <w:pPr>
              <w:pStyle w:val="92"/>
              <w:rPr>
                <w:rFonts w:eastAsia="等线"/>
                <w:color w:val="auto"/>
                <w:sz w:val="18"/>
                <w:szCs w:val="18"/>
                <w:highlight w:val="none"/>
                <w:u w:val="none"/>
              </w:rPr>
            </w:pPr>
            <w:r>
              <w:rPr>
                <w:rFonts w:hint="eastAsia"/>
                <w:color w:val="auto"/>
                <w:highlight w:val="none"/>
                <w:u w:val="none"/>
              </w:rPr>
              <w:t>0.0006</w:t>
            </w:r>
          </w:p>
        </w:tc>
        <w:tc>
          <w:tcPr>
            <w:tcW w:w="705" w:type="dxa"/>
            <w:vAlign w:val="center"/>
          </w:tcPr>
          <w:p w14:paraId="7FD06F14">
            <w:pPr>
              <w:pStyle w:val="92"/>
              <w:rPr>
                <w:rFonts w:eastAsia="等线"/>
                <w:color w:val="auto"/>
                <w:sz w:val="18"/>
                <w:szCs w:val="18"/>
                <w:highlight w:val="none"/>
                <w:u w:val="none"/>
              </w:rPr>
            </w:pPr>
            <w:r>
              <w:rPr>
                <w:color w:val="auto"/>
                <w:highlight w:val="none"/>
                <w:u w:val="none"/>
              </w:rPr>
              <w:t>0.0048</w:t>
            </w:r>
          </w:p>
        </w:tc>
        <w:tc>
          <w:tcPr>
            <w:tcW w:w="206" w:type="pct"/>
            <w:vMerge w:val="continue"/>
            <w:vAlign w:val="center"/>
          </w:tcPr>
          <w:p w14:paraId="7A424AAC">
            <w:pPr>
              <w:pStyle w:val="92"/>
              <w:rPr>
                <w:rFonts w:eastAsia="等线"/>
                <w:color w:val="auto"/>
                <w:sz w:val="18"/>
                <w:szCs w:val="18"/>
                <w:highlight w:val="none"/>
                <w:u w:val="none"/>
              </w:rPr>
            </w:pPr>
          </w:p>
        </w:tc>
        <w:tc>
          <w:tcPr>
            <w:tcW w:w="221" w:type="pct"/>
            <w:vMerge w:val="continue"/>
            <w:vAlign w:val="center"/>
          </w:tcPr>
          <w:p w14:paraId="5C37A4CA">
            <w:pPr>
              <w:pStyle w:val="92"/>
              <w:rPr>
                <w:color w:val="auto"/>
                <w:sz w:val="18"/>
                <w:szCs w:val="18"/>
                <w:highlight w:val="none"/>
                <w:u w:val="none"/>
              </w:rPr>
            </w:pPr>
          </w:p>
        </w:tc>
        <w:tc>
          <w:tcPr>
            <w:tcW w:w="221" w:type="pct"/>
            <w:vMerge w:val="continue"/>
            <w:vAlign w:val="center"/>
          </w:tcPr>
          <w:p w14:paraId="5DB9C068">
            <w:pPr>
              <w:pStyle w:val="92"/>
              <w:rPr>
                <w:color w:val="auto"/>
                <w:sz w:val="18"/>
                <w:szCs w:val="18"/>
                <w:highlight w:val="none"/>
                <w:u w:val="none"/>
              </w:rPr>
            </w:pPr>
          </w:p>
        </w:tc>
        <w:tc>
          <w:tcPr>
            <w:tcW w:w="244" w:type="pct"/>
            <w:vMerge w:val="continue"/>
            <w:vAlign w:val="center"/>
          </w:tcPr>
          <w:p w14:paraId="3A174C9E">
            <w:pPr>
              <w:pStyle w:val="92"/>
              <w:rPr>
                <w:color w:val="auto"/>
                <w:sz w:val="18"/>
                <w:szCs w:val="18"/>
                <w:highlight w:val="none"/>
                <w:u w:val="none"/>
              </w:rPr>
            </w:pPr>
          </w:p>
        </w:tc>
        <w:tc>
          <w:tcPr>
            <w:tcW w:w="344" w:type="pct"/>
            <w:vMerge w:val="continue"/>
            <w:vAlign w:val="center"/>
          </w:tcPr>
          <w:p w14:paraId="2AE32663">
            <w:pPr>
              <w:pStyle w:val="92"/>
              <w:rPr>
                <w:color w:val="auto"/>
                <w:sz w:val="18"/>
                <w:szCs w:val="18"/>
                <w:highlight w:val="none"/>
                <w:u w:val="none"/>
              </w:rPr>
            </w:pPr>
          </w:p>
        </w:tc>
      </w:tr>
    </w:tbl>
    <w:p w14:paraId="463FA02D">
      <w:pPr>
        <w:pStyle w:val="85"/>
        <w:rPr>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2</w:t>
      </w:r>
      <w:r>
        <w:rPr>
          <w:color w:val="auto"/>
          <w:highlight w:val="none"/>
          <w:u w:val="none"/>
        </w:rPr>
        <w:fldChar w:fldCharType="end"/>
      </w:r>
      <w:bookmarkEnd w:id="360"/>
      <w:r>
        <w:rPr>
          <w:color w:val="auto"/>
          <w:highlight w:val="none"/>
          <w:u w:val="none"/>
        </w:rPr>
        <w:t xml:space="preserve">  </w:t>
      </w:r>
      <w:r>
        <w:rPr>
          <w:rFonts w:hint="eastAsia"/>
          <w:color w:val="auto"/>
          <w:highlight w:val="none"/>
          <w:u w:val="none"/>
        </w:rPr>
        <w:t>技改扩能后废气有组织污染源产生及排放情况汇总表</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364"/>
        <w:gridCol w:w="414"/>
        <w:gridCol w:w="905"/>
        <w:gridCol w:w="896"/>
        <w:gridCol w:w="1540"/>
        <w:gridCol w:w="529"/>
        <w:gridCol w:w="795"/>
        <w:gridCol w:w="675"/>
        <w:gridCol w:w="846"/>
        <w:gridCol w:w="1176"/>
        <w:gridCol w:w="902"/>
        <w:gridCol w:w="711"/>
        <w:gridCol w:w="742"/>
        <w:gridCol w:w="574"/>
        <w:gridCol w:w="622"/>
        <w:gridCol w:w="622"/>
        <w:gridCol w:w="669"/>
        <w:gridCol w:w="1006"/>
      </w:tblGrid>
      <w:tr w14:paraId="0E683A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130" w:type="pct"/>
            <w:vMerge w:val="restart"/>
            <w:vAlign w:val="center"/>
          </w:tcPr>
          <w:p w14:paraId="11F0BC50">
            <w:pPr>
              <w:pStyle w:val="92"/>
              <w:rPr>
                <w:color w:val="auto"/>
                <w:sz w:val="18"/>
                <w:szCs w:val="18"/>
                <w:highlight w:val="none"/>
                <w:u w:val="none"/>
              </w:rPr>
            </w:pPr>
            <w:r>
              <w:rPr>
                <w:color w:val="auto"/>
                <w:sz w:val="18"/>
                <w:szCs w:val="18"/>
                <w:highlight w:val="none"/>
                <w:u w:val="none"/>
              </w:rPr>
              <w:t>生产</w:t>
            </w:r>
          </w:p>
          <w:p w14:paraId="5B74F3FF">
            <w:pPr>
              <w:pStyle w:val="92"/>
              <w:rPr>
                <w:color w:val="auto"/>
                <w:sz w:val="18"/>
                <w:szCs w:val="18"/>
                <w:highlight w:val="none"/>
                <w:u w:val="none"/>
              </w:rPr>
            </w:pPr>
            <w:r>
              <w:rPr>
                <w:color w:val="auto"/>
                <w:sz w:val="18"/>
                <w:szCs w:val="18"/>
                <w:highlight w:val="none"/>
                <w:u w:val="none"/>
              </w:rPr>
              <w:t>单元</w:t>
            </w:r>
          </w:p>
        </w:tc>
        <w:tc>
          <w:tcPr>
            <w:tcW w:w="148" w:type="pct"/>
            <w:vMerge w:val="restart"/>
            <w:vAlign w:val="center"/>
          </w:tcPr>
          <w:p w14:paraId="30C15A8D">
            <w:pPr>
              <w:pStyle w:val="92"/>
              <w:rPr>
                <w:color w:val="auto"/>
                <w:sz w:val="18"/>
                <w:szCs w:val="18"/>
                <w:highlight w:val="none"/>
                <w:u w:val="none"/>
              </w:rPr>
            </w:pPr>
            <w:r>
              <w:rPr>
                <w:color w:val="auto"/>
                <w:sz w:val="18"/>
                <w:szCs w:val="18"/>
                <w:highlight w:val="none"/>
                <w:u w:val="none"/>
              </w:rPr>
              <w:t>编号</w:t>
            </w:r>
          </w:p>
        </w:tc>
        <w:tc>
          <w:tcPr>
            <w:tcW w:w="323" w:type="pct"/>
            <w:vMerge w:val="restart"/>
            <w:vAlign w:val="center"/>
          </w:tcPr>
          <w:p w14:paraId="04BB8FB2">
            <w:pPr>
              <w:pStyle w:val="92"/>
              <w:rPr>
                <w:color w:val="auto"/>
                <w:sz w:val="18"/>
                <w:szCs w:val="18"/>
                <w:highlight w:val="none"/>
                <w:u w:val="none"/>
              </w:rPr>
            </w:pPr>
            <w:r>
              <w:rPr>
                <w:color w:val="auto"/>
                <w:sz w:val="18"/>
                <w:szCs w:val="18"/>
                <w:highlight w:val="none"/>
                <w:u w:val="none"/>
              </w:rPr>
              <w:t>污染源</w:t>
            </w:r>
          </w:p>
        </w:tc>
        <w:tc>
          <w:tcPr>
            <w:tcW w:w="320" w:type="pct"/>
            <w:vMerge w:val="restart"/>
            <w:vAlign w:val="center"/>
          </w:tcPr>
          <w:p w14:paraId="2A84432F">
            <w:pPr>
              <w:pStyle w:val="92"/>
              <w:rPr>
                <w:color w:val="auto"/>
                <w:sz w:val="18"/>
                <w:szCs w:val="18"/>
                <w:highlight w:val="none"/>
                <w:u w:val="none"/>
              </w:rPr>
            </w:pPr>
            <w:r>
              <w:rPr>
                <w:color w:val="auto"/>
                <w:sz w:val="18"/>
                <w:szCs w:val="18"/>
                <w:highlight w:val="none"/>
                <w:u w:val="none"/>
              </w:rPr>
              <w:t>废气量</w:t>
            </w:r>
          </w:p>
          <w:p w14:paraId="2F12194C">
            <w:pPr>
              <w:pStyle w:val="92"/>
              <w:rPr>
                <w:color w:val="auto"/>
                <w:sz w:val="18"/>
                <w:szCs w:val="18"/>
                <w:highlight w:val="none"/>
                <w:u w:val="none"/>
              </w:rPr>
            </w:pPr>
            <w:r>
              <w:rPr>
                <w:color w:val="auto"/>
                <w:sz w:val="18"/>
                <w:szCs w:val="18"/>
                <w:highlight w:val="none"/>
                <w:u w:val="none"/>
              </w:rPr>
              <w:t>(m</w:t>
            </w:r>
            <w:r>
              <w:rPr>
                <w:color w:val="auto"/>
                <w:sz w:val="18"/>
                <w:szCs w:val="18"/>
                <w:highlight w:val="none"/>
                <w:u w:val="none"/>
                <w:vertAlign w:val="superscript"/>
              </w:rPr>
              <w:t>3</w:t>
            </w:r>
            <w:r>
              <w:rPr>
                <w:color w:val="auto"/>
                <w:sz w:val="18"/>
                <w:szCs w:val="18"/>
                <w:highlight w:val="none"/>
                <w:u w:val="none"/>
              </w:rPr>
              <w:t>/h)</w:t>
            </w:r>
          </w:p>
        </w:tc>
        <w:tc>
          <w:tcPr>
            <w:tcW w:w="1566" w:type="pct"/>
            <w:gridSpan w:val="5"/>
            <w:vAlign w:val="center"/>
          </w:tcPr>
          <w:p w14:paraId="64614D6D">
            <w:pPr>
              <w:pStyle w:val="92"/>
              <w:rPr>
                <w:color w:val="auto"/>
                <w:sz w:val="18"/>
                <w:szCs w:val="18"/>
                <w:highlight w:val="none"/>
                <w:u w:val="none"/>
              </w:rPr>
            </w:pPr>
            <w:r>
              <w:rPr>
                <w:color w:val="auto"/>
                <w:sz w:val="18"/>
                <w:szCs w:val="18"/>
                <w:highlight w:val="none"/>
                <w:u w:val="none"/>
              </w:rPr>
              <w:t>污染物产生</w:t>
            </w:r>
          </w:p>
        </w:tc>
        <w:tc>
          <w:tcPr>
            <w:tcW w:w="420" w:type="pct"/>
            <w:vAlign w:val="center"/>
          </w:tcPr>
          <w:p w14:paraId="03E4401E">
            <w:pPr>
              <w:pStyle w:val="92"/>
              <w:rPr>
                <w:color w:val="auto"/>
                <w:sz w:val="18"/>
                <w:szCs w:val="18"/>
                <w:highlight w:val="none"/>
                <w:u w:val="none"/>
              </w:rPr>
            </w:pPr>
            <w:r>
              <w:rPr>
                <w:color w:val="auto"/>
                <w:sz w:val="18"/>
                <w:szCs w:val="18"/>
                <w:highlight w:val="none"/>
                <w:u w:val="none"/>
              </w:rPr>
              <w:t>尾气处理</w:t>
            </w:r>
          </w:p>
        </w:tc>
        <w:tc>
          <w:tcPr>
            <w:tcW w:w="841" w:type="pct"/>
            <w:gridSpan w:val="3"/>
            <w:vAlign w:val="center"/>
          </w:tcPr>
          <w:p w14:paraId="667C797E">
            <w:pPr>
              <w:pStyle w:val="92"/>
              <w:rPr>
                <w:color w:val="auto"/>
                <w:sz w:val="18"/>
                <w:szCs w:val="18"/>
                <w:highlight w:val="none"/>
                <w:u w:val="none"/>
              </w:rPr>
            </w:pPr>
            <w:r>
              <w:rPr>
                <w:color w:val="auto"/>
                <w:sz w:val="18"/>
                <w:szCs w:val="18"/>
                <w:highlight w:val="none"/>
                <w:u w:val="none"/>
              </w:rPr>
              <w:t>污染物排放</w:t>
            </w:r>
          </w:p>
        </w:tc>
        <w:tc>
          <w:tcPr>
            <w:tcW w:w="888" w:type="pct"/>
            <w:gridSpan w:val="4"/>
            <w:vAlign w:val="center"/>
          </w:tcPr>
          <w:p w14:paraId="504DB243">
            <w:pPr>
              <w:pStyle w:val="92"/>
              <w:rPr>
                <w:color w:val="auto"/>
                <w:sz w:val="18"/>
                <w:szCs w:val="18"/>
                <w:highlight w:val="none"/>
                <w:u w:val="none"/>
              </w:rPr>
            </w:pPr>
            <w:r>
              <w:rPr>
                <w:color w:val="auto"/>
                <w:sz w:val="18"/>
                <w:szCs w:val="18"/>
                <w:highlight w:val="none"/>
                <w:u w:val="none"/>
              </w:rPr>
              <w:t>排气筒</w:t>
            </w:r>
            <w:r>
              <w:rPr>
                <w:rFonts w:hint="eastAsia"/>
                <w:color w:val="auto"/>
                <w:sz w:val="18"/>
                <w:szCs w:val="18"/>
                <w:highlight w:val="none"/>
                <w:u w:val="none"/>
              </w:rPr>
              <w:t>/烟囱</w:t>
            </w:r>
          </w:p>
        </w:tc>
        <w:tc>
          <w:tcPr>
            <w:tcW w:w="359" w:type="pct"/>
            <w:vMerge w:val="restart"/>
            <w:vAlign w:val="center"/>
          </w:tcPr>
          <w:p w14:paraId="4FBC85DC">
            <w:pPr>
              <w:pStyle w:val="92"/>
              <w:rPr>
                <w:color w:val="auto"/>
                <w:sz w:val="18"/>
                <w:szCs w:val="18"/>
                <w:highlight w:val="none"/>
                <w:u w:val="none"/>
              </w:rPr>
            </w:pPr>
            <w:r>
              <w:rPr>
                <w:color w:val="auto"/>
                <w:sz w:val="18"/>
                <w:szCs w:val="18"/>
                <w:highlight w:val="none"/>
                <w:u w:val="none"/>
              </w:rPr>
              <w:t>排放去向</w:t>
            </w:r>
          </w:p>
        </w:tc>
      </w:tr>
      <w:tr w14:paraId="285263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130" w:type="pct"/>
            <w:vMerge w:val="continue"/>
            <w:vAlign w:val="center"/>
          </w:tcPr>
          <w:p w14:paraId="4FA23B20">
            <w:pPr>
              <w:pStyle w:val="92"/>
              <w:rPr>
                <w:color w:val="auto"/>
                <w:sz w:val="18"/>
                <w:szCs w:val="18"/>
                <w:highlight w:val="none"/>
                <w:u w:val="none"/>
              </w:rPr>
            </w:pPr>
          </w:p>
        </w:tc>
        <w:tc>
          <w:tcPr>
            <w:tcW w:w="148" w:type="pct"/>
            <w:vMerge w:val="continue"/>
            <w:vAlign w:val="center"/>
          </w:tcPr>
          <w:p w14:paraId="1DC32BFE">
            <w:pPr>
              <w:pStyle w:val="92"/>
              <w:rPr>
                <w:color w:val="auto"/>
                <w:sz w:val="18"/>
                <w:szCs w:val="18"/>
                <w:highlight w:val="none"/>
                <w:u w:val="none"/>
              </w:rPr>
            </w:pPr>
          </w:p>
        </w:tc>
        <w:tc>
          <w:tcPr>
            <w:tcW w:w="323" w:type="pct"/>
            <w:vMerge w:val="continue"/>
            <w:vAlign w:val="center"/>
          </w:tcPr>
          <w:p w14:paraId="637B824B">
            <w:pPr>
              <w:pStyle w:val="92"/>
              <w:rPr>
                <w:color w:val="auto"/>
                <w:sz w:val="18"/>
                <w:szCs w:val="18"/>
                <w:highlight w:val="none"/>
                <w:u w:val="none"/>
              </w:rPr>
            </w:pPr>
          </w:p>
        </w:tc>
        <w:tc>
          <w:tcPr>
            <w:tcW w:w="320" w:type="pct"/>
            <w:vMerge w:val="continue"/>
            <w:vAlign w:val="center"/>
          </w:tcPr>
          <w:p w14:paraId="14425AFB">
            <w:pPr>
              <w:pStyle w:val="92"/>
              <w:rPr>
                <w:color w:val="auto"/>
                <w:sz w:val="18"/>
                <w:szCs w:val="18"/>
                <w:highlight w:val="none"/>
                <w:u w:val="none"/>
              </w:rPr>
            </w:pPr>
          </w:p>
        </w:tc>
        <w:tc>
          <w:tcPr>
            <w:tcW w:w="550" w:type="pct"/>
            <w:vAlign w:val="center"/>
          </w:tcPr>
          <w:p w14:paraId="50A8F998">
            <w:pPr>
              <w:pStyle w:val="92"/>
              <w:rPr>
                <w:color w:val="auto"/>
                <w:sz w:val="18"/>
                <w:szCs w:val="18"/>
                <w:highlight w:val="none"/>
                <w:u w:val="none"/>
              </w:rPr>
            </w:pPr>
            <w:r>
              <w:rPr>
                <w:color w:val="auto"/>
                <w:sz w:val="18"/>
                <w:szCs w:val="18"/>
                <w:highlight w:val="none"/>
                <w:u w:val="none"/>
              </w:rPr>
              <w:t>污染物</w:t>
            </w:r>
          </w:p>
        </w:tc>
        <w:tc>
          <w:tcPr>
            <w:tcW w:w="189" w:type="pct"/>
            <w:vAlign w:val="center"/>
          </w:tcPr>
          <w:p w14:paraId="7D7C0EB6">
            <w:pPr>
              <w:pStyle w:val="92"/>
              <w:rPr>
                <w:color w:val="auto"/>
                <w:sz w:val="18"/>
                <w:szCs w:val="18"/>
                <w:highlight w:val="none"/>
                <w:u w:val="none"/>
              </w:rPr>
            </w:pPr>
            <w:r>
              <w:rPr>
                <w:color w:val="auto"/>
                <w:sz w:val="18"/>
                <w:szCs w:val="18"/>
                <w:highlight w:val="none"/>
                <w:u w:val="none"/>
              </w:rPr>
              <w:t>核算</w:t>
            </w:r>
          </w:p>
          <w:p w14:paraId="1B4D5BCC">
            <w:pPr>
              <w:pStyle w:val="92"/>
              <w:rPr>
                <w:color w:val="auto"/>
                <w:sz w:val="18"/>
                <w:szCs w:val="18"/>
                <w:highlight w:val="none"/>
                <w:u w:val="none"/>
              </w:rPr>
            </w:pPr>
            <w:r>
              <w:rPr>
                <w:color w:val="auto"/>
                <w:sz w:val="18"/>
                <w:szCs w:val="18"/>
                <w:highlight w:val="none"/>
                <w:u w:val="none"/>
              </w:rPr>
              <w:t>方法</w:t>
            </w:r>
          </w:p>
        </w:tc>
        <w:tc>
          <w:tcPr>
            <w:tcW w:w="284" w:type="pct"/>
            <w:vAlign w:val="center"/>
          </w:tcPr>
          <w:p w14:paraId="01C7685F">
            <w:pPr>
              <w:pStyle w:val="92"/>
              <w:rPr>
                <w:color w:val="auto"/>
                <w:sz w:val="18"/>
                <w:szCs w:val="18"/>
                <w:highlight w:val="none"/>
                <w:u w:val="none"/>
              </w:rPr>
            </w:pPr>
            <w:r>
              <w:rPr>
                <w:color w:val="auto"/>
                <w:sz w:val="18"/>
                <w:szCs w:val="18"/>
                <w:highlight w:val="none"/>
                <w:u w:val="none"/>
              </w:rPr>
              <w:t>产生</w:t>
            </w:r>
          </w:p>
          <w:p w14:paraId="59FBAE05">
            <w:pPr>
              <w:pStyle w:val="92"/>
              <w:rPr>
                <w:color w:val="auto"/>
                <w:sz w:val="18"/>
                <w:szCs w:val="18"/>
                <w:highlight w:val="none"/>
                <w:u w:val="none"/>
              </w:rPr>
            </w:pPr>
            <w:r>
              <w:rPr>
                <w:color w:val="auto"/>
                <w:sz w:val="18"/>
                <w:szCs w:val="18"/>
                <w:highlight w:val="none"/>
                <w:u w:val="none"/>
              </w:rPr>
              <w:t>浓度</w:t>
            </w:r>
          </w:p>
          <w:p w14:paraId="274FE7C9">
            <w:pPr>
              <w:pStyle w:val="92"/>
              <w:rPr>
                <w:color w:val="auto"/>
                <w:sz w:val="18"/>
                <w:szCs w:val="18"/>
                <w:highlight w:val="none"/>
                <w:u w:val="none"/>
              </w:rPr>
            </w:pPr>
            <w:r>
              <w:rPr>
                <w:color w:val="auto"/>
                <w:sz w:val="18"/>
                <w:szCs w:val="18"/>
                <w:highlight w:val="none"/>
                <w:u w:val="none"/>
              </w:rPr>
              <w:t>(mg/m</w:t>
            </w:r>
            <w:r>
              <w:rPr>
                <w:color w:val="auto"/>
                <w:sz w:val="18"/>
                <w:szCs w:val="18"/>
                <w:highlight w:val="none"/>
                <w:u w:val="none"/>
                <w:vertAlign w:val="superscript"/>
              </w:rPr>
              <w:t>3</w:t>
            </w:r>
            <w:r>
              <w:rPr>
                <w:color w:val="auto"/>
                <w:sz w:val="18"/>
                <w:szCs w:val="18"/>
                <w:highlight w:val="none"/>
                <w:u w:val="none"/>
              </w:rPr>
              <w:t>)</w:t>
            </w:r>
          </w:p>
        </w:tc>
        <w:tc>
          <w:tcPr>
            <w:tcW w:w="241" w:type="pct"/>
            <w:vAlign w:val="center"/>
          </w:tcPr>
          <w:p w14:paraId="3F7BDF10">
            <w:pPr>
              <w:pStyle w:val="92"/>
              <w:rPr>
                <w:color w:val="auto"/>
                <w:sz w:val="18"/>
                <w:szCs w:val="18"/>
                <w:highlight w:val="none"/>
                <w:u w:val="none"/>
              </w:rPr>
            </w:pPr>
            <w:r>
              <w:rPr>
                <w:color w:val="auto"/>
                <w:sz w:val="18"/>
                <w:szCs w:val="18"/>
                <w:highlight w:val="none"/>
                <w:u w:val="none"/>
              </w:rPr>
              <w:t>产生速率(kg/h)</w:t>
            </w:r>
          </w:p>
        </w:tc>
        <w:tc>
          <w:tcPr>
            <w:tcW w:w="301" w:type="pct"/>
            <w:vAlign w:val="center"/>
          </w:tcPr>
          <w:p w14:paraId="0E2948E0">
            <w:pPr>
              <w:pStyle w:val="92"/>
              <w:rPr>
                <w:color w:val="auto"/>
                <w:sz w:val="18"/>
                <w:szCs w:val="18"/>
                <w:highlight w:val="none"/>
                <w:u w:val="none"/>
              </w:rPr>
            </w:pPr>
            <w:r>
              <w:rPr>
                <w:color w:val="auto"/>
                <w:sz w:val="18"/>
                <w:szCs w:val="18"/>
                <w:highlight w:val="none"/>
                <w:u w:val="none"/>
              </w:rPr>
              <w:t>产生量</w:t>
            </w:r>
          </w:p>
          <w:p w14:paraId="60DD679B">
            <w:pPr>
              <w:pStyle w:val="92"/>
              <w:rPr>
                <w:color w:val="auto"/>
                <w:sz w:val="18"/>
                <w:szCs w:val="18"/>
                <w:highlight w:val="none"/>
                <w:u w:val="none"/>
              </w:rPr>
            </w:pPr>
            <w:r>
              <w:rPr>
                <w:color w:val="auto"/>
                <w:sz w:val="18"/>
                <w:szCs w:val="18"/>
                <w:highlight w:val="none"/>
                <w:u w:val="none"/>
              </w:rPr>
              <w:t>(t/a)</w:t>
            </w:r>
          </w:p>
        </w:tc>
        <w:tc>
          <w:tcPr>
            <w:tcW w:w="420" w:type="pct"/>
            <w:vAlign w:val="center"/>
          </w:tcPr>
          <w:p w14:paraId="28DC81EC">
            <w:pPr>
              <w:pStyle w:val="92"/>
              <w:rPr>
                <w:color w:val="auto"/>
                <w:sz w:val="18"/>
                <w:szCs w:val="18"/>
                <w:highlight w:val="none"/>
                <w:u w:val="none"/>
              </w:rPr>
            </w:pPr>
            <w:r>
              <w:rPr>
                <w:color w:val="auto"/>
                <w:sz w:val="18"/>
                <w:szCs w:val="18"/>
                <w:highlight w:val="none"/>
                <w:u w:val="none"/>
              </w:rPr>
              <w:t>处理措施</w:t>
            </w:r>
          </w:p>
        </w:tc>
        <w:tc>
          <w:tcPr>
            <w:tcW w:w="322" w:type="pct"/>
            <w:vAlign w:val="center"/>
          </w:tcPr>
          <w:p w14:paraId="2E7101B1">
            <w:pPr>
              <w:pStyle w:val="92"/>
              <w:rPr>
                <w:color w:val="auto"/>
                <w:sz w:val="18"/>
                <w:szCs w:val="18"/>
                <w:highlight w:val="none"/>
                <w:u w:val="none"/>
              </w:rPr>
            </w:pPr>
            <w:r>
              <w:rPr>
                <w:color w:val="auto"/>
                <w:sz w:val="18"/>
                <w:szCs w:val="18"/>
                <w:highlight w:val="none"/>
                <w:u w:val="none"/>
              </w:rPr>
              <w:t>排放</w:t>
            </w:r>
          </w:p>
          <w:p w14:paraId="405ABDAA">
            <w:pPr>
              <w:pStyle w:val="92"/>
              <w:rPr>
                <w:color w:val="auto"/>
                <w:sz w:val="18"/>
                <w:szCs w:val="18"/>
                <w:highlight w:val="none"/>
                <w:u w:val="none"/>
              </w:rPr>
            </w:pPr>
            <w:r>
              <w:rPr>
                <w:color w:val="auto"/>
                <w:sz w:val="18"/>
                <w:szCs w:val="18"/>
                <w:highlight w:val="none"/>
                <w:u w:val="none"/>
              </w:rPr>
              <w:t>浓度</w:t>
            </w:r>
          </w:p>
          <w:p w14:paraId="742AFED8">
            <w:pPr>
              <w:pStyle w:val="92"/>
              <w:rPr>
                <w:color w:val="auto"/>
                <w:sz w:val="18"/>
                <w:szCs w:val="18"/>
                <w:highlight w:val="none"/>
                <w:u w:val="none"/>
              </w:rPr>
            </w:pPr>
            <w:r>
              <w:rPr>
                <w:color w:val="auto"/>
                <w:sz w:val="18"/>
                <w:szCs w:val="18"/>
                <w:highlight w:val="none"/>
                <w:u w:val="none"/>
              </w:rPr>
              <w:t>(mg/m</w:t>
            </w:r>
            <w:r>
              <w:rPr>
                <w:color w:val="auto"/>
                <w:sz w:val="18"/>
                <w:szCs w:val="18"/>
                <w:highlight w:val="none"/>
                <w:u w:val="none"/>
                <w:vertAlign w:val="superscript"/>
              </w:rPr>
              <w:t>3</w:t>
            </w:r>
            <w:r>
              <w:rPr>
                <w:color w:val="auto"/>
                <w:sz w:val="18"/>
                <w:szCs w:val="18"/>
                <w:highlight w:val="none"/>
                <w:u w:val="none"/>
              </w:rPr>
              <w:t>)</w:t>
            </w:r>
          </w:p>
        </w:tc>
        <w:tc>
          <w:tcPr>
            <w:tcW w:w="254" w:type="pct"/>
            <w:vAlign w:val="center"/>
          </w:tcPr>
          <w:p w14:paraId="307F8760">
            <w:pPr>
              <w:pStyle w:val="92"/>
              <w:rPr>
                <w:color w:val="auto"/>
                <w:sz w:val="18"/>
                <w:szCs w:val="18"/>
                <w:highlight w:val="none"/>
                <w:u w:val="none"/>
              </w:rPr>
            </w:pPr>
            <w:r>
              <w:rPr>
                <w:color w:val="auto"/>
                <w:sz w:val="18"/>
                <w:szCs w:val="18"/>
                <w:highlight w:val="none"/>
                <w:u w:val="none"/>
              </w:rPr>
              <w:t>排放</w:t>
            </w:r>
          </w:p>
          <w:p w14:paraId="27793EB9">
            <w:pPr>
              <w:pStyle w:val="92"/>
              <w:rPr>
                <w:color w:val="auto"/>
                <w:sz w:val="18"/>
                <w:szCs w:val="18"/>
                <w:highlight w:val="none"/>
                <w:u w:val="none"/>
              </w:rPr>
            </w:pPr>
            <w:r>
              <w:rPr>
                <w:color w:val="auto"/>
                <w:sz w:val="18"/>
                <w:szCs w:val="18"/>
                <w:highlight w:val="none"/>
                <w:u w:val="none"/>
              </w:rPr>
              <w:t>速率</w:t>
            </w:r>
          </w:p>
          <w:p w14:paraId="716818AB">
            <w:pPr>
              <w:pStyle w:val="92"/>
              <w:rPr>
                <w:color w:val="auto"/>
                <w:sz w:val="18"/>
                <w:szCs w:val="18"/>
                <w:highlight w:val="none"/>
                <w:u w:val="none"/>
              </w:rPr>
            </w:pPr>
            <w:r>
              <w:rPr>
                <w:color w:val="auto"/>
                <w:sz w:val="18"/>
                <w:szCs w:val="18"/>
                <w:highlight w:val="none"/>
                <w:u w:val="none"/>
              </w:rPr>
              <w:t>(kg/h)</w:t>
            </w:r>
          </w:p>
        </w:tc>
        <w:tc>
          <w:tcPr>
            <w:tcW w:w="264" w:type="pct"/>
            <w:vAlign w:val="center"/>
          </w:tcPr>
          <w:p w14:paraId="418753AE">
            <w:pPr>
              <w:pStyle w:val="92"/>
              <w:rPr>
                <w:color w:val="auto"/>
                <w:sz w:val="18"/>
                <w:szCs w:val="18"/>
                <w:highlight w:val="none"/>
                <w:u w:val="none"/>
              </w:rPr>
            </w:pPr>
            <w:r>
              <w:rPr>
                <w:color w:val="auto"/>
                <w:sz w:val="18"/>
                <w:szCs w:val="18"/>
                <w:highlight w:val="none"/>
                <w:u w:val="none"/>
              </w:rPr>
              <w:t>排放量</w:t>
            </w:r>
          </w:p>
          <w:p w14:paraId="7FA201EA">
            <w:pPr>
              <w:pStyle w:val="92"/>
              <w:rPr>
                <w:color w:val="auto"/>
                <w:sz w:val="18"/>
                <w:szCs w:val="18"/>
                <w:highlight w:val="none"/>
                <w:u w:val="none"/>
              </w:rPr>
            </w:pPr>
            <w:r>
              <w:rPr>
                <w:color w:val="auto"/>
                <w:sz w:val="18"/>
                <w:szCs w:val="18"/>
                <w:highlight w:val="none"/>
                <w:u w:val="none"/>
              </w:rPr>
              <w:t>(t/a)</w:t>
            </w:r>
          </w:p>
        </w:tc>
        <w:tc>
          <w:tcPr>
            <w:tcW w:w="205" w:type="pct"/>
            <w:vAlign w:val="center"/>
          </w:tcPr>
          <w:p w14:paraId="053067B2">
            <w:pPr>
              <w:pStyle w:val="92"/>
              <w:rPr>
                <w:color w:val="auto"/>
                <w:sz w:val="18"/>
                <w:szCs w:val="18"/>
                <w:highlight w:val="none"/>
                <w:u w:val="none"/>
              </w:rPr>
            </w:pPr>
            <w:r>
              <w:rPr>
                <w:color w:val="auto"/>
                <w:sz w:val="18"/>
                <w:szCs w:val="18"/>
                <w:highlight w:val="none"/>
                <w:u w:val="none"/>
              </w:rPr>
              <w:t>编号</w:t>
            </w:r>
          </w:p>
        </w:tc>
        <w:tc>
          <w:tcPr>
            <w:tcW w:w="222" w:type="pct"/>
            <w:vAlign w:val="center"/>
          </w:tcPr>
          <w:p w14:paraId="2D06CA8B">
            <w:pPr>
              <w:pStyle w:val="92"/>
              <w:rPr>
                <w:color w:val="auto"/>
                <w:sz w:val="18"/>
                <w:szCs w:val="18"/>
                <w:highlight w:val="none"/>
                <w:u w:val="none"/>
              </w:rPr>
            </w:pPr>
            <w:r>
              <w:rPr>
                <w:color w:val="auto"/>
                <w:sz w:val="18"/>
                <w:szCs w:val="18"/>
                <w:highlight w:val="none"/>
                <w:u w:val="none"/>
              </w:rPr>
              <w:t>H</w:t>
            </w:r>
          </w:p>
          <w:p w14:paraId="7894F6C8">
            <w:pPr>
              <w:pStyle w:val="92"/>
              <w:rPr>
                <w:color w:val="auto"/>
                <w:sz w:val="18"/>
                <w:szCs w:val="18"/>
                <w:highlight w:val="none"/>
                <w:u w:val="none"/>
              </w:rPr>
            </w:pPr>
            <w:r>
              <w:rPr>
                <w:color w:val="auto"/>
                <w:sz w:val="18"/>
                <w:szCs w:val="18"/>
                <w:highlight w:val="none"/>
                <w:u w:val="none"/>
              </w:rPr>
              <w:t>（m）</w:t>
            </w:r>
          </w:p>
        </w:tc>
        <w:tc>
          <w:tcPr>
            <w:tcW w:w="222" w:type="pct"/>
            <w:vAlign w:val="center"/>
          </w:tcPr>
          <w:p w14:paraId="05CC5105">
            <w:pPr>
              <w:pStyle w:val="92"/>
              <w:rPr>
                <w:color w:val="auto"/>
                <w:sz w:val="18"/>
                <w:szCs w:val="18"/>
                <w:highlight w:val="none"/>
                <w:u w:val="none"/>
              </w:rPr>
            </w:pPr>
            <w:r>
              <w:rPr>
                <w:color w:val="auto"/>
                <w:sz w:val="18"/>
                <w:szCs w:val="18"/>
                <w:highlight w:val="none"/>
                <w:u w:val="none"/>
              </w:rPr>
              <w:t>D</w:t>
            </w:r>
          </w:p>
          <w:p w14:paraId="0A4CD1C2">
            <w:pPr>
              <w:pStyle w:val="92"/>
              <w:rPr>
                <w:color w:val="auto"/>
                <w:sz w:val="18"/>
                <w:szCs w:val="18"/>
                <w:highlight w:val="none"/>
                <w:u w:val="none"/>
              </w:rPr>
            </w:pPr>
            <w:r>
              <w:rPr>
                <w:color w:val="auto"/>
                <w:sz w:val="18"/>
                <w:szCs w:val="18"/>
                <w:highlight w:val="none"/>
                <w:u w:val="none"/>
              </w:rPr>
              <w:t>（m）</w:t>
            </w:r>
          </w:p>
        </w:tc>
        <w:tc>
          <w:tcPr>
            <w:tcW w:w="239" w:type="pct"/>
            <w:vAlign w:val="center"/>
          </w:tcPr>
          <w:p w14:paraId="4017C802">
            <w:pPr>
              <w:pStyle w:val="92"/>
              <w:rPr>
                <w:color w:val="auto"/>
                <w:sz w:val="18"/>
                <w:szCs w:val="18"/>
                <w:highlight w:val="none"/>
                <w:u w:val="none"/>
              </w:rPr>
            </w:pPr>
            <w:r>
              <w:rPr>
                <w:color w:val="auto"/>
                <w:sz w:val="18"/>
                <w:szCs w:val="18"/>
                <w:highlight w:val="none"/>
                <w:u w:val="none"/>
              </w:rPr>
              <w:t>T</w:t>
            </w:r>
          </w:p>
          <w:p w14:paraId="6B60C7F8">
            <w:pPr>
              <w:pStyle w:val="92"/>
              <w:rPr>
                <w:color w:val="auto"/>
                <w:sz w:val="18"/>
                <w:szCs w:val="18"/>
                <w:highlight w:val="none"/>
                <w:u w:val="none"/>
              </w:rPr>
            </w:pPr>
            <w:r>
              <w:rPr>
                <w:color w:val="auto"/>
                <w:sz w:val="18"/>
                <w:szCs w:val="18"/>
                <w:highlight w:val="none"/>
                <w:u w:val="none"/>
              </w:rPr>
              <w:t>（℃）</w:t>
            </w:r>
          </w:p>
        </w:tc>
        <w:tc>
          <w:tcPr>
            <w:tcW w:w="359" w:type="pct"/>
            <w:vMerge w:val="continue"/>
            <w:vAlign w:val="center"/>
          </w:tcPr>
          <w:p w14:paraId="7AE46DBA">
            <w:pPr>
              <w:pStyle w:val="92"/>
              <w:rPr>
                <w:color w:val="auto"/>
                <w:sz w:val="18"/>
                <w:szCs w:val="18"/>
                <w:highlight w:val="none"/>
                <w:u w:val="none"/>
              </w:rPr>
            </w:pPr>
          </w:p>
        </w:tc>
      </w:tr>
      <w:tr w14:paraId="4BD1DD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restart"/>
            <w:vAlign w:val="center"/>
          </w:tcPr>
          <w:p w14:paraId="7BBFBA67">
            <w:pPr>
              <w:pStyle w:val="92"/>
              <w:rPr>
                <w:color w:val="auto"/>
                <w:sz w:val="18"/>
                <w:szCs w:val="18"/>
                <w:highlight w:val="none"/>
                <w:u w:val="none"/>
              </w:rPr>
            </w:pPr>
            <w:r>
              <w:rPr>
                <w:color w:val="auto"/>
                <w:sz w:val="18"/>
                <w:szCs w:val="18"/>
                <w:highlight w:val="none"/>
                <w:u w:val="none"/>
              </w:rPr>
              <w:t>硝化单元</w:t>
            </w:r>
          </w:p>
        </w:tc>
        <w:tc>
          <w:tcPr>
            <w:tcW w:w="148" w:type="pct"/>
            <w:vAlign w:val="center"/>
          </w:tcPr>
          <w:p w14:paraId="055EF543">
            <w:pPr>
              <w:pStyle w:val="92"/>
              <w:rPr>
                <w:color w:val="auto"/>
                <w:sz w:val="18"/>
                <w:szCs w:val="18"/>
                <w:highlight w:val="none"/>
                <w:u w:val="none"/>
              </w:rPr>
            </w:pPr>
            <w:r>
              <w:rPr>
                <w:color w:val="auto"/>
                <w:sz w:val="18"/>
                <w:szCs w:val="18"/>
                <w:highlight w:val="none"/>
                <w:u w:val="none"/>
              </w:rPr>
              <w:t>G1-1</w:t>
            </w:r>
          </w:p>
        </w:tc>
        <w:tc>
          <w:tcPr>
            <w:tcW w:w="323" w:type="pct"/>
            <w:vAlign w:val="center"/>
          </w:tcPr>
          <w:p w14:paraId="26F3B7ED">
            <w:pPr>
              <w:pStyle w:val="92"/>
              <w:rPr>
                <w:color w:val="auto"/>
                <w:sz w:val="18"/>
                <w:szCs w:val="18"/>
                <w:highlight w:val="none"/>
                <w:u w:val="none"/>
              </w:rPr>
            </w:pPr>
            <w:r>
              <w:rPr>
                <w:color w:val="auto"/>
                <w:sz w:val="18"/>
                <w:szCs w:val="18"/>
                <w:highlight w:val="none"/>
                <w:u w:val="none"/>
              </w:rPr>
              <w:t>酸性废气（含MNT废酸储罐和浓硝酸储罐呼吸</w:t>
            </w:r>
            <w:r>
              <w:rPr>
                <w:rFonts w:hint="eastAsia"/>
                <w:color w:val="auto"/>
                <w:sz w:val="18"/>
                <w:szCs w:val="18"/>
                <w:highlight w:val="none"/>
                <w:u w:val="none"/>
              </w:rPr>
              <w:t>废</w:t>
            </w:r>
            <w:r>
              <w:rPr>
                <w:color w:val="auto"/>
                <w:sz w:val="18"/>
                <w:szCs w:val="18"/>
                <w:highlight w:val="none"/>
                <w:u w:val="none"/>
              </w:rPr>
              <w:t>气）</w:t>
            </w:r>
          </w:p>
        </w:tc>
        <w:tc>
          <w:tcPr>
            <w:tcW w:w="320" w:type="pct"/>
            <w:vAlign w:val="center"/>
          </w:tcPr>
          <w:p w14:paraId="6EE3B57E">
            <w:pPr>
              <w:pStyle w:val="92"/>
              <w:rPr>
                <w:color w:val="auto"/>
                <w:sz w:val="18"/>
                <w:szCs w:val="18"/>
                <w:highlight w:val="none"/>
                <w:u w:val="none"/>
              </w:rPr>
            </w:pPr>
            <w:r>
              <w:rPr>
                <w:rFonts w:hint="eastAsia"/>
                <w:color w:val="auto"/>
                <w:sz w:val="18"/>
                <w:szCs w:val="18"/>
                <w:highlight w:val="none"/>
                <w:u w:val="none"/>
              </w:rPr>
              <w:t>12</w:t>
            </w:r>
            <w:r>
              <w:rPr>
                <w:color w:val="auto"/>
                <w:sz w:val="18"/>
                <w:szCs w:val="18"/>
                <w:highlight w:val="none"/>
                <w:u w:val="none"/>
              </w:rPr>
              <w:t>00</w:t>
            </w:r>
          </w:p>
        </w:tc>
        <w:tc>
          <w:tcPr>
            <w:tcW w:w="550" w:type="pct"/>
            <w:vAlign w:val="center"/>
          </w:tcPr>
          <w:p w14:paraId="30B69E08">
            <w:pPr>
              <w:pStyle w:val="92"/>
              <w:rPr>
                <w:color w:val="auto"/>
                <w:sz w:val="18"/>
                <w:szCs w:val="18"/>
                <w:highlight w:val="none"/>
                <w:u w:val="none"/>
                <w:vertAlign w:val="subscript"/>
              </w:rPr>
            </w:pPr>
            <w:r>
              <w:rPr>
                <w:color w:val="auto"/>
                <w:sz w:val="18"/>
                <w:szCs w:val="18"/>
                <w:highlight w:val="none"/>
                <w:u w:val="none"/>
              </w:rPr>
              <w:t>NO</w:t>
            </w:r>
            <w:r>
              <w:rPr>
                <w:color w:val="auto"/>
                <w:sz w:val="18"/>
                <w:szCs w:val="18"/>
                <w:highlight w:val="none"/>
                <w:u w:val="none"/>
                <w:vertAlign w:val="subscript"/>
              </w:rPr>
              <w:t>X</w:t>
            </w:r>
          </w:p>
          <w:p w14:paraId="68D96B1A">
            <w:pPr>
              <w:pStyle w:val="92"/>
              <w:rPr>
                <w:color w:val="auto"/>
                <w:sz w:val="18"/>
                <w:szCs w:val="18"/>
                <w:highlight w:val="none"/>
                <w:u w:val="none"/>
              </w:rPr>
            </w:pPr>
            <w:r>
              <w:rPr>
                <w:color w:val="auto"/>
                <w:sz w:val="18"/>
                <w:szCs w:val="18"/>
                <w:highlight w:val="none"/>
                <w:u w:val="none"/>
              </w:rPr>
              <w:t>（硝酸雾）</w:t>
            </w:r>
          </w:p>
        </w:tc>
        <w:tc>
          <w:tcPr>
            <w:tcW w:w="189" w:type="pct"/>
            <w:vAlign w:val="center"/>
          </w:tcPr>
          <w:p w14:paraId="77EEA83F">
            <w:pPr>
              <w:pStyle w:val="92"/>
              <w:rPr>
                <w:color w:val="auto"/>
                <w:sz w:val="18"/>
                <w:szCs w:val="18"/>
                <w:highlight w:val="none"/>
                <w:u w:val="none"/>
              </w:rPr>
            </w:pPr>
            <w:r>
              <w:rPr>
                <w:color w:val="auto"/>
                <w:sz w:val="18"/>
                <w:szCs w:val="18"/>
                <w:highlight w:val="none"/>
                <w:u w:val="none"/>
              </w:rPr>
              <w:t>物料衡算法</w:t>
            </w:r>
          </w:p>
        </w:tc>
        <w:tc>
          <w:tcPr>
            <w:tcW w:w="284" w:type="pct"/>
            <w:vAlign w:val="center"/>
          </w:tcPr>
          <w:p w14:paraId="19B976FE">
            <w:pPr>
              <w:pStyle w:val="92"/>
              <w:rPr>
                <w:rFonts w:hint="eastAsia" w:eastAsia="宋体"/>
                <w:color w:val="auto"/>
                <w:sz w:val="18"/>
                <w:szCs w:val="18"/>
                <w:highlight w:val="none"/>
                <w:u w:val="none"/>
                <w:lang w:val="en-US" w:eastAsia="zh-CN"/>
              </w:rPr>
            </w:pPr>
            <w:r>
              <w:rPr>
                <w:rFonts w:hint="eastAsia"/>
                <w:color w:val="auto"/>
                <w:sz w:val="18"/>
                <w:szCs w:val="18"/>
                <w:highlight w:val="none"/>
                <w:u w:val="none"/>
              </w:rPr>
              <w:t>1901</w:t>
            </w:r>
            <w:r>
              <w:rPr>
                <w:rFonts w:hint="eastAsia"/>
                <w:color w:val="auto"/>
                <w:sz w:val="18"/>
                <w:szCs w:val="18"/>
                <w:highlight w:val="none"/>
                <w:u w:val="none"/>
                <w:lang w:val="en-US" w:eastAsia="zh-CN"/>
              </w:rPr>
              <w:t>3</w:t>
            </w:r>
          </w:p>
        </w:tc>
        <w:tc>
          <w:tcPr>
            <w:tcW w:w="241" w:type="pct"/>
            <w:vAlign w:val="center"/>
          </w:tcPr>
          <w:p w14:paraId="7B16BCB8">
            <w:pPr>
              <w:pStyle w:val="92"/>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22.82</w:t>
            </w:r>
          </w:p>
        </w:tc>
        <w:tc>
          <w:tcPr>
            <w:tcW w:w="301" w:type="pct"/>
            <w:vAlign w:val="center"/>
          </w:tcPr>
          <w:p w14:paraId="3252E5DE">
            <w:pPr>
              <w:pStyle w:val="92"/>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182.52</w:t>
            </w:r>
          </w:p>
        </w:tc>
        <w:tc>
          <w:tcPr>
            <w:tcW w:w="420" w:type="pct"/>
            <w:vAlign w:val="center"/>
          </w:tcPr>
          <w:p w14:paraId="3149356A">
            <w:pPr>
              <w:pStyle w:val="92"/>
              <w:rPr>
                <w:color w:val="auto"/>
                <w:sz w:val="18"/>
                <w:szCs w:val="18"/>
                <w:highlight w:val="none"/>
                <w:u w:val="none"/>
              </w:rPr>
            </w:pPr>
            <w:r>
              <w:rPr>
                <w:color w:val="auto"/>
                <w:sz w:val="18"/>
                <w:szCs w:val="18"/>
                <w:highlight w:val="none"/>
                <w:u w:val="none"/>
              </w:rPr>
              <w:t>低温加压水</w:t>
            </w:r>
          </w:p>
          <w:p w14:paraId="6092ED16">
            <w:pPr>
              <w:pStyle w:val="92"/>
              <w:rPr>
                <w:color w:val="auto"/>
                <w:sz w:val="18"/>
                <w:szCs w:val="18"/>
                <w:highlight w:val="none"/>
                <w:u w:val="none"/>
              </w:rPr>
            </w:pPr>
            <w:r>
              <w:rPr>
                <w:color w:val="auto"/>
                <w:sz w:val="18"/>
                <w:szCs w:val="18"/>
                <w:highlight w:val="none"/>
                <w:u w:val="none"/>
              </w:rPr>
              <w:t>吸收预处理</w:t>
            </w:r>
          </w:p>
          <w:p w14:paraId="7F9E4D10">
            <w:pPr>
              <w:pStyle w:val="92"/>
              <w:rPr>
                <w:color w:val="auto"/>
                <w:sz w:val="18"/>
                <w:szCs w:val="18"/>
                <w:highlight w:val="none"/>
                <w:u w:val="none"/>
              </w:rPr>
            </w:pPr>
            <w:r>
              <w:rPr>
                <w:color w:val="auto"/>
                <w:sz w:val="18"/>
                <w:szCs w:val="18"/>
                <w:highlight w:val="none"/>
                <w:u w:val="none"/>
              </w:rPr>
              <w:t>后去焚烧</w:t>
            </w:r>
          </w:p>
        </w:tc>
        <w:tc>
          <w:tcPr>
            <w:tcW w:w="322" w:type="pct"/>
            <w:vAlign w:val="center"/>
          </w:tcPr>
          <w:p w14:paraId="76FF6A7A">
            <w:pPr>
              <w:pStyle w:val="92"/>
              <w:rPr>
                <w:color w:val="auto"/>
                <w:sz w:val="18"/>
                <w:szCs w:val="18"/>
                <w:highlight w:val="none"/>
                <w:u w:val="none"/>
              </w:rPr>
            </w:pPr>
            <w:r>
              <w:rPr>
                <w:rFonts w:hint="eastAsia"/>
                <w:color w:val="auto"/>
                <w:sz w:val="18"/>
                <w:szCs w:val="18"/>
                <w:highlight w:val="none"/>
                <w:u w:val="none"/>
              </w:rPr>
              <w:t>190</w:t>
            </w:r>
          </w:p>
        </w:tc>
        <w:tc>
          <w:tcPr>
            <w:tcW w:w="254" w:type="pct"/>
            <w:vAlign w:val="center"/>
          </w:tcPr>
          <w:p w14:paraId="3FA4BA57">
            <w:pPr>
              <w:pStyle w:val="92"/>
              <w:rPr>
                <w:color w:val="auto"/>
                <w:sz w:val="18"/>
                <w:szCs w:val="18"/>
                <w:highlight w:val="none"/>
                <w:u w:val="none"/>
              </w:rPr>
            </w:pPr>
            <w:r>
              <w:rPr>
                <w:color w:val="auto"/>
                <w:sz w:val="18"/>
                <w:szCs w:val="18"/>
                <w:highlight w:val="none"/>
                <w:u w:val="none"/>
              </w:rPr>
              <w:t>0.2</w:t>
            </w:r>
            <w:r>
              <w:rPr>
                <w:rFonts w:hint="eastAsia"/>
                <w:color w:val="auto"/>
                <w:sz w:val="18"/>
                <w:szCs w:val="18"/>
                <w:highlight w:val="none"/>
                <w:u w:val="none"/>
              </w:rPr>
              <w:t>3</w:t>
            </w:r>
          </w:p>
        </w:tc>
        <w:tc>
          <w:tcPr>
            <w:tcW w:w="264" w:type="pct"/>
            <w:vAlign w:val="center"/>
          </w:tcPr>
          <w:p w14:paraId="2D8D645D">
            <w:pPr>
              <w:pStyle w:val="92"/>
              <w:rPr>
                <w:color w:val="auto"/>
                <w:sz w:val="18"/>
                <w:szCs w:val="18"/>
                <w:highlight w:val="none"/>
                <w:u w:val="none"/>
              </w:rPr>
            </w:pPr>
            <w:r>
              <w:rPr>
                <w:color w:val="auto"/>
                <w:sz w:val="18"/>
                <w:szCs w:val="18"/>
                <w:highlight w:val="none"/>
                <w:u w:val="none"/>
              </w:rPr>
              <w:t>1.8</w:t>
            </w:r>
            <w:r>
              <w:rPr>
                <w:rFonts w:hint="eastAsia"/>
                <w:color w:val="auto"/>
                <w:sz w:val="18"/>
                <w:szCs w:val="18"/>
                <w:highlight w:val="none"/>
                <w:u w:val="none"/>
              </w:rPr>
              <w:t>3</w:t>
            </w:r>
          </w:p>
        </w:tc>
        <w:tc>
          <w:tcPr>
            <w:tcW w:w="205" w:type="pct"/>
            <w:vMerge w:val="restart"/>
            <w:vAlign w:val="center"/>
          </w:tcPr>
          <w:p w14:paraId="24500593">
            <w:pPr>
              <w:pStyle w:val="92"/>
              <w:rPr>
                <w:color w:val="auto"/>
                <w:sz w:val="18"/>
                <w:szCs w:val="18"/>
                <w:highlight w:val="none"/>
                <w:u w:val="none"/>
              </w:rPr>
            </w:pPr>
            <w:r>
              <w:rPr>
                <w:color w:val="auto"/>
                <w:sz w:val="18"/>
                <w:szCs w:val="18"/>
                <w:highlight w:val="none"/>
                <w:u w:val="none"/>
              </w:rPr>
              <w:t>/</w:t>
            </w:r>
          </w:p>
        </w:tc>
        <w:tc>
          <w:tcPr>
            <w:tcW w:w="222" w:type="pct"/>
            <w:vMerge w:val="restart"/>
            <w:vAlign w:val="center"/>
          </w:tcPr>
          <w:p w14:paraId="2CF29E50">
            <w:pPr>
              <w:pStyle w:val="92"/>
              <w:rPr>
                <w:color w:val="auto"/>
                <w:sz w:val="18"/>
                <w:szCs w:val="18"/>
                <w:highlight w:val="none"/>
                <w:u w:val="none"/>
              </w:rPr>
            </w:pPr>
            <w:r>
              <w:rPr>
                <w:color w:val="auto"/>
                <w:sz w:val="18"/>
                <w:szCs w:val="18"/>
                <w:highlight w:val="none"/>
                <w:u w:val="none"/>
              </w:rPr>
              <w:t>50</w:t>
            </w:r>
          </w:p>
        </w:tc>
        <w:tc>
          <w:tcPr>
            <w:tcW w:w="222" w:type="pct"/>
            <w:vMerge w:val="restart"/>
            <w:vAlign w:val="center"/>
          </w:tcPr>
          <w:p w14:paraId="72B02898">
            <w:pPr>
              <w:pStyle w:val="92"/>
              <w:rPr>
                <w:color w:val="auto"/>
                <w:sz w:val="18"/>
                <w:szCs w:val="18"/>
                <w:highlight w:val="none"/>
                <w:u w:val="none"/>
              </w:rPr>
            </w:pPr>
            <w:r>
              <w:rPr>
                <w:color w:val="auto"/>
                <w:sz w:val="18"/>
                <w:szCs w:val="18"/>
                <w:highlight w:val="none"/>
                <w:u w:val="none"/>
              </w:rPr>
              <w:t>2.0</w:t>
            </w:r>
          </w:p>
        </w:tc>
        <w:tc>
          <w:tcPr>
            <w:tcW w:w="239" w:type="pct"/>
            <w:vMerge w:val="restart"/>
            <w:vAlign w:val="center"/>
          </w:tcPr>
          <w:p w14:paraId="6B123EA3">
            <w:pPr>
              <w:pStyle w:val="92"/>
              <w:rPr>
                <w:color w:val="auto"/>
                <w:sz w:val="18"/>
                <w:szCs w:val="18"/>
                <w:highlight w:val="none"/>
                <w:u w:val="none"/>
              </w:rPr>
            </w:pPr>
            <w:r>
              <w:rPr>
                <w:color w:val="auto"/>
                <w:sz w:val="18"/>
                <w:szCs w:val="18"/>
                <w:highlight w:val="none"/>
                <w:u w:val="none"/>
              </w:rPr>
              <w:t>150</w:t>
            </w:r>
          </w:p>
        </w:tc>
        <w:tc>
          <w:tcPr>
            <w:tcW w:w="359" w:type="pct"/>
            <w:vMerge w:val="restart"/>
            <w:vAlign w:val="center"/>
          </w:tcPr>
          <w:p w14:paraId="35F9D0F3">
            <w:pPr>
              <w:pStyle w:val="92"/>
              <w:rPr>
                <w:color w:val="auto"/>
                <w:sz w:val="18"/>
                <w:szCs w:val="18"/>
                <w:highlight w:val="none"/>
                <w:u w:val="none"/>
              </w:rPr>
            </w:pPr>
            <w:r>
              <w:rPr>
                <w:rFonts w:hint="eastAsia"/>
                <w:color w:val="auto"/>
                <w:sz w:val="18"/>
                <w:szCs w:val="18"/>
                <w:highlight w:val="none"/>
                <w:u w:val="none"/>
              </w:rPr>
              <w:t>万华环保科技公司</w:t>
            </w:r>
            <w:r>
              <w:rPr>
                <w:color w:val="auto"/>
                <w:sz w:val="18"/>
                <w:szCs w:val="18"/>
                <w:highlight w:val="none"/>
                <w:u w:val="none"/>
              </w:rPr>
              <w:t>能量回收装置</w:t>
            </w:r>
          </w:p>
        </w:tc>
      </w:tr>
      <w:tr w14:paraId="039500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4D1C450D">
            <w:pPr>
              <w:pStyle w:val="92"/>
              <w:rPr>
                <w:color w:val="auto"/>
                <w:sz w:val="18"/>
                <w:szCs w:val="18"/>
                <w:highlight w:val="none"/>
                <w:u w:val="none"/>
              </w:rPr>
            </w:pPr>
          </w:p>
        </w:tc>
        <w:tc>
          <w:tcPr>
            <w:tcW w:w="148" w:type="pct"/>
            <w:vMerge w:val="restart"/>
            <w:vAlign w:val="center"/>
          </w:tcPr>
          <w:p w14:paraId="5091E14F">
            <w:pPr>
              <w:pStyle w:val="92"/>
              <w:rPr>
                <w:color w:val="auto"/>
                <w:sz w:val="18"/>
                <w:szCs w:val="18"/>
                <w:highlight w:val="none"/>
                <w:u w:val="none"/>
              </w:rPr>
            </w:pPr>
            <w:r>
              <w:rPr>
                <w:color w:val="auto"/>
                <w:sz w:val="18"/>
                <w:szCs w:val="18"/>
                <w:highlight w:val="none"/>
                <w:u w:val="none"/>
              </w:rPr>
              <w:t>G1-2</w:t>
            </w:r>
          </w:p>
        </w:tc>
        <w:tc>
          <w:tcPr>
            <w:tcW w:w="323" w:type="pct"/>
            <w:vMerge w:val="restart"/>
            <w:vAlign w:val="center"/>
          </w:tcPr>
          <w:p w14:paraId="077D6886">
            <w:pPr>
              <w:pStyle w:val="92"/>
              <w:rPr>
                <w:color w:val="auto"/>
                <w:sz w:val="18"/>
                <w:szCs w:val="18"/>
                <w:highlight w:val="none"/>
                <w:u w:val="none"/>
              </w:rPr>
            </w:pPr>
            <w:r>
              <w:rPr>
                <w:color w:val="auto"/>
                <w:sz w:val="18"/>
                <w:szCs w:val="18"/>
                <w:highlight w:val="none"/>
                <w:u w:val="none"/>
              </w:rPr>
              <w:t>碱性废气</w:t>
            </w:r>
          </w:p>
        </w:tc>
        <w:tc>
          <w:tcPr>
            <w:tcW w:w="320" w:type="pct"/>
            <w:vMerge w:val="restart"/>
            <w:vAlign w:val="center"/>
          </w:tcPr>
          <w:p w14:paraId="711F8178">
            <w:pPr>
              <w:pStyle w:val="92"/>
              <w:rPr>
                <w:color w:val="auto"/>
                <w:sz w:val="18"/>
                <w:szCs w:val="18"/>
                <w:highlight w:val="none"/>
                <w:u w:val="none"/>
              </w:rPr>
            </w:pPr>
            <w:r>
              <w:rPr>
                <w:rFonts w:hint="eastAsia"/>
                <w:color w:val="auto"/>
                <w:sz w:val="18"/>
                <w:szCs w:val="18"/>
                <w:highlight w:val="none"/>
                <w:u w:val="none"/>
              </w:rPr>
              <w:t>250</w:t>
            </w:r>
          </w:p>
        </w:tc>
        <w:tc>
          <w:tcPr>
            <w:tcW w:w="550" w:type="pct"/>
            <w:vAlign w:val="center"/>
          </w:tcPr>
          <w:p w14:paraId="60B6B98D">
            <w:pPr>
              <w:pStyle w:val="92"/>
              <w:rPr>
                <w:color w:val="auto"/>
                <w:sz w:val="18"/>
                <w:szCs w:val="18"/>
                <w:highlight w:val="none"/>
                <w:u w:val="none"/>
              </w:rPr>
            </w:pPr>
            <w:r>
              <w:rPr>
                <w:rFonts w:hint="eastAsia"/>
                <w:color w:val="auto"/>
                <w:sz w:val="18"/>
                <w:szCs w:val="18"/>
                <w:highlight w:val="none"/>
                <w:u w:val="none"/>
              </w:rPr>
              <w:t>DNT</w:t>
            </w:r>
          </w:p>
          <w:p w14:paraId="5CF931DC">
            <w:pPr>
              <w:pStyle w:val="92"/>
              <w:rPr>
                <w:color w:val="auto"/>
                <w:sz w:val="18"/>
                <w:szCs w:val="18"/>
                <w:highlight w:val="none"/>
                <w:u w:val="none"/>
              </w:rPr>
            </w:pPr>
            <w:r>
              <w:rPr>
                <w:color w:val="auto"/>
                <w:sz w:val="18"/>
                <w:szCs w:val="18"/>
                <w:highlight w:val="none"/>
                <w:u w:val="none"/>
              </w:rPr>
              <w:t>（硝基苯类）</w:t>
            </w:r>
          </w:p>
        </w:tc>
        <w:tc>
          <w:tcPr>
            <w:tcW w:w="189" w:type="pct"/>
            <w:vMerge w:val="restart"/>
            <w:vAlign w:val="center"/>
          </w:tcPr>
          <w:p w14:paraId="5EFAA461">
            <w:pPr>
              <w:pStyle w:val="92"/>
              <w:rPr>
                <w:color w:val="auto"/>
                <w:sz w:val="18"/>
                <w:szCs w:val="18"/>
                <w:highlight w:val="none"/>
                <w:u w:val="none"/>
              </w:rPr>
            </w:pPr>
            <w:r>
              <w:rPr>
                <w:color w:val="auto"/>
                <w:sz w:val="18"/>
                <w:szCs w:val="18"/>
                <w:highlight w:val="none"/>
                <w:u w:val="none"/>
              </w:rPr>
              <w:t>物料衡算法</w:t>
            </w:r>
          </w:p>
        </w:tc>
        <w:tc>
          <w:tcPr>
            <w:tcW w:w="284" w:type="pct"/>
            <w:vAlign w:val="center"/>
          </w:tcPr>
          <w:p w14:paraId="508106D0">
            <w:pPr>
              <w:pStyle w:val="92"/>
              <w:rPr>
                <w:color w:val="auto"/>
                <w:sz w:val="18"/>
                <w:szCs w:val="18"/>
                <w:highlight w:val="none"/>
                <w:u w:val="none"/>
              </w:rPr>
            </w:pPr>
            <w:r>
              <w:rPr>
                <w:rFonts w:hint="eastAsia"/>
                <w:color w:val="auto"/>
                <w:sz w:val="18"/>
                <w:szCs w:val="18"/>
                <w:highlight w:val="none"/>
                <w:u w:val="none"/>
              </w:rPr>
              <w:t>37</w:t>
            </w:r>
          </w:p>
        </w:tc>
        <w:tc>
          <w:tcPr>
            <w:tcW w:w="241" w:type="pct"/>
            <w:vAlign w:val="center"/>
          </w:tcPr>
          <w:p w14:paraId="00EF30C9">
            <w:pPr>
              <w:pStyle w:val="92"/>
              <w:rPr>
                <w:color w:val="auto"/>
                <w:sz w:val="18"/>
                <w:szCs w:val="18"/>
                <w:highlight w:val="none"/>
                <w:u w:val="none"/>
              </w:rPr>
            </w:pPr>
            <w:r>
              <w:rPr>
                <w:rFonts w:hint="eastAsia"/>
                <w:color w:val="auto"/>
                <w:sz w:val="18"/>
                <w:szCs w:val="18"/>
                <w:highlight w:val="none"/>
                <w:u w:val="none"/>
              </w:rPr>
              <w:t>0.009</w:t>
            </w:r>
          </w:p>
        </w:tc>
        <w:tc>
          <w:tcPr>
            <w:tcW w:w="301" w:type="pct"/>
            <w:vAlign w:val="center"/>
          </w:tcPr>
          <w:p w14:paraId="732F2C9D">
            <w:pPr>
              <w:pStyle w:val="92"/>
              <w:rPr>
                <w:color w:val="auto"/>
                <w:sz w:val="18"/>
                <w:szCs w:val="18"/>
                <w:highlight w:val="none"/>
                <w:u w:val="none"/>
              </w:rPr>
            </w:pPr>
            <w:r>
              <w:rPr>
                <w:color w:val="auto"/>
                <w:sz w:val="18"/>
                <w:szCs w:val="18"/>
                <w:highlight w:val="none"/>
                <w:u w:val="none"/>
              </w:rPr>
              <w:t>0.073</w:t>
            </w:r>
          </w:p>
        </w:tc>
        <w:tc>
          <w:tcPr>
            <w:tcW w:w="420" w:type="pct"/>
            <w:vMerge w:val="restart"/>
            <w:vAlign w:val="center"/>
          </w:tcPr>
          <w:p w14:paraId="73CF7992">
            <w:pPr>
              <w:pStyle w:val="92"/>
              <w:rPr>
                <w:color w:val="auto"/>
                <w:sz w:val="18"/>
                <w:szCs w:val="18"/>
                <w:highlight w:val="none"/>
                <w:u w:val="none"/>
              </w:rPr>
            </w:pPr>
            <w:r>
              <w:rPr>
                <w:color w:val="auto"/>
                <w:sz w:val="18"/>
                <w:szCs w:val="18"/>
                <w:highlight w:val="none"/>
                <w:u w:val="none"/>
              </w:rPr>
              <w:t>加压水洗涤</w:t>
            </w:r>
            <w:r>
              <w:rPr>
                <w:rFonts w:hint="eastAsia"/>
                <w:color w:val="auto"/>
                <w:sz w:val="18"/>
                <w:szCs w:val="18"/>
                <w:highlight w:val="none"/>
                <w:u w:val="none"/>
              </w:rPr>
              <w:t>预处理</w:t>
            </w:r>
            <w:r>
              <w:rPr>
                <w:color w:val="auto"/>
                <w:sz w:val="18"/>
                <w:szCs w:val="18"/>
                <w:highlight w:val="none"/>
                <w:u w:val="none"/>
              </w:rPr>
              <w:t>后去焚烧</w:t>
            </w:r>
          </w:p>
        </w:tc>
        <w:tc>
          <w:tcPr>
            <w:tcW w:w="322" w:type="pct"/>
            <w:vAlign w:val="center"/>
          </w:tcPr>
          <w:p w14:paraId="7977C90D">
            <w:pPr>
              <w:pStyle w:val="92"/>
              <w:rPr>
                <w:color w:val="auto"/>
                <w:sz w:val="18"/>
                <w:szCs w:val="18"/>
                <w:highlight w:val="none"/>
                <w:u w:val="none"/>
              </w:rPr>
            </w:pPr>
            <w:r>
              <w:rPr>
                <w:color w:val="auto"/>
                <w:sz w:val="18"/>
                <w:szCs w:val="18"/>
                <w:highlight w:val="none"/>
                <w:u w:val="none"/>
              </w:rPr>
              <w:t>1</w:t>
            </w:r>
            <w:r>
              <w:rPr>
                <w:rFonts w:hint="eastAsia"/>
                <w:color w:val="auto"/>
                <w:sz w:val="18"/>
                <w:szCs w:val="18"/>
                <w:highlight w:val="none"/>
                <w:u w:val="none"/>
              </w:rPr>
              <w:t>5</w:t>
            </w:r>
          </w:p>
        </w:tc>
        <w:tc>
          <w:tcPr>
            <w:tcW w:w="254" w:type="pct"/>
            <w:vAlign w:val="center"/>
          </w:tcPr>
          <w:p w14:paraId="0368F109">
            <w:pPr>
              <w:pStyle w:val="92"/>
              <w:rPr>
                <w:color w:val="auto"/>
                <w:sz w:val="18"/>
                <w:szCs w:val="18"/>
                <w:highlight w:val="none"/>
                <w:u w:val="none"/>
              </w:rPr>
            </w:pPr>
            <w:r>
              <w:rPr>
                <w:color w:val="auto"/>
                <w:sz w:val="18"/>
                <w:szCs w:val="18"/>
                <w:highlight w:val="none"/>
                <w:u w:val="none"/>
              </w:rPr>
              <w:t>0.004</w:t>
            </w:r>
          </w:p>
        </w:tc>
        <w:tc>
          <w:tcPr>
            <w:tcW w:w="264" w:type="pct"/>
            <w:vAlign w:val="center"/>
          </w:tcPr>
          <w:p w14:paraId="6BF39CBD">
            <w:pPr>
              <w:pStyle w:val="92"/>
              <w:rPr>
                <w:color w:val="auto"/>
                <w:sz w:val="18"/>
                <w:szCs w:val="18"/>
                <w:highlight w:val="none"/>
                <w:u w:val="none"/>
              </w:rPr>
            </w:pPr>
            <w:r>
              <w:rPr>
                <w:color w:val="auto"/>
                <w:sz w:val="18"/>
                <w:szCs w:val="18"/>
                <w:highlight w:val="none"/>
                <w:u w:val="none"/>
              </w:rPr>
              <w:t>0.029</w:t>
            </w:r>
          </w:p>
        </w:tc>
        <w:tc>
          <w:tcPr>
            <w:tcW w:w="205" w:type="pct"/>
            <w:vMerge w:val="continue"/>
            <w:vAlign w:val="center"/>
          </w:tcPr>
          <w:p w14:paraId="7BD100E2">
            <w:pPr>
              <w:pStyle w:val="92"/>
              <w:rPr>
                <w:color w:val="auto"/>
                <w:sz w:val="18"/>
                <w:szCs w:val="18"/>
                <w:highlight w:val="none"/>
                <w:u w:val="none"/>
              </w:rPr>
            </w:pPr>
          </w:p>
        </w:tc>
        <w:tc>
          <w:tcPr>
            <w:tcW w:w="222" w:type="pct"/>
            <w:vMerge w:val="continue"/>
            <w:vAlign w:val="center"/>
          </w:tcPr>
          <w:p w14:paraId="1C1BD29E">
            <w:pPr>
              <w:pStyle w:val="92"/>
              <w:rPr>
                <w:color w:val="auto"/>
                <w:sz w:val="18"/>
                <w:szCs w:val="18"/>
                <w:highlight w:val="none"/>
                <w:u w:val="none"/>
              </w:rPr>
            </w:pPr>
          </w:p>
        </w:tc>
        <w:tc>
          <w:tcPr>
            <w:tcW w:w="222" w:type="pct"/>
            <w:vMerge w:val="continue"/>
            <w:vAlign w:val="center"/>
          </w:tcPr>
          <w:p w14:paraId="726BBC41">
            <w:pPr>
              <w:pStyle w:val="92"/>
              <w:rPr>
                <w:color w:val="auto"/>
                <w:sz w:val="18"/>
                <w:szCs w:val="18"/>
                <w:highlight w:val="none"/>
                <w:u w:val="none"/>
              </w:rPr>
            </w:pPr>
          </w:p>
        </w:tc>
        <w:tc>
          <w:tcPr>
            <w:tcW w:w="239" w:type="pct"/>
            <w:vMerge w:val="continue"/>
            <w:vAlign w:val="center"/>
          </w:tcPr>
          <w:p w14:paraId="2A22070B">
            <w:pPr>
              <w:pStyle w:val="92"/>
              <w:rPr>
                <w:color w:val="auto"/>
                <w:sz w:val="18"/>
                <w:szCs w:val="18"/>
                <w:highlight w:val="none"/>
                <w:u w:val="none"/>
              </w:rPr>
            </w:pPr>
          </w:p>
        </w:tc>
        <w:tc>
          <w:tcPr>
            <w:tcW w:w="359" w:type="pct"/>
            <w:vMerge w:val="continue"/>
            <w:vAlign w:val="center"/>
          </w:tcPr>
          <w:p w14:paraId="76750D88">
            <w:pPr>
              <w:pStyle w:val="92"/>
              <w:rPr>
                <w:color w:val="auto"/>
                <w:sz w:val="18"/>
                <w:szCs w:val="18"/>
                <w:highlight w:val="none"/>
                <w:u w:val="none"/>
              </w:rPr>
            </w:pPr>
          </w:p>
        </w:tc>
      </w:tr>
      <w:tr w14:paraId="7AFEAC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064AF11D">
            <w:pPr>
              <w:pStyle w:val="92"/>
              <w:rPr>
                <w:color w:val="auto"/>
                <w:sz w:val="18"/>
                <w:szCs w:val="18"/>
                <w:highlight w:val="none"/>
                <w:u w:val="none"/>
              </w:rPr>
            </w:pPr>
          </w:p>
        </w:tc>
        <w:tc>
          <w:tcPr>
            <w:tcW w:w="148" w:type="pct"/>
            <w:vMerge w:val="continue"/>
            <w:vAlign w:val="center"/>
          </w:tcPr>
          <w:p w14:paraId="0410A8D3">
            <w:pPr>
              <w:pStyle w:val="92"/>
              <w:rPr>
                <w:color w:val="auto"/>
                <w:sz w:val="18"/>
                <w:szCs w:val="18"/>
                <w:highlight w:val="none"/>
                <w:u w:val="none"/>
              </w:rPr>
            </w:pPr>
          </w:p>
        </w:tc>
        <w:tc>
          <w:tcPr>
            <w:tcW w:w="323" w:type="pct"/>
            <w:vMerge w:val="continue"/>
            <w:vAlign w:val="center"/>
          </w:tcPr>
          <w:p w14:paraId="0E295E7A">
            <w:pPr>
              <w:pStyle w:val="92"/>
              <w:rPr>
                <w:color w:val="auto"/>
                <w:sz w:val="18"/>
                <w:szCs w:val="18"/>
                <w:highlight w:val="none"/>
                <w:u w:val="none"/>
              </w:rPr>
            </w:pPr>
          </w:p>
        </w:tc>
        <w:tc>
          <w:tcPr>
            <w:tcW w:w="320" w:type="pct"/>
            <w:vMerge w:val="continue"/>
            <w:vAlign w:val="center"/>
          </w:tcPr>
          <w:p w14:paraId="641A2E28">
            <w:pPr>
              <w:pStyle w:val="92"/>
              <w:rPr>
                <w:color w:val="auto"/>
                <w:sz w:val="18"/>
                <w:szCs w:val="18"/>
                <w:highlight w:val="none"/>
                <w:u w:val="none"/>
              </w:rPr>
            </w:pPr>
          </w:p>
        </w:tc>
        <w:tc>
          <w:tcPr>
            <w:tcW w:w="550" w:type="pct"/>
            <w:vAlign w:val="center"/>
          </w:tcPr>
          <w:p w14:paraId="5B69AB71">
            <w:pPr>
              <w:pStyle w:val="92"/>
              <w:rPr>
                <w:color w:val="auto"/>
                <w:sz w:val="18"/>
                <w:szCs w:val="18"/>
                <w:highlight w:val="none"/>
                <w:u w:val="none"/>
              </w:rPr>
            </w:pPr>
            <w:r>
              <w:rPr>
                <w:color w:val="auto"/>
                <w:sz w:val="18"/>
                <w:szCs w:val="18"/>
                <w:highlight w:val="none"/>
                <w:u w:val="none"/>
              </w:rPr>
              <w:t>甲苯</w:t>
            </w:r>
          </w:p>
        </w:tc>
        <w:tc>
          <w:tcPr>
            <w:tcW w:w="189" w:type="pct"/>
            <w:vMerge w:val="continue"/>
            <w:vAlign w:val="center"/>
          </w:tcPr>
          <w:p w14:paraId="7FE2F200">
            <w:pPr>
              <w:pStyle w:val="92"/>
              <w:rPr>
                <w:color w:val="auto"/>
                <w:sz w:val="18"/>
                <w:szCs w:val="18"/>
                <w:highlight w:val="none"/>
                <w:u w:val="none"/>
              </w:rPr>
            </w:pPr>
          </w:p>
        </w:tc>
        <w:tc>
          <w:tcPr>
            <w:tcW w:w="284" w:type="pct"/>
            <w:vAlign w:val="center"/>
          </w:tcPr>
          <w:p w14:paraId="406AF60B">
            <w:pPr>
              <w:pStyle w:val="92"/>
              <w:rPr>
                <w:color w:val="auto"/>
                <w:sz w:val="18"/>
                <w:szCs w:val="18"/>
                <w:highlight w:val="none"/>
                <w:u w:val="none"/>
              </w:rPr>
            </w:pPr>
            <w:r>
              <w:rPr>
                <w:rFonts w:hint="eastAsia" w:eastAsia="等线"/>
                <w:color w:val="auto"/>
                <w:sz w:val="18"/>
                <w:szCs w:val="18"/>
                <w:highlight w:val="none"/>
                <w:u w:val="none"/>
              </w:rPr>
              <w:t>733</w:t>
            </w:r>
            <w:r>
              <w:rPr>
                <w:rFonts w:eastAsia="等线"/>
                <w:color w:val="auto"/>
                <w:sz w:val="18"/>
                <w:szCs w:val="18"/>
                <w:highlight w:val="none"/>
                <w:u w:val="none"/>
              </w:rPr>
              <w:t xml:space="preserve"> </w:t>
            </w:r>
          </w:p>
        </w:tc>
        <w:tc>
          <w:tcPr>
            <w:tcW w:w="241" w:type="pct"/>
            <w:vAlign w:val="center"/>
          </w:tcPr>
          <w:p w14:paraId="626DCA34">
            <w:pPr>
              <w:pStyle w:val="92"/>
              <w:rPr>
                <w:color w:val="auto"/>
                <w:sz w:val="18"/>
                <w:szCs w:val="18"/>
                <w:highlight w:val="none"/>
                <w:u w:val="none"/>
              </w:rPr>
            </w:pPr>
            <w:r>
              <w:rPr>
                <w:rFonts w:hint="eastAsia" w:eastAsia="等线"/>
                <w:color w:val="auto"/>
                <w:sz w:val="18"/>
                <w:szCs w:val="18"/>
                <w:highlight w:val="none"/>
                <w:u w:val="none"/>
              </w:rPr>
              <w:t>0.18</w:t>
            </w:r>
            <w:r>
              <w:rPr>
                <w:rFonts w:eastAsia="等线"/>
                <w:color w:val="auto"/>
                <w:sz w:val="18"/>
                <w:szCs w:val="18"/>
                <w:highlight w:val="none"/>
                <w:u w:val="none"/>
              </w:rPr>
              <w:t xml:space="preserve"> </w:t>
            </w:r>
          </w:p>
        </w:tc>
        <w:tc>
          <w:tcPr>
            <w:tcW w:w="301" w:type="pct"/>
            <w:vAlign w:val="center"/>
          </w:tcPr>
          <w:p w14:paraId="28F30E4D">
            <w:pPr>
              <w:pStyle w:val="92"/>
              <w:rPr>
                <w:color w:val="auto"/>
                <w:sz w:val="18"/>
                <w:szCs w:val="18"/>
                <w:highlight w:val="none"/>
                <w:u w:val="none"/>
              </w:rPr>
            </w:pPr>
            <w:r>
              <w:rPr>
                <w:rFonts w:hint="eastAsia" w:eastAsia="等线"/>
                <w:color w:val="auto"/>
                <w:sz w:val="18"/>
                <w:szCs w:val="18"/>
                <w:highlight w:val="none"/>
                <w:u w:val="none"/>
              </w:rPr>
              <w:t>1.47</w:t>
            </w:r>
          </w:p>
        </w:tc>
        <w:tc>
          <w:tcPr>
            <w:tcW w:w="420" w:type="pct"/>
            <w:vMerge w:val="continue"/>
            <w:vAlign w:val="center"/>
          </w:tcPr>
          <w:p w14:paraId="0F78588C">
            <w:pPr>
              <w:pStyle w:val="92"/>
              <w:rPr>
                <w:color w:val="auto"/>
                <w:sz w:val="18"/>
                <w:szCs w:val="18"/>
                <w:highlight w:val="none"/>
                <w:u w:val="none"/>
              </w:rPr>
            </w:pPr>
          </w:p>
        </w:tc>
        <w:tc>
          <w:tcPr>
            <w:tcW w:w="322" w:type="pct"/>
            <w:vAlign w:val="center"/>
          </w:tcPr>
          <w:p w14:paraId="16E9ABA8">
            <w:pPr>
              <w:pStyle w:val="92"/>
              <w:rPr>
                <w:color w:val="auto"/>
                <w:sz w:val="18"/>
                <w:szCs w:val="18"/>
                <w:highlight w:val="none"/>
                <w:u w:val="none"/>
              </w:rPr>
            </w:pPr>
            <w:r>
              <w:rPr>
                <w:rFonts w:hint="eastAsia" w:eastAsia="等线"/>
                <w:color w:val="auto"/>
                <w:sz w:val="18"/>
                <w:szCs w:val="18"/>
                <w:highlight w:val="none"/>
                <w:u w:val="none"/>
              </w:rPr>
              <w:t>293</w:t>
            </w:r>
          </w:p>
        </w:tc>
        <w:tc>
          <w:tcPr>
            <w:tcW w:w="254" w:type="pct"/>
            <w:vAlign w:val="center"/>
          </w:tcPr>
          <w:p w14:paraId="1D6B19BC">
            <w:pPr>
              <w:pStyle w:val="92"/>
              <w:rPr>
                <w:color w:val="auto"/>
                <w:sz w:val="18"/>
                <w:szCs w:val="18"/>
                <w:highlight w:val="none"/>
                <w:u w:val="none"/>
              </w:rPr>
            </w:pPr>
            <w:r>
              <w:rPr>
                <w:rFonts w:hint="eastAsia" w:eastAsia="等线"/>
                <w:color w:val="auto"/>
                <w:sz w:val="18"/>
                <w:szCs w:val="18"/>
                <w:highlight w:val="none"/>
                <w:u w:val="none"/>
              </w:rPr>
              <w:t>0.07</w:t>
            </w:r>
            <w:r>
              <w:rPr>
                <w:rFonts w:eastAsia="等线"/>
                <w:color w:val="auto"/>
                <w:sz w:val="18"/>
                <w:szCs w:val="18"/>
                <w:highlight w:val="none"/>
                <w:u w:val="none"/>
              </w:rPr>
              <w:t xml:space="preserve"> </w:t>
            </w:r>
          </w:p>
        </w:tc>
        <w:tc>
          <w:tcPr>
            <w:tcW w:w="264" w:type="pct"/>
            <w:vAlign w:val="center"/>
          </w:tcPr>
          <w:p w14:paraId="30C702A3">
            <w:pPr>
              <w:pStyle w:val="92"/>
              <w:rPr>
                <w:color w:val="auto"/>
                <w:sz w:val="18"/>
                <w:szCs w:val="18"/>
                <w:highlight w:val="none"/>
                <w:u w:val="none"/>
              </w:rPr>
            </w:pPr>
            <w:r>
              <w:rPr>
                <w:rFonts w:hint="eastAsia" w:eastAsia="等线"/>
                <w:color w:val="auto"/>
                <w:sz w:val="18"/>
                <w:szCs w:val="18"/>
                <w:highlight w:val="none"/>
                <w:u w:val="none"/>
              </w:rPr>
              <w:t>0.59</w:t>
            </w:r>
          </w:p>
        </w:tc>
        <w:tc>
          <w:tcPr>
            <w:tcW w:w="205" w:type="pct"/>
            <w:vMerge w:val="continue"/>
            <w:vAlign w:val="center"/>
          </w:tcPr>
          <w:p w14:paraId="5DBCE9AD">
            <w:pPr>
              <w:pStyle w:val="92"/>
              <w:rPr>
                <w:color w:val="auto"/>
                <w:sz w:val="18"/>
                <w:szCs w:val="18"/>
                <w:highlight w:val="none"/>
                <w:u w:val="none"/>
              </w:rPr>
            </w:pPr>
          </w:p>
        </w:tc>
        <w:tc>
          <w:tcPr>
            <w:tcW w:w="222" w:type="pct"/>
            <w:vMerge w:val="continue"/>
            <w:vAlign w:val="center"/>
          </w:tcPr>
          <w:p w14:paraId="335D701C">
            <w:pPr>
              <w:pStyle w:val="92"/>
              <w:rPr>
                <w:color w:val="auto"/>
                <w:sz w:val="18"/>
                <w:szCs w:val="18"/>
                <w:highlight w:val="none"/>
                <w:u w:val="none"/>
              </w:rPr>
            </w:pPr>
          </w:p>
        </w:tc>
        <w:tc>
          <w:tcPr>
            <w:tcW w:w="222" w:type="pct"/>
            <w:vMerge w:val="continue"/>
            <w:vAlign w:val="center"/>
          </w:tcPr>
          <w:p w14:paraId="22A2A8FB">
            <w:pPr>
              <w:pStyle w:val="92"/>
              <w:rPr>
                <w:color w:val="auto"/>
                <w:sz w:val="18"/>
                <w:szCs w:val="18"/>
                <w:highlight w:val="none"/>
                <w:u w:val="none"/>
              </w:rPr>
            </w:pPr>
          </w:p>
        </w:tc>
        <w:tc>
          <w:tcPr>
            <w:tcW w:w="239" w:type="pct"/>
            <w:vMerge w:val="continue"/>
            <w:vAlign w:val="center"/>
          </w:tcPr>
          <w:p w14:paraId="5539719C">
            <w:pPr>
              <w:pStyle w:val="92"/>
              <w:rPr>
                <w:color w:val="auto"/>
                <w:sz w:val="18"/>
                <w:szCs w:val="18"/>
                <w:highlight w:val="none"/>
                <w:u w:val="none"/>
              </w:rPr>
            </w:pPr>
          </w:p>
        </w:tc>
        <w:tc>
          <w:tcPr>
            <w:tcW w:w="359" w:type="pct"/>
            <w:vMerge w:val="continue"/>
            <w:vAlign w:val="center"/>
          </w:tcPr>
          <w:p w14:paraId="17C85201">
            <w:pPr>
              <w:pStyle w:val="92"/>
              <w:rPr>
                <w:color w:val="auto"/>
                <w:sz w:val="18"/>
                <w:szCs w:val="18"/>
                <w:highlight w:val="none"/>
                <w:u w:val="none"/>
              </w:rPr>
            </w:pPr>
          </w:p>
        </w:tc>
      </w:tr>
      <w:tr w14:paraId="088C27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171F526D">
            <w:pPr>
              <w:pStyle w:val="92"/>
              <w:rPr>
                <w:color w:val="auto"/>
                <w:sz w:val="18"/>
                <w:szCs w:val="18"/>
                <w:highlight w:val="none"/>
                <w:u w:val="none"/>
              </w:rPr>
            </w:pPr>
          </w:p>
        </w:tc>
        <w:tc>
          <w:tcPr>
            <w:tcW w:w="148" w:type="pct"/>
            <w:vMerge w:val="continue"/>
            <w:vAlign w:val="center"/>
          </w:tcPr>
          <w:p w14:paraId="27A9D59F">
            <w:pPr>
              <w:pStyle w:val="92"/>
              <w:rPr>
                <w:color w:val="auto"/>
                <w:sz w:val="18"/>
                <w:szCs w:val="18"/>
                <w:highlight w:val="none"/>
                <w:u w:val="none"/>
              </w:rPr>
            </w:pPr>
          </w:p>
        </w:tc>
        <w:tc>
          <w:tcPr>
            <w:tcW w:w="323" w:type="pct"/>
            <w:vMerge w:val="continue"/>
            <w:vAlign w:val="center"/>
          </w:tcPr>
          <w:p w14:paraId="39750D2E">
            <w:pPr>
              <w:pStyle w:val="92"/>
              <w:rPr>
                <w:color w:val="auto"/>
                <w:sz w:val="18"/>
                <w:szCs w:val="18"/>
                <w:highlight w:val="none"/>
                <w:u w:val="none"/>
              </w:rPr>
            </w:pPr>
          </w:p>
        </w:tc>
        <w:tc>
          <w:tcPr>
            <w:tcW w:w="320" w:type="pct"/>
            <w:vMerge w:val="continue"/>
            <w:vAlign w:val="center"/>
          </w:tcPr>
          <w:p w14:paraId="5A875E13">
            <w:pPr>
              <w:pStyle w:val="92"/>
              <w:rPr>
                <w:color w:val="auto"/>
                <w:sz w:val="18"/>
                <w:szCs w:val="18"/>
                <w:highlight w:val="none"/>
                <w:u w:val="none"/>
              </w:rPr>
            </w:pPr>
          </w:p>
        </w:tc>
        <w:tc>
          <w:tcPr>
            <w:tcW w:w="550" w:type="pct"/>
            <w:vAlign w:val="center"/>
          </w:tcPr>
          <w:p w14:paraId="1630D9DE">
            <w:pPr>
              <w:pStyle w:val="92"/>
              <w:rPr>
                <w:color w:val="auto"/>
                <w:sz w:val="18"/>
                <w:szCs w:val="18"/>
                <w:highlight w:val="none"/>
                <w:u w:val="none"/>
              </w:rPr>
            </w:pPr>
            <w:r>
              <w:rPr>
                <w:color w:val="auto"/>
                <w:sz w:val="18"/>
                <w:szCs w:val="18"/>
                <w:highlight w:val="none"/>
                <w:u w:val="none"/>
              </w:rPr>
              <w:t>氨</w:t>
            </w:r>
          </w:p>
        </w:tc>
        <w:tc>
          <w:tcPr>
            <w:tcW w:w="189" w:type="pct"/>
            <w:vMerge w:val="continue"/>
            <w:vAlign w:val="center"/>
          </w:tcPr>
          <w:p w14:paraId="6B22E0C1">
            <w:pPr>
              <w:pStyle w:val="92"/>
              <w:rPr>
                <w:color w:val="auto"/>
                <w:sz w:val="18"/>
                <w:szCs w:val="18"/>
                <w:highlight w:val="none"/>
                <w:u w:val="none"/>
              </w:rPr>
            </w:pPr>
          </w:p>
        </w:tc>
        <w:tc>
          <w:tcPr>
            <w:tcW w:w="284" w:type="pct"/>
            <w:vAlign w:val="center"/>
          </w:tcPr>
          <w:p w14:paraId="3415346A">
            <w:pPr>
              <w:pStyle w:val="92"/>
              <w:rPr>
                <w:color w:val="auto"/>
                <w:sz w:val="18"/>
                <w:szCs w:val="18"/>
                <w:highlight w:val="none"/>
                <w:u w:val="none"/>
              </w:rPr>
            </w:pPr>
            <w:r>
              <w:rPr>
                <w:rFonts w:eastAsia="等线"/>
                <w:color w:val="auto"/>
                <w:sz w:val="18"/>
                <w:szCs w:val="18"/>
                <w:highlight w:val="none"/>
                <w:u w:val="none"/>
              </w:rPr>
              <w:t xml:space="preserve">6593 </w:t>
            </w:r>
          </w:p>
        </w:tc>
        <w:tc>
          <w:tcPr>
            <w:tcW w:w="241" w:type="pct"/>
            <w:vAlign w:val="center"/>
          </w:tcPr>
          <w:p w14:paraId="2C889A5B">
            <w:pPr>
              <w:pStyle w:val="92"/>
              <w:rPr>
                <w:color w:val="auto"/>
                <w:sz w:val="18"/>
                <w:szCs w:val="18"/>
                <w:highlight w:val="none"/>
                <w:u w:val="none"/>
              </w:rPr>
            </w:pPr>
            <w:r>
              <w:rPr>
                <w:rFonts w:eastAsia="等线"/>
                <w:b/>
                <w:bCs/>
                <w:color w:val="auto"/>
                <w:sz w:val="18"/>
                <w:szCs w:val="18"/>
                <w:highlight w:val="none"/>
                <w:u w:val="none"/>
              </w:rPr>
              <w:t>1</w:t>
            </w:r>
            <w:r>
              <w:rPr>
                <w:rFonts w:eastAsia="等线"/>
                <w:color w:val="auto"/>
                <w:sz w:val="18"/>
                <w:szCs w:val="18"/>
                <w:highlight w:val="none"/>
                <w:u w:val="none"/>
              </w:rPr>
              <w:t xml:space="preserve">.65 </w:t>
            </w:r>
          </w:p>
        </w:tc>
        <w:tc>
          <w:tcPr>
            <w:tcW w:w="301" w:type="pct"/>
            <w:vAlign w:val="center"/>
          </w:tcPr>
          <w:p w14:paraId="0F96525A">
            <w:pPr>
              <w:pStyle w:val="92"/>
              <w:rPr>
                <w:color w:val="auto"/>
                <w:sz w:val="18"/>
                <w:szCs w:val="18"/>
                <w:highlight w:val="none"/>
                <w:u w:val="none"/>
              </w:rPr>
            </w:pPr>
            <w:r>
              <w:rPr>
                <w:rFonts w:eastAsia="等线"/>
                <w:color w:val="auto"/>
                <w:sz w:val="18"/>
                <w:szCs w:val="18"/>
                <w:highlight w:val="none"/>
                <w:u w:val="none"/>
              </w:rPr>
              <w:t>13.1</w:t>
            </w:r>
            <w:r>
              <w:rPr>
                <w:rFonts w:hint="eastAsia" w:eastAsia="等线"/>
                <w:color w:val="auto"/>
                <w:sz w:val="18"/>
                <w:szCs w:val="18"/>
                <w:highlight w:val="none"/>
                <w:u w:val="none"/>
              </w:rPr>
              <w:t>9</w:t>
            </w:r>
          </w:p>
        </w:tc>
        <w:tc>
          <w:tcPr>
            <w:tcW w:w="420" w:type="pct"/>
            <w:vMerge w:val="continue"/>
            <w:vAlign w:val="center"/>
          </w:tcPr>
          <w:p w14:paraId="14E21081">
            <w:pPr>
              <w:pStyle w:val="92"/>
              <w:rPr>
                <w:color w:val="auto"/>
                <w:sz w:val="18"/>
                <w:szCs w:val="18"/>
                <w:highlight w:val="none"/>
                <w:u w:val="none"/>
              </w:rPr>
            </w:pPr>
          </w:p>
        </w:tc>
        <w:tc>
          <w:tcPr>
            <w:tcW w:w="322" w:type="pct"/>
            <w:vAlign w:val="center"/>
          </w:tcPr>
          <w:p w14:paraId="3F9FD51E">
            <w:pPr>
              <w:pStyle w:val="92"/>
              <w:rPr>
                <w:color w:val="auto"/>
                <w:sz w:val="18"/>
                <w:szCs w:val="18"/>
                <w:highlight w:val="none"/>
                <w:u w:val="none"/>
              </w:rPr>
            </w:pPr>
            <w:r>
              <w:rPr>
                <w:rFonts w:eastAsia="等线"/>
                <w:color w:val="auto"/>
                <w:sz w:val="18"/>
                <w:szCs w:val="18"/>
                <w:highlight w:val="none"/>
                <w:u w:val="none"/>
              </w:rPr>
              <w:t xml:space="preserve">2637 </w:t>
            </w:r>
          </w:p>
        </w:tc>
        <w:tc>
          <w:tcPr>
            <w:tcW w:w="254" w:type="pct"/>
            <w:vAlign w:val="center"/>
          </w:tcPr>
          <w:p w14:paraId="71BFB8D6">
            <w:pPr>
              <w:pStyle w:val="92"/>
              <w:rPr>
                <w:color w:val="auto"/>
                <w:sz w:val="18"/>
                <w:szCs w:val="18"/>
                <w:highlight w:val="none"/>
                <w:u w:val="none"/>
              </w:rPr>
            </w:pPr>
            <w:r>
              <w:rPr>
                <w:rFonts w:eastAsia="等线"/>
                <w:color w:val="auto"/>
                <w:sz w:val="18"/>
                <w:szCs w:val="18"/>
                <w:highlight w:val="none"/>
                <w:u w:val="none"/>
              </w:rPr>
              <w:t xml:space="preserve">0.66 </w:t>
            </w:r>
          </w:p>
        </w:tc>
        <w:tc>
          <w:tcPr>
            <w:tcW w:w="264" w:type="pct"/>
            <w:vAlign w:val="center"/>
          </w:tcPr>
          <w:p w14:paraId="6322DAE2">
            <w:pPr>
              <w:pStyle w:val="92"/>
              <w:rPr>
                <w:color w:val="auto"/>
                <w:sz w:val="18"/>
                <w:szCs w:val="18"/>
                <w:highlight w:val="none"/>
                <w:u w:val="none"/>
              </w:rPr>
            </w:pPr>
            <w:r>
              <w:rPr>
                <w:rFonts w:eastAsia="等线"/>
                <w:color w:val="auto"/>
                <w:sz w:val="18"/>
                <w:szCs w:val="18"/>
                <w:highlight w:val="none"/>
                <w:u w:val="none"/>
              </w:rPr>
              <w:t>5.27</w:t>
            </w:r>
          </w:p>
        </w:tc>
        <w:tc>
          <w:tcPr>
            <w:tcW w:w="205" w:type="pct"/>
            <w:vMerge w:val="continue"/>
            <w:vAlign w:val="center"/>
          </w:tcPr>
          <w:p w14:paraId="4B33F4BB">
            <w:pPr>
              <w:pStyle w:val="92"/>
              <w:rPr>
                <w:color w:val="auto"/>
                <w:sz w:val="18"/>
                <w:szCs w:val="18"/>
                <w:highlight w:val="none"/>
                <w:u w:val="none"/>
              </w:rPr>
            </w:pPr>
          </w:p>
        </w:tc>
        <w:tc>
          <w:tcPr>
            <w:tcW w:w="222" w:type="pct"/>
            <w:vMerge w:val="continue"/>
            <w:vAlign w:val="center"/>
          </w:tcPr>
          <w:p w14:paraId="2340819A">
            <w:pPr>
              <w:pStyle w:val="92"/>
              <w:rPr>
                <w:color w:val="auto"/>
                <w:sz w:val="18"/>
                <w:szCs w:val="18"/>
                <w:highlight w:val="none"/>
                <w:u w:val="none"/>
              </w:rPr>
            </w:pPr>
          </w:p>
        </w:tc>
        <w:tc>
          <w:tcPr>
            <w:tcW w:w="222" w:type="pct"/>
            <w:vMerge w:val="continue"/>
            <w:vAlign w:val="center"/>
          </w:tcPr>
          <w:p w14:paraId="7CB8B859">
            <w:pPr>
              <w:pStyle w:val="92"/>
              <w:rPr>
                <w:color w:val="auto"/>
                <w:sz w:val="18"/>
                <w:szCs w:val="18"/>
                <w:highlight w:val="none"/>
                <w:u w:val="none"/>
              </w:rPr>
            </w:pPr>
          </w:p>
        </w:tc>
        <w:tc>
          <w:tcPr>
            <w:tcW w:w="239" w:type="pct"/>
            <w:vMerge w:val="continue"/>
            <w:vAlign w:val="center"/>
          </w:tcPr>
          <w:p w14:paraId="55853281">
            <w:pPr>
              <w:pStyle w:val="92"/>
              <w:rPr>
                <w:color w:val="auto"/>
                <w:sz w:val="18"/>
                <w:szCs w:val="18"/>
                <w:highlight w:val="none"/>
                <w:u w:val="none"/>
              </w:rPr>
            </w:pPr>
          </w:p>
        </w:tc>
        <w:tc>
          <w:tcPr>
            <w:tcW w:w="359" w:type="pct"/>
            <w:vMerge w:val="continue"/>
            <w:vAlign w:val="center"/>
          </w:tcPr>
          <w:p w14:paraId="71EF6896">
            <w:pPr>
              <w:pStyle w:val="92"/>
              <w:rPr>
                <w:color w:val="auto"/>
                <w:sz w:val="18"/>
                <w:szCs w:val="18"/>
                <w:highlight w:val="none"/>
                <w:u w:val="none"/>
              </w:rPr>
            </w:pPr>
          </w:p>
        </w:tc>
      </w:tr>
      <w:tr w14:paraId="332FC2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03D9C72D">
            <w:pPr>
              <w:pStyle w:val="92"/>
              <w:rPr>
                <w:color w:val="auto"/>
                <w:sz w:val="18"/>
                <w:szCs w:val="18"/>
                <w:highlight w:val="none"/>
                <w:u w:val="none"/>
              </w:rPr>
            </w:pPr>
          </w:p>
        </w:tc>
        <w:tc>
          <w:tcPr>
            <w:tcW w:w="148" w:type="pct"/>
            <w:vMerge w:val="continue"/>
            <w:vAlign w:val="center"/>
          </w:tcPr>
          <w:p w14:paraId="54BAC1D8">
            <w:pPr>
              <w:pStyle w:val="92"/>
              <w:rPr>
                <w:color w:val="auto"/>
                <w:sz w:val="18"/>
                <w:szCs w:val="18"/>
                <w:highlight w:val="none"/>
                <w:u w:val="none"/>
              </w:rPr>
            </w:pPr>
          </w:p>
        </w:tc>
        <w:tc>
          <w:tcPr>
            <w:tcW w:w="323" w:type="pct"/>
            <w:vMerge w:val="continue"/>
            <w:vAlign w:val="center"/>
          </w:tcPr>
          <w:p w14:paraId="1BAB53A9">
            <w:pPr>
              <w:pStyle w:val="92"/>
              <w:rPr>
                <w:color w:val="auto"/>
                <w:sz w:val="18"/>
                <w:szCs w:val="18"/>
                <w:highlight w:val="none"/>
                <w:u w:val="none"/>
              </w:rPr>
            </w:pPr>
          </w:p>
        </w:tc>
        <w:tc>
          <w:tcPr>
            <w:tcW w:w="320" w:type="pct"/>
            <w:vMerge w:val="continue"/>
            <w:vAlign w:val="center"/>
          </w:tcPr>
          <w:p w14:paraId="16B54C38">
            <w:pPr>
              <w:pStyle w:val="92"/>
              <w:rPr>
                <w:color w:val="auto"/>
                <w:sz w:val="18"/>
                <w:szCs w:val="18"/>
                <w:highlight w:val="none"/>
                <w:u w:val="none"/>
              </w:rPr>
            </w:pPr>
          </w:p>
        </w:tc>
        <w:tc>
          <w:tcPr>
            <w:tcW w:w="550" w:type="pct"/>
            <w:vAlign w:val="center"/>
          </w:tcPr>
          <w:p w14:paraId="4439C14F">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9" w:type="pct"/>
            <w:vMerge w:val="continue"/>
            <w:vAlign w:val="center"/>
          </w:tcPr>
          <w:p w14:paraId="76B9B9AE">
            <w:pPr>
              <w:pStyle w:val="92"/>
              <w:rPr>
                <w:color w:val="auto"/>
                <w:sz w:val="18"/>
                <w:szCs w:val="18"/>
                <w:highlight w:val="none"/>
                <w:u w:val="none"/>
              </w:rPr>
            </w:pPr>
          </w:p>
        </w:tc>
        <w:tc>
          <w:tcPr>
            <w:tcW w:w="284" w:type="pct"/>
            <w:vAlign w:val="center"/>
          </w:tcPr>
          <w:p w14:paraId="4E153B13">
            <w:pPr>
              <w:pStyle w:val="92"/>
              <w:rPr>
                <w:color w:val="auto"/>
                <w:sz w:val="18"/>
                <w:szCs w:val="18"/>
                <w:highlight w:val="none"/>
                <w:u w:val="none"/>
              </w:rPr>
            </w:pPr>
            <w:r>
              <w:rPr>
                <w:rFonts w:eastAsia="等线"/>
                <w:color w:val="auto"/>
                <w:sz w:val="18"/>
                <w:szCs w:val="18"/>
                <w:highlight w:val="none"/>
                <w:u w:val="none"/>
              </w:rPr>
              <w:t xml:space="preserve">733 </w:t>
            </w:r>
          </w:p>
        </w:tc>
        <w:tc>
          <w:tcPr>
            <w:tcW w:w="241" w:type="pct"/>
            <w:vAlign w:val="center"/>
          </w:tcPr>
          <w:p w14:paraId="1F883347">
            <w:pPr>
              <w:pStyle w:val="92"/>
              <w:rPr>
                <w:color w:val="auto"/>
                <w:sz w:val="18"/>
                <w:szCs w:val="18"/>
                <w:highlight w:val="none"/>
                <w:u w:val="none"/>
              </w:rPr>
            </w:pPr>
            <w:r>
              <w:rPr>
                <w:rFonts w:eastAsia="等线"/>
                <w:color w:val="auto"/>
                <w:sz w:val="18"/>
                <w:szCs w:val="18"/>
                <w:highlight w:val="none"/>
                <w:u w:val="none"/>
              </w:rPr>
              <w:t xml:space="preserve">0.18 </w:t>
            </w:r>
          </w:p>
        </w:tc>
        <w:tc>
          <w:tcPr>
            <w:tcW w:w="301" w:type="pct"/>
            <w:vAlign w:val="center"/>
          </w:tcPr>
          <w:p w14:paraId="4723E96F">
            <w:pPr>
              <w:pStyle w:val="92"/>
              <w:rPr>
                <w:color w:val="auto"/>
                <w:sz w:val="18"/>
                <w:szCs w:val="18"/>
                <w:highlight w:val="none"/>
                <w:u w:val="none"/>
              </w:rPr>
            </w:pPr>
            <w:r>
              <w:rPr>
                <w:rFonts w:eastAsia="等线"/>
                <w:color w:val="auto"/>
                <w:sz w:val="18"/>
                <w:szCs w:val="18"/>
                <w:highlight w:val="none"/>
                <w:u w:val="none"/>
              </w:rPr>
              <w:t>1.4</w:t>
            </w:r>
            <w:r>
              <w:rPr>
                <w:rFonts w:hint="eastAsia" w:eastAsia="等线"/>
                <w:color w:val="auto"/>
                <w:sz w:val="18"/>
                <w:szCs w:val="18"/>
                <w:highlight w:val="none"/>
                <w:u w:val="none"/>
              </w:rPr>
              <w:t>7</w:t>
            </w:r>
          </w:p>
        </w:tc>
        <w:tc>
          <w:tcPr>
            <w:tcW w:w="420" w:type="pct"/>
            <w:vMerge w:val="continue"/>
            <w:vAlign w:val="center"/>
          </w:tcPr>
          <w:p w14:paraId="47BF1B78">
            <w:pPr>
              <w:pStyle w:val="92"/>
              <w:rPr>
                <w:color w:val="auto"/>
                <w:sz w:val="18"/>
                <w:szCs w:val="18"/>
                <w:highlight w:val="none"/>
                <w:u w:val="none"/>
              </w:rPr>
            </w:pPr>
          </w:p>
        </w:tc>
        <w:tc>
          <w:tcPr>
            <w:tcW w:w="322" w:type="pct"/>
            <w:vAlign w:val="center"/>
          </w:tcPr>
          <w:p w14:paraId="098DA3C3">
            <w:pPr>
              <w:pStyle w:val="92"/>
              <w:rPr>
                <w:color w:val="auto"/>
                <w:sz w:val="18"/>
                <w:szCs w:val="18"/>
                <w:highlight w:val="none"/>
                <w:u w:val="none"/>
              </w:rPr>
            </w:pPr>
            <w:r>
              <w:rPr>
                <w:rFonts w:eastAsia="等线"/>
                <w:color w:val="auto"/>
                <w:sz w:val="18"/>
                <w:szCs w:val="18"/>
                <w:highlight w:val="none"/>
                <w:u w:val="none"/>
              </w:rPr>
              <w:t xml:space="preserve">293 </w:t>
            </w:r>
          </w:p>
        </w:tc>
        <w:tc>
          <w:tcPr>
            <w:tcW w:w="254" w:type="pct"/>
            <w:vAlign w:val="center"/>
          </w:tcPr>
          <w:p w14:paraId="19D0292A">
            <w:pPr>
              <w:pStyle w:val="92"/>
              <w:rPr>
                <w:color w:val="auto"/>
                <w:sz w:val="18"/>
                <w:szCs w:val="18"/>
                <w:highlight w:val="none"/>
                <w:u w:val="none"/>
              </w:rPr>
            </w:pPr>
            <w:r>
              <w:rPr>
                <w:rFonts w:eastAsia="等线"/>
                <w:color w:val="auto"/>
                <w:sz w:val="18"/>
                <w:szCs w:val="18"/>
                <w:highlight w:val="none"/>
                <w:u w:val="none"/>
              </w:rPr>
              <w:t xml:space="preserve">0.07 </w:t>
            </w:r>
          </w:p>
        </w:tc>
        <w:tc>
          <w:tcPr>
            <w:tcW w:w="264" w:type="pct"/>
            <w:vAlign w:val="center"/>
          </w:tcPr>
          <w:p w14:paraId="61C7E202">
            <w:pPr>
              <w:pStyle w:val="92"/>
              <w:rPr>
                <w:color w:val="auto"/>
                <w:sz w:val="18"/>
                <w:szCs w:val="18"/>
                <w:highlight w:val="none"/>
                <w:u w:val="none"/>
              </w:rPr>
            </w:pPr>
            <w:r>
              <w:rPr>
                <w:rFonts w:eastAsia="等线"/>
                <w:color w:val="auto"/>
                <w:sz w:val="18"/>
                <w:szCs w:val="18"/>
                <w:highlight w:val="none"/>
                <w:u w:val="none"/>
              </w:rPr>
              <w:t>0.5</w:t>
            </w:r>
            <w:r>
              <w:rPr>
                <w:rFonts w:hint="eastAsia" w:eastAsia="等线"/>
                <w:color w:val="auto"/>
                <w:sz w:val="18"/>
                <w:szCs w:val="18"/>
                <w:highlight w:val="none"/>
                <w:u w:val="none"/>
              </w:rPr>
              <w:t>9</w:t>
            </w:r>
          </w:p>
        </w:tc>
        <w:tc>
          <w:tcPr>
            <w:tcW w:w="205" w:type="pct"/>
            <w:vMerge w:val="continue"/>
            <w:vAlign w:val="center"/>
          </w:tcPr>
          <w:p w14:paraId="4C3657F1">
            <w:pPr>
              <w:pStyle w:val="92"/>
              <w:rPr>
                <w:color w:val="auto"/>
                <w:sz w:val="18"/>
                <w:szCs w:val="18"/>
                <w:highlight w:val="none"/>
                <w:u w:val="none"/>
              </w:rPr>
            </w:pPr>
          </w:p>
        </w:tc>
        <w:tc>
          <w:tcPr>
            <w:tcW w:w="222" w:type="pct"/>
            <w:vMerge w:val="continue"/>
            <w:vAlign w:val="center"/>
          </w:tcPr>
          <w:p w14:paraId="5BD8A3FF">
            <w:pPr>
              <w:pStyle w:val="92"/>
              <w:rPr>
                <w:color w:val="auto"/>
                <w:sz w:val="18"/>
                <w:szCs w:val="18"/>
                <w:highlight w:val="none"/>
                <w:u w:val="none"/>
              </w:rPr>
            </w:pPr>
          </w:p>
        </w:tc>
        <w:tc>
          <w:tcPr>
            <w:tcW w:w="222" w:type="pct"/>
            <w:vMerge w:val="continue"/>
            <w:vAlign w:val="center"/>
          </w:tcPr>
          <w:p w14:paraId="2118599C">
            <w:pPr>
              <w:pStyle w:val="92"/>
              <w:rPr>
                <w:color w:val="auto"/>
                <w:sz w:val="18"/>
                <w:szCs w:val="18"/>
                <w:highlight w:val="none"/>
                <w:u w:val="none"/>
              </w:rPr>
            </w:pPr>
          </w:p>
        </w:tc>
        <w:tc>
          <w:tcPr>
            <w:tcW w:w="239" w:type="pct"/>
            <w:vMerge w:val="continue"/>
            <w:vAlign w:val="center"/>
          </w:tcPr>
          <w:p w14:paraId="3E3285B2">
            <w:pPr>
              <w:pStyle w:val="92"/>
              <w:rPr>
                <w:color w:val="auto"/>
                <w:sz w:val="18"/>
                <w:szCs w:val="18"/>
                <w:highlight w:val="none"/>
                <w:u w:val="none"/>
              </w:rPr>
            </w:pPr>
          </w:p>
        </w:tc>
        <w:tc>
          <w:tcPr>
            <w:tcW w:w="359" w:type="pct"/>
            <w:vMerge w:val="continue"/>
            <w:vAlign w:val="center"/>
          </w:tcPr>
          <w:p w14:paraId="333FD734">
            <w:pPr>
              <w:pStyle w:val="92"/>
              <w:rPr>
                <w:color w:val="auto"/>
                <w:sz w:val="18"/>
                <w:szCs w:val="18"/>
                <w:highlight w:val="none"/>
                <w:u w:val="none"/>
              </w:rPr>
            </w:pPr>
          </w:p>
        </w:tc>
      </w:tr>
      <w:tr w14:paraId="263627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restart"/>
            <w:vAlign w:val="center"/>
          </w:tcPr>
          <w:p w14:paraId="4A345699">
            <w:pPr>
              <w:pStyle w:val="92"/>
              <w:rPr>
                <w:color w:val="auto"/>
                <w:sz w:val="18"/>
                <w:szCs w:val="18"/>
                <w:highlight w:val="none"/>
                <w:u w:val="none"/>
              </w:rPr>
            </w:pPr>
            <w:r>
              <w:rPr>
                <w:color w:val="auto"/>
                <w:sz w:val="18"/>
                <w:szCs w:val="18"/>
                <w:highlight w:val="none"/>
                <w:u w:val="none"/>
              </w:rPr>
              <w:t>氢化单元</w:t>
            </w:r>
          </w:p>
        </w:tc>
        <w:tc>
          <w:tcPr>
            <w:tcW w:w="148" w:type="pct"/>
            <w:vAlign w:val="center"/>
          </w:tcPr>
          <w:p w14:paraId="54EAF84F">
            <w:pPr>
              <w:pStyle w:val="92"/>
              <w:rPr>
                <w:color w:val="auto"/>
                <w:sz w:val="18"/>
                <w:szCs w:val="18"/>
                <w:highlight w:val="none"/>
                <w:u w:val="none"/>
              </w:rPr>
            </w:pPr>
            <w:r>
              <w:rPr>
                <w:color w:val="auto"/>
                <w:sz w:val="18"/>
                <w:szCs w:val="18"/>
                <w:highlight w:val="none"/>
                <w:u w:val="none"/>
              </w:rPr>
              <w:t>G2-1</w:t>
            </w:r>
          </w:p>
        </w:tc>
        <w:tc>
          <w:tcPr>
            <w:tcW w:w="323" w:type="pct"/>
            <w:vAlign w:val="center"/>
          </w:tcPr>
          <w:p w14:paraId="5544C88A">
            <w:pPr>
              <w:pStyle w:val="92"/>
              <w:rPr>
                <w:color w:val="auto"/>
                <w:sz w:val="18"/>
                <w:szCs w:val="18"/>
                <w:highlight w:val="none"/>
                <w:u w:val="none"/>
              </w:rPr>
            </w:pPr>
            <w:r>
              <w:rPr>
                <w:color w:val="auto"/>
                <w:sz w:val="18"/>
                <w:szCs w:val="18"/>
                <w:highlight w:val="none"/>
                <w:u w:val="none"/>
              </w:rPr>
              <w:t>反应驰放气</w:t>
            </w:r>
          </w:p>
        </w:tc>
        <w:tc>
          <w:tcPr>
            <w:tcW w:w="320" w:type="pct"/>
            <w:vAlign w:val="center"/>
          </w:tcPr>
          <w:p w14:paraId="4ACE27CE">
            <w:pPr>
              <w:pStyle w:val="92"/>
              <w:rPr>
                <w:color w:val="auto"/>
                <w:sz w:val="18"/>
                <w:szCs w:val="18"/>
                <w:highlight w:val="none"/>
                <w:u w:val="none"/>
              </w:rPr>
            </w:pPr>
            <w:r>
              <w:rPr>
                <w:color w:val="auto"/>
                <w:sz w:val="18"/>
                <w:szCs w:val="18"/>
                <w:highlight w:val="none"/>
                <w:u w:val="none"/>
              </w:rPr>
              <w:t>1200</w:t>
            </w:r>
          </w:p>
        </w:tc>
        <w:tc>
          <w:tcPr>
            <w:tcW w:w="550" w:type="pct"/>
            <w:vAlign w:val="center"/>
          </w:tcPr>
          <w:p w14:paraId="61D9E339">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9" w:type="pct"/>
            <w:vAlign w:val="center"/>
          </w:tcPr>
          <w:p w14:paraId="7EEEF64B">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306B8D5D">
            <w:pPr>
              <w:pStyle w:val="92"/>
              <w:rPr>
                <w:color w:val="auto"/>
                <w:sz w:val="18"/>
                <w:szCs w:val="18"/>
                <w:highlight w:val="none"/>
                <w:u w:val="none"/>
              </w:rPr>
            </w:pPr>
            <w:r>
              <w:rPr>
                <w:rFonts w:eastAsia="等线"/>
                <w:color w:val="auto"/>
                <w:sz w:val="18"/>
                <w:szCs w:val="18"/>
                <w:highlight w:val="none"/>
                <w:u w:val="none"/>
              </w:rPr>
              <w:t xml:space="preserve">5167 </w:t>
            </w:r>
          </w:p>
        </w:tc>
        <w:tc>
          <w:tcPr>
            <w:tcW w:w="241" w:type="pct"/>
            <w:shd w:val="clear" w:color="auto" w:fill="auto"/>
            <w:vAlign w:val="center"/>
          </w:tcPr>
          <w:p w14:paraId="291AF4D7">
            <w:pPr>
              <w:pStyle w:val="92"/>
              <w:rPr>
                <w:color w:val="auto"/>
                <w:sz w:val="18"/>
                <w:szCs w:val="18"/>
                <w:highlight w:val="none"/>
                <w:u w:val="none"/>
              </w:rPr>
            </w:pPr>
            <w:r>
              <w:rPr>
                <w:rFonts w:eastAsia="等线"/>
                <w:color w:val="auto"/>
                <w:sz w:val="18"/>
                <w:szCs w:val="18"/>
                <w:highlight w:val="none"/>
                <w:u w:val="none"/>
              </w:rPr>
              <w:t xml:space="preserve">6.20 </w:t>
            </w:r>
          </w:p>
        </w:tc>
        <w:tc>
          <w:tcPr>
            <w:tcW w:w="301" w:type="pct"/>
            <w:shd w:val="clear" w:color="auto" w:fill="auto"/>
            <w:vAlign w:val="center"/>
          </w:tcPr>
          <w:p w14:paraId="0A2F9D99">
            <w:pPr>
              <w:pStyle w:val="92"/>
              <w:rPr>
                <w:color w:val="auto"/>
                <w:sz w:val="18"/>
                <w:szCs w:val="18"/>
                <w:highlight w:val="none"/>
                <w:u w:val="none"/>
              </w:rPr>
            </w:pPr>
            <w:r>
              <w:rPr>
                <w:rFonts w:eastAsia="等线"/>
                <w:color w:val="auto"/>
                <w:sz w:val="18"/>
                <w:szCs w:val="18"/>
                <w:highlight w:val="none"/>
                <w:u w:val="none"/>
              </w:rPr>
              <w:t>49.6</w:t>
            </w:r>
          </w:p>
        </w:tc>
        <w:tc>
          <w:tcPr>
            <w:tcW w:w="420" w:type="pct"/>
            <w:vAlign w:val="center"/>
          </w:tcPr>
          <w:p w14:paraId="5FBDA09D">
            <w:pPr>
              <w:pStyle w:val="92"/>
              <w:rPr>
                <w:color w:val="auto"/>
                <w:sz w:val="18"/>
                <w:szCs w:val="18"/>
                <w:highlight w:val="none"/>
                <w:u w:val="none"/>
              </w:rPr>
            </w:pPr>
            <w:r>
              <w:rPr>
                <w:color w:val="auto"/>
                <w:sz w:val="18"/>
                <w:szCs w:val="18"/>
                <w:highlight w:val="none"/>
                <w:u w:val="none"/>
              </w:rPr>
              <w:t>冷凝+水洗涤预处理后去焚烧</w:t>
            </w:r>
          </w:p>
        </w:tc>
        <w:tc>
          <w:tcPr>
            <w:tcW w:w="322" w:type="pct"/>
            <w:shd w:val="clear" w:color="auto" w:fill="auto"/>
            <w:vAlign w:val="center"/>
          </w:tcPr>
          <w:p w14:paraId="08C7A36B">
            <w:pPr>
              <w:pStyle w:val="92"/>
              <w:rPr>
                <w:color w:val="auto"/>
                <w:sz w:val="18"/>
                <w:szCs w:val="18"/>
                <w:highlight w:val="none"/>
                <w:u w:val="none"/>
              </w:rPr>
            </w:pPr>
            <w:r>
              <w:rPr>
                <w:rFonts w:hint="eastAsia" w:eastAsia="等线"/>
                <w:color w:val="auto"/>
                <w:sz w:val="18"/>
                <w:szCs w:val="18"/>
                <w:highlight w:val="none"/>
                <w:u w:val="none"/>
              </w:rPr>
              <w:t>1033</w:t>
            </w:r>
          </w:p>
        </w:tc>
        <w:tc>
          <w:tcPr>
            <w:tcW w:w="254" w:type="pct"/>
            <w:shd w:val="clear" w:color="auto" w:fill="auto"/>
            <w:vAlign w:val="center"/>
          </w:tcPr>
          <w:p w14:paraId="6DD5076D">
            <w:pPr>
              <w:pStyle w:val="92"/>
              <w:rPr>
                <w:color w:val="auto"/>
                <w:sz w:val="18"/>
                <w:szCs w:val="18"/>
                <w:highlight w:val="none"/>
                <w:u w:val="none"/>
              </w:rPr>
            </w:pPr>
            <w:r>
              <w:rPr>
                <w:rFonts w:eastAsia="等线"/>
                <w:color w:val="auto"/>
                <w:sz w:val="18"/>
                <w:szCs w:val="18"/>
                <w:highlight w:val="none"/>
                <w:u w:val="none"/>
              </w:rPr>
              <w:t xml:space="preserve">1.24 </w:t>
            </w:r>
          </w:p>
        </w:tc>
        <w:tc>
          <w:tcPr>
            <w:tcW w:w="264" w:type="pct"/>
            <w:shd w:val="clear" w:color="auto" w:fill="auto"/>
            <w:vAlign w:val="center"/>
          </w:tcPr>
          <w:p w14:paraId="208ACC59">
            <w:pPr>
              <w:pStyle w:val="92"/>
              <w:rPr>
                <w:color w:val="auto"/>
                <w:sz w:val="18"/>
                <w:szCs w:val="18"/>
                <w:highlight w:val="none"/>
                <w:u w:val="none"/>
              </w:rPr>
            </w:pPr>
            <w:r>
              <w:rPr>
                <w:rFonts w:eastAsia="等线"/>
                <w:color w:val="auto"/>
                <w:sz w:val="18"/>
                <w:szCs w:val="18"/>
                <w:highlight w:val="none"/>
                <w:u w:val="none"/>
              </w:rPr>
              <w:t>9.92</w:t>
            </w:r>
          </w:p>
        </w:tc>
        <w:tc>
          <w:tcPr>
            <w:tcW w:w="205" w:type="pct"/>
            <w:vMerge w:val="continue"/>
            <w:vAlign w:val="center"/>
          </w:tcPr>
          <w:p w14:paraId="07CE2D9B">
            <w:pPr>
              <w:pStyle w:val="92"/>
              <w:rPr>
                <w:color w:val="auto"/>
                <w:sz w:val="18"/>
                <w:szCs w:val="18"/>
                <w:highlight w:val="none"/>
                <w:u w:val="none"/>
              </w:rPr>
            </w:pPr>
          </w:p>
        </w:tc>
        <w:tc>
          <w:tcPr>
            <w:tcW w:w="222" w:type="pct"/>
            <w:vMerge w:val="continue"/>
            <w:vAlign w:val="center"/>
          </w:tcPr>
          <w:p w14:paraId="0BB83A6D">
            <w:pPr>
              <w:pStyle w:val="92"/>
              <w:rPr>
                <w:color w:val="auto"/>
                <w:sz w:val="18"/>
                <w:szCs w:val="18"/>
                <w:highlight w:val="none"/>
                <w:u w:val="none"/>
              </w:rPr>
            </w:pPr>
          </w:p>
        </w:tc>
        <w:tc>
          <w:tcPr>
            <w:tcW w:w="222" w:type="pct"/>
            <w:vMerge w:val="continue"/>
            <w:vAlign w:val="center"/>
          </w:tcPr>
          <w:p w14:paraId="35A61408">
            <w:pPr>
              <w:pStyle w:val="92"/>
              <w:rPr>
                <w:color w:val="auto"/>
                <w:sz w:val="18"/>
                <w:szCs w:val="18"/>
                <w:highlight w:val="none"/>
                <w:u w:val="none"/>
              </w:rPr>
            </w:pPr>
          </w:p>
        </w:tc>
        <w:tc>
          <w:tcPr>
            <w:tcW w:w="239" w:type="pct"/>
            <w:vMerge w:val="continue"/>
            <w:vAlign w:val="center"/>
          </w:tcPr>
          <w:p w14:paraId="3F5B45BB">
            <w:pPr>
              <w:pStyle w:val="92"/>
              <w:rPr>
                <w:color w:val="auto"/>
                <w:sz w:val="18"/>
                <w:szCs w:val="18"/>
                <w:highlight w:val="none"/>
                <w:u w:val="none"/>
              </w:rPr>
            </w:pPr>
          </w:p>
        </w:tc>
        <w:tc>
          <w:tcPr>
            <w:tcW w:w="359" w:type="pct"/>
            <w:vMerge w:val="continue"/>
            <w:vAlign w:val="center"/>
          </w:tcPr>
          <w:p w14:paraId="2B8EF412">
            <w:pPr>
              <w:pStyle w:val="92"/>
              <w:rPr>
                <w:color w:val="auto"/>
                <w:sz w:val="18"/>
                <w:szCs w:val="18"/>
                <w:highlight w:val="none"/>
                <w:u w:val="none"/>
              </w:rPr>
            </w:pPr>
          </w:p>
        </w:tc>
      </w:tr>
      <w:tr w14:paraId="701B31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06A5F987">
            <w:pPr>
              <w:pStyle w:val="92"/>
              <w:rPr>
                <w:color w:val="auto"/>
                <w:sz w:val="18"/>
                <w:szCs w:val="18"/>
                <w:highlight w:val="none"/>
                <w:u w:val="none"/>
              </w:rPr>
            </w:pPr>
          </w:p>
        </w:tc>
        <w:tc>
          <w:tcPr>
            <w:tcW w:w="148" w:type="pct"/>
            <w:vMerge w:val="restart"/>
            <w:vAlign w:val="center"/>
          </w:tcPr>
          <w:p w14:paraId="28626864">
            <w:pPr>
              <w:pStyle w:val="92"/>
              <w:rPr>
                <w:color w:val="auto"/>
                <w:sz w:val="18"/>
                <w:szCs w:val="18"/>
                <w:highlight w:val="none"/>
                <w:u w:val="none"/>
              </w:rPr>
            </w:pPr>
            <w:r>
              <w:rPr>
                <w:color w:val="auto"/>
                <w:sz w:val="18"/>
                <w:szCs w:val="18"/>
                <w:highlight w:val="none"/>
                <w:u w:val="none"/>
              </w:rPr>
              <w:t>G2-2</w:t>
            </w:r>
          </w:p>
        </w:tc>
        <w:tc>
          <w:tcPr>
            <w:tcW w:w="323" w:type="pct"/>
            <w:vMerge w:val="restart"/>
            <w:vAlign w:val="center"/>
          </w:tcPr>
          <w:p w14:paraId="624B8E95">
            <w:pPr>
              <w:pStyle w:val="92"/>
              <w:rPr>
                <w:color w:val="auto"/>
                <w:sz w:val="18"/>
                <w:szCs w:val="18"/>
                <w:highlight w:val="none"/>
                <w:u w:val="none"/>
              </w:rPr>
            </w:pPr>
            <w:r>
              <w:rPr>
                <w:color w:val="auto"/>
                <w:sz w:val="18"/>
                <w:szCs w:val="18"/>
                <w:highlight w:val="none"/>
                <w:u w:val="none"/>
              </w:rPr>
              <w:t>TDA精制尾气（含粗TDA中间储罐和OTDA储罐呼吸</w:t>
            </w:r>
            <w:r>
              <w:rPr>
                <w:rFonts w:hint="eastAsia"/>
                <w:color w:val="auto"/>
                <w:sz w:val="18"/>
                <w:szCs w:val="18"/>
                <w:highlight w:val="none"/>
                <w:u w:val="none"/>
              </w:rPr>
              <w:t>废</w:t>
            </w:r>
            <w:r>
              <w:rPr>
                <w:color w:val="auto"/>
                <w:sz w:val="18"/>
                <w:szCs w:val="18"/>
                <w:highlight w:val="none"/>
                <w:u w:val="none"/>
              </w:rPr>
              <w:t>气）</w:t>
            </w:r>
          </w:p>
        </w:tc>
        <w:tc>
          <w:tcPr>
            <w:tcW w:w="320" w:type="pct"/>
            <w:vMerge w:val="restart"/>
            <w:vAlign w:val="center"/>
          </w:tcPr>
          <w:p w14:paraId="07A9C432">
            <w:pPr>
              <w:pStyle w:val="92"/>
              <w:rPr>
                <w:color w:val="auto"/>
                <w:sz w:val="18"/>
                <w:szCs w:val="18"/>
                <w:highlight w:val="none"/>
                <w:u w:val="none"/>
              </w:rPr>
            </w:pPr>
            <w:r>
              <w:rPr>
                <w:rFonts w:hint="eastAsia"/>
                <w:color w:val="auto"/>
                <w:sz w:val="18"/>
                <w:szCs w:val="18"/>
                <w:highlight w:val="none"/>
                <w:u w:val="none"/>
              </w:rPr>
              <w:t>1</w:t>
            </w:r>
            <w:r>
              <w:rPr>
                <w:color w:val="auto"/>
                <w:sz w:val="18"/>
                <w:szCs w:val="18"/>
                <w:highlight w:val="none"/>
                <w:u w:val="none"/>
              </w:rPr>
              <w:t>000</w:t>
            </w:r>
          </w:p>
        </w:tc>
        <w:tc>
          <w:tcPr>
            <w:tcW w:w="550" w:type="pct"/>
            <w:shd w:val="clear" w:color="auto" w:fill="auto"/>
            <w:vAlign w:val="center"/>
          </w:tcPr>
          <w:p w14:paraId="16D87261">
            <w:pPr>
              <w:pStyle w:val="92"/>
              <w:rPr>
                <w:color w:val="auto"/>
                <w:sz w:val="18"/>
                <w:szCs w:val="18"/>
                <w:highlight w:val="none"/>
                <w:u w:val="none"/>
              </w:rPr>
            </w:pPr>
            <w:r>
              <w:rPr>
                <w:color w:val="auto"/>
                <w:sz w:val="18"/>
                <w:szCs w:val="18"/>
                <w:highlight w:val="none"/>
                <w:u w:val="none"/>
              </w:rPr>
              <w:t>TDA（苯胺类）</w:t>
            </w:r>
          </w:p>
          <w:p w14:paraId="08A8C045">
            <w:pPr>
              <w:pStyle w:val="92"/>
              <w:rPr>
                <w:color w:val="auto"/>
                <w:sz w:val="18"/>
                <w:szCs w:val="18"/>
                <w:highlight w:val="none"/>
                <w:u w:val="none"/>
              </w:rPr>
            </w:pPr>
            <w:r>
              <w:rPr>
                <w:color w:val="auto"/>
                <w:sz w:val="18"/>
                <w:szCs w:val="18"/>
                <w:highlight w:val="none"/>
                <w:u w:val="none"/>
              </w:rPr>
              <w:t>（MTDA+OTDA）</w:t>
            </w:r>
          </w:p>
        </w:tc>
        <w:tc>
          <w:tcPr>
            <w:tcW w:w="189" w:type="pct"/>
            <w:vMerge w:val="restart"/>
            <w:vAlign w:val="center"/>
          </w:tcPr>
          <w:p w14:paraId="4CE4C00D">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7EA89A45">
            <w:pPr>
              <w:pStyle w:val="92"/>
              <w:rPr>
                <w:color w:val="auto"/>
                <w:sz w:val="18"/>
                <w:szCs w:val="18"/>
                <w:highlight w:val="none"/>
                <w:u w:val="none"/>
              </w:rPr>
            </w:pPr>
            <w:r>
              <w:rPr>
                <w:rFonts w:eastAsia="等线"/>
                <w:color w:val="auto"/>
                <w:sz w:val="18"/>
                <w:szCs w:val="18"/>
                <w:highlight w:val="none"/>
                <w:u w:val="none"/>
              </w:rPr>
              <w:t xml:space="preserve">417 </w:t>
            </w:r>
          </w:p>
        </w:tc>
        <w:tc>
          <w:tcPr>
            <w:tcW w:w="241" w:type="pct"/>
            <w:shd w:val="clear" w:color="auto" w:fill="auto"/>
            <w:vAlign w:val="center"/>
          </w:tcPr>
          <w:p w14:paraId="25334A52">
            <w:pPr>
              <w:pStyle w:val="92"/>
              <w:rPr>
                <w:color w:val="auto"/>
                <w:sz w:val="18"/>
                <w:szCs w:val="18"/>
                <w:highlight w:val="none"/>
                <w:u w:val="none"/>
              </w:rPr>
            </w:pPr>
            <w:r>
              <w:rPr>
                <w:rFonts w:eastAsia="等线"/>
                <w:color w:val="auto"/>
                <w:sz w:val="18"/>
                <w:szCs w:val="18"/>
                <w:highlight w:val="none"/>
                <w:u w:val="none"/>
              </w:rPr>
              <w:t xml:space="preserve">0.42 </w:t>
            </w:r>
          </w:p>
        </w:tc>
        <w:tc>
          <w:tcPr>
            <w:tcW w:w="301" w:type="pct"/>
            <w:shd w:val="clear" w:color="auto" w:fill="auto"/>
            <w:vAlign w:val="center"/>
          </w:tcPr>
          <w:p w14:paraId="3BB6EC01">
            <w:pPr>
              <w:pStyle w:val="92"/>
              <w:rPr>
                <w:color w:val="auto"/>
                <w:sz w:val="18"/>
                <w:szCs w:val="18"/>
                <w:highlight w:val="none"/>
                <w:u w:val="none"/>
              </w:rPr>
            </w:pPr>
            <w:r>
              <w:rPr>
                <w:rFonts w:eastAsia="等线"/>
                <w:color w:val="auto"/>
                <w:sz w:val="18"/>
                <w:szCs w:val="18"/>
                <w:highlight w:val="none"/>
                <w:u w:val="none"/>
              </w:rPr>
              <w:t xml:space="preserve">3.33 </w:t>
            </w:r>
          </w:p>
        </w:tc>
        <w:tc>
          <w:tcPr>
            <w:tcW w:w="420" w:type="pct"/>
            <w:vMerge w:val="restart"/>
            <w:vAlign w:val="center"/>
          </w:tcPr>
          <w:p w14:paraId="7388AF63">
            <w:pPr>
              <w:pStyle w:val="92"/>
              <w:rPr>
                <w:color w:val="auto"/>
                <w:sz w:val="18"/>
                <w:szCs w:val="18"/>
                <w:highlight w:val="none"/>
                <w:u w:val="none"/>
              </w:rPr>
            </w:pPr>
            <w:r>
              <w:rPr>
                <w:color w:val="auto"/>
                <w:sz w:val="18"/>
                <w:szCs w:val="18"/>
                <w:highlight w:val="none"/>
                <w:u w:val="none"/>
              </w:rPr>
              <w:t>冷凝+水洗涤+活性炭吸附</w:t>
            </w:r>
          </w:p>
        </w:tc>
        <w:tc>
          <w:tcPr>
            <w:tcW w:w="322" w:type="pct"/>
            <w:shd w:val="clear" w:color="auto" w:fill="auto"/>
            <w:vAlign w:val="center"/>
          </w:tcPr>
          <w:p w14:paraId="5DBD5EAD">
            <w:pPr>
              <w:pStyle w:val="92"/>
              <w:rPr>
                <w:color w:val="auto"/>
                <w:sz w:val="18"/>
                <w:szCs w:val="18"/>
                <w:highlight w:val="none"/>
                <w:u w:val="none"/>
              </w:rPr>
            </w:pPr>
            <w:r>
              <w:rPr>
                <w:rFonts w:eastAsia="等线"/>
                <w:color w:val="auto"/>
                <w:sz w:val="18"/>
                <w:szCs w:val="18"/>
                <w:highlight w:val="none"/>
                <w:u w:val="none"/>
              </w:rPr>
              <w:t xml:space="preserve">13 </w:t>
            </w:r>
          </w:p>
        </w:tc>
        <w:tc>
          <w:tcPr>
            <w:tcW w:w="254" w:type="pct"/>
            <w:shd w:val="clear" w:color="auto" w:fill="auto"/>
            <w:vAlign w:val="center"/>
          </w:tcPr>
          <w:p w14:paraId="44E5FA79">
            <w:pPr>
              <w:pStyle w:val="92"/>
              <w:rPr>
                <w:color w:val="auto"/>
                <w:sz w:val="18"/>
                <w:szCs w:val="18"/>
                <w:highlight w:val="none"/>
                <w:u w:val="none"/>
              </w:rPr>
            </w:pPr>
            <w:r>
              <w:rPr>
                <w:rFonts w:eastAsia="等线"/>
                <w:color w:val="auto"/>
                <w:sz w:val="18"/>
                <w:szCs w:val="18"/>
                <w:highlight w:val="none"/>
                <w:u w:val="none"/>
              </w:rPr>
              <w:t xml:space="preserve">0.01 </w:t>
            </w:r>
          </w:p>
        </w:tc>
        <w:tc>
          <w:tcPr>
            <w:tcW w:w="264" w:type="pct"/>
            <w:shd w:val="clear" w:color="auto" w:fill="auto"/>
            <w:vAlign w:val="center"/>
          </w:tcPr>
          <w:p w14:paraId="45C6D5D0">
            <w:pPr>
              <w:pStyle w:val="92"/>
              <w:rPr>
                <w:color w:val="auto"/>
                <w:sz w:val="18"/>
                <w:szCs w:val="18"/>
                <w:highlight w:val="none"/>
                <w:u w:val="none"/>
              </w:rPr>
            </w:pPr>
            <w:r>
              <w:rPr>
                <w:rFonts w:eastAsia="等线"/>
                <w:color w:val="auto"/>
                <w:sz w:val="18"/>
                <w:szCs w:val="18"/>
                <w:highlight w:val="none"/>
                <w:u w:val="none"/>
              </w:rPr>
              <w:t xml:space="preserve">0.10 </w:t>
            </w:r>
          </w:p>
        </w:tc>
        <w:tc>
          <w:tcPr>
            <w:tcW w:w="205" w:type="pct"/>
            <w:vMerge w:val="restart"/>
            <w:vAlign w:val="center"/>
          </w:tcPr>
          <w:p w14:paraId="78056EF1">
            <w:pPr>
              <w:pStyle w:val="92"/>
              <w:rPr>
                <w:color w:val="auto"/>
                <w:sz w:val="18"/>
                <w:szCs w:val="18"/>
                <w:highlight w:val="none"/>
                <w:u w:val="none"/>
              </w:rPr>
            </w:pPr>
            <w:r>
              <w:rPr>
                <w:rFonts w:hint="eastAsia"/>
                <w:color w:val="auto"/>
                <w:sz w:val="18"/>
                <w:szCs w:val="18"/>
                <w:highlight w:val="none"/>
                <w:u w:val="none"/>
              </w:rPr>
              <w:t>DA010</w:t>
            </w:r>
          </w:p>
        </w:tc>
        <w:tc>
          <w:tcPr>
            <w:tcW w:w="222" w:type="pct"/>
            <w:vMerge w:val="restart"/>
            <w:vAlign w:val="center"/>
          </w:tcPr>
          <w:p w14:paraId="037E005A">
            <w:pPr>
              <w:pStyle w:val="92"/>
              <w:rPr>
                <w:color w:val="auto"/>
                <w:sz w:val="18"/>
                <w:szCs w:val="18"/>
                <w:highlight w:val="none"/>
                <w:u w:val="none"/>
              </w:rPr>
            </w:pPr>
            <w:r>
              <w:rPr>
                <w:rFonts w:hint="eastAsia"/>
                <w:color w:val="auto"/>
                <w:sz w:val="18"/>
                <w:szCs w:val="18"/>
                <w:highlight w:val="none"/>
                <w:u w:val="none"/>
              </w:rPr>
              <w:t>34</w:t>
            </w:r>
          </w:p>
        </w:tc>
        <w:tc>
          <w:tcPr>
            <w:tcW w:w="222" w:type="pct"/>
            <w:vMerge w:val="restart"/>
            <w:vAlign w:val="center"/>
          </w:tcPr>
          <w:p w14:paraId="13E02649">
            <w:pPr>
              <w:pStyle w:val="92"/>
              <w:rPr>
                <w:color w:val="auto"/>
                <w:sz w:val="18"/>
                <w:szCs w:val="18"/>
                <w:highlight w:val="none"/>
                <w:u w:val="none"/>
              </w:rPr>
            </w:pPr>
            <w:r>
              <w:rPr>
                <w:color w:val="auto"/>
                <w:sz w:val="18"/>
                <w:szCs w:val="18"/>
                <w:highlight w:val="none"/>
                <w:u w:val="none"/>
              </w:rPr>
              <w:t>0.35</w:t>
            </w:r>
          </w:p>
        </w:tc>
        <w:tc>
          <w:tcPr>
            <w:tcW w:w="239" w:type="pct"/>
            <w:vMerge w:val="restart"/>
            <w:vAlign w:val="center"/>
          </w:tcPr>
          <w:p w14:paraId="19296ABB">
            <w:pPr>
              <w:pStyle w:val="92"/>
              <w:rPr>
                <w:color w:val="auto"/>
                <w:sz w:val="18"/>
                <w:szCs w:val="18"/>
                <w:highlight w:val="none"/>
                <w:u w:val="none"/>
              </w:rPr>
            </w:pPr>
            <w:r>
              <w:rPr>
                <w:color w:val="auto"/>
                <w:sz w:val="18"/>
                <w:szCs w:val="18"/>
                <w:highlight w:val="none"/>
                <w:u w:val="none"/>
              </w:rPr>
              <w:t>25</w:t>
            </w:r>
          </w:p>
        </w:tc>
        <w:tc>
          <w:tcPr>
            <w:tcW w:w="359" w:type="pct"/>
            <w:vMerge w:val="restart"/>
            <w:vAlign w:val="center"/>
          </w:tcPr>
          <w:p w14:paraId="64F041DA">
            <w:pPr>
              <w:pStyle w:val="92"/>
              <w:rPr>
                <w:color w:val="auto"/>
                <w:sz w:val="18"/>
                <w:szCs w:val="18"/>
                <w:highlight w:val="none"/>
                <w:u w:val="none"/>
              </w:rPr>
            </w:pPr>
            <w:r>
              <w:rPr>
                <w:color w:val="auto"/>
                <w:sz w:val="18"/>
                <w:szCs w:val="18"/>
                <w:highlight w:val="none"/>
                <w:u w:val="none"/>
              </w:rPr>
              <w:t>大气</w:t>
            </w:r>
          </w:p>
        </w:tc>
      </w:tr>
      <w:tr w14:paraId="4B8320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5E4E49E9">
            <w:pPr>
              <w:pStyle w:val="92"/>
              <w:rPr>
                <w:color w:val="auto"/>
                <w:sz w:val="18"/>
                <w:szCs w:val="18"/>
                <w:highlight w:val="none"/>
                <w:u w:val="none"/>
              </w:rPr>
            </w:pPr>
          </w:p>
        </w:tc>
        <w:tc>
          <w:tcPr>
            <w:tcW w:w="148" w:type="pct"/>
            <w:vMerge w:val="continue"/>
            <w:vAlign w:val="center"/>
          </w:tcPr>
          <w:p w14:paraId="7C765E29">
            <w:pPr>
              <w:pStyle w:val="92"/>
              <w:rPr>
                <w:color w:val="auto"/>
                <w:sz w:val="18"/>
                <w:szCs w:val="18"/>
                <w:highlight w:val="none"/>
                <w:u w:val="none"/>
              </w:rPr>
            </w:pPr>
          </w:p>
        </w:tc>
        <w:tc>
          <w:tcPr>
            <w:tcW w:w="323" w:type="pct"/>
            <w:vMerge w:val="continue"/>
            <w:vAlign w:val="center"/>
          </w:tcPr>
          <w:p w14:paraId="64074806">
            <w:pPr>
              <w:pStyle w:val="92"/>
              <w:rPr>
                <w:color w:val="auto"/>
                <w:sz w:val="18"/>
                <w:szCs w:val="18"/>
                <w:highlight w:val="none"/>
                <w:u w:val="none"/>
              </w:rPr>
            </w:pPr>
          </w:p>
        </w:tc>
        <w:tc>
          <w:tcPr>
            <w:tcW w:w="320" w:type="pct"/>
            <w:vMerge w:val="continue"/>
            <w:vAlign w:val="center"/>
          </w:tcPr>
          <w:p w14:paraId="0662F536">
            <w:pPr>
              <w:pStyle w:val="92"/>
              <w:rPr>
                <w:color w:val="auto"/>
                <w:sz w:val="18"/>
                <w:szCs w:val="18"/>
                <w:highlight w:val="none"/>
                <w:u w:val="none"/>
              </w:rPr>
            </w:pPr>
          </w:p>
        </w:tc>
        <w:tc>
          <w:tcPr>
            <w:tcW w:w="550" w:type="pct"/>
            <w:shd w:val="clear" w:color="auto" w:fill="auto"/>
            <w:vAlign w:val="center"/>
          </w:tcPr>
          <w:p w14:paraId="1D65C2BB">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9" w:type="pct"/>
            <w:vMerge w:val="continue"/>
            <w:vAlign w:val="center"/>
          </w:tcPr>
          <w:p w14:paraId="63EC368E">
            <w:pPr>
              <w:pStyle w:val="92"/>
              <w:rPr>
                <w:color w:val="auto"/>
                <w:sz w:val="18"/>
                <w:szCs w:val="18"/>
                <w:highlight w:val="none"/>
                <w:u w:val="none"/>
              </w:rPr>
            </w:pPr>
          </w:p>
        </w:tc>
        <w:tc>
          <w:tcPr>
            <w:tcW w:w="284" w:type="pct"/>
            <w:shd w:val="clear" w:color="auto" w:fill="auto"/>
            <w:vAlign w:val="center"/>
          </w:tcPr>
          <w:p w14:paraId="77F5CF62">
            <w:pPr>
              <w:pStyle w:val="92"/>
              <w:rPr>
                <w:color w:val="auto"/>
                <w:sz w:val="18"/>
                <w:szCs w:val="18"/>
                <w:highlight w:val="none"/>
                <w:u w:val="none"/>
              </w:rPr>
            </w:pPr>
            <w:r>
              <w:rPr>
                <w:rFonts w:eastAsia="等线"/>
                <w:color w:val="auto"/>
                <w:sz w:val="18"/>
                <w:szCs w:val="18"/>
                <w:highlight w:val="none"/>
                <w:u w:val="none"/>
              </w:rPr>
              <w:t xml:space="preserve">833 </w:t>
            </w:r>
          </w:p>
        </w:tc>
        <w:tc>
          <w:tcPr>
            <w:tcW w:w="241" w:type="pct"/>
            <w:shd w:val="clear" w:color="auto" w:fill="auto"/>
            <w:vAlign w:val="center"/>
          </w:tcPr>
          <w:p w14:paraId="2C21CEBA">
            <w:pPr>
              <w:pStyle w:val="92"/>
              <w:rPr>
                <w:color w:val="auto"/>
                <w:sz w:val="18"/>
                <w:szCs w:val="18"/>
                <w:highlight w:val="none"/>
                <w:u w:val="none"/>
              </w:rPr>
            </w:pPr>
            <w:r>
              <w:rPr>
                <w:rFonts w:eastAsia="等线"/>
                <w:color w:val="auto"/>
                <w:sz w:val="18"/>
                <w:szCs w:val="18"/>
                <w:highlight w:val="none"/>
                <w:u w:val="none"/>
              </w:rPr>
              <w:t xml:space="preserve">0.83 </w:t>
            </w:r>
          </w:p>
        </w:tc>
        <w:tc>
          <w:tcPr>
            <w:tcW w:w="301" w:type="pct"/>
            <w:shd w:val="clear" w:color="auto" w:fill="auto"/>
            <w:vAlign w:val="center"/>
          </w:tcPr>
          <w:p w14:paraId="28046D3E">
            <w:pPr>
              <w:pStyle w:val="92"/>
              <w:rPr>
                <w:color w:val="auto"/>
                <w:sz w:val="18"/>
                <w:szCs w:val="18"/>
                <w:highlight w:val="none"/>
                <w:u w:val="none"/>
              </w:rPr>
            </w:pPr>
            <w:r>
              <w:rPr>
                <w:rFonts w:eastAsia="等线"/>
                <w:color w:val="auto"/>
                <w:sz w:val="18"/>
                <w:szCs w:val="18"/>
                <w:highlight w:val="none"/>
                <w:u w:val="none"/>
              </w:rPr>
              <w:t xml:space="preserve">6.67 </w:t>
            </w:r>
          </w:p>
        </w:tc>
        <w:tc>
          <w:tcPr>
            <w:tcW w:w="420" w:type="pct"/>
            <w:vMerge w:val="continue"/>
            <w:vAlign w:val="center"/>
          </w:tcPr>
          <w:p w14:paraId="4CDFBBCA">
            <w:pPr>
              <w:pStyle w:val="92"/>
              <w:rPr>
                <w:color w:val="auto"/>
                <w:sz w:val="18"/>
                <w:szCs w:val="18"/>
                <w:highlight w:val="none"/>
                <w:u w:val="none"/>
              </w:rPr>
            </w:pPr>
          </w:p>
        </w:tc>
        <w:tc>
          <w:tcPr>
            <w:tcW w:w="322" w:type="pct"/>
            <w:shd w:val="clear" w:color="auto" w:fill="auto"/>
            <w:vAlign w:val="center"/>
          </w:tcPr>
          <w:p w14:paraId="3E340D2C">
            <w:pPr>
              <w:pStyle w:val="92"/>
              <w:rPr>
                <w:color w:val="auto"/>
                <w:sz w:val="18"/>
                <w:szCs w:val="18"/>
                <w:highlight w:val="none"/>
                <w:u w:val="none"/>
              </w:rPr>
            </w:pPr>
            <w:r>
              <w:rPr>
                <w:rFonts w:eastAsia="等线"/>
                <w:color w:val="auto"/>
                <w:sz w:val="18"/>
                <w:szCs w:val="18"/>
                <w:highlight w:val="none"/>
                <w:u w:val="none"/>
              </w:rPr>
              <w:t xml:space="preserve">17 </w:t>
            </w:r>
          </w:p>
        </w:tc>
        <w:tc>
          <w:tcPr>
            <w:tcW w:w="254" w:type="pct"/>
            <w:shd w:val="clear" w:color="auto" w:fill="auto"/>
            <w:vAlign w:val="center"/>
          </w:tcPr>
          <w:p w14:paraId="6DEA3430">
            <w:pPr>
              <w:pStyle w:val="92"/>
              <w:rPr>
                <w:color w:val="auto"/>
                <w:sz w:val="18"/>
                <w:szCs w:val="18"/>
                <w:highlight w:val="none"/>
                <w:u w:val="none"/>
              </w:rPr>
            </w:pPr>
            <w:r>
              <w:rPr>
                <w:rFonts w:eastAsia="等线"/>
                <w:color w:val="auto"/>
                <w:sz w:val="18"/>
                <w:szCs w:val="18"/>
                <w:highlight w:val="none"/>
                <w:u w:val="none"/>
              </w:rPr>
              <w:t xml:space="preserve">0.03 </w:t>
            </w:r>
          </w:p>
        </w:tc>
        <w:tc>
          <w:tcPr>
            <w:tcW w:w="264" w:type="pct"/>
            <w:shd w:val="clear" w:color="auto" w:fill="auto"/>
            <w:vAlign w:val="center"/>
          </w:tcPr>
          <w:p w14:paraId="4CE10228">
            <w:pPr>
              <w:pStyle w:val="92"/>
              <w:rPr>
                <w:color w:val="auto"/>
                <w:sz w:val="18"/>
                <w:szCs w:val="18"/>
                <w:highlight w:val="none"/>
                <w:u w:val="none"/>
              </w:rPr>
            </w:pPr>
            <w:r>
              <w:rPr>
                <w:rFonts w:eastAsia="等线"/>
                <w:color w:val="auto"/>
                <w:sz w:val="18"/>
                <w:szCs w:val="18"/>
                <w:highlight w:val="none"/>
                <w:u w:val="none"/>
              </w:rPr>
              <w:t xml:space="preserve">0.20 </w:t>
            </w:r>
          </w:p>
        </w:tc>
        <w:tc>
          <w:tcPr>
            <w:tcW w:w="205" w:type="pct"/>
            <w:vMerge w:val="continue"/>
            <w:vAlign w:val="center"/>
          </w:tcPr>
          <w:p w14:paraId="6F1CA7F2">
            <w:pPr>
              <w:pStyle w:val="92"/>
              <w:rPr>
                <w:color w:val="auto"/>
                <w:sz w:val="18"/>
                <w:szCs w:val="18"/>
                <w:highlight w:val="none"/>
                <w:u w:val="none"/>
              </w:rPr>
            </w:pPr>
          </w:p>
        </w:tc>
        <w:tc>
          <w:tcPr>
            <w:tcW w:w="222" w:type="pct"/>
            <w:vMerge w:val="continue"/>
            <w:vAlign w:val="center"/>
          </w:tcPr>
          <w:p w14:paraId="3963F2F0">
            <w:pPr>
              <w:pStyle w:val="92"/>
              <w:rPr>
                <w:color w:val="auto"/>
                <w:sz w:val="18"/>
                <w:szCs w:val="18"/>
                <w:highlight w:val="none"/>
                <w:u w:val="none"/>
              </w:rPr>
            </w:pPr>
          </w:p>
        </w:tc>
        <w:tc>
          <w:tcPr>
            <w:tcW w:w="222" w:type="pct"/>
            <w:vMerge w:val="continue"/>
            <w:vAlign w:val="center"/>
          </w:tcPr>
          <w:p w14:paraId="4A6BBD20">
            <w:pPr>
              <w:pStyle w:val="92"/>
              <w:rPr>
                <w:color w:val="auto"/>
                <w:sz w:val="18"/>
                <w:szCs w:val="18"/>
                <w:highlight w:val="none"/>
                <w:u w:val="none"/>
              </w:rPr>
            </w:pPr>
          </w:p>
        </w:tc>
        <w:tc>
          <w:tcPr>
            <w:tcW w:w="239" w:type="pct"/>
            <w:vMerge w:val="continue"/>
            <w:vAlign w:val="center"/>
          </w:tcPr>
          <w:p w14:paraId="22434999">
            <w:pPr>
              <w:pStyle w:val="92"/>
              <w:rPr>
                <w:color w:val="auto"/>
                <w:sz w:val="18"/>
                <w:szCs w:val="18"/>
                <w:highlight w:val="none"/>
                <w:u w:val="none"/>
              </w:rPr>
            </w:pPr>
          </w:p>
        </w:tc>
        <w:tc>
          <w:tcPr>
            <w:tcW w:w="359" w:type="pct"/>
            <w:vMerge w:val="continue"/>
            <w:vAlign w:val="center"/>
          </w:tcPr>
          <w:p w14:paraId="0A6B2550">
            <w:pPr>
              <w:pStyle w:val="92"/>
              <w:rPr>
                <w:color w:val="auto"/>
                <w:sz w:val="18"/>
                <w:szCs w:val="18"/>
                <w:highlight w:val="none"/>
                <w:u w:val="none"/>
              </w:rPr>
            </w:pPr>
          </w:p>
        </w:tc>
      </w:tr>
      <w:tr w14:paraId="0CA114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restart"/>
            <w:vAlign w:val="center"/>
          </w:tcPr>
          <w:p w14:paraId="007F5EC0">
            <w:pPr>
              <w:pStyle w:val="92"/>
              <w:rPr>
                <w:color w:val="auto"/>
                <w:sz w:val="18"/>
                <w:szCs w:val="18"/>
                <w:highlight w:val="none"/>
                <w:u w:val="none"/>
              </w:rPr>
            </w:pPr>
            <w:r>
              <w:rPr>
                <w:color w:val="auto"/>
                <w:sz w:val="18"/>
                <w:szCs w:val="18"/>
                <w:highlight w:val="none"/>
                <w:u w:val="none"/>
              </w:rPr>
              <w:t>光化单元</w:t>
            </w:r>
          </w:p>
        </w:tc>
        <w:tc>
          <w:tcPr>
            <w:tcW w:w="148" w:type="pct"/>
            <w:vMerge w:val="restart"/>
            <w:vAlign w:val="center"/>
          </w:tcPr>
          <w:p w14:paraId="31628FDE">
            <w:pPr>
              <w:pStyle w:val="92"/>
              <w:rPr>
                <w:color w:val="auto"/>
                <w:sz w:val="18"/>
                <w:szCs w:val="18"/>
                <w:highlight w:val="none"/>
                <w:u w:val="none"/>
              </w:rPr>
            </w:pPr>
            <w:r>
              <w:rPr>
                <w:color w:val="auto"/>
                <w:sz w:val="18"/>
                <w:szCs w:val="18"/>
                <w:highlight w:val="none"/>
                <w:u w:val="none"/>
              </w:rPr>
              <w:t>G3-1</w:t>
            </w:r>
          </w:p>
        </w:tc>
        <w:tc>
          <w:tcPr>
            <w:tcW w:w="323" w:type="pct"/>
            <w:vMerge w:val="restart"/>
            <w:vAlign w:val="center"/>
          </w:tcPr>
          <w:p w14:paraId="2D360042">
            <w:pPr>
              <w:pStyle w:val="92"/>
              <w:rPr>
                <w:color w:val="auto"/>
                <w:sz w:val="18"/>
                <w:szCs w:val="18"/>
                <w:highlight w:val="none"/>
                <w:u w:val="none"/>
              </w:rPr>
            </w:pPr>
            <w:r>
              <w:rPr>
                <w:color w:val="auto"/>
                <w:sz w:val="18"/>
                <w:szCs w:val="18"/>
                <w:highlight w:val="none"/>
                <w:u w:val="none"/>
              </w:rPr>
              <w:t>光化尾气（含TDI不合格储罐呼吸</w:t>
            </w:r>
            <w:r>
              <w:rPr>
                <w:rFonts w:hint="eastAsia"/>
                <w:color w:val="auto"/>
                <w:sz w:val="18"/>
                <w:szCs w:val="18"/>
                <w:highlight w:val="none"/>
                <w:u w:val="none"/>
              </w:rPr>
              <w:t>废气</w:t>
            </w:r>
            <w:r>
              <w:rPr>
                <w:color w:val="auto"/>
                <w:sz w:val="18"/>
                <w:szCs w:val="18"/>
                <w:highlight w:val="none"/>
                <w:u w:val="none"/>
              </w:rPr>
              <w:t>）</w:t>
            </w:r>
          </w:p>
        </w:tc>
        <w:tc>
          <w:tcPr>
            <w:tcW w:w="320" w:type="pct"/>
            <w:vMerge w:val="restart"/>
            <w:vAlign w:val="center"/>
          </w:tcPr>
          <w:p w14:paraId="0BB4A355">
            <w:pPr>
              <w:pStyle w:val="92"/>
              <w:rPr>
                <w:color w:val="auto"/>
                <w:sz w:val="18"/>
                <w:szCs w:val="18"/>
                <w:highlight w:val="none"/>
                <w:u w:val="none"/>
              </w:rPr>
            </w:pPr>
            <w:r>
              <w:rPr>
                <w:color w:val="auto"/>
                <w:sz w:val="18"/>
                <w:szCs w:val="18"/>
                <w:highlight w:val="none"/>
                <w:u w:val="none"/>
              </w:rPr>
              <w:t>1200</w:t>
            </w:r>
          </w:p>
        </w:tc>
        <w:tc>
          <w:tcPr>
            <w:tcW w:w="550" w:type="pct"/>
            <w:shd w:val="clear" w:color="auto" w:fill="auto"/>
            <w:vAlign w:val="center"/>
          </w:tcPr>
          <w:p w14:paraId="2BEAAA51">
            <w:pPr>
              <w:pStyle w:val="92"/>
              <w:rPr>
                <w:color w:val="auto"/>
                <w:sz w:val="18"/>
                <w:szCs w:val="18"/>
                <w:highlight w:val="none"/>
                <w:u w:val="none"/>
              </w:rPr>
            </w:pPr>
            <w:r>
              <w:rPr>
                <w:color w:val="auto"/>
                <w:sz w:val="18"/>
                <w:szCs w:val="18"/>
                <w:highlight w:val="none"/>
                <w:u w:val="none"/>
              </w:rPr>
              <w:t>Cl</w:t>
            </w:r>
            <w:r>
              <w:rPr>
                <w:color w:val="auto"/>
                <w:sz w:val="18"/>
                <w:szCs w:val="18"/>
                <w:highlight w:val="none"/>
                <w:u w:val="none"/>
                <w:vertAlign w:val="subscript"/>
              </w:rPr>
              <w:t>2</w:t>
            </w:r>
          </w:p>
        </w:tc>
        <w:tc>
          <w:tcPr>
            <w:tcW w:w="189" w:type="pct"/>
            <w:vMerge w:val="restart"/>
            <w:vAlign w:val="center"/>
          </w:tcPr>
          <w:p w14:paraId="6494AA9F">
            <w:pPr>
              <w:pStyle w:val="92"/>
              <w:rPr>
                <w:color w:val="auto"/>
                <w:sz w:val="18"/>
                <w:szCs w:val="18"/>
                <w:highlight w:val="none"/>
                <w:u w:val="none"/>
              </w:rPr>
            </w:pPr>
            <w:r>
              <w:rPr>
                <w:color w:val="auto"/>
                <w:sz w:val="18"/>
                <w:szCs w:val="18"/>
                <w:highlight w:val="none"/>
                <w:u w:val="none"/>
              </w:rPr>
              <w:t>物料衡算法</w:t>
            </w:r>
          </w:p>
        </w:tc>
        <w:tc>
          <w:tcPr>
            <w:tcW w:w="284" w:type="pct"/>
            <w:shd w:val="clear" w:color="auto" w:fill="auto"/>
            <w:vAlign w:val="center"/>
          </w:tcPr>
          <w:p w14:paraId="36627901">
            <w:pPr>
              <w:pStyle w:val="92"/>
              <w:rPr>
                <w:color w:val="auto"/>
                <w:sz w:val="18"/>
                <w:szCs w:val="18"/>
                <w:highlight w:val="none"/>
                <w:u w:val="none"/>
              </w:rPr>
            </w:pPr>
            <w:r>
              <w:rPr>
                <w:rFonts w:eastAsia="等线"/>
                <w:color w:val="auto"/>
                <w:sz w:val="18"/>
                <w:szCs w:val="18"/>
                <w:highlight w:val="none"/>
                <w:u w:val="none"/>
              </w:rPr>
              <w:t xml:space="preserve">1167 </w:t>
            </w:r>
          </w:p>
        </w:tc>
        <w:tc>
          <w:tcPr>
            <w:tcW w:w="241" w:type="pct"/>
            <w:shd w:val="clear" w:color="auto" w:fill="auto"/>
            <w:vAlign w:val="center"/>
          </w:tcPr>
          <w:p w14:paraId="7AC8F86C">
            <w:pPr>
              <w:pStyle w:val="92"/>
              <w:rPr>
                <w:color w:val="auto"/>
                <w:sz w:val="18"/>
                <w:szCs w:val="18"/>
                <w:highlight w:val="none"/>
                <w:u w:val="none"/>
              </w:rPr>
            </w:pPr>
            <w:r>
              <w:rPr>
                <w:rFonts w:eastAsia="等线"/>
                <w:color w:val="auto"/>
                <w:sz w:val="18"/>
                <w:szCs w:val="18"/>
                <w:highlight w:val="none"/>
                <w:u w:val="none"/>
              </w:rPr>
              <w:t xml:space="preserve">1.40 </w:t>
            </w:r>
          </w:p>
        </w:tc>
        <w:tc>
          <w:tcPr>
            <w:tcW w:w="301" w:type="pct"/>
            <w:shd w:val="clear" w:color="auto" w:fill="auto"/>
            <w:vAlign w:val="center"/>
          </w:tcPr>
          <w:p w14:paraId="0AEF3801">
            <w:pPr>
              <w:pStyle w:val="92"/>
              <w:rPr>
                <w:color w:val="auto"/>
                <w:sz w:val="18"/>
                <w:szCs w:val="18"/>
                <w:highlight w:val="none"/>
                <w:u w:val="none"/>
              </w:rPr>
            </w:pPr>
            <w:r>
              <w:rPr>
                <w:rFonts w:eastAsia="等线"/>
                <w:color w:val="auto"/>
                <w:sz w:val="18"/>
                <w:szCs w:val="18"/>
                <w:highlight w:val="none"/>
                <w:u w:val="none"/>
              </w:rPr>
              <w:t>11.2</w:t>
            </w:r>
          </w:p>
        </w:tc>
        <w:tc>
          <w:tcPr>
            <w:tcW w:w="420" w:type="pct"/>
            <w:vMerge w:val="restart"/>
            <w:vAlign w:val="center"/>
          </w:tcPr>
          <w:p w14:paraId="16444014">
            <w:pPr>
              <w:pStyle w:val="92"/>
              <w:rPr>
                <w:color w:val="auto"/>
                <w:sz w:val="18"/>
                <w:szCs w:val="18"/>
                <w:highlight w:val="none"/>
                <w:u w:val="none"/>
              </w:rPr>
            </w:pPr>
            <w:r>
              <w:rPr>
                <w:color w:val="auto"/>
                <w:sz w:val="18"/>
                <w:szCs w:val="18"/>
                <w:highlight w:val="none"/>
                <w:u w:val="none"/>
              </w:rPr>
              <w:t>经</w:t>
            </w:r>
            <w:r>
              <w:rPr>
                <w:rFonts w:hint="eastAsia"/>
                <w:color w:val="auto"/>
                <w:sz w:val="18"/>
                <w:szCs w:val="18"/>
                <w:highlight w:val="none"/>
                <w:u w:val="none"/>
              </w:rPr>
              <w:t>酸分解+碱分解</w:t>
            </w:r>
            <w:r>
              <w:rPr>
                <w:color w:val="auto"/>
                <w:sz w:val="18"/>
                <w:szCs w:val="18"/>
                <w:highlight w:val="none"/>
                <w:u w:val="none"/>
              </w:rPr>
              <w:t>预处理后去焚烧</w:t>
            </w:r>
          </w:p>
        </w:tc>
        <w:tc>
          <w:tcPr>
            <w:tcW w:w="322" w:type="pct"/>
            <w:shd w:val="clear" w:color="auto" w:fill="auto"/>
            <w:vAlign w:val="center"/>
          </w:tcPr>
          <w:p w14:paraId="535AFE34">
            <w:pPr>
              <w:pStyle w:val="92"/>
              <w:rPr>
                <w:color w:val="auto"/>
                <w:sz w:val="18"/>
                <w:szCs w:val="18"/>
                <w:highlight w:val="none"/>
                <w:u w:val="none"/>
              </w:rPr>
            </w:pPr>
            <w:r>
              <w:rPr>
                <w:rFonts w:eastAsia="等线"/>
                <w:color w:val="auto"/>
                <w:sz w:val="18"/>
                <w:szCs w:val="18"/>
                <w:highlight w:val="none"/>
                <w:u w:val="none"/>
              </w:rPr>
              <w:t xml:space="preserve">58 </w:t>
            </w:r>
          </w:p>
        </w:tc>
        <w:tc>
          <w:tcPr>
            <w:tcW w:w="254" w:type="pct"/>
            <w:shd w:val="clear" w:color="auto" w:fill="auto"/>
            <w:vAlign w:val="center"/>
          </w:tcPr>
          <w:p w14:paraId="64D700E8">
            <w:pPr>
              <w:pStyle w:val="92"/>
              <w:rPr>
                <w:color w:val="auto"/>
                <w:sz w:val="18"/>
                <w:szCs w:val="18"/>
                <w:highlight w:val="none"/>
                <w:u w:val="none"/>
              </w:rPr>
            </w:pPr>
            <w:r>
              <w:rPr>
                <w:rFonts w:eastAsia="等线"/>
                <w:color w:val="auto"/>
                <w:sz w:val="18"/>
                <w:szCs w:val="18"/>
                <w:highlight w:val="none"/>
                <w:u w:val="none"/>
              </w:rPr>
              <w:t xml:space="preserve">0.07 </w:t>
            </w:r>
          </w:p>
        </w:tc>
        <w:tc>
          <w:tcPr>
            <w:tcW w:w="264" w:type="pct"/>
            <w:shd w:val="clear" w:color="auto" w:fill="auto"/>
            <w:vAlign w:val="center"/>
          </w:tcPr>
          <w:p w14:paraId="274AB354">
            <w:pPr>
              <w:pStyle w:val="92"/>
              <w:rPr>
                <w:color w:val="auto"/>
                <w:sz w:val="18"/>
                <w:szCs w:val="18"/>
                <w:highlight w:val="none"/>
                <w:u w:val="none"/>
              </w:rPr>
            </w:pPr>
            <w:r>
              <w:rPr>
                <w:rFonts w:eastAsia="等线"/>
                <w:color w:val="auto"/>
                <w:sz w:val="18"/>
                <w:szCs w:val="18"/>
                <w:highlight w:val="none"/>
                <w:u w:val="none"/>
              </w:rPr>
              <w:t>0.56</w:t>
            </w:r>
          </w:p>
        </w:tc>
        <w:tc>
          <w:tcPr>
            <w:tcW w:w="205" w:type="pct"/>
            <w:vMerge w:val="restart"/>
            <w:vAlign w:val="center"/>
          </w:tcPr>
          <w:p w14:paraId="77CE5855">
            <w:pPr>
              <w:pStyle w:val="92"/>
              <w:rPr>
                <w:color w:val="auto"/>
                <w:sz w:val="18"/>
                <w:szCs w:val="18"/>
                <w:highlight w:val="none"/>
                <w:u w:val="none"/>
              </w:rPr>
            </w:pPr>
            <w:r>
              <w:rPr>
                <w:color w:val="auto"/>
                <w:sz w:val="18"/>
                <w:szCs w:val="18"/>
                <w:highlight w:val="none"/>
                <w:u w:val="none"/>
              </w:rPr>
              <w:t>/</w:t>
            </w:r>
          </w:p>
        </w:tc>
        <w:tc>
          <w:tcPr>
            <w:tcW w:w="222" w:type="pct"/>
            <w:vMerge w:val="restart"/>
            <w:vAlign w:val="center"/>
          </w:tcPr>
          <w:p w14:paraId="421FA546">
            <w:pPr>
              <w:pStyle w:val="92"/>
              <w:rPr>
                <w:color w:val="auto"/>
                <w:sz w:val="18"/>
                <w:szCs w:val="18"/>
                <w:highlight w:val="none"/>
                <w:u w:val="none"/>
              </w:rPr>
            </w:pPr>
            <w:r>
              <w:rPr>
                <w:color w:val="auto"/>
                <w:sz w:val="18"/>
                <w:szCs w:val="18"/>
                <w:highlight w:val="none"/>
                <w:u w:val="none"/>
              </w:rPr>
              <w:t>50</w:t>
            </w:r>
          </w:p>
        </w:tc>
        <w:tc>
          <w:tcPr>
            <w:tcW w:w="222" w:type="pct"/>
            <w:vMerge w:val="restart"/>
            <w:vAlign w:val="center"/>
          </w:tcPr>
          <w:p w14:paraId="53143396">
            <w:pPr>
              <w:pStyle w:val="92"/>
              <w:rPr>
                <w:color w:val="auto"/>
                <w:sz w:val="18"/>
                <w:szCs w:val="18"/>
                <w:highlight w:val="none"/>
                <w:u w:val="none"/>
              </w:rPr>
            </w:pPr>
            <w:r>
              <w:rPr>
                <w:color w:val="auto"/>
                <w:sz w:val="18"/>
                <w:szCs w:val="18"/>
                <w:highlight w:val="none"/>
                <w:u w:val="none"/>
              </w:rPr>
              <w:t>2.0</w:t>
            </w:r>
          </w:p>
        </w:tc>
        <w:tc>
          <w:tcPr>
            <w:tcW w:w="239" w:type="pct"/>
            <w:vMerge w:val="restart"/>
            <w:vAlign w:val="center"/>
          </w:tcPr>
          <w:p w14:paraId="490BF46F">
            <w:pPr>
              <w:pStyle w:val="92"/>
              <w:rPr>
                <w:color w:val="auto"/>
                <w:sz w:val="18"/>
                <w:szCs w:val="18"/>
                <w:highlight w:val="none"/>
                <w:u w:val="none"/>
              </w:rPr>
            </w:pPr>
            <w:r>
              <w:rPr>
                <w:color w:val="auto"/>
                <w:sz w:val="18"/>
                <w:szCs w:val="18"/>
                <w:highlight w:val="none"/>
                <w:u w:val="none"/>
              </w:rPr>
              <w:t>150</w:t>
            </w:r>
          </w:p>
        </w:tc>
        <w:tc>
          <w:tcPr>
            <w:tcW w:w="359" w:type="pct"/>
            <w:vMerge w:val="restart"/>
            <w:vAlign w:val="center"/>
          </w:tcPr>
          <w:p w14:paraId="6AAD1239">
            <w:pPr>
              <w:pStyle w:val="92"/>
              <w:rPr>
                <w:color w:val="auto"/>
                <w:sz w:val="18"/>
                <w:szCs w:val="18"/>
                <w:highlight w:val="none"/>
                <w:u w:val="none"/>
              </w:rPr>
            </w:pPr>
            <w:r>
              <w:rPr>
                <w:rFonts w:hint="eastAsia"/>
                <w:color w:val="auto"/>
                <w:sz w:val="18"/>
                <w:szCs w:val="18"/>
                <w:highlight w:val="none"/>
                <w:u w:val="none"/>
              </w:rPr>
              <w:t>万华环保科技公司</w:t>
            </w:r>
            <w:r>
              <w:rPr>
                <w:color w:val="auto"/>
                <w:sz w:val="18"/>
                <w:szCs w:val="18"/>
                <w:highlight w:val="none"/>
                <w:u w:val="none"/>
              </w:rPr>
              <w:t>能量回收装置</w:t>
            </w:r>
          </w:p>
        </w:tc>
      </w:tr>
      <w:tr w14:paraId="72275E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1AAEE031">
            <w:pPr>
              <w:pStyle w:val="92"/>
              <w:rPr>
                <w:color w:val="auto"/>
                <w:sz w:val="18"/>
                <w:szCs w:val="18"/>
                <w:highlight w:val="none"/>
                <w:u w:val="none"/>
              </w:rPr>
            </w:pPr>
          </w:p>
        </w:tc>
        <w:tc>
          <w:tcPr>
            <w:tcW w:w="148" w:type="pct"/>
            <w:vMerge w:val="continue"/>
            <w:vAlign w:val="center"/>
          </w:tcPr>
          <w:p w14:paraId="41DB66B5">
            <w:pPr>
              <w:pStyle w:val="92"/>
              <w:rPr>
                <w:color w:val="auto"/>
                <w:sz w:val="18"/>
                <w:szCs w:val="18"/>
                <w:highlight w:val="none"/>
                <w:u w:val="none"/>
              </w:rPr>
            </w:pPr>
          </w:p>
        </w:tc>
        <w:tc>
          <w:tcPr>
            <w:tcW w:w="323" w:type="pct"/>
            <w:vMerge w:val="continue"/>
            <w:vAlign w:val="center"/>
          </w:tcPr>
          <w:p w14:paraId="18FFFC5B">
            <w:pPr>
              <w:pStyle w:val="92"/>
              <w:rPr>
                <w:color w:val="auto"/>
                <w:sz w:val="18"/>
                <w:szCs w:val="18"/>
                <w:highlight w:val="none"/>
                <w:u w:val="none"/>
              </w:rPr>
            </w:pPr>
          </w:p>
        </w:tc>
        <w:tc>
          <w:tcPr>
            <w:tcW w:w="320" w:type="pct"/>
            <w:vMerge w:val="continue"/>
            <w:vAlign w:val="center"/>
          </w:tcPr>
          <w:p w14:paraId="2F80F74A">
            <w:pPr>
              <w:pStyle w:val="92"/>
              <w:rPr>
                <w:color w:val="auto"/>
                <w:sz w:val="18"/>
                <w:szCs w:val="18"/>
                <w:highlight w:val="none"/>
                <w:u w:val="none"/>
              </w:rPr>
            </w:pPr>
          </w:p>
        </w:tc>
        <w:tc>
          <w:tcPr>
            <w:tcW w:w="550" w:type="pct"/>
            <w:shd w:val="clear" w:color="auto" w:fill="auto"/>
            <w:vAlign w:val="center"/>
          </w:tcPr>
          <w:p w14:paraId="019BAF9F">
            <w:pPr>
              <w:pStyle w:val="92"/>
              <w:rPr>
                <w:color w:val="auto"/>
                <w:sz w:val="18"/>
                <w:szCs w:val="18"/>
                <w:highlight w:val="none"/>
                <w:u w:val="none"/>
              </w:rPr>
            </w:pPr>
            <w:r>
              <w:rPr>
                <w:color w:val="auto"/>
                <w:sz w:val="18"/>
                <w:szCs w:val="18"/>
                <w:highlight w:val="none"/>
                <w:u w:val="none"/>
              </w:rPr>
              <w:t>光气</w:t>
            </w:r>
          </w:p>
        </w:tc>
        <w:tc>
          <w:tcPr>
            <w:tcW w:w="189" w:type="pct"/>
            <w:vMerge w:val="continue"/>
            <w:vAlign w:val="center"/>
          </w:tcPr>
          <w:p w14:paraId="4CAD2327">
            <w:pPr>
              <w:pStyle w:val="92"/>
              <w:rPr>
                <w:color w:val="auto"/>
                <w:sz w:val="18"/>
                <w:szCs w:val="18"/>
                <w:highlight w:val="none"/>
                <w:u w:val="none"/>
              </w:rPr>
            </w:pPr>
          </w:p>
        </w:tc>
        <w:tc>
          <w:tcPr>
            <w:tcW w:w="284" w:type="pct"/>
            <w:shd w:val="clear" w:color="auto" w:fill="auto"/>
            <w:vAlign w:val="center"/>
          </w:tcPr>
          <w:p w14:paraId="292A7872">
            <w:pPr>
              <w:pStyle w:val="92"/>
              <w:rPr>
                <w:color w:val="auto"/>
                <w:sz w:val="18"/>
                <w:szCs w:val="18"/>
                <w:highlight w:val="none"/>
                <w:u w:val="none"/>
              </w:rPr>
            </w:pPr>
            <w:r>
              <w:rPr>
                <w:rFonts w:eastAsia="等线"/>
                <w:color w:val="auto"/>
                <w:sz w:val="18"/>
                <w:szCs w:val="18"/>
                <w:highlight w:val="none"/>
                <w:u w:val="none"/>
              </w:rPr>
              <w:t xml:space="preserve">250 </w:t>
            </w:r>
          </w:p>
        </w:tc>
        <w:tc>
          <w:tcPr>
            <w:tcW w:w="241" w:type="pct"/>
            <w:shd w:val="clear" w:color="auto" w:fill="auto"/>
            <w:vAlign w:val="center"/>
          </w:tcPr>
          <w:p w14:paraId="5D5B7438">
            <w:pPr>
              <w:pStyle w:val="92"/>
              <w:rPr>
                <w:color w:val="auto"/>
                <w:sz w:val="18"/>
                <w:szCs w:val="18"/>
                <w:highlight w:val="none"/>
                <w:u w:val="none"/>
              </w:rPr>
            </w:pPr>
            <w:r>
              <w:rPr>
                <w:rFonts w:eastAsia="等线"/>
                <w:color w:val="auto"/>
                <w:sz w:val="18"/>
                <w:szCs w:val="18"/>
                <w:highlight w:val="none"/>
                <w:u w:val="none"/>
              </w:rPr>
              <w:t xml:space="preserve">0.30 </w:t>
            </w:r>
          </w:p>
        </w:tc>
        <w:tc>
          <w:tcPr>
            <w:tcW w:w="301" w:type="pct"/>
            <w:shd w:val="clear" w:color="auto" w:fill="auto"/>
            <w:vAlign w:val="center"/>
          </w:tcPr>
          <w:p w14:paraId="18867B23">
            <w:pPr>
              <w:pStyle w:val="92"/>
              <w:rPr>
                <w:color w:val="auto"/>
                <w:sz w:val="18"/>
                <w:szCs w:val="18"/>
                <w:highlight w:val="none"/>
                <w:u w:val="none"/>
              </w:rPr>
            </w:pPr>
            <w:r>
              <w:rPr>
                <w:rFonts w:eastAsia="等线"/>
                <w:color w:val="auto"/>
                <w:sz w:val="18"/>
                <w:szCs w:val="18"/>
                <w:highlight w:val="none"/>
                <w:u w:val="none"/>
              </w:rPr>
              <w:t>2.4</w:t>
            </w:r>
          </w:p>
        </w:tc>
        <w:tc>
          <w:tcPr>
            <w:tcW w:w="420" w:type="pct"/>
            <w:vMerge w:val="continue"/>
            <w:vAlign w:val="center"/>
          </w:tcPr>
          <w:p w14:paraId="7A2EABAD">
            <w:pPr>
              <w:pStyle w:val="92"/>
              <w:rPr>
                <w:color w:val="auto"/>
                <w:sz w:val="18"/>
                <w:szCs w:val="18"/>
                <w:highlight w:val="none"/>
                <w:u w:val="none"/>
              </w:rPr>
            </w:pPr>
          </w:p>
        </w:tc>
        <w:tc>
          <w:tcPr>
            <w:tcW w:w="322" w:type="pct"/>
            <w:shd w:val="clear" w:color="auto" w:fill="auto"/>
            <w:vAlign w:val="center"/>
          </w:tcPr>
          <w:p w14:paraId="6B7D145D">
            <w:pPr>
              <w:pStyle w:val="92"/>
              <w:rPr>
                <w:color w:val="auto"/>
                <w:sz w:val="18"/>
                <w:szCs w:val="18"/>
                <w:highlight w:val="none"/>
                <w:u w:val="none"/>
              </w:rPr>
            </w:pPr>
            <w:r>
              <w:rPr>
                <w:rFonts w:hint="eastAsia" w:eastAsia="等线"/>
                <w:color w:val="auto"/>
                <w:sz w:val="18"/>
                <w:szCs w:val="18"/>
                <w:highlight w:val="none"/>
                <w:u w:val="none"/>
              </w:rPr>
              <w:t>0.5</w:t>
            </w:r>
          </w:p>
        </w:tc>
        <w:tc>
          <w:tcPr>
            <w:tcW w:w="254" w:type="pct"/>
            <w:shd w:val="clear" w:color="auto" w:fill="auto"/>
            <w:vAlign w:val="center"/>
          </w:tcPr>
          <w:p w14:paraId="38833231">
            <w:pPr>
              <w:pStyle w:val="92"/>
              <w:rPr>
                <w:color w:val="auto"/>
                <w:sz w:val="18"/>
                <w:szCs w:val="18"/>
                <w:highlight w:val="none"/>
                <w:u w:val="none"/>
              </w:rPr>
            </w:pPr>
            <w:r>
              <w:rPr>
                <w:rFonts w:eastAsia="等线"/>
                <w:color w:val="auto"/>
                <w:sz w:val="18"/>
                <w:szCs w:val="18"/>
                <w:highlight w:val="none"/>
                <w:u w:val="none"/>
              </w:rPr>
              <w:t xml:space="preserve">0.0006 </w:t>
            </w:r>
          </w:p>
        </w:tc>
        <w:tc>
          <w:tcPr>
            <w:tcW w:w="264" w:type="pct"/>
            <w:shd w:val="clear" w:color="auto" w:fill="auto"/>
            <w:vAlign w:val="center"/>
          </w:tcPr>
          <w:p w14:paraId="1C2945C3">
            <w:pPr>
              <w:pStyle w:val="92"/>
              <w:rPr>
                <w:color w:val="auto"/>
                <w:sz w:val="18"/>
                <w:szCs w:val="18"/>
                <w:highlight w:val="none"/>
                <w:u w:val="none"/>
              </w:rPr>
            </w:pPr>
            <w:r>
              <w:rPr>
                <w:rFonts w:eastAsia="等线"/>
                <w:color w:val="auto"/>
                <w:sz w:val="18"/>
                <w:szCs w:val="18"/>
                <w:highlight w:val="none"/>
                <w:u w:val="none"/>
              </w:rPr>
              <w:t>0.0048</w:t>
            </w:r>
          </w:p>
        </w:tc>
        <w:tc>
          <w:tcPr>
            <w:tcW w:w="205" w:type="pct"/>
            <w:vMerge w:val="continue"/>
            <w:vAlign w:val="center"/>
          </w:tcPr>
          <w:p w14:paraId="76661A03">
            <w:pPr>
              <w:pStyle w:val="92"/>
              <w:rPr>
                <w:color w:val="auto"/>
                <w:sz w:val="18"/>
                <w:szCs w:val="18"/>
                <w:highlight w:val="none"/>
                <w:u w:val="none"/>
              </w:rPr>
            </w:pPr>
          </w:p>
        </w:tc>
        <w:tc>
          <w:tcPr>
            <w:tcW w:w="222" w:type="pct"/>
            <w:vMerge w:val="continue"/>
            <w:vAlign w:val="center"/>
          </w:tcPr>
          <w:p w14:paraId="4600CC91">
            <w:pPr>
              <w:pStyle w:val="92"/>
              <w:rPr>
                <w:color w:val="auto"/>
                <w:sz w:val="18"/>
                <w:szCs w:val="18"/>
                <w:highlight w:val="none"/>
                <w:u w:val="none"/>
              </w:rPr>
            </w:pPr>
          </w:p>
        </w:tc>
        <w:tc>
          <w:tcPr>
            <w:tcW w:w="222" w:type="pct"/>
            <w:vMerge w:val="continue"/>
            <w:vAlign w:val="center"/>
          </w:tcPr>
          <w:p w14:paraId="27B4AAAC">
            <w:pPr>
              <w:pStyle w:val="92"/>
              <w:rPr>
                <w:color w:val="auto"/>
                <w:sz w:val="18"/>
                <w:szCs w:val="18"/>
                <w:highlight w:val="none"/>
                <w:u w:val="none"/>
              </w:rPr>
            </w:pPr>
          </w:p>
        </w:tc>
        <w:tc>
          <w:tcPr>
            <w:tcW w:w="239" w:type="pct"/>
            <w:vMerge w:val="continue"/>
            <w:vAlign w:val="center"/>
          </w:tcPr>
          <w:p w14:paraId="590453B6">
            <w:pPr>
              <w:pStyle w:val="92"/>
              <w:rPr>
                <w:color w:val="auto"/>
                <w:sz w:val="18"/>
                <w:szCs w:val="18"/>
                <w:highlight w:val="none"/>
                <w:u w:val="none"/>
              </w:rPr>
            </w:pPr>
          </w:p>
        </w:tc>
        <w:tc>
          <w:tcPr>
            <w:tcW w:w="359" w:type="pct"/>
            <w:vMerge w:val="continue"/>
            <w:vAlign w:val="center"/>
          </w:tcPr>
          <w:p w14:paraId="160C550C">
            <w:pPr>
              <w:pStyle w:val="92"/>
              <w:rPr>
                <w:color w:val="auto"/>
                <w:sz w:val="18"/>
                <w:szCs w:val="18"/>
                <w:highlight w:val="none"/>
                <w:u w:val="none"/>
              </w:rPr>
            </w:pPr>
          </w:p>
        </w:tc>
      </w:tr>
      <w:tr w14:paraId="7D2FB0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6B5BE7AE">
            <w:pPr>
              <w:pStyle w:val="92"/>
              <w:rPr>
                <w:color w:val="auto"/>
                <w:sz w:val="18"/>
                <w:szCs w:val="18"/>
                <w:highlight w:val="none"/>
                <w:u w:val="none"/>
              </w:rPr>
            </w:pPr>
          </w:p>
        </w:tc>
        <w:tc>
          <w:tcPr>
            <w:tcW w:w="148" w:type="pct"/>
            <w:vMerge w:val="continue"/>
            <w:vAlign w:val="center"/>
          </w:tcPr>
          <w:p w14:paraId="3FD3EC95">
            <w:pPr>
              <w:pStyle w:val="92"/>
              <w:rPr>
                <w:color w:val="auto"/>
                <w:sz w:val="18"/>
                <w:szCs w:val="18"/>
                <w:highlight w:val="none"/>
                <w:u w:val="none"/>
              </w:rPr>
            </w:pPr>
          </w:p>
        </w:tc>
        <w:tc>
          <w:tcPr>
            <w:tcW w:w="323" w:type="pct"/>
            <w:vMerge w:val="continue"/>
            <w:vAlign w:val="center"/>
          </w:tcPr>
          <w:p w14:paraId="4027D909">
            <w:pPr>
              <w:pStyle w:val="92"/>
              <w:rPr>
                <w:color w:val="auto"/>
                <w:sz w:val="18"/>
                <w:szCs w:val="18"/>
                <w:highlight w:val="none"/>
                <w:u w:val="none"/>
              </w:rPr>
            </w:pPr>
          </w:p>
        </w:tc>
        <w:tc>
          <w:tcPr>
            <w:tcW w:w="320" w:type="pct"/>
            <w:vMerge w:val="continue"/>
            <w:vAlign w:val="center"/>
          </w:tcPr>
          <w:p w14:paraId="53BDFDFE">
            <w:pPr>
              <w:pStyle w:val="92"/>
              <w:rPr>
                <w:color w:val="auto"/>
                <w:sz w:val="18"/>
                <w:szCs w:val="18"/>
                <w:highlight w:val="none"/>
                <w:u w:val="none"/>
              </w:rPr>
            </w:pPr>
          </w:p>
        </w:tc>
        <w:tc>
          <w:tcPr>
            <w:tcW w:w="550" w:type="pct"/>
            <w:shd w:val="clear" w:color="auto" w:fill="auto"/>
            <w:vAlign w:val="center"/>
          </w:tcPr>
          <w:p w14:paraId="3AC5DD4E">
            <w:pPr>
              <w:pStyle w:val="92"/>
              <w:rPr>
                <w:color w:val="auto"/>
                <w:sz w:val="18"/>
                <w:szCs w:val="18"/>
                <w:highlight w:val="none"/>
                <w:u w:val="none"/>
              </w:rPr>
            </w:pPr>
            <w:r>
              <w:rPr>
                <w:rFonts w:hint="eastAsia"/>
                <w:color w:val="auto"/>
                <w:sz w:val="18"/>
                <w:szCs w:val="18"/>
                <w:highlight w:val="none"/>
                <w:u w:val="none"/>
              </w:rPr>
              <w:t>ODCB</w:t>
            </w:r>
          </w:p>
          <w:p w14:paraId="53C7BF9E">
            <w:pPr>
              <w:pStyle w:val="92"/>
              <w:rPr>
                <w:color w:val="auto"/>
                <w:sz w:val="18"/>
                <w:szCs w:val="18"/>
                <w:highlight w:val="none"/>
                <w:u w:val="none"/>
              </w:rPr>
            </w:pPr>
            <w:r>
              <w:rPr>
                <w:color w:val="auto"/>
                <w:sz w:val="18"/>
                <w:szCs w:val="18"/>
                <w:highlight w:val="none"/>
                <w:u w:val="none"/>
              </w:rPr>
              <w:t>（氯苯类）</w:t>
            </w:r>
          </w:p>
        </w:tc>
        <w:tc>
          <w:tcPr>
            <w:tcW w:w="189" w:type="pct"/>
            <w:vMerge w:val="continue"/>
            <w:vAlign w:val="center"/>
          </w:tcPr>
          <w:p w14:paraId="310EF8C6">
            <w:pPr>
              <w:pStyle w:val="92"/>
              <w:rPr>
                <w:color w:val="auto"/>
                <w:sz w:val="18"/>
                <w:szCs w:val="18"/>
                <w:highlight w:val="none"/>
                <w:u w:val="none"/>
              </w:rPr>
            </w:pPr>
          </w:p>
        </w:tc>
        <w:tc>
          <w:tcPr>
            <w:tcW w:w="284" w:type="pct"/>
            <w:shd w:val="clear" w:color="auto" w:fill="auto"/>
            <w:vAlign w:val="center"/>
          </w:tcPr>
          <w:p w14:paraId="266A9EBF">
            <w:pPr>
              <w:pStyle w:val="92"/>
              <w:rPr>
                <w:color w:val="auto"/>
                <w:sz w:val="18"/>
                <w:szCs w:val="18"/>
                <w:highlight w:val="none"/>
                <w:u w:val="none"/>
              </w:rPr>
            </w:pPr>
            <w:r>
              <w:rPr>
                <w:rFonts w:hint="eastAsia" w:eastAsia="等线"/>
                <w:color w:val="auto"/>
                <w:sz w:val="18"/>
                <w:szCs w:val="18"/>
                <w:highlight w:val="none"/>
                <w:u w:val="none"/>
              </w:rPr>
              <w:t>2052</w:t>
            </w:r>
          </w:p>
        </w:tc>
        <w:tc>
          <w:tcPr>
            <w:tcW w:w="241" w:type="pct"/>
            <w:shd w:val="clear" w:color="auto" w:fill="auto"/>
            <w:vAlign w:val="center"/>
          </w:tcPr>
          <w:p w14:paraId="6358BE8E">
            <w:pPr>
              <w:pStyle w:val="92"/>
              <w:rPr>
                <w:color w:val="auto"/>
                <w:sz w:val="18"/>
                <w:szCs w:val="18"/>
                <w:highlight w:val="none"/>
                <w:u w:val="none"/>
              </w:rPr>
            </w:pPr>
            <w:r>
              <w:rPr>
                <w:rFonts w:hint="eastAsia" w:eastAsia="等线"/>
                <w:color w:val="auto"/>
                <w:sz w:val="18"/>
                <w:szCs w:val="18"/>
                <w:highlight w:val="none"/>
                <w:u w:val="none"/>
              </w:rPr>
              <w:t>2.46</w:t>
            </w:r>
            <w:r>
              <w:rPr>
                <w:rFonts w:eastAsia="等线"/>
                <w:color w:val="auto"/>
                <w:sz w:val="18"/>
                <w:szCs w:val="18"/>
                <w:highlight w:val="none"/>
                <w:u w:val="none"/>
              </w:rPr>
              <w:t xml:space="preserve"> </w:t>
            </w:r>
          </w:p>
        </w:tc>
        <w:tc>
          <w:tcPr>
            <w:tcW w:w="301" w:type="pct"/>
            <w:shd w:val="clear" w:color="auto" w:fill="auto"/>
            <w:vAlign w:val="center"/>
          </w:tcPr>
          <w:p w14:paraId="5E933E20">
            <w:pPr>
              <w:pStyle w:val="92"/>
              <w:rPr>
                <w:color w:val="auto"/>
                <w:sz w:val="18"/>
                <w:szCs w:val="18"/>
                <w:highlight w:val="none"/>
                <w:u w:val="none"/>
              </w:rPr>
            </w:pPr>
            <w:r>
              <w:rPr>
                <w:rFonts w:eastAsia="等线"/>
                <w:color w:val="auto"/>
                <w:sz w:val="18"/>
                <w:szCs w:val="18"/>
                <w:highlight w:val="none"/>
                <w:u w:val="none"/>
              </w:rPr>
              <w:t>19.7</w:t>
            </w:r>
          </w:p>
        </w:tc>
        <w:tc>
          <w:tcPr>
            <w:tcW w:w="420" w:type="pct"/>
            <w:vMerge w:val="continue"/>
            <w:vAlign w:val="center"/>
          </w:tcPr>
          <w:p w14:paraId="51C34B15">
            <w:pPr>
              <w:pStyle w:val="92"/>
              <w:rPr>
                <w:color w:val="auto"/>
                <w:sz w:val="18"/>
                <w:szCs w:val="18"/>
                <w:highlight w:val="none"/>
                <w:u w:val="none"/>
              </w:rPr>
            </w:pPr>
          </w:p>
        </w:tc>
        <w:tc>
          <w:tcPr>
            <w:tcW w:w="322" w:type="pct"/>
            <w:shd w:val="clear" w:color="auto" w:fill="auto"/>
            <w:vAlign w:val="center"/>
          </w:tcPr>
          <w:p w14:paraId="4C244F54">
            <w:pPr>
              <w:pStyle w:val="92"/>
              <w:rPr>
                <w:color w:val="auto"/>
                <w:sz w:val="18"/>
                <w:szCs w:val="18"/>
                <w:highlight w:val="none"/>
                <w:u w:val="none"/>
              </w:rPr>
            </w:pPr>
            <w:r>
              <w:rPr>
                <w:rFonts w:hint="eastAsia" w:eastAsia="等线"/>
                <w:color w:val="auto"/>
                <w:sz w:val="18"/>
                <w:szCs w:val="18"/>
                <w:highlight w:val="none"/>
                <w:u w:val="none"/>
              </w:rPr>
              <w:t>2052</w:t>
            </w:r>
          </w:p>
        </w:tc>
        <w:tc>
          <w:tcPr>
            <w:tcW w:w="254" w:type="pct"/>
            <w:shd w:val="clear" w:color="auto" w:fill="auto"/>
            <w:vAlign w:val="center"/>
          </w:tcPr>
          <w:p w14:paraId="2804162B">
            <w:pPr>
              <w:pStyle w:val="92"/>
              <w:rPr>
                <w:color w:val="auto"/>
                <w:sz w:val="18"/>
                <w:szCs w:val="18"/>
                <w:highlight w:val="none"/>
                <w:u w:val="none"/>
              </w:rPr>
            </w:pPr>
            <w:r>
              <w:rPr>
                <w:rFonts w:eastAsia="等线"/>
                <w:color w:val="auto"/>
                <w:sz w:val="18"/>
                <w:szCs w:val="18"/>
                <w:highlight w:val="none"/>
                <w:u w:val="none"/>
              </w:rPr>
              <w:t xml:space="preserve">2.46 </w:t>
            </w:r>
          </w:p>
        </w:tc>
        <w:tc>
          <w:tcPr>
            <w:tcW w:w="264" w:type="pct"/>
            <w:shd w:val="clear" w:color="auto" w:fill="auto"/>
            <w:vAlign w:val="center"/>
          </w:tcPr>
          <w:p w14:paraId="3FD3427E">
            <w:pPr>
              <w:pStyle w:val="92"/>
              <w:rPr>
                <w:color w:val="auto"/>
                <w:sz w:val="18"/>
                <w:szCs w:val="18"/>
                <w:highlight w:val="none"/>
                <w:u w:val="none"/>
              </w:rPr>
            </w:pPr>
            <w:r>
              <w:rPr>
                <w:rFonts w:eastAsia="等线"/>
                <w:color w:val="auto"/>
                <w:sz w:val="18"/>
                <w:szCs w:val="18"/>
                <w:highlight w:val="none"/>
                <w:u w:val="none"/>
              </w:rPr>
              <w:t>19.7</w:t>
            </w:r>
          </w:p>
        </w:tc>
        <w:tc>
          <w:tcPr>
            <w:tcW w:w="205" w:type="pct"/>
            <w:vMerge w:val="continue"/>
            <w:vAlign w:val="center"/>
          </w:tcPr>
          <w:p w14:paraId="26AAB191">
            <w:pPr>
              <w:pStyle w:val="92"/>
              <w:rPr>
                <w:color w:val="auto"/>
                <w:sz w:val="18"/>
                <w:szCs w:val="18"/>
                <w:highlight w:val="none"/>
                <w:u w:val="none"/>
              </w:rPr>
            </w:pPr>
          </w:p>
        </w:tc>
        <w:tc>
          <w:tcPr>
            <w:tcW w:w="222" w:type="pct"/>
            <w:vMerge w:val="continue"/>
            <w:vAlign w:val="center"/>
          </w:tcPr>
          <w:p w14:paraId="7D6AE0B0">
            <w:pPr>
              <w:pStyle w:val="92"/>
              <w:rPr>
                <w:color w:val="auto"/>
                <w:sz w:val="18"/>
                <w:szCs w:val="18"/>
                <w:highlight w:val="none"/>
                <w:u w:val="none"/>
              </w:rPr>
            </w:pPr>
          </w:p>
        </w:tc>
        <w:tc>
          <w:tcPr>
            <w:tcW w:w="222" w:type="pct"/>
            <w:vMerge w:val="continue"/>
            <w:vAlign w:val="center"/>
          </w:tcPr>
          <w:p w14:paraId="083AB80D">
            <w:pPr>
              <w:pStyle w:val="92"/>
              <w:rPr>
                <w:color w:val="auto"/>
                <w:sz w:val="18"/>
                <w:szCs w:val="18"/>
                <w:highlight w:val="none"/>
                <w:u w:val="none"/>
              </w:rPr>
            </w:pPr>
          </w:p>
        </w:tc>
        <w:tc>
          <w:tcPr>
            <w:tcW w:w="239" w:type="pct"/>
            <w:vMerge w:val="continue"/>
            <w:vAlign w:val="center"/>
          </w:tcPr>
          <w:p w14:paraId="4FB384CB">
            <w:pPr>
              <w:pStyle w:val="92"/>
              <w:rPr>
                <w:color w:val="auto"/>
                <w:sz w:val="18"/>
                <w:szCs w:val="18"/>
                <w:highlight w:val="none"/>
                <w:u w:val="none"/>
              </w:rPr>
            </w:pPr>
          </w:p>
        </w:tc>
        <w:tc>
          <w:tcPr>
            <w:tcW w:w="359" w:type="pct"/>
            <w:vMerge w:val="continue"/>
            <w:vAlign w:val="center"/>
          </w:tcPr>
          <w:p w14:paraId="34FA30D2">
            <w:pPr>
              <w:pStyle w:val="92"/>
              <w:rPr>
                <w:color w:val="auto"/>
                <w:sz w:val="18"/>
                <w:szCs w:val="18"/>
                <w:highlight w:val="none"/>
                <w:u w:val="none"/>
              </w:rPr>
            </w:pPr>
          </w:p>
        </w:tc>
      </w:tr>
      <w:tr w14:paraId="543D0A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298B1C71">
            <w:pPr>
              <w:pStyle w:val="92"/>
              <w:rPr>
                <w:color w:val="auto"/>
                <w:sz w:val="18"/>
                <w:szCs w:val="18"/>
                <w:highlight w:val="none"/>
                <w:u w:val="none"/>
              </w:rPr>
            </w:pPr>
          </w:p>
        </w:tc>
        <w:tc>
          <w:tcPr>
            <w:tcW w:w="148" w:type="pct"/>
            <w:vMerge w:val="continue"/>
            <w:vAlign w:val="center"/>
          </w:tcPr>
          <w:p w14:paraId="58CEE3CE">
            <w:pPr>
              <w:pStyle w:val="92"/>
              <w:rPr>
                <w:color w:val="auto"/>
                <w:sz w:val="18"/>
                <w:szCs w:val="18"/>
                <w:highlight w:val="none"/>
                <w:u w:val="none"/>
              </w:rPr>
            </w:pPr>
          </w:p>
        </w:tc>
        <w:tc>
          <w:tcPr>
            <w:tcW w:w="323" w:type="pct"/>
            <w:vMerge w:val="continue"/>
            <w:vAlign w:val="center"/>
          </w:tcPr>
          <w:p w14:paraId="14063DFD">
            <w:pPr>
              <w:pStyle w:val="92"/>
              <w:rPr>
                <w:color w:val="auto"/>
                <w:sz w:val="18"/>
                <w:szCs w:val="18"/>
                <w:highlight w:val="none"/>
                <w:u w:val="none"/>
              </w:rPr>
            </w:pPr>
          </w:p>
        </w:tc>
        <w:tc>
          <w:tcPr>
            <w:tcW w:w="320" w:type="pct"/>
            <w:vMerge w:val="continue"/>
            <w:vAlign w:val="center"/>
          </w:tcPr>
          <w:p w14:paraId="4E84D8D1">
            <w:pPr>
              <w:pStyle w:val="92"/>
              <w:rPr>
                <w:color w:val="auto"/>
                <w:sz w:val="18"/>
                <w:szCs w:val="18"/>
                <w:highlight w:val="none"/>
                <w:u w:val="none"/>
              </w:rPr>
            </w:pPr>
          </w:p>
        </w:tc>
        <w:tc>
          <w:tcPr>
            <w:tcW w:w="550" w:type="pct"/>
            <w:shd w:val="clear" w:color="auto" w:fill="auto"/>
            <w:vAlign w:val="center"/>
          </w:tcPr>
          <w:p w14:paraId="597EB5D2">
            <w:pPr>
              <w:pStyle w:val="92"/>
              <w:rPr>
                <w:color w:val="auto"/>
                <w:sz w:val="18"/>
                <w:szCs w:val="18"/>
                <w:highlight w:val="none"/>
                <w:u w:val="none"/>
              </w:rPr>
            </w:pPr>
            <w:r>
              <w:rPr>
                <w:color w:val="auto"/>
                <w:sz w:val="18"/>
                <w:szCs w:val="18"/>
                <w:highlight w:val="none"/>
                <w:u w:val="none"/>
              </w:rPr>
              <w:t>HCl</w:t>
            </w:r>
          </w:p>
        </w:tc>
        <w:tc>
          <w:tcPr>
            <w:tcW w:w="189" w:type="pct"/>
            <w:vMerge w:val="continue"/>
            <w:vAlign w:val="center"/>
          </w:tcPr>
          <w:p w14:paraId="6D1228B4">
            <w:pPr>
              <w:pStyle w:val="92"/>
              <w:rPr>
                <w:color w:val="auto"/>
                <w:sz w:val="18"/>
                <w:szCs w:val="18"/>
                <w:highlight w:val="none"/>
                <w:u w:val="none"/>
              </w:rPr>
            </w:pPr>
          </w:p>
        </w:tc>
        <w:tc>
          <w:tcPr>
            <w:tcW w:w="284" w:type="pct"/>
            <w:shd w:val="clear" w:color="auto" w:fill="auto"/>
            <w:vAlign w:val="center"/>
          </w:tcPr>
          <w:p w14:paraId="6CB08569">
            <w:pPr>
              <w:pStyle w:val="92"/>
              <w:rPr>
                <w:color w:val="auto"/>
                <w:sz w:val="18"/>
                <w:szCs w:val="18"/>
                <w:highlight w:val="none"/>
                <w:u w:val="none"/>
              </w:rPr>
            </w:pPr>
            <w:r>
              <w:rPr>
                <w:rFonts w:eastAsia="等线"/>
                <w:color w:val="auto"/>
                <w:sz w:val="18"/>
                <w:szCs w:val="18"/>
                <w:highlight w:val="none"/>
                <w:u w:val="none"/>
              </w:rPr>
              <w:t xml:space="preserve">16667 </w:t>
            </w:r>
          </w:p>
        </w:tc>
        <w:tc>
          <w:tcPr>
            <w:tcW w:w="241" w:type="pct"/>
            <w:shd w:val="clear" w:color="auto" w:fill="auto"/>
            <w:vAlign w:val="center"/>
          </w:tcPr>
          <w:p w14:paraId="4AFB0F72">
            <w:pPr>
              <w:pStyle w:val="92"/>
              <w:rPr>
                <w:color w:val="auto"/>
                <w:sz w:val="18"/>
                <w:szCs w:val="18"/>
                <w:highlight w:val="none"/>
                <w:u w:val="none"/>
              </w:rPr>
            </w:pPr>
            <w:r>
              <w:rPr>
                <w:rFonts w:eastAsia="等线"/>
                <w:color w:val="auto"/>
                <w:sz w:val="18"/>
                <w:szCs w:val="18"/>
                <w:highlight w:val="none"/>
                <w:u w:val="none"/>
              </w:rPr>
              <w:t xml:space="preserve">20.00 </w:t>
            </w:r>
          </w:p>
        </w:tc>
        <w:tc>
          <w:tcPr>
            <w:tcW w:w="301" w:type="pct"/>
            <w:shd w:val="clear" w:color="auto" w:fill="auto"/>
            <w:vAlign w:val="center"/>
          </w:tcPr>
          <w:p w14:paraId="1C8C5D76">
            <w:pPr>
              <w:pStyle w:val="92"/>
              <w:rPr>
                <w:color w:val="auto"/>
                <w:sz w:val="18"/>
                <w:szCs w:val="18"/>
                <w:highlight w:val="none"/>
                <w:u w:val="none"/>
              </w:rPr>
            </w:pPr>
            <w:r>
              <w:rPr>
                <w:rFonts w:eastAsia="等线"/>
                <w:color w:val="auto"/>
                <w:sz w:val="18"/>
                <w:szCs w:val="18"/>
                <w:highlight w:val="none"/>
                <w:u w:val="none"/>
              </w:rPr>
              <w:t>160</w:t>
            </w:r>
          </w:p>
        </w:tc>
        <w:tc>
          <w:tcPr>
            <w:tcW w:w="420" w:type="pct"/>
            <w:vMerge w:val="continue"/>
            <w:vAlign w:val="center"/>
          </w:tcPr>
          <w:p w14:paraId="4FEA3190">
            <w:pPr>
              <w:pStyle w:val="92"/>
              <w:rPr>
                <w:color w:val="auto"/>
                <w:sz w:val="18"/>
                <w:szCs w:val="18"/>
                <w:highlight w:val="none"/>
                <w:u w:val="none"/>
              </w:rPr>
            </w:pPr>
          </w:p>
        </w:tc>
        <w:tc>
          <w:tcPr>
            <w:tcW w:w="322" w:type="pct"/>
            <w:shd w:val="clear" w:color="auto" w:fill="auto"/>
            <w:vAlign w:val="center"/>
          </w:tcPr>
          <w:p w14:paraId="667C35E8">
            <w:pPr>
              <w:pStyle w:val="92"/>
              <w:rPr>
                <w:color w:val="auto"/>
                <w:sz w:val="18"/>
                <w:szCs w:val="18"/>
                <w:highlight w:val="none"/>
                <w:u w:val="none"/>
              </w:rPr>
            </w:pPr>
            <w:r>
              <w:rPr>
                <w:rFonts w:eastAsia="等线"/>
                <w:color w:val="auto"/>
                <w:sz w:val="18"/>
                <w:szCs w:val="18"/>
                <w:highlight w:val="none"/>
                <w:u w:val="none"/>
              </w:rPr>
              <w:t xml:space="preserve">833 </w:t>
            </w:r>
          </w:p>
        </w:tc>
        <w:tc>
          <w:tcPr>
            <w:tcW w:w="254" w:type="pct"/>
            <w:shd w:val="clear" w:color="auto" w:fill="auto"/>
            <w:vAlign w:val="center"/>
          </w:tcPr>
          <w:p w14:paraId="462CE1E4">
            <w:pPr>
              <w:pStyle w:val="92"/>
              <w:rPr>
                <w:color w:val="auto"/>
                <w:sz w:val="18"/>
                <w:szCs w:val="18"/>
                <w:highlight w:val="none"/>
                <w:u w:val="none"/>
              </w:rPr>
            </w:pPr>
            <w:r>
              <w:rPr>
                <w:rFonts w:eastAsia="等线"/>
                <w:color w:val="auto"/>
                <w:sz w:val="18"/>
                <w:szCs w:val="18"/>
                <w:highlight w:val="none"/>
                <w:u w:val="none"/>
              </w:rPr>
              <w:t xml:space="preserve">1.00 </w:t>
            </w:r>
          </w:p>
        </w:tc>
        <w:tc>
          <w:tcPr>
            <w:tcW w:w="264" w:type="pct"/>
            <w:shd w:val="clear" w:color="auto" w:fill="auto"/>
            <w:vAlign w:val="center"/>
          </w:tcPr>
          <w:p w14:paraId="42E2D526">
            <w:pPr>
              <w:pStyle w:val="92"/>
              <w:rPr>
                <w:color w:val="auto"/>
                <w:sz w:val="18"/>
                <w:szCs w:val="18"/>
                <w:highlight w:val="none"/>
                <w:u w:val="none"/>
              </w:rPr>
            </w:pPr>
            <w:r>
              <w:rPr>
                <w:rFonts w:eastAsia="等线"/>
                <w:color w:val="auto"/>
                <w:sz w:val="18"/>
                <w:szCs w:val="18"/>
                <w:highlight w:val="none"/>
                <w:u w:val="none"/>
              </w:rPr>
              <w:t>8</w:t>
            </w:r>
          </w:p>
        </w:tc>
        <w:tc>
          <w:tcPr>
            <w:tcW w:w="205" w:type="pct"/>
            <w:vMerge w:val="continue"/>
            <w:vAlign w:val="center"/>
          </w:tcPr>
          <w:p w14:paraId="1317ED2C">
            <w:pPr>
              <w:pStyle w:val="92"/>
              <w:rPr>
                <w:color w:val="auto"/>
                <w:sz w:val="18"/>
                <w:szCs w:val="18"/>
                <w:highlight w:val="none"/>
                <w:u w:val="none"/>
              </w:rPr>
            </w:pPr>
          </w:p>
        </w:tc>
        <w:tc>
          <w:tcPr>
            <w:tcW w:w="222" w:type="pct"/>
            <w:vMerge w:val="continue"/>
            <w:vAlign w:val="center"/>
          </w:tcPr>
          <w:p w14:paraId="17F266B6">
            <w:pPr>
              <w:pStyle w:val="92"/>
              <w:rPr>
                <w:color w:val="auto"/>
                <w:sz w:val="18"/>
                <w:szCs w:val="18"/>
                <w:highlight w:val="none"/>
                <w:u w:val="none"/>
              </w:rPr>
            </w:pPr>
          </w:p>
        </w:tc>
        <w:tc>
          <w:tcPr>
            <w:tcW w:w="222" w:type="pct"/>
            <w:vMerge w:val="continue"/>
            <w:vAlign w:val="center"/>
          </w:tcPr>
          <w:p w14:paraId="495B10A9">
            <w:pPr>
              <w:pStyle w:val="92"/>
              <w:rPr>
                <w:color w:val="auto"/>
                <w:sz w:val="18"/>
                <w:szCs w:val="18"/>
                <w:highlight w:val="none"/>
                <w:u w:val="none"/>
              </w:rPr>
            </w:pPr>
          </w:p>
        </w:tc>
        <w:tc>
          <w:tcPr>
            <w:tcW w:w="239" w:type="pct"/>
            <w:vMerge w:val="continue"/>
            <w:vAlign w:val="center"/>
          </w:tcPr>
          <w:p w14:paraId="459AF43E">
            <w:pPr>
              <w:pStyle w:val="92"/>
              <w:rPr>
                <w:color w:val="auto"/>
                <w:sz w:val="18"/>
                <w:szCs w:val="18"/>
                <w:highlight w:val="none"/>
                <w:u w:val="none"/>
              </w:rPr>
            </w:pPr>
          </w:p>
        </w:tc>
        <w:tc>
          <w:tcPr>
            <w:tcW w:w="359" w:type="pct"/>
            <w:vMerge w:val="continue"/>
            <w:vAlign w:val="center"/>
          </w:tcPr>
          <w:p w14:paraId="6498C7FC">
            <w:pPr>
              <w:pStyle w:val="92"/>
              <w:rPr>
                <w:color w:val="auto"/>
                <w:sz w:val="18"/>
                <w:szCs w:val="18"/>
                <w:highlight w:val="none"/>
                <w:u w:val="none"/>
              </w:rPr>
            </w:pPr>
          </w:p>
        </w:tc>
      </w:tr>
      <w:tr w14:paraId="1BFA98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44B97571">
            <w:pPr>
              <w:pStyle w:val="92"/>
              <w:rPr>
                <w:color w:val="auto"/>
                <w:sz w:val="18"/>
                <w:szCs w:val="18"/>
                <w:highlight w:val="none"/>
                <w:u w:val="none"/>
              </w:rPr>
            </w:pPr>
          </w:p>
        </w:tc>
        <w:tc>
          <w:tcPr>
            <w:tcW w:w="148" w:type="pct"/>
            <w:vMerge w:val="continue"/>
            <w:vAlign w:val="center"/>
          </w:tcPr>
          <w:p w14:paraId="19DB3C68">
            <w:pPr>
              <w:pStyle w:val="92"/>
              <w:rPr>
                <w:color w:val="auto"/>
                <w:sz w:val="18"/>
                <w:szCs w:val="18"/>
                <w:highlight w:val="none"/>
                <w:u w:val="none"/>
              </w:rPr>
            </w:pPr>
          </w:p>
        </w:tc>
        <w:tc>
          <w:tcPr>
            <w:tcW w:w="323" w:type="pct"/>
            <w:vMerge w:val="continue"/>
            <w:vAlign w:val="center"/>
          </w:tcPr>
          <w:p w14:paraId="0AA918C8">
            <w:pPr>
              <w:pStyle w:val="92"/>
              <w:rPr>
                <w:color w:val="auto"/>
                <w:sz w:val="18"/>
                <w:szCs w:val="18"/>
                <w:highlight w:val="none"/>
                <w:u w:val="none"/>
              </w:rPr>
            </w:pPr>
          </w:p>
        </w:tc>
        <w:tc>
          <w:tcPr>
            <w:tcW w:w="320" w:type="pct"/>
            <w:vMerge w:val="continue"/>
            <w:vAlign w:val="center"/>
          </w:tcPr>
          <w:p w14:paraId="14287093">
            <w:pPr>
              <w:pStyle w:val="92"/>
              <w:rPr>
                <w:color w:val="auto"/>
                <w:sz w:val="18"/>
                <w:szCs w:val="18"/>
                <w:highlight w:val="none"/>
                <w:u w:val="none"/>
              </w:rPr>
            </w:pPr>
          </w:p>
        </w:tc>
        <w:tc>
          <w:tcPr>
            <w:tcW w:w="550" w:type="pct"/>
            <w:shd w:val="clear" w:color="auto" w:fill="auto"/>
            <w:vAlign w:val="center"/>
          </w:tcPr>
          <w:p w14:paraId="6E73688E">
            <w:pPr>
              <w:pStyle w:val="92"/>
              <w:rPr>
                <w:color w:val="auto"/>
                <w:sz w:val="18"/>
                <w:szCs w:val="18"/>
                <w:highlight w:val="none"/>
                <w:u w:val="none"/>
              </w:rPr>
            </w:pPr>
            <w:r>
              <w:rPr>
                <w:color w:val="auto"/>
                <w:sz w:val="18"/>
                <w:szCs w:val="18"/>
                <w:highlight w:val="none"/>
                <w:u w:val="none"/>
              </w:rPr>
              <w:t>TDI</w:t>
            </w:r>
          </w:p>
        </w:tc>
        <w:tc>
          <w:tcPr>
            <w:tcW w:w="189" w:type="pct"/>
            <w:vMerge w:val="continue"/>
            <w:vAlign w:val="center"/>
          </w:tcPr>
          <w:p w14:paraId="5C7EEF6B">
            <w:pPr>
              <w:pStyle w:val="92"/>
              <w:rPr>
                <w:color w:val="auto"/>
                <w:sz w:val="18"/>
                <w:szCs w:val="18"/>
                <w:highlight w:val="none"/>
                <w:u w:val="none"/>
              </w:rPr>
            </w:pPr>
          </w:p>
        </w:tc>
        <w:tc>
          <w:tcPr>
            <w:tcW w:w="284" w:type="pct"/>
            <w:shd w:val="clear" w:color="auto" w:fill="auto"/>
            <w:vAlign w:val="center"/>
          </w:tcPr>
          <w:p w14:paraId="0CB3C200">
            <w:pPr>
              <w:pStyle w:val="92"/>
              <w:rPr>
                <w:color w:val="auto"/>
                <w:sz w:val="18"/>
                <w:szCs w:val="18"/>
                <w:highlight w:val="none"/>
                <w:u w:val="none"/>
              </w:rPr>
            </w:pPr>
            <w:r>
              <w:rPr>
                <w:rFonts w:eastAsia="等线"/>
                <w:color w:val="auto"/>
                <w:sz w:val="18"/>
                <w:szCs w:val="18"/>
                <w:highlight w:val="none"/>
                <w:u w:val="none"/>
              </w:rPr>
              <w:t xml:space="preserve">233 </w:t>
            </w:r>
          </w:p>
        </w:tc>
        <w:tc>
          <w:tcPr>
            <w:tcW w:w="241" w:type="pct"/>
            <w:shd w:val="clear" w:color="auto" w:fill="auto"/>
            <w:vAlign w:val="center"/>
          </w:tcPr>
          <w:p w14:paraId="67264394">
            <w:pPr>
              <w:pStyle w:val="92"/>
              <w:rPr>
                <w:color w:val="auto"/>
                <w:sz w:val="18"/>
                <w:szCs w:val="18"/>
                <w:highlight w:val="none"/>
                <w:u w:val="none"/>
              </w:rPr>
            </w:pPr>
            <w:r>
              <w:rPr>
                <w:rFonts w:eastAsia="等线"/>
                <w:color w:val="auto"/>
                <w:sz w:val="18"/>
                <w:szCs w:val="18"/>
                <w:highlight w:val="none"/>
                <w:u w:val="none"/>
              </w:rPr>
              <w:t xml:space="preserve">0.28 </w:t>
            </w:r>
          </w:p>
        </w:tc>
        <w:tc>
          <w:tcPr>
            <w:tcW w:w="301" w:type="pct"/>
            <w:shd w:val="clear" w:color="auto" w:fill="auto"/>
            <w:vAlign w:val="center"/>
          </w:tcPr>
          <w:p w14:paraId="41FB6CD7">
            <w:pPr>
              <w:pStyle w:val="92"/>
              <w:rPr>
                <w:color w:val="auto"/>
                <w:sz w:val="18"/>
                <w:szCs w:val="18"/>
                <w:highlight w:val="none"/>
                <w:u w:val="none"/>
              </w:rPr>
            </w:pPr>
            <w:r>
              <w:rPr>
                <w:rFonts w:eastAsia="等线"/>
                <w:color w:val="auto"/>
                <w:sz w:val="18"/>
                <w:szCs w:val="18"/>
                <w:highlight w:val="none"/>
                <w:u w:val="none"/>
              </w:rPr>
              <w:t>2.24</w:t>
            </w:r>
          </w:p>
        </w:tc>
        <w:tc>
          <w:tcPr>
            <w:tcW w:w="420" w:type="pct"/>
            <w:vMerge w:val="continue"/>
            <w:vAlign w:val="center"/>
          </w:tcPr>
          <w:p w14:paraId="658B5968">
            <w:pPr>
              <w:pStyle w:val="92"/>
              <w:rPr>
                <w:color w:val="auto"/>
                <w:sz w:val="18"/>
                <w:szCs w:val="18"/>
                <w:highlight w:val="none"/>
                <w:u w:val="none"/>
              </w:rPr>
            </w:pPr>
          </w:p>
        </w:tc>
        <w:tc>
          <w:tcPr>
            <w:tcW w:w="322" w:type="pct"/>
            <w:shd w:val="clear" w:color="auto" w:fill="auto"/>
            <w:vAlign w:val="center"/>
          </w:tcPr>
          <w:p w14:paraId="2DF1DACD">
            <w:pPr>
              <w:pStyle w:val="92"/>
              <w:rPr>
                <w:color w:val="auto"/>
                <w:sz w:val="18"/>
                <w:szCs w:val="18"/>
                <w:highlight w:val="none"/>
                <w:u w:val="none"/>
              </w:rPr>
            </w:pPr>
            <w:r>
              <w:rPr>
                <w:rFonts w:eastAsia="等线"/>
                <w:color w:val="auto"/>
                <w:sz w:val="18"/>
                <w:szCs w:val="18"/>
                <w:highlight w:val="none"/>
                <w:u w:val="none"/>
              </w:rPr>
              <w:t xml:space="preserve">12 </w:t>
            </w:r>
          </w:p>
        </w:tc>
        <w:tc>
          <w:tcPr>
            <w:tcW w:w="254" w:type="pct"/>
            <w:shd w:val="clear" w:color="auto" w:fill="auto"/>
            <w:vAlign w:val="center"/>
          </w:tcPr>
          <w:p w14:paraId="3263B327">
            <w:pPr>
              <w:pStyle w:val="92"/>
              <w:rPr>
                <w:color w:val="auto"/>
                <w:sz w:val="18"/>
                <w:szCs w:val="18"/>
                <w:highlight w:val="none"/>
                <w:u w:val="none"/>
              </w:rPr>
            </w:pPr>
            <w:r>
              <w:rPr>
                <w:rFonts w:eastAsia="等线"/>
                <w:color w:val="auto"/>
                <w:sz w:val="18"/>
                <w:szCs w:val="18"/>
                <w:highlight w:val="none"/>
                <w:u w:val="none"/>
              </w:rPr>
              <w:t xml:space="preserve">0.01 </w:t>
            </w:r>
          </w:p>
        </w:tc>
        <w:tc>
          <w:tcPr>
            <w:tcW w:w="264" w:type="pct"/>
            <w:shd w:val="clear" w:color="auto" w:fill="auto"/>
            <w:vAlign w:val="center"/>
          </w:tcPr>
          <w:p w14:paraId="35DCC05A">
            <w:pPr>
              <w:pStyle w:val="92"/>
              <w:rPr>
                <w:color w:val="auto"/>
                <w:sz w:val="18"/>
                <w:szCs w:val="18"/>
                <w:highlight w:val="none"/>
                <w:u w:val="none"/>
              </w:rPr>
            </w:pPr>
            <w:r>
              <w:rPr>
                <w:rFonts w:eastAsia="等线"/>
                <w:color w:val="auto"/>
                <w:sz w:val="18"/>
                <w:szCs w:val="18"/>
                <w:highlight w:val="none"/>
                <w:u w:val="none"/>
              </w:rPr>
              <w:t xml:space="preserve">0.11 </w:t>
            </w:r>
          </w:p>
        </w:tc>
        <w:tc>
          <w:tcPr>
            <w:tcW w:w="205" w:type="pct"/>
            <w:vMerge w:val="continue"/>
            <w:vAlign w:val="center"/>
          </w:tcPr>
          <w:p w14:paraId="70CC06B9">
            <w:pPr>
              <w:pStyle w:val="92"/>
              <w:rPr>
                <w:color w:val="auto"/>
                <w:sz w:val="18"/>
                <w:szCs w:val="18"/>
                <w:highlight w:val="none"/>
                <w:u w:val="none"/>
              </w:rPr>
            </w:pPr>
          </w:p>
        </w:tc>
        <w:tc>
          <w:tcPr>
            <w:tcW w:w="222" w:type="pct"/>
            <w:vMerge w:val="continue"/>
            <w:vAlign w:val="center"/>
          </w:tcPr>
          <w:p w14:paraId="5E2AD2BA">
            <w:pPr>
              <w:pStyle w:val="92"/>
              <w:rPr>
                <w:color w:val="auto"/>
                <w:sz w:val="18"/>
                <w:szCs w:val="18"/>
                <w:highlight w:val="none"/>
                <w:u w:val="none"/>
              </w:rPr>
            </w:pPr>
          </w:p>
        </w:tc>
        <w:tc>
          <w:tcPr>
            <w:tcW w:w="222" w:type="pct"/>
            <w:vMerge w:val="continue"/>
            <w:vAlign w:val="center"/>
          </w:tcPr>
          <w:p w14:paraId="2BE31C96">
            <w:pPr>
              <w:pStyle w:val="92"/>
              <w:rPr>
                <w:color w:val="auto"/>
                <w:sz w:val="18"/>
                <w:szCs w:val="18"/>
                <w:highlight w:val="none"/>
                <w:u w:val="none"/>
              </w:rPr>
            </w:pPr>
          </w:p>
        </w:tc>
        <w:tc>
          <w:tcPr>
            <w:tcW w:w="239" w:type="pct"/>
            <w:vMerge w:val="continue"/>
            <w:vAlign w:val="center"/>
          </w:tcPr>
          <w:p w14:paraId="42CC795D">
            <w:pPr>
              <w:pStyle w:val="92"/>
              <w:rPr>
                <w:color w:val="auto"/>
                <w:sz w:val="18"/>
                <w:szCs w:val="18"/>
                <w:highlight w:val="none"/>
                <w:u w:val="none"/>
              </w:rPr>
            </w:pPr>
          </w:p>
        </w:tc>
        <w:tc>
          <w:tcPr>
            <w:tcW w:w="359" w:type="pct"/>
            <w:vMerge w:val="continue"/>
            <w:vAlign w:val="center"/>
          </w:tcPr>
          <w:p w14:paraId="3958BA94">
            <w:pPr>
              <w:pStyle w:val="92"/>
              <w:rPr>
                <w:color w:val="auto"/>
                <w:sz w:val="18"/>
                <w:szCs w:val="18"/>
                <w:highlight w:val="none"/>
                <w:u w:val="none"/>
              </w:rPr>
            </w:pPr>
          </w:p>
        </w:tc>
      </w:tr>
      <w:tr w14:paraId="3FD46E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77C40266">
            <w:pPr>
              <w:pStyle w:val="92"/>
              <w:rPr>
                <w:color w:val="auto"/>
                <w:sz w:val="18"/>
                <w:szCs w:val="18"/>
                <w:highlight w:val="none"/>
                <w:u w:val="none"/>
              </w:rPr>
            </w:pPr>
          </w:p>
        </w:tc>
        <w:tc>
          <w:tcPr>
            <w:tcW w:w="148" w:type="pct"/>
            <w:vMerge w:val="continue"/>
            <w:vAlign w:val="center"/>
          </w:tcPr>
          <w:p w14:paraId="359D09C7">
            <w:pPr>
              <w:pStyle w:val="92"/>
              <w:rPr>
                <w:color w:val="auto"/>
                <w:sz w:val="18"/>
                <w:szCs w:val="18"/>
                <w:highlight w:val="none"/>
                <w:u w:val="none"/>
              </w:rPr>
            </w:pPr>
          </w:p>
        </w:tc>
        <w:tc>
          <w:tcPr>
            <w:tcW w:w="323" w:type="pct"/>
            <w:vMerge w:val="continue"/>
            <w:vAlign w:val="center"/>
          </w:tcPr>
          <w:p w14:paraId="648CE18C">
            <w:pPr>
              <w:pStyle w:val="92"/>
              <w:rPr>
                <w:color w:val="auto"/>
                <w:sz w:val="18"/>
                <w:szCs w:val="18"/>
                <w:highlight w:val="none"/>
                <w:u w:val="none"/>
              </w:rPr>
            </w:pPr>
          </w:p>
        </w:tc>
        <w:tc>
          <w:tcPr>
            <w:tcW w:w="320" w:type="pct"/>
            <w:vMerge w:val="continue"/>
            <w:vAlign w:val="center"/>
          </w:tcPr>
          <w:p w14:paraId="0BB591ED">
            <w:pPr>
              <w:pStyle w:val="92"/>
              <w:rPr>
                <w:color w:val="auto"/>
                <w:sz w:val="18"/>
                <w:szCs w:val="18"/>
                <w:highlight w:val="none"/>
                <w:u w:val="none"/>
              </w:rPr>
            </w:pPr>
          </w:p>
        </w:tc>
        <w:tc>
          <w:tcPr>
            <w:tcW w:w="550" w:type="pct"/>
            <w:shd w:val="clear" w:color="auto" w:fill="auto"/>
            <w:vAlign w:val="center"/>
          </w:tcPr>
          <w:p w14:paraId="4FABF150">
            <w:pPr>
              <w:pStyle w:val="92"/>
              <w:rPr>
                <w:color w:val="auto"/>
                <w:sz w:val="18"/>
                <w:szCs w:val="18"/>
                <w:highlight w:val="none"/>
                <w:u w:val="none"/>
              </w:rPr>
            </w:pPr>
            <w:r>
              <w:rPr>
                <w:color w:val="auto"/>
                <w:sz w:val="18"/>
                <w:szCs w:val="18"/>
                <w:highlight w:val="none"/>
                <w:u w:val="none"/>
              </w:rPr>
              <w:t>VOC</w:t>
            </w:r>
            <w:r>
              <w:rPr>
                <w:color w:val="auto"/>
                <w:sz w:val="18"/>
                <w:szCs w:val="18"/>
                <w:highlight w:val="none"/>
                <w:u w:val="none"/>
                <w:vertAlign w:val="subscript"/>
              </w:rPr>
              <w:t>S</w:t>
            </w:r>
          </w:p>
        </w:tc>
        <w:tc>
          <w:tcPr>
            <w:tcW w:w="189" w:type="pct"/>
            <w:vMerge w:val="continue"/>
            <w:vAlign w:val="center"/>
          </w:tcPr>
          <w:p w14:paraId="12555718">
            <w:pPr>
              <w:pStyle w:val="92"/>
              <w:rPr>
                <w:color w:val="auto"/>
                <w:sz w:val="18"/>
                <w:szCs w:val="18"/>
                <w:highlight w:val="none"/>
                <w:u w:val="none"/>
              </w:rPr>
            </w:pPr>
          </w:p>
        </w:tc>
        <w:tc>
          <w:tcPr>
            <w:tcW w:w="284" w:type="pct"/>
            <w:shd w:val="clear" w:color="auto" w:fill="auto"/>
            <w:vAlign w:val="center"/>
          </w:tcPr>
          <w:p w14:paraId="6EFADCB4">
            <w:pPr>
              <w:pStyle w:val="92"/>
              <w:rPr>
                <w:color w:val="auto"/>
                <w:sz w:val="18"/>
                <w:szCs w:val="18"/>
                <w:highlight w:val="none"/>
                <w:u w:val="none"/>
              </w:rPr>
            </w:pPr>
            <w:r>
              <w:rPr>
                <w:rFonts w:eastAsia="等线"/>
                <w:color w:val="auto"/>
                <w:sz w:val="18"/>
                <w:szCs w:val="18"/>
                <w:highlight w:val="none"/>
                <w:u w:val="none"/>
              </w:rPr>
              <w:t xml:space="preserve">56000 </w:t>
            </w:r>
          </w:p>
        </w:tc>
        <w:tc>
          <w:tcPr>
            <w:tcW w:w="241" w:type="pct"/>
            <w:shd w:val="clear" w:color="auto" w:fill="auto"/>
            <w:vAlign w:val="center"/>
          </w:tcPr>
          <w:p w14:paraId="28F1CCF1">
            <w:pPr>
              <w:pStyle w:val="92"/>
              <w:rPr>
                <w:color w:val="auto"/>
                <w:sz w:val="18"/>
                <w:szCs w:val="18"/>
                <w:highlight w:val="none"/>
                <w:u w:val="none"/>
              </w:rPr>
            </w:pPr>
            <w:r>
              <w:rPr>
                <w:rFonts w:eastAsia="等线"/>
                <w:color w:val="auto"/>
                <w:sz w:val="18"/>
                <w:szCs w:val="18"/>
                <w:highlight w:val="none"/>
                <w:u w:val="none"/>
              </w:rPr>
              <w:t xml:space="preserve">67.20 </w:t>
            </w:r>
          </w:p>
        </w:tc>
        <w:tc>
          <w:tcPr>
            <w:tcW w:w="301" w:type="pct"/>
            <w:shd w:val="clear" w:color="auto" w:fill="auto"/>
            <w:vAlign w:val="center"/>
          </w:tcPr>
          <w:p w14:paraId="5F501496">
            <w:pPr>
              <w:pStyle w:val="92"/>
              <w:rPr>
                <w:color w:val="auto"/>
                <w:sz w:val="18"/>
                <w:szCs w:val="18"/>
                <w:highlight w:val="none"/>
                <w:u w:val="none"/>
              </w:rPr>
            </w:pPr>
            <w:r>
              <w:rPr>
                <w:rFonts w:eastAsia="等线"/>
                <w:color w:val="auto"/>
                <w:sz w:val="18"/>
                <w:szCs w:val="18"/>
                <w:highlight w:val="none"/>
                <w:u w:val="none"/>
              </w:rPr>
              <w:t>537.6</w:t>
            </w:r>
          </w:p>
        </w:tc>
        <w:tc>
          <w:tcPr>
            <w:tcW w:w="420" w:type="pct"/>
            <w:vMerge w:val="continue"/>
            <w:vAlign w:val="center"/>
          </w:tcPr>
          <w:p w14:paraId="1E32B2EF">
            <w:pPr>
              <w:pStyle w:val="92"/>
              <w:rPr>
                <w:color w:val="auto"/>
                <w:sz w:val="18"/>
                <w:szCs w:val="18"/>
                <w:highlight w:val="none"/>
                <w:u w:val="none"/>
              </w:rPr>
            </w:pPr>
          </w:p>
        </w:tc>
        <w:tc>
          <w:tcPr>
            <w:tcW w:w="322" w:type="pct"/>
            <w:shd w:val="clear" w:color="auto" w:fill="auto"/>
            <w:vAlign w:val="center"/>
          </w:tcPr>
          <w:p w14:paraId="1A0738A5">
            <w:pPr>
              <w:pStyle w:val="92"/>
              <w:rPr>
                <w:color w:val="auto"/>
                <w:sz w:val="18"/>
                <w:szCs w:val="18"/>
                <w:highlight w:val="none"/>
                <w:u w:val="none"/>
              </w:rPr>
            </w:pPr>
            <w:r>
              <w:rPr>
                <w:rFonts w:eastAsia="等线"/>
                <w:color w:val="auto"/>
                <w:sz w:val="18"/>
                <w:szCs w:val="18"/>
                <w:highlight w:val="none"/>
                <w:u w:val="none"/>
              </w:rPr>
              <w:t xml:space="preserve">2800 </w:t>
            </w:r>
          </w:p>
        </w:tc>
        <w:tc>
          <w:tcPr>
            <w:tcW w:w="254" w:type="pct"/>
            <w:shd w:val="clear" w:color="auto" w:fill="auto"/>
            <w:vAlign w:val="center"/>
          </w:tcPr>
          <w:p w14:paraId="2214BFCD">
            <w:pPr>
              <w:pStyle w:val="92"/>
              <w:rPr>
                <w:color w:val="auto"/>
                <w:sz w:val="18"/>
                <w:szCs w:val="18"/>
                <w:highlight w:val="none"/>
                <w:u w:val="none"/>
              </w:rPr>
            </w:pPr>
            <w:r>
              <w:rPr>
                <w:rFonts w:eastAsia="等线"/>
                <w:color w:val="auto"/>
                <w:sz w:val="18"/>
                <w:szCs w:val="18"/>
                <w:highlight w:val="none"/>
                <w:u w:val="none"/>
              </w:rPr>
              <w:t xml:space="preserve">3.36 </w:t>
            </w:r>
          </w:p>
        </w:tc>
        <w:tc>
          <w:tcPr>
            <w:tcW w:w="264" w:type="pct"/>
            <w:shd w:val="clear" w:color="auto" w:fill="auto"/>
            <w:vAlign w:val="center"/>
          </w:tcPr>
          <w:p w14:paraId="110ED53F">
            <w:pPr>
              <w:pStyle w:val="92"/>
              <w:rPr>
                <w:color w:val="auto"/>
                <w:sz w:val="18"/>
                <w:szCs w:val="18"/>
                <w:highlight w:val="none"/>
                <w:u w:val="none"/>
              </w:rPr>
            </w:pPr>
            <w:r>
              <w:rPr>
                <w:rFonts w:eastAsia="等线"/>
                <w:color w:val="auto"/>
                <w:sz w:val="18"/>
                <w:szCs w:val="18"/>
                <w:highlight w:val="none"/>
                <w:u w:val="none"/>
              </w:rPr>
              <w:t>26.88</w:t>
            </w:r>
          </w:p>
        </w:tc>
        <w:tc>
          <w:tcPr>
            <w:tcW w:w="205" w:type="pct"/>
            <w:vMerge w:val="continue"/>
            <w:vAlign w:val="center"/>
          </w:tcPr>
          <w:p w14:paraId="01178717">
            <w:pPr>
              <w:pStyle w:val="92"/>
              <w:rPr>
                <w:color w:val="auto"/>
                <w:sz w:val="18"/>
                <w:szCs w:val="18"/>
                <w:highlight w:val="none"/>
                <w:u w:val="none"/>
              </w:rPr>
            </w:pPr>
          </w:p>
        </w:tc>
        <w:tc>
          <w:tcPr>
            <w:tcW w:w="222" w:type="pct"/>
            <w:vMerge w:val="continue"/>
            <w:vAlign w:val="center"/>
          </w:tcPr>
          <w:p w14:paraId="7EA62F7B">
            <w:pPr>
              <w:pStyle w:val="92"/>
              <w:rPr>
                <w:color w:val="auto"/>
                <w:sz w:val="18"/>
                <w:szCs w:val="18"/>
                <w:highlight w:val="none"/>
                <w:u w:val="none"/>
              </w:rPr>
            </w:pPr>
          </w:p>
        </w:tc>
        <w:tc>
          <w:tcPr>
            <w:tcW w:w="222" w:type="pct"/>
            <w:vMerge w:val="continue"/>
            <w:vAlign w:val="center"/>
          </w:tcPr>
          <w:p w14:paraId="48786F61">
            <w:pPr>
              <w:pStyle w:val="92"/>
              <w:rPr>
                <w:color w:val="auto"/>
                <w:sz w:val="18"/>
                <w:szCs w:val="18"/>
                <w:highlight w:val="none"/>
                <w:u w:val="none"/>
              </w:rPr>
            </w:pPr>
          </w:p>
        </w:tc>
        <w:tc>
          <w:tcPr>
            <w:tcW w:w="239" w:type="pct"/>
            <w:vMerge w:val="continue"/>
            <w:vAlign w:val="center"/>
          </w:tcPr>
          <w:p w14:paraId="4F55BE9E">
            <w:pPr>
              <w:pStyle w:val="92"/>
              <w:rPr>
                <w:color w:val="auto"/>
                <w:sz w:val="18"/>
                <w:szCs w:val="18"/>
                <w:highlight w:val="none"/>
                <w:u w:val="none"/>
              </w:rPr>
            </w:pPr>
          </w:p>
        </w:tc>
        <w:tc>
          <w:tcPr>
            <w:tcW w:w="359" w:type="pct"/>
            <w:vMerge w:val="continue"/>
            <w:vAlign w:val="center"/>
          </w:tcPr>
          <w:p w14:paraId="277EA032">
            <w:pPr>
              <w:pStyle w:val="92"/>
              <w:rPr>
                <w:color w:val="auto"/>
                <w:sz w:val="18"/>
                <w:szCs w:val="18"/>
                <w:highlight w:val="none"/>
                <w:u w:val="none"/>
              </w:rPr>
            </w:pPr>
          </w:p>
        </w:tc>
      </w:tr>
      <w:tr w14:paraId="377F42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restart"/>
            <w:vAlign w:val="center"/>
          </w:tcPr>
          <w:p w14:paraId="5391211B">
            <w:pPr>
              <w:pStyle w:val="92"/>
              <w:rPr>
                <w:color w:val="auto"/>
                <w:sz w:val="18"/>
                <w:szCs w:val="18"/>
                <w:highlight w:val="none"/>
                <w:u w:val="none"/>
              </w:rPr>
            </w:pPr>
            <w:r>
              <w:rPr>
                <w:rFonts w:hint="eastAsia"/>
                <w:color w:val="auto"/>
                <w:sz w:val="18"/>
                <w:szCs w:val="18"/>
                <w:highlight w:val="none"/>
                <w:u w:val="none"/>
              </w:rPr>
              <w:t>储罐区</w:t>
            </w:r>
          </w:p>
        </w:tc>
        <w:tc>
          <w:tcPr>
            <w:tcW w:w="148" w:type="pct"/>
            <w:vMerge w:val="restart"/>
            <w:vAlign w:val="center"/>
          </w:tcPr>
          <w:p w14:paraId="01AFE918">
            <w:pPr>
              <w:pStyle w:val="92"/>
              <w:rPr>
                <w:color w:val="auto"/>
                <w:sz w:val="18"/>
                <w:szCs w:val="18"/>
                <w:highlight w:val="none"/>
                <w:u w:val="none"/>
              </w:rPr>
            </w:pPr>
            <w:r>
              <w:rPr>
                <w:rFonts w:hint="eastAsia"/>
                <w:color w:val="auto"/>
                <w:sz w:val="18"/>
                <w:szCs w:val="18"/>
                <w:highlight w:val="none"/>
                <w:u w:val="none"/>
              </w:rPr>
              <w:t>G</w:t>
            </w:r>
            <w:r>
              <w:rPr>
                <w:color w:val="auto"/>
                <w:sz w:val="18"/>
                <w:szCs w:val="18"/>
                <w:highlight w:val="none"/>
                <w:u w:val="none"/>
              </w:rPr>
              <w:t>4-1</w:t>
            </w:r>
          </w:p>
        </w:tc>
        <w:tc>
          <w:tcPr>
            <w:tcW w:w="323" w:type="pct"/>
            <w:vMerge w:val="restart"/>
            <w:vAlign w:val="center"/>
          </w:tcPr>
          <w:p w14:paraId="548E00DB">
            <w:pPr>
              <w:pStyle w:val="92"/>
              <w:rPr>
                <w:color w:val="auto"/>
                <w:sz w:val="18"/>
                <w:szCs w:val="18"/>
                <w:highlight w:val="none"/>
                <w:u w:val="none"/>
              </w:rPr>
            </w:pPr>
            <w:r>
              <w:rPr>
                <w:color w:val="auto"/>
                <w:sz w:val="18"/>
                <w:szCs w:val="18"/>
                <w:highlight w:val="none"/>
                <w:u w:val="none"/>
              </w:rPr>
              <w:t>ODCB</w:t>
            </w:r>
            <w:r>
              <w:rPr>
                <w:rFonts w:hint="eastAsia"/>
                <w:color w:val="auto"/>
                <w:sz w:val="18"/>
                <w:szCs w:val="18"/>
                <w:highlight w:val="none"/>
                <w:u w:val="none"/>
              </w:rPr>
              <w:t>储罐废气</w:t>
            </w:r>
          </w:p>
        </w:tc>
        <w:tc>
          <w:tcPr>
            <w:tcW w:w="320" w:type="pct"/>
            <w:vMerge w:val="restart"/>
            <w:vAlign w:val="center"/>
          </w:tcPr>
          <w:p w14:paraId="66C3A1CF">
            <w:pPr>
              <w:pStyle w:val="92"/>
              <w:rPr>
                <w:color w:val="auto"/>
                <w:sz w:val="18"/>
                <w:szCs w:val="18"/>
                <w:highlight w:val="none"/>
                <w:u w:val="none"/>
              </w:rPr>
            </w:pPr>
            <w:r>
              <w:rPr>
                <w:color w:val="auto"/>
                <w:sz w:val="18"/>
                <w:szCs w:val="18"/>
                <w:highlight w:val="none"/>
                <w:u w:val="none"/>
              </w:rPr>
              <w:t>64</w:t>
            </w:r>
          </w:p>
        </w:tc>
        <w:tc>
          <w:tcPr>
            <w:tcW w:w="550" w:type="pct"/>
            <w:vAlign w:val="center"/>
          </w:tcPr>
          <w:p w14:paraId="7A236148">
            <w:pPr>
              <w:pStyle w:val="92"/>
              <w:rPr>
                <w:color w:val="auto"/>
                <w:sz w:val="18"/>
                <w:szCs w:val="18"/>
                <w:highlight w:val="none"/>
                <w:u w:val="none"/>
              </w:rPr>
            </w:pPr>
            <w:r>
              <w:rPr>
                <w:rFonts w:hint="eastAsia"/>
                <w:color w:val="auto"/>
                <w:sz w:val="18"/>
                <w:szCs w:val="18"/>
                <w:highlight w:val="none"/>
                <w:u w:val="none"/>
              </w:rPr>
              <w:t>O</w:t>
            </w:r>
            <w:r>
              <w:rPr>
                <w:color w:val="auto"/>
                <w:sz w:val="18"/>
                <w:szCs w:val="18"/>
                <w:highlight w:val="none"/>
                <w:u w:val="none"/>
              </w:rPr>
              <w:t>DCB</w:t>
            </w:r>
          </w:p>
        </w:tc>
        <w:tc>
          <w:tcPr>
            <w:tcW w:w="189" w:type="pct"/>
            <w:vMerge w:val="restart"/>
            <w:vAlign w:val="center"/>
          </w:tcPr>
          <w:p w14:paraId="3A57F441">
            <w:pPr>
              <w:pStyle w:val="92"/>
              <w:rPr>
                <w:color w:val="auto"/>
                <w:sz w:val="18"/>
                <w:szCs w:val="18"/>
                <w:highlight w:val="none"/>
                <w:u w:val="none"/>
              </w:rPr>
            </w:pPr>
            <w:r>
              <w:rPr>
                <w:rFonts w:hint="eastAsia"/>
                <w:color w:val="auto"/>
                <w:sz w:val="18"/>
                <w:szCs w:val="18"/>
                <w:highlight w:val="none"/>
                <w:u w:val="none"/>
              </w:rPr>
              <w:t>产污系数</w:t>
            </w:r>
          </w:p>
        </w:tc>
        <w:tc>
          <w:tcPr>
            <w:tcW w:w="284" w:type="pct"/>
            <w:vAlign w:val="center"/>
          </w:tcPr>
          <w:p w14:paraId="5B422712">
            <w:pPr>
              <w:pStyle w:val="92"/>
              <w:rPr>
                <w:rFonts w:eastAsia="等线"/>
                <w:color w:val="auto"/>
                <w:sz w:val="18"/>
                <w:szCs w:val="18"/>
                <w:highlight w:val="none"/>
                <w:u w:val="none"/>
              </w:rPr>
            </w:pPr>
            <w:r>
              <w:rPr>
                <w:rFonts w:eastAsia="等线"/>
                <w:color w:val="auto"/>
                <w:sz w:val="18"/>
                <w:szCs w:val="18"/>
                <w:highlight w:val="none"/>
                <w:u w:val="none"/>
              </w:rPr>
              <w:t>62.5</w:t>
            </w:r>
          </w:p>
        </w:tc>
        <w:tc>
          <w:tcPr>
            <w:tcW w:w="241" w:type="pct"/>
            <w:vAlign w:val="center"/>
          </w:tcPr>
          <w:p w14:paraId="13E1C5FE">
            <w:pPr>
              <w:pStyle w:val="92"/>
              <w:rPr>
                <w:rFonts w:eastAsia="等线"/>
                <w:color w:val="auto"/>
                <w:sz w:val="18"/>
                <w:szCs w:val="18"/>
                <w:highlight w:val="none"/>
                <w:u w:val="none"/>
              </w:rPr>
            </w:pPr>
            <w:r>
              <w:rPr>
                <w:rFonts w:eastAsia="等线"/>
                <w:color w:val="auto"/>
                <w:sz w:val="18"/>
                <w:szCs w:val="18"/>
                <w:highlight w:val="none"/>
                <w:u w:val="none"/>
              </w:rPr>
              <w:t>0.004</w:t>
            </w:r>
          </w:p>
        </w:tc>
        <w:tc>
          <w:tcPr>
            <w:tcW w:w="301" w:type="pct"/>
            <w:vAlign w:val="center"/>
          </w:tcPr>
          <w:p w14:paraId="57755CB1">
            <w:pPr>
              <w:pStyle w:val="92"/>
              <w:rPr>
                <w:rFonts w:eastAsia="等线"/>
                <w:color w:val="auto"/>
                <w:sz w:val="18"/>
                <w:szCs w:val="18"/>
                <w:highlight w:val="none"/>
                <w:u w:val="none"/>
              </w:rPr>
            </w:pPr>
            <w:r>
              <w:rPr>
                <w:rFonts w:eastAsia="等线"/>
                <w:color w:val="auto"/>
                <w:sz w:val="18"/>
                <w:szCs w:val="18"/>
                <w:highlight w:val="none"/>
                <w:u w:val="none"/>
              </w:rPr>
              <w:t>0.03</w:t>
            </w:r>
          </w:p>
        </w:tc>
        <w:tc>
          <w:tcPr>
            <w:tcW w:w="420" w:type="pct"/>
            <w:vMerge w:val="restart"/>
            <w:vAlign w:val="center"/>
          </w:tcPr>
          <w:p w14:paraId="4C71CDB6">
            <w:pPr>
              <w:pStyle w:val="92"/>
              <w:rPr>
                <w:color w:val="auto"/>
                <w:sz w:val="18"/>
                <w:szCs w:val="18"/>
                <w:highlight w:val="none"/>
                <w:u w:val="none"/>
              </w:rPr>
            </w:pPr>
            <w:r>
              <w:rPr>
                <w:rFonts w:hint="eastAsia"/>
                <w:color w:val="auto"/>
                <w:sz w:val="18"/>
                <w:szCs w:val="18"/>
                <w:highlight w:val="none"/>
                <w:u w:val="none"/>
              </w:rPr>
              <w:t>两级活性炭吸附</w:t>
            </w:r>
          </w:p>
        </w:tc>
        <w:tc>
          <w:tcPr>
            <w:tcW w:w="322" w:type="pct"/>
            <w:vAlign w:val="center"/>
          </w:tcPr>
          <w:p w14:paraId="44EDB009">
            <w:pPr>
              <w:pStyle w:val="92"/>
              <w:rPr>
                <w:rFonts w:eastAsia="等线"/>
                <w:color w:val="auto"/>
                <w:sz w:val="18"/>
                <w:szCs w:val="18"/>
                <w:highlight w:val="none"/>
                <w:u w:val="none"/>
              </w:rPr>
            </w:pPr>
            <w:r>
              <w:rPr>
                <w:rFonts w:hint="eastAsia" w:eastAsia="等线"/>
                <w:color w:val="auto"/>
                <w:sz w:val="18"/>
                <w:szCs w:val="18"/>
                <w:highlight w:val="none"/>
                <w:u w:val="none"/>
              </w:rPr>
              <w:t xml:space="preserve">1.88 </w:t>
            </w:r>
          </w:p>
        </w:tc>
        <w:tc>
          <w:tcPr>
            <w:tcW w:w="713" w:type="dxa"/>
            <w:vAlign w:val="center"/>
          </w:tcPr>
          <w:p w14:paraId="6D8718D7">
            <w:pPr>
              <w:pStyle w:val="92"/>
              <w:ind w:firstLine="0" w:firstLineChars="0"/>
              <w:rPr>
                <w:rFonts w:eastAsia="等线"/>
                <w:color w:val="auto"/>
                <w:sz w:val="18"/>
                <w:szCs w:val="18"/>
                <w:highlight w:val="none"/>
                <w:u w:val="none"/>
              </w:rPr>
            </w:pPr>
            <w:r>
              <w:rPr>
                <w:rFonts w:eastAsia="等线"/>
                <w:color w:val="auto"/>
                <w:sz w:val="18"/>
                <w:szCs w:val="18"/>
                <w:highlight w:val="none"/>
                <w:u w:val="none"/>
              </w:rPr>
              <w:t>0.00012</w:t>
            </w:r>
          </w:p>
        </w:tc>
        <w:tc>
          <w:tcPr>
            <w:tcW w:w="742" w:type="dxa"/>
            <w:vAlign w:val="center"/>
          </w:tcPr>
          <w:p w14:paraId="72D0EC8F">
            <w:pPr>
              <w:pStyle w:val="92"/>
              <w:ind w:firstLine="0" w:firstLineChars="0"/>
              <w:rPr>
                <w:rFonts w:eastAsia="等线"/>
                <w:color w:val="auto"/>
                <w:sz w:val="18"/>
                <w:szCs w:val="18"/>
                <w:highlight w:val="none"/>
                <w:u w:val="none"/>
              </w:rPr>
            </w:pPr>
            <w:r>
              <w:rPr>
                <w:rFonts w:eastAsia="等线"/>
                <w:color w:val="auto"/>
                <w:sz w:val="18"/>
                <w:szCs w:val="18"/>
                <w:highlight w:val="none"/>
                <w:u w:val="none"/>
              </w:rPr>
              <w:t>0.0009</w:t>
            </w:r>
          </w:p>
        </w:tc>
        <w:tc>
          <w:tcPr>
            <w:tcW w:w="205" w:type="pct"/>
            <w:vMerge w:val="restart"/>
            <w:vAlign w:val="center"/>
          </w:tcPr>
          <w:p w14:paraId="54101EE9">
            <w:pPr>
              <w:pStyle w:val="92"/>
              <w:rPr>
                <w:color w:val="auto"/>
                <w:sz w:val="18"/>
                <w:szCs w:val="18"/>
                <w:highlight w:val="none"/>
                <w:u w:val="none"/>
              </w:rPr>
            </w:pPr>
            <w:r>
              <w:rPr>
                <w:rFonts w:hint="eastAsia"/>
                <w:color w:val="auto"/>
                <w:sz w:val="18"/>
                <w:szCs w:val="18"/>
                <w:highlight w:val="none"/>
                <w:u w:val="none"/>
              </w:rPr>
              <w:t>DA017</w:t>
            </w:r>
          </w:p>
        </w:tc>
        <w:tc>
          <w:tcPr>
            <w:tcW w:w="222" w:type="pct"/>
            <w:vMerge w:val="restart"/>
            <w:vAlign w:val="center"/>
          </w:tcPr>
          <w:p w14:paraId="097EBF51">
            <w:pPr>
              <w:pStyle w:val="92"/>
              <w:rPr>
                <w:color w:val="auto"/>
                <w:sz w:val="18"/>
                <w:szCs w:val="18"/>
                <w:highlight w:val="none"/>
                <w:u w:val="none"/>
              </w:rPr>
            </w:pPr>
            <w:r>
              <w:rPr>
                <w:rFonts w:hint="eastAsia"/>
                <w:color w:val="auto"/>
                <w:sz w:val="18"/>
                <w:szCs w:val="18"/>
                <w:highlight w:val="none"/>
                <w:u w:val="none"/>
              </w:rPr>
              <w:t>1</w:t>
            </w:r>
            <w:r>
              <w:rPr>
                <w:color w:val="auto"/>
                <w:sz w:val="18"/>
                <w:szCs w:val="18"/>
                <w:highlight w:val="none"/>
                <w:u w:val="none"/>
              </w:rPr>
              <w:t>5</w:t>
            </w:r>
          </w:p>
        </w:tc>
        <w:tc>
          <w:tcPr>
            <w:tcW w:w="222" w:type="pct"/>
            <w:vMerge w:val="restart"/>
            <w:vAlign w:val="center"/>
          </w:tcPr>
          <w:p w14:paraId="5E7E44C4">
            <w:pPr>
              <w:pStyle w:val="92"/>
              <w:rPr>
                <w:color w:val="auto"/>
                <w:sz w:val="18"/>
                <w:szCs w:val="18"/>
                <w:highlight w:val="none"/>
                <w:u w:val="none"/>
              </w:rPr>
            </w:pPr>
            <w:r>
              <w:rPr>
                <w:rFonts w:hint="eastAsia"/>
                <w:color w:val="auto"/>
                <w:sz w:val="18"/>
                <w:szCs w:val="18"/>
                <w:highlight w:val="none"/>
                <w:u w:val="none"/>
              </w:rPr>
              <w:t>0</w:t>
            </w:r>
            <w:r>
              <w:rPr>
                <w:color w:val="auto"/>
                <w:sz w:val="18"/>
                <w:szCs w:val="18"/>
                <w:highlight w:val="none"/>
                <w:u w:val="none"/>
              </w:rPr>
              <w:t>.15</w:t>
            </w:r>
          </w:p>
        </w:tc>
        <w:tc>
          <w:tcPr>
            <w:tcW w:w="239" w:type="pct"/>
            <w:vMerge w:val="restart"/>
            <w:vAlign w:val="center"/>
          </w:tcPr>
          <w:p w14:paraId="2D20F1D7">
            <w:pPr>
              <w:pStyle w:val="92"/>
              <w:rPr>
                <w:color w:val="auto"/>
                <w:sz w:val="18"/>
                <w:szCs w:val="18"/>
                <w:highlight w:val="none"/>
                <w:u w:val="none"/>
              </w:rPr>
            </w:pPr>
            <w:r>
              <w:rPr>
                <w:rFonts w:hint="eastAsia"/>
                <w:color w:val="auto"/>
                <w:sz w:val="18"/>
                <w:szCs w:val="18"/>
                <w:highlight w:val="none"/>
                <w:u w:val="none"/>
              </w:rPr>
              <w:t>2</w:t>
            </w:r>
            <w:r>
              <w:rPr>
                <w:color w:val="auto"/>
                <w:sz w:val="18"/>
                <w:szCs w:val="18"/>
                <w:highlight w:val="none"/>
                <w:u w:val="none"/>
              </w:rPr>
              <w:t>5</w:t>
            </w:r>
          </w:p>
        </w:tc>
        <w:tc>
          <w:tcPr>
            <w:tcW w:w="359" w:type="pct"/>
            <w:vMerge w:val="restart"/>
            <w:vAlign w:val="center"/>
          </w:tcPr>
          <w:p w14:paraId="63EA8864">
            <w:pPr>
              <w:pStyle w:val="92"/>
              <w:rPr>
                <w:color w:val="auto"/>
                <w:sz w:val="18"/>
                <w:szCs w:val="18"/>
                <w:highlight w:val="none"/>
                <w:u w:val="none"/>
              </w:rPr>
            </w:pPr>
            <w:r>
              <w:rPr>
                <w:color w:val="auto"/>
                <w:sz w:val="18"/>
                <w:szCs w:val="18"/>
                <w:highlight w:val="none"/>
                <w:u w:val="none"/>
              </w:rPr>
              <w:t>大气</w:t>
            </w:r>
          </w:p>
        </w:tc>
      </w:tr>
      <w:tr w14:paraId="22F27E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282781CB">
            <w:pPr>
              <w:pStyle w:val="92"/>
              <w:rPr>
                <w:color w:val="auto"/>
                <w:sz w:val="18"/>
                <w:szCs w:val="18"/>
                <w:highlight w:val="none"/>
                <w:u w:val="none"/>
              </w:rPr>
            </w:pPr>
          </w:p>
        </w:tc>
        <w:tc>
          <w:tcPr>
            <w:tcW w:w="148" w:type="pct"/>
            <w:vMerge w:val="continue"/>
            <w:vAlign w:val="center"/>
          </w:tcPr>
          <w:p w14:paraId="0EAB194C">
            <w:pPr>
              <w:pStyle w:val="92"/>
              <w:rPr>
                <w:color w:val="auto"/>
                <w:sz w:val="18"/>
                <w:szCs w:val="18"/>
                <w:highlight w:val="none"/>
                <w:u w:val="none"/>
              </w:rPr>
            </w:pPr>
          </w:p>
        </w:tc>
        <w:tc>
          <w:tcPr>
            <w:tcW w:w="323" w:type="pct"/>
            <w:vMerge w:val="continue"/>
            <w:vAlign w:val="center"/>
          </w:tcPr>
          <w:p w14:paraId="54F63633">
            <w:pPr>
              <w:pStyle w:val="92"/>
              <w:rPr>
                <w:color w:val="auto"/>
                <w:sz w:val="18"/>
                <w:szCs w:val="18"/>
                <w:highlight w:val="none"/>
                <w:u w:val="none"/>
              </w:rPr>
            </w:pPr>
          </w:p>
        </w:tc>
        <w:tc>
          <w:tcPr>
            <w:tcW w:w="320" w:type="pct"/>
            <w:vMerge w:val="continue"/>
            <w:vAlign w:val="center"/>
          </w:tcPr>
          <w:p w14:paraId="048A2836">
            <w:pPr>
              <w:pStyle w:val="92"/>
              <w:rPr>
                <w:color w:val="auto"/>
                <w:sz w:val="18"/>
                <w:szCs w:val="18"/>
                <w:highlight w:val="none"/>
                <w:u w:val="none"/>
              </w:rPr>
            </w:pPr>
          </w:p>
        </w:tc>
        <w:tc>
          <w:tcPr>
            <w:tcW w:w="550" w:type="pct"/>
            <w:vAlign w:val="center"/>
          </w:tcPr>
          <w:p w14:paraId="43353F63">
            <w:pPr>
              <w:pStyle w:val="92"/>
              <w:rPr>
                <w:color w:val="auto"/>
                <w:sz w:val="18"/>
                <w:szCs w:val="18"/>
                <w:highlight w:val="none"/>
                <w:u w:val="none"/>
              </w:rPr>
            </w:pPr>
            <w:r>
              <w:rPr>
                <w:rFonts w:hint="eastAsia"/>
                <w:color w:val="auto"/>
                <w:sz w:val="18"/>
                <w:szCs w:val="18"/>
                <w:highlight w:val="none"/>
                <w:u w:val="none"/>
              </w:rPr>
              <w:t>V</w:t>
            </w:r>
            <w:r>
              <w:rPr>
                <w:color w:val="auto"/>
                <w:sz w:val="18"/>
                <w:szCs w:val="18"/>
                <w:highlight w:val="none"/>
                <w:u w:val="none"/>
              </w:rPr>
              <w:t>OCs</w:t>
            </w:r>
          </w:p>
        </w:tc>
        <w:tc>
          <w:tcPr>
            <w:tcW w:w="189" w:type="pct"/>
            <w:vMerge w:val="continue"/>
            <w:vAlign w:val="center"/>
          </w:tcPr>
          <w:p w14:paraId="6CCD9367">
            <w:pPr>
              <w:pStyle w:val="92"/>
              <w:rPr>
                <w:color w:val="auto"/>
                <w:sz w:val="18"/>
                <w:szCs w:val="18"/>
                <w:highlight w:val="none"/>
                <w:u w:val="none"/>
              </w:rPr>
            </w:pPr>
          </w:p>
        </w:tc>
        <w:tc>
          <w:tcPr>
            <w:tcW w:w="284" w:type="pct"/>
            <w:vAlign w:val="center"/>
          </w:tcPr>
          <w:p w14:paraId="259CB97A">
            <w:pPr>
              <w:pStyle w:val="92"/>
              <w:rPr>
                <w:rFonts w:eastAsia="等线"/>
                <w:color w:val="auto"/>
                <w:sz w:val="18"/>
                <w:szCs w:val="18"/>
                <w:highlight w:val="none"/>
                <w:u w:val="none"/>
              </w:rPr>
            </w:pPr>
            <w:r>
              <w:rPr>
                <w:rFonts w:eastAsia="等线"/>
                <w:color w:val="auto"/>
                <w:sz w:val="18"/>
                <w:szCs w:val="18"/>
                <w:highlight w:val="none"/>
                <w:u w:val="none"/>
              </w:rPr>
              <w:t>62.5</w:t>
            </w:r>
          </w:p>
        </w:tc>
        <w:tc>
          <w:tcPr>
            <w:tcW w:w="241" w:type="pct"/>
            <w:vAlign w:val="center"/>
          </w:tcPr>
          <w:p w14:paraId="088435E5">
            <w:pPr>
              <w:pStyle w:val="92"/>
              <w:rPr>
                <w:rFonts w:eastAsia="等线"/>
                <w:color w:val="auto"/>
                <w:sz w:val="18"/>
                <w:szCs w:val="18"/>
                <w:highlight w:val="none"/>
                <w:u w:val="none"/>
              </w:rPr>
            </w:pPr>
            <w:r>
              <w:rPr>
                <w:rFonts w:eastAsia="等线"/>
                <w:color w:val="auto"/>
                <w:sz w:val="18"/>
                <w:szCs w:val="18"/>
                <w:highlight w:val="none"/>
                <w:u w:val="none"/>
              </w:rPr>
              <w:t>0.004</w:t>
            </w:r>
          </w:p>
        </w:tc>
        <w:tc>
          <w:tcPr>
            <w:tcW w:w="301" w:type="pct"/>
            <w:vAlign w:val="center"/>
          </w:tcPr>
          <w:p w14:paraId="53144AFC">
            <w:pPr>
              <w:pStyle w:val="92"/>
              <w:rPr>
                <w:rFonts w:eastAsia="等线"/>
                <w:color w:val="auto"/>
                <w:sz w:val="18"/>
                <w:szCs w:val="18"/>
                <w:highlight w:val="none"/>
                <w:u w:val="none"/>
              </w:rPr>
            </w:pPr>
            <w:r>
              <w:rPr>
                <w:rFonts w:eastAsia="等线"/>
                <w:color w:val="auto"/>
                <w:sz w:val="18"/>
                <w:szCs w:val="18"/>
                <w:highlight w:val="none"/>
                <w:u w:val="none"/>
              </w:rPr>
              <w:t>0.03</w:t>
            </w:r>
          </w:p>
        </w:tc>
        <w:tc>
          <w:tcPr>
            <w:tcW w:w="420" w:type="pct"/>
            <w:vMerge w:val="continue"/>
            <w:vAlign w:val="center"/>
          </w:tcPr>
          <w:p w14:paraId="4C8D999C">
            <w:pPr>
              <w:pStyle w:val="92"/>
              <w:rPr>
                <w:color w:val="auto"/>
                <w:sz w:val="18"/>
                <w:szCs w:val="18"/>
                <w:highlight w:val="none"/>
                <w:u w:val="none"/>
              </w:rPr>
            </w:pPr>
          </w:p>
        </w:tc>
        <w:tc>
          <w:tcPr>
            <w:tcW w:w="322" w:type="pct"/>
            <w:vAlign w:val="center"/>
          </w:tcPr>
          <w:p w14:paraId="6F4ADD5F">
            <w:pPr>
              <w:pStyle w:val="92"/>
              <w:rPr>
                <w:rFonts w:eastAsia="等线"/>
                <w:color w:val="auto"/>
                <w:sz w:val="18"/>
                <w:szCs w:val="18"/>
                <w:highlight w:val="none"/>
                <w:u w:val="none"/>
              </w:rPr>
            </w:pPr>
            <w:r>
              <w:rPr>
                <w:rFonts w:hint="eastAsia" w:eastAsia="等线"/>
                <w:color w:val="auto"/>
                <w:sz w:val="18"/>
                <w:szCs w:val="18"/>
                <w:highlight w:val="none"/>
                <w:u w:val="none"/>
              </w:rPr>
              <w:t xml:space="preserve">1.88 </w:t>
            </w:r>
          </w:p>
        </w:tc>
        <w:tc>
          <w:tcPr>
            <w:tcW w:w="713" w:type="dxa"/>
            <w:vAlign w:val="center"/>
          </w:tcPr>
          <w:p w14:paraId="261B6E57">
            <w:pPr>
              <w:pStyle w:val="92"/>
              <w:ind w:firstLine="0" w:firstLineChars="0"/>
              <w:rPr>
                <w:rFonts w:eastAsia="等线"/>
                <w:color w:val="auto"/>
                <w:sz w:val="18"/>
                <w:szCs w:val="18"/>
                <w:highlight w:val="none"/>
                <w:u w:val="none"/>
              </w:rPr>
            </w:pPr>
            <w:r>
              <w:rPr>
                <w:rFonts w:eastAsia="等线"/>
                <w:color w:val="auto"/>
                <w:sz w:val="18"/>
                <w:szCs w:val="18"/>
                <w:highlight w:val="none"/>
                <w:u w:val="none"/>
              </w:rPr>
              <w:t>0.00012</w:t>
            </w:r>
          </w:p>
        </w:tc>
        <w:tc>
          <w:tcPr>
            <w:tcW w:w="742" w:type="dxa"/>
            <w:vAlign w:val="center"/>
          </w:tcPr>
          <w:p w14:paraId="0564B795">
            <w:pPr>
              <w:pStyle w:val="92"/>
              <w:ind w:firstLine="0" w:firstLineChars="0"/>
              <w:rPr>
                <w:rFonts w:eastAsia="等线"/>
                <w:color w:val="auto"/>
                <w:sz w:val="18"/>
                <w:szCs w:val="18"/>
                <w:highlight w:val="none"/>
                <w:u w:val="none"/>
              </w:rPr>
            </w:pPr>
            <w:r>
              <w:rPr>
                <w:rFonts w:eastAsia="等线"/>
                <w:color w:val="auto"/>
                <w:sz w:val="18"/>
                <w:szCs w:val="18"/>
                <w:highlight w:val="none"/>
                <w:u w:val="none"/>
              </w:rPr>
              <w:t>0.0009</w:t>
            </w:r>
          </w:p>
        </w:tc>
        <w:tc>
          <w:tcPr>
            <w:tcW w:w="205" w:type="pct"/>
            <w:vMerge w:val="continue"/>
            <w:vAlign w:val="center"/>
          </w:tcPr>
          <w:p w14:paraId="03E3768C">
            <w:pPr>
              <w:pStyle w:val="92"/>
              <w:rPr>
                <w:color w:val="auto"/>
                <w:sz w:val="18"/>
                <w:szCs w:val="18"/>
                <w:highlight w:val="none"/>
                <w:u w:val="none"/>
              </w:rPr>
            </w:pPr>
          </w:p>
        </w:tc>
        <w:tc>
          <w:tcPr>
            <w:tcW w:w="222" w:type="pct"/>
            <w:vMerge w:val="continue"/>
            <w:vAlign w:val="center"/>
          </w:tcPr>
          <w:p w14:paraId="48477ACD">
            <w:pPr>
              <w:pStyle w:val="92"/>
              <w:rPr>
                <w:color w:val="auto"/>
                <w:sz w:val="18"/>
                <w:szCs w:val="18"/>
                <w:highlight w:val="none"/>
                <w:u w:val="none"/>
              </w:rPr>
            </w:pPr>
          </w:p>
        </w:tc>
        <w:tc>
          <w:tcPr>
            <w:tcW w:w="222" w:type="pct"/>
            <w:vMerge w:val="continue"/>
            <w:vAlign w:val="center"/>
          </w:tcPr>
          <w:p w14:paraId="793EEF2C">
            <w:pPr>
              <w:pStyle w:val="92"/>
              <w:rPr>
                <w:color w:val="auto"/>
                <w:sz w:val="18"/>
                <w:szCs w:val="18"/>
                <w:highlight w:val="none"/>
                <w:u w:val="none"/>
              </w:rPr>
            </w:pPr>
          </w:p>
        </w:tc>
        <w:tc>
          <w:tcPr>
            <w:tcW w:w="239" w:type="pct"/>
            <w:vMerge w:val="continue"/>
            <w:vAlign w:val="center"/>
          </w:tcPr>
          <w:p w14:paraId="7E6A6FFB">
            <w:pPr>
              <w:pStyle w:val="92"/>
              <w:rPr>
                <w:color w:val="auto"/>
                <w:sz w:val="18"/>
                <w:szCs w:val="18"/>
                <w:highlight w:val="none"/>
                <w:u w:val="none"/>
              </w:rPr>
            </w:pPr>
          </w:p>
        </w:tc>
        <w:tc>
          <w:tcPr>
            <w:tcW w:w="359" w:type="pct"/>
            <w:vMerge w:val="continue"/>
            <w:vAlign w:val="center"/>
          </w:tcPr>
          <w:p w14:paraId="5456D9E8">
            <w:pPr>
              <w:pStyle w:val="92"/>
              <w:rPr>
                <w:color w:val="auto"/>
                <w:sz w:val="18"/>
                <w:szCs w:val="18"/>
                <w:highlight w:val="none"/>
                <w:u w:val="none"/>
              </w:rPr>
            </w:pPr>
          </w:p>
        </w:tc>
      </w:tr>
      <w:tr w14:paraId="199B12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restart"/>
            <w:vAlign w:val="center"/>
          </w:tcPr>
          <w:p w14:paraId="4BEC2A47">
            <w:pPr>
              <w:pStyle w:val="92"/>
              <w:rPr>
                <w:color w:val="auto"/>
                <w:sz w:val="18"/>
                <w:szCs w:val="18"/>
                <w:highlight w:val="none"/>
                <w:u w:val="none"/>
              </w:rPr>
            </w:pPr>
            <w:r>
              <w:rPr>
                <w:rFonts w:hint="eastAsia"/>
                <w:color w:val="auto"/>
                <w:sz w:val="18"/>
                <w:szCs w:val="18"/>
                <w:highlight w:val="none"/>
                <w:u w:val="none"/>
              </w:rPr>
              <w:t>焦油装车站</w:t>
            </w:r>
          </w:p>
        </w:tc>
        <w:tc>
          <w:tcPr>
            <w:tcW w:w="148" w:type="pct"/>
            <w:vMerge w:val="restart"/>
            <w:vAlign w:val="center"/>
          </w:tcPr>
          <w:p w14:paraId="3E1EB298">
            <w:pPr>
              <w:pStyle w:val="92"/>
              <w:rPr>
                <w:color w:val="auto"/>
                <w:sz w:val="18"/>
                <w:szCs w:val="18"/>
                <w:highlight w:val="none"/>
                <w:u w:val="none"/>
              </w:rPr>
            </w:pPr>
            <w:r>
              <w:rPr>
                <w:rFonts w:hint="eastAsia"/>
                <w:color w:val="auto"/>
                <w:sz w:val="18"/>
                <w:szCs w:val="18"/>
                <w:highlight w:val="none"/>
                <w:u w:val="none"/>
              </w:rPr>
              <w:t>G5-1</w:t>
            </w:r>
          </w:p>
        </w:tc>
        <w:tc>
          <w:tcPr>
            <w:tcW w:w="323" w:type="pct"/>
            <w:vMerge w:val="restart"/>
            <w:vAlign w:val="center"/>
          </w:tcPr>
          <w:p w14:paraId="3AB65207">
            <w:pPr>
              <w:pStyle w:val="92"/>
              <w:rPr>
                <w:color w:val="auto"/>
                <w:sz w:val="18"/>
                <w:szCs w:val="18"/>
                <w:highlight w:val="none"/>
                <w:u w:val="none"/>
              </w:rPr>
            </w:pPr>
            <w:r>
              <w:rPr>
                <w:rFonts w:hint="eastAsia"/>
                <w:color w:val="auto"/>
                <w:sz w:val="18"/>
                <w:szCs w:val="18"/>
                <w:highlight w:val="none"/>
                <w:u w:val="none"/>
              </w:rPr>
              <w:t>焦油颗粒装车废气</w:t>
            </w:r>
          </w:p>
        </w:tc>
        <w:tc>
          <w:tcPr>
            <w:tcW w:w="320" w:type="pct"/>
            <w:vMerge w:val="restart"/>
            <w:vAlign w:val="center"/>
          </w:tcPr>
          <w:p w14:paraId="7F75A417">
            <w:pPr>
              <w:pStyle w:val="92"/>
              <w:rPr>
                <w:color w:val="auto"/>
                <w:sz w:val="18"/>
                <w:szCs w:val="18"/>
                <w:highlight w:val="none"/>
                <w:u w:val="none"/>
              </w:rPr>
            </w:pPr>
            <w:r>
              <w:rPr>
                <w:rFonts w:hint="eastAsia"/>
                <w:color w:val="auto"/>
                <w:sz w:val="18"/>
                <w:szCs w:val="18"/>
                <w:highlight w:val="none"/>
                <w:u w:val="none"/>
              </w:rPr>
              <w:t>1500</w:t>
            </w:r>
          </w:p>
        </w:tc>
        <w:tc>
          <w:tcPr>
            <w:tcW w:w="550" w:type="pct"/>
            <w:vAlign w:val="center"/>
          </w:tcPr>
          <w:p w14:paraId="5F25067B">
            <w:pPr>
              <w:pStyle w:val="92"/>
              <w:rPr>
                <w:color w:val="auto"/>
                <w:sz w:val="18"/>
                <w:szCs w:val="18"/>
                <w:highlight w:val="none"/>
                <w:u w:val="none"/>
              </w:rPr>
            </w:pPr>
            <w:r>
              <w:rPr>
                <w:rFonts w:hint="eastAsia"/>
                <w:color w:val="auto"/>
                <w:sz w:val="18"/>
                <w:szCs w:val="18"/>
                <w:highlight w:val="none"/>
                <w:u w:val="none"/>
              </w:rPr>
              <w:t>颗粒物</w:t>
            </w:r>
          </w:p>
        </w:tc>
        <w:tc>
          <w:tcPr>
            <w:tcW w:w="189" w:type="pct"/>
            <w:vMerge w:val="restart"/>
            <w:vAlign w:val="center"/>
          </w:tcPr>
          <w:p w14:paraId="2A768DE7">
            <w:pPr>
              <w:pStyle w:val="92"/>
              <w:rPr>
                <w:color w:val="auto"/>
                <w:sz w:val="18"/>
                <w:szCs w:val="18"/>
                <w:highlight w:val="none"/>
                <w:u w:val="none"/>
              </w:rPr>
            </w:pPr>
            <w:r>
              <w:rPr>
                <w:rFonts w:hint="eastAsia"/>
                <w:color w:val="auto"/>
                <w:sz w:val="18"/>
                <w:szCs w:val="18"/>
                <w:highlight w:val="none"/>
                <w:u w:val="none"/>
              </w:rPr>
              <w:t>类比法</w:t>
            </w:r>
          </w:p>
        </w:tc>
        <w:tc>
          <w:tcPr>
            <w:tcW w:w="284" w:type="pct"/>
            <w:vAlign w:val="center"/>
          </w:tcPr>
          <w:p w14:paraId="212E9C01">
            <w:pPr>
              <w:pStyle w:val="92"/>
              <w:rPr>
                <w:rFonts w:eastAsia="等线"/>
                <w:color w:val="auto"/>
                <w:sz w:val="18"/>
                <w:szCs w:val="18"/>
                <w:highlight w:val="none"/>
                <w:u w:val="none"/>
              </w:rPr>
            </w:pPr>
            <w:r>
              <w:rPr>
                <w:color w:val="auto"/>
                <w:sz w:val="18"/>
                <w:szCs w:val="18"/>
                <w:highlight w:val="none"/>
                <w:u w:val="none"/>
              </w:rPr>
              <w:t>50</w:t>
            </w:r>
          </w:p>
        </w:tc>
        <w:tc>
          <w:tcPr>
            <w:tcW w:w="241" w:type="pct"/>
            <w:vAlign w:val="center"/>
          </w:tcPr>
          <w:p w14:paraId="142397FA">
            <w:pPr>
              <w:pStyle w:val="92"/>
              <w:rPr>
                <w:rFonts w:eastAsia="等线"/>
                <w:color w:val="auto"/>
                <w:sz w:val="18"/>
                <w:szCs w:val="18"/>
                <w:highlight w:val="none"/>
                <w:u w:val="none"/>
              </w:rPr>
            </w:pPr>
            <w:r>
              <w:rPr>
                <w:color w:val="auto"/>
                <w:sz w:val="18"/>
                <w:szCs w:val="18"/>
                <w:highlight w:val="none"/>
                <w:u w:val="none"/>
              </w:rPr>
              <w:t>0.075</w:t>
            </w:r>
          </w:p>
        </w:tc>
        <w:tc>
          <w:tcPr>
            <w:tcW w:w="301" w:type="pct"/>
            <w:vAlign w:val="center"/>
          </w:tcPr>
          <w:p w14:paraId="3489FB7B">
            <w:pPr>
              <w:pStyle w:val="92"/>
              <w:rPr>
                <w:rFonts w:eastAsia="等线"/>
                <w:color w:val="auto"/>
                <w:sz w:val="18"/>
                <w:szCs w:val="18"/>
                <w:highlight w:val="none"/>
                <w:u w:val="none"/>
              </w:rPr>
            </w:pPr>
            <w:r>
              <w:rPr>
                <w:color w:val="auto"/>
                <w:sz w:val="18"/>
                <w:szCs w:val="18"/>
                <w:highlight w:val="none"/>
                <w:u w:val="none"/>
              </w:rPr>
              <w:t>0.6</w:t>
            </w:r>
          </w:p>
        </w:tc>
        <w:tc>
          <w:tcPr>
            <w:tcW w:w="420" w:type="pct"/>
            <w:vMerge w:val="restart"/>
            <w:vAlign w:val="center"/>
          </w:tcPr>
          <w:p w14:paraId="2C817739">
            <w:pPr>
              <w:pStyle w:val="92"/>
              <w:rPr>
                <w:color w:val="auto"/>
                <w:sz w:val="18"/>
                <w:szCs w:val="18"/>
                <w:highlight w:val="none"/>
                <w:u w:val="none"/>
              </w:rPr>
            </w:pPr>
            <w:r>
              <w:rPr>
                <w:rFonts w:hint="eastAsia"/>
                <w:color w:val="auto"/>
                <w:sz w:val="18"/>
                <w:szCs w:val="18"/>
                <w:highlight w:val="none"/>
                <w:u w:val="none"/>
              </w:rPr>
              <w:t>二级粉尘过滤器</w:t>
            </w:r>
          </w:p>
        </w:tc>
        <w:tc>
          <w:tcPr>
            <w:tcW w:w="322" w:type="pct"/>
            <w:vAlign w:val="center"/>
          </w:tcPr>
          <w:p w14:paraId="7DC7A1DE">
            <w:pPr>
              <w:pStyle w:val="92"/>
              <w:rPr>
                <w:rFonts w:eastAsia="等线"/>
                <w:color w:val="auto"/>
                <w:sz w:val="18"/>
                <w:szCs w:val="18"/>
                <w:highlight w:val="none"/>
                <w:u w:val="none"/>
              </w:rPr>
            </w:pPr>
            <w:r>
              <w:rPr>
                <w:color w:val="auto"/>
                <w:sz w:val="18"/>
                <w:szCs w:val="18"/>
                <w:highlight w:val="none"/>
                <w:u w:val="none"/>
              </w:rPr>
              <w:t>0.5</w:t>
            </w:r>
          </w:p>
        </w:tc>
        <w:tc>
          <w:tcPr>
            <w:tcW w:w="254" w:type="pct"/>
            <w:vAlign w:val="center"/>
          </w:tcPr>
          <w:p w14:paraId="6E99AB85">
            <w:pPr>
              <w:pStyle w:val="92"/>
              <w:rPr>
                <w:rFonts w:eastAsia="等线"/>
                <w:color w:val="auto"/>
                <w:sz w:val="18"/>
                <w:szCs w:val="18"/>
                <w:highlight w:val="none"/>
                <w:u w:val="none"/>
              </w:rPr>
            </w:pPr>
            <w:r>
              <w:rPr>
                <w:color w:val="auto"/>
                <w:sz w:val="18"/>
                <w:szCs w:val="18"/>
                <w:highlight w:val="none"/>
                <w:u w:val="none"/>
              </w:rPr>
              <w:t>0.00075</w:t>
            </w:r>
          </w:p>
        </w:tc>
        <w:tc>
          <w:tcPr>
            <w:tcW w:w="264" w:type="pct"/>
            <w:vAlign w:val="center"/>
          </w:tcPr>
          <w:p w14:paraId="1856007C">
            <w:pPr>
              <w:pStyle w:val="92"/>
              <w:rPr>
                <w:rFonts w:eastAsia="等线"/>
                <w:color w:val="auto"/>
                <w:sz w:val="18"/>
                <w:szCs w:val="18"/>
                <w:highlight w:val="none"/>
                <w:u w:val="none"/>
              </w:rPr>
            </w:pPr>
            <w:r>
              <w:rPr>
                <w:color w:val="auto"/>
                <w:sz w:val="18"/>
                <w:szCs w:val="18"/>
                <w:highlight w:val="none"/>
                <w:u w:val="none"/>
              </w:rPr>
              <w:t>0.006</w:t>
            </w:r>
          </w:p>
        </w:tc>
        <w:tc>
          <w:tcPr>
            <w:tcW w:w="205" w:type="pct"/>
            <w:vMerge w:val="restart"/>
            <w:vAlign w:val="center"/>
          </w:tcPr>
          <w:p w14:paraId="365D4F91">
            <w:pPr>
              <w:pStyle w:val="92"/>
              <w:rPr>
                <w:color w:val="auto"/>
                <w:sz w:val="18"/>
                <w:szCs w:val="18"/>
                <w:highlight w:val="none"/>
                <w:u w:val="none"/>
              </w:rPr>
            </w:pPr>
            <w:r>
              <w:rPr>
                <w:rFonts w:hint="eastAsia"/>
                <w:color w:val="auto"/>
                <w:sz w:val="18"/>
                <w:szCs w:val="18"/>
                <w:highlight w:val="none"/>
                <w:u w:val="none"/>
              </w:rPr>
              <w:t>/</w:t>
            </w:r>
          </w:p>
        </w:tc>
        <w:tc>
          <w:tcPr>
            <w:tcW w:w="222" w:type="pct"/>
            <w:vMerge w:val="restart"/>
            <w:vAlign w:val="center"/>
          </w:tcPr>
          <w:p w14:paraId="34C24232">
            <w:pPr>
              <w:pStyle w:val="92"/>
              <w:rPr>
                <w:color w:val="auto"/>
                <w:sz w:val="18"/>
                <w:szCs w:val="18"/>
                <w:highlight w:val="none"/>
                <w:u w:val="none"/>
              </w:rPr>
            </w:pPr>
            <w:r>
              <w:rPr>
                <w:rFonts w:hint="eastAsia"/>
                <w:color w:val="auto"/>
                <w:sz w:val="18"/>
                <w:szCs w:val="18"/>
                <w:highlight w:val="none"/>
                <w:u w:val="none"/>
              </w:rPr>
              <w:t>23</w:t>
            </w:r>
          </w:p>
        </w:tc>
        <w:tc>
          <w:tcPr>
            <w:tcW w:w="222" w:type="pct"/>
            <w:vMerge w:val="restart"/>
            <w:vAlign w:val="center"/>
          </w:tcPr>
          <w:p w14:paraId="1B724DCF">
            <w:pPr>
              <w:pStyle w:val="92"/>
              <w:rPr>
                <w:color w:val="auto"/>
                <w:sz w:val="18"/>
                <w:szCs w:val="18"/>
                <w:highlight w:val="none"/>
                <w:u w:val="none"/>
              </w:rPr>
            </w:pPr>
            <w:r>
              <w:rPr>
                <w:rFonts w:hint="eastAsia"/>
                <w:color w:val="auto"/>
                <w:sz w:val="18"/>
                <w:szCs w:val="18"/>
                <w:highlight w:val="none"/>
                <w:u w:val="none"/>
              </w:rPr>
              <w:t>0.03</w:t>
            </w:r>
          </w:p>
        </w:tc>
        <w:tc>
          <w:tcPr>
            <w:tcW w:w="239" w:type="pct"/>
            <w:vMerge w:val="restart"/>
            <w:vAlign w:val="center"/>
          </w:tcPr>
          <w:p w14:paraId="0B1FC948">
            <w:pPr>
              <w:pStyle w:val="92"/>
              <w:rPr>
                <w:color w:val="auto"/>
                <w:sz w:val="18"/>
                <w:szCs w:val="18"/>
                <w:highlight w:val="none"/>
                <w:u w:val="none"/>
              </w:rPr>
            </w:pPr>
            <w:r>
              <w:rPr>
                <w:rFonts w:hint="eastAsia"/>
                <w:color w:val="auto"/>
                <w:sz w:val="18"/>
                <w:szCs w:val="18"/>
                <w:highlight w:val="none"/>
                <w:u w:val="none"/>
              </w:rPr>
              <w:t>25</w:t>
            </w:r>
          </w:p>
        </w:tc>
        <w:tc>
          <w:tcPr>
            <w:tcW w:w="359" w:type="pct"/>
            <w:vMerge w:val="restart"/>
            <w:vAlign w:val="center"/>
          </w:tcPr>
          <w:p w14:paraId="5D7982C8">
            <w:pPr>
              <w:pStyle w:val="92"/>
              <w:rPr>
                <w:color w:val="auto"/>
                <w:sz w:val="18"/>
                <w:szCs w:val="18"/>
                <w:highlight w:val="none"/>
                <w:u w:val="none"/>
              </w:rPr>
            </w:pPr>
            <w:r>
              <w:rPr>
                <w:rFonts w:hint="eastAsia"/>
                <w:color w:val="auto"/>
                <w:sz w:val="18"/>
                <w:szCs w:val="18"/>
                <w:highlight w:val="none"/>
                <w:u w:val="none"/>
              </w:rPr>
              <w:t>大气</w:t>
            </w:r>
          </w:p>
        </w:tc>
      </w:tr>
      <w:tr w14:paraId="56AFAB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0" w:hRule="atLeast"/>
          <w:jc w:val="center"/>
        </w:trPr>
        <w:tc>
          <w:tcPr>
            <w:tcW w:w="130" w:type="pct"/>
            <w:vMerge w:val="continue"/>
            <w:vAlign w:val="center"/>
          </w:tcPr>
          <w:p w14:paraId="6D188BD9">
            <w:pPr>
              <w:pStyle w:val="92"/>
              <w:rPr>
                <w:color w:val="auto"/>
                <w:sz w:val="18"/>
                <w:szCs w:val="18"/>
                <w:highlight w:val="none"/>
                <w:u w:val="none"/>
              </w:rPr>
            </w:pPr>
          </w:p>
        </w:tc>
        <w:tc>
          <w:tcPr>
            <w:tcW w:w="148" w:type="pct"/>
            <w:vMerge w:val="continue"/>
            <w:vAlign w:val="center"/>
          </w:tcPr>
          <w:p w14:paraId="61B9F92B">
            <w:pPr>
              <w:pStyle w:val="92"/>
              <w:rPr>
                <w:color w:val="auto"/>
                <w:sz w:val="18"/>
                <w:szCs w:val="18"/>
                <w:highlight w:val="none"/>
                <w:u w:val="none"/>
              </w:rPr>
            </w:pPr>
          </w:p>
        </w:tc>
        <w:tc>
          <w:tcPr>
            <w:tcW w:w="323" w:type="pct"/>
            <w:vMerge w:val="continue"/>
            <w:vAlign w:val="center"/>
          </w:tcPr>
          <w:p w14:paraId="3698D1D8">
            <w:pPr>
              <w:pStyle w:val="92"/>
              <w:rPr>
                <w:color w:val="auto"/>
                <w:sz w:val="18"/>
                <w:szCs w:val="18"/>
                <w:highlight w:val="none"/>
                <w:u w:val="none"/>
              </w:rPr>
            </w:pPr>
          </w:p>
        </w:tc>
        <w:tc>
          <w:tcPr>
            <w:tcW w:w="320" w:type="pct"/>
            <w:vMerge w:val="continue"/>
            <w:vAlign w:val="center"/>
          </w:tcPr>
          <w:p w14:paraId="1FB7228A">
            <w:pPr>
              <w:pStyle w:val="92"/>
              <w:rPr>
                <w:color w:val="auto"/>
                <w:sz w:val="18"/>
                <w:szCs w:val="18"/>
                <w:highlight w:val="none"/>
                <w:u w:val="none"/>
              </w:rPr>
            </w:pPr>
          </w:p>
        </w:tc>
        <w:tc>
          <w:tcPr>
            <w:tcW w:w="550" w:type="pct"/>
            <w:vAlign w:val="center"/>
          </w:tcPr>
          <w:p w14:paraId="4FB4BE28">
            <w:pPr>
              <w:pStyle w:val="92"/>
              <w:rPr>
                <w:color w:val="auto"/>
                <w:sz w:val="18"/>
                <w:szCs w:val="18"/>
                <w:highlight w:val="none"/>
                <w:u w:val="none"/>
              </w:rPr>
            </w:pPr>
            <w:r>
              <w:rPr>
                <w:rFonts w:hint="eastAsia"/>
                <w:color w:val="auto"/>
                <w:sz w:val="18"/>
                <w:szCs w:val="18"/>
                <w:highlight w:val="none"/>
                <w:u w:val="none"/>
              </w:rPr>
              <w:t>V</w:t>
            </w:r>
            <w:r>
              <w:rPr>
                <w:color w:val="auto"/>
                <w:sz w:val="18"/>
                <w:szCs w:val="18"/>
                <w:highlight w:val="none"/>
                <w:u w:val="none"/>
              </w:rPr>
              <w:t>OCs</w:t>
            </w:r>
          </w:p>
        </w:tc>
        <w:tc>
          <w:tcPr>
            <w:tcW w:w="189" w:type="pct"/>
            <w:vMerge w:val="continue"/>
            <w:vAlign w:val="center"/>
          </w:tcPr>
          <w:p w14:paraId="63EFDCF2">
            <w:pPr>
              <w:pStyle w:val="92"/>
              <w:rPr>
                <w:color w:val="auto"/>
                <w:sz w:val="18"/>
                <w:szCs w:val="18"/>
                <w:highlight w:val="none"/>
                <w:u w:val="none"/>
              </w:rPr>
            </w:pPr>
          </w:p>
        </w:tc>
        <w:tc>
          <w:tcPr>
            <w:tcW w:w="284" w:type="pct"/>
            <w:vAlign w:val="center"/>
          </w:tcPr>
          <w:p w14:paraId="03FC16A5">
            <w:pPr>
              <w:pStyle w:val="92"/>
              <w:rPr>
                <w:rFonts w:eastAsia="等线"/>
                <w:color w:val="auto"/>
                <w:sz w:val="18"/>
                <w:szCs w:val="18"/>
                <w:highlight w:val="none"/>
                <w:u w:val="none"/>
              </w:rPr>
            </w:pPr>
            <w:r>
              <w:rPr>
                <w:color w:val="auto"/>
                <w:sz w:val="18"/>
                <w:szCs w:val="18"/>
                <w:highlight w:val="none"/>
                <w:u w:val="none"/>
              </w:rPr>
              <w:t>0.6</w:t>
            </w:r>
          </w:p>
        </w:tc>
        <w:tc>
          <w:tcPr>
            <w:tcW w:w="241" w:type="pct"/>
            <w:vAlign w:val="center"/>
          </w:tcPr>
          <w:p w14:paraId="78FD6C8A">
            <w:pPr>
              <w:pStyle w:val="92"/>
              <w:rPr>
                <w:rFonts w:eastAsia="等线"/>
                <w:color w:val="auto"/>
                <w:sz w:val="18"/>
                <w:szCs w:val="18"/>
                <w:highlight w:val="none"/>
                <w:u w:val="none"/>
              </w:rPr>
            </w:pPr>
            <w:r>
              <w:rPr>
                <w:color w:val="auto"/>
                <w:sz w:val="18"/>
                <w:szCs w:val="18"/>
                <w:highlight w:val="none"/>
                <w:u w:val="none"/>
              </w:rPr>
              <w:t>0.0009</w:t>
            </w:r>
          </w:p>
        </w:tc>
        <w:tc>
          <w:tcPr>
            <w:tcW w:w="301" w:type="pct"/>
            <w:vAlign w:val="center"/>
          </w:tcPr>
          <w:p w14:paraId="2D39D79B">
            <w:pPr>
              <w:pStyle w:val="92"/>
              <w:rPr>
                <w:rFonts w:eastAsia="等线"/>
                <w:color w:val="auto"/>
                <w:sz w:val="18"/>
                <w:szCs w:val="18"/>
                <w:highlight w:val="none"/>
                <w:u w:val="none"/>
              </w:rPr>
            </w:pPr>
            <w:r>
              <w:rPr>
                <w:color w:val="auto"/>
                <w:sz w:val="18"/>
                <w:szCs w:val="18"/>
                <w:highlight w:val="none"/>
                <w:u w:val="none"/>
              </w:rPr>
              <w:t>0.0072</w:t>
            </w:r>
          </w:p>
        </w:tc>
        <w:tc>
          <w:tcPr>
            <w:tcW w:w="420" w:type="pct"/>
            <w:vMerge w:val="continue"/>
            <w:vAlign w:val="center"/>
          </w:tcPr>
          <w:p w14:paraId="1F111753">
            <w:pPr>
              <w:pStyle w:val="92"/>
              <w:rPr>
                <w:color w:val="auto"/>
                <w:sz w:val="18"/>
                <w:szCs w:val="18"/>
                <w:highlight w:val="none"/>
                <w:u w:val="none"/>
              </w:rPr>
            </w:pPr>
          </w:p>
        </w:tc>
        <w:tc>
          <w:tcPr>
            <w:tcW w:w="322" w:type="pct"/>
            <w:vAlign w:val="center"/>
          </w:tcPr>
          <w:p w14:paraId="6DB87F9A">
            <w:pPr>
              <w:pStyle w:val="92"/>
              <w:rPr>
                <w:rFonts w:eastAsia="等线"/>
                <w:color w:val="auto"/>
                <w:sz w:val="18"/>
                <w:szCs w:val="18"/>
                <w:highlight w:val="none"/>
                <w:u w:val="none"/>
              </w:rPr>
            </w:pPr>
            <w:r>
              <w:rPr>
                <w:rFonts w:hint="eastAsia"/>
                <w:color w:val="auto"/>
                <w:sz w:val="18"/>
                <w:szCs w:val="18"/>
                <w:highlight w:val="none"/>
                <w:u w:val="none"/>
              </w:rPr>
              <w:t>0.6</w:t>
            </w:r>
          </w:p>
        </w:tc>
        <w:tc>
          <w:tcPr>
            <w:tcW w:w="254" w:type="pct"/>
            <w:vAlign w:val="center"/>
          </w:tcPr>
          <w:p w14:paraId="5A04167A">
            <w:pPr>
              <w:pStyle w:val="92"/>
              <w:rPr>
                <w:rFonts w:eastAsia="等线"/>
                <w:color w:val="auto"/>
                <w:sz w:val="18"/>
                <w:szCs w:val="18"/>
                <w:highlight w:val="none"/>
                <w:u w:val="none"/>
              </w:rPr>
            </w:pPr>
            <w:r>
              <w:rPr>
                <w:rFonts w:hint="eastAsia"/>
                <w:color w:val="auto"/>
                <w:sz w:val="18"/>
                <w:szCs w:val="18"/>
                <w:highlight w:val="none"/>
                <w:u w:val="none"/>
              </w:rPr>
              <w:t>0.0009</w:t>
            </w:r>
          </w:p>
        </w:tc>
        <w:tc>
          <w:tcPr>
            <w:tcW w:w="264" w:type="pct"/>
            <w:vAlign w:val="center"/>
          </w:tcPr>
          <w:p w14:paraId="69DF36EF">
            <w:pPr>
              <w:pStyle w:val="92"/>
              <w:rPr>
                <w:rFonts w:eastAsia="等线"/>
                <w:color w:val="auto"/>
                <w:sz w:val="18"/>
                <w:szCs w:val="18"/>
                <w:highlight w:val="none"/>
                <w:u w:val="none"/>
              </w:rPr>
            </w:pPr>
            <w:r>
              <w:rPr>
                <w:color w:val="auto"/>
                <w:sz w:val="18"/>
                <w:szCs w:val="18"/>
                <w:highlight w:val="none"/>
                <w:u w:val="none"/>
              </w:rPr>
              <w:t>0.0072</w:t>
            </w:r>
          </w:p>
        </w:tc>
        <w:tc>
          <w:tcPr>
            <w:tcW w:w="205" w:type="pct"/>
            <w:vMerge w:val="continue"/>
            <w:vAlign w:val="center"/>
          </w:tcPr>
          <w:p w14:paraId="334B6F41">
            <w:pPr>
              <w:pStyle w:val="92"/>
              <w:rPr>
                <w:color w:val="auto"/>
                <w:sz w:val="18"/>
                <w:szCs w:val="18"/>
                <w:highlight w:val="none"/>
                <w:u w:val="none"/>
              </w:rPr>
            </w:pPr>
          </w:p>
        </w:tc>
        <w:tc>
          <w:tcPr>
            <w:tcW w:w="222" w:type="pct"/>
            <w:vMerge w:val="continue"/>
            <w:vAlign w:val="center"/>
          </w:tcPr>
          <w:p w14:paraId="6FF7D0D3">
            <w:pPr>
              <w:pStyle w:val="92"/>
              <w:rPr>
                <w:color w:val="auto"/>
                <w:sz w:val="18"/>
                <w:szCs w:val="18"/>
                <w:highlight w:val="none"/>
                <w:u w:val="none"/>
              </w:rPr>
            </w:pPr>
          </w:p>
        </w:tc>
        <w:tc>
          <w:tcPr>
            <w:tcW w:w="222" w:type="pct"/>
            <w:vMerge w:val="continue"/>
            <w:vAlign w:val="center"/>
          </w:tcPr>
          <w:p w14:paraId="1113220C">
            <w:pPr>
              <w:pStyle w:val="92"/>
              <w:rPr>
                <w:color w:val="auto"/>
                <w:sz w:val="18"/>
                <w:szCs w:val="18"/>
                <w:highlight w:val="none"/>
                <w:u w:val="none"/>
              </w:rPr>
            </w:pPr>
          </w:p>
        </w:tc>
        <w:tc>
          <w:tcPr>
            <w:tcW w:w="239" w:type="pct"/>
            <w:vMerge w:val="continue"/>
            <w:vAlign w:val="center"/>
          </w:tcPr>
          <w:p w14:paraId="260DCF59">
            <w:pPr>
              <w:pStyle w:val="92"/>
              <w:rPr>
                <w:color w:val="auto"/>
                <w:sz w:val="18"/>
                <w:szCs w:val="18"/>
                <w:highlight w:val="none"/>
                <w:u w:val="none"/>
              </w:rPr>
            </w:pPr>
          </w:p>
        </w:tc>
        <w:tc>
          <w:tcPr>
            <w:tcW w:w="359" w:type="pct"/>
            <w:vMerge w:val="continue"/>
            <w:vAlign w:val="center"/>
          </w:tcPr>
          <w:p w14:paraId="7AD84A84">
            <w:pPr>
              <w:pStyle w:val="92"/>
              <w:rPr>
                <w:color w:val="auto"/>
                <w:sz w:val="18"/>
                <w:szCs w:val="18"/>
                <w:highlight w:val="none"/>
                <w:u w:val="none"/>
              </w:rPr>
            </w:pPr>
          </w:p>
        </w:tc>
      </w:tr>
    </w:tbl>
    <w:p w14:paraId="26B64D55">
      <w:pPr>
        <w:ind w:firstLine="0" w:firstLineChars="0"/>
        <w:jc w:val="center"/>
        <w:rPr>
          <w:rFonts w:hint="eastAsia"/>
          <w:b/>
          <w:bCs/>
          <w:color w:val="auto"/>
          <w:highlight w:val="none"/>
          <w:u w:val="none"/>
        </w:rPr>
      </w:pPr>
    </w:p>
    <w:p w14:paraId="5A15589E">
      <w:pPr>
        <w:ind w:firstLine="0" w:firstLineChars="0"/>
        <w:jc w:val="center"/>
        <w:rPr>
          <w:rFonts w:hint="eastAsia"/>
          <w:b/>
          <w:bCs/>
          <w:color w:val="auto"/>
          <w:highlight w:val="none"/>
          <w:u w:val="none"/>
        </w:rPr>
      </w:pPr>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3</w:t>
      </w:r>
      <w:r>
        <w:rPr>
          <w:b/>
          <w:bCs/>
          <w:color w:val="auto"/>
          <w:highlight w:val="none"/>
          <w:u w:val="none"/>
        </w:rPr>
        <w:fldChar w:fldCharType="end"/>
      </w:r>
      <w:r>
        <w:rPr>
          <w:b/>
          <w:bCs/>
          <w:color w:val="auto"/>
          <w:highlight w:val="none"/>
          <w:u w:val="none"/>
        </w:rPr>
        <w:t xml:space="preserve">  </w:t>
      </w:r>
      <w:r>
        <w:rPr>
          <w:rFonts w:hint="eastAsia"/>
          <w:b/>
          <w:bCs/>
          <w:color w:val="auto"/>
          <w:highlight w:val="none"/>
          <w:u w:val="none"/>
          <w:lang w:val="en-US"/>
        </w:rPr>
        <w:t>本项目新增</w:t>
      </w:r>
      <w:r>
        <w:rPr>
          <w:rFonts w:hint="eastAsia"/>
          <w:b/>
          <w:bCs/>
          <w:color w:val="auto"/>
          <w:highlight w:val="none"/>
          <w:u w:val="none"/>
        </w:rPr>
        <w:t>废气无组织污染源排放情况汇总表</w:t>
      </w:r>
    </w:p>
    <w:tbl>
      <w:tblPr>
        <w:tblStyle w:val="58"/>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23"/>
        <w:gridCol w:w="2107"/>
        <w:gridCol w:w="2810"/>
        <w:gridCol w:w="2436"/>
        <w:gridCol w:w="3595"/>
      </w:tblGrid>
      <w:tr w14:paraId="50BB6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137" w:type="pct"/>
            <w:vAlign w:val="center"/>
          </w:tcPr>
          <w:p w14:paraId="7FF59B1B">
            <w:pPr>
              <w:pStyle w:val="92"/>
              <w:rPr>
                <w:color w:val="auto"/>
                <w:highlight w:val="none"/>
                <w:u w:val="none"/>
              </w:rPr>
            </w:pPr>
            <w:r>
              <w:rPr>
                <w:color w:val="auto"/>
                <w:highlight w:val="none"/>
                <w:u w:val="none"/>
              </w:rPr>
              <w:t>位置</w:t>
            </w:r>
          </w:p>
        </w:tc>
        <w:tc>
          <w:tcPr>
            <w:tcW w:w="743" w:type="pct"/>
            <w:vAlign w:val="center"/>
          </w:tcPr>
          <w:p w14:paraId="0C4C68BA">
            <w:pPr>
              <w:pStyle w:val="92"/>
              <w:rPr>
                <w:color w:val="auto"/>
                <w:highlight w:val="none"/>
                <w:u w:val="none"/>
              </w:rPr>
            </w:pPr>
            <w:r>
              <w:rPr>
                <w:color w:val="auto"/>
                <w:highlight w:val="none"/>
                <w:u w:val="none"/>
              </w:rPr>
              <w:t>工作时长（h）</w:t>
            </w:r>
          </w:p>
        </w:tc>
        <w:tc>
          <w:tcPr>
            <w:tcW w:w="991" w:type="pct"/>
            <w:vAlign w:val="center"/>
          </w:tcPr>
          <w:p w14:paraId="6A5A5C3E">
            <w:pPr>
              <w:pStyle w:val="92"/>
              <w:rPr>
                <w:color w:val="auto"/>
                <w:highlight w:val="none"/>
                <w:u w:val="none"/>
              </w:rPr>
            </w:pPr>
            <w:r>
              <w:rPr>
                <w:color w:val="auto"/>
                <w:highlight w:val="none"/>
                <w:u w:val="none"/>
              </w:rPr>
              <w:t>污染物</w:t>
            </w:r>
          </w:p>
        </w:tc>
        <w:tc>
          <w:tcPr>
            <w:tcW w:w="859" w:type="pct"/>
            <w:vAlign w:val="center"/>
          </w:tcPr>
          <w:p w14:paraId="2791AAF7">
            <w:pPr>
              <w:pStyle w:val="92"/>
              <w:rPr>
                <w:color w:val="auto"/>
                <w:highlight w:val="none"/>
                <w:u w:val="none"/>
              </w:rPr>
            </w:pPr>
            <w:r>
              <w:rPr>
                <w:color w:val="auto"/>
                <w:highlight w:val="none"/>
                <w:u w:val="none"/>
              </w:rPr>
              <w:t>排放量（t/a）</w:t>
            </w:r>
          </w:p>
        </w:tc>
        <w:tc>
          <w:tcPr>
            <w:tcW w:w="1268" w:type="pct"/>
            <w:vAlign w:val="center"/>
          </w:tcPr>
          <w:p w14:paraId="1A58838D">
            <w:pPr>
              <w:pStyle w:val="92"/>
              <w:rPr>
                <w:color w:val="auto"/>
                <w:highlight w:val="none"/>
                <w:u w:val="none"/>
              </w:rPr>
            </w:pPr>
            <w:r>
              <w:rPr>
                <w:color w:val="auto"/>
                <w:highlight w:val="none"/>
                <w:u w:val="none"/>
              </w:rPr>
              <w:t>面源：长×宽×高（m）</w:t>
            </w:r>
          </w:p>
        </w:tc>
      </w:tr>
      <w:tr w14:paraId="5E8CB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restart"/>
            <w:vAlign w:val="center"/>
          </w:tcPr>
          <w:p w14:paraId="4047ED66">
            <w:pPr>
              <w:pStyle w:val="92"/>
              <w:rPr>
                <w:color w:val="auto"/>
                <w:highlight w:val="none"/>
                <w:u w:val="none"/>
              </w:rPr>
            </w:pPr>
            <w:r>
              <w:rPr>
                <w:color w:val="auto"/>
                <w:highlight w:val="none"/>
                <w:u w:val="none"/>
              </w:rPr>
              <w:t>硝化单元</w:t>
            </w:r>
          </w:p>
        </w:tc>
        <w:tc>
          <w:tcPr>
            <w:tcW w:w="743" w:type="pct"/>
            <w:vMerge w:val="restart"/>
            <w:vAlign w:val="center"/>
          </w:tcPr>
          <w:p w14:paraId="226B3D9F">
            <w:pPr>
              <w:pStyle w:val="92"/>
              <w:rPr>
                <w:color w:val="auto"/>
                <w:highlight w:val="none"/>
                <w:u w:val="none"/>
              </w:rPr>
            </w:pPr>
            <w:r>
              <w:rPr>
                <w:rFonts w:hint="eastAsia"/>
                <w:color w:val="auto"/>
                <w:highlight w:val="none"/>
                <w:u w:val="none"/>
              </w:rPr>
              <w:t>8000</w:t>
            </w:r>
          </w:p>
        </w:tc>
        <w:tc>
          <w:tcPr>
            <w:tcW w:w="991" w:type="pct"/>
            <w:vAlign w:val="center"/>
          </w:tcPr>
          <w:p w14:paraId="0727AEE4">
            <w:pPr>
              <w:pStyle w:val="92"/>
              <w:rPr>
                <w:color w:val="auto"/>
                <w:highlight w:val="none"/>
                <w:u w:val="none"/>
              </w:rPr>
            </w:pPr>
            <w:r>
              <w:rPr>
                <w:color w:val="auto"/>
                <w:highlight w:val="none"/>
                <w:u w:val="none"/>
              </w:rPr>
              <w:t>甲苯</w:t>
            </w:r>
          </w:p>
        </w:tc>
        <w:tc>
          <w:tcPr>
            <w:tcW w:w="859" w:type="pct"/>
            <w:vAlign w:val="center"/>
          </w:tcPr>
          <w:p w14:paraId="186D282A">
            <w:pPr>
              <w:pStyle w:val="92"/>
              <w:rPr>
                <w:color w:val="auto"/>
                <w:highlight w:val="none"/>
                <w:u w:val="none"/>
              </w:rPr>
            </w:pPr>
            <w:r>
              <w:rPr>
                <w:rFonts w:hint="eastAsia"/>
                <w:color w:val="auto"/>
                <w:highlight w:val="none"/>
                <w:u w:val="none"/>
              </w:rPr>
              <w:t>0.088</w:t>
            </w:r>
          </w:p>
        </w:tc>
        <w:tc>
          <w:tcPr>
            <w:tcW w:w="1268" w:type="pct"/>
            <w:vMerge w:val="restart"/>
            <w:vAlign w:val="center"/>
          </w:tcPr>
          <w:p w14:paraId="2EAA83BD">
            <w:pPr>
              <w:pStyle w:val="92"/>
              <w:rPr>
                <w:color w:val="auto"/>
                <w:highlight w:val="none"/>
                <w:u w:val="none"/>
              </w:rPr>
            </w:pPr>
            <w:r>
              <w:rPr>
                <w:rFonts w:hint="eastAsia"/>
                <w:color w:val="auto"/>
                <w:highlight w:val="none"/>
                <w:u w:val="none"/>
              </w:rPr>
              <w:t>89</w:t>
            </w:r>
            <w:r>
              <w:rPr>
                <w:color w:val="auto"/>
                <w:highlight w:val="none"/>
                <w:u w:val="none"/>
              </w:rPr>
              <w:t>×</w:t>
            </w:r>
            <w:r>
              <w:rPr>
                <w:rFonts w:hint="eastAsia"/>
                <w:color w:val="auto"/>
                <w:highlight w:val="none"/>
                <w:u w:val="none"/>
              </w:rPr>
              <w:t>80</w:t>
            </w:r>
            <w:r>
              <w:rPr>
                <w:color w:val="auto"/>
                <w:highlight w:val="none"/>
                <w:u w:val="none"/>
              </w:rPr>
              <w:t>×</w:t>
            </w:r>
            <w:r>
              <w:rPr>
                <w:rFonts w:hint="eastAsia"/>
                <w:color w:val="auto"/>
                <w:highlight w:val="none"/>
                <w:u w:val="none"/>
              </w:rPr>
              <w:t>18</w:t>
            </w:r>
          </w:p>
        </w:tc>
      </w:tr>
      <w:tr w14:paraId="0D0E3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567496DB">
            <w:pPr>
              <w:pStyle w:val="92"/>
              <w:rPr>
                <w:color w:val="auto"/>
                <w:highlight w:val="none"/>
                <w:u w:val="none"/>
              </w:rPr>
            </w:pPr>
          </w:p>
        </w:tc>
        <w:tc>
          <w:tcPr>
            <w:tcW w:w="743" w:type="pct"/>
            <w:vMerge w:val="continue"/>
            <w:vAlign w:val="center"/>
          </w:tcPr>
          <w:p w14:paraId="51CC3529">
            <w:pPr>
              <w:pStyle w:val="92"/>
              <w:rPr>
                <w:color w:val="auto"/>
                <w:highlight w:val="none"/>
                <w:u w:val="none"/>
              </w:rPr>
            </w:pPr>
          </w:p>
        </w:tc>
        <w:tc>
          <w:tcPr>
            <w:tcW w:w="991" w:type="pct"/>
            <w:vAlign w:val="center"/>
          </w:tcPr>
          <w:p w14:paraId="22204B6D">
            <w:pPr>
              <w:pStyle w:val="92"/>
              <w:rPr>
                <w:color w:val="auto"/>
                <w:highlight w:val="none"/>
                <w:u w:val="none"/>
              </w:rPr>
            </w:pPr>
            <w:r>
              <w:rPr>
                <w:color w:val="auto"/>
                <w:highlight w:val="none"/>
                <w:u w:val="none"/>
              </w:rPr>
              <w:t>DNT</w:t>
            </w:r>
          </w:p>
        </w:tc>
        <w:tc>
          <w:tcPr>
            <w:tcW w:w="859" w:type="pct"/>
            <w:vAlign w:val="center"/>
          </w:tcPr>
          <w:p w14:paraId="4BFA4CCB">
            <w:pPr>
              <w:pStyle w:val="92"/>
              <w:rPr>
                <w:color w:val="auto"/>
                <w:highlight w:val="none"/>
                <w:u w:val="none"/>
              </w:rPr>
            </w:pPr>
            <w:r>
              <w:rPr>
                <w:rFonts w:hint="eastAsia"/>
                <w:color w:val="auto"/>
                <w:highlight w:val="none"/>
                <w:u w:val="none"/>
              </w:rPr>
              <w:t>0.2</w:t>
            </w:r>
          </w:p>
        </w:tc>
        <w:tc>
          <w:tcPr>
            <w:tcW w:w="1268" w:type="pct"/>
            <w:vMerge w:val="continue"/>
            <w:vAlign w:val="center"/>
          </w:tcPr>
          <w:p w14:paraId="5C60EA6D">
            <w:pPr>
              <w:pStyle w:val="92"/>
              <w:rPr>
                <w:color w:val="auto"/>
                <w:highlight w:val="none"/>
                <w:u w:val="none"/>
              </w:rPr>
            </w:pPr>
          </w:p>
        </w:tc>
      </w:tr>
      <w:tr w14:paraId="44524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75D038BE">
            <w:pPr>
              <w:pStyle w:val="92"/>
              <w:rPr>
                <w:color w:val="auto"/>
                <w:highlight w:val="none"/>
                <w:u w:val="none"/>
              </w:rPr>
            </w:pPr>
          </w:p>
        </w:tc>
        <w:tc>
          <w:tcPr>
            <w:tcW w:w="743" w:type="pct"/>
            <w:vMerge w:val="continue"/>
            <w:vAlign w:val="center"/>
          </w:tcPr>
          <w:p w14:paraId="501DCB75">
            <w:pPr>
              <w:pStyle w:val="92"/>
              <w:rPr>
                <w:color w:val="auto"/>
                <w:highlight w:val="none"/>
                <w:u w:val="none"/>
              </w:rPr>
            </w:pPr>
          </w:p>
        </w:tc>
        <w:tc>
          <w:tcPr>
            <w:tcW w:w="991" w:type="pct"/>
            <w:vAlign w:val="center"/>
          </w:tcPr>
          <w:p w14:paraId="221319DA">
            <w:pPr>
              <w:pStyle w:val="92"/>
              <w:rPr>
                <w:color w:val="auto"/>
                <w:highlight w:val="none"/>
                <w:u w:val="none"/>
              </w:rPr>
            </w:pPr>
            <w:r>
              <w:rPr>
                <w:color w:val="auto"/>
                <w:highlight w:val="none"/>
                <w:u w:val="none"/>
              </w:rPr>
              <w:t>VOC</w:t>
            </w:r>
            <w:r>
              <w:rPr>
                <w:color w:val="auto"/>
                <w:highlight w:val="none"/>
                <w:u w:val="none"/>
                <w:vertAlign w:val="subscript"/>
              </w:rPr>
              <w:t>S</w:t>
            </w:r>
          </w:p>
        </w:tc>
        <w:tc>
          <w:tcPr>
            <w:tcW w:w="859" w:type="pct"/>
            <w:vAlign w:val="center"/>
          </w:tcPr>
          <w:p w14:paraId="51D38B93">
            <w:pPr>
              <w:pStyle w:val="92"/>
              <w:rPr>
                <w:color w:val="auto"/>
                <w:highlight w:val="none"/>
                <w:u w:val="none"/>
              </w:rPr>
            </w:pPr>
            <w:r>
              <w:rPr>
                <w:rFonts w:hint="eastAsia"/>
                <w:color w:val="auto"/>
                <w:highlight w:val="none"/>
                <w:u w:val="none"/>
              </w:rPr>
              <w:t>0.4715</w:t>
            </w:r>
          </w:p>
        </w:tc>
        <w:tc>
          <w:tcPr>
            <w:tcW w:w="1268" w:type="pct"/>
            <w:vMerge w:val="continue"/>
            <w:vAlign w:val="center"/>
          </w:tcPr>
          <w:p w14:paraId="3B9E55E7">
            <w:pPr>
              <w:pStyle w:val="92"/>
              <w:rPr>
                <w:color w:val="auto"/>
                <w:highlight w:val="none"/>
                <w:u w:val="none"/>
              </w:rPr>
            </w:pPr>
          </w:p>
        </w:tc>
      </w:tr>
      <w:tr w14:paraId="342DF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restart"/>
            <w:vAlign w:val="center"/>
          </w:tcPr>
          <w:p w14:paraId="2488CEA5">
            <w:pPr>
              <w:pStyle w:val="92"/>
              <w:rPr>
                <w:color w:val="auto"/>
                <w:highlight w:val="none"/>
                <w:u w:val="none"/>
              </w:rPr>
            </w:pPr>
            <w:r>
              <w:rPr>
                <w:color w:val="auto"/>
                <w:highlight w:val="none"/>
                <w:u w:val="none"/>
              </w:rPr>
              <w:t>氢化单元</w:t>
            </w:r>
          </w:p>
        </w:tc>
        <w:tc>
          <w:tcPr>
            <w:tcW w:w="743" w:type="pct"/>
            <w:vMerge w:val="restart"/>
            <w:vAlign w:val="center"/>
          </w:tcPr>
          <w:p w14:paraId="2F6C50D5">
            <w:pPr>
              <w:pStyle w:val="92"/>
              <w:rPr>
                <w:color w:val="auto"/>
                <w:highlight w:val="none"/>
                <w:u w:val="none"/>
              </w:rPr>
            </w:pPr>
            <w:r>
              <w:rPr>
                <w:rFonts w:hint="eastAsia"/>
                <w:color w:val="auto"/>
                <w:highlight w:val="none"/>
                <w:u w:val="none"/>
              </w:rPr>
              <w:t>8000</w:t>
            </w:r>
          </w:p>
        </w:tc>
        <w:tc>
          <w:tcPr>
            <w:tcW w:w="991" w:type="pct"/>
            <w:vAlign w:val="center"/>
          </w:tcPr>
          <w:p w14:paraId="6965BA64">
            <w:pPr>
              <w:pStyle w:val="92"/>
              <w:rPr>
                <w:color w:val="auto"/>
                <w:highlight w:val="none"/>
                <w:u w:val="none"/>
              </w:rPr>
            </w:pPr>
            <w:r>
              <w:rPr>
                <w:color w:val="auto"/>
                <w:highlight w:val="none"/>
                <w:u w:val="none"/>
              </w:rPr>
              <w:t>TDA</w:t>
            </w:r>
          </w:p>
        </w:tc>
        <w:tc>
          <w:tcPr>
            <w:tcW w:w="859" w:type="pct"/>
            <w:vAlign w:val="center"/>
          </w:tcPr>
          <w:p w14:paraId="7EAC8550">
            <w:pPr>
              <w:pStyle w:val="92"/>
              <w:rPr>
                <w:color w:val="auto"/>
                <w:highlight w:val="none"/>
                <w:u w:val="none"/>
              </w:rPr>
            </w:pPr>
            <w:r>
              <w:rPr>
                <w:rFonts w:hint="eastAsia"/>
                <w:color w:val="auto"/>
                <w:highlight w:val="none"/>
                <w:u w:val="none"/>
              </w:rPr>
              <w:t>0.183</w:t>
            </w:r>
          </w:p>
        </w:tc>
        <w:tc>
          <w:tcPr>
            <w:tcW w:w="1268" w:type="pct"/>
            <w:vMerge w:val="restart"/>
            <w:vAlign w:val="center"/>
          </w:tcPr>
          <w:p w14:paraId="3B8338FC">
            <w:pPr>
              <w:pStyle w:val="92"/>
              <w:rPr>
                <w:color w:val="auto"/>
                <w:highlight w:val="none"/>
                <w:u w:val="none"/>
              </w:rPr>
            </w:pPr>
            <w:r>
              <w:rPr>
                <w:rFonts w:hint="eastAsia"/>
                <w:color w:val="auto"/>
                <w:highlight w:val="none"/>
                <w:u w:val="none"/>
              </w:rPr>
              <w:t>48</w:t>
            </w:r>
            <w:r>
              <w:rPr>
                <w:color w:val="auto"/>
                <w:highlight w:val="none"/>
                <w:u w:val="none"/>
              </w:rPr>
              <w:t>×</w:t>
            </w:r>
            <w:r>
              <w:rPr>
                <w:rFonts w:hint="eastAsia"/>
                <w:color w:val="auto"/>
                <w:highlight w:val="none"/>
                <w:u w:val="none"/>
              </w:rPr>
              <w:t>110</w:t>
            </w:r>
            <w:r>
              <w:rPr>
                <w:color w:val="auto"/>
                <w:highlight w:val="none"/>
                <w:u w:val="none"/>
              </w:rPr>
              <w:t>×</w:t>
            </w:r>
            <w:r>
              <w:rPr>
                <w:rFonts w:hint="eastAsia"/>
                <w:color w:val="auto"/>
                <w:highlight w:val="none"/>
                <w:u w:val="none"/>
              </w:rPr>
              <w:t>18</w:t>
            </w:r>
          </w:p>
        </w:tc>
      </w:tr>
      <w:tr w14:paraId="7C905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63569B2F">
            <w:pPr>
              <w:pStyle w:val="92"/>
              <w:rPr>
                <w:color w:val="auto"/>
                <w:highlight w:val="none"/>
                <w:u w:val="none"/>
              </w:rPr>
            </w:pPr>
          </w:p>
        </w:tc>
        <w:tc>
          <w:tcPr>
            <w:tcW w:w="743" w:type="pct"/>
            <w:vMerge w:val="continue"/>
            <w:vAlign w:val="center"/>
          </w:tcPr>
          <w:p w14:paraId="0C8C533D">
            <w:pPr>
              <w:pStyle w:val="92"/>
              <w:rPr>
                <w:color w:val="auto"/>
                <w:highlight w:val="none"/>
                <w:u w:val="none"/>
              </w:rPr>
            </w:pPr>
          </w:p>
        </w:tc>
        <w:tc>
          <w:tcPr>
            <w:tcW w:w="991" w:type="pct"/>
            <w:vAlign w:val="center"/>
          </w:tcPr>
          <w:p w14:paraId="7E61F39E">
            <w:pPr>
              <w:pStyle w:val="92"/>
              <w:rPr>
                <w:color w:val="auto"/>
                <w:highlight w:val="none"/>
                <w:u w:val="none"/>
              </w:rPr>
            </w:pPr>
            <w:r>
              <w:rPr>
                <w:color w:val="auto"/>
                <w:highlight w:val="none"/>
                <w:u w:val="none"/>
              </w:rPr>
              <w:t>VOC</w:t>
            </w:r>
            <w:r>
              <w:rPr>
                <w:color w:val="auto"/>
                <w:highlight w:val="none"/>
                <w:u w:val="none"/>
                <w:vertAlign w:val="subscript"/>
              </w:rPr>
              <w:t>S</w:t>
            </w:r>
          </w:p>
        </w:tc>
        <w:tc>
          <w:tcPr>
            <w:tcW w:w="859" w:type="pct"/>
            <w:vAlign w:val="center"/>
          </w:tcPr>
          <w:p w14:paraId="0ECBF7E7">
            <w:pPr>
              <w:pStyle w:val="92"/>
              <w:rPr>
                <w:color w:val="auto"/>
                <w:highlight w:val="none"/>
                <w:u w:val="none"/>
              </w:rPr>
            </w:pPr>
            <w:r>
              <w:rPr>
                <w:rFonts w:hint="eastAsia"/>
                <w:color w:val="auto"/>
                <w:highlight w:val="none"/>
                <w:u w:val="none"/>
              </w:rPr>
              <w:t>1.1442</w:t>
            </w:r>
          </w:p>
        </w:tc>
        <w:tc>
          <w:tcPr>
            <w:tcW w:w="1268" w:type="pct"/>
            <w:vMerge w:val="continue"/>
            <w:vAlign w:val="center"/>
          </w:tcPr>
          <w:p w14:paraId="41F20400">
            <w:pPr>
              <w:pStyle w:val="92"/>
              <w:rPr>
                <w:color w:val="auto"/>
                <w:highlight w:val="none"/>
                <w:u w:val="none"/>
              </w:rPr>
            </w:pPr>
          </w:p>
        </w:tc>
      </w:tr>
      <w:tr w14:paraId="03E38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restart"/>
            <w:vAlign w:val="center"/>
          </w:tcPr>
          <w:p w14:paraId="4993856C">
            <w:pPr>
              <w:pStyle w:val="92"/>
              <w:rPr>
                <w:color w:val="auto"/>
                <w:highlight w:val="none"/>
                <w:u w:val="none"/>
              </w:rPr>
            </w:pPr>
            <w:r>
              <w:rPr>
                <w:color w:val="auto"/>
                <w:highlight w:val="none"/>
                <w:u w:val="none"/>
              </w:rPr>
              <w:t>光化单元</w:t>
            </w:r>
          </w:p>
        </w:tc>
        <w:tc>
          <w:tcPr>
            <w:tcW w:w="743" w:type="pct"/>
            <w:vMerge w:val="restart"/>
            <w:vAlign w:val="center"/>
          </w:tcPr>
          <w:p w14:paraId="3B724AF0">
            <w:pPr>
              <w:pStyle w:val="92"/>
              <w:rPr>
                <w:color w:val="auto"/>
                <w:highlight w:val="none"/>
                <w:u w:val="none"/>
              </w:rPr>
            </w:pPr>
            <w:r>
              <w:rPr>
                <w:rFonts w:hint="eastAsia"/>
                <w:color w:val="auto"/>
                <w:highlight w:val="none"/>
                <w:u w:val="none"/>
              </w:rPr>
              <w:t>8000</w:t>
            </w:r>
          </w:p>
        </w:tc>
        <w:tc>
          <w:tcPr>
            <w:tcW w:w="991" w:type="pct"/>
            <w:vAlign w:val="center"/>
          </w:tcPr>
          <w:p w14:paraId="2AB1B6B3">
            <w:pPr>
              <w:pStyle w:val="92"/>
              <w:rPr>
                <w:color w:val="auto"/>
                <w:highlight w:val="none"/>
                <w:u w:val="none"/>
              </w:rPr>
            </w:pPr>
            <w:r>
              <w:rPr>
                <w:color w:val="auto"/>
                <w:highlight w:val="none"/>
                <w:u w:val="none"/>
              </w:rPr>
              <w:t>Cl</w:t>
            </w:r>
            <w:r>
              <w:rPr>
                <w:color w:val="auto"/>
                <w:highlight w:val="none"/>
                <w:u w:val="none"/>
                <w:vertAlign w:val="subscript"/>
              </w:rPr>
              <w:t>2</w:t>
            </w:r>
          </w:p>
        </w:tc>
        <w:tc>
          <w:tcPr>
            <w:tcW w:w="859" w:type="pct"/>
            <w:vAlign w:val="center"/>
          </w:tcPr>
          <w:p w14:paraId="7EBABEE0">
            <w:pPr>
              <w:pStyle w:val="92"/>
              <w:rPr>
                <w:color w:val="auto"/>
                <w:highlight w:val="none"/>
                <w:u w:val="none"/>
              </w:rPr>
            </w:pPr>
            <w:r>
              <w:rPr>
                <w:rFonts w:hint="eastAsia"/>
                <w:color w:val="auto"/>
                <w:highlight w:val="none"/>
                <w:u w:val="none"/>
              </w:rPr>
              <w:t>0.97</w:t>
            </w:r>
          </w:p>
        </w:tc>
        <w:tc>
          <w:tcPr>
            <w:tcW w:w="1268" w:type="pct"/>
            <w:vMerge w:val="restart"/>
            <w:vAlign w:val="center"/>
          </w:tcPr>
          <w:p w14:paraId="5D398D03">
            <w:pPr>
              <w:pStyle w:val="92"/>
              <w:rPr>
                <w:color w:val="auto"/>
                <w:highlight w:val="none"/>
                <w:u w:val="none"/>
              </w:rPr>
            </w:pPr>
            <w:r>
              <w:rPr>
                <w:rFonts w:hint="eastAsia"/>
                <w:color w:val="auto"/>
                <w:highlight w:val="none"/>
                <w:u w:val="none"/>
              </w:rPr>
              <w:t>164</w:t>
            </w:r>
            <w:r>
              <w:rPr>
                <w:color w:val="auto"/>
                <w:highlight w:val="none"/>
                <w:u w:val="none"/>
              </w:rPr>
              <w:t>×</w:t>
            </w:r>
            <w:r>
              <w:rPr>
                <w:rFonts w:hint="eastAsia"/>
                <w:color w:val="auto"/>
                <w:highlight w:val="none"/>
                <w:u w:val="none"/>
              </w:rPr>
              <w:t>47.5</w:t>
            </w:r>
            <w:r>
              <w:rPr>
                <w:color w:val="auto"/>
                <w:highlight w:val="none"/>
                <w:u w:val="none"/>
              </w:rPr>
              <w:t>×</w:t>
            </w:r>
            <w:r>
              <w:rPr>
                <w:rFonts w:hint="eastAsia"/>
                <w:color w:val="auto"/>
                <w:highlight w:val="none"/>
                <w:u w:val="none"/>
              </w:rPr>
              <w:t>18</w:t>
            </w:r>
          </w:p>
        </w:tc>
      </w:tr>
      <w:tr w14:paraId="61F78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4B9E413C">
            <w:pPr>
              <w:pStyle w:val="92"/>
              <w:rPr>
                <w:color w:val="auto"/>
                <w:highlight w:val="none"/>
                <w:u w:val="none"/>
              </w:rPr>
            </w:pPr>
          </w:p>
        </w:tc>
        <w:tc>
          <w:tcPr>
            <w:tcW w:w="743" w:type="pct"/>
            <w:vMerge w:val="continue"/>
            <w:vAlign w:val="center"/>
          </w:tcPr>
          <w:p w14:paraId="113978AF">
            <w:pPr>
              <w:pStyle w:val="92"/>
              <w:rPr>
                <w:color w:val="auto"/>
                <w:highlight w:val="none"/>
                <w:u w:val="none"/>
              </w:rPr>
            </w:pPr>
          </w:p>
        </w:tc>
        <w:tc>
          <w:tcPr>
            <w:tcW w:w="991" w:type="pct"/>
            <w:vAlign w:val="center"/>
          </w:tcPr>
          <w:p w14:paraId="64D79BE7">
            <w:pPr>
              <w:pStyle w:val="92"/>
              <w:rPr>
                <w:color w:val="auto"/>
                <w:highlight w:val="none"/>
                <w:u w:val="none"/>
              </w:rPr>
            </w:pPr>
            <w:r>
              <w:rPr>
                <w:color w:val="auto"/>
                <w:highlight w:val="none"/>
                <w:u w:val="none"/>
              </w:rPr>
              <w:t>HCl</w:t>
            </w:r>
          </w:p>
        </w:tc>
        <w:tc>
          <w:tcPr>
            <w:tcW w:w="859" w:type="pct"/>
            <w:vAlign w:val="center"/>
          </w:tcPr>
          <w:p w14:paraId="3E84CDF3">
            <w:pPr>
              <w:pStyle w:val="92"/>
              <w:rPr>
                <w:color w:val="auto"/>
                <w:highlight w:val="none"/>
                <w:u w:val="none"/>
              </w:rPr>
            </w:pPr>
            <w:r>
              <w:rPr>
                <w:rFonts w:hint="eastAsia"/>
                <w:color w:val="auto"/>
                <w:highlight w:val="none"/>
                <w:u w:val="none"/>
              </w:rPr>
              <w:t>0.7</w:t>
            </w:r>
          </w:p>
        </w:tc>
        <w:tc>
          <w:tcPr>
            <w:tcW w:w="1268" w:type="pct"/>
            <w:vMerge w:val="continue"/>
            <w:vAlign w:val="center"/>
          </w:tcPr>
          <w:p w14:paraId="07DDC5BD">
            <w:pPr>
              <w:pStyle w:val="92"/>
              <w:rPr>
                <w:color w:val="auto"/>
                <w:highlight w:val="none"/>
                <w:u w:val="none"/>
              </w:rPr>
            </w:pPr>
          </w:p>
        </w:tc>
      </w:tr>
      <w:tr w14:paraId="731A5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7090C0DA">
            <w:pPr>
              <w:pStyle w:val="92"/>
              <w:rPr>
                <w:color w:val="auto"/>
                <w:highlight w:val="none"/>
                <w:u w:val="none"/>
              </w:rPr>
            </w:pPr>
          </w:p>
        </w:tc>
        <w:tc>
          <w:tcPr>
            <w:tcW w:w="743" w:type="pct"/>
            <w:vMerge w:val="continue"/>
            <w:vAlign w:val="center"/>
          </w:tcPr>
          <w:p w14:paraId="7C436480">
            <w:pPr>
              <w:pStyle w:val="92"/>
              <w:rPr>
                <w:color w:val="auto"/>
                <w:highlight w:val="none"/>
                <w:u w:val="none"/>
              </w:rPr>
            </w:pPr>
          </w:p>
        </w:tc>
        <w:tc>
          <w:tcPr>
            <w:tcW w:w="991" w:type="pct"/>
            <w:vAlign w:val="center"/>
          </w:tcPr>
          <w:p w14:paraId="407385B3">
            <w:pPr>
              <w:pStyle w:val="92"/>
              <w:rPr>
                <w:color w:val="auto"/>
                <w:highlight w:val="none"/>
                <w:u w:val="none"/>
              </w:rPr>
            </w:pPr>
            <w:r>
              <w:rPr>
                <w:color w:val="auto"/>
                <w:highlight w:val="none"/>
                <w:u w:val="none"/>
              </w:rPr>
              <w:t>邻二氯苯</w:t>
            </w:r>
          </w:p>
        </w:tc>
        <w:tc>
          <w:tcPr>
            <w:tcW w:w="859" w:type="pct"/>
            <w:vAlign w:val="center"/>
          </w:tcPr>
          <w:p w14:paraId="2ADCFFF7">
            <w:pPr>
              <w:pStyle w:val="92"/>
              <w:rPr>
                <w:color w:val="auto"/>
                <w:highlight w:val="none"/>
                <w:u w:val="none"/>
              </w:rPr>
            </w:pPr>
            <w:r>
              <w:rPr>
                <w:rFonts w:hint="eastAsia"/>
                <w:color w:val="auto"/>
                <w:highlight w:val="none"/>
                <w:u w:val="none"/>
              </w:rPr>
              <w:t>0.2741</w:t>
            </w:r>
          </w:p>
        </w:tc>
        <w:tc>
          <w:tcPr>
            <w:tcW w:w="1268" w:type="pct"/>
            <w:vMerge w:val="continue"/>
            <w:vAlign w:val="center"/>
          </w:tcPr>
          <w:p w14:paraId="7B547BB2">
            <w:pPr>
              <w:pStyle w:val="92"/>
              <w:rPr>
                <w:color w:val="auto"/>
                <w:highlight w:val="none"/>
                <w:u w:val="none"/>
              </w:rPr>
            </w:pPr>
          </w:p>
        </w:tc>
      </w:tr>
      <w:tr w14:paraId="7697F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137" w:type="pct"/>
            <w:vMerge w:val="continue"/>
            <w:vAlign w:val="center"/>
          </w:tcPr>
          <w:p w14:paraId="552666B0">
            <w:pPr>
              <w:pStyle w:val="92"/>
              <w:rPr>
                <w:color w:val="auto"/>
                <w:highlight w:val="none"/>
                <w:u w:val="none"/>
              </w:rPr>
            </w:pPr>
          </w:p>
        </w:tc>
        <w:tc>
          <w:tcPr>
            <w:tcW w:w="743" w:type="pct"/>
            <w:vMerge w:val="continue"/>
            <w:vAlign w:val="center"/>
          </w:tcPr>
          <w:p w14:paraId="3D3E5138">
            <w:pPr>
              <w:pStyle w:val="92"/>
              <w:rPr>
                <w:color w:val="auto"/>
                <w:highlight w:val="none"/>
                <w:u w:val="none"/>
              </w:rPr>
            </w:pPr>
          </w:p>
        </w:tc>
        <w:tc>
          <w:tcPr>
            <w:tcW w:w="991" w:type="pct"/>
            <w:vAlign w:val="center"/>
          </w:tcPr>
          <w:p w14:paraId="1ABE9EAC">
            <w:pPr>
              <w:pStyle w:val="92"/>
              <w:rPr>
                <w:color w:val="auto"/>
                <w:highlight w:val="none"/>
                <w:u w:val="none"/>
              </w:rPr>
            </w:pPr>
            <w:r>
              <w:rPr>
                <w:color w:val="auto"/>
                <w:highlight w:val="none"/>
                <w:u w:val="none"/>
              </w:rPr>
              <w:t>TDA</w:t>
            </w:r>
          </w:p>
        </w:tc>
        <w:tc>
          <w:tcPr>
            <w:tcW w:w="859" w:type="pct"/>
            <w:vAlign w:val="center"/>
          </w:tcPr>
          <w:p w14:paraId="1DD9F159">
            <w:pPr>
              <w:pStyle w:val="92"/>
              <w:rPr>
                <w:color w:val="auto"/>
                <w:highlight w:val="none"/>
                <w:u w:val="none"/>
              </w:rPr>
            </w:pPr>
            <w:r>
              <w:rPr>
                <w:rFonts w:hint="eastAsia"/>
                <w:color w:val="auto"/>
                <w:highlight w:val="none"/>
                <w:u w:val="none"/>
              </w:rPr>
              <w:t>0.0104</w:t>
            </w:r>
          </w:p>
        </w:tc>
        <w:tc>
          <w:tcPr>
            <w:tcW w:w="1268" w:type="pct"/>
            <w:vMerge w:val="continue"/>
            <w:vAlign w:val="center"/>
          </w:tcPr>
          <w:p w14:paraId="4D0C9409">
            <w:pPr>
              <w:pStyle w:val="92"/>
              <w:rPr>
                <w:color w:val="auto"/>
                <w:highlight w:val="none"/>
                <w:u w:val="none"/>
              </w:rPr>
            </w:pPr>
          </w:p>
        </w:tc>
      </w:tr>
      <w:tr w14:paraId="43BE6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3F517A72">
            <w:pPr>
              <w:pStyle w:val="92"/>
              <w:rPr>
                <w:color w:val="auto"/>
                <w:highlight w:val="none"/>
                <w:u w:val="none"/>
              </w:rPr>
            </w:pPr>
          </w:p>
        </w:tc>
        <w:tc>
          <w:tcPr>
            <w:tcW w:w="743" w:type="pct"/>
            <w:vMerge w:val="continue"/>
            <w:vAlign w:val="center"/>
          </w:tcPr>
          <w:p w14:paraId="33D34E24">
            <w:pPr>
              <w:pStyle w:val="92"/>
              <w:rPr>
                <w:color w:val="auto"/>
                <w:highlight w:val="none"/>
                <w:u w:val="none"/>
              </w:rPr>
            </w:pPr>
          </w:p>
        </w:tc>
        <w:tc>
          <w:tcPr>
            <w:tcW w:w="991" w:type="pct"/>
            <w:vAlign w:val="center"/>
          </w:tcPr>
          <w:p w14:paraId="4C69960A">
            <w:pPr>
              <w:pStyle w:val="92"/>
              <w:rPr>
                <w:color w:val="auto"/>
                <w:highlight w:val="none"/>
                <w:u w:val="none"/>
              </w:rPr>
            </w:pPr>
            <w:r>
              <w:rPr>
                <w:color w:val="auto"/>
                <w:highlight w:val="none"/>
                <w:u w:val="none"/>
              </w:rPr>
              <w:t>TDI</w:t>
            </w:r>
          </w:p>
        </w:tc>
        <w:tc>
          <w:tcPr>
            <w:tcW w:w="859" w:type="pct"/>
            <w:vAlign w:val="center"/>
          </w:tcPr>
          <w:p w14:paraId="09ADEB1B">
            <w:pPr>
              <w:pStyle w:val="92"/>
              <w:rPr>
                <w:color w:val="auto"/>
                <w:highlight w:val="none"/>
                <w:u w:val="none"/>
              </w:rPr>
            </w:pPr>
            <w:r>
              <w:rPr>
                <w:rFonts w:hint="eastAsia"/>
                <w:color w:val="auto"/>
                <w:highlight w:val="none"/>
                <w:u w:val="none"/>
              </w:rPr>
              <w:t>0.197</w:t>
            </w:r>
          </w:p>
        </w:tc>
        <w:tc>
          <w:tcPr>
            <w:tcW w:w="1268" w:type="pct"/>
            <w:vMerge w:val="continue"/>
            <w:vAlign w:val="center"/>
          </w:tcPr>
          <w:p w14:paraId="70212CBE">
            <w:pPr>
              <w:pStyle w:val="92"/>
              <w:rPr>
                <w:color w:val="auto"/>
                <w:highlight w:val="none"/>
                <w:u w:val="none"/>
              </w:rPr>
            </w:pPr>
          </w:p>
        </w:tc>
      </w:tr>
      <w:tr w14:paraId="00507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7BBE0E29">
            <w:pPr>
              <w:pStyle w:val="92"/>
              <w:rPr>
                <w:color w:val="auto"/>
                <w:highlight w:val="none"/>
                <w:u w:val="none"/>
              </w:rPr>
            </w:pPr>
          </w:p>
        </w:tc>
        <w:tc>
          <w:tcPr>
            <w:tcW w:w="743" w:type="pct"/>
            <w:vMerge w:val="continue"/>
            <w:vAlign w:val="center"/>
          </w:tcPr>
          <w:p w14:paraId="45323208">
            <w:pPr>
              <w:pStyle w:val="92"/>
              <w:rPr>
                <w:color w:val="auto"/>
                <w:highlight w:val="none"/>
                <w:u w:val="none"/>
              </w:rPr>
            </w:pPr>
          </w:p>
        </w:tc>
        <w:tc>
          <w:tcPr>
            <w:tcW w:w="991" w:type="pct"/>
            <w:vAlign w:val="center"/>
          </w:tcPr>
          <w:p w14:paraId="31B62F8E">
            <w:pPr>
              <w:pStyle w:val="92"/>
              <w:rPr>
                <w:color w:val="auto"/>
                <w:highlight w:val="none"/>
                <w:u w:val="none"/>
              </w:rPr>
            </w:pPr>
            <w:r>
              <w:rPr>
                <w:color w:val="auto"/>
                <w:highlight w:val="none"/>
                <w:u w:val="none"/>
              </w:rPr>
              <w:t>光气</w:t>
            </w:r>
          </w:p>
        </w:tc>
        <w:tc>
          <w:tcPr>
            <w:tcW w:w="859" w:type="pct"/>
            <w:vAlign w:val="center"/>
          </w:tcPr>
          <w:p w14:paraId="354B1B7A">
            <w:pPr>
              <w:pStyle w:val="92"/>
              <w:rPr>
                <w:color w:val="auto"/>
                <w:highlight w:val="none"/>
                <w:u w:val="none"/>
              </w:rPr>
            </w:pPr>
            <w:r>
              <w:rPr>
                <w:rFonts w:hint="eastAsia"/>
                <w:color w:val="auto"/>
                <w:highlight w:val="none"/>
                <w:u w:val="none"/>
              </w:rPr>
              <w:t>0.021</w:t>
            </w:r>
          </w:p>
        </w:tc>
        <w:tc>
          <w:tcPr>
            <w:tcW w:w="1268" w:type="pct"/>
            <w:vMerge w:val="continue"/>
            <w:vAlign w:val="center"/>
          </w:tcPr>
          <w:p w14:paraId="1D69D656">
            <w:pPr>
              <w:pStyle w:val="92"/>
              <w:rPr>
                <w:color w:val="auto"/>
                <w:highlight w:val="none"/>
                <w:u w:val="none"/>
              </w:rPr>
            </w:pPr>
          </w:p>
        </w:tc>
      </w:tr>
      <w:tr w14:paraId="1BDCF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292D1636">
            <w:pPr>
              <w:pStyle w:val="92"/>
              <w:rPr>
                <w:color w:val="auto"/>
                <w:highlight w:val="none"/>
                <w:u w:val="none"/>
              </w:rPr>
            </w:pPr>
          </w:p>
        </w:tc>
        <w:tc>
          <w:tcPr>
            <w:tcW w:w="743" w:type="pct"/>
            <w:vMerge w:val="continue"/>
            <w:vAlign w:val="center"/>
          </w:tcPr>
          <w:p w14:paraId="41B9D0D0">
            <w:pPr>
              <w:pStyle w:val="92"/>
              <w:rPr>
                <w:color w:val="auto"/>
                <w:highlight w:val="none"/>
                <w:u w:val="none"/>
              </w:rPr>
            </w:pPr>
          </w:p>
        </w:tc>
        <w:tc>
          <w:tcPr>
            <w:tcW w:w="991" w:type="pct"/>
            <w:vAlign w:val="center"/>
          </w:tcPr>
          <w:p w14:paraId="108C9076">
            <w:pPr>
              <w:pStyle w:val="92"/>
              <w:rPr>
                <w:color w:val="auto"/>
                <w:highlight w:val="none"/>
                <w:u w:val="none"/>
              </w:rPr>
            </w:pPr>
            <w:r>
              <w:rPr>
                <w:color w:val="auto"/>
                <w:highlight w:val="none"/>
                <w:u w:val="none"/>
              </w:rPr>
              <w:t>VOC</w:t>
            </w:r>
            <w:r>
              <w:rPr>
                <w:color w:val="auto"/>
                <w:highlight w:val="none"/>
                <w:u w:val="none"/>
                <w:vertAlign w:val="subscript"/>
              </w:rPr>
              <w:t>S</w:t>
            </w:r>
          </w:p>
        </w:tc>
        <w:tc>
          <w:tcPr>
            <w:tcW w:w="859" w:type="pct"/>
            <w:vAlign w:val="center"/>
          </w:tcPr>
          <w:p w14:paraId="7B8EAA9F">
            <w:pPr>
              <w:pStyle w:val="92"/>
              <w:rPr>
                <w:color w:val="auto"/>
                <w:highlight w:val="none"/>
                <w:u w:val="none"/>
              </w:rPr>
            </w:pPr>
            <w:r>
              <w:rPr>
                <w:rFonts w:hint="eastAsia"/>
                <w:color w:val="auto"/>
                <w:highlight w:val="none"/>
                <w:u w:val="none"/>
              </w:rPr>
              <w:t>0.4628</w:t>
            </w:r>
          </w:p>
        </w:tc>
        <w:tc>
          <w:tcPr>
            <w:tcW w:w="1268" w:type="pct"/>
            <w:vMerge w:val="continue"/>
            <w:vAlign w:val="center"/>
          </w:tcPr>
          <w:p w14:paraId="2B3498F6">
            <w:pPr>
              <w:pStyle w:val="92"/>
              <w:rPr>
                <w:color w:val="auto"/>
                <w:highlight w:val="none"/>
                <w:u w:val="none"/>
              </w:rPr>
            </w:pPr>
          </w:p>
        </w:tc>
      </w:tr>
      <w:tr w14:paraId="5F925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restart"/>
            <w:vAlign w:val="center"/>
          </w:tcPr>
          <w:p w14:paraId="0622124F">
            <w:pPr>
              <w:pStyle w:val="92"/>
              <w:rPr>
                <w:color w:val="auto"/>
                <w:highlight w:val="none"/>
                <w:u w:val="none"/>
              </w:rPr>
            </w:pPr>
            <w:r>
              <w:rPr>
                <w:rFonts w:hint="eastAsia"/>
                <w:color w:val="auto"/>
                <w:highlight w:val="none"/>
                <w:u w:val="none"/>
              </w:rPr>
              <w:t>储罐区</w:t>
            </w:r>
          </w:p>
        </w:tc>
        <w:tc>
          <w:tcPr>
            <w:tcW w:w="743" w:type="pct"/>
            <w:vMerge w:val="restart"/>
            <w:vAlign w:val="center"/>
          </w:tcPr>
          <w:p w14:paraId="6425136C">
            <w:pPr>
              <w:pStyle w:val="92"/>
              <w:rPr>
                <w:color w:val="auto"/>
                <w:highlight w:val="none"/>
                <w:u w:val="none"/>
              </w:rPr>
            </w:pPr>
            <w:r>
              <w:rPr>
                <w:rFonts w:hint="eastAsia"/>
                <w:color w:val="auto"/>
                <w:highlight w:val="none"/>
                <w:u w:val="none"/>
              </w:rPr>
              <w:t>8000</w:t>
            </w:r>
          </w:p>
        </w:tc>
        <w:tc>
          <w:tcPr>
            <w:tcW w:w="991" w:type="pct"/>
            <w:shd w:val="clear" w:color="auto" w:fill="auto"/>
            <w:vAlign w:val="center"/>
          </w:tcPr>
          <w:p w14:paraId="7D67154F">
            <w:pPr>
              <w:pStyle w:val="92"/>
              <w:rPr>
                <w:color w:val="auto"/>
                <w:highlight w:val="none"/>
                <w:u w:val="none"/>
              </w:rPr>
            </w:pPr>
            <w:r>
              <w:rPr>
                <w:rFonts w:hint="eastAsia"/>
                <w:color w:val="auto"/>
                <w:highlight w:val="none"/>
                <w:u w:val="none"/>
              </w:rPr>
              <w:t>ODCB</w:t>
            </w:r>
          </w:p>
        </w:tc>
        <w:tc>
          <w:tcPr>
            <w:tcW w:w="859" w:type="pct"/>
            <w:vAlign w:val="center"/>
          </w:tcPr>
          <w:p w14:paraId="76A97A4C">
            <w:pPr>
              <w:pStyle w:val="92"/>
              <w:rPr>
                <w:color w:val="auto"/>
                <w:highlight w:val="none"/>
                <w:u w:val="none"/>
              </w:rPr>
            </w:pPr>
            <w:r>
              <w:rPr>
                <w:rFonts w:hint="eastAsia"/>
                <w:color w:val="auto"/>
                <w:highlight w:val="none"/>
                <w:u w:val="none"/>
              </w:rPr>
              <w:t>0.0106</w:t>
            </w:r>
          </w:p>
        </w:tc>
        <w:tc>
          <w:tcPr>
            <w:tcW w:w="1268" w:type="pct"/>
            <w:vMerge w:val="restart"/>
            <w:vAlign w:val="center"/>
          </w:tcPr>
          <w:p w14:paraId="5EC5A686">
            <w:pPr>
              <w:pStyle w:val="92"/>
              <w:rPr>
                <w:color w:val="auto"/>
                <w:highlight w:val="none"/>
                <w:u w:val="none"/>
              </w:rPr>
            </w:pPr>
            <w:r>
              <w:rPr>
                <w:rFonts w:hint="eastAsia"/>
                <w:color w:val="auto"/>
                <w:highlight w:val="none"/>
                <w:u w:val="none"/>
              </w:rPr>
              <w:t>68</w:t>
            </w:r>
            <w:r>
              <w:rPr>
                <w:color w:val="auto"/>
                <w:highlight w:val="none"/>
                <w:u w:val="none"/>
              </w:rPr>
              <w:t>×</w:t>
            </w:r>
            <w:r>
              <w:rPr>
                <w:rFonts w:hint="eastAsia"/>
                <w:color w:val="auto"/>
                <w:highlight w:val="none"/>
                <w:u w:val="none"/>
              </w:rPr>
              <w:t>30</w:t>
            </w:r>
            <w:r>
              <w:rPr>
                <w:color w:val="auto"/>
                <w:highlight w:val="none"/>
                <w:u w:val="none"/>
              </w:rPr>
              <w:t>×</w:t>
            </w:r>
            <w:r>
              <w:rPr>
                <w:rFonts w:hint="eastAsia"/>
                <w:color w:val="auto"/>
                <w:highlight w:val="none"/>
                <w:u w:val="none"/>
              </w:rPr>
              <w:t>10.6</w:t>
            </w:r>
          </w:p>
        </w:tc>
      </w:tr>
      <w:tr w14:paraId="05DA3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0C615B5D">
            <w:pPr>
              <w:pStyle w:val="92"/>
              <w:rPr>
                <w:color w:val="auto"/>
                <w:highlight w:val="none"/>
                <w:u w:val="none"/>
              </w:rPr>
            </w:pPr>
          </w:p>
        </w:tc>
        <w:tc>
          <w:tcPr>
            <w:tcW w:w="743" w:type="pct"/>
            <w:vMerge w:val="continue"/>
            <w:vAlign w:val="center"/>
          </w:tcPr>
          <w:p w14:paraId="0DFAC931">
            <w:pPr>
              <w:pStyle w:val="92"/>
              <w:rPr>
                <w:color w:val="auto"/>
                <w:highlight w:val="none"/>
                <w:u w:val="none"/>
              </w:rPr>
            </w:pPr>
          </w:p>
        </w:tc>
        <w:tc>
          <w:tcPr>
            <w:tcW w:w="991" w:type="pct"/>
            <w:shd w:val="clear" w:color="auto" w:fill="auto"/>
            <w:vAlign w:val="center"/>
          </w:tcPr>
          <w:p w14:paraId="69051E70">
            <w:pPr>
              <w:pStyle w:val="92"/>
              <w:rPr>
                <w:color w:val="auto"/>
                <w:highlight w:val="none"/>
                <w:u w:val="none"/>
              </w:rPr>
            </w:pPr>
            <w:r>
              <w:rPr>
                <w:rFonts w:hint="eastAsia"/>
                <w:color w:val="auto"/>
                <w:highlight w:val="none"/>
                <w:u w:val="none"/>
              </w:rPr>
              <w:t>DNT</w:t>
            </w:r>
          </w:p>
        </w:tc>
        <w:tc>
          <w:tcPr>
            <w:tcW w:w="859" w:type="pct"/>
            <w:vAlign w:val="center"/>
          </w:tcPr>
          <w:p w14:paraId="046D8D07">
            <w:pPr>
              <w:pStyle w:val="92"/>
              <w:rPr>
                <w:color w:val="auto"/>
                <w:highlight w:val="none"/>
                <w:u w:val="none"/>
              </w:rPr>
            </w:pPr>
            <w:r>
              <w:rPr>
                <w:rFonts w:hint="eastAsia"/>
                <w:color w:val="auto"/>
                <w:highlight w:val="none"/>
                <w:u w:val="none"/>
              </w:rPr>
              <w:t>0.0090</w:t>
            </w:r>
          </w:p>
        </w:tc>
        <w:tc>
          <w:tcPr>
            <w:tcW w:w="1268" w:type="pct"/>
            <w:vMerge w:val="continue"/>
            <w:vAlign w:val="center"/>
          </w:tcPr>
          <w:p w14:paraId="79C7ECF4">
            <w:pPr>
              <w:pStyle w:val="92"/>
              <w:rPr>
                <w:color w:val="auto"/>
                <w:highlight w:val="none"/>
                <w:u w:val="none"/>
              </w:rPr>
            </w:pPr>
          </w:p>
        </w:tc>
      </w:tr>
      <w:tr w14:paraId="703AA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20222A7B">
            <w:pPr>
              <w:pStyle w:val="92"/>
              <w:rPr>
                <w:color w:val="auto"/>
                <w:highlight w:val="none"/>
                <w:u w:val="none"/>
              </w:rPr>
            </w:pPr>
          </w:p>
        </w:tc>
        <w:tc>
          <w:tcPr>
            <w:tcW w:w="743" w:type="pct"/>
            <w:vMerge w:val="continue"/>
            <w:vAlign w:val="center"/>
          </w:tcPr>
          <w:p w14:paraId="59C46FEC">
            <w:pPr>
              <w:pStyle w:val="92"/>
              <w:rPr>
                <w:color w:val="auto"/>
                <w:highlight w:val="none"/>
                <w:u w:val="none"/>
              </w:rPr>
            </w:pPr>
          </w:p>
        </w:tc>
        <w:tc>
          <w:tcPr>
            <w:tcW w:w="991" w:type="pct"/>
            <w:shd w:val="clear" w:color="auto" w:fill="auto"/>
            <w:vAlign w:val="center"/>
          </w:tcPr>
          <w:p w14:paraId="60069643">
            <w:pPr>
              <w:pStyle w:val="92"/>
              <w:rPr>
                <w:color w:val="auto"/>
                <w:highlight w:val="none"/>
                <w:u w:val="none"/>
              </w:rPr>
            </w:pPr>
            <w:r>
              <w:rPr>
                <w:color w:val="auto"/>
                <w:highlight w:val="none"/>
                <w:u w:val="none"/>
              </w:rPr>
              <w:t>TDA</w:t>
            </w:r>
          </w:p>
        </w:tc>
        <w:tc>
          <w:tcPr>
            <w:tcW w:w="859" w:type="pct"/>
            <w:vAlign w:val="center"/>
          </w:tcPr>
          <w:p w14:paraId="77BF66E5">
            <w:pPr>
              <w:pStyle w:val="92"/>
              <w:rPr>
                <w:color w:val="auto"/>
                <w:highlight w:val="none"/>
                <w:u w:val="none"/>
              </w:rPr>
            </w:pPr>
            <w:r>
              <w:rPr>
                <w:rFonts w:hint="eastAsia"/>
                <w:color w:val="auto"/>
                <w:highlight w:val="none"/>
                <w:u w:val="none"/>
              </w:rPr>
              <w:t>0.0076</w:t>
            </w:r>
          </w:p>
        </w:tc>
        <w:tc>
          <w:tcPr>
            <w:tcW w:w="1268" w:type="pct"/>
            <w:vMerge w:val="continue"/>
            <w:vAlign w:val="center"/>
          </w:tcPr>
          <w:p w14:paraId="04DB683D">
            <w:pPr>
              <w:pStyle w:val="92"/>
              <w:rPr>
                <w:color w:val="auto"/>
                <w:highlight w:val="none"/>
                <w:u w:val="none"/>
              </w:rPr>
            </w:pPr>
          </w:p>
        </w:tc>
      </w:tr>
      <w:tr w14:paraId="662DA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7" w:type="pct"/>
            <w:vMerge w:val="continue"/>
            <w:vAlign w:val="center"/>
          </w:tcPr>
          <w:p w14:paraId="1552B325">
            <w:pPr>
              <w:pStyle w:val="92"/>
              <w:rPr>
                <w:color w:val="auto"/>
                <w:highlight w:val="none"/>
                <w:u w:val="none"/>
              </w:rPr>
            </w:pPr>
          </w:p>
        </w:tc>
        <w:tc>
          <w:tcPr>
            <w:tcW w:w="743" w:type="pct"/>
            <w:vMerge w:val="continue"/>
            <w:vAlign w:val="center"/>
          </w:tcPr>
          <w:p w14:paraId="20AF6264">
            <w:pPr>
              <w:pStyle w:val="92"/>
              <w:rPr>
                <w:color w:val="auto"/>
                <w:highlight w:val="none"/>
                <w:u w:val="none"/>
              </w:rPr>
            </w:pPr>
          </w:p>
        </w:tc>
        <w:tc>
          <w:tcPr>
            <w:tcW w:w="991" w:type="pct"/>
            <w:vAlign w:val="center"/>
          </w:tcPr>
          <w:p w14:paraId="035E68E7">
            <w:pPr>
              <w:pStyle w:val="92"/>
              <w:rPr>
                <w:color w:val="auto"/>
                <w:highlight w:val="none"/>
                <w:u w:val="none"/>
              </w:rPr>
            </w:pPr>
            <w:r>
              <w:rPr>
                <w:rFonts w:hint="eastAsia"/>
                <w:color w:val="auto"/>
                <w:highlight w:val="none"/>
                <w:u w:val="none"/>
              </w:rPr>
              <w:t>VOCs</w:t>
            </w:r>
          </w:p>
        </w:tc>
        <w:tc>
          <w:tcPr>
            <w:tcW w:w="859" w:type="pct"/>
            <w:vAlign w:val="center"/>
          </w:tcPr>
          <w:p w14:paraId="57EB1FD6">
            <w:pPr>
              <w:pStyle w:val="92"/>
              <w:rPr>
                <w:color w:val="auto"/>
                <w:highlight w:val="none"/>
                <w:u w:val="none"/>
              </w:rPr>
            </w:pPr>
            <w:r>
              <w:rPr>
                <w:rFonts w:hint="eastAsia"/>
                <w:color w:val="auto"/>
                <w:highlight w:val="none"/>
                <w:u w:val="none"/>
              </w:rPr>
              <w:t>0.0341</w:t>
            </w:r>
          </w:p>
        </w:tc>
        <w:tc>
          <w:tcPr>
            <w:tcW w:w="1268" w:type="pct"/>
            <w:vMerge w:val="continue"/>
            <w:vAlign w:val="center"/>
          </w:tcPr>
          <w:p w14:paraId="72313E3D">
            <w:pPr>
              <w:pStyle w:val="92"/>
              <w:rPr>
                <w:color w:val="auto"/>
                <w:highlight w:val="none"/>
                <w:u w:val="none"/>
              </w:rPr>
            </w:pPr>
          </w:p>
        </w:tc>
      </w:tr>
    </w:tbl>
    <w:p w14:paraId="7F7D9415">
      <w:pPr>
        <w:ind w:firstLine="0" w:firstLineChars="0"/>
        <w:rPr>
          <w:rFonts w:hint="eastAsia"/>
          <w:color w:val="auto"/>
          <w:highlight w:val="none"/>
          <w:u w:val="none"/>
        </w:rPr>
      </w:pPr>
    </w:p>
    <w:p w14:paraId="0FA6E6C3">
      <w:pPr>
        <w:ind w:firstLine="0" w:firstLineChars="0"/>
        <w:jc w:val="center"/>
        <w:rPr>
          <w:rFonts w:hint="eastAsia"/>
          <w:b/>
          <w:bCs/>
          <w:color w:val="auto"/>
          <w:highlight w:val="none"/>
          <w:u w:val="none"/>
        </w:rPr>
      </w:pPr>
      <w:bookmarkStart w:id="361" w:name="_Ref146401770"/>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4</w:t>
      </w:r>
      <w:r>
        <w:rPr>
          <w:b/>
          <w:bCs/>
          <w:color w:val="auto"/>
          <w:highlight w:val="none"/>
          <w:u w:val="none"/>
        </w:rPr>
        <w:fldChar w:fldCharType="end"/>
      </w:r>
      <w:bookmarkEnd w:id="361"/>
      <w:r>
        <w:rPr>
          <w:b/>
          <w:bCs/>
          <w:color w:val="auto"/>
          <w:highlight w:val="none"/>
          <w:u w:val="none"/>
        </w:rPr>
        <w:t xml:space="preserve">  </w:t>
      </w:r>
      <w:r>
        <w:rPr>
          <w:rFonts w:hint="eastAsia"/>
          <w:b/>
          <w:bCs/>
          <w:color w:val="auto"/>
          <w:highlight w:val="none"/>
          <w:u w:val="none"/>
          <w:lang w:val="en-US"/>
        </w:rPr>
        <w:t>本次技改扩能后</w:t>
      </w:r>
      <w:r>
        <w:rPr>
          <w:rFonts w:hint="eastAsia"/>
          <w:b/>
          <w:bCs/>
          <w:color w:val="auto"/>
          <w:highlight w:val="none"/>
          <w:u w:val="none"/>
        </w:rPr>
        <w:t>废气无组织污染源排放情况汇总表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69"/>
        <w:gridCol w:w="1810"/>
        <w:gridCol w:w="2414"/>
        <w:gridCol w:w="2091"/>
        <w:gridCol w:w="2006"/>
        <w:gridCol w:w="3084"/>
      </w:tblGrid>
      <w:tr w14:paraId="1CF0E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76" w:type="pct"/>
            <w:vAlign w:val="center"/>
          </w:tcPr>
          <w:p w14:paraId="10EF8782">
            <w:pPr>
              <w:pStyle w:val="92"/>
              <w:rPr>
                <w:color w:val="auto"/>
                <w:highlight w:val="none"/>
                <w:u w:val="none"/>
              </w:rPr>
            </w:pPr>
            <w:bookmarkStart w:id="362" w:name="_Ref494391967"/>
            <w:r>
              <w:rPr>
                <w:color w:val="auto"/>
                <w:highlight w:val="none"/>
                <w:u w:val="none"/>
              </w:rPr>
              <w:t>位置</w:t>
            </w:r>
          </w:p>
        </w:tc>
        <w:tc>
          <w:tcPr>
            <w:tcW w:w="638" w:type="pct"/>
            <w:vAlign w:val="center"/>
          </w:tcPr>
          <w:p w14:paraId="502E3056">
            <w:pPr>
              <w:pStyle w:val="92"/>
              <w:rPr>
                <w:color w:val="auto"/>
                <w:highlight w:val="none"/>
                <w:u w:val="none"/>
              </w:rPr>
            </w:pPr>
            <w:r>
              <w:rPr>
                <w:color w:val="auto"/>
                <w:highlight w:val="none"/>
                <w:u w:val="none"/>
              </w:rPr>
              <w:t>工作时长（h）</w:t>
            </w:r>
          </w:p>
        </w:tc>
        <w:tc>
          <w:tcPr>
            <w:tcW w:w="851" w:type="pct"/>
            <w:vAlign w:val="center"/>
          </w:tcPr>
          <w:p w14:paraId="1701303B">
            <w:pPr>
              <w:pStyle w:val="92"/>
              <w:rPr>
                <w:color w:val="auto"/>
                <w:highlight w:val="none"/>
                <w:u w:val="none"/>
              </w:rPr>
            </w:pPr>
            <w:r>
              <w:rPr>
                <w:color w:val="auto"/>
                <w:highlight w:val="none"/>
                <w:u w:val="none"/>
              </w:rPr>
              <w:t>污染物</w:t>
            </w:r>
          </w:p>
        </w:tc>
        <w:tc>
          <w:tcPr>
            <w:tcW w:w="737" w:type="pct"/>
            <w:vAlign w:val="center"/>
          </w:tcPr>
          <w:p w14:paraId="23A40ADF">
            <w:pPr>
              <w:pStyle w:val="92"/>
              <w:rPr>
                <w:color w:val="auto"/>
                <w:highlight w:val="none"/>
                <w:u w:val="none"/>
              </w:rPr>
            </w:pPr>
            <w:r>
              <w:rPr>
                <w:color w:val="auto"/>
                <w:highlight w:val="none"/>
                <w:u w:val="none"/>
              </w:rPr>
              <w:t>排放量（t/a）</w:t>
            </w:r>
          </w:p>
        </w:tc>
        <w:tc>
          <w:tcPr>
            <w:tcW w:w="707" w:type="pct"/>
            <w:vAlign w:val="center"/>
          </w:tcPr>
          <w:p w14:paraId="6741D2C5">
            <w:pPr>
              <w:pStyle w:val="92"/>
              <w:rPr>
                <w:color w:val="auto"/>
                <w:highlight w:val="none"/>
                <w:u w:val="none"/>
              </w:rPr>
            </w:pPr>
            <w:r>
              <w:rPr>
                <w:color w:val="auto"/>
                <w:highlight w:val="none"/>
                <w:u w:val="none"/>
              </w:rPr>
              <w:t>排放速率（kg/h）</w:t>
            </w:r>
          </w:p>
        </w:tc>
        <w:tc>
          <w:tcPr>
            <w:tcW w:w="1087" w:type="pct"/>
            <w:vAlign w:val="center"/>
          </w:tcPr>
          <w:p w14:paraId="633FAD86">
            <w:pPr>
              <w:pStyle w:val="92"/>
              <w:rPr>
                <w:color w:val="auto"/>
                <w:highlight w:val="none"/>
                <w:u w:val="none"/>
              </w:rPr>
            </w:pPr>
            <w:r>
              <w:rPr>
                <w:color w:val="auto"/>
                <w:highlight w:val="none"/>
                <w:u w:val="none"/>
              </w:rPr>
              <w:t>面源：长×宽×高（m）</w:t>
            </w:r>
          </w:p>
        </w:tc>
      </w:tr>
      <w:tr w14:paraId="49216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restart"/>
            <w:vAlign w:val="center"/>
          </w:tcPr>
          <w:p w14:paraId="609B1784">
            <w:pPr>
              <w:pStyle w:val="92"/>
              <w:rPr>
                <w:color w:val="auto"/>
                <w:highlight w:val="none"/>
                <w:u w:val="none"/>
              </w:rPr>
            </w:pPr>
            <w:r>
              <w:rPr>
                <w:color w:val="auto"/>
                <w:highlight w:val="none"/>
                <w:u w:val="none"/>
              </w:rPr>
              <w:t>硝化单元</w:t>
            </w:r>
          </w:p>
        </w:tc>
        <w:tc>
          <w:tcPr>
            <w:tcW w:w="638" w:type="pct"/>
            <w:vMerge w:val="restart"/>
            <w:vAlign w:val="center"/>
          </w:tcPr>
          <w:p w14:paraId="38E205C9">
            <w:pPr>
              <w:pStyle w:val="92"/>
              <w:rPr>
                <w:color w:val="auto"/>
                <w:highlight w:val="none"/>
                <w:u w:val="none"/>
              </w:rPr>
            </w:pPr>
            <w:r>
              <w:rPr>
                <w:rFonts w:hint="eastAsia"/>
                <w:color w:val="auto"/>
                <w:highlight w:val="none"/>
                <w:u w:val="none"/>
              </w:rPr>
              <w:t>8000</w:t>
            </w:r>
          </w:p>
        </w:tc>
        <w:tc>
          <w:tcPr>
            <w:tcW w:w="851" w:type="pct"/>
            <w:vAlign w:val="center"/>
          </w:tcPr>
          <w:p w14:paraId="5204B9E6">
            <w:pPr>
              <w:pStyle w:val="92"/>
              <w:rPr>
                <w:color w:val="auto"/>
                <w:highlight w:val="none"/>
                <w:u w:val="none"/>
              </w:rPr>
            </w:pPr>
            <w:r>
              <w:rPr>
                <w:color w:val="auto"/>
                <w:highlight w:val="none"/>
                <w:u w:val="none"/>
              </w:rPr>
              <w:t>甲苯</w:t>
            </w:r>
          </w:p>
        </w:tc>
        <w:tc>
          <w:tcPr>
            <w:tcW w:w="737" w:type="pct"/>
            <w:vAlign w:val="center"/>
          </w:tcPr>
          <w:p w14:paraId="1A5C8A25">
            <w:pPr>
              <w:pStyle w:val="92"/>
              <w:rPr>
                <w:color w:val="auto"/>
                <w:highlight w:val="none"/>
                <w:u w:val="none"/>
              </w:rPr>
            </w:pPr>
            <w:r>
              <w:rPr>
                <w:rFonts w:hint="eastAsia"/>
                <w:color w:val="auto"/>
                <w:highlight w:val="none"/>
                <w:u w:val="none"/>
              </w:rPr>
              <w:t>0.5083</w:t>
            </w:r>
          </w:p>
        </w:tc>
        <w:tc>
          <w:tcPr>
            <w:tcW w:w="707" w:type="pct"/>
            <w:vAlign w:val="center"/>
          </w:tcPr>
          <w:p w14:paraId="6B2C5BE5">
            <w:pPr>
              <w:pStyle w:val="92"/>
              <w:rPr>
                <w:color w:val="auto"/>
                <w:highlight w:val="none"/>
                <w:u w:val="none"/>
              </w:rPr>
            </w:pPr>
            <w:r>
              <w:rPr>
                <w:rFonts w:hint="eastAsia"/>
                <w:color w:val="auto"/>
                <w:highlight w:val="none"/>
                <w:u w:val="none"/>
              </w:rPr>
              <w:t>0.0635</w:t>
            </w:r>
          </w:p>
        </w:tc>
        <w:tc>
          <w:tcPr>
            <w:tcW w:w="1087" w:type="pct"/>
            <w:vMerge w:val="restart"/>
            <w:vAlign w:val="center"/>
          </w:tcPr>
          <w:p w14:paraId="1FCE51B6">
            <w:pPr>
              <w:pStyle w:val="92"/>
              <w:rPr>
                <w:color w:val="auto"/>
                <w:highlight w:val="none"/>
                <w:u w:val="none"/>
              </w:rPr>
            </w:pPr>
            <w:r>
              <w:rPr>
                <w:rFonts w:hint="eastAsia"/>
                <w:color w:val="auto"/>
                <w:highlight w:val="none"/>
                <w:u w:val="none"/>
              </w:rPr>
              <w:t>89</w:t>
            </w:r>
            <w:r>
              <w:rPr>
                <w:color w:val="auto"/>
                <w:highlight w:val="none"/>
                <w:u w:val="none"/>
              </w:rPr>
              <w:t>×</w:t>
            </w:r>
            <w:r>
              <w:rPr>
                <w:rFonts w:hint="eastAsia"/>
                <w:color w:val="auto"/>
                <w:highlight w:val="none"/>
                <w:u w:val="none"/>
              </w:rPr>
              <w:t>80</w:t>
            </w:r>
            <w:r>
              <w:rPr>
                <w:color w:val="auto"/>
                <w:highlight w:val="none"/>
                <w:u w:val="none"/>
              </w:rPr>
              <w:t>×</w:t>
            </w:r>
            <w:r>
              <w:rPr>
                <w:rFonts w:hint="eastAsia"/>
                <w:color w:val="auto"/>
                <w:highlight w:val="none"/>
                <w:u w:val="none"/>
              </w:rPr>
              <w:t>18</w:t>
            </w:r>
          </w:p>
        </w:tc>
      </w:tr>
      <w:tr w14:paraId="72375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227D9A7A">
            <w:pPr>
              <w:pStyle w:val="92"/>
              <w:rPr>
                <w:color w:val="auto"/>
                <w:highlight w:val="none"/>
                <w:u w:val="none"/>
              </w:rPr>
            </w:pPr>
          </w:p>
        </w:tc>
        <w:tc>
          <w:tcPr>
            <w:tcW w:w="638" w:type="pct"/>
            <w:vMerge w:val="continue"/>
            <w:vAlign w:val="center"/>
          </w:tcPr>
          <w:p w14:paraId="479C07B9">
            <w:pPr>
              <w:pStyle w:val="92"/>
              <w:rPr>
                <w:color w:val="auto"/>
                <w:highlight w:val="none"/>
                <w:u w:val="none"/>
              </w:rPr>
            </w:pPr>
          </w:p>
        </w:tc>
        <w:tc>
          <w:tcPr>
            <w:tcW w:w="851" w:type="pct"/>
            <w:vAlign w:val="center"/>
          </w:tcPr>
          <w:p w14:paraId="47E11009">
            <w:pPr>
              <w:pStyle w:val="92"/>
              <w:rPr>
                <w:color w:val="auto"/>
                <w:highlight w:val="none"/>
                <w:u w:val="none"/>
              </w:rPr>
            </w:pPr>
            <w:r>
              <w:rPr>
                <w:color w:val="auto"/>
                <w:highlight w:val="none"/>
                <w:u w:val="none"/>
              </w:rPr>
              <w:t>DNT</w:t>
            </w:r>
          </w:p>
        </w:tc>
        <w:tc>
          <w:tcPr>
            <w:tcW w:w="737" w:type="pct"/>
            <w:vAlign w:val="center"/>
          </w:tcPr>
          <w:p w14:paraId="2030FC38">
            <w:pPr>
              <w:pStyle w:val="92"/>
              <w:rPr>
                <w:color w:val="auto"/>
                <w:highlight w:val="none"/>
                <w:u w:val="none"/>
              </w:rPr>
            </w:pPr>
            <w:r>
              <w:rPr>
                <w:rFonts w:hint="eastAsia"/>
                <w:color w:val="auto"/>
                <w:highlight w:val="none"/>
                <w:u w:val="none"/>
              </w:rPr>
              <w:t>1.0389</w:t>
            </w:r>
          </w:p>
        </w:tc>
        <w:tc>
          <w:tcPr>
            <w:tcW w:w="707" w:type="pct"/>
            <w:vAlign w:val="center"/>
          </w:tcPr>
          <w:p w14:paraId="1248A6BF">
            <w:pPr>
              <w:pStyle w:val="92"/>
              <w:rPr>
                <w:color w:val="auto"/>
                <w:highlight w:val="none"/>
                <w:u w:val="none"/>
              </w:rPr>
            </w:pPr>
            <w:r>
              <w:rPr>
                <w:rFonts w:hint="eastAsia"/>
                <w:color w:val="auto"/>
                <w:highlight w:val="none"/>
                <w:u w:val="none"/>
              </w:rPr>
              <w:t>0.1299</w:t>
            </w:r>
          </w:p>
        </w:tc>
        <w:tc>
          <w:tcPr>
            <w:tcW w:w="1087" w:type="pct"/>
            <w:vMerge w:val="continue"/>
            <w:vAlign w:val="center"/>
          </w:tcPr>
          <w:p w14:paraId="08319BEC">
            <w:pPr>
              <w:pStyle w:val="92"/>
              <w:rPr>
                <w:color w:val="auto"/>
                <w:highlight w:val="none"/>
                <w:u w:val="none"/>
              </w:rPr>
            </w:pPr>
          </w:p>
        </w:tc>
      </w:tr>
      <w:tr w14:paraId="25436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504AB69C">
            <w:pPr>
              <w:pStyle w:val="92"/>
              <w:rPr>
                <w:color w:val="auto"/>
                <w:highlight w:val="none"/>
                <w:u w:val="none"/>
              </w:rPr>
            </w:pPr>
          </w:p>
        </w:tc>
        <w:tc>
          <w:tcPr>
            <w:tcW w:w="638" w:type="pct"/>
            <w:vMerge w:val="continue"/>
            <w:vAlign w:val="center"/>
          </w:tcPr>
          <w:p w14:paraId="5D4C5A9C">
            <w:pPr>
              <w:pStyle w:val="92"/>
              <w:rPr>
                <w:color w:val="auto"/>
                <w:highlight w:val="none"/>
                <w:u w:val="none"/>
              </w:rPr>
            </w:pPr>
          </w:p>
        </w:tc>
        <w:tc>
          <w:tcPr>
            <w:tcW w:w="851" w:type="pct"/>
            <w:vAlign w:val="center"/>
          </w:tcPr>
          <w:p w14:paraId="553CE7A4">
            <w:pPr>
              <w:pStyle w:val="92"/>
              <w:rPr>
                <w:color w:val="auto"/>
                <w:highlight w:val="none"/>
                <w:u w:val="none"/>
              </w:rPr>
            </w:pPr>
            <w:r>
              <w:rPr>
                <w:color w:val="auto"/>
                <w:highlight w:val="none"/>
                <w:u w:val="none"/>
              </w:rPr>
              <w:t>VOC</w:t>
            </w:r>
            <w:r>
              <w:rPr>
                <w:color w:val="auto"/>
                <w:highlight w:val="none"/>
                <w:u w:val="none"/>
                <w:vertAlign w:val="subscript"/>
              </w:rPr>
              <w:t>S</w:t>
            </w:r>
          </w:p>
        </w:tc>
        <w:tc>
          <w:tcPr>
            <w:tcW w:w="737" w:type="pct"/>
            <w:vAlign w:val="center"/>
          </w:tcPr>
          <w:p w14:paraId="1C8F57AC">
            <w:pPr>
              <w:pStyle w:val="92"/>
              <w:rPr>
                <w:color w:val="auto"/>
                <w:highlight w:val="none"/>
                <w:u w:val="none"/>
              </w:rPr>
            </w:pPr>
            <w:r>
              <w:rPr>
                <w:rFonts w:hint="eastAsia"/>
                <w:color w:val="auto"/>
                <w:highlight w:val="none"/>
                <w:u w:val="none"/>
              </w:rPr>
              <w:t>2.7052</w:t>
            </w:r>
          </w:p>
        </w:tc>
        <w:tc>
          <w:tcPr>
            <w:tcW w:w="707" w:type="pct"/>
            <w:vAlign w:val="center"/>
          </w:tcPr>
          <w:p w14:paraId="422313D6">
            <w:pPr>
              <w:pStyle w:val="92"/>
              <w:rPr>
                <w:color w:val="auto"/>
                <w:highlight w:val="none"/>
                <w:u w:val="none"/>
              </w:rPr>
            </w:pPr>
            <w:r>
              <w:rPr>
                <w:rFonts w:hint="eastAsia"/>
                <w:color w:val="auto"/>
                <w:highlight w:val="none"/>
                <w:u w:val="none"/>
              </w:rPr>
              <w:t>0.3382</w:t>
            </w:r>
          </w:p>
        </w:tc>
        <w:tc>
          <w:tcPr>
            <w:tcW w:w="1087" w:type="pct"/>
            <w:vMerge w:val="continue"/>
            <w:vAlign w:val="center"/>
          </w:tcPr>
          <w:p w14:paraId="56BCD4FA">
            <w:pPr>
              <w:pStyle w:val="92"/>
              <w:rPr>
                <w:color w:val="auto"/>
                <w:highlight w:val="none"/>
                <w:u w:val="none"/>
              </w:rPr>
            </w:pPr>
          </w:p>
        </w:tc>
      </w:tr>
      <w:tr w14:paraId="5753A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restart"/>
            <w:vAlign w:val="center"/>
          </w:tcPr>
          <w:p w14:paraId="2686215D">
            <w:pPr>
              <w:pStyle w:val="92"/>
              <w:rPr>
                <w:color w:val="auto"/>
                <w:highlight w:val="none"/>
                <w:u w:val="none"/>
              </w:rPr>
            </w:pPr>
            <w:r>
              <w:rPr>
                <w:color w:val="auto"/>
                <w:highlight w:val="none"/>
                <w:u w:val="none"/>
              </w:rPr>
              <w:t>氢化单元</w:t>
            </w:r>
          </w:p>
        </w:tc>
        <w:tc>
          <w:tcPr>
            <w:tcW w:w="638" w:type="pct"/>
            <w:vMerge w:val="restart"/>
            <w:vAlign w:val="center"/>
          </w:tcPr>
          <w:p w14:paraId="02BAC701">
            <w:pPr>
              <w:pStyle w:val="92"/>
              <w:rPr>
                <w:color w:val="auto"/>
                <w:highlight w:val="none"/>
                <w:u w:val="none"/>
              </w:rPr>
            </w:pPr>
            <w:r>
              <w:rPr>
                <w:rFonts w:hint="eastAsia"/>
                <w:color w:val="auto"/>
                <w:highlight w:val="none"/>
                <w:u w:val="none"/>
              </w:rPr>
              <w:t>8000</w:t>
            </w:r>
          </w:p>
        </w:tc>
        <w:tc>
          <w:tcPr>
            <w:tcW w:w="851" w:type="pct"/>
            <w:vAlign w:val="center"/>
          </w:tcPr>
          <w:p w14:paraId="52711926">
            <w:pPr>
              <w:pStyle w:val="92"/>
              <w:rPr>
                <w:color w:val="auto"/>
                <w:highlight w:val="none"/>
                <w:u w:val="none"/>
              </w:rPr>
            </w:pPr>
            <w:r>
              <w:rPr>
                <w:color w:val="auto"/>
                <w:highlight w:val="none"/>
                <w:u w:val="none"/>
              </w:rPr>
              <w:t>TDA</w:t>
            </w:r>
          </w:p>
        </w:tc>
        <w:tc>
          <w:tcPr>
            <w:tcW w:w="737" w:type="pct"/>
            <w:vAlign w:val="center"/>
          </w:tcPr>
          <w:p w14:paraId="57DEB1F4">
            <w:pPr>
              <w:pStyle w:val="92"/>
              <w:rPr>
                <w:color w:val="auto"/>
                <w:highlight w:val="none"/>
                <w:u w:val="none"/>
              </w:rPr>
            </w:pPr>
            <w:r>
              <w:rPr>
                <w:rFonts w:hint="eastAsia"/>
                <w:color w:val="auto"/>
                <w:highlight w:val="none"/>
                <w:u w:val="none"/>
              </w:rPr>
              <w:t>4.808</w:t>
            </w:r>
          </w:p>
        </w:tc>
        <w:tc>
          <w:tcPr>
            <w:tcW w:w="707" w:type="pct"/>
            <w:vAlign w:val="center"/>
          </w:tcPr>
          <w:p w14:paraId="155DC4BF">
            <w:pPr>
              <w:pStyle w:val="92"/>
              <w:rPr>
                <w:color w:val="auto"/>
                <w:highlight w:val="none"/>
                <w:u w:val="none"/>
              </w:rPr>
            </w:pPr>
            <w:r>
              <w:rPr>
                <w:rFonts w:hint="eastAsia"/>
                <w:color w:val="auto"/>
                <w:highlight w:val="none"/>
                <w:u w:val="none"/>
              </w:rPr>
              <w:t>0.6009</w:t>
            </w:r>
          </w:p>
        </w:tc>
        <w:tc>
          <w:tcPr>
            <w:tcW w:w="1087" w:type="pct"/>
            <w:vMerge w:val="restart"/>
            <w:vAlign w:val="center"/>
          </w:tcPr>
          <w:p w14:paraId="49518477">
            <w:pPr>
              <w:pStyle w:val="92"/>
              <w:rPr>
                <w:color w:val="auto"/>
                <w:highlight w:val="none"/>
                <w:u w:val="none"/>
              </w:rPr>
            </w:pPr>
            <w:r>
              <w:rPr>
                <w:rFonts w:hint="eastAsia"/>
                <w:color w:val="auto"/>
                <w:highlight w:val="none"/>
                <w:u w:val="none"/>
              </w:rPr>
              <w:t>48</w:t>
            </w:r>
            <w:r>
              <w:rPr>
                <w:color w:val="auto"/>
                <w:highlight w:val="none"/>
                <w:u w:val="none"/>
              </w:rPr>
              <w:t>×</w:t>
            </w:r>
            <w:r>
              <w:rPr>
                <w:rFonts w:hint="eastAsia"/>
                <w:color w:val="auto"/>
                <w:highlight w:val="none"/>
                <w:u w:val="none"/>
              </w:rPr>
              <w:t>110</w:t>
            </w:r>
            <w:r>
              <w:rPr>
                <w:color w:val="auto"/>
                <w:highlight w:val="none"/>
                <w:u w:val="none"/>
              </w:rPr>
              <w:t>×</w:t>
            </w:r>
            <w:r>
              <w:rPr>
                <w:rFonts w:hint="eastAsia"/>
                <w:color w:val="auto"/>
                <w:highlight w:val="none"/>
                <w:u w:val="none"/>
              </w:rPr>
              <w:t>18</w:t>
            </w:r>
          </w:p>
        </w:tc>
      </w:tr>
      <w:tr w14:paraId="4AE02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3E7E5CE4">
            <w:pPr>
              <w:pStyle w:val="92"/>
              <w:rPr>
                <w:color w:val="auto"/>
                <w:highlight w:val="none"/>
                <w:u w:val="none"/>
              </w:rPr>
            </w:pPr>
          </w:p>
        </w:tc>
        <w:tc>
          <w:tcPr>
            <w:tcW w:w="638" w:type="pct"/>
            <w:vMerge w:val="continue"/>
            <w:vAlign w:val="center"/>
          </w:tcPr>
          <w:p w14:paraId="10BE7F6E">
            <w:pPr>
              <w:pStyle w:val="92"/>
              <w:rPr>
                <w:color w:val="auto"/>
                <w:highlight w:val="none"/>
                <w:u w:val="none"/>
              </w:rPr>
            </w:pPr>
          </w:p>
        </w:tc>
        <w:tc>
          <w:tcPr>
            <w:tcW w:w="851" w:type="pct"/>
            <w:vAlign w:val="center"/>
          </w:tcPr>
          <w:p w14:paraId="772B6850">
            <w:pPr>
              <w:pStyle w:val="92"/>
              <w:rPr>
                <w:color w:val="auto"/>
                <w:highlight w:val="none"/>
                <w:u w:val="none"/>
              </w:rPr>
            </w:pPr>
            <w:r>
              <w:rPr>
                <w:color w:val="auto"/>
                <w:highlight w:val="none"/>
                <w:u w:val="none"/>
              </w:rPr>
              <w:t>VOC</w:t>
            </w:r>
            <w:r>
              <w:rPr>
                <w:color w:val="auto"/>
                <w:highlight w:val="none"/>
                <w:u w:val="none"/>
                <w:vertAlign w:val="subscript"/>
              </w:rPr>
              <w:t>S</w:t>
            </w:r>
          </w:p>
        </w:tc>
        <w:tc>
          <w:tcPr>
            <w:tcW w:w="737" w:type="pct"/>
            <w:vAlign w:val="center"/>
          </w:tcPr>
          <w:p w14:paraId="574DBE98">
            <w:pPr>
              <w:pStyle w:val="92"/>
              <w:rPr>
                <w:color w:val="auto"/>
                <w:highlight w:val="none"/>
                <w:u w:val="none"/>
              </w:rPr>
            </w:pPr>
            <w:r>
              <w:rPr>
                <w:rFonts w:hint="eastAsia"/>
                <w:color w:val="auto"/>
                <w:highlight w:val="none"/>
                <w:u w:val="none"/>
              </w:rPr>
              <w:t>9.1304</w:t>
            </w:r>
          </w:p>
        </w:tc>
        <w:tc>
          <w:tcPr>
            <w:tcW w:w="707" w:type="pct"/>
            <w:vAlign w:val="center"/>
          </w:tcPr>
          <w:p w14:paraId="5C95BF09">
            <w:pPr>
              <w:pStyle w:val="92"/>
              <w:rPr>
                <w:color w:val="auto"/>
                <w:highlight w:val="none"/>
                <w:u w:val="none"/>
              </w:rPr>
            </w:pPr>
            <w:r>
              <w:rPr>
                <w:rFonts w:hint="eastAsia"/>
                <w:color w:val="auto"/>
                <w:highlight w:val="none"/>
                <w:u w:val="none"/>
              </w:rPr>
              <w:t>1.1412</w:t>
            </w:r>
          </w:p>
        </w:tc>
        <w:tc>
          <w:tcPr>
            <w:tcW w:w="1087" w:type="pct"/>
            <w:vMerge w:val="continue"/>
            <w:vAlign w:val="center"/>
          </w:tcPr>
          <w:p w14:paraId="77CE92BC">
            <w:pPr>
              <w:pStyle w:val="92"/>
              <w:rPr>
                <w:color w:val="auto"/>
                <w:highlight w:val="none"/>
                <w:u w:val="none"/>
              </w:rPr>
            </w:pPr>
          </w:p>
        </w:tc>
      </w:tr>
      <w:tr w14:paraId="5C1B2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restart"/>
            <w:vAlign w:val="center"/>
          </w:tcPr>
          <w:p w14:paraId="145E77DB">
            <w:pPr>
              <w:pStyle w:val="92"/>
              <w:rPr>
                <w:color w:val="auto"/>
                <w:highlight w:val="none"/>
                <w:u w:val="none"/>
              </w:rPr>
            </w:pPr>
            <w:r>
              <w:rPr>
                <w:color w:val="auto"/>
                <w:highlight w:val="none"/>
                <w:u w:val="none"/>
              </w:rPr>
              <w:t>光化单元</w:t>
            </w:r>
          </w:p>
        </w:tc>
        <w:tc>
          <w:tcPr>
            <w:tcW w:w="638" w:type="pct"/>
            <w:vMerge w:val="restart"/>
            <w:vAlign w:val="center"/>
          </w:tcPr>
          <w:p w14:paraId="0728D0E6">
            <w:pPr>
              <w:pStyle w:val="92"/>
              <w:rPr>
                <w:color w:val="auto"/>
                <w:highlight w:val="none"/>
                <w:u w:val="none"/>
              </w:rPr>
            </w:pPr>
            <w:r>
              <w:rPr>
                <w:rFonts w:hint="eastAsia"/>
                <w:color w:val="auto"/>
                <w:highlight w:val="none"/>
                <w:u w:val="none"/>
              </w:rPr>
              <w:t>8000</w:t>
            </w:r>
          </w:p>
        </w:tc>
        <w:tc>
          <w:tcPr>
            <w:tcW w:w="851" w:type="pct"/>
            <w:vAlign w:val="center"/>
          </w:tcPr>
          <w:p w14:paraId="43E2ADD8">
            <w:pPr>
              <w:pStyle w:val="92"/>
              <w:rPr>
                <w:color w:val="auto"/>
                <w:highlight w:val="none"/>
                <w:u w:val="none"/>
              </w:rPr>
            </w:pPr>
            <w:r>
              <w:rPr>
                <w:color w:val="auto"/>
                <w:highlight w:val="none"/>
                <w:u w:val="none"/>
              </w:rPr>
              <w:t>Cl</w:t>
            </w:r>
            <w:r>
              <w:rPr>
                <w:color w:val="auto"/>
                <w:highlight w:val="none"/>
                <w:u w:val="none"/>
                <w:vertAlign w:val="subscript"/>
              </w:rPr>
              <w:t>2</w:t>
            </w:r>
          </w:p>
        </w:tc>
        <w:tc>
          <w:tcPr>
            <w:tcW w:w="737" w:type="pct"/>
            <w:vAlign w:val="center"/>
          </w:tcPr>
          <w:p w14:paraId="6A340A56">
            <w:pPr>
              <w:pStyle w:val="92"/>
              <w:rPr>
                <w:color w:val="auto"/>
                <w:highlight w:val="none"/>
                <w:u w:val="none"/>
              </w:rPr>
            </w:pPr>
            <w:r>
              <w:rPr>
                <w:rFonts w:hint="eastAsia"/>
                <w:color w:val="auto"/>
                <w:highlight w:val="none"/>
                <w:u w:val="none"/>
              </w:rPr>
              <w:t>3.17</w:t>
            </w:r>
          </w:p>
        </w:tc>
        <w:tc>
          <w:tcPr>
            <w:tcW w:w="707" w:type="pct"/>
            <w:vAlign w:val="center"/>
          </w:tcPr>
          <w:p w14:paraId="697D8165">
            <w:pPr>
              <w:pStyle w:val="92"/>
              <w:rPr>
                <w:color w:val="auto"/>
                <w:highlight w:val="none"/>
                <w:u w:val="none"/>
              </w:rPr>
            </w:pPr>
            <w:r>
              <w:rPr>
                <w:rFonts w:hint="eastAsia"/>
                <w:color w:val="auto"/>
                <w:highlight w:val="none"/>
                <w:u w:val="none"/>
              </w:rPr>
              <w:t>0.3963</w:t>
            </w:r>
          </w:p>
        </w:tc>
        <w:tc>
          <w:tcPr>
            <w:tcW w:w="1087" w:type="pct"/>
            <w:vMerge w:val="restart"/>
            <w:vAlign w:val="center"/>
          </w:tcPr>
          <w:p w14:paraId="0ED9FF13">
            <w:pPr>
              <w:pStyle w:val="92"/>
              <w:rPr>
                <w:color w:val="auto"/>
                <w:highlight w:val="none"/>
                <w:u w:val="none"/>
              </w:rPr>
            </w:pPr>
            <w:r>
              <w:rPr>
                <w:rFonts w:hint="eastAsia"/>
                <w:color w:val="auto"/>
                <w:highlight w:val="none"/>
                <w:u w:val="none"/>
              </w:rPr>
              <w:t>164</w:t>
            </w:r>
            <w:r>
              <w:rPr>
                <w:color w:val="auto"/>
                <w:highlight w:val="none"/>
                <w:u w:val="none"/>
              </w:rPr>
              <w:t>×</w:t>
            </w:r>
            <w:r>
              <w:rPr>
                <w:rFonts w:hint="eastAsia"/>
                <w:color w:val="auto"/>
                <w:highlight w:val="none"/>
                <w:u w:val="none"/>
              </w:rPr>
              <w:t>47.5</w:t>
            </w:r>
            <w:r>
              <w:rPr>
                <w:color w:val="auto"/>
                <w:highlight w:val="none"/>
                <w:u w:val="none"/>
              </w:rPr>
              <w:t>×</w:t>
            </w:r>
            <w:r>
              <w:rPr>
                <w:rFonts w:hint="eastAsia"/>
                <w:color w:val="auto"/>
                <w:highlight w:val="none"/>
                <w:u w:val="none"/>
              </w:rPr>
              <w:t>18</w:t>
            </w:r>
          </w:p>
        </w:tc>
      </w:tr>
      <w:tr w14:paraId="5AAD0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18BEFBE1">
            <w:pPr>
              <w:pStyle w:val="92"/>
              <w:rPr>
                <w:color w:val="auto"/>
                <w:highlight w:val="none"/>
                <w:u w:val="none"/>
              </w:rPr>
            </w:pPr>
          </w:p>
        </w:tc>
        <w:tc>
          <w:tcPr>
            <w:tcW w:w="638" w:type="pct"/>
            <w:vMerge w:val="continue"/>
            <w:vAlign w:val="center"/>
          </w:tcPr>
          <w:p w14:paraId="71D1B0D7">
            <w:pPr>
              <w:pStyle w:val="92"/>
              <w:rPr>
                <w:color w:val="auto"/>
                <w:highlight w:val="none"/>
                <w:u w:val="none"/>
              </w:rPr>
            </w:pPr>
          </w:p>
        </w:tc>
        <w:tc>
          <w:tcPr>
            <w:tcW w:w="851" w:type="pct"/>
            <w:vAlign w:val="center"/>
          </w:tcPr>
          <w:p w14:paraId="147A1A99">
            <w:pPr>
              <w:pStyle w:val="92"/>
              <w:rPr>
                <w:color w:val="auto"/>
                <w:highlight w:val="none"/>
                <w:u w:val="none"/>
              </w:rPr>
            </w:pPr>
            <w:r>
              <w:rPr>
                <w:color w:val="auto"/>
                <w:highlight w:val="none"/>
                <w:u w:val="none"/>
              </w:rPr>
              <w:t>HCl</w:t>
            </w:r>
          </w:p>
        </w:tc>
        <w:tc>
          <w:tcPr>
            <w:tcW w:w="2091" w:type="dxa"/>
            <w:vAlign w:val="center"/>
          </w:tcPr>
          <w:p w14:paraId="2B5B280A">
            <w:pPr>
              <w:pStyle w:val="92"/>
              <w:rPr>
                <w:color w:val="auto"/>
                <w:highlight w:val="none"/>
                <w:u w:val="none"/>
              </w:rPr>
            </w:pPr>
            <w:r>
              <w:rPr>
                <w:rFonts w:hint="eastAsia"/>
                <w:color w:val="auto"/>
                <w:highlight w:val="none"/>
                <w:u w:val="none"/>
              </w:rPr>
              <w:t>3.25</w:t>
            </w:r>
          </w:p>
        </w:tc>
        <w:tc>
          <w:tcPr>
            <w:tcW w:w="2006" w:type="dxa"/>
            <w:vAlign w:val="center"/>
          </w:tcPr>
          <w:p w14:paraId="631BD3E8">
            <w:pPr>
              <w:pStyle w:val="92"/>
              <w:rPr>
                <w:color w:val="auto"/>
                <w:highlight w:val="none"/>
                <w:u w:val="none"/>
              </w:rPr>
            </w:pPr>
            <w:r>
              <w:rPr>
                <w:color w:val="auto"/>
                <w:highlight w:val="none"/>
                <w:u w:val="none"/>
              </w:rPr>
              <w:t>0.</w:t>
            </w:r>
            <w:r>
              <w:rPr>
                <w:rFonts w:hint="eastAsia"/>
                <w:color w:val="auto"/>
                <w:highlight w:val="none"/>
                <w:u w:val="none"/>
              </w:rPr>
              <w:t>4063</w:t>
            </w:r>
          </w:p>
        </w:tc>
        <w:tc>
          <w:tcPr>
            <w:tcW w:w="1087" w:type="pct"/>
            <w:vMerge w:val="continue"/>
            <w:vAlign w:val="center"/>
          </w:tcPr>
          <w:p w14:paraId="3D9D680A">
            <w:pPr>
              <w:pStyle w:val="92"/>
              <w:rPr>
                <w:color w:val="auto"/>
                <w:highlight w:val="none"/>
                <w:u w:val="none"/>
              </w:rPr>
            </w:pPr>
          </w:p>
        </w:tc>
      </w:tr>
      <w:tr w14:paraId="0226B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3BA57643">
            <w:pPr>
              <w:pStyle w:val="92"/>
              <w:rPr>
                <w:color w:val="auto"/>
                <w:highlight w:val="none"/>
                <w:u w:val="none"/>
              </w:rPr>
            </w:pPr>
          </w:p>
        </w:tc>
        <w:tc>
          <w:tcPr>
            <w:tcW w:w="638" w:type="pct"/>
            <w:vMerge w:val="continue"/>
            <w:vAlign w:val="center"/>
          </w:tcPr>
          <w:p w14:paraId="55B6CBB2">
            <w:pPr>
              <w:pStyle w:val="92"/>
              <w:rPr>
                <w:color w:val="auto"/>
                <w:highlight w:val="none"/>
                <w:u w:val="none"/>
              </w:rPr>
            </w:pPr>
          </w:p>
        </w:tc>
        <w:tc>
          <w:tcPr>
            <w:tcW w:w="851" w:type="pct"/>
            <w:vAlign w:val="center"/>
          </w:tcPr>
          <w:p w14:paraId="60B13FF5">
            <w:pPr>
              <w:pStyle w:val="92"/>
              <w:rPr>
                <w:color w:val="auto"/>
                <w:highlight w:val="none"/>
                <w:u w:val="none"/>
              </w:rPr>
            </w:pPr>
            <w:r>
              <w:rPr>
                <w:color w:val="auto"/>
                <w:highlight w:val="none"/>
                <w:u w:val="none"/>
              </w:rPr>
              <w:t>邻二氯苯</w:t>
            </w:r>
          </w:p>
        </w:tc>
        <w:tc>
          <w:tcPr>
            <w:tcW w:w="737" w:type="pct"/>
            <w:vAlign w:val="center"/>
          </w:tcPr>
          <w:p w14:paraId="0AEF811C">
            <w:pPr>
              <w:pStyle w:val="92"/>
              <w:rPr>
                <w:color w:val="auto"/>
                <w:highlight w:val="none"/>
                <w:u w:val="none"/>
              </w:rPr>
            </w:pPr>
            <w:r>
              <w:rPr>
                <w:rFonts w:hint="eastAsia"/>
                <w:color w:val="auto"/>
                <w:highlight w:val="none"/>
                <w:u w:val="none"/>
              </w:rPr>
              <w:t>1.8707</w:t>
            </w:r>
          </w:p>
        </w:tc>
        <w:tc>
          <w:tcPr>
            <w:tcW w:w="707" w:type="pct"/>
            <w:vAlign w:val="center"/>
          </w:tcPr>
          <w:p w14:paraId="2138C041">
            <w:pPr>
              <w:pStyle w:val="92"/>
              <w:rPr>
                <w:color w:val="auto"/>
                <w:highlight w:val="none"/>
                <w:u w:val="none"/>
              </w:rPr>
            </w:pPr>
            <w:r>
              <w:rPr>
                <w:rFonts w:hint="eastAsia"/>
                <w:color w:val="auto"/>
                <w:highlight w:val="none"/>
                <w:u w:val="none"/>
              </w:rPr>
              <w:t>0.2338</w:t>
            </w:r>
          </w:p>
        </w:tc>
        <w:tc>
          <w:tcPr>
            <w:tcW w:w="1087" w:type="pct"/>
            <w:vMerge w:val="continue"/>
            <w:vAlign w:val="center"/>
          </w:tcPr>
          <w:p w14:paraId="1934301E">
            <w:pPr>
              <w:pStyle w:val="92"/>
              <w:rPr>
                <w:color w:val="auto"/>
                <w:highlight w:val="none"/>
                <w:u w:val="none"/>
              </w:rPr>
            </w:pPr>
          </w:p>
        </w:tc>
      </w:tr>
      <w:tr w14:paraId="64BEF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21A2B25B">
            <w:pPr>
              <w:pStyle w:val="92"/>
              <w:rPr>
                <w:color w:val="auto"/>
                <w:highlight w:val="none"/>
                <w:u w:val="none"/>
              </w:rPr>
            </w:pPr>
          </w:p>
        </w:tc>
        <w:tc>
          <w:tcPr>
            <w:tcW w:w="638" w:type="pct"/>
            <w:vMerge w:val="continue"/>
            <w:vAlign w:val="center"/>
          </w:tcPr>
          <w:p w14:paraId="79A1166A">
            <w:pPr>
              <w:pStyle w:val="92"/>
              <w:rPr>
                <w:color w:val="auto"/>
                <w:highlight w:val="none"/>
                <w:u w:val="none"/>
              </w:rPr>
            </w:pPr>
          </w:p>
        </w:tc>
        <w:tc>
          <w:tcPr>
            <w:tcW w:w="851" w:type="pct"/>
            <w:vAlign w:val="center"/>
          </w:tcPr>
          <w:p w14:paraId="33E5CAAF">
            <w:pPr>
              <w:pStyle w:val="92"/>
              <w:rPr>
                <w:color w:val="auto"/>
                <w:highlight w:val="none"/>
                <w:u w:val="none"/>
              </w:rPr>
            </w:pPr>
            <w:r>
              <w:rPr>
                <w:color w:val="auto"/>
                <w:highlight w:val="none"/>
                <w:u w:val="none"/>
              </w:rPr>
              <w:t>TDA</w:t>
            </w:r>
          </w:p>
        </w:tc>
        <w:tc>
          <w:tcPr>
            <w:tcW w:w="737" w:type="pct"/>
            <w:vAlign w:val="center"/>
          </w:tcPr>
          <w:p w14:paraId="119D5DE4">
            <w:pPr>
              <w:pStyle w:val="92"/>
              <w:rPr>
                <w:color w:val="auto"/>
                <w:highlight w:val="none"/>
                <w:u w:val="none"/>
              </w:rPr>
            </w:pPr>
            <w:r>
              <w:rPr>
                <w:rFonts w:hint="eastAsia"/>
                <w:color w:val="auto"/>
                <w:highlight w:val="none"/>
                <w:u w:val="none"/>
              </w:rPr>
              <w:t>0.1032</w:t>
            </w:r>
          </w:p>
        </w:tc>
        <w:tc>
          <w:tcPr>
            <w:tcW w:w="707" w:type="pct"/>
            <w:vAlign w:val="center"/>
          </w:tcPr>
          <w:p w14:paraId="5D279DC9">
            <w:pPr>
              <w:pStyle w:val="92"/>
              <w:rPr>
                <w:color w:val="auto"/>
                <w:highlight w:val="none"/>
                <w:u w:val="none"/>
              </w:rPr>
            </w:pPr>
            <w:r>
              <w:rPr>
                <w:rFonts w:hint="eastAsia"/>
                <w:color w:val="auto"/>
                <w:highlight w:val="none"/>
                <w:u w:val="none"/>
              </w:rPr>
              <w:t>0.0130</w:t>
            </w:r>
          </w:p>
        </w:tc>
        <w:tc>
          <w:tcPr>
            <w:tcW w:w="1087" w:type="pct"/>
            <w:vMerge w:val="continue"/>
            <w:vAlign w:val="center"/>
          </w:tcPr>
          <w:p w14:paraId="53DD1D6E">
            <w:pPr>
              <w:pStyle w:val="92"/>
              <w:rPr>
                <w:color w:val="auto"/>
                <w:highlight w:val="none"/>
                <w:u w:val="none"/>
              </w:rPr>
            </w:pPr>
          </w:p>
        </w:tc>
      </w:tr>
      <w:tr w14:paraId="74A0F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0D16A660">
            <w:pPr>
              <w:pStyle w:val="92"/>
              <w:rPr>
                <w:color w:val="auto"/>
                <w:highlight w:val="none"/>
                <w:u w:val="none"/>
              </w:rPr>
            </w:pPr>
          </w:p>
        </w:tc>
        <w:tc>
          <w:tcPr>
            <w:tcW w:w="638" w:type="pct"/>
            <w:vMerge w:val="continue"/>
            <w:vAlign w:val="center"/>
          </w:tcPr>
          <w:p w14:paraId="38F96F84">
            <w:pPr>
              <w:pStyle w:val="92"/>
              <w:rPr>
                <w:color w:val="auto"/>
                <w:highlight w:val="none"/>
                <w:u w:val="none"/>
              </w:rPr>
            </w:pPr>
          </w:p>
        </w:tc>
        <w:tc>
          <w:tcPr>
            <w:tcW w:w="851" w:type="pct"/>
            <w:vAlign w:val="center"/>
          </w:tcPr>
          <w:p w14:paraId="5437EF19">
            <w:pPr>
              <w:pStyle w:val="92"/>
              <w:rPr>
                <w:color w:val="auto"/>
                <w:highlight w:val="none"/>
                <w:u w:val="none"/>
              </w:rPr>
            </w:pPr>
            <w:r>
              <w:rPr>
                <w:color w:val="auto"/>
                <w:highlight w:val="none"/>
                <w:u w:val="none"/>
              </w:rPr>
              <w:t>TDI</w:t>
            </w:r>
          </w:p>
        </w:tc>
        <w:tc>
          <w:tcPr>
            <w:tcW w:w="737" w:type="pct"/>
            <w:vAlign w:val="center"/>
          </w:tcPr>
          <w:p w14:paraId="00DC6B40">
            <w:pPr>
              <w:pStyle w:val="92"/>
              <w:rPr>
                <w:color w:val="auto"/>
                <w:highlight w:val="none"/>
                <w:u w:val="none"/>
              </w:rPr>
            </w:pPr>
            <w:r>
              <w:rPr>
                <w:rFonts w:hint="eastAsia"/>
                <w:color w:val="auto"/>
                <w:highlight w:val="none"/>
                <w:u w:val="none"/>
              </w:rPr>
              <w:t>1.5637</w:t>
            </w:r>
          </w:p>
        </w:tc>
        <w:tc>
          <w:tcPr>
            <w:tcW w:w="707" w:type="pct"/>
            <w:vAlign w:val="center"/>
          </w:tcPr>
          <w:p w14:paraId="230B2F92">
            <w:pPr>
              <w:pStyle w:val="92"/>
              <w:rPr>
                <w:color w:val="auto"/>
                <w:highlight w:val="none"/>
                <w:u w:val="none"/>
              </w:rPr>
            </w:pPr>
            <w:r>
              <w:rPr>
                <w:rFonts w:hint="eastAsia"/>
                <w:color w:val="auto"/>
                <w:highlight w:val="none"/>
                <w:u w:val="none"/>
              </w:rPr>
              <w:t>0.1955</w:t>
            </w:r>
          </w:p>
        </w:tc>
        <w:tc>
          <w:tcPr>
            <w:tcW w:w="1087" w:type="pct"/>
            <w:vMerge w:val="continue"/>
            <w:vAlign w:val="center"/>
          </w:tcPr>
          <w:p w14:paraId="7F2CCC27">
            <w:pPr>
              <w:pStyle w:val="92"/>
              <w:rPr>
                <w:color w:val="auto"/>
                <w:highlight w:val="none"/>
                <w:u w:val="none"/>
              </w:rPr>
            </w:pPr>
          </w:p>
        </w:tc>
      </w:tr>
      <w:tr w14:paraId="1BBA0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5D46084F">
            <w:pPr>
              <w:pStyle w:val="92"/>
              <w:rPr>
                <w:color w:val="auto"/>
                <w:highlight w:val="none"/>
                <w:u w:val="none"/>
              </w:rPr>
            </w:pPr>
          </w:p>
        </w:tc>
        <w:tc>
          <w:tcPr>
            <w:tcW w:w="638" w:type="pct"/>
            <w:vMerge w:val="continue"/>
            <w:vAlign w:val="center"/>
          </w:tcPr>
          <w:p w14:paraId="62B9A26D">
            <w:pPr>
              <w:pStyle w:val="92"/>
              <w:rPr>
                <w:color w:val="auto"/>
                <w:highlight w:val="none"/>
                <w:u w:val="none"/>
              </w:rPr>
            </w:pPr>
          </w:p>
        </w:tc>
        <w:tc>
          <w:tcPr>
            <w:tcW w:w="851" w:type="pct"/>
            <w:vAlign w:val="center"/>
          </w:tcPr>
          <w:p w14:paraId="069926BD">
            <w:pPr>
              <w:pStyle w:val="92"/>
              <w:rPr>
                <w:color w:val="auto"/>
                <w:highlight w:val="none"/>
                <w:u w:val="none"/>
              </w:rPr>
            </w:pPr>
            <w:r>
              <w:rPr>
                <w:color w:val="auto"/>
                <w:highlight w:val="none"/>
                <w:u w:val="none"/>
              </w:rPr>
              <w:t>光气</w:t>
            </w:r>
          </w:p>
        </w:tc>
        <w:tc>
          <w:tcPr>
            <w:tcW w:w="737" w:type="pct"/>
            <w:vAlign w:val="center"/>
          </w:tcPr>
          <w:p w14:paraId="3C6FCCCB">
            <w:pPr>
              <w:pStyle w:val="92"/>
              <w:rPr>
                <w:color w:val="auto"/>
                <w:highlight w:val="none"/>
                <w:u w:val="none"/>
              </w:rPr>
            </w:pPr>
            <w:r>
              <w:rPr>
                <w:rFonts w:hint="eastAsia"/>
                <w:color w:val="auto"/>
                <w:highlight w:val="none"/>
                <w:u w:val="none"/>
              </w:rPr>
              <w:t>0.2104</w:t>
            </w:r>
          </w:p>
        </w:tc>
        <w:tc>
          <w:tcPr>
            <w:tcW w:w="707" w:type="pct"/>
            <w:vAlign w:val="center"/>
          </w:tcPr>
          <w:p w14:paraId="28106110">
            <w:pPr>
              <w:pStyle w:val="92"/>
              <w:rPr>
                <w:color w:val="auto"/>
                <w:highlight w:val="none"/>
                <w:u w:val="none"/>
              </w:rPr>
            </w:pPr>
            <w:r>
              <w:rPr>
                <w:rFonts w:hint="eastAsia"/>
                <w:color w:val="auto"/>
                <w:highlight w:val="none"/>
                <w:u w:val="none"/>
              </w:rPr>
              <w:t>0.0263</w:t>
            </w:r>
          </w:p>
        </w:tc>
        <w:tc>
          <w:tcPr>
            <w:tcW w:w="1087" w:type="pct"/>
            <w:vMerge w:val="continue"/>
            <w:vAlign w:val="center"/>
          </w:tcPr>
          <w:p w14:paraId="17686A12">
            <w:pPr>
              <w:pStyle w:val="92"/>
              <w:rPr>
                <w:color w:val="auto"/>
                <w:highlight w:val="none"/>
                <w:u w:val="none"/>
              </w:rPr>
            </w:pPr>
          </w:p>
        </w:tc>
      </w:tr>
      <w:tr w14:paraId="218B4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4A48221C">
            <w:pPr>
              <w:pStyle w:val="92"/>
              <w:rPr>
                <w:color w:val="auto"/>
                <w:highlight w:val="none"/>
                <w:u w:val="none"/>
              </w:rPr>
            </w:pPr>
          </w:p>
        </w:tc>
        <w:tc>
          <w:tcPr>
            <w:tcW w:w="638" w:type="pct"/>
            <w:vMerge w:val="continue"/>
            <w:vAlign w:val="center"/>
          </w:tcPr>
          <w:p w14:paraId="4C517093">
            <w:pPr>
              <w:pStyle w:val="92"/>
              <w:rPr>
                <w:color w:val="auto"/>
                <w:highlight w:val="none"/>
                <w:u w:val="none"/>
              </w:rPr>
            </w:pPr>
          </w:p>
        </w:tc>
        <w:tc>
          <w:tcPr>
            <w:tcW w:w="851" w:type="pct"/>
            <w:vAlign w:val="center"/>
          </w:tcPr>
          <w:p w14:paraId="6B58A086">
            <w:pPr>
              <w:pStyle w:val="92"/>
              <w:rPr>
                <w:color w:val="auto"/>
                <w:highlight w:val="none"/>
                <w:u w:val="none"/>
              </w:rPr>
            </w:pPr>
            <w:r>
              <w:rPr>
                <w:color w:val="auto"/>
                <w:highlight w:val="none"/>
                <w:u w:val="none"/>
              </w:rPr>
              <w:t>VOC</w:t>
            </w:r>
            <w:r>
              <w:rPr>
                <w:color w:val="auto"/>
                <w:highlight w:val="none"/>
                <w:u w:val="none"/>
                <w:vertAlign w:val="subscript"/>
              </w:rPr>
              <w:t>S</w:t>
            </w:r>
          </w:p>
        </w:tc>
        <w:tc>
          <w:tcPr>
            <w:tcW w:w="737" w:type="pct"/>
            <w:vAlign w:val="center"/>
          </w:tcPr>
          <w:p w14:paraId="42132ED0">
            <w:pPr>
              <w:pStyle w:val="92"/>
              <w:rPr>
                <w:color w:val="auto"/>
                <w:highlight w:val="none"/>
                <w:u w:val="none"/>
              </w:rPr>
            </w:pPr>
            <w:r>
              <w:rPr>
                <w:rFonts w:hint="eastAsia"/>
                <w:color w:val="auto"/>
                <w:highlight w:val="none"/>
                <w:u w:val="none"/>
              </w:rPr>
              <w:t>3.6920</w:t>
            </w:r>
          </w:p>
        </w:tc>
        <w:tc>
          <w:tcPr>
            <w:tcW w:w="707" w:type="pct"/>
            <w:vAlign w:val="center"/>
          </w:tcPr>
          <w:p w14:paraId="74F7BE65">
            <w:pPr>
              <w:pStyle w:val="92"/>
              <w:rPr>
                <w:color w:val="auto"/>
                <w:highlight w:val="none"/>
                <w:u w:val="none"/>
              </w:rPr>
            </w:pPr>
            <w:r>
              <w:rPr>
                <w:rFonts w:hint="eastAsia"/>
                <w:color w:val="auto"/>
                <w:highlight w:val="none"/>
                <w:u w:val="none"/>
              </w:rPr>
              <w:t>0.4616</w:t>
            </w:r>
          </w:p>
        </w:tc>
        <w:tc>
          <w:tcPr>
            <w:tcW w:w="1087" w:type="pct"/>
            <w:vMerge w:val="continue"/>
            <w:vAlign w:val="center"/>
          </w:tcPr>
          <w:p w14:paraId="5F502AEA">
            <w:pPr>
              <w:pStyle w:val="92"/>
              <w:rPr>
                <w:color w:val="auto"/>
                <w:highlight w:val="none"/>
                <w:u w:val="none"/>
              </w:rPr>
            </w:pPr>
          </w:p>
        </w:tc>
      </w:tr>
      <w:tr w14:paraId="14B1D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6" w:type="pct"/>
            <w:vMerge w:val="restart"/>
            <w:vAlign w:val="center"/>
          </w:tcPr>
          <w:p w14:paraId="7743A476">
            <w:pPr>
              <w:pStyle w:val="92"/>
              <w:rPr>
                <w:color w:val="auto"/>
                <w:highlight w:val="none"/>
                <w:u w:val="none"/>
              </w:rPr>
            </w:pPr>
            <w:r>
              <w:rPr>
                <w:rFonts w:hint="eastAsia"/>
                <w:color w:val="auto"/>
                <w:highlight w:val="none"/>
                <w:u w:val="none"/>
              </w:rPr>
              <w:t>储罐区</w:t>
            </w:r>
          </w:p>
        </w:tc>
        <w:tc>
          <w:tcPr>
            <w:tcW w:w="638" w:type="pct"/>
            <w:vMerge w:val="restart"/>
            <w:vAlign w:val="center"/>
          </w:tcPr>
          <w:p w14:paraId="79093953">
            <w:pPr>
              <w:pStyle w:val="92"/>
              <w:rPr>
                <w:color w:val="auto"/>
                <w:highlight w:val="none"/>
                <w:u w:val="none"/>
              </w:rPr>
            </w:pPr>
            <w:r>
              <w:rPr>
                <w:rFonts w:hint="eastAsia"/>
                <w:color w:val="auto"/>
                <w:highlight w:val="none"/>
                <w:u w:val="none"/>
              </w:rPr>
              <w:t>8000</w:t>
            </w:r>
          </w:p>
        </w:tc>
        <w:tc>
          <w:tcPr>
            <w:tcW w:w="851" w:type="pct"/>
            <w:shd w:val="clear" w:color="auto" w:fill="auto"/>
            <w:vAlign w:val="center"/>
          </w:tcPr>
          <w:p w14:paraId="71E92C18">
            <w:pPr>
              <w:pStyle w:val="92"/>
              <w:rPr>
                <w:color w:val="auto"/>
                <w:highlight w:val="none"/>
                <w:u w:val="none"/>
              </w:rPr>
            </w:pPr>
            <w:r>
              <w:rPr>
                <w:rFonts w:hint="eastAsia"/>
                <w:color w:val="auto"/>
                <w:highlight w:val="none"/>
                <w:u w:val="none"/>
              </w:rPr>
              <w:t>ODCB</w:t>
            </w:r>
          </w:p>
        </w:tc>
        <w:tc>
          <w:tcPr>
            <w:tcW w:w="737" w:type="pct"/>
            <w:vAlign w:val="center"/>
          </w:tcPr>
          <w:p w14:paraId="194D9A2B">
            <w:pPr>
              <w:pStyle w:val="92"/>
              <w:rPr>
                <w:color w:val="auto"/>
                <w:highlight w:val="none"/>
                <w:u w:val="none"/>
              </w:rPr>
            </w:pPr>
            <w:r>
              <w:rPr>
                <w:rFonts w:hint="eastAsia"/>
                <w:color w:val="auto"/>
                <w:highlight w:val="none"/>
                <w:u w:val="none"/>
              </w:rPr>
              <w:t>0.1068</w:t>
            </w:r>
          </w:p>
        </w:tc>
        <w:tc>
          <w:tcPr>
            <w:tcW w:w="707" w:type="pct"/>
            <w:vAlign w:val="center"/>
          </w:tcPr>
          <w:p w14:paraId="51202A6D">
            <w:pPr>
              <w:pStyle w:val="92"/>
              <w:rPr>
                <w:color w:val="auto"/>
                <w:highlight w:val="none"/>
                <w:u w:val="none"/>
              </w:rPr>
            </w:pPr>
            <w:r>
              <w:rPr>
                <w:rFonts w:hint="eastAsia"/>
                <w:color w:val="auto"/>
                <w:highlight w:val="none"/>
                <w:u w:val="none"/>
              </w:rPr>
              <w:t>0.0133</w:t>
            </w:r>
          </w:p>
        </w:tc>
        <w:tc>
          <w:tcPr>
            <w:tcW w:w="1087" w:type="pct"/>
            <w:vMerge w:val="restart"/>
            <w:vAlign w:val="center"/>
          </w:tcPr>
          <w:p w14:paraId="5A088A63">
            <w:pPr>
              <w:pStyle w:val="92"/>
              <w:rPr>
                <w:color w:val="auto"/>
                <w:highlight w:val="none"/>
                <w:u w:val="none"/>
              </w:rPr>
            </w:pPr>
            <w:r>
              <w:rPr>
                <w:rFonts w:hint="eastAsia"/>
                <w:color w:val="auto"/>
                <w:highlight w:val="none"/>
                <w:u w:val="none"/>
              </w:rPr>
              <w:t>68</w:t>
            </w:r>
            <w:r>
              <w:rPr>
                <w:color w:val="auto"/>
                <w:highlight w:val="none"/>
                <w:u w:val="none"/>
              </w:rPr>
              <w:t>×</w:t>
            </w:r>
            <w:r>
              <w:rPr>
                <w:rFonts w:hint="eastAsia"/>
                <w:color w:val="auto"/>
                <w:highlight w:val="none"/>
                <w:u w:val="none"/>
              </w:rPr>
              <w:t>30</w:t>
            </w:r>
            <w:r>
              <w:rPr>
                <w:color w:val="auto"/>
                <w:highlight w:val="none"/>
                <w:u w:val="none"/>
              </w:rPr>
              <w:t>×</w:t>
            </w:r>
            <w:r>
              <w:rPr>
                <w:rFonts w:hint="eastAsia"/>
                <w:color w:val="auto"/>
                <w:highlight w:val="none"/>
                <w:u w:val="none"/>
              </w:rPr>
              <w:t>10.6</w:t>
            </w:r>
          </w:p>
        </w:tc>
      </w:tr>
      <w:tr w14:paraId="5DD78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065D0B68">
            <w:pPr>
              <w:pStyle w:val="92"/>
              <w:rPr>
                <w:color w:val="auto"/>
                <w:highlight w:val="none"/>
                <w:u w:val="none"/>
              </w:rPr>
            </w:pPr>
          </w:p>
        </w:tc>
        <w:tc>
          <w:tcPr>
            <w:tcW w:w="638" w:type="pct"/>
            <w:vMerge w:val="continue"/>
            <w:vAlign w:val="center"/>
          </w:tcPr>
          <w:p w14:paraId="3A8B464F">
            <w:pPr>
              <w:pStyle w:val="92"/>
              <w:rPr>
                <w:color w:val="auto"/>
                <w:highlight w:val="none"/>
                <w:u w:val="none"/>
              </w:rPr>
            </w:pPr>
          </w:p>
        </w:tc>
        <w:tc>
          <w:tcPr>
            <w:tcW w:w="851" w:type="pct"/>
            <w:shd w:val="clear" w:color="auto" w:fill="auto"/>
            <w:vAlign w:val="center"/>
          </w:tcPr>
          <w:p w14:paraId="0C152104">
            <w:pPr>
              <w:pStyle w:val="92"/>
              <w:rPr>
                <w:color w:val="auto"/>
                <w:highlight w:val="none"/>
                <w:u w:val="none"/>
              </w:rPr>
            </w:pPr>
            <w:r>
              <w:rPr>
                <w:rFonts w:hint="eastAsia"/>
                <w:color w:val="auto"/>
                <w:highlight w:val="none"/>
                <w:u w:val="none"/>
              </w:rPr>
              <w:t>DNT</w:t>
            </w:r>
          </w:p>
        </w:tc>
        <w:tc>
          <w:tcPr>
            <w:tcW w:w="737" w:type="pct"/>
            <w:vAlign w:val="center"/>
          </w:tcPr>
          <w:p w14:paraId="21A0418A">
            <w:pPr>
              <w:pStyle w:val="92"/>
              <w:rPr>
                <w:color w:val="auto"/>
                <w:highlight w:val="none"/>
                <w:u w:val="none"/>
              </w:rPr>
            </w:pPr>
            <w:r>
              <w:rPr>
                <w:rFonts w:hint="eastAsia"/>
                <w:color w:val="auto"/>
                <w:highlight w:val="none"/>
                <w:u w:val="none"/>
              </w:rPr>
              <w:t>0.0899</w:t>
            </w:r>
          </w:p>
        </w:tc>
        <w:tc>
          <w:tcPr>
            <w:tcW w:w="707" w:type="pct"/>
            <w:vAlign w:val="center"/>
          </w:tcPr>
          <w:p w14:paraId="1BFF0F9F">
            <w:pPr>
              <w:pStyle w:val="92"/>
              <w:rPr>
                <w:color w:val="auto"/>
                <w:highlight w:val="none"/>
                <w:u w:val="none"/>
              </w:rPr>
            </w:pPr>
            <w:r>
              <w:rPr>
                <w:rFonts w:hint="eastAsia"/>
                <w:color w:val="auto"/>
                <w:highlight w:val="none"/>
                <w:u w:val="none"/>
              </w:rPr>
              <w:t>0.0112</w:t>
            </w:r>
          </w:p>
        </w:tc>
        <w:tc>
          <w:tcPr>
            <w:tcW w:w="1087" w:type="pct"/>
            <w:vMerge w:val="continue"/>
            <w:vAlign w:val="center"/>
          </w:tcPr>
          <w:p w14:paraId="2306FAFD">
            <w:pPr>
              <w:pStyle w:val="92"/>
              <w:rPr>
                <w:color w:val="auto"/>
                <w:highlight w:val="none"/>
                <w:u w:val="none"/>
              </w:rPr>
            </w:pPr>
          </w:p>
        </w:tc>
      </w:tr>
      <w:tr w14:paraId="2E679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305132AD">
            <w:pPr>
              <w:pStyle w:val="92"/>
              <w:rPr>
                <w:color w:val="auto"/>
                <w:highlight w:val="none"/>
                <w:u w:val="none"/>
              </w:rPr>
            </w:pPr>
          </w:p>
        </w:tc>
        <w:tc>
          <w:tcPr>
            <w:tcW w:w="638" w:type="pct"/>
            <w:vMerge w:val="continue"/>
            <w:vAlign w:val="center"/>
          </w:tcPr>
          <w:p w14:paraId="3611E8D2">
            <w:pPr>
              <w:pStyle w:val="92"/>
              <w:rPr>
                <w:color w:val="auto"/>
                <w:highlight w:val="none"/>
                <w:u w:val="none"/>
              </w:rPr>
            </w:pPr>
          </w:p>
        </w:tc>
        <w:tc>
          <w:tcPr>
            <w:tcW w:w="851" w:type="pct"/>
            <w:shd w:val="clear" w:color="auto" w:fill="auto"/>
            <w:vAlign w:val="center"/>
          </w:tcPr>
          <w:p w14:paraId="681D8F30">
            <w:pPr>
              <w:pStyle w:val="92"/>
              <w:rPr>
                <w:color w:val="auto"/>
                <w:highlight w:val="none"/>
                <w:u w:val="none"/>
              </w:rPr>
            </w:pPr>
            <w:r>
              <w:rPr>
                <w:color w:val="auto"/>
                <w:highlight w:val="none"/>
                <w:u w:val="none"/>
              </w:rPr>
              <w:t>TDA</w:t>
            </w:r>
          </w:p>
        </w:tc>
        <w:tc>
          <w:tcPr>
            <w:tcW w:w="737" w:type="pct"/>
            <w:vAlign w:val="center"/>
          </w:tcPr>
          <w:p w14:paraId="510B088A">
            <w:pPr>
              <w:pStyle w:val="92"/>
              <w:rPr>
                <w:color w:val="auto"/>
                <w:highlight w:val="none"/>
                <w:u w:val="none"/>
              </w:rPr>
            </w:pPr>
            <w:r>
              <w:rPr>
                <w:rFonts w:hint="eastAsia"/>
                <w:color w:val="auto"/>
                <w:highlight w:val="none"/>
                <w:u w:val="none"/>
              </w:rPr>
              <w:t>0.076</w:t>
            </w:r>
          </w:p>
        </w:tc>
        <w:tc>
          <w:tcPr>
            <w:tcW w:w="707" w:type="pct"/>
            <w:vAlign w:val="center"/>
          </w:tcPr>
          <w:p w14:paraId="2F5389C0">
            <w:pPr>
              <w:pStyle w:val="92"/>
              <w:rPr>
                <w:color w:val="auto"/>
                <w:highlight w:val="none"/>
                <w:u w:val="none"/>
              </w:rPr>
            </w:pPr>
            <w:r>
              <w:rPr>
                <w:rFonts w:hint="eastAsia"/>
                <w:color w:val="auto"/>
                <w:highlight w:val="none"/>
                <w:u w:val="none"/>
              </w:rPr>
              <w:t>0.0095</w:t>
            </w:r>
          </w:p>
        </w:tc>
        <w:tc>
          <w:tcPr>
            <w:tcW w:w="1087" w:type="pct"/>
            <w:vMerge w:val="continue"/>
            <w:vAlign w:val="center"/>
          </w:tcPr>
          <w:p w14:paraId="32D848A4">
            <w:pPr>
              <w:pStyle w:val="92"/>
              <w:rPr>
                <w:color w:val="auto"/>
                <w:highlight w:val="none"/>
                <w:u w:val="none"/>
              </w:rPr>
            </w:pPr>
          </w:p>
        </w:tc>
      </w:tr>
      <w:tr w14:paraId="3F259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6" w:type="pct"/>
            <w:vMerge w:val="continue"/>
            <w:vAlign w:val="center"/>
          </w:tcPr>
          <w:p w14:paraId="570FB937">
            <w:pPr>
              <w:pStyle w:val="92"/>
              <w:rPr>
                <w:color w:val="auto"/>
                <w:highlight w:val="none"/>
                <w:u w:val="none"/>
              </w:rPr>
            </w:pPr>
          </w:p>
        </w:tc>
        <w:tc>
          <w:tcPr>
            <w:tcW w:w="638" w:type="pct"/>
            <w:vMerge w:val="continue"/>
            <w:vAlign w:val="center"/>
          </w:tcPr>
          <w:p w14:paraId="11414EEC">
            <w:pPr>
              <w:pStyle w:val="92"/>
              <w:rPr>
                <w:color w:val="auto"/>
                <w:highlight w:val="none"/>
                <w:u w:val="none"/>
              </w:rPr>
            </w:pPr>
          </w:p>
        </w:tc>
        <w:tc>
          <w:tcPr>
            <w:tcW w:w="851" w:type="pct"/>
            <w:vAlign w:val="center"/>
          </w:tcPr>
          <w:p w14:paraId="117D6258">
            <w:pPr>
              <w:pStyle w:val="92"/>
              <w:rPr>
                <w:color w:val="auto"/>
                <w:highlight w:val="none"/>
                <w:u w:val="none"/>
              </w:rPr>
            </w:pPr>
            <w:r>
              <w:rPr>
                <w:rFonts w:hint="eastAsia"/>
                <w:color w:val="auto"/>
                <w:highlight w:val="none"/>
                <w:u w:val="none"/>
              </w:rPr>
              <w:t>VOCs</w:t>
            </w:r>
          </w:p>
        </w:tc>
        <w:tc>
          <w:tcPr>
            <w:tcW w:w="737" w:type="pct"/>
            <w:vAlign w:val="center"/>
          </w:tcPr>
          <w:p w14:paraId="12327CB3">
            <w:pPr>
              <w:pStyle w:val="92"/>
              <w:rPr>
                <w:color w:val="auto"/>
                <w:highlight w:val="none"/>
                <w:u w:val="none"/>
              </w:rPr>
            </w:pPr>
            <w:r>
              <w:rPr>
                <w:rFonts w:hint="eastAsia"/>
                <w:color w:val="auto"/>
                <w:highlight w:val="none"/>
                <w:u w:val="none"/>
              </w:rPr>
              <w:t>0.2727</w:t>
            </w:r>
          </w:p>
        </w:tc>
        <w:tc>
          <w:tcPr>
            <w:tcW w:w="707" w:type="pct"/>
            <w:vAlign w:val="center"/>
          </w:tcPr>
          <w:p w14:paraId="35E69161">
            <w:pPr>
              <w:pStyle w:val="92"/>
              <w:rPr>
                <w:color w:val="auto"/>
                <w:highlight w:val="none"/>
                <w:u w:val="none"/>
              </w:rPr>
            </w:pPr>
            <w:r>
              <w:rPr>
                <w:rFonts w:hint="eastAsia"/>
                <w:color w:val="auto"/>
                <w:highlight w:val="none"/>
                <w:u w:val="none"/>
              </w:rPr>
              <w:t>0.034</w:t>
            </w:r>
          </w:p>
        </w:tc>
        <w:tc>
          <w:tcPr>
            <w:tcW w:w="1087" w:type="pct"/>
            <w:vMerge w:val="continue"/>
            <w:vAlign w:val="center"/>
          </w:tcPr>
          <w:p w14:paraId="69641279">
            <w:pPr>
              <w:pStyle w:val="92"/>
              <w:rPr>
                <w:color w:val="auto"/>
                <w:highlight w:val="none"/>
                <w:u w:val="none"/>
              </w:rPr>
            </w:pPr>
          </w:p>
        </w:tc>
      </w:tr>
      <w:bookmarkEnd w:id="362"/>
    </w:tbl>
    <w:p w14:paraId="20FD2D15">
      <w:pPr>
        <w:ind w:firstLine="0" w:firstLineChars="0"/>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6E146D72">
      <w:pPr>
        <w:pStyle w:val="6"/>
        <w:spacing w:before="156" w:after="156"/>
        <w:rPr>
          <w:color w:val="auto"/>
          <w:highlight w:val="none"/>
          <w:u w:val="none"/>
        </w:rPr>
      </w:pPr>
      <w:bookmarkStart w:id="363" w:name="_Toc148374561"/>
      <w:bookmarkStart w:id="364" w:name="_Toc148375003"/>
      <w:r>
        <w:rPr>
          <w:rFonts w:hint="eastAsia"/>
          <w:color w:val="auto"/>
          <w:highlight w:val="none"/>
          <w:u w:val="none"/>
        </w:rPr>
        <w:t>噪声</w:t>
      </w:r>
      <w:bookmarkEnd w:id="363"/>
      <w:bookmarkEnd w:id="364"/>
    </w:p>
    <w:p w14:paraId="20B7AF11">
      <w:pPr>
        <w:rPr>
          <w:rFonts w:hint="eastAsia"/>
          <w:color w:val="auto"/>
          <w:highlight w:val="none"/>
          <w:u w:val="none"/>
        </w:rPr>
      </w:pPr>
      <w:r>
        <w:rPr>
          <w:rFonts w:hint="eastAsia"/>
          <w:color w:val="auto"/>
          <w:highlight w:val="none"/>
          <w:u w:val="none"/>
          <w:lang w:val="en-US"/>
        </w:rPr>
        <w:t>本次技改扩能新增</w:t>
      </w:r>
      <w:r>
        <w:rPr>
          <w:rFonts w:hint="eastAsia"/>
          <w:color w:val="auto"/>
          <w:highlight w:val="none"/>
          <w:u w:val="none"/>
        </w:rPr>
        <w:t>噪声污染源主要来自于生产装置中的水泵、物料泵、高压泵等各种泵类，以及各类压缩机、风机、真空机组等，项目</w:t>
      </w:r>
      <w:r>
        <w:rPr>
          <w:color w:val="auto"/>
          <w:highlight w:val="none"/>
          <w:u w:val="none"/>
        </w:rPr>
        <w:t>噪声产生及排放情况见</w:t>
      </w:r>
      <w:r>
        <w:rPr>
          <w:color w:val="auto"/>
          <w:highlight w:val="none"/>
          <w:u w:val="none"/>
        </w:rPr>
        <w:fldChar w:fldCharType="begin"/>
      </w:r>
      <w:r>
        <w:rPr>
          <w:color w:val="auto"/>
          <w:highlight w:val="none"/>
          <w:u w:val="none"/>
        </w:rPr>
        <w:instrText xml:space="preserve"> REF _Ref138786838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5.8</w:t>
      </w:r>
      <w:r>
        <w:rPr>
          <w:color w:val="auto"/>
          <w:highlight w:val="none"/>
          <w:u w:val="none"/>
        </w:rPr>
        <w:fldChar w:fldCharType="end"/>
      </w:r>
      <w:r>
        <w:rPr>
          <w:color w:val="auto"/>
          <w:highlight w:val="none"/>
          <w:u w:val="none"/>
        </w:rPr>
        <w:noBreakHyphen/>
      </w:r>
      <w:r>
        <w:rPr>
          <w:rFonts w:hint="eastAsia"/>
          <w:color w:val="auto"/>
          <w:highlight w:val="none"/>
          <w:u w:val="none"/>
        </w:rPr>
        <w:t>6</w:t>
      </w:r>
      <w:r>
        <w:rPr>
          <w:color w:val="auto"/>
          <w:highlight w:val="none"/>
          <w:u w:val="none"/>
        </w:rPr>
        <w:fldChar w:fldCharType="end"/>
      </w:r>
      <w:r>
        <w:rPr>
          <w:rFonts w:hint="eastAsia"/>
          <w:color w:val="auto"/>
          <w:highlight w:val="none"/>
          <w:u w:val="none"/>
        </w:rPr>
        <w:t>。</w:t>
      </w:r>
    </w:p>
    <w:p w14:paraId="41C3F45F">
      <w:pPr>
        <w:ind w:firstLine="0" w:firstLineChars="0"/>
        <w:jc w:val="center"/>
        <w:rPr>
          <w:rFonts w:hint="eastAsia"/>
          <w:b/>
          <w:bCs/>
          <w:color w:val="auto"/>
          <w:highlight w:val="none"/>
          <w:u w:val="none"/>
        </w:rPr>
      </w:pPr>
      <w:bookmarkStart w:id="365" w:name="_Ref138786838"/>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6</w:t>
      </w:r>
      <w:r>
        <w:rPr>
          <w:b/>
          <w:bCs/>
          <w:color w:val="auto"/>
          <w:highlight w:val="none"/>
          <w:u w:val="none"/>
        </w:rPr>
        <w:fldChar w:fldCharType="end"/>
      </w:r>
      <w:bookmarkEnd w:id="365"/>
      <w:r>
        <w:rPr>
          <w:b/>
          <w:bCs/>
          <w:color w:val="auto"/>
          <w:highlight w:val="none"/>
          <w:u w:val="none"/>
        </w:rPr>
        <w:t xml:space="preserve">  </w:t>
      </w:r>
      <w:r>
        <w:rPr>
          <w:rFonts w:hint="eastAsia"/>
          <w:b/>
          <w:bCs/>
          <w:color w:val="auto"/>
          <w:highlight w:val="none"/>
          <w:u w:val="none"/>
        </w:rPr>
        <w:t>本</w:t>
      </w:r>
      <w:r>
        <w:rPr>
          <w:rFonts w:hint="eastAsia"/>
          <w:b/>
          <w:bCs/>
          <w:color w:val="auto"/>
          <w:highlight w:val="none"/>
          <w:u w:val="none"/>
          <w:lang w:val="en-US"/>
        </w:rPr>
        <w:t>次技改扩能后</w:t>
      </w:r>
      <w:r>
        <w:rPr>
          <w:rFonts w:hint="eastAsia"/>
          <w:b/>
          <w:bCs/>
          <w:color w:val="auto"/>
          <w:highlight w:val="none"/>
          <w:u w:val="none"/>
        </w:rPr>
        <w:t>主要设备噪声产生及排放情况</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887"/>
        <w:gridCol w:w="1991"/>
        <w:gridCol w:w="888"/>
        <w:gridCol w:w="1085"/>
        <w:gridCol w:w="1549"/>
        <w:gridCol w:w="1549"/>
        <w:gridCol w:w="669"/>
      </w:tblGrid>
      <w:tr w14:paraId="6BD1E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1582A825">
            <w:pPr>
              <w:pStyle w:val="92"/>
              <w:rPr>
                <w:snapToGrid w:val="0"/>
                <w:color w:val="auto"/>
                <w:highlight w:val="none"/>
                <w:u w:val="none"/>
              </w:rPr>
            </w:pPr>
            <w:r>
              <w:rPr>
                <w:snapToGrid w:val="0"/>
                <w:color w:val="auto"/>
                <w:highlight w:val="none"/>
                <w:u w:val="none"/>
              </w:rPr>
              <w:t>序号</w:t>
            </w:r>
          </w:p>
        </w:tc>
        <w:tc>
          <w:tcPr>
            <w:tcW w:w="478" w:type="pct"/>
            <w:vAlign w:val="center"/>
          </w:tcPr>
          <w:p w14:paraId="50795FCB">
            <w:pPr>
              <w:pStyle w:val="92"/>
              <w:rPr>
                <w:snapToGrid w:val="0"/>
                <w:color w:val="auto"/>
                <w:highlight w:val="none"/>
                <w:u w:val="none"/>
              </w:rPr>
            </w:pPr>
            <w:r>
              <w:rPr>
                <w:rFonts w:hint="eastAsia"/>
                <w:snapToGrid w:val="0"/>
                <w:color w:val="auto"/>
                <w:highlight w:val="none"/>
                <w:u w:val="none"/>
              </w:rPr>
              <w:t>设备</w:t>
            </w:r>
          </w:p>
        </w:tc>
        <w:tc>
          <w:tcPr>
            <w:tcW w:w="1072" w:type="pct"/>
            <w:vAlign w:val="center"/>
          </w:tcPr>
          <w:p w14:paraId="5B5CCC1B">
            <w:pPr>
              <w:pStyle w:val="92"/>
              <w:rPr>
                <w:snapToGrid w:val="0"/>
                <w:color w:val="auto"/>
                <w:highlight w:val="none"/>
                <w:u w:val="none"/>
              </w:rPr>
            </w:pPr>
            <w:r>
              <w:rPr>
                <w:snapToGrid w:val="0"/>
                <w:color w:val="auto"/>
                <w:highlight w:val="none"/>
                <w:u w:val="none"/>
              </w:rPr>
              <w:t>降噪措施</w:t>
            </w:r>
          </w:p>
        </w:tc>
        <w:tc>
          <w:tcPr>
            <w:tcW w:w="478" w:type="pct"/>
            <w:vAlign w:val="center"/>
          </w:tcPr>
          <w:p w14:paraId="120F0E17">
            <w:pPr>
              <w:pStyle w:val="92"/>
              <w:rPr>
                <w:snapToGrid w:val="0"/>
                <w:color w:val="auto"/>
                <w:highlight w:val="none"/>
                <w:u w:val="none"/>
              </w:rPr>
            </w:pPr>
            <w:r>
              <w:rPr>
                <w:snapToGrid w:val="0"/>
                <w:color w:val="auto"/>
                <w:highlight w:val="none"/>
                <w:u w:val="none"/>
              </w:rPr>
              <w:t>数量</w:t>
            </w:r>
          </w:p>
          <w:p w14:paraId="669C3982">
            <w:pPr>
              <w:pStyle w:val="92"/>
              <w:rPr>
                <w:snapToGrid w:val="0"/>
                <w:color w:val="auto"/>
                <w:highlight w:val="none"/>
                <w:u w:val="none"/>
              </w:rPr>
            </w:pPr>
            <w:r>
              <w:rPr>
                <w:rFonts w:hint="eastAsia"/>
                <w:snapToGrid w:val="0"/>
                <w:color w:val="auto"/>
                <w:highlight w:val="none"/>
                <w:u w:val="none"/>
              </w:rPr>
              <w:t>（</w:t>
            </w:r>
            <w:r>
              <w:rPr>
                <w:snapToGrid w:val="0"/>
                <w:color w:val="auto"/>
                <w:highlight w:val="none"/>
                <w:u w:val="none"/>
              </w:rPr>
              <w:t>台</w:t>
            </w:r>
            <w:r>
              <w:rPr>
                <w:rFonts w:hint="eastAsia"/>
                <w:snapToGrid w:val="0"/>
                <w:color w:val="auto"/>
                <w:highlight w:val="none"/>
                <w:u w:val="none"/>
              </w:rPr>
              <w:t>）</w:t>
            </w:r>
          </w:p>
        </w:tc>
        <w:tc>
          <w:tcPr>
            <w:tcW w:w="584" w:type="pct"/>
            <w:vAlign w:val="center"/>
          </w:tcPr>
          <w:p w14:paraId="12571010">
            <w:pPr>
              <w:pStyle w:val="92"/>
              <w:rPr>
                <w:color w:val="auto"/>
                <w:kern w:val="0"/>
                <w:highlight w:val="none"/>
                <w:u w:val="none"/>
                <w:lang w:val="zh-CN"/>
              </w:rPr>
            </w:pPr>
            <w:r>
              <w:rPr>
                <w:color w:val="auto"/>
                <w:kern w:val="0"/>
                <w:highlight w:val="none"/>
                <w:u w:val="none"/>
                <w:lang w:val="zh-CN"/>
              </w:rPr>
              <w:t>声级</w:t>
            </w:r>
          </w:p>
          <w:p w14:paraId="310FF581">
            <w:pPr>
              <w:pStyle w:val="92"/>
              <w:rPr>
                <w:snapToGrid w:val="0"/>
                <w:color w:val="auto"/>
                <w:highlight w:val="none"/>
                <w:u w:val="none"/>
              </w:rPr>
            </w:pPr>
            <w:r>
              <w:rPr>
                <w:color w:val="auto"/>
                <w:kern w:val="0"/>
                <w:highlight w:val="none"/>
                <w:u w:val="none"/>
                <w:lang w:val="zh-CN"/>
              </w:rPr>
              <w:t>dB（A）</w:t>
            </w:r>
          </w:p>
        </w:tc>
        <w:tc>
          <w:tcPr>
            <w:tcW w:w="834" w:type="pct"/>
          </w:tcPr>
          <w:p w14:paraId="4C4A1879">
            <w:pPr>
              <w:pStyle w:val="92"/>
              <w:rPr>
                <w:snapToGrid w:val="0"/>
                <w:color w:val="auto"/>
                <w:highlight w:val="none"/>
                <w:u w:val="none"/>
              </w:rPr>
            </w:pPr>
            <w:r>
              <w:rPr>
                <w:rFonts w:hint="eastAsia"/>
                <w:snapToGrid w:val="0"/>
                <w:color w:val="auto"/>
                <w:highlight w:val="none"/>
                <w:u w:val="none"/>
              </w:rPr>
              <w:t>采取措施声级</w:t>
            </w:r>
          </w:p>
          <w:p w14:paraId="5199C627">
            <w:pPr>
              <w:pStyle w:val="92"/>
              <w:rPr>
                <w:snapToGrid w:val="0"/>
                <w:color w:val="auto"/>
                <w:highlight w:val="none"/>
                <w:u w:val="none"/>
              </w:rPr>
            </w:pPr>
            <w:r>
              <w:rPr>
                <w:color w:val="auto"/>
                <w:kern w:val="0"/>
                <w:highlight w:val="none"/>
                <w:u w:val="none"/>
              </w:rPr>
              <w:t>dB（A）</w:t>
            </w:r>
          </w:p>
        </w:tc>
        <w:tc>
          <w:tcPr>
            <w:tcW w:w="834" w:type="pct"/>
            <w:vAlign w:val="center"/>
          </w:tcPr>
          <w:p w14:paraId="1353AB19">
            <w:pPr>
              <w:pStyle w:val="92"/>
              <w:rPr>
                <w:snapToGrid w:val="0"/>
                <w:color w:val="auto"/>
                <w:highlight w:val="none"/>
                <w:u w:val="none"/>
              </w:rPr>
            </w:pPr>
            <w:r>
              <w:rPr>
                <w:rFonts w:hint="eastAsia"/>
                <w:snapToGrid w:val="0"/>
                <w:color w:val="auto"/>
                <w:highlight w:val="none"/>
                <w:u w:val="none"/>
              </w:rPr>
              <w:t>噪声性质</w:t>
            </w:r>
          </w:p>
        </w:tc>
        <w:tc>
          <w:tcPr>
            <w:tcW w:w="360" w:type="pct"/>
            <w:vAlign w:val="center"/>
          </w:tcPr>
          <w:p w14:paraId="0BD7AB43">
            <w:pPr>
              <w:pStyle w:val="92"/>
              <w:rPr>
                <w:snapToGrid w:val="0"/>
                <w:color w:val="auto"/>
                <w:highlight w:val="none"/>
                <w:u w:val="none"/>
              </w:rPr>
            </w:pPr>
            <w:r>
              <w:rPr>
                <w:rFonts w:hint="eastAsia"/>
                <w:snapToGrid w:val="0"/>
                <w:color w:val="auto"/>
                <w:highlight w:val="none"/>
                <w:u w:val="none"/>
              </w:rPr>
              <w:t>噪声</w:t>
            </w:r>
          </w:p>
        </w:tc>
      </w:tr>
      <w:tr w14:paraId="13374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tcPr>
          <w:p w14:paraId="6D9549A5">
            <w:pPr>
              <w:pStyle w:val="92"/>
              <w:jc w:val="both"/>
              <w:rPr>
                <w:snapToGrid w:val="0"/>
                <w:color w:val="auto"/>
                <w:highlight w:val="none"/>
                <w:u w:val="none"/>
              </w:rPr>
            </w:pPr>
            <w:r>
              <w:rPr>
                <w:snapToGrid w:val="0"/>
                <w:color w:val="auto"/>
                <w:highlight w:val="none"/>
                <w:u w:val="none"/>
              </w:rPr>
              <w:t>一、硝化单元</w:t>
            </w:r>
          </w:p>
        </w:tc>
      </w:tr>
      <w:tr w14:paraId="21E53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49C33D16">
            <w:pPr>
              <w:pStyle w:val="92"/>
              <w:rPr>
                <w:snapToGrid w:val="0"/>
                <w:color w:val="auto"/>
                <w:highlight w:val="none"/>
                <w:u w:val="none"/>
              </w:rPr>
            </w:pPr>
            <w:r>
              <w:rPr>
                <w:snapToGrid w:val="0"/>
                <w:color w:val="auto"/>
                <w:highlight w:val="none"/>
                <w:u w:val="none"/>
              </w:rPr>
              <w:t>1</w:t>
            </w:r>
          </w:p>
        </w:tc>
        <w:tc>
          <w:tcPr>
            <w:tcW w:w="478" w:type="pct"/>
            <w:vAlign w:val="center"/>
          </w:tcPr>
          <w:p w14:paraId="620B3F2B">
            <w:pPr>
              <w:pStyle w:val="92"/>
              <w:rPr>
                <w:snapToGrid w:val="0"/>
                <w:color w:val="auto"/>
                <w:highlight w:val="none"/>
                <w:u w:val="none"/>
              </w:rPr>
            </w:pPr>
            <w:r>
              <w:rPr>
                <w:color w:val="auto"/>
                <w:highlight w:val="none"/>
                <w:u w:val="none"/>
              </w:rPr>
              <w:t>反应器</w:t>
            </w:r>
          </w:p>
        </w:tc>
        <w:tc>
          <w:tcPr>
            <w:tcW w:w="1072" w:type="pct"/>
            <w:vAlign w:val="center"/>
          </w:tcPr>
          <w:p w14:paraId="64834E14">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888" w:type="dxa"/>
            <w:vAlign w:val="center"/>
          </w:tcPr>
          <w:p w14:paraId="1C573FF7">
            <w:pPr>
              <w:pStyle w:val="92"/>
              <w:rPr>
                <w:snapToGrid w:val="0"/>
                <w:color w:val="auto"/>
                <w:highlight w:val="none"/>
                <w:u w:val="none"/>
              </w:rPr>
            </w:pPr>
            <w:r>
              <w:rPr>
                <w:rFonts w:hint="eastAsia"/>
                <w:snapToGrid w:val="0"/>
                <w:color w:val="auto"/>
                <w:highlight w:val="none"/>
                <w:u w:val="none"/>
              </w:rPr>
              <w:t>17</w:t>
            </w:r>
          </w:p>
        </w:tc>
        <w:tc>
          <w:tcPr>
            <w:tcW w:w="584" w:type="pct"/>
            <w:vAlign w:val="center"/>
          </w:tcPr>
          <w:p w14:paraId="5A3DB361">
            <w:pPr>
              <w:pStyle w:val="92"/>
              <w:rPr>
                <w:snapToGrid w:val="0"/>
                <w:color w:val="auto"/>
                <w:highlight w:val="none"/>
                <w:u w:val="none"/>
              </w:rPr>
            </w:pPr>
            <w:r>
              <w:rPr>
                <w:snapToGrid w:val="0"/>
                <w:color w:val="auto"/>
                <w:highlight w:val="none"/>
                <w:u w:val="none"/>
              </w:rPr>
              <w:t>75~85</w:t>
            </w:r>
          </w:p>
        </w:tc>
        <w:tc>
          <w:tcPr>
            <w:tcW w:w="834" w:type="pct"/>
          </w:tcPr>
          <w:p w14:paraId="0C17897A">
            <w:pPr>
              <w:pStyle w:val="92"/>
              <w:rPr>
                <w:color w:val="auto"/>
                <w:kern w:val="0"/>
                <w:highlight w:val="none"/>
                <w:u w:val="none"/>
                <w:lang w:val="zh-CN"/>
              </w:rPr>
            </w:pPr>
            <w:r>
              <w:rPr>
                <w:rFonts w:hint="eastAsia"/>
                <w:color w:val="auto"/>
                <w:kern w:val="0"/>
                <w:highlight w:val="none"/>
                <w:u w:val="none"/>
                <w:lang w:val="zh-CN"/>
              </w:rPr>
              <w:t>6</w:t>
            </w:r>
            <w:r>
              <w:rPr>
                <w:color w:val="auto"/>
                <w:kern w:val="0"/>
                <w:highlight w:val="none"/>
                <w:u w:val="none"/>
                <w:lang w:val="zh-CN"/>
              </w:rPr>
              <w:t>5~75</w:t>
            </w:r>
          </w:p>
        </w:tc>
        <w:tc>
          <w:tcPr>
            <w:tcW w:w="834" w:type="pct"/>
            <w:vAlign w:val="center"/>
          </w:tcPr>
          <w:p w14:paraId="7E01BCBF">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23B2EAC4">
            <w:pPr>
              <w:pStyle w:val="92"/>
              <w:rPr>
                <w:snapToGrid w:val="0"/>
                <w:color w:val="auto"/>
                <w:highlight w:val="none"/>
                <w:u w:val="none"/>
              </w:rPr>
            </w:pPr>
            <w:r>
              <w:rPr>
                <w:snapToGrid w:val="0"/>
                <w:color w:val="auto"/>
                <w:highlight w:val="none"/>
                <w:u w:val="none"/>
              </w:rPr>
              <w:t>连续</w:t>
            </w:r>
          </w:p>
        </w:tc>
      </w:tr>
      <w:tr w14:paraId="3D947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70E074A2">
            <w:pPr>
              <w:pStyle w:val="92"/>
              <w:rPr>
                <w:snapToGrid w:val="0"/>
                <w:color w:val="auto"/>
                <w:highlight w:val="none"/>
                <w:u w:val="none"/>
              </w:rPr>
            </w:pPr>
            <w:r>
              <w:rPr>
                <w:snapToGrid w:val="0"/>
                <w:color w:val="auto"/>
                <w:highlight w:val="none"/>
                <w:u w:val="none"/>
              </w:rPr>
              <w:t>2</w:t>
            </w:r>
          </w:p>
        </w:tc>
        <w:tc>
          <w:tcPr>
            <w:tcW w:w="478" w:type="pct"/>
            <w:vAlign w:val="center"/>
          </w:tcPr>
          <w:p w14:paraId="6DE75B51">
            <w:pPr>
              <w:pStyle w:val="92"/>
              <w:rPr>
                <w:snapToGrid w:val="0"/>
                <w:color w:val="auto"/>
                <w:highlight w:val="none"/>
                <w:u w:val="none"/>
              </w:rPr>
            </w:pPr>
            <w:r>
              <w:rPr>
                <w:color w:val="auto"/>
                <w:highlight w:val="none"/>
                <w:u w:val="none"/>
              </w:rPr>
              <w:t>机泵</w:t>
            </w:r>
          </w:p>
        </w:tc>
        <w:tc>
          <w:tcPr>
            <w:tcW w:w="1072" w:type="pct"/>
            <w:vAlign w:val="center"/>
          </w:tcPr>
          <w:p w14:paraId="5FA724FD">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888" w:type="dxa"/>
            <w:vAlign w:val="center"/>
          </w:tcPr>
          <w:p w14:paraId="2A42F3C6">
            <w:pPr>
              <w:pStyle w:val="92"/>
              <w:rPr>
                <w:snapToGrid w:val="0"/>
                <w:color w:val="auto"/>
                <w:highlight w:val="none"/>
                <w:u w:val="none"/>
              </w:rPr>
            </w:pPr>
            <w:r>
              <w:rPr>
                <w:rFonts w:hint="eastAsia"/>
                <w:snapToGrid w:val="0"/>
                <w:color w:val="auto"/>
                <w:highlight w:val="none"/>
                <w:u w:val="none"/>
              </w:rPr>
              <w:t>138</w:t>
            </w:r>
          </w:p>
        </w:tc>
        <w:tc>
          <w:tcPr>
            <w:tcW w:w="584" w:type="pct"/>
            <w:vAlign w:val="center"/>
          </w:tcPr>
          <w:p w14:paraId="658EC20D">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30B765BC">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06C69E30">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0CAF5675">
            <w:pPr>
              <w:pStyle w:val="92"/>
              <w:rPr>
                <w:snapToGrid w:val="0"/>
                <w:color w:val="auto"/>
                <w:highlight w:val="none"/>
                <w:u w:val="none"/>
              </w:rPr>
            </w:pPr>
            <w:r>
              <w:rPr>
                <w:snapToGrid w:val="0"/>
                <w:color w:val="auto"/>
                <w:highlight w:val="none"/>
                <w:u w:val="none"/>
              </w:rPr>
              <w:t>连续</w:t>
            </w:r>
          </w:p>
        </w:tc>
      </w:tr>
      <w:tr w14:paraId="1D1AE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02B6D3C4">
            <w:pPr>
              <w:pStyle w:val="92"/>
              <w:rPr>
                <w:snapToGrid w:val="0"/>
                <w:color w:val="auto"/>
                <w:highlight w:val="none"/>
                <w:u w:val="none"/>
              </w:rPr>
            </w:pPr>
            <w:r>
              <w:rPr>
                <w:snapToGrid w:val="0"/>
                <w:color w:val="auto"/>
                <w:highlight w:val="none"/>
                <w:u w:val="none"/>
              </w:rPr>
              <w:t>3</w:t>
            </w:r>
          </w:p>
        </w:tc>
        <w:tc>
          <w:tcPr>
            <w:tcW w:w="478" w:type="pct"/>
            <w:vAlign w:val="center"/>
          </w:tcPr>
          <w:p w14:paraId="3AE6C166">
            <w:pPr>
              <w:pStyle w:val="92"/>
              <w:rPr>
                <w:snapToGrid w:val="0"/>
                <w:color w:val="auto"/>
                <w:highlight w:val="none"/>
                <w:u w:val="none"/>
              </w:rPr>
            </w:pPr>
            <w:r>
              <w:rPr>
                <w:color w:val="auto"/>
                <w:highlight w:val="none"/>
                <w:u w:val="none"/>
              </w:rPr>
              <w:t>机组</w:t>
            </w:r>
          </w:p>
        </w:tc>
        <w:tc>
          <w:tcPr>
            <w:tcW w:w="1072" w:type="pct"/>
            <w:vAlign w:val="center"/>
          </w:tcPr>
          <w:p w14:paraId="41962C91">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r>
              <w:rPr>
                <w:rFonts w:hint="eastAsia"/>
                <w:snapToGrid w:val="0"/>
                <w:color w:val="auto"/>
                <w:highlight w:val="none"/>
                <w:u w:val="none"/>
              </w:rPr>
              <w:t>、消声</w:t>
            </w:r>
          </w:p>
        </w:tc>
        <w:tc>
          <w:tcPr>
            <w:tcW w:w="888" w:type="dxa"/>
            <w:vAlign w:val="center"/>
          </w:tcPr>
          <w:p w14:paraId="39387E3C">
            <w:pPr>
              <w:pStyle w:val="92"/>
              <w:rPr>
                <w:snapToGrid w:val="0"/>
                <w:color w:val="auto"/>
                <w:highlight w:val="none"/>
                <w:u w:val="none"/>
              </w:rPr>
            </w:pPr>
            <w:r>
              <w:rPr>
                <w:rFonts w:hint="eastAsia"/>
                <w:snapToGrid w:val="0"/>
                <w:color w:val="auto"/>
                <w:highlight w:val="none"/>
                <w:u w:val="none"/>
              </w:rPr>
              <w:t>33</w:t>
            </w:r>
          </w:p>
        </w:tc>
        <w:tc>
          <w:tcPr>
            <w:tcW w:w="584" w:type="pct"/>
            <w:vAlign w:val="center"/>
          </w:tcPr>
          <w:p w14:paraId="474F892E">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514E8B31">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4D3EBCB4">
            <w:pPr>
              <w:pStyle w:val="92"/>
              <w:rPr>
                <w:snapToGrid w:val="0"/>
                <w:color w:val="auto"/>
                <w:highlight w:val="none"/>
                <w:u w:val="none"/>
              </w:rPr>
            </w:pPr>
            <w:r>
              <w:rPr>
                <w:color w:val="auto"/>
                <w:kern w:val="0"/>
                <w:highlight w:val="none"/>
                <w:u w:val="none"/>
                <w:lang w:val="zh-CN"/>
              </w:rPr>
              <w:t>空气动力噪声</w:t>
            </w:r>
          </w:p>
        </w:tc>
        <w:tc>
          <w:tcPr>
            <w:tcW w:w="360" w:type="pct"/>
            <w:vAlign w:val="center"/>
          </w:tcPr>
          <w:p w14:paraId="7ADA206D">
            <w:pPr>
              <w:pStyle w:val="92"/>
              <w:rPr>
                <w:snapToGrid w:val="0"/>
                <w:color w:val="auto"/>
                <w:highlight w:val="none"/>
                <w:u w:val="none"/>
              </w:rPr>
            </w:pPr>
            <w:r>
              <w:rPr>
                <w:snapToGrid w:val="0"/>
                <w:color w:val="auto"/>
                <w:highlight w:val="none"/>
                <w:u w:val="none"/>
              </w:rPr>
              <w:t>连续</w:t>
            </w:r>
          </w:p>
        </w:tc>
      </w:tr>
      <w:tr w14:paraId="3B7F2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pct"/>
            <w:gridSpan w:val="3"/>
            <w:vAlign w:val="center"/>
          </w:tcPr>
          <w:p w14:paraId="2C913F9A">
            <w:pPr>
              <w:pStyle w:val="92"/>
              <w:rPr>
                <w:snapToGrid w:val="0"/>
                <w:color w:val="auto"/>
                <w:highlight w:val="none"/>
                <w:u w:val="none"/>
              </w:rPr>
            </w:pPr>
            <w:r>
              <w:rPr>
                <w:rFonts w:hint="eastAsia"/>
                <w:color w:val="auto"/>
                <w:highlight w:val="none"/>
                <w:u w:val="none"/>
              </w:rPr>
              <w:t>小计</w:t>
            </w:r>
          </w:p>
        </w:tc>
        <w:tc>
          <w:tcPr>
            <w:tcW w:w="888" w:type="dxa"/>
            <w:vAlign w:val="center"/>
          </w:tcPr>
          <w:p w14:paraId="5B41B2BD">
            <w:pPr>
              <w:pStyle w:val="92"/>
              <w:rPr>
                <w:snapToGrid w:val="0"/>
                <w:color w:val="auto"/>
                <w:highlight w:val="none"/>
                <w:u w:val="none"/>
              </w:rPr>
            </w:pPr>
            <w:r>
              <w:rPr>
                <w:rFonts w:hint="eastAsia"/>
                <w:snapToGrid w:val="0"/>
                <w:color w:val="auto"/>
                <w:highlight w:val="none"/>
                <w:u w:val="none"/>
              </w:rPr>
              <w:t>188</w:t>
            </w:r>
          </w:p>
        </w:tc>
        <w:tc>
          <w:tcPr>
            <w:tcW w:w="584" w:type="pct"/>
            <w:vAlign w:val="center"/>
          </w:tcPr>
          <w:p w14:paraId="0272D48E">
            <w:pPr>
              <w:pStyle w:val="92"/>
              <w:rPr>
                <w:snapToGrid w:val="0"/>
                <w:color w:val="auto"/>
                <w:highlight w:val="none"/>
                <w:u w:val="none"/>
              </w:rPr>
            </w:pPr>
            <w:r>
              <w:rPr>
                <w:snapToGrid w:val="0"/>
                <w:color w:val="auto"/>
                <w:highlight w:val="none"/>
                <w:u w:val="none"/>
              </w:rPr>
              <w:t>/</w:t>
            </w:r>
          </w:p>
        </w:tc>
        <w:tc>
          <w:tcPr>
            <w:tcW w:w="834" w:type="pct"/>
          </w:tcPr>
          <w:p w14:paraId="0A51018A">
            <w:pPr>
              <w:pStyle w:val="92"/>
              <w:rPr>
                <w:snapToGrid w:val="0"/>
                <w:color w:val="auto"/>
                <w:highlight w:val="none"/>
                <w:u w:val="none"/>
              </w:rPr>
            </w:pPr>
            <w:r>
              <w:rPr>
                <w:rFonts w:hint="eastAsia"/>
                <w:snapToGrid w:val="0"/>
                <w:color w:val="auto"/>
                <w:highlight w:val="none"/>
                <w:u w:val="none"/>
              </w:rPr>
              <w:t>/</w:t>
            </w:r>
          </w:p>
        </w:tc>
        <w:tc>
          <w:tcPr>
            <w:tcW w:w="834" w:type="pct"/>
            <w:vAlign w:val="center"/>
          </w:tcPr>
          <w:p w14:paraId="60B4B638">
            <w:pPr>
              <w:pStyle w:val="92"/>
              <w:rPr>
                <w:snapToGrid w:val="0"/>
                <w:color w:val="auto"/>
                <w:highlight w:val="none"/>
                <w:u w:val="none"/>
              </w:rPr>
            </w:pPr>
            <w:r>
              <w:rPr>
                <w:rFonts w:hint="eastAsia"/>
                <w:snapToGrid w:val="0"/>
                <w:color w:val="auto"/>
                <w:highlight w:val="none"/>
                <w:u w:val="none"/>
              </w:rPr>
              <w:t>/</w:t>
            </w:r>
          </w:p>
        </w:tc>
        <w:tc>
          <w:tcPr>
            <w:tcW w:w="360" w:type="pct"/>
            <w:vAlign w:val="center"/>
          </w:tcPr>
          <w:p w14:paraId="0FBF5DD3">
            <w:pPr>
              <w:pStyle w:val="92"/>
              <w:rPr>
                <w:snapToGrid w:val="0"/>
                <w:color w:val="auto"/>
                <w:highlight w:val="none"/>
                <w:u w:val="none"/>
              </w:rPr>
            </w:pPr>
            <w:r>
              <w:rPr>
                <w:rFonts w:hint="eastAsia"/>
                <w:snapToGrid w:val="0"/>
                <w:color w:val="auto"/>
                <w:highlight w:val="none"/>
                <w:u w:val="none"/>
              </w:rPr>
              <w:t>/</w:t>
            </w:r>
          </w:p>
        </w:tc>
      </w:tr>
      <w:tr w14:paraId="2276B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tcPr>
          <w:p w14:paraId="1876D930">
            <w:pPr>
              <w:pStyle w:val="92"/>
              <w:jc w:val="both"/>
              <w:rPr>
                <w:snapToGrid w:val="0"/>
                <w:color w:val="auto"/>
                <w:highlight w:val="none"/>
                <w:u w:val="none"/>
              </w:rPr>
            </w:pPr>
            <w:r>
              <w:rPr>
                <w:snapToGrid w:val="0"/>
                <w:color w:val="auto"/>
                <w:highlight w:val="none"/>
                <w:u w:val="none"/>
              </w:rPr>
              <w:t>二、氢化单元</w:t>
            </w:r>
          </w:p>
        </w:tc>
      </w:tr>
      <w:tr w14:paraId="58043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3EC74331">
            <w:pPr>
              <w:pStyle w:val="92"/>
              <w:rPr>
                <w:snapToGrid w:val="0"/>
                <w:color w:val="auto"/>
                <w:highlight w:val="none"/>
                <w:u w:val="none"/>
              </w:rPr>
            </w:pPr>
            <w:r>
              <w:rPr>
                <w:rFonts w:hint="eastAsia"/>
                <w:snapToGrid w:val="0"/>
                <w:color w:val="auto"/>
                <w:highlight w:val="none"/>
                <w:u w:val="none"/>
              </w:rPr>
              <w:t>4</w:t>
            </w:r>
          </w:p>
        </w:tc>
        <w:tc>
          <w:tcPr>
            <w:tcW w:w="478" w:type="pct"/>
            <w:vAlign w:val="center"/>
          </w:tcPr>
          <w:p w14:paraId="7D697754">
            <w:pPr>
              <w:pStyle w:val="92"/>
              <w:rPr>
                <w:snapToGrid w:val="0"/>
                <w:color w:val="auto"/>
                <w:highlight w:val="none"/>
                <w:u w:val="none"/>
              </w:rPr>
            </w:pPr>
            <w:r>
              <w:rPr>
                <w:color w:val="auto"/>
                <w:highlight w:val="none"/>
                <w:u w:val="none"/>
              </w:rPr>
              <w:t>反应器</w:t>
            </w:r>
          </w:p>
        </w:tc>
        <w:tc>
          <w:tcPr>
            <w:tcW w:w="1072" w:type="pct"/>
            <w:vAlign w:val="center"/>
          </w:tcPr>
          <w:p w14:paraId="5213CB20">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888" w:type="dxa"/>
            <w:vAlign w:val="center"/>
          </w:tcPr>
          <w:p w14:paraId="5C645CF8">
            <w:pPr>
              <w:pStyle w:val="92"/>
              <w:rPr>
                <w:snapToGrid w:val="0"/>
                <w:color w:val="auto"/>
                <w:highlight w:val="none"/>
                <w:u w:val="none"/>
              </w:rPr>
            </w:pPr>
            <w:r>
              <w:rPr>
                <w:color w:val="auto"/>
                <w:highlight w:val="none"/>
                <w:u w:val="none"/>
              </w:rPr>
              <w:t>3</w:t>
            </w:r>
          </w:p>
        </w:tc>
        <w:tc>
          <w:tcPr>
            <w:tcW w:w="584" w:type="pct"/>
            <w:vAlign w:val="center"/>
          </w:tcPr>
          <w:p w14:paraId="114F87D7">
            <w:pPr>
              <w:pStyle w:val="92"/>
              <w:rPr>
                <w:snapToGrid w:val="0"/>
                <w:color w:val="auto"/>
                <w:highlight w:val="none"/>
                <w:u w:val="none"/>
              </w:rPr>
            </w:pPr>
            <w:r>
              <w:rPr>
                <w:snapToGrid w:val="0"/>
                <w:color w:val="auto"/>
                <w:highlight w:val="none"/>
                <w:u w:val="none"/>
              </w:rPr>
              <w:t>75~85</w:t>
            </w:r>
          </w:p>
        </w:tc>
        <w:tc>
          <w:tcPr>
            <w:tcW w:w="834" w:type="pct"/>
          </w:tcPr>
          <w:p w14:paraId="331AEC3E">
            <w:pPr>
              <w:pStyle w:val="92"/>
              <w:rPr>
                <w:color w:val="auto"/>
                <w:kern w:val="0"/>
                <w:highlight w:val="none"/>
                <w:u w:val="none"/>
                <w:lang w:val="zh-CN"/>
              </w:rPr>
            </w:pPr>
            <w:r>
              <w:rPr>
                <w:rFonts w:hint="eastAsia"/>
                <w:color w:val="auto"/>
                <w:kern w:val="0"/>
                <w:highlight w:val="none"/>
                <w:u w:val="none"/>
                <w:lang w:val="zh-CN"/>
              </w:rPr>
              <w:t>6</w:t>
            </w:r>
            <w:r>
              <w:rPr>
                <w:color w:val="auto"/>
                <w:kern w:val="0"/>
                <w:highlight w:val="none"/>
                <w:u w:val="none"/>
                <w:lang w:val="zh-CN"/>
              </w:rPr>
              <w:t>5~75</w:t>
            </w:r>
          </w:p>
        </w:tc>
        <w:tc>
          <w:tcPr>
            <w:tcW w:w="834" w:type="pct"/>
            <w:vAlign w:val="center"/>
          </w:tcPr>
          <w:p w14:paraId="2AE5D5A6">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4E4213F3">
            <w:pPr>
              <w:pStyle w:val="92"/>
              <w:rPr>
                <w:snapToGrid w:val="0"/>
                <w:color w:val="auto"/>
                <w:highlight w:val="none"/>
                <w:u w:val="none"/>
              </w:rPr>
            </w:pPr>
            <w:r>
              <w:rPr>
                <w:snapToGrid w:val="0"/>
                <w:color w:val="auto"/>
                <w:highlight w:val="none"/>
                <w:u w:val="none"/>
              </w:rPr>
              <w:t>连续</w:t>
            </w:r>
          </w:p>
        </w:tc>
      </w:tr>
      <w:tr w14:paraId="133B2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34F9786C">
            <w:pPr>
              <w:pStyle w:val="92"/>
              <w:rPr>
                <w:snapToGrid w:val="0"/>
                <w:color w:val="auto"/>
                <w:highlight w:val="none"/>
                <w:u w:val="none"/>
              </w:rPr>
            </w:pPr>
            <w:r>
              <w:rPr>
                <w:rFonts w:hint="eastAsia"/>
                <w:snapToGrid w:val="0"/>
                <w:color w:val="auto"/>
                <w:highlight w:val="none"/>
                <w:u w:val="none"/>
              </w:rPr>
              <w:t>5</w:t>
            </w:r>
          </w:p>
        </w:tc>
        <w:tc>
          <w:tcPr>
            <w:tcW w:w="478" w:type="pct"/>
            <w:vAlign w:val="center"/>
          </w:tcPr>
          <w:p w14:paraId="618D97DB">
            <w:pPr>
              <w:pStyle w:val="92"/>
              <w:rPr>
                <w:snapToGrid w:val="0"/>
                <w:color w:val="auto"/>
                <w:highlight w:val="none"/>
                <w:u w:val="none"/>
              </w:rPr>
            </w:pPr>
            <w:r>
              <w:rPr>
                <w:color w:val="auto"/>
                <w:highlight w:val="none"/>
                <w:u w:val="none"/>
              </w:rPr>
              <w:t>机泵</w:t>
            </w:r>
          </w:p>
        </w:tc>
        <w:tc>
          <w:tcPr>
            <w:tcW w:w="1072" w:type="pct"/>
            <w:vAlign w:val="center"/>
          </w:tcPr>
          <w:p w14:paraId="1007977C">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888" w:type="dxa"/>
            <w:vAlign w:val="center"/>
          </w:tcPr>
          <w:p w14:paraId="0E4B2B3E">
            <w:pPr>
              <w:pStyle w:val="92"/>
              <w:rPr>
                <w:snapToGrid w:val="0"/>
                <w:color w:val="auto"/>
                <w:highlight w:val="none"/>
                <w:u w:val="none"/>
              </w:rPr>
            </w:pPr>
            <w:r>
              <w:rPr>
                <w:rFonts w:hint="eastAsia"/>
                <w:color w:val="auto"/>
                <w:highlight w:val="none"/>
                <w:u w:val="none"/>
              </w:rPr>
              <w:t>92</w:t>
            </w:r>
          </w:p>
        </w:tc>
        <w:tc>
          <w:tcPr>
            <w:tcW w:w="584" w:type="pct"/>
            <w:vAlign w:val="center"/>
          </w:tcPr>
          <w:p w14:paraId="74C6B007">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055BF9D4">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348BE21A">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756DE01A">
            <w:pPr>
              <w:pStyle w:val="92"/>
              <w:rPr>
                <w:snapToGrid w:val="0"/>
                <w:color w:val="auto"/>
                <w:highlight w:val="none"/>
                <w:u w:val="none"/>
              </w:rPr>
            </w:pPr>
            <w:r>
              <w:rPr>
                <w:snapToGrid w:val="0"/>
                <w:color w:val="auto"/>
                <w:highlight w:val="none"/>
                <w:u w:val="none"/>
              </w:rPr>
              <w:t>连续</w:t>
            </w:r>
          </w:p>
        </w:tc>
      </w:tr>
      <w:tr w14:paraId="05E73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5FFDB050">
            <w:pPr>
              <w:pStyle w:val="92"/>
              <w:rPr>
                <w:snapToGrid w:val="0"/>
                <w:color w:val="auto"/>
                <w:highlight w:val="none"/>
                <w:u w:val="none"/>
              </w:rPr>
            </w:pPr>
            <w:r>
              <w:rPr>
                <w:rFonts w:hint="eastAsia"/>
                <w:snapToGrid w:val="0"/>
                <w:color w:val="auto"/>
                <w:highlight w:val="none"/>
                <w:u w:val="none"/>
              </w:rPr>
              <w:t>6</w:t>
            </w:r>
          </w:p>
        </w:tc>
        <w:tc>
          <w:tcPr>
            <w:tcW w:w="478" w:type="pct"/>
            <w:vAlign w:val="center"/>
          </w:tcPr>
          <w:p w14:paraId="2261E45A">
            <w:pPr>
              <w:pStyle w:val="92"/>
              <w:rPr>
                <w:snapToGrid w:val="0"/>
                <w:color w:val="auto"/>
                <w:highlight w:val="none"/>
                <w:u w:val="none"/>
              </w:rPr>
            </w:pPr>
            <w:r>
              <w:rPr>
                <w:color w:val="auto"/>
                <w:highlight w:val="none"/>
                <w:u w:val="none"/>
              </w:rPr>
              <w:t>机组</w:t>
            </w:r>
          </w:p>
        </w:tc>
        <w:tc>
          <w:tcPr>
            <w:tcW w:w="1072" w:type="pct"/>
            <w:vAlign w:val="center"/>
          </w:tcPr>
          <w:p w14:paraId="20820AC4">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r>
              <w:rPr>
                <w:rFonts w:hint="eastAsia"/>
                <w:snapToGrid w:val="0"/>
                <w:color w:val="auto"/>
                <w:highlight w:val="none"/>
                <w:u w:val="none"/>
              </w:rPr>
              <w:t>、消声</w:t>
            </w:r>
          </w:p>
        </w:tc>
        <w:tc>
          <w:tcPr>
            <w:tcW w:w="888" w:type="dxa"/>
            <w:vAlign w:val="center"/>
          </w:tcPr>
          <w:p w14:paraId="37E3D247">
            <w:pPr>
              <w:pStyle w:val="92"/>
              <w:rPr>
                <w:snapToGrid w:val="0"/>
                <w:color w:val="auto"/>
                <w:highlight w:val="none"/>
                <w:u w:val="none"/>
              </w:rPr>
            </w:pPr>
            <w:r>
              <w:rPr>
                <w:rFonts w:hint="eastAsia"/>
                <w:snapToGrid w:val="0"/>
                <w:color w:val="auto"/>
                <w:highlight w:val="none"/>
                <w:u w:val="none"/>
              </w:rPr>
              <w:t>39</w:t>
            </w:r>
          </w:p>
        </w:tc>
        <w:tc>
          <w:tcPr>
            <w:tcW w:w="584" w:type="pct"/>
            <w:vAlign w:val="center"/>
          </w:tcPr>
          <w:p w14:paraId="3A06B5CD">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2E79424E">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7CF17317">
            <w:pPr>
              <w:pStyle w:val="92"/>
              <w:rPr>
                <w:snapToGrid w:val="0"/>
                <w:color w:val="auto"/>
                <w:highlight w:val="none"/>
                <w:u w:val="none"/>
              </w:rPr>
            </w:pPr>
            <w:r>
              <w:rPr>
                <w:color w:val="auto"/>
                <w:kern w:val="0"/>
                <w:highlight w:val="none"/>
                <w:u w:val="none"/>
                <w:lang w:val="zh-CN"/>
              </w:rPr>
              <w:t>空气动力噪声</w:t>
            </w:r>
          </w:p>
        </w:tc>
        <w:tc>
          <w:tcPr>
            <w:tcW w:w="360" w:type="pct"/>
            <w:vAlign w:val="center"/>
          </w:tcPr>
          <w:p w14:paraId="55D92181">
            <w:pPr>
              <w:pStyle w:val="92"/>
              <w:rPr>
                <w:snapToGrid w:val="0"/>
                <w:color w:val="auto"/>
                <w:highlight w:val="none"/>
                <w:u w:val="none"/>
              </w:rPr>
            </w:pPr>
            <w:r>
              <w:rPr>
                <w:snapToGrid w:val="0"/>
                <w:color w:val="auto"/>
                <w:highlight w:val="none"/>
                <w:u w:val="none"/>
              </w:rPr>
              <w:t>连续</w:t>
            </w:r>
          </w:p>
        </w:tc>
      </w:tr>
      <w:tr w14:paraId="1192D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pct"/>
            <w:gridSpan w:val="3"/>
            <w:vAlign w:val="center"/>
          </w:tcPr>
          <w:p w14:paraId="134D49FE">
            <w:pPr>
              <w:pStyle w:val="92"/>
              <w:rPr>
                <w:snapToGrid w:val="0"/>
                <w:color w:val="auto"/>
                <w:highlight w:val="none"/>
                <w:u w:val="none"/>
              </w:rPr>
            </w:pPr>
            <w:r>
              <w:rPr>
                <w:rFonts w:hint="eastAsia"/>
                <w:color w:val="auto"/>
                <w:highlight w:val="none"/>
                <w:u w:val="none"/>
              </w:rPr>
              <w:t>小计</w:t>
            </w:r>
          </w:p>
        </w:tc>
        <w:tc>
          <w:tcPr>
            <w:tcW w:w="888" w:type="dxa"/>
            <w:vAlign w:val="center"/>
          </w:tcPr>
          <w:p w14:paraId="171C5617">
            <w:pPr>
              <w:pStyle w:val="92"/>
              <w:rPr>
                <w:snapToGrid w:val="0"/>
                <w:color w:val="auto"/>
                <w:highlight w:val="none"/>
                <w:u w:val="none"/>
              </w:rPr>
            </w:pPr>
            <w:r>
              <w:rPr>
                <w:rFonts w:hint="eastAsia"/>
                <w:color w:val="auto"/>
                <w:highlight w:val="none"/>
                <w:u w:val="none"/>
              </w:rPr>
              <w:t>134</w:t>
            </w:r>
          </w:p>
        </w:tc>
        <w:tc>
          <w:tcPr>
            <w:tcW w:w="584" w:type="pct"/>
            <w:vAlign w:val="center"/>
          </w:tcPr>
          <w:p w14:paraId="351F6867">
            <w:pPr>
              <w:pStyle w:val="92"/>
              <w:rPr>
                <w:snapToGrid w:val="0"/>
                <w:color w:val="auto"/>
                <w:highlight w:val="none"/>
                <w:u w:val="none"/>
              </w:rPr>
            </w:pPr>
            <w:r>
              <w:rPr>
                <w:snapToGrid w:val="0"/>
                <w:color w:val="auto"/>
                <w:highlight w:val="none"/>
                <w:u w:val="none"/>
              </w:rPr>
              <w:t>/</w:t>
            </w:r>
          </w:p>
        </w:tc>
        <w:tc>
          <w:tcPr>
            <w:tcW w:w="834" w:type="pct"/>
          </w:tcPr>
          <w:p w14:paraId="10F50C2A">
            <w:pPr>
              <w:pStyle w:val="92"/>
              <w:rPr>
                <w:snapToGrid w:val="0"/>
                <w:color w:val="auto"/>
                <w:highlight w:val="none"/>
                <w:u w:val="none"/>
              </w:rPr>
            </w:pPr>
            <w:r>
              <w:rPr>
                <w:rFonts w:hint="eastAsia"/>
                <w:snapToGrid w:val="0"/>
                <w:color w:val="auto"/>
                <w:highlight w:val="none"/>
                <w:u w:val="none"/>
              </w:rPr>
              <w:t>/</w:t>
            </w:r>
          </w:p>
        </w:tc>
        <w:tc>
          <w:tcPr>
            <w:tcW w:w="834" w:type="pct"/>
            <w:vAlign w:val="center"/>
          </w:tcPr>
          <w:p w14:paraId="23E06B72">
            <w:pPr>
              <w:pStyle w:val="92"/>
              <w:rPr>
                <w:snapToGrid w:val="0"/>
                <w:color w:val="auto"/>
                <w:highlight w:val="none"/>
                <w:u w:val="none"/>
              </w:rPr>
            </w:pPr>
            <w:r>
              <w:rPr>
                <w:rFonts w:hint="eastAsia"/>
                <w:snapToGrid w:val="0"/>
                <w:color w:val="auto"/>
                <w:highlight w:val="none"/>
                <w:u w:val="none"/>
              </w:rPr>
              <w:t>/</w:t>
            </w:r>
          </w:p>
        </w:tc>
        <w:tc>
          <w:tcPr>
            <w:tcW w:w="360" w:type="pct"/>
            <w:vAlign w:val="center"/>
          </w:tcPr>
          <w:p w14:paraId="7386B320">
            <w:pPr>
              <w:pStyle w:val="92"/>
              <w:rPr>
                <w:snapToGrid w:val="0"/>
                <w:color w:val="auto"/>
                <w:highlight w:val="none"/>
                <w:u w:val="none"/>
              </w:rPr>
            </w:pPr>
            <w:r>
              <w:rPr>
                <w:rFonts w:hint="eastAsia"/>
                <w:snapToGrid w:val="0"/>
                <w:color w:val="auto"/>
                <w:highlight w:val="none"/>
                <w:u w:val="none"/>
              </w:rPr>
              <w:t>/</w:t>
            </w:r>
          </w:p>
        </w:tc>
      </w:tr>
      <w:tr w14:paraId="4A9BA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tcPr>
          <w:p w14:paraId="48DFBE7D">
            <w:pPr>
              <w:pStyle w:val="92"/>
              <w:jc w:val="both"/>
              <w:rPr>
                <w:snapToGrid w:val="0"/>
                <w:color w:val="auto"/>
                <w:highlight w:val="none"/>
                <w:u w:val="none"/>
              </w:rPr>
            </w:pPr>
            <w:r>
              <w:rPr>
                <w:snapToGrid w:val="0"/>
                <w:color w:val="auto"/>
                <w:highlight w:val="none"/>
                <w:u w:val="none"/>
              </w:rPr>
              <w:t>三、光化单元</w:t>
            </w:r>
          </w:p>
        </w:tc>
      </w:tr>
      <w:tr w14:paraId="7C4D4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4F8E4D30">
            <w:pPr>
              <w:pStyle w:val="92"/>
              <w:rPr>
                <w:snapToGrid w:val="0"/>
                <w:color w:val="auto"/>
                <w:highlight w:val="none"/>
                <w:u w:val="none"/>
              </w:rPr>
            </w:pPr>
            <w:r>
              <w:rPr>
                <w:rFonts w:hint="eastAsia"/>
                <w:snapToGrid w:val="0"/>
                <w:color w:val="auto"/>
                <w:highlight w:val="none"/>
                <w:u w:val="none"/>
              </w:rPr>
              <w:t>7</w:t>
            </w:r>
          </w:p>
        </w:tc>
        <w:tc>
          <w:tcPr>
            <w:tcW w:w="478" w:type="pct"/>
            <w:vAlign w:val="center"/>
          </w:tcPr>
          <w:p w14:paraId="2134070D">
            <w:pPr>
              <w:pStyle w:val="92"/>
              <w:rPr>
                <w:snapToGrid w:val="0"/>
                <w:color w:val="auto"/>
                <w:highlight w:val="none"/>
                <w:u w:val="none"/>
              </w:rPr>
            </w:pPr>
            <w:r>
              <w:rPr>
                <w:color w:val="auto"/>
                <w:highlight w:val="none"/>
                <w:u w:val="none"/>
              </w:rPr>
              <w:t>反应器</w:t>
            </w:r>
          </w:p>
        </w:tc>
        <w:tc>
          <w:tcPr>
            <w:tcW w:w="1072" w:type="pct"/>
            <w:vAlign w:val="center"/>
          </w:tcPr>
          <w:p w14:paraId="63FF44AE">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478" w:type="pct"/>
            <w:vAlign w:val="center"/>
          </w:tcPr>
          <w:p w14:paraId="52FAA193">
            <w:pPr>
              <w:pStyle w:val="92"/>
              <w:rPr>
                <w:snapToGrid w:val="0"/>
                <w:color w:val="auto"/>
                <w:highlight w:val="none"/>
                <w:u w:val="none"/>
              </w:rPr>
            </w:pPr>
            <w:r>
              <w:rPr>
                <w:rFonts w:hint="eastAsia"/>
                <w:color w:val="auto"/>
                <w:highlight w:val="none"/>
                <w:u w:val="none"/>
              </w:rPr>
              <w:t>13</w:t>
            </w:r>
          </w:p>
        </w:tc>
        <w:tc>
          <w:tcPr>
            <w:tcW w:w="584" w:type="pct"/>
            <w:vAlign w:val="center"/>
          </w:tcPr>
          <w:p w14:paraId="7415607D">
            <w:pPr>
              <w:pStyle w:val="92"/>
              <w:rPr>
                <w:snapToGrid w:val="0"/>
                <w:color w:val="auto"/>
                <w:highlight w:val="none"/>
                <w:u w:val="none"/>
              </w:rPr>
            </w:pPr>
            <w:r>
              <w:rPr>
                <w:snapToGrid w:val="0"/>
                <w:color w:val="auto"/>
                <w:highlight w:val="none"/>
                <w:u w:val="none"/>
              </w:rPr>
              <w:t>75~85</w:t>
            </w:r>
          </w:p>
        </w:tc>
        <w:tc>
          <w:tcPr>
            <w:tcW w:w="834" w:type="pct"/>
          </w:tcPr>
          <w:p w14:paraId="73237E50">
            <w:pPr>
              <w:pStyle w:val="92"/>
              <w:rPr>
                <w:color w:val="auto"/>
                <w:kern w:val="0"/>
                <w:highlight w:val="none"/>
                <w:u w:val="none"/>
                <w:lang w:val="zh-CN"/>
              </w:rPr>
            </w:pPr>
            <w:r>
              <w:rPr>
                <w:rFonts w:hint="eastAsia"/>
                <w:color w:val="auto"/>
                <w:kern w:val="0"/>
                <w:highlight w:val="none"/>
                <w:u w:val="none"/>
                <w:lang w:val="zh-CN"/>
              </w:rPr>
              <w:t>6</w:t>
            </w:r>
            <w:r>
              <w:rPr>
                <w:color w:val="auto"/>
                <w:kern w:val="0"/>
                <w:highlight w:val="none"/>
                <w:u w:val="none"/>
                <w:lang w:val="zh-CN"/>
              </w:rPr>
              <w:t>5~75</w:t>
            </w:r>
          </w:p>
        </w:tc>
        <w:tc>
          <w:tcPr>
            <w:tcW w:w="834" w:type="pct"/>
            <w:vAlign w:val="center"/>
          </w:tcPr>
          <w:p w14:paraId="33B1BA46">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4443E8F8">
            <w:pPr>
              <w:pStyle w:val="92"/>
              <w:rPr>
                <w:snapToGrid w:val="0"/>
                <w:color w:val="auto"/>
                <w:highlight w:val="none"/>
                <w:u w:val="none"/>
              </w:rPr>
            </w:pPr>
            <w:r>
              <w:rPr>
                <w:snapToGrid w:val="0"/>
                <w:color w:val="auto"/>
                <w:highlight w:val="none"/>
                <w:u w:val="none"/>
              </w:rPr>
              <w:t>连续</w:t>
            </w:r>
          </w:p>
        </w:tc>
      </w:tr>
      <w:tr w14:paraId="5524C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3CBFFD7D">
            <w:pPr>
              <w:pStyle w:val="92"/>
              <w:rPr>
                <w:snapToGrid w:val="0"/>
                <w:color w:val="auto"/>
                <w:highlight w:val="none"/>
                <w:u w:val="none"/>
              </w:rPr>
            </w:pPr>
            <w:r>
              <w:rPr>
                <w:rFonts w:hint="eastAsia"/>
                <w:snapToGrid w:val="0"/>
                <w:color w:val="auto"/>
                <w:highlight w:val="none"/>
                <w:u w:val="none"/>
              </w:rPr>
              <w:t>8</w:t>
            </w:r>
          </w:p>
        </w:tc>
        <w:tc>
          <w:tcPr>
            <w:tcW w:w="478" w:type="pct"/>
            <w:vAlign w:val="center"/>
          </w:tcPr>
          <w:p w14:paraId="2C6C7137">
            <w:pPr>
              <w:pStyle w:val="92"/>
              <w:rPr>
                <w:snapToGrid w:val="0"/>
                <w:color w:val="auto"/>
                <w:highlight w:val="none"/>
                <w:u w:val="none"/>
              </w:rPr>
            </w:pPr>
            <w:r>
              <w:rPr>
                <w:color w:val="auto"/>
                <w:highlight w:val="none"/>
                <w:u w:val="none"/>
              </w:rPr>
              <w:t>机泵</w:t>
            </w:r>
          </w:p>
        </w:tc>
        <w:tc>
          <w:tcPr>
            <w:tcW w:w="1072" w:type="pct"/>
            <w:vAlign w:val="center"/>
          </w:tcPr>
          <w:p w14:paraId="5740056C">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p>
        </w:tc>
        <w:tc>
          <w:tcPr>
            <w:tcW w:w="478" w:type="pct"/>
            <w:vAlign w:val="center"/>
          </w:tcPr>
          <w:p w14:paraId="4E1CF426">
            <w:pPr>
              <w:pStyle w:val="92"/>
              <w:rPr>
                <w:snapToGrid w:val="0"/>
                <w:color w:val="auto"/>
                <w:highlight w:val="none"/>
                <w:u w:val="none"/>
              </w:rPr>
            </w:pPr>
            <w:r>
              <w:rPr>
                <w:rFonts w:hint="eastAsia"/>
                <w:color w:val="auto"/>
                <w:highlight w:val="none"/>
                <w:u w:val="none"/>
              </w:rPr>
              <w:t>160</w:t>
            </w:r>
          </w:p>
        </w:tc>
        <w:tc>
          <w:tcPr>
            <w:tcW w:w="584" w:type="pct"/>
            <w:vAlign w:val="center"/>
          </w:tcPr>
          <w:p w14:paraId="47CF2F92">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7260BEBD">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04825C8A">
            <w:pPr>
              <w:pStyle w:val="92"/>
              <w:rPr>
                <w:snapToGrid w:val="0"/>
                <w:color w:val="auto"/>
                <w:highlight w:val="none"/>
                <w:u w:val="none"/>
              </w:rPr>
            </w:pPr>
            <w:r>
              <w:rPr>
                <w:color w:val="auto"/>
                <w:kern w:val="0"/>
                <w:highlight w:val="none"/>
                <w:u w:val="none"/>
                <w:lang w:val="zh-CN"/>
              </w:rPr>
              <w:t>机械噪声</w:t>
            </w:r>
          </w:p>
        </w:tc>
        <w:tc>
          <w:tcPr>
            <w:tcW w:w="360" w:type="pct"/>
            <w:vAlign w:val="center"/>
          </w:tcPr>
          <w:p w14:paraId="1824C19F">
            <w:pPr>
              <w:pStyle w:val="92"/>
              <w:rPr>
                <w:snapToGrid w:val="0"/>
                <w:color w:val="auto"/>
                <w:highlight w:val="none"/>
                <w:u w:val="none"/>
              </w:rPr>
            </w:pPr>
            <w:r>
              <w:rPr>
                <w:snapToGrid w:val="0"/>
                <w:color w:val="auto"/>
                <w:highlight w:val="none"/>
                <w:u w:val="none"/>
              </w:rPr>
              <w:t>连续</w:t>
            </w:r>
          </w:p>
        </w:tc>
      </w:tr>
      <w:tr w14:paraId="4B6F1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0" w:type="pct"/>
            <w:vAlign w:val="center"/>
          </w:tcPr>
          <w:p w14:paraId="7DE7F9D9">
            <w:pPr>
              <w:pStyle w:val="92"/>
              <w:rPr>
                <w:snapToGrid w:val="0"/>
                <w:color w:val="auto"/>
                <w:highlight w:val="none"/>
                <w:u w:val="none"/>
              </w:rPr>
            </w:pPr>
            <w:r>
              <w:rPr>
                <w:rFonts w:hint="eastAsia"/>
                <w:snapToGrid w:val="0"/>
                <w:color w:val="auto"/>
                <w:highlight w:val="none"/>
                <w:u w:val="none"/>
              </w:rPr>
              <w:t>9</w:t>
            </w:r>
          </w:p>
        </w:tc>
        <w:tc>
          <w:tcPr>
            <w:tcW w:w="478" w:type="pct"/>
            <w:vAlign w:val="center"/>
          </w:tcPr>
          <w:p w14:paraId="4768FF34">
            <w:pPr>
              <w:pStyle w:val="92"/>
              <w:rPr>
                <w:snapToGrid w:val="0"/>
                <w:color w:val="auto"/>
                <w:highlight w:val="none"/>
                <w:u w:val="none"/>
              </w:rPr>
            </w:pPr>
            <w:r>
              <w:rPr>
                <w:color w:val="auto"/>
                <w:highlight w:val="none"/>
                <w:u w:val="none"/>
              </w:rPr>
              <w:t>机组</w:t>
            </w:r>
          </w:p>
        </w:tc>
        <w:tc>
          <w:tcPr>
            <w:tcW w:w="1072" w:type="pct"/>
            <w:vAlign w:val="center"/>
          </w:tcPr>
          <w:p w14:paraId="22135405">
            <w:pPr>
              <w:pStyle w:val="92"/>
              <w:rPr>
                <w:snapToGrid w:val="0"/>
                <w:color w:val="auto"/>
                <w:highlight w:val="none"/>
                <w:u w:val="none"/>
              </w:rPr>
            </w:pPr>
            <w:r>
              <w:rPr>
                <w:rFonts w:hint="eastAsia"/>
                <w:snapToGrid w:val="0"/>
                <w:color w:val="auto"/>
                <w:highlight w:val="none"/>
                <w:u w:val="none"/>
              </w:rPr>
              <w:t>隔声、</w:t>
            </w:r>
            <w:r>
              <w:rPr>
                <w:snapToGrid w:val="0"/>
                <w:color w:val="auto"/>
                <w:highlight w:val="none"/>
                <w:u w:val="none"/>
              </w:rPr>
              <w:t>减振</w:t>
            </w:r>
            <w:r>
              <w:rPr>
                <w:rFonts w:hint="eastAsia"/>
                <w:snapToGrid w:val="0"/>
                <w:color w:val="auto"/>
                <w:highlight w:val="none"/>
                <w:u w:val="none"/>
              </w:rPr>
              <w:t>、消声</w:t>
            </w:r>
          </w:p>
        </w:tc>
        <w:tc>
          <w:tcPr>
            <w:tcW w:w="478" w:type="pct"/>
            <w:vAlign w:val="center"/>
          </w:tcPr>
          <w:p w14:paraId="5A8B0D65">
            <w:pPr>
              <w:pStyle w:val="92"/>
              <w:rPr>
                <w:snapToGrid w:val="0"/>
                <w:color w:val="auto"/>
                <w:highlight w:val="none"/>
                <w:u w:val="none"/>
              </w:rPr>
            </w:pPr>
            <w:r>
              <w:rPr>
                <w:rFonts w:hint="eastAsia"/>
                <w:color w:val="auto"/>
                <w:highlight w:val="none"/>
                <w:u w:val="none"/>
              </w:rPr>
              <w:t>46</w:t>
            </w:r>
          </w:p>
        </w:tc>
        <w:tc>
          <w:tcPr>
            <w:tcW w:w="584" w:type="pct"/>
            <w:vAlign w:val="center"/>
          </w:tcPr>
          <w:p w14:paraId="238DC3C5">
            <w:pPr>
              <w:pStyle w:val="92"/>
              <w:rPr>
                <w:snapToGrid w:val="0"/>
                <w:color w:val="auto"/>
                <w:highlight w:val="none"/>
                <w:u w:val="none"/>
              </w:rPr>
            </w:pPr>
            <w:r>
              <w:rPr>
                <w:rFonts w:hint="eastAsia"/>
                <w:snapToGrid w:val="0"/>
                <w:color w:val="auto"/>
                <w:highlight w:val="none"/>
                <w:u w:val="none"/>
              </w:rPr>
              <w:t>8</w:t>
            </w:r>
            <w:r>
              <w:rPr>
                <w:snapToGrid w:val="0"/>
                <w:color w:val="auto"/>
                <w:highlight w:val="none"/>
                <w:u w:val="none"/>
              </w:rPr>
              <w:t>0~90</w:t>
            </w:r>
          </w:p>
        </w:tc>
        <w:tc>
          <w:tcPr>
            <w:tcW w:w="834" w:type="pct"/>
          </w:tcPr>
          <w:p w14:paraId="109C1B82">
            <w:pPr>
              <w:pStyle w:val="92"/>
              <w:rPr>
                <w:color w:val="auto"/>
                <w:kern w:val="0"/>
                <w:highlight w:val="none"/>
                <w:u w:val="none"/>
                <w:lang w:val="zh-CN"/>
              </w:rPr>
            </w:pPr>
            <w:r>
              <w:rPr>
                <w:rFonts w:hint="eastAsia"/>
                <w:color w:val="auto"/>
                <w:kern w:val="0"/>
                <w:highlight w:val="none"/>
                <w:u w:val="none"/>
                <w:lang w:val="zh-CN"/>
              </w:rPr>
              <w:t>7</w:t>
            </w:r>
            <w:r>
              <w:rPr>
                <w:color w:val="auto"/>
                <w:kern w:val="0"/>
                <w:highlight w:val="none"/>
                <w:u w:val="none"/>
                <w:lang w:val="zh-CN"/>
              </w:rPr>
              <w:t>0~80</w:t>
            </w:r>
          </w:p>
        </w:tc>
        <w:tc>
          <w:tcPr>
            <w:tcW w:w="834" w:type="pct"/>
            <w:vAlign w:val="center"/>
          </w:tcPr>
          <w:p w14:paraId="4FD813E1">
            <w:pPr>
              <w:pStyle w:val="92"/>
              <w:rPr>
                <w:snapToGrid w:val="0"/>
                <w:color w:val="auto"/>
                <w:highlight w:val="none"/>
                <w:u w:val="none"/>
              </w:rPr>
            </w:pPr>
            <w:r>
              <w:rPr>
                <w:color w:val="auto"/>
                <w:kern w:val="0"/>
                <w:highlight w:val="none"/>
                <w:u w:val="none"/>
                <w:lang w:val="zh-CN"/>
              </w:rPr>
              <w:t>空气动力噪声</w:t>
            </w:r>
          </w:p>
        </w:tc>
        <w:tc>
          <w:tcPr>
            <w:tcW w:w="360" w:type="pct"/>
            <w:vAlign w:val="center"/>
          </w:tcPr>
          <w:p w14:paraId="2F7F8DC9">
            <w:pPr>
              <w:pStyle w:val="92"/>
              <w:rPr>
                <w:snapToGrid w:val="0"/>
                <w:color w:val="auto"/>
                <w:highlight w:val="none"/>
                <w:u w:val="none"/>
              </w:rPr>
            </w:pPr>
            <w:r>
              <w:rPr>
                <w:snapToGrid w:val="0"/>
                <w:color w:val="auto"/>
                <w:highlight w:val="none"/>
                <w:u w:val="none"/>
              </w:rPr>
              <w:t>连续</w:t>
            </w:r>
          </w:p>
        </w:tc>
      </w:tr>
      <w:tr w14:paraId="27B95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0" w:type="pct"/>
            <w:gridSpan w:val="3"/>
            <w:vAlign w:val="center"/>
          </w:tcPr>
          <w:p w14:paraId="7F328C22">
            <w:pPr>
              <w:pStyle w:val="92"/>
              <w:rPr>
                <w:snapToGrid w:val="0"/>
                <w:color w:val="auto"/>
                <w:highlight w:val="none"/>
                <w:u w:val="none"/>
              </w:rPr>
            </w:pPr>
            <w:r>
              <w:rPr>
                <w:rFonts w:hint="eastAsia"/>
                <w:color w:val="auto"/>
                <w:highlight w:val="none"/>
                <w:u w:val="none"/>
              </w:rPr>
              <w:t>小计</w:t>
            </w:r>
          </w:p>
        </w:tc>
        <w:tc>
          <w:tcPr>
            <w:tcW w:w="478" w:type="pct"/>
            <w:vAlign w:val="center"/>
          </w:tcPr>
          <w:p w14:paraId="5136DFDF">
            <w:pPr>
              <w:pStyle w:val="92"/>
              <w:rPr>
                <w:snapToGrid w:val="0"/>
                <w:color w:val="auto"/>
                <w:highlight w:val="none"/>
                <w:u w:val="none"/>
              </w:rPr>
            </w:pPr>
            <w:r>
              <w:rPr>
                <w:rFonts w:hint="eastAsia"/>
                <w:color w:val="auto"/>
                <w:highlight w:val="none"/>
                <w:u w:val="none"/>
              </w:rPr>
              <w:t>219</w:t>
            </w:r>
          </w:p>
        </w:tc>
        <w:tc>
          <w:tcPr>
            <w:tcW w:w="584" w:type="pct"/>
            <w:vAlign w:val="center"/>
          </w:tcPr>
          <w:p w14:paraId="41376107">
            <w:pPr>
              <w:pStyle w:val="92"/>
              <w:rPr>
                <w:snapToGrid w:val="0"/>
                <w:color w:val="auto"/>
                <w:highlight w:val="none"/>
                <w:u w:val="none"/>
              </w:rPr>
            </w:pPr>
            <w:r>
              <w:rPr>
                <w:snapToGrid w:val="0"/>
                <w:color w:val="auto"/>
                <w:highlight w:val="none"/>
                <w:u w:val="none"/>
              </w:rPr>
              <w:t>/</w:t>
            </w:r>
          </w:p>
        </w:tc>
        <w:tc>
          <w:tcPr>
            <w:tcW w:w="834" w:type="pct"/>
          </w:tcPr>
          <w:p w14:paraId="04921C6B">
            <w:pPr>
              <w:pStyle w:val="92"/>
              <w:rPr>
                <w:snapToGrid w:val="0"/>
                <w:color w:val="auto"/>
                <w:highlight w:val="none"/>
                <w:u w:val="none"/>
              </w:rPr>
            </w:pPr>
            <w:r>
              <w:rPr>
                <w:rFonts w:hint="eastAsia"/>
                <w:snapToGrid w:val="0"/>
                <w:color w:val="auto"/>
                <w:highlight w:val="none"/>
                <w:u w:val="none"/>
              </w:rPr>
              <w:t>/</w:t>
            </w:r>
          </w:p>
        </w:tc>
        <w:tc>
          <w:tcPr>
            <w:tcW w:w="834" w:type="pct"/>
            <w:vAlign w:val="center"/>
          </w:tcPr>
          <w:p w14:paraId="7458E44C">
            <w:pPr>
              <w:pStyle w:val="92"/>
              <w:rPr>
                <w:snapToGrid w:val="0"/>
                <w:color w:val="auto"/>
                <w:highlight w:val="none"/>
                <w:u w:val="none"/>
              </w:rPr>
            </w:pPr>
            <w:r>
              <w:rPr>
                <w:rFonts w:hint="eastAsia"/>
                <w:snapToGrid w:val="0"/>
                <w:color w:val="auto"/>
                <w:highlight w:val="none"/>
                <w:u w:val="none"/>
              </w:rPr>
              <w:t>/</w:t>
            </w:r>
          </w:p>
        </w:tc>
        <w:tc>
          <w:tcPr>
            <w:tcW w:w="360" w:type="pct"/>
            <w:vAlign w:val="center"/>
          </w:tcPr>
          <w:p w14:paraId="113B36FE">
            <w:pPr>
              <w:pStyle w:val="92"/>
              <w:rPr>
                <w:snapToGrid w:val="0"/>
                <w:color w:val="auto"/>
                <w:highlight w:val="none"/>
                <w:u w:val="none"/>
              </w:rPr>
            </w:pPr>
            <w:r>
              <w:rPr>
                <w:rFonts w:hint="eastAsia"/>
                <w:snapToGrid w:val="0"/>
                <w:color w:val="auto"/>
                <w:highlight w:val="none"/>
                <w:u w:val="none"/>
              </w:rPr>
              <w:t>/</w:t>
            </w:r>
          </w:p>
        </w:tc>
      </w:tr>
    </w:tbl>
    <w:p w14:paraId="0CB16264">
      <w:pPr>
        <w:rPr>
          <w:rFonts w:hint="eastAsia"/>
          <w:color w:val="auto"/>
          <w:highlight w:val="none"/>
          <w:u w:val="none"/>
        </w:rPr>
      </w:pPr>
      <w:r>
        <w:rPr>
          <w:rFonts w:hint="eastAsia"/>
          <w:color w:val="auto"/>
          <w:highlight w:val="none"/>
          <w:u w:val="none"/>
        </w:rPr>
        <w:t>此外，</w:t>
      </w:r>
      <w:r>
        <w:rPr>
          <w:color w:val="auto"/>
          <w:highlight w:val="none"/>
          <w:u w:val="none"/>
        </w:rPr>
        <w:t>本项目产品及原辅材料采用大型货车进行运输，运输过程</w:t>
      </w:r>
      <w:r>
        <w:rPr>
          <w:rFonts w:hint="eastAsia"/>
          <w:color w:val="auto"/>
          <w:highlight w:val="none"/>
          <w:u w:val="none"/>
        </w:rPr>
        <w:t>会</w:t>
      </w:r>
      <w:r>
        <w:rPr>
          <w:color w:val="auto"/>
          <w:highlight w:val="none"/>
          <w:u w:val="none"/>
        </w:rPr>
        <w:t>产生交通噪声。</w:t>
      </w:r>
    </w:p>
    <w:p w14:paraId="0C186070">
      <w:pPr>
        <w:pStyle w:val="6"/>
        <w:spacing w:before="156" w:after="156"/>
        <w:rPr>
          <w:color w:val="auto"/>
          <w:highlight w:val="none"/>
          <w:u w:val="none"/>
        </w:rPr>
      </w:pPr>
      <w:bookmarkStart w:id="366" w:name="_Toc148374562"/>
      <w:bookmarkStart w:id="367" w:name="_Toc148375004"/>
      <w:r>
        <w:rPr>
          <w:color w:val="auto"/>
          <w:highlight w:val="none"/>
          <w:u w:val="none"/>
        </w:rPr>
        <w:t>固体废物</w:t>
      </w:r>
      <w:bookmarkEnd w:id="366"/>
      <w:bookmarkEnd w:id="367"/>
    </w:p>
    <w:p w14:paraId="1E384E74">
      <w:pPr>
        <w:pStyle w:val="7"/>
        <w:spacing w:before="156"/>
        <w:rPr>
          <w:color w:val="auto"/>
          <w:highlight w:val="none"/>
          <w:u w:val="none"/>
        </w:rPr>
      </w:pPr>
      <w:r>
        <w:rPr>
          <w:rFonts w:hint="eastAsia"/>
          <w:color w:val="auto"/>
          <w:highlight w:val="none"/>
          <w:u w:val="none"/>
        </w:rPr>
        <w:t>固废产生情况</w:t>
      </w:r>
    </w:p>
    <w:p w14:paraId="71268098">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次技改扩能后TDI一期</w:t>
      </w:r>
      <w:r>
        <w:rPr>
          <w:rFonts w:hint="eastAsia"/>
          <w:color w:val="auto"/>
          <w:highlight w:val="none"/>
          <w:u w:val="none"/>
        </w:rPr>
        <w:t>固体废物包括生产过程产生的废DNT、轻油、废催化剂、</w:t>
      </w:r>
      <w:r>
        <w:rPr>
          <w:color w:val="auto"/>
          <w:highlight w:val="none"/>
          <w:u w:val="none"/>
        </w:rPr>
        <w:t>焦油颗粒、废活性炭、TDI废液、</w:t>
      </w:r>
      <w:r>
        <w:rPr>
          <w:rFonts w:hint="eastAsia"/>
          <w:color w:val="auto"/>
          <w:highlight w:val="none"/>
          <w:u w:val="none"/>
        </w:rPr>
        <w:t>TDA精馏残渣、TDI精馏残渣、</w:t>
      </w:r>
      <w:r>
        <w:rPr>
          <w:color w:val="auto"/>
          <w:highlight w:val="none"/>
          <w:u w:val="none"/>
        </w:rPr>
        <w:t>废包装材料、机修废油、废导热油、</w:t>
      </w:r>
      <w:r>
        <w:rPr>
          <w:rFonts w:hint="eastAsia"/>
          <w:color w:val="auto"/>
          <w:highlight w:val="none"/>
          <w:u w:val="none"/>
        </w:rPr>
        <w:t>废氮封油、</w:t>
      </w:r>
      <w:r>
        <w:rPr>
          <w:color w:val="auto"/>
          <w:highlight w:val="none"/>
          <w:u w:val="none"/>
        </w:rPr>
        <w:t>废劳保</w:t>
      </w:r>
      <w:r>
        <w:rPr>
          <w:rFonts w:hint="eastAsia"/>
          <w:color w:val="auto"/>
          <w:highlight w:val="none"/>
          <w:u w:val="none"/>
        </w:rPr>
        <w:t>用品、</w:t>
      </w:r>
      <w:r>
        <w:rPr>
          <w:color w:val="auto"/>
          <w:highlight w:val="none"/>
          <w:u w:val="none"/>
        </w:rPr>
        <w:t>废抹布等危险废物，以及生活办</w:t>
      </w:r>
      <w:r>
        <w:rPr>
          <w:rFonts w:hint="eastAsia"/>
          <w:color w:val="auto"/>
          <w:highlight w:val="none"/>
          <w:u w:val="none"/>
        </w:rPr>
        <w:t>公产生的生活垃圾。</w:t>
      </w:r>
    </w:p>
    <w:p w14:paraId="6D2039DB">
      <w:pPr>
        <w:rPr>
          <w:rFonts w:hint="eastAsia"/>
          <w:color w:val="auto"/>
          <w:highlight w:val="none"/>
          <w:u w:val="none"/>
        </w:rPr>
      </w:pPr>
      <w:r>
        <w:rPr>
          <w:rFonts w:hint="eastAsia"/>
          <w:color w:val="auto"/>
          <w:highlight w:val="none"/>
          <w:u w:val="none"/>
        </w:rPr>
        <w:t>本项目固体废物产生情况见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_Ref146574909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5.8</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7</w:t>
      </w:r>
      <w:r>
        <w:rPr>
          <w:color w:val="auto"/>
          <w:highlight w:val="none"/>
          <w:u w:val="none"/>
        </w:rPr>
        <w:fldChar w:fldCharType="end"/>
      </w:r>
      <w:r>
        <w:rPr>
          <w:color w:val="auto"/>
          <w:highlight w:val="none"/>
          <w:u w:val="none"/>
        </w:rPr>
        <w:t>，固体废物的产生量约</w:t>
      </w:r>
      <w:r>
        <w:rPr>
          <w:rFonts w:hint="eastAsia"/>
          <w:color w:val="auto"/>
          <w:highlight w:val="none"/>
          <w:u w:val="none"/>
        </w:rPr>
        <w:t>2691</w:t>
      </w:r>
      <w:r>
        <w:rPr>
          <w:rFonts w:hint="eastAsia"/>
          <w:color w:val="auto"/>
          <w:highlight w:val="none"/>
          <w:u w:val="none"/>
          <w:lang w:val="en-US" w:eastAsia="zh-CN"/>
        </w:rPr>
        <w:t>5</w:t>
      </w:r>
      <w:r>
        <w:rPr>
          <w:color w:val="auto"/>
          <w:highlight w:val="none"/>
          <w:u w:val="none"/>
        </w:rPr>
        <w:t>t/a，</w:t>
      </w:r>
      <w:r>
        <w:rPr>
          <w:rFonts w:hint="eastAsia"/>
          <w:color w:val="auto"/>
          <w:highlight w:val="none"/>
          <w:u w:val="none"/>
        </w:rPr>
        <w:t>均为危废废物</w:t>
      </w:r>
      <w:r>
        <w:rPr>
          <w:color w:val="auto"/>
          <w:highlight w:val="none"/>
          <w:u w:val="none"/>
        </w:rPr>
        <w:t>，生活垃圾产生量为15.3t/a。</w:t>
      </w:r>
    </w:p>
    <w:p w14:paraId="08588378">
      <w:pPr>
        <w:rPr>
          <w:rFonts w:hint="eastAsia"/>
          <w:color w:val="auto"/>
          <w:highlight w:val="none"/>
          <w:u w:val="none"/>
        </w:rPr>
      </w:pPr>
    </w:p>
    <w:p w14:paraId="46B83E47">
      <w:pPr>
        <w:rPr>
          <w:rFonts w:hint="eastAsia"/>
          <w:color w:val="auto"/>
          <w:highlight w:val="none"/>
          <w:u w:val="none"/>
        </w:rPr>
      </w:pPr>
    </w:p>
    <w:p w14:paraId="2539FFAA">
      <w:pPr>
        <w:pStyle w:val="85"/>
        <w:rPr>
          <w:color w:val="auto"/>
          <w:highlight w:val="none"/>
          <w:u w:val="none"/>
        </w:rPr>
      </w:pPr>
      <w:bookmarkStart w:id="368" w:name="_Ref146574909"/>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7</w:t>
      </w:r>
      <w:r>
        <w:rPr>
          <w:color w:val="auto"/>
          <w:highlight w:val="none"/>
          <w:u w:val="none"/>
        </w:rPr>
        <w:fldChar w:fldCharType="end"/>
      </w:r>
      <w:bookmarkEnd w:id="368"/>
      <w:r>
        <w:rPr>
          <w:color w:val="auto"/>
          <w:highlight w:val="none"/>
          <w:u w:val="none"/>
        </w:rPr>
        <w:t xml:space="preserve">  </w:t>
      </w:r>
      <w:r>
        <w:rPr>
          <w:rFonts w:hint="eastAsia"/>
          <w:color w:val="auto"/>
          <w:highlight w:val="none"/>
          <w:u w:val="none"/>
        </w:rPr>
        <w:t>本次技改扩能后项目固体废物产生情况一览表</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97"/>
        <w:gridCol w:w="1857"/>
        <w:gridCol w:w="1625"/>
        <w:gridCol w:w="1625"/>
        <w:gridCol w:w="2782"/>
      </w:tblGrid>
      <w:tr w14:paraId="0AE4BA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shd w:val="clear" w:color="auto" w:fill="auto"/>
            <w:vAlign w:val="center"/>
          </w:tcPr>
          <w:p w14:paraId="3D11D661">
            <w:pPr>
              <w:pStyle w:val="92"/>
              <w:rPr>
                <w:color w:val="auto"/>
                <w:highlight w:val="none"/>
                <w:u w:val="none"/>
              </w:rPr>
            </w:pPr>
            <w:r>
              <w:rPr>
                <w:color w:val="auto"/>
                <w:highlight w:val="none"/>
                <w:u w:val="none"/>
              </w:rPr>
              <w:t>固废类别</w:t>
            </w:r>
          </w:p>
        </w:tc>
        <w:tc>
          <w:tcPr>
            <w:tcW w:w="1000" w:type="pct"/>
            <w:shd w:val="clear" w:color="auto" w:fill="auto"/>
            <w:vAlign w:val="center"/>
          </w:tcPr>
          <w:p w14:paraId="705A14DD">
            <w:pPr>
              <w:pStyle w:val="92"/>
              <w:rPr>
                <w:color w:val="auto"/>
                <w:highlight w:val="none"/>
                <w:u w:val="none"/>
              </w:rPr>
            </w:pPr>
            <w:r>
              <w:rPr>
                <w:color w:val="auto"/>
                <w:highlight w:val="none"/>
                <w:u w:val="none"/>
              </w:rPr>
              <w:t>固废名称</w:t>
            </w:r>
          </w:p>
        </w:tc>
        <w:tc>
          <w:tcPr>
            <w:tcW w:w="875" w:type="pct"/>
            <w:shd w:val="clear" w:color="auto" w:fill="auto"/>
            <w:vAlign w:val="center"/>
          </w:tcPr>
          <w:p w14:paraId="4ADF4304">
            <w:pPr>
              <w:pStyle w:val="92"/>
              <w:rPr>
                <w:color w:val="auto"/>
                <w:highlight w:val="none"/>
                <w:u w:val="none"/>
              </w:rPr>
            </w:pPr>
            <w:r>
              <w:rPr>
                <w:color w:val="auto"/>
                <w:highlight w:val="none"/>
                <w:u w:val="none"/>
              </w:rPr>
              <w:t>产生量（t/a）</w:t>
            </w:r>
          </w:p>
        </w:tc>
        <w:tc>
          <w:tcPr>
            <w:tcW w:w="875" w:type="pct"/>
            <w:vAlign w:val="center"/>
          </w:tcPr>
          <w:p w14:paraId="721ADD79">
            <w:pPr>
              <w:pStyle w:val="92"/>
              <w:rPr>
                <w:color w:val="auto"/>
                <w:highlight w:val="none"/>
                <w:u w:val="none"/>
              </w:rPr>
            </w:pPr>
            <w:r>
              <w:rPr>
                <w:color w:val="auto"/>
                <w:highlight w:val="none"/>
                <w:u w:val="none"/>
              </w:rPr>
              <w:t>危废代码</w:t>
            </w:r>
            <w:r>
              <w:rPr>
                <w:rFonts w:hint="eastAsia"/>
                <w:color w:val="auto"/>
                <w:highlight w:val="none"/>
                <w:u w:val="none"/>
              </w:rPr>
              <w:t>/</w:t>
            </w:r>
          </w:p>
          <w:p w14:paraId="0BAF4FD0">
            <w:pPr>
              <w:pStyle w:val="92"/>
              <w:rPr>
                <w:color w:val="auto"/>
                <w:highlight w:val="none"/>
                <w:u w:val="none"/>
              </w:rPr>
            </w:pPr>
            <w:r>
              <w:rPr>
                <w:rFonts w:hint="eastAsia"/>
                <w:color w:val="auto"/>
                <w:highlight w:val="none"/>
                <w:u w:val="none"/>
              </w:rPr>
              <w:t>固废代码</w:t>
            </w:r>
          </w:p>
        </w:tc>
        <w:tc>
          <w:tcPr>
            <w:tcW w:w="1498" w:type="pct"/>
            <w:shd w:val="clear" w:color="auto" w:fill="auto"/>
            <w:vAlign w:val="center"/>
          </w:tcPr>
          <w:p w14:paraId="5F95A4EB">
            <w:pPr>
              <w:pStyle w:val="92"/>
              <w:rPr>
                <w:color w:val="auto"/>
                <w:highlight w:val="none"/>
                <w:u w:val="none"/>
              </w:rPr>
            </w:pPr>
            <w:r>
              <w:rPr>
                <w:color w:val="auto"/>
                <w:highlight w:val="none"/>
                <w:u w:val="none"/>
              </w:rPr>
              <w:t>去向</w:t>
            </w:r>
          </w:p>
        </w:tc>
      </w:tr>
      <w:tr w14:paraId="354041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restart"/>
            <w:shd w:val="clear" w:color="auto" w:fill="auto"/>
            <w:vAlign w:val="center"/>
          </w:tcPr>
          <w:p w14:paraId="03DBD52D">
            <w:pPr>
              <w:pStyle w:val="92"/>
              <w:rPr>
                <w:color w:val="auto"/>
                <w:highlight w:val="none"/>
                <w:u w:val="none"/>
              </w:rPr>
            </w:pPr>
            <w:r>
              <w:rPr>
                <w:color w:val="auto"/>
                <w:highlight w:val="none"/>
                <w:u w:val="none"/>
              </w:rPr>
              <w:t>危险废物</w:t>
            </w:r>
          </w:p>
        </w:tc>
        <w:tc>
          <w:tcPr>
            <w:tcW w:w="1000" w:type="pct"/>
            <w:shd w:val="clear" w:color="auto" w:fill="auto"/>
            <w:vAlign w:val="center"/>
          </w:tcPr>
          <w:p w14:paraId="238DD8E5">
            <w:pPr>
              <w:pStyle w:val="92"/>
              <w:rPr>
                <w:color w:val="auto"/>
                <w:highlight w:val="none"/>
                <w:u w:val="none"/>
              </w:rPr>
            </w:pPr>
            <w:r>
              <w:rPr>
                <w:rFonts w:hint="eastAsia"/>
                <w:color w:val="auto"/>
                <w:highlight w:val="none"/>
                <w:u w:val="none"/>
              </w:rPr>
              <w:t>废DNT</w:t>
            </w:r>
          </w:p>
        </w:tc>
        <w:tc>
          <w:tcPr>
            <w:tcW w:w="875" w:type="pct"/>
            <w:shd w:val="clear" w:color="auto" w:fill="auto"/>
            <w:vAlign w:val="center"/>
          </w:tcPr>
          <w:p w14:paraId="13C68FDA">
            <w:pPr>
              <w:pStyle w:val="92"/>
              <w:rPr>
                <w:color w:val="auto"/>
                <w:highlight w:val="none"/>
                <w:u w:val="none"/>
              </w:rPr>
            </w:pPr>
            <w:r>
              <w:rPr>
                <w:rFonts w:hint="eastAsia"/>
                <w:color w:val="auto"/>
                <w:highlight w:val="none"/>
                <w:u w:val="none"/>
              </w:rPr>
              <w:t>2</w:t>
            </w:r>
          </w:p>
        </w:tc>
        <w:tc>
          <w:tcPr>
            <w:tcW w:w="875" w:type="pct"/>
            <w:tcBorders>
              <w:bottom w:val="single" w:color="auto" w:sz="4" w:space="0"/>
            </w:tcBorders>
            <w:vAlign w:val="center"/>
          </w:tcPr>
          <w:p w14:paraId="43895CB0">
            <w:pPr>
              <w:pStyle w:val="92"/>
              <w:rPr>
                <w:color w:val="auto"/>
                <w:highlight w:val="none"/>
                <w:u w:val="none"/>
              </w:rPr>
            </w:pPr>
            <w:r>
              <w:rPr>
                <w:rFonts w:hint="eastAsia"/>
                <w:color w:val="auto"/>
                <w:highlight w:val="none"/>
                <w:u w:val="none"/>
              </w:rPr>
              <w:t>900-999-49</w:t>
            </w:r>
          </w:p>
        </w:tc>
        <w:tc>
          <w:tcPr>
            <w:tcW w:w="1498" w:type="pct"/>
            <w:vMerge w:val="restart"/>
            <w:shd w:val="clear" w:color="auto" w:fill="auto"/>
            <w:vAlign w:val="center"/>
          </w:tcPr>
          <w:p w14:paraId="07B59226">
            <w:pPr>
              <w:pStyle w:val="92"/>
              <w:rPr>
                <w:color w:val="auto"/>
                <w:highlight w:val="none"/>
                <w:u w:val="none"/>
              </w:rPr>
            </w:pPr>
            <w:r>
              <w:rPr>
                <w:color w:val="auto"/>
                <w:highlight w:val="none"/>
                <w:u w:val="none"/>
              </w:rPr>
              <w:t>委托有危险废物</w:t>
            </w:r>
            <w:r>
              <w:rPr>
                <w:rFonts w:hint="eastAsia"/>
                <w:color w:val="auto"/>
                <w:highlight w:val="none"/>
                <w:u w:val="none"/>
              </w:rPr>
              <w:t>处置</w:t>
            </w:r>
          </w:p>
          <w:p w14:paraId="5BB476D9">
            <w:pPr>
              <w:pStyle w:val="92"/>
              <w:rPr>
                <w:color w:val="auto"/>
                <w:highlight w:val="none"/>
                <w:u w:val="none"/>
              </w:rPr>
            </w:pPr>
            <w:r>
              <w:rPr>
                <w:color w:val="auto"/>
                <w:highlight w:val="none"/>
                <w:u w:val="none"/>
              </w:rPr>
              <w:t>资质的单位处理</w:t>
            </w:r>
          </w:p>
        </w:tc>
      </w:tr>
      <w:tr w14:paraId="48D69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D27DB5C">
            <w:pPr>
              <w:pStyle w:val="92"/>
              <w:rPr>
                <w:color w:val="auto"/>
                <w:highlight w:val="none"/>
                <w:u w:val="none"/>
              </w:rPr>
            </w:pPr>
          </w:p>
        </w:tc>
        <w:tc>
          <w:tcPr>
            <w:tcW w:w="1000" w:type="pct"/>
            <w:shd w:val="clear" w:color="auto" w:fill="auto"/>
            <w:vAlign w:val="center"/>
          </w:tcPr>
          <w:p w14:paraId="7D174C7B">
            <w:pPr>
              <w:pStyle w:val="92"/>
              <w:rPr>
                <w:color w:val="auto"/>
                <w:highlight w:val="none"/>
                <w:u w:val="none"/>
              </w:rPr>
            </w:pPr>
            <w:r>
              <w:rPr>
                <w:rFonts w:hint="eastAsia"/>
                <w:color w:val="auto"/>
                <w:highlight w:val="none"/>
                <w:u w:val="none"/>
              </w:rPr>
              <w:t>废催化剂</w:t>
            </w:r>
          </w:p>
        </w:tc>
        <w:tc>
          <w:tcPr>
            <w:tcW w:w="875" w:type="pct"/>
            <w:shd w:val="clear" w:color="auto" w:fill="auto"/>
            <w:vAlign w:val="center"/>
          </w:tcPr>
          <w:p w14:paraId="01DE18D4">
            <w:pPr>
              <w:pStyle w:val="92"/>
              <w:rPr>
                <w:color w:val="auto"/>
                <w:highlight w:val="none"/>
                <w:u w:val="none"/>
              </w:rPr>
            </w:pPr>
            <w:r>
              <w:rPr>
                <w:rFonts w:hint="eastAsia" w:eastAsia="等线"/>
                <w:color w:val="auto"/>
                <w:highlight w:val="none"/>
                <w:u w:val="none"/>
              </w:rPr>
              <w:t>118</w:t>
            </w:r>
          </w:p>
        </w:tc>
        <w:tc>
          <w:tcPr>
            <w:tcW w:w="875" w:type="pct"/>
            <w:tcBorders>
              <w:bottom w:val="single" w:color="auto" w:sz="4" w:space="0"/>
            </w:tcBorders>
            <w:vAlign w:val="center"/>
          </w:tcPr>
          <w:p w14:paraId="406B2028">
            <w:pPr>
              <w:pStyle w:val="92"/>
              <w:rPr>
                <w:snapToGrid w:val="0"/>
                <w:color w:val="auto"/>
                <w:highlight w:val="none"/>
                <w:u w:val="none"/>
              </w:rPr>
            </w:pPr>
            <w:r>
              <w:rPr>
                <w:rFonts w:hint="eastAsia"/>
                <w:color w:val="auto"/>
                <w:highlight w:val="none"/>
                <w:u w:val="none"/>
              </w:rPr>
              <w:t>900-037-46</w:t>
            </w:r>
          </w:p>
        </w:tc>
        <w:tc>
          <w:tcPr>
            <w:tcW w:w="1498" w:type="pct"/>
            <w:vMerge w:val="continue"/>
            <w:shd w:val="clear" w:color="auto" w:fill="auto"/>
            <w:vAlign w:val="center"/>
          </w:tcPr>
          <w:p w14:paraId="68BD7FA3">
            <w:pPr>
              <w:pStyle w:val="92"/>
              <w:rPr>
                <w:color w:val="auto"/>
                <w:highlight w:val="none"/>
                <w:u w:val="none"/>
              </w:rPr>
            </w:pPr>
          </w:p>
        </w:tc>
      </w:tr>
      <w:tr w14:paraId="5AF912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A77CA27">
            <w:pPr>
              <w:pStyle w:val="92"/>
              <w:rPr>
                <w:color w:val="auto"/>
                <w:highlight w:val="none"/>
                <w:u w:val="none"/>
              </w:rPr>
            </w:pPr>
          </w:p>
        </w:tc>
        <w:tc>
          <w:tcPr>
            <w:tcW w:w="1000" w:type="pct"/>
            <w:shd w:val="clear" w:color="auto" w:fill="auto"/>
            <w:vAlign w:val="center"/>
          </w:tcPr>
          <w:p w14:paraId="10932D90">
            <w:pPr>
              <w:pStyle w:val="92"/>
              <w:rPr>
                <w:color w:val="auto"/>
                <w:highlight w:val="none"/>
                <w:u w:val="none"/>
              </w:rPr>
            </w:pPr>
            <w:r>
              <w:rPr>
                <w:rFonts w:hint="eastAsia"/>
                <w:color w:val="auto"/>
                <w:highlight w:val="none"/>
                <w:u w:val="none"/>
              </w:rPr>
              <w:t>TDA精馏残渣</w:t>
            </w:r>
          </w:p>
        </w:tc>
        <w:tc>
          <w:tcPr>
            <w:tcW w:w="875" w:type="pct"/>
            <w:shd w:val="clear" w:color="auto" w:fill="auto"/>
            <w:vAlign w:val="center"/>
          </w:tcPr>
          <w:p w14:paraId="7947964C">
            <w:pPr>
              <w:pStyle w:val="92"/>
              <w:rPr>
                <w:color w:val="auto"/>
                <w:highlight w:val="none"/>
                <w:u w:val="none"/>
              </w:rPr>
            </w:pPr>
            <w:r>
              <w:rPr>
                <w:rFonts w:hint="eastAsia"/>
                <w:color w:val="auto"/>
                <w:highlight w:val="none"/>
                <w:u w:val="none"/>
              </w:rPr>
              <w:t>17</w:t>
            </w:r>
          </w:p>
        </w:tc>
        <w:tc>
          <w:tcPr>
            <w:tcW w:w="875" w:type="pct"/>
            <w:tcBorders>
              <w:bottom w:val="single" w:color="auto" w:sz="4" w:space="0"/>
            </w:tcBorders>
            <w:vAlign w:val="center"/>
          </w:tcPr>
          <w:p w14:paraId="4A5DC929">
            <w:pPr>
              <w:pStyle w:val="92"/>
              <w:rPr>
                <w:snapToGrid w:val="0"/>
                <w:color w:val="auto"/>
                <w:highlight w:val="none"/>
                <w:u w:val="none"/>
              </w:rPr>
            </w:pPr>
            <w:r>
              <w:rPr>
                <w:rFonts w:hint="eastAsia"/>
                <w:color w:val="auto"/>
                <w:highlight w:val="none"/>
                <w:u w:val="none"/>
              </w:rPr>
              <w:t>261-023-11</w:t>
            </w:r>
          </w:p>
        </w:tc>
        <w:tc>
          <w:tcPr>
            <w:tcW w:w="1498" w:type="pct"/>
            <w:vMerge w:val="continue"/>
            <w:shd w:val="clear" w:color="auto" w:fill="auto"/>
            <w:vAlign w:val="center"/>
          </w:tcPr>
          <w:p w14:paraId="0AFB04F0">
            <w:pPr>
              <w:pStyle w:val="92"/>
              <w:rPr>
                <w:color w:val="auto"/>
                <w:highlight w:val="none"/>
                <w:u w:val="none"/>
              </w:rPr>
            </w:pPr>
          </w:p>
        </w:tc>
      </w:tr>
      <w:tr w14:paraId="61AF0E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2056E5BC">
            <w:pPr>
              <w:pStyle w:val="92"/>
              <w:rPr>
                <w:color w:val="auto"/>
                <w:highlight w:val="none"/>
                <w:u w:val="none"/>
              </w:rPr>
            </w:pPr>
          </w:p>
        </w:tc>
        <w:tc>
          <w:tcPr>
            <w:tcW w:w="1000" w:type="pct"/>
            <w:shd w:val="clear" w:color="auto" w:fill="auto"/>
            <w:vAlign w:val="center"/>
          </w:tcPr>
          <w:p w14:paraId="40B83184">
            <w:pPr>
              <w:pStyle w:val="92"/>
              <w:rPr>
                <w:color w:val="auto"/>
                <w:highlight w:val="none"/>
                <w:u w:val="none"/>
              </w:rPr>
            </w:pPr>
            <w:r>
              <w:rPr>
                <w:rFonts w:hint="eastAsia" w:hAnsi="宋体"/>
                <w:color w:val="auto"/>
                <w:kern w:val="0"/>
                <w:highlight w:val="none"/>
                <w:u w:val="none"/>
                <w:lang w:val="zh-CN"/>
              </w:rPr>
              <w:t>光化退料</w:t>
            </w:r>
          </w:p>
        </w:tc>
        <w:tc>
          <w:tcPr>
            <w:tcW w:w="875" w:type="pct"/>
            <w:shd w:val="clear" w:color="auto" w:fill="auto"/>
            <w:vAlign w:val="center"/>
          </w:tcPr>
          <w:p w14:paraId="75507515">
            <w:pPr>
              <w:pStyle w:val="92"/>
              <w:rPr>
                <w:color w:val="auto"/>
                <w:highlight w:val="none"/>
                <w:u w:val="none"/>
              </w:rPr>
            </w:pPr>
            <w:r>
              <w:rPr>
                <w:rFonts w:hint="eastAsia"/>
                <w:color w:val="auto"/>
                <w:highlight w:val="none"/>
                <w:u w:val="none"/>
              </w:rPr>
              <w:t>142</w:t>
            </w:r>
          </w:p>
        </w:tc>
        <w:tc>
          <w:tcPr>
            <w:tcW w:w="875" w:type="pct"/>
            <w:tcBorders>
              <w:bottom w:val="single" w:color="auto" w:sz="4" w:space="0"/>
            </w:tcBorders>
            <w:vAlign w:val="center"/>
          </w:tcPr>
          <w:p w14:paraId="2AA8A88E">
            <w:pPr>
              <w:pStyle w:val="92"/>
              <w:rPr>
                <w:color w:val="auto"/>
                <w:highlight w:val="none"/>
                <w:u w:val="none"/>
              </w:rPr>
            </w:pPr>
            <w:r>
              <w:rPr>
                <w:rFonts w:hint="eastAsia"/>
                <w:color w:val="auto"/>
                <w:highlight w:val="none"/>
                <w:u w:val="none"/>
              </w:rPr>
              <w:t>261-025-11</w:t>
            </w:r>
          </w:p>
        </w:tc>
        <w:tc>
          <w:tcPr>
            <w:tcW w:w="1498" w:type="pct"/>
            <w:vMerge w:val="continue"/>
            <w:shd w:val="clear" w:color="auto" w:fill="auto"/>
            <w:vAlign w:val="center"/>
          </w:tcPr>
          <w:p w14:paraId="2357283A">
            <w:pPr>
              <w:pStyle w:val="92"/>
              <w:rPr>
                <w:color w:val="auto"/>
                <w:highlight w:val="none"/>
                <w:u w:val="none"/>
              </w:rPr>
            </w:pPr>
          </w:p>
        </w:tc>
      </w:tr>
      <w:tr w14:paraId="20646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13C5EE35">
            <w:pPr>
              <w:pStyle w:val="92"/>
              <w:rPr>
                <w:color w:val="auto"/>
                <w:highlight w:val="none"/>
                <w:u w:val="none"/>
              </w:rPr>
            </w:pPr>
          </w:p>
        </w:tc>
        <w:tc>
          <w:tcPr>
            <w:tcW w:w="1000" w:type="pct"/>
            <w:shd w:val="clear" w:color="auto" w:fill="auto"/>
            <w:vAlign w:val="center"/>
          </w:tcPr>
          <w:p w14:paraId="2B502F7D">
            <w:pPr>
              <w:pStyle w:val="92"/>
              <w:rPr>
                <w:rFonts w:hint="eastAsia" w:hAnsi="宋体"/>
                <w:color w:val="auto"/>
                <w:kern w:val="0"/>
                <w:highlight w:val="none"/>
                <w:u w:val="none"/>
                <w:lang w:val="zh-CN"/>
              </w:rPr>
            </w:pPr>
            <w:r>
              <w:rPr>
                <w:rFonts w:hint="eastAsia" w:hAnsi="宋体"/>
                <w:color w:val="auto"/>
                <w:kern w:val="0"/>
                <w:highlight w:val="none"/>
                <w:u w:val="none"/>
                <w:lang w:val="zh-CN"/>
              </w:rPr>
              <w:t>TDI精馏残渣</w:t>
            </w:r>
          </w:p>
        </w:tc>
        <w:tc>
          <w:tcPr>
            <w:tcW w:w="875" w:type="pct"/>
            <w:shd w:val="clear" w:color="auto" w:fill="auto"/>
            <w:vAlign w:val="center"/>
          </w:tcPr>
          <w:p w14:paraId="3E3A85C8">
            <w:pPr>
              <w:pStyle w:val="92"/>
              <w:rPr>
                <w:color w:val="auto"/>
                <w:highlight w:val="none"/>
                <w:u w:val="none"/>
              </w:rPr>
            </w:pPr>
            <w:r>
              <w:rPr>
                <w:rFonts w:hint="eastAsia"/>
                <w:color w:val="auto"/>
                <w:highlight w:val="none"/>
                <w:u w:val="none"/>
              </w:rPr>
              <w:t>58</w:t>
            </w:r>
          </w:p>
        </w:tc>
        <w:tc>
          <w:tcPr>
            <w:tcW w:w="875" w:type="pct"/>
            <w:tcBorders>
              <w:bottom w:val="single" w:color="auto" w:sz="4" w:space="0"/>
            </w:tcBorders>
            <w:vAlign w:val="center"/>
          </w:tcPr>
          <w:p w14:paraId="662B2C69">
            <w:pPr>
              <w:pStyle w:val="92"/>
              <w:rPr>
                <w:color w:val="auto"/>
                <w:highlight w:val="none"/>
                <w:u w:val="none"/>
              </w:rPr>
            </w:pPr>
            <w:r>
              <w:rPr>
                <w:rFonts w:hint="eastAsia"/>
                <w:color w:val="auto"/>
                <w:highlight w:val="none"/>
                <w:u w:val="none"/>
              </w:rPr>
              <w:t>261-016-11</w:t>
            </w:r>
          </w:p>
        </w:tc>
        <w:tc>
          <w:tcPr>
            <w:tcW w:w="1498" w:type="pct"/>
            <w:vMerge w:val="continue"/>
            <w:tcBorders>
              <w:bottom w:val="single" w:color="auto" w:sz="4" w:space="0"/>
            </w:tcBorders>
            <w:shd w:val="clear" w:color="auto" w:fill="auto"/>
            <w:vAlign w:val="center"/>
          </w:tcPr>
          <w:p w14:paraId="2153A16C">
            <w:pPr>
              <w:pStyle w:val="92"/>
              <w:rPr>
                <w:color w:val="auto"/>
                <w:highlight w:val="none"/>
                <w:u w:val="none"/>
              </w:rPr>
            </w:pPr>
          </w:p>
        </w:tc>
      </w:tr>
      <w:tr w14:paraId="207511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46E66D36">
            <w:pPr>
              <w:pStyle w:val="92"/>
              <w:rPr>
                <w:color w:val="auto"/>
                <w:highlight w:val="none"/>
                <w:u w:val="none"/>
              </w:rPr>
            </w:pPr>
          </w:p>
        </w:tc>
        <w:tc>
          <w:tcPr>
            <w:tcW w:w="1000" w:type="pct"/>
            <w:shd w:val="clear" w:color="auto" w:fill="auto"/>
            <w:vAlign w:val="center"/>
          </w:tcPr>
          <w:p w14:paraId="10F87F4C">
            <w:pPr>
              <w:pStyle w:val="92"/>
              <w:rPr>
                <w:color w:val="auto"/>
                <w:highlight w:val="none"/>
                <w:u w:val="none"/>
              </w:rPr>
            </w:pPr>
            <w:r>
              <w:rPr>
                <w:rFonts w:hint="eastAsia"/>
                <w:color w:val="auto"/>
                <w:highlight w:val="none"/>
                <w:u w:val="none"/>
              </w:rPr>
              <w:t>轻油</w:t>
            </w:r>
          </w:p>
        </w:tc>
        <w:tc>
          <w:tcPr>
            <w:tcW w:w="875" w:type="pct"/>
            <w:shd w:val="clear" w:color="auto" w:fill="auto"/>
            <w:vAlign w:val="center"/>
          </w:tcPr>
          <w:p w14:paraId="28382F72">
            <w:pPr>
              <w:pStyle w:val="92"/>
              <w:rPr>
                <w:color w:val="auto"/>
                <w:highlight w:val="none"/>
                <w:u w:val="none"/>
              </w:rPr>
            </w:pPr>
            <w:r>
              <w:rPr>
                <w:rFonts w:hint="eastAsia"/>
                <w:color w:val="auto"/>
                <w:highlight w:val="none"/>
                <w:u w:val="none"/>
              </w:rPr>
              <w:t>683</w:t>
            </w:r>
          </w:p>
        </w:tc>
        <w:tc>
          <w:tcPr>
            <w:tcW w:w="875" w:type="pct"/>
            <w:tcBorders>
              <w:bottom w:val="single" w:color="auto" w:sz="4" w:space="0"/>
            </w:tcBorders>
            <w:vAlign w:val="center"/>
          </w:tcPr>
          <w:p w14:paraId="0E810208">
            <w:pPr>
              <w:pStyle w:val="92"/>
              <w:rPr>
                <w:snapToGrid w:val="0"/>
                <w:color w:val="auto"/>
                <w:highlight w:val="none"/>
                <w:u w:val="none"/>
              </w:rPr>
            </w:pPr>
            <w:r>
              <w:rPr>
                <w:snapToGrid w:val="0"/>
                <w:color w:val="auto"/>
                <w:highlight w:val="none"/>
                <w:u w:val="none"/>
              </w:rPr>
              <w:t>261-022-11</w:t>
            </w:r>
          </w:p>
        </w:tc>
        <w:tc>
          <w:tcPr>
            <w:tcW w:w="1498" w:type="pct"/>
            <w:tcBorders>
              <w:bottom w:val="single" w:color="auto" w:sz="4" w:space="0"/>
            </w:tcBorders>
            <w:shd w:val="clear" w:color="auto" w:fill="auto"/>
            <w:vAlign w:val="center"/>
          </w:tcPr>
          <w:p w14:paraId="0637A9AD">
            <w:pPr>
              <w:pStyle w:val="92"/>
              <w:rPr>
                <w:color w:val="auto"/>
                <w:highlight w:val="none"/>
                <w:u w:val="none"/>
              </w:rPr>
            </w:pPr>
            <w:r>
              <w:rPr>
                <w:color w:val="auto"/>
                <w:highlight w:val="none"/>
                <w:u w:val="none"/>
              </w:rPr>
              <w:t>委托有危险废物</w:t>
            </w:r>
            <w:r>
              <w:rPr>
                <w:rFonts w:hint="eastAsia"/>
                <w:color w:val="auto"/>
                <w:highlight w:val="none"/>
                <w:u w:val="none"/>
              </w:rPr>
              <w:t>处置</w:t>
            </w:r>
            <w:r>
              <w:rPr>
                <w:color w:val="auto"/>
                <w:highlight w:val="none"/>
                <w:u w:val="none"/>
              </w:rPr>
              <w:t>资质的单位处理</w:t>
            </w:r>
            <w:r>
              <w:rPr>
                <w:rFonts w:hint="eastAsia"/>
                <w:color w:val="auto"/>
                <w:highlight w:val="none"/>
                <w:u w:val="none"/>
              </w:rPr>
              <w:t>，待万华环保科技公司</w:t>
            </w:r>
            <w:r>
              <w:rPr>
                <w:color w:val="auto"/>
                <w:highlight w:val="none"/>
                <w:u w:val="none"/>
              </w:rPr>
              <w:t>能量回收装置</w:t>
            </w:r>
            <w:r>
              <w:rPr>
                <w:rFonts w:hint="eastAsia"/>
                <w:color w:val="auto"/>
                <w:highlight w:val="none"/>
                <w:u w:val="none"/>
              </w:rPr>
              <w:t>取得该危废的处置资质后，进入能量回收装置进行焚烧处理</w:t>
            </w:r>
          </w:p>
        </w:tc>
      </w:tr>
      <w:tr w14:paraId="45965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46231E43">
            <w:pPr>
              <w:pStyle w:val="92"/>
              <w:rPr>
                <w:color w:val="auto"/>
                <w:highlight w:val="none"/>
                <w:u w:val="none"/>
              </w:rPr>
            </w:pPr>
          </w:p>
        </w:tc>
        <w:tc>
          <w:tcPr>
            <w:tcW w:w="1000" w:type="pct"/>
            <w:shd w:val="clear" w:color="auto" w:fill="auto"/>
            <w:vAlign w:val="center"/>
          </w:tcPr>
          <w:p w14:paraId="4C4CC6A8">
            <w:pPr>
              <w:pStyle w:val="92"/>
              <w:rPr>
                <w:color w:val="auto"/>
                <w:highlight w:val="none"/>
                <w:u w:val="none"/>
              </w:rPr>
            </w:pPr>
            <w:r>
              <w:rPr>
                <w:rFonts w:hint="eastAsia"/>
                <w:color w:val="auto"/>
                <w:highlight w:val="none"/>
                <w:u w:val="none"/>
              </w:rPr>
              <w:t>T</w:t>
            </w:r>
            <w:r>
              <w:rPr>
                <w:color w:val="auto"/>
                <w:highlight w:val="none"/>
                <w:u w:val="none"/>
              </w:rPr>
              <w:t>DI</w:t>
            </w:r>
            <w:r>
              <w:rPr>
                <w:rFonts w:hint="eastAsia"/>
                <w:color w:val="auto"/>
                <w:highlight w:val="none"/>
                <w:u w:val="none"/>
              </w:rPr>
              <w:t>废液</w:t>
            </w:r>
          </w:p>
        </w:tc>
        <w:tc>
          <w:tcPr>
            <w:tcW w:w="875" w:type="pct"/>
            <w:shd w:val="clear" w:color="auto" w:fill="auto"/>
            <w:vAlign w:val="center"/>
          </w:tcPr>
          <w:p w14:paraId="386DFE76">
            <w:pPr>
              <w:pStyle w:val="92"/>
              <w:rPr>
                <w:color w:val="auto"/>
                <w:highlight w:val="none"/>
                <w:u w:val="none"/>
              </w:rPr>
            </w:pPr>
            <w:r>
              <w:rPr>
                <w:color w:val="auto"/>
                <w:highlight w:val="none"/>
                <w:u w:val="none"/>
              </w:rPr>
              <w:t>3</w:t>
            </w:r>
            <w:r>
              <w:rPr>
                <w:rFonts w:hint="eastAsia"/>
                <w:color w:val="auto"/>
                <w:highlight w:val="none"/>
                <w:u w:val="none"/>
              </w:rPr>
              <w:t>680</w:t>
            </w:r>
          </w:p>
        </w:tc>
        <w:tc>
          <w:tcPr>
            <w:tcW w:w="875" w:type="pct"/>
            <w:tcBorders>
              <w:top w:val="single" w:color="auto" w:sz="4" w:space="0"/>
            </w:tcBorders>
            <w:vAlign w:val="center"/>
          </w:tcPr>
          <w:p w14:paraId="6EC7D021">
            <w:pPr>
              <w:pStyle w:val="92"/>
              <w:rPr>
                <w:color w:val="auto"/>
                <w:highlight w:val="none"/>
                <w:u w:val="none"/>
              </w:rPr>
            </w:pPr>
            <w:r>
              <w:rPr>
                <w:color w:val="auto"/>
                <w:highlight w:val="none"/>
                <w:u w:val="none"/>
              </w:rPr>
              <w:t>261-016-11</w:t>
            </w:r>
          </w:p>
        </w:tc>
        <w:tc>
          <w:tcPr>
            <w:tcW w:w="1498" w:type="pct"/>
            <w:tcBorders>
              <w:top w:val="single" w:color="auto" w:sz="4" w:space="0"/>
            </w:tcBorders>
            <w:shd w:val="clear" w:color="auto" w:fill="auto"/>
            <w:vAlign w:val="center"/>
          </w:tcPr>
          <w:p w14:paraId="028864F9">
            <w:pPr>
              <w:pStyle w:val="92"/>
              <w:rPr>
                <w:color w:val="auto"/>
                <w:highlight w:val="none"/>
                <w:u w:val="none"/>
              </w:rPr>
            </w:pPr>
            <w:r>
              <w:rPr>
                <w:rFonts w:hint="eastAsia"/>
                <w:color w:val="auto"/>
                <w:highlight w:val="none"/>
                <w:u w:val="none"/>
              </w:rPr>
              <w:t>送往万华环保科技公司能量回收装置进行焚烧处理</w:t>
            </w:r>
          </w:p>
        </w:tc>
      </w:tr>
      <w:tr w14:paraId="34E5A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336D80DD">
            <w:pPr>
              <w:pStyle w:val="92"/>
              <w:rPr>
                <w:color w:val="auto"/>
                <w:highlight w:val="none"/>
                <w:u w:val="none"/>
              </w:rPr>
            </w:pPr>
          </w:p>
        </w:tc>
        <w:tc>
          <w:tcPr>
            <w:tcW w:w="1000" w:type="pct"/>
            <w:shd w:val="clear" w:color="auto" w:fill="auto"/>
            <w:vAlign w:val="center"/>
          </w:tcPr>
          <w:p w14:paraId="0AF56060">
            <w:pPr>
              <w:pStyle w:val="92"/>
              <w:rPr>
                <w:color w:val="auto"/>
                <w:highlight w:val="none"/>
                <w:u w:val="none"/>
              </w:rPr>
            </w:pPr>
            <w:r>
              <w:rPr>
                <w:rFonts w:hint="eastAsia"/>
                <w:color w:val="auto"/>
                <w:highlight w:val="none"/>
                <w:u w:val="none"/>
              </w:rPr>
              <w:t>焦油颗粒</w:t>
            </w:r>
          </w:p>
        </w:tc>
        <w:tc>
          <w:tcPr>
            <w:tcW w:w="875" w:type="pct"/>
            <w:shd w:val="clear" w:color="auto" w:fill="auto"/>
            <w:vAlign w:val="center"/>
          </w:tcPr>
          <w:p w14:paraId="027EFE4C">
            <w:pPr>
              <w:pStyle w:val="92"/>
              <w:rPr>
                <w:rFonts w:eastAsia="等线"/>
                <w:color w:val="auto"/>
                <w:highlight w:val="none"/>
                <w:u w:val="none"/>
              </w:rPr>
            </w:pPr>
            <w:r>
              <w:rPr>
                <w:rFonts w:hint="eastAsia"/>
                <w:color w:val="auto"/>
                <w:highlight w:val="none"/>
                <w:u w:val="none"/>
              </w:rPr>
              <w:t>22</w:t>
            </w:r>
            <w:r>
              <w:rPr>
                <w:color w:val="auto"/>
                <w:highlight w:val="none"/>
                <w:u w:val="none"/>
              </w:rPr>
              <w:t>000</w:t>
            </w:r>
          </w:p>
        </w:tc>
        <w:tc>
          <w:tcPr>
            <w:tcW w:w="875" w:type="pct"/>
            <w:vAlign w:val="center"/>
          </w:tcPr>
          <w:p w14:paraId="5CEE5EA8">
            <w:pPr>
              <w:pStyle w:val="92"/>
              <w:rPr>
                <w:color w:val="auto"/>
                <w:highlight w:val="none"/>
                <w:u w:val="none"/>
              </w:rPr>
            </w:pPr>
            <w:r>
              <w:rPr>
                <w:color w:val="auto"/>
                <w:highlight w:val="none"/>
                <w:u w:val="none"/>
              </w:rPr>
              <w:t>261-016-11</w:t>
            </w:r>
          </w:p>
        </w:tc>
        <w:tc>
          <w:tcPr>
            <w:tcW w:w="1498" w:type="pct"/>
            <w:shd w:val="clear" w:color="auto" w:fill="auto"/>
            <w:vAlign w:val="center"/>
          </w:tcPr>
          <w:p w14:paraId="3FB243F3">
            <w:pPr>
              <w:pStyle w:val="92"/>
              <w:rPr>
                <w:color w:val="auto"/>
                <w:highlight w:val="none"/>
                <w:u w:val="none"/>
              </w:rPr>
            </w:pPr>
            <w:r>
              <w:rPr>
                <w:rFonts w:hint="eastAsia"/>
                <w:color w:val="auto"/>
                <w:highlight w:val="none"/>
                <w:u w:val="none"/>
              </w:rPr>
              <w:t>送往万华福建公司气体扩能改造项目作为水煤浆气化原料</w:t>
            </w:r>
          </w:p>
        </w:tc>
      </w:tr>
      <w:tr w14:paraId="47A59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9654995">
            <w:pPr>
              <w:pStyle w:val="92"/>
              <w:rPr>
                <w:color w:val="auto"/>
                <w:highlight w:val="none"/>
                <w:u w:val="none"/>
              </w:rPr>
            </w:pPr>
          </w:p>
        </w:tc>
        <w:tc>
          <w:tcPr>
            <w:tcW w:w="1000" w:type="pct"/>
            <w:vMerge w:val="restart"/>
            <w:shd w:val="clear" w:color="auto" w:fill="auto"/>
            <w:vAlign w:val="center"/>
          </w:tcPr>
          <w:p w14:paraId="6DC4CED7">
            <w:pPr>
              <w:pStyle w:val="92"/>
              <w:rPr>
                <w:color w:val="auto"/>
                <w:highlight w:val="none"/>
                <w:u w:val="none"/>
              </w:rPr>
            </w:pPr>
            <w:r>
              <w:rPr>
                <w:color w:val="auto"/>
                <w:highlight w:val="none"/>
                <w:u w:val="none"/>
              </w:rPr>
              <w:t>废活性炭</w:t>
            </w:r>
          </w:p>
        </w:tc>
        <w:tc>
          <w:tcPr>
            <w:tcW w:w="875" w:type="pct"/>
            <w:vMerge w:val="restart"/>
            <w:shd w:val="clear" w:color="auto" w:fill="auto"/>
            <w:vAlign w:val="center"/>
          </w:tcPr>
          <w:p w14:paraId="323FF5A8">
            <w:pPr>
              <w:pStyle w:val="92"/>
              <w:rPr>
                <w:rFonts w:hint="eastAsia" w:eastAsia="宋体"/>
                <w:color w:val="auto"/>
                <w:highlight w:val="none"/>
                <w:u w:val="none"/>
                <w:lang w:eastAsia="zh-CN"/>
              </w:rPr>
            </w:pPr>
            <w:r>
              <w:rPr>
                <w:color w:val="auto"/>
                <w:highlight w:val="none"/>
                <w:u w:val="none"/>
              </w:rPr>
              <w:t>11</w:t>
            </w:r>
            <w:r>
              <w:rPr>
                <w:rFonts w:hint="eastAsia"/>
                <w:color w:val="auto"/>
                <w:highlight w:val="none"/>
                <w:u w:val="none"/>
                <w:lang w:val="en-US" w:eastAsia="zh-CN"/>
              </w:rPr>
              <w:t>2</w:t>
            </w:r>
          </w:p>
        </w:tc>
        <w:tc>
          <w:tcPr>
            <w:tcW w:w="875" w:type="pct"/>
            <w:vAlign w:val="center"/>
          </w:tcPr>
          <w:p w14:paraId="5AC00911">
            <w:pPr>
              <w:pStyle w:val="92"/>
              <w:rPr>
                <w:color w:val="auto"/>
                <w:highlight w:val="none"/>
                <w:u w:val="none"/>
              </w:rPr>
            </w:pPr>
            <w:r>
              <w:rPr>
                <w:color w:val="auto"/>
                <w:highlight w:val="none"/>
                <w:u w:val="none"/>
              </w:rPr>
              <w:t>900-039-49</w:t>
            </w:r>
          </w:p>
        </w:tc>
        <w:tc>
          <w:tcPr>
            <w:tcW w:w="1498" w:type="pct"/>
            <w:vMerge w:val="restart"/>
            <w:shd w:val="clear" w:color="auto" w:fill="auto"/>
            <w:vAlign w:val="center"/>
          </w:tcPr>
          <w:p w14:paraId="1428C59E">
            <w:pPr>
              <w:pStyle w:val="92"/>
              <w:rPr>
                <w:color w:val="auto"/>
                <w:highlight w:val="none"/>
                <w:u w:val="none"/>
              </w:rPr>
            </w:pPr>
            <w:r>
              <w:rPr>
                <w:color w:val="auto"/>
                <w:highlight w:val="none"/>
                <w:u w:val="none"/>
              </w:rPr>
              <w:t>委托有危险废物</w:t>
            </w:r>
            <w:r>
              <w:rPr>
                <w:rFonts w:hint="eastAsia"/>
                <w:color w:val="auto"/>
                <w:highlight w:val="none"/>
                <w:u w:val="none"/>
              </w:rPr>
              <w:t>处置</w:t>
            </w:r>
          </w:p>
          <w:p w14:paraId="7B31FC36">
            <w:pPr>
              <w:pStyle w:val="92"/>
              <w:rPr>
                <w:color w:val="auto"/>
                <w:highlight w:val="none"/>
                <w:u w:val="none"/>
              </w:rPr>
            </w:pPr>
            <w:r>
              <w:rPr>
                <w:color w:val="auto"/>
                <w:highlight w:val="none"/>
                <w:u w:val="none"/>
              </w:rPr>
              <w:t>资质的单位处理</w:t>
            </w:r>
          </w:p>
        </w:tc>
      </w:tr>
      <w:tr w14:paraId="25205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37B2EAA9">
            <w:pPr>
              <w:pStyle w:val="92"/>
              <w:rPr>
                <w:color w:val="auto"/>
                <w:highlight w:val="none"/>
                <w:u w:val="none"/>
              </w:rPr>
            </w:pPr>
          </w:p>
        </w:tc>
        <w:tc>
          <w:tcPr>
            <w:tcW w:w="1000" w:type="pct"/>
            <w:vMerge w:val="continue"/>
            <w:shd w:val="clear" w:color="auto" w:fill="auto"/>
            <w:vAlign w:val="center"/>
          </w:tcPr>
          <w:p w14:paraId="65E130F4">
            <w:pPr>
              <w:pStyle w:val="92"/>
              <w:rPr>
                <w:color w:val="auto"/>
                <w:highlight w:val="none"/>
                <w:u w:val="none"/>
              </w:rPr>
            </w:pPr>
          </w:p>
        </w:tc>
        <w:tc>
          <w:tcPr>
            <w:tcW w:w="875" w:type="pct"/>
            <w:vMerge w:val="continue"/>
            <w:shd w:val="clear" w:color="auto" w:fill="auto"/>
            <w:vAlign w:val="center"/>
          </w:tcPr>
          <w:p w14:paraId="0B1FFF7F">
            <w:pPr>
              <w:pStyle w:val="92"/>
              <w:rPr>
                <w:color w:val="auto"/>
                <w:highlight w:val="none"/>
                <w:u w:val="none"/>
              </w:rPr>
            </w:pPr>
          </w:p>
        </w:tc>
        <w:tc>
          <w:tcPr>
            <w:tcW w:w="875" w:type="pct"/>
            <w:vAlign w:val="center"/>
          </w:tcPr>
          <w:p w14:paraId="65997277">
            <w:pPr>
              <w:pStyle w:val="92"/>
              <w:rPr>
                <w:color w:val="auto"/>
                <w:highlight w:val="none"/>
                <w:u w:val="none"/>
              </w:rPr>
            </w:pPr>
            <w:r>
              <w:rPr>
                <w:color w:val="auto"/>
                <w:highlight w:val="none"/>
                <w:u w:val="none"/>
              </w:rPr>
              <w:t>261-084-45</w:t>
            </w:r>
          </w:p>
        </w:tc>
        <w:tc>
          <w:tcPr>
            <w:tcW w:w="1498" w:type="pct"/>
            <w:vMerge w:val="continue"/>
            <w:shd w:val="clear" w:color="auto" w:fill="auto"/>
            <w:vAlign w:val="center"/>
          </w:tcPr>
          <w:p w14:paraId="4AC93C6F">
            <w:pPr>
              <w:pStyle w:val="92"/>
              <w:rPr>
                <w:color w:val="auto"/>
                <w:highlight w:val="none"/>
                <w:u w:val="none"/>
              </w:rPr>
            </w:pPr>
          </w:p>
        </w:tc>
      </w:tr>
      <w:tr w14:paraId="49590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57CC266">
            <w:pPr>
              <w:pStyle w:val="92"/>
              <w:rPr>
                <w:color w:val="auto"/>
                <w:highlight w:val="none"/>
                <w:u w:val="none"/>
              </w:rPr>
            </w:pPr>
          </w:p>
        </w:tc>
        <w:tc>
          <w:tcPr>
            <w:tcW w:w="1000" w:type="pct"/>
            <w:shd w:val="clear" w:color="auto" w:fill="auto"/>
            <w:vAlign w:val="center"/>
          </w:tcPr>
          <w:p w14:paraId="7E3AA8A7">
            <w:pPr>
              <w:pStyle w:val="92"/>
              <w:rPr>
                <w:color w:val="auto"/>
                <w:highlight w:val="none"/>
                <w:u w:val="none"/>
              </w:rPr>
            </w:pPr>
            <w:r>
              <w:rPr>
                <w:rFonts w:hint="eastAsia"/>
                <w:color w:val="auto"/>
                <w:highlight w:val="none"/>
                <w:u w:val="none"/>
              </w:rPr>
              <w:t>废弃化学品包装桶或袋</w:t>
            </w:r>
          </w:p>
        </w:tc>
        <w:tc>
          <w:tcPr>
            <w:tcW w:w="875" w:type="pct"/>
            <w:shd w:val="clear" w:color="auto" w:fill="auto"/>
            <w:vAlign w:val="center"/>
          </w:tcPr>
          <w:p w14:paraId="2B651A90">
            <w:pPr>
              <w:pStyle w:val="92"/>
              <w:rPr>
                <w:color w:val="auto"/>
                <w:highlight w:val="none"/>
                <w:u w:val="none"/>
              </w:rPr>
            </w:pPr>
            <w:r>
              <w:rPr>
                <w:rFonts w:eastAsia="等线"/>
                <w:color w:val="auto"/>
                <w:highlight w:val="none"/>
                <w:u w:val="none"/>
              </w:rPr>
              <w:t>80</w:t>
            </w:r>
          </w:p>
        </w:tc>
        <w:tc>
          <w:tcPr>
            <w:tcW w:w="875" w:type="pct"/>
            <w:vAlign w:val="center"/>
          </w:tcPr>
          <w:p w14:paraId="60B8BE95">
            <w:pPr>
              <w:pStyle w:val="92"/>
              <w:rPr>
                <w:color w:val="auto"/>
                <w:highlight w:val="none"/>
                <w:u w:val="none"/>
              </w:rPr>
            </w:pPr>
            <w:r>
              <w:rPr>
                <w:color w:val="auto"/>
                <w:highlight w:val="none"/>
                <w:u w:val="none"/>
              </w:rPr>
              <w:t>900-041-49</w:t>
            </w:r>
          </w:p>
        </w:tc>
        <w:tc>
          <w:tcPr>
            <w:tcW w:w="1498" w:type="pct"/>
            <w:vMerge w:val="continue"/>
            <w:shd w:val="clear" w:color="auto" w:fill="auto"/>
            <w:vAlign w:val="center"/>
          </w:tcPr>
          <w:p w14:paraId="2A7443C8">
            <w:pPr>
              <w:pStyle w:val="92"/>
              <w:rPr>
                <w:color w:val="auto"/>
                <w:highlight w:val="none"/>
                <w:u w:val="none"/>
              </w:rPr>
            </w:pPr>
          </w:p>
        </w:tc>
      </w:tr>
      <w:tr w14:paraId="46B9CF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780B985">
            <w:pPr>
              <w:pStyle w:val="92"/>
              <w:rPr>
                <w:color w:val="auto"/>
                <w:highlight w:val="none"/>
                <w:u w:val="none"/>
              </w:rPr>
            </w:pPr>
          </w:p>
        </w:tc>
        <w:tc>
          <w:tcPr>
            <w:tcW w:w="1000" w:type="pct"/>
            <w:shd w:val="clear" w:color="auto" w:fill="auto"/>
            <w:vAlign w:val="center"/>
          </w:tcPr>
          <w:p w14:paraId="205A1A3B">
            <w:pPr>
              <w:pStyle w:val="92"/>
              <w:rPr>
                <w:color w:val="auto"/>
                <w:highlight w:val="none"/>
                <w:u w:val="none"/>
              </w:rPr>
            </w:pPr>
            <w:r>
              <w:rPr>
                <w:color w:val="auto"/>
                <w:highlight w:val="none"/>
                <w:u w:val="none"/>
              </w:rPr>
              <w:t>机修废油</w:t>
            </w:r>
          </w:p>
        </w:tc>
        <w:tc>
          <w:tcPr>
            <w:tcW w:w="875" w:type="pct"/>
            <w:shd w:val="clear" w:color="auto" w:fill="auto"/>
            <w:vAlign w:val="center"/>
          </w:tcPr>
          <w:p w14:paraId="3BAD071A">
            <w:pPr>
              <w:pStyle w:val="92"/>
              <w:rPr>
                <w:color w:val="auto"/>
                <w:highlight w:val="none"/>
                <w:u w:val="none"/>
              </w:rPr>
            </w:pPr>
            <w:r>
              <w:rPr>
                <w:rFonts w:eastAsia="等线"/>
                <w:color w:val="auto"/>
                <w:highlight w:val="none"/>
                <w:u w:val="none"/>
              </w:rPr>
              <w:t>20</w:t>
            </w:r>
          </w:p>
        </w:tc>
        <w:tc>
          <w:tcPr>
            <w:tcW w:w="875" w:type="pct"/>
            <w:vAlign w:val="center"/>
          </w:tcPr>
          <w:p w14:paraId="77F636BA">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3B9E65F2">
            <w:pPr>
              <w:pStyle w:val="92"/>
              <w:rPr>
                <w:color w:val="auto"/>
                <w:highlight w:val="none"/>
                <w:u w:val="none"/>
              </w:rPr>
            </w:pPr>
          </w:p>
        </w:tc>
      </w:tr>
      <w:tr w14:paraId="7D5C8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165D1F9">
            <w:pPr>
              <w:pStyle w:val="92"/>
              <w:rPr>
                <w:color w:val="auto"/>
                <w:highlight w:val="none"/>
                <w:u w:val="none"/>
              </w:rPr>
            </w:pPr>
          </w:p>
        </w:tc>
        <w:tc>
          <w:tcPr>
            <w:tcW w:w="1000" w:type="pct"/>
            <w:shd w:val="clear" w:color="auto" w:fill="auto"/>
            <w:vAlign w:val="center"/>
          </w:tcPr>
          <w:p w14:paraId="1A3529E2">
            <w:pPr>
              <w:pStyle w:val="92"/>
              <w:rPr>
                <w:color w:val="auto"/>
                <w:highlight w:val="none"/>
                <w:u w:val="none"/>
              </w:rPr>
            </w:pPr>
            <w:r>
              <w:rPr>
                <w:rFonts w:hint="eastAsia"/>
                <w:color w:val="auto"/>
                <w:highlight w:val="none"/>
                <w:u w:val="none"/>
              </w:rPr>
              <w:t>废导热油</w:t>
            </w:r>
          </w:p>
        </w:tc>
        <w:tc>
          <w:tcPr>
            <w:tcW w:w="875" w:type="pct"/>
            <w:shd w:val="clear" w:color="auto" w:fill="auto"/>
            <w:vAlign w:val="center"/>
          </w:tcPr>
          <w:p w14:paraId="04947036">
            <w:pPr>
              <w:pStyle w:val="92"/>
              <w:rPr>
                <w:color w:val="auto"/>
                <w:highlight w:val="none"/>
                <w:u w:val="none"/>
              </w:rPr>
            </w:pPr>
            <w:r>
              <w:rPr>
                <w:color w:val="auto"/>
                <w:highlight w:val="none"/>
                <w:u w:val="none"/>
              </w:rPr>
              <w:t>1</w:t>
            </w:r>
          </w:p>
        </w:tc>
        <w:tc>
          <w:tcPr>
            <w:tcW w:w="875" w:type="pct"/>
            <w:vAlign w:val="center"/>
          </w:tcPr>
          <w:p w14:paraId="4DA1886E">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48FBC25F">
            <w:pPr>
              <w:pStyle w:val="92"/>
              <w:rPr>
                <w:color w:val="auto"/>
                <w:highlight w:val="none"/>
                <w:u w:val="none"/>
              </w:rPr>
            </w:pPr>
          </w:p>
        </w:tc>
      </w:tr>
      <w:tr w14:paraId="31A9C5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2572729">
            <w:pPr>
              <w:pStyle w:val="92"/>
              <w:rPr>
                <w:color w:val="auto"/>
                <w:highlight w:val="none"/>
                <w:u w:val="none"/>
              </w:rPr>
            </w:pPr>
          </w:p>
        </w:tc>
        <w:tc>
          <w:tcPr>
            <w:tcW w:w="1000" w:type="pct"/>
            <w:shd w:val="clear" w:color="auto" w:fill="auto"/>
            <w:vAlign w:val="center"/>
          </w:tcPr>
          <w:p w14:paraId="4486351F">
            <w:pPr>
              <w:pStyle w:val="92"/>
              <w:rPr>
                <w:color w:val="auto"/>
                <w:highlight w:val="none"/>
                <w:u w:val="none"/>
              </w:rPr>
            </w:pPr>
            <w:r>
              <w:rPr>
                <w:rFonts w:hint="eastAsia"/>
                <w:color w:val="auto"/>
                <w:highlight w:val="none"/>
                <w:u w:val="none"/>
              </w:rPr>
              <w:t>废氮封油</w:t>
            </w:r>
          </w:p>
        </w:tc>
        <w:tc>
          <w:tcPr>
            <w:tcW w:w="875" w:type="pct"/>
            <w:shd w:val="clear" w:color="auto" w:fill="auto"/>
            <w:vAlign w:val="center"/>
          </w:tcPr>
          <w:p w14:paraId="6BB0CF4F">
            <w:pPr>
              <w:pStyle w:val="92"/>
              <w:rPr>
                <w:color w:val="auto"/>
                <w:highlight w:val="none"/>
                <w:u w:val="none"/>
              </w:rPr>
            </w:pPr>
            <w:r>
              <w:rPr>
                <w:color w:val="auto"/>
                <w:highlight w:val="none"/>
                <w:u w:val="none"/>
              </w:rPr>
              <w:t>1</w:t>
            </w:r>
          </w:p>
        </w:tc>
        <w:tc>
          <w:tcPr>
            <w:tcW w:w="875" w:type="pct"/>
            <w:vAlign w:val="center"/>
          </w:tcPr>
          <w:p w14:paraId="790DFCDC">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28AA8B2B">
            <w:pPr>
              <w:pStyle w:val="92"/>
              <w:rPr>
                <w:color w:val="auto"/>
                <w:highlight w:val="none"/>
                <w:u w:val="none"/>
              </w:rPr>
            </w:pPr>
          </w:p>
        </w:tc>
      </w:tr>
      <w:tr w14:paraId="098C0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58FFAB97">
            <w:pPr>
              <w:pStyle w:val="92"/>
              <w:rPr>
                <w:color w:val="auto"/>
                <w:highlight w:val="none"/>
                <w:u w:val="none"/>
              </w:rPr>
            </w:pPr>
          </w:p>
        </w:tc>
        <w:tc>
          <w:tcPr>
            <w:tcW w:w="1857" w:type="dxa"/>
            <w:shd w:val="clear" w:color="auto" w:fill="auto"/>
            <w:vAlign w:val="center"/>
          </w:tcPr>
          <w:p w14:paraId="6366AD2D">
            <w:pPr>
              <w:pStyle w:val="92"/>
              <w:rPr>
                <w:color w:val="auto"/>
                <w:highlight w:val="none"/>
                <w:u w:val="none"/>
              </w:rPr>
            </w:pPr>
            <w:r>
              <w:rPr>
                <w:rFonts w:hint="eastAsia"/>
                <w:color w:val="auto"/>
                <w:highlight w:val="none"/>
                <w:u w:val="none"/>
              </w:rPr>
              <w:t>机修产生废劳保用品、废抹布</w:t>
            </w:r>
          </w:p>
        </w:tc>
        <w:tc>
          <w:tcPr>
            <w:tcW w:w="1625" w:type="dxa"/>
            <w:shd w:val="clear" w:color="auto" w:fill="auto"/>
            <w:vAlign w:val="center"/>
          </w:tcPr>
          <w:p w14:paraId="750E71B5">
            <w:pPr>
              <w:pStyle w:val="92"/>
              <w:rPr>
                <w:color w:val="auto"/>
                <w:highlight w:val="none"/>
                <w:u w:val="none"/>
              </w:rPr>
            </w:pPr>
            <w:r>
              <w:rPr>
                <w:rFonts w:hint="eastAsia"/>
                <w:color w:val="auto"/>
                <w:highlight w:val="none"/>
                <w:u w:val="none"/>
              </w:rPr>
              <w:t>1</w:t>
            </w:r>
          </w:p>
        </w:tc>
        <w:tc>
          <w:tcPr>
            <w:tcW w:w="1625" w:type="dxa"/>
            <w:vAlign w:val="center"/>
          </w:tcPr>
          <w:p w14:paraId="462D2F34">
            <w:pPr>
              <w:pStyle w:val="92"/>
              <w:rPr>
                <w:color w:val="auto"/>
                <w:highlight w:val="none"/>
                <w:u w:val="none"/>
              </w:rPr>
            </w:pPr>
            <w:r>
              <w:rPr>
                <w:color w:val="auto"/>
                <w:highlight w:val="none"/>
                <w:u w:val="none"/>
              </w:rPr>
              <w:t>900-041-49</w:t>
            </w:r>
          </w:p>
        </w:tc>
        <w:tc>
          <w:tcPr>
            <w:tcW w:w="2782" w:type="dxa"/>
            <w:shd w:val="clear" w:color="auto" w:fill="auto"/>
            <w:vAlign w:val="center"/>
          </w:tcPr>
          <w:p w14:paraId="4E78C0DF">
            <w:pPr>
              <w:pStyle w:val="92"/>
              <w:rPr>
                <w:color w:val="auto"/>
                <w:highlight w:val="none"/>
                <w:u w:val="none"/>
              </w:rPr>
            </w:pPr>
            <w:r>
              <w:rPr>
                <w:color w:val="auto"/>
                <w:highlight w:val="none"/>
                <w:u w:val="none"/>
              </w:rPr>
              <w:t>在未分类收集的情况下，全过程不按危险废物管理。</w:t>
            </w:r>
          </w:p>
        </w:tc>
      </w:tr>
      <w:tr w14:paraId="0AF25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5B55545C">
            <w:pPr>
              <w:pStyle w:val="92"/>
              <w:rPr>
                <w:color w:val="auto"/>
                <w:highlight w:val="none"/>
                <w:u w:val="none"/>
              </w:rPr>
            </w:pPr>
            <w:r>
              <w:rPr>
                <w:color w:val="auto"/>
                <w:highlight w:val="none"/>
                <w:u w:val="none"/>
              </w:rPr>
              <w:t>小计</w:t>
            </w:r>
          </w:p>
        </w:tc>
        <w:tc>
          <w:tcPr>
            <w:tcW w:w="875" w:type="pct"/>
            <w:shd w:val="clear" w:color="auto" w:fill="auto"/>
            <w:vAlign w:val="center"/>
          </w:tcPr>
          <w:p w14:paraId="739222FD">
            <w:pPr>
              <w:pStyle w:val="92"/>
              <w:rPr>
                <w:rFonts w:hint="eastAsia" w:eastAsia="宋体"/>
                <w:color w:val="auto"/>
                <w:highlight w:val="none"/>
                <w:u w:val="none"/>
                <w:lang w:eastAsia="zh-CN"/>
              </w:rPr>
            </w:pPr>
            <w:r>
              <w:rPr>
                <w:rFonts w:hint="eastAsia"/>
                <w:color w:val="auto"/>
                <w:highlight w:val="none"/>
                <w:u w:val="none"/>
              </w:rPr>
              <w:t>2691</w:t>
            </w:r>
            <w:r>
              <w:rPr>
                <w:rFonts w:hint="eastAsia"/>
                <w:color w:val="auto"/>
                <w:highlight w:val="none"/>
                <w:u w:val="none"/>
                <w:lang w:val="en-US" w:eastAsia="zh-CN"/>
              </w:rPr>
              <w:t>5</w:t>
            </w:r>
          </w:p>
        </w:tc>
        <w:tc>
          <w:tcPr>
            <w:tcW w:w="875" w:type="pct"/>
            <w:vAlign w:val="center"/>
          </w:tcPr>
          <w:p w14:paraId="48552E62">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06E143CA">
            <w:pPr>
              <w:pStyle w:val="92"/>
              <w:rPr>
                <w:color w:val="auto"/>
                <w:highlight w:val="none"/>
                <w:u w:val="none"/>
              </w:rPr>
            </w:pPr>
            <w:r>
              <w:rPr>
                <w:color w:val="auto"/>
                <w:highlight w:val="none"/>
                <w:u w:val="none"/>
              </w:rPr>
              <w:t>/</w:t>
            </w:r>
          </w:p>
        </w:tc>
      </w:tr>
      <w:tr w14:paraId="3FC69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0EC8C742">
            <w:pPr>
              <w:pStyle w:val="92"/>
              <w:rPr>
                <w:color w:val="auto"/>
                <w:highlight w:val="none"/>
                <w:u w:val="none"/>
              </w:rPr>
            </w:pPr>
            <w:r>
              <w:rPr>
                <w:color w:val="auto"/>
                <w:highlight w:val="none"/>
                <w:u w:val="none"/>
              </w:rPr>
              <w:t>生活垃圾</w:t>
            </w:r>
          </w:p>
        </w:tc>
        <w:tc>
          <w:tcPr>
            <w:tcW w:w="875" w:type="pct"/>
            <w:shd w:val="clear" w:color="auto" w:fill="auto"/>
            <w:vAlign w:val="center"/>
          </w:tcPr>
          <w:p w14:paraId="4790EC91">
            <w:pPr>
              <w:pStyle w:val="92"/>
              <w:rPr>
                <w:color w:val="auto"/>
                <w:highlight w:val="none"/>
                <w:u w:val="none"/>
              </w:rPr>
            </w:pPr>
            <w:r>
              <w:rPr>
                <w:rFonts w:hint="eastAsia"/>
                <w:color w:val="auto"/>
                <w:highlight w:val="none"/>
                <w:u w:val="none"/>
              </w:rPr>
              <w:t>18.17</w:t>
            </w:r>
          </w:p>
        </w:tc>
        <w:tc>
          <w:tcPr>
            <w:tcW w:w="875" w:type="pct"/>
            <w:vAlign w:val="center"/>
          </w:tcPr>
          <w:p w14:paraId="1DD05C5B">
            <w:pPr>
              <w:pStyle w:val="92"/>
              <w:rPr>
                <w:color w:val="auto"/>
                <w:highlight w:val="none"/>
                <w:u w:val="none"/>
              </w:rPr>
            </w:pPr>
            <w:r>
              <w:rPr>
                <w:rFonts w:hint="eastAsia"/>
                <w:color w:val="auto"/>
                <w:highlight w:val="none"/>
                <w:u w:val="none"/>
              </w:rPr>
              <w:t>900-099-S64</w:t>
            </w:r>
          </w:p>
        </w:tc>
        <w:tc>
          <w:tcPr>
            <w:tcW w:w="1498" w:type="pct"/>
            <w:shd w:val="clear" w:color="auto" w:fill="auto"/>
            <w:vAlign w:val="center"/>
          </w:tcPr>
          <w:p w14:paraId="5D73D531">
            <w:pPr>
              <w:pStyle w:val="92"/>
              <w:rPr>
                <w:color w:val="auto"/>
                <w:highlight w:val="none"/>
                <w:u w:val="none"/>
              </w:rPr>
            </w:pPr>
            <w:r>
              <w:rPr>
                <w:color w:val="auto"/>
                <w:highlight w:val="none"/>
                <w:u w:val="none"/>
              </w:rPr>
              <w:t>委托环卫部门清运</w:t>
            </w:r>
          </w:p>
        </w:tc>
      </w:tr>
      <w:tr w14:paraId="4E8C3E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400B6E37">
            <w:pPr>
              <w:pStyle w:val="92"/>
              <w:rPr>
                <w:color w:val="auto"/>
                <w:highlight w:val="none"/>
                <w:u w:val="none"/>
              </w:rPr>
            </w:pPr>
            <w:r>
              <w:rPr>
                <w:color w:val="auto"/>
                <w:highlight w:val="none"/>
                <w:u w:val="none"/>
              </w:rPr>
              <w:t>小计</w:t>
            </w:r>
          </w:p>
        </w:tc>
        <w:tc>
          <w:tcPr>
            <w:tcW w:w="875" w:type="pct"/>
            <w:shd w:val="clear" w:color="auto" w:fill="auto"/>
            <w:vAlign w:val="center"/>
          </w:tcPr>
          <w:p w14:paraId="119012C5">
            <w:pPr>
              <w:pStyle w:val="92"/>
              <w:rPr>
                <w:rFonts w:eastAsia="等线"/>
                <w:color w:val="auto"/>
                <w:highlight w:val="none"/>
                <w:u w:val="none"/>
              </w:rPr>
            </w:pPr>
            <w:r>
              <w:rPr>
                <w:rFonts w:hint="eastAsia" w:eastAsia="等线"/>
                <w:color w:val="auto"/>
                <w:highlight w:val="none"/>
                <w:u w:val="none"/>
              </w:rPr>
              <w:t>18.17</w:t>
            </w:r>
          </w:p>
        </w:tc>
        <w:tc>
          <w:tcPr>
            <w:tcW w:w="875" w:type="pct"/>
            <w:vAlign w:val="center"/>
          </w:tcPr>
          <w:p w14:paraId="5F2CBA6C">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51F8BD8A">
            <w:pPr>
              <w:pStyle w:val="92"/>
              <w:rPr>
                <w:color w:val="auto"/>
                <w:highlight w:val="none"/>
                <w:u w:val="none"/>
              </w:rPr>
            </w:pPr>
            <w:r>
              <w:rPr>
                <w:color w:val="auto"/>
                <w:highlight w:val="none"/>
                <w:u w:val="none"/>
              </w:rPr>
              <w:t>/</w:t>
            </w:r>
          </w:p>
        </w:tc>
      </w:tr>
      <w:tr w14:paraId="0941E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75369B7E">
            <w:pPr>
              <w:pStyle w:val="92"/>
              <w:rPr>
                <w:color w:val="auto"/>
                <w:highlight w:val="none"/>
                <w:u w:val="none"/>
              </w:rPr>
            </w:pPr>
            <w:r>
              <w:rPr>
                <w:color w:val="auto"/>
                <w:highlight w:val="none"/>
                <w:u w:val="none"/>
              </w:rPr>
              <w:t>合计</w:t>
            </w:r>
          </w:p>
        </w:tc>
        <w:tc>
          <w:tcPr>
            <w:tcW w:w="875" w:type="pct"/>
            <w:shd w:val="clear" w:color="auto" w:fill="auto"/>
            <w:vAlign w:val="center"/>
          </w:tcPr>
          <w:p w14:paraId="4AF8383E">
            <w:pPr>
              <w:pStyle w:val="92"/>
              <w:rPr>
                <w:rFonts w:eastAsia="等线"/>
                <w:color w:val="auto"/>
                <w:highlight w:val="none"/>
                <w:u w:val="none"/>
              </w:rPr>
            </w:pPr>
            <w:r>
              <w:rPr>
                <w:rFonts w:hint="eastAsia" w:eastAsia="等线"/>
                <w:color w:val="auto"/>
                <w:highlight w:val="none"/>
                <w:u w:val="none"/>
              </w:rPr>
              <w:t>26922</w:t>
            </w:r>
          </w:p>
        </w:tc>
        <w:tc>
          <w:tcPr>
            <w:tcW w:w="875" w:type="pct"/>
            <w:vAlign w:val="center"/>
          </w:tcPr>
          <w:p w14:paraId="2F928BF3">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240FB28F">
            <w:pPr>
              <w:pStyle w:val="92"/>
              <w:rPr>
                <w:color w:val="auto"/>
                <w:highlight w:val="none"/>
                <w:u w:val="none"/>
              </w:rPr>
            </w:pPr>
            <w:r>
              <w:rPr>
                <w:color w:val="auto"/>
                <w:highlight w:val="none"/>
                <w:u w:val="none"/>
              </w:rPr>
              <w:t>/</w:t>
            </w:r>
          </w:p>
        </w:tc>
      </w:tr>
    </w:tbl>
    <w:p w14:paraId="1F2D2826">
      <w:pPr>
        <w:ind w:firstLine="0" w:firstLineChars="0"/>
        <w:rPr>
          <w:rFonts w:hint="eastAsia"/>
          <w:color w:val="auto"/>
          <w:highlight w:val="none"/>
          <w:u w:val="none"/>
        </w:rPr>
      </w:pPr>
    </w:p>
    <w:p w14:paraId="2269FFA4">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5780F524">
      <w:pPr>
        <w:pStyle w:val="6"/>
        <w:spacing w:before="156" w:after="156"/>
        <w:rPr>
          <w:color w:val="auto"/>
          <w:highlight w:val="none"/>
          <w:u w:val="none"/>
        </w:rPr>
      </w:pPr>
      <w:bookmarkStart w:id="369" w:name="_Toc148374563"/>
      <w:bookmarkStart w:id="370" w:name="_Toc148375005"/>
      <w:r>
        <w:rPr>
          <w:rFonts w:hint="eastAsia"/>
          <w:color w:val="auto"/>
          <w:highlight w:val="none"/>
          <w:u w:val="none"/>
        </w:rPr>
        <w:t>污染物排放量汇总及“三本账”分析</w:t>
      </w:r>
      <w:bookmarkEnd w:id="369"/>
      <w:bookmarkEnd w:id="370"/>
    </w:p>
    <w:p w14:paraId="0949599F">
      <w:pPr>
        <w:pStyle w:val="7"/>
        <w:spacing w:before="156"/>
        <w:rPr>
          <w:color w:val="auto"/>
          <w:highlight w:val="none"/>
          <w:u w:val="none"/>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污染源汇总</w:t>
      </w:r>
    </w:p>
    <w:p w14:paraId="5DFFDFAF">
      <w:pPr>
        <w:rPr>
          <w:rFonts w:hint="eastAsia"/>
          <w:color w:val="auto"/>
          <w:highlight w:val="none"/>
          <w:u w:val="none"/>
        </w:rPr>
      </w:pPr>
      <w:r>
        <w:rPr>
          <w:rFonts w:hint="eastAsia"/>
          <w:color w:val="auto"/>
          <w:highlight w:val="none"/>
          <w:u w:val="none"/>
          <w:lang w:val="en-US"/>
        </w:rPr>
        <w:t>本次技改扩能后</w:t>
      </w:r>
      <w:r>
        <w:rPr>
          <w:rFonts w:hint="eastAsia"/>
          <w:color w:val="auto"/>
          <w:highlight w:val="none"/>
          <w:u w:val="none"/>
        </w:rPr>
        <w:t>项目污染物排放量核算汇总见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_Ref138837775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5.8</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10</w:t>
      </w:r>
      <w:r>
        <w:rPr>
          <w:color w:val="auto"/>
          <w:highlight w:val="none"/>
          <w:u w:val="none"/>
        </w:rPr>
        <w:fldChar w:fldCharType="end"/>
      </w:r>
      <w:r>
        <w:rPr>
          <w:rFonts w:hint="eastAsia"/>
          <w:color w:val="auto"/>
          <w:highlight w:val="none"/>
          <w:u w:val="none"/>
        </w:rPr>
        <w:t>。</w:t>
      </w:r>
    </w:p>
    <w:p w14:paraId="3C351BE2">
      <w:pPr>
        <w:ind w:firstLine="0" w:firstLineChars="0"/>
        <w:jc w:val="center"/>
        <w:rPr>
          <w:rFonts w:hint="eastAsia"/>
          <w:b/>
          <w:bCs/>
          <w:color w:val="auto"/>
          <w:highlight w:val="none"/>
          <w:u w:val="none"/>
        </w:rPr>
      </w:pPr>
      <w:bookmarkStart w:id="371" w:name="_Ref138837775"/>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10</w:t>
      </w:r>
      <w:r>
        <w:rPr>
          <w:b/>
          <w:bCs/>
          <w:color w:val="auto"/>
          <w:highlight w:val="none"/>
          <w:u w:val="none"/>
        </w:rPr>
        <w:fldChar w:fldCharType="end"/>
      </w:r>
      <w:bookmarkEnd w:id="371"/>
      <w:r>
        <w:rPr>
          <w:b/>
          <w:bCs/>
          <w:color w:val="auto"/>
          <w:highlight w:val="none"/>
          <w:u w:val="none"/>
        </w:rPr>
        <w:t xml:space="preserve">  </w:t>
      </w:r>
      <w:r>
        <w:rPr>
          <w:rFonts w:hint="eastAsia" w:hAnsi="Times New Roman"/>
          <w:b/>
          <w:bCs/>
          <w:color w:val="auto"/>
          <w:highlight w:val="none"/>
          <w:u w:val="none"/>
        </w:rPr>
        <w:t>项目主要污染物排放量核算汇总</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40" w:type="dxa"/>
          <w:bottom w:w="0" w:type="dxa"/>
          <w:right w:w="40" w:type="dxa"/>
        </w:tblCellMar>
      </w:tblPr>
      <w:tblGrid>
        <w:gridCol w:w="1369"/>
        <w:gridCol w:w="2305"/>
        <w:gridCol w:w="1355"/>
        <w:gridCol w:w="1525"/>
        <w:gridCol w:w="1243"/>
        <w:gridCol w:w="1353"/>
      </w:tblGrid>
      <w:tr w14:paraId="622CA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5C7B88BD">
            <w:pPr>
              <w:pStyle w:val="92"/>
              <w:rPr>
                <w:snapToGrid w:val="0"/>
                <w:color w:val="auto"/>
                <w:highlight w:val="none"/>
                <w:u w:val="none"/>
              </w:rPr>
            </w:pPr>
            <w:bookmarkStart w:id="372" w:name="_Hlk38721181"/>
            <w:r>
              <w:rPr>
                <w:snapToGrid w:val="0"/>
                <w:color w:val="auto"/>
                <w:highlight w:val="none"/>
                <w:u w:val="none"/>
              </w:rPr>
              <w:t>种类</w:t>
            </w:r>
          </w:p>
        </w:tc>
        <w:tc>
          <w:tcPr>
            <w:tcW w:w="1259" w:type="pct"/>
            <w:vMerge w:val="restart"/>
            <w:vAlign w:val="center"/>
          </w:tcPr>
          <w:p w14:paraId="0A399A1F">
            <w:pPr>
              <w:pStyle w:val="92"/>
              <w:rPr>
                <w:snapToGrid w:val="0"/>
                <w:color w:val="auto"/>
                <w:highlight w:val="none"/>
                <w:u w:val="none"/>
              </w:rPr>
            </w:pPr>
            <w:r>
              <w:rPr>
                <w:snapToGrid w:val="0"/>
                <w:color w:val="auto"/>
                <w:highlight w:val="none"/>
                <w:u w:val="none"/>
              </w:rPr>
              <w:t>污染物名称</w:t>
            </w:r>
          </w:p>
        </w:tc>
        <w:tc>
          <w:tcPr>
            <w:tcW w:w="740" w:type="pct"/>
            <w:vMerge w:val="restart"/>
            <w:vAlign w:val="center"/>
          </w:tcPr>
          <w:p w14:paraId="5EDA5A79">
            <w:pPr>
              <w:pStyle w:val="92"/>
              <w:rPr>
                <w:snapToGrid w:val="0"/>
                <w:color w:val="auto"/>
                <w:highlight w:val="none"/>
                <w:u w:val="none"/>
              </w:rPr>
            </w:pPr>
            <w:r>
              <w:rPr>
                <w:snapToGrid w:val="0"/>
                <w:color w:val="auto"/>
                <w:highlight w:val="none"/>
                <w:u w:val="none"/>
              </w:rPr>
              <w:t>单位</w:t>
            </w:r>
          </w:p>
        </w:tc>
        <w:tc>
          <w:tcPr>
            <w:tcW w:w="2251" w:type="pct"/>
            <w:gridSpan w:val="3"/>
            <w:vAlign w:val="center"/>
          </w:tcPr>
          <w:p w14:paraId="79CDAB2C">
            <w:pPr>
              <w:pStyle w:val="92"/>
              <w:rPr>
                <w:snapToGrid w:val="0"/>
                <w:color w:val="auto"/>
                <w:highlight w:val="none"/>
                <w:u w:val="none"/>
              </w:rPr>
            </w:pPr>
            <w:r>
              <w:rPr>
                <w:rFonts w:hint="eastAsia"/>
                <w:snapToGrid w:val="0"/>
                <w:color w:val="auto"/>
                <w:highlight w:val="none"/>
                <w:u w:val="none"/>
              </w:rPr>
              <w:t>污染物量</w:t>
            </w:r>
          </w:p>
        </w:tc>
      </w:tr>
      <w:tr w14:paraId="59568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53523F2">
            <w:pPr>
              <w:pStyle w:val="92"/>
              <w:rPr>
                <w:snapToGrid w:val="0"/>
                <w:color w:val="auto"/>
                <w:highlight w:val="none"/>
                <w:u w:val="none"/>
              </w:rPr>
            </w:pPr>
          </w:p>
        </w:tc>
        <w:tc>
          <w:tcPr>
            <w:tcW w:w="1259" w:type="pct"/>
            <w:vMerge w:val="continue"/>
            <w:vAlign w:val="center"/>
          </w:tcPr>
          <w:p w14:paraId="42B0E95C">
            <w:pPr>
              <w:pStyle w:val="92"/>
              <w:rPr>
                <w:snapToGrid w:val="0"/>
                <w:color w:val="auto"/>
                <w:highlight w:val="none"/>
                <w:u w:val="none"/>
              </w:rPr>
            </w:pPr>
          </w:p>
        </w:tc>
        <w:tc>
          <w:tcPr>
            <w:tcW w:w="740" w:type="pct"/>
            <w:vMerge w:val="continue"/>
            <w:vAlign w:val="center"/>
          </w:tcPr>
          <w:p w14:paraId="17F53E39">
            <w:pPr>
              <w:pStyle w:val="92"/>
              <w:rPr>
                <w:snapToGrid w:val="0"/>
                <w:color w:val="auto"/>
                <w:highlight w:val="none"/>
                <w:u w:val="none"/>
              </w:rPr>
            </w:pPr>
          </w:p>
        </w:tc>
        <w:tc>
          <w:tcPr>
            <w:tcW w:w="833" w:type="pct"/>
            <w:vAlign w:val="center"/>
          </w:tcPr>
          <w:p w14:paraId="3660D558">
            <w:pPr>
              <w:pStyle w:val="92"/>
              <w:rPr>
                <w:snapToGrid w:val="0"/>
                <w:color w:val="auto"/>
                <w:highlight w:val="none"/>
                <w:u w:val="none"/>
              </w:rPr>
            </w:pPr>
            <w:r>
              <w:rPr>
                <w:color w:val="auto"/>
                <w:highlight w:val="none"/>
                <w:u w:val="none"/>
              </w:rPr>
              <w:t>产生量</w:t>
            </w:r>
          </w:p>
        </w:tc>
        <w:tc>
          <w:tcPr>
            <w:tcW w:w="679" w:type="pct"/>
            <w:vAlign w:val="center"/>
          </w:tcPr>
          <w:p w14:paraId="3BE55322">
            <w:pPr>
              <w:pStyle w:val="92"/>
              <w:rPr>
                <w:snapToGrid w:val="0"/>
                <w:color w:val="auto"/>
                <w:highlight w:val="none"/>
                <w:u w:val="none"/>
              </w:rPr>
            </w:pPr>
            <w:r>
              <w:rPr>
                <w:color w:val="auto"/>
                <w:highlight w:val="none"/>
                <w:u w:val="none"/>
              </w:rPr>
              <w:t>削减量</w:t>
            </w:r>
          </w:p>
        </w:tc>
        <w:tc>
          <w:tcPr>
            <w:tcW w:w="739" w:type="pct"/>
            <w:vAlign w:val="center"/>
          </w:tcPr>
          <w:p w14:paraId="67B301BC">
            <w:pPr>
              <w:pStyle w:val="92"/>
              <w:rPr>
                <w:snapToGrid w:val="0"/>
                <w:color w:val="auto"/>
                <w:highlight w:val="none"/>
                <w:u w:val="none"/>
              </w:rPr>
            </w:pPr>
            <w:r>
              <w:rPr>
                <w:color w:val="auto"/>
                <w:highlight w:val="none"/>
                <w:u w:val="none"/>
              </w:rPr>
              <w:t>排放量</w:t>
            </w:r>
          </w:p>
        </w:tc>
      </w:tr>
      <w:tr w14:paraId="2A62F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67840991">
            <w:pPr>
              <w:pStyle w:val="92"/>
              <w:rPr>
                <w:snapToGrid w:val="0"/>
                <w:color w:val="auto"/>
                <w:highlight w:val="none"/>
                <w:u w:val="none"/>
              </w:rPr>
            </w:pPr>
            <w:r>
              <w:rPr>
                <w:snapToGrid w:val="0"/>
                <w:color w:val="auto"/>
                <w:highlight w:val="none"/>
                <w:u w:val="none"/>
              </w:rPr>
              <w:t>废气</w:t>
            </w:r>
          </w:p>
        </w:tc>
        <w:tc>
          <w:tcPr>
            <w:tcW w:w="1259" w:type="pct"/>
            <w:vAlign w:val="center"/>
          </w:tcPr>
          <w:p w14:paraId="4F6FF217">
            <w:pPr>
              <w:pStyle w:val="92"/>
              <w:rPr>
                <w:snapToGrid w:val="0"/>
                <w:color w:val="auto"/>
                <w:highlight w:val="none"/>
                <w:u w:val="none"/>
              </w:rPr>
            </w:pPr>
            <w:r>
              <w:rPr>
                <w:snapToGrid w:val="0"/>
                <w:color w:val="auto"/>
                <w:highlight w:val="none"/>
                <w:u w:val="none"/>
              </w:rPr>
              <w:t>NO</w:t>
            </w:r>
            <w:r>
              <w:rPr>
                <w:snapToGrid w:val="0"/>
                <w:color w:val="auto"/>
                <w:highlight w:val="none"/>
                <w:u w:val="none"/>
                <w:vertAlign w:val="subscript"/>
              </w:rPr>
              <w:t>X</w:t>
            </w:r>
          </w:p>
        </w:tc>
        <w:tc>
          <w:tcPr>
            <w:tcW w:w="740" w:type="pct"/>
            <w:vAlign w:val="center"/>
          </w:tcPr>
          <w:p w14:paraId="14A74436">
            <w:pPr>
              <w:pStyle w:val="92"/>
              <w:rPr>
                <w:snapToGrid w:val="0"/>
                <w:color w:val="auto"/>
                <w:highlight w:val="none"/>
                <w:u w:val="none"/>
              </w:rPr>
            </w:pPr>
            <w:r>
              <w:rPr>
                <w:snapToGrid w:val="0"/>
                <w:color w:val="auto"/>
                <w:highlight w:val="none"/>
                <w:u w:val="none"/>
              </w:rPr>
              <w:t>t/a</w:t>
            </w:r>
          </w:p>
        </w:tc>
        <w:tc>
          <w:tcPr>
            <w:tcW w:w="833" w:type="pct"/>
            <w:vAlign w:val="bottom"/>
          </w:tcPr>
          <w:p w14:paraId="6FF075A6">
            <w:pPr>
              <w:pStyle w:val="92"/>
              <w:rPr>
                <w:snapToGrid w:val="0"/>
                <w:color w:val="auto"/>
                <w:highlight w:val="none"/>
                <w:u w:val="none"/>
              </w:rPr>
            </w:pPr>
            <w:r>
              <w:rPr>
                <w:rFonts w:hint="eastAsia" w:eastAsia="等线"/>
                <w:color w:val="auto"/>
                <w:highlight w:val="none"/>
                <w:u w:val="none"/>
                <w:lang w:val="en-US" w:eastAsia="zh-CN"/>
              </w:rPr>
              <w:t>182.52</w:t>
            </w:r>
            <w:r>
              <w:rPr>
                <w:rFonts w:eastAsia="等线"/>
                <w:color w:val="auto"/>
                <w:highlight w:val="none"/>
                <w:u w:val="none"/>
              </w:rPr>
              <w:t xml:space="preserve"> </w:t>
            </w:r>
          </w:p>
        </w:tc>
        <w:tc>
          <w:tcPr>
            <w:tcW w:w="679" w:type="pct"/>
            <w:vAlign w:val="bottom"/>
          </w:tcPr>
          <w:p w14:paraId="76DE5DAF">
            <w:pPr>
              <w:pStyle w:val="92"/>
              <w:rPr>
                <w:rFonts w:hint="default" w:eastAsia="等线"/>
                <w:color w:val="auto"/>
                <w:highlight w:val="none"/>
                <w:u w:val="none"/>
                <w:lang w:val="en-US" w:eastAsia="zh-CN"/>
              </w:rPr>
            </w:pPr>
            <w:r>
              <w:rPr>
                <w:rFonts w:hint="eastAsia" w:eastAsia="等线"/>
                <w:color w:val="auto"/>
                <w:highlight w:val="none"/>
                <w:u w:val="none"/>
                <w:lang w:val="en-US" w:eastAsia="zh-CN"/>
              </w:rPr>
              <w:t>182.52</w:t>
            </w:r>
          </w:p>
        </w:tc>
        <w:tc>
          <w:tcPr>
            <w:tcW w:w="739" w:type="pct"/>
            <w:vAlign w:val="bottom"/>
          </w:tcPr>
          <w:p w14:paraId="4BBCF07E">
            <w:pPr>
              <w:pStyle w:val="92"/>
              <w:rPr>
                <w:rFonts w:hint="eastAsia" w:eastAsia="宋体"/>
                <w:snapToGrid w:val="0"/>
                <w:color w:val="auto"/>
                <w:highlight w:val="none"/>
                <w:u w:val="none"/>
                <w:lang w:val="en-US" w:eastAsia="zh-CN"/>
              </w:rPr>
            </w:pPr>
            <w:r>
              <w:rPr>
                <w:rFonts w:hint="eastAsia"/>
                <w:snapToGrid w:val="0"/>
                <w:color w:val="auto"/>
                <w:highlight w:val="none"/>
                <w:u w:val="none"/>
              </w:rPr>
              <w:t>0</w:t>
            </w:r>
            <w:r>
              <w:rPr>
                <w:rFonts w:hint="eastAsia"/>
                <w:snapToGrid w:val="0"/>
                <w:color w:val="auto"/>
                <w:highlight w:val="none"/>
                <w:u w:val="none"/>
                <w:lang w:val="en-US" w:eastAsia="zh-CN"/>
              </w:rPr>
              <w:t>*</w:t>
            </w:r>
          </w:p>
        </w:tc>
      </w:tr>
      <w:tr w14:paraId="2CF51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2A798AC">
            <w:pPr>
              <w:pStyle w:val="92"/>
              <w:rPr>
                <w:snapToGrid w:val="0"/>
                <w:color w:val="auto"/>
                <w:highlight w:val="none"/>
                <w:u w:val="none"/>
              </w:rPr>
            </w:pPr>
          </w:p>
        </w:tc>
        <w:tc>
          <w:tcPr>
            <w:tcW w:w="1259" w:type="pct"/>
            <w:vAlign w:val="center"/>
          </w:tcPr>
          <w:p w14:paraId="5D4E497C">
            <w:pPr>
              <w:pStyle w:val="92"/>
              <w:rPr>
                <w:snapToGrid w:val="0"/>
                <w:color w:val="auto"/>
                <w:highlight w:val="none"/>
                <w:u w:val="none"/>
              </w:rPr>
            </w:pPr>
            <w:r>
              <w:rPr>
                <w:rFonts w:hint="eastAsia"/>
                <w:color w:val="auto"/>
                <w:sz w:val="18"/>
                <w:szCs w:val="18"/>
                <w:highlight w:val="none"/>
                <w:u w:val="none"/>
              </w:rPr>
              <w:t>DNT</w:t>
            </w:r>
          </w:p>
          <w:p w14:paraId="6298B9E7">
            <w:pPr>
              <w:pStyle w:val="92"/>
              <w:rPr>
                <w:snapToGrid w:val="0"/>
                <w:color w:val="auto"/>
                <w:highlight w:val="none"/>
                <w:u w:val="none"/>
              </w:rPr>
            </w:pPr>
            <w:r>
              <w:rPr>
                <w:snapToGrid w:val="0"/>
                <w:color w:val="auto"/>
                <w:highlight w:val="none"/>
                <w:u w:val="none"/>
              </w:rPr>
              <w:t>硝基苯类</w:t>
            </w:r>
          </w:p>
        </w:tc>
        <w:tc>
          <w:tcPr>
            <w:tcW w:w="740" w:type="pct"/>
            <w:vAlign w:val="center"/>
          </w:tcPr>
          <w:p w14:paraId="1820AE55">
            <w:pPr>
              <w:pStyle w:val="92"/>
              <w:rPr>
                <w:snapToGrid w:val="0"/>
                <w:color w:val="auto"/>
                <w:highlight w:val="none"/>
                <w:u w:val="none"/>
              </w:rPr>
            </w:pPr>
            <w:r>
              <w:rPr>
                <w:snapToGrid w:val="0"/>
                <w:color w:val="auto"/>
                <w:highlight w:val="none"/>
                <w:u w:val="none"/>
              </w:rPr>
              <w:t>t/a</w:t>
            </w:r>
          </w:p>
        </w:tc>
        <w:tc>
          <w:tcPr>
            <w:tcW w:w="833" w:type="pct"/>
            <w:vAlign w:val="bottom"/>
          </w:tcPr>
          <w:p w14:paraId="38CCBD6F">
            <w:pPr>
              <w:pStyle w:val="92"/>
              <w:rPr>
                <w:rFonts w:eastAsia="等线"/>
                <w:color w:val="auto"/>
                <w:highlight w:val="none"/>
                <w:u w:val="none"/>
              </w:rPr>
            </w:pPr>
            <w:r>
              <w:rPr>
                <w:rFonts w:eastAsia="等线"/>
                <w:color w:val="auto"/>
                <w:highlight w:val="none"/>
                <w:u w:val="none"/>
              </w:rPr>
              <w:t xml:space="preserve">1.20 </w:t>
            </w:r>
          </w:p>
        </w:tc>
        <w:tc>
          <w:tcPr>
            <w:tcW w:w="1243" w:type="dxa"/>
            <w:vAlign w:val="bottom"/>
          </w:tcPr>
          <w:p w14:paraId="218C1AE6">
            <w:pPr>
              <w:pStyle w:val="92"/>
              <w:rPr>
                <w:rFonts w:eastAsia="等线"/>
                <w:color w:val="auto"/>
                <w:highlight w:val="none"/>
                <w:u w:val="none"/>
              </w:rPr>
            </w:pPr>
            <w:r>
              <w:rPr>
                <w:rFonts w:eastAsia="等线"/>
                <w:color w:val="auto"/>
                <w:highlight w:val="none"/>
                <w:u w:val="none"/>
              </w:rPr>
              <w:t>0.07</w:t>
            </w:r>
          </w:p>
        </w:tc>
        <w:tc>
          <w:tcPr>
            <w:tcW w:w="1353" w:type="dxa"/>
            <w:vAlign w:val="center"/>
          </w:tcPr>
          <w:p w14:paraId="16F0BFA6">
            <w:pPr>
              <w:pStyle w:val="92"/>
              <w:rPr>
                <w:rFonts w:eastAsia="等线"/>
                <w:color w:val="auto"/>
                <w:highlight w:val="none"/>
                <w:u w:val="none"/>
              </w:rPr>
            </w:pPr>
            <w:r>
              <w:rPr>
                <w:rFonts w:hint="eastAsia" w:eastAsia="等线"/>
                <w:color w:val="auto"/>
                <w:highlight w:val="none"/>
                <w:u w:val="none"/>
              </w:rPr>
              <w:t xml:space="preserve">1.13 </w:t>
            </w:r>
          </w:p>
        </w:tc>
      </w:tr>
      <w:tr w14:paraId="674AF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0B9D9A4">
            <w:pPr>
              <w:pStyle w:val="92"/>
              <w:rPr>
                <w:snapToGrid w:val="0"/>
                <w:color w:val="auto"/>
                <w:highlight w:val="none"/>
                <w:u w:val="none"/>
              </w:rPr>
            </w:pPr>
          </w:p>
        </w:tc>
        <w:tc>
          <w:tcPr>
            <w:tcW w:w="1259" w:type="pct"/>
            <w:vAlign w:val="center"/>
          </w:tcPr>
          <w:p w14:paraId="04DF4A70">
            <w:pPr>
              <w:pStyle w:val="92"/>
              <w:rPr>
                <w:snapToGrid w:val="0"/>
                <w:color w:val="auto"/>
                <w:highlight w:val="none"/>
                <w:u w:val="none"/>
              </w:rPr>
            </w:pPr>
            <w:r>
              <w:rPr>
                <w:snapToGrid w:val="0"/>
                <w:color w:val="auto"/>
                <w:highlight w:val="none"/>
                <w:u w:val="none"/>
              </w:rPr>
              <w:t>甲苯</w:t>
            </w:r>
          </w:p>
        </w:tc>
        <w:tc>
          <w:tcPr>
            <w:tcW w:w="740" w:type="pct"/>
            <w:vAlign w:val="center"/>
          </w:tcPr>
          <w:p w14:paraId="053766B5">
            <w:pPr>
              <w:pStyle w:val="92"/>
              <w:rPr>
                <w:snapToGrid w:val="0"/>
                <w:color w:val="auto"/>
                <w:highlight w:val="none"/>
                <w:u w:val="none"/>
              </w:rPr>
            </w:pPr>
            <w:r>
              <w:rPr>
                <w:snapToGrid w:val="0"/>
                <w:color w:val="auto"/>
                <w:highlight w:val="none"/>
                <w:u w:val="none"/>
              </w:rPr>
              <w:t>t/a</w:t>
            </w:r>
          </w:p>
        </w:tc>
        <w:tc>
          <w:tcPr>
            <w:tcW w:w="833" w:type="pct"/>
            <w:vAlign w:val="bottom"/>
          </w:tcPr>
          <w:p w14:paraId="396BF430">
            <w:pPr>
              <w:pStyle w:val="92"/>
              <w:rPr>
                <w:rFonts w:eastAsia="等线"/>
                <w:snapToGrid w:val="0"/>
                <w:color w:val="auto"/>
                <w:highlight w:val="none"/>
                <w:u w:val="none"/>
              </w:rPr>
            </w:pPr>
            <w:r>
              <w:rPr>
                <w:rFonts w:eastAsia="等线"/>
                <w:color w:val="auto"/>
                <w:highlight w:val="none"/>
                <w:u w:val="none"/>
              </w:rPr>
              <w:t>1.</w:t>
            </w:r>
            <w:r>
              <w:rPr>
                <w:rFonts w:hint="eastAsia" w:eastAsia="等线"/>
                <w:color w:val="auto"/>
                <w:highlight w:val="none"/>
                <w:u w:val="none"/>
              </w:rPr>
              <w:t>98</w:t>
            </w:r>
          </w:p>
        </w:tc>
        <w:tc>
          <w:tcPr>
            <w:tcW w:w="1243" w:type="dxa"/>
            <w:vAlign w:val="bottom"/>
          </w:tcPr>
          <w:p w14:paraId="7D83A562">
            <w:pPr>
              <w:pStyle w:val="92"/>
              <w:rPr>
                <w:rFonts w:eastAsia="等线"/>
                <w:color w:val="auto"/>
                <w:highlight w:val="none"/>
                <w:u w:val="none"/>
              </w:rPr>
            </w:pPr>
            <w:r>
              <w:rPr>
                <w:rFonts w:eastAsia="等线"/>
                <w:color w:val="auto"/>
                <w:highlight w:val="none"/>
                <w:u w:val="none"/>
              </w:rPr>
              <w:t>1.47</w:t>
            </w:r>
          </w:p>
        </w:tc>
        <w:tc>
          <w:tcPr>
            <w:tcW w:w="1353" w:type="dxa"/>
            <w:vAlign w:val="center"/>
          </w:tcPr>
          <w:p w14:paraId="3E6C9989">
            <w:pPr>
              <w:pStyle w:val="92"/>
              <w:rPr>
                <w:rFonts w:eastAsia="等线"/>
                <w:color w:val="auto"/>
                <w:highlight w:val="none"/>
                <w:u w:val="none"/>
              </w:rPr>
            </w:pPr>
            <w:r>
              <w:rPr>
                <w:rFonts w:hint="eastAsia" w:eastAsia="等线"/>
                <w:color w:val="auto"/>
                <w:highlight w:val="none"/>
                <w:u w:val="none"/>
              </w:rPr>
              <w:t xml:space="preserve">0.51 </w:t>
            </w:r>
          </w:p>
        </w:tc>
      </w:tr>
      <w:tr w14:paraId="0C93F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2E084F7">
            <w:pPr>
              <w:pStyle w:val="92"/>
              <w:rPr>
                <w:snapToGrid w:val="0"/>
                <w:color w:val="auto"/>
                <w:highlight w:val="none"/>
                <w:u w:val="none"/>
              </w:rPr>
            </w:pPr>
            <w:bookmarkStart w:id="373" w:name="OLE_LINK36" w:colFirst="3" w:colLast="5"/>
            <w:bookmarkStart w:id="374" w:name="_Hlk322982149"/>
            <w:bookmarkStart w:id="375" w:name="OLE_LINK34" w:colFirst="3" w:colLast="5"/>
            <w:bookmarkStart w:id="376" w:name="OLE_LINK24" w:colFirst="3" w:colLast="5"/>
            <w:bookmarkStart w:id="377" w:name="_Hlk319102544"/>
            <w:bookmarkStart w:id="378" w:name="OLE_LINK35" w:colFirst="3" w:colLast="5"/>
            <w:bookmarkStart w:id="379" w:name="OLE_LINK25" w:colFirst="3" w:colLast="5"/>
          </w:p>
        </w:tc>
        <w:tc>
          <w:tcPr>
            <w:tcW w:w="1259" w:type="pct"/>
            <w:vAlign w:val="center"/>
          </w:tcPr>
          <w:p w14:paraId="3A59BFBD">
            <w:pPr>
              <w:pStyle w:val="92"/>
              <w:rPr>
                <w:snapToGrid w:val="0"/>
                <w:color w:val="auto"/>
                <w:highlight w:val="none"/>
                <w:u w:val="none"/>
              </w:rPr>
            </w:pPr>
            <w:r>
              <w:rPr>
                <w:snapToGrid w:val="0"/>
                <w:color w:val="auto"/>
                <w:highlight w:val="none"/>
                <w:u w:val="none"/>
              </w:rPr>
              <w:t>氨</w:t>
            </w:r>
          </w:p>
        </w:tc>
        <w:tc>
          <w:tcPr>
            <w:tcW w:w="740" w:type="pct"/>
            <w:vAlign w:val="center"/>
          </w:tcPr>
          <w:p w14:paraId="201D7E7E">
            <w:pPr>
              <w:pStyle w:val="92"/>
              <w:rPr>
                <w:snapToGrid w:val="0"/>
                <w:color w:val="auto"/>
                <w:highlight w:val="none"/>
                <w:u w:val="none"/>
              </w:rPr>
            </w:pPr>
            <w:r>
              <w:rPr>
                <w:snapToGrid w:val="0"/>
                <w:color w:val="auto"/>
                <w:highlight w:val="none"/>
                <w:u w:val="none"/>
              </w:rPr>
              <w:t>t/a</w:t>
            </w:r>
          </w:p>
        </w:tc>
        <w:tc>
          <w:tcPr>
            <w:tcW w:w="833" w:type="pct"/>
            <w:vAlign w:val="bottom"/>
          </w:tcPr>
          <w:p w14:paraId="268A7088">
            <w:pPr>
              <w:pStyle w:val="92"/>
              <w:rPr>
                <w:snapToGrid w:val="0"/>
                <w:color w:val="auto"/>
                <w:highlight w:val="none"/>
                <w:u w:val="none"/>
              </w:rPr>
            </w:pPr>
            <w:r>
              <w:rPr>
                <w:rFonts w:eastAsia="等线"/>
                <w:color w:val="auto"/>
                <w:highlight w:val="none"/>
                <w:u w:val="none"/>
              </w:rPr>
              <w:t xml:space="preserve">13.19 </w:t>
            </w:r>
          </w:p>
        </w:tc>
        <w:tc>
          <w:tcPr>
            <w:tcW w:w="1243" w:type="dxa"/>
            <w:vAlign w:val="bottom"/>
          </w:tcPr>
          <w:p w14:paraId="280BD332">
            <w:pPr>
              <w:pStyle w:val="92"/>
              <w:rPr>
                <w:rFonts w:eastAsia="等线"/>
                <w:color w:val="auto"/>
                <w:highlight w:val="none"/>
                <w:u w:val="none"/>
              </w:rPr>
            </w:pPr>
            <w:r>
              <w:rPr>
                <w:rFonts w:eastAsia="等线"/>
                <w:color w:val="auto"/>
                <w:highlight w:val="none"/>
                <w:u w:val="none"/>
              </w:rPr>
              <w:t>13.19</w:t>
            </w:r>
          </w:p>
        </w:tc>
        <w:tc>
          <w:tcPr>
            <w:tcW w:w="1353" w:type="dxa"/>
            <w:vAlign w:val="center"/>
          </w:tcPr>
          <w:p w14:paraId="68B1EB12">
            <w:pPr>
              <w:pStyle w:val="92"/>
              <w:rPr>
                <w:rFonts w:hint="eastAsia" w:eastAsia="等线"/>
                <w:color w:val="auto"/>
                <w:highlight w:val="none"/>
                <w:u w:val="none"/>
                <w:lang w:val="en-US" w:eastAsia="zh-CN"/>
              </w:rPr>
            </w:pPr>
            <w:r>
              <w:rPr>
                <w:rFonts w:hint="eastAsia" w:eastAsia="等线"/>
                <w:color w:val="auto"/>
                <w:highlight w:val="none"/>
                <w:u w:val="none"/>
              </w:rPr>
              <w:t>0</w:t>
            </w:r>
            <w:r>
              <w:rPr>
                <w:rFonts w:hint="eastAsia" w:eastAsia="等线"/>
                <w:color w:val="auto"/>
                <w:highlight w:val="none"/>
                <w:u w:val="none"/>
                <w:lang w:val="en-US" w:eastAsia="zh-CN"/>
              </w:rPr>
              <w:t>*</w:t>
            </w:r>
          </w:p>
        </w:tc>
      </w:tr>
      <w:bookmarkEnd w:id="373"/>
      <w:bookmarkEnd w:id="374"/>
      <w:bookmarkEnd w:id="375"/>
      <w:bookmarkEnd w:id="376"/>
      <w:bookmarkEnd w:id="377"/>
      <w:bookmarkEnd w:id="378"/>
      <w:bookmarkEnd w:id="379"/>
      <w:tr w14:paraId="6AF73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246E7ABF">
            <w:pPr>
              <w:pStyle w:val="92"/>
              <w:rPr>
                <w:snapToGrid w:val="0"/>
                <w:color w:val="auto"/>
                <w:highlight w:val="none"/>
                <w:u w:val="none"/>
              </w:rPr>
            </w:pPr>
          </w:p>
        </w:tc>
        <w:tc>
          <w:tcPr>
            <w:tcW w:w="1259" w:type="pct"/>
            <w:vAlign w:val="center"/>
          </w:tcPr>
          <w:p w14:paraId="3D67A8AF">
            <w:pPr>
              <w:pStyle w:val="92"/>
              <w:rPr>
                <w:snapToGrid w:val="0"/>
                <w:color w:val="auto"/>
                <w:highlight w:val="none"/>
                <w:u w:val="none"/>
              </w:rPr>
            </w:pPr>
            <w:r>
              <w:rPr>
                <w:snapToGrid w:val="0"/>
                <w:color w:val="auto"/>
                <w:highlight w:val="none"/>
                <w:u w:val="none"/>
              </w:rPr>
              <w:t>苯胺类</w:t>
            </w:r>
          </w:p>
        </w:tc>
        <w:tc>
          <w:tcPr>
            <w:tcW w:w="740" w:type="pct"/>
            <w:vAlign w:val="center"/>
          </w:tcPr>
          <w:p w14:paraId="4CBF1D5C">
            <w:pPr>
              <w:pStyle w:val="92"/>
              <w:rPr>
                <w:snapToGrid w:val="0"/>
                <w:color w:val="auto"/>
                <w:highlight w:val="none"/>
                <w:u w:val="none"/>
              </w:rPr>
            </w:pPr>
            <w:r>
              <w:rPr>
                <w:snapToGrid w:val="0"/>
                <w:color w:val="auto"/>
                <w:highlight w:val="none"/>
                <w:u w:val="none"/>
              </w:rPr>
              <w:t>t/a</w:t>
            </w:r>
          </w:p>
        </w:tc>
        <w:tc>
          <w:tcPr>
            <w:tcW w:w="833" w:type="pct"/>
            <w:vAlign w:val="bottom"/>
          </w:tcPr>
          <w:p w14:paraId="5AD63FD1">
            <w:pPr>
              <w:pStyle w:val="92"/>
              <w:rPr>
                <w:rFonts w:eastAsia="等线"/>
                <w:color w:val="auto"/>
                <w:highlight w:val="none"/>
                <w:u w:val="none"/>
              </w:rPr>
            </w:pPr>
            <w:r>
              <w:rPr>
                <w:rFonts w:eastAsia="等线"/>
                <w:color w:val="auto"/>
                <w:highlight w:val="none"/>
                <w:u w:val="none"/>
              </w:rPr>
              <w:t xml:space="preserve">8.32 </w:t>
            </w:r>
          </w:p>
        </w:tc>
        <w:tc>
          <w:tcPr>
            <w:tcW w:w="1243" w:type="dxa"/>
            <w:vAlign w:val="bottom"/>
          </w:tcPr>
          <w:p w14:paraId="685B1641">
            <w:pPr>
              <w:pStyle w:val="92"/>
              <w:rPr>
                <w:rFonts w:eastAsia="等线"/>
                <w:color w:val="auto"/>
                <w:highlight w:val="none"/>
                <w:u w:val="none"/>
              </w:rPr>
            </w:pPr>
            <w:r>
              <w:rPr>
                <w:rFonts w:eastAsia="等线"/>
                <w:color w:val="auto"/>
                <w:highlight w:val="none"/>
                <w:u w:val="none"/>
              </w:rPr>
              <w:t>3.23</w:t>
            </w:r>
          </w:p>
        </w:tc>
        <w:tc>
          <w:tcPr>
            <w:tcW w:w="1353" w:type="dxa"/>
            <w:vAlign w:val="center"/>
          </w:tcPr>
          <w:p w14:paraId="0971B9F2">
            <w:pPr>
              <w:pStyle w:val="92"/>
              <w:rPr>
                <w:rFonts w:eastAsia="等线"/>
                <w:color w:val="auto"/>
                <w:highlight w:val="none"/>
                <w:u w:val="none"/>
              </w:rPr>
            </w:pPr>
            <w:r>
              <w:rPr>
                <w:rFonts w:hint="eastAsia" w:eastAsia="等线"/>
                <w:color w:val="auto"/>
                <w:highlight w:val="none"/>
                <w:u w:val="none"/>
              </w:rPr>
              <w:t xml:space="preserve">5.09 </w:t>
            </w:r>
          </w:p>
        </w:tc>
      </w:tr>
      <w:tr w14:paraId="7CE7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28D8F9B5">
            <w:pPr>
              <w:pStyle w:val="92"/>
              <w:rPr>
                <w:snapToGrid w:val="0"/>
                <w:color w:val="auto"/>
                <w:highlight w:val="none"/>
                <w:u w:val="none"/>
              </w:rPr>
            </w:pPr>
          </w:p>
        </w:tc>
        <w:tc>
          <w:tcPr>
            <w:tcW w:w="1259" w:type="pct"/>
            <w:vAlign w:val="center"/>
          </w:tcPr>
          <w:p w14:paraId="26F0599D">
            <w:pPr>
              <w:pStyle w:val="92"/>
              <w:rPr>
                <w:snapToGrid w:val="0"/>
                <w:color w:val="auto"/>
                <w:highlight w:val="none"/>
                <w:u w:val="none"/>
              </w:rPr>
            </w:pPr>
            <w:r>
              <w:rPr>
                <w:snapToGrid w:val="0"/>
                <w:color w:val="auto"/>
                <w:highlight w:val="none"/>
                <w:u w:val="none"/>
              </w:rPr>
              <w:t>TDI</w:t>
            </w:r>
          </w:p>
        </w:tc>
        <w:tc>
          <w:tcPr>
            <w:tcW w:w="740" w:type="pct"/>
            <w:vAlign w:val="center"/>
          </w:tcPr>
          <w:p w14:paraId="6DAAB319">
            <w:pPr>
              <w:pStyle w:val="92"/>
              <w:rPr>
                <w:snapToGrid w:val="0"/>
                <w:color w:val="auto"/>
                <w:highlight w:val="none"/>
                <w:u w:val="none"/>
              </w:rPr>
            </w:pPr>
            <w:r>
              <w:rPr>
                <w:snapToGrid w:val="0"/>
                <w:color w:val="auto"/>
                <w:highlight w:val="none"/>
                <w:u w:val="none"/>
              </w:rPr>
              <w:t>t/a</w:t>
            </w:r>
          </w:p>
        </w:tc>
        <w:tc>
          <w:tcPr>
            <w:tcW w:w="833" w:type="pct"/>
            <w:vAlign w:val="bottom"/>
          </w:tcPr>
          <w:p w14:paraId="48A5C8D5">
            <w:pPr>
              <w:pStyle w:val="92"/>
              <w:rPr>
                <w:snapToGrid w:val="0"/>
                <w:color w:val="auto"/>
                <w:highlight w:val="none"/>
                <w:u w:val="none"/>
              </w:rPr>
            </w:pPr>
            <w:r>
              <w:rPr>
                <w:rFonts w:hint="eastAsia" w:eastAsia="等线"/>
                <w:color w:val="auto"/>
                <w:highlight w:val="none"/>
                <w:u w:val="none"/>
              </w:rPr>
              <w:t>3.80</w:t>
            </w:r>
          </w:p>
        </w:tc>
        <w:tc>
          <w:tcPr>
            <w:tcW w:w="1243" w:type="dxa"/>
            <w:vAlign w:val="bottom"/>
          </w:tcPr>
          <w:p w14:paraId="1B166BDF">
            <w:pPr>
              <w:pStyle w:val="92"/>
              <w:rPr>
                <w:rFonts w:eastAsia="等线"/>
                <w:color w:val="auto"/>
                <w:highlight w:val="none"/>
                <w:u w:val="none"/>
              </w:rPr>
            </w:pPr>
            <w:r>
              <w:rPr>
                <w:rFonts w:eastAsia="等线"/>
                <w:color w:val="auto"/>
                <w:highlight w:val="none"/>
                <w:u w:val="none"/>
              </w:rPr>
              <w:t>2.24</w:t>
            </w:r>
          </w:p>
        </w:tc>
        <w:tc>
          <w:tcPr>
            <w:tcW w:w="1353" w:type="dxa"/>
            <w:vAlign w:val="center"/>
          </w:tcPr>
          <w:p w14:paraId="46351158">
            <w:pPr>
              <w:pStyle w:val="92"/>
              <w:rPr>
                <w:rFonts w:eastAsia="等线"/>
                <w:color w:val="auto"/>
                <w:highlight w:val="none"/>
                <w:u w:val="none"/>
              </w:rPr>
            </w:pPr>
            <w:r>
              <w:rPr>
                <w:rFonts w:hint="eastAsia" w:eastAsia="等线"/>
                <w:color w:val="auto"/>
                <w:highlight w:val="none"/>
                <w:u w:val="none"/>
              </w:rPr>
              <w:t xml:space="preserve">1.56 </w:t>
            </w:r>
          </w:p>
        </w:tc>
      </w:tr>
      <w:tr w14:paraId="57AB0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CBB7A0B">
            <w:pPr>
              <w:pStyle w:val="92"/>
              <w:rPr>
                <w:snapToGrid w:val="0"/>
                <w:color w:val="auto"/>
                <w:highlight w:val="none"/>
                <w:u w:val="none"/>
              </w:rPr>
            </w:pPr>
          </w:p>
        </w:tc>
        <w:tc>
          <w:tcPr>
            <w:tcW w:w="1259" w:type="pct"/>
            <w:vAlign w:val="center"/>
          </w:tcPr>
          <w:p w14:paraId="4681C53F">
            <w:pPr>
              <w:pStyle w:val="92"/>
              <w:rPr>
                <w:color w:val="auto"/>
                <w:sz w:val="18"/>
                <w:szCs w:val="18"/>
                <w:highlight w:val="none"/>
                <w:u w:val="none"/>
              </w:rPr>
            </w:pPr>
            <w:r>
              <w:rPr>
                <w:rFonts w:hint="eastAsia"/>
                <w:color w:val="auto"/>
                <w:sz w:val="18"/>
                <w:szCs w:val="18"/>
                <w:highlight w:val="none"/>
                <w:u w:val="none"/>
              </w:rPr>
              <w:t>ODCB</w:t>
            </w:r>
          </w:p>
          <w:p w14:paraId="561B3D39">
            <w:pPr>
              <w:pStyle w:val="92"/>
              <w:rPr>
                <w:snapToGrid w:val="0"/>
                <w:color w:val="auto"/>
                <w:highlight w:val="none"/>
                <w:u w:val="none"/>
              </w:rPr>
            </w:pPr>
            <w:r>
              <w:rPr>
                <w:color w:val="auto"/>
                <w:sz w:val="18"/>
                <w:szCs w:val="18"/>
                <w:highlight w:val="none"/>
                <w:u w:val="none"/>
              </w:rPr>
              <w:t>（氯苯类）</w:t>
            </w:r>
          </w:p>
        </w:tc>
        <w:tc>
          <w:tcPr>
            <w:tcW w:w="740" w:type="pct"/>
            <w:vAlign w:val="center"/>
          </w:tcPr>
          <w:p w14:paraId="46393D46">
            <w:pPr>
              <w:pStyle w:val="92"/>
              <w:rPr>
                <w:snapToGrid w:val="0"/>
                <w:color w:val="auto"/>
                <w:highlight w:val="none"/>
                <w:u w:val="none"/>
              </w:rPr>
            </w:pPr>
            <w:r>
              <w:rPr>
                <w:snapToGrid w:val="0"/>
                <w:color w:val="auto"/>
                <w:highlight w:val="none"/>
                <w:u w:val="none"/>
              </w:rPr>
              <w:t>t/a</w:t>
            </w:r>
          </w:p>
        </w:tc>
        <w:tc>
          <w:tcPr>
            <w:tcW w:w="833" w:type="pct"/>
            <w:vAlign w:val="bottom"/>
          </w:tcPr>
          <w:p w14:paraId="1CF083B8">
            <w:pPr>
              <w:pStyle w:val="92"/>
              <w:rPr>
                <w:rFonts w:hint="default" w:eastAsia="等线"/>
                <w:color w:val="auto"/>
                <w:highlight w:val="none"/>
                <w:u w:val="none"/>
                <w:lang w:val="en-US" w:eastAsia="zh-CN"/>
              </w:rPr>
            </w:pPr>
            <w:r>
              <w:rPr>
                <w:rFonts w:hint="eastAsia" w:eastAsia="等线"/>
                <w:color w:val="auto"/>
                <w:highlight w:val="none"/>
                <w:u w:val="none"/>
                <w:lang w:val="en-US" w:eastAsia="zh-CN"/>
              </w:rPr>
              <w:t>21.71</w:t>
            </w:r>
          </w:p>
        </w:tc>
        <w:tc>
          <w:tcPr>
            <w:tcW w:w="1243" w:type="dxa"/>
            <w:vAlign w:val="bottom"/>
          </w:tcPr>
          <w:p w14:paraId="51F9E2CA">
            <w:pPr>
              <w:pStyle w:val="92"/>
              <w:rPr>
                <w:rFonts w:hint="default" w:eastAsia="等线"/>
                <w:color w:val="auto"/>
                <w:highlight w:val="none"/>
                <w:u w:val="none"/>
                <w:lang w:val="en-US" w:eastAsia="zh-CN"/>
              </w:rPr>
            </w:pPr>
            <w:r>
              <w:rPr>
                <w:rFonts w:hint="eastAsia" w:eastAsia="等线"/>
                <w:color w:val="auto"/>
                <w:highlight w:val="none"/>
                <w:u w:val="none"/>
                <w:lang w:val="en-US" w:eastAsia="zh-CN"/>
              </w:rPr>
              <w:t>19.73</w:t>
            </w:r>
          </w:p>
        </w:tc>
        <w:tc>
          <w:tcPr>
            <w:tcW w:w="1353" w:type="dxa"/>
            <w:vAlign w:val="center"/>
          </w:tcPr>
          <w:p w14:paraId="7A7E3B04">
            <w:pPr>
              <w:pStyle w:val="92"/>
              <w:rPr>
                <w:rFonts w:eastAsia="等线"/>
                <w:color w:val="auto"/>
                <w:highlight w:val="none"/>
                <w:u w:val="none"/>
              </w:rPr>
            </w:pPr>
            <w:r>
              <w:rPr>
                <w:rFonts w:hint="eastAsia" w:eastAsia="等线"/>
                <w:color w:val="auto"/>
                <w:highlight w:val="none"/>
                <w:u w:val="none"/>
              </w:rPr>
              <w:t xml:space="preserve">1.98 </w:t>
            </w:r>
          </w:p>
        </w:tc>
      </w:tr>
      <w:tr w14:paraId="076A7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84F7D27">
            <w:pPr>
              <w:pStyle w:val="92"/>
              <w:rPr>
                <w:snapToGrid w:val="0"/>
                <w:color w:val="auto"/>
                <w:highlight w:val="none"/>
                <w:u w:val="none"/>
              </w:rPr>
            </w:pPr>
          </w:p>
        </w:tc>
        <w:tc>
          <w:tcPr>
            <w:tcW w:w="1259" w:type="pct"/>
            <w:vAlign w:val="center"/>
          </w:tcPr>
          <w:p w14:paraId="7C812651">
            <w:pPr>
              <w:pStyle w:val="92"/>
              <w:rPr>
                <w:snapToGrid w:val="0"/>
                <w:color w:val="auto"/>
                <w:highlight w:val="none"/>
                <w:u w:val="none"/>
              </w:rPr>
            </w:pPr>
            <w:r>
              <w:rPr>
                <w:snapToGrid w:val="0"/>
                <w:color w:val="auto"/>
                <w:highlight w:val="none"/>
                <w:u w:val="none"/>
              </w:rPr>
              <w:t>光气</w:t>
            </w:r>
          </w:p>
        </w:tc>
        <w:tc>
          <w:tcPr>
            <w:tcW w:w="740" w:type="pct"/>
            <w:vAlign w:val="center"/>
          </w:tcPr>
          <w:p w14:paraId="01A7F9E0">
            <w:pPr>
              <w:pStyle w:val="92"/>
              <w:rPr>
                <w:snapToGrid w:val="0"/>
                <w:color w:val="auto"/>
                <w:highlight w:val="none"/>
                <w:u w:val="none"/>
              </w:rPr>
            </w:pPr>
            <w:r>
              <w:rPr>
                <w:snapToGrid w:val="0"/>
                <w:color w:val="auto"/>
                <w:highlight w:val="none"/>
                <w:u w:val="none"/>
              </w:rPr>
              <w:t>t/a</w:t>
            </w:r>
          </w:p>
        </w:tc>
        <w:tc>
          <w:tcPr>
            <w:tcW w:w="833" w:type="pct"/>
            <w:vAlign w:val="bottom"/>
          </w:tcPr>
          <w:p w14:paraId="2429B103">
            <w:pPr>
              <w:pStyle w:val="92"/>
              <w:rPr>
                <w:rFonts w:eastAsia="等线"/>
                <w:color w:val="auto"/>
                <w:highlight w:val="none"/>
                <w:u w:val="none"/>
              </w:rPr>
            </w:pPr>
            <w:r>
              <w:rPr>
                <w:rFonts w:eastAsia="等线"/>
                <w:color w:val="auto"/>
                <w:highlight w:val="none"/>
                <w:u w:val="none"/>
              </w:rPr>
              <w:t xml:space="preserve">2.61 </w:t>
            </w:r>
          </w:p>
        </w:tc>
        <w:tc>
          <w:tcPr>
            <w:tcW w:w="1243" w:type="dxa"/>
            <w:vAlign w:val="bottom"/>
          </w:tcPr>
          <w:p w14:paraId="6E788120">
            <w:pPr>
              <w:pStyle w:val="92"/>
              <w:rPr>
                <w:rFonts w:eastAsia="等线"/>
                <w:color w:val="auto"/>
                <w:highlight w:val="none"/>
                <w:u w:val="none"/>
              </w:rPr>
            </w:pPr>
            <w:r>
              <w:rPr>
                <w:rFonts w:eastAsia="等线"/>
                <w:color w:val="auto"/>
                <w:highlight w:val="none"/>
                <w:u w:val="none"/>
              </w:rPr>
              <w:t>2.4</w:t>
            </w:r>
          </w:p>
        </w:tc>
        <w:tc>
          <w:tcPr>
            <w:tcW w:w="1353" w:type="dxa"/>
            <w:vAlign w:val="center"/>
          </w:tcPr>
          <w:p w14:paraId="1FFEA772">
            <w:pPr>
              <w:pStyle w:val="92"/>
              <w:rPr>
                <w:rFonts w:eastAsia="等线"/>
                <w:color w:val="auto"/>
                <w:highlight w:val="none"/>
                <w:u w:val="none"/>
              </w:rPr>
            </w:pPr>
            <w:r>
              <w:rPr>
                <w:rFonts w:hint="eastAsia" w:eastAsia="等线"/>
                <w:color w:val="auto"/>
                <w:highlight w:val="none"/>
                <w:u w:val="none"/>
              </w:rPr>
              <w:t xml:space="preserve">0.21 </w:t>
            </w:r>
          </w:p>
        </w:tc>
      </w:tr>
      <w:tr w14:paraId="373AB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9854829">
            <w:pPr>
              <w:pStyle w:val="92"/>
              <w:rPr>
                <w:snapToGrid w:val="0"/>
                <w:color w:val="auto"/>
                <w:highlight w:val="none"/>
                <w:u w:val="none"/>
              </w:rPr>
            </w:pPr>
            <w:bookmarkStart w:id="380" w:name="OLE_LINK6" w:colFirst="3" w:colLast="5"/>
          </w:p>
        </w:tc>
        <w:tc>
          <w:tcPr>
            <w:tcW w:w="1259" w:type="pct"/>
            <w:vAlign w:val="center"/>
          </w:tcPr>
          <w:p w14:paraId="292DFAD4">
            <w:pPr>
              <w:pStyle w:val="92"/>
              <w:rPr>
                <w:snapToGrid w:val="0"/>
                <w:color w:val="auto"/>
                <w:highlight w:val="none"/>
                <w:u w:val="none"/>
              </w:rPr>
            </w:pPr>
            <w:r>
              <w:rPr>
                <w:snapToGrid w:val="0"/>
                <w:color w:val="auto"/>
                <w:highlight w:val="none"/>
                <w:u w:val="none"/>
              </w:rPr>
              <w:t>VOC</w:t>
            </w:r>
            <w:r>
              <w:rPr>
                <w:snapToGrid w:val="0"/>
                <w:color w:val="auto"/>
                <w:highlight w:val="none"/>
                <w:u w:val="none"/>
                <w:vertAlign w:val="subscript"/>
              </w:rPr>
              <w:t>S</w:t>
            </w:r>
          </w:p>
        </w:tc>
        <w:tc>
          <w:tcPr>
            <w:tcW w:w="740" w:type="pct"/>
            <w:vAlign w:val="center"/>
          </w:tcPr>
          <w:p w14:paraId="63FC57C0">
            <w:pPr>
              <w:pStyle w:val="92"/>
              <w:rPr>
                <w:snapToGrid w:val="0"/>
                <w:color w:val="auto"/>
                <w:highlight w:val="none"/>
                <w:u w:val="none"/>
              </w:rPr>
            </w:pPr>
            <w:r>
              <w:rPr>
                <w:snapToGrid w:val="0"/>
                <w:color w:val="auto"/>
                <w:highlight w:val="none"/>
                <w:u w:val="none"/>
              </w:rPr>
              <w:t>t/a</w:t>
            </w:r>
          </w:p>
        </w:tc>
        <w:tc>
          <w:tcPr>
            <w:tcW w:w="833" w:type="pct"/>
            <w:vAlign w:val="bottom"/>
          </w:tcPr>
          <w:p w14:paraId="62BF5E8E">
            <w:pPr>
              <w:pStyle w:val="92"/>
              <w:rPr>
                <w:rFonts w:eastAsia="等线"/>
                <w:color w:val="auto"/>
                <w:highlight w:val="none"/>
                <w:u w:val="none"/>
              </w:rPr>
            </w:pPr>
            <w:r>
              <w:rPr>
                <w:rFonts w:eastAsia="等线"/>
                <w:color w:val="auto"/>
                <w:highlight w:val="none"/>
                <w:u w:val="none"/>
              </w:rPr>
              <w:t xml:space="preserve">611.18 </w:t>
            </w:r>
          </w:p>
        </w:tc>
        <w:tc>
          <w:tcPr>
            <w:tcW w:w="1243" w:type="dxa"/>
            <w:vAlign w:val="bottom"/>
          </w:tcPr>
          <w:p w14:paraId="629B4673">
            <w:pPr>
              <w:pStyle w:val="92"/>
              <w:rPr>
                <w:rFonts w:eastAsia="等线"/>
                <w:color w:val="auto"/>
                <w:highlight w:val="none"/>
                <w:u w:val="none"/>
              </w:rPr>
            </w:pPr>
            <w:r>
              <w:rPr>
                <w:rFonts w:eastAsia="等线"/>
                <w:color w:val="auto"/>
                <w:highlight w:val="none"/>
                <w:u w:val="none"/>
              </w:rPr>
              <w:t>595.17</w:t>
            </w:r>
          </w:p>
        </w:tc>
        <w:tc>
          <w:tcPr>
            <w:tcW w:w="1353" w:type="dxa"/>
            <w:vAlign w:val="center"/>
          </w:tcPr>
          <w:p w14:paraId="79EA93F3">
            <w:pPr>
              <w:pStyle w:val="92"/>
              <w:rPr>
                <w:rFonts w:eastAsia="等线"/>
                <w:color w:val="auto"/>
                <w:highlight w:val="none"/>
                <w:u w:val="none"/>
              </w:rPr>
            </w:pPr>
            <w:r>
              <w:rPr>
                <w:rFonts w:hint="eastAsia" w:eastAsia="等线"/>
                <w:color w:val="auto"/>
                <w:highlight w:val="none"/>
                <w:u w:val="none"/>
              </w:rPr>
              <w:t xml:space="preserve">16.01 </w:t>
            </w:r>
          </w:p>
        </w:tc>
      </w:tr>
      <w:bookmarkEnd w:id="380"/>
      <w:tr w14:paraId="1C9E8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2F9B617">
            <w:pPr>
              <w:pStyle w:val="92"/>
              <w:rPr>
                <w:snapToGrid w:val="0"/>
                <w:color w:val="auto"/>
                <w:highlight w:val="none"/>
                <w:u w:val="none"/>
              </w:rPr>
            </w:pPr>
          </w:p>
        </w:tc>
        <w:tc>
          <w:tcPr>
            <w:tcW w:w="1259" w:type="pct"/>
            <w:vAlign w:val="center"/>
          </w:tcPr>
          <w:p w14:paraId="20CB89E4">
            <w:pPr>
              <w:pStyle w:val="92"/>
              <w:rPr>
                <w:snapToGrid w:val="0"/>
                <w:color w:val="auto"/>
                <w:highlight w:val="none"/>
                <w:u w:val="none"/>
              </w:rPr>
            </w:pPr>
            <w:r>
              <w:rPr>
                <w:snapToGrid w:val="0"/>
                <w:color w:val="auto"/>
                <w:highlight w:val="none"/>
                <w:u w:val="none"/>
              </w:rPr>
              <w:t>氯化氢</w:t>
            </w:r>
          </w:p>
        </w:tc>
        <w:tc>
          <w:tcPr>
            <w:tcW w:w="740" w:type="pct"/>
            <w:vAlign w:val="center"/>
          </w:tcPr>
          <w:p w14:paraId="3B75BB22">
            <w:pPr>
              <w:pStyle w:val="92"/>
              <w:rPr>
                <w:snapToGrid w:val="0"/>
                <w:color w:val="auto"/>
                <w:highlight w:val="none"/>
                <w:u w:val="none"/>
              </w:rPr>
            </w:pPr>
            <w:r>
              <w:rPr>
                <w:snapToGrid w:val="0"/>
                <w:color w:val="auto"/>
                <w:highlight w:val="none"/>
                <w:u w:val="none"/>
              </w:rPr>
              <w:t>t/a</w:t>
            </w:r>
          </w:p>
        </w:tc>
        <w:tc>
          <w:tcPr>
            <w:tcW w:w="833" w:type="pct"/>
            <w:vAlign w:val="bottom"/>
          </w:tcPr>
          <w:p w14:paraId="2E98CFE2">
            <w:pPr>
              <w:pStyle w:val="92"/>
              <w:rPr>
                <w:rFonts w:hint="default" w:eastAsia="等线"/>
                <w:snapToGrid w:val="0"/>
                <w:color w:val="auto"/>
                <w:highlight w:val="none"/>
                <w:u w:val="none"/>
                <w:lang w:val="en-US" w:eastAsia="zh-CN"/>
              </w:rPr>
            </w:pPr>
            <w:r>
              <w:rPr>
                <w:rFonts w:eastAsia="等线"/>
                <w:color w:val="auto"/>
                <w:highlight w:val="none"/>
                <w:u w:val="none"/>
              </w:rPr>
              <w:t>16</w:t>
            </w:r>
            <w:r>
              <w:rPr>
                <w:rFonts w:hint="eastAsia" w:eastAsia="等线"/>
                <w:color w:val="auto"/>
                <w:highlight w:val="none"/>
                <w:u w:val="none"/>
                <w:lang w:val="en-US" w:eastAsia="zh-CN"/>
              </w:rPr>
              <w:t>3.25</w:t>
            </w:r>
          </w:p>
        </w:tc>
        <w:tc>
          <w:tcPr>
            <w:tcW w:w="1243" w:type="dxa"/>
            <w:vAlign w:val="bottom"/>
          </w:tcPr>
          <w:p w14:paraId="376BE459">
            <w:pPr>
              <w:pStyle w:val="92"/>
              <w:rPr>
                <w:rFonts w:hint="default" w:eastAsia="等线"/>
                <w:color w:val="auto"/>
                <w:highlight w:val="none"/>
                <w:u w:val="none"/>
                <w:lang w:val="en-US" w:eastAsia="zh-CN"/>
              </w:rPr>
            </w:pPr>
            <w:r>
              <w:rPr>
                <w:rFonts w:hint="eastAsia" w:eastAsia="等线"/>
                <w:color w:val="auto"/>
                <w:highlight w:val="none"/>
                <w:u w:val="none"/>
                <w:lang w:val="en-US" w:eastAsia="zh-CN"/>
              </w:rPr>
              <w:t>160</w:t>
            </w:r>
          </w:p>
        </w:tc>
        <w:tc>
          <w:tcPr>
            <w:tcW w:w="1353" w:type="dxa"/>
            <w:vAlign w:val="center"/>
          </w:tcPr>
          <w:p w14:paraId="4123FC9B">
            <w:pPr>
              <w:pStyle w:val="92"/>
              <w:rPr>
                <w:rFonts w:eastAsia="等线"/>
                <w:color w:val="auto"/>
                <w:highlight w:val="none"/>
                <w:u w:val="none"/>
              </w:rPr>
            </w:pPr>
            <w:r>
              <w:rPr>
                <w:rFonts w:hint="eastAsia" w:eastAsia="等线"/>
                <w:color w:val="auto"/>
                <w:highlight w:val="none"/>
                <w:u w:val="none"/>
              </w:rPr>
              <w:t xml:space="preserve">3.25 </w:t>
            </w:r>
          </w:p>
        </w:tc>
      </w:tr>
      <w:tr w14:paraId="7A747A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093C8878">
            <w:pPr>
              <w:pStyle w:val="92"/>
              <w:rPr>
                <w:snapToGrid w:val="0"/>
                <w:color w:val="auto"/>
                <w:highlight w:val="none"/>
                <w:u w:val="none"/>
              </w:rPr>
            </w:pPr>
          </w:p>
        </w:tc>
        <w:tc>
          <w:tcPr>
            <w:tcW w:w="1259" w:type="pct"/>
            <w:vAlign w:val="center"/>
          </w:tcPr>
          <w:p w14:paraId="724C0BFA">
            <w:pPr>
              <w:pStyle w:val="92"/>
              <w:rPr>
                <w:snapToGrid w:val="0"/>
                <w:color w:val="auto"/>
                <w:highlight w:val="none"/>
                <w:u w:val="none"/>
              </w:rPr>
            </w:pPr>
            <w:r>
              <w:rPr>
                <w:snapToGrid w:val="0"/>
                <w:color w:val="auto"/>
                <w:highlight w:val="none"/>
                <w:u w:val="none"/>
              </w:rPr>
              <w:t>氯气</w:t>
            </w:r>
          </w:p>
        </w:tc>
        <w:tc>
          <w:tcPr>
            <w:tcW w:w="740" w:type="pct"/>
            <w:vAlign w:val="center"/>
          </w:tcPr>
          <w:p w14:paraId="6A747259">
            <w:pPr>
              <w:pStyle w:val="92"/>
              <w:rPr>
                <w:snapToGrid w:val="0"/>
                <w:color w:val="auto"/>
                <w:highlight w:val="none"/>
                <w:u w:val="none"/>
              </w:rPr>
            </w:pPr>
            <w:r>
              <w:rPr>
                <w:snapToGrid w:val="0"/>
                <w:color w:val="auto"/>
                <w:highlight w:val="none"/>
                <w:u w:val="none"/>
              </w:rPr>
              <w:t>t/a</w:t>
            </w:r>
          </w:p>
        </w:tc>
        <w:tc>
          <w:tcPr>
            <w:tcW w:w="833" w:type="pct"/>
            <w:vAlign w:val="bottom"/>
          </w:tcPr>
          <w:p w14:paraId="1053BC57">
            <w:pPr>
              <w:pStyle w:val="92"/>
              <w:rPr>
                <w:snapToGrid w:val="0"/>
                <w:color w:val="auto"/>
                <w:highlight w:val="none"/>
                <w:u w:val="none"/>
              </w:rPr>
            </w:pPr>
            <w:r>
              <w:rPr>
                <w:rFonts w:eastAsia="等线"/>
                <w:color w:val="auto"/>
                <w:highlight w:val="none"/>
                <w:u w:val="none"/>
              </w:rPr>
              <w:t xml:space="preserve">14.37 </w:t>
            </w:r>
          </w:p>
        </w:tc>
        <w:tc>
          <w:tcPr>
            <w:tcW w:w="1243" w:type="dxa"/>
            <w:vAlign w:val="bottom"/>
          </w:tcPr>
          <w:p w14:paraId="776D20AE">
            <w:pPr>
              <w:pStyle w:val="92"/>
              <w:rPr>
                <w:rFonts w:eastAsia="等线"/>
                <w:color w:val="auto"/>
                <w:highlight w:val="none"/>
                <w:u w:val="none"/>
              </w:rPr>
            </w:pPr>
            <w:r>
              <w:rPr>
                <w:rFonts w:eastAsia="等线"/>
                <w:color w:val="auto"/>
                <w:highlight w:val="none"/>
                <w:u w:val="none"/>
              </w:rPr>
              <w:t>11.2</w:t>
            </w:r>
          </w:p>
        </w:tc>
        <w:tc>
          <w:tcPr>
            <w:tcW w:w="739" w:type="pct"/>
            <w:vAlign w:val="bottom"/>
          </w:tcPr>
          <w:p w14:paraId="308BB390">
            <w:pPr>
              <w:pStyle w:val="92"/>
              <w:rPr>
                <w:snapToGrid w:val="0"/>
                <w:color w:val="auto"/>
                <w:highlight w:val="none"/>
                <w:u w:val="none"/>
              </w:rPr>
            </w:pPr>
            <w:r>
              <w:rPr>
                <w:rFonts w:eastAsia="等线"/>
                <w:color w:val="auto"/>
                <w:highlight w:val="none"/>
                <w:u w:val="none"/>
              </w:rPr>
              <w:t xml:space="preserve">3.17 </w:t>
            </w:r>
          </w:p>
        </w:tc>
      </w:tr>
      <w:tr w14:paraId="06EB8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19F60C0">
            <w:pPr>
              <w:pStyle w:val="92"/>
              <w:rPr>
                <w:snapToGrid w:val="0"/>
                <w:color w:val="auto"/>
                <w:highlight w:val="none"/>
                <w:u w:val="none"/>
              </w:rPr>
            </w:pPr>
            <w:bookmarkStart w:id="381" w:name="_Hlk77516261"/>
          </w:p>
        </w:tc>
        <w:tc>
          <w:tcPr>
            <w:tcW w:w="1259" w:type="pct"/>
            <w:vAlign w:val="center"/>
          </w:tcPr>
          <w:p w14:paraId="3A4F96F8">
            <w:pPr>
              <w:pStyle w:val="92"/>
              <w:rPr>
                <w:snapToGrid w:val="0"/>
                <w:color w:val="auto"/>
                <w:highlight w:val="none"/>
                <w:u w:val="none"/>
              </w:rPr>
            </w:pPr>
            <w:r>
              <w:rPr>
                <w:rFonts w:hint="eastAsia"/>
                <w:snapToGrid w:val="0"/>
                <w:color w:val="auto"/>
                <w:highlight w:val="none"/>
                <w:u w:val="none"/>
              </w:rPr>
              <w:t>颗粒物</w:t>
            </w:r>
          </w:p>
        </w:tc>
        <w:tc>
          <w:tcPr>
            <w:tcW w:w="740" w:type="pct"/>
            <w:vAlign w:val="center"/>
          </w:tcPr>
          <w:p w14:paraId="1A5F6D2E">
            <w:pPr>
              <w:pStyle w:val="92"/>
              <w:rPr>
                <w:snapToGrid w:val="0"/>
                <w:color w:val="auto"/>
                <w:highlight w:val="none"/>
                <w:u w:val="none"/>
              </w:rPr>
            </w:pPr>
            <w:r>
              <w:rPr>
                <w:snapToGrid w:val="0"/>
                <w:color w:val="auto"/>
                <w:highlight w:val="none"/>
                <w:u w:val="none"/>
              </w:rPr>
              <w:t>t/a</w:t>
            </w:r>
          </w:p>
        </w:tc>
        <w:tc>
          <w:tcPr>
            <w:tcW w:w="833" w:type="pct"/>
            <w:vAlign w:val="bottom"/>
          </w:tcPr>
          <w:p w14:paraId="59EC4351">
            <w:pPr>
              <w:pStyle w:val="92"/>
              <w:rPr>
                <w:rFonts w:eastAsia="等线"/>
                <w:color w:val="auto"/>
                <w:highlight w:val="none"/>
                <w:u w:val="none"/>
              </w:rPr>
            </w:pPr>
            <w:r>
              <w:rPr>
                <w:rFonts w:hint="eastAsia" w:eastAsia="等线"/>
                <w:color w:val="auto"/>
                <w:highlight w:val="none"/>
                <w:u w:val="none"/>
              </w:rPr>
              <w:t>0.6</w:t>
            </w:r>
          </w:p>
        </w:tc>
        <w:tc>
          <w:tcPr>
            <w:tcW w:w="1243" w:type="dxa"/>
            <w:vAlign w:val="bottom"/>
          </w:tcPr>
          <w:p w14:paraId="57DF70D0">
            <w:pPr>
              <w:pStyle w:val="92"/>
              <w:rPr>
                <w:rFonts w:eastAsia="等线"/>
                <w:color w:val="auto"/>
                <w:highlight w:val="none"/>
                <w:u w:val="none"/>
              </w:rPr>
            </w:pPr>
            <w:r>
              <w:rPr>
                <w:rFonts w:eastAsia="等线"/>
                <w:color w:val="auto"/>
                <w:highlight w:val="none"/>
                <w:u w:val="none"/>
              </w:rPr>
              <w:t>0.594</w:t>
            </w:r>
          </w:p>
        </w:tc>
        <w:tc>
          <w:tcPr>
            <w:tcW w:w="739" w:type="pct"/>
            <w:vAlign w:val="bottom"/>
          </w:tcPr>
          <w:p w14:paraId="31F7B51A">
            <w:pPr>
              <w:pStyle w:val="92"/>
              <w:rPr>
                <w:rFonts w:eastAsia="等线"/>
                <w:color w:val="auto"/>
                <w:highlight w:val="none"/>
                <w:u w:val="none"/>
              </w:rPr>
            </w:pPr>
            <w:r>
              <w:rPr>
                <w:rFonts w:hint="eastAsia" w:eastAsia="等线"/>
                <w:color w:val="auto"/>
                <w:highlight w:val="none"/>
                <w:u w:val="none"/>
              </w:rPr>
              <w:t>0.006</w:t>
            </w:r>
          </w:p>
        </w:tc>
      </w:tr>
      <w:tr w14:paraId="043E2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13FE5E2F">
            <w:pPr>
              <w:pStyle w:val="92"/>
              <w:rPr>
                <w:color w:val="auto"/>
                <w:highlight w:val="none"/>
                <w:u w:val="none"/>
              </w:rPr>
            </w:pPr>
            <w:r>
              <w:rPr>
                <w:color w:val="auto"/>
                <w:highlight w:val="none"/>
                <w:u w:val="none"/>
              </w:rPr>
              <w:t>废水</w:t>
            </w:r>
          </w:p>
        </w:tc>
        <w:tc>
          <w:tcPr>
            <w:tcW w:w="1259" w:type="pct"/>
            <w:vAlign w:val="center"/>
          </w:tcPr>
          <w:p w14:paraId="206FFDCE">
            <w:pPr>
              <w:pStyle w:val="92"/>
              <w:rPr>
                <w:color w:val="auto"/>
                <w:highlight w:val="none"/>
                <w:u w:val="none"/>
              </w:rPr>
            </w:pPr>
            <w:r>
              <w:rPr>
                <w:color w:val="auto"/>
                <w:highlight w:val="none"/>
                <w:u w:val="none"/>
              </w:rPr>
              <w:t>水量</w:t>
            </w:r>
          </w:p>
        </w:tc>
        <w:tc>
          <w:tcPr>
            <w:tcW w:w="740" w:type="pct"/>
            <w:vAlign w:val="center"/>
          </w:tcPr>
          <w:p w14:paraId="03687B51">
            <w:pPr>
              <w:pStyle w:val="92"/>
              <w:rPr>
                <w:color w:val="auto"/>
                <w:highlight w:val="none"/>
                <w:u w:val="none"/>
              </w:rPr>
            </w:pPr>
            <w:r>
              <w:rPr>
                <w:rFonts w:hint="eastAsia"/>
                <w:color w:val="auto"/>
                <w:highlight w:val="none"/>
                <w:u w:val="none"/>
              </w:rPr>
              <w:t>t/a</w:t>
            </w:r>
          </w:p>
        </w:tc>
        <w:tc>
          <w:tcPr>
            <w:tcW w:w="833" w:type="pct"/>
            <w:vAlign w:val="center"/>
          </w:tcPr>
          <w:p w14:paraId="5A4F7DBC">
            <w:pPr>
              <w:pStyle w:val="92"/>
              <w:rPr>
                <w:rFonts w:hint="default" w:eastAsia="宋体"/>
                <w:color w:val="auto"/>
                <w:highlight w:val="none"/>
                <w:u w:val="none"/>
                <w:lang w:val="en-US" w:eastAsia="zh-CN"/>
              </w:rPr>
            </w:pPr>
            <w:r>
              <w:rPr>
                <w:rFonts w:hint="eastAsia"/>
                <w:color w:val="auto"/>
                <w:highlight w:val="none"/>
                <w:u w:val="none"/>
                <w:lang w:val="en-US" w:eastAsia="zh-CN"/>
              </w:rPr>
              <w:t>570644.24</w:t>
            </w:r>
          </w:p>
        </w:tc>
        <w:tc>
          <w:tcPr>
            <w:tcW w:w="1243" w:type="dxa"/>
            <w:vAlign w:val="center"/>
          </w:tcPr>
          <w:p w14:paraId="36976EB0">
            <w:pPr>
              <w:pStyle w:val="92"/>
              <w:rPr>
                <w:rFonts w:hint="eastAsia"/>
                <w:color w:val="auto"/>
                <w:highlight w:val="none"/>
                <w:u w:val="none"/>
                <w:lang w:val="en-US" w:eastAsia="zh-CN"/>
              </w:rPr>
            </w:pPr>
            <w:r>
              <w:rPr>
                <w:rFonts w:hint="default"/>
                <w:color w:val="auto"/>
                <w:highlight w:val="none"/>
                <w:u w:val="none"/>
                <w:lang w:val="en-US" w:eastAsia="zh-CN"/>
              </w:rPr>
              <w:t>184273.18</w:t>
            </w:r>
          </w:p>
        </w:tc>
        <w:tc>
          <w:tcPr>
            <w:tcW w:w="1353" w:type="dxa"/>
            <w:vAlign w:val="center"/>
          </w:tcPr>
          <w:p w14:paraId="6A7E2429">
            <w:pPr>
              <w:pStyle w:val="92"/>
              <w:rPr>
                <w:rFonts w:hint="default"/>
                <w:color w:val="auto"/>
                <w:highlight w:val="none"/>
                <w:u w:val="none"/>
                <w:lang w:val="en-US" w:eastAsia="zh-CN"/>
              </w:rPr>
            </w:pPr>
            <w:r>
              <w:rPr>
                <w:rFonts w:hint="eastAsia"/>
                <w:color w:val="auto"/>
                <w:highlight w:val="none"/>
                <w:u w:val="none"/>
                <w:lang w:val="en-US" w:eastAsia="zh-CN"/>
              </w:rPr>
              <w:t>386371.06</w:t>
            </w:r>
          </w:p>
        </w:tc>
      </w:tr>
      <w:tr w14:paraId="54A69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004DE11">
            <w:pPr>
              <w:pStyle w:val="92"/>
              <w:rPr>
                <w:color w:val="auto"/>
                <w:highlight w:val="none"/>
                <w:u w:val="none"/>
              </w:rPr>
            </w:pPr>
          </w:p>
        </w:tc>
        <w:tc>
          <w:tcPr>
            <w:tcW w:w="1259" w:type="pct"/>
            <w:vAlign w:val="center"/>
          </w:tcPr>
          <w:p w14:paraId="35C8130F">
            <w:pPr>
              <w:pStyle w:val="92"/>
              <w:rPr>
                <w:snapToGrid w:val="0"/>
                <w:color w:val="auto"/>
                <w:highlight w:val="none"/>
                <w:u w:val="none"/>
              </w:rPr>
            </w:pPr>
            <w:r>
              <w:rPr>
                <w:color w:val="auto"/>
                <w:highlight w:val="none"/>
                <w:u w:val="none"/>
              </w:rPr>
              <w:t>COD</w:t>
            </w:r>
          </w:p>
        </w:tc>
        <w:tc>
          <w:tcPr>
            <w:tcW w:w="740" w:type="pct"/>
            <w:vAlign w:val="center"/>
          </w:tcPr>
          <w:p w14:paraId="578FFAF8">
            <w:pPr>
              <w:pStyle w:val="92"/>
              <w:rPr>
                <w:color w:val="auto"/>
                <w:highlight w:val="none"/>
                <w:u w:val="none"/>
              </w:rPr>
            </w:pPr>
            <w:r>
              <w:rPr>
                <w:rFonts w:hint="eastAsia"/>
                <w:color w:val="auto"/>
                <w:highlight w:val="none"/>
                <w:u w:val="none"/>
              </w:rPr>
              <w:t>t/a</w:t>
            </w:r>
          </w:p>
        </w:tc>
        <w:tc>
          <w:tcPr>
            <w:tcW w:w="833" w:type="pct"/>
            <w:vAlign w:val="center"/>
          </w:tcPr>
          <w:p w14:paraId="499BD1BD">
            <w:pPr>
              <w:pStyle w:val="92"/>
              <w:rPr>
                <w:rFonts w:hint="default" w:eastAsia="宋体"/>
                <w:color w:val="auto"/>
                <w:highlight w:val="none"/>
                <w:u w:val="none"/>
                <w:lang w:val="en-US" w:eastAsia="zh-CN"/>
              </w:rPr>
            </w:pPr>
            <w:r>
              <w:rPr>
                <w:rFonts w:hint="eastAsia"/>
                <w:color w:val="auto"/>
                <w:highlight w:val="none"/>
                <w:u w:val="none"/>
              </w:rPr>
              <w:t>103</w:t>
            </w:r>
            <w:r>
              <w:rPr>
                <w:rFonts w:hint="eastAsia"/>
                <w:color w:val="auto"/>
                <w:highlight w:val="none"/>
                <w:u w:val="none"/>
                <w:lang w:val="en-US" w:eastAsia="zh-CN"/>
              </w:rPr>
              <w:t>8</w:t>
            </w:r>
            <w:r>
              <w:rPr>
                <w:rFonts w:hint="eastAsia"/>
                <w:color w:val="auto"/>
                <w:highlight w:val="none"/>
                <w:u w:val="none"/>
              </w:rPr>
              <w:t>.</w:t>
            </w:r>
            <w:r>
              <w:rPr>
                <w:rFonts w:hint="eastAsia"/>
                <w:color w:val="auto"/>
                <w:highlight w:val="none"/>
                <w:u w:val="none"/>
                <w:lang w:val="en-US" w:eastAsia="zh-CN"/>
              </w:rPr>
              <w:t>34</w:t>
            </w:r>
          </w:p>
        </w:tc>
        <w:tc>
          <w:tcPr>
            <w:tcW w:w="1243" w:type="dxa"/>
            <w:vAlign w:val="center"/>
          </w:tcPr>
          <w:p w14:paraId="79CA0ABC">
            <w:pPr>
              <w:pStyle w:val="92"/>
              <w:rPr>
                <w:rFonts w:hint="eastAsia"/>
                <w:color w:val="auto"/>
                <w:highlight w:val="none"/>
                <w:u w:val="none"/>
                <w:lang w:val="en-US" w:eastAsia="zh-CN"/>
              </w:rPr>
            </w:pPr>
            <w:r>
              <w:rPr>
                <w:rFonts w:hint="default"/>
                <w:color w:val="auto"/>
                <w:highlight w:val="none"/>
                <w:u w:val="none"/>
                <w:lang w:val="en-US" w:eastAsia="zh-CN"/>
              </w:rPr>
              <w:t>1019.02</w:t>
            </w:r>
          </w:p>
        </w:tc>
        <w:tc>
          <w:tcPr>
            <w:tcW w:w="1353" w:type="dxa"/>
            <w:vAlign w:val="center"/>
          </w:tcPr>
          <w:p w14:paraId="570ACEA6">
            <w:pPr>
              <w:pStyle w:val="92"/>
              <w:rPr>
                <w:rFonts w:hint="eastAsia"/>
                <w:color w:val="auto"/>
                <w:highlight w:val="none"/>
                <w:u w:val="none"/>
                <w:lang w:val="en-US" w:eastAsia="zh-CN"/>
              </w:rPr>
            </w:pPr>
            <w:r>
              <w:rPr>
                <w:rFonts w:hint="eastAsia"/>
                <w:color w:val="auto"/>
                <w:highlight w:val="none"/>
                <w:u w:val="none"/>
                <w:lang w:val="en-US" w:eastAsia="zh-CN"/>
              </w:rPr>
              <w:t>19.32</w:t>
            </w:r>
          </w:p>
        </w:tc>
      </w:tr>
      <w:tr w14:paraId="105C1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5D4E307">
            <w:pPr>
              <w:pStyle w:val="92"/>
              <w:rPr>
                <w:color w:val="auto"/>
                <w:highlight w:val="none"/>
                <w:u w:val="none"/>
              </w:rPr>
            </w:pPr>
          </w:p>
        </w:tc>
        <w:tc>
          <w:tcPr>
            <w:tcW w:w="1259" w:type="pct"/>
            <w:vAlign w:val="center"/>
          </w:tcPr>
          <w:p w14:paraId="23164E66">
            <w:pPr>
              <w:pStyle w:val="92"/>
              <w:rPr>
                <w:snapToGrid w:val="0"/>
                <w:color w:val="auto"/>
                <w:highlight w:val="none"/>
                <w:u w:val="none"/>
              </w:rPr>
            </w:pPr>
            <w:r>
              <w:rPr>
                <w:rFonts w:hint="eastAsia"/>
                <w:color w:val="auto"/>
                <w:highlight w:val="none"/>
                <w:u w:val="none"/>
              </w:rPr>
              <w:t>氨氮</w:t>
            </w:r>
          </w:p>
        </w:tc>
        <w:tc>
          <w:tcPr>
            <w:tcW w:w="740" w:type="pct"/>
            <w:vAlign w:val="center"/>
          </w:tcPr>
          <w:p w14:paraId="29CA6424">
            <w:pPr>
              <w:pStyle w:val="92"/>
              <w:rPr>
                <w:color w:val="auto"/>
                <w:highlight w:val="none"/>
                <w:u w:val="none"/>
              </w:rPr>
            </w:pPr>
            <w:r>
              <w:rPr>
                <w:rFonts w:hint="eastAsia"/>
                <w:color w:val="auto"/>
                <w:highlight w:val="none"/>
                <w:u w:val="none"/>
              </w:rPr>
              <w:t>t/a</w:t>
            </w:r>
          </w:p>
        </w:tc>
        <w:tc>
          <w:tcPr>
            <w:tcW w:w="833" w:type="pct"/>
            <w:vAlign w:val="center"/>
          </w:tcPr>
          <w:p w14:paraId="54707EB0">
            <w:pPr>
              <w:pStyle w:val="92"/>
              <w:rPr>
                <w:rFonts w:hint="eastAsia" w:eastAsia="宋体"/>
                <w:color w:val="auto"/>
                <w:highlight w:val="none"/>
                <w:u w:val="none"/>
                <w:lang w:eastAsia="zh-CN"/>
              </w:rPr>
            </w:pPr>
            <w:r>
              <w:rPr>
                <w:rFonts w:hint="eastAsia"/>
                <w:color w:val="auto"/>
                <w:highlight w:val="none"/>
                <w:u w:val="none"/>
              </w:rPr>
              <w:t>516.0</w:t>
            </w:r>
            <w:r>
              <w:rPr>
                <w:rFonts w:hint="eastAsia"/>
                <w:color w:val="auto"/>
                <w:highlight w:val="none"/>
                <w:u w:val="none"/>
                <w:lang w:val="en-US" w:eastAsia="zh-CN"/>
              </w:rPr>
              <w:t>2</w:t>
            </w:r>
          </w:p>
        </w:tc>
        <w:tc>
          <w:tcPr>
            <w:tcW w:w="1243" w:type="dxa"/>
            <w:vAlign w:val="center"/>
          </w:tcPr>
          <w:p w14:paraId="7AB8F5F5">
            <w:pPr>
              <w:pStyle w:val="92"/>
              <w:rPr>
                <w:rFonts w:hint="eastAsia"/>
                <w:color w:val="auto"/>
                <w:highlight w:val="none"/>
                <w:u w:val="none"/>
                <w:lang w:val="en-US" w:eastAsia="zh-CN"/>
              </w:rPr>
            </w:pPr>
            <w:r>
              <w:rPr>
                <w:rFonts w:hint="default"/>
                <w:color w:val="auto"/>
                <w:highlight w:val="none"/>
                <w:u w:val="none"/>
                <w:lang w:val="en-US" w:eastAsia="zh-CN"/>
              </w:rPr>
              <w:t>514.09</w:t>
            </w:r>
          </w:p>
        </w:tc>
        <w:tc>
          <w:tcPr>
            <w:tcW w:w="1353" w:type="dxa"/>
            <w:vAlign w:val="center"/>
          </w:tcPr>
          <w:p w14:paraId="24C0B7E9">
            <w:pPr>
              <w:pStyle w:val="92"/>
              <w:rPr>
                <w:rFonts w:hint="eastAsia"/>
                <w:color w:val="auto"/>
                <w:highlight w:val="none"/>
                <w:u w:val="none"/>
                <w:lang w:val="en-US" w:eastAsia="zh-CN"/>
              </w:rPr>
            </w:pPr>
            <w:r>
              <w:rPr>
                <w:rFonts w:hint="eastAsia"/>
                <w:color w:val="auto"/>
                <w:highlight w:val="none"/>
                <w:u w:val="none"/>
                <w:lang w:val="en-US" w:eastAsia="zh-CN"/>
              </w:rPr>
              <w:t>1.93</w:t>
            </w:r>
          </w:p>
        </w:tc>
      </w:tr>
      <w:tr w14:paraId="05BA2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89887CC">
            <w:pPr>
              <w:pStyle w:val="92"/>
              <w:rPr>
                <w:color w:val="auto"/>
                <w:highlight w:val="none"/>
                <w:u w:val="none"/>
              </w:rPr>
            </w:pPr>
          </w:p>
        </w:tc>
        <w:tc>
          <w:tcPr>
            <w:tcW w:w="1259" w:type="pct"/>
            <w:vAlign w:val="center"/>
          </w:tcPr>
          <w:p w14:paraId="4E9E65B7">
            <w:pPr>
              <w:pStyle w:val="92"/>
              <w:rPr>
                <w:snapToGrid w:val="0"/>
                <w:color w:val="auto"/>
                <w:highlight w:val="none"/>
                <w:u w:val="none"/>
              </w:rPr>
            </w:pPr>
            <w:r>
              <w:rPr>
                <w:color w:val="auto"/>
                <w:highlight w:val="none"/>
                <w:u w:val="none"/>
              </w:rPr>
              <w:t>SS</w:t>
            </w:r>
          </w:p>
        </w:tc>
        <w:tc>
          <w:tcPr>
            <w:tcW w:w="740" w:type="pct"/>
            <w:vAlign w:val="center"/>
          </w:tcPr>
          <w:p w14:paraId="2DB0F7B2">
            <w:pPr>
              <w:pStyle w:val="92"/>
              <w:rPr>
                <w:color w:val="auto"/>
                <w:highlight w:val="none"/>
                <w:u w:val="none"/>
              </w:rPr>
            </w:pPr>
            <w:r>
              <w:rPr>
                <w:rFonts w:hint="eastAsia"/>
                <w:color w:val="auto"/>
                <w:highlight w:val="none"/>
                <w:u w:val="none"/>
              </w:rPr>
              <w:t>t/a</w:t>
            </w:r>
          </w:p>
        </w:tc>
        <w:tc>
          <w:tcPr>
            <w:tcW w:w="833" w:type="pct"/>
            <w:vAlign w:val="center"/>
          </w:tcPr>
          <w:p w14:paraId="791B35D0">
            <w:pPr>
              <w:pStyle w:val="92"/>
              <w:rPr>
                <w:rFonts w:hint="default" w:eastAsia="宋体"/>
                <w:color w:val="auto"/>
                <w:highlight w:val="none"/>
                <w:u w:val="none"/>
                <w:lang w:val="en-US" w:eastAsia="zh-CN"/>
              </w:rPr>
            </w:pPr>
            <w:r>
              <w:rPr>
                <w:rFonts w:hint="eastAsia"/>
                <w:color w:val="auto"/>
                <w:highlight w:val="none"/>
                <w:u w:val="none"/>
              </w:rPr>
              <w:t>2.</w:t>
            </w:r>
            <w:r>
              <w:rPr>
                <w:rFonts w:hint="eastAsia"/>
                <w:color w:val="auto"/>
                <w:highlight w:val="none"/>
                <w:u w:val="none"/>
                <w:lang w:val="en-US" w:eastAsia="zh-CN"/>
              </w:rPr>
              <w:t>36</w:t>
            </w:r>
          </w:p>
        </w:tc>
        <w:tc>
          <w:tcPr>
            <w:tcW w:w="1243" w:type="dxa"/>
            <w:vAlign w:val="center"/>
          </w:tcPr>
          <w:p w14:paraId="23EC57B6">
            <w:pPr>
              <w:pStyle w:val="92"/>
              <w:rPr>
                <w:rFonts w:hint="eastAsia"/>
                <w:color w:val="auto"/>
                <w:highlight w:val="none"/>
                <w:u w:val="none"/>
                <w:lang w:val="en-US" w:eastAsia="zh-CN"/>
              </w:rPr>
            </w:pPr>
            <w:r>
              <w:rPr>
                <w:rFonts w:hint="default"/>
                <w:color w:val="auto"/>
                <w:highlight w:val="none"/>
                <w:u w:val="none"/>
                <w:lang w:val="en-US" w:eastAsia="zh-CN"/>
              </w:rPr>
              <w:t>2.33</w:t>
            </w:r>
          </w:p>
        </w:tc>
        <w:tc>
          <w:tcPr>
            <w:tcW w:w="1353" w:type="dxa"/>
            <w:vAlign w:val="center"/>
          </w:tcPr>
          <w:p w14:paraId="3CEDB15E">
            <w:pPr>
              <w:pStyle w:val="92"/>
              <w:rPr>
                <w:rFonts w:hint="default"/>
                <w:color w:val="auto"/>
                <w:highlight w:val="none"/>
                <w:u w:val="none"/>
                <w:lang w:val="en-US" w:eastAsia="zh-CN"/>
              </w:rPr>
            </w:pPr>
            <w:r>
              <w:rPr>
                <w:rFonts w:hint="eastAsia"/>
                <w:color w:val="auto"/>
                <w:highlight w:val="none"/>
                <w:u w:val="none"/>
                <w:lang w:val="en-US" w:eastAsia="zh-CN"/>
              </w:rPr>
              <w:t>0.03</w:t>
            </w:r>
          </w:p>
        </w:tc>
      </w:tr>
      <w:tr w14:paraId="51090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5219463B">
            <w:pPr>
              <w:pStyle w:val="92"/>
              <w:rPr>
                <w:color w:val="auto"/>
                <w:highlight w:val="none"/>
                <w:u w:val="none"/>
              </w:rPr>
            </w:pPr>
          </w:p>
        </w:tc>
        <w:tc>
          <w:tcPr>
            <w:tcW w:w="1259" w:type="pct"/>
            <w:vAlign w:val="center"/>
          </w:tcPr>
          <w:p w14:paraId="2EA8306F">
            <w:pPr>
              <w:pStyle w:val="92"/>
              <w:rPr>
                <w:snapToGrid w:val="0"/>
                <w:color w:val="auto"/>
                <w:highlight w:val="none"/>
                <w:u w:val="none"/>
              </w:rPr>
            </w:pPr>
            <w:r>
              <w:rPr>
                <w:rFonts w:hint="eastAsia"/>
                <w:color w:val="auto"/>
                <w:highlight w:val="none"/>
                <w:u w:val="none"/>
              </w:rPr>
              <w:t>硫酸根</w:t>
            </w:r>
          </w:p>
        </w:tc>
        <w:tc>
          <w:tcPr>
            <w:tcW w:w="740" w:type="pct"/>
            <w:vAlign w:val="center"/>
          </w:tcPr>
          <w:p w14:paraId="0556D47D">
            <w:pPr>
              <w:pStyle w:val="92"/>
              <w:rPr>
                <w:color w:val="auto"/>
                <w:highlight w:val="none"/>
                <w:u w:val="none"/>
              </w:rPr>
            </w:pPr>
            <w:r>
              <w:rPr>
                <w:rFonts w:hint="eastAsia"/>
                <w:color w:val="auto"/>
                <w:highlight w:val="none"/>
                <w:u w:val="none"/>
              </w:rPr>
              <w:t>t/a</w:t>
            </w:r>
          </w:p>
        </w:tc>
        <w:tc>
          <w:tcPr>
            <w:tcW w:w="833" w:type="pct"/>
            <w:vAlign w:val="center"/>
          </w:tcPr>
          <w:p w14:paraId="6F2281CB">
            <w:pPr>
              <w:pStyle w:val="92"/>
              <w:rPr>
                <w:rFonts w:hint="eastAsia"/>
                <w:color w:val="auto"/>
                <w:highlight w:val="none"/>
                <w:u w:val="none"/>
              </w:rPr>
            </w:pPr>
            <w:r>
              <w:rPr>
                <w:rFonts w:hint="eastAsia"/>
                <w:color w:val="auto"/>
                <w:highlight w:val="none"/>
                <w:u w:val="none"/>
              </w:rPr>
              <w:t>1583.94</w:t>
            </w:r>
          </w:p>
        </w:tc>
        <w:tc>
          <w:tcPr>
            <w:tcW w:w="1243" w:type="dxa"/>
            <w:vAlign w:val="center"/>
          </w:tcPr>
          <w:p w14:paraId="19DA4667">
            <w:pPr>
              <w:pStyle w:val="92"/>
              <w:rPr>
                <w:rFonts w:hint="eastAsia"/>
                <w:color w:val="auto"/>
                <w:highlight w:val="none"/>
                <w:u w:val="none"/>
                <w:lang w:val="en-US" w:eastAsia="zh-CN"/>
              </w:rPr>
            </w:pPr>
            <w:r>
              <w:rPr>
                <w:rFonts w:hint="default"/>
                <w:color w:val="auto"/>
                <w:highlight w:val="none"/>
                <w:u w:val="none"/>
                <w:lang w:val="en-US" w:eastAsia="zh-CN"/>
              </w:rPr>
              <w:t>61.83</w:t>
            </w:r>
          </w:p>
        </w:tc>
        <w:tc>
          <w:tcPr>
            <w:tcW w:w="1353" w:type="dxa"/>
            <w:vAlign w:val="center"/>
          </w:tcPr>
          <w:p w14:paraId="65CBA86B">
            <w:pPr>
              <w:pStyle w:val="92"/>
              <w:rPr>
                <w:rFonts w:hint="eastAsia"/>
                <w:color w:val="auto"/>
                <w:highlight w:val="none"/>
                <w:u w:val="none"/>
                <w:lang w:val="en-US" w:eastAsia="zh-CN"/>
              </w:rPr>
            </w:pPr>
            <w:r>
              <w:rPr>
                <w:rFonts w:hint="eastAsia"/>
                <w:color w:val="auto"/>
                <w:highlight w:val="none"/>
                <w:u w:val="none"/>
                <w:lang w:val="en-US" w:eastAsia="zh-CN"/>
              </w:rPr>
              <w:t>1522.11</w:t>
            </w:r>
          </w:p>
        </w:tc>
      </w:tr>
      <w:tr w14:paraId="31E0F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62DB4357">
            <w:pPr>
              <w:pStyle w:val="92"/>
              <w:rPr>
                <w:color w:val="auto"/>
                <w:highlight w:val="none"/>
                <w:u w:val="none"/>
              </w:rPr>
            </w:pPr>
          </w:p>
        </w:tc>
        <w:tc>
          <w:tcPr>
            <w:tcW w:w="1259" w:type="pct"/>
            <w:vAlign w:val="center"/>
          </w:tcPr>
          <w:p w14:paraId="10B357BF">
            <w:pPr>
              <w:pStyle w:val="92"/>
              <w:rPr>
                <w:snapToGrid w:val="0"/>
                <w:color w:val="auto"/>
                <w:highlight w:val="none"/>
                <w:u w:val="none"/>
              </w:rPr>
            </w:pPr>
            <w:r>
              <w:rPr>
                <w:rFonts w:hint="eastAsia"/>
                <w:color w:val="auto"/>
                <w:highlight w:val="none"/>
                <w:u w:val="none"/>
              </w:rPr>
              <w:t>硝酸根</w:t>
            </w:r>
          </w:p>
        </w:tc>
        <w:tc>
          <w:tcPr>
            <w:tcW w:w="740" w:type="pct"/>
            <w:vAlign w:val="center"/>
          </w:tcPr>
          <w:p w14:paraId="4B39E685">
            <w:pPr>
              <w:pStyle w:val="92"/>
              <w:rPr>
                <w:color w:val="auto"/>
                <w:highlight w:val="none"/>
                <w:u w:val="none"/>
              </w:rPr>
            </w:pPr>
            <w:r>
              <w:rPr>
                <w:rFonts w:hint="eastAsia"/>
                <w:color w:val="auto"/>
                <w:highlight w:val="none"/>
                <w:u w:val="none"/>
              </w:rPr>
              <w:t>t/a</w:t>
            </w:r>
          </w:p>
        </w:tc>
        <w:tc>
          <w:tcPr>
            <w:tcW w:w="833" w:type="pct"/>
            <w:vAlign w:val="center"/>
          </w:tcPr>
          <w:p w14:paraId="074D55A2">
            <w:pPr>
              <w:pStyle w:val="92"/>
              <w:rPr>
                <w:rFonts w:hint="eastAsia"/>
                <w:color w:val="auto"/>
                <w:highlight w:val="none"/>
                <w:u w:val="none"/>
              </w:rPr>
            </w:pPr>
            <w:r>
              <w:rPr>
                <w:rFonts w:hint="eastAsia"/>
                <w:color w:val="auto"/>
                <w:highlight w:val="none"/>
                <w:u w:val="none"/>
              </w:rPr>
              <w:t>1440.09</w:t>
            </w:r>
          </w:p>
        </w:tc>
        <w:tc>
          <w:tcPr>
            <w:tcW w:w="1243" w:type="dxa"/>
            <w:vAlign w:val="center"/>
          </w:tcPr>
          <w:p w14:paraId="3CDAEF1C">
            <w:pPr>
              <w:pStyle w:val="92"/>
              <w:rPr>
                <w:rFonts w:hint="eastAsia"/>
                <w:color w:val="auto"/>
                <w:highlight w:val="none"/>
                <w:u w:val="none"/>
                <w:lang w:val="en-US" w:eastAsia="zh-CN"/>
              </w:rPr>
            </w:pPr>
            <w:r>
              <w:rPr>
                <w:rFonts w:hint="default"/>
                <w:color w:val="auto"/>
                <w:highlight w:val="none"/>
                <w:u w:val="none"/>
                <w:lang w:val="en-US" w:eastAsia="zh-CN"/>
              </w:rPr>
              <w:t>529.95</w:t>
            </w:r>
          </w:p>
        </w:tc>
        <w:tc>
          <w:tcPr>
            <w:tcW w:w="1353" w:type="dxa"/>
            <w:vAlign w:val="center"/>
          </w:tcPr>
          <w:p w14:paraId="3613D50C">
            <w:pPr>
              <w:pStyle w:val="92"/>
              <w:rPr>
                <w:rFonts w:hint="eastAsia"/>
                <w:color w:val="auto"/>
                <w:highlight w:val="none"/>
                <w:u w:val="none"/>
                <w:lang w:val="en-US" w:eastAsia="zh-CN"/>
              </w:rPr>
            </w:pPr>
            <w:r>
              <w:rPr>
                <w:rFonts w:hint="eastAsia"/>
                <w:color w:val="auto"/>
                <w:highlight w:val="none"/>
                <w:u w:val="none"/>
                <w:lang w:val="en-US" w:eastAsia="zh-CN"/>
              </w:rPr>
              <w:t>910.14</w:t>
            </w:r>
          </w:p>
        </w:tc>
      </w:tr>
      <w:tr w14:paraId="5FC29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EBBD9C6">
            <w:pPr>
              <w:pStyle w:val="92"/>
              <w:rPr>
                <w:color w:val="auto"/>
                <w:highlight w:val="none"/>
                <w:u w:val="none"/>
              </w:rPr>
            </w:pPr>
          </w:p>
        </w:tc>
        <w:tc>
          <w:tcPr>
            <w:tcW w:w="1259" w:type="pct"/>
            <w:vAlign w:val="center"/>
          </w:tcPr>
          <w:p w14:paraId="279E43B1">
            <w:pPr>
              <w:pStyle w:val="92"/>
              <w:rPr>
                <w:snapToGrid w:val="0"/>
                <w:color w:val="auto"/>
                <w:highlight w:val="none"/>
                <w:u w:val="none"/>
              </w:rPr>
            </w:pPr>
            <w:r>
              <w:rPr>
                <w:rFonts w:hint="eastAsia"/>
                <w:color w:val="auto"/>
                <w:highlight w:val="none"/>
                <w:u w:val="none"/>
              </w:rPr>
              <w:t>甲苯</w:t>
            </w:r>
          </w:p>
        </w:tc>
        <w:tc>
          <w:tcPr>
            <w:tcW w:w="740" w:type="pct"/>
            <w:vAlign w:val="center"/>
          </w:tcPr>
          <w:p w14:paraId="7D97B111">
            <w:pPr>
              <w:pStyle w:val="92"/>
              <w:rPr>
                <w:color w:val="auto"/>
                <w:highlight w:val="none"/>
                <w:u w:val="none"/>
              </w:rPr>
            </w:pPr>
            <w:r>
              <w:rPr>
                <w:rFonts w:hint="eastAsia"/>
                <w:color w:val="auto"/>
                <w:highlight w:val="none"/>
                <w:u w:val="none"/>
              </w:rPr>
              <w:t>t/a</w:t>
            </w:r>
          </w:p>
        </w:tc>
        <w:tc>
          <w:tcPr>
            <w:tcW w:w="833" w:type="pct"/>
            <w:vAlign w:val="center"/>
          </w:tcPr>
          <w:p w14:paraId="3F70DC3A">
            <w:pPr>
              <w:pStyle w:val="92"/>
              <w:rPr>
                <w:rFonts w:hint="eastAsia"/>
                <w:color w:val="auto"/>
                <w:highlight w:val="none"/>
                <w:u w:val="none"/>
              </w:rPr>
            </w:pPr>
            <w:r>
              <w:rPr>
                <w:rFonts w:hint="eastAsia"/>
                <w:color w:val="auto"/>
                <w:highlight w:val="none"/>
                <w:u w:val="none"/>
              </w:rPr>
              <w:t>3.1</w:t>
            </w:r>
          </w:p>
        </w:tc>
        <w:tc>
          <w:tcPr>
            <w:tcW w:w="1243" w:type="dxa"/>
            <w:vAlign w:val="center"/>
          </w:tcPr>
          <w:p w14:paraId="67BD6B12">
            <w:pPr>
              <w:pStyle w:val="92"/>
              <w:rPr>
                <w:rFonts w:hint="eastAsia"/>
                <w:color w:val="auto"/>
                <w:highlight w:val="none"/>
                <w:u w:val="none"/>
                <w:lang w:val="en-US" w:eastAsia="zh-CN"/>
              </w:rPr>
            </w:pPr>
            <w:r>
              <w:rPr>
                <w:rFonts w:hint="default"/>
                <w:color w:val="auto"/>
                <w:highlight w:val="none"/>
                <w:u w:val="none"/>
                <w:lang w:val="en-US" w:eastAsia="zh-CN"/>
              </w:rPr>
              <w:t>3.06</w:t>
            </w:r>
          </w:p>
        </w:tc>
        <w:tc>
          <w:tcPr>
            <w:tcW w:w="1353" w:type="dxa"/>
            <w:vAlign w:val="center"/>
          </w:tcPr>
          <w:p w14:paraId="68C16EBF">
            <w:pPr>
              <w:pStyle w:val="92"/>
              <w:rPr>
                <w:rFonts w:hint="eastAsia"/>
                <w:color w:val="auto"/>
                <w:highlight w:val="none"/>
                <w:u w:val="none"/>
                <w:lang w:val="en-US" w:eastAsia="zh-CN"/>
              </w:rPr>
            </w:pPr>
            <w:r>
              <w:rPr>
                <w:rFonts w:hint="eastAsia"/>
                <w:color w:val="auto"/>
                <w:highlight w:val="none"/>
                <w:u w:val="none"/>
                <w:lang w:val="en-US" w:eastAsia="zh-CN"/>
              </w:rPr>
              <w:t>0.04</w:t>
            </w:r>
          </w:p>
        </w:tc>
      </w:tr>
      <w:tr w14:paraId="5E568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6B8161D">
            <w:pPr>
              <w:pStyle w:val="92"/>
              <w:rPr>
                <w:color w:val="auto"/>
                <w:highlight w:val="none"/>
                <w:u w:val="none"/>
              </w:rPr>
            </w:pPr>
          </w:p>
        </w:tc>
        <w:tc>
          <w:tcPr>
            <w:tcW w:w="1259" w:type="pct"/>
            <w:vAlign w:val="center"/>
          </w:tcPr>
          <w:p w14:paraId="1F35359F">
            <w:pPr>
              <w:pStyle w:val="92"/>
              <w:rPr>
                <w:snapToGrid w:val="0"/>
                <w:color w:val="auto"/>
                <w:highlight w:val="none"/>
                <w:u w:val="none"/>
              </w:rPr>
            </w:pPr>
            <w:r>
              <w:rPr>
                <w:rFonts w:hint="eastAsia"/>
                <w:color w:val="auto"/>
                <w:highlight w:val="none"/>
                <w:u w:val="none"/>
              </w:rPr>
              <w:t>邻二氯苯</w:t>
            </w:r>
          </w:p>
        </w:tc>
        <w:tc>
          <w:tcPr>
            <w:tcW w:w="740" w:type="pct"/>
            <w:vAlign w:val="center"/>
          </w:tcPr>
          <w:p w14:paraId="5756DB7E">
            <w:pPr>
              <w:pStyle w:val="92"/>
              <w:rPr>
                <w:color w:val="auto"/>
                <w:highlight w:val="none"/>
                <w:u w:val="none"/>
              </w:rPr>
            </w:pPr>
            <w:r>
              <w:rPr>
                <w:rFonts w:hint="eastAsia"/>
                <w:color w:val="auto"/>
                <w:highlight w:val="none"/>
                <w:u w:val="none"/>
              </w:rPr>
              <w:t>t/a</w:t>
            </w:r>
          </w:p>
        </w:tc>
        <w:tc>
          <w:tcPr>
            <w:tcW w:w="833" w:type="pct"/>
            <w:vAlign w:val="center"/>
          </w:tcPr>
          <w:p w14:paraId="3A2F5C99">
            <w:pPr>
              <w:pStyle w:val="92"/>
              <w:rPr>
                <w:rFonts w:hint="eastAsia"/>
                <w:color w:val="auto"/>
                <w:highlight w:val="none"/>
                <w:u w:val="none"/>
              </w:rPr>
            </w:pPr>
            <w:r>
              <w:rPr>
                <w:rFonts w:hint="eastAsia"/>
                <w:color w:val="auto"/>
                <w:highlight w:val="none"/>
                <w:u w:val="none"/>
              </w:rPr>
              <w:t>0.26</w:t>
            </w:r>
          </w:p>
        </w:tc>
        <w:tc>
          <w:tcPr>
            <w:tcW w:w="1243" w:type="dxa"/>
            <w:vAlign w:val="center"/>
          </w:tcPr>
          <w:p w14:paraId="46001BAB">
            <w:pPr>
              <w:pStyle w:val="92"/>
              <w:rPr>
                <w:rFonts w:hint="eastAsia"/>
                <w:color w:val="auto"/>
                <w:highlight w:val="none"/>
                <w:u w:val="none"/>
                <w:lang w:val="en-US" w:eastAsia="zh-CN"/>
              </w:rPr>
            </w:pPr>
            <w:r>
              <w:rPr>
                <w:rFonts w:hint="default"/>
                <w:color w:val="auto"/>
                <w:highlight w:val="none"/>
                <w:u w:val="none"/>
                <w:lang w:val="en-US" w:eastAsia="zh-CN"/>
              </w:rPr>
              <w:t>0.11</w:t>
            </w:r>
          </w:p>
        </w:tc>
        <w:tc>
          <w:tcPr>
            <w:tcW w:w="1353" w:type="dxa"/>
            <w:vAlign w:val="center"/>
          </w:tcPr>
          <w:p w14:paraId="0D3250E8">
            <w:pPr>
              <w:pStyle w:val="92"/>
              <w:rPr>
                <w:rFonts w:hint="eastAsia"/>
                <w:color w:val="auto"/>
                <w:highlight w:val="none"/>
                <w:u w:val="none"/>
                <w:lang w:val="en-US" w:eastAsia="zh-CN"/>
              </w:rPr>
            </w:pPr>
            <w:r>
              <w:rPr>
                <w:rFonts w:hint="eastAsia"/>
                <w:color w:val="auto"/>
                <w:highlight w:val="none"/>
                <w:u w:val="none"/>
                <w:lang w:val="en-US" w:eastAsia="zh-CN"/>
              </w:rPr>
              <w:t>0.15</w:t>
            </w:r>
          </w:p>
        </w:tc>
      </w:tr>
      <w:tr w14:paraId="66375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8DF4C6F">
            <w:pPr>
              <w:pStyle w:val="92"/>
              <w:rPr>
                <w:color w:val="auto"/>
                <w:highlight w:val="none"/>
                <w:u w:val="none"/>
              </w:rPr>
            </w:pPr>
          </w:p>
        </w:tc>
        <w:tc>
          <w:tcPr>
            <w:tcW w:w="1259" w:type="pct"/>
            <w:vAlign w:val="center"/>
          </w:tcPr>
          <w:p w14:paraId="69840DE5">
            <w:pPr>
              <w:pStyle w:val="92"/>
              <w:rPr>
                <w:snapToGrid w:val="0"/>
                <w:color w:val="auto"/>
                <w:highlight w:val="none"/>
                <w:u w:val="none"/>
              </w:rPr>
            </w:pPr>
            <w:r>
              <w:rPr>
                <w:rFonts w:hint="eastAsia"/>
                <w:color w:val="auto"/>
                <w:highlight w:val="none"/>
                <w:u w:val="none"/>
              </w:rPr>
              <w:t>氯离子</w:t>
            </w:r>
          </w:p>
        </w:tc>
        <w:tc>
          <w:tcPr>
            <w:tcW w:w="740" w:type="pct"/>
            <w:vAlign w:val="center"/>
          </w:tcPr>
          <w:p w14:paraId="0A1606A7">
            <w:pPr>
              <w:pStyle w:val="92"/>
              <w:rPr>
                <w:color w:val="auto"/>
                <w:highlight w:val="none"/>
                <w:u w:val="none"/>
              </w:rPr>
            </w:pPr>
            <w:r>
              <w:rPr>
                <w:rFonts w:hint="eastAsia"/>
                <w:color w:val="auto"/>
                <w:highlight w:val="none"/>
                <w:u w:val="none"/>
              </w:rPr>
              <w:t>t/a</w:t>
            </w:r>
          </w:p>
        </w:tc>
        <w:tc>
          <w:tcPr>
            <w:tcW w:w="833" w:type="pct"/>
            <w:vAlign w:val="center"/>
          </w:tcPr>
          <w:p w14:paraId="0A09DCD5">
            <w:pPr>
              <w:pStyle w:val="92"/>
              <w:rPr>
                <w:rFonts w:hint="eastAsia"/>
                <w:color w:val="auto"/>
                <w:highlight w:val="none"/>
                <w:u w:val="none"/>
              </w:rPr>
            </w:pPr>
            <w:r>
              <w:rPr>
                <w:rFonts w:hint="eastAsia"/>
                <w:color w:val="auto"/>
                <w:highlight w:val="none"/>
                <w:u w:val="none"/>
              </w:rPr>
              <w:t>246.99</w:t>
            </w:r>
          </w:p>
        </w:tc>
        <w:tc>
          <w:tcPr>
            <w:tcW w:w="1243" w:type="dxa"/>
            <w:vAlign w:val="center"/>
          </w:tcPr>
          <w:p w14:paraId="376998A4">
            <w:pPr>
              <w:pStyle w:val="92"/>
              <w:rPr>
                <w:rFonts w:hint="eastAsia"/>
                <w:color w:val="auto"/>
                <w:highlight w:val="none"/>
                <w:u w:val="none"/>
                <w:lang w:val="en-US" w:eastAsia="zh-CN"/>
              </w:rPr>
            </w:pPr>
            <w:r>
              <w:rPr>
                <w:rFonts w:hint="default"/>
                <w:color w:val="auto"/>
                <w:highlight w:val="none"/>
                <w:u w:val="none"/>
                <w:lang w:val="en-US" w:eastAsia="zh-CN"/>
              </w:rPr>
              <w:t>158.99</w:t>
            </w:r>
          </w:p>
        </w:tc>
        <w:tc>
          <w:tcPr>
            <w:tcW w:w="1353" w:type="dxa"/>
            <w:vAlign w:val="center"/>
          </w:tcPr>
          <w:p w14:paraId="6911AD6F">
            <w:pPr>
              <w:pStyle w:val="92"/>
              <w:rPr>
                <w:rFonts w:hint="eastAsia"/>
                <w:color w:val="auto"/>
                <w:highlight w:val="none"/>
                <w:u w:val="none"/>
                <w:lang w:val="en-US" w:eastAsia="zh-CN"/>
              </w:rPr>
            </w:pPr>
            <w:r>
              <w:rPr>
                <w:rFonts w:hint="eastAsia"/>
                <w:color w:val="auto"/>
                <w:highlight w:val="none"/>
                <w:u w:val="none"/>
                <w:lang w:val="en-US" w:eastAsia="zh-CN"/>
              </w:rPr>
              <w:t>88</w:t>
            </w:r>
          </w:p>
        </w:tc>
      </w:tr>
      <w:tr w14:paraId="1260D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7512AF2F">
            <w:pPr>
              <w:pStyle w:val="92"/>
              <w:rPr>
                <w:color w:val="auto"/>
                <w:highlight w:val="none"/>
                <w:u w:val="none"/>
              </w:rPr>
            </w:pPr>
          </w:p>
        </w:tc>
        <w:tc>
          <w:tcPr>
            <w:tcW w:w="1259" w:type="pct"/>
            <w:shd w:val="clear" w:color="auto" w:fill="auto"/>
            <w:vAlign w:val="center"/>
          </w:tcPr>
          <w:p w14:paraId="68D79462">
            <w:pPr>
              <w:pStyle w:val="92"/>
              <w:rPr>
                <w:color w:val="auto"/>
                <w:highlight w:val="none"/>
                <w:u w:val="none"/>
              </w:rPr>
            </w:pPr>
            <w:r>
              <w:rPr>
                <w:rFonts w:hint="eastAsia"/>
                <w:color w:val="auto"/>
                <w:highlight w:val="none"/>
                <w:u w:val="none"/>
              </w:rPr>
              <w:t>TDS</w:t>
            </w:r>
          </w:p>
        </w:tc>
        <w:tc>
          <w:tcPr>
            <w:tcW w:w="740" w:type="pct"/>
            <w:shd w:val="clear" w:color="auto" w:fill="auto"/>
            <w:vAlign w:val="center"/>
          </w:tcPr>
          <w:p w14:paraId="31646C9D">
            <w:pPr>
              <w:pStyle w:val="92"/>
              <w:rPr>
                <w:color w:val="auto"/>
                <w:highlight w:val="none"/>
                <w:u w:val="none"/>
              </w:rPr>
            </w:pPr>
            <w:r>
              <w:rPr>
                <w:rFonts w:hint="eastAsia"/>
                <w:color w:val="auto"/>
                <w:highlight w:val="none"/>
                <w:u w:val="none"/>
              </w:rPr>
              <w:t>t/a</w:t>
            </w:r>
          </w:p>
        </w:tc>
        <w:tc>
          <w:tcPr>
            <w:tcW w:w="833" w:type="pct"/>
            <w:vAlign w:val="center"/>
          </w:tcPr>
          <w:p w14:paraId="74A783EC">
            <w:pPr>
              <w:pStyle w:val="92"/>
              <w:rPr>
                <w:rFonts w:hint="eastAsia"/>
                <w:color w:val="auto"/>
                <w:highlight w:val="none"/>
                <w:u w:val="none"/>
              </w:rPr>
            </w:pPr>
            <w:r>
              <w:rPr>
                <w:rFonts w:hint="eastAsia"/>
                <w:color w:val="auto"/>
                <w:highlight w:val="none"/>
                <w:u w:val="none"/>
              </w:rPr>
              <w:t>5064.88</w:t>
            </w:r>
          </w:p>
        </w:tc>
        <w:tc>
          <w:tcPr>
            <w:tcW w:w="1243" w:type="dxa"/>
            <w:vAlign w:val="center"/>
          </w:tcPr>
          <w:p w14:paraId="597CDA1C">
            <w:pPr>
              <w:pStyle w:val="92"/>
              <w:rPr>
                <w:rFonts w:hint="eastAsia"/>
                <w:color w:val="auto"/>
                <w:highlight w:val="none"/>
                <w:u w:val="none"/>
                <w:lang w:val="en-US" w:eastAsia="zh-CN"/>
              </w:rPr>
            </w:pPr>
            <w:r>
              <w:rPr>
                <w:rFonts w:hint="default"/>
                <w:color w:val="auto"/>
                <w:highlight w:val="none"/>
                <w:u w:val="none"/>
                <w:lang w:val="en-US" w:eastAsia="zh-CN"/>
              </w:rPr>
              <w:t>1236.55</w:t>
            </w:r>
          </w:p>
        </w:tc>
        <w:tc>
          <w:tcPr>
            <w:tcW w:w="1353" w:type="dxa"/>
            <w:vAlign w:val="center"/>
          </w:tcPr>
          <w:p w14:paraId="25C85B3C">
            <w:pPr>
              <w:pStyle w:val="92"/>
              <w:rPr>
                <w:rFonts w:hint="eastAsia"/>
                <w:color w:val="auto"/>
                <w:highlight w:val="none"/>
                <w:u w:val="none"/>
                <w:lang w:val="en-US" w:eastAsia="zh-CN"/>
              </w:rPr>
            </w:pPr>
            <w:r>
              <w:rPr>
                <w:rFonts w:hint="eastAsia"/>
                <w:color w:val="auto"/>
                <w:highlight w:val="none"/>
                <w:u w:val="none"/>
                <w:lang w:val="en-US" w:eastAsia="zh-CN"/>
              </w:rPr>
              <w:t>3828.33</w:t>
            </w:r>
          </w:p>
        </w:tc>
      </w:tr>
      <w:tr w14:paraId="2EDD6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2857C597">
            <w:pPr>
              <w:pStyle w:val="92"/>
              <w:rPr>
                <w:color w:val="auto"/>
                <w:highlight w:val="none"/>
                <w:u w:val="none"/>
              </w:rPr>
            </w:pPr>
          </w:p>
        </w:tc>
        <w:tc>
          <w:tcPr>
            <w:tcW w:w="1259" w:type="pct"/>
            <w:vAlign w:val="center"/>
          </w:tcPr>
          <w:p w14:paraId="4A43F8BD">
            <w:pPr>
              <w:pStyle w:val="92"/>
              <w:rPr>
                <w:snapToGrid w:val="0"/>
                <w:color w:val="auto"/>
                <w:highlight w:val="none"/>
                <w:u w:val="none"/>
              </w:rPr>
            </w:pPr>
            <w:r>
              <w:rPr>
                <w:rFonts w:hint="eastAsia"/>
                <w:color w:val="auto"/>
                <w:highlight w:val="none"/>
                <w:u w:val="none"/>
              </w:rPr>
              <w:t>二硝基甲苯</w:t>
            </w:r>
          </w:p>
        </w:tc>
        <w:tc>
          <w:tcPr>
            <w:tcW w:w="740" w:type="pct"/>
            <w:vAlign w:val="center"/>
          </w:tcPr>
          <w:p w14:paraId="2CAA3E0F">
            <w:pPr>
              <w:pStyle w:val="92"/>
              <w:rPr>
                <w:color w:val="auto"/>
                <w:highlight w:val="none"/>
                <w:u w:val="none"/>
              </w:rPr>
            </w:pPr>
            <w:r>
              <w:rPr>
                <w:rFonts w:hint="eastAsia"/>
                <w:color w:val="auto"/>
                <w:highlight w:val="none"/>
                <w:u w:val="none"/>
              </w:rPr>
              <w:t>t/a</w:t>
            </w:r>
          </w:p>
        </w:tc>
        <w:tc>
          <w:tcPr>
            <w:tcW w:w="833" w:type="pct"/>
            <w:vAlign w:val="center"/>
          </w:tcPr>
          <w:p w14:paraId="1A1B7F4C">
            <w:pPr>
              <w:pStyle w:val="92"/>
              <w:rPr>
                <w:rFonts w:hint="eastAsia" w:eastAsia="宋体"/>
                <w:color w:val="auto"/>
                <w:highlight w:val="none"/>
                <w:u w:val="none"/>
                <w:lang w:val="en-US" w:eastAsia="zh-CN"/>
              </w:rPr>
            </w:pPr>
            <w:r>
              <w:rPr>
                <w:rFonts w:hint="eastAsia"/>
                <w:color w:val="auto"/>
                <w:highlight w:val="none"/>
                <w:u w:val="none"/>
              </w:rPr>
              <w:t>16.83</w:t>
            </w:r>
          </w:p>
        </w:tc>
        <w:tc>
          <w:tcPr>
            <w:tcW w:w="1243" w:type="dxa"/>
            <w:vAlign w:val="center"/>
          </w:tcPr>
          <w:p w14:paraId="2BEF42C7">
            <w:pPr>
              <w:pStyle w:val="92"/>
              <w:rPr>
                <w:rFonts w:hint="eastAsia"/>
                <w:color w:val="auto"/>
                <w:highlight w:val="none"/>
                <w:u w:val="none"/>
                <w:lang w:val="en-US" w:eastAsia="zh-CN"/>
              </w:rPr>
            </w:pPr>
            <w:r>
              <w:rPr>
                <w:rFonts w:hint="default"/>
                <w:color w:val="auto"/>
                <w:highlight w:val="none"/>
                <w:u w:val="none"/>
                <w:lang w:val="en-US" w:eastAsia="zh-CN"/>
              </w:rPr>
              <w:t>16.06</w:t>
            </w:r>
          </w:p>
        </w:tc>
        <w:tc>
          <w:tcPr>
            <w:tcW w:w="1353" w:type="dxa"/>
            <w:vAlign w:val="center"/>
          </w:tcPr>
          <w:p w14:paraId="14E1A0AA">
            <w:pPr>
              <w:pStyle w:val="92"/>
              <w:rPr>
                <w:rFonts w:hint="eastAsia"/>
                <w:color w:val="auto"/>
                <w:highlight w:val="none"/>
                <w:u w:val="none"/>
                <w:lang w:val="en-US" w:eastAsia="zh-CN"/>
              </w:rPr>
            </w:pPr>
            <w:r>
              <w:rPr>
                <w:rFonts w:hint="eastAsia"/>
                <w:color w:val="auto"/>
                <w:highlight w:val="none"/>
                <w:u w:val="none"/>
                <w:lang w:val="en-US" w:eastAsia="zh-CN"/>
              </w:rPr>
              <w:t>0.77</w:t>
            </w:r>
          </w:p>
        </w:tc>
      </w:tr>
      <w:tr w14:paraId="68163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7DF0E58C">
            <w:pPr>
              <w:pStyle w:val="92"/>
              <w:rPr>
                <w:color w:val="auto"/>
                <w:highlight w:val="none"/>
                <w:u w:val="none"/>
              </w:rPr>
            </w:pPr>
          </w:p>
        </w:tc>
        <w:tc>
          <w:tcPr>
            <w:tcW w:w="1259" w:type="pct"/>
            <w:vAlign w:val="center"/>
          </w:tcPr>
          <w:p w14:paraId="1DA32B77">
            <w:pPr>
              <w:pStyle w:val="92"/>
              <w:rPr>
                <w:snapToGrid w:val="0"/>
                <w:color w:val="auto"/>
                <w:highlight w:val="none"/>
                <w:u w:val="none"/>
              </w:rPr>
            </w:pPr>
            <w:r>
              <w:rPr>
                <w:rFonts w:hint="eastAsia"/>
                <w:color w:val="auto"/>
                <w:highlight w:val="none"/>
                <w:u w:val="none"/>
              </w:rPr>
              <w:t>挥发酚</w:t>
            </w:r>
          </w:p>
        </w:tc>
        <w:tc>
          <w:tcPr>
            <w:tcW w:w="740" w:type="pct"/>
            <w:vAlign w:val="center"/>
          </w:tcPr>
          <w:p w14:paraId="17C73499">
            <w:pPr>
              <w:pStyle w:val="92"/>
              <w:rPr>
                <w:color w:val="auto"/>
                <w:highlight w:val="none"/>
                <w:u w:val="none"/>
              </w:rPr>
            </w:pPr>
            <w:r>
              <w:rPr>
                <w:rFonts w:hint="eastAsia"/>
                <w:color w:val="auto"/>
                <w:highlight w:val="none"/>
                <w:u w:val="none"/>
              </w:rPr>
              <w:t>t/a</w:t>
            </w:r>
          </w:p>
        </w:tc>
        <w:tc>
          <w:tcPr>
            <w:tcW w:w="833" w:type="pct"/>
            <w:vAlign w:val="center"/>
          </w:tcPr>
          <w:p w14:paraId="5039862E">
            <w:pPr>
              <w:pStyle w:val="92"/>
              <w:rPr>
                <w:rFonts w:hint="eastAsia"/>
                <w:color w:val="auto"/>
                <w:highlight w:val="none"/>
                <w:u w:val="none"/>
              </w:rPr>
            </w:pPr>
            <w:r>
              <w:rPr>
                <w:rFonts w:hint="eastAsia"/>
                <w:color w:val="auto"/>
                <w:highlight w:val="none"/>
                <w:u w:val="none"/>
              </w:rPr>
              <w:t>176.65</w:t>
            </w:r>
          </w:p>
        </w:tc>
        <w:tc>
          <w:tcPr>
            <w:tcW w:w="1243" w:type="dxa"/>
            <w:vAlign w:val="center"/>
          </w:tcPr>
          <w:p w14:paraId="49DD802E">
            <w:pPr>
              <w:pStyle w:val="92"/>
              <w:rPr>
                <w:rFonts w:hint="eastAsia"/>
                <w:color w:val="auto"/>
                <w:highlight w:val="none"/>
                <w:u w:val="none"/>
                <w:lang w:val="en-US" w:eastAsia="zh-CN"/>
              </w:rPr>
            </w:pPr>
            <w:r>
              <w:rPr>
                <w:rFonts w:hint="default"/>
                <w:color w:val="auto"/>
                <w:highlight w:val="none"/>
                <w:u w:val="none"/>
                <w:lang w:val="en-US" w:eastAsia="zh-CN"/>
              </w:rPr>
              <w:t>176.65</w:t>
            </w:r>
          </w:p>
        </w:tc>
        <w:tc>
          <w:tcPr>
            <w:tcW w:w="1353" w:type="dxa"/>
            <w:vAlign w:val="center"/>
          </w:tcPr>
          <w:p w14:paraId="518B4D03">
            <w:pPr>
              <w:pStyle w:val="92"/>
              <w:rPr>
                <w:rFonts w:hint="eastAsia"/>
                <w:color w:val="auto"/>
                <w:highlight w:val="none"/>
                <w:u w:val="none"/>
                <w:lang w:val="en-US" w:eastAsia="zh-CN"/>
              </w:rPr>
            </w:pPr>
            <w:r>
              <w:rPr>
                <w:rFonts w:hint="eastAsia"/>
                <w:color w:val="auto"/>
                <w:highlight w:val="none"/>
                <w:u w:val="none"/>
                <w:lang w:val="en-US" w:eastAsia="zh-CN"/>
              </w:rPr>
              <w:t>0</w:t>
            </w:r>
          </w:p>
        </w:tc>
      </w:tr>
      <w:tr w14:paraId="63726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89F977B">
            <w:pPr>
              <w:pStyle w:val="92"/>
              <w:rPr>
                <w:color w:val="auto"/>
                <w:highlight w:val="none"/>
                <w:u w:val="none"/>
              </w:rPr>
            </w:pPr>
          </w:p>
        </w:tc>
        <w:tc>
          <w:tcPr>
            <w:tcW w:w="1259" w:type="pct"/>
            <w:vAlign w:val="center"/>
          </w:tcPr>
          <w:p w14:paraId="5D83137D">
            <w:pPr>
              <w:pStyle w:val="92"/>
              <w:rPr>
                <w:snapToGrid w:val="0"/>
                <w:color w:val="auto"/>
                <w:highlight w:val="none"/>
                <w:u w:val="none"/>
              </w:rPr>
            </w:pPr>
            <w:r>
              <w:rPr>
                <w:rFonts w:hint="eastAsia"/>
                <w:color w:val="auto"/>
                <w:highlight w:val="none"/>
                <w:u w:val="none"/>
              </w:rPr>
              <w:t>苯胺类</w:t>
            </w:r>
          </w:p>
        </w:tc>
        <w:tc>
          <w:tcPr>
            <w:tcW w:w="740" w:type="pct"/>
            <w:vAlign w:val="center"/>
          </w:tcPr>
          <w:p w14:paraId="088F7908">
            <w:pPr>
              <w:pStyle w:val="92"/>
              <w:rPr>
                <w:color w:val="auto"/>
                <w:highlight w:val="none"/>
                <w:u w:val="none"/>
              </w:rPr>
            </w:pPr>
            <w:r>
              <w:rPr>
                <w:rFonts w:hint="eastAsia"/>
                <w:color w:val="auto"/>
                <w:highlight w:val="none"/>
                <w:u w:val="none"/>
              </w:rPr>
              <w:t>t/a</w:t>
            </w:r>
          </w:p>
        </w:tc>
        <w:tc>
          <w:tcPr>
            <w:tcW w:w="833" w:type="pct"/>
            <w:vAlign w:val="center"/>
          </w:tcPr>
          <w:p w14:paraId="0322DA7D">
            <w:pPr>
              <w:pStyle w:val="92"/>
              <w:rPr>
                <w:rFonts w:hint="eastAsia"/>
                <w:color w:val="auto"/>
                <w:highlight w:val="none"/>
                <w:u w:val="none"/>
              </w:rPr>
            </w:pPr>
            <w:r>
              <w:rPr>
                <w:rFonts w:hint="eastAsia"/>
                <w:color w:val="auto"/>
                <w:highlight w:val="none"/>
                <w:u w:val="none"/>
              </w:rPr>
              <w:t>317.94</w:t>
            </w:r>
          </w:p>
        </w:tc>
        <w:tc>
          <w:tcPr>
            <w:tcW w:w="1243" w:type="dxa"/>
            <w:vAlign w:val="center"/>
          </w:tcPr>
          <w:p w14:paraId="6B2491D3">
            <w:pPr>
              <w:pStyle w:val="92"/>
              <w:rPr>
                <w:rFonts w:hint="eastAsia"/>
                <w:color w:val="auto"/>
                <w:highlight w:val="none"/>
                <w:u w:val="none"/>
                <w:lang w:val="en-US" w:eastAsia="zh-CN"/>
              </w:rPr>
            </w:pPr>
            <w:r>
              <w:rPr>
                <w:rFonts w:hint="default"/>
                <w:color w:val="auto"/>
                <w:highlight w:val="none"/>
                <w:u w:val="none"/>
                <w:lang w:val="en-US" w:eastAsia="zh-CN"/>
              </w:rPr>
              <w:t>317.75</w:t>
            </w:r>
          </w:p>
        </w:tc>
        <w:tc>
          <w:tcPr>
            <w:tcW w:w="1353" w:type="dxa"/>
            <w:vAlign w:val="center"/>
          </w:tcPr>
          <w:p w14:paraId="74FB3021">
            <w:pPr>
              <w:pStyle w:val="92"/>
              <w:rPr>
                <w:rFonts w:hint="eastAsia"/>
                <w:color w:val="auto"/>
                <w:highlight w:val="none"/>
                <w:u w:val="none"/>
                <w:lang w:val="en-US" w:eastAsia="zh-CN"/>
              </w:rPr>
            </w:pPr>
            <w:r>
              <w:rPr>
                <w:rFonts w:hint="eastAsia"/>
                <w:color w:val="auto"/>
                <w:highlight w:val="none"/>
                <w:u w:val="none"/>
                <w:lang w:val="en-US" w:eastAsia="zh-CN"/>
              </w:rPr>
              <w:t>0.19</w:t>
            </w:r>
          </w:p>
        </w:tc>
      </w:tr>
      <w:tr w14:paraId="34D63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373637A7">
            <w:pPr>
              <w:pStyle w:val="92"/>
              <w:rPr>
                <w:color w:val="auto"/>
                <w:highlight w:val="none"/>
                <w:u w:val="none"/>
              </w:rPr>
            </w:pPr>
          </w:p>
        </w:tc>
        <w:tc>
          <w:tcPr>
            <w:tcW w:w="1259" w:type="pct"/>
            <w:vAlign w:val="center"/>
          </w:tcPr>
          <w:p w14:paraId="3601C029">
            <w:pPr>
              <w:pStyle w:val="92"/>
              <w:rPr>
                <w:snapToGrid w:val="0"/>
                <w:color w:val="auto"/>
                <w:highlight w:val="none"/>
                <w:u w:val="none"/>
              </w:rPr>
            </w:pPr>
            <w:r>
              <w:rPr>
                <w:rFonts w:hint="eastAsia"/>
                <w:color w:val="auto"/>
                <w:highlight w:val="none"/>
                <w:u w:val="none"/>
              </w:rPr>
              <w:t>总氮</w:t>
            </w:r>
          </w:p>
        </w:tc>
        <w:tc>
          <w:tcPr>
            <w:tcW w:w="740" w:type="pct"/>
            <w:vAlign w:val="center"/>
          </w:tcPr>
          <w:p w14:paraId="7C35AB19">
            <w:pPr>
              <w:pStyle w:val="92"/>
              <w:rPr>
                <w:color w:val="auto"/>
                <w:highlight w:val="none"/>
                <w:u w:val="none"/>
              </w:rPr>
            </w:pPr>
            <w:r>
              <w:rPr>
                <w:rFonts w:hint="eastAsia"/>
                <w:color w:val="auto"/>
                <w:highlight w:val="none"/>
                <w:u w:val="none"/>
              </w:rPr>
              <w:t>t/a</w:t>
            </w:r>
          </w:p>
        </w:tc>
        <w:tc>
          <w:tcPr>
            <w:tcW w:w="833" w:type="pct"/>
            <w:vAlign w:val="center"/>
          </w:tcPr>
          <w:p w14:paraId="31F1E5DA">
            <w:pPr>
              <w:pStyle w:val="92"/>
              <w:rPr>
                <w:rFonts w:hint="eastAsia"/>
                <w:color w:val="auto"/>
                <w:highlight w:val="none"/>
                <w:u w:val="none"/>
              </w:rPr>
            </w:pPr>
            <w:r>
              <w:rPr>
                <w:rFonts w:hint="eastAsia"/>
                <w:color w:val="auto"/>
                <w:highlight w:val="none"/>
                <w:u w:val="none"/>
              </w:rPr>
              <w:t>1361.72</w:t>
            </w:r>
          </w:p>
        </w:tc>
        <w:tc>
          <w:tcPr>
            <w:tcW w:w="1243" w:type="dxa"/>
            <w:vAlign w:val="center"/>
          </w:tcPr>
          <w:p w14:paraId="280BBB22">
            <w:pPr>
              <w:pStyle w:val="92"/>
              <w:rPr>
                <w:rFonts w:hint="eastAsia"/>
                <w:color w:val="auto"/>
                <w:highlight w:val="none"/>
                <w:u w:val="none"/>
                <w:lang w:val="en-US" w:eastAsia="zh-CN"/>
              </w:rPr>
            </w:pPr>
            <w:r>
              <w:rPr>
                <w:rFonts w:hint="default"/>
                <w:color w:val="auto"/>
                <w:highlight w:val="none"/>
                <w:u w:val="none"/>
                <w:lang w:val="en-US" w:eastAsia="zh-CN"/>
              </w:rPr>
              <w:t>1355.96</w:t>
            </w:r>
          </w:p>
        </w:tc>
        <w:tc>
          <w:tcPr>
            <w:tcW w:w="1353" w:type="dxa"/>
            <w:vAlign w:val="center"/>
          </w:tcPr>
          <w:p w14:paraId="6516C025">
            <w:pPr>
              <w:pStyle w:val="92"/>
              <w:rPr>
                <w:rFonts w:hint="eastAsia"/>
                <w:color w:val="auto"/>
                <w:highlight w:val="none"/>
                <w:u w:val="none"/>
                <w:lang w:val="en-US" w:eastAsia="zh-CN"/>
              </w:rPr>
            </w:pPr>
            <w:r>
              <w:rPr>
                <w:rFonts w:hint="eastAsia"/>
                <w:color w:val="auto"/>
                <w:highlight w:val="none"/>
                <w:u w:val="none"/>
                <w:lang w:val="en-US" w:eastAsia="zh-CN"/>
              </w:rPr>
              <w:t>5.76</w:t>
            </w:r>
          </w:p>
        </w:tc>
      </w:tr>
      <w:tr w14:paraId="1070D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1A4F1F91">
            <w:pPr>
              <w:pStyle w:val="92"/>
              <w:rPr>
                <w:color w:val="auto"/>
                <w:highlight w:val="none"/>
                <w:u w:val="none"/>
              </w:rPr>
            </w:pPr>
          </w:p>
        </w:tc>
        <w:tc>
          <w:tcPr>
            <w:tcW w:w="1259" w:type="pct"/>
            <w:vAlign w:val="center"/>
          </w:tcPr>
          <w:p w14:paraId="687AC023">
            <w:pPr>
              <w:pStyle w:val="92"/>
              <w:rPr>
                <w:snapToGrid w:val="0"/>
                <w:color w:val="auto"/>
                <w:highlight w:val="none"/>
                <w:u w:val="none"/>
              </w:rPr>
            </w:pPr>
            <w:r>
              <w:rPr>
                <w:rFonts w:hint="eastAsia"/>
                <w:color w:val="auto"/>
                <w:highlight w:val="none"/>
                <w:u w:val="none"/>
              </w:rPr>
              <w:t>石油类</w:t>
            </w:r>
          </w:p>
        </w:tc>
        <w:tc>
          <w:tcPr>
            <w:tcW w:w="740" w:type="pct"/>
            <w:vAlign w:val="center"/>
          </w:tcPr>
          <w:p w14:paraId="4829DCF9">
            <w:pPr>
              <w:pStyle w:val="92"/>
              <w:rPr>
                <w:color w:val="auto"/>
                <w:highlight w:val="none"/>
                <w:u w:val="none"/>
              </w:rPr>
            </w:pPr>
            <w:r>
              <w:rPr>
                <w:rFonts w:hint="eastAsia"/>
                <w:color w:val="auto"/>
                <w:highlight w:val="none"/>
                <w:u w:val="none"/>
              </w:rPr>
              <w:t>t/a</w:t>
            </w:r>
          </w:p>
        </w:tc>
        <w:tc>
          <w:tcPr>
            <w:tcW w:w="833" w:type="pct"/>
            <w:vAlign w:val="center"/>
          </w:tcPr>
          <w:p w14:paraId="090F29A2">
            <w:pPr>
              <w:pStyle w:val="92"/>
              <w:rPr>
                <w:rFonts w:hint="eastAsia"/>
                <w:color w:val="auto"/>
                <w:highlight w:val="none"/>
                <w:u w:val="none"/>
              </w:rPr>
            </w:pPr>
            <w:r>
              <w:rPr>
                <w:rFonts w:hint="eastAsia"/>
                <w:color w:val="auto"/>
                <w:highlight w:val="none"/>
                <w:u w:val="none"/>
              </w:rPr>
              <w:t>0.09</w:t>
            </w:r>
          </w:p>
        </w:tc>
        <w:tc>
          <w:tcPr>
            <w:tcW w:w="1243" w:type="dxa"/>
            <w:vAlign w:val="center"/>
          </w:tcPr>
          <w:p w14:paraId="25BCD1EB">
            <w:pPr>
              <w:pStyle w:val="92"/>
              <w:rPr>
                <w:rFonts w:hint="eastAsia"/>
                <w:color w:val="auto"/>
                <w:highlight w:val="none"/>
                <w:u w:val="none"/>
                <w:lang w:val="en-US" w:eastAsia="zh-CN"/>
              </w:rPr>
            </w:pPr>
            <w:r>
              <w:rPr>
                <w:rFonts w:hint="default"/>
                <w:color w:val="auto"/>
                <w:highlight w:val="none"/>
                <w:u w:val="none"/>
                <w:lang w:val="en-US" w:eastAsia="zh-CN"/>
              </w:rPr>
              <w:t>0.087</w:t>
            </w:r>
          </w:p>
        </w:tc>
        <w:tc>
          <w:tcPr>
            <w:tcW w:w="1353" w:type="dxa"/>
            <w:vAlign w:val="center"/>
          </w:tcPr>
          <w:p w14:paraId="57CDE256">
            <w:pPr>
              <w:pStyle w:val="92"/>
              <w:rPr>
                <w:rFonts w:hint="eastAsia"/>
                <w:color w:val="auto"/>
                <w:highlight w:val="none"/>
                <w:u w:val="none"/>
                <w:lang w:val="en-US" w:eastAsia="zh-CN"/>
              </w:rPr>
            </w:pPr>
            <w:r>
              <w:rPr>
                <w:rFonts w:hint="eastAsia"/>
                <w:color w:val="auto"/>
                <w:highlight w:val="none"/>
                <w:u w:val="none"/>
                <w:lang w:val="en-US" w:eastAsia="zh-CN"/>
              </w:rPr>
              <w:t>0.003</w:t>
            </w:r>
          </w:p>
        </w:tc>
      </w:tr>
      <w:tr w14:paraId="7A951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restart"/>
            <w:vAlign w:val="center"/>
          </w:tcPr>
          <w:p w14:paraId="553723F2">
            <w:pPr>
              <w:pStyle w:val="92"/>
              <w:rPr>
                <w:color w:val="auto"/>
                <w:highlight w:val="none"/>
                <w:u w:val="none"/>
              </w:rPr>
            </w:pPr>
            <w:bookmarkStart w:id="382" w:name="OLE_LINK18" w:colFirst="3" w:colLast="5"/>
            <w:bookmarkStart w:id="383" w:name="_Hlk318049765"/>
            <w:r>
              <w:rPr>
                <w:color w:val="auto"/>
                <w:highlight w:val="none"/>
                <w:u w:val="none"/>
              </w:rPr>
              <w:t>固体废物</w:t>
            </w:r>
          </w:p>
        </w:tc>
        <w:tc>
          <w:tcPr>
            <w:tcW w:w="1259" w:type="pct"/>
            <w:vAlign w:val="center"/>
          </w:tcPr>
          <w:p w14:paraId="3F6AD73A">
            <w:pPr>
              <w:pStyle w:val="92"/>
              <w:rPr>
                <w:snapToGrid w:val="0"/>
                <w:color w:val="auto"/>
                <w:highlight w:val="none"/>
                <w:u w:val="none"/>
              </w:rPr>
            </w:pPr>
            <w:r>
              <w:rPr>
                <w:snapToGrid w:val="0"/>
                <w:color w:val="auto"/>
                <w:highlight w:val="none"/>
                <w:u w:val="none"/>
              </w:rPr>
              <w:t>工业固废</w:t>
            </w:r>
          </w:p>
        </w:tc>
        <w:tc>
          <w:tcPr>
            <w:tcW w:w="740" w:type="pct"/>
            <w:vAlign w:val="center"/>
          </w:tcPr>
          <w:p w14:paraId="00CF9D86">
            <w:pPr>
              <w:pStyle w:val="92"/>
              <w:rPr>
                <w:color w:val="auto"/>
                <w:highlight w:val="none"/>
                <w:u w:val="none"/>
              </w:rPr>
            </w:pPr>
            <w:r>
              <w:rPr>
                <w:color w:val="auto"/>
                <w:highlight w:val="none"/>
                <w:u w:val="none"/>
              </w:rPr>
              <w:t>t/a</w:t>
            </w:r>
          </w:p>
        </w:tc>
        <w:tc>
          <w:tcPr>
            <w:tcW w:w="833" w:type="pct"/>
            <w:vAlign w:val="center"/>
          </w:tcPr>
          <w:p w14:paraId="37DABBCD">
            <w:pPr>
              <w:pStyle w:val="92"/>
              <w:rPr>
                <w:rFonts w:hint="eastAsia" w:eastAsia="宋体"/>
                <w:color w:val="auto"/>
                <w:highlight w:val="none"/>
                <w:u w:val="none"/>
                <w:lang w:eastAsia="zh-CN"/>
              </w:rPr>
            </w:pPr>
            <w:r>
              <w:rPr>
                <w:rFonts w:hint="eastAsia"/>
                <w:color w:val="auto"/>
                <w:highlight w:val="none"/>
                <w:u w:val="none"/>
              </w:rPr>
              <w:t>2691</w:t>
            </w:r>
            <w:r>
              <w:rPr>
                <w:rFonts w:hint="eastAsia"/>
                <w:color w:val="auto"/>
                <w:highlight w:val="none"/>
                <w:u w:val="none"/>
                <w:lang w:val="en-US" w:eastAsia="zh-CN"/>
              </w:rPr>
              <w:t>5</w:t>
            </w:r>
          </w:p>
        </w:tc>
        <w:tc>
          <w:tcPr>
            <w:tcW w:w="679" w:type="pct"/>
            <w:vAlign w:val="center"/>
          </w:tcPr>
          <w:p w14:paraId="5D638210">
            <w:pPr>
              <w:pStyle w:val="92"/>
              <w:rPr>
                <w:rFonts w:hint="eastAsia" w:eastAsia="宋体"/>
                <w:color w:val="auto"/>
                <w:highlight w:val="none"/>
                <w:u w:val="none"/>
                <w:lang w:eastAsia="zh-CN"/>
              </w:rPr>
            </w:pPr>
            <w:r>
              <w:rPr>
                <w:rFonts w:hint="eastAsia"/>
                <w:color w:val="auto"/>
                <w:highlight w:val="none"/>
                <w:u w:val="none"/>
              </w:rPr>
              <w:t>2691</w:t>
            </w:r>
            <w:r>
              <w:rPr>
                <w:rFonts w:hint="eastAsia"/>
                <w:color w:val="auto"/>
                <w:highlight w:val="none"/>
                <w:u w:val="none"/>
                <w:lang w:val="en-US" w:eastAsia="zh-CN"/>
              </w:rPr>
              <w:t>5</w:t>
            </w:r>
          </w:p>
        </w:tc>
        <w:tc>
          <w:tcPr>
            <w:tcW w:w="739" w:type="pct"/>
            <w:vAlign w:val="center"/>
          </w:tcPr>
          <w:p w14:paraId="4D8175E8">
            <w:pPr>
              <w:pStyle w:val="92"/>
              <w:rPr>
                <w:color w:val="auto"/>
                <w:highlight w:val="none"/>
                <w:u w:val="none"/>
              </w:rPr>
            </w:pPr>
            <w:r>
              <w:rPr>
                <w:rFonts w:hint="eastAsia"/>
                <w:color w:val="auto"/>
                <w:highlight w:val="none"/>
                <w:u w:val="none"/>
              </w:rPr>
              <w:t>0</w:t>
            </w:r>
          </w:p>
        </w:tc>
      </w:tr>
      <w:tr w14:paraId="7C062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40" w:type="dxa"/>
            <w:bottom w:w="0" w:type="dxa"/>
            <w:right w:w="40" w:type="dxa"/>
          </w:tblCellMar>
        </w:tblPrEx>
        <w:trPr>
          <w:trHeight w:val="340" w:hRule="atLeast"/>
          <w:jc w:val="center"/>
        </w:trPr>
        <w:tc>
          <w:tcPr>
            <w:tcW w:w="748" w:type="pct"/>
            <w:vMerge w:val="continue"/>
            <w:vAlign w:val="center"/>
          </w:tcPr>
          <w:p w14:paraId="4425AD76">
            <w:pPr>
              <w:pStyle w:val="92"/>
              <w:rPr>
                <w:color w:val="auto"/>
                <w:highlight w:val="none"/>
                <w:u w:val="none"/>
              </w:rPr>
            </w:pPr>
          </w:p>
        </w:tc>
        <w:tc>
          <w:tcPr>
            <w:tcW w:w="1259" w:type="pct"/>
            <w:vAlign w:val="center"/>
          </w:tcPr>
          <w:p w14:paraId="747C69CC">
            <w:pPr>
              <w:pStyle w:val="92"/>
              <w:rPr>
                <w:snapToGrid w:val="0"/>
                <w:color w:val="auto"/>
                <w:highlight w:val="none"/>
                <w:u w:val="none"/>
              </w:rPr>
            </w:pPr>
            <w:r>
              <w:rPr>
                <w:snapToGrid w:val="0"/>
                <w:color w:val="auto"/>
                <w:highlight w:val="none"/>
                <w:u w:val="none"/>
              </w:rPr>
              <w:t>生活垃圾</w:t>
            </w:r>
          </w:p>
        </w:tc>
        <w:tc>
          <w:tcPr>
            <w:tcW w:w="740" w:type="pct"/>
            <w:vAlign w:val="center"/>
          </w:tcPr>
          <w:p w14:paraId="63F3A075">
            <w:pPr>
              <w:pStyle w:val="92"/>
              <w:rPr>
                <w:color w:val="auto"/>
                <w:highlight w:val="none"/>
                <w:u w:val="none"/>
              </w:rPr>
            </w:pPr>
            <w:r>
              <w:rPr>
                <w:color w:val="auto"/>
                <w:highlight w:val="none"/>
                <w:u w:val="none"/>
              </w:rPr>
              <w:t>t/a</w:t>
            </w:r>
          </w:p>
        </w:tc>
        <w:tc>
          <w:tcPr>
            <w:tcW w:w="833" w:type="pct"/>
            <w:vAlign w:val="center"/>
          </w:tcPr>
          <w:p w14:paraId="145F9155">
            <w:pPr>
              <w:pStyle w:val="92"/>
              <w:rPr>
                <w:snapToGrid w:val="0"/>
                <w:color w:val="auto"/>
                <w:highlight w:val="none"/>
                <w:u w:val="none"/>
              </w:rPr>
            </w:pPr>
            <w:r>
              <w:rPr>
                <w:rFonts w:hint="eastAsia" w:eastAsia="等线"/>
                <w:color w:val="auto"/>
                <w:highlight w:val="none"/>
                <w:u w:val="none"/>
              </w:rPr>
              <w:t>8.5</w:t>
            </w:r>
          </w:p>
        </w:tc>
        <w:tc>
          <w:tcPr>
            <w:tcW w:w="679" w:type="pct"/>
            <w:vAlign w:val="center"/>
          </w:tcPr>
          <w:p w14:paraId="315721C7">
            <w:pPr>
              <w:pStyle w:val="92"/>
              <w:rPr>
                <w:snapToGrid w:val="0"/>
                <w:color w:val="auto"/>
                <w:highlight w:val="none"/>
                <w:u w:val="none"/>
              </w:rPr>
            </w:pPr>
            <w:r>
              <w:rPr>
                <w:rFonts w:hint="eastAsia" w:eastAsia="等线"/>
                <w:color w:val="auto"/>
                <w:highlight w:val="none"/>
                <w:u w:val="none"/>
              </w:rPr>
              <w:t>8.5</w:t>
            </w:r>
          </w:p>
        </w:tc>
        <w:tc>
          <w:tcPr>
            <w:tcW w:w="739" w:type="pct"/>
            <w:vAlign w:val="center"/>
          </w:tcPr>
          <w:p w14:paraId="76B79619">
            <w:pPr>
              <w:pStyle w:val="92"/>
              <w:rPr>
                <w:snapToGrid w:val="0"/>
                <w:color w:val="auto"/>
                <w:highlight w:val="none"/>
                <w:u w:val="none"/>
              </w:rPr>
            </w:pPr>
            <w:r>
              <w:rPr>
                <w:rFonts w:hint="eastAsia"/>
                <w:snapToGrid w:val="0"/>
                <w:color w:val="auto"/>
                <w:highlight w:val="none"/>
                <w:u w:val="none"/>
              </w:rPr>
              <w:t>0</w:t>
            </w:r>
          </w:p>
        </w:tc>
      </w:tr>
      <w:bookmarkEnd w:id="372"/>
      <w:bookmarkEnd w:id="381"/>
      <w:bookmarkEnd w:id="382"/>
      <w:bookmarkEnd w:id="383"/>
    </w:tbl>
    <w:p w14:paraId="14676258">
      <w:pPr>
        <w:ind w:firstLine="0" w:firstLineChars="0"/>
        <w:rPr>
          <w:rFonts w:hint="eastAsia" w:eastAsia="宋体"/>
          <w:color w:val="auto"/>
          <w:highlight w:val="none"/>
          <w:u w:val="none"/>
          <w:lang w:eastAsia="zh-CN"/>
        </w:rPr>
      </w:pPr>
      <w:r>
        <w:rPr>
          <w:rFonts w:hint="eastAsia"/>
          <w:color w:val="auto"/>
          <w:sz w:val="21"/>
          <w:szCs w:val="21"/>
          <w:highlight w:val="none"/>
          <w:u w:val="none"/>
        </w:rPr>
        <w:t>*注：氨、NOx在厂内预处理，再经万华环保科技公司能量回收装置处理后，其排放量已极低，接近0</w:t>
      </w:r>
      <w:r>
        <w:rPr>
          <w:rFonts w:hint="eastAsia"/>
          <w:color w:val="auto"/>
          <w:sz w:val="21"/>
          <w:szCs w:val="21"/>
          <w:highlight w:val="none"/>
          <w:u w:val="none"/>
          <w:lang w:eastAsia="zh-CN"/>
        </w:rPr>
        <w:t>。</w:t>
      </w:r>
    </w:p>
    <w:p w14:paraId="5D3485D6">
      <w:pPr>
        <w:pStyle w:val="7"/>
        <w:spacing w:before="156"/>
        <w:rPr>
          <w:color w:val="auto"/>
          <w:highlight w:val="none"/>
          <w:u w:val="none"/>
        </w:rPr>
      </w:pPr>
      <w:r>
        <w:rPr>
          <w:rFonts w:hint="eastAsia"/>
          <w:color w:val="auto"/>
          <w:highlight w:val="none"/>
          <w:u w:val="none"/>
        </w:rPr>
        <w:t xml:space="preserve"> “三本账”分析</w:t>
      </w:r>
    </w:p>
    <w:p w14:paraId="42FF419A">
      <w:pPr>
        <w:rPr>
          <w:rFonts w:hint="eastAsia"/>
          <w:color w:val="auto"/>
          <w:highlight w:val="none"/>
          <w:u w:val="none"/>
        </w:rPr>
      </w:pPr>
      <w:r>
        <w:rPr>
          <w:rFonts w:hint="eastAsia"/>
          <w:color w:val="auto"/>
          <w:highlight w:val="none"/>
          <w:u w:val="none"/>
        </w:rPr>
        <w:t>TDI项目“三本</w:t>
      </w:r>
      <w:r>
        <w:rPr>
          <w:rFonts w:hint="eastAsia"/>
          <w:color w:val="auto"/>
          <w:highlight w:val="none"/>
          <w:u w:val="none"/>
          <w:lang w:val="en-US" w:eastAsia="zh-CN"/>
        </w:rPr>
        <w:t>账</w:t>
      </w:r>
      <w:r>
        <w:rPr>
          <w:rFonts w:hint="eastAsia"/>
          <w:color w:val="auto"/>
          <w:highlight w:val="none"/>
          <w:u w:val="none"/>
        </w:rPr>
        <w:t>”见</w:t>
      </w:r>
      <w:r>
        <w:rPr>
          <w:rFonts w:hint="eastAsia"/>
          <w:color w:val="auto"/>
          <w:highlight w:val="none"/>
          <w:u w:val="none"/>
        </w:rPr>
        <w:fldChar w:fldCharType="begin"/>
      </w:r>
      <w:r>
        <w:rPr>
          <w:rFonts w:hint="eastAsia"/>
          <w:color w:val="auto"/>
          <w:highlight w:val="none"/>
          <w:u w:val="none"/>
        </w:rPr>
        <w:instrText xml:space="preserve"> REF _Ref13739 \h </w:instrText>
      </w:r>
      <w:r>
        <w:rPr>
          <w:rFonts w:hint="eastAsia"/>
          <w:color w:val="auto"/>
          <w:highlight w:val="none"/>
          <w:u w:val="none"/>
        </w:rPr>
        <w:fldChar w:fldCharType="separate"/>
      </w:r>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rFonts w:hint="eastAsia"/>
          <w:b/>
          <w:bCs/>
          <w:color w:val="auto"/>
          <w:highlight w:val="none"/>
          <w:u w:val="none"/>
        </w:rPr>
        <w:t>11</w:t>
      </w:r>
      <w:r>
        <w:rPr>
          <w:rFonts w:hint="eastAsia"/>
          <w:color w:val="auto"/>
          <w:highlight w:val="none"/>
          <w:u w:val="none"/>
        </w:rPr>
        <w:fldChar w:fldCharType="end"/>
      </w:r>
      <w:r>
        <w:rPr>
          <w:rFonts w:hint="eastAsia"/>
          <w:color w:val="auto"/>
          <w:highlight w:val="none"/>
          <w:u w:val="none"/>
        </w:rPr>
        <w:t>。</w:t>
      </w:r>
    </w:p>
    <w:p w14:paraId="55848923">
      <w:pPr>
        <w:ind w:firstLine="0" w:firstLineChars="0"/>
        <w:jc w:val="center"/>
        <w:rPr>
          <w:rFonts w:hint="eastAsia"/>
          <w:b/>
          <w:bCs/>
          <w:color w:val="auto"/>
          <w:highlight w:val="none"/>
          <w:u w:val="none"/>
        </w:rPr>
      </w:pPr>
      <w:bookmarkStart w:id="384" w:name="_Ref13739"/>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5.8</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11</w:t>
      </w:r>
      <w:r>
        <w:rPr>
          <w:b/>
          <w:bCs/>
          <w:color w:val="auto"/>
          <w:highlight w:val="none"/>
          <w:u w:val="none"/>
        </w:rPr>
        <w:fldChar w:fldCharType="end"/>
      </w:r>
      <w:bookmarkEnd w:id="384"/>
      <w:r>
        <w:rPr>
          <w:b/>
          <w:bCs/>
          <w:color w:val="auto"/>
          <w:highlight w:val="none"/>
          <w:u w:val="none"/>
        </w:rPr>
        <w:t xml:space="preserve">  </w:t>
      </w:r>
      <w:r>
        <w:rPr>
          <w:rFonts w:hint="eastAsia"/>
          <w:b/>
          <w:bCs/>
          <w:color w:val="auto"/>
          <w:highlight w:val="none"/>
          <w:u w:val="none"/>
        </w:rPr>
        <w:t>TDI</w:t>
      </w:r>
      <w:r>
        <w:rPr>
          <w:rFonts w:hint="eastAsia"/>
          <w:b/>
          <w:bCs/>
          <w:color w:val="auto"/>
          <w:highlight w:val="none"/>
          <w:u w:val="none"/>
          <w:lang w:val="en-US"/>
        </w:rPr>
        <w:t>一期</w:t>
      </w:r>
      <w:r>
        <w:rPr>
          <w:rFonts w:hint="eastAsia"/>
          <w:b/>
          <w:bCs/>
          <w:color w:val="auto"/>
          <w:highlight w:val="none"/>
          <w:u w:val="none"/>
        </w:rPr>
        <w:t xml:space="preserve">项目污染物排放量“三本账”一览表 </w:t>
      </w:r>
      <w:r>
        <w:rPr>
          <w:b/>
          <w:bCs/>
          <w:color w:val="auto"/>
          <w:highlight w:val="none"/>
          <w:u w:val="none"/>
        </w:rPr>
        <w:t xml:space="preserve"> </w:t>
      </w:r>
      <w:r>
        <w:rPr>
          <w:rFonts w:hint="eastAsia"/>
          <w:b/>
          <w:bCs/>
          <w:color w:val="auto"/>
          <w:highlight w:val="none"/>
          <w:u w:val="none"/>
        </w:rPr>
        <w:t>单位：t</w:t>
      </w:r>
      <w:r>
        <w:rPr>
          <w:b/>
          <w:bCs/>
          <w:color w:val="auto"/>
          <w:highlight w:val="none"/>
          <w:u w:val="none"/>
        </w:rPr>
        <w:t>/a</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47"/>
        <w:gridCol w:w="1105"/>
        <w:gridCol w:w="1031"/>
        <w:gridCol w:w="1031"/>
        <w:gridCol w:w="1033"/>
        <w:gridCol w:w="1280"/>
        <w:gridCol w:w="1111"/>
        <w:gridCol w:w="1348"/>
      </w:tblGrid>
      <w:tr w14:paraId="5BBCD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726" w:type="pct"/>
            <w:vMerge w:val="restart"/>
            <w:shd w:val="clear" w:color="auto" w:fill="auto"/>
            <w:vAlign w:val="center"/>
          </w:tcPr>
          <w:p w14:paraId="588DD589">
            <w:pPr>
              <w:pStyle w:val="92"/>
              <w:rPr>
                <w:color w:val="auto"/>
                <w:highlight w:val="none"/>
                <w:u w:val="none"/>
              </w:rPr>
            </w:pPr>
            <w:r>
              <w:rPr>
                <w:color w:val="auto"/>
                <w:highlight w:val="none"/>
                <w:u w:val="none"/>
              </w:rPr>
              <w:t>污染物</w:t>
            </w:r>
          </w:p>
        </w:tc>
        <w:tc>
          <w:tcPr>
            <w:tcW w:w="595" w:type="pct"/>
            <w:vMerge w:val="restart"/>
            <w:shd w:val="clear" w:color="auto" w:fill="auto"/>
            <w:vAlign w:val="center"/>
          </w:tcPr>
          <w:p w14:paraId="5445D018">
            <w:pPr>
              <w:pStyle w:val="92"/>
              <w:rPr>
                <w:color w:val="auto"/>
                <w:highlight w:val="none"/>
                <w:u w:val="none"/>
              </w:rPr>
            </w:pPr>
            <w:r>
              <w:rPr>
                <w:color w:val="auto"/>
                <w:highlight w:val="none"/>
                <w:u w:val="none"/>
              </w:rPr>
              <w:t>现有TDI</w:t>
            </w:r>
            <w:r>
              <w:rPr>
                <w:rFonts w:hint="eastAsia"/>
                <w:color w:val="auto"/>
                <w:highlight w:val="none"/>
                <w:u w:val="none"/>
              </w:rPr>
              <w:t>一期</w:t>
            </w:r>
            <w:r>
              <w:rPr>
                <w:color w:val="auto"/>
                <w:highlight w:val="none"/>
                <w:u w:val="none"/>
              </w:rPr>
              <w:t>工程排放量</w:t>
            </w:r>
          </w:p>
        </w:tc>
        <w:tc>
          <w:tcPr>
            <w:tcW w:w="1666" w:type="pct"/>
            <w:gridSpan w:val="3"/>
            <w:shd w:val="clear" w:color="auto" w:fill="auto"/>
            <w:vAlign w:val="center"/>
          </w:tcPr>
          <w:p w14:paraId="154D1511">
            <w:pPr>
              <w:pStyle w:val="92"/>
              <w:rPr>
                <w:color w:val="auto"/>
                <w:highlight w:val="none"/>
                <w:u w:val="none"/>
              </w:rPr>
            </w:pPr>
            <w:r>
              <w:rPr>
                <w:rFonts w:hint="eastAsia"/>
                <w:color w:val="auto"/>
                <w:highlight w:val="none"/>
                <w:u w:val="none"/>
              </w:rPr>
              <w:t>36万t/</w:t>
            </w:r>
            <w:r>
              <w:rPr>
                <w:color w:val="auto"/>
                <w:highlight w:val="none"/>
                <w:u w:val="none"/>
              </w:rPr>
              <w:t>aTDI</w:t>
            </w:r>
            <w:r>
              <w:rPr>
                <w:rFonts w:hint="eastAsia"/>
                <w:color w:val="auto"/>
                <w:highlight w:val="none"/>
                <w:u w:val="none"/>
              </w:rPr>
              <w:t>一期技改</w:t>
            </w:r>
            <w:r>
              <w:rPr>
                <w:color w:val="auto"/>
                <w:highlight w:val="none"/>
                <w:u w:val="none"/>
              </w:rPr>
              <w:t>工程</w:t>
            </w:r>
          </w:p>
        </w:tc>
        <w:tc>
          <w:tcPr>
            <w:tcW w:w="689" w:type="pct"/>
            <w:vMerge w:val="restart"/>
            <w:shd w:val="clear" w:color="auto" w:fill="auto"/>
            <w:vAlign w:val="center"/>
          </w:tcPr>
          <w:p w14:paraId="492DF9AD">
            <w:pPr>
              <w:pStyle w:val="92"/>
              <w:rPr>
                <w:color w:val="auto"/>
                <w:highlight w:val="none"/>
                <w:u w:val="none"/>
              </w:rPr>
            </w:pPr>
            <w:r>
              <w:rPr>
                <w:color w:val="auto"/>
                <w:highlight w:val="none"/>
                <w:u w:val="none"/>
              </w:rPr>
              <w:t>“以新带老”</w:t>
            </w:r>
          </w:p>
          <w:p w14:paraId="03D04D26">
            <w:pPr>
              <w:pStyle w:val="92"/>
              <w:rPr>
                <w:color w:val="auto"/>
                <w:highlight w:val="none"/>
                <w:u w:val="none"/>
              </w:rPr>
            </w:pPr>
            <w:r>
              <w:rPr>
                <w:color w:val="auto"/>
                <w:highlight w:val="none"/>
                <w:u w:val="none"/>
              </w:rPr>
              <w:t>削减量</w:t>
            </w:r>
          </w:p>
        </w:tc>
        <w:tc>
          <w:tcPr>
            <w:tcW w:w="598" w:type="pct"/>
            <w:vMerge w:val="restart"/>
            <w:shd w:val="clear" w:color="auto" w:fill="auto"/>
            <w:vAlign w:val="center"/>
          </w:tcPr>
          <w:p w14:paraId="692C6279">
            <w:pPr>
              <w:pStyle w:val="92"/>
              <w:rPr>
                <w:color w:val="auto"/>
                <w:highlight w:val="none"/>
                <w:u w:val="none"/>
              </w:rPr>
            </w:pPr>
            <w:r>
              <w:rPr>
                <w:rFonts w:hint="eastAsia"/>
                <w:color w:val="auto"/>
                <w:highlight w:val="none"/>
                <w:u w:val="none"/>
              </w:rPr>
              <w:t>技改</w:t>
            </w:r>
            <w:r>
              <w:rPr>
                <w:color w:val="auto"/>
                <w:highlight w:val="none"/>
                <w:u w:val="none"/>
              </w:rPr>
              <w:t>扩</w:t>
            </w:r>
            <w:r>
              <w:rPr>
                <w:rFonts w:hint="eastAsia"/>
                <w:color w:val="auto"/>
                <w:highlight w:val="none"/>
                <w:u w:val="none"/>
              </w:rPr>
              <w:t>能</w:t>
            </w:r>
            <w:r>
              <w:rPr>
                <w:color w:val="auto"/>
                <w:highlight w:val="none"/>
                <w:u w:val="none"/>
              </w:rPr>
              <w:t>后TDI</w:t>
            </w:r>
            <w:r>
              <w:rPr>
                <w:rFonts w:hint="eastAsia"/>
                <w:color w:val="auto"/>
                <w:highlight w:val="none"/>
                <w:u w:val="none"/>
              </w:rPr>
              <w:t>一期</w:t>
            </w:r>
            <w:r>
              <w:rPr>
                <w:color w:val="auto"/>
                <w:highlight w:val="none"/>
                <w:u w:val="none"/>
              </w:rPr>
              <w:t>项目</w:t>
            </w:r>
          </w:p>
          <w:p w14:paraId="66CABA95">
            <w:pPr>
              <w:pStyle w:val="92"/>
              <w:rPr>
                <w:color w:val="auto"/>
                <w:highlight w:val="none"/>
                <w:u w:val="none"/>
              </w:rPr>
            </w:pPr>
            <w:r>
              <w:rPr>
                <w:color w:val="auto"/>
                <w:highlight w:val="none"/>
                <w:u w:val="none"/>
              </w:rPr>
              <w:t>排放量</w:t>
            </w:r>
          </w:p>
        </w:tc>
        <w:tc>
          <w:tcPr>
            <w:tcW w:w="724" w:type="pct"/>
            <w:vMerge w:val="restart"/>
            <w:shd w:val="clear" w:color="auto" w:fill="auto"/>
            <w:vAlign w:val="center"/>
          </w:tcPr>
          <w:p w14:paraId="0A64E549">
            <w:pPr>
              <w:pStyle w:val="92"/>
              <w:rPr>
                <w:color w:val="auto"/>
                <w:highlight w:val="none"/>
                <w:u w:val="none"/>
              </w:rPr>
            </w:pPr>
            <w:r>
              <w:rPr>
                <w:rFonts w:hint="eastAsia"/>
                <w:color w:val="auto"/>
                <w:highlight w:val="none"/>
                <w:u w:val="none"/>
              </w:rPr>
              <w:t>技改扩能</w:t>
            </w:r>
            <w:r>
              <w:rPr>
                <w:color w:val="auto"/>
                <w:highlight w:val="none"/>
                <w:u w:val="none"/>
              </w:rPr>
              <w:t>后TDI</w:t>
            </w:r>
            <w:r>
              <w:rPr>
                <w:rFonts w:hint="eastAsia"/>
                <w:color w:val="auto"/>
                <w:highlight w:val="none"/>
                <w:u w:val="none"/>
              </w:rPr>
              <w:t>一期</w:t>
            </w:r>
            <w:r>
              <w:rPr>
                <w:color w:val="auto"/>
                <w:highlight w:val="none"/>
                <w:u w:val="none"/>
              </w:rPr>
              <w:t>项目排放总量增减量</w:t>
            </w:r>
          </w:p>
        </w:tc>
      </w:tr>
      <w:tr w14:paraId="3D7B1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726" w:type="pct"/>
            <w:vMerge w:val="continue"/>
            <w:shd w:val="clear" w:color="auto" w:fill="auto"/>
            <w:vAlign w:val="center"/>
          </w:tcPr>
          <w:p w14:paraId="77AB5C24">
            <w:pPr>
              <w:pStyle w:val="92"/>
              <w:rPr>
                <w:color w:val="auto"/>
                <w:highlight w:val="none"/>
                <w:u w:val="none"/>
              </w:rPr>
            </w:pPr>
          </w:p>
        </w:tc>
        <w:tc>
          <w:tcPr>
            <w:tcW w:w="595" w:type="pct"/>
            <w:vMerge w:val="continue"/>
            <w:shd w:val="clear" w:color="auto" w:fill="auto"/>
            <w:vAlign w:val="center"/>
          </w:tcPr>
          <w:p w14:paraId="03FAC06D">
            <w:pPr>
              <w:pStyle w:val="92"/>
              <w:rPr>
                <w:color w:val="auto"/>
                <w:highlight w:val="none"/>
                <w:u w:val="none"/>
              </w:rPr>
            </w:pPr>
          </w:p>
        </w:tc>
        <w:tc>
          <w:tcPr>
            <w:tcW w:w="555" w:type="pct"/>
            <w:shd w:val="clear" w:color="auto" w:fill="auto"/>
            <w:vAlign w:val="center"/>
          </w:tcPr>
          <w:p w14:paraId="45B4C614">
            <w:pPr>
              <w:pStyle w:val="92"/>
              <w:rPr>
                <w:color w:val="auto"/>
                <w:highlight w:val="none"/>
                <w:u w:val="none"/>
              </w:rPr>
            </w:pPr>
            <w:r>
              <w:rPr>
                <w:color w:val="auto"/>
                <w:highlight w:val="none"/>
                <w:u w:val="none"/>
              </w:rPr>
              <w:t>产生量</w:t>
            </w:r>
          </w:p>
        </w:tc>
        <w:tc>
          <w:tcPr>
            <w:tcW w:w="555" w:type="pct"/>
            <w:shd w:val="clear" w:color="auto" w:fill="auto"/>
            <w:vAlign w:val="center"/>
          </w:tcPr>
          <w:p w14:paraId="431FB4BF">
            <w:pPr>
              <w:pStyle w:val="92"/>
              <w:rPr>
                <w:color w:val="auto"/>
                <w:highlight w:val="none"/>
                <w:u w:val="none"/>
              </w:rPr>
            </w:pPr>
            <w:r>
              <w:rPr>
                <w:color w:val="auto"/>
                <w:highlight w:val="none"/>
                <w:u w:val="none"/>
              </w:rPr>
              <w:t>削减量</w:t>
            </w:r>
          </w:p>
        </w:tc>
        <w:tc>
          <w:tcPr>
            <w:tcW w:w="556" w:type="pct"/>
            <w:shd w:val="clear" w:color="auto" w:fill="auto"/>
            <w:vAlign w:val="center"/>
          </w:tcPr>
          <w:p w14:paraId="3265E82B">
            <w:pPr>
              <w:pStyle w:val="92"/>
              <w:rPr>
                <w:color w:val="auto"/>
                <w:highlight w:val="none"/>
                <w:u w:val="none"/>
              </w:rPr>
            </w:pPr>
            <w:r>
              <w:rPr>
                <w:color w:val="auto"/>
                <w:highlight w:val="none"/>
                <w:u w:val="none"/>
              </w:rPr>
              <w:t>排放量</w:t>
            </w:r>
          </w:p>
        </w:tc>
        <w:tc>
          <w:tcPr>
            <w:tcW w:w="689" w:type="pct"/>
            <w:vMerge w:val="continue"/>
            <w:shd w:val="clear" w:color="auto" w:fill="auto"/>
            <w:vAlign w:val="center"/>
          </w:tcPr>
          <w:p w14:paraId="0A8878DD">
            <w:pPr>
              <w:pStyle w:val="92"/>
              <w:rPr>
                <w:color w:val="auto"/>
                <w:highlight w:val="none"/>
                <w:u w:val="none"/>
              </w:rPr>
            </w:pPr>
          </w:p>
        </w:tc>
        <w:tc>
          <w:tcPr>
            <w:tcW w:w="598" w:type="pct"/>
            <w:vMerge w:val="continue"/>
            <w:shd w:val="clear" w:color="auto" w:fill="auto"/>
            <w:vAlign w:val="center"/>
          </w:tcPr>
          <w:p w14:paraId="30917573">
            <w:pPr>
              <w:pStyle w:val="92"/>
              <w:rPr>
                <w:color w:val="auto"/>
                <w:highlight w:val="none"/>
                <w:u w:val="none"/>
              </w:rPr>
            </w:pPr>
          </w:p>
        </w:tc>
        <w:tc>
          <w:tcPr>
            <w:tcW w:w="724" w:type="pct"/>
            <w:vMerge w:val="continue"/>
            <w:shd w:val="clear" w:color="auto" w:fill="auto"/>
            <w:vAlign w:val="center"/>
          </w:tcPr>
          <w:p w14:paraId="57539B56">
            <w:pPr>
              <w:pStyle w:val="92"/>
              <w:rPr>
                <w:color w:val="auto"/>
                <w:highlight w:val="none"/>
                <w:u w:val="none"/>
              </w:rPr>
            </w:pPr>
          </w:p>
        </w:tc>
      </w:tr>
      <w:tr w14:paraId="347C59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35DE840B">
            <w:pPr>
              <w:pStyle w:val="92"/>
              <w:jc w:val="both"/>
              <w:rPr>
                <w:b/>
                <w:color w:val="auto"/>
                <w:highlight w:val="none"/>
                <w:u w:val="none"/>
              </w:rPr>
            </w:pPr>
            <w:r>
              <w:rPr>
                <w:b/>
                <w:color w:val="auto"/>
                <w:highlight w:val="none"/>
                <w:u w:val="none"/>
              </w:rPr>
              <w:t>一、废水</w:t>
            </w:r>
          </w:p>
        </w:tc>
      </w:tr>
      <w:tr w14:paraId="60188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2180D7F0">
            <w:pPr>
              <w:pStyle w:val="92"/>
              <w:rPr>
                <w:color w:val="auto"/>
                <w:highlight w:val="none"/>
                <w:u w:val="none"/>
              </w:rPr>
            </w:pPr>
            <w:r>
              <w:rPr>
                <w:color w:val="auto"/>
                <w:highlight w:val="none"/>
                <w:u w:val="none"/>
              </w:rPr>
              <w:t>废水量</w:t>
            </w:r>
          </w:p>
          <w:p w14:paraId="66E8E462">
            <w:pPr>
              <w:pStyle w:val="92"/>
              <w:rPr>
                <w:color w:val="auto"/>
                <w:highlight w:val="none"/>
                <w:u w:val="none"/>
              </w:rPr>
            </w:pPr>
            <w:r>
              <w:rPr>
                <w:color w:val="auto"/>
                <w:highlight w:val="none"/>
                <w:u w:val="none"/>
              </w:rPr>
              <w:t>（万m</w:t>
            </w:r>
            <w:r>
              <w:rPr>
                <w:color w:val="auto"/>
                <w:highlight w:val="none"/>
                <w:u w:val="none"/>
                <w:vertAlign w:val="superscript"/>
              </w:rPr>
              <w:t>3</w:t>
            </w:r>
            <w:r>
              <w:rPr>
                <w:color w:val="auto"/>
                <w:highlight w:val="none"/>
                <w:u w:val="none"/>
              </w:rPr>
              <w:t>/a）</w:t>
            </w:r>
          </w:p>
        </w:tc>
        <w:tc>
          <w:tcPr>
            <w:tcW w:w="595" w:type="pct"/>
            <w:shd w:val="clear" w:color="auto" w:fill="auto"/>
            <w:vAlign w:val="center"/>
          </w:tcPr>
          <w:p w14:paraId="0F8E6769">
            <w:pPr>
              <w:pStyle w:val="92"/>
              <w:rPr>
                <w:rFonts w:hint="default" w:eastAsia="宋体"/>
                <w:color w:val="auto"/>
                <w:highlight w:val="none"/>
                <w:u w:val="none"/>
                <w:lang w:val="en-US" w:eastAsia="zh-CN"/>
              </w:rPr>
            </w:pPr>
            <w:r>
              <w:rPr>
                <w:rFonts w:hint="eastAsia"/>
                <w:color w:val="auto"/>
                <w:highlight w:val="none"/>
                <w:u w:val="none"/>
                <w:lang w:val="en-US" w:eastAsia="zh-CN"/>
              </w:rPr>
              <w:t>37.33</w:t>
            </w:r>
          </w:p>
        </w:tc>
        <w:tc>
          <w:tcPr>
            <w:tcW w:w="555" w:type="pct"/>
            <w:shd w:val="clear" w:color="auto" w:fill="auto"/>
            <w:vAlign w:val="center"/>
          </w:tcPr>
          <w:p w14:paraId="6521D885">
            <w:pPr>
              <w:pStyle w:val="92"/>
              <w:rPr>
                <w:rFonts w:hint="default" w:eastAsia="宋体"/>
                <w:color w:val="auto"/>
                <w:highlight w:val="none"/>
                <w:u w:val="none"/>
                <w:lang w:val="en-US" w:eastAsia="zh-CN"/>
              </w:rPr>
            </w:pPr>
            <w:r>
              <w:rPr>
                <w:rFonts w:hint="eastAsia"/>
                <w:color w:val="auto"/>
                <w:highlight w:val="none"/>
                <w:u w:val="none"/>
              </w:rPr>
              <w:t>57.</w:t>
            </w:r>
            <w:r>
              <w:rPr>
                <w:rFonts w:hint="eastAsia"/>
                <w:color w:val="auto"/>
                <w:highlight w:val="none"/>
                <w:u w:val="none"/>
                <w:lang w:val="en-US" w:eastAsia="zh-CN"/>
              </w:rPr>
              <w:t>06</w:t>
            </w:r>
          </w:p>
        </w:tc>
        <w:tc>
          <w:tcPr>
            <w:tcW w:w="555" w:type="pct"/>
            <w:shd w:val="clear" w:color="auto" w:fill="auto"/>
            <w:vAlign w:val="center"/>
          </w:tcPr>
          <w:p w14:paraId="5E7C5B0E">
            <w:pPr>
              <w:pStyle w:val="92"/>
              <w:rPr>
                <w:rFonts w:hint="default" w:eastAsia="宋体"/>
                <w:color w:val="auto"/>
                <w:highlight w:val="none"/>
                <w:u w:val="none"/>
                <w:lang w:val="en-US" w:eastAsia="zh-CN"/>
              </w:rPr>
            </w:pPr>
            <w:r>
              <w:rPr>
                <w:rFonts w:hint="eastAsia"/>
                <w:color w:val="auto"/>
                <w:highlight w:val="none"/>
                <w:u w:val="none"/>
                <w:lang w:val="en-US" w:eastAsia="zh-CN"/>
              </w:rPr>
              <w:t>18.43</w:t>
            </w:r>
          </w:p>
        </w:tc>
        <w:tc>
          <w:tcPr>
            <w:tcW w:w="556" w:type="pct"/>
            <w:shd w:val="clear" w:color="auto" w:fill="auto"/>
            <w:vAlign w:val="center"/>
          </w:tcPr>
          <w:p w14:paraId="63BE01C6">
            <w:pPr>
              <w:pStyle w:val="92"/>
              <w:rPr>
                <w:rFonts w:hint="default" w:eastAsia="宋体"/>
                <w:color w:val="auto"/>
                <w:highlight w:val="none"/>
                <w:u w:val="none"/>
                <w:lang w:val="en-US" w:eastAsia="zh-CN"/>
              </w:rPr>
            </w:pPr>
            <w:r>
              <w:rPr>
                <w:rFonts w:hint="eastAsia"/>
                <w:color w:val="auto"/>
                <w:highlight w:val="none"/>
                <w:u w:val="none"/>
                <w:lang w:val="en-US" w:eastAsia="zh-CN"/>
              </w:rPr>
              <w:t>38.64</w:t>
            </w:r>
          </w:p>
        </w:tc>
        <w:tc>
          <w:tcPr>
            <w:tcW w:w="1279" w:type="dxa"/>
            <w:shd w:val="clear" w:color="auto" w:fill="auto"/>
            <w:vAlign w:val="center"/>
          </w:tcPr>
          <w:p w14:paraId="0B56F308">
            <w:pPr>
              <w:pStyle w:val="92"/>
              <w:ind w:firstLine="0" w:firstLineChars="0"/>
              <w:rPr>
                <w:color w:val="auto"/>
                <w:highlight w:val="none"/>
                <w:u w:val="none"/>
              </w:rPr>
            </w:pPr>
            <w:r>
              <w:rPr>
                <w:rFonts w:hint="eastAsia"/>
                <w:color w:val="auto"/>
                <w:highlight w:val="none"/>
                <w:u w:val="none"/>
                <w:lang w:val="en-US" w:eastAsia="zh-CN"/>
              </w:rPr>
              <w:t>37.33</w:t>
            </w:r>
          </w:p>
        </w:tc>
        <w:tc>
          <w:tcPr>
            <w:tcW w:w="1111" w:type="dxa"/>
            <w:shd w:val="clear" w:color="auto" w:fill="auto"/>
            <w:vAlign w:val="center"/>
          </w:tcPr>
          <w:p w14:paraId="21B6352D">
            <w:pPr>
              <w:pStyle w:val="92"/>
              <w:ind w:firstLine="0" w:firstLineChars="0"/>
              <w:rPr>
                <w:color w:val="auto"/>
                <w:highlight w:val="none"/>
                <w:u w:val="none"/>
              </w:rPr>
            </w:pPr>
            <w:r>
              <w:rPr>
                <w:rFonts w:hint="eastAsia"/>
                <w:color w:val="auto"/>
                <w:highlight w:val="none"/>
                <w:u w:val="none"/>
                <w:lang w:val="en-US" w:eastAsia="zh-CN"/>
              </w:rPr>
              <w:t>38.64</w:t>
            </w:r>
          </w:p>
        </w:tc>
        <w:tc>
          <w:tcPr>
            <w:tcW w:w="1348" w:type="dxa"/>
            <w:shd w:val="clear" w:color="auto" w:fill="auto"/>
            <w:vAlign w:val="center"/>
          </w:tcPr>
          <w:p w14:paraId="6622CCD2">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1.31</w:t>
            </w:r>
          </w:p>
        </w:tc>
      </w:tr>
      <w:tr w14:paraId="46E3DD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28F7439B">
            <w:pPr>
              <w:pStyle w:val="92"/>
              <w:rPr>
                <w:color w:val="auto"/>
                <w:highlight w:val="none"/>
                <w:u w:val="none"/>
              </w:rPr>
            </w:pPr>
            <w:r>
              <w:rPr>
                <w:color w:val="auto"/>
                <w:highlight w:val="none"/>
                <w:u w:val="none"/>
              </w:rPr>
              <w:t>COD</w:t>
            </w:r>
          </w:p>
        </w:tc>
        <w:tc>
          <w:tcPr>
            <w:tcW w:w="595" w:type="pct"/>
            <w:shd w:val="clear" w:color="auto" w:fill="auto"/>
            <w:vAlign w:val="center"/>
          </w:tcPr>
          <w:p w14:paraId="30E94815">
            <w:pPr>
              <w:pStyle w:val="92"/>
              <w:rPr>
                <w:rFonts w:hint="default" w:eastAsia="宋体"/>
                <w:color w:val="auto"/>
                <w:highlight w:val="none"/>
                <w:u w:val="none"/>
                <w:lang w:val="en-US" w:eastAsia="zh-CN"/>
              </w:rPr>
            </w:pPr>
            <w:r>
              <w:rPr>
                <w:rFonts w:hint="eastAsia"/>
                <w:color w:val="auto"/>
                <w:highlight w:val="none"/>
                <w:u w:val="none"/>
                <w:lang w:val="en-US" w:eastAsia="zh-CN"/>
              </w:rPr>
              <w:t>18.66</w:t>
            </w:r>
          </w:p>
        </w:tc>
        <w:tc>
          <w:tcPr>
            <w:tcW w:w="1031" w:type="dxa"/>
            <w:shd w:val="clear" w:color="auto" w:fill="auto"/>
            <w:vAlign w:val="center"/>
          </w:tcPr>
          <w:p w14:paraId="007F1F01">
            <w:pPr>
              <w:pStyle w:val="92"/>
              <w:rPr>
                <w:rFonts w:hint="eastAsia"/>
                <w:color w:val="auto"/>
                <w:highlight w:val="none"/>
                <w:u w:val="none"/>
                <w:lang w:val="en-US" w:eastAsia="zh-CN"/>
              </w:rPr>
            </w:pPr>
            <w:r>
              <w:rPr>
                <w:rFonts w:hint="default"/>
                <w:color w:val="auto"/>
                <w:highlight w:val="none"/>
                <w:u w:val="none"/>
                <w:lang w:val="en-US" w:eastAsia="zh-CN"/>
              </w:rPr>
              <w:t>1038.34</w:t>
            </w:r>
          </w:p>
        </w:tc>
        <w:tc>
          <w:tcPr>
            <w:tcW w:w="1031" w:type="dxa"/>
            <w:shd w:val="clear" w:color="auto" w:fill="auto"/>
            <w:vAlign w:val="center"/>
          </w:tcPr>
          <w:p w14:paraId="27D526E2">
            <w:pPr>
              <w:pStyle w:val="92"/>
              <w:rPr>
                <w:rFonts w:hint="eastAsia"/>
                <w:color w:val="auto"/>
                <w:highlight w:val="none"/>
                <w:u w:val="none"/>
                <w:lang w:val="en-US" w:eastAsia="zh-CN"/>
              </w:rPr>
            </w:pPr>
            <w:r>
              <w:rPr>
                <w:rFonts w:hint="default"/>
                <w:color w:val="auto"/>
                <w:highlight w:val="none"/>
                <w:u w:val="none"/>
                <w:lang w:val="en-US" w:eastAsia="zh-CN"/>
              </w:rPr>
              <w:t>1019.02</w:t>
            </w:r>
          </w:p>
        </w:tc>
        <w:tc>
          <w:tcPr>
            <w:tcW w:w="1033" w:type="dxa"/>
            <w:shd w:val="clear" w:color="auto" w:fill="auto"/>
            <w:vAlign w:val="center"/>
          </w:tcPr>
          <w:p w14:paraId="37416473">
            <w:pPr>
              <w:pStyle w:val="92"/>
              <w:rPr>
                <w:rFonts w:hint="eastAsia"/>
                <w:color w:val="auto"/>
                <w:highlight w:val="none"/>
                <w:u w:val="none"/>
                <w:lang w:val="en-US" w:eastAsia="zh-CN"/>
              </w:rPr>
            </w:pPr>
            <w:r>
              <w:rPr>
                <w:rFonts w:hint="default"/>
                <w:color w:val="auto"/>
                <w:highlight w:val="none"/>
                <w:u w:val="none"/>
                <w:lang w:val="en-US" w:eastAsia="zh-CN"/>
              </w:rPr>
              <w:t>19.32</w:t>
            </w:r>
          </w:p>
        </w:tc>
        <w:tc>
          <w:tcPr>
            <w:tcW w:w="1279" w:type="dxa"/>
            <w:shd w:val="clear" w:color="auto" w:fill="auto"/>
            <w:vAlign w:val="center"/>
          </w:tcPr>
          <w:p w14:paraId="62B76588">
            <w:pPr>
              <w:pStyle w:val="92"/>
              <w:ind w:firstLine="0" w:firstLineChars="0"/>
              <w:rPr>
                <w:color w:val="auto"/>
                <w:highlight w:val="none"/>
                <w:u w:val="none"/>
              </w:rPr>
            </w:pPr>
            <w:r>
              <w:rPr>
                <w:rFonts w:hint="eastAsia"/>
                <w:color w:val="auto"/>
                <w:highlight w:val="none"/>
                <w:u w:val="none"/>
                <w:lang w:val="en-US" w:eastAsia="zh-CN"/>
              </w:rPr>
              <w:t>18.66</w:t>
            </w:r>
          </w:p>
        </w:tc>
        <w:tc>
          <w:tcPr>
            <w:tcW w:w="1111" w:type="dxa"/>
            <w:shd w:val="clear" w:color="auto" w:fill="auto"/>
            <w:vAlign w:val="center"/>
          </w:tcPr>
          <w:p w14:paraId="30BEFB28">
            <w:pPr>
              <w:pStyle w:val="92"/>
              <w:ind w:firstLine="0" w:firstLineChars="0"/>
              <w:rPr>
                <w:color w:val="auto"/>
                <w:highlight w:val="none"/>
                <w:u w:val="none"/>
              </w:rPr>
            </w:pPr>
            <w:r>
              <w:rPr>
                <w:rFonts w:hint="default"/>
                <w:color w:val="auto"/>
                <w:highlight w:val="none"/>
                <w:u w:val="none"/>
                <w:lang w:val="en-US" w:eastAsia="zh-CN"/>
              </w:rPr>
              <w:t>19.32</w:t>
            </w:r>
          </w:p>
        </w:tc>
        <w:tc>
          <w:tcPr>
            <w:tcW w:w="1348" w:type="dxa"/>
            <w:shd w:val="clear" w:color="auto" w:fill="auto"/>
            <w:vAlign w:val="center"/>
          </w:tcPr>
          <w:p w14:paraId="29B604D3">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0.66</w:t>
            </w:r>
          </w:p>
        </w:tc>
      </w:tr>
      <w:tr w14:paraId="1E47E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2EB8692F">
            <w:pPr>
              <w:pStyle w:val="92"/>
              <w:rPr>
                <w:color w:val="auto"/>
                <w:highlight w:val="none"/>
                <w:u w:val="none"/>
              </w:rPr>
            </w:pPr>
            <w:r>
              <w:rPr>
                <w:color w:val="auto"/>
                <w:highlight w:val="none"/>
                <w:u w:val="none"/>
              </w:rPr>
              <w:t>氨氮</w:t>
            </w:r>
          </w:p>
        </w:tc>
        <w:tc>
          <w:tcPr>
            <w:tcW w:w="595" w:type="pct"/>
            <w:shd w:val="clear" w:color="auto" w:fill="auto"/>
            <w:vAlign w:val="center"/>
          </w:tcPr>
          <w:p w14:paraId="73A7F18F">
            <w:pPr>
              <w:pStyle w:val="92"/>
              <w:rPr>
                <w:rFonts w:hint="default" w:eastAsia="宋体"/>
                <w:color w:val="auto"/>
                <w:highlight w:val="none"/>
                <w:u w:val="none"/>
                <w:lang w:val="en-US" w:eastAsia="zh-CN"/>
              </w:rPr>
            </w:pPr>
            <w:r>
              <w:rPr>
                <w:rFonts w:hint="eastAsia"/>
                <w:color w:val="auto"/>
                <w:highlight w:val="none"/>
                <w:u w:val="none"/>
                <w:lang w:val="en-US" w:eastAsia="zh-CN"/>
              </w:rPr>
              <w:t>1.87</w:t>
            </w:r>
          </w:p>
        </w:tc>
        <w:tc>
          <w:tcPr>
            <w:tcW w:w="1031" w:type="dxa"/>
            <w:shd w:val="clear" w:color="auto" w:fill="auto"/>
            <w:vAlign w:val="center"/>
          </w:tcPr>
          <w:p w14:paraId="0CEAF1B7">
            <w:pPr>
              <w:pStyle w:val="92"/>
              <w:rPr>
                <w:rFonts w:hint="eastAsia"/>
                <w:color w:val="auto"/>
                <w:highlight w:val="none"/>
                <w:u w:val="none"/>
                <w:lang w:val="en-US" w:eastAsia="zh-CN"/>
              </w:rPr>
            </w:pPr>
            <w:r>
              <w:rPr>
                <w:rFonts w:hint="default"/>
                <w:color w:val="auto"/>
                <w:highlight w:val="none"/>
                <w:u w:val="none"/>
                <w:lang w:val="en-US" w:eastAsia="zh-CN"/>
              </w:rPr>
              <w:t>516.02</w:t>
            </w:r>
          </w:p>
        </w:tc>
        <w:tc>
          <w:tcPr>
            <w:tcW w:w="1031" w:type="dxa"/>
            <w:shd w:val="clear" w:color="auto" w:fill="auto"/>
            <w:vAlign w:val="center"/>
          </w:tcPr>
          <w:p w14:paraId="2C47A936">
            <w:pPr>
              <w:pStyle w:val="92"/>
              <w:rPr>
                <w:rFonts w:hint="eastAsia"/>
                <w:color w:val="auto"/>
                <w:highlight w:val="none"/>
                <w:u w:val="none"/>
                <w:lang w:val="en-US" w:eastAsia="zh-CN"/>
              </w:rPr>
            </w:pPr>
            <w:r>
              <w:rPr>
                <w:rFonts w:hint="default"/>
                <w:color w:val="auto"/>
                <w:highlight w:val="none"/>
                <w:u w:val="none"/>
                <w:lang w:val="en-US" w:eastAsia="zh-CN"/>
              </w:rPr>
              <w:t>514.09</w:t>
            </w:r>
          </w:p>
        </w:tc>
        <w:tc>
          <w:tcPr>
            <w:tcW w:w="1033" w:type="dxa"/>
            <w:shd w:val="clear" w:color="auto" w:fill="auto"/>
            <w:vAlign w:val="center"/>
          </w:tcPr>
          <w:p w14:paraId="54334B24">
            <w:pPr>
              <w:pStyle w:val="92"/>
              <w:rPr>
                <w:rFonts w:hint="eastAsia"/>
                <w:color w:val="auto"/>
                <w:highlight w:val="none"/>
                <w:u w:val="none"/>
                <w:lang w:val="en-US" w:eastAsia="zh-CN"/>
              </w:rPr>
            </w:pPr>
            <w:r>
              <w:rPr>
                <w:rFonts w:hint="default"/>
                <w:color w:val="auto"/>
                <w:highlight w:val="none"/>
                <w:u w:val="none"/>
                <w:lang w:val="en-US" w:eastAsia="zh-CN"/>
              </w:rPr>
              <w:t>1.93</w:t>
            </w:r>
          </w:p>
        </w:tc>
        <w:tc>
          <w:tcPr>
            <w:tcW w:w="1279" w:type="dxa"/>
            <w:shd w:val="clear" w:color="auto" w:fill="auto"/>
            <w:vAlign w:val="center"/>
          </w:tcPr>
          <w:p w14:paraId="4ED68BB4">
            <w:pPr>
              <w:pStyle w:val="92"/>
              <w:ind w:firstLine="0" w:firstLineChars="0"/>
              <w:rPr>
                <w:color w:val="auto"/>
                <w:highlight w:val="none"/>
                <w:u w:val="none"/>
              </w:rPr>
            </w:pPr>
            <w:r>
              <w:rPr>
                <w:rFonts w:hint="eastAsia"/>
                <w:color w:val="auto"/>
                <w:highlight w:val="none"/>
                <w:u w:val="none"/>
                <w:lang w:val="en-US" w:eastAsia="zh-CN"/>
              </w:rPr>
              <w:t>1.87</w:t>
            </w:r>
          </w:p>
        </w:tc>
        <w:tc>
          <w:tcPr>
            <w:tcW w:w="1111" w:type="dxa"/>
            <w:shd w:val="clear" w:color="auto" w:fill="auto"/>
            <w:vAlign w:val="center"/>
          </w:tcPr>
          <w:p w14:paraId="17BA5A40">
            <w:pPr>
              <w:pStyle w:val="92"/>
              <w:ind w:firstLine="0" w:firstLineChars="0"/>
              <w:rPr>
                <w:color w:val="auto"/>
                <w:highlight w:val="none"/>
                <w:u w:val="none"/>
              </w:rPr>
            </w:pPr>
            <w:r>
              <w:rPr>
                <w:rFonts w:hint="default"/>
                <w:color w:val="auto"/>
                <w:highlight w:val="none"/>
                <w:u w:val="none"/>
                <w:lang w:val="en-US" w:eastAsia="zh-CN"/>
              </w:rPr>
              <w:t>1.93</w:t>
            </w:r>
          </w:p>
        </w:tc>
        <w:tc>
          <w:tcPr>
            <w:tcW w:w="1348" w:type="dxa"/>
            <w:shd w:val="clear" w:color="auto" w:fill="auto"/>
            <w:vAlign w:val="center"/>
          </w:tcPr>
          <w:p w14:paraId="63250544">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0.06</w:t>
            </w:r>
          </w:p>
        </w:tc>
      </w:tr>
      <w:tr w14:paraId="1C040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48957473">
            <w:pPr>
              <w:pStyle w:val="92"/>
              <w:rPr>
                <w:color w:val="auto"/>
                <w:highlight w:val="none"/>
                <w:u w:val="none"/>
              </w:rPr>
            </w:pPr>
            <w:r>
              <w:rPr>
                <w:color w:val="auto"/>
                <w:highlight w:val="none"/>
                <w:u w:val="none"/>
              </w:rPr>
              <w:t>SS</w:t>
            </w:r>
          </w:p>
        </w:tc>
        <w:tc>
          <w:tcPr>
            <w:tcW w:w="595" w:type="pct"/>
            <w:shd w:val="clear" w:color="auto" w:fill="auto"/>
            <w:vAlign w:val="center"/>
          </w:tcPr>
          <w:p w14:paraId="28A1325A">
            <w:pPr>
              <w:pStyle w:val="92"/>
              <w:rPr>
                <w:color w:val="auto"/>
                <w:highlight w:val="none"/>
                <w:u w:val="none"/>
              </w:rPr>
            </w:pPr>
            <w:r>
              <w:rPr>
                <w:rFonts w:hint="eastAsia"/>
                <w:color w:val="auto"/>
                <w:highlight w:val="none"/>
                <w:u w:val="none"/>
              </w:rPr>
              <w:t>0.1</w:t>
            </w:r>
          </w:p>
        </w:tc>
        <w:tc>
          <w:tcPr>
            <w:tcW w:w="1031" w:type="dxa"/>
            <w:shd w:val="clear" w:color="auto" w:fill="auto"/>
            <w:vAlign w:val="center"/>
          </w:tcPr>
          <w:p w14:paraId="4B15609D">
            <w:pPr>
              <w:pStyle w:val="92"/>
              <w:rPr>
                <w:rFonts w:hint="eastAsia"/>
                <w:color w:val="auto"/>
                <w:highlight w:val="none"/>
                <w:u w:val="none"/>
                <w:lang w:val="en-US" w:eastAsia="zh-CN"/>
              </w:rPr>
            </w:pPr>
            <w:r>
              <w:rPr>
                <w:rFonts w:hint="default"/>
                <w:color w:val="auto"/>
                <w:highlight w:val="none"/>
                <w:u w:val="none"/>
                <w:lang w:val="en-US" w:eastAsia="zh-CN"/>
              </w:rPr>
              <w:t>2.36</w:t>
            </w:r>
          </w:p>
        </w:tc>
        <w:tc>
          <w:tcPr>
            <w:tcW w:w="1031" w:type="dxa"/>
            <w:shd w:val="clear" w:color="auto" w:fill="auto"/>
            <w:vAlign w:val="center"/>
          </w:tcPr>
          <w:p w14:paraId="0E28508A">
            <w:pPr>
              <w:pStyle w:val="92"/>
              <w:rPr>
                <w:rFonts w:hint="eastAsia"/>
                <w:color w:val="auto"/>
                <w:highlight w:val="none"/>
                <w:u w:val="none"/>
                <w:lang w:val="en-US" w:eastAsia="zh-CN"/>
              </w:rPr>
            </w:pPr>
            <w:r>
              <w:rPr>
                <w:rFonts w:hint="default"/>
                <w:color w:val="auto"/>
                <w:highlight w:val="none"/>
                <w:u w:val="none"/>
                <w:lang w:val="en-US" w:eastAsia="zh-CN"/>
              </w:rPr>
              <w:t>2.33</w:t>
            </w:r>
          </w:p>
        </w:tc>
        <w:tc>
          <w:tcPr>
            <w:tcW w:w="1033" w:type="dxa"/>
            <w:shd w:val="clear" w:color="auto" w:fill="auto"/>
            <w:vAlign w:val="center"/>
          </w:tcPr>
          <w:p w14:paraId="3BA66805">
            <w:pPr>
              <w:pStyle w:val="92"/>
              <w:rPr>
                <w:rFonts w:hint="eastAsia"/>
                <w:color w:val="auto"/>
                <w:highlight w:val="none"/>
                <w:u w:val="none"/>
                <w:lang w:val="en-US" w:eastAsia="zh-CN"/>
              </w:rPr>
            </w:pPr>
            <w:r>
              <w:rPr>
                <w:rFonts w:hint="default"/>
                <w:color w:val="auto"/>
                <w:highlight w:val="none"/>
                <w:u w:val="none"/>
                <w:lang w:val="en-US" w:eastAsia="zh-CN"/>
              </w:rPr>
              <w:t>0.03</w:t>
            </w:r>
          </w:p>
        </w:tc>
        <w:tc>
          <w:tcPr>
            <w:tcW w:w="1279" w:type="dxa"/>
            <w:shd w:val="clear" w:color="auto" w:fill="auto"/>
            <w:vAlign w:val="center"/>
          </w:tcPr>
          <w:p w14:paraId="79F14FE5">
            <w:pPr>
              <w:pStyle w:val="92"/>
              <w:rPr>
                <w:color w:val="auto"/>
                <w:highlight w:val="none"/>
                <w:u w:val="none"/>
              </w:rPr>
            </w:pPr>
            <w:r>
              <w:rPr>
                <w:rFonts w:hint="eastAsia"/>
                <w:color w:val="auto"/>
                <w:highlight w:val="none"/>
                <w:u w:val="none"/>
              </w:rPr>
              <w:t>0.1</w:t>
            </w:r>
          </w:p>
        </w:tc>
        <w:tc>
          <w:tcPr>
            <w:tcW w:w="1111" w:type="dxa"/>
            <w:shd w:val="clear" w:color="auto" w:fill="auto"/>
            <w:vAlign w:val="center"/>
          </w:tcPr>
          <w:p w14:paraId="3992FA5B">
            <w:pPr>
              <w:pStyle w:val="92"/>
              <w:ind w:firstLine="0" w:firstLineChars="0"/>
              <w:rPr>
                <w:color w:val="auto"/>
                <w:highlight w:val="none"/>
                <w:u w:val="none"/>
              </w:rPr>
            </w:pPr>
            <w:r>
              <w:rPr>
                <w:rFonts w:hint="default"/>
                <w:color w:val="auto"/>
                <w:highlight w:val="none"/>
                <w:u w:val="none"/>
                <w:lang w:val="en-US" w:eastAsia="zh-CN"/>
              </w:rPr>
              <w:t>0.03</w:t>
            </w:r>
          </w:p>
        </w:tc>
        <w:tc>
          <w:tcPr>
            <w:tcW w:w="1348" w:type="dxa"/>
            <w:shd w:val="clear" w:color="auto" w:fill="auto"/>
            <w:vAlign w:val="center"/>
          </w:tcPr>
          <w:p w14:paraId="569B39C4">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-0.07</w:t>
            </w:r>
          </w:p>
        </w:tc>
      </w:tr>
      <w:tr w14:paraId="65AD6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10EA84B">
            <w:pPr>
              <w:pStyle w:val="92"/>
              <w:rPr>
                <w:color w:val="auto"/>
                <w:highlight w:val="none"/>
                <w:u w:val="none"/>
              </w:rPr>
            </w:pPr>
            <w:r>
              <w:rPr>
                <w:color w:val="auto"/>
                <w:highlight w:val="none"/>
                <w:u w:val="none"/>
              </w:rPr>
              <w:t>硫酸根</w:t>
            </w:r>
          </w:p>
        </w:tc>
        <w:tc>
          <w:tcPr>
            <w:tcW w:w="595" w:type="pct"/>
            <w:shd w:val="clear" w:color="auto" w:fill="auto"/>
          </w:tcPr>
          <w:p w14:paraId="0A5B1CEA">
            <w:pPr>
              <w:pStyle w:val="92"/>
              <w:rPr>
                <w:color w:val="auto"/>
                <w:highlight w:val="none"/>
                <w:u w:val="none"/>
              </w:rPr>
            </w:pPr>
            <w:r>
              <w:rPr>
                <w:rFonts w:hint="eastAsia"/>
                <w:color w:val="auto"/>
                <w:highlight w:val="none"/>
                <w:u w:val="none"/>
              </w:rPr>
              <w:t>1056.17</w:t>
            </w:r>
          </w:p>
        </w:tc>
        <w:tc>
          <w:tcPr>
            <w:tcW w:w="1031" w:type="dxa"/>
            <w:shd w:val="clear" w:color="auto" w:fill="auto"/>
            <w:vAlign w:val="center"/>
          </w:tcPr>
          <w:p w14:paraId="6471046A">
            <w:pPr>
              <w:pStyle w:val="92"/>
              <w:rPr>
                <w:rFonts w:hint="eastAsia"/>
                <w:color w:val="auto"/>
                <w:highlight w:val="none"/>
                <w:u w:val="none"/>
                <w:lang w:val="en-US" w:eastAsia="zh-CN"/>
              </w:rPr>
            </w:pPr>
            <w:r>
              <w:rPr>
                <w:rFonts w:hint="default"/>
                <w:color w:val="auto"/>
                <w:highlight w:val="none"/>
                <w:u w:val="none"/>
                <w:lang w:val="en-US" w:eastAsia="zh-CN"/>
              </w:rPr>
              <w:t>1583.94</w:t>
            </w:r>
          </w:p>
        </w:tc>
        <w:tc>
          <w:tcPr>
            <w:tcW w:w="1031" w:type="dxa"/>
            <w:shd w:val="clear" w:color="auto" w:fill="auto"/>
            <w:vAlign w:val="center"/>
          </w:tcPr>
          <w:p w14:paraId="5EC33451">
            <w:pPr>
              <w:pStyle w:val="92"/>
              <w:rPr>
                <w:rFonts w:hint="eastAsia"/>
                <w:color w:val="auto"/>
                <w:highlight w:val="none"/>
                <w:u w:val="none"/>
                <w:lang w:val="en-US" w:eastAsia="zh-CN"/>
              </w:rPr>
            </w:pPr>
            <w:r>
              <w:rPr>
                <w:rFonts w:hint="default"/>
                <w:color w:val="auto"/>
                <w:highlight w:val="none"/>
                <w:u w:val="none"/>
                <w:lang w:val="en-US" w:eastAsia="zh-CN"/>
              </w:rPr>
              <w:t>61.83</w:t>
            </w:r>
          </w:p>
        </w:tc>
        <w:tc>
          <w:tcPr>
            <w:tcW w:w="1033" w:type="dxa"/>
            <w:shd w:val="clear" w:color="auto" w:fill="auto"/>
            <w:vAlign w:val="center"/>
          </w:tcPr>
          <w:p w14:paraId="01BAF127">
            <w:pPr>
              <w:pStyle w:val="92"/>
              <w:rPr>
                <w:rFonts w:hint="eastAsia"/>
                <w:color w:val="auto"/>
                <w:highlight w:val="none"/>
                <w:u w:val="none"/>
                <w:lang w:val="en-US" w:eastAsia="zh-CN"/>
              </w:rPr>
            </w:pPr>
            <w:r>
              <w:rPr>
                <w:rFonts w:hint="default"/>
                <w:color w:val="auto"/>
                <w:highlight w:val="none"/>
                <w:u w:val="none"/>
                <w:lang w:val="en-US" w:eastAsia="zh-CN"/>
              </w:rPr>
              <w:t>1522.11</w:t>
            </w:r>
          </w:p>
        </w:tc>
        <w:tc>
          <w:tcPr>
            <w:tcW w:w="1279" w:type="dxa"/>
            <w:shd w:val="clear" w:color="auto" w:fill="auto"/>
          </w:tcPr>
          <w:p w14:paraId="7BC223F4">
            <w:pPr>
              <w:pStyle w:val="92"/>
              <w:rPr>
                <w:color w:val="auto"/>
                <w:highlight w:val="none"/>
                <w:u w:val="none"/>
              </w:rPr>
            </w:pPr>
            <w:r>
              <w:rPr>
                <w:rFonts w:hint="eastAsia"/>
                <w:color w:val="auto"/>
                <w:highlight w:val="none"/>
                <w:u w:val="none"/>
              </w:rPr>
              <w:t>1056.17</w:t>
            </w:r>
          </w:p>
        </w:tc>
        <w:tc>
          <w:tcPr>
            <w:tcW w:w="1111" w:type="dxa"/>
            <w:shd w:val="clear" w:color="auto" w:fill="auto"/>
            <w:vAlign w:val="center"/>
          </w:tcPr>
          <w:p w14:paraId="61EA5016">
            <w:pPr>
              <w:pStyle w:val="92"/>
              <w:ind w:firstLine="0" w:firstLineChars="0"/>
              <w:rPr>
                <w:color w:val="auto"/>
                <w:highlight w:val="none"/>
                <w:u w:val="none"/>
              </w:rPr>
            </w:pPr>
            <w:r>
              <w:rPr>
                <w:rFonts w:hint="default"/>
                <w:color w:val="auto"/>
                <w:highlight w:val="none"/>
                <w:u w:val="none"/>
                <w:lang w:val="en-US" w:eastAsia="zh-CN"/>
              </w:rPr>
              <w:t>1522.11</w:t>
            </w:r>
          </w:p>
        </w:tc>
        <w:tc>
          <w:tcPr>
            <w:tcW w:w="1348" w:type="dxa"/>
            <w:shd w:val="clear" w:color="auto" w:fill="auto"/>
            <w:vAlign w:val="center"/>
          </w:tcPr>
          <w:p w14:paraId="750F43EA">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465.94</w:t>
            </w:r>
          </w:p>
        </w:tc>
      </w:tr>
      <w:tr w14:paraId="03E0B6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4824D5B5">
            <w:pPr>
              <w:pStyle w:val="92"/>
              <w:rPr>
                <w:color w:val="auto"/>
                <w:highlight w:val="none"/>
                <w:u w:val="none"/>
              </w:rPr>
            </w:pPr>
            <w:r>
              <w:rPr>
                <w:color w:val="auto"/>
                <w:highlight w:val="none"/>
                <w:u w:val="none"/>
              </w:rPr>
              <w:t>硝酸根</w:t>
            </w:r>
          </w:p>
        </w:tc>
        <w:tc>
          <w:tcPr>
            <w:tcW w:w="595" w:type="pct"/>
            <w:shd w:val="clear" w:color="auto" w:fill="auto"/>
          </w:tcPr>
          <w:p w14:paraId="4827569F">
            <w:pPr>
              <w:pStyle w:val="92"/>
              <w:rPr>
                <w:color w:val="auto"/>
                <w:highlight w:val="none"/>
                <w:u w:val="none"/>
              </w:rPr>
            </w:pPr>
            <w:r>
              <w:rPr>
                <w:rFonts w:hint="eastAsia"/>
                <w:color w:val="auto"/>
                <w:highlight w:val="none"/>
                <w:u w:val="none"/>
              </w:rPr>
              <w:t>632</w:t>
            </w:r>
          </w:p>
        </w:tc>
        <w:tc>
          <w:tcPr>
            <w:tcW w:w="1031" w:type="dxa"/>
            <w:shd w:val="clear" w:color="auto" w:fill="auto"/>
            <w:vAlign w:val="center"/>
          </w:tcPr>
          <w:p w14:paraId="2832F1BF">
            <w:pPr>
              <w:pStyle w:val="92"/>
              <w:rPr>
                <w:rFonts w:hint="eastAsia"/>
                <w:color w:val="auto"/>
                <w:highlight w:val="none"/>
                <w:u w:val="none"/>
                <w:lang w:val="en-US" w:eastAsia="zh-CN"/>
              </w:rPr>
            </w:pPr>
            <w:r>
              <w:rPr>
                <w:rFonts w:hint="default"/>
                <w:color w:val="auto"/>
                <w:highlight w:val="none"/>
                <w:u w:val="none"/>
                <w:lang w:val="en-US" w:eastAsia="zh-CN"/>
              </w:rPr>
              <w:t>1440.09</w:t>
            </w:r>
          </w:p>
        </w:tc>
        <w:tc>
          <w:tcPr>
            <w:tcW w:w="1031" w:type="dxa"/>
            <w:shd w:val="clear" w:color="auto" w:fill="auto"/>
            <w:vAlign w:val="center"/>
          </w:tcPr>
          <w:p w14:paraId="4570FA03">
            <w:pPr>
              <w:pStyle w:val="92"/>
              <w:rPr>
                <w:rFonts w:hint="eastAsia"/>
                <w:color w:val="auto"/>
                <w:highlight w:val="none"/>
                <w:u w:val="none"/>
                <w:lang w:val="en-US" w:eastAsia="zh-CN"/>
              </w:rPr>
            </w:pPr>
            <w:r>
              <w:rPr>
                <w:rFonts w:hint="default"/>
                <w:color w:val="auto"/>
                <w:highlight w:val="none"/>
                <w:u w:val="none"/>
                <w:lang w:val="en-US" w:eastAsia="zh-CN"/>
              </w:rPr>
              <w:t>529.95</w:t>
            </w:r>
          </w:p>
        </w:tc>
        <w:tc>
          <w:tcPr>
            <w:tcW w:w="1033" w:type="dxa"/>
            <w:shd w:val="clear" w:color="auto" w:fill="auto"/>
            <w:vAlign w:val="center"/>
          </w:tcPr>
          <w:p w14:paraId="1A3425D3">
            <w:pPr>
              <w:pStyle w:val="92"/>
              <w:rPr>
                <w:rFonts w:hint="eastAsia"/>
                <w:color w:val="auto"/>
                <w:highlight w:val="none"/>
                <w:u w:val="none"/>
                <w:lang w:val="en-US" w:eastAsia="zh-CN"/>
              </w:rPr>
            </w:pPr>
            <w:r>
              <w:rPr>
                <w:rFonts w:hint="default"/>
                <w:color w:val="auto"/>
                <w:highlight w:val="none"/>
                <w:u w:val="none"/>
                <w:lang w:val="en-US" w:eastAsia="zh-CN"/>
              </w:rPr>
              <w:t>910.14</w:t>
            </w:r>
          </w:p>
        </w:tc>
        <w:tc>
          <w:tcPr>
            <w:tcW w:w="1279" w:type="dxa"/>
            <w:shd w:val="clear" w:color="auto" w:fill="auto"/>
          </w:tcPr>
          <w:p w14:paraId="5D9BD63C">
            <w:pPr>
              <w:pStyle w:val="92"/>
              <w:rPr>
                <w:color w:val="auto"/>
                <w:highlight w:val="none"/>
                <w:u w:val="none"/>
              </w:rPr>
            </w:pPr>
            <w:r>
              <w:rPr>
                <w:rFonts w:hint="eastAsia"/>
                <w:color w:val="auto"/>
                <w:highlight w:val="none"/>
                <w:u w:val="none"/>
              </w:rPr>
              <w:t>632</w:t>
            </w:r>
          </w:p>
        </w:tc>
        <w:tc>
          <w:tcPr>
            <w:tcW w:w="1111" w:type="dxa"/>
            <w:shd w:val="clear" w:color="auto" w:fill="auto"/>
            <w:vAlign w:val="center"/>
          </w:tcPr>
          <w:p w14:paraId="3E7699AF">
            <w:pPr>
              <w:pStyle w:val="92"/>
              <w:ind w:firstLine="0" w:firstLineChars="0"/>
              <w:rPr>
                <w:color w:val="auto"/>
                <w:highlight w:val="none"/>
                <w:u w:val="none"/>
              </w:rPr>
            </w:pPr>
            <w:r>
              <w:rPr>
                <w:rFonts w:hint="default"/>
                <w:color w:val="auto"/>
                <w:highlight w:val="none"/>
                <w:u w:val="none"/>
                <w:lang w:val="en-US" w:eastAsia="zh-CN"/>
              </w:rPr>
              <w:t>910.14</w:t>
            </w:r>
          </w:p>
        </w:tc>
        <w:tc>
          <w:tcPr>
            <w:tcW w:w="1348" w:type="dxa"/>
            <w:shd w:val="clear" w:color="auto" w:fill="auto"/>
            <w:vAlign w:val="center"/>
          </w:tcPr>
          <w:p w14:paraId="66F298E7">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278.14</w:t>
            </w:r>
          </w:p>
        </w:tc>
      </w:tr>
      <w:tr w14:paraId="7E7204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5ED76ABB">
            <w:pPr>
              <w:pStyle w:val="92"/>
              <w:rPr>
                <w:color w:val="auto"/>
                <w:highlight w:val="none"/>
                <w:u w:val="none"/>
              </w:rPr>
            </w:pPr>
            <w:r>
              <w:rPr>
                <w:color w:val="auto"/>
                <w:highlight w:val="none"/>
                <w:u w:val="none"/>
              </w:rPr>
              <w:t>甲苯</w:t>
            </w:r>
          </w:p>
        </w:tc>
        <w:tc>
          <w:tcPr>
            <w:tcW w:w="595" w:type="pct"/>
            <w:shd w:val="clear" w:color="auto" w:fill="auto"/>
          </w:tcPr>
          <w:p w14:paraId="09267BB4">
            <w:pPr>
              <w:pStyle w:val="92"/>
              <w:rPr>
                <w:color w:val="auto"/>
                <w:highlight w:val="none"/>
                <w:u w:val="none"/>
              </w:rPr>
            </w:pPr>
            <w:r>
              <w:rPr>
                <w:rFonts w:hint="eastAsia"/>
                <w:color w:val="auto"/>
                <w:highlight w:val="none"/>
                <w:u w:val="none"/>
              </w:rPr>
              <w:t>0.03</w:t>
            </w:r>
          </w:p>
        </w:tc>
        <w:tc>
          <w:tcPr>
            <w:tcW w:w="1031" w:type="dxa"/>
            <w:shd w:val="clear" w:color="auto" w:fill="auto"/>
            <w:vAlign w:val="center"/>
          </w:tcPr>
          <w:p w14:paraId="24644DDB">
            <w:pPr>
              <w:pStyle w:val="92"/>
              <w:rPr>
                <w:rFonts w:hint="eastAsia"/>
                <w:color w:val="auto"/>
                <w:highlight w:val="none"/>
                <w:u w:val="none"/>
                <w:lang w:val="en-US" w:eastAsia="zh-CN"/>
              </w:rPr>
            </w:pPr>
            <w:r>
              <w:rPr>
                <w:rFonts w:hint="default"/>
                <w:color w:val="auto"/>
                <w:highlight w:val="none"/>
                <w:u w:val="none"/>
                <w:lang w:val="en-US" w:eastAsia="zh-CN"/>
              </w:rPr>
              <w:t>3.1</w:t>
            </w:r>
          </w:p>
        </w:tc>
        <w:tc>
          <w:tcPr>
            <w:tcW w:w="1031" w:type="dxa"/>
            <w:shd w:val="clear" w:color="auto" w:fill="auto"/>
            <w:vAlign w:val="center"/>
          </w:tcPr>
          <w:p w14:paraId="370B9D81">
            <w:pPr>
              <w:pStyle w:val="92"/>
              <w:rPr>
                <w:rFonts w:hint="eastAsia"/>
                <w:color w:val="auto"/>
                <w:highlight w:val="none"/>
                <w:u w:val="none"/>
                <w:lang w:val="en-US" w:eastAsia="zh-CN"/>
              </w:rPr>
            </w:pPr>
            <w:r>
              <w:rPr>
                <w:rFonts w:hint="default"/>
                <w:color w:val="auto"/>
                <w:highlight w:val="none"/>
                <w:u w:val="none"/>
                <w:lang w:val="en-US" w:eastAsia="zh-CN"/>
              </w:rPr>
              <w:t>3.06</w:t>
            </w:r>
          </w:p>
        </w:tc>
        <w:tc>
          <w:tcPr>
            <w:tcW w:w="1033" w:type="dxa"/>
            <w:shd w:val="clear" w:color="auto" w:fill="auto"/>
            <w:vAlign w:val="center"/>
          </w:tcPr>
          <w:p w14:paraId="53A63AA0">
            <w:pPr>
              <w:pStyle w:val="92"/>
              <w:rPr>
                <w:rFonts w:hint="eastAsia"/>
                <w:color w:val="auto"/>
                <w:highlight w:val="none"/>
                <w:u w:val="none"/>
                <w:lang w:val="en-US" w:eastAsia="zh-CN"/>
              </w:rPr>
            </w:pPr>
            <w:r>
              <w:rPr>
                <w:rFonts w:hint="default"/>
                <w:color w:val="auto"/>
                <w:highlight w:val="none"/>
                <w:u w:val="none"/>
                <w:lang w:val="en-US" w:eastAsia="zh-CN"/>
              </w:rPr>
              <w:t>0.04</w:t>
            </w:r>
          </w:p>
        </w:tc>
        <w:tc>
          <w:tcPr>
            <w:tcW w:w="1279" w:type="dxa"/>
            <w:shd w:val="clear" w:color="auto" w:fill="auto"/>
          </w:tcPr>
          <w:p w14:paraId="2B23E105">
            <w:pPr>
              <w:pStyle w:val="92"/>
              <w:rPr>
                <w:color w:val="auto"/>
                <w:highlight w:val="none"/>
                <w:u w:val="none"/>
              </w:rPr>
            </w:pPr>
            <w:r>
              <w:rPr>
                <w:rFonts w:hint="eastAsia"/>
                <w:color w:val="auto"/>
                <w:highlight w:val="none"/>
                <w:u w:val="none"/>
              </w:rPr>
              <w:t>0.03</w:t>
            </w:r>
          </w:p>
        </w:tc>
        <w:tc>
          <w:tcPr>
            <w:tcW w:w="1111" w:type="dxa"/>
            <w:shd w:val="clear" w:color="auto" w:fill="auto"/>
            <w:vAlign w:val="center"/>
          </w:tcPr>
          <w:p w14:paraId="1A7C4EF1">
            <w:pPr>
              <w:pStyle w:val="92"/>
              <w:ind w:firstLine="0" w:firstLineChars="0"/>
              <w:rPr>
                <w:color w:val="auto"/>
                <w:highlight w:val="none"/>
                <w:u w:val="none"/>
              </w:rPr>
            </w:pPr>
            <w:r>
              <w:rPr>
                <w:rFonts w:hint="default"/>
                <w:color w:val="auto"/>
                <w:highlight w:val="none"/>
                <w:u w:val="none"/>
                <w:lang w:val="en-US" w:eastAsia="zh-CN"/>
              </w:rPr>
              <w:t>0.04</w:t>
            </w:r>
          </w:p>
        </w:tc>
        <w:tc>
          <w:tcPr>
            <w:tcW w:w="1348" w:type="dxa"/>
            <w:shd w:val="clear" w:color="auto" w:fill="auto"/>
            <w:vAlign w:val="center"/>
          </w:tcPr>
          <w:p w14:paraId="2DED2A06">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0.01</w:t>
            </w:r>
          </w:p>
        </w:tc>
      </w:tr>
      <w:tr w14:paraId="624647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7711E7FE">
            <w:pPr>
              <w:pStyle w:val="92"/>
              <w:rPr>
                <w:color w:val="auto"/>
                <w:highlight w:val="none"/>
                <w:u w:val="none"/>
              </w:rPr>
            </w:pPr>
            <w:r>
              <w:rPr>
                <w:color w:val="auto"/>
                <w:highlight w:val="none"/>
                <w:u w:val="none"/>
              </w:rPr>
              <w:t>邻二氯苯</w:t>
            </w:r>
          </w:p>
        </w:tc>
        <w:tc>
          <w:tcPr>
            <w:tcW w:w="595" w:type="pct"/>
            <w:shd w:val="clear" w:color="auto" w:fill="auto"/>
          </w:tcPr>
          <w:p w14:paraId="04FDFEED">
            <w:pPr>
              <w:pStyle w:val="92"/>
              <w:rPr>
                <w:color w:val="auto"/>
                <w:highlight w:val="none"/>
                <w:u w:val="none"/>
              </w:rPr>
            </w:pPr>
            <w:r>
              <w:rPr>
                <w:rFonts w:hint="eastAsia"/>
                <w:color w:val="auto"/>
                <w:highlight w:val="none"/>
                <w:u w:val="none"/>
              </w:rPr>
              <w:t>0.14</w:t>
            </w:r>
          </w:p>
        </w:tc>
        <w:tc>
          <w:tcPr>
            <w:tcW w:w="1031" w:type="dxa"/>
            <w:shd w:val="clear" w:color="auto" w:fill="auto"/>
            <w:vAlign w:val="center"/>
          </w:tcPr>
          <w:p w14:paraId="1F29831F">
            <w:pPr>
              <w:pStyle w:val="92"/>
              <w:rPr>
                <w:rFonts w:hint="eastAsia"/>
                <w:color w:val="auto"/>
                <w:highlight w:val="none"/>
                <w:u w:val="none"/>
                <w:lang w:val="en-US" w:eastAsia="zh-CN"/>
              </w:rPr>
            </w:pPr>
            <w:r>
              <w:rPr>
                <w:rFonts w:hint="default"/>
                <w:color w:val="auto"/>
                <w:highlight w:val="none"/>
                <w:u w:val="none"/>
                <w:lang w:val="en-US" w:eastAsia="zh-CN"/>
              </w:rPr>
              <w:t>0.26</w:t>
            </w:r>
          </w:p>
        </w:tc>
        <w:tc>
          <w:tcPr>
            <w:tcW w:w="1031" w:type="dxa"/>
            <w:shd w:val="clear" w:color="auto" w:fill="auto"/>
            <w:vAlign w:val="center"/>
          </w:tcPr>
          <w:p w14:paraId="1697F882">
            <w:pPr>
              <w:pStyle w:val="92"/>
              <w:rPr>
                <w:rFonts w:hint="eastAsia"/>
                <w:color w:val="auto"/>
                <w:highlight w:val="none"/>
                <w:u w:val="none"/>
                <w:lang w:val="en-US" w:eastAsia="zh-CN"/>
              </w:rPr>
            </w:pPr>
            <w:r>
              <w:rPr>
                <w:rFonts w:hint="default"/>
                <w:color w:val="auto"/>
                <w:highlight w:val="none"/>
                <w:u w:val="none"/>
                <w:lang w:val="en-US" w:eastAsia="zh-CN"/>
              </w:rPr>
              <w:t>0.11</w:t>
            </w:r>
          </w:p>
        </w:tc>
        <w:tc>
          <w:tcPr>
            <w:tcW w:w="1033" w:type="dxa"/>
            <w:shd w:val="clear" w:color="auto" w:fill="auto"/>
            <w:vAlign w:val="center"/>
          </w:tcPr>
          <w:p w14:paraId="5F254833">
            <w:pPr>
              <w:pStyle w:val="92"/>
              <w:rPr>
                <w:rFonts w:hint="eastAsia"/>
                <w:color w:val="auto"/>
                <w:highlight w:val="none"/>
                <w:u w:val="none"/>
                <w:lang w:val="en-US" w:eastAsia="zh-CN"/>
              </w:rPr>
            </w:pPr>
            <w:r>
              <w:rPr>
                <w:rFonts w:hint="default"/>
                <w:color w:val="auto"/>
                <w:highlight w:val="none"/>
                <w:u w:val="none"/>
                <w:lang w:val="en-US" w:eastAsia="zh-CN"/>
              </w:rPr>
              <w:t>0.15</w:t>
            </w:r>
          </w:p>
        </w:tc>
        <w:tc>
          <w:tcPr>
            <w:tcW w:w="1279" w:type="dxa"/>
            <w:shd w:val="clear" w:color="auto" w:fill="auto"/>
          </w:tcPr>
          <w:p w14:paraId="344FB67A">
            <w:pPr>
              <w:pStyle w:val="92"/>
              <w:rPr>
                <w:color w:val="auto"/>
                <w:highlight w:val="none"/>
                <w:u w:val="none"/>
              </w:rPr>
            </w:pPr>
            <w:r>
              <w:rPr>
                <w:rFonts w:hint="eastAsia"/>
                <w:color w:val="auto"/>
                <w:highlight w:val="none"/>
                <w:u w:val="none"/>
              </w:rPr>
              <w:t>0.14</w:t>
            </w:r>
          </w:p>
        </w:tc>
        <w:tc>
          <w:tcPr>
            <w:tcW w:w="1111" w:type="dxa"/>
            <w:shd w:val="clear" w:color="auto" w:fill="auto"/>
            <w:vAlign w:val="center"/>
          </w:tcPr>
          <w:p w14:paraId="71183A03">
            <w:pPr>
              <w:pStyle w:val="92"/>
              <w:ind w:firstLine="0" w:firstLineChars="0"/>
              <w:rPr>
                <w:color w:val="auto"/>
                <w:highlight w:val="none"/>
                <w:u w:val="none"/>
              </w:rPr>
            </w:pPr>
            <w:r>
              <w:rPr>
                <w:rFonts w:hint="default"/>
                <w:color w:val="auto"/>
                <w:highlight w:val="none"/>
                <w:u w:val="none"/>
                <w:lang w:val="en-US" w:eastAsia="zh-CN"/>
              </w:rPr>
              <w:t>0.15</w:t>
            </w:r>
          </w:p>
        </w:tc>
        <w:tc>
          <w:tcPr>
            <w:tcW w:w="1348" w:type="dxa"/>
            <w:shd w:val="clear" w:color="auto" w:fill="auto"/>
            <w:vAlign w:val="center"/>
          </w:tcPr>
          <w:p w14:paraId="4976812C">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0.01</w:t>
            </w:r>
          </w:p>
        </w:tc>
      </w:tr>
      <w:tr w14:paraId="5AE46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3D1FD3C6">
            <w:pPr>
              <w:pStyle w:val="92"/>
              <w:rPr>
                <w:color w:val="auto"/>
                <w:highlight w:val="none"/>
                <w:u w:val="none"/>
              </w:rPr>
            </w:pPr>
            <w:r>
              <w:rPr>
                <w:color w:val="auto"/>
                <w:highlight w:val="none"/>
                <w:u w:val="none"/>
              </w:rPr>
              <w:t>氯离子</w:t>
            </w:r>
          </w:p>
        </w:tc>
        <w:tc>
          <w:tcPr>
            <w:tcW w:w="595" w:type="pct"/>
            <w:shd w:val="clear" w:color="auto" w:fill="auto"/>
          </w:tcPr>
          <w:p w14:paraId="090C32EB">
            <w:pPr>
              <w:pStyle w:val="92"/>
              <w:rPr>
                <w:color w:val="auto"/>
                <w:highlight w:val="none"/>
                <w:u w:val="none"/>
              </w:rPr>
            </w:pPr>
            <w:r>
              <w:rPr>
                <w:rFonts w:hint="eastAsia"/>
                <w:color w:val="auto"/>
                <w:highlight w:val="none"/>
                <w:u w:val="none"/>
              </w:rPr>
              <w:t>41.69</w:t>
            </w:r>
          </w:p>
        </w:tc>
        <w:tc>
          <w:tcPr>
            <w:tcW w:w="1031" w:type="dxa"/>
            <w:shd w:val="clear" w:color="auto" w:fill="auto"/>
            <w:vAlign w:val="center"/>
          </w:tcPr>
          <w:p w14:paraId="340A08A2">
            <w:pPr>
              <w:pStyle w:val="92"/>
              <w:rPr>
                <w:rFonts w:hint="eastAsia"/>
                <w:color w:val="auto"/>
                <w:highlight w:val="none"/>
                <w:u w:val="none"/>
                <w:lang w:val="en-US" w:eastAsia="zh-CN"/>
              </w:rPr>
            </w:pPr>
            <w:r>
              <w:rPr>
                <w:rFonts w:hint="default"/>
                <w:color w:val="auto"/>
                <w:highlight w:val="none"/>
                <w:u w:val="none"/>
                <w:lang w:val="en-US" w:eastAsia="zh-CN"/>
              </w:rPr>
              <w:t>246.99</w:t>
            </w:r>
          </w:p>
        </w:tc>
        <w:tc>
          <w:tcPr>
            <w:tcW w:w="1031" w:type="dxa"/>
            <w:shd w:val="clear" w:color="auto" w:fill="auto"/>
            <w:vAlign w:val="center"/>
          </w:tcPr>
          <w:p w14:paraId="7FFA0F95">
            <w:pPr>
              <w:pStyle w:val="92"/>
              <w:rPr>
                <w:rFonts w:hint="eastAsia"/>
                <w:color w:val="auto"/>
                <w:highlight w:val="none"/>
                <w:u w:val="none"/>
                <w:lang w:val="en-US" w:eastAsia="zh-CN"/>
              </w:rPr>
            </w:pPr>
            <w:r>
              <w:rPr>
                <w:rFonts w:hint="default"/>
                <w:color w:val="auto"/>
                <w:highlight w:val="none"/>
                <w:u w:val="none"/>
                <w:lang w:val="en-US" w:eastAsia="zh-CN"/>
              </w:rPr>
              <w:t>158.99</w:t>
            </w:r>
          </w:p>
        </w:tc>
        <w:tc>
          <w:tcPr>
            <w:tcW w:w="1033" w:type="dxa"/>
            <w:shd w:val="clear" w:color="auto" w:fill="auto"/>
            <w:vAlign w:val="center"/>
          </w:tcPr>
          <w:p w14:paraId="3734B413">
            <w:pPr>
              <w:pStyle w:val="92"/>
              <w:rPr>
                <w:rFonts w:hint="eastAsia"/>
                <w:color w:val="auto"/>
                <w:highlight w:val="none"/>
                <w:u w:val="none"/>
                <w:lang w:val="en-US" w:eastAsia="zh-CN"/>
              </w:rPr>
            </w:pPr>
            <w:r>
              <w:rPr>
                <w:rFonts w:hint="default"/>
                <w:color w:val="auto"/>
                <w:highlight w:val="none"/>
                <w:u w:val="none"/>
                <w:lang w:val="en-US" w:eastAsia="zh-CN"/>
              </w:rPr>
              <w:t>88</w:t>
            </w:r>
          </w:p>
        </w:tc>
        <w:tc>
          <w:tcPr>
            <w:tcW w:w="1279" w:type="dxa"/>
            <w:shd w:val="clear" w:color="auto" w:fill="auto"/>
          </w:tcPr>
          <w:p w14:paraId="7BED1AEF">
            <w:pPr>
              <w:pStyle w:val="92"/>
              <w:rPr>
                <w:color w:val="auto"/>
                <w:highlight w:val="none"/>
                <w:u w:val="none"/>
              </w:rPr>
            </w:pPr>
            <w:r>
              <w:rPr>
                <w:rFonts w:hint="eastAsia"/>
                <w:color w:val="auto"/>
                <w:highlight w:val="none"/>
                <w:u w:val="none"/>
              </w:rPr>
              <w:t>41.69</w:t>
            </w:r>
          </w:p>
        </w:tc>
        <w:tc>
          <w:tcPr>
            <w:tcW w:w="1111" w:type="dxa"/>
            <w:shd w:val="clear" w:color="auto" w:fill="auto"/>
            <w:vAlign w:val="center"/>
          </w:tcPr>
          <w:p w14:paraId="522F4174">
            <w:pPr>
              <w:pStyle w:val="92"/>
              <w:ind w:firstLine="0" w:firstLineChars="0"/>
              <w:rPr>
                <w:color w:val="auto"/>
                <w:highlight w:val="none"/>
                <w:u w:val="none"/>
              </w:rPr>
            </w:pPr>
            <w:r>
              <w:rPr>
                <w:rFonts w:hint="default"/>
                <w:color w:val="auto"/>
                <w:highlight w:val="none"/>
                <w:u w:val="none"/>
                <w:lang w:val="en-US" w:eastAsia="zh-CN"/>
              </w:rPr>
              <w:t>88</w:t>
            </w:r>
          </w:p>
        </w:tc>
        <w:tc>
          <w:tcPr>
            <w:tcW w:w="1348" w:type="dxa"/>
            <w:shd w:val="clear" w:color="auto" w:fill="auto"/>
            <w:vAlign w:val="center"/>
          </w:tcPr>
          <w:p w14:paraId="79EED814">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46.31</w:t>
            </w:r>
          </w:p>
        </w:tc>
      </w:tr>
      <w:tr w14:paraId="37367A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0786426A">
            <w:pPr>
              <w:pStyle w:val="92"/>
              <w:rPr>
                <w:color w:val="auto"/>
                <w:highlight w:val="none"/>
                <w:u w:val="none"/>
              </w:rPr>
            </w:pPr>
            <w:r>
              <w:rPr>
                <w:rFonts w:hint="eastAsia"/>
                <w:color w:val="auto"/>
                <w:highlight w:val="none"/>
                <w:u w:val="none"/>
              </w:rPr>
              <w:t>TDS</w:t>
            </w:r>
          </w:p>
        </w:tc>
        <w:tc>
          <w:tcPr>
            <w:tcW w:w="595" w:type="pct"/>
            <w:shd w:val="clear" w:color="auto" w:fill="auto"/>
          </w:tcPr>
          <w:p w14:paraId="44AE8DD0">
            <w:pPr>
              <w:pStyle w:val="92"/>
              <w:rPr>
                <w:color w:val="auto"/>
                <w:highlight w:val="none"/>
                <w:u w:val="none"/>
              </w:rPr>
            </w:pPr>
            <w:r>
              <w:rPr>
                <w:rFonts w:hint="eastAsia"/>
                <w:color w:val="auto"/>
                <w:highlight w:val="none"/>
                <w:u w:val="none"/>
              </w:rPr>
              <w:t>2607.33</w:t>
            </w:r>
          </w:p>
        </w:tc>
        <w:tc>
          <w:tcPr>
            <w:tcW w:w="1031" w:type="dxa"/>
            <w:shd w:val="clear" w:color="auto" w:fill="auto"/>
            <w:vAlign w:val="center"/>
          </w:tcPr>
          <w:p w14:paraId="77832BF7">
            <w:pPr>
              <w:pStyle w:val="92"/>
              <w:rPr>
                <w:rFonts w:hint="eastAsia"/>
                <w:color w:val="auto"/>
                <w:highlight w:val="none"/>
                <w:u w:val="none"/>
                <w:lang w:val="en-US" w:eastAsia="zh-CN"/>
              </w:rPr>
            </w:pPr>
            <w:r>
              <w:rPr>
                <w:rFonts w:hint="default"/>
                <w:color w:val="auto"/>
                <w:highlight w:val="none"/>
                <w:u w:val="none"/>
                <w:lang w:val="en-US" w:eastAsia="zh-CN"/>
              </w:rPr>
              <w:t>5064.88</w:t>
            </w:r>
          </w:p>
        </w:tc>
        <w:tc>
          <w:tcPr>
            <w:tcW w:w="1031" w:type="dxa"/>
            <w:shd w:val="clear" w:color="auto" w:fill="auto"/>
            <w:vAlign w:val="center"/>
          </w:tcPr>
          <w:p w14:paraId="7E3AA6E7">
            <w:pPr>
              <w:pStyle w:val="92"/>
              <w:rPr>
                <w:rFonts w:hint="eastAsia"/>
                <w:color w:val="auto"/>
                <w:highlight w:val="none"/>
                <w:u w:val="none"/>
                <w:lang w:val="en-US" w:eastAsia="zh-CN"/>
              </w:rPr>
            </w:pPr>
            <w:r>
              <w:rPr>
                <w:rFonts w:hint="default"/>
                <w:color w:val="auto"/>
                <w:highlight w:val="none"/>
                <w:u w:val="none"/>
                <w:lang w:val="en-US" w:eastAsia="zh-CN"/>
              </w:rPr>
              <w:t>1236.55</w:t>
            </w:r>
          </w:p>
        </w:tc>
        <w:tc>
          <w:tcPr>
            <w:tcW w:w="1033" w:type="dxa"/>
            <w:shd w:val="clear" w:color="auto" w:fill="auto"/>
            <w:vAlign w:val="center"/>
          </w:tcPr>
          <w:p w14:paraId="2B21D5A5">
            <w:pPr>
              <w:pStyle w:val="92"/>
              <w:rPr>
                <w:rFonts w:hint="eastAsia"/>
                <w:color w:val="auto"/>
                <w:highlight w:val="none"/>
                <w:u w:val="none"/>
                <w:lang w:val="en-US" w:eastAsia="zh-CN"/>
              </w:rPr>
            </w:pPr>
            <w:r>
              <w:rPr>
                <w:rFonts w:hint="default"/>
                <w:color w:val="auto"/>
                <w:highlight w:val="none"/>
                <w:u w:val="none"/>
                <w:lang w:val="en-US" w:eastAsia="zh-CN"/>
              </w:rPr>
              <w:t>3828.33</w:t>
            </w:r>
          </w:p>
        </w:tc>
        <w:tc>
          <w:tcPr>
            <w:tcW w:w="1279" w:type="dxa"/>
            <w:shd w:val="clear" w:color="auto" w:fill="auto"/>
          </w:tcPr>
          <w:p w14:paraId="4C0DD9CE">
            <w:pPr>
              <w:pStyle w:val="92"/>
              <w:rPr>
                <w:color w:val="auto"/>
                <w:highlight w:val="none"/>
                <w:u w:val="none"/>
              </w:rPr>
            </w:pPr>
            <w:r>
              <w:rPr>
                <w:rFonts w:hint="eastAsia"/>
                <w:color w:val="auto"/>
                <w:highlight w:val="none"/>
                <w:u w:val="none"/>
              </w:rPr>
              <w:t>2607.33</w:t>
            </w:r>
          </w:p>
        </w:tc>
        <w:tc>
          <w:tcPr>
            <w:tcW w:w="1111" w:type="dxa"/>
            <w:shd w:val="clear" w:color="auto" w:fill="auto"/>
            <w:vAlign w:val="center"/>
          </w:tcPr>
          <w:p w14:paraId="4A699CE3">
            <w:pPr>
              <w:pStyle w:val="92"/>
              <w:ind w:firstLine="0" w:firstLineChars="0"/>
              <w:rPr>
                <w:color w:val="auto"/>
                <w:highlight w:val="none"/>
                <w:u w:val="none"/>
              </w:rPr>
            </w:pPr>
            <w:r>
              <w:rPr>
                <w:rFonts w:hint="default"/>
                <w:color w:val="auto"/>
                <w:highlight w:val="none"/>
                <w:u w:val="none"/>
                <w:lang w:val="en-US" w:eastAsia="zh-CN"/>
              </w:rPr>
              <w:t>3828.33</w:t>
            </w:r>
          </w:p>
        </w:tc>
        <w:tc>
          <w:tcPr>
            <w:tcW w:w="1348" w:type="dxa"/>
            <w:shd w:val="clear" w:color="auto" w:fill="auto"/>
            <w:vAlign w:val="center"/>
          </w:tcPr>
          <w:p w14:paraId="50B47D44">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1221</w:t>
            </w:r>
          </w:p>
        </w:tc>
      </w:tr>
      <w:tr w14:paraId="11618F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4006C124">
            <w:pPr>
              <w:pStyle w:val="92"/>
              <w:rPr>
                <w:color w:val="auto"/>
                <w:highlight w:val="none"/>
                <w:u w:val="none"/>
              </w:rPr>
            </w:pPr>
            <w:r>
              <w:rPr>
                <w:color w:val="auto"/>
                <w:highlight w:val="none"/>
                <w:u w:val="none"/>
              </w:rPr>
              <w:t>二硝基甲苯</w:t>
            </w:r>
          </w:p>
        </w:tc>
        <w:tc>
          <w:tcPr>
            <w:tcW w:w="595" w:type="pct"/>
            <w:shd w:val="clear" w:color="auto" w:fill="auto"/>
          </w:tcPr>
          <w:p w14:paraId="5E2C5BD7">
            <w:pPr>
              <w:pStyle w:val="92"/>
              <w:rPr>
                <w:color w:val="auto"/>
                <w:highlight w:val="none"/>
                <w:u w:val="none"/>
              </w:rPr>
            </w:pPr>
            <w:r>
              <w:rPr>
                <w:rFonts w:hint="eastAsia"/>
                <w:color w:val="auto"/>
                <w:highlight w:val="none"/>
                <w:u w:val="none"/>
              </w:rPr>
              <w:t>0.69</w:t>
            </w:r>
          </w:p>
        </w:tc>
        <w:tc>
          <w:tcPr>
            <w:tcW w:w="1031" w:type="dxa"/>
            <w:shd w:val="clear" w:color="auto" w:fill="auto"/>
            <w:vAlign w:val="center"/>
          </w:tcPr>
          <w:p w14:paraId="66CC382C">
            <w:pPr>
              <w:pStyle w:val="92"/>
              <w:rPr>
                <w:rFonts w:hint="eastAsia"/>
                <w:color w:val="auto"/>
                <w:highlight w:val="none"/>
                <w:u w:val="none"/>
                <w:lang w:val="en-US" w:eastAsia="zh-CN"/>
              </w:rPr>
            </w:pPr>
            <w:r>
              <w:rPr>
                <w:rFonts w:hint="default"/>
                <w:color w:val="auto"/>
                <w:highlight w:val="none"/>
                <w:u w:val="none"/>
                <w:lang w:val="en-US" w:eastAsia="zh-CN"/>
              </w:rPr>
              <w:t>16.83</w:t>
            </w:r>
          </w:p>
        </w:tc>
        <w:tc>
          <w:tcPr>
            <w:tcW w:w="1031" w:type="dxa"/>
            <w:shd w:val="clear" w:color="auto" w:fill="auto"/>
            <w:vAlign w:val="center"/>
          </w:tcPr>
          <w:p w14:paraId="4393CD7F">
            <w:pPr>
              <w:pStyle w:val="92"/>
              <w:rPr>
                <w:rFonts w:hint="eastAsia"/>
                <w:color w:val="auto"/>
                <w:highlight w:val="none"/>
                <w:u w:val="none"/>
                <w:lang w:val="en-US" w:eastAsia="zh-CN"/>
              </w:rPr>
            </w:pPr>
            <w:r>
              <w:rPr>
                <w:rFonts w:hint="default"/>
                <w:color w:val="auto"/>
                <w:highlight w:val="none"/>
                <w:u w:val="none"/>
                <w:lang w:val="en-US" w:eastAsia="zh-CN"/>
              </w:rPr>
              <w:t>16.06</w:t>
            </w:r>
          </w:p>
        </w:tc>
        <w:tc>
          <w:tcPr>
            <w:tcW w:w="1033" w:type="dxa"/>
            <w:shd w:val="clear" w:color="auto" w:fill="auto"/>
            <w:vAlign w:val="center"/>
          </w:tcPr>
          <w:p w14:paraId="183F4EFD">
            <w:pPr>
              <w:pStyle w:val="92"/>
              <w:rPr>
                <w:rFonts w:hint="eastAsia"/>
                <w:color w:val="auto"/>
                <w:highlight w:val="none"/>
                <w:u w:val="none"/>
                <w:lang w:val="en-US" w:eastAsia="zh-CN"/>
              </w:rPr>
            </w:pPr>
            <w:r>
              <w:rPr>
                <w:rFonts w:hint="default"/>
                <w:color w:val="auto"/>
                <w:highlight w:val="none"/>
                <w:u w:val="none"/>
                <w:lang w:val="en-US" w:eastAsia="zh-CN"/>
              </w:rPr>
              <w:t>0.77</w:t>
            </w:r>
          </w:p>
        </w:tc>
        <w:tc>
          <w:tcPr>
            <w:tcW w:w="1279" w:type="dxa"/>
            <w:shd w:val="clear" w:color="auto" w:fill="auto"/>
          </w:tcPr>
          <w:p w14:paraId="4FC60F2F">
            <w:pPr>
              <w:pStyle w:val="92"/>
              <w:rPr>
                <w:color w:val="auto"/>
                <w:highlight w:val="none"/>
                <w:u w:val="none"/>
              </w:rPr>
            </w:pPr>
            <w:r>
              <w:rPr>
                <w:rFonts w:hint="eastAsia"/>
                <w:color w:val="auto"/>
                <w:highlight w:val="none"/>
                <w:u w:val="none"/>
              </w:rPr>
              <w:t>0.69</w:t>
            </w:r>
          </w:p>
        </w:tc>
        <w:tc>
          <w:tcPr>
            <w:tcW w:w="1111" w:type="dxa"/>
            <w:shd w:val="clear" w:color="auto" w:fill="auto"/>
            <w:vAlign w:val="center"/>
          </w:tcPr>
          <w:p w14:paraId="7C415EA7">
            <w:pPr>
              <w:pStyle w:val="92"/>
              <w:ind w:firstLine="0" w:firstLineChars="0"/>
              <w:rPr>
                <w:color w:val="auto"/>
                <w:highlight w:val="none"/>
                <w:u w:val="none"/>
              </w:rPr>
            </w:pPr>
            <w:r>
              <w:rPr>
                <w:rFonts w:hint="default"/>
                <w:color w:val="auto"/>
                <w:highlight w:val="none"/>
                <w:u w:val="none"/>
                <w:lang w:val="en-US" w:eastAsia="zh-CN"/>
              </w:rPr>
              <w:t>0.77</w:t>
            </w:r>
          </w:p>
        </w:tc>
        <w:tc>
          <w:tcPr>
            <w:tcW w:w="1348" w:type="dxa"/>
            <w:shd w:val="clear" w:color="auto" w:fill="auto"/>
            <w:vAlign w:val="center"/>
          </w:tcPr>
          <w:p w14:paraId="72D9320A">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0.08</w:t>
            </w:r>
          </w:p>
        </w:tc>
      </w:tr>
      <w:tr w14:paraId="53ED22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6D4F57E">
            <w:pPr>
              <w:pStyle w:val="92"/>
              <w:rPr>
                <w:color w:val="auto"/>
                <w:highlight w:val="none"/>
                <w:u w:val="none"/>
              </w:rPr>
            </w:pPr>
            <w:r>
              <w:rPr>
                <w:color w:val="auto"/>
                <w:highlight w:val="none"/>
                <w:u w:val="none"/>
              </w:rPr>
              <w:t>挥发酚</w:t>
            </w:r>
          </w:p>
        </w:tc>
        <w:tc>
          <w:tcPr>
            <w:tcW w:w="595" w:type="pct"/>
            <w:shd w:val="clear" w:color="auto" w:fill="auto"/>
            <w:vAlign w:val="center"/>
          </w:tcPr>
          <w:p w14:paraId="12DAD1D2">
            <w:pPr>
              <w:pStyle w:val="92"/>
              <w:rPr>
                <w:color w:val="auto"/>
                <w:highlight w:val="none"/>
                <w:u w:val="none"/>
              </w:rPr>
            </w:pPr>
            <w:r>
              <w:rPr>
                <w:rFonts w:hint="eastAsia"/>
                <w:color w:val="auto"/>
                <w:highlight w:val="none"/>
                <w:u w:val="none"/>
              </w:rPr>
              <w:t>0</w:t>
            </w:r>
          </w:p>
        </w:tc>
        <w:tc>
          <w:tcPr>
            <w:tcW w:w="1031" w:type="dxa"/>
            <w:shd w:val="clear" w:color="auto" w:fill="auto"/>
            <w:vAlign w:val="center"/>
          </w:tcPr>
          <w:p w14:paraId="6FB0201B">
            <w:pPr>
              <w:pStyle w:val="92"/>
              <w:rPr>
                <w:rFonts w:hint="eastAsia"/>
                <w:color w:val="auto"/>
                <w:highlight w:val="none"/>
                <w:u w:val="none"/>
                <w:lang w:val="en-US" w:eastAsia="zh-CN"/>
              </w:rPr>
            </w:pPr>
            <w:r>
              <w:rPr>
                <w:rFonts w:hint="default"/>
                <w:color w:val="auto"/>
                <w:highlight w:val="none"/>
                <w:u w:val="none"/>
                <w:lang w:val="en-US" w:eastAsia="zh-CN"/>
              </w:rPr>
              <w:t>176.65</w:t>
            </w:r>
          </w:p>
        </w:tc>
        <w:tc>
          <w:tcPr>
            <w:tcW w:w="1031" w:type="dxa"/>
            <w:shd w:val="clear" w:color="auto" w:fill="auto"/>
            <w:vAlign w:val="center"/>
          </w:tcPr>
          <w:p w14:paraId="52CC9C33">
            <w:pPr>
              <w:pStyle w:val="92"/>
              <w:rPr>
                <w:rFonts w:hint="eastAsia"/>
                <w:color w:val="auto"/>
                <w:highlight w:val="none"/>
                <w:u w:val="none"/>
                <w:lang w:val="en-US" w:eastAsia="zh-CN"/>
              </w:rPr>
            </w:pPr>
            <w:r>
              <w:rPr>
                <w:rFonts w:hint="default"/>
                <w:color w:val="auto"/>
                <w:highlight w:val="none"/>
                <w:u w:val="none"/>
                <w:lang w:val="en-US" w:eastAsia="zh-CN"/>
              </w:rPr>
              <w:t>176.65</w:t>
            </w:r>
          </w:p>
        </w:tc>
        <w:tc>
          <w:tcPr>
            <w:tcW w:w="1033" w:type="dxa"/>
            <w:shd w:val="clear" w:color="auto" w:fill="auto"/>
            <w:vAlign w:val="center"/>
          </w:tcPr>
          <w:p w14:paraId="0E913C0E">
            <w:pPr>
              <w:pStyle w:val="92"/>
              <w:rPr>
                <w:rFonts w:hint="eastAsia"/>
                <w:color w:val="auto"/>
                <w:highlight w:val="none"/>
                <w:u w:val="none"/>
                <w:lang w:val="en-US" w:eastAsia="zh-CN"/>
              </w:rPr>
            </w:pPr>
            <w:r>
              <w:rPr>
                <w:rFonts w:hint="default"/>
                <w:color w:val="auto"/>
                <w:highlight w:val="none"/>
                <w:u w:val="none"/>
                <w:lang w:val="en-US" w:eastAsia="zh-CN"/>
              </w:rPr>
              <w:t>0</w:t>
            </w:r>
          </w:p>
        </w:tc>
        <w:tc>
          <w:tcPr>
            <w:tcW w:w="1279" w:type="dxa"/>
            <w:shd w:val="clear" w:color="auto" w:fill="auto"/>
            <w:vAlign w:val="center"/>
          </w:tcPr>
          <w:p w14:paraId="74B98B4C">
            <w:pPr>
              <w:pStyle w:val="92"/>
              <w:rPr>
                <w:color w:val="auto"/>
                <w:highlight w:val="none"/>
                <w:u w:val="none"/>
              </w:rPr>
            </w:pPr>
            <w:r>
              <w:rPr>
                <w:rFonts w:hint="eastAsia"/>
                <w:color w:val="auto"/>
                <w:highlight w:val="none"/>
                <w:u w:val="none"/>
              </w:rPr>
              <w:t>0</w:t>
            </w:r>
          </w:p>
        </w:tc>
        <w:tc>
          <w:tcPr>
            <w:tcW w:w="1111" w:type="dxa"/>
            <w:shd w:val="clear" w:color="auto" w:fill="auto"/>
            <w:vAlign w:val="center"/>
          </w:tcPr>
          <w:p w14:paraId="0D21D4E1">
            <w:pPr>
              <w:pStyle w:val="92"/>
              <w:ind w:firstLine="0" w:firstLineChars="0"/>
              <w:rPr>
                <w:color w:val="auto"/>
                <w:highlight w:val="none"/>
                <w:u w:val="none"/>
              </w:rPr>
            </w:pPr>
            <w:r>
              <w:rPr>
                <w:rFonts w:hint="default"/>
                <w:color w:val="auto"/>
                <w:highlight w:val="none"/>
                <w:u w:val="none"/>
                <w:lang w:val="en-US" w:eastAsia="zh-CN"/>
              </w:rPr>
              <w:t>0</w:t>
            </w:r>
          </w:p>
        </w:tc>
        <w:tc>
          <w:tcPr>
            <w:tcW w:w="1348" w:type="dxa"/>
            <w:shd w:val="clear" w:color="auto" w:fill="auto"/>
            <w:vAlign w:val="center"/>
          </w:tcPr>
          <w:p w14:paraId="65F06F5D">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w:t>
            </w:r>
          </w:p>
        </w:tc>
      </w:tr>
      <w:tr w14:paraId="56471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4B4D4DD7">
            <w:pPr>
              <w:pStyle w:val="92"/>
              <w:rPr>
                <w:color w:val="auto"/>
                <w:highlight w:val="none"/>
                <w:u w:val="none"/>
              </w:rPr>
            </w:pPr>
            <w:r>
              <w:rPr>
                <w:color w:val="auto"/>
                <w:highlight w:val="none"/>
                <w:u w:val="none"/>
              </w:rPr>
              <w:t>苯胺类</w:t>
            </w:r>
          </w:p>
        </w:tc>
        <w:tc>
          <w:tcPr>
            <w:tcW w:w="595" w:type="pct"/>
            <w:shd w:val="clear" w:color="auto" w:fill="auto"/>
            <w:vAlign w:val="center"/>
          </w:tcPr>
          <w:p w14:paraId="6FB00014">
            <w:pPr>
              <w:pStyle w:val="92"/>
              <w:rPr>
                <w:color w:val="auto"/>
                <w:highlight w:val="none"/>
                <w:u w:val="none"/>
              </w:rPr>
            </w:pPr>
            <w:r>
              <w:rPr>
                <w:rFonts w:hint="eastAsia"/>
                <w:color w:val="auto"/>
                <w:highlight w:val="none"/>
                <w:u w:val="none"/>
              </w:rPr>
              <w:t>0.17</w:t>
            </w:r>
          </w:p>
        </w:tc>
        <w:tc>
          <w:tcPr>
            <w:tcW w:w="1031" w:type="dxa"/>
            <w:shd w:val="clear" w:color="auto" w:fill="auto"/>
            <w:vAlign w:val="center"/>
          </w:tcPr>
          <w:p w14:paraId="4DFFEA56">
            <w:pPr>
              <w:pStyle w:val="92"/>
              <w:rPr>
                <w:rFonts w:hint="eastAsia"/>
                <w:color w:val="auto"/>
                <w:highlight w:val="none"/>
                <w:u w:val="none"/>
                <w:lang w:val="en-US" w:eastAsia="zh-CN"/>
              </w:rPr>
            </w:pPr>
            <w:r>
              <w:rPr>
                <w:rFonts w:hint="default"/>
                <w:color w:val="auto"/>
                <w:highlight w:val="none"/>
                <w:u w:val="none"/>
                <w:lang w:val="en-US" w:eastAsia="zh-CN"/>
              </w:rPr>
              <w:t>317.94</w:t>
            </w:r>
          </w:p>
        </w:tc>
        <w:tc>
          <w:tcPr>
            <w:tcW w:w="1031" w:type="dxa"/>
            <w:shd w:val="clear" w:color="auto" w:fill="auto"/>
            <w:vAlign w:val="center"/>
          </w:tcPr>
          <w:p w14:paraId="6DCDD4CF">
            <w:pPr>
              <w:pStyle w:val="92"/>
              <w:rPr>
                <w:rFonts w:hint="eastAsia"/>
                <w:color w:val="auto"/>
                <w:highlight w:val="none"/>
                <w:u w:val="none"/>
                <w:lang w:val="en-US" w:eastAsia="zh-CN"/>
              </w:rPr>
            </w:pPr>
            <w:r>
              <w:rPr>
                <w:rFonts w:hint="default"/>
                <w:color w:val="auto"/>
                <w:highlight w:val="none"/>
                <w:u w:val="none"/>
                <w:lang w:val="en-US" w:eastAsia="zh-CN"/>
              </w:rPr>
              <w:t>317.75</w:t>
            </w:r>
          </w:p>
        </w:tc>
        <w:tc>
          <w:tcPr>
            <w:tcW w:w="1033" w:type="dxa"/>
            <w:shd w:val="clear" w:color="auto" w:fill="auto"/>
            <w:vAlign w:val="center"/>
          </w:tcPr>
          <w:p w14:paraId="0C69F4CD">
            <w:pPr>
              <w:pStyle w:val="92"/>
              <w:rPr>
                <w:rFonts w:hint="eastAsia"/>
                <w:color w:val="auto"/>
                <w:highlight w:val="none"/>
                <w:u w:val="none"/>
                <w:lang w:val="en-US" w:eastAsia="zh-CN"/>
              </w:rPr>
            </w:pPr>
            <w:r>
              <w:rPr>
                <w:rFonts w:hint="default"/>
                <w:color w:val="auto"/>
                <w:highlight w:val="none"/>
                <w:u w:val="none"/>
                <w:lang w:val="en-US" w:eastAsia="zh-CN"/>
              </w:rPr>
              <w:t>0.19</w:t>
            </w:r>
          </w:p>
        </w:tc>
        <w:tc>
          <w:tcPr>
            <w:tcW w:w="1279" w:type="dxa"/>
            <w:shd w:val="clear" w:color="auto" w:fill="auto"/>
            <w:vAlign w:val="center"/>
          </w:tcPr>
          <w:p w14:paraId="57E109A7">
            <w:pPr>
              <w:pStyle w:val="92"/>
              <w:rPr>
                <w:color w:val="auto"/>
                <w:highlight w:val="none"/>
                <w:u w:val="none"/>
              </w:rPr>
            </w:pPr>
            <w:r>
              <w:rPr>
                <w:rFonts w:hint="eastAsia"/>
                <w:color w:val="auto"/>
                <w:highlight w:val="none"/>
                <w:u w:val="none"/>
              </w:rPr>
              <w:t>0.17</w:t>
            </w:r>
          </w:p>
        </w:tc>
        <w:tc>
          <w:tcPr>
            <w:tcW w:w="1111" w:type="dxa"/>
            <w:shd w:val="clear" w:color="auto" w:fill="auto"/>
            <w:vAlign w:val="center"/>
          </w:tcPr>
          <w:p w14:paraId="6F3C39CF">
            <w:pPr>
              <w:pStyle w:val="92"/>
              <w:ind w:firstLine="0" w:firstLineChars="0"/>
              <w:rPr>
                <w:color w:val="auto"/>
                <w:highlight w:val="none"/>
                <w:u w:val="none"/>
              </w:rPr>
            </w:pPr>
            <w:r>
              <w:rPr>
                <w:rFonts w:hint="default"/>
                <w:color w:val="auto"/>
                <w:highlight w:val="none"/>
                <w:u w:val="none"/>
                <w:lang w:val="en-US" w:eastAsia="zh-CN"/>
              </w:rPr>
              <w:t>0.19</w:t>
            </w:r>
          </w:p>
        </w:tc>
        <w:tc>
          <w:tcPr>
            <w:tcW w:w="1348" w:type="dxa"/>
            <w:shd w:val="clear" w:color="auto" w:fill="auto"/>
            <w:vAlign w:val="center"/>
          </w:tcPr>
          <w:p w14:paraId="7482BAD9">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0.02</w:t>
            </w:r>
          </w:p>
        </w:tc>
      </w:tr>
      <w:tr w14:paraId="32C92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7F994E08">
            <w:pPr>
              <w:pStyle w:val="92"/>
              <w:rPr>
                <w:color w:val="auto"/>
                <w:highlight w:val="none"/>
                <w:u w:val="none"/>
              </w:rPr>
            </w:pPr>
            <w:r>
              <w:rPr>
                <w:color w:val="auto"/>
                <w:highlight w:val="none"/>
                <w:u w:val="none"/>
              </w:rPr>
              <w:t>总氮</w:t>
            </w:r>
          </w:p>
        </w:tc>
        <w:tc>
          <w:tcPr>
            <w:tcW w:w="595" w:type="pct"/>
            <w:shd w:val="clear" w:color="auto" w:fill="auto"/>
            <w:vAlign w:val="center"/>
          </w:tcPr>
          <w:p w14:paraId="37538297">
            <w:pPr>
              <w:pStyle w:val="92"/>
              <w:rPr>
                <w:color w:val="auto"/>
                <w:highlight w:val="none"/>
                <w:u w:val="none"/>
              </w:rPr>
            </w:pPr>
            <w:r>
              <w:rPr>
                <w:rFonts w:hint="eastAsia"/>
                <w:color w:val="auto"/>
                <w:highlight w:val="none"/>
                <w:u w:val="none"/>
              </w:rPr>
              <w:t>5.18</w:t>
            </w:r>
          </w:p>
        </w:tc>
        <w:tc>
          <w:tcPr>
            <w:tcW w:w="1031" w:type="dxa"/>
            <w:shd w:val="clear" w:color="auto" w:fill="auto"/>
            <w:vAlign w:val="center"/>
          </w:tcPr>
          <w:p w14:paraId="19C5B419">
            <w:pPr>
              <w:pStyle w:val="92"/>
              <w:rPr>
                <w:rFonts w:hint="eastAsia"/>
                <w:color w:val="auto"/>
                <w:highlight w:val="none"/>
                <w:u w:val="none"/>
                <w:lang w:val="en-US" w:eastAsia="zh-CN"/>
              </w:rPr>
            </w:pPr>
            <w:r>
              <w:rPr>
                <w:rFonts w:hint="default"/>
                <w:color w:val="auto"/>
                <w:highlight w:val="none"/>
                <w:u w:val="none"/>
                <w:lang w:val="en-US" w:eastAsia="zh-CN"/>
              </w:rPr>
              <w:t>1361.72</w:t>
            </w:r>
          </w:p>
        </w:tc>
        <w:tc>
          <w:tcPr>
            <w:tcW w:w="1031" w:type="dxa"/>
            <w:shd w:val="clear" w:color="auto" w:fill="auto"/>
            <w:vAlign w:val="center"/>
          </w:tcPr>
          <w:p w14:paraId="509AE35F">
            <w:pPr>
              <w:pStyle w:val="92"/>
              <w:rPr>
                <w:rFonts w:hint="eastAsia"/>
                <w:color w:val="auto"/>
                <w:highlight w:val="none"/>
                <w:u w:val="none"/>
                <w:lang w:val="en-US" w:eastAsia="zh-CN"/>
              </w:rPr>
            </w:pPr>
            <w:r>
              <w:rPr>
                <w:rFonts w:hint="default"/>
                <w:color w:val="auto"/>
                <w:highlight w:val="none"/>
                <w:u w:val="none"/>
                <w:lang w:val="en-US" w:eastAsia="zh-CN"/>
              </w:rPr>
              <w:t>1355.96</w:t>
            </w:r>
          </w:p>
        </w:tc>
        <w:tc>
          <w:tcPr>
            <w:tcW w:w="1033" w:type="dxa"/>
            <w:shd w:val="clear" w:color="auto" w:fill="auto"/>
            <w:vAlign w:val="center"/>
          </w:tcPr>
          <w:p w14:paraId="61118781">
            <w:pPr>
              <w:pStyle w:val="92"/>
              <w:rPr>
                <w:rFonts w:hint="eastAsia"/>
                <w:color w:val="auto"/>
                <w:highlight w:val="none"/>
                <w:u w:val="none"/>
                <w:lang w:val="en-US" w:eastAsia="zh-CN"/>
              </w:rPr>
            </w:pPr>
            <w:r>
              <w:rPr>
                <w:rFonts w:hint="default"/>
                <w:color w:val="auto"/>
                <w:highlight w:val="none"/>
                <w:u w:val="none"/>
                <w:lang w:val="en-US" w:eastAsia="zh-CN"/>
              </w:rPr>
              <w:t>5.76</w:t>
            </w:r>
          </w:p>
        </w:tc>
        <w:tc>
          <w:tcPr>
            <w:tcW w:w="1279" w:type="dxa"/>
            <w:shd w:val="clear" w:color="auto" w:fill="auto"/>
            <w:vAlign w:val="center"/>
          </w:tcPr>
          <w:p w14:paraId="78885174">
            <w:pPr>
              <w:pStyle w:val="92"/>
              <w:rPr>
                <w:color w:val="auto"/>
                <w:highlight w:val="none"/>
                <w:u w:val="none"/>
              </w:rPr>
            </w:pPr>
            <w:r>
              <w:rPr>
                <w:rFonts w:hint="eastAsia"/>
                <w:color w:val="auto"/>
                <w:highlight w:val="none"/>
                <w:u w:val="none"/>
              </w:rPr>
              <w:t>5.18</w:t>
            </w:r>
          </w:p>
        </w:tc>
        <w:tc>
          <w:tcPr>
            <w:tcW w:w="1111" w:type="dxa"/>
            <w:shd w:val="clear" w:color="auto" w:fill="auto"/>
            <w:vAlign w:val="center"/>
          </w:tcPr>
          <w:p w14:paraId="20A9B712">
            <w:pPr>
              <w:pStyle w:val="92"/>
              <w:ind w:firstLine="0" w:firstLineChars="0"/>
              <w:rPr>
                <w:color w:val="auto"/>
                <w:highlight w:val="none"/>
                <w:u w:val="none"/>
              </w:rPr>
            </w:pPr>
            <w:r>
              <w:rPr>
                <w:rFonts w:hint="default"/>
                <w:color w:val="auto"/>
                <w:highlight w:val="none"/>
                <w:u w:val="none"/>
                <w:lang w:val="en-US" w:eastAsia="zh-CN"/>
              </w:rPr>
              <w:t>5.76</w:t>
            </w:r>
          </w:p>
        </w:tc>
        <w:tc>
          <w:tcPr>
            <w:tcW w:w="1348" w:type="dxa"/>
            <w:shd w:val="clear" w:color="auto" w:fill="auto"/>
            <w:vAlign w:val="center"/>
          </w:tcPr>
          <w:p w14:paraId="29E0DE9E">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0.58</w:t>
            </w:r>
          </w:p>
        </w:tc>
      </w:tr>
      <w:tr w14:paraId="1CAFC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AB3F083">
            <w:pPr>
              <w:pStyle w:val="92"/>
              <w:rPr>
                <w:color w:val="auto"/>
                <w:highlight w:val="none"/>
                <w:u w:val="none"/>
              </w:rPr>
            </w:pPr>
            <w:r>
              <w:rPr>
                <w:color w:val="auto"/>
                <w:highlight w:val="none"/>
                <w:u w:val="none"/>
              </w:rPr>
              <w:t>石油类</w:t>
            </w:r>
          </w:p>
        </w:tc>
        <w:tc>
          <w:tcPr>
            <w:tcW w:w="595" w:type="pct"/>
            <w:shd w:val="clear" w:color="auto" w:fill="auto"/>
            <w:vAlign w:val="center"/>
          </w:tcPr>
          <w:p w14:paraId="141EBA31">
            <w:pPr>
              <w:pStyle w:val="92"/>
              <w:rPr>
                <w:color w:val="auto"/>
                <w:highlight w:val="none"/>
                <w:u w:val="none"/>
              </w:rPr>
            </w:pPr>
            <w:r>
              <w:rPr>
                <w:rFonts w:hint="eastAsia"/>
                <w:color w:val="auto"/>
                <w:highlight w:val="none"/>
                <w:u w:val="none"/>
              </w:rPr>
              <w:t>0.01</w:t>
            </w:r>
          </w:p>
        </w:tc>
        <w:tc>
          <w:tcPr>
            <w:tcW w:w="1031" w:type="dxa"/>
            <w:shd w:val="clear" w:color="auto" w:fill="auto"/>
            <w:vAlign w:val="center"/>
          </w:tcPr>
          <w:p w14:paraId="79D9B327">
            <w:pPr>
              <w:pStyle w:val="92"/>
              <w:rPr>
                <w:rFonts w:hint="eastAsia"/>
                <w:color w:val="auto"/>
                <w:highlight w:val="none"/>
                <w:u w:val="none"/>
                <w:lang w:val="en-US" w:eastAsia="zh-CN"/>
              </w:rPr>
            </w:pPr>
            <w:r>
              <w:rPr>
                <w:rFonts w:hint="default"/>
                <w:color w:val="auto"/>
                <w:highlight w:val="none"/>
                <w:u w:val="none"/>
                <w:lang w:val="en-US" w:eastAsia="zh-CN"/>
              </w:rPr>
              <w:t>0.09</w:t>
            </w:r>
          </w:p>
        </w:tc>
        <w:tc>
          <w:tcPr>
            <w:tcW w:w="1031" w:type="dxa"/>
            <w:shd w:val="clear" w:color="auto" w:fill="auto"/>
            <w:vAlign w:val="center"/>
          </w:tcPr>
          <w:p w14:paraId="2FBAD8B4">
            <w:pPr>
              <w:pStyle w:val="92"/>
              <w:rPr>
                <w:rFonts w:hint="eastAsia"/>
                <w:color w:val="auto"/>
                <w:highlight w:val="none"/>
                <w:u w:val="none"/>
                <w:lang w:val="en-US" w:eastAsia="zh-CN"/>
              </w:rPr>
            </w:pPr>
            <w:r>
              <w:rPr>
                <w:rFonts w:hint="default"/>
                <w:color w:val="auto"/>
                <w:highlight w:val="none"/>
                <w:u w:val="none"/>
                <w:lang w:val="en-US" w:eastAsia="zh-CN"/>
              </w:rPr>
              <w:t>0.087</w:t>
            </w:r>
          </w:p>
        </w:tc>
        <w:tc>
          <w:tcPr>
            <w:tcW w:w="1033" w:type="dxa"/>
            <w:shd w:val="clear" w:color="auto" w:fill="auto"/>
            <w:vAlign w:val="center"/>
          </w:tcPr>
          <w:p w14:paraId="2E183CD8">
            <w:pPr>
              <w:pStyle w:val="92"/>
              <w:rPr>
                <w:rFonts w:hint="eastAsia"/>
                <w:color w:val="auto"/>
                <w:highlight w:val="none"/>
                <w:u w:val="none"/>
                <w:lang w:val="en-US" w:eastAsia="zh-CN"/>
              </w:rPr>
            </w:pPr>
            <w:r>
              <w:rPr>
                <w:rFonts w:hint="default"/>
                <w:color w:val="auto"/>
                <w:highlight w:val="none"/>
                <w:u w:val="none"/>
                <w:lang w:val="en-US" w:eastAsia="zh-CN"/>
              </w:rPr>
              <w:t>0.003</w:t>
            </w:r>
          </w:p>
        </w:tc>
        <w:tc>
          <w:tcPr>
            <w:tcW w:w="1279" w:type="dxa"/>
            <w:shd w:val="clear" w:color="auto" w:fill="auto"/>
            <w:vAlign w:val="center"/>
          </w:tcPr>
          <w:p w14:paraId="72E300EF">
            <w:pPr>
              <w:pStyle w:val="92"/>
              <w:rPr>
                <w:color w:val="auto"/>
                <w:highlight w:val="none"/>
                <w:u w:val="none"/>
              </w:rPr>
            </w:pPr>
            <w:r>
              <w:rPr>
                <w:rFonts w:hint="eastAsia"/>
                <w:color w:val="auto"/>
                <w:highlight w:val="none"/>
                <w:u w:val="none"/>
              </w:rPr>
              <w:t>0.01</w:t>
            </w:r>
          </w:p>
        </w:tc>
        <w:tc>
          <w:tcPr>
            <w:tcW w:w="1111" w:type="dxa"/>
            <w:shd w:val="clear" w:color="auto" w:fill="auto"/>
            <w:vAlign w:val="center"/>
          </w:tcPr>
          <w:p w14:paraId="09A7C232">
            <w:pPr>
              <w:pStyle w:val="92"/>
              <w:ind w:firstLine="0" w:firstLineChars="0"/>
              <w:rPr>
                <w:color w:val="auto"/>
                <w:highlight w:val="none"/>
                <w:u w:val="none"/>
              </w:rPr>
            </w:pPr>
            <w:r>
              <w:rPr>
                <w:rFonts w:hint="default"/>
                <w:color w:val="auto"/>
                <w:highlight w:val="none"/>
                <w:u w:val="none"/>
                <w:lang w:val="en-US" w:eastAsia="zh-CN"/>
              </w:rPr>
              <w:t>0.003</w:t>
            </w:r>
          </w:p>
        </w:tc>
        <w:tc>
          <w:tcPr>
            <w:tcW w:w="1348" w:type="dxa"/>
            <w:shd w:val="clear" w:color="auto" w:fill="auto"/>
            <w:vAlign w:val="center"/>
          </w:tcPr>
          <w:p w14:paraId="03D1A4E6">
            <w:pPr>
              <w:pStyle w:val="92"/>
              <w:ind w:firstLine="0" w:firstLineChars="0"/>
              <w:rPr>
                <w:rFonts w:hint="eastAsia"/>
                <w:color w:val="auto"/>
                <w:highlight w:val="none"/>
                <w:u w:val="none"/>
                <w:lang w:val="en-US" w:eastAsia="zh-CN"/>
              </w:rPr>
            </w:pPr>
            <w:r>
              <w:rPr>
                <w:rFonts w:hint="default"/>
                <w:color w:val="auto"/>
                <w:highlight w:val="none"/>
                <w:u w:val="none"/>
                <w:lang w:val="en-US" w:eastAsia="zh-CN"/>
              </w:rPr>
              <w:t>-0.007</w:t>
            </w:r>
          </w:p>
        </w:tc>
      </w:tr>
      <w:tr w14:paraId="36B583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1FC72A7B">
            <w:pPr>
              <w:pStyle w:val="92"/>
              <w:jc w:val="both"/>
              <w:rPr>
                <w:b/>
                <w:color w:val="auto"/>
                <w:highlight w:val="none"/>
                <w:u w:val="none"/>
              </w:rPr>
            </w:pPr>
            <w:r>
              <w:rPr>
                <w:b/>
                <w:color w:val="auto"/>
                <w:highlight w:val="none"/>
                <w:u w:val="none"/>
              </w:rPr>
              <w:t>二、废气</w:t>
            </w:r>
          </w:p>
        </w:tc>
      </w:tr>
      <w:tr w14:paraId="63ACE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C84B460">
            <w:pPr>
              <w:pStyle w:val="92"/>
              <w:rPr>
                <w:color w:val="auto"/>
                <w:highlight w:val="none"/>
                <w:u w:val="none"/>
              </w:rPr>
            </w:pPr>
            <w:r>
              <w:rPr>
                <w:snapToGrid w:val="0"/>
                <w:color w:val="auto"/>
                <w:highlight w:val="none"/>
                <w:u w:val="none"/>
              </w:rPr>
              <w:t>NO</w:t>
            </w:r>
            <w:r>
              <w:rPr>
                <w:snapToGrid w:val="0"/>
                <w:color w:val="auto"/>
                <w:highlight w:val="none"/>
                <w:u w:val="none"/>
                <w:vertAlign w:val="subscript"/>
              </w:rPr>
              <w:t>X</w:t>
            </w:r>
          </w:p>
        </w:tc>
        <w:tc>
          <w:tcPr>
            <w:tcW w:w="595" w:type="pct"/>
            <w:shd w:val="clear" w:color="auto" w:fill="auto"/>
            <w:vAlign w:val="bottom"/>
          </w:tcPr>
          <w:p w14:paraId="3A08C641">
            <w:pPr>
              <w:pStyle w:val="92"/>
              <w:rPr>
                <w:color w:val="auto"/>
                <w:highlight w:val="none"/>
                <w:u w:val="none"/>
              </w:rPr>
            </w:pPr>
            <w:r>
              <w:rPr>
                <w:color w:val="auto"/>
                <w:highlight w:val="none"/>
                <w:u w:val="none"/>
              </w:rPr>
              <w:t>0</w:t>
            </w:r>
          </w:p>
        </w:tc>
        <w:tc>
          <w:tcPr>
            <w:tcW w:w="1031" w:type="dxa"/>
            <w:shd w:val="clear" w:color="auto" w:fill="auto"/>
            <w:vAlign w:val="bottom"/>
          </w:tcPr>
          <w:p w14:paraId="7DAA7D5B">
            <w:pPr>
              <w:pStyle w:val="92"/>
              <w:ind w:firstLine="0" w:firstLineChars="0"/>
              <w:rPr>
                <w:color w:val="auto"/>
                <w:highlight w:val="none"/>
                <w:u w:val="none"/>
              </w:rPr>
            </w:pPr>
            <w:r>
              <w:rPr>
                <w:rFonts w:hint="eastAsia" w:eastAsia="等线"/>
                <w:color w:val="auto"/>
                <w:highlight w:val="none"/>
                <w:u w:val="none"/>
                <w:lang w:val="en-US" w:eastAsia="zh-CN"/>
              </w:rPr>
              <w:t>182.52</w:t>
            </w:r>
            <w:r>
              <w:rPr>
                <w:rFonts w:eastAsia="等线"/>
                <w:color w:val="auto"/>
                <w:highlight w:val="none"/>
                <w:u w:val="none"/>
              </w:rPr>
              <w:t xml:space="preserve"> </w:t>
            </w:r>
          </w:p>
        </w:tc>
        <w:tc>
          <w:tcPr>
            <w:tcW w:w="1031" w:type="dxa"/>
            <w:shd w:val="clear" w:color="auto" w:fill="auto"/>
            <w:vAlign w:val="bottom"/>
          </w:tcPr>
          <w:p w14:paraId="109812C8">
            <w:pPr>
              <w:pStyle w:val="92"/>
              <w:ind w:firstLine="0" w:firstLineChars="0"/>
              <w:rPr>
                <w:color w:val="auto"/>
                <w:highlight w:val="none"/>
                <w:u w:val="none"/>
              </w:rPr>
            </w:pPr>
            <w:r>
              <w:rPr>
                <w:rFonts w:hint="eastAsia" w:eastAsia="等线"/>
                <w:color w:val="auto"/>
                <w:highlight w:val="none"/>
                <w:u w:val="none"/>
                <w:lang w:val="en-US" w:eastAsia="zh-CN"/>
              </w:rPr>
              <w:t>182.52</w:t>
            </w:r>
          </w:p>
        </w:tc>
        <w:tc>
          <w:tcPr>
            <w:tcW w:w="1033" w:type="dxa"/>
            <w:shd w:val="clear" w:color="auto" w:fill="auto"/>
            <w:vAlign w:val="bottom"/>
          </w:tcPr>
          <w:p w14:paraId="35154CE9">
            <w:pPr>
              <w:pStyle w:val="92"/>
              <w:rPr>
                <w:color w:val="auto"/>
                <w:highlight w:val="none"/>
                <w:u w:val="none"/>
              </w:rPr>
            </w:pPr>
            <w:r>
              <w:rPr>
                <w:rFonts w:hint="eastAsia"/>
                <w:snapToGrid w:val="0"/>
                <w:color w:val="auto"/>
                <w:highlight w:val="none"/>
                <w:u w:val="none"/>
              </w:rPr>
              <w:t>0</w:t>
            </w:r>
          </w:p>
        </w:tc>
        <w:tc>
          <w:tcPr>
            <w:tcW w:w="1279" w:type="dxa"/>
            <w:shd w:val="clear" w:color="auto" w:fill="auto"/>
            <w:vAlign w:val="bottom"/>
          </w:tcPr>
          <w:p w14:paraId="0D3460B6">
            <w:pPr>
              <w:pStyle w:val="92"/>
              <w:rPr>
                <w:color w:val="auto"/>
                <w:highlight w:val="none"/>
                <w:u w:val="none"/>
              </w:rPr>
            </w:pPr>
            <w:r>
              <w:rPr>
                <w:color w:val="auto"/>
                <w:highlight w:val="none"/>
                <w:u w:val="none"/>
              </w:rPr>
              <w:t>0</w:t>
            </w:r>
          </w:p>
        </w:tc>
        <w:tc>
          <w:tcPr>
            <w:tcW w:w="1111" w:type="dxa"/>
            <w:shd w:val="clear" w:color="auto" w:fill="auto"/>
            <w:vAlign w:val="bottom"/>
          </w:tcPr>
          <w:p w14:paraId="2D6EE655">
            <w:pPr>
              <w:pStyle w:val="92"/>
              <w:rPr>
                <w:color w:val="auto"/>
                <w:highlight w:val="none"/>
                <w:u w:val="none"/>
              </w:rPr>
            </w:pPr>
            <w:r>
              <w:rPr>
                <w:rFonts w:hint="eastAsia"/>
                <w:snapToGrid w:val="0"/>
                <w:color w:val="auto"/>
                <w:highlight w:val="none"/>
                <w:u w:val="none"/>
              </w:rPr>
              <w:t>0</w:t>
            </w:r>
          </w:p>
        </w:tc>
        <w:tc>
          <w:tcPr>
            <w:tcW w:w="724" w:type="pct"/>
            <w:shd w:val="clear" w:color="auto" w:fill="auto"/>
            <w:vAlign w:val="center"/>
          </w:tcPr>
          <w:p w14:paraId="128717E9">
            <w:pPr>
              <w:pStyle w:val="92"/>
              <w:rPr>
                <w:color w:val="auto"/>
                <w:highlight w:val="none"/>
                <w:u w:val="none"/>
              </w:rPr>
            </w:pPr>
            <w:r>
              <w:rPr>
                <w:rFonts w:hint="eastAsia"/>
                <w:color w:val="auto"/>
                <w:highlight w:val="none"/>
                <w:u w:val="none"/>
              </w:rPr>
              <w:t>0</w:t>
            </w:r>
          </w:p>
        </w:tc>
      </w:tr>
      <w:tr w14:paraId="58888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7C4B7E09">
            <w:pPr>
              <w:pStyle w:val="92"/>
              <w:rPr>
                <w:snapToGrid w:val="0"/>
                <w:color w:val="auto"/>
                <w:highlight w:val="none"/>
                <w:u w:val="none"/>
              </w:rPr>
            </w:pPr>
            <w:r>
              <w:rPr>
                <w:snapToGrid w:val="0"/>
                <w:color w:val="auto"/>
                <w:highlight w:val="none"/>
                <w:u w:val="none"/>
              </w:rPr>
              <w:t>硝基苯类</w:t>
            </w:r>
          </w:p>
          <w:p w14:paraId="772F2085">
            <w:pPr>
              <w:pStyle w:val="92"/>
              <w:rPr>
                <w:snapToGrid w:val="0"/>
                <w:color w:val="auto"/>
                <w:highlight w:val="none"/>
                <w:u w:val="none"/>
              </w:rPr>
            </w:pPr>
            <w:r>
              <w:rPr>
                <w:rFonts w:hint="eastAsia"/>
                <w:snapToGrid w:val="0"/>
                <w:color w:val="auto"/>
                <w:highlight w:val="none"/>
                <w:u w:val="none"/>
              </w:rPr>
              <w:t>DNT</w:t>
            </w:r>
          </w:p>
        </w:tc>
        <w:tc>
          <w:tcPr>
            <w:tcW w:w="595" w:type="pct"/>
            <w:shd w:val="clear" w:color="auto" w:fill="auto"/>
            <w:vAlign w:val="bottom"/>
          </w:tcPr>
          <w:p w14:paraId="65FF74E4">
            <w:pPr>
              <w:pStyle w:val="92"/>
              <w:rPr>
                <w:color w:val="auto"/>
                <w:highlight w:val="none"/>
                <w:u w:val="none"/>
              </w:rPr>
            </w:pPr>
            <w:r>
              <w:rPr>
                <w:color w:val="auto"/>
                <w:highlight w:val="none"/>
                <w:u w:val="none"/>
              </w:rPr>
              <w:t>0.92</w:t>
            </w:r>
            <w:r>
              <w:rPr>
                <w:rFonts w:hint="eastAsia"/>
                <w:color w:val="auto"/>
                <w:highlight w:val="none"/>
                <w:u w:val="none"/>
              </w:rPr>
              <w:t>1</w:t>
            </w:r>
            <w:r>
              <w:rPr>
                <w:color w:val="auto"/>
                <w:highlight w:val="none"/>
                <w:u w:val="none"/>
              </w:rPr>
              <w:t xml:space="preserve"> </w:t>
            </w:r>
          </w:p>
        </w:tc>
        <w:tc>
          <w:tcPr>
            <w:tcW w:w="1031" w:type="dxa"/>
            <w:shd w:val="clear" w:color="auto" w:fill="auto"/>
            <w:vAlign w:val="bottom"/>
          </w:tcPr>
          <w:p w14:paraId="1434424C">
            <w:pPr>
              <w:pStyle w:val="92"/>
              <w:rPr>
                <w:color w:val="auto"/>
                <w:highlight w:val="none"/>
                <w:u w:val="none"/>
              </w:rPr>
            </w:pPr>
            <w:r>
              <w:rPr>
                <w:rFonts w:eastAsia="等线"/>
                <w:color w:val="auto"/>
                <w:highlight w:val="none"/>
                <w:u w:val="none"/>
              </w:rPr>
              <w:t xml:space="preserve">1.20 </w:t>
            </w:r>
          </w:p>
        </w:tc>
        <w:tc>
          <w:tcPr>
            <w:tcW w:w="1031" w:type="dxa"/>
            <w:shd w:val="clear" w:color="auto" w:fill="auto"/>
            <w:vAlign w:val="bottom"/>
          </w:tcPr>
          <w:p w14:paraId="33E00D91">
            <w:pPr>
              <w:pStyle w:val="92"/>
              <w:rPr>
                <w:color w:val="auto"/>
                <w:highlight w:val="none"/>
                <w:u w:val="none"/>
              </w:rPr>
            </w:pPr>
            <w:r>
              <w:rPr>
                <w:rFonts w:eastAsia="等线"/>
                <w:color w:val="auto"/>
                <w:highlight w:val="none"/>
                <w:u w:val="none"/>
              </w:rPr>
              <w:t>0.07</w:t>
            </w:r>
          </w:p>
        </w:tc>
        <w:tc>
          <w:tcPr>
            <w:tcW w:w="1033" w:type="dxa"/>
            <w:shd w:val="clear" w:color="auto" w:fill="auto"/>
            <w:vAlign w:val="center"/>
          </w:tcPr>
          <w:p w14:paraId="357530BE">
            <w:pPr>
              <w:pStyle w:val="92"/>
              <w:rPr>
                <w:color w:val="auto"/>
                <w:highlight w:val="none"/>
                <w:u w:val="none"/>
              </w:rPr>
            </w:pPr>
            <w:r>
              <w:rPr>
                <w:rFonts w:hint="eastAsia" w:eastAsia="等线"/>
                <w:color w:val="auto"/>
                <w:highlight w:val="none"/>
                <w:u w:val="none"/>
              </w:rPr>
              <w:t xml:space="preserve">1.13 </w:t>
            </w:r>
          </w:p>
        </w:tc>
        <w:tc>
          <w:tcPr>
            <w:tcW w:w="1279" w:type="dxa"/>
            <w:shd w:val="clear" w:color="auto" w:fill="auto"/>
            <w:vAlign w:val="bottom"/>
          </w:tcPr>
          <w:p w14:paraId="6BDBC449">
            <w:pPr>
              <w:pStyle w:val="92"/>
              <w:rPr>
                <w:color w:val="auto"/>
                <w:highlight w:val="none"/>
                <w:u w:val="none"/>
              </w:rPr>
            </w:pPr>
            <w:r>
              <w:rPr>
                <w:color w:val="auto"/>
                <w:highlight w:val="none"/>
                <w:u w:val="none"/>
              </w:rPr>
              <w:t>0.92</w:t>
            </w:r>
            <w:r>
              <w:rPr>
                <w:rFonts w:hint="eastAsia"/>
                <w:color w:val="auto"/>
                <w:highlight w:val="none"/>
                <w:u w:val="none"/>
              </w:rPr>
              <w:t>1</w:t>
            </w:r>
            <w:r>
              <w:rPr>
                <w:color w:val="auto"/>
                <w:highlight w:val="none"/>
                <w:u w:val="none"/>
              </w:rPr>
              <w:t xml:space="preserve"> </w:t>
            </w:r>
          </w:p>
        </w:tc>
        <w:tc>
          <w:tcPr>
            <w:tcW w:w="1111" w:type="dxa"/>
            <w:shd w:val="clear" w:color="auto" w:fill="auto"/>
            <w:vAlign w:val="center"/>
          </w:tcPr>
          <w:p w14:paraId="6906077F">
            <w:pPr>
              <w:pStyle w:val="92"/>
              <w:rPr>
                <w:color w:val="auto"/>
                <w:highlight w:val="none"/>
                <w:u w:val="none"/>
              </w:rPr>
            </w:pPr>
            <w:r>
              <w:rPr>
                <w:rFonts w:hint="eastAsia" w:eastAsia="等线"/>
                <w:color w:val="auto"/>
                <w:highlight w:val="none"/>
                <w:u w:val="none"/>
              </w:rPr>
              <w:t xml:space="preserve">1.13 </w:t>
            </w:r>
          </w:p>
        </w:tc>
        <w:tc>
          <w:tcPr>
            <w:tcW w:w="724" w:type="pct"/>
            <w:shd w:val="clear" w:color="auto" w:fill="auto"/>
            <w:vAlign w:val="center"/>
          </w:tcPr>
          <w:p w14:paraId="275A9165">
            <w:pPr>
              <w:pStyle w:val="92"/>
              <w:rPr>
                <w:color w:val="auto"/>
                <w:highlight w:val="none"/>
                <w:u w:val="none"/>
              </w:rPr>
            </w:pPr>
            <w:r>
              <w:rPr>
                <w:rFonts w:hint="eastAsia"/>
                <w:color w:val="auto"/>
                <w:highlight w:val="none"/>
                <w:u w:val="none"/>
              </w:rPr>
              <w:t>+0.209</w:t>
            </w:r>
          </w:p>
        </w:tc>
      </w:tr>
      <w:tr w14:paraId="08A32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087BB607">
            <w:pPr>
              <w:pStyle w:val="92"/>
              <w:rPr>
                <w:color w:val="auto"/>
                <w:highlight w:val="none"/>
                <w:u w:val="none"/>
              </w:rPr>
            </w:pPr>
            <w:r>
              <w:rPr>
                <w:snapToGrid w:val="0"/>
                <w:color w:val="auto"/>
                <w:highlight w:val="none"/>
                <w:u w:val="none"/>
              </w:rPr>
              <w:t>甲苯</w:t>
            </w:r>
          </w:p>
        </w:tc>
        <w:tc>
          <w:tcPr>
            <w:tcW w:w="595" w:type="pct"/>
            <w:shd w:val="clear" w:color="auto" w:fill="auto"/>
            <w:vAlign w:val="bottom"/>
          </w:tcPr>
          <w:p w14:paraId="0D02EF08">
            <w:pPr>
              <w:pStyle w:val="92"/>
              <w:rPr>
                <w:color w:val="auto"/>
                <w:highlight w:val="none"/>
                <w:u w:val="none"/>
              </w:rPr>
            </w:pPr>
            <w:r>
              <w:rPr>
                <w:color w:val="auto"/>
                <w:highlight w:val="none"/>
                <w:u w:val="none"/>
              </w:rPr>
              <w:t>0.42</w:t>
            </w:r>
            <w:r>
              <w:rPr>
                <w:rFonts w:hint="eastAsia"/>
                <w:color w:val="auto"/>
                <w:highlight w:val="none"/>
                <w:u w:val="none"/>
              </w:rPr>
              <w:t>2</w:t>
            </w:r>
            <w:r>
              <w:rPr>
                <w:color w:val="auto"/>
                <w:highlight w:val="none"/>
                <w:u w:val="none"/>
              </w:rPr>
              <w:t xml:space="preserve"> </w:t>
            </w:r>
          </w:p>
        </w:tc>
        <w:tc>
          <w:tcPr>
            <w:tcW w:w="1031" w:type="dxa"/>
            <w:shd w:val="clear" w:color="auto" w:fill="auto"/>
            <w:vAlign w:val="bottom"/>
          </w:tcPr>
          <w:p w14:paraId="4498BA22">
            <w:pPr>
              <w:pStyle w:val="92"/>
              <w:rPr>
                <w:color w:val="auto"/>
                <w:highlight w:val="none"/>
                <w:u w:val="none"/>
              </w:rPr>
            </w:pPr>
            <w:r>
              <w:rPr>
                <w:rFonts w:eastAsia="等线"/>
                <w:color w:val="auto"/>
                <w:highlight w:val="none"/>
                <w:u w:val="none"/>
              </w:rPr>
              <w:t>1.</w:t>
            </w:r>
            <w:r>
              <w:rPr>
                <w:rFonts w:hint="eastAsia" w:eastAsia="等线"/>
                <w:color w:val="auto"/>
                <w:highlight w:val="none"/>
                <w:u w:val="none"/>
              </w:rPr>
              <w:t>98</w:t>
            </w:r>
          </w:p>
        </w:tc>
        <w:tc>
          <w:tcPr>
            <w:tcW w:w="1031" w:type="dxa"/>
            <w:shd w:val="clear" w:color="auto" w:fill="auto"/>
            <w:vAlign w:val="bottom"/>
          </w:tcPr>
          <w:p w14:paraId="322974FB">
            <w:pPr>
              <w:pStyle w:val="92"/>
              <w:rPr>
                <w:color w:val="auto"/>
                <w:highlight w:val="none"/>
                <w:u w:val="none"/>
              </w:rPr>
            </w:pPr>
            <w:r>
              <w:rPr>
                <w:rFonts w:eastAsia="等线"/>
                <w:color w:val="auto"/>
                <w:highlight w:val="none"/>
                <w:u w:val="none"/>
              </w:rPr>
              <w:t>1.47</w:t>
            </w:r>
          </w:p>
        </w:tc>
        <w:tc>
          <w:tcPr>
            <w:tcW w:w="1033" w:type="dxa"/>
            <w:shd w:val="clear" w:color="auto" w:fill="auto"/>
            <w:vAlign w:val="center"/>
          </w:tcPr>
          <w:p w14:paraId="7B7997B9">
            <w:pPr>
              <w:pStyle w:val="92"/>
              <w:rPr>
                <w:color w:val="auto"/>
                <w:highlight w:val="none"/>
                <w:u w:val="none"/>
              </w:rPr>
            </w:pPr>
            <w:r>
              <w:rPr>
                <w:rFonts w:hint="eastAsia" w:eastAsia="等线"/>
                <w:color w:val="auto"/>
                <w:highlight w:val="none"/>
                <w:u w:val="none"/>
              </w:rPr>
              <w:t xml:space="preserve">0.51 </w:t>
            </w:r>
          </w:p>
        </w:tc>
        <w:tc>
          <w:tcPr>
            <w:tcW w:w="1279" w:type="dxa"/>
            <w:shd w:val="clear" w:color="auto" w:fill="auto"/>
            <w:vAlign w:val="bottom"/>
          </w:tcPr>
          <w:p w14:paraId="02BE8C8C">
            <w:pPr>
              <w:pStyle w:val="92"/>
              <w:rPr>
                <w:color w:val="auto"/>
                <w:highlight w:val="none"/>
                <w:u w:val="none"/>
              </w:rPr>
            </w:pPr>
            <w:r>
              <w:rPr>
                <w:color w:val="auto"/>
                <w:highlight w:val="none"/>
                <w:u w:val="none"/>
              </w:rPr>
              <w:t>0.42</w:t>
            </w:r>
            <w:r>
              <w:rPr>
                <w:rFonts w:hint="eastAsia"/>
                <w:color w:val="auto"/>
                <w:highlight w:val="none"/>
                <w:u w:val="none"/>
              </w:rPr>
              <w:t>2</w:t>
            </w:r>
            <w:r>
              <w:rPr>
                <w:color w:val="auto"/>
                <w:highlight w:val="none"/>
                <w:u w:val="none"/>
              </w:rPr>
              <w:t xml:space="preserve"> </w:t>
            </w:r>
          </w:p>
        </w:tc>
        <w:tc>
          <w:tcPr>
            <w:tcW w:w="1111" w:type="dxa"/>
            <w:shd w:val="clear" w:color="auto" w:fill="auto"/>
            <w:vAlign w:val="center"/>
          </w:tcPr>
          <w:p w14:paraId="63227F8B">
            <w:pPr>
              <w:pStyle w:val="92"/>
              <w:rPr>
                <w:color w:val="auto"/>
                <w:highlight w:val="none"/>
                <w:u w:val="none"/>
              </w:rPr>
            </w:pPr>
            <w:r>
              <w:rPr>
                <w:rFonts w:hint="eastAsia" w:eastAsia="等线"/>
                <w:color w:val="auto"/>
                <w:highlight w:val="none"/>
                <w:u w:val="none"/>
              </w:rPr>
              <w:t xml:space="preserve">0.51 </w:t>
            </w:r>
          </w:p>
        </w:tc>
        <w:tc>
          <w:tcPr>
            <w:tcW w:w="724" w:type="pct"/>
            <w:shd w:val="clear" w:color="auto" w:fill="auto"/>
            <w:vAlign w:val="center"/>
          </w:tcPr>
          <w:p w14:paraId="3D83E98A">
            <w:pPr>
              <w:pStyle w:val="92"/>
              <w:rPr>
                <w:color w:val="auto"/>
                <w:highlight w:val="none"/>
                <w:u w:val="none"/>
              </w:rPr>
            </w:pPr>
            <w:r>
              <w:rPr>
                <w:rFonts w:hint="eastAsia"/>
                <w:color w:val="auto"/>
                <w:highlight w:val="none"/>
                <w:u w:val="none"/>
              </w:rPr>
              <w:t>+</w:t>
            </w:r>
            <w:r>
              <w:rPr>
                <w:color w:val="auto"/>
                <w:highlight w:val="none"/>
                <w:u w:val="none"/>
              </w:rPr>
              <w:t>0.088</w:t>
            </w:r>
          </w:p>
        </w:tc>
      </w:tr>
      <w:tr w14:paraId="31680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77547A60">
            <w:pPr>
              <w:pStyle w:val="92"/>
              <w:rPr>
                <w:color w:val="auto"/>
                <w:highlight w:val="none"/>
                <w:u w:val="none"/>
              </w:rPr>
            </w:pPr>
            <w:r>
              <w:rPr>
                <w:snapToGrid w:val="0"/>
                <w:color w:val="auto"/>
                <w:highlight w:val="none"/>
                <w:u w:val="none"/>
              </w:rPr>
              <w:t>氨</w:t>
            </w:r>
          </w:p>
        </w:tc>
        <w:tc>
          <w:tcPr>
            <w:tcW w:w="595" w:type="pct"/>
            <w:shd w:val="clear" w:color="auto" w:fill="auto"/>
            <w:vAlign w:val="center"/>
          </w:tcPr>
          <w:p w14:paraId="7EE7B034">
            <w:pPr>
              <w:pStyle w:val="92"/>
              <w:rPr>
                <w:color w:val="auto"/>
                <w:highlight w:val="none"/>
                <w:u w:val="none"/>
              </w:rPr>
            </w:pPr>
            <w:r>
              <w:rPr>
                <w:color w:val="auto"/>
                <w:highlight w:val="none"/>
                <w:u w:val="none"/>
              </w:rPr>
              <w:t>0</w:t>
            </w:r>
          </w:p>
        </w:tc>
        <w:tc>
          <w:tcPr>
            <w:tcW w:w="1031" w:type="dxa"/>
            <w:shd w:val="clear" w:color="auto" w:fill="auto"/>
            <w:vAlign w:val="bottom"/>
          </w:tcPr>
          <w:p w14:paraId="195FBA7F">
            <w:pPr>
              <w:pStyle w:val="92"/>
              <w:rPr>
                <w:color w:val="auto"/>
                <w:highlight w:val="none"/>
                <w:u w:val="none"/>
              </w:rPr>
            </w:pPr>
            <w:r>
              <w:rPr>
                <w:rFonts w:eastAsia="等线"/>
                <w:color w:val="auto"/>
                <w:highlight w:val="none"/>
                <w:u w:val="none"/>
              </w:rPr>
              <w:t xml:space="preserve">13.19 </w:t>
            </w:r>
          </w:p>
        </w:tc>
        <w:tc>
          <w:tcPr>
            <w:tcW w:w="1031" w:type="dxa"/>
            <w:shd w:val="clear" w:color="auto" w:fill="auto"/>
            <w:vAlign w:val="bottom"/>
          </w:tcPr>
          <w:p w14:paraId="08825A81">
            <w:pPr>
              <w:pStyle w:val="92"/>
              <w:rPr>
                <w:color w:val="auto"/>
                <w:highlight w:val="none"/>
                <w:u w:val="none"/>
              </w:rPr>
            </w:pPr>
            <w:r>
              <w:rPr>
                <w:rFonts w:eastAsia="等线"/>
                <w:color w:val="auto"/>
                <w:highlight w:val="none"/>
                <w:u w:val="none"/>
              </w:rPr>
              <w:t>13.19</w:t>
            </w:r>
          </w:p>
        </w:tc>
        <w:tc>
          <w:tcPr>
            <w:tcW w:w="1033" w:type="dxa"/>
            <w:shd w:val="clear" w:color="auto" w:fill="auto"/>
            <w:vAlign w:val="center"/>
          </w:tcPr>
          <w:p w14:paraId="0BD6BB77">
            <w:pPr>
              <w:pStyle w:val="92"/>
              <w:rPr>
                <w:color w:val="auto"/>
                <w:highlight w:val="none"/>
                <w:u w:val="none"/>
              </w:rPr>
            </w:pPr>
            <w:r>
              <w:rPr>
                <w:rFonts w:hint="eastAsia" w:eastAsia="等线"/>
                <w:color w:val="auto"/>
                <w:highlight w:val="none"/>
                <w:u w:val="none"/>
              </w:rPr>
              <w:t>0</w:t>
            </w:r>
          </w:p>
        </w:tc>
        <w:tc>
          <w:tcPr>
            <w:tcW w:w="1279" w:type="dxa"/>
            <w:shd w:val="clear" w:color="auto" w:fill="auto"/>
            <w:vAlign w:val="center"/>
          </w:tcPr>
          <w:p w14:paraId="47E28B56">
            <w:pPr>
              <w:pStyle w:val="92"/>
              <w:rPr>
                <w:color w:val="auto"/>
                <w:highlight w:val="none"/>
                <w:u w:val="none"/>
              </w:rPr>
            </w:pPr>
            <w:r>
              <w:rPr>
                <w:color w:val="auto"/>
                <w:highlight w:val="none"/>
                <w:u w:val="none"/>
              </w:rPr>
              <w:t>0</w:t>
            </w:r>
          </w:p>
        </w:tc>
        <w:tc>
          <w:tcPr>
            <w:tcW w:w="1111" w:type="dxa"/>
            <w:shd w:val="clear" w:color="auto" w:fill="auto"/>
            <w:vAlign w:val="center"/>
          </w:tcPr>
          <w:p w14:paraId="59084A8B">
            <w:pPr>
              <w:pStyle w:val="92"/>
              <w:rPr>
                <w:color w:val="auto"/>
                <w:highlight w:val="none"/>
                <w:u w:val="none"/>
              </w:rPr>
            </w:pPr>
            <w:r>
              <w:rPr>
                <w:rFonts w:hint="eastAsia" w:eastAsia="等线"/>
                <w:color w:val="auto"/>
                <w:highlight w:val="none"/>
                <w:u w:val="none"/>
              </w:rPr>
              <w:t>0</w:t>
            </w:r>
          </w:p>
        </w:tc>
        <w:tc>
          <w:tcPr>
            <w:tcW w:w="724" w:type="pct"/>
            <w:shd w:val="clear" w:color="auto" w:fill="auto"/>
            <w:vAlign w:val="center"/>
          </w:tcPr>
          <w:p w14:paraId="2E208A58">
            <w:pPr>
              <w:pStyle w:val="92"/>
              <w:rPr>
                <w:color w:val="auto"/>
                <w:highlight w:val="none"/>
                <w:u w:val="none"/>
              </w:rPr>
            </w:pPr>
            <w:r>
              <w:rPr>
                <w:color w:val="auto"/>
                <w:highlight w:val="none"/>
                <w:u w:val="none"/>
              </w:rPr>
              <w:t>0</w:t>
            </w:r>
          </w:p>
        </w:tc>
      </w:tr>
      <w:tr w14:paraId="75FF6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001E4726">
            <w:pPr>
              <w:pStyle w:val="92"/>
              <w:rPr>
                <w:snapToGrid w:val="0"/>
                <w:color w:val="auto"/>
                <w:highlight w:val="none"/>
                <w:u w:val="none"/>
              </w:rPr>
            </w:pPr>
            <w:r>
              <w:rPr>
                <w:rFonts w:hint="eastAsia"/>
                <w:snapToGrid w:val="0"/>
                <w:color w:val="auto"/>
                <w:highlight w:val="none"/>
                <w:u w:val="none"/>
              </w:rPr>
              <w:t>TDA</w:t>
            </w:r>
          </w:p>
          <w:p w14:paraId="249C2D0F">
            <w:pPr>
              <w:pStyle w:val="92"/>
              <w:rPr>
                <w:color w:val="auto"/>
                <w:highlight w:val="none"/>
                <w:u w:val="none"/>
              </w:rPr>
            </w:pPr>
            <w:r>
              <w:rPr>
                <w:rFonts w:hint="eastAsia"/>
                <w:snapToGrid w:val="0"/>
                <w:color w:val="auto"/>
                <w:highlight w:val="none"/>
                <w:u w:val="none"/>
              </w:rPr>
              <w:t>（</w:t>
            </w:r>
            <w:r>
              <w:rPr>
                <w:snapToGrid w:val="0"/>
                <w:color w:val="auto"/>
                <w:highlight w:val="none"/>
                <w:u w:val="none"/>
              </w:rPr>
              <w:t>苯胺类</w:t>
            </w:r>
            <w:r>
              <w:rPr>
                <w:rFonts w:hint="eastAsia"/>
                <w:snapToGrid w:val="0"/>
                <w:color w:val="auto"/>
                <w:highlight w:val="none"/>
                <w:u w:val="none"/>
              </w:rPr>
              <w:t>）</w:t>
            </w:r>
          </w:p>
        </w:tc>
        <w:tc>
          <w:tcPr>
            <w:tcW w:w="595" w:type="pct"/>
            <w:shd w:val="clear" w:color="auto" w:fill="auto"/>
            <w:vAlign w:val="bottom"/>
          </w:tcPr>
          <w:p w14:paraId="16797165">
            <w:pPr>
              <w:pStyle w:val="92"/>
              <w:rPr>
                <w:color w:val="auto"/>
                <w:highlight w:val="none"/>
                <w:u w:val="none"/>
              </w:rPr>
            </w:pPr>
            <w:r>
              <w:rPr>
                <w:rFonts w:hint="eastAsia"/>
                <w:color w:val="auto"/>
                <w:highlight w:val="none"/>
                <w:u w:val="none"/>
              </w:rPr>
              <w:t>4.852</w:t>
            </w:r>
          </w:p>
        </w:tc>
        <w:tc>
          <w:tcPr>
            <w:tcW w:w="1031" w:type="dxa"/>
            <w:shd w:val="clear" w:color="auto" w:fill="auto"/>
            <w:vAlign w:val="bottom"/>
          </w:tcPr>
          <w:p w14:paraId="4BFFE27E">
            <w:pPr>
              <w:pStyle w:val="92"/>
              <w:rPr>
                <w:color w:val="auto"/>
                <w:highlight w:val="none"/>
                <w:u w:val="none"/>
              </w:rPr>
            </w:pPr>
            <w:r>
              <w:rPr>
                <w:rFonts w:eastAsia="等线"/>
                <w:color w:val="auto"/>
                <w:highlight w:val="none"/>
                <w:u w:val="none"/>
              </w:rPr>
              <w:t xml:space="preserve">8.32 </w:t>
            </w:r>
          </w:p>
        </w:tc>
        <w:tc>
          <w:tcPr>
            <w:tcW w:w="1031" w:type="dxa"/>
            <w:shd w:val="clear" w:color="auto" w:fill="auto"/>
            <w:vAlign w:val="bottom"/>
          </w:tcPr>
          <w:p w14:paraId="32A0DB75">
            <w:pPr>
              <w:pStyle w:val="92"/>
              <w:rPr>
                <w:color w:val="auto"/>
                <w:highlight w:val="none"/>
                <w:u w:val="none"/>
              </w:rPr>
            </w:pPr>
            <w:r>
              <w:rPr>
                <w:rFonts w:eastAsia="等线"/>
                <w:color w:val="auto"/>
                <w:highlight w:val="none"/>
                <w:u w:val="none"/>
              </w:rPr>
              <w:t>3.23</w:t>
            </w:r>
          </w:p>
        </w:tc>
        <w:tc>
          <w:tcPr>
            <w:tcW w:w="1033" w:type="dxa"/>
            <w:shd w:val="clear" w:color="auto" w:fill="auto"/>
            <w:vAlign w:val="center"/>
          </w:tcPr>
          <w:p w14:paraId="600FEF9E">
            <w:pPr>
              <w:pStyle w:val="92"/>
              <w:rPr>
                <w:color w:val="auto"/>
                <w:highlight w:val="none"/>
                <w:u w:val="none"/>
              </w:rPr>
            </w:pPr>
            <w:r>
              <w:rPr>
                <w:rFonts w:hint="eastAsia" w:eastAsia="等线"/>
                <w:color w:val="auto"/>
                <w:highlight w:val="none"/>
                <w:u w:val="none"/>
              </w:rPr>
              <w:t xml:space="preserve">5.09 </w:t>
            </w:r>
          </w:p>
        </w:tc>
        <w:tc>
          <w:tcPr>
            <w:tcW w:w="1279" w:type="dxa"/>
            <w:shd w:val="clear" w:color="auto" w:fill="auto"/>
            <w:vAlign w:val="bottom"/>
          </w:tcPr>
          <w:p w14:paraId="5E68719D">
            <w:pPr>
              <w:pStyle w:val="92"/>
              <w:rPr>
                <w:color w:val="auto"/>
                <w:highlight w:val="none"/>
                <w:u w:val="none"/>
              </w:rPr>
            </w:pPr>
            <w:r>
              <w:rPr>
                <w:rFonts w:hint="eastAsia"/>
                <w:color w:val="auto"/>
                <w:highlight w:val="none"/>
                <w:u w:val="none"/>
              </w:rPr>
              <w:t>4.852</w:t>
            </w:r>
          </w:p>
        </w:tc>
        <w:tc>
          <w:tcPr>
            <w:tcW w:w="1111" w:type="dxa"/>
            <w:shd w:val="clear" w:color="auto" w:fill="auto"/>
            <w:vAlign w:val="center"/>
          </w:tcPr>
          <w:p w14:paraId="67DB7F7B">
            <w:pPr>
              <w:pStyle w:val="92"/>
              <w:rPr>
                <w:color w:val="auto"/>
                <w:highlight w:val="none"/>
                <w:u w:val="none"/>
              </w:rPr>
            </w:pPr>
            <w:r>
              <w:rPr>
                <w:rFonts w:hint="eastAsia" w:eastAsia="等线"/>
                <w:color w:val="auto"/>
                <w:highlight w:val="none"/>
                <w:u w:val="none"/>
              </w:rPr>
              <w:t xml:space="preserve">5.09 </w:t>
            </w:r>
          </w:p>
        </w:tc>
        <w:tc>
          <w:tcPr>
            <w:tcW w:w="724" w:type="pct"/>
            <w:shd w:val="clear" w:color="auto" w:fill="auto"/>
            <w:vAlign w:val="center"/>
          </w:tcPr>
          <w:p w14:paraId="6AB67DA7">
            <w:pPr>
              <w:pStyle w:val="92"/>
              <w:rPr>
                <w:color w:val="auto"/>
                <w:highlight w:val="none"/>
                <w:u w:val="none"/>
              </w:rPr>
            </w:pPr>
            <w:r>
              <w:rPr>
                <w:rFonts w:hint="eastAsia"/>
                <w:color w:val="auto"/>
                <w:highlight w:val="none"/>
                <w:u w:val="none"/>
              </w:rPr>
              <w:t>+0.238</w:t>
            </w:r>
          </w:p>
        </w:tc>
      </w:tr>
      <w:tr w14:paraId="557BED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1FB00A0">
            <w:pPr>
              <w:pStyle w:val="92"/>
              <w:rPr>
                <w:color w:val="auto"/>
                <w:highlight w:val="none"/>
                <w:u w:val="none"/>
              </w:rPr>
            </w:pPr>
            <w:r>
              <w:rPr>
                <w:snapToGrid w:val="0"/>
                <w:color w:val="auto"/>
                <w:highlight w:val="none"/>
                <w:u w:val="none"/>
              </w:rPr>
              <w:t>TDI</w:t>
            </w:r>
          </w:p>
        </w:tc>
        <w:tc>
          <w:tcPr>
            <w:tcW w:w="595" w:type="pct"/>
            <w:shd w:val="clear" w:color="auto" w:fill="auto"/>
            <w:vAlign w:val="bottom"/>
          </w:tcPr>
          <w:p w14:paraId="7553D65C">
            <w:pPr>
              <w:pStyle w:val="92"/>
              <w:rPr>
                <w:color w:val="auto"/>
                <w:highlight w:val="none"/>
                <w:u w:val="none"/>
              </w:rPr>
            </w:pPr>
            <w:r>
              <w:rPr>
                <w:rFonts w:hint="eastAsia"/>
                <w:color w:val="auto"/>
                <w:highlight w:val="none"/>
                <w:u w:val="none"/>
              </w:rPr>
              <w:t>1.363</w:t>
            </w:r>
          </w:p>
        </w:tc>
        <w:tc>
          <w:tcPr>
            <w:tcW w:w="1031" w:type="dxa"/>
            <w:shd w:val="clear" w:color="auto" w:fill="auto"/>
            <w:vAlign w:val="bottom"/>
          </w:tcPr>
          <w:p w14:paraId="2C537844">
            <w:pPr>
              <w:pStyle w:val="92"/>
              <w:rPr>
                <w:color w:val="auto"/>
                <w:highlight w:val="none"/>
                <w:u w:val="none"/>
              </w:rPr>
            </w:pPr>
            <w:r>
              <w:rPr>
                <w:rFonts w:hint="eastAsia" w:eastAsia="等线"/>
                <w:color w:val="auto"/>
                <w:highlight w:val="none"/>
                <w:u w:val="none"/>
              </w:rPr>
              <w:t>3.80</w:t>
            </w:r>
          </w:p>
        </w:tc>
        <w:tc>
          <w:tcPr>
            <w:tcW w:w="1031" w:type="dxa"/>
            <w:shd w:val="clear" w:color="auto" w:fill="auto"/>
            <w:vAlign w:val="bottom"/>
          </w:tcPr>
          <w:p w14:paraId="19399176">
            <w:pPr>
              <w:pStyle w:val="92"/>
              <w:rPr>
                <w:color w:val="auto"/>
                <w:highlight w:val="none"/>
                <w:u w:val="none"/>
              </w:rPr>
            </w:pPr>
            <w:r>
              <w:rPr>
                <w:rFonts w:eastAsia="等线"/>
                <w:color w:val="auto"/>
                <w:highlight w:val="none"/>
                <w:u w:val="none"/>
              </w:rPr>
              <w:t>2.24</w:t>
            </w:r>
          </w:p>
        </w:tc>
        <w:tc>
          <w:tcPr>
            <w:tcW w:w="1033" w:type="dxa"/>
            <w:shd w:val="clear" w:color="auto" w:fill="auto"/>
            <w:vAlign w:val="center"/>
          </w:tcPr>
          <w:p w14:paraId="508E1DA7">
            <w:pPr>
              <w:pStyle w:val="92"/>
              <w:rPr>
                <w:color w:val="auto"/>
                <w:highlight w:val="none"/>
                <w:u w:val="none"/>
              </w:rPr>
            </w:pPr>
            <w:r>
              <w:rPr>
                <w:rFonts w:hint="eastAsia" w:eastAsia="等线"/>
                <w:color w:val="auto"/>
                <w:highlight w:val="none"/>
                <w:u w:val="none"/>
              </w:rPr>
              <w:t xml:space="preserve">1.56 </w:t>
            </w:r>
          </w:p>
        </w:tc>
        <w:tc>
          <w:tcPr>
            <w:tcW w:w="1279" w:type="dxa"/>
            <w:shd w:val="clear" w:color="auto" w:fill="auto"/>
            <w:vAlign w:val="bottom"/>
          </w:tcPr>
          <w:p w14:paraId="77147BF0">
            <w:pPr>
              <w:pStyle w:val="92"/>
              <w:rPr>
                <w:color w:val="auto"/>
                <w:highlight w:val="none"/>
                <w:u w:val="none"/>
              </w:rPr>
            </w:pPr>
            <w:r>
              <w:rPr>
                <w:rFonts w:hint="eastAsia"/>
                <w:color w:val="auto"/>
                <w:highlight w:val="none"/>
                <w:u w:val="none"/>
              </w:rPr>
              <w:t>1.363</w:t>
            </w:r>
          </w:p>
        </w:tc>
        <w:tc>
          <w:tcPr>
            <w:tcW w:w="1111" w:type="dxa"/>
            <w:shd w:val="clear" w:color="auto" w:fill="auto"/>
            <w:vAlign w:val="center"/>
          </w:tcPr>
          <w:p w14:paraId="67E39215">
            <w:pPr>
              <w:pStyle w:val="92"/>
              <w:rPr>
                <w:color w:val="auto"/>
                <w:highlight w:val="none"/>
                <w:u w:val="none"/>
              </w:rPr>
            </w:pPr>
            <w:r>
              <w:rPr>
                <w:rFonts w:hint="eastAsia" w:eastAsia="等线"/>
                <w:color w:val="auto"/>
                <w:highlight w:val="none"/>
                <w:u w:val="none"/>
              </w:rPr>
              <w:t xml:space="preserve">1.56 </w:t>
            </w:r>
          </w:p>
        </w:tc>
        <w:tc>
          <w:tcPr>
            <w:tcW w:w="724" w:type="pct"/>
            <w:shd w:val="clear" w:color="auto" w:fill="auto"/>
            <w:vAlign w:val="center"/>
          </w:tcPr>
          <w:p w14:paraId="20681F0D">
            <w:pPr>
              <w:pStyle w:val="92"/>
              <w:rPr>
                <w:color w:val="auto"/>
                <w:highlight w:val="none"/>
                <w:u w:val="none"/>
              </w:rPr>
            </w:pPr>
            <w:r>
              <w:rPr>
                <w:rFonts w:hint="eastAsia"/>
                <w:color w:val="auto"/>
                <w:highlight w:val="none"/>
                <w:u w:val="none"/>
              </w:rPr>
              <w:t>+</w:t>
            </w:r>
            <w:r>
              <w:rPr>
                <w:color w:val="auto"/>
                <w:highlight w:val="none"/>
                <w:u w:val="none"/>
              </w:rPr>
              <w:t>0.</w:t>
            </w:r>
            <w:r>
              <w:rPr>
                <w:rFonts w:hint="eastAsia"/>
                <w:color w:val="auto"/>
                <w:highlight w:val="none"/>
                <w:u w:val="none"/>
              </w:rPr>
              <w:t>197</w:t>
            </w:r>
          </w:p>
        </w:tc>
      </w:tr>
      <w:tr w14:paraId="69504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0E40B49B">
            <w:pPr>
              <w:pStyle w:val="92"/>
              <w:rPr>
                <w:color w:val="auto"/>
                <w:highlight w:val="none"/>
                <w:u w:val="none"/>
              </w:rPr>
            </w:pPr>
            <w:r>
              <w:rPr>
                <w:snapToGrid w:val="0"/>
                <w:color w:val="auto"/>
                <w:highlight w:val="none"/>
                <w:u w:val="none"/>
              </w:rPr>
              <w:t>氯苯类</w:t>
            </w:r>
          </w:p>
        </w:tc>
        <w:tc>
          <w:tcPr>
            <w:tcW w:w="595" w:type="pct"/>
            <w:shd w:val="clear" w:color="auto" w:fill="auto"/>
            <w:vAlign w:val="bottom"/>
          </w:tcPr>
          <w:p w14:paraId="635D6557">
            <w:pPr>
              <w:pStyle w:val="92"/>
              <w:rPr>
                <w:color w:val="auto"/>
                <w:highlight w:val="none"/>
                <w:u w:val="none"/>
              </w:rPr>
            </w:pPr>
            <w:r>
              <w:rPr>
                <w:rFonts w:hint="eastAsia"/>
                <w:color w:val="auto"/>
                <w:highlight w:val="none"/>
                <w:u w:val="none"/>
              </w:rPr>
              <w:t>1.695</w:t>
            </w:r>
          </w:p>
        </w:tc>
        <w:tc>
          <w:tcPr>
            <w:tcW w:w="1031" w:type="dxa"/>
            <w:shd w:val="clear" w:color="auto" w:fill="auto"/>
            <w:vAlign w:val="bottom"/>
          </w:tcPr>
          <w:p w14:paraId="11059BF1">
            <w:pPr>
              <w:pStyle w:val="92"/>
              <w:ind w:firstLine="0" w:firstLineChars="0"/>
              <w:rPr>
                <w:color w:val="auto"/>
                <w:highlight w:val="none"/>
                <w:u w:val="none"/>
              </w:rPr>
            </w:pPr>
            <w:r>
              <w:rPr>
                <w:rFonts w:hint="eastAsia" w:eastAsia="等线"/>
                <w:color w:val="auto"/>
                <w:highlight w:val="none"/>
                <w:u w:val="none"/>
                <w:lang w:val="en-US" w:eastAsia="zh-CN"/>
              </w:rPr>
              <w:t>21.71</w:t>
            </w:r>
          </w:p>
        </w:tc>
        <w:tc>
          <w:tcPr>
            <w:tcW w:w="1031" w:type="dxa"/>
            <w:shd w:val="clear" w:color="auto" w:fill="auto"/>
            <w:vAlign w:val="bottom"/>
          </w:tcPr>
          <w:p w14:paraId="1F3C1E28">
            <w:pPr>
              <w:pStyle w:val="92"/>
              <w:ind w:firstLine="0" w:firstLineChars="0"/>
              <w:rPr>
                <w:color w:val="auto"/>
                <w:highlight w:val="none"/>
                <w:u w:val="none"/>
              </w:rPr>
            </w:pPr>
            <w:r>
              <w:rPr>
                <w:rFonts w:hint="eastAsia" w:eastAsia="等线"/>
                <w:color w:val="auto"/>
                <w:highlight w:val="none"/>
                <w:u w:val="none"/>
                <w:lang w:val="en-US" w:eastAsia="zh-CN"/>
              </w:rPr>
              <w:t>19.73</w:t>
            </w:r>
          </w:p>
        </w:tc>
        <w:tc>
          <w:tcPr>
            <w:tcW w:w="1033" w:type="dxa"/>
            <w:shd w:val="clear" w:color="auto" w:fill="auto"/>
            <w:vAlign w:val="center"/>
          </w:tcPr>
          <w:p w14:paraId="605DA172">
            <w:pPr>
              <w:pStyle w:val="92"/>
              <w:ind w:firstLine="0" w:firstLineChars="0"/>
              <w:rPr>
                <w:color w:val="auto"/>
                <w:highlight w:val="none"/>
                <w:u w:val="none"/>
              </w:rPr>
            </w:pPr>
            <w:r>
              <w:rPr>
                <w:rFonts w:hint="eastAsia" w:eastAsia="等线"/>
                <w:color w:val="auto"/>
                <w:highlight w:val="none"/>
                <w:u w:val="none"/>
              </w:rPr>
              <w:t xml:space="preserve">1.98 </w:t>
            </w:r>
          </w:p>
        </w:tc>
        <w:tc>
          <w:tcPr>
            <w:tcW w:w="1279" w:type="dxa"/>
            <w:shd w:val="clear" w:color="auto" w:fill="auto"/>
            <w:vAlign w:val="bottom"/>
          </w:tcPr>
          <w:p w14:paraId="0307861B">
            <w:pPr>
              <w:pStyle w:val="92"/>
              <w:rPr>
                <w:color w:val="auto"/>
                <w:highlight w:val="none"/>
                <w:u w:val="none"/>
              </w:rPr>
            </w:pPr>
            <w:r>
              <w:rPr>
                <w:rFonts w:hint="eastAsia"/>
                <w:color w:val="auto"/>
                <w:highlight w:val="none"/>
                <w:u w:val="none"/>
              </w:rPr>
              <w:t>1.695</w:t>
            </w:r>
          </w:p>
        </w:tc>
        <w:tc>
          <w:tcPr>
            <w:tcW w:w="1111" w:type="dxa"/>
            <w:shd w:val="clear" w:color="auto" w:fill="auto"/>
            <w:vAlign w:val="center"/>
          </w:tcPr>
          <w:p w14:paraId="52B07EAB">
            <w:pPr>
              <w:pStyle w:val="92"/>
              <w:rPr>
                <w:color w:val="auto"/>
                <w:highlight w:val="none"/>
                <w:u w:val="none"/>
              </w:rPr>
            </w:pPr>
            <w:r>
              <w:rPr>
                <w:rFonts w:hint="eastAsia" w:eastAsia="等线"/>
                <w:color w:val="auto"/>
                <w:highlight w:val="none"/>
                <w:u w:val="none"/>
              </w:rPr>
              <w:t xml:space="preserve">1.98 </w:t>
            </w:r>
          </w:p>
        </w:tc>
        <w:tc>
          <w:tcPr>
            <w:tcW w:w="724" w:type="pct"/>
            <w:shd w:val="clear" w:color="auto" w:fill="auto"/>
            <w:vAlign w:val="center"/>
          </w:tcPr>
          <w:p w14:paraId="57F83D30">
            <w:pPr>
              <w:pStyle w:val="92"/>
              <w:rPr>
                <w:color w:val="auto"/>
                <w:highlight w:val="none"/>
                <w:u w:val="none"/>
              </w:rPr>
            </w:pPr>
            <w:r>
              <w:rPr>
                <w:rFonts w:hint="eastAsia"/>
                <w:color w:val="auto"/>
                <w:highlight w:val="none"/>
                <w:u w:val="none"/>
              </w:rPr>
              <w:t>+0.285</w:t>
            </w:r>
          </w:p>
        </w:tc>
      </w:tr>
      <w:tr w14:paraId="40666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48C68D5D">
            <w:pPr>
              <w:pStyle w:val="92"/>
              <w:rPr>
                <w:color w:val="auto"/>
                <w:highlight w:val="none"/>
                <w:u w:val="none"/>
              </w:rPr>
            </w:pPr>
            <w:r>
              <w:rPr>
                <w:snapToGrid w:val="0"/>
                <w:color w:val="auto"/>
                <w:highlight w:val="none"/>
                <w:u w:val="none"/>
              </w:rPr>
              <w:t>光气</w:t>
            </w:r>
          </w:p>
        </w:tc>
        <w:tc>
          <w:tcPr>
            <w:tcW w:w="595" w:type="pct"/>
            <w:shd w:val="clear" w:color="auto" w:fill="auto"/>
            <w:vAlign w:val="bottom"/>
          </w:tcPr>
          <w:p w14:paraId="042A1057">
            <w:pPr>
              <w:pStyle w:val="92"/>
              <w:rPr>
                <w:color w:val="auto"/>
                <w:highlight w:val="none"/>
                <w:u w:val="none"/>
              </w:rPr>
            </w:pPr>
            <w:r>
              <w:rPr>
                <w:rFonts w:hint="eastAsia"/>
                <w:color w:val="auto"/>
                <w:highlight w:val="none"/>
                <w:u w:val="none"/>
              </w:rPr>
              <w:t>0.189</w:t>
            </w:r>
          </w:p>
        </w:tc>
        <w:tc>
          <w:tcPr>
            <w:tcW w:w="1031" w:type="dxa"/>
            <w:shd w:val="clear" w:color="auto" w:fill="auto"/>
            <w:vAlign w:val="bottom"/>
          </w:tcPr>
          <w:p w14:paraId="5CC18E21">
            <w:pPr>
              <w:pStyle w:val="92"/>
              <w:rPr>
                <w:color w:val="auto"/>
                <w:highlight w:val="none"/>
                <w:u w:val="none"/>
              </w:rPr>
            </w:pPr>
            <w:r>
              <w:rPr>
                <w:rFonts w:eastAsia="等线"/>
                <w:color w:val="auto"/>
                <w:highlight w:val="none"/>
                <w:u w:val="none"/>
              </w:rPr>
              <w:t xml:space="preserve">2.61 </w:t>
            </w:r>
          </w:p>
        </w:tc>
        <w:tc>
          <w:tcPr>
            <w:tcW w:w="1031" w:type="dxa"/>
            <w:shd w:val="clear" w:color="auto" w:fill="auto"/>
            <w:vAlign w:val="bottom"/>
          </w:tcPr>
          <w:p w14:paraId="08766E7E">
            <w:pPr>
              <w:pStyle w:val="92"/>
              <w:rPr>
                <w:color w:val="auto"/>
                <w:highlight w:val="none"/>
                <w:u w:val="none"/>
              </w:rPr>
            </w:pPr>
            <w:r>
              <w:rPr>
                <w:rFonts w:eastAsia="等线"/>
                <w:color w:val="auto"/>
                <w:highlight w:val="none"/>
                <w:u w:val="none"/>
              </w:rPr>
              <w:t>2.4</w:t>
            </w:r>
          </w:p>
        </w:tc>
        <w:tc>
          <w:tcPr>
            <w:tcW w:w="1033" w:type="dxa"/>
            <w:shd w:val="clear" w:color="auto" w:fill="auto"/>
            <w:vAlign w:val="center"/>
          </w:tcPr>
          <w:p w14:paraId="42799DD5">
            <w:pPr>
              <w:pStyle w:val="92"/>
              <w:rPr>
                <w:color w:val="auto"/>
                <w:highlight w:val="none"/>
                <w:u w:val="none"/>
              </w:rPr>
            </w:pPr>
            <w:r>
              <w:rPr>
                <w:rFonts w:hint="eastAsia" w:eastAsia="等线"/>
                <w:color w:val="auto"/>
                <w:highlight w:val="none"/>
                <w:u w:val="none"/>
              </w:rPr>
              <w:t xml:space="preserve">0.21 </w:t>
            </w:r>
          </w:p>
        </w:tc>
        <w:tc>
          <w:tcPr>
            <w:tcW w:w="1279" w:type="dxa"/>
            <w:shd w:val="clear" w:color="auto" w:fill="auto"/>
            <w:vAlign w:val="bottom"/>
          </w:tcPr>
          <w:p w14:paraId="4EA8C7D9">
            <w:pPr>
              <w:pStyle w:val="92"/>
              <w:rPr>
                <w:color w:val="auto"/>
                <w:highlight w:val="none"/>
                <w:u w:val="none"/>
              </w:rPr>
            </w:pPr>
            <w:r>
              <w:rPr>
                <w:rFonts w:hint="eastAsia"/>
                <w:color w:val="auto"/>
                <w:highlight w:val="none"/>
                <w:u w:val="none"/>
              </w:rPr>
              <w:t>0.189</w:t>
            </w:r>
          </w:p>
        </w:tc>
        <w:tc>
          <w:tcPr>
            <w:tcW w:w="1111" w:type="dxa"/>
            <w:shd w:val="clear" w:color="auto" w:fill="auto"/>
            <w:vAlign w:val="center"/>
          </w:tcPr>
          <w:p w14:paraId="3C07B702">
            <w:pPr>
              <w:pStyle w:val="92"/>
              <w:rPr>
                <w:color w:val="auto"/>
                <w:highlight w:val="none"/>
                <w:u w:val="none"/>
              </w:rPr>
            </w:pPr>
            <w:r>
              <w:rPr>
                <w:rFonts w:hint="eastAsia" w:eastAsia="等线"/>
                <w:color w:val="auto"/>
                <w:highlight w:val="none"/>
                <w:u w:val="none"/>
              </w:rPr>
              <w:t xml:space="preserve">0.21 </w:t>
            </w:r>
          </w:p>
        </w:tc>
        <w:tc>
          <w:tcPr>
            <w:tcW w:w="724" w:type="pct"/>
            <w:shd w:val="clear" w:color="auto" w:fill="auto"/>
            <w:vAlign w:val="center"/>
          </w:tcPr>
          <w:p w14:paraId="0F04A624">
            <w:pPr>
              <w:pStyle w:val="92"/>
              <w:rPr>
                <w:color w:val="auto"/>
                <w:highlight w:val="none"/>
                <w:u w:val="none"/>
              </w:rPr>
            </w:pPr>
            <w:r>
              <w:rPr>
                <w:rFonts w:hint="eastAsia"/>
                <w:color w:val="auto"/>
                <w:highlight w:val="none"/>
                <w:u w:val="none"/>
              </w:rPr>
              <w:t>+</w:t>
            </w:r>
            <w:r>
              <w:rPr>
                <w:color w:val="auto"/>
                <w:highlight w:val="none"/>
                <w:u w:val="none"/>
              </w:rPr>
              <w:t>0.021</w:t>
            </w:r>
          </w:p>
        </w:tc>
      </w:tr>
      <w:tr w14:paraId="573A6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32B5B00E">
            <w:pPr>
              <w:pStyle w:val="92"/>
              <w:rPr>
                <w:color w:val="auto"/>
                <w:highlight w:val="none"/>
                <w:u w:val="none"/>
              </w:rPr>
            </w:pPr>
            <w:r>
              <w:rPr>
                <w:snapToGrid w:val="0"/>
                <w:color w:val="auto"/>
                <w:highlight w:val="none"/>
                <w:u w:val="none"/>
              </w:rPr>
              <w:t>VOC</w:t>
            </w:r>
            <w:r>
              <w:rPr>
                <w:snapToGrid w:val="0"/>
                <w:color w:val="auto"/>
                <w:highlight w:val="none"/>
                <w:u w:val="none"/>
                <w:vertAlign w:val="subscript"/>
              </w:rPr>
              <w:t>S</w:t>
            </w:r>
          </w:p>
        </w:tc>
        <w:tc>
          <w:tcPr>
            <w:tcW w:w="595" w:type="pct"/>
            <w:shd w:val="clear" w:color="auto" w:fill="auto"/>
            <w:vAlign w:val="center"/>
          </w:tcPr>
          <w:p w14:paraId="7F2FC7CC">
            <w:pPr>
              <w:pStyle w:val="92"/>
              <w:rPr>
                <w:color w:val="auto"/>
                <w:highlight w:val="none"/>
                <w:u w:val="none"/>
              </w:rPr>
            </w:pPr>
            <w:r>
              <w:rPr>
                <w:rFonts w:hint="eastAsia"/>
                <w:color w:val="auto"/>
                <w:highlight w:val="none"/>
                <w:u w:val="none"/>
              </w:rPr>
              <w:t>13.8173</w:t>
            </w:r>
          </w:p>
        </w:tc>
        <w:tc>
          <w:tcPr>
            <w:tcW w:w="1031" w:type="dxa"/>
            <w:shd w:val="clear" w:color="auto" w:fill="auto"/>
            <w:vAlign w:val="bottom"/>
          </w:tcPr>
          <w:p w14:paraId="6710DE95">
            <w:pPr>
              <w:pStyle w:val="92"/>
              <w:rPr>
                <w:color w:val="auto"/>
                <w:highlight w:val="none"/>
                <w:u w:val="none"/>
              </w:rPr>
            </w:pPr>
            <w:r>
              <w:rPr>
                <w:rFonts w:eastAsia="等线"/>
                <w:color w:val="auto"/>
                <w:highlight w:val="none"/>
                <w:u w:val="none"/>
              </w:rPr>
              <w:t xml:space="preserve">611.18 </w:t>
            </w:r>
          </w:p>
        </w:tc>
        <w:tc>
          <w:tcPr>
            <w:tcW w:w="1031" w:type="dxa"/>
            <w:shd w:val="clear" w:color="auto" w:fill="auto"/>
            <w:vAlign w:val="bottom"/>
          </w:tcPr>
          <w:p w14:paraId="0D37F58A">
            <w:pPr>
              <w:pStyle w:val="92"/>
              <w:rPr>
                <w:color w:val="auto"/>
                <w:highlight w:val="none"/>
                <w:u w:val="none"/>
              </w:rPr>
            </w:pPr>
            <w:r>
              <w:rPr>
                <w:rFonts w:eastAsia="等线"/>
                <w:color w:val="auto"/>
                <w:highlight w:val="none"/>
                <w:u w:val="none"/>
              </w:rPr>
              <w:t>595.17</w:t>
            </w:r>
          </w:p>
        </w:tc>
        <w:tc>
          <w:tcPr>
            <w:tcW w:w="1033" w:type="dxa"/>
            <w:shd w:val="clear" w:color="auto" w:fill="auto"/>
            <w:vAlign w:val="center"/>
          </w:tcPr>
          <w:p w14:paraId="36D368D4">
            <w:pPr>
              <w:pStyle w:val="92"/>
              <w:rPr>
                <w:color w:val="auto"/>
                <w:highlight w:val="none"/>
                <w:u w:val="none"/>
              </w:rPr>
            </w:pPr>
            <w:r>
              <w:rPr>
                <w:rFonts w:hint="eastAsia" w:eastAsia="等线"/>
                <w:color w:val="auto"/>
                <w:highlight w:val="none"/>
                <w:u w:val="none"/>
              </w:rPr>
              <w:t xml:space="preserve">16.01 </w:t>
            </w:r>
          </w:p>
        </w:tc>
        <w:tc>
          <w:tcPr>
            <w:tcW w:w="1279" w:type="dxa"/>
            <w:shd w:val="clear" w:color="auto" w:fill="auto"/>
            <w:vAlign w:val="center"/>
          </w:tcPr>
          <w:p w14:paraId="6769619C">
            <w:pPr>
              <w:pStyle w:val="92"/>
              <w:rPr>
                <w:color w:val="auto"/>
                <w:highlight w:val="none"/>
                <w:u w:val="none"/>
              </w:rPr>
            </w:pPr>
            <w:r>
              <w:rPr>
                <w:rFonts w:hint="eastAsia"/>
                <w:color w:val="auto"/>
                <w:highlight w:val="none"/>
                <w:u w:val="none"/>
              </w:rPr>
              <w:t>13.8173</w:t>
            </w:r>
          </w:p>
        </w:tc>
        <w:tc>
          <w:tcPr>
            <w:tcW w:w="1111" w:type="dxa"/>
            <w:shd w:val="clear" w:color="auto" w:fill="auto"/>
            <w:vAlign w:val="center"/>
          </w:tcPr>
          <w:p w14:paraId="50D27A48">
            <w:pPr>
              <w:pStyle w:val="92"/>
              <w:rPr>
                <w:color w:val="auto"/>
                <w:highlight w:val="none"/>
                <w:u w:val="none"/>
              </w:rPr>
            </w:pPr>
            <w:r>
              <w:rPr>
                <w:rFonts w:hint="eastAsia" w:eastAsia="等线"/>
                <w:color w:val="auto"/>
                <w:highlight w:val="none"/>
                <w:u w:val="none"/>
              </w:rPr>
              <w:t xml:space="preserve">16.01 </w:t>
            </w:r>
          </w:p>
        </w:tc>
        <w:tc>
          <w:tcPr>
            <w:tcW w:w="724" w:type="pct"/>
            <w:shd w:val="clear" w:color="auto" w:fill="auto"/>
            <w:vAlign w:val="center"/>
          </w:tcPr>
          <w:p w14:paraId="35AA097A">
            <w:pPr>
              <w:pStyle w:val="92"/>
              <w:rPr>
                <w:color w:val="auto"/>
                <w:highlight w:val="none"/>
                <w:u w:val="none"/>
              </w:rPr>
            </w:pPr>
            <w:r>
              <w:rPr>
                <w:rFonts w:hint="eastAsia"/>
                <w:color w:val="auto"/>
                <w:highlight w:val="none"/>
                <w:u w:val="none"/>
              </w:rPr>
              <w:t>+2.1927</w:t>
            </w:r>
          </w:p>
        </w:tc>
      </w:tr>
      <w:tr w14:paraId="5C68A3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76A880A8">
            <w:pPr>
              <w:pStyle w:val="92"/>
              <w:rPr>
                <w:color w:val="auto"/>
                <w:highlight w:val="none"/>
                <w:u w:val="none"/>
              </w:rPr>
            </w:pPr>
            <w:r>
              <w:rPr>
                <w:snapToGrid w:val="0"/>
                <w:color w:val="auto"/>
                <w:highlight w:val="none"/>
                <w:u w:val="none"/>
              </w:rPr>
              <w:t>氯化氢</w:t>
            </w:r>
          </w:p>
        </w:tc>
        <w:tc>
          <w:tcPr>
            <w:tcW w:w="595" w:type="pct"/>
            <w:shd w:val="clear" w:color="auto" w:fill="auto"/>
            <w:vAlign w:val="bottom"/>
          </w:tcPr>
          <w:p w14:paraId="395CB64D">
            <w:pPr>
              <w:pStyle w:val="92"/>
              <w:rPr>
                <w:color w:val="auto"/>
                <w:highlight w:val="none"/>
                <w:u w:val="none"/>
              </w:rPr>
            </w:pPr>
            <w:r>
              <w:rPr>
                <w:rFonts w:hint="eastAsia"/>
                <w:color w:val="auto"/>
                <w:highlight w:val="none"/>
                <w:u w:val="none"/>
              </w:rPr>
              <w:t>2.27</w:t>
            </w:r>
          </w:p>
        </w:tc>
        <w:tc>
          <w:tcPr>
            <w:tcW w:w="1031" w:type="dxa"/>
            <w:shd w:val="clear" w:color="auto" w:fill="auto"/>
            <w:vAlign w:val="bottom"/>
          </w:tcPr>
          <w:p w14:paraId="34CA78D2">
            <w:pPr>
              <w:pStyle w:val="92"/>
              <w:ind w:firstLine="0" w:firstLineChars="0"/>
              <w:rPr>
                <w:color w:val="auto"/>
                <w:highlight w:val="none"/>
                <w:u w:val="none"/>
              </w:rPr>
            </w:pPr>
            <w:r>
              <w:rPr>
                <w:rFonts w:eastAsia="等线"/>
                <w:color w:val="auto"/>
                <w:highlight w:val="none"/>
                <w:u w:val="none"/>
              </w:rPr>
              <w:t>16</w:t>
            </w:r>
            <w:r>
              <w:rPr>
                <w:rFonts w:hint="eastAsia" w:eastAsia="等线"/>
                <w:color w:val="auto"/>
                <w:highlight w:val="none"/>
                <w:u w:val="none"/>
                <w:lang w:val="en-US" w:eastAsia="zh-CN"/>
              </w:rPr>
              <w:t>3.25</w:t>
            </w:r>
          </w:p>
        </w:tc>
        <w:tc>
          <w:tcPr>
            <w:tcW w:w="1031" w:type="dxa"/>
            <w:shd w:val="clear" w:color="auto" w:fill="auto"/>
            <w:vAlign w:val="bottom"/>
          </w:tcPr>
          <w:p w14:paraId="5689E9C1">
            <w:pPr>
              <w:pStyle w:val="92"/>
              <w:ind w:firstLine="0" w:firstLineChars="0"/>
              <w:rPr>
                <w:color w:val="auto"/>
                <w:highlight w:val="none"/>
                <w:u w:val="none"/>
              </w:rPr>
            </w:pPr>
            <w:r>
              <w:rPr>
                <w:rFonts w:hint="eastAsia" w:eastAsia="等线"/>
                <w:color w:val="auto"/>
                <w:highlight w:val="none"/>
                <w:u w:val="none"/>
                <w:lang w:val="en-US" w:eastAsia="zh-CN"/>
              </w:rPr>
              <w:t>160</w:t>
            </w:r>
          </w:p>
        </w:tc>
        <w:tc>
          <w:tcPr>
            <w:tcW w:w="1033" w:type="dxa"/>
            <w:shd w:val="clear" w:color="auto" w:fill="auto"/>
            <w:vAlign w:val="center"/>
          </w:tcPr>
          <w:p w14:paraId="03D96650">
            <w:pPr>
              <w:pStyle w:val="92"/>
              <w:rPr>
                <w:color w:val="auto"/>
                <w:highlight w:val="none"/>
                <w:u w:val="none"/>
              </w:rPr>
            </w:pPr>
            <w:r>
              <w:rPr>
                <w:rFonts w:hint="eastAsia" w:eastAsia="等线"/>
                <w:color w:val="auto"/>
                <w:highlight w:val="none"/>
                <w:u w:val="none"/>
              </w:rPr>
              <w:t xml:space="preserve">3.25 </w:t>
            </w:r>
          </w:p>
        </w:tc>
        <w:tc>
          <w:tcPr>
            <w:tcW w:w="1279" w:type="dxa"/>
            <w:shd w:val="clear" w:color="auto" w:fill="auto"/>
            <w:vAlign w:val="bottom"/>
          </w:tcPr>
          <w:p w14:paraId="4636AC55">
            <w:pPr>
              <w:pStyle w:val="92"/>
              <w:rPr>
                <w:color w:val="auto"/>
                <w:highlight w:val="none"/>
                <w:u w:val="none"/>
              </w:rPr>
            </w:pPr>
            <w:r>
              <w:rPr>
                <w:rFonts w:hint="eastAsia"/>
                <w:color w:val="auto"/>
                <w:highlight w:val="none"/>
                <w:u w:val="none"/>
              </w:rPr>
              <w:t>2.27</w:t>
            </w:r>
          </w:p>
        </w:tc>
        <w:tc>
          <w:tcPr>
            <w:tcW w:w="1111" w:type="dxa"/>
            <w:shd w:val="clear" w:color="auto" w:fill="auto"/>
            <w:vAlign w:val="center"/>
          </w:tcPr>
          <w:p w14:paraId="3A7E053B">
            <w:pPr>
              <w:pStyle w:val="92"/>
              <w:rPr>
                <w:color w:val="auto"/>
                <w:highlight w:val="none"/>
                <w:u w:val="none"/>
              </w:rPr>
            </w:pPr>
            <w:r>
              <w:rPr>
                <w:rFonts w:hint="eastAsia" w:eastAsia="等线"/>
                <w:color w:val="auto"/>
                <w:highlight w:val="none"/>
                <w:u w:val="none"/>
              </w:rPr>
              <w:t xml:space="preserve">3.25 </w:t>
            </w:r>
          </w:p>
        </w:tc>
        <w:tc>
          <w:tcPr>
            <w:tcW w:w="724" w:type="pct"/>
            <w:shd w:val="clear" w:color="auto" w:fill="auto"/>
            <w:vAlign w:val="center"/>
          </w:tcPr>
          <w:p w14:paraId="0F9B85CC">
            <w:pPr>
              <w:pStyle w:val="92"/>
              <w:rPr>
                <w:color w:val="auto"/>
                <w:highlight w:val="none"/>
                <w:u w:val="none"/>
              </w:rPr>
            </w:pPr>
            <w:r>
              <w:rPr>
                <w:rFonts w:hint="eastAsia"/>
                <w:color w:val="auto"/>
                <w:highlight w:val="none"/>
                <w:u w:val="none"/>
              </w:rPr>
              <w:t>+</w:t>
            </w:r>
            <w:r>
              <w:rPr>
                <w:color w:val="auto"/>
                <w:highlight w:val="none"/>
                <w:u w:val="none"/>
              </w:rPr>
              <w:t>0.7</w:t>
            </w:r>
          </w:p>
        </w:tc>
      </w:tr>
      <w:tr w14:paraId="76118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3542F4B2">
            <w:pPr>
              <w:pStyle w:val="92"/>
              <w:rPr>
                <w:color w:val="auto"/>
                <w:highlight w:val="none"/>
                <w:u w:val="none"/>
              </w:rPr>
            </w:pPr>
            <w:r>
              <w:rPr>
                <w:snapToGrid w:val="0"/>
                <w:color w:val="auto"/>
                <w:highlight w:val="none"/>
                <w:u w:val="none"/>
              </w:rPr>
              <w:t>氯气</w:t>
            </w:r>
          </w:p>
        </w:tc>
        <w:tc>
          <w:tcPr>
            <w:tcW w:w="595" w:type="pct"/>
            <w:shd w:val="clear" w:color="auto" w:fill="auto"/>
            <w:vAlign w:val="bottom"/>
          </w:tcPr>
          <w:p w14:paraId="64B2307F">
            <w:pPr>
              <w:pStyle w:val="92"/>
              <w:rPr>
                <w:color w:val="auto"/>
                <w:highlight w:val="none"/>
                <w:u w:val="none"/>
              </w:rPr>
            </w:pPr>
            <w:r>
              <w:rPr>
                <w:rFonts w:hint="eastAsia"/>
                <w:color w:val="auto"/>
                <w:highlight w:val="none"/>
                <w:u w:val="none"/>
              </w:rPr>
              <w:t>2.2</w:t>
            </w:r>
          </w:p>
        </w:tc>
        <w:tc>
          <w:tcPr>
            <w:tcW w:w="1031" w:type="dxa"/>
            <w:shd w:val="clear" w:color="auto" w:fill="auto"/>
            <w:vAlign w:val="bottom"/>
          </w:tcPr>
          <w:p w14:paraId="22FB5E31">
            <w:pPr>
              <w:pStyle w:val="92"/>
              <w:rPr>
                <w:color w:val="auto"/>
                <w:highlight w:val="none"/>
                <w:u w:val="none"/>
              </w:rPr>
            </w:pPr>
            <w:r>
              <w:rPr>
                <w:rFonts w:eastAsia="等线"/>
                <w:color w:val="auto"/>
                <w:highlight w:val="none"/>
                <w:u w:val="none"/>
              </w:rPr>
              <w:t xml:space="preserve">14.37 </w:t>
            </w:r>
          </w:p>
        </w:tc>
        <w:tc>
          <w:tcPr>
            <w:tcW w:w="1031" w:type="dxa"/>
            <w:shd w:val="clear" w:color="auto" w:fill="auto"/>
            <w:vAlign w:val="bottom"/>
          </w:tcPr>
          <w:p w14:paraId="2059406A">
            <w:pPr>
              <w:pStyle w:val="92"/>
              <w:rPr>
                <w:color w:val="auto"/>
                <w:highlight w:val="none"/>
                <w:u w:val="none"/>
              </w:rPr>
            </w:pPr>
            <w:r>
              <w:rPr>
                <w:rFonts w:eastAsia="等线"/>
                <w:color w:val="auto"/>
                <w:highlight w:val="none"/>
                <w:u w:val="none"/>
              </w:rPr>
              <w:t>11.2</w:t>
            </w:r>
          </w:p>
        </w:tc>
        <w:tc>
          <w:tcPr>
            <w:tcW w:w="1033" w:type="dxa"/>
            <w:shd w:val="clear" w:color="auto" w:fill="auto"/>
            <w:vAlign w:val="bottom"/>
          </w:tcPr>
          <w:p w14:paraId="1B08E858">
            <w:pPr>
              <w:pStyle w:val="92"/>
              <w:rPr>
                <w:color w:val="auto"/>
                <w:highlight w:val="none"/>
                <w:u w:val="none"/>
              </w:rPr>
            </w:pPr>
            <w:r>
              <w:rPr>
                <w:rFonts w:eastAsia="等线"/>
                <w:color w:val="auto"/>
                <w:highlight w:val="none"/>
                <w:u w:val="none"/>
              </w:rPr>
              <w:t xml:space="preserve">3.17 </w:t>
            </w:r>
          </w:p>
        </w:tc>
        <w:tc>
          <w:tcPr>
            <w:tcW w:w="1279" w:type="dxa"/>
            <w:shd w:val="clear" w:color="auto" w:fill="auto"/>
            <w:vAlign w:val="bottom"/>
          </w:tcPr>
          <w:p w14:paraId="3FC63689">
            <w:pPr>
              <w:pStyle w:val="92"/>
              <w:rPr>
                <w:color w:val="auto"/>
                <w:highlight w:val="none"/>
                <w:u w:val="none"/>
              </w:rPr>
            </w:pPr>
            <w:r>
              <w:rPr>
                <w:rFonts w:hint="eastAsia"/>
                <w:color w:val="auto"/>
                <w:highlight w:val="none"/>
                <w:u w:val="none"/>
              </w:rPr>
              <w:t>2.2</w:t>
            </w:r>
          </w:p>
        </w:tc>
        <w:tc>
          <w:tcPr>
            <w:tcW w:w="1111" w:type="dxa"/>
            <w:shd w:val="clear" w:color="auto" w:fill="auto"/>
            <w:vAlign w:val="bottom"/>
          </w:tcPr>
          <w:p w14:paraId="3226F2F2">
            <w:pPr>
              <w:pStyle w:val="92"/>
              <w:rPr>
                <w:color w:val="auto"/>
                <w:highlight w:val="none"/>
                <w:u w:val="none"/>
              </w:rPr>
            </w:pPr>
            <w:r>
              <w:rPr>
                <w:rFonts w:eastAsia="等线"/>
                <w:color w:val="auto"/>
                <w:highlight w:val="none"/>
                <w:u w:val="none"/>
              </w:rPr>
              <w:t xml:space="preserve">3.17 </w:t>
            </w:r>
          </w:p>
        </w:tc>
        <w:tc>
          <w:tcPr>
            <w:tcW w:w="724" w:type="pct"/>
            <w:shd w:val="clear" w:color="auto" w:fill="auto"/>
            <w:vAlign w:val="center"/>
          </w:tcPr>
          <w:p w14:paraId="1B430B34">
            <w:pPr>
              <w:pStyle w:val="92"/>
              <w:rPr>
                <w:color w:val="auto"/>
                <w:highlight w:val="none"/>
                <w:u w:val="none"/>
              </w:rPr>
            </w:pPr>
            <w:r>
              <w:rPr>
                <w:rFonts w:hint="eastAsia"/>
                <w:color w:val="auto"/>
                <w:highlight w:val="none"/>
                <w:u w:val="none"/>
              </w:rPr>
              <w:t>+</w:t>
            </w:r>
            <w:r>
              <w:rPr>
                <w:color w:val="auto"/>
                <w:highlight w:val="none"/>
                <w:u w:val="none"/>
              </w:rPr>
              <w:t>0.97</w:t>
            </w:r>
          </w:p>
        </w:tc>
      </w:tr>
      <w:tr w14:paraId="1A002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18D52762">
            <w:pPr>
              <w:pStyle w:val="92"/>
              <w:rPr>
                <w:snapToGrid w:val="0"/>
                <w:color w:val="auto"/>
                <w:highlight w:val="none"/>
                <w:u w:val="none"/>
              </w:rPr>
            </w:pPr>
            <w:r>
              <w:rPr>
                <w:rFonts w:hint="eastAsia"/>
                <w:snapToGrid w:val="0"/>
                <w:color w:val="auto"/>
                <w:highlight w:val="none"/>
                <w:u w:val="none"/>
              </w:rPr>
              <w:t>颗粒物</w:t>
            </w:r>
          </w:p>
        </w:tc>
        <w:tc>
          <w:tcPr>
            <w:tcW w:w="595" w:type="pct"/>
            <w:shd w:val="clear" w:color="auto" w:fill="auto"/>
            <w:vAlign w:val="bottom"/>
          </w:tcPr>
          <w:p w14:paraId="445493C6">
            <w:pPr>
              <w:pStyle w:val="92"/>
              <w:rPr>
                <w:color w:val="auto"/>
                <w:highlight w:val="none"/>
                <w:u w:val="none"/>
              </w:rPr>
            </w:pPr>
            <w:r>
              <w:rPr>
                <w:rFonts w:hint="eastAsia"/>
                <w:color w:val="auto"/>
                <w:highlight w:val="none"/>
                <w:u w:val="none"/>
              </w:rPr>
              <w:t>0.00168</w:t>
            </w:r>
          </w:p>
        </w:tc>
        <w:tc>
          <w:tcPr>
            <w:tcW w:w="1031" w:type="dxa"/>
            <w:shd w:val="clear" w:color="auto" w:fill="auto"/>
            <w:vAlign w:val="bottom"/>
          </w:tcPr>
          <w:p w14:paraId="7BB5DD1B">
            <w:pPr>
              <w:pStyle w:val="92"/>
              <w:rPr>
                <w:rFonts w:eastAsia="等线"/>
                <w:color w:val="auto"/>
                <w:highlight w:val="none"/>
                <w:u w:val="none"/>
              </w:rPr>
            </w:pPr>
            <w:r>
              <w:rPr>
                <w:rFonts w:hint="eastAsia" w:eastAsia="等线"/>
                <w:color w:val="auto"/>
                <w:highlight w:val="none"/>
                <w:u w:val="none"/>
              </w:rPr>
              <w:t>0.6</w:t>
            </w:r>
          </w:p>
        </w:tc>
        <w:tc>
          <w:tcPr>
            <w:tcW w:w="1031" w:type="dxa"/>
            <w:shd w:val="clear" w:color="auto" w:fill="auto"/>
            <w:vAlign w:val="bottom"/>
          </w:tcPr>
          <w:p w14:paraId="0AF04E45">
            <w:pPr>
              <w:pStyle w:val="92"/>
              <w:rPr>
                <w:rFonts w:eastAsia="等线"/>
                <w:color w:val="auto"/>
                <w:highlight w:val="none"/>
                <w:u w:val="none"/>
              </w:rPr>
            </w:pPr>
            <w:r>
              <w:rPr>
                <w:rFonts w:eastAsia="等线"/>
                <w:color w:val="auto"/>
                <w:highlight w:val="none"/>
                <w:u w:val="none"/>
              </w:rPr>
              <w:t>0.594</w:t>
            </w:r>
          </w:p>
        </w:tc>
        <w:tc>
          <w:tcPr>
            <w:tcW w:w="1033" w:type="dxa"/>
            <w:shd w:val="clear" w:color="auto" w:fill="auto"/>
            <w:vAlign w:val="bottom"/>
          </w:tcPr>
          <w:p w14:paraId="3FF7717A">
            <w:pPr>
              <w:pStyle w:val="92"/>
              <w:rPr>
                <w:rFonts w:eastAsia="等线"/>
                <w:color w:val="auto"/>
                <w:highlight w:val="none"/>
                <w:u w:val="none"/>
              </w:rPr>
            </w:pPr>
            <w:r>
              <w:rPr>
                <w:rFonts w:hint="eastAsia" w:eastAsia="等线"/>
                <w:color w:val="auto"/>
                <w:highlight w:val="none"/>
                <w:u w:val="none"/>
              </w:rPr>
              <w:t>0.006</w:t>
            </w:r>
          </w:p>
        </w:tc>
        <w:tc>
          <w:tcPr>
            <w:tcW w:w="1279" w:type="dxa"/>
            <w:shd w:val="clear" w:color="auto" w:fill="auto"/>
            <w:vAlign w:val="bottom"/>
          </w:tcPr>
          <w:p w14:paraId="12C928F2">
            <w:pPr>
              <w:pStyle w:val="92"/>
              <w:rPr>
                <w:color w:val="auto"/>
                <w:highlight w:val="none"/>
                <w:u w:val="none"/>
              </w:rPr>
            </w:pPr>
            <w:r>
              <w:rPr>
                <w:rFonts w:hint="eastAsia"/>
                <w:color w:val="auto"/>
                <w:highlight w:val="none"/>
                <w:u w:val="none"/>
              </w:rPr>
              <w:t>0.00168</w:t>
            </w:r>
          </w:p>
        </w:tc>
        <w:tc>
          <w:tcPr>
            <w:tcW w:w="1111" w:type="dxa"/>
            <w:shd w:val="clear" w:color="auto" w:fill="auto"/>
            <w:vAlign w:val="bottom"/>
          </w:tcPr>
          <w:p w14:paraId="4A34744D">
            <w:pPr>
              <w:pStyle w:val="92"/>
              <w:rPr>
                <w:color w:val="auto"/>
                <w:highlight w:val="none"/>
                <w:u w:val="none"/>
              </w:rPr>
            </w:pPr>
            <w:r>
              <w:rPr>
                <w:rFonts w:hint="eastAsia" w:eastAsia="等线"/>
                <w:color w:val="auto"/>
                <w:highlight w:val="none"/>
                <w:u w:val="none"/>
              </w:rPr>
              <w:t>0.006</w:t>
            </w:r>
          </w:p>
        </w:tc>
        <w:tc>
          <w:tcPr>
            <w:tcW w:w="724" w:type="pct"/>
            <w:shd w:val="clear" w:color="auto" w:fill="auto"/>
            <w:vAlign w:val="center"/>
          </w:tcPr>
          <w:p w14:paraId="595E8424">
            <w:pPr>
              <w:pStyle w:val="92"/>
              <w:rPr>
                <w:color w:val="auto"/>
                <w:highlight w:val="none"/>
                <w:u w:val="none"/>
              </w:rPr>
            </w:pPr>
            <w:r>
              <w:rPr>
                <w:rFonts w:hint="eastAsia"/>
                <w:color w:val="auto"/>
                <w:highlight w:val="none"/>
                <w:u w:val="none"/>
              </w:rPr>
              <w:t>+0.00432</w:t>
            </w:r>
          </w:p>
        </w:tc>
      </w:tr>
      <w:tr w14:paraId="7DF50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14077A8C">
            <w:pPr>
              <w:pStyle w:val="92"/>
              <w:jc w:val="both"/>
              <w:rPr>
                <w:b/>
                <w:color w:val="auto"/>
                <w:highlight w:val="none"/>
                <w:u w:val="none"/>
              </w:rPr>
            </w:pPr>
            <w:r>
              <w:rPr>
                <w:b/>
                <w:color w:val="auto"/>
                <w:highlight w:val="none"/>
                <w:u w:val="none"/>
              </w:rPr>
              <w:t>三、固体废物</w:t>
            </w:r>
          </w:p>
        </w:tc>
      </w:tr>
      <w:tr w14:paraId="5E0E35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3C5CA66E">
            <w:pPr>
              <w:pStyle w:val="92"/>
              <w:rPr>
                <w:color w:val="auto"/>
                <w:highlight w:val="none"/>
                <w:u w:val="none"/>
              </w:rPr>
            </w:pPr>
            <w:r>
              <w:rPr>
                <w:color w:val="auto"/>
                <w:highlight w:val="none"/>
                <w:u w:val="none"/>
              </w:rPr>
              <w:t>工业固废</w:t>
            </w:r>
          </w:p>
        </w:tc>
        <w:tc>
          <w:tcPr>
            <w:tcW w:w="595" w:type="pct"/>
            <w:shd w:val="clear" w:color="auto" w:fill="auto"/>
            <w:vAlign w:val="center"/>
          </w:tcPr>
          <w:p w14:paraId="4969A24D">
            <w:pPr>
              <w:pStyle w:val="92"/>
              <w:rPr>
                <w:color w:val="auto"/>
                <w:highlight w:val="none"/>
                <w:u w:val="none"/>
              </w:rPr>
            </w:pPr>
            <w:r>
              <w:rPr>
                <w:color w:val="auto"/>
                <w:highlight w:val="none"/>
                <w:u w:val="none"/>
              </w:rPr>
              <w:t>0</w:t>
            </w:r>
          </w:p>
        </w:tc>
        <w:tc>
          <w:tcPr>
            <w:tcW w:w="555" w:type="pct"/>
            <w:shd w:val="clear" w:color="auto" w:fill="auto"/>
          </w:tcPr>
          <w:p w14:paraId="748443BA">
            <w:pPr>
              <w:pStyle w:val="92"/>
              <w:rPr>
                <w:rFonts w:hint="eastAsia" w:eastAsia="宋体"/>
                <w:color w:val="auto"/>
                <w:highlight w:val="none"/>
                <w:u w:val="none"/>
                <w:lang w:eastAsia="zh-CN"/>
              </w:rPr>
            </w:pPr>
            <w:r>
              <w:rPr>
                <w:rFonts w:hint="eastAsia"/>
                <w:color w:val="auto"/>
                <w:highlight w:val="none"/>
                <w:u w:val="none"/>
              </w:rPr>
              <w:t>2691</w:t>
            </w:r>
            <w:r>
              <w:rPr>
                <w:rFonts w:hint="eastAsia"/>
                <w:color w:val="auto"/>
                <w:highlight w:val="none"/>
                <w:u w:val="none"/>
                <w:lang w:val="en-US" w:eastAsia="zh-CN"/>
              </w:rPr>
              <w:t>5</w:t>
            </w:r>
          </w:p>
        </w:tc>
        <w:tc>
          <w:tcPr>
            <w:tcW w:w="555" w:type="pct"/>
            <w:shd w:val="clear" w:color="auto" w:fill="auto"/>
          </w:tcPr>
          <w:p w14:paraId="11273C05">
            <w:pPr>
              <w:pStyle w:val="92"/>
              <w:rPr>
                <w:rFonts w:hint="eastAsia" w:eastAsia="宋体"/>
                <w:color w:val="auto"/>
                <w:highlight w:val="none"/>
                <w:u w:val="none"/>
                <w:lang w:eastAsia="zh-CN"/>
              </w:rPr>
            </w:pPr>
            <w:r>
              <w:rPr>
                <w:rFonts w:hint="eastAsia"/>
                <w:color w:val="auto"/>
                <w:highlight w:val="none"/>
                <w:u w:val="none"/>
              </w:rPr>
              <w:t>2691</w:t>
            </w:r>
            <w:r>
              <w:rPr>
                <w:rFonts w:hint="eastAsia"/>
                <w:color w:val="auto"/>
                <w:highlight w:val="none"/>
                <w:u w:val="none"/>
                <w:lang w:val="en-US" w:eastAsia="zh-CN"/>
              </w:rPr>
              <w:t>5</w:t>
            </w:r>
          </w:p>
        </w:tc>
        <w:tc>
          <w:tcPr>
            <w:tcW w:w="556" w:type="pct"/>
            <w:shd w:val="clear" w:color="auto" w:fill="auto"/>
            <w:vAlign w:val="center"/>
          </w:tcPr>
          <w:p w14:paraId="293652A0">
            <w:pPr>
              <w:pStyle w:val="92"/>
              <w:rPr>
                <w:color w:val="auto"/>
                <w:highlight w:val="none"/>
                <w:u w:val="none"/>
              </w:rPr>
            </w:pPr>
            <w:r>
              <w:rPr>
                <w:color w:val="auto"/>
                <w:highlight w:val="none"/>
                <w:u w:val="none"/>
              </w:rPr>
              <w:t>0</w:t>
            </w:r>
          </w:p>
        </w:tc>
        <w:tc>
          <w:tcPr>
            <w:tcW w:w="689" w:type="pct"/>
            <w:shd w:val="clear" w:color="auto" w:fill="auto"/>
            <w:vAlign w:val="center"/>
          </w:tcPr>
          <w:p w14:paraId="240C908E">
            <w:pPr>
              <w:pStyle w:val="92"/>
              <w:rPr>
                <w:color w:val="auto"/>
                <w:highlight w:val="none"/>
                <w:u w:val="none"/>
              </w:rPr>
            </w:pPr>
            <w:r>
              <w:rPr>
                <w:color w:val="auto"/>
                <w:highlight w:val="none"/>
                <w:u w:val="none"/>
              </w:rPr>
              <w:t>0</w:t>
            </w:r>
          </w:p>
        </w:tc>
        <w:tc>
          <w:tcPr>
            <w:tcW w:w="598" w:type="pct"/>
            <w:shd w:val="clear" w:color="auto" w:fill="auto"/>
            <w:vAlign w:val="center"/>
          </w:tcPr>
          <w:p w14:paraId="1112558E">
            <w:pPr>
              <w:pStyle w:val="92"/>
              <w:rPr>
                <w:color w:val="auto"/>
                <w:highlight w:val="none"/>
                <w:u w:val="none"/>
              </w:rPr>
            </w:pPr>
            <w:r>
              <w:rPr>
                <w:color w:val="auto"/>
                <w:highlight w:val="none"/>
                <w:u w:val="none"/>
              </w:rPr>
              <w:t>0</w:t>
            </w:r>
          </w:p>
        </w:tc>
        <w:tc>
          <w:tcPr>
            <w:tcW w:w="724" w:type="pct"/>
            <w:shd w:val="clear" w:color="auto" w:fill="auto"/>
            <w:vAlign w:val="center"/>
          </w:tcPr>
          <w:p w14:paraId="0768E462">
            <w:pPr>
              <w:pStyle w:val="92"/>
              <w:rPr>
                <w:color w:val="auto"/>
                <w:highlight w:val="none"/>
                <w:u w:val="none"/>
              </w:rPr>
            </w:pPr>
            <w:r>
              <w:rPr>
                <w:color w:val="auto"/>
                <w:highlight w:val="none"/>
                <w:u w:val="none"/>
              </w:rPr>
              <w:t>0</w:t>
            </w:r>
          </w:p>
        </w:tc>
      </w:tr>
      <w:tr w14:paraId="1918DA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6" w:type="pct"/>
            <w:shd w:val="clear" w:color="auto" w:fill="auto"/>
            <w:vAlign w:val="center"/>
          </w:tcPr>
          <w:p w14:paraId="62190F4C">
            <w:pPr>
              <w:pStyle w:val="92"/>
              <w:rPr>
                <w:color w:val="auto"/>
                <w:highlight w:val="none"/>
                <w:u w:val="none"/>
              </w:rPr>
            </w:pPr>
            <w:r>
              <w:rPr>
                <w:color w:val="auto"/>
                <w:highlight w:val="none"/>
                <w:u w:val="none"/>
              </w:rPr>
              <w:t>生活垃圾</w:t>
            </w:r>
          </w:p>
        </w:tc>
        <w:tc>
          <w:tcPr>
            <w:tcW w:w="595" w:type="pct"/>
            <w:shd w:val="clear" w:color="auto" w:fill="auto"/>
            <w:vAlign w:val="center"/>
          </w:tcPr>
          <w:p w14:paraId="766CCE6B">
            <w:pPr>
              <w:pStyle w:val="92"/>
              <w:rPr>
                <w:color w:val="auto"/>
                <w:highlight w:val="none"/>
                <w:u w:val="none"/>
              </w:rPr>
            </w:pPr>
            <w:r>
              <w:rPr>
                <w:color w:val="auto"/>
                <w:highlight w:val="none"/>
                <w:u w:val="none"/>
              </w:rPr>
              <w:t>0</w:t>
            </w:r>
          </w:p>
        </w:tc>
        <w:tc>
          <w:tcPr>
            <w:tcW w:w="555" w:type="pct"/>
            <w:shd w:val="clear" w:color="auto" w:fill="auto"/>
            <w:vAlign w:val="center"/>
          </w:tcPr>
          <w:p w14:paraId="4737C9B8">
            <w:pPr>
              <w:pStyle w:val="92"/>
              <w:rPr>
                <w:color w:val="auto"/>
                <w:highlight w:val="none"/>
                <w:u w:val="none"/>
              </w:rPr>
            </w:pPr>
            <w:r>
              <w:rPr>
                <w:color w:val="auto"/>
                <w:highlight w:val="none"/>
                <w:u w:val="none"/>
              </w:rPr>
              <w:t>15.3</w:t>
            </w:r>
          </w:p>
        </w:tc>
        <w:tc>
          <w:tcPr>
            <w:tcW w:w="555" w:type="pct"/>
            <w:shd w:val="clear" w:color="auto" w:fill="auto"/>
            <w:vAlign w:val="center"/>
          </w:tcPr>
          <w:p w14:paraId="42427295">
            <w:pPr>
              <w:pStyle w:val="92"/>
              <w:rPr>
                <w:color w:val="auto"/>
                <w:highlight w:val="none"/>
                <w:u w:val="none"/>
              </w:rPr>
            </w:pPr>
            <w:r>
              <w:rPr>
                <w:color w:val="auto"/>
                <w:highlight w:val="none"/>
                <w:u w:val="none"/>
              </w:rPr>
              <w:t>15.3</w:t>
            </w:r>
          </w:p>
        </w:tc>
        <w:tc>
          <w:tcPr>
            <w:tcW w:w="556" w:type="pct"/>
            <w:shd w:val="clear" w:color="auto" w:fill="auto"/>
            <w:vAlign w:val="center"/>
          </w:tcPr>
          <w:p w14:paraId="0A3296B3">
            <w:pPr>
              <w:pStyle w:val="92"/>
              <w:rPr>
                <w:color w:val="auto"/>
                <w:highlight w:val="none"/>
                <w:u w:val="none"/>
              </w:rPr>
            </w:pPr>
            <w:r>
              <w:rPr>
                <w:color w:val="auto"/>
                <w:highlight w:val="none"/>
                <w:u w:val="none"/>
              </w:rPr>
              <w:t>0</w:t>
            </w:r>
          </w:p>
        </w:tc>
        <w:tc>
          <w:tcPr>
            <w:tcW w:w="689" w:type="pct"/>
            <w:shd w:val="clear" w:color="auto" w:fill="auto"/>
            <w:vAlign w:val="center"/>
          </w:tcPr>
          <w:p w14:paraId="51CBF8F7">
            <w:pPr>
              <w:pStyle w:val="92"/>
              <w:rPr>
                <w:color w:val="auto"/>
                <w:highlight w:val="none"/>
                <w:u w:val="none"/>
              </w:rPr>
            </w:pPr>
            <w:r>
              <w:rPr>
                <w:color w:val="auto"/>
                <w:highlight w:val="none"/>
                <w:u w:val="none"/>
              </w:rPr>
              <w:t>0</w:t>
            </w:r>
          </w:p>
        </w:tc>
        <w:tc>
          <w:tcPr>
            <w:tcW w:w="598" w:type="pct"/>
            <w:shd w:val="clear" w:color="auto" w:fill="auto"/>
            <w:vAlign w:val="center"/>
          </w:tcPr>
          <w:p w14:paraId="191AEE74">
            <w:pPr>
              <w:pStyle w:val="92"/>
              <w:rPr>
                <w:color w:val="auto"/>
                <w:highlight w:val="none"/>
                <w:u w:val="none"/>
              </w:rPr>
            </w:pPr>
            <w:r>
              <w:rPr>
                <w:color w:val="auto"/>
                <w:highlight w:val="none"/>
                <w:u w:val="none"/>
              </w:rPr>
              <w:t>0</w:t>
            </w:r>
          </w:p>
        </w:tc>
        <w:tc>
          <w:tcPr>
            <w:tcW w:w="724" w:type="pct"/>
            <w:shd w:val="clear" w:color="auto" w:fill="auto"/>
            <w:vAlign w:val="center"/>
          </w:tcPr>
          <w:p w14:paraId="393A9FFF">
            <w:pPr>
              <w:pStyle w:val="92"/>
              <w:rPr>
                <w:color w:val="auto"/>
                <w:highlight w:val="none"/>
                <w:u w:val="none"/>
              </w:rPr>
            </w:pPr>
            <w:r>
              <w:rPr>
                <w:color w:val="auto"/>
                <w:highlight w:val="none"/>
                <w:u w:val="none"/>
              </w:rPr>
              <w:t>0</w:t>
            </w:r>
          </w:p>
        </w:tc>
      </w:tr>
    </w:tbl>
    <w:p w14:paraId="027D6F0E">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640F4C9E">
      <w:pPr>
        <w:pStyle w:val="4"/>
        <w:rPr>
          <w:color w:val="auto"/>
          <w:highlight w:val="none"/>
          <w:u w:val="none"/>
        </w:rPr>
      </w:pPr>
      <w:bookmarkStart w:id="385" w:name="_Toc148374565"/>
      <w:bookmarkStart w:id="386" w:name="_Toc148374804"/>
      <w:bookmarkStart w:id="387" w:name="_Toc148375007"/>
      <w:bookmarkStart w:id="388" w:name="_Toc28489"/>
      <w:r>
        <w:rPr>
          <w:rFonts w:hint="eastAsia"/>
          <w:color w:val="auto"/>
          <w:highlight w:val="none"/>
          <w:u w:val="none"/>
        </w:rPr>
        <w:t>施工期污染源分析</w:t>
      </w:r>
      <w:bookmarkEnd w:id="385"/>
      <w:bookmarkEnd w:id="386"/>
      <w:bookmarkEnd w:id="387"/>
      <w:bookmarkEnd w:id="388"/>
    </w:p>
    <w:p w14:paraId="74161AB9">
      <w:pPr>
        <w:ind w:firstLine="540" w:firstLineChars="225"/>
        <w:rPr>
          <w:rFonts w:hAnsi="Times New Roman"/>
          <w:color w:val="auto"/>
          <w:highlight w:val="none"/>
          <w:u w:val="none"/>
        </w:rPr>
      </w:pPr>
      <w:r>
        <w:rPr>
          <w:rFonts w:hint="eastAsia" w:hAnsi="Times New Roman"/>
          <w:color w:val="auto"/>
          <w:highlight w:val="none"/>
          <w:u w:val="none"/>
        </w:rPr>
        <w:t>施工期主要的环境影响因素包括施工过程中废水、废气、噪声及固体废物等污染物的排放。项目在施工过程中由于施工人员活动及施工机械运行等带来废水、废气、噪声及固体废物等污染物的排放会对局部环境产生影响，这种影响是短暂的，待施工结束后，即随之消失。</w:t>
      </w:r>
    </w:p>
    <w:p w14:paraId="0F0C2977">
      <w:pPr>
        <w:pStyle w:val="6"/>
        <w:spacing w:before="156" w:after="156"/>
        <w:rPr>
          <w:color w:val="auto"/>
          <w:highlight w:val="none"/>
          <w:u w:val="none"/>
        </w:rPr>
      </w:pPr>
      <w:r>
        <w:rPr>
          <w:rFonts w:hint="eastAsia"/>
          <w:color w:val="auto"/>
          <w:highlight w:val="none"/>
          <w:u w:val="none"/>
        </w:rPr>
        <w:t>施工期水污染源分析</w:t>
      </w:r>
    </w:p>
    <w:p w14:paraId="609F7041">
      <w:pPr>
        <w:pStyle w:val="981"/>
        <w:rPr>
          <w:rFonts w:hint="eastAsia"/>
          <w:color w:val="auto"/>
          <w:highlight w:val="none"/>
          <w:u w:val="none"/>
        </w:rPr>
      </w:pPr>
      <w:r>
        <w:rPr>
          <w:rFonts w:hint="eastAsia" w:hAnsi="Times New Roman"/>
          <w:color w:val="auto"/>
          <w:highlight w:val="none"/>
          <w:u w:val="none"/>
        </w:rPr>
        <w:t>施工期水污染源包括施工人员生活污水与施工废水，工程需要施工人员约</w:t>
      </w:r>
      <w:r>
        <w:rPr>
          <w:rFonts w:hint="eastAsia" w:hAnsi="Times New Roman"/>
          <w:color w:val="auto"/>
          <w:highlight w:val="none"/>
          <w:u w:val="none"/>
          <w:lang w:val="en-US"/>
        </w:rPr>
        <w:t>50</w:t>
      </w:r>
      <w:r>
        <w:rPr>
          <w:rFonts w:hint="eastAsia" w:hAnsi="Times New Roman"/>
          <w:color w:val="auto"/>
          <w:highlight w:val="none"/>
          <w:u w:val="none"/>
        </w:rPr>
        <w:t>人，</w:t>
      </w:r>
      <w:r>
        <w:rPr>
          <w:color w:val="auto"/>
          <w:highlight w:val="none"/>
          <w:u w:val="none"/>
        </w:rPr>
        <w:t>根据《建筑给水排水设计规范》</w:t>
      </w:r>
      <w:r>
        <w:rPr>
          <w:rFonts w:hint="eastAsia"/>
          <w:color w:val="auto"/>
          <w:highlight w:val="none"/>
          <w:u w:val="none"/>
        </w:rPr>
        <w:t>（</w:t>
      </w:r>
      <w:r>
        <w:rPr>
          <w:color w:val="auto"/>
          <w:highlight w:val="none"/>
          <w:u w:val="none"/>
        </w:rPr>
        <w:t>GB50015-2003</w:t>
      </w:r>
      <w:r>
        <w:rPr>
          <w:rFonts w:hint="eastAsia"/>
          <w:color w:val="auto"/>
          <w:highlight w:val="none"/>
          <w:u w:val="none"/>
        </w:rPr>
        <w:t>）</w:t>
      </w:r>
      <w:r>
        <w:rPr>
          <w:color w:val="auto"/>
          <w:highlight w:val="none"/>
          <w:u w:val="none"/>
        </w:rPr>
        <w:t>，按供水定额100L人/d，则用水量为5m</w:t>
      </w:r>
      <w:r>
        <w:rPr>
          <w:color w:val="auto"/>
          <w:highlight w:val="none"/>
          <w:u w:val="none"/>
          <w:vertAlign w:val="superscript"/>
        </w:rPr>
        <w:t>3</w:t>
      </w:r>
      <w:r>
        <w:rPr>
          <w:color w:val="auto"/>
          <w:highlight w:val="none"/>
          <w:u w:val="none"/>
        </w:rPr>
        <w:t>/d，排污系数取0.8，则施工人员产生的生活污水量为4m</w:t>
      </w:r>
      <w:r>
        <w:rPr>
          <w:color w:val="auto"/>
          <w:highlight w:val="none"/>
          <w:u w:val="none"/>
          <w:vertAlign w:val="superscript"/>
        </w:rPr>
        <w:t>3</w:t>
      </w:r>
      <w:r>
        <w:rPr>
          <w:color w:val="auto"/>
          <w:highlight w:val="none"/>
          <w:u w:val="none"/>
        </w:rPr>
        <w:t>/d，其主要污染因子为COD、BOD</w:t>
      </w:r>
      <w:r>
        <w:rPr>
          <w:color w:val="auto"/>
          <w:highlight w:val="none"/>
          <w:u w:val="none"/>
          <w:vertAlign w:val="subscript"/>
        </w:rPr>
        <w:t>5</w:t>
      </w:r>
      <w:r>
        <w:rPr>
          <w:color w:val="auto"/>
          <w:highlight w:val="none"/>
          <w:u w:val="none"/>
        </w:rPr>
        <w:t>、SS</w:t>
      </w:r>
      <w:r>
        <w:rPr>
          <w:rFonts w:hint="eastAsia"/>
          <w:color w:val="auto"/>
          <w:highlight w:val="none"/>
          <w:u w:val="none"/>
        </w:rPr>
        <w:t>、氨氮</w:t>
      </w:r>
      <w:r>
        <w:rPr>
          <w:color w:val="auto"/>
          <w:highlight w:val="none"/>
          <w:u w:val="none"/>
        </w:rPr>
        <w:t>等。参考《给排水设计手册》（第五册城镇排水）典型生活污水水质示例：COD浓度范围为250~400mg/L、BOD</w:t>
      </w:r>
      <w:r>
        <w:rPr>
          <w:color w:val="auto"/>
          <w:highlight w:val="none"/>
          <w:u w:val="none"/>
          <w:vertAlign w:val="subscript"/>
        </w:rPr>
        <w:t>5</w:t>
      </w:r>
      <w:r>
        <w:rPr>
          <w:color w:val="auto"/>
          <w:highlight w:val="none"/>
          <w:u w:val="none"/>
        </w:rPr>
        <w:t>浓度范围110~</w:t>
      </w:r>
      <w:r>
        <w:rPr>
          <w:rFonts w:hint="eastAsia"/>
          <w:color w:val="auto"/>
          <w:highlight w:val="none"/>
          <w:u w:val="none"/>
        </w:rPr>
        <w:t>2</w:t>
      </w:r>
      <w:r>
        <w:rPr>
          <w:color w:val="auto"/>
          <w:highlight w:val="none"/>
          <w:u w:val="none"/>
        </w:rPr>
        <w:t>00mg/L</w:t>
      </w:r>
      <w:r>
        <w:rPr>
          <w:rFonts w:hint="eastAsia"/>
          <w:color w:val="auto"/>
          <w:highlight w:val="none"/>
          <w:u w:val="none"/>
        </w:rPr>
        <w:t>、SS浓度范围100~200mg/L，本项目生活污水中主要污染指标浓度选取为</w:t>
      </w:r>
      <w:r>
        <w:rPr>
          <w:color w:val="auto"/>
          <w:highlight w:val="none"/>
          <w:u w:val="none"/>
        </w:rPr>
        <w:t>COD</w:t>
      </w:r>
      <w:r>
        <w:rPr>
          <w:rFonts w:hint="eastAsia"/>
          <w:color w:val="auto"/>
          <w:highlight w:val="none"/>
          <w:u w:val="none"/>
        </w:rPr>
        <w:t>300mg/L，</w:t>
      </w:r>
      <w:r>
        <w:rPr>
          <w:color w:val="auto"/>
          <w:highlight w:val="none"/>
          <w:u w:val="none"/>
        </w:rPr>
        <w:t>BOD</w:t>
      </w:r>
      <w:r>
        <w:rPr>
          <w:color w:val="auto"/>
          <w:highlight w:val="none"/>
          <w:u w:val="none"/>
          <w:vertAlign w:val="subscript"/>
        </w:rPr>
        <w:t>5</w:t>
      </w:r>
      <w:r>
        <w:rPr>
          <w:rFonts w:hint="eastAsia"/>
          <w:color w:val="auto"/>
          <w:highlight w:val="none"/>
          <w:u w:val="none"/>
          <w:vertAlign w:val="subscript"/>
        </w:rPr>
        <w:t xml:space="preserve"> </w:t>
      </w:r>
      <w:r>
        <w:rPr>
          <w:color w:val="auto"/>
          <w:highlight w:val="none"/>
          <w:u w:val="none"/>
        </w:rPr>
        <w:t>170</w:t>
      </w:r>
      <w:r>
        <w:rPr>
          <w:rFonts w:hint="eastAsia"/>
          <w:color w:val="auto"/>
          <w:highlight w:val="none"/>
          <w:u w:val="none"/>
        </w:rPr>
        <w:t>mg/L，</w:t>
      </w:r>
      <w:r>
        <w:rPr>
          <w:color w:val="auto"/>
          <w:highlight w:val="none"/>
          <w:u w:val="none"/>
        </w:rPr>
        <w:t>SS</w:t>
      </w:r>
      <w:r>
        <w:rPr>
          <w:rFonts w:hint="eastAsia"/>
          <w:color w:val="auto"/>
          <w:highlight w:val="none"/>
          <w:u w:val="none"/>
        </w:rPr>
        <w:t>150mg/L，氨氮类比相关监测结果取25mg/L，则生活污水中各污染物排放量及浓度估算见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_Ref51077786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rFonts w:hint="eastAsia"/>
          <w:color w:val="auto"/>
          <w:highlight w:val="none"/>
          <w:u w:val="none"/>
        </w:rPr>
        <w:instrText xml:space="preserve"> STYLEREF 2 \s </w:instrText>
      </w:r>
      <w:r>
        <w:rPr>
          <w:rFonts w:hint="eastAsia"/>
          <w:color w:val="auto"/>
          <w:highlight w:val="none"/>
          <w:u w:val="none"/>
        </w:rPr>
        <w:fldChar w:fldCharType="separate"/>
      </w:r>
      <w:r>
        <w:rPr>
          <w:rFonts w:hint="eastAsia"/>
          <w:color w:val="auto"/>
          <w:highlight w:val="none"/>
          <w:u w:val="none"/>
        </w:rPr>
        <w:t>5.9</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w:t>
      </w:r>
      <w:r>
        <w:rPr>
          <w:color w:val="auto"/>
          <w:highlight w:val="none"/>
          <w:u w:val="none"/>
        </w:rPr>
        <w:fldChar w:fldCharType="end"/>
      </w:r>
      <w:r>
        <w:rPr>
          <w:rFonts w:hint="eastAsia"/>
          <w:color w:val="auto"/>
          <w:highlight w:val="none"/>
          <w:u w:val="none"/>
        </w:rPr>
        <w:t>。</w:t>
      </w:r>
    </w:p>
    <w:p w14:paraId="5FA24607">
      <w:pPr>
        <w:ind w:firstLine="482"/>
        <w:jc w:val="center"/>
        <w:rPr>
          <w:rFonts w:hint="eastAsia"/>
          <w:b/>
          <w:color w:val="auto"/>
          <w:highlight w:val="none"/>
          <w:u w:val="none"/>
        </w:rPr>
      </w:pPr>
      <w:bookmarkStart w:id="389" w:name="_Ref51077786"/>
      <w:r>
        <w:rPr>
          <w:rFonts w:hint="eastAsia"/>
          <w:b/>
          <w:color w:val="auto"/>
          <w:highlight w:val="none"/>
          <w:u w:val="none"/>
        </w:rPr>
        <w:t xml:space="preserve">表 </w:t>
      </w:r>
      <w:r>
        <w:rPr>
          <w:rFonts w:hint="eastAsia"/>
          <w:b/>
          <w:color w:val="auto"/>
          <w:highlight w:val="none"/>
          <w:u w:val="none"/>
        </w:rPr>
        <w:fldChar w:fldCharType="begin"/>
      </w:r>
      <w:r>
        <w:rPr>
          <w:rFonts w:hint="eastAsia"/>
          <w:b/>
          <w:color w:val="auto"/>
          <w:highlight w:val="none"/>
          <w:u w:val="none"/>
        </w:rPr>
        <w:instrText xml:space="preserve"> STYLEREF 2 \s </w:instrText>
      </w:r>
      <w:r>
        <w:rPr>
          <w:rFonts w:hint="eastAsia"/>
          <w:b/>
          <w:color w:val="auto"/>
          <w:highlight w:val="none"/>
          <w:u w:val="none"/>
        </w:rPr>
        <w:fldChar w:fldCharType="separate"/>
      </w:r>
      <w:r>
        <w:rPr>
          <w:rFonts w:hint="eastAsia"/>
          <w:b/>
          <w:color w:val="auto"/>
          <w:highlight w:val="none"/>
          <w:u w:val="none"/>
        </w:rPr>
        <w:t>5.9</w:t>
      </w:r>
      <w:r>
        <w:rPr>
          <w:rFonts w:hint="eastAsia"/>
          <w:b/>
          <w:color w:val="auto"/>
          <w:highlight w:val="none"/>
          <w:u w:val="none"/>
        </w:rPr>
        <w:fldChar w:fldCharType="end"/>
      </w:r>
      <w:r>
        <w:rPr>
          <w:rFonts w:hint="eastAsia"/>
          <w:b/>
          <w:color w:val="auto"/>
          <w:highlight w:val="none"/>
          <w:u w:val="none"/>
        </w:rPr>
        <w:noBreakHyphen/>
      </w:r>
      <w:r>
        <w:rPr>
          <w:rFonts w:hint="eastAsia"/>
          <w:b/>
          <w:color w:val="auto"/>
          <w:highlight w:val="none"/>
          <w:u w:val="none"/>
        </w:rPr>
        <w:fldChar w:fldCharType="begin"/>
      </w:r>
      <w:r>
        <w:rPr>
          <w:rFonts w:hint="eastAsia"/>
          <w:b/>
          <w:color w:val="auto"/>
          <w:highlight w:val="none"/>
          <w:u w:val="none"/>
        </w:rPr>
        <w:instrText xml:space="preserve"> SEQ 表 \* ARABIC \s 2 </w:instrText>
      </w:r>
      <w:r>
        <w:rPr>
          <w:rFonts w:hint="eastAsia"/>
          <w:b/>
          <w:color w:val="auto"/>
          <w:highlight w:val="none"/>
          <w:u w:val="none"/>
        </w:rPr>
        <w:fldChar w:fldCharType="separate"/>
      </w:r>
      <w:r>
        <w:rPr>
          <w:rFonts w:hint="eastAsia"/>
          <w:b/>
          <w:color w:val="auto"/>
          <w:highlight w:val="none"/>
          <w:u w:val="none"/>
        </w:rPr>
        <w:t>1</w:t>
      </w:r>
      <w:r>
        <w:rPr>
          <w:rFonts w:hint="eastAsia"/>
          <w:b/>
          <w:color w:val="auto"/>
          <w:highlight w:val="none"/>
          <w:u w:val="none"/>
        </w:rPr>
        <w:fldChar w:fldCharType="end"/>
      </w:r>
      <w:bookmarkEnd w:id="389"/>
      <w:r>
        <w:rPr>
          <w:rFonts w:hint="eastAsia"/>
          <w:b/>
          <w:color w:val="auto"/>
          <w:highlight w:val="none"/>
          <w:u w:val="none"/>
        </w:rPr>
        <w:t xml:space="preserve">  施工期生活污水中主要污染物产生量</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145"/>
        <w:gridCol w:w="1171"/>
        <w:gridCol w:w="1171"/>
        <w:gridCol w:w="1171"/>
        <w:gridCol w:w="1366"/>
      </w:tblGrid>
      <w:tr w14:paraId="0F64A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Align w:val="center"/>
          </w:tcPr>
          <w:p w14:paraId="6F656144">
            <w:pPr>
              <w:pStyle w:val="92"/>
              <w:rPr>
                <w:color w:val="auto"/>
                <w:highlight w:val="none"/>
                <w:u w:val="none"/>
              </w:rPr>
            </w:pPr>
            <w:r>
              <w:rPr>
                <w:color w:val="auto"/>
                <w:highlight w:val="none"/>
                <w:u w:val="none"/>
              </w:rPr>
              <w:t>生活污水产生量</w:t>
            </w:r>
          </w:p>
        </w:tc>
        <w:tc>
          <w:tcPr>
            <w:tcW w:w="1155" w:type="pct"/>
            <w:vAlign w:val="center"/>
          </w:tcPr>
          <w:p w14:paraId="1F516F08">
            <w:pPr>
              <w:pStyle w:val="92"/>
              <w:rPr>
                <w:color w:val="auto"/>
                <w:highlight w:val="none"/>
                <w:u w:val="none"/>
              </w:rPr>
            </w:pPr>
            <w:r>
              <w:rPr>
                <w:color w:val="auto"/>
                <w:highlight w:val="none"/>
                <w:u w:val="none"/>
              </w:rPr>
              <w:t>污染物</w:t>
            </w:r>
          </w:p>
        </w:tc>
        <w:tc>
          <w:tcPr>
            <w:tcW w:w="630" w:type="pct"/>
            <w:vAlign w:val="center"/>
          </w:tcPr>
          <w:p w14:paraId="121D4D2B">
            <w:pPr>
              <w:pStyle w:val="92"/>
              <w:rPr>
                <w:color w:val="auto"/>
                <w:highlight w:val="none"/>
                <w:u w:val="none"/>
              </w:rPr>
            </w:pPr>
            <w:r>
              <w:rPr>
                <w:color w:val="auto"/>
                <w:highlight w:val="none"/>
                <w:u w:val="none"/>
              </w:rPr>
              <w:t>COD</w:t>
            </w:r>
          </w:p>
        </w:tc>
        <w:tc>
          <w:tcPr>
            <w:tcW w:w="630" w:type="pct"/>
            <w:vAlign w:val="center"/>
          </w:tcPr>
          <w:p w14:paraId="09261423">
            <w:pPr>
              <w:pStyle w:val="92"/>
              <w:rPr>
                <w:color w:val="auto"/>
                <w:highlight w:val="none"/>
                <w:u w:val="none"/>
              </w:rPr>
            </w:pPr>
            <w:r>
              <w:rPr>
                <w:color w:val="auto"/>
                <w:highlight w:val="none"/>
                <w:u w:val="none"/>
              </w:rPr>
              <w:t>BOD</w:t>
            </w:r>
            <w:r>
              <w:rPr>
                <w:color w:val="auto"/>
                <w:highlight w:val="none"/>
                <w:u w:val="none"/>
                <w:vertAlign w:val="subscript"/>
              </w:rPr>
              <w:t>5</w:t>
            </w:r>
          </w:p>
        </w:tc>
        <w:tc>
          <w:tcPr>
            <w:tcW w:w="630" w:type="pct"/>
            <w:vAlign w:val="center"/>
          </w:tcPr>
          <w:p w14:paraId="14DF27F5">
            <w:pPr>
              <w:pStyle w:val="92"/>
              <w:rPr>
                <w:color w:val="auto"/>
                <w:highlight w:val="none"/>
                <w:u w:val="none"/>
              </w:rPr>
            </w:pPr>
            <w:r>
              <w:rPr>
                <w:color w:val="auto"/>
                <w:highlight w:val="none"/>
                <w:u w:val="none"/>
              </w:rPr>
              <w:t>SS</w:t>
            </w:r>
          </w:p>
        </w:tc>
        <w:tc>
          <w:tcPr>
            <w:tcW w:w="735" w:type="pct"/>
            <w:vAlign w:val="center"/>
          </w:tcPr>
          <w:p w14:paraId="500CA00B">
            <w:pPr>
              <w:pStyle w:val="92"/>
              <w:rPr>
                <w:color w:val="auto"/>
                <w:highlight w:val="none"/>
                <w:u w:val="none"/>
              </w:rPr>
            </w:pPr>
            <w:r>
              <w:rPr>
                <w:color w:val="auto"/>
                <w:highlight w:val="none"/>
                <w:u w:val="none"/>
              </w:rPr>
              <w:t>氨氮</w:t>
            </w:r>
          </w:p>
        </w:tc>
      </w:tr>
      <w:tr w14:paraId="2C07E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Merge w:val="restart"/>
            <w:vAlign w:val="center"/>
          </w:tcPr>
          <w:p w14:paraId="249F0C09">
            <w:pPr>
              <w:pStyle w:val="92"/>
              <w:rPr>
                <w:color w:val="auto"/>
                <w:highlight w:val="none"/>
                <w:u w:val="none"/>
              </w:rPr>
            </w:pPr>
            <w:r>
              <w:rPr>
                <w:color w:val="auto"/>
                <w:highlight w:val="none"/>
                <w:u w:val="none"/>
              </w:rPr>
              <w:t>4m</w:t>
            </w:r>
            <w:r>
              <w:rPr>
                <w:color w:val="auto"/>
                <w:highlight w:val="none"/>
                <w:u w:val="none"/>
                <w:vertAlign w:val="superscript"/>
              </w:rPr>
              <w:t>3</w:t>
            </w:r>
            <w:r>
              <w:rPr>
                <w:color w:val="auto"/>
                <w:highlight w:val="none"/>
                <w:u w:val="none"/>
              </w:rPr>
              <w:t>/d</w:t>
            </w:r>
          </w:p>
        </w:tc>
        <w:tc>
          <w:tcPr>
            <w:tcW w:w="1155" w:type="pct"/>
            <w:vAlign w:val="center"/>
          </w:tcPr>
          <w:p w14:paraId="049D6B99">
            <w:pPr>
              <w:pStyle w:val="92"/>
              <w:rPr>
                <w:color w:val="auto"/>
                <w:highlight w:val="none"/>
                <w:u w:val="none"/>
              </w:rPr>
            </w:pPr>
            <w:r>
              <w:rPr>
                <w:color w:val="auto"/>
                <w:highlight w:val="none"/>
                <w:u w:val="none"/>
              </w:rPr>
              <w:t>浓度（mg/L）</w:t>
            </w:r>
          </w:p>
        </w:tc>
        <w:tc>
          <w:tcPr>
            <w:tcW w:w="630" w:type="pct"/>
            <w:vAlign w:val="center"/>
          </w:tcPr>
          <w:p w14:paraId="26357425">
            <w:pPr>
              <w:pStyle w:val="92"/>
              <w:rPr>
                <w:color w:val="auto"/>
                <w:highlight w:val="none"/>
                <w:u w:val="none"/>
              </w:rPr>
            </w:pPr>
            <w:r>
              <w:rPr>
                <w:color w:val="auto"/>
                <w:highlight w:val="none"/>
                <w:u w:val="none"/>
              </w:rPr>
              <w:t>300</w:t>
            </w:r>
          </w:p>
        </w:tc>
        <w:tc>
          <w:tcPr>
            <w:tcW w:w="630" w:type="pct"/>
            <w:vAlign w:val="center"/>
          </w:tcPr>
          <w:p w14:paraId="6BB585AE">
            <w:pPr>
              <w:pStyle w:val="92"/>
              <w:rPr>
                <w:color w:val="auto"/>
                <w:highlight w:val="none"/>
                <w:u w:val="none"/>
              </w:rPr>
            </w:pPr>
            <w:r>
              <w:rPr>
                <w:color w:val="auto"/>
                <w:highlight w:val="none"/>
                <w:u w:val="none"/>
              </w:rPr>
              <w:t>200</w:t>
            </w:r>
          </w:p>
        </w:tc>
        <w:tc>
          <w:tcPr>
            <w:tcW w:w="630" w:type="pct"/>
            <w:vAlign w:val="center"/>
          </w:tcPr>
          <w:p w14:paraId="2DD6670A">
            <w:pPr>
              <w:pStyle w:val="92"/>
              <w:rPr>
                <w:color w:val="auto"/>
                <w:highlight w:val="none"/>
                <w:u w:val="none"/>
              </w:rPr>
            </w:pPr>
            <w:r>
              <w:rPr>
                <w:color w:val="auto"/>
                <w:highlight w:val="none"/>
                <w:u w:val="none"/>
              </w:rPr>
              <w:t>150</w:t>
            </w:r>
          </w:p>
        </w:tc>
        <w:tc>
          <w:tcPr>
            <w:tcW w:w="735" w:type="pct"/>
            <w:vAlign w:val="center"/>
          </w:tcPr>
          <w:p w14:paraId="153BA3CE">
            <w:pPr>
              <w:pStyle w:val="92"/>
              <w:rPr>
                <w:color w:val="auto"/>
                <w:highlight w:val="none"/>
                <w:u w:val="none"/>
              </w:rPr>
            </w:pPr>
            <w:r>
              <w:rPr>
                <w:color w:val="auto"/>
                <w:highlight w:val="none"/>
                <w:u w:val="none"/>
              </w:rPr>
              <w:t>25</w:t>
            </w:r>
          </w:p>
        </w:tc>
      </w:tr>
      <w:tr w14:paraId="308D5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Merge w:val="continue"/>
            <w:vAlign w:val="center"/>
          </w:tcPr>
          <w:p w14:paraId="4529CC8C">
            <w:pPr>
              <w:pStyle w:val="92"/>
              <w:rPr>
                <w:color w:val="auto"/>
                <w:highlight w:val="none"/>
                <w:u w:val="none"/>
              </w:rPr>
            </w:pPr>
          </w:p>
        </w:tc>
        <w:tc>
          <w:tcPr>
            <w:tcW w:w="1155" w:type="pct"/>
            <w:vAlign w:val="center"/>
          </w:tcPr>
          <w:p w14:paraId="6F99018E">
            <w:pPr>
              <w:pStyle w:val="92"/>
              <w:rPr>
                <w:color w:val="auto"/>
                <w:highlight w:val="none"/>
                <w:u w:val="none"/>
              </w:rPr>
            </w:pPr>
            <w:r>
              <w:rPr>
                <w:color w:val="auto"/>
                <w:highlight w:val="none"/>
                <w:u w:val="none"/>
              </w:rPr>
              <w:t>产生量（kg/d）</w:t>
            </w:r>
          </w:p>
        </w:tc>
        <w:tc>
          <w:tcPr>
            <w:tcW w:w="630" w:type="pct"/>
            <w:vAlign w:val="center"/>
          </w:tcPr>
          <w:p w14:paraId="5BDD9799">
            <w:pPr>
              <w:pStyle w:val="92"/>
              <w:rPr>
                <w:color w:val="auto"/>
                <w:highlight w:val="none"/>
                <w:u w:val="none"/>
              </w:rPr>
            </w:pPr>
            <w:r>
              <w:rPr>
                <w:color w:val="auto"/>
                <w:highlight w:val="none"/>
                <w:u w:val="none"/>
              </w:rPr>
              <w:t>1.2</w:t>
            </w:r>
          </w:p>
        </w:tc>
        <w:tc>
          <w:tcPr>
            <w:tcW w:w="630" w:type="pct"/>
            <w:vAlign w:val="center"/>
          </w:tcPr>
          <w:p w14:paraId="5F0DC1E4">
            <w:pPr>
              <w:pStyle w:val="92"/>
              <w:rPr>
                <w:color w:val="auto"/>
                <w:highlight w:val="none"/>
                <w:u w:val="none"/>
              </w:rPr>
            </w:pPr>
            <w:r>
              <w:rPr>
                <w:color w:val="auto"/>
                <w:highlight w:val="none"/>
                <w:u w:val="none"/>
              </w:rPr>
              <w:t>0.68</w:t>
            </w:r>
          </w:p>
        </w:tc>
        <w:tc>
          <w:tcPr>
            <w:tcW w:w="630" w:type="pct"/>
            <w:vAlign w:val="center"/>
          </w:tcPr>
          <w:p w14:paraId="2DD42497">
            <w:pPr>
              <w:pStyle w:val="92"/>
              <w:rPr>
                <w:color w:val="auto"/>
                <w:highlight w:val="none"/>
                <w:u w:val="none"/>
              </w:rPr>
            </w:pPr>
            <w:r>
              <w:rPr>
                <w:color w:val="auto"/>
                <w:highlight w:val="none"/>
                <w:u w:val="none"/>
              </w:rPr>
              <w:t>0.6</w:t>
            </w:r>
          </w:p>
        </w:tc>
        <w:tc>
          <w:tcPr>
            <w:tcW w:w="735" w:type="pct"/>
            <w:vAlign w:val="center"/>
          </w:tcPr>
          <w:p w14:paraId="3E8C89C0">
            <w:pPr>
              <w:pStyle w:val="92"/>
              <w:rPr>
                <w:color w:val="auto"/>
                <w:highlight w:val="none"/>
                <w:u w:val="none"/>
              </w:rPr>
            </w:pPr>
            <w:r>
              <w:rPr>
                <w:color w:val="auto"/>
                <w:highlight w:val="none"/>
                <w:u w:val="none"/>
              </w:rPr>
              <w:t>0.1</w:t>
            </w:r>
          </w:p>
        </w:tc>
      </w:tr>
    </w:tbl>
    <w:p w14:paraId="3A30B3D9">
      <w:pPr>
        <w:ind w:firstLine="540" w:firstLineChars="225"/>
        <w:rPr>
          <w:rFonts w:hAnsi="Times New Roman"/>
          <w:color w:val="auto"/>
          <w:highlight w:val="none"/>
          <w:u w:val="none"/>
        </w:rPr>
      </w:pPr>
      <w:r>
        <w:rPr>
          <w:rFonts w:hint="eastAsia" w:hAnsi="Times New Roman"/>
          <w:color w:val="auto"/>
          <w:highlight w:val="none"/>
          <w:u w:val="none"/>
        </w:rPr>
        <w:t>施工高峰期运输车辆和机械设备包括挖掘机、混凝土搅拌机、自卸汽车以及各类车辆，施工车辆冲洗点对出厂车辆进行冲洗，汽车机械临时保养站（含停车场）对施工车辆和机械设备冲洗主要集中在每日晚上进行1次，主要污染物是高浓度的泥沙和少量石油类物质，依托厂内低浓度废水处理系统处理。施工土建泥浆水收集经沉淀处理后，设置集水池储存，再回用于洒水抑尘、车辆及设备清洗等环节。</w:t>
      </w:r>
    </w:p>
    <w:p w14:paraId="797067B1">
      <w:pPr>
        <w:ind w:firstLine="540" w:firstLineChars="225"/>
        <w:rPr>
          <w:rFonts w:hAnsi="Times New Roman"/>
          <w:color w:val="auto"/>
          <w:highlight w:val="none"/>
          <w:u w:val="none"/>
        </w:rPr>
      </w:pPr>
      <w:r>
        <w:rPr>
          <w:rFonts w:hint="eastAsia" w:hAnsi="Times New Roman"/>
          <w:color w:val="auto"/>
          <w:highlight w:val="none"/>
          <w:u w:val="none"/>
        </w:rPr>
        <w:t>技改施工过程中的罐体清空排水，设备清洗废水、装置临时性用水的排水及非正常生产排水等通过污水管网排入污水处理系统的废水缓冲池（低浓度废水处理系统缓冲池容积2200立方米，综合废水处理系统缓冲池容积6100立方米），先在废水缓冲池内暂存，再分批次与其他废水调节均质后送入污水处理系统处理。</w:t>
      </w:r>
    </w:p>
    <w:p w14:paraId="6846E5AA">
      <w:pPr>
        <w:ind w:firstLine="540" w:firstLineChars="225"/>
        <w:rPr>
          <w:rFonts w:hAnsi="Times New Roman"/>
          <w:color w:val="auto"/>
          <w:highlight w:val="none"/>
          <w:u w:val="none"/>
        </w:rPr>
      </w:pPr>
      <w:r>
        <w:rPr>
          <w:rFonts w:hint="eastAsia" w:hAnsi="Times New Roman"/>
          <w:color w:val="auto"/>
          <w:highlight w:val="none"/>
          <w:u w:val="none"/>
        </w:rPr>
        <w:t>在设备及管道安装完成后，需要对设备及管道进行清洗试压。设备及管道清洗试压废水即为设备及管道的清洗和试压阶段排放的废水，废水中含少量的铁锈等悬浮物，可依托厂内低浓度废水处理系统处理。</w:t>
      </w:r>
    </w:p>
    <w:p w14:paraId="02E5880C">
      <w:pPr>
        <w:pStyle w:val="6"/>
        <w:spacing w:before="156" w:after="156"/>
        <w:rPr>
          <w:color w:val="auto"/>
          <w:highlight w:val="none"/>
          <w:u w:val="none"/>
        </w:rPr>
      </w:pPr>
      <w:bookmarkStart w:id="390" w:name="_Toc148374567"/>
      <w:bookmarkStart w:id="391" w:name="_Toc148375009"/>
      <w:r>
        <w:rPr>
          <w:rFonts w:hint="eastAsia"/>
          <w:color w:val="auto"/>
          <w:highlight w:val="none"/>
          <w:u w:val="none"/>
        </w:rPr>
        <w:t>施工期大气污染源</w:t>
      </w:r>
      <w:bookmarkEnd w:id="390"/>
      <w:bookmarkEnd w:id="391"/>
    </w:p>
    <w:p w14:paraId="3AA0ED4E">
      <w:pPr>
        <w:rPr>
          <w:rFonts w:hint="eastAsia"/>
          <w:color w:val="auto"/>
          <w:highlight w:val="none"/>
          <w:u w:val="none"/>
          <w:lang w:val="en-US"/>
        </w:rPr>
      </w:pPr>
      <w:r>
        <w:rPr>
          <w:rFonts w:hint="eastAsia"/>
          <w:color w:val="auto"/>
          <w:highlight w:val="none"/>
          <w:u w:val="none"/>
          <w:lang w:val="en-US"/>
        </w:rPr>
        <w:t>本次技改扩能不涉及土建施工，因此施工期主要废气影响为技改过程装置废气和施工机械和运输车辆废气。</w:t>
      </w:r>
    </w:p>
    <w:p w14:paraId="4ABCA4FA">
      <w:pPr>
        <w:rPr>
          <w:rFonts w:hint="eastAsia"/>
          <w:color w:val="auto"/>
          <w:highlight w:val="none"/>
          <w:u w:val="none"/>
        </w:rPr>
      </w:pPr>
      <w:r>
        <w:rPr>
          <w:color w:val="auto"/>
          <w:highlight w:val="none"/>
          <w:u w:val="none"/>
        </w:rPr>
        <w:t>（</w:t>
      </w:r>
      <w:r>
        <w:rPr>
          <w:rFonts w:hint="eastAsia"/>
          <w:color w:val="auto"/>
          <w:highlight w:val="none"/>
          <w:u w:val="none"/>
          <w:lang w:val="en-US"/>
        </w:rPr>
        <w:t>1</w:t>
      </w:r>
      <w:r>
        <w:rPr>
          <w:color w:val="auto"/>
          <w:highlight w:val="none"/>
          <w:u w:val="none"/>
        </w:rPr>
        <w:t>）</w:t>
      </w:r>
      <w:r>
        <w:rPr>
          <w:rFonts w:hint="eastAsia"/>
          <w:color w:val="auto"/>
          <w:highlight w:val="none"/>
          <w:u w:val="none"/>
        </w:rPr>
        <w:t>技改过程装置废气</w:t>
      </w:r>
    </w:p>
    <w:p w14:paraId="4211DAEB">
      <w:pPr>
        <w:rPr>
          <w:rFonts w:hint="eastAsia"/>
          <w:color w:val="auto"/>
          <w:highlight w:val="none"/>
          <w:u w:val="none"/>
          <w:lang w:val="en-US"/>
        </w:rPr>
      </w:pPr>
      <w:r>
        <w:rPr>
          <w:color w:val="auto"/>
          <w:highlight w:val="none"/>
          <w:u w:val="none"/>
          <w:lang w:val="en-US"/>
        </w:rPr>
        <w:t>技改</w:t>
      </w:r>
      <w:r>
        <w:rPr>
          <w:rFonts w:hint="eastAsia"/>
          <w:color w:val="auto"/>
          <w:highlight w:val="none"/>
          <w:u w:val="none"/>
          <w:lang w:val="en-US"/>
        </w:rPr>
        <w:t>施工</w:t>
      </w:r>
      <w:r>
        <w:rPr>
          <w:color w:val="auto"/>
          <w:highlight w:val="none"/>
          <w:u w:val="none"/>
          <w:lang w:val="en-US"/>
        </w:rPr>
        <w:t>过程各管道、中间罐、反应塔等</w:t>
      </w:r>
      <w:r>
        <w:rPr>
          <w:rFonts w:hint="eastAsia"/>
          <w:color w:val="auto"/>
          <w:highlight w:val="none"/>
          <w:u w:val="none"/>
          <w:lang w:val="en-US"/>
        </w:rPr>
        <w:t>设备废气采用</w:t>
      </w:r>
      <w:r>
        <w:rPr>
          <w:color w:val="auto"/>
          <w:highlight w:val="none"/>
          <w:u w:val="none"/>
          <w:lang w:val="en-US"/>
        </w:rPr>
        <w:t>排气置换措施，排出的废气由风机送往各废气处理</w:t>
      </w:r>
      <w:r>
        <w:rPr>
          <w:rFonts w:hint="eastAsia"/>
          <w:color w:val="auto"/>
          <w:highlight w:val="none"/>
          <w:u w:val="none"/>
          <w:lang w:val="en-US"/>
        </w:rPr>
        <w:t>设施</w:t>
      </w:r>
      <w:r>
        <w:rPr>
          <w:color w:val="auto"/>
          <w:highlight w:val="none"/>
          <w:u w:val="none"/>
          <w:lang w:val="en-US"/>
        </w:rPr>
        <w:t>处理</w:t>
      </w:r>
      <w:r>
        <w:rPr>
          <w:rFonts w:hint="eastAsia"/>
          <w:color w:val="auto"/>
          <w:highlight w:val="none"/>
          <w:u w:val="none"/>
          <w:lang w:val="en-US"/>
        </w:rPr>
        <w:t>后</w:t>
      </w:r>
      <w:r>
        <w:rPr>
          <w:color w:val="auto"/>
          <w:highlight w:val="none"/>
          <w:u w:val="none"/>
          <w:lang w:val="en-US"/>
        </w:rPr>
        <w:t>达标排放</w:t>
      </w:r>
      <w:r>
        <w:rPr>
          <w:rFonts w:hint="eastAsia"/>
          <w:color w:val="auto"/>
          <w:highlight w:val="none"/>
          <w:u w:val="none"/>
          <w:lang w:val="en-US"/>
        </w:rPr>
        <w:t>。</w:t>
      </w:r>
    </w:p>
    <w:p w14:paraId="420849E1">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2</w:t>
      </w:r>
      <w:r>
        <w:rPr>
          <w:rFonts w:hint="eastAsia"/>
          <w:color w:val="auto"/>
          <w:highlight w:val="none"/>
          <w:u w:val="none"/>
        </w:rPr>
        <w:t>）</w:t>
      </w:r>
      <w:r>
        <w:rPr>
          <w:color w:val="auto"/>
          <w:highlight w:val="none"/>
          <w:u w:val="none"/>
        </w:rPr>
        <w:t>焊接烟气</w:t>
      </w:r>
    </w:p>
    <w:p w14:paraId="530714C7">
      <w:pPr>
        <w:rPr>
          <w:rFonts w:hint="eastAsia"/>
          <w:color w:val="auto"/>
          <w:highlight w:val="none"/>
          <w:u w:val="none"/>
        </w:rPr>
      </w:pPr>
      <w:r>
        <w:rPr>
          <w:color w:val="auto"/>
          <w:highlight w:val="none"/>
          <w:u w:val="none"/>
        </w:rPr>
        <w:t>本项目设施施工安装过程的焊接烟气产生量可忽略不计，施工期短，工程一结束，影响随之消失。</w:t>
      </w:r>
    </w:p>
    <w:p w14:paraId="51B5008A">
      <w:pPr>
        <w:rPr>
          <w:rFonts w:hint="eastAsia"/>
          <w:color w:val="auto"/>
          <w:highlight w:val="none"/>
          <w:u w:val="none"/>
        </w:rPr>
      </w:pPr>
      <w:r>
        <w:rPr>
          <w:rFonts w:hint="eastAsia"/>
          <w:color w:val="auto"/>
          <w:highlight w:val="none"/>
          <w:u w:val="none"/>
          <w:lang w:val="en-US"/>
        </w:rPr>
        <w:t>（3）</w:t>
      </w:r>
      <w:r>
        <w:rPr>
          <w:color w:val="auto"/>
          <w:highlight w:val="none"/>
          <w:u w:val="none"/>
        </w:rPr>
        <w:t>施工机械、运输车辆排放的废气。</w:t>
      </w:r>
    </w:p>
    <w:p w14:paraId="27E29DB4">
      <w:pPr>
        <w:rPr>
          <w:rFonts w:hint="eastAsia"/>
          <w:color w:val="auto"/>
          <w:highlight w:val="none"/>
          <w:u w:val="none"/>
        </w:rPr>
      </w:pPr>
      <w:r>
        <w:rPr>
          <w:color w:val="auto"/>
          <w:highlight w:val="none"/>
          <w:u w:val="none"/>
        </w:rPr>
        <w:t>施工期废气还有来自施工机械、施工车辆等排放的燃油尾气，主要污染物为NOx、CO及THC等，因其产生量较小且分散，不做定量分析。</w:t>
      </w:r>
    </w:p>
    <w:p w14:paraId="3BC8C7A0">
      <w:pPr>
        <w:pStyle w:val="6"/>
        <w:spacing w:before="156" w:after="156"/>
        <w:rPr>
          <w:color w:val="auto"/>
          <w:highlight w:val="none"/>
          <w:u w:val="none"/>
        </w:rPr>
      </w:pPr>
      <w:r>
        <w:rPr>
          <w:rFonts w:hint="eastAsia"/>
          <w:color w:val="auto"/>
          <w:highlight w:val="none"/>
          <w:u w:val="none"/>
        </w:rPr>
        <w:t>施工期噪声污染源分析</w:t>
      </w:r>
    </w:p>
    <w:p w14:paraId="209F18AC">
      <w:pPr>
        <w:ind w:firstLine="540" w:firstLineChars="225"/>
        <w:rPr>
          <w:rFonts w:hAnsi="Times New Roman"/>
          <w:color w:val="auto"/>
          <w:highlight w:val="none"/>
          <w:u w:val="none"/>
        </w:rPr>
      </w:pPr>
      <w:r>
        <w:rPr>
          <w:rFonts w:hint="eastAsia" w:hAnsi="Times New Roman"/>
          <w:color w:val="auto"/>
          <w:highlight w:val="none"/>
          <w:u w:val="none"/>
        </w:rPr>
        <w:t>施工期噪声主要来自设备安装过程中使用的运输车辆和多种施工机械，包括起重机、运输车辆等。通过类比调查，施工期间的主要噪声源强见</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_Ref27431 \h </w:instrText>
      </w:r>
      <w:r>
        <w:rPr>
          <w:rFonts w:hint="eastAsia" w:hAnsi="Times New Roman"/>
          <w:color w:val="auto"/>
          <w:highlight w:val="none"/>
          <w:u w:val="none"/>
        </w:rPr>
        <w:fldChar w:fldCharType="separate"/>
      </w:r>
      <w:r>
        <w:rPr>
          <w:rFonts w:hint="eastAsia"/>
          <w:b/>
          <w:color w:val="auto"/>
          <w:highlight w:val="none"/>
          <w:u w:val="none"/>
        </w:rPr>
        <w:t xml:space="preserve">表 </w:t>
      </w:r>
      <w:r>
        <w:rPr>
          <w:rFonts w:hint="eastAsia"/>
          <w:b/>
          <w:color w:val="auto"/>
          <w:highlight w:val="none"/>
          <w:u w:val="none"/>
        </w:rPr>
        <w:fldChar w:fldCharType="begin"/>
      </w:r>
      <w:r>
        <w:rPr>
          <w:rFonts w:hint="eastAsia"/>
          <w:b/>
          <w:color w:val="auto"/>
          <w:highlight w:val="none"/>
          <w:u w:val="none"/>
        </w:rPr>
        <w:instrText xml:space="preserve"> STYLEREF 2 \s </w:instrText>
      </w:r>
      <w:r>
        <w:rPr>
          <w:rFonts w:hint="eastAsia"/>
          <w:b/>
          <w:color w:val="auto"/>
          <w:highlight w:val="none"/>
          <w:u w:val="none"/>
        </w:rPr>
        <w:fldChar w:fldCharType="separate"/>
      </w:r>
      <w:r>
        <w:rPr>
          <w:rFonts w:hint="eastAsia"/>
          <w:b/>
          <w:color w:val="auto"/>
          <w:highlight w:val="none"/>
          <w:u w:val="none"/>
        </w:rPr>
        <w:t>5.9</w:t>
      </w:r>
      <w:r>
        <w:rPr>
          <w:rFonts w:hint="eastAsia"/>
          <w:b/>
          <w:color w:val="auto"/>
          <w:highlight w:val="none"/>
          <w:u w:val="none"/>
        </w:rPr>
        <w:fldChar w:fldCharType="end"/>
      </w:r>
      <w:r>
        <w:rPr>
          <w:rFonts w:hint="eastAsia"/>
          <w:b/>
          <w:color w:val="auto"/>
          <w:highlight w:val="none"/>
          <w:u w:val="none"/>
        </w:rPr>
        <w:noBreakHyphen/>
      </w:r>
      <w:r>
        <w:rPr>
          <w:rFonts w:hint="eastAsia"/>
          <w:b/>
          <w:color w:val="auto"/>
          <w:highlight w:val="none"/>
          <w:u w:val="none"/>
        </w:rPr>
        <w:t>2</w:t>
      </w:r>
      <w:r>
        <w:rPr>
          <w:rFonts w:hint="eastAsia" w:hAnsi="Times New Roman"/>
          <w:color w:val="auto"/>
          <w:highlight w:val="none"/>
          <w:u w:val="none"/>
        </w:rPr>
        <w:fldChar w:fldCharType="end"/>
      </w:r>
      <w:r>
        <w:rPr>
          <w:rFonts w:hint="eastAsia" w:hAnsi="Times New Roman"/>
          <w:color w:val="auto"/>
          <w:highlight w:val="none"/>
          <w:u w:val="none"/>
        </w:rPr>
        <w:t>。</w:t>
      </w:r>
    </w:p>
    <w:p w14:paraId="12824645">
      <w:pPr>
        <w:ind w:firstLine="482"/>
        <w:jc w:val="center"/>
        <w:rPr>
          <w:rFonts w:hint="eastAsia"/>
          <w:b/>
          <w:color w:val="auto"/>
          <w:highlight w:val="none"/>
          <w:u w:val="none"/>
        </w:rPr>
      </w:pPr>
      <w:bookmarkStart w:id="392" w:name="_Ref27431"/>
      <w:r>
        <w:rPr>
          <w:rFonts w:hint="eastAsia"/>
          <w:b/>
          <w:color w:val="auto"/>
          <w:highlight w:val="none"/>
          <w:u w:val="none"/>
        </w:rPr>
        <w:t xml:space="preserve">表 </w:t>
      </w:r>
      <w:r>
        <w:rPr>
          <w:rFonts w:hint="eastAsia"/>
          <w:b/>
          <w:color w:val="auto"/>
          <w:highlight w:val="none"/>
          <w:u w:val="none"/>
        </w:rPr>
        <w:fldChar w:fldCharType="begin"/>
      </w:r>
      <w:r>
        <w:rPr>
          <w:rFonts w:hint="eastAsia"/>
          <w:b/>
          <w:color w:val="auto"/>
          <w:highlight w:val="none"/>
          <w:u w:val="none"/>
        </w:rPr>
        <w:instrText xml:space="preserve"> STYLEREF 2 \s </w:instrText>
      </w:r>
      <w:r>
        <w:rPr>
          <w:rFonts w:hint="eastAsia"/>
          <w:b/>
          <w:color w:val="auto"/>
          <w:highlight w:val="none"/>
          <w:u w:val="none"/>
        </w:rPr>
        <w:fldChar w:fldCharType="separate"/>
      </w:r>
      <w:r>
        <w:rPr>
          <w:rFonts w:hint="eastAsia"/>
          <w:b/>
          <w:color w:val="auto"/>
          <w:highlight w:val="none"/>
          <w:u w:val="none"/>
        </w:rPr>
        <w:t>5.9</w:t>
      </w:r>
      <w:r>
        <w:rPr>
          <w:rFonts w:hint="eastAsia"/>
          <w:b/>
          <w:color w:val="auto"/>
          <w:highlight w:val="none"/>
          <w:u w:val="none"/>
        </w:rPr>
        <w:fldChar w:fldCharType="end"/>
      </w:r>
      <w:r>
        <w:rPr>
          <w:rFonts w:hint="eastAsia"/>
          <w:b/>
          <w:color w:val="auto"/>
          <w:highlight w:val="none"/>
          <w:u w:val="none"/>
        </w:rPr>
        <w:noBreakHyphen/>
      </w:r>
      <w:r>
        <w:rPr>
          <w:rFonts w:hint="eastAsia"/>
          <w:b/>
          <w:color w:val="auto"/>
          <w:highlight w:val="none"/>
          <w:u w:val="none"/>
        </w:rPr>
        <w:fldChar w:fldCharType="begin"/>
      </w:r>
      <w:r>
        <w:rPr>
          <w:rFonts w:hint="eastAsia"/>
          <w:b/>
          <w:color w:val="auto"/>
          <w:highlight w:val="none"/>
          <w:u w:val="none"/>
        </w:rPr>
        <w:instrText xml:space="preserve"> SEQ 表 \* ARABIC \s 2 </w:instrText>
      </w:r>
      <w:r>
        <w:rPr>
          <w:rFonts w:hint="eastAsia"/>
          <w:b/>
          <w:color w:val="auto"/>
          <w:highlight w:val="none"/>
          <w:u w:val="none"/>
        </w:rPr>
        <w:fldChar w:fldCharType="separate"/>
      </w:r>
      <w:r>
        <w:rPr>
          <w:rFonts w:hint="eastAsia"/>
          <w:b/>
          <w:color w:val="auto"/>
          <w:highlight w:val="none"/>
          <w:u w:val="none"/>
        </w:rPr>
        <w:t>2</w:t>
      </w:r>
      <w:r>
        <w:rPr>
          <w:rFonts w:hint="eastAsia"/>
          <w:b/>
          <w:color w:val="auto"/>
          <w:highlight w:val="none"/>
          <w:u w:val="none"/>
        </w:rPr>
        <w:fldChar w:fldCharType="end"/>
      </w:r>
      <w:bookmarkEnd w:id="392"/>
      <w:r>
        <w:rPr>
          <w:rFonts w:hint="eastAsia"/>
          <w:b/>
          <w:color w:val="auto"/>
          <w:highlight w:val="none"/>
          <w:u w:val="none"/>
        </w:rPr>
        <w:t xml:space="preserve">  典型施工设备噪声声级</w:t>
      </w:r>
    </w:p>
    <w:tbl>
      <w:tblPr>
        <w:tblStyle w:val="5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10"/>
        <w:gridCol w:w="819"/>
        <w:gridCol w:w="676"/>
        <w:gridCol w:w="1477"/>
        <w:gridCol w:w="1629"/>
        <w:gridCol w:w="1841"/>
      </w:tblGrid>
      <w:tr w14:paraId="4D37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vAlign w:val="center"/>
          </w:tcPr>
          <w:p w14:paraId="2ACE78FE">
            <w:pPr>
              <w:pStyle w:val="92"/>
              <w:rPr>
                <w:color w:val="auto"/>
                <w:highlight w:val="none"/>
                <w:u w:val="none"/>
              </w:rPr>
            </w:pPr>
            <w:r>
              <w:rPr>
                <w:rFonts w:hint="eastAsia"/>
                <w:color w:val="auto"/>
                <w:highlight w:val="none"/>
                <w:u w:val="none"/>
              </w:rPr>
              <w:t>施工阶段</w:t>
            </w:r>
          </w:p>
        </w:tc>
        <w:tc>
          <w:tcPr>
            <w:tcW w:w="1710" w:type="dxa"/>
            <w:vAlign w:val="center"/>
          </w:tcPr>
          <w:p w14:paraId="4E047D64">
            <w:pPr>
              <w:pStyle w:val="92"/>
              <w:rPr>
                <w:color w:val="auto"/>
                <w:highlight w:val="none"/>
                <w:u w:val="none"/>
              </w:rPr>
            </w:pPr>
            <w:r>
              <w:rPr>
                <w:rFonts w:hint="eastAsia"/>
                <w:color w:val="auto"/>
                <w:highlight w:val="none"/>
                <w:u w:val="none"/>
              </w:rPr>
              <w:t>声源名称</w:t>
            </w:r>
          </w:p>
        </w:tc>
        <w:tc>
          <w:tcPr>
            <w:tcW w:w="819" w:type="dxa"/>
            <w:vAlign w:val="center"/>
          </w:tcPr>
          <w:p w14:paraId="1D4B4C5B">
            <w:pPr>
              <w:pStyle w:val="92"/>
              <w:rPr>
                <w:color w:val="auto"/>
                <w:highlight w:val="none"/>
                <w:u w:val="none"/>
              </w:rPr>
            </w:pPr>
            <w:r>
              <w:rPr>
                <w:rFonts w:hint="eastAsia"/>
                <w:color w:val="auto"/>
                <w:highlight w:val="none"/>
                <w:u w:val="none"/>
              </w:rPr>
              <w:t>单位</w:t>
            </w:r>
          </w:p>
        </w:tc>
        <w:tc>
          <w:tcPr>
            <w:tcW w:w="676" w:type="dxa"/>
            <w:vAlign w:val="center"/>
          </w:tcPr>
          <w:p w14:paraId="6CBD0F87">
            <w:pPr>
              <w:pStyle w:val="92"/>
              <w:rPr>
                <w:color w:val="auto"/>
                <w:highlight w:val="none"/>
                <w:u w:val="none"/>
              </w:rPr>
            </w:pPr>
            <w:r>
              <w:rPr>
                <w:rFonts w:hint="eastAsia"/>
                <w:color w:val="auto"/>
                <w:highlight w:val="none"/>
                <w:u w:val="none"/>
              </w:rPr>
              <w:t>数量</w:t>
            </w:r>
          </w:p>
        </w:tc>
        <w:tc>
          <w:tcPr>
            <w:tcW w:w="1477" w:type="dxa"/>
            <w:vAlign w:val="center"/>
          </w:tcPr>
          <w:p w14:paraId="2C09B165">
            <w:pPr>
              <w:pStyle w:val="92"/>
              <w:rPr>
                <w:color w:val="auto"/>
                <w:highlight w:val="none"/>
                <w:u w:val="none"/>
              </w:rPr>
            </w:pPr>
            <w:r>
              <w:rPr>
                <w:rFonts w:hint="eastAsia"/>
                <w:color w:val="auto"/>
                <w:highlight w:val="none"/>
                <w:u w:val="none"/>
              </w:rPr>
              <w:t>源强dB（A）</w:t>
            </w:r>
          </w:p>
        </w:tc>
        <w:tc>
          <w:tcPr>
            <w:tcW w:w="1629" w:type="dxa"/>
            <w:vAlign w:val="center"/>
          </w:tcPr>
          <w:p w14:paraId="0AE73335">
            <w:pPr>
              <w:pStyle w:val="92"/>
              <w:rPr>
                <w:color w:val="auto"/>
                <w:highlight w:val="none"/>
                <w:u w:val="none"/>
              </w:rPr>
            </w:pPr>
            <w:r>
              <w:rPr>
                <w:rFonts w:hint="eastAsia"/>
                <w:color w:val="auto"/>
                <w:highlight w:val="none"/>
                <w:u w:val="none"/>
              </w:rPr>
              <w:t>测量距离（m）</w:t>
            </w:r>
          </w:p>
        </w:tc>
        <w:tc>
          <w:tcPr>
            <w:tcW w:w="1841" w:type="dxa"/>
            <w:vAlign w:val="center"/>
          </w:tcPr>
          <w:p w14:paraId="62A41E9E">
            <w:pPr>
              <w:pStyle w:val="92"/>
              <w:rPr>
                <w:color w:val="auto"/>
                <w:highlight w:val="none"/>
                <w:u w:val="none"/>
              </w:rPr>
            </w:pPr>
            <w:r>
              <w:rPr>
                <w:rFonts w:hint="eastAsia"/>
                <w:color w:val="auto"/>
                <w:highlight w:val="none"/>
                <w:u w:val="none"/>
              </w:rPr>
              <w:t>声源性质</w:t>
            </w:r>
          </w:p>
        </w:tc>
      </w:tr>
      <w:tr w14:paraId="7BD3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vAlign w:val="center"/>
          </w:tcPr>
          <w:p w14:paraId="62668ED5">
            <w:pPr>
              <w:pStyle w:val="92"/>
              <w:rPr>
                <w:color w:val="auto"/>
                <w:highlight w:val="none"/>
                <w:u w:val="none"/>
              </w:rPr>
            </w:pPr>
            <w:r>
              <w:rPr>
                <w:rFonts w:hint="eastAsia"/>
                <w:color w:val="auto"/>
                <w:highlight w:val="none"/>
                <w:u w:val="none"/>
              </w:rPr>
              <w:t>安装</w:t>
            </w:r>
          </w:p>
        </w:tc>
        <w:tc>
          <w:tcPr>
            <w:tcW w:w="1710" w:type="dxa"/>
            <w:vAlign w:val="center"/>
          </w:tcPr>
          <w:p w14:paraId="13825AC5">
            <w:pPr>
              <w:pStyle w:val="92"/>
              <w:rPr>
                <w:color w:val="auto"/>
                <w:highlight w:val="none"/>
                <w:u w:val="none"/>
              </w:rPr>
            </w:pPr>
            <w:r>
              <w:rPr>
                <w:rFonts w:hint="eastAsia"/>
                <w:color w:val="auto"/>
                <w:highlight w:val="none"/>
                <w:u w:val="none"/>
              </w:rPr>
              <w:t>起重机</w:t>
            </w:r>
          </w:p>
        </w:tc>
        <w:tc>
          <w:tcPr>
            <w:tcW w:w="819" w:type="dxa"/>
            <w:vAlign w:val="center"/>
          </w:tcPr>
          <w:p w14:paraId="0AE105CC">
            <w:pPr>
              <w:pStyle w:val="92"/>
              <w:rPr>
                <w:color w:val="auto"/>
                <w:highlight w:val="none"/>
                <w:u w:val="none"/>
              </w:rPr>
            </w:pPr>
            <w:r>
              <w:rPr>
                <w:rFonts w:hint="eastAsia"/>
                <w:color w:val="auto"/>
                <w:highlight w:val="none"/>
                <w:u w:val="none"/>
              </w:rPr>
              <w:t>台</w:t>
            </w:r>
          </w:p>
        </w:tc>
        <w:tc>
          <w:tcPr>
            <w:tcW w:w="676" w:type="dxa"/>
            <w:vAlign w:val="center"/>
          </w:tcPr>
          <w:p w14:paraId="75A8087F">
            <w:pPr>
              <w:pStyle w:val="92"/>
              <w:rPr>
                <w:color w:val="auto"/>
                <w:highlight w:val="none"/>
                <w:u w:val="none"/>
              </w:rPr>
            </w:pPr>
            <w:r>
              <w:rPr>
                <w:rFonts w:hint="eastAsia"/>
                <w:color w:val="auto"/>
                <w:highlight w:val="none"/>
                <w:u w:val="none"/>
              </w:rPr>
              <w:t>3</w:t>
            </w:r>
          </w:p>
        </w:tc>
        <w:tc>
          <w:tcPr>
            <w:tcW w:w="1477" w:type="dxa"/>
            <w:vAlign w:val="center"/>
          </w:tcPr>
          <w:p w14:paraId="4A5AE27A">
            <w:pPr>
              <w:pStyle w:val="92"/>
              <w:rPr>
                <w:color w:val="auto"/>
                <w:highlight w:val="none"/>
                <w:u w:val="none"/>
              </w:rPr>
            </w:pPr>
            <w:r>
              <w:rPr>
                <w:rFonts w:hint="eastAsia"/>
                <w:color w:val="auto"/>
                <w:highlight w:val="none"/>
                <w:u w:val="none"/>
              </w:rPr>
              <w:t>80</w:t>
            </w:r>
          </w:p>
        </w:tc>
        <w:tc>
          <w:tcPr>
            <w:tcW w:w="1629" w:type="dxa"/>
            <w:vAlign w:val="center"/>
          </w:tcPr>
          <w:p w14:paraId="1BAF435B">
            <w:pPr>
              <w:pStyle w:val="92"/>
              <w:rPr>
                <w:color w:val="auto"/>
                <w:highlight w:val="none"/>
                <w:u w:val="none"/>
              </w:rPr>
            </w:pPr>
            <w:r>
              <w:rPr>
                <w:rFonts w:hint="eastAsia"/>
                <w:color w:val="auto"/>
                <w:highlight w:val="none"/>
                <w:u w:val="none"/>
              </w:rPr>
              <w:t>5</w:t>
            </w:r>
          </w:p>
        </w:tc>
        <w:tc>
          <w:tcPr>
            <w:tcW w:w="1841" w:type="dxa"/>
            <w:vAlign w:val="center"/>
          </w:tcPr>
          <w:p w14:paraId="2DB7B627">
            <w:pPr>
              <w:pStyle w:val="92"/>
              <w:rPr>
                <w:color w:val="auto"/>
                <w:highlight w:val="none"/>
                <w:u w:val="none"/>
              </w:rPr>
            </w:pPr>
            <w:r>
              <w:rPr>
                <w:rFonts w:hint="eastAsia"/>
                <w:color w:val="auto"/>
                <w:highlight w:val="none"/>
                <w:u w:val="none"/>
              </w:rPr>
              <w:t>间歇性声源</w:t>
            </w:r>
          </w:p>
        </w:tc>
      </w:tr>
      <w:tr w14:paraId="483A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vAlign w:val="center"/>
          </w:tcPr>
          <w:p w14:paraId="060283DF">
            <w:pPr>
              <w:pStyle w:val="92"/>
              <w:rPr>
                <w:color w:val="auto"/>
                <w:highlight w:val="none"/>
                <w:u w:val="none"/>
              </w:rPr>
            </w:pPr>
            <w:r>
              <w:rPr>
                <w:rFonts w:hint="eastAsia"/>
                <w:color w:val="auto"/>
                <w:highlight w:val="none"/>
                <w:u w:val="none"/>
              </w:rPr>
              <w:t>全过程</w:t>
            </w:r>
          </w:p>
        </w:tc>
        <w:tc>
          <w:tcPr>
            <w:tcW w:w="1710" w:type="dxa"/>
            <w:vAlign w:val="center"/>
          </w:tcPr>
          <w:p w14:paraId="2989AE99">
            <w:pPr>
              <w:pStyle w:val="92"/>
              <w:rPr>
                <w:color w:val="auto"/>
                <w:highlight w:val="none"/>
                <w:u w:val="none"/>
              </w:rPr>
            </w:pPr>
            <w:r>
              <w:rPr>
                <w:rFonts w:hint="eastAsia"/>
                <w:color w:val="auto"/>
                <w:highlight w:val="none"/>
                <w:u w:val="none"/>
              </w:rPr>
              <w:t>运输车辆</w:t>
            </w:r>
          </w:p>
        </w:tc>
        <w:tc>
          <w:tcPr>
            <w:tcW w:w="819" w:type="dxa"/>
            <w:vAlign w:val="center"/>
          </w:tcPr>
          <w:p w14:paraId="21FBD9FB">
            <w:pPr>
              <w:pStyle w:val="92"/>
              <w:rPr>
                <w:color w:val="auto"/>
                <w:highlight w:val="none"/>
                <w:u w:val="none"/>
              </w:rPr>
            </w:pPr>
            <w:r>
              <w:rPr>
                <w:rFonts w:hint="eastAsia"/>
                <w:color w:val="auto"/>
                <w:highlight w:val="none"/>
                <w:u w:val="none"/>
              </w:rPr>
              <w:t>辆</w:t>
            </w:r>
          </w:p>
        </w:tc>
        <w:tc>
          <w:tcPr>
            <w:tcW w:w="676" w:type="dxa"/>
            <w:vAlign w:val="center"/>
          </w:tcPr>
          <w:p w14:paraId="55E64714">
            <w:pPr>
              <w:pStyle w:val="92"/>
              <w:rPr>
                <w:color w:val="auto"/>
                <w:highlight w:val="none"/>
                <w:u w:val="none"/>
              </w:rPr>
            </w:pPr>
            <w:r>
              <w:rPr>
                <w:rFonts w:hint="eastAsia"/>
                <w:color w:val="auto"/>
                <w:highlight w:val="none"/>
                <w:u w:val="none"/>
              </w:rPr>
              <w:t>10</w:t>
            </w:r>
          </w:p>
        </w:tc>
        <w:tc>
          <w:tcPr>
            <w:tcW w:w="1477" w:type="dxa"/>
            <w:vAlign w:val="center"/>
          </w:tcPr>
          <w:p w14:paraId="7E419C62">
            <w:pPr>
              <w:pStyle w:val="92"/>
              <w:rPr>
                <w:color w:val="auto"/>
                <w:highlight w:val="none"/>
                <w:u w:val="none"/>
              </w:rPr>
            </w:pPr>
            <w:r>
              <w:rPr>
                <w:rFonts w:hint="eastAsia"/>
                <w:color w:val="auto"/>
                <w:highlight w:val="none"/>
                <w:u w:val="none"/>
              </w:rPr>
              <w:t>86</w:t>
            </w:r>
          </w:p>
        </w:tc>
        <w:tc>
          <w:tcPr>
            <w:tcW w:w="1629" w:type="dxa"/>
            <w:vAlign w:val="center"/>
          </w:tcPr>
          <w:p w14:paraId="36195ECD">
            <w:pPr>
              <w:pStyle w:val="92"/>
              <w:rPr>
                <w:color w:val="auto"/>
                <w:highlight w:val="none"/>
                <w:u w:val="none"/>
              </w:rPr>
            </w:pPr>
            <w:r>
              <w:rPr>
                <w:rFonts w:hint="eastAsia"/>
                <w:color w:val="auto"/>
                <w:highlight w:val="none"/>
                <w:u w:val="none"/>
              </w:rPr>
              <w:t>1</w:t>
            </w:r>
          </w:p>
        </w:tc>
        <w:tc>
          <w:tcPr>
            <w:tcW w:w="1841" w:type="dxa"/>
            <w:vAlign w:val="center"/>
          </w:tcPr>
          <w:p w14:paraId="0656BA6A">
            <w:pPr>
              <w:pStyle w:val="92"/>
              <w:rPr>
                <w:color w:val="auto"/>
                <w:highlight w:val="none"/>
                <w:u w:val="none"/>
              </w:rPr>
            </w:pPr>
            <w:r>
              <w:rPr>
                <w:rFonts w:hint="eastAsia"/>
                <w:color w:val="auto"/>
                <w:highlight w:val="none"/>
                <w:u w:val="none"/>
              </w:rPr>
              <w:t>间歇性声源</w:t>
            </w:r>
          </w:p>
        </w:tc>
      </w:tr>
    </w:tbl>
    <w:p w14:paraId="7961E89F">
      <w:pPr>
        <w:pStyle w:val="71"/>
        <w:rPr>
          <w:rFonts w:hint="eastAsia"/>
          <w:color w:val="auto"/>
          <w:highlight w:val="none"/>
          <w:u w:val="none"/>
        </w:rPr>
      </w:pPr>
    </w:p>
    <w:p w14:paraId="3C261AD7">
      <w:pPr>
        <w:pStyle w:val="71"/>
        <w:rPr>
          <w:rFonts w:hint="eastAsia"/>
          <w:color w:val="auto"/>
          <w:highlight w:val="none"/>
          <w:u w:val="none"/>
        </w:rPr>
      </w:pPr>
      <w:r>
        <w:rPr>
          <w:rFonts w:hint="eastAsia"/>
          <w:color w:val="auto"/>
          <w:highlight w:val="none"/>
          <w:u w:val="none"/>
        </w:rPr>
        <w:t>施工期间应合理安排施工作业时间，选用高效低噪的安装施工设备，以降低施工噪声对环境的影响。</w:t>
      </w:r>
    </w:p>
    <w:p w14:paraId="1CE08658">
      <w:pPr>
        <w:pStyle w:val="6"/>
        <w:spacing w:before="156" w:after="156"/>
        <w:rPr>
          <w:color w:val="auto"/>
          <w:highlight w:val="none"/>
          <w:u w:val="none"/>
        </w:rPr>
      </w:pPr>
      <w:r>
        <w:rPr>
          <w:rFonts w:hint="eastAsia"/>
          <w:color w:val="auto"/>
          <w:highlight w:val="none"/>
          <w:u w:val="none"/>
        </w:rPr>
        <w:t>施工期固体废物分析</w:t>
      </w:r>
    </w:p>
    <w:p w14:paraId="6C8EA872">
      <w:pPr>
        <w:rPr>
          <w:rFonts w:hint="eastAsia"/>
          <w:color w:val="auto"/>
          <w:highlight w:val="none"/>
          <w:u w:val="none"/>
          <w:lang w:val="en-US"/>
        </w:rPr>
      </w:pPr>
      <w:r>
        <w:rPr>
          <w:rFonts w:hint="eastAsia"/>
          <w:color w:val="auto"/>
          <w:highlight w:val="none"/>
          <w:u w:val="none"/>
          <w:lang w:val="en-US"/>
        </w:rPr>
        <w:t>（1）施工作业固体废物</w:t>
      </w:r>
    </w:p>
    <w:p w14:paraId="37E10C62">
      <w:pPr>
        <w:rPr>
          <w:rFonts w:hint="eastAsia"/>
          <w:color w:val="auto"/>
          <w:highlight w:val="none"/>
          <w:u w:val="none"/>
          <w:lang w:val="en-US"/>
        </w:rPr>
      </w:pPr>
      <w:r>
        <w:rPr>
          <w:rFonts w:hint="eastAsia"/>
          <w:color w:val="auto"/>
          <w:highlight w:val="none"/>
          <w:u w:val="none"/>
          <w:lang w:val="en-US"/>
        </w:rPr>
        <w:t>施工作业固体废物主要为建筑模板、建筑材料下脚料、包装袋、废矿物油及含油废物、废油漆桶、少量机械修配擦油布等。</w:t>
      </w:r>
    </w:p>
    <w:p w14:paraId="4FA4E5E4">
      <w:pPr>
        <w:rPr>
          <w:rFonts w:hint="eastAsia"/>
          <w:color w:val="auto"/>
          <w:highlight w:val="none"/>
          <w:u w:val="none"/>
          <w:lang w:val="en-US"/>
        </w:rPr>
      </w:pPr>
      <w:r>
        <w:rPr>
          <w:rFonts w:hint="eastAsia"/>
          <w:color w:val="auto"/>
          <w:highlight w:val="none"/>
          <w:u w:val="none"/>
          <w:lang w:val="en-US"/>
        </w:rPr>
        <w:t>①施工作业产生的建筑模板、建筑材料下脚料、包装袋等应回收综合利用。</w:t>
      </w:r>
    </w:p>
    <w:p w14:paraId="041430F3">
      <w:pPr>
        <w:rPr>
          <w:rFonts w:hint="eastAsia"/>
          <w:color w:val="auto"/>
          <w:highlight w:val="none"/>
          <w:u w:val="none"/>
          <w:lang w:val="en-US"/>
        </w:rPr>
      </w:pPr>
      <w:r>
        <w:rPr>
          <w:rFonts w:hint="eastAsia"/>
          <w:color w:val="auto"/>
          <w:highlight w:val="none"/>
          <w:u w:val="none"/>
          <w:lang w:val="en-US"/>
        </w:rPr>
        <w:t>②施工安装过程产生的废杂物、含油抹布由环卫部门处置。</w:t>
      </w:r>
    </w:p>
    <w:p w14:paraId="15A69AF2">
      <w:pPr>
        <w:rPr>
          <w:rFonts w:hint="eastAsia"/>
          <w:color w:val="auto"/>
          <w:highlight w:val="none"/>
          <w:u w:val="none"/>
          <w:lang w:val="en-US"/>
        </w:rPr>
      </w:pPr>
      <w:r>
        <w:rPr>
          <w:rFonts w:hint="eastAsia"/>
          <w:color w:val="auto"/>
          <w:highlight w:val="none"/>
          <w:u w:val="none"/>
          <w:lang w:val="en-US"/>
        </w:rPr>
        <w:t>③施工安装场地的垃圾、杂物应有序堆放和及时清除。</w:t>
      </w:r>
    </w:p>
    <w:p w14:paraId="3392E006">
      <w:pPr>
        <w:rPr>
          <w:rFonts w:hint="eastAsia"/>
          <w:color w:val="auto"/>
          <w:highlight w:val="none"/>
          <w:u w:val="none"/>
          <w:lang w:val="en-US"/>
        </w:rPr>
      </w:pPr>
      <w:r>
        <w:rPr>
          <w:rFonts w:hint="eastAsia"/>
          <w:color w:val="auto"/>
          <w:highlight w:val="none"/>
          <w:u w:val="none"/>
          <w:lang w:val="en-US"/>
        </w:rPr>
        <w:t>④施工过程产生的废矿物油及含油废物、废油漆桶等应集中收集，委托有资质单位接收处理处置。</w:t>
      </w:r>
    </w:p>
    <w:p w14:paraId="24A9232B">
      <w:pPr>
        <w:rPr>
          <w:rFonts w:hint="eastAsia"/>
          <w:color w:val="auto"/>
          <w:highlight w:val="none"/>
          <w:u w:val="none"/>
          <w:lang w:val="en-US"/>
        </w:rPr>
      </w:pPr>
      <w:r>
        <w:rPr>
          <w:rFonts w:hint="eastAsia"/>
          <w:color w:val="auto"/>
          <w:highlight w:val="none"/>
          <w:u w:val="none"/>
          <w:lang w:val="en-US"/>
        </w:rPr>
        <w:t>（2）施工过程TDI装置更换的泵和仪表等零部件清洗后暂存厂内一般固废暂存间，及时委托有能力单位处置；在TDI装置区内预留用地上设置暂存区，暂存区设置适当的防雨、防渗、拦挡等防护措施，更换的大型旧设备先将存留的物料清空，再吹扫清洗去除设备附着物，达到施工作业条件，拆除存放在暂存区，作为一般固体废物及时委托有能力单位处置。</w:t>
      </w:r>
    </w:p>
    <w:p w14:paraId="07B6EC0F">
      <w:pPr>
        <w:rPr>
          <w:rFonts w:hint="eastAsia"/>
          <w:color w:val="auto"/>
          <w:highlight w:val="none"/>
          <w:u w:val="none"/>
          <w:lang w:val="en-US"/>
        </w:rPr>
      </w:pPr>
      <w:r>
        <w:rPr>
          <w:rFonts w:hint="eastAsia"/>
          <w:color w:val="auto"/>
          <w:highlight w:val="none"/>
          <w:u w:val="none"/>
          <w:lang w:val="en-US"/>
        </w:rPr>
        <w:t>技改过程更换的废催化剂、废污油等危险废物贮存厂内危险废物贮存间，及时委托有资质单位处置。</w:t>
      </w:r>
    </w:p>
    <w:p w14:paraId="0F8AC136">
      <w:pPr>
        <w:rPr>
          <w:rFonts w:hint="eastAsia"/>
          <w:color w:val="auto"/>
          <w:highlight w:val="none"/>
          <w:u w:val="none"/>
          <w:lang w:val="en-US"/>
        </w:rPr>
      </w:pPr>
      <w:r>
        <w:rPr>
          <w:rFonts w:hint="eastAsia"/>
          <w:color w:val="auto"/>
          <w:highlight w:val="none"/>
          <w:u w:val="none"/>
          <w:lang w:val="en-US"/>
        </w:rPr>
        <w:t>（3）施工生活垃圾</w:t>
      </w:r>
    </w:p>
    <w:p w14:paraId="5922EC36">
      <w:pPr>
        <w:rPr>
          <w:rFonts w:hint="eastAsia"/>
          <w:color w:val="auto"/>
          <w:highlight w:val="none"/>
          <w:u w:val="none"/>
        </w:rPr>
      </w:pPr>
      <w:r>
        <w:rPr>
          <w:rFonts w:hint="eastAsia"/>
          <w:color w:val="auto"/>
          <w:highlight w:val="none"/>
          <w:u w:val="none"/>
          <w:lang w:val="en-US"/>
        </w:rPr>
        <w:t>本项目安装施工高峰期各类施工人员约50人，按每人每天产生0.5kg生活垃圾估算，则项目施工期生活垃圾产生量为25kg/d。生活垃圾包括残剩食物、废纸、塑料等。</w:t>
      </w:r>
    </w:p>
    <w:p w14:paraId="2BCCCB47">
      <w:pPr>
        <w:pStyle w:val="6"/>
        <w:spacing w:before="156" w:after="156"/>
        <w:rPr>
          <w:color w:val="auto"/>
          <w:highlight w:val="none"/>
          <w:u w:val="none"/>
        </w:rPr>
      </w:pPr>
      <w:r>
        <w:rPr>
          <w:rFonts w:hint="eastAsia"/>
          <w:color w:val="auto"/>
          <w:highlight w:val="none"/>
          <w:u w:val="none"/>
        </w:rPr>
        <w:t>施工期主要污染控制措施</w:t>
      </w:r>
    </w:p>
    <w:p w14:paraId="6A9F3FB4">
      <w:pPr>
        <w:rPr>
          <w:rFonts w:hint="eastAsia"/>
          <w:color w:val="auto"/>
          <w:highlight w:val="none"/>
          <w:u w:val="none"/>
          <w:lang w:val="en-US"/>
        </w:rPr>
      </w:pPr>
      <w:r>
        <w:rPr>
          <w:rFonts w:hint="eastAsia"/>
          <w:color w:val="auto"/>
          <w:highlight w:val="none"/>
          <w:u w:val="none"/>
          <w:lang w:val="en-US"/>
        </w:rPr>
        <w:t>TDI装置改造过程产生的污染物主要为施工过程废水、废气、噪声、固废排放和TDI装置开停车三废排放。</w:t>
      </w:r>
    </w:p>
    <w:p w14:paraId="7A5BBF38">
      <w:pPr>
        <w:rPr>
          <w:rFonts w:hint="eastAsia"/>
          <w:color w:val="auto"/>
          <w:highlight w:val="none"/>
          <w:u w:val="none"/>
          <w:lang w:val="en-US"/>
        </w:rPr>
      </w:pPr>
      <w:r>
        <w:rPr>
          <w:rFonts w:hint="eastAsia"/>
          <w:color w:val="auto"/>
          <w:highlight w:val="none"/>
          <w:u w:val="none"/>
          <w:lang w:val="en-US"/>
        </w:rPr>
        <w:t>（1）施工期装置物料控制措施</w:t>
      </w:r>
    </w:p>
    <w:p w14:paraId="2CC3B796">
      <w:pPr>
        <w:rPr>
          <w:rFonts w:hint="eastAsia"/>
          <w:color w:val="auto"/>
          <w:highlight w:val="none"/>
          <w:u w:val="none"/>
          <w:lang w:val="en-US"/>
        </w:rPr>
      </w:pPr>
      <w:r>
        <w:rPr>
          <w:rFonts w:hint="eastAsia"/>
          <w:color w:val="auto"/>
          <w:highlight w:val="none"/>
          <w:u w:val="none"/>
          <w:lang w:val="en-US"/>
        </w:rPr>
        <w:t>技改过程中不可避免涉及装置开停车，根据建设单位进度安排，TDI装置技改扩能主要利用检修窗口期进行，根据物料产品走向，按工序流程进行技改，保证技改期间各工序无滞留反应物料，避免物料泄漏引起环境风险事故。</w:t>
      </w:r>
    </w:p>
    <w:p w14:paraId="6B66D33A">
      <w:pPr>
        <w:rPr>
          <w:rFonts w:hint="eastAsia"/>
          <w:color w:val="auto"/>
          <w:highlight w:val="none"/>
          <w:u w:val="none"/>
          <w:lang w:val="en-US"/>
        </w:rPr>
      </w:pPr>
      <w:r>
        <w:rPr>
          <w:rFonts w:hint="eastAsia"/>
          <w:color w:val="auto"/>
          <w:highlight w:val="none"/>
          <w:u w:val="none"/>
          <w:lang w:val="en-US"/>
        </w:rPr>
        <w:t>（2）施工期废水处理措施</w:t>
      </w:r>
    </w:p>
    <w:p w14:paraId="62C23AD3">
      <w:pPr>
        <w:rPr>
          <w:rFonts w:hint="eastAsia"/>
          <w:color w:val="auto"/>
          <w:highlight w:val="none"/>
          <w:u w:val="none"/>
          <w:lang w:val="en-US"/>
        </w:rPr>
      </w:pPr>
      <w:r>
        <w:rPr>
          <w:rFonts w:hint="eastAsia"/>
          <w:color w:val="auto"/>
          <w:highlight w:val="none"/>
          <w:u w:val="none"/>
          <w:lang w:val="en-US"/>
        </w:rPr>
        <w:t>施工人员生活污水与施工车辆冲洗废水依托厂内低浓度废水处理系统处理后排入江阴污水处理厂。</w:t>
      </w:r>
    </w:p>
    <w:p w14:paraId="50579A13">
      <w:pPr>
        <w:rPr>
          <w:rFonts w:hint="eastAsia"/>
          <w:color w:val="auto"/>
          <w:highlight w:val="none"/>
          <w:u w:val="none"/>
          <w:lang w:val="en-US"/>
        </w:rPr>
      </w:pPr>
      <w:r>
        <w:rPr>
          <w:rFonts w:hint="eastAsia"/>
          <w:color w:val="auto"/>
          <w:highlight w:val="none"/>
          <w:u w:val="none"/>
          <w:lang w:val="en-US"/>
        </w:rPr>
        <w:t>技改过程中的罐体清空排水、设备清洗废水、装置临时性用水的排水及非正常生产排水等通过污水管网排入污水处理系统的废水缓冲池，先在废水缓冲池内暂存，再分批次与其他废水调节均质后送入污水处理系统处理。</w:t>
      </w:r>
    </w:p>
    <w:p w14:paraId="4BBEBA8C">
      <w:pPr>
        <w:rPr>
          <w:rFonts w:hint="eastAsia"/>
          <w:color w:val="auto"/>
          <w:highlight w:val="none"/>
          <w:u w:val="none"/>
          <w:lang w:val="en-US"/>
        </w:rPr>
      </w:pPr>
      <w:r>
        <w:rPr>
          <w:rFonts w:hint="eastAsia"/>
          <w:color w:val="auto"/>
          <w:highlight w:val="none"/>
          <w:u w:val="none"/>
          <w:lang w:val="en-US"/>
        </w:rPr>
        <w:t>在设备及管道安装完成后，需要对设备及管道进行清洗试压。设备及管道清洗试压废水即为设备及管道的清洗和试压阶段排放的废水，废水中含少量的铁锈等悬浮物，可依托厂内低浓度废水处理系统处理。</w:t>
      </w:r>
    </w:p>
    <w:p w14:paraId="6F07590F">
      <w:pPr>
        <w:rPr>
          <w:rFonts w:hint="eastAsia"/>
          <w:color w:val="auto"/>
          <w:highlight w:val="none"/>
          <w:u w:val="none"/>
          <w:lang w:val="en-US"/>
        </w:rPr>
      </w:pPr>
      <w:r>
        <w:rPr>
          <w:rFonts w:hint="eastAsia"/>
          <w:color w:val="auto"/>
          <w:highlight w:val="none"/>
          <w:u w:val="none"/>
          <w:lang w:val="en-US"/>
        </w:rPr>
        <w:t>（3）施工期废气处理措施</w:t>
      </w:r>
    </w:p>
    <w:p w14:paraId="07F08A3E">
      <w:pPr>
        <w:rPr>
          <w:rFonts w:hint="eastAsia"/>
          <w:color w:val="auto"/>
          <w:highlight w:val="none"/>
          <w:u w:val="none"/>
          <w:lang w:val="en-US"/>
        </w:rPr>
      </w:pPr>
      <w:r>
        <w:rPr>
          <w:rFonts w:hint="eastAsia"/>
          <w:color w:val="auto"/>
          <w:highlight w:val="none"/>
          <w:u w:val="none"/>
          <w:lang w:val="en-US"/>
        </w:rPr>
        <w:t>技改过程各管道、中间罐、反应塔等设备废气采用排气置换措施，排出的废气由风机送往各废气处理设施处理后达标排放。</w:t>
      </w:r>
    </w:p>
    <w:p w14:paraId="31F40E51">
      <w:pPr>
        <w:rPr>
          <w:rFonts w:hint="eastAsia"/>
          <w:color w:val="auto"/>
          <w:highlight w:val="none"/>
          <w:u w:val="none"/>
          <w:lang w:val="en-US"/>
        </w:rPr>
      </w:pPr>
      <w:r>
        <w:rPr>
          <w:rFonts w:hint="eastAsia"/>
          <w:color w:val="auto"/>
          <w:highlight w:val="none"/>
          <w:u w:val="none"/>
          <w:lang w:val="en-US"/>
        </w:rPr>
        <w:t>（4）施工期固体废物处置</w:t>
      </w:r>
    </w:p>
    <w:p w14:paraId="7AD61031">
      <w:pPr>
        <w:rPr>
          <w:rFonts w:hint="eastAsia"/>
          <w:color w:val="auto"/>
          <w:highlight w:val="none"/>
          <w:u w:val="none"/>
          <w:lang w:val="en-US"/>
        </w:rPr>
      </w:pPr>
      <w:r>
        <w:rPr>
          <w:rFonts w:hint="eastAsia"/>
          <w:color w:val="auto"/>
          <w:highlight w:val="none"/>
          <w:u w:val="none"/>
          <w:lang w:val="en-US"/>
        </w:rPr>
        <w:t>技改过程更换的废催化剂、废污油等危险废物贮存收集委托有资质单位接收处置。更换的泵和仪表等设备清洗后暂存一般固废暂存间，及时委托有能力单位处置；在TDI装置区内预留用地上设置暂存区，暂存区设置适当的防雨、防渗、拦挡等防护措施，更换的旧设备先将存留的物料清空，再吹扫清洗去除设备附着物，达到施工作业条件，存放在暂存区，作为一般固体废物及时委托有能力单位处置。</w:t>
      </w:r>
    </w:p>
    <w:p w14:paraId="01380EAE">
      <w:pPr>
        <w:rPr>
          <w:rFonts w:hint="eastAsia"/>
          <w:color w:val="auto"/>
          <w:highlight w:val="none"/>
          <w:u w:val="none"/>
          <w:lang w:val="en-US"/>
        </w:rPr>
      </w:pPr>
      <w:r>
        <w:rPr>
          <w:rFonts w:hint="eastAsia"/>
          <w:color w:val="auto"/>
          <w:highlight w:val="none"/>
          <w:u w:val="none"/>
          <w:lang w:val="en-US"/>
        </w:rPr>
        <w:t>（5）施工期土壤污染控制措施</w:t>
      </w:r>
    </w:p>
    <w:p w14:paraId="5E97EBD2">
      <w:pPr>
        <w:rPr>
          <w:rFonts w:hint="eastAsia"/>
          <w:color w:val="auto"/>
          <w:highlight w:val="none"/>
          <w:u w:val="none"/>
          <w:lang w:val="en-US"/>
        </w:rPr>
      </w:pPr>
      <w:r>
        <w:rPr>
          <w:rFonts w:hint="eastAsia"/>
          <w:color w:val="auto"/>
          <w:highlight w:val="none"/>
          <w:u w:val="none"/>
          <w:lang w:val="en-US"/>
        </w:rPr>
        <w:t>针对TDI装置施工过程更换的设备，泵和仪表等零部件清洗后暂存厂内一般固废暂存间，及时委托有能力单位处置；在TDI装置区预留用地上设置暂存区，暂存区设置适当的防雨、防渗、拦挡等防护措施，更换的大型旧设备先将存留的物料清空，再吹扫清洗去除设备附着物，达到施工作业条件，拆除存放在暂存区，作为一般固体废物及时委托有能力单位处置；通过上述措施避免更换的设备对土壤造成污染。</w:t>
      </w:r>
    </w:p>
    <w:p w14:paraId="053EC37E">
      <w:pPr>
        <w:rPr>
          <w:rFonts w:hint="eastAsia"/>
          <w:color w:val="auto"/>
          <w:highlight w:val="none"/>
          <w:u w:val="none"/>
          <w:lang w:val="en-US"/>
        </w:rPr>
      </w:pPr>
      <w:r>
        <w:rPr>
          <w:rFonts w:hint="eastAsia"/>
          <w:color w:val="auto"/>
          <w:highlight w:val="none"/>
          <w:u w:val="none"/>
          <w:lang w:val="en-US"/>
        </w:rPr>
        <w:t>综上，TDI装置利用检修窗口期进行技改，施工区域主要在现有TDI装置内，对厂内其他附属设施工程影响较小，装置区内和依托的环保设施可正常运行，处理停产期间的非正常排放废气、废水，对周边的环境影响不大。</w:t>
      </w:r>
    </w:p>
    <w:p w14:paraId="53DE5C70">
      <w:pPr>
        <w:pStyle w:val="4"/>
        <w:rPr>
          <w:color w:val="auto"/>
          <w:highlight w:val="none"/>
          <w:u w:val="none"/>
        </w:rPr>
      </w:pPr>
      <w:bookmarkStart w:id="393" w:name="_Toc148375012"/>
      <w:bookmarkStart w:id="394" w:name="_Toc148374805"/>
      <w:bookmarkStart w:id="395" w:name="_Toc148374570"/>
      <w:bookmarkStart w:id="396" w:name="_Toc19354"/>
      <w:r>
        <w:rPr>
          <w:rFonts w:hint="eastAsia"/>
          <w:color w:val="auto"/>
          <w:highlight w:val="none"/>
          <w:u w:val="none"/>
        </w:rPr>
        <w:t>清洁生产</w:t>
      </w:r>
      <w:bookmarkEnd w:id="393"/>
      <w:bookmarkEnd w:id="394"/>
      <w:bookmarkEnd w:id="395"/>
      <w:bookmarkEnd w:id="396"/>
    </w:p>
    <w:p w14:paraId="148D2036">
      <w:pPr>
        <w:rPr>
          <w:rFonts w:hint="eastAsia"/>
          <w:color w:val="auto"/>
          <w:highlight w:val="none"/>
          <w:u w:val="none"/>
        </w:rPr>
      </w:pPr>
      <w:r>
        <w:rPr>
          <w:rFonts w:hint="eastAsia"/>
          <w:color w:val="auto"/>
          <w:highlight w:val="none"/>
          <w:u w:val="none"/>
        </w:rPr>
        <w:t>《中华人民共和国清洁生产促进法》</w:t>
      </w:r>
      <w:r>
        <w:rPr>
          <w:color w:val="auto"/>
          <w:highlight w:val="none"/>
          <w:u w:val="none"/>
        </w:rPr>
        <w:t>要求新改扩建项目应进行环境影响评价，对原</w:t>
      </w:r>
      <w:r>
        <w:rPr>
          <w:rFonts w:hint="eastAsia"/>
          <w:color w:val="auto"/>
          <w:highlight w:val="none"/>
          <w:u w:val="none"/>
        </w:rPr>
        <w:t>料使用、</w:t>
      </w:r>
      <w:r>
        <w:rPr>
          <w:color w:val="auto"/>
          <w:highlight w:val="none"/>
          <w:u w:val="none"/>
        </w:rPr>
        <w:t>资源消耗、资源综合利用以及污染物产生与处置等方面进行分析论证，优先采</w:t>
      </w:r>
      <w:r>
        <w:rPr>
          <w:rFonts w:hint="eastAsia"/>
          <w:color w:val="auto"/>
          <w:highlight w:val="none"/>
          <w:u w:val="none"/>
        </w:rPr>
        <w:t>用资源利用率高及污染物产生量少的清洁生产技术、</w:t>
      </w:r>
      <w:r>
        <w:rPr>
          <w:color w:val="auto"/>
          <w:highlight w:val="none"/>
          <w:u w:val="none"/>
        </w:rPr>
        <w:t>工艺和设备。</w:t>
      </w:r>
    </w:p>
    <w:p w14:paraId="05198433">
      <w:pPr>
        <w:rPr>
          <w:rFonts w:hint="eastAsia"/>
          <w:color w:val="auto"/>
          <w:highlight w:val="none"/>
          <w:u w:val="none"/>
        </w:rPr>
      </w:pPr>
      <w:r>
        <w:rPr>
          <w:rFonts w:hint="eastAsia"/>
          <w:color w:val="auto"/>
          <w:highlight w:val="none"/>
          <w:u w:val="none"/>
        </w:rPr>
        <w:t>针对本项目的特点，</w:t>
      </w:r>
      <w:r>
        <w:rPr>
          <w:color w:val="auto"/>
          <w:highlight w:val="none"/>
          <w:u w:val="none"/>
        </w:rPr>
        <w:t>清洁生产分析主要从原料、产品选择、生产工艺、资源利用等</w:t>
      </w:r>
      <w:r>
        <w:rPr>
          <w:rFonts w:hint="eastAsia"/>
          <w:color w:val="auto"/>
          <w:highlight w:val="none"/>
          <w:u w:val="none"/>
        </w:rPr>
        <w:t>方面阐述清洁生产的同时，</w:t>
      </w:r>
      <w:r>
        <w:rPr>
          <w:color w:val="auto"/>
          <w:highlight w:val="none"/>
          <w:u w:val="none"/>
        </w:rPr>
        <w:t>还从单位产品物耗、能耗、水耗、污染产生等方面定量评价</w:t>
      </w:r>
      <w:r>
        <w:rPr>
          <w:rFonts w:hint="eastAsia"/>
          <w:color w:val="auto"/>
          <w:highlight w:val="none"/>
          <w:u w:val="none"/>
        </w:rPr>
        <w:t>其清洁生产水平。</w:t>
      </w:r>
      <w:r>
        <w:rPr>
          <w:color w:val="auto"/>
          <w:highlight w:val="none"/>
          <w:u w:val="none"/>
        </w:rPr>
        <w:t>根据循环经济原则，进行区域、企业不同层次的循环经济分析，为提</w:t>
      </w:r>
      <w:r>
        <w:rPr>
          <w:rFonts w:hint="eastAsia"/>
          <w:color w:val="auto"/>
          <w:highlight w:val="none"/>
          <w:u w:val="none"/>
        </w:rPr>
        <w:t>高项目循环经济水平提供科学依据。</w:t>
      </w:r>
    </w:p>
    <w:p w14:paraId="3EF13E11">
      <w:pPr>
        <w:pStyle w:val="6"/>
        <w:spacing w:before="156" w:after="156"/>
        <w:rPr>
          <w:color w:val="auto"/>
          <w:highlight w:val="none"/>
          <w:u w:val="none"/>
        </w:rPr>
      </w:pPr>
      <w:bookmarkStart w:id="397" w:name="_Toc148374571"/>
      <w:bookmarkStart w:id="398" w:name="_Toc148375013"/>
      <w:r>
        <w:rPr>
          <w:color w:val="auto"/>
          <w:highlight w:val="none"/>
          <w:u w:val="none"/>
        </w:rPr>
        <w:t>TDI 装置清洁生产分析</w:t>
      </w:r>
      <w:bookmarkEnd w:id="397"/>
      <w:bookmarkEnd w:id="398"/>
    </w:p>
    <w:p w14:paraId="47E6EC17">
      <w:pPr>
        <w:pStyle w:val="7"/>
        <w:spacing w:before="156"/>
        <w:rPr>
          <w:color w:val="auto"/>
          <w:highlight w:val="none"/>
          <w:u w:val="none"/>
        </w:rPr>
      </w:pPr>
      <w:r>
        <w:rPr>
          <w:color w:val="auto"/>
          <w:highlight w:val="none"/>
          <w:u w:val="none"/>
        </w:rPr>
        <w:t>原料及产品清洁性分析</w:t>
      </w:r>
    </w:p>
    <w:p w14:paraId="00FC0700">
      <w:pPr>
        <w:rPr>
          <w:rFonts w:hint="eastAsia"/>
          <w:color w:val="auto"/>
          <w:highlight w:val="none"/>
          <w:u w:val="none"/>
        </w:rPr>
      </w:pPr>
      <w:r>
        <w:rPr>
          <w:rFonts w:hint="eastAsia"/>
          <w:color w:val="auto"/>
          <w:highlight w:val="none"/>
          <w:u w:val="none"/>
        </w:rPr>
        <w:t>本项目生产涉及的原辅料、</w:t>
      </w:r>
      <w:r>
        <w:rPr>
          <w:color w:val="auto"/>
          <w:highlight w:val="none"/>
          <w:u w:val="none"/>
        </w:rPr>
        <w:t>中间产品和产品主要有甲苯、硫酸、硝酸、</w:t>
      </w:r>
      <w:r>
        <w:rPr>
          <w:rFonts w:hint="eastAsia"/>
          <w:color w:val="auto"/>
          <w:highlight w:val="none"/>
          <w:u w:val="none"/>
        </w:rPr>
        <w:t>烧碱、</w:t>
      </w:r>
      <w:r>
        <w:rPr>
          <w:color w:val="auto"/>
          <w:highlight w:val="none"/>
          <w:u w:val="none"/>
        </w:rPr>
        <w:t>二硝基甲苯、氢气、</w:t>
      </w:r>
      <w:r>
        <w:rPr>
          <w:rFonts w:hint="eastAsia"/>
          <w:color w:val="auto"/>
          <w:highlight w:val="none"/>
          <w:u w:val="none"/>
        </w:rPr>
        <w:t>甲苯二胺、</w:t>
      </w:r>
      <w:r>
        <w:rPr>
          <w:color w:val="auto"/>
          <w:highlight w:val="none"/>
          <w:u w:val="none"/>
        </w:rPr>
        <w:t>一氧化碳、氯气、邻二氯苯、光气、甲苯二异氰酸酯。</w:t>
      </w:r>
    </w:p>
    <w:p w14:paraId="5FA539E7">
      <w:pPr>
        <w:rPr>
          <w:rFonts w:hint="eastAsia"/>
          <w:color w:val="auto"/>
          <w:highlight w:val="none"/>
          <w:u w:val="none"/>
        </w:rPr>
      </w:pPr>
      <w:r>
        <w:rPr>
          <w:rFonts w:hint="eastAsia"/>
          <w:color w:val="auto"/>
          <w:highlight w:val="none"/>
          <w:u w:val="none"/>
        </w:rPr>
        <w:t>本装置产品甲苯二异氰酸酯</w:t>
      </w:r>
      <w:r>
        <w:rPr>
          <w:color w:val="auto"/>
          <w:highlight w:val="none"/>
          <w:u w:val="none"/>
        </w:rPr>
        <w:t>是制造聚氨基甲酸酯的基本原料，</w:t>
      </w:r>
      <w:r>
        <w:rPr>
          <w:rFonts w:hint="eastAsia"/>
          <w:color w:val="auto"/>
          <w:highlight w:val="none"/>
          <w:u w:val="none"/>
        </w:rPr>
        <w:t>根据《产业结构调整指导目录》</w:t>
      </w:r>
      <w:r>
        <w:rPr>
          <w:color w:val="auto"/>
          <w:highlight w:val="none"/>
          <w:u w:val="none"/>
        </w:rPr>
        <w:t>（20</w:t>
      </w:r>
      <w:r>
        <w:rPr>
          <w:rFonts w:hint="eastAsia"/>
          <w:color w:val="auto"/>
          <w:highlight w:val="none"/>
          <w:u w:val="none"/>
          <w:lang w:val="en-US"/>
        </w:rPr>
        <w:t>24</w:t>
      </w:r>
      <w:r>
        <w:rPr>
          <w:color w:val="auto"/>
          <w:highlight w:val="none"/>
          <w:u w:val="none"/>
        </w:rPr>
        <w:t>年本），本项目不属于鼓励类、限制类项</w:t>
      </w:r>
      <w:r>
        <w:rPr>
          <w:rFonts w:hint="eastAsia"/>
          <w:color w:val="auto"/>
          <w:highlight w:val="none"/>
          <w:u w:val="none"/>
        </w:rPr>
        <w:t>目</w:t>
      </w:r>
      <w:r>
        <w:rPr>
          <w:color w:val="auto"/>
          <w:highlight w:val="none"/>
          <w:u w:val="none"/>
        </w:rPr>
        <w:t>。</w:t>
      </w:r>
    </w:p>
    <w:p w14:paraId="63F2283A">
      <w:pPr>
        <w:pStyle w:val="7"/>
        <w:spacing w:before="156"/>
        <w:rPr>
          <w:color w:val="auto"/>
          <w:highlight w:val="none"/>
          <w:u w:val="none"/>
        </w:rPr>
      </w:pPr>
      <w:r>
        <w:rPr>
          <w:color w:val="auto"/>
          <w:highlight w:val="none"/>
          <w:u w:val="none"/>
        </w:rPr>
        <w:t>TDI 单位产品能源消耗</w:t>
      </w:r>
    </w:p>
    <w:p w14:paraId="6AE045A3">
      <w:pPr>
        <w:rPr>
          <w:rFonts w:hint="eastAsia"/>
        </w:rPr>
      </w:pPr>
      <w:r>
        <w:rPr>
          <w:rFonts w:hint="eastAsia"/>
          <w:color w:val="auto"/>
          <w:highlight w:val="none"/>
          <w:u w:val="none"/>
          <w:lang w:eastAsia="zh-CN"/>
        </w:rPr>
        <w:tab/>
      </w:r>
      <w:r>
        <w:rPr>
          <w:rFonts w:hint="eastAsia"/>
        </w:rPr>
        <w:t>（</w:t>
      </w:r>
      <w:r>
        <w:t>1）能耗指标</w:t>
      </w:r>
    </w:p>
    <w:p w14:paraId="38DC6BD6">
      <w:pPr>
        <w:rPr>
          <w:rFonts w:hint="eastAsia"/>
        </w:rPr>
      </w:pPr>
      <w:r>
        <w:rPr>
          <w:rFonts w:hint="eastAsia"/>
        </w:rPr>
        <w:t>①单位产品能源消耗指标分析</w:t>
      </w:r>
    </w:p>
    <w:p w14:paraId="7B21C0B0">
      <w:pPr>
        <w:rPr>
          <w:rFonts w:hint="eastAsia"/>
        </w:rPr>
      </w:pPr>
      <w:r>
        <w:t>本</w:t>
      </w:r>
      <w:r>
        <w:rPr>
          <w:rFonts w:hint="eastAsia"/>
        </w:rPr>
        <w:t>评价根据</w:t>
      </w:r>
      <w:r>
        <w:t>《甲苯二异氰酸酯单位产品能源消耗</w:t>
      </w:r>
      <w:r>
        <w:rPr>
          <w:rFonts w:hint="eastAsia"/>
        </w:rPr>
        <w:t>限额》</w:t>
      </w:r>
      <w:r>
        <w:t>（GB31828-2015）进行</w:t>
      </w:r>
      <w:r>
        <w:rPr>
          <w:rFonts w:hint="eastAsia"/>
        </w:rPr>
        <w:t>单位产品能源消耗指标对比分析</w:t>
      </w:r>
      <w:r>
        <w:t>。</w:t>
      </w:r>
      <w:r>
        <w:rPr>
          <w:rFonts w:hint="eastAsia"/>
        </w:rPr>
        <w:t>根据该标准统计范围规定：</w:t>
      </w:r>
      <w:r>
        <w:t>TDI综合能耗的统计范围包括生产系统能耗、辅助生产系统能耗和附属生产系统能</w:t>
      </w:r>
      <w:r>
        <w:rPr>
          <w:rFonts w:hint="eastAsia"/>
        </w:rPr>
        <w:t>耗。</w:t>
      </w:r>
    </w:p>
    <w:p w14:paraId="4D6EBD77">
      <w:pPr>
        <w:rPr>
          <w:rFonts w:hint="eastAsia"/>
        </w:rPr>
      </w:pPr>
      <w:r>
        <w:rPr>
          <w:rFonts w:hint="eastAsia"/>
        </w:rPr>
        <w:t>②</w:t>
      </w:r>
      <w:r>
        <w:t>单位产品原料消耗</w:t>
      </w:r>
      <w:r>
        <w:rPr>
          <w:rFonts w:hint="eastAsia"/>
        </w:rPr>
        <w:t>指标分析</w:t>
      </w:r>
    </w:p>
    <w:p w14:paraId="2C675F44">
      <w:pPr>
        <w:rPr>
          <w:rFonts w:hint="eastAsia"/>
        </w:rPr>
      </w:pPr>
      <w:r>
        <w:t>本</w:t>
      </w:r>
      <w:r>
        <w:rPr>
          <w:rFonts w:hint="eastAsia"/>
        </w:rPr>
        <w:t>评价根据《二苯基甲烷二异氰酸酯（</w:t>
      </w:r>
      <w:r>
        <w:t>MDI）、甲苯二异氰酸酯（TDI）项目建设规范条件</w:t>
      </w:r>
      <w:r>
        <w:rPr>
          <w:rFonts w:hint="eastAsia"/>
        </w:rPr>
        <w:t>》</w:t>
      </w:r>
      <w:r>
        <w:t>进行单位产品原料消耗</w:t>
      </w:r>
      <w:r>
        <w:rPr>
          <w:rFonts w:hint="eastAsia"/>
        </w:rPr>
        <w:t>指标对比分析</w:t>
      </w:r>
      <w:r>
        <w:t>。</w:t>
      </w:r>
    </w:p>
    <w:p w14:paraId="4FC53C45">
      <w:pPr>
        <w:rPr>
          <w:rFonts w:hint="eastAsia"/>
        </w:rPr>
      </w:pPr>
      <w:r>
        <w:t>本次</w:t>
      </w:r>
      <w:r>
        <w:rPr>
          <w:rFonts w:hint="eastAsia"/>
        </w:rPr>
        <w:t>扩建</w:t>
      </w:r>
      <w:r>
        <w:t>项目TDI单位产品原料消耗限额满足</w:t>
      </w:r>
      <w:r>
        <w:rPr>
          <w:rFonts w:hint="eastAsia"/>
        </w:rPr>
        <w:t>《二苯基甲烷二异氰酸酯（</w:t>
      </w:r>
      <w:r>
        <w:t>MDI）、甲苯二异氰酸酯（TDI）项目建设规范条件</w:t>
      </w:r>
      <w:r>
        <w:rPr>
          <w:rFonts w:hint="eastAsia"/>
        </w:rPr>
        <w:t>》要求。</w:t>
      </w:r>
    </w:p>
    <w:p w14:paraId="5CA5F8B5">
      <w:pPr>
        <w:rPr>
          <w:rFonts w:hint="eastAsia"/>
        </w:rPr>
      </w:pPr>
      <w:r>
        <w:rPr>
          <w:rFonts w:hint="eastAsia"/>
        </w:rPr>
        <w:t>③</w:t>
      </w:r>
      <w:r>
        <w:t>DNT单位产品能耗</w:t>
      </w:r>
    </w:p>
    <w:p w14:paraId="369B200D">
      <w:pPr>
        <w:tabs>
          <w:tab w:val="left" w:pos="610"/>
        </w:tabs>
        <w:rPr>
          <w:rFonts w:hint="eastAsia" w:eastAsia="宋体"/>
          <w:color w:val="auto"/>
          <w:highlight w:val="none"/>
          <w:u w:val="none"/>
          <w:lang w:eastAsia="zh-CN"/>
        </w:rPr>
      </w:pPr>
      <w:r>
        <w:rPr>
          <w:rFonts w:hint="eastAsia"/>
        </w:rPr>
        <w:t>本项目</w:t>
      </w:r>
      <w:r>
        <w:t>DNT单位产品综合能耗。</w:t>
      </w:r>
    </w:p>
    <w:p w14:paraId="56A331DD">
      <w:pPr>
        <w:pStyle w:val="7"/>
        <w:spacing w:before="156"/>
        <w:rPr>
          <w:color w:val="auto"/>
          <w:highlight w:val="none"/>
          <w:u w:val="none"/>
        </w:rPr>
      </w:pPr>
      <w:r>
        <w:rPr>
          <w:rFonts w:hint="eastAsia"/>
          <w:color w:val="auto"/>
          <w:highlight w:val="none"/>
          <w:u w:val="none"/>
        </w:rPr>
        <w:t>污染物产生指标分析</w:t>
      </w:r>
    </w:p>
    <w:p w14:paraId="418B0F15">
      <w:pPr>
        <w:rPr>
          <w:rFonts w:hint="eastAsia"/>
          <w:color w:val="auto"/>
          <w:highlight w:val="none"/>
          <w:u w:val="none"/>
        </w:rPr>
      </w:pPr>
      <w:r>
        <w:rPr>
          <w:color w:val="auto"/>
          <w:highlight w:val="none"/>
          <w:u w:val="none"/>
        </w:rPr>
        <w:t>TDI装置废水排放主要来自于硝硫浓缩废水、废酸浓缩酸性废水、</w:t>
      </w:r>
      <w:r>
        <w:rPr>
          <w:rFonts w:hint="eastAsia"/>
          <w:color w:val="auto"/>
          <w:highlight w:val="none"/>
          <w:u w:val="none"/>
          <w:lang w:val="en-US"/>
        </w:rPr>
        <w:t>汽提酸性废水、</w:t>
      </w:r>
      <w:r>
        <w:rPr>
          <w:color w:val="auto"/>
          <w:highlight w:val="none"/>
          <w:u w:val="none"/>
        </w:rPr>
        <w:t>TDA废水和光化中和废水</w:t>
      </w:r>
      <w:r>
        <w:t>，</w:t>
      </w:r>
      <w:r>
        <w:rPr>
          <w:rFonts w:hint="eastAsia"/>
        </w:rPr>
        <w:t>单位产品污染物产生指标较小</w:t>
      </w:r>
      <w:r>
        <w:rPr>
          <w:rFonts w:hint="eastAsia"/>
          <w:color w:val="auto"/>
          <w:highlight w:val="none"/>
          <w:u w:val="none"/>
        </w:rPr>
        <w:t>。</w:t>
      </w:r>
    </w:p>
    <w:p w14:paraId="4B6D960F">
      <w:pPr>
        <w:pStyle w:val="6"/>
        <w:spacing w:before="156" w:after="156"/>
        <w:rPr>
          <w:color w:val="auto"/>
          <w:highlight w:val="none"/>
          <w:u w:val="none"/>
        </w:rPr>
      </w:pPr>
      <w:r>
        <w:rPr>
          <w:rFonts w:hint="eastAsia"/>
          <w:color w:val="auto"/>
          <w:highlight w:val="none"/>
          <w:u w:val="none"/>
        </w:rPr>
        <w:t>全厂自动化控制水平</w:t>
      </w:r>
    </w:p>
    <w:p w14:paraId="066AC682">
      <w:pPr>
        <w:rPr>
          <w:rFonts w:hint="eastAsia"/>
          <w:color w:val="auto"/>
          <w:highlight w:val="none"/>
          <w:u w:val="none"/>
        </w:rPr>
      </w:pPr>
      <w:r>
        <w:rPr>
          <w:rFonts w:hint="eastAsia"/>
          <w:color w:val="auto"/>
          <w:highlight w:val="none"/>
          <w:u w:val="none"/>
        </w:rPr>
        <w:t>全厂控制系统以</w:t>
      </w:r>
      <w:r>
        <w:rPr>
          <w:color w:val="auto"/>
          <w:highlight w:val="none"/>
          <w:u w:val="none"/>
        </w:rPr>
        <w:t>DCS（集散控制系统）为主，安全停车联锁系统在SIS系统内实现。DCS系统预留通讯接口，进入全厂管理系统。</w:t>
      </w:r>
      <w:r>
        <w:rPr>
          <w:rFonts w:hint="eastAsia"/>
          <w:color w:val="auto"/>
          <w:highlight w:val="none"/>
          <w:u w:val="none"/>
        </w:rPr>
        <w:t>扩建</w:t>
      </w:r>
      <w:r>
        <w:rPr>
          <w:color w:val="auto"/>
          <w:highlight w:val="none"/>
          <w:u w:val="none"/>
        </w:rPr>
        <w:t>装置的控制系统进新的DCS控制系</w:t>
      </w:r>
      <w:r>
        <w:rPr>
          <w:rFonts w:hint="eastAsia"/>
          <w:color w:val="auto"/>
          <w:highlight w:val="none"/>
          <w:u w:val="none"/>
        </w:rPr>
        <w:t>统。</w:t>
      </w:r>
      <w:r>
        <w:rPr>
          <w:color w:val="auto"/>
          <w:highlight w:val="none"/>
          <w:u w:val="none"/>
        </w:rPr>
        <w:t>扩建装置的安全停车联锁进SIS控制系统。</w:t>
      </w:r>
    </w:p>
    <w:p w14:paraId="0D6CF9B4">
      <w:pPr>
        <w:rPr>
          <w:rFonts w:hint="eastAsia"/>
          <w:color w:val="auto"/>
          <w:highlight w:val="none"/>
          <w:u w:val="none"/>
        </w:rPr>
      </w:pPr>
      <w:r>
        <w:rPr>
          <w:rFonts w:hint="eastAsia"/>
          <w:color w:val="auto"/>
          <w:highlight w:val="none"/>
          <w:u w:val="none"/>
        </w:rPr>
        <w:t>本项目各装置的主要工艺检测和控制变量都在</w:t>
      </w:r>
      <w:r>
        <w:rPr>
          <w:color w:val="auto"/>
          <w:highlight w:val="none"/>
          <w:u w:val="none"/>
        </w:rPr>
        <w:t>DCS进行显示、调节、记录、报警</w:t>
      </w:r>
      <w:r>
        <w:rPr>
          <w:rFonts w:hint="eastAsia"/>
          <w:color w:val="auto"/>
          <w:highlight w:val="none"/>
          <w:u w:val="none"/>
        </w:rPr>
        <w:t>等操作，</w:t>
      </w:r>
      <w:r>
        <w:rPr>
          <w:color w:val="auto"/>
          <w:highlight w:val="none"/>
          <w:u w:val="none"/>
        </w:rPr>
        <w:t>对各装置内主要机泵设备的运行状态均在DCS进行显示。本项目各装置及关</w:t>
      </w:r>
      <w:r>
        <w:rPr>
          <w:rFonts w:hint="eastAsia"/>
          <w:color w:val="auto"/>
          <w:highlight w:val="none"/>
          <w:u w:val="none"/>
        </w:rPr>
        <w:t>键设备根据不同的工艺过程需要设置有安全联锁保护系统</w:t>
      </w:r>
      <w:r>
        <w:rPr>
          <w:color w:val="auto"/>
          <w:highlight w:val="none"/>
          <w:u w:val="none"/>
        </w:rPr>
        <w:t>（SIS）。</w:t>
      </w:r>
    </w:p>
    <w:p w14:paraId="49570C00">
      <w:pPr>
        <w:rPr>
          <w:rFonts w:hint="eastAsia"/>
          <w:color w:val="auto"/>
          <w:highlight w:val="none"/>
          <w:u w:val="none"/>
        </w:rPr>
      </w:pPr>
      <w:r>
        <w:rPr>
          <w:rFonts w:hint="eastAsia"/>
          <w:color w:val="auto"/>
          <w:highlight w:val="none"/>
          <w:u w:val="none"/>
        </w:rPr>
        <w:t>本项目的自动控制方案主要采用单参数控制，</w:t>
      </w:r>
      <w:r>
        <w:rPr>
          <w:color w:val="auto"/>
          <w:highlight w:val="none"/>
          <w:u w:val="none"/>
        </w:rPr>
        <w:t>根据不同的具体工艺过程特性及要求采用</w:t>
      </w:r>
      <w:r>
        <w:rPr>
          <w:rFonts w:hint="eastAsia"/>
          <w:color w:val="auto"/>
          <w:highlight w:val="none"/>
          <w:u w:val="none"/>
        </w:rPr>
        <w:t>串级、</w:t>
      </w:r>
      <w:r>
        <w:rPr>
          <w:color w:val="auto"/>
          <w:highlight w:val="none"/>
          <w:u w:val="none"/>
        </w:rPr>
        <w:t>前馈、分程、超驰、比值、顺序等复杂控制。</w:t>
      </w:r>
    </w:p>
    <w:p w14:paraId="1E1DC951">
      <w:pPr>
        <w:pStyle w:val="6"/>
        <w:spacing w:before="156" w:after="156"/>
        <w:rPr>
          <w:color w:val="auto"/>
          <w:highlight w:val="none"/>
          <w:u w:val="none"/>
        </w:rPr>
      </w:pPr>
      <w:r>
        <w:rPr>
          <w:rFonts w:hint="eastAsia"/>
          <w:color w:val="auto"/>
          <w:highlight w:val="none"/>
          <w:u w:val="none"/>
        </w:rPr>
        <w:t>结论</w:t>
      </w:r>
    </w:p>
    <w:p w14:paraId="3C21BBA9">
      <w:pPr>
        <w:rPr>
          <w:rFonts w:hint="eastAsia"/>
          <w:color w:val="auto"/>
          <w:highlight w:val="none"/>
          <w:u w:val="none"/>
        </w:rPr>
      </w:pPr>
      <w:r>
        <w:rPr>
          <w:rFonts w:hint="eastAsia"/>
          <w:color w:val="auto"/>
          <w:highlight w:val="none"/>
          <w:u w:val="none"/>
        </w:rPr>
        <w:t>根据上述分析结论，</w:t>
      </w:r>
      <w:r>
        <w:rPr>
          <w:color w:val="auto"/>
          <w:highlight w:val="none"/>
          <w:u w:val="none"/>
        </w:rPr>
        <w:t>本项目TDI装置工艺采用的生产工艺技术先进，能耗物耗均较</w:t>
      </w:r>
      <w:r>
        <w:rPr>
          <w:rFonts w:hint="eastAsia"/>
          <w:color w:val="auto"/>
          <w:highlight w:val="none"/>
          <w:u w:val="none"/>
        </w:rPr>
        <w:t>低，</w:t>
      </w:r>
      <w:r>
        <w:rPr>
          <w:color w:val="auto"/>
          <w:highlight w:val="none"/>
          <w:u w:val="none"/>
        </w:rPr>
        <w:t>污染物产生量少，整体上达到清洁生产</w:t>
      </w:r>
      <w:r>
        <w:rPr>
          <w:rFonts w:hint="eastAsia"/>
          <w:color w:val="auto"/>
          <w:highlight w:val="none"/>
          <w:u w:val="none"/>
          <w:lang w:val="en-US" w:eastAsia="zh-CN"/>
        </w:rPr>
        <w:t>同行业</w:t>
      </w:r>
      <w:r>
        <w:rPr>
          <w:color w:val="auto"/>
          <w:highlight w:val="none"/>
          <w:u w:val="none"/>
        </w:rPr>
        <w:t>先进水平。</w:t>
      </w:r>
    </w:p>
    <w:p w14:paraId="3588817C">
      <w:pPr>
        <w:rPr>
          <w:rFonts w:hint="eastAsia"/>
          <w:color w:val="auto"/>
          <w:highlight w:val="none"/>
          <w:u w:val="none"/>
        </w:rPr>
      </w:pPr>
      <w:r>
        <w:rPr>
          <w:rFonts w:hint="eastAsia"/>
          <w:color w:val="auto"/>
          <w:highlight w:val="none"/>
          <w:u w:val="none"/>
        </w:rPr>
        <w:t>从总体上看本项目采用了先进工艺及装备、</w:t>
      </w:r>
      <w:r>
        <w:rPr>
          <w:color w:val="auto"/>
          <w:highlight w:val="none"/>
          <w:u w:val="none"/>
        </w:rPr>
        <w:t>产品性能指标好，在资源能源利用、</w:t>
      </w:r>
      <w:r>
        <w:rPr>
          <w:rFonts w:hint="eastAsia"/>
          <w:color w:val="auto"/>
          <w:highlight w:val="none"/>
          <w:u w:val="none"/>
        </w:rPr>
        <w:t>污染物产生、</w:t>
      </w:r>
      <w:r>
        <w:rPr>
          <w:color w:val="auto"/>
          <w:highlight w:val="none"/>
          <w:u w:val="none"/>
        </w:rPr>
        <w:t>废物回收、环境管理等方面均符合清洁生产要求。</w:t>
      </w:r>
    </w:p>
    <w:p w14:paraId="55F1D5E0">
      <w:pPr>
        <w:rPr>
          <w:rFonts w:hint="eastAsia"/>
          <w:color w:val="auto"/>
          <w:highlight w:val="none"/>
          <w:u w:val="none"/>
        </w:rPr>
      </w:pPr>
      <w:r>
        <w:rPr>
          <w:rFonts w:hint="eastAsia"/>
          <w:color w:val="auto"/>
          <w:highlight w:val="none"/>
          <w:u w:val="none"/>
        </w:rPr>
        <w:t>本次评价是基于项目可研、</w:t>
      </w:r>
      <w:r>
        <w:rPr>
          <w:color w:val="auto"/>
          <w:highlight w:val="none"/>
          <w:u w:val="none"/>
        </w:rPr>
        <w:t>业主提供的技术资料及其它类比资料得出的清洁生产水</w:t>
      </w:r>
      <w:r>
        <w:rPr>
          <w:rFonts w:hint="eastAsia"/>
          <w:color w:val="auto"/>
          <w:highlight w:val="none"/>
          <w:u w:val="none"/>
        </w:rPr>
        <w:t>平预评估结果。</w:t>
      </w:r>
      <w:r>
        <w:rPr>
          <w:color w:val="auto"/>
          <w:highlight w:val="none"/>
          <w:u w:val="none"/>
        </w:rPr>
        <w:t>项目建成投产后，企业应开展清洁生产评估，确保各工艺装置清洁生产</w:t>
      </w:r>
      <w:r>
        <w:rPr>
          <w:rFonts w:hint="eastAsia"/>
          <w:color w:val="auto"/>
          <w:highlight w:val="none"/>
          <w:u w:val="none"/>
        </w:rPr>
        <w:t>达到</w:t>
      </w:r>
      <w:r>
        <w:rPr>
          <w:rFonts w:hint="eastAsia"/>
          <w:color w:val="auto"/>
          <w:highlight w:val="none"/>
          <w:u w:val="none"/>
          <w:lang w:val="en-US" w:eastAsia="zh-CN"/>
        </w:rPr>
        <w:t>同行业</w:t>
      </w:r>
      <w:r>
        <w:rPr>
          <w:rFonts w:hint="eastAsia"/>
          <w:color w:val="auto"/>
          <w:highlight w:val="none"/>
          <w:u w:val="none"/>
        </w:rPr>
        <w:t>先进水平，</w:t>
      </w:r>
      <w:r>
        <w:rPr>
          <w:color w:val="auto"/>
          <w:highlight w:val="none"/>
          <w:u w:val="none"/>
        </w:rPr>
        <w:t>并持续改进，争取达到国际先进水平。</w:t>
      </w:r>
    </w:p>
    <w:p w14:paraId="3DC610DE">
      <w:pPr>
        <w:pStyle w:val="4"/>
        <w:jc w:val="both"/>
        <w:rPr>
          <w:color w:val="auto"/>
          <w:highlight w:val="none"/>
          <w:u w:val="none"/>
        </w:rPr>
      </w:pPr>
      <w:bookmarkStart w:id="399" w:name="_Toc109211067"/>
      <w:bookmarkStart w:id="400" w:name="_Toc148374806"/>
      <w:bookmarkStart w:id="401" w:name="_Toc12924"/>
      <w:bookmarkStart w:id="402" w:name="_Toc148374576"/>
      <w:bookmarkStart w:id="403" w:name="_Toc148375018"/>
      <w:r>
        <w:rPr>
          <w:rFonts w:hint="eastAsia"/>
          <w:color w:val="auto"/>
          <w:highlight w:val="none"/>
          <w:u w:val="none"/>
        </w:rPr>
        <w:t>政策</w:t>
      </w:r>
      <w:r>
        <w:rPr>
          <w:rFonts w:hint="eastAsia" w:ascii="宋体" w:hAnsi="宋体" w:eastAsia="宋体" w:cs="宋体"/>
          <w:color w:val="auto"/>
          <w:highlight w:val="none"/>
          <w:u w:val="none"/>
        </w:rPr>
        <w:t>、</w:t>
      </w:r>
      <w:r>
        <w:rPr>
          <w:rFonts w:hint="eastAsia"/>
          <w:color w:val="auto"/>
          <w:highlight w:val="none"/>
          <w:u w:val="none"/>
        </w:rPr>
        <w:t>规划符合性分析</w:t>
      </w:r>
      <w:bookmarkEnd w:id="399"/>
      <w:r>
        <w:rPr>
          <w:rFonts w:hint="eastAsia"/>
          <w:color w:val="auto"/>
          <w:highlight w:val="none"/>
          <w:u w:val="none"/>
        </w:rPr>
        <w:t>与选址符合性分析</w:t>
      </w:r>
      <w:bookmarkEnd w:id="400"/>
      <w:bookmarkEnd w:id="401"/>
      <w:bookmarkEnd w:id="402"/>
      <w:bookmarkEnd w:id="403"/>
    </w:p>
    <w:p w14:paraId="7281E040">
      <w:pPr>
        <w:pStyle w:val="6"/>
        <w:spacing w:before="156" w:after="156"/>
        <w:rPr>
          <w:color w:val="auto"/>
          <w:highlight w:val="none"/>
          <w:u w:val="none"/>
        </w:rPr>
      </w:pPr>
      <w:bookmarkStart w:id="404" w:name="_Toc148375019"/>
      <w:bookmarkStart w:id="405" w:name="_Toc148374577"/>
      <w:r>
        <w:rPr>
          <w:rFonts w:hint="eastAsia"/>
          <w:color w:val="auto"/>
          <w:highlight w:val="none"/>
          <w:u w:val="none"/>
        </w:rPr>
        <w:t>政策符合性分析</w:t>
      </w:r>
      <w:bookmarkEnd w:id="404"/>
      <w:bookmarkEnd w:id="405"/>
    </w:p>
    <w:p w14:paraId="7B84DBA7">
      <w:pPr>
        <w:pStyle w:val="7"/>
        <w:spacing w:before="156"/>
        <w:rPr>
          <w:color w:val="auto"/>
          <w:highlight w:val="none"/>
          <w:u w:val="none"/>
        </w:rPr>
      </w:pPr>
      <w:r>
        <w:rPr>
          <w:rFonts w:hint="eastAsia"/>
          <w:color w:val="auto"/>
          <w:highlight w:val="none"/>
          <w:u w:val="none"/>
        </w:rPr>
        <w:t>产业政策符合性分析</w:t>
      </w:r>
    </w:p>
    <w:p w14:paraId="32EB7ECB">
      <w:pPr>
        <w:rPr>
          <w:rFonts w:hint="eastAsia"/>
          <w:color w:val="auto"/>
          <w:highlight w:val="none"/>
          <w:u w:val="none"/>
        </w:rPr>
      </w:pPr>
      <w:r>
        <w:rPr>
          <w:rFonts w:hint="eastAsia"/>
          <w:color w:val="auto"/>
          <w:highlight w:val="none"/>
          <w:u w:val="none"/>
        </w:rPr>
        <w:t>本项目为有机化学原料制造项目，根据《产业结构调整指导目录（</w:t>
      </w:r>
      <w:r>
        <w:rPr>
          <w:color w:val="auto"/>
          <w:highlight w:val="none"/>
          <w:u w:val="none"/>
        </w:rPr>
        <w:t>20</w:t>
      </w:r>
      <w:r>
        <w:rPr>
          <w:rFonts w:hint="eastAsia"/>
          <w:color w:val="auto"/>
          <w:highlight w:val="none"/>
          <w:u w:val="none"/>
          <w:lang w:val="en-US"/>
        </w:rPr>
        <w:t>24</w:t>
      </w:r>
      <w:r>
        <w:rPr>
          <w:color w:val="auto"/>
          <w:highlight w:val="none"/>
          <w:u w:val="none"/>
        </w:rPr>
        <w:t>年本）》，本项目</w:t>
      </w:r>
      <w:r>
        <w:rPr>
          <w:rFonts w:hint="eastAsia"/>
          <w:color w:val="auto"/>
          <w:highlight w:val="none"/>
          <w:u w:val="none"/>
        </w:rPr>
        <w:t>不属于</w:t>
      </w:r>
      <w:r>
        <w:rPr>
          <w:color w:val="auto"/>
          <w:highlight w:val="none"/>
          <w:u w:val="none"/>
        </w:rPr>
        <w:t>该目录的限制类和淘汰类，</w:t>
      </w:r>
      <w:r>
        <w:rPr>
          <w:rFonts w:hint="eastAsia"/>
          <w:color w:val="auto"/>
          <w:highlight w:val="none"/>
          <w:u w:val="none"/>
        </w:rPr>
        <w:t>因此，</w:t>
      </w:r>
      <w:r>
        <w:rPr>
          <w:color w:val="auto"/>
          <w:highlight w:val="none"/>
          <w:u w:val="none"/>
        </w:rPr>
        <w:t>本项目建设符合国家产业政策。</w:t>
      </w:r>
    </w:p>
    <w:p w14:paraId="0F6C0598">
      <w:pPr>
        <w:pStyle w:val="7"/>
        <w:spacing w:before="156"/>
        <w:rPr>
          <w:color w:val="auto"/>
          <w:highlight w:val="none"/>
          <w:u w:val="none"/>
        </w:rPr>
      </w:pPr>
      <w:r>
        <w:rPr>
          <w:rFonts w:hint="eastAsia"/>
          <w:color w:val="auto"/>
          <w:highlight w:val="none"/>
          <w:u w:val="none"/>
        </w:rPr>
        <w:t>与《福建省人民政府关于全省石化等七类产业布局的指导意见》符合性分析</w:t>
      </w:r>
    </w:p>
    <w:p w14:paraId="3E1F5583">
      <w:pPr>
        <w:rPr>
          <w:rFonts w:hint="eastAsia"/>
          <w:color w:val="auto"/>
          <w:highlight w:val="none"/>
          <w:u w:val="none"/>
        </w:rPr>
      </w:pPr>
      <w:r>
        <w:rPr>
          <w:rFonts w:hint="eastAsia"/>
          <w:color w:val="auto"/>
          <w:highlight w:val="none"/>
          <w:u w:val="none"/>
        </w:rPr>
        <w:t>根据《福建省人民政府关于全省石化等七类产业布局的指导意见》（闽政〔</w:t>
      </w:r>
      <w:r>
        <w:rPr>
          <w:color w:val="auto"/>
          <w:highlight w:val="none"/>
          <w:u w:val="none"/>
        </w:rPr>
        <w:t>2013〕56号</w:t>
      </w:r>
      <w:r>
        <w:rPr>
          <w:rFonts w:hint="eastAsia"/>
          <w:color w:val="auto"/>
          <w:highlight w:val="none"/>
          <w:u w:val="none"/>
        </w:rPr>
        <w:t>），“适度发展江阴化工新材料专区。福州江阴化工新材料专区主要承接福州市区化工企业迁建，</w:t>
      </w:r>
      <w:r>
        <w:rPr>
          <w:rFonts w:hint="eastAsia"/>
          <w:b/>
          <w:bCs/>
          <w:color w:val="auto"/>
          <w:highlight w:val="none"/>
          <w:u w:val="none"/>
        </w:rPr>
        <w:t>适度布局异氰酸酯</w:t>
      </w:r>
      <w:r>
        <w:rPr>
          <w:rFonts w:hint="eastAsia"/>
          <w:color w:val="auto"/>
          <w:highlight w:val="none"/>
          <w:u w:val="none"/>
        </w:rPr>
        <w:t>、聚碳酸酯（</w:t>
      </w:r>
      <w:r>
        <w:rPr>
          <w:color w:val="auto"/>
          <w:highlight w:val="none"/>
          <w:u w:val="none"/>
        </w:rPr>
        <w:t>PC）、己内酰胺（CPL）、丙烷脱氢等项目，发展以非炼化一体化的化工新材料为主导的产业链</w:t>
      </w:r>
      <w:r>
        <w:rPr>
          <w:rFonts w:hint="eastAsia"/>
          <w:color w:val="auto"/>
          <w:highlight w:val="none"/>
          <w:u w:val="none"/>
        </w:rPr>
        <w:t>”</w:t>
      </w:r>
      <w:r>
        <w:rPr>
          <w:color w:val="auto"/>
          <w:highlight w:val="none"/>
          <w:u w:val="none"/>
        </w:rPr>
        <w:t>。</w:t>
      </w:r>
    </w:p>
    <w:p w14:paraId="53204C65">
      <w:pPr>
        <w:rPr>
          <w:rFonts w:hint="eastAsia"/>
          <w:color w:val="auto"/>
          <w:highlight w:val="none"/>
          <w:u w:val="none"/>
        </w:rPr>
      </w:pPr>
      <w:r>
        <w:rPr>
          <w:rFonts w:hint="eastAsia"/>
          <w:color w:val="auto"/>
          <w:highlight w:val="none"/>
          <w:u w:val="none"/>
        </w:rPr>
        <w:t>本项目位于福州江阴港城经济区江阴化工园区的万华福建公司内，主要产品为TDI（</w:t>
      </w:r>
      <w:r>
        <w:rPr>
          <w:rFonts w:hint="eastAsia"/>
          <w:b/>
          <w:bCs/>
          <w:color w:val="auto"/>
          <w:highlight w:val="none"/>
          <w:u w:val="none"/>
        </w:rPr>
        <w:t>甲苯二异氰酸酯</w:t>
      </w:r>
      <w:r>
        <w:rPr>
          <w:rFonts w:hint="eastAsia"/>
          <w:color w:val="auto"/>
          <w:highlight w:val="none"/>
          <w:u w:val="none"/>
        </w:rPr>
        <w:t>），为</w:t>
      </w:r>
      <w:r>
        <w:rPr>
          <w:color w:val="auto"/>
          <w:highlight w:val="none"/>
          <w:u w:val="none"/>
        </w:rPr>
        <w:t>非炼化一体化的化工新材料产业链</w:t>
      </w:r>
      <w:r>
        <w:rPr>
          <w:rFonts w:hint="eastAsia"/>
          <w:color w:val="auto"/>
          <w:highlight w:val="none"/>
          <w:u w:val="none"/>
        </w:rPr>
        <w:t>项目，本项目建设符合《福建省人民政府关于全省石化等七类产业布局的指导意见》的要求。</w:t>
      </w:r>
    </w:p>
    <w:p w14:paraId="191F9550">
      <w:pPr>
        <w:pStyle w:val="7"/>
        <w:spacing w:before="156"/>
        <w:rPr>
          <w:color w:val="auto"/>
          <w:highlight w:val="none"/>
          <w:u w:val="none"/>
        </w:rPr>
      </w:pPr>
      <w:r>
        <w:rPr>
          <w:rFonts w:hint="eastAsia"/>
          <w:color w:val="auto"/>
          <w:highlight w:val="none"/>
          <w:u w:val="none"/>
        </w:rPr>
        <w:t>与《关于促进石化化工高质量发展</w:t>
      </w:r>
      <w:r>
        <w:rPr>
          <w:color w:val="auto"/>
          <w:highlight w:val="none"/>
          <w:u w:val="none"/>
        </w:rPr>
        <w:t xml:space="preserve"> 加快打造万亿</w:t>
      </w:r>
      <w:r>
        <w:rPr>
          <w:rFonts w:hint="eastAsia"/>
          <w:color w:val="auto"/>
          <w:highlight w:val="none"/>
          <w:u w:val="none"/>
        </w:rPr>
        <w:t>支柱产业的实施意见》符合性分析</w:t>
      </w:r>
    </w:p>
    <w:p w14:paraId="6BAFD0A3">
      <w:pPr>
        <w:rPr>
          <w:rFonts w:hint="eastAsia"/>
          <w:color w:val="auto"/>
          <w:highlight w:val="none"/>
          <w:u w:val="none"/>
        </w:rPr>
      </w:pPr>
      <w:r>
        <w:rPr>
          <w:rFonts w:hint="eastAsia"/>
          <w:color w:val="auto"/>
          <w:highlight w:val="none"/>
          <w:u w:val="none"/>
        </w:rPr>
        <w:t>根据《福建省发展和改革委员会等</w:t>
      </w:r>
      <w:r>
        <w:rPr>
          <w:color w:val="auto"/>
          <w:highlight w:val="none"/>
          <w:u w:val="none"/>
        </w:rPr>
        <w:t>5部门关于促进石化化工高质量发展 加快打造万亿</w:t>
      </w:r>
      <w:r>
        <w:rPr>
          <w:rFonts w:hint="eastAsia"/>
          <w:color w:val="auto"/>
          <w:highlight w:val="none"/>
          <w:u w:val="none"/>
        </w:rPr>
        <w:t>支柱产业的实施意见》（闽发改规〔</w:t>
      </w:r>
      <w:r>
        <w:rPr>
          <w:color w:val="auto"/>
          <w:highlight w:val="none"/>
          <w:u w:val="none"/>
        </w:rPr>
        <w:t>2022〕7号）</w:t>
      </w:r>
      <w:r>
        <w:rPr>
          <w:rFonts w:hint="eastAsia"/>
          <w:color w:val="auto"/>
          <w:highlight w:val="none"/>
          <w:u w:val="none"/>
        </w:rPr>
        <w:t>，“依托福清江阴化工新材料专区、泉港石化工业园区、泉惠石化工业园区、连江可门经济开发区、石门澳化工新材料产业园等产业集中区，加快石化中下游产业链的化工新材料和精细化学品发展，</w:t>
      </w:r>
      <w:r>
        <w:rPr>
          <w:rFonts w:hint="eastAsia"/>
          <w:b/>
          <w:bCs/>
          <w:color w:val="auto"/>
          <w:highlight w:val="none"/>
          <w:u w:val="none"/>
        </w:rPr>
        <w:t>重点发展</w:t>
      </w:r>
      <w:r>
        <w:rPr>
          <w:rFonts w:hint="eastAsia"/>
          <w:color w:val="auto"/>
          <w:highlight w:val="none"/>
          <w:u w:val="none"/>
        </w:rPr>
        <w:t>高性能聚乙烯、高性能聚丙烯、</w:t>
      </w:r>
      <w:r>
        <w:rPr>
          <w:color w:val="auto"/>
          <w:highlight w:val="none"/>
          <w:u w:val="none"/>
        </w:rPr>
        <w:t>EVA、己内酰胺、PA6、PA66、MDI、</w:t>
      </w:r>
      <w:r>
        <w:rPr>
          <w:b/>
          <w:bCs/>
          <w:color w:val="auto"/>
          <w:highlight w:val="none"/>
          <w:u w:val="none"/>
        </w:rPr>
        <w:t>TDI</w:t>
      </w:r>
      <w:r>
        <w:rPr>
          <w:color w:val="auto"/>
          <w:highlight w:val="none"/>
          <w:u w:val="none"/>
        </w:rPr>
        <w:t>等产品</w:t>
      </w:r>
      <w:r>
        <w:rPr>
          <w:rFonts w:hint="eastAsia"/>
          <w:color w:val="auto"/>
          <w:highlight w:val="none"/>
          <w:u w:val="none"/>
        </w:rPr>
        <w:t>”。</w:t>
      </w:r>
    </w:p>
    <w:p w14:paraId="52E3EE5B">
      <w:pPr>
        <w:rPr>
          <w:rFonts w:hint="eastAsia"/>
          <w:color w:val="auto"/>
          <w:highlight w:val="none"/>
          <w:u w:val="none"/>
        </w:rPr>
      </w:pPr>
      <w:r>
        <w:rPr>
          <w:rFonts w:hint="eastAsia"/>
          <w:color w:val="auto"/>
          <w:highlight w:val="none"/>
          <w:u w:val="none"/>
        </w:rPr>
        <w:t>本项目位于福州江阴港城经济区江阴化工园区的万华福建公司内，主要产品为TDI，属于《</w:t>
      </w:r>
      <w:r>
        <w:rPr>
          <w:color w:val="auto"/>
          <w:highlight w:val="none"/>
          <w:u w:val="none"/>
        </w:rPr>
        <w:t>关于促进石化化工高质量发展 加快打造万亿</w:t>
      </w:r>
      <w:r>
        <w:rPr>
          <w:rFonts w:hint="eastAsia"/>
          <w:color w:val="auto"/>
          <w:highlight w:val="none"/>
          <w:u w:val="none"/>
        </w:rPr>
        <w:t>支柱产业的实施意见》中提及的化工产业集中区中重点发展的产品内容，本项目建设符合该意见的要求。</w:t>
      </w:r>
    </w:p>
    <w:p w14:paraId="0D3BFDB1">
      <w:pPr>
        <w:pStyle w:val="7"/>
        <w:spacing w:before="156"/>
        <w:rPr>
          <w:color w:val="auto"/>
          <w:highlight w:val="none"/>
          <w:u w:val="none"/>
        </w:rPr>
      </w:pPr>
      <w:r>
        <w:rPr>
          <w:rFonts w:hint="eastAsia"/>
          <w:color w:val="auto"/>
          <w:highlight w:val="none"/>
          <w:u w:val="none"/>
        </w:rPr>
        <w:t>与《二苯基甲烷二异氰酸酯（</w:t>
      </w:r>
      <w:r>
        <w:rPr>
          <w:color w:val="auto"/>
          <w:highlight w:val="none"/>
          <w:u w:val="none"/>
        </w:rPr>
        <w:t>MDI）、甲苯二异氰酸酯（TDI）项目建设规范条件》符合性分析</w:t>
      </w:r>
    </w:p>
    <w:p w14:paraId="5180209A">
      <w:pPr>
        <w:rPr>
          <w:rFonts w:hint="eastAsia"/>
          <w:color w:val="auto"/>
          <w:highlight w:val="none"/>
          <w:u w:val="none"/>
        </w:rPr>
      </w:pPr>
      <w:r>
        <w:rPr>
          <w:rFonts w:hint="eastAsia"/>
          <w:color w:val="auto"/>
          <w:highlight w:val="none"/>
          <w:u w:val="none"/>
        </w:rPr>
        <w:t>本项目主要产品为甲苯二异氰酸酯（</w:t>
      </w:r>
      <w:r>
        <w:rPr>
          <w:color w:val="auto"/>
          <w:highlight w:val="none"/>
          <w:u w:val="none"/>
        </w:rPr>
        <w:t>TDI）</w:t>
      </w:r>
      <w:r>
        <w:rPr>
          <w:rFonts w:hint="eastAsia"/>
          <w:color w:val="auto"/>
          <w:highlight w:val="none"/>
          <w:u w:val="none"/>
        </w:rPr>
        <w:t>，其与《二苯基甲烷二异氰酸酯（</w:t>
      </w:r>
      <w:r>
        <w:rPr>
          <w:color w:val="auto"/>
          <w:highlight w:val="none"/>
          <w:u w:val="none"/>
        </w:rPr>
        <w:t>MDI）、甲苯二异氰酸酯（TDI）项目建设规范条件》</w:t>
      </w:r>
      <w:r>
        <w:rPr>
          <w:rFonts w:hint="eastAsia"/>
          <w:color w:val="auto"/>
          <w:highlight w:val="none"/>
          <w:u w:val="none"/>
        </w:rPr>
        <w:t>的符合性分析见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_Ref64646190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5.11</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w:t>
      </w:r>
      <w:r>
        <w:rPr>
          <w:color w:val="auto"/>
          <w:highlight w:val="none"/>
          <w:u w:val="none"/>
        </w:rPr>
        <w:fldChar w:fldCharType="end"/>
      </w:r>
      <w:r>
        <w:rPr>
          <w:rFonts w:hint="eastAsia"/>
          <w:color w:val="auto"/>
          <w:highlight w:val="none"/>
          <w:u w:val="none"/>
        </w:rPr>
        <w:t>。</w:t>
      </w:r>
    </w:p>
    <w:p w14:paraId="3B6FA1B7">
      <w:pPr>
        <w:rPr>
          <w:rFonts w:hint="eastAsia"/>
          <w:color w:val="auto"/>
          <w:highlight w:val="none"/>
          <w:u w:val="none"/>
        </w:rPr>
      </w:pPr>
    </w:p>
    <w:p w14:paraId="449BC74A">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27394B9C">
      <w:pPr>
        <w:ind w:firstLine="0" w:firstLineChars="0"/>
        <w:jc w:val="center"/>
        <w:rPr>
          <w:rFonts w:hint="eastAsia"/>
          <w:b/>
          <w:bCs/>
          <w:color w:val="auto"/>
          <w:highlight w:val="none"/>
          <w:u w:val="none"/>
        </w:rPr>
      </w:pPr>
      <w:bookmarkStart w:id="406" w:name="_Ref64646190"/>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5.11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1</w:t>
      </w:r>
      <w:r>
        <w:rPr>
          <w:b/>
          <w:bCs/>
          <w:color w:val="auto"/>
          <w:highlight w:val="none"/>
          <w:u w:val="none"/>
        </w:rPr>
        <w:fldChar w:fldCharType="end"/>
      </w:r>
      <w:bookmarkEnd w:id="406"/>
      <w:r>
        <w:rPr>
          <w:b/>
          <w:bCs/>
          <w:color w:val="auto"/>
          <w:highlight w:val="none"/>
          <w:u w:val="none"/>
        </w:rPr>
        <w:t xml:space="preserve">  </w:t>
      </w:r>
      <w:r>
        <w:rPr>
          <w:rFonts w:hint="eastAsia"/>
          <w:b/>
          <w:bCs/>
          <w:color w:val="auto"/>
          <w:highlight w:val="none"/>
          <w:u w:val="none"/>
        </w:rPr>
        <w:t>项目与《二苯基甲烷二异氰酸酯（</w:t>
      </w:r>
      <w:r>
        <w:rPr>
          <w:b/>
          <w:bCs/>
          <w:color w:val="auto"/>
          <w:highlight w:val="none"/>
          <w:u w:val="none"/>
        </w:rPr>
        <w:t>MDI）、甲苯二异氰酸酯（TDI）项目建设规范条件》</w:t>
      </w:r>
      <w:r>
        <w:rPr>
          <w:rFonts w:hint="eastAsia"/>
          <w:b/>
          <w:bCs/>
          <w:color w:val="auto"/>
          <w:highlight w:val="none"/>
          <w:u w:val="none"/>
        </w:rPr>
        <w:t>符合性分析</w:t>
      </w:r>
    </w:p>
    <w:tbl>
      <w:tblPr>
        <w:tblStyle w:val="58"/>
        <w:tblW w:w="141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8"/>
        <w:gridCol w:w="6115"/>
        <w:gridCol w:w="6237"/>
        <w:gridCol w:w="866"/>
      </w:tblGrid>
      <w:tr w14:paraId="55E7D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073" w:type="dxa"/>
            <w:gridSpan w:val="2"/>
            <w:vAlign w:val="center"/>
          </w:tcPr>
          <w:p w14:paraId="5C165E76">
            <w:pPr>
              <w:pStyle w:val="92"/>
              <w:rPr>
                <w:color w:val="auto"/>
                <w:highlight w:val="none"/>
                <w:u w:val="none"/>
              </w:rPr>
            </w:pPr>
            <w:r>
              <w:rPr>
                <w:color w:val="auto"/>
                <w:highlight w:val="none"/>
                <w:u w:val="none"/>
              </w:rPr>
              <w:t>《二苯基甲烷二异氰酸酯</w:t>
            </w:r>
            <w:r>
              <w:rPr>
                <w:rFonts w:hint="eastAsia"/>
                <w:color w:val="auto"/>
                <w:highlight w:val="none"/>
                <w:u w:val="none"/>
              </w:rPr>
              <w:t>（</w:t>
            </w:r>
            <w:r>
              <w:rPr>
                <w:color w:val="auto"/>
                <w:highlight w:val="none"/>
                <w:u w:val="none"/>
              </w:rPr>
              <w:t>MDI</w:t>
            </w:r>
            <w:r>
              <w:rPr>
                <w:rFonts w:hint="eastAsia"/>
                <w:color w:val="auto"/>
                <w:highlight w:val="none"/>
                <w:u w:val="none"/>
              </w:rPr>
              <w:t>）</w:t>
            </w:r>
            <w:r>
              <w:rPr>
                <w:color w:val="auto"/>
                <w:highlight w:val="none"/>
                <w:u w:val="none"/>
              </w:rPr>
              <w:t>、甲苯二异氰酸酯</w:t>
            </w:r>
            <w:r>
              <w:rPr>
                <w:rFonts w:hint="eastAsia"/>
                <w:color w:val="auto"/>
                <w:highlight w:val="none"/>
                <w:u w:val="none"/>
              </w:rPr>
              <w:t>（</w:t>
            </w:r>
            <w:r>
              <w:rPr>
                <w:color w:val="auto"/>
                <w:highlight w:val="none"/>
                <w:u w:val="none"/>
              </w:rPr>
              <w:t>TDI</w:t>
            </w:r>
            <w:r>
              <w:rPr>
                <w:rFonts w:hint="eastAsia"/>
                <w:color w:val="auto"/>
                <w:highlight w:val="none"/>
                <w:u w:val="none"/>
              </w:rPr>
              <w:t>）</w:t>
            </w:r>
            <w:r>
              <w:rPr>
                <w:color w:val="auto"/>
                <w:highlight w:val="none"/>
                <w:u w:val="none"/>
              </w:rPr>
              <w:t>项目建设规范条件》相关</w:t>
            </w:r>
            <w:r>
              <w:rPr>
                <w:rFonts w:hint="eastAsia"/>
                <w:color w:val="auto"/>
                <w:highlight w:val="none"/>
                <w:u w:val="none"/>
              </w:rPr>
              <w:t>要求</w:t>
            </w:r>
          </w:p>
        </w:tc>
        <w:tc>
          <w:tcPr>
            <w:tcW w:w="6237" w:type="dxa"/>
            <w:vAlign w:val="center"/>
          </w:tcPr>
          <w:p w14:paraId="6132B6F2">
            <w:pPr>
              <w:pStyle w:val="92"/>
              <w:rPr>
                <w:color w:val="auto"/>
                <w:highlight w:val="none"/>
                <w:u w:val="none"/>
              </w:rPr>
            </w:pPr>
            <w:r>
              <w:rPr>
                <w:color w:val="auto"/>
                <w:highlight w:val="none"/>
                <w:u w:val="none"/>
              </w:rPr>
              <w:t>本项目</w:t>
            </w:r>
            <w:r>
              <w:rPr>
                <w:rFonts w:hint="eastAsia"/>
                <w:color w:val="auto"/>
                <w:highlight w:val="none"/>
                <w:u w:val="none"/>
              </w:rPr>
              <w:t>内容</w:t>
            </w:r>
          </w:p>
        </w:tc>
        <w:tc>
          <w:tcPr>
            <w:tcW w:w="866" w:type="dxa"/>
            <w:vAlign w:val="center"/>
          </w:tcPr>
          <w:p w14:paraId="71A15932">
            <w:pPr>
              <w:pStyle w:val="92"/>
              <w:rPr>
                <w:color w:val="auto"/>
                <w:highlight w:val="none"/>
                <w:u w:val="none"/>
              </w:rPr>
            </w:pPr>
            <w:r>
              <w:rPr>
                <w:rFonts w:hint="eastAsia"/>
                <w:color w:val="auto"/>
                <w:highlight w:val="none"/>
                <w:u w:val="none"/>
              </w:rPr>
              <w:t>符合性</w:t>
            </w:r>
          </w:p>
        </w:tc>
      </w:tr>
      <w:tr w14:paraId="15DF8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3AA18384">
            <w:pPr>
              <w:pStyle w:val="92"/>
              <w:rPr>
                <w:color w:val="auto"/>
                <w:highlight w:val="none"/>
                <w:u w:val="none"/>
              </w:rPr>
            </w:pPr>
            <w:bookmarkStart w:id="407" w:name="_Hlk75875667"/>
            <w:r>
              <w:rPr>
                <w:color w:val="auto"/>
                <w:highlight w:val="none"/>
                <w:u w:val="none"/>
              </w:rPr>
              <w:t>产业布局</w:t>
            </w:r>
          </w:p>
        </w:tc>
        <w:tc>
          <w:tcPr>
            <w:tcW w:w="6115" w:type="dxa"/>
            <w:vAlign w:val="center"/>
          </w:tcPr>
          <w:p w14:paraId="613F2DED">
            <w:pPr>
              <w:pStyle w:val="92"/>
              <w:jc w:val="left"/>
              <w:rPr>
                <w:color w:val="auto"/>
                <w:highlight w:val="none"/>
                <w:u w:val="none"/>
              </w:rPr>
            </w:pPr>
            <w:r>
              <w:rPr>
                <w:rFonts w:hint="eastAsia"/>
                <w:color w:val="auto"/>
                <w:highlight w:val="none"/>
                <w:u w:val="none"/>
              </w:rPr>
              <w:t>新建、扩建</w:t>
            </w:r>
            <w:r>
              <w:rPr>
                <w:color w:val="auto"/>
                <w:highlight w:val="none"/>
                <w:u w:val="none"/>
              </w:rPr>
              <w:t>MDI、TDI项目应符合国家相关产业政策及发展规划，符合相关法律法规、城乡规划、生态环境规划和土地利用规划要求。</w:t>
            </w:r>
          </w:p>
        </w:tc>
        <w:tc>
          <w:tcPr>
            <w:tcW w:w="6237" w:type="dxa"/>
            <w:vAlign w:val="center"/>
          </w:tcPr>
          <w:p w14:paraId="4FD1C82B">
            <w:pPr>
              <w:pStyle w:val="92"/>
              <w:jc w:val="left"/>
              <w:rPr>
                <w:color w:val="auto"/>
                <w:highlight w:val="none"/>
                <w:u w:val="none"/>
              </w:rPr>
            </w:pPr>
            <w:r>
              <w:rPr>
                <w:rFonts w:hint="eastAsia"/>
                <w:color w:val="auto"/>
                <w:highlight w:val="none"/>
                <w:u w:val="none"/>
              </w:rPr>
              <w:t>本项目符合国家产业政策，符合《福建省人民政府关于全省石化等七类产业布局的指导意见》，符合《福清市国土空间总体规划（2021-2035年）</w:t>
            </w:r>
            <w:r>
              <w:rPr>
                <w:color w:val="auto"/>
                <w:highlight w:val="none"/>
                <w:u w:val="none"/>
              </w:rPr>
              <w:t>》</w:t>
            </w:r>
            <w:r>
              <w:rPr>
                <w:rFonts w:hint="eastAsia"/>
                <w:color w:val="auto"/>
                <w:highlight w:val="none"/>
                <w:u w:val="none"/>
                <w:lang w:eastAsia="zh-CN"/>
              </w:rPr>
              <w:t>、</w:t>
            </w:r>
            <w:r>
              <w:rPr>
                <w:rFonts w:hint="eastAsia"/>
                <w:color w:val="auto"/>
                <w:highlight w:val="none"/>
                <w:u w:val="none"/>
              </w:rPr>
              <w:t>《福州江阴港城总体规划（</w:t>
            </w:r>
            <w:r>
              <w:rPr>
                <w:color w:val="auto"/>
                <w:highlight w:val="none"/>
                <w:u w:val="none"/>
              </w:rPr>
              <w:t>2018-2035年）》</w:t>
            </w:r>
            <w:r>
              <w:rPr>
                <w:rFonts w:hint="eastAsia"/>
                <w:color w:val="auto"/>
                <w:highlight w:val="none"/>
                <w:u w:val="none"/>
              </w:rPr>
              <w:t>、及《福州江阴港城经济区产业发展规划》。</w:t>
            </w:r>
          </w:p>
        </w:tc>
        <w:tc>
          <w:tcPr>
            <w:tcW w:w="866" w:type="dxa"/>
            <w:vAlign w:val="center"/>
          </w:tcPr>
          <w:p w14:paraId="3DF9091D">
            <w:pPr>
              <w:pStyle w:val="92"/>
              <w:rPr>
                <w:color w:val="auto"/>
                <w:highlight w:val="none"/>
                <w:u w:val="none"/>
              </w:rPr>
            </w:pPr>
            <w:r>
              <w:rPr>
                <w:color w:val="auto"/>
                <w:highlight w:val="none"/>
                <w:u w:val="none"/>
              </w:rPr>
              <w:t>符合</w:t>
            </w:r>
          </w:p>
        </w:tc>
      </w:tr>
      <w:tr w14:paraId="75AD9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3A915CED">
            <w:pPr>
              <w:pStyle w:val="92"/>
              <w:rPr>
                <w:color w:val="auto"/>
                <w:highlight w:val="none"/>
                <w:u w:val="none"/>
              </w:rPr>
            </w:pPr>
          </w:p>
        </w:tc>
        <w:tc>
          <w:tcPr>
            <w:tcW w:w="6115" w:type="dxa"/>
            <w:vAlign w:val="center"/>
          </w:tcPr>
          <w:p w14:paraId="75A6B780">
            <w:pPr>
              <w:pStyle w:val="92"/>
              <w:jc w:val="left"/>
              <w:rPr>
                <w:color w:val="auto"/>
                <w:highlight w:val="none"/>
                <w:u w:val="none"/>
              </w:rPr>
            </w:pPr>
            <w:r>
              <w:rPr>
                <w:color w:val="auto"/>
                <w:highlight w:val="none"/>
                <w:u w:val="none"/>
              </w:rPr>
              <w:t>新建、扩建MDI、TDI项目原则上应布局在依法合规设立、污染治理和安全环境风险防范设施齐全的化工园区内，并符合园区总体规划、产业发展规划和规划环评。</w:t>
            </w:r>
          </w:p>
        </w:tc>
        <w:tc>
          <w:tcPr>
            <w:tcW w:w="6237" w:type="dxa"/>
            <w:vAlign w:val="center"/>
          </w:tcPr>
          <w:p w14:paraId="17DAADAD">
            <w:pPr>
              <w:pStyle w:val="92"/>
              <w:jc w:val="left"/>
              <w:rPr>
                <w:color w:val="auto"/>
                <w:highlight w:val="none"/>
                <w:u w:val="none"/>
              </w:rPr>
            </w:pPr>
            <w:r>
              <w:rPr>
                <w:color w:val="auto"/>
                <w:highlight w:val="none"/>
                <w:u w:val="none"/>
              </w:rPr>
              <w:t>本项目位于</w:t>
            </w:r>
            <w:r>
              <w:rPr>
                <w:rFonts w:hint="eastAsia"/>
                <w:color w:val="auto"/>
                <w:highlight w:val="none"/>
                <w:u w:val="none"/>
              </w:rPr>
              <w:t>江阴港城经济区</w:t>
            </w:r>
            <w:r>
              <w:rPr>
                <w:color w:val="auto"/>
                <w:highlight w:val="none"/>
                <w:u w:val="none"/>
              </w:rPr>
              <w:t>的</w:t>
            </w:r>
            <w:r>
              <w:rPr>
                <w:rFonts w:hint="eastAsia"/>
                <w:color w:val="auto"/>
                <w:highlight w:val="none"/>
                <w:u w:val="none"/>
              </w:rPr>
              <w:t>西部临港产业区（为化工园区，园区</w:t>
            </w:r>
            <w:r>
              <w:rPr>
                <w:color w:val="auto"/>
                <w:highlight w:val="none"/>
                <w:u w:val="none"/>
              </w:rPr>
              <w:t>污染治理和安全环境风险防范设施</w:t>
            </w:r>
            <w:r>
              <w:rPr>
                <w:rFonts w:hint="eastAsia"/>
                <w:color w:val="auto"/>
                <w:highlight w:val="none"/>
                <w:u w:val="none"/>
              </w:rPr>
              <w:t>较齐全）</w:t>
            </w:r>
            <w:r>
              <w:rPr>
                <w:color w:val="auto"/>
                <w:highlight w:val="none"/>
                <w:u w:val="none"/>
              </w:rPr>
              <w:t>，项目建设符合《福州江阴港城总体规划（2018-2035）环境影响报告书》及其审查意见的要求。</w:t>
            </w:r>
          </w:p>
        </w:tc>
        <w:tc>
          <w:tcPr>
            <w:tcW w:w="866" w:type="dxa"/>
            <w:vAlign w:val="center"/>
          </w:tcPr>
          <w:p w14:paraId="3B458935">
            <w:pPr>
              <w:pStyle w:val="92"/>
              <w:rPr>
                <w:color w:val="auto"/>
                <w:highlight w:val="none"/>
                <w:u w:val="none"/>
              </w:rPr>
            </w:pPr>
            <w:r>
              <w:rPr>
                <w:color w:val="auto"/>
                <w:highlight w:val="none"/>
                <w:u w:val="none"/>
              </w:rPr>
              <w:t>符合</w:t>
            </w:r>
          </w:p>
        </w:tc>
      </w:tr>
      <w:tr w14:paraId="04C9C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202FC6DD">
            <w:pPr>
              <w:pStyle w:val="92"/>
              <w:rPr>
                <w:color w:val="auto"/>
                <w:highlight w:val="none"/>
                <w:u w:val="none"/>
              </w:rPr>
            </w:pPr>
          </w:p>
        </w:tc>
        <w:tc>
          <w:tcPr>
            <w:tcW w:w="6115" w:type="dxa"/>
            <w:vAlign w:val="center"/>
          </w:tcPr>
          <w:p w14:paraId="63ECDD48">
            <w:pPr>
              <w:pStyle w:val="92"/>
              <w:jc w:val="left"/>
              <w:rPr>
                <w:color w:val="auto"/>
                <w:highlight w:val="none"/>
                <w:u w:val="none"/>
              </w:rPr>
            </w:pPr>
            <w:r>
              <w:rPr>
                <w:rFonts w:hint="eastAsia"/>
                <w:color w:val="auto"/>
                <w:highlight w:val="none"/>
                <w:u w:val="none"/>
              </w:rPr>
              <w:t>新建、扩建</w:t>
            </w:r>
            <w:r>
              <w:rPr>
                <w:color w:val="auto"/>
                <w:highlight w:val="none"/>
                <w:u w:val="none"/>
              </w:rPr>
              <w:t>MDI、TDI项目外部防护距离应符合相关国家标准或规范要求。严禁在依法设立的自然保护区、风景名胜区、饮用水水源保护区、重点水源涵养区、文化保护地、国家公园、生态保护红线和其他需要特别保护的区域内，以及土地利用总体规划确定的耕地和基本农田保护范围内新建、扩建MDI、TDI项目。</w:t>
            </w:r>
          </w:p>
        </w:tc>
        <w:tc>
          <w:tcPr>
            <w:tcW w:w="6237" w:type="dxa"/>
            <w:vAlign w:val="center"/>
          </w:tcPr>
          <w:p w14:paraId="10F1FA8F">
            <w:pPr>
              <w:pStyle w:val="92"/>
              <w:jc w:val="left"/>
              <w:rPr>
                <w:color w:val="auto"/>
                <w:highlight w:val="none"/>
                <w:u w:val="none"/>
              </w:rPr>
            </w:pPr>
            <w:r>
              <w:rPr>
                <w:rFonts w:hint="eastAsia"/>
                <w:color w:val="auto"/>
                <w:highlight w:val="none"/>
                <w:u w:val="none"/>
              </w:rPr>
              <w:t>本项目根据大气影响预测结果及</w:t>
            </w:r>
            <w:r>
              <w:rPr>
                <w:snapToGrid w:val="0"/>
                <w:color w:val="auto"/>
                <w:highlight w:val="none"/>
                <w:u w:val="none"/>
              </w:rPr>
              <w:t>《</w:t>
            </w:r>
            <w:r>
              <w:rPr>
                <w:rFonts w:hint="eastAsia"/>
                <w:snapToGrid w:val="0"/>
                <w:color w:val="auto"/>
                <w:highlight w:val="none"/>
                <w:u w:val="none"/>
              </w:rPr>
              <w:t>光气及光气化产品生产安全规范</w:t>
            </w:r>
            <w:r>
              <w:rPr>
                <w:snapToGrid w:val="0"/>
                <w:color w:val="auto"/>
                <w:highlight w:val="none"/>
                <w:u w:val="none"/>
              </w:rPr>
              <w:t>》（GB19041-20</w:t>
            </w:r>
            <w:r>
              <w:rPr>
                <w:rFonts w:hint="eastAsia"/>
                <w:snapToGrid w:val="0"/>
                <w:color w:val="auto"/>
                <w:highlight w:val="none"/>
                <w:u w:val="none"/>
              </w:rPr>
              <w:t>24</w:t>
            </w:r>
            <w:r>
              <w:rPr>
                <w:snapToGrid w:val="0"/>
                <w:color w:val="auto"/>
                <w:highlight w:val="none"/>
                <w:u w:val="none"/>
              </w:rPr>
              <w:t>）</w:t>
            </w:r>
            <w:r>
              <w:rPr>
                <w:rFonts w:hint="eastAsia"/>
                <w:snapToGrid w:val="0"/>
                <w:color w:val="auto"/>
                <w:highlight w:val="none"/>
                <w:u w:val="none"/>
              </w:rPr>
              <w:t>要求设置环境防护距离，项目位于</w:t>
            </w:r>
            <w:r>
              <w:rPr>
                <w:rFonts w:hint="eastAsia"/>
                <w:color w:val="auto"/>
                <w:highlight w:val="none"/>
                <w:u w:val="none"/>
              </w:rPr>
              <w:t>江阴港城经济区</w:t>
            </w:r>
            <w:r>
              <w:rPr>
                <w:color w:val="auto"/>
                <w:highlight w:val="none"/>
                <w:u w:val="none"/>
              </w:rPr>
              <w:t>的</w:t>
            </w:r>
            <w:r>
              <w:rPr>
                <w:rFonts w:hint="eastAsia"/>
                <w:color w:val="auto"/>
                <w:highlight w:val="none"/>
                <w:u w:val="none"/>
              </w:rPr>
              <w:t>西部临港产业区的工业用地内，不在</w:t>
            </w:r>
            <w:r>
              <w:rPr>
                <w:color w:val="auto"/>
                <w:highlight w:val="none"/>
                <w:u w:val="none"/>
              </w:rPr>
              <w:t>自然保护区、风景名胜区、饮用水水源保护区、重点水源涵养区、文化保护地、国家公园、生态保护红线和其他需要特别保护的区域内</w:t>
            </w:r>
            <w:r>
              <w:rPr>
                <w:rFonts w:hint="eastAsia"/>
                <w:color w:val="auto"/>
                <w:highlight w:val="none"/>
                <w:u w:val="none"/>
              </w:rPr>
              <w:t>。</w:t>
            </w:r>
          </w:p>
        </w:tc>
        <w:tc>
          <w:tcPr>
            <w:tcW w:w="866" w:type="dxa"/>
            <w:vAlign w:val="center"/>
          </w:tcPr>
          <w:p w14:paraId="2E260CE7">
            <w:pPr>
              <w:pStyle w:val="92"/>
              <w:rPr>
                <w:color w:val="auto"/>
                <w:highlight w:val="none"/>
                <w:u w:val="none"/>
              </w:rPr>
            </w:pPr>
            <w:r>
              <w:rPr>
                <w:color w:val="auto"/>
                <w:highlight w:val="none"/>
                <w:u w:val="none"/>
              </w:rPr>
              <w:t>符合</w:t>
            </w:r>
          </w:p>
        </w:tc>
      </w:tr>
      <w:tr w14:paraId="4E80A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4B2FC948">
            <w:pPr>
              <w:pStyle w:val="92"/>
              <w:rPr>
                <w:color w:val="auto"/>
                <w:highlight w:val="none"/>
                <w:u w:val="none"/>
              </w:rPr>
            </w:pPr>
          </w:p>
        </w:tc>
        <w:tc>
          <w:tcPr>
            <w:tcW w:w="6115" w:type="dxa"/>
            <w:vAlign w:val="center"/>
          </w:tcPr>
          <w:p w14:paraId="0349A9AC">
            <w:pPr>
              <w:pStyle w:val="92"/>
              <w:jc w:val="left"/>
              <w:rPr>
                <w:color w:val="auto"/>
                <w:highlight w:val="none"/>
                <w:u w:val="none"/>
              </w:rPr>
            </w:pPr>
            <w:r>
              <w:rPr>
                <w:color w:val="auto"/>
                <w:highlight w:val="none"/>
                <w:u w:val="none"/>
              </w:rPr>
              <w:t>严禁在气体不宜扩散的地区和城市全年主导风向的上风向建设MDI、TDI项目。</w:t>
            </w:r>
          </w:p>
        </w:tc>
        <w:tc>
          <w:tcPr>
            <w:tcW w:w="6237" w:type="dxa"/>
            <w:vAlign w:val="center"/>
          </w:tcPr>
          <w:p w14:paraId="3BFEEF25">
            <w:pPr>
              <w:pStyle w:val="92"/>
              <w:jc w:val="left"/>
              <w:rPr>
                <w:color w:val="auto"/>
                <w:highlight w:val="none"/>
                <w:u w:val="none"/>
              </w:rPr>
            </w:pPr>
            <w:r>
              <w:rPr>
                <w:color w:val="auto"/>
                <w:highlight w:val="none"/>
                <w:u w:val="none"/>
              </w:rPr>
              <w:t>本项目选址位于</w:t>
            </w:r>
            <w:r>
              <w:rPr>
                <w:rFonts w:hint="eastAsia"/>
                <w:color w:val="auto"/>
                <w:highlight w:val="none"/>
                <w:u w:val="none"/>
              </w:rPr>
              <w:t>江阴港城经济区</w:t>
            </w:r>
            <w:r>
              <w:rPr>
                <w:color w:val="auto"/>
                <w:highlight w:val="none"/>
                <w:u w:val="none"/>
              </w:rPr>
              <w:t>的</w:t>
            </w:r>
            <w:r>
              <w:rPr>
                <w:rFonts w:hint="eastAsia"/>
                <w:color w:val="auto"/>
                <w:highlight w:val="none"/>
                <w:u w:val="none"/>
              </w:rPr>
              <w:t>西部临港产业区，处于江阴镇</w:t>
            </w:r>
            <w:r>
              <w:rPr>
                <w:color w:val="auto"/>
                <w:highlight w:val="none"/>
                <w:u w:val="none"/>
              </w:rPr>
              <w:t>全年主导下风向区域，紧邻兴化湾，大气扩散条件良好。</w:t>
            </w:r>
          </w:p>
        </w:tc>
        <w:tc>
          <w:tcPr>
            <w:tcW w:w="866" w:type="dxa"/>
            <w:vAlign w:val="center"/>
          </w:tcPr>
          <w:p w14:paraId="3E29391B">
            <w:pPr>
              <w:pStyle w:val="92"/>
              <w:rPr>
                <w:color w:val="auto"/>
                <w:highlight w:val="none"/>
                <w:u w:val="none"/>
              </w:rPr>
            </w:pPr>
            <w:r>
              <w:rPr>
                <w:color w:val="auto"/>
                <w:highlight w:val="none"/>
                <w:u w:val="none"/>
              </w:rPr>
              <w:t>符合</w:t>
            </w:r>
          </w:p>
        </w:tc>
      </w:tr>
      <w:bookmarkEnd w:id="407"/>
      <w:tr w14:paraId="75828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38EFEA80">
            <w:pPr>
              <w:pStyle w:val="92"/>
              <w:rPr>
                <w:color w:val="auto"/>
                <w:highlight w:val="none"/>
                <w:u w:val="none"/>
              </w:rPr>
            </w:pPr>
            <w:r>
              <w:rPr>
                <w:color w:val="auto"/>
                <w:highlight w:val="none"/>
                <w:u w:val="none"/>
              </w:rPr>
              <w:t>技术装备</w:t>
            </w:r>
          </w:p>
        </w:tc>
        <w:tc>
          <w:tcPr>
            <w:tcW w:w="6115" w:type="dxa"/>
            <w:vAlign w:val="center"/>
          </w:tcPr>
          <w:p w14:paraId="670403AB">
            <w:pPr>
              <w:pStyle w:val="92"/>
              <w:jc w:val="left"/>
              <w:rPr>
                <w:color w:val="auto"/>
                <w:highlight w:val="none"/>
                <w:u w:val="none"/>
              </w:rPr>
            </w:pPr>
            <w:r>
              <w:rPr>
                <w:rFonts w:hint="eastAsia"/>
                <w:color w:val="auto"/>
                <w:highlight w:val="none"/>
                <w:u w:val="none"/>
              </w:rPr>
              <w:t>新建、扩建</w:t>
            </w:r>
            <w:r>
              <w:rPr>
                <w:color w:val="auto"/>
                <w:highlight w:val="none"/>
                <w:u w:val="none"/>
              </w:rPr>
              <w:t>MDI、TDI项目应有自备或就近外协配套的一氧化碳、氢气和液氯制备装置；副产氯化氢应有效综合利用。</w:t>
            </w:r>
          </w:p>
        </w:tc>
        <w:tc>
          <w:tcPr>
            <w:tcW w:w="6237" w:type="dxa"/>
            <w:vAlign w:val="center"/>
          </w:tcPr>
          <w:p w14:paraId="200DA8CA">
            <w:pPr>
              <w:pStyle w:val="92"/>
              <w:jc w:val="left"/>
              <w:rPr>
                <w:color w:val="auto"/>
                <w:highlight w:val="none"/>
                <w:u w:val="none"/>
              </w:rPr>
            </w:pPr>
            <w:r>
              <w:rPr>
                <w:color w:val="auto"/>
                <w:highlight w:val="none"/>
                <w:u w:val="none"/>
              </w:rPr>
              <w:t>本项目一氧化碳依托</w:t>
            </w:r>
            <w:r>
              <w:rPr>
                <w:rFonts w:hint="eastAsia"/>
                <w:color w:val="auto"/>
                <w:highlight w:val="none"/>
                <w:u w:val="none"/>
              </w:rPr>
              <w:t>万华福建公司气体厂区</w:t>
            </w:r>
            <w:r>
              <w:rPr>
                <w:color w:val="auto"/>
                <w:highlight w:val="none"/>
                <w:u w:val="none"/>
              </w:rPr>
              <w:t>供给；氢气依托</w:t>
            </w:r>
            <w:r>
              <w:rPr>
                <w:rFonts w:hint="eastAsia"/>
                <w:color w:val="auto"/>
                <w:highlight w:val="none"/>
                <w:u w:val="none"/>
              </w:rPr>
              <w:t>万华福建公司气体厂区和东南电化股份有限公司烧碱装置</w:t>
            </w:r>
            <w:r>
              <w:rPr>
                <w:color w:val="auto"/>
                <w:highlight w:val="none"/>
                <w:u w:val="none"/>
              </w:rPr>
              <w:t>供给；</w:t>
            </w:r>
            <w:r>
              <w:rPr>
                <w:rFonts w:hint="eastAsia"/>
                <w:color w:val="auto"/>
                <w:highlight w:val="none"/>
                <w:u w:val="none"/>
              </w:rPr>
              <w:t>氯气由东南电化股份有限公司烧碱装置和福建环洋新材料有限公司烧碱装置供给；</w:t>
            </w:r>
            <w:r>
              <w:rPr>
                <w:color w:val="auto"/>
                <w:highlight w:val="none"/>
                <w:u w:val="none"/>
              </w:rPr>
              <w:t>本项目氯化氢部分</w:t>
            </w:r>
            <w:r>
              <w:rPr>
                <w:rFonts w:hint="eastAsia"/>
                <w:color w:val="auto"/>
                <w:highlight w:val="none"/>
                <w:u w:val="none"/>
              </w:rPr>
              <w:t>送往万华福建公司</w:t>
            </w:r>
            <w:r>
              <w:rPr>
                <w:color w:val="auto"/>
                <w:highlight w:val="none"/>
                <w:u w:val="none"/>
              </w:rPr>
              <w:t>PVC项目、福建正太新材料科技有限责任公司二氧化钛项目、</w:t>
            </w:r>
            <w:r>
              <w:rPr>
                <w:rFonts w:hint="eastAsia"/>
                <w:color w:val="auto"/>
                <w:highlight w:val="none"/>
                <w:u w:val="none"/>
              </w:rPr>
              <w:t>福建环洋新材料有限公司环氧氯丙烷项目</w:t>
            </w:r>
            <w:r>
              <w:rPr>
                <w:color w:val="auto"/>
                <w:highlight w:val="none"/>
                <w:u w:val="none"/>
              </w:rPr>
              <w:t>作为原料，部分做成盐酸外售。</w:t>
            </w:r>
            <w:r>
              <w:rPr>
                <w:rFonts w:hint="eastAsia"/>
                <w:color w:val="auto"/>
                <w:highlight w:val="none"/>
                <w:u w:val="none"/>
              </w:rPr>
              <w:t>上述企业项目均位于本项目周边</w:t>
            </w:r>
            <w:r>
              <w:rPr>
                <w:color w:val="auto"/>
                <w:highlight w:val="none"/>
                <w:u w:val="none"/>
              </w:rPr>
              <w:t>。</w:t>
            </w:r>
          </w:p>
        </w:tc>
        <w:tc>
          <w:tcPr>
            <w:tcW w:w="866" w:type="dxa"/>
            <w:vAlign w:val="center"/>
          </w:tcPr>
          <w:p w14:paraId="471115EA">
            <w:pPr>
              <w:pStyle w:val="92"/>
              <w:rPr>
                <w:color w:val="auto"/>
                <w:highlight w:val="none"/>
                <w:u w:val="none"/>
              </w:rPr>
            </w:pPr>
            <w:r>
              <w:rPr>
                <w:color w:val="auto"/>
                <w:highlight w:val="none"/>
                <w:u w:val="none"/>
              </w:rPr>
              <w:t>符合</w:t>
            </w:r>
          </w:p>
        </w:tc>
      </w:tr>
      <w:tr w14:paraId="4FDA6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2B3EE0E3">
            <w:pPr>
              <w:pStyle w:val="92"/>
              <w:rPr>
                <w:color w:val="auto"/>
                <w:highlight w:val="none"/>
                <w:u w:val="none"/>
              </w:rPr>
            </w:pPr>
          </w:p>
        </w:tc>
        <w:tc>
          <w:tcPr>
            <w:tcW w:w="6115" w:type="dxa"/>
            <w:vAlign w:val="center"/>
          </w:tcPr>
          <w:p w14:paraId="26462907">
            <w:pPr>
              <w:pStyle w:val="92"/>
              <w:jc w:val="left"/>
              <w:rPr>
                <w:color w:val="auto"/>
                <w:highlight w:val="none"/>
                <w:u w:val="none"/>
              </w:rPr>
            </w:pPr>
            <w:r>
              <w:rPr>
                <w:rFonts w:hint="eastAsia"/>
                <w:color w:val="auto"/>
                <w:highlight w:val="none"/>
                <w:u w:val="none"/>
              </w:rPr>
              <w:t>新建、扩建</w:t>
            </w:r>
            <w:r>
              <w:rPr>
                <w:color w:val="auto"/>
                <w:highlight w:val="none"/>
                <w:u w:val="none"/>
              </w:rPr>
              <w:t>MDI、TDI项目应采用先进可靠的硝化、氢化、光气合成、光气化、溶剂回收、分离精馏等系列工艺技术。</w:t>
            </w:r>
          </w:p>
        </w:tc>
        <w:tc>
          <w:tcPr>
            <w:tcW w:w="6237" w:type="dxa"/>
            <w:vAlign w:val="center"/>
          </w:tcPr>
          <w:p w14:paraId="6CA0ACBC">
            <w:pPr>
              <w:pStyle w:val="92"/>
              <w:jc w:val="left"/>
              <w:rPr>
                <w:color w:val="auto"/>
                <w:highlight w:val="none"/>
                <w:u w:val="none"/>
              </w:rPr>
            </w:pPr>
            <w:r>
              <w:rPr>
                <w:color w:val="auto"/>
                <w:highlight w:val="none"/>
                <w:u w:val="none"/>
              </w:rPr>
              <w:t>本项目DNT单元拟采用瑞士BIAZZI公司先进的釜式搅拌反应工艺。TDA单元中的加氢反应部分采用了瑞士BIAZZI公司的工艺技术，精制部分由万华化学中央研究院自主研发。酸浓缩单元拟采用德国QVF公司的技术。TDI采用液相光气化法</w:t>
            </w:r>
            <w:r>
              <w:rPr>
                <w:rFonts w:hint="eastAsia"/>
                <w:color w:val="auto"/>
                <w:highlight w:val="none"/>
                <w:u w:val="none"/>
              </w:rPr>
              <w:t>生产技术</w:t>
            </w:r>
            <w:r>
              <w:rPr>
                <w:color w:val="auto"/>
                <w:highlight w:val="none"/>
                <w:u w:val="none"/>
              </w:rPr>
              <w:t>。均可以达到</w:t>
            </w:r>
            <w:r>
              <w:rPr>
                <w:rFonts w:hint="eastAsia"/>
                <w:color w:val="auto"/>
                <w:highlight w:val="none"/>
                <w:u w:val="none"/>
              </w:rPr>
              <w:t>同行业</w:t>
            </w:r>
            <w:r>
              <w:rPr>
                <w:color w:val="auto"/>
                <w:highlight w:val="none"/>
                <w:u w:val="none"/>
              </w:rPr>
              <w:t>先进技术水平</w:t>
            </w:r>
            <w:r>
              <w:rPr>
                <w:rFonts w:hint="eastAsia"/>
                <w:color w:val="auto"/>
                <w:highlight w:val="none"/>
                <w:u w:val="none"/>
              </w:rPr>
              <w:t>。</w:t>
            </w:r>
          </w:p>
        </w:tc>
        <w:tc>
          <w:tcPr>
            <w:tcW w:w="866" w:type="dxa"/>
            <w:vAlign w:val="center"/>
          </w:tcPr>
          <w:p w14:paraId="6B0F952A">
            <w:pPr>
              <w:pStyle w:val="92"/>
              <w:rPr>
                <w:color w:val="auto"/>
                <w:highlight w:val="none"/>
                <w:u w:val="none"/>
              </w:rPr>
            </w:pPr>
            <w:r>
              <w:rPr>
                <w:color w:val="auto"/>
                <w:highlight w:val="none"/>
                <w:u w:val="none"/>
              </w:rPr>
              <w:t>符合</w:t>
            </w:r>
          </w:p>
        </w:tc>
      </w:tr>
      <w:tr w14:paraId="27DFE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09128188">
            <w:pPr>
              <w:pStyle w:val="92"/>
              <w:rPr>
                <w:color w:val="auto"/>
                <w:highlight w:val="none"/>
                <w:u w:val="none"/>
              </w:rPr>
            </w:pPr>
          </w:p>
        </w:tc>
        <w:tc>
          <w:tcPr>
            <w:tcW w:w="6115" w:type="dxa"/>
            <w:vAlign w:val="center"/>
          </w:tcPr>
          <w:p w14:paraId="25FFFB8D">
            <w:pPr>
              <w:pStyle w:val="92"/>
              <w:jc w:val="left"/>
              <w:rPr>
                <w:color w:val="auto"/>
                <w:highlight w:val="none"/>
                <w:u w:val="none"/>
              </w:rPr>
            </w:pPr>
            <w:r>
              <w:rPr>
                <w:color w:val="auto"/>
                <w:highlight w:val="none"/>
                <w:u w:val="none"/>
              </w:rPr>
              <w:t>MDI、TDI装置主要设备应满足安全、节能、环保和资源综合利用的相关标准或要求。对光气及光气化设备应采用防止泄漏和能够及时处置泄漏的双重安全措施，严格控制在线光气量。</w:t>
            </w:r>
          </w:p>
        </w:tc>
        <w:tc>
          <w:tcPr>
            <w:tcW w:w="6237" w:type="dxa"/>
            <w:vAlign w:val="center"/>
          </w:tcPr>
          <w:p w14:paraId="68620C17">
            <w:pPr>
              <w:pStyle w:val="92"/>
              <w:jc w:val="left"/>
              <w:rPr>
                <w:color w:val="auto"/>
                <w:highlight w:val="none"/>
                <w:u w:val="none"/>
              </w:rPr>
            </w:pPr>
            <w:r>
              <w:rPr>
                <w:rFonts w:hint="eastAsia"/>
                <w:color w:val="auto"/>
                <w:highlight w:val="none"/>
                <w:u w:val="none"/>
              </w:rPr>
              <w:t>本项目采用</w:t>
            </w:r>
            <w:r>
              <w:rPr>
                <w:color w:val="auto"/>
                <w:highlight w:val="none"/>
                <w:u w:val="none"/>
              </w:rPr>
              <w:t>满足安全、节能、环保</w:t>
            </w:r>
            <w:r>
              <w:rPr>
                <w:rFonts w:hint="eastAsia"/>
                <w:color w:val="auto"/>
                <w:highlight w:val="none"/>
                <w:u w:val="none"/>
              </w:rPr>
              <w:t>要求的设备。</w:t>
            </w:r>
            <w:r>
              <w:rPr>
                <w:color w:val="auto"/>
                <w:highlight w:val="none"/>
                <w:u w:val="none"/>
              </w:rPr>
              <w:t>光气及光气化设备采用防止泄漏和能够及时处置泄漏的双重安全措施，严格控制在线光气量</w:t>
            </w:r>
            <w:r>
              <w:rPr>
                <w:rFonts w:hint="eastAsia"/>
                <w:color w:val="auto"/>
                <w:highlight w:val="none"/>
                <w:u w:val="none"/>
              </w:rPr>
              <w:t>。</w:t>
            </w:r>
          </w:p>
        </w:tc>
        <w:tc>
          <w:tcPr>
            <w:tcW w:w="866" w:type="dxa"/>
            <w:vAlign w:val="center"/>
          </w:tcPr>
          <w:p w14:paraId="1476AD38">
            <w:pPr>
              <w:pStyle w:val="92"/>
              <w:rPr>
                <w:color w:val="auto"/>
                <w:highlight w:val="none"/>
                <w:u w:val="none"/>
              </w:rPr>
            </w:pPr>
            <w:r>
              <w:rPr>
                <w:color w:val="auto"/>
                <w:highlight w:val="none"/>
                <w:u w:val="none"/>
              </w:rPr>
              <w:t>符合</w:t>
            </w:r>
          </w:p>
        </w:tc>
      </w:tr>
      <w:tr w14:paraId="047A5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54E73CCE">
            <w:pPr>
              <w:pStyle w:val="92"/>
              <w:rPr>
                <w:color w:val="auto"/>
                <w:highlight w:val="none"/>
                <w:u w:val="none"/>
              </w:rPr>
            </w:pPr>
          </w:p>
        </w:tc>
        <w:tc>
          <w:tcPr>
            <w:tcW w:w="6115" w:type="dxa"/>
            <w:vAlign w:val="center"/>
          </w:tcPr>
          <w:p w14:paraId="46149229">
            <w:pPr>
              <w:pStyle w:val="92"/>
              <w:jc w:val="left"/>
              <w:rPr>
                <w:color w:val="auto"/>
                <w:highlight w:val="none"/>
                <w:u w:val="none"/>
              </w:rPr>
            </w:pPr>
            <w:r>
              <w:rPr>
                <w:color w:val="auto"/>
                <w:highlight w:val="none"/>
                <w:u w:val="none"/>
              </w:rPr>
              <w:t>MDI、TDI装置生产过程应采用集散控制系统（DCS）、电气控制系统（ECS）、安全仪表系统（SIS）或过程控制系统（PCS）优化控制生产过程，在光气合成单元应设置在线分析仪，以及必要的安全监测监控、防护设施。鼓励企业建设智能工厂，利用信息化、智能化技术提升安全环保水平。</w:t>
            </w:r>
          </w:p>
        </w:tc>
        <w:tc>
          <w:tcPr>
            <w:tcW w:w="6237" w:type="dxa"/>
            <w:vAlign w:val="center"/>
          </w:tcPr>
          <w:p w14:paraId="1E381B3E">
            <w:pPr>
              <w:pStyle w:val="92"/>
              <w:jc w:val="left"/>
              <w:rPr>
                <w:color w:val="auto"/>
                <w:highlight w:val="none"/>
                <w:u w:val="none"/>
              </w:rPr>
            </w:pPr>
            <w:r>
              <w:rPr>
                <w:color w:val="auto"/>
                <w:highlight w:val="none"/>
                <w:u w:val="none"/>
              </w:rPr>
              <w:t>本项目TDI装置生产过程采用集散控制系统（DCS）和安全仪表系统（SIS）优化控制生产过程，在光气合成单元设置在线分析仪，以及必要的安全监测监控、防护设施。</w:t>
            </w:r>
          </w:p>
        </w:tc>
        <w:tc>
          <w:tcPr>
            <w:tcW w:w="866" w:type="dxa"/>
            <w:vAlign w:val="center"/>
          </w:tcPr>
          <w:p w14:paraId="6979E606">
            <w:pPr>
              <w:pStyle w:val="92"/>
              <w:rPr>
                <w:color w:val="auto"/>
                <w:highlight w:val="none"/>
                <w:u w:val="none"/>
              </w:rPr>
            </w:pPr>
            <w:r>
              <w:rPr>
                <w:color w:val="auto"/>
                <w:highlight w:val="none"/>
                <w:u w:val="none"/>
              </w:rPr>
              <w:t>符合</w:t>
            </w:r>
          </w:p>
        </w:tc>
      </w:tr>
      <w:tr w14:paraId="055AC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65ADA95A">
            <w:pPr>
              <w:pStyle w:val="92"/>
              <w:rPr>
                <w:color w:val="auto"/>
                <w:highlight w:val="none"/>
                <w:u w:val="none"/>
              </w:rPr>
            </w:pPr>
            <w:r>
              <w:rPr>
                <w:color w:val="auto"/>
                <w:highlight w:val="none"/>
                <w:u w:val="none"/>
              </w:rPr>
              <w:t>原料、能源消耗和产品质量</w:t>
            </w:r>
          </w:p>
        </w:tc>
        <w:tc>
          <w:tcPr>
            <w:tcW w:w="6115" w:type="dxa"/>
            <w:vAlign w:val="center"/>
          </w:tcPr>
          <w:p w14:paraId="5246E053">
            <w:pPr>
              <w:pStyle w:val="92"/>
              <w:jc w:val="left"/>
              <w:rPr>
                <w:color w:val="auto"/>
                <w:highlight w:val="none"/>
                <w:u w:val="none"/>
              </w:rPr>
            </w:pPr>
            <w:r>
              <w:rPr>
                <w:color w:val="auto"/>
                <w:highlight w:val="none"/>
                <w:u w:val="none"/>
              </w:rPr>
              <w:t>新建、扩建TDI装置（包括二硝基甲苯（DNT）氢化制甲苯二胺（TDA）、TDA光气化制TDI等工序，不含氯化氢回收氯气）单位产品原料消耗应达到表2要求</w:t>
            </w:r>
            <w:r>
              <w:rPr>
                <w:rFonts w:hint="eastAsia"/>
                <w:color w:val="auto"/>
                <w:highlight w:val="none"/>
                <w:u w:val="none"/>
              </w:rPr>
              <w:t>。</w:t>
            </w:r>
          </w:p>
        </w:tc>
        <w:tc>
          <w:tcPr>
            <w:tcW w:w="6237" w:type="dxa"/>
            <w:vAlign w:val="center"/>
          </w:tcPr>
          <w:p w14:paraId="0418A8F2">
            <w:pPr>
              <w:pStyle w:val="92"/>
              <w:jc w:val="left"/>
              <w:rPr>
                <w:color w:val="auto"/>
                <w:highlight w:val="none"/>
                <w:u w:val="none"/>
              </w:rPr>
            </w:pPr>
            <w:r>
              <w:rPr>
                <w:rFonts w:hint="eastAsia"/>
                <w:color w:val="auto"/>
                <w:highlight w:val="none"/>
                <w:u w:val="none"/>
              </w:rPr>
              <w:t>根据5.8.1.3小节分析，</w:t>
            </w:r>
            <w:r>
              <w:rPr>
                <w:color w:val="auto"/>
                <w:highlight w:val="none"/>
                <w:u w:val="none"/>
              </w:rPr>
              <w:t>本项目TDI单位产品原料消耗限额满足《二苯基甲烷二异氰酸酯（MDI）、甲苯二异氰酸酯（TDI）项目建设规范条件》中表2</w:t>
            </w:r>
            <w:r>
              <w:rPr>
                <w:rFonts w:hint="eastAsia"/>
                <w:color w:val="auto"/>
                <w:highlight w:val="none"/>
                <w:u w:val="none"/>
              </w:rPr>
              <w:t>的</w:t>
            </w:r>
            <w:r>
              <w:rPr>
                <w:color w:val="auto"/>
                <w:highlight w:val="none"/>
                <w:u w:val="none"/>
              </w:rPr>
              <w:t>要求</w:t>
            </w:r>
          </w:p>
        </w:tc>
        <w:tc>
          <w:tcPr>
            <w:tcW w:w="866" w:type="dxa"/>
            <w:vAlign w:val="center"/>
          </w:tcPr>
          <w:p w14:paraId="411608C2">
            <w:pPr>
              <w:pStyle w:val="92"/>
              <w:rPr>
                <w:color w:val="auto"/>
                <w:highlight w:val="none"/>
                <w:u w:val="none"/>
              </w:rPr>
            </w:pPr>
            <w:r>
              <w:rPr>
                <w:color w:val="auto"/>
                <w:highlight w:val="none"/>
                <w:u w:val="none"/>
              </w:rPr>
              <w:t>符合</w:t>
            </w:r>
          </w:p>
        </w:tc>
      </w:tr>
      <w:tr w14:paraId="5E900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05A49ABA">
            <w:pPr>
              <w:pStyle w:val="92"/>
              <w:rPr>
                <w:color w:val="auto"/>
                <w:highlight w:val="none"/>
                <w:u w:val="none"/>
              </w:rPr>
            </w:pPr>
          </w:p>
        </w:tc>
        <w:tc>
          <w:tcPr>
            <w:tcW w:w="6115" w:type="dxa"/>
            <w:vAlign w:val="center"/>
          </w:tcPr>
          <w:p w14:paraId="16D081E7">
            <w:pPr>
              <w:pStyle w:val="92"/>
              <w:jc w:val="left"/>
              <w:rPr>
                <w:color w:val="auto"/>
                <w:highlight w:val="none"/>
                <w:u w:val="none"/>
              </w:rPr>
            </w:pPr>
            <w:r>
              <w:rPr>
                <w:color w:val="auto"/>
                <w:highlight w:val="none"/>
                <w:u w:val="none"/>
              </w:rPr>
              <w:t>TDI装置能耗应达到《甲苯二异氰酸酯单位产品能源消耗定额》（GB31828）准入值，产品质量符合国家或行业标准。</w:t>
            </w:r>
          </w:p>
        </w:tc>
        <w:tc>
          <w:tcPr>
            <w:tcW w:w="6237" w:type="dxa"/>
            <w:vAlign w:val="center"/>
          </w:tcPr>
          <w:p w14:paraId="58143476">
            <w:pPr>
              <w:pStyle w:val="92"/>
              <w:jc w:val="left"/>
              <w:rPr>
                <w:color w:val="auto"/>
                <w:highlight w:val="none"/>
                <w:u w:val="none"/>
              </w:rPr>
            </w:pPr>
            <w:r>
              <w:rPr>
                <w:color w:val="auto"/>
                <w:highlight w:val="none"/>
                <w:u w:val="none"/>
              </w:rPr>
              <w:t>本项目的TDI单位产品能耗为kg</w:t>
            </w:r>
            <w:r>
              <w:rPr>
                <w:b/>
                <w:bCs/>
                <w:color w:val="auto"/>
                <w:kern w:val="0"/>
                <w:highlight w:val="none"/>
                <w:u w:val="none"/>
              </w:rPr>
              <w:t xml:space="preserve"> </w:t>
            </w:r>
            <w:bookmarkStart w:id="408" w:name="_Hlk76718869"/>
            <w:r>
              <w:rPr>
                <w:color w:val="auto"/>
                <w:highlight w:val="none"/>
                <w:u w:val="none"/>
              </w:rPr>
              <w:t>tce</w:t>
            </w:r>
            <w:bookmarkEnd w:id="408"/>
            <w:r>
              <w:rPr>
                <w:color w:val="auto"/>
                <w:highlight w:val="none"/>
                <w:u w:val="none"/>
              </w:rPr>
              <w:t xml:space="preserve"> /t，</w:t>
            </w:r>
            <w:r>
              <w:rPr>
                <w:rFonts w:hint="eastAsia"/>
                <w:color w:val="auto"/>
                <w:highlight w:val="none"/>
                <w:u w:val="none"/>
              </w:rPr>
              <w:t>达到《甲苯二异氰酸酯和二苯基甲烷二异氰酸酯单位产品能源消耗限额》</w:t>
            </w:r>
            <w:r>
              <w:rPr>
                <w:color w:val="auto"/>
                <w:highlight w:val="none"/>
                <w:u w:val="none"/>
              </w:rPr>
              <w:t>（GB318</w:t>
            </w:r>
            <w:r>
              <w:rPr>
                <w:rFonts w:hint="eastAsia"/>
                <w:color w:val="auto"/>
                <w:highlight w:val="none"/>
                <w:u w:val="none"/>
              </w:rPr>
              <w:t>30</w:t>
            </w:r>
            <w:r>
              <w:rPr>
                <w:color w:val="auto"/>
                <w:highlight w:val="none"/>
                <w:u w:val="none"/>
              </w:rPr>
              <w:t>-20</w:t>
            </w:r>
            <w:r>
              <w:rPr>
                <w:rFonts w:hint="eastAsia"/>
                <w:color w:val="auto"/>
                <w:highlight w:val="none"/>
                <w:u w:val="none"/>
              </w:rPr>
              <w:t>24</w:t>
            </w:r>
            <w:r>
              <w:rPr>
                <w:color w:val="auto"/>
                <w:highlight w:val="none"/>
                <w:u w:val="none"/>
              </w:rPr>
              <w:t>）</w:t>
            </w:r>
            <w:r>
              <w:rPr>
                <w:rFonts w:hint="eastAsia"/>
                <w:color w:val="auto"/>
                <w:highlight w:val="none"/>
                <w:u w:val="none"/>
              </w:rPr>
              <w:t>中1级指标要求，属于</w:t>
            </w:r>
            <w:r>
              <w:rPr>
                <w:color w:val="auto"/>
                <w:highlight w:val="none"/>
                <w:u w:val="none"/>
              </w:rPr>
              <w:t>先进能耗水平</w:t>
            </w:r>
            <w:r>
              <w:rPr>
                <w:rFonts w:hint="eastAsia"/>
                <w:color w:val="auto"/>
                <w:highlight w:val="none"/>
                <w:u w:val="none"/>
              </w:rPr>
              <w:t>，满足其规定的“TDI、MDI新建或改扩建项目单位产品能耗限额准入值应符合表1和表2中的2级指标要求”</w:t>
            </w:r>
            <w:r>
              <w:rPr>
                <w:color w:val="auto"/>
                <w:highlight w:val="none"/>
                <w:u w:val="none"/>
              </w:rPr>
              <w:t>。</w:t>
            </w:r>
          </w:p>
        </w:tc>
        <w:tc>
          <w:tcPr>
            <w:tcW w:w="866" w:type="dxa"/>
            <w:vAlign w:val="center"/>
          </w:tcPr>
          <w:p w14:paraId="1A2D7FE4">
            <w:pPr>
              <w:pStyle w:val="92"/>
              <w:rPr>
                <w:color w:val="auto"/>
                <w:highlight w:val="none"/>
                <w:u w:val="none"/>
              </w:rPr>
            </w:pPr>
            <w:r>
              <w:rPr>
                <w:color w:val="auto"/>
                <w:highlight w:val="none"/>
                <w:u w:val="none"/>
              </w:rPr>
              <w:t>符合</w:t>
            </w:r>
          </w:p>
        </w:tc>
      </w:tr>
      <w:tr w14:paraId="6D5ED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57356BFF">
            <w:pPr>
              <w:pStyle w:val="92"/>
              <w:rPr>
                <w:color w:val="auto"/>
                <w:highlight w:val="none"/>
                <w:u w:val="none"/>
              </w:rPr>
            </w:pPr>
            <w:r>
              <w:rPr>
                <w:color w:val="auto"/>
                <w:highlight w:val="none"/>
                <w:u w:val="none"/>
              </w:rPr>
              <w:t>环境保护和清洁生产</w:t>
            </w:r>
          </w:p>
        </w:tc>
        <w:tc>
          <w:tcPr>
            <w:tcW w:w="6115" w:type="dxa"/>
            <w:vAlign w:val="center"/>
          </w:tcPr>
          <w:p w14:paraId="377CF70B">
            <w:pPr>
              <w:pStyle w:val="92"/>
              <w:jc w:val="left"/>
              <w:rPr>
                <w:color w:val="auto"/>
                <w:highlight w:val="none"/>
                <w:u w:val="none"/>
              </w:rPr>
            </w:pPr>
            <w:r>
              <w:rPr>
                <w:color w:val="auto"/>
                <w:highlight w:val="none"/>
                <w:u w:val="none"/>
              </w:rPr>
              <w:t>MDI、TDI生产企业应当遵守《中华人民共和国环境保护法》等法律法规以及环保标准，建立健全企业环境保护管理体系。严格落实《大气污染防治行动计划》《水污染防治行动计划》《土壤污染防治行动计划》等环境保护要求。</w:t>
            </w:r>
          </w:p>
        </w:tc>
        <w:tc>
          <w:tcPr>
            <w:tcW w:w="6237" w:type="dxa"/>
            <w:vAlign w:val="center"/>
          </w:tcPr>
          <w:p w14:paraId="501E3FEE">
            <w:pPr>
              <w:pStyle w:val="92"/>
              <w:jc w:val="left"/>
              <w:rPr>
                <w:color w:val="auto"/>
                <w:highlight w:val="none"/>
                <w:u w:val="none"/>
              </w:rPr>
            </w:pPr>
            <w:r>
              <w:rPr>
                <w:color w:val="auto"/>
                <w:highlight w:val="none"/>
                <w:u w:val="none"/>
              </w:rPr>
              <w:t>万华化学（福建）有限公司承诺将遵守《中华人民共和国环境保护法》等法律法规以及环保标准，建立健全企业环境保护管理体系。严格落实《大气污染防治行动计划》《水污染防治行动计划》《土壤污染防治行动计划》等环境保护要求。</w:t>
            </w:r>
          </w:p>
        </w:tc>
        <w:tc>
          <w:tcPr>
            <w:tcW w:w="866" w:type="dxa"/>
            <w:vAlign w:val="center"/>
          </w:tcPr>
          <w:p w14:paraId="33876C9F">
            <w:pPr>
              <w:pStyle w:val="92"/>
              <w:rPr>
                <w:color w:val="auto"/>
                <w:highlight w:val="none"/>
                <w:u w:val="none"/>
              </w:rPr>
            </w:pPr>
            <w:r>
              <w:rPr>
                <w:color w:val="auto"/>
                <w:highlight w:val="none"/>
                <w:u w:val="none"/>
              </w:rPr>
              <w:t>符合</w:t>
            </w:r>
          </w:p>
        </w:tc>
      </w:tr>
      <w:tr w14:paraId="500363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6B62DF91">
            <w:pPr>
              <w:pStyle w:val="92"/>
              <w:rPr>
                <w:color w:val="auto"/>
                <w:highlight w:val="none"/>
                <w:u w:val="none"/>
              </w:rPr>
            </w:pPr>
          </w:p>
        </w:tc>
        <w:tc>
          <w:tcPr>
            <w:tcW w:w="6115" w:type="dxa"/>
            <w:vAlign w:val="center"/>
          </w:tcPr>
          <w:p w14:paraId="4B27A680">
            <w:pPr>
              <w:pStyle w:val="92"/>
              <w:jc w:val="left"/>
              <w:rPr>
                <w:color w:val="auto"/>
                <w:highlight w:val="none"/>
                <w:u w:val="none"/>
              </w:rPr>
            </w:pPr>
            <w:r>
              <w:rPr>
                <w:color w:val="auto"/>
                <w:highlight w:val="none"/>
                <w:u w:val="none"/>
              </w:rPr>
              <w:t>MDI、TDI生产企业应优先采用资源利用率高以及污染物产生量少的清洁生产技术、工艺和设备，对生产和服务过程中的资源消耗以及废物的产生情况进行监测，依法开展清洁生产审核，并通过清洁生产实施效果评估验收。</w:t>
            </w:r>
          </w:p>
        </w:tc>
        <w:tc>
          <w:tcPr>
            <w:tcW w:w="6237" w:type="dxa"/>
            <w:vAlign w:val="center"/>
          </w:tcPr>
          <w:p w14:paraId="4B2B5AD6">
            <w:pPr>
              <w:pStyle w:val="92"/>
              <w:jc w:val="left"/>
              <w:rPr>
                <w:color w:val="auto"/>
                <w:highlight w:val="none"/>
                <w:u w:val="none"/>
              </w:rPr>
            </w:pPr>
            <w:r>
              <w:rPr>
                <w:rFonts w:hint="eastAsia"/>
                <w:color w:val="auto"/>
                <w:highlight w:val="none"/>
                <w:u w:val="none"/>
              </w:rPr>
              <w:t>本项目采用</w:t>
            </w:r>
            <w:r>
              <w:rPr>
                <w:color w:val="auto"/>
                <w:highlight w:val="none"/>
                <w:u w:val="none"/>
              </w:rPr>
              <w:t>资源利用率高以及污染物产生量少的清洁生产技术、工艺和设备，万华化学（福建）有限公司承诺将对生产和服务过程中的资源消耗以及废物的产生情况进行监测，依法开展清洁生产审核，并通过清洁生产实施效果评估验收。</w:t>
            </w:r>
          </w:p>
        </w:tc>
        <w:tc>
          <w:tcPr>
            <w:tcW w:w="866" w:type="dxa"/>
            <w:vAlign w:val="center"/>
          </w:tcPr>
          <w:p w14:paraId="59489184">
            <w:pPr>
              <w:pStyle w:val="92"/>
              <w:rPr>
                <w:color w:val="auto"/>
                <w:highlight w:val="none"/>
                <w:u w:val="none"/>
              </w:rPr>
            </w:pPr>
            <w:r>
              <w:rPr>
                <w:color w:val="auto"/>
                <w:highlight w:val="none"/>
                <w:u w:val="none"/>
              </w:rPr>
              <w:t>符合</w:t>
            </w:r>
          </w:p>
        </w:tc>
      </w:tr>
      <w:tr w14:paraId="164FA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2D11AF78">
            <w:pPr>
              <w:pStyle w:val="92"/>
              <w:rPr>
                <w:color w:val="auto"/>
                <w:highlight w:val="none"/>
                <w:u w:val="none"/>
              </w:rPr>
            </w:pPr>
          </w:p>
        </w:tc>
        <w:tc>
          <w:tcPr>
            <w:tcW w:w="6115" w:type="dxa"/>
            <w:vAlign w:val="center"/>
          </w:tcPr>
          <w:p w14:paraId="1A8546DE">
            <w:pPr>
              <w:pStyle w:val="92"/>
              <w:jc w:val="left"/>
              <w:rPr>
                <w:color w:val="auto"/>
                <w:highlight w:val="none"/>
                <w:u w:val="none"/>
              </w:rPr>
            </w:pPr>
            <w:r>
              <w:rPr>
                <w:color w:val="auto"/>
                <w:highlight w:val="none"/>
                <w:u w:val="none"/>
              </w:rPr>
              <w:t>新建、扩建MDI、TDI项目应严格执行环境影响评价制度，配套的环境保护设施必须与主体工程同时设计、同时施工、同时投产使用。生产企业应依法取得排污许可证，严格执行国家和地方关于污水和废气排放、噪声控制、放射性废物污染防治有关法律法规、标准、规范和排污许可证的要求，做到达标、达总量控制要求排放和依法合规处置。</w:t>
            </w:r>
          </w:p>
        </w:tc>
        <w:tc>
          <w:tcPr>
            <w:tcW w:w="6237" w:type="dxa"/>
            <w:vAlign w:val="center"/>
          </w:tcPr>
          <w:p w14:paraId="05FC75F0">
            <w:pPr>
              <w:pStyle w:val="92"/>
              <w:jc w:val="left"/>
              <w:rPr>
                <w:color w:val="auto"/>
                <w:highlight w:val="none"/>
                <w:u w:val="none"/>
              </w:rPr>
            </w:pPr>
            <w:r>
              <w:rPr>
                <w:color w:val="auto"/>
                <w:highlight w:val="none"/>
                <w:u w:val="none"/>
              </w:rPr>
              <w:t>万华化学（福建）有限公司承诺将严格执行环境影响评价制度，配套的环境保护设施必须与主体工程同时设计、同时施工、同时投产使用。依法</w:t>
            </w:r>
            <w:r>
              <w:rPr>
                <w:rFonts w:hint="eastAsia"/>
                <w:color w:val="auto"/>
                <w:highlight w:val="none"/>
                <w:u w:val="none"/>
              </w:rPr>
              <w:t>变更</w:t>
            </w:r>
            <w:r>
              <w:rPr>
                <w:color w:val="auto"/>
                <w:highlight w:val="none"/>
                <w:u w:val="none"/>
              </w:rPr>
              <w:t>排污许可证，严格执行国家和地方关于污水和废气排放、噪声控制、放射性废物污染防治有关法律法规、标准、规范和排污许可证的要求，做到达标、达总量控制要求排放和依法合规处置。</w:t>
            </w:r>
          </w:p>
        </w:tc>
        <w:tc>
          <w:tcPr>
            <w:tcW w:w="866" w:type="dxa"/>
            <w:vAlign w:val="center"/>
          </w:tcPr>
          <w:p w14:paraId="41453002">
            <w:pPr>
              <w:pStyle w:val="92"/>
              <w:rPr>
                <w:color w:val="auto"/>
                <w:highlight w:val="none"/>
                <w:u w:val="none"/>
              </w:rPr>
            </w:pPr>
            <w:r>
              <w:rPr>
                <w:color w:val="auto"/>
                <w:highlight w:val="none"/>
                <w:u w:val="none"/>
              </w:rPr>
              <w:t>符合</w:t>
            </w:r>
          </w:p>
        </w:tc>
      </w:tr>
      <w:tr w14:paraId="4913F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082A5503">
            <w:pPr>
              <w:pStyle w:val="92"/>
              <w:rPr>
                <w:color w:val="auto"/>
                <w:highlight w:val="none"/>
                <w:u w:val="none"/>
              </w:rPr>
            </w:pPr>
          </w:p>
        </w:tc>
        <w:tc>
          <w:tcPr>
            <w:tcW w:w="6115" w:type="dxa"/>
            <w:vAlign w:val="center"/>
          </w:tcPr>
          <w:p w14:paraId="5B0C11AE">
            <w:pPr>
              <w:pStyle w:val="92"/>
              <w:jc w:val="left"/>
              <w:rPr>
                <w:color w:val="auto"/>
                <w:highlight w:val="none"/>
                <w:u w:val="none"/>
              </w:rPr>
            </w:pPr>
            <w:r>
              <w:rPr>
                <w:color w:val="auto"/>
                <w:highlight w:val="none"/>
                <w:u w:val="none"/>
              </w:rPr>
              <w:t>MDI、TDI生产企业的危险废物应按有关法规和标准的要求，立足于项目或园区自行利用处置或委托有资质单位进行无害化利用处置。项目配套建设的危险废物</w:t>
            </w:r>
            <w:r>
              <w:rPr>
                <w:rFonts w:hint="eastAsia"/>
                <w:color w:val="auto"/>
                <w:highlight w:val="none"/>
                <w:u w:val="none"/>
              </w:rPr>
              <w:t>贮存</w:t>
            </w:r>
            <w:r>
              <w:rPr>
                <w:color w:val="auto"/>
                <w:highlight w:val="none"/>
                <w:u w:val="none"/>
              </w:rPr>
              <w:t>场所和一般工业固体废物贮存、处置场所需符合《危险废物贮存污染控制标准》（GB18597）、《一般工业固体废物贮存、处置场污染控制标准》（GB18599）及其他地方标准要求。一般固体废物优先进行资源化综合利用。</w:t>
            </w:r>
          </w:p>
        </w:tc>
        <w:tc>
          <w:tcPr>
            <w:tcW w:w="6237" w:type="dxa"/>
            <w:vAlign w:val="center"/>
          </w:tcPr>
          <w:p w14:paraId="790F25E3">
            <w:pPr>
              <w:pStyle w:val="92"/>
              <w:jc w:val="left"/>
              <w:rPr>
                <w:color w:val="auto"/>
                <w:highlight w:val="none"/>
                <w:u w:val="none"/>
              </w:rPr>
            </w:pPr>
            <w:r>
              <w:rPr>
                <w:rFonts w:hint="eastAsia"/>
                <w:color w:val="auto"/>
                <w:highlight w:val="none"/>
                <w:u w:val="none"/>
              </w:rPr>
              <w:t>本项目产生的焦油颗粒送往万华福建公司气体扩能改造项目作为水煤浆气化原料进行利用，轻油、TDI废液委托万华环保科技公司能量回收装置进行焚烧处理，其他危险废物委托有危险废物处理资质的单位处理。依托的</w:t>
            </w:r>
            <w:r>
              <w:rPr>
                <w:color w:val="auto"/>
                <w:highlight w:val="none"/>
                <w:u w:val="none"/>
              </w:rPr>
              <w:t>万华</w:t>
            </w:r>
            <w:r>
              <w:rPr>
                <w:rFonts w:hint="eastAsia"/>
                <w:color w:val="auto"/>
                <w:highlight w:val="none"/>
                <w:u w:val="none"/>
              </w:rPr>
              <w:t>环保科技公司危废贮存间已按照《危险废物贮存污染控制标准》（</w:t>
            </w:r>
            <w:r>
              <w:rPr>
                <w:color w:val="auto"/>
                <w:highlight w:val="none"/>
                <w:u w:val="none"/>
              </w:rPr>
              <w:t>GB18597）</w:t>
            </w:r>
            <w:r>
              <w:rPr>
                <w:rFonts w:hint="eastAsia"/>
                <w:color w:val="auto"/>
                <w:highlight w:val="none"/>
                <w:u w:val="none"/>
              </w:rPr>
              <w:t>的要求进行建设。</w:t>
            </w:r>
          </w:p>
        </w:tc>
        <w:tc>
          <w:tcPr>
            <w:tcW w:w="866" w:type="dxa"/>
            <w:vAlign w:val="center"/>
          </w:tcPr>
          <w:p w14:paraId="552D61F6">
            <w:pPr>
              <w:pStyle w:val="92"/>
              <w:rPr>
                <w:color w:val="auto"/>
                <w:highlight w:val="none"/>
                <w:u w:val="none"/>
              </w:rPr>
            </w:pPr>
            <w:r>
              <w:rPr>
                <w:color w:val="auto"/>
                <w:highlight w:val="none"/>
                <w:u w:val="none"/>
              </w:rPr>
              <w:t>符合</w:t>
            </w:r>
          </w:p>
        </w:tc>
      </w:tr>
    </w:tbl>
    <w:p w14:paraId="1DA365E5">
      <w:pPr>
        <w:ind w:firstLine="0" w:firstLineChars="0"/>
        <w:rPr>
          <w:rFonts w:hint="eastAsia"/>
          <w:color w:val="auto"/>
          <w:highlight w:val="none"/>
          <w:u w:val="none"/>
        </w:rPr>
      </w:pPr>
    </w:p>
    <w:p w14:paraId="2088BA9D">
      <w:pPr>
        <w:ind w:firstLine="0" w:firstLineChars="0"/>
        <w:rPr>
          <w:rFonts w:hint="eastAsia"/>
          <w:color w:val="auto"/>
          <w:highlight w:val="none"/>
          <w:u w:val="none"/>
        </w:rPr>
      </w:pPr>
    </w:p>
    <w:p w14:paraId="386BEA42">
      <w:pPr>
        <w:ind w:firstLine="0" w:firstLineChars="0"/>
        <w:rPr>
          <w:rFonts w:hint="eastAsia"/>
          <w:color w:val="auto"/>
          <w:highlight w:val="none"/>
          <w:u w:val="none"/>
        </w:rPr>
      </w:pPr>
    </w:p>
    <w:p w14:paraId="1F06BBEC">
      <w:pPr>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60640D52">
      <w:pPr>
        <w:pStyle w:val="7"/>
        <w:spacing w:before="156"/>
        <w:rPr>
          <w:color w:val="auto"/>
          <w:highlight w:val="none"/>
          <w:u w:val="none"/>
        </w:rPr>
      </w:pPr>
      <w:r>
        <w:rPr>
          <w:rFonts w:hint="eastAsia"/>
          <w:color w:val="auto"/>
          <w:highlight w:val="none"/>
          <w:u w:val="none"/>
        </w:rPr>
        <w:t>企业废水污染防治与《福州市“十四五”</w:t>
      </w:r>
      <w:r>
        <w:rPr>
          <w:rFonts w:hint="eastAsia"/>
          <w:color w:val="auto"/>
          <w:highlight w:val="none"/>
          <w:u w:val="none"/>
          <w:lang w:val="en-US"/>
        </w:rPr>
        <w:t>生态</w:t>
      </w:r>
      <w:r>
        <w:rPr>
          <w:rFonts w:hint="eastAsia"/>
          <w:color w:val="auto"/>
          <w:highlight w:val="none"/>
          <w:u w:val="none"/>
        </w:rPr>
        <w:t>环境保护规划》符合性分析</w:t>
      </w:r>
    </w:p>
    <w:p w14:paraId="795FF2A7">
      <w:pPr>
        <w:rPr>
          <w:rFonts w:hint="eastAsia"/>
          <w:color w:val="auto"/>
          <w:highlight w:val="none"/>
          <w:u w:val="none"/>
        </w:rPr>
      </w:pPr>
      <w:r>
        <w:rPr>
          <w:rFonts w:hint="eastAsia"/>
          <w:color w:val="auto"/>
          <w:highlight w:val="none"/>
          <w:u w:val="none"/>
        </w:rPr>
        <w:t>《福州市“十四五”</w:t>
      </w:r>
      <w:r>
        <w:rPr>
          <w:rFonts w:hint="eastAsia"/>
          <w:color w:val="auto"/>
          <w:highlight w:val="none"/>
          <w:u w:val="none"/>
          <w:lang w:val="en-US"/>
        </w:rPr>
        <w:t>生态</w:t>
      </w:r>
      <w:r>
        <w:rPr>
          <w:rFonts w:hint="eastAsia"/>
          <w:color w:val="auto"/>
          <w:highlight w:val="none"/>
          <w:u w:val="none"/>
        </w:rPr>
        <w:t>环境保护规划》中提出，“2025年底前，全面实现污水集中治理并安装自动在线监控装置。严控重点行业废水排放，严格控制缺水地区、水污染严重地区和敏感区域新建、改建、扩建重点行业建设项目，</w:t>
      </w:r>
      <w:r>
        <w:rPr>
          <w:rFonts w:hint="eastAsia"/>
          <w:b/>
          <w:bCs/>
          <w:color w:val="auto"/>
          <w:highlight w:val="none"/>
          <w:u w:val="none"/>
        </w:rPr>
        <w:t>实行主要污染物排放等量或减量置换。</w:t>
      </w:r>
      <w:r>
        <w:rPr>
          <w:rFonts w:hint="eastAsia"/>
          <w:color w:val="auto"/>
          <w:highlight w:val="none"/>
          <w:u w:val="none"/>
        </w:rPr>
        <w:t>推进造纸、印染、制革、化工、电镀等重点行业企业专项治理，重点管控新建冶金、电镀、化工、印染、原料药制造等工业企业。”</w:t>
      </w:r>
    </w:p>
    <w:p w14:paraId="70ECF823">
      <w:pPr>
        <w:rPr>
          <w:rFonts w:hint="eastAsia"/>
          <w:color w:val="auto"/>
          <w:highlight w:val="none"/>
          <w:u w:val="none"/>
        </w:rPr>
      </w:pPr>
      <w:r>
        <w:rPr>
          <w:rFonts w:hint="eastAsia"/>
          <w:color w:val="auto"/>
          <w:highlight w:val="none"/>
          <w:u w:val="none"/>
        </w:rPr>
        <w:t>本项目属于该“重点行业”中化工项目，项目</w:t>
      </w:r>
      <w:r>
        <w:rPr>
          <w:rFonts w:hint="eastAsia"/>
          <w:color w:val="auto"/>
          <w:highlight w:val="none"/>
          <w:u w:val="none"/>
          <w:lang w:val="en-US"/>
        </w:rPr>
        <w:t>技改扩能</w:t>
      </w:r>
      <w:r>
        <w:rPr>
          <w:rFonts w:hint="eastAsia"/>
          <w:color w:val="auto"/>
          <w:highlight w:val="none"/>
          <w:u w:val="none"/>
        </w:rPr>
        <w:t>新增COD、NH</w:t>
      </w:r>
      <w:r>
        <w:rPr>
          <w:rFonts w:hint="eastAsia"/>
          <w:color w:val="auto"/>
          <w:highlight w:val="none"/>
          <w:u w:val="none"/>
          <w:vertAlign w:val="subscript"/>
        </w:rPr>
        <w:t>3</w:t>
      </w:r>
      <w:r>
        <w:rPr>
          <w:rFonts w:hint="eastAsia"/>
          <w:color w:val="auto"/>
          <w:highlight w:val="none"/>
          <w:u w:val="none"/>
        </w:rPr>
        <w:t>-N实行</w:t>
      </w:r>
      <w:r>
        <w:rPr>
          <w:rFonts w:hint="eastAsia" w:cs="宋体"/>
          <w:color w:val="auto"/>
          <w:szCs w:val="20"/>
          <w:highlight w:val="none"/>
          <w:u w:val="none"/>
        </w:rPr>
        <w:t>排污权有偿使用和交易的</w:t>
      </w:r>
      <w:r>
        <w:rPr>
          <w:rFonts w:hint="eastAsia"/>
          <w:color w:val="auto"/>
          <w:highlight w:val="none"/>
          <w:u w:val="none"/>
        </w:rPr>
        <w:t>总量控制原则</w:t>
      </w:r>
      <w:r>
        <w:rPr>
          <w:rFonts w:hint="eastAsia" w:cs="宋体"/>
          <w:color w:val="auto"/>
          <w:szCs w:val="20"/>
          <w:highlight w:val="none"/>
          <w:u w:val="none"/>
        </w:rPr>
        <w:t>，进而</w:t>
      </w:r>
      <w:r>
        <w:rPr>
          <w:rFonts w:hint="eastAsia"/>
          <w:color w:val="auto"/>
          <w:highlight w:val="none"/>
          <w:u w:val="none"/>
        </w:rPr>
        <w:t>达到区域的主要污染物排放等量或减量置换，符合《福州市“十四五”</w:t>
      </w:r>
      <w:r>
        <w:rPr>
          <w:rFonts w:hint="eastAsia"/>
          <w:color w:val="auto"/>
          <w:highlight w:val="none"/>
          <w:u w:val="none"/>
          <w:lang w:val="en-US"/>
        </w:rPr>
        <w:t>生态</w:t>
      </w:r>
      <w:r>
        <w:rPr>
          <w:rFonts w:hint="eastAsia"/>
          <w:color w:val="auto"/>
          <w:highlight w:val="none"/>
          <w:u w:val="none"/>
        </w:rPr>
        <w:t>环境保护规划》行业整治要求。</w:t>
      </w:r>
    </w:p>
    <w:p w14:paraId="4DF84023">
      <w:pPr>
        <w:pStyle w:val="7"/>
        <w:spacing w:before="156"/>
        <w:rPr>
          <w:color w:val="auto"/>
          <w:highlight w:val="none"/>
          <w:u w:val="none"/>
        </w:rPr>
      </w:pPr>
      <w:r>
        <w:rPr>
          <w:rFonts w:hint="eastAsia"/>
          <w:color w:val="auto"/>
          <w:highlight w:val="none"/>
          <w:u w:val="none"/>
        </w:rPr>
        <w:t>企业废气污染防治与《大气污染防治行动计划》、《福建省大气污染防治行动计划实施细则》和《福州市“十四五”</w:t>
      </w:r>
      <w:r>
        <w:rPr>
          <w:rFonts w:hint="eastAsia"/>
          <w:color w:val="auto"/>
          <w:highlight w:val="none"/>
          <w:u w:val="none"/>
          <w:lang w:val="en-US"/>
        </w:rPr>
        <w:t>生态</w:t>
      </w:r>
      <w:r>
        <w:rPr>
          <w:rFonts w:hint="eastAsia"/>
          <w:color w:val="auto"/>
          <w:highlight w:val="none"/>
          <w:u w:val="none"/>
        </w:rPr>
        <w:t>环境保护规划》符合性分析</w:t>
      </w:r>
    </w:p>
    <w:p w14:paraId="47C16E6F">
      <w:pPr>
        <w:rPr>
          <w:rFonts w:hint="eastAsia"/>
          <w:color w:val="auto"/>
          <w:highlight w:val="none"/>
          <w:u w:val="none"/>
        </w:rPr>
      </w:pPr>
      <w:r>
        <w:rPr>
          <w:rFonts w:hint="eastAsia"/>
          <w:color w:val="auto"/>
          <w:highlight w:val="none"/>
          <w:u w:val="none"/>
        </w:rPr>
        <w:t>根据《大气污染防治行动计划》要求，“加强工业企业大气污染综合治理。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p w14:paraId="62B66B7E">
      <w:pPr>
        <w:rPr>
          <w:rFonts w:hint="eastAsia"/>
          <w:color w:val="auto"/>
          <w:highlight w:val="none"/>
          <w:u w:val="none"/>
        </w:rPr>
      </w:pPr>
      <w:r>
        <w:rPr>
          <w:rFonts w:hint="eastAsia"/>
          <w:color w:val="auto"/>
          <w:highlight w:val="none"/>
          <w:u w:val="none"/>
        </w:rPr>
        <w:t>根据《福建省大气污染防治行动计划实施细则》要求，“淘汰分散型工业燃煤炉窑，在化工、印染、造纸、制革、制药等产业集聚区，通过集中建设热电联产机组或大型集中供热设施或实施清洁燃料替代工程，逐步淘汰分散燃煤炉窑。到2015年，基本淘汰燃煤炉窑集中区和工业园区内燃煤炉窑，确实无法淘汰的，必须按规范建设投运除尘、脱硫和脱硝设施，确保污染物稳定达标排放。新建建筑陶瓷业项目原则上使用天然气。晋江、南安建筑陶瓷业应巩固‘煤改气’成果；闽清建筑陶瓷业及浦城、福鼎、霞浦合成革集控区‘煤改气’工程2014年基本完成、2015年全面完成；尤溪、大田合成革集控区‘煤改气’工程2015年全面完成；长乐、晋江、石狮印染、皮革集控区及福清江阴经济开发区集中供热工程2015年全面完成。”</w:t>
      </w:r>
    </w:p>
    <w:p w14:paraId="0B46B271">
      <w:pPr>
        <w:rPr>
          <w:rFonts w:hint="eastAsia"/>
          <w:color w:val="auto"/>
          <w:highlight w:val="none"/>
          <w:u w:val="none"/>
        </w:rPr>
      </w:pPr>
      <w:r>
        <w:rPr>
          <w:rFonts w:hint="eastAsia"/>
          <w:color w:val="auto"/>
          <w:highlight w:val="none"/>
          <w:u w:val="none"/>
        </w:rPr>
        <w:t>根据《福州市“十四五”</w:t>
      </w:r>
      <w:r>
        <w:rPr>
          <w:rFonts w:hint="eastAsia"/>
          <w:color w:val="auto"/>
          <w:highlight w:val="none"/>
          <w:u w:val="none"/>
          <w:lang w:val="en-US"/>
        </w:rPr>
        <w:t>生态</w:t>
      </w:r>
      <w:r>
        <w:rPr>
          <w:rFonts w:hint="eastAsia"/>
          <w:color w:val="auto"/>
          <w:highlight w:val="none"/>
          <w:u w:val="none"/>
        </w:rPr>
        <w:t>环境保护规划》要求，“完成燃煤小锅炉淘汰改燃。……除集中供热外，严控非清洁能源锅炉与工业炉窑。新建燃气锅炉和燃油锅炉应使用低氮燃烧技术，新建燃煤锅炉、生物质成型燃料锅炉和燃油锅炉必须达到超低排放标准要求。加快淘汰燃煤燃生物质燃油小锅炉，县级及以上城市建成区基本淘汰35蒸吨/小时以下的燃煤锅炉。”</w:t>
      </w:r>
    </w:p>
    <w:p w14:paraId="32386195">
      <w:pPr>
        <w:rPr>
          <w:rFonts w:hint="eastAsia"/>
          <w:color w:val="auto"/>
          <w:highlight w:val="none"/>
          <w:u w:val="none"/>
        </w:rPr>
      </w:pPr>
      <w:r>
        <w:rPr>
          <w:rFonts w:hint="eastAsia"/>
          <w:color w:val="auto"/>
          <w:highlight w:val="none"/>
          <w:u w:val="none"/>
        </w:rPr>
        <w:t>本项目工程所需的热源由福建省东南电化股份有限公司现有热电站、万华福建公司</w:t>
      </w:r>
      <w:r>
        <w:rPr>
          <w:rFonts w:hint="eastAsia"/>
          <w:color w:val="auto"/>
          <w:highlight w:val="none"/>
          <w:u w:val="none"/>
          <w:lang w:val="en-US"/>
        </w:rPr>
        <w:t>气体装置地块</w:t>
      </w:r>
      <w:r>
        <w:rPr>
          <w:rFonts w:hint="eastAsia"/>
          <w:color w:val="auto"/>
          <w:highlight w:val="none"/>
          <w:u w:val="none"/>
        </w:rPr>
        <w:t>、万华福建公司硝苯装置并网后提供，不新建锅炉，因此，项目的建设符合《大气污染防治行动计划》、《福建省大气污染防治行动计划实施细则》和《福州市“十四五”</w:t>
      </w:r>
      <w:r>
        <w:rPr>
          <w:rFonts w:hint="eastAsia"/>
          <w:color w:val="auto"/>
          <w:highlight w:val="none"/>
          <w:u w:val="none"/>
          <w:lang w:val="en-US"/>
        </w:rPr>
        <w:t>生态</w:t>
      </w:r>
      <w:r>
        <w:rPr>
          <w:rFonts w:hint="eastAsia"/>
          <w:color w:val="auto"/>
          <w:highlight w:val="none"/>
          <w:u w:val="none"/>
        </w:rPr>
        <w:t>环境保护规划》的要求。</w:t>
      </w:r>
    </w:p>
    <w:p w14:paraId="38046460">
      <w:pPr>
        <w:pStyle w:val="7"/>
        <w:spacing w:before="156"/>
        <w:rPr>
          <w:color w:val="auto"/>
          <w:highlight w:val="none"/>
          <w:u w:val="none"/>
        </w:rPr>
      </w:pPr>
      <w:r>
        <w:rPr>
          <w:rFonts w:hint="eastAsia"/>
          <w:color w:val="auto"/>
          <w:highlight w:val="none"/>
          <w:u w:val="none"/>
        </w:rPr>
        <w:t>与《挥发性有机物（VOCs）污染防治技术政策》符合性分析</w:t>
      </w:r>
    </w:p>
    <w:p w14:paraId="1B8B8926">
      <w:pPr>
        <w:rPr>
          <w:rFonts w:hint="eastAsia"/>
          <w:color w:val="auto"/>
          <w:highlight w:val="none"/>
          <w:u w:val="none"/>
        </w:rPr>
      </w:pPr>
      <w:r>
        <w:rPr>
          <w:rFonts w:hint="eastAsia"/>
          <w:color w:val="auto"/>
          <w:highlight w:val="none"/>
          <w:u w:val="none"/>
        </w:rPr>
        <w:t>根据《挥发性有机物（VOCs）污染防治技术政策》（环境保护部公告2013年第31号）要求，“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p w14:paraId="53193B37">
      <w:pPr>
        <w:rPr>
          <w:rFonts w:hint="eastAsia"/>
          <w:color w:val="auto"/>
          <w:highlight w:val="none"/>
          <w:u w:val="none"/>
        </w:rPr>
      </w:pPr>
      <w:r>
        <w:rPr>
          <w:rFonts w:hint="eastAsia"/>
          <w:color w:val="auto"/>
          <w:highlight w:val="none"/>
          <w:u w:val="none"/>
        </w:rPr>
        <w:t>本项目在生产过程中，优先采取VOCs回收利用方式，对含VOCs的可回收利用废气，采取冷凝回收技术进行回收利用；对含VOCs的不可回收利用的废气，采取冷凝、水洗涤、酸碱分解、活性炭吸附等措施进行预处理后，送往万华环保科技公司能量回收装置焚烧处置，保证各废气实现达标排放。</w:t>
      </w:r>
    </w:p>
    <w:p w14:paraId="0A01809B">
      <w:pPr>
        <w:rPr>
          <w:rFonts w:hint="eastAsia"/>
          <w:color w:val="auto"/>
          <w:highlight w:val="none"/>
          <w:u w:val="none"/>
        </w:rPr>
      </w:pPr>
      <w:r>
        <w:rPr>
          <w:rFonts w:hint="eastAsia"/>
          <w:color w:val="auto"/>
          <w:highlight w:val="none"/>
          <w:u w:val="none"/>
        </w:rPr>
        <w:t>因此，本项目符合《挥发性有机物（VOCs）污染防治技术政策》的要求。</w:t>
      </w:r>
    </w:p>
    <w:p w14:paraId="76AF62B1">
      <w:pPr>
        <w:pStyle w:val="7"/>
        <w:spacing w:before="156"/>
        <w:rPr>
          <w:color w:val="auto"/>
          <w:highlight w:val="none"/>
          <w:u w:val="none"/>
        </w:rPr>
      </w:pPr>
      <w:r>
        <w:rPr>
          <w:rFonts w:hint="eastAsia"/>
          <w:color w:val="auto"/>
          <w:highlight w:val="none"/>
          <w:u w:val="none"/>
        </w:rPr>
        <w:t>与《重点行业挥发性有机物综合治理方案》（环大气〔2019〕53号）相符性分析</w:t>
      </w:r>
    </w:p>
    <w:p w14:paraId="416A1CD5">
      <w:pPr>
        <w:rPr>
          <w:rFonts w:hint="eastAsia"/>
          <w:color w:val="auto"/>
          <w:highlight w:val="none"/>
          <w:u w:val="none"/>
        </w:rPr>
      </w:pPr>
      <w:r>
        <w:rPr>
          <w:rFonts w:hint="eastAsia"/>
          <w:color w:val="auto"/>
          <w:highlight w:val="none"/>
          <w:u w:val="none"/>
        </w:rPr>
        <w:t>根据《重点行业挥发性有机物综合治理方案》（环大气〔2019〕53号）文件要求：“化工行业</w:t>
      </w:r>
      <w:r>
        <w:rPr>
          <w:color w:val="auto"/>
          <w:highlight w:val="none"/>
          <w:u w:val="none"/>
        </w:rPr>
        <w:t>VOCs综合治理。</w:t>
      </w:r>
      <w:r>
        <w:rPr>
          <w:rFonts w:hint="eastAsia"/>
          <w:color w:val="auto"/>
          <w:highlight w:val="none"/>
          <w:u w:val="none"/>
        </w:rPr>
        <w:t>加强制药、农药、涂料、油墨、胶粘剂、橡胶和塑料制品等行业VOCs治理力度。重点提高涉VOCs排放工序密闭化水平，加强无组织排放收集，加大含VOCs物料储存和装卸治理力度。废水储存、曝气池及其之前废水处理设施应按要求加盖封闭，实施废气收集与处理。密封点大于等于2000个的，要开展LDAR工作。”“加快生产设备密闭化改造。对进出料、物料输送、搅拌、固液分离、干燥、灌装等过程，采取密闭化措施，提升工艺装备水平。”“实施废气分类收集处理。优先选用冷凝、吸附再生等回收技术；难以回收的，宜选用燃烧、吸附浓缩+燃烧等高效治理技术。”</w:t>
      </w:r>
    </w:p>
    <w:p w14:paraId="1EE0ED06">
      <w:pPr>
        <w:rPr>
          <w:rFonts w:hint="eastAsia"/>
          <w:color w:val="auto"/>
          <w:highlight w:val="none"/>
          <w:u w:val="none"/>
        </w:rPr>
      </w:pPr>
      <w:r>
        <w:rPr>
          <w:rFonts w:hint="eastAsia"/>
          <w:color w:val="auto"/>
          <w:highlight w:val="none"/>
          <w:u w:val="none"/>
        </w:rPr>
        <w:t>本项目所有工序采用密闭化水平较高的工艺设备及配套连接系统，不存在敞口式、明流式设施。项目厂区设置泄漏检测与修复（LDAR）技术，并建立LDAR管理制度及信息管理平台，通过对生产装置潜在泄漏点进行检测，及时发现存在泄漏现象的组件并进行修复或替换，降低泄漏排放。废水的储存采用密闭管道传送至万华环保科技公司废水处理站处理，</w:t>
      </w:r>
      <w:r>
        <w:rPr>
          <w:rFonts w:hAnsi="Times New Roman"/>
          <w:color w:val="auto"/>
          <w:highlight w:val="none"/>
          <w:u w:val="none"/>
        </w:rPr>
        <w:t>万华</w:t>
      </w:r>
      <w:r>
        <w:rPr>
          <w:rFonts w:hint="eastAsia" w:hAnsi="Times New Roman"/>
          <w:color w:val="auto"/>
          <w:highlight w:val="none"/>
          <w:u w:val="none"/>
          <w:lang w:val="en-US"/>
        </w:rPr>
        <w:t>环保科技公司</w:t>
      </w:r>
      <w:r>
        <w:rPr>
          <w:rFonts w:hint="eastAsia"/>
          <w:color w:val="auto"/>
          <w:highlight w:val="none"/>
          <w:u w:val="none"/>
        </w:rPr>
        <w:t>废水处理站处理设施均采用密闭加盖并收集逸出废气处理达标后排放（</w:t>
      </w:r>
      <w:r>
        <w:rPr>
          <w:rFonts w:hAnsi="Times New Roman"/>
          <w:color w:val="auto"/>
          <w:szCs w:val="28"/>
          <w:highlight w:val="none"/>
          <w:u w:val="none"/>
        </w:rPr>
        <w:t>低浓度废水处理系统抽排产生的废气采用“碱喷淋+水喷淋+生物除臭净化+除雾器”工艺进行处理</w:t>
      </w:r>
      <w:r>
        <w:rPr>
          <w:rFonts w:hint="eastAsia" w:hAnsi="Times New Roman"/>
          <w:color w:val="auto"/>
          <w:szCs w:val="28"/>
          <w:highlight w:val="none"/>
          <w:u w:val="none"/>
        </w:rPr>
        <w:t>，综合废水处理系统抽排产生的废气</w:t>
      </w:r>
      <w:r>
        <w:rPr>
          <w:rFonts w:hAnsi="Times New Roman"/>
          <w:color w:val="auto"/>
          <w:szCs w:val="28"/>
          <w:highlight w:val="none"/>
          <w:u w:val="none"/>
        </w:rPr>
        <w:t>采用“碱喷淋+水喷淋+RTO+碱喷淋”工艺进行处理</w:t>
      </w:r>
      <w:r>
        <w:rPr>
          <w:rFonts w:hint="eastAsia"/>
          <w:color w:val="auto"/>
          <w:highlight w:val="none"/>
          <w:u w:val="none"/>
        </w:rPr>
        <w:t>）。本项目优先采取VOCs回收利用方式，对含VOCs的可回收利用废气，采取冷凝回收技术进行回收利用；对含VOCs的不可回收利用的废气，采取冷凝、水洗涤、酸碱分解、活性炭吸附等措施进行预处理后，送往万华环保科技公司能量回收装置焚烧处置，保证各废气实现达标排放。</w:t>
      </w:r>
    </w:p>
    <w:p w14:paraId="35F1CA42">
      <w:pPr>
        <w:rPr>
          <w:rFonts w:hint="eastAsia"/>
          <w:color w:val="auto"/>
          <w:highlight w:val="none"/>
          <w:u w:val="none"/>
        </w:rPr>
      </w:pPr>
      <w:r>
        <w:rPr>
          <w:rFonts w:hint="eastAsia"/>
          <w:color w:val="auto"/>
          <w:highlight w:val="none"/>
          <w:u w:val="none"/>
        </w:rPr>
        <w:t>因此，本项目符合《重点行业挥发性有机物综合治理方案》（环大气〔2019〕53号）相关要求。</w:t>
      </w:r>
    </w:p>
    <w:p w14:paraId="17E91FF8">
      <w:pPr>
        <w:pStyle w:val="7"/>
        <w:spacing w:before="156"/>
        <w:rPr>
          <w:color w:val="auto"/>
          <w:highlight w:val="none"/>
          <w:u w:val="none"/>
        </w:rPr>
      </w:pPr>
      <w:r>
        <w:rPr>
          <w:rFonts w:hint="eastAsia"/>
          <w:color w:val="auto"/>
          <w:highlight w:val="none"/>
          <w:u w:val="none"/>
        </w:rPr>
        <w:t>与《福建省臭氧污染防控指南（试行）》符合性分析</w:t>
      </w:r>
    </w:p>
    <w:p w14:paraId="657C2656">
      <w:pPr>
        <w:rPr>
          <w:rFonts w:hint="eastAsia"/>
          <w:color w:val="auto"/>
          <w:highlight w:val="none"/>
          <w:u w:val="none"/>
        </w:rPr>
      </w:pPr>
      <w:r>
        <w:rPr>
          <w:rFonts w:hint="eastAsia"/>
          <w:color w:val="auto"/>
          <w:highlight w:val="none"/>
          <w:u w:val="none"/>
        </w:rPr>
        <w:t>根据《福建省臭氧污染防控指南（试行）》要求，“全面推进石化、医药</w:t>
      </w:r>
      <w:r>
        <w:rPr>
          <w:rFonts w:hint="eastAsia"/>
          <w:b/>
          <w:bCs/>
          <w:color w:val="auto"/>
          <w:highlight w:val="none"/>
          <w:u w:val="none"/>
        </w:rPr>
        <w:t>化工、</w:t>
      </w:r>
      <w:r>
        <w:rPr>
          <w:rFonts w:hint="eastAsia"/>
          <w:color w:val="auto"/>
          <w:highlight w:val="none"/>
          <w:u w:val="none"/>
        </w:rPr>
        <w:t>表面涂装、包装印刷等行业整治，加强全过程精细化管理，实施排污许可制，通过源头预防、过程控制和末端治理等综合措施，推动行业改造升级，实现达标排放。”“企业应提出针对VOCs的废气处理方案，明确处理装置长期有效运行的管理方案和监控方案”“采取密闭生产工艺，推广使用无泄漏、低泄漏设备。全面推行泄漏检测与修复（LDAR）技术。建立省、市两级LDAR管理平台，企业建立LDAR管理制度及信息管理平台并落实排污许可证定期报告和信息公开要求，持续推进LDAR工作，实现LDAR体系的长效管理制。”</w:t>
      </w:r>
    </w:p>
    <w:p w14:paraId="66D7A8C0">
      <w:pPr>
        <w:rPr>
          <w:rFonts w:hint="eastAsia"/>
          <w:color w:val="auto"/>
          <w:highlight w:val="none"/>
          <w:u w:val="none"/>
        </w:rPr>
      </w:pPr>
      <w:r>
        <w:rPr>
          <w:rFonts w:hint="eastAsia"/>
          <w:color w:val="auto"/>
          <w:highlight w:val="none"/>
          <w:u w:val="none"/>
        </w:rPr>
        <w:t>本项目对VOCs废气产生环节设置废气收集管线，经预处理后，送往万华环保科技公司能量回收装置焚烧处置，废气主要采用焚烧法处理有机废气，能量回收装置设置中控系统和在线监控。项目采取密闭生产工艺，厂区设置泄漏检测与修复（LDAR）技术，并建立LDAR管理制度及信息管理平台，因此本项目符合《福建省臭氧污染防控指南（试行）》的相关要求。</w:t>
      </w:r>
    </w:p>
    <w:p w14:paraId="7A71C316">
      <w:pPr>
        <w:pStyle w:val="7"/>
        <w:spacing w:before="156"/>
        <w:rPr>
          <w:color w:val="auto"/>
          <w:highlight w:val="none"/>
          <w:u w:val="none"/>
        </w:rPr>
      </w:pPr>
      <w:r>
        <w:rPr>
          <w:rFonts w:hint="eastAsia"/>
          <w:color w:val="auto"/>
          <w:highlight w:val="none"/>
          <w:u w:val="none"/>
        </w:rPr>
        <w:t>与《福建省环保厅关于切实加强重点石化化工企业及园区环境应急池建设的通知》（闽环保应急</w:t>
      </w:r>
      <w:r>
        <w:rPr>
          <w:color w:val="auto"/>
          <w:highlight w:val="none"/>
          <w:u w:val="none"/>
        </w:rPr>
        <w:t>[2015]13号）的符合性分析</w:t>
      </w:r>
    </w:p>
    <w:p w14:paraId="79560E10">
      <w:pPr>
        <w:rPr>
          <w:rFonts w:hint="eastAsia"/>
          <w:color w:val="auto"/>
          <w:highlight w:val="none"/>
          <w:u w:val="none"/>
        </w:rPr>
      </w:pPr>
      <w:r>
        <w:rPr>
          <w:rFonts w:hint="eastAsia"/>
          <w:color w:val="auto"/>
          <w:highlight w:val="none"/>
          <w:u w:val="none"/>
        </w:rPr>
        <w:t>根据《福建省环保厅关于切实加强重点石化化工企业及园区环境应急池建设的通知》（闽环保应急</w:t>
      </w:r>
      <w:r>
        <w:rPr>
          <w:color w:val="auto"/>
          <w:highlight w:val="none"/>
          <w:u w:val="none"/>
        </w:rPr>
        <w:t>[2015]13号），“要加强应急设施日常管理，确保事故状态下能够正常使用。要建设或完善雨水排放口监控、监视及关闭设施，防止事故废水通过雨水口外排。”“所有石化、化工生产企业和油库、罐区储运企业要在现有应急池系统的基础上，根据本企业原料、中间体、产品特性和生产、储运特点，科学论证、因地制宜，千方百计加快建设能够争取足够时间打通其他应急池通道的容积足够大的自流式应急池，确保事故废水、消防废水全收集、全处理。”“在同一个园区或者片区内的，或者彼此相邻的石化、化工生产企业和油库、罐区储运企业之间，要加</w:t>
      </w:r>
      <w:r>
        <w:rPr>
          <w:rFonts w:hint="eastAsia"/>
          <w:color w:val="auto"/>
          <w:highlight w:val="none"/>
          <w:u w:val="none"/>
        </w:rPr>
        <w:t>强沟通联动”“打通彼此已建、在建、拟建应急池通道，配备能力足够的双向自流或者动力提升设施，实现应急池系统共用。”</w:t>
      </w:r>
    </w:p>
    <w:p w14:paraId="75666B61">
      <w:pPr>
        <w:rPr>
          <w:rFonts w:hint="eastAsia"/>
          <w:color w:val="auto"/>
          <w:highlight w:val="none"/>
          <w:u w:val="none"/>
        </w:rPr>
      </w:pPr>
      <w:r>
        <w:rPr>
          <w:rFonts w:hint="eastAsia"/>
          <w:color w:val="auto"/>
          <w:highlight w:val="none"/>
          <w:u w:val="none"/>
        </w:rPr>
        <w:t>本项目建设雨水管网、雨水排放口监控、监视及切换设施，防止事故废水通过雨水口外排，项目依托现有工程</w:t>
      </w:r>
      <w:r>
        <w:rPr>
          <w:color w:val="auto"/>
          <w:highlight w:val="none"/>
          <w:u w:val="none"/>
        </w:rPr>
        <w:t>1个5000m</w:t>
      </w:r>
      <w:r>
        <w:rPr>
          <w:color w:val="auto"/>
          <w:highlight w:val="none"/>
          <w:u w:val="none"/>
          <w:vertAlign w:val="superscript"/>
        </w:rPr>
        <w:t>3</w:t>
      </w:r>
      <w:r>
        <w:rPr>
          <w:color w:val="auto"/>
          <w:highlight w:val="none"/>
          <w:u w:val="none"/>
        </w:rPr>
        <w:t>事故应急池及2个5000m</w:t>
      </w:r>
      <w:r>
        <w:rPr>
          <w:color w:val="auto"/>
          <w:highlight w:val="none"/>
          <w:u w:val="none"/>
          <w:vertAlign w:val="superscript"/>
        </w:rPr>
        <w:t>3</w:t>
      </w:r>
      <w:r>
        <w:rPr>
          <w:color w:val="auto"/>
          <w:highlight w:val="none"/>
          <w:u w:val="none"/>
        </w:rPr>
        <w:t>事故水罐，一个14000m</w:t>
      </w:r>
      <w:r>
        <w:rPr>
          <w:color w:val="auto"/>
          <w:highlight w:val="none"/>
          <w:u w:val="none"/>
          <w:vertAlign w:val="superscript"/>
        </w:rPr>
        <w:t>3</w:t>
      </w:r>
      <w:r>
        <w:rPr>
          <w:color w:val="auto"/>
          <w:highlight w:val="none"/>
          <w:u w:val="none"/>
        </w:rPr>
        <w:t>事故应急水罐，全厂事故废水贮存设施总容积为29000m</w:t>
      </w:r>
      <w:r>
        <w:rPr>
          <w:color w:val="auto"/>
          <w:highlight w:val="none"/>
          <w:u w:val="none"/>
          <w:vertAlign w:val="superscript"/>
        </w:rPr>
        <w:t>3</w:t>
      </w:r>
      <w:r>
        <w:rPr>
          <w:color w:val="auto"/>
          <w:highlight w:val="none"/>
          <w:u w:val="none"/>
        </w:rPr>
        <w:t>。对事故池中的废水，</w:t>
      </w:r>
      <w:r>
        <w:rPr>
          <w:rFonts w:hint="eastAsia"/>
          <w:color w:val="auto"/>
          <w:highlight w:val="none"/>
          <w:u w:val="none"/>
        </w:rPr>
        <w:t>送往万华环保科技公司</w:t>
      </w:r>
      <w:r>
        <w:rPr>
          <w:color w:val="auto"/>
          <w:highlight w:val="none"/>
          <w:u w:val="none"/>
        </w:rPr>
        <w:t>低浓度废水处理系统处理达标后</w:t>
      </w:r>
      <w:r>
        <w:rPr>
          <w:rFonts w:hint="eastAsia"/>
          <w:color w:val="auto"/>
          <w:highlight w:val="none"/>
          <w:u w:val="none"/>
        </w:rPr>
        <w:t>进入</w:t>
      </w:r>
      <w:r>
        <w:rPr>
          <w:color w:val="auto"/>
          <w:highlight w:val="none"/>
          <w:u w:val="none"/>
        </w:rPr>
        <w:t>园区污水管网</w:t>
      </w:r>
      <w:r>
        <w:rPr>
          <w:rFonts w:hint="eastAsia"/>
          <w:color w:val="auto"/>
          <w:highlight w:val="none"/>
          <w:u w:val="none"/>
        </w:rPr>
        <w:t>纳入</w:t>
      </w:r>
      <w:r>
        <w:rPr>
          <w:rFonts w:hint="eastAsia"/>
          <w:color w:val="auto"/>
          <w:highlight w:val="none"/>
          <w:u w:val="none"/>
          <w:lang w:eastAsia="zh-CN"/>
        </w:rPr>
        <w:t>福州江阴港城经济区</w:t>
      </w:r>
      <w:r>
        <w:rPr>
          <w:color w:val="auto"/>
          <w:highlight w:val="none"/>
          <w:u w:val="none"/>
        </w:rPr>
        <w:t>污水处理厂</w:t>
      </w:r>
      <w:r>
        <w:rPr>
          <w:rFonts w:hint="eastAsia"/>
          <w:color w:val="auto"/>
          <w:highlight w:val="none"/>
          <w:u w:val="none"/>
        </w:rPr>
        <w:t>处理</w:t>
      </w:r>
      <w:r>
        <w:rPr>
          <w:color w:val="auto"/>
          <w:highlight w:val="none"/>
          <w:u w:val="none"/>
        </w:rPr>
        <w:t>。</w:t>
      </w:r>
      <w:r>
        <w:rPr>
          <w:rFonts w:hint="eastAsia"/>
          <w:color w:val="auto"/>
          <w:highlight w:val="none"/>
          <w:u w:val="none"/>
        </w:rPr>
        <w:t>同时</w:t>
      </w:r>
      <w:r>
        <w:rPr>
          <w:color w:val="auto"/>
          <w:highlight w:val="none"/>
          <w:u w:val="none"/>
        </w:rPr>
        <w:t>本评价要求万华化学（福建）有限公司与南侧邻近的万华</w:t>
      </w:r>
      <w:r>
        <w:rPr>
          <w:rFonts w:hint="eastAsia"/>
          <w:color w:val="auto"/>
          <w:highlight w:val="none"/>
          <w:u w:val="none"/>
          <w:lang w:val="en-US"/>
        </w:rPr>
        <w:t>环保科技公司</w:t>
      </w:r>
      <w:r>
        <w:rPr>
          <w:color w:val="auto"/>
          <w:highlight w:val="none"/>
          <w:u w:val="none"/>
        </w:rPr>
        <w:t>24000m</w:t>
      </w:r>
      <w:r>
        <w:rPr>
          <w:color w:val="auto"/>
          <w:highlight w:val="none"/>
          <w:u w:val="none"/>
          <w:vertAlign w:val="superscript"/>
        </w:rPr>
        <w:t>3</w:t>
      </w:r>
      <w:r>
        <w:rPr>
          <w:color w:val="auto"/>
          <w:highlight w:val="none"/>
          <w:u w:val="none"/>
        </w:rPr>
        <w:t>的事故应急池实现相互连通，以最大程度发挥企业之间事故应急池的收储能力，尽最大可能确保将事故废水控制在企业厂区范围内。</w:t>
      </w:r>
    </w:p>
    <w:p w14:paraId="753253E8">
      <w:pPr>
        <w:rPr>
          <w:rFonts w:hint="eastAsia"/>
          <w:color w:val="auto"/>
          <w:highlight w:val="none"/>
          <w:u w:val="none"/>
        </w:rPr>
      </w:pPr>
      <w:r>
        <w:rPr>
          <w:rFonts w:hint="eastAsia"/>
          <w:color w:val="auto"/>
          <w:highlight w:val="none"/>
          <w:u w:val="none"/>
        </w:rPr>
        <w:t>因此，本项目符合《福建省环保厅关于切实加强重点石化化工企业及园区环境应急池建设的通知》（闽环保应急</w:t>
      </w:r>
      <w:r>
        <w:rPr>
          <w:color w:val="auto"/>
          <w:highlight w:val="none"/>
          <w:u w:val="none"/>
        </w:rPr>
        <w:t>[2015]13号）</w:t>
      </w:r>
      <w:r>
        <w:rPr>
          <w:rFonts w:hint="eastAsia"/>
          <w:color w:val="auto"/>
          <w:highlight w:val="none"/>
          <w:u w:val="none"/>
        </w:rPr>
        <w:t>相关要求。</w:t>
      </w:r>
    </w:p>
    <w:p w14:paraId="26C9EC3C">
      <w:pPr>
        <w:pStyle w:val="7"/>
        <w:spacing w:before="156"/>
        <w:rPr>
          <w:color w:val="auto"/>
          <w:highlight w:val="none"/>
          <w:u w:val="none"/>
        </w:rPr>
      </w:pPr>
      <w:r>
        <w:rPr>
          <w:rFonts w:hint="eastAsia"/>
          <w:color w:val="auto"/>
          <w:highlight w:val="none"/>
          <w:u w:val="none"/>
        </w:rPr>
        <w:t>与《关于加强高耗能、高排放建设项目生态环境源头防控的指导意见》（环环评〔</w:t>
      </w:r>
      <w:r>
        <w:rPr>
          <w:color w:val="auto"/>
          <w:highlight w:val="none"/>
          <w:u w:val="none"/>
        </w:rPr>
        <w:t>2021〕45号）的符合性分析</w:t>
      </w:r>
    </w:p>
    <w:p w14:paraId="2B788481">
      <w:pPr>
        <w:rPr>
          <w:rFonts w:hint="eastAsia"/>
          <w:color w:val="auto"/>
          <w:highlight w:val="none"/>
          <w:u w:val="none"/>
        </w:rPr>
      </w:pPr>
      <w:r>
        <w:rPr>
          <w:rFonts w:hint="eastAsia"/>
          <w:color w:val="auto"/>
          <w:highlight w:val="none"/>
          <w:u w:val="none"/>
        </w:rPr>
        <w:t>根据《关于加强高耗能、高排放建设项目生态环境源头防控的指导意见》（环环评〔</w:t>
      </w:r>
      <w:r>
        <w:rPr>
          <w:color w:val="auto"/>
          <w:highlight w:val="none"/>
          <w:u w:val="none"/>
        </w:rPr>
        <w:t>2021〕45号）</w:t>
      </w:r>
      <w:r>
        <w:rPr>
          <w:rFonts w:hint="eastAsia"/>
          <w:color w:val="auto"/>
          <w:highlight w:val="none"/>
          <w:u w:val="none"/>
        </w:rPr>
        <w:t>，“</w:t>
      </w:r>
      <w:r>
        <w:rPr>
          <w:color w:val="auto"/>
          <w:highlight w:val="none"/>
          <w:u w:val="none"/>
        </w:rPr>
        <w:t>……</w:t>
      </w:r>
      <w:r>
        <w:rPr>
          <w:rFonts w:hint="eastAsia"/>
          <w:color w:val="auto"/>
          <w:highlight w:val="none"/>
          <w:u w:val="none"/>
        </w:rPr>
        <w:t>新建、扩建石化、化工、焦化、有色金属冶炼、平板玻璃项目应布设在依法合规设立并经规划环评的产业园区</w:t>
      </w:r>
      <w:r>
        <w:rPr>
          <w:color w:val="auto"/>
          <w:highlight w:val="none"/>
          <w:u w:val="none"/>
        </w:rPr>
        <w:t>……</w:t>
      </w:r>
      <w:r>
        <w:rPr>
          <w:rFonts w:hint="eastAsia"/>
          <w:color w:val="auto"/>
          <w:highlight w:val="none"/>
          <w:u w:val="none"/>
        </w:rPr>
        <w:t>”“</w:t>
      </w:r>
      <w:r>
        <w:rPr>
          <w:color w:val="auto"/>
          <w:highlight w:val="none"/>
          <w:u w:val="none"/>
        </w:rPr>
        <w:t>……</w:t>
      </w:r>
      <w:r>
        <w:rPr>
          <w:rFonts w:hint="eastAsia"/>
          <w:color w:val="auto"/>
          <w:highlight w:val="none"/>
          <w:u w:val="none"/>
        </w:rPr>
        <w:t>新建、扩建‘两高’项目应采用先进适用的工艺技术和装备，单位产品物耗、能耗、水耗等达到清洁生产先进水平，依法制定并严格落实防治土壤与地下水污染的措施</w:t>
      </w:r>
      <w:r>
        <w:rPr>
          <w:color w:val="auto"/>
          <w:highlight w:val="none"/>
          <w:u w:val="none"/>
        </w:rPr>
        <w:t>……</w:t>
      </w:r>
      <w:r>
        <w:rPr>
          <w:rFonts w:hint="eastAsia"/>
          <w:color w:val="auto"/>
          <w:highlight w:val="none"/>
          <w:u w:val="none"/>
        </w:rPr>
        <w:t>”。</w:t>
      </w:r>
    </w:p>
    <w:p w14:paraId="49800003">
      <w:pPr>
        <w:rPr>
          <w:rFonts w:hint="eastAsia"/>
          <w:color w:val="auto"/>
          <w:highlight w:val="none"/>
          <w:u w:val="none"/>
        </w:rPr>
      </w:pPr>
      <w:r>
        <w:rPr>
          <w:rFonts w:hint="eastAsia"/>
          <w:color w:val="auto"/>
          <w:highlight w:val="none"/>
          <w:u w:val="none"/>
        </w:rPr>
        <w:t>本项目位于福州江阴港城经济区江阴化工园区的万华化学（福建）有限公司内，项目符合《福州江阴港城总体规划（</w:t>
      </w:r>
      <w:r>
        <w:rPr>
          <w:color w:val="auto"/>
          <w:highlight w:val="none"/>
          <w:u w:val="none"/>
        </w:rPr>
        <w:t>2018-2035年）》</w:t>
      </w:r>
      <w:r>
        <w:rPr>
          <w:rFonts w:hint="eastAsia"/>
          <w:color w:val="auto"/>
          <w:highlight w:val="none"/>
          <w:u w:val="none"/>
        </w:rPr>
        <w:t>及其规划环评和审查意见的要求，项目采用行业内的及自主研发的先进工艺，采用先进设备，单位产品物耗、能耗、水耗等达到清洁生产先进水平，项目将依法制定并严格落实防治土壤与地下水污染的措施。因此，本项目建设符合《关于加强高耗能、高排放建设项目生态环境源头防控的指导意见》（环环评〔</w:t>
      </w:r>
      <w:r>
        <w:rPr>
          <w:color w:val="auto"/>
          <w:highlight w:val="none"/>
          <w:u w:val="none"/>
        </w:rPr>
        <w:t>2021〕45号）</w:t>
      </w:r>
      <w:r>
        <w:rPr>
          <w:rFonts w:hint="eastAsia"/>
          <w:color w:val="auto"/>
          <w:highlight w:val="none"/>
          <w:u w:val="none"/>
        </w:rPr>
        <w:t>相关要求。</w:t>
      </w:r>
    </w:p>
    <w:p w14:paraId="4E8D40F1">
      <w:pPr>
        <w:pStyle w:val="7"/>
        <w:spacing w:before="156"/>
        <w:rPr>
          <w:color w:val="auto"/>
          <w:highlight w:val="none"/>
          <w:u w:val="none"/>
        </w:rPr>
      </w:pPr>
      <w:r>
        <w:rPr>
          <w:rFonts w:hint="eastAsia"/>
          <w:color w:val="auto"/>
          <w:highlight w:val="none"/>
          <w:u w:val="none"/>
        </w:rPr>
        <w:t>与《关于加强重点行业建设项目区域削减措施监督管理的通知》（环办环评[2020]36号）的符合性分析</w:t>
      </w:r>
    </w:p>
    <w:p w14:paraId="1C012CD4">
      <w:pPr>
        <w:rPr>
          <w:rFonts w:hint="eastAsia"/>
          <w:color w:val="auto"/>
          <w:highlight w:val="none"/>
          <w:u w:val="none"/>
        </w:rPr>
      </w:pPr>
      <w:r>
        <w:rPr>
          <w:rFonts w:hint="eastAsia"/>
          <w:color w:val="auto"/>
          <w:highlight w:val="none"/>
          <w:u w:val="none"/>
        </w:rPr>
        <w:t>根据《关于加强重点行业建设项目区域削减措施监督管理的通知》（环办环评[2020]36号），“</w:t>
      </w:r>
      <w:r>
        <w:rPr>
          <w:rFonts w:hint="eastAsia"/>
          <w:b/>
          <w:bCs/>
          <w:color w:val="auto"/>
          <w:highlight w:val="none"/>
          <w:u w:val="none"/>
        </w:rPr>
        <w:t>（一）严格区域削减要求。</w:t>
      </w:r>
      <w:r>
        <w:rPr>
          <w:rFonts w:hint="eastAsia"/>
          <w:color w:val="auto"/>
          <w:highlight w:val="none"/>
          <w:u w:val="none"/>
        </w:rPr>
        <w:t>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w:t>
      </w:r>
      <w:r>
        <w:rPr>
          <w:rFonts w:hint="eastAsia"/>
          <w:b/>
          <w:bCs/>
          <w:color w:val="auto"/>
          <w:highlight w:val="none"/>
          <w:u w:val="none"/>
        </w:rPr>
        <w:t>所在区域、流域控制单元环境质量达到国家或者地方环境质量标准的，原则上建设项目主要污染物实行区域等量削减，确保项目投产后区域环境质量不恶化</w:t>
      </w:r>
      <w:r>
        <w:rPr>
          <w:rFonts w:hint="eastAsia"/>
          <w:color w:val="auto"/>
          <w:highlight w:val="none"/>
          <w:u w:val="none"/>
        </w:rPr>
        <w:t>。区域削减方案应符合建设项目环境影响评价管理要求，同时符合国家和地方主要污染物排放总量控制要求。”……“</w:t>
      </w:r>
      <w:r>
        <w:rPr>
          <w:rFonts w:hint="eastAsia"/>
          <w:b/>
          <w:bCs/>
          <w:color w:val="auto"/>
          <w:highlight w:val="none"/>
          <w:u w:val="none"/>
        </w:rPr>
        <w:t>区域削减措施原则上应与建设项目位于同一地级市或市级行政区域内同一流域。</w:t>
      </w:r>
      <w:r>
        <w:rPr>
          <w:rFonts w:hint="eastAsia"/>
          <w:color w:val="auto"/>
          <w:highlight w:val="none"/>
          <w:u w:val="none"/>
        </w:rPr>
        <w:t>地级市行政区域内削减量不足时，可来源于省级行政区域或省级行政区域内的同一流域。”</w:t>
      </w:r>
    </w:p>
    <w:p w14:paraId="74217B3B">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次技改扩能后</w:t>
      </w:r>
      <w:r>
        <w:rPr>
          <w:rFonts w:hint="eastAsia"/>
          <w:color w:val="auto"/>
          <w:highlight w:val="none"/>
          <w:u w:val="none"/>
        </w:rPr>
        <w:t>COD、</w:t>
      </w:r>
      <w:r>
        <w:rPr>
          <w:color w:val="auto"/>
          <w:highlight w:val="none"/>
          <w:u w:val="none"/>
        </w:rPr>
        <w:t>NH</w:t>
      </w:r>
      <w:r>
        <w:rPr>
          <w:color w:val="auto"/>
          <w:highlight w:val="none"/>
          <w:u w:val="none"/>
          <w:vertAlign w:val="subscript"/>
        </w:rPr>
        <w:t>3</w:t>
      </w:r>
      <w:r>
        <w:rPr>
          <w:color w:val="auto"/>
          <w:highlight w:val="none"/>
          <w:u w:val="none"/>
        </w:rPr>
        <w:t>-N</w:t>
      </w:r>
      <w:r>
        <w:rPr>
          <w:rFonts w:hint="eastAsia"/>
          <w:color w:val="auto"/>
          <w:highlight w:val="none"/>
          <w:u w:val="none"/>
          <w:lang w:val="en-US"/>
        </w:rPr>
        <w:t>排放量减少（部分废水转至TDI二期项目），</w:t>
      </w:r>
      <w:r>
        <w:rPr>
          <w:rFonts w:hAnsi="Times New Roman"/>
          <w:color w:val="auto"/>
          <w:kern w:val="2"/>
          <w:szCs w:val="20"/>
          <w:highlight w:val="none"/>
          <w:u w:val="none"/>
          <w:lang w:val="en-US"/>
        </w:rPr>
        <w:t>不需再申请增加</w:t>
      </w:r>
      <w:r>
        <w:rPr>
          <w:rFonts w:hint="eastAsia" w:hAnsi="Times New Roman"/>
          <w:color w:val="auto"/>
          <w:kern w:val="2"/>
          <w:szCs w:val="20"/>
          <w:highlight w:val="none"/>
          <w:u w:val="none"/>
          <w:lang w:val="en-US"/>
        </w:rPr>
        <w:t>废水</w:t>
      </w:r>
      <w:r>
        <w:rPr>
          <w:rFonts w:hAnsi="Times New Roman"/>
          <w:color w:val="auto"/>
          <w:kern w:val="2"/>
          <w:szCs w:val="20"/>
          <w:highlight w:val="none"/>
          <w:u w:val="none"/>
          <w:lang w:val="en-US"/>
        </w:rPr>
        <w:t>总量控制指标</w:t>
      </w:r>
      <w:r>
        <w:rPr>
          <w:color w:val="auto"/>
          <w:highlight w:val="none"/>
          <w:u w:val="none"/>
        </w:rPr>
        <w:t>。</w:t>
      </w:r>
      <w:r>
        <w:rPr>
          <w:rFonts w:hint="eastAsia"/>
          <w:color w:val="auto"/>
          <w:highlight w:val="none"/>
          <w:u w:val="none"/>
          <w:lang w:val="en-US"/>
        </w:rPr>
        <w:t>技改扩能后</w:t>
      </w:r>
      <w:r>
        <w:rPr>
          <w:rFonts w:hint="eastAsia"/>
          <w:color w:val="auto"/>
          <w:highlight w:val="none"/>
          <w:u w:val="none"/>
        </w:rPr>
        <w:t>VOCs</w:t>
      </w:r>
      <w:r>
        <w:rPr>
          <w:rFonts w:hint="eastAsia"/>
          <w:color w:val="auto"/>
          <w:highlight w:val="none"/>
          <w:u w:val="none"/>
          <w:lang w:val="en-US"/>
        </w:rPr>
        <w:t>排放量未超过原</w:t>
      </w:r>
      <w:r>
        <w:rPr>
          <w:rFonts w:hint="eastAsia"/>
          <w:color w:val="auto"/>
          <w:highlight w:val="none"/>
          <w:u w:val="none"/>
        </w:rPr>
        <w:t>2</w:t>
      </w:r>
      <w:r>
        <w:rPr>
          <w:color w:val="auto"/>
          <w:highlight w:val="none"/>
          <w:u w:val="none"/>
        </w:rPr>
        <w:t>5</w:t>
      </w:r>
      <w:r>
        <w:rPr>
          <w:rFonts w:hint="eastAsia"/>
          <w:color w:val="auto"/>
          <w:highlight w:val="none"/>
          <w:u w:val="none"/>
        </w:rPr>
        <w:t>万吨TDI项目环评批复</w:t>
      </w:r>
      <w:r>
        <w:rPr>
          <w:rFonts w:hint="eastAsia"/>
          <w:color w:val="auto"/>
          <w:highlight w:val="none"/>
          <w:u w:val="none"/>
          <w:lang w:val="en-US"/>
        </w:rPr>
        <w:t>的总量</w:t>
      </w:r>
      <w:r>
        <w:rPr>
          <w:rFonts w:hint="eastAsia"/>
          <w:color w:val="auto"/>
          <w:highlight w:val="none"/>
          <w:u w:val="none"/>
        </w:rPr>
        <w:t>，与《关于加强重点行业建设项目区域削减措施监督管理的通知》（环办环评[2020]36号）中的相关要求相符合。</w:t>
      </w:r>
    </w:p>
    <w:p w14:paraId="43818BCE">
      <w:pPr>
        <w:pStyle w:val="7"/>
        <w:spacing w:before="156"/>
        <w:rPr>
          <w:color w:val="auto"/>
          <w:highlight w:val="none"/>
          <w:u w:val="none"/>
        </w:rPr>
      </w:pPr>
      <w:r>
        <w:rPr>
          <w:rFonts w:hint="eastAsia"/>
          <w:color w:val="auto"/>
          <w:highlight w:val="none"/>
          <w:u w:val="none"/>
        </w:rPr>
        <w:t>与《福建省强化危险废物监管和利用处置能力改革行动方案》（闽环发〔</w:t>
      </w:r>
      <w:r>
        <w:rPr>
          <w:color w:val="auto"/>
          <w:highlight w:val="none"/>
          <w:u w:val="none"/>
        </w:rPr>
        <w:t>2021〕11号）的符合性分析</w:t>
      </w:r>
    </w:p>
    <w:p w14:paraId="5BDD43F6">
      <w:pPr>
        <w:pStyle w:val="75"/>
        <w:rPr>
          <w:rFonts w:hint="eastAsia"/>
          <w:color w:val="auto"/>
          <w:highlight w:val="none"/>
          <w:u w:val="none"/>
        </w:rPr>
      </w:pPr>
      <w:r>
        <w:rPr>
          <w:color w:val="auto"/>
          <w:highlight w:val="none"/>
          <w:u w:val="none"/>
        </w:rPr>
        <w:t>根据《福建省强化危险废物监管和利用处置能力改革行动方案》（闽环发〔2021〕11号），</w:t>
      </w:r>
      <w:r>
        <w:rPr>
          <w:b/>
          <w:bCs/>
          <w:color w:val="auto"/>
          <w:highlight w:val="none"/>
          <w:u w:val="none"/>
        </w:rPr>
        <w:t>“（八）推动收集贮存转运规范化专业化。……鼓励大型企业集团组织同一园区的集团内部企业试点共享危险废物集中贮存设施……”</w:t>
      </w:r>
      <w:r>
        <w:rPr>
          <w:color w:val="auto"/>
          <w:highlight w:val="none"/>
          <w:u w:val="none"/>
        </w:rPr>
        <w:t>，万华福建公司与</w:t>
      </w:r>
      <w:r>
        <w:rPr>
          <w:rFonts w:hint="eastAsia"/>
          <w:color w:val="auto"/>
          <w:highlight w:val="none"/>
          <w:u w:val="none"/>
        </w:rPr>
        <w:t>异氰酸酯公司</w:t>
      </w:r>
      <w:r>
        <w:rPr>
          <w:color w:val="auto"/>
          <w:highlight w:val="none"/>
          <w:u w:val="none"/>
        </w:rPr>
        <w:t>属于万华化学集团内部企业，两家企业厂区</w:t>
      </w:r>
      <w:r>
        <w:rPr>
          <w:rFonts w:hint="eastAsia"/>
          <w:color w:val="auto"/>
          <w:highlight w:val="none"/>
          <w:u w:val="none"/>
        </w:rPr>
        <w:t>处在相邻位置</w:t>
      </w:r>
      <w:r>
        <w:rPr>
          <w:color w:val="auto"/>
          <w:highlight w:val="none"/>
          <w:u w:val="none"/>
        </w:rPr>
        <w:t>，为节约土地，统筹布局，</w:t>
      </w:r>
      <w:r>
        <w:rPr>
          <w:rFonts w:hint="eastAsia"/>
          <w:color w:val="auto"/>
          <w:highlight w:val="none"/>
          <w:u w:val="none"/>
        </w:rPr>
        <w:t>万华福建公司</w:t>
      </w:r>
      <w:r>
        <w:rPr>
          <w:color w:val="auto"/>
          <w:highlight w:val="none"/>
          <w:u w:val="none"/>
        </w:rPr>
        <w:t>与异氰酸酯公司共建共享危废</w:t>
      </w:r>
      <w:r>
        <w:rPr>
          <w:rFonts w:hint="eastAsia"/>
          <w:color w:val="auto"/>
          <w:highlight w:val="none"/>
          <w:u w:val="none"/>
        </w:rPr>
        <w:t>贮存</w:t>
      </w:r>
      <w:r>
        <w:rPr>
          <w:color w:val="auto"/>
          <w:highlight w:val="none"/>
          <w:u w:val="none"/>
        </w:rPr>
        <w:t>间</w:t>
      </w:r>
      <w:r>
        <w:rPr>
          <w:rFonts w:hint="eastAsia"/>
          <w:color w:val="auto"/>
          <w:highlight w:val="none"/>
          <w:u w:val="none"/>
        </w:rPr>
        <w:t>，2024年5月13日划为万华化学环保科技公司</w:t>
      </w:r>
      <w:r>
        <w:rPr>
          <w:color w:val="auto"/>
          <w:highlight w:val="none"/>
          <w:u w:val="none"/>
        </w:rPr>
        <w:t>（总面积610m</w:t>
      </w:r>
      <w:r>
        <w:rPr>
          <w:color w:val="auto"/>
          <w:highlight w:val="none"/>
          <w:u w:val="none"/>
          <w:vertAlign w:val="superscript"/>
        </w:rPr>
        <w:t>2</w:t>
      </w:r>
      <w:r>
        <w:rPr>
          <w:color w:val="auto"/>
          <w:highlight w:val="none"/>
          <w:u w:val="none"/>
        </w:rPr>
        <w:t>），万华福建公司产生的危险废物单独贮存</w:t>
      </w:r>
      <w:r>
        <w:rPr>
          <w:rFonts w:hint="eastAsia"/>
          <w:color w:val="auto"/>
          <w:highlight w:val="none"/>
          <w:u w:val="none"/>
        </w:rPr>
        <w:t>在万华环保科技公司的危废贮存间</w:t>
      </w:r>
      <w:r>
        <w:rPr>
          <w:color w:val="auto"/>
          <w:highlight w:val="none"/>
          <w:u w:val="none"/>
        </w:rPr>
        <w:t>，</w:t>
      </w:r>
      <w:r>
        <w:rPr>
          <w:rFonts w:hint="eastAsia"/>
          <w:color w:val="auto"/>
          <w:highlight w:val="none"/>
          <w:u w:val="none"/>
        </w:rPr>
        <w:t>万华福建公司</w:t>
      </w:r>
      <w:r>
        <w:rPr>
          <w:color w:val="auto"/>
          <w:highlight w:val="none"/>
          <w:u w:val="none"/>
        </w:rPr>
        <w:t>危险废物的贮存、转移、台账、处置等仍由</w:t>
      </w:r>
      <w:r>
        <w:rPr>
          <w:rFonts w:hint="eastAsia"/>
          <w:color w:val="auto"/>
          <w:highlight w:val="none"/>
          <w:u w:val="none"/>
        </w:rPr>
        <w:t>万华福建公司</w:t>
      </w:r>
      <w:r>
        <w:rPr>
          <w:color w:val="auto"/>
          <w:highlight w:val="none"/>
          <w:u w:val="none"/>
        </w:rPr>
        <w:t>负责管理，</w:t>
      </w:r>
      <w:r>
        <w:rPr>
          <w:rFonts w:hint="eastAsia"/>
          <w:color w:val="auto"/>
          <w:highlight w:val="none"/>
          <w:u w:val="none"/>
        </w:rPr>
        <w:t>与《福建省强化危险废物监管和利用处置能力改革行动方案》（闽环发〔</w:t>
      </w:r>
      <w:r>
        <w:rPr>
          <w:color w:val="auto"/>
          <w:highlight w:val="none"/>
          <w:u w:val="none"/>
        </w:rPr>
        <w:t>2021〕11号）</w:t>
      </w:r>
      <w:r>
        <w:rPr>
          <w:rFonts w:hint="eastAsia"/>
          <w:color w:val="auto"/>
          <w:highlight w:val="none"/>
          <w:u w:val="none"/>
        </w:rPr>
        <w:t>中的相关要求相符</w:t>
      </w:r>
      <w:r>
        <w:rPr>
          <w:color w:val="auto"/>
          <w:highlight w:val="none"/>
          <w:u w:val="none"/>
        </w:rPr>
        <w:t>。</w:t>
      </w:r>
    </w:p>
    <w:p w14:paraId="5285244F">
      <w:pPr>
        <w:pStyle w:val="7"/>
        <w:spacing w:before="156"/>
        <w:rPr>
          <w:color w:val="auto"/>
          <w:highlight w:val="none"/>
          <w:u w:val="none"/>
        </w:rPr>
      </w:pPr>
      <w:r>
        <w:rPr>
          <w:rFonts w:hint="eastAsia"/>
          <w:color w:val="auto"/>
          <w:highlight w:val="none"/>
          <w:u w:val="none"/>
        </w:rPr>
        <w:t>与《福州市“十四五”空气质量持续改善计划》的符合性分析</w:t>
      </w:r>
    </w:p>
    <w:p w14:paraId="58CED2C6">
      <w:pPr>
        <w:pStyle w:val="75"/>
        <w:rPr>
          <w:rFonts w:hint="eastAsia"/>
          <w:color w:val="auto"/>
          <w:highlight w:val="none"/>
          <w:u w:val="none"/>
        </w:rPr>
      </w:pPr>
      <w:r>
        <w:rPr>
          <w:rFonts w:hint="eastAsia"/>
          <w:color w:val="auto"/>
          <w:highlight w:val="none"/>
          <w:u w:val="none"/>
        </w:rPr>
        <w:t>根据《关于印发&lt;福州市“十四五”空气质量持续改善计划&gt;的通知》（榕环保综〔2023〕40号），“</w:t>
      </w:r>
      <w:r>
        <w:rPr>
          <w:rFonts w:hint="eastAsia"/>
          <w:b/>
          <w:bCs/>
          <w:color w:val="auto"/>
          <w:highlight w:val="none"/>
          <w:u w:val="none"/>
        </w:rPr>
        <w:t>实施VOCs总量控制。</w:t>
      </w:r>
      <w:r>
        <w:rPr>
          <w:rFonts w:hint="eastAsia"/>
          <w:color w:val="auto"/>
          <w:highlight w:val="none"/>
          <w:u w:val="none"/>
        </w:rPr>
        <w:t>严格涉VOCs建设项目环境影响评价审批，禁止新、改、扩建生产高VOCs含量有机溶剂型涂料、油墨和胶黏剂的项目；</w:t>
      </w:r>
      <w:r>
        <w:rPr>
          <w:rFonts w:hint="eastAsia"/>
          <w:b/>
          <w:bCs/>
          <w:color w:val="auto"/>
          <w:highlight w:val="none"/>
          <w:u w:val="none"/>
        </w:rPr>
        <w:t>新、改、扩建涉VOCs排放项目，应从源头加强控制，使用低（无）VOCs含量的原辅材料，实施新建项目VOCs排放区域内1.2及以上倍量替代</w:t>
      </w:r>
      <w:r>
        <w:rPr>
          <w:b/>
          <w:bCs/>
          <w:color w:val="auto"/>
          <w:highlight w:val="none"/>
          <w:u w:val="none"/>
        </w:rPr>
        <w:t>……</w:t>
      </w:r>
      <w:r>
        <w:rPr>
          <w:rFonts w:hint="eastAsia"/>
          <w:b/>
          <w:bCs/>
          <w:color w:val="auto"/>
          <w:highlight w:val="none"/>
          <w:u w:val="none"/>
        </w:rPr>
        <w:t>”，“提升污染源在线监控能力</w:t>
      </w:r>
      <w:r>
        <w:rPr>
          <w:b/>
          <w:bCs/>
          <w:color w:val="auto"/>
          <w:highlight w:val="none"/>
          <w:u w:val="none"/>
        </w:rPr>
        <w:t>……</w:t>
      </w:r>
      <w:r>
        <w:rPr>
          <w:rFonts w:hint="eastAsia"/>
          <w:b/>
          <w:bCs/>
          <w:color w:val="auto"/>
          <w:highlight w:val="none"/>
          <w:u w:val="none"/>
        </w:rPr>
        <w:t>新建企业VOCs排放量5吨/年以上，需安装VOCs在线监控设施</w:t>
      </w:r>
      <w:r>
        <w:rPr>
          <w:b/>
          <w:bCs/>
          <w:color w:val="auto"/>
          <w:highlight w:val="none"/>
          <w:u w:val="none"/>
        </w:rPr>
        <w:t>……</w:t>
      </w:r>
      <w:r>
        <w:rPr>
          <w:rFonts w:hint="eastAsia"/>
          <w:b/>
          <w:bCs/>
          <w:color w:val="auto"/>
          <w:highlight w:val="none"/>
          <w:u w:val="none"/>
        </w:rPr>
        <w:t>”。</w:t>
      </w:r>
    </w:p>
    <w:p w14:paraId="1178DB3C">
      <w:pPr>
        <w:pStyle w:val="75"/>
        <w:rPr>
          <w:rFonts w:hint="eastAsia"/>
          <w:color w:val="auto"/>
          <w:highlight w:val="none"/>
          <w:u w:val="none"/>
        </w:rPr>
      </w:pPr>
      <w:r>
        <w:rPr>
          <w:rFonts w:hint="eastAsia"/>
          <w:color w:val="auto"/>
          <w:highlight w:val="none"/>
          <w:u w:val="none"/>
        </w:rPr>
        <w:t>本项目优先选用低挥发性原辅材料、先进密闭的生产工艺，各设备废气收集处理后达标排放，并建立“泄漏检测与修复（</w:t>
      </w:r>
      <w:r>
        <w:rPr>
          <w:color w:val="auto"/>
          <w:highlight w:val="none"/>
          <w:u w:val="none"/>
        </w:rPr>
        <w:t>LDAR）”管理制度</w:t>
      </w:r>
      <w:r>
        <w:rPr>
          <w:rFonts w:hint="eastAsia"/>
          <w:color w:val="auto"/>
          <w:highlight w:val="none"/>
          <w:u w:val="none"/>
        </w:rPr>
        <w:t>，加强无组织排放控制，从源头上控制减少VOCs排放；对项目VOCs排放进行总量控制计划管理，申请倍量替代，对VOCs排放量5吨/年以上的排气筒，安装在线监控设施。因此，本项目建设符合《福州市“十四五”空气质量持续改善计划》相关要求。</w:t>
      </w:r>
    </w:p>
    <w:p w14:paraId="647F5673">
      <w:pPr>
        <w:pStyle w:val="7"/>
        <w:spacing w:before="156"/>
        <w:rPr>
          <w:color w:val="auto"/>
          <w:highlight w:val="none"/>
          <w:u w:val="none"/>
        </w:rPr>
      </w:pPr>
      <w:r>
        <w:rPr>
          <w:rFonts w:hint="eastAsia"/>
          <w:color w:val="auto"/>
          <w:highlight w:val="none"/>
          <w:u w:val="none"/>
        </w:rPr>
        <w:t>与《福建省人民政府关于印发&lt;福建省空气质量持续改善实施方案&gt;的通知》（闽政文[2024]361号）的符合性分析</w:t>
      </w:r>
    </w:p>
    <w:p w14:paraId="042468D3">
      <w:pPr>
        <w:pStyle w:val="75"/>
        <w:rPr>
          <w:rFonts w:hint="eastAsia"/>
          <w:color w:val="auto"/>
          <w:highlight w:val="none"/>
          <w:u w:val="none"/>
        </w:rPr>
      </w:pPr>
      <w:r>
        <w:rPr>
          <w:rFonts w:hint="eastAsia"/>
          <w:color w:val="auto"/>
          <w:highlight w:val="none"/>
          <w:u w:val="none"/>
        </w:rPr>
        <w:t>根据《福建省人民政府关于印发&lt;福建省空气质量持续改善实施方案&gt;的通知》（闽政文[2024]361号），“（十七）加强VOCs全过程综合治理……</w:t>
      </w:r>
      <w:r>
        <w:rPr>
          <w:rFonts w:hint="eastAsia"/>
          <w:b/>
          <w:bCs/>
          <w:color w:val="auto"/>
          <w:highlight w:val="none"/>
          <w:u w:val="none"/>
        </w:rPr>
        <w:t>鼓励泉港、泉惠、古雷石化园区和江阴化工园区建立统一的泄漏检测与修复信息管理平台</w:t>
      </w:r>
      <w:r>
        <w:rPr>
          <w:rFonts w:hint="eastAsia"/>
          <w:color w:val="auto"/>
          <w:highlight w:val="none"/>
          <w:u w:val="none"/>
        </w:rPr>
        <w:t>，并与省级生态环境部门联网。企业开停工、检维修期间，及时收集处理退料、清洗、吹扫等作业产生的VOCs废气。</w:t>
      </w:r>
      <w:r>
        <w:rPr>
          <w:rFonts w:hint="eastAsia"/>
          <w:b/>
          <w:bCs/>
          <w:color w:val="auto"/>
          <w:highlight w:val="none"/>
          <w:u w:val="none"/>
        </w:rPr>
        <w:t>企业不得将火炬燃烧装置作为日常大气污染处理设施</w:t>
      </w:r>
      <w:r>
        <w:rPr>
          <w:rFonts w:hint="eastAsia"/>
          <w:color w:val="auto"/>
          <w:highlight w:val="none"/>
          <w:u w:val="none"/>
        </w:rPr>
        <w:t>。”</w:t>
      </w:r>
    </w:p>
    <w:p w14:paraId="03D6217A">
      <w:pPr>
        <w:pStyle w:val="5"/>
        <w:ind w:firstLine="480"/>
        <w:rPr>
          <w:rFonts w:hint="eastAsia"/>
          <w:color w:val="auto"/>
          <w:highlight w:val="none"/>
          <w:u w:val="none"/>
          <w:lang w:val="en-US"/>
        </w:rPr>
      </w:pPr>
      <w:r>
        <w:rPr>
          <w:rFonts w:hint="eastAsia"/>
          <w:color w:val="auto"/>
          <w:highlight w:val="none"/>
          <w:u w:val="none"/>
        </w:rPr>
        <w:t>本项目企业已建立</w:t>
      </w:r>
      <w:r>
        <w:rPr>
          <w:color w:val="auto"/>
          <w:highlight w:val="none"/>
          <w:u w:val="none"/>
        </w:rPr>
        <w:t>“泄漏检测与修复”管理制度</w:t>
      </w:r>
      <w:r>
        <w:rPr>
          <w:rFonts w:hint="eastAsia"/>
          <w:color w:val="auto"/>
          <w:highlight w:val="none"/>
          <w:u w:val="none"/>
        </w:rPr>
        <w:t>；本项目酸性废气、碱性废气、反应驰放气、光化尾气经预处理后，委托万华环保科技公司能量回收装置焚烧处置，</w:t>
      </w:r>
      <w:r>
        <w:rPr>
          <w:rFonts w:hint="eastAsia" w:hAnsi="Times New Roman"/>
          <w:color w:val="auto"/>
          <w:highlight w:val="none"/>
          <w:u w:val="none"/>
        </w:rPr>
        <w:t>尾气由一根</w:t>
      </w:r>
      <w:r>
        <w:rPr>
          <w:rFonts w:hAnsi="Times New Roman"/>
          <w:color w:val="auto"/>
          <w:highlight w:val="none"/>
          <w:u w:val="none"/>
        </w:rPr>
        <w:t>50m</w:t>
      </w:r>
      <w:r>
        <w:rPr>
          <w:rFonts w:hint="eastAsia" w:hAnsi="Times New Roman"/>
          <w:color w:val="auto"/>
          <w:highlight w:val="none"/>
          <w:u w:val="none"/>
        </w:rPr>
        <w:t>高烟囱达标排放，</w:t>
      </w:r>
      <w:r>
        <w:rPr>
          <w:rFonts w:hAnsi="Times New Roman"/>
          <w:color w:val="auto"/>
          <w:highlight w:val="none"/>
          <w:u w:val="none"/>
        </w:rPr>
        <w:t>TDA</w:t>
      </w:r>
      <w:r>
        <w:rPr>
          <w:rFonts w:hint="eastAsia" w:hAnsi="Times New Roman"/>
          <w:color w:val="auto"/>
          <w:highlight w:val="none"/>
          <w:u w:val="none"/>
        </w:rPr>
        <w:t>精制尾气经“冷凝</w:t>
      </w:r>
      <w:r>
        <w:rPr>
          <w:rFonts w:hAnsi="Times New Roman"/>
          <w:color w:val="auto"/>
          <w:highlight w:val="none"/>
          <w:u w:val="none"/>
        </w:rPr>
        <w:t>+</w:t>
      </w:r>
      <w:r>
        <w:rPr>
          <w:rFonts w:hint="eastAsia" w:hAnsi="Times New Roman"/>
          <w:color w:val="auto"/>
          <w:highlight w:val="none"/>
          <w:u w:val="none"/>
        </w:rPr>
        <w:t>水洗涤</w:t>
      </w:r>
      <w:r>
        <w:rPr>
          <w:rFonts w:hAnsi="Times New Roman"/>
          <w:color w:val="auto"/>
          <w:highlight w:val="none"/>
          <w:u w:val="none"/>
        </w:rPr>
        <w:t>+</w:t>
      </w:r>
      <w:r>
        <w:rPr>
          <w:rFonts w:hint="eastAsia" w:hAnsi="Times New Roman"/>
          <w:color w:val="auto"/>
          <w:highlight w:val="none"/>
          <w:u w:val="none"/>
        </w:rPr>
        <w:t>活性炭吸附”处理后由一根</w:t>
      </w:r>
      <w:r>
        <w:rPr>
          <w:rFonts w:hint="eastAsia" w:hAnsi="Times New Roman"/>
          <w:color w:val="auto"/>
          <w:highlight w:val="none"/>
          <w:u w:val="none"/>
          <w:lang w:val="en-US"/>
        </w:rPr>
        <w:t>34</w:t>
      </w:r>
      <w:r>
        <w:rPr>
          <w:rFonts w:hAnsi="Times New Roman"/>
          <w:color w:val="auto"/>
          <w:highlight w:val="none"/>
          <w:u w:val="none"/>
        </w:rPr>
        <w:t>m</w:t>
      </w:r>
      <w:r>
        <w:rPr>
          <w:rFonts w:hint="eastAsia" w:hAnsi="Times New Roman"/>
          <w:color w:val="auto"/>
          <w:highlight w:val="none"/>
          <w:u w:val="none"/>
        </w:rPr>
        <w:t>高排气筒达标排放，</w:t>
      </w:r>
      <w:r>
        <w:rPr>
          <w:rFonts w:hAnsi="Times New Roman"/>
          <w:color w:val="auto"/>
          <w:highlight w:val="none"/>
          <w:u w:val="none"/>
        </w:rPr>
        <w:t>ODCB</w:t>
      </w:r>
      <w:r>
        <w:rPr>
          <w:rFonts w:hint="eastAsia" w:hAnsi="Times New Roman"/>
          <w:color w:val="auto"/>
          <w:highlight w:val="none"/>
          <w:u w:val="none"/>
        </w:rPr>
        <w:t>储罐废气经两级活性炭吸附处理后由一根</w:t>
      </w:r>
      <w:r>
        <w:rPr>
          <w:rFonts w:hAnsi="Times New Roman"/>
          <w:color w:val="auto"/>
          <w:highlight w:val="none"/>
          <w:u w:val="none"/>
        </w:rPr>
        <w:t>15m</w:t>
      </w:r>
      <w:r>
        <w:rPr>
          <w:rFonts w:hint="eastAsia" w:hAnsi="Times New Roman"/>
          <w:color w:val="auto"/>
          <w:highlight w:val="none"/>
          <w:u w:val="none"/>
        </w:rPr>
        <w:t>高排气筒达标排放，</w:t>
      </w:r>
      <w:r>
        <w:rPr>
          <w:rFonts w:hint="eastAsia" w:hAnsi="Times New Roman"/>
          <w:color w:val="auto"/>
          <w:highlight w:val="none"/>
          <w:u w:val="none"/>
          <w:lang w:val="en-US"/>
        </w:rPr>
        <w:t>焦油颗粒装车站通过二级粉尘过滤后由一根23m高排气筒达标排放</w:t>
      </w:r>
      <w:r>
        <w:rPr>
          <w:rFonts w:hint="eastAsia" w:hAnsi="Times New Roman"/>
          <w:color w:val="auto"/>
          <w:highlight w:val="none"/>
          <w:u w:val="none"/>
        </w:rPr>
        <w:t>。</w:t>
      </w:r>
      <w:r>
        <w:rPr>
          <w:rFonts w:hint="eastAsia"/>
          <w:color w:val="auto"/>
          <w:highlight w:val="none"/>
          <w:u w:val="none"/>
        </w:rPr>
        <w:t>当万华环保科技公司</w:t>
      </w:r>
      <w:r>
        <w:rPr>
          <w:color w:val="auto"/>
          <w:highlight w:val="none"/>
          <w:u w:val="none"/>
        </w:rPr>
        <w:t>能量回收装置</w:t>
      </w:r>
      <w:r>
        <w:rPr>
          <w:rFonts w:hint="eastAsia"/>
          <w:color w:val="auto"/>
          <w:highlight w:val="none"/>
          <w:u w:val="none"/>
        </w:rPr>
        <w:t>计划检修时，本项目根据计划安排先停车，待废气处理完毕后，能量回收装置再检修，无废气排放；当</w:t>
      </w:r>
      <w:r>
        <w:rPr>
          <w:color w:val="auto"/>
          <w:highlight w:val="none"/>
          <w:u w:val="none"/>
        </w:rPr>
        <w:t>能量回收装置</w:t>
      </w:r>
      <w:r>
        <w:rPr>
          <w:rFonts w:hint="eastAsia"/>
          <w:color w:val="auto"/>
          <w:highlight w:val="none"/>
          <w:u w:val="none"/>
        </w:rPr>
        <w:t>出现故障时，</w:t>
      </w:r>
      <w:r>
        <w:rPr>
          <w:color w:val="auto"/>
          <w:highlight w:val="none"/>
          <w:u w:val="none"/>
        </w:rPr>
        <w:t>本项目所有生</w:t>
      </w:r>
      <w:r>
        <w:rPr>
          <w:rFonts w:hint="eastAsia"/>
          <w:color w:val="auto"/>
          <w:highlight w:val="none"/>
          <w:u w:val="none"/>
        </w:rPr>
        <w:t>产单元也将立即停车，</w:t>
      </w:r>
      <w:r>
        <w:rPr>
          <w:color w:val="auto"/>
          <w:highlight w:val="none"/>
          <w:u w:val="none"/>
        </w:rPr>
        <w:t>停车过程装置内光化尾气经</w:t>
      </w:r>
      <w:r>
        <w:rPr>
          <w:rFonts w:hint="eastAsia"/>
          <w:color w:val="auto"/>
          <w:highlight w:val="none"/>
          <w:u w:val="none"/>
        </w:rPr>
        <w:t>“酸分解</w:t>
      </w:r>
      <w:r>
        <w:rPr>
          <w:color w:val="auto"/>
          <w:highlight w:val="none"/>
          <w:u w:val="none"/>
        </w:rPr>
        <w:t>+碱分解+活性炭吸附</w:t>
      </w:r>
      <w:r>
        <w:rPr>
          <w:rFonts w:hint="eastAsia"/>
          <w:color w:val="auto"/>
          <w:highlight w:val="none"/>
          <w:u w:val="none"/>
        </w:rPr>
        <w:t>”</w:t>
      </w:r>
      <w:r>
        <w:rPr>
          <w:color w:val="auto"/>
          <w:highlight w:val="none"/>
          <w:u w:val="none"/>
        </w:rPr>
        <w:t>后</w:t>
      </w:r>
      <w:r>
        <w:rPr>
          <w:rFonts w:hint="eastAsia"/>
          <w:color w:val="auto"/>
          <w:highlight w:val="none"/>
          <w:u w:val="none"/>
        </w:rPr>
        <w:t>由</w:t>
      </w:r>
      <w:r>
        <w:rPr>
          <w:rFonts w:hint="eastAsia"/>
          <w:color w:val="auto"/>
          <w:highlight w:val="none"/>
          <w:u w:val="none"/>
          <w:lang w:val="en-US"/>
        </w:rPr>
        <w:t>58</w:t>
      </w:r>
      <w:r>
        <w:rPr>
          <w:rFonts w:hint="eastAsia"/>
          <w:color w:val="auto"/>
          <w:highlight w:val="none"/>
          <w:u w:val="none"/>
        </w:rPr>
        <w:t>m高应急排气筒排放（光化应急排气筒）</w:t>
      </w:r>
      <w:r>
        <w:rPr>
          <w:color w:val="auto"/>
          <w:highlight w:val="none"/>
          <w:u w:val="none"/>
        </w:rPr>
        <w:t>，酸性废气经硝烟</w:t>
      </w:r>
      <w:r>
        <w:rPr>
          <w:rFonts w:hint="eastAsia"/>
          <w:color w:val="auto"/>
          <w:highlight w:val="none"/>
          <w:u w:val="none"/>
        </w:rPr>
        <w:t>吸收塔处理后由</w:t>
      </w:r>
      <w:r>
        <w:rPr>
          <w:rFonts w:hint="eastAsia"/>
          <w:color w:val="auto"/>
          <w:highlight w:val="none"/>
          <w:u w:val="none"/>
          <w:lang w:val="en-US"/>
        </w:rPr>
        <w:t>36</w:t>
      </w:r>
      <w:r>
        <w:rPr>
          <w:rFonts w:hint="eastAsia"/>
          <w:color w:val="auto"/>
          <w:highlight w:val="none"/>
          <w:u w:val="none"/>
        </w:rPr>
        <w:t>m高应急排气筒排放（硝烟应急排气筒），</w:t>
      </w:r>
      <w:r>
        <w:rPr>
          <w:color w:val="auto"/>
          <w:highlight w:val="none"/>
          <w:u w:val="none"/>
        </w:rPr>
        <w:t>碱性废气与反应驰放气送</w:t>
      </w:r>
      <w:r>
        <w:rPr>
          <w:rFonts w:hint="eastAsia"/>
          <w:color w:val="auto"/>
          <w:highlight w:val="none"/>
          <w:u w:val="none"/>
        </w:rPr>
        <w:t>万华环保科技公司</w:t>
      </w:r>
      <w:r>
        <w:rPr>
          <w:color w:val="auto"/>
          <w:highlight w:val="none"/>
          <w:u w:val="none"/>
        </w:rPr>
        <w:t>火炬</w:t>
      </w:r>
      <w:r>
        <w:rPr>
          <w:rFonts w:hint="eastAsia"/>
          <w:color w:val="auto"/>
          <w:highlight w:val="none"/>
          <w:u w:val="none"/>
        </w:rPr>
        <w:t>燃烧处理。本项目正常运行工况下，各废气污染物均采取相应措施处理达标排放，未将火炬燃烧装置作为日常大气污染处理设施。因此，本项目与《福建省人民政府关于印发&lt;福建省空气质量持续改善实施方案&gt;的通知》（闽政文[2024]361号）中的相关要求相符合。</w:t>
      </w:r>
    </w:p>
    <w:p w14:paraId="48CEE8FC">
      <w:pPr>
        <w:pStyle w:val="7"/>
        <w:spacing w:before="156"/>
        <w:rPr>
          <w:color w:val="auto"/>
          <w:highlight w:val="none"/>
          <w:u w:val="none"/>
        </w:rPr>
      </w:pPr>
      <w:r>
        <w:rPr>
          <w:rFonts w:hint="eastAsia"/>
          <w:color w:val="auto"/>
          <w:highlight w:val="none"/>
          <w:u w:val="none"/>
        </w:rPr>
        <w:t>与福州市生态环境分区管控要求符合性分析</w:t>
      </w:r>
    </w:p>
    <w:p w14:paraId="44CCF712">
      <w:pPr>
        <w:pStyle w:val="981"/>
        <w:rPr>
          <w:rFonts w:hint="eastAsia"/>
          <w:b/>
          <w:bCs/>
          <w:color w:val="auto"/>
          <w:highlight w:val="none"/>
          <w:u w:val="none"/>
        </w:rPr>
      </w:pPr>
      <w:r>
        <w:rPr>
          <w:rFonts w:hint="eastAsia"/>
          <w:color w:val="auto"/>
          <w:highlight w:val="none"/>
          <w:u w:val="none"/>
        </w:rPr>
        <w:t>根据《福州市人民政府办公厅关于印发&lt;福州市生态环境分区管控方案（2023年更新）&gt;的通知》（榕政办规〔2024〕20号），本项目与福州市生态环境分区管控要求协调性分析如下：</w:t>
      </w:r>
    </w:p>
    <w:p w14:paraId="062F3A1F">
      <w:pPr>
        <w:pStyle w:val="82"/>
        <w:ind w:firstLine="482"/>
        <w:rPr>
          <w:rFonts w:hint="eastAsia"/>
          <w:b/>
          <w:bCs/>
          <w:color w:val="auto"/>
          <w:highlight w:val="none"/>
          <w:u w:val="none"/>
        </w:rPr>
      </w:pPr>
      <w:r>
        <w:rPr>
          <w:rFonts w:hint="eastAsia"/>
          <w:b/>
          <w:bCs/>
          <w:color w:val="auto"/>
          <w:highlight w:val="none"/>
          <w:u w:val="none"/>
        </w:rPr>
        <w:t>（1）生态保护红线</w:t>
      </w:r>
    </w:p>
    <w:p w14:paraId="5CD55CCD">
      <w:pPr>
        <w:rPr>
          <w:rFonts w:hint="eastAsia"/>
          <w:color w:val="auto"/>
          <w:highlight w:val="none"/>
          <w:u w:val="none"/>
        </w:rPr>
      </w:pPr>
      <w:r>
        <w:rPr>
          <w:rFonts w:hint="eastAsia"/>
          <w:color w:val="auto"/>
          <w:highlight w:val="none"/>
          <w:u w:val="none"/>
        </w:rPr>
        <w:t>本项目位于江阴港城经济区西部工业片区万华福建公司现有厂界范围内</w:t>
      </w:r>
      <w:r>
        <w:rPr>
          <w:rFonts w:hint="eastAsia" w:hAnsi="Times New Roman"/>
          <w:bCs/>
          <w:snapToGrid w:val="0"/>
          <w:color w:val="auto"/>
          <w:szCs w:val="21"/>
          <w:highlight w:val="none"/>
          <w:u w:val="none"/>
        </w:rPr>
        <w:t>，经查询“福建省生态环境分区管控数据应用平台”，本项目涉及1个重点管控单位（福清市重点管控单元2，ZH35018120009），根据查询结果，</w:t>
      </w:r>
      <w:r>
        <w:rPr>
          <w:rFonts w:hint="eastAsia"/>
          <w:color w:val="auto"/>
          <w:highlight w:val="none"/>
          <w:u w:val="none"/>
        </w:rPr>
        <w:t>本项目占地红线范围内不涉及生态红线，符合生态保护红线要求。</w:t>
      </w:r>
    </w:p>
    <w:p w14:paraId="0055FE64">
      <w:pPr>
        <w:pStyle w:val="75"/>
        <w:rPr>
          <w:rFonts w:hint="eastAsia"/>
          <w:color w:val="auto"/>
          <w:highlight w:val="none"/>
          <w:u w:val="none"/>
        </w:rPr>
      </w:pPr>
      <w:r>
        <w:rPr>
          <w:rFonts w:hint="eastAsia"/>
          <w:color w:val="auto"/>
          <w:highlight w:val="none"/>
          <w:u w:val="none"/>
        </w:rPr>
        <w:t>本项目查询</w:t>
      </w:r>
      <w:r>
        <w:rPr>
          <w:rFonts w:hint="eastAsia" w:hAnsi="Times New Roman"/>
          <w:bCs/>
          <w:color w:val="auto"/>
          <w:szCs w:val="21"/>
          <w:highlight w:val="none"/>
          <w:u w:val="none"/>
        </w:rPr>
        <w:t>“福建省生态环境分区管控数据应用平台”结果见</w:t>
      </w:r>
      <w:r>
        <w:rPr>
          <w:rFonts w:hAnsi="Times New Roman"/>
          <w:bCs/>
          <w:color w:val="auto"/>
          <w:szCs w:val="21"/>
          <w:highlight w:val="none"/>
          <w:u w:val="none"/>
        </w:rPr>
        <w:fldChar w:fldCharType="begin"/>
      </w:r>
      <w:r>
        <w:rPr>
          <w:rFonts w:hAnsi="Times New Roman"/>
          <w:bCs/>
          <w:color w:val="auto"/>
          <w:szCs w:val="21"/>
          <w:highlight w:val="none"/>
          <w:u w:val="none"/>
        </w:rPr>
        <w:instrText xml:space="preserve"> REF _Ref149166645 \h </w:instrText>
      </w:r>
      <w:r>
        <w:rPr>
          <w:rFonts w:hAnsi="Times New Roman"/>
          <w:bCs/>
          <w:color w:val="auto"/>
          <w:szCs w:val="21"/>
          <w:highlight w:val="none"/>
          <w:u w:val="none"/>
        </w:rPr>
        <w:fldChar w:fldCharType="separate"/>
      </w:r>
      <w:r>
        <w:rPr>
          <w:rFonts w:hint="eastAsia"/>
          <w:b/>
          <w:bCs/>
          <w:color w:val="auto"/>
          <w:highlight w:val="none"/>
          <w:u w:val="none"/>
        </w:rPr>
        <w:t xml:space="preserve">图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5.11</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t>1</w:t>
      </w:r>
      <w:r>
        <w:rPr>
          <w:rFonts w:hAnsi="Times New Roman"/>
          <w:bCs/>
          <w:color w:val="auto"/>
          <w:szCs w:val="21"/>
          <w:highlight w:val="none"/>
          <w:u w:val="none"/>
        </w:rPr>
        <w:fldChar w:fldCharType="end"/>
      </w:r>
      <w:r>
        <w:rPr>
          <w:rFonts w:hint="eastAsia"/>
          <w:color w:val="auto"/>
          <w:highlight w:val="none"/>
          <w:u w:val="none"/>
        </w:rPr>
        <w:t>。</w:t>
      </w:r>
    </w:p>
    <w:p w14:paraId="66BAC537">
      <w:pPr>
        <w:pStyle w:val="82"/>
        <w:ind w:firstLine="482"/>
        <w:rPr>
          <w:rFonts w:hint="eastAsia"/>
          <w:b/>
          <w:bCs/>
          <w:color w:val="auto"/>
          <w:highlight w:val="none"/>
          <w:u w:val="none"/>
        </w:rPr>
      </w:pPr>
      <w:r>
        <w:rPr>
          <w:rFonts w:hint="eastAsia"/>
          <w:b/>
          <w:bCs/>
          <w:color w:val="auto"/>
          <w:highlight w:val="none"/>
          <w:u w:val="none"/>
        </w:rPr>
        <w:t>（2）环境质量底线及分区管控要求</w:t>
      </w:r>
    </w:p>
    <w:p w14:paraId="262CCDB0">
      <w:pPr>
        <w:pStyle w:val="82"/>
        <w:ind w:firstLine="482"/>
        <w:rPr>
          <w:rFonts w:hint="eastAsia"/>
          <w:b/>
          <w:bCs/>
          <w:color w:val="auto"/>
          <w:highlight w:val="none"/>
          <w:u w:val="none"/>
        </w:rPr>
      </w:pPr>
      <w:r>
        <w:rPr>
          <w:rFonts w:hint="eastAsia"/>
          <w:b/>
          <w:bCs/>
          <w:color w:val="auto"/>
          <w:highlight w:val="none"/>
          <w:u w:val="none"/>
        </w:rPr>
        <w:t>①地表水环境质量底线及分区管控</w:t>
      </w:r>
    </w:p>
    <w:p w14:paraId="1FDB9256">
      <w:pPr>
        <w:pStyle w:val="82"/>
        <w:rPr>
          <w:rFonts w:hint="eastAsia"/>
          <w:b/>
          <w:bCs/>
          <w:color w:val="auto"/>
          <w:highlight w:val="none"/>
          <w:u w:val="none"/>
        </w:rPr>
      </w:pPr>
      <w:r>
        <w:rPr>
          <w:rFonts w:hint="eastAsia"/>
          <w:color w:val="auto"/>
          <w:highlight w:val="none"/>
          <w:u w:val="none"/>
        </w:rPr>
        <w:t>根据《福州市生态环境分区管控方案（2023年更新）》，福州市地表水环境质量底线为：到2025年，国省控断面水质优良（达到或优于Ⅲ类）比例总体达97.2%以上；县级以上集中式饮用水水源水质达标率达100%。到2035年，国省控断面水质优良（达到或优于Ⅲ类）比例总体达到100%；生态系统实现良性循环。</w:t>
      </w:r>
    </w:p>
    <w:p w14:paraId="4589A5F7">
      <w:pPr>
        <w:pStyle w:val="82"/>
        <w:ind w:firstLine="482"/>
        <w:rPr>
          <w:rFonts w:hint="eastAsia"/>
          <w:b/>
          <w:bCs/>
          <w:color w:val="auto"/>
          <w:highlight w:val="none"/>
          <w:u w:val="none"/>
        </w:rPr>
      </w:pPr>
      <w:r>
        <w:rPr>
          <w:rFonts w:hint="eastAsia"/>
          <w:b/>
          <w:bCs/>
          <w:color w:val="auto"/>
          <w:highlight w:val="none"/>
          <w:u w:val="none"/>
        </w:rPr>
        <w:t>②近岸海域环境质量底线及分区管控要求</w:t>
      </w:r>
    </w:p>
    <w:p w14:paraId="4CB0BB76">
      <w:pPr>
        <w:pStyle w:val="82"/>
        <w:rPr>
          <w:rFonts w:hint="eastAsia"/>
          <w:color w:val="auto"/>
          <w:highlight w:val="none"/>
          <w:u w:val="none"/>
        </w:rPr>
      </w:pPr>
      <w:r>
        <w:rPr>
          <w:rFonts w:hint="eastAsia"/>
          <w:color w:val="auto"/>
          <w:highlight w:val="none"/>
          <w:u w:val="none"/>
        </w:rPr>
        <w:t>根据《福州市生态环境分区管控方案（2023年更新）》，福州市近岸海域环境质量底线为：到2025年，近岸海域水质持续改善，重要河口海湾水质稳定好转，鉴江半岛—黄岐半岛东部海域湾区、长乐东部海域湾区建成美丽海湾，近岸海域优良水质面积比例不低于85%（国控点优良水质面积不低于84.0%）。到2035年，海洋生态环境显著改善，重要河口海湾水质大幅提升，近岸海域优良水质面积比例不低于89%，全面建成美丽海湾。</w:t>
      </w:r>
    </w:p>
    <w:p w14:paraId="331489B1">
      <w:pPr>
        <w:pStyle w:val="82"/>
        <w:ind w:firstLine="482"/>
        <w:rPr>
          <w:rFonts w:hint="eastAsia"/>
          <w:b/>
          <w:bCs/>
          <w:color w:val="auto"/>
          <w:highlight w:val="none"/>
          <w:u w:val="none"/>
        </w:rPr>
      </w:pPr>
      <w:r>
        <w:rPr>
          <w:rFonts w:hint="eastAsia"/>
          <w:b/>
          <w:bCs/>
          <w:color w:val="auto"/>
          <w:highlight w:val="none"/>
          <w:u w:val="none"/>
        </w:rPr>
        <w:t>③大气环境质量底线及分区管控要求</w:t>
      </w:r>
    </w:p>
    <w:p w14:paraId="35F30D63">
      <w:pPr>
        <w:pStyle w:val="82"/>
        <w:rPr>
          <w:rFonts w:hint="eastAsia"/>
          <w:color w:val="auto"/>
          <w:highlight w:val="none"/>
          <w:u w:val="none"/>
        </w:rPr>
      </w:pPr>
      <w:r>
        <w:rPr>
          <w:rFonts w:hAnsi="Times New Roman"/>
          <w:color w:val="auto"/>
          <w:highlight w:val="none"/>
          <w:u w:val="none"/>
        </w:rPr>
        <w:t>根据《福州市生态环境分区管控方案（2023年更新）》，福州市大气环境质量底线为：到2025年，环境空气质量持续改善，细颗粒物（PM2.5）年均浓度降至18.6μg/m</w:t>
      </w:r>
      <w:r>
        <w:rPr>
          <w:rFonts w:hAnsi="Times New Roman"/>
          <w:color w:val="auto"/>
          <w:highlight w:val="none"/>
          <w:u w:val="none"/>
          <w:vertAlign w:val="superscript"/>
        </w:rPr>
        <w:t>3</w:t>
      </w:r>
      <w:r>
        <w:rPr>
          <w:rFonts w:hAnsi="Times New Roman"/>
          <w:color w:val="auto"/>
          <w:highlight w:val="none"/>
          <w:u w:val="none"/>
        </w:rPr>
        <w:t>。到2035年，县级城市细颗粒物（PM2.5）年均浓度小于15μg/m</w:t>
      </w:r>
      <w:r>
        <w:rPr>
          <w:rFonts w:hAnsi="Times New Roman"/>
          <w:color w:val="auto"/>
          <w:highlight w:val="none"/>
          <w:u w:val="none"/>
          <w:vertAlign w:val="superscript"/>
        </w:rPr>
        <w:t>3</w:t>
      </w:r>
      <w:r>
        <w:rPr>
          <w:rFonts w:hAnsi="Times New Roman"/>
          <w:color w:val="auto"/>
          <w:highlight w:val="none"/>
          <w:u w:val="none"/>
        </w:rPr>
        <w:t>，最终指标值以省下达指标为准</w:t>
      </w:r>
      <w:r>
        <w:rPr>
          <w:color w:val="auto"/>
          <w:highlight w:val="none"/>
          <w:u w:val="none"/>
        </w:rPr>
        <w:t>。</w:t>
      </w:r>
    </w:p>
    <w:p w14:paraId="485570BF">
      <w:pPr>
        <w:pStyle w:val="82"/>
        <w:ind w:firstLine="482"/>
        <w:rPr>
          <w:rFonts w:hint="eastAsia"/>
          <w:b/>
          <w:bCs/>
          <w:color w:val="auto"/>
          <w:highlight w:val="none"/>
          <w:u w:val="none"/>
        </w:rPr>
      </w:pPr>
      <w:r>
        <w:rPr>
          <w:rFonts w:hint="eastAsia"/>
          <w:b/>
          <w:bCs/>
          <w:color w:val="auto"/>
          <w:highlight w:val="none"/>
          <w:u w:val="none"/>
        </w:rPr>
        <w:t>④土壤环境风险防控底线及分区管控要求</w:t>
      </w:r>
    </w:p>
    <w:p w14:paraId="10D32ACD">
      <w:pPr>
        <w:pStyle w:val="82"/>
        <w:rPr>
          <w:rFonts w:hint="eastAsia"/>
          <w:color w:val="auto"/>
          <w:highlight w:val="none"/>
          <w:u w:val="none"/>
        </w:rPr>
      </w:pPr>
      <w:r>
        <w:rPr>
          <w:rFonts w:hAnsi="Times New Roman"/>
          <w:color w:val="auto"/>
          <w:highlight w:val="none"/>
          <w:u w:val="none"/>
        </w:rPr>
        <w:t>根据《福州市生态环境分区管控方案（2023年更新）》，福州市</w:t>
      </w:r>
      <w:r>
        <w:rPr>
          <w:rFonts w:hint="eastAsia" w:hAnsi="Times New Roman"/>
          <w:color w:val="auto"/>
          <w:highlight w:val="none"/>
          <w:u w:val="none"/>
        </w:rPr>
        <w:t>土壤环境风险防控底线</w:t>
      </w:r>
      <w:r>
        <w:rPr>
          <w:rFonts w:hAnsi="Times New Roman"/>
          <w:color w:val="auto"/>
          <w:highlight w:val="none"/>
          <w:u w:val="none"/>
        </w:rPr>
        <w:t>为：</w:t>
      </w:r>
      <w:r>
        <w:rPr>
          <w:rFonts w:hint="eastAsia" w:hAnsi="Times New Roman"/>
          <w:color w:val="auto"/>
          <w:highlight w:val="none"/>
          <w:u w:val="none"/>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到2035年，全市土壤环境质量稳中向好，农用地和建设用地土壤环境得到有效保障，土壤环境风险得到全面管控</w:t>
      </w:r>
      <w:r>
        <w:rPr>
          <w:rFonts w:hint="eastAsia"/>
          <w:color w:val="auto"/>
          <w:highlight w:val="none"/>
          <w:u w:val="none"/>
        </w:rPr>
        <w:t>。</w:t>
      </w:r>
    </w:p>
    <w:p w14:paraId="101DC508">
      <w:pPr>
        <w:pStyle w:val="82"/>
        <w:rPr>
          <w:rFonts w:hint="eastAsia"/>
          <w:color w:val="auto"/>
          <w:highlight w:val="none"/>
          <w:u w:val="none"/>
        </w:rPr>
      </w:pPr>
      <w:r>
        <w:rPr>
          <w:rFonts w:hint="eastAsia"/>
          <w:color w:val="auto"/>
          <w:highlight w:val="none"/>
          <w:u w:val="none"/>
        </w:rPr>
        <w:t>本项目为有机化学原料制造项目，位于江阴港城经济区西部临港产业区，为江阴化工新材料专区，属于环保基础设施齐全并经规划环评的专业园区，项目建成后将进行清洁生产审核，深入实施工业企业全面达标计划，建立</w:t>
      </w:r>
      <w:r>
        <w:rPr>
          <w:color w:val="auto"/>
          <w:highlight w:val="none"/>
          <w:u w:val="none"/>
        </w:rPr>
        <w:t>“泄漏检测与修复”管理制度</w:t>
      </w:r>
      <w:r>
        <w:rPr>
          <w:rFonts w:hint="eastAsia"/>
          <w:color w:val="auto"/>
          <w:highlight w:val="none"/>
          <w:u w:val="none"/>
        </w:rPr>
        <w:t>，建立健全环境风险防控体系，并由江阴港城经济区集中供热，</w:t>
      </w:r>
      <w:r>
        <w:rPr>
          <w:color w:val="auto"/>
          <w:highlight w:val="none"/>
          <w:u w:val="none"/>
        </w:rPr>
        <w:t>实施大气污染物排放总量替代，VOCs倍量替代</w:t>
      </w:r>
      <w:r>
        <w:rPr>
          <w:rFonts w:hint="eastAsia"/>
          <w:color w:val="auto"/>
          <w:highlight w:val="none"/>
          <w:u w:val="none"/>
        </w:rPr>
        <w:t>。本项目营运期排放的污染物在采取相应的环保措施后可实现达标排放，不会冲击环境质量底线，满足</w:t>
      </w:r>
      <w:r>
        <w:rPr>
          <w:rFonts w:hint="eastAsia"/>
          <w:color w:val="auto"/>
          <w:highlight w:val="none"/>
          <w:u w:val="none"/>
          <w:lang w:val="en-US"/>
        </w:rPr>
        <w:t>分区</w:t>
      </w:r>
      <w:r>
        <w:rPr>
          <w:rFonts w:hint="eastAsia"/>
          <w:color w:val="auto"/>
          <w:highlight w:val="none"/>
          <w:u w:val="none"/>
        </w:rPr>
        <w:t>管控要求。</w:t>
      </w:r>
    </w:p>
    <w:p w14:paraId="611C6D1D">
      <w:pPr>
        <w:pStyle w:val="82"/>
        <w:rPr>
          <w:rFonts w:hint="eastAsia"/>
          <w:color w:val="auto"/>
          <w:highlight w:val="none"/>
          <w:u w:val="none"/>
        </w:rPr>
      </w:pPr>
      <w:r>
        <w:rPr>
          <w:rFonts w:hint="eastAsia"/>
          <w:color w:val="auto"/>
          <w:highlight w:val="none"/>
          <w:u w:val="none"/>
        </w:rPr>
        <w:t>同时对照“福清市生态环境准入清单”，本项目符合</w:t>
      </w:r>
      <w:r>
        <w:rPr>
          <w:rFonts w:hint="eastAsia" w:hAnsi="Times New Roman"/>
          <w:bCs/>
          <w:snapToGrid w:val="0"/>
          <w:color w:val="auto"/>
          <w:szCs w:val="21"/>
          <w:highlight w:val="none"/>
          <w:u w:val="none"/>
        </w:rPr>
        <w:t>福清市重点管控单元2（环境管控单元编码：ZH35018120009）</w:t>
      </w:r>
      <w:r>
        <w:rPr>
          <w:rFonts w:hint="eastAsia"/>
          <w:color w:val="auto"/>
          <w:highlight w:val="none"/>
          <w:u w:val="none"/>
        </w:rPr>
        <w:t>的管控要求，详见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_Ref149166182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3</w:t>
      </w:r>
      <w:r>
        <w:rPr>
          <w:color w:val="auto"/>
          <w:highlight w:val="none"/>
          <w:u w:val="none"/>
        </w:rPr>
        <w:fldChar w:fldCharType="end"/>
      </w:r>
      <w:r>
        <w:rPr>
          <w:rFonts w:hint="eastAsia"/>
          <w:color w:val="auto"/>
          <w:highlight w:val="none"/>
          <w:u w:val="none"/>
        </w:rPr>
        <w:t>。</w:t>
      </w:r>
    </w:p>
    <w:p w14:paraId="1A92EDFE">
      <w:pPr>
        <w:pStyle w:val="82"/>
        <w:ind w:firstLine="482"/>
        <w:rPr>
          <w:rFonts w:hint="eastAsia"/>
          <w:b/>
          <w:bCs/>
          <w:color w:val="auto"/>
          <w:highlight w:val="none"/>
          <w:u w:val="none"/>
        </w:rPr>
      </w:pPr>
      <w:r>
        <w:rPr>
          <w:rFonts w:hint="eastAsia"/>
          <w:b/>
          <w:bCs/>
          <w:color w:val="auto"/>
          <w:highlight w:val="none"/>
          <w:u w:val="none"/>
        </w:rPr>
        <w:t>（3）资源利用上线</w:t>
      </w:r>
    </w:p>
    <w:p w14:paraId="11C0F7CD">
      <w:pPr>
        <w:pStyle w:val="82"/>
        <w:rPr>
          <w:rFonts w:hint="eastAsia"/>
          <w:color w:val="auto"/>
          <w:highlight w:val="none"/>
          <w:u w:val="none"/>
        </w:rPr>
      </w:pPr>
      <w:r>
        <w:rPr>
          <w:rFonts w:hint="eastAsia"/>
          <w:color w:val="auto"/>
          <w:highlight w:val="none"/>
          <w:u w:val="none"/>
          <w:lang w:val="en-US"/>
        </w:rPr>
        <w:t>本项目位于福州江阴港城经济区，园区内供水、供电等设施完善。本项目建成运营后，会消耗一定的水、电资源等，项目资源消耗量相对区域资源利用总量较少，对项目区域资源供给能力影响较小。项目运营后的资源利用不会突破区域的资源利用上线。</w:t>
      </w:r>
    </w:p>
    <w:p w14:paraId="32EF34BC">
      <w:pPr>
        <w:pStyle w:val="82"/>
        <w:ind w:firstLine="482"/>
        <w:rPr>
          <w:rFonts w:hint="eastAsia"/>
          <w:b/>
          <w:bCs/>
          <w:color w:val="auto"/>
          <w:highlight w:val="none"/>
          <w:u w:val="none"/>
        </w:rPr>
      </w:pPr>
      <w:r>
        <w:rPr>
          <w:rFonts w:hint="eastAsia"/>
          <w:b/>
          <w:bCs/>
          <w:color w:val="auto"/>
          <w:highlight w:val="none"/>
          <w:u w:val="none"/>
        </w:rPr>
        <w:t>（4）生态环境准入清单</w:t>
      </w:r>
    </w:p>
    <w:p w14:paraId="1DC6F228">
      <w:pPr>
        <w:pStyle w:val="82"/>
        <w:rPr>
          <w:rFonts w:hint="eastAsia"/>
          <w:color w:val="auto"/>
          <w:highlight w:val="none"/>
          <w:u w:val="none"/>
        </w:rPr>
      </w:pPr>
      <w:r>
        <w:rPr>
          <w:rFonts w:hint="eastAsia"/>
          <w:color w:val="auto"/>
          <w:highlight w:val="none"/>
          <w:u w:val="none"/>
        </w:rPr>
        <w:t>根据《福州市人民政府办公厅关于印发&lt;福州市生态环境分区管控方案（2023年更新）&gt;的通知》（榕政办规〔2024〕20号）</w:t>
      </w:r>
      <w:r>
        <w:rPr>
          <w:color w:val="auto"/>
          <w:highlight w:val="none"/>
          <w:u w:val="none"/>
        </w:rPr>
        <w:t>，</w:t>
      </w:r>
      <w:r>
        <w:rPr>
          <w:rFonts w:hint="eastAsia"/>
          <w:color w:val="auto"/>
          <w:highlight w:val="none"/>
          <w:u w:val="none"/>
        </w:rPr>
        <w:t>本项目</w:t>
      </w:r>
      <w:r>
        <w:rPr>
          <w:color w:val="auto"/>
          <w:highlight w:val="none"/>
          <w:u w:val="none"/>
        </w:rPr>
        <w:t>与</w:t>
      </w:r>
      <w:r>
        <w:rPr>
          <w:rFonts w:hint="eastAsia"/>
          <w:color w:val="auto"/>
          <w:highlight w:val="none"/>
          <w:u w:val="none"/>
        </w:rPr>
        <w:t>福州市</w:t>
      </w:r>
      <w:r>
        <w:rPr>
          <w:color w:val="auto"/>
          <w:highlight w:val="none"/>
          <w:u w:val="none"/>
        </w:rPr>
        <w:t>生态环境总体准入要求的符合性见</w:t>
      </w:r>
      <w:r>
        <w:rPr>
          <w:color w:val="auto"/>
          <w:highlight w:val="none"/>
          <w:u w:val="none"/>
        </w:rPr>
        <w:fldChar w:fldCharType="begin"/>
      </w:r>
      <w:r>
        <w:rPr>
          <w:color w:val="auto"/>
          <w:highlight w:val="none"/>
          <w:u w:val="none"/>
        </w:rPr>
        <w:instrText xml:space="preserve"> REF _Ref149166176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，与福清市生态环境准入清单要求的符合性见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_Ref149166182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3</w:t>
      </w:r>
      <w:r>
        <w:rPr>
          <w:color w:val="auto"/>
          <w:highlight w:val="none"/>
          <w:u w:val="none"/>
        </w:rPr>
        <w:fldChar w:fldCharType="end"/>
      </w:r>
      <w:r>
        <w:rPr>
          <w:rFonts w:hint="eastAsia"/>
          <w:color w:val="auto"/>
          <w:highlight w:val="none"/>
          <w:u w:val="none"/>
        </w:rPr>
        <w:t>。</w:t>
      </w:r>
    </w:p>
    <w:p w14:paraId="7444A48C">
      <w:pPr>
        <w:pStyle w:val="82"/>
        <w:rPr>
          <w:rFonts w:hint="eastAsia"/>
          <w:color w:val="auto"/>
          <w:highlight w:val="none"/>
          <w:u w:val="none"/>
        </w:rPr>
      </w:pPr>
      <w:r>
        <w:rPr>
          <w:rFonts w:hint="eastAsia"/>
          <w:color w:val="auto"/>
          <w:highlight w:val="none"/>
          <w:u w:val="none"/>
        </w:rPr>
        <w:t>根据</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_Ref149166176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_Ref149166182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3</w:t>
      </w:r>
      <w:r>
        <w:rPr>
          <w:color w:val="auto"/>
          <w:highlight w:val="none"/>
          <w:u w:val="none"/>
        </w:rPr>
        <w:fldChar w:fldCharType="end"/>
      </w:r>
      <w:r>
        <w:rPr>
          <w:rFonts w:hint="eastAsia"/>
          <w:color w:val="auto"/>
          <w:highlight w:val="none"/>
          <w:u w:val="none"/>
        </w:rPr>
        <w:t>分析可知，本项目符合福州市生态环境分区管控要求。</w:t>
      </w:r>
    </w:p>
    <w:p w14:paraId="08697BA9">
      <w:pPr>
        <w:pStyle w:val="82"/>
        <w:rPr>
          <w:rFonts w:hint="eastAsia"/>
          <w:color w:val="auto"/>
          <w:highlight w:val="none"/>
          <w:u w:val="none"/>
        </w:rPr>
      </w:pPr>
    </w:p>
    <w:p w14:paraId="51B9ABFB">
      <w:pPr>
        <w:pStyle w:val="82"/>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5B078EC1">
      <w:pPr>
        <w:pStyle w:val="86"/>
        <w:rPr>
          <w:rFonts w:hint="eastAsia"/>
          <w:color w:val="auto"/>
          <w:highlight w:val="none"/>
          <w:u w:val="none"/>
        </w:rPr>
      </w:pPr>
      <w:bookmarkStart w:id="409" w:name="_Ref14916617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409"/>
      <w:r>
        <w:rPr>
          <w:color w:val="auto"/>
          <w:highlight w:val="none"/>
          <w:u w:val="none"/>
        </w:rPr>
        <w:t xml:space="preserve">  项目与“</w:t>
      </w:r>
      <w:r>
        <w:rPr>
          <w:rFonts w:hint="eastAsia"/>
          <w:color w:val="auto"/>
          <w:highlight w:val="none"/>
          <w:u w:val="none"/>
        </w:rPr>
        <w:t>福州市生态环境总体准入要求</w:t>
      </w:r>
      <w:r>
        <w:rPr>
          <w:color w:val="auto"/>
          <w:highlight w:val="none"/>
          <w:u w:val="none"/>
        </w:rPr>
        <w:t>”相符性</w:t>
      </w:r>
    </w:p>
    <w:tbl>
      <w:tblPr>
        <w:tblStyle w:val="58"/>
        <w:tblW w:w="50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706"/>
        <w:gridCol w:w="1169"/>
        <w:gridCol w:w="7361"/>
        <w:gridCol w:w="3027"/>
        <w:gridCol w:w="866"/>
      </w:tblGrid>
      <w:tr w14:paraId="44E2E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8" w:type="pct"/>
            <w:vAlign w:val="center"/>
          </w:tcPr>
          <w:p w14:paraId="4BFC6265">
            <w:pPr>
              <w:pStyle w:val="92"/>
              <w:rPr>
                <w:color w:val="auto"/>
                <w:highlight w:val="none"/>
                <w:u w:val="none"/>
              </w:rPr>
            </w:pPr>
            <w:r>
              <w:rPr>
                <w:color w:val="auto"/>
                <w:highlight w:val="none"/>
                <w:u w:val="none"/>
              </w:rPr>
              <w:t>适用范围</w:t>
            </w:r>
          </w:p>
        </w:tc>
        <w:tc>
          <w:tcPr>
            <w:tcW w:w="3201" w:type="pct"/>
            <w:gridSpan w:val="3"/>
            <w:shd w:val="clear" w:color="auto" w:fill="auto"/>
            <w:vAlign w:val="center"/>
          </w:tcPr>
          <w:p w14:paraId="2C57A631">
            <w:pPr>
              <w:pStyle w:val="92"/>
              <w:rPr>
                <w:color w:val="auto"/>
                <w:highlight w:val="none"/>
                <w:u w:val="none"/>
              </w:rPr>
            </w:pPr>
            <w:r>
              <w:rPr>
                <w:color w:val="auto"/>
                <w:highlight w:val="none"/>
                <w:u w:val="none"/>
              </w:rPr>
              <w:t>准入要求</w:t>
            </w:r>
          </w:p>
        </w:tc>
        <w:tc>
          <w:tcPr>
            <w:tcW w:w="1049" w:type="pct"/>
            <w:shd w:val="clear" w:color="auto" w:fill="auto"/>
            <w:vAlign w:val="center"/>
          </w:tcPr>
          <w:p w14:paraId="398F760D">
            <w:pPr>
              <w:pStyle w:val="92"/>
              <w:rPr>
                <w:color w:val="auto"/>
                <w:highlight w:val="none"/>
                <w:u w:val="none"/>
              </w:rPr>
            </w:pPr>
            <w:r>
              <w:rPr>
                <w:color w:val="auto"/>
                <w:highlight w:val="none"/>
                <w:u w:val="none"/>
              </w:rPr>
              <w:t>本项目内容</w:t>
            </w:r>
          </w:p>
        </w:tc>
        <w:tc>
          <w:tcPr>
            <w:tcW w:w="300" w:type="pct"/>
            <w:shd w:val="clear" w:color="auto" w:fill="auto"/>
            <w:vAlign w:val="center"/>
          </w:tcPr>
          <w:p w14:paraId="4FB098CE">
            <w:pPr>
              <w:pStyle w:val="92"/>
              <w:rPr>
                <w:color w:val="auto"/>
                <w:highlight w:val="none"/>
                <w:u w:val="none"/>
              </w:rPr>
            </w:pPr>
            <w:r>
              <w:rPr>
                <w:color w:val="auto"/>
                <w:highlight w:val="none"/>
                <w:u w:val="none"/>
              </w:rPr>
              <w:t>符合性</w:t>
            </w:r>
          </w:p>
        </w:tc>
      </w:tr>
      <w:tr w14:paraId="12BD9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restart"/>
            <w:vAlign w:val="center"/>
          </w:tcPr>
          <w:p w14:paraId="4FB6BFD9">
            <w:pPr>
              <w:pStyle w:val="92"/>
              <w:rPr>
                <w:color w:val="auto"/>
                <w:highlight w:val="none"/>
                <w:u w:val="none"/>
              </w:rPr>
            </w:pPr>
            <w:r>
              <w:rPr>
                <w:color w:val="auto"/>
                <w:highlight w:val="none"/>
                <w:u w:val="none"/>
              </w:rPr>
              <w:t>陆域</w:t>
            </w:r>
          </w:p>
        </w:tc>
        <w:tc>
          <w:tcPr>
            <w:tcW w:w="245" w:type="pct"/>
            <w:vMerge w:val="restart"/>
            <w:shd w:val="clear" w:color="auto" w:fill="auto"/>
            <w:vAlign w:val="center"/>
          </w:tcPr>
          <w:p w14:paraId="30EAD05C">
            <w:pPr>
              <w:pStyle w:val="92"/>
              <w:rPr>
                <w:color w:val="auto"/>
                <w:highlight w:val="none"/>
                <w:u w:val="none"/>
              </w:rPr>
            </w:pPr>
            <w:r>
              <w:rPr>
                <w:color w:val="auto"/>
                <w:highlight w:val="none"/>
                <w:u w:val="none"/>
              </w:rPr>
              <w:t>空间布局约束</w:t>
            </w:r>
          </w:p>
        </w:tc>
        <w:tc>
          <w:tcPr>
            <w:tcW w:w="2956" w:type="pct"/>
            <w:gridSpan w:val="2"/>
            <w:shd w:val="clear" w:color="auto" w:fill="auto"/>
            <w:vAlign w:val="center"/>
          </w:tcPr>
          <w:p w14:paraId="3B481BCF">
            <w:pPr>
              <w:pStyle w:val="92"/>
              <w:jc w:val="left"/>
              <w:rPr>
                <w:b/>
                <w:bCs/>
                <w:color w:val="auto"/>
                <w:highlight w:val="none"/>
                <w:u w:val="none"/>
              </w:rPr>
            </w:pPr>
            <w:r>
              <w:rPr>
                <w:rFonts w:hint="eastAsia"/>
                <w:b/>
                <w:bCs/>
                <w:color w:val="auto"/>
                <w:highlight w:val="none"/>
                <w:u w:val="none"/>
              </w:rPr>
              <w:t>一、优先保护单元中的生态保护红线</w:t>
            </w:r>
          </w:p>
          <w:p w14:paraId="585FAB7D">
            <w:pPr>
              <w:pStyle w:val="92"/>
              <w:jc w:val="left"/>
              <w:rPr>
                <w:color w:val="auto"/>
                <w:highlight w:val="none"/>
                <w:u w:val="none"/>
              </w:rPr>
            </w:pPr>
            <w:r>
              <w:rPr>
                <w:rFonts w:hint="eastAsia"/>
                <w:color w:val="auto"/>
                <w:highlight w:val="none"/>
                <w:u w:val="none"/>
              </w:rPr>
              <w:t>1.根据《关于在国土空间规划中统筹划定落实三条控制线的指导意见》《自然资源部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6942CBB3">
            <w:pPr>
              <w:pStyle w:val="92"/>
              <w:jc w:val="left"/>
              <w:rPr>
                <w:color w:val="auto"/>
                <w:highlight w:val="none"/>
                <w:u w:val="none"/>
              </w:rPr>
            </w:pPr>
            <w:r>
              <w:rPr>
                <w:rFonts w:hint="eastAsia"/>
                <w:color w:val="auto"/>
                <w:highlight w:val="none"/>
                <w:u w:val="none"/>
              </w:rPr>
              <w:t>（1）管护巡护、保护执法、科学研究、调查监测、测绘导航、防灾减灾救灾、军事国防、疫情防控等活动及相关的必要设施修筑。</w:t>
            </w:r>
          </w:p>
          <w:p w14:paraId="428D8471">
            <w:pPr>
              <w:pStyle w:val="92"/>
              <w:jc w:val="left"/>
              <w:rPr>
                <w:color w:val="auto"/>
                <w:highlight w:val="none"/>
                <w:u w:val="none"/>
              </w:rPr>
            </w:pPr>
            <w:r>
              <w:rPr>
                <w:rFonts w:hint="eastAsia"/>
                <w:color w:val="auto"/>
                <w:highlight w:val="none"/>
                <w:u w:val="none"/>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4A1ECAE7">
            <w:pPr>
              <w:pStyle w:val="92"/>
              <w:jc w:val="left"/>
              <w:rPr>
                <w:color w:val="auto"/>
                <w:highlight w:val="none"/>
                <w:u w:val="none"/>
              </w:rPr>
            </w:pPr>
            <w:r>
              <w:rPr>
                <w:rFonts w:hint="eastAsia"/>
                <w:color w:val="auto"/>
                <w:highlight w:val="none"/>
                <w:u w:val="none"/>
              </w:rPr>
              <w:t>（3）经依法批准的考古调查发掘、古生物化石调查发掘、标本采集和文物保护活动。</w:t>
            </w:r>
          </w:p>
          <w:p w14:paraId="1A5AD052">
            <w:pPr>
              <w:pStyle w:val="92"/>
              <w:jc w:val="left"/>
              <w:rPr>
                <w:color w:val="auto"/>
                <w:highlight w:val="none"/>
                <w:u w:val="none"/>
              </w:rPr>
            </w:pPr>
            <w:r>
              <w:rPr>
                <w:rFonts w:hint="eastAsia"/>
                <w:color w:val="auto"/>
                <w:highlight w:val="none"/>
                <w:u w:val="none"/>
              </w:rPr>
              <w:t>（4）按规定对人工商品林进行抚育采伐，或以提升森林质量、优化栖息地、建设生物防火隔离带等为目的的树种更新，依法开展的竹林采伐经营。</w:t>
            </w:r>
          </w:p>
          <w:p w14:paraId="28F68972">
            <w:pPr>
              <w:pStyle w:val="92"/>
              <w:jc w:val="left"/>
              <w:rPr>
                <w:color w:val="auto"/>
                <w:highlight w:val="none"/>
                <w:u w:val="none"/>
              </w:rPr>
            </w:pPr>
            <w:r>
              <w:rPr>
                <w:rFonts w:hint="eastAsia"/>
                <w:color w:val="auto"/>
                <w:highlight w:val="none"/>
                <w:u w:val="none"/>
              </w:rPr>
              <w:t>（5）不破坏生态功能的适度参观旅游、科普宣教及符合相关规划的配套性服务设施和相关的必要公共设施建设及维护。</w:t>
            </w:r>
          </w:p>
          <w:p w14:paraId="1503A1F9">
            <w:pPr>
              <w:pStyle w:val="92"/>
              <w:jc w:val="left"/>
              <w:rPr>
                <w:color w:val="auto"/>
                <w:highlight w:val="none"/>
                <w:u w:val="none"/>
              </w:rPr>
            </w:pPr>
            <w:r>
              <w:rPr>
                <w:rFonts w:hint="eastAsia"/>
                <w:color w:val="auto"/>
                <w:highlight w:val="none"/>
                <w:u w:val="none"/>
              </w:rPr>
              <w:t>（6）必须且无法避让、符合县级以上国土空间规划的线性基础设施、通讯和防洪、供水设施建设和船舶航行、航道疏浚清淤等活动；已有的合法水利、交通运输等设施运行维护改造。</w:t>
            </w:r>
          </w:p>
          <w:p w14:paraId="476992D7">
            <w:pPr>
              <w:pStyle w:val="92"/>
              <w:jc w:val="left"/>
              <w:rPr>
                <w:color w:val="auto"/>
                <w:highlight w:val="none"/>
                <w:u w:val="none"/>
              </w:rPr>
            </w:pPr>
            <w:r>
              <w:rPr>
                <w:rFonts w:hint="eastAsia"/>
                <w:color w:val="auto"/>
                <w:highlight w:val="none"/>
                <w:u w:val="none"/>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38332397">
            <w:pPr>
              <w:pStyle w:val="92"/>
              <w:jc w:val="left"/>
              <w:rPr>
                <w:color w:val="auto"/>
                <w:highlight w:val="none"/>
                <w:u w:val="none"/>
              </w:rPr>
            </w:pPr>
            <w:r>
              <w:rPr>
                <w:rFonts w:hint="eastAsia"/>
                <w:color w:val="auto"/>
                <w:highlight w:val="none"/>
                <w:u w:val="none"/>
              </w:rPr>
              <w:t>（8）依据县级以上国土空间规划和生态保护修复专项规划开展的生态修复。</w:t>
            </w:r>
          </w:p>
          <w:p w14:paraId="1CE91766">
            <w:pPr>
              <w:pStyle w:val="92"/>
              <w:jc w:val="left"/>
              <w:rPr>
                <w:color w:val="auto"/>
                <w:highlight w:val="none"/>
                <w:u w:val="none"/>
              </w:rPr>
            </w:pPr>
            <w:r>
              <w:rPr>
                <w:rFonts w:hint="eastAsia"/>
                <w:color w:val="auto"/>
                <w:highlight w:val="none"/>
                <w:u w:val="none"/>
              </w:rPr>
              <w:t>（9）法律法规规定允许的其他人为活动。</w:t>
            </w:r>
          </w:p>
          <w:p w14:paraId="353358BB">
            <w:pPr>
              <w:pStyle w:val="92"/>
              <w:jc w:val="left"/>
              <w:rPr>
                <w:color w:val="auto"/>
                <w:highlight w:val="none"/>
                <w:u w:val="none"/>
              </w:rPr>
            </w:pPr>
            <w:r>
              <w:rPr>
                <w:rFonts w:hint="eastAsia"/>
                <w:color w:val="auto"/>
                <w:highlight w:val="none"/>
                <w:u w:val="none"/>
              </w:rPr>
              <w:t>2.依据《福建省自然资源厅 福建省生态环境厅 福建省林业局关于进一步加强生态保护红线监管的通知（试行）》（闽自然资发〔2023〕56 号），允许占用生态保护红线的重大项目范围：</w:t>
            </w:r>
          </w:p>
          <w:p w14:paraId="0DDFCC03">
            <w:pPr>
              <w:pStyle w:val="92"/>
              <w:jc w:val="left"/>
              <w:rPr>
                <w:color w:val="auto"/>
                <w:highlight w:val="none"/>
                <w:u w:val="none"/>
              </w:rPr>
            </w:pPr>
            <w:r>
              <w:rPr>
                <w:rFonts w:hint="eastAsia"/>
                <w:color w:val="auto"/>
                <w:highlight w:val="none"/>
                <w:u w:val="none"/>
              </w:rPr>
              <w:t>（1）党中央、国务院发布文件或批准规划中明确具体名称的项目和国务院批准的项目。</w:t>
            </w:r>
          </w:p>
          <w:p w14:paraId="5DA24CE7">
            <w:pPr>
              <w:pStyle w:val="92"/>
              <w:jc w:val="left"/>
              <w:rPr>
                <w:color w:val="auto"/>
                <w:highlight w:val="none"/>
                <w:u w:val="none"/>
              </w:rPr>
            </w:pPr>
            <w:r>
              <w:rPr>
                <w:rFonts w:hint="eastAsia"/>
                <w:color w:val="auto"/>
                <w:highlight w:val="none"/>
                <w:u w:val="none"/>
              </w:rPr>
              <w:t>（2）中央军委及其有关部门批准的军事国防项目。</w:t>
            </w:r>
          </w:p>
          <w:p w14:paraId="366D3480">
            <w:pPr>
              <w:pStyle w:val="92"/>
              <w:jc w:val="left"/>
              <w:rPr>
                <w:color w:val="auto"/>
                <w:highlight w:val="none"/>
                <w:u w:val="none"/>
              </w:rPr>
            </w:pPr>
            <w:r>
              <w:rPr>
                <w:rFonts w:hint="eastAsia"/>
                <w:color w:val="auto"/>
                <w:highlight w:val="none"/>
                <w:u w:val="none"/>
              </w:rPr>
              <w:t>（3）国家级规划（指国务院及其有关部门正式颁布）明确的交通、水利项目。</w:t>
            </w:r>
          </w:p>
          <w:p w14:paraId="1683F2A3">
            <w:pPr>
              <w:pStyle w:val="92"/>
              <w:jc w:val="left"/>
              <w:rPr>
                <w:color w:val="auto"/>
                <w:highlight w:val="none"/>
                <w:u w:val="none"/>
              </w:rPr>
            </w:pPr>
            <w:r>
              <w:rPr>
                <w:rFonts w:hint="eastAsia"/>
                <w:color w:val="auto"/>
                <w:highlight w:val="none"/>
                <w:u w:val="none"/>
              </w:rPr>
              <w:t>（4）国家级规划明确的电网项目，国家级规划明确的且符合国家产业政策的能源矿产勘查开采、油气管线、水电、核电项目。</w:t>
            </w:r>
          </w:p>
          <w:p w14:paraId="5F000C6A">
            <w:pPr>
              <w:pStyle w:val="92"/>
              <w:jc w:val="left"/>
              <w:rPr>
                <w:color w:val="auto"/>
                <w:highlight w:val="none"/>
                <w:u w:val="none"/>
              </w:rPr>
            </w:pPr>
            <w:r>
              <w:rPr>
                <w:rFonts w:hint="eastAsia"/>
                <w:color w:val="auto"/>
                <w:highlight w:val="none"/>
                <w:u w:val="none"/>
              </w:rPr>
              <w:t>（5）为贯彻落实党中央、国务院重大决策部署，国务院投资主管部门或国务院投资主管部门会同有关部门确认的交通、能源、水利等基础设施项目。</w:t>
            </w:r>
          </w:p>
          <w:p w14:paraId="1FE91700">
            <w:pPr>
              <w:pStyle w:val="92"/>
              <w:jc w:val="left"/>
              <w:rPr>
                <w:color w:val="auto"/>
                <w:highlight w:val="none"/>
                <w:u w:val="none"/>
              </w:rPr>
            </w:pPr>
            <w:r>
              <w:rPr>
                <w:rFonts w:hint="eastAsia"/>
                <w:color w:val="auto"/>
                <w:highlight w:val="none"/>
                <w:u w:val="none"/>
              </w:rPr>
              <w:t>（6）按照国家重大项目用地保障工作机制要求，国家发展改革委会同有关部门确认的需中央加大建设用地保障力度，确实难以避让的国家重大项目。</w:t>
            </w:r>
          </w:p>
        </w:tc>
        <w:tc>
          <w:tcPr>
            <w:tcW w:w="1049" w:type="pct"/>
            <w:shd w:val="clear" w:color="auto" w:fill="auto"/>
            <w:vAlign w:val="center"/>
          </w:tcPr>
          <w:p w14:paraId="4C242255">
            <w:pPr>
              <w:pStyle w:val="92"/>
              <w:rPr>
                <w:color w:val="auto"/>
                <w:highlight w:val="none"/>
                <w:u w:val="none"/>
              </w:rPr>
            </w:pPr>
            <w:r>
              <w:rPr>
                <w:rFonts w:hint="eastAsia"/>
                <w:color w:val="auto"/>
                <w:highlight w:val="none"/>
                <w:u w:val="none"/>
              </w:rPr>
              <w:t>本项目不涉及生态保护红线</w:t>
            </w:r>
          </w:p>
        </w:tc>
        <w:tc>
          <w:tcPr>
            <w:tcW w:w="300" w:type="pct"/>
            <w:shd w:val="clear" w:color="auto" w:fill="auto"/>
            <w:vAlign w:val="center"/>
          </w:tcPr>
          <w:p w14:paraId="2145EDB9">
            <w:pPr>
              <w:pStyle w:val="92"/>
              <w:rPr>
                <w:color w:val="auto"/>
                <w:highlight w:val="none"/>
                <w:u w:val="none"/>
              </w:rPr>
            </w:pPr>
            <w:r>
              <w:rPr>
                <w:rFonts w:hint="eastAsia"/>
                <w:color w:val="auto"/>
                <w:highlight w:val="none"/>
                <w:u w:val="none"/>
              </w:rPr>
              <w:t>符合</w:t>
            </w:r>
          </w:p>
        </w:tc>
      </w:tr>
      <w:tr w14:paraId="3B0BC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0EBDD9B8">
            <w:pPr>
              <w:pStyle w:val="92"/>
              <w:rPr>
                <w:color w:val="auto"/>
                <w:highlight w:val="none"/>
                <w:u w:val="none"/>
              </w:rPr>
            </w:pPr>
          </w:p>
        </w:tc>
        <w:tc>
          <w:tcPr>
            <w:tcW w:w="245" w:type="pct"/>
            <w:vMerge w:val="continue"/>
            <w:shd w:val="clear" w:color="auto" w:fill="auto"/>
            <w:vAlign w:val="center"/>
          </w:tcPr>
          <w:p w14:paraId="24562716">
            <w:pPr>
              <w:pStyle w:val="92"/>
              <w:rPr>
                <w:color w:val="auto"/>
                <w:highlight w:val="none"/>
                <w:u w:val="none"/>
              </w:rPr>
            </w:pPr>
          </w:p>
        </w:tc>
        <w:tc>
          <w:tcPr>
            <w:tcW w:w="2956" w:type="pct"/>
            <w:gridSpan w:val="2"/>
            <w:shd w:val="clear" w:color="auto" w:fill="auto"/>
            <w:vAlign w:val="center"/>
          </w:tcPr>
          <w:p w14:paraId="18263629">
            <w:pPr>
              <w:pStyle w:val="92"/>
              <w:jc w:val="left"/>
              <w:rPr>
                <w:b/>
                <w:bCs/>
                <w:color w:val="auto"/>
                <w:highlight w:val="none"/>
                <w:u w:val="none"/>
              </w:rPr>
            </w:pPr>
            <w:r>
              <w:rPr>
                <w:rFonts w:hint="eastAsia"/>
                <w:b/>
                <w:bCs/>
                <w:color w:val="auto"/>
                <w:highlight w:val="none"/>
                <w:u w:val="none"/>
              </w:rPr>
              <w:t>二、优先保护单元中的一般生态空间</w:t>
            </w:r>
          </w:p>
          <w:p w14:paraId="0CF87B18">
            <w:pPr>
              <w:pStyle w:val="92"/>
              <w:jc w:val="left"/>
              <w:rPr>
                <w:color w:val="auto"/>
                <w:highlight w:val="none"/>
                <w:u w:val="none"/>
              </w:rPr>
            </w:pPr>
            <w:r>
              <w:rPr>
                <w:rFonts w:hint="eastAsia"/>
                <w:color w:val="auto"/>
                <w:highlight w:val="none"/>
                <w:u w:val="none"/>
              </w:rPr>
              <w:t>1.一般生态空间以保护和修复生态环境、提供生态产品和服务为首要任务，因地制宜地发展不影响主体功能定位的适宜产业。</w:t>
            </w:r>
          </w:p>
          <w:p w14:paraId="3397040A">
            <w:pPr>
              <w:pStyle w:val="92"/>
              <w:jc w:val="left"/>
              <w:rPr>
                <w:color w:val="auto"/>
                <w:highlight w:val="none"/>
                <w:u w:val="none"/>
              </w:rPr>
            </w:pPr>
            <w:r>
              <w:rPr>
                <w:rFonts w:hint="eastAsia"/>
                <w:color w:val="auto"/>
                <w:highlight w:val="none"/>
                <w:u w:val="none"/>
              </w:rPr>
              <w:t>2.一般生态空间内未纳入生态保护红线的饮用水水源保护区等各类法定保护地，其管控要求依照相关法律法规执行。</w:t>
            </w:r>
          </w:p>
          <w:p w14:paraId="4382AF93">
            <w:pPr>
              <w:pStyle w:val="92"/>
              <w:jc w:val="left"/>
              <w:rPr>
                <w:color w:val="auto"/>
                <w:highlight w:val="none"/>
                <w:u w:val="none"/>
              </w:rPr>
            </w:pPr>
            <w:r>
              <w:rPr>
                <w:rFonts w:hint="eastAsia"/>
                <w:color w:val="auto"/>
                <w:highlight w:val="none"/>
                <w:u w:val="none"/>
              </w:rPr>
              <w:t>3.一般生态空间内现有合法的水泥厂、矿山开发等生产性设施及生活垃圾处置等民生工程予以保留，应按照法律法规要求落实污染防治和生态保护措施，避免对生态功能造成破坏。</w:t>
            </w:r>
          </w:p>
        </w:tc>
        <w:tc>
          <w:tcPr>
            <w:tcW w:w="1049" w:type="pct"/>
            <w:shd w:val="clear" w:color="auto" w:fill="auto"/>
            <w:vAlign w:val="center"/>
          </w:tcPr>
          <w:p w14:paraId="0796803C">
            <w:pPr>
              <w:pStyle w:val="92"/>
              <w:rPr>
                <w:color w:val="auto"/>
                <w:highlight w:val="none"/>
                <w:u w:val="none"/>
              </w:rPr>
            </w:pPr>
            <w:r>
              <w:rPr>
                <w:rFonts w:hint="eastAsia"/>
                <w:color w:val="auto"/>
                <w:highlight w:val="none"/>
                <w:u w:val="none"/>
              </w:rPr>
              <w:t>本项目不涉及一般生态空间</w:t>
            </w:r>
          </w:p>
        </w:tc>
        <w:tc>
          <w:tcPr>
            <w:tcW w:w="300" w:type="pct"/>
            <w:shd w:val="clear" w:color="auto" w:fill="auto"/>
            <w:vAlign w:val="center"/>
          </w:tcPr>
          <w:p w14:paraId="33C22B81">
            <w:pPr>
              <w:pStyle w:val="92"/>
              <w:rPr>
                <w:color w:val="auto"/>
                <w:highlight w:val="none"/>
                <w:u w:val="none"/>
              </w:rPr>
            </w:pPr>
            <w:r>
              <w:rPr>
                <w:rFonts w:hint="eastAsia"/>
                <w:color w:val="auto"/>
                <w:highlight w:val="none"/>
                <w:u w:val="none"/>
              </w:rPr>
              <w:t>符合</w:t>
            </w:r>
          </w:p>
        </w:tc>
      </w:tr>
      <w:tr w14:paraId="22BC5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4DBA1141">
            <w:pPr>
              <w:pStyle w:val="92"/>
              <w:rPr>
                <w:color w:val="auto"/>
                <w:highlight w:val="none"/>
                <w:u w:val="none"/>
              </w:rPr>
            </w:pPr>
          </w:p>
        </w:tc>
        <w:tc>
          <w:tcPr>
            <w:tcW w:w="245" w:type="pct"/>
            <w:vMerge w:val="continue"/>
            <w:shd w:val="clear" w:color="auto" w:fill="auto"/>
            <w:vAlign w:val="center"/>
          </w:tcPr>
          <w:p w14:paraId="7634C25A">
            <w:pPr>
              <w:pStyle w:val="92"/>
              <w:rPr>
                <w:color w:val="auto"/>
                <w:highlight w:val="none"/>
                <w:u w:val="none"/>
              </w:rPr>
            </w:pPr>
          </w:p>
        </w:tc>
        <w:tc>
          <w:tcPr>
            <w:tcW w:w="405" w:type="pct"/>
            <w:vMerge w:val="restart"/>
            <w:shd w:val="clear" w:color="auto" w:fill="auto"/>
            <w:vAlign w:val="center"/>
          </w:tcPr>
          <w:p w14:paraId="6110EB6F">
            <w:pPr>
              <w:pStyle w:val="92"/>
              <w:jc w:val="left"/>
              <w:rPr>
                <w:b/>
                <w:bCs/>
                <w:color w:val="auto"/>
                <w:highlight w:val="none"/>
                <w:u w:val="none"/>
              </w:rPr>
            </w:pPr>
            <w:r>
              <w:rPr>
                <w:rFonts w:hint="eastAsia"/>
                <w:b/>
                <w:bCs/>
                <w:color w:val="auto"/>
                <w:highlight w:val="none"/>
                <w:u w:val="none"/>
              </w:rPr>
              <w:t>三、其他要求</w:t>
            </w:r>
          </w:p>
        </w:tc>
        <w:tc>
          <w:tcPr>
            <w:tcW w:w="2551" w:type="pct"/>
            <w:shd w:val="clear" w:color="auto" w:fill="auto"/>
            <w:vAlign w:val="center"/>
          </w:tcPr>
          <w:p w14:paraId="6124DB29">
            <w:pPr>
              <w:pStyle w:val="92"/>
              <w:jc w:val="left"/>
              <w:rPr>
                <w:b/>
                <w:bCs/>
                <w:color w:val="auto"/>
                <w:highlight w:val="none"/>
                <w:u w:val="none"/>
              </w:rPr>
            </w:pPr>
            <w:r>
              <w:rPr>
                <w:color w:val="auto"/>
                <w:highlight w:val="none"/>
                <w:u w:val="none"/>
              </w:rPr>
              <w:t>1.</w:t>
            </w:r>
            <w:r>
              <w:rPr>
                <w:rFonts w:hint="eastAsia"/>
                <w:color w:val="auto"/>
                <w:highlight w:val="none"/>
                <w:u w:val="none"/>
              </w:rPr>
              <w:t>福州市石化中上游项目重点在福州江阴港城经济区、可门港经济区化工新材料产业园布局。</w:t>
            </w:r>
          </w:p>
        </w:tc>
        <w:tc>
          <w:tcPr>
            <w:tcW w:w="1049" w:type="pct"/>
            <w:shd w:val="clear" w:color="auto" w:fill="auto"/>
            <w:vAlign w:val="center"/>
          </w:tcPr>
          <w:p w14:paraId="5DF8ABEE">
            <w:pPr>
              <w:pStyle w:val="92"/>
              <w:rPr>
                <w:color w:val="auto"/>
                <w:highlight w:val="none"/>
                <w:u w:val="none"/>
              </w:rPr>
            </w:pPr>
            <w:r>
              <w:rPr>
                <w:color w:val="auto"/>
                <w:highlight w:val="none"/>
                <w:u w:val="none"/>
              </w:rPr>
              <w:t>本项目位于江阴港城经济区的西部临港产业区，根据《福州江阴港城总体规划（2018-2035年）》，西部临港产业区主要承载临港化工产业，发展化工新材料。</w:t>
            </w:r>
          </w:p>
        </w:tc>
        <w:tc>
          <w:tcPr>
            <w:tcW w:w="300" w:type="pct"/>
            <w:shd w:val="clear" w:color="auto" w:fill="auto"/>
            <w:vAlign w:val="center"/>
          </w:tcPr>
          <w:p w14:paraId="27E8A2DA">
            <w:pPr>
              <w:pStyle w:val="92"/>
              <w:rPr>
                <w:color w:val="auto"/>
                <w:highlight w:val="none"/>
                <w:u w:val="none"/>
              </w:rPr>
            </w:pPr>
            <w:r>
              <w:rPr>
                <w:color w:val="auto"/>
                <w:highlight w:val="none"/>
                <w:u w:val="none"/>
              </w:rPr>
              <w:t>符合</w:t>
            </w:r>
          </w:p>
        </w:tc>
      </w:tr>
      <w:tr w14:paraId="494CD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2DD921FD">
            <w:pPr>
              <w:pStyle w:val="92"/>
              <w:rPr>
                <w:color w:val="auto"/>
                <w:highlight w:val="none"/>
                <w:u w:val="none"/>
              </w:rPr>
            </w:pPr>
          </w:p>
        </w:tc>
        <w:tc>
          <w:tcPr>
            <w:tcW w:w="245" w:type="pct"/>
            <w:vMerge w:val="continue"/>
            <w:shd w:val="clear" w:color="auto" w:fill="auto"/>
            <w:vAlign w:val="center"/>
          </w:tcPr>
          <w:p w14:paraId="7DF9B2E2">
            <w:pPr>
              <w:pStyle w:val="92"/>
              <w:rPr>
                <w:color w:val="auto"/>
                <w:highlight w:val="none"/>
                <w:u w:val="none"/>
              </w:rPr>
            </w:pPr>
          </w:p>
        </w:tc>
        <w:tc>
          <w:tcPr>
            <w:tcW w:w="405" w:type="pct"/>
            <w:vMerge w:val="continue"/>
            <w:shd w:val="clear" w:color="auto" w:fill="auto"/>
            <w:vAlign w:val="center"/>
          </w:tcPr>
          <w:p w14:paraId="6F508F58">
            <w:pPr>
              <w:pStyle w:val="92"/>
              <w:jc w:val="left"/>
              <w:rPr>
                <w:b/>
                <w:bCs/>
                <w:color w:val="auto"/>
                <w:highlight w:val="none"/>
                <w:u w:val="none"/>
              </w:rPr>
            </w:pPr>
          </w:p>
        </w:tc>
        <w:tc>
          <w:tcPr>
            <w:tcW w:w="2551" w:type="pct"/>
            <w:shd w:val="clear" w:color="auto" w:fill="auto"/>
            <w:vAlign w:val="center"/>
          </w:tcPr>
          <w:p w14:paraId="00981DEE">
            <w:pPr>
              <w:pStyle w:val="92"/>
              <w:jc w:val="left"/>
              <w:rPr>
                <w:b/>
                <w:bCs/>
                <w:color w:val="auto"/>
                <w:highlight w:val="none"/>
                <w:u w:val="none"/>
              </w:rPr>
            </w:pPr>
            <w:r>
              <w:rPr>
                <w:rFonts w:hint="eastAsia"/>
                <w:color w:val="auto"/>
                <w:highlight w:val="none"/>
                <w:u w:val="none"/>
              </w:rPr>
              <w:t>2</w:t>
            </w:r>
            <w:r>
              <w:rPr>
                <w:color w:val="auto"/>
                <w:highlight w:val="none"/>
                <w:u w:val="none"/>
              </w:rPr>
              <w:t>.</w:t>
            </w:r>
            <w:r>
              <w:rPr>
                <w:rFonts w:hint="eastAsia"/>
                <w:color w:val="auto"/>
                <w:highlight w:val="none"/>
                <w:u w:val="none"/>
              </w:rPr>
              <w:t>禁止在闽江马尾罗星塔以上流域范围新、扩建制革项目，严控新（扩）建植物制浆、印染、合成革及人造革、电镀项目。</w:t>
            </w:r>
          </w:p>
        </w:tc>
        <w:tc>
          <w:tcPr>
            <w:tcW w:w="1049" w:type="pct"/>
            <w:shd w:val="clear" w:color="auto" w:fill="auto"/>
            <w:vAlign w:val="center"/>
          </w:tcPr>
          <w:p w14:paraId="66C0E9C8">
            <w:pPr>
              <w:pStyle w:val="92"/>
              <w:rPr>
                <w:color w:val="auto"/>
                <w:highlight w:val="none"/>
                <w:u w:val="none"/>
              </w:rPr>
            </w:pPr>
            <w:r>
              <w:rPr>
                <w:color w:val="auto"/>
                <w:highlight w:val="none"/>
                <w:u w:val="none"/>
              </w:rPr>
              <w:t>本项目不在该要求规定的区域范围</w:t>
            </w:r>
          </w:p>
        </w:tc>
        <w:tc>
          <w:tcPr>
            <w:tcW w:w="300" w:type="pct"/>
            <w:shd w:val="clear" w:color="auto" w:fill="auto"/>
            <w:vAlign w:val="center"/>
          </w:tcPr>
          <w:p w14:paraId="11D591F3">
            <w:pPr>
              <w:pStyle w:val="92"/>
              <w:rPr>
                <w:color w:val="auto"/>
                <w:highlight w:val="none"/>
                <w:u w:val="none"/>
              </w:rPr>
            </w:pPr>
            <w:r>
              <w:rPr>
                <w:color w:val="auto"/>
                <w:highlight w:val="none"/>
                <w:u w:val="none"/>
              </w:rPr>
              <w:t>符合</w:t>
            </w:r>
          </w:p>
        </w:tc>
      </w:tr>
      <w:tr w14:paraId="22BC4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2338F235">
            <w:pPr>
              <w:pStyle w:val="92"/>
              <w:rPr>
                <w:color w:val="auto"/>
                <w:highlight w:val="none"/>
                <w:u w:val="none"/>
              </w:rPr>
            </w:pPr>
          </w:p>
        </w:tc>
        <w:tc>
          <w:tcPr>
            <w:tcW w:w="245" w:type="pct"/>
            <w:vMerge w:val="continue"/>
            <w:shd w:val="clear" w:color="auto" w:fill="auto"/>
            <w:vAlign w:val="center"/>
          </w:tcPr>
          <w:p w14:paraId="5AB0A9ED">
            <w:pPr>
              <w:pStyle w:val="92"/>
              <w:rPr>
                <w:color w:val="auto"/>
                <w:highlight w:val="none"/>
                <w:u w:val="none"/>
              </w:rPr>
            </w:pPr>
          </w:p>
        </w:tc>
        <w:tc>
          <w:tcPr>
            <w:tcW w:w="405" w:type="pct"/>
            <w:vMerge w:val="continue"/>
            <w:shd w:val="clear" w:color="auto" w:fill="auto"/>
            <w:vAlign w:val="center"/>
          </w:tcPr>
          <w:p w14:paraId="4673DEA9">
            <w:pPr>
              <w:pStyle w:val="92"/>
              <w:jc w:val="left"/>
              <w:rPr>
                <w:b/>
                <w:bCs/>
                <w:color w:val="auto"/>
                <w:highlight w:val="none"/>
                <w:u w:val="none"/>
              </w:rPr>
            </w:pPr>
          </w:p>
        </w:tc>
        <w:tc>
          <w:tcPr>
            <w:tcW w:w="2551" w:type="pct"/>
            <w:shd w:val="clear" w:color="auto" w:fill="auto"/>
            <w:vAlign w:val="center"/>
          </w:tcPr>
          <w:p w14:paraId="6631D302">
            <w:pPr>
              <w:pStyle w:val="92"/>
              <w:jc w:val="left"/>
              <w:rPr>
                <w:color w:val="auto"/>
                <w:highlight w:val="none"/>
                <w:u w:val="none"/>
              </w:rPr>
            </w:pPr>
            <w:r>
              <w:rPr>
                <w:rFonts w:hint="eastAsia"/>
                <w:color w:val="auto"/>
                <w:highlight w:val="none"/>
                <w:u w:val="none"/>
              </w:rPr>
              <w:t>3.禁止在通风廊道和主导风向的上风向布局大气重污染企业，推进建成区大气重污染企业搬迁或升级改造、环境风险企业搬迁或关闭退出。</w:t>
            </w:r>
          </w:p>
        </w:tc>
        <w:tc>
          <w:tcPr>
            <w:tcW w:w="1049" w:type="pct"/>
            <w:shd w:val="clear" w:color="auto" w:fill="auto"/>
            <w:vAlign w:val="center"/>
          </w:tcPr>
          <w:p w14:paraId="2078D6DC">
            <w:pPr>
              <w:pStyle w:val="92"/>
              <w:rPr>
                <w:color w:val="auto"/>
                <w:highlight w:val="none"/>
                <w:u w:val="none"/>
              </w:rPr>
            </w:pPr>
            <w:r>
              <w:rPr>
                <w:color w:val="auto"/>
                <w:highlight w:val="none"/>
                <w:u w:val="none"/>
              </w:rPr>
              <w:t>本项目位于江阴港城经济区，不在城市通风廊道和主导风向的上风向。</w:t>
            </w:r>
          </w:p>
        </w:tc>
        <w:tc>
          <w:tcPr>
            <w:tcW w:w="300" w:type="pct"/>
            <w:shd w:val="clear" w:color="auto" w:fill="auto"/>
            <w:vAlign w:val="center"/>
          </w:tcPr>
          <w:p w14:paraId="56D7754F">
            <w:pPr>
              <w:pStyle w:val="92"/>
              <w:rPr>
                <w:color w:val="auto"/>
                <w:highlight w:val="none"/>
                <w:u w:val="none"/>
              </w:rPr>
            </w:pPr>
            <w:r>
              <w:rPr>
                <w:color w:val="auto"/>
                <w:highlight w:val="none"/>
                <w:u w:val="none"/>
              </w:rPr>
              <w:t>符合</w:t>
            </w:r>
          </w:p>
        </w:tc>
      </w:tr>
      <w:tr w14:paraId="6C9AD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2C9C6094">
            <w:pPr>
              <w:pStyle w:val="92"/>
              <w:rPr>
                <w:color w:val="auto"/>
                <w:highlight w:val="none"/>
                <w:u w:val="none"/>
              </w:rPr>
            </w:pPr>
          </w:p>
        </w:tc>
        <w:tc>
          <w:tcPr>
            <w:tcW w:w="245" w:type="pct"/>
            <w:vMerge w:val="continue"/>
            <w:shd w:val="clear" w:color="auto" w:fill="auto"/>
            <w:vAlign w:val="center"/>
          </w:tcPr>
          <w:p w14:paraId="0631CAD6">
            <w:pPr>
              <w:pStyle w:val="92"/>
              <w:rPr>
                <w:color w:val="auto"/>
                <w:highlight w:val="none"/>
                <w:u w:val="none"/>
              </w:rPr>
            </w:pPr>
          </w:p>
        </w:tc>
        <w:tc>
          <w:tcPr>
            <w:tcW w:w="405" w:type="pct"/>
            <w:vMerge w:val="continue"/>
            <w:shd w:val="clear" w:color="auto" w:fill="auto"/>
            <w:vAlign w:val="center"/>
          </w:tcPr>
          <w:p w14:paraId="3F3F28A4">
            <w:pPr>
              <w:pStyle w:val="92"/>
              <w:jc w:val="left"/>
              <w:rPr>
                <w:b/>
                <w:bCs/>
                <w:color w:val="auto"/>
                <w:highlight w:val="none"/>
                <w:u w:val="none"/>
              </w:rPr>
            </w:pPr>
          </w:p>
        </w:tc>
        <w:tc>
          <w:tcPr>
            <w:tcW w:w="2551" w:type="pct"/>
            <w:shd w:val="clear" w:color="auto" w:fill="auto"/>
            <w:vAlign w:val="center"/>
          </w:tcPr>
          <w:p w14:paraId="7506FE8E">
            <w:pPr>
              <w:pStyle w:val="92"/>
              <w:jc w:val="left"/>
              <w:rPr>
                <w:color w:val="auto"/>
                <w:highlight w:val="none"/>
                <w:u w:val="none"/>
              </w:rPr>
            </w:pPr>
            <w:r>
              <w:rPr>
                <w:rFonts w:hint="eastAsia"/>
                <w:color w:val="auto"/>
                <w:highlight w:val="none"/>
                <w:u w:val="none"/>
              </w:rPr>
              <w:t>4.禁止新、改、扩建生产高VOCs含量有机溶剂型涂料、油墨和胶黏剂的项目。</w:t>
            </w:r>
          </w:p>
        </w:tc>
        <w:tc>
          <w:tcPr>
            <w:tcW w:w="1049" w:type="pct"/>
            <w:shd w:val="clear" w:color="auto" w:fill="auto"/>
            <w:vAlign w:val="center"/>
          </w:tcPr>
          <w:p w14:paraId="28608BC4">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1ADEB38D">
            <w:pPr>
              <w:pStyle w:val="92"/>
              <w:rPr>
                <w:color w:val="auto"/>
                <w:highlight w:val="none"/>
                <w:u w:val="none"/>
              </w:rPr>
            </w:pPr>
            <w:r>
              <w:rPr>
                <w:color w:val="auto"/>
                <w:highlight w:val="none"/>
                <w:u w:val="none"/>
              </w:rPr>
              <w:t>符合</w:t>
            </w:r>
          </w:p>
        </w:tc>
      </w:tr>
      <w:tr w14:paraId="22D93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0B475B13">
            <w:pPr>
              <w:pStyle w:val="92"/>
              <w:rPr>
                <w:color w:val="auto"/>
                <w:highlight w:val="none"/>
                <w:u w:val="none"/>
              </w:rPr>
            </w:pPr>
          </w:p>
        </w:tc>
        <w:tc>
          <w:tcPr>
            <w:tcW w:w="245" w:type="pct"/>
            <w:vMerge w:val="continue"/>
            <w:shd w:val="clear" w:color="auto" w:fill="auto"/>
            <w:vAlign w:val="center"/>
          </w:tcPr>
          <w:p w14:paraId="4B7D9FB9">
            <w:pPr>
              <w:pStyle w:val="92"/>
              <w:rPr>
                <w:color w:val="auto"/>
                <w:highlight w:val="none"/>
                <w:u w:val="none"/>
              </w:rPr>
            </w:pPr>
          </w:p>
        </w:tc>
        <w:tc>
          <w:tcPr>
            <w:tcW w:w="405" w:type="pct"/>
            <w:vMerge w:val="continue"/>
            <w:shd w:val="clear" w:color="auto" w:fill="auto"/>
            <w:vAlign w:val="center"/>
          </w:tcPr>
          <w:p w14:paraId="2D656269">
            <w:pPr>
              <w:pStyle w:val="92"/>
              <w:jc w:val="left"/>
              <w:rPr>
                <w:b/>
                <w:bCs/>
                <w:color w:val="auto"/>
                <w:highlight w:val="none"/>
                <w:u w:val="none"/>
              </w:rPr>
            </w:pPr>
          </w:p>
        </w:tc>
        <w:tc>
          <w:tcPr>
            <w:tcW w:w="2551" w:type="pct"/>
            <w:shd w:val="clear" w:color="auto" w:fill="auto"/>
            <w:vAlign w:val="center"/>
          </w:tcPr>
          <w:p w14:paraId="257D26B2">
            <w:pPr>
              <w:pStyle w:val="92"/>
              <w:jc w:val="left"/>
              <w:rPr>
                <w:color w:val="auto"/>
                <w:highlight w:val="none"/>
                <w:u w:val="none"/>
              </w:rPr>
            </w:pPr>
            <w:r>
              <w:rPr>
                <w:rFonts w:hint="eastAsia"/>
                <w:color w:val="auto"/>
                <w:highlight w:val="none"/>
                <w:u w:val="none"/>
              </w:rPr>
              <w:t>5.持续加强闽清等地建陶产业的环境综合治理，充分衔接国土空间规划和生态环境分区管控，并对照产业政策、城市总体发展规划等要求，进一步明确发展定位，优化产业布局和规模。</w:t>
            </w:r>
          </w:p>
        </w:tc>
        <w:tc>
          <w:tcPr>
            <w:tcW w:w="1049" w:type="pct"/>
            <w:shd w:val="clear" w:color="auto" w:fill="auto"/>
            <w:vAlign w:val="center"/>
          </w:tcPr>
          <w:p w14:paraId="4D423841">
            <w:pPr>
              <w:pStyle w:val="92"/>
              <w:rPr>
                <w:color w:val="auto"/>
                <w:highlight w:val="none"/>
                <w:u w:val="none"/>
              </w:rPr>
            </w:pPr>
            <w:r>
              <w:rPr>
                <w:color w:val="auto"/>
                <w:highlight w:val="none"/>
                <w:u w:val="none"/>
              </w:rPr>
              <w:t>本项目不在该要求规定的区域范围</w:t>
            </w:r>
          </w:p>
        </w:tc>
        <w:tc>
          <w:tcPr>
            <w:tcW w:w="300" w:type="pct"/>
            <w:shd w:val="clear" w:color="auto" w:fill="auto"/>
            <w:vAlign w:val="center"/>
          </w:tcPr>
          <w:p w14:paraId="0074FB4C">
            <w:pPr>
              <w:pStyle w:val="92"/>
              <w:rPr>
                <w:color w:val="auto"/>
                <w:highlight w:val="none"/>
                <w:u w:val="none"/>
              </w:rPr>
            </w:pPr>
            <w:r>
              <w:rPr>
                <w:color w:val="auto"/>
                <w:highlight w:val="none"/>
                <w:u w:val="none"/>
              </w:rPr>
              <w:t>符合</w:t>
            </w:r>
          </w:p>
        </w:tc>
      </w:tr>
      <w:tr w14:paraId="59DC4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016E8DAF">
            <w:pPr>
              <w:pStyle w:val="92"/>
              <w:rPr>
                <w:color w:val="auto"/>
                <w:highlight w:val="none"/>
                <w:u w:val="none"/>
              </w:rPr>
            </w:pPr>
          </w:p>
        </w:tc>
        <w:tc>
          <w:tcPr>
            <w:tcW w:w="245" w:type="pct"/>
            <w:vMerge w:val="continue"/>
            <w:shd w:val="clear" w:color="auto" w:fill="auto"/>
            <w:vAlign w:val="center"/>
          </w:tcPr>
          <w:p w14:paraId="093E1468">
            <w:pPr>
              <w:pStyle w:val="92"/>
              <w:rPr>
                <w:color w:val="auto"/>
                <w:highlight w:val="none"/>
                <w:u w:val="none"/>
              </w:rPr>
            </w:pPr>
          </w:p>
        </w:tc>
        <w:tc>
          <w:tcPr>
            <w:tcW w:w="405" w:type="pct"/>
            <w:vMerge w:val="continue"/>
            <w:shd w:val="clear" w:color="auto" w:fill="auto"/>
            <w:vAlign w:val="center"/>
          </w:tcPr>
          <w:p w14:paraId="2DA1A0DA">
            <w:pPr>
              <w:pStyle w:val="92"/>
              <w:jc w:val="left"/>
              <w:rPr>
                <w:b/>
                <w:bCs/>
                <w:color w:val="auto"/>
                <w:highlight w:val="none"/>
                <w:u w:val="none"/>
              </w:rPr>
            </w:pPr>
          </w:p>
        </w:tc>
        <w:tc>
          <w:tcPr>
            <w:tcW w:w="2551" w:type="pct"/>
            <w:shd w:val="clear" w:color="auto" w:fill="auto"/>
            <w:vAlign w:val="center"/>
          </w:tcPr>
          <w:p w14:paraId="2CA4A855">
            <w:pPr>
              <w:pStyle w:val="92"/>
              <w:jc w:val="left"/>
              <w:rPr>
                <w:color w:val="auto"/>
                <w:highlight w:val="none"/>
                <w:u w:val="none"/>
              </w:rPr>
            </w:pPr>
            <w:r>
              <w:rPr>
                <w:rFonts w:hint="eastAsia"/>
                <w:color w:val="auto"/>
                <w:highlight w:val="none"/>
                <w:u w:val="none"/>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tc>
        <w:tc>
          <w:tcPr>
            <w:tcW w:w="1049" w:type="pct"/>
            <w:shd w:val="clear" w:color="auto" w:fill="auto"/>
            <w:vAlign w:val="center"/>
          </w:tcPr>
          <w:p w14:paraId="43DA9640">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33C2F921">
            <w:pPr>
              <w:pStyle w:val="92"/>
              <w:rPr>
                <w:color w:val="auto"/>
                <w:highlight w:val="none"/>
                <w:u w:val="none"/>
              </w:rPr>
            </w:pPr>
            <w:r>
              <w:rPr>
                <w:color w:val="auto"/>
                <w:highlight w:val="none"/>
                <w:u w:val="none"/>
              </w:rPr>
              <w:t>符合</w:t>
            </w:r>
          </w:p>
        </w:tc>
      </w:tr>
      <w:tr w14:paraId="69B07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726AAE47">
            <w:pPr>
              <w:pStyle w:val="92"/>
              <w:rPr>
                <w:color w:val="auto"/>
                <w:highlight w:val="none"/>
                <w:u w:val="none"/>
              </w:rPr>
            </w:pPr>
          </w:p>
        </w:tc>
        <w:tc>
          <w:tcPr>
            <w:tcW w:w="245" w:type="pct"/>
            <w:vMerge w:val="continue"/>
            <w:shd w:val="clear" w:color="auto" w:fill="auto"/>
            <w:vAlign w:val="center"/>
          </w:tcPr>
          <w:p w14:paraId="01ACDA39">
            <w:pPr>
              <w:pStyle w:val="92"/>
              <w:rPr>
                <w:color w:val="auto"/>
                <w:highlight w:val="none"/>
                <w:u w:val="none"/>
              </w:rPr>
            </w:pPr>
          </w:p>
        </w:tc>
        <w:tc>
          <w:tcPr>
            <w:tcW w:w="405" w:type="pct"/>
            <w:vMerge w:val="continue"/>
            <w:shd w:val="clear" w:color="auto" w:fill="auto"/>
            <w:vAlign w:val="center"/>
          </w:tcPr>
          <w:p w14:paraId="5F3C7D12">
            <w:pPr>
              <w:pStyle w:val="92"/>
              <w:jc w:val="left"/>
              <w:rPr>
                <w:b/>
                <w:bCs/>
                <w:color w:val="auto"/>
                <w:highlight w:val="none"/>
                <w:u w:val="none"/>
              </w:rPr>
            </w:pPr>
          </w:p>
        </w:tc>
        <w:tc>
          <w:tcPr>
            <w:tcW w:w="2551" w:type="pct"/>
            <w:shd w:val="clear" w:color="auto" w:fill="auto"/>
            <w:vAlign w:val="center"/>
          </w:tcPr>
          <w:p w14:paraId="2E96F681">
            <w:pPr>
              <w:pStyle w:val="92"/>
              <w:jc w:val="left"/>
              <w:rPr>
                <w:color w:val="auto"/>
                <w:highlight w:val="none"/>
                <w:u w:val="none"/>
              </w:rPr>
            </w:pPr>
            <w:r>
              <w:rPr>
                <w:rFonts w:hint="eastAsia"/>
                <w:color w:val="auto"/>
                <w:highlight w:val="none"/>
                <w:u w:val="none"/>
              </w:rPr>
              <w:t>7.禁止在流域上游新建、扩建重污染企业和项目。</w:t>
            </w:r>
          </w:p>
        </w:tc>
        <w:tc>
          <w:tcPr>
            <w:tcW w:w="1049" w:type="pct"/>
            <w:shd w:val="clear" w:color="auto" w:fill="auto"/>
            <w:vAlign w:val="center"/>
          </w:tcPr>
          <w:p w14:paraId="707B90F8">
            <w:pPr>
              <w:pStyle w:val="92"/>
              <w:rPr>
                <w:color w:val="auto"/>
                <w:highlight w:val="none"/>
                <w:u w:val="none"/>
              </w:rPr>
            </w:pPr>
            <w:r>
              <w:rPr>
                <w:color w:val="auto"/>
                <w:highlight w:val="none"/>
                <w:u w:val="none"/>
              </w:rPr>
              <w:t>本项目位于江阴港城经济区，不在</w:t>
            </w:r>
            <w:r>
              <w:rPr>
                <w:rFonts w:hint="eastAsia"/>
                <w:color w:val="auto"/>
                <w:highlight w:val="none"/>
                <w:u w:val="none"/>
              </w:rPr>
              <w:t>流域上游</w:t>
            </w:r>
          </w:p>
        </w:tc>
        <w:tc>
          <w:tcPr>
            <w:tcW w:w="300" w:type="pct"/>
            <w:shd w:val="clear" w:color="auto" w:fill="auto"/>
            <w:vAlign w:val="center"/>
          </w:tcPr>
          <w:p w14:paraId="4F757FB1">
            <w:pPr>
              <w:pStyle w:val="92"/>
              <w:rPr>
                <w:color w:val="auto"/>
                <w:highlight w:val="none"/>
                <w:u w:val="none"/>
              </w:rPr>
            </w:pPr>
            <w:r>
              <w:rPr>
                <w:color w:val="auto"/>
                <w:highlight w:val="none"/>
                <w:u w:val="none"/>
              </w:rPr>
              <w:t>符合</w:t>
            </w:r>
          </w:p>
        </w:tc>
      </w:tr>
      <w:tr w14:paraId="63B93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32E0568C">
            <w:pPr>
              <w:pStyle w:val="92"/>
              <w:rPr>
                <w:color w:val="auto"/>
                <w:highlight w:val="none"/>
                <w:u w:val="none"/>
              </w:rPr>
            </w:pPr>
          </w:p>
        </w:tc>
        <w:tc>
          <w:tcPr>
            <w:tcW w:w="245" w:type="pct"/>
            <w:vMerge w:val="continue"/>
            <w:shd w:val="clear" w:color="auto" w:fill="auto"/>
            <w:vAlign w:val="center"/>
          </w:tcPr>
          <w:p w14:paraId="6364F793">
            <w:pPr>
              <w:pStyle w:val="92"/>
              <w:rPr>
                <w:color w:val="auto"/>
                <w:highlight w:val="none"/>
                <w:u w:val="none"/>
              </w:rPr>
            </w:pPr>
          </w:p>
        </w:tc>
        <w:tc>
          <w:tcPr>
            <w:tcW w:w="405" w:type="pct"/>
            <w:vMerge w:val="continue"/>
            <w:shd w:val="clear" w:color="auto" w:fill="auto"/>
            <w:vAlign w:val="center"/>
          </w:tcPr>
          <w:p w14:paraId="337A9D84">
            <w:pPr>
              <w:pStyle w:val="92"/>
              <w:jc w:val="left"/>
              <w:rPr>
                <w:b/>
                <w:bCs/>
                <w:color w:val="auto"/>
                <w:highlight w:val="none"/>
                <w:u w:val="none"/>
              </w:rPr>
            </w:pPr>
          </w:p>
        </w:tc>
        <w:tc>
          <w:tcPr>
            <w:tcW w:w="2551" w:type="pct"/>
            <w:shd w:val="clear" w:color="auto" w:fill="auto"/>
            <w:vAlign w:val="center"/>
          </w:tcPr>
          <w:p w14:paraId="01F9A600">
            <w:pPr>
              <w:pStyle w:val="92"/>
              <w:jc w:val="left"/>
              <w:rPr>
                <w:color w:val="auto"/>
                <w:highlight w:val="none"/>
                <w:u w:val="none"/>
              </w:rPr>
            </w:pPr>
            <w:r>
              <w:rPr>
                <w:rFonts w:hint="eastAsia"/>
                <w:color w:val="auto"/>
                <w:highlight w:val="none"/>
                <w:u w:val="none"/>
              </w:rPr>
              <w:t>8.重要敏感水体及富营养化湖库生态缓冲带除相关政府部门批准的科学研究活动外，禁止其它可能对保护区构成危害或不良影响的大规模生产、建设活动。</w:t>
            </w:r>
          </w:p>
        </w:tc>
        <w:tc>
          <w:tcPr>
            <w:tcW w:w="1049" w:type="pct"/>
            <w:shd w:val="clear" w:color="auto" w:fill="auto"/>
            <w:vAlign w:val="center"/>
          </w:tcPr>
          <w:p w14:paraId="616207B1">
            <w:pPr>
              <w:pStyle w:val="92"/>
              <w:rPr>
                <w:color w:val="auto"/>
                <w:highlight w:val="none"/>
                <w:u w:val="none"/>
              </w:rPr>
            </w:pPr>
            <w:r>
              <w:rPr>
                <w:color w:val="auto"/>
                <w:highlight w:val="none"/>
                <w:u w:val="none"/>
              </w:rPr>
              <w:t>本项目不在该要求规定的区域范围</w:t>
            </w:r>
          </w:p>
        </w:tc>
        <w:tc>
          <w:tcPr>
            <w:tcW w:w="300" w:type="pct"/>
            <w:shd w:val="clear" w:color="auto" w:fill="auto"/>
            <w:vAlign w:val="center"/>
          </w:tcPr>
          <w:p w14:paraId="08CE0C44">
            <w:pPr>
              <w:pStyle w:val="92"/>
              <w:rPr>
                <w:color w:val="auto"/>
                <w:highlight w:val="none"/>
                <w:u w:val="none"/>
              </w:rPr>
            </w:pPr>
            <w:r>
              <w:rPr>
                <w:color w:val="auto"/>
                <w:highlight w:val="none"/>
                <w:u w:val="none"/>
              </w:rPr>
              <w:t>符合</w:t>
            </w:r>
          </w:p>
        </w:tc>
      </w:tr>
      <w:tr w14:paraId="65A72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52FD0C1C">
            <w:pPr>
              <w:pStyle w:val="92"/>
              <w:rPr>
                <w:color w:val="auto"/>
                <w:highlight w:val="none"/>
                <w:u w:val="none"/>
              </w:rPr>
            </w:pPr>
          </w:p>
        </w:tc>
        <w:tc>
          <w:tcPr>
            <w:tcW w:w="245" w:type="pct"/>
            <w:vMerge w:val="continue"/>
            <w:shd w:val="clear" w:color="auto" w:fill="auto"/>
            <w:vAlign w:val="center"/>
          </w:tcPr>
          <w:p w14:paraId="50C6695C">
            <w:pPr>
              <w:pStyle w:val="92"/>
              <w:rPr>
                <w:color w:val="auto"/>
                <w:highlight w:val="none"/>
                <w:u w:val="none"/>
              </w:rPr>
            </w:pPr>
          </w:p>
        </w:tc>
        <w:tc>
          <w:tcPr>
            <w:tcW w:w="405" w:type="pct"/>
            <w:vMerge w:val="continue"/>
            <w:shd w:val="clear" w:color="auto" w:fill="auto"/>
            <w:vAlign w:val="center"/>
          </w:tcPr>
          <w:p w14:paraId="66C4CA6F">
            <w:pPr>
              <w:pStyle w:val="92"/>
              <w:jc w:val="left"/>
              <w:rPr>
                <w:b/>
                <w:bCs/>
                <w:color w:val="auto"/>
                <w:highlight w:val="none"/>
                <w:u w:val="none"/>
              </w:rPr>
            </w:pPr>
          </w:p>
        </w:tc>
        <w:tc>
          <w:tcPr>
            <w:tcW w:w="2551" w:type="pct"/>
            <w:shd w:val="clear" w:color="auto" w:fill="auto"/>
            <w:vAlign w:val="center"/>
          </w:tcPr>
          <w:p w14:paraId="2696E043">
            <w:pPr>
              <w:pStyle w:val="92"/>
              <w:jc w:val="left"/>
              <w:rPr>
                <w:color w:val="auto"/>
                <w:highlight w:val="none"/>
                <w:u w:val="none"/>
              </w:rPr>
            </w:pPr>
            <w:r>
              <w:rPr>
                <w:rFonts w:hint="eastAsia"/>
                <w:color w:val="auto"/>
                <w:highlight w:val="none"/>
                <w:u w:val="none"/>
              </w:rPr>
              <w:t>9.新、改、扩建煤电、钢铁、建材、石化、化工等“两高”项目，严格落实国家、省、市产业规划、产业政策、“三线一单”、规划环评，以及产能置换、煤炭消费减量替代、区域污染削减等相关要求。</w:t>
            </w:r>
          </w:p>
        </w:tc>
        <w:tc>
          <w:tcPr>
            <w:tcW w:w="1049" w:type="pct"/>
            <w:shd w:val="clear" w:color="auto" w:fill="auto"/>
            <w:vAlign w:val="center"/>
          </w:tcPr>
          <w:p w14:paraId="05263F50">
            <w:pPr>
              <w:pStyle w:val="92"/>
              <w:rPr>
                <w:color w:val="auto"/>
                <w:highlight w:val="none"/>
                <w:u w:val="none"/>
              </w:rPr>
            </w:pPr>
            <w:r>
              <w:rPr>
                <w:rFonts w:hint="eastAsia"/>
                <w:color w:val="auto"/>
                <w:highlight w:val="none"/>
                <w:u w:val="none"/>
              </w:rPr>
              <w:t>本项目符合产业政策、“三线一单”、园区规划环评、区域污染削减等相关要求</w:t>
            </w:r>
          </w:p>
        </w:tc>
        <w:tc>
          <w:tcPr>
            <w:tcW w:w="300" w:type="pct"/>
            <w:shd w:val="clear" w:color="auto" w:fill="auto"/>
            <w:vAlign w:val="center"/>
          </w:tcPr>
          <w:p w14:paraId="275792CA">
            <w:pPr>
              <w:pStyle w:val="92"/>
              <w:rPr>
                <w:color w:val="auto"/>
                <w:highlight w:val="none"/>
                <w:u w:val="none"/>
              </w:rPr>
            </w:pPr>
            <w:r>
              <w:rPr>
                <w:color w:val="auto"/>
                <w:highlight w:val="none"/>
                <w:u w:val="none"/>
              </w:rPr>
              <w:t>符合</w:t>
            </w:r>
          </w:p>
        </w:tc>
      </w:tr>
      <w:tr w14:paraId="21405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vAlign w:val="center"/>
          </w:tcPr>
          <w:p w14:paraId="58BA2351">
            <w:pPr>
              <w:pStyle w:val="92"/>
              <w:rPr>
                <w:color w:val="auto"/>
                <w:highlight w:val="none"/>
                <w:u w:val="none"/>
              </w:rPr>
            </w:pPr>
          </w:p>
        </w:tc>
        <w:tc>
          <w:tcPr>
            <w:tcW w:w="245" w:type="pct"/>
            <w:vMerge w:val="continue"/>
            <w:shd w:val="clear" w:color="auto" w:fill="auto"/>
            <w:vAlign w:val="center"/>
          </w:tcPr>
          <w:p w14:paraId="77E9CB44">
            <w:pPr>
              <w:pStyle w:val="92"/>
              <w:rPr>
                <w:color w:val="auto"/>
                <w:highlight w:val="none"/>
                <w:u w:val="none"/>
              </w:rPr>
            </w:pPr>
          </w:p>
        </w:tc>
        <w:tc>
          <w:tcPr>
            <w:tcW w:w="405" w:type="pct"/>
            <w:vMerge w:val="continue"/>
            <w:shd w:val="clear" w:color="auto" w:fill="auto"/>
            <w:vAlign w:val="center"/>
          </w:tcPr>
          <w:p w14:paraId="5F27DEAC">
            <w:pPr>
              <w:pStyle w:val="92"/>
              <w:jc w:val="left"/>
              <w:rPr>
                <w:b/>
                <w:bCs/>
                <w:color w:val="auto"/>
                <w:highlight w:val="none"/>
                <w:u w:val="none"/>
              </w:rPr>
            </w:pPr>
          </w:p>
        </w:tc>
        <w:tc>
          <w:tcPr>
            <w:tcW w:w="2551" w:type="pct"/>
            <w:shd w:val="clear" w:color="auto" w:fill="auto"/>
            <w:vAlign w:val="center"/>
          </w:tcPr>
          <w:p w14:paraId="179646C7">
            <w:pPr>
              <w:pStyle w:val="92"/>
              <w:jc w:val="left"/>
              <w:rPr>
                <w:color w:val="auto"/>
                <w:highlight w:val="none"/>
                <w:u w:val="none"/>
              </w:rPr>
            </w:pPr>
            <w:r>
              <w:rPr>
                <w:rFonts w:hint="eastAsia"/>
                <w:color w:val="auto"/>
                <w:highlight w:val="none"/>
                <w:u w:val="none"/>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49" w:type="pct"/>
            <w:shd w:val="clear" w:color="auto" w:fill="auto"/>
            <w:vAlign w:val="center"/>
          </w:tcPr>
          <w:p w14:paraId="7B25EF0C">
            <w:pPr>
              <w:pStyle w:val="92"/>
              <w:rPr>
                <w:color w:val="auto"/>
                <w:highlight w:val="none"/>
                <w:u w:val="none"/>
              </w:rPr>
            </w:pPr>
            <w:r>
              <w:rPr>
                <w:rFonts w:hint="eastAsia"/>
                <w:color w:val="auto"/>
                <w:highlight w:val="none"/>
                <w:u w:val="none"/>
              </w:rPr>
              <w:t>本项目不涉及基本农田</w:t>
            </w:r>
          </w:p>
        </w:tc>
        <w:tc>
          <w:tcPr>
            <w:tcW w:w="300" w:type="pct"/>
            <w:shd w:val="clear" w:color="auto" w:fill="auto"/>
            <w:vAlign w:val="center"/>
          </w:tcPr>
          <w:p w14:paraId="79508662">
            <w:pPr>
              <w:pStyle w:val="92"/>
              <w:rPr>
                <w:color w:val="auto"/>
                <w:highlight w:val="none"/>
                <w:u w:val="none"/>
              </w:rPr>
            </w:pPr>
            <w:r>
              <w:rPr>
                <w:color w:val="auto"/>
                <w:highlight w:val="none"/>
                <w:u w:val="none"/>
              </w:rPr>
              <w:t>符合</w:t>
            </w:r>
          </w:p>
        </w:tc>
      </w:tr>
      <w:tr w14:paraId="45B2C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448" w:type="pct"/>
            <w:vMerge w:val="continue"/>
          </w:tcPr>
          <w:p w14:paraId="3BF7099F">
            <w:pPr>
              <w:pStyle w:val="92"/>
              <w:rPr>
                <w:color w:val="auto"/>
                <w:highlight w:val="none"/>
                <w:u w:val="none"/>
              </w:rPr>
            </w:pPr>
          </w:p>
        </w:tc>
        <w:tc>
          <w:tcPr>
            <w:tcW w:w="245" w:type="pct"/>
            <w:vMerge w:val="restart"/>
            <w:tcBorders>
              <w:bottom w:val="single" w:color="auto" w:sz="4" w:space="0"/>
            </w:tcBorders>
            <w:shd w:val="clear" w:color="auto" w:fill="auto"/>
            <w:vAlign w:val="center"/>
          </w:tcPr>
          <w:p w14:paraId="0F38DF0C">
            <w:pPr>
              <w:pStyle w:val="92"/>
              <w:rPr>
                <w:color w:val="auto"/>
                <w:highlight w:val="none"/>
                <w:u w:val="none"/>
              </w:rPr>
            </w:pPr>
            <w:r>
              <w:rPr>
                <w:color w:val="auto"/>
                <w:kern w:val="0"/>
                <w:highlight w:val="none"/>
                <w:u w:val="none"/>
              </w:rPr>
              <w:t>污染物排放管控</w:t>
            </w:r>
          </w:p>
        </w:tc>
        <w:tc>
          <w:tcPr>
            <w:tcW w:w="2956" w:type="pct"/>
            <w:gridSpan w:val="2"/>
            <w:tcBorders>
              <w:bottom w:val="single" w:color="auto" w:sz="4" w:space="0"/>
            </w:tcBorders>
            <w:shd w:val="clear" w:color="auto" w:fill="auto"/>
            <w:vAlign w:val="center"/>
          </w:tcPr>
          <w:p w14:paraId="13D19160">
            <w:pPr>
              <w:pStyle w:val="92"/>
              <w:jc w:val="left"/>
              <w:rPr>
                <w:color w:val="auto"/>
                <w:highlight w:val="none"/>
                <w:u w:val="none"/>
              </w:rPr>
            </w:pPr>
            <w:r>
              <w:rPr>
                <w:rFonts w:hint="eastAsia"/>
                <w:color w:val="auto"/>
                <w:highlight w:val="none"/>
                <w:u w:val="none"/>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tc>
        <w:tc>
          <w:tcPr>
            <w:tcW w:w="1049" w:type="pct"/>
            <w:shd w:val="clear" w:color="auto" w:fill="auto"/>
            <w:vAlign w:val="center"/>
          </w:tcPr>
          <w:p w14:paraId="69C2C453">
            <w:pPr>
              <w:pStyle w:val="92"/>
              <w:rPr>
                <w:color w:val="auto"/>
                <w:highlight w:val="none"/>
                <w:u w:val="none"/>
              </w:rPr>
            </w:pPr>
            <w:r>
              <w:rPr>
                <w:rFonts w:hint="eastAsia"/>
                <w:color w:val="auto"/>
                <w:highlight w:val="none"/>
                <w:u w:val="none"/>
              </w:rPr>
              <w:t>本项目</w:t>
            </w:r>
            <w:r>
              <w:rPr>
                <w:color w:val="auto"/>
                <w:highlight w:val="none"/>
                <w:u w:val="none"/>
              </w:rPr>
              <w:t>COD</w:t>
            </w:r>
            <w:r>
              <w:rPr>
                <w:rFonts w:hint="eastAsia"/>
                <w:color w:val="auto"/>
                <w:highlight w:val="none"/>
                <w:u w:val="none"/>
              </w:rPr>
              <w:t>、</w:t>
            </w:r>
            <w:r>
              <w:rPr>
                <w:color w:val="auto"/>
                <w:highlight w:val="none"/>
                <w:u w:val="none"/>
              </w:rPr>
              <w:t>NH</w:t>
            </w:r>
            <w:r>
              <w:rPr>
                <w:color w:val="auto"/>
                <w:highlight w:val="none"/>
                <w:u w:val="none"/>
                <w:vertAlign w:val="subscript"/>
              </w:rPr>
              <w:t>3</w:t>
            </w:r>
            <w:r>
              <w:rPr>
                <w:color w:val="auto"/>
                <w:highlight w:val="none"/>
                <w:u w:val="none"/>
              </w:rPr>
              <w:t>-N</w:t>
            </w:r>
            <w:r>
              <w:rPr>
                <w:rFonts w:hint="eastAsia"/>
                <w:color w:val="auto"/>
                <w:highlight w:val="none"/>
                <w:u w:val="none"/>
              </w:rPr>
              <w:t>总量通过排污权交易获得，VOCs实行总量控制。</w:t>
            </w:r>
          </w:p>
        </w:tc>
        <w:tc>
          <w:tcPr>
            <w:tcW w:w="300" w:type="pct"/>
            <w:shd w:val="clear" w:color="auto" w:fill="auto"/>
            <w:vAlign w:val="center"/>
          </w:tcPr>
          <w:p w14:paraId="6FF283AF">
            <w:pPr>
              <w:pStyle w:val="92"/>
              <w:rPr>
                <w:color w:val="auto"/>
                <w:highlight w:val="none"/>
                <w:u w:val="none"/>
              </w:rPr>
            </w:pPr>
            <w:r>
              <w:rPr>
                <w:color w:val="auto"/>
                <w:highlight w:val="none"/>
                <w:u w:val="none"/>
              </w:rPr>
              <w:t>符合</w:t>
            </w:r>
          </w:p>
        </w:tc>
      </w:tr>
      <w:tr w14:paraId="6AC82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75A76F24">
            <w:pPr>
              <w:pStyle w:val="92"/>
              <w:rPr>
                <w:color w:val="auto"/>
                <w:highlight w:val="none"/>
                <w:u w:val="none"/>
              </w:rPr>
            </w:pPr>
          </w:p>
        </w:tc>
        <w:tc>
          <w:tcPr>
            <w:tcW w:w="245" w:type="pct"/>
            <w:vMerge w:val="continue"/>
            <w:shd w:val="clear" w:color="auto" w:fill="auto"/>
            <w:vAlign w:val="center"/>
          </w:tcPr>
          <w:p w14:paraId="335FB0B7">
            <w:pPr>
              <w:pStyle w:val="92"/>
              <w:rPr>
                <w:color w:val="auto"/>
                <w:kern w:val="0"/>
                <w:highlight w:val="none"/>
                <w:u w:val="none"/>
              </w:rPr>
            </w:pPr>
          </w:p>
        </w:tc>
        <w:tc>
          <w:tcPr>
            <w:tcW w:w="2956" w:type="pct"/>
            <w:gridSpan w:val="2"/>
            <w:shd w:val="clear" w:color="auto" w:fill="auto"/>
            <w:vAlign w:val="center"/>
          </w:tcPr>
          <w:p w14:paraId="790B2109">
            <w:pPr>
              <w:pStyle w:val="92"/>
              <w:jc w:val="left"/>
              <w:rPr>
                <w:color w:val="auto"/>
                <w:highlight w:val="none"/>
                <w:u w:val="none"/>
              </w:rPr>
            </w:pPr>
            <w:r>
              <w:rPr>
                <w:rFonts w:hint="eastAsia"/>
                <w:color w:val="auto"/>
                <w:highlight w:val="none"/>
                <w:u w:val="none"/>
              </w:rPr>
              <w:t>2.新、改、扩建涉VOCs排放项目污染物排放量应满足《福州市“十四五”空气质量持续改善计划》（榕环保综〔2023〕40号），应从源头加强控制，使用低（无）VOCs含量的原辅材料。</w:t>
            </w:r>
          </w:p>
        </w:tc>
        <w:tc>
          <w:tcPr>
            <w:tcW w:w="1049" w:type="pct"/>
            <w:shd w:val="clear" w:color="auto" w:fill="auto"/>
            <w:vAlign w:val="center"/>
          </w:tcPr>
          <w:p w14:paraId="3AFF5E31">
            <w:pPr>
              <w:pStyle w:val="92"/>
              <w:rPr>
                <w:color w:val="auto"/>
                <w:highlight w:val="none"/>
                <w:u w:val="none"/>
              </w:rPr>
            </w:pPr>
            <w:r>
              <w:rPr>
                <w:rFonts w:hint="eastAsia"/>
                <w:color w:val="auto"/>
                <w:highlight w:val="none"/>
                <w:u w:val="none"/>
              </w:rPr>
              <w:t>本项目建设符合《福州市“十四五”空气质量持续改善计划》（榕环保综〔2023〕40号），见5.9.1.13小节。</w:t>
            </w:r>
          </w:p>
        </w:tc>
        <w:tc>
          <w:tcPr>
            <w:tcW w:w="300" w:type="pct"/>
            <w:shd w:val="clear" w:color="auto" w:fill="auto"/>
            <w:vAlign w:val="center"/>
          </w:tcPr>
          <w:p w14:paraId="71CD4475">
            <w:pPr>
              <w:pStyle w:val="92"/>
              <w:rPr>
                <w:color w:val="auto"/>
                <w:highlight w:val="none"/>
                <w:u w:val="none"/>
              </w:rPr>
            </w:pPr>
            <w:r>
              <w:rPr>
                <w:rFonts w:hint="eastAsia"/>
                <w:color w:val="auto"/>
                <w:highlight w:val="none"/>
                <w:u w:val="none"/>
              </w:rPr>
              <w:t>符合</w:t>
            </w:r>
          </w:p>
        </w:tc>
      </w:tr>
      <w:tr w14:paraId="2B946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1AB48CC8">
            <w:pPr>
              <w:pStyle w:val="92"/>
              <w:rPr>
                <w:color w:val="auto"/>
                <w:highlight w:val="none"/>
                <w:u w:val="none"/>
              </w:rPr>
            </w:pPr>
          </w:p>
        </w:tc>
        <w:tc>
          <w:tcPr>
            <w:tcW w:w="245" w:type="pct"/>
            <w:vMerge w:val="continue"/>
            <w:shd w:val="clear" w:color="auto" w:fill="auto"/>
            <w:vAlign w:val="center"/>
          </w:tcPr>
          <w:p w14:paraId="1B899DB7">
            <w:pPr>
              <w:pStyle w:val="92"/>
              <w:rPr>
                <w:color w:val="auto"/>
                <w:kern w:val="0"/>
                <w:highlight w:val="none"/>
                <w:u w:val="none"/>
              </w:rPr>
            </w:pPr>
          </w:p>
        </w:tc>
        <w:tc>
          <w:tcPr>
            <w:tcW w:w="2956" w:type="pct"/>
            <w:gridSpan w:val="2"/>
            <w:shd w:val="clear" w:color="auto" w:fill="auto"/>
            <w:vAlign w:val="center"/>
          </w:tcPr>
          <w:p w14:paraId="09742CC8">
            <w:pPr>
              <w:pStyle w:val="92"/>
              <w:jc w:val="left"/>
              <w:rPr>
                <w:color w:val="auto"/>
                <w:highlight w:val="none"/>
                <w:u w:val="none"/>
              </w:rPr>
            </w:pPr>
            <w:r>
              <w:rPr>
                <w:rFonts w:hint="eastAsia"/>
                <w:color w:val="auto"/>
                <w:highlight w:val="none"/>
                <w:u w:val="none"/>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tc>
        <w:tc>
          <w:tcPr>
            <w:tcW w:w="1049" w:type="pct"/>
            <w:shd w:val="clear" w:color="auto" w:fill="auto"/>
            <w:vAlign w:val="center"/>
          </w:tcPr>
          <w:p w14:paraId="48E6AA14">
            <w:pPr>
              <w:pStyle w:val="92"/>
              <w:rPr>
                <w:color w:val="auto"/>
                <w:highlight w:val="none"/>
                <w:u w:val="none"/>
              </w:rPr>
            </w:pPr>
            <w:r>
              <w:rPr>
                <w:color w:val="auto"/>
                <w:highlight w:val="none"/>
                <w:u w:val="none"/>
              </w:rPr>
              <w:t>本项目位于江阴港城经济区</w:t>
            </w:r>
            <w:r>
              <w:rPr>
                <w:rFonts w:hint="eastAsia"/>
                <w:color w:val="auto"/>
                <w:highlight w:val="none"/>
                <w:u w:val="none"/>
              </w:rPr>
              <w:t>，大气污染物执行特别排放限值。</w:t>
            </w:r>
          </w:p>
        </w:tc>
        <w:tc>
          <w:tcPr>
            <w:tcW w:w="300" w:type="pct"/>
            <w:shd w:val="clear" w:color="auto" w:fill="auto"/>
            <w:vAlign w:val="center"/>
          </w:tcPr>
          <w:p w14:paraId="5417AEA9">
            <w:pPr>
              <w:pStyle w:val="92"/>
              <w:rPr>
                <w:color w:val="auto"/>
                <w:highlight w:val="none"/>
                <w:u w:val="none"/>
              </w:rPr>
            </w:pPr>
            <w:r>
              <w:rPr>
                <w:color w:val="auto"/>
                <w:highlight w:val="none"/>
                <w:u w:val="none"/>
              </w:rPr>
              <w:t>符合</w:t>
            </w:r>
          </w:p>
        </w:tc>
      </w:tr>
      <w:tr w14:paraId="7384E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77CF3988">
            <w:pPr>
              <w:pStyle w:val="92"/>
              <w:rPr>
                <w:color w:val="auto"/>
                <w:highlight w:val="none"/>
                <w:u w:val="none"/>
              </w:rPr>
            </w:pPr>
          </w:p>
        </w:tc>
        <w:tc>
          <w:tcPr>
            <w:tcW w:w="245" w:type="pct"/>
            <w:vMerge w:val="continue"/>
            <w:shd w:val="clear" w:color="auto" w:fill="auto"/>
            <w:vAlign w:val="center"/>
          </w:tcPr>
          <w:p w14:paraId="63DF200C">
            <w:pPr>
              <w:pStyle w:val="92"/>
              <w:rPr>
                <w:color w:val="auto"/>
                <w:kern w:val="0"/>
                <w:highlight w:val="none"/>
                <w:u w:val="none"/>
              </w:rPr>
            </w:pPr>
          </w:p>
        </w:tc>
        <w:tc>
          <w:tcPr>
            <w:tcW w:w="2956" w:type="pct"/>
            <w:gridSpan w:val="2"/>
            <w:shd w:val="clear" w:color="auto" w:fill="auto"/>
            <w:vAlign w:val="center"/>
          </w:tcPr>
          <w:p w14:paraId="01DD6021">
            <w:pPr>
              <w:pStyle w:val="92"/>
              <w:jc w:val="left"/>
              <w:rPr>
                <w:color w:val="auto"/>
                <w:highlight w:val="none"/>
                <w:u w:val="none"/>
              </w:rPr>
            </w:pPr>
            <w:r>
              <w:rPr>
                <w:rFonts w:hint="eastAsia"/>
                <w:color w:val="auto"/>
                <w:highlight w:val="none"/>
                <w:u w:val="none"/>
              </w:rPr>
              <w:t>4.氟化工、印染、电镀等行业企业实行水污染物特别排放限值。</w:t>
            </w:r>
          </w:p>
        </w:tc>
        <w:tc>
          <w:tcPr>
            <w:tcW w:w="1049" w:type="pct"/>
            <w:shd w:val="clear" w:color="auto" w:fill="auto"/>
            <w:vAlign w:val="center"/>
          </w:tcPr>
          <w:p w14:paraId="24BD7774">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139C7017">
            <w:pPr>
              <w:pStyle w:val="92"/>
              <w:rPr>
                <w:color w:val="auto"/>
                <w:highlight w:val="none"/>
                <w:u w:val="none"/>
              </w:rPr>
            </w:pPr>
            <w:r>
              <w:rPr>
                <w:color w:val="auto"/>
                <w:highlight w:val="none"/>
                <w:u w:val="none"/>
              </w:rPr>
              <w:t>符合</w:t>
            </w:r>
          </w:p>
        </w:tc>
      </w:tr>
      <w:tr w14:paraId="0F3DA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4DEEB14E">
            <w:pPr>
              <w:pStyle w:val="92"/>
              <w:rPr>
                <w:color w:val="auto"/>
                <w:highlight w:val="none"/>
                <w:u w:val="none"/>
              </w:rPr>
            </w:pPr>
          </w:p>
        </w:tc>
        <w:tc>
          <w:tcPr>
            <w:tcW w:w="245" w:type="pct"/>
            <w:vMerge w:val="continue"/>
            <w:shd w:val="clear" w:color="auto" w:fill="auto"/>
            <w:vAlign w:val="center"/>
          </w:tcPr>
          <w:p w14:paraId="5914D048">
            <w:pPr>
              <w:pStyle w:val="92"/>
              <w:rPr>
                <w:color w:val="auto"/>
                <w:kern w:val="0"/>
                <w:highlight w:val="none"/>
                <w:u w:val="none"/>
              </w:rPr>
            </w:pPr>
          </w:p>
        </w:tc>
        <w:tc>
          <w:tcPr>
            <w:tcW w:w="2956" w:type="pct"/>
            <w:gridSpan w:val="2"/>
            <w:shd w:val="clear" w:color="auto" w:fill="auto"/>
            <w:vAlign w:val="center"/>
          </w:tcPr>
          <w:p w14:paraId="0E8736EC">
            <w:pPr>
              <w:pStyle w:val="92"/>
              <w:jc w:val="left"/>
              <w:rPr>
                <w:color w:val="auto"/>
                <w:highlight w:val="none"/>
                <w:u w:val="none"/>
              </w:rPr>
            </w:pPr>
            <w:r>
              <w:rPr>
                <w:rFonts w:hint="eastAsia"/>
                <w:color w:val="auto"/>
                <w:highlight w:val="none"/>
                <w:u w:val="none"/>
              </w:rPr>
              <w:t>5.新、改、扩建重点行业建设项目要遵循重点重金属污染物排放“等量替代”原则，总量来源原则上应是同一重点行业内的削减量，当同一重点行业无法满足时可从其他重点行业调剂。</w:t>
            </w:r>
          </w:p>
        </w:tc>
        <w:tc>
          <w:tcPr>
            <w:tcW w:w="1049" w:type="pct"/>
            <w:shd w:val="clear" w:color="auto" w:fill="auto"/>
            <w:vAlign w:val="center"/>
          </w:tcPr>
          <w:p w14:paraId="7452AA43">
            <w:pPr>
              <w:pStyle w:val="92"/>
              <w:rPr>
                <w:color w:val="auto"/>
                <w:highlight w:val="none"/>
                <w:u w:val="none"/>
              </w:rPr>
            </w:pPr>
            <w:r>
              <w:rPr>
                <w:rFonts w:hint="eastAsia"/>
                <w:color w:val="auto"/>
                <w:highlight w:val="none"/>
                <w:u w:val="none"/>
              </w:rPr>
              <w:t>本项目不涉及重点重金属排放</w:t>
            </w:r>
          </w:p>
        </w:tc>
        <w:tc>
          <w:tcPr>
            <w:tcW w:w="300" w:type="pct"/>
            <w:shd w:val="clear" w:color="auto" w:fill="auto"/>
            <w:vAlign w:val="center"/>
          </w:tcPr>
          <w:p w14:paraId="225AC4D4">
            <w:pPr>
              <w:pStyle w:val="92"/>
              <w:rPr>
                <w:color w:val="auto"/>
                <w:highlight w:val="none"/>
                <w:u w:val="none"/>
              </w:rPr>
            </w:pPr>
            <w:r>
              <w:rPr>
                <w:color w:val="auto"/>
                <w:highlight w:val="none"/>
                <w:u w:val="none"/>
              </w:rPr>
              <w:t>符合</w:t>
            </w:r>
          </w:p>
        </w:tc>
      </w:tr>
      <w:tr w14:paraId="05B34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4C822A46">
            <w:pPr>
              <w:pStyle w:val="92"/>
              <w:rPr>
                <w:color w:val="auto"/>
                <w:highlight w:val="none"/>
                <w:u w:val="none"/>
              </w:rPr>
            </w:pPr>
          </w:p>
        </w:tc>
        <w:tc>
          <w:tcPr>
            <w:tcW w:w="245" w:type="pct"/>
            <w:vMerge w:val="continue"/>
            <w:shd w:val="clear" w:color="auto" w:fill="auto"/>
            <w:vAlign w:val="center"/>
          </w:tcPr>
          <w:p w14:paraId="389C8D6E">
            <w:pPr>
              <w:pStyle w:val="92"/>
              <w:rPr>
                <w:color w:val="auto"/>
                <w:kern w:val="0"/>
                <w:highlight w:val="none"/>
                <w:u w:val="none"/>
              </w:rPr>
            </w:pPr>
          </w:p>
        </w:tc>
        <w:tc>
          <w:tcPr>
            <w:tcW w:w="2956" w:type="pct"/>
            <w:gridSpan w:val="2"/>
            <w:shd w:val="clear" w:color="auto" w:fill="auto"/>
            <w:vAlign w:val="center"/>
          </w:tcPr>
          <w:p w14:paraId="68EA922B">
            <w:pPr>
              <w:pStyle w:val="92"/>
              <w:jc w:val="left"/>
              <w:rPr>
                <w:color w:val="auto"/>
                <w:highlight w:val="none"/>
                <w:u w:val="none"/>
              </w:rPr>
            </w:pPr>
            <w:r>
              <w:rPr>
                <w:rFonts w:hint="eastAsia"/>
                <w:color w:val="auto"/>
                <w:highlight w:val="none"/>
                <w:u w:val="none"/>
              </w:rPr>
              <w:t>6.每小时35（含）—65蒸吨燃煤锅炉和位于县级及以上城市建成区内保留的燃煤、燃油、燃生物质锅炉，原则上2024年底前必须全面实现超低排放。</w:t>
            </w:r>
          </w:p>
        </w:tc>
        <w:tc>
          <w:tcPr>
            <w:tcW w:w="1049" w:type="pct"/>
            <w:shd w:val="clear" w:color="auto" w:fill="auto"/>
            <w:vAlign w:val="center"/>
          </w:tcPr>
          <w:p w14:paraId="09F67A54">
            <w:pPr>
              <w:pStyle w:val="92"/>
              <w:rPr>
                <w:color w:val="auto"/>
                <w:highlight w:val="none"/>
                <w:u w:val="none"/>
              </w:rPr>
            </w:pPr>
            <w:r>
              <w:rPr>
                <w:rFonts w:hint="eastAsia"/>
                <w:color w:val="auto"/>
                <w:highlight w:val="none"/>
                <w:u w:val="none"/>
              </w:rPr>
              <w:t>本项目不涉及锅炉建设</w:t>
            </w:r>
          </w:p>
        </w:tc>
        <w:tc>
          <w:tcPr>
            <w:tcW w:w="300" w:type="pct"/>
            <w:shd w:val="clear" w:color="auto" w:fill="auto"/>
            <w:vAlign w:val="center"/>
          </w:tcPr>
          <w:p w14:paraId="4FBFA1E9">
            <w:pPr>
              <w:pStyle w:val="92"/>
              <w:rPr>
                <w:color w:val="auto"/>
                <w:highlight w:val="none"/>
                <w:u w:val="none"/>
              </w:rPr>
            </w:pPr>
            <w:r>
              <w:rPr>
                <w:color w:val="auto"/>
                <w:highlight w:val="none"/>
                <w:u w:val="none"/>
              </w:rPr>
              <w:t>符合</w:t>
            </w:r>
          </w:p>
        </w:tc>
      </w:tr>
      <w:tr w14:paraId="5CA1B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49AD3AAA">
            <w:pPr>
              <w:pStyle w:val="92"/>
              <w:rPr>
                <w:color w:val="auto"/>
                <w:highlight w:val="none"/>
                <w:u w:val="none"/>
              </w:rPr>
            </w:pPr>
          </w:p>
        </w:tc>
        <w:tc>
          <w:tcPr>
            <w:tcW w:w="245" w:type="pct"/>
            <w:vMerge w:val="continue"/>
            <w:shd w:val="clear" w:color="auto" w:fill="auto"/>
            <w:vAlign w:val="center"/>
          </w:tcPr>
          <w:p w14:paraId="15B07795">
            <w:pPr>
              <w:pStyle w:val="92"/>
              <w:rPr>
                <w:color w:val="auto"/>
                <w:kern w:val="0"/>
                <w:highlight w:val="none"/>
                <w:u w:val="none"/>
              </w:rPr>
            </w:pPr>
          </w:p>
        </w:tc>
        <w:tc>
          <w:tcPr>
            <w:tcW w:w="2956" w:type="pct"/>
            <w:gridSpan w:val="2"/>
            <w:shd w:val="clear" w:color="auto" w:fill="auto"/>
            <w:vAlign w:val="center"/>
          </w:tcPr>
          <w:p w14:paraId="2DE85138">
            <w:pPr>
              <w:pStyle w:val="92"/>
              <w:jc w:val="left"/>
              <w:rPr>
                <w:color w:val="auto"/>
                <w:highlight w:val="none"/>
                <w:u w:val="none"/>
              </w:rPr>
            </w:pPr>
            <w:r>
              <w:rPr>
                <w:rFonts w:hint="eastAsia"/>
                <w:color w:val="auto"/>
                <w:highlight w:val="none"/>
                <w:u w:val="none"/>
              </w:rPr>
              <w:t>7.水泥行业新改扩建项目严格对照超低排放、能效标杆水平建设实施；现有项目超低排放改造应按文件（闽环规〔2023〕2号）的时限要求分步推进，2025年底前全面完成。</w:t>
            </w:r>
          </w:p>
        </w:tc>
        <w:tc>
          <w:tcPr>
            <w:tcW w:w="1049" w:type="pct"/>
            <w:shd w:val="clear" w:color="auto" w:fill="auto"/>
            <w:vAlign w:val="center"/>
          </w:tcPr>
          <w:p w14:paraId="44808CC3">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12A4F041">
            <w:pPr>
              <w:pStyle w:val="92"/>
              <w:rPr>
                <w:color w:val="auto"/>
                <w:highlight w:val="none"/>
                <w:u w:val="none"/>
              </w:rPr>
            </w:pPr>
            <w:r>
              <w:rPr>
                <w:color w:val="auto"/>
                <w:highlight w:val="none"/>
                <w:u w:val="none"/>
              </w:rPr>
              <w:t>符合</w:t>
            </w:r>
          </w:p>
        </w:tc>
      </w:tr>
      <w:tr w14:paraId="2468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43231932">
            <w:pPr>
              <w:pStyle w:val="92"/>
              <w:rPr>
                <w:color w:val="auto"/>
                <w:highlight w:val="none"/>
                <w:u w:val="none"/>
              </w:rPr>
            </w:pPr>
          </w:p>
        </w:tc>
        <w:tc>
          <w:tcPr>
            <w:tcW w:w="245" w:type="pct"/>
            <w:vMerge w:val="continue"/>
            <w:shd w:val="clear" w:color="auto" w:fill="auto"/>
            <w:vAlign w:val="center"/>
          </w:tcPr>
          <w:p w14:paraId="348A6942">
            <w:pPr>
              <w:pStyle w:val="92"/>
              <w:rPr>
                <w:color w:val="auto"/>
                <w:kern w:val="0"/>
                <w:highlight w:val="none"/>
                <w:u w:val="none"/>
              </w:rPr>
            </w:pPr>
          </w:p>
        </w:tc>
        <w:tc>
          <w:tcPr>
            <w:tcW w:w="2956" w:type="pct"/>
            <w:gridSpan w:val="2"/>
            <w:shd w:val="clear" w:color="auto" w:fill="auto"/>
            <w:vAlign w:val="center"/>
          </w:tcPr>
          <w:p w14:paraId="3CF4D780">
            <w:pPr>
              <w:pStyle w:val="92"/>
              <w:jc w:val="left"/>
              <w:rPr>
                <w:color w:val="auto"/>
                <w:highlight w:val="none"/>
                <w:u w:val="none"/>
              </w:rPr>
            </w:pPr>
            <w:r>
              <w:rPr>
                <w:rFonts w:hint="eastAsia"/>
                <w:color w:val="auto"/>
                <w:highlight w:val="none"/>
                <w:u w:val="none"/>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49" w:type="pct"/>
            <w:shd w:val="clear" w:color="auto" w:fill="auto"/>
            <w:vAlign w:val="center"/>
          </w:tcPr>
          <w:p w14:paraId="17FC3121">
            <w:pPr>
              <w:pStyle w:val="92"/>
              <w:rPr>
                <w:color w:val="auto"/>
                <w:highlight w:val="none"/>
                <w:u w:val="none"/>
              </w:rPr>
            </w:pPr>
            <w:r>
              <w:rPr>
                <w:rFonts w:hint="eastAsia"/>
                <w:color w:val="auto"/>
                <w:highlight w:val="none"/>
                <w:u w:val="none"/>
              </w:rPr>
              <w:t>本项目不涉及新污染物</w:t>
            </w:r>
          </w:p>
        </w:tc>
        <w:tc>
          <w:tcPr>
            <w:tcW w:w="300" w:type="pct"/>
            <w:shd w:val="clear" w:color="auto" w:fill="auto"/>
            <w:vAlign w:val="center"/>
          </w:tcPr>
          <w:p w14:paraId="40F57A7B">
            <w:pPr>
              <w:pStyle w:val="92"/>
              <w:rPr>
                <w:color w:val="auto"/>
                <w:highlight w:val="none"/>
                <w:u w:val="none"/>
              </w:rPr>
            </w:pPr>
            <w:r>
              <w:rPr>
                <w:color w:val="auto"/>
                <w:highlight w:val="none"/>
                <w:u w:val="none"/>
              </w:rPr>
              <w:t>符合</w:t>
            </w:r>
          </w:p>
        </w:tc>
      </w:tr>
      <w:tr w14:paraId="16729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5D44899B">
            <w:pPr>
              <w:pStyle w:val="92"/>
              <w:rPr>
                <w:color w:val="auto"/>
                <w:highlight w:val="none"/>
                <w:u w:val="none"/>
              </w:rPr>
            </w:pPr>
          </w:p>
        </w:tc>
        <w:tc>
          <w:tcPr>
            <w:tcW w:w="245" w:type="pct"/>
            <w:vMerge w:val="restart"/>
            <w:shd w:val="clear" w:color="auto" w:fill="auto"/>
            <w:vAlign w:val="center"/>
          </w:tcPr>
          <w:p w14:paraId="295FF59F">
            <w:pPr>
              <w:pStyle w:val="92"/>
              <w:rPr>
                <w:color w:val="auto"/>
                <w:kern w:val="0"/>
                <w:highlight w:val="none"/>
                <w:u w:val="none"/>
              </w:rPr>
            </w:pPr>
            <w:r>
              <w:rPr>
                <w:rFonts w:hint="eastAsia"/>
                <w:color w:val="auto"/>
                <w:kern w:val="0"/>
                <w:highlight w:val="none"/>
                <w:u w:val="none"/>
              </w:rPr>
              <w:t>资源开发效率要求</w:t>
            </w:r>
          </w:p>
        </w:tc>
        <w:tc>
          <w:tcPr>
            <w:tcW w:w="2956" w:type="pct"/>
            <w:gridSpan w:val="2"/>
            <w:shd w:val="clear" w:color="auto" w:fill="auto"/>
            <w:vAlign w:val="center"/>
          </w:tcPr>
          <w:p w14:paraId="615EA755">
            <w:pPr>
              <w:pStyle w:val="92"/>
              <w:jc w:val="left"/>
              <w:rPr>
                <w:color w:val="auto"/>
                <w:highlight w:val="none"/>
                <w:u w:val="none"/>
              </w:rPr>
            </w:pPr>
            <w:r>
              <w:rPr>
                <w:rFonts w:hint="eastAsia"/>
                <w:color w:val="auto"/>
                <w:highlight w:val="none"/>
                <w:u w:val="none"/>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tc>
        <w:tc>
          <w:tcPr>
            <w:tcW w:w="1049" w:type="pct"/>
            <w:shd w:val="clear" w:color="auto" w:fill="auto"/>
            <w:vAlign w:val="center"/>
          </w:tcPr>
          <w:p w14:paraId="0746482A">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2E4B3665">
            <w:pPr>
              <w:pStyle w:val="92"/>
              <w:rPr>
                <w:color w:val="auto"/>
                <w:highlight w:val="none"/>
                <w:u w:val="none"/>
              </w:rPr>
            </w:pPr>
            <w:r>
              <w:rPr>
                <w:rFonts w:hint="eastAsia"/>
                <w:color w:val="auto"/>
                <w:highlight w:val="none"/>
                <w:u w:val="none"/>
              </w:rPr>
              <w:t>符合</w:t>
            </w:r>
          </w:p>
        </w:tc>
      </w:tr>
      <w:tr w14:paraId="18DA8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Pr>
          <w:p w14:paraId="442F35A2">
            <w:pPr>
              <w:pStyle w:val="92"/>
              <w:rPr>
                <w:color w:val="auto"/>
                <w:highlight w:val="none"/>
                <w:u w:val="none"/>
              </w:rPr>
            </w:pPr>
          </w:p>
        </w:tc>
        <w:tc>
          <w:tcPr>
            <w:tcW w:w="245" w:type="pct"/>
            <w:vMerge w:val="continue"/>
            <w:shd w:val="clear" w:color="auto" w:fill="auto"/>
            <w:vAlign w:val="center"/>
          </w:tcPr>
          <w:p w14:paraId="622957A6">
            <w:pPr>
              <w:pStyle w:val="92"/>
              <w:rPr>
                <w:color w:val="auto"/>
                <w:kern w:val="0"/>
                <w:highlight w:val="none"/>
                <w:u w:val="none"/>
              </w:rPr>
            </w:pPr>
          </w:p>
        </w:tc>
        <w:tc>
          <w:tcPr>
            <w:tcW w:w="2956" w:type="pct"/>
            <w:gridSpan w:val="2"/>
            <w:shd w:val="clear" w:color="auto" w:fill="auto"/>
            <w:vAlign w:val="center"/>
          </w:tcPr>
          <w:p w14:paraId="6714664D">
            <w:pPr>
              <w:pStyle w:val="92"/>
              <w:jc w:val="left"/>
              <w:rPr>
                <w:color w:val="auto"/>
                <w:highlight w:val="none"/>
                <w:u w:val="none"/>
              </w:rPr>
            </w:pPr>
            <w:r>
              <w:rPr>
                <w:rFonts w:hint="eastAsia"/>
                <w:color w:val="auto"/>
                <w:highlight w:val="none"/>
                <w:u w:val="none"/>
              </w:rPr>
              <w:t>2.按照“提气、转电、控煤”的发展思路，推动陶瓷行业进一步优化用能结构，实现能源消费清洁低碳化。</w:t>
            </w:r>
          </w:p>
        </w:tc>
        <w:tc>
          <w:tcPr>
            <w:tcW w:w="1049" w:type="pct"/>
            <w:shd w:val="clear" w:color="auto" w:fill="auto"/>
            <w:vAlign w:val="center"/>
          </w:tcPr>
          <w:p w14:paraId="14A58080">
            <w:pPr>
              <w:pStyle w:val="92"/>
              <w:rPr>
                <w:color w:val="auto"/>
                <w:highlight w:val="none"/>
                <w:u w:val="none"/>
              </w:rPr>
            </w:pPr>
            <w:r>
              <w:rPr>
                <w:rFonts w:hint="eastAsia"/>
                <w:color w:val="auto"/>
                <w:highlight w:val="none"/>
                <w:u w:val="none"/>
              </w:rPr>
              <w:t>本项目不属于该要求规定类型项目</w:t>
            </w:r>
          </w:p>
        </w:tc>
        <w:tc>
          <w:tcPr>
            <w:tcW w:w="300" w:type="pct"/>
            <w:shd w:val="clear" w:color="auto" w:fill="auto"/>
            <w:vAlign w:val="center"/>
          </w:tcPr>
          <w:p w14:paraId="2C3F70E3">
            <w:pPr>
              <w:pStyle w:val="92"/>
              <w:rPr>
                <w:color w:val="auto"/>
                <w:highlight w:val="none"/>
                <w:u w:val="none"/>
              </w:rPr>
            </w:pPr>
            <w:r>
              <w:rPr>
                <w:rFonts w:hint="eastAsia"/>
                <w:color w:val="auto"/>
                <w:highlight w:val="none"/>
                <w:u w:val="none"/>
              </w:rPr>
              <w:t>符合</w:t>
            </w:r>
          </w:p>
        </w:tc>
      </w:tr>
    </w:tbl>
    <w:p w14:paraId="13305C68">
      <w:pPr>
        <w:rPr>
          <w:rFonts w:hint="eastAsia"/>
          <w:color w:val="auto"/>
          <w:highlight w:val="none"/>
          <w:u w:val="none"/>
        </w:rPr>
      </w:pPr>
    </w:p>
    <w:p w14:paraId="4155CDD5">
      <w:pPr>
        <w:pStyle w:val="86"/>
        <w:rPr>
          <w:rFonts w:hint="eastAsia"/>
          <w:color w:val="auto"/>
          <w:highlight w:val="none"/>
          <w:u w:val="none"/>
        </w:rPr>
      </w:pPr>
      <w:bookmarkStart w:id="410" w:name="_Ref14916618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410"/>
      <w:r>
        <w:rPr>
          <w:color w:val="auto"/>
          <w:highlight w:val="none"/>
          <w:u w:val="none"/>
        </w:rPr>
        <w:t xml:space="preserve">  项目与</w:t>
      </w:r>
      <w:r>
        <w:rPr>
          <w:rFonts w:hint="eastAsia"/>
          <w:color w:val="auto"/>
          <w:highlight w:val="none"/>
          <w:u w:val="none"/>
        </w:rPr>
        <w:t>“福清市生态环境准入清单”</w:t>
      </w:r>
      <w:r>
        <w:rPr>
          <w:color w:val="auto"/>
          <w:highlight w:val="none"/>
          <w:u w:val="none"/>
        </w:rPr>
        <w:t>相符性</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08"/>
        <w:gridCol w:w="1267"/>
        <w:gridCol w:w="1038"/>
        <w:gridCol w:w="958"/>
        <w:gridCol w:w="6001"/>
        <w:gridCol w:w="3011"/>
        <w:gridCol w:w="791"/>
      </w:tblGrid>
      <w:tr w14:paraId="5AFD7A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Align w:val="center"/>
          </w:tcPr>
          <w:p w14:paraId="13C64C3C">
            <w:pPr>
              <w:pStyle w:val="92"/>
              <w:rPr>
                <w:color w:val="auto"/>
                <w:highlight w:val="none"/>
                <w:u w:val="none"/>
              </w:rPr>
            </w:pPr>
            <w:r>
              <w:rPr>
                <w:color w:val="auto"/>
                <w:highlight w:val="none"/>
                <w:u w:val="none"/>
              </w:rPr>
              <w:t>环境管控</w:t>
            </w:r>
          </w:p>
          <w:p w14:paraId="396743D5">
            <w:pPr>
              <w:pStyle w:val="92"/>
              <w:rPr>
                <w:color w:val="auto"/>
                <w:highlight w:val="none"/>
                <w:u w:val="none"/>
              </w:rPr>
            </w:pPr>
            <w:r>
              <w:rPr>
                <w:color w:val="auto"/>
                <w:highlight w:val="none"/>
                <w:u w:val="none"/>
              </w:rPr>
              <w:t>单元编码</w:t>
            </w:r>
          </w:p>
        </w:tc>
        <w:tc>
          <w:tcPr>
            <w:tcW w:w="447" w:type="pct"/>
            <w:vAlign w:val="center"/>
          </w:tcPr>
          <w:p w14:paraId="49A21865">
            <w:pPr>
              <w:pStyle w:val="92"/>
              <w:rPr>
                <w:color w:val="auto"/>
                <w:highlight w:val="none"/>
                <w:u w:val="none"/>
              </w:rPr>
            </w:pPr>
            <w:r>
              <w:rPr>
                <w:color w:val="auto"/>
                <w:highlight w:val="none"/>
                <w:u w:val="none"/>
              </w:rPr>
              <w:t>环境管控</w:t>
            </w:r>
          </w:p>
          <w:p w14:paraId="6A8EC89C">
            <w:pPr>
              <w:pStyle w:val="92"/>
              <w:rPr>
                <w:color w:val="auto"/>
                <w:highlight w:val="none"/>
                <w:u w:val="none"/>
              </w:rPr>
            </w:pPr>
            <w:r>
              <w:rPr>
                <w:color w:val="auto"/>
                <w:highlight w:val="none"/>
                <w:u w:val="none"/>
              </w:rPr>
              <w:t>单元名称</w:t>
            </w:r>
          </w:p>
        </w:tc>
        <w:tc>
          <w:tcPr>
            <w:tcW w:w="366" w:type="pct"/>
            <w:vAlign w:val="center"/>
          </w:tcPr>
          <w:p w14:paraId="02B2F46C">
            <w:pPr>
              <w:pStyle w:val="92"/>
              <w:rPr>
                <w:color w:val="auto"/>
                <w:highlight w:val="none"/>
                <w:u w:val="none"/>
              </w:rPr>
            </w:pPr>
            <w:r>
              <w:rPr>
                <w:color w:val="auto"/>
                <w:highlight w:val="none"/>
                <w:u w:val="none"/>
              </w:rPr>
              <w:t>管控单元类别</w:t>
            </w:r>
          </w:p>
        </w:tc>
        <w:tc>
          <w:tcPr>
            <w:tcW w:w="2455" w:type="pct"/>
            <w:gridSpan w:val="2"/>
            <w:vAlign w:val="center"/>
          </w:tcPr>
          <w:p w14:paraId="26578E5B">
            <w:pPr>
              <w:pStyle w:val="92"/>
              <w:rPr>
                <w:color w:val="auto"/>
                <w:highlight w:val="none"/>
                <w:u w:val="none"/>
              </w:rPr>
            </w:pPr>
            <w:r>
              <w:rPr>
                <w:color w:val="auto"/>
                <w:highlight w:val="none"/>
                <w:u w:val="none"/>
              </w:rPr>
              <w:t>管控要求</w:t>
            </w:r>
          </w:p>
        </w:tc>
        <w:tc>
          <w:tcPr>
            <w:tcW w:w="1062" w:type="pct"/>
            <w:vAlign w:val="center"/>
          </w:tcPr>
          <w:p w14:paraId="07FCF89B">
            <w:pPr>
              <w:pStyle w:val="92"/>
              <w:rPr>
                <w:color w:val="auto"/>
                <w:highlight w:val="none"/>
                <w:u w:val="none"/>
              </w:rPr>
            </w:pPr>
            <w:r>
              <w:rPr>
                <w:color w:val="auto"/>
                <w:highlight w:val="none"/>
                <w:u w:val="none"/>
              </w:rPr>
              <w:t>本项目内容</w:t>
            </w:r>
          </w:p>
        </w:tc>
        <w:tc>
          <w:tcPr>
            <w:tcW w:w="280" w:type="pct"/>
            <w:vAlign w:val="center"/>
          </w:tcPr>
          <w:p w14:paraId="0ED9F7A0">
            <w:pPr>
              <w:pStyle w:val="92"/>
              <w:rPr>
                <w:color w:val="auto"/>
                <w:highlight w:val="none"/>
                <w:u w:val="none"/>
              </w:rPr>
            </w:pPr>
            <w:r>
              <w:rPr>
                <w:color w:val="auto"/>
                <w:highlight w:val="none"/>
                <w:u w:val="none"/>
              </w:rPr>
              <w:t>符合性</w:t>
            </w:r>
          </w:p>
        </w:tc>
      </w:tr>
      <w:tr w14:paraId="17EF93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restart"/>
            <w:vAlign w:val="center"/>
          </w:tcPr>
          <w:p w14:paraId="49434F5B">
            <w:pPr>
              <w:pStyle w:val="92"/>
              <w:rPr>
                <w:bCs/>
                <w:snapToGrid w:val="0"/>
                <w:color w:val="auto"/>
                <w:highlight w:val="none"/>
                <w:u w:val="none"/>
              </w:rPr>
            </w:pPr>
            <w:r>
              <w:rPr>
                <w:rFonts w:hint="eastAsia"/>
                <w:bCs/>
                <w:snapToGrid w:val="0"/>
                <w:color w:val="auto"/>
                <w:highlight w:val="none"/>
                <w:u w:val="none"/>
              </w:rPr>
              <w:t>ZH35018</w:t>
            </w:r>
          </w:p>
          <w:p w14:paraId="36482A34">
            <w:pPr>
              <w:pStyle w:val="92"/>
              <w:rPr>
                <w:color w:val="auto"/>
                <w:highlight w:val="none"/>
                <w:u w:val="none"/>
              </w:rPr>
            </w:pPr>
            <w:r>
              <w:rPr>
                <w:rFonts w:hint="eastAsia"/>
                <w:bCs/>
                <w:snapToGrid w:val="0"/>
                <w:color w:val="auto"/>
                <w:highlight w:val="none"/>
                <w:u w:val="none"/>
              </w:rPr>
              <w:t>120009</w:t>
            </w:r>
          </w:p>
        </w:tc>
        <w:tc>
          <w:tcPr>
            <w:tcW w:w="447" w:type="pct"/>
            <w:vMerge w:val="restart"/>
            <w:vAlign w:val="center"/>
          </w:tcPr>
          <w:p w14:paraId="0987E60F">
            <w:pPr>
              <w:pStyle w:val="92"/>
              <w:rPr>
                <w:color w:val="auto"/>
                <w:highlight w:val="none"/>
                <w:u w:val="none"/>
              </w:rPr>
            </w:pPr>
            <w:r>
              <w:rPr>
                <w:rFonts w:hint="eastAsia"/>
                <w:color w:val="auto"/>
                <w:highlight w:val="none"/>
                <w:u w:val="none"/>
              </w:rPr>
              <w:t>福清市重点管控单元2</w:t>
            </w:r>
          </w:p>
        </w:tc>
        <w:tc>
          <w:tcPr>
            <w:tcW w:w="366" w:type="pct"/>
            <w:vMerge w:val="restart"/>
            <w:vAlign w:val="center"/>
          </w:tcPr>
          <w:p w14:paraId="3D9186C5">
            <w:pPr>
              <w:pStyle w:val="92"/>
              <w:rPr>
                <w:color w:val="auto"/>
                <w:highlight w:val="none"/>
                <w:u w:val="none"/>
              </w:rPr>
            </w:pPr>
            <w:r>
              <w:rPr>
                <w:color w:val="auto"/>
                <w:highlight w:val="none"/>
                <w:u w:val="none"/>
              </w:rPr>
              <w:t>重点管控单元</w:t>
            </w:r>
          </w:p>
        </w:tc>
        <w:tc>
          <w:tcPr>
            <w:tcW w:w="338" w:type="pct"/>
            <w:vAlign w:val="center"/>
          </w:tcPr>
          <w:p w14:paraId="12EC0BAF">
            <w:pPr>
              <w:pStyle w:val="92"/>
              <w:rPr>
                <w:color w:val="auto"/>
                <w:highlight w:val="none"/>
                <w:u w:val="none"/>
              </w:rPr>
            </w:pPr>
            <w:r>
              <w:rPr>
                <w:color w:val="auto"/>
                <w:highlight w:val="none"/>
                <w:u w:val="none"/>
              </w:rPr>
              <w:t>空间布局约束</w:t>
            </w:r>
          </w:p>
        </w:tc>
        <w:tc>
          <w:tcPr>
            <w:tcW w:w="2117" w:type="pct"/>
            <w:vAlign w:val="center"/>
          </w:tcPr>
          <w:p w14:paraId="0489036E">
            <w:pPr>
              <w:pStyle w:val="92"/>
              <w:jc w:val="left"/>
              <w:rPr>
                <w:color w:val="auto"/>
                <w:highlight w:val="none"/>
                <w:u w:val="none"/>
              </w:rPr>
            </w:pPr>
            <w:r>
              <w:rPr>
                <w:rFonts w:hint="eastAsia"/>
                <w:color w:val="auto"/>
                <w:highlight w:val="none"/>
                <w:u w:val="none"/>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1755580C">
            <w:pPr>
              <w:pStyle w:val="92"/>
              <w:jc w:val="left"/>
              <w:rPr>
                <w:color w:val="auto"/>
                <w:highlight w:val="none"/>
                <w:u w:val="none"/>
              </w:rPr>
            </w:pPr>
            <w:r>
              <w:rPr>
                <w:rFonts w:hint="eastAsia"/>
                <w:color w:val="auto"/>
                <w:highlight w:val="none"/>
                <w:u w:val="none"/>
              </w:rPr>
              <w:t>2.严格控制包装印刷、工业涂装、制鞋等高VOCs排放的项目建设，相关新建项目必须进入工业园区。</w:t>
            </w:r>
          </w:p>
          <w:p w14:paraId="401F89F8">
            <w:pPr>
              <w:pStyle w:val="92"/>
              <w:jc w:val="left"/>
              <w:rPr>
                <w:color w:val="auto"/>
                <w:highlight w:val="none"/>
                <w:u w:val="none"/>
              </w:rPr>
            </w:pPr>
            <w:r>
              <w:rPr>
                <w:rFonts w:hint="eastAsia"/>
                <w:color w:val="auto"/>
                <w:highlight w:val="none"/>
                <w:u w:val="none"/>
              </w:rPr>
              <w:t>3.禁止开发利用未经评估和无害化处理的列入建设用地污染地块名录及开发利用负面清单的土地。</w:t>
            </w:r>
          </w:p>
        </w:tc>
        <w:tc>
          <w:tcPr>
            <w:tcW w:w="1062" w:type="pct"/>
            <w:vAlign w:val="center"/>
          </w:tcPr>
          <w:p w14:paraId="14FCBF1F">
            <w:pPr>
              <w:pStyle w:val="92"/>
              <w:rPr>
                <w:color w:val="auto"/>
                <w:highlight w:val="none"/>
                <w:u w:val="none"/>
              </w:rPr>
            </w:pPr>
            <w:r>
              <w:rPr>
                <w:rFonts w:hint="eastAsia"/>
                <w:color w:val="auto"/>
                <w:highlight w:val="none"/>
                <w:u w:val="none"/>
              </w:rPr>
              <w:t>本项目为有机化学原料制造项目，位于</w:t>
            </w:r>
            <w:r>
              <w:rPr>
                <w:color w:val="auto"/>
                <w:highlight w:val="none"/>
                <w:u w:val="none"/>
              </w:rPr>
              <w:t>江阴港城经济区</w:t>
            </w:r>
            <w:r>
              <w:rPr>
                <w:rFonts w:hint="eastAsia"/>
                <w:color w:val="auto"/>
                <w:highlight w:val="none"/>
                <w:u w:val="none"/>
              </w:rPr>
              <w:t>的</w:t>
            </w:r>
            <w:r>
              <w:rPr>
                <w:color w:val="auto"/>
                <w:highlight w:val="none"/>
                <w:u w:val="none"/>
              </w:rPr>
              <w:t>西部临港产业区</w:t>
            </w:r>
            <w:r>
              <w:rPr>
                <w:rFonts w:hint="eastAsia"/>
                <w:color w:val="auto"/>
                <w:highlight w:val="none"/>
                <w:u w:val="none"/>
              </w:rPr>
              <w:t>，为化工园区。</w:t>
            </w:r>
          </w:p>
        </w:tc>
        <w:tc>
          <w:tcPr>
            <w:tcW w:w="280" w:type="pct"/>
            <w:vAlign w:val="center"/>
          </w:tcPr>
          <w:p w14:paraId="3F3CBB70">
            <w:pPr>
              <w:pStyle w:val="92"/>
              <w:rPr>
                <w:color w:val="auto"/>
                <w:highlight w:val="none"/>
                <w:u w:val="none"/>
              </w:rPr>
            </w:pPr>
            <w:r>
              <w:rPr>
                <w:rFonts w:hint="eastAsia"/>
                <w:color w:val="auto"/>
                <w:highlight w:val="none"/>
                <w:u w:val="none"/>
              </w:rPr>
              <w:t>符合</w:t>
            </w:r>
          </w:p>
        </w:tc>
      </w:tr>
      <w:tr w14:paraId="70F46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continue"/>
            <w:vAlign w:val="center"/>
          </w:tcPr>
          <w:p w14:paraId="5D07D5B4">
            <w:pPr>
              <w:pStyle w:val="92"/>
              <w:rPr>
                <w:color w:val="auto"/>
                <w:highlight w:val="none"/>
                <w:u w:val="none"/>
              </w:rPr>
            </w:pPr>
          </w:p>
        </w:tc>
        <w:tc>
          <w:tcPr>
            <w:tcW w:w="447" w:type="pct"/>
            <w:vMerge w:val="continue"/>
            <w:vAlign w:val="center"/>
          </w:tcPr>
          <w:p w14:paraId="109E4D7C">
            <w:pPr>
              <w:pStyle w:val="92"/>
              <w:rPr>
                <w:color w:val="auto"/>
                <w:highlight w:val="none"/>
                <w:u w:val="none"/>
              </w:rPr>
            </w:pPr>
          </w:p>
        </w:tc>
        <w:tc>
          <w:tcPr>
            <w:tcW w:w="366" w:type="pct"/>
            <w:vMerge w:val="continue"/>
            <w:vAlign w:val="center"/>
          </w:tcPr>
          <w:p w14:paraId="240F4186">
            <w:pPr>
              <w:pStyle w:val="92"/>
              <w:rPr>
                <w:color w:val="auto"/>
                <w:highlight w:val="none"/>
                <w:u w:val="none"/>
              </w:rPr>
            </w:pPr>
          </w:p>
        </w:tc>
        <w:tc>
          <w:tcPr>
            <w:tcW w:w="338" w:type="pct"/>
            <w:vAlign w:val="center"/>
          </w:tcPr>
          <w:p w14:paraId="78518359">
            <w:pPr>
              <w:pStyle w:val="92"/>
              <w:rPr>
                <w:color w:val="auto"/>
                <w:highlight w:val="none"/>
                <w:u w:val="none"/>
              </w:rPr>
            </w:pPr>
            <w:r>
              <w:rPr>
                <w:color w:val="auto"/>
                <w:highlight w:val="none"/>
                <w:u w:val="none"/>
              </w:rPr>
              <w:t>污染物排放管控</w:t>
            </w:r>
          </w:p>
        </w:tc>
        <w:tc>
          <w:tcPr>
            <w:tcW w:w="2117" w:type="pct"/>
            <w:vAlign w:val="center"/>
          </w:tcPr>
          <w:p w14:paraId="6A28ED15">
            <w:pPr>
              <w:pStyle w:val="92"/>
              <w:jc w:val="left"/>
              <w:rPr>
                <w:color w:val="auto"/>
                <w:highlight w:val="none"/>
                <w:u w:val="none"/>
              </w:rPr>
            </w:pPr>
            <w:r>
              <w:rPr>
                <w:rFonts w:hint="eastAsia"/>
                <w:color w:val="auto"/>
                <w:highlight w:val="none"/>
                <w:u w:val="none"/>
              </w:rPr>
              <w:t>落实新增二氧化硫、氮氧化物和VOCs排放总量控制要求。</w:t>
            </w:r>
          </w:p>
        </w:tc>
        <w:tc>
          <w:tcPr>
            <w:tcW w:w="1062" w:type="pct"/>
            <w:vAlign w:val="center"/>
          </w:tcPr>
          <w:p w14:paraId="3F1C334B">
            <w:pPr>
              <w:pStyle w:val="92"/>
              <w:jc w:val="left"/>
              <w:rPr>
                <w:color w:val="auto"/>
                <w:highlight w:val="none"/>
                <w:u w:val="none"/>
              </w:rPr>
            </w:pPr>
            <w:r>
              <w:rPr>
                <w:rFonts w:hint="eastAsia"/>
                <w:color w:val="auto"/>
                <w:highlight w:val="none"/>
                <w:u w:val="none"/>
              </w:rPr>
              <w:t>本项目不排放二氧化硫和氮氧化物，排放的VOCs实现区域内倍量替代。</w:t>
            </w:r>
          </w:p>
        </w:tc>
        <w:tc>
          <w:tcPr>
            <w:tcW w:w="280" w:type="pct"/>
            <w:vAlign w:val="center"/>
          </w:tcPr>
          <w:p w14:paraId="37E896F8">
            <w:pPr>
              <w:pStyle w:val="92"/>
              <w:rPr>
                <w:color w:val="auto"/>
                <w:highlight w:val="none"/>
                <w:u w:val="none"/>
              </w:rPr>
            </w:pPr>
            <w:r>
              <w:rPr>
                <w:rFonts w:hint="eastAsia"/>
                <w:color w:val="auto"/>
                <w:highlight w:val="none"/>
                <w:u w:val="none"/>
              </w:rPr>
              <w:t>符合</w:t>
            </w:r>
          </w:p>
        </w:tc>
      </w:tr>
      <w:tr w14:paraId="3847E1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continue"/>
            <w:vAlign w:val="center"/>
          </w:tcPr>
          <w:p w14:paraId="6C779E88">
            <w:pPr>
              <w:pStyle w:val="92"/>
              <w:rPr>
                <w:color w:val="auto"/>
                <w:highlight w:val="none"/>
                <w:u w:val="none"/>
              </w:rPr>
            </w:pPr>
          </w:p>
        </w:tc>
        <w:tc>
          <w:tcPr>
            <w:tcW w:w="447" w:type="pct"/>
            <w:vMerge w:val="continue"/>
            <w:vAlign w:val="center"/>
          </w:tcPr>
          <w:p w14:paraId="4409BEEB">
            <w:pPr>
              <w:pStyle w:val="92"/>
              <w:rPr>
                <w:color w:val="auto"/>
                <w:highlight w:val="none"/>
                <w:u w:val="none"/>
              </w:rPr>
            </w:pPr>
          </w:p>
        </w:tc>
        <w:tc>
          <w:tcPr>
            <w:tcW w:w="366" w:type="pct"/>
            <w:vMerge w:val="continue"/>
            <w:vAlign w:val="center"/>
          </w:tcPr>
          <w:p w14:paraId="44EE0C6C">
            <w:pPr>
              <w:pStyle w:val="92"/>
              <w:rPr>
                <w:color w:val="auto"/>
                <w:highlight w:val="none"/>
                <w:u w:val="none"/>
              </w:rPr>
            </w:pPr>
          </w:p>
        </w:tc>
        <w:tc>
          <w:tcPr>
            <w:tcW w:w="338" w:type="pct"/>
            <w:vAlign w:val="center"/>
          </w:tcPr>
          <w:p w14:paraId="7B5F56E9">
            <w:pPr>
              <w:pStyle w:val="92"/>
              <w:rPr>
                <w:color w:val="auto"/>
                <w:highlight w:val="none"/>
                <w:u w:val="none"/>
              </w:rPr>
            </w:pPr>
            <w:r>
              <w:rPr>
                <w:color w:val="auto"/>
                <w:highlight w:val="none"/>
                <w:u w:val="none"/>
              </w:rPr>
              <w:t>环境风险防控</w:t>
            </w:r>
          </w:p>
        </w:tc>
        <w:tc>
          <w:tcPr>
            <w:tcW w:w="2117" w:type="pct"/>
            <w:vAlign w:val="center"/>
          </w:tcPr>
          <w:p w14:paraId="13961405">
            <w:pPr>
              <w:pStyle w:val="92"/>
              <w:jc w:val="left"/>
              <w:rPr>
                <w:color w:val="auto"/>
                <w:highlight w:val="none"/>
                <w:u w:val="none"/>
              </w:rPr>
            </w:pPr>
            <w:r>
              <w:rPr>
                <w:rFonts w:hint="eastAsia"/>
                <w:color w:val="auto"/>
                <w:highlight w:val="none"/>
                <w:u w:val="none"/>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062" w:type="pct"/>
            <w:vAlign w:val="center"/>
          </w:tcPr>
          <w:p w14:paraId="7F8AC287">
            <w:pPr>
              <w:pStyle w:val="92"/>
              <w:jc w:val="left"/>
              <w:rPr>
                <w:color w:val="auto"/>
                <w:highlight w:val="none"/>
                <w:u w:val="none"/>
              </w:rPr>
            </w:pPr>
            <w:r>
              <w:rPr>
                <w:rFonts w:hint="eastAsia"/>
                <w:color w:val="auto"/>
                <w:highlight w:val="none"/>
                <w:u w:val="none"/>
              </w:rPr>
              <w:t>本项目为技改扩能项目，待企业停产退役后，将进行土壤环境状况评估，并根据评估结果开展相应的修复。</w:t>
            </w:r>
          </w:p>
        </w:tc>
        <w:tc>
          <w:tcPr>
            <w:tcW w:w="280" w:type="pct"/>
            <w:vAlign w:val="center"/>
          </w:tcPr>
          <w:p w14:paraId="0955B686">
            <w:pPr>
              <w:pStyle w:val="92"/>
              <w:rPr>
                <w:color w:val="auto"/>
                <w:highlight w:val="none"/>
                <w:u w:val="none"/>
              </w:rPr>
            </w:pPr>
            <w:r>
              <w:rPr>
                <w:rFonts w:hint="eastAsia"/>
                <w:color w:val="auto"/>
                <w:highlight w:val="none"/>
                <w:u w:val="none"/>
              </w:rPr>
              <w:t>符合</w:t>
            </w:r>
          </w:p>
        </w:tc>
      </w:tr>
      <w:tr w14:paraId="1EAFA4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1" w:type="pct"/>
            <w:vMerge w:val="continue"/>
            <w:vAlign w:val="center"/>
          </w:tcPr>
          <w:p w14:paraId="389D667B">
            <w:pPr>
              <w:pStyle w:val="92"/>
              <w:rPr>
                <w:color w:val="auto"/>
                <w:highlight w:val="none"/>
                <w:u w:val="none"/>
              </w:rPr>
            </w:pPr>
          </w:p>
        </w:tc>
        <w:tc>
          <w:tcPr>
            <w:tcW w:w="447" w:type="pct"/>
            <w:vMerge w:val="continue"/>
            <w:vAlign w:val="center"/>
          </w:tcPr>
          <w:p w14:paraId="09715148">
            <w:pPr>
              <w:pStyle w:val="92"/>
              <w:rPr>
                <w:color w:val="auto"/>
                <w:highlight w:val="none"/>
                <w:u w:val="none"/>
              </w:rPr>
            </w:pPr>
          </w:p>
        </w:tc>
        <w:tc>
          <w:tcPr>
            <w:tcW w:w="366" w:type="pct"/>
            <w:vMerge w:val="continue"/>
            <w:vAlign w:val="center"/>
          </w:tcPr>
          <w:p w14:paraId="5B47ED67">
            <w:pPr>
              <w:pStyle w:val="92"/>
              <w:rPr>
                <w:color w:val="auto"/>
                <w:highlight w:val="none"/>
                <w:u w:val="none"/>
              </w:rPr>
            </w:pPr>
          </w:p>
        </w:tc>
        <w:tc>
          <w:tcPr>
            <w:tcW w:w="338" w:type="pct"/>
            <w:vAlign w:val="center"/>
          </w:tcPr>
          <w:p w14:paraId="716B75BC">
            <w:pPr>
              <w:pStyle w:val="92"/>
              <w:rPr>
                <w:color w:val="auto"/>
                <w:highlight w:val="none"/>
                <w:u w:val="none"/>
              </w:rPr>
            </w:pPr>
            <w:r>
              <w:rPr>
                <w:color w:val="auto"/>
                <w:highlight w:val="none"/>
                <w:u w:val="none"/>
              </w:rPr>
              <w:t>资源开发效率要求</w:t>
            </w:r>
          </w:p>
        </w:tc>
        <w:tc>
          <w:tcPr>
            <w:tcW w:w="2117" w:type="pct"/>
            <w:vAlign w:val="center"/>
          </w:tcPr>
          <w:p w14:paraId="4290AE06">
            <w:pPr>
              <w:pStyle w:val="92"/>
              <w:jc w:val="left"/>
              <w:rPr>
                <w:color w:val="auto"/>
                <w:highlight w:val="none"/>
                <w:u w:val="none"/>
              </w:rPr>
            </w:pPr>
            <w:r>
              <w:rPr>
                <w:rFonts w:hint="eastAsia"/>
                <w:color w:val="auto"/>
                <w:highlight w:val="none"/>
                <w:u w:val="none"/>
              </w:rPr>
              <w:t>高污染燃料禁燃区内禁止燃用高污染燃料，禁止新建、扩建燃用高污染燃料的设施。已建的燃用高污染燃料设施，限期改用电、天然气、液化石油气等清洁能源。</w:t>
            </w:r>
          </w:p>
        </w:tc>
        <w:tc>
          <w:tcPr>
            <w:tcW w:w="1062" w:type="pct"/>
            <w:vAlign w:val="center"/>
          </w:tcPr>
          <w:p w14:paraId="4370F86B">
            <w:pPr>
              <w:pStyle w:val="92"/>
              <w:rPr>
                <w:color w:val="auto"/>
                <w:highlight w:val="none"/>
                <w:u w:val="none"/>
              </w:rPr>
            </w:pPr>
            <w:r>
              <w:rPr>
                <w:rFonts w:hint="eastAsia"/>
                <w:color w:val="auto"/>
                <w:highlight w:val="none"/>
                <w:u w:val="none"/>
              </w:rPr>
              <w:t>项目由园区集中供热</w:t>
            </w:r>
          </w:p>
        </w:tc>
        <w:tc>
          <w:tcPr>
            <w:tcW w:w="280" w:type="pct"/>
            <w:vAlign w:val="center"/>
          </w:tcPr>
          <w:p w14:paraId="5FF6EB59">
            <w:pPr>
              <w:pStyle w:val="92"/>
              <w:rPr>
                <w:color w:val="auto"/>
                <w:highlight w:val="none"/>
                <w:u w:val="none"/>
              </w:rPr>
            </w:pPr>
            <w:r>
              <w:rPr>
                <w:rFonts w:hint="eastAsia"/>
                <w:color w:val="auto"/>
                <w:highlight w:val="none"/>
                <w:u w:val="none"/>
              </w:rPr>
              <w:t>符合</w:t>
            </w:r>
          </w:p>
        </w:tc>
      </w:tr>
    </w:tbl>
    <w:p w14:paraId="533EF82F">
      <w:pPr>
        <w:pStyle w:val="86"/>
        <w:rPr>
          <w:rFonts w:hint="eastAsia"/>
          <w:color w:val="auto"/>
          <w:highlight w:val="none"/>
          <w:u w:val="none"/>
        </w:rPr>
      </w:pPr>
    </w:p>
    <w:p w14:paraId="31C41797">
      <w:pPr>
        <w:pStyle w:val="86"/>
        <w:rPr>
          <w:rFonts w:hint="eastAsia"/>
          <w:color w:val="auto"/>
          <w:highlight w:val="none"/>
          <w:u w:val="none"/>
        </w:rPr>
      </w:pPr>
    </w:p>
    <w:p w14:paraId="4AC9C0A4">
      <w:pPr>
        <w:pStyle w:val="86"/>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38F023AD">
      <w:pPr>
        <w:pStyle w:val="7"/>
        <w:spacing w:before="156"/>
        <w:rPr>
          <w:color w:val="auto"/>
          <w:highlight w:val="none"/>
          <w:u w:val="none"/>
        </w:rPr>
      </w:pPr>
      <w:bookmarkStart w:id="411" w:name="_Toc148374578"/>
      <w:bookmarkStart w:id="412" w:name="_Toc148375020"/>
      <w:r>
        <w:rPr>
          <w:rFonts w:hint="eastAsia"/>
          <w:color w:val="auto"/>
          <w:highlight w:val="none"/>
          <w:u w:val="none"/>
        </w:rPr>
        <w:t>与《</w:t>
      </w:r>
      <w:r>
        <w:rPr>
          <w:rFonts w:hint="eastAsia"/>
          <w:color w:val="auto"/>
          <w:highlight w:val="none"/>
          <w:u w:val="none"/>
          <w:lang w:val="en-US"/>
        </w:rPr>
        <w:t>石化</w:t>
      </w:r>
      <w:r>
        <w:rPr>
          <w:rFonts w:hint="eastAsia"/>
          <w:color w:val="auto"/>
          <w:highlight w:val="none"/>
          <w:u w:val="none"/>
        </w:rPr>
        <w:t>建设项目环境影响评价文件审批原则》的符合性分析</w:t>
      </w:r>
    </w:p>
    <w:p w14:paraId="6F95845A">
      <w:pPr>
        <w:pStyle w:val="5"/>
        <w:ind w:firstLine="480"/>
        <w:rPr>
          <w:rFonts w:hint="eastAsia"/>
          <w:color w:val="auto"/>
          <w:highlight w:val="none"/>
          <w:u w:val="none"/>
        </w:rPr>
      </w:pPr>
      <w:r>
        <w:rPr>
          <w:rFonts w:hint="eastAsia"/>
          <w:color w:val="auto"/>
          <w:highlight w:val="none"/>
          <w:u w:val="none"/>
        </w:rPr>
        <w:t>本次TDI</w:t>
      </w:r>
      <w:r>
        <w:rPr>
          <w:rFonts w:hint="eastAsia"/>
          <w:color w:val="auto"/>
          <w:highlight w:val="none"/>
          <w:u w:val="none"/>
          <w:lang w:val="en-US"/>
        </w:rPr>
        <w:t>一期技改扩能</w:t>
      </w:r>
      <w:r>
        <w:rPr>
          <w:rFonts w:hint="eastAsia"/>
          <w:color w:val="auto"/>
          <w:highlight w:val="none"/>
          <w:u w:val="none"/>
        </w:rPr>
        <w:t>36万吨/年项目与《</w:t>
      </w:r>
      <w:r>
        <w:rPr>
          <w:rFonts w:hint="eastAsia"/>
          <w:color w:val="auto"/>
          <w:highlight w:val="none"/>
          <w:u w:val="none"/>
          <w:lang w:val="en-US"/>
        </w:rPr>
        <w:t>石化</w:t>
      </w:r>
      <w:r>
        <w:rPr>
          <w:rFonts w:hint="eastAsia"/>
          <w:color w:val="auto"/>
          <w:highlight w:val="none"/>
          <w:u w:val="none"/>
        </w:rPr>
        <w:t>建设项目环境影响评价文件审批原则》的符合性分析见</w:t>
      </w:r>
      <w:r>
        <w:rPr>
          <w:rFonts w:hint="eastAsia"/>
          <w:color w:val="auto"/>
          <w:highlight w:val="none"/>
          <w:u w:val="none"/>
        </w:rPr>
        <w:fldChar w:fldCharType="begin"/>
      </w:r>
      <w:r>
        <w:rPr>
          <w:rFonts w:hint="eastAsia"/>
          <w:color w:val="auto"/>
          <w:highlight w:val="none"/>
          <w:u w:val="none"/>
        </w:rPr>
        <w:instrText xml:space="preserve"> REF _Ref16063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4</w:t>
      </w:r>
      <w:r>
        <w:rPr>
          <w:rFonts w:hint="eastAsia"/>
          <w:color w:val="auto"/>
          <w:highlight w:val="none"/>
          <w:u w:val="none"/>
        </w:rPr>
        <w:fldChar w:fldCharType="end"/>
      </w:r>
      <w:r>
        <w:rPr>
          <w:rFonts w:hint="eastAsia"/>
          <w:color w:val="auto"/>
          <w:highlight w:val="none"/>
          <w:u w:val="none"/>
        </w:rPr>
        <w:t>，根据分析，本次</w:t>
      </w:r>
      <w:r>
        <w:rPr>
          <w:rFonts w:hint="eastAsia"/>
          <w:color w:val="auto"/>
          <w:highlight w:val="none"/>
          <w:u w:val="none"/>
          <w:lang w:val="en-US"/>
        </w:rPr>
        <w:t>技改扩能</w:t>
      </w:r>
      <w:r>
        <w:rPr>
          <w:rFonts w:hint="eastAsia"/>
          <w:color w:val="auto"/>
          <w:highlight w:val="none"/>
          <w:u w:val="none"/>
        </w:rPr>
        <w:t>项目符合《</w:t>
      </w:r>
      <w:r>
        <w:rPr>
          <w:rFonts w:hint="eastAsia"/>
          <w:color w:val="auto"/>
          <w:highlight w:val="none"/>
          <w:u w:val="none"/>
          <w:lang w:val="en-US"/>
        </w:rPr>
        <w:t>石化</w:t>
      </w:r>
      <w:r>
        <w:rPr>
          <w:rFonts w:hint="eastAsia"/>
          <w:color w:val="auto"/>
          <w:highlight w:val="none"/>
          <w:u w:val="none"/>
        </w:rPr>
        <w:t>建设项目环境影响评价文件审批原则》。</w:t>
      </w:r>
    </w:p>
    <w:p w14:paraId="56036F19">
      <w:pPr>
        <w:pStyle w:val="86"/>
        <w:ind w:firstLine="480"/>
        <w:rPr>
          <w:rFonts w:hint="eastAsia"/>
          <w:color w:val="auto"/>
          <w:highlight w:val="none"/>
          <w:u w:val="none"/>
        </w:rPr>
      </w:pPr>
      <w:bookmarkStart w:id="413" w:name="_Ref1606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413"/>
      <w:r>
        <w:rPr>
          <w:rFonts w:hint="eastAsia"/>
          <w:color w:val="auto"/>
          <w:highlight w:val="none"/>
          <w:u w:val="none"/>
        </w:rPr>
        <w:t xml:space="preserve">  与《石化建设项目环境影响评价审批原则》的符合性分析</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07"/>
        <w:gridCol w:w="4077"/>
        <w:gridCol w:w="1002"/>
      </w:tblGrid>
      <w:tr w14:paraId="3F882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265" w:type="pct"/>
            <w:vAlign w:val="center"/>
          </w:tcPr>
          <w:p w14:paraId="5CC9FC67">
            <w:pPr>
              <w:pStyle w:val="92"/>
              <w:rPr>
                <w:color w:val="auto"/>
                <w:highlight w:val="none"/>
                <w:u w:val="none"/>
              </w:rPr>
            </w:pPr>
            <w:r>
              <w:rPr>
                <w:rFonts w:hint="eastAsia"/>
                <w:color w:val="auto"/>
                <w:highlight w:val="none"/>
                <w:u w:val="none"/>
              </w:rPr>
              <w:t>《石化建设项目环境影响评价审批原则》的相关要求</w:t>
            </w:r>
          </w:p>
        </w:tc>
        <w:tc>
          <w:tcPr>
            <w:tcW w:w="2195" w:type="pct"/>
            <w:vAlign w:val="center"/>
          </w:tcPr>
          <w:p w14:paraId="4BE4F1F4">
            <w:pPr>
              <w:pStyle w:val="92"/>
              <w:rPr>
                <w:color w:val="auto"/>
                <w:highlight w:val="none"/>
                <w:u w:val="none"/>
              </w:rPr>
            </w:pPr>
            <w:r>
              <w:rPr>
                <w:rFonts w:hint="eastAsia"/>
                <w:color w:val="auto"/>
                <w:highlight w:val="none"/>
                <w:u w:val="none"/>
              </w:rPr>
              <w:t>本项目内容</w:t>
            </w:r>
          </w:p>
        </w:tc>
        <w:tc>
          <w:tcPr>
            <w:tcW w:w="539" w:type="pct"/>
            <w:vAlign w:val="center"/>
          </w:tcPr>
          <w:p w14:paraId="2923051E">
            <w:pPr>
              <w:pStyle w:val="92"/>
              <w:rPr>
                <w:color w:val="auto"/>
                <w:highlight w:val="none"/>
                <w:u w:val="none"/>
              </w:rPr>
            </w:pPr>
            <w:r>
              <w:rPr>
                <w:rFonts w:hint="eastAsia"/>
                <w:color w:val="auto"/>
                <w:highlight w:val="none"/>
                <w:u w:val="none"/>
              </w:rPr>
              <w:t>符合性</w:t>
            </w:r>
          </w:p>
        </w:tc>
      </w:tr>
      <w:tr w14:paraId="30F8B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64D2F38C">
            <w:pPr>
              <w:pStyle w:val="92"/>
              <w:rPr>
                <w:color w:val="auto"/>
                <w:highlight w:val="none"/>
                <w:u w:val="none"/>
              </w:rPr>
            </w:pPr>
            <w:r>
              <w:rPr>
                <w:rFonts w:hint="eastAsia"/>
                <w:color w:val="auto"/>
                <w:highlight w:val="none"/>
                <w:u w:val="none"/>
              </w:rPr>
              <w:t>项目选址应符合生态环境分区管控要求。新建、扩建建设项目应布设在依法合规设立的产业园区，并符合园区规划及规划环境影响评价要求。项目选址不得位于长江干支流岸线一公里范围内、黄河干支流岸线管控范围内等法律法规明确规定的禁止建设区域，应避开生态保护红线，尽可能远离居民集中区、医院、学校等环境敏感区。</w:t>
            </w:r>
          </w:p>
        </w:tc>
        <w:tc>
          <w:tcPr>
            <w:tcW w:w="2195" w:type="pct"/>
            <w:vAlign w:val="center"/>
          </w:tcPr>
          <w:p w14:paraId="0BD62DE9">
            <w:pPr>
              <w:pStyle w:val="92"/>
              <w:rPr>
                <w:color w:val="auto"/>
                <w:highlight w:val="none"/>
                <w:u w:val="none"/>
              </w:rPr>
            </w:pPr>
            <w:r>
              <w:rPr>
                <w:rFonts w:hint="eastAsia"/>
                <w:color w:val="auto"/>
                <w:highlight w:val="none"/>
                <w:u w:val="none"/>
              </w:rPr>
              <w:t>本项目选址在江阴港城经济区</w:t>
            </w:r>
            <w:r>
              <w:rPr>
                <w:color w:val="auto"/>
                <w:highlight w:val="none"/>
                <w:u w:val="none"/>
              </w:rPr>
              <w:t>的</w:t>
            </w:r>
            <w:r>
              <w:rPr>
                <w:rFonts w:hint="eastAsia"/>
                <w:color w:val="auto"/>
                <w:highlight w:val="none"/>
                <w:u w:val="none"/>
              </w:rPr>
              <w:t>西部临港产业区，为规划的工业用地，位于已认定的福州江阴港城经济区化工园区范围内（见</w:t>
            </w:r>
            <w:r>
              <w:rPr>
                <w:rFonts w:hint="eastAsia"/>
                <w:color w:val="auto"/>
                <w:highlight w:val="none"/>
                <w:u w:val="none"/>
              </w:rPr>
              <w:fldChar w:fldCharType="begin"/>
            </w:r>
            <w:r>
              <w:rPr>
                <w:rFonts w:hint="eastAsia"/>
                <w:color w:val="auto"/>
                <w:highlight w:val="none"/>
                <w:u w:val="none"/>
              </w:rPr>
              <w:instrText xml:space="preserve"> REF _Ref186703742 \h  \* MERGEFORMAT </w:instrText>
            </w:r>
            <w:r>
              <w:rPr>
                <w:rFonts w:hint="eastAsia"/>
                <w:color w:val="auto"/>
                <w:highlight w:val="none"/>
                <w:u w:val="none"/>
              </w:rPr>
              <w:fldChar w:fldCharType="separate"/>
            </w:r>
            <w:r>
              <w:rPr>
                <w:rFonts w:hint="eastAsia"/>
                <w:color w:val="auto"/>
                <w:highlight w:val="none"/>
                <w:u w:val="none"/>
              </w:rPr>
              <w:t xml:space="preserve">图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5.11</w:t>
            </w:r>
            <w:r>
              <w:rPr>
                <w:color w:val="auto"/>
                <w:highlight w:val="none"/>
                <w:u w:val="none"/>
              </w:rPr>
              <w:fldChar w:fldCharType="end"/>
            </w:r>
            <w:r>
              <w:rPr>
                <w:color w:val="auto"/>
                <w:highlight w:val="none"/>
                <w:u w:val="none"/>
              </w:rPr>
              <w:noBreakHyphen/>
            </w:r>
            <w:r>
              <w:rPr>
                <w:rFonts w:hint="eastAsia"/>
                <w:color w:val="auto"/>
                <w:highlight w:val="none"/>
                <w:u w:val="none"/>
              </w:rPr>
              <w:t>2</w:t>
            </w:r>
            <w:r>
              <w:rPr>
                <w:rFonts w:hint="eastAsia"/>
                <w:color w:val="auto"/>
                <w:highlight w:val="none"/>
                <w:u w:val="none"/>
              </w:rPr>
              <w:fldChar w:fldCharType="end"/>
            </w:r>
            <w:r>
              <w:rPr>
                <w:rFonts w:hint="eastAsia"/>
                <w:color w:val="auto"/>
                <w:highlight w:val="none"/>
                <w:u w:val="none"/>
              </w:rPr>
              <w:t>、附件</w:t>
            </w:r>
            <w:r>
              <w:rPr>
                <w:rFonts w:hint="eastAsia"/>
                <w:color w:val="auto"/>
                <w:highlight w:val="none"/>
                <w:u w:val="none"/>
                <w:lang w:val="en-US" w:eastAsia="zh-CN"/>
              </w:rPr>
              <w:t>4</w:t>
            </w:r>
            <w:r>
              <w:rPr>
                <w:rFonts w:hint="eastAsia"/>
                <w:color w:val="auto"/>
                <w:highlight w:val="none"/>
                <w:u w:val="none"/>
              </w:rPr>
              <w:t>）。</w:t>
            </w:r>
          </w:p>
          <w:p w14:paraId="32ABF446">
            <w:pPr>
              <w:pStyle w:val="92"/>
              <w:rPr>
                <w:color w:val="auto"/>
                <w:highlight w:val="none"/>
                <w:u w:val="none"/>
              </w:rPr>
            </w:pPr>
            <w:r>
              <w:rPr>
                <w:rFonts w:hint="eastAsia"/>
                <w:color w:val="auto"/>
                <w:highlight w:val="none"/>
                <w:u w:val="none"/>
              </w:rPr>
              <w:t>符合福清市国土空间规划和福州市生态环境分区管控要求，符合</w:t>
            </w:r>
            <w:r>
              <w:rPr>
                <w:color w:val="auto"/>
                <w:highlight w:val="none"/>
                <w:u w:val="none"/>
              </w:rPr>
              <w:t>《福州江阴港城总体规划（2018-2035）环境影响报告书》</w:t>
            </w:r>
            <w:r>
              <w:rPr>
                <w:rFonts w:hint="eastAsia"/>
                <w:color w:val="auto"/>
                <w:highlight w:val="none"/>
                <w:u w:val="none"/>
              </w:rPr>
              <w:t>、《江阴港城经济区产业发展规划环境影响报告书》</w:t>
            </w:r>
            <w:r>
              <w:rPr>
                <w:color w:val="auto"/>
                <w:highlight w:val="none"/>
                <w:u w:val="none"/>
              </w:rPr>
              <w:t>及其审查意见的要求</w:t>
            </w:r>
            <w:r>
              <w:rPr>
                <w:rFonts w:hint="eastAsia"/>
                <w:color w:val="auto"/>
                <w:highlight w:val="none"/>
                <w:u w:val="none"/>
              </w:rPr>
              <w:t>，项目选址与最近居民区距离均超过2600m，与其他居民集中区、医院、学校均有一段缓冲距离。</w:t>
            </w:r>
          </w:p>
        </w:tc>
        <w:tc>
          <w:tcPr>
            <w:tcW w:w="539" w:type="pct"/>
            <w:vAlign w:val="center"/>
          </w:tcPr>
          <w:p w14:paraId="09C6F6DA">
            <w:pPr>
              <w:pStyle w:val="92"/>
              <w:rPr>
                <w:color w:val="auto"/>
                <w:highlight w:val="none"/>
                <w:u w:val="none"/>
              </w:rPr>
            </w:pPr>
            <w:r>
              <w:rPr>
                <w:rFonts w:hint="eastAsia"/>
                <w:color w:val="auto"/>
                <w:highlight w:val="none"/>
                <w:u w:val="none"/>
              </w:rPr>
              <w:t>符合</w:t>
            </w:r>
          </w:p>
        </w:tc>
      </w:tr>
      <w:tr w14:paraId="7289B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51D25F80">
            <w:pPr>
              <w:pStyle w:val="92"/>
              <w:rPr>
                <w:color w:val="auto"/>
                <w:highlight w:val="none"/>
                <w:u w:val="none"/>
              </w:rPr>
            </w:pPr>
            <w:r>
              <w:rPr>
                <w:rFonts w:hint="eastAsia"/>
                <w:color w:val="auto"/>
                <w:highlight w:val="none"/>
                <w:u w:val="none"/>
              </w:rPr>
              <w:t>新建、扩建项目应采用先进适用的工艺技术和装备，单位产品物耗、能耗、水耗、污染物排放量和资源综合利用等应达到行业先进水平，炼油、乙烯、对二甲苯项目能效应达到行业标杆水平。</w:t>
            </w:r>
          </w:p>
          <w:p w14:paraId="0EA68FFD">
            <w:pPr>
              <w:pStyle w:val="92"/>
              <w:rPr>
                <w:color w:val="auto"/>
                <w:highlight w:val="none"/>
                <w:u w:val="none"/>
              </w:rPr>
            </w:pPr>
            <w:r>
              <w:rPr>
                <w:rFonts w:hint="eastAsia"/>
                <w:color w:val="auto"/>
                <w:highlight w:val="none"/>
                <w:u w:val="none"/>
              </w:rPr>
              <w:t>鼓励使用绿色原料、工艺及产品，使用清洁燃料、绿电、绿氢。鼓励实施循环经济，统筹利用园区内上下游资源。</w:t>
            </w:r>
          </w:p>
          <w:p w14:paraId="26EE9243">
            <w:pPr>
              <w:pStyle w:val="92"/>
              <w:rPr>
                <w:color w:val="auto"/>
                <w:highlight w:val="none"/>
                <w:u w:val="none"/>
              </w:rPr>
            </w:pPr>
            <w:r>
              <w:rPr>
                <w:rFonts w:hint="eastAsia"/>
                <w:color w:val="auto"/>
                <w:highlight w:val="none"/>
                <w:u w:val="none"/>
              </w:rPr>
              <w:t>强化节水措施，减少新鲜水用量。具备条件的地区，优先使用再生水、海水淡化水，采用海水作为循环冷却水；缺水地区优先采用空冷、闭式循环等节水技术。</w:t>
            </w:r>
          </w:p>
        </w:tc>
        <w:tc>
          <w:tcPr>
            <w:tcW w:w="2195" w:type="pct"/>
            <w:vAlign w:val="center"/>
          </w:tcPr>
          <w:p w14:paraId="296DD468">
            <w:pPr>
              <w:pStyle w:val="92"/>
              <w:rPr>
                <w:color w:val="auto"/>
                <w:highlight w:val="none"/>
                <w:u w:val="none"/>
              </w:rPr>
            </w:pPr>
            <w:r>
              <w:rPr>
                <w:color w:val="auto"/>
                <w:highlight w:val="none"/>
                <w:u w:val="none"/>
              </w:rPr>
              <w:t>本项目</w:t>
            </w:r>
            <w:r>
              <w:rPr>
                <w:rFonts w:hint="eastAsia"/>
                <w:color w:val="auto"/>
                <w:highlight w:val="none"/>
                <w:u w:val="none"/>
              </w:rPr>
              <w:t>采用</w:t>
            </w:r>
            <w:r>
              <w:rPr>
                <w:color w:val="auto"/>
                <w:highlight w:val="none"/>
                <w:u w:val="none"/>
              </w:rPr>
              <w:t>满足安全、节能、环保</w:t>
            </w:r>
            <w:r>
              <w:rPr>
                <w:rFonts w:hint="eastAsia"/>
                <w:color w:val="auto"/>
                <w:highlight w:val="none"/>
                <w:u w:val="none"/>
              </w:rPr>
              <w:t>要求的设备。</w:t>
            </w:r>
            <w:r>
              <w:rPr>
                <w:color w:val="auto"/>
                <w:highlight w:val="none"/>
                <w:u w:val="none"/>
              </w:rPr>
              <w:t>TDI装置生产过程采用集散控制系统（DCS）和安全仪表系统（SIS）优化控制生产过程</w:t>
            </w:r>
            <w:r>
              <w:rPr>
                <w:rFonts w:hint="eastAsia"/>
                <w:color w:val="auto"/>
                <w:highlight w:val="none"/>
                <w:u w:val="none"/>
              </w:rPr>
              <w:t>。</w:t>
            </w:r>
          </w:p>
          <w:p w14:paraId="757A58DE">
            <w:pPr>
              <w:pStyle w:val="92"/>
              <w:rPr>
                <w:color w:val="auto"/>
                <w:highlight w:val="none"/>
                <w:u w:val="none"/>
              </w:rPr>
            </w:pPr>
            <w:r>
              <w:rPr>
                <w:color w:val="auto"/>
                <w:highlight w:val="none"/>
                <w:u w:val="none"/>
              </w:rPr>
              <w:t>DNT单元拟采用瑞士BIAZZI公司先进的釜式搅拌反应工艺。TDA单元中的加氢反应部分采用了瑞士BIAZZI公司的工艺技术，精制部分由万华化学中央研究院自主研发。酸浓缩单元拟采用德国QVF公司的技术。TDI采用液相光气化法</w:t>
            </w:r>
            <w:r>
              <w:rPr>
                <w:rFonts w:hint="eastAsia"/>
                <w:color w:val="auto"/>
                <w:highlight w:val="none"/>
                <w:u w:val="none"/>
              </w:rPr>
              <w:t>生产技术</w:t>
            </w:r>
            <w:r>
              <w:rPr>
                <w:color w:val="auto"/>
                <w:highlight w:val="none"/>
                <w:u w:val="none"/>
              </w:rPr>
              <w:t>。均可以达到</w:t>
            </w:r>
            <w:r>
              <w:rPr>
                <w:rFonts w:hint="eastAsia"/>
                <w:color w:val="auto"/>
                <w:highlight w:val="none"/>
                <w:u w:val="none"/>
              </w:rPr>
              <w:t>同行业</w:t>
            </w:r>
            <w:r>
              <w:rPr>
                <w:color w:val="auto"/>
                <w:highlight w:val="none"/>
                <w:u w:val="none"/>
              </w:rPr>
              <w:t>先进技术水平</w:t>
            </w:r>
            <w:r>
              <w:rPr>
                <w:rFonts w:hint="eastAsia"/>
                <w:color w:val="auto"/>
                <w:highlight w:val="none"/>
                <w:u w:val="none"/>
              </w:rPr>
              <w:t>。</w:t>
            </w:r>
          </w:p>
          <w:p w14:paraId="71B03A9A">
            <w:pPr>
              <w:pStyle w:val="92"/>
              <w:rPr>
                <w:color w:val="auto"/>
                <w:highlight w:val="none"/>
                <w:u w:val="none"/>
              </w:rPr>
            </w:pPr>
            <w:r>
              <w:rPr>
                <w:rFonts w:hint="eastAsia"/>
                <w:color w:val="auto"/>
                <w:highlight w:val="none"/>
                <w:u w:val="none"/>
              </w:rPr>
              <w:t>同时根据清洁生产章节计算，项目单位产品物耗、能耗、水耗均可以达到行业先进水平，能效达到《甲苯二异氰酸酯和二苯基甲烷二异氰酸酯单位产品能源消耗限额》</w:t>
            </w:r>
            <w:r>
              <w:rPr>
                <w:color w:val="auto"/>
                <w:highlight w:val="none"/>
                <w:u w:val="none"/>
              </w:rPr>
              <w:t>（GB318</w:t>
            </w:r>
            <w:r>
              <w:rPr>
                <w:rFonts w:hint="eastAsia"/>
                <w:color w:val="auto"/>
                <w:highlight w:val="none"/>
                <w:u w:val="none"/>
              </w:rPr>
              <w:t>30</w:t>
            </w:r>
            <w:r>
              <w:rPr>
                <w:color w:val="auto"/>
                <w:highlight w:val="none"/>
                <w:u w:val="none"/>
              </w:rPr>
              <w:t>-20</w:t>
            </w:r>
            <w:r>
              <w:rPr>
                <w:rFonts w:hint="eastAsia"/>
                <w:color w:val="auto"/>
                <w:highlight w:val="none"/>
                <w:u w:val="none"/>
              </w:rPr>
              <w:t>24</w:t>
            </w:r>
            <w:r>
              <w:rPr>
                <w:color w:val="auto"/>
                <w:highlight w:val="none"/>
                <w:u w:val="none"/>
              </w:rPr>
              <w:t>）</w:t>
            </w:r>
            <w:r>
              <w:rPr>
                <w:rFonts w:hint="eastAsia"/>
                <w:color w:val="auto"/>
                <w:highlight w:val="none"/>
                <w:u w:val="none"/>
              </w:rPr>
              <w:t>中1级指标水平。</w:t>
            </w:r>
          </w:p>
        </w:tc>
        <w:tc>
          <w:tcPr>
            <w:tcW w:w="539" w:type="pct"/>
            <w:vAlign w:val="center"/>
          </w:tcPr>
          <w:p w14:paraId="10C50CD3">
            <w:pPr>
              <w:pStyle w:val="92"/>
              <w:rPr>
                <w:color w:val="auto"/>
                <w:highlight w:val="none"/>
                <w:u w:val="none"/>
              </w:rPr>
            </w:pPr>
            <w:r>
              <w:rPr>
                <w:rFonts w:hint="eastAsia"/>
                <w:color w:val="auto"/>
                <w:highlight w:val="none"/>
                <w:u w:val="none"/>
              </w:rPr>
              <w:t>符合</w:t>
            </w:r>
          </w:p>
        </w:tc>
      </w:tr>
      <w:tr w14:paraId="5ED6F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292E9F8A">
            <w:pPr>
              <w:pStyle w:val="92"/>
              <w:rPr>
                <w:color w:val="auto"/>
                <w:highlight w:val="none"/>
                <w:u w:val="none"/>
              </w:rPr>
            </w:pPr>
            <w:r>
              <w:rPr>
                <w:rFonts w:hint="eastAsia"/>
                <w:color w:val="auto"/>
                <w:highlight w:val="none"/>
                <w:u w:val="none"/>
              </w:rPr>
              <w:t>项目优先采用园区集中供热供汽，鼓励使用可再生能源，原则上不得配备燃煤自备电厂，不设或少设自备锅炉。确需建设自备电厂的，应符合国家及地方的相关规划和排放控制要求。加热炉、转化炉、裂解炉等应使用脱硫干气等清洁燃料，采取低氮燃烧等氮氧化物控制措施；催化裂化装置和动力站锅炉等应采取必要的脱硫、脱硝和除尘措施；其他有组织工艺废气应采取有效治理措施，减少污染物排放；原则上不得设置废气旁路，确需保留的应急类旁路，应安装流量计等自动监测设备。</w:t>
            </w:r>
          </w:p>
        </w:tc>
        <w:tc>
          <w:tcPr>
            <w:tcW w:w="2195" w:type="pct"/>
            <w:vAlign w:val="center"/>
          </w:tcPr>
          <w:p w14:paraId="7CAB2FB2">
            <w:pPr>
              <w:pStyle w:val="92"/>
              <w:rPr>
                <w:color w:val="auto"/>
                <w:highlight w:val="none"/>
                <w:u w:val="none"/>
              </w:rPr>
            </w:pPr>
            <w:r>
              <w:rPr>
                <w:rFonts w:hint="eastAsia"/>
                <w:color w:val="auto"/>
                <w:highlight w:val="none"/>
                <w:u w:val="none"/>
              </w:rPr>
              <w:t>本项目工程所需的热源由福建省东南电化股份有限公司现有热电站、万华福建公司气体厂区、万华化福建公司硝苯装置、万华环保科技公司能量回收装置并网后提供，不新建锅炉。</w:t>
            </w:r>
          </w:p>
          <w:p w14:paraId="4E51B334">
            <w:pPr>
              <w:pStyle w:val="92"/>
              <w:rPr>
                <w:color w:val="auto"/>
                <w:highlight w:val="none"/>
                <w:u w:val="none"/>
              </w:rPr>
            </w:pPr>
            <w:r>
              <w:rPr>
                <w:rFonts w:hint="eastAsia"/>
                <w:color w:val="auto"/>
                <w:highlight w:val="none"/>
                <w:u w:val="none"/>
              </w:rPr>
              <w:t>项目所需仪表空气、压缩空气、氮气等由万华码头公司现有空压站和万华福建公司气体厂区并网后提供，本项目不需要新增建设空分、空压站。</w:t>
            </w:r>
          </w:p>
        </w:tc>
        <w:tc>
          <w:tcPr>
            <w:tcW w:w="539" w:type="pct"/>
            <w:vAlign w:val="center"/>
          </w:tcPr>
          <w:p w14:paraId="2F54AF54">
            <w:pPr>
              <w:pStyle w:val="92"/>
              <w:rPr>
                <w:color w:val="auto"/>
                <w:highlight w:val="none"/>
                <w:u w:val="none"/>
              </w:rPr>
            </w:pPr>
            <w:r>
              <w:rPr>
                <w:rFonts w:hint="eastAsia"/>
                <w:color w:val="auto"/>
                <w:highlight w:val="none"/>
                <w:u w:val="none"/>
              </w:rPr>
              <w:t>符合</w:t>
            </w:r>
          </w:p>
        </w:tc>
      </w:tr>
      <w:tr w14:paraId="2422D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76D14C72">
            <w:pPr>
              <w:pStyle w:val="92"/>
              <w:rPr>
                <w:color w:val="auto"/>
                <w:highlight w:val="none"/>
                <w:u w:val="none"/>
              </w:rPr>
            </w:pPr>
            <w:r>
              <w:rPr>
                <w:rFonts w:hint="eastAsia"/>
                <w:color w:val="auto"/>
                <w:highlight w:val="none"/>
                <w:u w:val="none"/>
              </w:rPr>
              <w:t>上下游装置间宜通过管道直接输送，减少中间储罐；通过优化设备、储罐选型，加强源头、过程、末端全流程管控，减少污染物无组织排放；挥发性有机液体装载优先采用底部装载，采用顶部浸没式装载的应采用高效密封方式；废水预处理、污泥储存处置等环节密闭化；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催化氧化、焚烧等高效处理工艺，除单一恶臭异味治理外，一般不单独使用低温等离子、光催化、光氧化等技术；明确设备泄漏检测与修复（LDAR）制度。</w:t>
            </w:r>
          </w:p>
        </w:tc>
        <w:tc>
          <w:tcPr>
            <w:tcW w:w="2195" w:type="pct"/>
            <w:vAlign w:val="center"/>
          </w:tcPr>
          <w:p w14:paraId="566EB7FC">
            <w:pPr>
              <w:pStyle w:val="92"/>
              <w:rPr>
                <w:color w:val="auto"/>
                <w:highlight w:val="none"/>
                <w:u w:val="none"/>
              </w:rPr>
            </w:pPr>
            <w:r>
              <w:rPr>
                <w:rFonts w:hint="eastAsia"/>
                <w:color w:val="auto"/>
                <w:highlight w:val="none"/>
                <w:u w:val="none"/>
              </w:rPr>
              <w:t>本项目原料、产品均依托现有密封管道输送，本项目对VOCs废气产生环节均设置废气收集管线，经预处理后，大部分送往万华环保科技公司能量回收装置焚烧处置，能量回收装置设置中控系统和在线监控。项目采取密闭生产工艺，厂区设置泄漏检测与修复（LDAR）技术，并建立LDAR管理制度及信息管理平台。</w:t>
            </w:r>
          </w:p>
        </w:tc>
        <w:tc>
          <w:tcPr>
            <w:tcW w:w="539" w:type="pct"/>
            <w:vAlign w:val="center"/>
          </w:tcPr>
          <w:p w14:paraId="70952113">
            <w:pPr>
              <w:pStyle w:val="92"/>
              <w:rPr>
                <w:color w:val="auto"/>
                <w:highlight w:val="none"/>
                <w:u w:val="none"/>
              </w:rPr>
            </w:pPr>
            <w:r>
              <w:rPr>
                <w:rFonts w:hint="eastAsia"/>
                <w:color w:val="auto"/>
                <w:highlight w:val="none"/>
                <w:u w:val="none"/>
              </w:rPr>
              <w:t>符合</w:t>
            </w:r>
          </w:p>
        </w:tc>
      </w:tr>
      <w:tr w14:paraId="20852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66AAC512">
            <w:pPr>
              <w:pStyle w:val="92"/>
              <w:rPr>
                <w:color w:val="auto"/>
                <w:highlight w:val="none"/>
                <w:u w:val="none"/>
              </w:rPr>
            </w:pPr>
            <w:r>
              <w:rPr>
                <w:rFonts w:hint="eastAsia"/>
                <w:color w:val="auto"/>
                <w:highlight w:val="none"/>
                <w:u w:val="none"/>
              </w:rPr>
              <w:t>非正常工况排气应收集处理，优先回收利用。动力站锅炉烟气应符合《锅炉大气污染物排放标准》（GB 13271）或《火电厂大气污染物排放标准》（GB 13223）要求；恶臭污染物应符合《恶臭污染物排放标准》（GB 14554）要求；其他污染物排放及控制应符合《石油炼制工业污染物排放标准》（GB 31570）、《石油化学工业污染物排放标准》（GB 31571）、《合成树脂工业污染物排放标准》（GB 31572）等要求。</w:t>
            </w:r>
          </w:p>
        </w:tc>
        <w:tc>
          <w:tcPr>
            <w:tcW w:w="4077" w:type="dxa"/>
            <w:vAlign w:val="center"/>
          </w:tcPr>
          <w:p w14:paraId="405724CC">
            <w:pPr>
              <w:pStyle w:val="92"/>
              <w:jc w:val="left"/>
              <w:rPr>
                <w:color w:val="auto"/>
                <w:highlight w:val="none"/>
                <w:u w:val="none"/>
              </w:rPr>
            </w:pPr>
            <w:r>
              <w:rPr>
                <w:rFonts w:hint="eastAsia"/>
                <w:color w:val="auto"/>
                <w:highlight w:val="none"/>
                <w:u w:val="none"/>
              </w:rPr>
              <w:t>本项目非正常工况下，酸性气体经过硝烟吸收塔处理后经36m高应急排气筒排放，光化尾气经</w:t>
            </w:r>
            <w:r>
              <w:rPr>
                <w:color w:val="auto"/>
                <w:highlight w:val="none"/>
                <w:u w:val="none"/>
              </w:rPr>
              <w:t>“酸分解+碱分解</w:t>
            </w:r>
            <w:r>
              <w:rPr>
                <w:rFonts w:hint="eastAsia"/>
                <w:color w:val="auto"/>
                <w:highlight w:val="none"/>
                <w:u w:val="none"/>
              </w:rPr>
              <w:t>+活性炭吸附</w:t>
            </w:r>
            <w:r>
              <w:rPr>
                <w:color w:val="auto"/>
                <w:highlight w:val="none"/>
                <w:u w:val="none"/>
              </w:rPr>
              <w:t>”后</w:t>
            </w:r>
            <w:r>
              <w:rPr>
                <w:rFonts w:hint="eastAsia"/>
                <w:color w:val="auto"/>
                <w:highlight w:val="none"/>
                <w:u w:val="none"/>
              </w:rPr>
              <w:t>由58m高应急排气筒排放。本项目</w:t>
            </w:r>
            <w:r>
              <w:rPr>
                <w:color w:val="auto"/>
                <w:highlight w:val="none"/>
                <w:u w:val="none"/>
              </w:rPr>
              <w:t>TDA精制尾气经“冷凝+水洗涤+活性炭吸附”处理、ODCB储罐废气经“两级活性炭吸附”处理，处理后的废气执行《石油化学工业污染物排放标准》（GB31571-2015）</w:t>
            </w:r>
            <w:r>
              <w:rPr>
                <w:rFonts w:hint="eastAsia"/>
                <w:color w:val="auto"/>
                <w:highlight w:val="none"/>
                <w:u w:val="none"/>
              </w:rPr>
              <w:t>及其修改单</w:t>
            </w:r>
            <w:r>
              <w:rPr>
                <w:color w:val="auto"/>
                <w:highlight w:val="none"/>
                <w:u w:val="none"/>
              </w:rPr>
              <w:t>表5大气污染物特别排放限值和表6废气中有机特征污染物排放限值，非甲烷总烃排放浓度参照《工业企业挥发性有机物排放标准》（DB35/1782-2018）表1其他行业允许排放浓度</w:t>
            </w:r>
          </w:p>
        </w:tc>
        <w:tc>
          <w:tcPr>
            <w:tcW w:w="539" w:type="pct"/>
            <w:vAlign w:val="center"/>
          </w:tcPr>
          <w:p w14:paraId="6A2B771B">
            <w:pPr>
              <w:pStyle w:val="92"/>
              <w:rPr>
                <w:color w:val="auto"/>
                <w:highlight w:val="none"/>
                <w:u w:val="none"/>
              </w:rPr>
            </w:pPr>
            <w:r>
              <w:rPr>
                <w:rFonts w:hint="eastAsia"/>
                <w:color w:val="auto"/>
                <w:highlight w:val="none"/>
                <w:u w:val="none"/>
              </w:rPr>
              <w:t>符合</w:t>
            </w:r>
          </w:p>
        </w:tc>
      </w:tr>
      <w:tr w14:paraId="47440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304A9A92">
            <w:pPr>
              <w:pStyle w:val="92"/>
              <w:rPr>
                <w:color w:val="auto"/>
                <w:highlight w:val="none"/>
                <w:u w:val="none"/>
              </w:rPr>
            </w:pPr>
            <w:r>
              <w:rPr>
                <w:rFonts w:hint="eastAsia"/>
                <w:color w:val="auto"/>
                <w:highlight w:val="none"/>
                <w:u w:val="none"/>
              </w:rPr>
              <w:t>大宗物料中长距离运输优先采用铁路、管道或水路运输，厂区内或短途接驳优先使用国六排放标准的运输工具或新能源车辆、管道或管状带式输送机等清洁运输方式。</w:t>
            </w:r>
          </w:p>
          <w:p w14:paraId="39189B6C">
            <w:pPr>
              <w:pStyle w:val="92"/>
              <w:rPr>
                <w:color w:val="auto"/>
                <w:highlight w:val="none"/>
                <w:u w:val="none"/>
              </w:rPr>
            </w:pPr>
            <w:r>
              <w:rPr>
                <w:rFonts w:hint="eastAsia"/>
                <w:color w:val="auto"/>
                <w:highlight w:val="none"/>
                <w:u w:val="none"/>
              </w:rPr>
              <w:t>合理设置大气环境防护距离，环境防护距离范围内不应有居民区、学校、医院等环境敏感目标。</w:t>
            </w:r>
          </w:p>
        </w:tc>
        <w:tc>
          <w:tcPr>
            <w:tcW w:w="4077" w:type="dxa"/>
            <w:vAlign w:val="center"/>
          </w:tcPr>
          <w:p w14:paraId="000F438C">
            <w:pPr>
              <w:pStyle w:val="92"/>
              <w:jc w:val="left"/>
              <w:rPr>
                <w:color w:val="auto"/>
                <w:highlight w:val="none"/>
                <w:u w:val="none"/>
              </w:rPr>
            </w:pPr>
            <w:r>
              <w:rPr>
                <w:rFonts w:hint="eastAsia"/>
                <w:color w:val="auto"/>
                <w:highlight w:val="none"/>
                <w:u w:val="none"/>
              </w:rPr>
              <w:t>本项目产品和原料优先选用管道和水路运输，厂区内或短途接驳优先使用国六排放标准的运输工具。</w:t>
            </w:r>
          </w:p>
          <w:p w14:paraId="649F0602">
            <w:pPr>
              <w:pStyle w:val="92"/>
              <w:jc w:val="left"/>
              <w:rPr>
                <w:color w:val="auto"/>
                <w:highlight w:val="none"/>
                <w:u w:val="none"/>
              </w:rPr>
            </w:pPr>
            <w:r>
              <w:rPr>
                <w:color w:val="auto"/>
                <w:highlight w:val="none"/>
                <w:u w:val="none"/>
              </w:rPr>
              <w:t>本项目最终防护距离取大气环境防护距离、光气安全防护距离和现有工程防护距离的包络范围，最终防护距离为光气及光气化生产装置外2000米的防护距离</w:t>
            </w:r>
            <w:r>
              <w:rPr>
                <w:rFonts w:hint="eastAsia"/>
                <w:color w:val="auto"/>
                <w:highlight w:val="none"/>
                <w:u w:val="none"/>
              </w:rPr>
              <w:t>。本项目与周边敏感目标距离均超过2600m，防护距离内无环境保护目标。</w:t>
            </w:r>
          </w:p>
        </w:tc>
        <w:tc>
          <w:tcPr>
            <w:tcW w:w="539" w:type="pct"/>
            <w:vAlign w:val="center"/>
          </w:tcPr>
          <w:p w14:paraId="43B664C0">
            <w:pPr>
              <w:pStyle w:val="92"/>
              <w:rPr>
                <w:color w:val="auto"/>
                <w:highlight w:val="none"/>
                <w:u w:val="none"/>
              </w:rPr>
            </w:pPr>
            <w:r>
              <w:rPr>
                <w:rFonts w:hint="eastAsia"/>
                <w:color w:val="auto"/>
                <w:highlight w:val="none"/>
                <w:u w:val="none"/>
              </w:rPr>
              <w:t>符合</w:t>
            </w:r>
          </w:p>
        </w:tc>
      </w:tr>
      <w:tr w14:paraId="0B724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170F8092">
            <w:pPr>
              <w:pStyle w:val="92"/>
              <w:rPr>
                <w:color w:val="auto"/>
                <w:highlight w:val="none"/>
                <w:u w:val="none"/>
              </w:rPr>
            </w:pPr>
            <w:r>
              <w:rPr>
                <w:rFonts w:hint="eastAsia"/>
                <w:color w:val="auto"/>
                <w:highlight w:val="none"/>
                <w:u w:val="none"/>
              </w:rPr>
              <w:t>将温室气体排放纳入建设项目环境影响评价，核算建设项目温室气体排放量，推进减污降碳协同增效，推动减碳技术创新示范应用。鼓励有条件的地区、企业采取风光水电、非粮生物质等可再生能源资源制氢，二氧化碳合成甲醇、烯烃、芳烃、可降解塑料、碳酸二甲酯、聚酯、二甲醚等化工产品，二氧化碳高效和低成本捕集、输送、长期稳定封存等减碳技术。</w:t>
            </w:r>
          </w:p>
        </w:tc>
        <w:tc>
          <w:tcPr>
            <w:tcW w:w="4077" w:type="dxa"/>
            <w:vAlign w:val="center"/>
          </w:tcPr>
          <w:p w14:paraId="48C41E55">
            <w:pPr>
              <w:pStyle w:val="92"/>
              <w:jc w:val="left"/>
              <w:rPr>
                <w:color w:val="auto"/>
                <w:highlight w:val="none"/>
                <w:u w:val="none"/>
              </w:rPr>
            </w:pPr>
            <w:r>
              <w:rPr>
                <w:rFonts w:hint="eastAsia"/>
                <w:color w:val="auto"/>
                <w:highlight w:val="none"/>
                <w:u w:val="none"/>
              </w:rPr>
              <w:t>本项目已设碳排放环境影响评价章节（见章节8.8），根据计算可知，本次技改扩能工程碳排放总量为</w:t>
            </w:r>
            <w:r>
              <w:rPr>
                <w:color w:val="auto"/>
                <w:highlight w:val="none"/>
                <w:u w:val="none"/>
              </w:rPr>
              <w:t>tCO</w:t>
            </w:r>
            <w:r>
              <w:rPr>
                <w:color w:val="auto"/>
                <w:highlight w:val="none"/>
                <w:u w:val="none"/>
                <w:vertAlign w:val="subscript"/>
              </w:rPr>
              <w:t>2</w:t>
            </w:r>
            <w:r>
              <w:rPr>
                <w:color w:val="auto"/>
                <w:highlight w:val="none"/>
                <w:u w:val="none"/>
              </w:rPr>
              <w:t>/a</w:t>
            </w:r>
            <w:r>
              <w:rPr>
                <w:rFonts w:hint="eastAsia"/>
                <w:color w:val="auto"/>
                <w:highlight w:val="none"/>
                <w:u w:val="none"/>
              </w:rPr>
              <w:t>，叠加现有项目后</w:t>
            </w:r>
            <w:r>
              <w:rPr>
                <w:color w:val="auto"/>
                <w:highlight w:val="none"/>
                <w:u w:val="none"/>
              </w:rPr>
              <w:t>全厂的的温室气体排放总量为</w:t>
            </w:r>
            <w:r>
              <w:rPr>
                <w:rFonts w:hint="eastAsia"/>
                <w:color w:val="auto"/>
                <w:highlight w:val="none"/>
                <w:u w:val="none"/>
              </w:rPr>
              <w:t xml:space="preserve"> </w:t>
            </w:r>
            <w:r>
              <w:rPr>
                <w:color w:val="auto"/>
                <w:highlight w:val="none"/>
                <w:u w:val="none"/>
              </w:rPr>
              <w:t>tCO</w:t>
            </w:r>
            <w:r>
              <w:rPr>
                <w:color w:val="auto"/>
                <w:highlight w:val="none"/>
                <w:u w:val="none"/>
                <w:vertAlign w:val="subscript"/>
              </w:rPr>
              <w:t>2</w:t>
            </w:r>
            <w:r>
              <w:rPr>
                <w:color w:val="auto"/>
                <w:highlight w:val="none"/>
                <w:u w:val="none"/>
              </w:rPr>
              <w:t>/a</w:t>
            </w:r>
            <w:r>
              <w:rPr>
                <w:rFonts w:hint="eastAsia"/>
                <w:color w:val="auto"/>
                <w:highlight w:val="none"/>
                <w:u w:val="none"/>
              </w:rPr>
              <w:t>。</w:t>
            </w:r>
            <w:r>
              <w:rPr>
                <w:color w:val="auto"/>
                <w:highlight w:val="none"/>
                <w:u w:val="none"/>
              </w:rPr>
              <w:t>主要排放源为工业生产过程、购入电力热力排放。在工艺设计、电气系统、建筑设备、热力、给排水等方面，本项目采用了一系列节能措施对生产中各个环节进行节能降耗</w:t>
            </w:r>
            <w:r>
              <w:rPr>
                <w:rFonts w:hint="eastAsia"/>
                <w:color w:val="auto"/>
                <w:highlight w:val="none"/>
                <w:u w:val="none"/>
              </w:rPr>
              <w:t>。</w:t>
            </w:r>
          </w:p>
        </w:tc>
        <w:tc>
          <w:tcPr>
            <w:tcW w:w="539" w:type="pct"/>
            <w:vAlign w:val="center"/>
          </w:tcPr>
          <w:p w14:paraId="26CC6CAF">
            <w:pPr>
              <w:pStyle w:val="92"/>
              <w:rPr>
                <w:color w:val="auto"/>
                <w:highlight w:val="none"/>
                <w:u w:val="none"/>
              </w:rPr>
            </w:pPr>
            <w:r>
              <w:rPr>
                <w:rFonts w:hint="eastAsia"/>
                <w:color w:val="auto"/>
                <w:highlight w:val="none"/>
                <w:u w:val="none"/>
              </w:rPr>
              <w:t>符合</w:t>
            </w:r>
          </w:p>
        </w:tc>
      </w:tr>
      <w:tr w14:paraId="236015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3AE1CCBE">
            <w:pPr>
              <w:pStyle w:val="92"/>
              <w:rPr>
                <w:color w:val="auto"/>
                <w:highlight w:val="none"/>
                <w:u w:val="none"/>
              </w:rPr>
            </w:pPr>
            <w:r>
              <w:rPr>
                <w:rFonts w:hint="eastAsia"/>
                <w:color w:val="auto"/>
                <w:highlight w:val="none"/>
                <w:u w:val="none"/>
              </w:rPr>
              <w:t>做好雨污分流、清污分流、污污分流。废水分类收集、分质处理、优先回用，含油废水、含硫废水经处理后最大限度回用，含盐废水进行适当深度处理，污染雨水收集处理。严禁生产废水未经处理或未有效处理直接排入城镇污水处理系统。</w:t>
            </w:r>
          </w:p>
          <w:p w14:paraId="03785FCE">
            <w:pPr>
              <w:pStyle w:val="92"/>
              <w:rPr>
                <w:color w:val="auto"/>
                <w:highlight w:val="none"/>
                <w:u w:val="none"/>
              </w:rPr>
            </w:pPr>
            <w:r>
              <w:rPr>
                <w:rFonts w:hint="eastAsia"/>
                <w:color w:val="auto"/>
                <w:highlight w:val="none"/>
                <w:u w:val="none"/>
              </w:rPr>
              <w:t>项目排放的废水污染物应符合《石油炼制工业污染物排放标准》（GB 31570）、《石油化学工业污染物排放标准》（GB 31571）、《合成树脂工业污染物排放标准》（GB 31572）等要求。</w:t>
            </w:r>
          </w:p>
        </w:tc>
        <w:tc>
          <w:tcPr>
            <w:tcW w:w="4077" w:type="dxa"/>
            <w:vAlign w:val="center"/>
          </w:tcPr>
          <w:p w14:paraId="3C001FF4">
            <w:pPr>
              <w:pStyle w:val="92"/>
              <w:jc w:val="left"/>
              <w:rPr>
                <w:color w:val="auto"/>
                <w:highlight w:val="none"/>
                <w:u w:val="none"/>
              </w:rPr>
            </w:pPr>
            <w:r>
              <w:rPr>
                <w:rFonts w:hint="eastAsia"/>
                <w:color w:val="auto"/>
                <w:highlight w:val="none"/>
                <w:u w:val="none"/>
              </w:rPr>
              <w:t>本项目根据雨污分流、清污分流、污污分流原则，对废水进行分类收集、分质处理，对初期雨水也进行收集处理。项目污水依托万华环保科技公司污水处理系统处理，其中低浓度废水经处理后</w:t>
            </w:r>
            <w:r>
              <w:rPr>
                <w:rFonts w:hint="eastAsia"/>
                <w:color w:val="auto"/>
                <w:highlight w:val="none"/>
                <w:u w:val="none"/>
                <w:lang w:val="en-US" w:eastAsia="zh-CN"/>
              </w:rPr>
              <w:t>尾水</w:t>
            </w:r>
            <w:r>
              <w:rPr>
                <w:rFonts w:hint="eastAsia"/>
                <w:color w:val="auto"/>
                <w:highlight w:val="none"/>
                <w:u w:val="none"/>
              </w:rPr>
              <w:t>进入编组站废水处理系统进一步处理后回用，回用过程产生的浓水经处理达标后，通过福州江阴港城经济区污水处理厂已建排海管道排海；综合废水经处理达标后，通过</w:t>
            </w:r>
            <w:r>
              <w:rPr>
                <w:rFonts w:hint="eastAsia"/>
                <w:color w:val="auto"/>
                <w:highlight w:val="none"/>
                <w:u w:val="none"/>
                <w:lang w:eastAsia="zh-CN"/>
              </w:rPr>
              <w:t>福州江阴港城经济区</w:t>
            </w:r>
            <w:r>
              <w:rPr>
                <w:rFonts w:hint="eastAsia"/>
                <w:color w:val="auto"/>
                <w:highlight w:val="none"/>
                <w:u w:val="none"/>
              </w:rPr>
              <w:t>污水处理厂已建排海管道排海；TDA汽提废水经处理后回用，回用过程产生的浓水经处理达标后，通过</w:t>
            </w:r>
            <w:r>
              <w:rPr>
                <w:rFonts w:hint="eastAsia"/>
                <w:color w:val="auto"/>
                <w:highlight w:val="none"/>
                <w:u w:val="none"/>
                <w:lang w:eastAsia="zh-CN"/>
              </w:rPr>
              <w:t>福州江阴港城经济区</w:t>
            </w:r>
            <w:r>
              <w:rPr>
                <w:rFonts w:hint="eastAsia"/>
                <w:color w:val="auto"/>
                <w:highlight w:val="none"/>
                <w:u w:val="none"/>
              </w:rPr>
              <w:t>污水处理厂已建排海管道排海。废水符合《石油化学工业污染物排放标准》（GB 31571）等要求。</w:t>
            </w:r>
          </w:p>
        </w:tc>
        <w:tc>
          <w:tcPr>
            <w:tcW w:w="539" w:type="pct"/>
            <w:vAlign w:val="center"/>
          </w:tcPr>
          <w:p w14:paraId="6BD69D5E">
            <w:pPr>
              <w:pStyle w:val="92"/>
              <w:rPr>
                <w:color w:val="auto"/>
                <w:highlight w:val="none"/>
                <w:u w:val="none"/>
              </w:rPr>
            </w:pPr>
            <w:r>
              <w:rPr>
                <w:rFonts w:hint="eastAsia"/>
                <w:color w:val="auto"/>
                <w:highlight w:val="none"/>
                <w:u w:val="none"/>
              </w:rPr>
              <w:t>符合</w:t>
            </w:r>
          </w:p>
        </w:tc>
      </w:tr>
      <w:tr w14:paraId="6DD85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3818A308">
            <w:pPr>
              <w:pStyle w:val="92"/>
              <w:rPr>
                <w:color w:val="auto"/>
                <w:highlight w:val="none"/>
                <w:u w:val="none"/>
              </w:rPr>
            </w:pPr>
            <w:r>
              <w:rPr>
                <w:rFonts w:hint="eastAsia"/>
                <w:color w:val="auto"/>
                <w:highlight w:val="none"/>
                <w:u w:val="none"/>
              </w:rPr>
              <w:t>土壤和地下水污染防治应坚持源头控制、分区防控、跟踪监测和应急响应的防控原则。对涉及有毒有害物质的生产装置、设备设施及场所，需提出防腐蚀、防渗漏、防扬散等土壤污染防治具体措施，并根据环境保护目标的敏感程度、项目平面布局、水文地质条件等采取防渗措施，提出有效的土壤、地下水监控和应急方案，符合《石油化工工程防渗技术规范》（GB/T 50934）等相关要求。对于可能受影响的地下水环境敏感目标，应提出保护措施，涉及饮用水功能的，强化地下水环境保护措施，确保饮用水安全。可造成地下水污染的建设项目不得位于泉域保护范围以及岩溶强发育、存在较多落水洞和岩溶漏斗的区域。</w:t>
            </w:r>
          </w:p>
        </w:tc>
        <w:tc>
          <w:tcPr>
            <w:tcW w:w="4077" w:type="dxa"/>
            <w:vAlign w:val="center"/>
          </w:tcPr>
          <w:p w14:paraId="24333B48">
            <w:pPr>
              <w:pStyle w:val="92"/>
              <w:jc w:val="left"/>
              <w:rPr>
                <w:color w:val="auto"/>
                <w:highlight w:val="none"/>
                <w:u w:val="none"/>
              </w:rPr>
            </w:pPr>
            <w:r>
              <w:rPr>
                <w:rFonts w:hint="eastAsia"/>
                <w:color w:val="auto"/>
                <w:highlight w:val="none"/>
                <w:u w:val="none"/>
              </w:rPr>
              <w:t>现有工程已按照《石油化工工程防渗技术规范》（GB/T 50934）要求确定污染防治区，并提出防腐蚀、防渗漏、防扬散等土壤污染防治措施，提出有效的土壤、地下水监控和应急方案，本次技改扩能项目依托现有工程。</w:t>
            </w:r>
          </w:p>
          <w:p w14:paraId="5C75F6AC">
            <w:pPr>
              <w:pStyle w:val="92"/>
              <w:jc w:val="left"/>
              <w:rPr>
                <w:color w:val="auto"/>
                <w:highlight w:val="none"/>
                <w:u w:val="none"/>
              </w:rPr>
            </w:pPr>
            <w:r>
              <w:rPr>
                <w:rFonts w:hint="eastAsia"/>
                <w:color w:val="auto"/>
                <w:highlight w:val="none"/>
                <w:u w:val="none"/>
              </w:rPr>
              <w:t>项目选址不在泉域保护范围以及岩溶强发育、存在较多落水洞和岩溶漏斗的区域，周边无地下水环境敏感目标。</w:t>
            </w:r>
          </w:p>
        </w:tc>
        <w:tc>
          <w:tcPr>
            <w:tcW w:w="539" w:type="pct"/>
            <w:vAlign w:val="center"/>
          </w:tcPr>
          <w:p w14:paraId="34850332">
            <w:pPr>
              <w:pStyle w:val="92"/>
              <w:rPr>
                <w:color w:val="auto"/>
                <w:highlight w:val="none"/>
                <w:u w:val="none"/>
              </w:rPr>
            </w:pPr>
            <w:r>
              <w:rPr>
                <w:rFonts w:hint="eastAsia"/>
                <w:color w:val="auto"/>
                <w:highlight w:val="none"/>
                <w:u w:val="none"/>
              </w:rPr>
              <w:t>符合</w:t>
            </w:r>
          </w:p>
        </w:tc>
      </w:tr>
      <w:tr w14:paraId="676FB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20D165F0">
            <w:pPr>
              <w:pStyle w:val="92"/>
              <w:rPr>
                <w:color w:val="auto"/>
                <w:highlight w:val="none"/>
                <w:u w:val="none"/>
              </w:rPr>
            </w:pPr>
            <w:r>
              <w:rPr>
                <w:rFonts w:hint="eastAsia"/>
                <w:color w:val="auto"/>
                <w:highlight w:val="none"/>
                <w:u w:val="none"/>
              </w:rPr>
              <w:t>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w:t>
            </w:r>
          </w:p>
          <w:p w14:paraId="1C40688E">
            <w:pPr>
              <w:pStyle w:val="92"/>
              <w:rPr>
                <w:color w:val="auto"/>
                <w:highlight w:val="none"/>
                <w:u w:val="none"/>
              </w:rPr>
            </w:pPr>
            <w:r>
              <w:rPr>
                <w:rFonts w:hint="eastAsia"/>
                <w:color w:val="auto"/>
                <w:highlight w:val="none"/>
                <w:u w:val="none"/>
              </w:rPr>
              <w:t>危险废物和一般工业固体废物贮存和处置应符合《危险废物贮存污染控制标准》（GB 18597）及其修改单、《危险废物填埋污染控制标准》（GB 18598）、《一般工业固体废物贮存和填埋污染控制标准》（GB 18599）、《危险废物焚烧污染控制标准》（GB 18484）等相关要求。</w:t>
            </w:r>
          </w:p>
        </w:tc>
        <w:tc>
          <w:tcPr>
            <w:tcW w:w="4077" w:type="dxa"/>
            <w:vAlign w:val="center"/>
          </w:tcPr>
          <w:p w14:paraId="6DF7C42F">
            <w:pPr>
              <w:pStyle w:val="92"/>
              <w:jc w:val="left"/>
              <w:rPr>
                <w:color w:val="auto"/>
                <w:highlight w:val="none"/>
                <w:u w:val="none"/>
              </w:rPr>
            </w:pPr>
            <w:r>
              <w:rPr>
                <w:rFonts w:hint="eastAsia"/>
                <w:color w:val="auto"/>
                <w:highlight w:val="none"/>
                <w:u w:val="none"/>
              </w:rPr>
              <w:t>本项目按照“减量化、资源化、无害化”原则，对固体废物优先进行综合利用，焦油颗粒送往万华福建公司气体项目作为水煤浆气化原料。危险废物均委托有危废处置资质单位处理，并依托已按规范要求建设的万华环保科技公司危废贮存间临时储存。</w:t>
            </w:r>
          </w:p>
        </w:tc>
        <w:tc>
          <w:tcPr>
            <w:tcW w:w="539" w:type="pct"/>
            <w:vAlign w:val="center"/>
          </w:tcPr>
          <w:p w14:paraId="552E2C8B">
            <w:pPr>
              <w:pStyle w:val="92"/>
              <w:rPr>
                <w:color w:val="auto"/>
                <w:highlight w:val="none"/>
                <w:u w:val="none"/>
              </w:rPr>
            </w:pPr>
            <w:r>
              <w:rPr>
                <w:rFonts w:hint="eastAsia"/>
                <w:color w:val="auto"/>
                <w:highlight w:val="none"/>
                <w:u w:val="none"/>
              </w:rPr>
              <w:t>符合</w:t>
            </w:r>
          </w:p>
        </w:tc>
      </w:tr>
      <w:tr w14:paraId="0BAA2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44141DD3">
            <w:pPr>
              <w:pStyle w:val="92"/>
              <w:rPr>
                <w:color w:val="auto"/>
                <w:highlight w:val="none"/>
                <w:u w:val="none"/>
              </w:rPr>
            </w:pPr>
            <w:r>
              <w:rPr>
                <w:rFonts w:hint="eastAsia"/>
                <w:color w:val="auto"/>
                <w:highlight w:val="none"/>
                <w:u w:val="none"/>
              </w:rPr>
              <w:t>优化厂区平面布置，优先选用低噪声设备和工艺，采取减振、隔声、消声等措施有效控制噪声污染，厂界噪声满足《工业企业厂界环境噪声排放标准》(GB 12348)要求。位于噪声敏感建筑物集中区域的改建、扩建项目，应强化噪声污染防治措施，防止噪声污染。</w:t>
            </w:r>
          </w:p>
        </w:tc>
        <w:tc>
          <w:tcPr>
            <w:tcW w:w="4077" w:type="dxa"/>
            <w:vAlign w:val="center"/>
          </w:tcPr>
          <w:p w14:paraId="52C9072F">
            <w:pPr>
              <w:pStyle w:val="92"/>
              <w:jc w:val="left"/>
              <w:rPr>
                <w:color w:val="auto"/>
                <w:highlight w:val="none"/>
                <w:u w:val="none"/>
              </w:rPr>
            </w:pPr>
            <w:r>
              <w:rPr>
                <w:rFonts w:hint="eastAsia"/>
                <w:color w:val="auto"/>
                <w:highlight w:val="none"/>
                <w:u w:val="none"/>
              </w:rPr>
              <w:t>本项目位于工业园区，优先选用低噪声设备和工艺，使厂界噪声满足《工业企业厂界环境噪声排放标准》（GB12348-2008）中的3类要求。</w:t>
            </w:r>
          </w:p>
        </w:tc>
        <w:tc>
          <w:tcPr>
            <w:tcW w:w="539" w:type="pct"/>
            <w:vAlign w:val="center"/>
          </w:tcPr>
          <w:p w14:paraId="0525869F">
            <w:pPr>
              <w:pStyle w:val="92"/>
              <w:rPr>
                <w:color w:val="auto"/>
                <w:highlight w:val="none"/>
                <w:u w:val="none"/>
              </w:rPr>
            </w:pPr>
            <w:r>
              <w:rPr>
                <w:rFonts w:hint="eastAsia"/>
                <w:color w:val="auto"/>
                <w:highlight w:val="none"/>
                <w:u w:val="none"/>
              </w:rPr>
              <w:t>符合</w:t>
            </w:r>
          </w:p>
        </w:tc>
      </w:tr>
      <w:tr w14:paraId="4B499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1AC68279">
            <w:pPr>
              <w:pStyle w:val="92"/>
              <w:rPr>
                <w:color w:val="auto"/>
                <w:highlight w:val="none"/>
                <w:u w:val="none"/>
              </w:rPr>
            </w:pPr>
            <w:r>
              <w:rPr>
                <w:rFonts w:hint="eastAsia"/>
                <w:color w:val="auto"/>
                <w:highlight w:val="none"/>
                <w:u w:val="none"/>
              </w:rP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p>
        </w:tc>
        <w:tc>
          <w:tcPr>
            <w:tcW w:w="4077" w:type="dxa"/>
            <w:vAlign w:val="center"/>
          </w:tcPr>
          <w:p w14:paraId="4C88289C">
            <w:pPr>
              <w:pStyle w:val="92"/>
              <w:jc w:val="left"/>
              <w:rPr>
                <w:color w:val="auto"/>
                <w:highlight w:val="none"/>
                <w:u w:val="none"/>
              </w:rPr>
            </w:pPr>
            <w:r>
              <w:rPr>
                <w:color w:val="auto"/>
                <w:highlight w:val="none"/>
                <w:u w:val="none"/>
              </w:rPr>
              <w:t>依托</w:t>
            </w:r>
            <w:r>
              <w:rPr>
                <w:rFonts w:hint="eastAsia"/>
                <w:color w:val="auto"/>
                <w:highlight w:val="none"/>
                <w:u w:val="none"/>
              </w:rPr>
              <w:t>厂内1</w:t>
            </w:r>
            <w:r>
              <w:rPr>
                <w:color w:val="auto"/>
                <w:highlight w:val="none"/>
                <w:u w:val="none"/>
              </w:rPr>
              <w:t>个14000m</w:t>
            </w:r>
            <w:r>
              <w:rPr>
                <w:color w:val="auto"/>
                <w:highlight w:val="none"/>
                <w:u w:val="none"/>
                <w:vertAlign w:val="superscript"/>
              </w:rPr>
              <w:t>3</w:t>
            </w:r>
            <w:r>
              <w:rPr>
                <w:color w:val="auto"/>
                <w:highlight w:val="none"/>
                <w:u w:val="none"/>
              </w:rPr>
              <w:t>事故水罐</w:t>
            </w:r>
            <w:r>
              <w:rPr>
                <w:rFonts w:hint="eastAsia"/>
                <w:color w:val="auto"/>
                <w:highlight w:val="none"/>
                <w:u w:val="none"/>
              </w:rPr>
              <w:t>、</w:t>
            </w:r>
            <w:r>
              <w:rPr>
                <w:color w:val="auto"/>
                <w:highlight w:val="none"/>
                <w:u w:val="none"/>
              </w:rPr>
              <w:t>2个5000m</w:t>
            </w:r>
            <w:r>
              <w:rPr>
                <w:color w:val="auto"/>
                <w:highlight w:val="none"/>
                <w:u w:val="none"/>
                <w:vertAlign w:val="superscript"/>
              </w:rPr>
              <w:t>3</w:t>
            </w:r>
            <w:r>
              <w:rPr>
                <w:color w:val="auto"/>
                <w:highlight w:val="none"/>
                <w:u w:val="none"/>
              </w:rPr>
              <w:t>事故水罐、</w:t>
            </w:r>
            <w:r>
              <w:rPr>
                <w:rFonts w:hint="eastAsia"/>
                <w:color w:val="auto"/>
                <w:highlight w:val="none"/>
                <w:u w:val="none"/>
              </w:rPr>
              <w:t>1</w:t>
            </w:r>
            <w:r>
              <w:rPr>
                <w:color w:val="auto"/>
                <w:highlight w:val="none"/>
                <w:u w:val="none"/>
              </w:rPr>
              <w:t>座容积为5000m</w:t>
            </w:r>
            <w:r>
              <w:rPr>
                <w:color w:val="auto"/>
                <w:highlight w:val="none"/>
                <w:u w:val="none"/>
                <w:vertAlign w:val="superscript"/>
              </w:rPr>
              <w:t>3</w:t>
            </w:r>
            <w:r>
              <w:rPr>
                <w:color w:val="auto"/>
                <w:highlight w:val="none"/>
                <w:u w:val="none"/>
              </w:rPr>
              <w:t>的自流式事故水池和</w:t>
            </w:r>
            <w:r>
              <w:rPr>
                <w:rFonts w:hint="eastAsia"/>
                <w:color w:val="auto"/>
                <w:highlight w:val="none"/>
                <w:u w:val="none"/>
              </w:rPr>
              <w:t>1</w:t>
            </w:r>
            <w:r>
              <w:rPr>
                <w:color w:val="auto"/>
                <w:highlight w:val="none"/>
                <w:u w:val="none"/>
              </w:rPr>
              <w:t>座排水泵站。</w:t>
            </w:r>
            <w:r>
              <w:rPr>
                <w:rFonts w:hint="eastAsia"/>
                <w:color w:val="auto"/>
                <w:highlight w:val="none"/>
                <w:u w:val="none"/>
              </w:rPr>
              <w:t>建有</w:t>
            </w:r>
            <w:r>
              <w:rPr>
                <w:color w:val="auto"/>
                <w:highlight w:val="none"/>
                <w:u w:val="none"/>
              </w:rPr>
              <w:t>1座容积759m</w:t>
            </w:r>
            <w:r>
              <w:rPr>
                <w:color w:val="auto"/>
                <w:highlight w:val="none"/>
                <w:u w:val="none"/>
                <w:vertAlign w:val="superscript"/>
              </w:rPr>
              <w:t>3</w:t>
            </w:r>
            <w:r>
              <w:rPr>
                <w:color w:val="auto"/>
                <w:highlight w:val="none"/>
                <w:u w:val="none"/>
              </w:rPr>
              <w:t>初期雨水收集池</w:t>
            </w:r>
            <w:r>
              <w:rPr>
                <w:rFonts w:hint="eastAsia"/>
                <w:color w:val="auto"/>
                <w:highlight w:val="none"/>
                <w:u w:val="none"/>
              </w:rPr>
              <w:t>。本评价要求建设单位在技改扩能后对应急预案进行修编，严密防控项目环境风险，建立完善的环境风险防控体系，提升环境风险防控能力。制定有效的风险防范和应急措施，建立项目及区域、园区环境风险防范与应急管理体系。</w:t>
            </w:r>
          </w:p>
        </w:tc>
        <w:tc>
          <w:tcPr>
            <w:tcW w:w="539" w:type="pct"/>
            <w:vAlign w:val="center"/>
          </w:tcPr>
          <w:p w14:paraId="1E8ABB8C">
            <w:pPr>
              <w:pStyle w:val="92"/>
              <w:rPr>
                <w:color w:val="auto"/>
                <w:highlight w:val="none"/>
                <w:u w:val="none"/>
              </w:rPr>
            </w:pPr>
            <w:r>
              <w:rPr>
                <w:rFonts w:hint="eastAsia"/>
                <w:color w:val="auto"/>
                <w:highlight w:val="none"/>
                <w:u w:val="none"/>
              </w:rPr>
              <w:t>符合</w:t>
            </w:r>
          </w:p>
        </w:tc>
      </w:tr>
      <w:tr w14:paraId="358DE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618A84E5">
            <w:pPr>
              <w:pStyle w:val="92"/>
              <w:rPr>
                <w:color w:val="auto"/>
                <w:highlight w:val="none"/>
                <w:u w:val="none"/>
              </w:rPr>
            </w:pPr>
            <w:r>
              <w:rPr>
                <w:rFonts w:hint="eastAsia"/>
                <w:color w:val="auto"/>
                <w:highlight w:val="none"/>
                <w:u w:val="none"/>
              </w:rPr>
              <w:t>改、扩建项目全面梳理涉及的现有工程存在的环保问题或减排潜力，应提出有效整改或改进措施。</w:t>
            </w:r>
          </w:p>
        </w:tc>
        <w:tc>
          <w:tcPr>
            <w:tcW w:w="4077" w:type="dxa"/>
            <w:vAlign w:val="center"/>
          </w:tcPr>
          <w:p w14:paraId="1A193D4E">
            <w:pPr>
              <w:pStyle w:val="92"/>
              <w:jc w:val="left"/>
              <w:rPr>
                <w:color w:val="auto"/>
                <w:highlight w:val="none"/>
                <w:u w:val="none"/>
              </w:rPr>
            </w:pPr>
            <w:r>
              <w:rPr>
                <w:rFonts w:hint="eastAsia"/>
                <w:color w:val="auto"/>
                <w:highlight w:val="none"/>
                <w:u w:val="none"/>
              </w:rPr>
              <w:t>本项目为技改扩能项目，前文已对现有工程存在环保问题进行分析（见章节3.1</w:t>
            </w:r>
            <w:r>
              <w:rPr>
                <w:rFonts w:hint="eastAsia"/>
                <w:color w:val="auto"/>
                <w:highlight w:val="none"/>
                <w:u w:val="none"/>
                <w:lang w:val="en-US" w:eastAsia="zh-CN"/>
              </w:rPr>
              <w:t>4</w:t>
            </w:r>
            <w:r>
              <w:rPr>
                <w:rFonts w:hint="eastAsia"/>
                <w:color w:val="auto"/>
                <w:highlight w:val="none"/>
                <w:u w:val="none"/>
              </w:rPr>
              <w:t>）。</w:t>
            </w:r>
          </w:p>
        </w:tc>
        <w:tc>
          <w:tcPr>
            <w:tcW w:w="539" w:type="pct"/>
            <w:vAlign w:val="center"/>
          </w:tcPr>
          <w:p w14:paraId="55519354">
            <w:pPr>
              <w:pStyle w:val="92"/>
              <w:rPr>
                <w:color w:val="auto"/>
                <w:highlight w:val="none"/>
                <w:u w:val="none"/>
              </w:rPr>
            </w:pPr>
            <w:r>
              <w:rPr>
                <w:rFonts w:hint="eastAsia"/>
                <w:color w:val="auto"/>
                <w:highlight w:val="none"/>
                <w:u w:val="none"/>
              </w:rPr>
              <w:t>符合</w:t>
            </w:r>
          </w:p>
        </w:tc>
      </w:tr>
      <w:tr w14:paraId="5D64C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20EFA8AD">
            <w:pPr>
              <w:pStyle w:val="92"/>
              <w:rPr>
                <w:color w:val="auto"/>
                <w:highlight w:val="none"/>
                <w:u w:val="none"/>
              </w:rPr>
            </w:pPr>
            <w:r>
              <w:rPr>
                <w:rFonts w:hint="eastAsia"/>
                <w:color w:val="auto"/>
                <w:highlight w:val="none"/>
                <w:u w:val="none"/>
              </w:rPr>
              <w:t>新增主要污染物排放量的建设项目应执行《关于加强重点行业建设项目区域削减措施监督管理的通知》（环办环评〔2020〕36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4077" w:type="dxa"/>
            <w:vAlign w:val="center"/>
          </w:tcPr>
          <w:p w14:paraId="2526BD4E">
            <w:pPr>
              <w:pStyle w:val="92"/>
              <w:jc w:val="left"/>
              <w:rPr>
                <w:color w:val="auto"/>
                <w:highlight w:val="none"/>
                <w:u w:val="none"/>
              </w:rPr>
            </w:pPr>
            <w:r>
              <w:rPr>
                <w:rFonts w:hint="eastAsia"/>
                <w:color w:val="auto"/>
                <w:highlight w:val="none"/>
                <w:u w:val="none"/>
              </w:rPr>
              <w:t>根据环境质量现状分析，项目所在区域、流域控制单元环境质量达到国家或者地方环境质量标准的。</w:t>
            </w:r>
            <w:r>
              <w:rPr>
                <w:color w:val="auto"/>
                <w:highlight w:val="none"/>
                <w:u w:val="none"/>
              </w:rPr>
              <w:t>本</w:t>
            </w:r>
            <w:r>
              <w:rPr>
                <w:rFonts w:hint="eastAsia"/>
                <w:color w:val="auto"/>
                <w:highlight w:val="none"/>
                <w:u w:val="none"/>
              </w:rPr>
              <w:t>次技改扩能</w:t>
            </w:r>
            <w:r>
              <w:rPr>
                <w:color w:val="auto"/>
                <w:highlight w:val="none"/>
                <w:u w:val="none"/>
              </w:rPr>
              <w:t>后 COD、NH</w:t>
            </w:r>
            <w:r>
              <w:rPr>
                <w:color w:val="auto"/>
                <w:highlight w:val="none"/>
                <w:u w:val="none"/>
                <w:vertAlign w:val="subscript"/>
              </w:rPr>
              <w:t>3</w:t>
            </w:r>
            <w:r>
              <w:rPr>
                <w:color w:val="auto"/>
                <w:highlight w:val="none"/>
                <w:u w:val="none"/>
              </w:rPr>
              <w:t>-N、</w:t>
            </w:r>
            <w:r>
              <w:rPr>
                <w:rFonts w:hint="eastAsia"/>
                <w:color w:val="auto"/>
                <w:highlight w:val="none"/>
                <w:u w:val="none"/>
              </w:rPr>
              <w:t>氮氧化物、</w:t>
            </w:r>
            <w:r>
              <w:rPr>
                <w:color w:val="auto"/>
                <w:highlight w:val="none"/>
                <w:u w:val="none"/>
              </w:rPr>
              <w:t>VOCs排放总量仍可控制在现有企业已核定的总量指标之内，不需再申请增加总量控制指标</w:t>
            </w:r>
            <w:r>
              <w:rPr>
                <w:rFonts w:hint="eastAsia"/>
                <w:color w:val="auto"/>
                <w:highlight w:val="none"/>
                <w:u w:val="none"/>
              </w:rPr>
              <w:t>。</w:t>
            </w:r>
          </w:p>
        </w:tc>
        <w:tc>
          <w:tcPr>
            <w:tcW w:w="539" w:type="pct"/>
            <w:vAlign w:val="center"/>
          </w:tcPr>
          <w:p w14:paraId="5A39259D">
            <w:pPr>
              <w:pStyle w:val="92"/>
              <w:rPr>
                <w:color w:val="auto"/>
                <w:highlight w:val="none"/>
                <w:u w:val="none"/>
              </w:rPr>
            </w:pPr>
            <w:r>
              <w:rPr>
                <w:rFonts w:hint="eastAsia"/>
                <w:color w:val="auto"/>
                <w:highlight w:val="none"/>
                <w:u w:val="none"/>
              </w:rPr>
              <w:t>符合</w:t>
            </w:r>
          </w:p>
        </w:tc>
      </w:tr>
      <w:tr w14:paraId="24235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7F5015FE">
            <w:pPr>
              <w:pStyle w:val="92"/>
              <w:rPr>
                <w:color w:val="auto"/>
                <w:highlight w:val="none"/>
                <w:u w:val="none"/>
              </w:rPr>
            </w:pPr>
            <w:r>
              <w:rPr>
                <w:rFonts w:hint="eastAsia"/>
                <w:color w:val="auto"/>
                <w:highlight w:val="none"/>
                <w:u w:val="none"/>
              </w:rPr>
              <w:t>明确项目实施后的环境管理要求和环境监测计划。</w:t>
            </w:r>
          </w:p>
          <w:p w14:paraId="3E68AEC7">
            <w:pPr>
              <w:pStyle w:val="92"/>
              <w:rPr>
                <w:color w:val="auto"/>
                <w:highlight w:val="none"/>
                <w:u w:val="none"/>
              </w:rPr>
            </w:pPr>
            <w:r>
              <w:rPr>
                <w:rFonts w:hint="eastAsia"/>
                <w:color w:val="auto"/>
                <w:highlight w:val="none"/>
                <w:u w:val="none"/>
              </w:rPr>
              <w:t>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4077" w:type="dxa"/>
            <w:vAlign w:val="center"/>
          </w:tcPr>
          <w:p w14:paraId="5105EBB9">
            <w:pPr>
              <w:pStyle w:val="92"/>
              <w:jc w:val="left"/>
              <w:rPr>
                <w:color w:val="auto"/>
                <w:highlight w:val="none"/>
                <w:u w:val="none"/>
              </w:rPr>
            </w:pPr>
            <w:r>
              <w:rPr>
                <w:rFonts w:hint="eastAsia"/>
                <w:color w:val="auto"/>
                <w:highlight w:val="none"/>
                <w:u w:val="none"/>
              </w:rPr>
              <w:t>本项目已在现有企业管理和监测基础上，结合本次技改扩能项目情况，继续加强企业内部的环境管理，建立环境管理台账、排污口规范化管理、健全和落实排污许可制度、污染事故防范和应急管理等。</w:t>
            </w:r>
          </w:p>
          <w:p w14:paraId="6B30F378">
            <w:pPr>
              <w:pStyle w:val="92"/>
              <w:jc w:val="left"/>
              <w:rPr>
                <w:color w:val="auto"/>
                <w:highlight w:val="none"/>
                <w:u w:val="none"/>
              </w:rPr>
            </w:pPr>
            <w:r>
              <w:rPr>
                <w:rFonts w:hint="eastAsia"/>
                <w:color w:val="auto"/>
                <w:highlight w:val="none"/>
                <w:u w:val="none"/>
              </w:rPr>
              <w:t>根据</w:t>
            </w:r>
            <w:r>
              <w:rPr>
                <w:color w:val="auto"/>
                <w:highlight w:val="none"/>
                <w:u w:val="none"/>
              </w:rPr>
              <w:t>《排污单位自行监测技术指南 石油化学工业》</w:t>
            </w:r>
            <w:r>
              <w:rPr>
                <w:rFonts w:hint="eastAsia"/>
                <w:color w:val="auto"/>
                <w:highlight w:val="none"/>
                <w:u w:val="none"/>
              </w:rPr>
              <w:t>（HJ</w:t>
            </w:r>
            <w:r>
              <w:rPr>
                <w:color w:val="auto"/>
                <w:highlight w:val="none"/>
                <w:u w:val="none"/>
              </w:rPr>
              <w:t>947-2018</w:t>
            </w:r>
            <w:r>
              <w:rPr>
                <w:rFonts w:hint="eastAsia"/>
                <w:color w:val="auto"/>
                <w:highlight w:val="none"/>
                <w:u w:val="none"/>
              </w:rPr>
              <w:t>）、《工业企业土壤和地下水自行监测技术指南（试行）》（</w:t>
            </w:r>
            <w:r>
              <w:rPr>
                <w:color w:val="auto"/>
                <w:highlight w:val="none"/>
                <w:u w:val="none"/>
              </w:rPr>
              <w:t>HJ1209-2021</w:t>
            </w:r>
            <w:r>
              <w:rPr>
                <w:rFonts w:hint="eastAsia"/>
                <w:color w:val="auto"/>
                <w:highlight w:val="none"/>
                <w:u w:val="none"/>
              </w:rPr>
              <w:t>）、《环境影响评价技术导则 大气环境》（HJ2.2-2018）</w:t>
            </w:r>
            <w:r>
              <w:rPr>
                <w:color w:val="auto"/>
                <w:highlight w:val="none"/>
                <w:u w:val="none"/>
              </w:rPr>
              <w:t>中的有关要求，在现有环境监测计划的基础上，根据本次</w:t>
            </w:r>
            <w:r>
              <w:rPr>
                <w:rFonts w:hint="eastAsia"/>
                <w:color w:val="auto"/>
                <w:highlight w:val="none"/>
                <w:u w:val="none"/>
              </w:rPr>
              <w:t>技改扩能</w:t>
            </w:r>
            <w:r>
              <w:rPr>
                <w:color w:val="auto"/>
                <w:highlight w:val="none"/>
                <w:u w:val="none"/>
              </w:rPr>
              <w:t>项目新增的废水、废气、噪声和固废等污染物种类及排放量情况，制定本</w:t>
            </w:r>
            <w:r>
              <w:rPr>
                <w:rFonts w:hint="eastAsia"/>
                <w:color w:val="auto"/>
                <w:highlight w:val="none"/>
                <w:u w:val="none"/>
              </w:rPr>
              <w:t>次技改扩能</w:t>
            </w:r>
            <w:r>
              <w:rPr>
                <w:color w:val="auto"/>
                <w:highlight w:val="none"/>
                <w:u w:val="none"/>
              </w:rPr>
              <w:t>项目运营期环境监测计划</w:t>
            </w:r>
            <w:r>
              <w:rPr>
                <w:rFonts w:hint="eastAsia"/>
                <w:color w:val="auto"/>
                <w:highlight w:val="none"/>
                <w:u w:val="none"/>
              </w:rPr>
              <w:t>。</w:t>
            </w:r>
          </w:p>
        </w:tc>
        <w:tc>
          <w:tcPr>
            <w:tcW w:w="539" w:type="pct"/>
            <w:vAlign w:val="center"/>
          </w:tcPr>
          <w:p w14:paraId="4FF92593">
            <w:pPr>
              <w:pStyle w:val="92"/>
              <w:rPr>
                <w:color w:val="auto"/>
                <w:highlight w:val="none"/>
                <w:u w:val="none"/>
              </w:rPr>
            </w:pPr>
            <w:r>
              <w:rPr>
                <w:rFonts w:hint="eastAsia"/>
                <w:color w:val="auto"/>
                <w:highlight w:val="none"/>
                <w:u w:val="none"/>
              </w:rPr>
              <w:t>符合</w:t>
            </w:r>
          </w:p>
        </w:tc>
      </w:tr>
      <w:tr w14:paraId="61AE6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pct"/>
            <w:vAlign w:val="center"/>
          </w:tcPr>
          <w:p w14:paraId="79CC298E">
            <w:pPr>
              <w:pStyle w:val="92"/>
              <w:rPr>
                <w:color w:val="auto"/>
                <w:highlight w:val="none"/>
                <w:u w:val="none"/>
              </w:rPr>
            </w:pPr>
            <w:r>
              <w:rPr>
                <w:rFonts w:hint="eastAsia"/>
                <w:color w:val="auto"/>
                <w:highlight w:val="none"/>
                <w:u w:val="none"/>
              </w:rPr>
              <w:t>按相关规定开展信息公开和公众参与。</w:t>
            </w:r>
          </w:p>
        </w:tc>
        <w:tc>
          <w:tcPr>
            <w:tcW w:w="2195" w:type="pct"/>
            <w:vAlign w:val="center"/>
          </w:tcPr>
          <w:p w14:paraId="28632466">
            <w:pPr>
              <w:pStyle w:val="92"/>
              <w:rPr>
                <w:color w:val="auto"/>
                <w:highlight w:val="none"/>
                <w:u w:val="none"/>
              </w:rPr>
            </w:pPr>
            <w:r>
              <w:rPr>
                <w:rFonts w:hint="eastAsia"/>
                <w:color w:val="auto"/>
                <w:highlight w:val="none"/>
                <w:u w:val="none"/>
              </w:rPr>
              <w:t>已按相关规定开展信息公开和公众参与。</w:t>
            </w:r>
          </w:p>
        </w:tc>
        <w:tc>
          <w:tcPr>
            <w:tcW w:w="539" w:type="pct"/>
            <w:vAlign w:val="center"/>
          </w:tcPr>
          <w:p w14:paraId="7E78219C">
            <w:pPr>
              <w:pStyle w:val="92"/>
              <w:rPr>
                <w:color w:val="auto"/>
                <w:highlight w:val="none"/>
                <w:u w:val="none"/>
              </w:rPr>
            </w:pPr>
            <w:r>
              <w:rPr>
                <w:rFonts w:hint="eastAsia"/>
                <w:color w:val="auto"/>
                <w:highlight w:val="none"/>
                <w:u w:val="none"/>
              </w:rPr>
              <w:t>符合</w:t>
            </w:r>
          </w:p>
        </w:tc>
      </w:tr>
    </w:tbl>
    <w:p w14:paraId="7A7C3EDF">
      <w:pPr>
        <w:pStyle w:val="6"/>
        <w:spacing w:before="156" w:after="156"/>
        <w:rPr>
          <w:color w:val="auto"/>
          <w:highlight w:val="none"/>
          <w:u w:val="none"/>
        </w:rPr>
        <w:sectPr>
          <w:pgSz w:w="11906" w:h="16838"/>
          <w:pgMar w:top="1440" w:right="1418" w:bottom="1440" w:left="1418" w:header="851" w:footer="992" w:gutter="0"/>
          <w:cols w:space="425" w:num="1"/>
          <w:docGrid w:type="lines" w:linePitch="312" w:charSpace="0"/>
        </w:sectPr>
      </w:pPr>
    </w:p>
    <w:p w14:paraId="11ECCB44">
      <w:pPr>
        <w:pStyle w:val="6"/>
        <w:spacing w:before="156" w:after="156"/>
        <w:rPr>
          <w:color w:val="auto"/>
          <w:highlight w:val="none"/>
          <w:u w:val="none"/>
        </w:rPr>
      </w:pPr>
      <w:r>
        <w:rPr>
          <w:rFonts w:hint="eastAsia"/>
          <w:color w:val="auto"/>
          <w:highlight w:val="none"/>
          <w:u w:val="none"/>
        </w:rPr>
        <w:t>规划符合性分析</w:t>
      </w:r>
      <w:bookmarkEnd w:id="411"/>
      <w:bookmarkEnd w:id="412"/>
    </w:p>
    <w:p w14:paraId="4639434F">
      <w:pPr>
        <w:pStyle w:val="7"/>
        <w:spacing w:before="156"/>
        <w:rPr>
          <w:color w:val="auto"/>
          <w:highlight w:val="none"/>
          <w:u w:val="none"/>
        </w:rPr>
      </w:pPr>
      <w:r>
        <w:rPr>
          <w:rFonts w:hint="eastAsia"/>
          <w:color w:val="auto"/>
          <w:highlight w:val="none"/>
          <w:u w:val="none"/>
        </w:rPr>
        <w:t>与《福清市国土空间总体规划（</w:t>
      </w:r>
      <w:r>
        <w:rPr>
          <w:color w:val="auto"/>
          <w:highlight w:val="none"/>
          <w:u w:val="none"/>
        </w:rPr>
        <w:t>2021</w:t>
      </w:r>
      <w:r>
        <w:rPr>
          <w:rFonts w:hint="eastAsia"/>
          <w:color w:val="auto"/>
          <w:highlight w:val="none"/>
          <w:u w:val="none"/>
        </w:rPr>
        <w:t>-</w:t>
      </w:r>
      <w:r>
        <w:rPr>
          <w:color w:val="auto"/>
          <w:highlight w:val="none"/>
          <w:u w:val="none"/>
        </w:rPr>
        <w:t>2035</w:t>
      </w:r>
      <w:r>
        <w:rPr>
          <w:rFonts w:hint="eastAsia"/>
          <w:color w:val="auto"/>
          <w:highlight w:val="none"/>
          <w:u w:val="none"/>
        </w:rPr>
        <w:t>年）》符合性分析</w:t>
      </w:r>
    </w:p>
    <w:p w14:paraId="51C6EE23">
      <w:pPr>
        <w:rPr>
          <w:rFonts w:hint="eastAsia"/>
          <w:color w:val="auto"/>
          <w:highlight w:val="none"/>
          <w:u w:val="none"/>
        </w:rPr>
      </w:pPr>
      <w:r>
        <w:rPr>
          <w:rFonts w:hint="eastAsia"/>
          <w:color w:val="auto"/>
          <w:highlight w:val="none"/>
          <w:u w:val="none"/>
        </w:rPr>
        <w:t>根据《福清市国土空间总体规划（2021-2035年）》：</w:t>
      </w:r>
    </w:p>
    <w:p w14:paraId="57AA9EE3">
      <w:pPr>
        <w:rPr>
          <w:rFonts w:hint="eastAsia"/>
          <w:color w:val="auto"/>
          <w:highlight w:val="none"/>
          <w:u w:val="none"/>
        </w:rPr>
      </w:pPr>
      <w:r>
        <w:rPr>
          <w:rFonts w:hint="eastAsia"/>
          <w:color w:val="auto"/>
          <w:highlight w:val="none"/>
          <w:u w:val="none"/>
        </w:rPr>
        <w:t xml:space="preserve">“第49条 </w:t>
      </w:r>
      <w:r>
        <w:rPr>
          <w:color w:val="auto"/>
          <w:highlight w:val="none"/>
          <w:u w:val="none"/>
        </w:rPr>
        <w:t xml:space="preserve"> </w:t>
      </w:r>
      <w:r>
        <w:rPr>
          <w:rFonts w:hint="eastAsia"/>
          <w:color w:val="auto"/>
          <w:highlight w:val="none"/>
          <w:u w:val="none"/>
        </w:rPr>
        <w:t>三产融合发展，加快海洋强市建设</w:t>
      </w:r>
    </w:p>
    <w:p w14:paraId="6B4BDB07">
      <w:pPr>
        <w:rPr>
          <w:rFonts w:hint="eastAsia"/>
          <w:color w:val="auto"/>
          <w:highlight w:val="none"/>
          <w:u w:val="none"/>
        </w:rPr>
      </w:pPr>
      <w:r>
        <w:rPr>
          <w:rFonts w:hint="eastAsia"/>
          <w:color w:val="auto"/>
          <w:highlight w:val="none"/>
          <w:u w:val="none"/>
        </w:rPr>
        <w:t>……</w:t>
      </w:r>
    </w:p>
    <w:p w14:paraId="08AEB4D3">
      <w:pPr>
        <w:rPr>
          <w:rFonts w:hint="eastAsia"/>
          <w:color w:val="auto"/>
          <w:highlight w:val="none"/>
          <w:u w:val="none"/>
        </w:rPr>
      </w:pPr>
      <w:r>
        <w:rPr>
          <w:rFonts w:hint="eastAsia"/>
          <w:color w:val="auto"/>
          <w:highlight w:val="none"/>
          <w:u w:val="none"/>
        </w:rPr>
        <w:t>4.拓展海洋化工的深度与广度</w:t>
      </w:r>
    </w:p>
    <w:p w14:paraId="63EC66C7">
      <w:pPr>
        <w:rPr>
          <w:rFonts w:hint="eastAsia"/>
          <w:color w:val="auto"/>
          <w:highlight w:val="none"/>
          <w:u w:val="none"/>
        </w:rPr>
      </w:pPr>
      <w:r>
        <w:rPr>
          <w:rFonts w:hint="eastAsia"/>
          <w:color w:val="auto"/>
          <w:highlight w:val="none"/>
          <w:u w:val="none"/>
        </w:rPr>
        <w:t>围绕福建</w:t>
      </w:r>
      <w:r>
        <w:rPr>
          <w:rFonts w:hint="eastAsia"/>
          <w:b/>
          <w:bCs/>
          <w:color w:val="auto"/>
          <w:highlight w:val="none"/>
          <w:u w:val="none"/>
        </w:rPr>
        <w:t>福清江阴经济开发区</w:t>
      </w:r>
      <w:r>
        <w:rPr>
          <w:rFonts w:hint="eastAsia"/>
          <w:color w:val="auto"/>
          <w:highlight w:val="none"/>
          <w:u w:val="none"/>
        </w:rPr>
        <w:t>和福州保税港区，优化海洋化工产业布局和产品结构，打造绿色化、集聚化、高端化海洋化工基地。采用一体化产业链设计，发展乙烯、丙烯、</w:t>
      </w:r>
      <w:r>
        <w:rPr>
          <w:rFonts w:hint="eastAsia"/>
          <w:b/>
          <w:bCs/>
          <w:color w:val="auto"/>
          <w:highlight w:val="none"/>
          <w:u w:val="none"/>
        </w:rPr>
        <w:t>聚氨酯</w:t>
      </w:r>
      <w:r>
        <w:rPr>
          <w:rFonts w:hint="eastAsia"/>
          <w:color w:val="auto"/>
          <w:highlight w:val="none"/>
          <w:u w:val="none"/>
        </w:rPr>
        <w:t>、高端弹性体</w:t>
      </w:r>
      <w:r>
        <w:rPr>
          <w:rFonts w:hint="eastAsia"/>
          <w:b/>
          <w:bCs/>
          <w:color w:val="auto"/>
          <w:highlight w:val="none"/>
          <w:u w:val="none"/>
        </w:rPr>
        <w:t>等化工新材料</w:t>
      </w:r>
      <w:r>
        <w:rPr>
          <w:rFonts w:hint="eastAsia"/>
          <w:color w:val="auto"/>
          <w:highlight w:val="none"/>
          <w:u w:val="none"/>
        </w:rPr>
        <w:t>，延伸加工和补链发展，集约发展临港石油化工、盐化工、煤化工。大力发展新型海洋生物材料，扩大化工新材料产业规模，延伸下游产业链。”</w:t>
      </w:r>
    </w:p>
    <w:p w14:paraId="4B57CB89">
      <w:pPr>
        <w:pStyle w:val="5"/>
        <w:rPr>
          <w:rFonts w:hint="eastAsia" w:eastAsia="宋体"/>
          <w:color w:val="auto"/>
          <w:highlight w:val="none"/>
          <w:u w:val="none"/>
          <w:lang w:eastAsia="zh-CN"/>
        </w:rPr>
      </w:pPr>
      <w:r>
        <w:rPr>
          <w:rFonts w:hint="eastAsia"/>
          <w:color w:val="auto"/>
          <w:highlight w:val="none"/>
          <w:u w:val="none"/>
        </w:rPr>
        <w:t xml:space="preserve">    本项目位于江阴港城经济区的西部临港产业区，主要产品为TDI（甲苯二异氰酸酯），为聚氨酯产业链中的产品，符合《福清市国土空间总体规划（2021-2035年）》</w:t>
      </w:r>
      <w:r>
        <w:rPr>
          <w:rFonts w:hint="eastAsia"/>
          <w:color w:val="auto"/>
          <w:highlight w:val="none"/>
          <w:u w:val="none"/>
          <w:lang w:eastAsia="zh-CN"/>
        </w:rPr>
        <w:t>。</w:t>
      </w:r>
    </w:p>
    <w:p w14:paraId="026BC372">
      <w:pPr>
        <w:pStyle w:val="7"/>
        <w:spacing w:before="156"/>
        <w:rPr>
          <w:color w:val="auto"/>
          <w:highlight w:val="none"/>
          <w:u w:val="none"/>
        </w:rPr>
      </w:pPr>
      <w:r>
        <w:rPr>
          <w:rFonts w:hint="eastAsia"/>
          <w:color w:val="auto"/>
          <w:highlight w:val="none"/>
          <w:u w:val="none"/>
        </w:rPr>
        <w:t>与《福州江阴港城总体规划（2018-2035年）》符合性分析</w:t>
      </w:r>
    </w:p>
    <w:p w14:paraId="7B359A7E">
      <w:pPr>
        <w:rPr>
          <w:rFonts w:hint="eastAsia"/>
          <w:color w:val="auto"/>
          <w:highlight w:val="none"/>
          <w:u w:val="none"/>
        </w:rPr>
      </w:pPr>
      <w:r>
        <w:rPr>
          <w:rFonts w:hint="eastAsia"/>
          <w:color w:val="auto"/>
          <w:highlight w:val="none"/>
          <w:u w:val="none"/>
        </w:rPr>
        <w:t>《福州江阴港城总体规划（2018-2035年）》是在《江阴港城总体规划（2012-2030年）》基础上，从福州新区发展出发，整合</w:t>
      </w:r>
      <w:r>
        <w:rPr>
          <w:rFonts w:hint="eastAsia"/>
          <w:color w:val="auto"/>
          <w:highlight w:val="none"/>
          <w:u w:val="none"/>
          <w:lang w:eastAsia="zh-CN"/>
        </w:rPr>
        <w:t>福州江阴港城经济区</w:t>
      </w:r>
      <w:r>
        <w:rPr>
          <w:rFonts w:hint="eastAsia"/>
          <w:color w:val="auto"/>
          <w:highlight w:val="none"/>
          <w:u w:val="none"/>
        </w:rPr>
        <w:t>和福建自贸试验区福州片区保税港区，设立福州江阴港城经济区。以福州新区建设为引领，主动加强与海丝沿线国家联系，深化与台湾“深水区”合作，以转型升级为主线，以改革创新为动力，以新型城镇化为路径，充分释放国家新区、21世纪海上丝绸之路核心区、福建自贸区、福建生态文明试验区、福厦泉国家自主创新示范区“五区叠加”政策效应，将江阴港城打造成为：福建对外开放门户枢纽、海西港口物流枢纽、福州新区南翼先进制造业基地、福清市环湾城镇带次中心、滨海生态园林城市。</w:t>
      </w:r>
    </w:p>
    <w:p w14:paraId="5274C8D0">
      <w:pPr>
        <w:rPr>
          <w:rFonts w:hint="eastAsia"/>
          <w:color w:val="auto"/>
          <w:highlight w:val="none"/>
          <w:u w:val="none"/>
        </w:rPr>
      </w:pPr>
      <w:r>
        <w:rPr>
          <w:rFonts w:hint="eastAsia"/>
          <w:color w:val="auto"/>
          <w:highlight w:val="none"/>
          <w:u w:val="none"/>
        </w:rPr>
        <w:t>根据《福州江阴港城总体规划（2018-2035年）》，本项目位于规划的工业用地内，江阴港城土地使用规划图详见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_Ref64738662 \h</w:instrText>
      </w:r>
      <w:r>
        <w:rPr>
          <w:color w:val="auto"/>
          <w:highlight w:val="none"/>
          <w:u w:val="none"/>
        </w:rPr>
        <w:instrText xml:space="preserve">  \* MERGEFORMAT </w:instrText>
      </w:r>
      <w:r>
        <w:rPr>
          <w:color w:val="auto"/>
          <w:highlight w:val="none"/>
          <w:u w:val="none"/>
        </w:rPr>
        <w:fldChar w:fldCharType="separate"/>
      </w:r>
      <w:r>
        <w:rPr>
          <w:rFonts w:hint="eastAsia"/>
          <w:color w:val="auto"/>
          <w:szCs w:val="32"/>
          <w:highlight w:val="none"/>
          <w:u w:val="none"/>
          <w:lang w:val="en-US"/>
        </w:rPr>
        <w:t xml:space="preserve">图 </w:t>
      </w:r>
      <w:r>
        <w:rPr>
          <w:rFonts w:hint="eastAsia"/>
          <w:color w:val="auto"/>
          <w:szCs w:val="32"/>
          <w:highlight w:val="none"/>
          <w:u w:val="none"/>
          <w:lang w:val="en-US"/>
        </w:rPr>
        <w:fldChar w:fldCharType="begin"/>
      </w:r>
      <w:r>
        <w:rPr>
          <w:color w:val="auto"/>
          <w:szCs w:val="32"/>
          <w:highlight w:val="none"/>
          <w:u w:val="none"/>
          <w:lang w:val="en-US"/>
        </w:rPr>
        <w:instrText xml:space="preserve"> </w:instrText>
      </w:r>
      <w:r>
        <w:rPr>
          <w:rFonts w:hint="eastAsia"/>
          <w:color w:val="auto"/>
          <w:szCs w:val="32"/>
          <w:highlight w:val="none"/>
          <w:u w:val="none"/>
          <w:lang w:val="en-US"/>
        </w:rPr>
        <w:instrText xml:space="preserve">STYLEREF</w:instrText>
      </w:r>
      <w:r>
        <w:rPr>
          <w:rFonts w:hint="eastAsia"/>
          <w:color w:val="auto"/>
          <w:highlight w:val="none"/>
          <w:u w:val="none"/>
          <w:lang w:val="en-US"/>
        </w:rPr>
        <w:instrText xml:space="preserve"> 2 \s</w:instrText>
      </w:r>
      <w:r>
        <w:rPr>
          <w:color w:val="auto"/>
          <w:highlight w:val="none"/>
          <w:u w:val="none"/>
          <w:lang w:val="en-US"/>
        </w:rPr>
        <w:instrText xml:space="preserve"> </w:instrText>
      </w:r>
      <w:r>
        <w:rPr>
          <w:rFonts w:hint="eastAsia"/>
          <w:color w:val="auto"/>
          <w:highlight w:val="none"/>
          <w:u w:val="none"/>
          <w:lang w:val="en-US"/>
        </w:rPr>
        <w:fldChar w:fldCharType="separate"/>
      </w:r>
      <w:r>
        <w:rPr>
          <w:rFonts w:hint="eastAsia"/>
          <w:color w:val="auto"/>
          <w:highlight w:val="none"/>
          <w:u w:val="none"/>
          <w:lang w:val="en-US"/>
        </w:rPr>
        <w:t>5.11</w:t>
      </w:r>
      <w:r>
        <w:rPr>
          <w:rFonts w:hint="eastAsia"/>
          <w:color w:val="auto"/>
          <w:highlight w:val="none"/>
          <w:u w:val="none"/>
          <w:lang w:val="en-US"/>
        </w:rPr>
        <w:fldChar w:fldCharType="end"/>
      </w:r>
      <w:r>
        <w:rPr>
          <w:rFonts w:hint="eastAsia"/>
          <w:color w:val="auto"/>
          <w:highlight w:val="none"/>
          <w:u w:val="none"/>
          <w:lang w:val="en-US"/>
        </w:rPr>
        <w:noBreakHyphen/>
      </w:r>
      <w:r>
        <w:rPr>
          <w:rFonts w:hint="eastAsia"/>
          <w:color w:val="auto"/>
          <w:highlight w:val="none"/>
          <w:u w:val="none"/>
          <w:lang w:val="en-US"/>
        </w:rPr>
        <w:t>3</w:t>
      </w:r>
      <w:r>
        <w:rPr>
          <w:color w:val="auto"/>
          <w:highlight w:val="none"/>
          <w:u w:val="none"/>
        </w:rPr>
        <w:fldChar w:fldCharType="end"/>
      </w:r>
      <w:r>
        <w:rPr>
          <w:rFonts w:hint="eastAsia"/>
          <w:color w:val="auto"/>
          <w:highlight w:val="none"/>
          <w:u w:val="none"/>
        </w:rPr>
        <w:t>。</w:t>
      </w:r>
    </w:p>
    <w:p w14:paraId="6548B9D6">
      <w:pPr>
        <w:rPr>
          <w:rFonts w:hint="eastAsia"/>
          <w:color w:val="auto"/>
          <w:highlight w:val="none"/>
          <w:u w:val="none"/>
        </w:rPr>
      </w:pPr>
      <w:r>
        <w:rPr>
          <w:rFonts w:hint="eastAsia"/>
          <w:color w:val="auto"/>
          <w:highlight w:val="none"/>
          <w:u w:val="none"/>
        </w:rPr>
        <w:t>根据规划，江阴港城重点形成7个产业片区，分别为新厝先进制造业基地（含保税港区）、东部临港产业区、西部临港产业区、商贸物流区（含保税港区）、港口运输物流仓储区（含保税港区）、现代服务业集聚区和月亮湾海洋经济预留区，分别承担城市的先进制造业、临港化工产业、现代商贸物流业和现代服务业。</w:t>
      </w:r>
    </w:p>
    <w:p w14:paraId="320E449F">
      <w:pPr>
        <w:rPr>
          <w:rFonts w:hint="eastAsia"/>
          <w:color w:val="auto"/>
          <w:highlight w:val="none"/>
          <w:u w:val="none"/>
        </w:rPr>
      </w:pPr>
      <w:r>
        <w:rPr>
          <w:rFonts w:hint="eastAsia"/>
          <w:color w:val="auto"/>
          <w:highlight w:val="none"/>
          <w:u w:val="none"/>
        </w:rPr>
        <w:t>本项目位于规划的西部临港产业区，西部临港产业区位于江阴港城西南部，用地规模约为1300公顷。西部临港产业区主要承载临港化工产业。在对现状企业进行保留提升的基础上，注重完善重化企业的布置和配套服务体系，促进下游产业的快速发展，形成上下游产业链条的竞争合作。布局产业主要为化学基础原料及化学品制造业、医药化工、建材、轻工，以医药、盐化工、煤化工及石油化工为龙头。江阴港城产业空间布局规划图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_Ref65062374 \h</w:instrText>
      </w:r>
      <w:r>
        <w:rPr>
          <w:color w:val="auto"/>
          <w:highlight w:val="none"/>
          <w:u w:val="none"/>
        </w:rPr>
        <w:instrText xml:space="preserve">  \* MERGEFORMAT </w:instrText>
      </w:r>
      <w:r>
        <w:rPr>
          <w:color w:val="auto"/>
          <w:highlight w:val="none"/>
          <w:u w:val="none"/>
        </w:rPr>
        <w:fldChar w:fldCharType="separate"/>
      </w:r>
      <w:r>
        <w:rPr>
          <w:rFonts w:hint="eastAsia"/>
          <w:color w:val="auto"/>
          <w:szCs w:val="32"/>
          <w:highlight w:val="none"/>
          <w:u w:val="none"/>
          <w:lang w:val="en-US"/>
        </w:rPr>
        <w:t xml:space="preserve">图 </w:t>
      </w:r>
      <w:r>
        <w:rPr>
          <w:rFonts w:hint="eastAsia"/>
          <w:color w:val="auto"/>
          <w:szCs w:val="32"/>
          <w:highlight w:val="none"/>
          <w:u w:val="none"/>
          <w:lang w:val="en-US"/>
        </w:rPr>
        <w:fldChar w:fldCharType="begin"/>
      </w:r>
      <w:r>
        <w:rPr>
          <w:color w:val="auto"/>
          <w:szCs w:val="32"/>
          <w:highlight w:val="none"/>
          <w:u w:val="none"/>
          <w:lang w:val="en-US"/>
        </w:rPr>
        <w:instrText xml:space="preserve"> </w:instrText>
      </w:r>
      <w:r>
        <w:rPr>
          <w:rFonts w:hint="eastAsia"/>
          <w:color w:val="auto"/>
          <w:szCs w:val="32"/>
          <w:highlight w:val="none"/>
          <w:u w:val="none"/>
          <w:lang w:val="en-US"/>
        </w:rPr>
        <w:instrText xml:space="preserve">STYLEREF</w:instrText>
      </w:r>
      <w:r>
        <w:rPr>
          <w:rFonts w:hint="eastAsia"/>
          <w:color w:val="auto"/>
          <w:highlight w:val="none"/>
          <w:u w:val="none"/>
          <w:lang w:val="en-US"/>
        </w:rPr>
        <w:instrText xml:space="preserve"> 2 \s</w:instrText>
      </w:r>
      <w:r>
        <w:rPr>
          <w:color w:val="auto"/>
          <w:highlight w:val="none"/>
          <w:u w:val="none"/>
          <w:lang w:val="en-US"/>
        </w:rPr>
        <w:instrText xml:space="preserve"> </w:instrText>
      </w:r>
      <w:r>
        <w:rPr>
          <w:rFonts w:hint="eastAsia"/>
          <w:color w:val="auto"/>
          <w:highlight w:val="none"/>
          <w:u w:val="none"/>
          <w:lang w:val="en-US"/>
        </w:rPr>
        <w:fldChar w:fldCharType="separate"/>
      </w:r>
      <w:r>
        <w:rPr>
          <w:rFonts w:hint="eastAsia"/>
          <w:color w:val="auto"/>
          <w:highlight w:val="none"/>
          <w:u w:val="none"/>
          <w:lang w:val="en-US"/>
        </w:rPr>
        <w:t>5.11</w:t>
      </w:r>
      <w:r>
        <w:rPr>
          <w:rFonts w:hint="eastAsia"/>
          <w:color w:val="auto"/>
          <w:highlight w:val="none"/>
          <w:u w:val="none"/>
          <w:lang w:val="en-US"/>
        </w:rPr>
        <w:fldChar w:fldCharType="end"/>
      </w:r>
      <w:r>
        <w:rPr>
          <w:rFonts w:hint="eastAsia"/>
          <w:color w:val="auto"/>
          <w:highlight w:val="none"/>
          <w:u w:val="none"/>
          <w:lang w:val="en-US"/>
        </w:rPr>
        <w:noBreakHyphen/>
      </w:r>
      <w:r>
        <w:rPr>
          <w:rFonts w:hint="eastAsia"/>
          <w:color w:val="auto"/>
          <w:highlight w:val="none"/>
          <w:u w:val="none"/>
          <w:lang w:val="en-US"/>
        </w:rPr>
        <w:t>4</w:t>
      </w:r>
      <w:r>
        <w:rPr>
          <w:color w:val="auto"/>
          <w:highlight w:val="none"/>
          <w:u w:val="none"/>
        </w:rPr>
        <w:fldChar w:fldCharType="end"/>
      </w:r>
      <w:r>
        <w:rPr>
          <w:rFonts w:hint="eastAsia"/>
          <w:color w:val="auto"/>
          <w:highlight w:val="none"/>
          <w:u w:val="none"/>
        </w:rPr>
        <w:t>。</w:t>
      </w:r>
    </w:p>
    <w:p w14:paraId="686B6798">
      <w:pPr>
        <w:rPr>
          <w:rFonts w:hint="eastAsia"/>
          <w:color w:val="auto"/>
          <w:highlight w:val="none"/>
          <w:u w:val="none"/>
        </w:rPr>
      </w:pPr>
      <w:r>
        <w:rPr>
          <w:rFonts w:hint="eastAsia"/>
          <w:color w:val="auto"/>
          <w:highlight w:val="none"/>
          <w:u w:val="none"/>
        </w:rPr>
        <w:t>综上，本项目属于本项目为有机化学原料制造类项目，位于西部临港产业区的工业用地内，项目建设符合《福州江阴港城总体规划（2018-2035年）》的土地使用规划和产业布局规划。</w:t>
      </w:r>
    </w:p>
    <w:p w14:paraId="7B721845">
      <w:pPr>
        <w:rPr>
          <w:rFonts w:hint="eastAsia"/>
          <w:color w:val="auto"/>
          <w:highlight w:val="none"/>
          <w:u w:val="none"/>
        </w:rPr>
      </w:pPr>
    </w:p>
    <w:p w14:paraId="6319F80A">
      <w:pPr>
        <w:rPr>
          <w:rFonts w:hint="eastAsia"/>
          <w:color w:val="auto"/>
          <w:highlight w:val="none"/>
          <w:u w:val="none"/>
        </w:rPr>
        <w:sectPr>
          <w:pgSz w:w="11906" w:h="16838"/>
          <w:pgMar w:top="1440" w:right="1435" w:bottom="1440" w:left="1435" w:header="851" w:footer="992" w:gutter="0"/>
          <w:cols w:space="720" w:num="1"/>
          <w:docGrid w:type="lines" w:linePitch="312" w:charSpace="0"/>
        </w:sectPr>
      </w:pPr>
    </w:p>
    <w:p w14:paraId="2DE52903">
      <w:pPr>
        <w:pStyle w:val="7"/>
        <w:spacing w:before="156"/>
        <w:rPr>
          <w:color w:val="auto"/>
          <w:highlight w:val="none"/>
          <w:u w:val="none"/>
        </w:rPr>
      </w:pPr>
      <w:r>
        <w:rPr>
          <w:rFonts w:hint="eastAsia"/>
          <w:color w:val="auto"/>
          <w:highlight w:val="none"/>
          <w:u w:val="none"/>
        </w:rPr>
        <w:t>与《福州江阴港城总体规划（2018-2035）环境影响报告书》及审查意见符合性分析</w:t>
      </w:r>
    </w:p>
    <w:p w14:paraId="4B63130F">
      <w:pPr>
        <w:rPr>
          <w:rFonts w:hint="eastAsia"/>
          <w:color w:val="auto"/>
          <w:highlight w:val="none"/>
          <w:u w:val="none"/>
        </w:rPr>
      </w:pPr>
      <w:r>
        <w:rPr>
          <w:rFonts w:hint="eastAsia"/>
          <w:color w:val="auto"/>
          <w:highlight w:val="none"/>
          <w:u w:val="none"/>
        </w:rPr>
        <w:t>根据《福州江阴港城总体规划（2018-2035）环境影响报告书》（2</w:t>
      </w:r>
      <w:r>
        <w:rPr>
          <w:color w:val="auto"/>
          <w:highlight w:val="none"/>
          <w:u w:val="none"/>
        </w:rPr>
        <w:t>018</w:t>
      </w:r>
      <w:r>
        <w:rPr>
          <w:rFonts w:hint="eastAsia"/>
          <w:color w:val="auto"/>
          <w:highlight w:val="none"/>
          <w:u w:val="none"/>
        </w:rPr>
        <w:t>年5月）和《福州市环境保护局关于印发福州江阴港城总体规划（2018-2035）环境影响报告书审查小组意见的通知》（榕环保评[</w:t>
      </w:r>
      <w:r>
        <w:rPr>
          <w:color w:val="auto"/>
          <w:highlight w:val="none"/>
          <w:u w:val="none"/>
        </w:rPr>
        <w:t>2018]55</w:t>
      </w:r>
      <w:r>
        <w:rPr>
          <w:rFonts w:hint="eastAsia"/>
          <w:color w:val="auto"/>
          <w:highlight w:val="none"/>
          <w:u w:val="none"/>
        </w:rPr>
        <w:t>号），江阴港城行业准入清单见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_Ref64748280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5.11</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5</w:t>
      </w:r>
      <w:r>
        <w:rPr>
          <w:color w:val="auto"/>
          <w:highlight w:val="none"/>
          <w:u w:val="none"/>
        </w:rPr>
        <w:fldChar w:fldCharType="end"/>
      </w:r>
      <w:r>
        <w:rPr>
          <w:rFonts w:hint="eastAsia"/>
          <w:color w:val="auto"/>
          <w:highlight w:val="none"/>
          <w:u w:val="none"/>
        </w:rPr>
        <w:t>。同时对照规划环评审查意见，本项目建设符合规划环评审查意见的要求，详见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_Ref99656240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5.11</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6</w:t>
      </w:r>
      <w:r>
        <w:rPr>
          <w:color w:val="auto"/>
          <w:highlight w:val="none"/>
          <w:u w:val="none"/>
        </w:rPr>
        <w:fldChar w:fldCharType="end"/>
      </w:r>
      <w:r>
        <w:rPr>
          <w:rFonts w:hint="eastAsia"/>
          <w:color w:val="auto"/>
          <w:highlight w:val="none"/>
          <w:u w:val="none"/>
        </w:rPr>
        <w:t>。</w:t>
      </w:r>
    </w:p>
    <w:p w14:paraId="60D7C6E5">
      <w:pPr>
        <w:rPr>
          <w:rFonts w:hint="eastAsia"/>
          <w:color w:val="auto"/>
          <w:highlight w:val="none"/>
          <w:u w:val="none"/>
        </w:rPr>
      </w:pPr>
      <w:r>
        <w:rPr>
          <w:rFonts w:hint="eastAsia"/>
          <w:color w:val="auto"/>
          <w:highlight w:val="none"/>
          <w:u w:val="none"/>
        </w:rPr>
        <w:t>本项目产生的TDI废液送往万华环保科技公司能量回收装置进行焚烧处理；</w:t>
      </w:r>
      <w:r>
        <w:rPr>
          <w:color w:val="auto"/>
          <w:highlight w:val="none"/>
          <w:u w:val="none"/>
        </w:rPr>
        <w:t>焦油颗粒</w:t>
      </w:r>
      <w:r>
        <w:rPr>
          <w:rFonts w:hint="eastAsia"/>
          <w:color w:val="auto"/>
          <w:highlight w:val="none"/>
          <w:u w:val="none"/>
        </w:rPr>
        <w:t>送往万华福建公司</w:t>
      </w:r>
      <w:r>
        <w:rPr>
          <w:rFonts w:hint="eastAsia"/>
          <w:color w:val="auto"/>
          <w:kern w:val="28"/>
          <w:highlight w:val="none"/>
          <w:u w:val="none"/>
          <w:lang w:val="en-US"/>
        </w:rPr>
        <w:t>气体扩能改造项目</w:t>
      </w:r>
      <w:r>
        <w:rPr>
          <w:rFonts w:hint="eastAsia"/>
          <w:color w:val="auto"/>
          <w:highlight w:val="none"/>
          <w:u w:val="none"/>
        </w:rPr>
        <w:t>作为水煤浆气化原料；轻油送往万华环保科技公司</w:t>
      </w:r>
      <w:r>
        <w:rPr>
          <w:color w:val="auto"/>
          <w:highlight w:val="none"/>
          <w:u w:val="none"/>
        </w:rPr>
        <w:t>能量回收装置</w:t>
      </w:r>
      <w:r>
        <w:rPr>
          <w:rFonts w:hint="eastAsia"/>
          <w:color w:val="auto"/>
          <w:highlight w:val="none"/>
          <w:u w:val="none"/>
        </w:rPr>
        <w:t>进行焚烧处置；废催化剂、</w:t>
      </w:r>
      <w:r>
        <w:rPr>
          <w:color w:val="auto"/>
          <w:highlight w:val="none"/>
          <w:u w:val="none"/>
        </w:rPr>
        <w:t>废活性炭、废包装材料、机修废油、废导热油、</w:t>
      </w:r>
      <w:r>
        <w:rPr>
          <w:rFonts w:hint="eastAsia"/>
          <w:color w:val="auto"/>
          <w:highlight w:val="none"/>
          <w:u w:val="none"/>
        </w:rPr>
        <w:t>废氮封油等危险废物委托有危废处理资质的单位处理，危险废物处理率1</w:t>
      </w:r>
      <w:r>
        <w:rPr>
          <w:color w:val="auto"/>
          <w:highlight w:val="none"/>
          <w:u w:val="none"/>
        </w:rPr>
        <w:t>00</w:t>
      </w:r>
      <w:r>
        <w:rPr>
          <w:rFonts w:hint="eastAsia"/>
          <w:color w:val="auto"/>
          <w:highlight w:val="none"/>
          <w:u w:val="none"/>
        </w:rPr>
        <w:t>%。</w:t>
      </w:r>
    </w:p>
    <w:p w14:paraId="50F62A57">
      <w:pPr>
        <w:rPr>
          <w:rFonts w:hint="eastAsia"/>
          <w:color w:val="auto"/>
          <w:highlight w:val="none"/>
          <w:u w:val="none"/>
        </w:rPr>
      </w:pPr>
      <w:r>
        <w:rPr>
          <w:rFonts w:hint="eastAsia"/>
          <w:color w:val="auto"/>
          <w:highlight w:val="none"/>
          <w:u w:val="none"/>
        </w:rPr>
        <w:t>综上，本项目建设符合《福州江阴港城总体规划（2018-2035）环境影响报告书》及其审查意见的要求。</w:t>
      </w:r>
    </w:p>
    <w:p w14:paraId="0EC31BB5">
      <w:pPr>
        <w:rPr>
          <w:rFonts w:hint="eastAsia"/>
          <w:color w:val="auto"/>
          <w:highlight w:val="none"/>
          <w:u w:val="none"/>
        </w:rPr>
      </w:pPr>
    </w:p>
    <w:p w14:paraId="6E0AA8E5">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29FE5799">
      <w:pPr>
        <w:ind w:firstLine="482"/>
        <w:jc w:val="center"/>
        <w:rPr>
          <w:rFonts w:hint="eastAsia"/>
          <w:b/>
          <w:bCs/>
          <w:color w:val="auto"/>
          <w:highlight w:val="none"/>
          <w:u w:val="none"/>
        </w:rPr>
      </w:pPr>
      <w:bookmarkStart w:id="414" w:name="_Ref64748280"/>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5.11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w:t>
      </w:r>
      <w:r>
        <w:rPr>
          <w:b/>
          <w:bCs/>
          <w:color w:val="auto"/>
          <w:highlight w:val="none"/>
          <w:u w:val="none"/>
        </w:rPr>
        <w:fldChar w:fldCharType="end"/>
      </w:r>
      <w:bookmarkEnd w:id="414"/>
      <w:r>
        <w:rPr>
          <w:b/>
          <w:bCs/>
          <w:color w:val="auto"/>
          <w:highlight w:val="none"/>
          <w:u w:val="none"/>
        </w:rPr>
        <w:t xml:space="preserve">  </w:t>
      </w:r>
      <w:r>
        <w:rPr>
          <w:rFonts w:hint="eastAsia"/>
          <w:b/>
          <w:bCs/>
          <w:color w:val="auto"/>
          <w:highlight w:val="none"/>
          <w:u w:val="none"/>
        </w:rPr>
        <w:t>江阴港城产业引进的环保准入条件一览表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82"/>
        <w:gridCol w:w="1295"/>
        <w:gridCol w:w="2991"/>
        <w:gridCol w:w="1139"/>
        <w:gridCol w:w="1105"/>
        <w:gridCol w:w="1444"/>
        <w:gridCol w:w="850"/>
        <w:gridCol w:w="1158"/>
        <w:gridCol w:w="1304"/>
        <w:gridCol w:w="1010"/>
        <w:gridCol w:w="1010"/>
      </w:tblGrid>
      <w:tr w14:paraId="7A4B0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restart"/>
            <w:shd w:val="clear" w:color="auto" w:fill="auto"/>
            <w:tcMar>
              <w:left w:w="0" w:type="dxa"/>
              <w:right w:w="0" w:type="dxa"/>
            </w:tcMar>
            <w:vAlign w:val="center"/>
          </w:tcPr>
          <w:p w14:paraId="1D734C8B">
            <w:pPr>
              <w:pStyle w:val="92"/>
              <w:rPr>
                <w:color w:val="auto"/>
                <w:sz w:val="18"/>
                <w:szCs w:val="18"/>
                <w:highlight w:val="none"/>
                <w:u w:val="none"/>
              </w:rPr>
            </w:pPr>
            <w:r>
              <w:rPr>
                <w:color w:val="auto"/>
                <w:sz w:val="18"/>
                <w:szCs w:val="18"/>
                <w:highlight w:val="none"/>
                <w:u w:val="none"/>
              </w:rPr>
              <w:t>规划</w:t>
            </w:r>
          </w:p>
          <w:p w14:paraId="6B4C40AB">
            <w:pPr>
              <w:pStyle w:val="92"/>
              <w:rPr>
                <w:color w:val="auto"/>
                <w:sz w:val="18"/>
                <w:szCs w:val="18"/>
                <w:highlight w:val="none"/>
                <w:u w:val="none"/>
              </w:rPr>
            </w:pPr>
            <w:r>
              <w:rPr>
                <w:color w:val="auto"/>
                <w:sz w:val="18"/>
                <w:szCs w:val="18"/>
                <w:highlight w:val="none"/>
                <w:u w:val="none"/>
              </w:rPr>
              <w:t>产业</w:t>
            </w:r>
          </w:p>
        </w:tc>
        <w:tc>
          <w:tcPr>
            <w:tcW w:w="4756" w:type="pct"/>
            <w:gridSpan w:val="10"/>
            <w:shd w:val="clear" w:color="auto" w:fill="auto"/>
            <w:tcMar>
              <w:left w:w="0" w:type="dxa"/>
              <w:right w:w="0" w:type="dxa"/>
            </w:tcMar>
            <w:vAlign w:val="center"/>
          </w:tcPr>
          <w:p w14:paraId="6759C798">
            <w:pPr>
              <w:pStyle w:val="92"/>
              <w:jc w:val="both"/>
              <w:rPr>
                <w:color w:val="auto"/>
                <w:sz w:val="18"/>
                <w:szCs w:val="18"/>
                <w:highlight w:val="none"/>
                <w:u w:val="none"/>
              </w:rPr>
            </w:pPr>
            <w:r>
              <w:rPr>
                <w:color w:val="auto"/>
                <w:sz w:val="18"/>
                <w:szCs w:val="18"/>
                <w:highlight w:val="none"/>
                <w:u w:val="none"/>
              </w:rPr>
              <w:t>首先必须满足以下条件：</w:t>
            </w:r>
            <w:r>
              <w:rPr>
                <w:rFonts w:hint="eastAsia" w:ascii="宋体" w:hAnsi="宋体" w:cs="宋体"/>
                <w:color w:val="auto"/>
                <w:sz w:val="18"/>
                <w:szCs w:val="18"/>
                <w:highlight w:val="none"/>
                <w:u w:val="none"/>
              </w:rPr>
              <w:t>①</w:t>
            </w:r>
            <w:r>
              <w:rPr>
                <w:color w:val="auto"/>
                <w:sz w:val="18"/>
                <w:szCs w:val="18"/>
                <w:highlight w:val="none"/>
                <w:u w:val="none"/>
              </w:rPr>
              <w:t>不属于《国家产业结构调整指导目录（2011）》及2013年修改决定中的淘汰类；</w:t>
            </w:r>
            <w:r>
              <w:rPr>
                <w:rFonts w:hint="eastAsia" w:ascii="宋体" w:hAnsi="宋体" w:cs="宋体"/>
                <w:color w:val="auto"/>
                <w:sz w:val="18"/>
                <w:szCs w:val="18"/>
                <w:highlight w:val="none"/>
                <w:u w:val="none"/>
              </w:rPr>
              <w:t>②</w:t>
            </w:r>
            <w:r>
              <w:rPr>
                <w:color w:val="auto"/>
                <w:sz w:val="18"/>
                <w:szCs w:val="18"/>
                <w:highlight w:val="none"/>
                <w:u w:val="none"/>
              </w:rPr>
              <w:t>满足《市场准入负面清单草案（试点版）》（发改经体〔2016〕442号）；</w:t>
            </w:r>
            <w:r>
              <w:rPr>
                <w:rFonts w:hint="eastAsia" w:ascii="宋体" w:hAnsi="宋体" w:cs="宋体"/>
                <w:color w:val="auto"/>
                <w:sz w:val="18"/>
                <w:szCs w:val="18"/>
                <w:highlight w:val="none"/>
                <w:u w:val="none"/>
              </w:rPr>
              <w:t>③</w:t>
            </w:r>
            <w:r>
              <w:rPr>
                <w:color w:val="auto"/>
                <w:sz w:val="18"/>
                <w:szCs w:val="18"/>
                <w:highlight w:val="none"/>
                <w:u w:val="none"/>
              </w:rPr>
              <w:t>满足各行业准入条件；</w:t>
            </w:r>
            <w:r>
              <w:rPr>
                <w:rFonts w:hint="eastAsia" w:ascii="宋体" w:hAnsi="宋体" w:cs="宋体"/>
                <w:color w:val="auto"/>
                <w:sz w:val="18"/>
                <w:szCs w:val="18"/>
                <w:highlight w:val="none"/>
                <w:u w:val="none"/>
              </w:rPr>
              <w:t>④</w:t>
            </w:r>
            <w:r>
              <w:rPr>
                <w:color w:val="auto"/>
                <w:sz w:val="18"/>
                <w:szCs w:val="18"/>
                <w:highlight w:val="none"/>
                <w:u w:val="none"/>
              </w:rPr>
              <w:t>不属于《福建省人民政府关于加强重点流域水环境综</w:t>
            </w:r>
            <w:r>
              <w:rPr>
                <w:rFonts w:hint="eastAsia"/>
                <w:color w:val="auto"/>
                <w:sz w:val="18"/>
                <w:szCs w:val="18"/>
                <w:highlight w:val="none"/>
                <w:u w:val="none"/>
                <w:lang w:val="en-US" w:eastAsia="zh-CN"/>
              </w:rPr>
              <w:t>合</w:t>
            </w:r>
            <w:r>
              <w:rPr>
                <w:color w:val="auto"/>
                <w:sz w:val="18"/>
                <w:szCs w:val="18"/>
                <w:highlight w:val="none"/>
                <w:u w:val="none"/>
              </w:rPr>
              <w:t>整治的意见》中禁止的产业；</w:t>
            </w:r>
            <w:r>
              <w:rPr>
                <w:rFonts w:hint="eastAsia" w:ascii="宋体" w:hAnsi="宋体" w:cs="宋体"/>
                <w:color w:val="auto"/>
                <w:sz w:val="18"/>
                <w:szCs w:val="18"/>
                <w:highlight w:val="none"/>
                <w:u w:val="none"/>
              </w:rPr>
              <w:t>⑤</w:t>
            </w:r>
            <w:r>
              <w:rPr>
                <w:color w:val="auto"/>
                <w:sz w:val="18"/>
                <w:szCs w:val="18"/>
                <w:highlight w:val="none"/>
                <w:u w:val="none"/>
              </w:rPr>
              <w:t>满足《福建省工业建设项目投资强度控制指标》相关要求。</w:t>
            </w:r>
          </w:p>
        </w:tc>
      </w:tr>
      <w:tr w14:paraId="09168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2C2E54FF">
            <w:pPr>
              <w:pStyle w:val="92"/>
              <w:rPr>
                <w:color w:val="auto"/>
                <w:sz w:val="18"/>
                <w:szCs w:val="18"/>
                <w:highlight w:val="none"/>
                <w:u w:val="none"/>
              </w:rPr>
            </w:pPr>
          </w:p>
        </w:tc>
        <w:tc>
          <w:tcPr>
            <w:tcW w:w="463" w:type="pct"/>
            <w:tcBorders>
              <w:bottom w:val="single" w:color="auto" w:sz="4" w:space="0"/>
            </w:tcBorders>
            <w:shd w:val="clear" w:color="auto" w:fill="auto"/>
            <w:tcMar>
              <w:left w:w="0" w:type="dxa"/>
              <w:right w:w="0" w:type="dxa"/>
            </w:tcMar>
            <w:vAlign w:val="center"/>
          </w:tcPr>
          <w:p w14:paraId="087F7C34">
            <w:pPr>
              <w:pStyle w:val="92"/>
              <w:rPr>
                <w:color w:val="auto"/>
                <w:sz w:val="18"/>
                <w:szCs w:val="18"/>
                <w:highlight w:val="none"/>
                <w:u w:val="none"/>
              </w:rPr>
            </w:pPr>
            <w:r>
              <w:rPr>
                <w:color w:val="auto"/>
                <w:sz w:val="18"/>
                <w:szCs w:val="18"/>
                <w:highlight w:val="none"/>
                <w:u w:val="none"/>
              </w:rPr>
              <w:t>产业小类</w:t>
            </w:r>
          </w:p>
        </w:tc>
        <w:tc>
          <w:tcPr>
            <w:tcW w:w="1069" w:type="pct"/>
            <w:shd w:val="clear" w:color="auto" w:fill="auto"/>
            <w:tcMar>
              <w:left w:w="0" w:type="dxa"/>
              <w:right w:w="0" w:type="dxa"/>
            </w:tcMar>
            <w:vAlign w:val="center"/>
          </w:tcPr>
          <w:p w14:paraId="1DCC87E5">
            <w:pPr>
              <w:pStyle w:val="92"/>
              <w:rPr>
                <w:color w:val="auto"/>
                <w:sz w:val="18"/>
                <w:szCs w:val="18"/>
                <w:highlight w:val="none"/>
                <w:u w:val="none"/>
              </w:rPr>
            </w:pPr>
            <w:r>
              <w:rPr>
                <w:color w:val="auto"/>
                <w:sz w:val="18"/>
                <w:szCs w:val="18"/>
                <w:highlight w:val="none"/>
                <w:u w:val="none"/>
              </w:rPr>
              <w:t>禁止/严格控制单元、项目</w:t>
            </w:r>
          </w:p>
        </w:tc>
        <w:tc>
          <w:tcPr>
            <w:tcW w:w="407" w:type="pct"/>
            <w:shd w:val="clear" w:color="auto" w:fill="auto"/>
            <w:tcMar>
              <w:left w:w="0" w:type="dxa"/>
              <w:right w:w="0" w:type="dxa"/>
            </w:tcMar>
            <w:vAlign w:val="center"/>
          </w:tcPr>
          <w:p w14:paraId="4A862E16">
            <w:pPr>
              <w:pStyle w:val="92"/>
              <w:rPr>
                <w:color w:val="auto"/>
                <w:sz w:val="18"/>
                <w:szCs w:val="18"/>
                <w:highlight w:val="none"/>
                <w:u w:val="none"/>
              </w:rPr>
            </w:pPr>
            <w:r>
              <w:rPr>
                <w:color w:val="auto"/>
                <w:sz w:val="18"/>
                <w:szCs w:val="18"/>
                <w:highlight w:val="none"/>
                <w:u w:val="none"/>
              </w:rPr>
              <w:t>工业用水重复利用率(%)</w:t>
            </w:r>
          </w:p>
        </w:tc>
        <w:tc>
          <w:tcPr>
            <w:tcW w:w="395" w:type="pct"/>
            <w:shd w:val="clear" w:color="auto" w:fill="auto"/>
            <w:tcMar>
              <w:left w:w="0" w:type="dxa"/>
              <w:right w:w="0" w:type="dxa"/>
            </w:tcMar>
            <w:vAlign w:val="center"/>
          </w:tcPr>
          <w:p w14:paraId="18A2F04A">
            <w:pPr>
              <w:pStyle w:val="92"/>
              <w:rPr>
                <w:color w:val="auto"/>
                <w:sz w:val="18"/>
                <w:szCs w:val="18"/>
                <w:highlight w:val="none"/>
                <w:u w:val="none"/>
              </w:rPr>
            </w:pPr>
            <w:r>
              <w:rPr>
                <w:color w:val="auto"/>
                <w:sz w:val="18"/>
                <w:szCs w:val="18"/>
                <w:highlight w:val="none"/>
                <w:u w:val="none"/>
              </w:rPr>
              <w:t>万元新增值新鲜水耗(t/万元)</w:t>
            </w:r>
          </w:p>
        </w:tc>
        <w:tc>
          <w:tcPr>
            <w:tcW w:w="516" w:type="pct"/>
            <w:shd w:val="clear" w:color="auto" w:fill="auto"/>
            <w:tcMar>
              <w:left w:w="0" w:type="dxa"/>
              <w:right w:w="0" w:type="dxa"/>
            </w:tcMar>
            <w:vAlign w:val="center"/>
          </w:tcPr>
          <w:p w14:paraId="3DE908BF">
            <w:pPr>
              <w:pStyle w:val="92"/>
              <w:rPr>
                <w:color w:val="auto"/>
                <w:sz w:val="18"/>
                <w:szCs w:val="18"/>
                <w:highlight w:val="none"/>
                <w:u w:val="none"/>
              </w:rPr>
            </w:pPr>
            <w:r>
              <w:rPr>
                <w:color w:val="auto"/>
                <w:sz w:val="18"/>
                <w:szCs w:val="18"/>
                <w:highlight w:val="none"/>
                <w:u w:val="none"/>
              </w:rPr>
              <w:t>万元增加值综合能耗(t标煤/万元)</w:t>
            </w:r>
          </w:p>
        </w:tc>
        <w:tc>
          <w:tcPr>
            <w:tcW w:w="304" w:type="pct"/>
            <w:shd w:val="clear" w:color="auto" w:fill="auto"/>
            <w:tcMar>
              <w:left w:w="0" w:type="dxa"/>
              <w:right w:w="0" w:type="dxa"/>
            </w:tcMar>
            <w:vAlign w:val="center"/>
          </w:tcPr>
          <w:p w14:paraId="30015444">
            <w:pPr>
              <w:pStyle w:val="92"/>
              <w:rPr>
                <w:color w:val="auto"/>
                <w:sz w:val="18"/>
                <w:szCs w:val="18"/>
                <w:highlight w:val="none"/>
                <w:u w:val="none"/>
              </w:rPr>
            </w:pPr>
            <w:r>
              <w:rPr>
                <w:color w:val="auto"/>
                <w:sz w:val="18"/>
                <w:szCs w:val="18"/>
                <w:highlight w:val="none"/>
                <w:u w:val="none"/>
              </w:rPr>
              <w:t>能源</w:t>
            </w:r>
          </w:p>
          <w:p w14:paraId="3E0A761E">
            <w:pPr>
              <w:pStyle w:val="92"/>
              <w:rPr>
                <w:color w:val="auto"/>
                <w:sz w:val="18"/>
                <w:szCs w:val="18"/>
                <w:highlight w:val="none"/>
                <w:u w:val="none"/>
              </w:rPr>
            </w:pPr>
            <w:r>
              <w:rPr>
                <w:color w:val="auto"/>
                <w:sz w:val="18"/>
                <w:szCs w:val="18"/>
                <w:highlight w:val="none"/>
                <w:u w:val="none"/>
              </w:rPr>
              <w:t>结构</w:t>
            </w:r>
          </w:p>
        </w:tc>
        <w:tc>
          <w:tcPr>
            <w:tcW w:w="414" w:type="pct"/>
            <w:shd w:val="clear" w:color="auto" w:fill="auto"/>
            <w:tcMar>
              <w:left w:w="0" w:type="dxa"/>
              <w:right w:w="0" w:type="dxa"/>
            </w:tcMar>
            <w:vAlign w:val="center"/>
          </w:tcPr>
          <w:p w14:paraId="32622654">
            <w:pPr>
              <w:pStyle w:val="92"/>
              <w:rPr>
                <w:color w:val="auto"/>
                <w:sz w:val="18"/>
                <w:szCs w:val="18"/>
                <w:highlight w:val="none"/>
                <w:u w:val="none"/>
              </w:rPr>
            </w:pPr>
            <w:r>
              <w:rPr>
                <w:color w:val="auto"/>
                <w:sz w:val="18"/>
                <w:szCs w:val="18"/>
                <w:highlight w:val="none"/>
                <w:u w:val="none"/>
              </w:rPr>
              <w:t>万元增加值SO</w:t>
            </w:r>
            <w:r>
              <w:rPr>
                <w:color w:val="auto"/>
                <w:sz w:val="18"/>
                <w:szCs w:val="18"/>
                <w:highlight w:val="none"/>
                <w:u w:val="none"/>
                <w:vertAlign w:val="subscript"/>
              </w:rPr>
              <w:t>2</w:t>
            </w:r>
            <w:r>
              <w:rPr>
                <w:color w:val="auto"/>
                <w:sz w:val="18"/>
                <w:szCs w:val="18"/>
                <w:highlight w:val="none"/>
                <w:u w:val="none"/>
              </w:rPr>
              <w:t>排放(kg/万元)</w:t>
            </w:r>
          </w:p>
        </w:tc>
        <w:tc>
          <w:tcPr>
            <w:tcW w:w="466" w:type="pct"/>
            <w:shd w:val="clear" w:color="auto" w:fill="auto"/>
            <w:tcMar>
              <w:left w:w="0" w:type="dxa"/>
              <w:right w:w="0" w:type="dxa"/>
            </w:tcMar>
            <w:vAlign w:val="center"/>
          </w:tcPr>
          <w:p w14:paraId="7A653EA7">
            <w:pPr>
              <w:pStyle w:val="92"/>
              <w:rPr>
                <w:color w:val="auto"/>
                <w:sz w:val="18"/>
                <w:szCs w:val="18"/>
                <w:highlight w:val="none"/>
                <w:u w:val="none"/>
              </w:rPr>
            </w:pPr>
            <w:r>
              <w:rPr>
                <w:color w:val="auto"/>
                <w:sz w:val="18"/>
                <w:szCs w:val="18"/>
                <w:highlight w:val="none"/>
                <w:u w:val="none"/>
              </w:rPr>
              <w:t>万元增加值COD排放(kg/万元)</w:t>
            </w:r>
          </w:p>
        </w:tc>
        <w:tc>
          <w:tcPr>
            <w:tcW w:w="361" w:type="pct"/>
            <w:shd w:val="clear" w:color="auto" w:fill="auto"/>
            <w:tcMar>
              <w:left w:w="0" w:type="dxa"/>
              <w:right w:w="0" w:type="dxa"/>
            </w:tcMar>
            <w:vAlign w:val="center"/>
          </w:tcPr>
          <w:p w14:paraId="19217A37">
            <w:pPr>
              <w:pStyle w:val="92"/>
              <w:rPr>
                <w:color w:val="auto"/>
                <w:sz w:val="18"/>
                <w:szCs w:val="18"/>
                <w:highlight w:val="none"/>
                <w:u w:val="none"/>
              </w:rPr>
            </w:pPr>
            <w:r>
              <w:rPr>
                <w:color w:val="auto"/>
                <w:sz w:val="18"/>
                <w:szCs w:val="18"/>
                <w:highlight w:val="none"/>
                <w:u w:val="none"/>
              </w:rPr>
              <w:t>工业固废综合利用率(%)</w:t>
            </w:r>
          </w:p>
        </w:tc>
        <w:tc>
          <w:tcPr>
            <w:tcW w:w="361" w:type="pct"/>
            <w:shd w:val="clear" w:color="auto" w:fill="auto"/>
            <w:tcMar>
              <w:left w:w="0" w:type="dxa"/>
              <w:right w:w="0" w:type="dxa"/>
            </w:tcMar>
            <w:vAlign w:val="center"/>
          </w:tcPr>
          <w:p w14:paraId="345A5909">
            <w:pPr>
              <w:pStyle w:val="92"/>
              <w:rPr>
                <w:color w:val="auto"/>
                <w:sz w:val="18"/>
                <w:szCs w:val="18"/>
                <w:highlight w:val="none"/>
                <w:u w:val="none"/>
              </w:rPr>
            </w:pPr>
            <w:r>
              <w:rPr>
                <w:color w:val="auto"/>
                <w:sz w:val="18"/>
                <w:szCs w:val="18"/>
                <w:highlight w:val="none"/>
                <w:u w:val="none"/>
              </w:rPr>
              <w:t>危险废物处理率(%)</w:t>
            </w:r>
          </w:p>
        </w:tc>
      </w:tr>
      <w:tr w14:paraId="55FEF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restart"/>
            <w:shd w:val="clear" w:color="auto" w:fill="auto"/>
            <w:tcMar>
              <w:left w:w="0" w:type="dxa"/>
              <w:right w:w="0" w:type="dxa"/>
            </w:tcMar>
            <w:vAlign w:val="center"/>
          </w:tcPr>
          <w:p w14:paraId="41030540">
            <w:pPr>
              <w:pStyle w:val="92"/>
              <w:rPr>
                <w:color w:val="auto"/>
                <w:sz w:val="18"/>
                <w:szCs w:val="18"/>
                <w:highlight w:val="none"/>
                <w:u w:val="none"/>
              </w:rPr>
            </w:pPr>
            <w:r>
              <w:rPr>
                <w:color w:val="auto"/>
                <w:sz w:val="18"/>
                <w:szCs w:val="18"/>
                <w:highlight w:val="none"/>
                <w:u w:val="none"/>
              </w:rPr>
              <w:t>临港化工产业</w:t>
            </w:r>
          </w:p>
        </w:tc>
        <w:tc>
          <w:tcPr>
            <w:tcW w:w="463" w:type="pct"/>
            <w:tcBorders>
              <w:top w:val="single" w:color="auto" w:sz="4" w:space="0"/>
              <w:bottom w:val="single" w:color="auto" w:sz="4" w:space="0"/>
            </w:tcBorders>
            <w:shd w:val="clear" w:color="auto" w:fill="D8D8D8" w:themeFill="background1" w:themeFillShade="D9"/>
            <w:tcMar>
              <w:left w:w="0" w:type="dxa"/>
              <w:right w:w="0" w:type="dxa"/>
            </w:tcMar>
            <w:vAlign w:val="center"/>
          </w:tcPr>
          <w:p w14:paraId="2BED2F49">
            <w:pPr>
              <w:pStyle w:val="92"/>
              <w:rPr>
                <w:color w:val="auto"/>
                <w:sz w:val="18"/>
                <w:szCs w:val="18"/>
                <w:highlight w:val="none"/>
                <w:u w:val="none"/>
              </w:rPr>
            </w:pPr>
            <w:r>
              <w:rPr>
                <w:color w:val="auto"/>
                <w:sz w:val="18"/>
                <w:szCs w:val="18"/>
                <w:highlight w:val="none"/>
                <w:u w:val="none"/>
              </w:rPr>
              <w:t>化学原料和化学制品制造业</w:t>
            </w:r>
          </w:p>
        </w:tc>
        <w:tc>
          <w:tcPr>
            <w:tcW w:w="1069" w:type="pct"/>
            <w:vMerge w:val="restart"/>
            <w:shd w:val="clear" w:color="auto" w:fill="auto"/>
            <w:tcMar>
              <w:left w:w="0" w:type="dxa"/>
              <w:right w:w="0" w:type="dxa"/>
            </w:tcMar>
            <w:vAlign w:val="center"/>
          </w:tcPr>
          <w:p w14:paraId="453BBE7D">
            <w:pPr>
              <w:pStyle w:val="92"/>
              <w:rPr>
                <w:color w:val="auto"/>
                <w:sz w:val="18"/>
                <w:szCs w:val="18"/>
                <w:highlight w:val="none"/>
                <w:u w:val="none"/>
              </w:rPr>
            </w:pPr>
            <w:r>
              <w:rPr>
                <w:color w:val="auto"/>
                <w:sz w:val="18"/>
                <w:szCs w:val="18"/>
                <w:highlight w:val="none"/>
                <w:u w:val="none"/>
              </w:rPr>
              <w:t>/</w:t>
            </w:r>
          </w:p>
        </w:tc>
        <w:tc>
          <w:tcPr>
            <w:tcW w:w="407" w:type="pct"/>
            <w:vMerge w:val="restart"/>
            <w:shd w:val="clear" w:color="auto" w:fill="auto"/>
            <w:tcMar>
              <w:left w:w="0" w:type="dxa"/>
              <w:right w:w="0" w:type="dxa"/>
            </w:tcMar>
            <w:vAlign w:val="center"/>
          </w:tcPr>
          <w:p w14:paraId="20079961">
            <w:pPr>
              <w:pStyle w:val="92"/>
              <w:rPr>
                <w:color w:val="auto"/>
                <w:sz w:val="18"/>
                <w:szCs w:val="18"/>
                <w:highlight w:val="none"/>
                <w:u w:val="none"/>
              </w:rPr>
            </w:pPr>
            <w:r>
              <w:rPr>
                <w:color w:val="auto"/>
                <w:sz w:val="18"/>
                <w:szCs w:val="18"/>
                <w:highlight w:val="none"/>
                <w:u w:val="none"/>
              </w:rPr>
              <w:t>≥70</w:t>
            </w:r>
          </w:p>
        </w:tc>
        <w:tc>
          <w:tcPr>
            <w:tcW w:w="395" w:type="pct"/>
            <w:vMerge w:val="restart"/>
            <w:shd w:val="clear" w:color="auto" w:fill="auto"/>
            <w:tcMar>
              <w:left w:w="0" w:type="dxa"/>
              <w:right w:w="0" w:type="dxa"/>
            </w:tcMar>
            <w:vAlign w:val="center"/>
          </w:tcPr>
          <w:p w14:paraId="5E93DB27">
            <w:pPr>
              <w:pStyle w:val="92"/>
              <w:rPr>
                <w:color w:val="auto"/>
                <w:sz w:val="18"/>
                <w:szCs w:val="18"/>
                <w:highlight w:val="none"/>
                <w:u w:val="none"/>
              </w:rPr>
            </w:pPr>
            <w:r>
              <w:rPr>
                <w:color w:val="auto"/>
                <w:sz w:val="18"/>
                <w:szCs w:val="18"/>
                <w:highlight w:val="none"/>
                <w:u w:val="none"/>
              </w:rPr>
              <w:t>≤7</w:t>
            </w:r>
          </w:p>
        </w:tc>
        <w:tc>
          <w:tcPr>
            <w:tcW w:w="516" w:type="pct"/>
            <w:vMerge w:val="restart"/>
            <w:shd w:val="clear" w:color="auto" w:fill="auto"/>
            <w:tcMar>
              <w:left w:w="0" w:type="dxa"/>
              <w:right w:w="0" w:type="dxa"/>
            </w:tcMar>
            <w:vAlign w:val="center"/>
          </w:tcPr>
          <w:p w14:paraId="694B5ADB">
            <w:pPr>
              <w:pStyle w:val="92"/>
              <w:rPr>
                <w:color w:val="auto"/>
                <w:sz w:val="18"/>
                <w:szCs w:val="18"/>
                <w:highlight w:val="none"/>
                <w:u w:val="none"/>
              </w:rPr>
            </w:pPr>
            <w:r>
              <w:rPr>
                <w:color w:val="auto"/>
                <w:sz w:val="18"/>
                <w:szCs w:val="18"/>
                <w:highlight w:val="none"/>
                <w:u w:val="none"/>
              </w:rPr>
              <w:t>≤0.70</w:t>
            </w:r>
          </w:p>
        </w:tc>
        <w:tc>
          <w:tcPr>
            <w:tcW w:w="304" w:type="pct"/>
            <w:vMerge w:val="restart"/>
            <w:shd w:val="clear" w:color="auto" w:fill="auto"/>
            <w:tcMar>
              <w:left w:w="0" w:type="dxa"/>
              <w:right w:w="0" w:type="dxa"/>
            </w:tcMar>
            <w:vAlign w:val="center"/>
          </w:tcPr>
          <w:p w14:paraId="0AE96EC9">
            <w:pPr>
              <w:pStyle w:val="92"/>
              <w:rPr>
                <w:color w:val="auto"/>
                <w:sz w:val="18"/>
                <w:szCs w:val="18"/>
                <w:highlight w:val="none"/>
                <w:u w:val="none"/>
              </w:rPr>
            </w:pPr>
            <w:r>
              <w:rPr>
                <w:color w:val="auto"/>
                <w:sz w:val="18"/>
                <w:szCs w:val="18"/>
                <w:highlight w:val="none"/>
                <w:u w:val="none"/>
              </w:rPr>
              <w:t>推进园区集中供热</w:t>
            </w:r>
          </w:p>
        </w:tc>
        <w:tc>
          <w:tcPr>
            <w:tcW w:w="414" w:type="pct"/>
            <w:vMerge w:val="restart"/>
            <w:shd w:val="clear" w:color="auto" w:fill="auto"/>
            <w:tcMar>
              <w:left w:w="0" w:type="dxa"/>
              <w:right w:w="0" w:type="dxa"/>
            </w:tcMar>
            <w:vAlign w:val="center"/>
          </w:tcPr>
          <w:p w14:paraId="384BC5B9">
            <w:pPr>
              <w:pStyle w:val="92"/>
              <w:rPr>
                <w:color w:val="auto"/>
                <w:sz w:val="18"/>
                <w:szCs w:val="18"/>
                <w:highlight w:val="none"/>
                <w:u w:val="none"/>
              </w:rPr>
            </w:pPr>
            <w:r>
              <w:rPr>
                <w:color w:val="auto"/>
                <w:sz w:val="18"/>
                <w:szCs w:val="18"/>
                <w:highlight w:val="none"/>
                <w:u w:val="none"/>
              </w:rPr>
              <w:t>≤1</w:t>
            </w:r>
          </w:p>
        </w:tc>
        <w:tc>
          <w:tcPr>
            <w:tcW w:w="466" w:type="pct"/>
            <w:vMerge w:val="restart"/>
            <w:shd w:val="clear" w:color="auto" w:fill="auto"/>
            <w:tcMar>
              <w:left w:w="0" w:type="dxa"/>
              <w:right w:w="0" w:type="dxa"/>
            </w:tcMar>
            <w:vAlign w:val="center"/>
          </w:tcPr>
          <w:p w14:paraId="4DED2698">
            <w:pPr>
              <w:pStyle w:val="92"/>
              <w:rPr>
                <w:color w:val="auto"/>
                <w:sz w:val="18"/>
                <w:szCs w:val="18"/>
                <w:highlight w:val="none"/>
                <w:u w:val="none"/>
              </w:rPr>
            </w:pPr>
            <w:r>
              <w:rPr>
                <w:color w:val="auto"/>
                <w:sz w:val="18"/>
                <w:szCs w:val="18"/>
                <w:highlight w:val="none"/>
                <w:u w:val="none"/>
              </w:rPr>
              <w:t>≤1</w:t>
            </w:r>
          </w:p>
        </w:tc>
        <w:tc>
          <w:tcPr>
            <w:tcW w:w="361" w:type="pct"/>
            <w:vMerge w:val="restart"/>
            <w:shd w:val="clear" w:color="auto" w:fill="auto"/>
            <w:tcMar>
              <w:left w:w="0" w:type="dxa"/>
              <w:right w:w="0" w:type="dxa"/>
            </w:tcMar>
            <w:vAlign w:val="center"/>
          </w:tcPr>
          <w:p w14:paraId="1DEE6DA3">
            <w:pPr>
              <w:pStyle w:val="92"/>
              <w:rPr>
                <w:color w:val="auto"/>
                <w:sz w:val="18"/>
                <w:szCs w:val="18"/>
                <w:highlight w:val="none"/>
                <w:u w:val="none"/>
              </w:rPr>
            </w:pPr>
            <w:r>
              <w:rPr>
                <w:color w:val="auto"/>
                <w:sz w:val="18"/>
                <w:szCs w:val="18"/>
                <w:highlight w:val="none"/>
                <w:u w:val="none"/>
              </w:rPr>
              <w:t>≥85</w:t>
            </w:r>
          </w:p>
        </w:tc>
        <w:tc>
          <w:tcPr>
            <w:tcW w:w="361" w:type="pct"/>
            <w:vMerge w:val="restart"/>
            <w:shd w:val="clear" w:color="auto" w:fill="auto"/>
            <w:tcMar>
              <w:left w:w="0" w:type="dxa"/>
              <w:right w:w="0" w:type="dxa"/>
            </w:tcMar>
            <w:vAlign w:val="center"/>
          </w:tcPr>
          <w:p w14:paraId="5EF0C694">
            <w:pPr>
              <w:pStyle w:val="92"/>
              <w:rPr>
                <w:color w:val="auto"/>
                <w:sz w:val="18"/>
                <w:szCs w:val="18"/>
                <w:highlight w:val="none"/>
                <w:u w:val="none"/>
              </w:rPr>
            </w:pPr>
            <w:r>
              <w:rPr>
                <w:color w:val="auto"/>
                <w:sz w:val="18"/>
                <w:szCs w:val="18"/>
                <w:highlight w:val="none"/>
                <w:u w:val="none"/>
              </w:rPr>
              <w:t>100</w:t>
            </w:r>
          </w:p>
        </w:tc>
      </w:tr>
      <w:tr w14:paraId="2B852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314C2B0B">
            <w:pPr>
              <w:pStyle w:val="92"/>
              <w:rPr>
                <w:color w:val="auto"/>
                <w:sz w:val="18"/>
                <w:szCs w:val="18"/>
                <w:highlight w:val="none"/>
                <w:u w:val="none"/>
              </w:rPr>
            </w:pPr>
          </w:p>
        </w:tc>
        <w:tc>
          <w:tcPr>
            <w:tcW w:w="463" w:type="pct"/>
            <w:tcBorders>
              <w:top w:val="single" w:color="auto" w:sz="4" w:space="0"/>
            </w:tcBorders>
            <w:shd w:val="clear" w:color="auto" w:fill="auto"/>
            <w:tcMar>
              <w:left w:w="0" w:type="dxa"/>
              <w:right w:w="0" w:type="dxa"/>
            </w:tcMar>
            <w:vAlign w:val="center"/>
          </w:tcPr>
          <w:p w14:paraId="521C06EF">
            <w:pPr>
              <w:pStyle w:val="92"/>
              <w:rPr>
                <w:color w:val="auto"/>
                <w:sz w:val="18"/>
                <w:szCs w:val="18"/>
                <w:highlight w:val="none"/>
                <w:u w:val="none"/>
              </w:rPr>
            </w:pPr>
            <w:r>
              <w:rPr>
                <w:color w:val="auto"/>
                <w:sz w:val="18"/>
                <w:szCs w:val="18"/>
                <w:highlight w:val="none"/>
                <w:u w:val="none"/>
              </w:rPr>
              <w:t>医药制造业</w:t>
            </w:r>
          </w:p>
        </w:tc>
        <w:tc>
          <w:tcPr>
            <w:tcW w:w="1069" w:type="pct"/>
            <w:vMerge w:val="continue"/>
            <w:shd w:val="clear" w:color="auto" w:fill="auto"/>
            <w:tcMar>
              <w:left w:w="0" w:type="dxa"/>
              <w:right w:w="0" w:type="dxa"/>
            </w:tcMar>
            <w:vAlign w:val="center"/>
          </w:tcPr>
          <w:p w14:paraId="1842D2AC">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5698CDC6">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3F1B1519">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0D0536B4">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1C1049F8">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37F279DF">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6C3A447D">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12625F82">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62F6A783">
            <w:pPr>
              <w:pStyle w:val="92"/>
              <w:rPr>
                <w:color w:val="auto"/>
                <w:sz w:val="18"/>
                <w:szCs w:val="18"/>
                <w:highlight w:val="none"/>
                <w:u w:val="none"/>
              </w:rPr>
            </w:pPr>
          </w:p>
        </w:tc>
      </w:tr>
      <w:tr w14:paraId="6A49D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2E9BB613">
            <w:pPr>
              <w:pStyle w:val="92"/>
              <w:rPr>
                <w:color w:val="auto"/>
                <w:sz w:val="18"/>
                <w:szCs w:val="18"/>
                <w:highlight w:val="none"/>
                <w:u w:val="none"/>
              </w:rPr>
            </w:pPr>
          </w:p>
        </w:tc>
        <w:tc>
          <w:tcPr>
            <w:tcW w:w="463" w:type="pct"/>
            <w:shd w:val="clear" w:color="auto" w:fill="auto"/>
            <w:tcMar>
              <w:left w:w="0" w:type="dxa"/>
              <w:right w:w="0" w:type="dxa"/>
            </w:tcMar>
            <w:vAlign w:val="center"/>
          </w:tcPr>
          <w:p w14:paraId="26A4B88B">
            <w:pPr>
              <w:pStyle w:val="92"/>
              <w:rPr>
                <w:color w:val="auto"/>
                <w:sz w:val="18"/>
                <w:szCs w:val="18"/>
                <w:highlight w:val="none"/>
                <w:u w:val="none"/>
              </w:rPr>
            </w:pPr>
            <w:r>
              <w:rPr>
                <w:color w:val="auto"/>
                <w:sz w:val="18"/>
                <w:szCs w:val="18"/>
                <w:highlight w:val="none"/>
                <w:u w:val="none"/>
              </w:rPr>
              <w:t>化纤制造业</w:t>
            </w:r>
          </w:p>
        </w:tc>
        <w:tc>
          <w:tcPr>
            <w:tcW w:w="1069" w:type="pct"/>
            <w:vMerge w:val="continue"/>
            <w:shd w:val="clear" w:color="auto" w:fill="auto"/>
            <w:tcMar>
              <w:left w:w="0" w:type="dxa"/>
              <w:right w:w="0" w:type="dxa"/>
            </w:tcMar>
            <w:vAlign w:val="center"/>
          </w:tcPr>
          <w:p w14:paraId="18486478">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2C431D5F">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25CA8DD2">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66AF6FA1">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735A521F">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6B0D58E9">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7A18C0FA">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22B02B09">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5B6FC79E">
            <w:pPr>
              <w:pStyle w:val="92"/>
              <w:rPr>
                <w:color w:val="auto"/>
                <w:sz w:val="18"/>
                <w:szCs w:val="18"/>
                <w:highlight w:val="none"/>
                <w:u w:val="none"/>
              </w:rPr>
            </w:pPr>
          </w:p>
        </w:tc>
      </w:tr>
      <w:tr w14:paraId="292E2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2F21482B">
            <w:pPr>
              <w:pStyle w:val="92"/>
              <w:rPr>
                <w:color w:val="auto"/>
                <w:sz w:val="18"/>
                <w:szCs w:val="18"/>
                <w:highlight w:val="none"/>
                <w:u w:val="none"/>
              </w:rPr>
            </w:pPr>
          </w:p>
        </w:tc>
        <w:tc>
          <w:tcPr>
            <w:tcW w:w="463" w:type="pct"/>
            <w:shd w:val="clear" w:color="auto" w:fill="auto"/>
            <w:tcMar>
              <w:left w:w="0" w:type="dxa"/>
              <w:right w:w="0" w:type="dxa"/>
            </w:tcMar>
            <w:vAlign w:val="center"/>
          </w:tcPr>
          <w:p w14:paraId="2ADA59C3">
            <w:pPr>
              <w:pStyle w:val="92"/>
              <w:rPr>
                <w:color w:val="auto"/>
                <w:sz w:val="18"/>
                <w:szCs w:val="18"/>
                <w:highlight w:val="none"/>
                <w:u w:val="none"/>
              </w:rPr>
            </w:pPr>
            <w:r>
              <w:rPr>
                <w:color w:val="auto"/>
                <w:sz w:val="18"/>
                <w:szCs w:val="18"/>
                <w:highlight w:val="none"/>
                <w:u w:val="none"/>
              </w:rPr>
              <w:t>肥料制造</w:t>
            </w:r>
          </w:p>
        </w:tc>
        <w:tc>
          <w:tcPr>
            <w:tcW w:w="1069" w:type="pct"/>
            <w:vMerge w:val="continue"/>
            <w:shd w:val="clear" w:color="auto" w:fill="auto"/>
            <w:tcMar>
              <w:left w:w="0" w:type="dxa"/>
              <w:right w:w="0" w:type="dxa"/>
            </w:tcMar>
            <w:vAlign w:val="center"/>
          </w:tcPr>
          <w:p w14:paraId="15B253E7">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75497206">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1DA8375C">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59607C8B">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6596BC35">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62BF23AE">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59C8AFAA">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0307E45A">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60D01122">
            <w:pPr>
              <w:pStyle w:val="92"/>
              <w:rPr>
                <w:color w:val="auto"/>
                <w:sz w:val="18"/>
                <w:szCs w:val="18"/>
                <w:highlight w:val="none"/>
                <w:u w:val="none"/>
              </w:rPr>
            </w:pPr>
          </w:p>
        </w:tc>
      </w:tr>
      <w:tr w14:paraId="0038F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restart"/>
            <w:shd w:val="clear" w:color="auto" w:fill="auto"/>
            <w:tcMar>
              <w:left w:w="0" w:type="dxa"/>
              <w:right w:w="0" w:type="dxa"/>
            </w:tcMar>
            <w:vAlign w:val="center"/>
          </w:tcPr>
          <w:p w14:paraId="6AA5F582">
            <w:pPr>
              <w:pStyle w:val="92"/>
              <w:rPr>
                <w:color w:val="auto"/>
                <w:sz w:val="18"/>
                <w:szCs w:val="18"/>
                <w:highlight w:val="none"/>
                <w:u w:val="none"/>
              </w:rPr>
            </w:pPr>
            <w:r>
              <w:rPr>
                <w:color w:val="auto"/>
                <w:sz w:val="18"/>
                <w:szCs w:val="18"/>
                <w:highlight w:val="none"/>
                <w:u w:val="none"/>
              </w:rPr>
              <w:t>现代制造业</w:t>
            </w:r>
          </w:p>
        </w:tc>
        <w:tc>
          <w:tcPr>
            <w:tcW w:w="463" w:type="pct"/>
            <w:shd w:val="clear" w:color="auto" w:fill="auto"/>
            <w:tcMar>
              <w:left w:w="0" w:type="dxa"/>
              <w:right w:w="0" w:type="dxa"/>
            </w:tcMar>
            <w:vAlign w:val="center"/>
          </w:tcPr>
          <w:p w14:paraId="7BC85BD5">
            <w:pPr>
              <w:pStyle w:val="92"/>
              <w:rPr>
                <w:color w:val="auto"/>
                <w:sz w:val="18"/>
                <w:szCs w:val="18"/>
                <w:highlight w:val="none"/>
                <w:u w:val="none"/>
              </w:rPr>
            </w:pPr>
            <w:r>
              <w:rPr>
                <w:color w:val="auto"/>
                <w:sz w:val="18"/>
                <w:szCs w:val="18"/>
                <w:highlight w:val="none"/>
                <w:u w:val="none"/>
              </w:rPr>
              <w:t>机械装备制造</w:t>
            </w:r>
          </w:p>
        </w:tc>
        <w:tc>
          <w:tcPr>
            <w:tcW w:w="1069" w:type="pct"/>
            <w:vMerge w:val="restart"/>
            <w:shd w:val="clear" w:color="auto" w:fill="auto"/>
            <w:tcMar>
              <w:left w:w="0" w:type="dxa"/>
              <w:right w:w="0" w:type="dxa"/>
            </w:tcMar>
            <w:vAlign w:val="center"/>
          </w:tcPr>
          <w:p w14:paraId="5077F1E4">
            <w:pPr>
              <w:pStyle w:val="92"/>
              <w:rPr>
                <w:color w:val="auto"/>
                <w:sz w:val="18"/>
                <w:szCs w:val="18"/>
                <w:highlight w:val="none"/>
                <w:u w:val="none"/>
              </w:rPr>
            </w:pPr>
            <w:r>
              <w:rPr>
                <w:color w:val="auto"/>
                <w:sz w:val="18"/>
                <w:szCs w:val="18"/>
                <w:highlight w:val="none"/>
                <w:u w:val="none"/>
              </w:rPr>
              <w:t>1、除现状合成革企业外，不再引入合成革、人造革项目；</w:t>
            </w:r>
          </w:p>
          <w:p w14:paraId="248786E1">
            <w:pPr>
              <w:pStyle w:val="92"/>
              <w:rPr>
                <w:color w:val="auto"/>
                <w:sz w:val="18"/>
                <w:szCs w:val="18"/>
                <w:highlight w:val="none"/>
                <w:u w:val="none"/>
              </w:rPr>
            </w:pPr>
            <w:r>
              <w:rPr>
                <w:color w:val="auto"/>
                <w:sz w:val="18"/>
                <w:szCs w:val="18"/>
                <w:highlight w:val="none"/>
                <w:u w:val="none"/>
              </w:rPr>
              <w:t>2、禁止引进集中电镀项目，企业配套电镀工序必须达到废水零排放；</w:t>
            </w:r>
          </w:p>
          <w:p w14:paraId="7E4E316A">
            <w:pPr>
              <w:pStyle w:val="92"/>
              <w:rPr>
                <w:color w:val="auto"/>
                <w:sz w:val="18"/>
                <w:szCs w:val="18"/>
                <w:highlight w:val="none"/>
                <w:u w:val="none"/>
              </w:rPr>
            </w:pPr>
            <w:r>
              <w:rPr>
                <w:color w:val="auto"/>
                <w:sz w:val="18"/>
                <w:szCs w:val="18"/>
                <w:highlight w:val="none"/>
                <w:u w:val="none"/>
              </w:rPr>
              <w:t>3、严格控制大气污染型项目、排放重金属和持久性有机污染物的项目。</w:t>
            </w:r>
          </w:p>
        </w:tc>
        <w:tc>
          <w:tcPr>
            <w:tcW w:w="407" w:type="pct"/>
            <w:vMerge w:val="continue"/>
            <w:shd w:val="clear" w:color="auto" w:fill="auto"/>
            <w:tcMar>
              <w:left w:w="0" w:type="dxa"/>
              <w:right w:w="0" w:type="dxa"/>
            </w:tcMar>
            <w:vAlign w:val="center"/>
          </w:tcPr>
          <w:p w14:paraId="18CA9AE2">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2FA48ED1">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5707C30A">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5FD22BAD">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1CE26BE8">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355277E0">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37CDA8FD">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67D8B8DD">
            <w:pPr>
              <w:pStyle w:val="92"/>
              <w:rPr>
                <w:color w:val="auto"/>
                <w:sz w:val="18"/>
                <w:szCs w:val="18"/>
                <w:highlight w:val="none"/>
                <w:u w:val="none"/>
              </w:rPr>
            </w:pPr>
          </w:p>
        </w:tc>
      </w:tr>
      <w:tr w14:paraId="6DC03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24690A2E">
            <w:pPr>
              <w:pStyle w:val="92"/>
              <w:rPr>
                <w:color w:val="auto"/>
                <w:sz w:val="18"/>
                <w:szCs w:val="18"/>
                <w:highlight w:val="none"/>
                <w:u w:val="none"/>
              </w:rPr>
            </w:pPr>
          </w:p>
        </w:tc>
        <w:tc>
          <w:tcPr>
            <w:tcW w:w="463" w:type="pct"/>
            <w:shd w:val="clear" w:color="auto" w:fill="auto"/>
            <w:tcMar>
              <w:left w:w="0" w:type="dxa"/>
              <w:right w:w="0" w:type="dxa"/>
            </w:tcMar>
            <w:vAlign w:val="center"/>
          </w:tcPr>
          <w:p w14:paraId="6CB84341">
            <w:pPr>
              <w:pStyle w:val="92"/>
              <w:rPr>
                <w:color w:val="auto"/>
                <w:sz w:val="18"/>
                <w:szCs w:val="18"/>
                <w:highlight w:val="none"/>
                <w:u w:val="none"/>
              </w:rPr>
            </w:pPr>
            <w:r>
              <w:rPr>
                <w:color w:val="auto"/>
                <w:sz w:val="18"/>
                <w:szCs w:val="18"/>
                <w:highlight w:val="none"/>
                <w:u w:val="none"/>
              </w:rPr>
              <w:t>新材料</w:t>
            </w:r>
          </w:p>
        </w:tc>
        <w:tc>
          <w:tcPr>
            <w:tcW w:w="1069" w:type="pct"/>
            <w:vMerge w:val="continue"/>
            <w:shd w:val="clear" w:color="auto" w:fill="auto"/>
            <w:tcMar>
              <w:left w:w="0" w:type="dxa"/>
              <w:right w:w="0" w:type="dxa"/>
            </w:tcMar>
            <w:vAlign w:val="center"/>
          </w:tcPr>
          <w:p w14:paraId="73F8F3D8">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30AFA094">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5CB01206">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69B05C39">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2DCEF410">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7775DF3A">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0001B6F9">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5CD52E85">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796689C4">
            <w:pPr>
              <w:pStyle w:val="92"/>
              <w:rPr>
                <w:color w:val="auto"/>
                <w:sz w:val="18"/>
                <w:szCs w:val="18"/>
                <w:highlight w:val="none"/>
                <w:u w:val="none"/>
              </w:rPr>
            </w:pPr>
          </w:p>
        </w:tc>
      </w:tr>
      <w:tr w14:paraId="29633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00FF0790">
            <w:pPr>
              <w:pStyle w:val="92"/>
              <w:rPr>
                <w:color w:val="auto"/>
                <w:sz w:val="18"/>
                <w:szCs w:val="18"/>
                <w:highlight w:val="none"/>
                <w:u w:val="none"/>
              </w:rPr>
            </w:pPr>
          </w:p>
        </w:tc>
        <w:tc>
          <w:tcPr>
            <w:tcW w:w="463" w:type="pct"/>
            <w:shd w:val="clear" w:color="auto" w:fill="auto"/>
            <w:tcMar>
              <w:left w:w="0" w:type="dxa"/>
              <w:right w:w="0" w:type="dxa"/>
            </w:tcMar>
            <w:vAlign w:val="center"/>
          </w:tcPr>
          <w:p w14:paraId="52D1C766">
            <w:pPr>
              <w:pStyle w:val="92"/>
              <w:rPr>
                <w:color w:val="auto"/>
                <w:sz w:val="18"/>
                <w:szCs w:val="18"/>
                <w:highlight w:val="none"/>
                <w:u w:val="none"/>
              </w:rPr>
            </w:pPr>
            <w:r>
              <w:rPr>
                <w:color w:val="auto"/>
                <w:sz w:val="18"/>
                <w:szCs w:val="18"/>
                <w:highlight w:val="none"/>
                <w:u w:val="none"/>
              </w:rPr>
              <w:t>新能源</w:t>
            </w:r>
          </w:p>
        </w:tc>
        <w:tc>
          <w:tcPr>
            <w:tcW w:w="1069" w:type="pct"/>
            <w:vMerge w:val="continue"/>
            <w:shd w:val="clear" w:color="auto" w:fill="auto"/>
            <w:tcMar>
              <w:left w:w="0" w:type="dxa"/>
              <w:right w:w="0" w:type="dxa"/>
            </w:tcMar>
            <w:vAlign w:val="center"/>
          </w:tcPr>
          <w:p w14:paraId="54DB74B6">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02195B90">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21DA56F1">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504614CC">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2B98BE43">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1DC7D640">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16731AC9">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58D75A13">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58A76890">
            <w:pPr>
              <w:pStyle w:val="92"/>
              <w:rPr>
                <w:color w:val="auto"/>
                <w:sz w:val="18"/>
                <w:szCs w:val="18"/>
                <w:highlight w:val="none"/>
                <w:u w:val="none"/>
              </w:rPr>
            </w:pPr>
          </w:p>
        </w:tc>
      </w:tr>
      <w:tr w14:paraId="71504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5E6C047A">
            <w:pPr>
              <w:pStyle w:val="92"/>
              <w:rPr>
                <w:color w:val="auto"/>
                <w:sz w:val="18"/>
                <w:szCs w:val="18"/>
                <w:highlight w:val="none"/>
                <w:u w:val="none"/>
              </w:rPr>
            </w:pPr>
          </w:p>
        </w:tc>
        <w:tc>
          <w:tcPr>
            <w:tcW w:w="463" w:type="pct"/>
            <w:shd w:val="clear" w:color="auto" w:fill="auto"/>
            <w:tcMar>
              <w:left w:w="0" w:type="dxa"/>
              <w:right w:w="0" w:type="dxa"/>
            </w:tcMar>
            <w:vAlign w:val="center"/>
          </w:tcPr>
          <w:p w14:paraId="70F49DA6">
            <w:pPr>
              <w:pStyle w:val="92"/>
              <w:rPr>
                <w:color w:val="auto"/>
                <w:sz w:val="18"/>
                <w:szCs w:val="18"/>
                <w:highlight w:val="none"/>
                <w:u w:val="none"/>
              </w:rPr>
            </w:pPr>
            <w:r>
              <w:rPr>
                <w:color w:val="auto"/>
                <w:sz w:val="18"/>
                <w:szCs w:val="18"/>
                <w:highlight w:val="none"/>
                <w:u w:val="none"/>
              </w:rPr>
              <w:t>生物医药</w:t>
            </w:r>
          </w:p>
        </w:tc>
        <w:tc>
          <w:tcPr>
            <w:tcW w:w="1069" w:type="pct"/>
            <w:vMerge w:val="continue"/>
            <w:shd w:val="clear" w:color="auto" w:fill="auto"/>
            <w:tcMar>
              <w:left w:w="0" w:type="dxa"/>
              <w:right w:w="0" w:type="dxa"/>
            </w:tcMar>
            <w:vAlign w:val="center"/>
          </w:tcPr>
          <w:p w14:paraId="7350E7A2">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01D31549">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19E4467F">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657139B9">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43C058E8">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451F88EF">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65D50BB1">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392E8175">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48293E85">
            <w:pPr>
              <w:pStyle w:val="92"/>
              <w:rPr>
                <w:color w:val="auto"/>
                <w:sz w:val="18"/>
                <w:szCs w:val="18"/>
                <w:highlight w:val="none"/>
                <w:u w:val="none"/>
              </w:rPr>
            </w:pPr>
          </w:p>
        </w:tc>
      </w:tr>
      <w:tr w14:paraId="18114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vMerge w:val="continue"/>
            <w:shd w:val="clear" w:color="auto" w:fill="auto"/>
            <w:tcMar>
              <w:left w:w="0" w:type="dxa"/>
              <w:right w:w="0" w:type="dxa"/>
            </w:tcMar>
            <w:vAlign w:val="center"/>
          </w:tcPr>
          <w:p w14:paraId="2F9CB42C">
            <w:pPr>
              <w:pStyle w:val="92"/>
              <w:rPr>
                <w:color w:val="auto"/>
                <w:sz w:val="18"/>
                <w:szCs w:val="18"/>
                <w:highlight w:val="none"/>
                <w:u w:val="none"/>
              </w:rPr>
            </w:pPr>
          </w:p>
        </w:tc>
        <w:tc>
          <w:tcPr>
            <w:tcW w:w="463" w:type="pct"/>
            <w:shd w:val="clear" w:color="auto" w:fill="auto"/>
            <w:tcMar>
              <w:left w:w="0" w:type="dxa"/>
              <w:right w:w="0" w:type="dxa"/>
            </w:tcMar>
            <w:vAlign w:val="center"/>
          </w:tcPr>
          <w:p w14:paraId="29B8C63D">
            <w:pPr>
              <w:pStyle w:val="92"/>
              <w:rPr>
                <w:color w:val="auto"/>
                <w:sz w:val="18"/>
                <w:szCs w:val="18"/>
                <w:highlight w:val="none"/>
                <w:u w:val="none"/>
              </w:rPr>
            </w:pPr>
            <w:r>
              <w:rPr>
                <w:color w:val="auto"/>
                <w:sz w:val="18"/>
                <w:szCs w:val="18"/>
                <w:highlight w:val="none"/>
                <w:u w:val="none"/>
              </w:rPr>
              <w:t>飞机配件业</w:t>
            </w:r>
          </w:p>
        </w:tc>
        <w:tc>
          <w:tcPr>
            <w:tcW w:w="1069" w:type="pct"/>
            <w:vMerge w:val="continue"/>
            <w:shd w:val="clear" w:color="auto" w:fill="auto"/>
            <w:tcMar>
              <w:left w:w="0" w:type="dxa"/>
              <w:right w:w="0" w:type="dxa"/>
            </w:tcMar>
            <w:vAlign w:val="center"/>
          </w:tcPr>
          <w:p w14:paraId="3099EC3A">
            <w:pPr>
              <w:pStyle w:val="92"/>
              <w:rPr>
                <w:color w:val="auto"/>
                <w:sz w:val="18"/>
                <w:szCs w:val="18"/>
                <w:highlight w:val="none"/>
                <w:u w:val="none"/>
              </w:rPr>
            </w:pPr>
          </w:p>
        </w:tc>
        <w:tc>
          <w:tcPr>
            <w:tcW w:w="407" w:type="pct"/>
            <w:vMerge w:val="continue"/>
            <w:shd w:val="clear" w:color="auto" w:fill="auto"/>
            <w:tcMar>
              <w:left w:w="0" w:type="dxa"/>
              <w:right w:w="0" w:type="dxa"/>
            </w:tcMar>
            <w:vAlign w:val="center"/>
          </w:tcPr>
          <w:p w14:paraId="1C082D49">
            <w:pPr>
              <w:pStyle w:val="92"/>
              <w:rPr>
                <w:color w:val="auto"/>
                <w:sz w:val="18"/>
                <w:szCs w:val="18"/>
                <w:highlight w:val="none"/>
                <w:u w:val="none"/>
              </w:rPr>
            </w:pPr>
          </w:p>
        </w:tc>
        <w:tc>
          <w:tcPr>
            <w:tcW w:w="395" w:type="pct"/>
            <w:vMerge w:val="continue"/>
            <w:shd w:val="clear" w:color="auto" w:fill="auto"/>
            <w:tcMar>
              <w:left w:w="0" w:type="dxa"/>
              <w:right w:w="0" w:type="dxa"/>
            </w:tcMar>
            <w:vAlign w:val="center"/>
          </w:tcPr>
          <w:p w14:paraId="00BE168D">
            <w:pPr>
              <w:pStyle w:val="92"/>
              <w:rPr>
                <w:color w:val="auto"/>
                <w:sz w:val="18"/>
                <w:szCs w:val="18"/>
                <w:highlight w:val="none"/>
                <w:u w:val="none"/>
              </w:rPr>
            </w:pPr>
          </w:p>
        </w:tc>
        <w:tc>
          <w:tcPr>
            <w:tcW w:w="516" w:type="pct"/>
            <w:vMerge w:val="continue"/>
            <w:shd w:val="clear" w:color="auto" w:fill="auto"/>
            <w:tcMar>
              <w:left w:w="0" w:type="dxa"/>
              <w:right w:w="0" w:type="dxa"/>
            </w:tcMar>
            <w:vAlign w:val="center"/>
          </w:tcPr>
          <w:p w14:paraId="1773C836">
            <w:pPr>
              <w:pStyle w:val="92"/>
              <w:rPr>
                <w:color w:val="auto"/>
                <w:sz w:val="18"/>
                <w:szCs w:val="18"/>
                <w:highlight w:val="none"/>
                <w:u w:val="none"/>
              </w:rPr>
            </w:pPr>
          </w:p>
        </w:tc>
        <w:tc>
          <w:tcPr>
            <w:tcW w:w="304" w:type="pct"/>
            <w:vMerge w:val="continue"/>
            <w:shd w:val="clear" w:color="auto" w:fill="auto"/>
            <w:tcMar>
              <w:left w:w="0" w:type="dxa"/>
              <w:right w:w="0" w:type="dxa"/>
            </w:tcMar>
            <w:vAlign w:val="center"/>
          </w:tcPr>
          <w:p w14:paraId="4FD480CE">
            <w:pPr>
              <w:pStyle w:val="92"/>
              <w:rPr>
                <w:color w:val="auto"/>
                <w:sz w:val="18"/>
                <w:szCs w:val="18"/>
                <w:highlight w:val="none"/>
                <w:u w:val="none"/>
              </w:rPr>
            </w:pPr>
          </w:p>
        </w:tc>
        <w:tc>
          <w:tcPr>
            <w:tcW w:w="414" w:type="pct"/>
            <w:vMerge w:val="continue"/>
            <w:shd w:val="clear" w:color="auto" w:fill="auto"/>
            <w:tcMar>
              <w:left w:w="0" w:type="dxa"/>
              <w:right w:w="0" w:type="dxa"/>
            </w:tcMar>
            <w:vAlign w:val="center"/>
          </w:tcPr>
          <w:p w14:paraId="265E453A">
            <w:pPr>
              <w:pStyle w:val="92"/>
              <w:rPr>
                <w:color w:val="auto"/>
                <w:sz w:val="18"/>
                <w:szCs w:val="18"/>
                <w:highlight w:val="none"/>
                <w:u w:val="none"/>
              </w:rPr>
            </w:pPr>
          </w:p>
        </w:tc>
        <w:tc>
          <w:tcPr>
            <w:tcW w:w="466" w:type="pct"/>
            <w:vMerge w:val="continue"/>
            <w:shd w:val="clear" w:color="auto" w:fill="auto"/>
            <w:tcMar>
              <w:left w:w="0" w:type="dxa"/>
              <w:right w:w="0" w:type="dxa"/>
            </w:tcMar>
            <w:vAlign w:val="center"/>
          </w:tcPr>
          <w:p w14:paraId="099290E6">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56CD7E54">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24742DE4">
            <w:pPr>
              <w:pStyle w:val="92"/>
              <w:rPr>
                <w:color w:val="auto"/>
                <w:sz w:val="18"/>
                <w:szCs w:val="18"/>
                <w:highlight w:val="none"/>
                <w:u w:val="none"/>
              </w:rPr>
            </w:pPr>
          </w:p>
        </w:tc>
      </w:tr>
      <w:tr w14:paraId="76050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shd w:val="clear" w:color="auto" w:fill="auto"/>
            <w:tcMar>
              <w:left w:w="0" w:type="dxa"/>
              <w:right w:w="0" w:type="dxa"/>
            </w:tcMar>
            <w:vAlign w:val="center"/>
          </w:tcPr>
          <w:p w14:paraId="6904ABAD">
            <w:pPr>
              <w:pStyle w:val="92"/>
              <w:rPr>
                <w:color w:val="auto"/>
                <w:sz w:val="18"/>
                <w:szCs w:val="18"/>
                <w:highlight w:val="none"/>
                <w:u w:val="none"/>
              </w:rPr>
            </w:pPr>
            <w:r>
              <w:rPr>
                <w:color w:val="auto"/>
                <w:sz w:val="18"/>
                <w:szCs w:val="18"/>
                <w:highlight w:val="none"/>
                <w:u w:val="none"/>
              </w:rPr>
              <w:t>商贸物流业</w:t>
            </w:r>
          </w:p>
        </w:tc>
        <w:tc>
          <w:tcPr>
            <w:tcW w:w="463" w:type="pct"/>
            <w:shd w:val="clear" w:color="auto" w:fill="auto"/>
            <w:tcMar>
              <w:left w:w="0" w:type="dxa"/>
              <w:right w:w="0" w:type="dxa"/>
            </w:tcMar>
            <w:vAlign w:val="center"/>
          </w:tcPr>
          <w:p w14:paraId="733AFC76">
            <w:pPr>
              <w:pStyle w:val="92"/>
              <w:rPr>
                <w:color w:val="auto"/>
                <w:sz w:val="18"/>
                <w:szCs w:val="18"/>
                <w:highlight w:val="none"/>
                <w:u w:val="none"/>
              </w:rPr>
            </w:pPr>
            <w:r>
              <w:rPr>
                <w:color w:val="auto"/>
                <w:sz w:val="18"/>
                <w:szCs w:val="18"/>
                <w:highlight w:val="none"/>
                <w:u w:val="none"/>
              </w:rPr>
              <w:t>汽车整车进口的展示商贸区、通用码头、集装箱码头</w:t>
            </w:r>
          </w:p>
        </w:tc>
        <w:tc>
          <w:tcPr>
            <w:tcW w:w="1069" w:type="pct"/>
            <w:shd w:val="clear" w:color="auto" w:fill="auto"/>
            <w:tcMar>
              <w:left w:w="0" w:type="dxa"/>
              <w:right w:w="0" w:type="dxa"/>
            </w:tcMar>
            <w:vAlign w:val="center"/>
          </w:tcPr>
          <w:p w14:paraId="38F43B4C">
            <w:pPr>
              <w:pStyle w:val="92"/>
              <w:rPr>
                <w:color w:val="auto"/>
                <w:sz w:val="18"/>
                <w:szCs w:val="18"/>
                <w:highlight w:val="none"/>
                <w:u w:val="none"/>
              </w:rPr>
            </w:pPr>
            <w:r>
              <w:rPr>
                <w:color w:val="auto"/>
                <w:sz w:val="18"/>
                <w:szCs w:val="18"/>
                <w:highlight w:val="none"/>
                <w:u w:val="none"/>
              </w:rPr>
              <w:t>不发展整车制造业</w:t>
            </w:r>
          </w:p>
        </w:tc>
        <w:tc>
          <w:tcPr>
            <w:tcW w:w="407" w:type="pct"/>
            <w:shd w:val="clear" w:color="auto" w:fill="auto"/>
            <w:tcMar>
              <w:left w:w="0" w:type="dxa"/>
              <w:right w:w="0" w:type="dxa"/>
            </w:tcMar>
            <w:vAlign w:val="center"/>
          </w:tcPr>
          <w:p w14:paraId="0C9392FA">
            <w:pPr>
              <w:pStyle w:val="92"/>
              <w:rPr>
                <w:color w:val="auto"/>
                <w:sz w:val="18"/>
                <w:szCs w:val="18"/>
                <w:highlight w:val="none"/>
                <w:u w:val="none"/>
              </w:rPr>
            </w:pPr>
            <w:r>
              <w:rPr>
                <w:color w:val="auto"/>
                <w:sz w:val="18"/>
                <w:szCs w:val="18"/>
                <w:highlight w:val="none"/>
                <w:u w:val="none"/>
              </w:rPr>
              <w:t>/</w:t>
            </w:r>
          </w:p>
        </w:tc>
        <w:tc>
          <w:tcPr>
            <w:tcW w:w="395" w:type="pct"/>
            <w:shd w:val="clear" w:color="auto" w:fill="auto"/>
            <w:tcMar>
              <w:left w:w="0" w:type="dxa"/>
              <w:right w:w="0" w:type="dxa"/>
            </w:tcMar>
            <w:vAlign w:val="center"/>
          </w:tcPr>
          <w:p w14:paraId="147A356C">
            <w:pPr>
              <w:pStyle w:val="92"/>
              <w:rPr>
                <w:color w:val="auto"/>
                <w:sz w:val="18"/>
                <w:szCs w:val="18"/>
                <w:highlight w:val="none"/>
                <w:u w:val="none"/>
              </w:rPr>
            </w:pPr>
            <w:r>
              <w:rPr>
                <w:color w:val="auto"/>
                <w:sz w:val="18"/>
                <w:szCs w:val="18"/>
                <w:highlight w:val="none"/>
                <w:u w:val="none"/>
              </w:rPr>
              <w:t>/</w:t>
            </w:r>
          </w:p>
        </w:tc>
        <w:tc>
          <w:tcPr>
            <w:tcW w:w="516" w:type="pct"/>
            <w:shd w:val="clear" w:color="auto" w:fill="auto"/>
            <w:tcMar>
              <w:left w:w="0" w:type="dxa"/>
              <w:right w:w="0" w:type="dxa"/>
            </w:tcMar>
            <w:vAlign w:val="center"/>
          </w:tcPr>
          <w:p w14:paraId="2F603758">
            <w:pPr>
              <w:pStyle w:val="92"/>
              <w:rPr>
                <w:color w:val="auto"/>
                <w:sz w:val="18"/>
                <w:szCs w:val="18"/>
                <w:highlight w:val="none"/>
                <w:u w:val="none"/>
              </w:rPr>
            </w:pPr>
            <w:r>
              <w:rPr>
                <w:color w:val="auto"/>
                <w:sz w:val="18"/>
                <w:szCs w:val="18"/>
                <w:highlight w:val="none"/>
                <w:u w:val="none"/>
              </w:rPr>
              <w:t>/</w:t>
            </w:r>
          </w:p>
        </w:tc>
        <w:tc>
          <w:tcPr>
            <w:tcW w:w="304" w:type="pct"/>
            <w:vMerge w:val="continue"/>
            <w:shd w:val="clear" w:color="auto" w:fill="auto"/>
            <w:tcMar>
              <w:left w:w="0" w:type="dxa"/>
              <w:right w:w="0" w:type="dxa"/>
            </w:tcMar>
            <w:vAlign w:val="center"/>
          </w:tcPr>
          <w:p w14:paraId="1937ECE9">
            <w:pPr>
              <w:pStyle w:val="92"/>
              <w:rPr>
                <w:color w:val="auto"/>
                <w:sz w:val="18"/>
                <w:szCs w:val="18"/>
                <w:highlight w:val="none"/>
                <w:u w:val="none"/>
              </w:rPr>
            </w:pPr>
          </w:p>
        </w:tc>
        <w:tc>
          <w:tcPr>
            <w:tcW w:w="414" w:type="pct"/>
            <w:shd w:val="clear" w:color="auto" w:fill="auto"/>
            <w:tcMar>
              <w:left w:w="0" w:type="dxa"/>
              <w:right w:w="0" w:type="dxa"/>
            </w:tcMar>
            <w:vAlign w:val="center"/>
          </w:tcPr>
          <w:p w14:paraId="11885421">
            <w:pPr>
              <w:pStyle w:val="92"/>
              <w:rPr>
                <w:color w:val="auto"/>
                <w:sz w:val="18"/>
                <w:szCs w:val="18"/>
                <w:highlight w:val="none"/>
                <w:u w:val="none"/>
              </w:rPr>
            </w:pPr>
            <w:r>
              <w:rPr>
                <w:color w:val="auto"/>
                <w:sz w:val="18"/>
                <w:szCs w:val="18"/>
                <w:highlight w:val="none"/>
                <w:u w:val="none"/>
              </w:rPr>
              <w:t>/</w:t>
            </w:r>
          </w:p>
        </w:tc>
        <w:tc>
          <w:tcPr>
            <w:tcW w:w="466" w:type="pct"/>
            <w:shd w:val="clear" w:color="auto" w:fill="auto"/>
            <w:tcMar>
              <w:left w:w="0" w:type="dxa"/>
              <w:right w:w="0" w:type="dxa"/>
            </w:tcMar>
            <w:vAlign w:val="center"/>
          </w:tcPr>
          <w:p w14:paraId="36103348">
            <w:pPr>
              <w:pStyle w:val="92"/>
              <w:rPr>
                <w:color w:val="auto"/>
                <w:sz w:val="18"/>
                <w:szCs w:val="18"/>
                <w:highlight w:val="none"/>
                <w:u w:val="none"/>
              </w:rPr>
            </w:pPr>
            <w:r>
              <w:rPr>
                <w:color w:val="auto"/>
                <w:sz w:val="18"/>
                <w:szCs w:val="18"/>
                <w:highlight w:val="none"/>
                <w:u w:val="none"/>
              </w:rPr>
              <w:t>/</w:t>
            </w:r>
          </w:p>
        </w:tc>
        <w:tc>
          <w:tcPr>
            <w:tcW w:w="361" w:type="pct"/>
            <w:vMerge w:val="continue"/>
            <w:shd w:val="clear" w:color="auto" w:fill="auto"/>
            <w:tcMar>
              <w:left w:w="0" w:type="dxa"/>
              <w:right w:w="0" w:type="dxa"/>
            </w:tcMar>
            <w:vAlign w:val="center"/>
          </w:tcPr>
          <w:p w14:paraId="268C1AF6">
            <w:pPr>
              <w:pStyle w:val="92"/>
              <w:rPr>
                <w:color w:val="auto"/>
                <w:sz w:val="18"/>
                <w:szCs w:val="18"/>
                <w:highlight w:val="none"/>
                <w:u w:val="none"/>
              </w:rPr>
            </w:pPr>
          </w:p>
        </w:tc>
        <w:tc>
          <w:tcPr>
            <w:tcW w:w="361" w:type="pct"/>
            <w:vMerge w:val="continue"/>
            <w:shd w:val="clear" w:color="auto" w:fill="auto"/>
            <w:tcMar>
              <w:left w:w="0" w:type="dxa"/>
              <w:right w:w="0" w:type="dxa"/>
            </w:tcMar>
            <w:vAlign w:val="center"/>
          </w:tcPr>
          <w:p w14:paraId="67F325FB">
            <w:pPr>
              <w:pStyle w:val="92"/>
              <w:rPr>
                <w:color w:val="auto"/>
                <w:sz w:val="18"/>
                <w:szCs w:val="18"/>
                <w:highlight w:val="none"/>
                <w:u w:val="none"/>
              </w:rPr>
            </w:pPr>
          </w:p>
        </w:tc>
      </w:tr>
      <w:tr w14:paraId="4AE00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tcBorders>
              <w:bottom w:val="single" w:color="auto" w:sz="4" w:space="0"/>
            </w:tcBorders>
            <w:shd w:val="clear" w:color="auto" w:fill="auto"/>
            <w:tcMar>
              <w:left w:w="0" w:type="dxa"/>
              <w:right w:w="0" w:type="dxa"/>
            </w:tcMar>
            <w:vAlign w:val="center"/>
          </w:tcPr>
          <w:p w14:paraId="3AE33F30">
            <w:pPr>
              <w:pStyle w:val="92"/>
              <w:rPr>
                <w:color w:val="auto"/>
                <w:sz w:val="18"/>
                <w:szCs w:val="18"/>
                <w:highlight w:val="none"/>
                <w:u w:val="none"/>
              </w:rPr>
            </w:pPr>
            <w:r>
              <w:rPr>
                <w:color w:val="auto"/>
                <w:sz w:val="18"/>
                <w:szCs w:val="18"/>
                <w:highlight w:val="none"/>
                <w:u w:val="none"/>
              </w:rPr>
              <w:t>服务业</w:t>
            </w:r>
          </w:p>
        </w:tc>
        <w:tc>
          <w:tcPr>
            <w:tcW w:w="463" w:type="pct"/>
            <w:tcBorders>
              <w:bottom w:val="single" w:color="auto" w:sz="4" w:space="0"/>
            </w:tcBorders>
            <w:shd w:val="clear" w:color="auto" w:fill="auto"/>
            <w:tcMar>
              <w:left w:w="0" w:type="dxa"/>
              <w:right w:w="0" w:type="dxa"/>
            </w:tcMar>
            <w:vAlign w:val="center"/>
          </w:tcPr>
          <w:p w14:paraId="3AFBF911">
            <w:pPr>
              <w:pStyle w:val="92"/>
              <w:rPr>
                <w:color w:val="auto"/>
                <w:sz w:val="18"/>
                <w:szCs w:val="18"/>
                <w:highlight w:val="none"/>
                <w:u w:val="none"/>
              </w:rPr>
            </w:pPr>
            <w:r>
              <w:rPr>
                <w:color w:val="auto"/>
                <w:sz w:val="18"/>
                <w:szCs w:val="18"/>
                <w:highlight w:val="none"/>
                <w:u w:val="none"/>
              </w:rPr>
              <w:t>商贸、商务、金融、信息、总部等职能</w:t>
            </w:r>
          </w:p>
        </w:tc>
        <w:tc>
          <w:tcPr>
            <w:tcW w:w="1069" w:type="pct"/>
            <w:tcBorders>
              <w:bottom w:val="single" w:color="auto" w:sz="4" w:space="0"/>
            </w:tcBorders>
            <w:shd w:val="clear" w:color="auto" w:fill="auto"/>
            <w:tcMar>
              <w:left w:w="0" w:type="dxa"/>
              <w:right w:w="0" w:type="dxa"/>
            </w:tcMar>
            <w:vAlign w:val="center"/>
          </w:tcPr>
          <w:p w14:paraId="6F8ED8D7">
            <w:pPr>
              <w:pStyle w:val="92"/>
              <w:rPr>
                <w:color w:val="auto"/>
                <w:sz w:val="18"/>
                <w:szCs w:val="18"/>
                <w:highlight w:val="none"/>
                <w:u w:val="none"/>
              </w:rPr>
            </w:pPr>
            <w:r>
              <w:rPr>
                <w:color w:val="auto"/>
                <w:sz w:val="18"/>
                <w:szCs w:val="18"/>
                <w:highlight w:val="none"/>
                <w:u w:val="none"/>
              </w:rPr>
              <w:t>/</w:t>
            </w:r>
          </w:p>
        </w:tc>
        <w:tc>
          <w:tcPr>
            <w:tcW w:w="407" w:type="pct"/>
            <w:tcBorders>
              <w:bottom w:val="single" w:color="auto" w:sz="4" w:space="0"/>
            </w:tcBorders>
            <w:shd w:val="clear" w:color="auto" w:fill="auto"/>
            <w:tcMar>
              <w:left w:w="0" w:type="dxa"/>
              <w:right w:w="0" w:type="dxa"/>
            </w:tcMar>
            <w:vAlign w:val="center"/>
          </w:tcPr>
          <w:p w14:paraId="56219DE0">
            <w:pPr>
              <w:pStyle w:val="92"/>
              <w:rPr>
                <w:color w:val="auto"/>
                <w:sz w:val="18"/>
                <w:szCs w:val="18"/>
                <w:highlight w:val="none"/>
                <w:u w:val="none"/>
              </w:rPr>
            </w:pPr>
            <w:r>
              <w:rPr>
                <w:color w:val="auto"/>
                <w:sz w:val="18"/>
                <w:szCs w:val="18"/>
                <w:highlight w:val="none"/>
                <w:u w:val="none"/>
              </w:rPr>
              <w:t>/</w:t>
            </w:r>
          </w:p>
        </w:tc>
        <w:tc>
          <w:tcPr>
            <w:tcW w:w="395" w:type="pct"/>
            <w:tcBorders>
              <w:bottom w:val="single" w:color="auto" w:sz="4" w:space="0"/>
            </w:tcBorders>
            <w:shd w:val="clear" w:color="auto" w:fill="auto"/>
            <w:tcMar>
              <w:left w:w="0" w:type="dxa"/>
              <w:right w:w="0" w:type="dxa"/>
            </w:tcMar>
            <w:vAlign w:val="center"/>
          </w:tcPr>
          <w:p w14:paraId="62B27842">
            <w:pPr>
              <w:pStyle w:val="92"/>
              <w:rPr>
                <w:color w:val="auto"/>
                <w:sz w:val="18"/>
                <w:szCs w:val="18"/>
                <w:highlight w:val="none"/>
                <w:u w:val="none"/>
              </w:rPr>
            </w:pPr>
            <w:r>
              <w:rPr>
                <w:color w:val="auto"/>
                <w:sz w:val="18"/>
                <w:szCs w:val="18"/>
                <w:highlight w:val="none"/>
                <w:u w:val="none"/>
              </w:rPr>
              <w:t>/</w:t>
            </w:r>
          </w:p>
        </w:tc>
        <w:tc>
          <w:tcPr>
            <w:tcW w:w="516" w:type="pct"/>
            <w:tcBorders>
              <w:bottom w:val="single" w:color="auto" w:sz="4" w:space="0"/>
            </w:tcBorders>
            <w:shd w:val="clear" w:color="auto" w:fill="auto"/>
            <w:tcMar>
              <w:left w:w="0" w:type="dxa"/>
              <w:right w:w="0" w:type="dxa"/>
            </w:tcMar>
            <w:vAlign w:val="center"/>
          </w:tcPr>
          <w:p w14:paraId="73BC6CAA">
            <w:pPr>
              <w:pStyle w:val="92"/>
              <w:rPr>
                <w:color w:val="auto"/>
                <w:sz w:val="18"/>
                <w:szCs w:val="18"/>
                <w:highlight w:val="none"/>
                <w:u w:val="none"/>
              </w:rPr>
            </w:pPr>
            <w:r>
              <w:rPr>
                <w:color w:val="auto"/>
                <w:sz w:val="18"/>
                <w:szCs w:val="18"/>
                <w:highlight w:val="none"/>
                <w:u w:val="none"/>
              </w:rPr>
              <w:t>/</w:t>
            </w:r>
          </w:p>
        </w:tc>
        <w:tc>
          <w:tcPr>
            <w:tcW w:w="304" w:type="pct"/>
            <w:vMerge w:val="continue"/>
            <w:tcBorders>
              <w:bottom w:val="single" w:color="auto" w:sz="4" w:space="0"/>
            </w:tcBorders>
            <w:shd w:val="clear" w:color="auto" w:fill="auto"/>
            <w:tcMar>
              <w:left w:w="0" w:type="dxa"/>
              <w:right w:w="0" w:type="dxa"/>
            </w:tcMar>
            <w:vAlign w:val="center"/>
          </w:tcPr>
          <w:p w14:paraId="1EA1BD28">
            <w:pPr>
              <w:pStyle w:val="92"/>
              <w:rPr>
                <w:color w:val="auto"/>
                <w:sz w:val="18"/>
                <w:szCs w:val="18"/>
                <w:highlight w:val="none"/>
                <w:u w:val="none"/>
              </w:rPr>
            </w:pPr>
          </w:p>
        </w:tc>
        <w:tc>
          <w:tcPr>
            <w:tcW w:w="414" w:type="pct"/>
            <w:tcBorders>
              <w:bottom w:val="single" w:color="auto" w:sz="4" w:space="0"/>
            </w:tcBorders>
            <w:shd w:val="clear" w:color="auto" w:fill="auto"/>
            <w:tcMar>
              <w:left w:w="0" w:type="dxa"/>
              <w:right w:w="0" w:type="dxa"/>
            </w:tcMar>
            <w:vAlign w:val="center"/>
          </w:tcPr>
          <w:p w14:paraId="3DE263B3">
            <w:pPr>
              <w:pStyle w:val="92"/>
              <w:rPr>
                <w:color w:val="auto"/>
                <w:sz w:val="18"/>
                <w:szCs w:val="18"/>
                <w:highlight w:val="none"/>
                <w:u w:val="none"/>
              </w:rPr>
            </w:pPr>
            <w:r>
              <w:rPr>
                <w:color w:val="auto"/>
                <w:sz w:val="18"/>
                <w:szCs w:val="18"/>
                <w:highlight w:val="none"/>
                <w:u w:val="none"/>
              </w:rPr>
              <w:t>/</w:t>
            </w:r>
          </w:p>
        </w:tc>
        <w:tc>
          <w:tcPr>
            <w:tcW w:w="466" w:type="pct"/>
            <w:tcBorders>
              <w:bottom w:val="single" w:color="auto" w:sz="4" w:space="0"/>
            </w:tcBorders>
            <w:shd w:val="clear" w:color="auto" w:fill="auto"/>
            <w:tcMar>
              <w:left w:w="0" w:type="dxa"/>
              <w:right w:w="0" w:type="dxa"/>
            </w:tcMar>
            <w:vAlign w:val="center"/>
          </w:tcPr>
          <w:p w14:paraId="31179E66">
            <w:pPr>
              <w:pStyle w:val="92"/>
              <w:rPr>
                <w:color w:val="auto"/>
                <w:sz w:val="18"/>
                <w:szCs w:val="18"/>
                <w:highlight w:val="none"/>
                <w:u w:val="none"/>
              </w:rPr>
            </w:pPr>
            <w:r>
              <w:rPr>
                <w:color w:val="auto"/>
                <w:sz w:val="18"/>
                <w:szCs w:val="18"/>
                <w:highlight w:val="none"/>
                <w:u w:val="none"/>
              </w:rPr>
              <w:t>/</w:t>
            </w:r>
          </w:p>
        </w:tc>
        <w:tc>
          <w:tcPr>
            <w:tcW w:w="361" w:type="pct"/>
            <w:vMerge w:val="continue"/>
            <w:tcBorders>
              <w:bottom w:val="single" w:color="auto" w:sz="4" w:space="0"/>
            </w:tcBorders>
            <w:shd w:val="clear" w:color="auto" w:fill="auto"/>
            <w:tcMar>
              <w:left w:w="0" w:type="dxa"/>
              <w:right w:w="0" w:type="dxa"/>
            </w:tcMar>
            <w:vAlign w:val="center"/>
          </w:tcPr>
          <w:p w14:paraId="722476C2">
            <w:pPr>
              <w:pStyle w:val="92"/>
              <w:rPr>
                <w:color w:val="auto"/>
                <w:sz w:val="18"/>
                <w:szCs w:val="18"/>
                <w:highlight w:val="none"/>
                <w:u w:val="none"/>
              </w:rPr>
            </w:pPr>
          </w:p>
        </w:tc>
        <w:tc>
          <w:tcPr>
            <w:tcW w:w="361" w:type="pct"/>
            <w:vMerge w:val="continue"/>
            <w:tcBorders>
              <w:bottom w:val="single" w:color="auto" w:sz="4" w:space="0"/>
            </w:tcBorders>
            <w:shd w:val="clear" w:color="auto" w:fill="auto"/>
            <w:tcMar>
              <w:left w:w="0" w:type="dxa"/>
              <w:right w:w="0" w:type="dxa"/>
            </w:tcMar>
            <w:vAlign w:val="center"/>
          </w:tcPr>
          <w:p w14:paraId="7BECEA28">
            <w:pPr>
              <w:pStyle w:val="92"/>
              <w:rPr>
                <w:color w:val="auto"/>
                <w:sz w:val="18"/>
                <w:szCs w:val="18"/>
                <w:highlight w:val="none"/>
                <w:u w:val="none"/>
              </w:rPr>
            </w:pPr>
          </w:p>
        </w:tc>
      </w:tr>
      <w:tr w14:paraId="3CB90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0E71FF15">
            <w:pPr>
              <w:pStyle w:val="92"/>
              <w:rPr>
                <w:color w:val="auto"/>
                <w:sz w:val="18"/>
                <w:szCs w:val="18"/>
                <w:highlight w:val="none"/>
                <w:u w:val="none"/>
              </w:rPr>
            </w:pPr>
            <w:r>
              <w:rPr>
                <w:color w:val="auto"/>
                <w:sz w:val="18"/>
                <w:szCs w:val="18"/>
                <w:highlight w:val="none"/>
                <w:u w:val="none"/>
              </w:rPr>
              <w:t>本项目</w:t>
            </w:r>
          </w:p>
        </w:tc>
        <w:tc>
          <w:tcPr>
            <w:tcW w:w="463"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46537D3A">
            <w:pPr>
              <w:pStyle w:val="92"/>
              <w:rPr>
                <w:color w:val="auto"/>
                <w:sz w:val="18"/>
                <w:szCs w:val="18"/>
                <w:highlight w:val="none"/>
                <w:u w:val="none"/>
              </w:rPr>
            </w:pPr>
            <w:r>
              <w:rPr>
                <w:color w:val="auto"/>
                <w:sz w:val="18"/>
                <w:szCs w:val="18"/>
                <w:highlight w:val="none"/>
                <w:u w:val="none"/>
              </w:rPr>
              <w:t>化学原料和化学制品制造业</w:t>
            </w:r>
          </w:p>
        </w:tc>
        <w:tc>
          <w:tcPr>
            <w:tcW w:w="1069"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0BF8078B">
            <w:pPr>
              <w:pStyle w:val="92"/>
              <w:rPr>
                <w:color w:val="auto"/>
                <w:sz w:val="18"/>
                <w:szCs w:val="18"/>
                <w:highlight w:val="none"/>
                <w:u w:val="none"/>
              </w:rPr>
            </w:pPr>
            <w:r>
              <w:rPr>
                <w:color w:val="auto"/>
                <w:sz w:val="18"/>
                <w:szCs w:val="18"/>
                <w:highlight w:val="none"/>
                <w:u w:val="none"/>
              </w:rPr>
              <w:t>/</w:t>
            </w:r>
          </w:p>
        </w:tc>
        <w:tc>
          <w:tcPr>
            <w:tcW w:w="407"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4546216F">
            <w:pPr>
              <w:pStyle w:val="92"/>
              <w:rPr>
                <w:rFonts w:hint="default" w:eastAsia="宋体"/>
                <w:color w:val="auto"/>
                <w:sz w:val="18"/>
                <w:szCs w:val="18"/>
                <w:highlight w:val="none"/>
                <w:u w:val="none"/>
                <w:lang w:val="en-US" w:eastAsia="zh-CN"/>
              </w:rPr>
            </w:pPr>
          </w:p>
        </w:tc>
        <w:tc>
          <w:tcPr>
            <w:tcW w:w="395"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2E7D732C">
            <w:pPr>
              <w:pStyle w:val="92"/>
              <w:rPr>
                <w:rFonts w:hint="eastAsia" w:eastAsia="宋体"/>
                <w:color w:val="auto"/>
                <w:sz w:val="18"/>
                <w:szCs w:val="18"/>
                <w:highlight w:val="none"/>
                <w:u w:val="none"/>
                <w:lang w:eastAsia="zh-CN"/>
              </w:rPr>
            </w:pPr>
          </w:p>
        </w:tc>
        <w:tc>
          <w:tcPr>
            <w:tcW w:w="516"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1DB81C47">
            <w:pPr>
              <w:pStyle w:val="92"/>
              <w:rPr>
                <w:rFonts w:hint="default" w:eastAsia="宋体"/>
                <w:color w:val="auto"/>
                <w:sz w:val="18"/>
                <w:szCs w:val="18"/>
                <w:highlight w:val="none"/>
                <w:u w:val="none"/>
                <w:lang w:val="en-US" w:eastAsia="zh-CN"/>
              </w:rPr>
            </w:pPr>
          </w:p>
        </w:tc>
        <w:tc>
          <w:tcPr>
            <w:tcW w:w="304"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3B219999">
            <w:pPr>
              <w:pStyle w:val="92"/>
              <w:rPr>
                <w:color w:val="auto"/>
                <w:sz w:val="18"/>
                <w:szCs w:val="18"/>
                <w:highlight w:val="none"/>
                <w:u w:val="none"/>
              </w:rPr>
            </w:pPr>
            <w:r>
              <w:rPr>
                <w:rFonts w:hint="eastAsia"/>
                <w:color w:val="auto"/>
                <w:sz w:val="18"/>
                <w:szCs w:val="18"/>
                <w:highlight w:val="none"/>
                <w:u w:val="none"/>
              </w:rPr>
              <w:t>由园区集中供热</w:t>
            </w:r>
          </w:p>
        </w:tc>
        <w:tc>
          <w:tcPr>
            <w:tcW w:w="414"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130E5934">
            <w:pPr>
              <w:pStyle w:val="92"/>
              <w:rPr>
                <w:color w:val="auto"/>
                <w:sz w:val="18"/>
                <w:szCs w:val="18"/>
                <w:highlight w:val="none"/>
                <w:u w:val="none"/>
              </w:rPr>
            </w:pPr>
            <w:r>
              <w:rPr>
                <w:rFonts w:hint="eastAsia"/>
                <w:color w:val="auto"/>
                <w:sz w:val="18"/>
                <w:szCs w:val="18"/>
                <w:highlight w:val="none"/>
                <w:u w:val="none"/>
              </w:rPr>
              <w:t>无</w:t>
            </w:r>
            <w:r>
              <w:rPr>
                <w:color w:val="auto"/>
                <w:sz w:val="18"/>
                <w:szCs w:val="18"/>
                <w:highlight w:val="none"/>
                <w:u w:val="none"/>
              </w:rPr>
              <w:t>SO</w:t>
            </w:r>
            <w:r>
              <w:rPr>
                <w:color w:val="auto"/>
                <w:sz w:val="18"/>
                <w:szCs w:val="18"/>
                <w:highlight w:val="none"/>
                <w:u w:val="none"/>
                <w:vertAlign w:val="subscript"/>
              </w:rPr>
              <w:t>2</w:t>
            </w:r>
            <w:r>
              <w:rPr>
                <w:color w:val="auto"/>
                <w:sz w:val="18"/>
                <w:szCs w:val="18"/>
                <w:highlight w:val="none"/>
                <w:u w:val="none"/>
              </w:rPr>
              <w:t>排放</w:t>
            </w:r>
          </w:p>
        </w:tc>
        <w:tc>
          <w:tcPr>
            <w:tcW w:w="466"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2880D278">
            <w:pPr>
              <w:pStyle w:val="92"/>
              <w:rPr>
                <w:rFonts w:hint="eastAsia" w:eastAsia="宋体"/>
                <w:color w:val="auto"/>
                <w:sz w:val="18"/>
                <w:szCs w:val="18"/>
                <w:highlight w:val="none"/>
                <w:u w:val="none"/>
                <w:lang w:eastAsia="zh-CN"/>
              </w:rPr>
            </w:pPr>
          </w:p>
        </w:tc>
        <w:tc>
          <w:tcPr>
            <w:tcW w:w="361"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7117105F">
            <w:pPr>
              <w:pStyle w:val="92"/>
              <w:rPr>
                <w:color w:val="auto"/>
                <w:sz w:val="18"/>
                <w:szCs w:val="18"/>
                <w:highlight w:val="none"/>
                <w:u w:val="none"/>
              </w:rPr>
            </w:pPr>
            <w:r>
              <w:rPr>
                <w:color w:val="auto"/>
                <w:sz w:val="18"/>
                <w:szCs w:val="18"/>
                <w:highlight w:val="none"/>
                <w:u w:val="none"/>
              </w:rPr>
              <w:t>/</w:t>
            </w:r>
          </w:p>
        </w:tc>
        <w:tc>
          <w:tcPr>
            <w:tcW w:w="361" w:type="pct"/>
            <w:tcBorders>
              <w:top w:val="single" w:color="auto" w:sz="4" w:space="0"/>
              <w:bottom w:val="single" w:color="auto" w:sz="12" w:space="0"/>
            </w:tcBorders>
            <w:shd w:val="clear" w:color="auto" w:fill="D8D8D8" w:themeFill="background1" w:themeFillShade="D9"/>
            <w:tcMar>
              <w:left w:w="0" w:type="dxa"/>
              <w:right w:w="0" w:type="dxa"/>
            </w:tcMar>
            <w:vAlign w:val="center"/>
          </w:tcPr>
          <w:p w14:paraId="1CDBF0FE">
            <w:pPr>
              <w:pStyle w:val="92"/>
              <w:rPr>
                <w:color w:val="auto"/>
                <w:sz w:val="18"/>
                <w:szCs w:val="18"/>
                <w:highlight w:val="none"/>
                <w:u w:val="none"/>
              </w:rPr>
            </w:pPr>
          </w:p>
        </w:tc>
      </w:tr>
    </w:tbl>
    <w:p w14:paraId="67A633E1">
      <w:pPr>
        <w:ind w:firstLine="482"/>
        <w:jc w:val="center"/>
        <w:rPr>
          <w:rFonts w:hint="eastAsia"/>
          <w:b/>
          <w:bCs/>
          <w:color w:val="auto"/>
          <w:highlight w:val="none"/>
          <w:u w:val="none"/>
        </w:rPr>
      </w:pPr>
      <w:bookmarkStart w:id="415" w:name="_Ref99656240"/>
    </w:p>
    <w:p w14:paraId="21C477E3">
      <w:pPr>
        <w:ind w:firstLine="482"/>
        <w:jc w:val="center"/>
        <w:rPr>
          <w:rFonts w:hint="eastAsia"/>
          <w:b/>
          <w:bCs/>
          <w:color w:val="auto"/>
          <w:highlight w:val="none"/>
          <w:u w:val="none"/>
        </w:rPr>
      </w:pPr>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5.11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6</w:t>
      </w:r>
      <w:r>
        <w:rPr>
          <w:b/>
          <w:bCs/>
          <w:color w:val="auto"/>
          <w:highlight w:val="none"/>
          <w:u w:val="none"/>
        </w:rPr>
        <w:fldChar w:fldCharType="end"/>
      </w:r>
      <w:bookmarkEnd w:id="415"/>
      <w:r>
        <w:rPr>
          <w:b/>
          <w:bCs/>
          <w:color w:val="auto"/>
          <w:highlight w:val="none"/>
          <w:u w:val="none"/>
        </w:rPr>
        <w:t xml:space="preserve">  </w:t>
      </w:r>
      <w:r>
        <w:rPr>
          <w:rFonts w:hint="eastAsia"/>
          <w:b/>
          <w:bCs/>
          <w:color w:val="auto"/>
          <w:highlight w:val="none"/>
          <w:u w:val="none"/>
        </w:rPr>
        <w:t>项目与规划环评审查意见的符合性分析</w:t>
      </w:r>
    </w:p>
    <w:tbl>
      <w:tblPr>
        <w:tblStyle w:val="58"/>
        <w:tblW w:w="137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28"/>
        <w:gridCol w:w="5670"/>
        <w:gridCol w:w="4961"/>
        <w:gridCol w:w="1276"/>
      </w:tblGrid>
      <w:tr w14:paraId="48D68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0937F20C">
            <w:pPr>
              <w:pStyle w:val="92"/>
              <w:rPr>
                <w:color w:val="auto"/>
                <w:highlight w:val="none"/>
                <w:u w:val="none"/>
              </w:rPr>
            </w:pPr>
            <w:r>
              <w:rPr>
                <w:color w:val="auto"/>
                <w:highlight w:val="none"/>
                <w:u w:val="none"/>
              </w:rPr>
              <w:t>项目</w:t>
            </w:r>
          </w:p>
        </w:tc>
        <w:tc>
          <w:tcPr>
            <w:tcW w:w="5670" w:type="dxa"/>
            <w:vAlign w:val="center"/>
          </w:tcPr>
          <w:p w14:paraId="424D5AC6">
            <w:pPr>
              <w:pStyle w:val="92"/>
              <w:rPr>
                <w:color w:val="auto"/>
                <w:highlight w:val="none"/>
                <w:u w:val="none"/>
              </w:rPr>
            </w:pPr>
            <w:r>
              <w:rPr>
                <w:color w:val="auto"/>
                <w:highlight w:val="none"/>
                <w:u w:val="none"/>
              </w:rPr>
              <w:t>规划环评及审查意见</w:t>
            </w:r>
            <w:r>
              <w:rPr>
                <w:rFonts w:hint="eastAsia"/>
                <w:color w:val="auto"/>
                <w:highlight w:val="none"/>
                <w:u w:val="none"/>
              </w:rPr>
              <w:t>内容</w:t>
            </w:r>
          </w:p>
        </w:tc>
        <w:tc>
          <w:tcPr>
            <w:tcW w:w="4961" w:type="dxa"/>
            <w:vAlign w:val="center"/>
          </w:tcPr>
          <w:p w14:paraId="2CA04269">
            <w:pPr>
              <w:pStyle w:val="92"/>
              <w:rPr>
                <w:color w:val="auto"/>
                <w:highlight w:val="none"/>
                <w:u w:val="none"/>
              </w:rPr>
            </w:pPr>
            <w:r>
              <w:rPr>
                <w:rFonts w:hint="eastAsia"/>
                <w:color w:val="auto"/>
                <w:highlight w:val="none"/>
                <w:u w:val="none"/>
              </w:rPr>
              <w:t>本项目建设内容</w:t>
            </w:r>
          </w:p>
        </w:tc>
        <w:tc>
          <w:tcPr>
            <w:tcW w:w="1276" w:type="dxa"/>
            <w:vAlign w:val="center"/>
          </w:tcPr>
          <w:p w14:paraId="1B207FE0">
            <w:pPr>
              <w:pStyle w:val="92"/>
              <w:rPr>
                <w:color w:val="auto"/>
                <w:highlight w:val="none"/>
                <w:u w:val="none"/>
              </w:rPr>
            </w:pPr>
            <w:r>
              <w:rPr>
                <w:color w:val="auto"/>
                <w:highlight w:val="none"/>
                <w:u w:val="none"/>
              </w:rPr>
              <w:t>符合性</w:t>
            </w:r>
          </w:p>
        </w:tc>
      </w:tr>
      <w:tr w14:paraId="067C7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6893B73D">
            <w:pPr>
              <w:pStyle w:val="92"/>
              <w:rPr>
                <w:color w:val="auto"/>
                <w:highlight w:val="none"/>
                <w:u w:val="none"/>
              </w:rPr>
            </w:pPr>
            <w:r>
              <w:rPr>
                <w:color w:val="auto"/>
                <w:highlight w:val="none"/>
                <w:u w:val="none"/>
              </w:rPr>
              <w:t>空间布局</w:t>
            </w:r>
          </w:p>
        </w:tc>
        <w:tc>
          <w:tcPr>
            <w:tcW w:w="5670" w:type="dxa"/>
            <w:vAlign w:val="center"/>
          </w:tcPr>
          <w:p w14:paraId="05E98FEE">
            <w:pPr>
              <w:pStyle w:val="92"/>
              <w:rPr>
                <w:color w:val="auto"/>
                <w:highlight w:val="none"/>
                <w:u w:val="none"/>
              </w:rPr>
            </w:pPr>
            <w:r>
              <w:rPr>
                <w:color w:val="auto"/>
                <w:highlight w:val="none"/>
                <w:u w:val="none"/>
              </w:rPr>
              <w:t>进一步优化区域内空间布局，处理好与城镇发展的布局性矛盾。严格控制东部临港产业区、西部临港产业区和港口运输物流仓储区周边用地规划，污染重、环境风险大的生产装置、储罐应远离居民区。</w:t>
            </w:r>
          </w:p>
        </w:tc>
        <w:tc>
          <w:tcPr>
            <w:tcW w:w="4961" w:type="dxa"/>
            <w:vAlign w:val="center"/>
          </w:tcPr>
          <w:p w14:paraId="6C435F19">
            <w:pPr>
              <w:pStyle w:val="92"/>
              <w:rPr>
                <w:color w:val="auto"/>
                <w:highlight w:val="none"/>
                <w:u w:val="none"/>
              </w:rPr>
            </w:pPr>
          </w:p>
        </w:tc>
        <w:tc>
          <w:tcPr>
            <w:tcW w:w="1276" w:type="dxa"/>
            <w:vAlign w:val="center"/>
          </w:tcPr>
          <w:p w14:paraId="6FA4206A">
            <w:pPr>
              <w:pStyle w:val="92"/>
              <w:rPr>
                <w:color w:val="auto"/>
                <w:highlight w:val="none"/>
                <w:u w:val="none"/>
              </w:rPr>
            </w:pPr>
            <w:r>
              <w:rPr>
                <w:color w:val="auto"/>
                <w:highlight w:val="none"/>
                <w:u w:val="none"/>
              </w:rPr>
              <w:t>符合</w:t>
            </w:r>
          </w:p>
        </w:tc>
      </w:tr>
      <w:tr w14:paraId="7F969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6FE3668E">
            <w:pPr>
              <w:pStyle w:val="92"/>
              <w:rPr>
                <w:color w:val="auto"/>
                <w:highlight w:val="none"/>
                <w:u w:val="none"/>
              </w:rPr>
            </w:pPr>
            <w:r>
              <w:rPr>
                <w:color w:val="auto"/>
                <w:highlight w:val="none"/>
                <w:u w:val="none"/>
              </w:rPr>
              <w:t>功能定位和产业布局</w:t>
            </w:r>
          </w:p>
        </w:tc>
        <w:tc>
          <w:tcPr>
            <w:tcW w:w="5670" w:type="dxa"/>
            <w:vAlign w:val="center"/>
          </w:tcPr>
          <w:p w14:paraId="01E23D24">
            <w:pPr>
              <w:pStyle w:val="92"/>
              <w:rPr>
                <w:color w:val="auto"/>
                <w:highlight w:val="none"/>
                <w:u w:val="none"/>
              </w:rPr>
            </w:pPr>
            <w:r>
              <w:rPr>
                <w:color w:val="auto"/>
                <w:highlight w:val="none"/>
                <w:u w:val="none"/>
              </w:rPr>
              <w:t>优化产业发展功能定位和产业布局、严格控制发展规模。临港产业化工区应重点发展以非炼化一体化的化工新材料为主导的产业链，适度布局异氰酸酯、聚碳酸酯、己内酰胺、丙烷脱氢项目。不得在新厝先进制造业基地和月亮湾先进制造业基地的工业用地引入以气污染为主的产业。</w:t>
            </w:r>
          </w:p>
        </w:tc>
        <w:tc>
          <w:tcPr>
            <w:tcW w:w="4961" w:type="dxa"/>
            <w:vAlign w:val="center"/>
          </w:tcPr>
          <w:p w14:paraId="5F5042C0">
            <w:pPr>
              <w:pStyle w:val="92"/>
              <w:rPr>
                <w:color w:val="auto"/>
                <w:highlight w:val="none"/>
                <w:u w:val="none"/>
              </w:rPr>
            </w:pPr>
          </w:p>
        </w:tc>
        <w:tc>
          <w:tcPr>
            <w:tcW w:w="1276" w:type="dxa"/>
            <w:vAlign w:val="center"/>
          </w:tcPr>
          <w:p w14:paraId="251DB431">
            <w:pPr>
              <w:pStyle w:val="92"/>
              <w:rPr>
                <w:color w:val="auto"/>
                <w:highlight w:val="none"/>
                <w:u w:val="none"/>
              </w:rPr>
            </w:pPr>
            <w:r>
              <w:rPr>
                <w:color w:val="auto"/>
                <w:highlight w:val="none"/>
                <w:u w:val="none"/>
              </w:rPr>
              <w:t>符合</w:t>
            </w:r>
          </w:p>
        </w:tc>
      </w:tr>
      <w:tr w14:paraId="7BA9B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4E36EEEA">
            <w:pPr>
              <w:pStyle w:val="92"/>
              <w:rPr>
                <w:color w:val="auto"/>
                <w:highlight w:val="none"/>
                <w:u w:val="none"/>
              </w:rPr>
            </w:pPr>
            <w:r>
              <w:rPr>
                <w:color w:val="auto"/>
                <w:highlight w:val="none"/>
                <w:u w:val="none"/>
              </w:rPr>
              <w:t>严格入园企业环境管理</w:t>
            </w:r>
          </w:p>
        </w:tc>
        <w:tc>
          <w:tcPr>
            <w:tcW w:w="5670" w:type="dxa"/>
            <w:vAlign w:val="center"/>
          </w:tcPr>
          <w:p w14:paraId="2C78680B">
            <w:pPr>
              <w:pStyle w:val="92"/>
              <w:rPr>
                <w:color w:val="auto"/>
                <w:highlight w:val="none"/>
                <w:u w:val="none"/>
              </w:rPr>
            </w:pPr>
            <w:r>
              <w:rPr>
                <w:color w:val="auto"/>
                <w:highlight w:val="none"/>
                <w:u w:val="none"/>
              </w:rPr>
              <w:t>严格控制入区项目的环境准入条件，入园企业的清洁生产至少要达到国内先进水平，逐步推进现有污染企业的升级改造。</w:t>
            </w:r>
          </w:p>
        </w:tc>
        <w:tc>
          <w:tcPr>
            <w:tcW w:w="4961" w:type="dxa"/>
            <w:vAlign w:val="center"/>
          </w:tcPr>
          <w:p w14:paraId="223C2A17">
            <w:pPr>
              <w:pStyle w:val="92"/>
              <w:rPr>
                <w:color w:val="auto"/>
                <w:highlight w:val="none"/>
                <w:u w:val="none"/>
              </w:rPr>
            </w:pPr>
          </w:p>
        </w:tc>
        <w:tc>
          <w:tcPr>
            <w:tcW w:w="1276" w:type="dxa"/>
            <w:vAlign w:val="center"/>
          </w:tcPr>
          <w:p w14:paraId="792781C1">
            <w:pPr>
              <w:pStyle w:val="92"/>
              <w:rPr>
                <w:color w:val="auto"/>
                <w:highlight w:val="none"/>
                <w:u w:val="none"/>
              </w:rPr>
            </w:pPr>
            <w:r>
              <w:rPr>
                <w:color w:val="auto"/>
                <w:highlight w:val="none"/>
                <w:u w:val="none"/>
              </w:rPr>
              <w:t>符合</w:t>
            </w:r>
          </w:p>
        </w:tc>
      </w:tr>
      <w:tr w14:paraId="100A5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39837248">
            <w:pPr>
              <w:pStyle w:val="92"/>
              <w:rPr>
                <w:color w:val="auto"/>
                <w:highlight w:val="none"/>
                <w:u w:val="none"/>
              </w:rPr>
            </w:pPr>
            <w:r>
              <w:rPr>
                <w:color w:val="auto"/>
                <w:highlight w:val="none"/>
                <w:u w:val="none"/>
              </w:rPr>
              <w:t>优化资源利用</w:t>
            </w:r>
          </w:p>
        </w:tc>
        <w:tc>
          <w:tcPr>
            <w:tcW w:w="5670" w:type="dxa"/>
            <w:vAlign w:val="center"/>
          </w:tcPr>
          <w:p w14:paraId="02C410FF">
            <w:pPr>
              <w:pStyle w:val="92"/>
              <w:rPr>
                <w:color w:val="auto"/>
                <w:highlight w:val="none"/>
                <w:u w:val="none"/>
              </w:rPr>
            </w:pPr>
            <w:r>
              <w:rPr>
                <w:color w:val="auto"/>
                <w:highlight w:val="none"/>
                <w:u w:val="none"/>
              </w:rPr>
              <w:t>加强水资源再生利用，持续提高水资源利用率，减少跨流域调水量。优化能源结构，实施集中供热，鼓励使用清洁能源。</w:t>
            </w:r>
          </w:p>
        </w:tc>
        <w:tc>
          <w:tcPr>
            <w:tcW w:w="4961" w:type="dxa"/>
            <w:vAlign w:val="center"/>
          </w:tcPr>
          <w:p w14:paraId="36CCBC23">
            <w:pPr>
              <w:pStyle w:val="92"/>
              <w:rPr>
                <w:color w:val="auto"/>
                <w:highlight w:val="none"/>
                <w:u w:val="none"/>
              </w:rPr>
            </w:pPr>
          </w:p>
        </w:tc>
        <w:tc>
          <w:tcPr>
            <w:tcW w:w="1276" w:type="dxa"/>
            <w:vAlign w:val="center"/>
          </w:tcPr>
          <w:p w14:paraId="675A58B7">
            <w:pPr>
              <w:pStyle w:val="92"/>
              <w:rPr>
                <w:color w:val="auto"/>
                <w:highlight w:val="none"/>
                <w:u w:val="none"/>
              </w:rPr>
            </w:pPr>
            <w:r>
              <w:rPr>
                <w:color w:val="auto"/>
                <w:highlight w:val="none"/>
                <w:u w:val="none"/>
              </w:rPr>
              <w:t>符合</w:t>
            </w:r>
          </w:p>
        </w:tc>
      </w:tr>
      <w:tr w14:paraId="653A4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8" w:type="dxa"/>
            <w:vAlign w:val="center"/>
          </w:tcPr>
          <w:p w14:paraId="77F973EF">
            <w:pPr>
              <w:pStyle w:val="92"/>
              <w:rPr>
                <w:color w:val="auto"/>
                <w:highlight w:val="none"/>
                <w:u w:val="none"/>
              </w:rPr>
            </w:pPr>
            <w:r>
              <w:rPr>
                <w:color w:val="auto"/>
                <w:highlight w:val="none"/>
                <w:u w:val="none"/>
              </w:rPr>
              <w:t>建立健全园区环境风险防控体系</w:t>
            </w:r>
          </w:p>
        </w:tc>
        <w:tc>
          <w:tcPr>
            <w:tcW w:w="5670" w:type="dxa"/>
            <w:vAlign w:val="center"/>
          </w:tcPr>
          <w:p w14:paraId="37E19EC5">
            <w:pPr>
              <w:pStyle w:val="92"/>
              <w:rPr>
                <w:color w:val="auto"/>
                <w:highlight w:val="none"/>
                <w:u w:val="none"/>
              </w:rPr>
            </w:pPr>
            <w:r>
              <w:rPr>
                <w:color w:val="auto"/>
                <w:highlight w:val="none"/>
                <w:u w:val="none"/>
              </w:rPr>
              <w:t>在各企业设置环境风险事故应急池的基础上，东部临港产业区、西部临港产业区分区建设足够容量的环境风险公共事故应急池，确保事故水可以通过倒流系统进入应急池中，防止事故水进入外环境。</w:t>
            </w:r>
          </w:p>
        </w:tc>
        <w:tc>
          <w:tcPr>
            <w:tcW w:w="4961" w:type="dxa"/>
            <w:vAlign w:val="center"/>
          </w:tcPr>
          <w:p w14:paraId="6594CAA6">
            <w:pPr>
              <w:pStyle w:val="92"/>
              <w:rPr>
                <w:color w:val="auto"/>
                <w:highlight w:val="none"/>
                <w:u w:val="none"/>
              </w:rPr>
            </w:pPr>
          </w:p>
        </w:tc>
        <w:tc>
          <w:tcPr>
            <w:tcW w:w="1276" w:type="dxa"/>
            <w:vAlign w:val="center"/>
          </w:tcPr>
          <w:p w14:paraId="182F2F67">
            <w:pPr>
              <w:pStyle w:val="92"/>
              <w:rPr>
                <w:color w:val="auto"/>
                <w:highlight w:val="none"/>
                <w:u w:val="none"/>
              </w:rPr>
            </w:pPr>
            <w:r>
              <w:rPr>
                <w:color w:val="auto"/>
                <w:highlight w:val="none"/>
                <w:u w:val="none"/>
              </w:rPr>
              <w:t>符合</w:t>
            </w:r>
          </w:p>
        </w:tc>
      </w:tr>
    </w:tbl>
    <w:p w14:paraId="290D6C6B">
      <w:pPr>
        <w:pStyle w:val="86"/>
        <w:rPr>
          <w:rFonts w:hint="eastAsia"/>
          <w:color w:val="auto"/>
          <w:highlight w:val="none"/>
          <w:u w:val="none"/>
        </w:rPr>
      </w:pPr>
      <w:bookmarkStart w:id="416" w:name="_Toc148374807"/>
      <w:bookmarkStart w:id="417" w:name="_Toc148374579"/>
      <w:bookmarkStart w:id="418" w:name="_Toc148375021"/>
    </w:p>
    <w:p w14:paraId="030505D7">
      <w:pPr>
        <w:ind w:firstLine="0" w:firstLineChars="0"/>
        <w:rPr>
          <w:rFonts w:hint="eastAsia"/>
          <w:color w:val="auto"/>
          <w:highlight w:val="none"/>
          <w:u w:val="none"/>
        </w:rPr>
        <w:sectPr>
          <w:pgSz w:w="16838" w:h="11906" w:orient="landscape"/>
          <w:pgMar w:top="1134" w:right="1440" w:bottom="1134" w:left="1440" w:header="851" w:footer="992" w:gutter="0"/>
          <w:cols w:space="425" w:num="1"/>
          <w:docGrid w:type="lines" w:linePitch="312" w:charSpace="0"/>
        </w:sectPr>
      </w:pPr>
    </w:p>
    <w:p w14:paraId="72BDA8B9">
      <w:pPr>
        <w:pStyle w:val="7"/>
        <w:spacing w:before="156"/>
        <w:rPr>
          <w:color w:val="auto"/>
          <w:highlight w:val="none"/>
          <w:u w:val="none"/>
        </w:rPr>
      </w:pPr>
      <w:r>
        <w:rPr>
          <w:rFonts w:hint="eastAsia"/>
          <w:color w:val="auto"/>
          <w:highlight w:val="none"/>
          <w:u w:val="none"/>
        </w:rPr>
        <w:t>与《福州江阴港城经济区产业发展规划》符合性分析</w:t>
      </w:r>
    </w:p>
    <w:p w14:paraId="70FEB412">
      <w:pPr>
        <w:rPr>
          <w:rFonts w:hint="eastAsia"/>
          <w:color w:val="auto"/>
          <w:highlight w:val="none"/>
          <w:u w:val="none"/>
        </w:rPr>
      </w:pPr>
      <w:r>
        <w:rPr>
          <w:rFonts w:hint="eastAsia"/>
          <w:color w:val="auto"/>
          <w:highlight w:val="none"/>
          <w:u w:val="none"/>
        </w:rPr>
        <w:t>《福州江阴港城经济区产业发展规划》为推进江阴港城经济区产业跨越式发展，理清园区产业发展方向，并构建科学可行的高端发展模式，对福州江阴港城经济区产业发展进行统筹布局和科学研究。</w:t>
      </w:r>
    </w:p>
    <w:p w14:paraId="764F18D6">
      <w:pPr>
        <w:rPr>
          <w:rFonts w:hint="eastAsia"/>
          <w:color w:val="auto"/>
          <w:highlight w:val="none"/>
          <w:u w:val="none"/>
        </w:rPr>
      </w:pPr>
      <w:r>
        <w:rPr>
          <w:rFonts w:hint="eastAsia"/>
          <w:color w:val="auto"/>
          <w:highlight w:val="none"/>
          <w:u w:val="none"/>
        </w:rPr>
        <w:t>根据《福州江阴港城经济区产业发展规划》，本项目位于规划的工业用地内，福州江阴港城经济区产业发展规划用地布局规划图详见</w:t>
      </w:r>
      <w:r>
        <w:rPr>
          <w:rFonts w:hint="eastAsia"/>
          <w:color w:val="auto"/>
          <w:highlight w:val="none"/>
          <w:u w:val="none"/>
        </w:rPr>
        <w:fldChar w:fldCharType="begin"/>
      </w:r>
      <w:r>
        <w:rPr>
          <w:rFonts w:hint="eastAsia"/>
          <w:color w:val="auto"/>
          <w:highlight w:val="none"/>
          <w:u w:val="none"/>
        </w:rPr>
        <w:instrText xml:space="preserve"> REF _Ref181898555 \h  \* MERGEFORMAT </w:instrText>
      </w:r>
      <w:r>
        <w:rPr>
          <w:rFonts w:hint="eastAsia"/>
          <w:color w:val="auto"/>
          <w:highlight w:val="none"/>
          <w:u w:val="none"/>
        </w:rPr>
        <w:fldChar w:fldCharType="separate"/>
      </w:r>
      <w:r>
        <w:rPr>
          <w:rFonts w:hint="eastAsia"/>
          <w:color w:val="auto"/>
          <w:highlight w:val="none"/>
          <w:u w:val="none"/>
        </w:rPr>
        <w:t xml:space="preserve">图 </w:t>
      </w:r>
      <w:r>
        <w:rPr>
          <w:rFonts w:hint="eastAsia"/>
          <w:color w:val="auto"/>
          <w:highlight w:val="none"/>
          <w:u w:val="none"/>
        </w:rPr>
        <w:fldChar w:fldCharType="begin"/>
      </w:r>
      <w:r>
        <w:rPr>
          <w:rFonts w:hint="eastAsia"/>
          <w:color w:val="auto"/>
          <w:highlight w:val="none"/>
          <w:u w:val="none"/>
        </w:rPr>
        <w:instrText xml:space="preserve"> STYLEREF 2 \s</w:instrText>
      </w:r>
      <w:r>
        <w:rPr>
          <w:color w:val="auto"/>
          <w:highlight w:val="none"/>
          <w:u w:val="none"/>
        </w:rPr>
        <w:instrText xml:space="preserve"> </w:instrText>
      </w:r>
      <w:r>
        <w:rPr>
          <w:rFonts w:hint="eastAsia"/>
          <w:color w:val="auto"/>
          <w:highlight w:val="none"/>
          <w:u w:val="none"/>
        </w:rPr>
        <w:fldChar w:fldCharType="separate"/>
      </w:r>
      <w:r>
        <w:rPr>
          <w:rFonts w:hint="eastAsia"/>
          <w:color w:val="auto"/>
          <w:highlight w:val="none"/>
          <w:u w:val="none"/>
        </w:rPr>
        <w:t>5.11</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5</w:t>
      </w:r>
      <w:r>
        <w:rPr>
          <w:rFonts w:hint="eastAsia"/>
          <w:color w:val="auto"/>
          <w:highlight w:val="none"/>
          <w:u w:val="none"/>
        </w:rPr>
        <w:fldChar w:fldCharType="end"/>
      </w:r>
      <w:r>
        <w:rPr>
          <w:rFonts w:hint="eastAsia"/>
          <w:color w:val="auto"/>
          <w:highlight w:val="none"/>
          <w:u w:val="none"/>
        </w:rPr>
        <w:t>。</w:t>
      </w:r>
    </w:p>
    <w:p w14:paraId="5378C526">
      <w:pPr>
        <w:rPr>
          <w:rFonts w:hint="eastAsia"/>
          <w:color w:val="auto"/>
          <w:highlight w:val="none"/>
          <w:u w:val="none"/>
        </w:rPr>
      </w:pPr>
      <w:r>
        <w:rPr>
          <w:rFonts w:hint="eastAsia"/>
          <w:color w:val="auto"/>
          <w:highlight w:val="none"/>
          <w:u w:val="none"/>
        </w:rPr>
        <w:t>根据规划，福州江阴港城经济区的产业发展主要分为化工产业和非化工产业两大部分。化工产业重点发展</w:t>
      </w:r>
      <w:r>
        <w:rPr>
          <w:rFonts w:hint="eastAsia"/>
          <w:b/>
          <w:bCs/>
          <w:color w:val="auto"/>
          <w:highlight w:val="none"/>
          <w:u w:val="none"/>
        </w:rPr>
        <w:t>高端聚氨酯</w:t>
      </w:r>
      <w:r>
        <w:rPr>
          <w:rFonts w:hint="eastAsia"/>
          <w:color w:val="auto"/>
          <w:highlight w:val="none"/>
          <w:u w:val="none"/>
        </w:rPr>
        <w:t>、尼龙新材料、氯循环发展、轻烃深加工、锂电新材料五大板块。非化工产业重点实现三方面功能，一是实现对化工产业的延伸，充分利用化工产业基础，将化工产业链深入延伸，发展一体化的高端产业结构。二是建立与园区及周边地区相关产业的衔接，发展与区域经济相结合的产业，实现与区域产业发展的协同。三是构建对生产性产业的配套服务体系，通过发展生产性服务业、现代港口物流等产业，构建全方位一体化发展的现代产业体系。</w:t>
      </w:r>
    </w:p>
    <w:p w14:paraId="5B3022F0">
      <w:pPr>
        <w:rPr>
          <w:rFonts w:hint="eastAsia"/>
          <w:color w:val="auto"/>
          <w:highlight w:val="none"/>
          <w:u w:val="none"/>
        </w:rPr>
      </w:pPr>
      <w:r>
        <w:rPr>
          <w:rFonts w:hint="eastAsia"/>
          <w:color w:val="auto"/>
          <w:highlight w:val="none"/>
          <w:u w:val="none"/>
        </w:rPr>
        <w:t>本项目属于异氰酸酯产业链，布局在江阴港城经济区规划的高端聚氨酯板块内，符合《福州江阴港城经济区产业发展规划》。</w:t>
      </w:r>
    </w:p>
    <w:p w14:paraId="60B92CC0">
      <w:pPr>
        <w:rPr>
          <w:rFonts w:hint="eastAsia"/>
          <w:color w:val="auto"/>
          <w:highlight w:val="none"/>
          <w:u w:val="none"/>
        </w:rPr>
      </w:pPr>
    </w:p>
    <w:p w14:paraId="3AF69A3E">
      <w:pPr>
        <w:rPr>
          <w:rFonts w:hint="eastAsia"/>
          <w:color w:val="auto"/>
          <w:highlight w:val="none"/>
          <w:u w:val="none"/>
        </w:rPr>
      </w:pPr>
    </w:p>
    <w:p w14:paraId="218803DB">
      <w:pPr>
        <w:rPr>
          <w:rFonts w:hint="eastAsia"/>
          <w:color w:val="auto"/>
          <w:highlight w:val="none"/>
          <w:u w:val="none"/>
        </w:rPr>
      </w:pPr>
    </w:p>
    <w:p w14:paraId="7A08BF66">
      <w:pPr>
        <w:ind w:firstLine="0" w:firstLineChars="0"/>
        <w:rPr>
          <w:rFonts w:hint="eastAsia"/>
          <w:color w:val="auto"/>
          <w:highlight w:val="none"/>
          <w:u w:val="none"/>
        </w:rPr>
      </w:pPr>
    </w:p>
    <w:p w14:paraId="3CA399E6">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35F05DB5">
      <w:pPr>
        <w:pStyle w:val="7"/>
        <w:spacing w:before="156"/>
        <w:rPr>
          <w:color w:val="auto"/>
          <w:highlight w:val="none"/>
          <w:u w:val="none"/>
        </w:rPr>
      </w:pPr>
      <w:r>
        <w:rPr>
          <w:rFonts w:hint="eastAsia"/>
          <w:color w:val="auto"/>
          <w:highlight w:val="none"/>
          <w:u w:val="none"/>
        </w:rPr>
        <w:t>与《</w:t>
      </w:r>
      <w:r>
        <w:rPr>
          <w:rFonts w:hint="eastAsia"/>
          <w:color w:val="auto"/>
          <w:highlight w:val="none"/>
          <w:u w:val="none"/>
          <w:lang w:val="en-US"/>
        </w:rPr>
        <w:t>福州</w:t>
      </w:r>
      <w:r>
        <w:rPr>
          <w:rFonts w:hint="eastAsia"/>
          <w:color w:val="auto"/>
          <w:highlight w:val="none"/>
          <w:u w:val="none"/>
        </w:rPr>
        <w:t>江阴港城经济区产业发展规划环境影响报告书》及审查意见符合性分析</w:t>
      </w:r>
    </w:p>
    <w:p w14:paraId="6147BD32">
      <w:pPr>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1</w:t>
      </w:r>
      <w:r>
        <w:rPr>
          <w:rFonts w:hint="eastAsia"/>
          <w:b/>
          <w:bCs/>
          <w:color w:val="auto"/>
          <w:highlight w:val="none"/>
          <w:u w:val="none"/>
        </w:rPr>
        <w:t>）与规划光气在线量符合性分析</w:t>
      </w:r>
    </w:p>
    <w:p w14:paraId="18321C34">
      <w:pPr>
        <w:rPr>
          <w:rFonts w:hint="eastAsia"/>
          <w:color w:val="auto"/>
          <w:highlight w:val="none"/>
          <w:u w:val="none"/>
        </w:rPr>
      </w:pPr>
      <w:r>
        <w:rPr>
          <w:rFonts w:hint="eastAsia"/>
        </w:rPr>
        <w:t>本</w:t>
      </w:r>
      <w:r>
        <w:rPr>
          <w:rFonts w:hint="eastAsia"/>
          <w:lang w:val="en-US"/>
        </w:rPr>
        <w:t>项目新增光气在线量t，技改扩能后</w:t>
      </w:r>
      <w:r>
        <w:rPr>
          <w:rFonts w:hint="eastAsia"/>
        </w:rPr>
        <w:t>设计光气在线量为t（光气发生装置设计规模t/h，光气产生量为t/h），根据《福州江阴港城经济区产业发展规划环境影响报告书》</w:t>
      </w:r>
      <w:r>
        <w:rPr>
          <w:rFonts w:hint="eastAsia"/>
          <w:color w:val="auto"/>
          <w:highlight w:val="none"/>
          <w:u w:val="none"/>
        </w:rPr>
        <w:t>，福州江阴港城经济区产业发展规划涉光气项目见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_Ref188357788 \h</w:instrText>
      </w:r>
      <w:r>
        <w:rPr>
          <w:color w:val="auto"/>
          <w:highlight w:val="none"/>
          <w:u w:val="none"/>
        </w:rPr>
        <w:instrText xml:space="preserve">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7</w:t>
      </w:r>
      <w:r>
        <w:rPr>
          <w:color w:val="auto"/>
          <w:highlight w:val="none"/>
          <w:u w:val="none"/>
        </w:rPr>
        <w:fldChar w:fldCharType="end"/>
      </w:r>
      <w:r>
        <w:rPr>
          <w:rFonts w:hint="eastAsia"/>
          <w:color w:val="auto"/>
          <w:highlight w:val="none"/>
          <w:u w:val="none"/>
        </w:rPr>
        <w:t>，规划实施后涉光气项目规模及光气在线量情况见</w:t>
      </w:r>
      <w:r>
        <w:rPr>
          <w:color w:val="auto"/>
          <w:highlight w:val="none"/>
          <w:u w:val="none"/>
        </w:rPr>
        <w:fldChar w:fldCharType="begin"/>
      </w:r>
      <w:r>
        <w:rPr>
          <w:color w:val="auto"/>
          <w:highlight w:val="none"/>
          <w:u w:val="none"/>
        </w:rPr>
        <w:instrText xml:space="preserve"> REF _Ref188358489 \h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8</w:t>
      </w:r>
      <w:r>
        <w:rPr>
          <w:color w:val="auto"/>
          <w:highlight w:val="none"/>
          <w:u w:val="none"/>
        </w:rPr>
        <w:fldChar w:fldCharType="end"/>
      </w:r>
      <w:r>
        <w:rPr>
          <w:rFonts w:hint="eastAsia"/>
          <w:color w:val="auto"/>
          <w:highlight w:val="none"/>
          <w:u w:val="none"/>
        </w:rPr>
        <w:t>。</w:t>
      </w:r>
    </w:p>
    <w:p w14:paraId="5570C617">
      <w:pPr>
        <w:pStyle w:val="476"/>
        <w:rPr>
          <w:color w:val="auto"/>
          <w:highlight w:val="none"/>
          <w:u w:val="none"/>
        </w:rPr>
      </w:pPr>
      <w:bookmarkStart w:id="419" w:name="_Ref18835778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7</w:t>
      </w:r>
      <w:r>
        <w:rPr>
          <w:color w:val="auto"/>
          <w:highlight w:val="none"/>
          <w:u w:val="none"/>
        </w:rPr>
        <w:fldChar w:fldCharType="end"/>
      </w:r>
      <w:bookmarkEnd w:id="419"/>
      <w:r>
        <w:rPr>
          <w:color w:val="auto"/>
          <w:highlight w:val="none"/>
          <w:u w:val="none"/>
        </w:rPr>
        <w:t xml:space="preserve">  </w:t>
      </w:r>
      <w:r>
        <w:rPr>
          <w:rFonts w:hint="eastAsia"/>
          <w:color w:val="auto"/>
          <w:highlight w:val="none"/>
          <w:u w:val="none"/>
        </w:rPr>
        <w:t>福州江阴港城经济区产业发展规划涉光气项目及光气在线量情况表</w:t>
      </w:r>
    </w:p>
    <w:tbl>
      <w:tblPr>
        <w:tblStyle w:val="5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78"/>
        <w:gridCol w:w="850"/>
        <w:gridCol w:w="2552"/>
        <w:gridCol w:w="4660"/>
      </w:tblGrid>
      <w:tr w14:paraId="15127E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tcBorders>
              <w:tl2br w:val="nil"/>
              <w:tr2bl w:val="nil"/>
            </w:tcBorders>
            <w:shd w:val="clear" w:color="auto" w:fill="auto"/>
            <w:vAlign w:val="center"/>
          </w:tcPr>
          <w:p w14:paraId="626C39F8">
            <w:pPr>
              <w:pStyle w:val="1008"/>
              <w:rPr>
                <w:color w:val="auto"/>
                <w:highlight w:val="none"/>
                <w:u w:val="none"/>
              </w:rPr>
            </w:pPr>
            <w:r>
              <w:rPr>
                <w:color w:val="auto"/>
                <w:highlight w:val="none"/>
                <w:u w:val="none"/>
              </w:rPr>
              <w:t>规划期</w:t>
            </w:r>
          </w:p>
        </w:tc>
        <w:tc>
          <w:tcPr>
            <w:tcW w:w="3402" w:type="dxa"/>
            <w:gridSpan w:val="2"/>
            <w:tcBorders>
              <w:tl2br w:val="nil"/>
              <w:tr2bl w:val="nil"/>
            </w:tcBorders>
            <w:shd w:val="clear" w:color="auto" w:fill="auto"/>
            <w:vAlign w:val="center"/>
          </w:tcPr>
          <w:p w14:paraId="6CF8C239">
            <w:pPr>
              <w:pStyle w:val="1008"/>
              <w:rPr>
                <w:color w:val="auto"/>
                <w:highlight w:val="none"/>
                <w:u w:val="none"/>
              </w:rPr>
            </w:pPr>
            <w:r>
              <w:rPr>
                <w:color w:val="auto"/>
                <w:highlight w:val="none"/>
                <w:u w:val="none"/>
              </w:rPr>
              <w:t>规划项目</w:t>
            </w:r>
          </w:p>
        </w:tc>
        <w:tc>
          <w:tcPr>
            <w:tcW w:w="4660" w:type="dxa"/>
            <w:tcBorders>
              <w:tl2br w:val="nil"/>
              <w:tr2bl w:val="nil"/>
            </w:tcBorders>
            <w:shd w:val="clear" w:color="auto" w:fill="auto"/>
            <w:vAlign w:val="center"/>
          </w:tcPr>
          <w:p w14:paraId="1E3FEA76">
            <w:pPr>
              <w:pStyle w:val="1008"/>
              <w:rPr>
                <w:color w:val="auto"/>
                <w:highlight w:val="none"/>
                <w:u w:val="none"/>
              </w:rPr>
            </w:pPr>
            <w:r>
              <w:rPr>
                <w:color w:val="auto"/>
                <w:highlight w:val="none"/>
                <w:u w:val="none"/>
              </w:rPr>
              <w:t>备注</w:t>
            </w:r>
          </w:p>
        </w:tc>
      </w:tr>
      <w:tr w14:paraId="39D5D3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978" w:type="dxa"/>
            <w:vMerge w:val="restart"/>
            <w:tcBorders>
              <w:tl2br w:val="nil"/>
              <w:tr2bl w:val="nil"/>
            </w:tcBorders>
            <w:shd w:val="clear" w:color="auto" w:fill="auto"/>
            <w:vAlign w:val="center"/>
          </w:tcPr>
          <w:p w14:paraId="017D2928">
            <w:pPr>
              <w:pStyle w:val="1008"/>
              <w:rPr>
                <w:color w:val="auto"/>
                <w:highlight w:val="none"/>
                <w:u w:val="none"/>
              </w:rPr>
            </w:pPr>
            <w:r>
              <w:rPr>
                <w:color w:val="auto"/>
                <w:highlight w:val="none"/>
                <w:u w:val="none"/>
              </w:rPr>
              <w:t>近期</w:t>
            </w:r>
          </w:p>
          <w:p w14:paraId="39A0985B">
            <w:pPr>
              <w:pStyle w:val="1008"/>
              <w:rPr>
                <w:color w:val="auto"/>
                <w:highlight w:val="none"/>
                <w:u w:val="none"/>
              </w:rPr>
            </w:pPr>
            <w:r>
              <w:rPr>
                <w:color w:val="auto"/>
                <w:highlight w:val="none"/>
                <w:u w:val="none"/>
              </w:rPr>
              <w:t>（2030年）</w:t>
            </w:r>
          </w:p>
        </w:tc>
        <w:tc>
          <w:tcPr>
            <w:tcW w:w="850" w:type="dxa"/>
            <w:vMerge w:val="restart"/>
            <w:tcBorders>
              <w:tl2br w:val="nil"/>
              <w:tr2bl w:val="nil"/>
            </w:tcBorders>
            <w:shd w:val="clear" w:color="auto" w:fill="auto"/>
            <w:vAlign w:val="center"/>
          </w:tcPr>
          <w:p w14:paraId="6101B712">
            <w:pPr>
              <w:pStyle w:val="1008"/>
              <w:rPr>
                <w:color w:val="auto"/>
                <w:highlight w:val="none"/>
                <w:u w:val="none"/>
              </w:rPr>
            </w:pPr>
            <w:r>
              <w:rPr>
                <w:color w:val="auto"/>
                <w:highlight w:val="none"/>
                <w:u w:val="none"/>
              </w:rPr>
              <w:t>TDI</w:t>
            </w:r>
          </w:p>
        </w:tc>
        <w:tc>
          <w:tcPr>
            <w:tcW w:w="2552" w:type="dxa"/>
            <w:tcBorders>
              <w:tl2br w:val="nil"/>
              <w:tr2bl w:val="nil"/>
            </w:tcBorders>
            <w:shd w:val="clear" w:color="auto" w:fill="D7D7D7" w:themeFill="background1" w:themeFillShade="D8"/>
            <w:vAlign w:val="center"/>
          </w:tcPr>
          <w:p w14:paraId="19D914F1">
            <w:pPr>
              <w:pStyle w:val="1008"/>
              <w:rPr>
                <w:color w:val="auto"/>
                <w:highlight w:val="none"/>
                <w:u w:val="none"/>
              </w:rPr>
            </w:pPr>
            <w:r>
              <w:rPr>
                <w:color w:val="auto"/>
                <w:highlight w:val="none"/>
                <w:u w:val="none"/>
              </w:rPr>
              <w:t>扩建36万吨/年TDI项目</w:t>
            </w:r>
          </w:p>
        </w:tc>
        <w:tc>
          <w:tcPr>
            <w:tcW w:w="4660" w:type="dxa"/>
            <w:tcBorders>
              <w:tl2br w:val="nil"/>
              <w:tr2bl w:val="nil"/>
            </w:tcBorders>
            <w:shd w:val="clear" w:color="auto" w:fill="D7D7D7" w:themeFill="background1" w:themeFillShade="D8"/>
            <w:vAlign w:val="center"/>
          </w:tcPr>
          <w:p w14:paraId="38052E81">
            <w:pPr>
              <w:pStyle w:val="1008"/>
              <w:rPr>
                <w:color w:val="auto"/>
                <w:highlight w:val="none"/>
                <w:u w:val="none"/>
              </w:rPr>
            </w:pPr>
          </w:p>
        </w:tc>
      </w:tr>
      <w:tr w14:paraId="3D9CD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vMerge w:val="continue"/>
            <w:tcBorders>
              <w:tl2br w:val="nil"/>
              <w:tr2bl w:val="nil"/>
            </w:tcBorders>
            <w:shd w:val="clear" w:color="auto" w:fill="auto"/>
            <w:vAlign w:val="center"/>
          </w:tcPr>
          <w:p w14:paraId="5B15DD32">
            <w:pPr>
              <w:pStyle w:val="1008"/>
              <w:rPr>
                <w:color w:val="auto"/>
                <w:highlight w:val="none"/>
                <w:u w:val="none"/>
              </w:rPr>
            </w:pPr>
          </w:p>
        </w:tc>
        <w:tc>
          <w:tcPr>
            <w:tcW w:w="850" w:type="dxa"/>
            <w:vMerge w:val="continue"/>
            <w:tcBorders>
              <w:tl2br w:val="nil"/>
              <w:tr2bl w:val="nil"/>
            </w:tcBorders>
            <w:shd w:val="clear" w:color="auto" w:fill="auto"/>
            <w:vAlign w:val="center"/>
          </w:tcPr>
          <w:p w14:paraId="70D3A1AD">
            <w:pPr>
              <w:pStyle w:val="1008"/>
              <w:rPr>
                <w:color w:val="auto"/>
                <w:highlight w:val="none"/>
                <w:u w:val="none"/>
              </w:rPr>
            </w:pPr>
          </w:p>
        </w:tc>
        <w:tc>
          <w:tcPr>
            <w:tcW w:w="2552" w:type="dxa"/>
            <w:tcBorders>
              <w:tl2br w:val="nil"/>
              <w:tr2bl w:val="nil"/>
            </w:tcBorders>
            <w:shd w:val="clear" w:color="auto" w:fill="auto"/>
            <w:vAlign w:val="center"/>
          </w:tcPr>
          <w:p w14:paraId="01EE53E0">
            <w:pPr>
              <w:pStyle w:val="1008"/>
              <w:rPr>
                <w:color w:val="auto"/>
                <w:highlight w:val="none"/>
                <w:u w:val="none"/>
              </w:rPr>
            </w:pPr>
            <w:r>
              <w:rPr>
                <w:color w:val="auto"/>
                <w:highlight w:val="none"/>
                <w:u w:val="none"/>
              </w:rPr>
              <w:t>新建36万吨/年TDI项目</w:t>
            </w:r>
          </w:p>
        </w:tc>
        <w:tc>
          <w:tcPr>
            <w:tcW w:w="4660" w:type="dxa"/>
            <w:tcBorders>
              <w:tl2br w:val="nil"/>
              <w:tr2bl w:val="nil"/>
            </w:tcBorders>
            <w:shd w:val="clear" w:color="auto" w:fill="auto"/>
            <w:vAlign w:val="center"/>
          </w:tcPr>
          <w:p w14:paraId="2F146CC0">
            <w:pPr>
              <w:pStyle w:val="1008"/>
              <w:rPr>
                <w:color w:val="auto"/>
                <w:highlight w:val="none"/>
                <w:u w:val="none"/>
              </w:rPr>
            </w:pPr>
          </w:p>
        </w:tc>
      </w:tr>
      <w:tr w14:paraId="5495B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vMerge w:val="continue"/>
            <w:tcBorders>
              <w:tl2br w:val="nil"/>
              <w:tr2bl w:val="nil"/>
            </w:tcBorders>
            <w:shd w:val="clear" w:color="auto" w:fill="auto"/>
            <w:vAlign w:val="center"/>
          </w:tcPr>
          <w:p w14:paraId="45703ABB">
            <w:pPr>
              <w:pStyle w:val="1008"/>
              <w:rPr>
                <w:color w:val="auto"/>
                <w:highlight w:val="none"/>
                <w:u w:val="none"/>
              </w:rPr>
            </w:pPr>
          </w:p>
        </w:tc>
        <w:tc>
          <w:tcPr>
            <w:tcW w:w="850" w:type="dxa"/>
            <w:vMerge w:val="restart"/>
            <w:tcBorders>
              <w:tl2br w:val="nil"/>
              <w:tr2bl w:val="nil"/>
            </w:tcBorders>
            <w:shd w:val="clear" w:color="auto" w:fill="auto"/>
            <w:vAlign w:val="center"/>
          </w:tcPr>
          <w:p w14:paraId="7D89E196">
            <w:pPr>
              <w:pStyle w:val="1008"/>
              <w:rPr>
                <w:color w:val="auto"/>
                <w:highlight w:val="none"/>
                <w:u w:val="none"/>
              </w:rPr>
            </w:pPr>
            <w:r>
              <w:rPr>
                <w:color w:val="auto"/>
                <w:highlight w:val="none"/>
                <w:u w:val="none"/>
              </w:rPr>
              <w:t>MDI</w:t>
            </w:r>
          </w:p>
        </w:tc>
        <w:tc>
          <w:tcPr>
            <w:tcW w:w="2552" w:type="dxa"/>
            <w:tcBorders>
              <w:tl2br w:val="nil"/>
              <w:tr2bl w:val="nil"/>
            </w:tcBorders>
            <w:shd w:val="clear" w:color="auto" w:fill="auto"/>
            <w:vAlign w:val="center"/>
          </w:tcPr>
          <w:p w14:paraId="2DA0268A">
            <w:pPr>
              <w:pStyle w:val="1008"/>
              <w:rPr>
                <w:color w:val="auto"/>
                <w:highlight w:val="none"/>
                <w:u w:val="none"/>
              </w:rPr>
            </w:pPr>
            <w:r>
              <w:rPr>
                <w:color w:val="auto"/>
                <w:highlight w:val="none"/>
                <w:u w:val="none"/>
              </w:rPr>
              <w:t>技改扩能150万吨/年MDI项目</w:t>
            </w:r>
          </w:p>
        </w:tc>
        <w:tc>
          <w:tcPr>
            <w:tcW w:w="4660" w:type="dxa"/>
            <w:tcBorders>
              <w:tl2br w:val="nil"/>
              <w:tr2bl w:val="nil"/>
            </w:tcBorders>
            <w:shd w:val="clear" w:color="auto" w:fill="auto"/>
            <w:vAlign w:val="center"/>
          </w:tcPr>
          <w:p w14:paraId="73F33719">
            <w:pPr>
              <w:pStyle w:val="1008"/>
              <w:rPr>
                <w:color w:val="auto"/>
                <w:highlight w:val="none"/>
                <w:u w:val="none"/>
              </w:rPr>
            </w:pPr>
          </w:p>
        </w:tc>
      </w:tr>
      <w:tr w14:paraId="03C995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vMerge w:val="restart"/>
            <w:tcBorders>
              <w:tl2br w:val="nil"/>
              <w:tr2bl w:val="nil"/>
            </w:tcBorders>
            <w:shd w:val="clear" w:color="auto" w:fill="auto"/>
            <w:vAlign w:val="center"/>
          </w:tcPr>
          <w:p w14:paraId="0ED07794">
            <w:pPr>
              <w:pStyle w:val="1008"/>
              <w:rPr>
                <w:color w:val="auto"/>
                <w:highlight w:val="none"/>
                <w:u w:val="none"/>
              </w:rPr>
            </w:pPr>
            <w:r>
              <w:rPr>
                <w:color w:val="auto"/>
                <w:highlight w:val="none"/>
                <w:u w:val="none"/>
              </w:rPr>
              <w:t>远期</w:t>
            </w:r>
          </w:p>
          <w:p w14:paraId="6E881DAA">
            <w:pPr>
              <w:pStyle w:val="1008"/>
              <w:rPr>
                <w:color w:val="auto"/>
                <w:highlight w:val="none"/>
                <w:u w:val="none"/>
              </w:rPr>
            </w:pPr>
            <w:r>
              <w:rPr>
                <w:color w:val="auto"/>
                <w:highlight w:val="none"/>
                <w:u w:val="none"/>
              </w:rPr>
              <w:t>（2035年）</w:t>
            </w:r>
          </w:p>
        </w:tc>
        <w:tc>
          <w:tcPr>
            <w:tcW w:w="850" w:type="dxa"/>
            <w:vMerge w:val="continue"/>
            <w:tcBorders>
              <w:tl2br w:val="nil"/>
              <w:tr2bl w:val="nil"/>
            </w:tcBorders>
            <w:shd w:val="clear" w:color="auto" w:fill="auto"/>
            <w:vAlign w:val="center"/>
          </w:tcPr>
          <w:p w14:paraId="76E6E5BC">
            <w:pPr>
              <w:pStyle w:val="1008"/>
              <w:rPr>
                <w:color w:val="auto"/>
                <w:highlight w:val="none"/>
                <w:u w:val="none"/>
              </w:rPr>
            </w:pPr>
          </w:p>
        </w:tc>
        <w:tc>
          <w:tcPr>
            <w:tcW w:w="2552" w:type="dxa"/>
            <w:tcBorders>
              <w:tl2br w:val="nil"/>
              <w:tr2bl w:val="nil"/>
            </w:tcBorders>
            <w:shd w:val="clear" w:color="auto" w:fill="auto"/>
            <w:vAlign w:val="center"/>
          </w:tcPr>
          <w:p w14:paraId="13085B8E">
            <w:pPr>
              <w:pStyle w:val="1008"/>
              <w:rPr>
                <w:color w:val="auto"/>
                <w:highlight w:val="none"/>
                <w:u w:val="none"/>
              </w:rPr>
            </w:pPr>
          </w:p>
        </w:tc>
        <w:tc>
          <w:tcPr>
            <w:tcW w:w="4660" w:type="dxa"/>
            <w:tcBorders>
              <w:tl2br w:val="nil"/>
              <w:tr2bl w:val="nil"/>
            </w:tcBorders>
            <w:shd w:val="clear" w:color="auto" w:fill="auto"/>
            <w:vAlign w:val="center"/>
          </w:tcPr>
          <w:p w14:paraId="42AD0C9C">
            <w:pPr>
              <w:pStyle w:val="1008"/>
              <w:rPr>
                <w:color w:val="auto"/>
                <w:highlight w:val="none"/>
                <w:u w:val="none"/>
              </w:rPr>
            </w:pPr>
          </w:p>
        </w:tc>
      </w:tr>
      <w:tr w14:paraId="19F78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vMerge w:val="continue"/>
            <w:tcBorders>
              <w:tl2br w:val="nil"/>
              <w:tr2bl w:val="nil"/>
            </w:tcBorders>
            <w:shd w:val="clear" w:color="auto" w:fill="auto"/>
            <w:vAlign w:val="center"/>
          </w:tcPr>
          <w:p w14:paraId="676953B7">
            <w:pPr>
              <w:pStyle w:val="1008"/>
              <w:rPr>
                <w:color w:val="auto"/>
                <w:highlight w:val="none"/>
                <w:u w:val="none"/>
              </w:rPr>
            </w:pPr>
          </w:p>
        </w:tc>
        <w:tc>
          <w:tcPr>
            <w:tcW w:w="850" w:type="dxa"/>
            <w:vMerge w:val="restart"/>
            <w:tcBorders>
              <w:tl2br w:val="nil"/>
              <w:tr2bl w:val="nil"/>
            </w:tcBorders>
            <w:shd w:val="clear" w:color="auto" w:fill="auto"/>
            <w:vAlign w:val="center"/>
          </w:tcPr>
          <w:p w14:paraId="4EBD94CE">
            <w:pPr>
              <w:pStyle w:val="1008"/>
              <w:rPr>
                <w:color w:val="auto"/>
                <w:highlight w:val="none"/>
                <w:u w:val="none"/>
              </w:rPr>
            </w:pPr>
            <w:r>
              <w:rPr>
                <w:color w:val="auto"/>
                <w:highlight w:val="none"/>
                <w:u w:val="none"/>
              </w:rPr>
              <w:t>特种异氰酸酯</w:t>
            </w:r>
          </w:p>
        </w:tc>
        <w:tc>
          <w:tcPr>
            <w:tcW w:w="2552" w:type="dxa"/>
            <w:tcBorders>
              <w:tl2br w:val="nil"/>
              <w:tr2bl w:val="nil"/>
            </w:tcBorders>
            <w:shd w:val="clear" w:color="auto" w:fill="auto"/>
            <w:vAlign w:val="center"/>
          </w:tcPr>
          <w:p w14:paraId="5A02904E">
            <w:pPr>
              <w:pStyle w:val="1008"/>
              <w:rPr>
                <w:color w:val="auto"/>
                <w:highlight w:val="none"/>
                <w:u w:val="none"/>
              </w:rPr>
            </w:pPr>
          </w:p>
        </w:tc>
        <w:tc>
          <w:tcPr>
            <w:tcW w:w="4660" w:type="dxa"/>
            <w:tcBorders>
              <w:tl2br w:val="nil"/>
              <w:tr2bl w:val="nil"/>
            </w:tcBorders>
            <w:shd w:val="clear" w:color="auto" w:fill="auto"/>
            <w:vAlign w:val="center"/>
          </w:tcPr>
          <w:p w14:paraId="2F66E8A3">
            <w:pPr>
              <w:pStyle w:val="1008"/>
              <w:rPr>
                <w:color w:val="auto"/>
                <w:highlight w:val="none"/>
                <w:u w:val="none"/>
              </w:rPr>
            </w:pPr>
          </w:p>
        </w:tc>
      </w:tr>
      <w:tr w14:paraId="5E28C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78" w:type="dxa"/>
            <w:vMerge w:val="continue"/>
            <w:tcBorders>
              <w:tl2br w:val="nil"/>
              <w:tr2bl w:val="nil"/>
            </w:tcBorders>
            <w:shd w:val="clear" w:color="auto" w:fill="auto"/>
            <w:vAlign w:val="center"/>
          </w:tcPr>
          <w:p w14:paraId="4851E81B">
            <w:pPr>
              <w:pStyle w:val="1008"/>
              <w:rPr>
                <w:color w:val="auto"/>
                <w:highlight w:val="none"/>
                <w:u w:val="none"/>
              </w:rPr>
            </w:pPr>
          </w:p>
        </w:tc>
        <w:tc>
          <w:tcPr>
            <w:tcW w:w="850" w:type="dxa"/>
            <w:vMerge w:val="continue"/>
            <w:tcBorders>
              <w:tl2br w:val="nil"/>
              <w:tr2bl w:val="nil"/>
            </w:tcBorders>
            <w:shd w:val="clear" w:color="auto" w:fill="auto"/>
            <w:vAlign w:val="center"/>
          </w:tcPr>
          <w:p w14:paraId="09421D9E">
            <w:pPr>
              <w:pStyle w:val="1008"/>
              <w:rPr>
                <w:color w:val="auto"/>
                <w:highlight w:val="none"/>
                <w:u w:val="none"/>
              </w:rPr>
            </w:pPr>
          </w:p>
        </w:tc>
        <w:tc>
          <w:tcPr>
            <w:tcW w:w="2552" w:type="dxa"/>
            <w:tcBorders>
              <w:tl2br w:val="nil"/>
              <w:tr2bl w:val="nil"/>
            </w:tcBorders>
            <w:shd w:val="clear" w:color="auto" w:fill="auto"/>
            <w:vAlign w:val="center"/>
          </w:tcPr>
          <w:p w14:paraId="4876E6A7">
            <w:pPr>
              <w:pStyle w:val="1008"/>
              <w:rPr>
                <w:color w:val="auto"/>
                <w:highlight w:val="none"/>
                <w:u w:val="none"/>
              </w:rPr>
            </w:pPr>
          </w:p>
        </w:tc>
        <w:tc>
          <w:tcPr>
            <w:tcW w:w="4660" w:type="dxa"/>
            <w:tcBorders>
              <w:tl2br w:val="nil"/>
              <w:tr2bl w:val="nil"/>
            </w:tcBorders>
            <w:shd w:val="clear" w:color="auto" w:fill="auto"/>
            <w:vAlign w:val="center"/>
          </w:tcPr>
          <w:p w14:paraId="147B6D9C">
            <w:pPr>
              <w:pStyle w:val="1008"/>
              <w:rPr>
                <w:color w:val="auto"/>
                <w:highlight w:val="none"/>
                <w:u w:val="none"/>
              </w:rPr>
            </w:pPr>
          </w:p>
        </w:tc>
      </w:tr>
    </w:tbl>
    <w:p w14:paraId="5D055441">
      <w:pPr>
        <w:pStyle w:val="476"/>
        <w:rPr>
          <w:color w:val="auto"/>
          <w:highlight w:val="none"/>
          <w:u w:val="none"/>
        </w:rPr>
      </w:pPr>
      <w:bookmarkStart w:id="420" w:name="_Ref18835848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8</w:t>
      </w:r>
      <w:r>
        <w:rPr>
          <w:color w:val="auto"/>
          <w:highlight w:val="none"/>
          <w:u w:val="none"/>
        </w:rPr>
        <w:fldChar w:fldCharType="end"/>
      </w:r>
      <w:bookmarkEnd w:id="420"/>
      <w:r>
        <w:rPr>
          <w:color w:val="auto"/>
          <w:highlight w:val="none"/>
          <w:u w:val="none"/>
        </w:rPr>
        <w:t xml:space="preserve">  </w:t>
      </w:r>
      <w:r>
        <w:rPr>
          <w:rFonts w:hint="eastAsia"/>
          <w:color w:val="auto"/>
          <w:highlight w:val="none"/>
          <w:u w:val="none"/>
        </w:rPr>
        <w:t>规划实施后涉光气项目规模及光气在线量情况表</w:t>
      </w:r>
    </w:p>
    <w:tbl>
      <w:tblPr>
        <w:tblStyle w:val="5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29"/>
        <w:gridCol w:w="1982"/>
        <w:gridCol w:w="2537"/>
        <w:gridCol w:w="2538"/>
      </w:tblGrid>
      <w:tr w14:paraId="323B71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267" w:type="pct"/>
            <w:gridSpan w:val="2"/>
            <w:vAlign w:val="center"/>
          </w:tcPr>
          <w:p w14:paraId="307E31B5">
            <w:pPr>
              <w:pStyle w:val="1008"/>
              <w:rPr>
                <w:color w:val="auto"/>
                <w:highlight w:val="none"/>
                <w:u w:val="none"/>
              </w:rPr>
            </w:pPr>
            <w:r>
              <w:rPr>
                <w:rFonts w:hint="eastAsia"/>
                <w:color w:val="auto"/>
                <w:highlight w:val="none"/>
                <w:u w:val="none"/>
              </w:rPr>
              <w:t>项目</w:t>
            </w:r>
          </w:p>
        </w:tc>
        <w:tc>
          <w:tcPr>
            <w:tcW w:w="1366" w:type="pct"/>
            <w:vAlign w:val="center"/>
          </w:tcPr>
          <w:p w14:paraId="7445BC66">
            <w:pPr>
              <w:pStyle w:val="1008"/>
              <w:rPr>
                <w:color w:val="auto"/>
                <w:highlight w:val="none"/>
                <w:u w:val="none"/>
              </w:rPr>
            </w:pPr>
            <w:r>
              <w:rPr>
                <w:rFonts w:hint="eastAsia"/>
                <w:color w:val="auto"/>
                <w:highlight w:val="none"/>
                <w:u w:val="none"/>
              </w:rPr>
              <w:t>规划近期（2030年）</w:t>
            </w:r>
          </w:p>
        </w:tc>
        <w:tc>
          <w:tcPr>
            <w:tcW w:w="1366" w:type="pct"/>
            <w:shd w:val="clear" w:color="auto" w:fill="auto"/>
            <w:vAlign w:val="center"/>
          </w:tcPr>
          <w:p w14:paraId="3259987B">
            <w:pPr>
              <w:pStyle w:val="1008"/>
              <w:rPr>
                <w:color w:val="auto"/>
                <w:highlight w:val="none"/>
                <w:u w:val="none"/>
              </w:rPr>
            </w:pPr>
            <w:r>
              <w:rPr>
                <w:rFonts w:hint="eastAsia"/>
                <w:color w:val="auto"/>
                <w:highlight w:val="none"/>
                <w:u w:val="none"/>
              </w:rPr>
              <w:t>规划远期（2035年）</w:t>
            </w:r>
          </w:p>
        </w:tc>
      </w:tr>
      <w:tr w14:paraId="406B08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restart"/>
            <w:vAlign w:val="center"/>
          </w:tcPr>
          <w:p w14:paraId="2D7400BC">
            <w:pPr>
              <w:pStyle w:val="1008"/>
              <w:rPr>
                <w:color w:val="auto"/>
                <w:highlight w:val="none"/>
                <w:u w:val="none"/>
              </w:rPr>
            </w:pPr>
            <w:r>
              <w:rPr>
                <w:rFonts w:hint="eastAsia"/>
                <w:color w:val="auto"/>
                <w:highlight w:val="none"/>
                <w:u w:val="none"/>
              </w:rPr>
              <w:t>规模（万吨/年）</w:t>
            </w:r>
          </w:p>
        </w:tc>
        <w:tc>
          <w:tcPr>
            <w:tcW w:w="1067" w:type="pct"/>
            <w:tcBorders>
              <w:bottom w:val="single" w:color="000000" w:sz="6" w:space="0"/>
            </w:tcBorders>
            <w:vAlign w:val="center"/>
          </w:tcPr>
          <w:p w14:paraId="564D0263">
            <w:pPr>
              <w:pStyle w:val="1008"/>
              <w:rPr>
                <w:color w:val="auto"/>
                <w:highlight w:val="none"/>
                <w:u w:val="none"/>
              </w:rPr>
            </w:pPr>
            <w:r>
              <w:rPr>
                <w:rFonts w:hint="eastAsia"/>
                <w:color w:val="auto"/>
                <w:highlight w:val="none"/>
                <w:u w:val="none"/>
              </w:rPr>
              <w:t>MDI</w:t>
            </w:r>
          </w:p>
        </w:tc>
        <w:tc>
          <w:tcPr>
            <w:tcW w:w="1366" w:type="pct"/>
            <w:tcBorders>
              <w:bottom w:val="single" w:color="000000" w:sz="6" w:space="0"/>
            </w:tcBorders>
            <w:vAlign w:val="center"/>
          </w:tcPr>
          <w:p w14:paraId="636184DA">
            <w:pPr>
              <w:pStyle w:val="1008"/>
              <w:rPr>
                <w:color w:val="auto"/>
                <w:highlight w:val="none"/>
                <w:u w:val="none"/>
              </w:rPr>
            </w:pPr>
          </w:p>
        </w:tc>
        <w:tc>
          <w:tcPr>
            <w:tcW w:w="1366" w:type="pct"/>
            <w:tcBorders>
              <w:bottom w:val="single" w:color="000000" w:sz="6" w:space="0"/>
            </w:tcBorders>
            <w:vAlign w:val="center"/>
          </w:tcPr>
          <w:p w14:paraId="2F3286D3">
            <w:pPr>
              <w:pStyle w:val="1008"/>
              <w:rPr>
                <w:color w:val="auto"/>
                <w:highlight w:val="none"/>
                <w:u w:val="none"/>
              </w:rPr>
            </w:pPr>
          </w:p>
        </w:tc>
      </w:tr>
      <w:tr w14:paraId="4EAF46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vAlign w:val="center"/>
          </w:tcPr>
          <w:p w14:paraId="652455D2">
            <w:pPr>
              <w:pStyle w:val="1008"/>
              <w:rPr>
                <w:color w:val="auto"/>
                <w:highlight w:val="none"/>
                <w:u w:val="none"/>
              </w:rPr>
            </w:pPr>
          </w:p>
        </w:tc>
        <w:tc>
          <w:tcPr>
            <w:tcW w:w="1067" w:type="pct"/>
            <w:tcBorders>
              <w:top w:val="single" w:color="000000" w:sz="6" w:space="0"/>
              <w:bottom w:val="single" w:color="000000" w:sz="6" w:space="0"/>
            </w:tcBorders>
            <w:shd w:val="clear" w:color="auto" w:fill="D8D8D8" w:themeFill="background1" w:themeFillShade="D9"/>
            <w:vAlign w:val="center"/>
          </w:tcPr>
          <w:p w14:paraId="3DFD4616">
            <w:pPr>
              <w:pStyle w:val="1008"/>
              <w:rPr>
                <w:color w:val="auto"/>
                <w:highlight w:val="none"/>
                <w:u w:val="none"/>
              </w:rPr>
            </w:pPr>
            <w:r>
              <w:rPr>
                <w:rFonts w:hint="eastAsia"/>
                <w:color w:val="auto"/>
                <w:highlight w:val="none"/>
                <w:u w:val="none"/>
              </w:rPr>
              <w:t>TDI</w:t>
            </w:r>
          </w:p>
        </w:tc>
        <w:tc>
          <w:tcPr>
            <w:tcW w:w="1366" w:type="pct"/>
            <w:tcBorders>
              <w:top w:val="single" w:color="000000" w:sz="6" w:space="0"/>
              <w:bottom w:val="single" w:color="000000" w:sz="6" w:space="0"/>
            </w:tcBorders>
            <w:shd w:val="clear" w:color="auto" w:fill="D8D8D8" w:themeFill="background1" w:themeFillShade="D9"/>
            <w:vAlign w:val="center"/>
          </w:tcPr>
          <w:p w14:paraId="387689F1">
            <w:pPr>
              <w:pStyle w:val="1008"/>
              <w:rPr>
                <w:color w:val="auto"/>
                <w:highlight w:val="none"/>
                <w:u w:val="none"/>
              </w:rPr>
            </w:pPr>
          </w:p>
        </w:tc>
        <w:tc>
          <w:tcPr>
            <w:tcW w:w="1366" w:type="pct"/>
            <w:tcBorders>
              <w:top w:val="single" w:color="000000" w:sz="6" w:space="0"/>
              <w:bottom w:val="single" w:color="000000" w:sz="6" w:space="0"/>
            </w:tcBorders>
            <w:shd w:val="clear" w:color="auto" w:fill="D8D8D8" w:themeFill="background1" w:themeFillShade="D9"/>
            <w:vAlign w:val="center"/>
          </w:tcPr>
          <w:p w14:paraId="3696B51F">
            <w:pPr>
              <w:pStyle w:val="1008"/>
              <w:rPr>
                <w:color w:val="auto"/>
                <w:highlight w:val="none"/>
                <w:u w:val="none"/>
              </w:rPr>
            </w:pPr>
          </w:p>
        </w:tc>
      </w:tr>
      <w:tr w14:paraId="66B3DF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vAlign w:val="center"/>
          </w:tcPr>
          <w:p w14:paraId="35322BFF">
            <w:pPr>
              <w:pStyle w:val="1008"/>
              <w:rPr>
                <w:color w:val="auto"/>
                <w:highlight w:val="none"/>
                <w:u w:val="none"/>
              </w:rPr>
            </w:pPr>
          </w:p>
        </w:tc>
        <w:tc>
          <w:tcPr>
            <w:tcW w:w="1067" w:type="pct"/>
            <w:tcBorders>
              <w:top w:val="single" w:color="000000" w:sz="6" w:space="0"/>
            </w:tcBorders>
            <w:vAlign w:val="center"/>
          </w:tcPr>
          <w:p w14:paraId="60CEA5E2">
            <w:pPr>
              <w:pStyle w:val="1008"/>
              <w:rPr>
                <w:color w:val="auto"/>
                <w:highlight w:val="none"/>
                <w:u w:val="none"/>
              </w:rPr>
            </w:pPr>
            <w:r>
              <w:rPr>
                <w:rFonts w:hint="eastAsia" w:cs="宋体"/>
                <w:color w:val="auto"/>
                <w:szCs w:val="36"/>
                <w:highlight w:val="none"/>
                <w:u w:val="none"/>
              </w:rPr>
              <w:t>芳香族异氰酸酯</w:t>
            </w:r>
          </w:p>
        </w:tc>
        <w:tc>
          <w:tcPr>
            <w:tcW w:w="1366" w:type="pct"/>
            <w:tcBorders>
              <w:top w:val="single" w:color="000000" w:sz="6" w:space="0"/>
            </w:tcBorders>
            <w:shd w:val="clear" w:color="auto" w:fill="auto"/>
            <w:vAlign w:val="center"/>
          </w:tcPr>
          <w:p w14:paraId="72BEBD8B">
            <w:pPr>
              <w:pStyle w:val="1008"/>
              <w:rPr>
                <w:color w:val="auto"/>
                <w:highlight w:val="none"/>
                <w:u w:val="none"/>
              </w:rPr>
            </w:pPr>
          </w:p>
        </w:tc>
        <w:tc>
          <w:tcPr>
            <w:tcW w:w="1366" w:type="pct"/>
            <w:tcBorders>
              <w:top w:val="single" w:color="000000" w:sz="6" w:space="0"/>
            </w:tcBorders>
            <w:vAlign w:val="center"/>
          </w:tcPr>
          <w:p w14:paraId="1A7A73A9">
            <w:pPr>
              <w:pStyle w:val="1008"/>
              <w:rPr>
                <w:color w:val="auto"/>
                <w:highlight w:val="none"/>
                <w:u w:val="none"/>
              </w:rPr>
            </w:pPr>
          </w:p>
        </w:tc>
      </w:tr>
      <w:tr w14:paraId="15736C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vAlign w:val="center"/>
          </w:tcPr>
          <w:p w14:paraId="1D82D7F1">
            <w:pPr>
              <w:pStyle w:val="1008"/>
              <w:rPr>
                <w:color w:val="auto"/>
                <w:highlight w:val="none"/>
                <w:u w:val="none"/>
              </w:rPr>
            </w:pPr>
          </w:p>
        </w:tc>
        <w:tc>
          <w:tcPr>
            <w:tcW w:w="1067" w:type="pct"/>
            <w:vAlign w:val="center"/>
          </w:tcPr>
          <w:p w14:paraId="3FA2F6D1">
            <w:pPr>
              <w:pStyle w:val="1008"/>
              <w:rPr>
                <w:color w:val="auto"/>
                <w:highlight w:val="none"/>
                <w:u w:val="none"/>
              </w:rPr>
            </w:pPr>
            <w:r>
              <w:rPr>
                <w:rFonts w:hint="eastAsia" w:cs="宋体"/>
                <w:color w:val="auto"/>
                <w:szCs w:val="36"/>
                <w:highlight w:val="none"/>
                <w:u w:val="none"/>
              </w:rPr>
              <w:t>脂肪族异氰酸酯</w:t>
            </w:r>
          </w:p>
        </w:tc>
        <w:tc>
          <w:tcPr>
            <w:tcW w:w="1366" w:type="pct"/>
            <w:shd w:val="clear" w:color="auto" w:fill="auto"/>
            <w:vAlign w:val="center"/>
          </w:tcPr>
          <w:p w14:paraId="69E38797">
            <w:pPr>
              <w:pStyle w:val="1008"/>
              <w:rPr>
                <w:color w:val="auto"/>
                <w:highlight w:val="none"/>
                <w:u w:val="none"/>
              </w:rPr>
            </w:pPr>
          </w:p>
        </w:tc>
        <w:tc>
          <w:tcPr>
            <w:tcW w:w="1366" w:type="pct"/>
            <w:vAlign w:val="center"/>
          </w:tcPr>
          <w:p w14:paraId="58D599A0">
            <w:pPr>
              <w:pStyle w:val="1008"/>
              <w:rPr>
                <w:color w:val="auto"/>
                <w:highlight w:val="none"/>
                <w:u w:val="none"/>
              </w:rPr>
            </w:pPr>
          </w:p>
        </w:tc>
      </w:tr>
      <w:tr w14:paraId="06575F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restart"/>
            <w:vAlign w:val="center"/>
          </w:tcPr>
          <w:p w14:paraId="0826F68D">
            <w:pPr>
              <w:pStyle w:val="1008"/>
              <w:rPr>
                <w:color w:val="auto"/>
                <w:highlight w:val="none"/>
                <w:u w:val="none"/>
              </w:rPr>
            </w:pPr>
            <w:r>
              <w:rPr>
                <w:rFonts w:hint="eastAsia"/>
                <w:color w:val="auto"/>
                <w:highlight w:val="none"/>
                <w:u w:val="none"/>
              </w:rPr>
              <w:t>光气在线量（吨）</w:t>
            </w:r>
          </w:p>
        </w:tc>
        <w:tc>
          <w:tcPr>
            <w:tcW w:w="1067" w:type="pct"/>
            <w:tcBorders>
              <w:bottom w:val="single" w:color="000000" w:sz="6" w:space="0"/>
            </w:tcBorders>
            <w:shd w:val="clear" w:color="auto" w:fill="auto"/>
            <w:vAlign w:val="center"/>
          </w:tcPr>
          <w:p w14:paraId="59CD3E03">
            <w:pPr>
              <w:pStyle w:val="1008"/>
              <w:rPr>
                <w:color w:val="auto"/>
                <w:highlight w:val="none"/>
                <w:u w:val="none"/>
              </w:rPr>
            </w:pPr>
            <w:r>
              <w:rPr>
                <w:rFonts w:hint="eastAsia"/>
                <w:color w:val="auto"/>
                <w:highlight w:val="none"/>
                <w:u w:val="none"/>
              </w:rPr>
              <w:t>MDI</w:t>
            </w:r>
          </w:p>
        </w:tc>
        <w:tc>
          <w:tcPr>
            <w:tcW w:w="1366" w:type="pct"/>
            <w:tcBorders>
              <w:bottom w:val="single" w:color="000000" w:sz="6" w:space="0"/>
            </w:tcBorders>
            <w:vAlign w:val="center"/>
          </w:tcPr>
          <w:p w14:paraId="31D0DB2C">
            <w:pPr>
              <w:pStyle w:val="1008"/>
              <w:rPr>
                <w:color w:val="auto"/>
                <w:highlight w:val="none"/>
                <w:u w:val="none"/>
              </w:rPr>
            </w:pPr>
          </w:p>
        </w:tc>
        <w:tc>
          <w:tcPr>
            <w:tcW w:w="1366" w:type="pct"/>
            <w:tcBorders>
              <w:bottom w:val="single" w:color="000000" w:sz="6" w:space="0"/>
            </w:tcBorders>
            <w:vAlign w:val="center"/>
          </w:tcPr>
          <w:p w14:paraId="3474F7E8">
            <w:pPr>
              <w:pStyle w:val="1008"/>
              <w:rPr>
                <w:color w:val="auto"/>
                <w:highlight w:val="none"/>
                <w:u w:val="none"/>
              </w:rPr>
            </w:pPr>
          </w:p>
        </w:tc>
      </w:tr>
      <w:tr w14:paraId="36E53A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vAlign w:val="center"/>
          </w:tcPr>
          <w:p w14:paraId="60FFC08D">
            <w:pPr>
              <w:pStyle w:val="1008"/>
              <w:rPr>
                <w:color w:val="auto"/>
                <w:highlight w:val="none"/>
                <w:u w:val="none"/>
              </w:rPr>
            </w:pPr>
          </w:p>
        </w:tc>
        <w:tc>
          <w:tcPr>
            <w:tcW w:w="1067" w:type="pct"/>
            <w:tcBorders>
              <w:top w:val="single" w:color="000000" w:sz="6" w:space="0"/>
              <w:bottom w:val="single" w:color="000000" w:sz="6" w:space="0"/>
            </w:tcBorders>
            <w:shd w:val="clear" w:color="auto" w:fill="D8D8D8" w:themeFill="background1" w:themeFillShade="D9"/>
            <w:vAlign w:val="center"/>
          </w:tcPr>
          <w:p w14:paraId="4E8ACF97">
            <w:pPr>
              <w:pStyle w:val="1008"/>
              <w:rPr>
                <w:color w:val="auto"/>
                <w:highlight w:val="none"/>
                <w:u w:val="none"/>
              </w:rPr>
            </w:pPr>
            <w:r>
              <w:rPr>
                <w:rFonts w:hint="eastAsia"/>
                <w:color w:val="auto"/>
                <w:highlight w:val="none"/>
                <w:u w:val="none"/>
              </w:rPr>
              <w:t>TDI</w:t>
            </w:r>
          </w:p>
        </w:tc>
        <w:tc>
          <w:tcPr>
            <w:tcW w:w="1366" w:type="pct"/>
            <w:tcBorders>
              <w:top w:val="single" w:color="000000" w:sz="6" w:space="0"/>
              <w:bottom w:val="single" w:color="000000" w:sz="6" w:space="0"/>
            </w:tcBorders>
            <w:shd w:val="clear" w:color="auto" w:fill="D8D8D8" w:themeFill="background1" w:themeFillShade="D9"/>
            <w:vAlign w:val="center"/>
          </w:tcPr>
          <w:p w14:paraId="3E4AC30D">
            <w:pPr>
              <w:pStyle w:val="1008"/>
              <w:rPr>
                <w:color w:val="auto"/>
                <w:highlight w:val="none"/>
                <w:u w:val="none"/>
              </w:rPr>
            </w:pPr>
          </w:p>
        </w:tc>
        <w:tc>
          <w:tcPr>
            <w:tcW w:w="1366" w:type="pct"/>
            <w:tcBorders>
              <w:top w:val="single" w:color="000000" w:sz="6" w:space="0"/>
              <w:bottom w:val="single" w:color="000000" w:sz="6" w:space="0"/>
            </w:tcBorders>
            <w:shd w:val="clear" w:color="auto" w:fill="D8D8D8" w:themeFill="background1" w:themeFillShade="D9"/>
            <w:vAlign w:val="center"/>
          </w:tcPr>
          <w:p w14:paraId="5529927A">
            <w:pPr>
              <w:pStyle w:val="1008"/>
              <w:rPr>
                <w:color w:val="auto"/>
                <w:highlight w:val="none"/>
                <w:u w:val="none"/>
              </w:rPr>
            </w:pPr>
          </w:p>
        </w:tc>
      </w:tr>
      <w:tr w14:paraId="6D1DDE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tcPr>
          <w:p w14:paraId="1300F9DE">
            <w:pPr>
              <w:pStyle w:val="1008"/>
              <w:rPr>
                <w:color w:val="auto"/>
                <w:highlight w:val="none"/>
                <w:u w:val="none"/>
              </w:rPr>
            </w:pPr>
          </w:p>
        </w:tc>
        <w:tc>
          <w:tcPr>
            <w:tcW w:w="1067" w:type="pct"/>
            <w:tcBorders>
              <w:top w:val="single" w:color="000000" w:sz="6" w:space="0"/>
            </w:tcBorders>
            <w:shd w:val="clear" w:color="auto" w:fill="auto"/>
            <w:vAlign w:val="center"/>
          </w:tcPr>
          <w:p w14:paraId="277E7F2F">
            <w:pPr>
              <w:pStyle w:val="1008"/>
              <w:rPr>
                <w:color w:val="auto"/>
                <w:highlight w:val="none"/>
                <w:u w:val="none"/>
              </w:rPr>
            </w:pPr>
            <w:r>
              <w:rPr>
                <w:rFonts w:hint="eastAsia" w:cs="宋体"/>
                <w:color w:val="auto"/>
                <w:szCs w:val="36"/>
                <w:highlight w:val="none"/>
                <w:u w:val="none"/>
              </w:rPr>
              <w:t>芳香族异氰酸酯</w:t>
            </w:r>
          </w:p>
        </w:tc>
        <w:tc>
          <w:tcPr>
            <w:tcW w:w="1366" w:type="pct"/>
            <w:tcBorders>
              <w:top w:val="single" w:color="000000" w:sz="6" w:space="0"/>
            </w:tcBorders>
          </w:tcPr>
          <w:p w14:paraId="3AE1F721">
            <w:pPr>
              <w:pStyle w:val="1008"/>
              <w:rPr>
                <w:color w:val="auto"/>
                <w:highlight w:val="none"/>
                <w:u w:val="none"/>
              </w:rPr>
            </w:pPr>
          </w:p>
        </w:tc>
        <w:tc>
          <w:tcPr>
            <w:tcW w:w="1366" w:type="pct"/>
            <w:tcBorders>
              <w:top w:val="single" w:color="000000" w:sz="6" w:space="0"/>
            </w:tcBorders>
          </w:tcPr>
          <w:p w14:paraId="09D28AA7">
            <w:pPr>
              <w:pStyle w:val="1008"/>
              <w:rPr>
                <w:color w:val="auto"/>
                <w:highlight w:val="none"/>
                <w:u w:val="none"/>
              </w:rPr>
            </w:pPr>
          </w:p>
        </w:tc>
      </w:tr>
      <w:tr w14:paraId="3034BA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tcPr>
          <w:p w14:paraId="2DDE05C1">
            <w:pPr>
              <w:pStyle w:val="1008"/>
              <w:rPr>
                <w:color w:val="auto"/>
                <w:highlight w:val="none"/>
                <w:u w:val="none"/>
              </w:rPr>
            </w:pPr>
          </w:p>
        </w:tc>
        <w:tc>
          <w:tcPr>
            <w:tcW w:w="1067" w:type="pct"/>
            <w:shd w:val="clear" w:color="auto" w:fill="auto"/>
            <w:vAlign w:val="center"/>
          </w:tcPr>
          <w:p w14:paraId="398F7815">
            <w:pPr>
              <w:pStyle w:val="1008"/>
              <w:rPr>
                <w:color w:val="auto"/>
                <w:highlight w:val="none"/>
                <w:u w:val="none"/>
              </w:rPr>
            </w:pPr>
            <w:r>
              <w:rPr>
                <w:rFonts w:hint="eastAsia" w:cs="宋体"/>
                <w:color w:val="auto"/>
                <w:szCs w:val="36"/>
                <w:highlight w:val="none"/>
                <w:u w:val="none"/>
              </w:rPr>
              <w:t>脂肪族异氰酸酯</w:t>
            </w:r>
          </w:p>
        </w:tc>
        <w:tc>
          <w:tcPr>
            <w:tcW w:w="1366" w:type="pct"/>
          </w:tcPr>
          <w:p w14:paraId="4FFE9598">
            <w:pPr>
              <w:pStyle w:val="1008"/>
              <w:rPr>
                <w:color w:val="auto"/>
                <w:highlight w:val="none"/>
                <w:u w:val="none"/>
              </w:rPr>
            </w:pPr>
          </w:p>
        </w:tc>
        <w:tc>
          <w:tcPr>
            <w:tcW w:w="1366" w:type="pct"/>
          </w:tcPr>
          <w:p w14:paraId="74BDCB7F">
            <w:pPr>
              <w:pStyle w:val="1008"/>
              <w:rPr>
                <w:color w:val="auto"/>
                <w:highlight w:val="none"/>
                <w:u w:val="none"/>
              </w:rPr>
            </w:pPr>
          </w:p>
        </w:tc>
      </w:tr>
      <w:tr w14:paraId="769592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00" w:type="pct"/>
            <w:vMerge w:val="continue"/>
          </w:tcPr>
          <w:p w14:paraId="71F01BDF">
            <w:pPr>
              <w:pStyle w:val="1008"/>
              <w:rPr>
                <w:color w:val="auto"/>
                <w:highlight w:val="none"/>
                <w:u w:val="none"/>
              </w:rPr>
            </w:pPr>
          </w:p>
        </w:tc>
        <w:tc>
          <w:tcPr>
            <w:tcW w:w="1067" w:type="pct"/>
            <w:shd w:val="clear" w:color="auto" w:fill="auto"/>
            <w:vAlign w:val="center"/>
          </w:tcPr>
          <w:p w14:paraId="236A3772">
            <w:pPr>
              <w:pStyle w:val="1008"/>
              <w:rPr>
                <w:color w:val="auto"/>
                <w:highlight w:val="none"/>
                <w:u w:val="none"/>
              </w:rPr>
            </w:pPr>
            <w:r>
              <w:rPr>
                <w:rFonts w:hint="eastAsia"/>
                <w:color w:val="auto"/>
                <w:highlight w:val="none"/>
                <w:u w:val="none"/>
              </w:rPr>
              <w:t>合计</w:t>
            </w:r>
          </w:p>
        </w:tc>
        <w:tc>
          <w:tcPr>
            <w:tcW w:w="1366" w:type="pct"/>
          </w:tcPr>
          <w:p w14:paraId="3CDDC696">
            <w:pPr>
              <w:pStyle w:val="1008"/>
              <w:rPr>
                <w:color w:val="auto"/>
                <w:highlight w:val="none"/>
                <w:u w:val="none"/>
              </w:rPr>
            </w:pPr>
          </w:p>
        </w:tc>
        <w:tc>
          <w:tcPr>
            <w:tcW w:w="1366" w:type="pct"/>
          </w:tcPr>
          <w:p w14:paraId="23184ED9">
            <w:pPr>
              <w:pStyle w:val="1008"/>
              <w:rPr>
                <w:color w:val="auto"/>
                <w:highlight w:val="none"/>
                <w:u w:val="none"/>
              </w:rPr>
            </w:pPr>
          </w:p>
        </w:tc>
      </w:tr>
    </w:tbl>
    <w:p w14:paraId="6333765A">
      <w:pPr>
        <w:rPr>
          <w:rFonts w:hint="eastAsia"/>
          <w:color w:val="auto"/>
          <w:highlight w:val="none"/>
          <w:u w:val="none"/>
          <w:lang w:val="en-US"/>
        </w:rPr>
      </w:pPr>
    </w:p>
    <w:p w14:paraId="4850411F">
      <w:pPr>
        <w:rPr>
          <w:rFonts w:hint="eastAsia"/>
          <w:color w:val="auto"/>
          <w:highlight w:val="none"/>
          <w:u w:val="none"/>
        </w:rPr>
      </w:pPr>
      <w:r>
        <w:rPr>
          <w:rFonts w:hint="eastAsia"/>
        </w:rPr>
        <w:t>本项目为产业发展规划中规划的项目，因此本项目设计光气在线量符合园区产业发展规划环评的要求</w:t>
      </w:r>
      <w:r>
        <w:rPr>
          <w:rFonts w:hint="eastAsia"/>
          <w:color w:val="auto"/>
          <w:highlight w:val="none"/>
          <w:u w:val="none"/>
        </w:rPr>
        <w:t>。</w:t>
      </w:r>
    </w:p>
    <w:p w14:paraId="49DF27B7">
      <w:pPr>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2</w:t>
      </w:r>
      <w:r>
        <w:rPr>
          <w:rFonts w:hint="eastAsia"/>
          <w:b/>
          <w:bCs/>
          <w:color w:val="auto"/>
          <w:highlight w:val="none"/>
          <w:u w:val="none"/>
        </w:rPr>
        <w:t>）规划产业及规模符合性分析</w:t>
      </w:r>
    </w:p>
    <w:p w14:paraId="11036F13">
      <w:pPr>
        <w:rPr>
          <w:rFonts w:hint="eastAsia"/>
          <w:color w:val="auto"/>
          <w:highlight w:val="none"/>
          <w:u w:val="none"/>
        </w:rPr>
      </w:pPr>
      <w:r>
        <w:rPr>
          <w:rFonts w:hint="eastAsia"/>
          <w:color w:val="auto"/>
          <w:highlight w:val="none"/>
          <w:u w:val="none"/>
        </w:rPr>
        <w:t>根据《福州江阴港城经济区产业发展规划环境影响报告书》，福州江阴港城经济区产业发展规划将</w:t>
      </w:r>
      <w:r>
        <w:rPr>
          <w:color w:val="auto"/>
          <w:highlight w:val="none"/>
          <w:u w:val="none"/>
        </w:rPr>
        <w:t>TDI生产规模扩大至72万吨/年，</w:t>
      </w:r>
      <w:r>
        <w:rPr>
          <w:rFonts w:hint="eastAsia"/>
          <w:color w:val="auto"/>
          <w:highlight w:val="none"/>
          <w:u w:val="none"/>
        </w:rPr>
        <w:t>主要为在现有</w:t>
      </w:r>
      <w:r>
        <w:rPr>
          <w:color w:val="auto"/>
          <w:highlight w:val="none"/>
          <w:u w:val="none"/>
        </w:rPr>
        <w:t>25万吨/年TDI项目的基础上扩能技改为36万吨/年TDI项目</w:t>
      </w:r>
      <w:r>
        <w:rPr>
          <w:rFonts w:hint="eastAsia"/>
          <w:color w:val="auto"/>
          <w:highlight w:val="none"/>
          <w:u w:val="none"/>
        </w:rPr>
        <w:t>，</w:t>
      </w:r>
      <w:r>
        <w:rPr>
          <w:rFonts w:hAnsi="Times New Roman"/>
          <w:color w:val="auto"/>
          <w:highlight w:val="none"/>
          <w:u w:val="none"/>
        </w:rPr>
        <w:t>新建一套36万吨/年TDI项目</w:t>
      </w:r>
      <w:r>
        <w:rPr>
          <w:rFonts w:hint="eastAsia" w:hAnsi="Times New Roman"/>
          <w:color w:val="auto"/>
          <w:highlight w:val="none"/>
          <w:u w:val="none"/>
        </w:rPr>
        <w:t>（见</w:t>
      </w:r>
      <w:r>
        <w:rPr>
          <w:color w:val="auto"/>
          <w:highlight w:val="none"/>
          <w:u w:val="none"/>
        </w:rPr>
        <w:fldChar w:fldCharType="begin"/>
      </w:r>
      <w:r>
        <w:rPr>
          <w:color w:val="auto"/>
          <w:highlight w:val="none"/>
          <w:u w:val="none"/>
        </w:rPr>
        <w:instrText xml:space="preserve"> REF _Ref188357788 \h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7</w:t>
      </w:r>
      <w:r>
        <w:rPr>
          <w:color w:val="auto"/>
          <w:highlight w:val="none"/>
          <w:u w:val="none"/>
        </w:rPr>
        <w:fldChar w:fldCharType="end"/>
      </w:r>
      <w:r>
        <w:rPr>
          <w:rFonts w:hint="eastAsia"/>
          <w:color w:val="auto"/>
          <w:highlight w:val="none"/>
          <w:u w:val="none"/>
        </w:rPr>
        <w:t>、</w:t>
      </w:r>
      <w:r>
        <w:rPr>
          <w:rFonts w:hint="eastAsia"/>
          <w:color w:val="auto"/>
          <w:highlight w:val="none"/>
          <w:u w:val="none"/>
        </w:rPr>
        <w:fldChar w:fldCharType="begin"/>
      </w:r>
      <w:r>
        <w:rPr>
          <w:rFonts w:hint="eastAsia"/>
          <w:color w:val="auto"/>
          <w:highlight w:val="none"/>
          <w:u w:val="none"/>
        </w:rPr>
        <w:instrText xml:space="preserve"> REF _Ref188358489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5.11</w:t>
      </w:r>
      <w:r>
        <w:rPr>
          <w:color w:val="auto"/>
          <w:highlight w:val="none"/>
          <w:u w:val="none"/>
        </w:rPr>
        <w:fldChar w:fldCharType="end"/>
      </w:r>
      <w:r>
        <w:rPr>
          <w:color w:val="auto"/>
          <w:highlight w:val="none"/>
          <w:u w:val="none"/>
        </w:rPr>
        <w:noBreakHyphen/>
      </w:r>
      <w:r>
        <w:rPr>
          <w:color w:val="auto"/>
          <w:highlight w:val="none"/>
          <w:u w:val="none"/>
        </w:rPr>
        <w:t>8</w:t>
      </w:r>
      <w:r>
        <w:rPr>
          <w:rFonts w:hint="eastAsia"/>
          <w:color w:val="auto"/>
          <w:highlight w:val="none"/>
          <w:u w:val="none"/>
        </w:rPr>
        <w:fldChar w:fldCharType="end"/>
      </w:r>
      <w:r>
        <w:rPr>
          <w:rFonts w:hint="eastAsia" w:hAnsi="Times New Roman"/>
          <w:color w:val="auto"/>
          <w:highlight w:val="none"/>
          <w:u w:val="none"/>
        </w:rPr>
        <w:t>），即</w:t>
      </w:r>
      <w:r>
        <w:rPr>
          <w:rFonts w:hint="eastAsia"/>
          <w:color w:val="auto"/>
          <w:highlight w:val="none"/>
          <w:u w:val="none"/>
        </w:rPr>
        <w:t>TDI一期技改扩能36万吨/年项目、TDI二期扩建36万吨/年项目。本项目为产业发展规划中规划的项目，且规模与产业发展规划一致，与规划产业及规模相一致。</w:t>
      </w:r>
    </w:p>
    <w:p w14:paraId="4BC8EC57">
      <w:pPr>
        <w:rPr>
          <w:rFonts w:hint="eastAsia"/>
          <w:b/>
          <w:bCs/>
          <w:color w:val="auto"/>
          <w:highlight w:val="none"/>
          <w:u w:val="none"/>
        </w:rPr>
      </w:pPr>
      <w:r>
        <w:rPr>
          <w:rFonts w:hint="eastAsia"/>
          <w:color w:val="auto"/>
          <w:highlight w:val="none"/>
          <w:u w:val="none"/>
        </w:rPr>
        <w:t>（</w:t>
      </w:r>
      <w:r>
        <w:rPr>
          <w:rFonts w:hint="eastAsia"/>
          <w:color w:val="auto"/>
          <w:highlight w:val="none"/>
          <w:u w:val="none"/>
          <w:lang w:val="en-US"/>
        </w:rPr>
        <w:t>3</w:t>
      </w:r>
      <w:r>
        <w:rPr>
          <w:rFonts w:hint="eastAsia"/>
          <w:color w:val="auto"/>
          <w:highlight w:val="none"/>
          <w:u w:val="none"/>
        </w:rPr>
        <w:t>）</w:t>
      </w:r>
      <w:r>
        <w:rPr>
          <w:rFonts w:hint="eastAsia"/>
          <w:b/>
          <w:bCs/>
          <w:color w:val="auto"/>
          <w:highlight w:val="none"/>
          <w:u w:val="none"/>
        </w:rPr>
        <w:t>与《福州江阴港城经济区产业发展规划环境影响报告书》生态环境准入清单及审查意见符合性分析</w:t>
      </w:r>
    </w:p>
    <w:p w14:paraId="761FA789">
      <w:pPr>
        <w:rPr>
          <w:rFonts w:hint="eastAsia"/>
          <w:color w:val="auto"/>
          <w:highlight w:val="none"/>
          <w:u w:val="none"/>
        </w:rPr>
      </w:pPr>
      <w:r>
        <w:rPr>
          <w:rFonts w:hint="eastAsia"/>
          <w:color w:val="auto"/>
          <w:highlight w:val="none"/>
          <w:u w:val="none"/>
        </w:rPr>
        <w:t>根据《</w:t>
      </w:r>
      <w:r>
        <w:rPr>
          <w:rFonts w:hint="eastAsia"/>
          <w:color w:val="auto"/>
          <w:highlight w:val="none"/>
          <w:u w:val="none"/>
          <w:lang w:val="en-US"/>
        </w:rPr>
        <w:t>福州</w:t>
      </w:r>
      <w:r>
        <w:rPr>
          <w:rFonts w:hint="eastAsia"/>
          <w:color w:val="auto"/>
          <w:highlight w:val="none"/>
          <w:u w:val="none"/>
        </w:rPr>
        <w:t>江阴港城经济区产业发展规划环境影响报告书》（2024年</w:t>
      </w:r>
      <w:r>
        <w:rPr>
          <w:rFonts w:hint="eastAsia"/>
          <w:color w:val="auto"/>
          <w:highlight w:val="none"/>
          <w:u w:val="none"/>
          <w:lang w:val="en-US"/>
        </w:rPr>
        <w:t>12</w:t>
      </w:r>
      <w:r>
        <w:rPr>
          <w:rFonts w:hint="eastAsia"/>
          <w:color w:val="auto"/>
          <w:highlight w:val="none"/>
          <w:u w:val="none"/>
        </w:rPr>
        <w:t>月）和《福州市生态环境局关于印发&lt;福州江阴港城经济区产业发展规划环境影响报告书&gt;审查小组意见的通知》（榕环保评〔2024〕33号），江阴港城经济区产业发展规划生态环境准入清单见</w:t>
      </w:r>
      <w:r>
        <w:rPr>
          <w:rFonts w:hint="eastAsia"/>
          <w:color w:val="auto"/>
          <w:highlight w:val="none"/>
          <w:u w:val="none"/>
        </w:rPr>
        <w:fldChar w:fldCharType="begin"/>
      </w:r>
      <w:r>
        <w:rPr>
          <w:rFonts w:hint="eastAsia"/>
          <w:color w:val="auto"/>
          <w:highlight w:val="none"/>
          <w:u w:val="none"/>
        </w:rPr>
        <w:instrText xml:space="preserve"> REF _Ref180744681 \h  \* MERGEFORMAT </w:instrText>
      </w:r>
      <w:r>
        <w:rPr>
          <w:rFonts w:hint="eastAsia"/>
          <w:color w:val="auto"/>
          <w:highlight w:val="none"/>
          <w:u w:val="none"/>
        </w:rPr>
        <w:fldChar w:fldCharType="separate"/>
      </w:r>
      <w:r>
        <w:rPr>
          <w:rFonts w:hint="eastAsia"/>
          <w:color w:val="auto"/>
          <w:highlight w:val="none"/>
          <w:u w:val="none"/>
        </w:rPr>
        <w:t xml:space="preserve">表 </w:t>
      </w:r>
      <w:r>
        <w:rPr>
          <w:rFonts w:hint="eastAsia"/>
          <w:color w:val="auto"/>
          <w:highlight w:val="none"/>
          <w:u w:val="none"/>
        </w:rPr>
        <w:fldChar w:fldCharType="begin"/>
      </w:r>
      <w:r>
        <w:rPr>
          <w:rFonts w:hint="eastAsia"/>
          <w:color w:val="auto"/>
          <w:highlight w:val="none"/>
          <w:u w:val="none"/>
        </w:rPr>
        <w:instrText xml:space="preserve"> STYLEREF 2 \s </w:instrText>
      </w:r>
      <w:r>
        <w:rPr>
          <w:rFonts w:hint="eastAsia"/>
          <w:color w:val="auto"/>
          <w:highlight w:val="none"/>
          <w:u w:val="none"/>
        </w:rPr>
        <w:fldChar w:fldCharType="separate"/>
      </w:r>
      <w:r>
        <w:rPr>
          <w:rFonts w:hint="eastAsia"/>
          <w:color w:val="auto"/>
          <w:highlight w:val="none"/>
          <w:u w:val="none"/>
        </w:rPr>
        <w:t>5.11</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9</w:t>
      </w:r>
      <w:r>
        <w:rPr>
          <w:rFonts w:hint="eastAsia"/>
          <w:color w:val="auto"/>
          <w:highlight w:val="none"/>
          <w:u w:val="none"/>
        </w:rPr>
        <w:fldChar w:fldCharType="end"/>
      </w:r>
      <w:r>
        <w:rPr>
          <w:rFonts w:hint="eastAsia"/>
          <w:color w:val="auto"/>
          <w:highlight w:val="none"/>
          <w:u w:val="none"/>
        </w:rPr>
        <w:t>。同时对照规划环评审查意见，本项目建设符合规划环评审查意见的要求，详见</w:t>
      </w:r>
      <w:r>
        <w:rPr>
          <w:rFonts w:hint="eastAsia"/>
          <w:color w:val="auto"/>
          <w:highlight w:val="none"/>
          <w:u w:val="none"/>
        </w:rPr>
        <w:fldChar w:fldCharType="begin"/>
      </w:r>
      <w:r>
        <w:rPr>
          <w:rFonts w:hint="eastAsia"/>
          <w:color w:val="auto"/>
          <w:highlight w:val="none"/>
          <w:u w:val="none"/>
        </w:rPr>
        <w:instrText xml:space="preserve"> REF _Ref30993 \h </w:instrText>
      </w:r>
      <w:r>
        <w:rPr>
          <w:rFonts w:hint="eastAsia"/>
          <w:color w:val="auto"/>
          <w:highlight w:val="none"/>
          <w:u w:val="none"/>
        </w:rPr>
        <w:fldChar w:fldCharType="separate"/>
      </w:r>
      <w:r>
        <w:rPr>
          <w:rFonts w:hint="eastAsia"/>
          <w:b/>
          <w:bCs/>
          <w:color w:val="auto"/>
          <w:highlight w:val="none"/>
          <w:u w:val="none"/>
        </w:rPr>
        <w:t xml:space="preserve">表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5.11</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t>10</w:t>
      </w:r>
      <w:r>
        <w:rPr>
          <w:rFonts w:hint="eastAsia"/>
          <w:color w:val="auto"/>
          <w:highlight w:val="none"/>
          <w:u w:val="none"/>
        </w:rPr>
        <w:fldChar w:fldCharType="end"/>
      </w:r>
      <w:r>
        <w:rPr>
          <w:rFonts w:hint="eastAsia"/>
          <w:color w:val="auto"/>
          <w:highlight w:val="none"/>
          <w:u w:val="none"/>
        </w:rPr>
        <w:t>。</w:t>
      </w:r>
    </w:p>
    <w:p w14:paraId="376B1C1F">
      <w:pPr>
        <w:rPr>
          <w:rFonts w:hint="eastAsia"/>
          <w:color w:val="auto"/>
          <w:highlight w:val="none"/>
          <w:u w:val="none"/>
        </w:rPr>
      </w:pPr>
      <w:r>
        <w:rPr>
          <w:rFonts w:hint="eastAsia"/>
          <w:color w:val="auto"/>
          <w:highlight w:val="none"/>
          <w:u w:val="none"/>
        </w:rPr>
        <w:t>（1）本项目属于异氰酸酯产业链，布局在高端聚氨酯板块内，对照江阴港城经济区产业发展规划生态环境准入清单部分指标计算如下：</w:t>
      </w:r>
    </w:p>
    <w:p w14:paraId="4C4DAF9D">
      <w:pPr>
        <w:rPr>
          <w:rFonts w:hint="eastAsia"/>
          <w:color w:val="auto"/>
          <w:highlight w:val="none"/>
          <w:u w:val="none"/>
        </w:rPr>
      </w:pPr>
      <w:r>
        <w:rPr>
          <w:rFonts w:hint="eastAsia"/>
          <w:color w:val="auto"/>
          <w:highlight w:val="none"/>
          <w:u w:val="none"/>
        </w:rPr>
        <w:t>综上，本项目建设符合《</w:t>
      </w:r>
      <w:r>
        <w:rPr>
          <w:rFonts w:hint="eastAsia"/>
          <w:color w:val="auto"/>
          <w:highlight w:val="none"/>
          <w:u w:val="none"/>
          <w:lang w:val="en-US"/>
        </w:rPr>
        <w:t>福州</w:t>
      </w:r>
      <w:r>
        <w:rPr>
          <w:rFonts w:hint="eastAsia"/>
          <w:color w:val="auto"/>
          <w:highlight w:val="none"/>
          <w:u w:val="none"/>
        </w:rPr>
        <w:t>江阴港城经济区产业发展规划环境影响报告书》及审查意见的要求。</w:t>
      </w:r>
    </w:p>
    <w:p w14:paraId="5B56F17A">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317AAE30">
      <w:pPr>
        <w:ind w:firstLine="0" w:firstLineChars="0"/>
        <w:jc w:val="center"/>
        <w:rPr>
          <w:rFonts w:hint="eastAsia"/>
          <w:b/>
          <w:bCs/>
          <w:color w:val="auto"/>
          <w:highlight w:val="none"/>
          <w:u w:val="none"/>
        </w:rPr>
      </w:pPr>
      <w:bookmarkStart w:id="421" w:name="_Ref180744681"/>
      <w:r>
        <w:rPr>
          <w:rFonts w:hint="eastAsia"/>
          <w:b/>
          <w:bCs/>
          <w:color w:val="auto"/>
          <w:highlight w:val="none"/>
          <w:u w:val="none"/>
        </w:rPr>
        <w:t xml:space="preserve">表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5.11</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fldChar w:fldCharType="begin"/>
      </w:r>
      <w:r>
        <w:rPr>
          <w:rFonts w:hint="eastAsia"/>
          <w:b/>
          <w:bCs/>
          <w:color w:val="auto"/>
          <w:highlight w:val="none"/>
          <w:u w:val="none"/>
        </w:rPr>
        <w:instrText xml:space="preserve"> SEQ 表 \* ARABIC \s 2 </w:instrText>
      </w:r>
      <w:r>
        <w:rPr>
          <w:rFonts w:hint="eastAsia"/>
          <w:b/>
          <w:bCs/>
          <w:color w:val="auto"/>
          <w:highlight w:val="none"/>
          <w:u w:val="none"/>
        </w:rPr>
        <w:fldChar w:fldCharType="separate"/>
      </w:r>
      <w:r>
        <w:rPr>
          <w:rFonts w:hint="eastAsia"/>
          <w:b/>
          <w:bCs/>
          <w:color w:val="auto"/>
          <w:highlight w:val="none"/>
          <w:u w:val="none"/>
        </w:rPr>
        <w:t>9</w:t>
      </w:r>
      <w:r>
        <w:rPr>
          <w:rFonts w:hint="eastAsia"/>
          <w:b/>
          <w:bCs/>
          <w:color w:val="auto"/>
          <w:highlight w:val="none"/>
          <w:u w:val="none"/>
        </w:rPr>
        <w:fldChar w:fldCharType="end"/>
      </w:r>
      <w:bookmarkEnd w:id="421"/>
      <w:r>
        <w:rPr>
          <w:b/>
          <w:bCs/>
          <w:color w:val="auto"/>
          <w:highlight w:val="none"/>
          <w:u w:val="none"/>
        </w:rPr>
        <w:t xml:space="preserve">  </w:t>
      </w:r>
      <w:r>
        <w:rPr>
          <w:rFonts w:hint="eastAsia"/>
          <w:b/>
          <w:bCs/>
          <w:color w:val="auto"/>
          <w:highlight w:val="none"/>
          <w:u w:val="none"/>
          <w:lang w:val="en-US"/>
        </w:rPr>
        <w:t>福州</w:t>
      </w:r>
      <w:r>
        <w:rPr>
          <w:rFonts w:hint="eastAsia"/>
          <w:b/>
          <w:bCs/>
          <w:color w:val="auto"/>
          <w:highlight w:val="none"/>
          <w:u w:val="none"/>
        </w:rPr>
        <w:t>江阴港城经济区产业发展规划生态环境准入清单</w:t>
      </w:r>
      <w:r>
        <w:rPr>
          <w:rFonts w:hint="eastAsia"/>
          <w:color w:val="auto"/>
          <w:highlight w:val="none"/>
          <w:u w:val="none"/>
        </w:rPr>
        <w:t>一</w:t>
      </w:r>
      <w:r>
        <w:rPr>
          <w:rFonts w:hint="eastAsia"/>
          <w:b/>
          <w:bCs/>
          <w:color w:val="auto"/>
          <w:highlight w:val="none"/>
          <w:u w:val="none"/>
        </w:rPr>
        <w:t>览表</w:t>
      </w:r>
    </w:p>
    <w:tbl>
      <w:tblPr>
        <w:tblStyle w:val="5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28" w:type="dxa"/>
          <w:left w:w="108" w:type="dxa"/>
          <w:bottom w:w="28" w:type="dxa"/>
          <w:right w:w="108" w:type="dxa"/>
        </w:tblCellMar>
      </w:tblPr>
      <w:tblGrid>
        <w:gridCol w:w="1100"/>
        <w:gridCol w:w="6816"/>
        <w:gridCol w:w="5189"/>
        <w:gridCol w:w="1069"/>
      </w:tblGrid>
      <w:tr w14:paraId="0E3ED4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tblHeader/>
          <w:jc w:val="center"/>
        </w:trPr>
        <w:tc>
          <w:tcPr>
            <w:tcW w:w="388" w:type="pct"/>
            <w:vAlign w:val="center"/>
          </w:tcPr>
          <w:p w14:paraId="4A792B3F">
            <w:pPr>
              <w:pStyle w:val="92"/>
              <w:rPr>
                <w:b/>
                <w:bCs/>
                <w:color w:val="auto"/>
                <w:highlight w:val="none"/>
                <w:u w:val="none"/>
              </w:rPr>
            </w:pPr>
            <w:r>
              <w:rPr>
                <w:rFonts w:hint="eastAsia"/>
                <w:b/>
                <w:bCs/>
                <w:color w:val="auto"/>
                <w:highlight w:val="none"/>
                <w:u w:val="none"/>
              </w:rPr>
              <w:t>清单类型</w:t>
            </w:r>
          </w:p>
        </w:tc>
        <w:tc>
          <w:tcPr>
            <w:tcW w:w="2404" w:type="pct"/>
            <w:vAlign w:val="center"/>
          </w:tcPr>
          <w:p w14:paraId="257CF87D">
            <w:pPr>
              <w:pStyle w:val="92"/>
              <w:rPr>
                <w:b/>
                <w:bCs/>
                <w:color w:val="auto"/>
                <w:highlight w:val="none"/>
                <w:u w:val="none"/>
              </w:rPr>
            </w:pPr>
            <w:r>
              <w:rPr>
                <w:rFonts w:hint="eastAsia"/>
                <w:b/>
                <w:bCs/>
                <w:color w:val="auto"/>
                <w:highlight w:val="none"/>
                <w:u w:val="none"/>
              </w:rPr>
              <w:t>环境管控要求</w:t>
            </w:r>
          </w:p>
        </w:tc>
        <w:tc>
          <w:tcPr>
            <w:tcW w:w="1830" w:type="pct"/>
          </w:tcPr>
          <w:p w14:paraId="46559CC4">
            <w:pPr>
              <w:pStyle w:val="92"/>
              <w:rPr>
                <w:b/>
                <w:bCs/>
                <w:color w:val="auto"/>
                <w:highlight w:val="none"/>
                <w:u w:val="none"/>
              </w:rPr>
            </w:pPr>
            <w:r>
              <w:rPr>
                <w:rFonts w:hint="eastAsia"/>
                <w:b/>
                <w:bCs/>
                <w:color w:val="auto"/>
                <w:highlight w:val="none"/>
                <w:u w:val="none"/>
              </w:rPr>
              <w:t>本项目内容</w:t>
            </w:r>
          </w:p>
        </w:tc>
        <w:tc>
          <w:tcPr>
            <w:tcW w:w="377" w:type="pct"/>
          </w:tcPr>
          <w:p w14:paraId="5D6BDE5F">
            <w:pPr>
              <w:pStyle w:val="92"/>
              <w:rPr>
                <w:b/>
                <w:bCs/>
                <w:color w:val="auto"/>
                <w:highlight w:val="none"/>
                <w:u w:val="none"/>
              </w:rPr>
            </w:pPr>
            <w:r>
              <w:rPr>
                <w:rFonts w:hint="eastAsia"/>
                <w:b/>
                <w:bCs/>
                <w:color w:val="auto"/>
                <w:highlight w:val="none"/>
                <w:u w:val="none"/>
              </w:rPr>
              <w:t>符合性</w:t>
            </w:r>
          </w:p>
        </w:tc>
      </w:tr>
      <w:tr w14:paraId="637CFC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388" w:type="pct"/>
            <w:vAlign w:val="center"/>
          </w:tcPr>
          <w:p w14:paraId="1B5EB13E">
            <w:pPr>
              <w:pStyle w:val="92"/>
              <w:rPr>
                <w:color w:val="auto"/>
                <w:highlight w:val="none"/>
                <w:u w:val="none"/>
              </w:rPr>
            </w:pPr>
            <w:r>
              <w:rPr>
                <w:rFonts w:hint="eastAsia"/>
                <w:color w:val="auto"/>
                <w:highlight w:val="none"/>
                <w:u w:val="none"/>
              </w:rPr>
              <w:t>空间布局约束</w:t>
            </w:r>
          </w:p>
        </w:tc>
        <w:tc>
          <w:tcPr>
            <w:tcW w:w="2404" w:type="pct"/>
            <w:vAlign w:val="center"/>
          </w:tcPr>
          <w:p w14:paraId="1AC26AC5">
            <w:pPr>
              <w:pStyle w:val="92"/>
              <w:jc w:val="left"/>
              <w:rPr>
                <w:rFonts w:cs="宋体"/>
                <w:color w:val="auto"/>
                <w:highlight w:val="none"/>
                <w:u w:val="none"/>
              </w:rPr>
            </w:pPr>
            <w:r>
              <w:rPr>
                <w:rFonts w:hint="eastAsia" w:cs="宋体"/>
                <w:color w:val="auto"/>
                <w:highlight w:val="none"/>
                <w:u w:val="none"/>
              </w:rPr>
              <w:t>1.优化规划开发时序，规划范围内现有永久基本农田0.27394km</w:t>
            </w:r>
            <w:r>
              <w:rPr>
                <w:rFonts w:hint="eastAsia" w:cs="宋体"/>
                <w:color w:val="auto"/>
                <w:highlight w:val="none"/>
                <w:u w:val="none"/>
                <w:vertAlign w:val="superscript"/>
              </w:rPr>
              <w:t>2</w:t>
            </w:r>
            <w:r>
              <w:rPr>
                <w:rFonts w:hint="eastAsia" w:cs="宋体"/>
                <w:color w:val="auto"/>
                <w:highlight w:val="none"/>
                <w:u w:val="none"/>
              </w:rPr>
              <w:t>，要求占用永久基本农田的地块禁止开发建设。对未纳入城镇开发边界的区域应严格落实《自然资源部关于做好城镇开发边界管理的通知（试行）》（自然资发〔2023〕193号）要求，暂不开发。</w:t>
            </w:r>
          </w:p>
          <w:p w14:paraId="2F86D9D7">
            <w:pPr>
              <w:pStyle w:val="92"/>
              <w:jc w:val="left"/>
              <w:rPr>
                <w:rFonts w:cs="宋体"/>
                <w:color w:val="auto"/>
                <w:highlight w:val="none"/>
                <w:u w:val="none"/>
              </w:rPr>
            </w:pPr>
            <w:r>
              <w:rPr>
                <w:rFonts w:hint="eastAsia" w:cs="宋体"/>
                <w:color w:val="auto"/>
                <w:highlight w:val="none"/>
                <w:u w:val="none"/>
              </w:rPr>
              <w:t>2.对未纳入化工园区认定范围的用地，严格落实《福建省化工园区建设标准和认定管理实施细则》要求，“未通过化工园区认定前不得新建、改扩建化工项目（安全、环保、节能和智能化改造项目除外）”。</w:t>
            </w:r>
          </w:p>
          <w:p w14:paraId="635FD183">
            <w:pPr>
              <w:pStyle w:val="92"/>
              <w:jc w:val="left"/>
              <w:rPr>
                <w:rFonts w:cs="宋体"/>
                <w:color w:val="auto"/>
                <w:highlight w:val="none"/>
                <w:u w:val="none"/>
              </w:rPr>
            </w:pPr>
            <w:r>
              <w:rPr>
                <w:rFonts w:hint="eastAsia" w:cs="宋体"/>
                <w:color w:val="auto"/>
                <w:highlight w:val="none"/>
                <w:u w:val="none"/>
              </w:rPr>
              <w:t>3.优化园区内部工业用地布局，将大气污染较严重、环境风险较大的项目或装置（特别是涉及“三致”、恶臭等有毒有害物质的）尽可能远离居民区等敏感目标布置，或布置于主导风向的侧向。</w:t>
            </w:r>
          </w:p>
          <w:p w14:paraId="6DF58892">
            <w:pPr>
              <w:pStyle w:val="92"/>
              <w:jc w:val="left"/>
              <w:rPr>
                <w:rFonts w:cs="宋体"/>
                <w:color w:val="auto"/>
                <w:highlight w:val="none"/>
                <w:u w:val="none"/>
              </w:rPr>
            </w:pPr>
            <w:r>
              <w:rPr>
                <w:rFonts w:hint="eastAsia" w:cs="宋体"/>
                <w:color w:val="auto"/>
                <w:highlight w:val="none"/>
                <w:u w:val="none"/>
              </w:rPr>
              <w:t>4.新厝拓展区原保税港区A区不得引进燃煤锅炉、生产工艺产生恶臭的企业。</w:t>
            </w:r>
          </w:p>
          <w:p w14:paraId="7F853E26">
            <w:pPr>
              <w:pStyle w:val="92"/>
              <w:jc w:val="left"/>
              <w:rPr>
                <w:rFonts w:cs="宋体"/>
                <w:color w:val="auto"/>
                <w:highlight w:val="none"/>
                <w:u w:val="none"/>
              </w:rPr>
            </w:pPr>
            <w:r>
              <w:rPr>
                <w:rFonts w:hint="eastAsia" w:cs="宋体"/>
                <w:color w:val="auto"/>
                <w:highlight w:val="none"/>
                <w:u w:val="none"/>
              </w:rPr>
              <w:t>5.落实环境防护距离：</w:t>
            </w:r>
          </w:p>
          <w:p w14:paraId="35AE3469">
            <w:pPr>
              <w:pStyle w:val="92"/>
              <w:jc w:val="left"/>
              <w:rPr>
                <w:rFonts w:cs="宋体"/>
                <w:color w:val="auto"/>
                <w:highlight w:val="none"/>
                <w:u w:val="none"/>
              </w:rPr>
            </w:pPr>
            <w:r>
              <w:rPr>
                <w:rFonts w:hint="eastAsia" w:cs="宋体"/>
                <w:color w:val="auto"/>
                <w:highlight w:val="none"/>
                <w:u w:val="none"/>
              </w:rPr>
              <w:t>（1）以本次福州江阴港城经济区规划的化工产业所在片区（包括：医疗、尼龙新材料、高端异氰酸酯、氯循环发展、轻烃深加工等产业板块以及其他涉及化工的发展预留板块）边界外扩500米范围（海域除外）设置为环保隔离带。西部环保隔离带与西部化工区最大风险事故应急疏散范围（5000米）包络线之间设置为环保控制带，中部、东部环保隔离带外扩1500米范围设置为环保控制带。后续有环境防护距离设置要求的项目按环评批复从严执行。</w:t>
            </w:r>
          </w:p>
          <w:p w14:paraId="771D7CAE">
            <w:pPr>
              <w:pStyle w:val="92"/>
              <w:jc w:val="left"/>
              <w:rPr>
                <w:rFonts w:cs="宋体"/>
                <w:color w:val="auto"/>
                <w:highlight w:val="none"/>
                <w:u w:val="none"/>
              </w:rPr>
            </w:pPr>
            <w:r>
              <w:rPr>
                <w:rFonts w:hint="eastAsia" w:cs="宋体"/>
                <w:color w:val="auto"/>
                <w:highlight w:val="none"/>
                <w:u w:val="none"/>
              </w:rPr>
              <w:t>（2）环保隔离带内不得有集中式居民区、学校、医院等敏感目标。其中，对于现有及规划扩建的涉光气项目以光气及光气化装置，应以装置边界外扩2000m设置安全防护距离。安全防护距离严格执行《光气及光气化产品生产安全规范》（GB19041-2024）有关要求。</w:t>
            </w:r>
          </w:p>
          <w:p w14:paraId="41450590">
            <w:pPr>
              <w:pStyle w:val="92"/>
              <w:jc w:val="left"/>
              <w:rPr>
                <w:rFonts w:cs="宋体"/>
                <w:color w:val="auto"/>
                <w:highlight w:val="none"/>
                <w:u w:val="none"/>
              </w:rPr>
            </w:pPr>
            <w:r>
              <w:rPr>
                <w:rFonts w:hint="eastAsia" w:cs="宋体"/>
                <w:color w:val="auto"/>
                <w:highlight w:val="none"/>
                <w:u w:val="none"/>
              </w:rPr>
              <w:t>（3）环保控制带内不得新增居住建筑，规划用地可作为港口及产业区配套的商业、办公、宿舍、研发、测试等用地。</w:t>
            </w:r>
          </w:p>
          <w:p w14:paraId="0FF343F3">
            <w:pPr>
              <w:pStyle w:val="92"/>
              <w:jc w:val="left"/>
              <w:rPr>
                <w:color w:val="auto"/>
                <w:highlight w:val="none"/>
                <w:u w:val="none"/>
              </w:rPr>
            </w:pPr>
            <w:r>
              <w:rPr>
                <w:rFonts w:hint="eastAsia" w:cs="宋体"/>
                <w:color w:val="auto"/>
                <w:highlight w:val="none"/>
                <w:u w:val="none"/>
              </w:rPr>
              <w:t>6.东江水厂库周50米范围禁止工业企业生产过程使用危化品、新建项目应达到国内清洁生产先进水平。</w:t>
            </w:r>
          </w:p>
        </w:tc>
        <w:tc>
          <w:tcPr>
            <w:tcW w:w="1830" w:type="pct"/>
            <w:vAlign w:val="center"/>
          </w:tcPr>
          <w:p w14:paraId="02828491">
            <w:pPr>
              <w:pStyle w:val="92"/>
              <w:jc w:val="both"/>
              <w:rPr>
                <w:rFonts w:cs="宋体"/>
                <w:color w:val="auto"/>
                <w:highlight w:val="none"/>
                <w:u w:val="none"/>
              </w:rPr>
            </w:pPr>
          </w:p>
        </w:tc>
        <w:tc>
          <w:tcPr>
            <w:tcW w:w="377" w:type="pct"/>
            <w:vAlign w:val="center"/>
          </w:tcPr>
          <w:p w14:paraId="6424667F">
            <w:pPr>
              <w:pStyle w:val="92"/>
              <w:rPr>
                <w:rFonts w:cs="宋体"/>
                <w:color w:val="auto"/>
                <w:highlight w:val="none"/>
                <w:u w:val="none"/>
              </w:rPr>
            </w:pPr>
            <w:r>
              <w:rPr>
                <w:rFonts w:hint="eastAsia"/>
                <w:color w:val="auto"/>
                <w:highlight w:val="none"/>
                <w:u w:val="none"/>
              </w:rPr>
              <w:t>符合</w:t>
            </w:r>
          </w:p>
        </w:tc>
      </w:tr>
      <w:tr w14:paraId="5FB643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388" w:type="pct"/>
            <w:vAlign w:val="center"/>
          </w:tcPr>
          <w:p w14:paraId="4CE97D28">
            <w:pPr>
              <w:pStyle w:val="92"/>
              <w:rPr>
                <w:color w:val="auto"/>
                <w:highlight w:val="none"/>
                <w:u w:val="none"/>
              </w:rPr>
            </w:pPr>
            <w:r>
              <w:rPr>
                <w:rFonts w:hint="eastAsia"/>
                <w:color w:val="auto"/>
                <w:highlight w:val="none"/>
                <w:u w:val="none"/>
              </w:rPr>
              <w:t>污染物排放管控</w:t>
            </w:r>
          </w:p>
        </w:tc>
        <w:tc>
          <w:tcPr>
            <w:tcW w:w="2404" w:type="pct"/>
            <w:vAlign w:val="center"/>
          </w:tcPr>
          <w:p w14:paraId="3473426C">
            <w:pPr>
              <w:pStyle w:val="26"/>
              <w:spacing w:after="0"/>
              <w:rPr>
                <w:rFonts w:cs="宋体"/>
                <w:color w:val="auto"/>
                <w:szCs w:val="21"/>
                <w:highlight w:val="none"/>
                <w:u w:val="none"/>
              </w:rPr>
            </w:pPr>
            <w:r>
              <w:rPr>
                <w:rFonts w:hint="eastAsia" w:cs="宋体"/>
                <w:color w:val="auto"/>
                <w:szCs w:val="21"/>
                <w:highlight w:val="none"/>
                <w:u w:val="none"/>
              </w:rPr>
              <w:t>1.严格环境准入，主导产业MDI、TDI、轻烃裂解等重大项目清洁生产需达到同行业先进水平，其它项目应达到国内先进水平；配套产业及其他产业各项目，其生产工艺、设备、污染治理技术，以及单位产品能耗、物耗、污染物排放和资源利用效率应满足行业准入要求。</w:t>
            </w:r>
          </w:p>
          <w:p w14:paraId="44C7E95F">
            <w:pPr>
              <w:pStyle w:val="26"/>
              <w:spacing w:after="0"/>
              <w:rPr>
                <w:rFonts w:cs="宋体"/>
                <w:color w:val="auto"/>
                <w:szCs w:val="21"/>
                <w:highlight w:val="none"/>
                <w:u w:val="none"/>
              </w:rPr>
            </w:pPr>
            <w:r>
              <w:rPr>
                <w:rFonts w:hint="eastAsia" w:cs="宋体"/>
                <w:color w:val="auto"/>
                <w:szCs w:val="21"/>
                <w:highlight w:val="none"/>
                <w:u w:val="none"/>
              </w:rPr>
              <w:t>2.优化能源结构，逐步提高清洁能源使用比例。</w:t>
            </w:r>
          </w:p>
          <w:p w14:paraId="4450CDEF">
            <w:pPr>
              <w:pStyle w:val="26"/>
              <w:spacing w:after="0"/>
              <w:rPr>
                <w:rFonts w:cs="宋体"/>
                <w:color w:val="auto"/>
                <w:szCs w:val="21"/>
                <w:highlight w:val="none"/>
                <w:u w:val="none"/>
              </w:rPr>
            </w:pPr>
            <w:r>
              <w:rPr>
                <w:rFonts w:hint="eastAsia" w:cs="宋体"/>
                <w:color w:val="auto"/>
                <w:szCs w:val="21"/>
                <w:highlight w:val="none"/>
                <w:u w:val="none"/>
              </w:rPr>
              <w:t>3.从严执行污染物排放标准：</w:t>
            </w:r>
          </w:p>
          <w:p w14:paraId="6AF91D4B">
            <w:pPr>
              <w:pStyle w:val="26"/>
              <w:spacing w:after="0"/>
              <w:ind w:firstLine="210" w:firstLineChars="100"/>
              <w:rPr>
                <w:rFonts w:cs="宋体"/>
                <w:color w:val="auto"/>
                <w:szCs w:val="21"/>
                <w:highlight w:val="none"/>
                <w:u w:val="none"/>
              </w:rPr>
            </w:pPr>
            <w:r>
              <w:rPr>
                <w:rFonts w:hint="eastAsia" w:cs="宋体"/>
                <w:color w:val="auto"/>
                <w:szCs w:val="21"/>
                <w:highlight w:val="none"/>
                <w:u w:val="none"/>
              </w:rPr>
              <w:t>（1）江阴工业区污水处理厂尾水执行《城镇污水处理厂污染物排放标准》（GB18918-2002）中一级A标准；未规定的污染物，排放浓度对照《城镇污水处理厂污染物排放标准》（GB18918-2002）中表2、表3最高允许排放浓度要求和《污水综合排放标准》（GB8978-1996）表4中一级标准要求，从严执行。</w:t>
            </w:r>
          </w:p>
          <w:p w14:paraId="71E5AD6B">
            <w:pPr>
              <w:pStyle w:val="26"/>
              <w:spacing w:after="0"/>
              <w:ind w:firstLine="210" w:firstLineChars="100"/>
              <w:rPr>
                <w:rFonts w:cs="宋体"/>
                <w:color w:val="auto"/>
                <w:szCs w:val="21"/>
                <w:highlight w:val="none"/>
                <w:u w:val="none"/>
              </w:rPr>
            </w:pPr>
            <w:r>
              <w:rPr>
                <w:rFonts w:hint="eastAsia" w:cs="宋体"/>
                <w:color w:val="auto"/>
                <w:szCs w:val="21"/>
                <w:highlight w:val="none"/>
                <w:u w:val="none"/>
              </w:rPr>
              <w:t>（2）工业企业废水进入园区污水处理厂处理的，工业企业废水排放执行标准：取行业废水间接排放标准、《污水综合排放标准》（GB8978-1996）、《污水排入城镇下水道水质标准》（GB/T31965-2015）中B级标准、企业与园区污水厂商定的标准限值（江阴污水厂纳管标准）中最严格的浓度限值；工业企业废水无法进入园区污水处理厂处理，由工业企业自行处理后经园区废水深海排放口排放的，工业企业废水排放执行标准：取行业废水直接排放标准、《污水综合排放标准》（GB8978-1996）、《城镇污水处理厂污染物排放标准》（GB18918-2002）表1一级A标准中最严格的浓度限值。</w:t>
            </w:r>
          </w:p>
          <w:p w14:paraId="133AE6B9">
            <w:pPr>
              <w:pStyle w:val="26"/>
              <w:spacing w:after="0"/>
              <w:ind w:firstLine="210" w:firstLineChars="100"/>
              <w:rPr>
                <w:rFonts w:cs="宋体"/>
                <w:color w:val="auto"/>
                <w:szCs w:val="21"/>
                <w:highlight w:val="none"/>
                <w:u w:val="none"/>
              </w:rPr>
            </w:pPr>
            <w:r>
              <w:rPr>
                <w:rFonts w:hint="eastAsia" w:cs="宋体"/>
                <w:color w:val="auto"/>
                <w:szCs w:val="21"/>
                <w:highlight w:val="none"/>
                <w:u w:val="none"/>
              </w:rPr>
              <w:t>（3）规划区内石化、化工等行业以及燃煤锅炉等项目执行大气污染物特别排放限值。</w:t>
            </w:r>
          </w:p>
          <w:p w14:paraId="55B1FCA1">
            <w:pPr>
              <w:pStyle w:val="26"/>
              <w:spacing w:after="0"/>
              <w:ind w:firstLine="210" w:firstLineChars="100"/>
              <w:rPr>
                <w:rFonts w:cs="宋体"/>
                <w:color w:val="auto"/>
                <w:szCs w:val="21"/>
                <w:highlight w:val="none"/>
                <w:u w:val="none"/>
              </w:rPr>
            </w:pPr>
            <w:r>
              <w:rPr>
                <w:rFonts w:hint="eastAsia" w:cs="宋体"/>
                <w:color w:val="auto"/>
                <w:szCs w:val="21"/>
                <w:highlight w:val="none"/>
                <w:u w:val="none"/>
              </w:rPr>
              <w:t>（4）规划区新增主要水、大气污染物排放总量不得突破本规划环评的建议指标；涉新增VOCs排放项目，应优先依托园区企业自身实现替代削减。严格控制企业废气无组织排放。</w:t>
            </w:r>
          </w:p>
          <w:p w14:paraId="283599E3">
            <w:pPr>
              <w:pStyle w:val="26"/>
              <w:spacing w:after="0"/>
              <w:ind w:firstLine="210" w:firstLineChars="100"/>
              <w:rPr>
                <w:rFonts w:cs="宋体"/>
                <w:color w:val="auto"/>
                <w:szCs w:val="21"/>
                <w:highlight w:val="none"/>
                <w:u w:val="none"/>
              </w:rPr>
            </w:pPr>
            <w:r>
              <w:rPr>
                <w:rFonts w:hint="eastAsia" w:cs="宋体"/>
                <w:color w:val="auto"/>
                <w:szCs w:val="21"/>
                <w:highlight w:val="none"/>
                <w:u w:val="none"/>
              </w:rPr>
              <w:t>（5）各入园企业严格按照项目环评要求做好企业内部分区防渗，应采取有效措施防止建设对区域地下水、土壤造成污染。建设涉及有毒有害物质的生产装置、储罐和管道，或者建设污水处理池、应急池、固体废物处置设施等存在土壤污染风险的设施，应当按照国家和地方有关标准和规范的要求，设计、建设和安装有关防腐蚀、防泄漏设施和泄漏监测装置，防止有毒有害物质污染土壤和地下水。</w:t>
            </w:r>
          </w:p>
          <w:p w14:paraId="2B5D546F">
            <w:pPr>
              <w:pStyle w:val="26"/>
              <w:spacing w:after="0"/>
              <w:ind w:firstLine="210" w:firstLineChars="100"/>
              <w:rPr>
                <w:rFonts w:cs="宋体"/>
                <w:color w:val="auto"/>
                <w:szCs w:val="21"/>
                <w:highlight w:val="none"/>
                <w:u w:val="none"/>
              </w:rPr>
            </w:pPr>
            <w:r>
              <w:rPr>
                <w:rFonts w:hint="eastAsia" w:cs="宋体"/>
                <w:color w:val="auto"/>
                <w:szCs w:val="21"/>
                <w:highlight w:val="none"/>
                <w:u w:val="none"/>
              </w:rPr>
              <w:t>（6）除符合规划产业发展方向的锂电新材料板块外，严禁引入其他排放重金属污染物的企业。</w:t>
            </w:r>
          </w:p>
          <w:p w14:paraId="367CFE4A">
            <w:pPr>
              <w:pStyle w:val="92"/>
              <w:jc w:val="left"/>
              <w:rPr>
                <w:color w:val="auto"/>
                <w:highlight w:val="none"/>
                <w:u w:val="none"/>
              </w:rPr>
            </w:pPr>
            <w:r>
              <w:rPr>
                <w:rFonts w:hint="eastAsia" w:cs="宋体"/>
                <w:color w:val="auto"/>
                <w:highlight w:val="none"/>
                <w:u w:val="none"/>
              </w:rPr>
              <w:t>4.建立健全温室气体排放管理体系，推动园区绿色低碳发展。园区及企业的碳排放应符合国家、地方下达的指标。</w:t>
            </w:r>
          </w:p>
        </w:tc>
        <w:tc>
          <w:tcPr>
            <w:tcW w:w="1830" w:type="pct"/>
            <w:vAlign w:val="center"/>
          </w:tcPr>
          <w:p w14:paraId="4BFD4EC3">
            <w:pPr>
              <w:pStyle w:val="92"/>
              <w:jc w:val="both"/>
              <w:rPr>
                <w:rFonts w:cs="宋体"/>
                <w:color w:val="auto"/>
                <w:highlight w:val="none"/>
                <w:u w:val="none"/>
              </w:rPr>
            </w:pPr>
          </w:p>
          <w:p w14:paraId="4FC36B3A">
            <w:pPr>
              <w:pStyle w:val="92"/>
              <w:jc w:val="both"/>
              <w:rPr>
                <w:rFonts w:cs="宋体"/>
                <w:color w:val="auto"/>
                <w:highlight w:val="none"/>
                <w:u w:val="none"/>
              </w:rPr>
            </w:pPr>
          </w:p>
        </w:tc>
        <w:tc>
          <w:tcPr>
            <w:tcW w:w="377" w:type="pct"/>
            <w:vAlign w:val="center"/>
          </w:tcPr>
          <w:p w14:paraId="16F5687D">
            <w:pPr>
              <w:pStyle w:val="92"/>
              <w:rPr>
                <w:rFonts w:cs="宋体"/>
                <w:color w:val="auto"/>
                <w:highlight w:val="none"/>
                <w:u w:val="none"/>
              </w:rPr>
            </w:pPr>
            <w:r>
              <w:rPr>
                <w:rFonts w:hint="eastAsia" w:cs="宋体"/>
                <w:color w:val="auto"/>
                <w:highlight w:val="none"/>
                <w:u w:val="none"/>
              </w:rPr>
              <w:t>符合</w:t>
            </w:r>
          </w:p>
        </w:tc>
      </w:tr>
      <w:tr w14:paraId="2D79EC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388" w:type="pct"/>
            <w:vAlign w:val="center"/>
          </w:tcPr>
          <w:p w14:paraId="6E52DDE4">
            <w:pPr>
              <w:pStyle w:val="92"/>
              <w:rPr>
                <w:color w:val="auto"/>
                <w:highlight w:val="none"/>
                <w:u w:val="none"/>
              </w:rPr>
            </w:pPr>
            <w:r>
              <w:rPr>
                <w:rFonts w:hint="eastAsia"/>
                <w:color w:val="auto"/>
                <w:highlight w:val="none"/>
                <w:u w:val="none"/>
              </w:rPr>
              <w:t>环境风险防控</w:t>
            </w:r>
          </w:p>
        </w:tc>
        <w:tc>
          <w:tcPr>
            <w:tcW w:w="2404" w:type="pct"/>
            <w:vAlign w:val="center"/>
          </w:tcPr>
          <w:p w14:paraId="7C17614C">
            <w:pPr>
              <w:pStyle w:val="92"/>
              <w:jc w:val="left"/>
              <w:rPr>
                <w:rFonts w:cs="宋体"/>
                <w:color w:val="auto"/>
                <w:highlight w:val="none"/>
                <w:u w:val="none"/>
              </w:rPr>
            </w:pPr>
            <w:r>
              <w:rPr>
                <w:rFonts w:hint="eastAsia" w:cs="宋体"/>
                <w:color w:val="auto"/>
                <w:highlight w:val="none"/>
                <w:u w:val="none"/>
              </w:rPr>
              <w:t>1.完善装置/单元-企业-园区-区域四级环境风险防控体系，完善江阴产业区西部企业与已建的公共事故应急池的联通工作；根据东部片区入驻实际核实公共事故应急池建设要求，并推进东部公共事故应急池及事故污水输送管道建设。加快满足联通条件的相邻石化、化工企业应急池互联互通工程的建设。</w:t>
            </w:r>
          </w:p>
          <w:p w14:paraId="27FC88FC">
            <w:pPr>
              <w:pStyle w:val="92"/>
              <w:jc w:val="left"/>
              <w:rPr>
                <w:rFonts w:cs="宋体"/>
                <w:color w:val="auto"/>
                <w:highlight w:val="none"/>
                <w:u w:val="none"/>
              </w:rPr>
            </w:pPr>
            <w:r>
              <w:rPr>
                <w:rFonts w:hint="eastAsia" w:cs="宋体"/>
                <w:color w:val="auto"/>
                <w:highlight w:val="none"/>
                <w:u w:val="none"/>
              </w:rPr>
              <w:t>2.入园企业必须按照安评及环评的要求，严格落实与周边人群的防护距离。企业需加强管理，对于环境污染防治措施，尤其是废气处理措施，按时检修，做好日常维护，保证处理设备的正常运行，防止由于设备问题导致的废气事故排放，对周边居民生产生活造成影响。</w:t>
            </w:r>
          </w:p>
          <w:p w14:paraId="1E200670">
            <w:pPr>
              <w:pStyle w:val="92"/>
              <w:jc w:val="left"/>
              <w:rPr>
                <w:rFonts w:cs="宋体"/>
                <w:color w:val="auto"/>
                <w:highlight w:val="none"/>
                <w:u w:val="none"/>
              </w:rPr>
            </w:pPr>
            <w:r>
              <w:rPr>
                <w:rFonts w:hint="eastAsia" w:cs="宋体"/>
                <w:color w:val="auto"/>
                <w:highlight w:val="none"/>
                <w:u w:val="none"/>
              </w:rPr>
              <w:t>3.江阴港城经济区管委会应加强日常巡视和风险演练，涉及危险品的项目的设计施工、储存、运输、生产使用等各个环节必须高度重视安全生产，事故防范和减少环境风险，严格要求各企业针对各自重点环保设施的运行安全隐患进行定期排查，禁止违规作业。</w:t>
            </w:r>
          </w:p>
          <w:p w14:paraId="4DA3B6D3">
            <w:pPr>
              <w:pStyle w:val="92"/>
              <w:jc w:val="left"/>
              <w:rPr>
                <w:rFonts w:cs="宋体"/>
                <w:color w:val="auto"/>
                <w:highlight w:val="none"/>
                <w:u w:val="none"/>
              </w:rPr>
            </w:pPr>
            <w:r>
              <w:rPr>
                <w:rFonts w:hint="eastAsia" w:cs="宋体"/>
                <w:color w:val="auto"/>
                <w:highlight w:val="none"/>
                <w:u w:val="none"/>
              </w:rPr>
              <w:t>4.建议应急机构和指挥协调机构每年组织1~2次区内企业联动综合应急演练和环境事故专项演练，不断完善和提高园区环境风险防控能力。健全风险事故应急监测和监控能力。</w:t>
            </w:r>
          </w:p>
          <w:p w14:paraId="1CA9A913">
            <w:pPr>
              <w:pStyle w:val="92"/>
              <w:jc w:val="left"/>
              <w:rPr>
                <w:rFonts w:cs="宋体"/>
                <w:color w:val="auto"/>
                <w:highlight w:val="none"/>
                <w:u w:val="none"/>
              </w:rPr>
            </w:pPr>
            <w:r>
              <w:rPr>
                <w:rFonts w:hint="eastAsia" w:cs="宋体"/>
                <w:color w:val="auto"/>
                <w:highlight w:val="none"/>
                <w:u w:val="none"/>
              </w:rPr>
              <w:t>5.规划区及区内未来入驻企业应按照有关要求编制开发区及企业应急预案，应对园区运营及企业自身生产运营期间的突发环境事件，并与上位各层级预案做好衔接。</w:t>
            </w:r>
          </w:p>
          <w:p w14:paraId="33C81160">
            <w:pPr>
              <w:pStyle w:val="92"/>
              <w:jc w:val="left"/>
              <w:rPr>
                <w:color w:val="auto"/>
                <w:highlight w:val="none"/>
                <w:u w:val="none"/>
              </w:rPr>
            </w:pPr>
            <w:r>
              <w:rPr>
                <w:rFonts w:hint="eastAsia" w:cs="宋体"/>
                <w:color w:val="auto"/>
                <w:highlight w:val="none"/>
                <w:u w:val="none"/>
              </w:rPr>
              <w:t>6.化工园区实行封闭化管理，建立门禁系统和视频监控系统，对涉易燃易爆、有毒有害化学品物料、车辆等进出实施全过程监管。</w:t>
            </w:r>
          </w:p>
        </w:tc>
        <w:tc>
          <w:tcPr>
            <w:tcW w:w="1830" w:type="pct"/>
            <w:vAlign w:val="center"/>
          </w:tcPr>
          <w:p w14:paraId="5B95A073">
            <w:pPr>
              <w:pStyle w:val="92"/>
              <w:jc w:val="both"/>
              <w:rPr>
                <w:rFonts w:cs="宋体"/>
                <w:color w:val="auto"/>
                <w:highlight w:val="none"/>
                <w:u w:val="none"/>
              </w:rPr>
            </w:pPr>
          </w:p>
        </w:tc>
        <w:tc>
          <w:tcPr>
            <w:tcW w:w="377" w:type="pct"/>
            <w:vAlign w:val="center"/>
          </w:tcPr>
          <w:p w14:paraId="163940DC">
            <w:pPr>
              <w:pStyle w:val="92"/>
              <w:rPr>
                <w:rFonts w:cs="宋体"/>
                <w:color w:val="auto"/>
                <w:highlight w:val="none"/>
                <w:u w:val="none"/>
              </w:rPr>
            </w:pPr>
            <w:r>
              <w:rPr>
                <w:rFonts w:hint="eastAsia" w:cs="宋体"/>
                <w:color w:val="auto"/>
                <w:highlight w:val="none"/>
                <w:u w:val="none"/>
              </w:rPr>
              <w:t>符合</w:t>
            </w:r>
          </w:p>
        </w:tc>
      </w:tr>
      <w:tr w14:paraId="386161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28" w:type="dxa"/>
            <w:left w:w="108" w:type="dxa"/>
            <w:bottom w:w="28" w:type="dxa"/>
            <w:right w:w="108" w:type="dxa"/>
          </w:tblCellMar>
        </w:tblPrEx>
        <w:trPr>
          <w:jc w:val="center"/>
        </w:trPr>
        <w:tc>
          <w:tcPr>
            <w:tcW w:w="388" w:type="pct"/>
            <w:vAlign w:val="center"/>
          </w:tcPr>
          <w:p w14:paraId="39795787">
            <w:pPr>
              <w:pStyle w:val="92"/>
              <w:rPr>
                <w:color w:val="auto"/>
                <w:highlight w:val="none"/>
                <w:u w:val="none"/>
              </w:rPr>
            </w:pPr>
            <w:r>
              <w:rPr>
                <w:rFonts w:hint="eastAsia"/>
                <w:color w:val="auto"/>
                <w:highlight w:val="none"/>
                <w:u w:val="none"/>
              </w:rPr>
              <w:t>资源开发利用管控</w:t>
            </w:r>
          </w:p>
        </w:tc>
        <w:tc>
          <w:tcPr>
            <w:tcW w:w="2404" w:type="pct"/>
            <w:vAlign w:val="center"/>
          </w:tcPr>
          <w:p w14:paraId="7F1FB619">
            <w:pPr>
              <w:pStyle w:val="92"/>
              <w:jc w:val="left"/>
              <w:rPr>
                <w:color w:val="auto"/>
                <w:highlight w:val="none"/>
                <w:u w:val="none"/>
              </w:rPr>
            </w:pPr>
            <w:r>
              <w:rPr>
                <w:rFonts w:hint="eastAsia"/>
                <w:color w:val="auto"/>
                <w:highlight w:val="none"/>
                <w:u w:val="none"/>
              </w:rPr>
              <w:t>1.土地资源利用总量：规划范围内建设用地规模不突破40.32km</w:t>
            </w:r>
            <w:r>
              <w:rPr>
                <w:rFonts w:hint="eastAsia"/>
                <w:color w:val="auto"/>
                <w:highlight w:val="none"/>
                <w:u w:val="none"/>
                <w:vertAlign w:val="superscript"/>
              </w:rPr>
              <w:t>2</w:t>
            </w:r>
            <w:r>
              <w:rPr>
                <w:rFonts w:hint="eastAsia"/>
                <w:color w:val="auto"/>
                <w:highlight w:val="none"/>
                <w:u w:val="none"/>
              </w:rPr>
              <w:t>。规划近期单位工业用地工业增加值达到6亿元/km</w:t>
            </w:r>
            <w:r>
              <w:rPr>
                <w:rFonts w:hint="eastAsia"/>
                <w:color w:val="auto"/>
                <w:highlight w:val="none"/>
                <w:u w:val="none"/>
                <w:vertAlign w:val="superscript"/>
              </w:rPr>
              <w:t>2</w:t>
            </w:r>
            <w:r>
              <w:rPr>
                <w:rFonts w:hint="eastAsia"/>
                <w:color w:val="auto"/>
                <w:highlight w:val="none"/>
                <w:u w:val="none"/>
              </w:rPr>
              <w:t>，规划远期单位工业用地工业增加值达到9亿元/km</w:t>
            </w:r>
            <w:r>
              <w:rPr>
                <w:rFonts w:hint="eastAsia"/>
                <w:color w:val="auto"/>
                <w:highlight w:val="none"/>
                <w:u w:val="none"/>
                <w:vertAlign w:val="superscript"/>
              </w:rPr>
              <w:t>2</w:t>
            </w:r>
            <w:r>
              <w:rPr>
                <w:rFonts w:hint="eastAsia"/>
                <w:color w:val="auto"/>
                <w:highlight w:val="none"/>
                <w:u w:val="none"/>
              </w:rPr>
              <w:t>。</w:t>
            </w:r>
          </w:p>
          <w:p w14:paraId="7E99D809">
            <w:pPr>
              <w:pStyle w:val="92"/>
              <w:jc w:val="left"/>
              <w:rPr>
                <w:color w:val="auto"/>
                <w:highlight w:val="none"/>
                <w:u w:val="none"/>
              </w:rPr>
            </w:pPr>
            <w:r>
              <w:rPr>
                <w:rFonts w:hint="eastAsia"/>
                <w:color w:val="auto"/>
                <w:highlight w:val="none"/>
                <w:u w:val="none"/>
              </w:rPr>
              <w:t>2.水资源利用：规划区规划近期、远期工业用水重复利用率达到75%以上；规划近期再生水（中水）回用率≥10%，规划远期再生水（中水）回用率≥20%；规划近期单位工业增加值新鲜水耗≤20m</w:t>
            </w:r>
            <w:r>
              <w:rPr>
                <w:rFonts w:hint="eastAsia"/>
                <w:color w:val="auto"/>
                <w:highlight w:val="none"/>
                <w:u w:val="none"/>
                <w:vertAlign w:val="superscript"/>
              </w:rPr>
              <w:t>3</w:t>
            </w:r>
            <w:r>
              <w:rPr>
                <w:rFonts w:hint="eastAsia"/>
                <w:color w:val="auto"/>
                <w:highlight w:val="none"/>
                <w:u w:val="none"/>
              </w:rPr>
              <w:t>/万元，规划远期单位工业增加值新鲜水耗≤8m</w:t>
            </w:r>
            <w:r>
              <w:rPr>
                <w:rFonts w:hint="eastAsia"/>
                <w:color w:val="auto"/>
                <w:highlight w:val="none"/>
                <w:u w:val="none"/>
                <w:vertAlign w:val="superscript"/>
              </w:rPr>
              <w:t>3</w:t>
            </w:r>
            <w:r>
              <w:rPr>
                <w:rFonts w:hint="eastAsia"/>
                <w:color w:val="auto"/>
                <w:highlight w:val="none"/>
                <w:u w:val="none"/>
              </w:rPr>
              <w:t>/万元；规划近期、远期单位工业增加值废水排放量≤7吨/万元。</w:t>
            </w:r>
          </w:p>
          <w:p w14:paraId="6F01D451">
            <w:pPr>
              <w:pStyle w:val="92"/>
              <w:jc w:val="left"/>
              <w:rPr>
                <w:color w:val="auto"/>
                <w:highlight w:val="none"/>
                <w:u w:val="none"/>
              </w:rPr>
            </w:pPr>
            <w:r>
              <w:rPr>
                <w:rFonts w:hint="eastAsia"/>
                <w:color w:val="auto"/>
                <w:highlight w:val="none"/>
                <w:u w:val="none"/>
              </w:rPr>
              <w:t>3.能源利用总量及效率要求：规划区规划远期单位工业增加值综合能耗不高于0.5吨标煤/万元；单位工业增加值二氧化碳排放量年均削减率≥3%。</w:t>
            </w:r>
          </w:p>
          <w:p w14:paraId="343B1BCA">
            <w:pPr>
              <w:pStyle w:val="92"/>
              <w:jc w:val="left"/>
              <w:rPr>
                <w:color w:val="auto"/>
                <w:highlight w:val="none"/>
                <w:u w:val="none"/>
              </w:rPr>
            </w:pPr>
            <w:r>
              <w:rPr>
                <w:rFonts w:hint="eastAsia"/>
                <w:color w:val="auto"/>
                <w:highlight w:val="none"/>
                <w:u w:val="none"/>
              </w:rPr>
              <w:t>4.能源使用要求：扩大集中供热范围，集中供热管网覆盖范围内原则上禁止新建、扩建分散燃煤、燃油等供热锅炉。</w:t>
            </w:r>
          </w:p>
          <w:p w14:paraId="5AA5F1AB">
            <w:pPr>
              <w:pStyle w:val="92"/>
              <w:jc w:val="left"/>
              <w:rPr>
                <w:color w:val="auto"/>
                <w:highlight w:val="none"/>
                <w:u w:val="none"/>
              </w:rPr>
            </w:pPr>
            <w:r>
              <w:rPr>
                <w:rFonts w:hint="eastAsia"/>
                <w:color w:val="auto"/>
                <w:highlight w:val="none"/>
                <w:u w:val="none"/>
              </w:rPr>
              <w:t>5.入园企业的单位土地投资强度、产出效益应符合福建省、福州市及园区的要求。</w:t>
            </w:r>
          </w:p>
        </w:tc>
        <w:tc>
          <w:tcPr>
            <w:tcW w:w="1830" w:type="pct"/>
            <w:vAlign w:val="center"/>
          </w:tcPr>
          <w:p w14:paraId="0A096179">
            <w:pPr>
              <w:pStyle w:val="92"/>
              <w:jc w:val="both"/>
              <w:rPr>
                <w:color w:val="auto"/>
                <w:highlight w:val="none"/>
                <w:u w:val="none"/>
              </w:rPr>
            </w:pPr>
          </w:p>
        </w:tc>
        <w:tc>
          <w:tcPr>
            <w:tcW w:w="377" w:type="pct"/>
            <w:vAlign w:val="center"/>
          </w:tcPr>
          <w:p w14:paraId="24ED22EB">
            <w:pPr>
              <w:pStyle w:val="92"/>
              <w:rPr>
                <w:color w:val="auto"/>
                <w:highlight w:val="none"/>
                <w:u w:val="none"/>
              </w:rPr>
            </w:pPr>
            <w:r>
              <w:rPr>
                <w:rFonts w:hint="eastAsia" w:cs="宋体"/>
                <w:color w:val="auto"/>
                <w:highlight w:val="none"/>
                <w:u w:val="none"/>
              </w:rPr>
              <w:t>符合</w:t>
            </w:r>
          </w:p>
        </w:tc>
      </w:tr>
    </w:tbl>
    <w:p w14:paraId="0AE7F8FA">
      <w:pPr>
        <w:ind w:firstLine="0" w:firstLineChars="0"/>
        <w:rPr>
          <w:rFonts w:hint="eastAsia"/>
          <w:color w:val="auto"/>
          <w:highlight w:val="none"/>
          <w:u w:val="none"/>
        </w:rPr>
      </w:pPr>
    </w:p>
    <w:p w14:paraId="00473C62">
      <w:pPr>
        <w:ind w:firstLine="0" w:firstLineChars="0"/>
        <w:rPr>
          <w:rFonts w:hint="eastAsia"/>
          <w:color w:val="auto"/>
          <w:highlight w:val="none"/>
          <w:u w:val="none"/>
        </w:rPr>
      </w:pPr>
    </w:p>
    <w:p w14:paraId="47E4197F">
      <w:pPr>
        <w:ind w:firstLine="0" w:firstLineChars="0"/>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14B30930">
      <w:pPr>
        <w:ind w:firstLine="482"/>
        <w:jc w:val="center"/>
        <w:rPr>
          <w:rFonts w:hint="eastAsia"/>
          <w:b/>
          <w:bCs/>
          <w:color w:val="auto"/>
          <w:highlight w:val="none"/>
          <w:u w:val="none"/>
        </w:rPr>
      </w:pPr>
      <w:bookmarkStart w:id="422" w:name="_Ref30993"/>
      <w:r>
        <w:rPr>
          <w:rFonts w:hint="eastAsia"/>
          <w:b/>
          <w:bCs/>
          <w:color w:val="auto"/>
          <w:highlight w:val="none"/>
          <w:u w:val="none"/>
        </w:rPr>
        <w:t xml:space="preserve">表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5.11</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fldChar w:fldCharType="begin"/>
      </w:r>
      <w:r>
        <w:rPr>
          <w:rFonts w:hint="eastAsia"/>
          <w:b/>
          <w:bCs/>
          <w:color w:val="auto"/>
          <w:highlight w:val="none"/>
          <w:u w:val="none"/>
        </w:rPr>
        <w:instrText xml:space="preserve"> SEQ 表 \* ARABIC \s 2 </w:instrText>
      </w:r>
      <w:r>
        <w:rPr>
          <w:rFonts w:hint="eastAsia"/>
          <w:b/>
          <w:bCs/>
          <w:color w:val="auto"/>
          <w:highlight w:val="none"/>
          <w:u w:val="none"/>
        </w:rPr>
        <w:fldChar w:fldCharType="separate"/>
      </w:r>
      <w:r>
        <w:rPr>
          <w:rFonts w:hint="eastAsia"/>
          <w:b/>
          <w:bCs/>
          <w:color w:val="auto"/>
          <w:highlight w:val="none"/>
          <w:u w:val="none"/>
        </w:rPr>
        <w:t>10</w:t>
      </w:r>
      <w:r>
        <w:rPr>
          <w:rFonts w:hint="eastAsia"/>
          <w:b/>
          <w:bCs/>
          <w:color w:val="auto"/>
          <w:highlight w:val="none"/>
          <w:u w:val="none"/>
        </w:rPr>
        <w:fldChar w:fldCharType="end"/>
      </w:r>
      <w:bookmarkEnd w:id="422"/>
      <w:r>
        <w:rPr>
          <w:b/>
          <w:bCs/>
          <w:color w:val="auto"/>
          <w:highlight w:val="none"/>
          <w:u w:val="none"/>
        </w:rPr>
        <w:t xml:space="preserve">  </w:t>
      </w:r>
      <w:r>
        <w:rPr>
          <w:rFonts w:hint="eastAsia"/>
          <w:b/>
          <w:bCs/>
          <w:color w:val="auto"/>
          <w:highlight w:val="none"/>
          <w:u w:val="none"/>
        </w:rPr>
        <w:t>项目与产业发展规划环评审查意见的符合性分析</w:t>
      </w:r>
    </w:p>
    <w:tbl>
      <w:tblPr>
        <w:tblStyle w:val="5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6"/>
        <w:gridCol w:w="6727"/>
        <w:gridCol w:w="4680"/>
        <w:gridCol w:w="1315"/>
      </w:tblGrid>
      <w:tr w14:paraId="7E093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0" w:type="pct"/>
            <w:vAlign w:val="center"/>
          </w:tcPr>
          <w:p w14:paraId="33743574">
            <w:pPr>
              <w:pStyle w:val="92"/>
              <w:rPr>
                <w:color w:val="auto"/>
                <w:highlight w:val="none"/>
                <w:u w:val="none"/>
              </w:rPr>
            </w:pPr>
            <w:r>
              <w:rPr>
                <w:color w:val="auto"/>
                <w:highlight w:val="none"/>
                <w:u w:val="none"/>
              </w:rPr>
              <w:t>项目</w:t>
            </w:r>
          </w:p>
        </w:tc>
        <w:tc>
          <w:tcPr>
            <w:tcW w:w="2373" w:type="pct"/>
            <w:vAlign w:val="center"/>
          </w:tcPr>
          <w:p w14:paraId="0C3373C4">
            <w:pPr>
              <w:pStyle w:val="92"/>
              <w:rPr>
                <w:color w:val="auto"/>
                <w:highlight w:val="none"/>
                <w:u w:val="none"/>
              </w:rPr>
            </w:pPr>
            <w:r>
              <w:rPr>
                <w:color w:val="auto"/>
                <w:highlight w:val="none"/>
                <w:u w:val="none"/>
              </w:rPr>
              <w:t>规划环评及审查意见</w:t>
            </w:r>
            <w:r>
              <w:rPr>
                <w:rFonts w:hint="eastAsia"/>
                <w:color w:val="auto"/>
                <w:highlight w:val="none"/>
                <w:u w:val="none"/>
              </w:rPr>
              <w:t>内容</w:t>
            </w:r>
          </w:p>
        </w:tc>
        <w:tc>
          <w:tcPr>
            <w:tcW w:w="1651" w:type="pct"/>
            <w:vAlign w:val="center"/>
          </w:tcPr>
          <w:p w14:paraId="2CECEAC4">
            <w:pPr>
              <w:pStyle w:val="92"/>
              <w:rPr>
                <w:color w:val="auto"/>
                <w:highlight w:val="none"/>
                <w:u w:val="none"/>
              </w:rPr>
            </w:pPr>
            <w:r>
              <w:rPr>
                <w:rFonts w:hint="eastAsia"/>
                <w:color w:val="auto"/>
                <w:highlight w:val="none"/>
                <w:u w:val="none"/>
              </w:rPr>
              <w:t>本项目建设内容</w:t>
            </w:r>
          </w:p>
        </w:tc>
        <w:tc>
          <w:tcPr>
            <w:tcW w:w="464" w:type="pct"/>
            <w:vAlign w:val="center"/>
          </w:tcPr>
          <w:p w14:paraId="17F71C66">
            <w:pPr>
              <w:pStyle w:val="92"/>
              <w:rPr>
                <w:color w:val="auto"/>
                <w:highlight w:val="none"/>
                <w:u w:val="none"/>
              </w:rPr>
            </w:pPr>
            <w:r>
              <w:rPr>
                <w:color w:val="auto"/>
                <w:highlight w:val="none"/>
                <w:u w:val="none"/>
              </w:rPr>
              <w:t>符合性</w:t>
            </w:r>
          </w:p>
        </w:tc>
      </w:tr>
      <w:tr w14:paraId="0D328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433EDA3B">
            <w:pPr>
              <w:pStyle w:val="92"/>
              <w:rPr>
                <w:color w:val="auto"/>
                <w:highlight w:val="none"/>
                <w:u w:val="none"/>
              </w:rPr>
            </w:pPr>
            <w:r>
              <w:rPr>
                <w:rFonts w:hint="eastAsia"/>
                <w:color w:val="auto"/>
                <w:highlight w:val="none"/>
                <w:u w:val="none"/>
              </w:rPr>
              <w:t>优化</w:t>
            </w:r>
            <w:r>
              <w:rPr>
                <w:color w:val="auto"/>
                <w:highlight w:val="none"/>
                <w:u w:val="none"/>
              </w:rPr>
              <w:t>空间布局</w:t>
            </w:r>
          </w:p>
        </w:tc>
        <w:tc>
          <w:tcPr>
            <w:tcW w:w="2373" w:type="pct"/>
            <w:vAlign w:val="center"/>
          </w:tcPr>
          <w:p w14:paraId="5D46D7E2">
            <w:pPr>
              <w:pStyle w:val="92"/>
              <w:jc w:val="left"/>
              <w:rPr>
                <w:color w:val="auto"/>
                <w:highlight w:val="none"/>
                <w:u w:val="none"/>
              </w:rPr>
            </w:pPr>
            <w:r>
              <w:rPr>
                <w:rFonts w:hint="eastAsia"/>
                <w:color w:val="auto"/>
                <w:highlight w:val="none"/>
                <w:u w:val="none"/>
              </w:rPr>
              <w:t>1.统筹解决产业园区发展与周边城镇发展的布局性矛盾，落实《报告书》提出的用地调整要求，位于城镇开发边界外的规划范围暂缓开发；未纳入化工园区认定范围工业用地，不得新建、改扩建化工项目。在园区与临近的居民区之间设置合理的环保控制带和环境风险防范区，并在国土空间规划成果中落实。环保隔离带内不得规划居住、教育和医疗卫生等环境敏感设施用地。环境风险防范区内应严格控制人口规模，不得新建居民住宅、学校和医院等敏感建筑。</w:t>
            </w:r>
          </w:p>
          <w:p w14:paraId="01D4D9C3">
            <w:pPr>
              <w:pStyle w:val="92"/>
              <w:jc w:val="left"/>
              <w:rPr>
                <w:color w:val="auto"/>
                <w:highlight w:val="none"/>
                <w:u w:val="none"/>
              </w:rPr>
            </w:pPr>
            <w:r>
              <w:rPr>
                <w:rFonts w:hint="eastAsia"/>
                <w:color w:val="auto"/>
                <w:highlight w:val="none"/>
                <w:u w:val="none"/>
              </w:rPr>
              <w:t>2.为减轻化工项目对周边居民环境影响和环境风险，应进一步优化化工产业布局。将涉及恶臭及“三致”物质等大气污染较严重、环境风险较大的装置、储罐或单元，尽可能布置在远离居民区等环境敏感目标的区域。</w:t>
            </w:r>
          </w:p>
        </w:tc>
        <w:tc>
          <w:tcPr>
            <w:tcW w:w="1651" w:type="pct"/>
            <w:vAlign w:val="center"/>
          </w:tcPr>
          <w:p w14:paraId="2F80BD27">
            <w:pPr>
              <w:pStyle w:val="92"/>
              <w:jc w:val="left"/>
              <w:rPr>
                <w:color w:val="auto"/>
                <w:highlight w:val="none"/>
                <w:u w:val="none"/>
              </w:rPr>
            </w:pPr>
          </w:p>
        </w:tc>
        <w:tc>
          <w:tcPr>
            <w:tcW w:w="464" w:type="pct"/>
            <w:vAlign w:val="center"/>
          </w:tcPr>
          <w:p w14:paraId="78E53BC2">
            <w:pPr>
              <w:pStyle w:val="92"/>
              <w:rPr>
                <w:color w:val="auto"/>
                <w:highlight w:val="none"/>
                <w:u w:val="none"/>
              </w:rPr>
            </w:pPr>
            <w:r>
              <w:rPr>
                <w:color w:val="auto"/>
                <w:highlight w:val="none"/>
                <w:u w:val="none"/>
              </w:rPr>
              <w:t>符合</w:t>
            </w:r>
          </w:p>
        </w:tc>
      </w:tr>
      <w:tr w14:paraId="3E086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65E4FF1C">
            <w:pPr>
              <w:pStyle w:val="92"/>
              <w:rPr>
                <w:color w:val="auto"/>
                <w:highlight w:val="none"/>
                <w:u w:val="none"/>
              </w:rPr>
            </w:pPr>
            <w:r>
              <w:rPr>
                <w:rFonts w:hint="eastAsia"/>
                <w:color w:val="auto"/>
                <w:highlight w:val="none"/>
                <w:u w:val="none"/>
              </w:rPr>
              <w:t>严格生态环境准入</w:t>
            </w:r>
          </w:p>
        </w:tc>
        <w:tc>
          <w:tcPr>
            <w:tcW w:w="2373" w:type="pct"/>
            <w:vAlign w:val="center"/>
          </w:tcPr>
          <w:p w14:paraId="1D1BCDF5">
            <w:pPr>
              <w:pStyle w:val="92"/>
              <w:jc w:val="left"/>
              <w:rPr>
                <w:color w:val="auto"/>
                <w:highlight w:val="none"/>
                <w:u w:val="none"/>
              </w:rPr>
            </w:pPr>
            <w:r>
              <w:rPr>
                <w:rFonts w:hint="eastAsia"/>
                <w:color w:val="auto"/>
                <w:highlight w:val="none"/>
                <w:u w:val="none"/>
              </w:rPr>
              <w:t>积极推行清洁生产，减少污染物排放。按照《报告书》提出的生态环境准入清单严格项目准入。MDI、TDI、轻烃裂解等重大项目清洁生产需达到同行业先进水平，其它引进项目应达到国内先进水平。</w:t>
            </w:r>
          </w:p>
        </w:tc>
        <w:tc>
          <w:tcPr>
            <w:tcW w:w="1651" w:type="pct"/>
            <w:vAlign w:val="center"/>
          </w:tcPr>
          <w:p w14:paraId="4EB90259">
            <w:pPr>
              <w:pStyle w:val="92"/>
              <w:jc w:val="left"/>
              <w:rPr>
                <w:color w:val="auto"/>
                <w:highlight w:val="none"/>
                <w:u w:val="none"/>
              </w:rPr>
            </w:pPr>
          </w:p>
        </w:tc>
        <w:tc>
          <w:tcPr>
            <w:tcW w:w="464" w:type="pct"/>
            <w:vAlign w:val="center"/>
          </w:tcPr>
          <w:p w14:paraId="2A9C0213">
            <w:pPr>
              <w:pStyle w:val="92"/>
              <w:rPr>
                <w:color w:val="auto"/>
                <w:highlight w:val="none"/>
                <w:u w:val="none"/>
              </w:rPr>
            </w:pPr>
            <w:r>
              <w:rPr>
                <w:rFonts w:hint="eastAsia"/>
                <w:color w:val="auto"/>
                <w:highlight w:val="none"/>
                <w:u w:val="none"/>
              </w:rPr>
              <w:t>符合</w:t>
            </w:r>
          </w:p>
        </w:tc>
      </w:tr>
      <w:tr w14:paraId="1B081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62B3D88A">
            <w:pPr>
              <w:pStyle w:val="92"/>
              <w:rPr>
                <w:color w:val="auto"/>
                <w:highlight w:val="none"/>
                <w:u w:val="none"/>
              </w:rPr>
            </w:pPr>
            <w:r>
              <w:rPr>
                <w:rFonts w:hint="eastAsia"/>
                <w:color w:val="auto"/>
                <w:highlight w:val="none"/>
                <w:u w:val="none"/>
              </w:rPr>
              <w:t>优化资源能源结构</w:t>
            </w:r>
          </w:p>
        </w:tc>
        <w:tc>
          <w:tcPr>
            <w:tcW w:w="2373" w:type="pct"/>
            <w:vAlign w:val="center"/>
          </w:tcPr>
          <w:p w14:paraId="28871F25">
            <w:pPr>
              <w:pStyle w:val="92"/>
              <w:jc w:val="left"/>
              <w:rPr>
                <w:color w:val="auto"/>
                <w:highlight w:val="none"/>
                <w:u w:val="none"/>
              </w:rPr>
            </w:pPr>
            <w:r>
              <w:rPr>
                <w:rFonts w:hint="eastAsia"/>
                <w:color w:val="auto"/>
                <w:highlight w:val="none"/>
                <w:u w:val="none"/>
              </w:rPr>
              <w:t>加强水资源利用管理，实行分级分类、梯级循环利用，推行节水和清洁利用技术，持续提高水资源利用率。实施热电联产集中供热。鼓励使用清洁能源，加热炉及导热油炉等禁止使用燃煤、重油及渣油等高污染燃料。</w:t>
            </w:r>
          </w:p>
        </w:tc>
        <w:tc>
          <w:tcPr>
            <w:tcW w:w="1651" w:type="pct"/>
            <w:vAlign w:val="center"/>
          </w:tcPr>
          <w:p w14:paraId="62C28F54">
            <w:pPr>
              <w:pStyle w:val="92"/>
              <w:jc w:val="left"/>
              <w:rPr>
                <w:color w:val="auto"/>
                <w:highlight w:val="none"/>
                <w:u w:val="none"/>
              </w:rPr>
            </w:pPr>
          </w:p>
        </w:tc>
        <w:tc>
          <w:tcPr>
            <w:tcW w:w="464" w:type="pct"/>
            <w:vAlign w:val="center"/>
          </w:tcPr>
          <w:p w14:paraId="5D016EE4">
            <w:pPr>
              <w:pStyle w:val="92"/>
              <w:rPr>
                <w:color w:val="auto"/>
                <w:highlight w:val="none"/>
                <w:u w:val="none"/>
              </w:rPr>
            </w:pPr>
            <w:r>
              <w:rPr>
                <w:rFonts w:hint="eastAsia"/>
                <w:color w:val="auto"/>
                <w:highlight w:val="none"/>
                <w:u w:val="none"/>
              </w:rPr>
              <w:t>符合</w:t>
            </w:r>
          </w:p>
        </w:tc>
      </w:tr>
      <w:tr w14:paraId="0E724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2086717D">
            <w:pPr>
              <w:pStyle w:val="92"/>
              <w:rPr>
                <w:color w:val="auto"/>
                <w:highlight w:val="none"/>
                <w:u w:val="none"/>
              </w:rPr>
            </w:pPr>
            <w:r>
              <w:rPr>
                <w:rFonts w:hint="eastAsia"/>
                <w:color w:val="auto"/>
                <w:highlight w:val="none"/>
                <w:u w:val="none"/>
              </w:rPr>
              <w:t>落实污染物总量控制要求</w:t>
            </w:r>
          </w:p>
        </w:tc>
        <w:tc>
          <w:tcPr>
            <w:tcW w:w="2373" w:type="pct"/>
            <w:vAlign w:val="center"/>
          </w:tcPr>
          <w:p w14:paraId="60BC839A">
            <w:pPr>
              <w:pStyle w:val="92"/>
              <w:jc w:val="left"/>
              <w:rPr>
                <w:color w:val="auto"/>
                <w:highlight w:val="none"/>
                <w:u w:val="none"/>
              </w:rPr>
            </w:pPr>
            <w:r>
              <w:rPr>
                <w:rFonts w:hint="eastAsia"/>
                <w:color w:val="auto"/>
                <w:highlight w:val="none"/>
                <w:u w:val="none"/>
              </w:rPr>
              <w:t>规划产业项目全面执行大气污染物排放特别排放限值，采取有效措施减少二氧化硫、氮氧化物、颗粒物和挥发性有机物的排放量；推行园区再生水回用，严格控制氨氮、总氮、总磷和石油类等污染物排放量。结合园区存在环境问题，制定并落实区域总量削减、环境质量改善方案，园区污染物排放总量应纳入当地政府污染物排放总量控制计划。新增污染物应优先依托园区企业自身削减实现替代。</w:t>
            </w:r>
          </w:p>
        </w:tc>
        <w:tc>
          <w:tcPr>
            <w:tcW w:w="1651" w:type="pct"/>
            <w:vAlign w:val="center"/>
          </w:tcPr>
          <w:p w14:paraId="3B1197D1">
            <w:pPr>
              <w:pStyle w:val="92"/>
              <w:jc w:val="left"/>
              <w:rPr>
                <w:color w:val="auto"/>
                <w:highlight w:val="none"/>
                <w:u w:val="none"/>
              </w:rPr>
            </w:pPr>
          </w:p>
        </w:tc>
        <w:tc>
          <w:tcPr>
            <w:tcW w:w="464" w:type="pct"/>
            <w:vAlign w:val="center"/>
          </w:tcPr>
          <w:p w14:paraId="2CFA03D8">
            <w:pPr>
              <w:pStyle w:val="92"/>
              <w:rPr>
                <w:color w:val="auto"/>
                <w:highlight w:val="none"/>
                <w:u w:val="none"/>
              </w:rPr>
            </w:pPr>
            <w:r>
              <w:rPr>
                <w:rFonts w:hint="eastAsia"/>
                <w:color w:val="auto"/>
                <w:highlight w:val="none"/>
                <w:u w:val="none"/>
              </w:rPr>
              <w:t>符合</w:t>
            </w:r>
          </w:p>
        </w:tc>
      </w:tr>
      <w:tr w14:paraId="2967A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50A46F07">
            <w:pPr>
              <w:pStyle w:val="92"/>
              <w:rPr>
                <w:color w:val="auto"/>
                <w:highlight w:val="none"/>
                <w:u w:val="none"/>
              </w:rPr>
            </w:pPr>
            <w:r>
              <w:rPr>
                <w:rFonts w:hint="eastAsia"/>
                <w:color w:val="auto"/>
                <w:highlight w:val="none"/>
                <w:u w:val="none"/>
              </w:rPr>
              <w:t>推动园区绿色低碳发展</w:t>
            </w:r>
          </w:p>
        </w:tc>
        <w:tc>
          <w:tcPr>
            <w:tcW w:w="2373" w:type="pct"/>
            <w:vAlign w:val="center"/>
          </w:tcPr>
          <w:p w14:paraId="4F444585">
            <w:pPr>
              <w:pStyle w:val="92"/>
              <w:jc w:val="left"/>
              <w:rPr>
                <w:color w:val="auto"/>
                <w:highlight w:val="none"/>
                <w:u w:val="none"/>
              </w:rPr>
            </w:pPr>
            <w:r>
              <w:rPr>
                <w:rFonts w:hint="eastAsia"/>
                <w:color w:val="auto"/>
                <w:highlight w:val="none"/>
                <w:u w:val="none"/>
              </w:rPr>
              <w:t>探索建立企业温室气体排放管理体系，加大清洁高效可循环生产工艺、节能降碳及二氧化碳循环利用技术、化石能源清洁开发转化与利用技术等低碳技术创新应用和低碳产业开发力度，进一步挖掘项目减排潜力，提高资源能源利用效率，强化大气污染物和二氧化碳协同减排，推动园区的绿色低碳发展。</w:t>
            </w:r>
          </w:p>
        </w:tc>
        <w:tc>
          <w:tcPr>
            <w:tcW w:w="1651" w:type="pct"/>
            <w:vAlign w:val="center"/>
          </w:tcPr>
          <w:p w14:paraId="092BE154">
            <w:pPr>
              <w:pStyle w:val="92"/>
              <w:jc w:val="left"/>
              <w:rPr>
                <w:color w:val="auto"/>
                <w:highlight w:val="none"/>
                <w:u w:val="none"/>
              </w:rPr>
            </w:pPr>
          </w:p>
        </w:tc>
        <w:tc>
          <w:tcPr>
            <w:tcW w:w="464" w:type="pct"/>
            <w:vAlign w:val="center"/>
          </w:tcPr>
          <w:p w14:paraId="736FF71B">
            <w:pPr>
              <w:pStyle w:val="92"/>
              <w:rPr>
                <w:color w:val="auto"/>
                <w:highlight w:val="none"/>
                <w:u w:val="none"/>
              </w:rPr>
            </w:pPr>
            <w:r>
              <w:rPr>
                <w:rFonts w:hint="eastAsia"/>
                <w:color w:val="auto"/>
                <w:highlight w:val="none"/>
                <w:u w:val="none"/>
              </w:rPr>
              <w:t>符合</w:t>
            </w:r>
          </w:p>
        </w:tc>
      </w:tr>
      <w:tr w14:paraId="06EEA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0" w:type="pct"/>
            <w:vAlign w:val="center"/>
          </w:tcPr>
          <w:p w14:paraId="0925DFA3">
            <w:pPr>
              <w:pStyle w:val="92"/>
              <w:rPr>
                <w:color w:val="auto"/>
                <w:highlight w:val="none"/>
                <w:u w:val="none"/>
              </w:rPr>
            </w:pPr>
            <w:r>
              <w:rPr>
                <w:rFonts w:hint="eastAsia"/>
                <w:color w:val="auto"/>
                <w:highlight w:val="none"/>
                <w:u w:val="none"/>
              </w:rPr>
              <w:t>加强公共环保基础设施建设</w:t>
            </w:r>
          </w:p>
        </w:tc>
        <w:tc>
          <w:tcPr>
            <w:tcW w:w="2373" w:type="pct"/>
            <w:vAlign w:val="center"/>
          </w:tcPr>
          <w:p w14:paraId="0D012352">
            <w:pPr>
              <w:pStyle w:val="92"/>
              <w:jc w:val="left"/>
              <w:rPr>
                <w:color w:val="auto"/>
                <w:highlight w:val="none"/>
                <w:u w:val="none"/>
              </w:rPr>
            </w:pPr>
            <w:r>
              <w:rPr>
                <w:rFonts w:hint="eastAsia"/>
                <w:color w:val="auto"/>
                <w:highlight w:val="none"/>
                <w:u w:val="none"/>
              </w:rPr>
              <w:t>1.产业园区应按照雨污分流、分质回用的原则，加快东部片区配套污水处理厂及污水管网和深海排放工程建设，推动园区中水回用系统建设。园区应统筹高盐污水的管理和排放，其他废水应统一纳入园区公共污水处理厂集中深度处理。</w:t>
            </w:r>
          </w:p>
          <w:p w14:paraId="7FB4AF9E">
            <w:pPr>
              <w:pStyle w:val="92"/>
              <w:jc w:val="left"/>
              <w:rPr>
                <w:color w:val="auto"/>
                <w:highlight w:val="none"/>
                <w:u w:val="none"/>
              </w:rPr>
            </w:pPr>
            <w:r>
              <w:rPr>
                <w:rFonts w:hint="eastAsia"/>
                <w:color w:val="auto"/>
                <w:highlight w:val="none"/>
                <w:u w:val="none"/>
              </w:rPr>
              <w:t>2.提高固废资源的利用率，工业固体废物尽可能在园区内部综合利用，应妥善处理处置大宗一般工业固体废物。</w:t>
            </w:r>
          </w:p>
        </w:tc>
        <w:tc>
          <w:tcPr>
            <w:tcW w:w="1651" w:type="pct"/>
            <w:vAlign w:val="center"/>
          </w:tcPr>
          <w:p w14:paraId="217AA50C">
            <w:pPr>
              <w:pStyle w:val="92"/>
              <w:jc w:val="left"/>
              <w:rPr>
                <w:color w:val="auto"/>
                <w:highlight w:val="none"/>
                <w:u w:val="none"/>
              </w:rPr>
            </w:pPr>
          </w:p>
        </w:tc>
        <w:tc>
          <w:tcPr>
            <w:tcW w:w="464" w:type="pct"/>
            <w:vAlign w:val="center"/>
          </w:tcPr>
          <w:p w14:paraId="791A745B">
            <w:pPr>
              <w:pStyle w:val="92"/>
              <w:rPr>
                <w:color w:val="auto"/>
                <w:highlight w:val="none"/>
                <w:u w:val="none"/>
              </w:rPr>
            </w:pPr>
            <w:r>
              <w:rPr>
                <w:rFonts w:hint="eastAsia"/>
                <w:color w:val="auto"/>
                <w:highlight w:val="none"/>
                <w:u w:val="none"/>
              </w:rPr>
              <w:t>符合</w:t>
            </w:r>
          </w:p>
        </w:tc>
      </w:tr>
    </w:tbl>
    <w:p w14:paraId="0D7C93D6">
      <w:pPr>
        <w:rPr>
          <w:rFonts w:hint="eastAsia"/>
          <w:color w:val="auto"/>
          <w:highlight w:val="none"/>
          <w:u w:val="none"/>
        </w:rPr>
      </w:pPr>
    </w:p>
    <w:p w14:paraId="7F40392D">
      <w:pPr>
        <w:ind w:firstLine="0" w:firstLineChars="0"/>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5DDE7BA4">
      <w:pPr>
        <w:pStyle w:val="3"/>
        <w:rPr>
          <w:rFonts w:hint="eastAsia"/>
          <w:color w:val="auto"/>
          <w:highlight w:val="none"/>
          <w:u w:val="none"/>
        </w:rPr>
      </w:pPr>
      <w:bookmarkStart w:id="423" w:name="_Toc27145"/>
      <w:r>
        <w:rPr>
          <w:rFonts w:hint="eastAsia"/>
          <w:color w:val="auto"/>
          <w:highlight w:val="none"/>
          <w:u w:val="none"/>
        </w:rPr>
        <w:t>区域环境概况</w:t>
      </w:r>
      <w:bookmarkEnd w:id="416"/>
      <w:bookmarkEnd w:id="417"/>
      <w:bookmarkEnd w:id="418"/>
      <w:bookmarkEnd w:id="423"/>
    </w:p>
    <w:p w14:paraId="3B3A2C01">
      <w:pPr>
        <w:pStyle w:val="4"/>
        <w:rPr>
          <w:rFonts w:hint="eastAsia" w:eastAsiaTheme="minorEastAsia"/>
          <w:color w:val="auto"/>
          <w:highlight w:val="none"/>
          <w:u w:val="none"/>
        </w:rPr>
      </w:pPr>
      <w:bookmarkStart w:id="424" w:name="_Toc148374808"/>
      <w:bookmarkStart w:id="425" w:name="_Toc8119"/>
      <w:bookmarkStart w:id="426" w:name="_Toc148374580"/>
      <w:bookmarkStart w:id="427" w:name="_Toc148375022"/>
      <w:r>
        <w:rPr>
          <w:rFonts w:hint="eastAsia"/>
          <w:color w:val="auto"/>
          <w:highlight w:val="none"/>
          <w:u w:val="none"/>
        </w:rPr>
        <w:t>自然环境</w:t>
      </w:r>
      <w:bookmarkEnd w:id="424"/>
      <w:bookmarkEnd w:id="425"/>
      <w:bookmarkEnd w:id="426"/>
      <w:bookmarkEnd w:id="427"/>
    </w:p>
    <w:p w14:paraId="41B6EBA5">
      <w:pPr>
        <w:pStyle w:val="6"/>
        <w:spacing w:before="156" w:after="156"/>
        <w:rPr>
          <w:color w:val="auto"/>
          <w:highlight w:val="none"/>
          <w:u w:val="none"/>
        </w:rPr>
      </w:pPr>
      <w:bookmarkStart w:id="428" w:name="_Toc148374581"/>
      <w:bookmarkStart w:id="429" w:name="_Toc148375023"/>
      <w:r>
        <w:rPr>
          <w:rFonts w:hint="eastAsia"/>
          <w:color w:val="auto"/>
          <w:highlight w:val="none"/>
          <w:u w:val="none"/>
        </w:rPr>
        <w:t>地理位置</w:t>
      </w:r>
      <w:bookmarkEnd w:id="428"/>
      <w:bookmarkEnd w:id="429"/>
    </w:p>
    <w:p w14:paraId="217AE525">
      <w:pPr>
        <w:pStyle w:val="981"/>
        <w:rPr>
          <w:rFonts w:hint="eastAsia"/>
          <w:color w:val="auto"/>
          <w:highlight w:val="none"/>
          <w:u w:val="none"/>
        </w:rPr>
      </w:pPr>
      <w:r>
        <w:rPr>
          <w:color w:val="auto"/>
          <w:highlight w:val="none"/>
          <w:u w:val="none"/>
        </w:rPr>
        <w:t>福州江阴港城经济区位于福建省福清市江阴半岛的西南部，整体位于海峡西岸经济区中间区段福建省会中心城市福州南翼，其地理坐标为东经119°18′，北纬25°27′。距福州85公，距长乐国际机场81.5公里，距福清市区45公里，距泉州100公里，距厦门230公里，近可融入闽东南经济繁荣带，远可承接长三角、珠三角两大经济增长极的辐射。江阴港城经济区恰居中国海岸线中心和上海港、深圳盐田港航运线中部，东临台湾海峡，与台湾岛一水之隔，距台中100海里、基隆150海里、高雄170海里，距上海532海里、距香港360海里，具有临海和邻台近港独特的区位优势。</w:t>
      </w:r>
    </w:p>
    <w:p w14:paraId="02B58BDF">
      <w:pPr>
        <w:pStyle w:val="981"/>
        <w:rPr>
          <w:rFonts w:hint="eastAsia"/>
          <w:color w:val="auto"/>
          <w:highlight w:val="none"/>
          <w:u w:val="none"/>
        </w:rPr>
      </w:pPr>
      <w:r>
        <w:rPr>
          <w:color w:val="auto"/>
          <w:highlight w:val="none"/>
          <w:u w:val="none"/>
        </w:rPr>
        <w:t>万华福建公司TDI</w:t>
      </w:r>
      <w:r>
        <w:rPr>
          <w:rFonts w:hint="eastAsia"/>
          <w:color w:val="auto"/>
          <w:highlight w:val="none"/>
          <w:u w:val="none"/>
          <w:lang w:val="en-US"/>
        </w:rPr>
        <w:t>一</w:t>
      </w:r>
      <w:r>
        <w:rPr>
          <w:color w:val="auto"/>
          <w:highlight w:val="none"/>
          <w:u w:val="none"/>
        </w:rPr>
        <w:t>期</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项目厂址位于福建省福清市江阴镇江阴港城经济区国盛大道3号，项目地理位置见</w:t>
      </w:r>
      <w:r>
        <w:rPr>
          <w:color w:val="auto"/>
          <w:highlight w:val="none"/>
          <w:u w:val="none"/>
        </w:rPr>
        <w:fldChar w:fldCharType="begin"/>
      </w:r>
      <w:r>
        <w:rPr>
          <w:color w:val="auto"/>
          <w:highlight w:val="none"/>
          <w:u w:val="none"/>
        </w:rPr>
        <w:instrText xml:space="preserve"> REF _Ref149590383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，项目周边环境见</w:t>
      </w:r>
      <w:r>
        <w:rPr>
          <w:color w:val="auto"/>
          <w:highlight w:val="none"/>
          <w:u w:val="none"/>
        </w:rPr>
        <w:fldChar w:fldCharType="begin"/>
      </w:r>
      <w:r>
        <w:rPr>
          <w:color w:val="auto"/>
          <w:highlight w:val="none"/>
          <w:u w:val="none"/>
        </w:rPr>
        <w:instrText xml:space="preserve"> REF _Ref148644449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w:t>
      </w:r>
    </w:p>
    <w:p w14:paraId="09C38BCF">
      <w:pPr>
        <w:pStyle w:val="56"/>
        <w:ind w:firstLine="0"/>
        <w:jc w:val="center"/>
        <w:rPr>
          <w:color w:val="auto"/>
          <w:highlight w:val="none"/>
          <w:u w:val="none"/>
          <w:lang w:val="zh-CN"/>
        </w:rPr>
      </w:pPr>
      <w:r>
        <w:rPr>
          <w:rFonts w:hAnsi="宋体"/>
          <w:color w:val="auto"/>
          <w:kern w:val="0"/>
          <w:szCs w:val="24"/>
          <w:highlight w:val="none"/>
          <w:u w:val="none"/>
          <w:lang w:val="zh-CN"/>
        </w:rPr>
        <mc:AlternateContent>
          <mc:Choice Requires="wps">
            <w:drawing>
              <wp:anchor distT="0" distB="0" distL="114300" distR="114300" simplePos="0" relativeHeight="251661312" behindDoc="0" locked="0" layoutInCell="1" allowOverlap="1">
                <wp:simplePos x="0" y="0"/>
                <wp:positionH relativeFrom="column">
                  <wp:posOffset>2219325</wp:posOffset>
                </wp:positionH>
                <wp:positionV relativeFrom="paragraph">
                  <wp:posOffset>3028950</wp:posOffset>
                </wp:positionV>
                <wp:extent cx="1038225" cy="333375"/>
                <wp:effectExtent l="109220" t="525780" r="14605" b="17145"/>
                <wp:wrapNone/>
                <wp:docPr id="386311385" name="AutoShape 293"/>
                <wp:cNvGraphicFramePr/>
                <a:graphic xmlns:a="http://schemas.openxmlformats.org/drawingml/2006/main">
                  <a:graphicData uri="http://schemas.microsoft.com/office/word/2010/wordprocessingShape">
                    <wps:wsp>
                      <wps:cNvSpPr>
                        <a:spLocks noChangeArrowheads="1"/>
                      </wps:cNvSpPr>
                      <wps:spPr bwMode="auto">
                        <a:xfrm>
                          <a:off x="0" y="0"/>
                          <a:ext cx="1038225" cy="333375"/>
                        </a:xfrm>
                        <a:prstGeom prst="wedgeRoundRectCallout">
                          <a:avLst>
                            <a:gd name="adj1" fmla="val -58255"/>
                            <a:gd name="adj2" fmla="val -198380"/>
                            <a:gd name="adj3" fmla="val 16667"/>
                          </a:avLst>
                        </a:prstGeom>
                        <a:noFill/>
                        <a:ln w="12700" algn="ctr">
                          <a:solidFill>
                            <a:srgbClr val="000000"/>
                          </a:solidFill>
                          <a:miter lim="800000"/>
                        </a:ln>
                        <a:effectLst/>
                      </wps:spPr>
                      <wps:txbx>
                        <w:txbxContent>
                          <w:p w14:paraId="4C5B0D5A">
                            <w:pPr>
                              <w:spacing w:line="240" w:lineRule="auto"/>
                              <w:ind w:firstLine="0" w:firstLineChars="0"/>
                              <w:rPr>
                                <w:rFonts w:hint="eastAsia"/>
                                <w:b/>
                                <w:bCs/>
                                <w:color w:val="FF0000"/>
                                <w:sz w:val="18"/>
                                <w:szCs w:val="18"/>
                              </w:rPr>
                            </w:pPr>
                            <w:r>
                              <w:rPr>
                                <w:rFonts w:hint="eastAsia"/>
                                <w:b/>
                                <w:bCs/>
                                <w:color w:val="FF0000"/>
                                <w:sz w:val="18"/>
                                <w:szCs w:val="18"/>
                              </w:rPr>
                              <w:t>技改项目位置</w:t>
                            </w:r>
                          </w:p>
                        </w:txbxContent>
                      </wps:txbx>
                      <wps:bodyPr rot="0" vert="horz" wrap="square" lIns="91440" tIns="45720" rIns="91440" bIns="45720" anchor="t" anchorCtr="0" upright="1">
                        <a:noAutofit/>
                      </wps:bodyPr>
                    </wps:wsp>
                  </a:graphicData>
                </a:graphic>
              </wp:anchor>
            </w:drawing>
          </mc:Choice>
          <mc:Fallback>
            <w:pict>
              <v:shape id="AutoShape 293" o:spid="_x0000_s1026" o:spt="62" type="#_x0000_t62" style="position:absolute;left:0pt;margin-left:174.75pt;margin-top:238.5pt;height:26.25pt;width:81.75pt;z-index:251661312;mso-width-relative:page;mso-height-relative:page;" filled="f" stroked="t" coordsize="21600,21600" o:gfxdata="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VLfg2AAAAAsBAAAPAAAAAAAAAAEAIAAAACIAAABkcnMv&#10;ZG93bnJldi54bWxQSwECFAAUAAAACACHTuJAizl9DXUCAAABBQAADgAAAAAAAAABACAAAAAnAQAA&#10;ZHJzL2Uyb0RvYy54bWxQSwUGAAAAAAYABgBZAQAADgYAAAAA&#10;" adj="-1783,-32050,14400">
                <v:fill on="f" focussize="0,0"/>
                <v:stroke weight="1pt" color="#000000" miterlimit="8" joinstyle="miter"/>
                <v:imagedata o:title=""/>
                <o:lock v:ext="edit" aspectratio="f"/>
                <v:textbox>
                  <w:txbxContent>
                    <w:p w14:paraId="4C5B0D5A">
                      <w:pPr>
                        <w:spacing w:line="240" w:lineRule="auto"/>
                        <w:ind w:firstLine="0" w:firstLineChars="0"/>
                        <w:rPr>
                          <w:rFonts w:hint="eastAsia"/>
                          <w:b/>
                          <w:bCs/>
                          <w:color w:val="FF0000"/>
                          <w:sz w:val="18"/>
                          <w:szCs w:val="18"/>
                        </w:rPr>
                      </w:pPr>
                      <w:r>
                        <w:rPr>
                          <w:rFonts w:hint="eastAsia"/>
                          <w:b/>
                          <w:bCs/>
                          <w:color w:val="FF0000"/>
                          <w:sz w:val="18"/>
                          <w:szCs w:val="18"/>
                        </w:rPr>
                        <w:t>技改项目位置</w:t>
                      </w:r>
                    </w:p>
                  </w:txbxContent>
                </v:textbox>
              </v:shape>
            </w:pict>
          </mc:Fallback>
        </mc:AlternateContent>
      </w:r>
      <w:r>
        <w:rPr>
          <w:rFonts w:hAnsi="宋体"/>
          <w:color w:val="auto"/>
          <w:kern w:val="0"/>
          <w:szCs w:val="24"/>
          <w:highlight w:val="none"/>
          <w:u w:val="none"/>
          <w:lang w:val="zh-CN"/>
        </w:rPr>
        <mc:AlternateContent>
          <mc:Choice Requires="wps">
            <w:drawing>
              <wp:anchor distT="0" distB="0" distL="114300" distR="114300" simplePos="0" relativeHeight="251660288" behindDoc="0" locked="0" layoutInCell="1" allowOverlap="1">
                <wp:simplePos x="0" y="0"/>
                <wp:positionH relativeFrom="column">
                  <wp:posOffset>2038350</wp:posOffset>
                </wp:positionH>
                <wp:positionV relativeFrom="paragraph">
                  <wp:posOffset>2428875</wp:posOffset>
                </wp:positionV>
                <wp:extent cx="190500" cy="180975"/>
                <wp:effectExtent l="14605" t="15240" r="23495" b="13335"/>
                <wp:wrapNone/>
                <wp:docPr id="1293117416" name="AutoShape 292"/>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star5">
                          <a:avLst/>
                        </a:prstGeom>
                        <a:solidFill>
                          <a:srgbClr val="FF0000"/>
                        </a:solidFill>
                        <a:ln w="9525" algn="ctr">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AutoShape 292" o:spid="_x0000_s1026" style="position:absolute;left:0pt;margin-left:160.5pt;margin-top:191.25pt;height:14.25pt;width:15pt;z-index:251660288;mso-width-relative:page;mso-height-relative:page;" fillcolor="#FF0000" filled="t" stroked="t" coordsize="190500,180975" o:gfxdata="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euZUncAAAACwEAAA8AAAAAAAAAAQAgAAAAIgAA&#10;AGRycy9kb3ducmV2LnhtbFBLAQIUABQAAAAIAIdO4kC9o3RjPQIAAJYEAAAOAAAAAAAAAAEAIAAA&#10;ACsBAABkcnMvZTJvRG9jLnhtbFBLBQYAAAAABgAGAFkBAADaBQAAAAA=&#10;" path="m0,69126l72764,69126,95250,0,117735,69126,190499,69126,131631,111848,154117,180974,95250,138251,36382,180974,58868,111848xe">
                <v:path o:connectlocs="95250,0;0,69126;36382,180974;154117,180974;190499,69126" o:connectangles="247,164,82,82,0"/>
                <v:fill on="t" focussize="0,0"/>
                <v:stroke color="#000000" miterlimit="8" joinstyle="miter"/>
                <v:imagedata o:title=""/>
                <o:lock v:ext="edit" aspectratio="f"/>
              </v:shape>
            </w:pict>
          </mc:Fallback>
        </mc:AlternateContent>
      </w:r>
      <w:r>
        <w:rPr>
          <w:rFonts w:hAnsi="宋体"/>
          <w:color w:val="auto"/>
          <w:kern w:val="0"/>
          <w:szCs w:val="24"/>
          <w:highlight w:val="none"/>
          <w:u w:val="none"/>
          <w:lang w:val="zh-CN"/>
        </w:rPr>
        <w:drawing>
          <wp:inline distT="0" distB="0" distL="0" distR="0">
            <wp:extent cx="5267325" cy="4095750"/>
            <wp:effectExtent l="12700" t="12700" r="15875" b="25400"/>
            <wp:docPr id="54653027" name="图片 546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3027" name="图片 54653027"/>
                    <pic:cNvPicPr>
                      <a:picLocks noChangeAspect="1" noChangeArrowheads="1"/>
                    </pic:cNvPicPr>
                  </pic:nvPicPr>
                  <pic:blipFill>
                    <a:blip r:embed="rId32" cstate="print">
                      <a:extLst>
                        <a:ext uri="{28A0092B-C50C-407E-A947-70E740481C1C}">
                          <a14:useLocalDpi xmlns:a14="http://schemas.microsoft.com/office/drawing/2010/main" val="0"/>
                        </a:ext>
                      </a:extLst>
                    </a:blip>
                    <a:srcRect l="1265" t="25187" r="1808" b="5960"/>
                    <a:stretch>
                      <a:fillRect/>
                    </a:stretch>
                  </pic:blipFill>
                  <pic:spPr>
                    <a:xfrm>
                      <a:off x="0" y="0"/>
                      <a:ext cx="5267325" cy="4095750"/>
                    </a:xfrm>
                    <a:prstGeom prst="rect">
                      <a:avLst/>
                    </a:prstGeom>
                    <a:noFill/>
                    <a:ln w="12700" cap="flat" cmpd="sng" algn="ctr">
                      <a:solidFill>
                        <a:srgbClr val="000000"/>
                      </a:solidFill>
                      <a:prstDash val="solid"/>
                      <a:miter lim="800000"/>
                      <a:headEnd type="none" w="med" len="med"/>
                      <a:tailEnd type="none" w="med" len="med"/>
                    </a:ln>
                    <a:effectLst/>
                  </pic:spPr>
                </pic:pic>
              </a:graphicData>
            </a:graphic>
          </wp:inline>
        </w:drawing>
      </w:r>
    </w:p>
    <w:p w14:paraId="2DD7349B">
      <w:pPr>
        <w:pStyle w:val="476"/>
        <w:rPr>
          <w:color w:val="auto"/>
          <w:highlight w:val="none"/>
          <w:u w:val="none"/>
        </w:rPr>
      </w:pPr>
      <w:bookmarkStart w:id="430" w:name="_Ref149590383"/>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430"/>
      <w:r>
        <w:rPr>
          <w:rFonts w:hint="eastAsia"/>
          <w:color w:val="auto"/>
          <w:highlight w:val="none"/>
          <w:u w:val="none"/>
        </w:rPr>
        <w:t xml:space="preserve"> </w:t>
      </w:r>
      <w:r>
        <w:rPr>
          <w:color w:val="auto"/>
          <w:highlight w:val="none"/>
          <w:u w:val="none"/>
        </w:rPr>
        <w:t xml:space="preserve"> </w:t>
      </w:r>
      <w:r>
        <w:rPr>
          <w:rFonts w:hint="eastAsia"/>
          <w:color w:val="auto"/>
          <w:highlight w:val="none"/>
          <w:u w:val="none"/>
        </w:rPr>
        <w:t>项目地理位置图</w:t>
      </w:r>
    </w:p>
    <w:p w14:paraId="61BB1446">
      <w:pPr>
        <w:pStyle w:val="476"/>
        <w:rPr>
          <w:color w:val="auto"/>
          <w:highlight w:val="none"/>
          <w:u w:val="none"/>
        </w:rPr>
      </w:pPr>
      <w:bookmarkStart w:id="431" w:name="_Ref148644449"/>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431"/>
      <w:r>
        <w:rPr>
          <w:rFonts w:hint="eastAsia"/>
          <w:color w:val="auto"/>
          <w:highlight w:val="none"/>
          <w:u w:val="none"/>
        </w:rPr>
        <w:t xml:space="preserve"> </w:t>
      </w:r>
      <w:r>
        <w:rPr>
          <w:color w:val="auto"/>
          <w:highlight w:val="none"/>
          <w:u w:val="none"/>
        </w:rPr>
        <w:t xml:space="preserve"> </w:t>
      </w:r>
      <w:r>
        <w:rPr>
          <w:rFonts w:hint="eastAsia"/>
          <w:color w:val="auto"/>
          <w:highlight w:val="none"/>
          <w:u w:val="none"/>
        </w:rPr>
        <w:t>项目周边环境示意图</w:t>
      </w:r>
    </w:p>
    <w:p w14:paraId="6105AD8D">
      <w:pPr>
        <w:pStyle w:val="56"/>
        <w:rPr>
          <w:color w:val="auto"/>
          <w:highlight w:val="none"/>
          <w:u w:val="none"/>
          <w:lang w:val="zh-CN"/>
        </w:rPr>
      </w:pPr>
    </w:p>
    <w:p w14:paraId="31DFD82F">
      <w:pPr>
        <w:pStyle w:val="6"/>
        <w:spacing w:before="156" w:after="156"/>
        <w:rPr>
          <w:color w:val="auto"/>
          <w:highlight w:val="none"/>
          <w:u w:val="none"/>
        </w:rPr>
      </w:pPr>
      <w:bookmarkStart w:id="432" w:name="_Toc148375024"/>
      <w:bookmarkStart w:id="433" w:name="_Toc148374582"/>
      <w:r>
        <w:rPr>
          <w:rFonts w:hint="eastAsia"/>
          <w:color w:val="auto"/>
          <w:highlight w:val="none"/>
          <w:u w:val="none"/>
        </w:rPr>
        <w:t>地形、地质、地貌</w:t>
      </w:r>
      <w:bookmarkEnd w:id="432"/>
      <w:bookmarkEnd w:id="433"/>
    </w:p>
    <w:p w14:paraId="7375545E">
      <w:pPr>
        <w:rPr>
          <w:rFonts w:hint="eastAsia"/>
          <w:color w:val="auto"/>
          <w:highlight w:val="none"/>
          <w:u w:val="none"/>
        </w:rPr>
      </w:pPr>
      <w:r>
        <w:rPr>
          <w:rFonts w:hint="eastAsia"/>
          <w:color w:val="auto"/>
          <w:highlight w:val="none"/>
          <w:u w:val="none"/>
        </w:rPr>
        <w:t>江阴岛属地震引起的大陆断层，裂变穿过海峡形成内海海岛，岛形似柳叶状。岛内断裂带主要有海口</w:t>
      </w:r>
      <w:r>
        <w:rPr>
          <w:color w:val="auto"/>
          <w:highlight w:val="none"/>
          <w:u w:val="none"/>
        </w:rPr>
        <w:t>-江阴的NNE-SSW向断裂带和NW-SE向断裂，岛内地势中间高，最</w:t>
      </w:r>
      <w:r>
        <w:rPr>
          <w:rFonts w:hint="eastAsia"/>
          <w:color w:val="auto"/>
          <w:highlight w:val="none"/>
          <w:u w:val="none"/>
        </w:rPr>
        <w:t>高处是双髻峰海拔</w:t>
      </w:r>
      <w:r>
        <w:rPr>
          <w:color w:val="auto"/>
          <w:highlight w:val="none"/>
          <w:u w:val="none"/>
        </w:rPr>
        <w:t>429米，岛内山地是NNE-SSE走向，岛四周较低平，尤其南部为低</w:t>
      </w:r>
      <w:r>
        <w:rPr>
          <w:rFonts w:hint="eastAsia"/>
          <w:color w:val="auto"/>
          <w:highlight w:val="none"/>
          <w:u w:val="none"/>
        </w:rPr>
        <w:t>丘平地，是居民聚居区。江阴岛东北西向现有三条海堤与大陆相连。该岛海岸具有泥沙滩的回升侵蚀漏斗型低丘，台地岩岸，曲折破碎。地形以丘陵，岗台地为主，海积平地次之，滩涂面积大，总面积达</w:t>
      </w:r>
      <w:r>
        <w:rPr>
          <w:color w:val="auto"/>
          <w:highlight w:val="none"/>
          <w:u w:val="none"/>
        </w:rPr>
        <w:t>2915.27ha。耕地面积占全岛总面积1/4，大多数分布在平</w:t>
      </w:r>
      <w:r>
        <w:rPr>
          <w:rFonts w:hint="eastAsia"/>
          <w:color w:val="auto"/>
          <w:highlight w:val="none"/>
          <w:u w:val="none"/>
        </w:rPr>
        <w:t>地和岗台地。低小丘陵旱地、盐田，水田广布全岛各处。</w:t>
      </w:r>
    </w:p>
    <w:p w14:paraId="77329D6B">
      <w:pPr>
        <w:rPr>
          <w:rFonts w:hint="eastAsia"/>
          <w:color w:val="auto"/>
          <w:highlight w:val="none"/>
          <w:u w:val="none"/>
        </w:rPr>
      </w:pPr>
      <w:r>
        <w:rPr>
          <w:rFonts w:hint="eastAsia"/>
          <w:color w:val="auto"/>
          <w:highlight w:val="none"/>
          <w:u w:val="none"/>
        </w:rPr>
        <w:t>区内地层自上而下为第四纪残积物、坡积物—深灰色淤泥—浅灰色中砂—浅灰绿色粘性土—强风化花岗岩、微风化花岗岩。江阴岛位于福建诏安地震带中，为多发震带，历史上在岛西南兴化湾中曾发生过</w:t>
      </w:r>
      <w:r>
        <w:rPr>
          <w:color w:val="auto"/>
          <w:highlight w:val="none"/>
          <w:u w:val="none"/>
        </w:rPr>
        <w:t>6级地震，港区设防裂度等级为7级。</w:t>
      </w:r>
    </w:p>
    <w:p w14:paraId="6BCE1B10">
      <w:pPr>
        <w:pStyle w:val="6"/>
        <w:spacing w:before="156" w:after="156"/>
        <w:rPr>
          <w:color w:val="auto"/>
          <w:highlight w:val="none"/>
          <w:u w:val="none"/>
        </w:rPr>
      </w:pPr>
      <w:bookmarkStart w:id="434" w:name="_Toc148374583"/>
      <w:bookmarkStart w:id="435" w:name="_Toc148375025"/>
      <w:r>
        <w:rPr>
          <w:rFonts w:hint="eastAsia"/>
          <w:color w:val="auto"/>
          <w:highlight w:val="none"/>
          <w:u w:val="none"/>
        </w:rPr>
        <w:t>气候气象</w:t>
      </w:r>
      <w:bookmarkEnd w:id="434"/>
      <w:bookmarkEnd w:id="435"/>
    </w:p>
    <w:p w14:paraId="5CF12521">
      <w:pPr>
        <w:rPr>
          <w:rFonts w:hint="eastAsia"/>
          <w:color w:val="auto"/>
          <w:highlight w:val="none"/>
          <w:u w:val="none"/>
        </w:rPr>
      </w:pPr>
      <w:r>
        <w:rPr>
          <w:color w:val="auto"/>
          <w:highlight w:val="none"/>
          <w:u w:val="none"/>
        </w:rPr>
        <w:t>江阴岛属南亚热带海洋性季风气候，气候温和，日照充足，雨水充沛，台风影响季节较长，有明显的干湿季之分，冬无严寒，夏无酷暑。参考相关的气象资料，本区域各主要气象要素如下：</w:t>
      </w:r>
    </w:p>
    <w:p w14:paraId="2A2A479E">
      <w:pPr>
        <w:rPr>
          <w:rFonts w:hint="eastAsia"/>
          <w:color w:val="auto"/>
          <w:highlight w:val="none"/>
          <w:u w:val="none"/>
        </w:rPr>
      </w:pPr>
      <w:r>
        <w:rPr>
          <w:color w:val="auto"/>
          <w:highlight w:val="none"/>
          <w:u w:val="none"/>
        </w:rPr>
        <w:t>（1）气温</w:t>
      </w:r>
    </w:p>
    <w:p w14:paraId="330A5011">
      <w:pPr>
        <w:rPr>
          <w:rFonts w:hint="eastAsia"/>
          <w:color w:val="auto"/>
          <w:highlight w:val="none"/>
          <w:u w:val="none"/>
        </w:rPr>
      </w:pPr>
      <w:r>
        <w:rPr>
          <w:color w:val="auto"/>
          <w:highlight w:val="none"/>
          <w:u w:val="none"/>
        </w:rPr>
        <w:t>本地区年平均气温20.7℃，最热月7月或8月平均气温29℃，最低月1月或2月平均气温12.05℃，气温日变化呈峰谷型，日最高气温出现在午后，日最低气温出现在清晨。</w:t>
      </w:r>
    </w:p>
    <w:p w14:paraId="2DAE6395">
      <w:pPr>
        <w:rPr>
          <w:rFonts w:hint="eastAsia"/>
          <w:color w:val="auto"/>
          <w:highlight w:val="none"/>
          <w:u w:val="none"/>
        </w:rPr>
      </w:pPr>
      <w:r>
        <w:rPr>
          <w:rFonts w:hint="eastAsia"/>
          <w:color w:val="auto"/>
          <w:highlight w:val="none"/>
          <w:u w:val="none"/>
        </w:rPr>
        <w:t>（2）降水</w:t>
      </w:r>
    </w:p>
    <w:p w14:paraId="162F28F1">
      <w:pPr>
        <w:rPr>
          <w:rFonts w:hint="eastAsia"/>
          <w:color w:val="auto"/>
          <w:highlight w:val="none"/>
          <w:u w:val="none"/>
        </w:rPr>
      </w:pPr>
      <w:r>
        <w:rPr>
          <w:color w:val="auto"/>
          <w:highlight w:val="none"/>
          <w:u w:val="none"/>
        </w:rPr>
        <w:t>年降水量1605.5mm。春、夏季降水量占全年降水量的85.5%，秋、冬季降水时只占全年的15.0%。年降水日数全年平均124.6天，但各月分配不均，5~6月雨日占全月一半，2月、8~9月雨日占全月的1/3天数，3~4月雨日平均为13~14天，其它月份平均6~8天。日降水量≥50.0mm的暴雨日数全年平均50天，主要出现在雨季的5~6月和夏季6~9月。历年最大降水量1832.6mm，历年最少降水量713.3mm，日最大降水量297mm。最长连续降水日数全年最多为18天（出现在3月），2~9月各月都在10天以上。</w:t>
      </w:r>
    </w:p>
    <w:p w14:paraId="2A4268EA">
      <w:pPr>
        <w:rPr>
          <w:rFonts w:hint="eastAsia"/>
          <w:color w:val="auto"/>
          <w:highlight w:val="none"/>
          <w:u w:val="none"/>
        </w:rPr>
      </w:pPr>
      <w:r>
        <w:rPr>
          <w:color w:val="auto"/>
          <w:highlight w:val="none"/>
          <w:u w:val="none"/>
        </w:rPr>
        <w:t>（3）风向、风速</w:t>
      </w:r>
    </w:p>
    <w:p w14:paraId="50BF97CC">
      <w:pPr>
        <w:rPr>
          <w:rFonts w:hint="eastAsia"/>
          <w:color w:val="auto"/>
          <w:highlight w:val="none"/>
          <w:u w:val="none"/>
        </w:rPr>
      </w:pPr>
      <w:r>
        <w:rPr>
          <w:color w:val="auto"/>
          <w:highlight w:val="none"/>
          <w:u w:val="none"/>
        </w:rPr>
        <w:t>江阴半岛夏季以台风影响最大为特征，冬季多为东北风，全年主导风向为东北风。据统计，本地区受台风袭击或影响年平均6~7次，强台风风速最大为50m/s（1985年8月23日的10号台风）。此外，台风期间会造成一定的增水，据梅花水文站1957～1979年资料，台风最大增水达1.89m。</w:t>
      </w:r>
    </w:p>
    <w:p w14:paraId="612F4F30">
      <w:pPr>
        <w:rPr>
          <w:rFonts w:hint="eastAsia"/>
          <w:color w:val="auto"/>
          <w:highlight w:val="none"/>
          <w:u w:val="none"/>
        </w:rPr>
      </w:pPr>
      <w:r>
        <w:rPr>
          <w:color w:val="auto"/>
          <w:highlight w:val="none"/>
          <w:u w:val="none"/>
        </w:rPr>
        <w:t>（4）光照</w:t>
      </w:r>
    </w:p>
    <w:p w14:paraId="6EFDDBB9">
      <w:pPr>
        <w:rPr>
          <w:rFonts w:hint="eastAsia"/>
          <w:color w:val="auto"/>
          <w:highlight w:val="none"/>
          <w:u w:val="none"/>
        </w:rPr>
      </w:pPr>
      <w:r>
        <w:rPr>
          <w:color w:val="auto"/>
          <w:highlight w:val="none"/>
          <w:u w:val="none"/>
        </w:rPr>
        <w:t>全年平均日照时数约为日照时数2025小时,日照百分率为45%，年太阳辐射量117.51kcal/cm2；全年无霜期平均347天。</w:t>
      </w:r>
    </w:p>
    <w:p w14:paraId="1BE328A4">
      <w:pPr>
        <w:rPr>
          <w:rFonts w:hint="eastAsia"/>
          <w:color w:val="auto"/>
          <w:highlight w:val="none"/>
          <w:u w:val="none"/>
        </w:rPr>
      </w:pPr>
      <w:r>
        <w:rPr>
          <w:color w:val="auto"/>
          <w:highlight w:val="none"/>
          <w:u w:val="none"/>
        </w:rPr>
        <w:t>（5）雾、相对湿度</w:t>
      </w:r>
    </w:p>
    <w:p w14:paraId="749AECB9">
      <w:pPr>
        <w:rPr>
          <w:rFonts w:hint="eastAsia"/>
          <w:color w:val="auto"/>
          <w:highlight w:val="none"/>
          <w:u w:val="none"/>
        </w:rPr>
      </w:pPr>
      <w:r>
        <w:rPr>
          <w:color w:val="auto"/>
          <w:highlight w:val="none"/>
          <w:u w:val="none"/>
        </w:rPr>
        <w:t>多年平均雾日数23天，多发生在3~5月份，5~8时最多；多年平均相对湿度72.5%。</w:t>
      </w:r>
    </w:p>
    <w:p w14:paraId="76786A8B">
      <w:pPr>
        <w:rPr>
          <w:rFonts w:hint="eastAsia"/>
          <w:color w:val="auto"/>
          <w:highlight w:val="none"/>
          <w:u w:val="none"/>
        </w:rPr>
      </w:pPr>
      <w:r>
        <w:rPr>
          <w:color w:val="auto"/>
          <w:highlight w:val="none"/>
          <w:u w:val="none"/>
        </w:rPr>
        <w:t>（6）自然灾害</w:t>
      </w:r>
    </w:p>
    <w:p w14:paraId="049C41B9">
      <w:pPr>
        <w:rPr>
          <w:rFonts w:hint="eastAsia"/>
          <w:color w:val="auto"/>
          <w:highlight w:val="none"/>
          <w:u w:val="none"/>
        </w:rPr>
      </w:pPr>
      <w:r>
        <w:rPr>
          <w:color w:val="auto"/>
          <w:highlight w:val="none"/>
          <w:u w:val="none"/>
        </w:rPr>
        <w:t>本区域主要自然灾害为干旱，其它常见的自然灾害包括台风、暴雨、大潮以及寒潮。</w:t>
      </w:r>
    </w:p>
    <w:p w14:paraId="799206FB">
      <w:pPr>
        <w:pStyle w:val="6"/>
        <w:spacing w:before="156" w:after="156"/>
        <w:rPr>
          <w:color w:val="auto"/>
          <w:highlight w:val="none"/>
          <w:u w:val="none"/>
        </w:rPr>
      </w:pPr>
      <w:bookmarkStart w:id="436" w:name="_Toc148374584"/>
      <w:bookmarkStart w:id="437" w:name="_Toc148375026"/>
      <w:r>
        <w:rPr>
          <w:rFonts w:hint="eastAsia"/>
          <w:color w:val="auto"/>
          <w:highlight w:val="none"/>
          <w:u w:val="none"/>
        </w:rPr>
        <w:t>海洋水文</w:t>
      </w:r>
      <w:bookmarkEnd w:id="436"/>
      <w:bookmarkEnd w:id="437"/>
    </w:p>
    <w:p w14:paraId="7222D4E6">
      <w:pPr>
        <w:snapToGrid w:val="0"/>
        <w:rPr>
          <w:rFonts w:hint="eastAsia"/>
          <w:color w:val="auto"/>
          <w:highlight w:val="none"/>
          <w:u w:val="none"/>
        </w:rPr>
      </w:pPr>
      <w:r>
        <w:rPr>
          <w:rFonts w:hint="eastAsia"/>
          <w:color w:val="auto"/>
          <w:highlight w:val="none"/>
          <w:u w:val="none"/>
        </w:rPr>
        <w:t>（1）潮汐</w:t>
      </w:r>
    </w:p>
    <w:p w14:paraId="3D4E765D">
      <w:pPr>
        <w:snapToGrid w:val="0"/>
        <w:rPr>
          <w:rFonts w:hint="eastAsia"/>
          <w:color w:val="auto"/>
          <w:highlight w:val="none"/>
          <w:u w:val="none"/>
        </w:rPr>
      </w:pPr>
      <w:r>
        <w:rPr>
          <w:rFonts w:hint="eastAsia"/>
          <w:color w:val="auto"/>
          <w:highlight w:val="none"/>
          <w:u w:val="none"/>
        </w:rPr>
        <w:t>兴化湾海区的潮汐类型为正规半日潮，根据江阴壁头潮位站验潮资料分析，测区平均海平面为-0.04m（黄海高程，下同），最高潮位3.67m，最低潮位-3.88m，平均高潮位2.58m，平均低潮位-2.64m。海区潮差大，平均潮差5.22m，最大潮差7.51m，最小潮差2.95m。测区涨潮和落潮时间不等现象明显，其平均涨潮历时为5小时59分，平均落潮历时为6小时26分，落潮历时稍长于涨潮历时约0.5小时左右。</w:t>
      </w:r>
    </w:p>
    <w:p w14:paraId="061F9C8A">
      <w:pPr>
        <w:snapToGrid w:val="0"/>
        <w:rPr>
          <w:rFonts w:hint="eastAsia"/>
          <w:color w:val="auto"/>
          <w:highlight w:val="none"/>
          <w:u w:val="none"/>
        </w:rPr>
      </w:pPr>
      <w:r>
        <w:rPr>
          <w:rFonts w:hint="eastAsia"/>
          <w:color w:val="auto"/>
          <w:highlight w:val="none"/>
          <w:u w:val="none"/>
        </w:rPr>
        <w:t>实测特征潮位（当地理论最低潮面，下同）</w:t>
      </w:r>
    </w:p>
    <w:p w14:paraId="05C509F1">
      <w:pPr>
        <w:snapToGrid w:val="0"/>
        <w:rPr>
          <w:rFonts w:hint="eastAsia"/>
          <w:color w:val="auto"/>
          <w:highlight w:val="none"/>
          <w:u w:val="none"/>
        </w:rPr>
      </w:pPr>
      <w:r>
        <w:rPr>
          <w:rFonts w:hint="eastAsia"/>
          <w:color w:val="auto"/>
          <w:highlight w:val="none"/>
          <w:u w:val="none"/>
        </w:rPr>
        <w:t>最高潮位：7.77m</w:t>
      </w:r>
    </w:p>
    <w:p w14:paraId="731B11AE">
      <w:pPr>
        <w:snapToGrid w:val="0"/>
        <w:rPr>
          <w:rFonts w:hint="eastAsia"/>
          <w:color w:val="auto"/>
          <w:highlight w:val="none"/>
          <w:u w:val="none"/>
        </w:rPr>
      </w:pPr>
      <w:r>
        <w:rPr>
          <w:rFonts w:hint="eastAsia"/>
          <w:color w:val="auto"/>
          <w:highlight w:val="none"/>
          <w:u w:val="none"/>
        </w:rPr>
        <w:t>最低潮位：0.22m</w:t>
      </w:r>
    </w:p>
    <w:p w14:paraId="708223B7">
      <w:pPr>
        <w:snapToGrid w:val="0"/>
        <w:rPr>
          <w:rFonts w:hint="eastAsia"/>
          <w:color w:val="auto"/>
          <w:highlight w:val="none"/>
          <w:u w:val="none"/>
        </w:rPr>
      </w:pPr>
      <w:r>
        <w:rPr>
          <w:rFonts w:hint="eastAsia"/>
          <w:color w:val="auto"/>
          <w:highlight w:val="none"/>
          <w:u w:val="none"/>
        </w:rPr>
        <w:t>平均高潮位：6.68m</w:t>
      </w:r>
    </w:p>
    <w:p w14:paraId="4BA105B6">
      <w:pPr>
        <w:snapToGrid w:val="0"/>
        <w:rPr>
          <w:rFonts w:hint="eastAsia"/>
          <w:color w:val="auto"/>
          <w:highlight w:val="none"/>
          <w:u w:val="none"/>
        </w:rPr>
      </w:pPr>
      <w:r>
        <w:rPr>
          <w:rFonts w:hint="eastAsia"/>
          <w:color w:val="auto"/>
          <w:highlight w:val="none"/>
          <w:u w:val="none"/>
        </w:rPr>
        <w:t>平均低潮位：1.46m</w:t>
      </w:r>
    </w:p>
    <w:p w14:paraId="7B64F60C">
      <w:pPr>
        <w:snapToGrid w:val="0"/>
        <w:rPr>
          <w:rFonts w:hint="eastAsia"/>
          <w:color w:val="auto"/>
          <w:highlight w:val="none"/>
          <w:u w:val="none"/>
        </w:rPr>
      </w:pPr>
      <w:r>
        <w:rPr>
          <w:rFonts w:hint="eastAsia"/>
          <w:color w:val="auto"/>
          <w:highlight w:val="none"/>
          <w:u w:val="none"/>
        </w:rPr>
        <w:t>最大潮差：7.51m</w:t>
      </w:r>
    </w:p>
    <w:p w14:paraId="6B402FE1">
      <w:pPr>
        <w:snapToGrid w:val="0"/>
        <w:rPr>
          <w:rFonts w:hint="eastAsia"/>
          <w:color w:val="auto"/>
          <w:highlight w:val="none"/>
          <w:u w:val="none"/>
        </w:rPr>
      </w:pPr>
      <w:r>
        <w:rPr>
          <w:rFonts w:hint="eastAsia"/>
          <w:color w:val="auto"/>
          <w:highlight w:val="none"/>
          <w:u w:val="none"/>
        </w:rPr>
        <w:t>最小潮差：2.95m</w:t>
      </w:r>
    </w:p>
    <w:p w14:paraId="1879BEF4">
      <w:pPr>
        <w:snapToGrid w:val="0"/>
        <w:rPr>
          <w:rFonts w:hint="eastAsia"/>
          <w:color w:val="auto"/>
          <w:highlight w:val="none"/>
          <w:u w:val="none"/>
        </w:rPr>
      </w:pPr>
      <w:r>
        <w:rPr>
          <w:rFonts w:hint="eastAsia"/>
          <w:color w:val="auto"/>
          <w:highlight w:val="none"/>
          <w:u w:val="none"/>
        </w:rPr>
        <w:t>平均潮差：5.22m</w:t>
      </w:r>
    </w:p>
    <w:p w14:paraId="119F65FE">
      <w:pPr>
        <w:snapToGrid w:val="0"/>
        <w:rPr>
          <w:rFonts w:hint="eastAsia"/>
          <w:color w:val="auto"/>
          <w:highlight w:val="none"/>
          <w:u w:val="none"/>
        </w:rPr>
      </w:pPr>
      <w:r>
        <w:rPr>
          <w:rFonts w:hint="eastAsia"/>
          <w:color w:val="auto"/>
          <w:highlight w:val="none"/>
          <w:u w:val="none"/>
        </w:rPr>
        <w:t>（2）潮流</w:t>
      </w:r>
    </w:p>
    <w:p w14:paraId="2B188276">
      <w:pPr>
        <w:snapToGrid w:val="0"/>
        <w:rPr>
          <w:rFonts w:hint="eastAsia"/>
          <w:color w:val="auto"/>
          <w:highlight w:val="none"/>
          <w:u w:val="none"/>
        </w:rPr>
      </w:pPr>
      <w:r>
        <w:rPr>
          <w:rFonts w:hint="eastAsia"/>
          <w:color w:val="auto"/>
          <w:highlight w:val="none"/>
          <w:u w:val="none"/>
        </w:rPr>
        <w:t>兴化湾潮流为正规半日浅海潮流，流向受地形控制，基本为往复流，涨落潮流向较为稳定。潮波型式为驻波，最大涨落潮流速出现在中潮位附近。根据国家海洋局厦门海洋工程勘察设计中心在兴化湾壁头附近海区共两个测站的同步海流周日连续观测资料分析，本海区潮流形态系数值均小于0.5，属半日潮流。潮流运动呈往复式流动方式，即涨潮流WNW向，落潮流ESE向，受地形制约，涨潮和落潮流向都相对稳定，半日潮流图的流矢很集中。落潮流速稍大于涨潮流速，最大落潮流速平均58.6cm/s，最大涨潮流速平均57.6cm/s。大潮实测最大流速平均63.9cm/s，小潮实测最大流速平均52.4cm/s，大潮是小潮的1.2倍。最大涨潮流出现在高平潮前3～4h，最大落潮流出现在高平潮后2～3h。两次观测的余流流向均稳定流向湾内，多为WNW方向，且大潮时观测的余流值大于小潮时的余流值。实测余流最大值为17.1cm/s，流向254°，位于表层。余流流向对入海污染物的向外输移扩散不利。由潮流椭圆要素推算得出水质点平均最大运移距离，表层要大于5km，大潮时可达9km之多。</w:t>
      </w:r>
    </w:p>
    <w:p w14:paraId="6651C3C1">
      <w:pPr>
        <w:snapToGrid w:val="0"/>
        <w:rPr>
          <w:rFonts w:hint="eastAsia"/>
          <w:color w:val="auto"/>
          <w:highlight w:val="none"/>
          <w:u w:val="none"/>
        </w:rPr>
      </w:pPr>
      <w:r>
        <w:rPr>
          <w:rFonts w:hint="eastAsia"/>
          <w:color w:val="auto"/>
          <w:highlight w:val="none"/>
          <w:u w:val="none"/>
        </w:rPr>
        <w:t>（3）波浪</w:t>
      </w:r>
    </w:p>
    <w:p w14:paraId="69CFA99D">
      <w:pPr>
        <w:snapToGrid w:val="0"/>
        <w:rPr>
          <w:rFonts w:hint="eastAsia"/>
          <w:color w:val="auto"/>
          <w:highlight w:val="none"/>
          <w:u w:val="none"/>
        </w:rPr>
      </w:pPr>
      <w:r>
        <w:rPr>
          <w:rFonts w:hint="eastAsia"/>
          <w:color w:val="auto"/>
          <w:highlight w:val="none"/>
          <w:u w:val="none"/>
        </w:rPr>
        <w:t>兴化湾北部湾顶有江阴岛，湾的中部有岛屿罗列呈NE～SW走向，因此，外海E～SSW向的波浪都能有不同程度地沿湾口直接传入湾内，但由于湾口外有南日岛等岛屿的阻挡，且湾内水深变浅，外海的波浪传入湾内将会逐渐衰减。兴化湾内海区常浪向NE，频率46.6%，次常浪向SSW，频率11.7%；强浪向SE，最大波高7.5m，次强浪向S，最大波高5.5m，平均波高0.7m，最大平均波高0.8m（SSW、SW、S），频率0.1%。兴化湾内无实测波浪站，现参考邻近的平潭海洋站资料进行分析，本区风浪的出现频率较大，对于N、NNE和ENE向的常风向和强风向，湾内生成的偏北和偏东等方向的波浪，因风区较短，不可能产生大的波高。其波浪状况为常浪向NE，频率为46.6%，次强浪向S，最大波高5.5m，平均波高0.7m，平均周期3.4S，最大平均波高0.8m，出现在SSE、SW、WNW向；风浪和涌浪出现频率分别是67.5%和32.5%，静浪频率7%。总之，本海区波浪主要受风的控制，在兴化湾口受外海风浪影响为主，风区长，波高较大。在湾内，由于岛屿的遮挡及浅滩的阻滞，外海风浪影响甚少，且风区短，波高较小。</w:t>
      </w:r>
    </w:p>
    <w:p w14:paraId="5EAAD874">
      <w:pPr>
        <w:snapToGrid w:val="0"/>
        <w:rPr>
          <w:rFonts w:hint="eastAsia"/>
          <w:color w:val="auto"/>
          <w:highlight w:val="none"/>
          <w:u w:val="none"/>
        </w:rPr>
      </w:pPr>
      <w:r>
        <w:rPr>
          <w:rFonts w:hint="eastAsia"/>
          <w:color w:val="auto"/>
          <w:highlight w:val="none"/>
          <w:u w:val="none"/>
        </w:rPr>
        <w:t>（4）泥沙</w:t>
      </w:r>
    </w:p>
    <w:p w14:paraId="5B3ED3F9">
      <w:pPr>
        <w:snapToGrid w:val="0"/>
        <w:rPr>
          <w:rFonts w:hint="eastAsia"/>
          <w:color w:val="auto"/>
          <w:highlight w:val="none"/>
          <w:u w:val="none"/>
        </w:rPr>
      </w:pPr>
      <w:r>
        <w:rPr>
          <w:rFonts w:hint="eastAsia"/>
          <w:color w:val="auto"/>
          <w:highlight w:val="none"/>
          <w:u w:val="none"/>
        </w:rPr>
        <w:t>根据相关资料，江阴港区水域平均含沙量0.0756~00798kg/m</w:t>
      </w:r>
      <w:r>
        <w:rPr>
          <w:rFonts w:hint="eastAsia"/>
          <w:color w:val="auto"/>
          <w:highlight w:val="none"/>
          <w:u w:val="none"/>
          <w:vertAlign w:val="superscript"/>
        </w:rPr>
        <w:t>3</w:t>
      </w:r>
      <w:r>
        <w:rPr>
          <w:rFonts w:hint="eastAsia"/>
          <w:color w:val="auto"/>
          <w:highlight w:val="none"/>
          <w:u w:val="none"/>
        </w:rPr>
        <w:t>，湾内平均含沙量00288~0.0387kg/m</w:t>
      </w:r>
      <w:r>
        <w:rPr>
          <w:rFonts w:hint="eastAsia"/>
          <w:color w:val="auto"/>
          <w:highlight w:val="none"/>
          <w:u w:val="none"/>
          <w:vertAlign w:val="superscript"/>
        </w:rPr>
        <w:t>3</w:t>
      </w:r>
      <w:r>
        <w:rPr>
          <w:rFonts w:hint="eastAsia"/>
          <w:color w:val="auto"/>
          <w:highlight w:val="none"/>
          <w:u w:val="none"/>
        </w:rPr>
        <w:t>。</w:t>
      </w:r>
    </w:p>
    <w:p w14:paraId="1456DEA3">
      <w:pPr>
        <w:snapToGrid w:val="0"/>
        <w:rPr>
          <w:rFonts w:hint="eastAsia"/>
          <w:color w:val="auto"/>
          <w:highlight w:val="none"/>
          <w:u w:val="none"/>
        </w:rPr>
      </w:pPr>
      <w:r>
        <w:rPr>
          <w:rFonts w:hint="eastAsia"/>
          <w:color w:val="auto"/>
          <w:highlight w:val="none"/>
          <w:u w:val="none"/>
        </w:rPr>
        <w:t>兴化湾的泥沙主要来自湾内的木兰溪和荻芦溪的入海泥沙，据其20年资料统计，年平均入海沙量为75.7×10</w:t>
      </w:r>
      <w:r>
        <w:rPr>
          <w:rFonts w:hint="eastAsia"/>
          <w:color w:val="auto"/>
          <w:highlight w:val="none"/>
          <w:u w:val="none"/>
          <w:vertAlign w:val="superscript"/>
        </w:rPr>
        <w:t>4</w:t>
      </w:r>
      <w:r>
        <w:rPr>
          <w:rFonts w:hint="eastAsia"/>
          <w:color w:val="auto"/>
          <w:highlight w:val="none"/>
          <w:u w:val="none"/>
        </w:rPr>
        <w:t>吨，且多集中在6～9月份，部分来自本湾周边沿岸、岛礁受风浪、潮流侵蚀入海的物质，但自从木兰溪建坝后，入海流量已大大减少，挟带入海的泥沙也大为减少。</w:t>
      </w:r>
    </w:p>
    <w:p w14:paraId="63A7CB42">
      <w:pPr>
        <w:pStyle w:val="6"/>
        <w:spacing w:before="156" w:after="156"/>
        <w:rPr>
          <w:color w:val="auto"/>
          <w:highlight w:val="none"/>
          <w:u w:val="none"/>
        </w:rPr>
      </w:pPr>
      <w:bookmarkStart w:id="438" w:name="_Toc148375027"/>
      <w:bookmarkStart w:id="439" w:name="_Toc148374585"/>
      <w:r>
        <w:rPr>
          <w:rFonts w:hint="eastAsia"/>
          <w:color w:val="auto"/>
          <w:highlight w:val="none"/>
          <w:u w:val="none"/>
        </w:rPr>
        <w:t>矿产、森林</w:t>
      </w:r>
      <w:bookmarkEnd w:id="438"/>
      <w:bookmarkEnd w:id="439"/>
    </w:p>
    <w:p w14:paraId="372D9E16">
      <w:pPr>
        <w:pStyle w:val="981"/>
        <w:rPr>
          <w:rFonts w:hint="eastAsia"/>
          <w:color w:val="auto"/>
          <w:highlight w:val="none"/>
          <w:u w:val="none"/>
        </w:rPr>
      </w:pPr>
      <w:r>
        <w:rPr>
          <w:rFonts w:hint="eastAsia"/>
          <w:color w:val="auto"/>
          <w:highlight w:val="none"/>
          <w:u w:val="none"/>
        </w:rPr>
        <w:t>根据实地调查，岛内土壤类型有赤红壤、盐土，以及经水耕熟化而成的水稻土等。</w:t>
      </w:r>
    </w:p>
    <w:p w14:paraId="6C16762D">
      <w:pPr>
        <w:pStyle w:val="981"/>
        <w:rPr>
          <w:rFonts w:hint="eastAsia"/>
          <w:color w:val="auto"/>
          <w:highlight w:val="none"/>
          <w:u w:val="none"/>
        </w:rPr>
      </w:pPr>
      <w:r>
        <w:rPr>
          <w:rFonts w:hint="eastAsia"/>
          <w:color w:val="auto"/>
          <w:highlight w:val="none"/>
          <w:u w:val="none"/>
        </w:rPr>
        <w:t>岛上植被主要有森林植被和农田植被两大类，原生植被已消灭、森林植被主要是次生相思林和木麻黄；还有少量马尾松，农田植被主要是小麦、甘薯、花生、大豆等旱作物，也有一些水稻和蔬菜。</w:t>
      </w:r>
    </w:p>
    <w:p w14:paraId="34C0816D">
      <w:pPr>
        <w:pStyle w:val="981"/>
        <w:rPr>
          <w:rFonts w:hint="eastAsia"/>
          <w:color w:val="auto"/>
          <w:highlight w:val="none"/>
          <w:u w:val="none"/>
        </w:rPr>
      </w:pPr>
      <w:r>
        <w:rPr>
          <w:rFonts w:hint="eastAsia"/>
          <w:color w:val="auto"/>
          <w:highlight w:val="none"/>
          <w:u w:val="none"/>
        </w:rPr>
        <w:t>海岸与湖塘岸边的植被类型大多为小群落类型分布，主要典型的有海滨藜群落、南方碱蓬群落、狗牙根群落、铺地黍群落、小藜群落等多种类型。这些植被广泛分布于各地段的海岸与湖塘岸埂。</w:t>
      </w:r>
    </w:p>
    <w:p w14:paraId="58320DC9">
      <w:pPr>
        <w:pStyle w:val="981"/>
        <w:rPr>
          <w:rFonts w:hint="eastAsia"/>
          <w:color w:val="auto"/>
          <w:highlight w:val="none"/>
          <w:u w:val="none"/>
        </w:rPr>
      </w:pPr>
      <w:r>
        <w:rPr>
          <w:rFonts w:hint="eastAsia"/>
          <w:color w:val="auto"/>
          <w:highlight w:val="none"/>
          <w:u w:val="none"/>
        </w:rPr>
        <w:t>目前江阴岛共有防护林</w:t>
      </w:r>
      <w:r>
        <w:rPr>
          <w:color w:val="auto"/>
          <w:highlight w:val="none"/>
          <w:u w:val="none"/>
        </w:rPr>
        <w:t>2644.8hm</w:t>
      </w:r>
      <w:r>
        <w:rPr>
          <w:color w:val="auto"/>
          <w:highlight w:val="none"/>
          <w:u w:val="none"/>
          <w:vertAlign w:val="superscript"/>
        </w:rPr>
        <w:t>2</w:t>
      </w:r>
      <w:r>
        <w:rPr>
          <w:rFonts w:hint="eastAsia"/>
          <w:color w:val="auto"/>
          <w:highlight w:val="none"/>
          <w:u w:val="none"/>
        </w:rPr>
        <w:t>，其中防护林</w:t>
      </w:r>
      <w:r>
        <w:rPr>
          <w:color w:val="auto"/>
          <w:highlight w:val="none"/>
          <w:u w:val="none"/>
        </w:rPr>
        <w:t>1325.8hm</w:t>
      </w:r>
      <w:r>
        <w:rPr>
          <w:color w:val="auto"/>
          <w:highlight w:val="none"/>
          <w:u w:val="none"/>
          <w:vertAlign w:val="superscript"/>
        </w:rPr>
        <w:t>2</w:t>
      </w:r>
      <w:r>
        <w:rPr>
          <w:rFonts w:hint="eastAsia"/>
          <w:color w:val="auto"/>
          <w:highlight w:val="none"/>
          <w:u w:val="none"/>
        </w:rPr>
        <w:t>，防风固沙林</w:t>
      </w:r>
      <w:r>
        <w:rPr>
          <w:color w:val="auto"/>
          <w:highlight w:val="none"/>
          <w:u w:val="none"/>
        </w:rPr>
        <w:t>100.7hm</w:t>
      </w:r>
      <w:r>
        <w:rPr>
          <w:color w:val="auto"/>
          <w:highlight w:val="none"/>
          <w:u w:val="none"/>
          <w:vertAlign w:val="superscript"/>
        </w:rPr>
        <w:t>2</w:t>
      </w:r>
      <w:r>
        <w:rPr>
          <w:rFonts w:hint="eastAsia"/>
          <w:color w:val="auto"/>
          <w:highlight w:val="none"/>
          <w:u w:val="none"/>
        </w:rPr>
        <w:t>，水土保持林</w:t>
      </w:r>
      <w:r>
        <w:rPr>
          <w:color w:val="auto"/>
          <w:highlight w:val="none"/>
          <w:u w:val="none"/>
        </w:rPr>
        <w:t>1218.3hm</w:t>
      </w:r>
      <w:r>
        <w:rPr>
          <w:color w:val="auto"/>
          <w:highlight w:val="none"/>
          <w:u w:val="none"/>
          <w:vertAlign w:val="superscript"/>
        </w:rPr>
        <w:t>2</w:t>
      </w:r>
      <w:r>
        <w:rPr>
          <w:rFonts w:hint="eastAsia"/>
          <w:color w:val="auto"/>
          <w:highlight w:val="none"/>
          <w:u w:val="none"/>
        </w:rPr>
        <w:t>。防护林主要树种有木麻黄、黑松、台湾相思等。</w:t>
      </w:r>
    </w:p>
    <w:p w14:paraId="1347B409">
      <w:pPr>
        <w:pStyle w:val="6"/>
        <w:spacing w:before="156" w:after="156"/>
        <w:rPr>
          <w:color w:val="auto"/>
          <w:highlight w:val="none"/>
          <w:u w:val="none"/>
        </w:rPr>
      </w:pPr>
      <w:bookmarkStart w:id="440" w:name="_Toc148375028"/>
      <w:bookmarkStart w:id="441" w:name="_Toc148374586"/>
      <w:r>
        <w:rPr>
          <w:rFonts w:hint="eastAsia"/>
          <w:color w:val="auto"/>
          <w:highlight w:val="none"/>
          <w:u w:val="none"/>
        </w:rPr>
        <w:t>兴化湾水池养殖现状</w:t>
      </w:r>
      <w:bookmarkEnd w:id="440"/>
      <w:bookmarkEnd w:id="441"/>
    </w:p>
    <w:p w14:paraId="40D272D8">
      <w:pPr>
        <w:pStyle w:val="981"/>
        <w:rPr>
          <w:rFonts w:hint="eastAsia"/>
          <w:color w:val="auto"/>
          <w:highlight w:val="none"/>
          <w:u w:val="none"/>
        </w:rPr>
      </w:pPr>
      <w:r>
        <w:rPr>
          <w:rFonts w:hint="eastAsia"/>
          <w:color w:val="auto"/>
          <w:highlight w:val="none"/>
          <w:u w:val="none"/>
        </w:rPr>
        <w:t>根据《福州市江阴工业集中区环境保护规划》对兴化湾水产养殖</w:t>
      </w:r>
      <w:r>
        <w:rPr>
          <w:color w:val="auto"/>
          <w:highlight w:val="none"/>
          <w:u w:val="none"/>
        </w:rPr>
        <w:t>(</w:t>
      </w:r>
      <w:r>
        <w:rPr>
          <w:rFonts w:hint="eastAsia"/>
          <w:color w:val="auto"/>
          <w:highlight w:val="none"/>
          <w:u w:val="none"/>
        </w:rPr>
        <w:t>主要是江阴港城经济区</w:t>
      </w:r>
      <w:r>
        <w:rPr>
          <w:color w:val="auto"/>
          <w:highlight w:val="none"/>
          <w:u w:val="none"/>
        </w:rPr>
        <w:t>)</w:t>
      </w:r>
      <w:r>
        <w:rPr>
          <w:rFonts w:hint="eastAsia"/>
          <w:color w:val="auto"/>
          <w:highlight w:val="none"/>
          <w:u w:val="none"/>
        </w:rPr>
        <w:t>调查发现：贝类产量最高，占海水养殖总产量的</w:t>
      </w:r>
      <w:r>
        <w:rPr>
          <w:color w:val="auto"/>
          <w:highlight w:val="none"/>
          <w:u w:val="none"/>
        </w:rPr>
        <w:t>78.91%</w:t>
      </w:r>
      <w:r>
        <w:rPr>
          <w:rFonts w:hint="eastAsia"/>
          <w:color w:val="auto"/>
          <w:highlight w:val="none"/>
          <w:u w:val="none"/>
        </w:rPr>
        <w:t>；鱼类为第二位，占总产量的</w:t>
      </w:r>
      <w:r>
        <w:rPr>
          <w:color w:val="auto"/>
          <w:highlight w:val="none"/>
          <w:u w:val="none"/>
        </w:rPr>
        <w:t>12.76%</w:t>
      </w:r>
      <w:r>
        <w:rPr>
          <w:rFonts w:hint="eastAsia"/>
          <w:color w:val="auto"/>
          <w:highlight w:val="none"/>
          <w:u w:val="none"/>
        </w:rPr>
        <w:t>；其次是甲壳类，藻类。各类水产品的主要品种见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_Ref147583832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648C9D6F">
      <w:pPr>
        <w:pStyle w:val="85"/>
        <w:rPr>
          <w:color w:val="auto"/>
          <w:highlight w:val="none"/>
          <w:u w:val="none"/>
        </w:rPr>
      </w:pPr>
      <w:bookmarkStart w:id="442" w:name="_Ref14758383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442"/>
      <w:r>
        <w:rPr>
          <w:color w:val="auto"/>
          <w:highlight w:val="none"/>
          <w:u w:val="none"/>
        </w:rPr>
        <w:t xml:space="preserve">  </w:t>
      </w:r>
      <w:r>
        <w:rPr>
          <w:rFonts w:hint="eastAsia"/>
          <w:color w:val="auto"/>
          <w:highlight w:val="none"/>
          <w:u w:val="none"/>
        </w:rPr>
        <w:t>兴化湾主要水产养殖品种统计一览表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506"/>
        <w:gridCol w:w="6647"/>
      </w:tblGrid>
      <w:tr w14:paraId="76FBF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0180AAC8">
            <w:pPr>
              <w:pStyle w:val="92"/>
              <w:rPr>
                <w:color w:val="auto"/>
                <w:highlight w:val="none"/>
                <w:u w:val="none"/>
              </w:rPr>
            </w:pPr>
            <w:r>
              <w:rPr>
                <w:rFonts w:hint="eastAsia"/>
                <w:color w:val="auto"/>
                <w:highlight w:val="none"/>
                <w:u w:val="none"/>
              </w:rPr>
              <w:t>序号</w:t>
            </w:r>
          </w:p>
        </w:tc>
        <w:tc>
          <w:tcPr>
            <w:tcW w:w="811" w:type="pct"/>
            <w:vAlign w:val="center"/>
          </w:tcPr>
          <w:p w14:paraId="40246D02">
            <w:pPr>
              <w:pStyle w:val="92"/>
              <w:rPr>
                <w:color w:val="auto"/>
                <w:highlight w:val="none"/>
                <w:u w:val="none"/>
              </w:rPr>
            </w:pPr>
            <w:r>
              <w:rPr>
                <w:rFonts w:hint="eastAsia"/>
                <w:color w:val="auto"/>
                <w:highlight w:val="none"/>
                <w:u w:val="none"/>
              </w:rPr>
              <w:t>分类</w:t>
            </w:r>
          </w:p>
        </w:tc>
        <w:tc>
          <w:tcPr>
            <w:tcW w:w="3579" w:type="pct"/>
            <w:vAlign w:val="center"/>
          </w:tcPr>
          <w:p w14:paraId="5076C1F7">
            <w:pPr>
              <w:pStyle w:val="92"/>
              <w:rPr>
                <w:color w:val="auto"/>
                <w:highlight w:val="none"/>
                <w:u w:val="none"/>
              </w:rPr>
            </w:pPr>
            <w:r>
              <w:rPr>
                <w:rFonts w:hint="eastAsia"/>
                <w:color w:val="auto"/>
                <w:highlight w:val="none"/>
                <w:u w:val="none"/>
              </w:rPr>
              <w:t>品种</w:t>
            </w:r>
          </w:p>
        </w:tc>
      </w:tr>
      <w:tr w14:paraId="74FDB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3B330B70">
            <w:pPr>
              <w:pStyle w:val="92"/>
              <w:rPr>
                <w:color w:val="auto"/>
                <w:highlight w:val="none"/>
                <w:u w:val="none"/>
              </w:rPr>
            </w:pPr>
            <w:r>
              <w:rPr>
                <w:color w:val="auto"/>
                <w:highlight w:val="none"/>
                <w:u w:val="none"/>
              </w:rPr>
              <w:t>1</w:t>
            </w:r>
          </w:p>
        </w:tc>
        <w:tc>
          <w:tcPr>
            <w:tcW w:w="811" w:type="pct"/>
            <w:vAlign w:val="center"/>
          </w:tcPr>
          <w:p w14:paraId="304A9158">
            <w:pPr>
              <w:pStyle w:val="92"/>
              <w:rPr>
                <w:color w:val="auto"/>
                <w:highlight w:val="none"/>
                <w:u w:val="none"/>
              </w:rPr>
            </w:pPr>
            <w:r>
              <w:rPr>
                <w:rFonts w:hint="eastAsia"/>
                <w:color w:val="auto"/>
                <w:highlight w:val="none"/>
                <w:u w:val="none"/>
              </w:rPr>
              <w:t>鱼类</w:t>
            </w:r>
          </w:p>
        </w:tc>
        <w:tc>
          <w:tcPr>
            <w:tcW w:w="3579" w:type="pct"/>
            <w:vAlign w:val="center"/>
          </w:tcPr>
          <w:p w14:paraId="37B6A5A6">
            <w:pPr>
              <w:pStyle w:val="92"/>
              <w:rPr>
                <w:color w:val="auto"/>
                <w:highlight w:val="none"/>
                <w:u w:val="none"/>
              </w:rPr>
            </w:pPr>
            <w:r>
              <w:rPr>
                <w:color w:val="auto"/>
                <w:highlight w:val="none"/>
                <w:u w:val="none"/>
              </w:rPr>
              <w:t>1</w:t>
            </w:r>
            <w:r>
              <w:rPr>
                <w:rFonts w:hint="eastAsia"/>
                <w:color w:val="auto"/>
                <w:highlight w:val="none"/>
                <w:u w:val="none"/>
              </w:rPr>
              <w:t>鳗鲡</w:t>
            </w:r>
            <w:r>
              <w:rPr>
                <w:color w:val="auto"/>
                <w:highlight w:val="none"/>
                <w:u w:val="none"/>
              </w:rPr>
              <w:t xml:space="preserve"> 2</w:t>
            </w:r>
            <w:r>
              <w:rPr>
                <w:rFonts w:hint="eastAsia"/>
                <w:color w:val="auto"/>
                <w:highlight w:val="none"/>
                <w:u w:val="none"/>
              </w:rPr>
              <w:t>鲢鱼</w:t>
            </w:r>
            <w:r>
              <w:rPr>
                <w:color w:val="auto"/>
                <w:highlight w:val="none"/>
                <w:u w:val="none"/>
              </w:rPr>
              <w:t xml:space="preserve"> 3</w:t>
            </w:r>
            <w:r>
              <w:rPr>
                <w:rFonts w:hint="eastAsia"/>
                <w:color w:val="auto"/>
                <w:highlight w:val="none"/>
                <w:u w:val="none"/>
              </w:rPr>
              <w:t>草鱼</w:t>
            </w:r>
            <w:r>
              <w:rPr>
                <w:color w:val="auto"/>
                <w:highlight w:val="none"/>
                <w:u w:val="none"/>
              </w:rPr>
              <w:t xml:space="preserve"> 4</w:t>
            </w:r>
            <w:r>
              <w:rPr>
                <w:rFonts w:hint="eastAsia"/>
                <w:color w:val="auto"/>
                <w:highlight w:val="none"/>
                <w:u w:val="none"/>
              </w:rPr>
              <w:t>鲍鱼</w:t>
            </w:r>
            <w:r>
              <w:rPr>
                <w:color w:val="auto"/>
                <w:highlight w:val="none"/>
                <w:u w:val="none"/>
              </w:rPr>
              <w:t xml:space="preserve"> 5</w:t>
            </w:r>
            <w:r>
              <w:rPr>
                <w:rFonts w:hint="eastAsia"/>
                <w:color w:val="auto"/>
                <w:highlight w:val="none"/>
                <w:u w:val="none"/>
              </w:rPr>
              <w:t>罗非鱼</w:t>
            </w:r>
          </w:p>
        </w:tc>
      </w:tr>
      <w:tr w14:paraId="2BFB5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43B52F70">
            <w:pPr>
              <w:pStyle w:val="92"/>
              <w:rPr>
                <w:color w:val="auto"/>
                <w:highlight w:val="none"/>
                <w:u w:val="none"/>
              </w:rPr>
            </w:pPr>
            <w:r>
              <w:rPr>
                <w:color w:val="auto"/>
                <w:highlight w:val="none"/>
                <w:u w:val="none"/>
              </w:rPr>
              <w:t>2</w:t>
            </w:r>
          </w:p>
        </w:tc>
        <w:tc>
          <w:tcPr>
            <w:tcW w:w="811" w:type="pct"/>
            <w:vAlign w:val="center"/>
          </w:tcPr>
          <w:p w14:paraId="18E9C736">
            <w:pPr>
              <w:pStyle w:val="92"/>
              <w:rPr>
                <w:color w:val="auto"/>
                <w:highlight w:val="none"/>
                <w:u w:val="none"/>
              </w:rPr>
            </w:pPr>
            <w:r>
              <w:rPr>
                <w:rFonts w:hint="eastAsia"/>
                <w:color w:val="auto"/>
                <w:highlight w:val="none"/>
                <w:u w:val="none"/>
              </w:rPr>
              <w:t>甲壳类</w:t>
            </w:r>
          </w:p>
        </w:tc>
        <w:tc>
          <w:tcPr>
            <w:tcW w:w="3579" w:type="pct"/>
            <w:vAlign w:val="center"/>
          </w:tcPr>
          <w:p w14:paraId="5B8C2F31">
            <w:pPr>
              <w:pStyle w:val="92"/>
              <w:rPr>
                <w:color w:val="auto"/>
                <w:highlight w:val="none"/>
                <w:u w:val="none"/>
              </w:rPr>
            </w:pPr>
          </w:p>
        </w:tc>
      </w:tr>
      <w:tr w14:paraId="58679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restart"/>
            <w:vAlign w:val="center"/>
          </w:tcPr>
          <w:p w14:paraId="652E2F16">
            <w:pPr>
              <w:pStyle w:val="92"/>
              <w:rPr>
                <w:color w:val="auto"/>
                <w:highlight w:val="none"/>
                <w:u w:val="none"/>
              </w:rPr>
            </w:pPr>
            <w:r>
              <w:rPr>
                <w:rFonts w:hint="eastAsia"/>
                <w:color w:val="auto"/>
                <w:highlight w:val="none"/>
                <w:u w:val="none"/>
              </w:rPr>
              <w:t>其中</w:t>
            </w:r>
          </w:p>
        </w:tc>
        <w:tc>
          <w:tcPr>
            <w:tcW w:w="811" w:type="pct"/>
            <w:vAlign w:val="center"/>
          </w:tcPr>
          <w:p w14:paraId="37D15DFF">
            <w:pPr>
              <w:pStyle w:val="92"/>
              <w:rPr>
                <w:color w:val="auto"/>
                <w:highlight w:val="none"/>
                <w:u w:val="none"/>
              </w:rPr>
            </w:pPr>
            <w:r>
              <w:rPr>
                <w:rFonts w:hint="eastAsia"/>
                <w:color w:val="auto"/>
                <w:highlight w:val="none"/>
                <w:u w:val="none"/>
              </w:rPr>
              <w:t>虾类</w:t>
            </w:r>
          </w:p>
        </w:tc>
        <w:tc>
          <w:tcPr>
            <w:tcW w:w="3579" w:type="pct"/>
            <w:vAlign w:val="center"/>
          </w:tcPr>
          <w:p w14:paraId="760FD4E7">
            <w:pPr>
              <w:pStyle w:val="92"/>
              <w:rPr>
                <w:color w:val="auto"/>
                <w:highlight w:val="none"/>
                <w:u w:val="none"/>
              </w:rPr>
            </w:pPr>
            <w:r>
              <w:rPr>
                <w:color w:val="auto"/>
                <w:highlight w:val="none"/>
                <w:u w:val="none"/>
              </w:rPr>
              <w:t>1</w:t>
            </w:r>
            <w:r>
              <w:rPr>
                <w:rFonts w:hint="eastAsia"/>
                <w:color w:val="auto"/>
                <w:highlight w:val="none"/>
                <w:u w:val="none"/>
              </w:rPr>
              <w:t>南美白对虾</w:t>
            </w:r>
            <w:r>
              <w:rPr>
                <w:color w:val="auto"/>
                <w:highlight w:val="none"/>
                <w:u w:val="none"/>
              </w:rPr>
              <w:t xml:space="preserve"> 2</w:t>
            </w:r>
            <w:r>
              <w:rPr>
                <w:rFonts w:hint="eastAsia"/>
                <w:color w:val="auto"/>
                <w:highlight w:val="none"/>
                <w:u w:val="none"/>
              </w:rPr>
              <w:t>日本对虾</w:t>
            </w:r>
            <w:r>
              <w:rPr>
                <w:color w:val="auto"/>
                <w:highlight w:val="none"/>
                <w:u w:val="none"/>
              </w:rPr>
              <w:t xml:space="preserve"> 3</w:t>
            </w:r>
            <w:r>
              <w:rPr>
                <w:rFonts w:hint="eastAsia"/>
                <w:color w:val="auto"/>
                <w:highlight w:val="none"/>
                <w:u w:val="none"/>
              </w:rPr>
              <w:t>斑节对虾</w:t>
            </w:r>
          </w:p>
        </w:tc>
      </w:tr>
      <w:tr w14:paraId="5B984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vAlign w:val="center"/>
          </w:tcPr>
          <w:p w14:paraId="19142469">
            <w:pPr>
              <w:pStyle w:val="92"/>
              <w:rPr>
                <w:color w:val="auto"/>
                <w:highlight w:val="none"/>
                <w:u w:val="none"/>
              </w:rPr>
            </w:pPr>
          </w:p>
        </w:tc>
        <w:tc>
          <w:tcPr>
            <w:tcW w:w="811" w:type="pct"/>
            <w:vAlign w:val="center"/>
          </w:tcPr>
          <w:p w14:paraId="34C58E7C">
            <w:pPr>
              <w:pStyle w:val="92"/>
              <w:rPr>
                <w:color w:val="auto"/>
                <w:highlight w:val="none"/>
                <w:u w:val="none"/>
              </w:rPr>
            </w:pPr>
            <w:r>
              <w:rPr>
                <w:rFonts w:hint="eastAsia"/>
                <w:color w:val="auto"/>
                <w:highlight w:val="none"/>
                <w:u w:val="none"/>
              </w:rPr>
              <w:t>蟹类</w:t>
            </w:r>
          </w:p>
        </w:tc>
        <w:tc>
          <w:tcPr>
            <w:tcW w:w="3579" w:type="pct"/>
            <w:vAlign w:val="center"/>
          </w:tcPr>
          <w:p w14:paraId="19F809AF">
            <w:pPr>
              <w:pStyle w:val="92"/>
              <w:rPr>
                <w:color w:val="auto"/>
                <w:highlight w:val="none"/>
                <w:u w:val="none"/>
              </w:rPr>
            </w:pPr>
            <w:r>
              <w:rPr>
                <w:color w:val="auto"/>
                <w:highlight w:val="none"/>
                <w:u w:val="none"/>
              </w:rPr>
              <w:t>1</w:t>
            </w:r>
            <w:r>
              <w:rPr>
                <w:rFonts w:hint="eastAsia"/>
                <w:color w:val="auto"/>
                <w:highlight w:val="none"/>
                <w:u w:val="none"/>
              </w:rPr>
              <w:t>青蟹</w:t>
            </w:r>
            <w:r>
              <w:rPr>
                <w:color w:val="auto"/>
                <w:highlight w:val="none"/>
                <w:u w:val="none"/>
              </w:rPr>
              <w:t xml:space="preserve"> 2</w:t>
            </w:r>
            <w:r>
              <w:rPr>
                <w:rFonts w:hint="eastAsia"/>
                <w:color w:val="auto"/>
                <w:highlight w:val="none"/>
                <w:u w:val="none"/>
              </w:rPr>
              <w:t>梭子蟹</w:t>
            </w:r>
          </w:p>
        </w:tc>
      </w:tr>
      <w:tr w14:paraId="1A69E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7B23731A">
            <w:pPr>
              <w:pStyle w:val="92"/>
              <w:rPr>
                <w:color w:val="auto"/>
                <w:highlight w:val="none"/>
                <w:u w:val="none"/>
              </w:rPr>
            </w:pPr>
            <w:r>
              <w:rPr>
                <w:color w:val="auto"/>
                <w:highlight w:val="none"/>
                <w:u w:val="none"/>
              </w:rPr>
              <w:t>3</w:t>
            </w:r>
          </w:p>
        </w:tc>
        <w:tc>
          <w:tcPr>
            <w:tcW w:w="811" w:type="pct"/>
            <w:vAlign w:val="center"/>
          </w:tcPr>
          <w:p w14:paraId="1A03B903">
            <w:pPr>
              <w:pStyle w:val="92"/>
              <w:rPr>
                <w:color w:val="auto"/>
                <w:highlight w:val="none"/>
                <w:u w:val="none"/>
              </w:rPr>
            </w:pPr>
            <w:r>
              <w:rPr>
                <w:rFonts w:hint="eastAsia"/>
                <w:color w:val="auto"/>
                <w:highlight w:val="none"/>
                <w:u w:val="none"/>
              </w:rPr>
              <w:t>贝类</w:t>
            </w:r>
          </w:p>
        </w:tc>
        <w:tc>
          <w:tcPr>
            <w:tcW w:w="3579" w:type="pct"/>
            <w:vAlign w:val="center"/>
          </w:tcPr>
          <w:p w14:paraId="1BDD78A4">
            <w:pPr>
              <w:pStyle w:val="92"/>
              <w:rPr>
                <w:color w:val="auto"/>
                <w:highlight w:val="none"/>
                <w:u w:val="none"/>
              </w:rPr>
            </w:pPr>
            <w:r>
              <w:rPr>
                <w:color w:val="auto"/>
                <w:highlight w:val="none"/>
                <w:u w:val="none"/>
              </w:rPr>
              <w:t>1</w:t>
            </w:r>
            <w:r>
              <w:rPr>
                <w:rFonts w:hint="eastAsia"/>
                <w:color w:val="auto"/>
                <w:highlight w:val="none"/>
                <w:u w:val="none"/>
              </w:rPr>
              <w:t>牡蛎</w:t>
            </w:r>
            <w:r>
              <w:rPr>
                <w:color w:val="auto"/>
                <w:highlight w:val="none"/>
                <w:u w:val="none"/>
              </w:rPr>
              <w:t xml:space="preserve"> 2</w:t>
            </w:r>
            <w:r>
              <w:rPr>
                <w:rFonts w:hint="eastAsia"/>
                <w:color w:val="auto"/>
                <w:highlight w:val="none"/>
                <w:u w:val="none"/>
              </w:rPr>
              <w:t>蛏</w:t>
            </w:r>
            <w:r>
              <w:rPr>
                <w:color w:val="auto"/>
                <w:highlight w:val="none"/>
                <w:u w:val="none"/>
              </w:rPr>
              <w:t xml:space="preserve"> 3</w:t>
            </w:r>
            <w:r>
              <w:rPr>
                <w:rFonts w:hint="eastAsia"/>
                <w:color w:val="auto"/>
                <w:highlight w:val="none"/>
                <w:u w:val="none"/>
              </w:rPr>
              <w:t>贻贝</w:t>
            </w:r>
            <w:r>
              <w:rPr>
                <w:color w:val="auto"/>
                <w:highlight w:val="none"/>
                <w:u w:val="none"/>
              </w:rPr>
              <w:t xml:space="preserve"> 4 </w:t>
            </w:r>
            <w:r>
              <w:rPr>
                <w:rFonts w:hint="eastAsia"/>
                <w:color w:val="auto"/>
                <w:highlight w:val="none"/>
                <w:u w:val="none"/>
              </w:rPr>
              <w:t>蛤</w:t>
            </w:r>
            <w:r>
              <w:rPr>
                <w:color w:val="auto"/>
                <w:highlight w:val="none"/>
                <w:u w:val="none"/>
              </w:rPr>
              <w:t xml:space="preserve"> 5</w:t>
            </w:r>
            <w:r>
              <w:rPr>
                <w:rFonts w:hint="eastAsia"/>
                <w:color w:val="auto"/>
                <w:highlight w:val="none"/>
                <w:u w:val="none"/>
              </w:rPr>
              <w:t>螺蛤</w:t>
            </w:r>
          </w:p>
        </w:tc>
      </w:tr>
      <w:tr w14:paraId="01139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6C22FC4C">
            <w:pPr>
              <w:pStyle w:val="92"/>
              <w:rPr>
                <w:color w:val="auto"/>
                <w:highlight w:val="none"/>
                <w:u w:val="none"/>
              </w:rPr>
            </w:pPr>
            <w:r>
              <w:rPr>
                <w:color w:val="auto"/>
                <w:highlight w:val="none"/>
                <w:u w:val="none"/>
              </w:rPr>
              <w:t>4</w:t>
            </w:r>
          </w:p>
        </w:tc>
        <w:tc>
          <w:tcPr>
            <w:tcW w:w="811" w:type="pct"/>
            <w:vAlign w:val="center"/>
          </w:tcPr>
          <w:p w14:paraId="1535DC1C">
            <w:pPr>
              <w:pStyle w:val="92"/>
              <w:rPr>
                <w:color w:val="auto"/>
                <w:highlight w:val="none"/>
                <w:u w:val="none"/>
              </w:rPr>
            </w:pPr>
            <w:r>
              <w:rPr>
                <w:rFonts w:hint="eastAsia"/>
                <w:color w:val="auto"/>
                <w:highlight w:val="none"/>
                <w:u w:val="none"/>
              </w:rPr>
              <w:t>藻类</w:t>
            </w:r>
          </w:p>
        </w:tc>
        <w:tc>
          <w:tcPr>
            <w:tcW w:w="3579" w:type="pct"/>
            <w:vAlign w:val="center"/>
          </w:tcPr>
          <w:p w14:paraId="4E49D23F">
            <w:pPr>
              <w:pStyle w:val="92"/>
              <w:rPr>
                <w:color w:val="auto"/>
                <w:highlight w:val="none"/>
                <w:u w:val="none"/>
              </w:rPr>
            </w:pPr>
            <w:r>
              <w:rPr>
                <w:color w:val="auto"/>
                <w:highlight w:val="none"/>
                <w:u w:val="none"/>
              </w:rPr>
              <w:t>1</w:t>
            </w:r>
            <w:r>
              <w:rPr>
                <w:rFonts w:hint="eastAsia"/>
                <w:color w:val="auto"/>
                <w:highlight w:val="none"/>
                <w:u w:val="none"/>
              </w:rPr>
              <w:t>海带</w:t>
            </w:r>
            <w:r>
              <w:rPr>
                <w:color w:val="auto"/>
                <w:highlight w:val="none"/>
                <w:u w:val="none"/>
              </w:rPr>
              <w:t xml:space="preserve"> 2</w:t>
            </w:r>
            <w:r>
              <w:rPr>
                <w:rFonts w:hint="eastAsia"/>
                <w:color w:val="auto"/>
                <w:highlight w:val="none"/>
                <w:u w:val="none"/>
              </w:rPr>
              <w:t>紫菜</w:t>
            </w:r>
          </w:p>
        </w:tc>
      </w:tr>
      <w:tr w14:paraId="7766D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689F0555">
            <w:pPr>
              <w:pStyle w:val="92"/>
              <w:rPr>
                <w:color w:val="auto"/>
                <w:highlight w:val="none"/>
                <w:u w:val="none"/>
              </w:rPr>
            </w:pPr>
            <w:r>
              <w:rPr>
                <w:color w:val="auto"/>
                <w:highlight w:val="none"/>
                <w:u w:val="none"/>
              </w:rPr>
              <w:t>5</w:t>
            </w:r>
          </w:p>
        </w:tc>
        <w:tc>
          <w:tcPr>
            <w:tcW w:w="811" w:type="pct"/>
            <w:vAlign w:val="center"/>
          </w:tcPr>
          <w:p w14:paraId="379C8577">
            <w:pPr>
              <w:pStyle w:val="92"/>
              <w:rPr>
                <w:color w:val="auto"/>
                <w:highlight w:val="none"/>
                <w:u w:val="none"/>
              </w:rPr>
            </w:pPr>
            <w:r>
              <w:rPr>
                <w:rFonts w:hint="eastAsia"/>
                <w:color w:val="auto"/>
                <w:highlight w:val="none"/>
                <w:u w:val="none"/>
              </w:rPr>
              <w:t>头足类</w:t>
            </w:r>
          </w:p>
        </w:tc>
        <w:tc>
          <w:tcPr>
            <w:tcW w:w="3579" w:type="pct"/>
            <w:vAlign w:val="center"/>
          </w:tcPr>
          <w:p w14:paraId="0AB907A4">
            <w:pPr>
              <w:pStyle w:val="92"/>
              <w:rPr>
                <w:color w:val="auto"/>
                <w:highlight w:val="none"/>
                <w:u w:val="none"/>
              </w:rPr>
            </w:pPr>
            <w:r>
              <w:rPr>
                <w:color w:val="auto"/>
                <w:highlight w:val="none"/>
                <w:u w:val="none"/>
              </w:rPr>
              <w:t>/</w:t>
            </w:r>
          </w:p>
        </w:tc>
      </w:tr>
      <w:tr w14:paraId="31CF7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Align w:val="center"/>
          </w:tcPr>
          <w:p w14:paraId="3F58ABF7">
            <w:pPr>
              <w:pStyle w:val="92"/>
              <w:rPr>
                <w:color w:val="auto"/>
                <w:highlight w:val="none"/>
                <w:u w:val="none"/>
              </w:rPr>
            </w:pPr>
            <w:r>
              <w:rPr>
                <w:color w:val="auto"/>
                <w:highlight w:val="none"/>
                <w:u w:val="none"/>
              </w:rPr>
              <w:t>6</w:t>
            </w:r>
          </w:p>
        </w:tc>
        <w:tc>
          <w:tcPr>
            <w:tcW w:w="811" w:type="pct"/>
            <w:vAlign w:val="center"/>
          </w:tcPr>
          <w:p w14:paraId="47C9F095">
            <w:pPr>
              <w:pStyle w:val="92"/>
              <w:rPr>
                <w:color w:val="auto"/>
                <w:highlight w:val="none"/>
                <w:u w:val="none"/>
              </w:rPr>
            </w:pPr>
            <w:r>
              <w:rPr>
                <w:rFonts w:hint="eastAsia"/>
                <w:color w:val="auto"/>
                <w:highlight w:val="none"/>
                <w:u w:val="none"/>
              </w:rPr>
              <w:t>其它</w:t>
            </w:r>
          </w:p>
        </w:tc>
        <w:tc>
          <w:tcPr>
            <w:tcW w:w="3579" w:type="pct"/>
            <w:vAlign w:val="center"/>
          </w:tcPr>
          <w:p w14:paraId="291F5368">
            <w:pPr>
              <w:pStyle w:val="92"/>
              <w:rPr>
                <w:color w:val="auto"/>
                <w:highlight w:val="none"/>
                <w:u w:val="none"/>
              </w:rPr>
            </w:pPr>
            <w:r>
              <w:rPr>
                <w:color w:val="auto"/>
                <w:highlight w:val="none"/>
                <w:u w:val="none"/>
              </w:rPr>
              <w:t>1</w:t>
            </w:r>
            <w:r>
              <w:rPr>
                <w:rFonts w:hint="eastAsia"/>
                <w:color w:val="auto"/>
                <w:highlight w:val="none"/>
                <w:u w:val="none"/>
              </w:rPr>
              <w:t>海胆</w:t>
            </w:r>
          </w:p>
        </w:tc>
      </w:tr>
    </w:tbl>
    <w:p w14:paraId="7F151A01">
      <w:pPr>
        <w:pStyle w:val="981"/>
        <w:rPr>
          <w:rFonts w:hAnsi="Times New Roman"/>
          <w:color w:val="auto"/>
          <w:highlight w:val="none"/>
          <w:u w:val="none"/>
          <w:lang w:val="en-US"/>
        </w:rPr>
      </w:pPr>
      <w:r>
        <w:rPr>
          <w:rFonts w:hint="eastAsia"/>
          <w:color w:val="auto"/>
          <w:highlight w:val="none"/>
          <w:u w:val="none"/>
        </w:rPr>
        <w:t>（</w:t>
      </w:r>
      <w:r>
        <w:rPr>
          <w:color w:val="auto"/>
          <w:highlight w:val="none"/>
          <w:u w:val="none"/>
        </w:rPr>
        <w:t>1</w:t>
      </w:r>
      <w:r>
        <w:rPr>
          <w:rFonts w:hint="eastAsia"/>
          <w:color w:val="auto"/>
          <w:highlight w:val="none"/>
          <w:u w:val="none"/>
        </w:rPr>
        <w:t>）新厝镇水产养殖区</w:t>
      </w:r>
    </w:p>
    <w:p w14:paraId="6793A4DA">
      <w:pPr>
        <w:pStyle w:val="981"/>
        <w:rPr>
          <w:rFonts w:hint="eastAsia"/>
          <w:color w:val="auto"/>
          <w:highlight w:val="none"/>
          <w:u w:val="none"/>
        </w:rPr>
      </w:pPr>
      <w:r>
        <w:rPr>
          <w:rFonts w:hint="eastAsia"/>
          <w:color w:val="auto"/>
          <w:highlight w:val="none"/>
          <w:u w:val="none"/>
        </w:rPr>
        <w:t>新厝镇所属的新厝垦区位于江阴岛西侧，原有水产养殖面积</w:t>
      </w:r>
      <w:r>
        <w:rPr>
          <w:color w:val="auto"/>
          <w:highlight w:val="none"/>
          <w:u w:val="none"/>
        </w:rPr>
        <w:t>420hm</w:t>
      </w:r>
      <w:r>
        <w:rPr>
          <w:color w:val="auto"/>
          <w:highlight w:val="none"/>
          <w:u w:val="none"/>
          <w:vertAlign w:val="superscript"/>
        </w:rPr>
        <w:t>2</w:t>
      </w:r>
      <w:r>
        <w:rPr>
          <w:rFonts w:hint="eastAsia"/>
          <w:color w:val="auto"/>
          <w:highlight w:val="none"/>
          <w:u w:val="none"/>
        </w:rPr>
        <w:t>，其中</w:t>
      </w:r>
      <w:r>
        <w:rPr>
          <w:color w:val="auto"/>
          <w:highlight w:val="none"/>
          <w:u w:val="none"/>
        </w:rPr>
        <w:t>150hm</w:t>
      </w:r>
      <w:r>
        <w:rPr>
          <w:color w:val="auto"/>
          <w:highlight w:val="none"/>
          <w:u w:val="none"/>
          <w:vertAlign w:val="superscript"/>
        </w:rPr>
        <w:t>2</w:t>
      </w:r>
      <w:r>
        <w:rPr>
          <w:rFonts w:hint="eastAsia"/>
          <w:color w:val="auto"/>
          <w:highlight w:val="none"/>
          <w:u w:val="none"/>
        </w:rPr>
        <w:t>已被征用作为工业开发区，剩余</w:t>
      </w:r>
      <w:r>
        <w:rPr>
          <w:color w:val="auto"/>
          <w:highlight w:val="none"/>
          <w:u w:val="none"/>
        </w:rPr>
        <w:t>270hm</w:t>
      </w:r>
      <w:r>
        <w:rPr>
          <w:color w:val="auto"/>
          <w:highlight w:val="none"/>
          <w:u w:val="none"/>
          <w:vertAlign w:val="superscript"/>
        </w:rPr>
        <w:t>2</w:t>
      </w:r>
      <w:r>
        <w:rPr>
          <w:rFonts w:hint="eastAsia"/>
          <w:color w:val="auto"/>
          <w:highlight w:val="none"/>
          <w:u w:val="none"/>
        </w:rPr>
        <w:t>养殖对虾和鱼类；新厝镇祥厝至东沃一带，有</w:t>
      </w:r>
      <w:r>
        <w:rPr>
          <w:color w:val="auto"/>
          <w:highlight w:val="none"/>
          <w:u w:val="none"/>
        </w:rPr>
        <w:t>67hm</w:t>
      </w:r>
      <w:r>
        <w:rPr>
          <w:color w:val="auto"/>
          <w:highlight w:val="none"/>
          <w:u w:val="none"/>
          <w:vertAlign w:val="superscript"/>
        </w:rPr>
        <w:t>2</w:t>
      </w:r>
      <w:r>
        <w:rPr>
          <w:rFonts w:hint="eastAsia"/>
          <w:color w:val="auto"/>
          <w:highlight w:val="none"/>
          <w:u w:val="none"/>
        </w:rPr>
        <w:t>海水池塘主要养殖缢蛏和鳗鱼，外侧滩涂养殖缢蛏，面积约</w:t>
      </w:r>
      <w:r>
        <w:rPr>
          <w:color w:val="auto"/>
          <w:highlight w:val="none"/>
          <w:u w:val="none"/>
        </w:rPr>
        <w:t>530hm</w:t>
      </w:r>
      <w:r>
        <w:rPr>
          <w:color w:val="auto"/>
          <w:highlight w:val="none"/>
          <w:u w:val="none"/>
          <w:vertAlign w:val="superscript"/>
        </w:rPr>
        <w:t>2</w:t>
      </w:r>
      <w:r>
        <w:rPr>
          <w:rFonts w:hint="eastAsia"/>
          <w:color w:val="auto"/>
          <w:highlight w:val="none"/>
          <w:u w:val="none"/>
        </w:rPr>
        <w:t>；过桥山海堤外侧有</w:t>
      </w:r>
      <w:r>
        <w:rPr>
          <w:color w:val="auto"/>
          <w:highlight w:val="none"/>
          <w:u w:val="none"/>
        </w:rPr>
        <w:t>180</w:t>
      </w:r>
      <w:r>
        <w:rPr>
          <w:rFonts w:hint="eastAsia"/>
          <w:color w:val="auto"/>
          <w:highlight w:val="none"/>
          <w:u w:val="none"/>
        </w:rPr>
        <w:t>口网箱和三片吊养牡蛎，面积约</w:t>
      </w:r>
      <w:r>
        <w:rPr>
          <w:color w:val="auto"/>
          <w:highlight w:val="none"/>
          <w:u w:val="none"/>
        </w:rPr>
        <w:t>20hm</w:t>
      </w:r>
      <w:r>
        <w:rPr>
          <w:color w:val="auto"/>
          <w:highlight w:val="none"/>
          <w:u w:val="none"/>
          <w:vertAlign w:val="superscript"/>
        </w:rPr>
        <w:t>2</w:t>
      </w:r>
      <w:r>
        <w:rPr>
          <w:rFonts w:hint="eastAsia"/>
          <w:color w:val="auto"/>
          <w:highlight w:val="none"/>
          <w:u w:val="none"/>
        </w:rPr>
        <w:t>。</w:t>
      </w:r>
    </w:p>
    <w:p w14:paraId="26282F37">
      <w:pPr>
        <w:pStyle w:val="981"/>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rPr>
        <w:t>）过桥山围垦水产养殖区</w:t>
      </w:r>
    </w:p>
    <w:p w14:paraId="6EA819A9">
      <w:pPr>
        <w:pStyle w:val="981"/>
        <w:rPr>
          <w:rFonts w:hint="eastAsia"/>
          <w:color w:val="auto"/>
          <w:highlight w:val="none"/>
          <w:u w:val="none"/>
        </w:rPr>
      </w:pPr>
      <w:r>
        <w:rPr>
          <w:rFonts w:hint="eastAsia"/>
          <w:color w:val="auto"/>
          <w:highlight w:val="none"/>
          <w:u w:val="none"/>
        </w:rPr>
        <w:t>过桥山海堤内侧的浅海和滩涂由过桥山围垦指挥部管理，垦区内浅海吊养牡蛎和贻贝，面积约</w:t>
      </w:r>
      <w:r>
        <w:rPr>
          <w:color w:val="auto"/>
          <w:highlight w:val="none"/>
          <w:u w:val="none"/>
        </w:rPr>
        <w:t>470hm</w:t>
      </w:r>
      <w:r>
        <w:rPr>
          <w:color w:val="auto"/>
          <w:highlight w:val="none"/>
          <w:u w:val="none"/>
          <w:vertAlign w:val="superscript"/>
        </w:rPr>
        <w:t>2</w:t>
      </w:r>
      <w:r>
        <w:rPr>
          <w:rFonts w:hint="eastAsia"/>
          <w:color w:val="auto"/>
          <w:highlight w:val="none"/>
          <w:u w:val="none"/>
        </w:rPr>
        <w:t>，拦网养殖鱼、虾、蟹，面积</w:t>
      </w:r>
      <w:r>
        <w:rPr>
          <w:color w:val="auto"/>
          <w:highlight w:val="none"/>
          <w:u w:val="none"/>
        </w:rPr>
        <w:t>470hm</w:t>
      </w:r>
      <w:r>
        <w:rPr>
          <w:color w:val="auto"/>
          <w:highlight w:val="none"/>
          <w:u w:val="none"/>
          <w:vertAlign w:val="superscript"/>
        </w:rPr>
        <w:t>2</w:t>
      </w:r>
      <w:r>
        <w:rPr>
          <w:rFonts w:hint="eastAsia"/>
          <w:color w:val="auto"/>
          <w:highlight w:val="none"/>
          <w:u w:val="none"/>
        </w:rPr>
        <w:t>；滩涂和部分围内垦区养殖缢蛏、大弹涂鱼、对虾，面积</w:t>
      </w:r>
      <w:r>
        <w:rPr>
          <w:color w:val="auto"/>
          <w:highlight w:val="none"/>
          <w:u w:val="none"/>
        </w:rPr>
        <w:t>470hm</w:t>
      </w:r>
      <w:r>
        <w:rPr>
          <w:color w:val="auto"/>
          <w:highlight w:val="none"/>
          <w:u w:val="none"/>
          <w:vertAlign w:val="superscript"/>
        </w:rPr>
        <w:t>2</w:t>
      </w:r>
      <w:r>
        <w:rPr>
          <w:rFonts w:hint="eastAsia"/>
          <w:color w:val="auto"/>
          <w:highlight w:val="none"/>
          <w:u w:val="none"/>
        </w:rPr>
        <w:t>，还有部分养殖淡水鱼类。</w:t>
      </w:r>
    </w:p>
    <w:p w14:paraId="41ED4994">
      <w:pPr>
        <w:pStyle w:val="981"/>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rPr>
        <w:t>）江阴镇水产养殖区</w:t>
      </w:r>
    </w:p>
    <w:p w14:paraId="472C7CDF">
      <w:pPr>
        <w:pStyle w:val="981"/>
        <w:rPr>
          <w:rFonts w:hint="eastAsia"/>
          <w:color w:val="auto"/>
          <w:highlight w:val="none"/>
          <w:u w:val="none"/>
        </w:rPr>
      </w:pPr>
      <w:r>
        <w:rPr>
          <w:rFonts w:hint="eastAsia"/>
          <w:color w:val="auto"/>
          <w:highlight w:val="none"/>
          <w:u w:val="none"/>
        </w:rPr>
        <w:t>江阴镇水产养殖主要位于江阴岛东侧，总面积</w:t>
      </w:r>
      <w:r>
        <w:rPr>
          <w:color w:val="auto"/>
          <w:highlight w:val="none"/>
          <w:u w:val="none"/>
        </w:rPr>
        <w:t>450hm</w:t>
      </w:r>
      <w:r>
        <w:rPr>
          <w:color w:val="auto"/>
          <w:highlight w:val="none"/>
          <w:u w:val="none"/>
          <w:vertAlign w:val="superscript"/>
        </w:rPr>
        <w:t>2</w:t>
      </w:r>
      <w:r>
        <w:rPr>
          <w:rFonts w:hint="eastAsia"/>
          <w:color w:val="auto"/>
          <w:highlight w:val="none"/>
          <w:u w:val="none"/>
        </w:rPr>
        <w:t>，其中浅海养殖</w:t>
      </w:r>
      <w:r>
        <w:rPr>
          <w:color w:val="auto"/>
          <w:highlight w:val="none"/>
          <w:u w:val="none"/>
        </w:rPr>
        <w:t>132hm</w:t>
      </w:r>
      <w:r>
        <w:rPr>
          <w:color w:val="auto"/>
          <w:highlight w:val="none"/>
          <w:u w:val="none"/>
          <w:vertAlign w:val="superscript"/>
        </w:rPr>
        <w:t>2</w:t>
      </w:r>
      <w:r>
        <w:rPr>
          <w:rFonts w:hint="eastAsia"/>
          <w:color w:val="auto"/>
          <w:highlight w:val="none"/>
          <w:u w:val="none"/>
        </w:rPr>
        <w:t>，主要养殖紫菜和牡蛎，养殖产量</w:t>
      </w:r>
      <w:r>
        <w:rPr>
          <w:color w:val="auto"/>
          <w:highlight w:val="none"/>
          <w:u w:val="none"/>
        </w:rPr>
        <w:t>9296t</w:t>
      </w:r>
      <w:r>
        <w:rPr>
          <w:rFonts w:hint="eastAsia"/>
          <w:color w:val="auto"/>
          <w:highlight w:val="none"/>
          <w:u w:val="none"/>
        </w:rPr>
        <w:t>，分布在小麦岛周围，其它海域有零星分布；滩涂养殖</w:t>
      </w:r>
      <w:r>
        <w:rPr>
          <w:color w:val="auto"/>
          <w:highlight w:val="none"/>
          <w:u w:val="none"/>
        </w:rPr>
        <w:t>258hm</w:t>
      </w:r>
      <w:r>
        <w:rPr>
          <w:color w:val="auto"/>
          <w:highlight w:val="none"/>
          <w:u w:val="none"/>
          <w:vertAlign w:val="superscript"/>
        </w:rPr>
        <w:t>2</w:t>
      </w:r>
      <w:r>
        <w:rPr>
          <w:rFonts w:hint="eastAsia"/>
          <w:color w:val="auto"/>
          <w:highlight w:val="none"/>
          <w:u w:val="none"/>
        </w:rPr>
        <w:t>，产量</w:t>
      </w:r>
      <w:r>
        <w:rPr>
          <w:color w:val="auto"/>
          <w:highlight w:val="none"/>
          <w:u w:val="none"/>
        </w:rPr>
        <w:t>7665t</w:t>
      </w:r>
      <w:r>
        <w:rPr>
          <w:rFonts w:hint="eastAsia"/>
          <w:color w:val="auto"/>
          <w:highlight w:val="none"/>
          <w:u w:val="none"/>
        </w:rPr>
        <w:t>，主要养殖牡蛎，养殖区在江阴岛东侧的浅海区；池塘养殖分布有两片，位于高岭村和北郭村附近，养殖面积</w:t>
      </w:r>
      <w:r>
        <w:rPr>
          <w:color w:val="auto"/>
          <w:highlight w:val="none"/>
          <w:u w:val="none"/>
        </w:rPr>
        <w:t>60hm</w:t>
      </w:r>
      <w:r>
        <w:rPr>
          <w:color w:val="auto"/>
          <w:highlight w:val="none"/>
          <w:u w:val="none"/>
          <w:vertAlign w:val="superscript"/>
        </w:rPr>
        <w:t>2</w:t>
      </w:r>
      <w:r>
        <w:rPr>
          <w:rFonts w:hint="eastAsia"/>
          <w:color w:val="auto"/>
          <w:highlight w:val="none"/>
          <w:u w:val="none"/>
        </w:rPr>
        <w:t>，主要养殖品种为鳗鱼和贝类，养殖产量</w:t>
      </w:r>
      <w:r>
        <w:rPr>
          <w:color w:val="auto"/>
          <w:highlight w:val="none"/>
          <w:u w:val="none"/>
        </w:rPr>
        <w:t>300t</w:t>
      </w:r>
      <w:r>
        <w:rPr>
          <w:rFonts w:hint="eastAsia"/>
          <w:color w:val="auto"/>
          <w:highlight w:val="none"/>
          <w:u w:val="none"/>
        </w:rPr>
        <w:t>；北郭池塘养殖区的外侧滩涂为拦网养殖区，面积</w:t>
      </w:r>
      <w:r>
        <w:rPr>
          <w:color w:val="auto"/>
          <w:highlight w:val="none"/>
          <w:u w:val="none"/>
        </w:rPr>
        <w:t>58hm</w:t>
      </w:r>
      <w:r>
        <w:rPr>
          <w:color w:val="auto"/>
          <w:highlight w:val="none"/>
          <w:u w:val="none"/>
          <w:vertAlign w:val="superscript"/>
        </w:rPr>
        <w:t>2</w:t>
      </w:r>
      <w:r>
        <w:rPr>
          <w:rFonts w:hint="eastAsia"/>
          <w:color w:val="auto"/>
          <w:highlight w:val="none"/>
          <w:u w:val="none"/>
        </w:rPr>
        <w:t>，养殖品种为鱼类和蟹类；在江阴岛东北侧还有</w:t>
      </w:r>
      <w:r>
        <w:rPr>
          <w:color w:val="auto"/>
          <w:highlight w:val="none"/>
          <w:u w:val="none"/>
        </w:rPr>
        <w:t>400</w:t>
      </w:r>
      <w:r>
        <w:rPr>
          <w:rFonts w:hint="eastAsia"/>
          <w:color w:val="auto"/>
          <w:highlight w:val="none"/>
          <w:u w:val="none"/>
        </w:rPr>
        <w:t>口网箱，面积约</w:t>
      </w:r>
      <w:r>
        <w:rPr>
          <w:color w:val="auto"/>
          <w:highlight w:val="none"/>
          <w:u w:val="none"/>
        </w:rPr>
        <w:t>0.35hm</w:t>
      </w:r>
      <w:r>
        <w:rPr>
          <w:color w:val="auto"/>
          <w:highlight w:val="none"/>
          <w:u w:val="none"/>
          <w:vertAlign w:val="superscript"/>
        </w:rPr>
        <w:t>2</w:t>
      </w:r>
      <w:r>
        <w:rPr>
          <w:rFonts w:hint="eastAsia"/>
          <w:color w:val="auto"/>
          <w:highlight w:val="none"/>
          <w:u w:val="none"/>
        </w:rPr>
        <w:t>，产量</w:t>
      </w:r>
      <w:r>
        <w:rPr>
          <w:color w:val="auto"/>
          <w:highlight w:val="none"/>
          <w:u w:val="none"/>
        </w:rPr>
        <w:t>116t</w:t>
      </w:r>
      <w:r>
        <w:rPr>
          <w:rFonts w:hint="eastAsia"/>
          <w:color w:val="auto"/>
          <w:highlight w:val="none"/>
          <w:u w:val="none"/>
        </w:rPr>
        <w:t>。因江阴港城经济区建设的需要，江阴岛南部原有的水产养殖，在近几年都已陆续退出。</w:t>
      </w:r>
    </w:p>
    <w:p w14:paraId="10BF4324">
      <w:pPr>
        <w:pStyle w:val="981"/>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rPr>
        <w:t>）江镜镇水产养殖区</w:t>
      </w:r>
    </w:p>
    <w:p w14:paraId="147F8489">
      <w:pPr>
        <w:pStyle w:val="981"/>
        <w:rPr>
          <w:rFonts w:hint="eastAsia"/>
          <w:color w:val="auto"/>
          <w:highlight w:val="none"/>
          <w:u w:val="none"/>
        </w:rPr>
      </w:pPr>
      <w:r>
        <w:rPr>
          <w:rFonts w:hint="eastAsia"/>
          <w:color w:val="auto"/>
          <w:highlight w:val="none"/>
          <w:u w:val="none"/>
        </w:rPr>
        <w:t>江镜镇水产养殖区位于江阴岛的东北面。江镜华侨农场的围垦养殖共有</w:t>
      </w:r>
      <w:r>
        <w:rPr>
          <w:color w:val="auto"/>
          <w:highlight w:val="none"/>
          <w:u w:val="none"/>
        </w:rPr>
        <w:t>444hm</w:t>
      </w:r>
      <w:r>
        <w:rPr>
          <w:color w:val="auto"/>
          <w:highlight w:val="none"/>
          <w:u w:val="none"/>
          <w:vertAlign w:val="superscript"/>
        </w:rPr>
        <w:t>2</w:t>
      </w:r>
      <w:r>
        <w:rPr>
          <w:rFonts w:hint="eastAsia"/>
          <w:color w:val="auto"/>
          <w:highlight w:val="none"/>
          <w:u w:val="none"/>
        </w:rPr>
        <w:t>，主要养殖贝类、对虾和锯缘青蟹，产量</w:t>
      </w:r>
      <w:r>
        <w:rPr>
          <w:color w:val="auto"/>
          <w:highlight w:val="none"/>
          <w:u w:val="none"/>
        </w:rPr>
        <w:t>3290t</w:t>
      </w:r>
      <w:r>
        <w:rPr>
          <w:rFonts w:hint="eastAsia"/>
          <w:color w:val="auto"/>
          <w:highlight w:val="none"/>
          <w:u w:val="none"/>
        </w:rPr>
        <w:t>；浅海、滩涂养殖共</w:t>
      </w:r>
      <w:r>
        <w:rPr>
          <w:color w:val="auto"/>
          <w:highlight w:val="none"/>
          <w:u w:val="none"/>
        </w:rPr>
        <w:t>4</w:t>
      </w:r>
      <w:r>
        <w:rPr>
          <w:rFonts w:hint="eastAsia"/>
          <w:color w:val="auto"/>
          <w:highlight w:val="none"/>
          <w:u w:val="none"/>
        </w:rPr>
        <w:t>片，面积</w:t>
      </w:r>
      <w:r>
        <w:rPr>
          <w:color w:val="auto"/>
          <w:highlight w:val="none"/>
          <w:u w:val="none"/>
        </w:rPr>
        <w:t>301hm</w:t>
      </w:r>
      <w:r>
        <w:rPr>
          <w:color w:val="auto"/>
          <w:highlight w:val="none"/>
          <w:u w:val="none"/>
          <w:vertAlign w:val="superscript"/>
        </w:rPr>
        <w:t>2</w:t>
      </w:r>
      <w:r>
        <w:rPr>
          <w:rFonts w:hint="eastAsia"/>
          <w:color w:val="auto"/>
          <w:highlight w:val="none"/>
          <w:u w:val="none"/>
        </w:rPr>
        <w:t>，主要养殖牡蛎、菲律宾蛤仔和紫菜，产量</w:t>
      </w:r>
      <w:r>
        <w:rPr>
          <w:color w:val="auto"/>
          <w:highlight w:val="none"/>
          <w:u w:val="none"/>
        </w:rPr>
        <w:t>13650t</w:t>
      </w:r>
      <w:r>
        <w:rPr>
          <w:rFonts w:hint="eastAsia"/>
          <w:color w:val="auto"/>
          <w:highlight w:val="none"/>
          <w:u w:val="none"/>
        </w:rPr>
        <w:t>。</w:t>
      </w:r>
    </w:p>
    <w:p w14:paraId="7B0C480B">
      <w:pPr>
        <w:pStyle w:val="981"/>
        <w:rPr>
          <w:rFonts w:hint="eastAsia"/>
          <w:color w:val="auto"/>
          <w:highlight w:val="none"/>
          <w:u w:val="none"/>
        </w:rPr>
      </w:pPr>
      <w:r>
        <w:rPr>
          <w:rFonts w:hint="eastAsia"/>
          <w:color w:val="auto"/>
          <w:highlight w:val="none"/>
          <w:u w:val="none"/>
        </w:rPr>
        <w:t>（</w:t>
      </w:r>
      <w:r>
        <w:rPr>
          <w:color w:val="auto"/>
          <w:highlight w:val="none"/>
          <w:u w:val="none"/>
        </w:rPr>
        <w:t>5</w:t>
      </w:r>
      <w:r>
        <w:rPr>
          <w:rFonts w:hint="eastAsia"/>
          <w:color w:val="auto"/>
          <w:highlight w:val="none"/>
          <w:u w:val="none"/>
        </w:rPr>
        <w:t>）莆田市涵江区、江口镇和三江口镇水产养殖区</w:t>
      </w:r>
    </w:p>
    <w:p w14:paraId="2134CAC1">
      <w:pPr>
        <w:pStyle w:val="981"/>
        <w:rPr>
          <w:rFonts w:hint="eastAsia"/>
          <w:color w:val="auto"/>
          <w:highlight w:val="none"/>
          <w:u w:val="none"/>
        </w:rPr>
      </w:pPr>
      <w:r>
        <w:rPr>
          <w:rFonts w:hint="eastAsia"/>
          <w:color w:val="auto"/>
          <w:highlight w:val="none"/>
          <w:u w:val="none"/>
        </w:rPr>
        <w:t>该养殖区位于江阴岛西南侧，主要为池塘养殖和浅海养殖，主要养殖品种为缢蛏和牡蛎。其中滩涂牡蛎养殖共</w:t>
      </w:r>
      <w:r>
        <w:rPr>
          <w:color w:val="auto"/>
          <w:highlight w:val="none"/>
          <w:u w:val="none"/>
        </w:rPr>
        <w:t>6</w:t>
      </w:r>
      <w:r>
        <w:rPr>
          <w:rFonts w:hint="eastAsia"/>
          <w:color w:val="auto"/>
          <w:highlight w:val="none"/>
          <w:u w:val="none"/>
        </w:rPr>
        <w:t>片，面积</w:t>
      </w:r>
      <w:r>
        <w:rPr>
          <w:color w:val="auto"/>
          <w:highlight w:val="none"/>
          <w:u w:val="none"/>
        </w:rPr>
        <w:t>1200hm</w:t>
      </w:r>
      <w:r>
        <w:rPr>
          <w:color w:val="auto"/>
          <w:highlight w:val="none"/>
          <w:u w:val="none"/>
          <w:vertAlign w:val="superscript"/>
        </w:rPr>
        <w:t>2</w:t>
      </w:r>
      <w:r>
        <w:rPr>
          <w:rFonts w:hint="eastAsia"/>
          <w:color w:val="auto"/>
          <w:highlight w:val="none"/>
          <w:u w:val="none"/>
        </w:rPr>
        <w:t>，产量</w:t>
      </w:r>
      <w:r>
        <w:rPr>
          <w:color w:val="auto"/>
          <w:highlight w:val="none"/>
          <w:u w:val="none"/>
        </w:rPr>
        <w:t>11000t</w:t>
      </w:r>
      <w:r>
        <w:rPr>
          <w:rFonts w:hint="eastAsia"/>
          <w:color w:val="auto"/>
          <w:highlight w:val="none"/>
          <w:u w:val="none"/>
        </w:rPr>
        <w:t>；缢蛏养殖</w:t>
      </w:r>
      <w:r>
        <w:rPr>
          <w:color w:val="auto"/>
          <w:highlight w:val="none"/>
          <w:u w:val="none"/>
        </w:rPr>
        <w:t>3</w:t>
      </w:r>
      <w:r>
        <w:rPr>
          <w:rFonts w:hint="eastAsia"/>
          <w:color w:val="auto"/>
          <w:highlight w:val="none"/>
          <w:u w:val="none"/>
        </w:rPr>
        <w:t>片，面积</w:t>
      </w:r>
      <w:r>
        <w:rPr>
          <w:color w:val="auto"/>
          <w:highlight w:val="none"/>
          <w:u w:val="none"/>
        </w:rPr>
        <w:t>2000hm</w:t>
      </w:r>
      <w:r>
        <w:rPr>
          <w:color w:val="auto"/>
          <w:highlight w:val="none"/>
          <w:u w:val="none"/>
          <w:vertAlign w:val="superscript"/>
        </w:rPr>
        <w:t>2</w:t>
      </w:r>
      <w:r>
        <w:rPr>
          <w:rFonts w:hint="eastAsia"/>
          <w:color w:val="auto"/>
          <w:highlight w:val="none"/>
          <w:u w:val="none"/>
        </w:rPr>
        <w:t>，产量</w:t>
      </w:r>
      <w:r>
        <w:rPr>
          <w:color w:val="auto"/>
          <w:highlight w:val="none"/>
          <w:u w:val="none"/>
        </w:rPr>
        <w:t>12000t</w:t>
      </w:r>
      <w:r>
        <w:rPr>
          <w:rFonts w:hint="eastAsia"/>
          <w:color w:val="auto"/>
          <w:highlight w:val="none"/>
          <w:u w:val="none"/>
        </w:rPr>
        <w:t>。缢蛏面积约</w:t>
      </w:r>
      <w:r>
        <w:rPr>
          <w:color w:val="auto"/>
          <w:highlight w:val="none"/>
          <w:u w:val="none"/>
        </w:rPr>
        <w:t>260hm</w:t>
      </w:r>
      <w:r>
        <w:rPr>
          <w:color w:val="auto"/>
          <w:highlight w:val="none"/>
          <w:u w:val="none"/>
          <w:vertAlign w:val="superscript"/>
        </w:rPr>
        <w:t>2</w:t>
      </w:r>
      <w:r>
        <w:rPr>
          <w:rFonts w:hint="eastAsia"/>
          <w:color w:val="auto"/>
          <w:highlight w:val="none"/>
          <w:u w:val="none"/>
        </w:rPr>
        <w:t>，年产缢蛏苗</w:t>
      </w:r>
      <w:r>
        <w:rPr>
          <w:color w:val="auto"/>
          <w:highlight w:val="none"/>
          <w:u w:val="none"/>
        </w:rPr>
        <w:t>100t</w:t>
      </w:r>
      <w:r>
        <w:rPr>
          <w:rFonts w:hint="eastAsia"/>
          <w:color w:val="auto"/>
          <w:highlight w:val="none"/>
          <w:u w:val="none"/>
        </w:rPr>
        <w:t>左右。</w:t>
      </w:r>
    </w:p>
    <w:p w14:paraId="0153123A">
      <w:pPr>
        <w:pStyle w:val="981"/>
        <w:rPr>
          <w:rFonts w:hint="eastAsia"/>
          <w:color w:val="auto"/>
          <w:highlight w:val="none"/>
          <w:u w:val="none"/>
        </w:rPr>
      </w:pPr>
      <w:r>
        <w:rPr>
          <w:rFonts w:hint="eastAsia"/>
          <w:color w:val="auto"/>
          <w:highlight w:val="none"/>
          <w:u w:val="none"/>
        </w:rPr>
        <w:t>（</w:t>
      </w:r>
      <w:r>
        <w:rPr>
          <w:color w:val="auto"/>
          <w:highlight w:val="none"/>
          <w:u w:val="none"/>
        </w:rPr>
        <w:t>6</w:t>
      </w:r>
      <w:r>
        <w:rPr>
          <w:rFonts w:hint="eastAsia"/>
          <w:color w:val="auto"/>
          <w:highlight w:val="none"/>
          <w:u w:val="none"/>
        </w:rPr>
        <w:t>）兴化湾南岸水产养殖区</w:t>
      </w:r>
    </w:p>
    <w:p w14:paraId="6AEEF2D1">
      <w:pPr>
        <w:pStyle w:val="981"/>
        <w:rPr>
          <w:rFonts w:hint="eastAsia"/>
          <w:color w:val="auto"/>
          <w:highlight w:val="none"/>
          <w:u w:val="none"/>
        </w:rPr>
      </w:pPr>
      <w:r>
        <w:rPr>
          <w:rFonts w:hint="eastAsia"/>
          <w:color w:val="auto"/>
          <w:highlight w:val="none"/>
          <w:u w:val="none"/>
        </w:rPr>
        <w:t>兴化湾南岸的浅海、滩涂和垦区池塘水产养殖属于莆田市笏石镇、埭头镇管辖，离项目区较远。主要养殖缢蛏、牡蛎和紫菜。</w:t>
      </w:r>
    </w:p>
    <w:p w14:paraId="6BE61B29">
      <w:pPr>
        <w:pStyle w:val="981"/>
        <w:rPr>
          <w:rFonts w:hint="eastAsia"/>
          <w:color w:val="auto"/>
          <w:highlight w:val="none"/>
          <w:u w:val="none"/>
        </w:rPr>
      </w:pPr>
      <w:r>
        <w:rPr>
          <w:rFonts w:hint="eastAsia"/>
          <w:color w:val="auto"/>
          <w:highlight w:val="none"/>
          <w:u w:val="none"/>
        </w:rPr>
        <w:t>兴化湾所在的养殖规划区块划分情况见</w:t>
      </w:r>
      <w:r>
        <w:rPr>
          <w:rFonts w:hint="eastAsia"/>
          <w:color w:val="auto"/>
          <w:highlight w:val="none"/>
          <w:u w:val="none"/>
        </w:rPr>
        <w:fldChar w:fldCharType="begin"/>
      </w:r>
      <w:r>
        <w:rPr>
          <w:rFonts w:hint="eastAsia"/>
          <w:color w:val="auto"/>
          <w:highlight w:val="none"/>
          <w:u w:val="none"/>
        </w:rPr>
        <w:instrText xml:space="preserve"> REF _Ref22211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t>2</w:t>
      </w:r>
      <w:r>
        <w:rPr>
          <w:rFonts w:hint="eastAsia"/>
          <w:color w:val="auto"/>
          <w:highlight w:val="none"/>
          <w:u w:val="none"/>
        </w:rPr>
        <w:fldChar w:fldCharType="end"/>
      </w:r>
      <w:r>
        <w:rPr>
          <w:rFonts w:hint="eastAsia"/>
          <w:color w:val="auto"/>
          <w:highlight w:val="none"/>
          <w:u w:val="none"/>
        </w:rPr>
        <w:t>、</w:t>
      </w:r>
      <w:r>
        <w:rPr>
          <w:rFonts w:hint="eastAsia"/>
          <w:color w:val="auto"/>
          <w:highlight w:val="none"/>
          <w:u w:val="none"/>
        </w:rPr>
        <w:fldChar w:fldCharType="begin"/>
      </w:r>
      <w:r>
        <w:rPr>
          <w:rFonts w:hint="eastAsia"/>
          <w:color w:val="auto"/>
          <w:highlight w:val="none"/>
          <w:u w:val="none"/>
        </w:rPr>
        <w:instrText xml:space="preserve"> REF _Ref22286 \h </w:instrText>
      </w:r>
      <w:r>
        <w:rPr>
          <w:rFonts w:hint="eastAsia"/>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t>3</w:t>
      </w:r>
      <w:r>
        <w:rPr>
          <w:rFonts w:hint="eastAsia"/>
          <w:color w:val="auto"/>
          <w:highlight w:val="none"/>
          <w:u w:val="none"/>
        </w:rPr>
        <w:fldChar w:fldCharType="end"/>
      </w:r>
      <w:r>
        <w:rPr>
          <w:rFonts w:hint="eastAsia"/>
          <w:color w:val="auto"/>
          <w:highlight w:val="none"/>
          <w:u w:val="none"/>
        </w:rPr>
        <w:t>。</w:t>
      </w:r>
    </w:p>
    <w:p w14:paraId="75ACD42D">
      <w:pPr>
        <w:pStyle w:val="86"/>
        <w:rPr>
          <w:rFonts w:hint="eastAsia"/>
          <w:color w:val="auto"/>
          <w:highlight w:val="none"/>
          <w:u w:val="none"/>
        </w:rPr>
      </w:pPr>
      <w:bookmarkStart w:id="443" w:name="_Ref2221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443"/>
      <w:r>
        <w:rPr>
          <w:color w:val="auto"/>
          <w:highlight w:val="none"/>
          <w:u w:val="none"/>
        </w:rPr>
        <w:t xml:space="preserve">  </w:t>
      </w:r>
      <w:r>
        <w:rPr>
          <w:rFonts w:hint="eastAsia"/>
          <w:color w:val="auto"/>
          <w:highlight w:val="none"/>
          <w:u w:val="none"/>
        </w:rPr>
        <w:t>福清市海水养殖水域规划汇总表</w:t>
      </w:r>
      <w:r>
        <w:rPr>
          <w:color w:val="auto"/>
          <w:highlight w:val="none"/>
          <w:u w:val="none"/>
        </w:rPr>
        <w:t>(兴化湾)一览表</w:t>
      </w:r>
    </w:p>
    <w:tbl>
      <w:tblPr>
        <w:tblStyle w:val="58"/>
        <w:tblW w:w="9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65"/>
        <w:gridCol w:w="1300"/>
        <w:gridCol w:w="791"/>
        <w:gridCol w:w="732"/>
        <w:gridCol w:w="992"/>
        <w:gridCol w:w="3090"/>
      </w:tblGrid>
      <w:tr w14:paraId="5F7C1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14:paraId="0254ABED">
            <w:pPr>
              <w:pStyle w:val="92"/>
              <w:rPr>
                <w:color w:val="auto"/>
                <w:highlight w:val="none"/>
                <w:u w:val="none"/>
              </w:rPr>
            </w:pPr>
            <w:r>
              <w:rPr>
                <w:rFonts w:hint="eastAsia"/>
                <w:color w:val="auto"/>
                <w:highlight w:val="none"/>
                <w:u w:val="none"/>
              </w:rPr>
              <w:t>代码</w:t>
            </w:r>
          </w:p>
        </w:tc>
        <w:tc>
          <w:tcPr>
            <w:tcW w:w="1465" w:type="dxa"/>
            <w:vAlign w:val="center"/>
          </w:tcPr>
          <w:p w14:paraId="05545408">
            <w:pPr>
              <w:pStyle w:val="92"/>
              <w:rPr>
                <w:color w:val="auto"/>
                <w:highlight w:val="none"/>
                <w:u w:val="none"/>
              </w:rPr>
            </w:pPr>
            <w:r>
              <w:rPr>
                <w:rFonts w:hint="eastAsia"/>
                <w:color w:val="auto"/>
                <w:highlight w:val="none"/>
                <w:u w:val="none"/>
              </w:rPr>
              <w:t>规划区块名称</w:t>
            </w:r>
          </w:p>
        </w:tc>
        <w:tc>
          <w:tcPr>
            <w:tcW w:w="1300" w:type="dxa"/>
            <w:vAlign w:val="center"/>
          </w:tcPr>
          <w:p w14:paraId="0F285B7A">
            <w:pPr>
              <w:pStyle w:val="92"/>
              <w:rPr>
                <w:color w:val="auto"/>
                <w:highlight w:val="none"/>
                <w:u w:val="none"/>
              </w:rPr>
            </w:pPr>
            <w:r>
              <w:rPr>
                <w:rFonts w:hint="eastAsia"/>
                <w:color w:val="auto"/>
                <w:highlight w:val="none"/>
                <w:u w:val="none"/>
              </w:rPr>
              <w:t>地理范围</w:t>
            </w:r>
          </w:p>
        </w:tc>
        <w:tc>
          <w:tcPr>
            <w:tcW w:w="791" w:type="dxa"/>
            <w:vAlign w:val="center"/>
          </w:tcPr>
          <w:p w14:paraId="1A4A1401">
            <w:pPr>
              <w:pStyle w:val="92"/>
              <w:rPr>
                <w:color w:val="auto"/>
                <w:highlight w:val="none"/>
                <w:u w:val="none"/>
              </w:rPr>
            </w:pPr>
            <w:r>
              <w:rPr>
                <w:rFonts w:hint="eastAsia"/>
                <w:color w:val="auto"/>
                <w:highlight w:val="none"/>
                <w:u w:val="none"/>
              </w:rPr>
              <w:t>规划区块类型</w:t>
            </w:r>
          </w:p>
        </w:tc>
        <w:tc>
          <w:tcPr>
            <w:tcW w:w="732" w:type="dxa"/>
            <w:vAlign w:val="center"/>
          </w:tcPr>
          <w:p w14:paraId="26EE39E7">
            <w:pPr>
              <w:pStyle w:val="92"/>
              <w:rPr>
                <w:color w:val="auto"/>
                <w:highlight w:val="none"/>
                <w:u w:val="none"/>
              </w:rPr>
            </w:pPr>
            <w:r>
              <w:rPr>
                <w:rFonts w:hint="eastAsia"/>
                <w:color w:val="auto"/>
                <w:highlight w:val="none"/>
                <w:u w:val="none"/>
              </w:rPr>
              <w:t>面积</w:t>
            </w:r>
            <w:r>
              <w:rPr>
                <w:color w:val="auto"/>
                <w:highlight w:val="none"/>
                <w:u w:val="none"/>
              </w:rPr>
              <w:t>(hm</w:t>
            </w:r>
            <w:r>
              <w:rPr>
                <w:color w:val="auto"/>
                <w:highlight w:val="none"/>
                <w:u w:val="none"/>
                <w:vertAlign w:val="superscript"/>
              </w:rPr>
              <w:t>2</w:t>
            </w:r>
            <w:r>
              <w:rPr>
                <w:color w:val="auto"/>
                <w:highlight w:val="none"/>
                <w:u w:val="none"/>
              </w:rPr>
              <w:t>)</w:t>
            </w:r>
          </w:p>
        </w:tc>
        <w:tc>
          <w:tcPr>
            <w:tcW w:w="992" w:type="dxa"/>
            <w:vAlign w:val="center"/>
          </w:tcPr>
          <w:p w14:paraId="1C301259">
            <w:pPr>
              <w:pStyle w:val="92"/>
              <w:rPr>
                <w:color w:val="auto"/>
                <w:highlight w:val="none"/>
                <w:u w:val="none"/>
              </w:rPr>
            </w:pPr>
            <w:r>
              <w:rPr>
                <w:rFonts w:hint="eastAsia"/>
                <w:color w:val="auto"/>
                <w:highlight w:val="none"/>
                <w:u w:val="none"/>
              </w:rPr>
              <w:t>养殖现状</w:t>
            </w:r>
            <w:r>
              <w:rPr>
                <w:color w:val="auto"/>
                <w:highlight w:val="none"/>
                <w:u w:val="none"/>
              </w:rPr>
              <w:t>(hm</w:t>
            </w:r>
            <w:r>
              <w:rPr>
                <w:color w:val="auto"/>
                <w:highlight w:val="none"/>
                <w:u w:val="none"/>
                <w:vertAlign w:val="superscript"/>
              </w:rPr>
              <w:t>2</w:t>
            </w:r>
            <w:r>
              <w:rPr>
                <w:color w:val="auto"/>
                <w:highlight w:val="none"/>
                <w:u w:val="none"/>
              </w:rPr>
              <w:t>)</w:t>
            </w:r>
          </w:p>
        </w:tc>
        <w:tc>
          <w:tcPr>
            <w:tcW w:w="3090" w:type="dxa"/>
            <w:vAlign w:val="center"/>
          </w:tcPr>
          <w:p w14:paraId="7B3C9DBC">
            <w:pPr>
              <w:pStyle w:val="92"/>
              <w:rPr>
                <w:color w:val="auto"/>
                <w:highlight w:val="none"/>
                <w:u w:val="none"/>
              </w:rPr>
            </w:pPr>
            <w:r>
              <w:rPr>
                <w:rFonts w:hint="eastAsia"/>
                <w:color w:val="auto"/>
                <w:highlight w:val="none"/>
                <w:u w:val="none"/>
              </w:rPr>
              <w:t>管理要求</w:t>
            </w:r>
          </w:p>
        </w:tc>
      </w:tr>
      <w:tr w14:paraId="1E754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14:paraId="37673C07">
            <w:pPr>
              <w:pStyle w:val="92"/>
              <w:rPr>
                <w:color w:val="auto"/>
                <w:highlight w:val="none"/>
                <w:u w:val="none"/>
              </w:rPr>
            </w:pPr>
            <w:r>
              <w:rPr>
                <w:color w:val="auto"/>
                <w:highlight w:val="none"/>
                <w:u w:val="none"/>
              </w:rPr>
              <w:t>1.1-1</w:t>
            </w:r>
          </w:p>
        </w:tc>
        <w:tc>
          <w:tcPr>
            <w:tcW w:w="1465" w:type="dxa"/>
            <w:vAlign w:val="center"/>
          </w:tcPr>
          <w:p w14:paraId="0E76A952">
            <w:pPr>
              <w:pStyle w:val="92"/>
              <w:rPr>
                <w:color w:val="auto"/>
                <w:highlight w:val="none"/>
                <w:u w:val="none"/>
              </w:rPr>
            </w:pPr>
            <w:r>
              <w:rPr>
                <w:rFonts w:hint="eastAsia"/>
                <w:color w:val="auto"/>
                <w:highlight w:val="none"/>
                <w:u w:val="none"/>
              </w:rPr>
              <w:t>莆头滩涂牡蛎棚架式养殖区</w:t>
            </w:r>
          </w:p>
        </w:tc>
        <w:tc>
          <w:tcPr>
            <w:tcW w:w="1300" w:type="dxa"/>
            <w:vAlign w:val="center"/>
          </w:tcPr>
          <w:p w14:paraId="794A5AEB">
            <w:pPr>
              <w:pStyle w:val="92"/>
              <w:rPr>
                <w:color w:val="auto"/>
                <w:highlight w:val="none"/>
                <w:u w:val="none"/>
              </w:rPr>
            </w:pPr>
            <w:r>
              <w:rPr>
                <w:rFonts w:hint="eastAsia"/>
                <w:color w:val="auto"/>
                <w:highlight w:val="none"/>
                <w:u w:val="none"/>
              </w:rPr>
              <w:t>江阴莆头村东面、江镜农场南面，航道两侧海域</w:t>
            </w:r>
          </w:p>
        </w:tc>
        <w:tc>
          <w:tcPr>
            <w:tcW w:w="791" w:type="dxa"/>
            <w:vAlign w:val="center"/>
          </w:tcPr>
          <w:p w14:paraId="348EE90D">
            <w:pPr>
              <w:pStyle w:val="92"/>
              <w:rPr>
                <w:color w:val="auto"/>
                <w:highlight w:val="none"/>
                <w:u w:val="none"/>
              </w:rPr>
            </w:pPr>
            <w:r>
              <w:rPr>
                <w:rFonts w:hint="eastAsia"/>
                <w:color w:val="auto"/>
                <w:highlight w:val="none"/>
                <w:u w:val="none"/>
              </w:rPr>
              <w:t>滩涂</w:t>
            </w:r>
          </w:p>
        </w:tc>
        <w:tc>
          <w:tcPr>
            <w:tcW w:w="732" w:type="dxa"/>
            <w:vAlign w:val="center"/>
          </w:tcPr>
          <w:p w14:paraId="698F5EFA">
            <w:pPr>
              <w:pStyle w:val="92"/>
              <w:rPr>
                <w:color w:val="auto"/>
                <w:highlight w:val="none"/>
                <w:u w:val="none"/>
              </w:rPr>
            </w:pPr>
            <w:r>
              <w:rPr>
                <w:color w:val="auto"/>
                <w:highlight w:val="none"/>
                <w:u w:val="none"/>
              </w:rPr>
              <w:t>507</w:t>
            </w:r>
          </w:p>
        </w:tc>
        <w:tc>
          <w:tcPr>
            <w:tcW w:w="992" w:type="dxa"/>
            <w:vAlign w:val="center"/>
          </w:tcPr>
          <w:p w14:paraId="3C3B930F">
            <w:pPr>
              <w:pStyle w:val="92"/>
              <w:rPr>
                <w:color w:val="auto"/>
                <w:highlight w:val="none"/>
                <w:u w:val="none"/>
              </w:rPr>
            </w:pPr>
            <w:r>
              <w:rPr>
                <w:color w:val="auto"/>
                <w:highlight w:val="none"/>
                <w:u w:val="none"/>
              </w:rPr>
              <w:t>100</w:t>
            </w:r>
          </w:p>
        </w:tc>
        <w:tc>
          <w:tcPr>
            <w:tcW w:w="3090" w:type="dxa"/>
            <w:vAlign w:val="center"/>
          </w:tcPr>
          <w:p w14:paraId="5485720D">
            <w:pPr>
              <w:pStyle w:val="92"/>
              <w:rPr>
                <w:color w:val="auto"/>
                <w:highlight w:val="none"/>
                <w:u w:val="none"/>
              </w:rPr>
            </w:pPr>
            <w:r>
              <w:rPr>
                <w:rFonts w:hint="eastAsia"/>
                <w:color w:val="auto"/>
                <w:highlight w:val="none"/>
                <w:u w:val="none"/>
              </w:rPr>
              <w:t>临时养殖区，该区实养面积</w:t>
            </w:r>
            <w:r>
              <w:rPr>
                <w:color w:val="auto"/>
                <w:highlight w:val="none"/>
                <w:u w:val="none"/>
              </w:rPr>
              <w:t>100hm</w:t>
            </w:r>
            <w:r>
              <w:rPr>
                <w:color w:val="auto"/>
                <w:highlight w:val="none"/>
                <w:u w:val="none"/>
                <w:vertAlign w:val="superscript"/>
              </w:rPr>
              <w:t>2</w:t>
            </w:r>
            <w:r>
              <w:rPr>
                <w:rFonts w:hint="eastAsia"/>
                <w:color w:val="auto"/>
                <w:highlight w:val="none"/>
                <w:u w:val="none"/>
              </w:rPr>
              <w:t>，占区块面积的</w:t>
            </w:r>
            <w:r>
              <w:rPr>
                <w:color w:val="auto"/>
                <w:highlight w:val="none"/>
                <w:u w:val="none"/>
              </w:rPr>
              <w:t>20%</w:t>
            </w:r>
            <w:r>
              <w:rPr>
                <w:rFonts w:hint="eastAsia"/>
                <w:color w:val="auto"/>
                <w:highlight w:val="none"/>
                <w:u w:val="none"/>
              </w:rPr>
              <w:t>，要求棚架与棚架间隔</w:t>
            </w:r>
            <w:r>
              <w:rPr>
                <w:color w:val="auto"/>
                <w:highlight w:val="none"/>
                <w:u w:val="none"/>
              </w:rPr>
              <w:t>5~6m</w:t>
            </w:r>
          </w:p>
        </w:tc>
      </w:tr>
      <w:tr w14:paraId="4F06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14:paraId="135051C1">
            <w:pPr>
              <w:pStyle w:val="92"/>
              <w:rPr>
                <w:color w:val="auto"/>
                <w:highlight w:val="none"/>
                <w:u w:val="none"/>
              </w:rPr>
            </w:pPr>
            <w:r>
              <w:rPr>
                <w:color w:val="auto"/>
                <w:highlight w:val="none"/>
                <w:u w:val="none"/>
              </w:rPr>
              <w:t>1.4-1</w:t>
            </w:r>
          </w:p>
        </w:tc>
        <w:tc>
          <w:tcPr>
            <w:tcW w:w="1465" w:type="dxa"/>
            <w:vAlign w:val="center"/>
          </w:tcPr>
          <w:p w14:paraId="0B5D0686">
            <w:pPr>
              <w:pStyle w:val="92"/>
              <w:rPr>
                <w:color w:val="auto"/>
                <w:highlight w:val="none"/>
                <w:u w:val="none"/>
              </w:rPr>
            </w:pPr>
            <w:r>
              <w:rPr>
                <w:rFonts w:hint="eastAsia"/>
                <w:color w:val="auto"/>
                <w:highlight w:val="none"/>
                <w:u w:val="none"/>
              </w:rPr>
              <w:t>莆头滩涂其它贝类养殖区</w:t>
            </w:r>
          </w:p>
        </w:tc>
        <w:tc>
          <w:tcPr>
            <w:tcW w:w="1300" w:type="dxa"/>
            <w:vAlign w:val="center"/>
          </w:tcPr>
          <w:p w14:paraId="0ACFF902">
            <w:pPr>
              <w:pStyle w:val="92"/>
              <w:rPr>
                <w:color w:val="auto"/>
                <w:highlight w:val="none"/>
                <w:u w:val="none"/>
              </w:rPr>
            </w:pPr>
            <w:r>
              <w:rPr>
                <w:rFonts w:hint="eastAsia"/>
                <w:color w:val="auto"/>
                <w:highlight w:val="none"/>
                <w:u w:val="none"/>
              </w:rPr>
              <w:t>江阴莆头村东部海域</w:t>
            </w:r>
          </w:p>
        </w:tc>
        <w:tc>
          <w:tcPr>
            <w:tcW w:w="791" w:type="dxa"/>
            <w:vAlign w:val="center"/>
          </w:tcPr>
          <w:p w14:paraId="67906949">
            <w:pPr>
              <w:pStyle w:val="92"/>
              <w:rPr>
                <w:color w:val="auto"/>
                <w:highlight w:val="none"/>
                <w:u w:val="none"/>
              </w:rPr>
            </w:pPr>
            <w:r>
              <w:rPr>
                <w:rFonts w:hint="eastAsia"/>
                <w:color w:val="auto"/>
                <w:highlight w:val="none"/>
                <w:u w:val="none"/>
              </w:rPr>
              <w:t>滩涂</w:t>
            </w:r>
          </w:p>
        </w:tc>
        <w:tc>
          <w:tcPr>
            <w:tcW w:w="732" w:type="dxa"/>
            <w:vAlign w:val="center"/>
          </w:tcPr>
          <w:p w14:paraId="2A241220">
            <w:pPr>
              <w:pStyle w:val="92"/>
              <w:rPr>
                <w:color w:val="auto"/>
                <w:highlight w:val="none"/>
                <w:u w:val="none"/>
              </w:rPr>
            </w:pPr>
            <w:r>
              <w:rPr>
                <w:color w:val="auto"/>
                <w:highlight w:val="none"/>
                <w:u w:val="none"/>
              </w:rPr>
              <w:t>810</w:t>
            </w:r>
          </w:p>
        </w:tc>
        <w:tc>
          <w:tcPr>
            <w:tcW w:w="992" w:type="dxa"/>
            <w:vAlign w:val="center"/>
          </w:tcPr>
          <w:p w14:paraId="44D83216">
            <w:pPr>
              <w:pStyle w:val="92"/>
              <w:rPr>
                <w:color w:val="auto"/>
                <w:highlight w:val="none"/>
                <w:u w:val="none"/>
              </w:rPr>
            </w:pPr>
            <w:r>
              <w:rPr>
                <w:color w:val="auto"/>
                <w:highlight w:val="none"/>
                <w:u w:val="none"/>
              </w:rPr>
              <w:t>200</w:t>
            </w:r>
          </w:p>
        </w:tc>
        <w:tc>
          <w:tcPr>
            <w:tcW w:w="3090" w:type="dxa"/>
            <w:vAlign w:val="center"/>
          </w:tcPr>
          <w:p w14:paraId="35065560">
            <w:pPr>
              <w:pStyle w:val="92"/>
              <w:rPr>
                <w:color w:val="auto"/>
                <w:highlight w:val="none"/>
                <w:u w:val="none"/>
              </w:rPr>
            </w:pPr>
            <w:r>
              <w:rPr>
                <w:rFonts w:hint="eastAsia"/>
                <w:color w:val="auto"/>
                <w:highlight w:val="none"/>
                <w:u w:val="none"/>
              </w:rPr>
              <w:t>临时养殖区，主要从事传统的牡蛎条石养殖</w:t>
            </w:r>
            <w:r>
              <w:rPr>
                <w:color w:val="auto"/>
                <w:highlight w:val="none"/>
                <w:u w:val="none"/>
              </w:rPr>
              <w:t>,</w:t>
            </w:r>
            <w:r>
              <w:rPr>
                <w:rFonts w:hint="eastAsia"/>
                <w:color w:val="auto"/>
                <w:highlight w:val="none"/>
                <w:u w:val="none"/>
              </w:rPr>
              <w:t>该区实养面积</w:t>
            </w:r>
            <w:r>
              <w:rPr>
                <w:color w:val="auto"/>
                <w:highlight w:val="none"/>
                <w:u w:val="none"/>
              </w:rPr>
              <w:t>162hm</w:t>
            </w:r>
            <w:r>
              <w:rPr>
                <w:color w:val="auto"/>
                <w:highlight w:val="none"/>
                <w:u w:val="none"/>
                <w:vertAlign w:val="superscript"/>
              </w:rPr>
              <w:t>2</w:t>
            </w:r>
            <w:r>
              <w:rPr>
                <w:rFonts w:hint="eastAsia"/>
                <w:color w:val="auto"/>
                <w:highlight w:val="none"/>
                <w:u w:val="none"/>
              </w:rPr>
              <w:t>占区块面积的</w:t>
            </w:r>
            <w:r>
              <w:rPr>
                <w:color w:val="auto"/>
                <w:highlight w:val="none"/>
                <w:u w:val="none"/>
              </w:rPr>
              <w:t>20%</w:t>
            </w:r>
          </w:p>
        </w:tc>
      </w:tr>
      <w:tr w14:paraId="6A09E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14:paraId="39FF1806">
            <w:pPr>
              <w:pStyle w:val="92"/>
              <w:rPr>
                <w:color w:val="auto"/>
                <w:highlight w:val="none"/>
                <w:u w:val="none"/>
              </w:rPr>
            </w:pPr>
            <w:r>
              <w:rPr>
                <w:color w:val="auto"/>
                <w:highlight w:val="none"/>
                <w:u w:val="none"/>
              </w:rPr>
              <w:t>3.1-1</w:t>
            </w:r>
          </w:p>
        </w:tc>
        <w:tc>
          <w:tcPr>
            <w:tcW w:w="1465" w:type="dxa"/>
            <w:vAlign w:val="center"/>
          </w:tcPr>
          <w:p w14:paraId="0A4961C5">
            <w:pPr>
              <w:pStyle w:val="92"/>
              <w:rPr>
                <w:color w:val="auto"/>
                <w:highlight w:val="none"/>
                <w:u w:val="none"/>
              </w:rPr>
            </w:pPr>
            <w:r>
              <w:rPr>
                <w:rFonts w:hint="eastAsia"/>
                <w:color w:val="auto"/>
                <w:highlight w:val="none"/>
                <w:u w:val="none"/>
              </w:rPr>
              <w:t>过桥山垦区池塘养殖区</w:t>
            </w:r>
          </w:p>
        </w:tc>
        <w:tc>
          <w:tcPr>
            <w:tcW w:w="1300" w:type="dxa"/>
            <w:vAlign w:val="center"/>
          </w:tcPr>
          <w:p w14:paraId="3C386FE6">
            <w:pPr>
              <w:pStyle w:val="92"/>
              <w:rPr>
                <w:color w:val="auto"/>
                <w:highlight w:val="none"/>
                <w:u w:val="none"/>
              </w:rPr>
            </w:pPr>
            <w:r>
              <w:rPr>
                <w:rFonts w:hint="eastAsia"/>
                <w:color w:val="auto"/>
                <w:highlight w:val="none"/>
                <w:u w:val="none"/>
              </w:rPr>
              <w:t>过桥山垦区临大堤一侧</w:t>
            </w:r>
          </w:p>
        </w:tc>
        <w:tc>
          <w:tcPr>
            <w:tcW w:w="791" w:type="dxa"/>
            <w:vAlign w:val="center"/>
          </w:tcPr>
          <w:p w14:paraId="5C29A045">
            <w:pPr>
              <w:pStyle w:val="92"/>
              <w:rPr>
                <w:color w:val="auto"/>
                <w:highlight w:val="none"/>
                <w:u w:val="none"/>
              </w:rPr>
            </w:pPr>
            <w:r>
              <w:rPr>
                <w:rFonts w:hint="eastAsia"/>
                <w:color w:val="auto"/>
                <w:highlight w:val="none"/>
                <w:u w:val="none"/>
              </w:rPr>
              <w:t>池塘</w:t>
            </w:r>
          </w:p>
        </w:tc>
        <w:tc>
          <w:tcPr>
            <w:tcW w:w="732" w:type="dxa"/>
            <w:vAlign w:val="center"/>
          </w:tcPr>
          <w:p w14:paraId="43F66F7A">
            <w:pPr>
              <w:pStyle w:val="92"/>
              <w:rPr>
                <w:color w:val="auto"/>
                <w:highlight w:val="none"/>
                <w:u w:val="none"/>
              </w:rPr>
            </w:pPr>
            <w:r>
              <w:rPr>
                <w:color w:val="auto"/>
                <w:highlight w:val="none"/>
                <w:u w:val="none"/>
              </w:rPr>
              <w:t>472</w:t>
            </w:r>
          </w:p>
        </w:tc>
        <w:tc>
          <w:tcPr>
            <w:tcW w:w="992" w:type="dxa"/>
            <w:vAlign w:val="center"/>
          </w:tcPr>
          <w:p w14:paraId="601F7130">
            <w:pPr>
              <w:pStyle w:val="92"/>
              <w:rPr>
                <w:color w:val="auto"/>
                <w:highlight w:val="none"/>
                <w:u w:val="none"/>
              </w:rPr>
            </w:pPr>
            <w:r>
              <w:rPr>
                <w:color w:val="auto"/>
                <w:highlight w:val="none"/>
                <w:u w:val="none"/>
              </w:rPr>
              <w:t>280</w:t>
            </w:r>
          </w:p>
        </w:tc>
        <w:tc>
          <w:tcPr>
            <w:tcW w:w="3090" w:type="dxa"/>
            <w:vAlign w:val="center"/>
          </w:tcPr>
          <w:p w14:paraId="31461E6C">
            <w:pPr>
              <w:pStyle w:val="92"/>
              <w:rPr>
                <w:color w:val="auto"/>
                <w:highlight w:val="none"/>
                <w:u w:val="none"/>
              </w:rPr>
            </w:pPr>
            <w:r>
              <w:rPr>
                <w:rFonts w:hint="eastAsia"/>
                <w:color w:val="auto"/>
                <w:highlight w:val="none"/>
                <w:u w:val="none"/>
              </w:rPr>
              <w:t>临时养殖区，主要用于鱼虾贝蟹的生态养殖，要求蛏、花蛤、牡蛎贻贝等贝类养殖面积不超过</w:t>
            </w:r>
            <w:r>
              <w:rPr>
                <w:color w:val="auto"/>
                <w:highlight w:val="none"/>
                <w:u w:val="none"/>
              </w:rPr>
              <w:t>20%</w:t>
            </w:r>
          </w:p>
        </w:tc>
      </w:tr>
      <w:tr w14:paraId="2C88A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Align w:val="center"/>
          </w:tcPr>
          <w:p w14:paraId="1850F2A8">
            <w:pPr>
              <w:pStyle w:val="92"/>
              <w:rPr>
                <w:color w:val="auto"/>
                <w:highlight w:val="none"/>
                <w:u w:val="none"/>
              </w:rPr>
            </w:pPr>
            <w:r>
              <w:rPr>
                <w:color w:val="auto"/>
                <w:highlight w:val="none"/>
                <w:u w:val="none"/>
              </w:rPr>
              <w:t>3.1-2</w:t>
            </w:r>
          </w:p>
        </w:tc>
        <w:tc>
          <w:tcPr>
            <w:tcW w:w="1465" w:type="dxa"/>
            <w:vAlign w:val="center"/>
          </w:tcPr>
          <w:p w14:paraId="7479DD9C">
            <w:pPr>
              <w:pStyle w:val="92"/>
              <w:rPr>
                <w:color w:val="auto"/>
                <w:highlight w:val="none"/>
                <w:u w:val="none"/>
              </w:rPr>
            </w:pPr>
            <w:r>
              <w:rPr>
                <w:rFonts w:hint="eastAsia"/>
                <w:color w:val="auto"/>
                <w:highlight w:val="none"/>
                <w:u w:val="none"/>
              </w:rPr>
              <w:t>柯屿垦区池塘养殖</w:t>
            </w:r>
          </w:p>
        </w:tc>
        <w:tc>
          <w:tcPr>
            <w:tcW w:w="1300" w:type="dxa"/>
            <w:vAlign w:val="center"/>
          </w:tcPr>
          <w:p w14:paraId="0237ADED">
            <w:pPr>
              <w:pStyle w:val="92"/>
              <w:rPr>
                <w:color w:val="auto"/>
                <w:highlight w:val="none"/>
                <w:u w:val="none"/>
              </w:rPr>
            </w:pPr>
            <w:r>
              <w:rPr>
                <w:rFonts w:hint="eastAsia"/>
                <w:color w:val="auto"/>
                <w:highlight w:val="none"/>
                <w:u w:val="none"/>
              </w:rPr>
              <w:t>柯屿垦区临大堤一侧</w:t>
            </w:r>
          </w:p>
        </w:tc>
        <w:tc>
          <w:tcPr>
            <w:tcW w:w="791" w:type="dxa"/>
            <w:vAlign w:val="center"/>
          </w:tcPr>
          <w:p w14:paraId="2D180124">
            <w:pPr>
              <w:pStyle w:val="92"/>
              <w:rPr>
                <w:color w:val="auto"/>
                <w:highlight w:val="none"/>
                <w:u w:val="none"/>
              </w:rPr>
            </w:pPr>
            <w:r>
              <w:rPr>
                <w:rFonts w:hint="eastAsia"/>
                <w:color w:val="auto"/>
                <w:highlight w:val="none"/>
                <w:u w:val="none"/>
              </w:rPr>
              <w:t>池塘</w:t>
            </w:r>
          </w:p>
        </w:tc>
        <w:tc>
          <w:tcPr>
            <w:tcW w:w="732" w:type="dxa"/>
            <w:vAlign w:val="center"/>
          </w:tcPr>
          <w:p w14:paraId="0CF083B9">
            <w:pPr>
              <w:pStyle w:val="92"/>
              <w:rPr>
                <w:color w:val="auto"/>
                <w:highlight w:val="none"/>
                <w:u w:val="none"/>
              </w:rPr>
            </w:pPr>
            <w:r>
              <w:rPr>
                <w:color w:val="auto"/>
                <w:highlight w:val="none"/>
                <w:u w:val="none"/>
              </w:rPr>
              <w:t>275</w:t>
            </w:r>
          </w:p>
        </w:tc>
        <w:tc>
          <w:tcPr>
            <w:tcW w:w="992" w:type="dxa"/>
            <w:vAlign w:val="center"/>
          </w:tcPr>
          <w:p w14:paraId="01F9F8D3">
            <w:pPr>
              <w:pStyle w:val="92"/>
              <w:rPr>
                <w:color w:val="auto"/>
                <w:highlight w:val="none"/>
                <w:u w:val="none"/>
              </w:rPr>
            </w:pPr>
            <w:r>
              <w:rPr>
                <w:color w:val="auto"/>
                <w:highlight w:val="none"/>
                <w:u w:val="none"/>
              </w:rPr>
              <w:t>103</w:t>
            </w:r>
          </w:p>
        </w:tc>
        <w:tc>
          <w:tcPr>
            <w:tcW w:w="3090" w:type="dxa"/>
            <w:vAlign w:val="center"/>
          </w:tcPr>
          <w:p w14:paraId="6DCB54FF">
            <w:pPr>
              <w:pStyle w:val="92"/>
              <w:rPr>
                <w:color w:val="auto"/>
                <w:highlight w:val="none"/>
                <w:u w:val="none"/>
              </w:rPr>
            </w:pPr>
            <w:r>
              <w:rPr>
                <w:rFonts w:hint="eastAsia"/>
                <w:color w:val="auto"/>
                <w:highlight w:val="none"/>
                <w:u w:val="none"/>
              </w:rPr>
              <w:t>临时养殖区</w:t>
            </w:r>
            <w:r>
              <w:rPr>
                <w:color w:val="auto"/>
                <w:highlight w:val="none"/>
                <w:u w:val="none"/>
              </w:rPr>
              <w:t>,</w:t>
            </w:r>
            <w:r>
              <w:rPr>
                <w:rFonts w:hint="eastAsia"/>
                <w:color w:val="auto"/>
                <w:highlight w:val="none"/>
                <w:u w:val="none"/>
              </w:rPr>
              <w:t>主要用于鱼虾贝蟹的生态养殖，要求蛏、花蛤、牡蛎贻贝等贝类养殖面积不超过</w:t>
            </w:r>
            <w:r>
              <w:rPr>
                <w:color w:val="auto"/>
                <w:highlight w:val="none"/>
                <w:u w:val="none"/>
              </w:rPr>
              <w:t>20%</w:t>
            </w:r>
          </w:p>
        </w:tc>
      </w:tr>
    </w:tbl>
    <w:p w14:paraId="11F3AFB3">
      <w:pPr>
        <w:pStyle w:val="981"/>
        <w:rPr>
          <w:rFonts w:hAnsi="Times New Roman"/>
          <w:color w:val="auto"/>
          <w:highlight w:val="none"/>
          <w:u w:val="none"/>
          <w:lang w:val="en-US"/>
        </w:rPr>
      </w:pPr>
    </w:p>
    <w:p w14:paraId="4CA8153B">
      <w:pPr>
        <w:pStyle w:val="476"/>
        <w:rPr>
          <w:color w:val="auto"/>
          <w:highlight w:val="none"/>
          <w:u w:val="none"/>
        </w:rPr>
      </w:pPr>
      <w:bookmarkStart w:id="444" w:name="_Ref22286"/>
      <w:bookmarkStart w:id="445" w:name="_Ref22264"/>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444"/>
      <w:r>
        <w:rPr>
          <w:rFonts w:hint="eastAsia"/>
          <w:color w:val="auto"/>
          <w:highlight w:val="none"/>
          <w:u w:val="none"/>
        </w:rPr>
        <w:t xml:space="preserve"> </w:t>
      </w:r>
      <w:r>
        <w:rPr>
          <w:color w:val="auto"/>
          <w:highlight w:val="none"/>
          <w:u w:val="none"/>
        </w:rPr>
        <w:t xml:space="preserve"> </w:t>
      </w:r>
      <w:r>
        <w:rPr>
          <w:rFonts w:hint="eastAsia"/>
          <w:color w:val="auto"/>
          <w:highlight w:val="none"/>
          <w:u w:val="none"/>
        </w:rPr>
        <w:t>福清市海水养殖水域规划图</w:t>
      </w:r>
      <w:bookmarkEnd w:id="445"/>
    </w:p>
    <w:p w14:paraId="674362E8">
      <w:pPr>
        <w:pStyle w:val="981"/>
        <w:rPr>
          <w:rFonts w:hint="eastAsia"/>
          <w:color w:val="auto"/>
          <w:highlight w:val="none"/>
          <w:u w:val="none"/>
          <w:lang w:val="en-US"/>
        </w:rPr>
      </w:pPr>
    </w:p>
    <w:p w14:paraId="1F363C65">
      <w:pPr>
        <w:pStyle w:val="981"/>
        <w:rPr>
          <w:rFonts w:hint="eastAsia"/>
          <w:color w:val="auto"/>
          <w:highlight w:val="none"/>
          <w:u w:val="none"/>
          <w:lang w:val="en-US"/>
        </w:rPr>
        <w:sectPr>
          <w:pgSz w:w="11906" w:h="16838"/>
          <w:pgMar w:top="1440" w:right="1418" w:bottom="1440" w:left="1418" w:header="851" w:footer="992" w:gutter="0"/>
          <w:cols w:space="425" w:num="1"/>
          <w:docGrid w:type="lines" w:linePitch="312" w:charSpace="0"/>
        </w:sectPr>
      </w:pPr>
    </w:p>
    <w:p w14:paraId="7EB7A78F">
      <w:pPr>
        <w:pStyle w:val="4"/>
        <w:jc w:val="both"/>
        <w:rPr>
          <w:color w:val="auto"/>
          <w:highlight w:val="none"/>
          <w:u w:val="none"/>
        </w:rPr>
      </w:pPr>
      <w:bookmarkStart w:id="446" w:name="_Toc109211077"/>
      <w:bookmarkStart w:id="447" w:name="_Toc18140"/>
      <w:r>
        <w:rPr>
          <w:rFonts w:hint="eastAsia"/>
          <w:color w:val="auto"/>
          <w:highlight w:val="none"/>
          <w:u w:val="none"/>
        </w:rPr>
        <w:t>福州江阴港城总体规划（</w:t>
      </w:r>
      <w:r>
        <w:rPr>
          <w:rFonts w:ascii="Times New Roman" w:hAnsi="Times New Roman"/>
          <w:color w:val="auto"/>
          <w:highlight w:val="none"/>
          <w:u w:val="none"/>
        </w:rPr>
        <w:t>2018-2035</w:t>
      </w:r>
      <w:r>
        <w:rPr>
          <w:rFonts w:hint="eastAsia" w:ascii="宋体" w:hAnsi="宋体" w:eastAsia="宋体" w:cs="宋体"/>
          <w:color w:val="auto"/>
          <w:highlight w:val="none"/>
          <w:u w:val="none"/>
        </w:rPr>
        <w:t>年</w:t>
      </w:r>
      <w:r>
        <w:rPr>
          <w:rFonts w:hint="eastAsia"/>
          <w:color w:val="auto"/>
          <w:highlight w:val="none"/>
          <w:u w:val="none"/>
        </w:rPr>
        <w:t>）概况</w:t>
      </w:r>
      <w:bookmarkEnd w:id="446"/>
      <w:bookmarkEnd w:id="447"/>
    </w:p>
    <w:p w14:paraId="66A413FB">
      <w:pPr>
        <w:pStyle w:val="6"/>
        <w:spacing w:before="156" w:after="156"/>
        <w:rPr>
          <w:color w:val="auto"/>
          <w:highlight w:val="none"/>
          <w:u w:val="none"/>
        </w:rPr>
      </w:pPr>
      <w:r>
        <w:rPr>
          <w:rFonts w:hint="eastAsia"/>
          <w:color w:val="auto"/>
          <w:highlight w:val="none"/>
          <w:u w:val="none"/>
        </w:rPr>
        <w:t>江阴港城规划概况</w:t>
      </w:r>
    </w:p>
    <w:p w14:paraId="3F9F67EA">
      <w:pPr>
        <w:pStyle w:val="7"/>
        <w:spacing w:before="156"/>
        <w:rPr>
          <w:color w:val="auto"/>
          <w:highlight w:val="none"/>
          <w:u w:val="none"/>
        </w:rPr>
      </w:pPr>
      <w:r>
        <w:rPr>
          <w:rFonts w:hint="eastAsia"/>
          <w:color w:val="auto"/>
          <w:highlight w:val="none"/>
          <w:u w:val="none"/>
        </w:rPr>
        <w:t>规划范围</w:t>
      </w:r>
    </w:p>
    <w:p w14:paraId="61624CC7">
      <w:pPr>
        <w:snapToGrid w:val="0"/>
        <w:rPr>
          <w:rFonts w:hint="eastAsia"/>
          <w:color w:val="auto"/>
          <w:highlight w:val="none"/>
          <w:u w:val="none"/>
        </w:rPr>
      </w:pPr>
      <w:r>
        <w:rPr>
          <w:color w:val="auto"/>
          <w:highlight w:val="none"/>
          <w:u w:val="none"/>
        </w:rPr>
        <w:t>规划区位于福建省兴化湾西北部，</w:t>
      </w:r>
      <w:r>
        <w:rPr>
          <w:rFonts w:ascii="宋体"/>
          <w:color w:val="auto"/>
          <w:highlight w:val="none"/>
          <w:u w:val="none"/>
        </w:rPr>
        <w:t>古称“玉屿”</w:t>
      </w:r>
      <w:r>
        <w:rPr>
          <w:color w:val="auto"/>
          <w:highlight w:val="none"/>
          <w:u w:val="none"/>
        </w:rPr>
        <w:t>。地理坐标为N25°26′40″、E119°17′34″。北距福清市区20km，距福州市区85km，南距莆田市65km；海上北距上海5822n</w:t>
      </w:r>
      <w:r>
        <w:rPr>
          <w:rFonts w:hint="eastAsia"/>
          <w:color w:val="auto"/>
          <w:highlight w:val="none"/>
          <w:u w:val="none"/>
        </w:rPr>
        <w:t>（</w:t>
      </w:r>
      <w:r>
        <w:rPr>
          <w:color w:val="auto"/>
          <w:highlight w:val="none"/>
          <w:u w:val="none"/>
        </w:rPr>
        <w:t>1n=1.852km</w:t>
      </w:r>
      <w:r>
        <w:rPr>
          <w:rFonts w:hint="eastAsia"/>
          <w:color w:val="auto"/>
          <w:highlight w:val="none"/>
          <w:u w:val="none"/>
        </w:rPr>
        <w:t>）</w:t>
      </w:r>
      <w:r>
        <w:rPr>
          <w:color w:val="auto"/>
          <w:highlight w:val="none"/>
          <w:u w:val="none"/>
        </w:rPr>
        <w:t>，距马尾港113nm，东距台中100nm，距基隆150nm，南距香港360nm。江阴海港新城规划范围为：东面、南面至兴化湾，北至柯屿垦区，西至西港</w:t>
      </w:r>
      <w:r>
        <w:rPr>
          <w:rFonts w:hint="eastAsia"/>
          <w:color w:val="auto"/>
          <w:highlight w:val="none"/>
          <w:u w:val="none"/>
        </w:rPr>
        <w:t>（</w:t>
      </w:r>
      <w:r>
        <w:rPr>
          <w:color w:val="auto"/>
          <w:highlight w:val="none"/>
          <w:u w:val="none"/>
        </w:rPr>
        <w:t>新厝、渔溪镇</w:t>
      </w:r>
      <w:r>
        <w:rPr>
          <w:rFonts w:hint="eastAsia"/>
          <w:color w:val="auto"/>
          <w:highlight w:val="none"/>
          <w:u w:val="none"/>
        </w:rPr>
        <w:t>）</w:t>
      </w:r>
      <w:r>
        <w:rPr>
          <w:color w:val="auto"/>
          <w:highlight w:val="none"/>
          <w:u w:val="none"/>
        </w:rPr>
        <w:t>，包括江阴本岛、新厝新港城两片区域，总规划面积约158.29km</w:t>
      </w:r>
      <w:r>
        <w:rPr>
          <w:color w:val="auto"/>
          <w:highlight w:val="none"/>
          <w:u w:val="none"/>
          <w:vertAlign w:val="superscript"/>
        </w:rPr>
        <w:t>2</w:t>
      </w:r>
      <w:r>
        <w:rPr>
          <w:color w:val="auto"/>
          <w:highlight w:val="none"/>
          <w:u w:val="none"/>
        </w:rPr>
        <w:t>。</w:t>
      </w:r>
    </w:p>
    <w:p w14:paraId="13286728">
      <w:pPr>
        <w:pStyle w:val="7"/>
        <w:spacing w:before="156"/>
        <w:rPr>
          <w:color w:val="auto"/>
          <w:highlight w:val="none"/>
          <w:u w:val="none"/>
        </w:rPr>
      </w:pPr>
      <w:r>
        <w:rPr>
          <w:rFonts w:hint="eastAsia"/>
          <w:color w:val="auto"/>
          <w:highlight w:val="none"/>
          <w:u w:val="none"/>
        </w:rPr>
        <w:t>规划规模</w:t>
      </w:r>
    </w:p>
    <w:p w14:paraId="100A1C7C">
      <w:pPr>
        <w:snapToGrid w:val="0"/>
        <w:rPr>
          <w:rFonts w:hint="eastAsia"/>
          <w:color w:val="auto"/>
          <w:highlight w:val="none"/>
          <w:u w:val="none"/>
        </w:rPr>
      </w:pPr>
      <w:r>
        <w:rPr>
          <w:rFonts w:hint="eastAsia"/>
          <w:color w:val="auto"/>
          <w:highlight w:val="none"/>
          <w:u w:val="none"/>
        </w:rPr>
        <w:t>规划2030年规划范围内总人口32万人，扣除江阴的北部村庄人口，其中城镇人口30万人（江阴本岛20万人，新厝片区10万人）。</w:t>
      </w:r>
    </w:p>
    <w:p w14:paraId="6EF3884D">
      <w:pPr>
        <w:snapToGrid w:val="0"/>
        <w:rPr>
          <w:rFonts w:hint="eastAsia"/>
          <w:color w:val="auto"/>
          <w:highlight w:val="none"/>
          <w:u w:val="none"/>
        </w:rPr>
      </w:pPr>
      <w:r>
        <w:rPr>
          <w:rFonts w:hint="eastAsia"/>
          <w:color w:val="auto"/>
          <w:highlight w:val="none"/>
          <w:u w:val="none"/>
        </w:rPr>
        <w:t>根据人口规模推算，考虑到江阴海港新城的用地布局、用地类型、产业要求和环境保护要求，建设用地规模控制在80km</w:t>
      </w:r>
      <w:r>
        <w:rPr>
          <w:rFonts w:hint="eastAsia"/>
          <w:color w:val="auto"/>
          <w:highlight w:val="none"/>
          <w:u w:val="none"/>
          <w:vertAlign w:val="superscript"/>
        </w:rPr>
        <w:t>2</w:t>
      </w:r>
      <w:r>
        <w:rPr>
          <w:rFonts w:hint="eastAsia"/>
          <w:color w:val="auto"/>
          <w:highlight w:val="none"/>
          <w:u w:val="none"/>
        </w:rPr>
        <w:t>以内。</w:t>
      </w:r>
    </w:p>
    <w:p w14:paraId="0FC0E836">
      <w:pPr>
        <w:pStyle w:val="7"/>
        <w:spacing w:before="156"/>
        <w:rPr>
          <w:color w:val="auto"/>
          <w:highlight w:val="none"/>
          <w:u w:val="none"/>
        </w:rPr>
      </w:pPr>
      <w:r>
        <w:rPr>
          <w:rFonts w:hint="eastAsia"/>
          <w:color w:val="auto"/>
          <w:highlight w:val="none"/>
          <w:u w:val="none"/>
        </w:rPr>
        <w:t>功能定位</w:t>
      </w:r>
    </w:p>
    <w:p w14:paraId="76992B5E">
      <w:pPr>
        <w:snapToGrid w:val="0"/>
        <w:rPr>
          <w:rFonts w:hint="eastAsia"/>
          <w:color w:val="auto"/>
          <w:highlight w:val="none"/>
          <w:u w:val="none"/>
        </w:rPr>
      </w:pPr>
      <w:r>
        <w:rPr>
          <w:rFonts w:hint="eastAsia"/>
          <w:color w:val="auto"/>
          <w:highlight w:val="none"/>
          <w:u w:val="none"/>
        </w:rPr>
        <w:t>依托江阴港区的强劲动力，发展以临港石化、现代物流、海洋产业、现代服务业等为核心，具备山、海、港、城、业独特空间特色的，配套完善的海港新城。</w:t>
      </w:r>
    </w:p>
    <w:p w14:paraId="6D21A77D">
      <w:pPr>
        <w:pStyle w:val="7"/>
        <w:spacing w:before="156"/>
        <w:rPr>
          <w:color w:val="auto"/>
          <w:highlight w:val="none"/>
          <w:u w:val="none"/>
        </w:rPr>
      </w:pPr>
      <w:r>
        <w:rPr>
          <w:rFonts w:hint="eastAsia"/>
          <w:color w:val="auto"/>
          <w:highlight w:val="none"/>
          <w:u w:val="none"/>
        </w:rPr>
        <w:t>布局结构</w:t>
      </w:r>
    </w:p>
    <w:p w14:paraId="3F234771">
      <w:pPr>
        <w:snapToGrid w:val="0"/>
        <w:rPr>
          <w:rFonts w:hint="eastAsia"/>
          <w:color w:val="auto"/>
          <w:highlight w:val="none"/>
          <w:u w:val="none"/>
        </w:rPr>
      </w:pPr>
      <w:r>
        <w:rPr>
          <w:rFonts w:hint="eastAsia"/>
          <w:color w:val="auto"/>
          <w:highlight w:val="none"/>
          <w:u w:val="none"/>
        </w:rPr>
        <w:t>（1）江阴本岛形成“一心一核一轴六区”的功能结构</w:t>
      </w:r>
    </w:p>
    <w:p w14:paraId="47789C95">
      <w:pPr>
        <w:snapToGrid w:val="0"/>
        <w:rPr>
          <w:rFonts w:hint="eastAsia"/>
          <w:color w:val="auto"/>
          <w:highlight w:val="none"/>
          <w:u w:val="none"/>
        </w:rPr>
      </w:pPr>
      <w:r>
        <w:rPr>
          <w:rFonts w:hint="eastAsia"/>
          <w:color w:val="auto"/>
          <w:highlight w:val="none"/>
          <w:u w:val="none"/>
        </w:rPr>
        <w:t>“一心”指位于东部的江阴海港新城中心服务核，为全岛中心；</w:t>
      </w:r>
    </w:p>
    <w:p w14:paraId="791BD47F">
      <w:pPr>
        <w:snapToGrid w:val="0"/>
        <w:rPr>
          <w:rFonts w:hint="eastAsia"/>
          <w:color w:val="auto"/>
          <w:highlight w:val="none"/>
          <w:u w:val="none"/>
        </w:rPr>
      </w:pPr>
      <w:r>
        <w:rPr>
          <w:rFonts w:hint="eastAsia"/>
          <w:color w:val="auto"/>
          <w:highlight w:val="none"/>
          <w:u w:val="none"/>
        </w:rPr>
        <w:t>“核”指北部生态涵养绿核，是全岛的绿肺；</w:t>
      </w:r>
    </w:p>
    <w:p w14:paraId="3BB3FA35">
      <w:pPr>
        <w:snapToGrid w:val="0"/>
        <w:rPr>
          <w:rFonts w:hint="eastAsia"/>
          <w:color w:val="auto"/>
          <w:highlight w:val="none"/>
          <w:u w:val="none"/>
        </w:rPr>
      </w:pPr>
      <w:r>
        <w:rPr>
          <w:rFonts w:hint="eastAsia"/>
          <w:color w:val="auto"/>
          <w:highlight w:val="none"/>
          <w:u w:val="none"/>
        </w:rPr>
        <w:t>“轴”指联系东西的新江公路和南港大道（南曹路）构成的东西发展轴，沟通串联各功能区；</w:t>
      </w:r>
    </w:p>
    <w:p w14:paraId="029296A7">
      <w:pPr>
        <w:snapToGrid w:val="0"/>
        <w:rPr>
          <w:rFonts w:hint="eastAsia"/>
          <w:color w:val="auto"/>
          <w:highlight w:val="none"/>
          <w:u w:val="none"/>
        </w:rPr>
      </w:pPr>
      <w:r>
        <w:rPr>
          <w:rFonts w:hint="eastAsia"/>
          <w:color w:val="auto"/>
          <w:highlight w:val="none"/>
          <w:u w:val="none"/>
        </w:rPr>
        <w:t>“六区”指六大功能区，即北部生态涵养区、西部产业区、南部港口物流区、中部居住区、东部配套服务区</w:t>
      </w:r>
    </w:p>
    <w:p w14:paraId="4CAA3E83">
      <w:pPr>
        <w:snapToGrid w:val="0"/>
        <w:rPr>
          <w:rFonts w:hint="eastAsia"/>
          <w:color w:val="auto"/>
          <w:highlight w:val="none"/>
          <w:u w:val="none"/>
        </w:rPr>
      </w:pPr>
      <w:r>
        <w:rPr>
          <w:rFonts w:hint="eastAsia"/>
          <w:color w:val="auto"/>
          <w:highlight w:val="none"/>
          <w:u w:val="none"/>
        </w:rPr>
        <w:t>（2）新厝片区形成“一心、两轴、三区”的功能结构</w:t>
      </w:r>
    </w:p>
    <w:p w14:paraId="3A2D0A20">
      <w:pPr>
        <w:snapToGrid w:val="0"/>
        <w:rPr>
          <w:rFonts w:hint="eastAsia"/>
          <w:color w:val="auto"/>
          <w:highlight w:val="none"/>
          <w:u w:val="none"/>
        </w:rPr>
      </w:pPr>
      <w:r>
        <w:rPr>
          <w:rFonts w:hint="eastAsia"/>
          <w:color w:val="auto"/>
          <w:highlight w:val="none"/>
          <w:u w:val="none"/>
        </w:rPr>
        <w:t>“一心”指新厝公共服务中心，打造渔溪、新厝、莆田涵江的生产性服务中心。</w:t>
      </w:r>
    </w:p>
    <w:p w14:paraId="6CEA32A2">
      <w:pPr>
        <w:snapToGrid w:val="0"/>
        <w:rPr>
          <w:rFonts w:hint="eastAsia"/>
          <w:color w:val="auto"/>
          <w:highlight w:val="none"/>
          <w:u w:val="none"/>
        </w:rPr>
      </w:pPr>
      <w:r>
        <w:rPr>
          <w:rFonts w:hint="eastAsia"/>
          <w:color w:val="auto"/>
          <w:highlight w:val="none"/>
          <w:u w:val="none"/>
        </w:rPr>
        <w:t>“两轴”中，一条是联系莆田和渔溪，组织内部功能板块的综合功能轴，另一条是联系山海景观的山海生态轴。</w:t>
      </w:r>
    </w:p>
    <w:p w14:paraId="6FA555DA">
      <w:pPr>
        <w:snapToGrid w:val="0"/>
        <w:rPr>
          <w:rFonts w:hint="eastAsia"/>
          <w:color w:val="auto"/>
          <w:highlight w:val="none"/>
          <w:u w:val="none"/>
        </w:rPr>
      </w:pPr>
      <w:r>
        <w:rPr>
          <w:rFonts w:hint="eastAsia"/>
          <w:color w:val="auto"/>
          <w:highlight w:val="none"/>
          <w:u w:val="none"/>
        </w:rPr>
        <w:t>“三区”指中心服务区、两侧的配套居住区、南部的高新产业区。</w:t>
      </w:r>
    </w:p>
    <w:p w14:paraId="34DB86B4">
      <w:pPr>
        <w:snapToGrid w:val="0"/>
        <w:rPr>
          <w:rFonts w:hint="eastAsia"/>
          <w:color w:val="auto"/>
          <w:highlight w:val="none"/>
          <w:u w:val="none"/>
        </w:rPr>
      </w:pPr>
      <w:r>
        <w:rPr>
          <w:color w:val="auto"/>
          <w:highlight w:val="none"/>
          <w:u w:val="none"/>
        </w:rPr>
        <w:t>规划范围总用地158.29km</w:t>
      </w:r>
      <w:r>
        <w:rPr>
          <w:color w:val="auto"/>
          <w:highlight w:val="none"/>
          <w:u w:val="none"/>
          <w:vertAlign w:val="superscript"/>
        </w:rPr>
        <w:t>2</w:t>
      </w:r>
      <w:r>
        <w:rPr>
          <w:color w:val="auto"/>
          <w:highlight w:val="none"/>
          <w:u w:val="none"/>
        </w:rPr>
        <w:t>，其中江阴本岛139.2km</w:t>
      </w:r>
      <w:r>
        <w:rPr>
          <w:color w:val="auto"/>
          <w:highlight w:val="none"/>
          <w:u w:val="none"/>
          <w:vertAlign w:val="superscript"/>
        </w:rPr>
        <w:t>2</w:t>
      </w:r>
      <w:r>
        <w:rPr>
          <w:color w:val="auto"/>
          <w:highlight w:val="none"/>
          <w:u w:val="none"/>
        </w:rPr>
        <w:t>，新厝片区19.09km</w:t>
      </w:r>
      <w:r>
        <w:rPr>
          <w:color w:val="auto"/>
          <w:highlight w:val="none"/>
          <w:u w:val="none"/>
          <w:vertAlign w:val="superscript"/>
        </w:rPr>
        <w:t>2</w:t>
      </w:r>
      <w:r>
        <w:rPr>
          <w:color w:val="auto"/>
          <w:highlight w:val="none"/>
          <w:u w:val="none"/>
        </w:rPr>
        <w:t>。</w:t>
      </w:r>
    </w:p>
    <w:p w14:paraId="64CB80A1">
      <w:pPr>
        <w:snapToGrid w:val="0"/>
        <w:rPr>
          <w:rFonts w:hint="eastAsia"/>
          <w:color w:val="auto"/>
          <w:highlight w:val="none"/>
          <w:u w:val="none"/>
        </w:rPr>
      </w:pPr>
      <w:r>
        <w:rPr>
          <w:color w:val="auto"/>
          <w:highlight w:val="none"/>
          <w:u w:val="none"/>
        </w:rPr>
        <w:t>江阴岛内，非建设用地包括山体、农田、水体，主要分布在北部，面积57.8hm</w:t>
      </w:r>
      <w:r>
        <w:rPr>
          <w:color w:val="auto"/>
          <w:highlight w:val="none"/>
          <w:u w:val="none"/>
          <w:vertAlign w:val="superscript"/>
        </w:rPr>
        <w:t>2</w:t>
      </w:r>
      <w:r>
        <w:rPr>
          <w:color w:val="auto"/>
          <w:highlight w:val="none"/>
          <w:u w:val="none"/>
        </w:rPr>
        <w:t>，占总用地的41.5%；城乡建设用地81.4hm</w:t>
      </w:r>
      <w:r>
        <w:rPr>
          <w:color w:val="auto"/>
          <w:highlight w:val="none"/>
          <w:u w:val="none"/>
          <w:vertAlign w:val="superscript"/>
        </w:rPr>
        <w:t>2</w:t>
      </w:r>
      <w:r>
        <w:rPr>
          <w:color w:val="auto"/>
          <w:highlight w:val="none"/>
          <w:u w:val="none"/>
        </w:rPr>
        <w:t>，包括城市建设用地、村庄建设用地和区域基础设施用地，其中城市建设用地63.73hm</w:t>
      </w:r>
      <w:r>
        <w:rPr>
          <w:color w:val="auto"/>
          <w:highlight w:val="none"/>
          <w:u w:val="none"/>
          <w:vertAlign w:val="superscript"/>
        </w:rPr>
        <w:t>2</w:t>
      </w:r>
      <w:r>
        <w:rPr>
          <w:color w:val="auto"/>
          <w:highlight w:val="none"/>
          <w:u w:val="none"/>
        </w:rPr>
        <w:t>，占城乡建设用地的78.3%。</w:t>
      </w:r>
    </w:p>
    <w:p w14:paraId="6E128723">
      <w:pPr>
        <w:snapToGrid w:val="0"/>
        <w:rPr>
          <w:rFonts w:hint="eastAsia"/>
          <w:color w:val="auto"/>
          <w:highlight w:val="none"/>
          <w:u w:val="none"/>
        </w:rPr>
      </w:pPr>
      <w:r>
        <w:rPr>
          <w:color w:val="auto"/>
          <w:highlight w:val="none"/>
          <w:u w:val="none"/>
        </w:rPr>
        <w:t>新厝片区，非建设用地主要包括水域、未来填海备用发展区，共计849.8hm</w:t>
      </w:r>
      <w:r>
        <w:rPr>
          <w:color w:val="auto"/>
          <w:highlight w:val="none"/>
          <w:u w:val="none"/>
          <w:vertAlign w:val="superscript"/>
        </w:rPr>
        <w:t>2</w:t>
      </w:r>
      <w:r>
        <w:rPr>
          <w:color w:val="auto"/>
          <w:highlight w:val="none"/>
          <w:u w:val="none"/>
        </w:rPr>
        <w:t>，总用地面积的44.5%；城乡建设用地1059.47hm</w:t>
      </w:r>
      <w:r>
        <w:rPr>
          <w:color w:val="auto"/>
          <w:highlight w:val="none"/>
          <w:u w:val="none"/>
          <w:vertAlign w:val="superscript"/>
        </w:rPr>
        <w:t>2</w:t>
      </w:r>
      <w:r>
        <w:rPr>
          <w:color w:val="auto"/>
          <w:highlight w:val="none"/>
          <w:u w:val="none"/>
        </w:rPr>
        <w:t>，其中城市建设用地9988hm</w:t>
      </w:r>
      <w:r>
        <w:rPr>
          <w:color w:val="auto"/>
          <w:highlight w:val="none"/>
          <w:u w:val="none"/>
          <w:vertAlign w:val="superscript"/>
        </w:rPr>
        <w:t>2</w:t>
      </w:r>
      <w:r>
        <w:rPr>
          <w:color w:val="auto"/>
          <w:highlight w:val="none"/>
          <w:u w:val="none"/>
        </w:rPr>
        <w:t>，占城乡建设用地的94.3%。</w:t>
      </w:r>
    </w:p>
    <w:p w14:paraId="57D74412">
      <w:pPr>
        <w:pStyle w:val="6"/>
        <w:spacing w:before="156" w:after="156"/>
        <w:rPr>
          <w:color w:val="auto"/>
          <w:highlight w:val="none"/>
          <w:u w:val="none"/>
        </w:rPr>
      </w:pPr>
      <w:r>
        <w:rPr>
          <w:rFonts w:hint="eastAsia"/>
          <w:color w:val="auto"/>
          <w:highlight w:val="none"/>
          <w:u w:val="none"/>
        </w:rPr>
        <w:t>产业体系规划</w:t>
      </w:r>
    </w:p>
    <w:p w14:paraId="785B5834">
      <w:pPr>
        <w:pStyle w:val="7"/>
        <w:spacing w:before="156"/>
        <w:rPr>
          <w:color w:val="auto"/>
          <w:highlight w:val="none"/>
          <w:u w:val="none"/>
        </w:rPr>
      </w:pPr>
      <w:r>
        <w:rPr>
          <w:rFonts w:hint="eastAsia"/>
          <w:color w:val="auto"/>
          <w:highlight w:val="none"/>
          <w:u w:val="none"/>
        </w:rPr>
        <w:t>产业发展</w:t>
      </w:r>
    </w:p>
    <w:p w14:paraId="6353B1C8">
      <w:pPr>
        <w:pStyle w:val="71"/>
        <w:rPr>
          <w:rFonts w:ascii="Times New Roman" w:hAnsi="Times New Roman"/>
          <w:color w:val="auto"/>
          <w:szCs w:val="20"/>
          <w:highlight w:val="none"/>
          <w:u w:val="none"/>
        </w:rPr>
      </w:pPr>
      <w:r>
        <w:rPr>
          <w:rFonts w:ascii="Times New Roman" w:hAnsi="Times New Roman"/>
          <w:color w:val="auto"/>
          <w:szCs w:val="20"/>
          <w:highlight w:val="none"/>
          <w:u w:val="none"/>
        </w:rPr>
        <w:t>江阴港城经济区产业发展定位，以循环经济生产理念为指导，围绕江阴港城经济区的港口、物流资源条件，充分发挥其独特区位优势和邻近主干市场优势，以大型煤化工、盐化工、石油化工等三大产业链为基础，以便利的交通为依托，构建一个完善的循环经济产业体系，辐射带动现代物流、海洋产业、现代服务业、机械等领域的发展，最终实现产品项目上下衔接，公用辅助设施共享，物流传输便捷、环境保护完善，管理服务一流的非炼化一体化产业基地。</w:t>
      </w:r>
    </w:p>
    <w:p w14:paraId="1CD83F44">
      <w:pPr>
        <w:pStyle w:val="7"/>
        <w:spacing w:before="156"/>
        <w:rPr>
          <w:color w:val="auto"/>
          <w:highlight w:val="none"/>
          <w:u w:val="none"/>
        </w:rPr>
      </w:pPr>
      <w:r>
        <w:rPr>
          <w:rFonts w:hint="eastAsia"/>
          <w:color w:val="auto"/>
          <w:highlight w:val="none"/>
          <w:u w:val="none"/>
        </w:rPr>
        <w:t>主导产业体系</w:t>
      </w:r>
    </w:p>
    <w:p w14:paraId="2EFFE5FA">
      <w:pPr>
        <w:snapToGrid w:val="0"/>
        <w:rPr>
          <w:rFonts w:hint="eastAsia"/>
          <w:color w:val="auto"/>
          <w:highlight w:val="none"/>
          <w:u w:val="none"/>
        </w:rPr>
      </w:pPr>
      <w:r>
        <w:rPr>
          <w:rFonts w:hint="eastAsia"/>
          <w:color w:val="auto"/>
          <w:highlight w:val="none"/>
          <w:u w:val="none"/>
        </w:rPr>
        <w:t>①临港化工产业</w:t>
      </w:r>
    </w:p>
    <w:p w14:paraId="2A266C3B">
      <w:pPr>
        <w:snapToGrid w:val="0"/>
        <w:rPr>
          <w:rFonts w:hint="eastAsia"/>
          <w:color w:val="auto"/>
          <w:highlight w:val="none"/>
          <w:u w:val="none"/>
        </w:rPr>
      </w:pPr>
      <w:r>
        <w:rPr>
          <w:rFonts w:hint="eastAsia"/>
          <w:color w:val="auto"/>
          <w:highlight w:val="none"/>
          <w:u w:val="none"/>
        </w:rPr>
        <w:t>构建技术先进、附加值高的以精细化工为特色的临港化工产业园区。以发展化工原料多元化和新材料为主，以非炼化一体化的化工产业为特色，实现石油化工、煤化工、盐化工的结合，以发展化工新材料为目标。</w:t>
      </w:r>
    </w:p>
    <w:p w14:paraId="1F12E70E">
      <w:pPr>
        <w:snapToGrid w:val="0"/>
        <w:rPr>
          <w:rFonts w:hint="eastAsia"/>
          <w:color w:val="auto"/>
          <w:highlight w:val="none"/>
          <w:u w:val="none"/>
        </w:rPr>
      </w:pPr>
      <w:r>
        <w:rPr>
          <w:rFonts w:hint="eastAsia"/>
          <w:color w:val="auto"/>
          <w:highlight w:val="none"/>
          <w:u w:val="none"/>
        </w:rPr>
        <w:t>②电力能源产业</w:t>
      </w:r>
    </w:p>
    <w:p w14:paraId="3336D2D6">
      <w:pPr>
        <w:snapToGrid w:val="0"/>
        <w:rPr>
          <w:rFonts w:hint="eastAsia"/>
          <w:color w:val="auto"/>
          <w:highlight w:val="none"/>
          <w:u w:val="none"/>
        </w:rPr>
      </w:pPr>
      <w:r>
        <w:rPr>
          <w:rFonts w:hint="eastAsia"/>
          <w:color w:val="auto"/>
          <w:highlight w:val="none"/>
          <w:u w:val="none"/>
        </w:rPr>
        <w:t>以能源保障为核心，以环保节能为重点，充分运用海运优势，以江阴国电为龙头，发展电力能源产业，实现能源结构多元化，构建能源安全保障体系。</w:t>
      </w:r>
    </w:p>
    <w:p w14:paraId="594331E9">
      <w:pPr>
        <w:snapToGrid w:val="0"/>
        <w:rPr>
          <w:rFonts w:hint="eastAsia"/>
          <w:color w:val="auto"/>
          <w:highlight w:val="none"/>
          <w:u w:val="none"/>
        </w:rPr>
      </w:pPr>
      <w:r>
        <w:rPr>
          <w:rFonts w:hint="eastAsia"/>
          <w:color w:val="auto"/>
          <w:highlight w:val="none"/>
          <w:u w:val="none"/>
        </w:rPr>
        <w:t>③海洋产业</w:t>
      </w:r>
    </w:p>
    <w:p w14:paraId="01DE8D24">
      <w:pPr>
        <w:snapToGrid w:val="0"/>
        <w:rPr>
          <w:rFonts w:hint="eastAsia"/>
          <w:color w:val="auto"/>
          <w:highlight w:val="none"/>
          <w:u w:val="none"/>
        </w:rPr>
      </w:pPr>
      <w:r>
        <w:rPr>
          <w:rFonts w:hint="eastAsia"/>
          <w:color w:val="auto"/>
          <w:highlight w:val="none"/>
          <w:u w:val="none"/>
        </w:rPr>
        <w:t>与闽台（江镜）蓝色产业园呼应，在东部滨海新区北部形成海洋产业园，发展海洋机械、海洋生物、海洋工程装备等产业，发挥江阴海岛优势，发展新兴产业。</w:t>
      </w:r>
    </w:p>
    <w:p w14:paraId="51D95B38">
      <w:pPr>
        <w:snapToGrid w:val="0"/>
        <w:rPr>
          <w:rFonts w:hint="eastAsia"/>
          <w:color w:val="auto"/>
          <w:highlight w:val="none"/>
          <w:u w:val="none"/>
        </w:rPr>
      </w:pPr>
      <w:r>
        <w:rPr>
          <w:rFonts w:hint="eastAsia"/>
          <w:color w:val="auto"/>
          <w:highlight w:val="none"/>
          <w:u w:val="none"/>
        </w:rPr>
        <w:t>④现代服务业</w:t>
      </w:r>
    </w:p>
    <w:p w14:paraId="1A8D5594">
      <w:pPr>
        <w:snapToGrid w:val="0"/>
        <w:rPr>
          <w:rFonts w:hint="eastAsia"/>
          <w:color w:val="auto"/>
          <w:highlight w:val="none"/>
          <w:u w:val="none"/>
        </w:rPr>
      </w:pPr>
      <w:r>
        <w:rPr>
          <w:rFonts w:hint="eastAsia"/>
          <w:color w:val="auto"/>
          <w:highlight w:val="none"/>
          <w:u w:val="none"/>
        </w:rPr>
        <w:t>服务业包括与港口产业相关的各类服务业，两岸对接带来的口岸型服务业，以及国际及台湾转移而来的相关服务业，具体而言包括商务、商贸、金融、信息、物流等。</w:t>
      </w:r>
    </w:p>
    <w:p w14:paraId="3B18DE44">
      <w:pPr>
        <w:pStyle w:val="7"/>
        <w:spacing w:before="156"/>
        <w:rPr>
          <w:color w:val="auto"/>
          <w:highlight w:val="none"/>
          <w:u w:val="none"/>
        </w:rPr>
      </w:pPr>
      <w:r>
        <w:rPr>
          <w:rFonts w:hint="eastAsia"/>
          <w:color w:val="auto"/>
          <w:highlight w:val="none"/>
          <w:u w:val="none"/>
        </w:rPr>
        <w:t>产业空间布局</w:t>
      </w:r>
    </w:p>
    <w:p w14:paraId="4413A5D4">
      <w:pPr>
        <w:snapToGrid w:val="0"/>
        <w:rPr>
          <w:rFonts w:hint="eastAsia"/>
          <w:color w:val="auto"/>
          <w:highlight w:val="none"/>
          <w:u w:val="none"/>
        </w:rPr>
      </w:pPr>
      <w:r>
        <w:rPr>
          <w:rFonts w:hint="eastAsia"/>
          <w:color w:val="auto"/>
          <w:highlight w:val="none"/>
          <w:u w:val="none"/>
        </w:rPr>
        <w:t>①临港化工产业</w:t>
      </w:r>
    </w:p>
    <w:p w14:paraId="40CD88A9">
      <w:pPr>
        <w:snapToGrid w:val="0"/>
        <w:rPr>
          <w:rFonts w:hint="eastAsia"/>
          <w:color w:val="auto"/>
          <w:highlight w:val="none"/>
          <w:u w:val="none"/>
        </w:rPr>
      </w:pPr>
      <w:r>
        <w:rPr>
          <w:rFonts w:hint="eastAsia"/>
          <w:color w:val="auto"/>
          <w:highlight w:val="none"/>
          <w:u w:val="none"/>
        </w:rPr>
        <w:t>主要布局在西部工业区和东部工业区，在对现状企业进行保留提升的基础上，注重完善重化企业的布局和配套服务体系，促进下游产业的快速形成，以形成上下游链条参与竞争合作。</w:t>
      </w:r>
    </w:p>
    <w:p w14:paraId="2800A2A6">
      <w:pPr>
        <w:snapToGrid w:val="0"/>
        <w:rPr>
          <w:rFonts w:hint="eastAsia"/>
          <w:color w:val="auto"/>
          <w:highlight w:val="none"/>
          <w:u w:val="none"/>
        </w:rPr>
      </w:pPr>
      <w:r>
        <w:rPr>
          <w:rFonts w:hint="eastAsia"/>
          <w:color w:val="auto"/>
          <w:highlight w:val="none"/>
          <w:u w:val="none"/>
        </w:rPr>
        <w:t>②商贸物流业</w:t>
      </w:r>
    </w:p>
    <w:p w14:paraId="3B6C7952">
      <w:pPr>
        <w:snapToGrid w:val="0"/>
        <w:rPr>
          <w:rFonts w:hint="eastAsia"/>
          <w:color w:val="auto"/>
          <w:highlight w:val="none"/>
          <w:u w:val="none"/>
        </w:rPr>
      </w:pPr>
      <w:r>
        <w:rPr>
          <w:rFonts w:hint="eastAsia"/>
          <w:color w:val="auto"/>
          <w:highlight w:val="none"/>
          <w:u w:val="none"/>
        </w:rPr>
        <w:t>江阴港是福州市重要的集装箱枢纽港，发挥江阴港自身优越条件，通过填海向外扩展，逐步发展通用码头、集装箱码头，通过陆上交通系统和交通接驳的完善，形成便捷的海陆交通，为港口腹地提供集疏运条件，着力打造现代商贸物流业。除疏港公路以南的仓储物流园区外，逐步转移中部村庄用地和闲杂地，以形成相对集中、有一定规模的物流园区。结合汽车整车进口的展示商贸区，促进现代物流业的尽快形成。</w:t>
      </w:r>
    </w:p>
    <w:p w14:paraId="4B770F69">
      <w:pPr>
        <w:snapToGrid w:val="0"/>
        <w:rPr>
          <w:rFonts w:hint="eastAsia"/>
          <w:color w:val="auto"/>
          <w:highlight w:val="none"/>
          <w:u w:val="none"/>
        </w:rPr>
      </w:pPr>
      <w:r>
        <w:rPr>
          <w:rFonts w:hint="eastAsia"/>
          <w:color w:val="auto"/>
          <w:highlight w:val="none"/>
          <w:u w:val="none"/>
        </w:rPr>
        <w:t>③海洋产业</w:t>
      </w:r>
    </w:p>
    <w:p w14:paraId="31971A12">
      <w:pPr>
        <w:snapToGrid w:val="0"/>
        <w:rPr>
          <w:rFonts w:hint="eastAsia"/>
          <w:color w:val="auto"/>
          <w:highlight w:val="none"/>
          <w:u w:val="none"/>
        </w:rPr>
      </w:pPr>
      <w:r>
        <w:rPr>
          <w:rFonts w:hint="eastAsia"/>
          <w:color w:val="auto"/>
          <w:highlight w:val="none"/>
          <w:u w:val="none"/>
        </w:rPr>
        <w:t>与闽台（江镜）蓝色产业园呼应，在东部滨海新区北部形成海洋产业园，发展海洋机械、海洋生物、海洋工程装备等产业，发挥江阴海岛优势，发展新兴产业。</w:t>
      </w:r>
    </w:p>
    <w:p w14:paraId="0CCFDFBC">
      <w:pPr>
        <w:snapToGrid w:val="0"/>
        <w:rPr>
          <w:rFonts w:hint="eastAsia"/>
          <w:color w:val="auto"/>
          <w:highlight w:val="none"/>
          <w:u w:val="none"/>
        </w:rPr>
      </w:pPr>
      <w:r>
        <w:rPr>
          <w:rFonts w:hint="eastAsia"/>
          <w:color w:val="auto"/>
          <w:highlight w:val="none"/>
          <w:u w:val="none"/>
        </w:rPr>
        <w:t>④现代服务业</w:t>
      </w:r>
    </w:p>
    <w:p w14:paraId="1DC6F5CF">
      <w:pPr>
        <w:snapToGrid w:val="0"/>
        <w:rPr>
          <w:rFonts w:hint="eastAsia"/>
          <w:color w:val="auto"/>
          <w:highlight w:val="none"/>
          <w:u w:val="none"/>
        </w:rPr>
      </w:pPr>
      <w:r>
        <w:rPr>
          <w:rFonts w:hint="eastAsia"/>
          <w:color w:val="auto"/>
          <w:highlight w:val="none"/>
          <w:u w:val="none"/>
        </w:rPr>
        <w:t>分别在东部滨海新区中心和新厝公共服务中心。提供商贸、商务、金融、信息、总部等职能，为居民和生产体系服务，成为海港新城的“智核”和服务中心。</w:t>
      </w:r>
    </w:p>
    <w:p w14:paraId="74D0B6C0">
      <w:pPr>
        <w:pStyle w:val="6"/>
        <w:spacing w:before="156" w:after="156"/>
        <w:rPr>
          <w:color w:val="auto"/>
          <w:highlight w:val="none"/>
          <w:u w:val="none"/>
        </w:rPr>
      </w:pPr>
      <w:r>
        <w:rPr>
          <w:rFonts w:hint="eastAsia"/>
          <w:color w:val="auto"/>
          <w:highlight w:val="none"/>
          <w:u w:val="none"/>
        </w:rPr>
        <w:t>工业区开发现状</w:t>
      </w:r>
    </w:p>
    <w:p w14:paraId="05FFD891">
      <w:pPr>
        <w:snapToGrid w:val="0"/>
        <w:rPr>
          <w:rFonts w:hint="eastAsia"/>
          <w:color w:val="auto"/>
          <w:highlight w:val="none"/>
          <w:u w:val="none"/>
        </w:rPr>
      </w:pPr>
      <w:r>
        <w:rPr>
          <w:rFonts w:hint="eastAsia"/>
          <w:color w:val="auto"/>
          <w:highlight w:val="none"/>
          <w:u w:val="none"/>
        </w:rPr>
        <w:t>园区落地工业企业116家（规上企业54家）。2021年，园区实现规模以上工业产值471.16亿元，同比增长27.21%；累计完成固投136.98亿元，同比增长8.8%；完成工业固投120.14亿元，同比增长13.1%。</w:t>
      </w:r>
    </w:p>
    <w:p w14:paraId="4323ED0C">
      <w:pPr>
        <w:snapToGrid w:val="0"/>
        <w:rPr>
          <w:rFonts w:hint="eastAsia"/>
          <w:color w:val="auto"/>
          <w:highlight w:val="none"/>
          <w:u w:val="none"/>
        </w:rPr>
      </w:pPr>
      <w:r>
        <w:rPr>
          <w:rFonts w:hint="eastAsia"/>
          <w:color w:val="auto"/>
          <w:highlight w:val="none"/>
          <w:u w:val="none"/>
        </w:rPr>
        <w:t>经过开发建设，园区道路、供水、供电、供气、供热、污水处理等基础设施日趋完善，已基本形成化工新材料、生物医药、先进制造业、进出口贸易与现代物流四大主导产业。其中，西部临港产业区规划用地14.8k</w:t>
      </w:r>
      <w:r>
        <w:rPr>
          <w:color w:val="auto"/>
          <w:highlight w:val="none"/>
          <w:u w:val="none"/>
        </w:rPr>
        <w:t>m</w:t>
      </w:r>
      <w:r>
        <w:rPr>
          <w:color w:val="auto"/>
          <w:highlight w:val="none"/>
          <w:u w:val="none"/>
          <w:vertAlign w:val="superscript"/>
        </w:rPr>
        <w:t>2</w:t>
      </w:r>
      <w:r>
        <w:rPr>
          <w:rFonts w:hint="eastAsia"/>
          <w:color w:val="auto"/>
          <w:highlight w:val="none"/>
          <w:u w:val="none"/>
        </w:rPr>
        <w:t>，已形成以天辰耀隆为龙头的煤化工、以东南电化为龙头的盐化工、以中景石化为龙头的石油化工等三大产业集群，正在以万华化学福建产业园为龙头，打造异氰酸酯、聚氨酯产业链。东部临港产业区，规划用地17k</w:t>
      </w:r>
      <w:r>
        <w:rPr>
          <w:color w:val="auto"/>
          <w:highlight w:val="none"/>
          <w:u w:val="none"/>
        </w:rPr>
        <w:t>m</w:t>
      </w:r>
      <w:r>
        <w:rPr>
          <w:color w:val="auto"/>
          <w:highlight w:val="none"/>
          <w:u w:val="none"/>
          <w:vertAlign w:val="superscript"/>
        </w:rPr>
        <w:t>2</w:t>
      </w:r>
      <w:r>
        <w:rPr>
          <w:rFonts w:hint="eastAsia"/>
          <w:color w:val="auto"/>
          <w:highlight w:val="none"/>
          <w:u w:val="none"/>
        </w:rPr>
        <w:t>，重点规划发展先进制造业、化工新材料、电力能源等产业，形成了以三峡海上风电产业园为龙头的“一基地、多园区”的清洁能源装备制造产业基地。南部港口运输物流仓储区和商贸物流区，规划用地约16.8k</w:t>
      </w:r>
      <w:r>
        <w:rPr>
          <w:color w:val="auto"/>
          <w:highlight w:val="none"/>
          <w:u w:val="none"/>
        </w:rPr>
        <w:t>m</w:t>
      </w:r>
      <w:r>
        <w:rPr>
          <w:color w:val="auto"/>
          <w:highlight w:val="none"/>
          <w:u w:val="none"/>
          <w:vertAlign w:val="superscript"/>
        </w:rPr>
        <w:t>2</w:t>
      </w:r>
      <w:r>
        <w:rPr>
          <w:rFonts w:hint="eastAsia"/>
          <w:color w:val="auto"/>
          <w:highlight w:val="none"/>
          <w:u w:val="none"/>
        </w:rPr>
        <w:t>，依托保税港区和自贸区政策平台，重点发展国际航运物流、整车及零配件进出口贸易、保税仓储及保税展示交易、大宗商品集散分拨等现代服务业。新厝先进制造业基地，规划用地14k</w:t>
      </w:r>
      <w:r>
        <w:rPr>
          <w:color w:val="auto"/>
          <w:highlight w:val="none"/>
          <w:u w:val="none"/>
        </w:rPr>
        <w:t>m</w:t>
      </w:r>
      <w:r>
        <w:rPr>
          <w:color w:val="auto"/>
          <w:highlight w:val="none"/>
          <w:u w:val="none"/>
          <w:vertAlign w:val="superscript"/>
        </w:rPr>
        <w:t>2</w:t>
      </w:r>
      <w:r>
        <w:rPr>
          <w:rFonts w:hint="eastAsia"/>
          <w:color w:val="auto"/>
          <w:highlight w:val="none"/>
          <w:u w:val="none"/>
        </w:rPr>
        <w:t>，利用江阴港城优越的地理区位和集疏运体系，形成相对集中、有一定规模的高新技术产业区。</w:t>
      </w:r>
    </w:p>
    <w:p w14:paraId="5449ABF1">
      <w:pPr>
        <w:pStyle w:val="6"/>
        <w:spacing w:before="156" w:after="156"/>
        <w:rPr>
          <w:color w:val="auto"/>
          <w:highlight w:val="none"/>
          <w:u w:val="none"/>
        </w:rPr>
      </w:pPr>
      <w:r>
        <w:rPr>
          <w:rFonts w:hint="eastAsia"/>
          <w:color w:val="auto"/>
          <w:highlight w:val="none"/>
          <w:u w:val="none"/>
        </w:rPr>
        <w:t>工业区配套环保基础设施建设进展情况</w:t>
      </w:r>
    </w:p>
    <w:p w14:paraId="29561A70">
      <w:pPr>
        <w:pStyle w:val="7"/>
        <w:spacing w:before="156"/>
        <w:rPr>
          <w:color w:val="auto"/>
          <w:highlight w:val="none"/>
          <w:u w:val="none"/>
        </w:rPr>
      </w:pPr>
      <w:r>
        <w:rPr>
          <w:rFonts w:hint="eastAsia"/>
          <w:color w:val="auto"/>
          <w:highlight w:val="none"/>
          <w:u w:val="none"/>
        </w:rPr>
        <w:t>市政基础设施规划</w:t>
      </w:r>
    </w:p>
    <w:p w14:paraId="67410504">
      <w:pPr>
        <w:snapToGrid w:val="0"/>
        <w:rPr>
          <w:rFonts w:hint="eastAsia"/>
          <w:color w:val="auto"/>
          <w:highlight w:val="none"/>
          <w:u w:val="none"/>
        </w:rPr>
      </w:pPr>
      <w:r>
        <w:rPr>
          <w:rFonts w:hint="eastAsia"/>
          <w:color w:val="auto"/>
          <w:highlight w:val="none"/>
          <w:u w:val="none"/>
        </w:rPr>
        <w:t>（1）</w:t>
      </w:r>
      <w:r>
        <w:rPr>
          <w:color w:val="auto"/>
          <w:highlight w:val="none"/>
          <w:u w:val="none"/>
        </w:rPr>
        <w:t>给水工程规划</w:t>
      </w:r>
    </w:p>
    <w:p w14:paraId="446A4B7C">
      <w:pPr>
        <w:snapToGrid w:val="0"/>
        <w:rPr>
          <w:rFonts w:hint="eastAsia"/>
          <w:color w:val="auto"/>
          <w:highlight w:val="none"/>
          <w:u w:val="none"/>
        </w:rPr>
      </w:pPr>
      <w:r>
        <w:rPr>
          <w:color w:val="auto"/>
          <w:highlight w:val="none"/>
          <w:u w:val="none"/>
        </w:rPr>
        <w:t>①用水量预测</w:t>
      </w:r>
    </w:p>
    <w:p w14:paraId="3CDEB681">
      <w:pPr>
        <w:snapToGrid w:val="0"/>
        <w:rPr>
          <w:rFonts w:hint="eastAsia"/>
          <w:color w:val="auto"/>
          <w:highlight w:val="none"/>
          <w:u w:val="none"/>
        </w:rPr>
      </w:pPr>
      <w:r>
        <w:rPr>
          <w:color w:val="auto"/>
          <w:highlight w:val="none"/>
          <w:u w:val="none"/>
        </w:rPr>
        <w:t>远期规划区最高日需水量为28万m</w:t>
      </w:r>
      <w:r>
        <w:rPr>
          <w:color w:val="auto"/>
          <w:highlight w:val="none"/>
          <w:u w:val="none"/>
          <w:vertAlign w:val="superscript"/>
        </w:rPr>
        <w:t>3</w:t>
      </w:r>
      <w:r>
        <w:rPr>
          <w:color w:val="auto"/>
          <w:highlight w:val="none"/>
          <w:u w:val="none"/>
        </w:rPr>
        <w:t>/d，其中含直供原水10万m</w:t>
      </w:r>
      <w:r>
        <w:rPr>
          <w:color w:val="auto"/>
          <w:highlight w:val="none"/>
          <w:u w:val="none"/>
          <w:vertAlign w:val="superscript"/>
        </w:rPr>
        <w:t>3</w:t>
      </w:r>
      <w:r>
        <w:rPr>
          <w:color w:val="auto"/>
          <w:highlight w:val="none"/>
          <w:u w:val="none"/>
        </w:rPr>
        <w:t>/d，日变化系数取1.2，年需水总量约为9368万m</w:t>
      </w:r>
      <w:r>
        <w:rPr>
          <w:color w:val="auto"/>
          <w:highlight w:val="none"/>
          <w:u w:val="none"/>
          <w:vertAlign w:val="superscript"/>
        </w:rPr>
        <w:t>3</w:t>
      </w:r>
      <w:r>
        <w:rPr>
          <w:color w:val="auto"/>
          <w:highlight w:val="none"/>
          <w:u w:val="none"/>
        </w:rPr>
        <w:t>。</w:t>
      </w:r>
    </w:p>
    <w:p w14:paraId="470C4044">
      <w:pPr>
        <w:snapToGrid w:val="0"/>
        <w:rPr>
          <w:rFonts w:hint="eastAsia"/>
          <w:color w:val="auto"/>
          <w:highlight w:val="none"/>
          <w:u w:val="none"/>
        </w:rPr>
      </w:pPr>
      <w:r>
        <w:rPr>
          <w:color w:val="auto"/>
          <w:highlight w:val="none"/>
          <w:u w:val="none"/>
        </w:rPr>
        <w:t>②规划水厂</w:t>
      </w:r>
    </w:p>
    <w:p w14:paraId="3C0A3C88">
      <w:pPr>
        <w:snapToGrid w:val="0"/>
        <w:rPr>
          <w:rFonts w:hint="eastAsia"/>
          <w:color w:val="auto"/>
          <w:highlight w:val="none"/>
          <w:u w:val="none"/>
        </w:rPr>
      </w:pPr>
      <w:r>
        <w:rPr>
          <w:color w:val="auto"/>
          <w:highlight w:val="none"/>
          <w:u w:val="none"/>
        </w:rPr>
        <w:t>近期江阴一水厂扩建至7.0万m</w:t>
      </w:r>
      <w:r>
        <w:rPr>
          <w:color w:val="auto"/>
          <w:highlight w:val="none"/>
          <w:u w:val="none"/>
          <w:vertAlign w:val="superscript"/>
        </w:rPr>
        <w:t>3</w:t>
      </w:r>
      <w:r>
        <w:rPr>
          <w:color w:val="auto"/>
          <w:highlight w:val="none"/>
          <w:u w:val="none"/>
        </w:rPr>
        <w:t>/d，直供原水10万m</w:t>
      </w:r>
      <w:r>
        <w:rPr>
          <w:color w:val="auto"/>
          <w:highlight w:val="none"/>
          <w:u w:val="none"/>
          <w:vertAlign w:val="superscript"/>
        </w:rPr>
        <w:t>3</w:t>
      </w:r>
      <w:r>
        <w:rPr>
          <w:color w:val="auto"/>
          <w:highlight w:val="none"/>
          <w:u w:val="none"/>
        </w:rPr>
        <w:t>/d，预留用地10hm</w:t>
      </w:r>
      <w:r>
        <w:rPr>
          <w:color w:val="auto"/>
          <w:highlight w:val="none"/>
          <w:u w:val="none"/>
          <w:vertAlign w:val="superscript"/>
        </w:rPr>
        <w:t>2</w:t>
      </w:r>
      <w:r>
        <w:rPr>
          <w:color w:val="auto"/>
          <w:highlight w:val="none"/>
          <w:u w:val="none"/>
        </w:rPr>
        <w:t>；远期在洋边调节水库旁新建江阴二水厂15万m</w:t>
      </w:r>
      <w:r>
        <w:rPr>
          <w:color w:val="auto"/>
          <w:highlight w:val="none"/>
          <w:u w:val="none"/>
          <w:vertAlign w:val="superscript"/>
        </w:rPr>
        <w:t>3</w:t>
      </w:r>
      <w:r>
        <w:rPr>
          <w:color w:val="auto"/>
          <w:highlight w:val="none"/>
          <w:u w:val="none"/>
        </w:rPr>
        <w:t>/d，预留用地10hm</w:t>
      </w:r>
      <w:r>
        <w:rPr>
          <w:color w:val="auto"/>
          <w:highlight w:val="none"/>
          <w:u w:val="none"/>
          <w:vertAlign w:val="superscript"/>
        </w:rPr>
        <w:t>2</w:t>
      </w:r>
      <w:r>
        <w:rPr>
          <w:color w:val="auto"/>
          <w:highlight w:val="none"/>
          <w:u w:val="none"/>
        </w:rPr>
        <w:t>；远期建设江阴再生水处理厂，规模4万m</w:t>
      </w:r>
      <w:r>
        <w:rPr>
          <w:color w:val="auto"/>
          <w:highlight w:val="none"/>
          <w:u w:val="none"/>
          <w:vertAlign w:val="superscript"/>
        </w:rPr>
        <w:t>3</w:t>
      </w:r>
      <w:r>
        <w:rPr>
          <w:color w:val="auto"/>
          <w:highlight w:val="none"/>
          <w:u w:val="none"/>
        </w:rPr>
        <w:t>/d，预留用地4hm</w:t>
      </w:r>
      <w:r>
        <w:rPr>
          <w:color w:val="auto"/>
          <w:highlight w:val="none"/>
          <w:u w:val="none"/>
          <w:vertAlign w:val="superscript"/>
        </w:rPr>
        <w:t>2</w:t>
      </w:r>
      <w:r>
        <w:rPr>
          <w:color w:val="auto"/>
          <w:highlight w:val="none"/>
          <w:u w:val="none"/>
        </w:rPr>
        <w:t>。至2030年，三座水厂总供水能力为36万m</w:t>
      </w:r>
      <w:r>
        <w:rPr>
          <w:color w:val="auto"/>
          <w:highlight w:val="none"/>
          <w:u w:val="none"/>
          <w:vertAlign w:val="superscript"/>
        </w:rPr>
        <w:t>3</w:t>
      </w:r>
      <w:r>
        <w:rPr>
          <w:color w:val="auto"/>
          <w:highlight w:val="none"/>
          <w:u w:val="none"/>
        </w:rPr>
        <w:t>/d。江阴一、二水厂和原水厂水源取自闽江调水江阴支线；江阴再生水处理厂以紧挨布置的江阴污水处理厂尾水作为水源。江阴一、二水厂和原水厂和原水厂年需水资源总量为9368万m</w:t>
      </w:r>
      <w:r>
        <w:rPr>
          <w:color w:val="auto"/>
          <w:highlight w:val="none"/>
          <w:u w:val="none"/>
          <w:vertAlign w:val="superscript"/>
        </w:rPr>
        <w:t>3</w:t>
      </w:r>
      <w:r>
        <w:rPr>
          <w:color w:val="auto"/>
          <w:highlight w:val="none"/>
          <w:u w:val="none"/>
        </w:rPr>
        <w:t>/a，根据现有的闽江调水水量配置规划，远期江阴支线输水流量可达到3m</w:t>
      </w:r>
      <w:r>
        <w:rPr>
          <w:color w:val="auto"/>
          <w:highlight w:val="none"/>
          <w:u w:val="none"/>
          <w:vertAlign w:val="superscript"/>
        </w:rPr>
        <w:t>3</w:t>
      </w:r>
      <w:r>
        <w:rPr>
          <w:color w:val="auto"/>
          <w:highlight w:val="none"/>
          <w:u w:val="none"/>
        </w:rPr>
        <w:t>/s，年输水量可达9461万m</w:t>
      </w:r>
      <w:r>
        <w:rPr>
          <w:color w:val="auto"/>
          <w:highlight w:val="none"/>
          <w:u w:val="none"/>
          <w:vertAlign w:val="superscript"/>
        </w:rPr>
        <w:t>3</w:t>
      </w:r>
      <w:r>
        <w:rPr>
          <w:color w:val="auto"/>
          <w:highlight w:val="none"/>
          <w:u w:val="none"/>
        </w:rPr>
        <w:t>/a，可以满足需求。</w:t>
      </w:r>
    </w:p>
    <w:p w14:paraId="6FC10059">
      <w:pPr>
        <w:snapToGrid w:val="0"/>
        <w:rPr>
          <w:rFonts w:hint="eastAsia"/>
          <w:color w:val="auto"/>
          <w:highlight w:val="none"/>
          <w:u w:val="none"/>
        </w:rPr>
      </w:pPr>
      <w:r>
        <w:rPr>
          <w:color w:val="auto"/>
          <w:highlight w:val="none"/>
          <w:u w:val="none"/>
        </w:rPr>
        <w:t>沿贯通全区的干道布置给水干管DN500～DN1000，新建和改造道路沿路敷设给水支干管DN200～DN400，近期先建成枝状管网，远期建设成环。</w:t>
      </w:r>
    </w:p>
    <w:p w14:paraId="5A375975">
      <w:pPr>
        <w:snapToGrid w:val="0"/>
        <w:rPr>
          <w:rFonts w:hint="eastAsia"/>
          <w:color w:val="auto"/>
          <w:highlight w:val="none"/>
          <w:u w:val="none"/>
        </w:rPr>
      </w:pPr>
      <w:r>
        <w:rPr>
          <w:color w:val="auto"/>
          <w:highlight w:val="none"/>
          <w:u w:val="none"/>
        </w:rPr>
        <w:t>规划将里下底水库作为江阴二水厂的应急备用水源地，加强防护，防止污染。</w:t>
      </w:r>
    </w:p>
    <w:p w14:paraId="186FB28D">
      <w:pPr>
        <w:snapToGrid w:val="0"/>
        <w:rPr>
          <w:rFonts w:hint="eastAsia"/>
          <w:color w:val="auto"/>
          <w:highlight w:val="none"/>
          <w:u w:val="none"/>
        </w:rPr>
      </w:pPr>
      <w:r>
        <w:rPr>
          <w:color w:val="auto"/>
          <w:highlight w:val="none"/>
          <w:u w:val="none"/>
        </w:rPr>
        <w:t>③分质供水</w:t>
      </w:r>
    </w:p>
    <w:p w14:paraId="102184EC">
      <w:pPr>
        <w:snapToGrid w:val="0"/>
        <w:rPr>
          <w:rFonts w:hint="eastAsia"/>
          <w:color w:val="auto"/>
          <w:highlight w:val="none"/>
          <w:u w:val="none"/>
        </w:rPr>
      </w:pPr>
      <w:r>
        <w:rPr>
          <w:color w:val="auto"/>
          <w:highlight w:val="none"/>
          <w:u w:val="none"/>
        </w:rPr>
        <w:t>规划远景实施分质供水，规划在污水处理厂旁预留再生水处理厂用地，在市政道路上预留中水供水管的通道。</w:t>
      </w:r>
    </w:p>
    <w:p w14:paraId="70F4FFF6">
      <w:pPr>
        <w:snapToGrid w:val="0"/>
        <w:rPr>
          <w:rFonts w:hint="eastAsia"/>
          <w:color w:val="auto"/>
          <w:highlight w:val="none"/>
          <w:u w:val="none"/>
        </w:rPr>
      </w:pPr>
      <w:r>
        <w:rPr>
          <w:rFonts w:hint="eastAsia"/>
          <w:color w:val="auto"/>
          <w:highlight w:val="none"/>
          <w:u w:val="none"/>
        </w:rPr>
        <w:t>（2）</w:t>
      </w:r>
      <w:r>
        <w:rPr>
          <w:color w:val="auto"/>
          <w:highlight w:val="none"/>
          <w:u w:val="none"/>
        </w:rPr>
        <w:t>排水工程规划</w:t>
      </w:r>
    </w:p>
    <w:p w14:paraId="020C8359">
      <w:pPr>
        <w:snapToGrid w:val="0"/>
        <w:rPr>
          <w:rFonts w:hint="eastAsia"/>
          <w:color w:val="auto"/>
          <w:highlight w:val="none"/>
          <w:u w:val="none"/>
        </w:rPr>
      </w:pPr>
      <w:r>
        <w:rPr>
          <w:color w:val="auto"/>
          <w:highlight w:val="none"/>
          <w:u w:val="none"/>
        </w:rPr>
        <w:t>新区和旧城改造区采用雨污分流制；旧区采用截流式合流制，截流系数n=1，随着旧城改造，逐步改造为分流制。</w:t>
      </w:r>
    </w:p>
    <w:p w14:paraId="35178DED">
      <w:pPr>
        <w:snapToGrid w:val="0"/>
        <w:rPr>
          <w:rFonts w:hint="eastAsia"/>
          <w:color w:val="auto"/>
          <w:highlight w:val="none"/>
          <w:u w:val="none"/>
        </w:rPr>
      </w:pPr>
      <w:r>
        <w:rPr>
          <w:color w:val="auto"/>
          <w:highlight w:val="none"/>
          <w:u w:val="none"/>
        </w:rPr>
        <w:t>①污水量预测</w:t>
      </w:r>
    </w:p>
    <w:p w14:paraId="63AC9776">
      <w:pPr>
        <w:snapToGrid w:val="0"/>
        <w:rPr>
          <w:rFonts w:hint="eastAsia"/>
          <w:color w:val="auto"/>
          <w:highlight w:val="none"/>
          <w:u w:val="none"/>
        </w:rPr>
      </w:pPr>
      <w:r>
        <w:rPr>
          <w:color w:val="auto"/>
          <w:highlight w:val="none"/>
          <w:u w:val="none"/>
        </w:rPr>
        <w:t>规划区远期平均日污水总量为19万m</w:t>
      </w:r>
      <w:r>
        <w:rPr>
          <w:color w:val="auto"/>
          <w:highlight w:val="none"/>
          <w:u w:val="none"/>
          <w:vertAlign w:val="superscript"/>
        </w:rPr>
        <w:t>3</w:t>
      </w:r>
      <w:r>
        <w:rPr>
          <w:color w:val="auto"/>
          <w:highlight w:val="none"/>
          <w:u w:val="none"/>
        </w:rPr>
        <w:t>/d；新厝组团远期污水预测为5万m</w:t>
      </w:r>
      <w:r>
        <w:rPr>
          <w:color w:val="auto"/>
          <w:highlight w:val="none"/>
          <w:u w:val="none"/>
          <w:vertAlign w:val="superscript"/>
        </w:rPr>
        <w:t>3</w:t>
      </w:r>
      <w:r>
        <w:rPr>
          <w:color w:val="auto"/>
          <w:highlight w:val="none"/>
          <w:u w:val="none"/>
        </w:rPr>
        <w:t>/d；区域预测远期污水量共24万m</w:t>
      </w:r>
      <w:r>
        <w:rPr>
          <w:color w:val="auto"/>
          <w:highlight w:val="none"/>
          <w:u w:val="none"/>
          <w:vertAlign w:val="superscript"/>
        </w:rPr>
        <w:t>3</w:t>
      </w:r>
      <w:r>
        <w:rPr>
          <w:color w:val="auto"/>
          <w:highlight w:val="none"/>
          <w:u w:val="none"/>
        </w:rPr>
        <w:t>/d。</w:t>
      </w:r>
    </w:p>
    <w:p w14:paraId="6F3B7CF4">
      <w:pPr>
        <w:snapToGrid w:val="0"/>
        <w:rPr>
          <w:rFonts w:hint="eastAsia"/>
          <w:color w:val="auto"/>
          <w:highlight w:val="none"/>
          <w:u w:val="none"/>
        </w:rPr>
      </w:pPr>
      <w:r>
        <w:rPr>
          <w:color w:val="auto"/>
          <w:highlight w:val="none"/>
          <w:u w:val="none"/>
        </w:rPr>
        <w:t>②规划污水处理厂</w:t>
      </w:r>
    </w:p>
    <w:p w14:paraId="58359CD7">
      <w:pPr>
        <w:snapToGrid w:val="0"/>
        <w:rPr>
          <w:rFonts w:hint="eastAsia"/>
          <w:color w:val="auto"/>
          <w:highlight w:val="none"/>
          <w:u w:val="none"/>
        </w:rPr>
      </w:pPr>
      <w:r>
        <w:rPr>
          <w:color w:val="auto"/>
          <w:highlight w:val="none"/>
          <w:u w:val="none"/>
        </w:rPr>
        <w:t>规划保留工业区污水处理厂，近期扩建至6万m</w:t>
      </w:r>
      <w:r>
        <w:rPr>
          <w:color w:val="auto"/>
          <w:highlight w:val="none"/>
          <w:u w:val="none"/>
          <w:vertAlign w:val="superscript"/>
        </w:rPr>
        <w:t>3</w:t>
      </w:r>
      <w:r>
        <w:rPr>
          <w:color w:val="auto"/>
          <w:highlight w:val="none"/>
          <w:u w:val="none"/>
        </w:rPr>
        <w:t>/d，远期扩建至11万m</w:t>
      </w:r>
      <w:r>
        <w:rPr>
          <w:color w:val="auto"/>
          <w:highlight w:val="none"/>
          <w:u w:val="none"/>
          <w:vertAlign w:val="superscript"/>
        </w:rPr>
        <w:t>3</w:t>
      </w:r>
      <w:r>
        <w:rPr>
          <w:color w:val="auto"/>
          <w:highlight w:val="none"/>
          <w:u w:val="none"/>
        </w:rPr>
        <w:t>/d，规划预留用地11.5hm</w:t>
      </w:r>
      <w:r>
        <w:rPr>
          <w:color w:val="auto"/>
          <w:highlight w:val="none"/>
          <w:u w:val="none"/>
          <w:vertAlign w:val="superscript"/>
        </w:rPr>
        <w:t>2</w:t>
      </w:r>
      <w:r>
        <w:rPr>
          <w:color w:val="auto"/>
          <w:highlight w:val="none"/>
          <w:u w:val="none"/>
        </w:rPr>
        <w:t>；新建江阴污水处理厂，近期6万m</w:t>
      </w:r>
      <w:r>
        <w:rPr>
          <w:color w:val="auto"/>
          <w:highlight w:val="none"/>
          <w:u w:val="none"/>
          <w:vertAlign w:val="superscript"/>
        </w:rPr>
        <w:t>3</w:t>
      </w:r>
      <w:r>
        <w:rPr>
          <w:color w:val="auto"/>
          <w:highlight w:val="none"/>
          <w:u w:val="none"/>
        </w:rPr>
        <w:t>/d，远期15万m</w:t>
      </w:r>
      <w:r>
        <w:rPr>
          <w:color w:val="auto"/>
          <w:highlight w:val="none"/>
          <w:u w:val="none"/>
          <w:vertAlign w:val="superscript"/>
        </w:rPr>
        <w:t>3</w:t>
      </w:r>
      <w:r>
        <w:rPr>
          <w:color w:val="auto"/>
          <w:highlight w:val="none"/>
          <w:u w:val="none"/>
        </w:rPr>
        <w:t>/d，规划预留用地16hm</w:t>
      </w:r>
      <w:r>
        <w:rPr>
          <w:color w:val="auto"/>
          <w:highlight w:val="none"/>
          <w:u w:val="none"/>
          <w:vertAlign w:val="superscript"/>
        </w:rPr>
        <w:t>2</w:t>
      </w:r>
      <w:r>
        <w:rPr>
          <w:color w:val="auto"/>
          <w:highlight w:val="none"/>
          <w:u w:val="none"/>
        </w:rPr>
        <w:t>；至2030年，2座污水处理厂总处理能力为26万m</w:t>
      </w:r>
      <w:r>
        <w:rPr>
          <w:color w:val="auto"/>
          <w:highlight w:val="none"/>
          <w:u w:val="none"/>
          <w:vertAlign w:val="superscript"/>
        </w:rPr>
        <w:t>3</w:t>
      </w:r>
      <w:r>
        <w:rPr>
          <w:color w:val="auto"/>
          <w:highlight w:val="none"/>
          <w:u w:val="none"/>
        </w:rPr>
        <w:t>/d。</w:t>
      </w:r>
    </w:p>
    <w:p w14:paraId="1BCEDC38">
      <w:pPr>
        <w:snapToGrid w:val="0"/>
        <w:rPr>
          <w:rFonts w:hint="eastAsia"/>
          <w:color w:val="auto"/>
          <w:highlight w:val="none"/>
          <w:u w:val="none"/>
        </w:rPr>
      </w:pPr>
      <w:r>
        <w:rPr>
          <w:color w:val="auto"/>
          <w:highlight w:val="none"/>
          <w:u w:val="none"/>
        </w:rPr>
        <w:t>生活污水与工业废水排入市政污水管道，水质满足《污水排放城市下水道水质标准》</w:t>
      </w:r>
      <w:r>
        <w:rPr>
          <w:rFonts w:hint="eastAsia"/>
          <w:color w:val="auto"/>
          <w:highlight w:val="none"/>
          <w:u w:val="none"/>
        </w:rPr>
        <w:t>（</w:t>
      </w:r>
      <w:r>
        <w:rPr>
          <w:color w:val="auto"/>
          <w:highlight w:val="none"/>
          <w:u w:val="none"/>
        </w:rPr>
        <w:t>GJ3082</w:t>
      </w:r>
      <w:r>
        <w:rPr>
          <w:rFonts w:hint="eastAsia"/>
          <w:color w:val="auto"/>
          <w:highlight w:val="none"/>
          <w:u w:val="none"/>
        </w:rPr>
        <w:t>）</w:t>
      </w:r>
      <w:r>
        <w:rPr>
          <w:color w:val="auto"/>
          <w:highlight w:val="none"/>
          <w:u w:val="none"/>
        </w:rPr>
        <w:t>的要求。尾水排放执行《城镇污水处理厂污染物综合排放标准》中一级B。</w:t>
      </w:r>
    </w:p>
    <w:p w14:paraId="69E30A56">
      <w:pPr>
        <w:snapToGrid w:val="0"/>
        <w:rPr>
          <w:rFonts w:hint="eastAsia"/>
          <w:color w:val="auto"/>
          <w:highlight w:val="none"/>
          <w:u w:val="none"/>
        </w:rPr>
      </w:pPr>
      <w:r>
        <w:rPr>
          <w:color w:val="auto"/>
          <w:highlight w:val="none"/>
          <w:u w:val="none"/>
        </w:rPr>
        <w:t>规划沿新建或改造道路敷设污水支管，各片区污水由污水支管收集，将区内污水截流汇入进厂污水主干管。</w:t>
      </w:r>
    </w:p>
    <w:p w14:paraId="461075B6">
      <w:pPr>
        <w:snapToGrid w:val="0"/>
        <w:rPr>
          <w:rFonts w:hint="eastAsia"/>
          <w:color w:val="auto"/>
          <w:highlight w:val="none"/>
          <w:u w:val="none"/>
        </w:rPr>
      </w:pPr>
      <w:r>
        <w:rPr>
          <w:color w:val="auto"/>
          <w:highlight w:val="none"/>
          <w:u w:val="none"/>
        </w:rPr>
        <w:t>规划污水干管集中穿越内河，在污水干管埋深超过7m处以及污水干管穿越内河后的空地，规划布置污水中途提升泵站，规模1～5万m</w:t>
      </w:r>
      <w:r>
        <w:rPr>
          <w:color w:val="auto"/>
          <w:highlight w:val="none"/>
          <w:u w:val="none"/>
          <w:vertAlign w:val="superscript"/>
        </w:rPr>
        <w:t>3</w:t>
      </w:r>
      <w:r>
        <w:rPr>
          <w:color w:val="auto"/>
          <w:highlight w:val="none"/>
          <w:u w:val="none"/>
        </w:rPr>
        <w:t>/d，预留用地0.1～0.2hm</w:t>
      </w:r>
      <w:r>
        <w:rPr>
          <w:color w:val="auto"/>
          <w:highlight w:val="none"/>
          <w:u w:val="none"/>
          <w:vertAlign w:val="superscript"/>
        </w:rPr>
        <w:t>2</w:t>
      </w:r>
      <w:r>
        <w:rPr>
          <w:color w:val="auto"/>
          <w:highlight w:val="none"/>
          <w:u w:val="none"/>
        </w:rPr>
        <w:t>。</w:t>
      </w:r>
    </w:p>
    <w:p w14:paraId="00809340">
      <w:pPr>
        <w:snapToGrid w:val="0"/>
        <w:rPr>
          <w:rFonts w:hint="eastAsia"/>
          <w:color w:val="auto"/>
          <w:highlight w:val="none"/>
          <w:u w:val="none"/>
        </w:rPr>
      </w:pPr>
      <w:r>
        <w:rPr>
          <w:color w:val="auto"/>
          <w:highlight w:val="none"/>
          <w:u w:val="none"/>
        </w:rPr>
        <w:t>③雨水</w:t>
      </w:r>
    </w:p>
    <w:p w14:paraId="5F9DA057">
      <w:pPr>
        <w:snapToGrid w:val="0"/>
        <w:rPr>
          <w:rFonts w:hint="eastAsia"/>
          <w:color w:val="auto"/>
          <w:highlight w:val="none"/>
          <w:u w:val="none"/>
        </w:rPr>
      </w:pPr>
      <w:r>
        <w:rPr>
          <w:color w:val="auto"/>
          <w:highlight w:val="none"/>
          <w:u w:val="none"/>
        </w:rPr>
        <w:t>市政雨水管采用暗管排水方式，一般沿路布置。区内雨水经支管汇集后，汇入市政雨水管，就近排放城市水系，经调蓄后排入海湾。</w:t>
      </w:r>
    </w:p>
    <w:p w14:paraId="3D1D1C3F">
      <w:pPr>
        <w:pStyle w:val="7"/>
        <w:spacing w:before="156"/>
        <w:rPr>
          <w:color w:val="auto"/>
          <w:highlight w:val="none"/>
          <w:u w:val="none"/>
        </w:rPr>
      </w:pPr>
      <w:r>
        <w:rPr>
          <w:rFonts w:hint="eastAsia"/>
          <w:color w:val="auto"/>
          <w:highlight w:val="none"/>
          <w:u w:val="none"/>
        </w:rPr>
        <w:t>环保设施建设情况</w:t>
      </w:r>
    </w:p>
    <w:p w14:paraId="20D17EBF">
      <w:pPr>
        <w:snapToGrid w:val="0"/>
        <w:rPr>
          <w:rFonts w:hint="eastAsia"/>
          <w:color w:val="auto"/>
          <w:highlight w:val="none"/>
          <w:u w:val="none"/>
        </w:rPr>
      </w:pPr>
      <w:r>
        <w:rPr>
          <w:rFonts w:hint="eastAsia"/>
          <w:color w:val="auto"/>
          <w:highlight w:val="none"/>
          <w:u w:val="none"/>
        </w:rPr>
        <w:t>江阴港城规划有2个污水处理厂。目前仅建成</w:t>
      </w:r>
      <w:r>
        <w:rPr>
          <w:rFonts w:hint="eastAsia"/>
          <w:color w:val="auto"/>
          <w:highlight w:val="none"/>
          <w:u w:val="none"/>
          <w:lang w:eastAsia="zh-CN"/>
        </w:rPr>
        <w:t>福州江阴港城经济区</w:t>
      </w:r>
      <w:r>
        <w:rPr>
          <w:rFonts w:hint="eastAsia"/>
          <w:color w:val="auto"/>
          <w:highlight w:val="none"/>
          <w:u w:val="none"/>
        </w:rPr>
        <w:t>污水处理厂，东部工业区污水处理厂未建设。</w:t>
      </w:r>
    </w:p>
    <w:p w14:paraId="1FF82168">
      <w:pPr>
        <w:snapToGrid w:val="0"/>
        <w:rPr>
          <w:rFonts w:hint="eastAsia"/>
          <w:color w:val="auto"/>
          <w:highlight w:val="none"/>
          <w:u w:val="none"/>
        </w:rPr>
      </w:pPr>
      <w:r>
        <w:rPr>
          <w:rFonts w:hint="eastAsia"/>
          <w:color w:val="auto"/>
          <w:highlight w:val="none"/>
          <w:u w:val="none"/>
          <w:lang w:eastAsia="zh-CN"/>
        </w:rPr>
        <w:t>福州江阴港城经济区</w:t>
      </w:r>
      <w:r>
        <w:rPr>
          <w:rFonts w:hint="eastAsia"/>
          <w:color w:val="auto"/>
          <w:highlight w:val="none"/>
          <w:u w:val="none"/>
        </w:rPr>
        <w:t>污水处理厂位于</w:t>
      </w:r>
      <w:r>
        <w:rPr>
          <w:rFonts w:hint="eastAsia"/>
          <w:color w:val="auto"/>
          <w:highlight w:val="none"/>
          <w:u w:val="none"/>
          <w:lang w:eastAsia="zh-CN"/>
        </w:rPr>
        <w:t>福州江阴港城经济区</w:t>
      </w:r>
      <w:r>
        <w:rPr>
          <w:rFonts w:hint="eastAsia"/>
          <w:color w:val="auto"/>
          <w:highlight w:val="none"/>
          <w:u w:val="none"/>
        </w:rPr>
        <w:t>西部工业区规划地块内，总用地16hm</w:t>
      </w:r>
      <w:r>
        <w:rPr>
          <w:rFonts w:hint="eastAsia"/>
          <w:color w:val="auto"/>
          <w:highlight w:val="none"/>
          <w:u w:val="none"/>
          <w:vertAlign w:val="superscript"/>
        </w:rPr>
        <w:t>2</w:t>
      </w:r>
      <w:r>
        <w:rPr>
          <w:rFonts w:hint="eastAsia"/>
          <w:color w:val="auto"/>
          <w:highlight w:val="none"/>
          <w:u w:val="none"/>
        </w:rPr>
        <w:t>，总设计规模12万m</w:t>
      </w:r>
      <w:r>
        <w:rPr>
          <w:rFonts w:hint="eastAsia"/>
          <w:color w:val="auto"/>
          <w:highlight w:val="none"/>
          <w:u w:val="none"/>
          <w:vertAlign w:val="superscript"/>
        </w:rPr>
        <w:t>3</w:t>
      </w:r>
      <w:r>
        <w:rPr>
          <w:rFonts w:hint="eastAsia"/>
          <w:color w:val="auto"/>
          <w:highlight w:val="none"/>
          <w:u w:val="none"/>
        </w:rPr>
        <w:t>/d，分期建设，近期4万m</w:t>
      </w:r>
      <w:r>
        <w:rPr>
          <w:rFonts w:hint="eastAsia"/>
          <w:color w:val="auto"/>
          <w:highlight w:val="none"/>
          <w:u w:val="none"/>
          <w:vertAlign w:val="superscript"/>
        </w:rPr>
        <w:t>3</w:t>
      </w:r>
      <w:r>
        <w:rPr>
          <w:rFonts w:hint="eastAsia"/>
          <w:color w:val="auto"/>
          <w:highlight w:val="none"/>
          <w:u w:val="none"/>
        </w:rPr>
        <w:t>/d、中期8万m</w:t>
      </w:r>
      <w:r>
        <w:rPr>
          <w:rFonts w:hint="eastAsia"/>
          <w:color w:val="auto"/>
          <w:highlight w:val="none"/>
          <w:u w:val="none"/>
          <w:vertAlign w:val="superscript"/>
        </w:rPr>
        <w:t>3</w:t>
      </w:r>
      <w:r>
        <w:rPr>
          <w:rFonts w:hint="eastAsia"/>
          <w:color w:val="auto"/>
          <w:highlight w:val="none"/>
          <w:u w:val="none"/>
        </w:rPr>
        <w:t>/d、远期12万m</w:t>
      </w:r>
      <w:r>
        <w:rPr>
          <w:rFonts w:hint="eastAsia"/>
          <w:color w:val="auto"/>
          <w:highlight w:val="none"/>
          <w:u w:val="none"/>
          <w:vertAlign w:val="superscript"/>
        </w:rPr>
        <w:t>3</w:t>
      </w:r>
      <w:r>
        <w:rPr>
          <w:rFonts w:hint="eastAsia"/>
          <w:color w:val="auto"/>
          <w:highlight w:val="none"/>
          <w:u w:val="none"/>
        </w:rPr>
        <w:t>/d。近期4万m</w:t>
      </w:r>
      <w:r>
        <w:rPr>
          <w:rFonts w:hint="eastAsia"/>
          <w:color w:val="auto"/>
          <w:highlight w:val="none"/>
          <w:u w:val="none"/>
          <w:vertAlign w:val="superscript"/>
        </w:rPr>
        <w:t>3</w:t>
      </w:r>
      <w:r>
        <w:rPr>
          <w:rFonts w:hint="eastAsia"/>
          <w:color w:val="auto"/>
          <w:highlight w:val="none"/>
          <w:u w:val="none"/>
        </w:rPr>
        <w:t>/d工程分两期建设，污水处理厂一、二期工程污水规模均为2万m</w:t>
      </w:r>
      <w:r>
        <w:rPr>
          <w:rFonts w:hint="eastAsia"/>
          <w:color w:val="auto"/>
          <w:highlight w:val="none"/>
          <w:u w:val="none"/>
          <w:vertAlign w:val="superscript"/>
        </w:rPr>
        <w:t>3</w:t>
      </w:r>
      <w:r>
        <w:rPr>
          <w:rFonts w:hint="eastAsia"/>
          <w:color w:val="auto"/>
          <w:highlight w:val="none"/>
          <w:u w:val="none"/>
        </w:rPr>
        <w:t>/d。</w:t>
      </w:r>
    </w:p>
    <w:p w14:paraId="0D265938">
      <w:pPr>
        <w:snapToGrid w:val="0"/>
        <w:rPr>
          <w:rFonts w:hint="eastAsia"/>
          <w:color w:val="auto"/>
          <w:highlight w:val="none"/>
          <w:u w:val="none"/>
        </w:rPr>
      </w:pPr>
      <w:r>
        <w:rPr>
          <w:rFonts w:hint="eastAsia"/>
          <w:color w:val="auto"/>
          <w:highlight w:val="none"/>
          <w:u w:val="none"/>
          <w:lang w:eastAsia="zh-CN"/>
        </w:rPr>
        <w:t>福州江阴港城经济区</w:t>
      </w:r>
      <w:r>
        <w:rPr>
          <w:rFonts w:hint="eastAsia"/>
          <w:color w:val="auto"/>
          <w:highlight w:val="none"/>
          <w:u w:val="none"/>
        </w:rPr>
        <w:t>污水处理厂现阶段规模和建设情况：工业区污水处理厂一阶段规模2万m</w:t>
      </w:r>
      <w:r>
        <w:rPr>
          <w:rFonts w:hint="eastAsia"/>
          <w:color w:val="auto"/>
          <w:highlight w:val="none"/>
          <w:u w:val="none"/>
          <w:vertAlign w:val="superscript"/>
        </w:rPr>
        <w:t>3</w:t>
      </w:r>
      <w:r>
        <w:rPr>
          <w:rFonts w:hint="eastAsia"/>
          <w:color w:val="auto"/>
          <w:highlight w:val="none"/>
          <w:u w:val="none"/>
        </w:rPr>
        <w:t>/d，2009年3月建成投入生产，二阶段工程规模2万m</w:t>
      </w:r>
      <w:r>
        <w:rPr>
          <w:rFonts w:hint="eastAsia"/>
          <w:color w:val="auto"/>
          <w:highlight w:val="none"/>
          <w:u w:val="none"/>
          <w:vertAlign w:val="superscript"/>
        </w:rPr>
        <w:t>3</w:t>
      </w:r>
      <w:r>
        <w:rPr>
          <w:rFonts w:hint="eastAsia"/>
          <w:color w:val="auto"/>
          <w:highlight w:val="none"/>
          <w:u w:val="none"/>
        </w:rPr>
        <w:t>/d已于2012年4月建成。一期工程于2011年11月通过福建省环保厅验收，一期提标及二期工程已于2015年11月26日通过福州市环保局验收。2019年8月对4万m</w:t>
      </w:r>
      <w:r>
        <w:rPr>
          <w:rFonts w:hint="eastAsia"/>
          <w:color w:val="auto"/>
          <w:highlight w:val="none"/>
          <w:u w:val="none"/>
          <w:vertAlign w:val="superscript"/>
        </w:rPr>
        <w:t>3</w:t>
      </w:r>
      <w:r>
        <w:rPr>
          <w:rFonts w:hint="eastAsia"/>
          <w:color w:val="auto"/>
          <w:highlight w:val="none"/>
          <w:u w:val="none"/>
        </w:rPr>
        <w:t>/d工程规模进行提标改造，尾水排放达到《城镇污水处理厂污染物排放标准》（GB18918-2002）一级A标准。</w:t>
      </w:r>
    </w:p>
    <w:p w14:paraId="133962EF">
      <w:pPr>
        <w:snapToGrid w:val="0"/>
        <w:rPr>
          <w:rFonts w:hint="eastAsia"/>
          <w:color w:val="auto"/>
          <w:highlight w:val="none"/>
          <w:u w:val="none"/>
        </w:rPr>
      </w:pPr>
      <w:r>
        <w:rPr>
          <w:rFonts w:hint="eastAsia"/>
          <w:color w:val="auto"/>
          <w:highlight w:val="none"/>
          <w:u w:val="none"/>
        </w:rPr>
        <w:t>目前，</w:t>
      </w:r>
      <w:r>
        <w:rPr>
          <w:rFonts w:hint="eastAsia"/>
          <w:color w:val="auto"/>
          <w:highlight w:val="none"/>
          <w:u w:val="none"/>
          <w:lang w:eastAsia="zh-CN"/>
        </w:rPr>
        <w:t>福州江阴港城经济区</w:t>
      </w:r>
      <w:r>
        <w:rPr>
          <w:rFonts w:hint="eastAsia"/>
          <w:color w:val="auto"/>
          <w:highlight w:val="none"/>
          <w:u w:val="none"/>
        </w:rPr>
        <w:t>污水处理厂现状工程服务范围包括江阴工业区启动区块新江公路以西，现状海岸线以东，港口以北，福兴制药厂以南地块，面积约4.4km</w:t>
      </w:r>
      <w:r>
        <w:rPr>
          <w:rFonts w:hint="eastAsia"/>
          <w:color w:val="auto"/>
          <w:highlight w:val="none"/>
          <w:u w:val="none"/>
          <w:vertAlign w:val="superscript"/>
        </w:rPr>
        <w:t>2</w:t>
      </w:r>
      <w:r>
        <w:rPr>
          <w:rFonts w:hint="eastAsia"/>
          <w:color w:val="auto"/>
          <w:highlight w:val="none"/>
          <w:u w:val="none"/>
        </w:rPr>
        <w:t>；福州市保税港区福清出口加工区围网内3km</w:t>
      </w:r>
      <w:r>
        <w:rPr>
          <w:rFonts w:hint="eastAsia"/>
          <w:color w:val="auto"/>
          <w:highlight w:val="none"/>
          <w:u w:val="none"/>
          <w:vertAlign w:val="superscript"/>
        </w:rPr>
        <w:t>2</w:t>
      </w:r>
      <w:r>
        <w:rPr>
          <w:rFonts w:hint="eastAsia"/>
          <w:color w:val="auto"/>
          <w:highlight w:val="none"/>
          <w:u w:val="none"/>
        </w:rPr>
        <w:t>的工业废水及生活污水，及周边的新厝、江阴两镇部分生活污水。总服务面积19.15km</w:t>
      </w:r>
      <w:r>
        <w:rPr>
          <w:rFonts w:hint="eastAsia"/>
          <w:color w:val="auto"/>
          <w:highlight w:val="none"/>
          <w:u w:val="none"/>
          <w:vertAlign w:val="superscript"/>
        </w:rPr>
        <w:t>2</w:t>
      </w:r>
      <w:r>
        <w:rPr>
          <w:rFonts w:hint="eastAsia"/>
          <w:color w:val="auto"/>
          <w:highlight w:val="none"/>
          <w:u w:val="none"/>
        </w:rPr>
        <w:t>。</w:t>
      </w:r>
    </w:p>
    <w:p w14:paraId="1B951709">
      <w:pPr>
        <w:pStyle w:val="4"/>
        <w:rPr>
          <w:color w:val="auto"/>
          <w:highlight w:val="none"/>
          <w:u w:val="none"/>
        </w:rPr>
      </w:pPr>
      <w:bookmarkStart w:id="448" w:name="_Toc8527"/>
      <w:r>
        <w:rPr>
          <w:rFonts w:hint="eastAsia"/>
          <w:color w:val="auto"/>
          <w:highlight w:val="none"/>
          <w:u w:val="none"/>
        </w:rPr>
        <w:t>周边污染源现状调查</w:t>
      </w:r>
      <w:bookmarkEnd w:id="448"/>
    </w:p>
    <w:p w14:paraId="41A16E30">
      <w:pPr>
        <w:pStyle w:val="981"/>
        <w:rPr>
          <w:rFonts w:hint="eastAsia"/>
          <w:color w:val="auto"/>
          <w:highlight w:val="none"/>
          <w:u w:val="none"/>
        </w:rPr>
      </w:pPr>
      <w:r>
        <w:rPr>
          <w:rFonts w:hint="eastAsia"/>
          <w:color w:val="auto"/>
          <w:highlight w:val="none"/>
          <w:u w:val="none"/>
        </w:rPr>
        <w:t>化工产业规划区域包括江阴港城经济区的西部产业区和东部产业区两大区域，西部产业区发展较为成熟，公共设施配套较为完善，以医药、盐化工、煤化工及石油化工为龙头，代表性企业包括：东南电化、耀隆化工、天辰耀隆、中景石化区、福抗药业、福兴医药等。东区目前处于发展阶段，临近港口物流园区，运输条件优越，且预留产业发展地块较为完整，适合大型石化项目远期入驻发展。江阴港城经济区内东、西部产业区入驻的企业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_Ref149666986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6.3</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color w:val="auto"/>
          <w:highlight w:val="none"/>
          <w:u w:val="none"/>
        </w:rPr>
        <w:t>。</w:t>
      </w:r>
      <w:r>
        <w:rPr>
          <w:rFonts w:hint="eastAsia"/>
          <w:color w:val="auto"/>
          <w:highlight w:val="none"/>
          <w:u w:val="none"/>
        </w:rPr>
        <w:t>江阴港城经济区</w:t>
      </w:r>
      <w:r>
        <w:rPr>
          <w:color w:val="auto"/>
          <w:highlight w:val="none"/>
          <w:u w:val="none"/>
        </w:rPr>
        <w:t>东、西产业片区污染源的产生情况及特点主要表现在以下几方面：</w:t>
      </w:r>
    </w:p>
    <w:p w14:paraId="690D10EF">
      <w:pPr>
        <w:pStyle w:val="981"/>
        <w:rPr>
          <w:rFonts w:hint="eastAsia"/>
          <w:color w:val="auto"/>
          <w:highlight w:val="none"/>
          <w:u w:val="none"/>
        </w:rPr>
      </w:pPr>
      <w:r>
        <w:rPr>
          <w:rFonts w:hint="eastAsia"/>
          <w:color w:val="auto"/>
          <w:highlight w:val="none"/>
          <w:u w:val="none"/>
        </w:rPr>
        <w:t>（</w:t>
      </w:r>
      <w:r>
        <w:rPr>
          <w:color w:val="auto"/>
          <w:highlight w:val="none"/>
          <w:u w:val="none"/>
        </w:rPr>
        <w:t>1）大气污染源</w:t>
      </w:r>
    </w:p>
    <w:p w14:paraId="354F9770">
      <w:pPr>
        <w:pStyle w:val="981"/>
        <w:rPr>
          <w:rFonts w:hint="eastAsia"/>
          <w:color w:val="auto"/>
          <w:highlight w:val="none"/>
          <w:u w:val="none"/>
        </w:rPr>
      </w:pPr>
      <w:r>
        <w:rPr>
          <w:rFonts w:hint="eastAsia"/>
          <w:color w:val="auto"/>
          <w:highlight w:val="none"/>
          <w:u w:val="none"/>
        </w:rPr>
        <w:t>现有的大气污染源主要有江阴国电锅炉烟气、各类工业企业产生的工艺废气和恶臭气体，主要来自于制药、化工、污水处理厂等，其主要特征污染物包括臭气</w:t>
      </w:r>
      <w:r>
        <w:rPr>
          <w:color w:val="auto"/>
          <w:highlight w:val="none"/>
          <w:u w:val="none"/>
        </w:rPr>
        <w:t>(综合指标)、氨、硫化氢、酸雾、甲醛、DMF、非甲烷总烃、“三苯”废气以及化工企业的特征污染物等。</w:t>
      </w:r>
    </w:p>
    <w:p w14:paraId="49716BC5">
      <w:pPr>
        <w:pStyle w:val="981"/>
        <w:rPr>
          <w:rFonts w:hint="eastAsia"/>
          <w:color w:val="auto"/>
          <w:highlight w:val="none"/>
          <w:u w:val="none"/>
        </w:rPr>
      </w:pPr>
      <w:r>
        <w:rPr>
          <w:rFonts w:hint="eastAsia"/>
          <w:color w:val="auto"/>
          <w:highlight w:val="none"/>
          <w:u w:val="none"/>
        </w:rPr>
        <w:t>（</w:t>
      </w:r>
      <w:r>
        <w:rPr>
          <w:color w:val="auto"/>
          <w:highlight w:val="none"/>
          <w:u w:val="none"/>
        </w:rPr>
        <w:t>2）废水污染源</w:t>
      </w:r>
    </w:p>
    <w:p w14:paraId="1F40345E">
      <w:pPr>
        <w:pStyle w:val="981"/>
        <w:rPr>
          <w:rFonts w:hint="eastAsia"/>
          <w:color w:val="auto"/>
          <w:highlight w:val="none"/>
          <w:u w:val="none"/>
        </w:rPr>
      </w:pPr>
      <w:r>
        <w:rPr>
          <w:rFonts w:hint="eastAsia"/>
          <w:color w:val="auto"/>
          <w:highlight w:val="none"/>
          <w:u w:val="none"/>
        </w:rPr>
        <w:t>西部产业区现有医药、化工、化肥、废塑料加工、食品、仓储等，目前区内大部分投产企业的生产、生活污水已接入污水管网进入江阴污水处理厂处理，部分在建企业也已接入污水管网。</w:t>
      </w:r>
    </w:p>
    <w:p w14:paraId="7D25BEC8">
      <w:pPr>
        <w:pStyle w:val="981"/>
        <w:rPr>
          <w:rFonts w:hint="eastAsia"/>
          <w:color w:val="auto"/>
          <w:highlight w:val="none"/>
          <w:u w:val="none"/>
        </w:rPr>
      </w:pPr>
      <w:r>
        <w:rPr>
          <w:rFonts w:hint="eastAsia"/>
          <w:color w:val="auto"/>
          <w:highlight w:val="none"/>
          <w:u w:val="none"/>
        </w:rPr>
        <w:t>（</w:t>
      </w:r>
      <w:r>
        <w:rPr>
          <w:color w:val="auto"/>
          <w:highlight w:val="none"/>
          <w:u w:val="none"/>
        </w:rPr>
        <w:t>3）工业固体废物</w:t>
      </w:r>
    </w:p>
    <w:p w14:paraId="2C14E72F">
      <w:pPr>
        <w:pStyle w:val="981"/>
        <w:rPr>
          <w:rFonts w:hint="eastAsia"/>
          <w:color w:val="auto"/>
          <w:highlight w:val="none"/>
          <w:u w:val="none"/>
        </w:rPr>
        <w:sectPr>
          <w:pgSz w:w="11906" w:h="16838"/>
          <w:pgMar w:top="1440" w:right="1800" w:bottom="1440" w:left="1800" w:header="851" w:footer="992" w:gutter="0"/>
          <w:cols w:space="425" w:num="1"/>
          <w:docGrid w:type="lines" w:linePitch="312" w:charSpace="0"/>
        </w:sectPr>
      </w:pPr>
      <w:r>
        <w:rPr>
          <w:rFonts w:hint="eastAsia"/>
          <w:color w:val="auto"/>
          <w:highlight w:val="none"/>
          <w:u w:val="none"/>
        </w:rPr>
        <w:t>一般工业固废主要是锅炉煤渣、电厂粉煤灰、污水站污泥、废包装物及边角料等，企业通过回收利用或外售进行综合处置。危险废物主要是菌丝渣、废活性炭、废残渣、废油漆桶、废包装材料、废机油、废催化剂、废残液等，由各企业委托有资质的危险废物处理场进行处置。</w:t>
      </w:r>
    </w:p>
    <w:p w14:paraId="42CEF877">
      <w:pPr>
        <w:pStyle w:val="3"/>
        <w:rPr>
          <w:rFonts w:hint="eastAsia"/>
          <w:color w:val="auto"/>
          <w:highlight w:val="none"/>
          <w:u w:val="none"/>
        </w:rPr>
      </w:pPr>
      <w:bookmarkStart w:id="449" w:name="_Toc148374587"/>
      <w:bookmarkStart w:id="450" w:name="_Toc26879"/>
      <w:bookmarkStart w:id="451" w:name="_Toc148374809"/>
      <w:bookmarkStart w:id="452" w:name="_Toc148375029"/>
      <w:r>
        <w:rPr>
          <w:rFonts w:hint="eastAsia"/>
          <w:color w:val="auto"/>
          <w:highlight w:val="none"/>
          <w:u w:val="none"/>
        </w:rPr>
        <w:t>环境质量现状调查与评价</w:t>
      </w:r>
      <w:bookmarkEnd w:id="449"/>
      <w:bookmarkEnd w:id="450"/>
      <w:bookmarkEnd w:id="451"/>
      <w:bookmarkEnd w:id="452"/>
    </w:p>
    <w:p w14:paraId="40600AFA">
      <w:pPr>
        <w:ind w:firstLine="0" w:firstLineChars="0"/>
        <w:rPr>
          <w:rFonts w:hint="eastAsia"/>
          <w:color w:val="auto"/>
          <w:sz w:val="21"/>
          <w:szCs w:val="21"/>
          <w:highlight w:val="none"/>
          <w:u w:val="none"/>
          <w:lang w:val="en-US"/>
        </w:rPr>
      </w:pPr>
      <w:r>
        <w:rPr>
          <w:rFonts w:hint="eastAsia"/>
          <w:color w:val="auto"/>
          <w:highlight w:val="none"/>
          <w:u w:val="none"/>
          <w:lang w:val="en-US" w:eastAsia="zh-CN"/>
        </w:rPr>
        <w:t>涉密删除</w:t>
      </w:r>
      <w:r>
        <w:rPr>
          <w:rFonts w:hint="eastAsia"/>
          <w:color w:val="auto"/>
          <w:sz w:val="21"/>
          <w:szCs w:val="21"/>
          <w:highlight w:val="none"/>
          <w:u w:val="none"/>
          <w:lang w:val="en-US"/>
        </w:rPr>
        <w:t>。</w:t>
      </w:r>
    </w:p>
    <w:p w14:paraId="3F91ED91">
      <w:pPr>
        <w:rPr>
          <w:rFonts w:hint="eastAsia"/>
          <w:color w:val="auto"/>
          <w:highlight w:val="none"/>
          <w:u w:val="none"/>
        </w:rPr>
      </w:pPr>
    </w:p>
    <w:p w14:paraId="5C5397DC">
      <w:pPr>
        <w:pStyle w:val="3"/>
        <w:spacing w:before="120" w:after="120"/>
        <w:rPr>
          <w:rFonts w:hint="eastAsia"/>
          <w:color w:val="auto"/>
          <w:highlight w:val="none"/>
          <w:u w:val="none"/>
        </w:rPr>
      </w:pPr>
      <w:bookmarkStart w:id="453" w:name="_Toc4409"/>
      <w:bookmarkStart w:id="454" w:name="_Toc148375038"/>
      <w:bookmarkStart w:id="455" w:name="_Toc148374816"/>
      <w:bookmarkStart w:id="456" w:name="_Toc148374596"/>
      <w:r>
        <w:rPr>
          <w:rFonts w:hint="eastAsia"/>
          <w:color w:val="auto"/>
          <w:highlight w:val="none"/>
          <w:u w:val="none"/>
        </w:rPr>
        <w:t>环境影响预测与评价</w:t>
      </w:r>
      <w:bookmarkEnd w:id="453"/>
      <w:bookmarkEnd w:id="454"/>
      <w:bookmarkEnd w:id="455"/>
      <w:bookmarkEnd w:id="456"/>
    </w:p>
    <w:p w14:paraId="0DF5B801">
      <w:pPr>
        <w:pStyle w:val="4"/>
        <w:spacing w:before="120" w:after="120"/>
        <w:rPr>
          <w:color w:val="auto"/>
          <w:highlight w:val="none"/>
          <w:u w:val="none"/>
        </w:rPr>
      </w:pPr>
      <w:bookmarkStart w:id="457" w:name="_Toc49547313"/>
      <w:bookmarkStart w:id="458" w:name="_Toc46944355"/>
      <w:bookmarkStart w:id="459" w:name="_Toc48988399"/>
      <w:bookmarkStart w:id="460" w:name="_Toc60328186"/>
      <w:bookmarkStart w:id="461" w:name="_Toc15371"/>
      <w:bookmarkStart w:id="462" w:name="_Toc5330"/>
      <w:r>
        <w:rPr>
          <w:rFonts w:eastAsia="楷体"/>
          <w:color w:val="auto"/>
          <w:highlight w:val="none"/>
          <w:u w:val="none"/>
        </w:rPr>
        <w:t>大气环境影响预测与评价</w:t>
      </w:r>
      <w:bookmarkEnd w:id="457"/>
      <w:bookmarkEnd w:id="458"/>
      <w:bookmarkEnd w:id="459"/>
      <w:bookmarkEnd w:id="460"/>
      <w:bookmarkEnd w:id="461"/>
      <w:bookmarkEnd w:id="462"/>
    </w:p>
    <w:p w14:paraId="6636AC09">
      <w:pPr>
        <w:pStyle w:val="6"/>
        <w:spacing w:before="120" w:after="120"/>
        <w:rPr>
          <w:color w:val="auto"/>
          <w:highlight w:val="none"/>
          <w:u w:val="none"/>
        </w:rPr>
      </w:pPr>
      <w:bookmarkStart w:id="463" w:name="_Toc529539808"/>
      <w:bookmarkEnd w:id="463"/>
      <w:bookmarkStart w:id="464" w:name="_Toc32065066"/>
      <w:bookmarkStart w:id="465" w:name="_Toc23522029"/>
      <w:r>
        <w:rPr>
          <w:color w:val="auto"/>
          <w:highlight w:val="none"/>
          <w:u w:val="none"/>
        </w:rPr>
        <w:t>预测气象站资料</w:t>
      </w:r>
    </w:p>
    <w:p w14:paraId="60D9D54D">
      <w:pPr>
        <w:pStyle w:val="6"/>
        <w:spacing w:before="120" w:after="120"/>
        <w:rPr>
          <w:color w:val="auto"/>
          <w:highlight w:val="none"/>
          <w:u w:val="none"/>
        </w:rPr>
      </w:pPr>
      <w:r>
        <w:rPr>
          <w:color w:val="auto"/>
          <w:highlight w:val="none"/>
          <w:u w:val="none"/>
        </w:rPr>
        <w:t>区域风场情况</w:t>
      </w:r>
    </w:p>
    <w:bookmarkEnd w:id="464"/>
    <w:p w14:paraId="7007E638">
      <w:pPr>
        <w:pStyle w:val="6"/>
        <w:spacing w:before="120" w:after="120"/>
        <w:rPr>
          <w:color w:val="auto"/>
          <w:highlight w:val="none"/>
          <w:u w:val="none"/>
        </w:rPr>
      </w:pPr>
      <w:r>
        <w:rPr>
          <w:color w:val="auto"/>
          <w:highlight w:val="none"/>
          <w:u w:val="none"/>
        </w:rPr>
        <w:t>大气环境影响预测</w:t>
      </w:r>
      <w:bookmarkEnd w:id="465"/>
    </w:p>
    <w:p w14:paraId="7A17F40B">
      <w:pPr>
        <w:pStyle w:val="75"/>
        <w:adjustRightInd w:val="0"/>
        <w:snapToGrid w:val="0"/>
        <w:rPr>
          <w:rFonts w:hint="eastAsia"/>
          <w:color w:val="auto"/>
          <w:highlight w:val="none"/>
          <w:u w:val="none"/>
        </w:rPr>
      </w:pPr>
      <w:r>
        <w:rPr>
          <w:color w:val="auto"/>
          <w:highlight w:val="none"/>
          <w:u w:val="none"/>
        </w:rPr>
        <w:t>（1）预测方法</w:t>
      </w:r>
    </w:p>
    <w:p w14:paraId="03FA3406">
      <w:pPr>
        <w:pStyle w:val="75"/>
        <w:adjustRightInd w:val="0"/>
        <w:snapToGrid w:val="0"/>
        <w:rPr>
          <w:rFonts w:hint="eastAsia"/>
          <w:color w:val="auto"/>
          <w:highlight w:val="none"/>
          <w:u w:val="none"/>
        </w:rPr>
      </w:pPr>
      <w:r>
        <w:rPr>
          <w:color w:val="auto"/>
          <w:highlight w:val="none"/>
          <w:u w:val="none"/>
        </w:rPr>
        <w:t>以工程分析核算的大气污染源排放量为依据，采取多源叠加预测法，预测大气污染物的浓度分布，评估空气质量是否能满足环境目标。</w:t>
      </w:r>
    </w:p>
    <w:p w14:paraId="30AA7E8E">
      <w:pPr>
        <w:pStyle w:val="75"/>
        <w:adjustRightInd w:val="0"/>
        <w:snapToGrid w:val="0"/>
        <w:rPr>
          <w:rFonts w:hint="eastAsia"/>
          <w:color w:val="auto"/>
          <w:highlight w:val="none"/>
          <w:u w:val="none"/>
        </w:rPr>
      </w:pPr>
      <w:r>
        <w:rPr>
          <w:color w:val="auto"/>
          <w:highlight w:val="none"/>
          <w:u w:val="none"/>
        </w:rPr>
        <w:t>（2）预测内容</w:t>
      </w:r>
    </w:p>
    <w:p w14:paraId="1E1B3478">
      <w:pPr>
        <w:pStyle w:val="75"/>
        <w:adjustRightInd w:val="0"/>
        <w:snapToGrid w:val="0"/>
        <w:rPr>
          <w:rFonts w:hint="eastAsia"/>
          <w:color w:val="auto"/>
          <w:highlight w:val="none"/>
          <w:u w:val="none"/>
        </w:rPr>
      </w:pPr>
      <w:r>
        <w:rPr>
          <w:color w:val="auto"/>
          <w:highlight w:val="none"/>
          <w:u w:val="none"/>
        </w:rPr>
        <w:t>本次预测因子：TDA、NMHC、DNT、</w:t>
      </w:r>
      <w:r>
        <w:rPr>
          <w:rFonts w:hint="eastAsia"/>
          <w:color w:val="auto"/>
          <w:highlight w:val="none"/>
          <w:u w:val="none"/>
        </w:rPr>
        <w:t>ODCB</w:t>
      </w:r>
      <w:r>
        <w:rPr>
          <w:color w:val="auto"/>
          <w:highlight w:val="none"/>
          <w:u w:val="none"/>
        </w:rPr>
        <w:t>、甲苯、Cl</w:t>
      </w:r>
      <w:r>
        <w:rPr>
          <w:color w:val="auto"/>
          <w:highlight w:val="none"/>
          <w:u w:val="none"/>
          <w:vertAlign w:val="subscript"/>
        </w:rPr>
        <w:t>2</w:t>
      </w:r>
      <w:r>
        <w:rPr>
          <w:color w:val="auto"/>
          <w:highlight w:val="none"/>
          <w:u w:val="none"/>
        </w:rPr>
        <w:t>、HCl、光气</w:t>
      </w:r>
      <w:r>
        <w:rPr>
          <w:rFonts w:hint="eastAsia"/>
          <w:color w:val="auto"/>
          <w:highlight w:val="none"/>
          <w:u w:val="none"/>
        </w:rPr>
        <w:t>、PM</w:t>
      </w:r>
      <w:r>
        <w:rPr>
          <w:rFonts w:hint="eastAsia"/>
          <w:color w:val="auto"/>
          <w:highlight w:val="none"/>
          <w:u w:val="none"/>
          <w:vertAlign w:val="subscript"/>
        </w:rPr>
        <w:t>10</w:t>
      </w:r>
      <w:r>
        <w:rPr>
          <w:rFonts w:hint="eastAsia"/>
          <w:color w:val="auto"/>
          <w:highlight w:val="none"/>
          <w:u w:val="none"/>
        </w:rPr>
        <w:t>和PM</w:t>
      </w:r>
      <w:r>
        <w:rPr>
          <w:rFonts w:hint="eastAsia"/>
          <w:color w:val="auto"/>
          <w:highlight w:val="none"/>
          <w:u w:val="none"/>
          <w:vertAlign w:val="subscript"/>
        </w:rPr>
        <w:t>2.5</w:t>
      </w:r>
      <w:r>
        <w:rPr>
          <w:color w:val="auto"/>
          <w:highlight w:val="none"/>
          <w:u w:val="none"/>
        </w:rPr>
        <w:t>。</w:t>
      </w:r>
    </w:p>
    <w:p w14:paraId="14B8B251">
      <w:pPr>
        <w:pStyle w:val="75"/>
        <w:adjustRightInd w:val="0"/>
        <w:snapToGrid w:val="0"/>
        <w:rPr>
          <w:rFonts w:hint="eastAsia"/>
          <w:color w:val="auto"/>
          <w:highlight w:val="none"/>
          <w:u w:val="none"/>
        </w:rPr>
      </w:pPr>
      <w:r>
        <w:rPr>
          <w:color w:val="auto"/>
          <w:highlight w:val="none"/>
          <w:u w:val="none"/>
        </w:rPr>
        <w:t>（3）预测情景</w:t>
      </w:r>
    </w:p>
    <w:p w14:paraId="0C9D9549">
      <w:pPr>
        <w:pStyle w:val="988"/>
        <w:adjustRightInd w:val="0"/>
        <w:snapToGrid w:val="0"/>
        <w:ind w:firstLine="480"/>
        <w:rPr>
          <w:color w:val="auto"/>
          <w:highlight w:val="none"/>
          <w:u w:val="none"/>
        </w:rPr>
      </w:pPr>
      <w:r>
        <w:rPr>
          <w:color w:val="auto"/>
          <w:highlight w:val="none"/>
          <w:u w:val="none"/>
        </w:rPr>
        <w:t>本项目所在区域为达标区。根据《环境影响评价技术导则 大气环境》HJ2.2-2018推荐预测情景，本次预测内容及设定的情景见</w:t>
      </w:r>
      <w:r>
        <w:rPr>
          <w:color w:val="auto"/>
          <w:highlight w:val="none"/>
          <w:u w:val="none"/>
        </w:rPr>
        <w:fldChar w:fldCharType="begin"/>
      </w:r>
      <w:r>
        <w:rPr>
          <w:color w:val="auto"/>
          <w:highlight w:val="none"/>
          <w:u w:val="none"/>
        </w:rPr>
        <w:instrText xml:space="preserve"> REF _Ref149229758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6</w:t>
      </w:r>
      <w:r>
        <w:rPr>
          <w:color w:val="auto"/>
          <w:highlight w:val="none"/>
          <w:u w:val="none"/>
        </w:rPr>
        <w:fldChar w:fldCharType="end"/>
      </w:r>
      <w:r>
        <w:rPr>
          <w:color w:val="auto"/>
          <w:highlight w:val="none"/>
          <w:u w:val="none"/>
        </w:rPr>
        <w:t>。</w:t>
      </w:r>
    </w:p>
    <w:p w14:paraId="1474CC6B">
      <w:pPr>
        <w:pStyle w:val="85"/>
        <w:rPr>
          <w:color w:val="auto"/>
          <w:highlight w:val="none"/>
          <w:u w:val="none"/>
        </w:rPr>
      </w:pPr>
      <w:bookmarkStart w:id="466" w:name="_Ref38465517"/>
      <w:bookmarkEnd w:id="466"/>
      <w:bookmarkStart w:id="467" w:name="_Ref14922975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6</w:t>
      </w:r>
      <w:r>
        <w:rPr>
          <w:color w:val="auto"/>
          <w:highlight w:val="none"/>
          <w:u w:val="none"/>
        </w:rPr>
        <w:fldChar w:fldCharType="end"/>
      </w:r>
      <w:bookmarkEnd w:id="467"/>
      <w:r>
        <w:rPr>
          <w:color w:val="auto"/>
          <w:highlight w:val="none"/>
          <w:u w:val="none"/>
        </w:rPr>
        <w:t xml:space="preserve">  预测内容和评价内容</w:t>
      </w:r>
    </w:p>
    <w:tbl>
      <w:tblPr>
        <w:tblStyle w:val="58"/>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26"/>
        <w:gridCol w:w="1339"/>
        <w:gridCol w:w="1192"/>
        <w:gridCol w:w="2892"/>
        <w:gridCol w:w="1858"/>
      </w:tblGrid>
      <w:tr w14:paraId="30CAC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5FD2CF81">
            <w:pPr>
              <w:pStyle w:val="92"/>
              <w:rPr>
                <w:color w:val="auto"/>
                <w:highlight w:val="none"/>
                <w:u w:val="none"/>
              </w:rPr>
            </w:pPr>
            <w:r>
              <w:rPr>
                <w:color w:val="auto"/>
                <w:highlight w:val="none"/>
                <w:u w:val="none"/>
              </w:rPr>
              <w:t>污染源</w:t>
            </w:r>
          </w:p>
        </w:tc>
        <w:tc>
          <w:tcPr>
            <w:tcW w:w="704" w:type="pct"/>
            <w:vAlign w:val="center"/>
          </w:tcPr>
          <w:p w14:paraId="356F6F44">
            <w:pPr>
              <w:pStyle w:val="92"/>
              <w:rPr>
                <w:color w:val="auto"/>
                <w:highlight w:val="none"/>
                <w:u w:val="none"/>
              </w:rPr>
            </w:pPr>
            <w:r>
              <w:rPr>
                <w:color w:val="auto"/>
                <w:highlight w:val="none"/>
                <w:u w:val="none"/>
              </w:rPr>
              <w:t>污染源排放形式</w:t>
            </w:r>
          </w:p>
        </w:tc>
        <w:tc>
          <w:tcPr>
            <w:tcW w:w="627" w:type="pct"/>
            <w:vAlign w:val="center"/>
          </w:tcPr>
          <w:p w14:paraId="0F0C50A8">
            <w:pPr>
              <w:pStyle w:val="92"/>
              <w:rPr>
                <w:color w:val="auto"/>
                <w:highlight w:val="none"/>
                <w:u w:val="none"/>
              </w:rPr>
            </w:pPr>
            <w:r>
              <w:rPr>
                <w:color w:val="auto"/>
                <w:highlight w:val="none"/>
                <w:u w:val="none"/>
              </w:rPr>
              <w:t>预测内容</w:t>
            </w:r>
          </w:p>
        </w:tc>
        <w:tc>
          <w:tcPr>
            <w:tcW w:w="1521" w:type="pct"/>
            <w:vAlign w:val="center"/>
          </w:tcPr>
          <w:p w14:paraId="667F0569">
            <w:pPr>
              <w:pStyle w:val="92"/>
              <w:rPr>
                <w:color w:val="auto"/>
                <w:highlight w:val="none"/>
                <w:u w:val="none"/>
              </w:rPr>
            </w:pPr>
            <w:r>
              <w:rPr>
                <w:color w:val="auto"/>
                <w:highlight w:val="none"/>
                <w:u w:val="none"/>
              </w:rPr>
              <w:t>预测因子</w:t>
            </w:r>
          </w:p>
        </w:tc>
        <w:tc>
          <w:tcPr>
            <w:tcW w:w="977" w:type="pct"/>
            <w:vAlign w:val="center"/>
          </w:tcPr>
          <w:p w14:paraId="31FF78D1">
            <w:pPr>
              <w:pStyle w:val="92"/>
              <w:rPr>
                <w:color w:val="auto"/>
                <w:highlight w:val="none"/>
                <w:u w:val="none"/>
              </w:rPr>
            </w:pPr>
            <w:r>
              <w:rPr>
                <w:color w:val="auto"/>
                <w:highlight w:val="none"/>
                <w:u w:val="none"/>
              </w:rPr>
              <w:t>评价内容</w:t>
            </w:r>
          </w:p>
        </w:tc>
      </w:tr>
      <w:tr w14:paraId="6DD6C8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6DDEE6B5">
            <w:pPr>
              <w:pStyle w:val="92"/>
              <w:rPr>
                <w:color w:val="auto"/>
                <w:highlight w:val="none"/>
                <w:u w:val="none"/>
              </w:rPr>
            </w:pPr>
            <w:r>
              <w:rPr>
                <w:color w:val="auto"/>
                <w:highlight w:val="none"/>
                <w:u w:val="none"/>
              </w:rPr>
              <w:t>新增污染源</w:t>
            </w:r>
          </w:p>
        </w:tc>
        <w:tc>
          <w:tcPr>
            <w:tcW w:w="704" w:type="pct"/>
            <w:vAlign w:val="center"/>
          </w:tcPr>
          <w:p w14:paraId="1B45AEC8">
            <w:pPr>
              <w:pStyle w:val="92"/>
              <w:rPr>
                <w:color w:val="auto"/>
                <w:highlight w:val="none"/>
                <w:u w:val="none"/>
              </w:rPr>
            </w:pPr>
            <w:r>
              <w:rPr>
                <w:color w:val="auto"/>
                <w:highlight w:val="none"/>
                <w:u w:val="none"/>
              </w:rPr>
              <w:t>正常排放</w:t>
            </w:r>
          </w:p>
        </w:tc>
        <w:tc>
          <w:tcPr>
            <w:tcW w:w="627" w:type="pct"/>
            <w:vAlign w:val="center"/>
          </w:tcPr>
          <w:p w14:paraId="5B4F0067">
            <w:pPr>
              <w:pStyle w:val="92"/>
              <w:rPr>
                <w:color w:val="auto"/>
                <w:highlight w:val="none"/>
                <w:u w:val="none"/>
              </w:rPr>
            </w:pPr>
            <w:r>
              <w:rPr>
                <w:color w:val="auto"/>
                <w:highlight w:val="none"/>
                <w:u w:val="none"/>
              </w:rPr>
              <w:t>短期浓度</w:t>
            </w:r>
          </w:p>
        </w:tc>
        <w:tc>
          <w:tcPr>
            <w:tcW w:w="1521" w:type="pct"/>
            <w:vAlign w:val="center"/>
          </w:tcPr>
          <w:p w14:paraId="00CF4FC8">
            <w:pPr>
              <w:pStyle w:val="92"/>
              <w:rPr>
                <w:color w:val="auto"/>
                <w:highlight w:val="none"/>
                <w:u w:val="none"/>
              </w:rPr>
            </w:pPr>
            <w:r>
              <w:rPr>
                <w:color w:val="auto"/>
                <w:highlight w:val="none"/>
                <w:u w:val="none"/>
              </w:rPr>
              <w:t>TDA、NMHC、邻二氯苯、DNT、甲苯、Cl</w:t>
            </w:r>
            <w:r>
              <w:rPr>
                <w:color w:val="auto"/>
                <w:highlight w:val="none"/>
                <w:u w:val="none"/>
                <w:vertAlign w:val="subscript"/>
              </w:rPr>
              <w:t>2</w:t>
            </w:r>
            <w:r>
              <w:rPr>
                <w:color w:val="auto"/>
                <w:highlight w:val="none"/>
                <w:u w:val="none"/>
              </w:rPr>
              <w:t>、HCl、光气</w:t>
            </w:r>
            <w:r>
              <w:rPr>
                <w:rFonts w:hint="eastAsia"/>
                <w:color w:val="auto"/>
                <w:highlight w:val="none"/>
                <w:u w:val="none"/>
              </w:rPr>
              <w:t>、</w:t>
            </w:r>
            <w:r>
              <w:rPr>
                <w:rFonts w:hint="eastAsia" w:hAnsi="宋体"/>
                <w:snapToGrid w:val="0"/>
                <w:color w:val="auto"/>
                <w:kern w:val="0"/>
                <w:highlight w:val="none"/>
                <w:u w:val="none"/>
                <w:lang w:val="en-GB"/>
              </w:rPr>
              <w:t>PM</w:t>
            </w:r>
            <w:r>
              <w:rPr>
                <w:rFonts w:hint="eastAsia" w:hAnsi="宋体"/>
                <w:snapToGrid w:val="0"/>
                <w:color w:val="auto"/>
                <w:kern w:val="0"/>
                <w:highlight w:val="none"/>
                <w:u w:val="none"/>
                <w:vertAlign w:val="subscript"/>
                <w:lang w:val="en-GB"/>
              </w:rPr>
              <w:t>10</w:t>
            </w:r>
            <w:r>
              <w:rPr>
                <w:rFonts w:hint="eastAsia" w:hAnsi="宋体"/>
                <w:snapToGrid w:val="0"/>
                <w:color w:val="auto"/>
                <w:kern w:val="0"/>
                <w:highlight w:val="none"/>
                <w:u w:val="none"/>
                <w:lang w:val="en-GB"/>
              </w:rPr>
              <w:t>和PM</w:t>
            </w:r>
            <w:r>
              <w:rPr>
                <w:rFonts w:hint="eastAsia" w:hAnsi="宋体"/>
                <w:snapToGrid w:val="0"/>
                <w:color w:val="auto"/>
                <w:kern w:val="0"/>
                <w:highlight w:val="none"/>
                <w:u w:val="none"/>
                <w:vertAlign w:val="subscript"/>
                <w:lang w:val="en-GB"/>
              </w:rPr>
              <w:t>2.5</w:t>
            </w:r>
          </w:p>
        </w:tc>
        <w:tc>
          <w:tcPr>
            <w:tcW w:w="977" w:type="pct"/>
            <w:vAlign w:val="center"/>
          </w:tcPr>
          <w:p w14:paraId="2C344F66">
            <w:pPr>
              <w:pStyle w:val="92"/>
              <w:rPr>
                <w:color w:val="auto"/>
                <w:highlight w:val="none"/>
                <w:u w:val="none"/>
              </w:rPr>
            </w:pPr>
            <w:r>
              <w:rPr>
                <w:color w:val="auto"/>
                <w:highlight w:val="none"/>
                <w:u w:val="none"/>
              </w:rPr>
              <w:t>最大浓度占标率</w:t>
            </w:r>
          </w:p>
        </w:tc>
      </w:tr>
      <w:tr w14:paraId="638AD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63CA8708">
            <w:pPr>
              <w:pStyle w:val="92"/>
              <w:rPr>
                <w:color w:val="auto"/>
                <w:highlight w:val="none"/>
                <w:u w:val="none"/>
              </w:rPr>
            </w:pPr>
            <w:r>
              <w:rPr>
                <w:color w:val="auto"/>
                <w:highlight w:val="none"/>
                <w:u w:val="none"/>
              </w:rPr>
              <w:t>新增污染源+其它在建、拟建污染源-区域削减污染源</w:t>
            </w:r>
          </w:p>
        </w:tc>
        <w:tc>
          <w:tcPr>
            <w:tcW w:w="704" w:type="pct"/>
            <w:vAlign w:val="center"/>
          </w:tcPr>
          <w:p w14:paraId="6BAB18F1">
            <w:pPr>
              <w:pStyle w:val="92"/>
              <w:rPr>
                <w:color w:val="auto"/>
                <w:highlight w:val="none"/>
                <w:u w:val="none"/>
              </w:rPr>
            </w:pPr>
            <w:r>
              <w:rPr>
                <w:color w:val="auto"/>
                <w:highlight w:val="none"/>
                <w:u w:val="none"/>
              </w:rPr>
              <w:t>正常排放</w:t>
            </w:r>
          </w:p>
        </w:tc>
        <w:tc>
          <w:tcPr>
            <w:tcW w:w="627" w:type="pct"/>
            <w:vAlign w:val="center"/>
          </w:tcPr>
          <w:p w14:paraId="1DE8C9FE">
            <w:pPr>
              <w:pStyle w:val="92"/>
              <w:rPr>
                <w:color w:val="auto"/>
                <w:highlight w:val="none"/>
                <w:u w:val="none"/>
              </w:rPr>
            </w:pPr>
            <w:r>
              <w:rPr>
                <w:color w:val="auto"/>
                <w:highlight w:val="none"/>
                <w:u w:val="none"/>
              </w:rPr>
              <w:t>短期浓度</w:t>
            </w:r>
          </w:p>
        </w:tc>
        <w:tc>
          <w:tcPr>
            <w:tcW w:w="1521" w:type="pct"/>
            <w:vAlign w:val="center"/>
          </w:tcPr>
          <w:p w14:paraId="0699D33E">
            <w:pPr>
              <w:pStyle w:val="92"/>
              <w:rPr>
                <w:color w:val="auto"/>
                <w:highlight w:val="none"/>
                <w:u w:val="none"/>
              </w:rPr>
            </w:pPr>
            <w:r>
              <w:rPr>
                <w:color w:val="auto"/>
                <w:highlight w:val="none"/>
                <w:u w:val="none"/>
              </w:rPr>
              <w:t>TDA、NMHC、邻二氯苯、DNT、甲苯、Cl</w:t>
            </w:r>
            <w:r>
              <w:rPr>
                <w:color w:val="auto"/>
                <w:highlight w:val="none"/>
                <w:u w:val="none"/>
                <w:vertAlign w:val="subscript"/>
              </w:rPr>
              <w:t>2</w:t>
            </w:r>
            <w:r>
              <w:rPr>
                <w:color w:val="auto"/>
                <w:highlight w:val="none"/>
                <w:u w:val="none"/>
              </w:rPr>
              <w:t>、HCl、光气</w:t>
            </w:r>
            <w:r>
              <w:rPr>
                <w:rFonts w:hint="eastAsia"/>
                <w:color w:val="auto"/>
                <w:highlight w:val="none"/>
                <w:u w:val="none"/>
              </w:rPr>
              <w:t>、</w:t>
            </w:r>
            <w:r>
              <w:rPr>
                <w:rFonts w:hint="eastAsia" w:hAnsi="宋体"/>
                <w:snapToGrid w:val="0"/>
                <w:color w:val="auto"/>
                <w:kern w:val="0"/>
                <w:highlight w:val="none"/>
                <w:u w:val="none"/>
                <w:lang w:val="en-GB"/>
              </w:rPr>
              <w:t>PM</w:t>
            </w:r>
            <w:r>
              <w:rPr>
                <w:rFonts w:hint="eastAsia" w:hAnsi="宋体"/>
                <w:snapToGrid w:val="0"/>
                <w:color w:val="auto"/>
                <w:kern w:val="0"/>
                <w:highlight w:val="none"/>
                <w:u w:val="none"/>
                <w:vertAlign w:val="subscript"/>
                <w:lang w:val="en-GB"/>
              </w:rPr>
              <w:t>10</w:t>
            </w:r>
            <w:r>
              <w:rPr>
                <w:rFonts w:hint="eastAsia" w:hAnsi="宋体"/>
                <w:snapToGrid w:val="0"/>
                <w:color w:val="auto"/>
                <w:kern w:val="0"/>
                <w:highlight w:val="none"/>
                <w:u w:val="none"/>
                <w:lang w:val="en-GB"/>
              </w:rPr>
              <w:t>和PM</w:t>
            </w:r>
            <w:r>
              <w:rPr>
                <w:rFonts w:hint="eastAsia" w:hAnsi="宋体"/>
                <w:snapToGrid w:val="0"/>
                <w:color w:val="auto"/>
                <w:kern w:val="0"/>
                <w:highlight w:val="none"/>
                <w:u w:val="none"/>
                <w:vertAlign w:val="subscript"/>
                <w:lang w:val="en-GB"/>
              </w:rPr>
              <w:t>2.5</w:t>
            </w:r>
          </w:p>
        </w:tc>
        <w:tc>
          <w:tcPr>
            <w:tcW w:w="977" w:type="pct"/>
            <w:vAlign w:val="center"/>
          </w:tcPr>
          <w:p w14:paraId="5649AD51">
            <w:pPr>
              <w:pStyle w:val="92"/>
              <w:rPr>
                <w:color w:val="auto"/>
                <w:highlight w:val="none"/>
                <w:u w:val="none"/>
              </w:rPr>
            </w:pPr>
            <w:r>
              <w:rPr>
                <w:color w:val="auto"/>
                <w:highlight w:val="none"/>
                <w:u w:val="none"/>
              </w:rPr>
              <w:t>叠加周边在建拟建、现状以及区域削减后保证率日平均质量浓度和年平均质量浓度的占标率</w:t>
            </w:r>
          </w:p>
        </w:tc>
      </w:tr>
      <w:tr w14:paraId="103E84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600003BC">
            <w:pPr>
              <w:pStyle w:val="92"/>
              <w:rPr>
                <w:color w:val="auto"/>
                <w:highlight w:val="none"/>
                <w:u w:val="none"/>
              </w:rPr>
            </w:pPr>
            <w:r>
              <w:rPr>
                <w:color w:val="auto"/>
                <w:highlight w:val="none"/>
                <w:u w:val="none"/>
              </w:rPr>
              <w:t>新增污染源</w:t>
            </w:r>
          </w:p>
        </w:tc>
        <w:tc>
          <w:tcPr>
            <w:tcW w:w="704" w:type="pct"/>
            <w:vAlign w:val="center"/>
          </w:tcPr>
          <w:p w14:paraId="7B9C3B1B">
            <w:pPr>
              <w:pStyle w:val="92"/>
              <w:rPr>
                <w:color w:val="auto"/>
                <w:highlight w:val="none"/>
                <w:u w:val="none"/>
              </w:rPr>
            </w:pPr>
            <w:r>
              <w:rPr>
                <w:color w:val="auto"/>
                <w:highlight w:val="none"/>
                <w:u w:val="none"/>
              </w:rPr>
              <w:t>非正常排放</w:t>
            </w:r>
          </w:p>
        </w:tc>
        <w:tc>
          <w:tcPr>
            <w:tcW w:w="627" w:type="pct"/>
            <w:vAlign w:val="center"/>
          </w:tcPr>
          <w:p w14:paraId="339465A8">
            <w:pPr>
              <w:pStyle w:val="92"/>
              <w:rPr>
                <w:color w:val="auto"/>
                <w:highlight w:val="none"/>
                <w:u w:val="none"/>
              </w:rPr>
            </w:pPr>
            <w:r>
              <w:rPr>
                <w:color w:val="auto"/>
                <w:highlight w:val="none"/>
                <w:u w:val="none"/>
              </w:rPr>
              <w:t>1h平均质量浓度</w:t>
            </w:r>
          </w:p>
        </w:tc>
        <w:tc>
          <w:tcPr>
            <w:tcW w:w="1521" w:type="pct"/>
            <w:shd w:val="clear" w:color="auto" w:fill="auto"/>
            <w:vAlign w:val="center"/>
          </w:tcPr>
          <w:p w14:paraId="5F0CB8C5">
            <w:pPr>
              <w:pStyle w:val="92"/>
              <w:rPr>
                <w:color w:val="auto"/>
                <w:highlight w:val="none"/>
                <w:u w:val="none"/>
              </w:rPr>
            </w:pPr>
            <w:r>
              <w:rPr>
                <w:color w:val="auto"/>
                <w:highlight w:val="none"/>
                <w:u w:val="none"/>
              </w:rPr>
              <w:t>TDA、NMHC</w:t>
            </w:r>
          </w:p>
        </w:tc>
        <w:tc>
          <w:tcPr>
            <w:tcW w:w="977" w:type="pct"/>
            <w:vAlign w:val="center"/>
          </w:tcPr>
          <w:p w14:paraId="06193623">
            <w:pPr>
              <w:pStyle w:val="92"/>
              <w:rPr>
                <w:color w:val="auto"/>
                <w:highlight w:val="none"/>
                <w:u w:val="none"/>
              </w:rPr>
            </w:pPr>
            <w:r>
              <w:rPr>
                <w:color w:val="auto"/>
                <w:highlight w:val="none"/>
                <w:u w:val="none"/>
              </w:rPr>
              <w:t>最大浓度占标率</w:t>
            </w:r>
          </w:p>
        </w:tc>
      </w:tr>
      <w:tr w14:paraId="5E9D2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4973CD63">
            <w:pPr>
              <w:pStyle w:val="92"/>
              <w:rPr>
                <w:color w:val="auto"/>
                <w:highlight w:val="none"/>
                <w:u w:val="none"/>
              </w:rPr>
            </w:pPr>
            <w:r>
              <w:rPr>
                <w:color w:val="auto"/>
                <w:highlight w:val="none"/>
                <w:u w:val="none"/>
              </w:rPr>
              <w:t>新增污染源-“以新带老”污染源+项目全厂现有污染源</w:t>
            </w:r>
          </w:p>
        </w:tc>
        <w:tc>
          <w:tcPr>
            <w:tcW w:w="704" w:type="pct"/>
            <w:vAlign w:val="center"/>
          </w:tcPr>
          <w:p w14:paraId="7A9B3D2E">
            <w:pPr>
              <w:pStyle w:val="92"/>
              <w:rPr>
                <w:color w:val="auto"/>
                <w:highlight w:val="none"/>
                <w:u w:val="none"/>
              </w:rPr>
            </w:pPr>
            <w:r>
              <w:rPr>
                <w:color w:val="auto"/>
                <w:highlight w:val="none"/>
                <w:u w:val="none"/>
              </w:rPr>
              <w:t>正常排放</w:t>
            </w:r>
          </w:p>
        </w:tc>
        <w:tc>
          <w:tcPr>
            <w:tcW w:w="627" w:type="pct"/>
            <w:vAlign w:val="center"/>
          </w:tcPr>
          <w:p w14:paraId="30871555">
            <w:pPr>
              <w:pStyle w:val="92"/>
              <w:rPr>
                <w:color w:val="auto"/>
                <w:highlight w:val="none"/>
                <w:u w:val="none"/>
              </w:rPr>
            </w:pPr>
            <w:r>
              <w:rPr>
                <w:color w:val="auto"/>
                <w:highlight w:val="none"/>
                <w:u w:val="none"/>
              </w:rPr>
              <w:t>厂界小时浓度</w:t>
            </w:r>
          </w:p>
        </w:tc>
        <w:tc>
          <w:tcPr>
            <w:tcW w:w="1521" w:type="pct"/>
            <w:vAlign w:val="center"/>
          </w:tcPr>
          <w:p w14:paraId="494A2F07">
            <w:pPr>
              <w:pStyle w:val="92"/>
              <w:rPr>
                <w:color w:val="auto"/>
                <w:highlight w:val="none"/>
                <w:u w:val="none"/>
              </w:rPr>
            </w:pPr>
            <w:r>
              <w:rPr>
                <w:color w:val="auto"/>
                <w:highlight w:val="none"/>
                <w:u w:val="none"/>
              </w:rPr>
              <w:t>TDA、NMHC、邻二氯苯、DNT、甲苯、Cl</w:t>
            </w:r>
            <w:r>
              <w:rPr>
                <w:color w:val="auto"/>
                <w:highlight w:val="none"/>
                <w:u w:val="none"/>
                <w:vertAlign w:val="subscript"/>
              </w:rPr>
              <w:t>2</w:t>
            </w:r>
            <w:r>
              <w:rPr>
                <w:color w:val="auto"/>
                <w:highlight w:val="none"/>
                <w:u w:val="none"/>
              </w:rPr>
              <w:t>、HCl、光气</w:t>
            </w:r>
            <w:r>
              <w:rPr>
                <w:rFonts w:hint="eastAsia"/>
                <w:color w:val="auto"/>
                <w:highlight w:val="none"/>
                <w:u w:val="none"/>
              </w:rPr>
              <w:t>、</w:t>
            </w:r>
            <w:r>
              <w:rPr>
                <w:rFonts w:hint="eastAsia" w:hAnsi="宋体"/>
                <w:snapToGrid w:val="0"/>
                <w:color w:val="auto"/>
                <w:kern w:val="0"/>
                <w:highlight w:val="none"/>
                <w:u w:val="none"/>
                <w:lang w:val="en-GB"/>
              </w:rPr>
              <w:t>PM</w:t>
            </w:r>
            <w:r>
              <w:rPr>
                <w:rFonts w:hint="eastAsia" w:hAnsi="宋体"/>
                <w:snapToGrid w:val="0"/>
                <w:color w:val="auto"/>
                <w:kern w:val="0"/>
                <w:highlight w:val="none"/>
                <w:u w:val="none"/>
                <w:vertAlign w:val="subscript"/>
                <w:lang w:val="en-GB"/>
              </w:rPr>
              <w:t>10</w:t>
            </w:r>
            <w:r>
              <w:rPr>
                <w:rFonts w:hint="eastAsia" w:hAnsi="宋体"/>
                <w:snapToGrid w:val="0"/>
                <w:color w:val="auto"/>
                <w:kern w:val="0"/>
                <w:highlight w:val="none"/>
                <w:u w:val="none"/>
                <w:lang w:val="en-GB"/>
              </w:rPr>
              <w:t>和PM</w:t>
            </w:r>
            <w:r>
              <w:rPr>
                <w:rFonts w:hint="eastAsia" w:hAnsi="宋体"/>
                <w:snapToGrid w:val="0"/>
                <w:color w:val="auto"/>
                <w:kern w:val="0"/>
                <w:highlight w:val="none"/>
                <w:u w:val="none"/>
                <w:vertAlign w:val="subscript"/>
                <w:lang w:val="en-GB"/>
              </w:rPr>
              <w:t>2.5</w:t>
            </w:r>
          </w:p>
        </w:tc>
        <w:tc>
          <w:tcPr>
            <w:tcW w:w="977" w:type="pct"/>
            <w:vAlign w:val="center"/>
          </w:tcPr>
          <w:p w14:paraId="3DFAEE85">
            <w:pPr>
              <w:pStyle w:val="92"/>
              <w:rPr>
                <w:color w:val="auto"/>
                <w:highlight w:val="none"/>
                <w:u w:val="none"/>
              </w:rPr>
            </w:pPr>
            <w:r>
              <w:rPr>
                <w:color w:val="auto"/>
                <w:highlight w:val="none"/>
                <w:u w:val="none"/>
              </w:rPr>
              <w:t>厂界达标排放</w:t>
            </w:r>
          </w:p>
        </w:tc>
      </w:tr>
      <w:tr w14:paraId="419AF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1" w:type="pct"/>
            <w:vAlign w:val="center"/>
          </w:tcPr>
          <w:p w14:paraId="4E3BBAAC">
            <w:pPr>
              <w:pStyle w:val="92"/>
              <w:rPr>
                <w:color w:val="auto"/>
                <w:highlight w:val="none"/>
                <w:u w:val="none"/>
              </w:rPr>
            </w:pPr>
            <w:r>
              <w:rPr>
                <w:color w:val="auto"/>
                <w:highlight w:val="none"/>
                <w:u w:val="none"/>
              </w:rPr>
              <w:t>新增污染源-“以新带老”污染源+项目全厂现有污染源</w:t>
            </w:r>
          </w:p>
        </w:tc>
        <w:tc>
          <w:tcPr>
            <w:tcW w:w="704" w:type="pct"/>
            <w:vAlign w:val="center"/>
          </w:tcPr>
          <w:p w14:paraId="64753D1C">
            <w:pPr>
              <w:pStyle w:val="92"/>
              <w:rPr>
                <w:color w:val="auto"/>
                <w:highlight w:val="none"/>
                <w:u w:val="none"/>
              </w:rPr>
            </w:pPr>
            <w:r>
              <w:rPr>
                <w:color w:val="auto"/>
                <w:highlight w:val="none"/>
                <w:u w:val="none"/>
              </w:rPr>
              <w:t>正常排放</w:t>
            </w:r>
          </w:p>
        </w:tc>
        <w:tc>
          <w:tcPr>
            <w:tcW w:w="627" w:type="pct"/>
            <w:vAlign w:val="center"/>
          </w:tcPr>
          <w:p w14:paraId="00B65935">
            <w:pPr>
              <w:pStyle w:val="92"/>
              <w:rPr>
                <w:color w:val="auto"/>
                <w:highlight w:val="none"/>
                <w:u w:val="none"/>
              </w:rPr>
            </w:pPr>
            <w:r>
              <w:rPr>
                <w:color w:val="auto"/>
                <w:highlight w:val="none"/>
                <w:u w:val="none"/>
              </w:rPr>
              <w:t>短期浓度</w:t>
            </w:r>
          </w:p>
        </w:tc>
        <w:tc>
          <w:tcPr>
            <w:tcW w:w="1521" w:type="pct"/>
            <w:vAlign w:val="center"/>
          </w:tcPr>
          <w:p w14:paraId="6E88E74B">
            <w:pPr>
              <w:pStyle w:val="92"/>
              <w:rPr>
                <w:color w:val="auto"/>
                <w:highlight w:val="none"/>
                <w:u w:val="none"/>
              </w:rPr>
            </w:pPr>
            <w:r>
              <w:rPr>
                <w:color w:val="auto"/>
                <w:highlight w:val="none"/>
                <w:u w:val="none"/>
              </w:rPr>
              <w:t>TDA、NMHC、邻二氯苯、DNT、甲苯、Cl</w:t>
            </w:r>
            <w:r>
              <w:rPr>
                <w:color w:val="auto"/>
                <w:highlight w:val="none"/>
                <w:u w:val="none"/>
                <w:vertAlign w:val="subscript"/>
              </w:rPr>
              <w:t>2</w:t>
            </w:r>
            <w:r>
              <w:rPr>
                <w:color w:val="auto"/>
                <w:highlight w:val="none"/>
                <w:u w:val="none"/>
              </w:rPr>
              <w:t>、HCl、光气</w:t>
            </w:r>
            <w:r>
              <w:rPr>
                <w:rFonts w:hint="eastAsia"/>
                <w:color w:val="auto"/>
                <w:highlight w:val="none"/>
                <w:u w:val="none"/>
              </w:rPr>
              <w:t>、</w:t>
            </w:r>
            <w:r>
              <w:rPr>
                <w:rFonts w:hint="eastAsia" w:hAnsi="宋体"/>
                <w:snapToGrid w:val="0"/>
                <w:color w:val="auto"/>
                <w:kern w:val="0"/>
                <w:highlight w:val="none"/>
                <w:u w:val="none"/>
                <w:lang w:val="en-GB"/>
              </w:rPr>
              <w:t>PM</w:t>
            </w:r>
            <w:r>
              <w:rPr>
                <w:rFonts w:hint="eastAsia" w:hAnsi="宋体"/>
                <w:snapToGrid w:val="0"/>
                <w:color w:val="auto"/>
                <w:kern w:val="0"/>
                <w:highlight w:val="none"/>
                <w:u w:val="none"/>
                <w:vertAlign w:val="subscript"/>
                <w:lang w:val="en-GB"/>
              </w:rPr>
              <w:t>10</w:t>
            </w:r>
            <w:r>
              <w:rPr>
                <w:rFonts w:hint="eastAsia" w:hAnsi="宋体"/>
                <w:snapToGrid w:val="0"/>
                <w:color w:val="auto"/>
                <w:kern w:val="0"/>
                <w:highlight w:val="none"/>
                <w:u w:val="none"/>
                <w:lang w:val="en-GB"/>
              </w:rPr>
              <w:t>和PM</w:t>
            </w:r>
            <w:r>
              <w:rPr>
                <w:rFonts w:hint="eastAsia" w:hAnsi="宋体"/>
                <w:snapToGrid w:val="0"/>
                <w:color w:val="auto"/>
                <w:kern w:val="0"/>
                <w:highlight w:val="none"/>
                <w:u w:val="none"/>
                <w:vertAlign w:val="subscript"/>
                <w:lang w:val="en-GB"/>
              </w:rPr>
              <w:t>2.5</w:t>
            </w:r>
          </w:p>
        </w:tc>
        <w:tc>
          <w:tcPr>
            <w:tcW w:w="977" w:type="pct"/>
            <w:vAlign w:val="center"/>
          </w:tcPr>
          <w:p w14:paraId="151E2C6C">
            <w:pPr>
              <w:pStyle w:val="92"/>
              <w:rPr>
                <w:color w:val="auto"/>
                <w:highlight w:val="none"/>
                <w:u w:val="none"/>
              </w:rPr>
            </w:pPr>
            <w:r>
              <w:rPr>
                <w:color w:val="auto"/>
                <w:highlight w:val="none"/>
                <w:u w:val="none"/>
              </w:rPr>
              <w:t>大气环境防护距离</w:t>
            </w:r>
          </w:p>
        </w:tc>
      </w:tr>
    </w:tbl>
    <w:p w14:paraId="717ACE74">
      <w:pPr>
        <w:widowControl/>
        <w:jc w:val="left"/>
        <w:rPr>
          <w:rFonts w:hint="eastAsia"/>
          <w:color w:val="auto"/>
          <w:highlight w:val="none"/>
          <w:u w:val="none"/>
        </w:rPr>
      </w:pPr>
      <w:bookmarkStart w:id="468" w:name="_Toc23522032"/>
    </w:p>
    <w:p w14:paraId="0F4F2BC2">
      <w:pPr>
        <w:pStyle w:val="75"/>
        <w:adjustRightInd w:val="0"/>
        <w:snapToGrid w:val="0"/>
        <w:rPr>
          <w:rFonts w:hint="eastAsia"/>
          <w:color w:val="auto"/>
          <w:highlight w:val="none"/>
          <w:u w:val="none"/>
        </w:rPr>
      </w:pPr>
      <w:r>
        <w:rPr>
          <w:color w:val="auto"/>
          <w:highlight w:val="none"/>
          <w:u w:val="none"/>
        </w:rPr>
        <w:t>（4）预测模型</w:t>
      </w:r>
      <w:bookmarkEnd w:id="468"/>
      <w:bookmarkStart w:id="469" w:name="_Ref529541518"/>
    </w:p>
    <w:p w14:paraId="6B4E6F71">
      <w:pPr>
        <w:pStyle w:val="75"/>
        <w:adjustRightInd w:val="0"/>
        <w:snapToGrid w:val="0"/>
        <w:ind w:left="600" w:firstLine="0" w:firstLineChars="0"/>
        <w:rPr>
          <w:rFonts w:hint="eastAsia"/>
          <w:color w:val="auto"/>
          <w:highlight w:val="none"/>
          <w:u w:val="none"/>
        </w:rPr>
      </w:pPr>
      <w:r>
        <w:rPr>
          <w:color w:val="auto"/>
          <w:highlight w:val="none"/>
          <w:u w:val="none"/>
        </w:rPr>
        <w:t>①CALPUFF模型</w:t>
      </w:r>
    </w:p>
    <w:p w14:paraId="3B162435">
      <w:pPr>
        <w:pStyle w:val="75"/>
        <w:adjustRightInd w:val="0"/>
        <w:snapToGrid w:val="0"/>
        <w:rPr>
          <w:rFonts w:hint="eastAsia"/>
          <w:color w:val="auto"/>
          <w:highlight w:val="none"/>
          <w:u w:val="none"/>
        </w:rPr>
      </w:pPr>
      <w:r>
        <w:rPr>
          <w:color w:val="auto"/>
          <w:highlight w:val="none"/>
          <w:u w:val="none"/>
        </w:rPr>
        <w:t>CALMET/CALPUFF模拟系统是美国EPA推荐的用于模拟污染物传输行为的集成模式，也是我国大气环境影响评价导则推荐的法规模式之一。模型采用为非定常三维拉格朗日烟团输送模式，结合时变气象场资料，考虑了下垫面对污染物干湿沉降的影响，同时考虑了复杂地形的动力学效应以及静风等非定常条件，能够很好的模拟几十到几百公里区域的污染物扩散情景。由于它是一个长距离中尺度模型，适合于城市和区域尺度，因此在国内外得到广泛应用。CALPUFF模型系统适合于</w:t>
      </w:r>
      <w:r>
        <w:rPr>
          <w:rStyle w:val="70"/>
          <w:rFonts w:hint="eastAsia" w:hAnsi="Times New Roman"/>
          <w:snapToGrid/>
          <w:color w:val="auto"/>
          <w:sz w:val="24"/>
          <w:szCs w:val="24"/>
          <w:highlight w:val="none"/>
          <w:u w:val="none"/>
          <w:lang w:val="en-US"/>
        </w:rPr>
        <w:t>近岸近海</w:t>
      </w:r>
      <w:r>
        <w:rPr>
          <w:rStyle w:val="70"/>
          <w:rFonts w:hint="eastAsia"/>
          <w:snapToGrid/>
          <w:color w:val="auto"/>
          <w:sz w:val="24"/>
          <w:szCs w:val="24"/>
          <w:highlight w:val="none"/>
          <w:u w:val="none"/>
          <w:lang w:val="en-US"/>
        </w:rPr>
        <w:t>项目及复杂排放情况下的污染物传输情况</w:t>
      </w:r>
      <w:r>
        <w:rPr>
          <w:rFonts w:hint="eastAsia"/>
          <w:color w:val="auto"/>
          <w:highlight w:val="none"/>
          <w:u w:val="none"/>
          <w:lang w:val="en-US"/>
        </w:rPr>
        <w:t>模拟</w:t>
      </w:r>
      <w:r>
        <w:rPr>
          <w:color w:val="auto"/>
          <w:highlight w:val="none"/>
          <w:u w:val="none"/>
        </w:rPr>
        <w:t>。</w:t>
      </w:r>
    </w:p>
    <w:p w14:paraId="5B77DD4B">
      <w:pPr>
        <w:pStyle w:val="75"/>
        <w:adjustRightInd w:val="0"/>
        <w:snapToGrid w:val="0"/>
        <w:rPr>
          <w:rFonts w:hint="eastAsia"/>
          <w:color w:val="auto"/>
          <w:highlight w:val="none"/>
          <w:u w:val="none"/>
        </w:rPr>
      </w:pPr>
      <w:r>
        <w:rPr>
          <w:color w:val="auto"/>
          <w:highlight w:val="none"/>
          <w:u w:val="none"/>
        </w:rPr>
        <w:t>CALMET/CALPUFF模拟系统，包括诊断风场模型CALMET、高斯烟团扩散模型CALPUFF和后处理软件CALPOST三部分。其中CALMET利用质量守衡原理对风场进行诊断，输出包括逐时风场、混合层高度、大气稳定度</w:t>
      </w:r>
      <w:r>
        <w:rPr>
          <w:rFonts w:hint="eastAsia"/>
          <w:color w:val="auto"/>
          <w:highlight w:val="none"/>
          <w:u w:val="none"/>
        </w:rPr>
        <w:t>（</w:t>
      </w:r>
      <w:r>
        <w:rPr>
          <w:color w:val="auto"/>
          <w:highlight w:val="none"/>
          <w:u w:val="none"/>
        </w:rPr>
        <w:t>PGT分类</w:t>
      </w:r>
      <w:r>
        <w:rPr>
          <w:rFonts w:hint="eastAsia"/>
          <w:color w:val="auto"/>
          <w:highlight w:val="none"/>
          <w:u w:val="none"/>
        </w:rPr>
        <w:t>）</w:t>
      </w:r>
      <w:r>
        <w:rPr>
          <w:color w:val="auto"/>
          <w:highlight w:val="none"/>
          <w:u w:val="none"/>
        </w:rPr>
        <w:t>、各种微气象参数等；CALPUFF运根据输入的源数据，计算出受体在CALMET气象输出结果影响下的污染物浓度、能见度等；CALPOST为计算结果后处理软件，对CALPUFF计算的浓度进行时间分配处理，并计算出干(湿)沉降通量、能见度等。</w:t>
      </w:r>
    </w:p>
    <w:p w14:paraId="2071707F">
      <w:pPr>
        <w:pStyle w:val="75"/>
        <w:adjustRightInd w:val="0"/>
        <w:snapToGrid w:val="0"/>
        <w:rPr>
          <w:rFonts w:hint="eastAsia"/>
          <w:color w:val="auto"/>
          <w:highlight w:val="none"/>
          <w:u w:val="none"/>
        </w:rPr>
      </w:pPr>
      <w:r>
        <w:rPr>
          <w:color w:val="auto"/>
          <w:highlight w:val="none"/>
          <w:u w:val="none"/>
        </w:rPr>
        <w:t>②地理参数</w:t>
      </w:r>
    </w:p>
    <w:p w14:paraId="3AF58158">
      <w:pPr>
        <w:pStyle w:val="75"/>
        <w:adjustRightInd w:val="0"/>
        <w:snapToGrid w:val="0"/>
        <w:rPr>
          <w:rFonts w:hint="eastAsia"/>
          <w:color w:val="auto"/>
          <w:highlight w:val="none"/>
          <w:u w:val="none"/>
        </w:rPr>
      </w:pPr>
      <w:r>
        <w:rPr>
          <w:color w:val="auto"/>
          <w:highlight w:val="none"/>
          <w:u w:val="none"/>
        </w:rPr>
        <w:t>地理数据包括：计算区域的地形数据、土地利用类型。</w:t>
      </w:r>
    </w:p>
    <w:p w14:paraId="776FD233">
      <w:pPr>
        <w:pStyle w:val="75"/>
        <w:adjustRightInd w:val="0"/>
        <w:snapToGrid w:val="0"/>
        <w:rPr>
          <w:rFonts w:hint="eastAsia"/>
          <w:color w:val="auto"/>
          <w:highlight w:val="none"/>
          <w:u w:val="none"/>
        </w:rPr>
      </w:pPr>
      <w:r>
        <w:rPr>
          <w:color w:val="auto"/>
          <w:highlight w:val="none"/>
          <w:u w:val="none"/>
        </w:rPr>
        <w:t>本次评价CALPUFF 的地形数据采用免费公开的航天飞机雷达拓扑测绘SRTM（4.1）数据，分辨率为90m，地形分布见</w:t>
      </w:r>
      <w:r>
        <w:rPr>
          <w:color w:val="auto"/>
          <w:highlight w:val="none"/>
          <w:u w:val="none"/>
        </w:rPr>
        <w:fldChar w:fldCharType="begin"/>
      </w:r>
      <w:r>
        <w:rPr>
          <w:color w:val="auto"/>
          <w:highlight w:val="none"/>
          <w:u w:val="none"/>
        </w:rPr>
        <w:instrText xml:space="preserve"> REF _Ref149229828 \h  \* MERGEFORMAT </w:instrText>
      </w:r>
      <w:r>
        <w:rPr>
          <w:color w:val="auto"/>
          <w:highlight w:val="none"/>
          <w:u w:val="none"/>
        </w:rPr>
        <w:fldChar w:fldCharType="separate"/>
      </w:r>
      <w:r>
        <w:rPr>
          <w:color w:val="auto"/>
          <w:highlight w:val="none"/>
          <w:u w:val="none"/>
        </w:rPr>
        <w:t>图 8.1</w:t>
      </w:r>
      <w:r>
        <w:rPr>
          <w:color w:val="auto"/>
          <w:highlight w:val="none"/>
          <w:u w:val="none"/>
        </w:rPr>
        <w:noBreakHyphen/>
      </w:r>
      <w:r>
        <w:rPr>
          <w:color w:val="auto"/>
          <w:highlight w:val="none"/>
          <w:u w:val="none"/>
        </w:rPr>
        <w:t>6</w:t>
      </w:r>
      <w:r>
        <w:rPr>
          <w:color w:val="auto"/>
          <w:highlight w:val="none"/>
          <w:u w:val="none"/>
        </w:rPr>
        <w:fldChar w:fldCharType="end"/>
      </w:r>
      <w:r>
        <w:rPr>
          <w:color w:val="auto"/>
          <w:highlight w:val="none"/>
          <w:u w:val="none"/>
        </w:rPr>
        <w:t>。</w:t>
      </w:r>
    </w:p>
    <w:p w14:paraId="17DFE870">
      <w:pPr>
        <w:adjustRightInd w:val="0"/>
        <w:snapToGrid w:val="0"/>
        <w:rPr>
          <w:rFonts w:hAnsi="Times New Roman"/>
          <w:color w:val="auto"/>
          <w:highlight w:val="none"/>
          <w:u w:val="none"/>
        </w:rPr>
      </w:pPr>
      <w:r>
        <w:rPr>
          <w:rFonts w:hint="eastAsia" w:hAnsi="Times New Roman"/>
          <w:color w:val="auto"/>
          <w:highlight w:val="none"/>
          <w:u w:val="none"/>
        </w:rPr>
        <w:t>土地利用数据采用GlobeLand30的数据，分辨率约为30m</w:t>
      </w:r>
      <w:r>
        <w:rPr>
          <w:rFonts w:hAnsi="Times New Roman"/>
          <w:color w:val="auto"/>
          <w:highlight w:val="none"/>
          <w:u w:val="none"/>
        </w:rPr>
        <w:t>。</w:t>
      </w:r>
    </w:p>
    <w:p w14:paraId="03E4D88C">
      <w:pPr>
        <w:pStyle w:val="988"/>
        <w:adjustRightInd w:val="0"/>
        <w:snapToGrid w:val="0"/>
        <w:ind w:firstLine="480"/>
        <w:rPr>
          <w:color w:val="auto"/>
          <w:highlight w:val="none"/>
          <w:u w:val="none"/>
        </w:rPr>
      </w:pPr>
    </w:p>
    <w:p w14:paraId="7D542DC0">
      <w:pPr>
        <w:pStyle w:val="988"/>
        <w:adjustRightInd w:val="0"/>
        <w:snapToGrid w:val="0"/>
        <w:ind w:firstLine="0" w:firstLineChars="0"/>
        <w:jc w:val="center"/>
        <w:rPr>
          <w:color w:val="auto"/>
          <w:highlight w:val="none"/>
          <w:u w:val="none"/>
        </w:rPr>
      </w:pPr>
    </w:p>
    <w:p w14:paraId="216C161D">
      <w:pPr>
        <w:pStyle w:val="85"/>
        <w:rPr>
          <w:color w:val="auto"/>
          <w:highlight w:val="none"/>
          <w:u w:val="none"/>
        </w:rPr>
      </w:pPr>
      <w:bookmarkStart w:id="470" w:name="_Ref149229828"/>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图 \* ARABIC \s 2 </w:instrText>
      </w:r>
      <w:r>
        <w:rPr>
          <w:color w:val="auto"/>
          <w:highlight w:val="none"/>
          <w:u w:val="none"/>
        </w:rPr>
        <w:fldChar w:fldCharType="separate"/>
      </w:r>
      <w:r>
        <w:rPr>
          <w:color w:val="auto"/>
          <w:highlight w:val="none"/>
          <w:u w:val="none"/>
        </w:rPr>
        <w:t>6</w:t>
      </w:r>
      <w:r>
        <w:rPr>
          <w:color w:val="auto"/>
          <w:highlight w:val="none"/>
          <w:u w:val="none"/>
        </w:rPr>
        <w:fldChar w:fldCharType="end"/>
      </w:r>
      <w:bookmarkEnd w:id="470"/>
      <w:r>
        <w:rPr>
          <w:color w:val="auto"/>
          <w:highlight w:val="none"/>
          <w:u w:val="none"/>
        </w:rPr>
        <w:t xml:space="preserve">  大气预测范围高程示意图</w:t>
      </w:r>
    </w:p>
    <w:p w14:paraId="4A9917A6">
      <w:pPr>
        <w:pStyle w:val="75"/>
        <w:adjustRightInd w:val="0"/>
        <w:snapToGrid w:val="0"/>
        <w:ind w:firstLine="0" w:firstLineChars="0"/>
        <w:rPr>
          <w:rFonts w:hint="eastAsia"/>
          <w:color w:val="auto"/>
          <w:highlight w:val="none"/>
          <w:u w:val="none"/>
        </w:rPr>
      </w:pPr>
    </w:p>
    <w:p w14:paraId="6E2D0F39">
      <w:pPr>
        <w:pStyle w:val="981"/>
        <w:rPr>
          <w:rFonts w:hint="eastAsia"/>
          <w:color w:val="auto"/>
          <w:highlight w:val="none"/>
          <w:u w:val="none"/>
        </w:rPr>
      </w:pPr>
      <w:r>
        <w:rPr>
          <w:color w:val="auto"/>
          <w:highlight w:val="none"/>
          <w:u w:val="none"/>
        </w:rPr>
        <w:t>③计算点设置</w:t>
      </w:r>
    </w:p>
    <w:p w14:paraId="51ADE854">
      <w:pPr>
        <w:pStyle w:val="981"/>
        <w:rPr>
          <w:rFonts w:hint="eastAsia"/>
          <w:color w:val="auto"/>
          <w:highlight w:val="none"/>
          <w:u w:val="none"/>
        </w:rPr>
      </w:pPr>
      <w:r>
        <w:rPr>
          <w:color w:val="auto"/>
          <w:highlight w:val="none"/>
          <w:u w:val="none"/>
        </w:rPr>
        <w:t>本次预测设置的计算点分别为：环境空气保护目标、预测范围内网格受体点和厂界受体点3类。</w:t>
      </w:r>
    </w:p>
    <w:p w14:paraId="17B6CAA4">
      <w:pPr>
        <w:pStyle w:val="981"/>
        <w:rPr>
          <w:rFonts w:hint="eastAsia"/>
          <w:color w:val="auto"/>
          <w:highlight w:val="none"/>
          <w:u w:val="none"/>
        </w:rPr>
      </w:pPr>
      <w:r>
        <w:rPr>
          <w:color w:val="auto"/>
          <w:highlight w:val="none"/>
          <w:u w:val="none"/>
        </w:rPr>
        <w:t>A.环境空气保护目标</w:t>
      </w:r>
    </w:p>
    <w:p w14:paraId="5A88AD2C">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7</w:t>
      </w:r>
      <w:r>
        <w:rPr>
          <w:color w:val="auto"/>
          <w:highlight w:val="none"/>
          <w:u w:val="none"/>
        </w:rPr>
        <w:fldChar w:fldCharType="end"/>
      </w:r>
      <w:r>
        <w:rPr>
          <w:color w:val="auto"/>
          <w:highlight w:val="none"/>
          <w:u w:val="none"/>
        </w:rPr>
        <w:t xml:space="preserve">  环境空气保护目标</w:t>
      </w:r>
    </w:p>
    <w:tbl>
      <w:tblPr>
        <w:tblStyle w:val="58"/>
        <w:tblW w:w="5000" w:type="pct"/>
        <w:tblInd w:w="2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33"/>
        <w:gridCol w:w="1654"/>
        <w:gridCol w:w="1109"/>
        <w:gridCol w:w="1241"/>
        <w:gridCol w:w="689"/>
        <w:gridCol w:w="965"/>
        <w:gridCol w:w="801"/>
        <w:gridCol w:w="948"/>
        <w:gridCol w:w="1673"/>
      </w:tblGrid>
      <w:tr w14:paraId="0AF2E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blHeader/>
        </w:trPr>
        <w:tc>
          <w:tcPr>
            <w:tcW w:w="230" w:type="pct"/>
            <w:vMerge w:val="restart"/>
            <w:shd w:val="clear" w:color="auto" w:fill="FFFFFF" w:themeFill="background1"/>
            <w:vAlign w:val="center"/>
          </w:tcPr>
          <w:p w14:paraId="486868A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序号</w:t>
            </w:r>
          </w:p>
        </w:tc>
        <w:tc>
          <w:tcPr>
            <w:tcW w:w="872" w:type="pct"/>
            <w:vMerge w:val="restart"/>
            <w:shd w:val="clear" w:color="auto" w:fill="FFFFFF" w:themeFill="background1"/>
            <w:vAlign w:val="center"/>
          </w:tcPr>
          <w:p w14:paraId="68835ED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主要保护目标</w:t>
            </w:r>
          </w:p>
        </w:tc>
        <w:tc>
          <w:tcPr>
            <w:tcW w:w="1220" w:type="pct"/>
            <w:gridSpan w:val="2"/>
            <w:shd w:val="clear" w:color="auto" w:fill="FFFFFF" w:themeFill="background1"/>
            <w:vAlign w:val="center"/>
          </w:tcPr>
          <w:p w14:paraId="12DAB40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相对坐标</w:t>
            </w:r>
          </w:p>
        </w:tc>
        <w:tc>
          <w:tcPr>
            <w:tcW w:w="364" w:type="pct"/>
            <w:vMerge w:val="restart"/>
            <w:shd w:val="clear" w:color="auto" w:fill="FFFFFF" w:themeFill="background1"/>
            <w:vAlign w:val="center"/>
          </w:tcPr>
          <w:p w14:paraId="6B393A6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保护</w:t>
            </w:r>
          </w:p>
          <w:p w14:paraId="0D831ED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对象</w:t>
            </w:r>
          </w:p>
        </w:tc>
        <w:tc>
          <w:tcPr>
            <w:tcW w:w="509" w:type="pct"/>
            <w:vMerge w:val="restart"/>
            <w:shd w:val="clear" w:color="auto" w:fill="FFFFFF" w:themeFill="background1"/>
            <w:vAlign w:val="center"/>
          </w:tcPr>
          <w:p w14:paraId="7A42332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保护</w:t>
            </w:r>
          </w:p>
          <w:p w14:paraId="58B2643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内容</w:t>
            </w:r>
          </w:p>
        </w:tc>
        <w:tc>
          <w:tcPr>
            <w:tcW w:w="423" w:type="pct"/>
            <w:vMerge w:val="restart"/>
            <w:shd w:val="clear" w:color="auto" w:fill="FFFFFF" w:themeFill="background1"/>
            <w:vAlign w:val="center"/>
          </w:tcPr>
          <w:p w14:paraId="4EBAAF0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环境功能区</w:t>
            </w:r>
          </w:p>
        </w:tc>
        <w:tc>
          <w:tcPr>
            <w:tcW w:w="500" w:type="pct"/>
            <w:vMerge w:val="restart"/>
            <w:shd w:val="clear" w:color="auto" w:fill="FFFFFF" w:themeFill="background1"/>
            <w:vAlign w:val="center"/>
          </w:tcPr>
          <w:p w14:paraId="6AD86ED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距离（m）</w:t>
            </w:r>
          </w:p>
        </w:tc>
        <w:tc>
          <w:tcPr>
            <w:tcW w:w="881" w:type="pct"/>
            <w:vMerge w:val="restart"/>
            <w:shd w:val="clear" w:color="auto" w:fill="FFFFFF" w:themeFill="background1"/>
            <w:vAlign w:val="center"/>
          </w:tcPr>
          <w:p w14:paraId="0C21E24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相对厂址方位</w:t>
            </w:r>
          </w:p>
        </w:tc>
      </w:tr>
      <w:tr w14:paraId="17468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5" w:hRule="exact"/>
          <w:tblHeader/>
        </w:trPr>
        <w:tc>
          <w:tcPr>
            <w:tcW w:w="230" w:type="pct"/>
            <w:vMerge w:val="continue"/>
            <w:shd w:val="clear" w:color="auto" w:fill="FFFFFF" w:themeFill="background1"/>
            <w:vAlign w:val="center"/>
          </w:tcPr>
          <w:p w14:paraId="23B3A926">
            <w:pPr>
              <w:spacing w:line="240" w:lineRule="auto"/>
              <w:ind w:firstLine="0" w:firstLineChars="0"/>
              <w:jc w:val="center"/>
              <w:rPr>
                <w:rFonts w:hAnsi="Times New Roman"/>
                <w:color w:val="auto"/>
                <w:sz w:val="21"/>
                <w:szCs w:val="21"/>
                <w:highlight w:val="none"/>
                <w:u w:val="none"/>
              </w:rPr>
            </w:pPr>
          </w:p>
        </w:tc>
        <w:tc>
          <w:tcPr>
            <w:tcW w:w="872" w:type="pct"/>
            <w:vMerge w:val="continue"/>
            <w:shd w:val="clear" w:color="auto" w:fill="FFFFFF" w:themeFill="background1"/>
            <w:vAlign w:val="center"/>
          </w:tcPr>
          <w:p w14:paraId="3E6CCC14">
            <w:pPr>
              <w:spacing w:line="240" w:lineRule="auto"/>
              <w:ind w:firstLine="0" w:firstLineChars="0"/>
              <w:jc w:val="center"/>
              <w:rPr>
                <w:rFonts w:hAnsi="Times New Roman"/>
                <w:color w:val="auto"/>
                <w:sz w:val="21"/>
                <w:szCs w:val="21"/>
                <w:highlight w:val="none"/>
                <w:u w:val="none"/>
              </w:rPr>
            </w:pPr>
          </w:p>
        </w:tc>
        <w:tc>
          <w:tcPr>
            <w:tcW w:w="565" w:type="pct"/>
            <w:shd w:val="clear" w:color="auto" w:fill="FFFFFF" w:themeFill="background1"/>
            <w:vAlign w:val="center"/>
          </w:tcPr>
          <w:p w14:paraId="6EDDFAB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X/m</w:t>
            </w:r>
          </w:p>
        </w:tc>
        <w:tc>
          <w:tcPr>
            <w:tcW w:w="655" w:type="pct"/>
            <w:shd w:val="clear" w:color="auto" w:fill="FFFFFF" w:themeFill="background1"/>
            <w:vAlign w:val="center"/>
          </w:tcPr>
          <w:p w14:paraId="54E874C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Y/m</w:t>
            </w:r>
          </w:p>
        </w:tc>
        <w:tc>
          <w:tcPr>
            <w:tcW w:w="364" w:type="pct"/>
            <w:vMerge w:val="continue"/>
            <w:shd w:val="clear" w:color="auto" w:fill="FFFFFF" w:themeFill="background1"/>
            <w:vAlign w:val="center"/>
          </w:tcPr>
          <w:p w14:paraId="74D4F3F2">
            <w:pPr>
              <w:spacing w:line="240" w:lineRule="auto"/>
              <w:ind w:firstLine="0" w:firstLineChars="0"/>
              <w:jc w:val="center"/>
              <w:rPr>
                <w:rFonts w:hAnsi="Times New Roman"/>
                <w:color w:val="auto"/>
                <w:sz w:val="21"/>
                <w:szCs w:val="21"/>
                <w:highlight w:val="none"/>
                <w:u w:val="none"/>
              </w:rPr>
            </w:pPr>
          </w:p>
        </w:tc>
        <w:tc>
          <w:tcPr>
            <w:tcW w:w="509" w:type="pct"/>
            <w:vMerge w:val="continue"/>
            <w:shd w:val="clear" w:color="auto" w:fill="FFFFFF" w:themeFill="background1"/>
            <w:vAlign w:val="center"/>
          </w:tcPr>
          <w:p w14:paraId="289F7C35">
            <w:pPr>
              <w:spacing w:line="240" w:lineRule="auto"/>
              <w:ind w:firstLine="0" w:firstLineChars="0"/>
              <w:jc w:val="center"/>
              <w:rPr>
                <w:rFonts w:hAnsi="Times New Roman"/>
                <w:color w:val="auto"/>
                <w:sz w:val="21"/>
                <w:szCs w:val="21"/>
                <w:highlight w:val="none"/>
                <w:u w:val="none"/>
              </w:rPr>
            </w:pPr>
          </w:p>
        </w:tc>
        <w:tc>
          <w:tcPr>
            <w:tcW w:w="423" w:type="pct"/>
            <w:vMerge w:val="continue"/>
            <w:shd w:val="clear" w:color="auto" w:fill="FFFFFF" w:themeFill="background1"/>
            <w:vAlign w:val="center"/>
          </w:tcPr>
          <w:p w14:paraId="096CC94F">
            <w:pPr>
              <w:spacing w:line="240" w:lineRule="auto"/>
              <w:ind w:firstLine="0" w:firstLineChars="0"/>
              <w:jc w:val="center"/>
              <w:rPr>
                <w:rFonts w:hAnsi="Times New Roman"/>
                <w:color w:val="auto"/>
                <w:sz w:val="21"/>
                <w:szCs w:val="21"/>
                <w:highlight w:val="none"/>
                <w:u w:val="none"/>
              </w:rPr>
            </w:pPr>
          </w:p>
        </w:tc>
        <w:tc>
          <w:tcPr>
            <w:tcW w:w="500" w:type="pct"/>
            <w:vMerge w:val="continue"/>
            <w:shd w:val="clear" w:color="auto" w:fill="FFFFFF" w:themeFill="background1"/>
            <w:vAlign w:val="center"/>
          </w:tcPr>
          <w:p w14:paraId="2D739D30">
            <w:pPr>
              <w:spacing w:line="240" w:lineRule="auto"/>
              <w:ind w:firstLine="0" w:firstLineChars="0"/>
              <w:jc w:val="center"/>
              <w:rPr>
                <w:rFonts w:hAnsi="Times New Roman"/>
                <w:color w:val="auto"/>
                <w:sz w:val="21"/>
                <w:szCs w:val="21"/>
                <w:highlight w:val="none"/>
                <w:u w:val="none"/>
              </w:rPr>
            </w:pPr>
          </w:p>
        </w:tc>
        <w:tc>
          <w:tcPr>
            <w:tcW w:w="881" w:type="pct"/>
            <w:vMerge w:val="continue"/>
            <w:shd w:val="clear" w:color="auto" w:fill="FFFFFF" w:themeFill="background1"/>
            <w:vAlign w:val="center"/>
          </w:tcPr>
          <w:p w14:paraId="47620AD6">
            <w:pPr>
              <w:spacing w:line="240" w:lineRule="auto"/>
              <w:ind w:firstLine="0" w:firstLineChars="0"/>
              <w:jc w:val="center"/>
              <w:rPr>
                <w:rFonts w:hAnsi="Times New Roman"/>
                <w:color w:val="auto"/>
                <w:sz w:val="21"/>
                <w:szCs w:val="21"/>
                <w:highlight w:val="none"/>
                <w:u w:val="none"/>
              </w:rPr>
            </w:pPr>
          </w:p>
        </w:tc>
      </w:tr>
      <w:tr w14:paraId="25351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081FC5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w:t>
            </w:r>
          </w:p>
        </w:tc>
        <w:tc>
          <w:tcPr>
            <w:tcW w:w="872" w:type="pct"/>
            <w:shd w:val="clear" w:color="auto" w:fill="FFFFFF" w:themeFill="background1"/>
            <w:vAlign w:val="center"/>
          </w:tcPr>
          <w:p w14:paraId="45E49F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新厝镇</w:t>
            </w:r>
          </w:p>
        </w:tc>
        <w:tc>
          <w:tcPr>
            <w:tcW w:w="565" w:type="pct"/>
            <w:shd w:val="clear" w:color="auto" w:fill="FFFFFF" w:themeFill="background1"/>
            <w:vAlign w:val="center"/>
          </w:tcPr>
          <w:p w14:paraId="6EC56D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726901.67</w:t>
            </w:r>
          </w:p>
        </w:tc>
        <w:tc>
          <w:tcPr>
            <w:tcW w:w="655" w:type="pct"/>
            <w:shd w:val="clear" w:color="auto" w:fill="FFFFFF" w:themeFill="background1"/>
            <w:vAlign w:val="center"/>
          </w:tcPr>
          <w:p w14:paraId="26F9F08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2823993.22</w:t>
            </w:r>
          </w:p>
        </w:tc>
        <w:tc>
          <w:tcPr>
            <w:tcW w:w="364" w:type="pct"/>
            <w:shd w:val="clear" w:color="auto" w:fill="FFFFFF" w:themeFill="background1"/>
            <w:vAlign w:val="center"/>
          </w:tcPr>
          <w:p w14:paraId="5D8D1FB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A06A3E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restart"/>
            <w:shd w:val="clear" w:color="auto" w:fill="FFFFFF" w:themeFill="background1"/>
            <w:vAlign w:val="center"/>
          </w:tcPr>
          <w:p w14:paraId="3BCB528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二类区</w:t>
            </w:r>
          </w:p>
        </w:tc>
        <w:tc>
          <w:tcPr>
            <w:tcW w:w="500" w:type="pct"/>
            <w:shd w:val="clear" w:color="auto" w:fill="FFFFFF" w:themeFill="background1"/>
            <w:vAlign w:val="center"/>
          </w:tcPr>
          <w:p w14:paraId="022ABF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6624.46</w:t>
            </w:r>
          </w:p>
        </w:tc>
        <w:tc>
          <w:tcPr>
            <w:tcW w:w="881" w:type="pct"/>
            <w:shd w:val="clear" w:color="auto" w:fill="FFFFFF" w:themeFill="background1"/>
            <w:vAlign w:val="center"/>
          </w:tcPr>
          <w:p w14:paraId="3CFF32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NNW</w:t>
            </w:r>
          </w:p>
        </w:tc>
      </w:tr>
      <w:tr w14:paraId="0CDF6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7" w:hRule="exact"/>
        </w:trPr>
        <w:tc>
          <w:tcPr>
            <w:tcW w:w="230" w:type="pct"/>
            <w:shd w:val="clear" w:color="auto" w:fill="FFFFFF" w:themeFill="background1"/>
            <w:vAlign w:val="center"/>
          </w:tcPr>
          <w:p w14:paraId="7FCC2CB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w:t>
            </w:r>
          </w:p>
        </w:tc>
        <w:tc>
          <w:tcPr>
            <w:tcW w:w="872" w:type="pct"/>
            <w:shd w:val="clear" w:color="auto" w:fill="FFFFFF" w:themeFill="background1"/>
            <w:vAlign w:val="center"/>
          </w:tcPr>
          <w:p w14:paraId="56DC006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上后村</w:t>
            </w:r>
          </w:p>
          <w:p w14:paraId="510787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（莆田）</w:t>
            </w:r>
          </w:p>
        </w:tc>
        <w:tc>
          <w:tcPr>
            <w:tcW w:w="565" w:type="pct"/>
            <w:shd w:val="clear" w:color="auto" w:fill="FFFFFF" w:themeFill="background1"/>
            <w:vAlign w:val="center"/>
          </w:tcPr>
          <w:p w14:paraId="28E009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722313.06</w:t>
            </w:r>
          </w:p>
        </w:tc>
        <w:tc>
          <w:tcPr>
            <w:tcW w:w="655" w:type="pct"/>
            <w:shd w:val="clear" w:color="auto" w:fill="FFFFFF" w:themeFill="background1"/>
            <w:vAlign w:val="center"/>
          </w:tcPr>
          <w:p w14:paraId="35D34E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2824054.61</w:t>
            </w:r>
          </w:p>
        </w:tc>
        <w:tc>
          <w:tcPr>
            <w:tcW w:w="364" w:type="pct"/>
            <w:shd w:val="clear" w:color="auto" w:fill="FFFFFF" w:themeFill="background1"/>
            <w:vAlign w:val="center"/>
          </w:tcPr>
          <w:p w14:paraId="067D6D2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14D06C9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1AE3DD3D">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2AB3F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8935.82</w:t>
            </w:r>
          </w:p>
        </w:tc>
        <w:tc>
          <w:tcPr>
            <w:tcW w:w="881" w:type="pct"/>
            <w:shd w:val="clear" w:color="auto" w:fill="FFFFFF" w:themeFill="background1"/>
            <w:vAlign w:val="center"/>
          </w:tcPr>
          <w:p w14:paraId="6EC168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NW</w:t>
            </w:r>
          </w:p>
        </w:tc>
      </w:tr>
      <w:tr w14:paraId="56A7A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7" w:hRule="exact"/>
        </w:trPr>
        <w:tc>
          <w:tcPr>
            <w:tcW w:w="230" w:type="pct"/>
            <w:shd w:val="clear" w:color="auto" w:fill="FFFFFF" w:themeFill="background1"/>
            <w:vAlign w:val="center"/>
          </w:tcPr>
          <w:p w14:paraId="71F82B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w:t>
            </w:r>
          </w:p>
        </w:tc>
        <w:tc>
          <w:tcPr>
            <w:tcW w:w="872" w:type="pct"/>
            <w:shd w:val="clear" w:color="auto" w:fill="FFFFFF" w:themeFill="background1"/>
            <w:vAlign w:val="bottom"/>
          </w:tcPr>
          <w:p w14:paraId="58AE10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莆江村</w:t>
            </w:r>
          </w:p>
          <w:p w14:paraId="28CA88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（莆田）</w:t>
            </w:r>
          </w:p>
        </w:tc>
        <w:tc>
          <w:tcPr>
            <w:tcW w:w="565" w:type="pct"/>
            <w:shd w:val="clear" w:color="auto" w:fill="FFFFFF" w:themeFill="background1"/>
            <w:vAlign w:val="center"/>
          </w:tcPr>
          <w:p w14:paraId="7CF078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722487.97</w:t>
            </w:r>
          </w:p>
        </w:tc>
        <w:tc>
          <w:tcPr>
            <w:tcW w:w="655" w:type="pct"/>
            <w:shd w:val="clear" w:color="auto" w:fill="FFFFFF" w:themeFill="background1"/>
            <w:vAlign w:val="center"/>
          </w:tcPr>
          <w:p w14:paraId="30522C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2822064.99</w:t>
            </w:r>
          </w:p>
        </w:tc>
        <w:tc>
          <w:tcPr>
            <w:tcW w:w="364" w:type="pct"/>
            <w:shd w:val="clear" w:color="auto" w:fill="FFFFFF" w:themeFill="background1"/>
            <w:vAlign w:val="center"/>
          </w:tcPr>
          <w:p w14:paraId="5B8CEDD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88C39C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469057E3">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2A8870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7470.65</w:t>
            </w:r>
          </w:p>
        </w:tc>
        <w:tc>
          <w:tcPr>
            <w:tcW w:w="881" w:type="pct"/>
            <w:shd w:val="clear" w:color="auto" w:fill="FFFFFF" w:themeFill="background1"/>
            <w:vAlign w:val="center"/>
          </w:tcPr>
          <w:p w14:paraId="4F5DA5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NW</w:t>
            </w:r>
          </w:p>
        </w:tc>
      </w:tr>
      <w:tr w14:paraId="499D3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783723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w:t>
            </w:r>
          </w:p>
        </w:tc>
        <w:tc>
          <w:tcPr>
            <w:tcW w:w="872" w:type="pct"/>
            <w:shd w:val="clear" w:color="auto" w:fill="FFFFFF" w:themeFill="background1"/>
            <w:vAlign w:val="center"/>
          </w:tcPr>
          <w:p w14:paraId="764EA8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峰头村</w:t>
            </w:r>
          </w:p>
        </w:tc>
        <w:tc>
          <w:tcPr>
            <w:tcW w:w="565" w:type="pct"/>
            <w:shd w:val="clear" w:color="auto" w:fill="FFFFFF" w:themeFill="background1"/>
            <w:vAlign w:val="center"/>
          </w:tcPr>
          <w:p w14:paraId="42AA01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722124.61</w:t>
            </w:r>
          </w:p>
        </w:tc>
        <w:tc>
          <w:tcPr>
            <w:tcW w:w="655" w:type="pct"/>
            <w:shd w:val="clear" w:color="auto" w:fill="FFFFFF" w:themeFill="background1"/>
            <w:vAlign w:val="center"/>
          </w:tcPr>
          <w:p w14:paraId="0F192F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2819780.52</w:t>
            </w:r>
          </w:p>
        </w:tc>
        <w:tc>
          <w:tcPr>
            <w:tcW w:w="364" w:type="pct"/>
            <w:shd w:val="clear" w:color="auto" w:fill="FFFFFF" w:themeFill="background1"/>
            <w:vAlign w:val="center"/>
          </w:tcPr>
          <w:p w14:paraId="5435922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2634799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462A9CFB">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BD529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6697.54</w:t>
            </w:r>
          </w:p>
        </w:tc>
        <w:tc>
          <w:tcPr>
            <w:tcW w:w="881" w:type="pct"/>
            <w:shd w:val="clear" w:color="auto" w:fill="FFFFFF" w:themeFill="background1"/>
            <w:vAlign w:val="center"/>
          </w:tcPr>
          <w:p w14:paraId="6B9EE3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WNW</w:t>
            </w:r>
          </w:p>
        </w:tc>
      </w:tr>
      <w:tr w14:paraId="1F8AD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FB5AB9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w:t>
            </w:r>
          </w:p>
        </w:tc>
        <w:tc>
          <w:tcPr>
            <w:tcW w:w="872" w:type="pct"/>
            <w:shd w:val="clear" w:color="auto" w:fill="FFFFFF" w:themeFill="background1"/>
            <w:vAlign w:val="center"/>
          </w:tcPr>
          <w:p w14:paraId="6783AF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漆林村</w:t>
            </w:r>
          </w:p>
        </w:tc>
        <w:tc>
          <w:tcPr>
            <w:tcW w:w="565" w:type="pct"/>
            <w:shd w:val="clear" w:color="auto" w:fill="FFFFFF" w:themeFill="background1"/>
            <w:vAlign w:val="center"/>
          </w:tcPr>
          <w:p w14:paraId="41E6C7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722394.64</w:t>
            </w:r>
          </w:p>
        </w:tc>
        <w:tc>
          <w:tcPr>
            <w:tcW w:w="655" w:type="pct"/>
            <w:shd w:val="clear" w:color="auto" w:fill="FFFFFF" w:themeFill="background1"/>
            <w:vAlign w:val="center"/>
          </w:tcPr>
          <w:p w14:paraId="4D935F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2820964.11</w:t>
            </w:r>
          </w:p>
        </w:tc>
        <w:tc>
          <w:tcPr>
            <w:tcW w:w="364" w:type="pct"/>
            <w:shd w:val="clear" w:color="auto" w:fill="FFFFFF" w:themeFill="background1"/>
            <w:vAlign w:val="center"/>
          </w:tcPr>
          <w:p w14:paraId="29CD019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38C4056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311308A">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558007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6942.68</w:t>
            </w:r>
          </w:p>
        </w:tc>
        <w:tc>
          <w:tcPr>
            <w:tcW w:w="881" w:type="pct"/>
            <w:shd w:val="clear" w:color="auto" w:fill="FFFFFF" w:themeFill="background1"/>
            <w:vAlign w:val="center"/>
          </w:tcPr>
          <w:p w14:paraId="2BA622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WNW</w:t>
            </w:r>
          </w:p>
        </w:tc>
      </w:tr>
      <w:tr w14:paraId="6EE47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32" w:hRule="exact"/>
        </w:trPr>
        <w:tc>
          <w:tcPr>
            <w:tcW w:w="230" w:type="pct"/>
            <w:shd w:val="clear" w:color="auto" w:fill="FFFFFF" w:themeFill="background1"/>
            <w:vAlign w:val="center"/>
          </w:tcPr>
          <w:p w14:paraId="2DBED50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w:t>
            </w:r>
          </w:p>
        </w:tc>
        <w:tc>
          <w:tcPr>
            <w:tcW w:w="872" w:type="pct"/>
            <w:shd w:val="clear" w:color="auto" w:fill="FFFFFF" w:themeFill="background1"/>
            <w:vAlign w:val="bottom"/>
          </w:tcPr>
          <w:p w14:paraId="0CFF66A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大东村</w:t>
            </w:r>
          </w:p>
          <w:p w14:paraId="3D10F6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（莆田）</w:t>
            </w:r>
          </w:p>
        </w:tc>
        <w:tc>
          <w:tcPr>
            <w:tcW w:w="565" w:type="pct"/>
            <w:shd w:val="clear" w:color="auto" w:fill="FFFFFF" w:themeFill="background1"/>
            <w:vAlign w:val="center"/>
          </w:tcPr>
          <w:p w14:paraId="4EC76F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722840.17</w:t>
            </w:r>
          </w:p>
        </w:tc>
        <w:tc>
          <w:tcPr>
            <w:tcW w:w="655" w:type="pct"/>
            <w:shd w:val="clear" w:color="auto" w:fill="FFFFFF" w:themeFill="background1"/>
            <w:vAlign w:val="center"/>
          </w:tcPr>
          <w:p w14:paraId="5402D5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2823259.95</w:t>
            </w:r>
          </w:p>
        </w:tc>
        <w:tc>
          <w:tcPr>
            <w:tcW w:w="364" w:type="pct"/>
            <w:shd w:val="clear" w:color="auto" w:fill="FFFFFF" w:themeFill="background1"/>
            <w:vAlign w:val="center"/>
          </w:tcPr>
          <w:p w14:paraId="0BB4D49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334BFEB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577A13A">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5970F36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7997.57</w:t>
            </w:r>
          </w:p>
        </w:tc>
        <w:tc>
          <w:tcPr>
            <w:tcW w:w="881" w:type="pct"/>
            <w:shd w:val="clear" w:color="auto" w:fill="FFFFFF" w:themeFill="background1"/>
            <w:vAlign w:val="center"/>
          </w:tcPr>
          <w:p w14:paraId="5D35AA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NW</w:t>
            </w:r>
          </w:p>
        </w:tc>
      </w:tr>
      <w:tr w14:paraId="24335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4CED93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w:t>
            </w:r>
          </w:p>
        </w:tc>
        <w:tc>
          <w:tcPr>
            <w:tcW w:w="872" w:type="pct"/>
            <w:shd w:val="clear" w:color="auto" w:fill="FFFFFF" w:themeFill="background1"/>
            <w:vAlign w:val="center"/>
          </w:tcPr>
          <w:p w14:paraId="5143FF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霞埔村</w:t>
            </w:r>
          </w:p>
        </w:tc>
        <w:tc>
          <w:tcPr>
            <w:tcW w:w="565" w:type="pct"/>
            <w:shd w:val="clear" w:color="auto" w:fill="FFFFFF" w:themeFill="background1"/>
            <w:vAlign w:val="center"/>
          </w:tcPr>
          <w:p w14:paraId="38BF87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724768.01</w:t>
            </w:r>
          </w:p>
        </w:tc>
        <w:tc>
          <w:tcPr>
            <w:tcW w:w="655" w:type="pct"/>
            <w:shd w:val="clear" w:color="auto" w:fill="FFFFFF" w:themeFill="background1"/>
            <w:vAlign w:val="center"/>
          </w:tcPr>
          <w:p w14:paraId="26AE477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2821765.12</w:t>
            </w:r>
          </w:p>
        </w:tc>
        <w:tc>
          <w:tcPr>
            <w:tcW w:w="364" w:type="pct"/>
            <w:shd w:val="clear" w:color="auto" w:fill="FFFFFF" w:themeFill="background1"/>
            <w:vAlign w:val="center"/>
          </w:tcPr>
          <w:p w14:paraId="06F8460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7DA2101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4D5034FF">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190DF1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5590.23</w:t>
            </w:r>
          </w:p>
        </w:tc>
        <w:tc>
          <w:tcPr>
            <w:tcW w:w="881" w:type="pct"/>
            <w:shd w:val="clear" w:color="auto" w:fill="FFFFFF" w:themeFill="background1"/>
            <w:vAlign w:val="center"/>
          </w:tcPr>
          <w:p w14:paraId="46EA43A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NW</w:t>
            </w:r>
          </w:p>
        </w:tc>
      </w:tr>
      <w:tr w14:paraId="7FDB8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61E289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8</w:t>
            </w:r>
          </w:p>
        </w:tc>
        <w:tc>
          <w:tcPr>
            <w:tcW w:w="872" w:type="pct"/>
            <w:shd w:val="clear" w:color="auto" w:fill="FFFFFF" w:themeFill="background1"/>
            <w:vAlign w:val="center"/>
          </w:tcPr>
          <w:p w14:paraId="4AB0F8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芝山</w:t>
            </w:r>
          </w:p>
        </w:tc>
        <w:tc>
          <w:tcPr>
            <w:tcW w:w="565" w:type="pct"/>
            <w:shd w:val="clear" w:color="auto" w:fill="FFFFFF" w:themeFill="background1"/>
            <w:vAlign w:val="center"/>
          </w:tcPr>
          <w:p w14:paraId="022962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729868.78</w:t>
            </w:r>
          </w:p>
        </w:tc>
        <w:tc>
          <w:tcPr>
            <w:tcW w:w="655" w:type="pct"/>
            <w:shd w:val="clear" w:color="auto" w:fill="FFFFFF" w:themeFill="background1"/>
            <w:vAlign w:val="center"/>
          </w:tcPr>
          <w:p w14:paraId="08A401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2819463.53</w:t>
            </w:r>
          </w:p>
        </w:tc>
        <w:tc>
          <w:tcPr>
            <w:tcW w:w="364" w:type="pct"/>
            <w:shd w:val="clear" w:color="auto" w:fill="FFFFFF" w:themeFill="background1"/>
            <w:vAlign w:val="center"/>
          </w:tcPr>
          <w:p w14:paraId="16D528C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A8B0D0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13801BA7">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4B19D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2388.43</w:t>
            </w:r>
          </w:p>
        </w:tc>
        <w:tc>
          <w:tcPr>
            <w:tcW w:w="881" w:type="pct"/>
            <w:shd w:val="clear" w:color="auto" w:fill="FFFFFF" w:themeFill="background1"/>
            <w:vAlign w:val="center"/>
          </w:tcPr>
          <w:p w14:paraId="1CFF0E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0C584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2E921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9</w:t>
            </w:r>
          </w:p>
        </w:tc>
        <w:tc>
          <w:tcPr>
            <w:tcW w:w="872" w:type="pct"/>
            <w:shd w:val="clear" w:color="auto" w:fill="FFFFFF" w:themeFill="background1"/>
            <w:vAlign w:val="center"/>
          </w:tcPr>
          <w:p w14:paraId="64AAEF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高局</w:t>
            </w:r>
          </w:p>
        </w:tc>
        <w:tc>
          <w:tcPr>
            <w:tcW w:w="565" w:type="pct"/>
            <w:shd w:val="clear" w:color="auto" w:fill="FFFFFF" w:themeFill="background1"/>
            <w:vAlign w:val="center"/>
          </w:tcPr>
          <w:p w14:paraId="0CA388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730539.24</w:t>
            </w:r>
          </w:p>
        </w:tc>
        <w:tc>
          <w:tcPr>
            <w:tcW w:w="655" w:type="pct"/>
            <w:shd w:val="clear" w:color="auto" w:fill="FFFFFF" w:themeFill="background1"/>
            <w:vAlign w:val="center"/>
          </w:tcPr>
          <w:p w14:paraId="78C87C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2819585.72</w:t>
            </w:r>
          </w:p>
        </w:tc>
        <w:tc>
          <w:tcPr>
            <w:tcW w:w="364" w:type="pct"/>
            <w:shd w:val="clear" w:color="auto" w:fill="FFFFFF" w:themeFill="background1"/>
            <w:vAlign w:val="center"/>
          </w:tcPr>
          <w:p w14:paraId="3E5798D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18FF5A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4AD0F22C">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4CE753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2924.53</w:t>
            </w:r>
          </w:p>
        </w:tc>
        <w:tc>
          <w:tcPr>
            <w:tcW w:w="881" w:type="pct"/>
            <w:shd w:val="clear" w:color="auto" w:fill="FFFFFF" w:themeFill="background1"/>
            <w:vAlign w:val="center"/>
          </w:tcPr>
          <w:p w14:paraId="6172CE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0C404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315C27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10</w:t>
            </w:r>
          </w:p>
        </w:tc>
        <w:tc>
          <w:tcPr>
            <w:tcW w:w="872" w:type="pct"/>
            <w:shd w:val="clear" w:color="auto" w:fill="FFFFFF" w:themeFill="background1"/>
            <w:vAlign w:val="center"/>
          </w:tcPr>
          <w:p w14:paraId="376842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西山</w:t>
            </w:r>
          </w:p>
        </w:tc>
        <w:tc>
          <w:tcPr>
            <w:tcW w:w="565" w:type="pct"/>
            <w:shd w:val="clear" w:color="auto" w:fill="FFFFFF" w:themeFill="background1"/>
            <w:vAlign w:val="center"/>
          </w:tcPr>
          <w:p w14:paraId="35DB20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730183.77</w:t>
            </w:r>
          </w:p>
        </w:tc>
        <w:tc>
          <w:tcPr>
            <w:tcW w:w="655" w:type="pct"/>
            <w:shd w:val="clear" w:color="auto" w:fill="FFFFFF" w:themeFill="background1"/>
            <w:vAlign w:val="center"/>
          </w:tcPr>
          <w:p w14:paraId="3267DE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2820198.59</w:t>
            </w:r>
          </w:p>
        </w:tc>
        <w:tc>
          <w:tcPr>
            <w:tcW w:w="364" w:type="pct"/>
            <w:shd w:val="clear" w:color="auto" w:fill="FFFFFF" w:themeFill="background1"/>
            <w:vAlign w:val="center"/>
          </w:tcPr>
          <w:p w14:paraId="55C5D17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2102372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6D0B6481">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91B9A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3171.4</w:t>
            </w:r>
          </w:p>
        </w:tc>
        <w:tc>
          <w:tcPr>
            <w:tcW w:w="881" w:type="pct"/>
            <w:shd w:val="clear" w:color="auto" w:fill="FFFFFF" w:themeFill="background1"/>
            <w:vAlign w:val="center"/>
          </w:tcPr>
          <w:p w14:paraId="6309DB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NNE</w:t>
            </w:r>
          </w:p>
        </w:tc>
      </w:tr>
      <w:tr w14:paraId="53DF6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9DA13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11</w:t>
            </w:r>
          </w:p>
        </w:tc>
        <w:tc>
          <w:tcPr>
            <w:tcW w:w="872" w:type="pct"/>
            <w:shd w:val="clear" w:color="auto" w:fill="FFFFFF" w:themeFill="background1"/>
            <w:vAlign w:val="center"/>
          </w:tcPr>
          <w:p w14:paraId="5E39F5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东井村</w:t>
            </w:r>
          </w:p>
        </w:tc>
        <w:tc>
          <w:tcPr>
            <w:tcW w:w="565" w:type="pct"/>
            <w:shd w:val="clear" w:color="auto" w:fill="FFFFFF" w:themeFill="background1"/>
            <w:vAlign w:val="center"/>
          </w:tcPr>
          <w:p w14:paraId="709C9F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730966.45</w:t>
            </w:r>
          </w:p>
        </w:tc>
        <w:tc>
          <w:tcPr>
            <w:tcW w:w="655" w:type="pct"/>
            <w:shd w:val="clear" w:color="auto" w:fill="FFFFFF" w:themeFill="background1"/>
            <w:vAlign w:val="center"/>
          </w:tcPr>
          <w:p w14:paraId="438F80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2820803.46</w:t>
            </w:r>
          </w:p>
        </w:tc>
        <w:tc>
          <w:tcPr>
            <w:tcW w:w="364" w:type="pct"/>
            <w:shd w:val="clear" w:color="auto" w:fill="FFFFFF" w:themeFill="background1"/>
            <w:vAlign w:val="center"/>
          </w:tcPr>
          <w:p w14:paraId="733459D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3A68839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68D586D">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078631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4119.54</w:t>
            </w:r>
          </w:p>
        </w:tc>
        <w:tc>
          <w:tcPr>
            <w:tcW w:w="881" w:type="pct"/>
            <w:shd w:val="clear" w:color="auto" w:fill="FFFFFF" w:themeFill="background1"/>
            <w:vAlign w:val="center"/>
          </w:tcPr>
          <w:p w14:paraId="421C54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58CBD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3BF88B5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12</w:t>
            </w:r>
          </w:p>
        </w:tc>
        <w:tc>
          <w:tcPr>
            <w:tcW w:w="872" w:type="pct"/>
            <w:shd w:val="clear" w:color="auto" w:fill="FFFFFF" w:themeFill="background1"/>
            <w:vAlign w:val="center"/>
          </w:tcPr>
          <w:p w14:paraId="4906C6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沾泽村</w:t>
            </w:r>
          </w:p>
        </w:tc>
        <w:tc>
          <w:tcPr>
            <w:tcW w:w="565" w:type="pct"/>
            <w:shd w:val="clear" w:color="auto" w:fill="FFFFFF" w:themeFill="background1"/>
            <w:vAlign w:val="center"/>
          </w:tcPr>
          <w:p w14:paraId="23F8F4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732234.57</w:t>
            </w:r>
          </w:p>
        </w:tc>
        <w:tc>
          <w:tcPr>
            <w:tcW w:w="655" w:type="pct"/>
            <w:shd w:val="clear" w:color="auto" w:fill="FFFFFF" w:themeFill="background1"/>
            <w:vAlign w:val="center"/>
          </w:tcPr>
          <w:p w14:paraId="20C636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2818512.46</w:t>
            </w:r>
          </w:p>
        </w:tc>
        <w:tc>
          <w:tcPr>
            <w:tcW w:w="364" w:type="pct"/>
            <w:shd w:val="clear" w:color="auto" w:fill="FFFFFF" w:themeFill="background1"/>
            <w:vAlign w:val="center"/>
          </w:tcPr>
          <w:p w14:paraId="6F22768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1829A96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1153B8CC">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53E5135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3915.03</w:t>
            </w:r>
          </w:p>
        </w:tc>
        <w:tc>
          <w:tcPr>
            <w:tcW w:w="881" w:type="pct"/>
            <w:shd w:val="clear" w:color="auto" w:fill="FFFFFF" w:themeFill="background1"/>
            <w:vAlign w:val="center"/>
          </w:tcPr>
          <w:p w14:paraId="162306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ENE</w:t>
            </w:r>
          </w:p>
        </w:tc>
      </w:tr>
      <w:tr w14:paraId="709D4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F8F13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13</w:t>
            </w:r>
          </w:p>
        </w:tc>
        <w:tc>
          <w:tcPr>
            <w:tcW w:w="872" w:type="pct"/>
            <w:shd w:val="clear" w:color="auto" w:fill="FFFFFF" w:themeFill="background1"/>
            <w:vAlign w:val="center"/>
          </w:tcPr>
          <w:p w14:paraId="4EF58E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南曹村</w:t>
            </w:r>
          </w:p>
        </w:tc>
        <w:tc>
          <w:tcPr>
            <w:tcW w:w="565" w:type="pct"/>
            <w:shd w:val="clear" w:color="auto" w:fill="FFFFFF" w:themeFill="background1"/>
            <w:vAlign w:val="center"/>
          </w:tcPr>
          <w:p w14:paraId="3D6CB2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730999.56</w:t>
            </w:r>
          </w:p>
        </w:tc>
        <w:tc>
          <w:tcPr>
            <w:tcW w:w="655" w:type="pct"/>
            <w:shd w:val="clear" w:color="auto" w:fill="FFFFFF" w:themeFill="background1"/>
            <w:vAlign w:val="center"/>
          </w:tcPr>
          <w:p w14:paraId="0E0FF6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2818145.48</w:t>
            </w:r>
          </w:p>
        </w:tc>
        <w:tc>
          <w:tcPr>
            <w:tcW w:w="364" w:type="pct"/>
            <w:shd w:val="clear" w:color="auto" w:fill="FFFFFF" w:themeFill="background1"/>
            <w:vAlign w:val="center"/>
          </w:tcPr>
          <w:p w14:paraId="15795A4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6B87F57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9E069C9">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11472D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2628.22</w:t>
            </w:r>
          </w:p>
        </w:tc>
        <w:tc>
          <w:tcPr>
            <w:tcW w:w="881" w:type="pct"/>
            <w:shd w:val="clear" w:color="auto" w:fill="FFFFFF" w:themeFill="background1"/>
            <w:vAlign w:val="center"/>
          </w:tcPr>
          <w:p w14:paraId="72ACF76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ENE</w:t>
            </w:r>
          </w:p>
        </w:tc>
      </w:tr>
      <w:tr w14:paraId="7F114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5CD27B8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14</w:t>
            </w:r>
          </w:p>
        </w:tc>
        <w:tc>
          <w:tcPr>
            <w:tcW w:w="872" w:type="pct"/>
            <w:shd w:val="clear" w:color="auto" w:fill="FFFFFF" w:themeFill="background1"/>
            <w:vAlign w:val="center"/>
          </w:tcPr>
          <w:p w14:paraId="11DABE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东江水厂</w:t>
            </w:r>
          </w:p>
        </w:tc>
        <w:tc>
          <w:tcPr>
            <w:tcW w:w="565" w:type="pct"/>
            <w:shd w:val="clear" w:color="auto" w:fill="FFFFFF" w:themeFill="background1"/>
            <w:vAlign w:val="center"/>
          </w:tcPr>
          <w:p w14:paraId="0FD455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730285.44</w:t>
            </w:r>
          </w:p>
        </w:tc>
        <w:tc>
          <w:tcPr>
            <w:tcW w:w="655" w:type="pct"/>
            <w:shd w:val="clear" w:color="auto" w:fill="FFFFFF" w:themeFill="background1"/>
            <w:vAlign w:val="center"/>
          </w:tcPr>
          <w:p w14:paraId="5FEC0D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2818679.82</w:t>
            </w:r>
          </w:p>
        </w:tc>
        <w:tc>
          <w:tcPr>
            <w:tcW w:w="364" w:type="pct"/>
            <w:shd w:val="clear" w:color="auto" w:fill="FFFFFF" w:themeFill="background1"/>
            <w:vAlign w:val="center"/>
          </w:tcPr>
          <w:p w14:paraId="7DC585D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1DADC79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2ECF4812">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10CAE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2164.16</w:t>
            </w:r>
          </w:p>
        </w:tc>
        <w:tc>
          <w:tcPr>
            <w:tcW w:w="881" w:type="pct"/>
            <w:shd w:val="clear" w:color="auto" w:fill="FFFFFF" w:themeFill="background1"/>
            <w:vAlign w:val="center"/>
          </w:tcPr>
          <w:p w14:paraId="3E87E9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ENE</w:t>
            </w:r>
          </w:p>
        </w:tc>
      </w:tr>
      <w:tr w14:paraId="26940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552629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w:t>
            </w:r>
          </w:p>
        </w:tc>
        <w:tc>
          <w:tcPr>
            <w:tcW w:w="872" w:type="pct"/>
            <w:shd w:val="clear" w:color="auto" w:fill="FFFFFF" w:themeFill="background1"/>
            <w:vAlign w:val="center"/>
          </w:tcPr>
          <w:p w14:paraId="3402741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东沃村</w:t>
            </w:r>
          </w:p>
        </w:tc>
        <w:tc>
          <w:tcPr>
            <w:tcW w:w="565" w:type="pct"/>
            <w:shd w:val="clear" w:color="auto" w:fill="FFFFFF" w:themeFill="background1"/>
            <w:vAlign w:val="center"/>
          </w:tcPr>
          <w:p w14:paraId="5D2BE3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723639.86</w:t>
            </w:r>
          </w:p>
        </w:tc>
        <w:tc>
          <w:tcPr>
            <w:tcW w:w="655" w:type="pct"/>
            <w:shd w:val="clear" w:color="auto" w:fill="FFFFFF" w:themeFill="background1"/>
            <w:vAlign w:val="center"/>
          </w:tcPr>
          <w:p w14:paraId="77BA13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2819213.39</w:t>
            </w:r>
          </w:p>
        </w:tc>
        <w:tc>
          <w:tcPr>
            <w:tcW w:w="364" w:type="pct"/>
            <w:shd w:val="clear" w:color="auto" w:fill="FFFFFF" w:themeFill="background1"/>
            <w:vAlign w:val="center"/>
          </w:tcPr>
          <w:p w14:paraId="387B81C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752F2F2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2E319070">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E7EF0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5080</w:t>
            </w:r>
          </w:p>
        </w:tc>
        <w:tc>
          <w:tcPr>
            <w:tcW w:w="881" w:type="pct"/>
            <w:shd w:val="clear" w:color="auto" w:fill="FFFFFF" w:themeFill="background1"/>
            <w:vAlign w:val="center"/>
          </w:tcPr>
          <w:p w14:paraId="26DA7A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WNW</w:t>
            </w:r>
          </w:p>
        </w:tc>
      </w:tr>
      <w:tr w14:paraId="62BFB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90DAA9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w:t>
            </w:r>
          </w:p>
        </w:tc>
        <w:tc>
          <w:tcPr>
            <w:tcW w:w="872" w:type="pct"/>
            <w:shd w:val="clear" w:color="auto" w:fill="FFFFFF" w:themeFill="background1"/>
            <w:vAlign w:val="center"/>
          </w:tcPr>
          <w:p w14:paraId="3C5511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潘厝村</w:t>
            </w:r>
          </w:p>
        </w:tc>
        <w:tc>
          <w:tcPr>
            <w:tcW w:w="565" w:type="pct"/>
            <w:shd w:val="clear" w:color="auto" w:fill="FFFFFF" w:themeFill="background1"/>
            <w:vAlign w:val="center"/>
          </w:tcPr>
          <w:p w14:paraId="26904E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730947.05</w:t>
            </w:r>
          </w:p>
        </w:tc>
        <w:tc>
          <w:tcPr>
            <w:tcW w:w="655" w:type="pct"/>
            <w:shd w:val="clear" w:color="auto" w:fill="FFFFFF" w:themeFill="background1"/>
            <w:vAlign w:val="center"/>
          </w:tcPr>
          <w:p w14:paraId="092463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2821176.78</w:t>
            </w:r>
          </w:p>
        </w:tc>
        <w:tc>
          <w:tcPr>
            <w:tcW w:w="364" w:type="pct"/>
            <w:shd w:val="clear" w:color="auto" w:fill="FFFFFF" w:themeFill="background1"/>
            <w:vAlign w:val="center"/>
          </w:tcPr>
          <w:p w14:paraId="53FAD1A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584910F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61D8B49">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6752D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4409.26</w:t>
            </w:r>
          </w:p>
        </w:tc>
        <w:tc>
          <w:tcPr>
            <w:tcW w:w="881" w:type="pct"/>
            <w:shd w:val="clear" w:color="auto" w:fill="FFFFFF" w:themeFill="background1"/>
            <w:vAlign w:val="center"/>
          </w:tcPr>
          <w:p w14:paraId="484D90F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4932B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6FED1D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17</w:t>
            </w:r>
          </w:p>
        </w:tc>
        <w:tc>
          <w:tcPr>
            <w:tcW w:w="872" w:type="pct"/>
            <w:shd w:val="clear" w:color="auto" w:fill="FFFFFF" w:themeFill="background1"/>
            <w:vAlign w:val="center"/>
          </w:tcPr>
          <w:p w14:paraId="769B35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何厝村</w:t>
            </w:r>
          </w:p>
        </w:tc>
        <w:tc>
          <w:tcPr>
            <w:tcW w:w="565" w:type="pct"/>
            <w:shd w:val="clear" w:color="auto" w:fill="FFFFFF" w:themeFill="background1"/>
            <w:vAlign w:val="center"/>
          </w:tcPr>
          <w:p w14:paraId="3B59A4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731758.13</w:t>
            </w:r>
          </w:p>
        </w:tc>
        <w:tc>
          <w:tcPr>
            <w:tcW w:w="655" w:type="pct"/>
            <w:shd w:val="clear" w:color="auto" w:fill="FFFFFF" w:themeFill="background1"/>
            <w:vAlign w:val="center"/>
          </w:tcPr>
          <w:p w14:paraId="790D17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2816413.27</w:t>
            </w:r>
          </w:p>
        </w:tc>
        <w:tc>
          <w:tcPr>
            <w:tcW w:w="364" w:type="pct"/>
            <w:shd w:val="clear" w:color="auto" w:fill="FFFFFF" w:themeFill="background1"/>
            <w:vAlign w:val="center"/>
          </w:tcPr>
          <w:p w14:paraId="06568AC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116F1C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28470277">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4736638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3507.62</w:t>
            </w:r>
          </w:p>
        </w:tc>
        <w:tc>
          <w:tcPr>
            <w:tcW w:w="881" w:type="pct"/>
            <w:shd w:val="clear" w:color="auto" w:fill="FFFFFF" w:themeFill="background1"/>
            <w:vAlign w:val="center"/>
          </w:tcPr>
          <w:p w14:paraId="0C94F2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ESE</w:t>
            </w:r>
          </w:p>
        </w:tc>
      </w:tr>
      <w:tr w14:paraId="595C0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3A1A29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18</w:t>
            </w:r>
          </w:p>
        </w:tc>
        <w:tc>
          <w:tcPr>
            <w:tcW w:w="872" w:type="pct"/>
            <w:shd w:val="clear" w:color="auto" w:fill="FFFFFF" w:themeFill="background1"/>
            <w:vAlign w:val="center"/>
          </w:tcPr>
          <w:p w14:paraId="18C813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田头村</w:t>
            </w:r>
          </w:p>
        </w:tc>
        <w:tc>
          <w:tcPr>
            <w:tcW w:w="565" w:type="pct"/>
            <w:shd w:val="clear" w:color="auto" w:fill="FFFFFF" w:themeFill="background1"/>
            <w:vAlign w:val="center"/>
          </w:tcPr>
          <w:p w14:paraId="4E911B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733053.35</w:t>
            </w:r>
          </w:p>
        </w:tc>
        <w:tc>
          <w:tcPr>
            <w:tcW w:w="655" w:type="pct"/>
            <w:shd w:val="clear" w:color="auto" w:fill="FFFFFF" w:themeFill="background1"/>
            <w:vAlign w:val="center"/>
          </w:tcPr>
          <w:p w14:paraId="2FDC5F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2818022.5</w:t>
            </w:r>
          </w:p>
        </w:tc>
        <w:tc>
          <w:tcPr>
            <w:tcW w:w="364" w:type="pct"/>
            <w:shd w:val="clear" w:color="auto" w:fill="FFFFFF" w:themeFill="background1"/>
            <w:vAlign w:val="center"/>
          </w:tcPr>
          <w:p w14:paraId="344B5D9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A519BB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37CF3749">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2388BEC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4637.76</w:t>
            </w:r>
          </w:p>
        </w:tc>
        <w:tc>
          <w:tcPr>
            <w:tcW w:w="881" w:type="pct"/>
            <w:shd w:val="clear" w:color="auto" w:fill="FFFFFF" w:themeFill="background1"/>
            <w:vAlign w:val="center"/>
          </w:tcPr>
          <w:p w14:paraId="500B37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w:t>
            </w:r>
          </w:p>
        </w:tc>
      </w:tr>
      <w:tr w14:paraId="4713B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3AA164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19</w:t>
            </w:r>
          </w:p>
        </w:tc>
        <w:tc>
          <w:tcPr>
            <w:tcW w:w="872" w:type="pct"/>
            <w:shd w:val="clear" w:color="auto" w:fill="FFFFFF" w:themeFill="background1"/>
            <w:vAlign w:val="center"/>
          </w:tcPr>
          <w:p w14:paraId="5C9B6A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下堡村</w:t>
            </w:r>
          </w:p>
        </w:tc>
        <w:tc>
          <w:tcPr>
            <w:tcW w:w="565" w:type="pct"/>
            <w:shd w:val="clear" w:color="auto" w:fill="FFFFFF" w:themeFill="background1"/>
            <w:vAlign w:val="center"/>
          </w:tcPr>
          <w:p w14:paraId="514B3B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732732.28</w:t>
            </w:r>
          </w:p>
        </w:tc>
        <w:tc>
          <w:tcPr>
            <w:tcW w:w="655" w:type="pct"/>
            <w:shd w:val="clear" w:color="auto" w:fill="FFFFFF" w:themeFill="background1"/>
            <w:vAlign w:val="center"/>
          </w:tcPr>
          <w:p w14:paraId="4E3300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2816415.36</w:t>
            </w:r>
          </w:p>
        </w:tc>
        <w:tc>
          <w:tcPr>
            <w:tcW w:w="364" w:type="pct"/>
            <w:shd w:val="clear" w:color="auto" w:fill="FFFFFF" w:themeFill="background1"/>
            <w:vAlign w:val="center"/>
          </w:tcPr>
          <w:p w14:paraId="15AC50B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EA1851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657B08C2">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C0BF90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4439.91</w:t>
            </w:r>
          </w:p>
        </w:tc>
        <w:tc>
          <w:tcPr>
            <w:tcW w:w="881" w:type="pct"/>
            <w:shd w:val="clear" w:color="auto" w:fill="FFFFFF" w:themeFill="background1"/>
            <w:vAlign w:val="center"/>
          </w:tcPr>
          <w:p w14:paraId="325D79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ESE</w:t>
            </w:r>
          </w:p>
        </w:tc>
      </w:tr>
      <w:tr w14:paraId="5FB61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5B1C2C8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w:t>
            </w:r>
          </w:p>
        </w:tc>
        <w:tc>
          <w:tcPr>
            <w:tcW w:w="872" w:type="pct"/>
            <w:shd w:val="clear" w:color="auto" w:fill="FFFFFF" w:themeFill="background1"/>
            <w:vAlign w:val="center"/>
          </w:tcPr>
          <w:p w14:paraId="62E576A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下石村</w:t>
            </w:r>
          </w:p>
        </w:tc>
        <w:tc>
          <w:tcPr>
            <w:tcW w:w="565" w:type="pct"/>
            <w:shd w:val="clear" w:color="auto" w:fill="FFFFFF" w:themeFill="background1"/>
            <w:vAlign w:val="center"/>
          </w:tcPr>
          <w:p w14:paraId="1805102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731259.61</w:t>
            </w:r>
          </w:p>
        </w:tc>
        <w:tc>
          <w:tcPr>
            <w:tcW w:w="655" w:type="pct"/>
            <w:shd w:val="clear" w:color="auto" w:fill="FFFFFF" w:themeFill="background1"/>
            <w:vAlign w:val="center"/>
          </w:tcPr>
          <w:p w14:paraId="15495F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2815327.32</w:t>
            </w:r>
          </w:p>
        </w:tc>
        <w:tc>
          <w:tcPr>
            <w:tcW w:w="364" w:type="pct"/>
            <w:shd w:val="clear" w:color="auto" w:fill="FFFFFF" w:themeFill="background1"/>
            <w:vAlign w:val="center"/>
          </w:tcPr>
          <w:p w14:paraId="3AEE935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6D987C4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DE5792E">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766A0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3590.41</w:t>
            </w:r>
          </w:p>
        </w:tc>
        <w:tc>
          <w:tcPr>
            <w:tcW w:w="881" w:type="pct"/>
            <w:shd w:val="clear" w:color="auto" w:fill="FFFFFF" w:themeFill="background1"/>
            <w:vAlign w:val="center"/>
          </w:tcPr>
          <w:p w14:paraId="77179B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SE</w:t>
            </w:r>
          </w:p>
        </w:tc>
      </w:tr>
      <w:tr w14:paraId="71C3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672A70B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21</w:t>
            </w:r>
          </w:p>
        </w:tc>
        <w:tc>
          <w:tcPr>
            <w:tcW w:w="872" w:type="pct"/>
            <w:shd w:val="clear" w:color="auto" w:fill="FFFFFF" w:themeFill="background1"/>
            <w:vAlign w:val="center"/>
          </w:tcPr>
          <w:p w14:paraId="6232C3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江阴镇</w:t>
            </w:r>
          </w:p>
        </w:tc>
        <w:tc>
          <w:tcPr>
            <w:tcW w:w="565" w:type="pct"/>
            <w:shd w:val="clear" w:color="auto" w:fill="FFFFFF" w:themeFill="background1"/>
            <w:vAlign w:val="center"/>
          </w:tcPr>
          <w:p w14:paraId="508C30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732822.14</w:t>
            </w:r>
          </w:p>
        </w:tc>
        <w:tc>
          <w:tcPr>
            <w:tcW w:w="655" w:type="pct"/>
            <w:shd w:val="clear" w:color="auto" w:fill="FFFFFF" w:themeFill="background1"/>
            <w:vAlign w:val="center"/>
          </w:tcPr>
          <w:p w14:paraId="2D3749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2817688.21</w:t>
            </w:r>
          </w:p>
        </w:tc>
        <w:tc>
          <w:tcPr>
            <w:tcW w:w="364" w:type="pct"/>
            <w:shd w:val="clear" w:color="auto" w:fill="FFFFFF" w:themeFill="background1"/>
            <w:vAlign w:val="center"/>
          </w:tcPr>
          <w:p w14:paraId="3CFAA25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7632879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B87CD13">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73D30E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4384.59</w:t>
            </w:r>
          </w:p>
        </w:tc>
        <w:tc>
          <w:tcPr>
            <w:tcW w:w="881" w:type="pct"/>
            <w:shd w:val="clear" w:color="auto" w:fill="FFFFFF" w:themeFill="background1"/>
            <w:vAlign w:val="center"/>
          </w:tcPr>
          <w:p w14:paraId="02CF9C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w:t>
            </w:r>
          </w:p>
        </w:tc>
      </w:tr>
      <w:tr w14:paraId="40294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6F0D35C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22</w:t>
            </w:r>
          </w:p>
        </w:tc>
        <w:tc>
          <w:tcPr>
            <w:tcW w:w="872" w:type="pct"/>
            <w:shd w:val="clear" w:color="auto" w:fill="FFFFFF" w:themeFill="background1"/>
            <w:vAlign w:val="center"/>
          </w:tcPr>
          <w:p w14:paraId="68D43B8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后林</w:t>
            </w:r>
          </w:p>
        </w:tc>
        <w:tc>
          <w:tcPr>
            <w:tcW w:w="565" w:type="pct"/>
            <w:shd w:val="clear" w:color="auto" w:fill="FFFFFF" w:themeFill="background1"/>
            <w:vAlign w:val="center"/>
          </w:tcPr>
          <w:p w14:paraId="30FD759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730656.57</w:t>
            </w:r>
          </w:p>
        </w:tc>
        <w:tc>
          <w:tcPr>
            <w:tcW w:w="655" w:type="pct"/>
            <w:shd w:val="clear" w:color="auto" w:fill="FFFFFF" w:themeFill="background1"/>
            <w:vAlign w:val="center"/>
          </w:tcPr>
          <w:p w14:paraId="069565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2816039.66</w:t>
            </w:r>
          </w:p>
        </w:tc>
        <w:tc>
          <w:tcPr>
            <w:tcW w:w="364" w:type="pct"/>
            <w:shd w:val="clear" w:color="auto" w:fill="FFFFFF" w:themeFill="background1"/>
            <w:vAlign w:val="center"/>
          </w:tcPr>
          <w:p w14:paraId="2C66569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6D150D2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BA5E496">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063F25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2682.32</w:t>
            </w:r>
          </w:p>
        </w:tc>
        <w:tc>
          <w:tcPr>
            <w:tcW w:w="881" w:type="pct"/>
            <w:shd w:val="clear" w:color="auto" w:fill="FFFFFF" w:themeFill="background1"/>
            <w:vAlign w:val="center"/>
          </w:tcPr>
          <w:p w14:paraId="3F8DDB7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SE</w:t>
            </w:r>
          </w:p>
        </w:tc>
      </w:tr>
      <w:tr w14:paraId="12ADA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09A685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23</w:t>
            </w:r>
          </w:p>
        </w:tc>
        <w:tc>
          <w:tcPr>
            <w:tcW w:w="872" w:type="pct"/>
            <w:shd w:val="clear" w:color="auto" w:fill="FFFFFF" w:themeFill="background1"/>
            <w:vAlign w:val="center"/>
          </w:tcPr>
          <w:p w14:paraId="545E77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岭兜</w:t>
            </w:r>
          </w:p>
        </w:tc>
        <w:tc>
          <w:tcPr>
            <w:tcW w:w="565" w:type="pct"/>
            <w:shd w:val="clear" w:color="auto" w:fill="FFFFFF" w:themeFill="background1"/>
            <w:vAlign w:val="center"/>
          </w:tcPr>
          <w:p w14:paraId="470AC94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731202.36</w:t>
            </w:r>
          </w:p>
        </w:tc>
        <w:tc>
          <w:tcPr>
            <w:tcW w:w="655" w:type="pct"/>
            <w:shd w:val="clear" w:color="auto" w:fill="FFFFFF" w:themeFill="background1"/>
            <w:vAlign w:val="center"/>
          </w:tcPr>
          <w:p w14:paraId="03D782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2817139.22</w:t>
            </w:r>
          </w:p>
        </w:tc>
        <w:tc>
          <w:tcPr>
            <w:tcW w:w="364" w:type="pct"/>
            <w:shd w:val="clear" w:color="auto" w:fill="FFFFFF" w:themeFill="background1"/>
            <w:vAlign w:val="center"/>
          </w:tcPr>
          <w:p w14:paraId="7DBD0C4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588DBD9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0AE2430">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43AF2E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2792.96</w:t>
            </w:r>
          </w:p>
        </w:tc>
        <w:tc>
          <w:tcPr>
            <w:tcW w:w="881" w:type="pct"/>
            <w:shd w:val="clear" w:color="auto" w:fill="FFFFFF" w:themeFill="background1"/>
            <w:vAlign w:val="center"/>
          </w:tcPr>
          <w:p w14:paraId="32917E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w:t>
            </w:r>
          </w:p>
        </w:tc>
      </w:tr>
      <w:tr w14:paraId="0907B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B7848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24</w:t>
            </w:r>
          </w:p>
        </w:tc>
        <w:tc>
          <w:tcPr>
            <w:tcW w:w="872" w:type="pct"/>
            <w:shd w:val="clear" w:color="auto" w:fill="FFFFFF" w:themeFill="background1"/>
            <w:vAlign w:val="center"/>
          </w:tcPr>
          <w:p w14:paraId="408B81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布厝</w:t>
            </w:r>
          </w:p>
        </w:tc>
        <w:tc>
          <w:tcPr>
            <w:tcW w:w="565" w:type="pct"/>
            <w:shd w:val="clear" w:color="auto" w:fill="FFFFFF" w:themeFill="background1"/>
            <w:vAlign w:val="center"/>
          </w:tcPr>
          <w:p w14:paraId="430095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731269.99</w:t>
            </w:r>
          </w:p>
        </w:tc>
        <w:tc>
          <w:tcPr>
            <w:tcW w:w="655" w:type="pct"/>
            <w:shd w:val="clear" w:color="auto" w:fill="FFFFFF" w:themeFill="background1"/>
            <w:vAlign w:val="center"/>
          </w:tcPr>
          <w:p w14:paraId="0884A5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2816719.31</w:t>
            </w:r>
          </w:p>
        </w:tc>
        <w:tc>
          <w:tcPr>
            <w:tcW w:w="364" w:type="pct"/>
            <w:shd w:val="clear" w:color="auto" w:fill="FFFFFF" w:themeFill="background1"/>
            <w:vAlign w:val="center"/>
          </w:tcPr>
          <w:p w14:paraId="63C36CC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5B30C57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79134DE6">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74A066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2949.58</w:t>
            </w:r>
          </w:p>
        </w:tc>
        <w:tc>
          <w:tcPr>
            <w:tcW w:w="881" w:type="pct"/>
            <w:shd w:val="clear" w:color="auto" w:fill="FFFFFF" w:themeFill="background1"/>
            <w:vAlign w:val="center"/>
          </w:tcPr>
          <w:p w14:paraId="487D468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ESE</w:t>
            </w:r>
          </w:p>
        </w:tc>
      </w:tr>
      <w:tr w14:paraId="102F8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08D4867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25</w:t>
            </w:r>
          </w:p>
        </w:tc>
        <w:tc>
          <w:tcPr>
            <w:tcW w:w="872" w:type="pct"/>
            <w:shd w:val="clear" w:color="auto" w:fill="FFFFFF" w:themeFill="background1"/>
            <w:vAlign w:val="center"/>
          </w:tcPr>
          <w:p w14:paraId="5C36D65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西兰</w:t>
            </w:r>
          </w:p>
        </w:tc>
        <w:tc>
          <w:tcPr>
            <w:tcW w:w="565" w:type="pct"/>
            <w:shd w:val="clear" w:color="auto" w:fill="FFFFFF" w:themeFill="background1"/>
            <w:vAlign w:val="center"/>
          </w:tcPr>
          <w:p w14:paraId="3EC9F5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731194.2</w:t>
            </w:r>
          </w:p>
        </w:tc>
        <w:tc>
          <w:tcPr>
            <w:tcW w:w="655" w:type="pct"/>
            <w:shd w:val="clear" w:color="auto" w:fill="FFFFFF" w:themeFill="background1"/>
            <w:vAlign w:val="center"/>
          </w:tcPr>
          <w:p w14:paraId="64E532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2816116.74</w:t>
            </w:r>
          </w:p>
        </w:tc>
        <w:tc>
          <w:tcPr>
            <w:tcW w:w="364" w:type="pct"/>
            <w:shd w:val="clear" w:color="auto" w:fill="FFFFFF" w:themeFill="background1"/>
            <w:vAlign w:val="center"/>
          </w:tcPr>
          <w:p w14:paraId="47D2D06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7D90E6E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3AF86CE4">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77629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3104.94</w:t>
            </w:r>
          </w:p>
        </w:tc>
        <w:tc>
          <w:tcPr>
            <w:tcW w:w="881" w:type="pct"/>
            <w:shd w:val="clear" w:color="auto" w:fill="FFFFFF" w:themeFill="background1"/>
            <w:vAlign w:val="center"/>
          </w:tcPr>
          <w:p w14:paraId="3B1ADA2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ESE</w:t>
            </w:r>
          </w:p>
        </w:tc>
      </w:tr>
      <w:tr w14:paraId="128F5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09F157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26</w:t>
            </w:r>
          </w:p>
        </w:tc>
        <w:tc>
          <w:tcPr>
            <w:tcW w:w="872" w:type="pct"/>
            <w:shd w:val="clear" w:color="auto" w:fill="FFFFFF" w:themeFill="background1"/>
            <w:vAlign w:val="center"/>
          </w:tcPr>
          <w:p w14:paraId="0ABD6C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沙塘</w:t>
            </w:r>
          </w:p>
        </w:tc>
        <w:tc>
          <w:tcPr>
            <w:tcW w:w="565" w:type="pct"/>
            <w:shd w:val="clear" w:color="auto" w:fill="FFFFFF" w:themeFill="background1"/>
            <w:vAlign w:val="center"/>
          </w:tcPr>
          <w:p w14:paraId="1FEBDC8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730716.67</w:t>
            </w:r>
          </w:p>
        </w:tc>
        <w:tc>
          <w:tcPr>
            <w:tcW w:w="655" w:type="pct"/>
            <w:shd w:val="clear" w:color="auto" w:fill="FFFFFF" w:themeFill="background1"/>
            <w:vAlign w:val="center"/>
          </w:tcPr>
          <w:p w14:paraId="367718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2815056.84</w:t>
            </w:r>
          </w:p>
        </w:tc>
        <w:tc>
          <w:tcPr>
            <w:tcW w:w="364" w:type="pct"/>
            <w:shd w:val="clear" w:color="auto" w:fill="FFFFFF" w:themeFill="background1"/>
            <w:vAlign w:val="center"/>
          </w:tcPr>
          <w:p w14:paraId="11FD806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534A70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FF93BD9">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779A8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3376.28</w:t>
            </w:r>
          </w:p>
        </w:tc>
        <w:tc>
          <w:tcPr>
            <w:tcW w:w="881" w:type="pct"/>
            <w:shd w:val="clear" w:color="auto" w:fill="FFFFFF" w:themeFill="background1"/>
            <w:vAlign w:val="center"/>
          </w:tcPr>
          <w:p w14:paraId="4131121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SE</w:t>
            </w:r>
          </w:p>
        </w:tc>
      </w:tr>
      <w:tr w14:paraId="7CBA4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15B5A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27</w:t>
            </w:r>
          </w:p>
        </w:tc>
        <w:tc>
          <w:tcPr>
            <w:tcW w:w="872" w:type="pct"/>
            <w:shd w:val="clear" w:color="auto" w:fill="FFFFFF" w:themeFill="background1"/>
            <w:vAlign w:val="center"/>
          </w:tcPr>
          <w:p w14:paraId="489F18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张厝</w:t>
            </w:r>
          </w:p>
        </w:tc>
        <w:tc>
          <w:tcPr>
            <w:tcW w:w="565" w:type="pct"/>
            <w:shd w:val="clear" w:color="auto" w:fill="FFFFFF" w:themeFill="background1"/>
            <w:vAlign w:val="center"/>
          </w:tcPr>
          <w:p w14:paraId="1A8A7A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731615.76</w:t>
            </w:r>
          </w:p>
        </w:tc>
        <w:tc>
          <w:tcPr>
            <w:tcW w:w="655" w:type="pct"/>
            <w:shd w:val="clear" w:color="auto" w:fill="FFFFFF" w:themeFill="background1"/>
            <w:vAlign w:val="center"/>
          </w:tcPr>
          <w:p w14:paraId="4D7F10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2814430.65</w:t>
            </w:r>
          </w:p>
        </w:tc>
        <w:tc>
          <w:tcPr>
            <w:tcW w:w="364" w:type="pct"/>
            <w:shd w:val="clear" w:color="auto" w:fill="FFFFFF" w:themeFill="background1"/>
            <w:vAlign w:val="center"/>
          </w:tcPr>
          <w:p w14:paraId="1EA9091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55CF9F1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1916EB02">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1F4261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4451.53</w:t>
            </w:r>
          </w:p>
        </w:tc>
        <w:tc>
          <w:tcPr>
            <w:tcW w:w="881" w:type="pct"/>
            <w:shd w:val="clear" w:color="auto" w:fill="FFFFFF" w:themeFill="background1"/>
            <w:vAlign w:val="center"/>
          </w:tcPr>
          <w:p w14:paraId="509B9B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SE</w:t>
            </w:r>
          </w:p>
        </w:tc>
      </w:tr>
      <w:tr w14:paraId="32F09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10E7D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w:t>
            </w:r>
          </w:p>
        </w:tc>
        <w:tc>
          <w:tcPr>
            <w:tcW w:w="872" w:type="pct"/>
            <w:shd w:val="clear" w:color="auto" w:fill="FFFFFF" w:themeFill="background1"/>
            <w:vAlign w:val="center"/>
          </w:tcPr>
          <w:p w14:paraId="73E982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钱塘</w:t>
            </w:r>
          </w:p>
        </w:tc>
        <w:tc>
          <w:tcPr>
            <w:tcW w:w="565" w:type="pct"/>
            <w:shd w:val="clear" w:color="auto" w:fill="FFFFFF" w:themeFill="background1"/>
            <w:vAlign w:val="center"/>
          </w:tcPr>
          <w:p w14:paraId="603F998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732022.51</w:t>
            </w:r>
          </w:p>
        </w:tc>
        <w:tc>
          <w:tcPr>
            <w:tcW w:w="655" w:type="pct"/>
            <w:shd w:val="clear" w:color="auto" w:fill="FFFFFF" w:themeFill="background1"/>
            <w:vAlign w:val="center"/>
          </w:tcPr>
          <w:p w14:paraId="02F198C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2815339.09</w:t>
            </w:r>
          </w:p>
        </w:tc>
        <w:tc>
          <w:tcPr>
            <w:tcW w:w="364" w:type="pct"/>
            <w:shd w:val="clear" w:color="auto" w:fill="FFFFFF" w:themeFill="background1"/>
            <w:vAlign w:val="center"/>
          </w:tcPr>
          <w:p w14:paraId="097FB24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2E67A4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EECC5C7">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C6C3A6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4209.92</w:t>
            </w:r>
          </w:p>
        </w:tc>
        <w:tc>
          <w:tcPr>
            <w:tcW w:w="881" w:type="pct"/>
            <w:shd w:val="clear" w:color="auto" w:fill="FFFFFF" w:themeFill="background1"/>
            <w:vAlign w:val="center"/>
          </w:tcPr>
          <w:p w14:paraId="1F08E2C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ESE</w:t>
            </w:r>
          </w:p>
        </w:tc>
      </w:tr>
      <w:tr w14:paraId="106C1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5281CD8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29</w:t>
            </w:r>
          </w:p>
        </w:tc>
        <w:tc>
          <w:tcPr>
            <w:tcW w:w="872" w:type="pct"/>
            <w:shd w:val="clear" w:color="auto" w:fill="FFFFFF" w:themeFill="background1"/>
            <w:vAlign w:val="center"/>
          </w:tcPr>
          <w:p w14:paraId="58B5CD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后陈村</w:t>
            </w:r>
          </w:p>
        </w:tc>
        <w:tc>
          <w:tcPr>
            <w:tcW w:w="565" w:type="pct"/>
            <w:shd w:val="clear" w:color="auto" w:fill="FFFFFF" w:themeFill="background1"/>
            <w:vAlign w:val="center"/>
          </w:tcPr>
          <w:p w14:paraId="51A6943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731898.83</w:t>
            </w:r>
          </w:p>
        </w:tc>
        <w:tc>
          <w:tcPr>
            <w:tcW w:w="655" w:type="pct"/>
            <w:shd w:val="clear" w:color="auto" w:fill="FFFFFF" w:themeFill="background1"/>
            <w:vAlign w:val="center"/>
          </w:tcPr>
          <w:p w14:paraId="7E91A78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2820470.04</w:t>
            </w:r>
          </w:p>
        </w:tc>
        <w:tc>
          <w:tcPr>
            <w:tcW w:w="364" w:type="pct"/>
            <w:shd w:val="clear" w:color="auto" w:fill="FFFFFF" w:themeFill="background1"/>
            <w:vAlign w:val="center"/>
          </w:tcPr>
          <w:p w14:paraId="34D5995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167DB8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085E4DE6">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24DF21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4526.93</w:t>
            </w:r>
          </w:p>
        </w:tc>
        <w:tc>
          <w:tcPr>
            <w:tcW w:w="881" w:type="pct"/>
            <w:shd w:val="clear" w:color="auto" w:fill="FFFFFF" w:themeFill="background1"/>
            <w:vAlign w:val="center"/>
          </w:tcPr>
          <w:p w14:paraId="1F0EA8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2BB6A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DC466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30</w:t>
            </w:r>
          </w:p>
        </w:tc>
        <w:tc>
          <w:tcPr>
            <w:tcW w:w="872" w:type="pct"/>
            <w:shd w:val="clear" w:color="auto" w:fill="FFFFFF" w:themeFill="background1"/>
            <w:vAlign w:val="center"/>
          </w:tcPr>
          <w:p w14:paraId="12A3BF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垄北</w:t>
            </w:r>
          </w:p>
        </w:tc>
        <w:tc>
          <w:tcPr>
            <w:tcW w:w="565" w:type="pct"/>
            <w:shd w:val="clear" w:color="auto" w:fill="FFFFFF" w:themeFill="background1"/>
            <w:vAlign w:val="center"/>
          </w:tcPr>
          <w:p w14:paraId="2EE5EA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731443.26</w:t>
            </w:r>
          </w:p>
        </w:tc>
        <w:tc>
          <w:tcPr>
            <w:tcW w:w="655" w:type="pct"/>
            <w:shd w:val="clear" w:color="auto" w:fill="FFFFFF" w:themeFill="background1"/>
            <w:vAlign w:val="center"/>
          </w:tcPr>
          <w:p w14:paraId="457225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2818908.29</w:t>
            </w:r>
          </w:p>
        </w:tc>
        <w:tc>
          <w:tcPr>
            <w:tcW w:w="364" w:type="pct"/>
            <w:shd w:val="clear" w:color="auto" w:fill="FFFFFF" w:themeFill="background1"/>
            <w:vAlign w:val="center"/>
          </w:tcPr>
          <w:p w14:paraId="4719808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38650C6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17994580">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E0C0B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3296.46</w:t>
            </w:r>
          </w:p>
        </w:tc>
        <w:tc>
          <w:tcPr>
            <w:tcW w:w="881" w:type="pct"/>
            <w:shd w:val="clear" w:color="auto" w:fill="FFFFFF" w:themeFill="background1"/>
            <w:vAlign w:val="center"/>
          </w:tcPr>
          <w:p w14:paraId="5F3267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ENE</w:t>
            </w:r>
          </w:p>
        </w:tc>
      </w:tr>
      <w:tr w14:paraId="0817E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8917DE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31</w:t>
            </w:r>
          </w:p>
        </w:tc>
        <w:tc>
          <w:tcPr>
            <w:tcW w:w="872" w:type="pct"/>
            <w:shd w:val="clear" w:color="auto" w:fill="FFFFFF" w:themeFill="background1"/>
            <w:vAlign w:val="center"/>
          </w:tcPr>
          <w:p w14:paraId="2096D29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赤厝村</w:t>
            </w:r>
          </w:p>
        </w:tc>
        <w:tc>
          <w:tcPr>
            <w:tcW w:w="565" w:type="pct"/>
            <w:shd w:val="clear" w:color="auto" w:fill="FFFFFF" w:themeFill="background1"/>
            <w:vAlign w:val="center"/>
          </w:tcPr>
          <w:p w14:paraId="5518D6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734139.3</w:t>
            </w:r>
          </w:p>
        </w:tc>
        <w:tc>
          <w:tcPr>
            <w:tcW w:w="655" w:type="pct"/>
            <w:shd w:val="clear" w:color="auto" w:fill="FFFFFF" w:themeFill="background1"/>
            <w:vAlign w:val="center"/>
          </w:tcPr>
          <w:p w14:paraId="34E9AD7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2816797.78</w:t>
            </w:r>
          </w:p>
        </w:tc>
        <w:tc>
          <w:tcPr>
            <w:tcW w:w="364" w:type="pct"/>
            <w:shd w:val="clear" w:color="auto" w:fill="FFFFFF" w:themeFill="background1"/>
            <w:vAlign w:val="center"/>
          </w:tcPr>
          <w:p w14:paraId="03B0743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23672E7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486F0FFB">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67C4EE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5748.95</w:t>
            </w:r>
          </w:p>
        </w:tc>
        <w:tc>
          <w:tcPr>
            <w:tcW w:w="881" w:type="pct"/>
            <w:shd w:val="clear" w:color="auto" w:fill="FFFFFF" w:themeFill="background1"/>
            <w:vAlign w:val="center"/>
          </w:tcPr>
          <w:p w14:paraId="08F3B2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w:t>
            </w:r>
          </w:p>
        </w:tc>
      </w:tr>
      <w:tr w14:paraId="52BD8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77E09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32</w:t>
            </w:r>
          </w:p>
        </w:tc>
        <w:tc>
          <w:tcPr>
            <w:tcW w:w="872" w:type="pct"/>
            <w:shd w:val="clear" w:color="auto" w:fill="FFFFFF" w:themeFill="background1"/>
            <w:vAlign w:val="center"/>
          </w:tcPr>
          <w:p w14:paraId="592EE4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门口村</w:t>
            </w:r>
          </w:p>
        </w:tc>
        <w:tc>
          <w:tcPr>
            <w:tcW w:w="565" w:type="pct"/>
            <w:shd w:val="clear" w:color="auto" w:fill="FFFFFF" w:themeFill="background1"/>
            <w:vAlign w:val="center"/>
          </w:tcPr>
          <w:p w14:paraId="76F7A7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733442.58</w:t>
            </w:r>
          </w:p>
        </w:tc>
        <w:tc>
          <w:tcPr>
            <w:tcW w:w="655" w:type="pct"/>
            <w:shd w:val="clear" w:color="auto" w:fill="FFFFFF" w:themeFill="background1"/>
            <w:vAlign w:val="center"/>
          </w:tcPr>
          <w:p w14:paraId="15DACB7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2819175.26</w:t>
            </w:r>
          </w:p>
        </w:tc>
        <w:tc>
          <w:tcPr>
            <w:tcW w:w="364" w:type="pct"/>
            <w:shd w:val="clear" w:color="auto" w:fill="FFFFFF" w:themeFill="background1"/>
            <w:vAlign w:val="center"/>
          </w:tcPr>
          <w:p w14:paraId="05BD0DA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40C226B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73554E1E">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2AA2C1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5260.29</w:t>
            </w:r>
          </w:p>
        </w:tc>
        <w:tc>
          <w:tcPr>
            <w:tcW w:w="881" w:type="pct"/>
            <w:shd w:val="clear" w:color="auto" w:fill="FFFFFF" w:themeFill="background1"/>
            <w:vAlign w:val="center"/>
          </w:tcPr>
          <w:p w14:paraId="40F359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ENE</w:t>
            </w:r>
          </w:p>
        </w:tc>
      </w:tr>
      <w:tr w14:paraId="44B35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4B3604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w:t>
            </w:r>
          </w:p>
        </w:tc>
        <w:tc>
          <w:tcPr>
            <w:tcW w:w="872" w:type="pct"/>
            <w:shd w:val="clear" w:color="auto" w:fill="FFFFFF" w:themeFill="background1"/>
            <w:vAlign w:val="center"/>
          </w:tcPr>
          <w:p w14:paraId="726229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后陈村</w:t>
            </w:r>
          </w:p>
        </w:tc>
        <w:tc>
          <w:tcPr>
            <w:tcW w:w="565" w:type="pct"/>
            <w:shd w:val="clear" w:color="auto" w:fill="FFFFFF" w:themeFill="background1"/>
            <w:vAlign w:val="center"/>
          </w:tcPr>
          <w:p w14:paraId="3ADED9D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732211.84</w:t>
            </w:r>
          </w:p>
        </w:tc>
        <w:tc>
          <w:tcPr>
            <w:tcW w:w="655" w:type="pct"/>
            <w:shd w:val="clear" w:color="auto" w:fill="FFFFFF" w:themeFill="background1"/>
            <w:vAlign w:val="center"/>
          </w:tcPr>
          <w:p w14:paraId="125895F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2821054.62</w:t>
            </w:r>
          </w:p>
        </w:tc>
        <w:tc>
          <w:tcPr>
            <w:tcW w:w="364" w:type="pct"/>
            <w:shd w:val="clear" w:color="auto" w:fill="FFFFFF" w:themeFill="background1"/>
            <w:vAlign w:val="center"/>
          </w:tcPr>
          <w:p w14:paraId="6B7E757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6D6DCB7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2823A811">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7AF356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5149.03</w:t>
            </w:r>
          </w:p>
        </w:tc>
        <w:tc>
          <w:tcPr>
            <w:tcW w:w="881" w:type="pct"/>
            <w:shd w:val="clear" w:color="auto" w:fill="FFFFFF" w:themeFill="background1"/>
            <w:vAlign w:val="center"/>
          </w:tcPr>
          <w:p w14:paraId="643E4A4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3C839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F61E1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w:t>
            </w:r>
          </w:p>
        </w:tc>
        <w:tc>
          <w:tcPr>
            <w:tcW w:w="872" w:type="pct"/>
            <w:shd w:val="clear" w:color="auto" w:fill="FFFFFF" w:themeFill="background1"/>
            <w:vAlign w:val="center"/>
          </w:tcPr>
          <w:p w14:paraId="590934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岭口村</w:t>
            </w:r>
          </w:p>
        </w:tc>
        <w:tc>
          <w:tcPr>
            <w:tcW w:w="565" w:type="pct"/>
            <w:shd w:val="clear" w:color="auto" w:fill="FFFFFF" w:themeFill="background1"/>
            <w:vAlign w:val="center"/>
          </w:tcPr>
          <w:p w14:paraId="5134A2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734057.59</w:t>
            </w:r>
          </w:p>
        </w:tc>
        <w:tc>
          <w:tcPr>
            <w:tcW w:w="655" w:type="pct"/>
            <w:shd w:val="clear" w:color="auto" w:fill="FFFFFF" w:themeFill="background1"/>
            <w:vAlign w:val="center"/>
          </w:tcPr>
          <w:p w14:paraId="6B4955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2821452.3</w:t>
            </w:r>
          </w:p>
        </w:tc>
        <w:tc>
          <w:tcPr>
            <w:tcW w:w="364" w:type="pct"/>
            <w:shd w:val="clear" w:color="auto" w:fill="FFFFFF" w:themeFill="background1"/>
            <w:vAlign w:val="center"/>
          </w:tcPr>
          <w:p w14:paraId="7762A22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1DF4E16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56772D43">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5105A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6840.31</w:t>
            </w:r>
          </w:p>
        </w:tc>
        <w:tc>
          <w:tcPr>
            <w:tcW w:w="881" w:type="pct"/>
            <w:shd w:val="clear" w:color="auto" w:fill="FFFFFF" w:themeFill="background1"/>
            <w:vAlign w:val="center"/>
          </w:tcPr>
          <w:p w14:paraId="4F604D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0AFDF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20919B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w:t>
            </w:r>
          </w:p>
        </w:tc>
        <w:tc>
          <w:tcPr>
            <w:tcW w:w="872" w:type="pct"/>
            <w:shd w:val="clear" w:color="auto" w:fill="FFFFFF" w:themeFill="background1"/>
            <w:vAlign w:val="center"/>
          </w:tcPr>
          <w:p w14:paraId="0D1957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龙门村</w:t>
            </w:r>
          </w:p>
        </w:tc>
        <w:tc>
          <w:tcPr>
            <w:tcW w:w="565" w:type="pct"/>
            <w:shd w:val="clear" w:color="auto" w:fill="FFFFFF" w:themeFill="background1"/>
            <w:vAlign w:val="center"/>
          </w:tcPr>
          <w:p w14:paraId="202D85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732513.31</w:t>
            </w:r>
          </w:p>
        </w:tc>
        <w:tc>
          <w:tcPr>
            <w:tcW w:w="655" w:type="pct"/>
            <w:shd w:val="clear" w:color="auto" w:fill="FFFFFF" w:themeFill="background1"/>
            <w:vAlign w:val="center"/>
          </w:tcPr>
          <w:p w14:paraId="0D62DD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2821557.4</w:t>
            </w:r>
          </w:p>
        </w:tc>
        <w:tc>
          <w:tcPr>
            <w:tcW w:w="364" w:type="pct"/>
            <w:shd w:val="clear" w:color="auto" w:fill="FFFFFF" w:themeFill="background1"/>
            <w:vAlign w:val="center"/>
          </w:tcPr>
          <w:p w14:paraId="24D8CD6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2C4D721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321FA01F">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024E9A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5714.45</w:t>
            </w:r>
          </w:p>
        </w:tc>
        <w:tc>
          <w:tcPr>
            <w:tcW w:w="881" w:type="pct"/>
            <w:shd w:val="clear" w:color="auto" w:fill="FFFFFF" w:themeFill="background1"/>
            <w:vAlign w:val="center"/>
          </w:tcPr>
          <w:p w14:paraId="1C79E2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27521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4B77C08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w:t>
            </w:r>
          </w:p>
        </w:tc>
        <w:tc>
          <w:tcPr>
            <w:tcW w:w="872" w:type="pct"/>
            <w:shd w:val="clear" w:color="auto" w:fill="FFFFFF" w:themeFill="background1"/>
            <w:vAlign w:val="center"/>
          </w:tcPr>
          <w:p w14:paraId="4C21C38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后庄村</w:t>
            </w:r>
          </w:p>
        </w:tc>
        <w:tc>
          <w:tcPr>
            <w:tcW w:w="565" w:type="pct"/>
            <w:shd w:val="clear" w:color="auto" w:fill="FFFFFF" w:themeFill="background1"/>
            <w:vAlign w:val="center"/>
          </w:tcPr>
          <w:p w14:paraId="4655D1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732117.21</w:t>
            </w:r>
          </w:p>
        </w:tc>
        <w:tc>
          <w:tcPr>
            <w:tcW w:w="655" w:type="pct"/>
            <w:shd w:val="clear" w:color="auto" w:fill="FFFFFF" w:themeFill="background1"/>
            <w:vAlign w:val="center"/>
          </w:tcPr>
          <w:p w14:paraId="655D95A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2822281.32</w:t>
            </w:r>
          </w:p>
        </w:tc>
        <w:tc>
          <w:tcPr>
            <w:tcW w:w="364" w:type="pct"/>
            <w:shd w:val="clear" w:color="auto" w:fill="FFFFFF" w:themeFill="background1"/>
            <w:vAlign w:val="center"/>
          </w:tcPr>
          <w:p w14:paraId="524444F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2016DB9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27F35FF0">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3EB44E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5992.59</w:t>
            </w:r>
          </w:p>
        </w:tc>
        <w:tc>
          <w:tcPr>
            <w:tcW w:w="881" w:type="pct"/>
            <w:shd w:val="clear" w:color="auto" w:fill="FFFFFF" w:themeFill="background1"/>
            <w:vAlign w:val="center"/>
          </w:tcPr>
          <w:p w14:paraId="2633AB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r w14:paraId="7F6B7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40" w:hRule="exact"/>
        </w:trPr>
        <w:tc>
          <w:tcPr>
            <w:tcW w:w="230" w:type="pct"/>
            <w:shd w:val="clear" w:color="auto" w:fill="FFFFFF" w:themeFill="background1"/>
            <w:vAlign w:val="center"/>
          </w:tcPr>
          <w:p w14:paraId="130E28B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w:t>
            </w:r>
          </w:p>
        </w:tc>
        <w:tc>
          <w:tcPr>
            <w:tcW w:w="872" w:type="pct"/>
            <w:shd w:val="clear" w:color="auto" w:fill="FFFFFF" w:themeFill="background1"/>
            <w:vAlign w:val="center"/>
          </w:tcPr>
          <w:p w14:paraId="213D78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北郭村</w:t>
            </w:r>
          </w:p>
        </w:tc>
        <w:tc>
          <w:tcPr>
            <w:tcW w:w="565" w:type="pct"/>
            <w:shd w:val="clear" w:color="auto" w:fill="FFFFFF" w:themeFill="background1"/>
            <w:vAlign w:val="center"/>
          </w:tcPr>
          <w:p w14:paraId="4E358C6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734534.71</w:t>
            </w:r>
          </w:p>
        </w:tc>
        <w:tc>
          <w:tcPr>
            <w:tcW w:w="655" w:type="pct"/>
            <w:shd w:val="clear" w:color="auto" w:fill="FFFFFF" w:themeFill="background1"/>
            <w:vAlign w:val="center"/>
          </w:tcPr>
          <w:p w14:paraId="775861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2823718.35</w:t>
            </w:r>
          </w:p>
        </w:tc>
        <w:tc>
          <w:tcPr>
            <w:tcW w:w="364" w:type="pct"/>
            <w:shd w:val="clear" w:color="auto" w:fill="FFFFFF" w:themeFill="background1"/>
            <w:vAlign w:val="center"/>
          </w:tcPr>
          <w:p w14:paraId="14A13EA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村庄</w:t>
            </w:r>
          </w:p>
        </w:tc>
        <w:tc>
          <w:tcPr>
            <w:tcW w:w="509" w:type="pct"/>
            <w:shd w:val="clear" w:color="auto" w:fill="FFFFFF" w:themeFill="background1"/>
            <w:vAlign w:val="center"/>
          </w:tcPr>
          <w:p w14:paraId="08EE17F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居民区</w:t>
            </w:r>
          </w:p>
        </w:tc>
        <w:tc>
          <w:tcPr>
            <w:tcW w:w="423" w:type="pct"/>
            <w:vMerge w:val="continue"/>
            <w:shd w:val="clear" w:color="auto" w:fill="FFFFFF" w:themeFill="background1"/>
            <w:vAlign w:val="center"/>
          </w:tcPr>
          <w:p w14:paraId="311928A8">
            <w:pPr>
              <w:spacing w:line="240" w:lineRule="auto"/>
              <w:ind w:firstLine="0" w:firstLineChars="0"/>
              <w:jc w:val="center"/>
              <w:rPr>
                <w:rFonts w:hAnsi="Times New Roman"/>
                <w:color w:val="auto"/>
                <w:sz w:val="21"/>
                <w:szCs w:val="21"/>
                <w:highlight w:val="none"/>
                <w:u w:val="none"/>
              </w:rPr>
            </w:pPr>
          </w:p>
        </w:tc>
        <w:tc>
          <w:tcPr>
            <w:tcW w:w="500" w:type="pct"/>
            <w:shd w:val="clear" w:color="auto" w:fill="FFFFFF" w:themeFill="background1"/>
            <w:vAlign w:val="center"/>
          </w:tcPr>
          <w:p w14:paraId="2D3980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8671.78</w:t>
            </w:r>
          </w:p>
        </w:tc>
        <w:tc>
          <w:tcPr>
            <w:tcW w:w="881" w:type="pct"/>
            <w:shd w:val="clear" w:color="auto" w:fill="FFFFFF" w:themeFill="background1"/>
            <w:vAlign w:val="center"/>
          </w:tcPr>
          <w:p w14:paraId="11F1AC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NE</w:t>
            </w:r>
          </w:p>
        </w:tc>
      </w:tr>
    </w:tbl>
    <w:p w14:paraId="58B235CF">
      <w:pPr>
        <w:pStyle w:val="988"/>
        <w:adjustRightInd w:val="0"/>
        <w:snapToGrid w:val="0"/>
        <w:ind w:firstLine="0" w:firstLineChars="0"/>
        <w:rPr>
          <w:color w:val="auto"/>
          <w:kern w:val="0"/>
          <w:highlight w:val="none"/>
          <w:u w:val="none"/>
        </w:rPr>
      </w:pPr>
    </w:p>
    <w:p w14:paraId="47C718D8">
      <w:pPr>
        <w:pStyle w:val="981"/>
        <w:rPr>
          <w:rFonts w:hint="eastAsia"/>
          <w:color w:val="auto"/>
          <w:highlight w:val="none"/>
          <w:u w:val="none"/>
        </w:rPr>
      </w:pPr>
      <w:r>
        <w:rPr>
          <w:color w:val="auto"/>
          <w:highlight w:val="none"/>
          <w:u w:val="none"/>
        </w:rPr>
        <w:t>B.网格点</w:t>
      </w:r>
    </w:p>
    <w:p w14:paraId="3C10FDB8">
      <w:pPr>
        <w:pStyle w:val="981"/>
        <w:rPr>
          <w:rFonts w:hint="eastAsia"/>
          <w:color w:val="auto"/>
          <w:highlight w:val="none"/>
          <w:u w:val="none"/>
        </w:rPr>
      </w:pPr>
      <w:r>
        <w:rPr>
          <w:color w:val="auto"/>
          <w:highlight w:val="none"/>
          <w:u w:val="none"/>
        </w:rPr>
        <w:t>根据估算模式，本项目评价范围为厂界外延2.5km矩形区域，根据《环境影响评价技术导则  大气环境》（HJ 2.2-2018）8.3.预测范围应满足如下条件：预测范围应覆盖评价范围，并覆盖各污染物短期浓度贡献值占标率大于10%区域；</w:t>
      </w:r>
      <w:r>
        <w:rPr>
          <w:color w:val="auto"/>
          <w:spacing w:val="-8"/>
          <w:highlight w:val="none"/>
          <w:u w:val="none"/>
        </w:rPr>
        <w:t>本项目</w:t>
      </w:r>
      <w:r>
        <w:rPr>
          <w:rFonts w:eastAsia="Times New Roman"/>
          <w:color w:val="auto"/>
          <w:spacing w:val="-8"/>
          <w:highlight w:val="none"/>
          <w:u w:val="none"/>
        </w:rPr>
        <w:t>TDA</w:t>
      </w:r>
      <w:r>
        <w:rPr>
          <w:color w:val="auto"/>
          <w:spacing w:val="-8"/>
          <w:highlight w:val="none"/>
          <w:u w:val="none"/>
        </w:rPr>
        <w:t>、</w:t>
      </w:r>
      <w:r>
        <w:rPr>
          <w:rFonts w:eastAsia="Times New Roman"/>
          <w:color w:val="auto"/>
          <w:spacing w:val="-8"/>
          <w:highlight w:val="none"/>
          <w:u w:val="none"/>
        </w:rPr>
        <w:t>N</w:t>
      </w:r>
      <w:r>
        <w:rPr>
          <w:rFonts w:eastAsia="Times New Roman"/>
          <w:color w:val="auto"/>
          <w:spacing w:val="-9"/>
          <w:highlight w:val="none"/>
          <w:u w:val="none"/>
        </w:rPr>
        <w:t>MHC</w:t>
      </w:r>
      <w:r>
        <w:rPr>
          <w:color w:val="auto"/>
          <w:spacing w:val="-9"/>
          <w:highlight w:val="none"/>
          <w:u w:val="none"/>
        </w:rPr>
        <w:t>、</w:t>
      </w:r>
      <w:r>
        <w:rPr>
          <w:rFonts w:eastAsia="Times New Roman"/>
          <w:color w:val="auto"/>
          <w:highlight w:val="none"/>
          <w:u w:val="none"/>
        </w:rPr>
        <w:t>DNT</w:t>
      </w:r>
      <w:r>
        <w:rPr>
          <w:color w:val="auto"/>
          <w:highlight w:val="none"/>
          <w:u w:val="none"/>
        </w:rPr>
        <w:t>、邻二氯苯、甲苯、</w:t>
      </w:r>
      <w:r>
        <w:rPr>
          <w:rFonts w:eastAsia="Times New Roman"/>
          <w:color w:val="auto"/>
          <w:highlight w:val="none"/>
          <w:u w:val="none"/>
        </w:rPr>
        <w:t>Cl</w:t>
      </w:r>
      <w:r>
        <w:rPr>
          <w:rFonts w:eastAsia="Times New Roman"/>
          <w:color w:val="auto"/>
          <w:position w:val="-1"/>
          <w:sz w:val="15"/>
          <w:szCs w:val="15"/>
          <w:highlight w:val="none"/>
          <w:u w:val="none"/>
        </w:rPr>
        <w:t>2</w:t>
      </w:r>
      <w:r>
        <w:rPr>
          <w:color w:val="auto"/>
          <w:highlight w:val="none"/>
          <w:u w:val="none"/>
        </w:rPr>
        <w:t>、</w:t>
      </w:r>
      <w:r>
        <w:rPr>
          <w:rFonts w:eastAsia="Times New Roman"/>
          <w:color w:val="auto"/>
          <w:highlight w:val="none"/>
          <w:u w:val="none"/>
        </w:rPr>
        <w:t>HCl</w:t>
      </w:r>
      <w:r>
        <w:rPr>
          <w:color w:val="auto"/>
          <w:highlight w:val="none"/>
          <w:u w:val="none"/>
        </w:rPr>
        <w:t>和光气小时浓度贡献值占标率大于</w:t>
      </w:r>
      <w:r>
        <w:rPr>
          <w:rFonts w:eastAsia="Times New Roman"/>
          <w:color w:val="auto"/>
          <w:highlight w:val="none"/>
          <w:u w:val="none"/>
        </w:rPr>
        <w:t>10%</w:t>
      </w:r>
      <w:r>
        <w:rPr>
          <w:color w:val="auto"/>
          <w:highlight w:val="none"/>
          <w:u w:val="none"/>
        </w:rPr>
        <w:t>的区域分别</w:t>
      </w:r>
      <w:r>
        <w:rPr>
          <w:color w:val="auto"/>
          <w:spacing w:val="-5"/>
          <w:highlight w:val="none"/>
          <w:u w:val="none"/>
        </w:rPr>
        <w:t>为厂界外</w:t>
      </w:r>
      <w:r>
        <w:rPr>
          <w:rFonts w:hint="eastAsia"/>
          <w:color w:val="auto"/>
          <w:spacing w:val="-5"/>
          <w:highlight w:val="none"/>
          <w:u w:val="none"/>
        </w:rPr>
        <w:t xml:space="preserve">1.06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0.0</w:t>
      </w:r>
      <w:r>
        <w:rPr>
          <w:rFonts w:eastAsia="Times New Roman"/>
          <w:color w:val="auto"/>
          <w:spacing w:val="-5"/>
          <w:highlight w:val="none"/>
          <w:u w:val="none"/>
        </w:rPr>
        <w:t>km</w:t>
      </w:r>
      <w:r>
        <w:rPr>
          <w:rFonts w:hint="eastAsia" w:ascii="宋体" w:cs="宋体"/>
          <w:color w:val="auto"/>
          <w:spacing w:val="-5"/>
          <w:highlight w:val="none"/>
          <w:u w:val="none"/>
        </w:rPr>
        <w:t>、</w:t>
      </w:r>
      <w:r>
        <w:rPr>
          <w:rFonts w:hAnsi="Times New Roman" w:eastAsia="仿宋_GB2312"/>
          <w:color w:val="auto"/>
          <w:spacing w:val="-5"/>
          <w:highlight w:val="none"/>
          <w:u w:val="none"/>
        </w:rPr>
        <w:t>5.53</w:t>
      </w:r>
      <w:r>
        <w:rPr>
          <w:rFonts w:hint="eastAsia"/>
          <w:color w:val="auto"/>
          <w:spacing w:val="-5"/>
          <w:highlight w:val="none"/>
          <w:u w:val="none"/>
        </w:rPr>
        <w:t xml:space="preserve">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0.0</w:t>
      </w:r>
      <w:r>
        <w:rPr>
          <w:rFonts w:eastAsia="Times New Roman"/>
          <w:color w:val="auto"/>
          <w:spacing w:val="-5"/>
          <w:highlight w:val="none"/>
          <w:u w:val="none"/>
        </w:rPr>
        <w:t>km</w:t>
      </w:r>
      <w:r>
        <w:rPr>
          <w:rFonts w:hint="eastAsia" w:ascii="宋体" w:cs="宋体"/>
          <w:color w:val="auto"/>
          <w:spacing w:val="-5"/>
          <w:highlight w:val="none"/>
          <w:u w:val="none"/>
        </w:rPr>
        <w:t>、</w:t>
      </w:r>
      <w:r>
        <w:rPr>
          <w:rFonts w:eastAsia="Times New Roman"/>
          <w:color w:val="auto"/>
          <w:spacing w:val="-5"/>
          <w:highlight w:val="none"/>
          <w:u w:val="none"/>
        </w:rPr>
        <w:t>0</w:t>
      </w:r>
      <w:r>
        <w:rPr>
          <w:rFonts w:hint="eastAsia"/>
          <w:color w:val="auto"/>
          <w:spacing w:val="-5"/>
          <w:highlight w:val="none"/>
          <w:u w:val="none"/>
        </w:rPr>
        <w:t>.0</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 xml:space="preserve">0.0 </w:t>
      </w:r>
      <w:r>
        <w:rPr>
          <w:rFonts w:eastAsia="Times New Roman"/>
          <w:color w:val="auto"/>
          <w:spacing w:val="-5"/>
          <w:highlight w:val="none"/>
          <w:u w:val="none"/>
        </w:rPr>
        <w:t>km</w:t>
      </w:r>
      <w:r>
        <w:rPr>
          <w:rFonts w:hint="eastAsia" w:ascii="宋体" w:cs="宋体"/>
          <w:color w:val="auto"/>
          <w:spacing w:val="-5"/>
          <w:highlight w:val="none"/>
          <w:u w:val="none"/>
        </w:rPr>
        <w:t>、</w:t>
      </w:r>
      <w:r>
        <w:rPr>
          <w:rFonts w:hint="eastAsia"/>
          <w:color w:val="auto"/>
          <w:spacing w:val="-5"/>
          <w:highlight w:val="none"/>
          <w:u w:val="none"/>
        </w:rPr>
        <w:t xml:space="preserve">0.49 </w:t>
      </w:r>
      <w:r>
        <w:rPr>
          <w:rFonts w:eastAsia="Times New Roman"/>
          <w:color w:val="auto"/>
          <w:spacing w:val="-5"/>
          <w:highlight w:val="none"/>
          <w:u w:val="none"/>
        </w:rPr>
        <w:t>km</w:t>
      </w:r>
      <w:r>
        <w:rPr>
          <w:rFonts w:hint="eastAsia" w:ascii="宋体" w:cs="宋体"/>
          <w:color w:val="auto"/>
          <w:spacing w:val="-5"/>
          <w:highlight w:val="none"/>
          <w:u w:val="none"/>
        </w:rPr>
        <w:t>和</w:t>
      </w:r>
      <w:r>
        <w:rPr>
          <w:rFonts w:hint="eastAsia"/>
          <w:color w:val="auto"/>
          <w:spacing w:val="-5"/>
          <w:highlight w:val="none"/>
          <w:u w:val="none"/>
        </w:rPr>
        <w:t xml:space="preserve">4.8 </w:t>
      </w:r>
      <w:r>
        <w:rPr>
          <w:rFonts w:eastAsia="Times New Roman"/>
          <w:color w:val="auto"/>
          <w:spacing w:val="-5"/>
          <w:highlight w:val="none"/>
          <w:u w:val="none"/>
        </w:rPr>
        <w:t>km</w:t>
      </w:r>
      <w:r>
        <w:rPr>
          <w:color w:val="auto"/>
          <w:highlight w:val="none"/>
          <w:u w:val="none"/>
        </w:rPr>
        <w:t>。</w:t>
      </w:r>
    </w:p>
    <w:p w14:paraId="72E26138">
      <w:pPr>
        <w:rPr>
          <w:rFonts w:hint="eastAsia"/>
          <w:color w:val="auto"/>
          <w:highlight w:val="none"/>
          <w:u w:val="none"/>
        </w:rPr>
      </w:pPr>
      <w:r>
        <w:rPr>
          <w:color w:val="auto"/>
          <w:highlight w:val="none"/>
          <w:u w:val="none"/>
        </w:rPr>
        <w:t>因此，本次环境空气影响预测评价范围覆盖的面积为</w:t>
      </w:r>
      <w:r>
        <w:rPr>
          <w:rFonts w:hint="eastAsia"/>
          <w:color w:val="auto"/>
          <w:highlight w:val="none"/>
          <w:u w:val="none"/>
        </w:rPr>
        <w:t>14</w:t>
      </w:r>
      <w:r>
        <w:rPr>
          <w:color w:val="auto"/>
          <w:highlight w:val="none"/>
          <w:u w:val="none"/>
        </w:rPr>
        <w:t>.0km</w:t>
      </w:r>
      <w:r>
        <w:rPr>
          <w:rFonts w:hint="eastAsia"/>
          <w:color w:val="auto"/>
          <w:highlight w:val="none"/>
          <w:u w:val="none"/>
        </w:rPr>
        <w:t>（</w:t>
      </w:r>
      <w:r>
        <w:rPr>
          <w:color w:val="auto"/>
          <w:highlight w:val="none"/>
          <w:u w:val="none"/>
        </w:rPr>
        <w:t>东西向</w:t>
      </w:r>
      <w:r>
        <w:rPr>
          <w:rFonts w:hint="eastAsia"/>
          <w:color w:val="auto"/>
          <w:highlight w:val="none"/>
          <w:u w:val="none"/>
        </w:rPr>
        <w:t>）</w:t>
      </w:r>
      <w:r>
        <w:rPr>
          <w:color w:val="auto"/>
          <w:highlight w:val="none"/>
          <w:u w:val="none"/>
        </w:rPr>
        <w:t>×</w:t>
      </w:r>
      <w:r>
        <w:rPr>
          <w:rFonts w:hint="eastAsia"/>
          <w:color w:val="auto"/>
          <w:highlight w:val="none"/>
          <w:u w:val="none"/>
        </w:rPr>
        <w:t>14</w:t>
      </w:r>
      <w:r>
        <w:rPr>
          <w:color w:val="auto"/>
          <w:highlight w:val="none"/>
          <w:u w:val="none"/>
        </w:rPr>
        <w:t>.0km</w:t>
      </w:r>
      <w:r>
        <w:rPr>
          <w:rFonts w:hint="eastAsia"/>
          <w:color w:val="auto"/>
          <w:highlight w:val="none"/>
          <w:u w:val="none"/>
        </w:rPr>
        <w:t>（</w:t>
      </w:r>
      <w:r>
        <w:rPr>
          <w:color w:val="auto"/>
          <w:highlight w:val="none"/>
          <w:u w:val="none"/>
        </w:rPr>
        <w:t>南北向</w:t>
      </w:r>
      <w:r>
        <w:rPr>
          <w:rFonts w:hint="eastAsia"/>
          <w:color w:val="auto"/>
          <w:highlight w:val="none"/>
          <w:u w:val="none"/>
        </w:rPr>
        <w:t>）</w:t>
      </w:r>
      <w:r>
        <w:rPr>
          <w:color w:val="auto"/>
          <w:highlight w:val="none"/>
          <w:u w:val="none"/>
        </w:rPr>
        <w:t>，根据《环境影响评价技术导则—大气环境》（HJ 2.2-2018）附录B，CALPUFF预测网格小于50km的网格间距不超过500m，预测范围大于100km的网格间距不超过1000m。本次预测网格设置取</w:t>
      </w:r>
      <w:r>
        <w:rPr>
          <w:rFonts w:hint="eastAsia"/>
          <w:color w:val="auto"/>
          <w:highlight w:val="none"/>
          <w:u w:val="none"/>
        </w:rPr>
        <w:t>2</w:t>
      </w:r>
      <w:r>
        <w:rPr>
          <w:color w:val="auto"/>
          <w:highlight w:val="none"/>
          <w:u w:val="none"/>
        </w:rPr>
        <w:t>00m</w:t>
      </w:r>
      <w:r>
        <w:rPr>
          <w:rFonts w:hint="eastAsia"/>
          <w:color w:val="auto"/>
          <w:highlight w:val="none"/>
          <w:u w:val="none"/>
        </w:rPr>
        <w:t>，计算大气防护距离时网格取50m。</w:t>
      </w:r>
    </w:p>
    <w:p w14:paraId="71B89854">
      <w:pPr>
        <w:pStyle w:val="981"/>
        <w:rPr>
          <w:rFonts w:hint="eastAsia"/>
          <w:color w:val="auto"/>
          <w:highlight w:val="none"/>
          <w:u w:val="none"/>
        </w:rPr>
      </w:pPr>
      <w:r>
        <w:rPr>
          <w:color w:val="auto"/>
          <w:highlight w:val="none"/>
          <w:u w:val="none"/>
        </w:rPr>
        <w:t>C.厂界</w:t>
      </w:r>
    </w:p>
    <w:p w14:paraId="51B8B970">
      <w:pPr>
        <w:pStyle w:val="981"/>
        <w:rPr>
          <w:rFonts w:hint="eastAsia"/>
          <w:color w:val="auto"/>
          <w:highlight w:val="none"/>
          <w:u w:val="none"/>
        </w:rPr>
      </w:pPr>
      <w:r>
        <w:rPr>
          <w:color w:val="auto"/>
          <w:highlight w:val="none"/>
          <w:u w:val="none"/>
        </w:rPr>
        <w:t>沿厂界设置间距为50m的厂界受体点。</w:t>
      </w:r>
    </w:p>
    <w:p w14:paraId="36AEDF52">
      <w:pPr>
        <w:pStyle w:val="26"/>
        <w:spacing w:before="146" w:line="345" w:lineRule="auto"/>
        <w:ind w:left="117" w:right="28" w:firstLine="356"/>
        <w:rPr>
          <w:color w:val="auto"/>
          <w:spacing w:val="-1"/>
          <w:highlight w:val="none"/>
          <w:u w:val="none"/>
        </w:rPr>
        <w:sectPr>
          <w:footerReference r:id="rId21" w:type="default"/>
          <w:pgSz w:w="11907" w:h="16840"/>
          <w:pgMar w:top="1416" w:right="1305" w:bottom="1235" w:left="1305" w:header="680" w:footer="680" w:gutter="0"/>
          <w:cols w:space="720" w:num="1"/>
          <w:docGrid w:linePitch="326" w:charSpace="0"/>
        </w:sectPr>
      </w:pPr>
    </w:p>
    <w:p w14:paraId="6DBA1A43">
      <w:pPr>
        <w:spacing w:line="240" w:lineRule="auto"/>
        <w:jc w:val="center"/>
        <w:rPr>
          <w:rFonts w:hint="eastAsia" w:eastAsia="宋体"/>
          <w:color w:val="auto"/>
          <w:spacing w:val="-1"/>
          <w:highlight w:val="none"/>
          <w:u w:val="none"/>
          <w:lang w:eastAsia="zh-CN"/>
        </w:rPr>
      </w:pPr>
    </w:p>
    <w:p w14:paraId="4F3E7E66">
      <w:pPr>
        <w:pStyle w:val="988"/>
        <w:numPr>
          <w:ilvl w:val="255"/>
          <w:numId w:val="0"/>
        </w:numPr>
        <w:adjustRightInd w:val="0"/>
        <w:snapToGrid w:val="0"/>
        <w:ind w:left="480" w:leftChars="200"/>
        <w:rPr>
          <w:color w:val="auto"/>
          <w:highlight w:val="none"/>
          <w:u w:val="none"/>
        </w:rPr>
      </w:pPr>
      <w:r>
        <w:rPr>
          <w:color w:val="auto"/>
          <w:highlight w:val="none"/>
          <w:u w:val="none"/>
        </w:rPr>
        <w:t>（5）CALPUFF主要参数</w:t>
      </w:r>
    </w:p>
    <w:p w14:paraId="2B83F329">
      <w:pPr>
        <w:pStyle w:val="988"/>
        <w:adjustRightInd w:val="0"/>
        <w:snapToGrid w:val="0"/>
        <w:ind w:firstLine="480"/>
        <w:rPr>
          <w:color w:val="auto"/>
          <w:highlight w:val="none"/>
          <w:u w:val="none"/>
        </w:rPr>
      </w:pPr>
      <w:r>
        <w:rPr>
          <w:color w:val="auto"/>
          <w:highlight w:val="none"/>
          <w:u w:val="none"/>
        </w:rPr>
        <w:t>①CALMET模式数据说明</w:t>
      </w:r>
    </w:p>
    <w:p w14:paraId="00143926">
      <w:pPr>
        <w:pStyle w:val="988"/>
        <w:numPr>
          <w:ilvl w:val="255"/>
          <w:numId w:val="0"/>
        </w:numPr>
        <w:adjustRightInd w:val="0"/>
        <w:snapToGrid w:val="0"/>
        <w:ind w:firstLine="480" w:firstLineChars="200"/>
        <w:rPr>
          <w:color w:val="auto"/>
          <w:highlight w:val="none"/>
          <w:u w:val="none"/>
        </w:rPr>
      </w:pPr>
      <w:r>
        <w:rPr>
          <w:color w:val="auto"/>
          <w:highlight w:val="none"/>
          <w:u w:val="none"/>
        </w:rPr>
        <w:t>数据来源：地面数据采用周边莆田、福清、平潭三个气象站202</w:t>
      </w:r>
      <w:r>
        <w:rPr>
          <w:rFonts w:hint="eastAsia"/>
          <w:color w:val="auto"/>
          <w:highlight w:val="none"/>
          <w:u w:val="none"/>
        </w:rPr>
        <w:t>2</w:t>
      </w:r>
      <w:r>
        <w:rPr>
          <w:color w:val="auto"/>
          <w:highlight w:val="none"/>
          <w:u w:val="none"/>
        </w:rPr>
        <w:t>年逐日逐时气象。高空气象数据由中国气象局国家气象信息中心</w:t>
      </w:r>
      <w:r>
        <w:rPr>
          <w:rFonts w:hint="eastAsia"/>
          <w:color w:val="auto"/>
          <w:highlight w:val="none"/>
          <w:u w:val="none"/>
        </w:rPr>
        <w:t>提供的“</w:t>
      </w:r>
      <w:r>
        <w:rPr>
          <w:color w:val="auto"/>
          <w:highlight w:val="none"/>
          <w:u w:val="none"/>
        </w:rPr>
        <w:t>中国全球大气再分析中间产品</w:t>
      </w:r>
      <w:r>
        <w:rPr>
          <w:rFonts w:hint="eastAsia"/>
          <w:color w:val="auto"/>
          <w:highlight w:val="none"/>
          <w:u w:val="none"/>
        </w:rPr>
        <w:t>”</w:t>
      </w:r>
      <w:r>
        <w:rPr>
          <w:color w:val="auto"/>
          <w:highlight w:val="none"/>
          <w:u w:val="none"/>
        </w:rPr>
        <w:t>，时间分辨率为6小时，水平分辨率为34公里，垂直层次64层。提取37个层次的高空模拟气象数据，层次为1000～100hPa</w:t>
      </w:r>
      <w:r>
        <w:rPr>
          <w:rFonts w:hint="eastAsia"/>
          <w:color w:val="auto"/>
          <w:highlight w:val="none"/>
          <w:u w:val="none"/>
        </w:rPr>
        <w:t>，</w:t>
      </w:r>
      <w:r>
        <w:rPr>
          <w:color w:val="auto"/>
          <w:highlight w:val="none"/>
          <w:u w:val="none"/>
        </w:rPr>
        <w:t>每间隔25hPa为一个层次。</w:t>
      </w:r>
    </w:p>
    <w:p w14:paraId="22E124B3">
      <w:pPr>
        <w:pStyle w:val="988"/>
        <w:numPr>
          <w:ilvl w:val="255"/>
          <w:numId w:val="0"/>
        </w:numPr>
        <w:adjustRightInd w:val="0"/>
        <w:snapToGrid w:val="0"/>
        <w:ind w:firstLine="480" w:firstLineChars="200"/>
        <w:rPr>
          <w:color w:val="auto"/>
          <w:highlight w:val="none"/>
          <w:u w:val="none"/>
        </w:rPr>
      </w:pPr>
      <w:r>
        <w:rPr>
          <w:color w:val="auto"/>
          <w:highlight w:val="none"/>
          <w:u w:val="none"/>
        </w:rPr>
        <w:t>数据格式：</w:t>
      </w:r>
    </w:p>
    <w:p w14:paraId="32499BDB">
      <w:pPr>
        <w:pStyle w:val="988"/>
        <w:numPr>
          <w:ilvl w:val="255"/>
          <w:numId w:val="0"/>
        </w:numPr>
        <w:adjustRightInd w:val="0"/>
        <w:snapToGrid w:val="0"/>
        <w:ind w:firstLine="480" w:firstLineChars="200"/>
        <w:rPr>
          <w:color w:val="auto"/>
          <w:highlight w:val="none"/>
          <w:u w:val="none"/>
        </w:rPr>
      </w:pPr>
      <w:r>
        <w:rPr>
          <w:color w:val="auto"/>
          <w:highlight w:val="none"/>
          <w:u w:val="none"/>
        </w:rPr>
        <w:t>A.地面数据：适用于CALPUFF模型，数据格式为*.DAT。</w:t>
      </w:r>
    </w:p>
    <w:p w14:paraId="4CECE3D8">
      <w:pPr>
        <w:pStyle w:val="988"/>
        <w:numPr>
          <w:ilvl w:val="255"/>
          <w:numId w:val="0"/>
        </w:numPr>
        <w:adjustRightInd w:val="0"/>
        <w:snapToGrid w:val="0"/>
        <w:ind w:firstLine="480" w:firstLineChars="200"/>
        <w:rPr>
          <w:color w:val="auto"/>
          <w:highlight w:val="none"/>
          <w:u w:val="none"/>
        </w:rPr>
      </w:pPr>
      <w:r>
        <w:rPr>
          <w:color w:val="auto"/>
          <w:highlight w:val="none"/>
          <w:u w:val="none"/>
        </w:rPr>
        <w:t>B.高空数据：*.</w:t>
      </w:r>
      <w:r>
        <w:rPr>
          <w:rFonts w:hint="eastAsia"/>
          <w:color w:val="auto"/>
          <w:highlight w:val="none"/>
          <w:u w:val="none"/>
        </w:rPr>
        <w:t>QQA</w:t>
      </w:r>
      <w:r>
        <w:rPr>
          <w:color w:val="auto"/>
          <w:highlight w:val="none"/>
          <w:u w:val="none"/>
        </w:rPr>
        <w:t>L格式，使用READ62模块将上述格式转换成*.dat数据。</w:t>
      </w:r>
    </w:p>
    <w:p w14:paraId="36EDB3A8">
      <w:pPr>
        <w:pStyle w:val="988"/>
        <w:numPr>
          <w:ilvl w:val="255"/>
          <w:numId w:val="0"/>
        </w:numPr>
        <w:adjustRightInd w:val="0"/>
        <w:snapToGrid w:val="0"/>
        <w:rPr>
          <w:color w:val="auto"/>
          <w:highlight w:val="none"/>
          <w:u w:val="none"/>
        </w:rPr>
      </w:pPr>
      <w:r>
        <w:rPr>
          <w:color w:val="auto"/>
          <w:highlight w:val="none"/>
          <w:u w:val="none"/>
        </w:rPr>
        <w:t>CALMET模式具体参数说明见</w:t>
      </w:r>
      <w:r>
        <w:rPr>
          <w:color w:val="auto"/>
          <w:highlight w:val="none"/>
          <w:u w:val="none"/>
        </w:rPr>
        <w:fldChar w:fldCharType="begin"/>
      </w:r>
      <w:r>
        <w:rPr>
          <w:color w:val="auto"/>
          <w:highlight w:val="none"/>
          <w:u w:val="none"/>
        </w:rPr>
        <w:instrText xml:space="preserve"> REF _Ref149229864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8</w:t>
      </w:r>
      <w:r>
        <w:rPr>
          <w:color w:val="auto"/>
          <w:highlight w:val="none"/>
          <w:u w:val="none"/>
        </w:rPr>
        <w:fldChar w:fldCharType="end"/>
      </w:r>
      <w:r>
        <w:rPr>
          <w:color w:val="auto"/>
          <w:highlight w:val="none"/>
          <w:u w:val="none"/>
        </w:rPr>
        <w:t>。</w:t>
      </w:r>
    </w:p>
    <w:p w14:paraId="5811F3DE">
      <w:pPr>
        <w:pStyle w:val="85"/>
        <w:rPr>
          <w:color w:val="auto"/>
          <w:highlight w:val="none"/>
          <w:u w:val="none"/>
        </w:rPr>
      </w:pPr>
      <w:bookmarkStart w:id="471" w:name="_Ref149229864"/>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8</w:t>
      </w:r>
      <w:r>
        <w:rPr>
          <w:color w:val="auto"/>
          <w:highlight w:val="none"/>
          <w:u w:val="none"/>
        </w:rPr>
        <w:fldChar w:fldCharType="end"/>
      </w:r>
      <w:bookmarkEnd w:id="471"/>
      <w:r>
        <w:rPr>
          <w:color w:val="auto"/>
          <w:highlight w:val="none"/>
          <w:u w:val="none"/>
        </w:rPr>
        <w:t xml:space="preserve">  CALMET模式参数说明表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47"/>
        <w:gridCol w:w="2207"/>
        <w:gridCol w:w="4160"/>
      </w:tblGrid>
      <w:tr w14:paraId="62026D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43C5828F">
            <w:pPr>
              <w:pStyle w:val="92"/>
              <w:rPr>
                <w:color w:val="auto"/>
                <w:highlight w:val="none"/>
                <w:u w:val="none"/>
              </w:rPr>
            </w:pPr>
            <w:r>
              <w:rPr>
                <w:color w:val="auto"/>
                <w:highlight w:val="none"/>
                <w:u w:val="none"/>
              </w:rPr>
              <w:t>关键词</w:t>
            </w:r>
          </w:p>
        </w:tc>
        <w:tc>
          <w:tcPr>
            <w:tcW w:w="1160" w:type="pct"/>
          </w:tcPr>
          <w:p w14:paraId="0B2E8BE8">
            <w:pPr>
              <w:pStyle w:val="92"/>
              <w:rPr>
                <w:color w:val="auto"/>
                <w:highlight w:val="none"/>
                <w:u w:val="none"/>
              </w:rPr>
            </w:pPr>
            <w:r>
              <w:rPr>
                <w:color w:val="auto"/>
                <w:highlight w:val="none"/>
                <w:u w:val="none"/>
              </w:rPr>
              <w:t>描述</w:t>
            </w:r>
          </w:p>
        </w:tc>
        <w:tc>
          <w:tcPr>
            <w:tcW w:w="2186" w:type="pct"/>
          </w:tcPr>
          <w:p w14:paraId="13BA0299">
            <w:pPr>
              <w:pStyle w:val="92"/>
              <w:rPr>
                <w:color w:val="auto"/>
                <w:highlight w:val="none"/>
                <w:u w:val="none"/>
              </w:rPr>
            </w:pPr>
            <w:r>
              <w:rPr>
                <w:color w:val="auto"/>
                <w:highlight w:val="none"/>
                <w:u w:val="none"/>
              </w:rPr>
              <w:t>值</w:t>
            </w:r>
          </w:p>
        </w:tc>
      </w:tr>
      <w:tr w14:paraId="5AB52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1237DFEC">
            <w:pPr>
              <w:pStyle w:val="92"/>
              <w:rPr>
                <w:color w:val="auto"/>
                <w:highlight w:val="none"/>
                <w:u w:val="none"/>
              </w:rPr>
            </w:pPr>
            <w:r>
              <w:rPr>
                <w:color w:val="auto"/>
                <w:highlight w:val="none"/>
                <w:u w:val="none"/>
              </w:rPr>
              <w:t>NX</w:t>
            </w:r>
          </w:p>
        </w:tc>
        <w:tc>
          <w:tcPr>
            <w:tcW w:w="1160" w:type="pct"/>
          </w:tcPr>
          <w:p w14:paraId="04961D6E">
            <w:pPr>
              <w:pStyle w:val="92"/>
              <w:rPr>
                <w:color w:val="auto"/>
                <w:highlight w:val="none"/>
                <w:u w:val="none"/>
              </w:rPr>
            </w:pPr>
            <w:r>
              <w:rPr>
                <w:color w:val="auto"/>
                <w:highlight w:val="none"/>
                <w:u w:val="none"/>
              </w:rPr>
              <w:t>X方向网格点</w:t>
            </w:r>
          </w:p>
        </w:tc>
        <w:tc>
          <w:tcPr>
            <w:tcW w:w="2186" w:type="pct"/>
          </w:tcPr>
          <w:p w14:paraId="0DF3BD63">
            <w:pPr>
              <w:pStyle w:val="92"/>
              <w:rPr>
                <w:color w:val="auto"/>
                <w:highlight w:val="none"/>
                <w:u w:val="none"/>
              </w:rPr>
            </w:pPr>
            <w:r>
              <w:rPr>
                <w:rFonts w:hint="eastAsia"/>
                <w:color w:val="auto"/>
                <w:highlight w:val="none"/>
                <w:u w:val="none"/>
              </w:rPr>
              <w:t>70</w:t>
            </w:r>
          </w:p>
        </w:tc>
      </w:tr>
      <w:tr w14:paraId="39F2F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73125998">
            <w:pPr>
              <w:pStyle w:val="92"/>
              <w:rPr>
                <w:color w:val="auto"/>
                <w:highlight w:val="none"/>
                <w:u w:val="none"/>
              </w:rPr>
            </w:pPr>
            <w:r>
              <w:rPr>
                <w:color w:val="auto"/>
                <w:highlight w:val="none"/>
                <w:u w:val="none"/>
              </w:rPr>
              <w:t>NY</w:t>
            </w:r>
          </w:p>
        </w:tc>
        <w:tc>
          <w:tcPr>
            <w:tcW w:w="1160" w:type="pct"/>
          </w:tcPr>
          <w:p w14:paraId="2204032C">
            <w:pPr>
              <w:pStyle w:val="92"/>
              <w:rPr>
                <w:color w:val="auto"/>
                <w:highlight w:val="none"/>
                <w:u w:val="none"/>
              </w:rPr>
            </w:pPr>
            <w:r>
              <w:rPr>
                <w:color w:val="auto"/>
                <w:highlight w:val="none"/>
                <w:u w:val="none"/>
              </w:rPr>
              <w:t>Y方向网格点</w:t>
            </w:r>
          </w:p>
        </w:tc>
        <w:tc>
          <w:tcPr>
            <w:tcW w:w="2186" w:type="pct"/>
          </w:tcPr>
          <w:p w14:paraId="0EFA78A4">
            <w:pPr>
              <w:pStyle w:val="92"/>
              <w:rPr>
                <w:color w:val="auto"/>
                <w:highlight w:val="none"/>
                <w:u w:val="none"/>
              </w:rPr>
            </w:pPr>
            <w:r>
              <w:rPr>
                <w:rFonts w:hint="eastAsia"/>
                <w:color w:val="auto"/>
                <w:highlight w:val="none"/>
                <w:u w:val="none"/>
              </w:rPr>
              <w:t>70</w:t>
            </w:r>
          </w:p>
        </w:tc>
      </w:tr>
      <w:tr w14:paraId="33E92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38916929">
            <w:pPr>
              <w:pStyle w:val="92"/>
              <w:rPr>
                <w:color w:val="auto"/>
                <w:highlight w:val="none"/>
                <w:u w:val="none"/>
              </w:rPr>
            </w:pPr>
            <w:r>
              <w:rPr>
                <w:color w:val="auto"/>
                <w:highlight w:val="none"/>
                <w:u w:val="none"/>
              </w:rPr>
              <w:t>DGRIDKM</w:t>
            </w:r>
          </w:p>
        </w:tc>
        <w:tc>
          <w:tcPr>
            <w:tcW w:w="1160" w:type="pct"/>
          </w:tcPr>
          <w:p w14:paraId="3D7C13ED">
            <w:pPr>
              <w:pStyle w:val="92"/>
              <w:rPr>
                <w:color w:val="auto"/>
                <w:highlight w:val="none"/>
                <w:u w:val="none"/>
              </w:rPr>
            </w:pPr>
            <w:r>
              <w:rPr>
                <w:color w:val="auto"/>
                <w:highlight w:val="none"/>
                <w:u w:val="none"/>
              </w:rPr>
              <w:t>水平格距，km</w:t>
            </w:r>
          </w:p>
        </w:tc>
        <w:tc>
          <w:tcPr>
            <w:tcW w:w="2186" w:type="pct"/>
          </w:tcPr>
          <w:p w14:paraId="5C153041">
            <w:pPr>
              <w:pStyle w:val="92"/>
              <w:rPr>
                <w:color w:val="auto"/>
                <w:highlight w:val="none"/>
                <w:u w:val="none"/>
              </w:rPr>
            </w:pPr>
            <w:r>
              <w:rPr>
                <w:color w:val="auto"/>
                <w:highlight w:val="none"/>
                <w:u w:val="none"/>
              </w:rPr>
              <w:t>0.</w:t>
            </w:r>
            <w:r>
              <w:rPr>
                <w:rFonts w:hint="eastAsia"/>
                <w:color w:val="auto"/>
                <w:highlight w:val="none"/>
                <w:u w:val="none"/>
              </w:rPr>
              <w:t>2</w:t>
            </w:r>
          </w:p>
        </w:tc>
      </w:tr>
      <w:tr w14:paraId="788CE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1192B37E">
            <w:pPr>
              <w:pStyle w:val="92"/>
              <w:rPr>
                <w:color w:val="auto"/>
                <w:highlight w:val="none"/>
                <w:u w:val="none"/>
              </w:rPr>
            </w:pPr>
            <w:r>
              <w:rPr>
                <w:color w:val="auto"/>
                <w:highlight w:val="none"/>
                <w:u w:val="none"/>
              </w:rPr>
              <w:t>XORIDKM</w:t>
            </w:r>
          </w:p>
        </w:tc>
        <w:tc>
          <w:tcPr>
            <w:tcW w:w="1160" w:type="pct"/>
          </w:tcPr>
          <w:p w14:paraId="43FC9C53">
            <w:pPr>
              <w:pStyle w:val="92"/>
              <w:rPr>
                <w:color w:val="auto"/>
                <w:highlight w:val="none"/>
                <w:u w:val="none"/>
              </w:rPr>
            </w:pPr>
            <w:r>
              <w:rPr>
                <w:color w:val="auto"/>
                <w:highlight w:val="none"/>
                <w:u w:val="none"/>
              </w:rPr>
              <w:t>西南角X坐标，km</w:t>
            </w:r>
          </w:p>
        </w:tc>
        <w:tc>
          <w:tcPr>
            <w:tcW w:w="4061" w:type="dxa"/>
            <w:vAlign w:val="center"/>
          </w:tcPr>
          <w:p w14:paraId="4D05F4CB">
            <w:pPr>
              <w:pStyle w:val="92"/>
              <w:ind w:firstLine="0" w:firstLineChars="0"/>
              <w:rPr>
                <w:color w:val="auto"/>
                <w:highlight w:val="none"/>
                <w:u w:val="none"/>
              </w:rPr>
            </w:pPr>
            <w:r>
              <w:rPr>
                <w:color w:val="auto"/>
                <w:highlight w:val="none"/>
                <w:u w:val="none"/>
              </w:rPr>
              <w:t>7</w:t>
            </w:r>
            <w:r>
              <w:rPr>
                <w:rFonts w:hint="eastAsia"/>
                <w:color w:val="auto"/>
                <w:highlight w:val="none"/>
                <w:u w:val="none"/>
              </w:rPr>
              <w:t>21.424</w:t>
            </w:r>
          </w:p>
        </w:tc>
      </w:tr>
      <w:tr w14:paraId="250D7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503A990D">
            <w:pPr>
              <w:pStyle w:val="92"/>
              <w:rPr>
                <w:color w:val="auto"/>
                <w:highlight w:val="none"/>
                <w:u w:val="none"/>
              </w:rPr>
            </w:pPr>
            <w:r>
              <w:rPr>
                <w:color w:val="auto"/>
                <w:highlight w:val="none"/>
                <w:u w:val="none"/>
              </w:rPr>
              <w:t>YORIDKM</w:t>
            </w:r>
          </w:p>
        </w:tc>
        <w:tc>
          <w:tcPr>
            <w:tcW w:w="1160" w:type="pct"/>
          </w:tcPr>
          <w:p w14:paraId="730E7664">
            <w:pPr>
              <w:pStyle w:val="92"/>
              <w:rPr>
                <w:color w:val="auto"/>
                <w:highlight w:val="none"/>
                <w:u w:val="none"/>
              </w:rPr>
            </w:pPr>
            <w:r>
              <w:rPr>
                <w:color w:val="auto"/>
                <w:highlight w:val="none"/>
                <w:u w:val="none"/>
              </w:rPr>
              <w:t>西南角Y坐标，km</w:t>
            </w:r>
          </w:p>
        </w:tc>
        <w:tc>
          <w:tcPr>
            <w:tcW w:w="4061" w:type="dxa"/>
            <w:vAlign w:val="center"/>
          </w:tcPr>
          <w:p w14:paraId="0CE0BF09">
            <w:pPr>
              <w:pStyle w:val="92"/>
              <w:ind w:firstLine="0" w:firstLineChars="0"/>
              <w:rPr>
                <w:color w:val="auto"/>
                <w:highlight w:val="none"/>
                <w:u w:val="none"/>
              </w:rPr>
            </w:pPr>
            <w:r>
              <w:rPr>
                <w:color w:val="auto"/>
                <w:highlight w:val="none"/>
                <w:u w:val="none"/>
              </w:rPr>
              <w:t>28</w:t>
            </w:r>
            <w:r>
              <w:rPr>
                <w:rFonts w:hint="eastAsia"/>
                <w:color w:val="auto"/>
                <w:highlight w:val="none"/>
                <w:u w:val="none"/>
              </w:rPr>
              <w:t>10.174</w:t>
            </w:r>
          </w:p>
        </w:tc>
      </w:tr>
      <w:tr w14:paraId="2FD83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103CBBC9">
            <w:pPr>
              <w:pStyle w:val="92"/>
              <w:rPr>
                <w:color w:val="auto"/>
                <w:highlight w:val="none"/>
                <w:u w:val="none"/>
              </w:rPr>
            </w:pPr>
            <w:r>
              <w:rPr>
                <w:color w:val="auto"/>
                <w:highlight w:val="none"/>
                <w:u w:val="none"/>
              </w:rPr>
              <w:t>NZ</w:t>
            </w:r>
          </w:p>
        </w:tc>
        <w:tc>
          <w:tcPr>
            <w:tcW w:w="1160" w:type="pct"/>
          </w:tcPr>
          <w:p w14:paraId="04FCC5D8">
            <w:pPr>
              <w:pStyle w:val="92"/>
              <w:rPr>
                <w:color w:val="auto"/>
                <w:highlight w:val="none"/>
                <w:u w:val="none"/>
              </w:rPr>
            </w:pPr>
            <w:r>
              <w:rPr>
                <w:color w:val="auto"/>
                <w:highlight w:val="none"/>
                <w:u w:val="none"/>
              </w:rPr>
              <w:t>垂直层数</w:t>
            </w:r>
          </w:p>
        </w:tc>
        <w:tc>
          <w:tcPr>
            <w:tcW w:w="4061" w:type="dxa"/>
            <w:vAlign w:val="center"/>
          </w:tcPr>
          <w:p w14:paraId="703EAF4E">
            <w:pPr>
              <w:pStyle w:val="92"/>
              <w:ind w:firstLine="0" w:firstLineChars="0"/>
              <w:rPr>
                <w:color w:val="auto"/>
                <w:highlight w:val="none"/>
                <w:u w:val="none"/>
              </w:rPr>
            </w:pPr>
            <w:r>
              <w:rPr>
                <w:rFonts w:hint="eastAsia"/>
                <w:color w:val="auto"/>
                <w:highlight w:val="none"/>
                <w:u w:val="none"/>
              </w:rPr>
              <w:t>11</w:t>
            </w:r>
          </w:p>
        </w:tc>
      </w:tr>
      <w:tr w14:paraId="26B3F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153F66EB">
            <w:pPr>
              <w:pStyle w:val="92"/>
              <w:rPr>
                <w:color w:val="auto"/>
                <w:highlight w:val="none"/>
                <w:u w:val="none"/>
              </w:rPr>
            </w:pPr>
            <w:r>
              <w:rPr>
                <w:color w:val="auto"/>
                <w:highlight w:val="none"/>
                <w:u w:val="none"/>
              </w:rPr>
              <w:t>ZFACE</w:t>
            </w:r>
          </w:p>
        </w:tc>
        <w:tc>
          <w:tcPr>
            <w:tcW w:w="1160" w:type="pct"/>
          </w:tcPr>
          <w:p w14:paraId="3C5C0BA8">
            <w:pPr>
              <w:pStyle w:val="92"/>
              <w:rPr>
                <w:color w:val="auto"/>
                <w:highlight w:val="none"/>
                <w:u w:val="none"/>
              </w:rPr>
            </w:pPr>
            <w:r>
              <w:rPr>
                <w:color w:val="auto"/>
                <w:highlight w:val="none"/>
                <w:u w:val="none"/>
              </w:rPr>
              <w:t>层顶高度</w:t>
            </w:r>
          </w:p>
        </w:tc>
        <w:tc>
          <w:tcPr>
            <w:tcW w:w="4061" w:type="dxa"/>
            <w:vAlign w:val="center"/>
          </w:tcPr>
          <w:p w14:paraId="661EB679">
            <w:pPr>
              <w:pStyle w:val="92"/>
              <w:rPr>
                <w:color w:val="auto"/>
                <w:highlight w:val="none"/>
                <w:u w:val="none"/>
              </w:rPr>
            </w:pPr>
            <w:r>
              <w:rPr>
                <w:color w:val="auto"/>
                <w:highlight w:val="none"/>
                <w:u w:val="none"/>
              </w:rPr>
              <w:t>0,20,50,</w:t>
            </w:r>
            <w:r>
              <w:rPr>
                <w:rFonts w:hint="eastAsia"/>
                <w:color w:val="auto"/>
                <w:highlight w:val="none"/>
                <w:u w:val="none"/>
              </w:rPr>
              <w:t>100,</w:t>
            </w:r>
            <w:r>
              <w:rPr>
                <w:color w:val="auto"/>
                <w:highlight w:val="none"/>
                <w:u w:val="none"/>
              </w:rPr>
              <w:t>200,500,</w:t>
            </w:r>
            <w:r>
              <w:rPr>
                <w:rFonts w:hint="eastAsia"/>
                <w:color w:val="auto"/>
                <w:highlight w:val="none"/>
                <w:u w:val="none"/>
              </w:rPr>
              <w:t>1000,</w:t>
            </w:r>
          </w:p>
          <w:p w14:paraId="5C7E666E">
            <w:pPr>
              <w:pStyle w:val="92"/>
              <w:ind w:firstLine="0" w:firstLineChars="0"/>
              <w:rPr>
                <w:color w:val="auto"/>
                <w:highlight w:val="none"/>
                <w:u w:val="none"/>
              </w:rPr>
            </w:pPr>
            <w:r>
              <w:rPr>
                <w:color w:val="auto"/>
                <w:highlight w:val="none"/>
                <w:u w:val="none"/>
              </w:rPr>
              <w:t>1500,2</w:t>
            </w:r>
            <w:r>
              <w:rPr>
                <w:rFonts w:hint="eastAsia"/>
                <w:color w:val="auto"/>
                <w:highlight w:val="none"/>
                <w:u w:val="none"/>
              </w:rPr>
              <w:t>0</w:t>
            </w:r>
            <w:r>
              <w:rPr>
                <w:color w:val="auto"/>
                <w:highlight w:val="none"/>
                <w:u w:val="none"/>
              </w:rPr>
              <w:t>00,</w:t>
            </w:r>
            <w:r>
              <w:rPr>
                <w:rFonts w:hint="eastAsia"/>
                <w:color w:val="auto"/>
                <w:highlight w:val="none"/>
                <w:u w:val="none"/>
              </w:rPr>
              <w:t>2500,</w:t>
            </w:r>
            <w:r>
              <w:rPr>
                <w:color w:val="auto"/>
                <w:highlight w:val="none"/>
                <w:u w:val="none"/>
              </w:rPr>
              <w:t>3</w:t>
            </w:r>
            <w:r>
              <w:rPr>
                <w:rFonts w:hint="eastAsia"/>
                <w:color w:val="auto"/>
                <w:highlight w:val="none"/>
                <w:u w:val="none"/>
              </w:rPr>
              <w:t>0</w:t>
            </w:r>
            <w:r>
              <w:rPr>
                <w:color w:val="auto"/>
                <w:highlight w:val="none"/>
                <w:u w:val="none"/>
              </w:rPr>
              <w:t>00</w:t>
            </w:r>
            <w:r>
              <w:rPr>
                <w:rFonts w:hint="eastAsia"/>
                <w:color w:val="auto"/>
                <w:highlight w:val="none"/>
                <w:u w:val="none"/>
              </w:rPr>
              <w:t>,4000</w:t>
            </w:r>
          </w:p>
        </w:tc>
      </w:tr>
      <w:tr w14:paraId="2D140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611042BB">
            <w:pPr>
              <w:pStyle w:val="92"/>
              <w:rPr>
                <w:color w:val="auto"/>
                <w:highlight w:val="none"/>
                <w:u w:val="none"/>
              </w:rPr>
            </w:pPr>
            <w:r>
              <w:rPr>
                <w:color w:val="auto"/>
                <w:highlight w:val="none"/>
                <w:u w:val="none"/>
              </w:rPr>
              <w:t>NOOBS</w:t>
            </w:r>
          </w:p>
        </w:tc>
        <w:tc>
          <w:tcPr>
            <w:tcW w:w="1160" w:type="pct"/>
          </w:tcPr>
          <w:p w14:paraId="47DCF07A">
            <w:pPr>
              <w:pStyle w:val="92"/>
              <w:rPr>
                <w:color w:val="auto"/>
                <w:highlight w:val="none"/>
                <w:u w:val="none"/>
              </w:rPr>
            </w:pPr>
            <w:r>
              <w:rPr>
                <w:color w:val="auto"/>
                <w:highlight w:val="none"/>
                <w:u w:val="none"/>
              </w:rPr>
              <w:t>数据模式</w:t>
            </w:r>
          </w:p>
        </w:tc>
        <w:tc>
          <w:tcPr>
            <w:tcW w:w="2186" w:type="pct"/>
          </w:tcPr>
          <w:p w14:paraId="02024B6B">
            <w:pPr>
              <w:pStyle w:val="92"/>
              <w:rPr>
                <w:color w:val="auto"/>
                <w:highlight w:val="none"/>
                <w:u w:val="none"/>
              </w:rPr>
            </w:pPr>
            <w:r>
              <w:rPr>
                <w:color w:val="auto"/>
                <w:highlight w:val="none"/>
                <w:u w:val="none"/>
              </w:rPr>
              <w:t>使用地面站气象数据、高空气象站数据</w:t>
            </w:r>
          </w:p>
        </w:tc>
      </w:tr>
      <w:tr w14:paraId="79367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752519E8">
            <w:pPr>
              <w:pStyle w:val="92"/>
              <w:rPr>
                <w:color w:val="auto"/>
                <w:highlight w:val="none"/>
                <w:u w:val="none"/>
              </w:rPr>
            </w:pPr>
            <w:r>
              <w:rPr>
                <w:color w:val="auto"/>
                <w:highlight w:val="none"/>
                <w:u w:val="none"/>
              </w:rPr>
              <w:t>NSSTA</w:t>
            </w:r>
          </w:p>
        </w:tc>
        <w:tc>
          <w:tcPr>
            <w:tcW w:w="1160" w:type="pct"/>
          </w:tcPr>
          <w:p w14:paraId="2B5FC328">
            <w:pPr>
              <w:pStyle w:val="92"/>
              <w:rPr>
                <w:color w:val="auto"/>
                <w:highlight w:val="none"/>
                <w:u w:val="none"/>
              </w:rPr>
            </w:pPr>
            <w:r>
              <w:rPr>
                <w:color w:val="auto"/>
                <w:highlight w:val="none"/>
                <w:u w:val="none"/>
              </w:rPr>
              <w:t>地面站数量</w:t>
            </w:r>
          </w:p>
        </w:tc>
        <w:tc>
          <w:tcPr>
            <w:tcW w:w="2186" w:type="pct"/>
          </w:tcPr>
          <w:p w14:paraId="13CEA256">
            <w:pPr>
              <w:pStyle w:val="92"/>
              <w:rPr>
                <w:color w:val="auto"/>
                <w:highlight w:val="none"/>
                <w:u w:val="none"/>
              </w:rPr>
            </w:pPr>
            <w:r>
              <w:rPr>
                <w:color w:val="auto"/>
                <w:highlight w:val="none"/>
                <w:u w:val="none"/>
              </w:rPr>
              <w:t>3</w:t>
            </w:r>
          </w:p>
        </w:tc>
      </w:tr>
      <w:tr w14:paraId="06D50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399A687D">
            <w:pPr>
              <w:pStyle w:val="92"/>
              <w:rPr>
                <w:color w:val="auto"/>
                <w:highlight w:val="none"/>
                <w:u w:val="none"/>
              </w:rPr>
            </w:pPr>
            <w:r>
              <w:rPr>
                <w:color w:val="auto"/>
                <w:highlight w:val="none"/>
                <w:u w:val="none"/>
              </w:rPr>
              <w:t>NPSTA</w:t>
            </w:r>
          </w:p>
        </w:tc>
        <w:tc>
          <w:tcPr>
            <w:tcW w:w="1160" w:type="pct"/>
          </w:tcPr>
          <w:p w14:paraId="73A75D3F">
            <w:pPr>
              <w:pStyle w:val="92"/>
              <w:rPr>
                <w:color w:val="auto"/>
                <w:highlight w:val="none"/>
                <w:u w:val="none"/>
              </w:rPr>
            </w:pPr>
            <w:r>
              <w:rPr>
                <w:color w:val="auto"/>
                <w:highlight w:val="none"/>
                <w:u w:val="none"/>
              </w:rPr>
              <w:t>高空站数量</w:t>
            </w:r>
          </w:p>
        </w:tc>
        <w:tc>
          <w:tcPr>
            <w:tcW w:w="2186" w:type="pct"/>
          </w:tcPr>
          <w:p w14:paraId="76B131EB">
            <w:pPr>
              <w:pStyle w:val="92"/>
              <w:rPr>
                <w:color w:val="auto"/>
                <w:highlight w:val="none"/>
                <w:u w:val="none"/>
              </w:rPr>
            </w:pPr>
            <w:r>
              <w:rPr>
                <w:color w:val="auto"/>
                <w:highlight w:val="none"/>
                <w:u w:val="none"/>
              </w:rPr>
              <w:t>3</w:t>
            </w:r>
          </w:p>
        </w:tc>
      </w:tr>
      <w:tr w14:paraId="75BD2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3511CDAB">
            <w:pPr>
              <w:pStyle w:val="92"/>
              <w:rPr>
                <w:color w:val="auto"/>
                <w:highlight w:val="none"/>
                <w:u w:val="none"/>
              </w:rPr>
            </w:pPr>
            <w:r>
              <w:rPr>
                <w:color w:val="auto"/>
                <w:highlight w:val="none"/>
                <w:u w:val="none"/>
              </w:rPr>
              <w:t>IFORMS</w:t>
            </w:r>
          </w:p>
        </w:tc>
        <w:tc>
          <w:tcPr>
            <w:tcW w:w="1160" w:type="pct"/>
          </w:tcPr>
          <w:p w14:paraId="070BE39B">
            <w:pPr>
              <w:pStyle w:val="92"/>
              <w:rPr>
                <w:color w:val="auto"/>
                <w:highlight w:val="none"/>
                <w:u w:val="none"/>
              </w:rPr>
            </w:pPr>
            <w:r>
              <w:rPr>
                <w:color w:val="auto"/>
                <w:highlight w:val="none"/>
                <w:u w:val="none"/>
              </w:rPr>
              <w:t>地面站数据格式</w:t>
            </w:r>
          </w:p>
        </w:tc>
        <w:tc>
          <w:tcPr>
            <w:tcW w:w="2186" w:type="pct"/>
          </w:tcPr>
          <w:p w14:paraId="6E27538C">
            <w:pPr>
              <w:pStyle w:val="92"/>
              <w:rPr>
                <w:color w:val="auto"/>
                <w:highlight w:val="none"/>
                <w:u w:val="none"/>
              </w:rPr>
            </w:pPr>
            <w:r>
              <w:rPr>
                <w:color w:val="auto"/>
                <w:highlight w:val="none"/>
                <w:u w:val="none"/>
              </w:rPr>
              <w:t>OQA</w:t>
            </w:r>
          </w:p>
        </w:tc>
      </w:tr>
      <w:tr w14:paraId="31DF0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73DEF0D6">
            <w:pPr>
              <w:pStyle w:val="92"/>
              <w:rPr>
                <w:color w:val="auto"/>
                <w:highlight w:val="none"/>
                <w:u w:val="none"/>
              </w:rPr>
            </w:pPr>
            <w:r>
              <w:rPr>
                <w:color w:val="auto"/>
                <w:highlight w:val="none"/>
                <w:u w:val="none"/>
              </w:rPr>
              <w:t>IWFCOD</w:t>
            </w:r>
          </w:p>
        </w:tc>
        <w:tc>
          <w:tcPr>
            <w:tcW w:w="1160" w:type="pct"/>
          </w:tcPr>
          <w:p w14:paraId="4ACA2CF7">
            <w:pPr>
              <w:pStyle w:val="92"/>
              <w:rPr>
                <w:color w:val="auto"/>
                <w:highlight w:val="none"/>
                <w:u w:val="none"/>
              </w:rPr>
            </w:pPr>
            <w:r>
              <w:rPr>
                <w:color w:val="auto"/>
                <w:highlight w:val="none"/>
                <w:u w:val="none"/>
              </w:rPr>
              <w:t>风场模块</w:t>
            </w:r>
          </w:p>
        </w:tc>
        <w:tc>
          <w:tcPr>
            <w:tcW w:w="2186" w:type="pct"/>
          </w:tcPr>
          <w:p w14:paraId="492BD6DF">
            <w:pPr>
              <w:pStyle w:val="92"/>
              <w:rPr>
                <w:color w:val="auto"/>
                <w:highlight w:val="none"/>
                <w:u w:val="none"/>
              </w:rPr>
            </w:pPr>
            <w:r>
              <w:rPr>
                <w:color w:val="auto"/>
                <w:highlight w:val="none"/>
                <w:u w:val="none"/>
              </w:rPr>
              <w:t>诊断风场模块</w:t>
            </w:r>
          </w:p>
        </w:tc>
      </w:tr>
      <w:tr w14:paraId="1396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54EA4671">
            <w:pPr>
              <w:pStyle w:val="92"/>
              <w:rPr>
                <w:color w:val="auto"/>
                <w:highlight w:val="none"/>
                <w:u w:val="none"/>
              </w:rPr>
            </w:pPr>
            <w:r>
              <w:rPr>
                <w:color w:val="auto"/>
                <w:highlight w:val="none"/>
                <w:u w:val="none"/>
              </w:rPr>
              <w:t>IFRADJ</w:t>
            </w:r>
          </w:p>
        </w:tc>
        <w:tc>
          <w:tcPr>
            <w:tcW w:w="1160" w:type="pct"/>
          </w:tcPr>
          <w:p w14:paraId="3A9D4427">
            <w:pPr>
              <w:pStyle w:val="92"/>
              <w:rPr>
                <w:color w:val="auto"/>
                <w:highlight w:val="none"/>
                <w:u w:val="none"/>
              </w:rPr>
            </w:pPr>
            <w:r>
              <w:rPr>
                <w:color w:val="auto"/>
                <w:highlight w:val="none"/>
                <w:u w:val="none"/>
              </w:rPr>
              <w:t>弗劳德数效应</w:t>
            </w:r>
          </w:p>
        </w:tc>
        <w:tc>
          <w:tcPr>
            <w:tcW w:w="2186" w:type="pct"/>
          </w:tcPr>
          <w:p w14:paraId="3E4C639C">
            <w:pPr>
              <w:pStyle w:val="92"/>
              <w:rPr>
                <w:color w:val="auto"/>
                <w:highlight w:val="none"/>
                <w:u w:val="none"/>
              </w:rPr>
            </w:pPr>
            <w:r>
              <w:rPr>
                <w:color w:val="auto"/>
                <w:highlight w:val="none"/>
                <w:u w:val="none"/>
              </w:rPr>
              <w:t>计算弗劳德数效应</w:t>
            </w:r>
          </w:p>
        </w:tc>
      </w:tr>
      <w:tr w14:paraId="6F937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03D0E1F2">
            <w:pPr>
              <w:pStyle w:val="92"/>
              <w:rPr>
                <w:color w:val="auto"/>
                <w:highlight w:val="none"/>
                <w:u w:val="none"/>
              </w:rPr>
            </w:pPr>
            <w:r>
              <w:rPr>
                <w:color w:val="auto"/>
                <w:highlight w:val="none"/>
                <w:u w:val="none"/>
              </w:rPr>
              <w:t>IKINE</w:t>
            </w:r>
          </w:p>
        </w:tc>
        <w:tc>
          <w:tcPr>
            <w:tcW w:w="1160" w:type="pct"/>
          </w:tcPr>
          <w:p w14:paraId="7F78C326">
            <w:pPr>
              <w:pStyle w:val="92"/>
              <w:rPr>
                <w:color w:val="auto"/>
                <w:highlight w:val="none"/>
                <w:u w:val="none"/>
              </w:rPr>
            </w:pPr>
            <w:r>
              <w:rPr>
                <w:color w:val="auto"/>
                <w:highlight w:val="none"/>
                <w:u w:val="none"/>
              </w:rPr>
              <w:t>动力学效应</w:t>
            </w:r>
          </w:p>
        </w:tc>
        <w:tc>
          <w:tcPr>
            <w:tcW w:w="2186" w:type="pct"/>
          </w:tcPr>
          <w:p w14:paraId="56E37886">
            <w:pPr>
              <w:pStyle w:val="92"/>
              <w:rPr>
                <w:color w:val="auto"/>
                <w:highlight w:val="none"/>
                <w:u w:val="none"/>
              </w:rPr>
            </w:pPr>
            <w:r>
              <w:rPr>
                <w:color w:val="auto"/>
                <w:highlight w:val="none"/>
                <w:u w:val="none"/>
              </w:rPr>
              <w:t>不计算动力学效应</w:t>
            </w:r>
          </w:p>
        </w:tc>
      </w:tr>
      <w:tr w14:paraId="33476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089F795F">
            <w:pPr>
              <w:pStyle w:val="92"/>
              <w:rPr>
                <w:color w:val="auto"/>
                <w:highlight w:val="none"/>
                <w:u w:val="none"/>
              </w:rPr>
            </w:pPr>
            <w:r>
              <w:rPr>
                <w:color w:val="auto"/>
                <w:highlight w:val="none"/>
                <w:u w:val="none"/>
              </w:rPr>
              <w:t>IOBR</w:t>
            </w:r>
          </w:p>
        </w:tc>
        <w:tc>
          <w:tcPr>
            <w:tcW w:w="1160" w:type="pct"/>
          </w:tcPr>
          <w:p w14:paraId="68FFF612">
            <w:pPr>
              <w:pStyle w:val="92"/>
              <w:rPr>
                <w:color w:val="auto"/>
                <w:highlight w:val="none"/>
                <w:u w:val="none"/>
              </w:rPr>
            </w:pPr>
            <w:r>
              <w:rPr>
                <w:color w:val="auto"/>
                <w:highlight w:val="none"/>
                <w:u w:val="none"/>
              </w:rPr>
              <w:t>O’Brien 调整</w:t>
            </w:r>
          </w:p>
        </w:tc>
        <w:tc>
          <w:tcPr>
            <w:tcW w:w="2186" w:type="pct"/>
          </w:tcPr>
          <w:p w14:paraId="3E8FF219">
            <w:pPr>
              <w:pStyle w:val="92"/>
              <w:rPr>
                <w:color w:val="auto"/>
                <w:highlight w:val="none"/>
                <w:u w:val="none"/>
              </w:rPr>
            </w:pPr>
            <w:r>
              <w:rPr>
                <w:color w:val="auto"/>
                <w:highlight w:val="none"/>
                <w:u w:val="none"/>
              </w:rPr>
              <w:t>不考虑O’Brien 调整</w:t>
            </w:r>
          </w:p>
        </w:tc>
      </w:tr>
      <w:tr w14:paraId="08CA1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5690CAC5">
            <w:pPr>
              <w:pStyle w:val="92"/>
              <w:rPr>
                <w:color w:val="auto"/>
                <w:highlight w:val="none"/>
                <w:u w:val="none"/>
              </w:rPr>
            </w:pPr>
            <w:r>
              <w:rPr>
                <w:color w:val="auto"/>
                <w:highlight w:val="none"/>
                <w:u w:val="none"/>
              </w:rPr>
              <w:t>ISOLPE</w:t>
            </w:r>
          </w:p>
        </w:tc>
        <w:tc>
          <w:tcPr>
            <w:tcW w:w="1160" w:type="pct"/>
          </w:tcPr>
          <w:p w14:paraId="0BBFDC62">
            <w:pPr>
              <w:pStyle w:val="92"/>
              <w:rPr>
                <w:color w:val="auto"/>
                <w:highlight w:val="none"/>
                <w:u w:val="none"/>
              </w:rPr>
            </w:pPr>
            <w:r>
              <w:rPr>
                <w:color w:val="auto"/>
                <w:highlight w:val="none"/>
                <w:u w:val="none"/>
              </w:rPr>
              <w:t>坡流效应</w:t>
            </w:r>
          </w:p>
        </w:tc>
        <w:tc>
          <w:tcPr>
            <w:tcW w:w="2186" w:type="pct"/>
          </w:tcPr>
          <w:p w14:paraId="5A7655E5">
            <w:pPr>
              <w:pStyle w:val="92"/>
              <w:rPr>
                <w:color w:val="auto"/>
                <w:highlight w:val="none"/>
                <w:u w:val="none"/>
              </w:rPr>
            </w:pPr>
            <w:r>
              <w:rPr>
                <w:color w:val="auto"/>
                <w:highlight w:val="none"/>
                <w:u w:val="none"/>
              </w:rPr>
              <w:t>计算坡流效应</w:t>
            </w:r>
          </w:p>
        </w:tc>
      </w:tr>
      <w:tr w14:paraId="0EE7A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54" w:type="pct"/>
          </w:tcPr>
          <w:p w14:paraId="4C0E0BA0">
            <w:pPr>
              <w:pStyle w:val="92"/>
              <w:rPr>
                <w:color w:val="auto"/>
                <w:highlight w:val="none"/>
                <w:u w:val="none"/>
              </w:rPr>
            </w:pPr>
            <w:r>
              <w:rPr>
                <w:color w:val="auto"/>
                <w:highlight w:val="none"/>
                <w:u w:val="none"/>
              </w:rPr>
              <w:t>IPROG</w:t>
            </w:r>
          </w:p>
        </w:tc>
        <w:tc>
          <w:tcPr>
            <w:tcW w:w="1160" w:type="pct"/>
          </w:tcPr>
          <w:p w14:paraId="51E0E971">
            <w:pPr>
              <w:pStyle w:val="92"/>
              <w:rPr>
                <w:color w:val="auto"/>
                <w:highlight w:val="none"/>
                <w:u w:val="none"/>
              </w:rPr>
            </w:pPr>
            <w:r>
              <w:rPr>
                <w:color w:val="auto"/>
                <w:highlight w:val="none"/>
                <w:u w:val="none"/>
              </w:rPr>
              <w:t>预测风场使用选项</w:t>
            </w:r>
          </w:p>
        </w:tc>
        <w:tc>
          <w:tcPr>
            <w:tcW w:w="2186" w:type="pct"/>
          </w:tcPr>
          <w:p w14:paraId="3C68789B">
            <w:pPr>
              <w:pStyle w:val="92"/>
              <w:rPr>
                <w:color w:val="auto"/>
                <w:highlight w:val="none"/>
                <w:u w:val="none"/>
              </w:rPr>
            </w:pPr>
            <w:r>
              <w:rPr>
                <w:color w:val="auto"/>
                <w:highlight w:val="none"/>
                <w:u w:val="none"/>
              </w:rPr>
              <w:t>使高空数据内部计算作为初始猜值场</w:t>
            </w:r>
          </w:p>
        </w:tc>
      </w:tr>
    </w:tbl>
    <w:p w14:paraId="67654F41">
      <w:pPr>
        <w:pStyle w:val="988"/>
        <w:numPr>
          <w:ilvl w:val="255"/>
          <w:numId w:val="0"/>
        </w:numPr>
        <w:adjustRightInd w:val="0"/>
        <w:snapToGrid w:val="0"/>
        <w:spacing w:line="240" w:lineRule="auto"/>
        <w:ind w:firstLine="420" w:firstLineChars="200"/>
        <w:rPr>
          <w:color w:val="auto"/>
          <w:sz w:val="21"/>
          <w:szCs w:val="21"/>
          <w:highlight w:val="none"/>
          <w:u w:val="none"/>
        </w:rPr>
      </w:pPr>
      <w:r>
        <w:rPr>
          <w:color w:val="auto"/>
          <w:sz w:val="21"/>
          <w:szCs w:val="21"/>
          <w:highlight w:val="none"/>
          <w:u w:val="none"/>
        </w:rPr>
        <w:t>注：其它参数参照美国环保署备案录Memorandum-CALARIFICATION ON EPA-FLM RECOMMENDED SETTINGS FOR CALMET</w:t>
      </w:r>
      <w:r>
        <w:rPr>
          <w:rFonts w:hint="eastAsia"/>
          <w:color w:val="auto"/>
          <w:sz w:val="21"/>
          <w:szCs w:val="21"/>
          <w:highlight w:val="none"/>
          <w:u w:val="none"/>
        </w:rPr>
        <w:t>（</w:t>
      </w:r>
      <w:r>
        <w:rPr>
          <w:color w:val="auto"/>
          <w:sz w:val="21"/>
          <w:szCs w:val="21"/>
          <w:highlight w:val="none"/>
          <w:u w:val="none"/>
        </w:rPr>
        <w:t>20090831</w:t>
      </w:r>
      <w:r>
        <w:rPr>
          <w:rFonts w:hint="eastAsia"/>
          <w:color w:val="auto"/>
          <w:sz w:val="21"/>
          <w:szCs w:val="21"/>
          <w:highlight w:val="none"/>
          <w:u w:val="none"/>
        </w:rPr>
        <w:t>）</w:t>
      </w:r>
    </w:p>
    <w:p w14:paraId="349E4E0D">
      <w:pPr>
        <w:pStyle w:val="988"/>
        <w:adjustRightInd w:val="0"/>
        <w:snapToGrid w:val="0"/>
        <w:spacing w:line="240" w:lineRule="auto"/>
        <w:ind w:firstLine="480"/>
        <w:rPr>
          <w:color w:val="auto"/>
          <w:highlight w:val="none"/>
          <w:u w:val="none"/>
        </w:rPr>
      </w:pPr>
    </w:p>
    <w:p w14:paraId="38250F9B">
      <w:pPr>
        <w:pStyle w:val="988"/>
        <w:adjustRightInd w:val="0"/>
        <w:snapToGrid w:val="0"/>
        <w:ind w:firstLine="480"/>
        <w:rPr>
          <w:color w:val="auto"/>
          <w:highlight w:val="none"/>
          <w:u w:val="none"/>
        </w:rPr>
      </w:pPr>
      <w:r>
        <w:rPr>
          <w:color w:val="auto"/>
          <w:highlight w:val="none"/>
          <w:u w:val="none"/>
        </w:rPr>
        <w:t>②CALPUFF模式数据说明</w:t>
      </w:r>
    </w:p>
    <w:p w14:paraId="00D480B5">
      <w:pPr>
        <w:pStyle w:val="988"/>
        <w:numPr>
          <w:ilvl w:val="255"/>
          <w:numId w:val="0"/>
        </w:numPr>
        <w:adjustRightInd w:val="0"/>
        <w:snapToGrid w:val="0"/>
        <w:ind w:firstLine="480" w:firstLineChars="200"/>
        <w:rPr>
          <w:color w:val="auto"/>
          <w:highlight w:val="none"/>
          <w:u w:val="none"/>
        </w:rPr>
      </w:pPr>
      <w:r>
        <w:rPr>
          <w:color w:val="auto"/>
          <w:highlight w:val="none"/>
          <w:u w:val="none"/>
        </w:rPr>
        <w:t>烟羽元素选择烟团模式，抬升方法使用Briggs法，采用PG系数（乡村，ISC曲线），考虑可变烟羽抬升，点源烟羽部分穿透等。</w:t>
      </w:r>
    </w:p>
    <w:p w14:paraId="735A5999">
      <w:pPr>
        <w:pStyle w:val="988"/>
        <w:numPr>
          <w:ilvl w:val="255"/>
          <w:numId w:val="0"/>
        </w:numPr>
        <w:adjustRightInd w:val="0"/>
        <w:snapToGrid w:val="0"/>
        <w:ind w:firstLine="480" w:firstLineChars="200"/>
        <w:rPr>
          <w:color w:val="auto"/>
          <w:highlight w:val="none"/>
          <w:u w:val="none"/>
        </w:rPr>
      </w:pPr>
      <w:r>
        <w:rPr>
          <w:color w:val="auto"/>
          <w:highlight w:val="none"/>
          <w:u w:val="none"/>
        </w:rPr>
        <w:t>预测模型坐标采用UTM-zone50坐标系，CALPUFF其它参数选用按模式推荐值。</w:t>
      </w:r>
      <w:bookmarkStart w:id="472" w:name="_Toc23522033"/>
    </w:p>
    <w:p w14:paraId="6C2C251D">
      <w:pPr>
        <w:pStyle w:val="988"/>
        <w:numPr>
          <w:ilvl w:val="255"/>
          <w:numId w:val="0"/>
        </w:numPr>
        <w:adjustRightInd w:val="0"/>
        <w:snapToGrid w:val="0"/>
        <w:ind w:firstLine="480" w:firstLineChars="200"/>
        <w:rPr>
          <w:color w:val="auto"/>
          <w:highlight w:val="none"/>
          <w:u w:val="none"/>
        </w:rPr>
      </w:pPr>
      <w:r>
        <w:rPr>
          <w:color w:val="auto"/>
          <w:highlight w:val="none"/>
          <w:u w:val="none"/>
        </w:rPr>
        <w:t>③干湿沉降参数</w:t>
      </w:r>
    </w:p>
    <w:p w14:paraId="7498A984">
      <w:pPr>
        <w:numPr>
          <w:ilvl w:val="255"/>
          <w:numId w:val="0"/>
        </w:numPr>
        <w:adjustRightInd w:val="0"/>
        <w:snapToGrid w:val="0"/>
        <w:ind w:firstLine="439" w:firstLineChars="183"/>
        <w:rPr>
          <w:rFonts w:hint="eastAsia"/>
          <w:color w:val="auto"/>
          <w:highlight w:val="none"/>
          <w:u w:val="none"/>
        </w:rPr>
      </w:pPr>
      <w:r>
        <w:rPr>
          <w:color w:val="auto"/>
          <w:highlight w:val="none"/>
          <w:u w:val="none"/>
        </w:rPr>
        <w:t>根据土壤影响类型及影响途径识别，在“</w:t>
      </w:r>
      <w:r>
        <w:rPr>
          <w:rFonts w:hint="eastAsia"/>
          <w:color w:val="auto"/>
          <w:highlight w:val="none"/>
          <w:u w:val="none"/>
        </w:rPr>
        <w:t>8.6</w:t>
      </w:r>
      <w:r>
        <w:rPr>
          <w:color w:val="auto"/>
          <w:highlight w:val="none"/>
          <w:u w:val="none"/>
        </w:rPr>
        <w:t>运营期土壤环境影响分析”章节中考虑大气污染物DNT</w:t>
      </w:r>
      <w:r>
        <w:rPr>
          <w:rFonts w:hint="eastAsia"/>
          <w:color w:val="auto"/>
          <w:highlight w:val="none"/>
          <w:u w:val="none"/>
        </w:rPr>
        <w:t>、邻二氯苯和甲苯</w:t>
      </w:r>
      <w:r>
        <w:rPr>
          <w:color w:val="auto"/>
          <w:highlight w:val="none"/>
          <w:u w:val="none"/>
        </w:rPr>
        <w:t>的沉降累积影响。因此，本次评价仅考虑干湿沉降对DNT</w:t>
      </w:r>
      <w:r>
        <w:rPr>
          <w:rFonts w:hint="eastAsia"/>
          <w:color w:val="auto"/>
          <w:highlight w:val="none"/>
          <w:u w:val="none"/>
        </w:rPr>
        <w:t>、邻二氯苯、</w:t>
      </w:r>
      <w:r>
        <w:rPr>
          <w:color w:val="auto"/>
          <w:highlight w:val="none"/>
          <w:u w:val="none"/>
        </w:rPr>
        <w:t>甲苯大气预测结果的影响。</w:t>
      </w:r>
    </w:p>
    <w:p w14:paraId="1FAC2105">
      <w:pPr>
        <w:numPr>
          <w:ilvl w:val="255"/>
          <w:numId w:val="0"/>
        </w:numPr>
        <w:adjustRightInd w:val="0"/>
        <w:snapToGrid w:val="0"/>
        <w:ind w:firstLine="439" w:firstLineChars="183"/>
        <w:rPr>
          <w:rFonts w:hint="eastAsia"/>
          <w:color w:val="auto"/>
          <w:highlight w:val="none"/>
          <w:u w:val="none"/>
        </w:rPr>
      </w:pPr>
      <w:r>
        <w:rPr>
          <w:color w:val="auto"/>
          <w:highlight w:val="none"/>
          <w:u w:val="none"/>
        </w:rPr>
        <w:t>大气沉降分为干沉降和湿沉降，相关参数（分子扩散系数、亨利参数、叶表面阻力）等参考USEPA推荐的《附录C气态污染物扩散参数》和《附录D气态污染物亨利常数和叶表面阻力》。甲苯的分子扩散系数、亨利参数、叶表面阻力分别为0.081cm</w:t>
      </w:r>
      <w:r>
        <w:rPr>
          <w:color w:val="auto"/>
          <w:highlight w:val="none"/>
          <w:u w:val="none"/>
          <w:vertAlign w:val="superscript"/>
        </w:rPr>
        <w:t>2</w:t>
      </w:r>
      <w:r>
        <w:rPr>
          <w:color w:val="auto"/>
          <w:highlight w:val="none"/>
          <w:u w:val="none"/>
        </w:rPr>
        <w:t>s</w:t>
      </w:r>
      <w:r>
        <w:rPr>
          <w:color w:val="auto"/>
          <w:highlight w:val="none"/>
          <w:u w:val="none"/>
          <w:vertAlign w:val="superscript"/>
        </w:rPr>
        <w:t>-1</w:t>
      </w:r>
      <w:r>
        <w:rPr>
          <w:color w:val="auto"/>
          <w:highlight w:val="none"/>
          <w:u w:val="none"/>
        </w:rPr>
        <w:t>、680Pam</w:t>
      </w:r>
      <w:r>
        <w:rPr>
          <w:color w:val="auto"/>
          <w:highlight w:val="none"/>
          <w:u w:val="none"/>
          <w:vertAlign w:val="superscript"/>
        </w:rPr>
        <w:t>3</w:t>
      </w:r>
      <w:r>
        <w:rPr>
          <w:color w:val="auto"/>
          <w:highlight w:val="none"/>
          <w:u w:val="none"/>
        </w:rPr>
        <w:t>mol</w:t>
      </w:r>
      <w:r>
        <w:rPr>
          <w:color w:val="auto"/>
          <w:highlight w:val="none"/>
          <w:u w:val="none"/>
          <w:vertAlign w:val="superscript"/>
        </w:rPr>
        <w:t>-1</w:t>
      </w:r>
      <w:r>
        <w:rPr>
          <w:color w:val="auto"/>
          <w:highlight w:val="none"/>
          <w:u w:val="none"/>
        </w:rPr>
        <w:t>、17400scm</w:t>
      </w:r>
      <w:r>
        <w:rPr>
          <w:color w:val="auto"/>
          <w:highlight w:val="none"/>
          <w:u w:val="none"/>
          <w:vertAlign w:val="superscript"/>
        </w:rPr>
        <w:t>-1</w:t>
      </w:r>
      <w:r>
        <w:rPr>
          <w:color w:val="auto"/>
          <w:highlight w:val="none"/>
          <w:u w:val="none"/>
        </w:rPr>
        <w:t>；DNT的分子扩散系数、亨利参数、叶表面阻力分别为0.080cm</w:t>
      </w:r>
      <w:r>
        <w:rPr>
          <w:color w:val="auto"/>
          <w:highlight w:val="none"/>
          <w:u w:val="none"/>
          <w:vertAlign w:val="superscript"/>
        </w:rPr>
        <w:t>2</w:t>
      </w:r>
      <w:r>
        <w:rPr>
          <w:color w:val="auto"/>
          <w:highlight w:val="none"/>
          <w:u w:val="none"/>
        </w:rPr>
        <w:t>s</w:t>
      </w:r>
      <w:r>
        <w:rPr>
          <w:color w:val="auto"/>
          <w:highlight w:val="none"/>
          <w:u w:val="none"/>
          <w:vertAlign w:val="superscript"/>
        </w:rPr>
        <w:t>-1</w:t>
      </w:r>
      <w:r>
        <w:rPr>
          <w:color w:val="auto"/>
          <w:highlight w:val="none"/>
          <w:u w:val="none"/>
        </w:rPr>
        <w:t>、1.30Pam</w:t>
      </w:r>
      <w:r>
        <w:rPr>
          <w:color w:val="auto"/>
          <w:highlight w:val="none"/>
          <w:u w:val="none"/>
          <w:vertAlign w:val="superscript"/>
        </w:rPr>
        <w:t>3</w:t>
      </w:r>
      <w:r>
        <w:rPr>
          <w:color w:val="auto"/>
          <w:highlight w:val="none"/>
          <w:u w:val="none"/>
        </w:rPr>
        <w:t>mol</w:t>
      </w:r>
      <w:r>
        <w:rPr>
          <w:color w:val="auto"/>
          <w:highlight w:val="none"/>
          <w:u w:val="none"/>
          <w:vertAlign w:val="superscript"/>
        </w:rPr>
        <w:t>-1</w:t>
      </w:r>
      <w:r>
        <w:rPr>
          <w:color w:val="auto"/>
          <w:highlight w:val="none"/>
          <w:u w:val="none"/>
        </w:rPr>
        <w:t>、751scm</w:t>
      </w:r>
      <w:r>
        <w:rPr>
          <w:color w:val="auto"/>
          <w:highlight w:val="none"/>
          <w:u w:val="none"/>
          <w:vertAlign w:val="superscript"/>
        </w:rPr>
        <w:t>-1</w:t>
      </w:r>
      <w:r>
        <w:rPr>
          <w:rFonts w:hint="eastAsia"/>
          <w:color w:val="auto"/>
          <w:highlight w:val="none"/>
          <w:u w:val="none"/>
        </w:rPr>
        <w:t>；邻二氯苯</w:t>
      </w:r>
      <w:r>
        <w:rPr>
          <w:color w:val="auto"/>
          <w:highlight w:val="none"/>
          <w:u w:val="none"/>
        </w:rPr>
        <w:t>的分子扩散系数、亨利参数</w:t>
      </w:r>
      <w:r>
        <w:rPr>
          <w:rFonts w:hint="eastAsia"/>
          <w:color w:val="auto"/>
          <w:highlight w:val="none"/>
          <w:u w:val="none"/>
        </w:rPr>
        <w:t>参照SO</w:t>
      </w:r>
      <w:r>
        <w:rPr>
          <w:rFonts w:hint="eastAsia"/>
          <w:color w:val="auto"/>
          <w:highlight w:val="none"/>
          <w:u w:val="none"/>
          <w:vertAlign w:val="subscript"/>
        </w:rPr>
        <w:t>2</w:t>
      </w:r>
      <w:r>
        <w:rPr>
          <w:rFonts w:hint="eastAsia"/>
          <w:color w:val="auto"/>
          <w:highlight w:val="none"/>
          <w:u w:val="none"/>
        </w:rPr>
        <w:t>取值，</w:t>
      </w:r>
      <w:r>
        <w:rPr>
          <w:color w:val="auto"/>
          <w:highlight w:val="none"/>
          <w:u w:val="none"/>
        </w:rPr>
        <w:t>分别为0.</w:t>
      </w:r>
      <w:r>
        <w:rPr>
          <w:rFonts w:hint="eastAsia"/>
          <w:color w:val="auto"/>
          <w:highlight w:val="none"/>
          <w:u w:val="none"/>
        </w:rPr>
        <w:t>1509</w:t>
      </w:r>
      <w:r>
        <w:rPr>
          <w:color w:val="auto"/>
          <w:highlight w:val="none"/>
          <w:u w:val="none"/>
        </w:rPr>
        <w:t>cm</w:t>
      </w:r>
      <w:r>
        <w:rPr>
          <w:color w:val="auto"/>
          <w:highlight w:val="none"/>
          <w:u w:val="none"/>
          <w:vertAlign w:val="superscript"/>
        </w:rPr>
        <w:t>2</w:t>
      </w:r>
      <w:r>
        <w:rPr>
          <w:color w:val="auto"/>
          <w:highlight w:val="none"/>
          <w:u w:val="none"/>
        </w:rPr>
        <w:t>s</w:t>
      </w:r>
      <w:r>
        <w:rPr>
          <w:color w:val="auto"/>
          <w:highlight w:val="none"/>
          <w:u w:val="none"/>
          <w:vertAlign w:val="superscript"/>
        </w:rPr>
        <w:t>-1</w:t>
      </w:r>
      <w:r>
        <w:rPr>
          <w:color w:val="auto"/>
          <w:highlight w:val="none"/>
          <w:u w:val="none"/>
        </w:rPr>
        <w:t>、</w:t>
      </w:r>
      <w:r>
        <w:rPr>
          <w:rFonts w:hint="eastAsia"/>
          <w:color w:val="auto"/>
          <w:highlight w:val="none"/>
          <w:u w:val="none"/>
        </w:rPr>
        <w:t>0.04</w:t>
      </w:r>
      <w:r>
        <w:rPr>
          <w:color w:val="auto"/>
          <w:highlight w:val="none"/>
          <w:u w:val="none"/>
        </w:rPr>
        <w:t>Pam</w:t>
      </w:r>
      <w:r>
        <w:rPr>
          <w:color w:val="auto"/>
          <w:highlight w:val="none"/>
          <w:u w:val="none"/>
          <w:vertAlign w:val="superscript"/>
        </w:rPr>
        <w:t>3</w:t>
      </w:r>
      <w:r>
        <w:rPr>
          <w:color w:val="auto"/>
          <w:highlight w:val="none"/>
          <w:u w:val="none"/>
        </w:rPr>
        <w:t>mol</w:t>
      </w:r>
      <w:r>
        <w:rPr>
          <w:color w:val="auto"/>
          <w:highlight w:val="none"/>
          <w:u w:val="none"/>
          <w:vertAlign w:val="superscript"/>
        </w:rPr>
        <w:t>-1</w:t>
      </w:r>
      <w:r>
        <w:rPr>
          <w:color w:val="auto"/>
          <w:highlight w:val="none"/>
          <w:u w:val="none"/>
        </w:rPr>
        <w:t>。同时</w:t>
      </w:r>
      <w:r>
        <w:rPr>
          <w:rFonts w:hint="eastAsia"/>
          <w:color w:val="auto"/>
          <w:highlight w:val="none"/>
          <w:u w:val="none"/>
        </w:rPr>
        <w:t>三者</w:t>
      </w:r>
      <w:r>
        <w:rPr>
          <w:color w:val="auto"/>
          <w:highlight w:val="none"/>
          <w:u w:val="none"/>
        </w:rPr>
        <w:t>在液态中的清除系数遵循</w:t>
      </w:r>
      <w:r>
        <w:rPr>
          <w:rFonts w:hint="eastAsia"/>
          <w:color w:val="auto"/>
          <w:highlight w:val="none"/>
          <w:u w:val="none"/>
        </w:rPr>
        <w:t>SO</w:t>
      </w:r>
      <w:r>
        <w:rPr>
          <w:rFonts w:hint="eastAsia"/>
          <w:color w:val="auto"/>
          <w:highlight w:val="none"/>
          <w:u w:val="none"/>
          <w:vertAlign w:val="subscript"/>
        </w:rPr>
        <w:t>2</w:t>
      </w:r>
      <w:r>
        <w:rPr>
          <w:color w:val="auto"/>
          <w:highlight w:val="none"/>
          <w:u w:val="none"/>
        </w:rPr>
        <w:t>在CALPUFF中的推荐值，为3.0×10</w:t>
      </w:r>
      <w:r>
        <w:rPr>
          <w:color w:val="auto"/>
          <w:highlight w:val="none"/>
          <w:u w:val="none"/>
          <w:vertAlign w:val="superscript"/>
        </w:rPr>
        <w:t>-5</w:t>
      </w:r>
      <w:r>
        <w:rPr>
          <w:color w:val="auto"/>
          <w:highlight w:val="none"/>
          <w:u w:val="none"/>
        </w:rPr>
        <w:t>s</w:t>
      </w:r>
      <w:r>
        <w:rPr>
          <w:color w:val="auto"/>
          <w:highlight w:val="none"/>
          <w:u w:val="none"/>
          <w:vertAlign w:val="superscript"/>
        </w:rPr>
        <w:t>-1</w:t>
      </w:r>
      <w:r>
        <w:rPr>
          <w:color w:val="auto"/>
          <w:highlight w:val="none"/>
          <w:u w:val="none"/>
        </w:rPr>
        <w:t>。此外，地面气象数据中还包括降雨量、相对湿度和站点气压等参数，以生成降雨数据precip.dat文件用于污染物的干湿沉降预测。</w:t>
      </w:r>
    </w:p>
    <w:p w14:paraId="297B7E3B">
      <w:pPr>
        <w:pStyle w:val="988"/>
        <w:numPr>
          <w:ilvl w:val="255"/>
          <w:numId w:val="0"/>
        </w:numPr>
        <w:adjustRightInd w:val="0"/>
        <w:snapToGrid w:val="0"/>
        <w:ind w:firstLine="480" w:firstLineChars="200"/>
        <w:rPr>
          <w:color w:val="auto"/>
          <w:sz w:val="21"/>
          <w:highlight w:val="none"/>
          <w:u w:val="none"/>
        </w:rPr>
      </w:pPr>
      <w:r>
        <w:rPr>
          <w:color w:val="auto"/>
          <w:highlight w:val="none"/>
          <w:u w:val="none"/>
        </w:rPr>
        <w:t>由于本项目在所属厂区排放的污染物不涉及NO</w:t>
      </w:r>
      <w:r>
        <w:rPr>
          <w:color w:val="auto"/>
          <w:highlight w:val="none"/>
          <w:u w:val="none"/>
          <w:vertAlign w:val="subscript"/>
        </w:rPr>
        <w:t>2</w:t>
      </w:r>
      <w:r>
        <w:rPr>
          <w:color w:val="auto"/>
          <w:highlight w:val="none"/>
          <w:u w:val="none"/>
        </w:rPr>
        <w:t>与SO</w:t>
      </w:r>
      <w:r>
        <w:rPr>
          <w:color w:val="auto"/>
          <w:highlight w:val="none"/>
          <w:u w:val="none"/>
          <w:vertAlign w:val="subscript"/>
        </w:rPr>
        <w:t>4</w:t>
      </w:r>
      <w:r>
        <w:rPr>
          <w:color w:val="auto"/>
          <w:highlight w:val="none"/>
          <w:u w:val="none"/>
          <w:vertAlign w:val="superscript"/>
        </w:rPr>
        <w:t>2-</w:t>
      </w:r>
      <w:r>
        <w:rPr>
          <w:color w:val="auto"/>
          <w:highlight w:val="none"/>
          <w:u w:val="none"/>
        </w:rPr>
        <w:t>、NOx（NO+NO</w:t>
      </w:r>
      <w:r>
        <w:rPr>
          <w:color w:val="auto"/>
          <w:highlight w:val="none"/>
          <w:u w:val="none"/>
          <w:vertAlign w:val="subscript"/>
        </w:rPr>
        <w:t>2</w:t>
      </w:r>
      <w:r>
        <w:rPr>
          <w:color w:val="auto"/>
          <w:highlight w:val="none"/>
          <w:u w:val="none"/>
        </w:rPr>
        <w:t>）与NO</w:t>
      </w:r>
      <w:r>
        <w:rPr>
          <w:color w:val="auto"/>
          <w:highlight w:val="none"/>
          <w:u w:val="none"/>
          <w:vertAlign w:val="subscript"/>
        </w:rPr>
        <w:t>3</w:t>
      </w:r>
      <w:r>
        <w:rPr>
          <w:color w:val="auto"/>
          <w:highlight w:val="none"/>
          <w:u w:val="none"/>
          <w:vertAlign w:val="superscript"/>
        </w:rPr>
        <w:t>-</w:t>
      </w:r>
      <w:r>
        <w:rPr>
          <w:color w:val="auto"/>
          <w:highlight w:val="none"/>
          <w:u w:val="none"/>
        </w:rPr>
        <w:t>之间的化学转化，因此无需考虑各污染物间的转化。</w:t>
      </w:r>
    </w:p>
    <w:p w14:paraId="01A666DE">
      <w:pPr>
        <w:pStyle w:val="988"/>
        <w:numPr>
          <w:ilvl w:val="255"/>
          <w:numId w:val="0"/>
        </w:numPr>
        <w:adjustRightInd w:val="0"/>
        <w:snapToGrid w:val="0"/>
        <w:ind w:firstLine="480" w:firstLineChars="200"/>
        <w:rPr>
          <w:color w:val="auto"/>
          <w:highlight w:val="none"/>
          <w:u w:val="none"/>
        </w:rPr>
      </w:pPr>
      <w:r>
        <w:rPr>
          <w:color w:val="auto"/>
          <w:highlight w:val="none"/>
          <w:u w:val="none"/>
        </w:rPr>
        <w:t>（6）现状本底值取值</w:t>
      </w:r>
      <w:bookmarkEnd w:id="472"/>
    </w:p>
    <w:p w14:paraId="67C5066C">
      <w:pPr>
        <w:pStyle w:val="988"/>
        <w:adjustRightInd w:val="0"/>
        <w:snapToGrid w:val="0"/>
        <w:ind w:firstLine="480"/>
        <w:rPr>
          <w:color w:val="auto"/>
          <w:highlight w:val="none"/>
          <w:u w:val="none"/>
        </w:rPr>
      </w:pPr>
      <w:r>
        <w:rPr>
          <w:color w:val="auto"/>
          <w:highlight w:val="none"/>
          <w:u w:val="none"/>
        </w:rPr>
        <w:t>根据《环境影响评价技术导则 大气环境》HJ2.2-2018，项目污染物取各监测点位数据同时刻平均值，再取各监测时段平均值中最大值，现状本底值取值见</w:t>
      </w:r>
      <w:r>
        <w:rPr>
          <w:color w:val="auto"/>
          <w:highlight w:val="none"/>
          <w:u w:val="none"/>
        </w:rPr>
        <w:fldChar w:fldCharType="begin"/>
      </w:r>
      <w:r>
        <w:rPr>
          <w:color w:val="auto"/>
          <w:highlight w:val="none"/>
          <w:u w:val="none"/>
        </w:rPr>
        <w:instrText xml:space="preserve"> REF _Ref149230700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9</w:t>
      </w:r>
      <w:r>
        <w:rPr>
          <w:color w:val="auto"/>
          <w:highlight w:val="none"/>
          <w:u w:val="none"/>
        </w:rPr>
        <w:fldChar w:fldCharType="end"/>
      </w:r>
      <w:r>
        <w:rPr>
          <w:color w:val="auto"/>
          <w:highlight w:val="none"/>
          <w:u w:val="none"/>
        </w:rPr>
        <w:t>所示。</w:t>
      </w:r>
    </w:p>
    <w:p w14:paraId="0C944AC9">
      <w:pPr>
        <w:pStyle w:val="85"/>
        <w:rPr>
          <w:color w:val="auto"/>
          <w:highlight w:val="none"/>
          <w:u w:val="none"/>
        </w:rPr>
      </w:pPr>
      <w:bookmarkStart w:id="473" w:name="_Ref149230700"/>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9</w:t>
      </w:r>
      <w:r>
        <w:rPr>
          <w:color w:val="auto"/>
          <w:highlight w:val="none"/>
          <w:u w:val="none"/>
        </w:rPr>
        <w:fldChar w:fldCharType="end"/>
      </w:r>
      <w:bookmarkEnd w:id="473"/>
      <w:r>
        <w:rPr>
          <w:color w:val="auto"/>
          <w:highlight w:val="none"/>
          <w:u w:val="none"/>
        </w:rPr>
        <w:t xml:space="preserve">  各保护目标及网格点现状本底值取值一览表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1901"/>
        <w:gridCol w:w="2196"/>
        <w:gridCol w:w="2339"/>
        <w:gridCol w:w="2352"/>
      </w:tblGrid>
      <w:tr w14:paraId="4B5D1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3005AF07">
            <w:pPr>
              <w:pStyle w:val="92"/>
              <w:rPr>
                <w:color w:val="auto"/>
                <w:highlight w:val="none"/>
                <w:u w:val="none"/>
              </w:rPr>
            </w:pPr>
            <w:r>
              <w:rPr>
                <w:color w:val="auto"/>
                <w:highlight w:val="none"/>
                <w:u w:val="none"/>
              </w:rPr>
              <w:t>序号</w:t>
            </w:r>
          </w:p>
        </w:tc>
        <w:tc>
          <w:tcPr>
            <w:tcW w:w="999" w:type="pct"/>
            <w:vAlign w:val="center"/>
          </w:tcPr>
          <w:p w14:paraId="6518673F">
            <w:pPr>
              <w:pStyle w:val="92"/>
              <w:rPr>
                <w:color w:val="auto"/>
                <w:highlight w:val="none"/>
                <w:u w:val="none"/>
              </w:rPr>
            </w:pPr>
            <w:r>
              <w:rPr>
                <w:color w:val="auto"/>
                <w:highlight w:val="none"/>
                <w:u w:val="none"/>
              </w:rPr>
              <w:t>污染因子</w:t>
            </w:r>
          </w:p>
        </w:tc>
        <w:tc>
          <w:tcPr>
            <w:tcW w:w="1154" w:type="pct"/>
            <w:vAlign w:val="center"/>
          </w:tcPr>
          <w:p w14:paraId="743DD591">
            <w:pPr>
              <w:pStyle w:val="92"/>
              <w:rPr>
                <w:color w:val="auto"/>
                <w:highlight w:val="none"/>
                <w:u w:val="none"/>
              </w:rPr>
            </w:pPr>
            <w:r>
              <w:rPr>
                <w:color w:val="auto"/>
                <w:highlight w:val="none"/>
                <w:u w:val="none"/>
              </w:rPr>
              <w:t>平均时段</w:t>
            </w:r>
          </w:p>
        </w:tc>
        <w:tc>
          <w:tcPr>
            <w:tcW w:w="1229" w:type="pct"/>
            <w:vAlign w:val="center"/>
          </w:tcPr>
          <w:p w14:paraId="03371B48">
            <w:pPr>
              <w:pStyle w:val="92"/>
              <w:rPr>
                <w:color w:val="auto"/>
                <w:highlight w:val="none"/>
                <w:u w:val="none"/>
              </w:rPr>
            </w:pPr>
            <w:r>
              <w:rPr>
                <w:color w:val="auto"/>
                <w:highlight w:val="none"/>
                <w:u w:val="none"/>
              </w:rPr>
              <w:t>单位</w:t>
            </w:r>
          </w:p>
        </w:tc>
        <w:tc>
          <w:tcPr>
            <w:tcW w:w="1236" w:type="pct"/>
            <w:vAlign w:val="center"/>
          </w:tcPr>
          <w:p w14:paraId="741E5984">
            <w:pPr>
              <w:pStyle w:val="92"/>
              <w:rPr>
                <w:color w:val="auto"/>
                <w:highlight w:val="none"/>
                <w:u w:val="none"/>
              </w:rPr>
            </w:pPr>
            <w:r>
              <w:rPr>
                <w:color w:val="auto"/>
                <w:highlight w:val="none"/>
                <w:u w:val="none"/>
              </w:rPr>
              <w:t>本底取值</w:t>
            </w:r>
          </w:p>
        </w:tc>
      </w:tr>
      <w:tr w14:paraId="06A32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4E5F8E57">
            <w:pPr>
              <w:pStyle w:val="92"/>
              <w:rPr>
                <w:color w:val="auto"/>
                <w:highlight w:val="none"/>
                <w:u w:val="none"/>
              </w:rPr>
            </w:pPr>
            <w:r>
              <w:rPr>
                <w:color w:val="auto"/>
                <w:highlight w:val="none"/>
                <w:u w:val="none"/>
              </w:rPr>
              <w:t>1</w:t>
            </w:r>
          </w:p>
        </w:tc>
        <w:tc>
          <w:tcPr>
            <w:tcW w:w="999" w:type="pct"/>
            <w:vAlign w:val="center"/>
          </w:tcPr>
          <w:p w14:paraId="42E485CF">
            <w:pPr>
              <w:pStyle w:val="92"/>
              <w:rPr>
                <w:color w:val="auto"/>
                <w:highlight w:val="none"/>
                <w:u w:val="none"/>
              </w:rPr>
            </w:pPr>
            <w:r>
              <w:rPr>
                <w:color w:val="auto"/>
                <w:highlight w:val="none"/>
                <w:u w:val="none"/>
              </w:rPr>
              <w:t>苯胺</w:t>
            </w:r>
          </w:p>
        </w:tc>
        <w:tc>
          <w:tcPr>
            <w:tcW w:w="1154" w:type="pct"/>
            <w:vAlign w:val="center"/>
          </w:tcPr>
          <w:p w14:paraId="53EE26BF">
            <w:pPr>
              <w:pStyle w:val="92"/>
              <w:rPr>
                <w:color w:val="auto"/>
                <w:highlight w:val="none"/>
                <w:u w:val="none"/>
              </w:rPr>
            </w:pPr>
            <w:r>
              <w:rPr>
                <w:color w:val="auto"/>
                <w:highlight w:val="none"/>
                <w:u w:val="none"/>
              </w:rPr>
              <w:t>小时</w:t>
            </w:r>
          </w:p>
        </w:tc>
        <w:tc>
          <w:tcPr>
            <w:tcW w:w="1229" w:type="pct"/>
            <w:vAlign w:val="center"/>
          </w:tcPr>
          <w:p w14:paraId="72515157">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34AA5C49">
            <w:pPr>
              <w:pStyle w:val="92"/>
              <w:rPr>
                <w:color w:val="auto"/>
                <w:highlight w:val="none"/>
                <w:u w:val="none"/>
              </w:rPr>
            </w:pPr>
            <w:r>
              <w:rPr>
                <w:color w:val="auto"/>
                <w:highlight w:val="none"/>
                <w:u w:val="none"/>
              </w:rPr>
              <w:t>未检出</w:t>
            </w:r>
          </w:p>
        </w:tc>
      </w:tr>
      <w:tr w14:paraId="047D6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3B781AFA">
            <w:pPr>
              <w:pStyle w:val="92"/>
              <w:rPr>
                <w:color w:val="auto"/>
                <w:highlight w:val="none"/>
                <w:u w:val="none"/>
              </w:rPr>
            </w:pPr>
            <w:r>
              <w:rPr>
                <w:color w:val="auto"/>
                <w:highlight w:val="none"/>
                <w:u w:val="none"/>
              </w:rPr>
              <w:t>2</w:t>
            </w:r>
          </w:p>
        </w:tc>
        <w:tc>
          <w:tcPr>
            <w:tcW w:w="999" w:type="pct"/>
            <w:vAlign w:val="center"/>
          </w:tcPr>
          <w:p w14:paraId="09AFC7C2">
            <w:pPr>
              <w:pStyle w:val="92"/>
              <w:rPr>
                <w:color w:val="auto"/>
                <w:highlight w:val="none"/>
                <w:u w:val="none"/>
              </w:rPr>
            </w:pPr>
            <w:r>
              <w:rPr>
                <w:color w:val="auto"/>
                <w:highlight w:val="none"/>
                <w:u w:val="none"/>
              </w:rPr>
              <w:t>氯苯</w:t>
            </w:r>
          </w:p>
        </w:tc>
        <w:tc>
          <w:tcPr>
            <w:tcW w:w="1154" w:type="pct"/>
            <w:vAlign w:val="center"/>
          </w:tcPr>
          <w:p w14:paraId="378F1646">
            <w:pPr>
              <w:pStyle w:val="92"/>
              <w:rPr>
                <w:color w:val="auto"/>
                <w:highlight w:val="none"/>
                <w:u w:val="none"/>
              </w:rPr>
            </w:pPr>
            <w:r>
              <w:rPr>
                <w:color w:val="auto"/>
                <w:highlight w:val="none"/>
                <w:u w:val="none"/>
              </w:rPr>
              <w:t>小时</w:t>
            </w:r>
          </w:p>
        </w:tc>
        <w:tc>
          <w:tcPr>
            <w:tcW w:w="1229" w:type="pct"/>
            <w:vAlign w:val="center"/>
          </w:tcPr>
          <w:p w14:paraId="07564922">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14405EB1">
            <w:pPr>
              <w:pStyle w:val="92"/>
              <w:rPr>
                <w:color w:val="auto"/>
                <w:highlight w:val="none"/>
                <w:u w:val="none"/>
              </w:rPr>
            </w:pPr>
            <w:r>
              <w:rPr>
                <w:color w:val="auto"/>
                <w:highlight w:val="none"/>
                <w:u w:val="none"/>
              </w:rPr>
              <w:t>未检出</w:t>
            </w:r>
          </w:p>
        </w:tc>
      </w:tr>
      <w:tr w14:paraId="787C3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5B0F0D19">
            <w:pPr>
              <w:pStyle w:val="92"/>
              <w:rPr>
                <w:color w:val="auto"/>
                <w:highlight w:val="none"/>
                <w:u w:val="none"/>
              </w:rPr>
            </w:pPr>
            <w:r>
              <w:rPr>
                <w:color w:val="auto"/>
                <w:highlight w:val="none"/>
                <w:u w:val="none"/>
              </w:rPr>
              <w:t>3</w:t>
            </w:r>
          </w:p>
        </w:tc>
        <w:tc>
          <w:tcPr>
            <w:tcW w:w="999" w:type="pct"/>
            <w:vAlign w:val="center"/>
          </w:tcPr>
          <w:p w14:paraId="6B766540">
            <w:pPr>
              <w:pStyle w:val="92"/>
              <w:rPr>
                <w:color w:val="auto"/>
                <w:highlight w:val="none"/>
                <w:u w:val="none"/>
              </w:rPr>
            </w:pPr>
            <w:r>
              <w:rPr>
                <w:color w:val="auto"/>
                <w:highlight w:val="none"/>
                <w:u w:val="none"/>
              </w:rPr>
              <w:t>光气</w:t>
            </w:r>
          </w:p>
        </w:tc>
        <w:tc>
          <w:tcPr>
            <w:tcW w:w="1154" w:type="pct"/>
            <w:vAlign w:val="center"/>
          </w:tcPr>
          <w:p w14:paraId="38173B0A">
            <w:pPr>
              <w:pStyle w:val="92"/>
              <w:rPr>
                <w:color w:val="auto"/>
                <w:highlight w:val="none"/>
                <w:u w:val="none"/>
              </w:rPr>
            </w:pPr>
            <w:r>
              <w:rPr>
                <w:color w:val="auto"/>
                <w:highlight w:val="none"/>
                <w:u w:val="none"/>
              </w:rPr>
              <w:t>小时</w:t>
            </w:r>
          </w:p>
        </w:tc>
        <w:tc>
          <w:tcPr>
            <w:tcW w:w="1229" w:type="pct"/>
            <w:vAlign w:val="center"/>
          </w:tcPr>
          <w:p w14:paraId="6E40D2F6">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47EA0986">
            <w:pPr>
              <w:pStyle w:val="92"/>
              <w:rPr>
                <w:color w:val="auto"/>
                <w:highlight w:val="none"/>
                <w:u w:val="none"/>
              </w:rPr>
            </w:pPr>
            <w:r>
              <w:rPr>
                <w:color w:val="auto"/>
                <w:highlight w:val="none"/>
                <w:u w:val="none"/>
              </w:rPr>
              <w:t>未检出</w:t>
            </w:r>
          </w:p>
        </w:tc>
      </w:tr>
      <w:tr w14:paraId="1D38C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4F8C4A17">
            <w:pPr>
              <w:pStyle w:val="92"/>
              <w:rPr>
                <w:color w:val="auto"/>
                <w:highlight w:val="none"/>
                <w:u w:val="none"/>
              </w:rPr>
            </w:pPr>
            <w:r>
              <w:rPr>
                <w:color w:val="auto"/>
                <w:highlight w:val="none"/>
                <w:u w:val="none"/>
              </w:rPr>
              <w:t>4</w:t>
            </w:r>
          </w:p>
        </w:tc>
        <w:tc>
          <w:tcPr>
            <w:tcW w:w="999" w:type="pct"/>
            <w:vAlign w:val="center"/>
          </w:tcPr>
          <w:p w14:paraId="54034413">
            <w:pPr>
              <w:pStyle w:val="92"/>
              <w:rPr>
                <w:color w:val="auto"/>
                <w:highlight w:val="none"/>
                <w:u w:val="none"/>
                <w:vertAlign w:val="subscript"/>
              </w:rPr>
            </w:pPr>
            <w:r>
              <w:rPr>
                <w:color w:val="auto"/>
                <w:highlight w:val="none"/>
                <w:u w:val="none"/>
              </w:rPr>
              <w:t>Cl</w:t>
            </w:r>
            <w:r>
              <w:rPr>
                <w:color w:val="auto"/>
                <w:highlight w:val="none"/>
                <w:u w:val="none"/>
                <w:vertAlign w:val="subscript"/>
              </w:rPr>
              <w:t>2</w:t>
            </w:r>
          </w:p>
        </w:tc>
        <w:tc>
          <w:tcPr>
            <w:tcW w:w="1154" w:type="pct"/>
            <w:vAlign w:val="center"/>
          </w:tcPr>
          <w:p w14:paraId="1C576013">
            <w:pPr>
              <w:pStyle w:val="92"/>
              <w:rPr>
                <w:color w:val="auto"/>
                <w:highlight w:val="none"/>
                <w:u w:val="none"/>
              </w:rPr>
            </w:pPr>
            <w:r>
              <w:rPr>
                <w:color w:val="auto"/>
                <w:highlight w:val="none"/>
                <w:u w:val="none"/>
              </w:rPr>
              <w:t>小时</w:t>
            </w:r>
          </w:p>
        </w:tc>
        <w:tc>
          <w:tcPr>
            <w:tcW w:w="1229" w:type="pct"/>
            <w:vAlign w:val="center"/>
          </w:tcPr>
          <w:p w14:paraId="5F0D8434">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2495ADC9">
            <w:pPr>
              <w:pStyle w:val="92"/>
              <w:rPr>
                <w:color w:val="auto"/>
                <w:highlight w:val="none"/>
                <w:u w:val="none"/>
              </w:rPr>
            </w:pPr>
            <w:r>
              <w:rPr>
                <w:color w:val="auto"/>
                <w:highlight w:val="none"/>
                <w:u w:val="none"/>
              </w:rPr>
              <w:t>未检出</w:t>
            </w:r>
          </w:p>
        </w:tc>
      </w:tr>
      <w:tr w14:paraId="390F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26DAC1FA">
            <w:pPr>
              <w:pStyle w:val="92"/>
              <w:rPr>
                <w:color w:val="auto"/>
                <w:highlight w:val="none"/>
                <w:u w:val="none"/>
              </w:rPr>
            </w:pPr>
            <w:r>
              <w:rPr>
                <w:color w:val="auto"/>
                <w:highlight w:val="none"/>
                <w:u w:val="none"/>
              </w:rPr>
              <w:t>5</w:t>
            </w:r>
          </w:p>
        </w:tc>
        <w:tc>
          <w:tcPr>
            <w:tcW w:w="999" w:type="pct"/>
            <w:vAlign w:val="center"/>
          </w:tcPr>
          <w:p w14:paraId="3150583B">
            <w:pPr>
              <w:pStyle w:val="92"/>
              <w:rPr>
                <w:color w:val="auto"/>
                <w:highlight w:val="none"/>
                <w:u w:val="none"/>
              </w:rPr>
            </w:pPr>
            <w:r>
              <w:rPr>
                <w:color w:val="auto"/>
                <w:highlight w:val="none"/>
                <w:u w:val="none"/>
              </w:rPr>
              <w:t>甲苯</w:t>
            </w:r>
          </w:p>
        </w:tc>
        <w:tc>
          <w:tcPr>
            <w:tcW w:w="1154" w:type="pct"/>
            <w:vAlign w:val="center"/>
          </w:tcPr>
          <w:p w14:paraId="7255A30D">
            <w:pPr>
              <w:pStyle w:val="92"/>
              <w:rPr>
                <w:color w:val="auto"/>
                <w:highlight w:val="none"/>
                <w:u w:val="none"/>
              </w:rPr>
            </w:pPr>
            <w:r>
              <w:rPr>
                <w:color w:val="auto"/>
                <w:highlight w:val="none"/>
                <w:u w:val="none"/>
              </w:rPr>
              <w:t>小时</w:t>
            </w:r>
          </w:p>
        </w:tc>
        <w:tc>
          <w:tcPr>
            <w:tcW w:w="1229" w:type="pct"/>
            <w:vAlign w:val="center"/>
          </w:tcPr>
          <w:p w14:paraId="5A5D1ED6">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4174CDFC">
            <w:pPr>
              <w:pStyle w:val="92"/>
              <w:rPr>
                <w:color w:val="auto"/>
                <w:highlight w:val="none"/>
                <w:u w:val="none"/>
              </w:rPr>
            </w:pPr>
            <w:r>
              <w:rPr>
                <w:color w:val="auto"/>
                <w:highlight w:val="none"/>
                <w:u w:val="none"/>
              </w:rPr>
              <w:t>未检出</w:t>
            </w:r>
          </w:p>
        </w:tc>
      </w:tr>
      <w:tr w14:paraId="48085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133F411D">
            <w:pPr>
              <w:pStyle w:val="92"/>
              <w:rPr>
                <w:color w:val="auto"/>
                <w:highlight w:val="none"/>
                <w:u w:val="none"/>
              </w:rPr>
            </w:pPr>
            <w:r>
              <w:rPr>
                <w:color w:val="auto"/>
                <w:highlight w:val="none"/>
                <w:u w:val="none"/>
              </w:rPr>
              <w:t>6</w:t>
            </w:r>
          </w:p>
        </w:tc>
        <w:tc>
          <w:tcPr>
            <w:tcW w:w="999" w:type="pct"/>
            <w:vAlign w:val="center"/>
          </w:tcPr>
          <w:p w14:paraId="7CB1B1C6">
            <w:pPr>
              <w:pStyle w:val="92"/>
              <w:rPr>
                <w:color w:val="auto"/>
                <w:highlight w:val="none"/>
                <w:u w:val="none"/>
              </w:rPr>
            </w:pPr>
            <w:r>
              <w:rPr>
                <w:color w:val="auto"/>
                <w:highlight w:val="none"/>
                <w:u w:val="none"/>
              </w:rPr>
              <w:t>NMHC</w:t>
            </w:r>
          </w:p>
        </w:tc>
        <w:tc>
          <w:tcPr>
            <w:tcW w:w="1154" w:type="pct"/>
            <w:vAlign w:val="center"/>
          </w:tcPr>
          <w:p w14:paraId="47FDFAA1">
            <w:pPr>
              <w:pStyle w:val="92"/>
              <w:rPr>
                <w:color w:val="auto"/>
                <w:highlight w:val="none"/>
                <w:u w:val="none"/>
              </w:rPr>
            </w:pPr>
            <w:r>
              <w:rPr>
                <w:color w:val="auto"/>
                <w:highlight w:val="none"/>
                <w:u w:val="none"/>
              </w:rPr>
              <w:t>小时</w:t>
            </w:r>
          </w:p>
        </w:tc>
        <w:tc>
          <w:tcPr>
            <w:tcW w:w="1229" w:type="pct"/>
            <w:vAlign w:val="center"/>
          </w:tcPr>
          <w:p w14:paraId="7584DC82">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050C6842">
            <w:pPr>
              <w:pStyle w:val="92"/>
              <w:rPr>
                <w:color w:val="auto"/>
                <w:highlight w:val="none"/>
                <w:u w:val="none"/>
              </w:rPr>
            </w:pPr>
            <w:r>
              <w:rPr>
                <w:rFonts w:hint="eastAsia"/>
                <w:color w:val="auto"/>
                <w:highlight w:val="none"/>
                <w:u w:val="none"/>
              </w:rPr>
              <w:t>257</w:t>
            </w:r>
          </w:p>
        </w:tc>
      </w:tr>
      <w:tr w14:paraId="4D5DC4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030C44C9">
            <w:pPr>
              <w:pStyle w:val="92"/>
              <w:rPr>
                <w:color w:val="auto"/>
                <w:highlight w:val="none"/>
                <w:u w:val="none"/>
              </w:rPr>
            </w:pPr>
            <w:r>
              <w:rPr>
                <w:color w:val="auto"/>
                <w:highlight w:val="none"/>
                <w:u w:val="none"/>
              </w:rPr>
              <w:t>7</w:t>
            </w:r>
          </w:p>
        </w:tc>
        <w:tc>
          <w:tcPr>
            <w:tcW w:w="999" w:type="pct"/>
            <w:vAlign w:val="center"/>
          </w:tcPr>
          <w:p w14:paraId="08B776C4">
            <w:pPr>
              <w:pStyle w:val="92"/>
              <w:rPr>
                <w:color w:val="auto"/>
                <w:highlight w:val="none"/>
                <w:u w:val="none"/>
              </w:rPr>
            </w:pPr>
            <w:r>
              <w:rPr>
                <w:color w:val="auto"/>
                <w:highlight w:val="none"/>
                <w:u w:val="none"/>
              </w:rPr>
              <w:t>HCl</w:t>
            </w:r>
          </w:p>
        </w:tc>
        <w:tc>
          <w:tcPr>
            <w:tcW w:w="1154" w:type="pct"/>
            <w:vAlign w:val="center"/>
          </w:tcPr>
          <w:p w14:paraId="0153E2F9">
            <w:pPr>
              <w:pStyle w:val="92"/>
              <w:rPr>
                <w:color w:val="auto"/>
                <w:highlight w:val="none"/>
                <w:u w:val="none"/>
              </w:rPr>
            </w:pPr>
            <w:r>
              <w:rPr>
                <w:color w:val="auto"/>
                <w:highlight w:val="none"/>
                <w:u w:val="none"/>
              </w:rPr>
              <w:t>小时</w:t>
            </w:r>
          </w:p>
        </w:tc>
        <w:tc>
          <w:tcPr>
            <w:tcW w:w="1229" w:type="pct"/>
            <w:vAlign w:val="center"/>
          </w:tcPr>
          <w:p w14:paraId="0A37238C">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005B65D1">
            <w:pPr>
              <w:pStyle w:val="92"/>
              <w:rPr>
                <w:color w:val="auto"/>
                <w:highlight w:val="none"/>
                <w:u w:val="none"/>
              </w:rPr>
            </w:pPr>
            <w:r>
              <w:rPr>
                <w:color w:val="auto"/>
                <w:highlight w:val="none"/>
                <w:u w:val="none"/>
              </w:rPr>
              <w:t>未检出</w:t>
            </w:r>
          </w:p>
        </w:tc>
      </w:tr>
      <w:tr w14:paraId="584F6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214BBA9A">
            <w:pPr>
              <w:pStyle w:val="92"/>
              <w:rPr>
                <w:color w:val="auto"/>
                <w:highlight w:val="none"/>
                <w:u w:val="none"/>
              </w:rPr>
            </w:pPr>
            <w:r>
              <w:rPr>
                <w:color w:val="auto"/>
                <w:highlight w:val="none"/>
                <w:u w:val="none"/>
              </w:rPr>
              <w:t>8</w:t>
            </w:r>
          </w:p>
        </w:tc>
        <w:tc>
          <w:tcPr>
            <w:tcW w:w="999" w:type="pct"/>
            <w:vAlign w:val="center"/>
          </w:tcPr>
          <w:p w14:paraId="71427225">
            <w:pPr>
              <w:pStyle w:val="92"/>
              <w:rPr>
                <w:color w:val="auto"/>
                <w:highlight w:val="none"/>
                <w:u w:val="none"/>
              </w:rPr>
            </w:pPr>
            <w:r>
              <w:rPr>
                <w:color w:val="auto"/>
                <w:highlight w:val="none"/>
                <w:u w:val="none"/>
              </w:rPr>
              <w:t>硝基苯</w:t>
            </w:r>
          </w:p>
        </w:tc>
        <w:tc>
          <w:tcPr>
            <w:tcW w:w="1154" w:type="pct"/>
            <w:vAlign w:val="center"/>
          </w:tcPr>
          <w:p w14:paraId="1D21EB3B">
            <w:pPr>
              <w:pStyle w:val="92"/>
              <w:rPr>
                <w:color w:val="auto"/>
                <w:highlight w:val="none"/>
                <w:u w:val="none"/>
              </w:rPr>
            </w:pPr>
            <w:r>
              <w:rPr>
                <w:color w:val="auto"/>
                <w:highlight w:val="none"/>
                <w:u w:val="none"/>
              </w:rPr>
              <w:t>小时</w:t>
            </w:r>
          </w:p>
        </w:tc>
        <w:tc>
          <w:tcPr>
            <w:tcW w:w="1229" w:type="pct"/>
            <w:vAlign w:val="center"/>
          </w:tcPr>
          <w:p w14:paraId="3949FE97">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66B8BD9F">
            <w:pPr>
              <w:pStyle w:val="92"/>
              <w:rPr>
                <w:color w:val="auto"/>
                <w:highlight w:val="none"/>
                <w:u w:val="none"/>
              </w:rPr>
            </w:pPr>
            <w:r>
              <w:rPr>
                <w:color w:val="auto"/>
                <w:highlight w:val="none"/>
                <w:u w:val="none"/>
              </w:rPr>
              <w:t>未检出</w:t>
            </w:r>
          </w:p>
        </w:tc>
      </w:tr>
      <w:tr w14:paraId="23588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78AE4D1C">
            <w:pPr>
              <w:pStyle w:val="92"/>
              <w:rPr>
                <w:color w:val="auto"/>
                <w:highlight w:val="none"/>
                <w:u w:val="none"/>
              </w:rPr>
            </w:pPr>
            <w:r>
              <w:rPr>
                <w:rFonts w:hint="eastAsia"/>
                <w:color w:val="auto"/>
                <w:highlight w:val="none"/>
                <w:u w:val="none"/>
              </w:rPr>
              <w:t>9</w:t>
            </w:r>
          </w:p>
        </w:tc>
        <w:tc>
          <w:tcPr>
            <w:tcW w:w="999" w:type="pct"/>
            <w:vAlign w:val="center"/>
          </w:tcPr>
          <w:p w14:paraId="51D136C3">
            <w:pPr>
              <w:pStyle w:val="92"/>
              <w:rPr>
                <w:color w:val="auto"/>
                <w:highlight w:val="none"/>
                <w:u w:val="none"/>
              </w:rPr>
            </w:pPr>
            <w:r>
              <w:rPr>
                <w:rFonts w:hint="eastAsia"/>
                <w:color w:val="auto"/>
                <w:highlight w:val="none"/>
                <w:u w:val="none"/>
              </w:rPr>
              <w:t>PM</w:t>
            </w:r>
            <w:r>
              <w:rPr>
                <w:rFonts w:hint="eastAsia"/>
                <w:color w:val="auto"/>
                <w:highlight w:val="none"/>
                <w:u w:val="none"/>
                <w:vertAlign w:val="subscript"/>
              </w:rPr>
              <w:t>10</w:t>
            </w:r>
          </w:p>
        </w:tc>
        <w:tc>
          <w:tcPr>
            <w:tcW w:w="1154" w:type="pct"/>
            <w:vAlign w:val="center"/>
          </w:tcPr>
          <w:p w14:paraId="622EBFF6">
            <w:pPr>
              <w:pStyle w:val="92"/>
              <w:rPr>
                <w:color w:val="auto"/>
                <w:highlight w:val="none"/>
                <w:u w:val="none"/>
              </w:rPr>
            </w:pPr>
            <w:r>
              <w:rPr>
                <w:rFonts w:hint="eastAsia"/>
                <w:color w:val="auto"/>
                <w:highlight w:val="none"/>
                <w:u w:val="none"/>
              </w:rPr>
              <w:t>日均/年均值</w:t>
            </w:r>
          </w:p>
        </w:tc>
        <w:tc>
          <w:tcPr>
            <w:tcW w:w="1229" w:type="pct"/>
            <w:vAlign w:val="center"/>
          </w:tcPr>
          <w:p w14:paraId="36873A80">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7CDC1D2F">
            <w:pPr>
              <w:pStyle w:val="92"/>
              <w:rPr>
                <w:color w:val="auto"/>
                <w:highlight w:val="none"/>
                <w:u w:val="none"/>
              </w:rPr>
            </w:pPr>
            <w:r>
              <w:rPr>
                <w:rFonts w:hint="eastAsia"/>
                <w:color w:val="auto"/>
                <w:highlight w:val="none"/>
                <w:u w:val="none"/>
              </w:rPr>
              <w:t>28.01（年均值）</w:t>
            </w:r>
          </w:p>
        </w:tc>
      </w:tr>
      <w:tr w14:paraId="46655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pct"/>
            <w:vAlign w:val="center"/>
          </w:tcPr>
          <w:p w14:paraId="16742E08">
            <w:pPr>
              <w:pStyle w:val="92"/>
              <w:rPr>
                <w:color w:val="auto"/>
                <w:highlight w:val="none"/>
                <w:u w:val="none"/>
              </w:rPr>
            </w:pPr>
            <w:r>
              <w:rPr>
                <w:rFonts w:hint="eastAsia"/>
                <w:color w:val="auto"/>
                <w:highlight w:val="none"/>
                <w:u w:val="none"/>
              </w:rPr>
              <w:t>10</w:t>
            </w:r>
          </w:p>
        </w:tc>
        <w:tc>
          <w:tcPr>
            <w:tcW w:w="999" w:type="pct"/>
            <w:vAlign w:val="center"/>
          </w:tcPr>
          <w:p w14:paraId="02169F02">
            <w:pPr>
              <w:pStyle w:val="92"/>
              <w:rPr>
                <w:color w:val="auto"/>
                <w:highlight w:val="none"/>
                <w:u w:val="none"/>
              </w:rPr>
            </w:pPr>
            <w:r>
              <w:rPr>
                <w:rFonts w:hint="eastAsia"/>
                <w:color w:val="auto"/>
                <w:highlight w:val="none"/>
                <w:u w:val="none"/>
              </w:rPr>
              <w:t>PM</w:t>
            </w:r>
            <w:r>
              <w:rPr>
                <w:rFonts w:hint="eastAsia"/>
                <w:color w:val="auto"/>
                <w:highlight w:val="none"/>
                <w:u w:val="none"/>
                <w:vertAlign w:val="subscript"/>
              </w:rPr>
              <w:t>2.5</w:t>
            </w:r>
          </w:p>
        </w:tc>
        <w:tc>
          <w:tcPr>
            <w:tcW w:w="1154" w:type="pct"/>
            <w:vAlign w:val="center"/>
          </w:tcPr>
          <w:p w14:paraId="38DEC8BF">
            <w:pPr>
              <w:pStyle w:val="92"/>
              <w:rPr>
                <w:color w:val="auto"/>
                <w:highlight w:val="none"/>
                <w:u w:val="none"/>
              </w:rPr>
            </w:pPr>
            <w:r>
              <w:rPr>
                <w:rFonts w:hint="eastAsia"/>
                <w:color w:val="auto"/>
                <w:highlight w:val="none"/>
                <w:u w:val="none"/>
              </w:rPr>
              <w:t>日均/年均值</w:t>
            </w:r>
          </w:p>
        </w:tc>
        <w:tc>
          <w:tcPr>
            <w:tcW w:w="1229" w:type="pct"/>
            <w:vAlign w:val="center"/>
          </w:tcPr>
          <w:p w14:paraId="55C829FE">
            <w:pPr>
              <w:pStyle w:val="92"/>
              <w:rPr>
                <w:color w:val="auto"/>
                <w:highlight w:val="none"/>
                <w:u w:val="none"/>
              </w:rPr>
            </w:pPr>
            <w:r>
              <w:rPr>
                <w:color w:val="auto"/>
                <w:highlight w:val="none"/>
                <w:u w:val="none"/>
              </w:rPr>
              <w:t>μg/m</w:t>
            </w:r>
            <w:r>
              <w:rPr>
                <w:color w:val="auto"/>
                <w:highlight w:val="none"/>
                <w:u w:val="none"/>
                <w:vertAlign w:val="superscript"/>
              </w:rPr>
              <w:t>3</w:t>
            </w:r>
          </w:p>
        </w:tc>
        <w:tc>
          <w:tcPr>
            <w:tcW w:w="1236" w:type="pct"/>
            <w:vAlign w:val="center"/>
          </w:tcPr>
          <w:p w14:paraId="7AFFE79C">
            <w:pPr>
              <w:pStyle w:val="92"/>
              <w:rPr>
                <w:color w:val="auto"/>
                <w:highlight w:val="none"/>
                <w:u w:val="none"/>
              </w:rPr>
            </w:pPr>
            <w:r>
              <w:rPr>
                <w:rFonts w:hint="eastAsia"/>
                <w:color w:val="auto"/>
                <w:highlight w:val="none"/>
                <w:u w:val="none"/>
              </w:rPr>
              <w:t>15.84（年均值）</w:t>
            </w:r>
          </w:p>
        </w:tc>
      </w:tr>
    </w:tbl>
    <w:p w14:paraId="382AD5F7">
      <w:pPr>
        <w:pStyle w:val="988"/>
        <w:adjustRightInd w:val="0"/>
        <w:snapToGrid w:val="0"/>
        <w:spacing w:line="240" w:lineRule="auto"/>
        <w:ind w:firstLine="0" w:firstLineChars="0"/>
        <w:rPr>
          <w:color w:val="auto"/>
          <w:highlight w:val="none"/>
          <w:u w:val="none"/>
        </w:rPr>
      </w:pPr>
    </w:p>
    <w:bookmarkEnd w:id="469"/>
    <w:p w14:paraId="286A5688">
      <w:pPr>
        <w:snapToGrid w:val="0"/>
        <w:jc w:val="center"/>
        <w:rPr>
          <w:rFonts w:hint="eastAsia"/>
          <w:color w:val="auto"/>
          <w:highlight w:val="none"/>
          <w:u w:val="none"/>
        </w:rPr>
      </w:pPr>
      <w:bookmarkStart w:id="474" w:name="_Toc23522034"/>
      <w:bookmarkStart w:id="475" w:name="_Hlk534968589"/>
    </w:p>
    <w:p w14:paraId="5A7A322F">
      <w:pPr>
        <w:pStyle w:val="333"/>
        <w:ind w:left="-103" w:right="-113"/>
        <w:rPr>
          <w:rFonts w:ascii="Times New Roman" w:hAnsi="Times New Roman" w:cs="Times New Roman"/>
          <w:color w:val="auto"/>
          <w:highlight w:val="none"/>
          <w:u w:val="none"/>
        </w:rPr>
      </w:pPr>
    </w:p>
    <w:p w14:paraId="1CE4191B">
      <w:pPr>
        <w:pStyle w:val="333"/>
        <w:ind w:left="-103" w:right="-113"/>
        <w:rPr>
          <w:rFonts w:ascii="Times New Roman" w:hAnsi="Times New Roman" w:cs="Times New Roman"/>
          <w:color w:val="auto"/>
          <w:highlight w:val="none"/>
          <w:u w:val="none"/>
        </w:rPr>
      </w:pPr>
    </w:p>
    <w:p w14:paraId="75A3E717">
      <w:pPr>
        <w:adjustRightInd w:val="0"/>
        <w:snapToGrid w:val="0"/>
        <w:rPr>
          <w:rFonts w:hint="eastAsia"/>
          <w:color w:val="auto"/>
          <w:highlight w:val="none"/>
          <w:u w:val="none"/>
        </w:rPr>
        <w:sectPr>
          <w:headerReference r:id="rId23" w:type="first"/>
          <w:footerReference r:id="rId25" w:type="first"/>
          <w:headerReference r:id="rId22" w:type="even"/>
          <w:footerReference r:id="rId24" w:type="even"/>
          <w:pgSz w:w="11906" w:h="16838"/>
          <w:pgMar w:top="1304" w:right="1304" w:bottom="1304" w:left="1304" w:header="1021" w:footer="907" w:gutter="0"/>
          <w:cols w:space="720" w:num="1"/>
          <w:docGrid w:linePitch="326" w:charSpace="0"/>
        </w:sectPr>
      </w:pPr>
    </w:p>
    <w:bookmarkEnd w:id="474"/>
    <w:p w14:paraId="2BE545BB">
      <w:pPr>
        <w:pStyle w:val="6"/>
        <w:spacing w:before="120" w:after="120"/>
        <w:rPr>
          <w:color w:val="auto"/>
          <w:highlight w:val="none"/>
          <w:u w:val="none"/>
        </w:rPr>
      </w:pPr>
      <w:r>
        <w:rPr>
          <w:color w:val="auto"/>
          <w:highlight w:val="none"/>
          <w:u w:val="none"/>
        </w:rPr>
        <w:t>本项目新增污染物贡献值分析</w:t>
      </w:r>
      <w:bookmarkEnd w:id="475"/>
    </w:p>
    <w:p w14:paraId="3379DF0A">
      <w:pPr>
        <w:rPr>
          <w:rFonts w:hint="eastAsia"/>
          <w:color w:val="auto"/>
          <w:highlight w:val="none"/>
          <w:u w:val="none"/>
        </w:rPr>
      </w:pPr>
      <w:r>
        <w:rPr>
          <w:color w:val="auto"/>
          <w:highlight w:val="none"/>
          <w:u w:val="none"/>
        </w:rPr>
        <w:t>根据“8.1.8环境防护距离划定”，本项目设置了</w:t>
      </w:r>
      <w:r>
        <w:rPr>
          <w:rFonts w:hint="eastAsia"/>
          <w:color w:val="auto"/>
          <w:highlight w:val="none"/>
          <w:u w:val="none"/>
        </w:rPr>
        <w:t>27.8</w:t>
      </w:r>
      <w:r>
        <w:rPr>
          <w:color w:val="auto"/>
          <w:highlight w:val="none"/>
          <w:u w:val="none"/>
        </w:rPr>
        <w:t>m的大气环境防护距离，因此预测范围内各污染物区域贡献最大值取项目防护距离（厂界外延</w:t>
      </w:r>
      <w:r>
        <w:rPr>
          <w:rFonts w:hint="eastAsia"/>
          <w:color w:val="auto"/>
          <w:highlight w:val="none"/>
          <w:u w:val="none"/>
        </w:rPr>
        <w:t>27.8</w:t>
      </w:r>
      <w:r>
        <w:rPr>
          <w:color w:val="auto"/>
          <w:highlight w:val="none"/>
          <w:u w:val="none"/>
        </w:rPr>
        <w:t>m）包络范围外的最大值。</w:t>
      </w:r>
    </w:p>
    <w:p w14:paraId="75399BC4">
      <w:pPr>
        <w:rPr>
          <w:rFonts w:hAnsi="Times New Roman"/>
          <w:color w:val="auto"/>
          <w:highlight w:val="none"/>
          <w:u w:val="none"/>
        </w:rPr>
      </w:pPr>
      <w:r>
        <w:rPr>
          <w:rFonts w:hAnsi="Times New Roman"/>
          <w:color w:val="auto"/>
          <w:highlight w:val="none"/>
          <w:u w:val="none"/>
        </w:rPr>
        <w:t>TDA：</w:t>
      </w:r>
      <w:r>
        <w:rPr>
          <w:rFonts w:hAnsi="Times New Roman"/>
          <w:color w:val="auto"/>
          <w:highlight w:val="none"/>
          <w:u w:val="none"/>
        </w:rPr>
        <w:fldChar w:fldCharType="begin"/>
      </w:r>
      <w:r>
        <w:rPr>
          <w:rFonts w:hAnsi="Times New Roman"/>
          <w:color w:val="auto"/>
          <w:highlight w:val="none"/>
          <w:u w:val="none"/>
        </w:rPr>
        <w:instrText xml:space="preserve"> REF _Ref149230889 \h </w:instrText>
      </w:r>
      <w:r>
        <w:rPr>
          <w:rFonts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19</w:t>
      </w:r>
      <w:r>
        <w:rPr>
          <w:rFonts w:hAnsi="Times New Roman"/>
          <w:color w:val="auto"/>
          <w:highlight w:val="none"/>
          <w:u w:val="none"/>
        </w:rPr>
        <w:fldChar w:fldCharType="end"/>
      </w:r>
      <w:r>
        <w:rPr>
          <w:rFonts w:hAnsi="Times New Roman"/>
          <w:color w:val="auto"/>
          <w:highlight w:val="none"/>
          <w:u w:val="none"/>
        </w:rPr>
        <w:t>给出了项目新增源排放的TDA在评价范围内预测贡献值情况。各保护目标中，预测最大小时浓度贡献值为</w:t>
      </w:r>
      <w:r>
        <w:rPr>
          <w:rFonts w:hint="eastAsia" w:hAnsi="Times New Roman"/>
          <w:color w:val="auto"/>
          <w:highlight w:val="none"/>
          <w:u w:val="none"/>
        </w:rPr>
        <w:t>0.06</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0.06</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。防护距离外的网格点TDA预测最大小时浓度贡献值为</w:t>
      </w:r>
      <w:r>
        <w:rPr>
          <w:rFonts w:hint="eastAsia" w:hAnsi="Times New Roman"/>
          <w:color w:val="auto"/>
          <w:highlight w:val="none"/>
          <w:u w:val="none"/>
        </w:rPr>
        <w:t>1.67</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1.67</w:t>
      </w:r>
      <w:r>
        <w:rPr>
          <w:rFonts w:hAnsi="Times New Roman"/>
          <w:color w:val="auto"/>
          <w:highlight w:val="none"/>
          <w:u w:val="none"/>
        </w:rPr>
        <w:t>%。TDA预测浓度能满足评价标准要求。</w:t>
      </w:r>
    </w:p>
    <w:p w14:paraId="675ED1B9">
      <w:pPr>
        <w:rPr>
          <w:rFonts w:hAnsi="Times New Roman"/>
          <w:color w:val="auto"/>
          <w:highlight w:val="none"/>
          <w:u w:val="none"/>
        </w:rPr>
      </w:pPr>
      <w:r>
        <w:rPr>
          <w:rFonts w:hAnsi="Times New Roman"/>
          <w:color w:val="auto"/>
          <w:highlight w:val="none"/>
          <w:u w:val="none"/>
        </w:rPr>
        <w:t>NMHC：</w:t>
      </w:r>
      <w:r>
        <w:rPr>
          <w:rFonts w:hAnsi="Times New Roman"/>
          <w:color w:val="auto"/>
          <w:highlight w:val="none"/>
          <w:u w:val="none"/>
        </w:rPr>
        <w:fldChar w:fldCharType="begin"/>
      </w:r>
      <w:r>
        <w:rPr>
          <w:rFonts w:hAnsi="Times New Roman"/>
          <w:color w:val="auto"/>
          <w:highlight w:val="none"/>
          <w:u w:val="none"/>
        </w:rPr>
        <w:instrText xml:space="preserve"> REF _Ref149230889 \h </w:instrText>
      </w:r>
      <w:r>
        <w:rPr>
          <w:rFonts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19</w:t>
      </w:r>
      <w:r>
        <w:rPr>
          <w:rFonts w:hAnsi="Times New Roman"/>
          <w:color w:val="auto"/>
          <w:highlight w:val="none"/>
          <w:u w:val="none"/>
        </w:rPr>
        <w:fldChar w:fldCharType="end"/>
      </w:r>
      <w:r>
        <w:rPr>
          <w:rFonts w:hAnsi="Times New Roman"/>
          <w:color w:val="auto"/>
          <w:highlight w:val="none"/>
          <w:u w:val="none"/>
        </w:rPr>
        <w:t>给出了项目新增源排放的NMHC在评价范围内预测贡献值情况。各保护目标中，预测最大小时浓度贡献值为</w:t>
      </w:r>
      <w:r>
        <w:rPr>
          <w:rFonts w:hint="eastAsia" w:hAnsi="Times New Roman"/>
          <w:color w:val="auto"/>
          <w:highlight w:val="none"/>
          <w:u w:val="none"/>
        </w:rPr>
        <w:t>0.67</w:t>
      </w:r>
      <w:r>
        <w:rPr>
          <w:rFonts w:hAnsi="Times New Roman"/>
          <w:color w:val="auto"/>
          <w:highlight w:val="none"/>
          <w:u w:val="none"/>
        </w:rPr>
        <w:t xml:space="preserve"> μg/m</w:t>
      </w:r>
      <w:r>
        <w:rPr>
          <w:rFonts w:hAnsi="Times New Roman"/>
          <w:color w:val="auto"/>
          <w:highlight w:val="none"/>
          <w:u w:val="none"/>
          <w:vertAlign w:val="superscript"/>
        </w:rPr>
        <w:t>3</w:t>
      </w:r>
      <w:r>
        <w:rPr>
          <w:rFonts w:hAnsi="Times New Roman"/>
          <w:color w:val="auto"/>
          <w:highlight w:val="none"/>
          <w:u w:val="none"/>
        </w:rPr>
        <w:t>，占标率为0.</w:t>
      </w:r>
      <w:r>
        <w:rPr>
          <w:rFonts w:hint="eastAsia" w:hAnsi="Times New Roman"/>
          <w:color w:val="auto"/>
          <w:highlight w:val="none"/>
          <w:u w:val="none"/>
        </w:rPr>
        <w:t>03</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。防护距离外的网格点NMHC预测最大小时浓度贡献值为</w:t>
      </w:r>
      <w:r>
        <w:rPr>
          <w:rFonts w:hint="eastAsia" w:hAnsi="Times New Roman"/>
          <w:color w:val="auto"/>
          <w:highlight w:val="none"/>
          <w:u w:val="none"/>
        </w:rPr>
        <w:t>14.22</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0.71</w:t>
      </w:r>
      <w:r>
        <w:rPr>
          <w:rFonts w:hAnsi="Times New Roman"/>
          <w:color w:val="auto"/>
          <w:highlight w:val="none"/>
          <w:u w:val="none"/>
        </w:rPr>
        <w:t>%。NMHC预测浓度能满足评价标准要求。</w:t>
      </w:r>
    </w:p>
    <w:p w14:paraId="03C20266">
      <w:pPr>
        <w:rPr>
          <w:rFonts w:hAnsi="Times New Roman"/>
          <w:color w:val="auto"/>
          <w:highlight w:val="none"/>
          <w:u w:val="none"/>
        </w:rPr>
      </w:pPr>
      <w:r>
        <w:rPr>
          <w:rFonts w:hAnsi="Times New Roman"/>
          <w:color w:val="auto"/>
          <w:highlight w:val="none"/>
          <w:u w:val="none"/>
        </w:rPr>
        <w:t>邻二氯苯：</w:t>
      </w:r>
      <w:r>
        <w:rPr>
          <w:rFonts w:hAnsi="Times New Roman"/>
          <w:color w:val="auto"/>
          <w:highlight w:val="none"/>
          <w:u w:val="none"/>
        </w:rPr>
        <w:fldChar w:fldCharType="begin"/>
      </w:r>
      <w:r>
        <w:rPr>
          <w:rFonts w:hAnsi="Times New Roman"/>
          <w:color w:val="auto"/>
          <w:highlight w:val="none"/>
          <w:u w:val="none"/>
        </w:rPr>
        <w:instrText xml:space="preserve"> REF _Ref149230932 \h </w:instrText>
      </w:r>
      <w:r>
        <w:rPr>
          <w:rFonts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20</w:t>
      </w:r>
      <w:r>
        <w:rPr>
          <w:rFonts w:hAnsi="Times New Roman"/>
          <w:color w:val="auto"/>
          <w:highlight w:val="none"/>
          <w:u w:val="none"/>
        </w:rPr>
        <w:fldChar w:fldCharType="end"/>
      </w:r>
      <w:r>
        <w:rPr>
          <w:rFonts w:hAnsi="Times New Roman"/>
          <w:color w:val="auto"/>
          <w:highlight w:val="none"/>
          <w:u w:val="none"/>
        </w:rPr>
        <w:t>给出了项目新增源排放的邻二氯苯在评价范围内预测贡献值情况。各保护目标中，预测最大小时浓度贡献值为</w:t>
      </w:r>
      <w:r>
        <w:rPr>
          <w:rFonts w:hint="eastAsia" w:hAnsi="Times New Roman"/>
          <w:color w:val="auto"/>
          <w:highlight w:val="none"/>
          <w:u w:val="none"/>
        </w:rPr>
        <w:t>0.09</w:t>
      </w:r>
      <w:r>
        <w:rPr>
          <w:rFonts w:hAnsi="Times New Roman"/>
          <w:color w:val="auto"/>
          <w:highlight w:val="none"/>
          <w:u w:val="none"/>
        </w:rPr>
        <w:t xml:space="preserve"> 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0.09</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。防护距离外的网格点邻二氯苯预测最大小时浓度贡献值为</w:t>
      </w:r>
      <w:r>
        <w:rPr>
          <w:rFonts w:hint="eastAsia" w:hAnsi="Times New Roman"/>
          <w:color w:val="auto"/>
          <w:highlight w:val="none"/>
          <w:u w:val="none"/>
        </w:rPr>
        <w:t>1.75</w:t>
      </w:r>
      <w:r>
        <w:rPr>
          <w:rFonts w:hAnsi="Times New Roman"/>
          <w:color w:val="auto"/>
          <w:highlight w:val="none"/>
          <w:u w:val="none"/>
        </w:rPr>
        <w:t xml:space="preserve"> 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1.75</w:t>
      </w:r>
      <w:r>
        <w:rPr>
          <w:rFonts w:hAnsi="Times New Roman"/>
          <w:color w:val="auto"/>
          <w:highlight w:val="none"/>
          <w:u w:val="none"/>
        </w:rPr>
        <w:t xml:space="preserve"> %。邻二氯苯预测浓度能满足评价标准要求。</w:t>
      </w:r>
    </w:p>
    <w:p w14:paraId="4276DD59">
      <w:pPr>
        <w:rPr>
          <w:rFonts w:hAnsi="Times New Roman"/>
          <w:color w:val="auto"/>
          <w:highlight w:val="none"/>
          <w:u w:val="none"/>
        </w:rPr>
      </w:pPr>
      <w:r>
        <w:rPr>
          <w:rFonts w:hAnsi="Times New Roman"/>
          <w:color w:val="auto"/>
          <w:highlight w:val="none"/>
          <w:u w:val="none"/>
        </w:rPr>
        <w:t>甲苯：</w:t>
      </w:r>
      <w:r>
        <w:rPr>
          <w:rFonts w:hAnsi="Times New Roman"/>
          <w:color w:val="auto"/>
          <w:highlight w:val="none"/>
          <w:u w:val="none"/>
        </w:rPr>
        <w:fldChar w:fldCharType="begin"/>
      </w:r>
      <w:r>
        <w:rPr>
          <w:rFonts w:hAnsi="Times New Roman"/>
          <w:color w:val="auto"/>
          <w:highlight w:val="none"/>
          <w:u w:val="none"/>
        </w:rPr>
        <w:instrText xml:space="preserve"> REF _Ref149230932 \h </w:instrText>
      </w:r>
      <w:r>
        <w:rPr>
          <w:rFonts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20</w:t>
      </w:r>
      <w:r>
        <w:rPr>
          <w:rFonts w:hAnsi="Times New Roman"/>
          <w:color w:val="auto"/>
          <w:highlight w:val="none"/>
          <w:u w:val="none"/>
        </w:rPr>
        <w:fldChar w:fldCharType="end"/>
      </w:r>
      <w:r>
        <w:rPr>
          <w:rFonts w:hAnsi="Times New Roman"/>
          <w:color w:val="auto"/>
          <w:highlight w:val="none"/>
          <w:u w:val="none"/>
        </w:rPr>
        <w:t>给出了项目新增源排放的甲苯在评价范围内预测贡献值情况。各保护目标中，预测最大小时浓度贡献值为0.</w:t>
      </w:r>
      <w:r>
        <w:rPr>
          <w:rFonts w:hint="eastAsia" w:hAnsi="Times New Roman"/>
          <w:color w:val="auto"/>
          <w:highlight w:val="none"/>
          <w:u w:val="none"/>
        </w:rPr>
        <w:t>04</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，占标率为0.</w:t>
      </w:r>
      <w:r>
        <w:rPr>
          <w:rFonts w:hint="eastAsia" w:hAnsi="Times New Roman"/>
          <w:color w:val="auto"/>
          <w:highlight w:val="none"/>
          <w:u w:val="none"/>
        </w:rPr>
        <w:t>02</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。防护距离外的网格点甲苯预测最大小时浓度贡献值为</w:t>
      </w:r>
      <w:r>
        <w:rPr>
          <w:rFonts w:hint="eastAsia" w:hAnsi="Times New Roman"/>
          <w:color w:val="auto"/>
          <w:highlight w:val="none"/>
          <w:u w:val="none"/>
        </w:rPr>
        <w:t>0.53</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0.27</w:t>
      </w:r>
      <w:r>
        <w:rPr>
          <w:rFonts w:hAnsi="Times New Roman"/>
          <w:color w:val="auto"/>
          <w:highlight w:val="none"/>
          <w:u w:val="none"/>
        </w:rPr>
        <w:t>%。甲苯预测浓度能满足评价标准要求。</w:t>
      </w:r>
    </w:p>
    <w:p w14:paraId="2D456863">
      <w:pPr>
        <w:rPr>
          <w:rFonts w:hAnsi="Times New Roman"/>
          <w:color w:val="auto"/>
          <w:highlight w:val="none"/>
          <w:u w:val="none"/>
        </w:rPr>
      </w:pPr>
      <w:r>
        <w:rPr>
          <w:rFonts w:hAnsi="Times New Roman"/>
          <w:color w:val="auto"/>
          <w:highlight w:val="none"/>
          <w:u w:val="none"/>
        </w:rPr>
        <w:t>氯气：</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_Ref149230966 \h </w:instrText>
      </w:r>
      <w:r>
        <w:rPr>
          <w:rFonts w:hint="eastAsia"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21</w:t>
      </w:r>
      <w:r>
        <w:rPr>
          <w:rFonts w:hint="eastAsia" w:hAnsi="Times New Roman"/>
          <w:color w:val="auto"/>
          <w:highlight w:val="none"/>
          <w:u w:val="none"/>
        </w:rPr>
        <w:fldChar w:fldCharType="end"/>
      </w:r>
      <w:r>
        <w:rPr>
          <w:rFonts w:hAnsi="Times New Roman"/>
          <w:color w:val="auto"/>
          <w:highlight w:val="none"/>
          <w:u w:val="none"/>
        </w:rPr>
        <w:t>给出了项目新增源排放的氯气在评价范围内预测贡献值情况。各保护目标中，预测最大小时浓度贡献值为</w:t>
      </w:r>
      <w:r>
        <w:rPr>
          <w:rFonts w:hint="eastAsia" w:hAnsi="Times New Roman"/>
          <w:color w:val="auto"/>
          <w:highlight w:val="none"/>
          <w:u w:val="none"/>
        </w:rPr>
        <w:t>0.32</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0.32</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。防护距离外的网格点氯气预测最大小时浓度贡献值为</w:t>
      </w:r>
      <w:r>
        <w:rPr>
          <w:rFonts w:hint="eastAsia" w:hAnsi="Times New Roman"/>
          <w:color w:val="auto"/>
          <w:highlight w:val="none"/>
          <w:u w:val="none"/>
        </w:rPr>
        <w:t>6.17</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6.17</w:t>
      </w:r>
      <w:r>
        <w:rPr>
          <w:rFonts w:hAnsi="Times New Roman"/>
          <w:color w:val="auto"/>
          <w:highlight w:val="none"/>
          <w:u w:val="none"/>
        </w:rPr>
        <w:t>%。各保护目标中，预测最大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0.03</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0.11</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。防护距离外的网格点氯气预测最大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1.40</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4.66</w:t>
      </w:r>
      <w:r>
        <w:rPr>
          <w:rFonts w:hAnsi="Times New Roman"/>
          <w:color w:val="auto"/>
          <w:highlight w:val="none"/>
          <w:u w:val="none"/>
        </w:rPr>
        <w:t>%。氯气预测浓度能满足评价标准要求。</w:t>
      </w:r>
    </w:p>
    <w:p w14:paraId="19F1A593">
      <w:pPr>
        <w:rPr>
          <w:rFonts w:hAnsi="Times New Roman"/>
          <w:color w:val="auto"/>
          <w:highlight w:val="none"/>
          <w:u w:val="none"/>
        </w:rPr>
      </w:pPr>
      <w:r>
        <w:rPr>
          <w:rFonts w:hAnsi="Times New Roman"/>
          <w:color w:val="auto"/>
          <w:highlight w:val="none"/>
          <w:u w:val="none"/>
        </w:rPr>
        <w:t>氯化氢：</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_Ref20043 \h </w:instrText>
      </w:r>
      <w:r>
        <w:rPr>
          <w:rFonts w:hint="eastAsia"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rFonts w:hint="eastAsia" w:hAnsi="Times New Roman"/>
          <w:color w:val="auto"/>
          <w:highlight w:val="none"/>
          <w:u w:val="none"/>
        </w:rPr>
        <w:fldChar w:fldCharType="end"/>
      </w:r>
      <w:r>
        <w:rPr>
          <w:rFonts w:hAnsi="Times New Roman"/>
          <w:color w:val="auto"/>
          <w:highlight w:val="none"/>
          <w:u w:val="none"/>
        </w:rPr>
        <w:t>给出了项目新增源排放的氯化氢在评价范围内预测贡献值情况。各保护目标中，预测最大小时浓度贡献值为</w:t>
      </w:r>
      <w:r>
        <w:rPr>
          <w:rFonts w:hint="eastAsia" w:hAnsi="Times New Roman"/>
          <w:color w:val="auto"/>
          <w:highlight w:val="none"/>
          <w:u w:val="none"/>
        </w:rPr>
        <w:t xml:space="preserve">0.23 </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0.46</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。防护距离外的网格点氯化氢预测最大小时浓度贡献值为</w:t>
      </w:r>
      <w:r>
        <w:rPr>
          <w:rFonts w:hint="eastAsia" w:hAnsi="Times New Roman"/>
          <w:color w:val="auto"/>
          <w:highlight w:val="none"/>
          <w:u w:val="none"/>
        </w:rPr>
        <w:t>4.45</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8.90</w:t>
      </w:r>
      <w:r>
        <w:rPr>
          <w:rFonts w:hAnsi="Times New Roman"/>
          <w:color w:val="auto"/>
          <w:highlight w:val="none"/>
          <w:u w:val="none"/>
        </w:rPr>
        <w:t>%。各保护目标中，预测最大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 xml:space="preserve">0.02 </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0.15</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。防护距离外的网格点氯化氢预测最大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1.01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6.72</w:t>
      </w:r>
      <w:r>
        <w:rPr>
          <w:rFonts w:hAnsi="Times New Roman"/>
          <w:color w:val="auto"/>
          <w:highlight w:val="none"/>
          <w:u w:val="none"/>
        </w:rPr>
        <w:t>%。氯化氢预测浓度能满足评价标准要求。</w:t>
      </w:r>
    </w:p>
    <w:p w14:paraId="54B98F4D">
      <w:pPr>
        <w:rPr>
          <w:rFonts w:hAnsi="Times New Roman"/>
          <w:color w:val="auto"/>
          <w:highlight w:val="none"/>
          <w:u w:val="none"/>
        </w:rPr>
      </w:pPr>
      <w:r>
        <w:rPr>
          <w:rFonts w:hAnsi="Times New Roman"/>
          <w:color w:val="auto"/>
          <w:highlight w:val="none"/>
          <w:u w:val="none"/>
        </w:rPr>
        <w:t>光气：</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_Ref149230992 \h </w:instrText>
      </w:r>
      <w:r>
        <w:rPr>
          <w:rFonts w:hint="eastAsia"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23</w:t>
      </w:r>
      <w:r>
        <w:rPr>
          <w:rFonts w:hint="eastAsia" w:hAnsi="Times New Roman"/>
          <w:color w:val="auto"/>
          <w:highlight w:val="none"/>
          <w:u w:val="none"/>
        </w:rPr>
        <w:fldChar w:fldCharType="end"/>
      </w:r>
      <w:r>
        <w:rPr>
          <w:rFonts w:hAnsi="Times New Roman"/>
          <w:color w:val="auto"/>
          <w:highlight w:val="none"/>
          <w:u w:val="none"/>
        </w:rPr>
        <w:t>给出了项目新增源排放的光气在评价范围内预测贡献值情况。各保护目标中，预测最大小时浓度贡献值为0.</w:t>
      </w:r>
      <w:r>
        <w:rPr>
          <w:rFonts w:hint="eastAsia" w:hAnsi="Times New Roman"/>
          <w:color w:val="auto"/>
          <w:highlight w:val="none"/>
          <w:u w:val="none"/>
        </w:rPr>
        <w:t>01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0.17</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。防护距离外的网格点光气预测最大小时浓度贡献值为</w:t>
      </w:r>
      <w:r>
        <w:rPr>
          <w:rFonts w:hint="eastAsia" w:hAnsi="Times New Roman"/>
          <w:color w:val="auto"/>
          <w:highlight w:val="none"/>
          <w:u w:val="none"/>
        </w:rPr>
        <w:t>0.13</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 xml:space="preserve">3.31 </w:t>
      </w:r>
      <w:r>
        <w:rPr>
          <w:rFonts w:hAnsi="Times New Roman"/>
          <w:color w:val="auto"/>
          <w:highlight w:val="none"/>
          <w:u w:val="none"/>
        </w:rPr>
        <w:t>%。</w:t>
      </w:r>
    </w:p>
    <w:p w14:paraId="68EC8351">
      <w:pPr>
        <w:rPr>
          <w:rFonts w:hAnsi="Times New Roman"/>
          <w:color w:val="auto"/>
          <w:highlight w:val="none"/>
          <w:u w:val="none"/>
        </w:rPr>
      </w:pPr>
      <w:r>
        <w:rPr>
          <w:rFonts w:hAnsi="Times New Roman"/>
          <w:color w:val="auto"/>
          <w:highlight w:val="none"/>
          <w:u w:val="none"/>
        </w:rPr>
        <w:t>DNT：</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_Ref149230992 \h </w:instrText>
      </w:r>
      <w:r>
        <w:rPr>
          <w:rFonts w:hint="eastAsia"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23</w:t>
      </w:r>
      <w:r>
        <w:rPr>
          <w:rFonts w:hint="eastAsia" w:hAnsi="Times New Roman"/>
          <w:color w:val="auto"/>
          <w:highlight w:val="none"/>
          <w:u w:val="none"/>
        </w:rPr>
        <w:fldChar w:fldCharType="end"/>
      </w:r>
      <w:r>
        <w:rPr>
          <w:rFonts w:hAnsi="Times New Roman"/>
          <w:color w:val="auto"/>
          <w:highlight w:val="none"/>
          <w:u w:val="none"/>
        </w:rPr>
        <w:t>给出了项目新增源排放的DNT在评价范围内预测贡献值情况。各保护目标中，预测最大小时浓度贡献值为0.</w:t>
      </w:r>
      <w:r>
        <w:rPr>
          <w:rFonts w:hint="eastAsia" w:hAnsi="Times New Roman"/>
          <w:color w:val="auto"/>
          <w:highlight w:val="none"/>
          <w:u w:val="none"/>
        </w:rPr>
        <w:t>07</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0.72</w:t>
      </w:r>
      <w:r>
        <w:rPr>
          <w:rFonts w:hAnsi="Times New Roman"/>
          <w:color w:val="auto"/>
          <w:highlight w:val="none"/>
          <w:u w:val="none"/>
        </w:rPr>
        <w:t>%，出现在</w:t>
      </w:r>
      <w:r>
        <w:rPr>
          <w:rFonts w:hint="eastAsia" w:hAnsi="Times New Roman"/>
          <w:color w:val="auto"/>
          <w:highlight w:val="none"/>
          <w:u w:val="none"/>
        </w:rPr>
        <w:t>东沃村</w:t>
      </w:r>
      <w:r>
        <w:rPr>
          <w:rFonts w:hAnsi="Times New Roman"/>
          <w:color w:val="auto"/>
          <w:highlight w:val="none"/>
          <w:u w:val="none"/>
        </w:rPr>
        <w:t>。防护距离外的网格点DNT预测最大小时浓度贡献值为</w:t>
      </w:r>
      <w:r>
        <w:rPr>
          <w:rFonts w:hint="eastAsia" w:hAnsi="Times New Roman"/>
          <w:color w:val="auto"/>
          <w:highlight w:val="none"/>
          <w:u w:val="none"/>
        </w:rPr>
        <w:t>1.25</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 xml:space="preserve">12.49 </w:t>
      </w:r>
      <w:r>
        <w:rPr>
          <w:rFonts w:hAnsi="Times New Roman"/>
          <w:color w:val="auto"/>
          <w:highlight w:val="none"/>
          <w:u w:val="none"/>
        </w:rPr>
        <w:t>%。</w:t>
      </w:r>
    </w:p>
    <w:p w14:paraId="5C694C76">
      <w:pPr>
        <w:adjustRightInd w:val="0"/>
        <w:snapToGrid w:val="0"/>
        <w:rPr>
          <w:rFonts w:hAnsi="Times New Roman"/>
          <w:color w:val="auto"/>
          <w:highlight w:val="none"/>
          <w:u w:val="none"/>
        </w:rPr>
      </w:pPr>
      <w:r>
        <w:rPr>
          <w:rFonts w:hint="eastAsia" w:hAnsi="Times New Roman"/>
          <w:color w:val="auto"/>
          <w:highlight w:val="none"/>
          <w:u w:val="none"/>
        </w:rPr>
        <w:t>PM</w:t>
      </w:r>
      <w:r>
        <w:rPr>
          <w:rFonts w:hint="eastAsia" w:hAnsi="Times New Roman"/>
          <w:color w:val="auto"/>
          <w:highlight w:val="none"/>
          <w:u w:val="none"/>
          <w:vertAlign w:val="subscript"/>
        </w:rPr>
        <w:t>10</w:t>
      </w:r>
      <w:r>
        <w:rPr>
          <w:rFonts w:hAnsi="Times New Roman"/>
          <w:color w:val="auto"/>
          <w:highlight w:val="none"/>
          <w:u w:val="none"/>
        </w:rPr>
        <w:t>：</w:t>
      </w:r>
      <w:r>
        <w:rPr>
          <w:rFonts w:hint="eastAsia" w:hAnsi="Times New Roman"/>
          <w:color w:val="auto"/>
          <w:highlight w:val="none"/>
          <w:u w:val="none"/>
          <w:lang w:eastAsia="zh-CN"/>
        </w:rPr>
        <w:fldChar w:fldCharType="begin"/>
      </w:r>
      <w:r>
        <w:rPr>
          <w:rFonts w:hint="eastAsia" w:hAnsi="Times New Roman"/>
          <w:color w:val="auto"/>
          <w:highlight w:val="none"/>
          <w:u w:val="none"/>
          <w:lang w:eastAsia="zh-CN"/>
        </w:rPr>
        <w:instrText xml:space="preserve"> REF _Ref7348 \h </w:instrText>
      </w:r>
      <w:r>
        <w:rPr>
          <w:rFonts w:hint="eastAsia" w:hAnsi="Times New Roman"/>
          <w:color w:val="auto"/>
          <w:highlight w:val="none"/>
          <w:u w:val="none"/>
          <w:lang w:eastAsia="zh-CN"/>
        </w:rPr>
        <w:fldChar w:fldCharType="separate"/>
      </w:r>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t>24</w:t>
      </w:r>
      <w:r>
        <w:rPr>
          <w:rFonts w:hint="eastAsia" w:hAnsi="Times New Roman"/>
          <w:color w:val="auto"/>
          <w:highlight w:val="none"/>
          <w:u w:val="none"/>
          <w:lang w:eastAsia="zh-CN"/>
        </w:rPr>
        <w:fldChar w:fldCharType="end"/>
      </w:r>
      <w:r>
        <w:rPr>
          <w:rFonts w:hAnsi="Times New Roman"/>
          <w:color w:val="auto"/>
          <w:highlight w:val="none"/>
          <w:u w:val="none"/>
        </w:rPr>
        <w:t>给出了项目新增源排放的</w:t>
      </w:r>
      <w:r>
        <w:rPr>
          <w:rFonts w:hint="eastAsia" w:hAnsi="Times New Roman"/>
          <w:color w:val="auto"/>
          <w:highlight w:val="none"/>
          <w:u w:val="none"/>
        </w:rPr>
        <w:t>PM</w:t>
      </w:r>
      <w:r>
        <w:rPr>
          <w:rFonts w:hint="eastAsia" w:hAnsi="Times New Roman"/>
          <w:color w:val="auto"/>
          <w:highlight w:val="none"/>
          <w:u w:val="none"/>
          <w:vertAlign w:val="subscript"/>
        </w:rPr>
        <w:t>10</w:t>
      </w:r>
      <w:r>
        <w:rPr>
          <w:rFonts w:hAnsi="Times New Roman"/>
          <w:color w:val="auto"/>
          <w:highlight w:val="none"/>
          <w:u w:val="none"/>
        </w:rPr>
        <w:t>在评价范围内预测贡献值情况。防护距离外的网格点</w:t>
      </w:r>
      <w:r>
        <w:rPr>
          <w:rFonts w:hint="eastAsia" w:hAnsi="Times New Roman"/>
          <w:color w:val="auto"/>
          <w:highlight w:val="none"/>
          <w:u w:val="none"/>
        </w:rPr>
        <w:t>PM</w:t>
      </w:r>
      <w:r>
        <w:rPr>
          <w:rFonts w:hint="eastAsia" w:hAnsi="Times New Roman"/>
          <w:color w:val="auto"/>
          <w:highlight w:val="none"/>
          <w:u w:val="none"/>
          <w:vertAlign w:val="subscript"/>
        </w:rPr>
        <w:t>10</w:t>
      </w:r>
      <w:r>
        <w:rPr>
          <w:rFonts w:hint="eastAsia" w:hAnsi="Times New Roman"/>
          <w:color w:val="auto"/>
          <w:highlight w:val="none"/>
          <w:u w:val="none"/>
        </w:rPr>
        <w:t>的95%保证率日均</w:t>
      </w:r>
      <w:r>
        <w:rPr>
          <w:rFonts w:hAnsi="Times New Roman"/>
          <w:color w:val="auto"/>
          <w:highlight w:val="none"/>
          <w:u w:val="none"/>
        </w:rPr>
        <w:t>贡献值为</w:t>
      </w:r>
      <w:r>
        <w:rPr>
          <w:rFonts w:hint="eastAsia" w:hAnsi="Times New Roman"/>
          <w:color w:val="auto"/>
          <w:highlight w:val="none"/>
          <w:u w:val="none"/>
        </w:rPr>
        <w:t>0.01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 xml:space="preserve">0.007 </w:t>
      </w:r>
      <w:r>
        <w:rPr>
          <w:rFonts w:hAnsi="Times New Roman"/>
          <w:color w:val="auto"/>
          <w:highlight w:val="none"/>
          <w:u w:val="none"/>
        </w:rPr>
        <w:t>%</w:t>
      </w:r>
      <w:r>
        <w:rPr>
          <w:rFonts w:hint="eastAsia" w:hAnsi="Times New Roman"/>
          <w:color w:val="auto"/>
          <w:highlight w:val="none"/>
          <w:u w:val="none"/>
        </w:rPr>
        <w:t>，对保护目标基本无影响；</w:t>
      </w:r>
      <w:r>
        <w:rPr>
          <w:rFonts w:hAnsi="Times New Roman"/>
          <w:color w:val="auto"/>
          <w:highlight w:val="none"/>
          <w:u w:val="none"/>
        </w:rPr>
        <w:t>防护距离外的网格点</w:t>
      </w:r>
      <w:r>
        <w:rPr>
          <w:rFonts w:hint="eastAsia" w:hAnsi="Times New Roman"/>
          <w:color w:val="auto"/>
          <w:highlight w:val="none"/>
          <w:u w:val="none"/>
        </w:rPr>
        <w:t>PM</w:t>
      </w:r>
      <w:r>
        <w:rPr>
          <w:rFonts w:hint="eastAsia" w:hAnsi="Times New Roman"/>
          <w:color w:val="auto"/>
          <w:highlight w:val="none"/>
          <w:u w:val="none"/>
          <w:vertAlign w:val="subscript"/>
        </w:rPr>
        <w:t>10</w:t>
      </w:r>
      <w:r>
        <w:rPr>
          <w:rFonts w:hint="eastAsia" w:hAnsi="Times New Roman"/>
          <w:color w:val="auto"/>
          <w:highlight w:val="none"/>
          <w:u w:val="none"/>
        </w:rPr>
        <w:t>的年均</w:t>
      </w:r>
      <w:r>
        <w:rPr>
          <w:rFonts w:hAnsi="Times New Roman"/>
          <w:color w:val="auto"/>
          <w:highlight w:val="none"/>
          <w:u w:val="none"/>
        </w:rPr>
        <w:t>贡献值为</w:t>
      </w:r>
      <w:r>
        <w:rPr>
          <w:rFonts w:hint="eastAsia" w:hAnsi="Times New Roman"/>
          <w:color w:val="auto"/>
          <w:highlight w:val="none"/>
          <w:u w:val="none"/>
        </w:rPr>
        <w:t>0.0021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 xml:space="preserve">0.003 </w:t>
      </w:r>
      <w:r>
        <w:rPr>
          <w:rFonts w:hAnsi="Times New Roman"/>
          <w:color w:val="auto"/>
          <w:highlight w:val="none"/>
          <w:u w:val="none"/>
        </w:rPr>
        <w:t>%</w:t>
      </w:r>
      <w:r>
        <w:rPr>
          <w:rFonts w:hint="eastAsia" w:hAnsi="Times New Roman"/>
          <w:color w:val="auto"/>
          <w:highlight w:val="none"/>
          <w:u w:val="none"/>
        </w:rPr>
        <w:t>，对保护目标基本无影响。</w:t>
      </w:r>
    </w:p>
    <w:p w14:paraId="5B23BC01">
      <w:pPr>
        <w:pStyle w:val="981"/>
        <w:rPr>
          <w:rFonts w:hint="eastAsia"/>
          <w:color w:val="auto"/>
          <w:highlight w:val="none"/>
          <w:u w:val="none"/>
        </w:rPr>
      </w:pPr>
      <w:r>
        <w:rPr>
          <w:rFonts w:hint="eastAsia" w:hAnsi="Times New Roman"/>
          <w:color w:val="auto"/>
          <w:highlight w:val="none"/>
          <w:u w:val="none"/>
        </w:rPr>
        <w:t>PM</w:t>
      </w:r>
      <w:r>
        <w:rPr>
          <w:rFonts w:hint="eastAsia" w:hAnsi="Times New Roman"/>
          <w:color w:val="auto"/>
          <w:highlight w:val="none"/>
          <w:u w:val="none"/>
          <w:vertAlign w:val="subscript"/>
        </w:rPr>
        <w:t>2.5</w:t>
      </w:r>
      <w:r>
        <w:rPr>
          <w:rFonts w:hAnsi="Times New Roman"/>
          <w:color w:val="auto"/>
          <w:highlight w:val="none"/>
          <w:u w:val="none"/>
        </w:rPr>
        <w:t>：</w:t>
      </w:r>
      <w:r>
        <w:rPr>
          <w:rFonts w:hint="eastAsia" w:hAnsi="Times New Roman"/>
          <w:color w:val="auto"/>
          <w:highlight w:val="none"/>
          <w:u w:val="none"/>
          <w:lang w:eastAsia="zh-CN"/>
        </w:rPr>
        <w:fldChar w:fldCharType="begin"/>
      </w:r>
      <w:r>
        <w:rPr>
          <w:rFonts w:hint="eastAsia" w:hAnsi="Times New Roman"/>
          <w:color w:val="auto"/>
          <w:highlight w:val="none"/>
          <w:u w:val="none"/>
          <w:lang w:eastAsia="zh-CN"/>
        </w:rPr>
        <w:instrText xml:space="preserve"> REF _Ref7361 \h </w:instrText>
      </w:r>
      <w:r>
        <w:rPr>
          <w:rFonts w:hint="eastAsia" w:hAnsi="Times New Roman"/>
          <w:color w:val="auto"/>
          <w:highlight w:val="none"/>
          <w:u w:val="none"/>
          <w:lang w:eastAsia="zh-CN"/>
        </w:rPr>
        <w:fldChar w:fldCharType="separate"/>
      </w:r>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t>25</w:t>
      </w:r>
      <w:r>
        <w:rPr>
          <w:rFonts w:hint="eastAsia" w:hAnsi="Times New Roman"/>
          <w:color w:val="auto"/>
          <w:highlight w:val="none"/>
          <w:u w:val="none"/>
          <w:lang w:eastAsia="zh-CN"/>
        </w:rPr>
        <w:fldChar w:fldCharType="end"/>
      </w:r>
      <w:r>
        <w:rPr>
          <w:rFonts w:hAnsi="Times New Roman"/>
          <w:color w:val="auto"/>
          <w:highlight w:val="none"/>
          <w:u w:val="none"/>
        </w:rPr>
        <w:t>给出了项目新增源排放的</w:t>
      </w:r>
      <w:r>
        <w:rPr>
          <w:rFonts w:hint="eastAsia" w:hAnsi="Times New Roman"/>
          <w:color w:val="auto"/>
          <w:highlight w:val="none"/>
          <w:u w:val="none"/>
        </w:rPr>
        <w:t>PM</w:t>
      </w:r>
      <w:r>
        <w:rPr>
          <w:rFonts w:hint="eastAsia" w:hAnsi="Times New Roman"/>
          <w:color w:val="auto"/>
          <w:highlight w:val="none"/>
          <w:u w:val="none"/>
          <w:vertAlign w:val="subscript"/>
        </w:rPr>
        <w:t>2.5</w:t>
      </w:r>
      <w:r>
        <w:rPr>
          <w:rFonts w:hAnsi="Times New Roman"/>
          <w:color w:val="auto"/>
          <w:highlight w:val="none"/>
          <w:u w:val="none"/>
        </w:rPr>
        <w:t>在评价范围内预测贡献值情况。防护距离外的网格点</w:t>
      </w:r>
      <w:r>
        <w:rPr>
          <w:rFonts w:hint="eastAsia" w:hAnsi="Times New Roman"/>
          <w:color w:val="auto"/>
          <w:highlight w:val="none"/>
          <w:u w:val="none"/>
        </w:rPr>
        <w:t>PM</w:t>
      </w:r>
      <w:r>
        <w:rPr>
          <w:rFonts w:hint="eastAsia" w:hAnsi="Times New Roman"/>
          <w:color w:val="auto"/>
          <w:highlight w:val="none"/>
          <w:u w:val="none"/>
          <w:vertAlign w:val="subscript"/>
        </w:rPr>
        <w:t>2.5</w:t>
      </w:r>
      <w:r>
        <w:rPr>
          <w:rFonts w:hint="eastAsia" w:hAnsi="Times New Roman"/>
          <w:color w:val="auto"/>
          <w:highlight w:val="none"/>
          <w:u w:val="none"/>
        </w:rPr>
        <w:t>的95%保证率日均</w:t>
      </w:r>
      <w:r>
        <w:rPr>
          <w:rFonts w:hAnsi="Times New Roman"/>
          <w:color w:val="auto"/>
          <w:highlight w:val="none"/>
          <w:u w:val="none"/>
        </w:rPr>
        <w:t>贡献值为</w:t>
      </w:r>
      <w:r>
        <w:rPr>
          <w:rFonts w:hint="eastAsia" w:hAnsi="Times New Roman"/>
          <w:color w:val="auto"/>
          <w:highlight w:val="none"/>
          <w:u w:val="none"/>
        </w:rPr>
        <w:t>0.01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 xml:space="preserve">0.008 </w:t>
      </w:r>
      <w:r>
        <w:rPr>
          <w:rFonts w:hAnsi="Times New Roman"/>
          <w:color w:val="auto"/>
          <w:highlight w:val="none"/>
          <w:u w:val="none"/>
        </w:rPr>
        <w:t>%</w:t>
      </w:r>
      <w:r>
        <w:rPr>
          <w:rFonts w:hint="eastAsia" w:hAnsi="Times New Roman"/>
          <w:color w:val="auto"/>
          <w:highlight w:val="none"/>
          <w:u w:val="none"/>
        </w:rPr>
        <w:t>，对保护目标基本无影响；</w:t>
      </w:r>
      <w:r>
        <w:rPr>
          <w:rFonts w:hAnsi="Times New Roman"/>
          <w:color w:val="auto"/>
          <w:highlight w:val="none"/>
          <w:u w:val="none"/>
        </w:rPr>
        <w:t>防护距离外的网格点</w:t>
      </w:r>
      <w:r>
        <w:rPr>
          <w:rFonts w:hint="eastAsia" w:hAnsi="Times New Roman"/>
          <w:color w:val="auto"/>
          <w:highlight w:val="none"/>
          <w:u w:val="none"/>
        </w:rPr>
        <w:t>PM</w:t>
      </w:r>
      <w:r>
        <w:rPr>
          <w:rFonts w:hint="eastAsia" w:hAnsi="Times New Roman"/>
          <w:color w:val="auto"/>
          <w:highlight w:val="none"/>
          <w:u w:val="none"/>
          <w:vertAlign w:val="subscript"/>
        </w:rPr>
        <w:t>2.5</w:t>
      </w:r>
      <w:r>
        <w:rPr>
          <w:rFonts w:hint="eastAsia" w:hAnsi="Times New Roman"/>
          <w:color w:val="auto"/>
          <w:highlight w:val="none"/>
          <w:u w:val="none"/>
        </w:rPr>
        <w:t>的年均</w:t>
      </w:r>
      <w:r>
        <w:rPr>
          <w:rFonts w:hAnsi="Times New Roman"/>
          <w:color w:val="auto"/>
          <w:highlight w:val="none"/>
          <w:u w:val="none"/>
        </w:rPr>
        <w:t>贡献值为</w:t>
      </w:r>
      <w:r>
        <w:rPr>
          <w:rFonts w:hint="eastAsia" w:hAnsi="Times New Roman"/>
          <w:color w:val="auto"/>
          <w:highlight w:val="none"/>
          <w:u w:val="none"/>
        </w:rPr>
        <w:t>0.0014</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，占标率为</w:t>
      </w:r>
      <w:r>
        <w:rPr>
          <w:rFonts w:hint="eastAsia" w:hAnsi="Times New Roman"/>
          <w:color w:val="auto"/>
          <w:highlight w:val="none"/>
          <w:u w:val="none"/>
        </w:rPr>
        <w:t>0.004</w:t>
      </w:r>
      <w:r>
        <w:rPr>
          <w:rFonts w:hAnsi="Times New Roman"/>
          <w:color w:val="auto"/>
          <w:highlight w:val="none"/>
          <w:u w:val="none"/>
        </w:rPr>
        <w:t>%</w:t>
      </w:r>
      <w:r>
        <w:rPr>
          <w:rFonts w:hint="eastAsia" w:hAnsi="Times New Roman"/>
          <w:color w:val="auto"/>
          <w:highlight w:val="none"/>
          <w:u w:val="none"/>
        </w:rPr>
        <w:t>，对保护目标基本无影响</w:t>
      </w:r>
      <w:r>
        <w:rPr>
          <w:color w:val="auto"/>
          <w:highlight w:val="none"/>
          <w:u w:val="none"/>
        </w:rPr>
        <w:t>。</w:t>
      </w:r>
    </w:p>
    <w:p w14:paraId="04F04E4E">
      <w:pPr>
        <w:pStyle w:val="75"/>
        <w:adjustRightInd w:val="0"/>
        <w:snapToGrid w:val="0"/>
        <w:rPr>
          <w:rFonts w:hint="eastAsia"/>
          <w:color w:val="auto"/>
          <w:highlight w:val="none"/>
          <w:u w:val="none"/>
        </w:rPr>
        <w:sectPr>
          <w:pgSz w:w="11907" w:h="16840"/>
          <w:pgMar w:top="1417" w:right="1417" w:bottom="1417" w:left="1417" w:header="1021" w:footer="907" w:gutter="0"/>
          <w:pgNumType w:chapStyle="1"/>
          <w:cols w:space="0" w:num="1"/>
          <w:docGrid w:linePitch="326" w:charSpace="0"/>
        </w:sectPr>
      </w:pPr>
    </w:p>
    <w:p w14:paraId="11F8B4F2">
      <w:pPr>
        <w:pStyle w:val="85"/>
        <w:rPr>
          <w:color w:val="auto"/>
          <w:highlight w:val="none"/>
          <w:u w:val="none"/>
        </w:rPr>
      </w:pPr>
      <w:bookmarkStart w:id="476" w:name="_Ref149230889"/>
      <w:bookmarkStart w:id="477" w:name="_Ref10383457"/>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19</w:t>
      </w:r>
      <w:r>
        <w:rPr>
          <w:color w:val="auto"/>
          <w:highlight w:val="none"/>
          <w:u w:val="none"/>
        </w:rPr>
        <w:fldChar w:fldCharType="end"/>
      </w:r>
      <w:bookmarkEnd w:id="476"/>
      <w:r>
        <w:rPr>
          <w:color w:val="auto"/>
          <w:highlight w:val="none"/>
          <w:u w:val="none"/>
        </w:rPr>
        <w:t xml:space="preserve">  本项目TDA和NMHC质量浓度贡献值预测结果表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4862B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tcBorders>
              <w:top w:val="single" w:color="auto" w:sz="12" w:space="0"/>
            </w:tcBorders>
            <w:vAlign w:val="center"/>
          </w:tcPr>
          <w:p w14:paraId="09AC29C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名称</w:t>
            </w:r>
          </w:p>
        </w:tc>
        <w:tc>
          <w:tcPr>
            <w:tcW w:w="2206" w:type="pct"/>
            <w:gridSpan w:val="4"/>
            <w:tcBorders>
              <w:top w:val="single" w:color="auto" w:sz="12" w:space="0"/>
            </w:tcBorders>
            <w:vAlign w:val="center"/>
          </w:tcPr>
          <w:p w14:paraId="3557AD9B">
            <w:pPr>
              <w:pStyle w:val="988"/>
              <w:adjustRightInd w:val="0"/>
              <w:snapToGrid w:val="0"/>
              <w:spacing w:line="240" w:lineRule="auto"/>
              <w:ind w:firstLine="0" w:firstLineChars="0"/>
              <w:jc w:val="center"/>
              <w:rPr>
                <w:color w:val="auto"/>
                <w:sz w:val="21"/>
                <w:szCs w:val="21"/>
                <w:highlight w:val="none"/>
                <w:u w:val="none"/>
              </w:rPr>
            </w:pPr>
            <w:r>
              <w:rPr>
                <w:color w:val="auto"/>
                <w:sz w:val="21"/>
                <w:szCs w:val="21"/>
                <w:highlight w:val="none"/>
                <w:u w:val="none"/>
              </w:rPr>
              <w:t>TDA</w:t>
            </w:r>
            <w:r>
              <w:rPr>
                <w:rFonts w:hint="eastAsia"/>
                <w:color w:val="auto"/>
                <w:sz w:val="21"/>
                <w:szCs w:val="21"/>
                <w:highlight w:val="none"/>
                <w:u w:val="none"/>
              </w:rPr>
              <w:t>小时浓度</w:t>
            </w:r>
          </w:p>
        </w:tc>
        <w:tc>
          <w:tcPr>
            <w:tcW w:w="2190" w:type="pct"/>
            <w:gridSpan w:val="4"/>
            <w:tcBorders>
              <w:top w:val="single" w:color="auto" w:sz="12" w:space="0"/>
            </w:tcBorders>
            <w:vAlign w:val="center"/>
          </w:tcPr>
          <w:p w14:paraId="72AD5E2E">
            <w:pPr>
              <w:pStyle w:val="988"/>
              <w:adjustRightInd w:val="0"/>
              <w:snapToGrid w:val="0"/>
              <w:spacing w:line="240" w:lineRule="auto"/>
              <w:ind w:firstLine="0" w:firstLineChars="0"/>
              <w:jc w:val="center"/>
              <w:rPr>
                <w:color w:val="auto"/>
                <w:sz w:val="21"/>
                <w:szCs w:val="21"/>
                <w:highlight w:val="none"/>
                <w:u w:val="none"/>
              </w:rPr>
            </w:pPr>
            <w:r>
              <w:rPr>
                <w:color w:val="auto"/>
                <w:sz w:val="21"/>
                <w:szCs w:val="21"/>
                <w:highlight w:val="none"/>
                <w:u w:val="none"/>
              </w:rPr>
              <w:t>NMHC</w:t>
            </w:r>
            <w:r>
              <w:rPr>
                <w:rFonts w:hint="eastAsia"/>
                <w:color w:val="auto"/>
                <w:sz w:val="21"/>
                <w:szCs w:val="21"/>
                <w:highlight w:val="none"/>
                <w:u w:val="none"/>
              </w:rPr>
              <w:t>小时浓度</w:t>
            </w:r>
          </w:p>
        </w:tc>
      </w:tr>
      <w:tr w14:paraId="43041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3E7A639C">
            <w:pPr>
              <w:pStyle w:val="988"/>
              <w:adjustRightInd w:val="0"/>
              <w:snapToGrid w:val="0"/>
              <w:spacing w:line="240" w:lineRule="auto"/>
              <w:ind w:firstLine="0" w:firstLineChars="0"/>
              <w:jc w:val="center"/>
              <w:rPr>
                <w:color w:val="auto"/>
                <w:sz w:val="21"/>
                <w:szCs w:val="21"/>
                <w:highlight w:val="none"/>
                <w:u w:val="none"/>
              </w:rPr>
            </w:pPr>
          </w:p>
        </w:tc>
        <w:tc>
          <w:tcPr>
            <w:tcW w:w="688" w:type="pct"/>
            <w:vAlign w:val="center"/>
          </w:tcPr>
          <w:p w14:paraId="50A2BC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出现时间</w:t>
            </w:r>
          </w:p>
        </w:tc>
        <w:tc>
          <w:tcPr>
            <w:tcW w:w="535" w:type="pct"/>
            <w:vAlign w:val="center"/>
          </w:tcPr>
          <w:p w14:paraId="4A871AD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预测值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536" w:type="pct"/>
            <w:vAlign w:val="center"/>
          </w:tcPr>
          <w:p w14:paraId="302C41A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标准值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447" w:type="pct"/>
            <w:vAlign w:val="center"/>
          </w:tcPr>
          <w:p w14:paraId="6DE91B2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占标率</w:t>
            </w:r>
            <w:r>
              <w:rPr>
                <w:color w:val="auto"/>
                <w:sz w:val="21"/>
                <w:szCs w:val="21"/>
                <w:highlight w:val="none"/>
                <w:u w:val="none"/>
              </w:rPr>
              <w:t>(%)</w:t>
            </w:r>
          </w:p>
        </w:tc>
        <w:tc>
          <w:tcPr>
            <w:tcW w:w="633" w:type="pct"/>
            <w:vAlign w:val="center"/>
          </w:tcPr>
          <w:p w14:paraId="2AD4CF0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出现时间</w:t>
            </w:r>
          </w:p>
        </w:tc>
        <w:tc>
          <w:tcPr>
            <w:tcW w:w="548" w:type="pct"/>
            <w:vAlign w:val="center"/>
          </w:tcPr>
          <w:p w14:paraId="729E209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预测值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579" w:type="pct"/>
            <w:vAlign w:val="center"/>
          </w:tcPr>
          <w:p w14:paraId="5377528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标准值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430" w:type="pct"/>
            <w:vAlign w:val="center"/>
          </w:tcPr>
          <w:p w14:paraId="5EF8F1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占标率</w:t>
            </w:r>
            <w:r>
              <w:rPr>
                <w:color w:val="auto"/>
                <w:sz w:val="21"/>
                <w:szCs w:val="21"/>
                <w:highlight w:val="none"/>
                <w:u w:val="none"/>
              </w:rPr>
              <w:t>(%)</w:t>
            </w:r>
          </w:p>
        </w:tc>
      </w:tr>
      <w:tr w14:paraId="112C4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B6508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新厝镇</w:t>
            </w:r>
          </w:p>
        </w:tc>
        <w:tc>
          <w:tcPr>
            <w:tcW w:w="688" w:type="pct"/>
            <w:vAlign w:val="center"/>
          </w:tcPr>
          <w:p w14:paraId="23D708D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2022/06/01 05:00</w:t>
            </w:r>
          </w:p>
        </w:tc>
        <w:tc>
          <w:tcPr>
            <w:tcW w:w="535" w:type="pct"/>
            <w:vAlign w:val="center"/>
          </w:tcPr>
          <w:p w14:paraId="4062344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21D54B9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BA1150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35EF137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2022/06/01 05:00</w:t>
            </w:r>
          </w:p>
        </w:tc>
        <w:tc>
          <w:tcPr>
            <w:tcW w:w="548" w:type="pct"/>
            <w:vAlign w:val="center"/>
          </w:tcPr>
          <w:p w14:paraId="76BDEDF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0.21</w:t>
            </w:r>
          </w:p>
        </w:tc>
        <w:tc>
          <w:tcPr>
            <w:tcW w:w="579" w:type="pct"/>
            <w:vAlign w:val="center"/>
          </w:tcPr>
          <w:p w14:paraId="3374F4C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1CA13DB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1089D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C4B431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上后村（莆田）</w:t>
            </w:r>
          </w:p>
        </w:tc>
        <w:tc>
          <w:tcPr>
            <w:tcW w:w="688" w:type="pct"/>
            <w:vAlign w:val="center"/>
          </w:tcPr>
          <w:p w14:paraId="1BFDF38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2022/04/22 01:00</w:t>
            </w:r>
          </w:p>
        </w:tc>
        <w:tc>
          <w:tcPr>
            <w:tcW w:w="535" w:type="pct"/>
            <w:vAlign w:val="center"/>
          </w:tcPr>
          <w:p w14:paraId="39DD17C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657B63E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5336669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028871E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2022/04/22 01:00</w:t>
            </w:r>
          </w:p>
        </w:tc>
        <w:tc>
          <w:tcPr>
            <w:tcW w:w="548" w:type="pct"/>
            <w:vAlign w:val="center"/>
          </w:tcPr>
          <w:p w14:paraId="56F5AD1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0.17</w:t>
            </w:r>
          </w:p>
        </w:tc>
        <w:tc>
          <w:tcPr>
            <w:tcW w:w="579" w:type="pct"/>
            <w:vAlign w:val="center"/>
          </w:tcPr>
          <w:p w14:paraId="6AC26EF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1F6428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4B43F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700B9E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莆江村（莆田）</w:t>
            </w:r>
          </w:p>
        </w:tc>
        <w:tc>
          <w:tcPr>
            <w:tcW w:w="688" w:type="pct"/>
            <w:vAlign w:val="center"/>
          </w:tcPr>
          <w:p w14:paraId="42B317F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2022/07/28 20:00</w:t>
            </w:r>
          </w:p>
        </w:tc>
        <w:tc>
          <w:tcPr>
            <w:tcW w:w="535" w:type="pct"/>
            <w:vAlign w:val="center"/>
          </w:tcPr>
          <w:p w14:paraId="0102136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776BE0B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496B83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3BE5B2C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2022/07/28 20:00</w:t>
            </w:r>
          </w:p>
        </w:tc>
        <w:tc>
          <w:tcPr>
            <w:tcW w:w="548" w:type="pct"/>
            <w:vAlign w:val="center"/>
          </w:tcPr>
          <w:p w14:paraId="7112AA0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0.15</w:t>
            </w:r>
          </w:p>
        </w:tc>
        <w:tc>
          <w:tcPr>
            <w:tcW w:w="579" w:type="pct"/>
            <w:vAlign w:val="center"/>
          </w:tcPr>
          <w:p w14:paraId="408E16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379AA4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11C83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EA1A0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峰头村</w:t>
            </w:r>
          </w:p>
        </w:tc>
        <w:tc>
          <w:tcPr>
            <w:tcW w:w="688" w:type="pct"/>
            <w:vAlign w:val="center"/>
          </w:tcPr>
          <w:p w14:paraId="6D19B1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2022/04/28 19:00</w:t>
            </w:r>
          </w:p>
        </w:tc>
        <w:tc>
          <w:tcPr>
            <w:tcW w:w="535" w:type="pct"/>
            <w:vAlign w:val="center"/>
          </w:tcPr>
          <w:p w14:paraId="73C1B92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536" w:type="pct"/>
            <w:vAlign w:val="center"/>
          </w:tcPr>
          <w:p w14:paraId="28798D9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54EE8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633" w:type="pct"/>
            <w:vAlign w:val="center"/>
          </w:tcPr>
          <w:p w14:paraId="19B8E05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2022/04/28 19:00</w:t>
            </w:r>
          </w:p>
        </w:tc>
        <w:tc>
          <w:tcPr>
            <w:tcW w:w="548" w:type="pct"/>
            <w:vAlign w:val="center"/>
          </w:tcPr>
          <w:p w14:paraId="68B1CF5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0.44</w:t>
            </w:r>
          </w:p>
        </w:tc>
        <w:tc>
          <w:tcPr>
            <w:tcW w:w="579" w:type="pct"/>
            <w:vAlign w:val="center"/>
          </w:tcPr>
          <w:p w14:paraId="35CDC69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1B1B31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0.02 </w:t>
            </w:r>
          </w:p>
        </w:tc>
      </w:tr>
      <w:tr w14:paraId="4D261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C43647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漆林村</w:t>
            </w:r>
          </w:p>
        </w:tc>
        <w:tc>
          <w:tcPr>
            <w:tcW w:w="688" w:type="pct"/>
            <w:vAlign w:val="center"/>
          </w:tcPr>
          <w:p w14:paraId="63AFEF7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2022/08/18 22:00</w:t>
            </w:r>
          </w:p>
        </w:tc>
        <w:tc>
          <w:tcPr>
            <w:tcW w:w="535" w:type="pct"/>
            <w:vAlign w:val="center"/>
          </w:tcPr>
          <w:p w14:paraId="6A5016B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3FB897D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4D0D1D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15B99B2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2022/08/18 22:00</w:t>
            </w:r>
          </w:p>
        </w:tc>
        <w:tc>
          <w:tcPr>
            <w:tcW w:w="548" w:type="pct"/>
            <w:vAlign w:val="center"/>
          </w:tcPr>
          <w:p w14:paraId="4DA0579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0.20</w:t>
            </w:r>
          </w:p>
        </w:tc>
        <w:tc>
          <w:tcPr>
            <w:tcW w:w="579" w:type="pct"/>
            <w:vAlign w:val="center"/>
          </w:tcPr>
          <w:p w14:paraId="06FF79C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673459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050A9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54342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大东村（莆田）</w:t>
            </w:r>
          </w:p>
        </w:tc>
        <w:tc>
          <w:tcPr>
            <w:tcW w:w="688" w:type="pct"/>
            <w:vAlign w:val="center"/>
          </w:tcPr>
          <w:p w14:paraId="2FBF2C9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2022/08/07 19:00</w:t>
            </w:r>
          </w:p>
        </w:tc>
        <w:tc>
          <w:tcPr>
            <w:tcW w:w="535" w:type="pct"/>
            <w:vAlign w:val="center"/>
          </w:tcPr>
          <w:p w14:paraId="0CBA442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26C270B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BB4478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513901F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2022/08/07 19:00</w:t>
            </w:r>
          </w:p>
        </w:tc>
        <w:tc>
          <w:tcPr>
            <w:tcW w:w="548" w:type="pct"/>
            <w:vAlign w:val="center"/>
          </w:tcPr>
          <w:p w14:paraId="0BC4C31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0.11</w:t>
            </w:r>
          </w:p>
        </w:tc>
        <w:tc>
          <w:tcPr>
            <w:tcW w:w="579" w:type="pct"/>
            <w:vAlign w:val="center"/>
          </w:tcPr>
          <w:p w14:paraId="2213FAF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7276E29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64D80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76C352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霞埔村</w:t>
            </w:r>
          </w:p>
        </w:tc>
        <w:tc>
          <w:tcPr>
            <w:tcW w:w="688" w:type="pct"/>
            <w:vAlign w:val="center"/>
          </w:tcPr>
          <w:p w14:paraId="5006069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2022/08/19 01:00</w:t>
            </w:r>
          </w:p>
        </w:tc>
        <w:tc>
          <w:tcPr>
            <w:tcW w:w="535" w:type="pct"/>
            <w:vAlign w:val="center"/>
          </w:tcPr>
          <w:p w14:paraId="646E0EA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36" w:type="pct"/>
            <w:vAlign w:val="center"/>
          </w:tcPr>
          <w:p w14:paraId="5D9DF6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47C9187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633" w:type="pct"/>
            <w:vAlign w:val="center"/>
          </w:tcPr>
          <w:p w14:paraId="7C61419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2022/08/19 01:00</w:t>
            </w:r>
          </w:p>
        </w:tc>
        <w:tc>
          <w:tcPr>
            <w:tcW w:w="548" w:type="pct"/>
            <w:vAlign w:val="center"/>
          </w:tcPr>
          <w:p w14:paraId="0AD205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0.36</w:t>
            </w:r>
          </w:p>
        </w:tc>
        <w:tc>
          <w:tcPr>
            <w:tcW w:w="579" w:type="pct"/>
            <w:vAlign w:val="center"/>
          </w:tcPr>
          <w:p w14:paraId="691BF20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51B52DB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0.02 </w:t>
            </w:r>
          </w:p>
        </w:tc>
      </w:tr>
      <w:tr w14:paraId="0F7A3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6EC383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芝山</w:t>
            </w:r>
          </w:p>
        </w:tc>
        <w:tc>
          <w:tcPr>
            <w:tcW w:w="688" w:type="pct"/>
            <w:vAlign w:val="center"/>
          </w:tcPr>
          <w:p w14:paraId="183DF25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2022/07/11 06:00</w:t>
            </w:r>
          </w:p>
        </w:tc>
        <w:tc>
          <w:tcPr>
            <w:tcW w:w="535" w:type="pct"/>
            <w:vAlign w:val="center"/>
          </w:tcPr>
          <w:p w14:paraId="3B2C0F3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36" w:type="pct"/>
            <w:vAlign w:val="center"/>
          </w:tcPr>
          <w:p w14:paraId="0CB13D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11B9B54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633" w:type="pct"/>
            <w:vAlign w:val="center"/>
          </w:tcPr>
          <w:p w14:paraId="764B822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2022/08/17 06:00</w:t>
            </w:r>
          </w:p>
        </w:tc>
        <w:tc>
          <w:tcPr>
            <w:tcW w:w="548" w:type="pct"/>
            <w:vAlign w:val="center"/>
          </w:tcPr>
          <w:p w14:paraId="72EC4C6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0.36</w:t>
            </w:r>
          </w:p>
        </w:tc>
        <w:tc>
          <w:tcPr>
            <w:tcW w:w="579" w:type="pct"/>
            <w:vAlign w:val="center"/>
          </w:tcPr>
          <w:p w14:paraId="403B2AE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AAA4FB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0.02 </w:t>
            </w:r>
          </w:p>
        </w:tc>
      </w:tr>
      <w:tr w14:paraId="55BA5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AA359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高局</w:t>
            </w:r>
          </w:p>
        </w:tc>
        <w:tc>
          <w:tcPr>
            <w:tcW w:w="688" w:type="pct"/>
            <w:vAlign w:val="center"/>
          </w:tcPr>
          <w:p w14:paraId="33C415C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75EB50F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6" w:type="pct"/>
            <w:vAlign w:val="center"/>
          </w:tcPr>
          <w:p w14:paraId="4254EE3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33ED1AF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33" w:type="pct"/>
            <w:vAlign w:val="center"/>
          </w:tcPr>
          <w:p w14:paraId="674A21E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8" w:type="pct"/>
            <w:vAlign w:val="center"/>
          </w:tcPr>
          <w:p w14:paraId="3B2626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0.24</w:t>
            </w:r>
          </w:p>
        </w:tc>
        <w:tc>
          <w:tcPr>
            <w:tcW w:w="579" w:type="pct"/>
            <w:vAlign w:val="center"/>
          </w:tcPr>
          <w:p w14:paraId="3794181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59BB54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722C5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E19F79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西山</w:t>
            </w:r>
          </w:p>
        </w:tc>
        <w:tc>
          <w:tcPr>
            <w:tcW w:w="688" w:type="pct"/>
            <w:vAlign w:val="center"/>
          </w:tcPr>
          <w:p w14:paraId="21EB311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058EA54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6" w:type="pct"/>
            <w:vAlign w:val="center"/>
          </w:tcPr>
          <w:p w14:paraId="54498D5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15A48A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33" w:type="pct"/>
            <w:vAlign w:val="center"/>
          </w:tcPr>
          <w:p w14:paraId="07525C7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48" w:type="pct"/>
            <w:vAlign w:val="center"/>
          </w:tcPr>
          <w:p w14:paraId="755BD1D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0.29</w:t>
            </w:r>
          </w:p>
        </w:tc>
        <w:tc>
          <w:tcPr>
            <w:tcW w:w="579" w:type="pct"/>
            <w:vAlign w:val="center"/>
          </w:tcPr>
          <w:p w14:paraId="1A0EB14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7BA04ED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7CD99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F0ACA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东井村</w:t>
            </w:r>
          </w:p>
        </w:tc>
        <w:tc>
          <w:tcPr>
            <w:tcW w:w="688" w:type="pct"/>
            <w:vAlign w:val="center"/>
          </w:tcPr>
          <w:p w14:paraId="095C399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35" w:type="pct"/>
            <w:vAlign w:val="center"/>
          </w:tcPr>
          <w:p w14:paraId="2F133D4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7307F4D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562B4CF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22AB426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8" w:type="pct"/>
            <w:vAlign w:val="center"/>
          </w:tcPr>
          <w:p w14:paraId="5C8D3BC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0.18</w:t>
            </w:r>
          </w:p>
        </w:tc>
        <w:tc>
          <w:tcPr>
            <w:tcW w:w="579" w:type="pct"/>
            <w:vAlign w:val="center"/>
          </w:tcPr>
          <w:p w14:paraId="16938E7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709F94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58F2F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96677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沾泽村</w:t>
            </w:r>
          </w:p>
        </w:tc>
        <w:tc>
          <w:tcPr>
            <w:tcW w:w="688" w:type="pct"/>
            <w:vAlign w:val="center"/>
          </w:tcPr>
          <w:p w14:paraId="7865DC9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63268FE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0FA215E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CC031C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6C723CA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8" w:type="pct"/>
            <w:vAlign w:val="center"/>
          </w:tcPr>
          <w:p w14:paraId="3CB0C1F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0.12</w:t>
            </w:r>
          </w:p>
        </w:tc>
        <w:tc>
          <w:tcPr>
            <w:tcW w:w="579" w:type="pct"/>
            <w:vAlign w:val="center"/>
          </w:tcPr>
          <w:p w14:paraId="7064C2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7D29902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6E141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180BC6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南曹村</w:t>
            </w:r>
          </w:p>
        </w:tc>
        <w:tc>
          <w:tcPr>
            <w:tcW w:w="688" w:type="pct"/>
            <w:vAlign w:val="center"/>
          </w:tcPr>
          <w:p w14:paraId="4D2FCDB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44AC4FD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0A70A82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54D7F1E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1A79E87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8" w:type="pct"/>
            <w:vAlign w:val="center"/>
          </w:tcPr>
          <w:p w14:paraId="498EFA0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0.20</w:t>
            </w:r>
          </w:p>
        </w:tc>
        <w:tc>
          <w:tcPr>
            <w:tcW w:w="579" w:type="pct"/>
            <w:vAlign w:val="center"/>
          </w:tcPr>
          <w:p w14:paraId="6D1184F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7F8B28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0CD25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40D365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东江水厂</w:t>
            </w:r>
          </w:p>
        </w:tc>
        <w:tc>
          <w:tcPr>
            <w:tcW w:w="688" w:type="pct"/>
            <w:vAlign w:val="center"/>
          </w:tcPr>
          <w:p w14:paraId="25FF364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19:00</w:t>
            </w:r>
          </w:p>
        </w:tc>
        <w:tc>
          <w:tcPr>
            <w:tcW w:w="535" w:type="pct"/>
            <w:vAlign w:val="center"/>
          </w:tcPr>
          <w:p w14:paraId="492E657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2367544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1B82C2F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3D72E04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2022/04/14 04:00</w:t>
            </w:r>
          </w:p>
        </w:tc>
        <w:tc>
          <w:tcPr>
            <w:tcW w:w="548" w:type="pct"/>
            <w:vAlign w:val="center"/>
          </w:tcPr>
          <w:p w14:paraId="204BE9C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0.19</w:t>
            </w:r>
          </w:p>
        </w:tc>
        <w:tc>
          <w:tcPr>
            <w:tcW w:w="579" w:type="pct"/>
            <w:vAlign w:val="center"/>
          </w:tcPr>
          <w:p w14:paraId="6B3CC91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1C4B67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6FADF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01F87B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东沃村</w:t>
            </w:r>
          </w:p>
        </w:tc>
        <w:tc>
          <w:tcPr>
            <w:tcW w:w="688" w:type="pct"/>
            <w:vAlign w:val="center"/>
          </w:tcPr>
          <w:p w14:paraId="5737E9D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2022/03/14 21:00</w:t>
            </w:r>
          </w:p>
        </w:tc>
        <w:tc>
          <w:tcPr>
            <w:tcW w:w="535" w:type="pct"/>
            <w:vAlign w:val="center"/>
          </w:tcPr>
          <w:p w14:paraId="6A690D0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0.06</w:t>
            </w:r>
          </w:p>
        </w:tc>
        <w:tc>
          <w:tcPr>
            <w:tcW w:w="536" w:type="pct"/>
            <w:vAlign w:val="center"/>
          </w:tcPr>
          <w:p w14:paraId="62A063E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2CA3B7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0.06</w:t>
            </w:r>
          </w:p>
        </w:tc>
        <w:tc>
          <w:tcPr>
            <w:tcW w:w="633" w:type="pct"/>
            <w:vAlign w:val="center"/>
          </w:tcPr>
          <w:p w14:paraId="574B14F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2022/03/14 21:00</w:t>
            </w:r>
          </w:p>
        </w:tc>
        <w:tc>
          <w:tcPr>
            <w:tcW w:w="548" w:type="pct"/>
            <w:vAlign w:val="center"/>
          </w:tcPr>
          <w:p w14:paraId="29B7CDB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0.67</w:t>
            </w:r>
          </w:p>
        </w:tc>
        <w:tc>
          <w:tcPr>
            <w:tcW w:w="579" w:type="pct"/>
            <w:vAlign w:val="center"/>
          </w:tcPr>
          <w:p w14:paraId="30CDEA5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4BED3D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0.03 </w:t>
            </w:r>
          </w:p>
        </w:tc>
      </w:tr>
      <w:tr w14:paraId="42EE9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25553A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潘厝村</w:t>
            </w:r>
          </w:p>
        </w:tc>
        <w:tc>
          <w:tcPr>
            <w:tcW w:w="688" w:type="pct"/>
            <w:vAlign w:val="center"/>
          </w:tcPr>
          <w:p w14:paraId="3690E08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5249B79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455250C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7F22399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1237825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48" w:type="pct"/>
            <w:vAlign w:val="center"/>
          </w:tcPr>
          <w:p w14:paraId="3A1E8E6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0.21</w:t>
            </w:r>
          </w:p>
        </w:tc>
        <w:tc>
          <w:tcPr>
            <w:tcW w:w="579" w:type="pct"/>
            <w:vAlign w:val="center"/>
          </w:tcPr>
          <w:p w14:paraId="709CC09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79AB1C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56DAA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0ECA87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何厝村</w:t>
            </w:r>
          </w:p>
        </w:tc>
        <w:tc>
          <w:tcPr>
            <w:tcW w:w="688" w:type="pct"/>
            <w:vAlign w:val="center"/>
          </w:tcPr>
          <w:p w14:paraId="7357CE9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05:00</w:t>
            </w:r>
          </w:p>
        </w:tc>
        <w:tc>
          <w:tcPr>
            <w:tcW w:w="535" w:type="pct"/>
            <w:vAlign w:val="center"/>
          </w:tcPr>
          <w:p w14:paraId="526B0F0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3047B6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78664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650166D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05:00</w:t>
            </w:r>
          </w:p>
        </w:tc>
        <w:tc>
          <w:tcPr>
            <w:tcW w:w="548" w:type="pct"/>
            <w:vAlign w:val="center"/>
          </w:tcPr>
          <w:p w14:paraId="717F09E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0.20</w:t>
            </w:r>
          </w:p>
        </w:tc>
        <w:tc>
          <w:tcPr>
            <w:tcW w:w="579" w:type="pct"/>
            <w:vAlign w:val="center"/>
          </w:tcPr>
          <w:p w14:paraId="7CCDBA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8C5EEA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34FBF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ABAB1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田头村</w:t>
            </w:r>
          </w:p>
        </w:tc>
        <w:tc>
          <w:tcPr>
            <w:tcW w:w="688" w:type="pct"/>
            <w:vAlign w:val="center"/>
          </w:tcPr>
          <w:p w14:paraId="2879D91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751DFE2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6" w:type="pct"/>
            <w:vAlign w:val="center"/>
          </w:tcPr>
          <w:p w14:paraId="1DBB4B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6B8894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w:t>
            </w:r>
          </w:p>
        </w:tc>
        <w:tc>
          <w:tcPr>
            <w:tcW w:w="633" w:type="pct"/>
            <w:vAlign w:val="center"/>
          </w:tcPr>
          <w:p w14:paraId="4CD0B7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8" w:type="pct"/>
            <w:vAlign w:val="center"/>
          </w:tcPr>
          <w:p w14:paraId="623A090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79" w:type="pct"/>
            <w:vAlign w:val="center"/>
          </w:tcPr>
          <w:p w14:paraId="7893C23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9B04AB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4D631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99052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下堡村</w:t>
            </w:r>
          </w:p>
        </w:tc>
        <w:tc>
          <w:tcPr>
            <w:tcW w:w="688" w:type="pct"/>
            <w:vAlign w:val="center"/>
          </w:tcPr>
          <w:p w14:paraId="2BA4516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286B95C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51D1DE8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756525E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56BAF62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48" w:type="pct"/>
            <w:vAlign w:val="center"/>
          </w:tcPr>
          <w:p w14:paraId="6AE98FF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0.13</w:t>
            </w:r>
          </w:p>
        </w:tc>
        <w:tc>
          <w:tcPr>
            <w:tcW w:w="579" w:type="pct"/>
            <w:vAlign w:val="center"/>
          </w:tcPr>
          <w:p w14:paraId="17B42E0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16742B2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3EBE6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E45BD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下石村</w:t>
            </w:r>
          </w:p>
        </w:tc>
        <w:tc>
          <w:tcPr>
            <w:tcW w:w="688" w:type="pct"/>
            <w:vAlign w:val="center"/>
          </w:tcPr>
          <w:p w14:paraId="092F00E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01:00</w:t>
            </w:r>
          </w:p>
        </w:tc>
        <w:tc>
          <w:tcPr>
            <w:tcW w:w="535" w:type="pct"/>
            <w:vAlign w:val="center"/>
          </w:tcPr>
          <w:p w14:paraId="1512BE1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39561CF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76CF46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60B9E2D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01:00</w:t>
            </w:r>
          </w:p>
        </w:tc>
        <w:tc>
          <w:tcPr>
            <w:tcW w:w="548" w:type="pct"/>
            <w:vAlign w:val="center"/>
          </w:tcPr>
          <w:p w14:paraId="2EAB131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0.19</w:t>
            </w:r>
          </w:p>
        </w:tc>
        <w:tc>
          <w:tcPr>
            <w:tcW w:w="579" w:type="pct"/>
            <w:vAlign w:val="center"/>
          </w:tcPr>
          <w:p w14:paraId="5FDA737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EFD491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65B71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640E24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江阴镇</w:t>
            </w:r>
          </w:p>
        </w:tc>
        <w:tc>
          <w:tcPr>
            <w:tcW w:w="688" w:type="pct"/>
            <w:vAlign w:val="center"/>
          </w:tcPr>
          <w:p w14:paraId="4241162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3CCD3AD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6" w:type="pct"/>
            <w:vAlign w:val="center"/>
          </w:tcPr>
          <w:p w14:paraId="12C55CA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F1F4DA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w:t>
            </w:r>
          </w:p>
        </w:tc>
        <w:tc>
          <w:tcPr>
            <w:tcW w:w="633" w:type="pct"/>
            <w:vAlign w:val="center"/>
          </w:tcPr>
          <w:p w14:paraId="59924DD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48" w:type="pct"/>
            <w:vAlign w:val="center"/>
          </w:tcPr>
          <w:p w14:paraId="29FBE23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579" w:type="pct"/>
            <w:vAlign w:val="center"/>
          </w:tcPr>
          <w:p w14:paraId="5B7E48E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2A5CF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4B39C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CBE86C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后林</w:t>
            </w:r>
          </w:p>
        </w:tc>
        <w:tc>
          <w:tcPr>
            <w:tcW w:w="688" w:type="pct"/>
            <w:vAlign w:val="center"/>
          </w:tcPr>
          <w:p w14:paraId="3C39FD5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2344D91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6" w:type="pct"/>
            <w:vAlign w:val="center"/>
          </w:tcPr>
          <w:p w14:paraId="5495380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4E5801A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33" w:type="pct"/>
            <w:vAlign w:val="center"/>
          </w:tcPr>
          <w:p w14:paraId="667968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48" w:type="pct"/>
            <w:vAlign w:val="center"/>
          </w:tcPr>
          <w:p w14:paraId="3D675F5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0.24</w:t>
            </w:r>
          </w:p>
        </w:tc>
        <w:tc>
          <w:tcPr>
            <w:tcW w:w="579" w:type="pct"/>
            <w:vAlign w:val="center"/>
          </w:tcPr>
          <w:p w14:paraId="6334BE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194C34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0DD2C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03B176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岭兜</w:t>
            </w:r>
          </w:p>
        </w:tc>
        <w:tc>
          <w:tcPr>
            <w:tcW w:w="688" w:type="pct"/>
            <w:vAlign w:val="center"/>
          </w:tcPr>
          <w:p w14:paraId="179A6C0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2FB17A5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17E586E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542D2BA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310B6BB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48" w:type="pct"/>
            <w:vAlign w:val="center"/>
          </w:tcPr>
          <w:p w14:paraId="50A798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0.10</w:t>
            </w:r>
          </w:p>
        </w:tc>
        <w:tc>
          <w:tcPr>
            <w:tcW w:w="579" w:type="pct"/>
            <w:vAlign w:val="center"/>
          </w:tcPr>
          <w:p w14:paraId="3A25C9B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E6CFF3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552AD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2389D7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布厝</w:t>
            </w:r>
          </w:p>
        </w:tc>
        <w:tc>
          <w:tcPr>
            <w:tcW w:w="688" w:type="pct"/>
            <w:vAlign w:val="center"/>
          </w:tcPr>
          <w:p w14:paraId="48DCFE6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5BF05D9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1CE1608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1EF1E9D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3BF3F52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48" w:type="pct"/>
            <w:vAlign w:val="center"/>
          </w:tcPr>
          <w:p w14:paraId="40DEA83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0.21</w:t>
            </w:r>
          </w:p>
        </w:tc>
        <w:tc>
          <w:tcPr>
            <w:tcW w:w="579" w:type="pct"/>
            <w:vAlign w:val="center"/>
          </w:tcPr>
          <w:p w14:paraId="1B4883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552627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669B8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8922D2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西兰</w:t>
            </w:r>
          </w:p>
        </w:tc>
        <w:tc>
          <w:tcPr>
            <w:tcW w:w="688" w:type="pct"/>
            <w:vAlign w:val="center"/>
          </w:tcPr>
          <w:p w14:paraId="1473A8B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02:00</w:t>
            </w:r>
          </w:p>
        </w:tc>
        <w:tc>
          <w:tcPr>
            <w:tcW w:w="535" w:type="pct"/>
            <w:vAlign w:val="center"/>
          </w:tcPr>
          <w:p w14:paraId="11FB49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160DC51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3592BB2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2A1E117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02:00</w:t>
            </w:r>
          </w:p>
        </w:tc>
        <w:tc>
          <w:tcPr>
            <w:tcW w:w="548" w:type="pct"/>
            <w:vAlign w:val="center"/>
          </w:tcPr>
          <w:p w14:paraId="2C092D4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0.22</w:t>
            </w:r>
          </w:p>
        </w:tc>
        <w:tc>
          <w:tcPr>
            <w:tcW w:w="579" w:type="pct"/>
            <w:vAlign w:val="center"/>
          </w:tcPr>
          <w:p w14:paraId="12E62A8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BF51D4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45741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3CA314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沙塘</w:t>
            </w:r>
          </w:p>
        </w:tc>
        <w:tc>
          <w:tcPr>
            <w:tcW w:w="688" w:type="pct"/>
            <w:vAlign w:val="center"/>
          </w:tcPr>
          <w:p w14:paraId="5E0F38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2CFE814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0AE2EAB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EA0C82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0E6E651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48" w:type="pct"/>
            <w:vAlign w:val="center"/>
          </w:tcPr>
          <w:p w14:paraId="1CB48A8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0.19</w:t>
            </w:r>
          </w:p>
        </w:tc>
        <w:tc>
          <w:tcPr>
            <w:tcW w:w="579" w:type="pct"/>
            <w:vAlign w:val="center"/>
          </w:tcPr>
          <w:p w14:paraId="6201A8E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BF599E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1D384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E2C3E2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张厝</w:t>
            </w:r>
          </w:p>
        </w:tc>
        <w:tc>
          <w:tcPr>
            <w:tcW w:w="688" w:type="pct"/>
            <w:vAlign w:val="center"/>
          </w:tcPr>
          <w:p w14:paraId="02C799F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60F9D1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6C77679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2EFFE1C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254E386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48" w:type="pct"/>
            <w:vAlign w:val="center"/>
          </w:tcPr>
          <w:p w14:paraId="1D04ADE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0.13</w:t>
            </w:r>
          </w:p>
        </w:tc>
        <w:tc>
          <w:tcPr>
            <w:tcW w:w="579" w:type="pct"/>
            <w:vAlign w:val="center"/>
          </w:tcPr>
          <w:p w14:paraId="12D7667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46CD4E3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32610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CA6E26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钱塘</w:t>
            </w:r>
          </w:p>
        </w:tc>
        <w:tc>
          <w:tcPr>
            <w:tcW w:w="688" w:type="pct"/>
            <w:vAlign w:val="center"/>
          </w:tcPr>
          <w:p w14:paraId="3F8B37D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052D53F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448B9AB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5A4E1F4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4880B4D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48" w:type="pct"/>
            <w:vAlign w:val="center"/>
          </w:tcPr>
          <w:p w14:paraId="6B5A341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0.13</w:t>
            </w:r>
          </w:p>
        </w:tc>
        <w:tc>
          <w:tcPr>
            <w:tcW w:w="579" w:type="pct"/>
            <w:vAlign w:val="center"/>
          </w:tcPr>
          <w:p w14:paraId="3015A8D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B257C4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2C939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58F7E4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后陈村</w:t>
            </w:r>
          </w:p>
        </w:tc>
        <w:tc>
          <w:tcPr>
            <w:tcW w:w="688" w:type="pct"/>
            <w:vAlign w:val="center"/>
          </w:tcPr>
          <w:p w14:paraId="6D67EAB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5B6012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65AEE75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3D5BCC7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4056381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8" w:type="pct"/>
            <w:vAlign w:val="center"/>
          </w:tcPr>
          <w:p w14:paraId="33E699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0.11</w:t>
            </w:r>
          </w:p>
        </w:tc>
        <w:tc>
          <w:tcPr>
            <w:tcW w:w="579" w:type="pct"/>
            <w:vAlign w:val="center"/>
          </w:tcPr>
          <w:p w14:paraId="3D48694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76D1D7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46F2A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0059C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垄北</w:t>
            </w:r>
          </w:p>
        </w:tc>
        <w:tc>
          <w:tcPr>
            <w:tcW w:w="688" w:type="pct"/>
            <w:vAlign w:val="center"/>
          </w:tcPr>
          <w:p w14:paraId="499E30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19:00</w:t>
            </w:r>
          </w:p>
        </w:tc>
        <w:tc>
          <w:tcPr>
            <w:tcW w:w="535" w:type="pct"/>
            <w:vAlign w:val="center"/>
          </w:tcPr>
          <w:p w14:paraId="6922568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533070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A5EE1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007DB40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19:00</w:t>
            </w:r>
          </w:p>
        </w:tc>
        <w:tc>
          <w:tcPr>
            <w:tcW w:w="548" w:type="pct"/>
            <w:vAlign w:val="center"/>
          </w:tcPr>
          <w:p w14:paraId="1411D33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0.16</w:t>
            </w:r>
          </w:p>
        </w:tc>
        <w:tc>
          <w:tcPr>
            <w:tcW w:w="579" w:type="pct"/>
            <w:vAlign w:val="center"/>
          </w:tcPr>
          <w:p w14:paraId="5A07F38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3E7BED8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4621C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71F62F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赤厝村</w:t>
            </w:r>
          </w:p>
        </w:tc>
        <w:tc>
          <w:tcPr>
            <w:tcW w:w="688" w:type="pct"/>
            <w:vAlign w:val="center"/>
          </w:tcPr>
          <w:p w14:paraId="73026BB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06:00</w:t>
            </w:r>
          </w:p>
        </w:tc>
        <w:tc>
          <w:tcPr>
            <w:tcW w:w="535" w:type="pct"/>
            <w:vAlign w:val="center"/>
          </w:tcPr>
          <w:p w14:paraId="5DF8AAB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6" w:type="pct"/>
            <w:vAlign w:val="center"/>
          </w:tcPr>
          <w:p w14:paraId="0B4E0E4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3B6E305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w:t>
            </w:r>
          </w:p>
        </w:tc>
        <w:tc>
          <w:tcPr>
            <w:tcW w:w="633" w:type="pct"/>
            <w:vAlign w:val="center"/>
          </w:tcPr>
          <w:p w14:paraId="3A7288C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06:00</w:t>
            </w:r>
          </w:p>
        </w:tc>
        <w:tc>
          <w:tcPr>
            <w:tcW w:w="548" w:type="pct"/>
            <w:vAlign w:val="center"/>
          </w:tcPr>
          <w:p w14:paraId="36CFEE7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79" w:type="pct"/>
            <w:vAlign w:val="center"/>
          </w:tcPr>
          <w:p w14:paraId="35952BA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75A9DC1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55883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A1382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门口村</w:t>
            </w:r>
          </w:p>
        </w:tc>
        <w:tc>
          <w:tcPr>
            <w:tcW w:w="688" w:type="pct"/>
            <w:vAlign w:val="center"/>
          </w:tcPr>
          <w:p w14:paraId="3F0BAC1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20:00</w:t>
            </w:r>
          </w:p>
        </w:tc>
        <w:tc>
          <w:tcPr>
            <w:tcW w:w="535" w:type="pct"/>
            <w:vAlign w:val="center"/>
          </w:tcPr>
          <w:p w14:paraId="10858B2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18EDD69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641FEA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40F807C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20:00</w:t>
            </w:r>
          </w:p>
        </w:tc>
        <w:tc>
          <w:tcPr>
            <w:tcW w:w="548" w:type="pct"/>
            <w:vAlign w:val="center"/>
          </w:tcPr>
          <w:p w14:paraId="4E02EE3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0.06</w:t>
            </w:r>
          </w:p>
        </w:tc>
        <w:tc>
          <w:tcPr>
            <w:tcW w:w="579" w:type="pct"/>
            <w:vAlign w:val="center"/>
          </w:tcPr>
          <w:p w14:paraId="641136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766D972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222F8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B3ED62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后陈村</w:t>
            </w:r>
          </w:p>
        </w:tc>
        <w:tc>
          <w:tcPr>
            <w:tcW w:w="688" w:type="pct"/>
            <w:vAlign w:val="center"/>
          </w:tcPr>
          <w:p w14:paraId="6A5683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507021A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2B762A1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7575CA5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0BF5011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8" w:type="pct"/>
            <w:vAlign w:val="center"/>
          </w:tcPr>
          <w:p w14:paraId="58CE64B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0.12</w:t>
            </w:r>
          </w:p>
        </w:tc>
        <w:tc>
          <w:tcPr>
            <w:tcW w:w="579" w:type="pct"/>
            <w:vAlign w:val="center"/>
          </w:tcPr>
          <w:p w14:paraId="1D7D451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27F5FD9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140E4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9150EB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岭口村</w:t>
            </w:r>
          </w:p>
        </w:tc>
        <w:tc>
          <w:tcPr>
            <w:tcW w:w="688" w:type="pct"/>
            <w:vAlign w:val="center"/>
          </w:tcPr>
          <w:p w14:paraId="09DDEB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2022/04/29 06:00</w:t>
            </w:r>
          </w:p>
        </w:tc>
        <w:tc>
          <w:tcPr>
            <w:tcW w:w="535" w:type="pct"/>
            <w:vAlign w:val="center"/>
          </w:tcPr>
          <w:p w14:paraId="6272889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6" w:type="pct"/>
            <w:vAlign w:val="center"/>
          </w:tcPr>
          <w:p w14:paraId="07812B7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3AAADF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w:t>
            </w:r>
          </w:p>
        </w:tc>
        <w:tc>
          <w:tcPr>
            <w:tcW w:w="633" w:type="pct"/>
            <w:vAlign w:val="center"/>
          </w:tcPr>
          <w:p w14:paraId="15B00E9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2022/04/29 06:00</w:t>
            </w:r>
          </w:p>
        </w:tc>
        <w:tc>
          <w:tcPr>
            <w:tcW w:w="548" w:type="pct"/>
            <w:vAlign w:val="center"/>
          </w:tcPr>
          <w:p w14:paraId="4D9D56C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79" w:type="pct"/>
            <w:vAlign w:val="center"/>
          </w:tcPr>
          <w:p w14:paraId="6416521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0DD774F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26D4B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938EF6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龙门村</w:t>
            </w:r>
          </w:p>
        </w:tc>
        <w:tc>
          <w:tcPr>
            <w:tcW w:w="688" w:type="pct"/>
            <w:vAlign w:val="center"/>
          </w:tcPr>
          <w:p w14:paraId="16C419C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35EF796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22CB405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0AE0B43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254F0D1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8" w:type="pct"/>
            <w:vAlign w:val="center"/>
          </w:tcPr>
          <w:p w14:paraId="6202D93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0.11</w:t>
            </w:r>
          </w:p>
        </w:tc>
        <w:tc>
          <w:tcPr>
            <w:tcW w:w="579" w:type="pct"/>
            <w:vAlign w:val="center"/>
          </w:tcPr>
          <w:p w14:paraId="188FADB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CB6EDD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7D90C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84F9F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后庄村</w:t>
            </w:r>
          </w:p>
        </w:tc>
        <w:tc>
          <w:tcPr>
            <w:tcW w:w="688" w:type="pct"/>
            <w:vAlign w:val="center"/>
          </w:tcPr>
          <w:p w14:paraId="6F5E8DE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35" w:type="pct"/>
            <w:vAlign w:val="center"/>
          </w:tcPr>
          <w:p w14:paraId="1133DF3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6" w:type="pct"/>
            <w:vAlign w:val="center"/>
          </w:tcPr>
          <w:p w14:paraId="58046D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7506AAA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33" w:type="pct"/>
            <w:vAlign w:val="center"/>
          </w:tcPr>
          <w:p w14:paraId="2D63C76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8" w:type="pct"/>
            <w:vAlign w:val="center"/>
          </w:tcPr>
          <w:p w14:paraId="260AC7D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0.16</w:t>
            </w:r>
          </w:p>
        </w:tc>
        <w:tc>
          <w:tcPr>
            <w:tcW w:w="579" w:type="pct"/>
            <w:vAlign w:val="center"/>
          </w:tcPr>
          <w:p w14:paraId="7B6396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212D8B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0.01 </w:t>
            </w:r>
          </w:p>
        </w:tc>
      </w:tr>
      <w:tr w14:paraId="120D0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E9E786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北郭村</w:t>
            </w:r>
          </w:p>
        </w:tc>
        <w:tc>
          <w:tcPr>
            <w:tcW w:w="688" w:type="pct"/>
            <w:vAlign w:val="center"/>
          </w:tcPr>
          <w:p w14:paraId="0FC9DA4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7F528FF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6" w:type="pct"/>
            <w:vAlign w:val="center"/>
          </w:tcPr>
          <w:p w14:paraId="67AFF72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vAlign w:val="center"/>
          </w:tcPr>
          <w:p w14:paraId="6A0327E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33" w:type="pct"/>
            <w:vAlign w:val="center"/>
          </w:tcPr>
          <w:p w14:paraId="1501F8C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8" w:type="pct"/>
            <w:vAlign w:val="center"/>
          </w:tcPr>
          <w:p w14:paraId="0F89229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0.06</w:t>
            </w:r>
          </w:p>
        </w:tc>
        <w:tc>
          <w:tcPr>
            <w:tcW w:w="579" w:type="pct"/>
            <w:vAlign w:val="center"/>
          </w:tcPr>
          <w:p w14:paraId="4AD2900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vAlign w:val="center"/>
          </w:tcPr>
          <w:p w14:paraId="654CCD1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0.00 </w:t>
            </w:r>
          </w:p>
        </w:tc>
      </w:tr>
      <w:tr w14:paraId="7715F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tcBorders>
              <w:bottom w:val="single" w:color="auto" w:sz="12" w:space="0"/>
            </w:tcBorders>
            <w:vAlign w:val="center"/>
          </w:tcPr>
          <w:p w14:paraId="40E6D6E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区域最大值</w:t>
            </w:r>
          </w:p>
        </w:tc>
        <w:tc>
          <w:tcPr>
            <w:tcW w:w="688" w:type="pct"/>
            <w:tcBorders>
              <w:bottom w:val="single" w:color="auto" w:sz="12" w:space="0"/>
            </w:tcBorders>
            <w:vAlign w:val="center"/>
          </w:tcPr>
          <w:p w14:paraId="6792492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2022/11/26 02:00</w:t>
            </w:r>
          </w:p>
        </w:tc>
        <w:tc>
          <w:tcPr>
            <w:tcW w:w="535" w:type="pct"/>
            <w:tcBorders>
              <w:bottom w:val="single" w:color="auto" w:sz="12" w:space="0"/>
            </w:tcBorders>
            <w:vAlign w:val="center"/>
          </w:tcPr>
          <w:p w14:paraId="22FABE9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1.67</w:t>
            </w:r>
          </w:p>
        </w:tc>
        <w:tc>
          <w:tcPr>
            <w:tcW w:w="536" w:type="pct"/>
            <w:tcBorders>
              <w:bottom w:val="single" w:color="auto" w:sz="12" w:space="0"/>
            </w:tcBorders>
            <w:vAlign w:val="center"/>
          </w:tcPr>
          <w:p w14:paraId="13A441D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7" w:type="pct"/>
            <w:tcBorders>
              <w:bottom w:val="single" w:color="auto" w:sz="12" w:space="0"/>
            </w:tcBorders>
            <w:vAlign w:val="center"/>
          </w:tcPr>
          <w:p w14:paraId="362BCA3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1.67 </w:t>
            </w:r>
          </w:p>
        </w:tc>
        <w:tc>
          <w:tcPr>
            <w:tcW w:w="633" w:type="pct"/>
            <w:tcBorders>
              <w:bottom w:val="single" w:color="auto" w:sz="12" w:space="0"/>
            </w:tcBorders>
            <w:vAlign w:val="center"/>
          </w:tcPr>
          <w:p w14:paraId="5734AF4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2022/11/26 02:00</w:t>
            </w:r>
          </w:p>
        </w:tc>
        <w:tc>
          <w:tcPr>
            <w:tcW w:w="548" w:type="pct"/>
            <w:tcBorders>
              <w:bottom w:val="single" w:color="auto" w:sz="12" w:space="0"/>
            </w:tcBorders>
            <w:vAlign w:val="center"/>
          </w:tcPr>
          <w:p w14:paraId="0E8F655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14.22</w:t>
            </w:r>
          </w:p>
        </w:tc>
        <w:tc>
          <w:tcPr>
            <w:tcW w:w="579" w:type="pct"/>
            <w:tcBorders>
              <w:bottom w:val="single" w:color="auto" w:sz="12" w:space="0"/>
            </w:tcBorders>
            <w:vAlign w:val="center"/>
          </w:tcPr>
          <w:p w14:paraId="249189A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2,000.00</w:t>
            </w:r>
          </w:p>
        </w:tc>
        <w:tc>
          <w:tcPr>
            <w:tcW w:w="430" w:type="pct"/>
            <w:tcBorders>
              <w:bottom w:val="single" w:color="auto" w:sz="12" w:space="0"/>
            </w:tcBorders>
            <w:vAlign w:val="center"/>
          </w:tcPr>
          <w:p w14:paraId="5C8ADB0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0.71 </w:t>
            </w:r>
          </w:p>
        </w:tc>
      </w:tr>
    </w:tbl>
    <w:p w14:paraId="5A6FDB55">
      <w:pPr>
        <w:pStyle w:val="988"/>
        <w:adjustRightInd w:val="0"/>
        <w:snapToGrid w:val="0"/>
        <w:ind w:firstLine="0" w:firstLineChars="0"/>
        <w:rPr>
          <w:color w:val="auto"/>
          <w:highlight w:val="none"/>
          <w:u w:val="none"/>
        </w:rPr>
      </w:pPr>
    </w:p>
    <w:p w14:paraId="7CF8A39E">
      <w:pPr>
        <w:pStyle w:val="85"/>
        <w:rPr>
          <w:color w:val="auto"/>
          <w:highlight w:val="none"/>
          <w:u w:val="none"/>
        </w:rPr>
      </w:pPr>
      <w:bookmarkStart w:id="478" w:name="_Ref14923093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20</w:t>
      </w:r>
      <w:r>
        <w:rPr>
          <w:color w:val="auto"/>
          <w:highlight w:val="none"/>
          <w:u w:val="none"/>
        </w:rPr>
        <w:fldChar w:fldCharType="end"/>
      </w:r>
      <w:bookmarkEnd w:id="478"/>
      <w:r>
        <w:rPr>
          <w:color w:val="auto"/>
          <w:highlight w:val="none"/>
          <w:u w:val="none"/>
        </w:rPr>
        <w:t xml:space="preserve">  本项目邻二氯苯和甲苯质量浓度贡献值预测结果表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9"/>
        <w:gridCol w:w="1297"/>
        <w:gridCol w:w="1007"/>
        <w:gridCol w:w="1009"/>
        <w:gridCol w:w="841"/>
        <w:gridCol w:w="1292"/>
        <w:gridCol w:w="1030"/>
        <w:gridCol w:w="1089"/>
        <w:gridCol w:w="811"/>
      </w:tblGrid>
      <w:tr w14:paraId="17906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599" w:type="pct"/>
            <w:vMerge w:val="restart"/>
            <w:tcBorders>
              <w:top w:val="single" w:color="auto" w:sz="12" w:space="0"/>
            </w:tcBorders>
            <w:vAlign w:val="center"/>
          </w:tcPr>
          <w:p w14:paraId="3BBDF39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名称</w:t>
            </w:r>
          </w:p>
        </w:tc>
        <w:tc>
          <w:tcPr>
            <w:tcW w:w="2183" w:type="pct"/>
            <w:gridSpan w:val="4"/>
            <w:tcBorders>
              <w:top w:val="single" w:color="auto" w:sz="12" w:space="0"/>
            </w:tcBorders>
            <w:vAlign w:val="center"/>
          </w:tcPr>
          <w:p w14:paraId="6B89C7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邻二氯苯小时浓度</w:t>
            </w:r>
          </w:p>
        </w:tc>
        <w:tc>
          <w:tcPr>
            <w:tcW w:w="2218" w:type="pct"/>
            <w:gridSpan w:val="4"/>
            <w:tcBorders>
              <w:top w:val="single" w:color="auto" w:sz="12" w:space="0"/>
            </w:tcBorders>
            <w:vAlign w:val="center"/>
          </w:tcPr>
          <w:p w14:paraId="049E0B2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甲苯小时浓度</w:t>
            </w:r>
          </w:p>
        </w:tc>
      </w:tr>
      <w:tr w14:paraId="5CDB3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599" w:type="pct"/>
            <w:vMerge w:val="continue"/>
            <w:vAlign w:val="center"/>
          </w:tcPr>
          <w:p w14:paraId="37D6210F">
            <w:pPr>
              <w:pStyle w:val="988"/>
              <w:adjustRightInd w:val="0"/>
              <w:snapToGrid w:val="0"/>
              <w:spacing w:line="240" w:lineRule="auto"/>
              <w:ind w:firstLine="0" w:firstLineChars="0"/>
              <w:jc w:val="center"/>
              <w:rPr>
                <w:color w:val="auto"/>
                <w:sz w:val="21"/>
                <w:szCs w:val="21"/>
                <w:highlight w:val="none"/>
                <w:u w:val="none"/>
              </w:rPr>
            </w:pPr>
          </w:p>
        </w:tc>
        <w:tc>
          <w:tcPr>
            <w:tcW w:w="682" w:type="pct"/>
            <w:vAlign w:val="center"/>
          </w:tcPr>
          <w:p w14:paraId="24F3795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出现时间</w:t>
            </w:r>
          </w:p>
        </w:tc>
        <w:tc>
          <w:tcPr>
            <w:tcW w:w="529" w:type="pct"/>
            <w:vAlign w:val="center"/>
          </w:tcPr>
          <w:p w14:paraId="45A2AB9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预测值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530" w:type="pct"/>
            <w:vAlign w:val="center"/>
          </w:tcPr>
          <w:p w14:paraId="2366083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标准值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442" w:type="pct"/>
            <w:vAlign w:val="center"/>
          </w:tcPr>
          <w:p w14:paraId="0B459AF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占标率</w:t>
            </w:r>
            <w:r>
              <w:rPr>
                <w:color w:val="auto"/>
                <w:sz w:val="21"/>
                <w:szCs w:val="21"/>
                <w:highlight w:val="none"/>
                <w:u w:val="none"/>
              </w:rPr>
              <w:t>(%)</w:t>
            </w:r>
          </w:p>
        </w:tc>
        <w:tc>
          <w:tcPr>
            <w:tcW w:w="679" w:type="pct"/>
            <w:vAlign w:val="center"/>
          </w:tcPr>
          <w:p w14:paraId="74BA161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出现时间</w:t>
            </w:r>
          </w:p>
        </w:tc>
        <w:tc>
          <w:tcPr>
            <w:tcW w:w="541" w:type="pct"/>
            <w:vAlign w:val="center"/>
          </w:tcPr>
          <w:p w14:paraId="10AC862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预测值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572" w:type="pct"/>
            <w:vAlign w:val="center"/>
          </w:tcPr>
          <w:p w14:paraId="670F4CB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标准值</w:t>
            </w:r>
            <w:r>
              <w:rPr>
                <w:color w:val="auto"/>
                <w:sz w:val="21"/>
                <w:szCs w:val="21"/>
                <w:highlight w:val="none"/>
                <w:u w:val="none"/>
              </w:rPr>
              <w:t>(μg/m</w:t>
            </w:r>
            <w:r>
              <w:rPr>
                <w:color w:val="auto"/>
                <w:sz w:val="21"/>
                <w:szCs w:val="21"/>
                <w:highlight w:val="none"/>
                <w:u w:val="none"/>
                <w:vertAlign w:val="superscript"/>
              </w:rPr>
              <w:t>3</w:t>
            </w:r>
            <w:r>
              <w:rPr>
                <w:color w:val="auto"/>
                <w:sz w:val="21"/>
                <w:szCs w:val="21"/>
                <w:highlight w:val="none"/>
                <w:u w:val="none"/>
              </w:rPr>
              <w:t>)</w:t>
            </w:r>
          </w:p>
        </w:tc>
        <w:tc>
          <w:tcPr>
            <w:tcW w:w="426" w:type="pct"/>
            <w:vAlign w:val="center"/>
          </w:tcPr>
          <w:p w14:paraId="1EEE7B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占标率</w:t>
            </w:r>
            <w:r>
              <w:rPr>
                <w:color w:val="auto"/>
                <w:sz w:val="21"/>
                <w:szCs w:val="21"/>
                <w:highlight w:val="none"/>
                <w:u w:val="none"/>
              </w:rPr>
              <w:t>(%)</w:t>
            </w:r>
          </w:p>
        </w:tc>
      </w:tr>
      <w:tr w14:paraId="2EE3A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87C200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新厝镇</w:t>
            </w:r>
          </w:p>
        </w:tc>
        <w:tc>
          <w:tcPr>
            <w:tcW w:w="682" w:type="pct"/>
            <w:vAlign w:val="center"/>
          </w:tcPr>
          <w:p w14:paraId="2AA4428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2022/06/01 05:00</w:t>
            </w:r>
          </w:p>
        </w:tc>
        <w:tc>
          <w:tcPr>
            <w:tcW w:w="529" w:type="pct"/>
            <w:vAlign w:val="center"/>
          </w:tcPr>
          <w:p w14:paraId="3582B37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4F7ED6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33B1ED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0D3E1D5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2022/06/01 05:00</w:t>
            </w:r>
          </w:p>
        </w:tc>
        <w:tc>
          <w:tcPr>
            <w:tcW w:w="541" w:type="pct"/>
            <w:vAlign w:val="center"/>
          </w:tcPr>
          <w:p w14:paraId="612B331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72" w:type="pct"/>
            <w:vAlign w:val="center"/>
          </w:tcPr>
          <w:p w14:paraId="12EF138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9ABA29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779C0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001E27E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上后村（莆田）</w:t>
            </w:r>
          </w:p>
        </w:tc>
        <w:tc>
          <w:tcPr>
            <w:tcW w:w="682" w:type="pct"/>
            <w:vAlign w:val="center"/>
          </w:tcPr>
          <w:p w14:paraId="29DAD6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2022/04/22 01:00</w:t>
            </w:r>
          </w:p>
        </w:tc>
        <w:tc>
          <w:tcPr>
            <w:tcW w:w="529" w:type="pct"/>
            <w:vAlign w:val="center"/>
          </w:tcPr>
          <w:p w14:paraId="290E606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7655A74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26E8F7D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12F7D7A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2022/04/22 01:00</w:t>
            </w:r>
          </w:p>
        </w:tc>
        <w:tc>
          <w:tcPr>
            <w:tcW w:w="541" w:type="pct"/>
            <w:vAlign w:val="center"/>
          </w:tcPr>
          <w:p w14:paraId="535EDF6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72" w:type="pct"/>
            <w:vAlign w:val="center"/>
          </w:tcPr>
          <w:p w14:paraId="48FCC7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3650EF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7819D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019906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莆江村（莆田）</w:t>
            </w:r>
          </w:p>
        </w:tc>
        <w:tc>
          <w:tcPr>
            <w:tcW w:w="682" w:type="pct"/>
            <w:vAlign w:val="center"/>
          </w:tcPr>
          <w:p w14:paraId="52B1D92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2022/07/28 20:00</w:t>
            </w:r>
          </w:p>
        </w:tc>
        <w:tc>
          <w:tcPr>
            <w:tcW w:w="529" w:type="pct"/>
            <w:vAlign w:val="center"/>
          </w:tcPr>
          <w:p w14:paraId="0EFD253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0895A7C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D13939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2BD2A13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2022/07/28 20:00</w:t>
            </w:r>
          </w:p>
        </w:tc>
        <w:tc>
          <w:tcPr>
            <w:tcW w:w="541" w:type="pct"/>
            <w:vAlign w:val="center"/>
          </w:tcPr>
          <w:p w14:paraId="179FCF9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6E1480D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8732C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FA07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5E3F23B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峰头村</w:t>
            </w:r>
          </w:p>
        </w:tc>
        <w:tc>
          <w:tcPr>
            <w:tcW w:w="682" w:type="pct"/>
            <w:vAlign w:val="center"/>
          </w:tcPr>
          <w:p w14:paraId="24E823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2022/04/28 19:00</w:t>
            </w:r>
          </w:p>
        </w:tc>
        <w:tc>
          <w:tcPr>
            <w:tcW w:w="529" w:type="pct"/>
            <w:vAlign w:val="center"/>
          </w:tcPr>
          <w:p w14:paraId="008EBA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530" w:type="pct"/>
            <w:vAlign w:val="center"/>
          </w:tcPr>
          <w:p w14:paraId="6794893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3A6D04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679" w:type="pct"/>
            <w:vAlign w:val="center"/>
          </w:tcPr>
          <w:p w14:paraId="30B623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2022/07/29 06:00</w:t>
            </w:r>
          </w:p>
        </w:tc>
        <w:tc>
          <w:tcPr>
            <w:tcW w:w="541" w:type="pct"/>
            <w:vAlign w:val="center"/>
          </w:tcPr>
          <w:p w14:paraId="6CCC60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72" w:type="pct"/>
            <w:vAlign w:val="center"/>
          </w:tcPr>
          <w:p w14:paraId="3F6DE33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29200F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51E56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79541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漆林村</w:t>
            </w:r>
          </w:p>
        </w:tc>
        <w:tc>
          <w:tcPr>
            <w:tcW w:w="682" w:type="pct"/>
            <w:vAlign w:val="center"/>
          </w:tcPr>
          <w:p w14:paraId="0C1A4E0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2022/08/18 22:00</w:t>
            </w:r>
          </w:p>
        </w:tc>
        <w:tc>
          <w:tcPr>
            <w:tcW w:w="529" w:type="pct"/>
            <w:vAlign w:val="center"/>
          </w:tcPr>
          <w:p w14:paraId="36FA256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0D8381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EB29B9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586F6FA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2022/09/17 19:00</w:t>
            </w:r>
          </w:p>
        </w:tc>
        <w:tc>
          <w:tcPr>
            <w:tcW w:w="541" w:type="pct"/>
            <w:vAlign w:val="center"/>
          </w:tcPr>
          <w:p w14:paraId="228547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72" w:type="pct"/>
            <w:vAlign w:val="center"/>
          </w:tcPr>
          <w:p w14:paraId="2921FB2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66CC00E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66B53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709351C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大东村（莆田）</w:t>
            </w:r>
          </w:p>
        </w:tc>
        <w:tc>
          <w:tcPr>
            <w:tcW w:w="682" w:type="pct"/>
            <w:vAlign w:val="center"/>
          </w:tcPr>
          <w:p w14:paraId="28B3526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2022/08/07 19:00</w:t>
            </w:r>
          </w:p>
        </w:tc>
        <w:tc>
          <w:tcPr>
            <w:tcW w:w="529" w:type="pct"/>
            <w:vAlign w:val="center"/>
          </w:tcPr>
          <w:p w14:paraId="42222C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6ED72AB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DAD2E7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7596162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2022/09/17 21:00</w:t>
            </w:r>
          </w:p>
        </w:tc>
        <w:tc>
          <w:tcPr>
            <w:tcW w:w="541" w:type="pct"/>
            <w:vAlign w:val="center"/>
          </w:tcPr>
          <w:p w14:paraId="3F50C3F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66A5AD3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73B2968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10B82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61E5202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霞埔村</w:t>
            </w:r>
          </w:p>
        </w:tc>
        <w:tc>
          <w:tcPr>
            <w:tcW w:w="682" w:type="pct"/>
            <w:vAlign w:val="center"/>
          </w:tcPr>
          <w:p w14:paraId="10F33BA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2022/08/19 01:00</w:t>
            </w:r>
          </w:p>
        </w:tc>
        <w:tc>
          <w:tcPr>
            <w:tcW w:w="529" w:type="pct"/>
            <w:vAlign w:val="center"/>
          </w:tcPr>
          <w:p w14:paraId="6C0DFC6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30" w:type="pct"/>
            <w:vAlign w:val="center"/>
          </w:tcPr>
          <w:p w14:paraId="45FAAD2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08FE20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679" w:type="pct"/>
            <w:vAlign w:val="center"/>
          </w:tcPr>
          <w:p w14:paraId="4679EA5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2022/06/01 03:00</w:t>
            </w:r>
          </w:p>
        </w:tc>
        <w:tc>
          <w:tcPr>
            <w:tcW w:w="541" w:type="pct"/>
            <w:vAlign w:val="center"/>
          </w:tcPr>
          <w:p w14:paraId="6C70F05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72" w:type="pct"/>
            <w:vAlign w:val="center"/>
          </w:tcPr>
          <w:p w14:paraId="123CCD0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3540CEB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r>
      <w:tr w14:paraId="1D37B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0E2672F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芝山</w:t>
            </w:r>
          </w:p>
        </w:tc>
        <w:tc>
          <w:tcPr>
            <w:tcW w:w="682" w:type="pct"/>
            <w:vAlign w:val="center"/>
          </w:tcPr>
          <w:p w14:paraId="0A9AB6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2022/05/29 06:00</w:t>
            </w:r>
          </w:p>
        </w:tc>
        <w:tc>
          <w:tcPr>
            <w:tcW w:w="529" w:type="pct"/>
            <w:vAlign w:val="center"/>
          </w:tcPr>
          <w:p w14:paraId="07D867F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530" w:type="pct"/>
            <w:vAlign w:val="center"/>
          </w:tcPr>
          <w:p w14:paraId="680C75E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903D22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0.05</w:t>
            </w:r>
          </w:p>
        </w:tc>
        <w:tc>
          <w:tcPr>
            <w:tcW w:w="679" w:type="pct"/>
            <w:vAlign w:val="center"/>
          </w:tcPr>
          <w:p w14:paraId="2AFD98B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2022/05/29 03:00</w:t>
            </w:r>
          </w:p>
        </w:tc>
        <w:tc>
          <w:tcPr>
            <w:tcW w:w="541" w:type="pct"/>
            <w:vAlign w:val="center"/>
          </w:tcPr>
          <w:p w14:paraId="7A889BD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72" w:type="pct"/>
            <w:vAlign w:val="center"/>
          </w:tcPr>
          <w:p w14:paraId="7F40E9E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87B5B9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59BFF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498667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高局</w:t>
            </w:r>
          </w:p>
        </w:tc>
        <w:tc>
          <w:tcPr>
            <w:tcW w:w="682" w:type="pct"/>
            <w:vAlign w:val="center"/>
          </w:tcPr>
          <w:p w14:paraId="1F809D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2022/07/11 06:00</w:t>
            </w:r>
          </w:p>
        </w:tc>
        <w:tc>
          <w:tcPr>
            <w:tcW w:w="529" w:type="pct"/>
            <w:vAlign w:val="center"/>
          </w:tcPr>
          <w:p w14:paraId="4FDF8A6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78B1F0E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482D7E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3126DAF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1" w:type="pct"/>
            <w:vAlign w:val="center"/>
          </w:tcPr>
          <w:p w14:paraId="76CDB2A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62401E8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705691E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6D7AF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113390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西山</w:t>
            </w:r>
          </w:p>
        </w:tc>
        <w:tc>
          <w:tcPr>
            <w:tcW w:w="682" w:type="pct"/>
            <w:vAlign w:val="center"/>
          </w:tcPr>
          <w:p w14:paraId="3A3069A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2022/05/29 05:00</w:t>
            </w:r>
          </w:p>
        </w:tc>
        <w:tc>
          <w:tcPr>
            <w:tcW w:w="529" w:type="pct"/>
            <w:vAlign w:val="center"/>
          </w:tcPr>
          <w:p w14:paraId="17958EA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30" w:type="pct"/>
            <w:vAlign w:val="center"/>
          </w:tcPr>
          <w:p w14:paraId="2BF0548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2863374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679" w:type="pct"/>
            <w:vAlign w:val="center"/>
          </w:tcPr>
          <w:p w14:paraId="62E40EC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41" w:type="pct"/>
            <w:vAlign w:val="center"/>
          </w:tcPr>
          <w:p w14:paraId="6CB0E0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5505FDC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218276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r>
      <w:tr w14:paraId="0F919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6910E92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东井村</w:t>
            </w:r>
          </w:p>
        </w:tc>
        <w:tc>
          <w:tcPr>
            <w:tcW w:w="682" w:type="pct"/>
            <w:vAlign w:val="center"/>
          </w:tcPr>
          <w:p w14:paraId="27B911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29" w:type="pct"/>
            <w:vAlign w:val="center"/>
          </w:tcPr>
          <w:p w14:paraId="0AD6804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303DD4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4E7817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3E2D74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1" w:type="pct"/>
            <w:vAlign w:val="center"/>
          </w:tcPr>
          <w:p w14:paraId="7337D8F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70C7154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29A499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492B7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33722A5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沾泽村</w:t>
            </w:r>
          </w:p>
        </w:tc>
        <w:tc>
          <w:tcPr>
            <w:tcW w:w="682" w:type="pct"/>
            <w:vAlign w:val="center"/>
          </w:tcPr>
          <w:p w14:paraId="7D6424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0A05DA8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6A9FD8F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37014B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66F0EFA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1" w:type="pct"/>
            <w:vAlign w:val="center"/>
          </w:tcPr>
          <w:p w14:paraId="73CCC92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1061B43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32C49F5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3101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67BA4D3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南曹村</w:t>
            </w:r>
          </w:p>
        </w:tc>
        <w:tc>
          <w:tcPr>
            <w:tcW w:w="682" w:type="pct"/>
            <w:vAlign w:val="center"/>
          </w:tcPr>
          <w:p w14:paraId="4F0B6DA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19D4FE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5941911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6CD9B8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300BEC6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1" w:type="pct"/>
            <w:vAlign w:val="center"/>
          </w:tcPr>
          <w:p w14:paraId="736CCC5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6E0DCA4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04E52E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28018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01544EA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东江水厂</w:t>
            </w:r>
          </w:p>
        </w:tc>
        <w:tc>
          <w:tcPr>
            <w:tcW w:w="682" w:type="pct"/>
            <w:vAlign w:val="center"/>
          </w:tcPr>
          <w:p w14:paraId="56A4566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2022/04/14 04:00</w:t>
            </w:r>
          </w:p>
        </w:tc>
        <w:tc>
          <w:tcPr>
            <w:tcW w:w="529" w:type="pct"/>
            <w:vAlign w:val="center"/>
          </w:tcPr>
          <w:p w14:paraId="5D6F28A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109610F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BB45B0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5880A1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2022/07/13 06:00</w:t>
            </w:r>
          </w:p>
        </w:tc>
        <w:tc>
          <w:tcPr>
            <w:tcW w:w="541" w:type="pct"/>
            <w:vAlign w:val="center"/>
          </w:tcPr>
          <w:p w14:paraId="74AF79E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2C24E6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41274EE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1B8C0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987558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东沃村</w:t>
            </w:r>
          </w:p>
        </w:tc>
        <w:tc>
          <w:tcPr>
            <w:tcW w:w="682" w:type="pct"/>
            <w:vAlign w:val="center"/>
          </w:tcPr>
          <w:p w14:paraId="428BE9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2022/03/14 21:00</w:t>
            </w:r>
          </w:p>
        </w:tc>
        <w:tc>
          <w:tcPr>
            <w:tcW w:w="529" w:type="pct"/>
            <w:vAlign w:val="center"/>
          </w:tcPr>
          <w:p w14:paraId="0C040BC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0.09</w:t>
            </w:r>
          </w:p>
        </w:tc>
        <w:tc>
          <w:tcPr>
            <w:tcW w:w="530" w:type="pct"/>
            <w:vAlign w:val="center"/>
          </w:tcPr>
          <w:p w14:paraId="4EEC66D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25BAB9D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0.09</w:t>
            </w:r>
          </w:p>
        </w:tc>
        <w:tc>
          <w:tcPr>
            <w:tcW w:w="679" w:type="pct"/>
            <w:vAlign w:val="center"/>
          </w:tcPr>
          <w:p w14:paraId="6C2B96B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2022/03/14 21:00</w:t>
            </w:r>
          </w:p>
        </w:tc>
        <w:tc>
          <w:tcPr>
            <w:tcW w:w="541" w:type="pct"/>
            <w:vAlign w:val="center"/>
          </w:tcPr>
          <w:p w14:paraId="02987C8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0.04</w:t>
            </w:r>
          </w:p>
        </w:tc>
        <w:tc>
          <w:tcPr>
            <w:tcW w:w="572" w:type="pct"/>
            <w:vAlign w:val="center"/>
          </w:tcPr>
          <w:p w14:paraId="3DCA42C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493D01A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r>
      <w:tr w14:paraId="44565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072AF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潘厝村</w:t>
            </w:r>
          </w:p>
        </w:tc>
        <w:tc>
          <w:tcPr>
            <w:tcW w:w="682" w:type="pct"/>
            <w:vAlign w:val="center"/>
          </w:tcPr>
          <w:p w14:paraId="10B913C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2022/05/29 05:00</w:t>
            </w:r>
          </w:p>
        </w:tc>
        <w:tc>
          <w:tcPr>
            <w:tcW w:w="529" w:type="pct"/>
            <w:vAlign w:val="center"/>
          </w:tcPr>
          <w:p w14:paraId="5DAA2BF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599F76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4D51035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7D25B3B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41" w:type="pct"/>
            <w:vAlign w:val="center"/>
          </w:tcPr>
          <w:p w14:paraId="3BB720C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7F3A554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9156E0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5860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7C3E6B1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何厝村</w:t>
            </w:r>
          </w:p>
        </w:tc>
        <w:tc>
          <w:tcPr>
            <w:tcW w:w="682" w:type="pct"/>
            <w:vAlign w:val="center"/>
          </w:tcPr>
          <w:p w14:paraId="69C81B2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05:00</w:t>
            </w:r>
          </w:p>
        </w:tc>
        <w:tc>
          <w:tcPr>
            <w:tcW w:w="529" w:type="pct"/>
            <w:vAlign w:val="center"/>
          </w:tcPr>
          <w:p w14:paraId="3F8BD8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207D5D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6773EC3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78472CC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05:00</w:t>
            </w:r>
          </w:p>
        </w:tc>
        <w:tc>
          <w:tcPr>
            <w:tcW w:w="541" w:type="pct"/>
            <w:vAlign w:val="center"/>
          </w:tcPr>
          <w:p w14:paraId="4CF31C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4B2319A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A6232F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36B641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586E5E9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田头村</w:t>
            </w:r>
          </w:p>
        </w:tc>
        <w:tc>
          <w:tcPr>
            <w:tcW w:w="682" w:type="pct"/>
            <w:vAlign w:val="center"/>
          </w:tcPr>
          <w:p w14:paraId="2165D4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5E07880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5A93A6D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5EBB5AF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52AFBEB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19:00</w:t>
            </w:r>
          </w:p>
        </w:tc>
        <w:tc>
          <w:tcPr>
            <w:tcW w:w="541" w:type="pct"/>
            <w:vAlign w:val="center"/>
          </w:tcPr>
          <w:p w14:paraId="3C70A11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3F534AA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642EE0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362DB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7D4C50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下堡村</w:t>
            </w:r>
          </w:p>
        </w:tc>
        <w:tc>
          <w:tcPr>
            <w:tcW w:w="682" w:type="pct"/>
            <w:vAlign w:val="center"/>
          </w:tcPr>
          <w:p w14:paraId="09F91F8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29" w:type="pct"/>
            <w:vAlign w:val="center"/>
          </w:tcPr>
          <w:p w14:paraId="32F55BA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15393B5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C08CDF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0A841E7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41" w:type="pct"/>
            <w:vAlign w:val="center"/>
          </w:tcPr>
          <w:p w14:paraId="37A4ACC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5046306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1E6801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30AAB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0EBD058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下石村</w:t>
            </w:r>
          </w:p>
        </w:tc>
        <w:tc>
          <w:tcPr>
            <w:tcW w:w="682" w:type="pct"/>
            <w:vAlign w:val="center"/>
          </w:tcPr>
          <w:p w14:paraId="2590C17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01:00</w:t>
            </w:r>
          </w:p>
        </w:tc>
        <w:tc>
          <w:tcPr>
            <w:tcW w:w="529" w:type="pct"/>
            <w:vAlign w:val="center"/>
          </w:tcPr>
          <w:p w14:paraId="225F97D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655B406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AE2832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5C3D5E6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01:00</w:t>
            </w:r>
          </w:p>
        </w:tc>
        <w:tc>
          <w:tcPr>
            <w:tcW w:w="541" w:type="pct"/>
            <w:vAlign w:val="center"/>
          </w:tcPr>
          <w:p w14:paraId="1BE66A8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16D1B9A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6497671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2CD6A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095463B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江阴镇</w:t>
            </w:r>
          </w:p>
        </w:tc>
        <w:tc>
          <w:tcPr>
            <w:tcW w:w="682" w:type="pct"/>
            <w:vAlign w:val="center"/>
          </w:tcPr>
          <w:p w14:paraId="1DC35DF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29" w:type="pct"/>
            <w:vAlign w:val="center"/>
          </w:tcPr>
          <w:p w14:paraId="035A86B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5A1609E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E9FDBA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60EB5D2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41" w:type="pct"/>
            <w:vAlign w:val="center"/>
          </w:tcPr>
          <w:p w14:paraId="246E9FD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7344448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3914DB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9FA8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8CCB2C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后林</w:t>
            </w:r>
          </w:p>
        </w:tc>
        <w:tc>
          <w:tcPr>
            <w:tcW w:w="682" w:type="pct"/>
            <w:vAlign w:val="center"/>
          </w:tcPr>
          <w:p w14:paraId="62268B0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29" w:type="pct"/>
            <w:vAlign w:val="center"/>
          </w:tcPr>
          <w:p w14:paraId="23B14C4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52C609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50E2F1A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118F76A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41" w:type="pct"/>
            <w:vAlign w:val="center"/>
          </w:tcPr>
          <w:p w14:paraId="7A1FFB4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1464A79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9D3054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8AA7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21883A2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岭兜</w:t>
            </w:r>
          </w:p>
        </w:tc>
        <w:tc>
          <w:tcPr>
            <w:tcW w:w="682" w:type="pct"/>
            <w:vAlign w:val="center"/>
          </w:tcPr>
          <w:p w14:paraId="55FE6F6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2022/09/15 04:00</w:t>
            </w:r>
          </w:p>
        </w:tc>
        <w:tc>
          <w:tcPr>
            <w:tcW w:w="529" w:type="pct"/>
            <w:vAlign w:val="center"/>
          </w:tcPr>
          <w:p w14:paraId="427BD55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0CF798A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46558BB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3F9C5D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2022/11/26 06:00</w:t>
            </w:r>
          </w:p>
        </w:tc>
        <w:tc>
          <w:tcPr>
            <w:tcW w:w="541" w:type="pct"/>
            <w:vAlign w:val="center"/>
          </w:tcPr>
          <w:p w14:paraId="0C8549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3A2E3E9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38980EB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14EED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7C0DCEB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布厝</w:t>
            </w:r>
          </w:p>
        </w:tc>
        <w:tc>
          <w:tcPr>
            <w:tcW w:w="682" w:type="pct"/>
            <w:vAlign w:val="center"/>
          </w:tcPr>
          <w:p w14:paraId="40EFB4B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29" w:type="pct"/>
            <w:vAlign w:val="center"/>
          </w:tcPr>
          <w:p w14:paraId="13541B2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250A845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37FFFE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3FAEE29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04:00</w:t>
            </w:r>
          </w:p>
        </w:tc>
        <w:tc>
          <w:tcPr>
            <w:tcW w:w="541" w:type="pct"/>
            <w:vAlign w:val="center"/>
          </w:tcPr>
          <w:p w14:paraId="31FA105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2876BF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A73E3C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29508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353541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西兰</w:t>
            </w:r>
          </w:p>
        </w:tc>
        <w:tc>
          <w:tcPr>
            <w:tcW w:w="682" w:type="pct"/>
            <w:vAlign w:val="center"/>
          </w:tcPr>
          <w:p w14:paraId="23FFE09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02:00</w:t>
            </w:r>
          </w:p>
        </w:tc>
        <w:tc>
          <w:tcPr>
            <w:tcW w:w="529" w:type="pct"/>
            <w:vAlign w:val="center"/>
          </w:tcPr>
          <w:p w14:paraId="1C7331B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644D3F0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646EE3E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75B8210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02:00</w:t>
            </w:r>
          </w:p>
        </w:tc>
        <w:tc>
          <w:tcPr>
            <w:tcW w:w="541" w:type="pct"/>
            <w:vAlign w:val="center"/>
          </w:tcPr>
          <w:p w14:paraId="1F006F7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74757F8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1A70EA1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55E8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184B65E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沙塘</w:t>
            </w:r>
          </w:p>
        </w:tc>
        <w:tc>
          <w:tcPr>
            <w:tcW w:w="682" w:type="pct"/>
            <w:vAlign w:val="center"/>
          </w:tcPr>
          <w:p w14:paraId="3B3515D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29" w:type="pct"/>
            <w:vAlign w:val="center"/>
          </w:tcPr>
          <w:p w14:paraId="75AA337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530" w:type="pct"/>
            <w:vAlign w:val="center"/>
          </w:tcPr>
          <w:p w14:paraId="604115B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5B371D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0.03</w:t>
            </w:r>
          </w:p>
        </w:tc>
        <w:tc>
          <w:tcPr>
            <w:tcW w:w="679" w:type="pct"/>
            <w:vAlign w:val="center"/>
          </w:tcPr>
          <w:p w14:paraId="4F22AF4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41" w:type="pct"/>
            <w:vAlign w:val="center"/>
          </w:tcPr>
          <w:p w14:paraId="369B373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4F8CF75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460F55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37931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7E845DA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张厝</w:t>
            </w:r>
          </w:p>
        </w:tc>
        <w:tc>
          <w:tcPr>
            <w:tcW w:w="682" w:type="pct"/>
            <w:vAlign w:val="center"/>
          </w:tcPr>
          <w:p w14:paraId="461F54E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29" w:type="pct"/>
            <w:vAlign w:val="center"/>
          </w:tcPr>
          <w:p w14:paraId="2880034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678F048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20FDF0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50BE267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01:00</w:t>
            </w:r>
          </w:p>
        </w:tc>
        <w:tc>
          <w:tcPr>
            <w:tcW w:w="541" w:type="pct"/>
            <w:vAlign w:val="center"/>
          </w:tcPr>
          <w:p w14:paraId="12222A1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1374FEB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77A0768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1915E4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72A6E6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钱塘</w:t>
            </w:r>
          </w:p>
        </w:tc>
        <w:tc>
          <w:tcPr>
            <w:tcW w:w="682" w:type="pct"/>
            <w:vAlign w:val="center"/>
          </w:tcPr>
          <w:p w14:paraId="641263F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29" w:type="pct"/>
            <w:vAlign w:val="center"/>
          </w:tcPr>
          <w:p w14:paraId="0A38ECC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06B4CA3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47604BA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3D713B8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2022/09/04 22:00</w:t>
            </w:r>
          </w:p>
        </w:tc>
        <w:tc>
          <w:tcPr>
            <w:tcW w:w="541" w:type="pct"/>
            <w:vAlign w:val="center"/>
          </w:tcPr>
          <w:p w14:paraId="77A9901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3DC7AA6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4854C62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1F26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5B02606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后陈村</w:t>
            </w:r>
          </w:p>
        </w:tc>
        <w:tc>
          <w:tcPr>
            <w:tcW w:w="682" w:type="pct"/>
            <w:vAlign w:val="center"/>
          </w:tcPr>
          <w:p w14:paraId="4FA7B3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51617D2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21EA8DA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3F5A7CF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2322DB6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1" w:type="pct"/>
            <w:vAlign w:val="center"/>
          </w:tcPr>
          <w:p w14:paraId="7597AF2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45D1D24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71702F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6124B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2DBD100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垄北</w:t>
            </w:r>
          </w:p>
        </w:tc>
        <w:tc>
          <w:tcPr>
            <w:tcW w:w="682" w:type="pct"/>
            <w:vAlign w:val="center"/>
          </w:tcPr>
          <w:p w14:paraId="4671447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19:00</w:t>
            </w:r>
          </w:p>
        </w:tc>
        <w:tc>
          <w:tcPr>
            <w:tcW w:w="529" w:type="pct"/>
            <w:vAlign w:val="center"/>
          </w:tcPr>
          <w:p w14:paraId="53FF36C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6E54D40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294C293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59308AE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19:00</w:t>
            </w:r>
          </w:p>
        </w:tc>
        <w:tc>
          <w:tcPr>
            <w:tcW w:w="541" w:type="pct"/>
            <w:vAlign w:val="center"/>
          </w:tcPr>
          <w:p w14:paraId="060AA0F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3F6BF8C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CF9CCE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28BCF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trPr>
        <w:tc>
          <w:tcPr>
            <w:tcW w:w="599" w:type="pct"/>
            <w:vAlign w:val="center"/>
          </w:tcPr>
          <w:p w14:paraId="6EE9C3F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赤厝村</w:t>
            </w:r>
          </w:p>
        </w:tc>
        <w:tc>
          <w:tcPr>
            <w:tcW w:w="682" w:type="pct"/>
            <w:vAlign w:val="center"/>
          </w:tcPr>
          <w:p w14:paraId="0C76678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06:00</w:t>
            </w:r>
          </w:p>
        </w:tc>
        <w:tc>
          <w:tcPr>
            <w:tcW w:w="529" w:type="pct"/>
            <w:vAlign w:val="center"/>
          </w:tcPr>
          <w:p w14:paraId="6DFF0E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0" w:type="pct"/>
            <w:vAlign w:val="center"/>
          </w:tcPr>
          <w:p w14:paraId="7966B6D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6ACE4BF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679" w:type="pct"/>
            <w:vAlign w:val="center"/>
          </w:tcPr>
          <w:p w14:paraId="6DCB130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2022/09/05 06:00</w:t>
            </w:r>
          </w:p>
        </w:tc>
        <w:tc>
          <w:tcPr>
            <w:tcW w:w="541" w:type="pct"/>
            <w:vAlign w:val="center"/>
          </w:tcPr>
          <w:p w14:paraId="3ED091F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7C80928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445D9B3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56AE1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trPr>
        <w:tc>
          <w:tcPr>
            <w:tcW w:w="599" w:type="pct"/>
            <w:vAlign w:val="center"/>
          </w:tcPr>
          <w:p w14:paraId="3F0A63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门口村</w:t>
            </w:r>
          </w:p>
        </w:tc>
        <w:tc>
          <w:tcPr>
            <w:tcW w:w="682" w:type="pct"/>
            <w:vAlign w:val="center"/>
          </w:tcPr>
          <w:p w14:paraId="3E4B3B3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20:00</w:t>
            </w:r>
          </w:p>
        </w:tc>
        <w:tc>
          <w:tcPr>
            <w:tcW w:w="529" w:type="pct"/>
            <w:vAlign w:val="center"/>
          </w:tcPr>
          <w:p w14:paraId="7C3160B3">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265B273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1C3B62E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5E39A73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2022/09/14 20:00</w:t>
            </w:r>
          </w:p>
        </w:tc>
        <w:tc>
          <w:tcPr>
            <w:tcW w:w="541" w:type="pct"/>
            <w:vAlign w:val="center"/>
          </w:tcPr>
          <w:p w14:paraId="3CF1A83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69D64B6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18483C8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1E007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5B7465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后陈村</w:t>
            </w:r>
          </w:p>
        </w:tc>
        <w:tc>
          <w:tcPr>
            <w:tcW w:w="682" w:type="pct"/>
            <w:vAlign w:val="center"/>
          </w:tcPr>
          <w:p w14:paraId="2ADF20D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761C0B2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33588C0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05838B6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2224ABE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41" w:type="pct"/>
            <w:vAlign w:val="center"/>
          </w:tcPr>
          <w:p w14:paraId="19A68E5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42EAEC1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85E8D8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1C9F9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30F9D42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岭口村</w:t>
            </w:r>
          </w:p>
        </w:tc>
        <w:tc>
          <w:tcPr>
            <w:tcW w:w="682" w:type="pct"/>
            <w:vAlign w:val="center"/>
          </w:tcPr>
          <w:p w14:paraId="7F7F6D8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29" w:type="pct"/>
            <w:vAlign w:val="center"/>
          </w:tcPr>
          <w:p w14:paraId="03FCC34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30" w:type="pct"/>
            <w:vAlign w:val="center"/>
          </w:tcPr>
          <w:p w14:paraId="56EA28C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694F67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679" w:type="pct"/>
            <w:vAlign w:val="center"/>
          </w:tcPr>
          <w:p w14:paraId="67B03F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1" w:type="pct"/>
            <w:vAlign w:val="center"/>
          </w:tcPr>
          <w:p w14:paraId="50E5E2E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0D88D8A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4BE1D8A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3A016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63E9FD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龙门村</w:t>
            </w:r>
          </w:p>
        </w:tc>
        <w:tc>
          <w:tcPr>
            <w:tcW w:w="682" w:type="pct"/>
            <w:vAlign w:val="center"/>
          </w:tcPr>
          <w:p w14:paraId="4D2E07E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25A883E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33AD187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417C96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54F09F55">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1" w:type="pct"/>
            <w:vAlign w:val="center"/>
          </w:tcPr>
          <w:p w14:paraId="4765FB5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0CCD7C2B">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0CC7585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76579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43BAAC2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后庄村</w:t>
            </w:r>
          </w:p>
        </w:tc>
        <w:tc>
          <w:tcPr>
            <w:tcW w:w="682" w:type="pct"/>
            <w:vAlign w:val="center"/>
          </w:tcPr>
          <w:p w14:paraId="35B71EC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22:00</w:t>
            </w:r>
          </w:p>
        </w:tc>
        <w:tc>
          <w:tcPr>
            <w:tcW w:w="529" w:type="pct"/>
            <w:vAlign w:val="center"/>
          </w:tcPr>
          <w:p w14:paraId="7737913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530" w:type="pct"/>
            <w:vAlign w:val="center"/>
          </w:tcPr>
          <w:p w14:paraId="1EA5F3A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7C8D8B2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0.02</w:t>
            </w:r>
          </w:p>
        </w:tc>
        <w:tc>
          <w:tcPr>
            <w:tcW w:w="679" w:type="pct"/>
            <w:vAlign w:val="center"/>
          </w:tcPr>
          <w:p w14:paraId="6B68C58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2022/03/25 21:00</w:t>
            </w:r>
          </w:p>
        </w:tc>
        <w:tc>
          <w:tcPr>
            <w:tcW w:w="541" w:type="pct"/>
            <w:vAlign w:val="center"/>
          </w:tcPr>
          <w:p w14:paraId="1896C850">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72" w:type="pct"/>
            <w:vAlign w:val="center"/>
          </w:tcPr>
          <w:p w14:paraId="5ABA04D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5562046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28FBF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vAlign w:val="center"/>
          </w:tcPr>
          <w:p w14:paraId="3CB240C6">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北郭村</w:t>
            </w:r>
          </w:p>
        </w:tc>
        <w:tc>
          <w:tcPr>
            <w:tcW w:w="682" w:type="pct"/>
            <w:vAlign w:val="center"/>
          </w:tcPr>
          <w:p w14:paraId="206D2199">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167B5EED">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530" w:type="pct"/>
            <w:vAlign w:val="center"/>
          </w:tcPr>
          <w:p w14:paraId="7D371B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vAlign w:val="center"/>
          </w:tcPr>
          <w:p w14:paraId="20ACA4D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0.01</w:t>
            </w:r>
          </w:p>
        </w:tc>
        <w:tc>
          <w:tcPr>
            <w:tcW w:w="679" w:type="pct"/>
            <w:vAlign w:val="center"/>
          </w:tcPr>
          <w:p w14:paraId="05B4505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2022/06/15 13:00</w:t>
            </w:r>
          </w:p>
        </w:tc>
        <w:tc>
          <w:tcPr>
            <w:tcW w:w="541" w:type="pct"/>
            <w:vAlign w:val="center"/>
          </w:tcPr>
          <w:p w14:paraId="4DCB4848">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c>
          <w:tcPr>
            <w:tcW w:w="572" w:type="pct"/>
            <w:vAlign w:val="center"/>
          </w:tcPr>
          <w:p w14:paraId="40B51BE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vAlign w:val="center"/>
          </w:tcPr>
          <w:p w14:paraId="2F26CE7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0.00</w:t>
            </w:r>
          </w:p>
        </w:tc>
      </w:tr>
      <w:tr w14:paraId="7001E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9" w:type="pct"/>
            <w:tcBorders>
              <w:bottom w:val="single" w:color="auto" w:sz="12" w:space="0"/>
            </w:tcBorders>
            <w:vAlign w:val="center"/>
          </w:tcPr>
          <w:p w14:paraId="15782FEF">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区域最大值</w:t>
            </w:r>
          </w:p>
        </w:tc>
        <w:tc>
          <w:tcPr>
            <w:tcW w:w="682" w:type="pct"/>
            <w:tcBorders>
              <w:bottom w:val="single" w:color="auto" w:sz="12" w:space="0"/>
            </w:tcBorders>
            <w:vAlign w:val="center"/>
          </w:tcPr>
          <w:p w14:paraId="4111643C">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2022/03/01 21:00</w:t>
            </w:r>
          </w:p>
        </w:tc>
        <w:tc>
          <w:tcPr>
            <w:tcW w:w="529" w:type="pct"/>
            <w:tcBorders>
              <w:bottom w:val="single" w:color="auto" w:sz="12" w:space="0"/>
            </w:tcBorders>
            <w:vAlign w:val="center"/>
          </w:tcPr>
          <w:p w14:paraId="28473B7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1.75</w:t>
            </w:r>
          </w:p>
        </w:tc>
        <w:tc>
          <w:tcPr>
            <w:tcW w:w="530" w:type="pct"/>
            <w:tcBorders>
              <w:bottom w:val="single" w:color="auto" w:sz="12" w:space="0"/>
            </w:tcBorders>
            <w:vAlign w:val="center"/>
          </w:tcPr>
          <w:p w14:paraId="187763F1">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100.00</w:t>
            </w:r>
          </w:p>
        </w:tc>
        <w:tc>
          <w:tcPr>
            <w:tcW w:w="442" w:type="pct"/>
            <w:tcBorders>
              <w:bottom w:val="single" w:color="auto" w:sz="12" w:space="0"/>
            </w:tcBorders>
            <w:vAlign w:val="center"/>
          </w:tcPr>
          <w:p w14:paraId="19914EE7">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1.75 </w:t>
            </w:r>
          </w:p>
        </w:tc>
        <w:tc>
          <w:tcPr>
            <w:tcW w:w="679" w:type="pct"/>
            <w:tcBorders>
              <w:bottom w:val="single" w:color="auto" w:sz="12" w:space="0"/>
            </w:tcBorders>
            <w:vAlign w:val="center"/>
          </w:tcPr>
          <w:p w14:paraId="4D2114BA">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2022/11/26 02:00</w:t>
            </w:r>
          </w:p>
        </w:tc>
        <w:tc>
          <w:tcPr>
            <w:tcW w:w="541" w:type="pct"/>
            <w:tcBorders>
              <w:bottom w:val="single" w:color="auto" w:sz="12" w:space="0"/>
            </w:tcBorders>
            <w:vAlign w:val="center"/>
          </w:tcPr>
          <w:p w14:paraId="0CE55E74">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0.53</w:t>
            </w:r>
          </w:p>
        </w:tc>
        <w:tc>
          <w:tcPr>
            <w:tcW w:w="572" w:type="pct"/>
            <w:tcBorders>
              <w:bottom w:val="single" w:color="auto" w:sz="12" w:space="0"/>
            </w:tcBorders>
            <w:vAlign w:val="center"/>
          </w:tcPr>
          <w:p w14:paraId="0BDF4AC2">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200.00</w:t>
            </w:r>
          </w:p>
        </w:tc>
        <w:tc>
          <w:tcPr>
            <w:tcW w:w="426" w:type="pct"/>
            <w:tcBorders>
              <w:bottom w:val="single" w:color="auto" w:sz="12" w:space="0"/>
            </w:tcBorders>
            <w:vAlign w:val="center"/>
          </w:tcPr>
          <w:p w14:paraId="4EF8C01E">
            <w:pPr>
              <w:pStyle w:val="988"/>
              <w:adjustRightInd w:val="0"/>
              <w:snapToGrid w:val="0"/>
              <w:spacing w:line="240" w:lineRule="auto"/>
              <w:ind w:firstLine="0" w:firstLineChars="0"/>
              <w:jc w:val="center"/>
              <w:rPr>
                <w:color w:val="auto"/>
                <w:sz w:val="21"/>
                <w:szCs w:val="21"/>
                <w:highlight w:val="none"/>
                <w:u w:val="none"/>
              </w:rPr>
            </w:pPr>
            <w:r>
              <w:rPr>
                <w:rFonts w:hint="eastAsia"/>
                <w:color w:val="auto"/>
                <w:sz w:val="21"/>
                <w:szCs w:val="21"/>
                <w:highlight w:val="none"/>
                <w:u w:val="none"/>
              </w:rPr>
              <w:t xml:space="preserve">0.27 </w:t>
            </w:r>
          </w:p>
        </w:tc>
      </w:tr>
    </w:tbl>
    <w:p w14:paraId="48A5B4FA">
      <w:pPr>
        <w:pStyle w:val="988"/>
        <w:adjustRightInd w:val="0"/>
        <w:snapToGrid w:val="0"/>
        <w:ind w:firstLine="0" w:firstLineChars="0"/>
        <w:rPr>
          <w:color w:val="auto"/>
          <w:highlight w:val="none"/>
          <w:u w:val="none"/>
        </w:rPr>
      </w:pPr>
    </w:p>
    <w:p w14:paraId="0ABD8E93">
      <w:pPr>
        <w:pStyle w:val="85"/>
        <w:rPr>
          <w:color w:val="auto"/>
          <w:highlight w:val="none"/>
          <w:u w:val="none"/>
        </w:rPr>
      </w:pPr>
      <w:bookmarkStart w:id="479" w:name="_Ref14923096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21</w:t>
      </w:r>
      <w:r>
        <w:rPr>
          <w:color w:val="auto"/>
          <w:highlight w:val="none"/>
          <w:u w:val="none"/>
        </w:rPr>
        <w:fldChar w:fldCharType="end"/>
      </w:r>
      <w:bookmarkEnd w:id="479"/>
      <w:r>
        <w:rPr>
          <w:color w:val="auto"/>
          <w:highlight w:val="none"/>
          <w:u w:val="none"/>
        </w:rPr>
        <w:t xml:space="preserve">  本项目氯气质量浓度贡献值预测结果表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4D812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3A64CCB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2539D2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氯气</w:t>
            </w:r>
            <w:r>
              <w:rPr>
                <w:rFonts w:hAnsi="Times New Roman"/>
                <w:color w:val="auto"/>
                <w:sz w:val="21"/>
                <w:szCs w:val="21"/>
                <w:highlight w:val="none"/>
                <w:u w:val="none"/>
              </w:rPr>
              <w:t>小时浓度</w:t>
            </w:r>
          </w:p>
        </w:tc>
        <w:tc>
          <w:tcPr>
            <w:tcW w:w="2190" w:type="pct"/>
            <w:gridSpan w:val="4"/>
            <w:vAlign w:val="center"/>
          </w:tcPr>
          <w:p w14:paraId="6B41DD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氯气日均</w:t>
            </w:r>
            <w:r>
              <w:rPr>
                <w:rFonts w:hAnsi="Times New Roman"/>
                <w:color w:val="auto"/>
                <w:sz w:val="21"/>
                <w:szCs w:val="21"/>
                <w:highlight w:val="none"/>
                <w:u w:val="none"/>
              </w:rPr>
              <w:t>浓度</w:t>
            </w:r>
          </w:p>
        </w:tc>
      </w:tr>
      <w:tr w14:paraId="32E40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6E10F8E2">
            <w:pPr>
              <w:spacing w:line="240" w:lineRule="auto"/>
              <w:ind w:firstLine="0" w:firstLineChars="0"/>
              <w:jc w:val="center"/>
              <w:rPr>
                <w:rFonts w:hAnsi="Times New Roman"/>
                <w:color w:val="auto"/>
                <w:sz w:val="21"/>
                <w:szCs w:val="21"/>
                <w:highlight w:val="none"/>
                <w:u w:val="none"/>
              </w:rPr>
            </w:pPr>
          </w:p>
        </w:tc>
        <w:tc>
          <w:tcPr>
            <w:tcW w:w="688" w:type="pct"/>
            <w:vAlign w:val="center"/>
          </w:tcPr>
          <w:p w14:paraId="6FAF44D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560DCEB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3098722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13BC3D0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2FFB55D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3E8B162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5A9EB03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58A2016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286E4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F45FDA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8" w:type="pct"/>
            <w:vAlign w:val="center"/>
          </w:tcPr>
          <w:p w14:paraId="65F2F6F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05:00</w:t>
            </w:r>
          </w:p>
        </w:tc>
        <w:tc>
          <w:tcPr>
            <w:tcW w:w="535" w:type="pct"/>
            <w:vAlign w:val="center"/>
          </w:tcPr>
          <w:p w14:paraId="5DFB707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536" w:type="pct"/>
            <w:vAlign w:val="center"/>
          </w:tcPr>
          <w:p w14:paraId="71D153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00F998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0BCAD2A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2022/08/13 00:00</w:t>
            </w:r>
          </w:p>
        </w:tc>
        <w:tc>
          <w:tcPr>
            <w:tcW w:w="548" w:type="pct"/>
            <w:vAlign w:val="center"/>
          </w:tcPr>
          <w:p w14:paraId="199D850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042FDE3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8FE1B5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5ABF1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2380FC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8" w:type="pct"/>
            <w:vAlign w:val="center"/>
          </w:tcPr>
          <w:p w14:paraId="644B3A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2022/04/22 01:00</w:t>
            </w:r>
          </w:p>
        </w:tc>
        <w:tc>
          <w:tcPr>
            <w:tcW w:w="535" w:type="pct"/>
            <w:vAlign w:val="center"/>
          </w:tcPr>
          <w:p w14:paraId="42DEB37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669D16F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77211AF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4CF007E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2022/05/13 00:00</w:t>
            </w:r>
          </w:p>
        </w:tc>
        <w:tc>
          <w:tcPr>
            <w:tcW w:w="548" w:type="pct"/>
            <w:vAlign w:val="center"/>
          </w:tcPr>
          <w:p w14:paraId="6E1597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7C6B44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320839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40055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4F9D65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8" w:type="pct"/>
            <w:vAlign w:val="center"/>
          </w:tcPr>
          <w:p w14:paraId="04FF421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20:00</w:t>
            </w:r>
          </w:p>
        </w:tc>
        <w:tc>
          <w:tcPr>
            <w:tcW w:w="535" w:type="pct"/>
            <w:vAlign w:val="center"/>
          </w:tcPr>
          <w:p w14:paraId="02626C0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0FA5A4D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19318AA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1CF5C7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00:00</w:t>
            </w:r>
          </w:p>
        </w:tc>
        <w:tc>
          <w:tcPr>
            <w:tcW w:w="548" w:type="pct"/>
            <w:vAlign w:val="center"/>
          </w:tcPr>
          <w:p w14:paraId="568D3C3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3A758D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8FE810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31049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C703BE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8" w:type="pct"/>
            <w:vAlign w:val="center"/>
          </w:tcPr>
          <w:p w14:paraId="52665D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19:00</w:t>
            </w:r>
          </w:p>
        </w:tc>
        <w:tc>
          <w:tcPr>
            <w:tcW w:w="535" w:type="pct"/>
            <w:vAlign w:val="center"/>
          </w:tcPr>
          <w:p w14:paraId="698064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536" w:type="pct"/>
            <w:vAlign w:val="center"/>
          </w:tcPr>
          <w:p w14:paraId="78626BF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EF101A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633" w:type="pct"/>
            <w:vAlign w:val="center"/>
          </w:tcPr>
          <w:p w14:paraId="1B9D597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00:00</w:t>
            </w:r>
          </w:p>
        </w:tc>
        <w:tc>
          <w:tcPr>
            <w:tcW w:w="548" w:type="pct"/>
            <w:vAlign w:val="center"/>
          </w:tcPr>
          <w:p w14:paraId="57CB33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2CEC5D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0610D4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1FF04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A5B70C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8" w:type="pct"/>
            <w:vAlign w:val="center"/>
          </w:tcPr>
          <w:p w14:paraId="3C7DD79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2022/08/18 22:00</w:t>
            </w:r>
          </w:p>
        </w:tc>
        <w:tc>
          <w:tcPr>
            <w:tcW w:w="535" w:type="pct"/>
            <w:vAlign w:val="center"/>
          </w:tcPr>
          <w:p w14:paraId="09F9ABA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2EEAD22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6E7F7FE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1989168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2022/05/31 00:00</w:t>
            </w:r>
          </w:p>
        </w:tc>
        <w:tc>
          <w:tcPr>
            <w:tcW w:w="548" w:type="pct"/>
            <w:vAlign w:val="center"/>
          </w:tcPr>
          <w:p w14:paraId="7FB2C7E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19823C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36C536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F9E5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DC474F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8" w:type="pct"/>
            <w:vAlign w:val="center"/>
          </w:tcPr>
          <w:p w14:paraId="4E4116F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19:00</w:t>
            </w:r>
          </w:p>
        </w:tc>
        <w:tc>
          <w:tcPr>
            <w:tcW w:w="535" w:type="pct"/>
            <w:vAlign w:val="center"/>
          </w:tcPr>
          <w:p w14:paraId="4964EB8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55512BD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3C6FBDF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3988715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00:00</w:t>
            </w:r>
          </w:p>
        </w:tc>
        <w:tc>
          <w:tcPr>
            <w:tcW w:w="548" w:type="pct"/>
            <w:vAlign w:val="center"/>
          </w:tcPr>
          <w:p w14:paraId="327E027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1DA307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8FCEF3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2EF95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9EBBD8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8" w:type="pct"/>
            <w:vAlign w:val="center"/>
          </w:tcPr>
          <w:p w14:paraId="0E4964E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2022/08/19 01:00</w:t>
            </w:r>
          </w:p>
        </w:tc>
        <w:tc>
          <w:tcPr>
            <w:tcW w:w="535" w:type="pct"/>
            <w:vAlign w:val="center"/>
          </w:tcPr>
          <w:p w14:paraId="6B1C073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c>
          <w:tcPr>
            <w:tcW w:w="536" w:type="pct"/>
            <w:vAlign w:val="center"/>
          </w:tcPr>
          <w:p w14:paraId="32CB52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917F1A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c>
          <w:tcPr>
            <w:tcW w:w="633" w:type="pct"/>
            <w:vAlign w:val="center"/>
          </w:tcPr>
          <w:p w14:paraId="47A1FDD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00:00</w:t>
            </w:r>
          </w:p>
        </w:tc>
        <w:tc>
          <w:tcPr>
            <w:tcW w:w="548" w:type="pct"/>
            <w:vAlign w:val="center"/>
          </w:tcPr>
          <w:p w14:paraId="591DF1C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00C4FC7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E84B5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28D43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5E868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8" w:type="pct"/>
            <w:vAlign w:val="center"/>
          </w:tcPr>
          <w:p w14:paraId="3634938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06:00</w:t>
            </w:r>
          </w:p>
        </w:tc>
        <w:tc>
          <w:tcPr>
            <w:tcW w:w="535" w:type="pct"/>
            <w:vAlign w:val="center"/>
          </w:tcPr>
          <w:p w14:paraId="178821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536" w:type="pct"/>
            <w:vAlign w:val="center"/>
          </w:tcPr>
          <w:p w14:paraId="5F602B5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162EE3D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633" w:type="pct"/>
            <w:vAlign w:val="center"/>
          </w:tcPr>
          <w:p w14:paraId="401851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00:00</w:t>
            </w:r>
          </w:p>
        </w:tc>
        <w:tc>
          <w:tcPr>
            <w:tcW w:w="548" w:type="pct"/>
            <w:vAlign w:val="center"/>
          </w:tcPr>
          <w:p w14:paraId="4B9EC11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79" w:type="pct"/>
            <w:vAlign w:val="center"/>
          </w:tcPr>
          <w:p w14:paraId="7B3A93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6BE5D5C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r>
      <w:tr w14:paraId="04E4A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BBD3E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8" w:type="pct"/>
            <w:vAlign w:val="center"/>
          </w:tcPr>
          <w:p w14:paraId="138BC9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2022/07/11 06:00</w:t>
            </w:r>
          </w:p>
        </w:tc>
        <w:tc>
          <w:tcPr>
            <w:tcW w:w="535" w:type="pct"/>
            <w:vAlign w:val="center"/>
          </w:tcPr>
          <w:p w14:paraId="78635DA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536" w:type="pct"/>
            <w:vAlign w:val="center"/>
          </w:tcPr>
          <w:p w14:paraId="540B36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82A97E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33" w:type="pct"/>
            <w:vAlign w:val="center"/>
          </w:tcPr>
          <w:p w14:paraId="55FE530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2022/03/26 00:00</w:t>
            </w:r>
          </w:p>
        </w:tc>
        <w:tc>
          <w:tcPr>
            <w:tcW w:w="548" w:type="pct"/>
            <w:vAlign w:val="center"/>
          </w:tcPr>
          <w:p w14:paraId="3BFC040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39BA0D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3198C24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28B3F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8346A0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8" w:type="pct"/>
            <w:vAlign w:val="center"/>
          </w:tcPr>
          <w:p w14:paraId="6EB339E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35" w:type="pct"/>
            <w:vAlign w:val="center"/>
          </w:tcPr>
          <w:p w14:paraId="18F680B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536" w:type="pct"/>
            <w:vAlign w:val="center"/>
          </w:tcPr>
          <w:p w14:paraId="658340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2178B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633" w:type="pct"/>
            <w:vAlign w:val="center"/>
          </w:tcPr>
          <w:p w14:paraId="22E14BF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7816942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24D5F6E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4836D9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03319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CB1905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8" w:type="pct"/>
            <w:vAlign w:val="center"/>
          </w:tcPr>
          <w:p w14:paraId="2C1DF05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5CBF13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536" w:type="pct"/>
            <w:vAlign w:val="center"/>
          </w:tcPr>
          <w:p w14:paraId="071239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3BAC2F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633" w:type="pct"/>
            <w:vAlign w:val="center"/>
          </w:tcPr>
          <w:p w14:paraId="7912146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60488B1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042C563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69BD15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92778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97CC12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8" w:type="pct"/>
            <w:vAlign w:val="center"/>
          </w:tcPr>
          <w:p w14:paraId="1D7A959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0386772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5EBF542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7CF86E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6D3EA33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5FB0EC3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443A18E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76E23DC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4DB68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C4E407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8" w:type="pct"/>
            <w:vAlign w:val="center"/>
          </w:tcPr>
          <w:p w14:paraId="4D0682C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2B2278D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1FFFC6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17C8FB8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1392FD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32BBF33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4560EB6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9290F7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14C9D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19666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8" w:type="pct"/>
            <w:vAlign w:val="center"/>
          </w:tcPr>
          <w:p w14:paraId="49BC358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2022/04/14 04:00</w:t>
            </w:r>
          </w:p>
        </w:tc>
        <w:tc>
          <w:tcPr>
            <w:tcW w:w="535" w:type="pct"/>
            <w:vAlign w:val="center"/>
          </w:tcPr>
          <w:p w14:paraId="231816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536" w:type="pct"/>
            <w:vAlign w:val="center"/>
          </w:tcPr>
          <w:p w14:paraId="7050B40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6EFB5D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069B20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2022/03/01 00:00</w:t>
            </w:r>
          </w:p>
        </w:tc>
        <w:tc>
          <w:tcPr>
            <w:tcW w:w="548" w:type="pct"/>
            <w:vAlign w:val="center"/>
          </w:tcPr>
          <w:p w14:paraId="586A881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2C448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E8359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1C5FB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2CC89A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8" w:type="pct"/>
            <w:vAlign w:val="center"/>
          </w:tcPr>
          <w:p w14:paraId="0363143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2022/03/14 21:00</w:t>
            </w:r>
          </w:p>
        </w:tc>
        <w:tc>
          <w:tcPr>
            <w:tcW w:w="535" w:type="pct"/>
            <w:vAlign w:val="center"/>
          </w:tcPr>
          <w:p w14:paraId="6D8224D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0.32</w:t>
            </w:r>
          </w:p>
        </w:tc>
        <w:tc>
          <w:tcPr>
            <w:tcW w:w="536" w:type="pct"/>
            <w:vAlign w:val="center"/>
          </w:tcPr>
          <w:p w14:paraId="2EAEA72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8D7D24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0.32</w:t>
            </w:r>
          </w:p>
        </w:tc>
        <w:tc>
          <w:tcPr>
            <w:tcW w:w="633" w:type="pct"/>
            <w:vAlign w:val="center"/>
          </w:tcPr>
          <w:p w14:paraId="599A345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2022/04/29 00:00</w:t>
            </w:r>
          </w:p>
        </w:tc>
        <w:tc>
          <w:tcPr>
            <w:tcW w:w="548" w:type="pct"/>
            <w:vAlign w:val="center"/>
          </w:tcPr>
          <w:p w14:paraId="4ECF85E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79" w:type="pct"/>
            <w:vAlign w:val="center"/>
          </w:tcPr>
          <w:p w14:paraId="6BA943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4B086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r>
      <w:tr w14:paraId="6D9CE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0E56E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8" w:type="pct"/>
            <w:vAlign w:val="center"/>
          </w:tcPr>
          <w:p w14:paraId="5813C7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35" w:type="pct"/>
            <w:vAlign w:val="center"/>
          </w:tcPr>
          <w:p w14:paraId="702D253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536" w:type="pct"/>
            <w:vAlign w:val="center"/>
          </w:tcPr>
          <w:p w14:paraId="09B4327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CF4F5E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633" w:type="pct"/>
            <w:vAlign w:val="center"/>
          </w:tcPr>
          <w:p w14:paraId="650A19B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582885A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102975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5B0238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404AE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5B71F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8" w:type="pct"/>
            <w:vAlign w:val="center"/>
          </w:tcPr>
          <w:p w14:paraId="53CEE0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05:00</w:t>
            </w:r>
          </w:p>
        </w:tc>
        <w:tc>
          <w:tcPr>
            <w:tcW w:w="535" w:type="pct"/>
            <w:vAlign w:val="center"/>
          </w:tcPr>
          <w:p w14:paraId="305B164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320E61B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80BF11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28F9311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660B6CD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2AA3C61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398714C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0D931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03E95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8" w:type="pct"/>
            <w:vAlign w:val="center"/>
          </w:tcPr>
          <w:p w14:paraId="3EBB23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078E622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4567EB6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7E27752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42012FC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4311408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1058247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64F3CA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A4BE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F761D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8" w:type="pct"/>
            <w:vAlign w:val="center"/>
          </w:tcPr>
          <w:p w14:paraId="3D1955B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6BB793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3F274F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6F9C985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5AB3394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2132A5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7BB22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7DFCE54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1EDC2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5BD05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8" w:type="pct"/>
            <w:vAlign w:val="center"/>
          </w:tcPr>
          <w:p w14:paraId="7C4F0D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01:00</w:t>
            </w:r>
          </w:p>
        </w:tc>
        <w:tc>
          <w:tcPr>
            <w:tcW w:w="535" w:type="pct"/>
            <w:vAlign w:val="center"/>
          </w:tcPr>
          <w:p w14:paraId="50C3DCD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6F37C2C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3D7D195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69CA4B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0C86F82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54A2AE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189FD40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9196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684E38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8" w:type="pct"/>
            <w:vAlign w:val="center"/>
          </w:tcPr>
          <w:p w14:paraId="15236B9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1AC9230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18A60A5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232A26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0BF3131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3F7577A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54835EE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69A032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70A56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A4399D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8" w:type="pct"/>
            <w:vAlign w:val="center"/>
          </w:tcPr>
          <w:p w14:paraId="717383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298C38B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536" w:type="pct"/>
            <w:vAlign w:val="center"/>
          </w:tcPr>
          <w:p w14:paraId="0D5244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76CC16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33" w:type="pct"/>
            <w:vAlign w:val="center"/>
          </w:tcPr>
          <w:p w14:paraId="454175A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4480C83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20E0CD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3E2475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41671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8E5E2B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8" w:type="pct"/>
            <w:vAlign w:val="center"/>
          </w:tcPr>
          <w:p w14:paraId="565518F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5DA2981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43C79E6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84A907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63B7507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41F0DC5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31D0C32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C36E8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8F17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C415FF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8" w:type="pct"/>
            <w:vAlign w:val="center"/>
          </w:tcPr>
          <w:p w14:paraId="1816261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3887466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536" w:type="pct"/>
            <w:vAlign w:val="center"/>
          </w:tcPr>
          <w:p w14:paraId="01D7A6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153C6F7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633" w:type="pct"/>
            <w:vAlign w:val="center"/>
          </w:tcPr>
          <w:p w14:paraId="5CB4343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44A8FA9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4F91C10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A72A3A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1DBF0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B4010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8" w:type="pct"/>
            <w:vAlign w:val="center"/>
          </w:tcPr>
          <w:p w14:paraId="39802C2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02:00</w:t>
            </w:r>
          </w:p>
        </w:tc>
        <w:tc>
          <w:tcPr>
            <w:tcW w:w="535" w:type="pct"/>
            <w:vAlign w:val="center"/>
          </w:tcPr>
          <w:p w14:paraId="49A96F8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536" w:type="pct"/>
            <w:vAlign w:val="center"/>
          </w:tcPr>
          <w:p w14:paraId="10C16CB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7EC6FAB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33" w:type="pct"/>
            <w:vAlign w:val="center"/>
          </w:tcPr>
          <w:p w14:paraId="4881F5E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4466B7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7172D5A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44BA0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32589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A3E344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8" w:type="pct"/>
            <w:vAlign w:val="center"/>
          </w:tcPr>
          <w:p w14:paraId="108070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2CBF206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536" w:type="pct"/>
            <w:vAlign w:val="center"/>
          </w:tcPr>
          <w:p w14:paraId="1248CB4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78AC44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633" w:type="pct"/>
            <w:vAlign w:val="center"/>
          </w:tcPr>
          <w:p w14:paraId="423869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2022/11/26 00:00</w:t>
            </w:r>
          </w:p>
        </w:tc>
        <w:tc>
          <w:tcPr>
            <w:tcW w:w="548" w:type="pct"/>
            <w:vAlign w:val="center"/>
          </w:tcPr>
          <w:p w14:paraId="1B3422A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4C4D5CD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1E657E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4D470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56A5A3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8" w:type="pct"/>
            <w:vAlign w:val="center"/>
          </w:tcPr>
          <w:p w14:paraId="3AEA25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31C73C6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4D10ED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FCDAB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633" w:type="pct"/>
            <w:vAlign w:val="center"/>
          </w:tcPr>
          <w:p w14:paraId="4CA3E3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2022/11/26 00:00</w:t>
            </w:r>
          </w:p>
        </w:tc>
        <w:tc>
          <w:tcPr>
            <w:tcW w:w="548" w:type="pct"/>
            <w:vAlign w:val="center"/>
          </w:tcPr>
          <w:p w14:paraId="341A7D3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DA11F9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066032E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2961B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034A33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8" w:type="pct"/>
            <w:vAlign w:val="center"/>
          </w:tcPr>
          <w:p w14:paraId="638D4C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3DE207E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5963C12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3B0A07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633" w:type="pct"/>
            <w:vAlign w:val="center"/>
          </w:tcPr>
          <w:p w14:paraId="54C922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4840A1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4F4D92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1704E65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B407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8BD75B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376BC5B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543EF41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4E04381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7A7607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633" w:type="pct"/>
            <w:vAlign w:val="center"/>
          </w:tcPr>
          <w:p w14:paraId="56571D6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00:00</w:t>
            </w:r>
          </w:p>
        </w:tc>
        <w:tc>
          <w:tcPr>
            <w:tcW w:w="548" w:type="pct"/>
            <w:vAlign w:val="center"/>
          </w:tcPr>
          <w:p w14:paraId="07785E2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54566BE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1280BC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562B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AE614E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8" w:type="pct"/>
            <w:vAlign w:val="center"/>
          </w:tcPr>
          <w:p w14:paraId="2732379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19:00</w:t>
            </w:r>
          </w:p>
        </w:tc>
        <w:tc>
          <w:tcPr>
            <w:tcW w:w="535" w:type="pct"/>
            <w:vAlign w:val="center"/>
          </w:tcPr>
          <w:p w14:paraId="093F90A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745B39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22CEC7F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25C5044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2022/04/24 00:00</w:t>
            </w:r>
          </w:p>
        </w:tc>
        <w:tc>
          <w:tcPr>
            <w:tcW w:w="548" w:type="pct"/>
            <w:vAlign w:val="center"/>
          </w:tcPr>
          <w:p w14:paraId="5BCB3FC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534EEB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4625E1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40F7B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7632A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8" w:type="pct"/>
            <w:vAlign w:val="center"/>
          </w:tcPr>
          <w:p w14:paraId="5E45E0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06:00</w:t>
            </w:r>
          </w:p>
        </w:tc>
        <w:tc>
          <w:tcPr>
            <w:tcW w:w="535" w:type="pct"/>
            <w:vAlign w:val="center"/>
          </w:tcPr>
          <w:p w14:paraId="75B2EF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057A146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231120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1289275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703A473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3E7512A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0A0A967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06C4F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7B4023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8" w:type="pct"/>
            <w:vAlign w:val="center"/>
          </w:tcPr>
          <w:p w14:paraId="38B3F9A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20:00</w:t>
            </w:r>
          </w:p>
        </w:tc>
        <w:tc>
          <w:tcPr>
            <w:tcW w:w="535" w:type="pct"/>
            <w:vAlign w:val="center"/>
          </w:tcPr>
          <w:p w14:paraId="1DC39BF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2666209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1A4AAAD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1B18F0B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5B3182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EACA45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5EC3E5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6215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BCDDB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4046BD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7776682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117799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C63569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633" w:type="pct"/>
            <w:vAlign w:val="center"/>
          </w:tcPr>
          <w:p w14:paraId="103EE77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00:00</w:t>
            </w:r>
          </w:p>
        </w:tc>
        <w:tc>
          <w:tcPr>
            <w:tcW w:w="548" w:type="pct"/>
            <w:vAlign w:val="center"/>
          </w:tcPr>
          <w:p w14:paraId="2E0CE37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14F7C1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031B327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5C566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A55A75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8" w:type="pct"/>
            <w:vAlign w:val="center"/>
          </w:tcPr>
          <w:p w14:paraId="6696C4E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21:00</w:t>
            </w:r>
          </w:p>
        </w:tc>
        <w:tc>
          <w:tcPr>
            <w:tcW w:w="535" w:type="pct"/>
            <w:vAlign w:val="center"/>
          </w:tcPr>
          <w:p w14:paraId="461F49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371DD09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3B46848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4B305D0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2022/04/24 00:00</w:t>
            </w:r>
          </w:p>
        </w:tc>
        <w:tc>
          <w:tcPr>
            <w:tcW w:w="548" w:type="pct"/>
            <w:vAlign w:val="center"/>
          </w:tcPr>
          <w:p w14:paraId="41BDEF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40B706B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1903FA8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32157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0D96E5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8" w:type="pct"/>
            <w:vAlign w:val="center"/>
          </w:tcPr>
          <w:p w14:paraId="3CDA636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0BF953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3E889FC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02D90B2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33" w:type="pct"/>
            <w:vAlign w:val="center"/>
          </w:tcPr>
          <w:p w14:paraId="6291E8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0DDC99F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3F84F3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4DA874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1B87C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342644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8" w:type="pct"/>
            <w:vAlign w:val="center"/>
          </w:tcPr>
          <w:p w14:paraId="0A6EA36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7094F0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64BBE36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34E71B6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6E4F3CA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23466AB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06AB8D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0A3CCE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5D36F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57521D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8" w:type="pct"/>
            <w:vAlign w:val="center"/>
          </w:tcPr>
          <w:p w14:paraId="23A5C2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7E2A32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6" w:type="pct"/>
            <w:vAlign w:val="center"/>
          </w:tcPr>
          <w:p w14:paraId="1A0243D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46EC857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633" w:type="pct"/>
            <w:vAlign w:val="center"/>
          </w:tcPr>
          <w:p w14:paraId="30CD90B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2022/11/29 00:00</w:t>
            </w:r>
          </w:p>
        </w:tc>
        <w:tc>
          <w:tcPr>
            <w:tcW w:w="548" w:type="pct"/>
            <w:vAlign w:val="center"/>
          </w:tcPr>
          <w:p w14:paraId="153E9FC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2428FEB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226F0C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3A1FE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31EB30">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8" w:type="pct"/>
            <w:vAlign w:val="center"/>
          </w:tcPr>
          <w:p w14:paraId="5350E6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2022/03/01 21:00</w:t>
            </w:r>
          </w:p>
        </w:tc>
        <w:tc>
          <w:tcPr>
            <w:tcW w:w="535" w:type="pct"/>
            <w:vAlign w:val="center"/>
          </w:tcPr>
          <w:p w14:paraId="0687BC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6.17</w:t>
            </w:r>
          </w:p>
        </w:tc>
        <w:tc>
          <w:tcPr>
            <w:tcW w:w="536" w:type="pct"/>
            <w:vAlign w:val="center"/>
          </w:tcPr>
          <w:p w14:paraId="1F61DD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100.00</w:t>
            </w:r>
          </w:p>
        </w:tc>
        <w:tc>
          <w:tcPr>
            <w:tcW w:w="447" w:type="pct"/>
            <w:vAlign w:val="center"/>
          </w:tcPr>
          <w:p w14:paraId="5381AA5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6.17 </w:t>
            </w:r>
          </w:p>
        </w:tc>
        <w:tc>
          <w:tcPr>
            <w:tcW w:w="633" w:type="pct"/>
            <w:vAlign w:val="center"/>
          </w:tcPr>
          <w:p w14:paraId="4BBABF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2022/07/16 00:00</w:t>
            </w:r>
          </w:p>
        </w:tc>
        <w:tc>
          <w:tcPr>
            <w:tcW w:w="548" w:type="pct"/>
            <w:vAlign w:val="center"/>
          </w:tcPr>
          <w:p w14:paraId="5F542E3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1.40</w:t>
            </w:r>
          </w:p>
        </w:tc>
        <w:tc>
          <w:tcPr>
            <w:tcW w:w="579" w:type="pct"/>
            <w:vAlign w:val="center"/>
          </w:tcPr>
          <w:p w14:paraId="73663D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30.00</w:t>
            </w:r>
          </w:p>
        </w:tc>
        <w:tc>
          <w:tcPr>
            <w:tcW w:w="430" w:type="pct"/>
            <w:vAlign w:val="center"/>
          </w:tcPr>
          <w:p w14:paraId="4191FA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4.66 </w:t>
            </w:r>
          </w:p>
        </w:tc>
      </w:tr>
    </w:tbl>
    <w:p w14:paraId="03D1D865">
      <w:pPr>
        <w:pStyle w:val="85"/>
        <w:rPr>
          <w:color w:val="auto"/>
          <w:highlight w:val="none"/>
          <w:u w:val="none"/>
        </w:rPr>
      </w:pPr>
      <w:bookmarkStart w:id="480" w:name="_Ref2004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22</w:t>
      </w:r>
      <w:r>
        <w:rPr>
          <w:color w:val="auto"/>
          <w:highlight w:val="none"/>
          <w:u w:val="none"/>
        </w:rPr>
        <w:fldChar w:fldCharType="end"/>
      </w:r>
      <w:bookmarkEnd w:id="480"/>
      <w:r>
        <w:rPr>
          <w:color w:val="auto"/>
          <w:highlight w:val="none"/>
          <w:u w:val="none"/>
        </w:rPr>
        <w:t xml:space="preserve">  本项目</w:t>
      </w:r>
      <w:r>
        <w:rPr>
          <w:rFonts w:hint="eastAsia"/>
          <w:color w:val="auto"/>
          <w:highlight w:val="none"/>
          <w:u w:val="none"/>
        </w:rPr>
        <w:t>氯化氢</w:t>
      </w:r>
      <w:r>
        <w:rPr>
          <w:color w:val="auto"/>
          <w:highlight w:val="none"/>
          <w:u w:val="none"/>
        </w:rPr>
        <w:t>质量浓度贡献值预测结果表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3D64B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246742C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2879AC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氯化氢</w:t>
            </w:r>
            <w:r>
              <w:rPr>
                <w:rFonts w:hAnsi="Times New Roman"/>
                <w:color w:val="auto"/>
                <w:sz w:val="21"/>
                <w:szCs w:val="21"/>
                <w:highlight w:val="none"/>
                <w:u w:val="none"/>
              </w:rPr>
              <w:t>小时浓度</w:t>
            </w:r>
          </w:p>
        </w:tc>
        <w:tc>
          <w:tcPr>
            <w:tcW w:w="2190" w:type="pct"/>
            <w:gridSpan w:val="4"/>
            <w:vAlign w:val="center"/>
          </w:tcPr>
          <w:p w14:paraId="5EECCC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氯化氢日均</w:t>
            </w:r>
            <w:r>
              <w:rPr>
                <w:rFonts w:hAnsi="Times New Roman"/>
                <w:color w:val="auto"/>
                <w:sz w:val="21"/>
                <w:szCs w:val="21"/>
                <w:highlight w:val="none"/>
                <w:u w:val="none"/>
              </w:rPr>
              <w:t>浓度</w:t>
            </w:r>
          </w:p>
        </w:tc>
      </w:tr>
      <w:tr w14:paraId="7CC65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5C7E8CB7">
            <w:pPr>
              <w:spacing w:line="240" w:lineRule="auto"/>
              <w:ind w:firstLine="0" w:firstLineChars="0"/>
              <w:jc w:val="center"/>
              <w:rPr>
                <w:rFonts w:hAnsi="Times New Roman"/>
                <w:color w:val="auto"/>
                <w:sz w:val="21"/>
                <w:szCs w:val="21"/>
                <w:highlight w:val="none"/>
                <w:u w:val="none"/>
              </w:rPr>
            </w:pPr>
          </w:p>
        </w:tc>
        <w:tc>
          <w:tcPr>
            <w:tcW w:w="688" w:type="pct"/>
            <w:vAlign w:val="center"/>
          </w:tcPr>
          <w:p w14:paraId="7DE92D0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757182F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1EBA2FB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67C4A42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7DD9E92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2BD30CA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5A987FF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2772DE4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02C99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F92BBF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8" w:type="pct"/>
            <w:vAlign w:val="center"/>
          </w:tcPr>
          <w:p w14:paraId="1B4256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05:00</w:t>
            </w:r>
          </w:p>
        </w:tc>
        <w:tc>
          <w:tcPr>
            <w:tcW w:w="535" w:type="pct"/>
            <w:vAlign w:val="center"/>
          </w:tcPr>
          <w:p w14:paraId="5AFAE0C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658D0C5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6F1EBF8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0.14</w:t>
            </w:r>
          </w:p>
        </w:tc>
        <w:tc>
          <w:tcPr>
            <w:tcW w:w="633" w:type="pct"/>
            <w:vAlign w:val="center"/>
          </w:tcPr>
          <w:p w14:paraId="09A706D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2022/08/13 00:00</w:t>
            </w:r>
          </w:p>
        </w:tc>
        <w:tc>
          <w:tcPr>
            <w:tcW w:w="548" w:type="pct"/>
            <w:vAlign w:val="center"/>
          </w:tcPr>
          <w:p w14:paraId="67BE741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0789E9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E684FC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316C3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EA6A1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8" w:type="pct"/>
            <w:vAlign w:val="center"/>
          </w:tcPr>
          <w:p w14:paraId="5DF4C6E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2022/04/22 01:00</w:t>
            </w:r>
          </w:p>
        </w:tc>
        <w:tc>
          <w:tcPr>
            <w:tcW w:w="535" w:type="pct"/>
            <w:vAlign w:val="center"/>
          </w:tcPr>
          <w:p w14:paraId="1280696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6357590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8FF0A2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5B35653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2022/05/13 00:00</w:t>
            </w:r>
          </w:p>
        </w:tc>
        <w:tc>
          <w:tcPr>
            <w:tcW w:w="548" w:type="pct"/>
            <w:vAlign w:val="center"/>
          </w:tcPr>
          <w:p w14:paraId="2A79C4A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1C7A1F4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40F7E4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0DA5F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EA84F5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8" w:type="pct"/>
            <w:vAlign w:val="center"/>
          </w:tcPr>
          <w:p w14:paraId="39F87FF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20:00</w:t>
            </w:r>
          </w:p>
        </w:tc>
        <w:tc>
          <w:tcPr>
            <w:tcW w:w="535" w:type="pct"/>
            <w:vAlign w:val="center"/>
          </w:tcPr>
          <w:p w14:paraId="0D520BE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1F9EBF2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8193F0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6B929D1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00:00</w:t>
            </w:r>
          </w:p>
        </w:tc>
        <w:tc>
          <w:tcPr>
            <w:tcW w:w="548" w:type="pct"/>
            <w:vAlign w:val="center"/>
          </w:tcPr>
          <w:p w14:paraId="72A08C9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143F2B3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5668CDA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251D0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84E60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8" w:type="pct"/>
            <w:vAlign w:val="center"/>
          </w:tcPr>
          <w:p w14:paraId="0C78E6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19:00</w:t>
            </w:r>
          </w:p>
        </w:tc>
        <w:tc>
          <w:tcPr>
            <w:tcW w:w="535" w:type="pct"/>
            <w:vAlign w:val="center"/>
          </w:tcPr>
          <w:p w14:paraId="1536F9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536" w:type="pct"/>
            <w:vAlign w:val="center"/>
          </w:tcPr>
          <w:p w14:paraId="791B189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1F8AA21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0.24</w:t>
            </w:r>
          </w:p>
        </w:tc>
        <w:tc>
          <w:tcPr>
            <w:tcW w:w="633" w:type="pct"/>
            <w:vAlign w:val="center"/>
          </w:tcPr>
          <w:p w14:paraId="2478E2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00:00</w:t>
            </w:r>
          </w:p>
        </w:tc>
        <w:tc>
          <w:tcPr>
            <w:tcW w:w="548" w:type="pct"/>
            <w:vAlign w:val="center"/>
          </w:tcPr>
          <w:p w14:paraId="4C83538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65280BA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4C52F20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r>
      <w:tr w14:paraId="24D8C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0B346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8" w:type="pct"/>
            <w:vAlign w:val="center"/>
          </w:tcPr>
          <w:p w14:paraId="56E7569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2022/08/18 22:00</w:t>
            </w:r>
          </w:p>
        </w:tc>
        <w:tc>
          <w:tcPr>
            <w:tcW w:w="535" w:type="pct"/>
            <w:vAlign w:val="center"/>
          </w:tcPr>
          <w:p w14:paraId="03F10D7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519F1DD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6048D27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33" w:type="pct"/>
            <w:vAlign w:val="center"/>
          </w:tcPr>
          <w:p w14:paraId="64BF07C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2022/05/31 00:00</w:t>
            </w:r>
          </w:p>
        </w:tc>
        <w:tc>
          <w:tcPr>
            <w:tcW w:w="548" w:type="pct"/>
            <w:vAlign w:val="center"/>
          </w:tcPr>
          <w:p w14:paraId="0F995FD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09FF789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8C190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7C460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98FC5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8" w:type="pct"/>
            <w:vAlign w:val="center"/>
          </w:tcPr>
          <w:p w14:paraId="2715194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19:00</w:t>
            </w:r>
          </w:p>
        </w:tc>
        <w:tc>
          <w:tcPr>
            <w:tcW w:w="535" w:type="pct"/>
            <w:vAlign w:val="center"/>
          </w:tcPr>
          <w:p w14:paraId="6F778EC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6" w:type="pct"/>
            <w:vAlign w:val="center"/>
          </w:tcPr>
          <w:p w14:paraId="58AE891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3ACF2F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39668E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00:00</w:t>
            </w:r>
          </w:p>
        </w:tc>
        <w:tc>
          <w:tcPr>
            <w:tcW w:w="548" w:type="pct"/>
            <w:vAlign w:val="center"/>
          </w:tcPr>
          <w:p w14:paraId="2E6DB5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41C6A8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D4C898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370F0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4DBA4E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8" w:type="pct"/>
            <w:vAlign w:val="center"/>
          </w:tcPr>
          <w:p w14:paraId="1952CE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2022/08/19 01:00</w:t>
            </w:r>
          </w:p>
        </w:tc>
        <w:tc>
          <w:tcPr>
            <w:tcW w:w="535" w:type="pct"/>
            <w:vAlign w:val="center"/>
          </w:tcPr>
          <w:p w14:paraId="18C013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536" w:type="pct"/>
            <w:vAlign w:val="center"/>
          </w:tcPr>
          <w:p w14:paraId="1BB5CE5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8BA54C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0.21</w:t>
            </w:r>
          </w:p>
        </w:tc>
        <w:tc>
          <w:tcPr>
            <w:tcW w:w="633" w:type="pct"/>
            <w:vAlign w:val="center"/>
          </w:tcPr>
          <w:p w14:paraId="0F52EFF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00:00</w:t>
            </w:r>
          </w:p>
        </w:tc>
        <w:tc>
          <w:tcPr>
            <w:tcW w:w="548" w:type="pct"/>
            <w:vAlign w:val="center"/>
          </w:tcPr>
          <w:p w14:paraId="7BCDC8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09A5F2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5D418E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00696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62B2E7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8" w:type="pct"/>
            <w:vAlign w:val="center"/>
          </w:tcPr>
          <w:p w14:paraId="51A2278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06:00</w:t>
            </w:r>
          </w:p>
        </w:tc>
        <w:tc>
          <w:tcPr>
            <w:tcW w:w="535" w:type="pct"/>
            <w:vAlign w:val="center"/>
          </w:tcPr>
          <w:p w14:paraId="54D43F6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536" w:type="pct"/>
            <w:vAlign w:val="center"/>
          </w:tcPr>
          <w:p w14:paraId="6D9099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5F680E7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0.24</w:t>
            </w:r>
          </w:p>
        </w:tc>
        <w:tc>
          <w:tcPr>
            <w:tcW w:w="633" w:type="pct"/>
            <w:vAlign w:val="center"/>
          </w:tcPr>
          <w:p w14:paraId="36005E8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00:00</w:t>
            </w:r>
          </w:p>
        </w:tc>
        <w:tc>
          <w:tcPr>
            <w:tcW w:w="548" w:type="pct"/>
            <w:vAlign w:val="center"/>
          </w:tcPr>
          <w:p w14:paraId="47370C5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25E1B21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5E79C43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r>
      <w:tr w14:paraId="063A1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31DF0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8" w:type="pct"/>
            <w:vAlign w:val="center"/>
          </w:tcPr>
          <w:p w14:paraId="224723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2022/07/11 06:00</w:t>
            </w:r>
          </w:p>
        </w:tc>
        <w:tc>
          <w:tcPr>
            <w:tcW w:w="535" w:type="pct"/>
            <w:vAlign w:val="center"/>
          </w:tcPr>
          <w:p w14:paraId="1E2356C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4CC52DD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437D771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0.16</w:t>
            </w:r>
          </w:p>
        </w:tc>
        <w:tc>
          <w:tcPr>
            <w:tcW w:w="633" w:type="pct"/>
            <w:vAlign w:val="center"/>
          </w:tcPr>
          <w:p w14:paraId="3F4F68B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2022/03/26 00:00</w:t>
            </w:r>
          </w:p>
        </w:tc>
        <w:tc>
          <w:tcPr>
            <w:tcW w:w="548" w:type="pct"/>
            <w:vAlign w:val="center"/>
          </w:tcPr>
          <w:p w14:paraId="6471959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483A80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9D1F1E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71D10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CB8427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8" w:type="pct"/>
            <w:vAlign w:val="center"/>
          </w:tcPr>
          <w:p w14:paraId="43DBE0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35" w:type="pct"/>
            <w:vAlign w:val="center"/>
          </w:tcPr>
          <w:p w14:paraId="6547EF7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c>
          <w:tcPr>
            <w:tcW w:w="536" w:type="pct"/>
            <w:vAlign w:val="center"/>
          </w:tcPr>
          <w:p w14:paraId="13BBA50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0B6680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0.19</w:t>
            </w:r>
          </w:p>
        </w:tc>
        <w:tc>
          <w:tcPr>
            <w:tcW w:w="633" w:type="pct"/>
            <w:vAlign w:val="center"/>
          </w:tcPr>
          <w:p w14:paraId="10C21C7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01CA594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4AD0733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39E06D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r>
      <w:tr w14:paraId="26B2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B96C39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8" w:type="pct"/>
            <w:vAlign w:val="center"/>
          </w:tcPr>
          <w:p w14:paraId="61DA4F4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0F20EF8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7D92BEF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1B6477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0.14</w:t>
            </w:r>
          </w:p>
        </w:tc>
        <w:tc>
          <w:tcPr>
            <w:tcW w:w="633" w:type="pct"/>
            <w:vAlign w:val="center"/>
          </w:tcPr>
          <w:p w14:paraId="48E1037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7B4FA9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3A14617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3AECBA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6C572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BA841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8" w:type="pct"/>
            <w:vAlign w:val="center"/>
          </w:tcPr>
          <w:p w14:paraId="2C6B15F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23367ED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6" w:type="pct"/>
            <w:vAlign w:val="center"/>
          </w:tcPr>
          <w:p w14:paraId="7CADF83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39175F1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50A705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32849F3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24DDCFB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6C75555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2A69E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B7686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8" w:type="pct"/>
            <w:vAlign w:val="center"/>
          </w:tcPr>
          <w:p w14:paraId="252DA3F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62F8256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64C0B99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509D8EE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4780301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1BC121E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5B3F061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BDA8D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6AC12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D2DCC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8" w:type="pct"/>
            <w:vAlign w:val="center"/>
          </w:tcPr>
          <w:p w14:paraId="236BC6E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2022/04/14 04:00</w:t>
            </w:r>
          </w:p>
        </w:tc>
        <w:tc>
          <w:tcPr>
            <w:tcW w:w="535" w:type="pct"/>
            <w:vAlign w:val="center"/>
          </w:tcPr>
          <w:p w14:paraId="78BB8B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6" w:type="pct"/>
            <w:vAlign w:val="center"/>
          </w:tcPr>
          <w:p w14:paraId="4DD43AD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61E20E3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0.14</w:t>
            </w:r>
          </w:p>
        </w:tc>
        <w:tc>
          <w:tcPr>
            <w:tcW w:w="633" w:type="pct"/>
            <w:vAlign w:val="center"/>
          </w:tcPr>
          <w:p w14:paraId="3848321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2022/03/01 00:00</w:t>
            </w:r>
          </w:p>
        </w:tc>
        <w:tc>
          <w:tcPr>
            <w:tcW w:w="548" w:type="pct"/>
            <w:vAlign w:val="center"/>
          </w:tcPr>
          <w:p w14:paraId="44B67B9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7B024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B760C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r>
      <w:tr w14:paraId="08853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557E1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8" w:type="pct"/>
            <w:vAlign w:val="center"/>
          </w:tcPr>
          <w:p w14:paraId="5DD2EA8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2022/03/14 21:00</w:t>
            </w:r>
          </w:p>
        </w:tc>
        <w:tc>
          <w:tcPr>
            <w:tcW w:w="535" w:type="pct"/>
            <w:vAlign w:val="center"/>
          </w:tcPr>
          <w:p w14:paraId="7F7D3E3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0.23</w:t>
            </w:r>
          </w:p>
        </w:tc>
        <w:tc>
          <w:tcPr>
            <w:tcW w:w="536" w:type="pct"/>
            <w:vAlign w:val="center"/>
          </w:tcPr>
          <w:p w14:paraId="02C9EFF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1807EB5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0.46</w:t>
            </w:r>
          </w:p>
        </w:tc>
        <w:tc>
          <w:tcPr>
            <w:tcW w:w="633" w:type="pct"/>
            <w:vAlign w:val="center"/>
          </w:tcPr>
          <w:p w14:paraId="02DB3D5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2022/04/29 00:00</w:t>
            </w:r>
          </w:p>
        </w:tc>
        <w:tc>
          <w:tcPr>
            <w:tcW w:w="548" w:type="pct"/>
            <w:vAlign w:val="center"/>
          </w:tcPr>
          <w:p w14:paraId="2FCC5AC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79" w:type="pct"/>
            <w:vAlign w:val="center"/>
          </w:tcPr>
          <w:p w14:paraId="4DC3D5B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6CEAD89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r>
      <w:tr w14:paraId="36443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8C3A24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8" w:type="pct"/>
            <w:vAlign w:val="center"/>
          </w:tcPr>
          <w:p w14:paraId="0436B5A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35" w:type="pct"/>
            <w:vAlign w:val="center"/>
          </w:tcPr>
          <w:p w14:paraId="41E2779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2812CC1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742CB8A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633" w:type="pct"/>
            <w:vAlign w:val="center"/>
          </w:tcPr>
          <w:p w14:paraId="72B54CF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305584B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5BD0CE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48BE7B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0A8A3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264B4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8" w:type="pct"/>
            <w:vAlign w:val="center"/>
          </w:tcPr>
          <w:p w14:paraId="1F23562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05:00</w:t>
            </w:r>
          </w:p>
        </w:tc>
        <w:tc>
          <w:tcPr>
            <w:tcW w:w="535" w:type="pct"/>
            <w:vAlign w:val="center"/>
          </w:tcPr>
          <w:p w14:paraId="29AD3B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75D1CC0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C8D6A3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33" w:type="pct"/>
            <w:vAlign w:val="center"/>
          </w:tcPr>
          <w:p w14:paraId="2831481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05A7F2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7017A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EC304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36B30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307CC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8" w:type="pct"/>
            <w:vAlign w:val="center"/>
          </w:tcPr>
          <w:p w14:paraId="2630950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35" w:type="pct"/>
            <w:vAlign w:val="center"/>
          </w:tcPr>
          <w:p w14:paraId="30D1C4D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7A797F1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20E63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633" w:type="pct"/>
            <w:vAlign w:val="center"/>
          </w:tcPr>
          <w:p w14:paraId="1D1BBC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4C1C93E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F6317B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79127D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3ADF8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D9CFF3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8" w:type="pct"/>
            <w:vAlign w:val="center"/>
          </w:tcPr>
          <w:p w14:paraId="5AF86D4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0785E7E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371E8D5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A2034B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3092431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7624AC8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7FCD6A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39C44D8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3301A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F91B6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8" w:type="pct"/>
            <w:vAlign w:val="center"/>
          </w:tcPr>
          <w:p w14:paraId="0E9D27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01:00</w:t>
            </w:r>
          </w:p>
        </w:tc>
        <w:tc>
          <w:tcPr>
            <w:tcW w:w="535" w:type="pct"/>
            <w:vAlign w:val="center"/>
          </w:tcPr>
          <w:p w14:paraId="3E0893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69FC88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1800CEA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33" w:type="pct"/>
            <w:vAlign w:val="center"/>
          </w:tcPr>
          <w:p w14:paraId="7204F89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43C1B8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9DCA68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0ECAEF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2EB9D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074A69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8" w:type="pct"/>
            <w:vAlign w:val="center"/>
          </w:tcPr>
          <w:p w14:paraId="762756F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5E3FAA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6" w:type="pct"/>
            <w:vAlign w:val="center"/>
          </w:tcPr>
          <w:p w14:paraId="4B82A49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6DF1A3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633" w:type="pct"/>
            <w:vAlign w:val="center"/>
          </w:tcPr>
          <w:p w14:paraId="6A11B3E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442EBD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5037B70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04759AA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6BF7B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25614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8" w:type="pct"/>
            <w:vAlign w:val="center"/>
          </w:tcPr>
          <w:p w14:paraId="54120D6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5399FB9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5556C1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7C40A0D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0.16</w:t>
            </w:r>
          </w:p>
        </w:tc>
        <w:tc>
          <w:tcPr>
            <w:tcW w:w="633" w:type="pct"/>
            <w:vAlign w:val="center"/>
          </w:tcPr>
          <w:p w14:paraId="566679B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345780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BED4C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9A5E2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017F0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9CA3F1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8" w:type="pct"/>
            <w:vAlign w:val="center"/>
          </w:tcPr>
          <w:p w14:paraId="7EE3CD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35" w:type="pct"/>
            <w:vAlign w:val="center"/>
          </w:tcPr>
          <w:p w14:paraId="0441D2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6" w:type="pct"/>
            <w:vAlign w:val="center"/>
          </w:tcPr>
          <w:p w14:paraId="6C2A76C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341C62C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400536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2300AD3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6C020C3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59C8AA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2B655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28BA9E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8" w:type="pct"/>
            <w:vAlign w:val="center"/>
          </w:tcPr>
          <w:p w14:paraId="4302513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35" w:type="pct"/>
            <w:vAlign w:val="center"/>
          </w:tcPr>
          <w:p w14:paraId="4AF1D2A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3A2C0A7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469A6C5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33" w:type="pct"/>
            <w:vAlign w:val="center"/>
          </w:tcPr>
          <w:p w14:paraId="2D3B422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55650E3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20DEEAC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2E0F6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r>
      <w:tr w14:paraId="480F8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A9ECB3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8" w:type="pct"/>
            <w:vAlign w:val="center"/>
          </w:tcPr>
          <w:p w14:paraId="68E741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02:00</w:t>
            </w:r>
          </w:p>
        </w:tc>
        <w:tc>
          <w:tcPr>
            <w:tcW w:w="535" w:type="pct"/>
            <w:vAlign w:val="center"/>
          </w:tcPr>
          <w:p w14:paraId="0AD7AF2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536" w:type="pct"/>
            <w:vAlign w:val="center"/>
          </w:tcPr>
          <w:p w14:paraId="0F67578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A952F7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c>
          <w:tcPr>
            <w:tcW w:w="633" w:type="pct"/>
            <w:vAlign w:val="center"/>
          </w:tcPr>
          <w:p w14:paraId="184A607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00:00</w:t>
            </w:r>
          </w:p>
        </w:tc>
        <w:tc>
          <w:tcPr>
            <w:tcW w:w="548" w:type="pct"/>
            <w:vAlign w:val="center"/>
          </w:tcPr>
          <w:p w14:paraId="786286B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6D73F7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3AAADDE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7971F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64003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8" w:type="pct"/>
            <w:vAlign w:val="center"/>
          </w:tcPr>
          <w:p w14:paraId="72699D0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58BA7F0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536" w:type="pct"/>
            <w:vAlign w:val="center"/>
          </w:tcPr>
          <w:p w14:paraId="05A7BC5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EF1CB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633" w:type="pct"/>
            <w:vAlign w:val="center"/>
          </w:tcPr>
          <w:p w14:paraId="6D0E0D3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2022/11/26 00:00</w:t>
            </w:r>
          </w:p>
        </w:tc>
        <w:tc>
          <w:tcPr>
            <w:tcW w:w="548" w:type="pct"/>
            <w:vAlign w:val="center"/>
          </w:tcPr>
          <w:p w14:paraId="4F1DEA1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49A98E6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08C7F0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02447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ABCB7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8" w:type="pct"/>
            <w:vAlign w:val="center"/>
          </w:tcPr>
          <w:p w14:paraId="10AA92E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35" w:type="pct"/>
            <w:vAlign w:val="center"/>
          </w:tcPr>
          <w:p w14:paraId="7AD200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6575BF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7148CA6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108B074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2022/11/26 00:00</w:t>
            </w:r>
          </w:p>
        </w:tc>
        <w:tc>
          <w:tcPr>
            <w:tcW w:w="548" w:type="pct"/>
            <w:vAlign w:val="center"/>
          </w:tcPr>
          <w:p w14:paraId="40A3DBE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693913D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4DBA61B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69E88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6EBF58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8" w:type="pct"/>
            <w:vAlign w:val="center"/>
          </w:tcPr>
          <w:p w14:paraId="7536EF2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35" w:type="pct"/>
            <w:vAlign w:val="center"/>
          </w:tcPr>
          <w:p w14:paraId="57814AA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1619342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5FF23C9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6B0C56A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00:00</w:t>
            </w:r>
          </w:p>
        </w:tc>
        <w:tc>
          <w:tcPr>
            <w:tcW w:w="548" w:type="pct"/>
            <w:vAlign w:val="center"/>
          </w:tcPr>
          <w:p w14:paraId="536656E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181FF7B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D6FED1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3C4A3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BBD62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1C1440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4FF3E6D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5AECE07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4C6CEF5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0A2654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00:00</w:t>
            </w:r>
          </w:p>
        </w:tc>
        <w:tc>
          <w:tcPr>
            <w:tcW w:w="548" w:type="pct"/>
            <w:vAlign w:val="center"/>
          </w:tcPr>
          <w:p w14:paraId="7B76AE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131B45D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852D1E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82E8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6DA193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8" w:type="pct"/>
            <w:vAlign w:val="center"/>
          </w:tcPr>
          <w:p w14:paraId="7804FEE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19:00</w:t>
            </w:r>
          </w:p>
        </w:tc>
        <w:tc>
          <w:tcPr>
            <w:tcW w:w="535" w:type="pct"/>
            <w:vAlign w:val="center"/>
          </w:tcPr>
          <w:p w14:paraId="72B4EF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22423E5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625ECAB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6993243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2022/04/24 00:00</w:t>
            </w:r>
          </w:p>
        </w:tc>
        <w:tc>
          <w:tcPr>
            <w:tcW w:w="548" w:type="pct"/>
            <w:vAlign w:val="center"/>
          </w:tcPr>
          <w:p w14:paraId="4CE1677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E4B020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E993FB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43CF8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C2B1CB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8" w:type="pct"/>
            <w:vAlign w:val="center"/>
          </w:tcPr>
          <w:p w14:paraId="0CFA31D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06:00</w:t>
            </w:r>
          </w:p>
        </w:tc>
        <w:tc>
          <w:tcPr>
            <w:tcW w:w="535" w:type="pct"/>
            <w:vAlign w:val="center"/>
          </w:tcPr>
          <w:p w14:paraId="7556BAE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6" w:type="pct"/>
            <w:vAlign w:val="center"/>
          </w:tcPr>
          <w:p w14:paraId="1B4D19C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77E34D8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6622D4A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614571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4026AD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26D13A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6C223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74260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8" w:type="pct"/>
            <w:vAlign w:val="center"/>
          </w:tcPr>
          <w:p w14:paraId="24E35D1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20:00</w:t>
            </w:r>
          </w:p>
        </w:tc>
        <w:tc>
          <w:tcPr>
            <w:tcW w:w="535" w:type="pct"/>
            <w:vAlign w:val="center"/>
          </w:tcPr>
          <w:p w14:paraId="41771BF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1177A53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360955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633" w:type="pct"/>
            <w:vAlign w:val="center"/>
          </w:tcPr>
          <w:p w14:paraId="1F19E7D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00:00</w:t>
            </w:r>
          </w:p>
        </w:tc>
        <w:tc>
          <w:tcPr>
            <w:tcW w:w="548" w:type="pct"/>
            <w:vAlign w:val="center"/>
          </w:tcPr>
          <w:p w14:paraId="3FDF71B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A1AD1D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1F248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1741A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0DEF29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540E8AB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4CEC56D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21CD21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558E9EB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c>
          <w:tcPr>
            <w:tcW w:w="633" w:type="pct"/>
            <w:vAlign w:val="center"/>
          </w:tcPr>
          <w:p w14:paraId="5B6C55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00:00</w:t>
            </w:r>
          </w:p>
        </w:tc>
        <w:tc>
          <w:tcPr>
            <w:tcW w:w="548" w:type="pct"/>
            <w:vAlign w:val="center"/>
          </w:tcPr>
          <w:p w14:paraId="662A72A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057DDB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4862F44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EBB0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CB2691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8" w:type="pct"/>
            <w:vAlign w:val="center"/>
          </w:tcPr>
          <w:p w14:paraId="7376D9F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21:00</w:t>
            </w:r>
          </w:p>
        </w:tc>
        <w:tc>
          <w:tcPr>
            <w:tcW w:w="535" w:type="pct"/>
            <w:vAlign w:val="center"/>
          </w:tcPr>
          <w:p w14:paraId="3193E80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6" w:type="pct"/>
            <w:vAlign w:val="center"/>
          </w:tcPr>
          <w:p w14:paraId="12399A4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46E07D0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633" w:type="pct"/>
            <w:vAlign w:val="center"/>
          </w:tcPr>
          <w:p w14:paraId="2D29F46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2022/04/24 00:00</w:t>
            </w:r>
          </w:p>
        </w:tc>
        <w:tc>
          <w:tcPr>
            <w:tcW w:w="548" w:type="pct"/>
            <w:vAlign w:val="center"/>
          </w:tcPr>
          <w:p w14:paraId="3D90D7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78A80E0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6230370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57465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923AA7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8" w:type="pct"/>
            <w:vAlign w:val="center"/>
          </w:tcPr>
          <w:p w14:paraId="084F10D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5C46B74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6" w:type="pct"/>
            <w:vAlign w:val="center"/>
          </w:tcPr>
          <w:p w14:paraId="1FF1826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F243C9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633" w:type="pct"/>
            <w:vAlign w:val="center"/>
          </w:tcPr>
          <w:p w14:paraId="7C35A6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314546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49B9ECD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7CBF705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A5C1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F7C488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8" w:type="pct"/>
            <w:vAlign w:val="center"/>
          </w:tcPr>
          <w:p w14:paraId="1DF6E3F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35" w:type="pct"/>
            <w:vAlign w:val="center"/>
          </w:tcPr>
          <w:p w14:paraId="2393754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6" w:type="pct"/>
            <w:vAlign w:val="center"/>
          </w:tcPr>
          <w:p w14:paraId="6B07381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0F001B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33" w:type="pct"/>
            <w:vAlign w:val="center"/>
          </w:tcPr>
          <w:p w14:paraId="1225564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00:00</w:t>
            </w:r>
          </w:p>
        </w:tc>
        <w:tc>
          <w:tcPr>
            <w:tcW w:w="548" w:type="pct"/>
            <w:vAlign w:val="center"/>
          </w:tcPr>
          <w:p w14:paraId="3D6BF02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9" w:type="pct"/>
            <w:vAlign w:val="center"/>
          </w:tcPr>
          <w:p w14:paraId="70E90CD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379F6E6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78A91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97A295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8" w:type="pct"/>
            <w:vAlign w:val="center"/>
          </w:tcPr>
          <w:p w14:paraId="1E91AB5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35" w:type="pct"/>
            <w:vAlign w:val="center"/>
          </w:tcPr>
          <w:p w14:paraId="5566877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6" w:type="pct"/>
            <w:vAlign w:val="center"/>
          </w:tcPr>
          <w:p w14:paraId="596895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1C34DBC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633" w:type="pct"/>
            <w:vAlign w:val="center"/>
          </w:tcPr>
          <w:p w14:paraId="32E13B1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2022/11/29 00:00</w:t>
            </w:r>
          </w:p>
        </w:tc>
        <w:tc>
          <w:tcPr>
            <w:tcW w:w="548" w:type="pct"/>
            <w:vAlign w:val="center"/>
          </w:tcPr>
          <w:p w14:paraId="05A49F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9" w:type="pct"/>
            <w:vAlign w:val="center"/>
          </w:tcPr>
          <w:p w14:paraId="177E0F1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5A1527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3107C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0873E3">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8" w:type="pct"/>
            <w:vAlign w:val="center"/>
          </w:tcPr>
          <w:p w14:paraId="01527E5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2022/03/01 21:00</w:t>
            </w:r>
          </w:p>
        </w:tc>
        <w:tc>
          <w:tcPr>
            <w:tcW w:w="535" w:type="pct"/>
            <w:vAlign w:val="center"/>
          </w:tcPr>
          <w:p w14:paraId="54C5B6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4.45</w:t>
            </w:r>
          </w:p>
        </w:tc>
        <w:tc>
          <w:tcPr>
            <w:tcW w:w="536" w:type="pct"/>
            <w:vAlign w:val="center"/>
          </w:tcPr>
          <w:p w14:paraId="3FEDD5F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50.00</w:t>
            </w:r>
          </w:p>
        </w:tc>
        <w:tc>
          <w:tcPr>
            <w:tcW w:w="447" w:type="pct"/>
            <w:vAlign w:val="center"/>
          </w:tcPr>
          <w:p w14:paraId="223688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8.90 </w:t>
            </w:r>
          </w:p>
        </w:tc>
        <w:tc>
          <w:tcPr>
            <w:tcW w:w="633" w:type="pct"/>
            <w:vAlign w:val="center"/>
          </w:tcPr>
          <w:p w14:paraId="2111F9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2022/07/16 00:00</w:t>
            </w:r>
          </w:p>
        </w:tc>
        <w:tc>
          <w:tcPr>
            <w:tcW w:w="548" w:type="pct"/>
            <w:vAlign w:val="center"/>
          </w:tcPr>
          <w:p w14:paraId="49A5A82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1.01</w:t>
            </w:r>
          </w:p>
        </w:tc>
        <w:tc>
          <w:tcPr>
            <w:tcW w:w="579" w:type="pct"/>
            <w:vAlign w:val="center"/>
          </w:tcPr>
          <w:p w14:paraId="73302B9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15.00</w:t>
            </w:r>
          </w:p>
        </w:tc>
        <w:tc>
          <w:tcPr>
            <w:tcW w:w="430" w:type="pct"/>
            <w:vAlign w:val="center"/>
          </w:tcPr>
          <w:p w14:paraId="1A0446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6.72 </w:t>
            </w:r>
          </w:p>
        </w:tc>
      </w:tr>
    </w:tbl>
    <w:p w14:paraId="1572FBB1">
      <w:pPr>
        <w:pStyle w:val="988"/>
        <w:adjustRightInd w:val="0"/>
        <w:snapToGrid w:val="0"/>
        <w:ind w:firstLine="0" w:firstLineChars="0"/>
        <w:rPr>
          <w:color w:val="auto"/>
          <w:highlight w:val="none"/>
          <w:u w:val="none"/>
        </w:rPr>
      </w:pPr>
    </w:p>
    <w:p w14:paraId="2C34FEFF">
      <w:pPr>
        <w:pStyle w:val="85"/>
        <w:rPr>
          <w:color w:val="auto"/>
          <w:highlight w:val="none"/>
          <w:u w:val="none"/>
        </w:rPr>
      </w:pPr>
      <w:bookmarkStart w:id="481" w:name="_Ref14923099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23</w:t>
      </w:r>
      <w:r>
        <w:rPr>
          <w:color w:val="auto"/>
          <w:highlight w:val="none"/>
          <w:u w:val="none"/>
        </w:rPr>
        <w:fldChar w:fldCharType="end"/>
      </w:r>
      <w:bookmarkEnd w:id="481"/>
      <w:r>
        <w:rPr>
          <w:color w:val="auto"/>
          <w:highlight w:val="none"/>
          <w:u w:val="none"/>
        </w:rPr>
        <w:t xml:space="preserve">  本项目DNT</w:t>
      </w:r>
      <w:r>
        <w:rPr>
          <w:rFonts w:hint="eastAsia"/>
          <w:color w:val="auto"/>
          <w:highlight w:val="none"/>
          <w:u w:val="none"/>
        </w:rPr>
        <w:t>和</w:t>
      </w:r>
      <w:r>
        <w:rPr>
          <w:color w:val="auto"/>
          <w:highlight w:val="none"/>
          <w:u w:val="none"/>
        </w:rPr>
        <w:t>光气质量浓度贡献值预测结果表</w:t>
      </w:r>
      <w:bookmarkEnd w:id="477"/>
      <w:bookmarkStart w:id="482" w:name="_Hlk534968453"/>
      <w:bookmarkStart w:id="483" w:name="_Toc23522036"/>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8"/>
        <w:gridCol w:w="1298"/>
        <w:gridCol w:w="1007"/>
        <w:gridCol w:w="1009"/>
        <w:gridCol w:w="841"/>
        <w:gridCol w:w="1294"/>
        <w:gridCol w:w="1031"/>
        <w:gridCol w:w="1090"/>
        <w:gridCol w:w="807"/>
      </w:tblGrid>
      <w:tr w14:paraId="5E363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598" w:type="pct"/>
            <w:vMerge w:val="restart"/>
            <w:vAlign w:val="center"/>
          </w:tcPr>
          <w:p w14:paraId="08A16F8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183" w:type="pct"/>
            <w:gridSpan w:val="4"/>
            <w:vAlign w:val="center"/>
          </w:tcPr>
          <w:p w14:paraId="5E1896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DNT</w:t>
            </w:r>
            <w:r>
              <w:rPr>
                <w:rFonts w:hAnsi="Times New Roman"/>
                <w:color w:val="auto"/>
                <w:sz w:val="21"/>
                <w:szCs w:val="21"/>
                <w:highlight w:val="none"/>
                <w:u w:val="none"/>
              </w:rPr>
              <w:t>小时浓度</w:t>
            </w:r>
          </w:p>
        </w:tc>
        <w:tc>
          <w:tcPr>
            <w:tcW w:w="2219" w:type="pct"/>
            <w:gridSpan w:val="4"/>
            <w:vAlign w:val="center"/>
          </w:tcPr>
          <w:p w14:paraId="3C39DB2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光气</w:t>
            </w:r>
            <w:r>
              <w:rPr>
                <w:rFonts w:hAnsi="Times New Roman"/>
                <w:color w:val="auto"/>
                <w:sz w:val="21"/>
                <w:szCs w:val="21"/>
                <w:highlight w:val="none"/>
                <w:u w:val="none"/>
              </w:rPr>
              <w:t>小时浓度</w:t>
            </w:r>
          </w:p>
        </w:tc>
      </w:tr>
      <w:tr w14:paraId="2D8D4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598" w:type="pct"/>
            <w:vMerge w:val="continue"/>
            <w:vAlign w:val="center"/>
          </w:tcPr>
          <w:p w14:paraId="6CDE9DDE">
            <w:pPr>
              <w:spacing w:line="240" w:lineRule="auto"/>
              <w:ind w:firstLine="0" w:firstLineChars="0"/>
              <w:jc w:val="center"/>
              <w:rPr>
                <w:rFonts w:hAnsi="Times New Roman"/>
                <w:color w:val="auto"/>
                <w:sz w:val="21"/>
                <w:szCs w:val="21"/>
                <w:highlight w:val="none"/>
                <w:u w:val="none"/>
              </w:rPr>
            </w:pPr>
          </w:p>
        </w:tc>
        <w:tc>
          <w:tcPr>
            <w:tcW w:w="682" w:type="pct"/>
            <w:vAlign w:val="center"/>
          </w:tcPr>
          <w:p w14:paraId="332A93B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29" w:type="pct"/>
            <w:vAlign w:val="center"/>
          </w:tcPr>
          <w:p w14:paraId="270C834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0" w:type="pct"/>
            <w:vAlign w:val="center"/>
          </w:tcPr>
          <w:p w14:paraId="0F1107F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2" w:type="pct"/>
            <w:vAlign w:val="center"/>
          </w:tcPr>
          <w:p w14:paraId="10BF476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80" w:type="pct"/>
            <w:vAlign w:val="center"/>
          </w:tcPr>
          <w:p w14:paraId="569AA64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2" w:type="pct"/>
            <w:vAlign w:val="center"/>
          </w:tcPr>
          <w:p w14:paraId="34CF94E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3" w:type="pct"/>
            <w:vAlign w:val="center"/>
          </w:tcPr>
          <w:p w14:paraId="4E86480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24" w:type="pct"/>
            <w:vAlign w:val="center"/>
          </w:tcPr>
          <w:p w14:paraId="6CCBEF9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5E94E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357F51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2" w:type="pct"/>
            <w:vAlign w:val="center"/>
          </w:tcPr>
          <w:p w14:paraId="2663824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05:00</w:t>
            </w:r>
          </w:p>
        </w:tc>
        <w:tc>
          <w:tcPr>
            <w:tcW w:w="529" w:type="pct"/>
            <w:vAlign w:val="center"/>
          </w:tcPr>
          <w:p w14:paraId="243BBF9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3914CB3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4176D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0.23</w:t>
            </w:r>
          </w:p>
        </w:tc>
        <w:tc>
          <w:tcPr>
            <w:tcW w:w="680" w:type="pct"/>
            <w:vAlign w:val="center"/>
          </w:tcPr>
          <w:p w14:paraId="3FC40AF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2022/06/01 05:00</w:t>
            </w:r>
          </w:p>
        </w:tc>
        <w:tc>
          <w:tcPr>
            <w:tcW w:w="542" w:type="pct"/>
            <w:vAlign w:val="center"/>
          </w:tcPr>
          <w:p w14:paraId="533D637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646F61B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2995A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45ED4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F8163F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2" w:type="pct"/>
            <w:vAlign w:val="center"/>
          </w:tcPr>
          <w:p w14:paraId="093379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2022/04/22 01:00</w:t>
            </w:r>
          </w:p>
        </w:tc>
        <w:tc>
          <w:tcPr>
            <w:tcW w:w="529" w:type="pct"/>
            <w:vAlign w:val="center"/>
          </w:tcPr>
          <w:p w14:paraId="66A45FC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5BD0519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28E5A9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0.25</w:t>
            </w:r>
          </w:p>
        </w:tc>
        <w:tc>
          <w:tcPr>
            <w:tcW w:w="680" w:type="pct"/>
            <w:vAlign w:val="center"/>
          </w:tcPr>
          <w:p w14:paraId="0C27383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2022/04/22 01:00</w:t>
            </w:r>
          </w:p>
        </w:tc>
        <w:tc>
          <w:tcPr>
            <w:tcW w:w="542" w:type="pct"/>
            <w:vAlign w:val="center"/>
          </w:tcPr>
          <w:p w14:paraId="1B2E4C9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6B477A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36B2A3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3F1C1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66FFDC4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2" w:type="pct"/>
            <w:vAlign w:val="center"/>
          </w:tcPr>
          <w:p w14:paraId="08272B9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20:00</w:t>
            </w:r>
          </w:p>
        </w:tc>
        <w:tc>
          <w:tcPr>
            <w:tcW w:w="529" w:type="pct"/>
            <w:vAlign w:val="center"/>
          </w:tcPr>
          <w:p w14:paraId="2E7BFA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1840041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5F2C950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0.16</w:t>
            </w:r>
          </w:p>
        </w:tc>
        <w:tc>
          <w:tcPr>
            <w:tcW w:w="680" w:type="pct"/>
            <w:vAlign w:val="center"/>
          </w:tcPr>
          <w:p w14:paraId="0C43C4A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2022/07/28 20:00</w:t>
            </w:r>
          </w:p>
        </w:tc>
        <w:tc>
          <w:tcPr>
            <w:tcW w:w="542" w:type="pct"/>
            <w:vAlign w:val="center"/>
          </w:tcPr>
          <w:p w14:paraId="3F5D677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1207F6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F7FB8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1425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C0CD14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2" w:type="pct"/>
            <w:vAlign w:val="center"/>
          </w:tcPr>
          <w:p w14:paraId="538EFCE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19:00</w:t>
            </w:r>
          </w:p>
        </w:tc>
        <w:tc>
          <w:tcPr>
            <w:tcW w:w="529" w:type="pct"/>
            <w:vAlign w:val="center"/>
          </w:tcPr>
          <w:p w14:paraId="34D84E3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530" w:type="pct"/>
            <w:vAlign w:val="center"/>
          </w:tcPr>
          <w:p w14:paraId="614210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6019778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0.46</w:t>
            </w:r>
          </w:p>
        </w:tc>
        <w:tc>
          <w:tcPr>
            <w:tcW w:w="680" w:type="pct"/>
            <w:vAlign w:val="center"/>
          </w:tcPr>
          <w:p w14:paraId="762CC02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2022/04/28 19:00</w:t>
            </w:r>
          </w:p>
        </w:tc>
        <w:tc>
          <w:tcPr>
            <w:tcW w:w="542" w:type="pct"/>
            <w:vAlign w:val="center"/>
          </w:tcPr>
          <w:p w14:paraId="3DB3615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6F084E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7465F1D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r>
      <w:tr w14:paraId="4A870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2AF1EAE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2" w:type="pct"/>
            <w:vAlign w:val="center"/>
          </w:tcPr>
          <w:p w14:paraId="7AFE0B4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2022/08/18 22:00</w:t>
            </w:r>
          </w:p>
        </w:tc>
        <w:tc>
          <w:tcPr>
            <w:tcW w:w="529" w:type="pct"/>
            <w:vAlign w:val="center"/>
          </w:tcPr>
          <w:p w14:paraId="3EEFEAE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6F39BDE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06078F4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680" w:type="pct"/>
            <w:vAlign w:val="center"/>
          </w:tcPr>
          <w:p w14:paraId="4D7C221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2022/08/18 22:00</w:t>
            </w:r>
          </w:p>
        </w:tc>
        <w:tc>
          <w:tcPr>
            <w:tcW w:w="542" w:type="pct"/>
            <w:vAlign w:val="center"/>
          </w:tcPr>
          <w:p w14:paraId="0FBFF6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56CCE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D77B73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7157E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DFE8DF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2" w:type="pct"/>
            <w:vAlign w:val="center"/>
          </w:tcPr>
          <w:p w14:paraId="6D7D8E0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19:00</w:t>
            </w:r>
          </w:p>
        </w:tc>
        <w:tc>
          <w:tcPr>
            <w:tcW w:w="529" w:type="pct"/>
            <w:vAlign w:val="center"/>
          </w:tcPr>
          <w:p w14:paraId="0D177E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253F7AA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734F2A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80" w:type="pct"/>
            <w:vAlign w:val="center"/>
          </w:tcPr>
          <w:p w14:paraId="357F7D0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2022/08/07 19:00</w:t>
            </w:r>
          </w:p>
        </w:tc>
        <w:tc>
          <w:tcPr>
            <w:tcW w:w="542" w:type="pct"/>
            <w:vAlign w:val="center"/>
          </w:tcPr>
          <w:p w14:paraId="54F7B09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3836198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517B20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4963B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A860B1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2" w:type="pct"/>
            <w:vAlign w:val="center"/>
          </w:tcPr>
          <w:p w14:paraId="487C983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2022/08/19 01:00</w:t>
            </w:r>
          </w:p>
        </w:tc>
        <w:tc>
          <w:tcPr>
            <w:tcW w:w="529" w:type="pct"/>
            <w:vAlign w:val="center"/>
          </w:tcPr>
          <w:p w14:paraId="6E7361E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0" w:type="pct"/>
            <w:vAlign w:val="center"/>
          </w:tcPr>
          <w:p w14:paraId="05A050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0F3BFD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0.34</w:t>
            </w:r>
          </w:p>
        </w:tc>
        <w:tc>
          <w:tcPr>
            <w:tcW w:w="680" w:type="pct"/>
            <w:vAlign w:val="center"/>
          </w:tcPr>
          <w:p w14:paraId="055F09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2022/08/19 01:00</w:t>
            </w:r>
          </w:p>
        </w:tc>
        <w:tc>
          <w:tcPr>
            <w:tcW w:w="542" w:type="pct"/>
            <w:vAlign w:val="center"/>
          </w:tcPr>
          <w:p w14:paraId="25145C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A91440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49881E7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0.08</w:t>
            </w:r>
          </w:p>
        </w:tc>
      </w:tr>
      <w:tr w14:paraId="68C61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3EBB067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2" w:type="pct"/>
            <w:vAlign w:val="center"/>
          </w:tcPr>
          <w:p w14:paraId="57467A5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03:00</w:t>
            </w:r>
          </w:p>
        </w:tc>
        <w:tc>
          <w:tcPr>
            <w:tcW w:w="529" w:type="pct"/>
            <w:vAlign w:val="center"/>
          </w:tcPr>
          <w:p w14:paraId="1B8B10A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530" w:type="pct"/>
            <w:vAlign w:val="center"/>
          </w:tcPr>
          <w:p w14:paraId="5111F99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05587B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0.37</w:t>
            </w:r>
          </w:p>
        </w:tc>
        <w:tc>
          <w:tcPr>
            <w:tcW w:w="680" w:type="pct"/>
            <w:vAlign w:val="center"/>
          </w:tcPr>
          <w:p w14:paraId="701FDA7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06:00</w:t>
            </w:r>
          </w:p>
        </w:tc>
        <w:tc>
          <w:tcPr>
            <w:tcW w:w="542" w:type="pct"/>
            <w:vAlign w:val="center"/>
          </w:tcPr>
          <w:p w14:paraId="2A62A78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E0B04F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847D31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0.09</w:t>
            </w:r>
          </w:p>
        </w:tc>
      </w:tr>
      <w:tr w14:paraId="758A0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0FABA5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2" w:type="pct"/>
            <w:vAlign w:val="center"/>
          </w:tcPr>
          <w:p w14:paraId="575B61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78FA65C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208A840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46B04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0.23</w:t>
            </w:r>
          </w:p>
        </w:tc>
        <w:tc>
          <w:tcPr>
            <w:tcW w:w="680" w:type="pct"/>
            <w:vAlign w:val="center"/>
          </w:tcPr>
          <w:p w14:paraId="2AA88E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2022/07/11 06:00</w:t>
            </w:r>
          </w:p>
        </w:tc>
        <w:tc>
          <w:tcPr>
            <w:tcW w:w="542" w:type="pct"/>
            <w:vAlign w:val="center"/>
          </w:tcPr>
          <w:p w14:paraId="0B69A11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1355A1C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0CDC77F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0047D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9F0001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2" w:type="pct"/>
            <w:vAlign w:val="center"/>
          </w:tcPr>
          <w:p w14:paraId="554C7B5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29" w:type="pct"/>
            <w:vAlign w:val="center"/>
          </w:tcPr>
          <w:p w14:paraId="3E9993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530" w:type="pct"/>
            <w:vAlign w:val="center"/>
          </w:tcPr>
          <w:p w14:paraId="5DE527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74C199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0.28</w:t>
            </w:r>
          </w:p>
        </w:tc>
        <w:tc>
          <w:tcPr>
            <w:tcW w:w="680" w:type="pct"/>
            <w:vAlign w:val="center"/>
          </w:tcPr>
          <w:p w14:paraId="1890CA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42" w:type="pct"/>
            <w:vAlign w:val="center"/>
          </w:tcPr>
          <w:p w14:paraId="4DCE5BC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3593A7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042DC79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r>
      <w:tr w14:paraId="2851A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A23821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2" w:type="pct"/>
            <w:vAlign w:val="center"/>
          </w:tcPr>
          <w:p w14:paraId="68D279E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29" w:type="pct"/>
            <w:vAlign w:val="center"/>
          </w:tcPr>
          <w:p w14:paraId="5A88EF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1F67AB6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1AF527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680" w:type="pct"/>
            <w:vAlign w:val="center"/>
          </w:tcPr>
          <w:p w14:paraId="31B4D7A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42" w:type="pct"/>
            <w:vAlign w:val="center"/>
          </w:tcPr>
          <w:p w14:paraId="5D53C69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141B10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5124DA9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B96C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724B6CA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2" w:type="pct"/>
            <w:vAlign w:val="center"/>
          </w:tcPr>
          <w:p w14:paraId="6A5C562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17EEF3C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379C22A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780744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80" w:type="pct"/>
            <w:vAlign w:val="center"/>
          </w:tcPr>
          <w:p w14:paraId="426A469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42" w:type="pct"/>
            <w:vAlign w:val="center"/>
          </w:tcPr>
          <w:p w14:paraId="64BB3A9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0EA558D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648A3B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892F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65E2251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2" w:type="pct"/>
            <w:vAlign w:val="center"/>
          </w:tcPr>
          <w:p w14:paraId="0C2A4B9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68F2C90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0062999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754FC23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0.20</w:t>
            </w:r>
          </w:p>
        </w:tc>
        <w:tc>
          <w:tcPr>
            <w:tcW w:w="680" w:type="pct"/>
            <w:vAlign w:val="center"/>
          </w:tcPr>
          <w:p w14:paraId="0CE07F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42" w:type="pct"/>
            <w:vAlign w:val="center"/>
          </w:tcPr>
          <w:p w14:paraId="5A5D165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54943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B15F2C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5DFC8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B0CCA8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2" w:type="pct"/>
            <w:vAlign w:val="center"/>
          </w:tcPr>
          <w:p w14:paraId="430823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2022/07/13 06:00</w:t>
            </w:r>
          </w:p>
        </w:tc>
        <w:tc>
          <w:tcPr>
            <w:tcW w:w="529" w:type="pct"/>
            <w:vAlign w:val="center"/>
          </w:tcPr>
          <w:p w14:paraId="5B2A12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5E6C12E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7B2F4F6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0.19</w:t>
            </w:r>
          </w:p>
        </w:tc>
        <w:tc>
          <w:tcPr>
            <w:tcW w:w="680" w:type="pct"/>
            <w:vAlign w:val="center"/>
          </w:tcPr>
          <w:p w14:paraId="35343ED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2022/04/14 04:00</w:t>
            </w:r>
          </w:p>
        </w:tc>
        <w:tc>
          <w:tcPr>
            <w:tcW w:w="542" w:type="pct"/>
            <w:vAlign w:val="center"/>
          </w:tcPr>
          <w:p w14:paraId="1A44F40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4275D8D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367C581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86CC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717771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2" w:type="pct"/>
            <w:vAlign w:val="center"/>
          </w:tcPr>
          <w:p w14:paraId="33F5293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2022/03/14 21:00</w:t>
            </w:r>
          </w:p>
        </w:tc>
        <w:tc>
          <w:tcPr>
            <w:tcW w:w="529" w:type="pct"/>
            <w:vAlign w:val="center"/>
          </w:tcPr>
          <w:p w14:paraId="6D942D1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0.07</w:t>
            </w:r>
          </w:p>
        </w:tc>
        <w:tc>
          <w:tcPr>
            <w:tcW w:w="530" w:type="pct"/>
            <w:vAlign w:val="center"/>
          </w:tcPr>
          <w:p w14:paraId="364E59C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776E526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0.72</w:t>
            </w:r>
          </w:p>
        </w:tc>
        <w:tc>
          <w:tcPr>
            <w:tcW w:w="680" w:type="pct"/>
            <w:vAlign w:val="center"/>
          </w:tcPr>
          <w:p w14:paraId="408B113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2022/03/14 21:00</w:t>
            </w:r>
          </w:p>
        </w:tc>
        <w:tc>
          <w:tcPr>
            <w:tcW w:w="542" w:type="pct"/>
            <w:vAlign w:val="center"/>
          </w:tcPr>
          <w:p w14:paraId="2470603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73" w:type="pct"/>
            <w:vAlign w:val="center"/>
          </w:tcPr>
          <w:p w14:paraId="039ADE4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A55F6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r>
      <w:tr w14:paraId="7E0B7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7AA8B7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2" w:type="pct"/>
            <w:vAlign w:val="center"/>
          </w:tcPr>
          <w:p w14:paraId="45377EE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29" w:type="pct"/>
            <w:vAlign w:val="center"/>
          </w:tcPr>
          <w:p w14:paraId="72DDF2D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1EEC5EB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A09284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0.20</w:t>
            </w:r>
          </w:p>
        </w:tc>
        <w:tc>
          <w:tcPr>
            <w:tcW w:w="680" w:type="pct"/>
            <w:vAlign w:val="center"/>
          </w:tcPr>
          <w:p w14:paraId="56E2D1C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2022/05/29 05:00</w:t>
            </w:r>
          </w:p>
        </w:tc>
        <w:tc>
          <w:tcPr>
            <w:tcW w:w="542" w:type="pct"/>
            <w:vAlign w:val="center"/>
          </w:tcPr>
          <w:p w14:paraId="31CEC86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CE9DC9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C04B9A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2131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C56325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2" w:type="pct"/>
            <w:vAlign w:val="center"/>
          </w:tcPr>
          <w:p w14:paraId="0396683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05:00</w:t>
            </w:r>
          </w:p>
        </w:tc>
        <w:tc>
          <w:tcPr>
            <w:tcW w:w="529" w:type="pct"/>
            <w:vAlign w:val="center"/>
          </w:tcPr>
          <w:p w14:paraId="6ED141C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17ED329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7514536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0.19</w:t>
            </w:r>
          </w:p>
        </w:tc>
        <w:tc>
          <w:tcPr>
            <w:tcW w:w="680" w:type="pct"/>
            <w:vAlign w:val="center"/>
          </w:tcPr>
          <w:p w14:paraId="6083024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05:00</w:t>
            </w:r>
          </w:p>
        </w:tc>
        <w:tc>
          <w:tcPr>
            <w:tcW w:w="542" w:type="pct"/>
            <w:vAlign w:val="center"/>
          </w:tcPr>
          <w:p w14:paraId="65BF747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168EDB2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003597C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812F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893E3D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2" w:type="pct"/>
            <w:vAlign w:val="center"/>
          </w:tcPr>
          <w:p w14:paraId="411F02A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29" w:type="pct"/>
            <w:vAlign w:val="center"/>
          </w:tcPr>
          <w:p w14:paraId="7C3532F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30" w:type="pct"/>
            <w:vAlign w:val="center"/>
          </w:tcPr>
          <w:p w14:paraId="333822F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0D307D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680" w:type="pct"/>
            <w:vAlign w:val="center"/>
          </w:tcPr>
          <w:p w14:paraId="025711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19:00</w:t>
            </w:r>
          </w:p>
        </w:tc>
        <w:tc>
          <w:tcPr>
            <w:tcW w:w="542" w:type="pct"/>
            <w:vAlign w:val="center"/>
          </w:tcPr>
          <w:p w14:paraId="627E61F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109B6B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067261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6A389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2C78D9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2" w:type="pct"/>
            <w:vAlign w:val="center"/>
          </w:tcPr>
          <w:p w14:paraId="06DA5B1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29" w:type="pct"/>
            <w:vAlign w:val="center"/>
          </w:tcPr>
          <w:p w14:paraId="0B032C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596DC88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7AA189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80" w:type="pct"/>
            <w:vAlign w:val="center"/>
          </w:tcPr>
          <w:p w14:paraId="4E1248C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42" w:type="pct"/>
            <w:vAlign w:val="center"/>
          </w:tcPr>
          <w:p w14:paraId="7FC9CD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8AFF6B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5C8A619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2B6AA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30900A2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2" w:type="pct"/>
            <w:vAlign w:val="center"/>
          </w:tcPr>
          <w:p w14:paraId="50A3E5A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01:00</w:t>
            </w:r>
          </w:p>
        </w:tc>
        <w:tc>
          <w:tcPr>
            <w:tcW w:w="529" w:type="pct"/>
            <w:vAlign w:val="center"/>
          </w:tcPr>
          <w:p w14:paraId="0059D6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1F15A85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E1F1D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0.17</w:t>
            </w:r>
          </w:p>
        </w:tc>
        <w:tc>
          <w:tcPr>
            <w:tcW w:w="680" w:type="pct"/>
            <w:vAlign w:val="center"/>
          </w:tcPr>
          <w:p w14:paraId="2F9A6AC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01:00</w:t>
            </w:r>
          </w:p>
        </w:tc>
        <w:tc>
          <w:tcPr>
            <w:tcW w:w="542" w:type="pct"/>
            <w:vAlign w:val="center"/>
          </w:tcPr>
          <w:p w14:paraId="53D308F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14C8FE1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0E5F7C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516CF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915907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2" w:type="pct"/>
            <w:vAlign w:val="center"/>
          </w:tcPr>
          <w:p w14:paraId="48D89BA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29" w:type="pct"/>
            <w:vAlign w:val="center"/>
          </w:tcPr>
          <w:p w14:paraId="61BF881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30" w:type="pct"/>
            <w:vAlign w:val="center"/>
          </w:tcPr>
          <w:p w14:paraId="0FA3E8B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A7443A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680" w:type="pct"/>
            <w:vAlign w:val="center"/>
          </w:tcPr>
          <w:p w14:paraId="3FF4C6A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42" w:type="pct"/>
            <w:vAlign w:val="center"/>
          </w:tcPr>
          <w:p w14:paraId="3579F93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B648C1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85A324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4E886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8A0CEB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2" w:type="pct"/>
            <w:vAlign w:val="center"/>
          </w:tcPr>
          <w:p w14:paraId="180730B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29" w:type="pct"/>
            <w:vAlign w:val="center"/>
          </w:tcPr>
          <w:p w14:paraId="7E5354E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664C4F4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750E1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0.22</w:t>
            </w:r>
          </w:p>
        </w:tc>
        <w:tc>
          <w:tcPr>
            <w:tcW w:w="680" w:type="pct"/>
            <w:vAlign w:val="center"/>
          </w:tcPr>
          <w:p w14:paraId="1DA0790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42" w:type="pct"/>
            <w:vAlign w:val="center"/>
          </w:tcPr>
          <w:p w14:paraId="20F21AF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AB1BA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309B214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08798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13A984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2" w:type="pct"/>
            <w:vAlign w:val="center"/>
          </w:tcPr>
          <w:p w14:paraId="03DFC54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29" w:type="pct"/>
            <w:vAlign w:val="center"/>
          </w:tcPr>
          <w:p w14:paraId="1F87607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4560B29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6510482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80" w:type="pct"/>
            <w:vAlign w:val="center"/>
          </w:tcPr>
          <w:p w14:paraId="49AEDC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2022/09/15 04:00</w:t>
            </w:r>
          </w:p>
        </w:tc>
        <w:tc>
          <w:tcPr>
            <w:tcW w:w="542" w:type="pct"/>
            <w:vAlign w:val="center"/>
          </w:tcPr>
          <w:p w14:paraId="67B1F29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5AFAC6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3AA3941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r>
      <w:tr w14:paraId="7FF59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8E7D17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2" w:type="pct"/>
            <w:vAlign w:val="center"/>
          </w:tcPr>
          <w:p w14:paraId="44AF17C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29" w:type="pct"/>
            <w:vAlign w:val="center"/>
          </w:tcPr>
          <w:p w14:paraId="39E7574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0D93AE0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A67C7F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0.19</w:t>
            </w:r>
          </w:p>
        </w:tc>
        <w:tc>
          <w:tcPr>
            <w:tcW w:w="680" w:type="pct"/>
            <w:vAlign w:val="center"/>
          </w:tcPr>
          <w:p w14:paraId="62F60D1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04:00</w:t>
            </w:r>
          </w:p>
        </w:tc>
        <w:tc>
          <w:tcPr>
            <w:tcW w:w="542" w:type="pct"/>
            <w:vAlign w:val="center"/>
          </w:tcPr>
          <w:p w14:paraId="7C0ABF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114F3E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61FC958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092BE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DC81A3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2" w:type="pct"/>
            <w:vAlign w:val="center"/>
          </w:tcPr>
          <w:p w14:paraId="370FFB6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02:00</w:t>
            </w:r>
          </w:p>
        </w:tc>
        <w:tc>
          <w:tcPr>
            <w:tcW w:w="529" w:type="pct"/>
            <w:vAlign w:val="center"/>
          </w:tcPr>
          <w:p w14:paraId="002048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3BACCD8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9688FD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0.22</w:t>
            </w:r>
          </w:p>
        </w:tc>
        <w:tc>
          <w:tcPr>
            <w:tcW w:w="680" w:type="pct"/>
            <w:vAlign w:val="center"/>
          </w:tcPr>
          <w:p w14:paraId="258D684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02:00</w:t>
            </w:r>
          </w:p>
        </w:tc>
        <w:tc>
          <w:tcPr>
            <w:tcW w:w="542" w:type="pct"/>
            <w:vAlign w:val="center"/>
          </w:tcPr>
          <w:p w14:paraId="168550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0C4F5A0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693E10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r>
      <w:tr w14:paraId="0CBA0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2C7D6A1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2" w:type="pct"/>
            <w:vAlign w:val="center"/>
          </w:tcPr>
          <w:p w14:paraId="496D798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29" w:type="pct"/>
            <w:vAlign w:val="center"/>
          </w:tcPr>
          <w:p w14:paraId="0EA2F8C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095D0DB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6D68C2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0.18</w:t>
            </w:r>
          </w:p>
        </w:tc>
        <w:tc>
          <w:tcPr>
            <w:tcW w:w="680" w:type="pct"/>
            <w:vAlign w:val="center"/>
          </w:tcPr>
          <w:p w14:paraId="0447949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42" w:type="pct"/>
            <w:vAlign w:val="center"/>
          </w:tcPr>
          <w:p w14:paraId="7AF0776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463DFBC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6459190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r>
      <w:tr w14:paraId="51114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8B390A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2" w:type="pct"/>
            <w:vAlign w:val="center"/>
          </w:tcPr>
          <w:p w14:paraId="32E575C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29" w:type="pct"/>
            <w:vAlign w:val="center"/>
          </w:tcPr>
          <w:p w14:paraId="06F6622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7231E4D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616DAB4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0.12</w:t>
            </w:r>
          </w:p>
        </w:tc>
        <w:tc>
          <w:tcPr>
            <w:tcW w:w="680" w:type="pct"/>
            <w:vAlign w:val="center"/>
          </w:tcPr>
          <w:p w14:paraId="076F003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01:00</w:t>
            </w:r>
          </w:p>
        </w:tc>
        <w:tc>
          <w:tcPr>
            <w:tcW w:w="542" w:type="pct"/>
            <w:vAlign w:val="center"/>
          </w:tcPr>
          <w:p w14:paraId="1CB164D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4C1B2FE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44D91CF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F45D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6AE794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2" w:type="pct"/>
            <w:vAlign w:val="center"/>
          </w:tcPr>
          <w:p w14:paraId="326631F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29" w:type="pct"/>
            <w:vAlign w:val="center"/>
          </w:tcPr>
          <w:p w14:paraId="14FC37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4B3D9B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67DB5A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680" w:type="pct"/>
            <w:vAlign w:val="center"/>
          </w:tcPr>
          <w:p w14:paraId="4E72A4A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2022/09/04 22:00</w:t>
            </w:r>
          </w:p>
        </w:tc>
        <w:tc>
          <w:tcPr>
            <w:tcW w:w="542" w:type="pct"/>
            <w:vAlign w:val="center"/>
          </w:tcPr>
          <w:p w14:paraId="13FA3FD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7C4AAC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7B6C647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63F8A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6445CB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2" w:type="pct"/>
            <w:vAlign w:val="center"/>
          </w:tcPr>
          <w:p w14:paraId="25B820C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4EABAB2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054D87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3AD922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80" w:type="pct"/>
            <w:vAlign w:val="center"/>
          </w:tcPr>
          <w:p w14:paraId="39DDBB6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42" w:type="pct"/>
            <w:vAlign w:val="center"/>
          </w:tcPr>
          <w:p w14:paraId="7483A9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49F523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4D025E8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3B6CE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273588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2" w:type="pct"/>
            <w:vAlign w:val="center"/>
          </w:tcPr>
          <w:p w14:paraId="30FD809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19:00</w:t>
            </w:r>
          </w:p>
        </w:tc>
        <w:tc>
          <w:tcPr>
            <w:tcW w:w="529" w:type="pct"/>
            <w:vAlign w:val="center"/>
          </w:tcPr>
          <w:p w14:paraId="17872CF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0.02</w:t>
            </w:r>
          </w:p>
        </w:tc>
        <w:tc>
          <w:tcPr>
            <w:tcW w:w="530" w:type="pct"/>
            <w:vAlign w:val="center"/>
          </w:tcPr>
          <w:p w14:paraId="36FC687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DAFFAD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0.16</w:t>
            </w:r>
          </w:p>
        </w:tc>
        <w:tc>
          <w:tcPr>
            <w:tcW w:w="680" w:type="pct"/>
            <w:vAlign w:val="center"/>
          </w:tcPr>
          <w:p w14:paraId="1FFED0A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19:00</w:t>
            </w:r>
          </w:p>
        </w:tc>
        <w:tc>
          <w:tcPr>
            <w:tcW w:w="542" w:type="pct"/>
            <w:vAlign w:val="center"/>
          </w:tcPr>
          <w:p w14:paraId="1FCEE5B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D26BB0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5F6283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3AD98C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AA3CBD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2" w:type="pct"/>
            <w:vAlign w:val="center"/>
          </w:tcPr>
          <w:p w14:paraId="6631186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06:00</w:t>
            </w:r>
          </w:p>
        </w:tc>
        <w:tc>
          <w:tcPr>
            <w:tcW w:w="529" w:type="pct"/>
            <w:vAlign w:val="center"/>
          </w:tcPr>
          <w:p w14:paraId="0A8FEE0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30" w:type="pct"/>
            <w:vAlign w:val="center"/>
          </w:tcPr>
          <w:p w14:paraId="4331BEE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7A13FD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c>
          <w:tcPr>
            <w:tcW w:w="680" w:type="pct"/>
            <w:vAlign w:val="center"/>
          </w:tcPr>
          <w:p w14:paraId="6BF0B2A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2022/09/05 06:00</w:t>
            </w:r>
          </w:p>
        </w:tc>
        <w:tc>
          <w:tcPr>
            <w:tcW w:w="542" w:type="pct"/>
            <w:vAlign w:val="center"/>
          </w:tcPr>
          <w:p w14:paraId="4116FE2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0EE0314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72F4D3E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1B8A7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DADC2C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2" w:type="pct"/>
            <w:vAlign w:val="center"/>
          </w:tcPr>
          <w:p w14:paraId="1118F8F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20:00</w:t>
            </w:r>
          </w:p>
        </w:tc>
        <w:tc>
          <w:tcPr>
            <w:tcW w:w="529" w:type="pct"/>
            <w:vAlign w:val="center"/>
          </w:tcPr>
          <w:p w14:paraId="1A78B3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7943235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40385EA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0.05</w:t>
            </w:r>
          </w:p>
        </w:tc>
        <w:tc>
          <w:tcPr>
            <w:tcW w:w="680" w:type="pct"/>
            <w:vAlign w:val="center"/>
          </w:tcPr>
          <w:p w14:paraId="68C8ACA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2022/09/14 20:00</w:t>
            </w:r>
          </w:p>
        </w:tc>
        <w:tc>
          <w:tcPr>
            <w:tcW w:w="542" w:type="pct"/>
            <w:vAlign w:val="center"/>
          </w:tcPr>
          <w:p w14:paraId="71E50827">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50B12F5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37AB599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64FA1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259292F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2" w:type="pct"/>
            <w:vAlign w:val="center"/>
          </w:tcPr>
          <w:p w14:paraId="7615194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45564FC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7507178C">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0ECFE09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0.11</w:t>
            </w:r>
          </w:p>
        </w:tc>
        <w:tc>
          <w:tcPr>
            <w:tcW w:w="680" w:type="pct"/>
            <w:vAlign w:val="center"/>
          </w:tcPr>
          <w:p w14:paraId="3CD195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42" w:type="pct"/>
            <w:vAlign w:val="center"/>
          </w:tcPr>
          <w:p w14:paraId="5919C3C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1EAA99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53DDD78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3EBF2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0F5ADAA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2" w:type="pct"/>
            <w:vAlign w:val="center"/>
          </w:tcPr>
          <w:p w14:paraId="7980A2D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2022/04/29 06:00</w:t>
            </w:r>
          </w:p>
        </w:tc>
        <w:tc>
          <w:tcPr>
            <w:tcW w:w="529" w:type="pct"/>
            <w:vAlign w:val="center"/>
          </w:tcPr>
          <w:p w14:paraId="6396F07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30" w:type="pct"/>
            <w:vAlign w:val="center"/>
          </w:tcPr>
          <w:p w14:paraId="7459C09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AA4509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c>
          <w:tcPr>
            <w:tcW w:w="680" w:type="pct"/>
            <w:vAlign w:val="center"/>
          </w:tcPr>
          <w:p w14:paraId="59393E0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21:00</w:t>
            </w:r>
          </w:p>
        </w:tc>
        <w:tc>
          <w:tcPr>
            <w:tcW w:w="542" w:type="pct"/>
            <w:vAlign w:val="center"/>
          </w:tcPr>
          <w:p w14:paraId="7D43A9FE">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070016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304AC93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597E0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837C8F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2" w:type="pct"/>
            <w:vAlign w:val="center"/>
          </w:tcPr>
          <w:p w14:paraId="2C7A82E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6118921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1E99CFB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21238D7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0.10</w:t>
            </w:r>
          </w:p>
        </w:tc>
        <w:tc>
          <w:tcPr>
            <w:tcW w:w="680" w:type="pct"/>
            <w:vAlign w:val="center"/>
          </w:tcPr>
          <w:p w14:paraId="67858B6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42" w:type="pct"/>
            <w:vAlign w:val="center"/>
          </w:tcPr>
          <w:p w14:paraId="2489DE2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7BFA3468">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28F01B5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0.03</w:t>
            </w:r>
          </w:p>
        </w:tc>
      </w:tr>
      <w:tr w14:paraId="75D56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53DA156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2" w:type="pct"/>
            <w:vAlign w:val="center"/>
          </w:tcPr>
          <w:p w14:paraId="75AF5EB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21:00</w:t>
            </w:r>
          </w:p>
        </w:tc>
        <w:tc>
          <w:tcPr>
            <w:tcW w:w="529" w:type="pct"/>
            <w:vAlign w:val="center"/>
          </w:tcPr>
          <w:p w14:paraId="1B5CE12A">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6C771A4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18E8A29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0.15</w:t>
            </w:r>
          </w:p>
        </w:tc>
        <w:tc>
          <w:tcPr>
            <w:tcW w:w="680" w:type="pct"/>
            <w:vAlign w:val="center"/>
          </w:tcPr>
          <w:p w14:paraId="4C50FB2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2022/03/25 22:00</w:t>
            </w:r>
          </w:p>
        </w:tc>
        <w:tc>
          <w:tcPr>
            <w:tcW w:w="542" w:type="pct"/>
            <w:vAlign w:val="center"/>
          </w:tcPr>
          <w:p w14:paraId="736C9994">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2A16A6E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06228C8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0.04</w:t>
            </w:r>
          </w:p>
        </w:tc>
      </w:tr>
      <w:tr w14:paraId="14A1A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473B57A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2" w:type="pct"/>
            <w:vAlign w:val="center"/>
          </w:tcPr>
          <w:p w14:paraId="14E0821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29" w:type="pct"/>
            <w:vAlign w:val="center"/>
          </w:tcPr>
          <w:p w14:paraId="1ADDE379">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c>
          <w:tcPr>
            <w:tcW w:w="530" w:type="pct"/>
            <w:vAlign w:val="center"/>
          </w:tcPr>
          <w:p w14:paraId="4C0941A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EF1FF0D">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0.06</w:t>
            </w:r>
          </w:p>
        </w:tc>
        <w:tc>
          <w:tcPr>
            <w:tcW w:w="680" w:type="pct"/>
            <w:vAlign w:val="center"/>
          </w:tcPr>
          <w:p w14:paraId="0CEA54D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2022/11/28 18:00</w:t>
            </w:r>
          </w:p>
        </w:tc>
        <w:tc>
          <w:tcPr>
            <w:tcW w:w="542" w:type="pct"/>
            <w:vAlign w:val="center"/>
          </w:tcPr>
          <w:p w14:paraId="1ECAB07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0.00</w:t>
            </w:r>
          </w:p>
        </w:tc>
        <w:tc>
          <w:tcPr>
            <w:tcW w:w="573" w:type="pct"/>
            <w:vAlign w:val="center"/>
          </w:tcPr>
          <w:p w14:paraId="4E4EC75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6CCA612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0.01</w:t>
            </w:r>
          </w:p>
        </w:tc>
      </w:tr>
      <w:tr w14:paraId="3B25A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598" w:type="pct"/>
            <w:vAlign w:val="center"/>
          </w:tcPr>
          <w:p w14:paraId="1AE298FD">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2" w:type="pct"/>
            <w:vAlign w:val="center"/>
          </w:tcPr>
          <w:p w14:paraId="6D5F4AEB">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2022/11/26 02:00</w:t>
            </w:r>
          </w:p>
        </w:tc>
        <w:tc>
          <w:tcPr>
            <w:tcW w:w="529" w:type="pct"/>
            <w:vAlign w:val="center"/>
          </w:tcPr>
          <w:p w14:paraId="12D65055">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1.25</w:t>
            </w:r>
          </w:p>
        </w:tc>
        <w:tc>
          <w:tcPr>
            <w:tcW w:w="530" w:type="pct"/>
            <w:vAlign w:val="center"/>
          </w:tcPr>
          <w:p w14:paraId="38928CE6">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10.00</w:t>
            </w:r>
          </w:p>
        </w:tc>
        <w:tc>
          <w:tcPr>
            <w:tcW w:w="442" w:type="pct"/>
            <w:vAlign w:val="center"/>
          </w:tcPr>
          <w:p w14:paraId="39546072">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12.49 </w:t>
            </w:r>
          </w:p>
        </w:tc>
        <w:tc>
          <w:tcPr>
            <w:tcW w:w="680" w:type="pct"/>
            <w:vAlign w:val="center"/>
          </w:tcPr>
          <w:p w14:paraId="2EE3B9D3">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2022/03/01 21:00</w:t>
            </w:r>
          </w:p>
        </w:tc>
        <w:tc>
          <w:tcPr>
            <w:tcW w:w="542" w:type="pct"/>
            <w:vAlign w:val="center"/>
          </w:tcPr>
          <w:p w14:paraId="4F2A005F">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0.13</w:t>
            </w:r>
          </w:p>
        </w:tc>
        <w:tc>
          <w:tcPr>
            <w:tcW w:w="573" w:type="pct"/>
            <w:vAlign w:val="center"/>
          </w:tcPr>
          <w:p w14:paraId="5DEAFA81">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4.00</w:t>
            </w:r>
          </w:p>
        </w:tc>
        <w:tc>
          <w:tcPr>
            <w:tcW w:w="424" w:type="pct"/>
            <w:vAlign w:val="center"/>
          </w:tcPr>
          <w:p w14:paraId="11A3DB70">
            <w:pPr>
              <w:spacing w:line="240" w:lineRule="auto"/>
              <w:ind w:firstLine="0" w:firstLineChars="0"/>
              <w:jc w:val="center"/>
              <w:rPr>
                <w:rFonts w:hAnsi="Times New Roman"/>
                <w:color w:val="auto"/>
                <w:sz w:val="21"/>
                <w:szCs w:val="21"/>
                <w:highlight w:val="none"/>
                <w:u w:val="none"/>
              </w:rPr>
            </w:pPr>
            <w:r>
              <w:rPr>
                <w:rFonts w:hint="eastAsia"/>
                <w:color w:val="auto"/>
                <w:sz w:val="21"/>
                <w:szCs w:val="21"/>
                <w:highlight w:val="none"/>
                <w:u w:val="none"/>
              </w:rPr>
              <w:t xml:space="preserve">3.31 </w:t>
            </w:r>
          </w:p>
        </w:tc>
      </w:tr>
    </w:tbl>
    <w:p w14:paraId="44193AC4">
      <w:pPr>
        <w:pStyle w:val="85"/>
        <w:rPr>
          <w:color w:val="auto"/>
          <w:highlight w:val="none"/>
          <w:u w:val="none"/>
        </w:rPr>
      </w:pPr>
    </w:p>
    <w:p w14:paraId="14EC8BB3">
      <w:pPr>
        <w:ind w:firstLine="482"/>
        <w:jc w:val="center"/>
        <w:rPr>
          <w:rFonts w:hAnsi="Times New Roman"/>
          <w:b/>
          <w:color w:val="auto"/>
          <w:highlight w:val="none"/>
          <w:u w:val="none"/>
        </w:rPr>
      </w:pPr>
      <w:bookmarkStart w:id="484" w:name="_Ref7348"/>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fldChar w:fldCharType="begin"/>
      </w:r>
      <w:r>
        <w:rPr>
          <w:rFonts w:hAnsi="Times New Roman"/>
          <w:b/>
          <w:color w:val="auto"/>
          <w:highlight w:val="none"/>
          <w:u w:val="none"/>
        </w:rPr>
        <w:instrText xml:space="preserve"> SEQ 表 \* ARABIC \s 2 </w:instrText>
      </w:r>
      <w:r>
        <w:rPr>
          <w:rFonts w:hAnsi="Times New Roman"/>
          <w:b/>
          <w:color w:val="auto"/>
          <w:highlight w:val="none"/>
          <w:u w:val="none"/>
        </w:rPr>
        <w:fldChar w:fldCharType="separate"/>
      </w:r>
      <w:r>
        <w:rPr>
          <w:rFonts w:hAnsi="Times New Roman"/>
          <w:b/>
          <w:color w:val="auto"/>
          <w:highlight w:val="none"/>
          <w:u w:val="none"/>
        </w:rPr>
        <w:t>24</w:t>
      </w:r>
      <w:r>
        <w:rPr>
          <w:rFonts w:hAnsi="Times New Roman"/>
          <w:b/>
          <w:color w:val="auto"/>
          <w:highlight w:val="none"/>
          <w:u w:val="none"/>
        </w:rPr>
        <w:fldChar w:fldCharType="end"/>
      </w:r>
      <w:bookmarkEnd w:id="484"/>
      <w:r>
        <w:rPr>
          <w:rFonts w:hAnsi="Times New Roman"/>
          <w:b/>
          <w:color w:val="auto"/>
          <w:highlight w:val="none"/>
          <w:u w:val="none"/>
        </w:rPr>
        <w:t xml:space="preserve">  项目建成后</w:t>
      </w:r>
      <w:r>
        <w:rPr>
          <w:rFonts w:hint="eastAsia" w:hAnsi="Times New Roman"/>
          <w:b/>
          <w:color w:val="auto"/>
          <w:highlight w:val="none"/>
          <w:u w:val="none"/>
        </w:rPr>
        <w:t>PM</w:t>
      </w:r>
      <w:r>
        <w:rPr>
          <w:rFonts w:hint="eastAsia" w:hAnsi="Times New Roman"/>
          <w:b/>
          <w:color w:val="auto"/>
          <w:highlight w:val="none"/>
          <w:u w:val="none"/>
          <w:vertAlign w:val="subscript"/>
        </w:rPr>
        <w:t>10</w:t>
      </w:r>
      <w:r>
        <w:rPr>
          <w:rFonts w:hAnsi="Times New Roman"/>
          <w:b/>
          <w:color w:val="auto"/>
          <w:highlight w:val="none"/>
          <w:u w:val="none"/>
        </w:rPr>
        <w:t>质量浓度贡献值一览表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35E8E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3AFE53D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22EB53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10</w:t>
            </w:r>
            <w:r>
              <w:rPr>
                <w:rFonts w:hint="eastAsia" w:hAnsi="Times New Roman"/>
                <w:color w:val="auto"/>
                <w:sz w:val="21"/>
                <w:szCs w:val="21"/>
                <w:highlight w:val="none"/>
                <w:u w:val="none"/>
              </w:rPr>
              <w:t>日均95%保证率</w:t>
            </w:r>
            <w:r>
              <w:rPr>
                <w:rFonts w:hAnsi="Times New Roman"/>
                <w:color w:val="auto"/>
                <w:sz w:val="21"/>
                <w:szCs w:val="21"/>
                <w:highlight w:val="none"/>
                <w:u w:val="none"/>
              </w:rPr>
              <w:t>浓度</w:t>
            </w:r>
          </w:p>
        </w:tc>
        <w:tc>
          <w:tcPr>
            <w:tcW w:w="2190" w:type="pct"/>
            <w:gridSpan w:val="4"/>
            <w:vAlign w:val="center"/>
          </w:tcPr>
          <w:p w14:paraId="2538B7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10</w:t>
            </w:r>
            <w:r>
              <w:rPr>
                <w:rFonts w:hint="eastAsia" w:hAnsi="Times New Roman"/>
                <w:color w:val="auto"/>
                <w:sz w:val="21"/>
                <w:szCs w:val="21"/>
                <w:highlight w:val="none"/>
                <w:u w:val="none"/>
              </w:rPr>
              <w:t>年均浓度</w:t>
            </w:r>
          </w:p>
        </w:tc>
      </w:tr>
      <w:tr w14:paraId="420ED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69AAD32E">
            <w:pPr>
              <w:spacing w:line="240" w:lineRule="auto"/>
              <w:ind w:firstLine="0" w:firstLineChars="0"/>
              <w:jc w:val="center"/>
              <w:rPr>
                <w:rFonts w:hAnsi="Times New Roman"/>
                <w:color w:val="auto"/>
                <w:sz w:val="21"/>
                <w:szCs w:val="21"/>
                <w:highlight w:val="none"/>
                <w:u w:val="none"/>
              </w:rPr>
            </w:pPr>
          </w:p>
        </w:tc>
        <w:tc>
          <w:tcPr>
            <w:tcW w:w="688" w:type="pct"/>
            <w:vAlign w:val="center"/>
          </w:tcPr>
          <w:p w14:paraId="57FD65B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7F3F84D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54457AF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58C1CE8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656C251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572FA0A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6F6C6A6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7CAE27F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2225E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9A6B95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8" w:type="pct"/>
            <w:vAlign w:val="center"/>
          </w:tcPr>
          <w:p w14:paraId="76E575B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2022/03/13 00:00</w:t>
            </w:r>
          </w:p>
        </w:tc>
        <w:tc>
          <w:tcPr>
            <w:tcW w:w="535" w:type="pct"/>
            <w:vAlign w:val="center"/>
          </w:tcPr>
          <w:p w14:paraId="664FF1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383026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75DEBE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BF584E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D7201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C1593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59848E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5E64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1B9E32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8" w:type="pct"/>
            <w:vAlign w:val="center"/>
          </w:tcPr>
          <w:p w14:paraId="23D029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2022/08/02 00:00</w:t>
            </w:r>
          </w:p>
        </w:tc>
        <w:tc>
          <w:tcPr>
            <w:tcW w:w="535" w:type="pct"/>
            <w:vAlign w:val="center"/>
          </w:tcPr>
          <w:p w14:paraId="5AD3AD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6FD4F2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1DF04D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36B9A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40CF5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495ED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35DAC65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1268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9C3407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8" w:type="pct"/>
            <w:vAlign w:val="center"/>
          </w:tcPr>
          <w:p w14:paraId="56A012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2022/08/19 00:00</w:t>
            </w:r>
          </w:p>
        </w:tc>
        <w:tc>
          <w:tcPr>
            <w:tcW w:w="535" w:type="pct"/>
            <w:vAlign w:val="center"/>
          </w:tcPr>
          <w:p w14:paraId="4BE783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EBEAE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C974A5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A7F7BE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D1FCE5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E2E71E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3587439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16864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110B09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8" w:type="pct"/>
            <w:vAlign w:val="center"/>
          </w:tcPr>
          <w:p w14:paraId="28D230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2022/08/15 00:00</w:t>
            </w:r>
          </w:p>
        </w:tc>
        <w:tc>
          <w:tcPr>
            <w:tcW w:w="535" w:type="pct"/>
            <w:vAlign w:val="center"/>
          </w:tcPr>
          <w:p w14:paraId="6EC5B3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E5CB6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6BDC9AC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CE890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C3F000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336AEA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6DD6EE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59D77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70FB3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8" w:type="pct"/>
            <w:vAlign w:val="center"/>
          </w:tcPr>
          <w:p w14:paraId="71E39E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2022/04/25 00:00</w:t>
            </w:r>
          </w:p>
        </w:tc>
        <w:tc>
          <w:tcPr>
            <w:tcW w:w="535" w:type="pct"/>
            <w:vAlign w:val="center"/>
          </w:tcPr>
          <w:p w14:paraId="3D2176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D7498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67233D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5D948C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50D5E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7C665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4B4F6C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D5B3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EC59DD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8" w:type="pct"/>
            <w:vAlign w:val="center"/>
          </w:tcPr>
          <w:p w14:paraId="1C9175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2022/06/13 00:00</w:t>
            </w:r>
          </w:p>
        </w:tc>
        <w:tc>
          <w:tcPr>
            <w:tcW w:w="535" w:type="pct"/>
            <w:vAlign w:val="center"/>
          </w:tcPr>
          <w:p w14:paraId="2770856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2AD68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6857E2B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D52D8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DE033C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0378AA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254261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05E0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659E6D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8" w:type="pct"/>
            <w:vAlign w:val="center"/>
          </w:tcPr>
          <w:p w14:paraId="39C7CB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2022/09/14 00:00</w:t>
            </w:r>
          </w:p>
        </w:tc>
        <w:tc>
          <w:tcPr>
            <w:tcW w:w="535" w:type="pct"/>
            <w:vAlign w:val="center"/>
          </w:tcPr>
          <w:p w14:paraId="58020E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B3DC3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7F882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12E3FB7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0179F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3EABFE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6C5BA6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04A3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06766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8" w:type="pct"/>
            <w:vAlign w:val="center"/>
          </w:tcPr>
          <w:p w14:paraId="31BB45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2022/06/10 00:00</w:t>
            </w:r>
          </w:p>
        </w:tc>
        <w:tc>
          <w:tcPr>
            <w:tcW w:w="535" w:type="pct"/>
            <w:vAlign w:val="center"/>
          </w:tcPr>
          <w:p w14:paraId="6A44AC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227AD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6B4AF37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757DB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06A91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A3E61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2EE4F0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AF83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C870C4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8" w:type="pct"/>
            <w:vAlign w:val="center"/>
          </w:tcPr>
          <w:p w14:paraId="46E90F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2022/04/23 00:00</w:t>
            </w:r>
          </w:p>
        </w:tc>
        <w:tc>
          <w:tcPr>
            <w:tcW w:w="535" w:type="pct"/>
            <w:vAlign w:val="center"/>
          </w:tcPr>
          <w:p w14:paraId="67CC7DE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18239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56B0F1E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CC662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E1533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953A0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1CC826C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5B9D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75659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8" w:type="pct"/>
            <w:vAlign w:val="center"/>
          </w:tcPr>
          <w:p w14:paraId="02724A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2022/08/20 00:00</w:t>
            </w:r>
          </w:p>
        </w:tc>
        <w:tc>
          <w:tcPr>
            <w:tcW w:w="535" w:type="pct"/>
            <w:vAlign w:val="center"/>
          </w:tcPr>
          <w:p w14:paraId="5B7A7B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828027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55CA45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01054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B58C7C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9561D6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1793E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91BD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1F68F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8" w:type="pct"/>
            <w:vAlign w:val="center"/>
          </w:tcPr>
          <w:p w14:paraId="5F5192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2022/06/02 00:00</w:t>
            </w:r>
          </w:p>
        </w:tc>
        <w:tc>
          <w:tcPr>
            <w:tcW w:w="535" w:type="pct"/>
            <w:vAlign w:val="center"/>
          </w:tcPr>
          <w:p w14:paraId="5136D48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CDE41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668DBE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096B80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8D0613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51DAC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1401DF1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726F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1F0726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8" w:type="pct"/>
            <w:vAlign w:val="center"/>
          </w:tcPr>
          <w:p w14:paraId="1F58CF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2022/04/21 00:00</w:t>
            </w:r>
          </w:p>
        </w:tc>
        <w:tc>
          <w:tcPr>
            <w:tcW w:w="535" w:type="pct"/>
            <w:vAlign w:val="center"/>
          </w:tcPr>
          <w:p w14:paraId="1CA546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086C1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ABE09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E7451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1ACA4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F49E7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8EFB8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989E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24246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8" w:type="pct"/>
            <w:vAlign w:val="center"/>
          </w:tcPr>
          <w:p w14:paraId="1E7E93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2022/03/17 00:00</w:t>
            </w:r>
          </w:p>
        </w:tc>
        <w:tc>
          <w:tcPr>
            <w:tcW w:w="535" w:type="pct"/>
            <w:vAlign w:val="center"/>
          </w:tcPr>
          <w:p w14:paraId="543EB4F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EE00D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094A4D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9E9A2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46354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2C8BC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DB689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AA43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36D3B9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8" w:type="pct"/>
            <w:vAlign w:val="center"/>
          </w:tcPr>
          <w:p w14:paraId="29DFAA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2022/06/12 00:00</w:t>
            </w:r>
          </w:p>
        </w:tc>
        <w:tc>
          <w:tcPr>
            <w:tcW w:w="535" w:type="pct"/>
            <w:vAlign w:val="center"/>
          </w:tcPr>
          <w:p w14:paraId="294963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0338F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56D7C47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9029D4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2896D1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A542F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0EEE2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4A58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A83BF8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8" w:type="pct"/>
            <w:vAlign w:val="center"/>
          </w:tcPr>
          <w:p w14:paraId="2F8A70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2022/11/29 00:00</w:t>
            </w:r>
          </w:p>
        </w:tc>
        <w:tc>
          <w:tcPr>
            <w:tcW w:w="535" w:type="pct"/>
            <w:vAlign w:val="center"/>
          </w:tcPr>
          <w:p w14:paraId="0AEE9AC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1F505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40355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7B72F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FA676E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21197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4E4CD69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CEBD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72F619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8" w:type="pct"/>
            <w:vAlign w:val="center"/>
          </w:tcPr>
          <w:p w14:paraId="541BFB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2022/07/11 00:00</w:t>
            </w:r>
          </w:p>
        </w:tc>
        <w:tc>
          <w:tcPr>
            <w:tcW w:w="535" w:type="pct"/>
            <w:vAlign w:val="center"/>
          </w:tcPr>
          <w:p w14:paraId="4E8D86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36A76B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0E800B8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C97AD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3B15A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DEBA55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269FF6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C834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B06CF7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8" w:type="pct"/>
            <w:vAlign w:val="center"/>
          </w:tcPr>
          <w:p w14:paraId="6A4BD9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4E4F47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136EB7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4A82C8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A31B54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77A520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D34D8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2E79111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BEF7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597957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8" w:type="pct"/>
            <w:vAlign w:val="center"/>
          </w:tcPr>
          <w:p w14:paraId="7A4176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4BBD3AC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1A3D7F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076922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FCDE0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57426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4B7F5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428A6C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2051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675238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8" w:type="pct"/>
            <w:vAlign w:val="center"/>
          </w:tcPr>
          <w:p w14:paraId="590FB2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51257E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17809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DEFA2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8FBE6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AC200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59FB1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518064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16286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6961EF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8" w:type="pct"/>
            <w:vAlign w:val="center"/>
          </w:tcPr>
          <w:p w14:paraId="21505B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2022/05/28 00:00</w:t>
            </w:r>
          </w:p>
        </w:tc>
        <w:tc>
          <w:tcPr>
            <w:tcW w:w="535" w:type="pct"/>
            <w:vAlign w:val="center"/>
          </w:tcPr>
          <w:p w14:paraId="0EA28D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BF74C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BCD180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D484F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B0942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91965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1B606D1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E4BF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7FEDB3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8" w:type="pct"/>
            <w:vAlign w:val="center"/>
          </w:tcPr>
          <w:p w14:paraId="42B0EF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2022/09/05 00:00</w:t>
            </w:r>
          </w:p>
        </w:tc>
        <w:tc>
          <w:tcPr>
            <w:tcW w:w="535" w:type="pct"/>
            <w:vAlign w:val="center"/>
          </w:tcPr>
          <w:p w14:paraId="4EA3B3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B3AEE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04213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F713AB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F177B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B1FD8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4FD930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4B18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D9B859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8" w:type="pct"/>
            <w:vAlign w:val="center"/>
          </w:tcPr>
          <w:p w14:paraId="706F24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76EE85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04C97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751017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B7693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1A9CB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417A3A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904BA1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B748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D6371D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8" w:type="pct"/>
            <w:vAlign w:val="center"/>
          </w:tcPr>
          <w:p w14:paraId="78EE1AA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2022/03/17 00:00</w:t>
            </w:r>
          </w:p>
        </w:tc>
        <w:tc>
          <w:tcPr>
            <w:tcW w:w="535" w:type="pct"/>
            <w:vAlign w:val="center"/>
          </w:tcPr>
          <w:p w14:paraId="4A62E7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381B0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0EAF05D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ACC048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6D15B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709666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359428D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9018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4F8405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8" w:type="pct"/>
            <w:vAlign w:val="center"/>
          </w:tcPr>
          <w:p w14:paraId="1FB0B3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2022/11/13 00:00</w:t>
            </w:r>
          </w:p>
        </w:tc>
        <w:tc>
          <w:tcPr>
            <w:tcW w:w="535" w:type="pct"/>
            <w:vAlign w:val="center"/>
          </w:tcPr>
          <w:p w14:paraId="1646478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31CF2CD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866E6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F826B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B257A0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2047FD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E0E700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2009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991E39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8" w:type="pct"/>
            <w:vAlign w:val="center"/>
          </w:tcPr>
          <w:p w14:paraId="4796FA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2022/03/18 00:00</w:t>
            </w:r>
          </w:p>
        </w:tc>
        <w:tc>
          <w:tcPr>
            <w:tcW w:w="535" w:type="pct"/>
            <w:vAlign w:val="center"/>
          </w:tcPr>
          <w:p w14:paraId="3E722E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E009B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454C7CC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12CB6C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CADA1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58B56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5C25D3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B8F5A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7F3108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8" w:type="pct"/>
            <w:vAlign w:val="center"/>
          </w:tcPr>
          <w:p w14:paraId="125F8E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2022/07/14 00:00</w:t>
            </w:r>
          </w:p>
        </w:tc>
        <w:tc>
          <w:tcPr>
            <w:tcW w:w="535" w:type="pct"/>
            <w:vAlign w:val="center"/>
          </w:tcPr>
          <w:p w14:paraId="29D5811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554C9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4C3BA3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247DE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475AC2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ECACE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5B0353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3CA9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trPr>
        <w:tc>
          <w:tcPr>
            <w:tcW w:w="604" w:type="pct"/>
            <w:vAlign w:val="center"/>
          </w:tcPr>
          <w:p w14:paraId="2751E9B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8" w:type="pct"/>
            <w:vAlign w:val="center"/>
          </w:tcPr>
          <w:p w14:paraId="6E20B4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2022/07/14 00:00</w:t>
            </w:r>
          </w:p>
        </w:tc>
        <w:tc>
          <w:tcPr>
            <w:tcW w:w="535" w:type="pct"/>
            <w:vAlign w:val="center"/>
          </w:tcPr>
          <w:p w14:paraId="07FE06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2EB646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51ACB4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40F0C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4F30D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E4819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360D40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DACA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7ED372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8" w:type="pct"/>
            <w:vAlign w:val="center"/>
          </w:tcPr>
          <w:p w14:paraId="30B6801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2022/08/07 00:00</w:t>
            </w:r>
          </w:p>
        </w:tc>
        <w:tc>
          <w:tcPr>
            <w:tcW w:w="535" w:type="pct"/>
            <w:vAlign w:val="center"/>
          </w:tcPr>
          <w:p w14:paraId="4415CA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34CC01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8176D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590327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46B03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B3177C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299A4A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C807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D90995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177FA6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2022/04/14 00:00</w:t>
            </w:r>
          </w:p>
        </w:tc>
        <w:tc>
          <w:tcPr>
            <w:tcW w:w="535" w:type="pct"/>
            <w:vAlign w:val="center"/>
          </w:tcPr>
          <w:p w14:paraId="1D648FB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AF0FD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0895E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ED546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F8321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91A68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684540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A1CE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B9FDD3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8" w:type="pct"/>
            <w:vAlign w:val="center"/>
          </w:tcPr>
          <w:p w14:paraId="43095F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2022/07/22 00:00</w:t>
            </w:r>
          </w:p>
        </w:tc>
        <w:tc>
          <w:tcPr>
            <w:tcW w:w="535" w:type="pct"/>
            <w:vAlign w:val="center"/>
          </w:tcPr>
          <w:p w14:paraId="101F416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185F7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31BA2E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3C4C7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EEA60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DD705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61C63C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568B9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8E4D9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8" w:type="pct"/>
            <w:vAlign w:val="center"/>
          </w:tcPr>
          <w:p w14:paraId="006D507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58CB65E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8857BA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45E0F5A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76CAE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191B6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1DF7B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4EFA27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131CC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AC9076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8" w:type="pct"/>
            <w:vAlign w:val="center"/>
          </w:tcPr>
          <w:p w14:paraId="213968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2022/03/04 00:00</w:t>
            </w:r>
          </w:p>
        </w:tc>
        <w:tc>
          <w:tcPr>
            <w:tcW w:w="535" w:type="pct"/>
            <w:vAlign w:val="center"/>
          </w:tcPr>
          <w:p w14:paraId="0D9DDA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667C7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0776CF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1D23B41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08545A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B7EA6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460ED0A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A282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64D61B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344754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535" w:type="pct"/>
            <w:vAlign w:val="center"/>
          </w:tcPr>
          <w:p w14:paraId="5A1D04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28305A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29B7F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F779F2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A84B2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70DDE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2F72F1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5429B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AA1D06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8" w:type="pct"/>
            <w:vAlign w:val="center"/>
          </w:tcPr>
          <w:p w14:paraId="47B36D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2022/04/13 00:00</w:t>
            </w:r>
          </w:p>
        </w:tc>
        <w:tc>
          <w:tcPr>
            <w:tcW w:w="535" w:type="pct"/>
            <w:vAlign w:val="center"/>
          </w:tcPr>
          <w:p w14:paraId="3A4A6A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479E7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77077C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8315B3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EB631D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01F4E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0156448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CA35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636B80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8" w:type="pct"/>
            <w:vAlign w:val="center"/>
          </w:tcPr>
          <w:p w14:paraId="7C9655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2022/08/17 00:00</w:t>
            </w:r>
          </w:p>
        </w:tc>
        <w:tc>
          <w:tcPr>
            <w:tcW w:w="535" w:type="pct"/>
            <w:vAlign w:val="center"/>
          </w:tcPr>
          <w:p w14:paraId="6C3784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92E286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154B6D8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7E45D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1230E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557220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3A09E4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C7FF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55377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8" w:type="pct"/>
            <w:vAlign w:val="center"/>
          </w:tcPr>
          <w:p w14:paraId="2FCB7C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2022/05/30 00:00</w:t>
            </w:r>
          </w:p>
        </w:tc>
        <w:tc>
          <w:tcPr>
            <w:tcW w:w="535" w:type="pct"/>
            <w:vAlign w:val="center"/>
          </w:tcPr>
          <w:p w14:paraId="6AA468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056D6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ADAD26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1916F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C03EB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64466F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4E1F2D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19A8C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F8178E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8" w:type="pct"/>
            <w:vAlign w:val="center"/>
          </w:tcPr>
          <w:p w14:paraId="77953F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2022/08/02 00:00</w:t>
            </w:r>
          </w:p>
        </w:tc>
        <w:tc>
          <w:tcPr>
            <w:tcW w:w="535" w:type="pct"/>
            <w:vAlign w:val="center"/>
          </w:tcPr>
          <w:p w14:paraId="364478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8C873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46A3206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9E46B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30B4D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F1B795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745B3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1F35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8C201E8">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8" w:type="pct"/>
            <w:vAlign w:val="center"/>
          </w:tcPr>
          <w:p w14:paraId="44FB74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2022/05/29 00:00</w:t>
            </w:r>
          </w:p>
        </w:tc>
        <w:tc>
          <w:tcPr>
            <w:tcW w:w="535" w:type="pct"/>
            <w:vAlign w:val="center"/>
          </w:tcPr>
          <w:p w14:paraId="286573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0.01</w:t>
            </w:r>
          </w:p>
        </w:tc>
        <w:tc>
          <w:tcPr>
            <w:tcW w:w="536" w:type="pct"/>
            <w:vAlign w:val="center"/>
          </w:tcPr>
          <w:p w14:paraId="4D35E67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447" w:type="pct"/>
            <w:vAlign w:val="center"/>
          </w:tcPr>
          <w:p w14:paraId="2DCA2D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0.007</w:t>
            </w:r>
          </w:p>
        </w:tc>
        <w:tc>
          <w:tcPr>
            <w:tcW w:w="633" w:type="pct"/>
            <w:vAlign w:val="center"/>
          </w:tcPr>
          <w:p w14:paraId="0CD320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C271B6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61B38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430" w:type="pct"/>
            <w:vAlign w:val="center"/>
          </w:tcPr>
          <w:p w14:paraId="7F7CF3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0.003</w:t>
            </w:r>
          </w:p>
        </w:tc>
      </w:tr>
    </w:tbl>
    <w:p w14:paraId="0A0623C9">
      <w:pPr>
        <w:ind w:firstLine="482"/>
        <w:jc w:val="center"/>
        <w:rPr>
          <w:rFonts w:hAnsi="Times New Roman"/>
          <w:b/>
          <w:color w:val="auto"/>
          <w:highlight w:val="none"/>
          <w:u w:val="none"/>
        </w:rPr>
      </w:pPr>
    </w:p>
    <w:p w14:paraId="1EDDBA4B">
      <w:pPr>
        <w:ind w:firstLine="482"/>
        <w:jc w:val="center"/>
        <w:rPr>
          <w:rFonts w:hAnsi="Times New Roman"/>
          <w:b/>
          <w:color w:val="auto"/>
          <w:highlight w:val="none"/>
          <w:u w:val="none"/>
        </w:rPr>
      </w:pPr>
      <w:bookmarkStart w:id="485" w:name="_Ref7361"/>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fldChar w:fldCharType="begin"/>
      </w:r>
      <w:r>
        <w:rPr>
          <w:rFonts w:hAnsi="Times New Roman"/>
          <w:b/>
          <w:color w:val="auto"/>
          <w:highlight w:val="none"/>
          <w:u w:val="none"/>
        </w:rPr>
        <w:instrText xml:space="preserve"> SEQ 表 \* ARABIC \s 2 </w:instrText>
      </w:r>
      <w:r>
        <w:rPr>
          <w:rFonts w:hAnsi="Times New Roman"/>
          <w:b/>
          <w:color w:val="auto"/>
          <w:highlight w:val="none"/>
          <w:u w:val="none"/>
        </w:rPr>
        <w:fldChar w:fldCharType="separate"/>
      </w:r>
      <w:r>
        <w:rPr>
          <w:rFonts w:hAnsi="Times New Roman"/>
          <w:b/>
          <w:color w:val="auto"/>
          <w:highlight w:val="none"/>
          <w:u w:val="none"/>
        </w:rPr>
        <w:t>25</w:t>
      </w:r>
      <w:r>
        <w:rPr>
          <w:rFonts w:hAnsi="Times New Roman"/>
          <w:b/>
          <w:color w:val="auto"/>
          <w:highlight w:val="none"/>
          <w:u w:val="none"/>
        </w:rPr>
        <w:fldChar w:fldCharType="end"/>
      </w:r>
      <w:bookmarkEnd w:id="485"/>
      <w:r>
        <w:rPr>
          <w:rFonts w:hAnsi="Times New Roman"/>
          <w:b/>
          <w:color w:val="auto"/>
          <w:highlight w:val="none"/>
          <w:u w:val="none"/>
        </w:rPr>
        <w:t xml:space="preserve">  项目建成后</w:t>
      </w:r>
      <w:r>
        <w:rPr>
          <w:rFonts w:hint="eastAsia" w:hAnsi="Times New Roman"/>
          <w:b/>
          <w:color w:val="auto"/>
          <w:highlight w:val="none"/>
          <w:u w:val="none"/>
        </w:rPr>
        <w:t>PM</w:t>
      </w:r>
      <w:r>
        <w:rPr>
          <w:rFonts w:hint="eastAsia" w:hAnsi="Times New Roman"/>
          <w:b/>
          <w:color w:val="auto"/>
          <w:highlight w:val="none"/>
          <w:u w:val="none"/>
          <w:vertAlign w:val="subscript"/>
        </w:rPr>
        <w:t>2.5</w:t>
      </w:r>
      <w:r>
        <w:rPr>
          <w:rFonts w:hAnsi="Times New Roman"/>
          <w:b/>
          <w:color w:val="auto"/>
          <w:highlight w:val="none"/>
          <w:u w:val="none"/>
        </w:rPr>
        <w:t>质量浓度贡献值一览表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41B6C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4A40E28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17B053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2.5</w:t>
            </w:r>
            <w:r>
              <w:rPr>
                <w:rFonts w:hint="eastAsia" w:hAnsi="Times New Roman"/>
                <w:color w:val="auto"/>
                <w:sz w:val="21"/>
                <w:szCs w:val="21"/>
                <w:highlight w:val="none"/>
                <w:u w:val="none"/>
              </w:rPr>
              <w:t>日均95%保证率</w:t>
            </w:r>
            <w:r>
              <w:rPr>
                <w:rFonts w:hAnsi="Times New Roman"/>
                <w:color w:val="auto"/>
                <w:sz w:val="21"/>
                <w:szCs w:val="21"/>
                <w:highlight w:val="none"/>
                <w:u w:val="none"/>
              </w:rPr>
              <w:t>浓度</w:t>
            </w:r>
          </w:p>
        </w:tc>
        <w:tc>
          <w:tcPr>
            <w:tcW w:w="2190" w:type="pct"/>
            <w:gridSpan w:val="4"/>
            <w:vAlign w:val="center"/>
          </w:tcPr>
          <w:p w14:paraId="6D3B939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2.5</w:t>
            </w:r>
            <w:r>
              <w:rPr>
                <w:rFonts w:hint="eastAsia" w:hAnsi="Times New Roman"/>
                <w:color w:val="auto"/>
                <w:sz w:val="21"/>
                <w:szCs w:val="21"/>
                <w:highlight w:val="none"/>
                <w:u w:val="none"/>
              </w:rPr>
              <w:t>年均浓度</w:t>
            </w:r>
          </w:p>
        </w:tc>
      </w:tr>
      <w:tr w14:paraId="032CF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6E2B8C99">
            <w:pPr>
              <w:spacing w:line="240" w:lineRule="auto"/>
              <w:ind w:firstLine="0" w:firstLineChars="0"/>
              <w:jc w:val="center"/>
              <w:rPr>
                <w:rFonts w:hAnsi="Times New Roman"/>
                <w:color w:val="auto"/>
                <w:sz w:val="21"/>
                <w:szCs w:val="21"/>
                <w:highlight w:val="none"/>
                <w:u w:val="none"/>
              </w:rPr>
            </w:pPr>
          </w:p>
        </w:tc>
        <w:tc>
          <w:tcPr>
            <w:tcW w:w="688" w:type="pct"/>
            <w:vAlign w:val="center"/>
          </w:tcPr>
          <w:p w14:paraId="17ADAAC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22B4DF3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12F85E9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5985A5B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741F956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0652E5B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38053C6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37F4B2C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46DBD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7ABA3B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8" w:type="pct"/>
            <w:vAlign w:val="center"/>
          </w:tcPr>
          <w:p w14:paraId="1632F9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2022/03/13 00:00</w:t>
            </w:r>
          </w:p>
        </w:tc>
        <w:tc>
          <w:tcPr>
            <w:tcW w:w="535" w:type="pct"/>
            <w:vAlign w:val="center"/>
          </w:tcPr>
          <w:p w14:paraId="5CF9F2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1FE3D7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A6AAC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0A0206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6FF77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9949C4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2F38B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CC29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87F9FC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8" w:type="pct"/>
            <w:vAlign w:val="center"/>
          </w:tcPr>
          <w:p w14:paraId="6FD31F8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2022/08/16 00:00</w:t>
            </w:r>
          </w:p>
        </w:tc>
        <w:tc>
          <w:tcPr>
            <w:tcW w:w="535" w:type="pct"/>
            <w:vAlign w:val="center"/>
          </w:tcPr>
          <w:p w14:paraId="5D8C41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D2AC4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39FAA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6FEA16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E15F21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AC282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1B161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0CC5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488D6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8" w:type="pct"/>
            <w:vAlign w:val="center"/>
          </w:tcPr>
          <w:p w14:paraId="674400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2022/08/19 00:00</w:t>
            </w:r>
          </w:p>
        </w:tc>
        <w:tc>
          <w:tcPr>
            <w:tcW w:w="535" w:type="pct"/>
            <w:vAlign w:val="center"/>
          </w:tcPr>
          <w:p w14:paraId="65B831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C3856B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1E12D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A51AF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5C714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76D264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FA29AA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52279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49F1E4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8" w:type="pct"/>
            <w:vAlign w:val="center"/>
          </w:tcPr>
          <w:p w14:paraId="1C83BE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2022/08/15 00:00</w:t>
            </w:r>
          </w:p>
        </w:tc>
        <w:tc>
          <w:tcPr>
            <w:tcW w:w="535" w:type="pct"/>
            <w:vAlign w:val="center"/>
          </w:tcPr>
          <w:p w14:paraId="1D64716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04EF2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62F5E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70CF67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D82669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F20BD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8EF7E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5BD6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D4A34A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8" w:type="pct"/>
            <w:vAlign w:val="center"/>
          </w:tcPr>
          <w:p w14:paraId="32FE57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2022/09/16 00:00</w:t>
            </w:r>
          </w:p>
        </w:tc>
        <w:tc>
          <w:tcPr>
            <w:tcW w:w="535" w:type="pct"/>
            <w:vAlign w:val="center"/>
          </w:tcPr>
          <w:p w14:paraId="6FB550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5DCBB8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D29F6B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EF8D5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D2DE8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2507F7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1BE5F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FB12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BDE9D5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8" w:type="pct"/>
            <w:vAlign w:val="center"/>
          </w:tcPr>
          <w:p w14:paraId="779638D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2022/06/13 00:00</w:t>
            </w:r>
          </w:p>
        </w:tc>
        <w:tc>
          <w:tcPr>
            <w:tcW w:w="535" w:type="pct"/>
            <w:vAlign w:val="center"/>
          </w:tcPr>
          <w:p w14:paraId="196773A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43E3BA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E624F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C9212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C6CAF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76429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6F25E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9732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E70039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8" w:type="pct"/>
            <w:vAlign w:val="center"/>
          </w:tcPr>
          <w:p w14:paraId="3029F4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2022/09/14 00:00</w:t>
            </w:r>
          </w:p>
        </w:tc>
        <w:tc>
          <w:tcPr>
            <w:tcW w:w="535" w:type="pct"/>
            <w:vAlign w:val="center"/>
          </w:tcPr>
          <w:p w14:paraId="2608F1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AD6856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B0BC4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D86B2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16B92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72C3B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EFDB86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2C0A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4527C3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8" w:type="pct"/>
            <w:vAlign w:val="center"/>
          </w:tcPr>
          <w:p w14:paraId="36F68B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2022/07/13 00:00</w:t>
            </w:r>
          </w:p>
        </w:tc>
        <w:tc>
          <w:tcPr>
            <w:tcW w:w="535" w:type="pct"/>
            <w:vAlign w:val="center"/>
          </w:tcPr>
          <w:p w14:paraId="7C8007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A4C47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5B94FD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22A4B7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B5524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156D1F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8DC5D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E0D6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92CF55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8" w:type="pct"/>
            <w:vAlign w:val="center"/>
          </w:tcPr>
          <w:p w14:paraId="01EDFE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2022/04/23 00:00</w:t>
            </w:r>
          </w:p>
        </w:tc>
        <w:tc>
          <w:tcPr>
            <w:tcW w:w="535" w:type="pct"/>
            <w:vAlign w:val="center"/>
          </w:tcPr>
          <w:p w14:paraId="36E08A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16A35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F0191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411125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A92ED7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B71216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666FF8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423C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28EB0A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8" w:type="pct"/>
            <w:vAlign w:val="center"/>
          </w:tcPr>
          <w:p w14:paraId="7FB875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2022/08/20 00:00</w:t>
            </w:r>
          </w:p>
        </w:tc>
        <w:tc>
          <w:tcPr>
            <w:tcW w:w="535" w:type="pct"/>
            <w:vAlign w:val="center"/>
          </w:tcPr>
          <w:p w14:paraId="2BA9B1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393E14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DB730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A8933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68BDE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C02FC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3E1DF5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D830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CC2F63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8" w:type="pct"/>
            <w:vAlign w:val="center"/>
          </w:tcPr>
          <w:p w14:paraId="06912A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2022/06/02 00:00</w:t>
            </w:r>
          </w:p>
        </w:tc>
        <w:tc>
          <w:tcPr>
            <w:tcW w:w="535" w:type="pct"/>
            <w:vAlign w:val="center"/>
          </w:tcPr>
          <w:p w14:paraId="7DD642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B3E09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6D4B1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C844F6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FD2FFA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84E58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098B56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40D2F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AE0D7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8" w:type="pct"/>
            <w:vAlign w:val="center"/>
          </w:tcPr>
          <w:p w14:paraId="7DA8F92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2022/04/21 00:00</w:t>
            </w:r>
          </w:p>
        </w:tc>
        <w:tc>
          <w:tcPr>
            <w:tcW w:w="535" w:type="pct"/>
            <w:vAlign w:val="center"/>
          </w:tcPr>
          <w:p w14:paraId="6A84A0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289FE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B219F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137F97B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64FE7C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52AE8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DEABD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EB7F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8601D0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8" w:type="pct"/>
            <w:vAlign w:val="center"/>
          </w:tcPr>
          <w:p w14:paraId="756079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2022/03/17 00:00</w:t>
            </w:r>
          </w:p>
        </w:tc>
        <w:tc>
          <w:tcPr>
            <w:tcW w:w="535" w:type="pct"/>
            <w:vAlign w:val="center"/>
          </w:tcPr>
          <w:p w14:paraId="683FF3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5EF78C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8B5FE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3508A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0BC40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76CB5E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FFFC6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A7BC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6579AF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8" w:type="pct"/>
            <w:vAlign w:val="center"/>
          </w:tcPr>
          <w:p w14:paraId="56D1D1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2022/04/22 00:00</w:t>
            </w:r>
          </w:p>
        </w:tc>
        <w:tc>
          <w:tcPr>
            <w:tcW w:w="535" w:type="pct"/>
            <w:vAlign w:val="center"/>
          </w:tcPr>
          <w:p w14:paraId="1C8144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5C651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4200A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CC5F6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5C8F0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5F7F1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032FE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DECC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7F25E6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8" w:type="pct"/>
            <w:vAlign w:val="center"/>
          </w:tcPr>
          <w:p w14:paraId="51845B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2022/11/29 00:00</w:t>
            </w:r>
          </w:p>
        </w:tc>
        <w:tc>
          <w:tcPr>
            <w:tcW w:w="535" w:type="pct"/>
            <w:vAlign w:val="center"/>
          </w:tcPr>
          <w:p w14:paraId="7B3B32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6C053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BEA8E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30E59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1DEC7A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5FB504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84D41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C1A5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1AEE4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8" w:type="pct"/>
            <w:vAlign w:val="center"/>
          </w:tcPr>
          <w:p w14:paraId="020C99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2022/07/11 00:00</w:t>
            </w:r>
          </w:p>
        </w:tc>
        <w:tc>
          <w:tcPr>
            <w:tcW w:w="535" w:type="pct"/>
            <w:vAlign w:val="center"/>
          </w:tcPr>
          <w:p w14:paraId="6796206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3F59F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C3627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1879A6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B0078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D9256C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912EB9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2C42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6035D9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8" w:type="pct"/>
            <w:vAlign w:val="center"/>
          </w:tcPr>
          <w:p w14:paraId="3413D0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2B27B4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9BF424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D40BB6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DC55F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67566F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603C2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15A3B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55AF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E50E57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8" w:type="pct"/>
            <w:vAlign w:val="center"/>
          </w:tcPr>
          <w:p w14:paraId="096CB4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4BDE23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7EDF2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280D13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9721B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64C9D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CC5AB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AA063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79CA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F9D8D4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8" w:type="pct"/>
            <w:vAlign w:val="center"/>
          </w:tcPr>
          <w:p w14:paraId="53F52A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642CB4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40453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1EAEA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458BA8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70F12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39F6C7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CB070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7411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11D0F4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8" w:type="pct"/>
            <w:vAlign w:val="center"/>
          </w:tcPr>
          <w:p w14:paraId="601E03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2022/05/28 00:00</w:t>
            </w:r>
          </w:p>
        </w:tc>
        <w:tc>
          <w:tcPr>
            <w:tcW w:w="535" w:type="pct"/>
            <w:vAlign w:val="center"/>
          </w:tcPr>
          <w:p w14:paraId="05F648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60554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146FE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6FF197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38FBB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2CEB5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6FC86D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6D823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9108C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8" w:type="pct"/>
            <w:vAlign w:val="center"/>
          </w:tcPr>
          <w:p w14:paraId="4D7320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2022/09/05 00:00</w:t>
            </w:r>
          </w:p>
        </w:tc>
        <w:tc>
          <w:tcPr>
            <w:tcW w:w="535" w:type="pct"/>
            <w:vAlign w:val="center"/>
          </w:tcPr>
          <w:p w14:paraId="165AC8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478B39F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4A42E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7D0A6D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EFCD1B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7ADA9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83206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86D3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131B73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8" w:type="pct"/>
            <w:vAlign w:val="center"/>
          </w:tcPr>
          <w:p w14:paraId="3CD55C8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21304A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36414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50042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83B64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08399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B453C8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EAE20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6E10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862F5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8" w:type="pct"/>
            <w:vAlign w:val="center"/>
          </w:tcPr>
          <w:p w14:paraId="4B83A15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2022/03/17 00:00</w:t>
            </w:r>
          </w:p>
        </w:tc>
        <w:tc>
          <w:tcPr>
            <w:tcW w:w="535" w:type="pct"/>
            <w:vAlign w:val="center"/>
          </w:tcPr>
          <w:p w14:paraId="7F8B02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31BEB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540E2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F1ABA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4C3DDD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5A13C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CF57F9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A8C0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DD7996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8" w:type="pct"/>
            <w:vAlign w:val="center"/>
          </w:tcPr>
          <w:p w14:paraId="1BCE28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43B82DC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F4F26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99DA4B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DA4C3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B72656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D1A80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02981F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C645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AEE243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8" w:type="pct"/>
            <w:vAlign w:val="center"/>
          </w:tcPr>
          <w:p w14:paraId="66E7DE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2022/03/18 00:00</w:t>
            </w:r>
          </w:p>
        </w:tc>
        <w:tc>
          <w:tcPr>
            <w:tcW w:w="535" w:type="pct"/>
            <w:vAlign w:val="center"/>
          </w:tcPr>
          <w:p w14:paraId="07C27D8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B6B72A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161BB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54F930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E5ACC1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7D71E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A8195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6047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826418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8" w:type="pct"/>
            <w:vAlign w:val="center"/>
          </w:tcPr>
          <w:p w14:paraId="474D340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2022/07/14 00:00</w:t>
            </w:r>
          </w:p>
        </w:tc>
        <w:tc>
          <w:tcPr>
            <w:tcW w:w="535" w:type="pct"/>
            <w:vAlign w:val="center"/>
          </w:tcPr>
          <w:p w14:paraId="49F8C7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911AE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7650A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2A1DD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B4D7E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AECAB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05075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50DDC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7FBE4C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8" w:type="pct"/>
            <w:vAlign w:val="center"/>
          </w:tcPr>
          <w:p w14:paraId="4A2ABE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2022/07/14 00:00</w:t>
            </w:r>
          </w:p>
        </w:tc>
        <w:tc>
          <w:tcPr>
            <w:tcW w:w="535" w:type="pct"/>
            <w:vAlign w:val="center"/>
          </w:tcPr>
          <w:p w14:paraId="0014E2D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2AA7A6C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D0BB2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E9A46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30B8D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3E650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014EE4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8313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F2994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8" w:type="pct"/>
            <w:vAlign w:val="center"/>
          </w:tcPr>
          <w:p w14:paraId="337541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2022/08/07 00:00</w:t>
            </w:r>
          </w:p>
        </w:tc>
        <w:tc>
          <w:tcPr>
            <w:tcW w:w="535" w:type="pct"/>
            <w:vAlign w:val="center"/>
          </w:tcPr>
          <w:p w14:paraId="494760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6A714B4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38A77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41F02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ECD7B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4166F0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73C4D5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3027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BCE27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560615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2022/04/14 00:00</w:t>
            </w:r>
          </w:p>
        </w:tc>
        <w:tc>
          <w:tcPr>
            <w:tcW w:w="535" w:type="pct"/>
            <w:vAlign w:val="center"/>
          </w:tcPr>
          <w:p w14:paraId="475CDA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94159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0A4F26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FDACC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38314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B2EF48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2FFB2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2D50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A793A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8" w:type="pct"/>
            <w:vAlign w:val="center"/>
          </w:tcPr>
          <w:p w14:paraId="346460F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2022/07/22 00:00</w:t>
            </w:r>
          </w:p>
        </w:tc>
        <w:tc>
          <w:tcPr>
            <w:tcW w:w="535" w:type="pct"/>
            <w:vAlign w:val="center"/>
          </w:tcPr>
          <w:p w14:paraId="24114FC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23F95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14C54A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64E483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9F4560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66CD56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3A5EC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0CDDE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E3B150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8" w:type="pct"/>
            <w:vAlign w:val="center"/>
          </w:tcPr>
          <w:p w14:paraId="0CF02D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7717BC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5795FB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34363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3B7258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DE6B6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27B8C6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45077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3ACB0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2771EF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8" w:type="pct"/>
            <w:vAlign w:val="center"/>
          </w:tcPr>
          <w:p w14:paraId="35360F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2022/03/04 00:00</w:t>
            </w:r>
          </w:p>
        </w:tc>
        <w:tc>
          <w:tcPr>
            <w:tcW w:w="535" w:type="pct"/>
            <w:vAlign w:val="center"/>
          </w:tcPr>
          <w:p w14:paraId="01B737A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3D7D16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932E8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0DFD15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DFFEA3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65B98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759936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5704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F5F09A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32DF8F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535" w:type="pct"/>
            <w:vAlign w:val="center"/>
          </w:tcPr>
          <w:p w14:paraId="3D19452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1D61B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4E121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5ED1F32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772DC2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141BF49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DC7C49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A322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C98721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8" w:type="pct"/>
            <w:vAlign w:val="center"/>
          </w:tcPr>
          <w:p w14:paraId="0A974A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2022/08/04 00:00</w:t>
            </w:r>
          </w:p>
        </w:tc>
        <w:tc>
          <w:tcPr>
            <w:tcW w:w="535" w:type="pct"/>
            <w:vAlign w:val="center"/>
          </w:tcPr>
          <w:p w14:paraId="29592B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2454A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435F4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703DF1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361D40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35FEB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52D086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C240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5275FF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8" w:type="pct"/>
            <w:vAlign w:val="center"/>
          </w:tcPr>
          <w:p w14:paraId="51EEDA3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2022/08/17 00:00</w:t>
            </w:r>
          </w:p>
        </w:tc>
        <w:tc>
          <w:tcPr>
            <w:tcW w:w="535" w:type="pct"/>
            <w:vAlign w:val="center"/>
          </w:tcPr>
          <w:p w14:paraId="039B4B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06288D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8BFD6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3C66422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EA739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7E27925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3D261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17A54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EEAA72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8" w:type="pct"/>
            <w:vAlign w:val="center"/>
          </w:tcPr>
          <w:p w14:paraId="247019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2022/04/22 00:00</w:t>
            </w:r>
          </w:p>
        </w:tc>
        <w:tc>
          <w:tcPr>
            <w:tcW w:w="535" w:type="pct"/>
            <w:vAlign w:val="center"/>
          </w:tcPr>
          <w:p w14:paraId="62C9F8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11500B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C183B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40DA93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2D09B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0B9570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A4039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A125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520EA0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8" w:type="pct"/>
            <w:vAlign w:val="center"/>
          </w:tcPr>
          <w:p w14:paraId="39A7CC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2022/08/02 00:00</w:t>
            </w:r>
          </w:p>
        </w:tc>
        <w:tc>
          <w:tcPr>
            <w:tcW w:w="535" w:type="pct"/>
            <w:vAlign w:val="center"/>
          </w:tcPr>
          <w:p w14:paraId="77F41E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36" w:type="pct"/>
            <w:vAlign w:val="center"/>
          </w:tcPr>
          <w:p w14:paraId="73E3F4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4D75F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c>
          <w:tcPr>
            <w:tcW w:w="633" w:type="pct"/>
            <w:vAlign w:val="center"/>
          </w:tcPr>
          <w:p w14:paraId="12A09E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CFBB0C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3F75A34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BF3B3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0.000</w:t>
            </w:r>
          </w:p>
        </w:tc>
      </w:tr>
      <w:tr w14:paraId="76F19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14E19FE">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8" w:type="pct"/>
            <w:vAlign w:val="center"/>
          </w:tcPr>
          <w:p w14:paraId="1B0E81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2022/05/29 00:00</w:t>
            </w:r>
          </w:p>
        </w:tc>
        <w:tc>
          <w:tcPr>
            <w:tcW w:w="535" w:type="pct"/>
            <w:vAlign w:val="center"/>
          </w:tcPr>
          <w:p w14:paraId="52C29B9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0.01</w:t>
            </w:r>
          </w:p>
        </w:tc>
        <w:tc>
          <w:tcPr>
            <w:tcW w:w="536" w:type="pct"/>
            <w:vAlign w:val="center"/>
          </w:tcPr>
          <w:p w14:paraId="0CCCA7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17AD00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0.008</w:t>
            </w:r>
          </w:p>
        </w:tc>
        <w:tc>
          <w:tcPr>
            <w:tcW w:w="633" w:type="pct"/>
            <w:vAlign w:val="center"/>
          </w:tcPr>
          <w:p w14:paraId="030D9F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B54C0D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w:t>
            </w:r>
          </w:p>
        </w:tc>
        <w:tc>
          <w:tcPr>
            <w:tcW w:w="579" w:type="pct"/>
            <w:vAlign w:val="center"/>
          </w:tcPr>
          <w:p w14:paraId="59E26D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1EB6F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0.004</w:t>
            </w:r>
          </w:p>
        </w:tc>
      </w:tr>
    </w:tbl>
    <w:p w14:paraId="2035DA40">
      <w:pPr>
        <w:widowControl/>
        <w:ind w:left="-103" w:right="-113"/>
        <w:jc w:val="left"/>
        <w:rPr>
          <w:rFonts w:hAnsi="Times New Roman" w:eastAsia="等线"/>
          <w:color w:val="auto"/>
          <w:szCs w:val="21"/>
          <w:highlight w:val="none"/>
          <w:u w:val="none"/>
        </w:rPr>
      </w:pPr>
    </w:p>
    <w:p w14:paraId="0E44041A">
      <w:pPr>
        <w:pStyle w:val="85"/>
        <w:rPr>
          <w:color w:val="auto"/>
          <w:highlight w:val="none"/>
          <w:u w:val="none"/>
        </w:rPr>
      </w:pPr>
    </w:p>
    <w:p w14:paraId="625E2366">
      <w:pPr>
        <w:pStyle w:val="333"/>
        <w:ind w:left="-103" w:right="-113"/>
        <w:rPr>
          <w:rFonts w:ascii="Times New Roman" w:hAnsi="Times New Roman" w:cs="Times New Roman"/>
          <w:color w:val="auto"/>
          <w:highlight w:val="none"/>
          <w:u w:val="none"/>
        </w:rPr>
        <w:sectPr>
          <w:pgSz w:w="11907" w:h="16840"/>
          <w:pgMar w:top="1304" w:right="1304" w:bottom="1304" w:left="1304" w:header="1021" w:footer="907" w:gutter="0"/>
          <w:pgNumType w:chapStyle="1"/>
          <w:cols w:space="720" w:num="1"/>
          <w:docGrid w:linePitch="326" w:charSpace="0"/>
        </w:sectPr>
      </w:pPr>
    </w:p>
    <w:p w14:paraId="5080E49C">
      <w:pPr>
        <w:pStyle w:val="6"/>
        <w:spacing w:before="120" w:after="120"/>
        <w:rPr>
          <w:color w:val="auto"/>
          <w:highlight w:val="none"/>
          <w:u w:val="none"/>
        </w:rPr>
      </w:pPr>
      <w:r>
        <w:rPr>
          <w:color w:val="auto"/>
          <w:highlight w:val="none"/>
          <w:u w:val="none"/>
        </w:rPr>
        <w:t>厂界小时浓度预测值</w:t>
      </w:r>
    </w:p>
    <w:p w14:paraId="7BCF055E">
      <w:pPr>
        <w:pStyle w:val="981"/>
        <w:rPr>
          <w:rFonts w:hint="eastAsia"/>
          <w:color w:val="auto"/>
          <w:highlight w:val="none"/>
          <w:u w:val="none"/>
        </w:rPr>
      </w:pPr>
      <w:r>
        <w:rPr>
          <w:rFonts w:hint="eastAsia"/>
          <w:color w:val="auto"/>
          <w:highlight w:val="none"/>
          <w:u w:val="none"/>
        </w:rPr>
        <w:t>根据</w:t>
      </w:r>
      <w:r>
        <w:rPr>
          <w:color w:val="auto"/>
          <w:highlight w:val="none"/>
          <w:u w:val="none"/>
        </w:rPr>
        <w:t>“8.1.3</w:t>
      </w:r>
      <w:r>
        <w:rPr>
          <w:rFonts w:hint="eastAsia"/>
          <w:color w:val="auto"/>
          <w:highlight w:val="none"/>
          <w:u w:val="none"/>
        </w:rPr>
        <w:t>大气环境影响预测</w:t>
      </w:r>
      <w:r>
        <w:rPr>
          <w:color w:val="auto"/>
          <w:highlight w:val="none"/>
          <w:u w:val="none"/>
        </w:rPr>
        <w:t>”和“8.1.8环境防护距离划定”，在判定厂界小时浓度是否达标时，只需考虑本项目建成时全厂所有污染源对企业厂界浓度的贡献值。因此，本项目建成时全厂对厂界污染物浓度有贡献的项目为：本项目（TDI</w:t>
      </w:r>
      <w:r>
        <w:rPr>
          <w:rFonts w:hint="eastAsia"/>
          <w:color w:val="auto"/>
          <w:highlight w:val="none"/>
          <w:u w:val="none"/>
          <w:lang w:val="en-US"/>
        </w:rPr>
        <w:t>一</w:t>
      </w:r>
      <w:r>
        <w:rPr>
          <w:rFonts w:hint="eastAsia"/>
          <w:color w:val="auto"/>
          <w:highlight w:val="none"/>
          <w:u w:val="none"/>
        </w:rPr>
        <w:t>期</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color w:val="auto"/>
          <w:highlight w:val="none"/>
          <w:u w:val="none"/>
        </w:rPr>
        <w:t>项目）</w:t>
      </w:r>
      <w:r>
        <w:rPr>
          <w:rFonts w:hint="eastAsia"/>
          <w:color w:val="auto"/>
          <w:highlight w:val="none"/>
          <w:u w:val="none"/>
        </w:rPr>
        <w:t>、</w:t>
      </w:r>
      <w:r>
        <w:rPr>
          <w:color w:val="auto"/>
          <w:highlight w:val="none"/>
          <w:u w:val="none"/>
        </w:rPr>
        <w:t>TDI</w:t>
      </w:r>
      <w:r>
        <w:rPr>
          <w:rFonts w:hint="eastAsia"/>
          <w:color w:val="auto"/>
          <w:highlight w:val="none"/>
          <w:u w:val="none"/>
        </w:rPr>
        <w:t>二期扩建</w:t>
      </w:r>
      <w:r>
        <w:rPr>
          <w:color w:val="auto"/>
          <w:highlight w:val="none"/>
          <w:u w:val="none"/>
        </w:rPr>
        <w:t>项目</w:t>
      </w:r>
      <w:r>
        <w:rPr>
          <w:rFonts w:hint="eastAsia"/>
          <w:color w:val="auto"/>
          <w:highlight w:val="none"/>
          <w:u w:val="none"/>
        </w:rPr>
        <w:t>、80万吨/年PVC项目、108万吨苯胺项目以及48万吨甲醛项目等项目，</w:t>
      </w:r>
      <w:r>
        <w:rPr>
          <w:color w:val="auto"/>
          <w:highlight w:val="none"/>
          <w:u w:val="none"/>
        </w:rPr>
        <w:t>考虑的污染物主要为：氯化氢、氯气、甲苯、NMHC、TDA、邻二氯苯、DNT</w:t>
      </w:r>
      <w:r>
        <w:rPr>
          <w:rFonts w:hint="eastAsia"/>
          <w:color w:val="auto"/>
          <w:highlight w:val="none"/>
          <w:u w:val="none"/>
        </w:rPr>
        <w:t>、</w:t>
      </w:r>
      <w:r>
        <w:rPr>
          <w:color w:val="auto"/>
          <w:highlight w:val="none"/>
          <w:u w:val="none"/>
        </w:rPr>
        <w:t>光气</w:t>
      </w:r>
      <w:r>
        <w:rPr>
          <w:rFonts w:hint="eastAsia"/>
          <w:color w:val="auto"/>
          <w:highlight w:val="none"/>
          <w:u w:val="none"/>
        </w:rPr>
        <w:t>和颗粒物</w:t>
      </w:r>
      <w:r>
        <w:rPr>
          <w:color w:val="auto"/>
          <w:highlight w:val="none"/>
          <w:u w:val="none"/>
        </w:rPr>
        <w:t>。各污染物的厂界小时最大落地浓度结果见</w:t>
      </w:r>
      <w:r>
        <w:rPr>
          <w:color w:val="auto"/>
          <w:highlight w:val="none"/>
          <w:u w:val="none"/>
        </w:rPr>
        <w:fldChar w:fldCharType="begin"/>
      </w:r>
      <w:r>
        <w:rPr>
          <w:color w:val="auto"/>
          <w:highlight w:val="none"/>
          <w:u w:val="none"/>
        </w:rPr>
        <w:instrText xml:space="preserve"> REF _Ref149235500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26</w:t>
      </w:r>
      <w:r>
        <w:rPr>
          <w:color w:val="auto"/>
          <w:highlight w:val="none"/>
          <w:u w:val="none"/>
        </w:rPr>
        <w:fldChar w:fldCharType="end"/>
      </w:r>
      <w:r>
        <w:rPr>
          <w:color w:val="auto"/>
          <w:highlight w:val="none"/>
          <w:u w:val="none"/>
        </w:rPr>
        <w:t>。</w:t>
      </w:r>
    </w:p>
    <w:p w14:paraId="500DD90A">
      <w:pPr>
        <w:pStyle w:val="981"/>
        <w:rPr>
          <w:rFonts w:hint="eastAsia"/>
          <w:color w:val="auto"/>
          <w:highlight w:val="none"/>
          <w:u w:val="none"/>
        </w:rPr>
      </w:pPr>
      <w:r>
        <w:rPr>
          <w:color w:val="auto"/>
          <w:highlight w:val="none"/>
          <w:u w:val="none"/>
        </w:rPr>
        <w:t>氯化氢、氯气、甲苯、NMHC、TDA、邻二氯苯、DNT</w:t>
      </w:r>
      <w:r>
        <w:rPr>
          <w:rFonts w:hint="eastAsia"/>
          <w:color w:val="auto"/>
          <w:highlight w:val="none"/>
          <w:u w:val="none"/>
        </w:rPr>
        <w:t>、</w:t>
      </w:r>
      <w:r>
        <w:rPr>
          <w:color w:val="auto"/>
          <w:highlight w:val="none"/>
          <w:u w:val="none"/>
        </w:rPr>
        <w:t>光气</w:t>
      </w:r>
      <w:r>
        <w:rPr>
          <w:rFonts w:hint="eastAsia"/>
          <w:color w:val="auto"/>
          <w:highlight w:val="none"/>
          <w:u w:val="none"/>
        </w:rPr>
        <w:t>、PM10和PM</w:t>
      </w:r>
      <w:r>
        <w:rPr>
          <w:rFonts w:hint="eastAsia"/>
          <w:color w:val="auto"/>
          <w:highlight w:val="none"/>
          <w:u w:val="none"/>
          <w:vertAlign w:val="subscript"/>
        </w:rPr>
        <w:t>2.5</w:t>
      </w:r>
      <w:r>
        <w:rPr>
          <w:color w:val="auto"/>
          <w:highlight w:val="none"/>
          <w:u w:val="none"/>
        </w:rPr>
        <w:t>在厂界预测小时最大落地浓度分别占相应厂界标准限值</w:t>
      </w:r>
      <w:r>
        <w:rPr>
          <w:rFonts w:hint="eastAsia"/>
          <w:color w:val="auto"/>
          <w:highlight w:val="none"/>
          <w:u w:val="none"/>
        </w:rPr>
        <w:t>（执行《石油化学工业污染物排放标准》（GB31571-2015）及其修改单、《工业企业挥发性有机物排放标准》（DB35/1782-2018）、《大气污染物综合排放标准》（GB16297-1996）等，具体见表2.3-14）</w:t>
      </w:r>
      <w:r>
        <w:rPr>
          <w:color w:val="auto"/>
          <w:highlight w:val="none"/>
          <w:u w:val="none"/>
        </w:rPr>
        <w:t>的</w:t>
      </w:r>
      <w:r>
        <w:rPr>
          <w:rFonts w:hint="eastAsia"/>
          <w:color w:val="auto"/>
          <w:highlight w:val="none"/>
          <w:u w:val="none"/>
        </w:rPr>
        <w:t>22.35%、34.50%、1.13%、27.50%、56.25%、21.80%、38.75%、2.79%、3.30%和1.60%</w:t>
      </w:r>
      <w:r>
        <w:rPr>
          <w:color w:val="auto"/>
          <w:highlight w:val="none"/>
          <w:u w:val="none"/>
        </w:rPr>
        <w:t>，符合相应标准要求。</w:t>
      </w:r>
    </w:p>
    <w:p w14:paraId="0D3246D3">
      <w:pPr>
        <w:pStyle w:val="6"/>
        <w:spacing w:before="120" w:after="120"/>
        <w:rPr>
          <w:color w:val="auto"/>
          <w:highlight w:val="none"/>
          <w:u w:val="none"/>
        </w:rPr>
      </w:pPr>
      <w:r>
        <w:rPr>
          <w:color w:val="auto"/>
          <w:highlight w:val="none"/>
          <w:u w:val="none"/>
        </w:rPr>
        <w:t>叠加预测分析</w:t>
      </w:r>
    </w:p>
    <w:p w14:paraId="5CD3D33C">
      <w:pPr>
        <w:rPr>
          <w:rFonts w:hAnsi="Times New Roman"/>
          <w:b/>
          <w:color w:val="auto"/>
          <w:highlight w:val="none"/>
          <w:u w:val="none"/>
        </w:rPr>
      </w:pPr>
      <w:r>
        <w:rPr>
          <w:rFonts w:hAnsi="Times New Roman"/>
          <w:color w:val="auto"/>
          <w:highlight w:val="none"/>
          <w:u w:val="none"/>
        </w:rPr>
        <w:t>本项目新增污染源叠加评价范围内在建、拟建排放同类型污染物项目污染源贡献值同时叠加环境监测背景值后，环境空气保护目标和网格点氯化氢、氯气、甲苯、NMHC、TDA、邻二氯苯、DNT</w:t>
      </w:r>
      <w:r>
        <w:rPr>
          <w:rFonts w:hint="eastAsia" w:hAnsi="Times New Roman"/>
          <w:color w:val="auto"/>
          <w:highlight w:val="none"/>
          <w:u w:val="none"/>
        </w:rPr>
        <w:t>、</w:t>
      </w:r>
      <w:r>
        <w:rPr>
          <w:rFonts w:hAnsi="Times New Roman"/>
          <w:color w:val="auto"/>
          <w:highlight w:val="none"/>
          <w:u w:val="none"/>
        </w:rPr>
        <w:t>光气</w:t>
      </w:r>
      <w:r>
        <w:rPr>
          <w:rFonts w:hint="eastAsia" w:hAnsi="Times New Roman"/>
          <w:color w:val="auto"/>
          <w:highlight w:val="none"/>
          <w:u w:val="none"/>
        </w:rPr>
        <w:t>、</w:t>
      </w:r>
      <w:r>
        <w:rPr>
          <w:rFonts w:hint="eastAsia" w:hAnsi="Times New Roman"/>
          <w:color w:val="auto"/>
          <w:highlight w:val="none"/>
          <w:u w:val="none"/>
          <w:lang w:val="en-US"/>
        </w:rPr>
        <w:t>PM</w:t>
      </w:r>
      <w:r>
        <w:rPr>
          <w:rFonts w:hint="eastAsia" w:hAnsi="Times New Roman"/>
          <w:color w:val="auto"/>
          <w:highlight w:val="none"/>
          <w:u w:val="none"/>
          <w:vertAlign w:val="subscript"/>
          <w:lang w:val="en-US"/>
        </w:rPr>
        <w:t>10</w:t>
      </w:r>
      <w:r>
        <w:rPr>
          <w:rFonts w:hint="eastAsia" w:hAnsi="Times New Roman"/>
          <w:color w:val="auto"/>
          <w:highlight w:val="none"/>
          <w:u w:val="none"/>
          <w:lang w:val="en-US"/>
        </w:rPr>
        <w:t>和PM</w:t>
      </w:r>
      <w:r>
        <w:rPr>
          <w:rFonts w:hint="eastAsia" w:hAnsi="Times New Roman"/>
          <w:color w:val="auto"/>
          <w:highlight w:val="none"/>
          <w:u w:val="none"/>
          <w:vertAlign w:val="subscript"/>
          <w:lang w:val="en-US"/>
        </w:rPr>
        <w:t>2.5</w:t>
      </w:r>
      <w:r>
        <w:rPr>
          <w:rFonts w:hAnsi="Times New Roman"/>
          <w:color w:val="auto"/>
          <w:highlight w:val="none"/>
          <w:u w:val="none"/>
        </w:rPr>
        <w:t>预测值见</w:t>
      </w:r>
      <w:r>
        <w:rPr>
          <w:rFonts w:hAnsi="Times New Roman"/>
          <w:b/>
          <w:bCs/>
          <w:color w:val="auto"/>
          <w:highlight w:val="none"/>
          <w:u w:val="none"/>
        </w:rPr>
        <w:fldChar w:fldCharType="begin"/>
      </w:r>
      <w:r>
        <w:rPr>
          <w:rFonts w:hAnsi="Times New Roman"/>
          <w:b/>
          <w:bCs/>
          <w:color w:val="auto"/>
          <w:highlight w:val="none"/>
          <w:u w:val="none"/>
        </w:rPr>
        <w:instrText xml:space="preserve"> REF _Ref29593 \h </w:instrText>
      </w:r>
      <w:r>
        <w:rPr>
          <w:rFonts w:hAnsi="Times New Roman"/>
          <w:b/>
          <w:bCs/>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27</w:t>
      </w:r>
      <w:r>
        <w:rPr>
          <w:rFonts w:hAnsi="Times New Roman"/>
          <w:b/>
          <w:bCs/>
          <w:color w:val="auto"/>
          <w:highlight w:val="none"/>
          <w:u w:val="none"/>
        </w:rPr>
        <w:fldChar w:fldCharType="end"/>
      </w:r>
      <w:r>
        <w:rPr>
          <w:rFonts w:hint="eastAsia" w:hAnsi="Times New Roman"/>
          <w:color w:val="auto"/>
          <w:highlight w:val="none"/>
          <w:u w:val="none"/>
          <w:lang w:val="en-US"/>
        </w:rPr>
        <w:t>~</w:t>
      </w:r>
      <w:r>
        <w:rPr>
          <w:rFonts w:hint="eastAsia" w:hAnsi="Times New Roman"/>
          <w:color w:val="auto"/>
          <w:highlight w:val="none"/>
          <w:u w:val="none"/>
        </w:rPr>
        <w:fldChar w:fldCharType="begin"/>
      </w:r>
      <w:r>
        <w:rPr>
          <w:rFonts w:hint="eastAsia" w:hAnsi="Times New Roman"/>
          <w:color w:val="auto"/>
          <w:highlight w:val="none"/>
          <w:u w:val="none"/>
        </w:rPr>
        <w:instrText xml:space="preserve"> REF _Ref188397002 \h </w:instrText>
      </w:r>
      <w:r>
        <w:rPr>
          <w:rFonts w:hint="eastAsia" w:hAnsi="Times New Roman"/>
          <w:color w:val="auto"/>
          <w:highlight w:val="none"/>
          <w:u w:val="none"/>
        </w:rPr>
        <w:fldChar w:fldCharType="separate"/>
      </w:r>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t>33</w:t>
      </w:r>
      <w:r>
        <w:rPr>
          <w:rFonts w:hint="eastAsia" w:hAnsi="Times New Roman"/>
          <w:color w:val="auto"/>
          <w:highlight w:val="none"/>
          <w:u w:val="none"/>
        </w:rPr>
        <w:fldChar w:fldCharType="end"/>
      </w:r>
      <w:r>
        <w:rPr>
          <w:rFonts w:hAnsi="Times New Roman"/>
          <w:color w:val="auto"/>
          <w:highlight w:val="none"/>
          <w:u w:val="none"/>
        </w:rPr>
        <w:t>。预测范围内各污染物区域最大值取本项目防护距离和本厂其他项目划定的防护距离包络范围外的叠加浓度最大值。</w:t>
      </w:r>
    </w:p>
    <w:p w14:paraId="1C2654BB">
      <w:pPr>
        <w:ind w:firstLine="482"/>
        <w:rPr>
          <w:rFonts w:hAnsi="Times New Roman"/>
          <w:snapToGrid w:val="0"/>
          <w:color w:val="auto"/>
          <w:szCs w:val="21"/>
          <w:highlight w:val="none"/>
          <w:u w:val="none"/>
        </w:rPr>
      </w:pPr>
      <w:r>
        <w:rPr>
          <w:rFonts w:hAnsi="Times New Roman"/>
          <w:b/>
          <w:color w:val="auto"/>
          <w:highlight w:val="none"/>
          <w:u w:val="none"/>
        </w:rPr>
        <w:t>TDA：</w:t>
      </w:r>
      <w:r>
        <w:rPr>
          <w:rFonts w:hAnsi="Times New Roman"/>
          <w:snapToGrid w:val="0"/>
          <w:color w:val="auto"/>
          <w:szCs w:val="21"/>
          <w:highlight w:val="none"/>
          <w:u w:val="none"/>
        </w:rPr>
        <w:t>本项目排放的TDA叠加背景值和周边在建、拟建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lang w:val="en-US"/>
        </w:rPr>
        <w:t xml:space="preserve">2.37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2.37</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东沃村</w:t>
      </w:r>
      <w:r>
        <w:rPr>
          <w:rFonts w:hAnsi="Times New Roman"/>
          <w:snapToGrid w:val="0"/>
          <w:color w:val="auto"/>
          <w:szCs w:val="21"/>
          <w:highlight w:val="none"/>
          <w:u w:val="none"/>
        </w:rPr>
        <w:t>；各网格点处TDA最大小时浓度预测值取防护距离外的叠加浓度最大值</w:t>
      </w:r>
      <w:r>
        <w:rPr>
          <w:rFonts w:hint="eastAsia" w:hAnsi="Times New Roman"/>
          <w:snapToGrid w:val="0"/>
          <w:color w:val="auto"/>
          <w:szCs w:val="21"/>
          <w:highlight w:val="none"/>
          <w:u w:val="none"/>
          <w:lang w:val="en-US"/>
        </w:rPr>
        <w:t>99.76</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99.76</w:t>
      </w:r>
      <w:r>
        <w:rPr>
          <w:rFonts w:hAnsi="Times New Roman"/>
          <w:snapToGrid w:val="0"/>
          <w:color w:val="auto"/>
          <w:szCs w:val="21"/>
          <w:highlight w:val="none"/>
          <w:u w:val="none"/>
        </w:rPr>
        <w:t>%，</w:t>
      </w:r>
      <w:r>
        <w:rPr>
          <w:rFonts w:hint="eastAsia" w:hAnsi="Times New Roman"/>
          <w:snapToGrid w:val="0"/>
          <w:color w:val="auto"/>
          <w:szCs w:val="21"/>
          <w:highlight w:val="none"/>
          <w:u w:val="none"/>
          <w:lang w:val="en-US"/>
        </w:rPr>
        <w:t>出现在</w:t>
      </w:r>
      <w:r>
        <w:rPr>
          <w:rFonts w:hint="eastAsia" w:hAnsi="Times New Roman"/>
          <w:snapToGrid w:val="0"/>
          <w:color w:val="auto"/>
          <w:szCs w:val="21"/>
          <w:highlight w:val="none"/>
          <w:u w:val="none"/>
        </w:rPr>
        <w:t>异氰酸酯公司</w:t>
      </w:r>
      <w:r>
        <w:rPr>
          <w:rFonts w:hint="eastAsia" w:hAnsi="Times New Roman"/>
          <w:snapToGrid w:val="0"/>
          <w:color w:val="auto"/>
          <w:szCs w:val="21"/>
          <w:highlight w:val="none"/>
          <w:u w:val="none"/>
          <w:lang w:val="en-US"/>
        </w:rPr>
        <w:t>厂界内，</w:t>
      </w:r>
      <w:r>
        <w:rPr>
          <w:rFonts w:hAnsi="Times New Roman"/>
          <w:snapToGrid w:val="0"/>
          <w:color w:val="auto"/>
          <w:szCs w:val="21"/>
          <w:highlight w:val="none"/>
          <w:u w:val="none"/>
        </w:rPr>
        <w:t>满足相应标准限值要求。</w:t>
      </w:r>
    </w:p>
    <w:p w14:paraId="058D4BE0">
      <w:pPr>
        <w:ind w:firstLine="482"/>
        <w:rPr>
          <w:rFonts w:hAnsi="Times New Roman"/>
          <w:snapToGrid w:val="0"/>
          <w:color w:val="auto"/>
          <w:szCs w:val="21"/>
          <w:highlight w:val="none"/>
          <w:u w:val="none"/>
        </w:rPr>
      </w:pPr>
      <w:r>
        <w:rPr>
          <w:rFonts w:hAnsi="Times New Roman"/>
          <w:b/>
          <w:color w:val="auto"/>
          <w:highlight w:val="none"/>
          <w:u w:val="none"/>
        </w:rPr>
        <w:t>NMHC：</w:t>
      </w:r>
      <w:r>
        <w:rPr>
          <w:rFonts w:hAnsi="Times New Roman"/>
          <w:snapToGrid w:val="0"/>
          <w:color w:val="auto"/>
          <w:szCs w:val="21"/>
          <w:highlight w:val="none"/>
          <w:u w:val="none"/>
        </w:rPr>
        <w:t>本项目排放的NMHC叠加背景值和周边在建、拟建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rPr>
        <w:t>362.10</w:t>
      </w:r>
      <w:r>
        <w:rPr>
          <w:rFonts w:hint="eastAsia" w:hAnsi="Times New Roman"/>
          <w:snapToGrid w:val="0"/>
          <w:color w:val="auto"/>
          <w:szCs w:val="21"/>
          <w:highlight w:val="none"/>
          <w:u w:val="none"/>
          <w:lang w:val="en-US"/>
        </w:rPr>
        <w:t xml:space="preserve">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18.10</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张厝</w:t>
      </w:r>
      <w:r>
        <w:rPr>
          <w:rFonts w:hAnsi="Times New Roman"/>
          <w:snapToGrid w:val="0"/>
          <w:color w:val="auto"/>
          <w:szCs w:val="21"/>
          <w:highlight w:val="none"/>
          <w:u w:val="none"/>
        </w:rPr>
        <w:t>；各网格点处NMHC最大小时浓度预测值取防护距离外的叠加浓度最大值</w:t>
      </w:r>
      <w:bookmarkStart w:id="486" w:name="OLE_LINK50"/>
      <w:r>
        <w:rPr>
          <w:rFonts w:hint="eastAsia" w:hAnsi="Times New Roman"/>
          <w:snapToGrid w:val="0"/>
          <w:color w:val="auto"/>
          <w:szCs w:val="21"/>
          <w:highlight w:val="none"/>
          <w:u w:val="none"/>
        </w:rPr>
        <w:t>1467.67</w:t>
      </w:r>
      <w:bookmarkEnd w:id="486"/>
      <w:r>
        <w:rPr>
          <w:rFonts w:hAnsi="Times New Roman"/>
          <w:snapToGrid w:val="0"/>
          <w:color w:val="auto"/>
          <w:szCs w:val="21"/>
          <w:highlight w:val="none"/>
          <w:u w:val="none"/>
        </w:rPr>
        <w:t xml:space="preserve"> 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73.38</w:t>
      </w:r>
      <w:r>
        <w:rPr>
          <w:rFonts w:hAnsi="Times New Roman"/>
          <w:snapToGrid w:val="0"/>
          <w:color w:val="auto"/>
          <w:szCs w:val="21"/>
          <w:highlight w:val="none"/>
          <w:u w:val="none"/>
        </w:rPr>
        <w:t>%，满足相应标准限值要求。</w:t>
      </w:r>
    </w:p>
    <w:p w14:paraId="18A47DDC">
      <w:pPr>
        <w:ind w:firstLine="482"/>
        <w:rPr>
          <w:rFonts w:hAnsi="Times New Roman"/>
          <w:snapToGrid w:val="0"/>
          <w:color w:val="auto"/>
          <w:szCs w:val="21"/>
          <w:highlight w:val="none"/>
          <w:u w:val="none"/>
        </w:rPr>
      </w:pPr>
      <w:r>
        <w:rPr>
          <w:rFonts w:hAnsi="Times New Roman"/>
          <w:b/>
          <w:color w:val="auto"/>
          <w:highlight w:val="none"/>
          <w:u w:val="none"/>
        </w:rPr>
        <w:t>ODCB：</w:t>
      </w:r>
      <w:r>
        <w:rPr>
          <w:rFonts w:hAnsi="Times New Roman"/>
          <w:snapToGrid w:val="0"/>
          <w:color w:val="auto"/>
          <w:szCs w:val="21"/>
          <w:highlight w:val="none"/>
          <w:u w:val="none"/>
        </w:rPr>
        <w:t>本项目排放的ODCB叠加背景值和周边在建、拟建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rPr>
        <w:t>0.95</w:t>
      </w:r>
      <w:r>
        <w:rPr>
          <w:rFonts w:hint="eastAsia" w:hAnsi="Times New Roman"/>
          <w:snapToGrid w:val="0"/>
          <w:color w:val="auto"/>
          <w:szCs w:val="21"/>
          <w:highlight w:val="none"/>
          <w:u w:val="none"/>
          <w:lang w:val="en-US"/>
        </w:rPr>
        <w:t xml:space="preserve">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0.95</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东沃村</w:t>
      </w:r>
      <w:r>
        <w:rPr>
          <w:rFonts w:hAnsi="Times New Roman"/>
          <w:snapToGrid w:val="0"/>
          <w:color w:val="auto"/>
          <w:szCs w:val="21"/>
          <w:highlight w:val="none"/>
          <w:u w:val="none"/>
        </w:rPr>
        <w:t>；各网格点处ODCB最大小时浓度预测值取防护距离外的叠加浓度最大值</w:t>
      </w:r>
      <w:r>
        <w:rPr>
          <w:rFonts w:hint="eastAsia" w:hAnsi="Times New Roman"/>
          <w:snapToGrid w:val="0"/>
          <w:color w:val="auto"/>
          <w:szCs w:val="21"/>
          <w:highlight w:val="none"/>
          <w:u w:val="none"/>
          <w:lang w:val="en-US"/>
        </w:rPr>
        <w:t xml:space="preserve">14.22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14.22</w:t>
      </w:r>
      <w:r>
        <w:rPr>
          <w:rFonts w:hAnsi="Times New Roman"/>
          <w:snapToGrid w:val="0"/>
          <w:color w:val="auto"/>
          <w:szCs w:val="21"/>
          <w:highlight w:val="none"/>
          <w:u w:val="none"/>
        </w:rPr>
        <w:t>%，满足相应标准限值要求。</w:t>
      </w:r>
    </w:p>
    <w:p w14:paraId="797D1E36">
      <w:pPr>
        <w:ind w:firstLine="482"/>
        <w:rPr>
          <w:rFonts w:hAnsi="Times New Roman"/>
          <w:snapToGrid w:val="0"/>
          <w:color w:val="auto"/>
          <w:szCs w:val="21"/>
          <w:highlight w:val="none"/>
          <w:u w:val="none"/>
        </w:rPr>
      </w:pPr>
      <w:r>
        <w:rPr>
          <w:rFonts w:hAnsi="Times New Roman"/>
          <w:b/>
          <w:color w:val="auto"/>
          <w:highlight w:val="none"/>
          <w:u w:val="none"/>
        </w:rPr>
        <w:t>甲苯：</w:t>
      </w:r>
      <w:r>
        <w:rPr>
          <w:rFonts w:hAnsi="Times New Roman"/>
          <w:snapToGrid w:val="0"/>
          <w:color w:val="auto"/>
          <w:szCs w:val="21"/>
          <w:highlight w:val="none"/>
          <w:u w:val="none"/>
        </w:rPr>
        <w:t>本项目排放的甲苯叠加背景值和周边在建、拟建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rPr>
        <w:t>0.38</w:t>
      </w:r>
      <w:r>
        <w:rPr>
          <w:rFonts w:hint="eastAsia" w:hAnsi="Times New Roman"/>
          <w:snapToGrid w:val="0"/>
          <w:color w:val="auto"/>
          <w:szCs w:val="21"/>
          <w:highlight w:val="none"/>
          <w:u w:val="none"/>
          <w:lang w:val="en-US"/>
        </w:rPr>
        <w:t xml:space="preserve">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，占标率为0.</w:t>
      </w:r>
      <w:r>
        <w:rPr>
          <w:rFonts w:hint="eastAsia" w:hAnsi="Times New Roman"/>
          <w:snapToGrid w:val="0"/>
          <w:color w:val="auto"/>
          <w:szCs w:val="21"/>
          <w:highlight w:val="none"/>
          <w:u w:val="none"/>
          <w:lang w:val="en-US"/>
        </w:rPr>
        <w:t>19</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霞埔村</w:t>
      </w:r>
      <w:r>
        <w:rPr>
          <w:rFonts w:hAnsi="Times New Roman"/>
          <w:snapToGrid w:val="0"/>
          <w:color w:val="auto"/>
          <w:szCs w:val="21"/>
          <w:highlight w:val="none"/>
          <w:u w:val="none"/>
        </w:rPr>
        <w:t>；各网格点处甲苯最大小时浓度预测值取防护距离外的叠加浓度最大值</w:t>
      </w:r>
      <w:r>
        <w:rPr>
          <w:rFonts w:hint="eastAsia" w:hAnsi="Times New Roman"/>
          <w:snapToGrid w:val="0"/>
          <w:color w:val="auto"/>
          <w:szCs w:val="21"/>
          <w:highlight w:val="none"/>
          <w:u w:val="none"/>
          <w:lang w:val="en-US"/>
        </w:rPr>
        <w:t xml:space="preserve">3.34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1.67</w:t>
      </w:r>
      <w:r>
        <w:rPr>
          <w:rFonts w:hAnsi="Times New Roman"/>
          <w:snapToGrid w:val="0"/>
          <w:color w:val="auto"/>
          <w:szCs w:val="21"/>
          <w:highlight w:val="none"/>
          <w:u w:val="none"/>
        </w:rPr>
        <w:t>%，满足相应标准限值要求。</w:t>
      </w:r>
    </w:p>
    <w:p w14:paraId="4FFCEDC9">
      <w:pPr>
        <w:ind w:firstLine="482"/>
        <w:rPr>
          <w:rFonts w:hAnsi="Times New Roman"/>
          <w:snapToGrid w:val="0"/>
          <w:color w:val="auto"/>
          <w:szCs w:val="21"/>
          <w:highlight w:val="none"/>
          <w:u w:val="none"/>
        </w:rPr>
      </w:pPr>
      <w:r>
        <w:rPr>
          <w:rFonts w:hAnsi="Times New Roman"/>
          <w:b/>
          <w:color w:val="auto"/>
          <w:highlight w:val="none"/>
          <w:u w:val="none"/>
        </w:rPr>
        <w:t>氯气：</w:t>
      </w:r>
      <w:r>
        <w:rPr>
          <w:rFonts w:hAnsi="Times New Roman"/>
          <w:snapToGrid w:val="0"/>
          <w:color w:val="auto"/>
          <w:szCs w:val="21"/>
          <w:highlight w:val="none"/>
          <w:u w:val="none"/>
        </w:rPr>
        <w:t>本项目排放的氯气叠加背景值和周边在建、拟建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lang w:val="en-US"/>
        </w:rPr>
        <w:t xml:space="preserve">1.64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1.64</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东沃村</w:t>
      </w:r>
      <w:r>
        <w:rPr>
          <w:rFonts w:hAnsi="Times New Roman"/>
          <w:snapToGrid w:val="0"/>
          <w:color w:val="auto"/>
          <w:szCs w:val="21"/>
          <w:highlight w:val="none"/>
          <w:u w:val="none"/>
        </w:rPr>
        <w:t>；各网格点处氯气最大小时浓度预测值取防护距离外的叠加浓度最大值</w:t>
      </w:r>
      <w:r>
        <w:rPr>
          <w:rFonts w:hint="eastAsia" w:hAnsi="Times New Roman"/>
          <w:snapToGrid w:val="0"/>
          <w:color w:val="auto"/>
          <w:szCs w:val="21"/>
          <w:highlight w:val="none"/>
          <w:u w:val="none"/>
        </w:rPr>
        <w:t xml:space="preserve">24.81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24.81</w:t>
      </w:r>
      <w:r>
        <w:rPr>
          <w:rFonts w:hAnsi="Times New Roman"/>
          <w:snapToGrid w:val="0"/>
          <w:color w:val="auto"/>
          <w:szCs w:val="21"/>
          <w:highlight w:val="none"/>
          <w:u w:val="none"/>
        </w:rPr>
        <w:t>%</w:t>
      </w:r>
      <w:r>
        <w:rPr>
          <w:rFonts w:hint="eastAsia" w:hAnsi="Times New Roman"/>
          <w:snapToGrid w:val="0"/>
          <w:color w:val="auto"/>
          <w:szCs w:val="21"/>
          <w:highlight w:val="none"/>
          <w:u w:val="none"/>
        </w:rPr>
        <w:t>；</w:t>
      </w:r>
      <w:r>
        <w:rPr>
          <w:rFonts w:hAnsi="Times New Roman"/>
          <w:snapToGrid w:val="0"/>
          <w:color w:val="auto"/>
          <w:szCs w:val="21"/>
          <w:highlight w:val="none"/>
          <w:u w:val="none"/>
        </w:rPr>
        <w:t>各保护目标中最大</w:t>
      </w:r>
      <w:r>
        <w:rPr>
          <w:rFonts w:hint="eastAsia" w:hAnsi="Times New Roman"/>
          <w:snapToGrid w:val="0"/>
          <w:color w:val="auto"/>
          <w:szCs w:val="21"/>
          <w:highlight w:val="none"/>
          <w:u w:val="none"/>
        </w:rPr>
        <w:t>日均</w:t>
      </w:r>
      <w:r>
        <w:rPr>
          <w:rFonts w:hAnsi="Times New Roman"/>
          <w:snapToGrid w:val="0"/>
          <w:color w:val="auto"/>
          <w:szCs w:val="21"/>
          <w:highlight w:val="none"/>
          <w:u w:val="none"/>
        </w:rPr>
        <w:t>浓度预测值为</w:t>
      </w:r>
      <w:r>
        <w:rPr>
          <w:rFonts w:hint="eastAsia" w:hAnsi="Times New Roman"/>
          <w:snapToGrid w:val="0"/>
          <w:color w:val="auto"/>
          <w:szCs w:val="21"/>
          <w:highlight w:val="none"/>
          <w:u w:val="none"/>
        </w:rPr>
        <w:t>0.34</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1.12</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芝山</w:t>
      </w:r>
      <w:r>
        <w:rPr>
          <w:rFonts w:hAnsi="Times New Roman"/>
          <w:snapToGrid w:val="0"/>
          <w:color w:val="auto"/>
          <w:szCs w:val="21"/>
          <w:highlight w:val="none"/>
          <w:u w:val="none"/>
        </w:rPr>
        <w:t>；各网格点处</w:t>
      </w:r>
      <w:r>
        <w:rPr>
          <w:rFonts w:hint="eastAsia" w:hAnsi="Times New Roman"/>
          <w:snapToGrid w:val="0"/>
          <w:color w:val="auto"/>
          <w:szCs w:val="21"/>
          <w:highlight w:val="none"/>
          <w:u w:val="none"/>
        </w:rPr>
        <w:t>氯气</w:t>
      </w:r>
      <w:r>
        <w:rPr>
          <w:rFonts w:hAnsi="Times New Roman"/>
          <w:snapToGrid w:val="0"/>
          <w:color w:val="auto"/>
          <w:szCs w:val="21"/>
          <w:highlight w:val="none"/>
          <w:u w:val="none"/>
        </w:rPr>
        <w:t>最大</w:t>
      </w:r>
      <w:r>
        <w:rPr>
          <w:rFonts w:hint="eastAsia" w:hAnsi="Times New Roman"/>
          <w:snapToGrid w:val="0"/>
          <w:color w:val="auto"/>
          <w:szCs w:val="21"/>
          <w:highlight w:val="none"/>
          <w:u w:val="none"/>
        </w:rPr>
        <w:t>日均</w:t>
      </w:r>
      <w:r>
        <w:rPr>
          <w:rFonts w:hAnsi="Times New Roman"/>
          <w:snapToGrid w:val="0"/>
          <w:color w:val="auto"/>
          <w:szCs w:val="21"/>
          <w:highlight w:val="none"/>
          <w:u w:val="none"/>
        </w:rPr>
        <w:t>浓度预测值取防护距离外的叠加浓度最大值</w:t>
      </w:r>
      <w:r>
        <w:rPr>
          <w:rFonts w:hint="eastAsia" w:hAnsi="Times New Roman"/>
          <w:snapToGrid w:val="0"/>
          <w:color w:val="auto"/>
          <w:szCs w:val="21"/>
          <w:highlight w:val="none"/>
          <w:u w:val="none"/>
        </w:rPr>
        <w:t xml:space="preserve">4.60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15.32</w:t>
      </w:r>
      <w:r>
        <w:rPr>
          <w:rFonts w:hAnsi="Times New Roman"/>
          <w:snapToGrid w:val="0"/>
          <w:color w:val="auto"/>
          <w:szCs w:val="21"/>
          <w:highlight w:val="none"/>
          <w:u w:val="none"/>
        </w:rPr>
        <w:t>%</w:t>
      </w:r>
      <w:r>
        <w:rPr>
          <w:rFonts w:hint="eastAsia" w:hAnsi="Times New Roman"/>
          <w:snapToGrid w:val="0"/>
          <w:color w:val="auto"/>
          <w:szCs w:val="21"/>
          <w:highlight w:val="none"/>
          <w:u w:val="none"/>
        </w:rPr>
        <w:t>，</w:t>
      </w:r>
      <w:r>
        <w:rPr>
          <w:rFonts w:hAnsi="Times New Roman"/>
          <w:snapToGrid w:val="0"/>
          <w:color w:val="auto"/>
          <w:szCs w:val="21"/>
          <w:highlight w:val="none"/>
          <w:u w:val="none"/>
        </w:rPr>
        <w:t>满足相应标准限值要求。</w:t>
      </w:r>
    </w:p>
    <w:p w14:paraId="353B0EB6">
      <w:pPr>
        <w:ind w:firstLine="482"/>
        <w:rPr>
          <w:rFonts w:hAnsi="Times New Roman"/>
          <w:snapToGrid w:val="0"/>
          <w:color w:val="auto"/>
          <w:szCs w:val="21"/>
          <w:highlight w:val="none"/>
          <w:u w:val="none"/>
        </w:rPr>
      </w:pPr>
      <w:r>
        <w:rPr>
          <w:rFonts w:hAnsi="Times New Roman"/>
          <w:b/>
          <w:color w:val="auto"/>
          <w:highlight w:val="none"/>
          <w:u w:val="none"/>
        </w:rPr>
        <w:t>氯化氢：</w:t>
      </w:r>
      <w:r>
        <w:rPr>
          <w:rFonts w:hAnsi="Times New Roman"/>
          <w:snapToGrid w:val="0"/>
          <w:color w:val="auto"/>
          <w:szCs w:val="21"/>
          <w:highlight w:val="none"/>
          <w:u w:val="none"/>
        </w:rPr>
        <w:t>本项目排放的氯化氢叠加背景值和周边在建、拟建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rPr>
        <w:t>4.45</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8.90</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东沃村</w:t>
      </w:r>
      <w:r>
        <w:rPr>
          <w:rFonts w:hAnsi="Times New Roman"/>
          <w:snapToGrid w:val="0"/>
          <w:color w:val="auto"/>
          <w:szCs w:val="21"/>
          <w:highlight w:val="none"/>
          <w:u w:val="none"/>
        </w:rPr>
        <w:t>；各保护目标中最大</w:t>
      </w:r>
      <w:r>
        <w:rPr>
          <w:rFonts w:hint="eastAsia" w:hAnsi="Times New Roman"/>
          <w:snapToGrid w:val="0"/>
          <w:color w:val="auto"/>
          <w:szCs w:val="21"/>
          <w:highlight w:val="none"/>
          <w:u w:val="none"/>
        </w:rPr>
        <w:t>日均</w:t>
      </w:r>
      <w:r>
        <w:rPr>
          <w:rFonts w:hAnsi="Times New Roman"/>
          <w:snapToGrid w:val="0"/>
          <w:color w:val="auto"/>
          <w:szCs w:val="21"/>
          <w:highlight w:val="none"/>
          <w:u w:val="none"/>
        </w:rPr>
        <w:t>浓度预测值为</w:t>
      </w:r>
      <w:r>
        <w:rPr>
          <w:rFonts w:hint="eastAsia" w:hAnsi="Times New Roman"/>
          <w:snapToGrid w:val="0"/>
          <w:color w:val="auto"/>
          <w:szCs w:val="21"/>
          <w:highlight w:val="none"/>
          <w:u w:val="none"/>
        </w:rPr>
        <w:t>0.95</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6.32</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芝山</w:t>
      </w:r>
      <w:r>
        <w:rPr>
          <w:rFonts w:hAnsi="Times New Roman"/>
          <w:snapToGrid w:val="0"/>
          <w:color w:val="auto"/>
          <w:szCs w:val="21"/>
          <w:highlight w:val="none"/>
          <w:u w:val="none"/>
        </w:rPr>
        <w:t>；</w:t>
      </w:r>
      <w:r>
        <w:rPr>
          <w:rFonts w:hint="eastAsia" w:hAnsi="Times New Roman"/>
          <w:snapToGrid w:val="0"/>
          <w:color w:val="auto"/>
          <w:szCs w:val="21"/>
          <w:highlight w:val="none"/>
          <w:u w:val="none"/>
        </w:rPr>
        <w:t>扣除本项目的大气防护距离（厂界外27.8m）、异氰酸公司的大气防护距离（厂界外652.12m范围）范围后，</w:t>
      </w:r>
      <w:r>
        <w:rPr>
          <w:rFonts w:hAnsi="Times New Roman"/>
          <w:snapToGrid w:val="0"/>
          <w:color w:val="auto"/>
          <w:szCs w:val="21"/>
          <w:highlight w:val="none"/>
          <w:u w:val="none"/>
        </w:rPr>
        <w:t>各网格点处氯化氢最大小时浓度预测叠加</w:t>
      </w:r>
      <w:r>
        <w:rPr>
          <w:rFonts w:hint="eastAsia" w:hAnsi="Times New Roman"/>
          <w:snapToGrid w:val="0"/>
          <w:color w:val="auto"/>
          <w:szCs w:val="21"/>
          <w:highlight w:val="none"/>
          <w:u w:val="none"/>
        </w:rPr>
        <w:t>值为</w:t>
      </w:r>
      <w:r>
        <w:rPr>
          <w:rFonts w:hint="eastAsia" w:hAnsi="Times New Roman"/>
          <w:snapToGrid w:val="0"/>
          <w:color w:val="auto"/>
          <w:szCs w:val="21"/>
          <w:highlight w:val="none"/>
          <w:u w:val="none"/>
          <w:lang w:val="en-US"/>
        </w:rPr>
        <w:t>24.73</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57.46</w:t>
      </w:r>
      <w:r>
        <w:rPr>
          <w:rFonts w:hAnsi="Times New Roman"/>
          <w:snapToGrid w:val="0"/>
          <w:color w:val="auto"/>
          <w:szCs w:val="21"/>
          <w:highlight w:val="none"/>
          <w:u w:val="none"/>
        </w:rPr>
        <w:t>%</w:t>
      </w:r>
      <w:r>
        <w:rPr>
          <w:rFonts w:hint="eastAsia" w:hAnsi="Times New Roman"/>
          <w:snapToGrid w:val="0"/>
          <w:color w:val="auto"/>
          <w:szCs w:val="21"/>
          <w:highlight w:val="none"/>
          <w:u w:val="none"/>
        </w:rPr>
        <w:t>；</w:t>
      </w:r>
      <w:r>
        <w:rPr>
          <w:rFonts w:hAnsi="Times New Roman"/>
          <w:snapToGrid w:val="0"/>
          <w:color w:val="auto"/>
          <w:szCs w:val="21"/>
          <w:highlight w:val="none"/>
          <w:u w:val="none"/>
        </w:rPr>
        <w:t>各网格点处氯化氢最大</w:t>
      </w:r>
      <w:r>
        <w:rPr>
          <w:rFonts w:hint="eastAsia" w:hAnsi="Times New Roman"/>
          <w:snapToGrid w:val="0"/>
          <w:color w:val="auto"/>
          <w:szCs w:val="21"/>
          <w:highlight w:val="none"/>
          <w:u w:val="none"/>
        </w:rPr>
        <w:t>日均</w:t>
      </w:r>
      <w:r>
        <w:rPr>
          <w:rFonts w:hAnsi="Times New Roman"/>
          <w:snapToGrid w:val="0"/>
          <w:color w:val="auto"/>
          <w:szCs w:val="21"/>
          <w:highlight w:val="none"/>
          <w:u w:val="none"/>
        </w:rPr>
        <w:t>浓度预测</w:t>
      </w:r>
      <w:r>
        <w:rPr>
          <w:rFonts w:hint="eastAsia" w:hAnsi="Times New Roman"/>
          <w:snapToGrid w:val="0"/>
          <w:color w:val="auto"/>
          <w:szCs w:val="21"/>
          <w:highlight w:val="none"/>
          <w:u w:val="none"/>
        </w:rPr>
        <w:t>叠加值为6.53</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43.55</w:t>
      </w:r>
      <w:r>
        <w:rPr>
          <w:rFonts w:hAnsi="Times New Roman"/>
          <w:snapToGrid w:val="0"/>
          <w:color w:val="auto"/>
          <w:szCs w:val="21"/>
          <w:highlight w:val="none"/>
          <w:u w:val="none"/>
        </w:rPr>
        <w:t>%</w:t>
      </w:r>
      <w:r>
        <w:rPr>
          <w:rFonts w:hint="eastAsia" w:hAnsi="Times New Roman"/>
          <w:snapToGrid w:val="0"/>
          <w:color w:val="auto"/>
          <w:szCs w:val="21"/>
          <w:highlight w:val="none"/>
          <w:u w:val="none"/>
        </w:rPr>
        <w:t>，</w:t>
      </w:r>
      <w:r>
        <w:rPr>
          <w:rFonts w:hAnsi="Times New Roman"/>
          <w:snapToGrid w:val="0"/>
          <w:color w:val="auto"/>
          <w:szCs w:val="21"/>
          <w:highlight w:val="none"/>
          <w:u w:val="none"/>
        </w:rPr>
        <w:t>满足相应标准限值要求。</w:t>
      </w:r>
    </w:p>
    <w:p w14:paraId="35B03C07">
      <w:pPr>
        <w:ind w:firstLine="482"/>
        <w:rPr>
          <w:rFonts w:hAnsi="Times New Roman"/>
          <w:snapToGrid w:val="0"/>
          <w:color w:val="auto"/>
          <w:szCs w:val="21"/>
          <w:highlight w:val="none"/>
          <w:u w:val="none"/>
        </w:rPr>
      </w:pPr>
      <w:r>
        <w:rPr>
          <w:rFonts w:hAnsi="Times New Roman"/>
          <w:b/>
          <w:color w:val="auto"/>
          <w:highlight w:val="none"/>
          <w:u w:val="none"/>
        </w:rPr>
        <w:t>光气：</w:t>
      </w:r>
      <w:r>
        <w:rPr>
          <w:rFonts w:hAnsi="Times New Roman"/>
          <w:snapToGrid w:val="0"/>
          <w:color w:val="auto"/>
          <w:szCs w:val="21"/>
          <w:highlight w:val="none"/>
          <w:u w:val="none"/>
        </w:rPr>
        <w:t>本项目排放的光气叠加背景值和周边在建、拟建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贡献浓度后，各保护目标中最大小时浓度预测值为0.</w:t>
      </w:r>
      <w:r>
        <w:rPr>
          <w:rFonts w:hint="eastAsia" w:hAnsi="Times New Roman"/>
          <w:snapToGrid w:val="0"/>
          <w:color w:val="auto"/>
          <w:szCs w:val="21"/>
          <w:highlight w:val="none"/>
          <w:u w:val="none"/>
          <w:lang w:val="en-US"/>
        </w:rPr>
        <w:t xml:space="preserve">10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2.52</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东沃村</w:t>
      </w:r>
      <w:r>
        <w:rPr>
          <w:rFonts w:hAnsi="Times New Roman"/>
          <w:snapToGrid w:val="0"/>
          <w:color w:val="auto"/>
          <w:szCs w:val="21"/>
          <w:highlight w:val="none"/>
          <w:u w:val="none"/>
        </w:rPr>
        <w:t>；各网格点处光气最大小时浓度预测值取防护距离外的叠加浓度最大值</w:t>
      </w:r>
      <w:r>
        <w:rPr>
          <w:rFonts w:hint="eastAsia" w:hAnsi="Times New Roman"/>
          <w:snapToGrid w:val="0"/>
          <w:color w:val="auto"/>
          <w:szCs w:val="21"/>
          <w:highlight w:val="none"/>
          <w:u w:val="none"/>
          <w:lang w:val="en-US"/>
        </w:rPr>
        <w:t>1.59</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lang w:val="en-US"/>
        </w:rPr>
        <w:t>39.80</w:t>
      </w:r>
      <w:r>
        <w:rPr>
          <w:rFonts w:hAnsi="Times New Roman"/>
          <w:snapToGrid w:val="0"/>
          <w:color w:val="auto"/>
          <w:szCs w:val="21"/>
          <w:highlight w:val="none"/>
          <w:u w:val="none"/>
        </w:rPr>
        <w:t>%，满足相应标准限值要求。</w:t>
      </w:r>
    </w:p>
    <w:p w14:paraId="085457B4">
      <w:pPr>
        <w:ind w:firstLine="482"/>
        <w:rPr>
          <w:rFonts w:hint="eastAsia" w:ascii="宋体"/>
          <w:snapToGrid w:val="0"/>
          <w:color w:val="auto"/>
          <w:szCs w:val="21"/>
          <w:highlight w:val="none"/>
          <w:u w:val="none"/>
        </w:rPr>
      </w:pPr>
      <w:r>
        <w:rPr>
          <w:rFonts w:hAnsi="Times New Roman"/>
          <w:b/>
          <w:snapToGrid w:val="0"/>
          <w:color w:val="auto"/>
          <w:szCs w:val="21"/>
          <w:highlight w:val="none"/>
          <w:u w:val="none"/>
        </w:rPr>
        <w:t>DNT</w:t>
      </w:r>
      <w:r>
        <w:rPr>
          <w:rFonts w:hAnsi="Times New Roman"/>
          <w:snapToGrid w:val="0"/>
          <w:color w:val="auto"/>
          <w:szCs w:val="21"/>
          <w:highlight w:val="none"/>
          <w:u w:val="none"/>
        </w:rPr>
        <w:t>：本项目排放的DNT叠加背景值和周边在建、拟建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贡献浓度后，各保护目标中最大小时浓度预测值为</w:t>
      </w:r>
      <w:r>
        <w:rPr>
          <w:rFonts w:hint="eastAsia" w:hAnsi="Times New Roman"/>
          <w:snapToGrid w:val="0"/>
          <w:color w:val="auto"/>
          <w:szCs w:val="21"/>
          <w:highlight w:val="none"/>
          <w:u w:val="none"/>
          <w:lang w:val="en-US"/>
        </w:rPr>
        <w:t>0.71</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7.06</w:t>
      </w:r>
      <w:r>
        <w:rPr>
          <w:rFonts w:hAnsi="Times New Roman"/>
          <w:snapToGrid w:val="0"/>
          <w:color w:val="auto"/>
          <w:szCs w:val="21"/>
          <w:highlight w:val="none"/>
          <w:u w:val="none"/>
        </w:rPr>
        <w:t>%，出现在东</w:t>
      </w:r>
      <w:r>
        <w:rPr>
          <w:rFonts w:hint="eastAsia" w:hAnsi="Times New Roman"/>
          <w:snapToGrid w:val="0"/>
          <w:color w:val="auto"/>
          <w:szCs w:val="21"/>
          <w:highlight w:val="none"/>
          <w:u w:val="none"/>
          <w:lang w:val="en-US"/>
        </w:rPr>
        <w:t>沃村</w:t>
      </w:r>
      <w:r>
        <w:rPr>
          <w:rFonts w:hAnsi="Times New Roman"/>
          <w:snapToGrid w:val="0"/>
          <w:color w:val="auto"/>
          <w:szCs w:val="21"/>
          <w:highlight w:val="none"/>
          <w:u w:val="none"/>
        </w:rPr>
        <w:t>；各网格点处DNT最大小时浓度预测值取防护距离外的叠加浓度最大值</w:t>
      </w:r>
      <w:r>
        <w:rPr>
          <w:rFonts w:hint="eastAsia" w:hAnsi="Times New Roman"/>
          <w:snapToGrid w:val="0"/>
          <w:color w:val="auto"/>
          <w:szCs w:val="21"/>
          <w:highlight w:val="none"/>
          <w:u w:val="none"/>
          <w:lang w:val="en-US"/>
        </w:rPr>
        <w:t>8.19</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 xml:space="preserve">81.93 </w:t>
      </w:r>
      <w:r>
        <w:rPr>
          <w:rFonts w:hAnsi="Times New Roman"/>
          <w:snapToGrid w:val="0"/>
          <w:color w:val="auto"/>
          <w:szCs w:val="21"/>
          <w:highlight w:val="none"/>
          <w:u w:val="none"/>
        </w:rPr>
        <w:t>%，满足相应标准限值要求</w:t>
      </w:r>
      <w:r>
        <w:rPr>
          <w:rFonts w:ascii="宋体"/>
          <w:snapToGrid w:val="0"/>
          <w:color w:val="auto"/>
          <w:szCs w:val="21"/>
          <w:highlight w:val="none"/>
          <w:u w:val="none"/>
        </w:rPr>
        <w:t>。</w:t>
      </w:r>
    </w:p>
    <w:p w14:paraId="26B549F7">
      <w:pPr>
        <w:ind w:firstLine="482"/>
        <w:rPr>
          <w:rFonts w:hAnsi="Times New Roman"/>
          <w:snapToGrid w:val="0"/>
          <w:color w:val="auto"/>
          <w:szCs w:val="21"/>
          <w:highlight w:val="none"/>
          <w:u w:val="none"/>
        </w:rPr>
      </w:pPr>
      <w:r>
        <w:rPr>
          <w:rFonts w:hint="eastAsia" w:hAnsi="Times New Roman"/>
          <w:b/>
          <w:color w:val="auto"/>
          <w:highlight w:val="none"/>
          <w:u w:val="none"/>
        </w:rPr>
        <w:t>PM</w:t>
      </w:r>
      <w:r>
        <w:rPr>
          <w:rFonts w:hint="eastAsia" w:hAnsi="Times New Roman"/>
          <w:b/>
          <w:color w:val="auto"/>
          <w:highlight w:val="none"/>
          <w:u w:val="none"/>
          <w:vertAlign w:val="subscript"/>
        </w:rPr>
        <w:t>10</w:t>
      </w:r>
      <w:r>
        <w:rPr>
          <w:rFonts w:hAnsi="Times New Roman"/>
          <w:b/>
          <w:color w:val="auto"/>
          <w:highlight w:val="none"/>
          <w:u w:val="none"/>
        </w:rPr>
        <w:t>：</w:t>
      </w:r>
      <w:r>
        <w:rPr>
          <w:rFonts w:hAnsi="Times New Roman"/>
          <w:snapToGrid w:val="0"/>
          <w:color w:val="auto"/>
          <w:szCs w:val="21"/>
          <w:highlight w:val="none"/>
          <w:u w:val="none"/>
        </w:rPr>
        <w:t>本项目排放的</w:t>
      </w:r>
      <w:r>
        <w:rPr>
          <w:rFonts w:hint="eastAsia" w:hAnsi="Times New Roman"/>
          <w:bCs/>
          <w:color w:val="auto"/>
          <w:highlight w:val="none"/>
          <w:u w:val="none"/>
        </w:rPr>
        <w:t>PM10</w:t>
      </w:r>
      <w:r>
        <w:rPr>
          <w:rFonts w:hAnsi="Times New Roman"/>
          <w:snapToGrid w:val="0"/>
          <w:color w:val="auto"/>
          <w:szCs w:val="21"/>
          <w:highlight w:val="none"/>
          <w:u w:val="none"/>
        </w:rPr>
        <w:t>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w:t>
      </w:r>
      <w:r>
        <w:rPr>
          <w:rFonts w:hint="eastAsia" w:hAnsi="Times New Roman"/>
          <w:snapToGrid w:val="0"/>
          <w:color w:val="auto"/>
          <w:szCs w:val="21"/>
          <w:highlight w:val="none"/>
          <w:u w:val="none"/>
        </w:rPr>
        <w:t>95%保证率日均</w:t>
      </w:r>
      <w:r>
        <w:rPr>
          <w:rFonts w:hAnsi="Times New Roman"/>
          <w:snapToGrid w:val="0"/>
          <w:color w:val="auto"/>
          <w:szCs w:val="21"/>
          <w:highlight w:val="none"/>
          <w:u w:val="none"/>
        </w:rPr>
        <w:t>值为</w:t>
      </w:r>
      <w:r>
        <w:rPr>
          <w:rFonts w:hint="eastAsia" w:hAnsi="Times New Roman"/>
          <w:snapToGrid w:val="0"/>
          <w:color w:val="auto"/>
          <w:szCs w:val="21"/>
          <w:highlight w:val="none"/>
          <w:u w:val="none"/>
        </w:rPr>
        <w:t xml:space="preserve">59.17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39.45</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东江水厂</w:t>
      </w:r>
      <w:r>
        <w:rPr>
          <w:rFonts w:hAnsi="Times New Roman"/>
          <w:snapToGrid w:val="0"/>
          <w:color w:val="auto"/>
          <w:szCs w:val="21"/>
          <w:highlight w:val="none"/>
          <w:u w:val="none"/>
        </w:rPr>
        <w:t>；各网格点处光气</w:t>
      </w:r>
      <w:r>
        <w:rPr>
          <w:rFonts w:hint="eastAsia" w:hAnsi="Times New Roman"/>
          <w:snapToGrid w:val="0"/>
          <w:color w:val="auto"/>
          <w:szCs w:val="21"/>
          <w:highlight w:val="none"/>
          <w:u w:val="none"/>
        </w:rPr>
        <w:t>95%保证率日均</w:t>
      </w:r>
      <w:r>
        <w:rPr>
          <w:rFonts w:hAnsi="Times New Roman"/>
          <w:snapToGrid w:val="0"/>
          <w:color w:val="auto"/>
          <w:szCs w:val="21"/>
          <w:highlight w:val="none"/>
          <w:u w:val="none"/>
        </w:rPr>
        <w:t>值取防护距离外的叠加浓度最大值</w:t>
      </w:r>
      <w:r>
        <w:rPr>
          <w:rFonts w:hint="eastAsia" w:hAnsi="Times New Roman"/>
          <w:snapToGrid w:val="0"/>
          <w:color w:val="auto"/>
          <w:szCs w:val="21"/>
          <w:highlight w:val="none"/>
          <w:u w:val="none"/>
        </w:rPr>
        <w:t>80.71</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 xml:space="preserve">53.81 </w:t>
      </w:r>
      <w:r>
        <w:rPr>
          <w:rFonts w:hAnsi="Times New Roman"/>
          <w:snapToGrid w:val="0"/>
          <w:color w:val="auto"/>
          <w:szCs w:val="21"/>
          <w:highlight w:val="none"/>
          <w:u w:val="none"/>
        </w:rPr>
        <w:t>%，满足相应标准限值要求</w:t>
      </w:r>
      <w:r>
        <w:rPr>
          <w:rFonts w:hint="eastAsia" w:hAnsi="Times New Roman"/>
          <w:snapToGrid w:val="0"/>
          <w:color w:val="auto"/>
          <w:szCs w:val="21"/>
          <w:highlight w:val="none"/>
          <w:u w:val="none"/>
        </w:rPr>
        <w:t>；</w:t>
      </w:r>
      <w:r>
        <w:rPr>
          <w:rFonts w:hAnsi="Times New Roman"/>
          <w:snapToGrid w:val="0"/>
          <w:color w:val="auto"/>
          <w:szCs w:val="21"/>
          <w:highlight w:val="none"/>
          <w:u w:val="none"/>
        </w:rPr>
        <w:t>各保护目标中最大</w:t>
      </w:r>
      <w:r>
        <w:rPr>
          <w:rFonts w:hint="eastAsia" w:hAnsi="Times New Roman"/>
          <w:snapToGrid w:val="0"/>
          <w:color w:val="auto"/>
          <w:szCs w:val="21"/>
          <w:highlight w:val="none"/>
          <w:u w:val="none"/>
        </w:rPr>
        <w:t>年均</w:t>
      </w:r>
      <w:r>
        <w:rPr>
          <w:rFonts w:hAnsi="Times New Roman"/>
          <w:snapToGrid w:val="0"/>
          <w:color w:val="auto"/>
          <w:szCs w:val="21"/>
          <w:highlight w:val="none"/>
          <w:u w:val="none"/>
        </w:rPr>
        <w:t>值为</w:t>
      </w:r>
      <w:r>
        <w:rPr>
          <w:rFonts w:hint="eastAsia" w:hAnsi="Times New Roman"/>
          <w:snapToGrid w:val="0"/>
          <w:color w:val="auto"/>
          <w:szCs w:val="21"/>
          <w:highlight w:val="none"/>
          <w:u w:val="none"/>
        </w:rPr>
        <w:t xml:space="preserve">29.34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41.92</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东江水厂</w:t>
      </w:r>
      <w:r>
        <w:rPr>
          <w:rFonts w:hAnsi="Times New Roman"/>
          <w:snapToGrid w:val="0"/>
          <w:color w:val="auto"/>
          <w:szCs w:val="21"/>
          <w:highlight w:val="none"/>
          <w:u w:val="none"/>
        </w:rPr>
        <w:t>；各网格点处</w:t>
      </w:r>
      <w:r>
        <w:rPr>
          <w:rFonts w:hint="eastAsia" w:hAnsi="Times New Roman"/>
          <w:bCs/>
          <w:color w:val="auto"/>
          <w:highlight w:val="none"/>
          <w:u w:val="none"/>
        </w:rPr>
        <w:t>PM10</w:t>
      </w:r>
      <w:r>
        <w:rPr>
          <w:rFonts w:hint="eastAsia" w:hAnsi="Times New Roman"/>
          <w:snapToGrid w:val="0"/>
          <w:color w:val="auto"/>
          <w:szCs w:val="21"/>
          <w:highlight w:val="none"/>
          <w:u w:val="none"/>
        </w:rPr>
        <w:t>年均</w:t>
      </w:r>
      <w:r>
        <w:rPr>
          <w:rFonts w:hAnsi="Times New Roman"/>
          <w:snapToGrid w:val="0"/>
          <w:color w:val="auto"/>
          <w:szCs w:val="21"/>
          <w:highlight w:val="none"/>
          <w:u w:val="none"/>
        </w:rPr>
        <w:t>值取防护距离外的叠加浓度最大值</w:t>
      </w:r>
      <w:r>
        <w:rPr>
          <w:rFonts w:hint="eastAsia" w:hAnsi="Times New Roman"/>
          <w:snapToGrid w:val="0"/>
          <w:color w:val="auto"/>
          <w:szCs w:val="21"/>
          <w:highlight w:val="none"/>
          <w:u w:val="none"/>
        </w:rPr>
        <w:t>39.39</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 xml:space="preserve">56.28 </w:t>
      </w:r>
      <w:r>
        <w:rPr>
          <w:rFonts w:hAnsi="Times New Roman"/>
          <w:snapToGrid w:val="0"/>
          <w:color w:val="auto"/>
          <w:szCs w:val="21"/>
          <w:highlight w:val="none"/>
          <w:u w:val="none"/>
        </w:rPr>
        <w:t>%，满足相应标准限值要求</w:t>
      </w:r>
      <w:r>
        <w:rPr>
          <w:rFonts w:hint="eastAsia" w:hAnsi="Times New Roman"/>
          <w:snapToGrid w:val="0"/>
          <w:color w:val="auto"/>
          <w:szCs w:val="21"/>
          <w:highlight w:val="none"/>
          <w:u w:val="none"/>
        </w:rPr>
        <w:t>。</w:t>
      </w:r>
    </w:p>
    <w:p w14:paraId="13E35DB4">
      <w:pPr>
        <w:ind w:firstLine="482"/>
        <w:rPr>
          <w:rFonts w:hAnsi="Times New Roman"/>
          <w:snapToGrid w:val="0"/>
          <w:color w:val="auto"/>
          <w:szCs w:val="21"/>
          <w:highlight w:val="none"/>
          <w:u w:val="none"/>
        </w:rPr>
      </w:pPr>
      <w:r>
        <w:rPr>
          <w:rFonts w:hint="eastAsia" w:hAnsi="Times New Roman"/>
          <w:b/>
          <w:color w:val="auto"/>
          <w:highlight w:val="none"/>
          <w:u w:val="none"/>
        </w:rPr>
        <w:t>PM</w:t>
      </w:r>
      <w:r>
        <w:rPr>
          <w:rFonts w:hint="eastAsia" w:hAnsi="Times New Roman"/>
          <w:b/>
          <w:color w:val="auto"/>
          <w:highlight w:val="none"/>
          <w:u w:val="none"/>
          <w:vertAlign w:val="subscript"/>
        </w:rPr>
        <w:t>2.5</w:t>
      </w:r>
      <w:r>
        <w:rPr>
          <w:rFonts w:hAnsi="Times New Roman"/>
          <w:b/>
          <w:color w:val="auto"/>
          <w:highlight w:val="none"/>
          <w:u w:val="none"/>
        </w:rPr>
        <w:t>：</w:t>
      </w:r>
      <w:r>
        <w:rPr>
          <w:rFonts w:hAnsi="Times New Roman"/>
          <w:snapToGrid w:val="0"/>
          <w:color w:val="auto"/>
          <w:szCs w:val="21"/>
          <w:highlight w:val="none"/>
          <w:u w:val="none"/>
        </w:rPr>
        <w:t>本项目排放的</w:t>
      </w:r>
      <w:r>
        <w:rPr>
          <w:rFonts w:hint="eastAsia" w:hAnsi="Times New Roman"/>
          <w:bCs/>
          <w:color w:val="auto"/>
          <w:highlight w:val="none"/>
          <w:u w:val="none"/>
        </w:rPr>
        <w:t>PM</w:t>
      </w:r>
      <w:r>
        <w:rPr>
          <w:rFonts w:hint="eastAsia" w:hAnsi="Times New Roman"/>
          <w:bCs/>
          <w:color w:val="auto"/>
          <w:highlight w:val="none"/>
          <w:u w:val="none"/>
          <w:vertAlign w:val="subscript"/>
        </w:rPr>
        <w:t>2.5</w:t>
      </w:r>
      <w:r>
        <w:rPr>
          <w:rFonts w:hAnsi="Times New Roman"/>
          <w:snapToGrid w:val="0"/>
          <w:color w:val="auto"/>
          <w:szCs w:val="21"/>
          <w:highlight w:val="none"/>
          <w:u w:val="none"/>
        </w:rPr>
        <w:t>叠加背景值和周边在建、拟建</w:t>
      </w:r>
      <w:r>
        <w:rPr>
          <w:rFonts w:hint="eastAsia" w:hAnsi="Times New Roman"/>
          <w:snapToGrid w:val="0"/>
          <w:color w:val="auto"/>
          <w:szCs w:val="21"/>
          <w:highlight w:val="none"/>
          <w:u w:val="none"/>
        </w:rPr>
        <w:t>源</w:t>
      </w:r>
      <w:r>
        <w:rPr>
          <w:rFonts w:hAnsi="Times New Roman"/>
          <w:snapToGrid w:val="0"/>
          <w:color w:val="auto"/>
          <w:szCs w:val="21"/>
          <w:highlight w:val="none"/>
          <w:u w:val="none"/>
        </w:rPr>
        <w:t>贡献浓度后，各保护目标中</w:t>
      </w:r>
      <w:r>
        <w:rPr>
          <w:rFonts w:hint="eastAsia" w:hAnsi="Times New Roman"/>
          <w:snapToGrid w:val="0"/>
          <w:color w:val="auto"/>
          <w:szCs w:val="21"/>
          <w:highlight w:val="none"/>
          <w:u w:val="none"/>
        </w:rPr>
        <w:t>95%保证率日均</w:t>
      </w:r>
      <w:r>
        <w:rPr>
          <w:rFonts w:hAnsi="Times New Roman"/>
          <w:snapToGrid w:val="0"/>
          <w:color w:val="auto"/>
          <w:szCs w:val="21"/>
          <w:highlight w:val="none"/>
          <w:u w:val="none"/>
        </w:rPr>
        <w:t>值为</w:t>
      </w:r>
      <w:r>
        <w:rPr>
          <w:rFonts w:hint="eastAsia" w:hAnsi="Times New Roman"/>
          <w:snapToGrid w:val="0"/>
          <w:color w:val="auto"/>
          <w:szCs w:val="21"/>
          <w:highlight w:val="none"/>
          <w:u w:val="none"/>
        </w:rPr>
        <w:t xml:space="preserve">34.46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45.95</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东江水厂</w:t>
      </w:r>
      <w:r>
        <w:rPr>
          <w:rFonts w:hAnsi="Times New Roman"/>
          <w:snapToGrid w:val="0"/>
          <w:color w:val="auto"/>
          <w:szCs w:val="21"/>
          <w:highlight w:val="none"/>
          <w:u w:val="none"/>
        </w:rPr>
        <w:t>；各网格点处光气</w:t>
      </w:r>
      <w:r>
        <w:rPr>
          <w:rFonts w:hint="eastAsia" w:hAnsi="Times New Roman"/>
          <w:snapToGrid w:val="0"/>
          <w:color w:val="auto"/>
          <w:szCs w:val="21"/>
          <w:highlight w:val="none"/>
          <w:u w:val="none"/>
        </w:rPr>
        <w:t>95%保证率日均</w:t>
      </w:r>
      <w:r>
        <w:rPr>
          <w:rFonts w:hAnsi="Times New Roman"/>
          <w:snapToGrid w:val="0"/>
          <w:color w:val="auto"/>
          <w:szCs w:val="21"/>
          <w:highlight w:val="none"/>
          <w:u w:val="none"/>
        </w:rPr>
        <w:t>值取防护距离外的叠加浓度最大值</w:t>
      </w:r>
      <w:r>
        <w:rPr>
          <w:rFonts w:hint="eastAsia" w:hAnsi="Times New Roman"/>
          <w:snapToGrid w:val="0"/>
          <w:color w:val="auto"/>
          <w:szCs w:val="21"/>
          <w:highlight w:val="none"/>
          <w:u w:val="none"/>
        </w:rPr>
        <w:t>46.62</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 xml:space="preserve">62.16 </w:t>
      </w:r>
      <w:r>
        <w:rPr>
          <w:rFonts w:hAnsi="Times New Roman"/>
          <w:snapToGrid w:val="0"/>
          <w:color w:val="auto"/>
          <w:szCs w:val="21"/>
          <w:highlight w:val="none"/>
          <w:u w:val="none"/>
        </w:rPr>
        <w:t>%，满足相应标准限值要求</w:t>
      </w:r>
      <w:r>
        <w:rPr>
          <w:rFonts w:hint="eastAsia" w:hAnsi="Times New Roman"/>
          <w:snapToGrid w:val="0"/>
          <w:color w:val="auto"/>
          <w:szCs w:val="21"/>
          <w:highlight w:val="none"/>
          <w:u w:val="none"/>
        </w:rPr>
        <w:t>；</w:t>
      </w:r>
      <w:r>
        <w:rPr>
          <w:rFonts w:hAnsi="Times New Roman"/>
          <w:snapToGrid w:val="0"/>
          <w:color w:val="auto"/>
          <w:szCs w:val="21"/>
          <w:highlight w:val="none"/>
          <w:u w:val="none"/>
        </w:rPr>
        <w:t>各保护目标中最大</w:t>
      </w:r>
      <w:r>
        <w:rPr>
          <w:rFonts w:hint="eastAsia" w:hAnsi="Times New Roman"/>
          <w:snapToGrid w:val="0"/>
          <w:color w:val="auto"/>
          <w:szCs w:val="21"/>
          <w:highlight w:val="none"/>
          <w:u w:val="none"/>
        </w:rPr>
        <w:t>年均</w:t>
      </w:r>
      <w:r>
        <w:rPr>
          <w:rFonts w:hAnsi="Times New Roman"/>
          <w:snapToGrid w:val="0"/>
          <w:color w:val="auto"/>
          <w:szCs w:val="21"/>
          <w:highlight w:val="none"/>
          <w:u w:val="none"/>
        </w:rPr>
        <w:t>值为</w:t>
      </w:r>
      <w:r>
        <w:rPr>
          <w:rFonts w:hint="eastAsia" w:hAnsi="Times New Roman"/>
          <w:snapToGrid w:val="0"/>
          <w:color w:val="auto"/>
          <w:szCs w:val="21"/>
          <w:highlight w:val="none"/>
          <w:u w:val="none"/>
        </w:rPr>
        <w:t xml:space="preserve">16.50 </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47.14</w:t>
      </w:r>
      <w:r>
        <w:rPr>
          <w:rFonts w:hAnsi="Times New Roman"/>
          <w:snapToGrid w:val="0"/>
          <w:color w:val="auto"/>
          <w:szCs w:val="21"/>
          <w:highlight w:val="none"/>
          <w:u w:val="none"/>
        </w:rPr>
        <w:t>%，出现在</w:t>
      </w:r>
      <w:r>
        <w:rPr>
          <w:rFonts w:hint="eastAsia" w:hAnsi="Times New Roman"/>
          <w:snapToGrid w:val="0"/>
          <w:color w:val="auto"/>
          <w:szCs w:val="21"/>
          <w:highlight w:val="none"/>
          <w:u w:val="none"/>
        </w:rPr>
        <w:t>东江水厂</w:t>
      </w:r>
      <w:r>
        <w:rPr>
          <w:rFonts w:hAnsi="Times New Roman"/>
          <w:snapToGrid w:val="0"/>
          <w:color w:val="auto"/>
          <w:szCs w:val="21"/>
          <w:highlight w:val="none"/>
          <w:u w:val="none"/>
        </w:rPr>
        <w:t>；各网格点处</w:t>
      </w:r>
      <w:r>
        <w:rPr>
          <w:rFonts w:hint="eastAsia" w:hAnsi="Times New Roman"/>
          <w:bCs/>
          <w:color w:val="auto"/>
          <w:highlight w:val="none"/>
          <w:u w:val="none"/>
        </w:rPr>
        <w:t>PM</w:t>
      </w:r>
      <w:r>
        <w:rPr>
          <w:rFonts w:hint="eastAsia" w:hAnsi="Times New Roman"/>
          <w:bCs/>
          <w:color w:val="auto"/>
          <w:highlight w:val="none"/>
          <w:u w:val="none"/>
          <w:vertAlign w:val="subscript"/>
        </w:rPr>
        <w:t>2.5</w:t>
      </w:r>
      <w:r>
        <w:rPr>
          <w:rFonts w:hint="eastAsia" w:hAnsi="Times New Roman"/>
          <w:snapToGrid w:val="0"/>
          <w:color w:val="auto"/>
          <w:szCs w:val="21"/>
          <w:highlight w:val="none"/>
          <w:u w:val="none"/>
        </w:rPr>
        <w:t>年均</w:t>
      </w:r>
      <w:r>
        <w:rPr>
          <w:rFonts w:hAnsi="Times New Roman"/>
          <w:snapToGrid w:val="0"/>
          <w:color w:val="auto"/>
          <w:szCs w:val="21"/>
          <w:highlight w:val="none"/>
          <w:u w:val="none"/>
        </w:rPr>
        <w:t>值取防护距离外的叠加浓度最大值</w:t>
      </w:r>
      <w:r>
        <w:rPr>
          <w:rFonts w:hint="eastAsia" w:hAnsi="Times New Roman"/>
          <w:snapToGrid w:val="0"/>
          <w:color w:val="auto"/>
          <w:szCs w:val="21"/>
          <w:highlight w:val="none"/>
          <w:u w:val="none"/>
        </w:rPr>
        <w:t>21.48</w:t>
      </w:r>
      <w:r>
        <w:rPr>
          <w:rFonts w:hAnsi="Times New Roman"/>
          <w:snapToGrid w:val="0"/>
          <w:color w:val="auto"/>
          <w:szCs w:val="21"/>
          <w:highlight w:val="none"/>
          <w:u w:val="none"/>
        </w:rPr>
        <w:t>μg/m</w:t>
      </w:r>
      <w:r>
        <w:rPr>
          <w:rFonts w:hAnsi="Times New Roman"/>
          <w:snapToGrid w:val="0"/>
          <w:color w:val="auto"/>
          <w:szCs w:val="21"/>
          <w:highlight w:val="none"/>
          <w:u w:val="none"/>
          <w:vertAlign w:val="superscript"/>
        </w:rPr>
        <w:t>3</w:t>
      </w:r>
      <w:r>
        <w:rPr>
          <w:rFonts w:hAnsi="Times New Roman"/>
          <w:snapToGrid w:val="0"/>
          <w:color w:val="auto"/>
          <w:szCs w:val="21"/>
          <w:highlight w:val="none"/>
          <w:u w:val="none"/>
        </w:rPr>
        <w:t>，占标率为</w:t>
      </w:r>
      <w:r>
        <w:rPr>
          <w:rFonts w:hint="eastAsia" w:hAnsi="Times New Roman"/>
          <w:snapToGrid w:val="0"/>
          <w:color w:val="auto"/>
          <w:szCs w:val="21"/>
          <w:highlight w:val="none"/>
          <w:u w:val="none"/>
        </w:rPr>
        <w:t xml:space="preserve">61.36 </w:t>
      </w:r>
      <w:r>
        <w:rPr>
          <w:rFonts w:hAnsi="Times New Roman"/>
          <w:snapToGrid w:val="0"/>
          <w:color w:val="auto"/>
          <w:szCs w:val="21"/>
          <w:highlight w:val="none"/>
          <w:u w:val="none"/>
        </w:rPr>
        <w:t>%，满足相应标准限值要求</w:t>
      </w:r>
      <w:r>
        <w:rPr>
          <w:rFonts w:hint="eastAsia" w:hAnsi="Times New Roman"/>
          <w:snapToGrid w:val="0"/>
          <w:color w:val="auto"/>
          <w:szCs w:val="21"/>
          <w:highlight w:val="none"/>
          <w:u w:val="none"/>
        </w:rPr>
        <w:t>。</w:t>
      </w:r>
    </w:p>
    <w:p w14:paraId="148E751F">
      <w:pPr>
        <w:pStyle w:val="85"/>
        <w:rPr>
          <w:color w:val="auto"/>
          <w:highlight w:val="none"/>
          <w:u w:val="none"/>
        </w:rPr>
      </w:pPr>
      <w:bookmarkStart w:id="487" w:name="_Ref2959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27</w:t>
      </w:r>
      <w:r>
        <w:rPr>
          <w:color w:val="auto"/>
          <w:highlight w:val="none"/>
          <w:u w:val="none"/>
        </w:rPr>
        <w:fldChar w:fldCharType="end"/>
      </w:r>
      <w:bookmarkEnd w:id="487"/>
      <w:r>
        <w:rPr>
          <w:color w:val="auto"/>
          <w:highlight w:val="none"/>
          <w:u w:val="none"/>
        </w:rPr>
        <w:t xml:space="preserve">  项目建成后TDA和NMHC叠加预测值一览表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1BBB51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30BAEB8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名称</w:t>
            </w:r>
          </w:p>
        </w:tc>
        <w:tc>
          <w:tcPr>
            <w:tcW w:w="2206" w:type="pct"/>
            <w:gridSpan w:val="4"/>
            <w:vAlign w:val="center"/>
          </w:tcPr>
          <w:p w14:paraId="0DEA947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TDA小时浓度</w:t>
            </w:r>
          </w:p>
        </w:tc>
        <w:tc>
          <w:tcPr>
            <w:tcW w:w="2190" w:type="pct"/>
            <w:gridSpan w:val="4"/>
            <w:vAlign w:val="center"/>
          </w:tcPr>
          <w:p w14:paraId="7B4EDE8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NMHC小时浓度</w:t>
            </w:r>
          </w:p>
        </w:tc>
      </w:tr>
      <w:tr w14:paraId="398ED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7C3C5737">
            <w:pPr>
              <w:spacing w:line="240" w:lineRule="auto"/>
              <w:ind w:firstLine="0" w:firstLineChars="0"/>
              <w:jc w:val="center"/>
              <w:rPr>
                <w:rFonts w:hAnsi="Times New Roman"/>
                <w:color w:val="auto"/>
                <w:kern w:val="2"/>
                <w:sz w:val="21"/>
                <w:szCs w:val="21"/>
                <w:highlight w:val="none"/>
                <w:u w:val="none"/>
                <w:lang w:val="en-US"/>
              </w:rPr>
            </w:pPr>
          </w:p>
        </w:tc>
        <w:tc>
          <w:tcPr>
            <w:tcW w:w="688" w:type="pct"/>
            <w:vAlign w:val="center"/>
          </w:tcPr>
          <w:p w14:paraId="31EACDB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35" w:type="pct"/>
            <w:vAlign w:val="center"/>
          </w:tcPr>
          <w:p w14:paraId="17E2E5A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36" w:type="pct"/>
            <w:vAlign w:val="center"/>
          </w:tcPr>
          <w:p w14:paraId="76923C3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47" w:type="pct"/>
            <w:vAlign w:val="center"/>
          </w:tcPr>
          <w:p w14:paraId="631E164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c>
          <w:tcPr>
            <w:tcW w:w="633" w:type="pct"/>
            <w:vAlign w:val="center"/>
          </w:tcPr>
          <w:p w14:paraId="1449701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48" w:type="pct"/>
            <w:vAlign w:val="center"/>
          </w:tcPr>
          <w:p w14:paraId="605E1B7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79" w:type="pct"/>
            <w:vAlign w:val="center"/>
          </w:tcPr>
          <w:p w14:paraId="154F85E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30" w:type="pct"/>
            <w:vAlign w:val="center"/>
          </w:tcPr>
          <w:p w14:paraId="26D0F68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r>
      <w:tr w14:paraId="15BAD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C6226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新厝镇</w:t>
            </w:r>
          </w:p>
        </w:tc>
        <w:tc>
          <w:tcPr>
            <w:tcW w:w="688" w:type="pct"/>
            <w:vAlign w:val="center"/>
          </w:tcPr>
          <w:p w14:paraId="242223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2022/04/22 01:00</w:t>
            </w:r>
          </w:p>
        </w:tc>
        <w:tc>
          <w:tcPr>
            <w:tcW w:w="535" w:type="pct"/>
            <w:vAlign w:val="center"/>
          </w:tcPr>
          <w:p w14:paraId="4CB049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0.83</w:t>
            </w:r>
          </w:p>
        </w:tc>
        <w:tc>
          <w:tcPr>
            <w:tcW w:w="536" w:type="pct"/>
            <w:vAlign w:val="center"/>
          </w:tcPr>
          <w:p w14:paraId="2201F8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0A4E1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0.83</w:t>
            </w:r>
          </w:p>
        </w:tc>
        <w:tc>
          <w:tcPr>
            <w:tcW w:w="633" w:type="pct"/>
            <w:vAlign w:val="center"/>
          </w:tcPr>
          <w:p w14:paraId="106E3B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2022/06/01 05:00</w:t>
            </w:r>
          </w:p>
        </w:tc>
        <w:tc>
          <w:tcPr>
            <w:tcW w:w="548" w:type="pct"/>
            <w:vAlign w:val="center"/>
          </w:tcPr>
          <w:p w14:paraId="6FE72C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279.19</w:t>
            </w:r>
          </w:p>
        </w:tc>
        <w:tc>
          <w:tcPr>
            <w:tcW w:w="579" w:type="pct"/>
            <w:vAlign w:val="center"/>
          </w:tcPr>
          <w:p w14:paraId="12B291E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79337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13.96</w:t>
            </w:r>
          </w:p>
        </w:tc>
      </w:tr>
      <w:tr w14:paraId="1F94F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1B69C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上后村（莆田）</w:t>
            </w:r>
          </w:p>
        </w:tc>
        <w:tc>
          <w:tcPr>
            <w:tcW w:w="688" w:type="pct"/>
            <w:vAlign w:val="center"/>
          </w:tcPr>
          <w:p w14:paraId="25B6609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2022/07/29 05:00</w:t>
            </w:r>
          </w:p>
        </w:tc>
        <w:tc>
          <w:tcPr>
            <w:tcW w:w="535" w:type="pct"/>
            <w:vAlign w:val="center"/>
          </w:tcPr>
          <w:p w14:paraId="60A57F5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0.77</w:t>
            </w:r>
          </w:p>
        </w:tc>
        <w:tc>
          <w:tcPr>
            <w:tcW w:w="536" w:type="pct"/>
            <w:vAlign w:val="center"/>
          </w:tcPr>
          <w:p w14:paraId="4813F7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0FED5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0.77</w:t>
            </w:r>
          </w:p>
        </w:tc>
        <w:tc>
          <w:tcPr>
            <w:tcW w:w="633" w:type="pct"/>
            <w:vAlign w:val="center"/>
          </w:tcPr>
          <w:p w14:paraId="0B53C9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2022/07/25 19:00</w:t>
            </w:r>
          </w:p>
        </w:tc>
        <w:tc>
          <w:tcPr>
            <w:tcW w:w="548" w:type="pct"/>
            <w:vAlign w:val="center"/>
          </w:tcPr>
          <w:p w14:paraId="2856075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271.29</w:t>
            </w:r>
          </w:p>
        </w:tc>
        <w:tc>
          <w:tcPr>
            <w:tcW w:w="579" w:type="pct"/>
            <w:vAlign w:val="center"/>
          </w:tcPr>
          <w:p w14:paraId="07637C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EA65E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13.56</w:t>
            </w:r>
          </w:p>
        </w:tc>
      </w:tr>
      <w:tr w14:paraId="40656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313A34B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莆江村（莆田）</w:t>
            </w:r>
          </w:p>
        </w:tc>
        <w:tc>
          <w:tcPr>
            <w:tcW w:w="688" w:type="pct"/>
            <w:vAlign w:val="center"/>
          </w:tcPr>
          <w:p w14:paraId="2104268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35" w:type="pct"/>
            <w:vAlign w:val="center"/>
          </w:tcPr>
          <w:p w14:paraId="37477D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536" w:type="pct"/>
            <w:vAlign w:val="center"/>
          </w:tcPr>
          <w:p w14:paraId="4CB33E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36AF03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633" w:type="pct"/>
            <w:vAlign w:val="center"/>
          </w:tcPr>
          <w:p w14:paraId="088E1D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04:00</w:t>
            </w:r>
          </w:p>
        </w:tc>
        <w:tc>
          <w:tcPr>
            <w:tcW w:w="548" w:type="pct"/>
            <w:vAlign w:val="center"/>
          </w:tcPr>
          <w:p w14:paraId="4F083E4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276.00</w:t>
            </w:r>
          </w:p>
        </w:tc>
        <w:tc>
          <w:tcPr>
            <w:tcW w:w="579" w:type="pct"/>
            <w:vAlign w:val="center"/>
          </w:tcPr>
          <w:p w14:paraId="0A4A72C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5210FB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13.80</w:t>
            </w:r>
          </w:p>
        </w:tc>
      </w:tr>
      <w:tr w14:paraId="14548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107A7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峰头村</w:t>
            </w:r>
          </w:p>
        </w:tc>
        <w:tc>
          <w:tcPr>
            <w:tcW w:w="688" w:type="pct"/>
            <w:vAlign w:val="center"/>
          </w:tcPr>
          <w:p w14:paraId="2937142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35" w:type="pct"/>
            <w:vAlign w:val="center"/>
          </w:tcPr>
          <w:p w14:paraId="410DE03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1.65</w:t>
            </w:r>
          </w:p>
        </w:tc>
        <w:tc>
          <w:tcPr>
            <w:tcW w:w="536" w:type="pct"/>
            <w:vAlign w:val="center"/>
          </w:tcPr>
          <w:p w14:paraId="4C6028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FF034A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1.65</w:t>
            </w:r>
          </w:p>
        </w:tc>
        <w:tc>
          <w:tcPr>
            <w:tcW w:w="633" w:type="pct"/>
            <w:vAlign w:val="center"/>
          </w:tcPr>
          <w:p w14:paraId="5D20F3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2022/07/29 06:00</w:t>
            </w:r>
          </w:p>
        </w:tc>
        <w:tc>
          <w:tcPr>
            <w:tcW w:w="548" w:type="pct"/>
            <w:vAlign w:val="center"/>
          </w:tcPr>
          <w:p w14:paraId="5429CF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294.25</w:t>
            </w:r>
          </w:p>
        </w:tc>
        <w:tc>
          <w:tcPr>
            <w:tcW w:w="579" w:type="pct"/>
            <w:vAlign w:val="center"/>
          </w:tcPr>
          <w:p w14:paraId="63162A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46511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14.71</w:t>
            </w:r>
          </w:p>
        </w:tc>
      </w:tr>
      <w:tr w14:paraId="41A59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9D337B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漆林村</w:t>
            </w:r>
          </w:p>
        </w:tc>
        <w:tc>
          <w:tcPr>
            <w:tcW w:w="688" w:type="pct"/>
            <w:vAlign w:val="center"/>
          </w:tcPr>
          <w:p w14:paraId="070C79C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22:00</w:t>
            </w:r>
          </w:p>
        </w:tc>
        <w:tc>
          <w:tcPr>
            <w:tcW w:w="535" w:type="pct"/>
            <w:vAlign w:val="center"/>
          </w:tcPr>
          <w:p w14:paraId="04A8F0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0.90</w:t>
            </w:r>
          </w:p>
        </w:tc>
        <w:tc>
          <w:tcPr>
            <w:tcW w:w="536" w:type="pct"/>
            <w:vAlign w:val="center"/>
          </w:tcPr>
          <w:p w14:paraId="602CDD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437463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0.90</w:t>
            </w:r>
          </w:p>
        </w:tc>
        <w:tc>
          <w:tcPr>
            <w:tcW w:w="633" w:type="pct"/>
            <w:vAlign w:val="center"/>
          </w:tcPr>
          <w:p w14:paraId="478E49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48" w:type="pct"/>
            <w:vAlign w:val="center"/>
          </w:tcPr>
          <w:p w14:paraId="3893AA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276.90</w:t>
            </w:r>
          </w:p>
        </w:tc>
        <w:tc>
          <w:tcPr>
            <w:tcW w:w="579" w:type="pct"/>
            <w:vAlign w:val="center"/>
          </w:tcPr>
          <w:p w14:paraId="13F02D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01F08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13.85</w:t>
            </w:r>
          </w:p>
        </w:tc>
      </w:tr>
      <w:tr w14:paraId="2B191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08F9E3B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大东村（莆田）</w:t>
            </w:r>
          </w:p>
        </w:tc>
        <w:tc>
          <w:tcPr>
            <w:tcW w:w="688" w:type="pct"/>
            <w:vAlign w:val="center"/>
          </w:tcPr>
          <w:p w14:paraId="75A11A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19:00</w:t>
            </w:r>
          </w:p>
        </w:tc>
        <w:tc>
          <w:tcPr>
            <w:tcW w:w="535" w:type="pct"/>
            <w:vAlign w:val="center"/>
          </w:tcPr>
          <w:p w14:paraId="40827D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0.45</w:t>
            </w:r>
          </w:p>
        </w:tc>
        <w:tc>
          <w:tcPr>
            <w:tcW w:w="536" w:type="pct"/>
            <w:vAlign w:val="center"/>
          </w:tcPr>
          <w:p w14:paraId="6914E7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212157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0.45</w:t>
            </w:r>
          </w:p>
        </w:tc>
        <w:tc>
          <w:tcPr>
            <w:tcW w:w="633" w:type="pct"/>
            <w:vAlign w:val="center"/>
          </w:tcPr>
          <w:p w14:paraId="6ACE29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2022/07/25 19:00</w:t>
            </w:r>
          </w:p>
        </w:tc>
        <w:tc>
          <w:tcPr>
            <w:tcW w:w="548" w:type="pct"/>
            <w:vAlign w:val="center"/>
          </w:tcPr>
          <w:p w14:paraId="0222D66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274.08</w:t>
            </w:r>
          </w:p>
        </w:tc>
        <w:tc>
          <w:tcPr>
            <w:tcW w:w="579" w:type="pct"/>
            <w:vAlign w:val="center"/>
          </w:tcPr>
          <w:p w14:paraId="0D88ED2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58FE33E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13.70</w:t>
            </w:r>
          </w:p>
        </w:tc>
      </w:tr>
      <w:tr w14:paraId="37105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CEA964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霞埔村</w:t>
            </w:r>
          </w:p>
        </w:tc>
        <w:tc>
          <w:tcPr>
            <w:tcW w:w="688" w:type="pct"/>
            <w:vAlign w:val="center"/>
          </w:tcPr>
          <w:p w14:paraId="4E93D61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35" w:type="pct"/>
            <w:vAlign w:val="center"/>
          </w:tcPr>
          <w:p w14:paraId="188928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1.67</w:t>
            </w:r>
          </w:p>
        </w:tc>
        <w:tc>
          <w:tcPr>
            <w:tcW w:w="536" w:type="pct"/>
            <w:vAlign w:val="center"/>
          </w:tcPr>
          <w:p w14:paraId="60E23D9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26193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1.67</w:t>
            </w:r>
          </w:p>
        </w:tc>
        <w:tc>
          <w:tcPr>
            <w:tcW w:w="633" w:type="pct"/>
            <w:vAlign w:val="center"/>
          </w:tcPr>
          <w:p w14:paraId="547610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21:00</w:t>
            </w:r>
          </w:p>
        </w:tc>
        <w:tc>
          <w:tcPr>
            <w:tcW w:w="548" w:type="pct"/>
            <w:vAlign w:val="center"/>
          </w:tcPr>
          <w:p w14:paraId="5063A0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317.43</w:t>
            </w:r>
          </w:p>
        </w:tc>
        <w:tc>
          <w:tcPr>
            <w:tcW w:w="579" w:type="pct"/>
            <w:vAlign w:val="center"/>
          </w:tcPr>
          <w:p w14:paraId="1914B3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4A36E58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15.87</w:t>
            </w:r>
          </w:p>
        </w:tc>
      </w:tr>
      <w:tr w14:paraId="366FB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8D1043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芝山</w:t>
            </w:r>
          </w:p>
        </w:tc>
        <w:tc>
          <w:tcPr>
            <w:tcW w:w="688" w:type="pct"/>
            <w:vAlign w:val="center"/>
          </w:tcPr>
          <w:p w14:paraId="559AAF2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19:00</w:t>
            </w:r>
          </w:p>
        </w:tc>
        <w:tc>
          <w:tcPr>
            <w:tcW w:w="535" w:type="pct"/>
            <w:vAlign w:val="center"/>
          </w:tcPr>
          <w:p w14:paraId="2A3E65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2.01</w:t>
            </w:r>
          </w:p>
        </w:tc>
        <w:tc>
          <w:tcPr>
            <w:tcW w:w="536" w:type="pct"/>
            <w:vAlign w:val="center"/>
          </w:tcPr>
          <w:p w14:paraId="36D536C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CA2618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2.01</w:t>
            </w:r>
          </w:p>
        </w:tc>
        <w:tc>
          <w:tcPr>
            <w:tcW w:w="633" w:type="pct"/>
            <w:vAlign w:val="center"/>
          </w:tcPr>
          <w:p w14:paraId="6C855D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2022/05/28 19:00</w:t>
            </w:r>
          </w:p>
        </w:tc>
        <w:tc>
          <w:tcPr>
            <w:tcW w:w="548" w:type="pct"/>
            <w:vAlign w:val="center"/>
          </w:tcPr>
          <w:p w14:paraId="535EEEF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288.94</w:t>
            </w:r>
          </w:p>
        </w:tc>
        <w:tc>
          <w:tcPr>
            <w:tcW w:w="579" w:type="pct"/>
            <w:vAlign w:val="center"/>
          </w:tcPr>
          <w:p w14:paraId="7C01C8F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B8708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14.45</w:t>
            </w:r>
          </w:p>
        </w:tc>
      </w:tr>
      <w:tr w14:paraId="3A3B5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75D566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高局</w:t>
            </w:r>
          </w:p>
        </w:tc>
        <w:tc>
          <w:tcPr>
            <w:tcW w:w="688" w:type="pct"/>
            <w:vAlign w:val="center"/>
          </w:tcPr>
          <w:p w14:paraId="52C8C61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7B65744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1.26</w:t>
            </w:r>
          </w:p>
        </w:tc>
        <w:tc>
          <w:tcPr>
            <w:tcW w:w="536" w:type="pct"/>
            <w:vAlign w:val="center"/>
          </w:tcPr>
          <w:p w14:paraId="7E2B43B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CD11D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1.26</w:t>
            </w:r>
          </w:p>
        </w:tc>
        <w:tc>
          <w:tcPr>
            <w:tcW w:w="633" w:type="pct"/>
            <w:vAlign w:val="center"/>
          </w:tcPr>
          <w:p w14:paraId="5D7680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2022/06/03 02:00</w:t>
            </w:r>
          </w:p>
        </w:tc>
        <w:tc>
          <w:tcPr>
            <w:tcW w:w="548" w:type="pct"/>
            <w:vAlign w:val="center"/>
          </w:tcPr>
          <w:p w14:paraId="26284E0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290.54</w:t>
            </w:r>
          </w:p>
        </w:tc>
        <w:tc>
          <w:tcPr>
            <w:tcW w:w="579" w:type="pct"/>
            <w:vAlign w:val="center"/>
          </w:tcPr>
          <w:p w14:paraId="73452F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4037DD8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14.53</w:t>
            </w:r>
          </w:p>
        </w:tc>
      </w:tr>
      <w:tr w14:paraId="044BD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252419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西山</w:t>
            </w:r>
          </w:p>
        </w:tc>
        <w:tc>
          <w:tcPr>
            <w:tcW w:w="688" w:type="pct"/>
            <w:vAlign w:val="center"/>
          </w:tcPr>
          <w:p w14:paraId="78AAD2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35" w:type="pct"/>
            <w:vAlign w:val="center"/>
          </w:tcPr>
          <w:p w14:paraId="4C4791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1.76</w:t>
            </w:r>
          </w:p>
        </w:tc>
        <w:tc>
          <w:tcPr>
            <w:tcW w:w="536" w:type="pct"/>
            <w:vAlign w:val="center"/>
          </w:tcPr>
          <w:p w14:paraId="70A9E35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082658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1.76</w:t>
            </w:r>
          </w:p>
        </w:tc>
        <w:tc>
          <w:tcPr>
            <w:tcW w:w="633" w:type="pct"/>
            <w:vAlign w:val="center"/>
          </w:tcPr>
          <w:p w14:paraId="657CE00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48" w:type="pct"/>
            <w:vAlign w:val="center"/>
          </w:tcPr>
          <w:p w14:paraId="02AA4D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284.80</w:t>
            </w:r>
          </w:p>
        </w:tc>
        <w:tc>
          <w:tcPr>
            <w:tcW w:w="579" w:type="pct"/>
            <w:vAlign w:val="center"/>
          </w:tcPr>
          <w:p w14:paraId="5A6DBC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EEF7A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14.24</w:t>
            </w:r>
          </w:p>
        </w:tc>
      </w:tr>
      <w:tr w14:paraId="540A4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BA2C29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东井村</w:t>
            </w:r>
          </w:p>
        </w:tc>
        <w:tc>
          <w:tcPr>
            <w:tcW w:w="688" w:type="pct"/>
            <w:vAlign w:val="center"/>
          </w:tcPr>
          <w:p w14:paraId="5E0F1DE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04F9F51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1.22</w:t>
            </w:r>
          </w:p>
        </w:tc>
        <w:tc>
          <w:tcPr>
            <w:tcW w:w="536" w:type="pct"/>
            <w:vAlign w:val="center"/>
          </w:tcPr>
          <w:p w14:paraId="043D32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AB7DD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1.22</w:t>
            </w:r>
          </w:p>
        </w:tc>
        <w:tc>
          <w:tcPr>
            <w:tcW w:w="633" w:type="pct"/>
            <w:vAlign w:val="center"/>
          </w:tcPr>
          <w:p w14:paraId="3AC2BB1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48" w:type="pct"/>
            <w:vAlign w:val="center"/>
          </w:tcPr>
          <w:p w14:paraId="5B90E9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281.07</w:t>
            </w:r>
          </w:p>
        </w:tc>
        <w:tc>
          <w:tcPr>
            <w:tcW w:w="579" w:type="pct"/>
            <w:vAlign w:val="center"/>
          </w:tcPr>
          <w:p w14:paraId="614892C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834937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14.05</w:t>
            </w:r>
          </w:p>
        </w:tc>
      </w:tr>
      <w:tr w14:paraId="7E695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9C5889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沾泽村</w:t>
            </w:r>
          </w:p>
        </w:tc>
        <w:tc>
          <w:tcPr>
            <w:tcW w:w="688" w:type="pct"/>
            <w:vAlign w:val="center"/>
          </w:tcPr>
          <w:p w14:paraId="1A15D13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35" w:type="pct"/>
            <w:vAlign w:val="center"/>
          </w:tcPr>
          <w:p w14:paraId="5208D6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0.66</w:t>
            </w:r>
          </w:p>
        </w:tc>
        <w:tc>
          <w:tcPr>
            <w:tcW w:w="536" w:type="pct"/>
            <w:vAlign w:val="center"/>
          </w:tcPr>
          <w:p w14:paraId="3818941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1F6B9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0.66</w:t>
            </w:r>
          </w:p>
        </w:tc>
        <w:tc>
          <w:tcPr>
            <w:tcW w:w="633" w:type="pct"/>
            <w:vAlign w:val="center"/>
          </w:tcPr>
          <w:p w14:paraId="1143FB0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2022/08/14 01:00</w:t>
            </w:r>
          </w:p>
        </w:tc>
        <w:tc>
          <w:tcPr>
            <w:tcW w:w="548" w:type="pct"/>
            <w:vAlign w:val="center"/>
          </w:tcPr>
          <w:p w14:paraId="7802A6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276.84</w:t>
            </w:r>
          </w:p>
        </w:tc>
        <w:tc>
          <w:tcPr>
            <w:tcW w:w="579" w:type="pct"/>
            <w:vAlign w:val="center"/>
          </w:tcPr>
          <w:p w14:paraId="18BDE7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486C50E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13.84</w:t>
            </w:r>
          </w:p>
        </w:tc>
      </w:tr>
      <w:tr w14:paraId="2A62F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809AD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南曹村</w:t>
            </w:r>
          </w:p>
        </w:tc>
        <w:tc>
          <w:tcPr>
            <w:tcW w:w="688" w:type="pct"/>
            <w:vAlign w:val="center"/>
          </w:tcPr>
          <w:p w14:paraId="7FC039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35" w:type="pct"/>
            <w:vAlign w:val="center"/>
          </w:tcPr>
          <w:p w14:paraId="0C6A4A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1.04</w:t>
            </w:r>
          </w:p>
        </w:tc>
        <w:tc>
          <w:tcPr>
            <w:tcW w:w="536" w:type="pct"/>
            <w:vAlign w:val="center"/>
          </w:tcPr>
          <w:p w14:paraId="64A6AB4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906DB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1.04</w:t>
            </w:r>
          </w:p>
        </w:tc>
        <w:tc>
          <w:tcPr>
            <w:tcW w:w="633" w:type="pct"/>
            <w:vAlign w:val="center"/>
          </w:tcPr>
          <w:p w14:paraId="471DBE3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07:00</w:t>
            </w:r>
          </w:p>
        </w:tc>
        <w:tc>
          <w:tcPr>
            <w:tcW w:w="548" w:type="pct"/>
            <w:vAlign w:val="center"/>
          </w:tcPr>
          <w:p w14:paraId="5B1826D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303.84</w:t>
            </w:r>
          </w:p>
        </w:tc>
        <w:tc>
          <w:tcPr>
            <w:tcW w:w="579" w:type="pct"/>
            <w:vAlign w:val="center"/>
          </w:tcPr>
          <w:p w14:paraId="4896E9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08A080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15.19</w:t>
            </w:r>
          </w:p>
        </w:tc>
      </w:tr>
      <w:tr w14:paraId="366B6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B2C54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东江水厂</w:t>
            </w:r>
          </w:p>
        </w:tc>
        <w:tc>
          <w:tcPr>
            <w:tcW w:w="688" w:type="pct"/>
            <w:vAlign w:val="center"/>
          </w:tcPr>
          <w:p w14:paraId="0F47308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2022/07/13 06:00</w:t>
            </w:r>
          </w:p>
        </w:tc>
        <w:tc>
          <w:tcPr>
            <w:tcW w:w="535" w:type="pct"/>
            <w:vAlign w:val="center"/>
          </w:tcPr>
          <w:p w14:paraId="391C74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1.27</w:t>
            </w:r>
          </w:p>
        </w:tc>
        <w:tc>
          <w:tcPr>
            <w:tcW w:w="536" w:type="pct"/>
            <w:vAlign w:val="center"/>
          </w:tcPr>
          <w:p w14:paraId="139D9AA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042B0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1.27</w:t>
            </w:r>
          </w:p>
        </w:tc>
        <w:tc>
          <w:tcPr>
            <w:tcW w:w="633" w:type="pct"/>
            <w:vAlign w:val="center"/>
          </w:tcPr>
          <w:p w14:paraId="3976B1B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48" w:type="pct"/>
            <w:vAlign w:val="center"/>
          </w:tcPr>
          <w:p w14:paraId="198D9AB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316.62</w:t>
            </w:r>
          </w:p>
        </w:tc>
        <w:tc>
          <w:tcPr>
            <w:tcW w:w="579" w:type="pct"/>
            <w:vAlign w:val="center"/>
          </w:tcPr>
          <w:p w14:paraId="68745BE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52F5AF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15.83</w:t>
            </w:r>
          </w:p>
        </w:tc>
      </w:tr>
      <w:tr w14:paraId="5A322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10BB0A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东沃村</w:t>
            </w:r>
          </w:p>
        </w:tc>
        <w:tc>
          <w:tcPr>
            <w:tcW w:w="688" w:type="pct"/>
            <w:vAlign w:val="center"/>
          </w:tcPr>
          <w:p w14:paraId="488538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2022/03/15 00:00</w:t>
            </w:r>
          </w:p>
        </w:tc>
        <w:tc>
          <w:tcPr>
            <w:tcW w:w="535" w:type="pct"/>
            <w:vAlign w:val="center"/>
          </w:tcPr>
          <w:p w14:paraId="39C46A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2.37</w:t>
            </w:r>
          </w:p>
        </w:tc>
        <w:tc>
          <w:tcPr>
            <w:tcW w:w="536" w:type="pct"/>
            <w:vAlign w:val="center"/>
          </w:tcPr>
          <w:p w14:paraId="3F29E1D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4C9D65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2.37</w:t>
            </w:r>
          </w:p>
        </w:tc>
        <w:tc>
          <w:tcPr>
            <w:tcW w:w="633" w:type="pct"/>
            <w:vAlign w:val="center"/>
          </w:tcPr>
          <w:p w14:paraId="0E317EC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22:00</w:t>
            </w:r>
          </w:p>
        </w:tc>
        <w:tc>
          <w:tcPr>
            <w:tcW w:w="548" w:type="pct"/>
            <w:vAlign w:val="center"/>
          </w:tcPr>
          <w:p w14:paraId="1BD9A6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310.56</w:t>
            </w:r>
          </w:p>
        </w:tc>
        <w:tc>
          <w:tcPr>
            <w:tcW w:w="579" w:type="pct"/>
            <w:vAlign w:val="center"/>
          </w:tcPr>
          <w:p w14:paraId="07C45A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12CCE9C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15.53</w:t>
            </w:r>
          </w:p>
        </w:tc>
      </w:tr>
      <w:tr w14:paraId="1847A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06D2D2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潘厝村</w:t>
            </w:r>
          </w:p>
        </w:tc>
        <w:tc>
          <w:tcPr>
            <w:tcW w:w="688" w:type="pct"/>
            <w:vAlign w:val="center"/>
          </w:tcPr>
          <w:p w14:paraId="076AB4A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23A0F89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1.07</w:t>
            </w:r>
          </w:p>
        </w:tc>
        <w:tc>
          <w:tcPr>
            <w:tcW w:w="536" w:type="pct"/>
            <w:vAlign w:val="center"/>
          </w:tcPr>
          <w:p w14:paraId="716E23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9644D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1.07</w:t>
            </w:r>
          </w:p>
        </w:tc>
        <w:tc>
          <w:tcPr>
            <w:tcW w:w="633" w:type="pct"/>
            <w:vAlign w:val="center"/>
          </w:tcPr>
          <w:p w14:paraId="0805C4B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2022/08/19 05:00</w:t>
            </w:r>
          </w:p>
        </w:tc>
        <w:tc>
          <w:tcPr>
            <w:tcW w:w="548" w:type="pct"/>
            <w:vAlign w:val="center"/>
          </w:tcPr>
          <w:p w14:paraId="6059520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279.02</w:t>
            </w:r>
          </w:p>
        </w:tc>
        <w:tc>
          <w:tcPr>
            <w:tcW w:w="579" w:type="pct"/>
            <w:vAlign w:val="center"/>
          </w:tcPr>
          <w:p w14:paraId="5DAD19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54A9FC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13.95</w:t>
            </w:r>
          </w:p>
        </w:tc>
      </w:tr>
      <w:tr w14:paraId="6DB5D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DD38F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何厝村</w:t>
            </w:r>
          </w:p>
        </w:tc>
        <w:tc>
          <w:tcPr>
            <w:tcW w:w="688" w:type="pct"/>
            <w:vAlign w:val="center"/>
          </w:tcPr>
          <w:p w14:paraId="34DFDA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05:00</w:t>
            </w:r>
          </w:p>
        </w:tc>
        <w:tc>
          <w:tcPr>
            <w:tcW w:w="535" w:type="pct"/>
            <w:vAlign w:val="center"/>
          </w:tcPr>
          <w:p w14:paraId="0AD096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1.05</w:t>
            </w:r>
          </w:p>
        </w:tc>
        <w:tc>
          <w:tcPr>
            <w:tcW w:w="536" w:type="pct"/>
            <w:vAlign w:val="center"/>
          </w:tcPr>
          <w:p w14:paraId="7F3B39B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E2335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1.05</w:t>
            </w:r>
          </w:p>
        </w:tc>
        <w:tc>
          <w:tcPr>
            <w:tcW w:w="633" w:type="pct"/>
            <w:vAlign w:val="center"/>
          </w:tcPr>
          <w:p w14:paraId="47D94B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2022/07/14 19:00</w:t>
            </w:r>
          </w:p>
        </w:tc>
        <w:tc>
          <w:tcPr>
            <w:tcW w:w="548" w:type="pct"/>
            <w:vAlign w:val="center"/>
          </w:tcPr>
          <w:p w14:paraId="763504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289.27</w:t>
            </w:r>
          </w:p>
        </w:tc>
        <w:tc>
          <w:tcPr>
            <w:tcW w:w="579" w:type="pct"/>
            <w:vAlign w:val="center"/>
          </w:tcPr>
          <w:p w14:paraId="6B098B6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835A9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14.46</w:t>
            </w:r>
          </w:p>
        </w:tc>
      </w:tr>
      <w:tr w14:paraId="602C3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62CB6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田头村</w:t>
            </w:r>
          </w:p>
        </w:tc>
        <w:tc>
          <w:tcPr>
            <w:tcW w:w="688" w:type="pct"/>
            <w:vAlign w:val="center"/>
          </w:tcPr>
          <w:p w14:paraId="3021ABA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35" w:type="pct"/>
            <w:vAlign w:val="center"/>
          </w:tcPr>
          <w:p w14:paraId="16C2BD9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0.27</w:t>
            </w:r>
          </w:p>
        </w:tc>
        <w:tc>
          <w:tcPr>
            <w:tcW w:w="536" w:type="pct"/>
            <w:vAlign w:val="center"/>
          </w:tcPr>
          <w:p w14:paraId="47EF61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584242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0.27</w:t>
            </w:r>
          </w:p>
        </w:tc>
        <w:tc>
          <w:tcPr>
            <w:tcW w:w="633" w:type="pct"/>
            <w:vAlign w:val="center"/>
          </w:tcPr>
          <w:p w14:paraId="796C16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2022/08/05 21:00</w:t>
            </w:r>
          </w:p>
        </w:tc>
        <w:tc>
          <w:tcPr>
            <w:tcW w:w="548" w:type="pct"/>
            <w:vAlign w:val="center"/>
          </w:tcPr>
          <w:p w14:paraId="42AFE11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279.78</w:t>
            </w:r>
          </w:p>
        </w:tc>
        <w:tc>
          <w:tcPr>
            <w:tcW w:w="579" w:type="pct"/>
            <w:vAlign w:val="center"/>
          </w:tcPr>
          <w:p w14:paraId="705BFA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13AFF3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13.99</w:t>
            </w:r>
          </w:p>
        </w:tc>
      </w:tr>
      <w:tr w14:paraId="65568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71470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下堡村</w:t>
            </w:r>
          </w:p>
        </w:tc>
        <w:tc>
          <w:tcPr>
            <w:tcW w:w="688" w:type="pct"/>
            <w:vAlign w:val="center"/>
          </w:tcPr>
          <w:p w14:paraId="40BF0F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7CD36B1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536" w:type="pct"/>
            <w:vAlign w:val="center"/>
          </w:tcPr>
          <w:p w14:paraId="55BF2E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274A2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633" w:type="pct"/>
            <w:vAlign w:val="center"/>
          </w:tcPr>
          <w:p w14:paraId="6F8A21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2022/08/14 19:00</w:t>
            </w:r>
          </w:p>
        </w:tc>
        <w:tc>
          <w:tcPr>
            <w:tcW w:w="548" w:type="pct"/>
            <w:vAlign w:val="center"/>
          </w:tcPr>
          <w:p w14:paraId="212A62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316.74</w:t>
            </w:r>
          </w:p>
        </w:tc>
        <w:tc>
          <w:tcPr>
            <w:tcW w:w="579" w:type="pct"/>
            <w:vAlign w:val="center"/>
          </w:tcPr>
          <w:p w14:paraId="72138E0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733C24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15.84</w:t>
            </w:r>
          </w:p>
        </w:tc>
      </w:tr>
      <w:tr w14:paraId="3F2E0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32E31E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下石村</w:t>
            </w:r>
          </w:p>
        </w:tc>
        <w:tc>
          <w:tcPr>
            <w:tcW w:w="688" w:type="pct"/>
            <w:vAlign w:val="center"/>
          </w:tcPr>
          <w:p w14:paraId="5E3E3B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148E8D8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1.03</w:t>
            </w:r>
          </w:p>
        </w:tc>
        <w:tc>
          <w:tcPr>
            <w:tcW w:w="536" w:type="pct"/>
            <w:vAlign w:val="center"/>
          </w:tcPr>
          <w:p w14:paraId="3BD758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F6AB05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1.03</w:t>
            </w:r>
          </w:p>
        </w:tc>
        <w:tc>
          <w:tcPr>
            <w:tcW w:w="633" w:type="pct"/>
            <w:vAlign w:val="center"/>
          </w:tcPr>
          <w:p w14:paraId="4AFAE56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48" w:type="pct"/>
            <w:vAlign w:val="center"/>
          </w:tcPr>
          <w:p w14:paraId="163F48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346.06</w:t>
            </w:r>
          </w:p>
        </w:tc>
        <w:tc>
          <w:tcPr>
            <w:tcW w:w="579" w:type="pct"/>
            <w:vAlign w:val="center"/>
          </w:tcPr>
          <w:p w14:paraId="14DE9C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B3018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17.30</w:t>
            </w:r>
          </w:p>
        </w:tc>
      </w:tr>
      <w:tr w14:paraId="2ACC8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42E1BC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江阴镇</w:t>
            </w:r>
          </w:p>
        </w:tc>
        <w:tc>
          <w:tcPr>
            <w:tcW w:w="688" w:type="pct"/>
            <w:vAlign w:val="center"/>
          </w:tcPr>
          <w:p w14:paraId="57ECA3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04:00</w:t>
            </w:r>
          </w:p>
        </w:tc>
        <w:tc>
          <w:tcPr>
            <w:tcW w:w="535" w:type="pct"/>
            <w:vAlign w:val="center"/>
          </w:tcPr>
          <w:p w14:paraId="2C4FB3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0.28</w:t>
            </w:r>
          </w:p>
        </w:tc>
        <w:tc>
          <w:tcPr>
            <w:tcW w:w="536" w:type="pct"/>
            <w:vAlign w:val="center"/>
          </w:tcPr>
          <w:p w14:paraId="08951B6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B49B0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0.28</w:t>
            </w:r>
          </w:p>
        </w:tc>
        <w:tc>
          <w:tcPr>
            <w:tcW w:w="633" w:type="pct"/>
            <w:vAlign w:val="center"/>
          </w:tcPr>
          <w:p w14:paraId="3516A61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2022/08/14 20:00</w:t>
            </w:r>
          </w:p>
        </w:tc>
        <w:tc>
          <w:tcPr>
            <w:tcW w:w="548" w:type="pct"/>
            <w:vAlign w:val="center"/>
          </w:tcPr>
          <w:p w14:paraId="40EE4FD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284.17</w:t>
            </w:r>
          </w:p>
        </w:tc>
        <w:tc>
          <w:tcPr>
            <w:tcW w:w="579" w:type="pct"/>
            <w:vAlign w:val="center"/>
          </w:tcPr>
          <w:p w14:paraId="117AC2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2D7634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14.21</w:t>
            </w:r>
          </w:p>
        </w:tc>
      </w:tr>
      <w:tr w14:paraId="249E4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327C17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后林</w:t>
            </w:r>
          </w:p>
        </w:tc>
        <w:tc>
          <w:tcPr>
            <w:tcW w:w="688" w:type="pct"/>
            <w:vAlign w:val="center"/>
          </w:tcPr>
          <w:p w14:paraId="27362A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63FA1DE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1.55</w:t>
            </w:r>
          </w:p>
        </w:tc>
        <w:tc>
          <w:tcPr>
            <w:tcW w:w="536" w:type="pct"/>
            <w:vAlign w:val="center"/>
          </w:tcPr>
          <w:p w14:paraId="0D5A44C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B0DEEB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1.55</w:t>
            </w:r>
          </w:p>
        </w:tc>
        <w:tc>
          <w:tcPr>
            <w:tcW w:w="633" w:type="pct"/>
            <w:vAlign w:val="center"/>
          </w:tcPr>
          <w:p w14:paraId="408BF3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48" w:type="pct"/>
            <w:vAlign w:val="center"/>
          </w:tcPr>
          <w:p w14:paraId="541947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295.71</w:t>
            </w:r>
          </w:p>
        </w:tc>
        <w:tc>
          <w:tcPr>
            <w:tcW w:w="579" w:type="pct"/>
            <w:vAlign w:val="center"/>
          </w:tcPr>
          <w:p w14:paraId="68D8DE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2CE6FA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14.79</w:t>
            </w:r>
          </w:p>
        </w:tc>
      </w:tr>
      <w:tr w14:paraId="4E607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727717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岭兜</w:t>
            </w:r>
          </w:p>
        </w:tc>
        <w:tc>
          <w:tcPr>
            <w:tcW w:w="688" w:type="pct"/>
            <w:vAlign w:val="center"/>
          </w:tcPr>
          <w:p w14:paraId="6F39FE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00:00</w:t>
            </w:r>
          </w:p>
        </w:tc>
        <w:tc>
          <w:tcPr>
            <w:tcW w:w="535" w:type="pct"/>
            <w:vAlign w:val="center"/>
          </w:tcPr>
          <w:p w14:paraId="1EF323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0.67</w:t>
            </w:r>
          </w:p>
        </w:tc>
        <w:tc>
          <w:tcPr>
            <w:tcW w:w="536" w:type="pct"/>
            <w:vAlign w:val="center"/>
          </w:tcPr>
          <w:p w14:paraId="709572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048613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0.67</w:t>
            </w:r>
          </w:p>
        </w:tc>
        <w:tc>
          <w:tcPr>
            <w:tcW w:w="633" w:type="pct"/>
            <w:vAlign w:val="center"/>
          </w:tcPr>
          <w:p w14:paraId="63C62C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2022/11/26 06:00</w:t>
            </w:r>
          </w:p>
        </w:tc>
        <w:tc>
          <w:tcPr>
            <w:tcW w:w="548" w:type="pct"/>
            <w:vAlign w:val="center"/>
          </w:tcPr>
          <w:p w14:paraId="44B792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290.49</w:t>
            </w:r>
          </w:p>
        </w:tc>
        <w:tc>
          <w:tcPr>
            <w:tcW w:w="579" w:type="pct"/>
            <w:vAlign w:val="center"/>
          </w:tcPr>
          <w:p w14:paraId="518621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21D047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14.52</w:t>
            </w:r>
          </w:p>
        </w:tc>
      </w:tr>
      <w:tr w14:paraId="2DD50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7BA93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布厝</w:t>
            </w:r>
          </w:p>
        </w:tc>
        <w:tc>
          <w:tcPr>
            <w:tcW w:w="688" w:type="pct"/>
            <w:vAlign w:val="center"/>
          </w:tcPr>
          <w:p w14:paraId="31169E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4BCE958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1.06</w:t>
            </w:r>
          </w:p>
        </w:tc>
        <w:tc>
          <w:tcPr>
            <w:tcW w:w="536" w:type="pct"/>
            <w:vAlign w:val="center"/>
          </w:tcPr>
          <w:p w14:paraId="4F4BC00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813824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1.06</w:t>
            </w:r>
          </w:p>
        </w:tc>
        <w:tc>
          <w:tcPr>
            <w:tcW w:w="633" w:type="pct"/>
            <w:vAlign w:val="center"/>
          </w:tcPr>
          <w:p w14:paraId="0F7A73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21:00</w:t>
            </w:r>
          </w:p>
        </w:tc>
        <w:tc>
          <w:tcPr>
            <w:tcW w:w="548" w:type="pct"/>
            <w:vAlign w:val="center"/>
          </w:tcPr>
          <w:p w14:paraId="67B58E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295.30</w:t>
            </w:r>
          </w:p>
        </w:tc>
        <w:tc>
          <w:tcPr>
            <w:tcW w:w="579" w:type="pct"/>
            <w:vAlign w:val="center"/>
          </w:tcPr>
          <w:p w14:paraId="3B388EA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3C4BEB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14.77</w:t>
            </w:r>
          </w:p>
        </w:tc>
      </w:tr>
      <w:tr w14:paraId="1347D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0A5ED2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西兰</w:t>
            </w:r>
          </w:p>
        </w:tc>
        <w:tc>
          <w:tcPr>
            <w:tcW w:w="688" w:type="pct"/>
            <w:vAlign w:val="center"/>
          </w:tcPr>
          <w:p w14:paraId="58879AC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02:00</w:t>
            </w:r>
          </w:p>
        </w:tc>
        <w:tc>
          <w:tcPr>
            <w:tcW w:w="535" w:type="pct"/>
            <w:vAlign w:val="center"/>
          </w:tcPr>
          <w:p w14:paraId="6548B0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c>
          <w:tcPr>
            <w:tcW w:w="536" w:type="pct"/>
            <w:vAlign w:val="center"/>
          </w:tcPr>
          <w:p w14:paraId="30AF09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61A00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c>
          <w:tcPr>
            <w:tcW w:w="633" w:type="pct"/>
            <w:vAlign w:val="center"/>
          </w:tcPr>
          <w:p w14:paraId="6E810FB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48" w:type="pct"/>
            <w:vAlign w:val="center"/>
          </w:tcPr>
          <w:p w14:paraId="68440E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296.62</w:t>
            </w:r>
          </w:p>
        </w:tc>
        <w:tc>
          <w:tcPr>
            <w:tcW w:w="579" w:type="pct"/>
            <w:vAlign w:val="center"/>
          </w:tcPr>
          <w:p w14:paraId="15DE18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4502F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14.83</w:t>
            </w:r>
          </w:p>
        </w:tc>
      </w:tr>
      <w:tr w14:paraId="054DD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735E2E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沙塘</w:t>
            </w:r>
          </w:p>
        </w:tc>
        <w:tc>
          <w:tcPr>
            <w:tcW w:w="688" w:type="pct"/>
            <w:vAlign w:val="center"/>
          </w:tcPr>
          <w:p w14:paraId="794E3B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35" w:type="pct"/>
            <w:vAlign w:val="center"/>
          </w:tcPr>
          <w:p w14:paraId="494B262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0.96</w:t>
            </w:r>
          </w:p>
        </w:tc>
        <w:tc>
          <w:tcPr>
            <w:tcW w:w="536" w:type="pct"/>
            <w:vAlign w:val="center"/>
          </w:tcPr>
          <w:p w14:paraId="6302B64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A187A8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0.96</w:t>
            </w:r>
          </w:p>
        </w:tc>
        <w:tc>
          <w:tcPr>
            <w:tcW w:w="633" w:type="pct"/>
            <w:vAlign w:val="center"/>
          </w:tcPr>
          <w:p w14:paraId="182206C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48" w:type="pct"/>
            <w:vAlign w:val="center"/>
          </w:tcPr>
          <w:p w14:paraId="6C6AE9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312.52</w:t>
            </w:r>
          </w:p>
        </w:tc>
        <w:tc>
          <w:tcPr>
            <w:tcW w:w="579" w:type="pct"/>
            <w:vAlign w:val="center"/>
          </w:tcPr>
          <w:p w14:paraId="5C9AC0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7E5C8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15.63</w:t>
            </w:r>
          </w:p>
        </w:tc>
      </w:tr>
      <w:tr w14:paraId="0B411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684BDF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张厝</w:t>
            </w:r>
          </w:p>
        </w:tc>
        <w:tc>
          <w:tcPr>
            <w:tcW w:w="688" w:type="pct"/>
            <w:vAlign w:val="center"/>
          </w:tcPr>
          <w:p w14:paraId="7D77C0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35" w:type="pct"/>
            <w:vAlign w:val="center"/>
          </w:tcPr>
          <w:p w14:paraId="762D960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536" w:type="pct"/>
            <w:vAlign w:val="center"/>
          </w:tcPr>
          <w:p w14:paraId="4DE06A1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554054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633" w:type="pct"/>
            <w:vAlign w:val="center"/>
          </w:tcPr>
          <w:p w14:paraId="735C0CD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19:00</w:t>
            </w:r>
          </w:p>
        </w:tc>
        <w:tc>
          <w:tcPr>
            <w:tcW w:w="548" w:type="pct"/>
            <w:vAlign w:val="center"/>
          </w:tcPr>
          <w:p w14:paraId="2D66C62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362.10</w:t>
            </w:r>
          </w:p>
        </w:tc>
        <w:tc>
          <w:tcPr>
            <w:tcW w:w="579" w:type="pct"/>
            <w:vAlign w:val="center"/>
          </w:tcPr>
          <w:p w14:paraId="5ACD1C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9CCA77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18.10</w:t>
            </w:r>
          </w:p>
        </w:tc>
      </w:tr>
      <w:tr w14:paraId="5D2B3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C449CA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钱塘</w:t>
            </w:r>
          </w:p>
        </w:tc>
        <w:tc>
          <w:tcPr>
            <w:tcW w:w="688" w:type="pct"/>
            <w:vAlign w:val="center"/>
          </w:tcPr>
          <w:p w14:paraId="4F39F59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22:00</w:t>
            </w:r>
          </w:p>
        </w:tc>
        <w:tc>
          <w:tcPr>
            <w:tcW w:w="535" w:type="pct"/>
            <w:vAlign w:val="center"/>
          </w:tcPr>
          <w:p w14:paraId="7D8FED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536" w:type="pct"/>
            <w:vAlign w:val="center"/>
          </w:tcPr>
          <w:p w14:paraId="1591C92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4DE91D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c>
          <w:tcPr>
            <w:tcW w:w="633" w:type="pct"/>
            <w:vAlign w:val="center"/>
          </w:tcPr>
          <w:p w14:paraId="398DD98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2022/06/01 03:00</w:t>
            </w:r>
          </w:p>
        </w:tc>
        <w:tc>
          <w:tcPr>
            <w:tcW w:w="548" w:type="pct"/>
            <w:vAlign w:val="center"/>
          </w:tcPr>
          <w:p w14:paraId="11DF8D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318.00</w:t>
            </w:r>
          </w:p>
        </w:tc>
        <w:tc>
          <w:tcPr>
            <w:tcW w:w="579" w:type="pct"/>
            <w:vAlign w:val="center"/>
          </w:tcPr>
          <w:p w14:paraId="484AFA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7F683E4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15.90</w:t>
            </w:r>
          </w:p>
        </w:tc>
      </w:tr>
      <w:tr w14:paraId="6D663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E1A3AF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2F55847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7EC724B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0.76</w:t>
            </w:r>
          </w:p>
        </w:tc>
        <w:tc>
          <w:tcPr>
            <w:tcW w:w="536" w:type="pct"/>
            <w:vAlign w:val="center"/>
          </w:tcPr>
          <w:p w14:paraId="38D9554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04A87C5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0.76</w:t>
            </w:r>
          </w:p>
        </w:tc>
        <w:tc>
          <w:tcPr>
            <w:tcW w:w="633" w:type="pct"/>
            <w:vAlign w:val="center"/>
          </w:tcPr>
          <w:p w14:paraId="4EB745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48" w:type="pct"/>
            <w:vAlign w:val="center"/>
          </w:tcPr>
          <w:p w14:paraId="67E246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283.28</w:t>
            </w:r>
          </w:p>
        </w:tc>
        <w:tc>
          <w:tcPr>
            <w:tcW w:w="579" w:type="pct"/>
            <w:vAlign w:val="center"/>
          </w:tcPr>
          <w:p w14:paraId="6EAE80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78110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14.16</w:t>
            </w:r>
          </w:p>
        </w:tc>
      </w:tr>
      <w:tr w14:paraId="76ABB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6A2F37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垄北</w:t>
            </w:r>
          </w:p>
        </w:tc>
        <w:tc>
          <w:tcPr>
            <w:tcW w:w="688" w:type="pct"/>
            <w:vAlign w:val="center"/>
          </w:tcPr>
          <w:p w14:paraId="346364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19:00</w:t>
            </w:r>
          </w:p>
        </w:tc>
        <w:tc>
          <w:tcPr>
            <w:tcW w:w="535" w:type="pct"/>
            <w:vAlign w:val="center"/>
          </w:tcPr>
          <w:p w14:paraId="642522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0.91</w:t>
            </w:r>
          </w:p>
        </w:tc>
        <w:tc>
          <w:tcPr>
            <w:tcW w:w="536" w:type="pct"/>
            <w:vAlign w:val="center"/>
          </w:tcPr>
          <w:p w14:paraId="7FB5392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65FC60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0.91</w:t>
            </w:r>
          </w:p>
        </w:tc>
        <w:tc>
          <w:tcPr>
            <w:tcW w:w="633" w:type="pct"/>
            <w:vAlign w:val="center"/>
          </w:tcPr>
          <w:p w14:paraId="033D8B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48" w:type="pct"/>
            <w:vAlign w:val="center"/>
          </w:tcPr>
          <w:p w14:paraId="6B1DC93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286.43</w:t>
            </w:r>
          </w:p>
        </w:tc>
        <w:tc>
          <w:tcPr>
            <w:tcW w:w="579" w:type="pct"/>
            <w:vAlign w:val="center"/>
          </w:tcPr>
          <w:p w14:paraId="70BC949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0D9DB81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14.32</w:t>
            </w:r>
          </w:p>
        </w:tc>
      </w:tr>
      <w:tr w14:paraId="54BDB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FB276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赤厝村</w:t>
            </w:r>
          </w:p>
        </w:tc>
        <w:tc>
          <w:tcPr>
            <w:tcW w:w="688" w:type="pct"/>
            <w:vAlign w:val="center"/>
          </w:tcPr>
          <w:p w14:paraId="4522779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06:00</w:t>
            </w:r>
          </w:p>
        </w:tc>
        <w:tc>
          <w:tcPr>
            <w:tcW w:w="535" w:type="pct"/>
            <w:vAlign w:val="center"/>
          </w:tcPr>
          <w:p w14:paraId="56530DB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0.23</w:t>
            </w:r>
          </w:p>
        </w:tc>
        <w:tc>
          <w:tcPr>
            <w:tcW w:w="536" w:type="pct"/>
            <w:vAlign w:val="center"/>
          </w:tcPr>
          <w:p w14:paraId="4B42C76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BE7A52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0.23</w:t>
            </w:r>
          </w:p>
        </w:tc>
        <w:tc>
          <w:tcPr>
            <w:tcW w:w="633" w:type="pct"/>
            <w:vAlign w:val="center"/>
          </w:tcPr>
          <w:p w14:paraId="60B7F65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2022/07/04 00:00</w:t>
            </w:r>
          </w:p>
        </w:tc>
        <w:tc>
          <w:tcPr>
            <w:tcW w:w="548" w:type="pct"/>
            <w:vAlign w:val="center"/>
          </w:tcPr>
          <w:p w14:paraId="0C71C5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301.46</w:t>
            </w:r>
          </w:p>
        </w:tc>
        <w:tc>
          <w:tcPr>
            <w:tcW w:w="579" w:type="pct"/>
            <w:vAlign w:val="center"/>
          </w:tcPr>
          <w:p w14:paraId="03B5F9D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773F5C1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15.07</w:t>
            </w:r>
          </w:p>
        </w:tc>
      </w:tr>
      <w:tr w14:paraId="6F7E1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CA1F5E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门口村</w:t>
            </w:r>
          </w:p>
        </w:tc>
        <w:tc>
          <w:tcPr>
            <w:tcW w:w="688" w:type="pct"/>
            <w:vAlign w:val="center"/>
          </w:tcPr>
          <w:p w14:paraId="3C631F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41ABB6F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536" w:type="pct"/>
            <w:vAlign w:val="center"/>
          </w:tcPr>
          <w:p w14:paraId="739678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E8924A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633" w:type="pct"/>
            <w:vAlign w:val="center"/>
          </w:tcPr>
          <w:p w14:paraId="1E50EE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2022/06/18 20:00</w:t>
            </w:r>
          </w:p>
        </w:tc>
        <w:tc>
          <w:tcPr>
            <w:tcW w:w="548" w:type="pct"/>
            <w:vAlign w:val="center"/>
          </w:tcPr>
          <w:p w14:paraId="21D9418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276.16</w:t>
            </w:r>
          </w:p>
        </w:tc>
        <w:tc>
          <w:tcPr>
            <w:tcW w:w="579" w:type="pct"/>
            <w:vAlign w:val="center"/>
          </w:tcPr>
          <w:p w14:paraId="26B444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6CA4207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13.81</w:t>
            </w:r>
          </w:p>
        </w:tc>
      </w:tr>
      <w:tr w14:paraId="19145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285809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66A3CF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355061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0.74</w:t>
            </w:r>
          </w:p>
        </w:tc>
        <w:tc>
          <w:tcPr>
            <w:tcW w:w="536" w:type="pct"/>
            <w:vAlign w:val="center"/>
          </w:tcPr>
          <w:p w14:paraId="67BBDE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D55B0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0.74</w:t>
            </w:r>
          </w:p>
        </w:tc>
        <w:tc>
          <w:tcPr>
            <w:tcW w:w="633" w:type="pct"/>
            <w:vAlign w:val="center"/>
          </w:tcPr>
          <w:p w14:paraId="4B527A7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48" w:type="pct"/>
            <w:vAlign w:val="center"/>
          </w:tcPr>
          <w:p w14:paraId="3631F67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279.72</w:t>
            </w:r>
          </w:p>
        </w:tc>
        <w:tc>
          <w:tcPr>
            <w:tcW w:w="579" w:type="pct"/>
            <w:vAlign w:val="center"/>
          </w:tcPr>
          <w:p w14:paraId="35C8D9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755355E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13.99</w:t>
            </w:r>
          </w:p>
        </w:tc>
      </w:tr>
      <w:tr w14:paraId="39D7B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CA7A1E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岭口村</w:t>
            </w:r>
          </w:p>
        </w:tc>
        <w:tc>
          <w:tcPr>
            <w:tcW w:w="688" w:type="pct"/>
            <w:vAlign w:val="center"/>
          </w:tcPr>
          <w:p w14:paraId="05FBF92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07:00</w:t>
            </w:r>
          </w:p>
        </w:tc>
        <w:tc>
          <w:tcPr>
            <w:tcW w:w="535" w:type="pct"/>
            <w:vAlign w:val="center"/>
          </w:tcPr>
          <w:p w14:paraId="2E9166B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c>
          <w:tcPr>
            <w:tcW w:w="536" w:type="pct"/>
            <w:vAlign w:val="center"/>
          </w:tcPr>
          <w:p w14:paraId="1B1F554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C16440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c>
          <w:tcPr>
            <w:tcW w:w="633" w:type="pct"/>
            <w:vAlign w:val="center"/>
          </w:tcPr>
          <w:p w14:paraId="1D3BA65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07:00</w:t>
            </w:r>
          </w:p>
        </w:tc>
        <w:tc>
          <w:tcPr>
            <w:tcW w:w="548" w:type="pct"/>
            <w:vAlign w:val="center"/>
          </w:tcPr>
          <w:p w14:paraId="146938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270.65</w:t>
            </w:r>
          </w:p>
        </w:tc>
        <w:tc>
          <w:tcPr>
            <w:tcW w:w="579" w:type="pct"/>
            <w:vAlign w:val="center"/>
          </w:tcPr>
          <w:p w14:paraId="23A8E7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21D66B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13.53</w:t>
            </w:r>
          </w:p>
        </w:tc>
      </w:tr>
      <w:tr w14:paraId="27D90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699F7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龙门村</w:t>
            </w:r>
          </w:p>
        </w:tc>
        <w:tc>
          <w:tcPr>
            <w:tcW w:w="688" w:type="pct"/>
            <w:vAlign w:val="center"/>
          </w:tcPr>
          <w:p w14:paraId="261704C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5C1E0AE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0.64</w:t>
            </w:r>
          </w:p>
        </w:tc>
        <w:tc>
          <w:tcPr>
            <w:tcW w:w="536" w:type="pct"/>
            <w:vAlign w:val="center"/>
          </w:tcPr>
          <w:p w14:paraId="0794E88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6A96E1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0.64</w:t>
            </w:r>
          </w:p>
        </w:tc>
        <w:tc>
          <w:tcPr>
            <w:tcW w:w="633" w:type="pct"/>
            <w:vAlign w:val="center"/>
          </w:tcPr>
          <w:p w14:paraId="5CF23E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48" w:type="pct"/>
            <w:vAlign w:val="center"/>
          </w:tcPr>
          <w:p w14:paraId="544277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279.22</w:t>
            </w:r>
          </w:p>
        </w:tc>
        <w:tc>
          <w:tcPr>
            <w:tcW w:w="579" w:type="pct"/>
            <w:vAlign w:val="center"/>
          </w:tcPr>
          <w:p w14:paraId="14E2AAA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56B9901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13.96</w:t>
            </w:r>
          </w:p>
        </w:tc>
      </w:tr>
      <w:tr w14:paraId="33EC6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E35DD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后庄村</w:t>
            </w:r>
          </w:p>
        </w:tc>
        <w:tc>
          <w:tcPr>
            <w:tcW w:w="688" w:type="pct"/>
            <w:vAlign w:val="center"/>
          </w:tcPr>
          <w:p w14:paraId="6C93E64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00F5541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1.11</w:t>
            </w:r>
          </w:p>
        </w:tc>
        <w:tc>
          <w:tcPr>
            <w:tcW w:w="536" w:type="pct"/>
            <w:vAlign w:val="center"/>
          </w:tcPr>
          <w:p w14:paraId="5EA694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799C0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1.11</w:t>
            </w:r>
          </w:p>
        </w:tc>
        <w:tc>
          <w:tcPr>
            <w:tcW w:w="633" w:type="pct"/>
            <w:vAlign w:val="center"/>
          </w:tcPr>
          <w:p w14:paraId="2086EA5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2022/05/28 20:00</w:t>
            </w:r>
          </w:p>
        </w:tc>
        <w:tc>
          <w:tcPr>
            <w:tcW w:w="548" w:type="pct"/>
            <w:vAlign w:val="center"/>
          </w:tcPr>
          <w:p w14:paraId="72D8F2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278.33</w:t>
            </w:r>
          </w:p>
        </w:tc>
        <w:tc>
          <w:tcPr>
            <w:tcW w:w="579" w:type="pct"/>
            <w:vAlign w:val="center"/>
          </w:tcPr>
          <w:p w14:paraId="07D581D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24E302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13.92</w:t>
            </w:r>
          </w:p>
        </w:tc>
      </w:tr>
      <w:tr w14:paraId="51D60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96060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北郭村</w:t>
            </w:r>
          </w:p>
        </w:tc>
        <w:tc>
          <w:tcPr>
            <w:tcW w:w="688" w:type="pct"/>
            <w:vAlign w:val="center"/>
          </w:tcPr>
          <w:p w14:paraId="0971AB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68DAD9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0.38</w:t>
            </w:r>
          </w:p>
        </w:tc>
        <w:tc>
          <w:tcPr>
            <w:tcW w:w="536" w:type="pct"/>
            <w:vAlign w:val="center"/>
          </w:tcPr>
          <w:p w14:paraId="2EDDE25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14126A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0.38</w:t>
            </w:r>
          </w:p>
        </w:tc>
        <w:tc>
          <w:tcPr>
            <w:tcW w:w="633" w:type="pct"/>
            <w:vAlign w:val="center"/>
          </w:tcPr>
          <w:p w14:paraId="0B74C8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48" w:type="pct"/>
            <w:vAlign w:val="center"/>
          </w:tcPr>
          <w:p w14:paraId="1A4E354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274.00</w:t>
            </w:r>
          </w:p>
        </w:tc>
        <w:tc>
          <w:tcPr>
            <w:tcW w:w="579" w:type="pct"/>
            <w:vAlign w:val="center"/>
          </w:tcPr>
          <w:p w14:paraId="455D8E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312ACBB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13.70</w:t>
            </w:r>
          </w:p>
        </w:tc>
      </w:tr>
      <w:tr w14:paraId="459FF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BE73D55">
            <w:pPr>
              <w:spacing w:line="240" w:lineRule="auto"/>
              <w:ind w:firstLine="0" w:firstLineChars="0"/>
              <w:jc w:val="center"/>
              <w:rPr>
                <w:rFonts w:hint="eastAsia" w:ascii="宋体" w:cs="宋体"/>
                <w:color w:val="auto"/>
                <w:kern w:val="2"/>
                <w:sz w:val="21"/>
                <w:szCs w:val="21"/>
                <w:highlight w:val="none"/>
                <w:u w:val="none"/>
                <w:lang w:val="en-US" w:bidi="ar"/>
              </w:rPr>
            </w:pPr>
            <w:r>
              <w:rPr>
                <w:rFonts w:hAnsi="Times New Roman"/>
                <w:color w:val="auto"/>
                <w:kern w:val="2"/>
                <w:sz w:val="21"/>
                <w:szCs w:val="21"/>
                <w:highlight w:val="none"/>
                <w:u w:val="none"/>
                <w:lang w:val="en-US"/>
              </w:rPr>
              <w:t>区域最大值</w:t>
            </w:r>
          </w:p>
        </w:tc>
        <w:tc>
          <w:tcPr>
            <w:tcW w:w="688" w:type="pct"/>
            <w:vAlign w:val="center"/>
          </w:tcPr>
          <w:p w14:paraId="1128A9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2022/04/22 15:00</w:t>
            </w:r>
          </w:p>
        </w:tc>
        <w:tc>
          <w:tcPr>
            <w:tcW w:w="535" w:type="pct"/>
            <w:vAlign w:val="center"/>
          </w:tcPr>
          <w:p w14:paraId="5FFA0D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99.76</w:t>
            </w:r>
          </w:p>
        </w:tc>
        <w:tc>
          <w:tcPr>
            <w:tcW w:w="536" w:type="pct"/>
            <w:vAlign w:val="center"/>
          </w:tcPr>
          <w:p w14:paraId="16F512D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2DFAD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 xml:space="preserve">99.76 </w:t>
            </w:r>
          </w:p>
        </w:tc>
        <w:tc>
          <w:tcPr>
            <w:tcW w:w="633" w:type="pct"/>
            <w:vAlign w:val="center"/>
          </w:tcPr>
          <w:p w14:paraId="6A21FF5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2022/06/01 05:00</w:t>
            </w:r>
          </w:p>
        </w:tc>
        <w:tc>
          <w:tcPr>
            <w:tcW w:w="548" w:type="pct"/>
            <w:vAlign w:val="center"/>
          </w:tcPr>
          <w:p w14:paraId="354CF32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279.19</w:t>
            </w:r>
          </w:p>
        </w:tc>
        <w:tc>
          <w:tcPr>
            <w:tcW w:w="579" w:type="pct"/>
            <w:vAlign w:val="center"/>
          </w:tcPr>
          <w:p w14:paraId="641853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2,000.00</w:t>
            </w:r>
          </w:p>
        </w:tc>
        <w:tc>
          <w:tcPr>
            <w:tcW w:w="430" w:type="pct"/>
            <w:vAlign w:val="center"/>
          </w:tcPr>
          <w:p w14:paraId="144211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13.96</w:t>
            </w:r>
          </w:p>
        </w:tc>
      </w:tr>
    </w:tbl>
    <w:p w14:paraId="5197956C">
      <w:pPr>
        <w:pStyle w:val="988"/>
        <w:adjustRightInd w:val="0"/>
        <w:snapToGrid w:val="0"/>
        <w:ind w:firstLine="0" w:firstLineChars="0"/>
        <w:rPr>
          <w:color w:val="auto"/>
          <w:highlight w:val="none"/>
          <w:u w:val="none"/>
        </w:rPr>
      </w:pPr>
    </w:p>
    <w:p w14:paraId="524EB1CF">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28</w:t>
      </w:r>
      <w:r>
        <w:rPr>
          <w:color w:val="auto"/>
          <w:highlight w:val="none"/>
          <w:u w:val="none"/>
        </w:rPr>
        <w:fldChar w:fldCharType="end"/>
      </w:r>
      <w:r>
        <w:rPr>
          <w:color w:val="auto"/>
          <w:highlight w:val="none"/>
          <w:u w:val="none"/>
        </w:rPr>
        <w:t xml:space="preserve">  项目建成后</w:t>
      </w:r>
      <w:r>
        <w:rPr>
          <w:rFonts w:hAnsi="Times New Roman"/>
          <w:b/>
          <w:color w:val="auto"/>
          <w:highlight w:val="none"/>
          <w:u w:val="none"/>
          <w:lang w:val="en-US"/>
        </w:rPr>
        <w:t>ODCB</w:t>
      </w:r>
      <w:r>
        <w:rPr>
          <w:color w:val="auto"/>
          <w:highlight w:val="none"/>
          <w:u w:val="none"/>
        </w:rPr>
        <w:t>和甲苯叠加预测值一览表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477CC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558019B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名称</w:t>
            </w:r>
          </w:p>
        </w:tc>
        <w:tc>
          <w:tcPr>
            <w:tcW w:w="2206" w:type="pct"/>
            <w:gridSpan w:val="4"/>
            <w:vAlign w:val="center"/>
          </w:tcPr>
          <w:p w14:paraId="2E67640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ODCB小时浓度</w:t>
            </w:r>
          </w:p>
        </w:tc>
        <w:tc>
          <w:tcPr>
            <w:tcW w:w="2190" w:type="pct"/>
            <w:gridSpan w:val="4"/>
            <w:vAlign w:val="center"/>
          </w:tcPr>
          <w:p w14:paraId="4F749B7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甲苯小时浓度</w:t>
            </w:r>
          </w:p>
        </w:tc>
      </w:tr>
      <w:tr w14:paraId="5FECB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18B46BBA">
            <w:pPr>
              <w:spacing w:line="240" w:lineRule="auto"/>
              <w:ind w:firstLine="0" w:firstLineChars="0"/>
              <w:jc w:val="center"/>
              <w:rPr>
                <w:rFonts w:hAnsi="Times New Roman"/>
                <w:color w:val="auto"/>
                <w:kern w:val="2"/>
                <w:sz w:val="21"/>
                <w:szCs w:val="21"/>
                <w:highlight w:val="none"/>
                <w:u w:val="none"/>
                <w:lang w:val="en-US"/>
              </w:rPr>
            </w:pPr>
          </w:p>
        </w:tc>
        <w:tc>
          <w:tcPr>
            <w:tcW w:w="688" w:type="pct"/>
            <w:vAlign w:val="center"/>
          </w:tcPr>
          <w:p w14:paraId="5C95717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35" w:type="pct"/>
            <w:vAlign w:val="center"/>
          </w:tcPr>
          <w:p w14:paraId="6C2E091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36" w:type="pct"/>
            <w:vAlign w:val="center"/>
          </w:tcPr>
          <w:p w14:paraId="3D1EA52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47" w:type="pct"/>
            <w:vAlign w:val="center"/>
          </w:tcPr>
          <w:p w14:paraId="5BB3544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c>
          <w:tcPr>
            <w:tcW w:w="633" w:type="pct"/>
            <w:vAlign w:val="center"/>
          </w:tcPr>
          <w:p w14:paraId="09B5636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48" w:type="pct"/>
            <w:vAlign w:val="center"/>
          </w:tcPr>
          <w:p w14:paraId="0EB3ACC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79" w:type="pct"/>
            <w:vAlign w:val="center"/>
          </w:tcPr>
          <w:p w14:paraId="1DF73A6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30" w:type="pct"/>
            <w:vAlign w:val="center"/>
          </w:tcPr>
          <w:p w14:paraId="3087AC6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r>
      <w:tr w14:paraId="3012E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68880E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新厝镇</w:t>
            </w:r>
          </w:p>
        </w:tc>
        <w:tc>
          <w:tcPr>
            <w:tcW w:w="688" w:type="pct"/>
            <w:vAlign w:val="center"/>
          </w:tcPr>
          <w:p w14:paraId="0DC55AA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2022/08/22 04:00</w:t>
            </w:r>
          </w:p>
        </w:tc>
        <w:tc>
          <w:tcPr>
            <w:tcW w:w="535" w:type="pct"/>
            <w:vAlign w:val="center"/>
          </w:tcPr>
          <w:p w14:paraId="6732CE5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0.36</w:t>
            </w:r>
          </w:p>
        </w:tc>
        <w:tc>
          <w:tcPr>
            <w:tcW w:w="536" w:type="pct"/>
            <w:vAlign w:val="center"/>
          </w:tcPr>
          <w:p w14:paraId="2322E97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0D63A93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0.36</w:t>
            </w:r>
          </w:p>
        </w:tc>
        <w:tc>
          <w:tcPr>
            <w:tcW w:w="633" w:type="pct"/>
            <w:vAlign w:val="center"/>
          </w:tcPr>
          <w:p w14:paraId="435E754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2022/04/22 01:00</w:t>
            </w:r>
          </w:p>
        </w:tc>
        <w:tc>
          <w:tcPr>
            <w:tcW w:w="548" w:type="pct"/>
            <w:vAlign w:val="center"/>
          </w:tcPr>
          <w:p w14:paraId="19C6BCC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0.19</w:t>
            </w:r>
          </w:p>
        </w:tc>
        <w:tc>
          <w:tcPr>
            <w:tcW w:w="579" w:type="pct"/>
            <w:vAlign w:val="center"/>
          </w:tcPr>
          <w:p w14:paraId="7845D64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2A3AE29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0.10</w:t>
            </w:r>
          </w:p>
        </w:tc>
      </w:tr>
      <w:tr w14:paraId="2AC46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0466D5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上后村（莆田）</w:t>
            </w:r>
          </w:p>
        </w:tc>
        <w:tc>
          <w:tcPr>
            <w:tcW w:w="688" w:type="pct"/>
            <w:vAlign w:val="center"/>
          </w:tcPr>
          <w:p w14:paraId="08DD636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2022/08/18 07:00</w:t>
            </w:r>
          </w:p>
        </w:tc>
        <w:tc>
          <w:tcPr>
            <w:tcW w:w="535" w:type="pct"/>
            <w:vAlign w:val="center"/>
          </w:tcPr>
          <w:p w14:paraId="303BDE4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0.37</w:t>
            </w:r>
          </w:p>
        </w:tc>
        <w:tc>
          <w:tcPr>
            <w:tcW w:w="536" w:type="pct"/>
            <w:vAlign w:val="center"/>
          </w:tcPr>
          <w:p w14:paraId="03CB44E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281F161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0.37</w:t>
            </w:r>
          </w:p>
        </w:tc>
        <w:tc>
          <w:tcPr>
            <w:tcW w:w="633" w:type="pct"/>
            <w:vAlign w:val="center"/>
          </w:tcPr>
          <w:p w14:paraId="4B9FC88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2022/04/22 01:00</w:t>
            </w:r>
          </w:p>
        </w:tc>
        <w:tc>
          <w:tcPr>
            <w:tcW w:w="548" w:type="pct"/>
            <w:vAlign w:val="center"/>
          </w:tcPr>
          <w:p w14:paraId="4BDC97C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0.20</w:t>
            </w:r>
          </w:p>
        </w:tc>
        <w:tc>
          <w:tcPr>
            <w:tcW w:w="579" w:type="pct"/>
            <w:vAlign w:val="center"/>
          </w:tcPr>
          <w:p w14:paraId="68B81BC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7A0EF47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0.10</w:t>
            </w:r>
          </w:p>
        </w:tc>
      </w:tr>
      <w:tr w14:paraId="64D69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4BC901A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莆江村（莆田）</w:t>
            </w:r>
          </w:p>
        </w:tc>
        <w:tc>
          <w:tcPr>
            <w:tcW w:w="688" w:type="pct"/>
            <w:vAlign w:val="center"/>
          </w:tcPr>
          <w:p w14:paraId="79504B6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2022/09/19 09:00</w:t>
            </w:r>
          </w:p>
        </w:tc>
        <w:tc>
          <w:tcPr>
            <w:tcW w:w="535" w:type="pct"/>
            <w:vAlign w:val="center"/>
          </w:tcPr>
          <w:p w14:paraId="1869F7C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0.23</w:t>
            </w:r>
          </w:p>
        </w:tc>
        <w:tc>
          <w:tcPr>
            <w:tcW w:w="536" w:type="pct"/>
            <w:vAlign w:val="center"/>
          </w:tcPr>
          <w:p w14:paraId="34525D4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56D19FD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0.23</w:t>
            </w:r>
          </w:p>
        </w:tc>
        <w:tc>
          <w:tcPr>
            <w:tcW w:w="633" w:type="pct"/>
            <w:vAlign w:val="center"/>
          </w:tcPr>
          <w:p w14:paraId="42EF0C7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2022/08/07 04:00</w:t>
            </w:r>
          </w:p>
        </w:tc>
        <w:tc>
          <w:tcPr>
            <w:tcW w:w="548" w:type="pct"/>
            <w:vAlign w:val="center"/>
          </w:tcPr>
          <w:p w14:paraId="67BF3FD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0.08</w:t>
            </w:r>
          </w:p>
        </w:tc>
        <w:tc>
          <w:tcPr>
            <w:tcW w:w="579" w:type="pct"/>
            <w:vAlign w:val="center"/>
          </w:tcPr>
          <w:p w14:paraId="2F014E4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60241F6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18661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5A860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峰头村</w:t>
            </w:r>
          </w:p>
        </w:tc>
        <w:tc>
          <w:tcPr>
            <w:tcW w:w="688" w:type="pct"/>
            <w:vAlign w:val="center"/>
          </w:tcPr>
          <w:p w14:paraId="06D4761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2022/04/28 19:00</w:t>
            </w:r>
          </w:p>
        </w:tc>
        <w:tc>
          <w:tcPr>
            <w:tcW w:w="535" w:type="pct"/>
            <w:vAlign w:val="center"/>
          </w:tcPr>
          <w:p w14:paraId="1FC3F98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0.68</w:t>
            </w:r>
          </w:p>
        </w:tc>
        <w:tc>
          <w:tcPr>
            <w:tcW w:w="536" w:type="pct"/>
            <w:vAlign w:val="center"/>
          </w:tcPr>
          <w:p w14:paraId="3C484BF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C981F9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0.68</w:t>
            </w:r>
          </w:p>
        </w:tc>
        <w:tc>
          <w:tcPr>
            <w:tcW w:w="633" w:type="pct"/>
            <w:vAlign w:val="center"/>
          </w:tcPr>
          <w:p w14:paraId="3300FFA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2022/07/29 06:00</w:t>
            </w:r>
          </w:p>
        </w:tc>
        <w:tc>
          <w:tcPr>
            <w:tcW w:w="548" w:type="pct"/>
            <w:vAlign w:val="center"/>
          </w:tcPr>
          <w:p w14:paraId="485BB58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0.27</w:t>
            </w:r>
          </w:p>
        </w:tc>
        <w:tc>
          <w:tcPr>
            <w:tcW w:w="579" w:type="pct"/>
            <w:vAlign w:val="center"/>
          </w:tcPr>
          <w:p w14:paraId="014FE76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716DB28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0.13</w:t>
            </w:r>
          </w:p>
        </w:tc>
      </w:tr>
      <w:tr w14:paraId="307FB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0DC541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漆林村</w:t>
            </w:r>
          </w:p>
        </w:tc>
        <w:tc>
          <w:tcPr>
            <w:tcW w:w="688" w:type="pct"/>
            <w:vAlign w:val="center"/>
          </w:tcPr>
          <w:p w14:paraId="3F92428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2022/08/18 22:00</w:t>
            </w:r>
          </w:p>
        </w:tc>
        <w:tc>
          <w:tcPr>
            <w:tcW w:w="535" w:type="pct"/>
            <w:vAlign w:val="center"/>
          </w:tcPr>
          <w:p w14:paraId="690E346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0.34</w:t>
            </w:r>
          </w:p>
        </w:tc>
        <w:tc>
          <w:tcPr>
            <w:tcW w:w="536" w:type="pct"/>
            <w:vAlign w:val="center"/>
          </w:tcPr>
          <w:p w14:paraId="60FCBEE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5B33ED2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0.34</w:t>
            </w:r>
          </w:p>
        </w:tc>
        <w:tc>
          <w:tcPr>
            <w:tcW w:w="633" w:type="pct"/>
            <w:vAlign w:val="center"/>
          </w:tcPr>
          <w:p w14:paraId="721D86B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2022/09/17 19:00</w:t>
            </w:r>
          </w:p>
        </w:tc>
        <w:tc>
          <w:tcPr>
            <w:tcW w:w="548" w:type="pct"/>
            <w:vAlign w:val="center"/>
          </w:tcPr>
          <w:p w14:paraId="71C7333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579" w:type="pct"/>
            <w:vAlign w:val="center"/>
          </w:tcPr>
          <w:p w14:paraId="0204992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057339D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r>
      <w:tr w14:paraId="7F19F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2F0D172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大东村（莆田）</w:t>
            </w:r>
          </w:p>
        </w:tc>
        <w:tc>
          <w:tcPr>
            <w:tcW w:w="688" w:type="pct"/>
            <w:vAlign w:val="center"/>
          </w:tcPr>
          <w:p w14:paraId="243EF2A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2022/09/19 08:00</w:t>
            </w:r>
          </w:p>
        </w:tc>
        <w:tc>
          <w:tcPr>
            <w:tcW w:w="535" w:type="pct"/>
            <w:vAlign w:val="center"/>
          </w:tcPr>
          <w:p w14:paraId="1DEEBB1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0.24</w:t>
            </w:r>
          </w:p>
        </w:tc>
        <w:tc>
          <w:tcPr>
            <w:tcW w:w="536" w:type="pct"/>
            <w:vAlign w:val="center"/>
          </w:tcPr>
          <w:p w14:paraId="6A8BD36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1139220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0.24</w:t>
            </w:r>
          </w:p>
        </w:tc>
        <w:tc>
          <w:tcPr>
            <w:tcW w:w="633" w:type="pct"/>
            <w:vAlign w:val="center"/>
          </w:tcPr>
          <w:p w14:paraId="57DAD9A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2022/09/17 21:00</w:t>
            </w:r>
          </w:p>
        </w:tc>
        <w:tc>
          <w:tcPr>
            <w:tcW w:w="548" w:type="pct"/>
            <w:vAlign w:val="center"/>
          </w:tcPr>
          <w:p w14:paraId="01DCD29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0.12</w:t>
            </w:r>
          </w:p>
        </w:tc>
        <w:tc>
          <w:tcPr>
            <w:tcW w:w="579" w:type="pct"/>
            <w:vAlign w:val="center"/>
          </w:tcPr>
          <w:p w14:paraId="0F875BB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6D6878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5467C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04AF4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霞埔村</w:t>
            </w:r>
          </w:p>
        </w:tc>
        <w:tc>
          <w:tcPr>
            <w:tcW w:w="688" w:type="pct"/>
            <w:vAlign w:val="center"/>
          </w:tcPr>
          <w:p w14:paraId="05C5DAA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2022/04/28 23:00</w:t>
            </w:r>
          </w:p>
        </w:tc>
        <w:tc>
          <w:tcPr>
            <w:tcW w:w="535" w:type="pct"/>
            <w:vAlign w:val="center"/>
          </w:tcPr>
          <w:p w14:paraId="12618BD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0.82</w:t>
            </w:r>
          </w:p>
        </w:tc>
        <w:tc>
          <w:tcPr>
            <w:tcW w:w="536" w:type="pct"/>
            <w:vAlign w:val="center"/>
          </w:tcPr>
          <w:p w14:paraId="433F5F4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137C16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0.82</w:t>
            </w:r>
          </w:p>
        </w:tc>
        <w:tc>
          <w:tcPr>
            <w:tcW w:w="633" w:type="pct"/>
            <w:vAlign w:val="center"/>
          </w:tcPr>
          <w:p w14:paraId="03042BC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2022/04/28 23:00</w:t>
            </w:r>
          </w:p>
        </w:tc>
        <w:tc>
          <w:tcPr>
            <w:tcW w:w="548" w:type="pct"/>
            <w:vAlign w:val="center"/>
          </w:tcPr>
          <w:p w14:paraId="520FEED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0.38</w:t>
            </w:r>
          </w:p>
        </w:tc>
        <w:tc>
          <w:tcPr>
            <w:tcW w:w="579" w:type="pct"/>
            <w:vAlign w:val="center"/>
          </w:tcPr>
          <w:p w14:paraId="4849C85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198224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0.19</w:t>
            </w:r>
          </w:p>
        </w:tc>
      </w:tr>
      <w:tr w14:paraId="2C8AD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80D94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芝山</w:t>
            </w:r>
          </w:p>
        </w:tc>
        <w:tc>
          <w:tcPr>
            <w:tcW w:w="688" w:type="pct"/>
            <w:vAlign w:val="center"/>
          </w:tcPr>
          <w:p w14:paraId="091CAD0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22:00</w:t>
            </w:r>
          </w:p>
        </w:tc>
        <w:tc>
          <w:tcPr>
            <w:tcW w:w="535" w:type="pct"/>
            <w:vAlign w:val="center"/>
          </w:tcPr>
          <w:p w14:paraId="2C25868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0.71</w:t>
            </w:r>
          </w:p>
        </w:tc>
        <w:tc>
          <w:tcPr>
            <w:tcW w:w="536" w:type="pct"/>
            <w:vAlign w:val="center"/>
          </w:tcPr>
          <w:p w14:paraId="36A7E03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61513D4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0.71</w:t>
            </w:r>
          </w:p>
        </w:tc>
        <w:tc>
          <w:tcPr>
            <w:tcW w:w="633" w:type="pct"/>
            <w:vAlign w:val="center"/>
          </w:tcPr>
          <w:p w14:paraId="04A989F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22:00</w:t>
            </w:r>
          </w:p>
        </w:tc>
        <w:tc>
          <w:tcPr>
            <w:tcW w:w="548" w:type="pct"/>
            <w:vAlign w:val="center"/>
          </w:tcPr>
          <w:p w14:paraId="771E9E2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579" w:type="pct"/>
            <w:vAlign w:val="center"/>
          </w:tcPr>
          <w:p w14:paraId="6CA5F45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359B940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r>
      <w:tr w14:paraId="436A7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376CE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高局</w:t>
            </w:r>
          </w:p>
        </w:tc>
        <w:tc>
          <w:tcPr>
            <w:tcW w:w="688" w:type="pct"/>
            <w:vAlign w:val="center"/>
          </w:tcPr>
          <w:p w14:paraId="7758FCC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2022/07/11 06:00</w:t>
            </w:r>
          </w:p>
        </w:tc>
        <w:tc>
          <w:tcPr>
            <w:tcW w:w="535" w:type="pct"/>
            <w:vAlign w:val="center"/>
          </w:tcPr>
          <w:p w14:paraId="2BE666F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0.48</w:t>
            </w:r>
          </w:p>
        </w:tc>
        <w:tc>
          <w:tcPr>
            <w:tcW w:w="536" w:type="pct"/>
            <w:vAlign w:val="center"/>
          </w:tcPr>
          <w:p w14:paraId="4108D13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0A4E3F3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0.48</w:t>
            </w:r>
          </w:p>
        </w:tc>
        <w:tc>
          <w:tcPr>
            <w:tcW w:w="633" w:type="pct"/>
            <w:vAlign w:val="center"/>
          </w:tcPr>
          <w:p w14:paraId="76DCB2F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48" w:type="pct"/>
            <w:vAlign w:val="center"/>
          </w:tcPr>
          <w:p w14:paraId="0BCB9E1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0.12</w:t>
            </w:r>
          </w:p>
        </w:tc>
        <w:tc>
          <w:tcPr>
            <w:tcW w:w="579" w:type="pct"/>
            <w:vAlign w:val="center"/>
          </w:tcPr>
          <w:p w14:paraId="1D7C3D0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423D441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58D5B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5CFC97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西山</w:t>
            </w:r>
          </w:p>
        </w:tc>
        <w:tc>
          <w:tcPr>
            <w:tcW w:w="688" w:type="pct"/>
            <w:vAlign w:val="center"/>
          </w:tcPr>
          <w:p w14:paraId="6F70226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2022/05/29 05:00</w:t>
            </w:r>
          </w:p>
        </w:tc>
        <w:tc>
          <w:tcPr>
            <w:tcW w:w="535" w:type="pct"/>
            <w:vAlign w:val="center"/>
          </w:tcPr>
          <w:p w14:paraId="3BE4E39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0.50</w:t>
            </w:r>
          </w:p>
        </w:tc>
        <w:tc>
          <w:tcPr>
            <w:tcW w:w="536" w:type="pct"/>
            <w:vAlign w:val="center"/>
          </w:tcPr>
          <w:p w14:paraId="56FD1DB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4769858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0.50</w:t>
            </w:r>
          </w:p>
        </w:tc>
        <w:tc>
          <w:tcPr>
            <w:tcW w:w="633" w:type="pct"/>
            <w:vAlign w:val="center"/>
          </w:tcPr>
          <w:p w14:paraId="3633EDD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22:00</w:t>
            </w:r>
          </w:p>
        </w:tc>
        <w:tc>
          <w:tcPr>
            <w:tcW w:w="548" w:type="pct"/>
            <w:vAlign w:val="center"/>
          </w:tcPr>
          <w:p w14:paraId="01386FF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0.13</w:t>
            </w:r>
          </w:p>
        </w:tc>
        <w:tc>
          <w:tcPr>
            <w:tcW w:w="579" w:type="pct"/>
            <w:vAlign w:val="center"/>
          </w:tcPr>
          <w:p w14:paraId="6D2BC07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4283E42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1EF4D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A183B3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东井村</w:t>
            </w:r>
          </w:p>
        </w:tc>
        <w:tc>
          <w:tcPr>
            <w:tcW w:w="688" w:type="pct"/>
            <w:vAlign w:val="center"/>
          </w:tcPr>
          <w:p w14:paraId="2EA3D70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22:00</w:t>
            </w:r>
          </w:p>
        </w:tc>
        <w:tc>
          <w:tcPr>
            <w:tcW w:w="535" w:type="pct"/>
            <w:vAlign w:val="center"/>
          </w:tcPr>
          <w:p w14:paraId="5E7D675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0.44</w:t>
            </w:r>
          </w:p>
        </w:tc>
        <w:tc>
          <w:tcPr>
            <w:tcW w:w="536" w:type="pct"/>
            <w:vAlign w:val="center"/>
          </w:tcPr>
          <w:p w14:paraId="0BF30E4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0676F20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0.44</w:t>
            </w:r>
          </w:p>
        </w:tc>
        <w:tc>
          <w:tcPr>
            <w:tcW w:w="633" w:type="pct"/>
            <w:vAlign w:val="center"/>
          </w:tcPr>
          <w:p w14:paraId="1C2F367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21:00</w:t>
            </w:r>
          </w:p>
        </w:tc>
        <w:tc>
          <w:tcPr>
            <w:tcW w:w="548" w:type="pct"/>
            <w:vAlign w:val="center"/>
          </w:tcPr>
          <w:p w14:paraId="5A49DAE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0.11</w:t>
            </w:r>
          </w:p>
        </w:tc>
        <w:tc>
          <w:tcPr>
            <w:tcW w:w="579" w:type="pct"/>
            <w:vAlign w:val="center"/>
          </w:tcPr>
          <w:p w14:paraId="5E5FE86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20635D0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4D38D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C705E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沾泽村</w:t>
            </w:r>
          </w:p>
        </w:tc>
        <w:tc>
          <w:tcPr>
            <w:tcW w:w="688" w:type="pct"/>
            <w:vAlign w:val="center"/>
          </w:tcPr>
          <w:p w14:paraId="183A449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2022/08/11 07:00</w:t>
            </w:r>
          </w:p>
        </w:tc>
        <w:tc>
          <w:tcPr>
            <w:tcW w:w="535" w:type="pct"/>
            <w:vAlign w:val="center"/>
          </w:tcPr>
          <w:p w14:paraId="0E65136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0.22</w:t>
            </w:r>
          </w:p>
        </w:tc>
        <w:tc>
          <w:tcPr>
            <w:tcW w:w="536" w:type="pct"/>
            <w:vAlign w:val="center"/>
          </w:tcPr>
          <w:p w14:paraId="56A5BD5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2F5CAC0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0.22</w:t>
            </w:r>
          </w:p>
        </w:tc>
        <w:tc>
          <w:tcPr>
            <w:tcW w:w="633" w:type="pct"/>
            <w:vAlign w:val="center"/>
          </w:tcPr>
          <w:p w14:paraId="1140A66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2022/08/11 07:00</w:t>
            </w:r>
          </w:p>
        </w:tc>
        <w:tc>
          <w:tcPr>
            <w:tcW w:w="548" w:type="pct"/>
            <w:vAlign w:val="center"/>
          </w:tcPr>
          <w:p w14:paraId="783D25D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0.08</w:t>
            </w:r>
          </w:p>
        </w:tc>
        <w:tc>
          <w:tcPr>
            <w:tcW w:w="579" w:type="pct"/>
            <w:vAlign w:val="center"/>
          </w:tcPr>
          <w:p w14:paraId="5CE1BA8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ABE2FB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4A77D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CEBAA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南曹村</w:t>
            </w:r>
          </w:p>
        </w:tc>
        <w:tc>
          <w:tcPr>
            <w:tcW w:w="688" w:type="pct"/>
            <w:vAlign w:val="center"/>
          </w:tcPr>
          <w:p w14:paraId="70DC204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2022/04/24 07:00</w:t>
            </w:r>
          </w:p>
        </w:tc>
        <w:tc>
          <w:tcPr>
            <w:tcW w:w="535" w:type="pct"/>
            <w:vAlign w:val="center"/>
          </w:tcPr>
          <w:p w14:paraId="47CEAAF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0.47</w:t>
            </w:r>
          </w:p>
        </w:tc>
        <w:tc>
          <w:tcPr>
            <w:tcW w:w="536" w:type="pct"/>
            <w:vAlign w:val="center"/>
          </w:tcPr>
          <w:p w14:paraId="5E82A77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555F6E3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0.47</w:t>
            </w:r>
          </w:p>
        </w:tc>
        <w:tc>
          <w:tcPr>
            <w:tcW w:w="633" w:type="pct"/>
            <w:vAlign w:val="center"/>
          </w:tcPr>
          <w:p w14:paraId="4914736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2022/03/01 07:00</w:t>
            </w:r>
          </w:p>
        </w:tc>
        <w:tc>
          <w:tcPr>
            <w:tcW w:w="548" w:type="pct"/>
            <w:vAlign w:val="center"/>
          </w:tcPr>
          <w:p w14:paraId="309CD39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579" w:type="pct"/>
            <w:vAlign w:val="center"/>
          </w:tcPr>
          <w:p w14:paraId="0B6E548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22AC63A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r>
      <w:tr w14:paraId="17A69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795D8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东江水厂</w:t>
            </w:r>
          </w:p>
        </w:tc>
        <w:tc>
          <w:tcPr>
            <w:tcW w:w="688" w:type="pct"/>
            <w:vAlign w:val="center"/>
          </w:tcPr>
          <w:p w14:paraId="1206D33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2022/05/13 09:00</w:t>
            </w:r>
          </w:p>
        </w:tc>
        <w:tc>
          <w:tcPr>
            <w:tcW w:w="535" w:type="pct"/>
            <w:vAlign w:val="center"/>
          </w:tcPr>
          <w:p w14:paraId="2AE1117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0.60</w:t>
            </w:r>
          </w:p>
        </w:tc>
        <w:tc>
          <w:tcPr>
            <w:tcW w:w="536" w:type="pct"/>
            <w:vAlign w:val="center"/>
          </w:tcPr>
          <w:p w14:paraId="1766BB3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5B2942C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0.60</w:t>
            </w:r>
          </w:p>
        </w:tc>
        <w:tc>
          <w:tcPr>
            <w:tcW w:w="633" w:type="pct"/>
            <w:vAlign w:val="center"/>
          </w:tcPr>
          <w:p w14:paraId="58F3108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2022/06/17 00:00</w:t>
            </w:r>
          </w:p>
        </w:tc>
        <w:tc>
          <w:tcPr>
            <w:tcW w:w="548" w:type="pct"/>
            <w:vAlign w:val="center"/>
          </w:tcPr>
          <w:p w14:paraId="7FCCDA4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0.17</w:t>
            </w:r>
          </w:p>
        </w:tc>
        <w:tc>
          <w:tcPr>
            <w:tcW w:w="579" w:type="pct"/>
            <w:vAlign w:val="center"/>
          </w:tcPr>
          <w:p w14:paraId="70DF0FE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3872655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r>
      <w:tr w14:paraId="6ECDB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C54AE3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东沃村</w:t>
            </w:r>
          </w:p>
        </w:tc>
        <w:tc>
          <w:tcPr>
            <w:tcW w:w="688" w:type="pct"/>
            <w:vAlign w:val="center"/>
          </w:tcPr>
          <w:p w14:paraId="07AB570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2022/03/14 21:00</w:t>
            </w:r>
          </w:p>
        </w:tc>
        <w:tc>
          <w:tcPr>
            <w:tcW w:w="535" w:type="pct"/>
            <w:vAlign w:val="center"/>
          </w:tcPr>
          <w:p w14:paraId="5335AD0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0.96</w:t>
            </w:r>
          </w:p>
        </w:tc>
        <w:tc>
          <w:tcPr>
            <w:tcW w:w="536" w:type="pct"/>
            <w:vAlign w:val="center"/>
          </w:tcPr>
          <w:p w14:paraId="4D3C0CC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13C33EA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0.96</w:t>
            </w:r>
          </w:p>
        </w:tc>
        <w:tc>
          <w:tcPr>
            <w:tcW w:w="633" w:type="pct"/>
            <w:vAlign w:val="center"/>
          </w:tcPr>
          <w:p w14:paraId="444873E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2022/03/14 21:00</w:t>
            </w:r>
          </w:p>
        </w:tc>
        <w:tc>
          <w:tcPr>
            <w:tcW w:w="548" w:type="pct"/>
            <w:vAlign w:val="center"/>
          </w:tcPr>
          <w:p w14:paraId="2A9229F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0.35</w:t>
            </w:r>
          </w:p>
        </w:tc>
        <w:tc>
          <w:tcPr>
            <w:tcW w:w="579" w:type="pct"/>
            <w:vAlign w:val="center"/>
          </w:tcPr>
          <w:p w14:paraId="446107E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978151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0.17</w:t>
            </w:r>
          </w:p>
        </w:tc>
      </w:tr>
      <w:tr w14:paraId="7EE4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526E40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潘厝村</w:t>
            </w:r>
          </w:p>
        </w:tc>
        <w:tc>
          <w:tcPr>
            <w:tcW w:w="688" w:type="pct"/>
            <w:vAlign w:val="center"/>
          </w:tcPr>
          <w:p w14:paraId="2006164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2022/05/29 05:00</w:t>
            </w:r>
          </w:p>
        </w:tc>
        <w:tc>
          <w:tcPr>
            <w:tcW w:w="535" w:type="pct"/>
            <w:vAlign w:val="center"/>
          </w:tcPr>
          <w:p w14:paraId="2491EE8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0.34</w:t>
            </w:r>
          </w:p>
        </w:tc>
        <w:tc>
          <w:tcPr>
            <w:tcW w:w="536" w:type="pct"/>
            <w:vAlign w:val="center"/>
          </w:tcPr>
          <w:p w14:paraId="0D77614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7DB537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0.34</w:t>
            </w:r>
          </w:p>
        </w:tc>
        <w:tc>
          <w:tcPr>
            <w:tcW w:w="633" w:type="pct"/>
            <w:vAlign w:val="center"/>
          </w:tcPr>
          <w:p w14:paraId="741D7C9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21:00</w:t>
            </w:r>
          </w:p>
        </w:tc>
        <w:tc>
          <w:tcPr>
            <w:tcW w:w="548" w:type="pct"/>
            <w:vAlign w:val="center"/>
          </w:tcPr>
          <w:p w14:paraId="2A421CA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c>
          <w:tcPr>
            <w:tcW w:w="579" w:type="pct"/>
            <w:vAlign w:val="center"/>
          </w:tcPr>
          <w:p w14:paraId="4551098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0E867D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r>
      <w:tr w14:paraId="510D8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784D6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何厝村</w:t>
            </w:r>
          </w:p>
        </w:tc>
        <w:tc>
          <w:tcPr>
            <w:tcW w:w="688" w:type="pct"/>
            <w:vAlign w:val="center"/>
          </w:tcPr>
          <w:p w14:paraId="413D579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04:00</w:t>
            </w:r>
          </w:p>
        </w:tc>
        <w:tc>
          <w:tcPr>
            <w:tcW w:w="535" w:type="pct"/>
            <w:vAlign w:val="center"/>
          </w:tcPr>
          <w:p w14:paraId="6955C4B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0.37</w:t>
            </w:r>
          </w:p>
        </w:tc>
        <w:tc>
          <w:tcPr>
            <w:tcW w:w="536" w:type="pct"/>
            <w:vAlign w:val="center"/>
          </w:tcPr>
          <w:p w14:paraId="1A67CB2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1AE8DBD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0.37</w:t>
            </w:r>
          </w:p>
        </w:tc>
        <w:tc>
          <w:tcPr>
            <w:tcW w:w="633" w:type="pct"/>
            <w:vAlign w:val="center"/>
          </w:tcPr>
          <w:p w14:paraId="72460CE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05:00</w:t>
            </w:r>
          </w:p>
        </w:tc>
        <w:tc>
          <w:tcPr>
            <w:tcW w:w="548" w:type="pct"/>
            <w:vAlign w:val="center"/>
          </w:tcPr>
          <w:p w14:paraId="0469352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0.10</w:t>
            </w:r>
          </w:p>
        </w:tc>
        <w:tc>
          <w:tcPr>
            <w:tcW w:w="579" w:type="pct"/>
            <w:vAlign w:val="center"/>
          </w:tcPr>
          <w:p w14:paraId="53283D1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49BC1F6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r>
      <w:tr w14:paraId="21891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B0DE5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田头村</w:t>
            </w:r>
          </w:p>
        </w:tc>
        <w:tc>
          <w:tcPr>
            <w:tcW w:w="688" w:type="pct"/>
            <w:vAlign w:val="center"/>
          </w:tcPr>
          <w:p w14:paraId="324DDD6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2022/03/04 09:00</w:t>
            </w:r>
          </w:p>
        </w:tc>
        <w:tc>
          <w:tcPr>
            <w:tcW w:w="535" w:type="pct"/>
            <w:vAlign w:val="center"/>
          </w:tcPr>
          <w:p w14:paraId="7033D50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536" w:type="pct"/>
            <w:vAlign w:val="center"/>
          </w:tcPr>
          <w:p w14:paraId="0F7FEC6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99DA95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633" w:type="pct"/>
            <w:vAlign w:val="center"/>
          </w:tcPr>
          <w:p w14:paraId="7076AB6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2022/03/04 09:00</w:t>
            </w:r>
          </w:p>
        </w:tc>
        <w:tc>
          <w:tcPr>
            <w:tcW w:w="548" w:type="pct"/>
            <w:vAlign w:val="center"/>
          </w:tcPr>
          <w:p w14:paraId="139B444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c>
          <w:tcPr>
            <w:tcW w:w="579" w:type="pct"/>
            <w:vAlign w:val="center"/>
          </w:tcPr>
          <w:p w14:paraId="4696020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03D8718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722BB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2884E2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下堡村</w:t>
            </w:r>
          </w:p>
        </w:tc>
        <w:tc>
          <w:tcPr>
            <w:tcW w:w="688" w:type="pct"/>
            <w:vAlign w:val="center"/>
          </w:tcPr>
          <w:p w14:paraId="622B1EC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06:00</w:t>
            </w:r>
          </w:p>
        </w:tc>
        <w:tc>
          <w:tcPr>
            <w:tcW w:w="535" w:type="pct"/>
            <w:vAlign w:val="center"/>
          </w:tcPr>
          <w:p w14:paraId="2B48DF1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0.23</w:t>
            </w:r>
          </w:p>
        </w:tc>
        <w:tc>
          <w:tcPr>
            <w:tcW w:w="536" w:type="pct"/>
            <w:vAlign w:val="center"/>
          </w:tcPr>
          <w:p w14:paraId="25A30F3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B8B314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0.23</w:t>
            </w:r>
          </w:p>
        </w:tc>
        <w:tc>
          <w:tcPr>
            <w:tcW w:w="633" w:type="pct"/>
            <w:vAlign w:val="center"/>
          </w:tcPr>
          <w:p w14:paraId="25EE668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04:00</w:t>
            </w:r>
          </w:p>
        </w:tc>
        <w:tc>
          <w:tcPr>
            <w:tcW w:w="548" w:type="pct"/>
            <w:vAlign w:val="center"/>
          </w:tcPr>
          <w:p w14:paraId="45DF4A7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c>
          <w:tcPr>
            <w:tcW w:w="579" w:type="pct"/>
            <w:vAlign w:val="center"/>
          </w:tcPr>
          <w:p w14:paraId="22397F4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12D4361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r>
      <w:tr w14:paraId="2A852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11C158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下石村</w:t>
            </w:r>
          </w:p>
        </w:tc>
        <w:tc>
          <w:tcPr>
            <w:tcW w:w="688" w:type="pct"/>
            <w:vAlign w:val="center"/>
          </w:tcPr>
          <w:p w14:paraId="7D736E8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2022/09/15 01:00</w:t>
            </w:r>
          </w:p>
        </w:tc>
        <w:tc>
          <w:tcPr>
            <w:tcW w:w="535" w:type="pct"/>
            <w:vAlign w:val="center"/>
          </w:tcPr>
          <w:p w14:paraId="5063321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0.33</w:t>
            </w:r>
          </w:p>
        </w:tc>
        <w:tc>
          <w:tcPr>
            <w:tcW w:w="536" w:type="pct"/>
            <w:vAlign w:val="center"/>
          </w:tcPr>
          <w:p w14:paraId="0886681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27530C6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0.33</w:t>
            </w:r>
          </w:p>
        </w:tc>
        <w:tc>
          <w:tcPr>
            <w:tcW w:w="633" w:type="pct"/>
            <w:vAlign w:val="center"/>
          </w:tcPr>
          <w:p w14:paraId="380E7B3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02:00</w:t>
            </w:r>
          </w:p>
        </w:tc>
        <w:tc>
          <w:tcPr>
            <w:tcW w:w="548" w:type="pct"/>
            <w:vAlign w:val="center"/>
          </w:tcPr>
          <w:p w14:paraId="1E98E91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0.11</w:t>
            </w:r>
          </w:p>
        </w:tc>
        <w:tc>
          <w:tcPr>
            <w:tcW w:w="579" w:type="pct"/>
            <w:vAlign w:val="center"/>
          </w:tcPr>
          <w:p w14:paraId="6B3396A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3526BF4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r>
      <w:tr w14:paraId="1D2EC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10A810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江阴镇</w:t>
            </w:r>
          </w:p>
        </w:tc>
        <w:tc>
          <w:tcPr>
            <w:tcW w:w="688" w:type="pct"/>
            <w:vAlign w:val="center"/>
          </w:tcPr>
          <w:p w14:paraId="1B04B90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2022/03/04 09:00</w:t>
            </w:r>
          </w:p>
        </w:tc>
        <w:tc>
          <w:tcPr>
            <w:tcW w:w="535" w:type="pct"/>
            <w:vAlign w:val="center"/>
          </w:tcPr>
          <w:p w14:paraId="1F3BAA1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0.20</w:t>
            </w:r>
          </w:p>
        </w:tc>
        <w:tc>
          <w:tcPr>
            <w:tcW w:w="536" w:type="pct"/>
            <w:vAlign w:val="center"/>
          </w:tcPr>
          <w:p w14:paraId="4EFA39E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08C608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0.20</w:t>
            </w:r>
          </w:p>
        </w:tc>
        <w:tc>
          <w:tcPr>
            <w:tcW w:w="633" w:type="pct"/>
            <w:vAlign w:val="center"/>
          </w:tcPr>
          <w:p w14:paraId="546026C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2022/03/04 09:00</w:t>
            </w:r>
          </w:p>
        </w:tc>
        <w:tc>
          <w:tcPr>
            <w:tcW w:w="548" w:type="pct"/>
            <w:vAlign w:val="center"/>
          </w:tcPr>
          <w:p w14:paraId="07BCBDB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c>
          <w:tcPr>
            <w:tcW w:w="579" w:type="pct"/>
            <w:vAlign w:val="center"/>
          </w:tcPr>
          <w:p w14:paraId="6EC7075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6472A4F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7942C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651692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后林</w:t>
            </w:r>
          </w:p>
        </w:tc>
        <w:tc>
          <w:tcPr>
            <w:tcW w:w="688" w:type="pct"/>
            <w:vAlign w:val="center"/>
          </w:tcPr>
          <w:p w14:paraId="1C3C25F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2022/03/04 08:00</w:t>
            </w:r>
          </w:p>
        </w:tc>
        <w:tc>
          <w:tcPr>
            <w:tcW w:w="535" w:type="pct"/>
            <w:vAlign w:val="center"/>
          </w:tcPr>
          <w:p w14:paraId="4A89F11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0.55</w:t>
            </w:r>
          </w:p>
        </w:tc>
        <w:tc>
          <w:tcPr>
            <w:tcW w:w="536" w:type="pct"/>
            <w:vAlign w:val="center"/>
          </w:tcPr>
          <w:p w14:paraId="28F2D03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062A345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0.55</w:t>
            </w:r>
          </w:p>
        </w:tc>
        <w:tc>
          <w:tcPr>
            <w:tcW w:w="633" w:type="pct"/>
            <w:vAlign w:val="center"/>
          </w:tcPr>
          <w:p w14:paraId="1C275C4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02:00</w:t>
            </w:r>
          </w:p>
        </w:tc>
        <w:tc>
          <w:tcPr>
            <w:tcW w:w="548" w:type="pct"/>
            <w:vAlign w:val="center"/>
          </w:tcPr>
          <w:p w14:paraId="2D0AF13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0.17</w:t>
            </w:r>
          </w:p>
        </w:tc>
        <w:tc>
          <w:tcPr>
            <w:tcW w:w="579" w:type="pct"/>
            <w:vAlign w:val="center"/>
          </w:tcPr>
          <w:p w14:paraId="17D5CA3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7FBC638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r>
      <w:tr w14:paraId="40FCC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2895DD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岭兜</w:t>
            </w:r>
          </w:p>
        </w:tc>
        <w:tc>
          <w:tcPr>
            <w:tcW w:w="688" w:type="pct"/>
            <w:vAlign w:val="center"/>
          </w:tcPr>
          <w:p w14:paraId="3AE0B51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2022/03/01 08:00</w:t>
            </w:r>
          </w:p>
        </w:tc>
        <w:tc>
          <w:tcPr>
            <w:tcW w:w="535" w:type="pct"/>
            <w:vAlign w:val="center"/>
          </w:tcPr>
          <w:p w14:paraId="598F82C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0.32</w:t>
            </w:r>
          </w:p>
        </w:tc>
        <w:tc>
          <w:tcPr>
            <w:tcW w:w="536" w:type="pct"/>
            <w:vAlign w:val="center"/>
          </w:tcPr>
          <w:p w14:paraId="7199D7B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5F4D71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0.32</w:t>
            </w:r>
          </w:p>
        </w:tc>
        <w:tc>
          <w:tcPr>
            <w:tcW w:w="633" w:type="pct"/>
            <w:vAlign w:val="center"/>
          </w:tcPr>
          <w:p w14:paraId="0CEBE73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2022/11/26 06:00</w:t>
            </w:r>
          </w:p>
        </w:tc>
        <w:tc>
          <w:tcPr>
            <w:tcW w:w="548" w:type="pct"/>
            <w:vAlign w:val="center"/>
          </w:tcPr>
          <w:p w14:paraId="511217B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0.14</w:t>
            </w:r>
          </w:p>
        </w:tc>
        <w:tc>
          <w:tcPr>
            <w:tcW w:w="579" w:type="pct"/>
            <w:vAlign w:val="center"/>
          </w:tcPr>
          <w:p w14:paraId="3E24FFE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2C79354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0.07</w:t>
            </w:r>
          </w:p>
        </w:tc>
      </w:tr>
      <w:tr w14:paraId="234F4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B5D21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布厝</w:t>
            </w:r>
          </w:p>
        </w:tc>
        <w:tc>
          <w:tcPr>
            <w:tcW w:w="688" w:type="pct"/>
            <w:vAlign w:val="center"/>
          </w:tcPr>
          <w:p w14:paraId="4949B45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06:00</w:t>
            </w:r>
          </w:p>
        </w:tc>
        <w:tc>
          <w:tcPr>
            <w:tcW w:w="535" w:type="pct"/>
            <w:vAlign w:val="center"/>
          </w:tcPr>
          <w:p w14:paraId="2B9759D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0.33</w:t>
            </w:r>
          </w:p>
        </w:tc>
        <w:tc>
          <w:tcPr>
            <w:tcW w:w="536" w:type="pct"/>
            <w:vAlign w:val="center"/>
          </w:tcPr>
          <w:p w14:paraId="685EAC2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13002C1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0.33</w:t>
            </w:r>
          </w:p>
        </w:tc>
        <w:tc>
          <w:tcPr>
            <w:tcW w:w="633" w:type="pct"/>
            <w:vAlign w:val="center"/>
          </w:tcPr>
          <w:p w14:paraId="08A83DD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2022/11/26 06:00</w:t>
            </w:r>
          </w:p>
        </w:tc>
        <w:tc>
          <w:tcPr>
            <w:tcW w:w="548" w:type="pct"/>
            <w:vAlign w:val="center"/>
          </w:tcPr>
          <w:p w14:paraId="3959C9A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0.14</w:t>
            </w:r>
          </w:p>
        </w:tc>
        <w:tc>
          <w:tcPr>
            <w:tcW w:w="579" w:type="pct"/>
            <w:vAlign w:val="center"/>
          </w:tcPr>
          <w:p w14:paraId="449B113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0BF0789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0.07</w:t>
            </w:r>
          </w:p>
        </w:tc>
      </w:tr>
      <w:tr w14:paraId="3A167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07723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西兰</w:t>
            </w:r>
          </w:p>
        </w:tc>
        <w:tc>
          <w:tcPr>
            <w:tcW w:w="688" w:type="pct"/>
            <w:vAlign w:val="center"/>
          </w:tcPr>
          <w:p w14:paraId="3FB51FD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02:00</w:t>
            </w:r>
          </w:p>
        </w:tc>
        <w:tc>
          <w:tcPr>
            <w:tcW w:w="535" w:type="pct"/>
            <w:vAlign w:val="center"/>
          </w:tcPr>
          <w:p w14:paraId="2292501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0.46</w:t>
            </w:r>
          </w:p>
        </w:tc>
        <w:tc>
          <w:tcPr>
            <w:tcW w:w="536" w:type="pct"/>
            <w:vAlign w:val="center"/>
          </w:tcPr>
          <w:p w14:paraId="62187BC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60510B7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0.46</w:t>
            </w:r>
          </w:p>
        </w:tc>
        <w:tc>
          <w:tcPr>
            <w:tcW w:w="633" w:type="pct"/>
            <w:vAlign w:val="center"/>
          </w:tcPr>
          <w:p w14:paraId="2032628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01:00</w:t>
            </w:r>
          </w:p>
        </w:tc>
        <w:tc>
          <w:tcPr>
            <w:tcW w:w="548" w:type="pct"/>
            <w:vAlign w:val="center"/>
          </w:tcPr>
          <w:p w14:paraId="47F982C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0.12</w:t>
            </w:r>
          </w:p>
        </w:tc>
        <w:tc>
          <w:tcPr>
            <w:tcW w:w="579" w:type="pct"/>
            <w:vAlign w:val="center"/>
          </w:tcPr>
          <w:p w14:paraId="4A1B8BB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1DCC1A3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1E230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B50AA6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沙塘</w:t>
            </w:r>
          </w:p>
        </w:tc>
        <w:tc>
          <w:tcPr>
            <w:tcW w:w="688" w:type="pct"/>
            <w:vAlign w:val="center"/>
          </w:tcPr>
          <w:p w14:paraId="30A51BF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02:00</w:t>
            </w:r>
          </w:p>
        </w:tc>
        <w:tc>
          <w:tcPr>
            <w:tcW w:w="535" w:type="pct"/>
            <w:vAlign w:val="center"/>
          </w:tcPr>
          <w:p w14:paraId="492D91B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0.41</w:t>
            </w:r>
          </w:p>
        </w:tc>
        <w:tc>
          <w:tcPr>
            <w:tcW w:w="536" w:type="pct"/>
            <w:vAlign w:val="center"/>
          </w:tcPr>
          <w:p w14:paraId="743BF6E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B7C5C4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0.41</w:t>
            </w:r>
          </w:p>
        </w:tc>
        <w:tc>
          <w:tcPr>
            <w:tcW w:w="633" w:type="pct"/>
            <w:vAlign w:val="center"/>
          </w:tcPr>
          <w:p w14:paraId="2CEBFD2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02:00</w:t>
            </w:r>
          </w:p>
        </w:tc>
        <w:tc>
          <w:tcPr>
            <w:tcW w:w="548" w:type="pct"/>
            <w:vAlign w:val="center"/>
          </w:tcPr>
          <w:p w14:paraId="745BD5A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0.11</w:t>
            </w:r>
          </w:p>
        </w:tc>
        <w:tc>
          <w:tcPr>
            <w:tcW w:w="579" w:type="pct"/>
            <w:vAlign w:val="center"/>
          </w:tcPr>
          <w:p w14:paraId="0221282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4D0D9BE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r>
      <w:tr w14:paraId="084A0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FF4E42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张厝</w:t>
            </w:r>
          </w:p>
        </w:tc>
        <w:tc>
          <w:tcPr>
            <w:tcW w:w="688" w:type="pct"/>
            <w:vAlign w:val="center"/>
          </w:tcPr>
          <w:p w14:paraId="30E15A1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01:00</w:t>
            </w:r>
          </w:p>
        </w:tc>
        <w:tc>
          <w:tcPr>
            <w:tcW w:w="535" w:type="pct"/>
            <w:vAlign w:val="center"/>
          </w:tcPr>
          <w:p w14:paraId="504A582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0.28</w:t>
            </w:r>
          </w:p>
        </w:tc>
        <w:tc>
          <w:tcPr>
            <w:tcW w:w="536" w:type="pct"/>
            <w:vAlign w:val="center"/>
          </w:tcPr>
          <w:p w14:paraId="4F25DA8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A3CD2D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0.28</w:t>
            </w:r>
          </w:p>
        </w:tc>
        <w:tc>
          <w:tcPr>
            <w:tcW w:w="633" w:type="pct"/>
            <w:vAlign w:val="center"/>
          </w:tcPr>
          <w:p w14:paraId="0A70861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2022/03/13 06:00</w:t>
            </w:r>
          </w:p>
        </w:tc>
        <w:tc>
          <w:tcPr>
            <w:tcW w:w="548" w:type="pct"/>
            <w:vAlign w:val="center"/>
          </w:tcPr>
          <w:p w14:paraId="19D555C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0.08</w:t>
            </w:r>
          </w:p>
        </w:tc>
        <w:tc>
          <w:tcPr>
            <w:tcW w:w="579" w:type="pct"/>
            <w:vAlign w:val="center"/>
          </w:tcPr>
          <w:p w14:paraId="2847C3C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642F5E8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53D5A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AE2BC6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钱塘</w:t>
            </w:r>
          </w:p>
        </w:tc>
        <w:tc>
          <w:tcPr>
            <w:tcW w:w="688" w:type="pct"/>
            <w:vAlign w:val="center"/>
          </w:tcPr>
          <w:p w14:paraId="0763ACF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2022/09/15 07:00</w:t>
            </w:r>
          </w:p>
        </w:tc>
        <w:tc>
          <w:tcPr>
            <w:tcW w:w="535" w:type="pct"/>
            <w:vAlign w:val="center"/>
          </w:tcPr>
          <w:p w14:paraId="15EF53E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0.24</w:t>
            </w:r>
          </w:p>
        </w:tc>
        <w:tc>
          <w:tcPr>
            <w:tcW w:w="536" w:type="pct"/>
            <w:vAlign w:val="center"/>
          </w:tcPr>
          <w:p w14:paraId="1971918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4E93AD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0.24</w:t>
            </w:r>
          </w:p>
        </w:tc>
        <w:tc>
          <w:tcPr>
            <w:tcW w:w="633" w:type="pct"/>
            <w:vAlign w:val="center"/>
          </w:tcPr>
          <w:p w14:paraId="72823C0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02:00</w:t>
            </w:r>
          </w:p>
        </w:tc>
        <w:tc>
          <w:tcPr>
            <w:tcW w:w="548" w:type="pct"/>
            <w:vAlign w:val="center"/>
          </w:tcPr>
          <w:p w14:paraId="09463CD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c>
          <w:tcPr>
            <w:tcW w:w="579" w:type="pct"/>
            <w:vAlign w:val="center"/>
          </w:tcPr>
          <w:p w14:paraId="66993C5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1FAD3BA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3047F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69F60D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后陈村</w:t>
            </w:r>
          </w:p>
        </w:tc>
        <w:tc>
          <w:tcPr>
            <w:tcW w:w="688" w:type="pct"/>
            <w:vAlign w:val="center"/>
          </w:tcPr>
          <w:p w14:paraId="6B51E43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35" w:type="pct"/>
            <w:vAlign w:val="center"/>
          </w:tcPr>
          <w:p w14:paraId="3FAC742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0.38</w:t>
            </w:r>
          </w:p>
        </w:tc>
        <w:tc>
          <w:tcPr>
            <w:tcW w:w="536" w:type="pct"/>
            <w:vAlign w:val="center"/>
          </w:tcPr>
          <w:p w14:paraId="55F117A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1D24EB1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0.38</w:t>
            </w:r>
          </w:p>
        </w:tc>
        <w:tc>
          <w:tcPr>
            <w:tcW w:w="633" w:type="pct"/>
            <w:vAlign w:val="center"/>
          </w:tcPr>
          <w:p w14:paraId="2C5C66A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48" w:type="pct"/>
            <w:vAlign w:val="center"/>
          </w:tcPr>
          <w:p w14:paraId="6FDB6B4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0.09</w:t>
            </w:r>
          </w:p>
        </w:tc>
        <w:tc>
          <w:tcPr>
            <w:tcW w:w="579" w:type="pct"/>
            <w:vAlign w:val="center"/>
          </w:tcPr>
          <w:p w14:paraId="4FAECB9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7FC47EF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0998B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A67C4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垄北</w:t>
            </w:r>
          </w:p>
        </w:tc>
        <w:tc>
          <w:tcPr>
            <w:tcW w:w="688" w:type="pct"/>
            <w:vAlign w:val="center"/>
          </w:tcPr>
          <w:p w14:paraId="34F9728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2022/07/24 07:00</w:t>
            </w:r>
          </w:p>
        </w:tc>
        <w:tc>
          <w:tcPr>
            <w:tcW w:w="535" w:type="pct"/>
            <w:vAlign w:val="center"/>
          </w:tcPr>
          <w:p w14:paraId="60AB5F4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0.35</w:t>
            </w:r>
          </w:p>
        </w:tc>
        <w:tc>
          <w:tcPr>
            <w:tcW w:w="536" w:type="pct"/>
            <w:vAlign w:val="center"/>
          </w:tcPr>
          <w:p w14:paraId="29726C5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25B3787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0.35</w:t>
            </w:r>
          </w:p>
        </w:tc>
        <w:tc>
          <w:tcPr>
            <w:tcW w:w="633" w:type="pct"/>
            <w:vAlign w:val="center"/>
          </w:tcPr>
          <w:p w14:paraId="7121107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2022/03/01 07:00</w:t>
            </w:r>
          </w:p>
        </w:tc>
        <w:tc>
          <w:tcPr>
            <w:tcW w:w="548" w:type="pct"/>
            <w:vAlign w:val="center"/>
          </w:tcPr>
          <w:p w14:paraId="1C80CD7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0.12</w:t>
            </w:r>
          </w:p>
        </w:tc>
        <w:tc>
          <w:tcPr>
            <w:tcW w:w="579" w:type="pct"/>
            <w:vAlign w:val="center"/>
          </w:tcPr>
          <w:p w14:paraId="145819C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12E22B0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47F638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1AFC21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赤厝村</w:t>
            </w:r>
          </w:p>
        </w:tc>
        <w:tc>
          <w:tcPr>
            <w:tcW w:w="688" w:type="pct"/>
            <w:vAlign w:val="center"/>
          </w:tcPr>
          <w:p w14:paraId="0EB53FC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2022/08/03 01:00</w:t>
            </w:r>
          </w:p>
        </w:tc>
        <w:tc>
          <w:tcPr>
            <w:tcW w:w="535" w:type="pct"/>
            <w:vAlign w:val="center"/>
          </w:tcPr>
          <w:p w14:paraId="5A5C65D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0.10</w:t>
            </w:r>
          </w:p>
        </w:tc>
        <w:tc>
          <w:tcPr>
            <w:tcW w:w="536" w:type="pct"/>
            <w:vAlign w:val="center"/>
          </w:tcPr>
          <w:p w14:paraId="25BC044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8FD1ED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0.10</w:t>
            </w:r>
          </w:p>
        </w:tc>
        <w:tc>
          <w:tcPr>
            <w:tcW w:w="633" w:type="pct"/>
            <w:vAlign w:val="center"/>
          </w:tcPr>
          <w:p w14:paraId="6193F78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2022/09/15 06:00</w:t>
            </w:r>
          </w:p>
        </w:tc>
        <w:tc>
          <w:tcPr>
            <w:tcW w:w="548" w:type="pct"/>
            <w:vAlign w:val="center"/>
          </w:tcPr>
          <w:p w14:paraId="048C4B2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c>
          <w:tcPr>
            <w:tcW w:w="579" w:type="pct"/>
            <w:vAlign w:val="center"/>
          </w:tcPr>
          <w:p w14:paraId="152B6E0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3E290D7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0.02</w:t>
            </w:r>
          </w:p>
        </w:tc>
      </w:tr>
      <w:tr w14:paraId="4A955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E4DE3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门口村</w:t>
            </w:r>
          </w:p>
        </w:tc>
        <w:tc>
          <w:tcPr>
            <w:tcW w:w="688" w:type="pct"/>
            <w:vAlign w:val="center"/>
          </w:tcPr>
          <w:p w14:paraId="262D4E5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2022/03/17 10:00</w:t>
            </w:r>
          </w:p>
        </w:tc>
        <w:tc>
          <w:tcPr>
            <w:tcW w:w="535" w:type="pct"/>
            <w:vAlign w:val="center"/>
          </w:tcPr>
          <w:p w14:paraId="3322B36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0.15</w:t>
            </w:r>
          </w:p>
        </w:tc>
        <w:tc>
          <w:tcPr>
            <w:tcW w:w="536" w:type="pct"/>
            <w:vAlign w:val="center"/>
          </w:tcPr>
          <w:p w14:paraId="5549237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1E1D2F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0.15</w:t>
            </w:r>
          </w:p>
        </w:tc>
        <w:tc>
          <w:tcPr>
            <w:tcW w:w="633" w:type="pct"/>
            <w:vAlign w:val="center"/>
          </w:tcPr>
          <w:p w14:paraId="7F67F01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2022/09/05 19:00</w:t>
            </w:r>
          </w:p>
        </w:tc>
        <w:tc>
          <w:tcPr>
            <w:tcW w:w="548" w:type="pct"/>
            <w:vAlign w:val="center"/>
          </w:tcPr>
          <w:p w14:paraId="517203B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0.05</w:t>
            </w:r>
          </w:p>
        </w:tc>
        <w:tc>
          <w:tcPr>
            <w:tcW w:w="579" w:type="pct"/>
            <w:vAlign w:val="center"/>
          </w:tcPr>
          <w:p w14:paraId="1E052BD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4770B9D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6D7FD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F07586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后陈村</w:t>
            </w:r>
          </w:p>
        </w:tc>
        <w:tc>
          <w:tcPr>
            <w:tcW w:w="688" w:type="pct"/>
            <w:vAlign w:val="center"/>
          </w:tcPr>
          <w:p w14:paraId="37D63D1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35" w:type="pct"/>
            <w:vAlign w:val="center"/>
          </w:tcPr>
          <w:p w14:paraId="30F313A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0.36</w:t>
            </w:r>
          </w:p>
        </w:tc>
        <w:tc>
          <w:tcPr>
            <w:tcW w:w="536" w:type="pct"/>
            <w:vAlign w:val="center"/>
          </w:tcPr>
          <w:p w14:paraId="78465F4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3EC351E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0.36</w:t>
            </w:r>
          </w:p>
        </w:tc>
        <w:tc>
          <w:tcPr>
            <w:tcW w:w="633" w:type="pct"/>
            <w:vAlign w:val="center"/>
          </w:tcPr>
          <w:p w14:paraId="6629326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48" w:type="pct"/>
            <w:vAlign w:val="center"/>
          </w:tcPr>
          <w:p w14:paraId="55806BF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0.08</w:t>
            </w:r>
          </w:p>
        </w:tc>
        <w:tc>
          <w:tcPr>
            <w:tcW w:w="579" w:type="pct"/>
            <w:vAlign w:val="center"/>
          </w:tcPr>
          <w:p w14:paraId="3AB9EF6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0A22A0C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366CA4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D492F4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岭口村</w:t>
            </w:r>
          </w:p>
        </w:tc>
        <w:tc>
          <w:tcPr>
            <w:tcW w:w="688" w:type="pct"/>
            <w:vAlign w:val="center"/>
          </w:tcPr>
          <w:p w14:paraId="5BA78FB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2022/04/29 07:00</w:t>
            </w:r>
          </w:p>
        </w:tc>
        <w:tc>
          <w:tcPr>
            <w:tcW w:w="535" w:type="pct"/>
            <w:vAlign w:val="center"/>
          </w:tcPr>
          <w:p w14:paraId="4641EA1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0.19</w:t>
            </w:r>
          </w:p>
        </w:tc>
        <w:tc>
          <w:tcPr>
            <w:tcW w:w="536" w:type="pct"/>
            <w:vAlign w:val="center"/>
          </w:tcPr>
          <w:p w14:paraId="69BDBF61">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2F63DC5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0.19</w:t>
            </w:r>
          </w:p>
        </w:tc>
        <w:tc>
          <w:tcPr>
            <w:tcW w:w="633" w:type="pct"/>
            <w:vAlign w:val="center"/>
          </w:tcPr>
          <w:p w14:paraId="2508788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2022/04/29 07:00</w:t>
            </w:r>
          </w:p>
        </w:tc>
        <w:tc>
          <w:tcPr>
            <w:tcW w:w="548" w:type="pct"/>
            <w:vAlign w:val="center"/>
          </w:tcPr>
          <w:p w14:paraId="5104B01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c>
          <w:tcPr>
            <w:tcW w:w="579" w:type="pct"/>
            <w:vAlign w:val="center"/>
          </w:tcPr>
          <w:p w14:paraId="3BE4C63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294ED9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49F29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F88E1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龙门村</w:t>
            </w:r>
          </w:p>
        </w:tc>
        <w:tc>
          <w:tcPr>
            <w:tcW w:w="688" w:type="pct"/>
            <w:vAlign w:val="center"/>
          </w:tcPr>
          <w:p w14:paraId="5A6F373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35" w:type="pct"/>
            <w:vAlign w:val="center"/>
          </w:tcPr>
          <w:p w14:paraId="77A5D0F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0.30</w:t>
            </w:r>
          </w:p>
        </w:tc>
        <w:tc>
          <w:tcPr>
            <w:tcW w:w="536" w:type="pct"/>
            <w:vAlign w:val="center"/>
          </w:tcPr>
          <w:p w14:paraId="2F4E311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65BE941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0.30</w:t>
            </w:r>
          </w:p>
        </w:tc>
        <w:tc>
          <w:tcPr>
            <w:tcW w:w="633" w:type="pct"/>
            <w:vAlign w:val="center"/>
          </w:tcPr>
          <w:p w14:paraId="5B4390B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21:00</w:t>
            </w:r>
          </w:p>
        </w:tc>
        <w:tc>
          <w:tcPr>
            <w:tcW w:w="548" w:type="pct"/>
            <w:vAlign w:val="center"/>
          </w:tcPr>
          <w:p w14:paraId="4A149BD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0.08</w:t>
            </w:r>
          </w:p>
        </w:tc>
        <w:tc>
          <w:tcPr>
            <w:tcW w:w="579" w:type="pct"/>
            <w:vAlign w:val="center"/>
          </w:tcPr>
          <w:p w14:paraId="13AA961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124DB3AD">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0.04</w:t>
            </w:r>
          </w:p>
        </w:tc>
      </w:tr>
      <w:tr w14:paraId="669B6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BC51B6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后庄村</w:t>
            </w:r>
          </w:p>
        </w:tc>
        <w:tc>
          <w:tcPr>
            <w:tcW w:w="688" w:type="pct"/>
            <w:vAlign w:val="center"/>
          </w:tcPr>
          <w:p w14:paraId="53BA766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21:00</w:t>
            </w:r>
          </w:p>
        </w:tc>
        <w:tc>
          <w:tcPr>
            <w:tcW w:w="535" w:type="pct"/>
            <w:vAlign w:val="center"/>
          </w:tcPr>
          <w:p w14:paraId="335CF14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0.40</w:t>
            </w:r>
          </w:p>
        </w:tc>
        <w:tc>
          <w:tcPr>
            <w:tcW w:w="536" w:type="pct"/>
            <w:vAlign w:val="center"/>
          </w:tcPr>
          <w:p w14:paraId="0FA23DC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5E28486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0.40</w:t>
            </w:r>
          </w:p>
        </w:tc>
        <w:tc>
          <w:tcPr>
            <w:tcW w:w="633" w:type="pct"/>
            <w:vAlign w:val="center"/>
          </w:tcPr>
          <w:p w14:paraId="4A6EFDE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2022/03/25 21:00</w:t>
            </w:r>
          </w:p>
        </w:tc>
        <w:tc>
          <w:tcPr>
            <w:tcW w:w="548" w:type="pct"/>
            <w:vAlign w:val="center"/>
          </w:tcPr>
          <w:p w14:paraId="1F0F2FE8">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0.11</w:t>
            </w:r>
          </w:p>
        </w:tc>
        <w:tc>
          <w:tcPr>
            <w:tcW w:w="579" w:type="pct"/>
            <w:vAlign w:val="center"/>
          </w:tcPr>
          <w:p w14:paraId="24AD987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32BF0E7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r>
      <w:tr w14:paraId="544C3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36BD67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北郭村</w:t>
            </w:r>
          </w:p>
        </w:tc>
        <w:tc>
          <w:tcPr>
            <w:tcW w:w="688" w:type="pct"/>
            <w:vAlign w:val="center"/>
          </w:tcPr>
          <w:p w14:paraId="0B10999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35" w:type="pct"/>
            <w:vAlign w:val="center"/>
          </w:tcPr>
          <w:p w14:paraId="16E1B6A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536" w:type="pct"/>
            <w:vAlign w:val="center"/>
          </w:tcPr>
          <w:p w14:paraId="6C285132">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61BFDE0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0.18</w:t>
            </w:r>
          </w:p>
        </w:tc>
        <w:tc>
          <w:tcPr>
            <w:tcW w:w="633" w:type="pct"/>
            <w:vAlign w:val="center"/>
          </w:tcPr>
          <w:p w14:paraId="18B59DE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2022/11/28 18:00</w:t>
            </w:r>
          </w:p>
        </w:tc>
        <w:tc>
          <w:tcPr>
            <w:tcW w:w="548" w:type="pct"/>
            <w:vAlign w:val="center"/>
          </w:tcPr>
          <w:p w14:paraId="0A77FF0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0.06</w:t>
            </w:r>
          </w:p>
        </w:tc>
        <w:tc>
          <w:tcPr>
            <w:tcW w:w="579" w:type="pct"/>
            <w:vAlign w:val="center"/>
          </w:tcPr>
          <w:p w14:paraId="387EEA3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77ECD8F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0.03</w:t>
            </w:r>
          </w:p>
        </w:tc>
      </w:tr>
      <w:tr w14:paraId="40AAE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9C0BE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区域最大值</w:t>
            </w:r>
          </w:p>
        </w:tc>
        <w:tc>
          <w:tcPr>
            <w:tcW w:w="688" w:type="pct"/>
            <w:vAlign w:val="center"/>
          </w:tcPr>
          <w:p w14:paraId="1F81E1D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2022/01/05 21:00</w:t>
            </w:r>
          </w:p>
        </w:tc>
        <w:tc>
          <w:tcPr>
            <w:tcW w:w="535" w:type="pct"/>
            <w:vAlign w:val="center"/>
          </w:tcPr>
          <w:p w14:paraId="54C16957">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14.22</w:t>
            </w:r>
          </w:p>
        </w:tc>
        <w:tc>
          <w:tcPr>
            <w:tcW w:w="536" w:type="pct"/>
            <w:vAlign w:val="center"/>
          </w:tcPr>
          <w:p w14:paraId="1AF31AF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100.00</w:t>
            </w:r>
          </w:p>
        </w:tc>
        <w:tc>
          <w:tcPr>
            <w:tcW w:w="447" w:type="pct"/>
            <w:vAlign w:val="center"/>
          </w:tcPr>
          <w:p w14:paraId="7B5DCF2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 xml:space="preserve">14.22 </w:t>
            </w:r>
          </w:p>
        </w:tc>
        <w:tc>
          <w:tcPr>
            <w:tcW w:w="633" w:type="pct"/>
            <w:vAlign w:val="center"/>
          </w:tcPr>
          <w:p w14:paraId="58E0836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2022/03/15 02:00</w:t>
            </w:r>
          </w:p>
        </w:tc>
        <w:tc>
          <w:tcPr>
            <w:tcW w:w="548" w:type="pct"/>
            <w:vAlign w:val="center"/>
          </w:tcPr>
          <w:p w14:paraId="381CD7E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3.34</w:t>
            </w:r>
          </w:p>
        </w:tc>
        <w:tc>
          <w:tcPr>
            <w:tcW w:w="579" w:type="pct"/>
            <w:vAlign w:val="center"/>
          </w:tcPr>
          <w:p w14:paraId="4593DDE9">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200.00</w:t>
            </w:r>
          </w:p>
        </w:tc>
        <w:tc>
          <w:tcPr>
            <w:tcW w:w="430" w:type="pct"/>
            <w:vAlign w:val="center"/>
          </w:tcPr>
          <w:p w14:paraId="54B50C6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sz w:val="18"/>
                <w:szCs w:val="18"/>
                <w:highlight w:val="none"/>
                <w:u w:val="none"/>
              </w:rPr>
              <w:t xml:space="preserve">1.67 </w:t>
            </w:r>
          </w:p>
        </w:tc>
      </w:tr>
    </w:tbl>
    <w:p w14:paraId="1D821DDE">
      <w:pPr>
        <w:pStyle w:val="988"/>
        <w:adjustRightInd w:val="0"/>
        <w:snapToGrid w:val="0"/>
        <w:ind w:firstLine="0" w:firstLineChars="0"/>
        <w:rPr>
          <w:color w:val="auto"/>
          <w:highlight w:val="none"/>
          <w:u w:val="none"/>
        </w:rPr>
      </w:pPr>
    </w:p>
    <w:p w14:paraId="03B3279A">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29</w:t>
      </w:r>
      <w:r>
        <w:rPr>
          <w:color w:val="auto"/>
          <w:highlight w:val="none"/>
          <w:u w:val="none"/>
        </w:rPr>
        <w:fldChar w:fldCharType="end"/>
      </w:r>
      <w:r>
        <w:rPr>
          <w:color w:val="auto"/>
          <w:highlight w:val="none"/>
          <w:u w:val="none"/>
        </w:rPr>
        <w:t xml:space="preserve">  项目建成后氯气叠加预测值一览表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31B0B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51456DE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名称</w:t>
            </w:r>
          </w:p>
        </w:tc>
        <w:tc>
          <w:tcPr>
            <w:tcW w:w="2206" w:type="pct"/>
            <w:gridSpan w:val="4"/>
            <w:vAlign w:val="center"/>
          </w:tcPr>
          <w:p w14:paraId="6F9697DA">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氯气</w:t>
            </w:r>
            <w:r>
              <w:rPr>
                <w:rFonts w:hAnsi="Times New Roman"/>
                <w:color w:val="auto"/>
                <w:kern w:val="2"/>
                <w:sz w:val="21"/>
                <w:szCs w:val="21"/>
                <w:highlight w:val="none"/>
                <w:u w:val="none"/>
                <w:lang w:val="en-US"/>
              </w:rPr>
              <w:t>小时浓度</w:t>
            </w:r>
          </w:p>
        </w:tc>
        <w:tc>
          <w:tcPr>
            <w:tcW w:w="2190" w:type="pct"/>
            <w:gridSpan w:val="4"/>
            <w:vAlign w:val="center"/>
          </w:tcPr>
          <w:p w14:paraId="7F4C6AF8">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氯气日均</w:t>
            </w:r>
            <w:r>
              <w:rPr>
                <w:rFonts w:hAnsi="Times New Roman"/>
                <w:color w:val="auto"/>
                <w:kern w:val="2"/>
                <w:sz w:val="21"/>
                <w:szCs w:val="21"/>
                <w:highlight w:val="none"/>
                <w:u w:val="none"/>
                <w:lang w:val="en-US"/>
              </w:rPr>
              <w:t>浓度</w:t>
            </w:r>
          </w:p>
        </w:tc>
      </w:tr>
      <w:tr w14:paraId="6852D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6394DCEC">
            <w:pPr>
              <w:spacing w:line="240" w:lineRule="auto"/>
              <w:ind w:firstLine="0" w:firstLineChars="0"/>
              <w:jc w:val="center"/>
              <w:rPr>
                <w:rFonts w:hAnsi="Times New Roman"/>
                <w:color w:val="auto"/>
                <w:kern w:val="2"/>
                <w:sz w:val="21"/>
                <w:szCs w:val="21"/>
                <w:highlight w:val="none"/>
                <w:u w:val="none"/>
                <w:lang w:val="en-US"/>
              </w:rPr>
            </w:pPr>
          </w:p>
        </w:tc>
        <w:tc>
          <w:tcPr>
            <w:tcW w:w="688" w:type="pct"/>
            <w:vAlign w:val="center"/>
          </w:tcPr>
          <w:p w14:paraId="60EC2B2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35" w:type="pct"/>
            <w:vAlign w:val="center"/>
          </w:tcPr>
          <w:p w14:paraId="5F3FE30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36" w:type="pct"/>
            <w:vAlign w:val="center"/>
          </w:tcPr>
          <w:p w14:paraId="30F4C94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47" w:type="pct"/>
            <w:vAlign w:val="center"/>
          </w:tcPr>
          <w:p w14:paraId="39D969F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c>
          <w:tcPr>
            <w:tcW w:w="633" w:type="pct"/>
            <w:vAlign w:val="center"/>
          </w:tcPr>
          <w:p w14:paraId="64C276F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48" w:type="pct"/>
            <w:vAlign w:val="center"/>
          </w:tcPr>
          <w:p w14:paraId="135B3DA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79" w:type="pct"/>
            <w:vAlign w:val="center"/>
          </w:tcPr>
          <w:p w14:paraId="2E58C134">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30" w:type="pct"/>
            <w:vAlign w:val="center"/>
          </w:tcPr>
          <w:p w14:paraId="1DF8AEB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r>
      <w:tr w14:paraId="4BF8A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CD3A77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新厝镇</w:t>
            </w:r>
          </w:p>
        </w:tc>
        <w:tc>
          <w:tcPr>
            <w:tcW w:w="688" w:type="pct"/>
            <w:vAlign w:val="center"/>
          </w:tcPr>
          <w:p w14:paraId="6ECC88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2022/08/22 04:00</w:t>
            </w:r>
          </w:p>
        </w:tc>
        <w:tc>
          <w:tcPr>
            <w:tcW w:w="535" w:type="pct"/>
            <w:vAlign w:val="center"/>
          </w:tcPr>
          <w:p w14:paraId="37A705A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0.55</w:t>
            </w:r>
          </w:p>
        </w:tc>
        <w:tc>
          <w:tcPr>
            <w:tcW w:w="536" w:type="pct"/>
            <w:vAlign w:val="center"/>
          </w:tcPr>
          <w:p w14:paraId="1D9040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2191C2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0.55</w:t>
            </w:r>
          </w:p>
        </w:tc>
        <w:tc>
          <w:tcPr>
            <w:tcW w:w="633" w:type="pct"/>
            <w:vAlign w:val="center"/>
          </w:tcPr>
          <w:p w14:paraId="58599E2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2022/08/22 00:00</w:t>
            </w:r>
          </w:p>
        </w:tc>
        <w:tc>
          <w:tcPr>
            <w:tcW w:w="548" w:type="pct"/>
            <w:vAlign w:val="center"/>
          </w:tcPr>
          <w:p w14:paraId="0115B2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c>
          <w:tcPr>
            <w:tcW w:w="579" w:type="pct"/>
            <w:vAlign w:val="center"/>
          </w:tcPr>
          <w:p w14:paraId="3870EB9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F0B34E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r>
      <w:tr w14:paraId="0D5D6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5514C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上后村（莆田）</w:t>
            </w:r>
          </w:p>
        </w:tc>
        <w:tc>
          <w:tcPr>
            <w:tcW w:w="688" w:type="pct"/>
            <w:vAlign w:val="center"/>
          </w:tcPr>
          <w:p w14:paraId="070B1C1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07:00</w:t>
            </w:r>
          </w:p>
        </w:tc>
        <w:tc>
          <w:tcPr>
            <w:tcW w:w="535" w:type="pct"/>
            <w:vAlign w:val="center"/>
          </w:tcPr>
          <w:p w14:paraId="50426E1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0.41</w:t>
            </w:r>
          </w:p>
        </w:tc>
        <w:tc>
          <w:tcPr>
            <w:tcW w:w="536" w:type="pct"/>
            <w:vAlign w:val="center"/>
          </w:tcPr>
          <w:p w14:paraId="1F86FF6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900634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0.41</w:t>
            </w:r>
          </w:p>
        </w:tc>
        <w:tc>
          <w:tcPr>
            <w:tcW w:w="633" w:type="pct"/>
            <w:vAlign w:val="center"/>
          </w:tcPr>
          <w:p w14:paraId="3EEDDE0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00:00</w:t>
            </w:r>
          </w:p>
        </w:tc>
        <w:tc>
          <w:tcPr>
            <w:tcW w:w="548" w:type="pct"/>
            <w:vAlign w:val="center"/>
          </w:tcPr>
          <w:p w14:paraId="466CA6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513EB6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DE1E00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r>
      <w:tr w14:paraId="196F3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52FDA07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莆江村（莆田）</w:t>
            </w:r>
          </w:p>
        </w:tc>
        <w:tc>
          <w:tcPr>
            <w:tcW w:w="688" w:type="pct"/>
            <w:vAlign w:val="center"/>
          </w:tcPr>
          <w:p w14:paraId="6702E5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35" w:type="pct"/>
            <w:vAlign w:val="center"/>
          </w:tcPr>
          <w:p w14:paraId="751CF7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536" w:type="pct"/>
            <w:vAlign w:val="center"/>
          </w:tcPr>
          <w:p w14:paraId="73476C4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610F76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633" w:type="pct"/>
            <w:vAlign w:val="center"/>
          </w:tcPr>
          <w:p w14:paraId="23F09CD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2022/09/19 00:00</w:t>
            </w:r>
          </w:p>
        </w:tc>
        <w:tc>
          <w:tcPr>
            <w:tcW w:w="548" w:type="pct"/>
            <w:vAlign w:val="center"/>
          </w:tcPr>
          <w:p w14:paraId="60BCA2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3FACC8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284BDB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r>
      <w:tr w14:paraId="4C675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9D87B9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峰头村</w:t>
            </w:r>
          </w:p>
        </w:tc>
        <w:tc>
          <w:tcPr>
            <w:tcW w:w="688" w:type="pct"/>
            <w:vAlign w:val="center"/>
          </w:tcPr>
          <w:p w14:paraId="610B4D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35" w:type="pct"/>
            <w:vAlign w:val="center"/>
          </w:tcPr>
          <w:p w14:paraId="099C2C4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1.10</w:t>
            </w:r>
          </w:p>
        </w:tc>
        <w:tc>
          <w:tcPr>
            <w:tcW w:w="536" w:type="pct"/>
            <w:vAlign w:val="center"/>
          </w:tcPr>
          <w:p w14:paraId="475ABE5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F43D0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1.10</w:t>
            </w:r>
          </w:p>
        </w:tc>
        <w:tc>
          <w:tcPr>
            <w:tcW w:w="633" w:type="pct"/>
            <w:vAlign w:val="center"/>
          </w:tcPr>
          <w:p w14:paraId="67AF90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00:00</w:t>
            </w:r>
          </w:p>
        </w:tc>
        <w:tc>
          <w:tcPr>
            <w:tcW w:w="548" w:type="pct"/>
            <w:vAlign w:val="center"/>
          </w:tcPr>
          <w:p w14:paraId="5543F0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c>
          <w:tcPr>
            <w:tcW w:w="579" w:type="pct"/>
            <w:vAlign w:val="center"/>
          </w:tcPr>
          <w:p w14:paraId="2A7E73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01B8FC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0.36</w:t>
            </w:r>
          </w:p>
        </w:tc>
      </w:tr>
      <w:tr w14:paraId="38408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86494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漆林村</w:t>
            </w:r>
          </w:p>
        </w:tc>
        <w:tc>
          <w:tcPr>
            <w:tcW w:w="688" w:type="pct"/>
            <w:vAlign w:val="center"/>
          </w:tcPr>
          <w:p w14:paraId="41B717A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22:00</w:t>
            </w:r>
          </w:p>
        </w:tc>
        <w:tc>
          <w:tcPr>
            <w:tcW w:w="535" w:type="pct"/>
            <w:vAlign w:val="center"/>
          </w:tcPr>
          <w:p w14:paraId="2812D4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536" w:type="pct"/>
            <w:vAlign w:val="center"/>
          </w:tcPr>
          <w:p w14:paraId="756B6DD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562166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633" w:type="pct"/>
            <w:vAlign w:val="center"/>
          </w:tcPr>
          <w:p w14:paraId="0F01DE3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2022/05/31 00:00</w:t>
            </w:r>
          </w:p>
        </w:tc>
        <w:tc>
          <w:tcPr>
            <w:tcW w:w="548" w:type="pct"/>
            <w:vAlign w:val="center"/>
          </w:tcPr>
          <w:p w14:paraId="55B675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0.06</w:t>
            </w:r>
          </w:p>
        </w:tc>
        <w:tc>
          <w:tcPr>
            <w:tcW w:w="579" w:type="pct"/>
            <w:vAlign w:val="center"/>
          </w:tcPr>
          <w:p w14:paraId="53D84EF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C5AF3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0.19</w:t>
            </w:r>
          </w:p>
        </w:tc>
      </w:tr>
      <w:tr w14:paraId="19789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1F9DFA4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大东村（莆田）</w:t>
            </w:r>
          </w:p>
        </w:tc>
        <w:tc>
          <w:tcPr>
            <w:tcW w:w="688" w:type="pct"/>
            <w:vAlign w:val="center"/>
          </w:tcPr>
          <w:p w14:paraId="0A97452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19:00</w:t>
            </w:r>
          </w:p>
        </w:tc>
        <w:tc>
          <w:tcPr>
            <w:tcW w:w="535" w:type="pct"/>
            <w:vAlign w:val="center"/>
          </w:tcPr>
          <w:p w14:paraId="68445DA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536" w:type="pct"/>
            <w:vAlign w:val="center"/>
          </w:tcPr>
          <w:p w14:paraId="21C8C46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E227D6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633" w:type="pct"/>
            <w:vAlign w:val="center"/>
          </w:tcPr>
          <w:p w14:paraId="7C30B8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00:00</w:t>
            </w:r>
          </w:p>
        </w:tc>
        <w:tc>
          <w:tcPr>
            <w:tcW w:w="548" w:type="pct"/>
            <w:vAlign w:val="center"/>
          </w:tcPr>
          <w:p w14:paraId="741B0F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4D1E59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05FE2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0.10</w:t>
            </w:r>
          </w:p>
        </w:tc>
      </w:tr>
      <w:tr w14:paraId="19317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1699E8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霞埔村</w:t>
            </w:r>
          </w:p>
        </w:tc>
        <w:tc>
          <w:tcPr>
            <w:tcW w:w="688" w:type="pct"/>
            <w:vAlign w:val="center"/>
          </w:tcPr>
          <w:p w14:paraId="0BF30C5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23:00</w:t>
            </w:r>
          </w:p>
        </w:tc>
        <w:tc>
          <w:tcPr>
            <w:tcW w:w="535" w:type="pct"/>
            <w:vAlign w:val="center"/>
          </w:tcPr>
          <w:p w14:paraId="062E208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c>
          <w:tcPr>
            <w:tcW w:w="536" w:type="pct"/>
            <w:vAlign w:val="center"/>
          </w:tcPr>
          <w:p w14:paraId="32A2C5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98316E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c>
          <w:tcPr>
            <w:tcW w:w="633" w:type="pct"/>
            <w:vAlign w:val="center"/>
          </w:tcPr>
          <w:p w14:paraId="2513A9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00:00</w:t>
            </w:r>
          </w:p>
        </w:tc>
        <w:tc>
          <w:tcPr>
            <w:tcW w:w="548" w:type="pct"/>
            <w:vAlign w:val="center"/>
          </w:tcPr>
          <w:p w14:paraId="7E6B31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0.10</w:t>
            </w:r>
          </w:p>
        </w:tc>
        <w:tc>
          <w:tcPr>
            <w:tcW w:w="579" w:type="pct"/>
            <w:vAlign w:val="center"/>
          </w:tcPr>
          <w:p w14:paraId="714C847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1F83AA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0.33</w:t>
            </w:r>
          </w:p>
        </w:tc>
      </w:tr>
      <w:tr w14:paraId="3E14C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952177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芝山</w:t>
            </w:r>
          </w:p>
        </w:tc>
        <w:tc>
          <w:tcPr>
            <w:tcW w:w="688" w:type="pct"/>
            <w:vAlign w:val="center"/>
          </w:tcPr>
          <w:p w14:paraId="7D5A6D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35" w:type="pct"/>
            <w:vAlign w:val="center"/>
          </w:tcPr>
          <w:p w14:paraId="1131F3F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1.21</w:t>
            </w:r>
          </w:p>
        </w:tc>
        <w:tc>
          <w:tcPr>
            <w:tcW w:w="536" w:type="pct"/>
            <w:vAlign w:val="center"/>
          </w:tcPr>
          <w:p w14:paraId="4469E71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2DD2F6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1.21</w:t>
            </w:r>
          </w:p>
        </w:tc>
        <w:tc>
          <w:tcPr>
            <w:tcW w:w="633" w:type="pct"/>
            <w:vAlign w:val="center"/>
          </w:tcPr>
          <w:p w14:paraId="1159D9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3F0050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0.34</w:t>
            </w:r>
          </w:p>
        </w:tc>
        <w:tc>
          <w:tcPr>
            <w:tcW w:w="579" w:type="pct"/>
            <w:vAlign w:val="center"/>
          </w:tcPr>
          <w:p w14:paraId="0A29E1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03C881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1.12</w:t>
            </w:r>
          </w:p>
        </w:tc>
      </w:tr>
      <w:tr w14:paraId="62922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ECEC7C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高局</w:t>
            </w:r>
          </w:p>
        </w:tc>
        <w:tc>
          <w:tcPr>
            <w:tcW w:w="688" w:type="pct"/>
            <w:vAlign w:val="center"/>
          </w:tcPr>
          <w:p w14:paraId="1DD23F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25D7622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0.84</w:t>
            </w:r>
          </w:p>
        </w:tc>
        <w:tc>
          <w:tcPr>
            <w:tcW w:w="536" w:type="pct"/>
            <w:vAlign w:val="center"/>
          </w:tcPr>
          <w:p w14:paraId="52DC74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E746E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0.84</w:t>
            </w:r>
          </w:p>
        </w:tc>
        <w:tc>
          <w:tcPr>
            <w:tcW w:w="633" w:type="pct"/>
            <w:vAlign w:val="center"/>
          </w:tcPr>
          <w:p w14:paraId="03AFEA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0ECAE0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0.20</w:t>
            </w:r>
          </w:p>
        </w:tc>
        <w:tc>
          <w:tcPr>
            <w:tcW w:w="579" w:type="pct"/>
            <w:vAlign w:val="center"/>
          </w:tcPr>
          <w:p w14:paraId="18252FB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5A413A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0.65</w:t>
            </w:r>
          </w:p>
        </w:tc>
      </w:tr>
      <w:tr w14:paraId="0761C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3189F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西山</w:t>
            </w:r>
          </w:p>
        </w:tc>
        <w:tc>
          <w:tcPr>
            <w:tcW w:w="688" w:type="pct"/>
            <w:vAlign w:val="center"/>
          </w:tcPr>
          <w:p w14:paraId="3385ADA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2022/05/29 05:00</w:t>
            </w:r>
          </w:p>
        </w:tc>
        <w:tc>
          <w:tcPr>
            <w:tcW w:w="535" w:type="pct"/>
            <w:vAlign w:val="center"/>
          </w:tcPr>
          <w:p w14:paraId="2A62D3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0.85</w:t>
            </w:r>
          </w:p>
        </w:tc>
        <w:tc>
          <w:tcPr>
            <w:tcW w:w="536" w:type="pct"/>
            <w:vAlign w:val="center"/>
          </w:tcPr>
          <w:p w14:paraId="2C57CE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FAA51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0.85</w:t>
            </w:r>
          </w:p>
        </w:tc>
        <w:tc>
          <w:tcPr>
            <w:tcW w:w="633" w:type="pct"/>
            <w:vAlign w:val="center"/>
          </w:tcPr>
          <w:p w14:paraId="04099CA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7FCB510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c>
          <w:tcPr>
            <w:tcW w:w="579" w:type="pct"/>
            <w:vAlign w:val="center"/>
          </w:tcPr>
          <w:p w14:paraId="35EFCF9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4BFB6BC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0.84</w:t>
            </w:r>
          </w:p>
        </w:tc>
      </w:tr>
      <w:tr w14:paraId="66047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D6E57D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东井村</w:t>
            </w:r>
          </w:p>
        </w:tc>
        <w:tc>
          <w:tcPr>
            <w:tcW w:w="688" w:type="pct"/>
            <w:vAlign w:val="center"/>
          </w:tcPr>
          <w:p w14:paraId="1D2CFD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35" w:type="pct"/>
            <w:vAlign w:val="center"/>
          </w:tcPr>
          <w:p w14:paraId="620B664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0.73</w:t>
            </w:r>
          </w:p>
        </w:tc>
        <w:tc>
          <w:tcPr>
            <w:tcW w:w="536" w:type="pct"/>
            <w:vAlign w:val="center"/>
          </w:tcPr>
          <w:p w14:paraId="6A607D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2AD16B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0.73</w:t>
            </w:r>
          </w:p>
        </w:tc>
        <w:tc>
          <w:tcPr>
            <w:tcW w:w="633" w:type="pct"/>
            <w:vAlign w:val="center"/>
          </w:tcPr>
          <w:p w14:paraId="154CEE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436D43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0.21</w:t>
            </w:r>
          </w:p>
        </w:tc>
        <w:tc>
          <w:tcPr>
            <w:tcW w:w="579" w:type="pct"/>
            <w:vAlign w:val="center"/>
          </w:tcPr>
          <w:p w14:paraId="51BAF2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0BEB897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0.69</w:t>
            </w:r>
          </w:p>
        </w:tc>
      </w:tr>
      <w:tr w14:paraId="06A9D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37B2D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沾泽村</w:t>
            </w:r>
          </w:p>
        </w:tc>
        <w:tc>
          <w:tcPr>
            <w:tcW w:w="688" w:type="pct"/>
            <w:vAlign w:val="center"/>
          </w:tcPr>
          <w:p w14:paraId="54D563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195F03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0.40</w:t>
            </w:r>
          </w:p>
        </w:tc>
        <w:tc>
          <w:tcPr>
            <w:tcW w:w="536" w:type="pct"/>
            <w:vAlign w:val="center"/>
          </w:tcPr>
          <w:p w14:paraId="6D03E91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A116D5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0.40</w:t>
            </w:r>
          </w:p>
        </w:tc>
        <w:tc>
          <w:tcPr>
            <w:tcW w:w="633" w:type="pct"/>
            <w:vAlign w:val="center"/>
          </w:tcPr>
          <w:p w14:paraId="199BC08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0735B7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0.07</w:t>
            </w:r>
          </w:p>
        </w:tc>
        <w:tc>
          <w:tcPr>
            <w:tcW w:w="579" w:type="pct"/>
            <w:vAlign w:val="center"/>
          </w:tcPr>
          <w:p w14:paraId="32CB069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31C8FD4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r>
      <w:tr w14:paraId="1C1DF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C43693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南曹村</w:t>
            </w:r>
          </w:p>
        </w:tc>
        <w:tc>
          <w:tcPr>
            <w:tcW w:w="688" w:type="pct"/>
            <w:vAlign w:val="center"/>
          </w:tcPr>
          <w:p w14:paraId="01274C0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2022/04/24 07:00</w:t>
            </w:r>
          </w:p>
        </w:tc>
        <w:tc>
          <w:tcPr>
            <w:tcW w:w="535" w:type="pct"/>
            <w:vAlign w:val="center"/>
          </w:tcPr>
          <w:p w14:paraId="5B9B75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0.65</w:t>
            </w:r>
          </w:p>
        </w:tc>
        <w:tc>
          <w:tcPr>
            <w:tcW w:w="536" w:type="pct"/>
            <w:vAlign w:val="center"/>
          </w:tcPr>
          <w:p w14:paraId="75FBEB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C799B7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0.65</w:t>
            </w:r>
          </w:p>
        </w:tc>
        <w:tc>
          <w:tcPr>
            <w:tcW w:w="633" w:type="pct"/>
            <w:vAlign w:val="center"/>
          </w:tcPr>
          <w:p w14:paraId="404E5C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193EA74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c>
          <w:tcPr>
            <w:tcW w:w="579" w:type="pct"/>
            <w:vAlign w:val="center"/>
          </w:tcPr>
          <w:p w14:paraId="13A381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02A2017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0.50</w:t>
            </w:r>
          </w:p>
        </w:tc>
      </w:tr>
      <w:tr w14:paraId="56EFE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5B2B1C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东江水厂</w:t>
            </w:r>
          </w:p>
        </w:tc>
        <w:tc>
          <w:tcPr>
            <w:tcW w:w="688" w:type="pct"/>
            <w:vAlign w:val="center"/>
          </w:tcPr>
          <w:p w14:paraId="735B519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2022/08/23 07:00</w:t>
            </w:r>
          </w:p>
        </w:tc>
        <w:tc>
          <w:tcPr>
            <w:tcW w:w="535" w:type="pct"/>
            <w:vAlign w:val="center"/>
          </w:tcPr>
          <w:p w14:paraId="115726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0.83</w:t>
            </w:r>
          </w:p>
        </w:tc>
        <w:tc>
          <w:tcPr>
            <w:tcW w:w="536" w:type="pct"/>
            <w:vAlign w:val="center"/>
          </w:tcPr>
          <w:p w14:paraId="5764C38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FAD889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0.83</w:t>
            </w:r>
          </w:p>
        </w:tc>
        <w:tc>
          <w:tcPr>
            <w:tcW w:w="633" w:type="pct"/>
            <w:vAlign w:val="center"/>
          </w:tcPr>
          <w:p w14:paraId="4F5E5A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2022/07/13 00:00</w:t>
            </w:r>
          </w:p>
        </w:tc>
        <w:tc>
          <w:tcPr>
            <w:tcW w:w="548" w:type="pct"/>
            <w:vAlign w:val="center"/>
          </w:tcPr>
          <w:p w14:paraId="71B48A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79" w:type="pct"/>
            <w:vAlign w:val="center"/>
          </w:tcPr>
          <w:p w14:paraId="36264A5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75FF1C5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r>
      <w:tr w14:paraId="59349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C08EB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东沃村</w:t>
            </w:r>
          </w:p>
        </w:tc>
        <w:tc>
          <w:tcPr>
            <w:tcW w:w="688" w:type="pct"/>
            <w:vAlign w:val="center"/>
          </w:tcPr>
          <w:p w14:paraId="352F51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2022/03/14 21:00</w:t>
            </w:r>
          </w:p>
        </w:tc>
        <w:tc>
          <w:tcPr>
            <w:tcW w:w="535" w:type="pct"/>
            <w:vAlign w:val="center"/>
          </w:tcPr>
          <w:p w14:paraId="736116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1.64</w:t>
            </w:r>
          </w:p>
        </w:tc>
        <w:tc>
          <w:tcPr>
            <w:tcW w:w="536" w:type="pct"/>
            <w:vAlign w:val="center"/>
          </w:tcPr>
          <w:p w14:paraId="6EAC43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1A3524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1.64</w:t>
            </w:r>
          </w:p>
        </w:tc>
        <w:tc>
          <w:tcPr>
            <w:tcW w:w="633" w:type="pct"/>
            <w:vAlign w:val="center"/>
          </w:tcPr>
          <w:p w14:paraId="5198A2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2022/08/08 00:00</w:t>
            </w:r>
          </w:p>
        </w:tc>
        <w:tc>
          <w:tcPr>
            <w:tcW w:w="548" w:type="pct"/>
            <w:vAlign w:val="center"/>
          </w:tcPr>
          <w:p w14:paraId="679CC6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79" w:type="pct"/>
            <w:vAlign w:val="center"/>
          </w:tcPr>
          <w:p w14:paraId="0482B88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5EEE7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r>
      <w:tr w14:paraId="70E07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232009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潘厝村</w:t>
            </w:r>
          </w:p>
        </w:tc>
        <w:tc>
          <w:tcPr>
            <w:tcW w:w="688" w:type="pct"/>
            <w:vAlign w:val="center"/>
          </w:tcPr>
          <w:p w14:paraId="634D62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2022/08/19 06:00</w:t>
            </w:r>
          </w:p>
        </w:tc>
        <w:tc>
          <w:tcPr>
            <w:tcW w:w="535" w:type="pct"/>
            <w:vAlign w:val="center"/>
          </w:tcPr>
          <w:p w14:paraId="2ABFBA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0.61</w:t>
            </w:r>
          </w:p>
        </w:tc>
        <w:tc>
          <w:tcPr>
            <w:tcW w:w="536" w:type="pct"/>
            <w:vAlign w:val="center"/>
          </w:tcPr>
          <w:p w14:paraId="186274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4138EF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0.61</w:t>
            </w:r>
          </w:p>
        </w:tc>
        <w:tc>
          <w:tcPr>
            <w:tcW w:w="633" w:type="pct"/>
            <w:vAlign w:val="center"/>
          </w:tcPr>
          <w:p w14:paraId="4D60D5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16F4104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0.19</w:t>
            </w:r>
          </w:p>
        </w:tc>
        <w:tc>
          <w:tcPr>
            <w:tcW w:w="579" w:type="pct"/>
            <w:vAlign w:val="center"/>
          </w:tcPr>
          <w:p w14:paraId="2C21F1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D31F7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0.62</w:t>
            </w:r>
          </w:p>
        </w:tc>
      </w:tr>
      <w:tr w14:paraId="24E0E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F0C8A9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何厝村</w:t>
            </w:r>
          </w:p>
        </w:tc>
        <w:tc>
          <w:tcPr>
            <w:tcW w:w="688" w:type="pct"/>
            <w:vAlign w:val="center"/>
          </w:tcPr>
          <w:p w14:paraId="4F2E3BD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3BBA97B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0.62</w:t>
            </w:r>
          </w:p>
        </w:tc>
        <w:tc>
          <w:tcPr>
            <w:tcW w:w="536" w:type="pct"/>
            <w:vAlign w:val="center"/>
          </w:tcPr>
          <w:p w14:paraId="005B6E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EA233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0.62</w:t>
            </w:r>
          </w:p>
        </w:tc>
        <w:tc>
          <w:tcPr>
            <w:tcW w:w="633" w:type="pct"/>
            <w:vAlign w:val="center"/>
          </w:tcPr>
          <w:p w14:paraId="3FA40D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13B8C0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0.13</w:t>
            </w:r>
          </w:p>
        </w:tc>
        <w:tc>
          <w:tcPr>
            <w:tcW w:w="579" w:type="pct"/>
            <w:vAlign w:val="center"/>
          </w:tcPr>
          <w:p w14:paraId="31CA67C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3CFBD9D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0.42</w:t>
            </w:r>
          </w:p>
        </w:tc>
      </w:tr>
      <w:tr w14:paraId="307A1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436760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田头村</w:t>
            </w:r>
          </w:p>
        </w:tc>
        <w:tc>
          <w:tcPr>
            <w:tcW w:w="688" w:type="pct"/>
            <w:vAlign w:val="center"/>
          </w:tcPr>
          <w:p w14:paraId="1859F9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2022/03/04 09:00</w:t>
            </w:r>
          </w:p>
        </w:tc>
        <w:tc>
          <w:tcPr>
            <w:tcW w:w="535" w:type="pct"/>
            <w:vAlign w:val="center"/>
          </w:tcPr>
          <w:p w14:paraId="4EC1B39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c>
          <w:tcPr>
            <w:tcW w:w="536" w:type="pct"/>
            <w:vAlign w:val="center"/>
          </w:tcPr>
          <w:p w14:paraId="78148E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798EC3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c>
          <w:tcPr>
            <w:tcW w:w="633" w:type="pct"/>
            <w:vAlign w:val="center"/>
          </w:tcPr>
          <w:p w14:paraId="50AB06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4C189A0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66DADD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7567F6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r>
      <w:tr w14:paraId="758D5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63BE79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下堡村</w:t>
            </w:r>
          </w:p>
        </w:tc>
        <w:tc>
          <w:tcPr>
            <w:tcW w:w="688" w:type="pct"/>
            <w:vAlign w:val="center"/>
          </w:tcPr>
          <w:p w14:paraId="53319F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06:00</w:t>
            </w:r>
          </w:p>
        </w:tc>
        <w:tc>
          <w:tcPr>
            <w:tcW w:w="535" w:type="pct"/>
            <w:vAlign w:val="center"/>
          </w:tcPr>
          <w:p w14:paraId="31BDB1D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0.39</w:t>
            </w:r>
          </w:p>
        </w:tc>
        <w:tc>
          <w:tcPr>
            <w:tcW w:w="536" w:type="pct"/>
            <w:vAlign w:val="center"/>
          </w:tcPr>
          <w:p w14:paraId="555CB3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06C09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0.39</w:t>
            </w:r>
          </w:p>
        </w:tc>
        <w:tc>
          <w:tcPr>
            <w:tcW w:w="633" w:type="pct"/>
            <w:vAlign w:val="center"/>
          </w:tcPr>
          <w:p w14:paraId="2BA4690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5D5D1C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0.07</w:t>
            </w:r>
          </w:p>
        </w:tc>
        <w:tc>
          <w:tcPr>
            <w:tcW w:w="579" w:type="pct"/>
            <w:vAlign w:val="center"/>
          </w:tcPr>
          <w:p w14:paraId="580A5D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0ABB00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r>
      <w:tr w14:paraId="107F1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30F72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下石村</w:t>
            </w:r>
          </w:p>
        </w:tc>
        <w:tc>
          <w:tcPr>
            <w:tcW w:w="688" w:type="pct"/>
            <w:vAlign w:val="center"/>
          </w:tcPr>
          <w:p w14:paraId="3085B3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144937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0.56</w:t>
            </w:r>
          </w:p>
        </w:tc>
        <w:tc>
          <w:tcPr>
            <w:tcW w:w="536" w:type="pct"/>
            <w:vAlign w:val="center"/>
          </w:tcPr>
          <w:p w14:paraId="57DD47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F1DD6F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0.56</w:t>
            </w:r>
          </w:p>
        </w:tc>
        <w:tc>
          <w:tcPr>
            <w:tcW w:w="633" w:type="pct"/>
            <w:vAlign w:val="center"/>
          </w:tcPr>
          <w:p w14:paraId="16CDC4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00:00</w:t>
            </w:r>
          </w:p>
        </w:tc>
        <w:tc>
          <w:tcPr>
            <w:tcW w:w="548" w:type="pct"/>
            <w:vAlign w:val="center"/>
          </w:tcPr>
          <w:p w14:paraId="6EF5C15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c>
          <w:tcPr>
            <w:tcW w:w="579" w:type="pct"/>
            <w:vAlign w:val="center"/>
          </w:tcPr>
          <w:p w14:paraId="65064F5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3E1D98E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r>
      <w:tr w14:paraId="40992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731186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江阴镇</w:t>
            </w:r>
          </w:p>
        </w:tc>
        <w:tc>
          <w:tcPr>
            <w:tcW w:w="688" w:type="pct"/>
            <w:vAlign w:val="center"/>
          </w:tcPr>
          <w:p w14:paraId="31810D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2022/03/04 09:00</w:t>
            </w:r>
          </w:p>
        </w:tc>
        <w:tc>
          <w:tcPr>
            <w:tcW w:w="535" w:type="pct"/>
            <w:vAlign w:val="center"/>
          </w:tcPr>
          <w:p w14:paraId="3EF617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0.27</w:t>
            </w:r>
          </w:p>
        </w:tc>
        <w:tc>
          <w:tcPr>
            <w:tcW w:w="536" w:type="pct"/>
            <w:vAlign w:val="center"/>
          </w:tcPr>
          <w:p w14:paraId="01E0892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DFA4EB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0.27</w:t>
            </w:r>
          </w:p>
        </w:tc>
        <w:tc>
          <w:tcPr>
            <w:tcW w:w="633" w:type="pct"/>
            <w:vAlign w:val="center"/>
          </w:tcPr>
          <w:p w14:paraId="26A9DE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2022/06/15 00:00</w:t>
            </w:r>
          </w:p>
        </w:tc>
        <w:tc>
          <w:tcPr>
            <w:tcW w:w="548" w:type="pct"/>
            <w:vAlign w:val="center"/>
          </w:tcPr>
          <w:p w14:paraId="5DDC054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5CC309D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415DA5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r>
      <w:tr w14:paraId="2246A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F4ABAA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后林</w:t>
            </w:r>
          </w:p>
        </w:tc>
        <w:tc>
          <w:tcPr>
            <w:tcW w:w="688" w:type="pct"/>
            <w:vAlign w:val="center"/>
          </w:tcPr>
          <w:p w14:paraId="00E6623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2152CCD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0.91</w:t>
            </w:r>
          </w:p>
        </w:tc>
        <w:tc>
          <w:tcPr>
            <w:tcW w:w="536" w:type="pct"/>
            <w:vAlign w:val="center"/>
          </w:tcPr>
          <w:p w14:paraId="008A48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40392C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0.91</w:t>
            </w:r>
          </w:p>
        </w:tc>
        <w:tc>
          <w:tcPr>
            <w:tcW w:w="633" w:type="pct"/>
            <w:vAlign w:val="center"/>
          </w:tcPr>
          <w:p w14:paraId="28231A0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00:00</w:t>
            </w:r>
          </w:p>
        </w:tc>
        <w:tc>
          <w:tcPr>
            <w:tcW w:w="548" w:type="pct"/>
            <w:vAlign w:val="center"/>
          </w:tcPr>
          <w:p w14:paraId="65AB37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0.13</w:t>
            </w:r>
          </w:p>
        </w:tc>
        <w:tc>
          <w:tcPr>
            <w:tcW w:w="579" w:type="pct"/>
            <w:vAlign w:val="center"/>
          </w:tcPr>
          <w:p w14:paraId="746C78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00679EE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0.43</w:t>
            </w:r>
          </w:p>
        </w:tc>
      </w:tr>
      <w:tr w14:paraId="7B465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7D113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岭兜</w:t>
            </w:r>
          </w:p>
        </w:tc>
        <w:tc>
          <w:tcPr>
            <w:tcW w:w="688" w:type="pct"/>
            <w:vAlign w:val="center"/>
          </w:tcPr>
          <w:p w14:paraId="7B0AF5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00:00</w:t>
            </w:r>
          </w:p>
        </w:tc>
        <w:tc>
          <w:tcPr>
            <w:tcW w:w="535" w:type="pct"/>
            <w:vAlign w:val="center"/>
          </w:tcPr>
          <w:p w14:paraId="6E8A4C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c>
          <w:tcPr>
            <w:tcW w:w="536" w:type="pct"/>
            <w:vAlign w:val="center"/>
          </w:tcPr>
          <w:p w14:paraId="4A9B756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8F502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c>
          <w:tcPr>
            <w:tcW w:w="633" w:type="pct"/>
            <w:vAlign w:val="center"/>
          </w:tcPr>
          <w:p w14:paraId="7A7B7C1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6E54C48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0.10</w:t>
            </w:r>
          </w:p>
        </w:tc>
        <w:tc>
          <w:tcPr>
            <w:tcW w:w="579" w:type="pct"/>
            <w:vAlign w:val="center"/>
          </w:tcPr>
          <w:p w14:paraId="4504CCE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435B3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0.33</w:t>
            </w:r>
          </w:p>
        </w:tc>
      </w:tr>
      <w:tr w14:paraId="395F7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FFA72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布厝</w:t>
            </w:r>
          </w:p>
        </w:tc>
        <w:tc>
          <w:tcPr>
            <w:tcW w:w="688" w:type="pct"/>
            <w:vAlign w:val="center"/>
          </w:tcPr>
          <w:p w14:paraId="11BD65A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06:00</w:t>
            </w:r>
          </w:p>
        </w:tc>
        <w:tc>
          <w:tcPr>
            <w:tcW w:w="535" w:type="pct"/>
            <w:vAlign w:val="center"/>
          </w:tcPr>
          <w:p w14:paraId="29F19E9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536" w:type="pct"/>
            <w:vAlign w:val="center"/>
          </w:tcPr>
          <w:p w14:paraId="355F03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90D28D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633" w:type="pct"/>
            <w:vAlign w:val="center"/>
          </w:tcPr>
          <w:p w14:paraId="28E376A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394AA1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0.12</w:t>
            </w:r>
          </w:p>
        </w:tc>
        <w:tc>
          <w:tcPr>
            <w:tcW w:w="579" w:type="pct"/>
            <w:vAlign w:val="center"/>
          </w:tcPr>
          <w:p w14:paraId="7F1EDE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E5D38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0.39</w:t>
            </w:r>
          </w:p>
        </w:tc>
      </w:tr>
      <w:tr w14:paraId="63AE1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D700DC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西兰</w:t>
            </w:r>
          </w:p>
        </w:tc>
        <w:tc>
          <w:tcPr>
            <w:tcW w:w="688" w:type="pct"/>
            <w:vAlign w:val="center"/>
          </w:tcPr>
          <w:p w14:paraId="6ECE58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02:00</w:t>
            </w:r>
          </w:p>
        </w:tc>
        <w:tc>
          <w:tcPr>
            <w:tcW w:w="535" w:type="pct"/>
            <w:vAlign w:val="center"/>
          </w:tcPr>
          <w:p w14:paraId="7D2037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0.79</w:t>
            </w:r>
          </w:p>
        </w:tc>
        <w:tc>
          <w:tcPr>
            <w:tcW w:w="536" w:type="pct"/>
            <w:vAlign w:val="center"/>
          </w:tcPr>
          <w:p w14:paraId="57F3B7A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BD9B7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0.79</w:t>
            </w:r>
          </w:p>
        </w:tc>
        <w:tc>
          <w:tcPr>
            <w:tcW w:w="633" w:type="pct"/>
            <w:vAlign w:val="center"/>
          </w:tcPr>
          <w:p w14:paraId="2A623D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15CE51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0.14</w:t>
            </w:r>
          </w:p>
        </w:tc>
        <w:tc>
          <w:tcPr>
            <w:tcW w:w="579" w:type="pct"/>
            <w:vAlign w:val="center"/>
          </w:tcPr>
          <w:p w14:paraId="27204E2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1D626A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r>
      <w:tr w14:paraId="7787A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87A559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沙塘</w:t>
            </w:r>
          </w:p>
        </w:tc>
        <w:tc>
          <w:tcPr>
            <w:tcW w:w="688" w:type="pct"/>
            <w:vAlign w:val="center"/>
          </w:tcPr>
          <w:p w14:paraId="78334A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35" w:type="pct"/>
            <w:vAlign w:val="center"/>
          </w:tcPr>
          <w:p w14:paraId="62C350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0.68</w:t>
            </w:r>
          </w:p>
        </w:tc>
        <w:tc>
          <w:tcPr>
            <w:tcW w:w="536" w:type="pct"/>
            <w:vAlign w:val="center"/>
          </w:tcPr>
          <w:p w14:paraId="7A040B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08280C9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0.68</w:t>
            </w:r>
          </w:p>
        </w:tc>
        <w:tc>
          <w:tcPr>
            <w:tcW w:w="633" w:type="pct"/>
            <w:vAlign w:val="center"/>
          </w:tcPr>
          <w:p w14:paraId="03770EC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2022/06/07 00:00</w:t>
            </w:r>
          </w:p>
        </w:tc>
        <w:tc>
          <w:tcPr>
            <w:tcW w:w="548" w:type="pct"/>
            <w:vAlign w:val="center"/>
          </w:tcPr>
          <w:p w14:paraId="097F156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c>
          <w:tcPr>
            <w:tcW w:w="579" w:type="pct"/>
            <w:vAlign w:val="center"/>
          </w:tcPr>
          <w:p w14:paraId="6B63F4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74A1A01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0.30</w:t>
            </w:r>
          </w:p>
        </w:tc>
      </w:tr>
      <w:tr w14:paraId="6DA63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A33257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张厝</w:t>
            </w:r>
          </w:p>
        </w:tc>
        <w:tc>
          <w:tcPr>
            <w:tcW w:w="688" w:type="pct"/>
            <w:vAlign w:val="center"/>
          </w:tcPr>
          <w:p w14:paraId="0731E3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35" w:type="pct"/>
            <w:vAlign w:val="center"/>
          </w:tcPr>
          <w:p w14:paraId="1FF0D2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0.47</w:t>
            </w:r>
          </w:p>
        </w:tc>
        <w:tc>
          <w:tcPr>
            <w:tcW w:w="536" w:type="pct"/>
            <w:vAlign w:val="center"/>
          </w:tcPr>
          <w:p w14:paraId="74D8C7D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B77FC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0.47</w:t>
            </w:r>
          </w:p>
        </w:tc>
        <w:tc>
          <w:tcPr>
            <w:tcW w:w="633" w:type="pct"/>
            <w:vAlign w:val="center"/>
          </w:tcPr>
          <w:p w14:paraId="0528CDB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2022/06/07 00:00</w:t>
            </w:r>
          </w:p>
        </w:tc>
        <w:tc>
          <w:tcPr>
            <w:tcW w:w="548" w:type="pct"/>
            <w:vAlign w:val="center"/>
          </w:tcPr>
          <w:p w14:paraId="096979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2E6D5C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348F04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0.18</w:t>
            </w:r>
          </w:p>
        </w:tc>
      </w:tr>
      <w:tr w14:paraId="34FB5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B9EC55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钱塘</w:t>
            </w:r>
          </w:p>
        </w:tc>
        <w:tc>
          <w:tcPr>
            <w:tcW w:w="688" w:type="pct"/>
            <w:vAlign w:val="center"/>
          </w:tcPr>
          <w:p w14:paraId="350548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22:00</w:t>
            </w:r>
          </w:p>
        </w:tc>
        <w:tc>
          <w:tcPr>
            <w:tcW w:w="535" w:type="pct"/>
            <w:vAlign w:val="center"/>
          </w:tcPr>
          <w:p w14:paraId="26B6D72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0.40</w:t>
            </w:r>
          </w:p>
        </w:tc>
        <w:tc>
          <w:tcPr>
            <w:tcW w:w="536" w:type="pct"/>
            <w:vAlign w:val="center"/>
          </w:tcPr>
          <w:p w14:paraId="4F67EC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0EF5A9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0.40</w:t>
            </w:r>
          </w:p>
        </w:tc>
        <w:tc>
          <w:tcPr>
            <w:tcW w:w="633" w:type="pct"/>
            <w:vAlign w:val="center"/>
          </w:tcPr>
          <w:p w14:paraId="597390C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00:00</w:t>
            </w:r>
          </w:p>
        </w:tc>
        <w:tc>
          <w:tcPr>
            <w:tcW w:w="548" w:type="pct"/>
            <w:vAlign w:val="center"/>
          </w:tcPr>
          <w:p w14:paraId="4186CD8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79" w:type="pct"/>
            <w:vAlign w:val="center"/>
          </w:tcPr>
          <w:p w14:paraId="6B88AC8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7550B9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r>
      <w:tr w14:paraId="29F98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A7838E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612AB3D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3E42A1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c>
          <w:tcPr>
            <w:tcW w:w="536" w:type="pct"/>
            <w:vAlign w:val="center"/>
          </w:tcPr>
          <w:p w14:paraId="1D2DA27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ABECA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c>
          <w:tcPr>
            <w:tcW w:w="633" w:type="pct"/>
            <w:vAlign w:val="center"/>
          </w:tcPr>
          <w:p w14:paraId="045C58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2022/11/29 00:00</w:t>
            </w:r>
          </w:p>
        </w:tc>
        <w:tc>
          <w:tcPr>
            <w:tcW w:w="548" w:type="pct"/>
            <w:vAlign w:val="center"/>
          </w:tcPr>
          <w:p w14:paraId="65CD7F4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79" w:type="pct"/>
            <w:vAlign w:val="center"/>
          </w:tcPr>
          <w:p w14:paraId="1797A8B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302F847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r>
      <w:tr w14:paraId="6B567E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5C43FC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垄北</w:t>
            </w:r>
          </w:p>
        </w:tc>
        <w:tc>
          <w:tcPr>
            <w:tcW w:w="688" w:type="pct"/>
            <w:vAlign w:val="center"/>
          </w:tcPr>
          <w:p w14:paraId="34D0D0F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19:00</w:t>
            </w:r>
          </w:p>
        </w:tc>
        <w:tc>
          <w:tcPr>
            <w:tcW w:w="535" w:type="pct"/>
            <w:vAlign w:val="center"/>
          </w:tcPr>
          <w:p w14:paraId="49ECD1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0.59</w:t>
            </w:r>
          </w:p>
        </w:tc>
        <w:tc>
          <w:tcPr>
            <w:tcW w:w="536" w:type="pct"/>
            <w:vAlign w:val="center"/>
          </w:tcPr>
          <w:p w14:paraId="1D3098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6C692E2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0.59</w:t>
            </w:r>
          </w:p>
        </w:tc>
        <w:tc>
          <w:tcPr>
            <w:tcW w:w="633" w:type="pct"/>
            <w:vAlign w:val="center"/>
          </w:tcPr>
          <w:p w14:paraId="1A1C29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2022/04/24 00:00</w:t>
            </w:r>
          </w:p>
        </w:tc>
        <w:tc>
          <w:tcPr>
            <w:tcW w:w="548" w:type="pct"/>
            <w:vAlign w:val="center"/>
          </w:tcPr>
          <w:p w14:paraId="4568F2C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c>
          <w:tcPr>
            <w:tcW w:w="579" w:type="pct"/>
            <w:vAlign w:val="center"/>
          </w:tcPr>
          <w:p w14:paraId="663739B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FAD6D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0.37</w:t>
            </w:r>
          </w:p>
        </w:tc>
      </w:tr>
      <w:tr w14:paraId="6037D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04EA4E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赤厝村</w:t>
            </w:r>
          </w:p>
        </w:tc>
        <w:tc>
          <w:tcPr>
            <w:tcW w:w="688" w:type="pct"/>
            <w:vAlign w:val="center"/>
          </w:tcPr>
          <w:p w14:paraId="1419150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23:00</w:t>
            </w:r>
          </w:p>
        </w:tc>
        <w:tc>
          <w:tcPr>
            <w:tcW w:w="535" w:type="pct"/>
            <w:vAlign w:val="center"/>
          </w:tcPr>
          <w:p w14:paraId="214953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c>
          <w:tcPr>
            <w:tcW w:w="536" w:type="pct"/>
            <w:vAlign w:val="center"/>
          </w:tcPr>
          <w:p w14:paraId="15092C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BFD49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c>
          <w:tcPr>
            <w:tcW w:w="633" w:type="pct"/>
            <w:vAlign w:val="center"/>
          </w:tcPr>
          <w:p w14:paraId="5EF6980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35338F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1610244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044B84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r>
      <w:tr w14:paraId="01CFD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8FE332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门口村</w:t>
            </w:r>
          </w:p>
        </w:tc>
        <w:tc>
          <w:tcPr>
            <w:tcW w:w="688" w:type="pct"/>
            <w:vAlign w:val="center"/>
          </w:tcPr>
          <w:p w14:paraId="2AFD2C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2022/03/17 10:00</w:t>
            </w:r>
          </w:p>
        </w:tc>
        <w:tc>
          <w:tcPr>
            <w:tcW w:w="535" w:type="pct"/>
            <w:vAlign w:val="center"/>
          </w:tcPr>
          <w:p w14:paraId="4DA688B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0.21</w:t>
            </w:r>
          </w:p>
        </w:tc>
        <w:tc>
          <w:tcPr>
            <w:tcW w:w="536" w:type="pct"/>
            <w:vAlign w:val="center"/>
          </w:tcPr>
          <w:p w14:paraId="08D8897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61F372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0.21</w:t>
            </w:r>
          </w:p>
        </w:tc>
        <w:tc>
          <w:tcPr>
            <w:tcW w:w="633" w:type="pct"/>
            <w:vAlign w:val="center"/>
          </w:tcPr>
          <w:p w14:paraId="2694D7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371A14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7E8F1FB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3BFD80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r>
      <w:tr w14:paraId="6CC1E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CC1ED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5DC724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3BCA54C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536" w:type="pct"/>
            <w:vAlign w:val="center"/>
          </w:tcPr>
          <w:p w14:paraId="5C2440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75DC632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c>
          <w:tcPr>
            <w:tcW w:w="633" w:type="pct"/>
            <w:vAlign w:val="center"/>
          </w:tcPr>
          <w:p w14:paraId="22D47D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2022/11/29 00:00</w:t>
            </w:r>
          </w:p>
        </w:tc>
        <w:tc>
          <w:tcPr>
            <w:tcW w:w="548" w:type="pct"/>
            <w:vAlign w:val="center"/>
          </w:tcPr>
          <w:p w14:paraId="4CDE6EB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79" w:type="pct"/>
            <w:vAlign w:val="center"/>
          </w:tcPr>
          <w:p w14:paraId="0C4926B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6D5EE6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r>
      <w:tr w14:paraId="68DA5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E1B9F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岭口村</w:t>
            </w:r>
          </w:p>
        </w:tc>
        <w:tc>
          <w:tcPr>
            <w:tcW w:w="688" w:type="pct"/>
            <w:vAlign w:val="center"/>
          </w:tcPr>
          <w:p w14:paraId="7CA7959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07:00</w:t>
            </w:r>
          </w:p>
        </w:tc>
        <w:tc>
          <w:tcPr>
            <w:tcW w:w="535" w:type="pct"/>
            <w:vAlign w:val="center"/>
          </w:tcPr>
          <w:p w14:paraId="442294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36" w:type="pct"/>
            <w:vAlign w:val="center"/>
          </w:tcPr>
          <w:p w14:paraId="7DA4FA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3D18D5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633" w:type="pct"/>
            <w:vAlign w:val="center"/>
          </w:tcPr>
          <w:p w14:paraId="7CD5C6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2022/04/24 00:00</w:t>
            </w:r>
          </w:p>
        </w:tc>
        <w:tc>
          <w:tcPr>
            <w:tcW w:w="548" w:type="pct"/>
            <w:vAlign w:val="center"/>
          </w:tcPr>
          <w:p w14:paraId="3026CE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5BC7F9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1BCF3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0.15</w:t>
            </w:r>
          </w:p>
        </w:tc>
      </w:tr>
      <w:tr w14:paraId="221A9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604D0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龙门村</w:t>
            </w:r>
          </w:p>
        </w:tc>
        <w:tc>
          <w:tcPr>
            <w:tcW w:w="688" w:type="pct"/>
            <w:vAlign w:val="center"/>
          </w:tcPr>
          <w:p w14:paraId="35788B1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6C7DDBD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c>
          <w:tcPr>
            <w:tcW w:w="536" w:type="pct"/>
            <w:vAlign w:val="center"/>
          </w:tcPr>
          <w:p w14:paraId="3368583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50D39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c>
          <w:tcPr>
            <w:tcW w:w="633" w:type="pct"/>
            <w:vAlign w:val="center"/>
          </w:tcPr>
          <w:p w14:paraId="275D355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3DD32A2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79" w:type="pct"/>
            <w:vAlign w:val="center"/>
          </w:tcPr>
          <w:p w14:paraId="69062B0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2CADC99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0.27</w:t>
            </w:r>
          </w:p>
        </w:tc>
      </w:tr>
      <w:tr w14:paraId="78FD2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1F6095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后庄村</w:t>
            </w:r>
          </w:p>
        </w:tc>
        <w:tc>
          <w:tcPr>
            <w:tcW w:w="688" w:type="pct"/>
            <w:vAlign w:val="center"/>
          </w:tcPr>
          <w:p w14:paraId="06D07F0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07A633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0.70</w:t>
            </w:r>
          </w:p>
        </w:tc>
        <w:tc>
          <w:tcPr>
            <w:tcW w:w="536" w:type="pct"/>
            <w:vAlign w:val="center"/>
          </w:tcPr>
          <w:p w14:paraId="0E17FD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495E8F2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0.70</w:t>
            </w:r>
          </w:p>
        </w:tc>
        <w:tc>
          <w:tcPr>
            <w:tcW w:w="633" w:type="pct"/>
            <w:vAlign w:val="center"/>
          </w:tcPr>
          <w:p w14:paraId="4BA6ACE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5442E1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79" w:type="pct"/>
            <w:vAlign w:val="center"/>
          </w:tcPr>
          <w:p w14:paraId="24DE03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744AE9E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0.55</w:t>
            </w:r>
          </w:p>
        </w:tc>
      </w:tr>
      <w:tr w14:paraId="7E282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1DA10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北郭村</w:t>
            </w:r>
          </w:p>
        </w:tc>
        <w:tc>
          <w:tcPr>
            <w:tcW w:w="688" w:type="pct"/>
            <w:vAlign w:val="center"/>
          </w:tcPr>
          <w:p w14:paraId="42B795B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17F8215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536" w:type="pct"/>
            <w:vAlign w:val="center"/>
          </w:tcPr>
          <w:p w14:paraId="2524E5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137F44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633" w:type="pct"/>
            <w:vAlign w:val="center"/>
          </w:tcPr>
          <w:p w14:paraId="147E37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2022/11/29 00:00</w:t>
            </w:r>
          </w:p>
        </w:tc>
        <w:tc>
          <w:tcPr>
            <w:tcW w:w="548" w:type="pct"/>
            <w:vAlign w:val="center"/>
          </w:tcPr>
          <w:p w14:paraId="492A8F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0.06</w:t>
            </w:r>
          </w:p>
        </w:tc>
        <w:tc>
          <w:tcPr>
            <w:tcW w:w="579" w:type="pct"/>
            <w:vAlign w:val="center"/>
          </w:tcPr>
          <w:p w14:paraId="00DDC4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6CC7EC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0.20</w:t>
            </w:r>
          </w:p>
        </w:tc>
      </w:tr>
      <w:tr w14:paraId="37F29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5AD677">
            <w:pPr>
              <w:spacing w:line="240" w:lineRule="auto"/>
              <w:ind w:firstLine="0" w:firstLineChars="0"/>
              <w:jc w:val="center"/>
              <w:rPr>
                <w:rFonts w:hint="eastAsia" w:ascii="宋体" w:cs="宋体"/>
                <w:color w:val="auto"/>
                <w:kern w:val="2"/>
                <w:sz w:val="21"/>
                <w:szCs w:val="21"/>
                <w:highlight w:val="none"/>
                <w:u w:val="none"/>
                <w:lang w:val="en-US" w:bidi="ar"/>
              </w:rPr>
            </w:pPr>
            <w:r>
              <w:rPr>
                <w:rFonts w:hAnsi="Times New Roman"/>
                <w:color w:val="auto"/>
                <w:kern w:val="2"/>
                <w:sz w:val="21"/>
                <w:szCs w:val="21"/>
                <w:highlight w:val="none"/>
                <w:u w:val="none"/>
                <w:lang w:val="en-US"/>
              </w:rPr>
              <w:t>区域最大值</w:t>
            </w:r>
          </w:p>
        </w:tc>
        <w:tc>
          <w:tcPr>
            <w:tcW w:w="688" w:type="pct"/>
            <w:vAlign w:val="center"/>
          </w:tcPr>
          <w:p w14:paraId="45E284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2022/01/05 21:00</w:t>
            </w:r>
          </w:p>
        </w:tc>
        <w:tc>
          <w:tcPr>
            <w:tcW w:w="535" w:type="pct"/>
            <w:vAlign w:val="center"/>
          </w:tcPr>
          <w:p w14:paraId="1DFFF4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24.81</w:t>
            </w:r>
          </w:p>
        </w:tc>
        <w:tc>
          <w:tcPr>
            <w:tcW w:w="536" w:type="pct"/>
            <w:vAlign w:val="center"/>
          </w:tcPr>
          <w:p w14:paraId="7F6187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100.00</w:t>
            </w:r>
          </w:p>
        </w:tc>
        <w:tc>
          <w:tcPr>
            <w:tcW w:w="447" w:type="pct"/>
            <w:vAlign w:val="center"/>
          </w:tcPr>
          <w:p w14:paraId="5BA72C3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 xml:space="preserve">24.81 </w:t>
            </w:r>
          </w:p>
        </w:tc>
        <w:tc>
          <w:tcPr>
            <w:tcW w:w="633" w:type="pct"/>
            <w:vAlign w:val="center"/>
          </w:tcPr>
          <w:p w14:paraId="375813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2022/07/16 00:00</w:t>
            </w:r>
          </w:p>
        </w:tc>
        <w:tc>
          <w:tcPr>
            <w:tcW w:w="548" w:type="pct"/>
            <w:vAlign w:val="center"/>
          </w:tcPr>
          <w:p w14:paraId="48F1B1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4.60</w:t>
            </w:r>
          </w:p>
        </w:tc>
        <w:tc>
          <w:tcPr>
            <w:tcW w:w="579" w:type="pct"/>
            <w:vAlign w:val="center"/>
          </w:tcPr>
          <w:p w14:paraId="7B327F3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30.00</w:t>
            </w:r>
          </w:p>
        </w:tc>
        <w:tc>
          <w:tcPr>
            <w:tcW w:w="430" w:type="pct"/>
            <w:vAlign w:val="center"/>
          </w:tcPr>
          <w:p w14:paraId="5B466D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 xml:space="preserve">15.32 </w:t>
            </w:r>
          </w:p>
        </w:tc>
      </w:tr>
    </w:tbl>
    <w:p w14:paraId="5B4E9722">
      <w:pPr>
        <w:ind w:firstLine="360" w:firstLineChars="0"/>
        <w:jc w:val="center"/>
        <w:rPr>
          <w:rFonts w:hAnsi="Times New Roman"/>
          <w:b/>
          <w:color w:val="auto"/>
          <w:highlight w:val="none"/>
          <w:u w:val="none"/>
          <w:lang w:val="en-US"/>
        </w:rPr>
      </w:pPr>
      <w:r>
        <w:rPr>
          <w:rFonts w:hAnsi="Times New Roman"/>
          <w:b/>
          <w:color w:val="auto"/>
          <w:highlight w:val="none"/>
          <w:u w:val="none"/>
          <w:lang w:val="en-US"/>
        </w:rPr>
        <w:t xml:space="preserve">表 </w:t>
      </w:r>
      <w:r>
        <w:rPr>
          <w:rFonts w:hAnsi="Times New Roman"/>
          <w:b/>
          <w:color w:val="auto"/>
          <w:highlight w:val="none"/>
          <w:u w:val="none"/>
          <w:lang w:val="en-US"/>
        </w:rPr>
        <w:fldChar w:fldCharType="begin"/>
      </w:r>
      <w:r>
        <w:rPr>
          <w:rFonts w:hAnsi="Times New Roman"/>
          <w:b/>
          <w:color w:val="auto"/>
          <w:highlight w:val="none"/>
          <w:u w:val="none"/>
          <w:lang w:val="en-US"/>
        </w:rPr>
        <w:instrText xml:space="preserve"> STYLEREF 2 \s </w:instrText>
      </w:r>
      <w:r>
        <w:rPr>
          <w:rFonts w:hAnsi="Times New Roman"/>
          <w:b/>
          <w:color w:val="auto"/>
          <w:highlight w:val="none"/>
          <w:u w:val="none"/>
          <w:lang w:val="en-US"/>
        </w:rPr>
        <w:fldChar w:fldCharType="separate"/>
      </w:r>
      <w:r>
        <w:rPr>
          <w:rFonts w:hAnsi="Times New Roman"/>
          <w:b/>
          <w:color w:val="auto"/>
          <w:highlight w:val="none"/>
          <w:u w:val="none"/>
          <w:lang w:val="en-US"/>
        </w:rPr>
        <w:t>8.1</w:t>
      </w:r>
      <w:r>
        <w:rPr>
          <w:rFonts w:hAnsi="Times New Roman"/>
          <w:b/>
          <w:color w:val="auto"/>
          <w:highlight w:val="none"/>
          <w:u w:val="none"/>
          <w:lang w:val="en-US"/>
        </w:rPr>
        <w:fldChar w:fldCharType="end"/>
      </w:r>
      <w:r>
        <w:rPr>
          <w:rFonts w:hAnsi="Times New Roman"/>
          <w:b/>
          <w:color w:val="auto"/>
          <w:highlight w:val="none"/>
          <w:u w:val="none"/>
          <w:lang w:val="en-US"/>
        </w:rPr>
        <w:noBreakHyphen/>
      </w:r>
      <w:r>
        <w:rPr>
          <w:rFonts w:hAnsi="Times New Roman"/>
          <w:b/>
          <w:color w:val="auto"/>
          <w:highlight w:val="none"/>
          <w:u w:val="none"/>
          <w:lang w:val="en-US"/>
        </w:rPr>
        <w:fldChar w:fldCharType="begin"/>
      </w:r>
      <w:r>
        <w:rPr>
          <w:rFonts w:hAnsi="Times New Roman"/>
          <w:b/>
          <w:color w:val="auto"/>
          <w:highlight w:val="none"/>
          <w:u w:val="none"/>
          <w:lang w:val="en-US"/>
        </w:rPr>
        <w:instrText xml:space="preserve"> SEQ 表 \* ARABIC \s 2 </w:instrText>
      </w:r>
      <w:r>
        <w:rPr>
          <w:rFonts w:hAnsi="Times New Roman"/>
          <w:b/>
          <w:color w:val="auto"/>
          <w:highlight w:val="none"/>
          <w:u w:val="none"/>
          <w:lang w:val="en-US"/>
        </w:rPr>
        <w:fldChar w:fldCharType="separate"/>
      </w:r>
      <w:r>
        <w:rPr>
          <w:rFonts w:hAnsi="Times New Roman"/>
          <w:b/>
          <w:color w:val="auto"/>
          <w:highlight w:val="none"/>
          <w:u w:val="none"/>
          <w:lang w:val="en-US"/>
        </w:rPr>
        <w:t>30</w:t>
      </w:r>
      <w:r>
        <w:rPr>
          <w:rFonts w:hAnsi="Times New Roman"/>
          <w:b/>
          <w:color w:val="auto"/>
          <w:highlight w:val="none"/>
          <w:u w:val="none"/>
          <w:lang w:val="en-US"/>
        </w:rPr>
        <w:fldChar w:fldCharType="end"/>
      </w:r>
      <w:r>
        <w:rPr>
          <w:rFonts w:hAnsi="Times New Roman"/>
          <w:b/>
          <w:color w:val="auto"/>
          <w:highlight w:val="none"/>
          <w:u w:val="none"/>
          <w:lang w:val="en-US"/>
        </w:rPr>
        <w:t xml:space="preserve">  项目建成后</w:t>
      </w:r>
      <w:r>
        <w:rPr>
          <w:rFonts w:hint="eastAsia" w:hAnsi="Times New Roman"/>
          <w:b/>
          <w:color w:val="auto"/>
          <w:highlight w:val="none"/>
          <w:u w:val="none"/>
          <w:lang w:val="en-US"/>
        </w:rPr>
        <w:t>氯化氢</w:t>
      </w:r>
      <w:r>
        <w:rPr>
          <w:rFonts w:hAnsi="Times New Roman"/>
          <w:b/>
          <w:color w:val="auto"/>
          <w:highlight w:val="none"/>
          <w:u w:val="none"/>
          <w:lang w:val="en-US"/>
        </w:rPr>
        <w:t>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73C2A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7108E80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名称</w:t>
            </w:r>
          </w:p>
        </w:tc>
        <w:tc>
          <w:tcPr>
            <w:tcW w:w="2206" w:type="pct"/>
            <w:gridSpan w:val="4"/>
            <w:vAlign w:val="center"/>
          </w:tcPr>
          <w:p w14:paraId="7DB9B42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氯化氢</w:t>
            </w:r>
            <w:r>
              <w:rPr>
                <w:rFonts w:hAnsi="Times New Roman"/>
                <w:color w:val="auto"/>
                <w:kern w:val="2"/>
                <w:sz w:val="21"/>
                <w:szCs w:val="21"/>
                <w:highlight w:val="none"/>
                <w:u w:val="none"/>
                <w:lang w:val="en-US"/>
              </w:rPr>
              <w:t>小时浓度</w:t>
            </w:r>
          </w:p>
        </w:tc>
        <w:tc>
          <w:tcPr>
            <w:tcW w:w="2190" w:type="pct"/>
            <w:gridSpan w:val="4"/>
            <w:vAlign w:val="center"/>
          </w:tcPr>
          <w:p w14:paraId="5841EA34">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氯化氢日均</w:t>
            </w:r>
            <w:r>
              <w:rPr>
                <w:rFonts w:hAnsi="Times New Roman"/>
                <w:color w:val="auto"/>
                <w:kern w:val="2"/>
                <w:sz w:val="21"/>
                <w:szCs w:val="21"/>
                <w:highlight w:val="none"/>
                <w:u w:val="none"/>
                <w:lang w:val="en-US"/>
              </w:rPr>
              <w:t>浓度</w:t>
            </w:r>
          </w:p>
        </w:tc>
      </w:tr>
      <w:tr w14:paraId="488DB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0EA298AD">
            <w:pPr>
              <w:spacing w:line="240" w:lineRule="auto"/>
              <w:ind w:firstLine="0" w:firstLineChars="0"/>
              <w:jc w:val="center"/>
              <w:rPr>
                <w:rFonts w:hAnsi="Times New Roman"/>
                <w:color w:val="auto"/>
                <w:kern w:val="2"/>
                <w:sz w:val="21"/>
                <w:szCs w:val="21"/>
                <w:highlight w:val="none"/>
                <w:u w:val="none"/>
                <w:lang w:val="en-US"/>
              </w:rPr>
            </w:pPr>
          </w:p>
        </w:tc>
        <w:tc>
          <w:tcPr>
            <w:tcW w:w="688" w:type="pct"/>
            <w:vAlign w:val="center"/>
          </w:tcPr>
          <w:p w14:paraId="0EC7E1EB">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35" w:type="pct"/>
            <w:vAlign w:val="center"/>
          </w:tcPr>
          <w:p w14:paraId="2532A946">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36" w:type="pct"/>
            <w:vAlign w:val="center"/>
          </w:tcPr>
          <w:p w14:paraId="23949F0C">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47" w:type="pct"/>
            <w:vAlign w:val="center"/>
          </w:tcPr>
          <w:p w14:paraId="17A6672E">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c>
          <w:tcPr>
            <w:tcW w:w="633" w:type="pct"/>
            <w:vAlign w:val="center"/>
          </w:tcPr>
          <w:p w14:paraId="65D0FEB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48" w:type="pct"/>
            <w:vAlign w:val="center"/>
          </w:tcPr>
          <w:p w14:paraId="1DC7A1D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79" w:type="pct"/>
            <w:vAlign w:val="center"/>
          </w:tcPr>
          <w:p w14:paraId="0E99AC2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30" w:type="pct"/>
            <w:vAlign w:val="center"/>
          </w:tcPr>
          <w:p w14:paraId="386CFF5F">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r>
      <w:tr w14:paraId="1A115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DB7A0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新厝镇</w:t>
            </w:r>
          </w:p>
        </w:tc>
        <w:tc>
          <w:tcPr>
            <w:tcW w:w="688" w:type="pct"/>
            <w:vAlign w:val="center"/>
          </w:tcPr>
          <w:p w14:paraId="7EE64E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2022/05/13 05:00</w:t>
            </w:r>
          </w:p>
        </w:tc>
        <w:tc>
          <w:tcPr>
            <w:tcW w:w="535" w:type="pct"/>
            <w:vAlign w:val="center"/>
          </w:tcPr>
          <w:p w14:paraId="6464B8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1.41</w:t>
            </w:r>
          </w:p>
        </w:tc>
        <w:tc>
          <w:tcPr>
            <w:tcW w:w="536" w:type="pct"/>
            <w:vAlign w:val="center"/>
          </w:tcPr>
          <w:p w14:paraId="0718754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505822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2.81</w:t>
            </w:r>
          </w:p>
        </w:tc>
        <w:tc>
          <w:tcPr>
            <w:tcW w:w="633" w:type="pct"/>
            <w:vAlign w:val="center"/>
          </w:tcPr>
          <w:p w14:paraId="6037005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2022/08/22 00:00</w:t>
            </w:r>
          </w:p>
        </w:tc>
        <w:tc>
          <w:tcPr>
            <w:tcW w:w="548" w:type="pct"/>
            <w:vAlign w:val="center"/>
          </w:tcPr>
          <w:p w14:paraId="391409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c>
          <w:tcPr>
            <w:tcW w:w="579" w:type="pct"/>
            <w:vAlign w:val="center"/>
          </w:tcPr>
          <w:p w14:paraId="50BC76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6913077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1.59</w:t>
            </w:r>
          </w:p>
        </w:tc>
      </w:tr>
      <w:tr w14:paraId="78BBE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775905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上后村（莆田）</w:t>
            </w:r>
          </w:p>
        </w:tc>
        <w:tc>
          <w:tcPr>
            <w:tcW w:w="688" w:type="pct"/>
            <w:vAlign w:val="center"/>
          </w:tcPr>
          <w:p w14:paraId="642FF6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2022/07/29 05:00</w:t>
            </w:r>
          </w:p>
        </w:tc>
        <w:tc>
          <w:tcPr>
            <w:tcW w:w="535" w:type="pct"/>
            <w:vAlign w:val="center"/>
          </w:tcPr>
          <w:p w14:paraId="1F185D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1.32</w:t>
            </w:r>
          </w:p>
        </w:tc>
        <w:tc>
          <w:tcPr>
            <w:tcW w:w="536" w:type="pct"/>
            <w:vAlign w:val="center"/>
          </w:tcPr>
          <w:p w14:paraId="04B70A7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7D18BD3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2.63</w:t>
            </w:r>
          </w:p>
        </w:tc>
        <w:tc>
          <w:tcPr>
            <w:tcW w:w="633" w:type="pct"/>
            <w:vAlign w:val="center"/>
          </w:tcPr>
          <w:p w14:paraId="3920905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00:00</w:t>
            </w:r>
          </w:p>
        </w:tc>
        <w:tc>
          <w:tcPr>
            <w:tcW w:w="548" w:type="pct"/>
            <w:vAlign w:val="center"/>
          </w:tcPr>
          <w:p w14:paraId="314F63C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c>
          <w:tcPr>
            <w:tcW w:w="579" w:type="pct"/>
            <w:vAlign w:val="center"/>
          </w:tcPr>
          <w:p w14:paraId="4DB4A0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5884B4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0.62</w:t>
            </w:r>
          </w:p>
        </w:tc>
      </w:tr>
      <w:tr w14:paraId="373EF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B3879A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莆江村（莆田）</w:t>
            </w:r>
          </w:p>
        </w:tc>
        <w:tc>
          <w:tcPr>
            <w:tcW w:w="688" w:type="pct"/>
            <w:vAlign w:val="center"/>
          </w:tcPr>
          <w:p w14:paraId="209EEB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35" w:type="pct"/>
            <w:vAlign w:val="center"/>
          </w:tcPr>
          <w:p w14:paraId="0BC081A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w:t>
            </w:r>
          </w:p>
        </w:tc>
        <w:tc>
          <w:tcPr>
            <w:tcW w:w="536" w:type="pct"/>
            <w:vAlign w:val="center"/>
          </w:tcPr>
          <w:p w14:paraId="733ACB4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195DE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1.99</w:t>
            </w:r>
          </w:p>
        </w:tc>
        <w:tc>
          <w:tcPr>
            <w:tcW w:w="633" w:type="pct"/>
            <w:vAlign w:val="center"/>
          </w:tcPr>
          <w:p w14:paraId="5D766D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00:00</w:t>
            </w:r>
          </w:p>
        </w:tc>
        <w:tc>
          <w:tcPr>
            <w:tcW w:w="548" w:type="pct"/>
            <w:vAlign w:val="center"/>
          </w:tcPr>
          <w:p w14:paraId="2365E43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0.07</w:t>
            </w:r>
          </w:p>
        </w:tc>
        <w:tc>
          <w:tcPr>
            <w:tcW w:w="579" w:type="pct"/>
            <w:vAlign w:val="center"/>
          </w:tcPr>
          <w:p w14:paraId="16EFF3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0E5D95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0.48</w:t>
            </w:r>
          </w:p>
        </w:tc>
      </w:tr>
      <w:tr w14:paraId="69A88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54DA6B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峰头村</w:t>
            </w:r>
          </w:p>
        </w:tc>
        <w:tc>
          <w:tcPr>
            <w:tcW w:w="688" w:type="pct"/>
            <w:vAlign w:val="center"/>
          </w:tcPr>
          <w:p w14:paraId="0F024E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35" w:type="pct"/>
            <w:vAlign w:val="center"/>
          </w:tcPr>
          <w:p w14:paraId="66825E7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2.96</w:t>
            </w:r>
          </w:p>
        </w:tc>
        <w:tc>
          <w:tcPr>
            <w:tcW w:w="536" w:type="pct"/>
            <w:vAlign w:val="center"/>
          </w:tcPr>
          <w:p w14:paraId="326F2FE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6E8CC87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5.92</w:t>
            </w:r>
          </w:p>
        </w:tc>
        <w:tc>
          <w:tcPr>
            <w:tcW w:w="633" w:type="pct"/>
            <w:vAlign w:val="center"/>
          </w:tcPr>
          <w:p w14:paraId="29F375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00:00</w:t>
            </w:r>
          </w:p>
        </w:tc>
        <w:tc>
          <w:tcPr>
            <w:tcW w:w="548" w:type="pct"/>
            <w:vAlign w:val="center"/>
          </w:tcPr>
          <w:p w14:paraId="7BEF2A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0.35</w:t>
            </w:r>
          </w:p>
        </w:tc>
        <w:tc>
          <w:tcPr>
            <w:tcW w:w="579" w:type="pct"/>
            <w:vAlign w:val="center"/>
          </w:tcPr>
          <w:p w14:paraId="2149037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09179B2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2.34</w:t>
            </w:r>
          </w:p>
        </w:tc>
      </w:tr>
      <w:tr w14:paraId="43585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9FBC0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漆林村</w:t>
            </w:r>
          </w:p>
        </w:tc>
        <w:tc>
          <w:tcPr>
            <w:tcW w:w="688" w:type="pct"/>
            <w:vAlign w:val="center"/>
          </w:tcPr>
          <w:p w14:paraId="0AFE2A9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22:00</w:t>
            </w:r>
          </w:p>
        </w:tc>
        <w:tc>
          <w:tcPr>
            <w:tcW w:w="535" w:type="pct"/>
            <w:vAlign w:val="center"/>
          </w:tcPr>
          <w:p w14:paraId="53B5DE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1.45</w:t>
            </w:r>
          </w:p>
        </w:tc>
        <w:tc>
          <w:tcPr>
            <w:tcW w:w="536" w:type="pct"/>
            <w:vAlign w:val="center"/>
          </w:tcPr>
          <w:p w14:paraId="0331E11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2B94F36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2.91</w:t>
            </w:r>
          </w:p>
        </w:tc>
        <w:tc>
          <w:tcPr>
            <w:tcW w:w="633" w:type="pct"/>
            <w:vAlign w:val="center"/>
          </w:tcPr>
          <w:p w14:paraId="0C4A1A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2022/05/31 00:00</w:t>
            </w:r>
          </w:p>
        </w:tc>
        <w:tc>
          <w:tcPr>
            <w:tcW w:w="548" w:type="pct"/>
            <w:vAlign w:val="center"/>
          </w:tcPr>
          <w:p w14:paraId="11E667F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0.16</w:t>
            </w:r>
          </w:p>
        </w:tc>
        <w:tc>
          <w:tcPr>
            <w:tcW w:w="579" w:type="pct"/>
            <w:vAlign w:val="center"/>
          </w:tcPr>
          <w:p w14:paraId="4F2EC6D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50901A9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1.04</w:t>
            </w:r>
          </w:p>
        </w:tc>
      </w:tr>
      <w:tr w14:paraId="0412E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E1F677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大东村（莆田）</w:t>
            </w:r>
          </w:p>
        </w:tc>
        <w:tc>
          <w:tcPr>
            <w:tcW w:w="688" w:type="pct"/>
            <w:vAlign w:val="center"/>
          </w:tcPr>
          <w:p w14:paraId="05D108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19:00</w:t>
            </w:r>
          </w:p>
        </w:tc>
        <w:tc>
          <w:tcPr>
            <w:tcW w:w="535" w:type="pct"/>
            <w:vAlign w:val="center"/>
          </w:tcPr>
          <w:p w14:paraId="3F32F51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0.86</w:t>
            </w:r>
          </w:p>
        </w:tc>
        <w:tc>
          <w:tcPr>
            <w:tcW w:w="536" w:type="pct"/>
            <w:vAlign w:val="center"/>
          </w:tcPr>
          <w:p w14:paraId="20F2732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1037ED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1.73</w:t>
            </w:r>
          </w:p>
        </w:tc>
        <w:tc>
          <w:tcPr>
            <w:tcW w:w="633" w:type="pct"/>
            <w:vAlign w:val="center"/>
          </w:tcPr>
          <w:p w14:paraId="4C9EC43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00:00</w:t>
            </w:r>
          </w:p>
        </w:tc>
        <w:tc>
          <w:tcPr>
            <w:tcW w:w="548" w:type="pct"/>
            <w:vAlign w:val="center"/>
          </w:tcPr>
          <w:p w14:paraId="01D9D90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0.09</w:t>
            </w:r>
          </w:p>
        </w:tc>
        <w:tc>
          <w:tcPr>
            <w:tcW w:w="579" w:type="pct"/>
            <w:vAlign w:val="center"/>
          </w:tcPr>
          <w:p w14:paraId="1D67CF1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2806E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r>
      <w:tr w14:paraId="31483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437522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霞埔村</w:t>
            </w:r>
          </w:p>
        </w:tc>
        <w:tc>
          <w:tcPr>
            <w:tcW w:w="688" w:type="pct"/>
            <w:vAlign w:val="center"/>
          </w:tcPr>
          <w:p w14:paraId="3956F6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23:00</w:t>
            </w:r>
          </w:p>
        </w:tc>
        <w:tc>
          <w:tcPr>
            <w:tcW w:w="535" w:type="pct"/>
            <w:vAlign w:val="center"/>
          </w:tcPr>
          <w:p w14:paraId="582F51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4.01</w:t>
            </w:r>
          </w:p>
        </w:tc>
        <w:tc>
          <w:tcPr>
            <w:tcW w:w="536" w:type="pct"/>
            <w:vAlign w:val="center"/>
          </w:tcPr>
          <w:p w14:paraId="2A51A3B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1902AD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8.02</w:t>
            </w:r>
          </w:p>
        </w:tc>
        <w:tc>
          <w:tcPr>
            <w:tcW w:w="633" w:type="pct"/>
            <w:vAlign w:val="center"/>
          </w:tcPr>
          <w:p w14:paraId="16C6D14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00:00</w:t>
            </w:r>
          </w:p>
        </w:tc>
        <w:tc>
          <w:tcPr>
            <w:tcW w:w="548" w:type="pct"/>
            <w:vAlign w:val="center"/>
          </w:tcPr>
          <w:p w14:paraId="645873F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0.33</w:t>
            </w:r>
          </w:p>
        </w:tc>
        <w:tc>
          <w:tcPr>
            <w:tcW w:w="579" w:type="pct"/>
            <w:vAlign w:val="center"/>
          </w:tcPr>
          <w:p w14:paraId="306530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5058EE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2.19</w:t>
            </w:r>
          </w:p>
        </w:tc>
      </w:tr>
      <w:tr w14:paraId="3BC5D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9C889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芝山</w:t>
            </w:r>
          </w:p>
        </w:tc>
        <w:tc>
          <w:tcPr>
            <w:tcW w:w="688" w:type="pct"/>
            <w:vAlign w:val="center"/>
          </w:tcPr>
          <w:p w14:paraId="7F3018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35" w:type="pct"/>
            <w:vAlign w:val="center"/>
          </w:tcPr>
          <w:p w14:paraId="732FF4F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3.63</w:t>
            </w:r>
          </w:p>
        </w:tc>
        <w:tc>
          <w:tcPr>
            <w:tcW w:w="536" w:type="pct"/>
            <w:vAlign w:val="center"/>
          </w:tcPr>
          <w:p w14:paraId="11D6CB8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784BD6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7.26</w:t>
            </w:r>
          </w:p>
        </w:tc>
        <w:tc>
          <w:tcPr>
            <w:tcW w:w="633" w:type="pct"/>
            <w:vAlign w:val="center"/>
          </w:tcPr>
          <w:p w14:paraId="106698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4B02FA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0.95</w:t>
            </w:r>
          </w:p>
        </w:tc>
        <w:tc>
          <w:tcPr>
            <w:tcW w:w="579" w:type="pct"/>
            <w:vAlign w:val="center"/>
          </w:tcPr>
          <w:p w14:paraId="4C4FE9E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0CCCC4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6.32</w:t>
            </w:r>
          </w:p>
        </w:tc>
      </w:tr>
      <w:tr w14:paraId="20E63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0711CA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高局</w:t>
            </w:r>
          </w:p>
        </w:tc>
        <w:tc>
          <w:tcPr>
            <w:tcW w:w="688" w:type="pct"/>
            <w:vAlign w:val="center"/>
          </w:tcPr>
          <w:p w14:paraId="7E63E1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20:00</w:t>
            </w:r>
          </w:p>
        </w:tc>
        <w:tc>
          <w:tcPr>
            <w:tcW w:w="535" w:type="pct"/>
            <w:vAlign w:val="center"/>
          </w:tcPr>
          <w:p w14:paraId="58D34C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2.55</w:t>
            </w:r>
          </w:p>
        </w:tc>
        <w:tc>
          <w:tcPr>
            <w:tcW w:w="536" w:type="pct"/>
            <w:vAlign w:val="center"/>
          </w:tcPr>
          <w:p w14:paraId="3D355B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2F7312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5.09</w:t>
            </w:r>
          </w:p>
        </w:tc>
        <w:tc>
          <w:tcPr>
            <w:tcW w:w="633" w:type="pct"/>
            <w:vAlign w:val="center"/>
          </w:tcPr>
          <w:p w14:paraId="202659C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7A4FC7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0.74</w:t>
            </w:r>
          </w:p>
        </w:tc>
        <w:tc>
          <w:tcPr>
            <w:tcW w:w="579" w:type="pct"/>
            <w:vAlign w:val="center"/>
          </w:tcPr>
          <w:p w14:paraId="61AF902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73B16C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4.96</w:t>
            </w:r>
          </w:p>
        </w:tc>
      </w:tr>
      <w:tr w14:paraId="0F6E0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65928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西山</w:t>
            </w:r>
          </w:p>
        </w:tc>
        <w:tc>
          <w:tcPr>
            <w:tcW w:w="688" w:type="pct"/>
            <w:vAlign w:val="center"/>
          </w:tcPr>
          <w:p w14:paraId="42B422A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35" w:type="pct"/>
            <w:vAlign w:val="center"/>
          </w:tcPr>
          <w:p w14:paraId="13A275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2.68</w:t>
            </w:r>
          </w:p>
        </w:tc>
        <w:tc>
          <w:tcPr>
            <w:tcW w:w="536" w:type="pct"/>
            <w:vAlign w:val="center"/>
          </w:tcPr>
          <w:p w14:paraId="5A7EB9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A95950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5.37</w:t>
            </w:r>
          </w:p>
        </w:tc>
        <w:tc>
          <w:tcPr>
            <w:tcW w:w="633" w:type="pct"/>
            <w:vAlign w:val="center"/>
          </w:tcPr>
          <w:p w14:paraId="67822F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00:00</w:t>
            </w:r>
          </w:p>
        </w:tc>
        <w:tc>
          <w:tcPr>
            <w:tcW w:w="548" w:type="pct"/>
            <w:vAlign w:val="center"/>
          </w:tcPr>
          <w:p w14:paraId="0865A0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0.67</w:t>
            </w:r>
          </w:p>
        </w:tc>
        <w:tc>
          <w:tcPr>
            <w:tcW w:w="579" w:type="pct"/>
            <w:vAlign w:val="center"/>
          </w:tcPr>
          <w:p w14:paraId="3DD903D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4974585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4.46</w:t>
            </w:r>
          </w:p>
        </w:tc>
      </w:tr>
      <w:tr w14:paraId="76B21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ADACD4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东井村</w:t>
            </w:r>
          </w:p>
        </w:tc>
        <w:tc>
          <w:tcPr>
            <w:tcW w:w="688" w:type="pct"/>
            <w:vAlign w:val="center"/>
          </w:tcPr>
          <w:p w14:paraId="0701E3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35" w:type="pct"/>
            <w:vAlign w:val="center"/>
          </w:tcPr>
          <w:p w14:paraId="6E8DF6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2.20</w:t>
            </w:r>
          </w:p>
        </w:tc>
        <w:tc>
          <w:tcPr>
            <w:tcW w:w="536" w:type="pct"/>
            <w:vAlign w:val="center"/>
          </w:tcPr>
          <w:p w14:paraId="5748F9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2598FA0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4.39</w:t>
            </w:r>
          </w:p>
        </w:tc>
        <w:tc>
          <w:tcPr>
            <w:tcW w:w="633" w:type="pct"/>
            <w:vAlign w:val="center"/>
          </w:tcPr>
          <w:p w14:paraId="78BC6D1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6FB17B3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0.60</w:t>
            </w:r>
          </w:p>
        </w:tc>
        <w:tc>
          <w:tcPr>
            <w:tcW w:w="579" w:type="pct"/>
            <w:vAlign w:val="center"/>
          </w:tcPr>
          <w:p w14:paraId="06D1F7C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401B69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r>
      <w:tr w14:paraId="45145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834B0D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沾泽村</w:t>
            </w:r>
          </w:p>
        </w:tc>
        <w:tc>
          <w:tcPr>
            <w:tcW w:w="688" w:type="pct"/>
            <w:vAlign w:val="center"/>
          </w:tcPr>
          <w:p w14:paraId="0871763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03D1A9E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c>
          <w:tcPr>
            <w:tcW w:w="536" w:type="pct"/>
            <w:vAlign w:val="center"/>
          </w:tcPr>
          <w:p w14:paraId="1D6EB43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B03900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2.46</w:t>
            </w:r>
          </w:p>
        </w:tc>
        <w:tc>
          <w:tcPr>
            <w:tcW w:w="633" w:type="pct"/>
            <w:vAlign w:val="center"/>
          </w:tcPr>
          <w:p w14:paraId="12B8EFF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5BDA18D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0.22</w:t>
            </w:r>
          </w:p>
        </w:tc>
        <w:tc>
          <w:tcPr>
            <w:tcW w:w="579" w:type="pct"/>
            <w:vAlign w:val="center"/>
          </w:tcPr>
          <w:p w14:paraId="58F7C8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4D75C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1.45</w:t>
            </w:r>
          </w:p>
        </w:tc>
      </w:tr>
      <w:tr w14:paraId="103CF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7E199A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南曹村</w:t>
            </w:r>
          </w:p>
        </w:tc>
        <w:tc>
          <w:tcPr>
            <w:tcW w:w="688" w:type="pct"/>
            <w:vAlign w:val="center"/>
          </w:tcPr>
          <w:p w14:paraId="64D166A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07:00</w:t>
            </w:r>
          </w:p>
        </w:tc>
        <w:tc>
          <w:tcPr>
            <w:tcW w:w="535" w:type="pct"/>
            <w:vAlign w:val="center"/>
          </w:tcPr>
          <w:p w14:paraId="505AED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2.05</w:t>
            </w:r>
          </w:p>
        </w:tc>
        <w:tc>
          <w:tcPr>
            <w:tcW w:w="536" w:type="pct"/>
            <w:vAlign w:val="center"/>
          </w:tcPr>
          <w:p w14:paraId="4B5EDE1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117B43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4.10</w:t>
            </w:r>
          </w:p>
        </w:tc>
        <w:tc>
          <w:tcPr>
            <w:tcW w:w="633" w:type="pct"/>
            <w:vAlign w:val="center"/>
          </w:tcPr>
          <w:p w14:paraId="40DECD4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3E753F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0.49</w:t>
            </w:r>
          </w:p>
        </w:tc>
        <w:tc>
          <w:tcPr>
            <w:tcW w:w="579" w:type="pct"/>
            <w:vAlign w:val="center"/>
          </w:tcPr>
          <w:p w14:paraId="330992F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1158A19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3.28</w:t>
            </w:r>
          </w:p>
        </w:tc>
      </w:tr>
      <w:tr w14:paraId="71755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B3370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东江水厂</w:t>
            </w:r>
          </w:p>
        </w:tc>
        <w:tc>
          <w:tcPr>
            <w:tcW w:w="688" w:type="pct"/>
            <w:vAlign w:val="center"/>
          </w:tcPr>
          <w:p w14:paraId="0C52B8E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2022/07/13 06:00</w:t>
            </w:r>
          </w:p>
        </w:tc>
        <w:tc>
          <w:tcPr>
            <w:tcW w:w="535" w:type="pct"/>
            <w:vAlign w:val="center"/>
          </w:tcPr>
          <w:p w14:paraId="5C8D041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2.85</w:t>
            </w:r>
          </w:p>
        </w:tc>
        <w:tc>
          <w:tcPr>
            <w:tcW w:w="536" w:type="pct"/>
            <w:vAlign w:val="center"/>
          </w:tcPr>
          <w:p w14:paraId="28E37F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AAD050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5.70</w:t>
            </w:r>
          </w:p>
        </w:tc>
        <w:tc>
          <w:tcPr>
            <w:tcW w:w="633" w:type="pct"/>
            <w:vAlign w:val="center"/>
          </w:tcPr>
          <w:p w14:paraId="1AA672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2022/07/13 00:00</w:t>
            </w:r>
          </w:p>
        </w:tc>
        <w:tc>
          <w:tcPr>
            <w:tcW w:w="548" w:type="pct"/>
            <w:vAlign w:val="center"/>
          </w:tcPr>
          <w:p w14:paraId="7E81734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0.68</w:t>
            </w:r>
          </w:p>
        </w:tc>
        <w:tc>
          <w:tcPr>
            <w:tcW w:w="579" w:type="pct"/>
            <w:vAlign w:val="center"/>
          </w:tcPr>
          <w:p w14:paraId="472F57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7E39260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4.53</w:t>
            </w:r>
          </w:p>
        </w:tc>
      </w:tr>
      <w:tr w14:paraId="5F16C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C1AAB2">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东沃村</w:t>
            </w:r>
          </w:p>
        </w:tc>
        <w:tc>
          <w:tcPr>
            <w:tcW w:w="688" w:type="pct"/>
            <w:vAlign w:val="center"/>
          </w:tcPr>
          <w:p w14:paraId="49BE52F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35" w:type="pct"/>
            <w:vAlign w:val="center"/>
          </w:tcPr>
          <w:p w14:paraId="2582BC6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4.45</w:t>
            </w:r>
          </w:p>
        </w:tc>
        <w:tc>
          <w:tcPr>
            <w:tcW w:w="536" w:type="pct"/>
            <w:vAlign w:val="center"/>
          </w:tcPr>
          <w:p w14:paraId="23839FD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0B984A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8.90</w:t>
            </w:r>
          </w:p>
        </w:tc>
        <w:tc>
          <w:tcPr>
            <w:tcW w:w="633" w:type="pct"/>
            <w:vAlign w:val="center"/>
          </w:tcPr>
          <w:p w14:paraId="6C6F2E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00:00</w:t>
            </w:r>
          </w:p>
        </w:tc>
        <w:tc>
          <w:tcPr>
            <w:tcW w:w="548" w:type="pct"/>
            <w:vAlign w:val="center"/>
          </w:tcPr>
          <w:p w14:paraId="005E67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0.53</w:t>
            </w:r>
          </w:p>
        </w:tc>
        <w:tc>
          <w:tcPr>
            <w:tcW w:w="579" w:type="pct"/>
            <w:vAlign w:val="center"/>
          </w:tcPr>
          <w:p w14:paraId="40AF029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15043F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3.52</w:t>
            </w:r>
          </w:p>
        </w:tc>
      </w:tr>
      <w:tr w14:paraId="7C14F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753ADC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潘厝村</w:t>
            </w:r>
          </w:p>
        </w:tc>
        <w:tc>
          <w:tcPr>
            <w:tcW w:w="688" w:type="pct"/>
            <w:vAlign w:val="center"/>
          </w:tcPr>
          <w:p w14:paraId="303F415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2022/06/10 20:00</w:t>
            </w:r>
          </w:p>
        </w:tc>
        <w:tc>
          <w:tcPr>
            <w:tcW w:w="535" w:type="pct"/>
            <w:vAlign w:val="center"/>
          </w:tcPr>
          <w:p w14:paraId="05BAF62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2.22</w:t>
            </w:r>
          </w:p>
        </w:tc>
        <w:tc>
          <w:tcPr>
            <w:tcW w:w="536" w:type="pct"/>
            <w:vAlign w:val="center"/>
          </w:tcPr>
          <w:p w14:paraId="70823B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F4162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4.43</w:t>
            </w:r>
          </w:p>
        </w:tc>
        <w:tc>
          <w:tcPr>
            <w:tcW w:w="633" w:type="pct"/>
            <w:vAlign w:val="center"/>
          </w:tcPr>
          <w:p w14:paraId="1A70FC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7B8EB27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0.51</w:t>
            </w:r>
          </w:p>
        </w:tc>
        <w:tc>
          <w:tcPr>
            <w:tcW w:w="579" w:type="pct"/>
            <w:vAlign w:val="center"/>
          </w:tcPr>
          <w:p w14:paraId="2C612C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6F766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3.40</w:t>
            </w:r>
          </w:p>
        </w:tc>
      </w:tr>
      <w:tr w14:paraId="623CB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AB45A6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何厝村</w:t>
            </w:r>
          </w:p>
        </w:tc>
        <w:tc>
          <w:tcPr>
            <w:tcW w:w="688" w:type="pct"/>
            <w:vAlign w:val="center"/>
          </w:tcPr>
          <w:p w14:paraId="03FCDB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05:00</w:t>
            </w:r>
          </w:p>
        </w:tc>
        <w:tc>
          <w:tcPr>
            <w:tcW w:w="535" w:type="pct"/>
            <w:vAlign w:val="center"/>
          </w:tcPr>
          <w:p w14:paraId="167D1B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2.09</w:t>
            </w:r>
          </w:p>
        </w:tc>
        <w:tc>
          <w:tcPr>
            <w:tcW w:w="536" w:type="pct"/>
            <w:vAlign w:val="center"/>
          </w:tcPr>
          <w:p w14:paraId="58942C0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76ADD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4.18</w:t>
            </w:r>
          </w:p>
        </w:tc>
        <w:tc>
          <w:tcPr>
            <w:tcW w:w="633" w:type="pct"/>
            <w:vAlign w:val="center"/>
          </w:tcPr>
          <w:p w14:paraId="69D049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769238C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0.43</w:t>
            </w:r>
          </w:p>
        </w:tc>
        <w:tc>
          <w:tcPr>
            <w:tcW w:w="579" w:type="pct"/>
            <w:vAlign w:val="center"/>
          </w:tcPr>
          <w:p w14:paraId="6298F03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043C0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2.89</w:t>
            </w:r>
          </w:p>
        </w:tc>
      </w:tr>
      <w:tr w14:paraId="6F1D7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F65F43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田头村</w:t>
            </w:r>
          </w:p>
        </w:tc>
        <w:tc>
          <w:tcPr>
            <w:tcW w:w="688" w:type="pct"/>
            <w:vAlign w:val="center"/>
          </w:tcPr>
          <w:p w14:paraId="1556E48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418912B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0.75</w:t>
            </w:r>
          </w:p>
        </w:tc>
        <w:tc>
          <w:tcPr>
            <w:tcW w:w="536" w:type="pct"/>
            <w:vAlign w:val="center"/>
          </w:tcPr>
          <w:p w14:paraId="42A0A9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288F14C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w:t>
            </w:r>
          </w:p>
        </w:tc>
        <w:tc>
          <w:tcPr>
            <w:tcW w:w="633" w:type="pct"/>
            <w:vAlign w:val="center"/>
          </w:tcPr>
          <w:p w14:paraId="141DF4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5C39F8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79" w:type="pct"/>
            <w:vAlign w:val="center"/>
          </w:tcPr>
          <w:p w14:paraId="370393A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1F432CE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1.11</w:t>
            </w:r>
          </w:p>
        </w:tc>
      </w:tr>
      <w:tr w14:paraId="2093B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9B9705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下堡村</w:t>
            </w:r>
          </w:p>
        </w:tc>
        <w:tc>
          <w:tcPr>
            <w:tcW w:w="688" w:type="pct"/>
            <w:vAlign w:val="center"/>
          </w:tcPr>
          <w:p w14:paraId="3A18746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573589D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1.36</w:t>
            </w:r>
          </w:p>
        </w:tc>
        <w:tc>
          <w:tcPr>
            <w:tcW w:w="536" w:type="pct"/>
            <w:vAlign w:val="center"/>
          </w:tcPr>
          <w:p w14:paraId="3BF6372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6FAEAD8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2.73</w:t>
            </w:r>
          </w:p>
        </w:tc>
        <w:tc>
          <w:tcPr>
            <w:tcW w:w="633" w:type="pct"/>
            <w:vAlign w:val="center"/>
          </w:tcPr>
          <w:p w14:paraId="1B4416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1E1FC2C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79" w:type="pct"/>
            <w:vAlign w:val="center"/>
          </w:tcPr>
          <w:p w14:paraId="437F3D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0377A8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1.73</w:t>
            </w:r>
          </w:p>
        </w:tc>
      </w:tr>
      <w:tr w14:paraId="3EB40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EAFA5E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下石村</w:t>
            </w:r>
          </w:p>
        </w:tc>
        <w:tc>
          <w:tcPr>
            <w:tcW w:w="688" w:type="pct"/>
            <w:vAlign w:val="center"/>
          </w:tcPr>
          <w:p w14:paraId="137BF9F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16304B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1.80</w:t>
            </w:r>
          </w:p>
        </w:tc>
        <w:tc>
          <w:tcPr>
            <w:tcW w:w="536" w:type="pct"/>
            <w:vAlign w:val="center"/>
          </w:tcPr>
          <w:p w14:paraId="55CA42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B757B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3.60</w:t>
            </w:r>
          </w:p>
        </w:tc>
        <w:tc>
          <w:tcPr>
            <w:tcW w:w="633" w:type="pct"/>
            <w:vAlign w:val="center"/>
          </w:tcPr>
          <w:p w14:paraId="750FA0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00:00</w:t>
            </w:r>
          </w:p>
        </w:tc>
        <w:tc>
          <w:tcPr>
            <w:tcW w:w="548" w:type="pct"/>
            <w:vAlign w:val="center"/>
          </w:tcPr>
          <w:p w14:paraId="7386DDF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79" w:type="pct"/>
            <w:vAlign w:val="center"/>
          </w:tcPr>
          <w:p w14:paraId="17FEBE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2EB79F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1.71</w:t>
            </w:r>
          </w:p>
        </w:tc>
      </w:tr>
      <w:tr w14:paraId="31AD8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A9F125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江阴镇</w:t>
            </w:r>
          </w:p>
        </w:tc>
        <w:tc>
          <w:tcPr>
            <w:tcW w:w="688" w:type="pct"/>
            <w:vAlign w:val="center"/>
          </w:tcPr>
          <w:p w14:paraId="639057E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2022/03/04 09:00</w:t>
            </w:r>
          </w:p>
        </w:tc>
        <w:tc>
          <w:tcPr>
            <w:tcW w:w="535" w:type="pct"/>
            <w:vAlign w:val="center"/>
          </w:tcPr>
          <w:p w14:paraId="3388CB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0.76</w:t>
            </w:r>
          </w:p>
        </w:tc>
        <w:tc>
          <w:tcPr>
            <w:tcW w:w="536" w:type="pct"/>
            <w:vAlign w:val="center"/>
          </w:tcPr>
          <w:p w14:paraId="21F0E94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231B94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1.52</w:t>
            </w:r>
          </w:p>
        </w:tc>
        <w:tc>
          <w:tcPr>
            <w:tcW w:w="633" w:type="pct"/>
            <w:vAlign w:val="center"/>
          </w:tcPr>
          <w:p w14:paraId="389DE8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1CE7C5C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79" w:type="pct"/>
            <w:vAlign w:val="center"/>
          </w:tcPr>
          <w:p w14:paraId="029BFB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512EA2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1.12</w:t>
            </w:r>
          </w:p>
        </w:tc>
      </w:tr>
      <w:tr w14:paraId="7EEAD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90EC7E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后林</w:t>
            </w:r>
          </w:p>
        </w:tc>
        <w:tc>
          <w:tcPr>
            <w:tcW w:w="688" w:type="pct"/>
            <w:vAlign w:val="center"/>
          </w:tcPr>
          <w:p w14:paraId="7717C1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655820F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3.31</w:t>
            </w:r>
          </w:p>
        </w:tc>
        <w:tc>
          <w:tcPr>
            <w:tcW w:w="536" w:type="pct"/>
            <w:vAlign w:val="center"/>
          </w:tcPr>
          <w:p w14:paraId="00F6979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0F22B4E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6.63</w:t>
            </w:r>
          </w:p>
        </w:tc>
        <w:tc>
          <w:tcPr>
            <w:tcW w:w="633" w:type="pct"/>
            <w:vAlign w:val="center"/>
          </w:tcPr>
          <w:p w14:paraId="4183DA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00:00</w:t>
            </w:r>
          </w:p>
        </w:tc>
        <w:tc>
          <w:tcPr>
            <w:tcW w:w="548" w:type="pct"/>
            <w:vAlign w:val="center"/>
          </w:tcPr>
          <w:p w14:paraId="7A7406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0.46</w:t>
            </w:r>
          </w:p>
        </w:tc>
        <w:tc>
          <w:tcPr>
            <w:tcW w:w="579" w:type="pct"/>
            <w:vAlign w:val="center"/>
          </w:tcPr>
          <w:p w14:paraId="501D65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12DB37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3.10</w:t>
            </w:r>
          </w:p>
        </w:tc>
      </w:tr>
      <w:tr w14:paraId="5632D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1A5D9C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岭兜</w:t>
            </w:r>
          </w:p>
        </w:tc>
        <w:tc>
          <w:tcPr>
            <w:tcW w:w="688" w:type="pct"/>
            <w:vAlign w:val="center"/>
          </w:tcPr>
          <w:p w14:paraId="229FFF3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2022/11/26 06:00</w:t>
            </w:r>
          </w:p>
        </w:tc>
        <w:tc>
          <w:tcPr>
            <w:tcW w:w="535" w:type="pct"/>
            <w:vAlign w:val="center"/>
          </w:tcPr>
          <w:p w14:paraId="6F0E67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1.65</w:t>
            </w:r>
          </w:p>
        </w:tc>
        <w:tc>
          <w:tcPr>
            <w:tcW w:w="536" w:type="pct"/>
            <w:vAlign w:val="center"/>
          </w:tcPr>
          <w:p w14:paraId="169CCC2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185111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3.30</w:t>
            </w:r>
          </w:p>
        </w:tc>
        <w:tc>
          <w:tcPr>
            <w:tcW w:w="633" w:type="pct"/>
            <w:vAlign w:val="center"/>
          </w:tcPr>
          <w:p w14:paraId="79227F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3B81B39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0.39</w:t>
            </w:r>
          </w:p>
        </w:tc>
        <w:tc>
          <w:tcPr>
            <w:tcW w:w="579" w:type="pct"/>
            <w:vAlign w:val="center"/>
          </w:tcPr>
          <w:p w14:paraId="79D4090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566AB1C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2.59</w:t>
            </w:r>
          </w:p>
        </w:tc>
      </w:tr>
      <w:tr w14:paraId="08E6C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6B5A24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布厝</w:t>
            </w:r>
          </w:p>
        </w:tc>
        <w:tc>
          <w:tcPr>
            <w:tcW w:w="688" w:type="pct"/>
            <w:vAlign w:val="center"/>
          </w:tcPr>
          <w:p w14:paraId="311F2B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13D1BF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2.14</w:t>
            </w:r>
          </w:p>
        </w:tc>
        <w:tc>
          <w:tcPr>
            <w:tcW w:w="536" w:type="pct"/>
            <w:vAlign w:val="center"/>
          </w:tcPr>
          <w:p w14:paraId="70BBC97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6F2C140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4.28</w:t>
            </w:r>
          </w:p>
        </w:tc>
        <w:tc>
          <w:tcPr>
            <w:tcW w:w="633" w:type="pct"/>
            <w:vAlign w:val="center"/>
          </w:tcPr>
          <w:p w14:paraId="0908FC8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38CC92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0.45</w:t>
            </w:r>
          </w:p>
        </w:tc>
        <w:tc>
          <w:tcPr>
            <w:tcW w:w="579" w:type="pct"/>
            <w:vAlign w:val="center"/>
          </w:tcPr>
          <w:p w14:paraId="1B1CE89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3F144D5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2.99</w:t>
            </w:r>
          </w:p>
        </w:tc>
      </w:tr>
      <w:tr w14:paraId="442F0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8BD0E5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西兰</w:t>
            </w:r>
          </w:p>
        </w:tc>
        <w:tc>
          <w:tcPr>
            <w:tcW w:w="688" w:type="pct"/>
            <w:vAlign w:val="center"/>
          </w:tcPr>
          <w:p w14:paraId="27DCB03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02:00</w:t>
            </w:r>
          </w:p>
        </w:tc>
        <w:tc>
          <w:tcPr>
            <w:tcW w:w="535" w:type="pct"/>
            <w:vAlign w:val="center"/>
          </w:tcPr>
          <w:p w14:paraId="586040A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2.03</w:t>
            </w:r>
          </w:p>
        </w:tc>
        <w:tc>
          <w:tcPr>
            <w:tcW w:w="536" w:type="pct"/>
            <w:vAlign w:val="center"/>
          </w:tcPr>
          <w:p w14:paraId="7F9D6C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5560495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4.07</w:t>
            </w:r>
          </w:p>
        </w:tc>
        <w:tc>
          <w:tcPr>
            <w:tcW w:w="633" w:type="pct"/>
            <w:vAlign w:val="center"/>
          </w:tcPr>
          <w:p w14:paraId="69EBB7D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00:00</w:t>
            </w:r>
          </w:p>
        </w:tc>
        <w:tc>
          <w:tcPr>
            <w:tcW w:w="548" w:type="pct"/>
            <w:vAlign w:val="center"/>
          </w:tcPr>
          <w:p w14:paraId="12F7EC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0.40</w:t>
            </w:r>
          </w:p>
        </w:tc>
        <w:tc>
          <w:tcPr>
            <w:tcW w:w="579" w:type="pct"/>
            <w:vAlign w:val="center"/>
          </w:tcPr>
          <w:p w14:paraId="4C2E26F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19AA1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2.65</w:t>
            </w:r>
          </w:p>
        </w:tc>
      </w:tr>
      <w:tr w14:paraId="52EAC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B882FC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沙塘</w:t>
            </w:r>
          </w:p>
        </w:tc>
        <w:tc>
          <w:tcPr>
            <w:tcW w:w="688" w:type="pct"/>
            <w:vAlign w:val="center"/>
          </w:tcPr>
          <w:p w14:paraId="129D8EB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35" w:type="pct"/>
            <w:vAlign w:val="center"/>
          </w:tcPr>
          <w:p w14:paraId="4179609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2.19</w:t>
            </w:r>
          </w:p>
        </w:tc>
        <w:tc>
          <w:tcPr>
            <w:tcW w:w="536" w:type="pct"/>
            <w:vAlign w:val="center"/>
          </w:tcPr>
          <w:p w14:paraId="2D4A026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F0824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4.37</w:t>
            </w:r>
          </w:p>
        </w:tc>
        <w:tc>
          <w:tcPr>
            <w:tcW w:w="633" w:type="pct"/>
            <w:vAlign w:val="center"/>
          </w:tcPr>
          <w:p w14:paraId="36648F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2022/06/07 00:00</w:t>
            </w:r>
          </w:p>
        </w:tc>
        <w:tc>
          <w:tcPr>
            <w:tcW w:w="548" w:type="pct"/>
            <w:vAlign w:val="center"/>
          </w:tcPr>
          <w:p w14:paraId="4AD209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579" w:type="pct"/>
            <w:vAlign w:val="center"/>
          </w:tcPr>
          <w:p w14:paraId="76D36EC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84DFCD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2.04</w:t>
            </w:r>
          </w:p>
        </w:tc>
      </w:tr>
      <w:tr w14:paraId="1DC2C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3F69CE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张厝</w:t>
            </w:r>
          </w:p>
        </w:tc>
        <w:tc>
          <w:tcPr>
            <w:tcW w:w="688" w:type="pct"/>
            <w:vAlign w:val="center"/>
          </w:tcPr>
          <w:p w14:paraId="76EE2F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35" w:type="pct"/>
            <w:vAlign w:val="center"/>
          </w:tcPr>
          <w:p w14:paraId="2AA4C6B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1.35</w:t>
            </w:r>
          </w:p>
        </w:tc>
        <w:tc>
          <w:tcPr>
            <w:tcW w:w="536" w:type="pct"/>
            <w:vAlign w:val="center"/>
          </w:tcPr>
          <w:p w14:paraId="0E6834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EC2FE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2.70</w:t>
            </w:r>
          </w:p>
        </w:tc>
        <w:tc>
          <w:tcPr>
            <w:tcW w:w="633" w:type="pct"/>
            <w:vAlign w:val="center"/>
          </w:tcPr>
          <w:p w14:paraId="29A77A6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2022/06/07 00:00</w:t>
            </w:r>
          </w:p>
        </w:tc>
        <w:tc>
          <w:tcPr>
            <w:tcW w:w="548" w:type="pct"/>
            <w:vAlign w:val="center"/>
          </w:tcPr>
          <w:p w14:paraId="190ED2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0.18</w:t>
            </w:r>
          </w:p>
        </w:tc>
        <w:tc>
          <w:tcPr>
            <w:tcW w:w="579" w:type="pct"/>
            <w:vAlign w:val="center"/>
          </w:tcPr>
          <w:p w14:paraId="68BABE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5F2EB42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1.21</w:t>
            </w:r>
          </w:p>
        </w:tc>
      </w:tr>
      <w:tr w14:paraId="3378B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1F2D8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钱塘</w:t>
            </w:r>
          </w:p>
        </w:tc>
        <w:tc>
          <w:tcPr>
            <w:tcW w:w="688" w:type="pct"/>
            <w:vAlign w:val="center"/>
          </w:tcPr>
          <w:p w14:paraId="4B220A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73F4F48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1.30</w:t>
            </w:r>
          </w:p>
        </w:tc>
        <w:tc>
          <w:tcPr>
            <w:tcW w:w="536" w:type="pct"/>
            <w:vAlign w:val="center"/>
          </w:tcPr>
          <w:p w14:paraId="17555E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117E3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2.60</w:t>
            </w:r>
          </w:p>
        </w:tc>
        <w:tc>
          <w:tcPr>
            <w:tcW w:w="633" w:type="pct"/>
            <w:vAlign w:val="center"/>
          </w:tcPr>
          <w:p w14:paraId="4C8B980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00:00</w:t>
            </w:r>
          </w:p>
        </w:tc>
        <w:tc>
          <w:tcPr>
            <w:tcW w:w="548" w:type="pct"/>
            <w:vAlign w:val="center"/>
          </w:tcPr>
          <w:p w14:paraId="2254FD5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0.22</w:t>
            </w:r>
          </w:p>
        </w:tc>
        <w:tc>
          <w:tcPr>
            <w:tcW w:w="579" w:type="pct"/>
            <w:vAlign w:val="center"/>
          </w:tcPr>
          <w:p w14:paraId="3188E6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6BFBBC6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1.48</w:t>
            </w:r>
          </w:p>
        </w:tc>
      </w:tr>
      <w:tr w14:paraId="28717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A4234D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18F1D74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10DD6B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1.73</w:t>
            </w:r>
          </w:p>
        </w:tc>
        <w:tc>
          <w:tcPr>
            <w:tcW w:w="536" w:type="pct"/>
            <w:vAlign w:val="center"/>
          </w:tcPr>
          <w:p w14:paraId="1971249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2495F66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3.46</w:t>
            </w:r>
          </w:p>
        </w:tc>
        <w:tc>
          <w:tcPr>
            <w:tcW w:w="633" w:type="pct"/>
            <w:vAlign w:val="center"/>
          </w:tcPr>
          <w:p w14:paraId="281A615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2022/11/29 00:00</w:t>
            </w:r>
          </w:p>
        </w:tc>
        <w:tc>
          <w:tcPr>
            <w:tcW w:w="548" w:type="pct"/>
            <w:vAlign w:val="center"/>
          </w:tcPr>
          <w:p w14:paraId="1715795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c>
          <w:tcPr>
            <w:tcW w:w="579" w:type="pct"/>
            <w:vAlign w:val="center"/>
          </w:tcPr>
          <w:p w14:paraId="2DDBAD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5FA3C2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1.60</w:t>
            </w:r>
          </w:p>
        </w:tc>
      </w:tr>
      <w:tr w14:paraId="57361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5076D6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垄北</w:t>
            </w:r>
          </w:p>
        </w:tc>
        <w:tc>
          <w:tcPr>
            <w:tcW w:w="688" w:type="pct"/>
            <w:vAlign w:val="center"/>
          </w:tcPr>
          <w:p w14:paraId="28FCAD9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19:00</w:t>
            </w:r>
          </w:p>
        </w:tc>
        <w:tc>
          <w:tcPr>
            <w:tcW w:w="535" w:type="pct"/>
            <w:vAlign w:val="center"/>
          </w:tcPr>
          <w:p w14:paraId="009C0A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1.55</w:t>
            </w:r>
          </w:p>
        </w:tc>
        <w:tc>
          <w:tcPr>
            <w:tcW w:w="536" w:type="pct"/>
            <w:vAlign w:val="center"/>
          </w:tcPr>
          <w:p w14:paraId="7D4E238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9B6F8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3.11</w:t>
            </w:r>
          </w:p>
        </w:tc>
        <w:tc>
          <w:tcPr>
            <w:tcW w:w="633" w:type="pct"/>
            <w:vAlign w:val="center"/>
          </w:tcPr>
          <w:p w14:paraId="3B6233C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2022/04/24 00:00</w:t>
            </w:r>
          </w:p>
        </w:tc>
        <w:tc>
          <w:tcPr>
            <w:tcW w:w="548" w:type="pct"/>
            <w:vAlign w:val="center"/>
          </w:tcPr>
          <w:p w14:paraId="4169B4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0.34</w:t>
            </w:r>
          </w:p>
        </w:tc>
        <w:tc>
          <w:tcPr>
            <w:tcW w:w="579" w:type="pct"/>
            <w:vAlign w:val="center"/>
          </w:tcPr>
          <w:p w14:paraId="0F4B31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52A9CD4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2.25</w:t>
            </w:r>
          </w:p>
        </w:tc>
      </w:tr>
      <w:tr w14:paraId="6D4C4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199FF3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赤厝村</w:t>
            </w:r>
          </w:p>
        </w:tc>
        <w:tc>
          <w:tcPr>
            <w:tcW w:w="688" w:type="pct"/>
            <w:vAlign w:val="center"/>
          </w:tcPr>
          <w:p w14:paraId="1BDFAA8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23:00</w:t>
            </w:r>
          </w:p>
        </w:tc>
        <w:tc>
          <w:tcPr>
            <w:tcW w:w="535" w:type="pct"/>
            <w:vAlign w:val="center"/>
          </w:tcPr>
          <w:p w14:paraId="6E9DF1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c>
          <w:tcPr>
            <w:tcW w:w="536" w:type="pct"/>
            <w:vAlign w:val="center"/>
          </w:tcPr>
          <w:p w14:paraId="3C571F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755070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1.15</w:t>
            </w:r>
          </w:p>
        </w:tc>
        <w:tc>
          <w:tcPr>
            <w:tcW w:w="633" w:type="pct"/>
            <w:vAlign w:val="center"/>
          </w:tcPr>
          <w:p w14:paraId="2A08F7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00:00</w:t>
            </w:r>
          </w:p>
        </w:tc>
        <w:tc>
          <w:tcPr>
            <w:tcW w:w="548" w:type="pct"/>
            <w:vAlign w:val="center"/>
          </w:tcPr>
          <w:p w14:paraId="34FBC97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0.14</w:t>
            </w:r>
          </w:p>
        </w:tc>
        <w:tc>
          <w:tcPr>
            <w:tcW w:w="579" w:type="pct"/>
            <w:vAlign w:val="center"/>
          </w:tcPr>
          <w:p w14:paraId="3A6C45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66AF473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0.94</w:t>
            </w:r>
          </w:p>
        </w:tc>
      </w:tr>
      <w:tr w14:paraId="674F3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286147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门口村</w:t>
            </w:r>
          </w:p>
        </w:tc>
        <w:tc>
          <w:tcPr>
            <w:tcW w:w="688" w:type="pct"/>
            <w:vAlign w:val="center"/>
          </w:tcPr>
          <w:p w14:paraId="0CCBFB7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087ABCB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0.63</w:t>
            </w:r>
          </w:p>
        </w:tc>
        <w:tc>
          <w:tcPr>
            <w:tcW w:w="536" w:type="pct"/>
            <w:vAlign w:val="center"/>
          </w:tcPr>
          <w:p w14:paraId="67A703C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0D4821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1.27</w:t>
            </w:r>
          </w:p>
        </w:tc>
        <w:tc>
          <w:tcPr>
            <w:tcW w:w="633" w:type="pct"/>
            <w:vAlign w:val="center"/>
          </w:tcPr>
          <w:p w14:paraId="234037B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2022/03/01 00:00</w:t>
            </w:r>
          </w:p>
        </w:tc>
        <w:tc>
          <w:tcPr>
            <w:tcW w:w="548" w:type="pct"/>
            <w:vAlign w:val="center"/>
          </w:tcPr>
          <w:p w14:paraId="71A67A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0.13</w:t>
            </w:r>
          </w:p>
        </w:tc>
        <w:tc>
          <w:tcPr>
            <w:tcW w:w="579" w:type="pct"/>
            <w:vAlign w:val="center"/>
          </w:tcPr>
          <w:p w14:paraId="1AAA764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1889535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0.90</w:t>
            </w:r>
          </w:p>
        </w:tc>
      </w:tr>
      <w:tr w14:paraId="2C3DB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5BC939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0E77541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12E295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1.56</w:t>
            </w:r>
          </w:p>
        </w:tc>
        <w:tc>
          <w:tcPr>
            <w:tcW w:w="536" w:type="pct"/>
            <w:vAlign w:val="center"/>
          </w:tcPr>
          <w:p w14:paraId="199BCAA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08BB19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3.12</w:t>
            </w:r>
          </w:p>
        </w:tc>
        <w:tc>
          <w:tcPr>
            <w:tcW w:w="633" w:type="pct"/>
            <w:vAlign w:val="center"/>
          </w:tcPr>
          <w:p w14:paraId="0CD5D3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021EB4E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79" w:type="pct"/>
            <w:vAlign w:val="center"/>
          </w:tcPr>
          <w:p w14:paraId="6F0FDE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4ED7149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1.74</w:t>
            </w:r>
          </w:p>
        </w:tc>
      </w:tr>
      <w:tr w14:paraId="742E2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D55AD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岭口村</w:t>
            </w:r>
          </w:p>
        </w:tc>
        <w:tc>
          <w:tcPr>
            <w:tcW w:w="688" w:type="pct"/>
            <w:vAlign w:val="center"/>
          </w:tcPr>
          <w:p w14:paraId="750AB7A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07:00</w:t>
            </w:r>
          </w:p>
        </w:tc>
        <w:tc>
          <w:tcPr>
            <w:tcW w:w="535" w:type="pct"/>
            <w:vAlign w:val="center"/>
          </w:tcPr>
          <w:p w14:paraId="373481C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0.75</w:t>
            </w:r>
          </w:p>
        </w:tc>
        <w:tc>
          <w:tcPr>
            <w:tcW w:w="536" w:type="pct"/>
            <w:vAlign w:val="center"/>
          </w:tcPr>
          <w:p w14:paraId="746439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4107DD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1.49</w:t>
            </w:r>
          </w:p>
        </w:tc>
        <w:tc>
          <w:tcPr>
            <w:tcW w:w="633" w:type="pct"/>
            <w:vAlign w:val="center"/>
          </w:tcPr>
          <w:p w14:paraId="47B780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2022/04/24 00:00</w:t>
            </w:r>
          </w:p>
        </w:tc>
        <w:tc>
          <w:tcPr>
            <w:tcW w:w="548" w:type="pct"/>
            <w:vAlign w:val="center"/>
          </w:tcPr>
          <w:p w14:paraId="65D0978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0.13</w:t>
            </w:r>
          </w:p>
        </w:tc>
        <w:tc>
          <w:tcPr>
            <w:tcW w:w="579" w:type="pct"/>
            <w:vAlign w:val="center"/>
          </w:tcPr>
          <w:p w14:paraId="0E5234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02A44D1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0.86</w:t>
            </w:r>
          </w:p>
        </w:tc>
      </w:tr>
      <w:tr w14:paraId="0C233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9BA938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龙门村</w:t>
            </w:r>
          </w:p>
        </w:tc>
        <w:tc>
          <w:tcPr>
            <w:tcW w:w="688" w:type="pct"/>
            <w:vAlign w:val="center"/>
          </w:tcPr>
          <w:p w14:paraId="75BABD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17F42E4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1.43</w:t>
            </w:r>
          </w:p>
        </w:tc>
        <w:tc>
          <w:tcPr>
            <w:tcW w:w="536" w:type="pct"/>
            <w:vAlign w:val="center"/>
          </w:tcPr>
          <w:p w14:paraId="0D9F883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3C38C76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2.86</w:t>
            </w:r>
          </w:p>
        </w:tc>
        <w:tc>
          <w:tcPr>
            <w:tcW w:w="633" w:type="pct"/>
            <w:vAlign w:val="center"/>
          </w:tcPr>
          <w:p w14:paraId="69474B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6F1DFDD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0.28</w:t>
            </w:r>
          </w:p>
        </w:tc>
        <w:tc>
          <w:tcPr>
            <w:tcW w:w="579" w:type="pct"/>
            <w:vAlign w:val="center"/>
          </w:tcPr>
          <w:p w14:paraId="6C9FC7B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48BCC01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1.85</w:t>
            </w:r>
          </w:p>
        </w:tc>
      </w:tr>
      <w:tr w14:paraId="3321C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33316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后庄村</w:t>
            </w:r>
          </w:p>
        </w:tc>
        <w:tc>
          <w:tcPr>
            <w:tcW w:w="688" w:type="pct"/>
            <w:vAlign w:val="center"/>
          </w:tcPr>
          <w:p w14:paraId="6FFAD5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04EF62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1.79</w:t>
            </w:r>
          </w:p>
        </w:tc>
        <w:tc>
          <w:tcPr>
            <w:tcW w:w="536" w:type="pct"/>
            <w:vAlign w:val="center"/>
          </w:tcPr>
          <w:p w14:paraId="6EA6DA8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12196C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3.57</w:t>
            </w:r>
          </w:p>
        </w:tc>
        <w:tc>
          <w:tcPr>
            <w:tcW w:w="633" w:type="pct"/>
            <w:vAlign w:val="center"/>
          </w:tcPr>
          <w:p w14:paraId="747436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00:00</w:t>
            </w:r>
          </w:p>
        </w:tc>
        <w:tc>
          <w:tcPr>
            <w:tcW w:w="548" w:type="pct"/>
            <w:vAlign w:val="center"/>
          </w:tcPr>
          <w:p w14:paraId="294D8A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0.46</w:t>
            </w:r>
          </w:p>
        </w:tc>
        <w:tc>
          <w:tcPr>
            <w:tcW w:w="579" w:type="pct"/>
            <w:vAlign w:val="center"/>
          </w:tcPr>
          <w:p w14:paraId="1EB8A41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2C7C2E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3.08</w:t>
            </w:r>
          </w:p>
        </w:tc>
      </w:tr>
      <w:tr w14:paraId="4DFA1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1FF393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北郭村</w:t>
            </w:r>
          </w:p>
        </w:tc>
        <w:tc>
          <w:tcPr>
            <w:tcW w:w="688" w:type="pct"/>
            <w:vAlign w:val="center"/>
          </w:tcPr>
          <w:p w14:paraId="2742F1B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4E3EA6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0.97</w:t>
            </w:r>
          </w:p>
        </w:tc>
        <w:tc>
          <w:tcPr>
            <w:tcW w:w="536" w:type="pct"/>
            <w:vAlign w:val="center"/>
          </w:tcPr>
          <w:p w14:paraId="547FE9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50.00</w:t>
            </w:r>
          </w:p>
        </w:tc>
        <w:tc>
          <w:tcPr>
            <w:tcW w:w="447" w:type="pct"/>
            <w:vAlign w:val="center"/>
          </w:tcPr>
          <w:p w14:paraId="4A3F6F7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1.95</w:t>
            </w:r>
          </w:p>
        </w:tc>
        <w:tc>
          <w:tcPr>
            <w:tcW w:w="633" w:type="pct"/>
            <w:vAlign w:val="center"/>
          </w:tcPr>
          <w:p w14:paraId="7EA3ED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2022/11/29 00:00</w:t>
            </w:r>
          </w:p>
        </w:tc>
        <w:tc>
          <w:tcPr>
            <w:tcW w:w="548" w:type="pct"/>
            <w:vAlign w:val="center"/>
          </w:tcPr>
          <w:p w14:paraId="71E261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0.18</w:t>
            </w:r>
          </w:p>
        </w:tc>
        <w:tc>
          <w:tcPr>
            <w:tcW w:w="579" w:type="pct"/>
            <w:vAlign w:val="center"/>
          </w:tcPr>
          <w:p w14:paraId="14BEF4E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15.00</w:t>
            </w:r>
          </w:p>
        </w:tc>
        <w:tc>
          <w:tcPr>
            <w:tcW w:w="430" w:type="pct"/>
            <w:vAlign w:val="center"/>
          </w:tcPr>
          <w:p w14:paraId="7CC5DE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1.23</w:t>
            </w:r>
          </w:p>
        </w:tc>
      </w:tr>
      <w:tr w14:paraId="34972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2B0B91">
            <w:pPr>
              <w:spacing w:line="240" w:lineRule="auto"/>
              <w:ind w:firstLine="0" w:firstLineChars="0"/>
              <w:jc w:val="center"/>
              <w:rPr>
                <w:rFonts w:hint="eastAsia" w:ascii="宋体" w:cs="宋体"/>
                <w:color w:val="auto"/>
                <w:kern w:val="2"/>
                <w:sz w:val="21"/>
                <w:szCs w:val="21"/>
                <w:highlight w:val="none"/>
                <w:u w:val="none"/>
                <w:lang w:val="en-US" w:bidi="ar"/>
              </w:rPr>
            </w:pPr>
            <w:r>
              <w:rPr>
                <w:rFonts w:hAnsi="Times New Roman"/>
                <w:color w:val="auto"/>
                <w:kern w:val="2"/>
                <w:sz w:val="21"/>
                <w:szCs w:val="21"/>
                <w:highlight w:val="none"/>
                <w:u w:val="none"/>
                <w:lang w:val="en-US"/>
              </w:rPr>
              <w:t>区域最大值</w:t>
            </w:r>
          </w:p>
        </w:tc>
        <w:tc>
          <w:tcPr>
            <w:tcW w:w="688" w:type="pct"/>
            <w:vAlign w:val="center"/>
          </w:tcPr>
          <w:p w14:paraId="016770AD">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2022/06/07 23:00</w:t>
            </w:r>
          </w:p>
        </w:tc>
        <w:tc>
          <w:tcPr>
            <w:tcW w:w="535" w:type="pct"/>
            <w:vAlign w:val="center"/>
          </w:tcPr>
          <w:p w14:paraId="785A5CC2">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28.73</w:t>
            </w:r>
          </w:p>
        </w:tc>
        <w:tc>
          <w:tcPr>
            <w:tcW w:w="536" w:type="pct"/>
            <w:vAlign w:val="center"/>
          </w:tcPr>
          <w:p w14:paraId="3DA57C5C">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50.00</w:t>
            </w:r>
          </w:p>
        </w:tc>
        <w:tc>
          <w:tcPr>
            <w:tcW w:w="447" w:type="pct"/>
            <w:vAlign w:val="center"/>
          </w:tcPr>
          <w:p w14:paraId="10A09A6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57.46</w:t>
            </w:r>
          </w:p>
        </w:tc>
        <w:tc>
          <w:tcPr>
            <w:tcW w:w="633" w:type="pct"/>
            <w:vAlign w:val="center"/>
          </w:tcPr>
          <w:p w14:paraId="7C5152F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2022/06/07 00:00</w:t>
            </w:r>
          </w:p>
        </w:tc>
        <w:tc>
          <w:tcPr>
            <w:tcW w:w="548" w:type="pct"/>
            <w:vAlign w:val="center"/>
          </w:tcPr>
          <w:p w14:paraId="56E8A1E0">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6.53</w:t>
            </w:r>
          </w:p>
        </w:tc>
        <w:tc>
          <w:tcPr>
            <w:tcW w:w="579" w:type="pct"/>
            <w:vAlign w:val="center"/>
          </w:tcPr>
          <w:p w14:paraId="3596E79E">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15.00</w:t>
            </w:r>
          </w:p>
        </w:tc>
        <w:tc>
          <w:tcPr>
            <w:tcW w:w="430" w:type="pct"/>
            <w:vAlign w:val="center"/>
          </w:tcPr>
          <w:p w14:paraId="794058AF">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43.55</w:t>
            </w:r>
          </w:p>
        </w:tc>
      </w:tr>
    </w:tbl>
    <w:p w14:paraId="3656813E">
      <w:pPr>
        <w:pStyle w:val="988"/>
        <w:adjustRightInd w:val="0"/>
        <w:snapToGrid w:val="0"/>
        <w:ind w:firstLine="0" w:firstLineChars="0"/>
        <w:rPr>
          <w:color w:val="auto"/>
          <w:highlight w:val="none"/>
          <w:u w:val="none"/>
        </w:rPr>
      </w:pPr>
    </w:p>
    <w:p w14:paraId="692EF291">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31</w:t>
      </w:r>
      <w:r>
        <w:rPr>
          <w:color w:val="auto"/>
          <w:highlight w:val="none"/>
          <w:u w:val="none"/>
        </w:rPr>
        <w:fldChar w:fldCharType="end"/>
      </w:r>
      <w:r>
        <w:rPr>
          <w:color w:val="auto"/>
          <w:highlight w:val="none"/>
          <w:u w:val="none"/>
        </w:rPr>
        <w:t xml:space="preserve">  项目建成后DNT和光气叠加预测值一览表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5F7F4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440FA69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名称</w:t>
            </w:r>
          </w:p>
        </w:tc>
        <w:tc>
          <w:tcPr>
            <w:tcW w:w="2206" w:type="pct"/>
            <w:gridSpan w:val="4"/>
            <w:vAlign w:val="center"/>
          </w:tcPr>
          <w:p w14:paraId="2775B49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DNT</w:t>
            </w:r>
            <w:r>
              <w:rPr>
                <w:rFonts w:hAnsi="Times New Roman"/>
                <w:color w:val="auto"/>
                <w:kern w:val="2"/>
                <w:sz w:val="21"/>
                <w:szCs w:val="21"/>
                <w:highlight w:val="none"/>
                <w:u w:val="none"/>
                <w:lang w:val="en-US"/>
              </w:rPr>
              <w:t>小时浓度</w:t>
            </w:r>
          </w:p>
        </w:tc>
        <w:tc>
          <w:tcPr>
            <w:tcW w:w="2190" w:type="pct"/>
            <w:gridSpan w:val="4"/>
            <w:vAlign w:val="center"/>
          </w:tcPr>
          <w:p w14:paraId="699DA2E6">
            <w:pPr>
              <w:spacing w:line="240" w:lineRule="auto"/>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光气</w:t>
            </w:r>
            <w:r>
              <w:rPr>
                <w:rFonts w:hAnsi="Times New Roman"/>
                <w:color w:val="auto"/>
                <w:kern w:val="2"/>
                <w:sz w:val="21"/>
                <w:szCs w:val="21"/>
                <w:highlight w:val="none"/>
                <w:u w:val="none"/>
                <w:lang w:val="en-US"/>
              </w:rPr>
              <w:t>小时浓度</w:t>
            </w:r>
          </w:p>
        </w:tc>
      </w:tr>
      <w:tr w14:paraId="6CA1F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3181BBE2">
            <w:pPr>
              <w:spacing w:line="240" w:lineRule="auto"/>
              <w:ind w:firstLine="0" w:firstLineChars="0"/>
              <w:jc w:val="center"/>
              <w:rPr>
                <w:rFonts w:hAnsi="Times New Roman"/>
                <w:color w:val="auto"/>
                <w:kern w:val="2"/>
                <w:sz w:val="21"/>
                <w:szCs w:val="21"/>
                <w:highlight w:val="none"/>
                <w:u w:val="none"/>
                <w:lang w:val="en-US"/>
              </w:rPr>
            </w:pPr>
          </w:p>
        </w:tc>
        <w:tc>
          <w:tcPr>
            <w:tcW w:w="688" w:type="pct"/>
            <w:vAlign w:val="center"/>
          </w:tcPr>
          <w:p w14:paraId="5911A34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35" w:type="pct"/>
            <w:vAlign w:val="center"/>
          </w:tcPr>
          <w:p w14:paraId="14B1639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36" w:type="pct"/>
            <w:vAlign w:val="center"/>
          </w:tcPr>
          <w:p w14:paraId="7445487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47" w:type="pct"/>
            <w:vAlign w:val="center"/>
          </w:tcPr>
          <w:p w14:paraId="20F96C60">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c>
          <w:tcPr>
            <w:tcW w:w="633" w:type="pct"/>
            <w:vAlign w:val="center"/>
          </w:tcPr>
          <w:p w14:paraId="1BBF577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出现时间</w:t>
            </w:r>
          </w:p>
        </w:tc>
        <w:tc>
          <w:tcPr>
            <w:tcW w:w="548" w:type="pct"/>
            <w:vAlign w:val="center"/>
          </w:tcPr>
          <w:p w14:paraId="168A8F93">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579" w:type="pct"/>
            <w:vAlign w:val="center"/>
          </w:tcPr>
          <w:p w14:paraId="5CB2C81A">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标准值(μg/m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w:t>
            </w:r>
          </w:p>
        </w:tc>
        <w:tc>
          <w:tcPr>
            <w:tcW w:w="430" w:type="pct"/>
            <w:vAlign w:val="center"/>
          </w:tcPr>
          <w:p w14:paraId="51B37525">
            <w:pPr>
              <w:spacing w:line="240" w:lineRule="auto"/>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占标率(%)</w:t>
            </w:r>
          </w:p>
        </w:tc>
      </w:tr>
      <w:tr w14:paraId="1C386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C4B0FF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新厝镇</w:t>
            </w:r>
          </w:p>
        </w:tc>
        <w:tc>
          <w:tcPr>
            <w:tcW w:w="688" w:type="pct"/>
            <w:vAlign w:val="center"/>
          </w:tcPr>
          <w:p w14:paraId="06B03DB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2022/04/22 01:00</w:t>
            </w:r>
          </w:p>
        </w:tc>
        <w:tc>
          <w:tcPr>
            <w:tcW w:w="535" w:type="pct"/>
            <w:vAlign w:val="center"/>
          </w:tcPr>
          <w:p w14:paraId="323B634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0.23</w:t>
            </w:r>
          </w:p>
        </w:tc>
        <w:tc>
          <w:tcPr>
            <w:tcW w:w="536" w:type="pct"/>
            <w:vAlign w:val="center"/>
          </w:tcPr>
          <w:p w14:paraId="2B5D5D1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37C7EB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2.31</w:t>
            </w:r>
          </w:p>
        </w:tc>
        <w:tc>
          <w:tcPr>
            <w:tcW w:w="633" w:type="pct"/>
            <w:vAlign w:val="center"/>
          </w:tcPr>
          <w:p w14:paraId="0B9CD2E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2022/04/22 01:00</w:t>
            </w:r>
          </w:p>
        </w:tc>
        <w:tc>
          <w:tcPr>
            <w:tcW w:w="548" w:type="pct"/>
            <w:vAlign w:val="center"/>
          </w:tcPr>
          <w:p w14:paraId="1A53E7C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1FEE5F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16D59E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0.67</w:t>
            </w:r>
          </w:p>
        </w:tc>
      </w:tr>
      <w:tr w14:paraId="10D1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75142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上后村（莆田）</w:t>
            </w:r>
          </w:p>
        </w:tc>
        <w:tc>
          <w:tcPr>
            <w:tcW w:w="688" w:type="pct"/>
            <w:vAlign w:val="center"/>
          </w:tcPr>
          <w:p w14:paraId="15934F2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2022/07/29 05:00</w:t>
            </w:r>
          </w:p>
        </w:tc>
        <w:tc>
          <w:tcPr>
            <w:tcW w:w="535" w:type="pct"/>
            <w:vAlign w:val="center"/>
          </w:tcPr>
          <w:p w14:paraId="4F5122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36" w:type="pct"/>
            <w:vAlign w:val="center"/>
          </w:tcPr>
          <w:p w14:paraId="76A568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2A06A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2.56</w:t>
            </w:r>
          </w:p>
        </w:tc>
        <w:tc>
          <w:tcPr>
            <w:tcW w:w="633" w:type="pct"/>
            <w:vAlign w:val="center"/>
          </w:tcPr>
          <w:p w14:paraId="1F33159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2022/04/22 01:00</w:t>
            </w:r>
          </w:p>
        </w:tc>
        <w:tc>
          <w:tcPr>
            <w:tcW w:w="548" w:type="pct"/>
            <w:vAlign w:val="center"/>
          </w:tcPr>
          <w:p w14:paraId="05CFEF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151ABA0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D5F6C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0.53</w:t>
            </w:r>
          </w:p>
        </w:tc>
      </w:tr>
      <w:tr w14:paraId="5E360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3F0CA73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莆江村（莆田）</w:t>
            </w:r>
          </w:p>
        </w:tc>
        <w:tc>
          <w:tcPr>
            <w:tcW w:w="688" w:type="pct"/>
            <w:vAlign w:val="center"/>
          </w:tcPr>
          <w:p w14:paraId="637755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35" w:type="pct"/>
            <w:vAlign w:val="center"/>
          </w:tcPr>
          <w:p w14:paraId="740F410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36" w:type="pct"/>
            <w:vAlign w:val="center"/>
          </w:tcPr>
          <w:p w14:paraId="083ED1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6CFC11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1.66</w:t>
            </w:r>
          </w:p>
        </w:tc>
        <w:tc>
          <w:tcPr>
            <w:tcW w:w="633" w:type="pct"/>
            <w:vAlign w:val="center"/>
          </w:tcPr>
          <w:p w14:paraId="1D31C48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2022/07/28 20:00</w:t>
            </w:r>
          </w:p>
        </w:tc>
        <w:tc>
          <w:tcPr>
            <w:tcW w:w="548" w:type="pct"/>
            <w:vAlign w:val="center"/>
          </w:tcPr>
          <w:p w14:paraId="194DDA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5ABA5CE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A8A143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0.43</w:t>
            </w:r>
          </w:p>
        </w:tc>
      </w:tr>
      <w:tr w14:paraId="69AEA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8DFD50E">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峰头村</w:t>
            </w:r>
          </w:p>
        </w:tc>
        <w:tc>
          <w:tcPr>
            <w:tcW w:w="688" w:type="pct"/>
            <w:vAlign w:val="center"/>
          </w:tcPr>
          <w:p w14:paraId="1DFD6CB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2022/03/21 18:00</w:t>
            </w:r>
          </w:p>
        </w:tc>
        <w:tc>
          <w:tcPr>
            <w:tcW w:w="535" w:type="pct"/>
            <w:vAlign w:val="center"/>
          </w:tcPr>
          <w:p w14:paraId="1E40F1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0.49</w:t>
            </w:r>
          </w:p>
        </w:tc>
        <w:tc>
          <w:tcPr>
            <w:tcW w:w="536" w:type="pct"/>
            <w:vAlign w:val="center"/>
          </w:tcPr>
          <w:p w14:paraId="3C8F54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61B3BA5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4.86</w:t>
            </w:r>
          </w:p>
        </w:tc>
        <w:tc>
          <w:tcPr>
            <w:tcW w:w="633" w:type="pct"/>
            <w:vAlign w:val="center"/>
          </w:tcPr>
          <w:p w14:paraId="4700A55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48" w:type="pct"/>
            <w:vAlign w:val="center"/>
          </w:tcPr>
          <w:p w14:paraId="7ED3357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0.07</w:t>
            </w:r>
          </w:p>
        </w:tc>
        <w:tc>
          <w:tcPr>
            <w:tcW w:w="579" w:type="pct"/>
            <w:vAlign w:val="center"/>
          </w:tcPr>
          <w:p w14:paraId="07B63D8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562C86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1.63</w:t>
            </w:r>
          </w:p>
        </w:tc>
      </w:tr>
      <w:tr w14:paraId="4B0E2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BC568E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漆林村</w:t>
            </w:r>
          </w:p>
        </w:tc>
        <w:tc>
          <w:tcPr>
            <w:tcW w:w="688" w:type="pct"/>
            <w:vAlign w:val="center"/>
          </w:tcPr>
          <w:p w14:paraId="0F5682D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2022/09/17 19:00</w:t>
            </w:r>
          </w:p>
        </w:tc>
        <w:tc>
          <w:tcPr>
            <w:tcW w:w="535" w:type="pct"/>
            <w:vAlign w:val="center"/>
          </w:tcPr>
          <w:p w14:paraId="04E5738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0.21</w:t>
            </w:r>
          </w:p>
        </w:tc>
        <w:tc>
          <w:tcPr>
            <w:tcW w:w="536" w:type="pct"/>
            <w:vAlign w:val="center"/>
          </w:tcPr>
          <w:p w14:paraId="718ECA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DEB43A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2.14</w:t>
            </w:r>
          </w:p>
        </w:tc>
        <w:tc>
          <w:tcPr>
            <w:tcW w:w="633" w:type="pct"/>
            <w:vAlign w:val="center"/>
          </w:tcPr>
          <w:p w14:paraId="158EFD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2022/08/18 22:00</w:t>
            </w:r>
          </w:p>
        </w:tc>
        <w:tc>
          <w:tcPr>
            <w:tcW w:w="548" w:type="pct"/>
            <w:vAlign w:val="center"/>
          </w:tcPr>
          <w:p w14:paraId="29ABEB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43759C2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11F3A50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0.81</w:t>
            </w:r>
          </w:p>
        </w:tc>
      </w:tr>
      <w:tr w14:paraId="446F9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787C926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大东村（莆田）</w:t>
            </w:r>
          </w:p>
        </w:tc>
        <w:tc>
          <w:tcPr>
            <w:tcW w:w="688" w:type="pct"/>
            <w:vAlign w:val="center"/>
          </w:tcPr>
          <w:p w14:paraId="5E091D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2022/07/29 05:00</w:t>
            </w:r>
          </w:p>
        </w:tc>
        <w:tc>
          <w:tcPr>
            <w:tcW w:w="535" w:type="pct"/>
            <w:vAlign w:val="center"/>
          </w:tcPr>
          <w:p w14:paraId="1EAABA5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0.13</w:t>
            </w:r>
          </w:p>
        </w:tc>
        <w:tc>
          <w:tcPr>
            <w:tcW w:w="536" w:type="pct"/>
            <w:vAlign w:val="center"/>
          </w:tcPr>
          <w:p w14:paraId="16BC0C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74102F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1.34</w:t>
            </w:r>
          </w:p>
        </w:tc>
        <w:tc>
          <w:tcPr>
            <w:tcW w:w="633" w:type="pct"/>
            <w:vAlign w:val="center"/>
          </w:tcPr>
          <w:p w14:paraId="241C0EA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2022/08/07 19:00</w:t>
            </w:r>
          </w:p>
        </w:tc>
        <w:tc>
          <w:tcPr>
            <w:tcW w:w="548" w:type="pct"/>
            <w:vAlign w:val="center"/>
          </w:tcPr>
          <w:p w14:paraId="636A203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79629C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72513A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0.41</w:t>
            </w:r>
          </w:p>
        </w:tc>
      </w:tr>
      <w:tr w14:paraId="73AF7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832A96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霞埔村</w:t>
            </w:r>
          </w:p>
        </w:tc>
        <w:tc>
          <w:tcPr>
            <w:tcW w:w="688" w:type="pct"/>
            <w:vAlign w:val="center"/>
          </w:tcPr>
          <w:p w14:paraId="1A9894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23:00</w:t>
            </w:r>
          </w:p>
        </w:tc>
        <w:tc>
          <w:tcPr>
            <w:tcW w:w="535" w:type="pct"/>
            <w:vAlign w:val="center"/>
          </w:tcPr>
          <w:p w14:paraId="6A92516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0.59</w:t>
            </w:r>
          </w:p>
        </w:tc>
        <w:tc>
          <w:tcPr>
            <w:tcW w:w="536" w:type="pct"/>
            <w:vAlign w:val="center"/>
          </w:tcPr>
          <w:p w14:paraId="0A497B5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00E794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5.92</w:t>
            </w:r>
          </w:p>
        </w:tc>
        <w:tc>
          <w:tcPr>
            <w:tcW w:w="633" w:type="pct"/>
            <w:vAlign w:val="center"/>
          </w:tcPr>
          <w:p w14:paraId="065042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2022/08/19 01:00</w:t>
            </w:r>
          </w:p>
        </w:tc>
        <w:tc>
          <w:tcPr>
            <w:tcW w:w="548" w:type="pct"/>
            <w:vAlign w:val="center"/>
          </w:tcPr>
          <w:p w14:paraId="50191B8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6E41688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E54BBA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1.20</w:t>
            </w:r>
          </w:p>
        </w:tc>
      </w:tr>
      <w:tr w14:paraId="682EC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E19914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芝山</w:t>
            </w:r>
          </w:p>
        </w:tc>
        <w:tc>
          <w:tcPr>
            <w:tcW w:w="688" w:type="pct"/>
            <w:vAlign w:val="center"/>
          </w:tcPr>
          <w:p w14:paraId="25E686F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35" w:type="pct"/>
            <w:vAlign w:val="center"/>
          </w:tcPr>
          <w:p w14:paraId="17D574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0.65</w:t>
            </w:r>
          </w:p>
        </w:tc>
        <w:tc>
          <w:tcPr>
            <w:tcW w:w="536" w:type="pct"/>
            <w:vAlign w:val="center"/>
          </w:tcPr>
          <w:p w14:paraId="72F53ED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57965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6.49</w:t>
            </w:r>
          </w:p>
        </w:tc>
        <w:tc>
          <w:tcPr>
            <w:tcW w:w="633" w:type="pct"/>
            <w:vAlign w:val="center"/>
          </w:tcPr>
          <w:p w14:paraId="5D47ED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48" w:type="pct"/>
            <w:vAlign w:val="center"/>
          </w:tcPr>
          <w:p w14:paraId="2B5E995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79" w:type="pct"/>
            <w:vAlign w:val="center"/>
          </w:tcPr>
          <w:p w14:paraId="672C80B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1536A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1.90</w:t>
            </w:r>
          </w:p>
        </w:tc>
      </w:tr>
      <w:tr w14:paraId="331E9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69BE77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高局</w:t>
            </w:r>
          </w:p>
        </w:tc>
        <w:tc>
          <w:tcPr>
            <w:tcW w:w="688" w:type="pct"/>
            <w:vAlign w:val="center"/>
          </w:tcPr>
          <w:p w14:paraId="060C37D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1DC825D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0.45</w:t>
            </w:r>
          </w:p>
        </w:tc>
        <w:tc>
          <w:tcPr>
            <w:tcW w:w="536" w:type="pct"/>
            <w:vAlign w:val="center"/>
          </w:tcPr>
          <w:p w14:paraId="2260ECB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7B6718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4.55</w:t>
            </w:r>
          </w:p>
        </w:tc>
        <w:tc>
          <w:tcPr>
            <w:tcW w:w="633" w:type="pct"/>
            <w:vAlign w:val="center"/>
          </w:tcPr>
          <w:p w14:paraId="3D3614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2022/07/11 06:00</w:t>
            </w:r>
          </w:p>
        </w:tc>
        <w:tc>
          <w:tcPr>
            <w:tcW w:w="548" w:type="pct"/>
            <w:vAlign w:val="center"/>
          </w:tcPr>
          <w:p w14:paraId="5EBD38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1C35592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45AA58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1.25</w:t>
            </w:r>
          </w:p>
        </w:tc>
      </w:tr>
      <w:tr w14:paraId="56BB7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5A380D">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西山</w:t>
            </w:r>
          </w:p>
        </w:tc>
        <w:tc>
          <w:tcPr>
            <w:tcW w:w="688" w:type="pct"/>
            <w:vAlign w:val="center"/>
          </w:tcPr>
          <w:p w14:paraId="78250C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2022/05/29 05:00</w:t>
            </w:r>
          </w:p>
        </w:tc>
        <w:tc>
          <w:tcPr>
            <w:tcW w:w="535" w:type="pct"/>
            <w:vAlign w:val="center"/>
          </w:tcPr>
          <w:p w14:paraId="404C84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0.49</w:t>
            </w:r>
          </w:p>
        </w:tc>
        <w:tc>
          <w:tcPr>
            <w:tcW w:w="536" w:type="pct"/>
            <w:vAlign w:val="center"/>
          </w:tcPr>
          <w:p w14:paraId="527B4FC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5FAFDFF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4.88</w:t>
            </w:r>
          </w:p>
        </w:tc>
        <w:tc>
          <w:tcPr>
            <w:tcW w:w="633" w:type="pct"/>
            <w:vAlign w:val="center"/>
          </w:tcPr>
          <w:p w14:paraId="793068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2022/05/29 05:00</w:t>
            </w:r>
          </w:p>
        </w:tc>
        <w:tc>
          <w:tcPr>
            <w:tcW w:w="548" w:type="pct"/>
            <w:vAlign w:val="center"/>
          </w:tcPr>
          <w:p w14:paraId="5125681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2317FF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6AA4FE4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1.34</w:t>
            </w:r>
          </w:p>
        </w:tc>
      </w:tr>
      <w:tr w14:paraId="08358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1742C7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东井村</w:t>
            </w:r>
          </w:p>
        </w:tc>
        <w:tc>
          <w:tcPr>
            <w:tcW w:w="688" w:type="pct"/>
            <w:vAlign w:val="center"/>
          </w:tcPr>
          <w:p w14:paraId="10DA2EB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35" w:type="pct"/>
            <w:vAlign w:val="center"/>
          </w:tcPr>
          <w:p w14:paraId="1D3DF9F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0.37</w:t>
            </w:r>
          </w:p>
        </w:tc>
        <w:tc>
          <w:tcPr>
            <w:tcW w:w="536" w:type="pct"/>
            <w:vAlign w:val="center"/>
          </w:tcPr>
          <w:p w14:paraId="6DAB65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635CFC4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3.66</w:t>
            </w:r>
          </w:p>
        </w:tc>
        <w:tc>
          <w:tcPr>
            <w:tcW w:w="633" w:type="pct"/>
            <w:vAlign w:val="center"/>
          </w:tcPr>
          <w:p w14:paraId="0145FE2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48" w:type="pct"/>
            <w:vAlign w:val="center"/>
          </w:tcPr>
          <w:p w14:paraId="75336B3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50A509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666693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1.08</w:t>
            </w:r>
          </w:p>
        </w:tc>
      </w:tr>
      <w:tr w14:paraId="1A71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7DFED0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沾泽村</w:t>
            </w:r>
          </w:p>
        </w:tc>
        <w:tc>
          <w:tcPr>
            <w:tcW w:w="688" w:type="pct"/>
            <w:vAlign w:val="center"/>
          </w:tcPr>
          <w:p w14:paraId="3495811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35" w:type="pct"/>
            <w:vAlign w:val="center"/>
          </w:tcPr>
          <w:p w14:paraId="6685E4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0.21</w:t>
            </w:r>
          </w:p>
        </w:tc>
        <w:tc>
          <w:tcPr>
            <w:tcW w:w="536" w:type="pct"/>
            <w:vAlign w:val="center"/>
          </w:tcPr>
          <w:p w14:paraId="39986B8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2763178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2.11</w:t>
            </w:r>
          </w:p>
        </w:tc>
        <w:tc>
          <w:tcPr>
            <w:tcW w:w="633" w:type="pct"/>
            <w:vAlign w:val="center"/>
          </w:tcPr>
          <w:p w14:paraId="1F897F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48" w:type="pct"/>
            <w:vAlign w:val="center"/>
          </w:tcPr>
          <w:p w14:paraId="78EAC1C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6118E42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12F6A05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0.58</w:t>
            </w:r>
          </w:p>
        </w:tc>
      </w:tr>
      <w:tr w14:paraId="7AC3D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E6ED27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南曹村</w:t>
            </w:r>
          </w:p>
        </w:tc>
        <w:tc>
          <w:tcPr>
            <w:tcW w:w="688" w:type="pct"/>
            <w:vAlign w:val="center"/>
          </w:tcPr>
          <w:p w14:paraId="1C8CE5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35" w:type="pct"/>
            <w:vAlign w:val="center"/>
          </w:tcPr>
          <w:p w14:paraId="64537AB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0.36</w:t>
            </w:r>
          </w:p>
        </w:tc>
        <w:tc>
          <w:tcPr>
            <w:tcW w:w="536" w:type="pct"/>
            <w:vAlign w:val="center"/>
          </w:tcPr>
          <w:p w14:paraId="7197445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5325046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3.64</w:t>
            </w:r>
          </w:p>
        </w:tc>
        <w:tc>
          <w:tcPr>
            <w:tcW w:w="633" w:type="pct"/>
            <w:vAlign w:val="center"/>
          </w:tcPr>
          <w:p w14:paraId="4E27FFE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48" w:type="pct"/>
            <w:vAlign w:val="center"/>
          </w:tcPr>
          <w:p w14:paraId="6F90F1C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2697FC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FCD871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0.90</w:t>
            </w:r>
          </w:p>
        </w:tc>
      </w:tr>
      <w:tr w14:paraId="6A0C8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569702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东江水厂</w:t>
            </w:r>
          </w:p>
        </w:tc>
        <w:tc>
          <w:tcPr>
            <w:tcW w:w="688" w:type="pct"/>
            <w:vAlign w:val="center"/>
          </w:tcPr>
          <w:p w14:paraId="78FF8D0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2022/07/13 06:00</w:t>
            </w:r>
          </w:p>
        </w:tc>
        <w:tc>
          <w:tcPr>
            <w:tcW w:w="535" w:type="pct"/>
            <w:vAlign w:val="center"/>
          </w:tcPr>
          <w:p w14:paraId="7ED367F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0.42</w:t>
            </w:r>
          </w:p>
        </w:tc>
        <w:tc>
          <w:tcPr>
            <w:tcW w:w="536" w:type="pct"/>
            <w:vAlign w:val="center"/>
          </w:tcPr>
          <w:p w14:paraId="0F476D2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234557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4.23</w:t>
            </w:r>
          </w:p>
        </w:tc>
        <w:tc>
          <w:tcPr>
            <w:tcW w:w="633" w:type="pct"/>
            <w:vAlign w:val="center"/>
          </w:tcPr>
          <w:p w14:paraId="6CBF118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2022/04/14 04:00</w:t>
            </w:r>
          </w:p>
        </w:tc>
        <w:tc>
          <w:tcPr>
            <w:tcW w:w="548" w:type="pct"/>
            <w:vAlign w:val="center"/>
          </w:tcPr>
          <w:p w14:paraId="790FCEA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6E7753C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2D4D56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1.02</w:t>
            </w:r>
          </w:p>
        </w:tc>
      </w:tr>
      <w:tr w14:paraId="73FAD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DA3BABA">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东沃村</w:t>
            </w:r>
          </w:p>
        </w:tc>
        <w:tc>
          <w:tcPr>
            <w:tcW w:w="688" w:type="pct"/>
            <w:vAlign w:val="center"/>
          </w:tcPr>
          <w:p w14:paraId="0D3F667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2022/04/28 19:00</w:t>
            </w:r>
          </w:p>
        </w:tc>
        <w:tc>
          <w:tcPr>
            <w:tcW w:w="535" w:type="pct"/>
            <w:vAlign w:val="center"/>
          </w:tcPr>
          <w:p w14:paraId="544A7E2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0.71</w:t>
            </w:r>
          </w:p>
        </w:tc>
        <w:tc>
          <w:tcPr>
            <w:tcW w:w="536" w:type="pct"/>
            <w:vAlign w:val="center"/>
          </w:tcPr>
          <w:p w14:paraId="48D599D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57BD5D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7.06</w:t>
            </w:r>
          </w:p>
        </w:tc>
        <w:tc>
          <w:tcPr>
            <w:tcW w:w="633" w:type="pct"/>
            <w:vAlign w:val="center"/>
          </w:tcPr>
          <w:p w14:paraId="3AC7D2A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2022/03/14 21:00</w:t>
            </w:r>
          </w:p>
        </w:tc>
        <w:tc>
          <w:tcPr>
            <w:tcW w:w="548" w:type="pct"/>
            <w:vAlign w:val="center"/>
          </w:tcPr>
          <w:p w14:paraId="1EE83A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0.10</w:t>
            </w:r>
          </w:p>
        </w:tc>
        <w:tc>
          <w:tcPr>
            <w:tcW w:w="579" w:type="pct"/>
            <w:vAlign w:val="center"/>
          </w:tcPr>
          <w:p w14:paraId="4E16AD4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7019D4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2.52</w:t>
            </w:r>
          </w:p>
        </w:tc>
      </w:tr>
      <w:tr w14:paraId="4BBC3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902D69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潘厝村</w:t>
            </w:r>
          </w:p>
        </w:tc>
        <w:tc>
          <w:tcPr>
            <w:tcW w:w="688" w:type="pct"/>
            <w:vAlign w:val="center"/>
          </w:tcPr>
          <w:p w14:paraId="7CEE673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22:00</w:t>
            </w:r>
          </w:p>
        </w:tc>
        <w:tc>
          <w:tcPr>
            <w:tcW w:w="535" w:type="pct"/>
            <w:vAlign w:val="center"/>
          </w:tcPr>
          <w:p w14:paraId="60F9C00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0.35</w:t>
            </w:r>
          </w:p>
        </w:tc>
        <w:tc>
          <w:tcPr>
            <w:tcW w:w="536" w:type="pct"/>
            <w:vAlign w:val="center"/>
          </w:tcPr>
          <w:p w14:paraId="6847D44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26A7B9E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3.45</w:t>
            </w:r>
          </w:p>
        </w:tc>
        <w:tc>
          <w:tcPr>
            <w:tcW w:w="633" w:type="pct"/>
            <w:vAlign w:val="center"/>
          </w:tcPr>
          <w:p w14:paraId="0B93B4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2022/05/29 05:00</w:t>
            </w:r>
          </w:p>
        </w:tc>
        <w:tc>
          <w:tcPr>
            <w:tcW w:w="548" w:type="pct"/>
            <w:vAlign w:val="center"/>
          </w:tcPr>
          <w:p w14:paraId="3C7C92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121E9C0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B5520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0.91</w:t>
            </w:r>
          </w:p>
        </w:tc>
      </w:tr>
      <w:tr w14:paraId="6083D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8C0511">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何厝村</w:t>
            </w:r>
          </w:p>
        </w:tc>
        <w:tc>
          <w:tcPr>
            <w:tcW w:w="688" w:type="pct"/>
            <w:vAlign w:val="center"/>
          </w:tcPr>
          <w:p w14:paraId="2CAB16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05:00</w:t>
            </w:r>
          </w:p>
        </w:tc>
        <w:tc>
          <w:tcPr>
            <w:tcW w:w="535" w:type="pct"/>
            <w:vAlign w:val="center"/>
          </w:tcPr>
          <w:p w14:paraId="3A9C1D7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536" w:type="pct"/>
            <w:vAlign w:val="center"/>
          </w:tcPr>
          <w:p w14:paraId="1223A9D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7D3657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2.92</w:t>
            </w:r>
          </w:p>
        </w:tc>
        <w:tc>
          <w:tcPr>
            <w:tcW w:w="633" w:type="pct"/>
            <w:vAlign w:val="center"/>
          </w:tcPr>
          <w:p w14:paraId="28D6C30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48" w:type="pct"/>
            <w:vAlign w:val="center"/>
          </w:tcPr>
          <w:p w14:paraId="5204F7D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23A4456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0073B8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w:t>
            </w:r>
          </w:p>
        </w:tc>
      </w:tr>
      <w:tr w14:paraId="1809B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B58D8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田头村</w:t>
            </w:r>
          </w:p>
        </w:tc>
        <w:tc>
          <w:tcPr>
            <w:tcW w:w="688" w:type="pct"/>
            <w:vAlign w:val="center"/>
          </w:tcPr>
          <w:p w14:paraId="79031BC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2022/03/04 09:00</w:t>
            </w:r>
          </w:p>
        </w:tc>
        <w:tc>
          <w:tcPr>
            <w:tcW w:w="535" w:type="pct"/>
            <w:vAlign w:val="center"/>
          </w:tcPr>
          <w:p w14:paraId="074C9F4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c>
          <w:tcPr>
            <w:tcW w:w="536" w:type="pct"/>
            <w:vAlign w:val="center"/>
          </w:tcPr>
          <w:p w14:paraId="2187D48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72F199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1.09</w:t>
            </w:r>
          </w:p>
        </w:tc>
        <w:tc>
          <w:tcPr>
            <w:tcW w:w="633" w:type="pct"/>
            <w:vAlign w:val="center"/>
          </w:tcPr>
          <w:p w14:paraId="39906A3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19:00</w:t>
            </w:r>
          </w:p>
        </w:tc>
        <w:tc>
          <w:tcPr>
            <w:tcW w:w="548" w:type="pct"/>
            <w:vAlign w:val="center"/>
          </w:tcPr>
          <w:p w14:paraId="74487F1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1C40D3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DF416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0.22</w:t>
            </w:r>
          </w:p>
        </w:tc>
      </w:tr>
      <w:tr w14:paraId="51DAE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8078A3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下堡村</w:t>
            </w:r>
          </w:p>
        </w:tc>
        <w:tc>
          <w:tcPr>
            <w:tcW w:w="688" w:type="pct"/>
            <w:vAlign w:val="center"/>
          </w:tcPr>
          <w:p w14:paraId="644DB2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13BD08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0.22</w:t>
            </w:r>
          </w:p>
        </w:tc>
        <w:tc>
          <w:tcPr>
            <w:tcW w:w="536" w:type="pct"/>
            <w:vAlign w:val="center"/>
          </w:tcPr>
          <w:p w14:paraId="560BB88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1AB3ADE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2.18</w:t>
            </w:r>
          </w:p>
        </w:tc>
        <w:tc>
          <w:tcPr>
            <w:tcW w:w="633" w:type="pct"/>
            <w:vAlign w:val="center"/>
          </w:tcPr>
          <w:p w14:paraId="7A231EA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06:00</w:t>
            </w:r>
          </w:p>
        </w:tc>
        <w:tc>
          <w:tcPr>
            <w:tcW w:w="548" w:type="pct"/>
            <w:vAlign w:val="center"/>
          </w:tcPr>
          <w:p w14:paraId="305AEA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2AE976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970A7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0.59</w:t>
            </w:r>
          </w:p>
        </w:tc>
      </w:tr>
      <w:tr w14:paraId="48E83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47A866">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下石村</w:t>
            </w:r>
          </w:p>
        </w:tc>
        <w:tc>
          <w:tcPr>
            <w:tcW w:w="688" w:type="pct"/>
            <w:vAlign w:val="center"/>
          </w:tcPr>
          <w:p w14:paraId="39143B3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35" w:type="pct"/>
            <w:vAlign w:val="center"/>
          </w:tcPr>
          <w:p w14:paraId="583108A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0.23</w:t>
            </w:r>
          </w:p>
        </w:tc>
        <w:tc>
          <w:tcPr>
            <w:tcW w:w="536" w:type="pct"/>
            <w:vAlign w:val="center"/>
          </w:tcPr>
          <w:p w14:paraId="6C2677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1AD046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2.29</w:t>
            </w:r>
          </w:p>
        </w:tc>
        <w:tc>
          <w:tcPr>
            <w:tcW w:w="633" w:type="pct"/>
            <w:vAlign w:val="center"/>
          </w:tcPr>
          <w:p w14:paraId="4324DD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48" w:type="pct"/>
            <w:vAlign w:val="center"/>
          </w:tcPr>
          <w:p w14:paraId="7848905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12D6BE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3463EE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0.82</w:t>
            </w:r>
          </w:p>
        </w:tc>
      </w:tr>
      <w:tr w14:paraId="05513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454DD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江阴镇</w:t>
            </w:r>
          </w:p>
        </w:tc>
        <w:tc>
          <w:tcPr>
            <w:tcW w:w="688" w:type="pct"/>
            <w:vAlign w:val="center"/>
          </w:tcPr>
          <w:p w14:paraId="70C7DD9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2022/03/04 09:00</w:t>
            </w:r>
          </w:p>
        </w:tc>
        <w:tc>
          <w:tcPr>
            <w:tcW w:w="535" w:type="pct"/>
            <w:vAlign w:val="center"/>
          </w:tcPr>
          <w:p w14:paraId="3E8DA5D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c>
          <w:tcPr>
            <w:tcW w:w="536" w:type="pct"/>
            <w:vAlign w:val="center"/>
          </w:tcPr>
          <w:p w14:paraId="5B1F8F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64C1D78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1.15</w:t>
            </w:r>
          </w:p>
        </w:tc>
        <w:tc>
          <w:tcPr>
            <w:tcW w:w="633" w:type="pct"/>
            <w:vAlign w:val="center"/>
          </w:tcPr>
          <w:p w14:paraId="7B760B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04:00</w:t>
            </w:r>
          </w:p>
        </w:tc>
        <w:tc>
          <w:tcPr>
            <w:tcW w:w="548" w:type="pct"/>
            <w:vAlign w:val="center"/>
          </w:tcPr>
          <w:p w14:paraId="7AB400D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669173F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51A198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0.24</w:t>
            </w:r>
          </w:p>
        </w:tc>
      </w:tr>
      <w:tr w14:paraId="57205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ADD897">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后林</w:t>
            </w:r>
          </w:p>
        </w:tc>
        <w:tc>
          <w:tcPr>
            <w:tcW w:w="688" w:type="pct"/>
            <w:vAlign w:val="center"/>
          </w:tcPr>
          <w:p w14:paraId="035AC9D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35" w:type="pct"/>
            <w:vAlign w:val="center"/>
          </w:tcPr>
          <w:p w14:paraId="4CFECE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0.43</w:t>
            </w:r>
          </w:p>
        </w:tc>
        <w:tc>
          <w:tcPr>
            <w:tcW w:w="536" w:type="pct"/>
            <w:vAlign w:val="center"/>
          </w:tcPr>
          <w:p w14:paraId="6651163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FCE4A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4.26</w:t>
            </w:r>
          </w:p>
        </w:tc>
        <w:tc>
          <w:tcPr>
            <w:tcW w:w="633" w:type="pct"/>
            <w:vAlign w:val="center"/>
          </w:tcPr>
          <w:p w14:paraId="380F8F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01:00</w:t>
            </w:r>
          </w:p>
        </w:tc>
        <w:tc>
          <w:tcPr>
            <w:tcW w:w="548" w:type="pct"/>
            <w:vAlign w:val="center"/>
          </w:tcPr>
          <w:p w14:paraId="4810EBC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4C3247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FEBE0E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1.35</w:t>
            </w:r>
          </w:p>
        </w:tc>
      </w:tr>
      <w:tr w14:paraId="109B2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D8367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岭兜</w:t>
            </w:r>
          </w:p>
        </w:tc>
        <w:tc>
          <w:tcPr>
            <w:tcW w:w="688" w:type="pct"/>
            <w:vAlign w:val="center"/>
          </w:tcPr>
          <w:p w14:paraId="74AF4F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00:00</w:t>
            </w:r>
          </w:p>
        </w:tc>
        <w:tc>
          <w:tcPr>
            <w:tcW w:w="535" w:type="pct"/>
            <w:vAlign w:val="center"/>
          </w:tcPr>
          <w:p w14:paraId="04899F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0.20</w:t>
            </w:r>
          </w:p>
        </w:tc>
        <w:tc>
          <w:tcPr>
            <w:tcW w:w="536" w:type="pct"/>
            <w:vAlign w:val="center"/>
          </w:tcPr>
          <w:p w14:paraId="2EABFAF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16C8382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2.00</w:t>
            </w:r>
          </w:p>
        </w:tc>
        <w:tc>
          <w:tcPr>
            <w:tcW w:w="633" w:type="pct"/>
            <w:vAlign w:val="center"/>
          </w:tcPr>
          <w:p w14:paraId="1A1F79F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04:00</w:t>
            </w:r>
          </w:p>
        </w:tc>
        <w:tc>
          <w:tcPr>
            <w:tcW w:w="548" w:type="pct"/>
            <w:vAlign w:val="center"/>
          </w:tcPr>
          <w:p w14:paraId="44963F3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5302DB1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F9C0C9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0.55</w:t>
            </w:r>
          </w:p>
        </w:tc>
      </w:tr>
      <w:tr w14:paraId="66BB4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B98271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布厝</w:t>
            </w:r>
          </w:p>
        </w:tc>
        <w:tc>
          <w:tcPr>
            <w:tcW w:w="688" w:type="pct"/>
            <w:vAlign w:val="center"/>
          </w:tcPr>
          <w:p w14:paraId="0720093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04:00</w:t>
            </w:r>
          </w:p>
        </w:tc>
        <w:tc>
          <w:tcPr>
            <w:tcW w:w="535" w:type="pct"/>
            <w:vAlign w:val="center"/>
          </w:tcPr>
          <w:p w14:paraId="730DC8A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0.33</w:t>
            </w:r>
          </w:p>
        </w:tc>
        <w:tc>
          <w:tcPr>
            <w:tcW w:w="536" w:type="pct"/>
            <w:vAlign w:val="center"/>
          </w:tcPr>
          <w:p w14:paraId="72D8D5A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388B5F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3.26</w:t>
            </w:r>
          </w:p>
        </w:tc>
        <w:tc>
          <w:tcPr>
            <w:tcW w:w="633" w:type="pct"/>
            <w:vAlign w:val="center"/>
          </w:tcPr>
          <w:p w14:paraId="2EBA9AC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06:00</w:t>
            </w:r>
          </w:p>
        </w:tc>
        <w:tc>
          <w:tcPr>
            <w:tcW w:w="548" w:type="pct"/>
            <w:vAlign w:val="center"/>
          </w:tcPr>
          <w:p w14:paraId="47D0A56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2A6623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B6BEE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0.90</w:t>
            </w:r>
          </w:p>
        </w:tc>
      </w:tr>
      <w:tr w14:paraId="71473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976B140">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西兰</w:t>
            </w:r>
          </w:p>
        </w:tc>
        <w:tc>
          <w:tcPr>
            <w:tcW w:w="688" w:type="pct"/>
            <w:vAlign w:val="center"/>
          </w:tcPr>
          <w:p w14:paraId="197AAC6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02:00</w:t>
            </w:r>
          </w:p>
        </w:tc>
        <w:tc>
          <w:tcPr>
            <w:tcW w:w="535" w:type="pct"/>
            <w:vAlign w:val="center"/>
          </w:tcPr>
          <w:p w14:paraId="1234E8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536" w:type="pct"/>
            <w:vAlign w:val="center"/>
          </w:tcPr>
          <w:p w14:paraId="12CA29B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70AFFA3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2.92</w:t>
            </w:r>
          </w:p>
        </w:tc>
        <w:tc>
          <w:tcPr>
            <w:tcW w:w="633" w:type="pct"/>
            <w:vAlign w:val="center"/>
          </w:tcPr>
          <w:p w14:paraId="2A1E356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02:00</w:t>
            </w:r>
          </w:p>
        </w:tc>
        <w:tc>
          <w:tcPr>
            <w:tcW w:w="548" w:type="pct"/>
            <w:vAlign w:val="center"/>
          </w:tcPr>
          <w:p w14:paraId="63F3267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0.05</w:t>
            </w:r>
          </w:p>
        </w:tc>
        <w:tc>
          <w:tcPr>
            <w:tcW w:w="579" w:type="pct"/>
            <w:vAlign w:val="center"/>
          </w:tcPr>
          <w:p w14:paraId="021703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47FDDE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1.26</w:t>
            </w:r>
          </w:p>
        </w:tc>
      </w:tr>
      <w:tr w14:paraId="5F299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283C15">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沙塘</w:t>
            </w:r>
          </w:p>
        </w:tc>
        <w:tc>
          <w:tcPr>
            <w:tcW w:w="688" w:type="pct"/>
            <w:vAlign w:val="center"/>
          </w:tcPr>
          <w:p w14:paraId="4995C52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2022/08/03 02:00</w:t>
            </w:r>
          </w:p>
        </w:tc>
        <w:tc>
          <w:tcPr>
            <w:tcW w:w="535" w:type="pct"/>
            <w:vAlign w:val="center"/>
          </w:tcPr>
          <w:p w14:paraId="11BA172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0.29</w:t>
            </w:r>
          </w:p>
        </w:tc>
        <w:tc>
          <w:tcPr>
            <w:tcW w:w="536" w:type="pct"/>
            <w:vAlign w:val="center"/>
          </w:tcPr>
          <w:p w14:paraId="2B16274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BEDA3E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2.85</w:t>
            </w:r>
          </w:p>
        </w:tc>
        <w:tc>
          <w:tcPr>
            <w:tcW w:w="633" w:type="pct"/>
            <w:vAlign w:val="center"/>
          </w:tcPr>
          <w:p w14:paraId="36B608A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48" w:type="pct"/>
            <w:vAlign w:val="center"/>
          </w:tcPr>
          <w:p w14:paraId="00777E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034E59F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6FDF28B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0.95</w:t>
            </w:r>
          </w:p>
        </w:tc>
      </w:tr>
      <w:tr w14:paraId="147F1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AD3FB84">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张厝</w:t>
            </w:r>
          </w:p>
        </w:tc>
        <w:tc>
          <w:tcPr>
            <w:tcW w:w="688" w:type="pct"/>
            <w:vAlign w:val="center"/>
          </w:tcPr>
          <w:p w14:paraId="1164E86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35" w:type="pct"/>
            <w:vAlign w:val="center"/>
          </w:tcPr>
          <w:p w14:paraId="673444A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0.18</w:t>
            </w:r>
          </w:p>
        </w:tc>
        <w:tc>
          <w:tcPr>
            <w:tcW w:w="536" w:type="pct"/>
            <w:vAlign w:val="center"/>
          </w:tcPr>
          <w:p w14:paraId="5B3BA6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1A7B977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1.76</w:t>
            </w:r>
          </w:p>
        </w:tc>
        <w:tc>
          <w:tcPr>
            <w:tcW w:w="633" w:type="pct"/>
            <w:vAlign w:val="center"/>
          </w:tcPr>
          <w:p w14:paraId="126D72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01:00</w:t>
            </w:r>
          </w:p>
        </w:tc>
        <w:tc>
          <w:tcPr>
            <w:tcW w:w="548" w:type="pct"/>
            <w:vAlign w:val="center"/>
          </w:tcPr>
          <w:p w14:paraId="0BD4A87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784FCCB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86DB9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0.67</w:t>
            </w:r>
          </w:p>
        </w:tc>
      </w:tr>
      <w:tr w14:paraId="48B3C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BC1496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钱塘</w:t>
            </w:r>
          </w:p>
        </w:tc>
        <w:tc>
          <w:tcPr>
            <w:tcW w:w="688" w:type="pct"/>
            <w:vAlign w:val="center"/>
          </w:tcPr>
          <w:p w14:paraId="712A8DE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22:00</w:t>
            </w:r>
          </w:p>
        </w:tc>
        <w:tc>
          <w:tcPr>
            <w:tcW w:w="535" w:type="pct"/>
            <w:vAlign w:val="center"/>
          </w:tcPr>
          <w:p w14:paraId="089380E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0.17</w:t>
            </w:r>
          </w:p>
        </w:tc>
        <w:tc>
          <w:tcPr>
            <w:tcW w:w="536" w:type="pct"/>
            <w:vAlign w:val="center"/>
          </w:tcPr>
          <w:p w14:paraId="1DC52CF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305A83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1.74</w:t>
            </w:r>
          </w:p>
        </w:tc>
        <w:tc>
          <w:tcPr>
            <w:tcW w:w="633" w:type="pct"/>
            <w:vAlign w:val="center"/>
          </w:tcPr>
          <w:p w14:paraId="1B6CFC9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2022/09/04 22:00</w:t>
            </w:r>
          </w:p>
        </w:tc>
        <w:tc>
          <w:tcPr>
            <w:tcW w:w="548" w:type="pct"/>
            <w:vAlign w:val="center"/>
          </w:tcPr>
          <w:p w14:paraId="3F22125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1926F21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06215B2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0.61</w:t>
            </w:r>
          </w:p>
        </w:tc>
      </w:tr>
      <w:tr w14:paraId="0DF90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06F5B9">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0A0D99E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46D597F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0.25</w:t>
            </w:r>
          </w:p>
        </w:tc>
        <w:tc>
          <w:tcPr>
            <w:tcW w:w="536" w:type="pct"/>
            <w:vAlign w:val="center"/>
          </w:tcPr>
          <w:p w14:paraId="0B32E9C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3B3EEFA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2.53</w:t>
            </w:r>
          </w:p>
        </w:tc>
        <w:tc>
          <w:tcPr>
            <w:tcW w:w="633" w:type="pct"/>
            <w:vAlign w:val="center"/>
          </w:tcPr>
          <w:p w14:paraId="787C9F4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48" w:type="pct"/>
            <w:vAlign w:val="center"/>
          </w:tcPr>
          <w:p w14:paraId="5FF736D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29FEC97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E83B66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0.64</w:t>
            </w:r>
          </w:p>
        </w:tc>
      </w:tr>
      <w:tr w14:paraId="62F8A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5230B9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垄北</w:t>
            </w:r>
          </w:p>
        </w:tc>
        <w:tc>
          <w:tcPr>
            <w:tcW w:w="688" w:type="pct"/>
            <w:vAlign w:val="center"/>
          </w:tcPr>
          <w:p w14:paraId="4C81863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19:00</w:t>
            </w:r>
          </w:p>
        </w:tc>
        <w:tc>
          <w:tcPr>
            <w:tcW w:w="535" w:type="pct"/>
            <w:vAlign w:val="center"/>
          </w:tcPr>
          <w:p w14:paraId="2007A3D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0.31</w:t>
            </w:r>
          </w:p>
        </w:tc>
        <w:tc>
          <w:tcPr>
            <w:tcW w:w="536" w:type="pct"/>
            <w:vAlign w:val="center"/>
          </w:tcPr>
          <w:p w14:paraId="6024FBC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5DB82C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3.08</w:t>
            </w:r>
          </w:p>
        </w:tc>
        <w:tc>
          <w:tcPr>
            <w:tcW w:w="633" w:type="pct"/>
            <w:vAlign w:val="center"/>
          </w:tcPr>
          <w:p w14:paraId="5135717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19:00</w:t>
            </w:r>
          </w:p>
        </w:tc>
        <w:tc>
          <w:tcPr>
            <w:tcW w:w="548" w:type="pct"/>
            <w:vAlign w:val="center"/>
          </w:tcPr>
          <w:p w14:paraId="0A5007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3B3BB43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C7D03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0.88</w:t>
            </w:r>
          </w:p>
        </w:tc>
      </w:tr>
      <w:tr w14:paraId="7C49E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8701888">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赤厝村</w:t>
            </w:r>
          </w:p>
        </w:tc>
        <w:tc>
          <w:tcPr>
            <w:tcW w:w="688" w:type="pct"/>
            <w:vAlign w:val="center"/>
          </w:tcPr>
          <w:p w14:paraId="7F6A20B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2022/09/05 06:00</w:t>
            </w:r>
          </w:p>
        </w:tc>
        <w:tc>
          <w:tcPr>
            <w:tcW w:w="535" w:type="pct"/>
            <w:vAlign w:val="center"/>
          </w:tcPr>
          <w:p w14:paraId="25765B3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0.08</w:t>
            </w:r>
          </w:p>
        </w:tc>
        <w:tc>
          <w:tcPr>
            <w:tcW w:w="536" w:type="pct"/>
            <w:vAlign w:val="center"/>
          </w:tcPr>
          <w:p w14:paraId="4895DFC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38B7129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0.84</w:t>
            </w:r>
          </w:p>
        </w:tc>
        <w:tc>
          <w:tcPr>
            <w:tcW w:w="633" w:type="pct"/>
            <w:vAlign w:val="center"/>
          </w:tcPr>
          <w:p w14:paraId="624FF16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2022/09/15 06:00</w:t>
            </w:r>
          </w:p>
        </w:tc>
        <w:tc>
          <w:tcPr>
            <w:tcW w:w="548" w:type="pct"/>
            <w:vAlign w:val="center"/>
          </w:tcPr>
          <w:p w14:paraId="2FED0D7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342AF4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6EEC5A1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0.20</w:t>
            </w:r>
          </w:p>
        </w:tc>
      </w:tr>
      <w:tr w14:paraId="73834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92FCF9B">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门口村</w:t>
            </w:r>
          </w:p>
        </w:tc>
        <w:tc>
          <w:tcPr>
            <w:tcW w:w="688" w:type="pct"/>
            <w:vAlign w:val="center"/>
          </w:tcPr>
          <w:p w14:paraId="7A3C461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35" w:type="pct"/>
            <w:vAlign w:val="center"/>
          </w:tcPr>
          <w:p w14:paraId="755A104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0.10</w:t>
            </w:r>
          </w:p>
        </w:tc>
        <w:tc>
          <w:tcPr>
            <w:tcW w:w="536" w:type="pct"/>
            <w:vAlign w:val="center"/>
          </w:tcPr>
          <w:p w14:paraId="1B2FAD3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F15EC9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1.01</w:t>
            </w:r>
          </w:p>
        </w:tc>
        <w:tc>
          <w:tcPr>
            <w:tcW w:w="633" w:type="pct"/>
            <w:vAlign w:val="center"/>
          </w:tcPr>
          <w:p w14:paraId="5721C76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2022/09/14 20:00</w:t>
            </w:r>
          </w:p>
        </w:tc>
        <w:tc>
          <w:tcPr>
            <w:tcW w:w="548" w:type="pct"/>
            <w:vAlign w:val="center"/>
          </w:tcPr>
          <w:p w14:paraId="45EC7C6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1C6CA90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0F9C1FF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0.28</w:t>
            </w:r>
          </w:p>
        </w:tc>
      </w:tr>
      <w:tr w14:paraId="4BC10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DFD33B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后陈村</w:t>
            </w:r>
          </w:p>
        </w:tc>
        <w:tc>
          <w:tcPr>
            <w:tcW w:w="688" w:type="pct"/>
            <w:vAlign w:val="center"/>
          </w:tcPr>
          <w:p w14:paraId="45B65A5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7FB4611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0.26</w:t>
            </w:r>
          </w:p>
        </w:tc>
        <w:tc>
          <w:tcPr>
            <w:tcW w:w="536" w:type="pct"/>
            <w:vAlign w:val="center"/>
          </w:tcPr>
          <w:p w14:paraId="45FCC27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0CBDEBE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2.56</w:t>
            </w:r>
          </w:p>
        </w:tc>
        <w:tc>
          <w:tcPr>
            <w:tcW w:w="633" w:type="pct"/>
            <w:vAlign w:val="center"/>
          </w:tcPr>
          <w:p w14:paraId="6D0F18F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48" w:type="pct"/>
            <w:vAlign w:val="center"/>
          </w:tcPr>
          <w:p w14:paraId="773D89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0.03</w:t>
            </w:r>
          </w:p>
        </w:tc>
        <w:tc>
          <w:tcPr>
            <w:tcW w:w="579" w:type="pct"/>
            <w:vAlign w:val="center"/>
          </w:tcPr>
          <w:p w14:paraId="0ED9A839">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4F174BB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0.66</w:t>
            </w:r>
          </w:p>
        </w:tc>
      </w:tr>
      <w:tr w14:paraId="12648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656F6A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岭口村</w:t>
            </w:r>
          </w:p>
        </w:tc>
        <w:tc>
          <w:tcPr>
            <w:tcW w:w="688" w:type="pct"/>
            <w:vAlign w:val="center"/>
          </w:tcPr>
          <w:p w14:paraId="1142818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07:00</w:t>
            </w:r>
          </w:p>
        </w:tc>
        <w:tc>
          <w:tcPr>
            <w:tcW w:w="535" w:type="pct"/>
            <w:vAlign w:val="center"/>
          </w:tcPr>
          <w:p w14:paraId="3F6FC56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0.11</w:t>
            </w:r>
          </w:p>
        </w:tc>
        <w:tc>
          <w:tcPr>
            <w:tcW w:w="536" w:type="pct"/>
            <w:vAlign w:val="center"/>
          </w:tcPr>
          <w:p w14:paraId="3DF3C9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C899E4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1.06</w:t>
            </w:r>
          </w:p>
        </w:tc>
        <w:tc>
          <w:tcPr>
            <w:tcW w:w="633" w:type="pct"/>
            <w:vAlign w:val="center"/>
          </w:tcPr>
          <w:p w14:paraId="56896C9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2022/04/29 06:00</w:t>
            </w:r>
          </w:p>
        </w:tc>
        <w:tc>
          <w:tcPr>
            <w:tcW w:w="548" w:type="pct"/>
            <w:vAlign w:val="center"/>
          </w:tcPr>
          <w:p w14:paraId="7116FD0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19F59C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7E8D6B9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0.18</w:t>
            </w:r>
          </w:p>
        </w:tc>
      </w:tr>
      <w:tr w14:paraId="76038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58D5FCC">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龙门村</w:t>
            </w:r>
          </w:p>
        </w:tc>
        <w:tc>
          <w:tcPr>
            <w:tcW w:w="688" w:type="pct"/>
            <w:vAlign w:val="center"/>
          </w:tcPr>
          <w:p w14:paraId="0BA0ED61">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37BF54A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0.22</w:t>
            </w:r>
          </w:p>
        </w:tc>
        <w:tc>
          <w:tcPr>
            <w:tcW w:w="536" w:type="pct"/>
            <w:vAlign w:val="center"/>
          </w:tcPr>
          <w:p w14:paraId="421FE0F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5C062A1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2.24</w:t>
            </w:r>
          </w:p>
        </w:tc>
        <w:tc>
          <w:tcPr>
            <w:tcW w:w="633" w:type="pct"/>
            <w:vAlign w:val="center"/>
          </w:tcPr>
          <w:p w14:paraId="73897D5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48" w:type="pct"/>
            <w:vAlign w:val="center"/>
          </w:tcPr>
          <w:p w14:paraId="7C9A22E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0.02</w:t>
            </w:r>
          </w:p>
        </w:tc>
        <w:tc>
          <w:tcPr>
            <w:tcW w:w="579" w:type="pct"/>
            <w:vAlign w:val="center"/>
          </w:tcPr>
          <w:p w14:paraId="403B0AC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341A74E7">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0.57</w:t>
            </w:r>
          </w:p>
        </w:tc>
      </w:tr>
      <w:tr w14:paraId="319E0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FCF3D6F">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后庄村</w:t>
            </w:r>
          </w:p>
        </w:tc>
        <w:tc>
          <w:tcPr>
            <w:tcW w:w="688" w:type="pct"/>
            <w:vAlign w:val="center"/>
          </w:tcPr>
          <w:p w14:paraId="4C74D006">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35" w:type="pct"/>
            <w:vAlign w:val="center"/>
          </w:tcPr>
          <w:p w14:paraId="385D440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0.35</w:t>
            </w:r>
          </w:p>
        </w:tc>
        <w:tc>
          <w:tcPr>
            <w:tcW w:w="536" w:type="pct"/>
            <w:vAlign w:val="center"/>
          </w:tcPr>
          <w:p w14:paraId="6D07B62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5BE4E34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3.49</w:t>
            </w:r>
          </w:p>
        </w:tc>
        <w:tc>
          <w:tcPr>
            <w:tcW w:w="633" w:type="pct"/>
            <w:vAlign w:val="center"/>
          </w:tcPr>
          <w:p w14:paraId="76F0935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2022/03/25 21:00</w:t>
            </w:r>
          </w:p>
        </w:tc>
        <w:tc>
          <w:tcPr>
            <w:tcW w:w="548" w:type="pct"/>
            <w:vAlign w:val="center"/>
          </w:tcPr>
          <w:p w14:paraId="0650EA9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0.04</w:t>
            </w:r>
          </w:p>
        </w:tc>
        <w:tc>
          <w:tcPr>
            <w:tcW w:w="579" w:type="pct"/>
            <w:vAlign w:val="center"/>
          </w:tcPr>
          <w:p w14:paraId="69454E7E">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22E120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0.94</w:t>
            </w:r>
          </w:p>
        </w:tc>
      </w:tr>
      <w:tr w14:paraId="097A5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751F2D3">
            <w:pPr>
              <w:spacing w:line="240" w:lineRule="auto"/>
              <w:ind w:firstLine="0" w:firstLineChars="0"/>
              <w:jc w:val="center"/>
              <w:rPr>
                <w:rFonts w:hint="eastAsia" w:ascii="宋体" w:cs="宋体"/>
                <w:color w:val="auto"/>
                <w:kern w:val="2"/>
                <w:sz w:val="21"/>
                <w:szCs w:val="21"/>
                <w:highlight w:val="none"/>
                <w:u w:val="none"/>
                <w:lang w:val="en-US" w:bidi="ar"/>
              </w:rPr>
            </w:pPr>
            <w:r>
              <w:rPr>
                <w:rFonts w:hint="eastAsia" w:ascii="宋体" w:cs="宋体"/>
                <w:color w:val="auto"/>
                <w:kern w:val="2"/>
                <w:sz w:val="21"/>
                <w:szCs w:val="21"/>
                <w:highlight w:val="none"/>
                <w:u w:val="none"/>
                <w:lang w:val="en-US" w:bidi="ar"/>
              </w:rPr>
              <w:t>北郭村</w:t>
            </w:r>
          </w:p>
        </w:tc>
        <w:tc>
          <w:tcPr>
            <w:tcW w:w="688" w:type="pct"/>
            <w:vAlign w:val="center"/>
          </w:tcPr>
          <w:p w14:paraId="3DDD533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35" w:type="pct"/>
            <w:vAlign w:val="center"/>
          </w:tcPr>
          <w:p w14:paraId="6ECDE7D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0.14</w:t>
            </w:r>
          </w:p>
        </w:tc>
        <w:tc>
          <w:tcPr>
            <w:tcW w:w="536" w:type="pct"/>
            <w:vAlign w:val="center"/>
          </w:tcPr>
          <w:p w14:paraId="6C43861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757CAEC5">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1.42</w:t>
            </w:r>
          </w:p>
        </w:tc>
        <w:tc>
          <w:tcPr>
            <w:tcW w:w="633" w:type="pct"/>
            <w:vAlign w:val="center"/>
          </w:tcPr>
          <w:p w14:paraId="4B49AA3C">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2022/11/28 18:00</w:t>
            </w:r>
          </w:p>
        </w:tc>
        <w:tc>
          <w:tcPr>
            <w:tcW w:w="548" w:type="pct"/>
            <w:vAlign w:val="center"/>
          </w:tcPr>
          <w:p w14:paraId="6414A493">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0.01</w:t>
            </w:r>
          </w:p>
        </w:tc>
        <w:tc>
          <w:tcPr>
            <w:tcW w:w="579" w:type="pct"/>
            <w:vAlign w:val="center"/>
          </w:tcPr>
          <w:p w14:paraId="06FA8102">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5333E8E4">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0.32</w:t>
            </w:r>
          </w:p>
        </w:tc>
      </w:tr>
      <w:tr w14:paraId="3EBDF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9125A5">
            <w:pPr>
              <w:spacing w:line="240" w:lineRule="auto"/>
              <w:ind w:firstLine="0" w:firstLineChars="0"/>
              <w:jc w:val="center"/>
              <w:rPr>
                <w:rFonts w:hint="eastAsia" w:ascii="宋体" w:cs="宋体"/>
                <w:color w:val="auto"/>
                <w:kern w:val="2"/>
                <w:sz w:val="21"/>
                <w:szCs w:val="21"/>
                <w:highlight w:val="none"/>
                <w:u w:val="none"/>
                <w:lang w:val="en-US" w:bidi="ar"/>
              </w:rPr>
            </w:pPr>
            <w:r>
              <w:rPr>
                <w:rFonts w:hAnsi="Times New Roman"/>
                <w:color w:val="auto"/>
                <w:kern w:val="2"/>
                <w:sz w:val="21"/>
                <w:szCs w:val="21"/>
                <w:highlight w:val="none"/>
                <w:u w:val="none"/>
                <w:lang w:val="en-US"/>
              </w:rPr>
              <w:t>区域最大值</w:t>
            </w:r>
          </w:p>
        </w:tc>
        <w:tc>
          <w:tcPr>
            <w:tcW w:w="688" w:type="pct"/>
            <w:vAlign w:val="center"/>
          </w:tcPr>
          <w:p w14:paraId="3F5E0D3F">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2022/03/15 02:00</w:t>
            </w:r>
          </w:p>
        </w:tc>
        <w:tc>
          <w:tcPr>
            <w:tcW w:w="535" w:type="pct"/>
            <w:vAlign w:val="center"/>
          </w:tcPr>
          <w:p w14:paraId="162F0FB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8.19</w:t>
            </w:r>
          </w:p>
        </w:tc>
        <w:tc>
          <w:tcPr>
            <w:tcW w:w="536" w:type="pct"/>
            <w:vAlign w:val="center"/>
          </w:tcPr>
          <w:p w14:paraId="267AB38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10.00</w:t>
            </w:r>
          </w:p>
        </w:tc>
        <w:tc>
          <w:tcPr>
            <w:tcW w:w="447" w:type="pct"/>
            <w:vAlign w:val="center"/>
          </w:tcPr>
          <w:p w14:paraId="4C46FA6B">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 xml:space="preserve">81.93 </w:t>
            </w:r>
          </w:p>
        </w:tc>
        <w:tc>
          <w:tcPr>
            <w:tcW w:w="633" w:type="pct"/>
            <w:vAlign w:val="center"/>
          </w:tcPr>
          <w:p w14:paraId="5A01BEAD">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2022/01/05 21:00</w:t>
            </w:r>
          </w:p>
        </w:tc>
        <w:tc>
          <w:tcPr>
            <w:tcW w:w="548" w:type="pct"/>
            <w:vAlign w:val="center"/>
          </w:tcPr>
          <w:p w14:paraId="0FFCCA98">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1.59</w:t>
            </w:r>
          </w:p>
        </w:tc>
        <w:tc>
          <w:tcPr>
            <w:tcW w:w="579" w:type="pct"/>
            <w:vAlign w:val="center"/>
          </w:tcPr>
          <w:p w14:paraId="6FF4D13A">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4.00</w:t>
            </w:r>
          </w:p>
        </w:tc>
        <w:tc>
          <w:tcPr>
            <w:tcW w:w="430" w:type="pct"/>
            <w:vAlign w:val="center"/>
          </w:tcPr>
          <w:p w14:paraId="1E0B9E20">
            <w:pPr>
              <w:spacing w:line="240" w:lineRule="auto"/>
              <w:ind w:firstLine="0" w:firstLineChars="0"/>
              <w:jc w:val="center"/>
              <w:rPr>
                <w:rFonts w:hAnsi="Times New Roman"/>
                <w:color w:val="auto"/>
                <w:kern w:val="2"/>
                <w:sz w:val="21"/>
                <w:szCs w:val="21"/>
                <w:highlight w:val="none"/>
                <w:u w:val="none"/>
                <w:lang w:val="en-US"/>
              </w:rPr>
            </w:pPr>
            <w:r>
              <w:rPr>
                <w:rFonts w:hint="eastAsia"/>
                <w:color w:val="auto"/>
                <w:sz w:val="21"/>
                <w:szCs w:val="21"/>
                <w:highlight w:val="none"/>
                <w:u w:val="none"/>
              </w:rPr>
              <w:t xml:space="preserve">39.80 </w:t>
            </w:r>
          </w:p>
        </w:tc>
      </w:tr>
    </w:tbl>
    <w:p w14:paraId="7CBBA01D">
      <w:pPr>
        <w:pStyle w:val="85"/>
        <w:rPr>
          <w:color w:val="auto"/>
          <w:highlight w:val="none"/>
          <w:u w:val="none"/>
        </w:rPr>
      </w:pPr>
    </w:p>
    <w:p w14:paraId="6FC4496F">
      <w:pPr>
        <w:ind w:firstLine="482"/>
        <w:jc w:val="center"/>
        <w:rPr>
          <w:rFonts w:hAnsi="Times New Roman"/>
          <w:b/>
          <w:color w:val="auto"/>
          <w:highlight w:val="none"/>
          <w:u w:val="none"/>
        </w:rPr>
      </w:pPr>
      <w:bookmarkStart w:id="488" w:name="_Ref188396996"/>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fldChar w:fldCharType="begin"/>
      </w:r>
      <w:r>
        <w:rPr>
          <w:rFonts w:hAnsi="Times New Roman"/>
          <w:b/>
          <w:color w:val="auto"/>
          <w:highlight w:val="none"/>
          <w:u w:val="none"/>
        </w:rPr>
        <w:instrText xml:space="preserve"> SEQ 表 \* ARABIC \s 2 </w:instrText>
      </w:r>
      <w:r>
        <w:rPr>
          <w:rFonts w:hAnsi="Times New Roman"/>
          <w:b/>
          <w:color w:val="auto"/>
          <w:highlight w:val="none"/>
          <w:u w:val="none"/>
        </w:rPr>
        <w:fldChar w:fldCharType="separate"/>
      </w:r>
      <w:r>
        <w:rPr>
          <w:rFonts w:hAnsi="Times New Roman"/>
          <w:b/>
          <w:color w:val="auto"/>
          <w:highlight w:val="none"/>
          <w:u w:val="none"/>
        </w:rPr>
        <w:t>32</w:t>
      </w:r>
      <w:r>
        <w:rPr>
          <w:rFonts w:hAnsi="Times New Roman"/>
          <w:b/>
          <w:color w:val="auto"/>
          <w:highlight w:val="none"/>
          <w:u w:val="none"/>
        </w:rPr>
        <w:fldChar w:fldCharType="end"/>
      </w:r>
      <w:bookmarkEnd w:id="488"/>
      <w:r>
        <w:rPr>
          <w:rFonts w:hAnsi="Times New Roman"/>
          <w:b/>
          <w:color w:val="auto"/>
          <w:highlight w:val="none"/>
          <w:u w:val="none"/>
        </w:rPr>
        <w:t xml:space="preserve">  项目建成后</w:t>
      </w:r>
      <w:r>
        <w:rPr>
          <w:rFonts w:hint="eastAsia" w:hAnsi="Times New Roman"/>
          <w:b/>
          <w:color w:val="auto"/>
          <w:highlight w:val="none"/>
          <w:u w:val="none"/>
        </w:rPr>
        <w:t>PM</w:t>
      </w:r>
      <w:r>
        <w:rPr>
          <w:rFonts w:hint="eastAsia" w:hAnsi="Times New Roman"/>
          <w:b/>
          <w:color w:val="auto"/>
          <w:highlight w:val="none"/>
          <w:u w:val="none"/>
          <w:vertAlign w:val="subscript"/>
        </w:rPr>
        <w:t>10</w:t>
      </w:r>
      <w:r>
        <w:rPr>
          <w:rFonts w:hAnsi="Times New Roman"/>
          <w:b/>
          <w:color w:val="auto"/>
          <w:highlight w:val="none"/>
          <w:u w:val="none"/>
        </w:rPr>
        <w:t>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00407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66674AC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2C3BEB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 xml:space="preserve">10 </w:t>
            </w:r>
            <w:r>
              <w:rPr>
                <w:rFonts w:hint="eastAsia" w:hAnsi="Times New Roman"/>
                <w:color w:val="auto"/>
                <w:sz w:val="21"/>
                <w:szCs w:val="21"/>
                <w:highlight w:val="none"/>
                <w:u w:val="none"/>
              </w:rPr>
              <w:t>95%保证率日均值</w:t>
            </w:r>
          </w:p>
        </w:tc>
        <w:tc>
          <w:tcPr>
            <w:tcW w:w="2190" w:type="pct"/>
            <w:gridSpan w:val="4"/>
            <w:vAlign w:val="center"/>
          </w:tcPr>
          <w:p w14:paraId="610E6C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10</w:t>
            </w:r>
            <w:r>
              <w:rPr>
                <w:rFonts w:hint="eastAsia" w:hAnsi="Times New Roman"/>
                <w:color w:val="auto"/>
                <w:sz w:val="21"/>
                <w:szCs w:val="21"/>
                <w:highlight w:val="none"/>
                <w:u w:val="none"/>
              </w:rPr>
              <w:t>年均浓度</w:t>
            </w:r>
          </w:p>
        </w:tc>
      </w:tr>
      <w:tr w14:paraId="0EF77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4933599E">
            <w:pPr>
              <w:spacing w:line="240" w:lineRule="auto"/>
              <w:ind w:firstLine="0" w:firstLineChars="0"/>
              <w:jc w:val="center"/>
              <w:rPr>
                <w:rFonts w:hAnsi="Times New Roman"/>
                <w:color w:val="auto"/>
                <w:sz w:val="21"/>
                <w:szCs w:val="21"/>
                <w:highlight w:val="none"/>
                <w:u w:val="none"/>
              </w:rPr>
            </w:pPr>
          </w:p>
        </w:tc>
        <w:tc>
          <w:tcPr>
            <w:tcW w:w="688" w:type="pct"/>
            <w:vAlign w:val="center"/>
          </w:tcPr>
          <w:p w14:paraId="0833AFC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1F1B37F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34BA531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7295958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3E6B1EB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5735239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72F3E39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1CC6867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76A7A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6B4537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1309" w:type="dxa"/>
            <w:vAlign w:val="center"/>
          </w:tcPr>
          <w:p w14:paraId="78428F0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12A5A8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2526448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24784E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1AAB757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17AC98A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28.08</w:t>
            </w:r>
          </w:p>
        </w:tc>
        <w:tc>
          <w:tcPr>
            <w:tcW w:w="1102" w:type="dxa"/>
            <w:vAlign w:val="center"/>
          </w:tcPr>
          <w:p w14:paraId="67CAE06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45C21A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40.12</w:t>
            </w:r>
          </w:p>
        </w:tc>
      </w:tr>
      <w:tr w14:paraId="4DDF4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C64301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1309" w:type="dxa"/>
            <w:vAlign w:val="center"/>
          </w:tcPr>
          <w:p w14:paraId="173A4D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18B7B9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05784AD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83773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0CAF7D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46FF8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28.05</w:t>
            </w:r>
          </w:p>
        </w:tc>
        <w:tc>
          <w:tcPr>
            <w:tcW w:w="1102" w:type="dxa"/>
            <w:vAlign w:val="center"/>
          </w:tcPr>
          <w:p w14:paraId="4AB87B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3DFCBE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40.06</w:t>
            </w:r>
          </w:p>
        </w:tc>
      </w:tr>
      <w:tr w14:paraId="34A60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4395A7B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1309" w:type="dxa"/>
            <w:vAlign w:val="center"/>
          </w:tcPr>
          <w:p w14:paraId="14FDC65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6DFC25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0CDE3F8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3140D3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7BD250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3168D0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28.05</w:t>
            </w:r>
          </w:p>
        </w:tc>
        <w:tc>
          <w:tcPr>
            <w:tcW w:w="1102" w:type="dxa"/>
            <w:vAlign w:val="center"/>
          </w:tcPr>
          <w:p w14:paraId="5718437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34D385D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40.07</w:t>
            </w:r>
          </w:p>
        </w:tc>
      </w:tr>
      <w:tr w14:paraId="366FE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952719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1309" w:type="dxa"/>
            <w:vAlign w:val="center"/>
          </w:tcPr>
          <w:p w14:paraId="6BF5D0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5ECC36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55.31</w:t>
            </w:r>
          </w:p>
        </w:tc>
        <w:tc>
          <w:tcPr>
            <w:tcW w:w="1020" w:type="dxa"/>
            <w:vAlign w:val="center"/>
          </w:tcPr>
          <w:p w14:paraId="12F2642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21F22A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36.87</w:t>
            </w:r>
          </w:p>
        </w:tc>
        <w:tc>
          <w:tcPr>
            <w:tcW w:w="1205" w:type="dxa"/>
            <w:vAlign w:val="center"/>
          </w:tcPr>
          <w:p w14:paraId="393245F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1AFD39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28.10</w:t>
            </w:r>
          </w:p>
        </w:tc>
        <w:tc>
          <w:tcPr>
            <w:tcW w:w="1102" w:type="dxa"/>
            <w:vAlign w:val="center"/>
          </w:tcPr>
          <w:p w14:paraId="7F00628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480DD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40.14</w:t>
            </w:r>
          </w:p>
        </w:tc>
      </w:tr>
      <w:tr w14:paraId="43985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427346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1309" w:type="dxa"/>
            <w:vAlign w:val="center"/>
          </w:tcPr>
          <w:p w14:paraId="79C177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682544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55.35</w:t>
            </w:r>
          </w:p>
        </w:tc>
        <w:tc>
          <w:tcPr>
            <w:tcW w:w="1020" w:type="dxa"/>
            <w:vAlign w:val="center"/>
          </w:tcPr>
          <w:p w14:paraId="392299C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7F22A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36.90</w:t>
            </w:r>
          </w:p>
        </w:tc>
        <w:tc>
          <w:tcPr>
            <w:tcW w:w="1205" w:type="dxa"/>
            <w:vAlign w:val="center"/>
          </w:tcPr>
          <w:p w14:paraId="34E6C6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1D166B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28.08</w:t>
            </w:r>
          </w:p>
        </w:tc>
        <w:tc>
          <w:tcPr>
            <w:tcW w:w="1102" w:type="dxa"/>
            <w:vAlign w:val="center"/>
          </w:tcPr>
          <w:p w14:paraId="3914E2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3F80E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40.11</w:t>
            </w:r>
          </w:p>
        </w:tc>
      </w:tr>
      <w:tr w14:paraId="7A1C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bottom"/>
          </w:tcPr>
          <w:p w14:paraId="0D17790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1309" w:type="dxa"/>
            <w:vAlign w:val="center"/>
          </w:tcPr>
          <w:p w14:paraId="0E6DD6E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2D012C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6E5E4CA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08A447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6A82F3E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132D3FA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28.04</w:t>
            </w:r>
          </w:p>
        </w:tc>
        <w:tc>
          <w:tcPr>
            <w:tcW w:w="1102" w:type="dxa"/>
            <w:vAlign w:val="center"/>
          </w:tcPr>
          <w:p w14:paraId="206C71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662404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40.06</w:t>
            </w:r>
          </w:p>
        </w:tc>
      </w:tr>
      <w:tr w14:paraId="6FD83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67D429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1309" w:type="dxa"/>
            <w:vAlign w:val="center"/>
          </w:tcPr>
          <w:p w14:paraId="68BFC8A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08F1F3C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55.29</w:t>
            </w:r>
          </w:p>
        </w:tc>
        <w:tc>
          <w:tcPr>
            <w:tcW w:w="1020" w:type="dxa"/>
            <w:vAlign w:val="center"/>
          </w:tcPr>
          <w:p w14:paraId="1C567D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15C7F8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36.86</w:t>
            </w:r>
          </w:p>
        </w:tc>
        <w:tc>
          <w:tcPr>
            <w:tcW w:w="1205" w:type="dxa"/>
            <w:vAlign w:val="center"/>
          </w:tcPr>
          <w:p w14:paraId="186545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2B549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28.12</w:t>
            </w:r>
          </w:p>
        </w:tc>
        <w:tc>
          <w:tcPr>
            <w:tcW w:w="1102" w:type="dxa"/>
            <w:vAlign w:val="center"/>
          </w:tcPr>
          <w:p w14:paraId="37F6F1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349523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40.17</w:t>
            </w:r>
          </w:p>
        </w:tc>
      </w:tr>
      <w:tr w14:paraId="552C3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EF027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1309" w:type="dxa"/>
            <w:vAlign w:val="center"/>
          </w:tcPr>
          <w:p w14:paraId="0EF2DE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1018" w:type="dxa"/>
            <w:vAlign w:val="center"/>
          </w:tcPr>
          <w:p w14:paraId="0A9D03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56.83</w:t>
            </w:r>
          </w:p>
        </w:tc>
        <w:tc>
          <w:tcPr>
            <w:tcW w:w="1020" w:type="dxa"/>
            <w:vAlign w:val="center"/>
          </w:tcPr>
          <w:p w14:paraId="70781B2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33903B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37.89</w:t>
            </w:r>
          </w:p>
        </w:tc>
        <w:tc>
          <w:tcPr>
            <w:tcW w:w="1205" w:type="dxa"/>
            <w:vAlign w:val="center"/>
          </w:tcPr>
          <w:p w14:paraId="2D52B51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935E5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28.70</w:t>
            </w:r>
          </w:p>
        </w:tc>
        <w:tc>
          <w:tcPr>
            <w:tcW w:w="1102" w:type="dxa"/>
            <w:vAlign w:val="center"/>
          </w:tcPr>
          <w:p w14:paraId="158E9F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3EB1F5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41.00</w:t>
            </w:r>
          </w:p>
        </w:tc>
      </w:tr>
      <w:tr w14:paraId="5FB4C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C57570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1309" w:type="dxa"/>
            <w:vAlign w:val="center"/>
          </w:tcPr>
          <w:p w14:paraId="0C9D0C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2022/04/22 00:00</w:t>
            </w:r>
          </w:p>
        </w:tc>
        <w:tc>
          <w:tcPr>
            <w:tcW w:w="1018" w:type="dxa"/>
            <w:vAlign w:val="center"/>
          </w:tcPr>
          <w:p w14:paraId="1F3966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56.98</w:t>
            </w:r>
          </w:p>
        </w:tc>
        <w:tc>
          <w:tcPr>
            <w:tcW w:w="1020" w:type="dxa"/>
            <w:vAlign w:val="center"/>
          </w:tcPr>
          <w:p w14:paraId="4F5B25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0B2937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37.99</w:t>
            </w:r>
          </w:p>
        </w:tc>
        <w:tc>
          <w:tcPr>
            <w:tcW w:w="1205" w:type="dxa"/>
            <w:vAlign w:val="center"/>
          </w:tcPr>
          <w:p w14:paraId="1147CA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1058E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28.85</w:t>
            </w:r>
          </w:p>
        </w:tc>
        <w:tc>
          <w:tcPr>
            <w:tcW w:w="1102" w:type="dxa"/>
            <w:vAlign w:val="center"/>
          </w:tcPr>
          <w:p w14:paraId="025D55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398900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41.21</w:t>
            </w:r>
          </w:p>
        </w:tc>
      </w:tr>
      <w:tr w14:paraId="1EDB9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B5FDC1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1309" w:type="dxa"/>
            <w:vAlign w:val="center"/>
          </w:tcPr>
          <w:p w14:paraId="1D5746A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6D5EFE6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56.12</w:t>
            </w:r>
          </w:p>
        </w:tc>
        <w:tc>
          <w:tcPr>
            <w:tcW w:w="1020" w:type="dxa"/>
            <w:vAlign w:val="center"/>
          </w:tcPr>
          <w:p w14:paraId="7AEAF5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6C7481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37.41</w:t>
            </w:r>
          </w:p>
        </w:tc>
        <w:tc>
          <w:tcPr>
            <w:tcW w:w="1205" w:type="dxa"/>
            <w:vAlign w:val="center"/>
          </w:tcPr>
          <w:p w14:paraId="397BBD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B2C65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28.55</w:t>
            </w:r>
          </w:p>
        </w:tc>
        <w:tc>
          <w:tcPr>
            <w:tcW w:w="1102" w:type="dxa"/>
            <w:vAlign w:val="center"/>
          </w:tcPr>
          <w:p w14:paraId="3C848F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7A584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40.78</w:t>
            </w:r>
          </w:p>
        </w:tc>
      </w:tr>
      <w:tr w14:paraId="13B9E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C057A0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1309" w:type="dxa"/>
            <w:vAlign w:val="center"/>
          </w:tcPr>
          <w:p w14:paraId="2BE4F0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1895CF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56.26</w:t>
            </w:r>
          </w:p>
        </w:tc>
        <w:tc>
          <w:tcPr>
            <w:tcW w:w="1020" w:type="dxa"/>
            <w:vAlign w:val="center"/>
          </w:tcPr>
          <w:p w14:paraId="1154A61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299292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37.51</w:t>
            </w:r>
          </w:p>
        </w:tc>
        <w:tc>
          <w:tcPr>
            <w:tcW w:w="1205" w:type="dxa"/>
            <w:vAlign w:val="center"/>
          </w:tcPr>
          <w:p w14:paraId="3A934D0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3B08EB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28.56</w:t>
            </w:r>
          </w:p>
        </w:tc>
        <w:tc>
          <w:tcPr>
            <w:tcW w:w="1102" w:type="dxa"/>
            <w:vAlign w:val="center"/>
          </w:tcPr>
          <w:p w14:paraId="55E92A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026E32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40.80</w:t>
            </w:r>
          </w:p>
        </w:tc>
      </w:tr>
      <w:tr w14:paraId="5054D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65107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1309" w:type="dxa"/>
            <w:vAlign w:val="center"/>
          </w:tcPr>
          <w:p w14:paraId="4CBE31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60B0FD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56.10</w:t>
            </w:r>
          </w:p>
        </w:tc>
        <w:tc>
          <w:tcPr>
            <w:tcW w:w="1020" w:type="dxa"/>
            <w:vAlign w:val="center"/>
          </w:tcPr>
          <w:p w14:paraId="7B8027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98E0E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37.40</w:t>
            </w:r>
          </w:p>
        </w:tc>
        <w:tc>
          <w:tcPr>
            <w:tcW w:w="1205" w:type="dxa"/>
            <w:vAlign w:val="center"/>
          </w:tcPr>
          <w:p w14:paraId="231438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5DF52B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w:t>
            </w:r>
          </w:p>
        </w:tc>
        <w:tc>
          <w:tcPr>
            <w:tcW w:w="1102" w:type="dxa"/>
            <w:vAlign w:val="center"/>
          </w:tcPr>
          <w:p w14:paraId="5375CA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6906FD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40.25</w:t>
            </w:r>
          </w:p>
        </w:tc>
      </w:tr>
      <w:tr w14:paraId="63B195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11AB2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1309" w:type="dxa"/>
            <w:vAlign w:val="center"/>
          </w:tcPr>
          <w:p w14:paraId="456401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2022/03/09 00:00</w:t>
            </w:r>
          </w:p>
        </w:tc>
        <w:tc>
          <w:tcPr>
            <w:tcW w:w="1018" w:type="dxa"/>
            <w:vAlign w:val="center"/>
          </w:tcPr>
          <w:p w14:paraId="7DD51C9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58.46</w:t>
            </w:r>
          </w:p>
        </w:tc>
        <w:tc>
          <w:tcPr>
            <w:tcW w:w="1020" w:type="dxa"/>
            <w:vAlign w:val="center"/>
          </w:tcPr>
          <w:p w14:paraId="1656168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05EE1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38.97</w:t>
            </w:r>
          </w:p>
        </w:tc>
        <w:tc>
          <w:tcPr>
            <w:tcW w:w="1205" w:type="dxa"/>
            <w:vAlign w:val="center"/>
          </w:tcPr>
          <w:p w14:paraId="36CBD64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0BA9EF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28.85</w:t>
            </w:r>
          </w:p>
        </w:tc>
        <w:tc>
          <w:tcPr>
            <w:tcW w:w="1102" w:type="dxa"/>
            <w:vAlign w:val="center"/>
          </w:tcPr>
          <w:p w14:paraId="4C929D5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0E7E6BA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41.22</w:t>
            </w:r>
          </w:p>
        </w:tc>
      </w:tr>
      <w:tr w14:paraId="60FD9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D6D5B0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1309" w:type="dxa"/>
            <w:vAlign w:val="center"/>
          </w:tcPr>
          <w:p w14:paraId="6A8CACF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2022/01/15 00:00</w:t>
            </w:r>
          </w:p>
        </w:tc>
        <w:tc>
          <w:tcPr>
            <w:tcW w:w="1018" w:type="dxa"/>
            <w:vAlign w:val="center"/>
          </w:tcPr>
          <w:p w14:paraId="59E39E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59.17</w:t>
            </w:r>
          </w:p>
        </w:tc>
        <w:tc>
          <w:tcPr>
            <w:tcW w:w="1020" w:type="dxa"/>
            <w:vAlign w:val="center"/>
          </w:tcPr>
          <w:p w14:paraId="7DA596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53CA81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39.45</w:t>
            </w:r>
          </w:p>
        </w:tc>
        <w:tc>
          <w:tcPr>
            <w:tcW w:w="1205" w:type="dxa"/>
            <w:vAlign w:val="center"/>
          </w:tcPr>
          <w:p w14:paraId="0E0BE21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4B012E6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29.34</w:t>
            </w:r>
          </w:p>
        </w:tc>
        <w:tc>
          <w:tcPr>
            <w:tcW w:w="1102" w:type="dxa"/>
            <w:vAlign w:val="center"/>
          </w:tcPr>
          <w:p w14:paraId="6451A8B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2AF3A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41.92</w:t>
            </w:r>
          </w:p>
        </w:tc>
      </w:tr>
      <w:tr w14:paraId="658CD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03FD24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1309" w:type="dxa"/>
            <w:vAlign w:val="center"/>
          </w:tcPr>
          <w:p w14:paraId="47933F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2E5978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55.59</w:t>
            </w:r>
          </w:p>
        </w:tc>
        <w:tc>
          <w:tcPr>
            <w:tcW w:w="1020" w:type="dxa"/>
            <w:vAlign w:val="center"/>
          </w:tcPr>
          <w:p w14:paraId="2F50E0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576CF6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37.06</w:t>
            </w:r>
          </w:p>
        </w:tc>
        <w:tc>
          <w:tcPr>
            <w:tcW w:w="1205" w:type="dxa"/>
            <w:vAlign w:val="center"/>
          </w:tcPr>
          <w:p w14:paraId="25DD7BD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5093CB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28.15</w:t>
            </w:r>
          </w:p>
        </w:tc>
        <w:tc>
          <w:tcPr>
            <w:tcW w:w="1102" w:type="dxa"/>
            <w:vAlign w:val="center"/>
          </w:tcPr>
          <w:p w14:paraId="73532E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37FA0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40.22</w:t>
            </w:r>
          </w:p>
        </w:tc>
      </w:tr>
      <w:tr w14:paraId="16808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0282B1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1309" w:type="dxa"/>
            <w:vAlign w:val="center"/>
          </w:tcPr>
          <w:p w14:paraId="40282E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748C1A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55.79</w:t>
            </w:r>
          </w:p>
        </w:tc>
        <w:tc>
          <w:tcPr>
            <w:tcW w:w="1020" w:type="dxa"/>
            <w:vAlign w:val="center"/>
          </w:tcPr>
          <w:p w14:paraId="19A36E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7BF4E0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37.20</w:t>
            </w:r>
          </w:p>
        </w:tc>
        <w:tc>
          <w:tcPr>
            <w:tcW w:w="1205" w:type="dxa"/>
            <w:vAlign w:val="center"/>
          </w:tcPr>
          <w:p w14:paraId="2EA96D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40DC97C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28.50</w:t>
            </w:r>
          </w:p>
        </w:tc>
        <w:tc>
          <w:tcPr>
            <w:tcW w:w="1102" w:type="dxa"/>
            <w:vAlign w:val="center"/>
          </w:tcPr>
          <w:p w14:paraId="4613A94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6EF4C3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40.71</w:t>
            </w:r>
          </w:p>
        </w:tc>
      </w:tr>
      <w:tr w14:paraId="47711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0EBBAA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1309" w:type="dxa"/>
            <w:vAlign w:val="center"/>
          </w:tcPr>
          <w:p w14:paraId="6C9021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3308F2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55.70</w:t>
            </w:r>
          </w:p>
        </w:tc>
        <w:tc>
          <w:tcPr>
            <w:tcW w:w="1020" w:type="dxa"/>
            <w:vAlign w:val="center"/>
          </w:tcPr>
          <w:p w14:paraId="20BFEA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97BD2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37.13</w:t>
            </w:r>
          </w:p>
        </w:tc>
        <w:tc>
          <w:tcPr>
            <w:tcW w:w="1205" w:type="dxa"/>
            <w:vAlign w:val="center"/>
          </w:tcPr>
          <w:p w14:paraId="69E370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B0A7E4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28.14</w:t>
            </w:r>
          </w:p>
        </w:tc>
        <w:tc>
          <w:tcPr>
            <w:tcW w:w="1102" w:type="dxa"/>
            <w:vAlign w:val="center"/>
          </w:tcPr>
          <w:p w14:paraId="5EFA069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521A0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40.20</w:t>
            </w:r>
          </w:p>
        </w:tc>
      </w:tr>
      <w:tr w14:paraId="4BB2F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81855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1309" w:type="dxa"/>
            <w:vAlign w:val="center"/>
          </w:tcPr>
          <w:p w14:paraId="3DA44A4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242E22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55.54</w:t>
            </w:r>
          </w:p>
        </w:tc>
        <w:tc>
          <w:tcPr>
            <w:tcW w:w="1020" w:type="dxa"/>
            <w:vAlign w:val="center"/>
          </w:tcPr>
          <w:p w14:paraId="52685DA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D9FAEB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37.03</w:t>
            </w:r>
          </w:p>
        </w:tc>
        <w:tc>
          <w:tcPr>
            <w:tcW w:w="1205" w:type="dxa"/>
            <w:vAlign w:val="center"/>
          </w:tcPr>
          <w:p w14:paraId="41EBDB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DB0D4C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28.10</w:t>
            </w:r>
          </w:p>
        </w:tc>
        <w:tc>
          <w:tcPr>
            <w:tcW w:w="1102" w:type="dxa"/>
            <w:vAlign w:val="center"/>
          </w:tcPr>
          <w:p w14:paraId="5CA0EF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AAA11B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40.14</w:t>
            </w:r>
          </w:p>
        </w:tc>
      </w:tr>
      <w:tr w14:paraId="210C2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541FD2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1309" w:type="dxa"/>
            <w:vAlign w:val="center"/>
          </w:tcPr>
          <w:p w14:paraId="21CE71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21AB4A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55.25</w:t>
            </w:r>
          </w:p>
        </w:tc>
        <w:tc>
          <w:tcPr>
            <w:tcW w:w="1020" w:type="dxa"/>
            <w:vAlign w:val="center"/>
          </w:tcPr>
          <w:p w14:paraId="49A0FB7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83B16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36.84</w:t>
            </w:r>
          </w:p>
        </w:tc>
        <w:tc>
          <w:tcPr>
            <w:tcW w:w="1205" w:type="dxa"/>
            <w:vAlign w:val="center"/>
          </w:tcPr>
          <w:p w14:paraId="20F900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9C9B0A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28.10</w:t>
            </w:r>
          </w:p>
        </w:tc>
        <w:tc>
          <w:tcPr>
            <w:tcW w:w="1102" w:type="dxa"/>
            <w:vAlign w:val="center"/>
          </w:tcPr>
          <w:p w14:paraId="23273B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E3E1C7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40.14</w:t>
            </w:r>
          </w:p>
        </w:tc>
      </w:tr>
      <w:tr w14:paraId="6B3B9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426AC1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1309" w:type="dxa"/>
            <w:vAlign w:val="center"/>
          </w:tcPr>
          <w:p w14:paraId="25E5C19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3ED467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3F083E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0F5E510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16989E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9F646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28.14</w:t>
            </w:r>
          </w:p>
        </w:tc>
        <w:tc>
          <w:tcPr>
            <w:tcW w:w="1102" w:type="dxa"/>
            <w:vAlign w:val="center"/>
          </w:tcPr>
          <w:p w14:paraId="0DD72B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7B69A1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40.19</w:t>
            </w:r>
          </w:p>
        </w:tc>
      </w:tr>
      <w:tr w14:paraId="20B43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484F0B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1309" w:type="dxa"/>
            <w:vAlign w:val="center"/>
          </w:tcPr>
          <w:p w14:paraId="562159C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53AA74F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55.63</w:t>
            </w:r>
          </w:p>
        </w:tc>
        <w:tc>
          <w:tcPr>
            <w:tcW w:w="1020" w:type="dxa"/>
            <w:vAlign w:val="center"/>
          </w:tcPr>
          <w:p w14:paraId="0C7A27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6266B2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37.09</w:t>
            </w:r>
          </w:p>
        </w:tc>
        <w:tc>
          <w:tcPr>
            <w:tcW w:w="1205" w:type="dxa"/>
            <w:vAlign w:val="center"/>
          </w:tcPr>
          <w:p w14:paraId="7E3D511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AD3924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28.10</w:t>
            </w:r>
          </w:p>
        </w:tc>
        <w:tc>
          <w:tcPr>
            <w:tcW w:w="1102" w:type="dxa"/>
            <w:vAlign w:val="center"/>
          </w:tcPr>
          <w:p w14:paraId="0F81EE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6B84894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40.14</w:t>
            </w:r>
          </w:p>
        </w:tc>
      </w:tr>
      <w:tr w14:paraId="5DC8D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F0246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1309" w:type="dxa"/>
            <w:vAlign w:val="center"/>
          </w:tcPr>
          <w:p w14:paraId="4729B0C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2B348E1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55.96</w:t>
            </w:r>
          </w:p>
        </w:tc>
        <w:tc>
          <w:tcPr>
            <w:tcW w:w="1020" w:type="dxa"/>
            <w:vAlign w:val="center"/>
          </w:tcPr>
          <w:p w14:paraId="59489C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37988B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37.30</w:t>
            </w:r>
          </w:p>
        </w:tc>
        <w:tc>
          <w:tcPr>
            <w:tcW w:w="1205" w:type="dxa"/>
            <w:vAlign w:val="center"/>
          </w:tcPr>
          <w:p w14:paraId="126F80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39092E1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28.30</w:t>
            </w:r>
          </w:p>
        </w:tc>
        <w:tc>
          <w:tcPr>
            <w:tcW w:w="1102" w:type="dxa"/>
            <w:vAlign w:val="center"/>
          </w:tcPr>
          <w:p w14:paraId="02A3D3A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025F85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40.43</w:t>
            </w:r>
          </w:p>
        </w:tc>
      </w:tr>
      <w:tr w14:paraId="3991A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AE89B2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1309" w:type="dxa"/>
            <w:vAlign w:val="center"/>
          </w:tcPr>
          <w:p w14:paraId="5C9268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1018" w:type="dxa"/>
            <w:vAlign w:val="center"/>
          </w:tcPr>
          <w:p w14:paraId="3AAA66A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56.83</w:t>
            </w:r>
          </w:p>
        </w:tc>
        <w:tc>
          <w:tcPr>
            <w:tcW w:w="1020" w:type="dxa"/>
            <w:vAlign w:val="center"/>
          </w:tcPr>
          <w:p w14:paraId="21E30E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64112B7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37.89</w:t>
            </w:r>
          </w:p>
        </w:tc>
        <w:tc>
          <w:tcPr>
            <w:tcW w:w="1205" w:type="dxa"/>
            <w:vAlign w:val="center"/>
          </w:tcPr>
          <w:p w14:paraId="657158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591F7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28.25</w:t>
            </w:r>
          </w:p>
        </w:tc>
        <w:tc>
          <w:tcPr>
            <w:tcW w:w="1102" w:type="dxa"/>
            <w:vAlign w:val="center"/>
          </w:tcPr>
          <w:p w14:paraId="32D444F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439673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40.35</w:t>
            </w:r>
          </w:p>
        </w:tc>
      </w:tr>
      <w:tr w14:paraId="5DB37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E29E70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1309" w:type="dxa"/>
            <w:vAlign w:val="center"/>
          </w:tcPr>
          <w:p w14:paraId="32A0AE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43B63C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56.68</w:t>
            </w:r>
          </w:p>
        </w:tc>
        <w:tc>
          <w:tcPr>
            <w:tcW w:w="1020" w:type="dxa"/>
            <w:vAlign w:val="center"/>
          </w:tcPr>
          <w:p w14:paraId="746735B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50FABC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37.79</w:t>
            </w:r>
          </w:p>
        </w:tc>
        <w:tc>
          <w:tcPr>
            <w:tcW w:w="1205" w:type="dxa"/>
            <w:vAlign w:val="center"/>
          </w:tcPr>
          <w:p w14:paraId="479ED0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13EC7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28.22</w:t>
            </w:r>
          </w:p>
        </w:tc>
        <w:tc>
          <w:tcPr>
            <w:tcW w:w="1102" w:type="dxa"/>
            <w:vAlign w:val="center"/>
          </w:tcPr>
          <w:p w14:paraId="27FF61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E568D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40.31</w:t>
            </w:r>
          </w:p>
        </w:tc>
      </w:tr>
      <w:tr w14:paraId="523C3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C3DA0C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1309" w:type="dxa"/>
            <w:vAlign w:val="center"/>
          </w:tcPr>
          <w:p w14:paraId="29C9F8B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61A2B21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55.77</w:t>
            </w:r>
          </w:p>
        </w:tc>
        <w:tc>
          <w:tcPr>
            <w:tcW w:w="1020" w:type="dxa"/>
            <w:vAlign w:val="center"/>
          </w:tcPr>
          <w:p w14:paraId="431A87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13F099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37.18</w:t>
            </w:r>
          </w:p>
        </w:tc>
        <w:tc>
          <w:tcPr>
            <w:tcW w:w="1205" w:type="dxa"/>
            <w:vAlign w:val="center"/>
          </w:tcPr>
          <w:p w14:paraId="2C20C8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3BEB6D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w:t>
            </w:r>
          </w:p>
        </w:tc>
        <w:tc>
          <w:tcPr>
            <w:tcW w:w="1102" w:type="dxa"/>
            <w:vAlign w:val="center"/>
          </w:tcPr>
          <w:p w14:paraId="3BB185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3AF58A0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40.26</w:t>
            </w:r>
          </w:p>
        </w:tc>
      </w:tr>
      <w:tr w14:paraId="65962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7AE3EE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1309" w:type="dxa"/>
            <w:vAlign w:val="center"/>
          </w:tcPr>
          <w:p w14:paraId="7977B2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078CAE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228FCF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5FC9A4A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25CE4A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CBD38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28.18</w:t>
            </w:r>
          </w:p>
        </w:tc>
        <w:tc>
          <w:tcPr>
            <w:tcW w:w="1102" w:type="dxa"/>
            <w:vAlign w:val="center"/>
          </w:tcPr>
          <w:p w14:paraId="6AE074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44318E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40.26</w:t>
            </w:r>
          </w:p>
        </w:tc>
      </w:tr>
      <w:tr w14:paraId="6ADB5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19802F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1309" w:type="dxa"/>
            <w:vAlign w:val="center"/>
          </w:tcPr>
          <w:p w14:paraId="00C0C4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78CD948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0E264F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1BF95E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067DEC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1007D3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28.09</w:t>
            </w:r>
          </w:p>
        </w:tc>
        <w:tc>
          <w:tcPr>
            <w:tcW w:w="1102" w:type="dxa"/>
            <w:vAlign w:val="center"/>
          </w:tcPr>
          <w:p w14:paraId="321811A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704D5E2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40.13</w:t>
            </w:r>
          </w:p>
        </w:tc>
      </w:tr>
      <w:tr w14:paraId="3E1E5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6D160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1309" w:type="dxa"/>
            <w:vAlign w:val="center"/>
          </w:tcPr>
          <w:p w14:paraId="6380E8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2F6DC4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44E75F6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5E008B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5494083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6DC5C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28.10</w:t>
            </w:r>
          </w:p>
        </w:tc>
        <w:tc>
          <w:tcPr>
            <w:tcW w:w="1102" w:type="dxa"/>
            <w:vAlign w:val="center"/>
          </w:tcPr>
          <w:p w14:paraId="4E308DF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78B35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40.14</w:t>
            </w:r>
          </w:p>
        </w:tc>
      </w:tr>
      <w:tr w14:paraId="4BE0D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01DCE4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1309" w:type="dxa"/>
            <w:vAlign w:val="center"/>
          </w:tcPr>
          <w:p w14:paraId="34BF40D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7F6634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56.50</w:t>
            </w:r>
          </w:p>
        </w:tc>
        <w:tc>
          <w:tcPr>
            <w:tcW w:w="1020" w:type="dxa"/>
            <w:vAlign w:val="center"/>
          </w:tcPr>
          <w:p w14:paraId="060C51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10C7B1D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37.66</w:t>
            </w:r>
          </w:p>
        </w:tc>
        <w:tc>
          <w:tcPr>
            <w:tcW w:w="1205" w:type="dxa"/>
            <w:vAlign w:val="center"/>
          </w:tcPr>
          <w:p w14:paraId="1E559A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20BCB6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28.57</w:t>
            </w:r>
          </w:p>
        </w:tc>
        <w:tc>
          <w:tcPr>
            <w:tcW w:w="1102" w:type="dxa"/>
            <w:vAlign w:val="center"/>
          </w:tcPr>
          <w:p w14:paraId="124D3B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8A7686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40.81</w:t>
            </w:r>
          </w:p>
        </w:tc>
      </w:tr>
      <w:tr w14:paraId="66EF2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4AC463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1309" w:type="dxa"/>
            <w:vAlign w:val="center"/>
          </w:tcPr>
          <w:p w14:paraId="07CD07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1018" w:type="dxa"/>
            <w:vAlign w:val="center"/>
          </w:tcPr>
          <w:p w14:paraId="1650EC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56.83</w:t>
            </w:r>
          </w:p>
        </w:tc>
        <w:tc>
          <w:tcPr>
            <w:tcW w:w="1020" w:type="dxa"/>
            <w:vAlign w:val="center"/>
          </w:tcPr>
          <w:p w14:paraId="682E5A6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D3E9E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37.89</w:t>
            </w:r>
          </w:p>
        </w:tc>
        <w:tc>
          <w:tcPr>
            <w:tcW w:w="1205" w:type="dxa"/>
            <w:vAlign w:val="center"/>
          </w:tcPr>
          <w:p w14:paraId="669A873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5898F8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28.61</w:t>
            </w:r>
          </w:p>
        </w:tc>
        <w:tc>
          <w:tcPr>
            <w:tcW w:w="1102" w:type="dxa"/>
            <w:vAlign w:val="center"/>
          </w:tcPr>
          <w:p w14:paraId="5C9E766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0ADAEF7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40.88</w:t>
            </w:r>
          </w:p>
        </w:tc>
      </w:tr>
      <w:tr w14:paraId="7D53E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E77734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1309" w:type="dxa"/>
            <w:vAlign w:val="center"/>
          </w:tcPr>
          <w:p w14:paraId="0446E7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69DFF8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23EB02E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70B1DE3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680CDE7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66F30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28.06</w:t>
            </w:r>
          </w:p>
        </w:tc>
        <w:tc>
          <w:tcPr>
            <w:tcW w:w="1102" w:type="dxa"/>
            <w:vAlign w:val="center"/>
          </w:tcPr>
          <w:p w14:paraId="69417C2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5859587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40.08</w:t>
            </w:r>
          </w:p>
        </w:tc>
      </w:tr>
      <w:tr w14:paraId="6DEC9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A411EA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1309" w:type="dxa"/>
            <w:vAlign w:val="center"/>
          </w:tcPr>
          <w:p w14:paraId="38AD39D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2022/03/14 00:00</w:t>
            </w:r>
          </w:p>
        </w:tc>
        <w:tc>
          <w:tcPr>
            <w:tcW w:w="1018" w:type="dxa"/>
            <w:vAlign w:val="center"/>
          </w:tcPr>
          <w:p w14:paraId="05DB11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55.32</w:t>
            </w:r>
          </w:p>
        </w:tc>
        <w:tc>
          <w:tcPr>
            <w:tcW w:w="1020" w:type="dxa"/>
            <w:vAlign w:val="center"/>
          </w:tcPr>
          <w:p w14:paraId="5739997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38A0670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36.88</w:t>
            </w:r>
          </w:p>
        </w:tc>
        <w:tc>
          <w:tcPr>
            <w:tcW w:w="1205" w:type="dxa"/>
            <w:vAlign w:val="center"/>
          </w:tcPr>
          <w:p w14:paraId="51AB59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056C8EE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28.11</w:t>
            </w:r>
          </w:p>
        </w:tc>
        <w:tc>
          <w:tcPr>
            <w:tcW w:w="1102" w:type="dxa"/>
            <w:vAlign w:val="center"/>
          </w:tcPr>
          <w:p w14:paraId="048E25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58E77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40.15</w:t>
            </w:r>
          </w:p>
        </w:tc>
      </w:tr>
      <w:tr w14:paraId="633D8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35889A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1309" w:type="dxa"/>
            <w:vAlign w:val="center"/>
          </w:tcPr>
          <w:p w14:paraId="4332C7E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4FDAEC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56.00</w:t>
            </w:r>
          </w:p>
        </w:tc>
        <w:tc>
          <w:tcPr>
            <w:tcW w:w="1020" w:type="dxa"/>
            <w:vAlign w:val="center"/>
          </w:tcPr>
          <w:p w14:paraId="6925EDE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0840494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37.33</w:t>
            </w:r>
          </w:p>
        </w:tc>
        <w:tc>
          <w:tcPr>
            <w:tcW w:w="1205" w:type="dxa"/>
            <w:vAlign w:val="center"/>
          </w:tcPr>
          <w:p w14:paraId="5D7ABB2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0D5B54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28.50</w:t>
            </w:r>
          </w:p>
        </w:tc>
        <w:tc>
          <w:tcPr>
            <w:tcW w:w="1102" w:type="dxa"/>
            <w:vAlign w:val="center"/>
          </w:tcPr>
          <w:p w14:paraId="78816B4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601A27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40.72</w:t>
            </w:r>
          </w:p>
        </w:tc>
      </w:tr>
      <w:tr w14:paraId="2DF79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D2328D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1309" w:type="dxa"/>
            <w:vAlign w:val="center"/>
          </w:tcPr>
          <w:p w14:paraId="16E1AA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6E4C290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306F8E4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0D8313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33E976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EEFC5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28.16</w:t>
            </w:r>
          </w:p>
        </w:tc>
        <w:tc>
          <w:tcPr>
            <w:tcW w:w="1102" w:type="dxa"/>
            <w:vAlign w:val="center"/>
          </w:tcPr>
          <w:p w14:paraId="790C9D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6F344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40.22</w:t>
            </w:r>
          </w:p>
        </w:tc>
      </w:tr>
      <w:tr w14:paraId="7EE5E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D04D20">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1309" w:type="dxa"/>
            <w:vAlign w:val="center"/>
          </w:tcPr>
          <w:p w14:paraId="2606C91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4B2F98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55.67</w:t>
            </w:r>
          </w:p>
        </w:tc>
        <w:tc>
          <w:tcPr>
            <w:tcW w:w="1020" w:type="dxa"/>
            <w:vAlign w:val="center"/>
          </w:tcPr>
          <w:p w14:paraId="3967E5B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3E1A60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37.11</w:t>
            </w:r>
          </w:p>
        </w:tc>
        <w:tc>
          <w:tcPr>
            <w:tcW w:w="1205" w:type="dxa"/>
            <w:vAlign w:val="center"/>
          </w:tcPr>
          <w:p w14:paraId="5719F0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75BA0F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28.45</w:t>
            </w:r>
          </w:p>
        </w:tc>
        <w:tc>
          <w:tcPr>
            <w:tcW w:w="1102" w:type="dxa"/>
            <w:vAlign w:val="center"/>
          </w:tcPr>
          <w:p w14:paraId="361C21E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1B9A9D3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40.64</w:t>
            </w:r>
          </w:p>
        </w:tc>
      </w:tr>
      <w:tr w14:paraId="12EE8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2C96DC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1309" w:type="dxa"/>
            <w:vAlign w:val="center"/>
          </w:tcPr>
          <w:p w14:paraId="57B37B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1018" w:type="dxa"/>
            <w:vAlign w:val="center"/>
          </w:tcPr>
          <w:p w14:paraId="5A48EC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55.51</w:t>
            </w:r>
          </w:p>
        </w:tc>
        <w:tc>
          <w:tcPr>
            <w:tcW w:w="1020" w:type="dxa"/>
            <w:vAlign w:val="center"/>
          </w:tcPr>
          <w:p w14:paraId="6CA415D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B0DDBE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37.01</w:t>
            </w:r>
          </w:p>
        </w:tc>
        <w:tc>
          <w:tcPr>
            <w:tcW w:w="1205" w:type="dxa"/>
            <w:vAlign w:val="center"/>
          </w:tcPr>
          <w:p w14:paraId="2C2756B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660AAF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28.46</w:t>
            </w:r>
          </w:p>
        </w:tc>
        <w:tc>
          <w:tcPr>
            <w:tcW w:w="1102" w:type="dxa"/>
            <w:vAlign w:val="center"/>
          </w:tcPr>
          <w:p w14:paraId="15612EE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102CEA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40.66</w:t>
            </w:r>
          </w:p>
        </w:tc>
      </w:tr>
      <w:tr w14:paraId="561AD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942572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1309" w:type="dxa"/>
            <w:vAlign w:val="center"/>
          </w:tcPr>
          <w:p w14:paraId="0A362F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2022/12/29 00:00</w:t>
            </w:r>
          </w:p>
        </w:tc>
        <w:tc>
          <w:tcPr>
            <w:tcW w:w="1018" w:type="dxa"/>
            <w:vAlign w:val="center"/>
          </w:tcPr>
          <w:p w14:paraId="389D1A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55.21</w:t>
            </w:r>
          </w:p>
        </w:tc>
        <w:tc>
          <w:tcPr>
            <w:tcW w:w="1020" w:type="dxa"/>
            <w:vAlign w:val="center"/>
          </w:tcPr>
          <w:p w14:paraId="633E968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439D2C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36.81</w:t>
            </w:r>
          </w:p>
        </w:tc>
        <w:tc>
          <w:tcPr>
            <w:tcW w:w="1205" w:type="dxa"/>
            <w:vAlign w:val="center"/>
          </w:tcPr>
          <w:p w14:paraId="51311C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5AF742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28.23</w:t>
            </w:r>
          </w:p>
        </w:tc>
        <w:tc>
          <w:tcPr>
            <w:tcW w:w="1102" w:type="dxa"/>
            <w:vAlign w:val="center"/>
          </w:tcPr>
          <w:p w14:paraId="28CF3C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6B06739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40.33</w:t>
            </w:r>
          </w:p>
        </w:tc>
      </w:tr>
      <w:tr w14:paraId="07B98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D17A404">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1309" w:type="dxa"/>
            <w:vAlign w:val="center"/>
          </w:tcPr>
          <w:p w14:paraId="3903D0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2022/01/13 00:00</w:t>
            </w:r>
          </w:p>
        </w:tc>
        <w:tc>
          <w:tcPr>
            <w:tcW w:w="1018" w:type="dxa"/>
            <w:vAlign w:val="center"/>
          </w:tcPr>
          <w:p w14:paraId="274C0B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80.71</w:t>
            </w:r>
          </w:p>
        </w:tc>
        <w:tc>
          <w:tcPr>
            <w:tcW w:w="1020" w:type="dxa"/>
            <w:vAlign w:val="center"/>
          </w:tcPr>
          <w:p w14:paraId="662313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150.00</w:t>
            </w:r>
          </w:p>
        </w:tc>
        <w:tc>
          <w:tcPr>
            <w:tcW w:w="851" w:type="dxa"/>
            <w:vAlign w:val="center"/>
          </w:tcPr>
          <w:p w14:paraId="562C1D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 xml:space="preserve">53.81 </w:t>
            </w:r>
          </w:p>
        </w:tc>
        <w:tc>
          <w:tcPr>
            <w:tcW w:w="1205" w:type="dxa"/>
            <w:vAlign w:val="center"/>
          </w:tcPr>
          <w:p w14:paraId="536696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1043" w:type="dxa"/>
            <w:vAlign w:val="center"/>
          </w:tcPr>
          <w:p w14:paraId="2628B7A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39.39</w:t>
            </w:r>
          </w:p>
        </w:tc>
        <w:tc>
          <w:tcPr>
            <w:tcW w:w="1102" w:type="dxa"/>
            <w:vAlign w:val="center"/>
          </w:tcPr>
          <w:p w14:paraId="54A2C69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70.00</w:t>
            </w:r>
          </w:p>
        </w:tc>
        <w:tc>
          <w:tcPr>
            <w:tcW w:w="818" w:type="dxa"/>
            <w:vAlign w:val="center"/>
          </w:tcPr>
          <w:p w14:paraId="270611F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 xml:space="preserve">56.28 </w:t>
            </w:r>
          </w:p>
        </w:tc>
      </w:tr>
    </w:tbl>
    <w:p w14:paraId="2CE457F3">
      <w:pPr>
        <w:ind w:firstLine="482"/>
        <w:jc w:val="center"/>
        <w:rPr>
          <w:rFonts w:hAnsi="Times New Roman"/>
          <w:b/>
          <w:color w:val="auto"/>
          <w:highlight w:val="none"/>
          <w:u w:val="none"/>
        </w:rPr>
      </w:pPr>
    </w:p>
    <w:p w14:paraId="067FB8F1">
      <w:pPr>
        <w:ind w:firstLine="482"/>
        <w:jc w:val="center"/>
        <w:rPr>
          <w:rFonts w:hAnsi="Times New Roman"/>
          <w:b/>
          <w:color w:val="auto"/>
          <w:highlight w:val="none"/>
          <w:u w:val="none"/>
        </w:rPr>
      </w:pPr>
      <w:bookmarkStart w:id="489" w:name="_Ref188397002"/>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fldChar w:fldCharType="begin"/>
      </w:r>
      <w:r>
        <w:rPr>
          <w:rFonts w:hAnsi="Times New Roman"/>
          <w:b/>
          <w:color w:val="auto"/>
          <w:highlight w:val="none"/>
          <w:u w:val="none"/>
        </w:rPr>
        <w:instrText xml:space="preserve"> SEQ 表 \* ARABIC \s 2 </w:instrText>
      </w:r>
      <w:r>
        <w:rPr>
          <w:rFonts w:hAnsi="Times New Roman"/>
          <w:b/>
          <w:color w:val="auto"/>
          <w:highlight w:val="none"/>
          <w:u w:val="none"/>
        </w:rPr>
        <w:fldChar w:fldCharType="separate"/>
      </w:r>
      <w:r>
        <w:rPr>
          <w:rFonts w:hAnsi="Times New Roman"/>
          <w:b/>
          <w:color w:val="auto"/>
          <w:highlight w:val="none"/>
          <w:u w:val="none"/>
        </w:rPr>
        <w:t>33</w:t>
      </w:r>
      <w:r>
        <w:rPr>
          <w:rFonts w:hAnsi="Times New Roman"/>
          <w:b/>
          <w:color w:val="auto"/>
          <w:highlight w:val="none"/>
          <w:u w:val="none"/>
        </w:rPr>
        <w:fldChar w:fldCharType="end"/>
      </w:r>
      <w:bookmarkEnd w:id="489"/>
      <w:r>
        <w:rPr>
          <w:rFonts w:hAnsi="Times New Roman"/>
          <w:b/>
          <w:color w:val="auto"/>
          <w:highlight w:val="none"/>
          <w:u w:val="none"/>
        </w:rPr>
        <w:t xml:space="preserve">  项目建成后</w:t>
      </w:r>
      <w:r>
        <w:rPr>
          <w:rFonts w:hint="eastAsia" w:hAnsi="Times New Roman"/>
          <w:b/>
          <w:color w:val="auto"/>
          <w:highlight w:val="none"/>
          <w:u w:val="none"/>
        </w:rPr>
        <w:t>PM</w:t>
      </w:r>
      <w:r>
        <w:rPr>
          <w:rFonts w:hint="eastAsia" w:hAnsi="Times New Roman"/>
          <w:b/>
          <w:color w:val="auto"/>
          <w:highlight w:val="none"/>
          <w:u w:val="none"/>
          <w:vertAlign w:val="subscript"/>
        </w:rPr>
        <w:t>2.5</w:t>
      </w:r>
      <w:r>
        <w:rPr>
          <w:rFonts w:hAnsi="Times New Roman"/>
          <w:b/>
          <w:color w:val="auto"/>
          <w:highlight w:val="none"/>
          <w:u w:val="none"/>
        </w:rPr>
        <w:t>叠加预测值一览表</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9"/>
        <w:gridCol w:w="1309"/>
        <w:gridCol w:w="1018"/>
        <w:gridCol w:w="1020"/>
        <w:gridCol w:w="851"/>
        <w:gridCol w:w="1205"/>
        <w:gridCol w:w="1043"/>
        <w:gridCol w:w="1102"/>
        <w:gridCol w:w="818"/>
      </w:tblGrid>
      <w:tr w14:paraId="23EE2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restart"/>
            <w:vAlign w:val="center"/>
          </w:tcPr>
          <w:p w14:paraId="72F534E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名称</w:t>
            </w:r>
          </w:p>
        </w:tc>
        <w:tc>
          <w:tcPr>
            <w:tcW w:w="2206" w:type="pct"/>
            <w:gridSpan w:val="4"/>
            <w:vAlign w:val="center"/>
          </w:tcPr>
          <w:p w14:paraId="7183F1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 xml:space="preserve">2.5  </w:t>
            </w:r>
            <w:r>
              <w:rPr>
                <w:rFonts w:hint="eastAsia" w:hAnsi="Times New Roman"/>
                <w:color w:val="auto"/>
                <w:sz w:val="21"/>
                <w:szCs w:val="21"/>
                <w:highlight w:val="none"/>
                <w:u w:val="none"/>
              </w:rPr>
              <w:t>95%保证率日均值</w:t>
            </w:r>
          </w:p>
        </w:tc>
        <w:tc>
          <w:tcPr>
            <w:tcW w:w="2190" w:type="pct"/>
            <w:gridSpan w:val="4"/>
            <w:vAlign w:val="center"/>
          </w:tcPr>
          <w:p w14:paraId="748BCD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w:t>
            </w:r>
            <w:r>
              <w:rPr>
                <w:rFonts w:hint="eastAsia" w:hAnsi="Times New Roman"/>
                <w:color w:val="auto"/>
                <w:sz w:val="21"/>
                <w:szCs w:val="21"/>
                <w:highlight w:val="none"/>
                <w:u w:val="none"/>
                <w:vertAlign w:val="subscript"/>
              </w:rPr>
              <w:t>2.5</w:t>
            </w:r>
            <w:r>
              <w:rPr>
                <w:rFonts w:hint="eastAsia" w:hAnsi="Times New Roman"/>
                <w:color w:val="auto"/>
                <w:sz w:val="21"/>
                <w:szCs w:val="21"/>
                <w:highlight w:val="none"/>
                <w:u w:val="none"/>
              </w:rPr>
              <w:t>年均浓度</w:t>
            </w:r>
          </w:p>
        </w:tc>
      </w:tr>
      <w:tr w14:paraId="372C6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blHeader/>
        </w:trPr>
        <w:tc>
          <w:tcPr>
            <w:tcW w:w="604" w:type="pct"/>
            <w:vMerge w:val="continue"/>
            <w:vAlign w:val="center"/>
          </w:tcPr>
          <w:p w14:paraId="498286C4">
            <w:pPr>
              <w:spacing w:line="240" w:lineRule="auto"/>
              <w:ind w:firstLine="0" w:firstLineChars="0"/>
              <w:jc w:val="center"/>
              <w:rPr>
                <w:rFonts w:hAnsi="Times New Roman"/>
                <w:color w:val="auto"/>
                <w:sz w:val="21"/>
                <w:szCs w:val="21"/>
                <w:highlight w:val="none"/>
                <w:u w:val="none"/>
              </w:rPr>
            </w:pPr>
          </w:p>
        </w:tc>
        <w:tc>
          <w:tcPr>
            <w:tcW w:w="688" w:type="pct"/>
            <w:vAlign w:val="center"/>
          </w:tcPr>
          <w:p w14:paraId="68F7420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35" w:type="pct"/>
            <w:vAlign w:val="center"/>
          </w:tcPr>
          <w:p w14:paraId="549E63B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36" w:type="pct"/>
            <w:vAlign w:val="center"/>
          </w:tcPr>
          <w:p w14:paraId="68C35FA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47" w:type="pct"/>
            <w:vAlign w:val="center"/>
          </w:tcPr>
          <w:p w14:paraId="6D2737C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c>
          <w:tcPr>
            <w:tcW w:w="633" w:type="pct"/>
            <w:vAlign w:val="center"/>
          </w:tcPr>
          <w:p w14:paraId="2400AE0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出现时间</w:t>
            </w:r>
          </w:p>
        </w:tc>
        <w:tc>
          <w:tcPr>
            <w:tcW w:w="548" w:type="pct"/>
            <w:vAlign w:val="center"/>
          </w:tcPr>
          <w:p w14:paraId="27E33B3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579" w:type="pct"/>
            <w:vAlign w:val="center"/>
          </w:tcPr>
          <w:p w14:paraId="2594E88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标准值(μg/m</w:t>
            </w:r>
            <w:r>
              <w:rPr>
                <w:rFonts w:hAnsi="Times New Roman"/>
                <w:color w:val="auto"/>
                <w:sz w:val="21"/>
                <w:szCs w:val="21"/>
                <w:highlight w:val="none"/>
                <w:u w:val="none"/>
                <w:vertAlign w:val="superscript"/>
              </w:rPr>
              <w:t>3</w:t>
            </w:r>
            <w:r>
              <w:rPr>
                <w:rFonts w:hAnsi="Times New Roman"/>
                <w:color w:val="auto"/>
                <w:sz w:val="21"/>
                <w:szCs w:val="21"/>
                <w:highlight w:val="none"/>
                <w:u w:val="none"/>
              </w:rPr>
              <w:t>)</w:t>
            </w:r>
          </w:p>
        </w:tc>
        <w:tc>
          <w:tcPr>
            <w:tcW w:w="430" w:type="pct"/>
            <w:vAlign w:val="center"/>
          </w:tcPr>
          <w:p w14:paraId="3307D94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占标率(%)</w:t>
            </w:r>
          </w:p>
        </w:tc>
      </w:tr>
      <w:tr w14:paraId="40453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CA496A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新厝镇</w:t>
            </w:r>
          </w:p>
        </w:tc>
        <w:tc>
          <w:tcPr>
            <w:tcW w:w="688" w:type="pct"/>
            <w:vAlign w:val="center"/>
          </w:tcPr>
          <w:p w14:paraId="07F8046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6B76F6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03095B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2DA53D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6AF195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FE6B2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627004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4E8057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45.36</w:t>
            </w:r>
          </w:p>
        </w:tc>
      </w:tr>
      <w:tr w14:paraId="6909B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97D0833">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上后村（莆田）</w:t>
            </w:r>
          </w:p>
        </w:tc>
        <w:tc>
          <w:tcPr>
            <w:tcW w:w="688" w:type="pct"/>
            <w:vAlign w:val="center"/>
          </w:tcPr>
          <w:p w14:paraId="39F98C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06E376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582353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F78813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74A2D0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002108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15.86</w:t>
            </w:r>
          </w:p>
        </w:tc>
        <w:tc>
          <w:tcPr>
            <w:tcW w:w="579" w:type="pct"/>
            <w:vAlign w:val="center"/>
          </w:tcPr>
          <w:p w14:paraId="6CA604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AF0414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45.31</w:t>
            </w:r>
          </w:p>
        </w:tc>
      </w:tr>
      <w:tr w14:paraId="2774A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988A3B4">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莆江村（莆田）</w:t>
            </w:r>
          </w:p>
        </w:tc>
        <w:tc>
          <w:tcPr>
            <w:tcW w:w="688" w:type="pct"/>
            <w:vAlign w:val="center"/>
          </w:tcPr>
          <w:p w14:paraId="152D67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129D88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2798A4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77198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43B63DA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CEB8B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15.86</w:t>
            </w:r>
          </w:p>
        </w:tc>
        <w:tc>
          <w:tcPr>
            <w:tcW w:w="579" w:type="pct"/>
            <w:vAlign w:val="center"/>
          </w:tcPr>
          <w:p w14:paraId="297125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73EF59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45.31</w:t>
            </w:r>
          </w:p>
        </w:tc>
      </w:tr>
      <w:tr w14:paraId="0B8CC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552175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峰头村</w:t>
            </w:r>
          </w:p>
        </w:tc>
        <w:tc>
          <w:tcPr>
            <w:tcW w:w="688" w:type="pct"/>
            <w:vAlign w:val="center"/>
          </w:tcPr>
          <w:p w14:paraId="359773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3C79F8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33.64</w:t>
            </w:r>
          </w:p>
        </w:tc>
        <w:tc>
          <w:tcPr>
            <w:tcW w:w="536" w:type="pct"/>
            <w:vAlign w:val="center"/>
          </w:tcPr>
          <w:p w14:paraId="1CD1E3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CBAC2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44.85</w:t>
            </w:r>
          </w:p>
        </w:tc>
        <w:tc>
          <w:tcPr>
            <w:tcW w:w="633" w:type="pct"/>
            <w:vAlign w:val="center"/>
          </w:tcPr>
          <w:p w14:paraId="788C940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59263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1F455F8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A9C11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66E6B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1C2F5B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漆林村</w:t>
            </w:r>
          </w:p>
        </w:tc>
        <w:tc>
          <w:tcPr>
            <w:tcW w:w="688" w:type="pct"/>
            <w:vAlign w:val="center"/>
          </w:tcPr>
          <w:p w14:paraId="0556CB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459D983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4D31F3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04DA7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774146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D70005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54EE219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EC3878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45.36</w:t>
            </w:r>
          </w:p>
        </w:tc>
      </w:tr>
      <w:tr w14:paraId="290FB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02FEE0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大东村（莆田）</w:t>
            </w:r>
          </w:p>
        </w:tc>
        <w:tc>
          <w:tcPr>
            <w:tcW w:w="688" w:type="pct"/>
            <w:vAlign w:val="center"/>
          </w:tcPr>
          <w:p w14:paraId="3F8873A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3E7C74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09C3B26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D3480D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0396B3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35E13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15.86</w:t>
            </w:r>
          </w:p>
        </w:tc>
        <w:tc>
          <w:tcPr>
            <w:tcW w:w="579" w:type="pct"/>
            <w:vAlign w:val="center"/>
          </w:tcPr>
          <w:p w14:paraId="385C519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A6DEBE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w:t>
            </w:r>
          </w:p>
        </w:tc>
      </w:tr>
      <w:tr w14:paraId="1D878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615335C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霞埔村</w:t>
            </w:r>
          </w:p>
        </w:tc>
        <w:tc>
          <w:tcPr>
            <w:tcW w:w="688" w:type="pct"/>
            <w:vAlign w:val="center"/>
          </w:tcPr>
          <w:p w14:paraId="72E3054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04991C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33.54</w:t>
            </w:r>
          </w:p>
        </w:tc>
        <w:tc>
          <w:tcPr>
            <w:tcW w:w="536" w:type="pct"/>
            <w:vAlign w:val="center"/>
          </w:tcPr>
          <w:p w14:paraId="3F46E7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31CDA3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44.72</w:t>
            </w:r>
          </w:p>
        </w:tc>
        <w:tc>
          <w:tcPr>
            <w:tcW w:w="633" w:type="pct"/>
            <w:vAlign w:val="center"/>
          </w:tcPr>
          <w:p w14:paraId="48948D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3E8C77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15.89</w:t>
            </w:r>
          </w:p>
        </w:tc>
        <w:tc>
          <w:tcPr>
            <w:tcW w:w="579" w:type="pct"/>
            <w:vAlign w:val="center"/>
          </w:tcPr>
          <w:p w14:paraId="20CBE70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DC522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45.41</w:t>
            </w:r>
          </w:p>
        </w:tc>
      </w:tr>
      <w:tr w14:paraId="2206E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2B5CEC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芝山</w:t>
            </w:r>
          </w:p>
        </w:tc>
        <w:tc>
          <w:tcPr>
            <w:tcW w:w="688" w:type="pct"/>
            <w:vAlign w:val="center"/>
          </w:tcPr>
          <w:p w14:paraId="2538208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535" w:type="pct"/>
            <w:vAlign w:val="center"/>
          </w:tcPr>
          <w:p w14:paraId="19A2D6F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34.46</w:t>
            </w:r>
          </w:p>
        </w:tc>
        <w:tc>
          <w:tcPr>
            <w:tcW w:w="536" w:type="pct"/>
            <w:vAlign w:val="center"/>
          </w:tcPr>
          <w:p w14:paraId="03B74C8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B68D4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45.95</w:t>
            </w:r>
          </w:p>
        </w:tc>
        <w:tc>
          <w:tcPr>
            <w:tcW w:w="633" w:type="pct"/>
            <w:vAlign w:val="center"/>
          </w:tcPr>
          <w:p w14:paraId="7CFD7EA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D10A8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16.18</w:t>
            </w:r>
          </w:p>
        </w:tc>
        <w:tc>
          <w:tcPr>
            <w:tcW w:w="579" w:type="pct"/>
            <w:vAlign w:val="center"/>
          </w:tcPr>
          <w:p w14:paraId="70AC3A8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14DB7E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46.22</w:t>
            </w:r>
          </w:p>
        </w:tc>
      </w:tr>
      <w:tr w14:paraId="72F12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B80223E">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高局</w:t>
            </w:r>
          </w:p>
        </w:tc>
        <w:tc>
          <w:tcPr>
            <w:tcW w:w="688" w:type="pct"/>
            <w:vAlign w:val="center"/>
          </w:tcPr>
          <w:p w14:paraId="16D0CD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0165F0B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34.39</w:t>
            </w:r>
          </w:p>
        </w:tc>
        <w:tc>
          <w:tcPr>
            <w:tcW w:w="536" w:type="pct"/>
            <w:vAlign w:val="center"/>
          </w:tcPr>
          <w:p w14:paraId="04F9E92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807307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45.86</w:t>
            </w:r>
          </w:p>
        </w:tc>
        <w:tc>
          <w:tcPr>
            <w:tcW w:w="633" w:type="pct"/>
            <w:vAlign w:val="center"/>
          </w:tcPr>
          <w:p w14:paraId="101CAB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190DB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16.25</w:t>
            </w:r>
          </w:p>
        </w:tc>
        <w:tc>
          <w:tcPr>
            <w:tcW w:w="579" w:type="pct"/>
            <w:vAlign w:val="center"/>
          </w:tcPr>
          <w:p w14:paraId="23BD542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32E7B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46.44</w:t>
            </w:r>
          </w:p>
        </w:tc>
      </w:tr>
      <w:tr w14:paraId="36DC3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7A25BB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西山</w:t>
            </w:r>
          </w:p>
        </w:tc>
        <w:tc>
          <w:tcPr>
            <w:tcW w:w="688" w:type="pct"/>
            <w:vAlign w:val="center"/>
          </w:tcPr>
          <w:p w14:paraId="1EEADDC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0BBDB9F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34.39</w:t>
            </w:r>
          </w:p>
        </w:tc>
        <w:tc>
          <w:tcPr>
            <w:tcW w:w="536" w:type="pct"/>
            <w:vAlign w:val="center"/>
          </w:tcPr>
          <w:p w14:paraId="1907882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333BDC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45.86</w:t>
            </w:r>
          </w:p>
        </w:tc>
        <w:tc>
          <w:tcPr>
            <w:tcW w:w="633" w:type="pct"/>
            <w:vAlign w:val="center"/>
          </w:tcPr>
          <w:p w14:paraId="0D361D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A0B764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16.10</w:t>
            </w:r>
          </w:p>
        </w:tc>
        <w:tc>
          <w:tcPr>
            <w:tcW w:w="579" w:type="pct"/>
            <w:vAlign w:val="center"/>
          </w:tcPr>
          <w:p w14:paraId="07DDEF1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FBCB7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46.01</w:t>
            </w:r>
          </w:p>
        </w:tc>
      </w:tr>
      <w:tr w14:paraId="18464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689A8A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东井村</w:t>
            </w:r>
          </w:p>
        </w:tc>
        <w:tc>
          <w:tcPr>
            <w:tcW w:w="688" w:type="pct"/>
            <w:vAlign w:val="center"/>
          </w:tcPr>
          <w:p w14:paraId="1C89144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066C9B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34.18</w:t>
            </w:r>
          </w:p>
        </w:tc>
        <w:tc>
          <w:tcPr>
            <w:tcW w:w="536" w:type="pct"/>
            <w:vAlign w:val="center"/>
          </w:tcPr>
          <w:p w14:paraId="46B5CDA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DC079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45.57</w:t>
            </w:r>
          </w:p>
        </w:tc>
        <w:tc>
          <w:tcPr>
            <w:tcW w:w="633" w:type="pct"/>
            <w:vAlign w:val="center"/>
          </w:tcPr>
          <w:p w14:paraId="25CA4E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11656A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16.11</w:t>
            </w:r>
          </w:p>
        </w:tc>
        <w:tc>
          <w:tcPr>
            <w:tcW w:w="579" w:type="pct"/>
            <w:vAlign w:val="center"/>
          </w:tcPr>
          <w:p w14:paraId="06D0B4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1B7ED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46.03</w:t>
            </w:r>
          </w:p>
        </w:tc>
      </w:tr>
      <w:tr w14:paraId="04F6E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B070A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沾泽村</w:t>
            </w:r>
          </w:p>
        </w:tc>
        <w:tc>
          <w:tcPr>
            <w:tcW w:w="688" w:type="pct"/>
            <w:vAlign w:val="center"/>
          </w:tcPr>
          <w:p w14:paraId="45613FF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7563E5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34.13</w:t>
            </w:r>
          </w:p>
        </w:tc>
        <w:tc>
          <w:tcPr>
            <w:tcW w:w="536" w:type="pct"/>
            <w:vAlign w:val="center"/>
          </w:tcPr>
          <w:p w14:paraId="5EDC2F5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6C6A57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45.51</w:t>
            </w:r>
          </w:p>
        </w:tc>
        <w:tc>
          <w:tcPr>
            <w:tcW w:w="633" w:type="pct"/>
            <w:vAlign w:val="center"/>
          </w:tcPr>
          <w:p w14:paraId="5AD90C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6C9AEA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15.92</w:t>
            </w:r>
          </w:p>
        </w:tc>
        <w:tc>
          <w:tcPr>
            <w:tcW w:w="579" w:type="pct"/>
            <w:vAlign w:val="center"/>
          </w:tcPr>
          <w:p w14:paraId="403723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39EB9E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45.49</w:t>
            </w:r>
          </w:p>
        </w:tc>
      </w:tr>
      <w:tr w14:paraId="26114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807FAA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南曹村</w:t>
            </w:r>
          </w:p>
        </w:tc>
        <w:tc>
          <w:tcPr>
            <w:tcW w:w="688" w:type="pct"/>
            <w:vAlign w:val="center"/>
          </w:tcPr>
          <w:p w14:paraId="2146BA3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535" w:type="pct"/>
            <w:vAlign w:val="center"/>
          </w:tcPr>
          <w:p w14:paraId="376307A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34.46</w:t>
            </w:r>
          </w:p>
        </w:tc>
        <w:tc>
          <w:tcPr>
            <w:tcW w:w="536" w:type="pct"/>
            <w:vAlign w:val="center"/>
          </w:tcPr>
          <w:p w14:paraId="14C6FA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B5219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45.95</w:t>
            </w:r>
          </w:p>
        </w:tc>
        <w:tc>
          <w:tcPr>
            <w:tcW w:w="633" w:type="pct"/>
            <w:vAlign w:val="center"/>
          </w:tcPr>
          <w:p w14:paraId="033E4C6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FF0662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16.26</w:t>
            </w:r>
          </w:p>
        </w:tc>
        <w:tc>
          <w:tcPr>
            <w:tcW w:w="579" w:type="pct"/>
            <w:vAlign w:val="center"/>
          </w:tcPr>
          <w:p w14:paraId="7E5ED8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34998B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46.46</w:t>
            </w:r>
          </w:p>
        </w:tc>
      </w:tr>
      <w:tr w14:paraId="32245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FCD80A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东江水厂</w:t>
            </w:r>
          </w:p>
        </w:tc>
        <w:tc>
          <w:tcPr>
            <w:tcW w:w="688" w:type="pct"/>
            <w:vAlign w:val="center"/>
          </w:tcPr>
          <w:p w14:paraId="51A63A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2022/04/20 00:00</w:t>
            </w:r>
          </w:p>
        </w:tc>
        <w:tc>
          <w:tcPr>
            <w:tcW w:w="535" w:type="pct"/>
            <w:vAlign w:val="center"/>
          </w:tcPr>
          <w:p w14:paraId="3BF3FA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34.46</w:t>
            </w:r>
          </w:p>
        </w:tc>
        <w:tc>
          <w:tcPr>
            <w:tcW w:w="536" w:type="pct"/>
            <w:vAlign w:val="center"/>
          </w:tcPr>
          <w:p w14:paraId="1741F99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C77A7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45.95</w:t>
            </w:r>
          </w:p>
        </w:tc>
        <w:tc>
          <w:tcPr>
            <w:tcW w:w="633" w:type="pct"/>
            <w:vAlign w:val="center"/>
          </w:tcPr>
          <w:p w14:paraId="1EC9F96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8DFC0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16.50</w:t>
            </w:r>
          </w:p>
        </w:tc>
        <w:tc>
          <w:tcPr>
            <w:tcW w:w="579" w:type="pct"/>
            <w:vAlign w:val="center"/>
          </w:tcPr>
          <w:p w14:paraId="52F7CF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DC763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47.14</w:t>
            </w:r>
          </w:p>
        </w:tc>
      </w:tr>
      <w:tr w14:paraId="42BF1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4BADBED">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东沃村</w:t>
            </w:r>
          </w:p>
        </w:tc>
        <w:tc>
          <w:tcPr>
            <w:tcW w:w="688" w:type="pct"/>
            <w:vAlign w:val="center"/>
          </w:tcPr>
          <w:p w14:paraId="3DCD95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522CDF3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33.97</w:t>
            </w:r>
          </w:p>
        </w:tc>
        <w:tc>
          <w:tcPr>
            <w:tcW w:w="536" w:type="pct"/>
            <w:vAlign w:val="center"/>
          </w:tcPr>
          <w:p w14:paraId="4E14DDA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D7CD2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45.29</w:t>
            </w:r>
          </w:p>
        </w:tc>
        <w:tc>
          <w:tcPr>
            <w:tcW w:w="633" w:type="pct"/>
            <w:vAlign w:val="center"/>
          </w:tcPr>
          <w:p w14:paraId="11293E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0D02576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15.91</w:t>
            </w:r>
          </w:p>
        </w:tc>
        <w:tc>
          <w:tcPr>
            <w:tcW w:w="579" w:type="pct"/>
            <w:vAlign w:val="center"/>
          </w:tcPr>
          <w:p w14:paraId="04EDDC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76D0F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45.46</w:t>
            </w:r>
          </w:p>
        </w:tc>
      </w:tr>
      <w:tr w14:paraId="3B40B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AE681D2">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潘厝村</w:t>
            </w:r>
          </w:p>
        </w:tc>
        <w:tc>
          <w:tcPr>
            <w:tcW w:w="688" w:type="pct"/>
            <w:vAlign w:val="center"/>
          </w:tcPr>
          <w:p w14:paraId="48D2CB8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641851B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34.17</w:t>
            </w:r>
          </w:p>
        </w:tc>
        <w:tc>
          <w:tcPr>
            <w:tcW w:w="536" w:type="pct"/>
            <w:vAlign w:val="center"/>
          </w:tcPr>
          <w:p w14:paraId="2E9766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1A3F3D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45.56</w:t>
            </w:r>
          </w:p>
        </w:tc>
        <w:tc>
          <w:tcPr>
            <w:tcW w:w="633" w:type="pct"/>
            <w:vAlign w:val="center"/>
          </w:tcPr>
          <w:p w14:paraId="4859CB6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3C6A0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16.08</w:t>
            </w:r>
          </w:p>
        </w:tc>
        <w:tc>
          <w:tcPr>
            <w:tcW w:w="579" w:type="pct"/>
            <w:vAlign w:val="center"/>
          </w:tcPr>
          <w:p w14:paraId="0AC3278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4E8105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45.95</w:t>
            </w:r>
          </w:p>
        </w:tc>
      </w:tr>
      <w:tr w14:paraId="5CE5E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3EB41B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何厝村</w:t>
            </w:r>
          </w:p>
        </w:tc>
        <w:tc>
          <w:tcPr>
            <w:tcW w:w="688" w:type="pct"/>
            <w:vAlign w:val="center"/>
          </w:tcPr>
          <w:p w14:paraId="5C53A6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55E9CFC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33.70</w:t>
            </w:r>
          </w:p>
        </w:tc>
        <w:tc>
          <w:tcPr>
            <w:tcW w:w="536" w:type="pct"/>
            <w:vAlign w:val="center"/>
          </w:tcPr>
          <w:p w14:paraId="5F319C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70E45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44.94</w:t>
            </w:r>
          </w:p>
        </w:tc>
        <w:tc>
          <w:tcPr>
            <w:tcW w:w="633" w:type="pct"/>
            <w:vAlign w:val="center"/>
          </w:tcPr>
          <w:p w14:paraId="0BBCB5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4F7BB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15.91</w:t>
            </w:r>
          </w:p>
        </w:tc>
        <w:tc>
          <w:tcPr>
            <w:tcW w:w="579" w:type="pct"/>
            <w:vAlign w:val="center"/>
          </w:tcPr>
          <w:p w14:paraId="0EE1A9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6DB72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45.44</w:t>
            </w:r>
          </w:p>
        </w:tc>
      </w:tr>
      <w:tr w14:paraId="6110A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5E826DB">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田头村</w:t>
            </w:r>
          </w:p>
        </w:tc>
        <w:tc>
          <w:tcPr>
            <w:tcW w:w="688" w:type="pct"/>
            <w:vAlign w:val="center"/>
          </w:tcPr>
          <w:p w14:paraId="47B247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585E70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33.75</w:t>
            </w:r>
          </w:p>
        </w:tc>
        <w:tc>
          <w:tcPr>
            <w:tcW w:w="536" w:type="pct"/>
            <w:vAlign w:val="center"/>
          </w:tcPr>
          <w:p w14:paraId="1B48CE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ADD539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45.01</w:t>
            </w:r>
          </w:p>
        </w:tc>
        <w:tc>
          <w:tcPr>
            <w:tcW w:w="633" w:type="pct"/>
            <w:vAlign w:val="center"/>
          </w:tcPr>
          <w:p w14:paraId="3A9E09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4841B8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7F95C02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540D62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15F09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7A622419">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下堡村</w:t>
            </w:r>
          </w:p>
        </w:tc>
        <w:tc>
          <w:tcPr>
            <w:tcW w:w="688" w:type="pct"/>
            <w:vAlign w:val="center"/>
          </w:tcPr>
          <w:p w14:paraId="7D327C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0F50B49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33.60</w:t>
            </w:r>
          </w:p>
        </w:tc>
        <w:tc>
          <w:tcPr>
            <w:tcW w:w="536" w:type="pct"/>
            <w:vAlign w:val="center"/>
          </w:tcPr>
          <w:p w14:paraId="6BCEF1D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3D2149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44.80</w:t>
            </w:r>
          </w:p>
        </w:tc>
        <w:tc>
          <w:tcPr>
            <w:tcW w:w="633" w:type="pct"/>
            <w:vAlign w:val="center"/>
          </w:tcPr>
          <w:p w14:paraId="792BCB0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1C39A6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5E0E2A5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51932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2C4EA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F5C5EA6">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下石村</w:t>
            </w:r>
          </w:p>
        </w:tc>
        <w:tc>
          <w:tcPr>
            <w:tcW w:w="688" w:type="pct"/>
            <w:vAlign w:val="center"/>
          </w:tcPr>
          <w:p w14:paraId="1A86B41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2A37D6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33.93</w:t>
            </w:r>
          </w:p>
        </w:tc>
        <w:tc>
          <w:tcPr>
            <w:tcW w:w="536" w:type="pct"/>
            <w:vAlign w:val="center"/>
          </w:tcPr>
          <w:p w14:paraId="47203C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AA47E1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45.24</w:t>
            </w:r>
          </w:p>
        </w:tc>
        <w:tc>
          <w:tcPr>
            <w:tcW w:w="633" w:type="pct"/>
            <w:vAlign w:val="center"/>
          </w:tcPr>
          <w:p w14:paraId="51B2DA3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8F0A55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15.90</w:t>
            </w:r>
          </w:p>
        </w:tc>
        <w:tc>
          <w:tcPr>
            <w:tcW w:w="579" w:type="pct"/>
            <w:vAlign w:val="center"/>
          </w:tcPr>
          <w:p w14:paraId="5D746CF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9C1AE8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45.43</w:t>
            </w:r>
          </w:p>
        </w:tc>
      </w:tr>
      <w:tr w14:paraId="5FEFD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39312A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江阴镇</w:t>
            </w:r>
          </w:p>
        </w:tc>
        <w:tc>
          <w:tcPr>
            <w:tcW w:w="688" w:type="pct"/>
            <w:vAlign w:val="center"/>
          </w:tcPr>
          <w:p w14:paraId="6AA8E5D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342CBFA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33.72</w:t>
            </w:r>
          </w:p>
        </w:tc>
        <w:tc>
          <w:tcPr>
            <w:tcW w:w="536" w:type="pct"/>
            <w:vAlign w:val="center"/>
          </w:tcPr>
          <w:p w14:paraId="034459C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23DB89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44.96</w:t>
            </w:r>
          </w:p>
        </w:tc>
        <w:tc>
          <w:tcPr>
            <w:tcW w:w="633" w:type="pct"/>
            <w:vAlign w:val="center"/>
          </w:tcPr>
          <w:p w14:paraId="29AD87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D3D53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7F4450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4769E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2A93E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3D689DF">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后林</w:t>
            </w:r>
          </w:p>
        </w:tc>
        <w:tc>
          <w:tcPr>
            <w:tcW w:w="688" w:type="pct"/>
            <w:vAlign w:val="center"/>
          </w:tcPr>
          <w:p w14:paraId="2EB35EF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2022/04/13 00:00</w:t>
            </w:r>
          </w:p>
        </w:tc>
        <w:tc>
          <w:tcPr>
            <w:tcW w:w="535" w:type="pct"/>
            <w:vAlign w:val="center"/>
          </w:tcPr>
          <w:p w14:paraId="1E4400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34.27</w:t>
            </w:r>
          </w:p>
        </w:tc>
        <w:tc>
          <w:tcPr>
            <w:tcW w:w="536" w:type="pct"/>
            <w:vAlign w:val="center"/>
          </w:tcPr>
          <w:p w14:paraId="38C506E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1F6501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45.69</w:t>
            </w:r>
          </w:p>
        </w:tc>
        <w:tc>
          <w:tcPr>
            <w:tcW w:w="633" w:type="pct"/>
            <w:vAlign w:val="center"/>
          </w:tcPr>
          <w:p w14:paraId="302FDD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4F1BBD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15.98</w:t>
            </w:r>
          </w:p>
        </w:tc>
        <w:tc>
          <w:tcPr>
            <w:tcW w:w="579" w:type="pct"/>
            <w:vAlign w:val="center"/>
          </w:tcPr>
          <w:p w14:paraId="62D6831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8955F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45.67</w:t>
            </w:r>
          </w:p>
        </w:tc>
      </w:tr>
      <w:tr w14:paraId="4A638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5B0C31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岭兜</w:t>
            </w:r>
          </w:p>
        </w:tc>
        <w:tc>
          <w:tcPr>
            <w:tcW w:w="688" w:type="pct"/>
            <w:vAlign w:val="center"/>
          </w:tcPr>
          <w:p w14:paraId="710D43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6FC79B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33.81</w:t>
            </w:r>
          </w:p>
        </w:tc>
        <w:tc>
          <w:tcPr>
            <w:tcW w:w="536" w:type="pct"/>
            <w:vAlign w:val="center"/>
          </w:tcPr>
          <w:p w14:paraId="60FDFB1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4457B5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45.07</w:t>
            </w:r>
          </w:p>
        </w:tc>
        <w:tc>
          <w:tcPr>
            <w:tcW w:w="633" w:type="pct"/>
            <w:vAlign w:val="center"/>
          </w:tcPr>
          <w:p w14:paraId="637564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8A54C6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15.96</w:t>
            </w:r>
          </w:p>
        </w:tc>
        <w:tc>
          <w:tcPr>
            <w:tcW w:w="579" w:type="pct"/>
            <w:vAlign w:val="center"/>
          </w:tcPr>
          <w:p w14:paraId="4B6155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7C550E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45.59</w:t>
            </w:r>
          </w:p>
        </w:tc>
      </w:tr>
      <w:tr w14:paraId="25888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2033938">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布厝</w:t>
            </w:r>
          </w:p>
        </w:tc>
        <w:tc>
          <w:tcPr>
            <w:tcW w:w="688" w:type="pct"/>
            <w:vAlign w:val="center"/>
          </w:tcPr>
          <w:p w14:paraId="280F83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528E5CF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33.84</w:t>
            </w:r>
          </w:p>
        </w:tc>
        <w:tc>
          <w:tcPr>
            <w:tcW w:w="536" w:type="pct"/>
            <w:vAlign w:val="center"/>
          </w:tcPr>
          <w:p w14:paraId="32B209B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B09181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45.12</w:t>
            </w:r>
          </w:p>
        </w:tc>
        <w:tc>
          <w:tcPr>
            <w:tcW w:w="633" w:type="pct"/>
            <w:vAlign w:val="center"/>
          </w:tcPr>
          <w:p w14:paraId="0CCA594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05C3F1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15.94</w:t>
            </w:r>
          </w:p>
        </w:tc>
        <w:tc>
          <w:tcPr>
            <w:tcW w:w="579" w:type="pct"/>
            <w:vAlign w:val="center"/>
          </w:tcPr>
          <w:p w14:paraId="764AF99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23A8A8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45.55</w:t>
            </w:r>
          </w:p>
        </w:tc>
      </w:tr>
      <w:tr w14:paraId="6CC30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DF21FEC">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西兰</w:t>
            </w:r>
          </w:p>
        </w:tc>
        <w:tc>
          <w:tcPr>
            <w:tcW w:w="688" w:type="pct"/>
            <w:vAlign w:val="center"/>
          </w:tcPr>
          <w:p w14:paraId="51FC135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37C3E42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33.99</w:t>
            </w:r>
          </w:p>
        </w:tc>
        <w:tc>
          <w:tcPr>
            <w:tcW w:w="536" w:type="pct"/>
            <w:vAlign w:val="center"/>
          </w:tcPr>
          <w:p w14:paraId="294D9A7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53980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45.32</w:t>
            </w:r>
          </w:p>
        </w:tc>
        <w:tc>
          <w:tcPr>
            <w:tcW w:w="633" w:type="pct"/>
            <w:vAlign w:val="center"/>
          </w:tcPr>
          <w:p w14:paraId="337775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12F80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15.93</w:t>
            </w:r>
          </w:p>
        </w:tc>
        <w:tc>
          <w:tcPr>
            <w:tcW w:w="579" w:type="pct"/>
            <w:vAlign w:val="center"/>
          </w:tcPr>
          <w:p w14:paraId="52386E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4628B8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w:t>
            </w:r>
          </w:p>
        </w:tc>
      </w:tr>
      <w:tr w14:paraId="21D78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8798A7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沙塘</w:t>
            </w:r>
          </w:p>
        </w:tc>
        <w:tc>
          <w:tcPr>
            <w:tcW w:w="688" w:type="pct"/>
            <w:vAlign w:val="center"/>
          </w:tcPr>
          <w:p w14:paraId="4BB4D6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2022/04/13 00:00</w:t>
            </w:r>
          </w:p>
        </w:tc>
        <w:tc>
          <w:tcPr>
            <w:tcW w:w="535" w:type="pct"/>
            <w:vAlign w:val="center"/>
          </w:tcPr>
          <w:p w14:paraId="3DDBC79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34.07</w:t>
            </w:r>
          </w:p>
        </w:tc>
        <w:tc>
          <w:tcPr>
            <w:tcW w:w="536" w:type="pct"/>
            <w:vAlign w:val="center"/>
          </w:tcPr>
          <w:p w14:paraId="6524C90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0E284C2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45.42</w:t>
            </w:r>
          </w:p>
        </w:tc>
        <w:tc>
          <w:tcPr>
            <w:tcW w:w="633" w:type="pct"/>
            <w:vAlign w:val="center"/>
          </w:tcPr>
          <w:p w14:paraId="13D314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089B02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15.93</w:t>
            </w:r>
          </w:p>
        </w:tc>
        <w:tc>
          <w:tcPr>
            <w:tcW w:w="579" w:type="pct"/>
            <w:vAlign w:val="center"/>
          </w:tcPr>
          <w:p w14:paraId="54EE441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A0D9B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w:t>
            </w:r>
          </w:p>
        </w:tc>
      </w:tr>
      <w:tr w14:paraId="47301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4F742FA">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张厝</w:t>
            </w:r>
          </w:p>
        </w:tc>
        <w:tc>
          <w:tcPr>
            <w:tcW w:w="688" w:type="pct"/>
            <w:vAlign w:val="center"/>
          </w:tcPr>
          <w:p w14:paraId="6EC2400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4B9EC8B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33.78</w:t>
            </w:r>
          </w:p>
        </w:tc>
        <w:tc>
          <w:tcPr>
            <w:tcW w:w="536" w:type="pct"/>
            <w:vAlign w:val="center"/>
          </w:tcPr>
          <w:p w14:paraId="76A75D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E1FC45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45.05</w:t>
            </w:r>
          </w:p>
        </w:tc>
        <w:tc>
          <w:tcPr>
            <w:tcW w:w="633" w:type="pct"/>
            <w:vAlign w:val="center"/>
          </w:tcPr>
          <w:p w14:paraId="52ADFCC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071D2C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12B4E5B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382F00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18B3E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39F3C21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钱塘</w:t>
            </w:r>
          </w:p>
        </w:tc>
        <w:tc>
          <w:tcPr>
            <w:tcW w:w="688" w:type="pct"/>
            <w:vAlign w:val="center"/>
          </w:tcPr>
          <w:p w14:paraId="4F0FC93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2022/04/11 00:00</w:t>
            </w:r>
          </w:p>
        </w:tc>
        <w:tc>
          <w:tcPr>
            <w:tcW w:w="535" w:type="pct"/>
            <w:vAlign w:val="center"/>
          </w:tcPr>
          <w:p w14:paraId="77CEA4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33.69</w:t>
            </w:r>
          </w:p>
        </w:tc>
        <w:tc>
          <w:tcPr>
            <w:tcW w:w="536" w:type="pct"/>
            <w:vAlign w:val="center"/>
          </w:tcPr>
          <w:p w14:paraId="4C6FBF5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5EB2D03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44.92</w:t>
            </w:r>
          </w:p>
        </w:tc>
        <w:tc>
          <w:tcPr>
            <w:tcW w:w="633" w:type="pct"/>
            <w:vAlign w:val="center"/>
          </w:tcPr>
          <w:p w14:paraId="4CC57FE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3FA795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15.88</w:t>
            </w:r>
          </w:p>
        </w:tc>
        <w:tc>
          <w:tcPr>
            <w:tcW w:w="579" w:type="pct"/>
            <w:vAlign w:val="center"/>
          </w:tcPr>
          <w:p w14:paraId="2004589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5C54E6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r>
      <w:tr w14:paraId="6D477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4BF8E51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07AF3C1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03AC4A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34.06</w:t>
            </w:r>
          </w:p>
        </w:tc>
        <w:tc>
          <w:tcPr>
            <w:tcW w:w="536" w:type="pct"/>
            <w:vAlign w:val="center"/>
          </w:tcPr>
          <w:p w14:paraId="63C7E4E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D8C846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45.42</w:t>
            </w:r>
          </w:p>
        </w:tc>
        <w:tc>
          <w:tcPr>
            <w:tcW w:w="633" w:type="pct"/>
            <w:vAlign w:val="center"/>
          </w:tcPr>
          <w:p w14:paraId="17623F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DA5978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16.12</w:t>
            </w:r>
          </w:p>
        </w:tc>
        <w:tc>
          <w:tcPr>
            <w:tcW w:w="579" w:type="pct"/>
            <w:vAlign w:val="center"/>
          </w:tcPr>
          <w:p w14:paraId="44C92CC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53D88D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46.05</w:t>
            </w:r>
          </w:p>
        </w:tc>
      </w:tr>
      <w:tr w14:paraId="69BE9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8452F2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垄北</w:t>
            </w:r>
          </w:p>
        </w:tc>
        <w:tc>
          <w:tcPr>
            <w:tcW w:w="688" w:type="pct"/>
            <w:vAlign w:val="center"/>
          </w:tcPr>
          <w:p w14:paraId="0CFB164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5AD6700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34.22</w:t>
            </w:r>
          </w:p>
        </w:tc>
        <w:tc>
          <w:tcPr>
            <w:tcW w:w="536" w:type="pct"/>
            <w:vAlign w:val="center"/>
          </w:tcPr>
          <w:p w14:paraId="1628239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07C7C3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45.62</w:t>
            </w:r>
          </w:p>
        </w:tc>
        <w:tc>
          <w:tcPr>
            <w:tcW w:w="633" w:type="pct"/>
            <w:vAlign w:val="center"/>
          </w:tcPr>
          <w:p w14:paraId="314C7CD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567ABDD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16.14</w:t>
            </w:r>
          </w:p>
        </w:tc>
        <w:tc>
          <w:tcPr>
            <w:tcW w:w="579" w:type="pct"/>
            <w:vAlign w:val="center"/>
          </w:tcPr>
          <w:p w14:paraId="3C616CC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3BF53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46.12</w:t>
            </w:r>
          </w:p>
        </w:tc>
      </w:tr>
      <w:tr w14:paraId="6BC30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A15EE1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赤厝村</w:t>
            </w:r>
          </w:p>
        </w:tc>
        <w:tc>
          <w:tcPr>
            <w:tcW w:w="688" w:type="pct"/>
            <w:vAlign w:val="center"/>
          </w:tcPr>
          <w:p w14:paraId="3904550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3D6EE1F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33.60</w:t>
            </w:r>
          </w:p>
        </w:tc>
        <w:tc>
          <w:tcPr>
            <w:tcW w:w="536" w:type="pct"/>
            <w:vAlign w:val="center"/>
          </w:tcPr>
          <w:p w14:paraId="12507D9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15A1992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44.80</w:t>
            </w:r>
          </w:p>
        </w:tc>
        <w:tc>
          <w:tcPr>
            <w:tcW w:w="633" w:type="pct"/>
            <w:vAlign w:val="center"/>
          </w:tcPr>
          <w:p w14:paraId="6C32E74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237608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15.86</w:t>
            </w:r>
          </w:p>
        </w:tc>
        <w:tc>
          <w:tcPr>
            <w:tcW w:w="579" w:type="pct"/>
            <w:vAlign w:val="center"/>
          </w:tcPr>
          <w:p w14:paraId="020243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188B26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45.33</w:t>
            </w:r>
          </w:p>
        </w:tc>
      </w:tr>
      <w:tr w14:paraId="0F808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0C922B1">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门口村</w:t>
            </w:r>
          </w:p>
        </w:tc>
        <w:tc>
          <w:tcPr>
            <w:tcW w:w="688" w:type="pct"/>
            <w:vAlign w:val="center"/>
          </w:tcPr>
          <w:p w14:paraId="2B0CD15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2022/08/01 00:00</w:t>
            </w:r>
          </w:p>
        </w:tc>
        <w:tc>
          <w:tcPr>
            <w:tcW w:w="535" w:type="pct"/>
            <w:vAlign w:val="center"/>
          </w:tcPr>
          <w:p w14:paraId="2F760BC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33.94</w:t>
            </w:r>
          </w:p>
        </w:tc>
        <w:tc>
          <w:tcPr>
            <w:tcW w:w="536" w:type="pct"/>
            <w:vAlign w:val="center"/>
          </w:tcPr>
          <w:p w14:paraId="324F7A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3F4DA19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45.26</w:t>
            </w:r>
          </w:p>
        </w:tc>
        <w:tc>
          <w:tcPr>
            <w:tcW w:w="633" w:type="pct"/>
            <w:vAlign w:val="center"/>
          </w:tcPr>
          <w:p w14:paraId="095CB18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6D4E7E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15.89</w:t>
            </w:r>
          </w:p>
        </w:tc>
        <w:tc>
          <w:tcPr>
            <w:tcW w:w="579" w:type="pct"/>
            <w:vAlign w:val="center"/>
          </w:tcPr>
          <w:p w14:paraId="5758BF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D4BF2B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45.39</w:t>
            </w:r>
          </w:p>
        </w:tc>
      </w:tr>
      <w:tr w14:paraId="6C2F3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1D0901E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后陈村</w:t>
            </w:r>
          </w:p>
        </w:tc>
        <w:tc>
          <w:tcPr>
            <w:tcW w:w="688" w:type="pct"/>
            <w:vAlign w:val="center"/>
          </w:tcPr>
          <w:p w14:paraId="0036317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518CEC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34.03</w:t>
            </w:r>
          </w:p>
        </w:tc>
        <w:tc>
          <w:tcPr>
            <w:tcW w:w="536" w:type="pct"/>
            <w:vAlign w:val="center"/>
          </w:tcPr>
          <w:p w14:paraId="6387D0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22B5C5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45.38</w:t>
            </w:r>
          </w:p>
        </w:tc>
        <w:tc>
          <w:tcPr>
            <w:tcW w:w="633" w:type="pct"/>
            <w:vAlign w:val="center"/>
          </w:tcPr>
          <w:p w14:paraId="252D427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48EBFF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16.08</w:t>
            </w:r>
          </w:p>
        </w:tc>
        <w:tc>
          <w:tcPr>
            <w:tcW w:w="579" w:type="pct"/>
            <w:vAlign w:val="center"/>
          </w:tcPr>
          <w:p w14:paraId="3106A40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085A080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45.96</w:t>
            </w:r>
          </w:p>
        </w:tc>
      </w:tr>
      <w:tr w14:paraId="75CC7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B3322C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岭口村</w:t>
            </w:r>
          </w:p>
        </w:tc>
        <w:tc>
          <w:tcPr>
            <w:tcW w:w="688" w:type="pct"/>
            <w:vAlign w:val="center"/>
          </w:tcPr>
          <w:p w14:paraId="1D84FB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59B08A7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33.98</w:t>
            </w:r>
          </w:p>
        </w:tc>
        <w:tc>
          <w:tcPr>
            <w:tcW w:w="536" w:type="pct"/>
            <w:vAlign w:val="center"/>
          </w:tcPr>
          <w:p w14:paraId="207B45C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781655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45.31</w:t>
            </w:r>
          </w:p>
        </w:tc>
        <w:tc>
          <w:tcPr>
            <w:tcW w:w="633" w:type="pct"/>
            <w:vAlign w:val="center"/>
          </w:tcPr>
          <w:p w14:paraId="50A0CD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67080CB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15.91</w:t>
            </w:r>
          </w:p>
        </w:tc>
        <w:tc>
          <w:tcPr>
            <w:tcW w:w="579" w:type="pct"/>
            <w:vAlign w:val="center"/>
          </w:tcPr>
          <w:p w14:paraId="361FD8E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A2FB5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45.46</w:t>
            </w:r>
          </w:p>
        </w:tc>
      </w:tr>
      <w:tr w14:paraId="64E52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5F0308B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龙门村</w:t>
            </w:r>
          </w:p>
        </w:tc>
        <w:tc>
          <w:tcPr>
            <w:tcW w:w="688" w:type="pct"/>
            <w:vAlign w:val="center"/>
          </w:tcPr>
          <w:p w14:paraId="3CC8F2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1567F3A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34.01</w:t>
            </w:r>
          </w:p>
        </w:tc>
        <w:tc>
          <w:tcPr>
            <w:tcW w:w="536" w:type="pct"/>
            <w:vAlign w:val="center"/>
          </w:tcPr>
          <w:p w14:paraId="208494C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830405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45.35</w:t>
            </w:r>
          </w:p>
        </w:tc>
        <w:tc>
          <w:tcPr>
            <w:tcW w:w="633" w:type="pct"/>
            <w:vAlign w:val="center"/>
          </w:tcPr>
          <w:p w14:paraId="3CE4AE6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3811218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16.06</w:t>
            </w:r>
          </w:p>
        </w:tc>
        <w:tc>
          <w:tcPr>
            <w:tcW w:w="579" w:type="pct"/>
            <w:vAlign w:val="center"/>
          </w:tcPr>
          <w:p w14:paraId="1314D9F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7BA366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45.88</w:t>
            </w:r>
          </w:p>
        </w:tc>
      </w:tr>
      <w:tr w14:paraId="0E211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E6CA2A7">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后庄村</w:t>
            </w:r>
          </w:p>
        </w:tc>
        <w:tc>
          <w:tcPr>
            <w:tcW w:w="688" w:type="pct"/>
            <w:vAlign w:val="center"/>
          </w:tcPr>
          <w:p w14:paraId="204A3CF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6C6841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34.02</w:t>
            </w:r>
          </w:p>
        </w:tc>
        <w:tc>
          <w:tcPr>
            <w:tcW w:w="536" w:type="pct"/>
            <w:vAlign w:val="center"/>
          </w:tcPr>
          <w:p w14:paraId="3D0D3E1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63672D0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45.36</w:t>
            </w:r>
          </w:p>
        </w:tc>
        <w:tc>
          <w:tcPr>
            <w:tcW w:w="633" w:type="pct"/>
            <w:vAlign w:val="center"/>
          </w:tcPr>
          <w:p w14:paraId="2BFDA6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2C13559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16.06</w:t>
            </w:r>
          </w:p>
        </w:tc>
        <w:tc>
          <w:tcPr>
            <w:tcW w:w="579" w:type="pct"/>
            <w:vAlign w:val="center"/>
          </w:tcPr>
          <w:p w14:paraId="27A1ED7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129E6A3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45.9</w:t>
            </w:r>
          </w:p>
        </w:tc>
      </w:tr>
      <w:tr w14:paraId="472EC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0F273E25">
            <w:pPr>
              <w:spacing w:line="240" w:lineRule="auto"/>
              <w:ind w:firstLine="0" w:firstLineChars="0"/>
              <w:jc w:val="center"/>
              <w:rPr>
                <w:rFonts w:hint="eastAsia" w:ascii="宋体" w:cs="宋体"/>
                <w:color w:val="auto"/>
                <w:sz w:val="21"/>
                <w:szCs w:val="21"/>
                <w:highlight w:val="none"/>
                <w:u w:val="none"/>
                <w:lang w:bidi="ar"/>
              </w:rPr>
            </w:pPr>
            <w:r>
              <w:rPr>
                <w:rFonts w:hint="eastAsia" w:ascii="宋体" w:cs="宋体"/>
                <w:color w:val="auto"/>
                <w:sz w:val="21"/>
                <w:szCs w:val="21"/>
                <w:highlight w:val="none"/>
                <w:u w:val="none"/>
                <w:lang w:bidi="ar"/>
              </w:rPr>
              <w:t>北郭村</w:t>
            </w:r>
          </w:p>
        </w:tc>
        <w:tc>
          <w:tcPr>
            <w:tcW w:w="688" w:type="pct"/>
            <w:vAlign w:val="center"/>
          </w:tcPr>
          <w:p w14:paraId="4931431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2022/09/19 00:00</w:t>
            </w:r>
          </w:p>
        </w:tc>
        <w:tc>
          <w:tcPr>
            <w:tcW w:w="535" w:type="pct"/>
            <w:vAlign w:val="center"/>
          </w:tcPr>
          <w:p w14:paraId="40799EF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33.96</w:t>
            </w:r>
          </w:p>
        </w:tc>
        <w:tc>
          <w:tcPr>
            <w:tcW w:w="536" w:type="pct"/>
            <w:vAlign w:val="center"/>
          </w:tcPr>
          <w:p w14:paraId="6FBA92E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CB0163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45.28</w:t>
            </w:r>
          </w:p>
        </w:tc>
        <w:tc>
          <w:tcPr>
            <w:tcW w:w="633" w:type="pct"/>
            <w:vAlign w:val="center"/>
          </w:tcPr>
          <w:p w14:paraId="3C4E253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5083D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15.95</w:t>
            </w:r>
          </w:p>
        </w:tc>
        <w:tc>
          <w:tcPr>
            <w:tcW w:w="579" w:type="pct"/>
            <w:vAlign w:val="center"/>
          </w:tcPr>
          <w:p w14:paraId="45D3484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20360248">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45.57</w:t>
            </w:r>
          </w:p>
        </w:tc>
      </w:tr>
      <w:tr w14:paraId="742E5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04" w:type="pct"/>
            <w:vAlign w:val="center"/>
          </w:tcPr>
          <w:p w14:paraId="250BA947">
            <w:pPr>
              <w:spacing w:line="240" w:lineRule="auto"/>
              <w:ind w:firstLine="0" w:firstLineChars="0"/>
              <w:jc w:val="center"/>
              <w:rPr>
                <w:rFonts w:hint="eastAsia" w:ascii="宋体" w:cs="宋体"/>
                <w:color w:val="auto"/>
                <w:sz w:val="21"/>
                <w:szCs w:val="21"/>
                <w:highlight w:val="none"/>
                <w:u w:val="none"/>
                <w:lang w:bidi="ar"/>
              </w:rPr>
            </w:pPr>
            <w:r>
              <w:rPr>
                <w:rFonts w:hAnsi="Times New Roman"/>
                <w:color w:val="auto"/>
                <w:sz w:val="21"/>
                <w:szCs w:val="21"/>
                <w:highlight w:val="none"/>
                <w:u w:val="none"/>
              </w:rPr>
              <w:t>区域最大值</w:t>
            </w:r>
          </w:p>
        </w:tc>
        <w:tc>
          <w:tcPr>
            <w:tcW w:w="688" w:type="pct"/>
            <w:vAlign w:val="center"/>
          </w:tcPr>
          <w:p w14:paraId="3E11993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2022/02/28 00:00</w:t>
            </w:r>
          </w:p>
        </w:tc>
        <w:tc>
          <w:tcPr>
            <w:tcW w:w="535" w:type="pct"/>
            <w:vAlign w:val="center"/>
          </w:tcPr>
          <w:p w14:paraId="19961D5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46.62</w:t>
            </w:r>
          </w:p>
        </w:tc>
        <w:tc>
          <w:tcPr>
            <w:tcW w:w="536" w:type="pct"/>
            <w:vAlign w:val="center"/>
          </w:tcPr>
          <w:p w14:paraId="77BD3BA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75.00</w:t>
            </w:r>
          </w:p>
        </w:tc>
        <w:tc>
          <w:tcPr>
            <w:tcW w:w="447" w:type="pct"/>
            <w:vAlign w:val="center"/>
          </w:tcPr>
          <w:p w14:paraId="7DE485A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62.16</w:t>
            </w:r>
          </w:p>
        </w:tc>
        <w:tc>
          <w:tcPr>
            <w:tcW w:w="633" w:type="pct"/>
            <w:vAlign w:val="center"/>
          </w:tcPr>
          <w:p w14:paraId="5984CF2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2022</w:t>
            </w:r>
          </w:p>
        </w:tc>
        <w:tc>
          <w:tcPr>
            <w:tcW w:w="548" w:type="pct"/>
            <w:vAlign w:val="center"/>
          </w:tcPr>
          <w:p w14:paraId="71A6A7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21.48</w:t>
            </w:r>
          </w:p>
        </w:tc>
        <w:tc>
          <w:tcPr>
            <w:tcW w:w="579" w:type="pct"/>
            <w:vAlign w:val="center"/>
          </w:tcPr>
          <w:p w14:paraId="4CD9D52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35.00</w:t>
            </w:r>
          </w:p>
        </w:tc>
        <w:tc>
          <w:tcPr>
            <w:tcW w:w="430" w:type="pct"/>
            <w:vAlign w:val="center"/>
          </w:tcPr>
          <w:p w14:paraId="6864C90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61.36</w:t>
            </w:r>
          </w:p>
        </w:tc>
      </w:tr>
      <w:bookmarkEnd w:id="482"/>
      <w:bookmarkEnd w:id="483"/>
    </w:tbl>
    <w:p w14:paraId="574849AF">
      <w:pPr>
        <w:jc w:val="center"/>
        <w:rPr>
          <w:rFonts w:hint="eastAsia"/>
          <w:color w:val="auto"/>
          <w:highlight w:val="none"/>
          <w:u w:val="none"/>
        </w:rPr>
      </w:pPr>
      <w:bookmarkStart w:id="490" w:name="_Hlk534968466"/>
    </w:p>
    <w:p w14:paraId="3A45F65B">
      <w:pPr>
        <w:ind w:firstLine="482"/>
        <w:jc w:val="center"/>
        <w:rPr>
          <w:rFonts w:hAnsi="Times New Roman"/>
          <w:b/>
          <w:color w:val="auto"/>
          <w:highlight w:val="none"/>
          <w:u w:val="none"/>
        </w:rPr>
      </w:pPr>
    </w:p>
    <w:p w14:paraId="2908DF18">
      <w:pPr>
        <w:pStyle w:val="5"/>
        <w:ind w:firstLine="480"/>
        <w:rPr>
          <w:rFonts w:hint="eastAsia"/>
          <w:color w:val="auto"/>
          <w:highlight w:val="none"/>
          <w:u w:val="none"/>
        </w:rPr>
        <w:sectPr>
          <w:pgSz w:w="11907" w:h="16840"/>
          <w:pgMar w:top="1304" w:right="1304" w:bottom="1304" w:left="1304" w:header="1021" w:footer="907" w:gutter="0"/>
          <w:cols w:space="720" w:num="1"/>
          <w:docGrid w:linePitch="326" w:charSpace="0"/>
        </w:sectPr>
      </w:pPr>
    </w:p>
    <w:p w14:paraId="546373FC">
      <w:pPr>
        <w:pStyle w:val="6"/>
        <w:spacing w:before="156" w:after="156"/>
        <w:rPr>
          <w:color w:val="auto"/>
          <w:highlight w:val="none"/>
          <w:u w:val="none"/>
        </w:rPr>
      </w:pPr>
      <w:r>
        <w:rPr>
          <w:color w:val="auto"/>
          <w:highlight w:val="none"/>
          <w:u w:val="none"/>
        </w:rPr>
        <w:t>非正常工况影响分析</w:t>
      </w:r>
    </w:p>
    <w:p w14:paraId="06656357">
      <w:pPr>
        <w:rPr>
          <w:rFonts w:hint="eastAsia"/>
          <w:color w:val="auto"/>
          <w:highlight w:val="none"/>
          <w:u w:val="none"/>
        </w:rPr>
      </w:pPr>
      <w:r>
        <w:rPr>
          <w:color w:val="auto"/>
          <w:highlight w:val="none"/>
          <w:u w:val="none"/>
        </w:rPr>
        <w:t>根据工程分析，本项目非正常工况废气排放情况见</w:t>
      </w:r>
      <w:r>
        <w:rPr>
          <w:rFonts w:hint="eastAsia"/>
          <w:color w:val="auto"/>
          <w:highlight w:val="none"/>
          <w:u w:val="none"/>
        </w:rPr>
        <w:fldChar w:fldCharType="begin"/>
      </w:r>
      <w:r>
        <w:rPr>
          <w:rFonts w:hint="eastAsia"/>
          <w:color w:val="auto"/>
          <w:highlight w:val="none"/>
          <w:u w:val="none"/>
        </w:rPr>
        <w:instrText xml:space="preserve"> REF _Ref138701899 \h </w:instrText>
      </w:r>
      <w:r>
        <w:rPr>
          <w:color w:val="auto"/>
          <w:highlight w:val="none"/>
          <w:u w:val="none"/>
        </w:rPr>
        <w:instrText xml:space="preserve"> \* MERGEFORMAT </w:instrText>
      </w:r>
      <w:r>
        <w:rPr>
          <w:rFonts w:hint="eastAsia"/>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5.7</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1</w:t>
      </w:r>
      <w:r>
        <w:rPr>
          <w:rFonts w:hint="eastAsia"/>
          <w:color w:val="auto"/>
          <w:highlight w:val="none"/>
          <w:u w:val="none"/>
        </w:rPr>
        <w:fldChar w:fldCharType="end"/>
      </w:r>
      <w:r>
        <w:rPr>
          <w:color w:val="auto"/>
          <w:highlight w:val="none"/>
          <w:u w:val="none"/>
        </w:rPr>
        <w:t xml:space="preserve"> 。由于</w:t>
      </w:r>
      <w:r>
        <w:rPr>
          <w:rFonts w:hint="eastAsia"/>
          <w:color w:val="auto"/>
          <w:highlight w:val="none"/>
          <w:u w:val="none"/>
        </w:rPr>
        <w:t>非正常</w:t>
      </w:r>
      <w:r>
        <w:rPr>
          <w:color w:val="auto"/>
          <w:highlight w:val="none"/>
          <w:u w:val="none"/>
        </w:rPr>
        <w:t>工况一（安全阀泄放）、</w:t>
      </w:r>
      <w:r>
        <w:rPr>
          <w:rFonts w:hint="eastAsia"/>
          <w:color w:val="auto"/>
          <w:highlight w:val="none"/>
          <w:u w:val="none"/>
        </w:rPr>
        <w:t>非正常</w:t>
      </w:r>
      <w:r>
        <w:rPr>
          <w:color w:val="auto"/>
          <w:highlight w:val="none"/>
          <w:u w:val="none"/>
        </w:rPr>
        <w:t>工况二（仪表停风）、</w:t>
      </w:r>
      <w:r>
        <w:rPr>
          <w:rFonts w:hint="eastAsia"/>
          <w:color w:val="auto"/>
          <w:highlight w:val="none"/>
          <w:u w:val="none"/>
        </w:rPr>
        <w:t>非正常</w:t>
      </w:r>
      <w:r>
        <w:rPr>
          <w:color w:val="auto"/>
          <w:highlight w:val="none"/>
          <w:u w:val="none"/>
        </w:rPr>
        <w:t>工况三（火灾事故）和</w:t>
      </w:r>
      <w:r>
        <w:rPr>
          <w:rFonts w:hint="eastAsia"/>
          <w:color w:val="auto"/>
          <w:highlight w:val="none"/>
          <w:u w:val="none"/>
        </w:rPr>
        <w:t>非正常</w:t>
      </w:r>
      <w:r>
        <w:rPr>
          <w:color w:val="auto"/>
          <w:highlight w:val="none"/>
          <w:u w:val="none"/>
        </w:rPr>
        <w:t>工况四（安全阀施工），废气都送往厂区南侧</w:t>
      </w:r>
      <w:r>
        <w:rPr>
          <w:rFonts w:hint="eastAsia"/>
          <w:color w:val="auto"/>
          <w:highlight w:val="none"/>
          <w:u w:val="none"/>
        </w:rPr>
        <w:t>万华环保科技公司</w:t>
      </w:r>
      <w:r>
        <w:rPr>
          <w:color w:val="auto"/>
          <w:highlight w:val="none"/>
          <w:u w:val="none"/>
        </w:rPr>
        <w:t>火炬处理后高空排放，因此本次只分析</w:t>
      </w:r>
      <w:r>
        <w:rPr>
          <w:rFonts w:hint="eastAsia"/>
          <w:color w:val="auto"/>
          <w:highlight w:val="none"/>
          <w:u w:val="none"/>
        </w:rPr>
        <w:t>非正常</w:t>
      </w:r>
      <w:r>
        <w:rPr>
          <w:color w:val="auto"/>
          <w:highlight w:val="none"/>
          <w:u w:val="none"/>
        </w:rPr>
        <w:t>工况五</w:t>
      </w:r>
      <w:r>
        <w:rPr>
          <w:rFonts w:hint="eastAsia"/>
          <w:color w:val="auto"/>
          <w:highlight w:val="none"/>
          <w:u w:val="none"/>
        </w:rPr>
        <w:t>、非正常</w:t>
      </w:r>
      <w:r>
        <w:rPr>
          <w:color w:val="auto"/>
          <w:highlight w:val="none"/>
          <w:u w:val="none"/>
        </w:rPr>
        <w:t>工况六</w:t>
      </w:r>
      <w:r>
        <w:rPr>
          <w:rFonts w:hint="eastAsia"/>
          <w:color w:val="auto"/>
          <w:highlight w:val="none"/>
          <w:u w:val="none"/>
        </w:rPr>
        <w:t>和非正常工况七</w:t>
      </w:r>
      <w:r>
        <w:rPr>
          <w:color w:val="auto"/>
          <w:highlight w:val="none"/>
          <w:u w:val="none"/>
        </w:rPr>
        <w:t>下废气排放的影响。需注意的是，在</w:t>
      </w:r>
      <w:r>
        <w:rPr>
          <w:rFonts w:hint="eastAsia"/>
          <w:color w:val="auto"/>
          <w:highlight w:val="none"/>
          <w:u w:val="none"/>
        </w:rPr>
        <w:t>非正常</w:t>
      </w:r>
      <w:r>
        <w:rPr>
          <w:color w:val="auto"/>
          <w:highlight w:val="none"/>
          <w:u w:val="none"/>
        </w:rPr>
        <w:t>工况六中当</w:t>
      </w:r>
      <w:r>
        <w:rPr>
          <w:rFonts w:hint="eastAsia"/>
          <w:color w:val="auto"/>
          <w:highlight w:val="none"/>
          <w:u w:val="none"/>
        </w:rPr>
        <w:t>万华环保科技公司</w:t>
      </w:r>
      <w:r>
        <w:rPr>
          <w:color w:val="auto"/>
          <w:highlight w:val="none"/>
          <w:u w:val="none"/>
        </w:rPr>
        <w:t>能量回收装置计划检修时，本项目根据计划安排先停车，待废气处理完毕后，能量回收装置再检修，无废气排放</w:t>
      </w:r>
      <w:r>
        <w:rPr>
          <w:rFonts w:hint="eastAsia"/>
          <w:color w:val="auto"/>
          <w:highlight w:val="none"/>
          <w:u w:val="none"/>
        </w:rPr>
        <w:t>；当能量回收装置出现故障时，本项目所有生产单元也将立即停车，停车过程装置内光化尾气经酸分解+碱分解+活性炭吸附后经58m高排气筒排放，酸性废气经水低温加压吸收处理后经36m高排气筒排放，碱性废气与反应驰放气送万华环保科技公司火炬燃烧处理。</w:t>
      </w:r>
      <w:r>
        <w:rPr>
          <w:color w:val="auto"/>
          <w:highlight w:val="none"/>
          <w:u w:val="none"/>
        </w:rPr>
        <w:t>因此，在本厂区</w:t>
      </w:r>
      <w:r>
        <w:rPr>
          <w:rFonts w:hint="eastAsia"/>
          <w:color w:val="auto"/>
          <w:highlight w:val="none"/>
          <w:u w:val="none"/>
        </w:rPr>
        <w:t>非正常</w:t>
      </w:r>
      <w:r>
        <w:rPr>
          <w:color w:val="auto"/>
          <w:highlight w:val="none"/>
          <w:u w:val="none"/>
        </w:rPr>
        <w:t>工况六只需考虑酸性废气</w:t>
      </w:r>
      <w:r>
        <w:rPr>
          <w:rFonts w:hint="eastAsia"/>
          <w:color w:val="auto"/>
          <w:highlight w:val="none"/>
          <w:u w:val="none"/>
        </w:rPr>
        <w:t>和光化尾气（万华环保科技公司能量回收装置故障停车）</w:t>
      </w:r>
      <w:r>
        <w:rPr>
          <w:color w:val="auto"/>
          <w:highlight w:val="none"/>
          <w:u w:val="none"/>
        </w:rPr>
        <w:t>。</w:t>
      </w:r>
    </w:p>
    <w:p w14:paraId="7AA0BD72">
      <w:pPr>
        <w:rPr>
          <w:rFonts w:hAnsi="Times New Roman"/>
          <w:color w:val="auto"/>
          <w:highlight w:val="none"/>
          <w:u w:val="none"/>
        </w:rPr>
      </w:pPr>
      <w:r>
        <w:rPr>
          <w:rFonts w:hAnsi="Times New Roman"/>
          <w:color w:val="auto"/>
          <w:highlight w:val="none"/>
          <w:u w:val="none"/>
        </w:rPr>
        <w:t>（1）</w:t>
      </w:r>
      <w:r>
        <w:rPr>
          <w:rFonts w:hint="eastAsia" w:hAnsi="Times New Roman"/>
          <w:color w:val="auto"/>
          <w:highlight w:val="none"/>
          <w:u w:val="none"/>
        </w:rPr>
        <w:t>非正常</w:t>
      </w:r>
      <w:r>
        <w:rPr>
          <w:rFonts w:hAnsi="Times New Roman"/>
          <w:color w:val="auto"/>
          <w:highlight w:val="none"/>
          <w:u w:val="none"/>
        </w:rPr>
        <w:t>工况五：活性炭吸附装置故障导致精制尾气去除效率降低至70%。</w:t>
      </w:r>
    </w:p>
    <w:p w14:paraId="00B1B6DA">
      <w:pPr>
        <w:rPr>
          <w:rFonts w:hAnsi="Times New Roman"/>
          <w:color w:val="auto"/>
          <w:highlight w:val="none"/>
          <w:u w:val="none"/>
        </w:rPr>
      </w:pPr>
      <w:r>
        <w:rPr>
          <w:rFonts w:hAnsi="Times New Roman"/>
          <w:color w:val="auto"/>
          <w:highlight w:val="none"/>
          <w:u w:val="none"/>
        </w:rPr>
        <w:t>根据预测结果</w:t>
      </w:r>
      <w:r>
        <w:rPr>
          <w:rFonts w:hAnsi="Times New Roman"/>
          <w:color w:val="auto"/>
          <w:highlight w:val="none"/>
          <w:u w:val="none"/>
        </w:rPr>
        <w:fldChar w:fldCharType="begin"/>
      </w:r>
      <w:r>
        <w:rPr>
          <w:rFonts w:hAnsi="Times New Roman"/>
          <w:color w:val="auto"/>
          <w:highlight w:val="none"/>
          <w:u w:val="none"/>
        </w:rPr>
        <w:instrText xml:space="preserve"> REF _Ref149240868 \h  \* MERGEFORMAT </w:instrText>
      </w:r>
      <w:r>
        <w:rPr>
          <w:rFonts w:hAnsi="Times New Roman"/>
          <w:color w:val="auto"/>
          <w:highlight w:val="none"/>
          <w:u w:val="none"/>
        </w:rPr>
        <w:fldChar w:fldCharType="separate"/>
      </w:r>
      <w:r>
        <w:rPr>
          <w:rFonts w:hAnsi="Times New Roman"/>
          <w:color w:val="auto"/>
          <w:highlight w:val="none"/>
          <w:u w:val="none"/>
        </w:rPr>
        <w:t xml:space="preserve">表 </w:t>
      </w:r>
      <w:r>
        <w:rPr>
          <w:rFonts w:hAnsi="Times New Roman"/>
          <w:color w:val="auto"/>
          <w:highlight w:val="none"/>
          <w:u w:val="none"/>
        </w:rPr>
        <w:fldChar w:fldCharType="begin"/>
      </w:r>
      <w:r>
        <w:rPr>
          <w:rFonts w:hAnsi="Times New Roman"/>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34</w:t>
      </w:r>
      <w:r>
        <w:rPr>
          <w:rFonts w:hAnsi="Times New Roman"/>
          <w:color w:val="auto"/>
          <w:highlight w:val="none"/>
          <w:u w:val="none"/>
        </w:rPr>
        <w:fldChar w:fldCharType="end"/>
      </w:r>
      <w:r>
        <w:rPr>
          <w:rFonts w:hAnsi="Times New Roman"/>
          <w:color w:val="auto"/>
          <w:highlight w:val="none"/>
          <w:u w:val="none"/>
        </w:rPr>
        <w:t>可知，预测范围内TDA最大小时浓度贡献值为</w:t>
      </w:r>
      <w:r>
        <w:rPr>
          <w:rFonts w:hint="eastAsia" w:hAnsi="Times New Roman"/>
          <w:color w:val="auto"/>
          <w:highlight w:val="none"/>
          <w:u w:val="none"/>
        </w:rPr>
        <w:t>9.76</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，低于评价标准（100μg/m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9.76</w:t>
      </w:r>
      <w:r>
        <w:rPr>
          <w:rFonts w:hAnsi="Times New Roman"/>
          <w:color w:val="auto"/>
          <w:highlight w:val="none"/>
          <w:u w:val="none"/>
        </w:rPr>
        <w:t>%，能满足评价标准。</w:t>
      </w:r>
    </w:p>
    <w:p w14:paraId="600226C5">
      <w:pPr>
        <w:rPr>
          <w:rFonts w:hAnsi="Times New Roman"/>
          <w:color w:val="auto"/>
          <w:highlight w:val="none"/>
          <w:u w:val="none"/>
        </w:rPr>
      </w:pPr>
      <w:r>
        <w:rPr>
          <w:rFonts w:hAnsi="Times New Roman"/>
          <w:color w:val="auto"/>
          <w:highlight w:val="none"/>
          <w:u w:val="none"/>
        </w:rPr>
        <w:t>预测范围内NMHC最大小时浓度贡献值为</w:t>
      </w:r>
      <w:r>
        <w:rPr>
          <w:rFonts w:hint="eastAsia" w:hAnsi="Times New Roman"/>
          <w:color w:val="auto"/>
          <w:highlight w:val="none"/>
          <w:u w:val="none"/>
        </w:rPr>
        <w:t>27.81</w:t>
      </w:r>
      <w:r>
        <w:rPr>
          <w:rFonts w:hAnsi="Times New Roman"/>
          <w:color w:val="auto"/>
          <w:highlight w:val="none"/>
          <w:u w:val="none"/>
        </w:rPr>
        <w:t>μg/m</w:t>
      </w:r>
      <w:r>
        <w:rPr>
          <w:rFonts w:hAnsi="Times New Roman"/>
          <w:color w:val="auto"/>
          <w:highlight w:val="none"/>
          <w:u w:val="none"/>
          <w:vertAlign w:val="superscript"/>
        </w:rPr>
        <w:t>3</w:t>
      </w:r>
      <w:r>
        <w:rPr>
          <w:rFonts w:hAnsi="Times New Roman"/>
          <w:color w:val="auto"/>
          <w:highlight w:val="none"/>
          <w:u w:val="none"/>
        </w:rPr>
        <w:t>，低于评价标准（2000μg/m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1.39</w:t>
      </w:r>
      <w:r>
        <w:rPr>
          <w:rFonts w:hAnsi="Times New Roman"/>
          <w:color w:val="auto"/>
          <w:highlight w:val="none"/>
          <w:u w:val="none"/>
        </w:rPr>
        <w:t>%，能满足评价标准。</w:t>
      </w:r>
    </w:p>
    <w:p w14:paraId="4D96313A">
      <w:pPr>
        <w:pStyle w:val="981"/>
        <w:rPr>
          <w:rFonts w:hint="eastAsia"/>
          <w:color w:val="auto"/>
          <w:highlight w:val="none"/>
          <w:u w:val="none"/>
        </w:rPr>
      </w:pPr>
      <w:r>
        <w:rPr>
          <w:rFonts w:hAnsi="Times New Roman"/>
          <w:color w:val="auto"/>
          <w:highlight w:val="none"/>
          <w:u w:val="none"/>
        </w:rPr>
        <w:t>通过预测计算可知，本项目</w:t>
      </w:r>
      <w:r>
        <w:rPr>
          <w:rFonts w:hint="eastAsia"/>
          <w:color w:val="auto"/>
          <w:highlight w:val="none"/>
          <w:u w:val="none"/>
        </w:rPr>
        <w:t>非正常</w:t>
      </w:r>
      <w:r>
        <w:rPr>
          <w:rFonts w:hAnsi="Times New Roman"/>
          <w:color w:val="auto"/>
          <w:highlight w:val="none"/>
          <w:u w:val="none"/>
        </w:rPr>
        <w:t>工况五下TDA、NMHC对周围环境影响增大。在实际生产运行中应做好设备的维护和保养，确保设备稳定运行，一旦发生非正常工况，应及时在保证安全的情况下停止排污</w:t>
      </w:r>
      <w:r>
        <w:rPr>
          <w:color w:val="auto"/>
          <w:highlight w:val="none"/>
          <w:u w:val="none"/>
        </w:rPr>
        <w:t>。</w:t>
      </w:r>
    </w:p>
    <w:p w14:paraId="404D24B6">
      <w:pPr>
        <w:rPr>
          <w:rFonts w:hint="eastAsia"/>
          <w:color w:val="auto"/>
          <w:highlight w:val="none"/>
          <w:u w:val="none"/>
        </w:rPr>
      </w:pPr>
      <w:r>
        <w:rPr>
          <w:color w:val="auto"/>
          <w:highlight w:val="none"/>
          <w:u w:val="none"/>
        </w:rPr>
        <w:t>（2）</w:t>
      </w:r>
      <w:r>
        <w:rPr>
          <w:rFonts w:hint="eastAsia"/>
          <w:color w:val="auto"/>
          <w:highlight w:val="none"/>
          <w:u w:val="none"/>
        </w:rPr>
        <w:t>非正常</w:t>
      </w:r>
      <w:r>
        <w:rPr>
          <w:color w:val="auto"/>
          <w:highlight w:val="none"/>
          <w:u w:val="none"/>
        </w:rPr>
        <w:t>工况六：酸性废气、光化尾气依托处理的</w:t>
      </w:r>
      <w:r>
        <w:rPr>
          <w:rFonts w:hint="eastAsia"/>
          <w:color w:val="auto"/>
          <w:highlight w:val="none"/>
          <w:u w:val="none"/>
        </w:rPr>
        <w:t>万华环保科技公司</w:t>
      </w:r>
      <w:r>
        <w:rPr>
          <w:color w:val="auto"/>
          <w:highlight w:val="none"/>
          <w:u w:val="none"/>
        </w:rPr>
        <w:t>能量回收装置停车检修</w:t>
      </w:r>
    </w:p>
    <w:p w14:paraId="6A862112">
      <w:pPr>
        <w:rPr>
          <w:rFonts w:hAnsi="Times New Roman"/>
          <w:color w:val="auto"/>
          <w:highlight w:val="none"/>
          <w:u w:val="none"/>
        </w:rPr>
      </w:pPr>
      <w:r>
        <w:rPr>
          <w:rFonts w:hAnsi="Times New Roman"/>
          <w:color w:val="auto"/>
          <w:highlight w:val="none"/>
          <w:u w:val="none"/>
        </w:rPr>
        <w:t>根据预测结果</w:t>
      </w:r>
      <w:r>
        <w:rPr>
          <w:rFonts w:hAnsi="Times New Roman"/>
          <w:color w:val="auto"/>
          <w:highlight w:val="none"/>
          <w:u w:val="none"/>
        </w:rPr>
        <w:fldChar w:fldCharType="begin"/>
      </w:r>
      <w:r>
        <w:rPr>
          <w:rFonts w:hAnsi="Times New Roman"/>
          <w:color w:val="auto"/>
          <w:highlight w:val="none"/>
          <w:u w:val="none"/>
        </w:rPr>
        <w:instrText xml:space="preserve"> REF _Ref149240905 \h  \* MERGEFORMAT </w:instrText>
      </w:r>
      <w:r>
        <w:rPr>
          <w:rFonts w:hAnsi="Times New Roman"/>
          <w:color w:val="auto"/>
          <w:highlight w:val="none"/>
          <w:u w:val="none"/>
        </w:rPr>
        <w:fldChar w:fldCharType="separate"/>
      </w:r>
      <w:r>
        <w:rPr>
          <w:rFonts w:hAnsi="Times New Roman"/>
          <w:color w:val="auto"/>
          <w:highlight w:val="none"/>
          <w:u w:val="none"/>
        </w:rPr>
        <w:t xml:space="preserve">表 </w:t>
      </w:r>
      <w:r>
        <w:rPr>
          <w:rFonts w:hAnsi="Times New Roman"/>
          <w:color w:val="auto"/>
          <w:highlight w:val="none"/>
          <w:u w:val="none"/>
        </w:rPr>
        <w:fldChar w:fldCharType="begin"/>
      </w:r>
      <w:r>
        <w:rPr>
          <w:rFonts w:hAnsi="Times New Roman"/>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35</w:t>
      </w:r>
      <w:r>
        <w:rPr>
          <w:rFonts w:hAnsi="Times New Roman"/>
          <w:color w:val="auto"/>
          <w:highlight w:val="none"/>
          <w:u w:val="none"/>
        </w:rPr>
        <w:fldChar w:fldCharType="end"/>
      </w:r>
      <w:r>
        <w:rPr>
          <w:rFonts w:hAnsi="Times New Roman"/>
          <w:color w:val="auto"/>
          <w:highlight w:val="none"/>
          <w:u w:val="none"/>
        </w:rPr>
        <w:t>可知，预测范围内NO</w:t>
      </w:r>
      <w:r>
        <w:rPr>
          <w:rFonts w:hAnsi="Times New Roman"/>
          <w:color w:val="auto"/>
          <w:highlight w:val="none"/>
          <w:u w:val="none"/>
          <w:vertAlign w:val="subscript"/>
        </w:rPr>
        <w:t>2</w:t>
      </w:r>
      <w:r>
        <w:rPr>
          <w:rFonts w:hAnsi="Times New Roman"/>
          <w:color w:val="auto"/>
          <w:highlight w:val="none"/>
          <w:u w:val="none"/>
        </w:rPr>
        <w:t>最大小时浓度贡献值为</w:t>
      </w:r>
      <w:r>
        <w:rPr>
          <w:rFonts w:hint="eastAsia" w:hAnsi="Times New Roman"/>
          <w:color w:val="auto"/>
          <w:highlight w:val="none"/>
          <w:u w:val="none"/>
        </w:rPr>
        <w:t>11.86</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，低于评价标准（200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5.93</w:t>
      </w:r>
      <w:r>
        <w:rPr>
          <w:rFonts w:hAnsi="Times New Roman"/>
          <w:color w:val="auto"/>
          <w:highlight w:val="none"/>
          <w:u w:val="none"/>
        </w:rPr>
        <w:t>%，能满足评价标准；预测范围内氯气最大小时浓度贡献值为</w:t>
      </w:r>
      <w:r>
        <w:rPr>
          <w:rFonts w:hint="eastAsia" w:hAnsi="Times New Roman"/>
          <w:color w:val="auto"/>
          <w:highlight w:val="none"/>
          <w:u w:val="none"/>
        </w:rPr>
        <w:t>0.39</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，低于评价标准（100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0.39</w:t>
      </w:r>
      <w:r>
        <w:rPr>
          <w:rFonts w:hAnsi="Times New Roman"/>
          <w:color w:val="auto"/>
          <w:highlight w:val="none"/>
          <w:u w:val="none"/>
        </w:rPr>
        <w:t>%，能满足评价标准；预测范围内光气最大小时浓度贡献值为0.</w:t>
      </w:r>
      <w:r>
        <w:rPr>
          <w:rFonts w:hint="eastAsia" w:hAnsi="Times New Roman"/>
          <w:color w:val="auto"/>
          <w:highlight w:val="none"/>
          <w:u w:val="none"/>
        </w:rPr>
        <w:t>02</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，低于评价标准（400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0.48</w:t>
      </w:r>
      <w:r>
        <w:rPr>
          <w:rFonts w:hAnsi="Times New Roman"/>
          <w:color w:val="auto"/>
          <w:highlight w:val="none"/>
          <w:u w:val="none"/>
        </w:rPr>
        <w:t>%，能满足评价标准；预测范围内邻二氯苯最大小时浓度贡献值为</w:t>
      </w:r>
      <w:r>
        <w:rPr>
          <w:rFonts w:hint="eastAsia" w:hAnsi="Times New Roman"/>
          <w:color w:val="auto"/>
          <w:highlight w:val="none"/>
          <w:u w:val="none"/>
        </w:rPr>
        <w:t>17.40</w:t>
      </w:r>
      <w:r>
        <w:rPr>
          <w:rFonts w:hAnsi="Times New Roman"/>
          <w:color w:val="auto"/>
          <w:highlight w:val="none"/>
          <w:u w:val="none"/>
        </w:rPr>
        <w:t>6</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，高于评价标准（100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17.40</w:t>
      </w:r>
      <w:r>
        <w:rPr>
          <w:rFonts w:hAnsi="Times New Roman"/>
          <w:color w:val="auto"/>
          <w:highlight w:val="none"/>
          <w:u w:val="none"/>
        </w:rPr>
        <w:t>%，能满足评价标准；预测范围内氯化氢最大小时浓度贡献值为</w:t>
      </w:r>
      <w:r>
        <w:rPr>
          <w:rFonts w:hint="eastAsia" w:hAnsi="Times New Roman"/>
          <w:color w:val="auto"/>
          <w:highlight w:val="none"/>
          <w:u w:val="none"/>
        </w:rPr>
        <w:t xml:space="preserve">5.56 </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，低于评价标准（50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11.12</w:t>
      </w:r>
      <w:r>
        <w:rPr>
          <w:rFonts w:hAnsi="Times New Roman"/>
          <w:color w:val="auto"/>
          <w:highlight w:val="none"/>
          <w:u w:val="none"/>
        </w:rPr>
        <w:t>%，能满足评价标准；预测范围内NMHC最大小时浓度贡献值为</w:t>
      </w:r>
      <w:r>
        <w:rPr>
          <w:rFonts w:hint="eastAsia" w:hAnsi="Times New Roman"/>
          <w:color w:val="auto"/>
          <w:highlight w:val="none"/>
          <w:u w:val="none"/>
        </w:rPr>
        <w:t>18.68</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，低于评价标准（2000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0.93</w:t>
      </w:r>
      <w:r>
        <w:rPr>
          <w:rFonts w:hAnsi="Times New Roman"/>
          <w:color w:val="auto"/>
          <w:highlight w:val="none"/>
          <w:u w:val="none"/>
        </w:rPr>
        <w:t>%，能满足评价标准。</w:t>
      </w:r>
    </w:p>
    <w:p w14:paraId="36AFB044">
      <w:pPr>
        <w:pStyle w:val="981"/>
        <w:rPr>
          <w:rFonts w:hint="eastAsia"/>
          <w:color w:val="auto"/>
          <w:highlight w:val="none"/>
          <w:u w:val="none"/>
        </w:rPr>
      </w:pPr>
      <w:r>
        <w:rPr>
          <w:color w:val="auto"/>
          <w:highlight w:val="none"/>
          <w:u w:val="none"/>
        </w:rPr>
        <w:t>通过预测计算可知，本项目工况六下NO</w:t>
      </w:r>
      <w:r>
        <w:rPr>
          <w:color w:val="auto"/>
          <w:highlight w:val="none"/>
          <w:u w:val="none"/>
          <w:vertAlign w:val="subscript"/>
        </w:rPr>
        <w:t>2</w:t>
      </w:r>
      <w:r>
        <w:rPr>
          <w:color w:val="auto"/>
          <w:highlight w:val="none"/>
          <w:u w:val="none"/>
        </w:rPr>
        <w:t>、氯气、光气、</w:t>
      </w:r>
      <w:r>
        <w:rPr>
          <w:rFonts w:hint="eastAsia"/>
          <w:color w:val="auto"/>
          <w:highlight w:val="none"/>
          <w:u w:val="none"/>
          <w:lang w:val="en-US" w:eastAsia="zh-CN"/>
        </w:rPr>
        <w:t>ODCB</w:t>
      </w:r>
      <w:r>
        <w:rPr>
          <w:color w:val="auto"/>
          <w:highlight w:val="none"/>
          <w:u w:val="none"/>
        </w:rPr>
        <w:t>、氯化氢、NMHC对周围环境影响增大。在实际生产运行中应做好设备的维护和保养，确保设备稳定运行，一旦发生非正常工况，应及时在保证安全的情况下停止排污</w:t>
      </w:r>
      <w:r>
        <w:rPr>
          <w:rFonts w:hint="eastAsia"/>
          <w:color w:val="auto"/>
          <w:highlight w:val="none"/>
          <w:u w:val="none"/>
        </w:rPr>
        <w:t>。</w:t>
      </w:r>
    </w:p>
    <w:p w14:paraId="3C11EADF">
      <w:pPr>
        <w:rPr>
          <w:rFonts w:hint="eastAsia"/>
          <w:color w:val="auto"/>
          <w:highlight w:val="none"/>
          <w:u w:val="none"/>
        </w:rPr>
      </w:pPr>
      <w:r>
        <w:rPr>
          <w:color w:val="auto"/>
          <w:highlight w:val="none"/>
          <w:u w:val="none"/>
        </w:rPr>
        <w:t>（2）</w:t>
      </w:r>
      <w:r>
        <w:rPr>
          <w:rFonts w:hint="eastAsia"/>
          <w:color w:val="auto"/>
          <w:highlight w:val="none"/>
          <w:u w:val="none"/>
        </w:rPr>
        <w:t>非正常</w:t>
      </w:r>
      <w:r>
        <w:rPr>
          <w:color w:val="auto"/>
          <w:highlight w:val="none"/>
          <w:u w:val="none"/>
        </w:rPr>
        <w:t>工况</w:t>
      </w:r>
      <w:r>
        <w:rPr>
          <w:rFonts w:hint="eastAsia"/>
          <w:color w:val="auto"/>
          <w:highlight w:val="none"/>
          <w:u w:val="none"/>
        </w:rPr>
        <w:t>七</w:t>
      </w:r>
      <w:r>
        <w:rPr>
          <w:color w:val="auto"/>
          <w:highlight w:val="none"/>
          <w:u w:val="none"/>
        </w:rPr>
        <w:t>：</w:t>
      </w:r>
      <w:r>
        <w:rPr>
          <w:rFonts w:hint="eastAsia"/>
          <w:color w:val="auto"/>
          <w:highlight w:val="none"/>
          <w:u w:val="none"/>
        </w:rPr>
        <w:t>非正常工况粉尘过滤器故障</w:t>
      </w:r>
    </w:p>
    <w:p w14:paraId="2305CDBC">
      <w:pPr>
        <w:rPr>
          <w:rFonts w:hint="eastAsia" w:hAnsi="Times New Roman" w:eastAsia="宋体"/>
          <w:color w:val="auto"/>
          <w:highlight w:val="none"/>
          <w:u w:val="none"/>
          <w:lang w:eastAsia="zh-CN"/>
        </w:rPr>
      </w:pPr>
      <w:r>
        <w:rPr>
          <w:rFonts w:hAnsi="Times New Roman"/>
          <w:color w:val="auto"/>
          <w:highlight w:val="none"/>
          <w:u w:val="none"/>
        </w:rPr>
        <w:t>根据预测结果</w:t>
      </w:r>
      <w:r>
        <w:rPr>
          <w:rFonts w:hAnsi="Times New Roman"/>
          <w:color w:val="auto"/>
          <w:highlight w:val="none"/>
          <w:u w:val="none"/>
        </w:rPr>
        <w:fldChar w:fldCharType="begin"/>
      </w:r>
      <w:r>
        <w:rPr>
          <w:rFonts w:hAnsi="Times New Roman"/>
          <w:color w:val="auto"/>
          <w:highlight w:val="none"/>
          <w:u w:val="none"/>
        </w:rPr>
        <w:instrText xml:space="preserve"> REF _Ref188526757 \h </w:instrText>
      </w:r>
      <w:r>
        <w:rPr>
          <w:rFonts w:hAnsi="Times New Roman"/>
          <w:color w:val="auto"/>
          <w:highlight w:val="none"/>
          <w:u w:val="none"/>
        </w:rPr>
        <w:fldChar w:fldCharType="separate"/>
      </w:r>
      <w:r>
        <w:rPr>
          <w:rFonts w:hAnsi="Times New Roman"/>
          <w:b/>
          <w:color w:val="auto"/>
          <w:highlight w:val="none"/>
          <w:u w:val="none"/>
        </w:rPr>
        <w:t xml:space="preserve">表 </w:t>
      </w:r>
      <w:r>
        <w:rPr>
          <w:rFonts w:hAnsi="Times New Roman"/>
          <w:b/>
          <w:color w:val="auto"/>
          <w:highlight w:val="none"/>
          <w:u w:val="none"/>
        </w:rPr>
        <w:fldChar w:fldCharType="begin"/>
      </w:r>
      <w:r>
        <w:rPr>
          <w:rFonts w:hAnsi="Times New Roman"/>
          <w:b/>
          <w:color w:val="auto"/>
          <w:highlight w:val="none"/>
          <w:u w:val="none"/>
        </w:rPr>
        <w:instrText xml:space="preserve"> STYLEREF 2 \s </w:instrText>
      </w:r>
      <w:r>
        <w:rPr>
          <w:rFonts w:hAnsi="Times New Roman"/>
          <w:b/>
          <w:color w:val="auto"/>
          <w:highlight w:val="none"/>
          <w:u w:val="none"/>
        </w:rPr>
        <w:fldChar w:fldCharType="separate"/>
      </w:r>
      <w:r>
        <w:rPr>
          <w:rFonts w:hAnsi="Times New Roman"/>
          <w:b/>
          <w:color w:val="auto"/>
          <w:highlight w:val="none"/>
          <w:u w:val="none"/>
        </w:rPr>
        <w:t>8.1</w:t>
      </w:r>
      <w:r>
        <w:rPr>
          <w:rFonts w:hAnsi="Times New Roman"/>
          <w:b/>
          <w:color w:val="auto"/>
          <w:highlight w:val="none"/>
          <w:u w:val="none"/>
        </w:rPr>
        <w:fldChar w:fldCharType="end"/>
      </w:r>
      <w:r>
        <w:rPr>
          <w:rFonts w:hAnsi="Times New Roman"/>
          <w:b/>
          <w:color w:val="auto"/>
          <w:highlight w:val="none"/>
          <w:u w:val="none"/>
        </w:rPr>
        <w:noBreakHyphen/>
      </w:r>
      <w:r>
        <w:rPr>
          <w:rFonts w:hAnsi="Times New Roman"/>
          <w:b/>
          <w:color w:val="auto"/>
          <w:highlight w:val="none"/>
          <w:u w:val="none"/>
        </w:rPr>
        <w:t>38</w:t>
      </w:r>
      <w:r>
        <w:rPr>
          <w:rFonts w:hAnsi="Times New Roman"/>
          <w:color w:val="auto"/>
          <w:highlight w:val="none"/>
          <w:u w:val="none"/>
        </w:rPr>
        <w:fldChar w:fldCharType="end"/>
      </w:r>
      <w:r>
        <w:rPr>
          <w:rFonts w:hAnsi="Times New Roman"/>
          <w:color w:val="auto"/>
          <w:highlight w:val="none"/>
          <w:u w:val="none"/>
        </w:rPr>
        <w:t>可知，预测范围内</w:t>
      </w:r>
      <w:r>
        <w:rPr>
          <w:rFonts w:hint="eastAsia" w:hAnsi="Times New Roman"/>
          <w:color w:val="auto"/>
          <w:highlight w:val="none"/>
          <w:u w:val="none"/>
        </w:rPr>
        <w:t>PM</w:t>
      </w:r>
      <w:r>
        <w:rPr>
          <w:rFonts w:hint="eastAsia" w:hAnsi="Times New Roman"/>
          <w:color w:val="auto"/>
          <w:highlight w:val="none"/>
          <w:u w:val="none"/>
          <w:vertAlign w:val="subscript"/>
        </w:rPr>
        <w:t>10</w:t>
      </w:r>
      <w:r>
        <w:rPr>
          <w:rFonts w:hAnsi="Times New Roman"/>
          <w:color w:val="auto"/>
          <w:highlight w:val="none"/>
          <w:u w:val="none"/>
        </w:rPr>
        <w:t>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2.61</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w:t>
      </w:r>
      <w:r>
        <w:rPr>
          <w:rFonts w:hint="eastAsia" w:hAnsi="Times New Roman"/>
          <w:color w:val="auto"/>
          <w:highlight w:val="none"/>
          <w:u w:val="none"/>
        </w:rPr>
        <w:t>150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1.74</w:t>
      </w:r>
      <w:r>
        <w:rPr>
          <w:rFonts w:hAnsi="Times New Roman"/>
          <w:color w:val="auto"/>
          <w:highlight w:val="none"/>
          <w:u w:val="none"/>
        </w:rPr>
        <w:t>%，能满足评价标准；预测范围内</w:t>
      </w:r>
      <w:r>
        <w:rPr>
          <w:rFonts w:hint="eastAsia" w:hAnsi="Times New Roman"/>
          <w:color w:val="auto"/>
          <w:highlight w:val="none"/>
          <w:u w:val="none"/>
        </w:rPr>
        <w:t>PM</w:t>
      </w:r>
      <w:r>
        <w:rPr>
          <w:rFonts w:hint="eastAsia" w:hAnsi="Times New Roman"/>
          <w:color w:val="auto"/>
          <w:highlight w:val="none"/>
          <w:u w:val="none"/>
          <w:vertAlign w:val="subscript"/>
        </w:rPr>
        <w:t>2.5</w:t>
      </w:r>
      <w:r>
        <w:rPr>
          <w:rFonts w:hAnsi="Times New Roman"/>
          <w:color w:val="auto"/>
          <w:highlight w:val="none"/>
          <w:u w:val="none"/>
        </w:rPr>
        <w:t>最大</w:t>
      </w:r>
      <w:r>
        <w:rPr>
          <w:rFonts w:hint="eastAsia" w:hAnsi="Times New Roman"/>
          <w:color w:val="auto"/>
          <w:highlight w:val="none"/>
          <w:u w:val="none"/>
        </w:rPr>
        <w:t>日均</w:t>
      </w:r>
      <w:r>
        <w:rPr>
          <w:rFonts w:hAnsi="Times New Roman"/>
          <w:color w:val="auto"/>
          <w:highlight w:val="none"/>
          <w:u w:val="none"/>
        </w:rPr>
        <w:t>浓度贡献值为</w:t>
      </w:r>
      <w:r>
        <w:rPr>
          <w:rFonts w:hint="eastAsia" w:hAnsi="Times New Roman"/>
          <w:color w:val="auto"/>
          <w:highlight w:val="none"/>
          <w:u w:val="none"/>
        </w:rPr>
        <w:t>1.32</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w:t>
      </w:r>
      <w:r>
        <w:rPr>
          <w:rFonts w:hint="eastAsia" w:hAnsi="Times New Roman"/>
          <w:color w:val="auto"/>
          <w:highlight w:val="none"/>
          <w:u w:val="none"/>
        </w:rPr>
        <w:t>70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1.76</w:t>
      </w:r>
      <w:r>
        <w:rPr>
          <w:rFonts w:hAnsi="Times New Roman"/>
          <w:color w:val="auto"/>
          <w:highlight w:val="none"/>
          <w:u w:val="none"/>
        </w:rPr>
        <w:t>%，能满足评价标准</w:t>
      </w:r>
      <w:r>
        <w:rPr>
          <w:rFonts w:hint="eastAsia" w:hAnsi="Times New Roman"/>
          <w:color w:val="auto"/>
          <w:highlight w:val="none"/>
          <w:u w:val="none"/>
        </w:rPr>
        <w:t>；NMHC</w:t>
      </w:r>
      <w:r>
        <w:rPr>
          <w:rFonts w:hAnsi="Times New Roman"/>
          <w:color w:val="auto"/>
          <w:highlight w:val="none"/>
          <w:u w:val="none"/>
        </w:rPr>
        <w:t>最大</w:t>
      </w:r>
      <w:r>
        <w:rPr>
          <w:rFonts w:hint="eastAsia" w:hAnsi="Times New Roman"/>
          <w:color w:val="auto"/>
          <w:highlight w:val="none"/>
          <w:u w:val="none"/>
        </w:rPr>
        <w:t>小时</w:t>
      </w:r>
      <w:r>
        <w:rPr>
          <w:rFonts w:hAnsi="Times New Roman"/>
          <w:color w:val="auto"/>
          <w:highlight w:val="none"/>
          <w:u w:val="none"/>
        </w:rPr>
        <w:t>浓度贡献值为</w:t>
      </w:r>
      <w:r>
        <w:rPr>
          <w:rFonts w:hint="eastAsia" w:hAnsi="Times New Roman"/>
          <w:color w:val="auto"/>
          <w:highlight w:val="none"/>
          <w:u w:val="none"/>
        </w:rPr>
        <w:t>125.21</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，低于评价标准（</w:t>
      </w:r>
      <w:r>
        <w:rPr>
          <w:rFonts w:hint="eastAsia" w:hAnsi="Times New Roman"/>
          <w:color w:val="auto"/>
          <w:highlight w:val="none"/>
          <w:u w:val="none"/>
        </w:rPr>
        <w:t>2000</w:t>
      </w:r>
      <w:r>
        <w:rPr>
          <w:rFonts w:hAnsi="Times New Roman" w:eastAsia="Times New Roman"/>
          <w:color w:val="auto"/>
          <w:highlight w:val="none"/>
          <w:u w:val="none"/>
        </w:rPr>
        <w:t>μg</w:t>
      </w:r>
      <w:r>
        <w:rPr>
          <w:rFonts w:hAnsi="Times New Roman"/>
          <w:color w:val="auto"/>
          <w:highlight w:val="none"/>
          <w:u w:val="none"/>
        </w:rPr>
        <w:t>/m</w:t>
      </w:r>
      <w:r>
        <w:rPr>
          <w:rFonts w:hAnsi="Times New Roman"/>
          <w:color w:val="auto"/>
          <w:highlight w:val="none"/>
          <w:u w:val="none"/>
          <w:vertAlign w:val="superscript"/>
        </w:rPr>
        <w:t>3</w:t>
      </w:r>
      <w:r>
        <w:rPr>
          <w:rFonts w:hAnsi="Times New Roman"/>
          <w:color w:val="auto"/>
          <w:highlight w:val="none"/>
          <w:u w:val="none"/>
        </w:rPr>
        <w:t>），最大占标率为</w:t>
      </w:r>
      <w:r>
        <w:rPr>
          <w:rFonts w:hint="eastAsia" w:hAnsi="Times New Roman"/>
          <w:color w:val="auto"/>
          <w:highlight w:val="none"/>
          <w:u w:val="none"/>
        </w:rPr>
        <w:t>6.26</w:t>
      </w:r>
      <w:r>
        <w:rPr>
          <w:rFonts w:hAnsi="Times New Roman"/>
          <w:color w:val="auto"/>
          <w:highlight w:val="none"/>
          <w:u w:val="none"/>
        </w:rPr>
        <w:t>%，能满足评价标准</w:t>
      </w:r>
      <w:r>
        <w:rPr>
          <w:rFonts w:hint="eastAsia" w:hAnsi="Times New Roman"/>
          <w:color w:val="auto"/>
          <w:highlight w:val="none"/>
          <w:u w:val="none"/>
          <w:lang w:eastAsia="zh-CN"/>
        </w:rPr>
        <w:t>。</w:t>
      </w:r>
    </w:p>
    <w:p w14:paraId="30B26390">
      <w:pPr>
        <w:rPr>
          <w:rFonts w:hint="eastAsia"/>
          <w:color w:val="auto"/>
          <w:highlight w:val="none"/>
          <w:u w:val="none"/>
        </w:rPr>
      </w:pPr>
      <w:r>
        <w:rPr>
          <w:color w:val="auto"/>
          <w:highlight w:val="none"/>
          <w:u w:val="none"/>
        </w:rPr>
        <w:t>通过预测计算可知，本项目工况</w:t>
      </w:r>
      <w:r>
        <w:rPr>
          <w:rFonts w:hint="eastAsia"/>
          <w:color w:val="auto"/>
          <w:highlight w:val="none"/>
          <w:u w:val="none"/>
        </w:rPr>
        <w:t>七</w:t>
      </w:r>
      <w:r>
        <w:rPr>
          <w:color w:val="auto"/>
          <w:highlight w:val="none"/>
          <w:u w:val="none"/>
        </w:rPr>
        <w:t>下</w:t>
      </w:r>
      <w:r>
        <w:rPr>
          <w:rFonts w:hint="eastAsia"/>
          <w:color w:val="auto"/>
          <w:highlight w:val="none"/>
          <w:u w:val="none"/>
        </w:rPr>
        <w:t>PM</w:t>
      </w:r>
      <w:r>
        <w:rPr>
          <w:rFonts w:hint="eastAsia"/>
          <w:color w:val="auto"/>
          <w:highlight w:val="none"/>
          <w:u w:val="none"/>
          <w:vertAlign w:val="subscript"/>
        </w:rPr>
        <w:t>10</w:t>
      </w:r>
      <w:r>
        <w:rPr>
          <w:rFonts w:hint="eastAsia"/>
          <w:color w:val="auto"/>
          <w:highlight w:val="none"/>
          <w:u w:val="none"/>
        </w:rPr>
        <w:t>、PM</w:t>
      </w:r>
      <w:r>
        <w:rPr>
          <w:rFonts w:hint="eastAsia"/>
          <w:color w:val="auto"/>
          <w:highlight w:val="none"/>
          <w:u w:val="none"/>
          <w:vertAlign w:val="subscript"/>
        </w:rPr>
        <w:t>2.5</w:t>
      </w:r>
      <w:r>
        <w:rPr>
          <w:rFonts w:hint="eastAsia"/>
          <w:color w:val="auto"/>
          <w:highlight w:val="none"/>
          <w:u w:val="none"/>
        </w:rPr>
        <w:t>和NMHC</w:t>
      </w:r>
      <w:r>
        <w:rPr>
          <w:color w:val="auto"/>
          <w:highlight w:val="none"/>
          <w:u w:val="none"/>
        </w:rPr>
        <w:t>对周围环境影响增大</w:t>
      </w:r>
      <w:r>
        <w:rPr>
          <w:rFonts w:hint="eastAsia"/>
          <w:color w:val="auto"/>
          <w:highlight w:val="none"/>
          <w:u w:val="none"/>
        </w:rPr>
        <w:t>。</w:t>
      </w:r>
      <w:r>
        <w:rPr>
          <w:color w:val="auto"/>
          <w:highlight w:val="none"/>
          <w:u w:val="none"/>
        </w:rPr>
        <w:t>在实际生产运行中应做好设备的维护和保养，确保设备稳定运行，一旦发生非正常工况，应及时在保证安全的情况下停止排污。</w:t>
      </w:r>
    </w:p>
    <w:p w14:paraId="4FC81426">
      <w:pPr>
        <w:pStyle w:val="6"/>
        <w:spacing w:before="156" w:after="156"/>
        <w:rPr>
          <w:color w:val="auto"/>
          <w:highlight w:val="none"/>
          <w:u w:val="none"/>
        </w:rPr>
      </w:pPr>
      <w:r>
        <w:rPr>
          <w:color w:val="auto"/>
          <w:highlight w:val="none"/>
          <w:u w:val="none"/>
        </w:rPr>
        <w:t>环境防护距离划定</w:t>
      </w:r>
    </w:p>
    <w:p w14:paraId="49B9D09E">
      <w:pPr>
        <w:pStyle w:val="981"/>
        <w:rPr>
          <w:rFonts w:hint="eastAsia"/>
          <w:color w:val="auto"/>
          <w:highlight w:val="none"/>
          <w:u w:val="none"/>
        </w:rPr>
      </w:pPr>
      <w:r>
        <w:rPr>
          <w:color w:val="auto"/>
          <w:highlight w:val="none"/>
          <w:u w:val="none"/>
        </w:rPr>
        <w:t>（1）HJ2.2-2018大气环境防护距离设置要求</w:t>
      </w:r>
    </w:p>
    <w:p w14:paraId="78851CEE">
      <w:pPr>
        <w:pStyle w:val="981"/>
        <w:rPr>
          <w:rFonts w:hint="eastAsia"/>
          <w:color w:val="auto"/>
          <w:highlight w:val="none"/>
          <w:u w:val="none"/>
        </w:rPr>
      </w:pPr>
      <w:r>
        <w:rPr>
          <w:color w:val="auto"/>
          <w:highlight w:val="none"/>
          <w:u w:val="none"/>
        </w:rPr>
        <w:t>对照《环境影响评价技术导则 大气环境》（HJ.2-2018）“表5预测内容和评价要求”，计算大气防护距离考虑的源强</w:t>
      </w:r>
      <w:r>
        <w:rPr>
          <w:rFonts w:hint="eastAsia"/>
          <w:color w:val="auto"/>
          <w:highlight w:val="none"/>
          <w:u w:val="none"/>
          <w:lang w:val="en-US" w:eastAsia="zh-CN"/>
        </w:rPr>
        <w:t>为万华福建全厂源强，主要包括</w:t>
      </w:r>
      <w:r>
        <w:rPr>
          <w:color w:val="auto"/>
          <w:highlight w:val="none"/>
          <w:u w:val="none"/>
        </w:rPr>
        <w:t>：</w:t>
      </w:r>
      <w:r>
        <w:rPr>
          <w:rFonts w:hint="eastAsia"/>
          <w:color w:val="auto"/>
          <w:highlight w:val="none"/>
          <w:u w:val="none"/>
          <w:lang w:val="en-US" w:eastAsia="zh-CN"/>
        </w:rPr>
        <w:t>本次技改扩能36</w:t>
      </w:r>
      <w:r>
        <w:rPr>
          <w:rFonts w:hint="eastAsia"/>
          <w:color w:val="auto"/>
          <w:highlight w:val="none"/>
          <w:u w:val="none"/>
          <w:lang w:val="en-US"/>
        </w:rPr>
        <w:t>万吨</w:t>
      </w:r>
      <w:r>
        <w:rPr>
          <w:rFonts w:hint="eastAsia"/>
          <w:color w:val="auto"/>
          <w:highlight w:val="none"/>
          <w:u w:val="none"/>
          <w:lang w:val="en-US" w:eastAsia="zh-CN"/>
        </w:rPr>
        <w:t>/年</w:t>
      </w:r>
      <w:r>
        <w:rPr>
          <w:rFonts w:hint="eastAsia"/>
          <w:color w:val="auto"/>
          <w:highlight w:val="none"/>
          <w:u w:val="none"/>
          <w:lang w:val="en-US"/>
        </w:rPr>
        <w:t>TDI</w:t>
      </w:r>
      <w:r>
        <w:rPr>
          <w:rFonts w:hint="eastAsia"/>
          <w:color w:val="auto"/>
          <w:highlight w:val="none"/>
          <w:u w:val="none"/>
          <w:lang w:val="en-US" w:eastAsia="zh-CN"/>
        </w:rPr>
        <w:t>一期</w:t>
      </w:r>
      <w:r>
        <w:rPr>
          <w:rFonts w:hint="eastAsia"/>
          <w:color w:val="auto"/>
          <w:highlight w:val="none"/>
          <w:u w:val="none"/>
          <w:lang w:val="en-US"/>
        </w:rPr>
        <w:t>项目、</w:t>
      </w:r>
      <w:r>
        <w:rPr>
          <w:rFonts w:hint="eastAsia"/>
          <w:color w:val="auto"/>
          <w:highlight w:val="none"/>
          <w:u w:val="none"/>
          <w:lang w:val="en-US" w:eastAsia="zh-CN"/>
        </w:rPr>
        <w:t>36年万吨/年</w:t>
      </w:r>
      <w:r>
        <w:rPr>
          <w:rFonts w:hint="eastAsia"/>
          <w:color w:val="auto"/>
          <w:highlight w:val="none"/>
          <w:u w:val="none"/>
        </w:rPr>
        <w:t>扩建TDI二期项目、80万吨/年PVC项目、108万吨苯胺项目以及48万吨甲醛项目等项目</w:t>
      </w:r>
      <w:r>
        <w:rPr>
          <w:color w:val="auto"/>
          <w:highlight w:val="none"/>
          <w:u w:val="none"/>
        </w:rPr>
        <w:t>，具体源强详见</w:t>
      </w:r>
      <w:r>
        <w:rPr>
          <w:color w:val="auto"/>
          <w:highlight w:val="none"/>
          <w:u w:val="none"/>
        </w:rPr>
        <w:fldChar w:fldCharType="begin"/>
      </w:r>
      <w:r>
        <w:rPr>
          <w:color w:val="auto"/>
          <w:highlight w:val="none"/>
          <w:u w:val="none"/>
        </w:rPr>
        <w:instrText xml:space="preserve"> REF _Ref149230742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10</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REF _Ref149230792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13</w:t>
      </w:r>
      <w:r>
        <w:rPr>
          <w:color w:val="auto"/>
          <w:highlight w:val="none"/>
          <w:u w:val="none"/>
        </w:rPr>
        <w:fldChar w:fldCharType="end"/>
      </w:r>
      <w:r>
        <w:rPr>
          <w:rFonts w:hint="eastAsia"/>
          <w:color w:val="auto"/>
          <w:highlight w:val="none"/>
          <w:u w:val="none"/>
        </w:rPr>
        <w:t>。</w:t>
      </w:r>
    </w:p>
    <w:p w14:paraId="25B3C701">
      <w:pPr>
        <w:pStyle w:val="1003"/>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34</w:t>
      </w:r>
      <w:r>
        <w:rPr>
          <w:color w:val="auto"/>
          <w:highlight w:val="none"/>
          <w:u w:val="none"/>
        </w:rPr>
        <w:fldChar w:fldCharType="end"/>
      </w:r>
      <w:r>
        <w:rPr>
          <w:color w:val="auto"/>
          <w:highlight w:val="none"/>
          <w:u w:val="none"/>
        </w:rPr>
        <w:t xml:space="preserve">  预测内容和评价要求</w:t>
      </w:r>
    </w:p>
    <w:tbl>
      <w:tblPr>
        <w:tblStyle w:val="59"/>
        <w:tblpPr w:leftFromText="180" w:rightFromText="180" w:vertAnchor="text" w:tblpXSpec="center"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7"/>
        <w:gridCol w:w="3629"/>
        <w:gridCol w:w="1742"/>
        <w:gridCol w:w="1304"/>
        <w:gridCol w:w="1164"/>
      </w:tblGrid>
      <w:tr w14:paraId="12936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9" w:type="pct"/>
          </w:tcPr>
          <w:p w14:paraId="7CE6449B">
            <w:pPr>
              <w:pStyle w:val="1001"/>
              <w:rPr>
                <w:color w:val="auto"/>
                <w:highlight w:val="none"/>
                <w:u w:val="none"/>
              </w:rPr>
            </w:pPr>
            <w:r>
              <w:rPr>
                <w:color w:val="auto"/>
                <w:highlight w:val="none"/>
                <w:u w:val="none"/>
              </w:rPr>
              <w:t>评价对象</w:t>
            </w:r>
          </w:p>
        </w:tc>
        <w:tc>
          <w:tcPr>
            <w:tcW w:w="1954" w:type="pct"/>
          </w:tcPr>
          <w:p w14:paraId="28E2E6F2">
            <w:pPr>
              <w:pStyle w:val="1001"/>
              <w:rPr>
                <w:color w:val="auto"/>
                <w:highlight w:val="none"/>
                <w:u w:val="none"/>
              </w:rPr>
            </w:pPr>
            <w:r>
              <w:rPr>
                <w:color w:val="auto"/>
                <w:highlight w:val="none"/>
                <w:u w:val="none"/>
              </w:rPr>
              <w:t>污染源</w:t>
            </w:r>
          </w:p>
        </w:tc>
        <w:tc>
          <w:tcPr>
            <w:tcW w:w="938" w:type="pct"/>
          </w:tcPr>
          <w:p w14:paraId="23C2967A">
            <w:pPr>
              <w:pStyle w:val="1001"/>
              <w:rPr>
                <w:color w:val="auto"/>
                <w:highlight w:val="none"/>
                <w:u w:val="none"/>
              </w:rPr>
            </w:pPr>
            <w:r>
              <w:rPr>
                <w:color w:val="auto"/>
                <w:highlight w:val="none"/>
                <w:u w:val="none"/>
              </w:rPr>
              <w:t>污染源排放形式</w:t>
            </w:r>
          </w:p>
        </w:tc>
        <w:tc>
          <w:tcPr>
            <w:tcW w:w="702" w:type="pct"/>
          </w:tcPr>
          <w:p w14:paraId="7B138183">
            <w:pPr>
              <w:pStyle w:val="1001"/>
              <w:rPr>
                <w:color w:val="auto"/>
                <w:highlight w:val="none"/>
                <w:u w:val="none"/>
              </w:rPr>
            </w:pPr>
            <w:r>
              <w:rPr>
                <w:color w:val="auto"/>
                <w:highlight w:val="none"/>
                <w:u w:val="none"/>
              </w:rPr>
              <w:t>预测内容</w:t>
            </w:r>
          </w:p>
        </w:tc>
        <w:tc>
          <w:tcPr>
            <w:tcW w:w="627" w:type="pct"/>
          </w:tcPr>
          <w:p w14:paraId="365C6B76">
            <w:pPr>
              <w:pStyle w:val="1001"/>
              <w:rPr>
                <w:color w:val="auto"/>
                <w:highlight w:val="none"/>
                <w:u w:val="none"/>
              </w:rPr>
            </w:pPr>
            <w:r>
              <w:rPr>
                <w:color w:val="auto"/>
                <w:highlight w:val="none"/>
                <w:u w:val="none"/>
              </w:rPr>
              <w:t>评价内容</w:t>
            </w:r>
          </w:p>
        </w:tc>
      </w:tr>
      <w:tr w14:paraId="186FB3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9" w:type="pct"/>
            <w:vAlign w:val="center"/>
          </w:tcPr>
          <w:p w14:paraId="3B912157">
            <w:pPr>
              <w:pStyle w:val="1001"/>
              <w:rPr>
                <w:color w:val="auto"/>
                <w:highlight w:val="none"/>
                <w:u w:val="none"/>
              </w:rPr>
            </w:pPr>
            <w:r>
              <w:rPr>
                <w:color w:val="auto"/>
                <w:kern w:val="0"/>
                <w:sz w:val="20"/>
                <w:highlight w:val="none"/>
                <w:u w:val="none"/>
              </w:rPr>
              <w:t>大气环境防护距离</w:t>
            </w:r>
          </w:p>
        </w:tc>
        <w:tc>
          <w:tcPr>
            <w:tcW w:w="1954" w:type="pct"/>
            <w:vAlign w:val="center"/>
          </w:tcPr>
          <w:p w14:paraId="49B8E324">
            <w:pPr>
              <w:pStyle w:val="1001"/>
              <w:rPr>
                <w:color w:val="auto"/>
                <w:highlight w:val="none"/>
                <w:u w:val="none"/>
              </w:rPr>
            </w:pPr>
            <w:r>
              <w:rPr>
                <w:color w:val="auto"/>
                <w:kern w:val="0"/>
                <w:sz w:val="20"/>
                <w:highlight w:val="none"/>
                <w:u w:val="none"/>
              </w:rPr>
              <w:t>新增污染源+项目全厂现有污染源</w:t>
            </w:r>
          </w:p>
        </w:tc>
        <w:tc>
          <w:tcPr>
            <w:tcW w:w="938" w:type="pct"/>
            <w:vAlign w:val="center"/>
          </w:tcPr>
          <w:p w14:paraId="54EEC26E">
            <w:pPr>
              <w:pStyle w:val="1001"/>
              <w:rPr>
                <w:color w:val="auto"/>
                <w:highlight w:val="none"/>
                <w:u w:val="none"/>
              </w:rPr>
            </w:pPr>
            <w:r>
              <w:rPr>
                <w:color w:val="auto"/>
                <w:kern w:val="0"/>
                <w:sz w:val="20"/>
                <w:highlight w:val="none"/>
                <w:u w:val="none"/>
              </w:rPr>
              <w:t>正常排放</w:t>
            </w:r>
          </w:p>
        </w:tc>
        <w:tc>
          <w:tcPr>
            <w:tcW w:w="702" w:type="pct"/>
            <w:vAlign w:val="center"/>
          </w:tcPr>
          <w:p w14:paraId="66A5D472">
            <w:pPr>
              <w:pStyle w:val="1001"/>
              <w:rPr>
                <w:color w:val="auto"/>
                <w:highlight w:val="none"/>
                <w:u w:val="none"/>
              </w:rPr>
            </w:pPr>
            <w:r>
              <w:rPr>
                <w:color w:val="auto"/>
                <w:kern w:val="0"/>
                <w:sz w:val="20"/>
                <w:highlight w:val="none"/>
                <w:u w:val="none"/>
              </w:rPr>
              <w:t>短期浓度</w:t>
            </w:r>
          </w:p>
        </w:tc>
        <w:tc>
          <w:tcPr>
            <w:tcW w:w="627" w:type="pct"/>
            <w:vAlign w:val="center"/>
          </w:tcPr>
          <w:p w14:paraId="02D3F521">
            <w:pPr>
              <w:pStyle w:val="1001"/>
              <w:rPr>
                <w:color w:val="auto"/>
                <w:highlight w:val="none"/>
                <w:u w:val="none"/>
              </w:rPr>
            </w:pPr>
            <w:r>
              <w:rPr>
                <w:color w:val="auto"/>
                <w:kern w:val="0"/>
                <w:sz w:val="20"/>
                <w:highlight w:val="none"/>
                <w:u w:val="none"/>
              </w:rPr>
              <w:t>大气环境防护距离</w:t>
            </w:r>
          </w:p>
        </w:tc>
      </w:tr>
    </w:tbl>
    <w:p w14:paraId="1034DF2E">
      <w:pPr>
        <w:rPr>
          <w:rFonts w:hint="eastAsia"/>
          <w:color w:val="auto"/>
          <w:highlight w:val="none"/>
          <w:u w:val="none"/>
        </w:rPr>
      </w:pPr>
      <w:r>
        <w:rPr>
          <w:color w:val="auto"/>
          <w:highlight w:val="none"/>
          <w:u w:val="none"/>
        </w:rPr>
        <w:t>按照《环境影响评价技术导则 大气环境》</w:t>
      </w:r>
      <w:r>
        <w:rPr>
          <w:rFonts w:hint="eastAsia"/>
          <w:color w:val="auto"/>
          <w:highlight w:val="none"/>
          <w:u w:val="none"/>
        </w:rPr>
        <w:t>（</w:t>
      </w:r>
      <w:r>
        <w:rPr>
          <w:color w:val="auto"/>
          <w:highlight w:val="none"/>
          <w:u w:val="none"/>
        </w:rPr>
        <w:t>HJ2.2-2018</w:t>
      </w:r>
      <w:r>
        <w:rPr>
          <w:rFonts w:hint="eastAsia"/>
          <w:color w:val="auto"/>
          <w:highlight w:val="none"/>
          <w:u w:val="none"/>
        </w:rPr>
        <w:t>）</w:t>
      </w:r>
      <w:r>
        <w:rPr>
          <w:color w:val="auto"/>
          <w:highlight w:val="none"/>
          <w:u w:val="none"/>
        </w:rPr>
        <w:t>中“8.7.5大气环境防护距离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5762AFF1">
      <w:pPr>
        <w:pStyle w:val="981"/>
        <w:rPr>
          <w:color w:val="auto"/>
          <w:highlight w:val="none"/>
          <w:u w:val="none"/>
        </w:rPr>
      </w:pPr>
      <w:r>
        <w:rPr>
          <w:color w:val="auto"/>
          <w:highlight w:val="none"/>
          <w:u w:val="none"/>
        </w:rPr>
        <w:t>根据</w:t>
      </w:r>
      <w:r>
        <w:rPr>
          <w:color w:val="auto"/>
          <w:highlight w:val="none"/>
          <w:u w:val="none"/>
        </w:rPr>
        <w:fldChar w:fldCharType="begin"/>
      </w:r>
      <w:r>
        <w:rPr>
          <w:color w:val="auto"/>
          <w:highlight w:val="none"/>
          <w:u w:val="none"/>
        </w:rPr>
        <w:instrText xml:space="preserve"> REF _Ref149241349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41</w:t>
      </w:r>
      <w:r>
        <w:rPr>
          <w:color w:val="auto"/>
          <w:highlight w:val="none"/>
          <w:u w:val="none"/>
        </w:rPr>
        <w:fldChar w:fldCharType="end"/>
      </w:r>
      <w:r>
        <w:rPr>
          <w:color w:val="auto"/>
          <w:highlight w:val="none"/>
          <w:u w:val="none"/>
        </w:rPr>
        <w:t>可知，</w:t>
      </w:r>
      <w:r>
        <w:rPr>
          <w:rFonts w:hint="eastAsia"/>
          <w:color w:val="auto"/>
          <w:highlight w:val="none"/>
          <w:u w:val="none"/>
        </w:rPr>
        <w:t>DNT在厂界的最大预测浓度为15.50</w:t>
      </w:r>
      <w:r>
        <w:rPr>
          <w:rFonts w:hAnsi="Times New Roman"/>
          <w:color w:val="auto"/>
          <w:highlight w:val="none"/>
          <w:u w:val="none"/>
        </w:rPr>
        <w:t>μ</w:t>
      </w:r>
      <w:r>
        <w:rPr>
          <w:rFonts w:hint="eastAsia"/>
          <w:color w:val="auto"/>
          <w:highlight w:val="none"/>
          <w:u w:val="none"/>
        </w:rPr>
        <w:t>g/m</w:t>
      </w:r>
      <w:r>
        <w:rPr>
          <w:rFonts w:hint="eastAsia"/>
          <w:color w:val="auto"/>
          <w:highlight w:val="none"/>
          <w:u w:val="none"/>
          <w:vertAlign w:val="superscript"/>
        </w:rPr>
        <w:t>3</w:t>
      </w:r>
      <w:r>
        <w:rPr>
          <w:rFonts w:hint="eastAsia"/>
          <w:color w:val="auto"/>
          <w:highlight w:val="none"/>
          <w:u w:val="none"/>
        </w:rPr>
        <w:t>，小于对应的厂界浓度限值而大于对应的环境质量标准限值</w:t>
      </w:r>
      <w:r>
        <w:rPr>
          <w:color w:val="auto"/>
          <w:highlight w:val="none"/>
          <w:u w:val="none"/>
        </w:rPr>
        <w:t>。因此本项目可自厂界向外设置一定范围的大气环境防护区域，为保守起见本次最终以DNT的最远超标距离</w:t>
      </w:r>
      <w:r>
        <w:rPr>
          <w:rFonts w:hint="eastAsia"/>
          <w:color w:val="auto"/>
          <w:highlight w:val="none"/>
          <w:u w:val="none"/>
        </w:rPr>
        <w:t>27.8</w:t>
      </w:r>
      <w:r>
        <w:rPr>
          <w:color w:val="auto"/>
          <w:highlight w:val="none"/>
          <w:u w:val="none"/>
        </w:rPr>
        <w:t>m为外扩距离划定防护距离，详见</w:t>
      </w:r>
      <w:r>
        <w:rPr>
          <w:color w:val="auto"/>
          <w:highlight w:val="none"/>
          <w:u w:val="none"/>
        </w:rPr>
        <w:fldChar w:fldCharType="begin"/>
      </w:r>
      <w:r>
        <w:rPr>
          <w:color w:val="auto"/>
          <w:highlight w:val="none"/>
          <w:u w:val="none"/>
        </w:rPr>
        <w:instrText xml:space="preserve"> REF _Ref20693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rFonts w:hint="eastAsia"/>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color w:val="auto"/>
          <w:highlight w:val="none"/>
          <w:u w:val="none"/>
        </w:rPr>
        <w:fldChar w:fldCharType="end"/>
      </w:r>
      <w:r>
        <w:rPr>
          <w:color w:val="auto"/>
          <w:highlight w:val="none"/>
          <w:u w:val="none"/>
        </w:rPr>
        <w:t>。</w:t>
      </w:r>
    </w:p>
    <w:p w14:paraId="14AC9156">
      <w:pPr>
        <w:pStyle w:val="981"/>
        <w:rPr>
          <w:rFonts w:hint="eastAsia"/>
          <w:color w:val="auto"/>
          <w:highlight w:val="none"/>
          <w:u w:val="none"/>
        </w:rPr>
      </w:pPr>
    </w:p>
    <w:p w14:paraId="00048E4A">
      <w:pPr>
        <w:pStyle w:val="85"/>
        <w:rPr>
          <w:color w:val="auto"/>
          <w:highlight w:val="none"/>
          <w:u w:val="none"/>
        </w:rPr>
      </w:pPr>
      <w:bookmarkStart w:id="491" w:name="_Ref149241349"/>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41</w:t>
      </w:r>
      <w:r>
        <w:rPr>
          <w:color w:val="auto"/>
          <w:highlight w:val="none"/>
          <w:u w:val="none"/>
        </w:rPr>
        <w:fldChar w:fldCharType="end"/>
      </w:r>
      <w:bookmarkEnd w:id="491"/>
      <w:r>
        <w:rPr>
          <w:color w:val="auto"/>
          <w:highlight w:val="none"/>
          <w:u w:val="none"/>
        </w:rPr>
        <w:t xml:space="preserve">  </w:t>
      </w:r>
      <w:bookmarkEnd w:id="490"/>
      <w:r>
        <w:rPr>
          <w:color w:val="auto"/>
          <w:highlight w:val="none"/>
          <w:u w:val="none"/>
        </w:rPr>
        <w:t>预测范围内厂界外短期最大落地浓度贡献值预测结果</w:t>
      </w:r>
    </w:p>
    <w:tbl>
      <w:tblPr>
        <w:tblStyle w:val="58"/>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9"/>
        <w:gridCol w:w="1493"/>
        <w:gridCol w:w="1341"/>
        <w:gridCol w:w="1172"/>
        <w:gridCol w:w="1135"/>
        <w:gridCol w:w="1066"/>
        <w:gridCol w:w="1070"/>
        <w:gridCol w:w="1330"/>
      </w:tblGrid>
      <w:tr w14:paraId="4E4E6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66" w:type="pct"/>
            <w:vMerge w:val="restart"/>
            <w:vAlign w:val="center"/>
          </w:tcPr>
          <w:p w14:paraId="49D3694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建设内容</w:t>
            </w:r>
          </w:p>
        </w:tc>
        <w:tc>
          <w:tcPr>
            <w:tcW w:w="4634" w:type="pct"/>
            <w:gridSpan w:val="7"/>
            <w:vAlign w:val="center"/>
          </w:tcPr>
          <w:p w14:paraId="4E7A8BB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预测结果μg/m</w:t>
            </w:r>
            <w:r>
              <w:rPr>
                <w:rFonts w:hAnsi="Times New Roman"/>
                <w:color w:val="auto"/>
                <w:sz w:val="21"/>
                <w:szCs w:val="21"/>
                <w:highlight w:val="none"/>
                <w:u w:val="none"/>
                <w:vertAlign w:val="superscript"/>
              </w:rPr>
              <w:t>3</w:t>
            </w:r>
          </w:p>
        </w:tc>
      </w:tr>
      <w:tr w14:paraId="4A0B6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vAlign w:val="center"/>
          </w:tcPr>
          <w:p w14:paraId="30F70D9A">
            <w:pPr>
              <w:spacing w:line="240" w:lineRule="auto"/>
              <w:ind w:firstLine="0" w:firstLineChars="0"/>
              <w:jc w:val="center"/>
              <w:rPr>
                <w:rFonts w:hAnsi="Times New Roman"/>
                <w:color w:val="auto"/>
                <w:sz w:val="21"/>
                <w:szCs w:val="21"/>
                <w:highlight w:val="none"/>
                <w:u w:val="none"/>
              </w:rPr>
            </w:pPr>
          </w:p>
        </w:tc>
        <w:tc>
          <w:tcPr>
            <w:tcW w:w="804" w:type="pct"/>
            <w:vAlign w:val="center"/>
          </w:tcPr>
          <w:p w14:paraId="10D1A07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污染物</w:t>
            </w:r>
          </w:p>
        </w:tc>
        <w:tc>
          <w:tcPr>
            <w:tcW w:w="722" w:type="pct"/>
            <w:vAlign w:val="center"/>
          </w:tcPr>
          <w:p w14:paraId="5506C98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平均时段</w:t>
            </w:r>
          </w:p>
        </w:tc>
        <w:tc>
          <w:tcPr>
            <w:tcW w:w="631" w:type="pct"/>
            <w:vAlign w:val="center"/>
          </w:tcPr>
          <w:p w14:paraId="006F26E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厂界预测最大值</w:t>
            </w:r>
          </w:p>
        </w:tc>
        <w:tc>
          <w:tcPr>
            <w:tcW w:w="611" w:type="pct"/>
            <w:vAlign w:val="center"/>
          </w:tcPr>
          <w:p w14:paraId="4333347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环境质量标准限值</w:t>
            </w:r>
          </w:p>
        </w:tc>
        <w:tc>
          <w:tcPr>
            <w:tcW w:w="574" w:type="pct"/>
            <w:vAlign w:val="center"/>
          </w:tcPr>
          <w:p w14:paraId="1E71ACC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厂界浓度限值</w:t>
            </w:r>
          </w:p>
        </w:tc>
        <w:tc>
          <w:tcPr>
            <w:tcW w:w="576" w:type="pct"/>
            <w:vAlign w:val="center"/>
          </w:tcPr>
          <w:p w14:paraId="09FF106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厂界外有无超标点</w:t>
            </w:r>
          </w:p>
        </w:tc>
        <w:tc>
          <w:tcPr>
            <w:tcW w:w="718" w:type="pct"/>
            <w:vAlign w:val="center"/>
          </w:tcPr>
          <w:p w14:paraId="1925611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最远超标距离（m）</w:t>
            </w:r>
          </w:p>
        </w:tc>
      </w:tr>
      <w:tr w14:paraId="6A5EB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restart"/>
            <w:vAlign w:val="center"/>
          </w:tcPr>
          <w:p w14:paraId="339FC8D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大气环境防护距离</w:t>
            </w:r>
          </w:p>
        </w:tc>
        <w:tc>
          <w:tcPr>
            <w:tcW w:w="804" w:type="pct"/>
            <w:vAlign w:val="center"/>
          </w:tcPr>
          <w:p w14:paraId="13E8BC5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TDA</w:t>
            </w:r>
          </w:p>
        </w:tc>
        <w:tc>
          <w:tcPr>
            <w:tcW w:w="722" w:type="pct"/>
            <w:vAlign w:val="center"/>
          </w:tcPr>
          <w:p w14:paraId="628E467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0731726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225.0</w:t>
            </w:r>
          </w:p>
        </w:tc>
        <w:tc>
          <w:tcPr>
            <w:tcW w:w="611" w:type="pct"/>
            <w:vAlign w:val="center"/>
          </w:tcPr>
          <w:p w14:paraId="0EFDF3D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100</w:t>
            </w:r>
          </w:p>
        </w:tc>
        <w:tc>
          <w:tcPr>
            <w:tcW w:w="574" w:type="pct"/>
            <w:vAlign w:val="center"/>
          </w:tcPr>
          <w:p w14:paraId="3F7F671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c>
          <w:tcPr>
            <w:tcW w:w="576" w:type="pct"/>
            <w:vAlign w:val="center"/>
          </w:tcPr>
          <w:p w14:paraId="15A22F0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有</w:t>
            </w:r>
          </w:p>
        </w:tc>
        <w:tc>
          <w:tcPr>
            <w:tcW w:w="718" w:type="pct"/>
            <w:vAlign w:val="center"/>
          </w:tcPr>
          <w:p w14:paraId="09F3D5D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7.16</w:t>
            </w:r>
          </w:p>
        </w:tc>
      </w:tr>
      <w:tr w14:paraId="3798CA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4F0A9F26">
            <w:pPr>
              <w:spacing w:line="240" w:lineRule="auto"/>
              <w:ind w:firstLine="0" w:firstLineChars="0"/>
              <w:jc w:val="center"/>
              <w:rPr>
                <w:rFonts w:hAnsi="Times New Roman"/>
                <w:color w:val="auto"/>
                <w:sz w:val="21"/>
                <w:szCs w:val="21"/>
                <w:highlight w:val="none"/>
                <w:u w:val="none"/>
              </w:rPr>
            </w:pPr>
          </w:p>
        </w:tc>
        <w:tc>
          <w:tcPr>
            <w:tcW w:w="804" w:type="pct"/>
            <w:vAlign w:val="center"/>
          </w:tcPr>
          <w:p w14:paraId="65885F0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NMHC</w:t>
            </w:r>
          </w:p>
        </w:tc>
        <w:tc>
          <w:tcPr>
            <w:tcW w:w="722" w:type="pct"/>
            <w:vAlign w:val="center"/>
          </w:tcPr>
          <w:p w14:paraId="3BB3654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6C41B37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55</w:t>
            </w:r>
            <w:r>
              <w:rPr>
                <w:rFonts w:hint="eastAsia" w:hAnsi="Times New Roman"/>
                <w:color w:val="auto"/>
                <w:sz w:val="21"/>
                <w:szCs w:val="21"/>
                <w:highlight w:val="none"/>
                <w:u w:val="none"/>
              </w:rPr>
              <w:t>0</w:t>
            </w:r>
            <w:r>
              <w:rPr>
                <w:rFonts w:hAnsi="Times New Roman"/>
                <w:color w:val="auto"/>
                <w:sz w:val="21"/>
                <w:szCs w:val="21"/>
                <w:highlight w:val="none"/>
                <w:u w:val="none"/>
              </w:rPr>
              <w:t>.0</w:t>
            </w:r>
          </w:p>
        </w:tc>
        <w:tc>
          <w:tcPr>
            <w:tcW w:w="611" w:type="pct"/>
            <w:vAlign w:val="center"/>
          </w:tcPr>
          <w:p w14:paraId="2F8F493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2000</w:t>
            </w:r>
          </w:p>
        </w:tc>
        <w:tc>
          <w:tcPr>
            <w:tcW w:w="574" w:type="pct"/>
            <w:vAlign w:val="center"/>
          </w:tcPr>
          <w:p w14:paraId="26F9244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2000</w:t>
            </w:r>
          </w:p>
        </w:tc>
        <w:tc>
          <w:tcPr>
            <w:tcW w:w="576" w:type="pct"/>
            <w:vAlign w:val="center"/>
          </w:tcPr>
          <w:p w14:paraId="3EF20C2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66C8921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504A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7B95DF49">
            <w:pPr>
              <w:spacing w:line="240" w:lineRule="auto"/>
              <w:ind w:firstLine="0" w:firstLineChars="0"/>
              <w:jc w:val="center"/>
              <w:rPr>
                <w:rFonts w:hAnsi="Times New Roman"/>
                <w:color w:val="auto"/>
                <w:sz w:val="21"/>
                <w:szCs w:val="21"/>
                <w:highlight w:val="none"/>
                <w:u w:val="none"/>
              </w:rPr>
            </w:pPr>
          </w:p>
        </w:tc>
        <w:tc>
          <w:tcPr>
            <w:tcW w:w="804" w:type="pct"/>
            <w:vAlign w:val="center"/>
          </w:tcPr>
          <w:p w14:paraId="3FA3E244">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邻二氯苯</w:t>
            </w:r>
          </w:p>
        </w:tc>
        <w:tc>
          <w:tcPr>
            <w:tcW w:w="722" w:type="pct"/>
            <w:vAlign w:val="center"/>
          </w:tcPr>
          <w:p w14:paraId="0D2C102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6E74DD5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8</w:t>
            </w:r>
            <w:r>
              <w:rPr>
                <w:rFonts w:hint="eastAsia" w:hAnsi="Times New Roman"/>
                <w:color w:val="auto"/>
                <w:sz w:val="21"/>
                <w:szCs w:val="21"/>
                <w:highlight w:val="none"/>
                <w:u w:val="none"/>
              </w:rPr>
              <w:t>7</w:t>
            </w:r>
            <w:r>
              <w:rPr>
                <w:rFonts w:hAnsi="Times New Roman"/>
                <w:color w:val="auto"/>
                <w:sz w:val="21"/>
                <w:szCs w:val="21"/>
                <w:highlight w:val="none"/>
                <w:u w:val="none"/>
              </w:rPr>
              <w:t>.</w:t>
            </w:r>
            <w:r>
              <w:rPr>
                <w:rFonts w:hint="eastAsia" w:hAnsi="Times New Roman"/>
                <w:color w:val="auto"/>
                <w:sz w:val="21"/>
                <w:szCs w:val="21"/>
                <w:highlight w:val="none"/>
                <w:u w:val="none"/>
              </w:rPr>
              <w:t>2</w:t>
            </w:r>
            <w:r>
              <w:rPr>
                <w:rFonts w:hAnsi="Times New Roman"/>
                <w:color w:val="auto"/>
                <w:sz w:val="21"/>
                <w:szCs w:val="21"/>
                <w:highlight w:val="none"/>
                <w:u w:val="none"/>
              </w:rPr>
              <w:t>0</w:t>
            </w:r>
          </w:p>
        </w:tc>
        <w:tc>
          <w:tcPr>
            <w:tcW w:w="611" w:type="pct"/>
            <w:vAlign w:val="center"/>
          </w:tcPr>
          <w:p w14:paraId="145C5AC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100</w:t>
            </w:r>
          </w:p>
        </w:tc>
        <w:tc>
          <w:tcPr>
            <w:tcW w:w="574" w:type="pct"/>
            <w:vAlign w:val="center"/>
          </w:tcPr>
          <w:p w14:paraId="3612533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c>
          <w:tcPr>
            <w:tcW w:w="576" w:type="pct"/>
            <w:vAlign w:val="center"/>
          </w:tcPr>
          <w:p w14:paraId="78101CA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1D29310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124F6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5C520DF6">
            <w:pPr>
              <w:spacing w:line="240" w:lineRule="auto"/>
              <w:ind w:firstLine="0" w:firstLineChars="0"/>
              <w:jc w:val="center"/>
              <w:rPr>
                <w:rFonts w:hAnsi="Times New Roman"/>
                <w:color w:val="auto"/>
                <w:sz w:val="21"/>
                <w:szCs w:val="21"/>
                <w:highlight w:val="none"/>
                <w:u w:val="none"/>
              </w:rPr>
            </w:pPr>
          </w:p>
        </w:tc>
        <w:tc>
          <w:tcPr>
            <w:tcW w:w="804" w:type="pct"/>
            <w:vAlign w:val="center"/>
          </w:tcPr>
          <w:p w14:paraId="52EE8BA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甲苯</w:t>
            </w:r>
          </w:p>
        </w:tc>
        <w:tc>
          <w:tcPr>
            <w:tcW w:w="722" w:type="pct"/>
            <w:vAlign w:val="center"/>
          </w:tcPr>
          <w:p w14:paraId="246F839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65182B7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6.80</w:t>
            </w:r>
          </w:p>
        </w:tc>
        <w:tc>
          <w:tcPr>
            <w:tcW w:w="611" w:type="pct"/>
            <w:vAlign w:val="center"/>
          </w:tcPr>
          <w:p w14:paraId="6B487ED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200</w:t>
            </w:r>
          </w:p>
        </w:tc>
        <w:tc>
          <w:tcPr>
            <w:tcW w:w="574" w:type="pct"/>
            <w:vAlign w:val="center"/>
          </w:tcPr>
          <w:p w14:paraId="5737260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600</w:t>
            </w:r>
          </w:p>
        </w:tc>
        <w:tc>
          <w:tcPr>
            <w:tcW w:w="576" w:type="pct"/>
            <w:vAlign w:val="center"/>
          </w:tcPr>
          <w:p w14:paraId="79BA69E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7F7DA5D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43C6B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0A35E80B">
            <w:pPr>
              <w:spacing w:line="240" w:lineRule="auto"/>
              <w:ind w:firstLine="0" w:firstLineChars="0"/>
              <w:jc w:val="center"/>
              <w:rPr>
                <w:rFonts w:hAnsi="Times New Roman"/>
                <w:color w:val="auto"/>
                <w:sz w:val="21"/>
                <w:szCs w:val="21"/>
                <w:highlight w:val="none"/>
                <w:u w:val="none"/>
              </w:rPr>
            </w:pPr>
          </w:p>
        </w:tc>
        <w:tc>
          <w:tcPr>
            <w:tcW w:w="804" w:type="pct"/>
            <w:vAlign w:val="center"/>
          </w:tcPr>
          <w:p w14:paraId="5113A3C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氯气</w:t>
            </w:r>
          </w:p>
        </w:tc>
        <w:tc>
          <w:tcPr>
            <w:tcW w:w="722" w:type="pct"/>
            <w:vAlign w:val="center"/>
          </w:tcPr>
          <w:p w14:paraId="797F8C9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shd w:val="clear" w:color="auto" w:fill="auto"/>
            <w:vAlign w:val="center"/>
          </w:tcPr>
          <w:p w14:paraId="2D427C7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34.60</w:t>
            </w:r>
          </w:p>
        </w:tc>
        <w:tc>
          <w:tcPr>
            <w:tcW w:w="611" w:type="pct"/>
            <w:vAlign w:val="center"/>
          </w:tcPr>
          <w:p w14:paraId="6AAEA13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100</w:t>
            </w:r>
          </w:p>
        </w:tc>
        <w:tc>
          <w:tcPr>
            <w:tcW w:w="574" w:type="pct"/>
            <w:vAlign w:val="center"/>
          </w:tcPr>
          <w:p w14:paraId="486CE5E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c>
          <w:tcPr>
            <w:tcW w:w="576" w:type="pct"/>
            <w:vAlign w:val="center"/>
          </w:tcPr>
          <w:p w14:paraId="14BD6820">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415061D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52194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38F23D41">
            <w:pPr>
              <w:spacing w:line="240" w:lineRule="auto"/>
              <w:ind w:firstLine="0" w:firstLineChars="0"/>
              <w:jc w:val="center"/>
              <w:rPr>
                <w:rFonts w:hAnsi="Times New Roman"/>
                <w:color w:val="auto"/>
                <w:sz w:val="21"/>
                <w:szCs w:val="21"/>
                <w:highlight w:val="none"/>
                <w:u w:val="none"/>
              </w:rPr>
            </w:pPr>
          </w:p>
        </w:tc>
        <w:tc>
          <w:tcPr>
            <w:tcW w:w="804" w:type="pct"/>
            <w:vAlign w:val="center"/>
          </w:tcPr>
          <w:p w14:paraId="4024C7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氯化氢</w:t>
            </w:r>
          </w:p>
        </w:tc>
        <w:tc>
          <w:tcPr>
            <w:tcW w:w="722" w:type="pct"/>
            <w:vAlign w:val="center"/>
          </w:tcPr>
          <w:p w14:paraId="5E0627A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shd w:val="clear" w:color="auto" w:fill="auto"/>
            <w:vAlign w:val="center"/>
          </w:tcPr>
          <w:p w14:paraId="2D2C2DA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w:t>
            </w:r>
            <w:r>
              <w:rPr>
                <w:rFonts w:hint="eastAsia" w:hAnsi="Times New Roman"/>
                <w:color w:val="auto"/>
                <w:sz w:val="21"/>
                <w:szCs w:val="21"/>
                <w:highlight w:val="none"/>
                <w:u w:val="none"/>
              </w:rPr>
              <w:t>4.50</w:t>
            </w:r>
          </w:p>
        </w:tc>
        <w:tc>
          <w:tcPr>
            <w:tcW w:w="611" w:type="pct"/>
            <w:vAlign w:val="center"/>
          </w:tcPr>
          <w:p w14:paraId="12E110E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50</w:t>
            </w:r>
          </w:p>
        </w:tc>
        <w:tc>
          <w:tcPr>
            <w:tcW w:w="574" w:type="pct"/>
            <w:vAlign w:val="center"/>
          </w:tcPr>
          <w:p w14:paraId="5F532E1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200</w:t>
            </w:r>
          </w:p>
        </w:tc>
        <w:tc>
          <w:tcPr>
            <w:tcW w:w="576" w:type="pct"/>
            <w:vAlign w:val="center"/>
          </w:tcPr>
          <w:p w14:paraId="151BE19B">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有</w:t>
            </w:r>
          </w:p>
        </w:tc>
        <w:tc>
          <w:tcPr>
            <w:tcW w:w="718" w:type="pct"/>
            <w:vAlign w:val="center"/>
          </w:tcPr>
          <w:p w14:paraId="69AAA21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4F3A1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2DFA0E60">
            <w:pPr>
              <w:spacing w:line="240" w:lineRule="auto"/>
              <w:ind w:firstLine="0" w:firstLineChars="0"/>
              <w:jc w:val="center"/>
              <w:rPr>
                <w:rFonts w:hAnsi="Times New Roman"/>
                <w:color w:val="auto"/>
                <w:sz w:val="21"/>
                <w:szCs w:val="21"/>
                <w:highlight w:val="none"/>
                <w:u w:val="none"/>
              </w:rPr>
            </w:pPr>
          </w:p>
        </w:tc>
        <w:tc>
          <w:tcPr>
            <w:tcW w:w="804" w:type="pct"/>
            <w:vAlign w:val="center"/>
          </w:tcPr>
          <w:p w14:paraId="6D06420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光气</w:t>
            </w:r>
          </w:p>
        </w:tc>
        <w:tc>
          <w:tcPr>
            <w:tcW w:w="722" w:type="pct"/>
            <w:vAlign w:val="center"/>
          </w:tcPr>
          <w:p w14:paraId="241F04F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550F5C03">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2.23</w:t>
            </w:r>
          </w:p>
        </w:tc>
        <w:tc>
          <w:tcPr>
            <w:tcW w:w="611" w:type="pct"/>
            <w:vAlign w:val="center"/>
          </w:tcPr>
          <w:p w14:paraId="4949D3D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w:t>
            </w:r>
          </w:p>
        </w:tc>
        <w:tc>
          <w:tcPr>
            <w:tcW w:w="574" w:type="pct"/>
            <w:vAlign w:val="center"/>
          </w:tcPr>
          <w:p w14:paraId="305045B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c>
          <w:tcPr>
            <w:tcW w:w="576" w:type="pct"/>
            <w:vAlign w:val="center"/>
          </w:tcPr>
          <w:p w14:paraId="128EF47E">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1146410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w:t>
            </w:r>
          </w:p>
        </w:tc>
      </w:tr>
      <w:tr w14:paraId="51830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0196C4C2">
            <w:pPr>
              <w:spacing w:line="240" w:lineRule="auto"/>
              <w:ind w:firstLine="0" w:firstLineChars="0"/>
              <w:jc w:val="center"/>
              <w:rPr>
                <w:rFonts w:hAnsi="Times New Roman"/>
                <w:color w:val="auto"/>
                <w:sz w:val="21"/>
                <w:szCs w:val="21"/>
                <w:highlight w:val="none"/>
                <w:u w:val="none"/>
              </w:rPr>
            </w:pPr>
          </w:p>
        </w:tc>
        <w:tc>
          <w:tcPr>
            <w:tcW w:w="804" w:type="pct"/>
            <w:vAlign w:val="center"/>
          </w:tcPr>
          <w:p w14:paraId="1006EEF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DNT</w:t>
            </w:r>
          </w:p>
        </w:tc>
        <w:tc>
          <w:tcPr>
            <w:tcW w:w="722" w:type="pct"/>
            <w:vAlign w:val="center"/>
          </w:tcPr>
          <w:p w14:paraId="75094A5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00752F0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15.</w:t>
            </w:r>
            <w:r>
              <w:rPr>
                <w:rFonts w:hint="eastAsia" w:hAnsi="Times New Roman"/>
                <w:color w:val="auto"/>
                <w:sz w:val="21"/>
                <w:szCs w:val="21"/>
                <w:highlight w:val="none"/>
                <w:u w:val="none"/>
              </w:rPr>
              <w:t>5</w:t>
            </w:r>
            <w:r>
              <w:rPr>
                <w:rFonts w:hAnsi="Times New Roman"/>
                <w:color w:val="auto"/>
                <w:sz w:val="21"/>
                <w:szCs w:val="21"/>
                <w:highlight w:val="none"/>
                <w:u w:val="none"/>
              </w:rPr>
              <w:t>0</w:t>
            </w:r>
          </w:p>
        </w:tc>
        <w:tc>
          <w:tcPr>
            <w:tcW w:w="611" w:type="pct"/>
            <w:vAlign w:val="center"/>
          </w:tcPr>
          <w:p w14:paraId="2A99EBB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10</w:t>
            </w:r>
          </w:p>
        </w:tc>
        <w:tc>
          <w:tcPr>
            <w:tcW w:w="574" w:type="pct"/>
            <w:vAlign w:val="center"/>
          </w:tcPr>
          <w:p w14:paraId="6DF5CDC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w:t>
            </w:r>
          </w:p>
        </w:tc>
        <w:tc>
          <w:tcPr>
            <w:tcW w:w="576" w:type="pct"/>
            <w:vAlign w:val="center"/>
          </w:tcPr>
          <w:p w14:paraId="09E5783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有</w:t>
            </w:r>
          </w:p>
        </w:tc>
        <w:tc>
          <w:tcPr>
            <w:tcW w:w="718" w:type="pct"/>
            <w:vAlign w:val="center"/>
          </w:tcPr>
          <w:p w14:paraId="4341E1D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27.79</w:t>
            </w:r>
          </w:p>
        </w:tc>
      </w:tr>
      <w:tr w14:paraId="1924F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2A9FF1B9">
            <w:pPr>
              <w:spacing w:line="240" w:lineRule="auto"/>
              <w:ind w:firstLine="0" w:firstLineChars="0"/>
              <w:jc w:val="center"/>
              <w:rPr>
                <w:rFonts w:hAnsi="Times New Roman"/>
                <w:color w:val="auto"/>
                <w:sz w:val="21"/>
                <w:szCs w:val="21"/>
                <w:highlight w:val="none"/>
                <w:u w:val="none"/>
              </w:rPr>
            </w:pPr>
          </w:p>
        </w:tc>
        <w:tc>
          <w:tcPr>
            <w:tcW w:w="804" w:type="pct"/>
            <w:vAlign w:val="center"/>
          </w:tcPr>
          <w:p w14:paraId="55090226">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PM10</w:t>
            </w:r>
          </w:p>
        </w:tc>
        <w:tc>
          <w:tcPr>
            <w:tcW w:w="722" w:type="pct"/>
            <w:vAlign w:val="center"/>
          </w:tcPr>
          <w:p w14:paraId="55A451A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1BDC87E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33.-0</w:t>
            </w:r>
          </w:p>
        </w:tc>
        <w:tc>
          <w:tcPr>
            <w:tcW w:w="611" w:type="pct"/>
            <w:vAlign w:val="center"/>
          </w:tcPr>
          <w:p w14:paraId="76573AED">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t>
            </w:r>
          </w:p>
        </w:tc>
        <w:tc>
          <w:tcPr>
            <w:tcW w:w="574" w:type="pct"/>
            <w:vAlign w:val="center"/>
          </w:tcPr>
          <w:p w14:paraId="0B7CA045">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1000</w:t>
            </w:r>
          </w:p>
        </w:tc>
        <w:tc>
          <w:tcPr>
            <w:tcW w:w="576" w:type="pct"/>
            <w:vAlign w:val="center"/>
          </w:tcPr>
          <w:p w14:paraId="471D2872">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44A56BCA">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t>
            </w:r>
          </w:p>
        </w:tc>
      </w:tr>
      <w:tr w14:paraId="700E2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Merge w:val="continue"/>
          </w:tcPr>
          <w:p w14:paraId="3B33E2A3">
            <w:pPr>
              <w:spacing w:line="240" w:lineRule="auto"/>
              <w:ind w:firstLine="0" w:firstLineChars="0"/>
              <w:jc w:val="center"/>
              <w:rPr>
                <w:rFonts w:hAnsi="Times New Roman"/>
                <w:color w:val="auto"/>
                <w:sz w:val="21"/>
                <w:szCs w:val="21"/>
                <w:highlight w:val="none"/>
                <w:u w:val="none"/>
              </w:rPr>
            </w:pPr>
          </w:p>
        </w:tc>
        <w:tc>
          <w:tcPr>
            <w:tcW w:w="804" w:type="pct"/>
            <w:vAlign w:val="center"/>
          </w:tcPr>
          <w:p w14:paraId="508A68D9">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PM2.5</w:t>
            </w:r>
          </w:p>
        </w:tc>
        <w:tc>
          <w:tcPr>
            <w:tcW w:w="722" w:type="pct"/>
            <w:vAlign w:val="center"/>
          </w:tcPr>
          <w:p w14:paraId="68E51A4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小时均值</w:t>
            </w:r>
          </w:p>
        </w:tc>
        <w:tc>
          <w:tcPr>
            <w:tcW w:w="631" w:type="pct"/>
            <w:vAlign w:val="center"/>
          </w:tcPr>
          <w:p w14:paraId="382F1B7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16.0</w:t>
            </w:r>
          </w:p>
        </w:tc>
        <w:tc>
          <w:tcPr>
            <w:tcW w:w="611" w:type="pct"/>
            <w:vAlign w:val="center"/>
          </w:tcPr>
          <w:p w14:paraId="023EA5F7">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t>
            </w:r>
          </w:p>
        </w:tc>
        <w:tc>
          <w:tcPr>
            <w:tcW w:w="574" w:type="pct"/>
            <w:vAlign w:val="center"/>
          </w:tcPr>
          <w:p w14:paraId="3871AB81">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1000</w:t>
            </w:r>
          </w:p>
        </w:tc>
        <w:tc>
          <w:tcPr>
            <w:tcW w:w="576" w:type="pct"/>
            <w:vAlign w:val="center"/>
          </w:tcPr>
          <w:p w14:paraId="7BCD453C">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无</w:t>
            </w:r>
          </w:p>
        </w:tc>
        <w:tc>
          <w:tcPr>
            <w:tcW w:w="718" w:type="pct"/>
            <w:vAlign w:val="center"/>
          </w:tcPr>
          <w:p w14:paraId="0CE609AF">
            <w:pPr>
              <w:spacing w:line="240" w:lineRule="auto"/>
              <w:ind w:firstLine="0" w:firstLineChars="0"/>
              <w:jc w:val="center"/>
              <w:rPr>
                <w:rFonts w:hAnsi="Times New Roman"/>
                <w:color w:val="auto"/>
                <w:sz w:val="21"/>
                <w:szCs w:val="21"/>
                <w:highlight w:val="none"/>
                <w:u w:val="none"/>
              </w:rPr>
            </w:pPr>
            <w:r>
              <w:rPr>
                <w:rFonts w:hint="eastAsia" w:hAnsi="Times New Roman"/>
                <w:color w:val="auto"/>
                <w:sz w:val="21"/>
                <w:szCs w:val="21"/>
                <w:highlight w:val="none"/>
                <w:u w:val="none"/>
              </w:rPr>
              <w:t>/</w:t>
            </w:r>
          </w:p>
        </w:tc>
      </w:tr>
    </w:tbl>
    <w:p w14:paraId="6B01F5A2">
      <w:pPr>
        <w:pStyle w:val="981"/>
        <w:rPr>
          <w:rFonts w:hint="eastAsia"/>
          <w:color w:val="auto"/>
          <w:highlight w:val="none"/>
          <w:u w:val="none"/>
        </w:rPr>
      </w:pPr>
      <w:r>
        <w:rPr>
          <w:color w:val="auto"/>
          <w:highlight w:val="none"/>
          <w:u w:val="none"/>
        </w:rPr>
        <w:t>（2）GB/T39499-2020卫生防护距离核算</w:t>
      </w:r>
    </w:p>
    <w:p w14:paraId="4539485B">
      <w:pPr>
        <w:rPr>
          <w:rFonts w:hint="eastAsia"/>
          <w:color w:val="auto"/>
          <w:szCs w:val="21"/>
          <w:highlight w:val="none"/>
          <w:u w:val="none"/>
        </w:rPr>
      </w:pPr>
      <w:r>
        <w:rPr>
          <w:color w:val="auto"/>
          <w:highlight w:val="none"/>
          <w:u w:val="none"/>
        </w:rPr>
        <w:t>项目所在地多年平均风速为2.</w:t>
      </w:r>
      <w:r>
        <w:rPr>
          <w:rFonts w:hint="eastAsia"/>
          <w:color w:val="auto"/>
          <w:highlight w:val="none"/>
          <w:u w:val="none"/>
        </w:rPr>
        <w:t>5</w:t>
      </w:r>
      <w:r>
        <w:rPr>
          <w:color w:val="auto"/>
          <w:highlight w:val="none"/>
          <w:u w:val="none"/>
        </w:rPr>
        <w:t>m/s，根据《大气有害物质无组织排放卫生防护距离推导技术导则》（GB/T39499-2020）“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基于同一面源各污染物的等标排放量结果，硝化单元、氢化单元和光化单元均只需考虑一种特征大气有害物质，分别为DNT、TDA和光气。本项目</w:t>
      </w:r>
      <w:r>
        <w:rPr>
          <w:color w:val="auto"/>
          <w:szCs w:val="21"/>
          <w:highlight w:val="none"/>
          <w:u w:val="none"/>
        </w:rPr>
        <w:t>卫生防护距离初值计算公式如下：</w:t>
      </w:r>
    </w:p>
    <w:p w14:paraId="41999251">
      <w:pPr>
        <w:jc w:val="center"/>
        <w:rPr>
          <w:rFonts w:hint="eastAsia"/>
          <w:color w:val="auto"/>
          <w:highlight w:val="none"/>
          <w:u w:val="none"/>
        </w:rPr>
      </w:pPr>
      <w:r>
        <w:rPr>
          <w:color w:val="auto"/>
          <w:highlight w:val="none"/>
          <w:u w:val="none"/>
        </w:rPr>
        <w:drawing>
          <wp:inline distT="0" distB="0" distL="0" distR="0">
            <wp:extent cx="1811655" cy="457200"/>
            <wp:effectExtent l="0" t="0" r="0" b="0"/>
            <wp:docPr id="95241962" name="图片 952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1962" name="图片 952419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11655" cy="457200"/>
                    </a:xfrm>
                    <a:prstGeom prst="rect">
                      <a:avLst/>
                    </a:prstGeom>
                    <a:noFill/>
                    <a:ln>
                      <a:noFill/>
                    </a:ln>
                  </pic:spPr>
                </pic:pic>
              </a:graphicData>
            </a:graphic>
          </wp:inline>
        </w:drawing>
      </w:r>
    </w:p>
    <w:p w14:paraId="3B8EFD4D">
      <w:pPr>
        <w:rPr>
          <w:rFonts w:hint="eastAsia"/>
          <w:color w:val="auto"/>
          <w:highlight w:val="none"/>
          <w:u w:val="none"/>
        </w:rPr>
      </w:pPr>
      <w:r>
        <w:rPr>
          <w:color w:val="auto"/>
          <w:highlight w:val="none"/>
          <w:u w:val="none"/>
        </w:rPr>
        <w:t>式中</w:t>
      </w:r>
      <w:r>
        <w:rPr>
          <w:rFonts w:hint="eastAsia"/>
          <w:color w:val="auto"/>
          <w:highlight w:val="none"/>
          <w:u w:val="none"/>
        </w:rPr>
        <w:t>：</w:t>
      </w:r>
    </w:p>
    <w:p w14:paraId="77983E92">
      <w:pPr>
        <w:rPr>
          <w:rFonts w:hint="eastAsia"/>
          <w:color w:val="auto"/>
          <w:highlight w:val="none"/>
          <w:u w:val="none"/>
        </w:rPr>
      </w:pPr>
      <w:r>
        <w:rPr>
          <w:color w:val="auto"/>
          <w:highlight w:val="none"/>
          <w:u w:val="none"/>
        </w:rPr>
        <w:t>C</w:t>
      </w:r>
      <w:r>
        <w:rPr>
          <w:color w:val="auto"/>
          <w:highlight w:val="none"/>
          <w:u w:val="none"/>
          <w:vertAlign w:val="subscript"/>
        </w:rPr>
        <w:t>m</w:t>
      </w:r>
      <w:r>
        <w:rPr>
          <w:color w:val="auto"/>
          <w:highlight w:val="none"/>
          <w:u w:val="none"/>
        </w:rPr>
        <w:t>－大气有害物质环境空气质量的标准限值（mg/m</w:t>
      </w:r>
      <w:r>
        <w:rPr>
          <w:color w:val="auto"/>
          <w:highlight w:val="none"/>
          <w:u w:val="none"/>
          <w:vertAlign w:val="superscript"/>
        </w:rPr>
        <w:t>3</w:t>
      </w:r>
      <w:r>
        <w:rPr>
          <w:color w:val="auto"/>
          <w:highlight w:val="none"/>
          <w:u w:val="none"/>
        </w:rPr>
        <w:t>）；</w:t>
      </w:r>
    </w:p>
    <w:p w14:paraId="26A571CF">
      <w:pPr>
        <w:rPr>
          <w:rFonts w:hint="eastAsia"/>
          <w:color w:val="auto"/>
          <w:highlight w:val="none"/>
          <w:u w:val="none"/>
          <w:vertAlign w:val="superscript"/>
        </w:rPr>
      </w:pPr>
      <w:r>
        <w:rPr>
          <w:color w:val="auto"/>
          <w:highlight w:val="none"/>
          <w:u w:val="none"/>
        </w:rPr>
        <w:t>L－大气有害物质卫生防护距离初值（m）；</w:t>
      </w:r>
    </w:p>
    <w:p w14:paraId="340BD4F6">
      <w:pPr>
        <w:rPr>
          <w:rFonts w:hint="eastAsia"/>
          <w:color w:val="auto"/>
          <w:highlight w:val="none"/>
          <w:u w:val="none"/>
        </w:rPr>
      </w:pPr>
      <w:r>
        <w:rPr>
          <w:color w:val="auto"/>
          <w:highlight w:val="none"/>
          <w:u w:val="none"/>
        </w:rPr>
        <w:drawing>
          <wp:inline distT="0" distB="0" distL="0" distR="0">
            <wp:extent cx="155575" cy="241300"/>
            <wp:effectExtent l="0" t="0" r="15875" b="5080"/>
            <wp:docPr id="2023790492" name="图片 202379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0492" name="图片 20237904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5575" cy="241300"/>
                    </a:xfrm>
                    <a:prstGeom prst="rect">
                      <a:avLst/>
                    </a:prstGeom>
                    <a:noFill/>
                    <a:ln>
                      <a:noFill/>
                    </a:ln>
                  </pic:spPr>
                </pic:pic>
              </a:graphicData>
            </a:graphic>
          </wp:inline>
        </w:drawing>
      </w:r>
      <w:r>
        <w:rPr>
          <w:color w:val="auto"/>
          <w:highlight w:val="none"/>
          <w:u w:val="none"/>
        </w:rPr>
        <w:t>－大气有害物质的无组织排放量（kg/h）；</w:t>
      </w:r>
    </w:p>
    <w:p w14:paraId="44F5B523">
      <w:pPr>
        <w:rPr>
          <w:rFonts w:hint="eastAsia"/>
          <w:color w:val="auto"/>
          <w:highlight w:val="none"/>
          <w:u w:val="none"/>
        </w:rPr>
      </w:pPr>
      <w:r>
        <w:rPr>
          <w:color w:val="auto"/>
          <w:highlight w:val="none"/>
          <w:u w:val="none"/>
        </w:rPr>
        <w:t>r－大气有害物质无组织排放源所在生产单元的等效半径（m）。</w:t>
      </w:r>
    </w:p>
    <w:p w14:paraId="2132DC67">
      <w:pPr>
        <w:rPr>
          <w:rFonts w:hint="eastAsia"/>
          <w:color w:val="auto"/>
          <w:highlight w:val="none"/>
          <w:u w:val="none"/>
        </w:rPr>
      </w:pPr>
      <w:r>
        <w:rPr>
          <w:color w:val="auto"/>
          <w:highlight w:val="none"/>
          <w:u w:val="none"/>
        </w:rPr>
        <w:t>A、B、C、D－卫生防护距离初值，无因次，根据工业企业所在地近5年平均风速及大气污染源构成分别从表1查取。</w:t>
      </w:r>
    </w:p>
    <w:p w14:paraId="373E2958">
      <w:pPr>
        <w:pStyle w:val="981"/>
        <w:rPr>
          <w:rFonts w:hint="eastAsia"/>
          <w:color w:val="auto"/>
          <w:highlight w:val="none"/>
          <w:u w:val="none"/>
        </w:rPr>
      </w:pPr>
      <w:r>
        <w:rPr>
          <w:color w:val="auto"/>
          <w:highlight w:val="none"/>
          <w:u w:val="none"/>
        </w:rPr>
        <w:t>全厂无组织排放面源源强计算卫生防护距离如下表所示。</w:t>
      </w:r>
    </w:p>
    <w:p w14:paraId="66C4EB36">
      <w:pPr>
        <w:pStyle w:val="85"/>
        <w:rPr>
          <w:color w:val="auto"/>
          <w:highlight w:val="none"/>
          <w:u w:val="none"/>
        </w:rPr>
      </w:pPr>
      <w:bookmarkStart w:id="492" w:name="_Ref370394081"/>
      <w:bookmarkEnd w:id="492"/>
      <w:bookmarkStart w:id="493" w:name="_Ref38466242"/>
      <w:bookmarkEnd w:id="493"/>
      <w:bookmarkStart w:id="494" w:name="_Hlk60768565"/>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42</w:t>
      </w:r>
      <w:r>
        <w:rPr>
          <w:color w:val="auto"/>
          <w:highlight w:val="none"/>
          <w:u w:val="none"/>
        </w:rPr>
        <w:fldChar w:fldCharType="end"/>
      </w:r>
      <w:r>
        <w:rPr>
          <w:color w:val="auto"/>
          <w:highlight w:val="none"/>
          <w:u w:val="none"/>
        </w:rPr>
        <w:t xml:space="preserve">  卫生防护距离计算一览表</w:t>
      </w:r>
      <w:bookmarkEnd w:id="494"/>
    </w:p>
    <w:tbl>
      <w:tblPr>
        <w:tblStyle w:val="58"/>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1"/>
        <w:gridCol w:w="1385"/>
        <w:gridCol w:w="1756"/>
        <w:gridCol w:w="1274"/>
        <w:gridCol w:w="1287"/>
        <w:gridCol w:w="1295"/>
        <w:gridCol w:w="1274"/>
      </w:tblGrid>
      <w:tr w14:paraId="3EF26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Merge w:val="restart"/>
            <w:vAlign w:val="center"/>
          </w:tcPr>
          <w:p w14:paraId="2B80531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序号</w:t>
            </w:r>
          </w:p>
        </w:tc>
        <w:tc>
          <w:tcPr>
            <w:tcW w:w="1385" w:type="dxa"/>
            <w:vMerge w:val="restart"/>
            <w:vAlign w:val="center"/>
          </w:tcPr>
          <w:p w14:paraId="750005A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单元名称</w:t>
            </w:r>
          </w:p>
        </w:tc>
        <w:tc>
          <w:tcPr>
            <w:tcW w:w="1756" w:type="dxa"/>
            <w:vAlign w:val="center"/>
          </w:tcPr>
          <w:p w14:paraId="1CE593E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面源</w:t>
            </w:r>
          </w:p>
        </w:tc>
        <w:tc>
          <w:tcPr>
            <w:tcW w:w="1274" w:type="dxa"/>
            <w:vMerge w:val="restart"/>
            <w:vAlign w:val="center"/>
          </w:tcPr>
          <w:p w14:paraId="2E682CF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排放因子</w:t>
            </w:r>
          </w:p>
        </w:tc>
        <w:tc>
          <w:tcPr>
            <w:tcW w:w="1287" w:type="dxa"/>
            <w:vAlign w:val="center"/>
          </w:tcPr>
          <w:p w14:paraId="6D92832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排放速率</w:t>
            </w:r>
          </w:p>
        </w:tc>
        <w:tc>
          <w:tcPr>
            <w:tcW w:w="1295" w:type="dxa"/>
            <w:vMerge w:val="restart"/>
            <w:vAlign w:val="center"/>
          </w:tcPr>
          <w:p w14:paraId="28BD830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计算卫生防护距离m</w:t>
            </w:r>
          </w:p>
        </w:tc>
        <w:tc>
          <w:tcPr>
            <w:tcW w:w="1274" w:type="dxa"/>
            <w:vMerge w:val="restart"/>
            <w:vAlign w:val="center"/>
          </w:tcPr>
          <w:p w14:paraId="0959392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取整卫生防护距离m</w:t>
            </w:r>
          </w:p>
        </w:tc>
      </w:tr>
      <w:tr w14:paraId="1DE7E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Merge w:val="continue"/>
            <w:vAlign w:val="center"/>
          </w:tcPr>
          <w:p w14:paraId="7446EAD1">
            <w:pPr>
              <w:spacing w:line="240" w:lineRule="auto"/>
              <w:ind w:firstLine="0" w:firstLineChars="0"/>
              <w:jc w:val="center"/>
              <w:rPr>
                <w:rFonts w:hAnsi="Times New Roman"/>
                <w:color w:val="auto"/>
                <w:sz w:val="21"/>
                <w:szCs w:val="21"/>
                <w:highlight w:val="none"/>
                <w:u w:val="none"/>
              </w:rPr>
            </w:pPr>
          </w:p>
        </w:tc>
        <w:tc>
          <w:tcPr>
            <w:tcW w:w="1385" w:type="dxa"/>
            <w:vMerge w:val="continue"/>
            <w:vAlign w:val="center"/>
          </w:tcPr>
          <w:p w14:paraId="5FAB5AA5">
            <w:pPr>
              <w:spacing w:line="240" w:lineRule="auto"/>
              <w:ind w:firstLine="0" w:firstLineChars="0"/>
              <w:jc w:val="center"/>
              <w:rPr>
                <w:rFonts w:hAnsi="Times New Roman"/>
                <w:color w:val="auto"/>
                <w:sz w:val="21"/>
                <w:szCs w:val="21"/>
                <w:highlight w:val="none"/>
                <w:u w:val="none"/>
              </w:rPr>
            </w:pPr>
          </w:p>
        </w:tc>
        <w:tc>
          <w:tcPr>
            <w:tcW w:w="1756" w:type="dxa"/>
            <w:vAlign w:val="center"/>
          </w:tcPr>
          <w:p w14:paraId="4BC15C8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长×宽×高m</w:t>
            </w:r>
          </w:p>
        </w:tc>
        <w:tc>
          <w:tcPr>
            <w:tcW w:w="1274" w:type="dxa"/>
            <w:vMerge w:val="continue"/>
            <w:vAlign w:val="center"/>
          </w:tcPr>
          <w:p w14:paraId="5408B403">
            <w:pPr>
              <w:spacing w:line="240" w:lineRule="auto"/>
              <w:ind w:firstLine="0" w:firstLineChars="0"/>
              <w:jc w:val="center"/>
              <w:rPr>
                <w:rFonts w:hAnsi="Times New Roman"/>
                <w:color w:val="auto"/>
                <w:sz w:val="21"/>
                <w:szCs w:val="21"/>
                <w:highlight w:val="none"/>
                <w:u w:val="none"/>
              </w:rPr>
            </w:pPr>
          </w:p>
        </w:tc>
        <w:tc>
          <w:tcPr>
            <w:tcW w:w="1287" w:type="dxa"/>
            <w:vAlign w:val="center"/>
          </w:tcPr>
          <w:p w14:paraId="6CEEBDA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(kg/h)</w:t>
            </w:r>
          </w:p>
        </w:tc>
        <w:tc>
          <w:tcPr>
            <w:tcW w:w="1295" w:type="dxa"/>
            <w:vMerge w:val="continue"/>
            <w:vAlign w:val="center"/>
          </w:tcPr>
          <w:p w14:paraId="1DEF1626">
            <w:pPr>
              <w:spacing w:line="240" w:lineRule="auto"/>
              <w:ind w:firstLine="0" w:firstLineChars="0"/>
              <w:jc w:val="center"/>
              <w:rPr>
                <w:rFonts w:hAnsi="Times New Roman"/>
                <w:color w:val="auto"/>
                <w:sz w:val="21"/>
                <w:szCs w:val="21"/>
                <w:highlight w:val="none"/>
                <w:u w:val="none"/>
              </w:rPr>
            </w:pPr>
          </w:p>
        </w:tc>
        <w:tc>
          <w:tcPr>
            <w:tcW w:w="1274" w:type="dxa"/>
            <w:vMerge w:val="continue"/>
            <w:vAlign w:val="center"/>
          </w:tcPr>
          <w:p w14:paraId="78317F27">
            <w:pPr>
              <w:spacing w:line="240" w:lineRule="auto"/>
              <w:ind w:firstLine="0" w:firstLineChars="0"/>
              <w:jc w:val="center"/>
              <w:rPr>
                <w:rFonts w:hAnsi="Times New Roman"/>
                <w:color w:val="auto"/>
                <w:sz w:val="21"/>
                <w:szCs w:val="21"/>
                <w:highlight w:val="none"/>
                <w:u w:val="none"/>
              </w:rPr>
            </w:pPr>
          </w:p>
        </w:tc>
      </w:tr>
      <w:tr w14:paraId="24CB0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14:paraId="63F187E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p>
        </w:tc>
        <w:tc>
          <w:tcPr>
            <w:tcW w:w="1385" w:type="dxa"/>
            <w:vAlign w:val="center"/>
          </w:tcPr>
          <w:p w14:paraId="43F6B72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硝化单元</w:t>
            </w:r>
          </w:p>
        </w:tc>
        <w:tc>
          <w:tcPr>
            <w:tcW w:w="1756" w:type="dxa"/>
            <w:vAlign w:val="center"/>
          </w:tcPr>
          <w:p w14:paraId="6ADE1D8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89×80×18</w:t>
            </w:r>
          </w:p>
        </w:tc>
        <w:tc>
          <w:tcPr>
            <w:tcW w:w="1274" w:type="dxa"/>
            <w:vAlign w:val="center"/>
          </w:tcPr>
          <w:p w14:paraId="661F984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DNT</w:t>
            </w:r>
          </w:p>
        </w:tc>
        <w:tc>
          <w:tcPr>
            <w:tcW w:w="1287" w:type="dxa"/>
            <w:vAlign w:val="center"/>
          </w:tcPr>
          <w:p w14:paraId="65212279">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0.1299</w:t>
            </w:r>
          </w:p>
        </w:tc>
        <w:tc>
          <w:tcPr>
            <w:tcW w:w="1295" w:type="dxa"/>
            <w:vAlign w:val="center"/>
          </w:tcPr>
          <w:p w14:paraId="4334578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373</w:t>
            </w:r>
          </w:p>
        </w:tc>
        <w:tc>
          <w:tcPr>
            <w:tcW w:w="1274" w:type="dxa"/>
            <w:vAlign w:val="center"/>
          </w:tcPr>
          <w:p w14:paraId="4A0E61C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r>
      <w:tr w14:paraId="538E8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14:paraId="1C397D40">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w:t>
            </w:r>
          </w:p>
        </w:tc>
        <w:tc>
          <w:tcPr>
            <w:tcW w:w="1385" w:type="dxa"/>
            <w:vAlign w:val="center"/>
          </w:tcPr>
          <w:p w14:paraId="6486C7B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氢化单元</w:t>
            </w:r>
          </w:p>
        </w:tc>
        <w:tc>
          <w:tcPr>
            <w:tcW w:w="1756" w:type="dxa"/>
            <w:vAlign w:val="center"/>
          </w:tcPr>
          <w:p w14:paraId="21A935B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48×110×18</w:t>
            </w:r>
          </w:p>
        </w:tc>
        <w:tc>
          <w:tcPr>
            <w:tcW w:w="1274" w:type="dxa"/>
            <w:vAlign w:val="center"/>
          </w:tcPr>
          <w:p w14:paraId="737E6CB8">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TDA</w:t>
            </w:r>
          </w:p>
        </w:tc>
        <w:tc>
          <w:tcPr>
            <w:tcW w:w="1287" w:type="dxa"/>
            <w:vAlign w:val="center"/>
          </w:tcPr>
          <w:p w14:paraId="541DB45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0.6009</w:t>
            </w:r>
          </w:p>
        </w:tc>
        <w:tc>
          <w:tcPr>
            <w:tcW w:w="1295" w:type="dxa"/>
            <w:vAlign w:val="center"/>
          </w:tcPr>
          <w:p w14:paraId="129D7F2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230</w:t>
            </w:r>
          </w:p>
        </w:tc>
        <w:tc>
          <w:tcPr>
            <w:tcW w:w="1274" w:type="dxa"/>
            <w:vAlign w:val="center"/>
          </w:tcPr>
          <w:p w14:paraId="3F23981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300</w:t>
            </w:r>
          </w:p>
        </w:tc>
      </w:tr>
      <w:tr w14:paraId="42A42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14:paraId="1E18FC5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w:t>
            </w:r>
          </w:p>
        </w:tc>
        <w:tc>
          <w:tcPr>
            <w:tcW w:w="1385" w:type="dxa"/>
            <w:vAlign w:val="center"/>
          </w:tcPr>
          <w:p w14:paraId="3F953FC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光化单元</w:t>
            </w:r>
          </w:p>
        </w:tc>
        <w:tc>
          <w:tcPr>
            <w:tcW w:w="1756" w:type="dxa"/>
            <w:vAlign w:val="center"/>
          </w:tcPr>
          <w:p w14:paraId="5BBD0C5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164×47.5×18</w:t>
            </w:r>
          </w:p>
        </w:tc>
        <w:tc>
          <w:tcPr>
            <w:tcW w:w="1274" w:type="dxa"/>
            <w:vAlign w:val="center"/>
          </w:tcPr>
          <w:p w14:paraId="7E8F24E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HCl</w:t>
            </w:r>
          </w:p>
        </w:tc>
        <w:tc>
          <w:tcPr>
            <w:tcW w:w="1287" w:type="dxa"/>
            <w:vAlign w:val="center"/>
          </w:tcPr>
          <w:p w14:paraId="548837D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0.4063</w:t>
            </w:r>
          </w:p>
        </w:tc>
        <w:tc>
          <w:tcPr>
            <w:tcW w:w="1295" w:type="dxa"/>
          </w:tcPr>
          <w:p w14:paraId="08D41A1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263</w:t>
            </w:r>
          </w:p>
        </w:tc>
        <w:tc>
          <w:tcPr>
            <w:tcW w:w="1274" w:type="dxa"/>
            <w:vAlign w:val="center"/>
          </w:tcPr>
          <w:p w14:paraId="4BF9A10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300</w:t>
            </w:r>
          </w:p>
        </w:tc>
      </w:tr>
      <w:tr w14:paraId="06A62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14:paraId="2EA4E4A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w:t>
            </w:r>
          </w:p>
        </w:tc>
        <w:tc>
          <w:tcPr>
            <w:tcW w:w="1385" w:type="dxa"/>
            <w:vAlign w:val="center"/>
          </w:tcPr>
          <w:p w14:paraId="06E523B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储罐区</w:t>
            </w:r>
          </w:p>
        </w:tc>
        <w:tc>
          <w:tcPr>
            <w:tcW w:w="1756" w:type="dxa"/>
            <w:vAlign w:val="center"/>
          </w:tcPr>
          <w:p w14:paraId="1F9770F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68×30×10.6</w:t>
            </w:r>
          </w:p>
        </w:tc>
        <w:tc>
          <w:tcPr>
            <w:tcW w:w="1274" w:type="dxa"/>
            <w:vAlign w:val="center"/>
          </w:tcPr>
          <w:p w14:paraId="0FD616B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DNT</w:t>
            </w:r>
          </w:p>
        </w:tc>
        <w:tc>
          <w:tcPr>
            <w:tcW w:w="1287" w:type="dxa"/>
            <w:vAlign w:val="center"/>
          </w:tcPr>
          <w:p w14:paraId="23313F0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0.0899</w:t>
            </w:r>
          </w:p>
        </w:tc>
        <w:tc>
          <w:tcPr>
            <w:tcW w:w="1295" w:type="dxa"/>
          </w:tcPr>
          <w:p w14:paraId="334C726C">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323</w:t>
            </w:r>
          </w:p>
        </w:tc>
        <w:tc>
          <w:tcPr>
            <w:tcW w:w="1274" w:type="dxa"/>
            <w:vAlign w:val="center"/>
          </w:tcPr>
          <w:p w14:paraId="16CE628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400</w:t>
            </w:r>
          </w:p>
        </w:tc>
      </w:tr>
    </w:tbl>
    <w:p w14:paraId="304583F5">
      <w:pPr>
        <w:rPr>
          <w:rFonts w:hint="eastAsia"/>
          <w:color w:val="auto"/>
          <w:highlight w:val="none"/>
          <w:u w:val="none"/>
        </w:rPr>
      </w:pPr>
      <w:r>
        <w:rPr>
          <w:color w:val="auto"/>
          <w:highlight w:val="none"/>
          <w:u w:val="none"/>
        </w:rPr>
        <w:t>根据上表计算结果，本项目卫生防护距离为硝化单元外400m、氢化单元外300m</w:t>
      </w:r>
      <w:r>
        <w:rPr>
          <w:rFonts w:hint="eastAsia"/>
          <w:color w:val="auto"/>
          <w:highlight w:val="none"/>
          <w:u w:val="none"/>
        </w:rPr>
        <w:t>、</w:t>
      </w:r>
      <w:r>
        <w:rPr>
          <w:color w:val="auto"/>
          <w:highlight w:val="none"/>
          <w:u w:val="none"/>
        </w:rPr>
        <w:t>光化单元外300m</w:t>
      </w:r>
      <w:r>
        <w:rPr>
          <w:rFonts w:hint="eastAsia"/>
          <w:color w:val="auto"/>
          <w:highlight w:val="none"/>
          <w:u w:val="none"/>
        </w:rPr>
        <w:t>和储罐区400m</w:t>
      </w:r>
      <w:r>
        <w:rPr>
          <w:color w:val="auto"/>
          <w:highlight w:val="none"/>
          <w:u w:val="none"/>
        </w:rPr>
        <w:t>的包络范围。</w:t>
      </w:r>
    </w:p>
    <w:p w14:paraId="75E41628">
      <w:pPr>
        <w:rPr>
          <w:rFonts w:hint="eastAsia"/>
          <w:color w:val="auto"/>
          <w:highlight w:val="none"/>
          <w:u w:val="none"/>
        </w:rPr>
      </w:pPr>
      <w:r>
        <w:rPr>
          <w:color w:val="auto"/>
          <w:highlight w:val="none"/>
          <w:u w:val="none"/>
        </w:rPr>
        <w:t>结合大气环境防护距离、卫生防护距离计算结果，取最大包络范围作为项目环境防护距离，即厂界外扩</w:t>
      </w:r>
      <w:r>
        <w:rPr>
          <w:rFonts w:hint="eastAsia"/>
          <w:color w:val="auto"/>
          <w:highlight w:val="none"/>
          <w:u w:val="none"/>
        </w:rPr>
        <w:t>27.8</w:t>
      </w:r>
      <w:r>
        <w:rPr>
          <w:color w:val="auto"/>
          <w:highlight w:val="none"/>
          <w:u w:val="none"/>
        </w:rPr>
        <w:t>m、硝化单元外400m、氢化单元外300m</w:t>
      </w:r>
      <w:r>
        <w:rPr>
          <w:rFonts w:hint="eastAsia"/>
          <w:color w:val="auto"/>
          <w:highlight w:val="none"/>
          <w:u w:val="none"/>
        </w:rPr>
        <w:t>、</w:t>
      </w:r>
      <w:r>
        <w:rPr>
          <w:color w:val="auto"/>
          <w:highlight w:val="none"/>
          <w:u w:val="none"/>
        </w:rPr>
        <w:t>光化单元外300m</w:t>
      </w:r>
      <w:r>
        <w:rPr>
          <w:rFonts w:hint="eastAsia"/>
          <w:color w:val="auto"/>
          <w:highlight w:val="none"/>
          <w:u w:val="none"/>
        </w:rPr>
        <w:t>和储罐区400m</w:t>
      </w:r>
      <w:r>
        <w:rPr>
          <w:color w:val="auto"/>
          <w:highlight w:val="none"/>
          <w:u w:val="none"/>
        </w:rPr>
        <w:t>的包络范围，见</w:t>
      </w:r>
      <w:r>
        <w:rPr>
          <w:color w:val="auto"/>
          <w:highlight w:val="none"/>
          <w:u w:val="none"/>
        </w:rPr>
        <w:fldChar w:fldCharType="begin"/>
      </w:r>
      <w:r>
        <w:rPr>
          <w:color w:val="auto"/>
          <w:highlight w:val="none"/>
          <w:u w:val="none"/>
        </w:rPr>
        <w:instrText xml:space="preserve"> REF _Ref20693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rFonts w:hint="eastAsia"/>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color w:val="auto"/>
          <w:highlight w:val="none"/>
          <w:u w:val="none"/>
        </w:rPr>
        <w:fldChar w:fldCharType="end"/>
      </w:r>
      <w:r>
        <w:rPr>
          <w:color w:val="auto"/>
          <w:highlight w:val="none"/>
          <w:u w:val="none"/>
        </w:rPr>
        <w:t>。</w:t>
      </w:r>
    </w:p>
    <w:p w14:paraId="4A32F9A9">
      <w:pPr>
        <w:rPr>
          <w:rFonts w:hint="eastAsia"/>
          <w:color w:val="auto"/>
          <w:highlight w:val="none"/>
          <w:u w:val="none"/>
        </w:rPr>
      </w:pPr>
      <w:r>
        <w:rPr>
          <w:color w:val="auto"/>
          <w:highlight w:val="none"/>
          <w:u w:val="none"/>
        </w:rPr>
        <w:t>经现场调查，目前防护距离内没有居民区、学校、医院等敏感目标。对照《福州江阴港城总体规划（2018-2035）》，该范围主要涉及工业用地。因此在未来的发展中，防护距离内将不涉及建设居民区、学校、医院等敏感目标，同时本评价也要求不新增以上敏感目标。</w:t>
      </w:r>
    </w:p>
    <w:p w14:paraId="20A0AF6C">
      <w:pPr>
        <w:pStyle w:val="981"/>
        <w:rPr>
          <w:rFonts w:hint="eastAsia"/>
          <w:snapToGrid w:val="0"/>
          <w:color w:val="auto"/>
          <w:highlight w:val="none"/>
          <w:u w:val="none"/>
        </w:rPr>
      </w:pPr>
      <w:r>
        <w:rPr>
          <w:snapToGrid w:val="0"/>
          <w:color w:val="auto"/>
          <w:highlight w:val="none"/>
          <w:u w:val="none"/>
        </w:rPr>
        <w:t>（3）光气安全防护距离</w:t>
      </w:r>
    </w:p>
    <w:p w14:paraId="4F7692B5">
      <w:pPr>
        <w:rPr>
          <w:rFonts w:hint="eastAsia"/>
          <w:snapToGrid w:val="0"/>
          <w:color w:val="auto"/>
          <w:highlight w:val="none"/>
          <w:u w:val="none"/>
        </w:rPr>
      </w:pPr>
      <w:r>
        <w:rPr>
          <w:snapToGrid w:val="0"/>
          <w:color w:val="auto"/>
          <w:highlight w:val="none"/>
          <w:u w:val="none"/>
        </w:rPr>
        <w:t>根据《</w:t>
      </w:r>
      <w:r>
        <w:rPr>
          <w:rFonts w:hint="eastAsia"/>
          <w:snapToGrid w:val="0"/>
          <w:color w:val="auto"/>
          <w:highlight w:val="none"/>
          <w:u w:val="none"/>
        </w:rPr>
        <w:t>光气及光气化产品生产安全规范</w:t>
      </w:r>
      <w:r>
        <w:rPr>
          <w:snapToGrid w:val="0"/>
          <w:color w:val="auto"/>
          <w:highlight w:val="none"/>
          <w:u w:val="none"/>
        </w:rPr>
        <w:t>》（GB19041-20</w:t>
      </w:r>
      <w:r>
        <w:rPr>
          <w:rFonts w:hint="eastAsia"/>
          <w:snapToGrid w:val="0"/>
          <w:color w:val="auto"/>
          <w:highlight w:val="none"/>
          <w:u w:val="none"/>
        </w:rPr>
        <w:t>24</w:t>
      </w:r>
      <w:r>
        <w:rPr>
          <w:snapToGrid w:val="0"/>
          <w:color w:val="auto"/>
          <w:highlight w:val="none"/>
          <w:u w:val="none"/>
        </w:rPr>
        <w:t>）“4.2安全设计原则”有关规定，光气及光气化生产装置应保持如表8.1-23中相应安全防护距离。本项目TDI生产装置中光气的在线量为2</w:t>
      </w:r>
      <w:r>
        <w:rPr>
          <w:rFonts w:hint="eastAsia"/>
          <w:snapToGrid w:val="0"/>
          <w:color w:val="auto"/>
          <w:highlight w:val="none"/>
          <w:u w:val="none"/>
        </w:rPr>
        <w:t>9</w:t>
      </w:r>
      <w:r>
        <w:rPr>
          <w:snapToGrid w:val="0"/>
          <w:color w:val="auto"/>
          <w:highlight w:val="none"/>
          <w:u w:val="none"/>
        </w:rPr>
        <w:t>.</w:t>
      </w:r>
      <w:r>
        <w:rPr>
          <w:rFonts w:hint="eastAsia"/>
          <w:snapToGrid w:val="0"/>
          <w:color w:val="auto"/>
          <w:highlight w:val="none"/>
          <w:u w:val="none"/>
        </w:rPr>
        <w:t>8</w:t>
      </w:r>
      <w:r>
        <w:rPr>
          <w:snapToGrid w:val="0"/>
          <w:color w:val="auto"/>
          <w:highlight w:val="none"/>
          <w:u w:val="none"/>
        </w:rPr>
        <w:t>t，按照GB19041-20</w:t>
      </w:r>
      <w:r>
        <w:rPr>
          <w:rFonts w:hint="eastAsia"/>
          <w:snapToGrid w:val="0"/>
          <w:color w:val="auto"/>
          <w:highlight w:val="none"/>
          <w:u w:val="none"/>
        </w:rPr>
        <w:t>24</w:t>
      </w:r>
      <w:r>
        <w:rPr>
          <w:snapToGrid w:val="0"/>
          <w:color w:val="auto"/>
          <w:highlight w:val="none"/>
          <w:u w:val="none"/>
        </w:rPr>
        <w:t>规定，当装置系统光气（折纯）总量大于5000kg时，应设置2000m的安全防护距离。因此本项目应从光气及光气装置外设置2000米的防护距离，见</w:t>
      </w:r>
      <w:r>
        <w:rPr>
          <w:color w:val="auto"/>
          <w:highlight w:val="none"/>
          <w:u w:val="none"/>
        </w:rPr>
        <w:fldChar w:fldCharType="begin"/>
      </w:r>
      <w:r>
        <w:rPr>
          <w:color w:val="auto"/>
          <w:highlight w:val="none"/>
          <w:u w:val="none"/>
        </w:rPr>
        <w:instrText xml:space="preserve"> REF _Ref20693 \h  \* MERGEFORMAT </w:instrText>
      </w:r>
      <w:r>
        <w:rPr>
          <w:color w:val="auto"/>
          <w:highlight w:val="none"/>
          <w:u w:val="none"/>
        </w:rPr>
        <w:fldChar w:fldCharType="separate"/>
      </w:r>
      <w:r>
        <w:rPr>
          <w:color w:val="auto"/>
          <w:highlight w:val="none"/>
          <w:u w:val="none"/>
        </w:rPr>
        <w:t xml:space="preserve">图 </w:t>
      </w:r>
      <w:r>
        <w:rPr>
          <w:rFonts w:hint="eastAsia"/>
          <w:color w:val="auto"/>
          <w:highlight w:val="none"/>
          <w:u w:val="none"/>
        </w:rPr>
        <w:fldChar w:fldCharType="begin"/>
      </w:r>
      <w:r>
        <w:rPr>
          <w:rFonts w:hint="eastAsia"/>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color w:val="auto"/>
          <w:highlight w:val="none"/>
          <w:u w:val="none"/>
        </w:rPr>
        <w:fldChar w:fldCharType="end"/>
      </w:r>
      <w:r>
        <w:rPr>
          <w:snapToGrid w:val="0"/>
          <w:color w:val="auto"/>
          <w:highlight w:val="none"/>
          <w:u w:val="none"/>
        </w:rPr>
        <w:t>。</w:t>
      </w:r>
    </w:p>
    <w:p w14:paraId="12E706BE">
      <w:pPr>
        <w:pStyle w:val="981"/>
        <w:rPr>
          <w:rFonts w:hint="eastAsia"/>
          <w:snapToGrid w:val="0"/>
          <w:color w:val="auto"/>
          <w:highlight w:val="none"/>
          <w:u w:val="none"/>
        </w:rPr>
      </w:pPr>
      <w:r>
        <w:rPr>
          <w:snapToGrid w:val="0"/>
          <w:color w:val="auto"/>
          <w:highlight w:val="none"/>
          <w:u w:val="none"/>
        </w:rPr>
        <w:t>此外，本项目位于江阴港城工业园区，项目光气及光气化装置与周边敏感目标的距离大于</w:t>
      </w:r>
      <w:r>
        <w:rPr>
          <w:rFonts w:hint="eastAsia"/>
          <w:snapToGrid w:val="0"/>
          <w:color w:val="auto"/>
          <w:highlight w:val="none"/>
          <w:u w:val="none"/>
        </w:rPr>
        <w:t>2280</w:t>
      </w:r>
      <w:r>
        <w:rPr>
          <w:snapToGrid w:val="0"/>
          <w:color w:val="auto"/>
          <w:highlight w:val="none"/>
          <w:u w:val="none"/>
        </w:rPr>
        <w:t>m，与西侧国盛大道的距离约为</w:t>
      </w:r>
      <w:r>
        <w:rPr>
          <w:rFonts w:hint="eastAsia"/>
          <w:snapToGrid w:val="0"/>
          <w:color w:val="auto"/>
          <w:highlight w:val="none"/>
          <w:u w:val="none"/>
        </w:rPr>
        <w:t>580</w:t>
      </w:r>
      <w:r>
        <w:rPr>
          <w:snapToGrid w:val="0"/>
          <w:color w:val="auto"/>
          <w:highlight w:val="none"/>
          <w:u w:val="none"/>
        </w:rPr>
        <w:t>m，满足GB19041-20</w:t>
      </w:r>
      <w:r>
        <w:rPr>
          <w:rFonts w:hint="eastAsia"/>
          <w:snapToGrid w:val="0"/>
          <w:color w:val="auto"/>
          <w:highlight w:val="none"/>
          <w:u w:val="none"/>
        </w:rPr>
        <w:t>24</w:t>
      </w:r>
      <w:r>
        <w:rPr>
          <w:snapToGrid w:val="0"/>
          <w:color w:val="auto"/>
          <w:highlight w:val="none"/>
          <w:u w:val="none"/>
        </w:rPr>
        <w:t>中要求的“在500m半径范围内无居民，在大于500m的安全防护距离范围内不准兴建居民区、商业区等，零散居民不应超过200人”和“装置与交通要道的安全防护距离不应小于500m”。</w:t>
      </w:r>
    </w:p>
    <w:p w14:paraId="43FA6A76">
      <w:pPr>
        <w:pStyle w:val="1003"/>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43</w:t>
      </w:r>
      <w:r>
        <w:rPr>
          <w:color w:val="auto"/>
          <w:highlight w:val="none"/>
          <w:u w:val="none"/>
        </w:rPr>
        <w:fldChar w:fldCharType="end"/>
      </w:r>
      <w:r>
        <w:rPr>
          <w:color w:val="auto"/>
          <w:highlight w:val="none"/>
          <w:u w:val="none"/>
        </w:rPr>
        <w:t xml:space="preserve">  安全防护距离</w:t>
      </w:r>
    </w:p>
    <w:tbl>
      <w:tblPr>
        <w:tblStyle w:val="58"/>
        <w:tblW w:w="87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2"/>
        <w:gridCol w:w="3756"/>
        <w:gridCol w:w="3447"/>
      </w:tblGrid>
      <w:tr w14:paraId="6DFAA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2" w:type="dxa"/>
            <w:vAlign w:val="center"/>
          </w:tcPr>
          <w:p w14:paraId="78D2F69F">
            <w:pPr>
              <w:pStyle w:val="1001"/>
              <w:rPr>
                <w:color w:val="auto"/>
                <w:highlight w:val="none"/>
                <w:u w:val="none"/>
              </w:rPr>
            </w:pPr>
            <w:r>
              <w:rPr>
                <w:color w:val="auto"/>
                <w:highlight w:val="none"/>
                <w:u w:val="none"/>
              </w:rPr>
              <w:t>序号</w:t>
            </w:r>
          </w:p>
        </w:tc>
        <w:tc>
          <w:tcPr>
            <w:tcW w:w="3756" w:type="dxa"/>
            <w:vAlign w:val="center"/>
          </w:tcPr>
          <w:p w14:paraId="504C3616">
            <w:pPr>
              <w:pStyle w:val="1001"/>
              <w:rPr>
                <w:color w:val="auto"/>
                <w:highlight w:val="none"/>
                <w:u w:val="none"/>
              </w:rPr>
            </w:pPr>
            <w:r>
              <w:rPr>
                <w:color w:val="auto"/>
                <w:highlight w:val="none"/>
                <w:u w:val="none"/>
              </w:rPr>
              <w:t>装置系统光气（折纯）总量（kg）</w:t>
            </w:r>
          </w:p>
        </w:tc>
        <w:tc>
          <w:tcPr>
            <w:tcW w:w="3447" w:type="dxa"/>
            <w:vAlign w:val="center"/>
          </w:tcPr>
          <w:p w14:paraId="16C3BB71">
            <w:pPr>
              <w:pStyle w:val="1001"/>
              <w:rPr>
                <w:color w:val="auto"/>
                <w:highlight w:val="none"/>
                <w:u w:val="none"/>
              </w:rPr>
            </w:pPr>
            <w:r>
              <w:rPr>
                <w:color w:val="auto"/>
                <w:highlight w:val="none"/>
                <w:u w:val="none"/>
              </w:rPr>
              <w:t>安全防护距离（m）</w:t>
            </w:r>
          </w:p>
        </w:tc>
      </w:tr>
      <w:tr w14:paraId="25B7D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2" w:type="dxa"/>
            <w:vAlign w:val="center"/>
          </w:tcPr>
          <w:p w14:paraId="433A3C5C">
            <w:pPr>
              <w:pStyle w:val="1001"/>
              <w:rPr>
                <w:color w:val="auto"/>
                <w:highlight w:val="none"/>
                <w:u w:val="none"/>
              </w:rPr>
            </w:pPr>
            <w:r>
              <w:rPr>
                <w:color w:val="auto"/>
                <w:highlight w:val="none"/>
                <w:u w:val="none"/>
              </w:rPr>
              <w:t>1</w:t>
            </w:r>
          </w:p>
        </w:tc>
        <w:tc>
          <w:tcPr>
            <w:tcW w:w="3756" w:type="dxa"/>
            <w:vAlign w:val="center"/>
          </w:tcPr>
          <w:p w14:paraId="2C2A6020">
            <w:pPr>
              <w:pStyle w:val="1001"/>
              <w:rPr>
                <w:color w:val="auto"/>
                <w:highlight w:val="none"/>
                <w:u w:val="none"/>
              </w:rPr>
            </w:pPr>
            <w:r>
              <w:rPr>
                <w:color w:val="auto"/>
                <w:highlight w:val="none"/>
                <w:u w:val="none"/>
              </w:rPr>
              <w:t>&lt;3000</w:t>
            </w:r>
          </w:p>
        </w:tc>
        <w:tc>
          <w:tcPr>
            <w:tcW w:w="3447" w:type="dxa"/>
            <w:vAlign w:val="center"/>
          </w:tcPr>
          <w:p w14:paraId="70B68922">
            <w:pPr>
              <w:pStyle w:val="1001"/>
              <w:rPr>
                <w:color w:val="auto"/>
                <w:highlight w:val="none"/>
                <w:u w:val="none"/>
              </w:rPr>
            </w:pPr>
            <w:r>
              <w:rPr>
                <w:color w:val="auto"/>
                <w:highlight w:val="none"/>
                <w:u w:val="none"/>
              </w:rPr>
              <w:t>1000</w:t>
            </w:r>
          </w:p>
        </w:tc>
      </w:tr>
      <w:tr w14:paraId="0D1A0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2" w:type="dxa"/>
            <w:vAlign w:val="center"/>
          </w:tcPr>
          <w:p w14:paraId="17EF7707">
            <w:pPr>
              <w:pStyle w:val="1001"/>
              <w:rPr>
                <w:color w:val="auto"/>
                <w:highlight w:val="none"/>
                <w:u w:val="none"/>
              </w:rPr>
            </w:pPr>
            <w:r>
              <w:rPr>
                <w:color w:val="auto"/>
                <w:highlight w:val="none"/>
                <w:u w:val="none"/>
              </w:rPr>
              <w:t>2</w:t>
            </w:r>
          </w:p>
        </w:tc>
        <w:tc>
          <w:tcPr>
            <w:tcW w:w="3756" w:type="dxa"/>
            <w:vAlign w:val="center"/>
          </w:tcPr>
          <w:p w14:paraId="58B608BB">
            <w:pPr>
              <w:pStyle w:val="1001"/>
              <w:rPr>
                <w:color w:val="auto"/>
                <w:highlight w:val="none"/>
                <w:u w:val="none"/>
              </w:rPr>
            </w:pPr>
            <w:r>
              <w:rPr>
                <w:color w:val="auto"/>
                <w:highlight w:val="none"/>
                <w:u w:val="none"/>
              </w:rPr>
              <w:t>3000~5000</w:t>
            </w:r>
          </w:p>
        </w:tc>
        <w:tc>
          <w:tcPr>
            <w:tcW w:w="3447" w:type="dxa"/>
            <w:vAlign w:val="center"/>
          </w:tcPr>
          <w:p w14:paraId="5A79C8D2">
            <w:pPr>
              <w:pStyle w:val="1001"/>
              <w:rPr>
                <w:color w:val="auto"/>
                <w:highlight w:val="none"/>
                <w:u w:val="none"/>
              </w:rPr>
            </w:pPr>
            <w:r>
              <w:rPr>
                <w:color w:val="auto"/>
                <w:highlight w:val="none"/>
                <w:u w:val="none"/>
              </w:rPr>
              <w:t>1500</w:t>
            </w:r>
          </w:p>
        </w:tc>
      </w:tr>
      <w:tr w14:paraId="12FAF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2" w:type="dxa"/>
            <w:vAlign w:val="center"/>
          </w:tcPr>
          <w:p w14:paraId="3A835FCE">
            <w:pPr>
              <w:pStyle w:val="1001"/>
              <w:rPr>
                <w:color w:val="auto"/>
                <w:highlight w:val="none"/>
                <w:u w:val="none"/>
              </w:rPr>
            </w:pPr>
            <w:r>
              <w:rPr>
                <w:color w:val="auto"/>
                <w:highlight w:val="none"/>
                <w:u w:val="none"/>
              </w:rPr>
              <w:t>3</w:t>
            </w:r>
          </w:p>
        </w:tc>
        <w:tc>
          <w:tcPr>
            <w:tcW w:w="3756" w:type="dxa"/>
            <w:vAlign w:val="center"/>
          </w:tcPr>
          <w:p w14:paraId="5CFF354E">
            <w:pPr>
              <w:pStyle w:val="1001"/>
              <w:rPr>
                <w:color w:val="auto"/>
                <w:highlight w:val="none"/>
                <w:u w:val="none"/>
              </w:rPr>
            </w:pPr>
            <w:r>
              <w:rPr>
                <w:color w:val="auto"/>
                <w:highlight w:val="none"/>
                <w:u w:val="none"/>
              </w:rPr>
              <w:t>&gt;5000</w:t>
            </w:r>
          </w:p>
        </w:tc>
        <w:tc>
          <w:tcPr>
            <w:tcW w:w="3447" w:type="dxa"/>
            <w:vAlign w:val="center"/>
          </w:tcPr>
          <w:p w14:paraId="45ACD883">
            <w:pPr>
              <w:pStyle w:val="1001"/>
              <w:rPr>
                <w:color w:val="auto"/>
                <w:highlight w:val="none"/>
                <w:u w:val="none"/>
              </w:rPr>
            </w:pPr>
            <w:r>
              <w:rPr>
                <w:color w:val="auto"/>
                <w:highlight w:val="none"/>
                <w:u w:val="none"/>
              </w:rPr>
              <w:t>2000</w:t>
            </w:r>
          </w:p>
        </w:tc>
      </w:tr>
    </w:tbl>
    <w:p w14:paraId="4108ECBF">
      <w:pPr>
        <w:pStyle w:val="981"/>
        <w:rPr>
          <w:rFonts w:hint="eastAsia"/>
          <w:color w:val="auto"/>
          <w:highlight w:val="none"/>
          <w:u w:val="none"/>
        </w:rPr>
      </w:pPr>
      <w:r>
        <w:rPr>
          <w:color w:val="auto"/>
          <w:highlight w:val="none"/>
          <w:u w:val="none"/>
        </w:rPr>
        <w:t>本项目TDI生产装置中光气的在线量为2</w:t>
      </w:r>
      <w:r>
        <w:rPr>
          <w:rFonts w:hint="eastAsia"/>
          <w:color w:val="auto"/>
          <w:highlight w:val="none"/>
          <w:u w:val="none"/>
          <w:lang w:val="en-US"/>
        </w:rPr>
        <w:t>9.8</w:t>
      </w:r>
      <w:r>
        <w:rPr>
          <w:color w:val="auto"/>
          <w:highlight w:val="none"/>
          <w:u w:val="none"/>
        </w:rPr>
        <w:t>t，按照《</w:t>
      </w:r>
      <w:r>
        <w:rPr>
          <w:rFonts w:hint="eastAsia"/>
          <w:color w:val="auto"/>
          <w:highlight w:val="none"/>
          <w:u w:val="none"/>
        </w:rPr>
        <w:t>光气及光气化产品生产安全规范</w:t>
      </w:r>
      <w:r>
        <w:rPr>
          <w:color w:val="auto"/>
          <w:highlight w:val="none"/>
          <w:u w:val="none"/>
        </w:rPr>
        <w:t>》（GB19041-20</w:t>
      </w:r>
      <w:r>
        <w:rPr>
          <w:rFonts w:hint="eastAsia"/>
          <w:color w:val="auto"/>
          <w:highlight w:val="none"/>
          <w:u w:val="none"/>
        </w:rPr>
        <w:t>24</w:t>
      </w:r>
      <w:r>
        <w:rPr>
          <w:color w:val="auto"/>
          <w:highlight w:val="none"/>
          <w:u w:val="none"/>
        </w:rPr>
        <w:t>）规定，应设置2000m的安全防护距离，见</w:t>
      </w:r>
      <w:r>
        <w:rPr>
          <w:color w:val="auto"/>
          <w:highlight w:val="none"/>
          <w:u w:val="none"/>
        </w:rPr>
        <w:fldChar w:fldCharType="begin"/>
      </w:r>
      <w:r>
        <w:rPr>
          <w:color w:val="auto"/>
          <w:highlight w:val="none"/>
          <w:u w:val="none"/>
        </w:rPr>
        <w:instrText xml:space="preserve"> REF _Ref20693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color w:val="auto"/>
          <w:highlight w:val="none"/>
          <w:u w:val="none"/>
        </w:rPr>
        <w:fldChar w:fldCharType="end"/>
      </w:r>
      <w:r>
        <w:rPr>
          <w:color w:val="auto"/>
          <w:highlight w:val="none"/>
          <w:u w:val="none"/>
        </w:rPr>
        <w:t>。</w:t>
      </w:r>
    </w:p>
    <w:p w14:paraId="0E6F1F93">
      <w:pPr>
        <w:pStyle w:val="75"/>
        <w:ind w:firstLine="0" w:firstLineChars="0"/>
        <w:jc w:val="center"/>
        <w:rPr>
          <w:rFonts w:hint="eastAsia"/>
          <w:color w:val="auto"/>
          <w:szCs w:val="21"/>
          <w:highlight w:val="none"/>
          <w:u w:val="none"/>
        </w:rPr>
      </w:pPr>
    </w:p>
    <w:p w14:paraId="581B091E">
      <w:pPr>
        <w:snapToGrid w:val="0"/>
        <w:ind w:firstLine="482"/>
        <w:jc w:val="center"/>
        <w:rPr>
          <w:rFonts w:hAnsi="Times New Roman"/>
          <w:b/>
          <w:bCs/>
          <w:color w:val="auto"/>
          <w:szCs w:val="30"/>
          <w:highlight w:val="none"/>
          <w:u w:val="none"/>
        </w:rPr>
      </w:pPr>
      <w:bookmarkStart w:id="495" w:name="_Ref20693"/>
      <w:r>
        <w:rPr>
          <w:b/>
          <w:bCs/>
          <w:color w:val="auto"/>
          <w:highlight w:val="none"/>
          <w:u w:val="none"/>
        </w:rPr>
        <w:t xml:space="preserve">图 </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8.1</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图 \* ARABIC \s 2 </w:instrText>
      </w:r>
      <w:r>
        <w:rPr>
          <w:b/>
          <w:bCs/>
          <w:color w:val="auto"/>
          <w:highlight w:val="none"/>
          <w:u w:val="none"/>
        </w:rPr>
        <w:fldChar w:fldCharType="separate"/>
      </w:r>
      <w:r>
        <w:rPr>
          <w:b/>
          <w:bCs/>
          <w:color w:val="auto"/>
          <w:highlight w:val="none"/>
          <w:u w:val="none"/>
        </w:rPr>
        <w:t>22</w:t>
      </w:r>
      <w:r>
        <w:rPr>
          <w:b/>
          <w:bCs/>
          <w:color w:val="auto"/>
          <w:highlight w:val="none"/>
          <w:u w:val="none"/>
        </w:rPr>
        <w:fldChar w:fldCharType="end"/>
      </w:r>
      <w:bookmarkEnd w:id="495"/>
      <w:r>
        <w:rPr>
          <w:rFonts w:eastAsia="黑体"/>
          <w:b/>
          <w:bCs/>
          <w:color w:val="auto"/>
          <w:szCs w:val="30"/>
          <w:highlight w:val="none"/>
          <w:u w:val="none"/>
        </w:rPr>
        <w:t xml:space="preserve"> </w:t>
      </w:r>
      <w:r>
        <w:rPr>
          <w:rFonts w:hAnsi="Times New Roman"/>
          <w:b/>
          <w:bCs/>
          <w:color w:val="auto"/>
          <w:szCs w:val="30"/>
          <w:highlight w:val="none"/>
          <w:u w:val="none"/>
        </w:rPr>
        <w:t xml:space="preserve"> 本项目环境防护距离示意图</w:t>
      </w:r>
    </w:p>
    <w:p w14:paraId="20399F03">
      <w:pPr>
        <w:pStyle w:val="981"/>
        <w:rPr>
          <w:rFonts w:hint="eastAsia"/>
          <w:color w:val="auto"/>
          <w:highlight w:val="none"/>
          <w:u w:val="none"/>
        </w:rPr>
      </w:pPr>
      <w:r>
        <w:rPr>
          <w:color w:val="auto"/>
          <w:highlight w:val="none"/>
          <w:u w:val="none"/>
        </w:rPr>
        <w:t>（4）现有工程防护距离</w:t>
      </w:r>
    </w:p>
    <w:p w14:paraId="5D960B22">
      <w:pPr>
        <w:rPr>
          <w:rFonts w:hint="eastAsia"/>
          <w:color w:val="auto"/>
          <w:highlight w:val="none"/>
          <w:u w:val="none"/>
        </w:rPr>
      </w:pPr>
      <w:r>
        <w:rPr>
          <w:rFonts w:hint="eastAsia"/>
          <w:color w:val="auto"/>
          <w:highlight w:val="none"/>
          <w:u w:val="none"/>
        </w:rPr>
        <w:t>万华福建公司扩建25万吨/年TDI项目自厂界向外设置290.59m的大气环境防护距离和光气安全防护距离（装置区外延2000m），其卫生防护距离为硝化单元外400m、氢化单元外300m和光化单元外400m的包络范围。</w:t>
      </w:r>
    </w:p>
    <w:p w14:paraId="6035F768">
      <w:pPr>
        <w:rPr>
          <w:rFonts w:hint="eastAsia"/>
          <w:color w:val="auto"/>
          <w:highlight w:val="none"/>
          <w:u w:val="none"/>
        </w:rPr>
      </w:pPr>
      <w:r>
        <w:rPr>
          <w:rFonts w:hint="eastAsia"/>
          <w:color w:val="auto"/>
          <w:highlight w:val="none"/>
          <w:u w:val="none"/>
        </w:rPr>
        <w:t>年产80万吨PVC项目卫生防护距离为：VCM装置区（一期）外100m、PVC装置区（一期）外50m、VCM装置区（二期）外100m、PVC装置区（二期）外50m、VCM罐区（一期+二期）外50m、EDC中间罐区（一期）外50m和EDC中间罐区（二期）外50m的包络范围，不设置大气防护距离。</w:t>
      </w:r>
    </w:p>
    <w:p w14:paraId="11614BBE">
      <w:pPr>
        <w:rPr>
          <w:rFonts w:hint="eastAsia"/>
          <w:color w:val="auto"/>
          <w:highlight w:val="none"/>
          <w:u w:val="none"/>
        </w:rPr>
      </w:pPr>
      <w:r>
        <w:rPr>
          <w:rFonts w:hint="eastAsia"/>
          <w:color w:val="auto"/>
          <w:highlight w:val="none"/>
          <w:u w:val="none"/>
        </w:rPr>
        <w:t>年产108万吨苯胺项目设置大气环境防护距离为厂界外延146m，卫生防护距离为1#硝酸装置外100m、2#硝酸装置外100m、1#硝基苯装置外200m、1#苯胺装置外50m、2#硝基苯装置外200m、2#苯胺装置外50m、3#硝酸装置外100m、3#硝基苯装置外200m、3#苯胺装置外50m、硝基苯罐区外100m和苯胺罐区外50m的包络范围。</w:t>
      </w:r>
    </w:p>
    <w:p w14:paraId="5CA36E45">
      <w:pPr>
        <w:rPr>
          <w:rFonts w:hint="eastAsia"/>
          <w:color w:val="auto"/>
          <w:highlight w:val="none"/>
          <w:u w:val="none"/>
        </w:rPr>
      </w:pPr>
      <w:r>
        <w:rPr>
          <w:rFonts w:hint="eastAsia"/>
          <w:color w:val="auto"/>
          <w:highlight w:val="none"/>
          <w:u w:val="none"/>
        </w:rPr>
        <w:t>年产48万吨甲醛项目卫生防护距离为甲醛装置区外100m的包络范围，不设大气防护距离。</w:t>
      </w:r>
    </w:p>
    <w:p w14:paraId="04CA3A64">
      <w:pPr>
        <w:pStyle w:val="981"/>
        <w:rPr>
          <w:rFonts w:hint="eastAsia"/>
          <w:color w:val="auto"/>
          <w:highlight w:val="none"/>
          <w:u w:val="none"/>
        </w:rPr>
      </w:pPr>
      <w:r>
        <w:rPr>
          <w:rFonts w:hint="eastAsia"/>
          <w:color w:val="auto"/>
          <w:highlight w:val="none"/>
          <w:u w:val="none"/>
        </w:rPr>
        <w:t>由于以上防护距离均在扩建25万吨/年TDI项目涉光气装置外2000m防护距离的包络范围内，因此现有工程防护距离为涉光气装置外2000m的防护距离</w:t>
      </w:r>
      <w:r>
        <w:rPr>
          <w:rFonts w:hint="eastAsia"/>
          <w:color w:val="auto"/>
          <w:highlight w:val="none"/>
          <w:u w:val="none"/>
          <w:lang w:val="en-US"/>
        </w:rPr>
        <w:t>。</w:t>
      </w:r>
    </w:p>
    <w:p w14:paraId="5D2EC254">
      <w:pPr>
        <w:pStyle w:val="981"/>
        <w:rPr>
          <w:rFonts w:hint="eastAsia"/>
          <w:color w:val="auto"/>
          <w:highlight w:val="none"/>
          <w:u w:val="none"/>
        </w:rPr>
      </w:pPr>
      <w:r>
        <w:rPr>
          <w:color w:val="auto"/>
          <w:highlight w:val="none"/>
          <w:u w:val="none"/>
        </w:rPr>
        <w:t>（5）项目防护距离</w:t>
      </w:r>
    </w:p>
    <w:p w14:paraId="65E1EC9A">
      <w:pPr>
        <w:pStyle w:val="981"/>
        <w:rPr>
          <w:rFonts w:hint="eastAsia"/>
          <w:color w:val="auto"/>
          <w:highlight w:val="none"/>
          <w:u w:val="none"/>
        </w:rPr>
      </w:pPr>
      <w:r>
        <w:rPr>
          <w:color w:val="auto"/>
          <w:highlight w:val="none"/>
          <w:u w:val="none"/>
        </w:rPr>
        <w:t>综上所述，本项目最终防护距离取大气环境防护距离、光气安全防护距离和现有工程防护距离的包络范围，最终防护距离为光气及光气化生产装置外2000米的防护距离</w:t>
      </w:r>
      <w:r>
        <w:rPr>
          <w:rFonts w:hint="eastAsia"/>
          <w:color w:val="auto"/>
          <w:highlight w:val="none"/>
          <w:u w:val="none"/>
        </w:rPr>
        <w:t>（</w:t>
      </w:r>
      <w:r>
        <w:rPr>
          <w:color w:val="auto"/>
          <w:highlight w:val="none"/>
          <w:u w:val="none"/>
        </w:rPr>
        <w:t>具体见</w:t>
      </w:r>
      <w:r>
        <w:rPr>
          <w:color w:val="auto"/>
          <w:highlight w:val="none"/>
          <w:u w:val="none"/>
        </w:rPr>
        <w:fldChar w:fldCharType="begin"/>
      </w:r>
      <w:r>
        <w:rPr>
          <w:color w:val="auto"/>
          <w:highlight w:val="none"/>
          <w:u w:val="none"/>
        </w:rPr>
        <w:instrText xml:space="preserve"> REF _Ref20693 \h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t>22</w:t>
      </w:r>
      <w:r>
        <w:rPr>
          <w:color w:val="auto"/>
          <w:highlight w:val="none"/>
          <w:u w:val="none"/>
        </w:rPr>
        <w:fldChar w:fldCharType="end"/>
      </w:r>
      <w:r>
        <w:rPr>
          <w:rFonts w:hint="eastAsia"/>
          <w:color w:val="auto"/>
          <w:highlight w:val="none"/>
          <w:u w:val="none"/>
        </w:rPr>
        <w:t>），在该范围内严禁建设居住区、学校、医院、商业区等对环境敏感性较强的建筑。根据项目周边地理位置及敏感目标调查，防护距离内现状无长期居住的居民住宅、学校、医院、商业区以及规划的居住用地等相关敏感用地，符合防护距离的要求。</w:t>
      </w:r>
    </w:p>
    <w:p w14:paraId="4604E9B7">
      <w:pPr>
        <w:pStyle w:val="6"/>
        <w:spacing w:before="156" w:after="156"/>
        <w:rPr>
          <w:color w:val="auto"/>
          <w:highlight w:val="none"/>
          <w:u w:val="none"/>
        </w:rPr>
      </w:pPr>
      <w:r>
        <w:rPr>
          <w:rFonts w:hint="eastAsia"/>
          <w:color w:val="auto"/>
          <w:highlight w:val="none"/>
          <w:u w:val="none"/>
        </w:rPr>
        <w:t>区域环境质量改善建议</w:t>
      </w:r>
    </w:p>
    <w:p w14:paraId="65AE4A60">
      <w:pPr>
        <w:rPr>
          <w:rFonts w:hint="eastAsia"/>
          <w:color w:val="auto"/>
          <w:highlight w:val="none"/>
          <w:u w:val="none"/>
        </w:rPr>
      </w:pPr>
      <w:r>
        <w:rPr>
          <w:rFonts w:hint="eastAsia"/>
          <w:color w:val="auto"/>
          <w:highlight w:val="none"/>
          <w:u w:val="none"/>
        </w:rPr>
        <w:t>为了改善区域环境空气质量，本评价提出如下建议：</w:t>
      </w:r>
    </w:p>
    <w:p w14:paraId="6A683DE2">
      <w:pPr>
        <w:rPr>
          <w:rFonts w:hint="eastAsia"/>
          <w:color w:val="auto"/>
          <w:highlight w:val="none"/>
          <w:u w:val="none"/>
        </w:rPr>
      </w:pPr>
      <w:r>
        <w:rPr>
          <w:rFonts w:hint="eastAsia"/>
          <w:color w:val="auto"/>
          <w:highlight w:val="none"/>
          <w:u w:val="none"/>
        </w:rPr>
        <w:t>（1）项目在设计阶段或是建设阶段，根据万华公司的研发水平，优先使用低排放、低能耗、低物耗的工艺技术，进一步降低设备的能耗、物耗及污染物排放水平；</w:t>
      </w:r>
    </w:p>
    <w:p w14:paraId="3C1AEE5A">
      <w:pPr>
        <w:rPr>
          <w:rFonts w:hint="eastAsia"/>
          <w:color w:val="auto"/>
          <w:highlight w:val="none"/>
          <w:u w:val="none"/>
        </w:rPr>
      </w:pPr>
      <w:r>
        <w:rPr>
          <w:rFonts w:hint="eastAsia"/>
          <w:color w:val="auto"/>
          <w:highlight w:val="none"/>
          <w:u w:val="none"/>
        </w:rPr>
        <w:t>（2）企业内部使用新能源运输车辆，减少移动污染源排放；</w:t>
      </w:r>
    </w:p>
    <w:p w14:paraId="7036D812">
      <w:pPr>
        <w:rPr>
          <w:rFonts w:hint="eastAsia"/>
          <w:color w:val="auto"/>
          <w:highlight w:val="none"/>
          <w:u w:val="none"/>
        </w:rPr>
      </w:pPr>
      <w:r>
        <w:rPr>
          <w:rFonts w:hint="eastAsia"/>
          <w:color w:val="auto"/>
          <w:highlight w:val="none"/>
          <w:u w:val="none"/>
        </w:rPr>
        <w:t>（3）实行低VOCs原料替代，减少挥发性有机物排放；</w:t>
      </w:r>
    </w:p>
    <w:p w14:paraId="030C2187">
      <w:pPr>
        <w:rPr>
          <w:rFonts w:hint="eastAsia"/>
          <w:color w:val="auto"/>
          <w:highlight w:val="none"/>
          <w:u w:val="none"/>
        </w:rPr>
      </w:pPr>
      <w:r>
        <w:rPr>
          <w:rFonts w:hint="eastAsia"/>
          <w:color w:val="auto"/>
          <w:highlight w:val="none"/>
          <w:u w:val="none"/>
        </w:rPr>
        <w:t>（4）在条件允许的情况下，使用绿电，降低项目的碳排放量；</w:t>
      </w:r>
    </w:p>
    <w:p w14:paraId="1C3E740B">
      <w:pPr>
        <w:rPr>
          <w:rFonts w:hint="eastAsia" w:eastAsia="宋体"/>
          <w:color w:val="auto"/>
          <w:highlight w:val="none"/>
          <w:u w:val="none"/>
          <w:lang w:eastAsia="zh-CN"/>
        </w:rPr>
      </w:pPr>
      <w:r>
        <w:rPr>
          <w:rFonts w:hint="eastAsia"/>
          <w:color w:val="auto"/>
          <w:highlight w:val="none"/>
          <w:u w:val="none"/>
        </w:rPr>
        <w:t>（5）加强设备的检修维护，定期进行LDAR检测，及时发现和修复由于设备老化、设计缺陷、操作不当等原因导致的泄漏问题，减少项目装置无组织排放</w:t>
      </w:r>
      <w:r>
        <w:rPr>
          <w:rFonts w:hint="eastAsia"/>
          <w:color w:val="auto"/>
          <w:highlight w:val="none"/>
          <w:u w:val="none"/>
          <w:lang w:eastAsia="zh-CN"/>
        </w:rPr>
        <w:t>。</w:t>
      </w:r>
    </w:p>
    <w:p w14:paraId="29ADDC20">
      <w:pPr>
        <w:pStyle w:val="6"/>
        <w:spacing w:before="156" w:after="156"/>
        <w:rPr>
          <w:color w:val="auto"/>
          <w:highlight w:val="none"/>
          <w:u w:val="none"/>
        </w:rPr>
      </w:pPr>
      <w:r>
        <w:rPr>
          <w:color w:val="auto"/>
          <w:highlight w:val="none"/>
          <w:u w:val="none"/>
        </w:rPr>
        <w:t>大气环境影响小结</w:t>
      </w:r>
    </w:p>
    <w:p w14:paraId="0DE282B5">
      <w:pPr>
        <w:rPr>
          <w:rFonts w:hint="eastAsia"/>
          <w:color w:val="auto"/>
          <w:highlight w:val="none"/>
          <w:u w:val="none"/>
        </w:rPr>
      </w:pPr>
      <w:r>
        <w:rPr>
          <w:color w:val="auto"/>
          <w:highlight w:val="none"/>
          <w:u w:val="none"/>
        </w:rPr>
        <w:t>（1）本项目新增污染物贡献值分析</w:t>
      </w:r>
    </w:p>
    <w:p w14:paraId="45BD0D61">
      <w:pPr>
        <w:rPr>
          <w:rFonts w:hint="eastAsia"/>
          <w:color w:val="auto"/>
          <w:highlight w:val="none"/>
          <w:u w:val="none"/>
        </w:rPr>
      </w:pPr>
      <w:r>
        <w:rPr>
          <w:color w:val="auto"/>
          <w:highlight w:val="none"/>
          <w:u w:val="none"/>
        </w:rPr>
        <w:t>本评价选用202</w:t>
      </w:r>
      <w:r>
        <w:rPr>
          <w:rFonts w:hint="eastAsia"/>
          <w:color w:val="auto"/>
          <w:highlight w:val="none"/>
          <w:u w:val="none"/>
        </w:rPr>
        <w:t>2</w:t>
      </w:r>
      <w:r>
        <w:rPr>
          <w:color w:val="auto"/>
          <w:highlight w:val="none"/>
          <w:u w:val="none"/>
        </w:rPr>
        <w:t>年作为预测基准年，项目选址位于环境空气质量现状达标区。本项目排放的TDA、NMHC、DNT、邻二氯苯、甲苯、Cl</w:t>
      </w:r>
      <w:r>
        <w:rPr>
          <w:color w:val="auto"/>
          <w:highlight w:val="none"/>
          <w:u w:val="none"/>
          <w:vertAlign w:val="subscript"/>
        </w:rPr>
        <w:t>2</w:t>
      </w:r>
      <w:r>
        <w:rPr>
          <w:color w:val="auto"/>
          <w:highlight w:val="none"/>
          <w:u w:val="none"/>
        </w:rPr>
        <w:t>、HCl和光气预测短期浓度贡献值最大浓度占标率均小于100%。</w:t>
      </w:r>
    </w:p>
    <w:p w14:paraId="00B721DA">
      <w:pPr>
        <w:rPr>
          <w:rFonts w:hint="eastAsia"/>
          <w:color w:val="auto"/>
          <w:highlight w:val="none"/>
          <w:u w:val="none"/>
        </w:rPr>
      </w:pPr>
      <w:r>
        <w:rPr>
          <w:color w:val="auto"/>
          <w:highlight w:val="none"/>
          <w:u w:val="none"/>
        </w:rPr>
        <w:t>（2）厂界小时浓度达标可行性分析</w:t>
      </w:r>
    </w:p>
    <w:p w14:paraId="0C9A52FC">
      <w:pPr>
        <w:rPr>
          <w:rFonts w:hint="eastAsia"/>
          <w:color w:val="auto"/>
          <w:highlight w:val="none"/>
          <w:u w:val="none"/>
        </w:rPr>
      </w:pPr>
      <w:r>
        <w:rPr>
          <w:color w:val="auto"/>
          <w:highlight w:val="none"/>
          <w:u w:val="none"/>
        </w:rPr>
        <w:t>氯化氢、氯气、甲苯、NMHC、TDA、邻二氯苯、DNT</w:t>
      </w:r>
      <w:r>
        <w:rPr>
          <w:rFonts w:hint="eastAsia"/>
          <w:color w:val="auto"/>
          <w:highlight w:val="none"/>
          <w:u w:val="none"/>
        </w:rPr>
        <w:t>、</w:t>
      </w:r>
      <w:r>
        <w:rPr>
          <w:color w:val="auto"/>
          <w:highlight w:val="none"/>
          <w:u w:val="none"/>
        </w:rPr>
        <w:t>光气</w:t>
      </w:r>
      <w:r>
        <w:rPr>
          <w:rFonts w:hint="eastAsia"/>
          <w:color w:val="auto"/>
          <w:highlight w:val="none"/>
          <w:u w:val="none"/>
        </w:rPr>
        <w:t>、PM10和PM</w:t>
      </w:r>
      <w:r>
        <w:rPr>
          <w:rFonts w:hint="eastAsia"/>
          <w:color w:val="auto"/>
          <w:highlight w:val="none"/>
          <w:u w:val="none"/>
          <w:vertAlign w:val="subscript"/>
        </w:rPr>
        <w:t>2.5</w:t>
      </w:r>
      <w:r>
        <w:rPr>
          <w:color w:val="auto"/>
          <w:highlight w:val="none"/>
          <w:u w:val="none"/>
        </w:rPr>
        <w:t>在厂界预测小时最大落地浓度分别占相应厂界标准限值的</w:t>
      </w:r>
      <w:r>
        <w:rPr>
          <w:rFonts w:hint="eastAsia"/>
          <w:color w:val="auto"/>
          <w:highlight w:val="none"/>
          <w:u w:val="none"/>
        </w:rPr>
        <w:t>22.25%、8.65%、1.13%、27.50%、56.25%、21.80%、38.75%、2.87%、3.30%和1.60%。</w:t>
      </w:r>
    </w:p>
    <w:p w14:paraId="176E3629">
      <w:pPr>
        <w:rPr>
          <w:rFonts w:hint="eastAsia"/>
          <w:color w:val="auto"/>
          <w:highlight w:val="none"/>
          <w:u w:val="none"/>
        </w:rPr>
      </w:pPr>
      <w:r>
        <w:rPr>
          <w:color w:val="auto"/>
          <w:highlight w:val="none"/>
          <w:u w:val="none"/>
        </w:rPr>
        <w:t>（3）本项目污染物叠加预测分析</w:t>
      </w:r>
    </w:p>
    <w:p w14:paraId="7A20931A">
      <w:pPr>
        <w:rPr>
          <w:rFonts w:hint="eastAsia"/>
          <w:color w:val="auto"/>
          <w:highlight w:val="none"/>
          <w:u w:val="none"/>
        </w:rPr>
      </w:pPr>
      <w:r>
        <w:rPr>
          <w:rFonts w:hint="eastAsia"/>
          <w:color w:val="auto"/>
          <w:highlight w:val="none"/>
          <w:u w:val="none"/>
        </w:rPr>
        <w:t>氯化氢、氯气、甲苯、NMHC、TDA、邻二氯苯、DNT和光气叠加背景值和周边在建、拟建源贡献浓度后，各保护目标中最大小时浓度占标率分别为</w:t>
      </w:r>
      <w:r>
        <w:rPr>
          <w:rFonts w:hint="eastAsia"/>
          <w:color w:val="auto"/>
          <w:highlight w:val="none"/>
          <w:u w:val="none"/>
          <w:lang w:val="en-US"/>
        </w:rPr>
        <w:t>8.90</w:t>
      </w:r>
      <w:r>
        <w:rPr>
          <w:rFonts w:hint="eastAsia"/>
          <w:color w:val="auto"/>
          <w:highlight w:val="none"/>
          <w:u w:val="none"/>
        </w:rPr>
        <w:t>%、</w:t>
      </w:r>
      <w:r>
        <w:rPr>
          <w:rFonts w:hint="eastAsia"/>
          <w:color w:val="auto"/>
          <w:highlight w:val="none"/>
          <w:u w:val="none"/>
          <w:lang w:val="en-US"/>
        </w:rPr>
        <w:t>1.64</w:t>
      </w:r>
      <w:r>
        <w:rPr>
          <w:rFonts w:hint="eastAsia"/>
          <w:color w:val="auto"/>
          <w:highlight w:val="none"/>
          <w:u w:val="none"/>
        </w:rPr>
        <w:t>%、0.</w:t>
      </w:r>
      <w:r>
        <w:rPr>
          <w:rFonts w:hint="eastAsia"/>
          <w:color w:val="auto"/>
          <w:highlight w:val="none"/>
          <w:u w:val="none"/>
          <w:lang w:val="en-US"/>
        </w:rPr>
        <w:t>19</w:t>
      </w:r>
      <w:r>
        <w:rPr>
          <w:rFonts w:hint="eastAsia"/>
          <w:color w:val="auto"/>
          <w:highlight w:val="none"/>
          <w:u w:val="none"/>
        </w:rPr>
        <w:t>%、18.1</w:t>
      </w:r>
      <w:r>
        <w:rPr>
          <w:rFonts w:hint="eastAsia"/>
          <w:color w:val="auto"/>
          <w:highlight w:val="none"/>
          <w:u w:val="none"/>
          <w:lang w:val="en-US"/>
        </w:rPr>
        <w:t>0</w:t>
      </w:r>
      <w:r>
        <w:rPr>
          <w:rFonts w:hint="eastAsia"/>
          <w:color w:val="auto"/>
          <w:highlight w:val="none"/>
          <w:u w:val="none"/>
        </w:rPr>
        <w:t>%、</w:t>
      </w:r>
      <w:r>
        <w:rPr>
          <w:rFonts w:hint="eastAsia"/>
          <w:color w:val="auto"/>
          <w:highlight w:val="none"/>
          <w:u w:val="none"/>
          <w:lang w:val="en-US"/>
        </w:rPr>
        <w:t>2.37</w:t>
      </w:r>
      <w:r>
        <w:rPr>
          <w:rFonts w:hint="eastAsia"/>
          <w:color w:val="auto"/>
          <w:highlight w:val="none"/>
          <w:u w:val="none"/>
        </w:rPr>
        <w:t>%、</w:t>
      </w:r>
      <w:r>
        <w:rPr>
          <w:rFonts w:hint="eastAsia"/>
          <w:color w:val="auto"/>
          <w:highlight w:val="none"/>
          <w:u w:val="none"/>
          <w:lang w:val="en-US"/>
        </w:rPr>
        <w:t>0.95</w:t>
      </w:r>
      <w:r>
        <w:rPr>
          <w:rFonts w:hint="eastAsia"/>
          <w:color w:val="auto"/>
          <w:highlight w:val="none"/>
          <w:u w:val="none"/>
        </w:rPr>
        <w:t>%、</w:t>
      </w:r>
      <w:r>
        <w:rPr>
          <w:rFonts w:hint="eastAsia"/>
          <w:color w:val="auto"/>
          <w:highlight w:val="none"/>
          <w:u w:val="none"/>
          <w:lang w:val="en-US"/>
        </w:rPr>
        <w:t>7.06</w:t>
      </w:r>
      <w:r>
        <w:rPr>
          <w:rFonts w:hint="eastAsia"/>
          <w:color w:val="auto"/>
          <w:highlight w:val="none"/>
          <w:u w:val="none"/>
        </w:rPr>
        <w:t>%和</w:t>
      </w:r>
      <w:r>
        <w:rPr>
          <w:rFonts w:hint="eastAsia"/>
          <w:color w:val="auto"/>
          <w:highlight w:val="none"/>
          <w:u w:val="none"/>
          <w:lang w:val="en-US"/>
        </w:rPr>
        <w:t>2. 52</w:t>
      </w:r>
      <w:r>
        <w:rPr>
          <w:rFonts w:hint="eastAsia"/>
          <w:color w:val="auto"/>
          <w:highlight w:val="none"/>
          <w:u w:val="none"/>
        </w:rPr>
        <w:t>%，氯化氢、氯气各保护目标中最大日均浓度占标率分别为6.32%和1.12%，PM</w:t>
      </w:r>
      <w:r>
        <w:rPr>
          <w:rFonts w:hint="eastAsia"/>
          <w:color w:val="auto"/>
          <w:highlight w:val="none"/>
          <w:u w:val="none"/>
          <w:vertAlign w:val="subscript"/>
        </w:rPr>
        <w:t>10</w:t>
      </w:r>
      <w:r>
        <w:rPr>
          <w:rFonts w:hint="eastAsia"/>
          <w:color w:val="auto"/>
          <w:highlight w:val="none"/>
          <w:u w:val="none"/>
        </w:rPr>
        <w:t>和PM</w:t>
      </w:r>
      <w:r>
        <w:rPr>
          <w:rFonts w:hint="eastAsia"/>
          <w:color w:val="auto"/>
          <w:highlight w:val="none"/>
          <w:u w:val="none"/>
          <w:vertAlign w:val="subscript"/>
        </w:rPr>
        <w:t>2.5</w:t>
      </w:r>
      <w:r>
        <w:rPr>
          <w:rFonts w:hint="eastAsia"/>
          <w:color w:val="auto"/>
          <w:highlight w:val="none"/>
          <w:u w:val="none"/>
        </w:rPr>
        <w:t>日均值（95%保证率）分别为</w:t>
      </w:r>
      <w:r>
        <w:rPr>
          <w:rFonts w:hint="eastAsia" w:hAnsi="Times New Roman"/>
          <w:snapToGrid w:val="0"/>
          <w:color w:val="auto"/>
          <w:szCs w:val="21"/>
          <w:highlight w:val="none"/>
          <w:u w:val="none"/>
        </w:rPr>
        <w:t>39.45%、49.95%，</w:t>
      </w:r>
      <w:r>
        <w:rPr>
          <w:rFonts w:hint="eastAsia"/>
          <w:color w:val="auto"/>
          <w:highlight w:val="none"/>
          <w:u w:val="none"/>
        </w:rPr>
        <w:t>最大</w:t>
      </w:r>
      <w:r>
        <w:rPr>
          <w:rFonts w:hint="eastAsia" w:hAnsi="Times New Roman"/>
          <w:snapToGrid w:val="0"/>
          <w:color w:val="auto"/>
          <w:szCs w:val="21"/>
          <w:highlight w:val="none"/>
          <w:u w:val="none"/>
        </w:rPr>
        <w:t>年均值分别为41.92%和47.14%</w:t>
      </w:r>
      <w:r>
        <w:rPr>
          <w:rFonts w:hint="eastAsia"/>
          <w:color w:val="auto"/>
          <w:highlight w:val="none"/>
          <w:u w:val="none"/>
        </w:rPr>
        <w:t>；防护距离包络范围外各网格点处氯化氢、氯气、甲苯、NMHC、TDA、邻二氯苯、DNT和光气最大小时浓度占标率分别为</w:t>
      </w:r>
      <w:r>
        <w:rPr>
          <w:rFonts w:hint="eastAsia"/>
          <w:color w:val="auto"/>
          <w:highlight w:val="none"/>
          <w:u w:val="none"/>
          <w:lang w:val="en-US"/>
        </w:rPr>
        <w:t>57.46</w:t>
      </w:r>
      <w:r>
        <w:rPr>
          <w:rFonts w:hint="eastAsia"/>
          <w:color w:val="auto"/>
          <w:highlight w:val="none"/>
          <w:u w:val="none"/>
        </w:rPr>
        <w:t>%、</w:t>
      </w:r>
      <w:r>
        <w:rPr>
          <w:rFonts w:hint="eastAsia"/>
          <w:color w:val="auto"/>
          <w:highlight w:val="none"/>
          <w:u w:val="none"/>
          <w:lang w:val="en-US"/>
        </w:rPr>
        <w:t>24.81%</w:t>
      </w:r>
      <w:r>
        <w:rPr>
          <w:rFonts w:hint="eastAsia"/>
          <w:color w:val="auto"/>
          <w:highlight w:val="none"/>
          <w:u w:val="none"/>
        </w:rPr>
        <w:t>、</w:t>
      </w:r>
      <w:r>
        <w:rPr>
          <w:rFonts w:hint="eastAsia"/>
          <w:color w:val="auto"/>
          <w:highlight w:val="none"/>
          <w:u w:val="none"/>
          <w:lang w:val="en-US"/>
        </w:rPr>
        <w:t>1.67</w:t>
      </w:r>
      <w:r>
        <w:rPr>
          <w:rFonts w:hint="eastAsia"/>
          <w:color w:val="auto"/>
          <w:highlight w:val="none"/>
          <w:u w:val="none"/>
        </w:rPr>
        <w:t>%、</w:t>
      </w:r>
      <w:r>
        <w:rPr>
          <w:rFonts w:hint="eastAsia" w:hAnsi="Times New Roman"/>
          <w:snapToGrid w:val="0"/>
          <w:color w:val="auto"/>
          <w:szCs w:val="21"/>
          <w:highlight w:val="none"/>
          <w:u w:val="none"/>
          <w:lang w:val="en-US"/>
        </w:rPr>
        <w:t>73.38</w:t>
      </w:r>
      <w:r>
        <w:rPr>
          <w:rFonts w:hint="eastAsia"/>
          <w:color w:val="auto"/>
          <w:highlight w:val="none"/>
          <w:u w:val="none"/>
        </w:rPr>
        <w:t>%、</w:t>
      </w:r>
      <w:r>
        <w:rPr>
          <w:rFonts w:hint="eastAsia" w:hAnsi="Times New Roman"/>
          <w:snapToGrid w:val="0"/>
          <w:color w:val="auto"/>
          <w:szCs w:val="21"/>
          <w:highlight w:val="none"/>
          <w:u w:val="none"/>
          <w:lang w:val="en-US"/>
        </w:rPr>
        <w:t>99.76</w:t>
      </w:r>
      <w:r>
        <w:rPr>
          <w:rFonts w:hint="eastAsia"/>
          <w:color w:val="auto"/>
          <w:highlight w:val="none"/>
          <w:u w:val="none"/>
        </w:rPr>
        <w:t>%、14.22%、</w:t>
      </w:r>
      <w:r>
        <w:rPr>
          <w:rFonts w:hint="eastAsia" w:hAnsi="Times New Roman"/>
          <w:snapToGrid w:val="0"/>
          <w:color w:val="auto"/>
          <w:szCs w:val="21"/>
          <w:highlight w:val="none"/>
          <w:u w:val="none"/>
        </w:rPr>
        <w:t>81.93</w:t>
      </w:r>
      <w:r>
        <w:rPr>
          <w:rFonts w:hint="eastAsia"/>
          <w:color w:val="auto"/>
          <w:highlight w:val="none"/>
          <w:u w:val="none"/>
        </w:rPr>
        <w:t>%和</w:t>
      </w:r>
      <w:r>
        <w:rPr>
          <w:rFonts w:hint="eastAsia" w:hAnsi="Times New Roman"/>
          <w:snapToGrid w:val="0"/>
          <w:color w:val="auto"/>
          <w:szCs w:val="21"/>
          <w:highlight w:val="none"/>
          <w:u w:val="none"/>
          <w:lang w:val="en-US"/>
        </w:rPr>
        <w:t>39.80</w:t>
      </w:r>
      <w:r>
        <w:rPr>
          <w:rFonts w:hint="eastAsia"/>
          <w:color w:val="auto"/>
          <w:highlight w:val="none"/>
          <w:u w:val="none"/>
        </w:rPr>
        <w:t>%，氯化氢、氯气各网格点中最大日均浓度占标率分别为43.55%和15.32%，PM</w:t>
      </w:r>
      <w:r>
        <w:rPr>
          <w:rFonts w:hint="eastAsia"/>
          <w:color w:val="auto"/>
          <w:highlight w:val="none"/>
          <w:u w:val="none"/>
          <w:vertAlign w:val="subscript"/>
        </w:rPr>
        <w:t>10</w:t>
      </w:r>
      <w:r>
        <w:rPr>
          <w:rFonts w:hint="eastAsia"/>
          <w:color w:val="auto"/>
          <w:highlight w:val="none"/>
          <w:u w:val="none"/>
        </w:rPr>
        <w:t>和PM</w:t>
      </w:r>
      <w:r>
        <w:rPr>
          <w:rFonts w:hint="eastAsia"/>
          <w:color w:val="auto"/>
          <w:highlight w:val="none"/>
          <w:u w:val="none"/>
          <w:vertAlign w:val="subscript"/>
        </w:rPr>
        <w:t>2.5</w:t>
      </w:r>
      <w:r>
        <w:rPr>
          <w:rFonts w:hint="eastAsia"/>
          <w:color w:val="auto"/>
          <w:highlight w:val="none"/>
          <w:u w:val="none"/>
        </w:rPr>
        <w:t>日均值（95%）分别为</w:t>
      </w:r>
      <w:r>
        <w:rPr>
          <w:rFonts w:hint="eastAsia" w:hAnsi="Times New Roman"/>
          <w:snapToGrid w:val="0"/>
          <w:color w:val="auto"/>
          <w:szCs w:val="21"/>
          <w:highlight w:val="none"/>
          <w:u w:val="none"/>
        </w:rPr>
        <w:t>53.81%和62.16%，</w:t>
      </w:r>
      <w:r>
        <w:rPr>
          <w:rFonts w:hint="eastAsia"/>
          <w:color w:val="auto"/>
          <w:highlight w:val="none"/>
          <w:u w:val="none"/>
        </w:rPr>
        <w:t>最大</w:t>
      </w:r>
      <w:r>
        <w:rPr>
          <w:rFonts w:hint="eastAsia" w:hAnsi="Times New Roman"/>
          <w:snapToGrid w:val="0"/>
          <w:color w:val="auto"/>
          <w:szCs w:val="21"/>
          <w:highlight w:val="none"/>
          <w:u w:val="none"/>
        </w:rPr>
        <w:t>年均值分别为56.28%和61.36%，</w:t>
      </w:r>
      <w:r>
        <w:rPr>
          <w:rFonts w:hint="eastAsia"/>
          <w:color w:val="auto"/>
          <w:highlight w:val="none"/>
          <w:u w:val="none"/>
        </w:rPr>
        <w:t>满足相应标准限值要求。</w:t>
      </w:r>
    </w:p>
    <w:p w14:paraId="4EB84A96">
      <w:pPr>
        <w:rPr>
          <w:rFonts w:hint="eastAsia"/>
          <w:color w:val="auto"/>
          <w:highlight w:val="none"/>
          <w:u w:val="none"/>
        </w:rPr>
      </w:pPr>
      <w:r>
        <w:rPr>
          <w:color w:val="auto"/>
          <w:highlight w:val="none"/>
          <w:u w:val="none"/>
        </w:rPr>
        <w:t>（4）大气环境防护距离</w:t>
      </w:r>
    </w:p>
    <w:p w14:paraId="0F124193">
      <w:pPr>
        <w:rPr>
          <w:rFonts w:hint="eastAsia"/>
          <w:color w:val="auto"/>
          <w:highlight w:val="none"/>
          <w:u w:val="none"/>
        </w:rPr>
      </w:pPr>
      <w:r>
        <w:rPr>
          <w:snapToGrid w:val="0"/>
          <w:color w:val="auto"/>
          <w:highlight w:val="none"/>
          <w:u w:val="none"/>
        </w:rPr>
        <w:t>结合大气环境防护距离、卫生防护距离计算结果，取最大包络范围作为项目大气环境防护距离。根据大气预测结果可知，本次自厂界向外设置</w:t>
      </w:r>
      <w:r>
        <w:rPr>
          <w:rFonts w:hint="eastAsia"/>
          <w:snapToGrid w:val="0"/>
          <w:color w:val="auto"/>
          <w:highlight w:val="none"/>
          <w:u w:val="none"/>
        </w:rPr>
        <w:t>27.8</w:t>
      </w:r>
      <w:r>
        <w:rPr>
          <w:snapToGrid w:val="0"/>
          <w:color w:val="auto"/>
          <w:highlight w:val="none"/>
          <w:u w:val="none"/>
        </w:rPr>
        <w:t>m的大气环境防护距离</w:t>
      </w:r>
      <w:r>
        <w:rPr>
          <w:color w:val="auto"/>
          <w:highlight w:val="none"/>
          <w:u w:val="none"/>
        </w:rPr>
        <w:t>。根据卫生防护距离计算结果，本项目卫生防护距离为</w:t>
      </w:r>
      <w:r>
        <w:rPr>
          <w:snapToGrid w:val="0"/>
          <w:color w:val="auto"/>
          <w:highlight w:val="none"/>
          <w:u w:val="none"/>
        </w:rPr>
        <w:t>硝化单元外400m、氢化单元外300m和光化单元外</w:t>
      </w:r>
      <w:r>
        <w:rPr>
          <w:rFonts w:hint="eastAsia"/>
          <w:snapToGrid w:val="0"/>
          <w:color w:val="auto"/>
          <w:highlight w:val="none"/>
          <w:u w:val="none"/>
        </w:rPr>
        <w:t>3</w:t>
      </w:r>
      <w:r>
        <w:rPr>
          <w:snapToGrid w:val="0"/>
          <w:color w:val="auto"/>
          <w:highlight w:val="none"/>
          <w:u w:val="none"/>
        </w:rPr>
        <w:t>00m的包络范围</w:t>
      </w:r>
      <w:r>
        <w:rPr>
          <w:color w:val="auto"/>
          <w:highlight w:val="none"/>
          <w:u w:val="none"/>
        </w:rPr>
        <w:t>。</w:t>
      </w:r>
    </w:p>
    <w:p w14:paraId="4A6A5927">
      <w:pPr>
        <w:rPr>
          <w:rFonts w:hint="eastAsia"/>
          <w:color w:val="auto"/>
          <w:highlight w:val="none"/>
          <w:u w:val="none"/>
        </w:rPr>
      </w:pPr>
      <w:r>
        <w:rPr>
          <w:color w:val="auto"/>
          <w:highlight w:val="none"/>
          <w:u w:val="none"/>
        </w:rPr>
        <w:t>此外，结合《</w:t>
      </w:r>
      <w:r>
        <w:rPr>
          <w:rFonts w:hint="eastAsia"/>
          <w:color w:val="auto"/>
          <w:highlight w:val="none"/>
          <w:u w:val="none"/>
        </w:rPr>
        <w:t>光气及光气化产品生产安全规范</w:t>
      </w:r>
      <w:r>
        <w:rPr>
          <w:color w:val="auto"/>
          <w:highlight w:val="none"/>
          <w:u w:val="none"/>
        </w:rPr>
        <w:t>》（GB19041-20</w:t>
      </w:r>
      <w:r>
        <w:rPr>
          <w:rFonts w:hint="eastAsia"/>
          <w:color w:val="auto"/>
          <w:highlight w:val="none"/>
          <w:u w:val="none"/>
        </w:rPr>
        <w:t>24</w:t>
      </w:r>
      <w:r>
        <w:rPr>
          <w:color w:val="auto"/>
          <w:highlight w:val="none"/>
          <w:u w:val="none"/>
        </w:rPr>
        <w:t>）中光气安全防护距离（装置区外延2000m），本项目</w:t>
      </w:r>
      <w:r>
        <w:rPr>
          <w:snapToGrid w:val="0"/>
          <w:color w:val="auto"/>
          <w:highlight w:val="none"/>
          <w:u w:val="none"/>
        </w:rPr>
        <w:t>最终防护距离为光气及光气装置外2000米的防护距离</w:t>
      </w:r>
      <w:r>
        <w:rPr>
          <w:rFonts w:hint="eastAsia"/>
          <w:color w:val="auto"/>
          <w:highlight w:val="none"/>
          <w:u w:val="none"/>
        </w:rPr>
        <w:t>，在该范围内严禁建设居住区、学校、医院、商业区等对环境敏感性较强的建筑。</w:t>
      </w:r>
      <w:r>
        <w:rPr>
          <w:rFonts w:hint="eastAsia" w:hAnsi="Times New Roman"/>
          <w:color w:val="auto"/>
          <w:highlight w:val="none"/>
          <w:u w:val="none"/>
        </w:rPr>
        <w:t>根据项目周边地理位置及敏感目标调查，</w:t>
      </w:r>
      <w:r>
        <w:rPr>
          <w:rFonts w:hAnsi="Times New Roman"/>
          <w:snapToGrid w:val="0"/>
          <w:color w:val="auto"/>
          <w:highlight w:val="none"/>
          <w:u w:val="none"/>
        </w:rPr>
        <w:t>防护距离</w:t>
      </w:r>
      <w:r>
        <w:rPr>
          <w:rFonts w:hint="eastAsia" w:hAnsi="Times New Roman"/>
          <w:snapToGrid w:val="0"/>
          <w:color w:val="auto"/>
          <w:highlight w:val="none"/>
          <w:u w:val="none"/>
        </w:rPr>
        <w:t>内</w:t>
      </w:r>
      <w:r>
        <w:rPr>
          <w:rFonts w:hint="eastAsia" w:hAnsi="Times New Roman"/>
          <w:color w:val="auto"/>
          <w:highlight w:val="none"/>
          <w:u w:val="none"/>
        </w:rPr>
        <w:t>现状无长期居住的居民住宅、学校、医院、商业区以及规划的居住用地等相关敏感用地，符合</w:t>
      </w:r>
      <w:r>
        <w:rPr>
          <w:rFonts w:hAnsi="Times New Roman"/>
          <w:snapToGrid w:val="0"/>
          <w:color w:val="auto"/>
          <w:highlight w:val="none"/>
          <w:u w:val="none"/>
        </w:rPr>
        <w:t>防护距离</w:t>
      </w:r>
      <w:r>
        <w:rPr>
          <w:rFonts w:hint="eastAsia" w:hAnsi="Times New Roman"/>
          <w:snapToGrid w:val="0"/>
          <w:color w:val="auto"/>
          <w:highlight w:val="none"/>
          <w:u w:val="none"/>
        </w:rPr>
        <w:t>的要求。</w:t>
      </w:r>
    </w:p>
    <w:p w14:paraId="6CEB0236">
      <w:pPr>
        <w:rPr>
          <w:rFonts w:hint="eastAsia"/>
          <w:color w:val="auto"/>
          <w:highlight w:val="none"/>
          <w:u w:val="none"/>
        </w:rPr>
      </w:pPr>
      <w:r>
        <w:rPr>
          <w:color w:val="auto"/>
          <w:highlight w:val="none"/>
          <w:u w:val="none"/>
        </w:rPr>
        <w:t>（5）大气环境影响评价结论</w:t>
      </w:r>
    </w:p>
    <w:p w14:paraId="0EC0B1AE">
      <w:pPr>
        <w:pStyle w:val="981"/>
        <w:rPr>
          <w:rFonts w:hint="eastAsia"/>
          <w:color w:val="auto"/>
          <w:highlight w:val="none"/>
          <w:u w:val="none"/>
        </w:rPr>
        <w:sectPr>
          <w:pgSz w:w="11906" w:h="16838"/>
          <w:pgMar w:top="1440" w:right="1418" w:bottom="1440" w:left="1418" w:header="851" w:footer="992" w:gutter="0"/>
          <w:cols w:space="425" w:num="1"/>
          <w:docGrid w:type="lines" w:linePitch="312" w:charSpace="0"/>
        </w:sectPr>
      </w:pPr>
      <w:r>
        <w:rPr>
          <w:color w:val="auto"/>
          <w:highlight w:val="none"/>
          <w:u w:val="none"/>
        </w:rPr>
        <w:t>综上所述，项目产生的污染物在采取合理的大气污染防治措施后，对周围大气环境影响满足《环境影响评价技术导则 大气环境》</w:t>
      </w:r>
      <w:r>
        <w:rPr>
          <w:rFonts w:hint="eastAsia"/>
          <w:color w:val="auto"/>
          <w:highlight w:val="none"/>
          <w:u w:val="none"/>
        </w:rPr>
        <w:t>（</w:t>
      </w:r>
      <w:r>
        <w:rPr>
          <w:color w:val="auto"/>
          <w:highlight w:val="none"/>
          <w:u w:val="none"/>
        </w:rPr>
        <w:t>HJ2.2-2018</w:t>
      </w:r>
      <w:r>
        <w:rPr>
          <w:rFonts w:hint="eastAsia"/>
          <w:color w:val="auto"/>
          <w:highlight w:val="none"/>
          <w:u w:val="none"/>
        </w:rPr>
        <w:t>）</w:t>
      </w:r>
      <w:r>
        <w:rPr>
          <w:color w:val="auto"/>
          <w:highlight w:val="none"/>
          <w:u w:val="none"/>
        </w:rPr>
        <w:t>的判定标准，</w:t>
      </w:r>
      <w:r>
        <w:rPr>
          <w:rFonts w:hint="eastAsia"/>
          <w:color w:val="auto"/>
          <w:highlight w:val="none"/>
          <w:u w:val="none"/>
        </w:rPr>
        <w:t>大气</w:t>
      </w:r>
      <w:r>
        <w:rPr>
          <w:color w:val="auto"/>
          <w:highlight w:val="none"/>
          <w:u w:val="none"/>
        </w:rPr>
        <w:t>环境影响可接受</w:t>
      </w:r>
      <w:r>
        <w:rPr>
          <w:rFonts w:hint="eastAsia"/>
          <w:color w:val="auto"/>
          <w:highlight w:val="none"/>
          <w:u w:val="none"/>
        </w:rPr>
        <w:t>。</w:t>
      </w:r>
    </w:p>
    <w:p w14:paraId="116D0E98">
      <w:pPr>
        <w:ind w:firstLine="0" w:firstLineChars="0"/>
        <w:jc w:val="center"/>
        <w:rPr>
          <w:rFonts w:hint="eastAsia"/>
          <w:b/>
          <w:bCs/>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41</w:t>
      </w:r>
      <w:r>
        <w:rPr>
          <w:color w:val="auto"/>
          <w:highlight w:val="none"/>
          <w:u w:val="none"/>
        </w:rPr>
        <w:fldChar w:fldCharType="end"/>
      </w:r>
      <w:r>
        <w:rPr>
          <w:color w:val="auto"/>
          <w:highlight w:val="none"/>
          <w:u w:val="none"/>
        </w:rPr>
        <w:t xml:space="preserve"> </w:t>
      </w:r>
      <w:r>
        <w:rPr>
          <w:rFonts w:hint="eastAsia"/>
          <w:b/>
          <w:bCs/>
          <w:color w:val="auto"/>
          <w:highlight w:val="none"/>
          <w:u w:val="none"/>
        </w:rPr>
        <w:t xml:space="preserve"> 大气环境影响评价自查表</w:t>
      </w:r>
    </w:p>
    <w:tbl>
      <w:tblPr>
        <w:tblStyle w:val="58"/>
        <w:tblW w:w="508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98"/>
        <w:gridCol w:w="859"/>
        <w:gridCol w:w="1096"/>
        <w:gridCol w:w="829"/>
        <w:gridCol w:w="218"/>
        <w:gridCol w:w="1421"/>
        <w:gridCol w:w="839"/>
        <w:gridCol w:w="2026"/>
        <w:gridCol w:w="1189"/>
        <w:gridCol w:w="380"/>
      </w:tblGrid>
      <w:tr w14:paraId="7E7AD0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679" w:type="pct"/>
            <w:gridSpan w:val="2"/>
            <w:tcMar>
              <w:top w:w="15" w:type="dxa"/>
              <w:left w:w="15" w:type="dxa"/>
              <w:bottom w:w="15" w:type="dxa"/>
              <w:right w:w="15" w:type="dxa"/>
            </w:tcMar>
            <w:vAlign w:val="center"/>
          </w:tcPr>
          <w:p w14:paraId="1FD5A16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工作内容</w:t>
            </w:r>
          </w:p>
        </w:tc>
        <w:tc>
          <w:tcPr>
            <w:tcW w:w="4320" w:type="pct"/>
            <w:gridSpan w:val="8"/>
            <w:tcMar>
              <w:top w:w="15" w:type="dxa"/>
              <w:left w:w="15" w:type="dxa"/>
              <w:bottom w:w="15" w:type="dxa"/>
              <w:right w:w="15" w:type="dxa"/>
            </w:tcMar>
            <w:vAlign w:val="center"/>
          </w:tcPr>
          <w:p w14:paraId="619DD17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自查项目</w:t>
            </w:r>
          </w:p>
        </w:tc>
      </w:tr>
      <w:tr w14:paraId="1D6CCC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4893FC4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评价等级与范围</w:t>
            </w:r>
          </w:p>
        </w:tc>
        <w:tc>
          <w:tcPr>
            <w:tcW w:w="464" w:type="pct"/>
            <w:tcMar>
              <w:top w:w="15" w:type="dxa"/>
              <w:left w:w="15" w:type="dxa"/>
              <w:bottom w:w="15" w:type="dxa"/>
              <w:right w:w="15" w:type="dxa"/>
            </w:tcMar>
            <w:vAlign w:val="center"/>
          </w:tcPr>
          <w:p w14:paraId="7042A960">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评价等级</w:t>
            </w:r>
          </w:p>
        </w:tc>
        <w:tc>
          <w:tcPr>
            <w:tcW w:w="1926" w:type="pct"/>
            <w:gridSpan w:val="4"/>
            <w:tcMar>
              <w:top w:w="15" w:type="dxa"/>
              <w:left w:w="15" w:type="dxa"/>
              <w:bottom w:w="15" w:type="dxa"/>
              <w:right w:w="15" w:type="dxa"/>
            </w:tcMar>
            <w:vAlign w:val="center"/>
          </w:tcPr>
          <w:p w14:paraId="4868C9C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一级√</w:t>
            </w:r>
          </w:p>
        </w:tc>
        <w:tc>
          <w:tcPr>
            <w:tcW w:w="1548" w:type="pct"/>
            <w:gridSpan w:val="2"/>
            <w:tcMar>
              <w:top w:w="15" w:type="dxa"/>
              <w:left w:w="15" w:type="dxa"/>
              <w:bottom w:w="15" w:type="dxa"/>
              <w:right w:w="15" w:type="dxa"/>
            </w:tcMar>
            <w:vAlign w:val="center"/>
          </w:tcPr>
          <w:p w14:paraId="7712961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二级□</w:t>
            </w:r>
          </w:p>
        </w:tc>
        <w:tc>
          <w:tcPr>
            <w:tcW w:w="845" w:type="pct"/>
            <w:gridSpan w:val="2"/>
            <w:tcMar>
              <w:top w:w="15" w:type="dxa"/>
              <w:left w:w="15" w:type="dxa"/>
              <w:bottom w:w="15" w:type="dxa"/>
              <w:right w:w="15" w:type="dxa"/>
            </w:tcMar>
            <w:vAlign w:val="center"/>
          </w:tcPr>
          <w:p w14:paraId="1F15ABC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三级□</w:t>
            </w:r>
            <w:r>
              <w:rPr>
                <w:rFonts w:hAnsi="Times New Roman"/>
                <w:color w:val="auto"/>
                <w:sz w:val="18"/>
                <w:szCs w:val="18"/>
                <w:highlight w:val="none"/>
                <w:u w:val="none"/>
                <w:lang w:bidi="ar"/>
              </w:rPr>
              <w:sym w:font="Times New Roman" w:char="F052"/>
            </w:r>
          </w:p>
        </w:tc>
      </w:tr>
      <w:tr w14:paraId="3EDEE1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71F16CA8">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55E264E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评价范围</w:t>
            </w:r>
          </w:p>
        </w:tc>
        <w:tc>
          <w:tcPr>
            <w:tcW w:w="1926" w:type="pct"/>
            <w:gridSpan w:val="4"/>
            <w:tcMar>
              <w:top w:w="15" w:type="dxa"/>
              <w:left w:w="15" w:type="dxa"/>
              <w:bottom w:w="15" w:type="dxa"/>
              <w:right w:w="15" w:type="dxa"/>
            </w:tcMar>
            <w:vAlign w:val="center"/>
          </w:tcPr>
          <w:p w14:paraId="69453C0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边长=50km□</w:t>
            </w:r>
          </w:p>
        </w:tc>
        <w:tc>
          <w:tcPr>
            <w:tcW w:w="1548" w:type="pct"/>
            <w:gridSpan w:val="2"/>
            <w:tcMar>
              <w:top w:w="15" w:type="dxa"/>
              <w:left w:w="15" w:type="dxa"/>
              <w:bottom w:w="15" w:type="dxa"/>
              <w:right w:w="15" w:type="dxa"/>
            </w:tcMar>
            <w:vAlign w:val="center"/>
          </w:tcPr>
          <w:p w14:paraId="201D5B3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边长=5~50km√</w:t>
            </w:r>
          </w:p>
        </w:tc>
        <w:tc>
          <w:tcPr>
            <w:tcW w:w="845" w:type="pct"/>
            <w:gridSpan w:val="2"/>
            <w:tcMar>
              <w:top w:w="15" w:type="dxa"/>
              <w:left w:w="15" w:type="dxa"/>
              <w:bottom w:w="15" w:type="dxa"/>
              <w:right w:w="15" w:type="dxa"/>
            </w:tcMar>
            <w:vAlign w:val="center"/>
          </w:tcPr>
          <w:p w14:paraId="214067E8">
            <w:pPr>
              <w:widowControl/>
              <w:adjustRightInd w:val="0"/>
              <w:snapToGrid w:val="0"/>
              <w:spacing w:line="240" w:lineRule="auto"/>
              <w:ind w:firstLine="0" w:firstLineChars="0"/>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边长=5km□</w:t>
            </w:r>
          </w:p>
        </w:tc>
      </w:tr>
      <w:tr w14:paraId="2243CA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077D205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评价因子</w:t>
            </w:r>
          </w:p>
        </w:tc>
        <w:tc>
          <w:tcPr>
            <w:tcW w:w="464" w:type="pct"/>
            <w:tcMar>
              <w:top w:w="15" w:type="dxa"/>
              <w:left w:w="15" w:type="dxa"/>
              <w:bottom w:w="15" w:type="dxa"/>
              <w:right w:w="15" w:type="dxa"/>
            </w:tcMar>
            <w:vAlign w:val="center"/>
          </w:tcPr>
          <w:p w14:paraId="664EC90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SO</w:t>
            </w:r>
            <w:r>
              <w:rPr>
                <w:rFonts w:hAnsi="Times New Roman"/>
                <w:color w:val="auto"/>
                <w:sz w:val="18"/>
                <w:szCs w:val="18"/>
                <w:highlight w:val="none"/>
                <w:u w:val="none"/>
                <w:vertAlign w:val="subscript"/>
                <w:lang w:bidi="ar"/>
              </w:rPr>
              <w:t>2</w:t>
            </w:r>
            <w:r>
              <w:rPr>
                <w:rFonts w:hAnsi="Times New Roman"/>
                <w:color w:val="auto"/>
                <w:sz w:val="18"/>
                <w:szCs w:val="18"/>
                <w:highlight w:val="none"/>
                <w:u w:val="none"/>
                <w:lang w:bidi="ar"/>
              </w:rPr>
              <w:t>+NOx排放量</w:t>
            </w:r>
          </w:p>
        </w:tc>
        <w:tc>
          <w:tcPr>
            <w:tcW w:w="1158" w:type="pct"/>
            <w:gridSpan w:val="3"/>
            <w:tcMar>
              <w:top w:w="15" w:type="dxa"/>
              <w:left w:w="15" w:type="dxa"/>
              <w:bottom w:w="15" w:type="dxa"/>
              <w:right w:w="15" w:type="dxa"/>
            </w:tcMar>
            <w:vAlign w:val="center"/>
          </w:tcPr>
          <w:p w14:paraId="7783E5F0">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≥2000t/a□</w:t>
            </w:r>
          </w:p>
        </w:tc>
        <w:tc>
          <w:tcPr>
            <w:tcW w:w="1220" w:type="pct"/>
            <w:gridSpan w:val="2"/>
            <w:tcMar>
              <w:top w:w="15" w:type="dxa"/>
              <w:left w:w="15" w:type="dxa"/>
              <w:bottom w:w="15" w:type="dxa"/>
              <w:right w:w="15" w:type="dxa"/>
            </w:tcMar>
            <w:vAlign w:val="center"/>
          </w:tcPr>
          <w:p w14:paraId="1A192FC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500~2000t/a□</w:t>
            </w:r>
          </w:p>
        </w:tc>
        <w:tc>
          <w:tcPr>
            <w:tcW w:w="1940" w:type="pct"/>
            <w:gridSpan w:val="3"/>
            <w:tcMar>
              <w:top w:w="15" w:type="dxa"/>
              <w:left w:w="15" w:type="dxa"/>
              <w:bottom w:w="15" w:type="dxa"/>
              <w:right w:w="15" w:type="dxa"/>
            </w:tcMar>
            <w:vAlign w:val="center"/>
          </w:tcPr>
          <w:p w14:paraId="534BE95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&lt;500t/a√</w:t>
            </w:r>
          </w:p>
        </w:tc>
      </w:tr>
      <w:tr w14:paraId="74B0B9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1DB4FD69">
            <w:pPr>
              <w:widowControl/>
              <w:spacing w:line="240" w:lineRule="auto"/>
              <w:ind w:firstLine="0" w:firstLineChars="0"/>
              <w:jc w:val="left"/>
              <w:rPr>
                <w:rFonts w:hAnsi="Times New Roman"/>
                <w:color w:val="auto"/>
                <w:sz w:val="18"/>
                <w:szCs w:val="18"/>
                <w:highlight w:val="none"/>
                <w:u w:val="none"/>
              </w:rPr>
            </w:pPr>
          </w:p>
        </w:tc>
        <w:tc>
          <w:tcPr>
            <w:tcW w:w="464" w:type="pct"/>
            <w:vMerge w:val="restart"/>
            <w:tcMar>
              <w:top w:w="15" w:type="dxa"/>
              <w:left w:w="15" w:type="dxa"/>
              <w:bottom w:w="15" w:type="dxa"/>
              <w:right w:w="15" w:type="dxa"/>
            </w:tcMar>
            <w:vAlign w:val="center"/>
          </w:tcPr>
          <w:p w14:paraId="436A6E4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评价因子</w:t>
            </w:r>
          </w:p>
        </w:tc>
        <w:tc>
          <w:tcPr>
            <w:tcW w:w="2379" w:type="pct"/>
            <w:gridSpan w:val="5"/>
            <w:tcMar>
              <w:top w:w="15" w:type="dxa"/>
              <w:left w:w="15" w:type="dxa"/>
              <w:bottom w:w="15" w:type="dxa"/>
              <w:right w:w="15" w:type="dxa"/>
            </w:tcMar>
            <w:vAlign w:val="center"/>
          </w:tcPr>
          <w:p w14:paraId="6515580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基本污染物（PM</w:t>
            </w:r>
            <w:r>
              <w:rPr>
                <w:rFonts w:hAnsi="Times New Roman"/>
                <w:color w:val="auto"/>
                <w:sz w:val="18"/>
                <w:szCs w:val="18"/>
                <w:highlight w:val="none"/>
                <w:u w:val="none"/>
                <w:vertAlign w:val="subscript"/>
                <w:lang w:bidi="ar"/>
              </w:rPr>
              <w:t>10</w:t>
            </w:r>
            <w:r>
              <w:rPr>
                <w:rFonts w:hAnsi="Times New Roman"/>
                <w:color w:val="auto"/>
                <w:sz w:val="18"/>
                <w:szCs w:val="18"/>
                <w:highlight w:val="none"/>
                <w:u w:val="none"/>
                <w:lang w:bidi="ar"/>
              </w:rPr>
              <w:t>、PM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c>
          <w:tcPr>
            <w:tcW w:w="1940" w:type="pct"/>
            <w:gridSpan w:val="3"/>
            <w:tcMar>
              <w:top w:w="15" w:type="dxa"/>
              <w:left w:w="15" w:type="dxa"/>
              <w:bottom w:w="15" w:type="dxa"/>
              <w:right w:w="15" w:type="dxa"/>
            </w:tcMar>
            <w:vAlign w:val="bottom"/>
          </w:tcPr>
          <w:p w14:paraId="7EE00F1D">
            <w:pPr>
              <w:widowControl/>
              <w:adjustRightInd w:val="0"/>
              <w:snapToGrid w:val="0"/>
              <w:spacing w:line="240" w:lineRule="auto"/>
              <w:ind w:firstLine="0" w:firstLineChars="0"/>
              <w:jc w:val="center"/>
              <w:textAlignment w:val="bottom"/>
              <w:rPr>
                <w:rFonts w:hAnsi="Times New Roman"/>
                <w:color w:val="auto"/>
                <w:sz w:val="18"/>
                <w:szCs w:val="18"/>
                <w:highlight w:val="none"/>
                <w:u w:val="none"/>
              </w:rPr>
            </w:pPr>
            <w:r>
              <w:rPr>
                <w:rFonts w:hAnsi="Times New Roman"/>
                <w:color w:val="auto"/>
                <w:sz w:val="18"/>
                <w:szCs w:val="18"/>
                <w:highlight w:val="none"/>
                <w:u w:val="none"/>
                <w:lang w:bidi="ar"/>
              </w:rPr>
              <w:t>包括二次PM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r>
      <w:tr w14:paraId="29C63B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3AC1C339">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366B2C1D">
            <w:pPr>
              <w:widowControl/>
              <w:spacing w:line="240" w:lineRule="auto"/>
              <w:ind w:firstLine="0" w:firstLineChars="0"/>
              <w:jc w:val="left"/>
              <w:rPr>
                <w:rFonts w:hAnsi="Times New Roman"/>
                <w:color w:val="auto"/>
                <w:sz w:val="18"/>
                <w:szCs w:val="18"/>
                <w:highlight w:val="none"/>
                <w:u w:val="none"/>
              </w:rPr>
            </w:pPr>
          </w:p>
        </w:tc>
        <w:tc>
          <w:tcPr>
            <w:tcW w:w="2379" w:type="pct"/>
            <w:gridSpan w:val="5"/>
            <w:tcMar>
              <w:top w:w="15" w:type="dxa"/>
              <w:left w:w="15" w:type="dxa"/>
              <w:bottom w:w="15" w:type="dxa"/>
              <w:right w:w="15" w:type="dxa"/>
            </w:tcMar>
            <w:vAlign w:val="center"/>
          </w:tcPr>
          <w:p w14:paraId="4888162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其他污染物（</w:t>
            </w:r>
            <w:r>
              <w:rPr>
                <w:rFonts w:hint="eastAsia" w:hAnsi="Times New Roman"/>
                <w:color w:val="auto"/>
                <w:sz w:val="18"/>
                <w:szCs w:val="18"/>
                <w:highlight w:val="none"/>
                <w:u w:val="none"/>
                <w:lang w:bidi="ar"/>
              </w:rPr>
              <w:t>NMHC、邻二氯苯、DNT、TDA、氯化氢、甲苯、氯气、光气</w:t>
            </w:r>
            <w:r>
              <w:rPr>
                <w:rFonts w:hAnsi="Times New Roman"/>
                <w:color w:val="auto"/>
                <w:sz w:val="18"/>
                <w:szCs w:val="18"/>
                <w:highlight w:val="none"/>
                <w:u w:val="none"/>
                <w:lang w:bidi="ar"/>
              </w:rPr>
              <w:t>）</w:t>
            </w:r>
          </w:p>
        </w:tc>
        <w:tc>
          <w:tcPr>
            <w:tcW w:w="1940" w:type="pct"/>
            <w:gridSpan w:val="3"/>
            <w:tcMar>
              <w:top w:w="15" w:type="dxa"/>
              <w:left w:w="15" w:type="dxa"/>
              <w:bottom w:w="15" w:type="dxa"/>
              <w:right w:w="15" w:type="dxa"/>
            </w:tcMar>
            <w:vAlign w:val="bottom"/>
          </w:tcPr>
          <w:p w14:paraId="27C77452">
            <w:pPr>
              <w:widowControl/>
              <w:adjustRightInd w:val="0"/>
              <w:snapToGrid w:val="0"/>
              <w:spacing w:line="240" w:lineRule="auto"/>
              <w:ind w:firstLine="0" w:firstLineChars="0"/>
              <w:jc w:val="center"/>
              <w:textAlignment w:val="bottom"/>
              <w:rPr>
                <w:rFonts w:hAnsi="Times New Roman"/>
                <w:color w:val="auto"/>
                <w:sz w:val="18"/>
                <w:szCs w:val="18"/>
                <w:highlight w:val="none"/>
                <w:u w:val="none"/>
              </w:rPr>
            </w:pPr>
            <w:r>
              <w:rPr>
                <w:rFonts w:hAnsi="Times New Roman"/>
                <w:color w:val="auto"/>
                <w:sz w:val="18"/>
                <w:szCs w:val="18"/>
                <w:highlight w:val="none"/>
                <w:u w:val="none"/>
                <w:lang w:bidi="ar"/>
              </w:rPr>
              <w:t>不包括二次PM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r>
      <w:tr w14:paraId="5BF2FB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tcMar>
              <w:top w:w="15" w:type="dxa"/>
              <w:left w:w="15" w:type="dxa"/>
              <w:bottom w:w="15" w:type="dxa"/>
              <w:right w:w="15" w:type="dxa"/>
            </w:tcMar>
            <w:vAlign w:val="center"/>
          </w:tcPr>
          <w:p w14:paraId="34E7F1F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评价标准</w:t>
            </w:r>
          </w:p>
        </w:tc>
        <w:tc>
          <w:tcPr>
            <w:tcW w:w="464" w:type="pct"/>
            <w:tcMar>
              <w:top w:w="15" w:type="dxa"/>
              <w:left w:w="15" w:type="dxa"/>
              <w:bottom w:w="15" w:type="dxa"/>
              <w:right w:w="15" w:type="dxa"/>
            </w:tcMar>
            <w:vAlign w:val="center"/>
          </w:tcPr>
          <w:p w14:paraId="413B0EE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评价标准</w:t>
            </w:r>
          </w:p>
        </w:tc>
        <w:tc>
          <w:tcPr>
            <w:tcW w:w="1040" w:type="pct"/>
            <w:gridSpan w:val="2"/>
            <w:tcMar>
              <w:top w:w="15" w:type="dxa"/>
              <w:left w:w="15" w:type="dxa"/>
              <w:bottom w:w="15" w:type="dxa"/>
              <w:right w:w="15" w:type="dxa"/>
            </w:tcMar>
            <w:vAlign w:val="center"/>
          </w:tcPr>
          <w:p w14:paraId="11B6F91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国家标准√</w:t>
            </w:r>
          </w:p>
        </w:tc>
        <w:tc>
          <w:tcPr>
            <w:tcW w:w="1338" w:type="pct"/>
            <w:gridSpan w:val="3"/>
            <w:tcMar>
              <w:top w:w="15" w:type="dxa"/>
              <w:left w:w="15" w:type="dxa"/>
              <w:bottom w:w="15" w:type="dxa"/>
              <w:right w:w="15" w:type="dxa"/>
            </w:tcMar>
            <w:vAlign w:val="center"/>
          </w:tcPr>
          <w:p w14:paraId="337F1DB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地方标准√</w:t>
            </w:r>
          </w:p>
        </w:tc>
        <w:tc>
          <w:tcPr>
            <w:tcW w:w="1095" w:type="pct"/>
            <w:tcMar>
              <w:top w:w="15" w:type="dxa"/>
              <w:left w:w="15" w:type="dxa"/>
              <w:bottom w:w="15" w:type="dxa"/>
              <w:right w:w="15" w:type="dxa"/>
            </w:tcMar>
            <w:vAlign w:val="center"/>
          </w:tcPr>
          <w:p w14:paraId="2EA46D1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附录D√</w:t>
            </w:r>
          </w:p>
        </w:tc>
        <w:tc>
          <w:tcPr>
            <w:tcW w:w="845" w:type="pct"/>
            <w:gridSpan w:val="2"/>
            <w:tcMar>
              <w:top w:w="15" w:type="dxa"/>
              <w:left w:w="15" w:type="dxa"/>
              <w:bottom w:w="15" w:type="dxa"/>
              <w:right w:w="15" w:type="dxa"/>
            </w:tcMar>
            <w:vAlign w:val="center"/>
          </w:tcPr>
          <w:p w14:paraId="74FAFE1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其他标准√</w:t>
            </w:r>
          </w:p>
        </w:tc>
      </w:tr>
      <w:tr w14:paraId="30200C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13BA234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现状评价</w:t>
            </w:r>
          </w:p>
        </w:tc>
        <w:tc>
          <w:tcPr>
            <w:tcW w:w="464" w:type="pct"/>
            <w:tcMar>
              <w:top w:w="15" w:type="dxa"/>
              <w:left w:w="15" w:type="dxa"/>
              <w:bottom w:w="15" w:type="dxa"/>
              <w:right w:w="15" w:type="dxa"/>
            </w:tcMar>
            <w:vAlign w:val="center"/>
          </w:tcPr>
          <w:p w14:paraId="66E92D9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评价功能区</w:t>
            </w:r>
          </w:p>
        </w:tc>
        <w:tc>
          <w:tcPr>
            <w:tcW w:w="1926" w:type="pct"/>
            <w:gridSpan w:val="4"/>
            <w:tcMar>
              <w:top w:w="15" w:type="dxa"/>
              <w:left w:w="15" w:type="dxa"/>
              <w:bottom w:w="15" w:type="dxa"/>
              <w:right w:w="15" w:type="dxa"/>
            </w:tcMar>
            <w:vAlign w:val="center"/>
          </w:tcPr>
          <w:p w14:paraId="1A87EEC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一类区□</w:t>
            </w:r>
          </w:p>
        </w:tc>
        <w:tc>
          <w:tcPr>
            <w:tcW w:w="1548" w:type="pct"/>
            <w:gridSpan w:val="2"/>
            <w:tcMar>
              <w:top w:w="15" w:type="dxa"/>
              <w:left w:w="15" w:type="dxa"/>
              <w:bottom w:w="15" w:type="dxa"/>
              <w:right w:w="15" w:type="dxa"/>
            </w:tcMar>
            <w:vAlign w:val="center"/>
          </w:tcPr>
          <w:p w14:paraId="6BDFFCB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二类区√</w:t>
            </w:r>
          </w:p>
        </w:tc>
        <w:tc>
          <w:tcPr>
            <w:tcW w:w="845" w:type="pct"/>
            <w:gridSpan w:val="2"/>
            <w:tcMar>
              <w:top w:w="15" w:type="dxa"/>
              <w:left w:w="15" w:type="dxa"/>
              <w:bottom w:w="15" w:type="dxa"/>
              <w:right w:w="15" w:type="dxa"/>
            </w:tcMar>
            <w:vAlign w:val="center"/>
          </w:tcPr>
          <w:p w14:paraId="0AEFE490">
            <w:pPr>
              <w:widowControl/>
              <w:adjustRightInd w:val="0"/>
              <w:snapToGrid w:val="0"/>
              <w:spacing w:line="240" w:lineRule="auto"/>
              <w:ind w:firstLine="0" w:firstLineChars="0"/>
              <w:textAlignment w:val="center"/>
              <w:rPr>
                <w:rFonts w:hAnsi="Times New Roman"/>
                <w:color w:val="auto"/>
                <w:sz w:val="18"/>
                <w:szCs w:val="18"/>
                <w:highlight w:val="none"/>
                <w:u w:val="none"/>
              </w:rPr>
            </w:pPr>
            <w:r>
              <w:rPr>
                <w:rFonts w:hAnsi="Times New Roman"/>
                <w:color w:val="auto"/>
                <w:sz w:val="18"/>
                <w:szCs w:val="18"/>
                <w:highlight w:val="none"/>
                <w:u w:val="none"/>
                <w:lang w:bidi="ar"/>
              </w:rPr>
              <w:t>一类区和二类区□</w:t>
            </w:r>
          </w:p>
        </w:tc>
      </w:tr>
      <w:tr w14:paraId="414A47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588100F4">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680E773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评价基准年</w:t>
            </w:r>
          </w:p>
        </w:tc>
        <w:tc>
          <w:tcPr>
            <w:tcW w:w="4320" w:type="pct"/>
            <w:gridSpan w:val="8"/>
            <w:tcMar>
              <w:top w:w="15" w:type="dxa"/>
              <w:left w:w="15" w:type="dxa"/>
              <w:bottom w:w="15" w:type="dxa"/>
              <w:right w:w="15" w:type="dxa"/>
            </w:tcMar>
            <w:vAlign w:val="center"/>
          </w:tcPr>
          <w:p w14:paraId="0E006C60">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（2022）年</w:t>
            </w:r>
          </w:p>
        </w:tc>
      </w:tr>
      <w:tr w14:paraId="2069FD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59B3AA79">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5C9FBED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环境空气质量现状调查数据来源</w:t>
            </w:r>
          </w:p>
        </w:tc>
        <w:tc>
          <w:tcPr>
            <w:tcW w:w="1926" w:type="pct"/>
            <w:gridSpan w:val="4"/>
            <w:tcMar>
              <w:top w:w="15" w:type="dxa"/>
              <w:left w:w="15" w:type="dxa"/>
              <w:bottom w:w="15" w:type="dxa"/>
              <w:right w:w="15" w:type="dxa"/>
            </w:tcMar>
            <w:vAlign w:val="center"/>
          </w:tcPr>
          <w:p w14:paraId="77694AF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长期例行监测数据√</w:t>
            </w:r>
          </w:p>
        </w:tc>
        <w:tc>
          <w:tcPr>
            <w:tcW w:w="1548" w:type="pct"/>
            <w:gridSpan w:val="2"/>
            <w:tcMar>
              <w:top w:w="15" w:type="dxa"/>
              <w:left w:w="15" w:type="dxa"/>
              <w:bottom w:w="15" w:type="dxa"/>
              <w:right w:w="15" w:type="dxa"/>
            </w:tcMar>
            <w:vAlign w:val="center"/>
          </w:tcPr>
          <w:p w14:paraId="1D6DF884">
            <w:pPr>
              <w:widowControl/>
              <w:adjustRightInd w:val="0"/>
              <w:snapToGrid w:val="0"/>
              <w:spacing w:line="240" w:lineRule="auto"/>
              <w:ind w:firstLine="0" w:firstLineChars="0"/>
              <w:textAlignment w:val="center"/>
              <w:rPr>
                <w:rFonts w:hAnsi="Times New Roman"/>
                <w:color w:val="auto"/>
                <w:sz w:val="18"/>
                <w:szCs w:val="18"/>
                <w:highlight w:val="none"/>
                <w:u w:val="none"/>
              </w:rPr>
            </w:pPr>
            <w:r>
              <w:rPr>
                <w:rFonts w:hAnsi="Times New Roman"/>
                <w:color w:val="auto"/>
                <w:sz w:val="18"/>
                <w:szCs w:val="18"/>
                <w:highlight w:val="none"/>
                <w:u w:val="none"/>
                <w:lang w:bidi="ar"/>
              </w:rPr>
              <w:t>主管部门发布的数据√</w:t>
            </w:r>
          </w:p>
        </w:tc>
        <w:tc>
          <w:tcPr>
            <w:tcW w:w="845" w:type="pct"/>
            <w:gridSpan w:val="2"/>
            <w:tcMar>
              <w:top w:w="15" w:type="dxa"/>
              <w:left w:w="15" w:type="dxa"/>
              <w:bottom w:w="15" w:type="dxa"/>
              <w:right w:w="15" w:type="dxa"/>
            </w:tcMar>
            <w:vAlign w:val="center"/>
          </w:tcPr>
          <w:p w14:paraId="1EE3B380">
            <w:pPr>
              <w:widowControl/>
              <w:adjustRightInd w:val="0"/>
              <w:snapToGrid w:val="0"/>
              <w:spacing w:line="240" w:lineRule="auto"/>
              <w:ind w:firstLine="0" w:firstLineChars="0"/>
              <w:textAlignment w:val="center"/>
              <w:rPr>
                <w:rFonts w:hAnsi="Times New Roman"/>
                <w:color w:val="auto"/>
                <w:sz w:val="18"/>
                <w:szCs w:val="18"/>
                <w:highlight w:val="none"/>
                <w:u w:val="none"/>
              </w:rPr>
            </w:pPr>
            <w:r>
              <w:rPr>
                <w:rFonts w:hAnsi="Times New Roman"/>
                <w:color w:val="auto"/>
                <w:sz w:val="18"/>
                <w:szCs w:val="18"/>
                <w:highlight w:val="none"/>
                <w:u w:val="none"/>
                <w:lang w:bidi="ar"/>
              </w:rPr>
              <w:t>现状补充检测√</w:t>
            </w:r>
          </w:p>
        </w:tc>
      </w:tr>
      <w:tr w14:paraId="1EAFF0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1D268D73">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6B0D238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现状评价</w:t>
            </w:r>
          </w:p>
        </w:tc>
        <w:tc>
          <w:tcPr>
            <w:tcW w:w="2379" w:type="pct"/>
            <w:gridSpan w:val="5"/>
            <w:tcMar>
              <w:top w:w="15" w:type="dxa"/>
              <w:left w:w="15" w:type="dxa"/>
              <w:bottom w:w="15" w:type="dxa"/>
              <w:right w:w="15" w:type="dxa"/>
            </w:tcMar>
            <w:vAlign w:val="center"/>
          </w:tcPr>
          <w:p w14:paraId="7218FF6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达标区√</w:t>
            </w:r>
          </w:p>
        </w:tc>
        <w:tc>
          <w:tcPr>
            <w:tcW w:w="1940" w:type="pct"/>
            <w:gridSpan w:val="3"/>
            <w:tcMar>
              <w:top w:w="15" w:type="dxa"/>
              <w:left w:w="15" w:type="dxa"/>
              <w:bottom w:w="15" w:type="dxa"/>
              <w:right w:w="15" w:type="dxa"/>
            </w:tcMar>
            <w:vAlign w:val="center"/>
          </w:tcPr>
          <w:p w14:paraId="440C15D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不达标区□</w:t>
            </w:r>
          </w:p>
        </w:tc>
      </w:tr>
      <w:tr w14:paraId="5DA02B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5E989C4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污染源调查</w:t>
            </w:r>
          </w:p>
        </w:tc>
        <w:tc>
          <w:tcPr>
            <w:tcW w:w="464" w:type="pct"/>
            <w:vMerge w:val="restart"/>
            <w:tcMar>
              <w:top w:w="15" w:type="dxa"/>
              <w:left w:w="15" w:type="dxa"/>
              <w:bottom w:w="15" w:type="dxa"/>
              <w:right w:w="15" w:type="dxa"/>
            </w:tcMar>
            <w:vAlign w:val="center"/>
          </w:tcPr>
          <w:p w14:paraId="1FB0382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调查内容</w:t>
            </w:r>
          </w:p>
        </w:tc>
        <w:tc>
          <w:tcPr>
            <w:tcW w:w="1040" w:type="pct"/>
            <w:gridSpan w:val="2"/>
            <w:tcMar>
              <w:top w:w="15" w:type="dxa"/>
              <w:left w:w="15" w:type="dxa"/>
              <w:bottom w:w="15" w:type="dxa"/>
              <w:right w:w="15" w:type="dxa"/>
            </w:tcMar>
            <w:vAlign w:val="center"/>
          </w:tcPr>
          <w:p w14:paraId="4667A46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本项目正常排放源√</w:t>
            </w:r>
          </w:p>
        </w:tc>
        <w:tc>
          <w:tcPr>
            <w:tcW w:w="1338" w:type="pct"/>
            <w:gridSpan w:val="3"/>
            <w:vMerge w:val="restart"/>
            <w:tcMar>
              <w:top w:w="15" w:type="dxa"/>
              <w:left w:w="15" w:type="dxa"/>
              <w:bottom w:w="15" w:type="dxa"/>
              <w:right w:w="15" w:type="dxa"/>
            </w:tcMar>
            <w:vAlign w:val="center"/>
          </w:tcPr>
          <w:p w14:paraId="111C15D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拟替代的污染源□</w:t>
            </w:r>
          </w:p>
        </w:tc>
        <w:tc>
          <w:tcPr>
            <w:tcW w:w="1095" w:type="pct"/>
            <w:vMerge w:val="restart"/>
            <w:tcMar>
              <w:top w:w="15" w:type="dxa"/>
              <w:left w:w="15" w:type="dxa"/>
              <w:bottom w:w="15" w:type="dxa"/>
              <w:right w:w="15" w:type="dxa"/>
            </w:tcMar>
            <w:vAlign w:val="center"/>
          </w:tcPr>
          <w:p w14:paraId="7D7F631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其他在建、拟建项目污染源√</w:t>
            </w:r>
          </w:p>
        </w:tc>
        <w:tc>
          <w:tcPr>
            <w:tcW w:w="845" w:type="pct"/>
            <w:gridSpan w:val="2"/>
            <w:vMerge w:val="restart"/>
            <w:tcMar>
              <w:top w:w="15" w:type="dxa"/>
              <w:left w:w="15" w:type="dxa"/>
              <w:bottom w:w="15" w:type="dxa"/>
              <w:right w:w="15" w:type="dxa"/>
            </w:tcMar>
            <w:vAlign w:val="center"/>
          </w:tcPr>
          <w:p w14:paraId="1B09AF8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区域污染源□</w:t>
            </w:r>
          </w:p>
        </w:tc>
      </w:tr>
      <w:tr w14:paraId="11BBE3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64C136E6">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63640AAA">
            <w:pPr>
              <w:widowControl/>
              <w:spacing w:line="240" w:lineRule="auto"/>
              <w:ind w:firstLine="0" w:firstLineChars="0"/>
              <w:jc w:val="left"/>
              <w:rPr>
                <w:rFonts w:hAnsi="Times New Roman"/>
                <w:color w:val="auto"/>
                <w:sz w:val="18"/>
                <w:szCs w:val="18"/>
                <w:highlight w:val="none"/>
                <w:u w:val="none"/>
              </w:rPr>
            </w:pPr>
          </w:p>
        </w:tc>
        <w:tc>
          <w:tcPr>
            <w:tcW w:w="1040" w:type="pct"/>
            <w:gridSpan w:val="2"/>
            <w:tcMar>
              <w:top w:w="15" w:type="dxa"/>
              <w:left w:w="15" w:type="dxa"/>
              <w:bottom w:w="15" w:type="dxa"/>
              <w:right w:w="15" w:type="dxa"/>
            </w:tcMar>
            <w:vAlign w:val="center"/>
          </w:tcPr>
          <w:p w14:paraId="0FFA184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本项目非正常排放源√</w:t>
            </w:r>
          </w:p>
        </w:tc>
        <w:tc>
          <w:tcPr>
            <w:tcW w:w="1338" w:type="pct"/>
            <w:gridSpan w:val="3"/>
            <w:vMerge w:val="continue"/>
            <w:vAlign w:val="center"/>
          </w:tcPr>
          <w:p w14:paraId="0882A461">
            <w:pPr>
              <w:widowControl/>
              <w:spacing w:line="240" w:lineRule="auto"/>
              <w:ind w:firstLine="0" w:firstLineChars="0"/>
              <w:jc w:val="left"/>
              <w:rPr>
                <w:rFonts w:hAnsi="Times New Roman"/>
                <w:color w:val="auto"/>
                <w:sz w:val="18"/>
                <w:szCs w:val="18"/>
                <w:highlight w:val="none"/>
                <w:u w:val="none"/>
              </w:rPr>
            </w:pPr>
          </w:p>
        </w:tc>
        <w:tc>
          <w:tcPr>
            <w:tcW w:w="1095" w:type="pct"/>
            <w:vMerge w:val="continue"/>
            <w:vAlign w:val="center"/>
          </w:tcPr>
          <w:p w14:paraId="16E8DA62">
            <w:pPr>
              <w:widowControl/>
              <w:spacing w:line="240" w:lineRule="auto"/>
              <w:ind w:firstLine="0" w:firstLineChars="0"/>
              <w:jc w:val="left"/>
              <w:rPr>
                <w:rFonts w:hAnsi="Times New Roman"/>
                <w:color w:val="auto"/>
                <w:sz w:val="18"/>
                <w:szCs w:val="18"/>
                <w:highlight w:val="none"/>
                <w:u w:val="none"/>
              </w:rPr>
            </w:pPr>
          </w:p>
        </w:tc>
        <w:tc>
          <w:tcPr>
            <w:tcW w:w="845" w:type="pct"/>
            <w:gridSpan w:val="2"/>
            <w:vMerge w:val="continue"/>
            <w:vAlign w:val="center"/>
          </w:tcPr>
          <w:p w14:paraId="7E0E9D77">
            <w:pPr>
              <w:widowControl/>
              <w:spacing w:line="240" w:lineRule="auto"/>
              <w:ind w:firstLine="0" w:firstLineChars="0"/>
              <w:jc w:val="left"/>
              <w:rPr>
                <w:rFonts w:hAnsi="Times New Roman"/>
                <w:color w:val="auto"/>
                <w:sz w:val="18"/>
                <w:szCs w:val="18"/>
                <w:highlight w:val="none"/>
                <w:u w:val="none"/>
              </w:rPr>
            </w:pPr>
          </w:p>
        </w:tc>
      </w:tr>
      <w:tr w14:paraId="724F6E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7011B17A">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71D29B70">
            <w:pPr>
              <w:widowControl/>
              <w:spacing w:line="240" w:lineRule="auto"/>
              <w:ind w:firstLine="0" w:firstLineChars="0"/>
              <w:jc w:val="left"/>
              <w:rPr>
                <w:rFonts w:hAnsi="Times New Roman"/>
                <w:color w:val="auto"/>
                <w:sz w:val="18"/>
                <w:szCs w:val="18"/>
                <w:highlight w:val="none"/>
                <w:u w:val="none"/>
              </w:rPr>
            </w:pPr>
          </w:p>
        </w:tc>
        <w:tc>
          <w:tcPr>
            <w:tcW w:w="1040" w:type="pct"/>
            <w:gridSpan w:val="2"/>
            <w:tcMar>
              <w:top w:w="15" w:type="dxa"/>
              <w:left w:w="15" w:type="dxa"/>
              <w:bottom w:w="15" w:type="dxa"/>
              <w:right w:w="15" w:type="dxa"/>
            </w:tcMar>
            <w:vAlign w:val="center"/>
          </w:tcPr>
          <w:p w14:paraId="37A21D4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现有污染源√</w:t>
            </w:r>
          </w:p>
        </w:tc>
        <w:tc>
          <w:tcPr>
            <w:tcW w:w="1338" w:type="pct"/>
            <w:gridSpan w:val="3"/>
            <w:vMerge w:val="continue"/>
            <w:vAlign w:val="center"/>
          </w:tcPr>
          <w:p w14:paraId="614A4E43">
            <w:pPr>
              <w:widowControl/>
              <w:spacing w:line="240" w:lineRule="auto"/>
              <w:ind w:firstLine="0" w:firstLineChars="0"/>
              <w:jc w:val="left"/>
              <w:rPr>
                <w:rFonts w:hAnsi="Times New Roman"/>
                <w:color w:val="auto"/>
                <w:sz w:val="18"/>
                <w:szCs w:val="18"/>
                <w:highlight w:val="none"/>
                <w:u w:val="none"/>
              </w:rPr>
            </w:pPr>
          </w:p>
        </w:tc>
        <w:tc>
          <w:tcPr>
            <w:tcW w:w="1095" w:type="pct"/>
            <w:vMerge w:val="continue"/>
            <w:vAlign w:val="center"/>
          </w:tcPr>
          <w:p w14:paraId="7AA94AE2">
            <w:pPr>
              <w:widowControl/>
              <w:spacing w:line="240" w:lineRule="auto"/>
              <w:ind w:firstLine="0" w:firstLineChars="0"/>
              <w:jc w:val="left"/>
              <w:rPr>
                <w:rFonts w:hAnsi="Times New Roman"/>
                <w:color w:val="auto"/>
                <w:sz w:val="18"/>
                <w:szCs w:val="18"/>
                <w:highlight w:val="none"/>
                <w:u w:val="none"/>
              </w:rPr>
            </w:pPr>
          </w:p>
        </w:tc>
        <w:tc>
          <w:tcPr>
            <w:tcW w:w="845" w:type="pct"/>
            <w:gridSpan w:val="2"/>
            <w:vMerge w:val="continue"/>
            <w:vAlign w:val="center"/>
          </w:tcPr>
          <w:p w14:paraId="4BAACB8B">
            <w:pPr>
              <w:widowControl/>
              <w:spacing w:line="240" w:lineRule="auto"/>
              <w:ind w:firstLine="0" w:firstLineChars="0"/>
              <w:jc w:val="left"/>
              <w:rPr>
                <w:rFonts w:hAnsi="Times New Roman"/>
                <w:color w:val="auto"/>
                <w:sz w:val="18"/>
                <w:szCs w:val="18"/>
                <w:highlight w:val="none"/>
                <w:u w:val="none"/>
              </w:rPr>
            </w:pPr>
          </w:p>
        </w:tc>
      </w:tr>
      <w:tr w14:paraId="063CA2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6C560B95">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bidi="ar"/>
              </w:rPr>
            </w:pPr>
            <w:r>
              <w:rPr>
                <w:rFonts w:hAnsi="Times New Roman"/>
                <w:color w:val="auto"/>
                <w:sz w:val="18"/>
                <w:szCs w:val="18"/>
                <w:highlight w:val="none"/>
                <w:u w:val="none"/>
                <w:lang w:bidi="ar"/>
              </w:rPr>
              <w:t>大气环境影响预测与评价</w:t>
            </w:r>
          </w:p>
          <w:p w14:paraId="3C07556E">
            <w:pPr>
              <w:widowControl/>
              <w:adjustRightInd w:val="0"/>
              <w:snapToGrid w:val="0"/>
              <w:spacing w:line="240" w:lineRule="auto"/>
              <w:ind w:firstLine="0" w:firstLineChars="0"/>
              <w:jc w:val="center"/>
              <w:textAlignment w:val="bottom"/>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00653202">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预测模型</w:t>
            </w:r>
          </w:p>
        </w:tc>
        <w:tc>
          <w:tcPr>
            <w:tcW w:w="592" w:type="pct"/>
            <w:tcMar>
              <w:top w:w="15" w:type="dxa"/>
              <w:left w:w="15" w:type="dxa"/>
              <w:bottom w:w="15" w:type="dxa"/>
              <w:right w:w="15" w:type="dxa"/>
            </w:tcMar>
            <w:vAlign w:val="center"/>
          </w:tcPr>
          <w:p w14:paraId="453C306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AERMOD□</w:t>
            </w:r>
          </w:p>
        </w:tc>
        <w:tc>
          <w:tcPr>
            <w:tcW w:w="566" w:type="pct"/>
            <w:gridSpan w:val="2"/>
            <w:tcMar>
              <w:top w:w="15" w:type="dxa"/>
              <w:left w:w="15" w:type="dxa"/>
              <w:bottom w:w="15" w:type="dxa"/>
              <w:right w:w="15" w:type="dxa"/>
            </w:tcMar>
            <w:vAlign w:val="center"/>
          </w:tcPr>
          <w:p w14:paraId="311A73D5">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ADMS□</w:t>
            </w:r>
          </w:p>
        </w:tc>
        <w:tc>
          <w:tcPr>
            <w:tcW w:w="767" w:type="pct"/>
            <w:tcMar>
              <w:top w:w="15" w:type="dxa"/>
              <w:left w:w="15" w:type="dxa"/>
              <w:bottom w:w="15" w:type="dxa"/>
              <w:right w:w="15" w:type="dxa"/>
            </w:tcMar>
            <w:vAlign w:val="center"/>
          </w:tcPr>
          <w:p w14:paraId="5EDA770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AUSTAL2000□</w:t>
            </w:r>
          </w:p>
        </w:tc>
        <w:tc>
          <w:tcPr>
            <w:tcW w:w="452" w:type="pct"/>
            <w:tcMar>
              <w:top w:w="15" w:type="dxa"/>
              <w:left w:w="15" w:type="dxa"/>
              <w:bottom w:w="15" w:type="dxa"/>
              <w:right w:w="15" w:type="dxa"/>
            </w:tcMar>
            <w:vAlign w:val="center"/>
          </w:tcPr>
          <w:p w14:paraId="7E14969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EDMS/AEDT□</w:t>
            </w:r>
          </w:p>
        </w:tc>
        <w:tc>
          <w:tcPr>
            <w:tcW w:w="1095" w:type="pct"/>
            <w:tcMar>
              <w:top w:w="15" w:type="dxa"/>
              <w:left w:w="15" w:type="dxa"/>
              <w:bottom w:w="15" w:type="dxa"/>
              <w:right w:w="15" w:type="dxa"/>
            </w:tcMar>
            <w:vAlign w:val="center"/>
          </w:tcPr>
          <w:p w14:paraId="76E2EDC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CALPUFF√</w:t>
            </w:r>
          </w:p>
        </w:tc>
        <w:tc>
          <w:tcPr>
            <w:tcW w:w="642" w:type="pct"/>
            <w:tcMar>
              <w:top w:w="15" w:type="dxa"/>
              <w:left w:w="15" w:type="dxa"/>
              <w:bottom w:w="15" w:type="dxa"/>
              <w:right w:w="15" w:type="dxa"/>
            </w:tcMar>
            <w:vAlign w:val="center"/>
          </w:tcPr>
          <w:p w14:paraId="7AC90F75">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网格模型□</w:t>
            </w:r>
          </w:p>
        </w:tc>
        <w:tc>
          <w:tcPr>
            <w:tcW w:w="202" w:type="pct"/>
            <w:tcMar>
              <w:top w:w="15" w:type="dxa"/>
              <w:left w:w="15" w:type="dxa"/>
              <w:bottom w:w="15" w:type="dxa"/>
              <w:right w:w="15" w:type="dxa"/>
            </w:tcMar>
            <w:vAlign w:val="center"/>
          </w:tcPr>
          <w:p w14:paraId="0E62FACF">
            <w:pPr>
              <w:widowControl/>
              <w:adjustRightInd w:val="0"/>
              <w:snapToGrid w:val="0"/>
              <w:spacing w:line="240" w:lineRule="auto"/>
              <w:ind w:firstLine="0" w:firstLineChars="0"/>
              <w:textAlignment w:val="center"/>
              <w:rPr>
                <w:rFonts w:hAnsi="Times New Roman"/>
                <w:color w:val="auto"/>
                <w:sz w:val="18"/>
                <w:szCs w:val="18"/>
                <w:highlight w:val="none"/>
                <w:u w:val="none"/>
              </w:rPr>
            </w:pPr>
            <w:r>
              <w:rPr>
                <w:rFonts w:hAnsi="Times New Roman"/>
                <w:color w:val="auto"/>
                <w:sz w:val="18"/>
                <w:szCs w:val="18"/>
                <w:highlight w:val="none"/>
                <w:u w:val="none"/>
                <w:lang w:bidi="ar"/>
              </w:rPr>
              <w:t>其他</w:t>
            </w:r>
            <w:r>
              <w:rPr>
                <w:rFonts w:hAnsi="Times New Roman"/>
                <w:color w:val="auto"/>
                <w:sz w:val="18"/>
                <w:szCs w:val="18"/>
                <w:highlight w:val="none"/>
                <w:u w:val="none"/>
                <w:lang w:bidi="ar"/>
              </w:rPr>
              <w:sym w:font="Times New Roman" w:char="F052"/>
            </w:r>
          </w:p>
        </w:tc>
      </w:tr>
      <w:tr w14:paraId="619453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5F21B82B">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2BA3359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预测范围</w:t>
            </w:r>
          </w:p>
        </w:tc>
        <w:tc>
          <w:tcPr>
            <w:tcW w:w="1926" w:type="pct"/>
            <w:gridSpan w:val="4"/>
            <w:tcMar>
              <w:top w:w="15" w:type="dxa"/>
              <w:left w:w="15" w:type="dxa"/>
              <w:bottom w:w="15" w:type="dxa"/>
              <w:right w:w="15" w:type="dxa"/>
            </w:tcMar>
            <w:vAlign w:val="center"/>
          </w:tcPr>
          <w:p w14:paraId="2F4BD83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边长≥50km□</w:t>
            </w:r>
          </w:p>
        </w:tc>
        <w:tc>
          <w:tcPr>
            <w:tcW w:w="1548" w:type="pct"/>
            <w:gridSpan w:val="2"/>
            <w:tcMar>
              <w:top w:w="15" w:type="dxa"/>
              <w:left w:w="15" w:type="dxa"/>
              <w:bottom w:w="15" w:type="dxa"/>
              <w:right w:w="15" w:type="dxa"/>
            </w:tcMar>
            <w:vAlign w:val="center"/>
          </w:tcPr>
          <w:p w14:paraId="0BB39C11">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边长5~50km√</w:t>
            </w:r>
          </w:p>
        </w:tc>
        <w:tc>
          <w:tcPr>
            <w:tcW w:w="845" w:type="pct"/>
            <w:gridSpan w:val="2"/>
            <w:tcMar>
              <w:top w:w="15" w:type="dxa"/>
              <w:left w:w="15" w:type="dxa"/>
              <w:bottom w:w="15" w:type="dxa"/>
              <w:right w:w="15" w:type="dxa"/>
            </w:tcMar>
            <w:vAlign w:val="center"/>
          </w:tcPr>
          <w:p w14:paraId="0476EDF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边长=5km□</w:t>
            </w:r>
          </w:p>
        </w:tc>
      </w:tr>
      <w:tr w14:paraId="242E00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124DB09C">
            <w:pPr>
              <w:widowControl/>
              <w:spacing w:line="240" w:lineRule="auto"/>
              <w:ind w:firstLine="0" w:firstLineChars="0"/>
              <w:jc w:val="left"/>
              <w:rPr>
                <w:rFonts w:hAnsi="Times New Roman"/>
                <w:color w:val="auto"/>
                <w:sz w:val="18"/>
                <w:szCs w:val="18"/>
                <w:highlight w:val="none"/>
                <w:u w:val="none"/>
              </w:rPr>
            </w:pPr>
          </w:p>
        </w:tc>
        <w:tc>
          <w:tcPr>
            <w:tcW w:w="464" w:type="pct"/>
            <w:vMerge w:val="restart"/>
            <w:tcMar>
              <w:top w:w="15" w:type="dxa"/>
              <w:left w:w="15" w:type="dxa"/>
              <w:bottom w:w="15" w:type="dxa"/>
              <w:right w:w="15" w:type="dxa"/>
            </w:tcMar>
            <w:vAlign w:val="center"/>
          </w:tcPr>
          <w:p w14:paraId="497D042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预测因子</w:t>
            </w:r>
          </w:p>
        </w:tc>
        <w:tc>
          <w:tcPr>
            <w:tcW w:w="2379" w:type="pct"/>
            <w:gridSpan w:val="5"/>
            <w:vMerge w:val="restart"/>
            <w:tcMar>
              <w:top w:w="15" w:type="dxa"/>
              <w:left w:w="15" w:type="dxa"/>
              <w:bottom w:w="15" w:type="dxa"/>
              <w:right w:w="15" w:type="dxa"/>
            </w:tcMar>
            <w:vAlign w:val="center"/>
          </w:tcPr>
          <w:p w14:paraId="5C14F77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预测因子（</w:t>
            </w:r>
            <w:r>
              <w:rPr>
                <w:rFonts w:hint="eastAsia" w:hAnsi="Times New Roman"/>
                <w:color w:val="auto"/>
                <w:sz w:val="18"/>
                <w:szCs w:val="18"/>
                <w:highlight w:val="none"/>
                <w:u w:val="none"/>
                <w:lang w:bidi="ar"/>
              </w:rPr>
              <w:t>NMHC、邻二氯苯、DNT、TDA、氯化氢、甲苯、氯气、光气、</w:t>
            </w:r>
            <w:r>
              <w:rPr>
                <w:rFonts w:hAnsi="Times New Roman"/>
                <w:color w:val="auto"/>
                <w:sz w:val="18"/>
                <w:szCs w:val="18"/>
                <w:highlight w:val="none"/>
                <w:u w:val="none"/>
                <w:lang w:bidi="ar"/>
              </w:rPr>
              <w:t>PM</w:t>
            </w:r>
            <w:r>
              <w:rPr>
                <w:rFonts w:hAnsi="Times New Roman"/>
                <w:color w:val="auto"/>
                <w:sz w:val="18"/>
                <w:szCs w:val="18"/>
                <w:highlight w:val="none"/>
                <w:u w:val="none"/>
                <w:vertAlign w:val="subscript"/>
                <w:lang w:bidi="ar"/>
              </w:rPr>
              <w:t>10</w:t>
            </w:r>
            <w:r>
              <w:rPr>
                <w:rFonts w:hAnsi="Times New Roman"/>
                <w:color w:val="auto"/>
                <w:sz w:val="18"/>
                <w:szCs w:val="18"/>
                <w:highlight w:val="none"/>
                <w:u w:val="none"/>
                <w:lang w:bidi="ar"/>
              </w:rPr>
              <w:t>、PM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c>
          <w:tcPr>
            <w:tcW w:w="1940" w:type="pct"/>
            <w:gridSpan w:val="3"/>
            <w:tcMar>
              <w:top w:w="15" w:type="dxa"/>
              <w:left w:w="15" w:type="dxa"/>
              <w:bottom w:w="15" w:type="dxa"/>
              <w:right w:w="15" w:type="dxa"/>
            </w:tcMar>
            <w:vAlign w:val="center"/>
          </w:tcPr>
          <w:p w14:paraId="2B66DCB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包括二次PM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r>
      <w:tr w14:paraId="2C6070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13CFFBB9">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2CF8B430">
            <w:pPr>
              <w:widowControl/>
              <w:spacing w:line="240" w:lineRule="auto"/>
              <w:ind w:firstLine="0" w:firstLineChars="0"/>
              <w:jc w:val="left"/>
              <w:rPr>
                <w:rFonts w:hAnsi="Times New Roman"/>
                <w:color w:val="auto"/>
                <w:sz w:val="18"/>
                <w:szCs w:val="18"/>
                <w:highlight w:val="none"/>
                <w:u w:val="none"/>
              </w:rPr>
            </w:pPr>
          </w:p>
        </w:tc>
        <w:tc>
          <w:tcPr>
            <w:tcW w:w="2379" w:type="pct"/>
            <w:gridSpan w:val="5"/>
            <w:vMerge w:val="continue"/>
            <w:vAlign w:val="center"/>
          </w:tcPr>
          <w:p w14:paraId="5C254FF5">
            <w:pPr>
              <w:widowControl/>
              <w:spacing w:line="240" w:lineRule="auto"/>
              <w:ind w:firstLine="0" w:firstLineChars="0"/>
              <w:jc w:val="left"/>
              <w:rPr>
                <w:rFonts w:hAnsi="Times New Roman"/>
                <w:color w:val="auto"/>
                <w:sz w:val="18"/>
                <w:szCs w:val="18"/>
                <w:highlight w:val="none"/>
                <w:u w:val="none"/>
              </w:rPr>
            </w:pPr>
          </w:p>
        </w:tc>
        <w:tc>
          <w:tcPr>
            <w:tcW w:w="1940" w:type="pct"/>
            <w:gridSpan w:val="3"/>
            <w:tcMar>
              <w:top w:w="15" w:type="dxa"/>
              <w:left w:w="15" w:type="dxa"/>
              <w:bottom w:w="15" w:type="dxa"/>
              <w:right w:w="15" w:type="dxa"/>
            </w:tcMar>
            <w:vAlign w:val="center"/>
          </w:tcPr>
          <w:p w14:paraId="1E793E8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不包括二次PM</w:t>
            </w:r>
            <w:r>
              <w:rPr>
                <w:rFonts w:hAnsi="Times New Roman"/>
                <w:color w:val="auto"/>
                <w:sz w:val="18"/>
                <w:szCs w:val="18"/>
                <w:highlight w:val="none"/>
                <w:u w:val="none"/>
                <w:vertAlign w:val="subscript"/>
                <w:lang w:bidi="ar"/>
              </w:rPr>
              <w:t>2.5</w:t>
            </w:r>
            <w:r>
              <w:rPr>
                <w:rFonts w:hAnsi="Times New Roman"/>
                <w:color w:val="auto"/>
                <w:sz w:val="18"/>
                <w:szCs w:val="18"/>
                <w:highlight w:val="none"/>
                <w:u w:val="none"/>
                <w:lang w:bidi="ar"/>
              </w:rPr>
              <w:t>√</w:t>
            </w:r>
          </w:p>
        </w:tc>
      </w:tr>
      <w:tr w14:paraId="6940DD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0AC1EB3C">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4C6A106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正常排放短期浓度贡献值</w:t>
            </w:r>
          </w:p>
        </w:tc>
        <w:tc>
          <w:tcPr>
            <w:tcW w:w="2379" w:type="pct"/>
            <w:gridSpan w:val="5"/>
            <w:tcMar>
              <w:top w:w="15" w:type="dxa"/>
              <w:left w:w="15" w:type="dxa"/>
              <w:bottom w:w="15" w:type="dxa"/>
              <w:right w:w="15" w:type="dxa"/>
            </w:tcMar>
            <w:vAlign w:val="center"/>
          </w:tcPr>
          <w:p w14:paraId="1C04DED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C本项目最大占标率≤100%√</w:t>
            </w:r>
          </w:p>
        </w:tc>
        <w:tc>
          <w:tcPr>
            <w:tcW w:w="1940" w:type="pct"/>
            <w:gridSpan w:val="3"/>
            <w:tcMar>
              <w:top w:w="15" w:type="dxa"/>
              <w:left w:w="15" w:type="dxa"/>
              <w:bottom w:w="15" w:type="dxa"/>
              <w:right w:w="15" w:type="dxa"/>
            </w:tcMar>
            <w:vAlign w:val="center"/>
          </w:tcPr>
          <w:p w14:paraId="01E5D59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C本项目最大占标率&gt;100%□</w:t>
            </w:r>
          </w:p>
        </w:tc>
      </w:tr>
      <w:tr w14:paraId="32FA06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78797095">
            <w:pPr>
              <w:widowControl/>
              <w:spacing w:line="240" w:lineRule="auto"/>
              <w:ind w:firstLine="0" w:firstLineChars="0"/>
              <w:jc w:val="left"/>
              <w:rPr>
                <w:rFonts w:hAnsi="Times New Roman"/>
                <w:color w:val="auto"/>
                <w:sz w:val="18"/>
                <w:szCs w:val="18"/>
                <w:highlight w:val="none"/>
                <w:u w:val="none"/>
              </w:rPr>
            </w:pPr>
          </w:p>
        </w:tc>
        <w:tc>
          <w:tcPr>
            <w:tcW w:w="464" w:type="pct"/>
            <w:vMerge w:val="restart"/>
            <w:tcMar>
              <w:top w:w="15" w:type="dxa"/>
              <w:left w:w="15" w:type="dxa"/>
              <w:bottom w:w="15" w:type="dxa"/>
              <w:right w:w="15" w:type="dxa"/>
            </w:tcMar>
            <w:vAlign w:val="center"/>
          </w:tcPr>
          <w:p w14:paraId="65E10AA0">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正常排放年均浓度贡献值</w:t>
            </w:r>
          </w:p>
        </w:tc>
        <w:tc>
          <w:tcPr>
            <w:tcW w:w="1158" w:type="pct"/>
            <w:gridSpan w:val="3"/>
            <w:tcMar>
              <w:top w:w="15" w:type="dxa"/>
              <w:left w:w="15" w:type="dxa"/>
              <w:bottom w:w="15" w:type="dxa"/>
              <w:right w:w="15" w:type="dxa"/>
            </w:tcMar>
            <w:vAlign w:val="center"/>
          </w:tcPr>
          <w:p w14:paraId="056177C4">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一类区</w:t>
            </w:r>
          </w:p>
        </w:tc>
        <w:tc>
          <w:tcPr>
            <w:tcW w:w="1220" w:type="pct"/>
            <w:gridSpan w:val="2"/>
            <w:tcMar>
              <w:top w:w="15" w:type="dxa"/>
              <w:left w:w="15" w:type="dxa"/>
              <w:bottom w:w="15" w:type="dxa"/>
              <w:right w:w="15" w:type="dxa"/>
            </w:tcMar>
            <w:vAlign w:val="center"/>
          </w:tcPr>
          <w:p w14:paraId="073C534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本项目</w:t>
            </w:r>
            <w:r>
              <w:rPr>
                <w:rFonts w:hAnsi="Times New Roman"/>
                <w:color w:val="auto"/>
                <w:sz w:val="18"/>
                <w:szCs w:val="18"/>
                <w:highlight w:val="none"/>
                <w:u w:val="none"/>
                <w:lang w:bidi="ar"/>
              </w:rPr>
              <w:t>最大占标率≤10%□</w:t>
            </w:r>
          </w:p>
        </w:tc>
        <w:tc>
          <w:tcPr>
            <w:tcW w:w="1940" w:type="pct"/>
            <w:gridSpan w:val="3"/>
            <w:tcMar>
              <w:top w:w="15" w:type="dxa"/>
              <w:left w:w="15" w:type="dxa"/>
              <w:bottom w:w="15" w:type="dxa"/>
              <w:right w:w="15" w:type="dxa"/>
            </w:tcMar>
            <w:vAlign w:val="center"/>
          </w:tcPr>
          <w:p w14:paraId="3054742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本项目</w:t>
            </w:r>
            <w:r>
              <w:rPr>
                <w:rFonts w:hAnsi="Times New Roman"/>
                <w:color w:val="auto"/>
                <w:sz w:val="18"/>
                <w:szCs w:val="18"/>
                <w:highlight w:val="none"/>
                <w:u w:val="none"/>
                <w:lang w:bidi="ar"/>
              </w:rPr>
              <w:t>最大占标率&gt;10%□</w:t>
            </w:r>
          </w:p>
        </w:tc>
      </w:tr>
      <w:tr w14:paraId="1337C1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3CD02F35">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19AFD46E">
            <w:pPr>
              <w:widowControl/>
              <w:spacing w:line="240" w:lineRule="auto"/>
              <w:ind w:firstLine="0" w:firstLineChars="0"/>
              <w:jc w:val="left"/>
              <w:rPr>
                <w:rFonts w:hAnsi="Times New Roman"/>
                <w:color w:val="auto"/>
                <w:sz w:val="18"/>
                <w:szCs w:val="18"/>
                <w:highlight w:val="none"/>
                <w:u w:val="none"/>
              </w:rPr>
            </w:pPr>
          </w:p>
        </w:tc>
        <w:tc>
          <w:tcPr>
            <w:tcW w:w="1158" w:type="pct"/>
            <w:gridSpan w:val="3"/>
            <w:tcMar>
              <w:top w:w="15" w:type="dxa"/>
              <w:left w:w="15" w:type="dxa"/>
              <w:bottom w:w="15" w:type="dxa"/>
              <w:right w:w="15" w:type="dxa"/>
            </w:tcMar>
            <w:vAlign w:val="center"/>
          </w:tcPr>
          <w:p w14:paraId="09754114">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二类区</w:t>
            </w:r>
          </w:p>
        </w:tc>
        <w:tc>
          <w:tcPr>
            <w:tcW w:w="1220" w:type="pct"/>
            <w:gridSpan w:val="2"/>
            <w:tcMar>
              <w:top w:w="15" w:type="dxa"/>
              <w:left w:w="15" w:type="dxa"/>
              <w:bottom w:w="15" w:type="dxa"/>
              <w:right w:w="15" w:type="dxa"/>
            </w:tcMar>
            <w:vAlign w:val="center"/>
          </w:tcPr>
          <w:p w14:paraId="724E49D2">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本项目</w:t>
            </w:r>
            <w:r>
              <w:rPr>
                <w:rFonts w:hAnsi="Times New Roman"/>
                <w:color w:val="auto"/>
                <w:sz w:val="18"/>
                <w:szCs w:val="18"/>
                <w:highlight w:val="none"/>
                <w:u w:val="none"/>
                <w:lang w:bidi="ar"/>
              </w:rPr>
              <w:t>最大占标率≤30%√</w:t>
            </w:r>
          </w:p>
        </w:tc>
        <w:tc>
          <w:tcPr>
            <w:tcW w:w="1940" w:type="pct"/>
            <w:gridSpan w:val="3"/>
            <w:tcMar>
              <w:top w:w="15" w:type="dxa"/>
              <w:left w:w="15" w:type="dxa"/>
              <w:bottom w:w="15" w:type="dxa"/>
              <w:right w:w="15" w:type="dxa"/>
            </w:tcMar>
            <w:vAlign w:val="center"/>
          </w:tcPr>
          <w:p w14:paraId="4072E7E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本项目</w:t>
            </w:r>
            <w:r>
              <w:rPr>
                <w:rFonts w:hAnsi="Times New Roman"/>
                <w:color w:val="auto"/>
                <w:sz w:val="18"/>
                <w:szCs w:val="18"/>
                <w:highlight w:val="none"/>
                <w:u w:val="none"/>
                <w:lang w:bidi="ar"/>
              </w:rPr>
              <w:t>最大占标率&gt;30%□</w:t>
            </w:r>
          </w:p>
        </w:tc>
      </w:tr>
      <w:tr w14:paraId="160B11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5D115A29">
            <w:pPr>
              <w:widowControl/>
              <w:spacing w:line="240" w:lineRule="auto"/>
              <w:ind w:firstLine="0" w:firstLineChars="0"/>
              <w:jc w:val="left"/>
              <w:rPr>
                <w:rFonts w:hAnsi="Times New Roman"/>
                <w:color w:val="auto"/>
                <w:sz w:val="18"/>
                <w:szCs w:val="18"/>
                <w:highlight w:val="none"/>
                <w:u w:val="none"/>
              </w:rPr>
            </w:pPr>
          </w:p>
        </w:tc>
        <w:tc>
          <w:tcPr>
            <w:tcW w:w="464" w:type="pct"/>
            <w:vMerge w:val="restart"/>
            <w:tcMar>
              <w:top w:w="15" w:type="dxa"/>
              <w:left w:w="15" w:type="dxa"/>
              <w:bottom w:w="15" w:type="dxa"/>
              <w:right w:w="15" w:type="dxa"/>
            </w:tcMar>
            <w:vAlign w:val="center"/>
          </w:tcPr>
          <w:p w14:paraId="7DBCCE8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非正常1h浓度贡献值</w:t>
            </w:r>
          </w:p>
        </w:tc>
        <w:tc>
          <w:tcPr>
            <w:tcW w:w="1040" w:type="pct"/>
            <w:gridSpan w:val="2"/>
            <w:tcMar>
              <w:top w:w="15" w:type="dxa"/>
              <w:left w:w="15" w:type="dxa"/>
              <w:bottom w:w="15" w:type="dxa"/>
              <w:right w:w="15" w:type="dxa"/>
            </w:tcMar>
            <w:vAlign w:val="center"/>
          </w:tcPr>
          <w:p w14:paraId="4F4CFA7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非正常持续时长</w:t>
            </w:r>
          </w:p>
        </w:tc>
        <w:tc>
          <w:tcPr>
            <w:tcW w:w="2433" w:type="pct"/>
            <w:gridSpan w:val="4"/>
            <w:vMerge w:val="restart"/>
            <w:tcMar>
              <w:top w:w="15" w:type="dxa"/>
              <w:left w:w="15" w:type="dxa"/>
              <w:bottom w:w="15" w:type="dxa"/>
              <w:right w:w="15" w:type="dxa"/>
            </w:tcMar>
            <w:vAlign w:val="center"/>
          </w:tcPr>
          <w:p w14:paraId="5732BCF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非正常</w:t>
            </w:r>
            <w:r>
              <w:rPr>
                <w:rFonts w:hAnsi="Times New Roman"/>
                <w:color w:val="auto"/>
                <w:sz w:val="18"/>
                <w:szCs w:val="18"/>
                <w:highlight w:val="none"/>
                <w:u w:val="none"/>
                <w:lang w:bidi="ar"/>
              </w:rPr>
              <w:t>占标率≤100%√</w:t>
            </w:r>
          </w:p>
        </w:tc>
        <w:tc>
          <w:tcPr>
            <w:tcW w:w="845" w:type="pct"/>
            <w:gridSpan w:val="2"/>
            <w:vMerge w:val="restart"/>
            <w:tcMar>
              <w:top w:w="15" w:type="dxa"/>
              <w:left w:w="15" w:type="dxa"/>
              <w:bottom w:w="15" w:type="dxa"/>
              <w:right w:w="15" w:type="dxa"/>
            </w:tcMar>
            <w:vAlign w:val="center"/>
          </w:tcPr>
          <w:p w14:paraId="50883FF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w:t>
            </w:r>
            <w:r>
              <w:rPr>
                <w:rFonts w:hAnsi="Times New Roman"/>
                <w:color w:val="auto"/>
                <w:sz w:val="18"/>
                <w:szCs w:val="18"/>
                <w:highlight w:val="none"/>
                <w:u w:val="none"/>
                <w:vertAlign w:val="subscript"/>
                <w:lang w:bidi="ar"/>
              </w:rPr>
              <w:t>非正常</w:t>
            </w:r>
            <w:r>
              <w:rPr>
                <w:rFonts w:hAnsi="Times New Roman"/>
                <w:color w:val="auto"/>
                <w:sz w:val="18"/>
                <w:szCs w:val="18"/>
                <w:highlight w:val="none"/>
                <w:u w:val="none"/>
                <w:lang w:bidi="ar"/>
              </w:rPr>
              <w:t>占标率&gt;100%□</w:t>
            </w:r>
          </w:p>
        </w:tc>
      </w:tr>
      <w:tr w14:paraId="503E9C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4199A7D1">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3EC7C814">
            <w:pPr>
              <w:widowControl/>
              <w:spacing w:line="240" w:lineRule="auto"/>
              <w:ind w:firstLine="0" w:firstLineChars="0"/>
              <w:jc w:val="left"/>
              <w:rPr>
                <w:rFonts w:hAnsi="Times New Roman"/>
                <w:color w:val="auto"/>
                <w:sz w:val="18"/>
                <w:szCs w:val="18"/>
                <w:highlight w:val="none"/>
                <w:u w:val="none"/>
              </w:rPr>
            </w:pPr>
          </w:p>
        </w:tc>
        <w:tc>
          <w:tcPr>
            <w:tcW w:w="1040" w:type="pct"/>
            <w:gridSpan w:val="2"/>
            <w:tcMar>
              <w:top w:w="15" w:type="dxa"/>
              <w:left w:w="15" w:type="dxa"/>
              <w:bottom w:w="15" w:type="dxa"/>
              <w:right w:w="15" w:type="dxa"/>
            </w:tcMar>
            <w:vAlign w:val="center"/>
          </w:tcPr>
          <w:p w14:paraId="1153883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 2）h</w:t>
            </w:r>
          </w:p>
        </w:tc>
        <w:tc>
          <w:tcPr>
            <w:tcW w:w="2433" w:type="pct"/>
            <w:gridSpan w:val="4"/>
            <w:vMerge w:val="continue"/>
            <w:vAlign w:val="center"/>
          </w:tcPr>
          <w:p w14:paraId="4C9DCE32">
            <w:pPr>
              <w:widowControl/>
              <w:spacing w:line="240" w:lineRule="auto"/>
              <w:ind w:firstLine="0" w:firstLineChars="0"/>
              <w:jc w:val="left"/>
              <w:rPr>
                <w:rFonts w:hAnsi="Times New Roman"/>
                <w:color w:val="auto"/>
                <w:sz w:val="18"/>
                <w:szCs w:val="18"/>
                <w:highlight w:val="none"/>
                <w:u w:val="none"/>
              </w:rPr>
            </w:pPr>
          </w:p>
        </w:tc>
        <w:tc>
          <w:tcPr>
            <w:tcW w:w="845" w:type="pct"/>
            <w:gridSpan w:val="2"/>
            <w:vMerge w:val="continue"/>
            <w:vAlign w:val="center"/>
          </w:tcPr>
          <w:p w14:paraId="5CFC25AF">
            <w:pPr>
              <w:widowControl/>
              <w:spacing w:line="240" w:lineRule="auto"/>
              <w:ind w:firstLine="0" w:firstLineChars="0"/>
              <w:jc w:val="left"/>
              <w:rPr>
                <w:rFonts w:hAnsi="Times New Roman"/>
                <w:color w:val="auto"/>
                <w:sz w:val="18"/>
                <w:szCs w:val="18"/>
                <w:highlight w:val="none"/>
                <w:u w:val="none"/>
              </w:rPr>
            </w:pPr>
          </w:p>
        </w:tc>
      </w:tr>
      <w:tr w14:paraId="7A5A05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0D027ECC">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33C7231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保证率日平均浓度和年平均浓度叠加值</w:t>
            </w:r>
          </w:p>
        </w:tc>
        <w:tc>
          <w:tcPr>
            <w:tcW w:w="2379" w:type="pct"/>
            <w:gridSpan w:val="5"/>
            <w:tcMar>
              <w:top w:w="15" w:type="dxa"/>
              <w:left w:w="15" w:type="dxa"/>
              <w:bottom w:w="15" w:type="dxa"/>
              <w:right w:w="15" w:type="dxa"/>
            </w:tcMar>
            <w:vAlign w:val="center"/>
          </w:tcPr>
          <w:p w14:paraId="799AE28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C叠加达标√</w:t>
            </w:r>
          </w:p>
        </w:tc>
        <w:tc>
          <w:tcPr>
            <w:tcW w:w="1940" w:type="pct"/>
            <w:gridSpan w:val="3"/>
            <w:tcMar>
              <w:top w:w="15" w:type="dxa"/>
              <w:left w:w="15" w:type="dxa"/>
              <w:bottom w:w="15" w:type="dxa"/>
              <w:right w:w="15" w:type="dxa"/>
            </w:tcMar>
            <w:vAlign w:val="center"/>
          </w:tcPr>
          <w:p w14:paraId="45F24551">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C叠加不达标□</w:t>
            </w:r>
          </w:p>
        </w:tc>
      </w:tr>
      <w:tr w14:paraId="52165D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6A8927E4">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2ACC5189">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区域环境质量的整体变化情况</w:t>
            </w:r>
          </w:p>
        </w:tc>
        <w:tc>
          <w:tcPr>
            <w:tcW w:w="2379" w:type="pct"/>
            <w:gridSpan w:val="5"/>
            <w:tcMar>
              <w:top w:w="15" w:type="dxa"/>
              <w:left w:w="15" w:type="dxa"/>
              <w:bottom w:w="15" w:type="dxa"/>
              <w:right w:w="15" w:type="dxa"/>
            </w:tcMar>
            <w:vAlign w:val="center"/>
          </w:tcPr>
          <w:p w14:paraId="7B60CA5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k≤-20%□</w:t>
            </w:r>
          </w:p>
        </w:tc>
        <w:tc>
          <w:tcPr>
            <w:tcW w:w="1940" w:type="pct"/>
            <w:gridSpan w:val="3"/>
            <w:tcMar>
              <w:top w:w="15" w:type="dxa"/>
              <w:left w:w="15" w:type="dxa"/>
              <w:bottom w:w="15" w:type="dxa"/>
              <w:right w:w="15" w:type="dxa"/>
            </w:tcMar>
            <w:vAlign w:val="center"/>
          </w:tcPr>
          <w:p w14:paraId="4B3F2FB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k&gt;-20%□</w:t>
            </w:r>
          </w:p>
        </w:tc>
      </w:tr>
      <w:tr w14:paraId="47E2FC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3F1428F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环境监测计划</w:t>
            </w:r>
          </w:p>
        </w:tc>
        <w:tc>
          <w:tcPr>
            <w:tcW w:w="464" w:type="pct"/>
            <w:vMerge w:val="restart"/>
            <w:tcMar>
              <w:top w:w="15" w:type="dxa"/>
              <w:left w:w="15" w:type="dxa"/>
              <w:bottom w:w="15" w:type="dxa"/>
              <w:right w:w="15" w:type="dxa"/>
            </w:tcMar>
            <w:vAlign w:val="center"/>
          </w:tcPr>
          <w:p w14:paraId="037435EB">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bidi="ar"/>
              </w:rPr>
            </w:pPr>
            <w:r>
              <w:rPr>
                <w:rFonts w:hAnsi="Times New Roman"/>
                <w:color w:val="auto"/>
                <w:sz w:val="18"/>
                <w:szCs w:val="18"/>
                <w:highlight w:val="none"/>
                <w:u w:val="none"/>
                <w:lang w:bidi="ar"/>
              </w:rPr>
              <w:t>污染源</w:t>
            </w:r>
          </w:p>
          <w:p w14:paraId="1C4535F7">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监测</w:t>
            </w:r>
          </w:p>
        </w:tc>
        <w:tc>
          <w:tcPr>
            <w:tcW w:w="1926" w:type="pct"/>
            <w:gridSpan w:val="4"/>
            <w:vMerge w:val="restart"/>
            <w:tcMar>
              <w:top w:w="15" w:type="dxa"/>
              <w:left w:w="15" w:type="dxa"/>
              <w:bottom w:w="15" w:type="dxa"/>
              <w:right w:w="15" w:type="dxa"/>
            </w:tcMar>
            <w:vAlign w:val="center"/>
          </w:tcPr>
          <w:p w14:paraId="2634040C">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监测因子：（</w:t>
            </w:r>
            <w:r>
              <w:rPr>
                <w:rFonts w:hint="eastAsia" w:hAnsi="Times New Roman"/>
                <w:color w:val="auto"/>
                <w:sz w:val="18"/>
                <w:szCs w:val="18"/>
                <w:highlight w:val="none"/>
                <w:u w:val="none"/>
                <w:lang w:bidi="ar"/>
              </w:rPr>
              <w:t>非甲烷总烃、</w:t>
            </w:r>
            <w:r>
              <w:rPr>
                <w:rFonts w:hint="eastAsia" w:hAnsi="Times New Roman"/>
                <w:color w:val="auto"/>
                <w:sz w:val="18"/>
                <w:szCs w:val="18"/>
                <w:highlight w:val="none"/>
                <w:u w:val="none"/>
                <w:lang w:val="en-US" w:bidi="ar"/>
              </w:rPr>
              <w:t>颗粒物、</w:t>
            </w:r>
            <w:r>
              <w:rPr>
                <w:rFonts w:hint="eastAsia" w:hAnsi="Times New Roman"/>
                <w:color w:val="auto"/>
                <w:sz w:val="18"/>
                <w:szCs w:val="18"/>
                <w:highlight w:val="none"/>
                <w:u w:val="none"/>
                <w:lang w:bidi="ar"/>
              </w:rPr>
              <w:t>甲苯、硝基苯类苯胺类、氯化氢、氯气、氯苯类、光气、氨、臭气浓度</w:t>
            </w:r>
            <w:r>
              <w:rPr>
                <w:rFonts w:hAnsi="Times New Roman"/>
                <w:color w:val="auto"/>
                <w:sz w:val="18"/>
                <w:szCs w:val="18"/>
                <w:highlight w:val="none"/>
                <w:u w:val="none"/>
                <w:lang w:bidi="ar"/>
              </w:rPr>
              <w:t>）</w:t>
            </w:r>
          </w:p>
        </w:tc>
        <w:tc>
          <w:tcPr>
            <w:tcW w:w="1548" w:type="pct"/>
            <w:gridSpan w:val="2"/>
            <w:tcMar>
              <w:top w:w="15" w:type="dxa"/>
              <w:left w:w="15" w:type="dxa"/>
              <w:bottom w:w="15" w:type="dxa"/>
              <w:right w:w="15" w:type="dxa"/>
            </w:tcMar>
            <w:vAlign w:val="center"/>
          </w:tcPr>
          <w:p w14:paraId="348C067E">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有组织废气监测√</w:t>
            </w:r>
          </w:p>
        </w:tc>
        <w:tc>
          <w:tcPr>
            <w:tcW w:w="845" w:type="pct"/>
            <w:gridSpan w:val="2"/>
            <w:vMerge w:val="restart"/>
            <w:tcMar>
              <w:top w:w="15" w:type="dxa"/>
              <w:left w:w="15" w:type="dxa"/>
              <w:bottom w:w="15" w:type="dxa"/>
              <w:right w:w="15" w:type="dxa"/>
            </w:tcMar>
            <w:vAlign w:val="center"/>
          </w:tcPr>
          <w:p w14:paraId="7AE1EA35">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无监测□</w:t>
            </w:r>
          </w:p>
        </w:tc>
      </w:tr>
      <w:tr w14:paraId="0259B7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6A04316B">
            <w:pPr>
              <w:widowControl/>
              <w:spacing w:line="240" w:lineRule="auto"/>
              <w:ind w:firstLine="0" w:firstLineChars="0"/>
              <w:jc w:val="left"/>
              <w:rPr>
                <w:rFonts w:hAnsi="Times New Roman"/>
                <w:color w:val="auto"/>
                <w:sz w:val="18"/>
                <w:szCs w:val="18"/>
                <w:highlight w:val="none"/>
                <w:u w:val="none"/>
              </w:rPr>
            </w:pPr>
          </w:p>
        </w:tc>
        <w:tc>
          <w:tcPr>
            <w:tcW w:w="464" w:type="pct"/>
            <w:vMerge w:val="continue"/>
            <w:vAlign w:val="center"/>
          </w:tcPr>
          <w:p w14:paraId="3DE8B508">
            <w:pPr>
              <w:widowControl/>
              <w:spacing w:line="240" w:lineRule="auto"/>
              <w:ind w:firstLine="0" w:firstLineChars="0"/>
              <w:jc w:val="left"/>
              <w:rPr>
                <w:rFonts w:hAnsi="Times New Roman"/>
                <w:color w:val="auto"/>
                <w:sz w:val="18"/>
                <w:szCs w:val="18"/>
                <w:highlight w:val="none"/>
                <w:u w:val="none"/>
              </w:rPr>
            </w:pPr>
          </w:p>
        </w:tc>
        <w:tc>
          <w:tcPr>
            <w:tcW w:w="1926" w:type="pct"/>
            <w:gridSpan w:val="4"/>
            <w:vMerge w:val="continue"/>
            <w:vAlign w:val="center"/>
          </w:tcPr>
          <w:p w14:paraId="2375C19C">
            <w:pPr>
              <w:widowControl/>
              <w:spacing w:line="240" w:lineRule="auto"/>
              <w:ind w:firstLine="0" w:firstLineChars="0"/>
              <w:jc w:val="left"/>
              <w:rPr>
                <w:rFonts w:hAnsi="Times New Roman"/>
                <w:color w:val="auto"/>
                <w:sz w:val="18"/>
                <w:szCs w:val="18"/>
                <w:highlight w:val="none"/>
                <w:u w:val="none"/>
              </w:rPr>
            </w:pPr>
          </w:p>
        </w:tc>
        <w:tc>
          <w:tcPr>
            <w:tcW w:w="1548" w:type="pct"/>
            <w:gridSpan w:val="2"/>
            <w:tcMar>
              <w:top w:w="15" w:type="dxa"/>
              <w:left w:w="15" w:type="dxa"/>
              <w:bottom w:w="15" w:type="dxa"/>
              <w:right w:w="15" w:type="dxa"/>
            </w:tcMar>
            <w:vAlign w:val="center"/>
          </w:tcPr>
          <w:p w14:paraId="77913F02">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无组织废气监测√</w:t>
            </w:r>
          </w:p>
        </w:tc>
        <w:tc>
          <w:tcPr>
            <w:tcW w:w="845" w:type="pct"/>
            <w:gridSpan w:val="2"/>
            <w:vMerge w:val="continue"/>
            <w:vAlign w:val="center"/>
          </w:tcPr>
          <w:p w14:paraId="1A2B188E">
            <w:pPr>
              <w:widowControl/>
              <w:spacing w:line="240" w:lineRule="auto"/>
              <w:ind w:firstLine="0" w:firstLineChars="0"/>
              <w:jc w:val="left"/>
              <w:rPr>
                <w:rFonts w:hAnsi="Times New Roman"/>
                <w:color w:val="auto"/>
                <w:sz w:val="18"/>
                <w:szCs w:val="18"/>
                <w:highlight w:val="none"/>
                <w:u w:val="none"/>
              </w:rPr>
            </w:pPr>
          </w:p>
        </w:tc>
      </w:tr>
      <w:tr w14:paraId="5CC3BC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46E3B6BA">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28E5C5E1">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环境质量监测</w:t>
            </w:r>
          </w:p>
        </w:tc>
        <w:tc>
          <w:tcPr>
            <w:tcW w:w="1926" w:type="pct"/>
            <w:gridSpan w:val="4"/>
            <w:tcMar>
              <w:top w:w="15" w:type="dxa"/>
              <w:left w:w="15" w:type="dxa"/>
              <w:bottom w:w="15" w:type="dxa"/>
              <w:right w:w="15" w:type="dxa"/>
            </w:tcMar>
            <w:vAlign w:val="center"/>
          </w:tcPr>
          <w:p w14:paraId="11E51E16">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监测因子：（</w:t>
            </w:r>
            <w:r>
              <w:rPr>
                <w:rFonts w:hint="eastAsia" w:hAnsi="Times New Roman"/>
                <w:color w:val="auto"/>
                <w:sz w:val="18"/>
                <w:szCs w:val="18"/>
                <w:highlight w:val="none"/>
                <w:u w:val="none"/>
                <w:lang w:bidi="ar"/>
              </w:rPr>
              <w:t>非甲烷总烃、颗粒物、氯化氢甲苯、氨、硫化氢</w:t>
            </w:r>
            <w:r>
              <w:rPr>
                <w:rFonts w:hAnsi="Times New Roman"/>
                <w:color w:val="auto"/>
                <w:sz w:val="18"/>
                <w:szCs w:val="18"/>
                <w:highlight w:val="none"/>
                <w:u w:val="none"/>
                <w:lang w:bidi="ar"/>
              </w:rPr>
              <w:t>）</w:t>
            </w:r>
          </w:p>
        </w:tc>
        <w:tc>
          <w:tcPr>
            <w:tcW w:w="1548" w:type="pct"/>
            <w:gridSpan w:val="2"/>
            <w:tcMar>
              <w:top w:w="15" w:type="dxa"/>
              <w:left w:w="15" w:type="dxa"/>
              <w:bottom w:w="15" w:type="dxa"/>
              <w:right w:w="15" w:type="dxa"/>
            </w:tcMar>
            <w:vAlign w:val="center"/>
          </w:tcPr>
          <w:p w14:paraId="1DBFE13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监测点位数（</w:t>
            </w:r>
            <w:r>
              <w:rPr>
                <w:rFonts w:hint="eastAsia" w:hAnsi="Times New Roman"/>
                <w:color w:val="auto"/>
                <w:sz w:val="18"/>
                <w:szCs w:val="18"/>
                <w:highlight w:val="none"/>
                <w:u w:val="none"/>
                <w:lang w:val="en-US" w:bidi="ar"/>
              </w:rPr>
              <w:t>3</w:t>
            </w:r>
            <w:r>
              <w:rPr>
                <w:rFonts w:hAnsi="Times New Roman"/>
                <w:color w:val="auto"/>
                <w:sz w:val="18"/>
                <w:szCs w:val="18"/>
                <w:highlight w:val="none"/>
                <w:u w:val="none"/>
                <w:lang w:bidi="ar"/>
              </w:rPr>
              <w:t>）</w:t>
            </w:r>
          </w:p>
        </w:tc>
        <w:tc>
          <w:tcPr>
            <w:tcW w:w="845" w:type="pct"/>
            <w:gridSpan w:val="2"/>
            <w:tcMar>
              <w:top w:w="15" w:type="dxa"/>
              <w:left w:w="15" w:type="dxa"/>
              <w:bottom w:w="15" w:type="dxa"/>
              <w:right w:w="15" w:type="dxa"/>
            </w:tcMar>
            <w:vAlign w:val="center"/>
          </w:tcPr>
          <w:p w14:paraId="652F25A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无监测□</w:t>
            </w:r>
          </w:p>
        </w:tc>
      </w:tr>
      <w:tr w14:paraId="6DBB28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restart"/>
            <w:tcMar>
              <w:top w:w="15" w:type="dxa"/>
              <w:left w:w="15" w:type="dxa"/>
              <w:bottom w:w="15" w:type="dxa"/>
              <w:right w:w="15" w:type="dxa"/>
            </w:tcMar>
            <w:vAlign w:val="center"/>
          </w:tcPr>
          <w:p w14:paraId="5C1C9B63">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评价结论</w:t>
            </w:r>
          </w:p>
        </w:tc>
        <w:tc>
          <w:tcPr>
            <w:tcW w:w="464" w:type="pct"/>
            <w:tcMar>
              <w:top w:w="15" w:type="dxa"/>
              <w:left w:w="15" w:type="dxa"/>
              <w:bottom w:w="15" w:type="dxa"/>
              <w:right w:w="15" w:type="dxa"/>
            </w:tcMar>
            <w:vAlign w:val="center"/>
          </w:tcPr>
          <w:p w14:paraId="5081F9A2">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环境影响</w:t>
            </w:r>
          </w:p>
        </w:tc>
        <w:tc>
          <w:tcPr>
            <w:tcW w:w="4320" w:type="pct"/>
            <w:gridSpan w:val="8"/>
            <w:tcMar>
              <w:top w:w="15" w:type="dxa"/>
              <w:left w:w="15" w:type="dxa"/>
              <w:bottom w:w="15" w:type="dxa"/>
              <w:right w:w="15" w:type="dxa"/>
            </w:tcMar>
            <w:vAlign w:val="center"/>
          </w:tcPr>
          <w:p w14:paraId="25529F6F">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可以接受√              不可以接受 □</w:t>
            </w:r>
          </w:p>
        </w:tc>
      </w:tr>
      <w:tr w14:paraId="7240E9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400087A2">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6F602A7D">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大气环境防护距离</w:t>
            </w:r>
          </w:p>
        </w:tc>
        <w:tc>
          <w:tcPr>
            <w:tcW w:w="4320" w:type="pct"/>
            <w:gridSpan w:val="8"/>
            <w:tcMar>
              <w:top w:w="15" w:type="dxa"/>
              <w:left w:w="15" w:type="dxa"/>
              <w:bottom w:w="15" w:type="dxa"/>
              <w:right w:w="15" w:type="dxa"/>
            </w:tcMar>
            <w:vAlign w:val="center"/>
          </w:tcPr>
          <w:p w14:paraId="574AF90A">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距（</w:t>
            </w:r>
            <w:r>
              <w:rPr>
                <w:rFonts w:hint="eastAsia" w:hAnsi="Times New Roman"/>
                <w:color w:val="auto"/>
                <w:sz w:val="18"/>
                <w:szCs w:val="18"/>
                <w:highlight w:val="none"/>
                <w:u w:val="none"/>
                <w:lang w:val="en-US" w:bidi="ar"/>
              </w:rPr>
              <w:t>四周</w:t>
            </w:r>
            <w:r>
              <w:rPr>
                <w:rFonts w:hAnsi="Times New Roman"/>
                <w:color w:val="auto"/>
                <w:sz w:val="18"/>
                <w:szCs w:val="18"/>
                <w:highlight w:val="none"/>
                <w:u w:val="none"/>
                <w:lang w:bidi="ar"/>
              </w:rPr>
              <w:t xml:space="preserve"> )厂界最远（</w:t>
            </w:r>
            <w:r>
              <w:rPr>
                <w:rFonts w:hint="eastAsia" w:hAnsi="Times New Roman"/>
                <w:color w:val="auto"/>
                <w:sz w:val="18"/>
                <w:szCs w:val="18"/>
                <w:highlight w:val="none"/>
                <w:u w:val="none"/>
                <w:lang w:val="en-US" w:bidi="ar"/>
              </w:rPr>
              <w:t>27.8</w:t>
            </w:r>
            <w:r>
              <w:rPr>
                <w:rFonts w:hAnsi="Times New Roman"/>
                <w:color w:val="auto"/>
                <w:sz w:val="18"/>
                <w:szCs w:val="18"/>
                <w:highlight w:val="none"/>
                <w:u w:val="none"/>
                <w:lang w:bidi="ar"/>
              </w:rPr>
              <w:t>）m</w:t>
            </w:r>
          </w:p>
        </w:tc>
      </w:tr>
      <w:tr w14:paraId="218EDA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Merge w:val="continue"/>
            <w:vAlign w:val="center"/>
          </w:tcPr>
          <w:p w14:paraId="3F541A8E">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188B8F3B">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污染源年排放量</w:t>
            </w:r>
          </w:p>
        </w:tc>
        <w:tc>
          <w:tcPr>
            <w:tcW w:w="1040" w:type="pct"/>
            <w:gridSpan w:val="2"/>
            <w:tcMar>
              <w:top w:w="15" w:type="dxa"/>
              <w:left w:w="15" w:type="dxa"/>
              <w:bottom w:w="15" w:type="dxa"/>
              <w:right w:w="15" w:type="dxa"/>
            </w:tcMar>
            <w:vAlign w:val="center"/>
          </w:tcPr>
          <w:p w14:paraId="3D029583">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甲苯:(0.4717)t/a</w:t>
            </w:r>
          </w:p>
        </w:tc>
        <w:tc>
          <w:tcPr>
            <w:tcW w:w="1338" w:type="pct"/>
            <w:gridSpan w:val="3"/>
            <w:tcMar>
              <w:top w:w="15" w:type="dxa"/>
              <w:left w:w="15" w:type="dxa"/>
              <w:bottom w:w="15" w:type="dxa"/>
              <w:right w:w="15" w:type="dxa"/>
            </w:tcMar>
            <w:vAlign w:val="center"/>
          </w:tcPr>
          <w:p w14:paraId="272E9C95">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DNT:(1.0882)t/a</w:t>
            </w:r>
          </w:p>
        </w:tc>
        <w:tc>
          <w:tcPr>
            <w:tcW w:w="1095" w:type="pct"/>
            <w:tcMar>
              <w:top w:w="15" w:type="dxa"/>
              <w:left w:w="15" w:type="dxa"/>
              <w:bottom w:w="15" w:type="dxa"/>
              <w:right w:w="15" w:type="dxa"/>
            </w:tcMar>
            <w:vAlign w:val="center"/>
          </w:tcPr>
          <w:p w14:paraId="4239B960">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NMHC:(15.5662)t/a</w:t>
            </w:r>
          </w:p>
        </w:tc>
        <w:tc>
          <w:tcPr>
            <w:tcW w:w="845" w:type="pct"/>
            <w:gridSpan w:val="2"/>
            <w:tcMar>
              <w:top w:w="15" w:type="dxa"/>
              <w:left w:w="15" w:type="dxa"/>
              <w:bottom w:w="15" w:type="dxa"/>
              <w:right w:w="15" w:type="dxa"/>
            </w:tcMar>
            <w:vAlign w:val="center"/>
          </w:tcPr>
          <w:p w14:paraId="3B896906">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TDA: (4.9112)t/a</w:t>
            </w:r>
          </w:p>
        </w:tc>
      </w:tr>
      <w:tr w14:paraId="7830B6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Align w:val="center"/>
          </w:tcPr>
          <w:p w14:paraId="0053F53F">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2FF414A8">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bidi="ar"/>
              </w:rPr>
            </w:pPr>
          </w:p>
        </w:tc>
        <w:tc>
          <w:tcPr>
            <w:tcW w:w="1040" w:type="pct"/>
            <w:gridSpan w:val="2"/>
            <w:tcMar>
              <w:top w:w="15" w:type="dxa"/>
              <w:left w:w="15" w:type="dxa"/>
              <w:bottom w:w="15" w:type="dxa"/>
              <w:right w:w="15" w:type="dxa"/>
            </w:tcMar>
            <w:vAlign w:val="center"/>
          </w:tcPr>
          <w:p w14:paraId="41C92F4C">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Cl2:(3.17)t/a</w:t>
            </w:r>
          </w:p>
        </w:tc>
        <w:tc>
          <w:tcPr>
            <w:tcW w:w="1338" w:type="pct"/>
            <w:gridSpan w:val="3"/>
            <w:tcMar>
              <w:top w:w="15" w:type="dxa"/>
              <w:left w:w="15" w:type="dxa"/>
              <w:bottom w:w="15" w:type="dxa"/>
              <w:right w:w="15" w:type="dxa"/>
            </w:tcMar>
            <w:vAlign w:val="center"/>
          </w:tcPr>
          <w:p w14:paraId="5E285CA9">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HCl: (3.25)t/a</w:t>
            </w:r>
          </w:p>
        </w:tc>
        <w:tc>
          <w:tcPr>
            <w:tcW w:w="1095" w:type="pct"/>
            <w:tcMar>
              <w:top w:w="15" w:type="dxa"/>
              <w:left w:w="15" w:type="dxa"/>
              <w:bottom w:w="15" w:type="dxa"/>
              <w:right w:w="15" w:type="dxa"/>
            </w:tcMar>
            <w:vAlign w:val="center"/>
          </w:tcPr>
          <w:p w14:paraId="4D77A85E">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邻二氯苯:(1.953)t/a</w:t>
            </w:r>
          </w:p>
        </w:tc>
        <w:tc>
          <w:tcPr>
            <w:tcW w:w="845" w:type="pct"/>
            <w:gridSpan w:val="2"/>
            <w:tcMar>
              <w:top w:w="15" w:type="dxa"/>
              <w:left w:w="15" w:type="dxa"/>
              <w:bottom w:w="15" w:type="dxa"/>
              <w:right w:w="15" w:type="dxa"/>
            </w:tcMar>
            <w:vAlign w:val="center"/>
          </w:tcPr>
          <w:p w14:paraId="02830A59">
            <w:pPr>
              <w:widowControl/>
              <w:adjustRightInd w:val="0"/>
              <w:snapToGrid w:val="0"/>
              <w:spacing w:line="240" w:lineRule="auto"/>
              <w:ind w:firstLine="0" w:firstLineChars="0"/>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光气:(0.2105)t/a</w:t>
            </w:r>
          </w:p>
        </w:tc>
      </w:tr>
      <w:tr w14:paraId="502C75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15" w:type="pct"/>
            <w:vAlign w:val="center"/>
          </w:tcPr>
          <w:p w14:paraId="7FE562BB">
            <w:pPr>
              <w:widowControl/>
              <w:spacing w:line="240" w:lineRule="auto"/>
              <w:ind w:firstLine="0" w:firstLineChars="0"/>
              <w:jc w:val="left"/>
              <w:rPr>
                <w:rFonts w:hAnsi="Times New Roman"/>
                <w:color w:val="auto"/>
                <w:sz w:val="18"/>
                <w:szCs w:val="18"/>
                <w:highlight w:val="none"/>
                <w:u w:val="none"/>
              </w:rPr>
            </w:pPr>
          </w:p>
        </w:tc>
        <w:tc>
          <w:tcPr>
            <w:tcW w:w="464" w:type="pct"/>
            <w:tcMar>
              <w:top w:w="15" w:type="dxa"/>
              <w:left w:w="15" w:type="dxa"/>
              <w:bottom w:w="15" w:type="dxa"/>
              <w:right w:w="15" w:type="dxa"/>
            </w:tcMar>
            <w:vAlign w:val="center"/>
          </w:tcPr>
          <w:p w14:paraId="1E09944D">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bidi="ar"/>
              </w:rPr>
            </w:pPr>
          </w:p>
        </w:tc>
        <w:tc>
          <w:tcPr>
            <w:tcW w:w="1040" w:type="pct"/>
            <w:gridSpan w:val="2"/>
            <w:tcMar>
              <w:top w:w="15" w:type="dxa"/>
              <w:left w:w="15" w:type="dxa"/>
              <w:bottom w:w="15" w:type="dxa"/>
              <w:right w:w="15" w:type="dxa"/>
            </w:tcMar>
            <w:vAlign w:val="center"/>
          </w:tcPr>
          <w:p w14:paraId="708B04E4">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r>
              <w:rPr>
                <w:rFonts w:hint="eastAsia" w:hAnsi="Times New Roman"/>
                <w:color w:val="auto"/>
                <w:sz w:val="18"/>
                <w:szCs w:val="18"/>
                <w:highlight w:val="none"/>
                <w:u w:val="none"/>
                <w:lang w:val="en-US" w:bidi="ar"/>
              </w:rPr>
              <w:t>颗粒物（0.004）t/a</w:t>
            </w:r>
          </w:p>
        </w:tc>
        <w:tc>
          <w:tcPr>
            <w:tcW w:w="1338" w:type="pct"/>
            <w:gridSpan w:val="3"/>
            <w:tcMar>
              <w:top w:w="15" w:type="dxa"/>
              <w:left w:w="15" w:type="dxa"/>
              <w:bottom w:w="15" w:type="dxa"/>
              <w:right w:w="15" w:type="dxa"/>
            </w:tcMar>
            <w:vAlign w:val="center"/>
          </w:tcPr>
          <w:p w14:paraId="2047A481">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p>
        </w:tc>
        <w:tc>
          <w:tcPr>
            <w:tcW w:w="1095" w:type="pct"/>
            <w:tcMar>
              <w:top w:w="15" w:type="dxa"/>
              <w:left w:w="15" w:type="dxa"/>
              <w:bottom w:w="15" w:type="dxa"/>
              <w:right w:w="15" w:type="dxa"/>
            </w:tcMar>
            <w:vAlign w:val="center"/>
          </w:tcPr>
          <w:p w14:paraId="777E9E22">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p>
        </w:tc>
        <w:tc>
          <w:tcPr>
            <w:tcW w:w="845" w:type="pct"/>
            <w:gridSpan w:val="2"/>
            <w:tcMar>
              <w:top w:w="15" w:type="dxa"/>
              <w:left w:w="15" w:type="dxa"/>
              <w:bottom w:w="15" w:type="dxa"/>
              <w:right w:w="15" w:type="dxa"/>
            </w:tcMar>
            <w:vAlign w:val="center"/>
          </w:tcPr>
          <w:p w14:paraId="4F85842C">
            <w:pPr>
              <w:widowControl/>
              <w:adjustRightInd w:val="0"/>
              <w:snapToGrid w:val="0"/>
              <w:spacing w:line="240" w:lineRule="auto"/>
              <w:ind w:firstLine="0" w:firstLineChars="0"/>
              <w:jc w:val="center"/>
              <w:textAlignment w:val="center"/>
              <w:rPr>
                <w:rFonts w:hAnsi="Times New Roman"/>
                <w:color w:val="auto"/>
                <w:sz w:val="18"/>
                <w:szCs w:val="18"/>
                <w:highlight w:val="none"/>
                <w:u w:val="none"/>
                <w:lang w:val="en-US" w:bidi="ar"/>
              </w:rPr>
            </w:pPr>
          </w:p>
        </w:tc>
      </w:tr>
      <w:tr w14:paraId="7999F7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5000" w:type="pct"/>
            <w:gridSpan w:val="10"/>
            <w:tcMar>
              <w:top w:w="15" w:type="dxa"/>
              <w:left w:w="15" w:type="dxa"/>
              <w:bottom w:w="15" w:type="dxa"/>
              <w:right w:w="15" w:type="dxa"/>
            </w:tcMar>
            <w:vAlign w:val="center"/>
          </w:tcPr>
          <w:p w14:paraId="54AC85E8">
            <w:pPr>
              <w:widowControl/>
              <w:adjustRightInd w:val="0"/>
              <w:snapToGrid w:val="0"/>
              <w:spacing w:line="240" w:lineRule="auto"/>
              <w:ind w:firstLine="0" w:firstLineChars="0"/>
              <w:jc w:val="center"/>
              <w:textAlignment w:val="center"/>
              <w:rPr>
                <w:rFonts w:hAnsi="Times New Roman"/>
                <w:color w:val="auto"/>
                <w:sz w:val="18"/>
                <w:szCs w:val="18"/>
                <w:highlight w:val="none"/>
                <w:u w:val="none"/>
              </w:rPr>
            </w:pPr>
            <w:r>
              <w:rPr>
                <w:rFonts w:hAnsi="Times New Roman"/>
                <w:color w:val="auto"/>
                <w:sz w:val="18"/>
                <w:szCs w:val="18"/>
                <w:highlight w:val="none"/>
                <w:u w:val="none"/>
                <w:lang w:bidi="ar"/>
              </w:rPr>
              <w:t>注：“□”，填“√”；“（  ）”为内容填写项</w:t>
            </w:r>
          </w:p>
        </w:tc>
      </w:tr>
    </w:tbl>
    <w:p w14:paraId="22B37BB6">
      <w:pPr>
        <w:ind w:firstLine="0" w:firstLineChars="0"/>
        <w:rPr>
          <w:rFonts w:hint="eastAsia"/>
          <w:color w:val="auto"/>
          <w:highlight w:val="none"/>
          <w:u w:val="none"/>
        </w:rPr>
      </w:pPr>
    </w:p>
    <w:p w14:paraId="5A9DAF2F">
      <w:pPr>
        <w:rPr>
          <w:rFonts w:hint="eastAsia"/>
          <w:color w:val="auto"/>
          <w:highlight w:val="none"/>
          <w:u w:val="none"/>
        </w:rPr>
      </w:pPr>
    </w:p>
    <w:p w14:paraId="6E569582">
      <w:pPr>
        <w:pStyle w:val="981"/>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7E7BD87C">
      <w:pPr>
        <w:pStyle w:val="4"/>
        <w:rPr>
          <w:color w:val="auto"/>
          <w:highlight w:val="none"/>
          <w:u w:val="none"/>
        </w:rPr>
      </w:pPr>
      <w:bookmarkStart w:id="496" w:name="_Toc148374598"/>
      <w:bookmarkStart w:id="497" w:name="_Toc148374818"/>
      <w:bookmarkStart w:id="498" w:name="_Toc148375040"/>
      <w:bookmarkStart w:id="499" w:name="_Toc15507"/>
      <w:r>
        <w:rPr>
          <w:rFonts w:hint="eastAsia" w:eastAsia="宋体"/>
          <w:color w:val="auto"/>
          <w:highlight w:val="none"/>
          <w:u w:val="none"/>
          <w:lang w:val="en-US" w:eastAsia="zh-CN"/>
        </w:rPr>
        <w:t>水</w:t>
      </w:r>
      <w:r>
        <w:rPr>
          <w:rFonts w:hint="eastAsia"/>
          <w:color w:val="auto"/>
          <w:highlight w:val="none"/>
          <w:u w:val="none"/>
        </w:rPr>
        <w:t>环境影响分析</w:t>
      </w:r>
      <w:bookmarkEnd w:id="496"/>
      <w:bookmarkEnd w:id="497"/>
      <w:bookmarkEnd w:id="498"/>
      <w:bookmarkEnd w:id="499"/>
    </w:p>
    <w:p w14:paraId="78EE0A22">
      <w:pPr>
        <w:bidi w:val="0"/>
        <w:rPr>
          <w:rFonts w:hint="eastAsia" w:eastAsia="宋体"/>
          <w:color w:val="auto"/>
          <w:highlight w:val="none"/>
          <w:u w:val="none"/>
          <w:lang w:eastAsia="zh-CN"/>
        </w:rPr>
      </w:pPr>
      <w:bookmarkStart w:id="500" w:name="_Toc148374599"/>
      <w:bookmarkStart w:id="501" w:name="_Toc148375041"/>
      <w:r>
        <w:rPr>
          <w:rFonts w:hint="eastAsia"/>
          <w:color w:val="auto"/>
          <w:highlight w:val="none"/>
          <w:u w:val="none"/>
        </w:rPr>
        <w:t>本项目废水依托万华环保科技公司废水处理系统处理达标后排放，根据《环境影响评价技术导则  地表水环境》（HJ/T2.3-2018），本项目废水排放方式属于间接排放，地表水环境评价等级为三级B，因此水环境影响主要针对项目依托的万华环保科技公司现有废水处理站、拟建的编组站废水处理系统的环境可行性进行分析</w:t>
      </w:r>
      <w:r>
        <w:rPr>
          <w:rFonts w:hint="eastAsia"/>
          <w:color w:val="auto"/>
          <w:highlight w:val="none"/>
          <w:u w:val="none"/>
          <w:lang w:eastAsia="zh-CN"/>
        </w:rPr>
        <w:t>。</w:t>
      </w:r>
    </w:p>
    <w:p w14:paraId="702D0322">
      <w:pPr>
        <w:pStyle w:val="6"/>
        <w:spacing w:before="156" w:after="156"/>
        <w:rPr>
          <w:color w:val="auto"/>
          <w:highlight w:val="none"/>
          <w:u w:val="none"/>
        </w:rPr>
      </w:pPr>
      <w:r>
        <w:rPr>
          <w:rFonts w:hint="eastAsia"/>
          <w:color w:val="auto"/>
          <w:highlight w:val="none"/>
          <w:u w:val="none"/>
        </w:rPr>
        <w:t>污水产生情况与排放去向</w:t>
      </w:r>
      <w:bookmarkEnd w:id="500"/>
      <w:bookmarkEnd w:id="501"/>
    </w:p>
    <w:p w14:paraId="09DE1362">
      <w:pPr>
        <w:rPr>
          <w:rFonts w:hint="eastAsia"/>
          <w:color w:val="auto"/>
          <w:highlight w:val="none"/>
          <w:u w:val="none"/>
        </w:rPr>
      </w:pPr>
      <w:r>
        <w:rPr>
          <w:rFonts w:hint="eastAsia"/>
          <w:color w:val="auto"/>
          <w:highlight w:val="none"/>
          <w:u w:val="none"/>
        </w:rPr>
        <w:t>根据第五章节工程分析中内容，硝酸浓缩酸性废水、废酸浓缩酸性废水、汽提酸性废水、T</w:t>
      </w:r>
      <w:r>
        <w:rPr>
          <w:color w:val="auto"/>
          <w:highlight w:val="none"/>
          <w:u w:val="none"/>
        </w:rPr>
        <w:t>DA</w:t>
      </w:r>
      <w:r>
        <w:rPr>
          <w:rFonts w:hint="eastAsia"/>
          <w:color w:val="auto"/>
          <w:highlight w:val="none"/>
          <w:u w:val="none"/>
        </w:rPr>
        <w:t>废水、光化中和废水、设备清洗水废水共</w:t>
      </w:r>
      <w:r>
        <w:rPr>
          <w:color w:val="auto"/>
          <w:highlight w:val="none"/>
          <w:u w:val="none"/>
        </w:rPr>
        <w:t>2249.33t/d</w:t>
      </w:r>
      <w:r>
        <w:rPr>
          <w:rFonts w:hint="eastAsia"/>
          <w:color w:val="auto"/>
          <w:highlight w:val="none"/>
          <w:u w:val="none"/>
        </w:rPr>
        <w:t>（</w:t>
      </w:r>
      <w:r>
        <w:rPr>
          <w:color w:val="auto"/>
          <w:highlight w:val="none"/>
          <w:u w:val="none"/>
        </w:rPr>
        <w:t>646000</w:t>
      </w:r>
      <w:r>
        <w:rPr>
          <w:rFonts w:hint="eastAsia"/>
          <w:color w:val="auto"/>
          <w:highlight w:val="none"/>
          <w:u w:val="none"/>
        </w:rPr>
        <w:t>t</w:t>
      </w:r>
      <w:r>
        <w:rPr>
          <w:color w:val="auto"/>
          <w:highlight w:val="none"/>
          <w:u w:val="none"/>
        </w:rPr>
        <w:t>/</w:t>
      </w:r>
      <w:r>
        <w:rPr>
          <w:rFonts w:hint="eastAsia"/>
          <w:color w:val="auto"/>
          <w:highlight w:val="none"/>
          <w:u w:val="none"/>
        </w:rPr>
        <w:t>a）高浓度废水依托</w:t>
      </w:r>
      <w:r>
        <w:rPr>
          <w:color w:val="auto"/>
          <w:highlight w:val="none"/>
          <w:u w:val="none"/>
        </w:rPr>
        <w:t>万华</w:t>
      </w:r>
      <w:r>
        <w:rPr>
          <w:rFonts w:hint="eastAsia"/>
          <w:color w:val="auto"/>
          <w:highlight w:val="none"/>
          <w:u w:val="none"/>
          <w:lang w:val="en-US"/>
        </w:rPr>
        <w:t>环保科技</w:t>
      </w:r>
      <w:r>
        <w:rPr>
          <w:color w:val="auto"/>
          <w:highlight w:val="none"/>
          <w:u w:val="none"/>
        </w:rPr>
        <w:t>公司</w:t>
      </w:r>
      <w:r>
        <w:rPr>
          <w:rFonts w:hint="eastAsia"/>
          <w:color w:val="auto"/>
          <w:highlight w:val="none"/>
          <w:u w:val="none"/>
        </w:rPr>
        <w:t>综合废水处理系统处理后排入兴化湾；地面冲洗水、初期雨水、生活污水共</w:t>
      </w:r>
      <w:r>
        <w:rPr>
          <w:color w:val="auto"/>
          <w:highlight w:val="none"/>
          <w:u w:val="none"/>
        </w:rPr>
        <w:t>114.84</w:t>
      </w:r>
      <w:r>
        <w:rPr>
          <w:rFonts w:hint="eastAsia"/>
          <w:color w:val="auto"/>
          <w:highlight w:val="none"/>
          <w:u w:val="none"/>
        </w:rPr>
        <w:t>t/d（</w:t>
      </w:r>
      <w:r>
        <w:rPr>
          <w:color w:val="auto"/>
          <w:highlight w:val="none"/>
          <w:u w:val="none"/>
        </w:rPr>
        <w:t>11168</w:t>
      </w:r>
      <w:r>
        <w:rPr>
          <w:rFonts w:hint="eastAsia"/>
          <w:color w:val="auto"/>
          <w:highlight w:val="none"/>
          <w:u w:val="none"/>
        </w:rPr>
        <w:t>t</w:t>
      </w:r>
      <w:r>
        <w:rPr>
          <w:color w:val="auto"/>
          <w:highlight w:val="none"/>
          <w:u w:val="none"/>
        </w:rPr>
        <w:t>/</w:t>
      </w:r>
      <w:r>
        <w:rPr>
          <w:rFonts w:hint="eastAsia"/>
          <w:color w:val="auto"/>
          <w:highlight w:val="none"/>
          <w:u w:val="none"/>
        </w:rPr>
        <w:t>a）低浓度废水依托去送</w:t>
      </w:r>
      <w:r>
        <w:rPr>
          <w:color w:val="auto"/>
          <w:highlight w:val="none"/>
          <w:u w:val="none"/>
        </w:rPr>
        <w:t>万华</w:t>
      </w:r>
      <w:r>
        <w:rPr>
          <w:rFonts w:hint="eastAsia"/>
          <w:color w:val="auto"/>
          <w:highlight w:val="none"/>
          <w:u w:val="none"/>
          <w:lang w:val="en-US"/>
        </w:rPr>
        <w:t>环保科技</w:t>
      </w:r>
      <w:r>
        <w:rPr>
          <w:color w:val="auto"/>
          <w:highlight w:val="none"/>
          <w:u w:val="none"/>
        </w:rPr>
        <w:t>公司</w:t>
      </w:r>
      <w:r>
        <w:rPr>
          <w:rFonts w:hint="eastAsia"/>
          <w:color w:val="auto"/>
          <w:highlight w:val="none"/>
          <w:u w:val="none"/>
        </w:rPr>
        <w:t>低浓度废水处理系统处理</w:t>
      </w:r>
      <w:r>
        <w:rPr>
          <w:rFonts w:hint="eastAsia"/>
          <w:color w:val="auto"/>
          <w:highlight w:val="none"/>
          <w:u w:val="none"/>
          <w:lang w:eastAsia="zh-CN"/>
        </w:rPr>
        <w:t>，</w:t>
      </w:r>
      <w:r>
        <w:rPr>
          <w:rFonts w:hint="eastAsia"/>
          <w:color w:val="auto"/>
          <w:highlight w:val="none"/>
          <w:u w:val="none"/>
          <w:lang w:val="en-US" w:eastAsia="zh-CN"/>
        </w:rPr>
        <w:t>处理后尾水</w:t>
      </w:r>
      <w:r>
        <w:rPr>
          <w:rFonts w:hint="eastAsia"/>
          <w:color w:val="auto"/>
          <w:highlight w:val="none"/>
          <w:u w:val="none"/>
        </w:rPr>
        <w:t>进入编组站废水处理系统进一步处理后回用于万华福建产业园内各循环冷却水系统补充水，编组站废水处理系统中水回用装置的浓水处理达标后通过福州江阴港城经济区污水处理厂已建的尾水排海管道排海。</w:t>
      </w:r>
    </w:p>
    <w:p w14:paraId="279A5CF6">
      <w:pPr>
        <w:rPr>
          <w:rFonts w:hint="eastAsia"/>
          <w:color w:val="auto"/>
          <w:highlight w:val="none"/>
          <w:u w:val="none"/>
        </w:rPr>
      </w:pPr>
      <w:r>
        <w:rPr>
          <w:rFonts w:hint="eastAsia"/>
          <w:color w:val="auto"/>
          <w:highlight w:val="none"/>
          <w:u w:val="none"/>
          <w:lang w:val="en-US"/>
        </w:rPr>
        <w:t>脱水单元TDA废水进入TDI二期氢化废水汽提系统汽提后，再进一步</w:t>
      </w:r>
      <w:r>
        <w:rPr>
          <w:rFonts w:hint="eastAsia"/>
          <w:color w:val="auto"/>
          <w:highlight w:val="none"/>
          <w:u w:val="none"/>
        </w:rPr>
        <w:t>依托万华环保科技公司编组站废水处理系统处理后回用于循环冷却水系统补充水，</w:t>
      </w:r>
      <w:r>
        <w:rPr>
          <w:rFonts w:hint="eastAsia"/>
          <w:color w:val="auto"/>
          <w:highlight w:val="none"/>
          <w:u w:val="none"/>
          <w:lang w:val="en-US"/>
        </w:rPr>
        <w:t>此部分废水纳入TDI二期项目环评进行评价。</w:t>
      </w:r>
      <w:r>
        <w:rPr>
          <w:rFonts w:hint="eastAsia"/>
          <w:color w:val="auto"/>
          <w:highlight w:val="none"/>
          <w:u w:val="none"/>
        </w:rPr>
        <w:t>其余废水均回用万华化学各项目工序。</w:t>
      </w:r>
    </w:p>
    <w:p w14:paraId="03B654A0">
      <w:pPr>
        <w:pStyle w:val="6"/>
        <w:spacing w:before="156" w:after="156"/>
        <w:rPr>
          <w:color w:val="auto"/>
          <w:highlight w:val="none"/>
          <w:u w:val="none"/>
        </w:rPr>
      </w:pPr>
      <w:bookmarkStart w:id="502" w:name="_Toc148374600"/>
      <w:bookmarkStart w:id="503" w:name="_Toc148375042"/>
      <w:r>
        <w:rPr>
          <w:rFonts w:hint="eastAsia"/>
          <w:color w:val="auto"/>
          <w:highlight w:val="none"/>
          <w:u w:val="none"/>
        </w:rPr>
        <w:t>废水依托万华环保科技公司低浓度废水处理系统可行性分析</w:t>
      </w:r>
    </w:p>
    <w:bookmarkEnd w:id="502"/>
    <w:bookmarkEnd w:id="503"/>
    <w:p w14:paraId="384E2BC4">
      <w:pPr>
        <w:pStyle w:val="981"/>
        <w:rPr>
          <w:rFonts w:hint="eastAsia"/>
          <w:color w:val="auto"/>
          <w:highlight w:val="none"/>
          <w:u w:val="none"/>
        </w:rPr>
      </w:pPr>
      <w:r>
        <w:rPr>
          <w:rFonts w:hint="eastAsia"/>
          <w:color w:val="auto"/>
          <w:highlight w:val="none"/>
          <w:u w:val="none"/>
        </w:rPr>
        <w:t>万华环保科技公司于</w:t>
      </w:r>
      <w:r>
        <w:rPr>
          <w:rFonts w:hint="eastAsia"/>
          <w:color w:val="auto"/>
          <w:highlight w:val="none"/>
          <w:u w:val="none"/>
          <w:lang w:val="en-US"/>
        </w:rPr>
        <w:t>2024年5月接收</w:t>
      </w:r>
      <w:r>
        <w:rPr>
          <w:rFonts w:hint="eastAsia"/>
          <w:color w:val="auto"/>
          <w:highlight w:val="none"/>
          <w:u w:val="none"/>
        </w:rPr>
        <w:t>异氰酸酯公司附属配套设施工程项目的部分资产，包含了</w:t>
      </w:r>
      <w:r>
        <w:rPr>
          <w:color w:val="auto"/>
          <w:highlight w:val="none"/>
          <w:u w:val="none"/>
          <w:lang w:val="en-US"/>
        </w:rPr>
        <w:t>综合供水站</w:t>
      </w:r>
      <w:r>
        <w:rPr>
          <w:rFonts w:hint="eastAsia"/>
          <w:color w:val="auto"/>
          <w:highlight w:val="none"/>
          <w:u w:val="none"/>
          <w:lang w:val="en-US"/>
        </w:rPr>
        <w:t>、</w:t>
      </w:r>
      <w:r>
        <w:rPr>
          <w:color w:val="auto"/>
          <w:highlight w:val="none"/>
          <w:u w:val="none"/>
          <w:lang w:val="en-US"/>
        </w:rPr>
        <w:t>脱盐水及蒸汽凝液处理站</w:t>
      </w:r>
      <w:r>
        <w:rPr>
          <w:rFonts w:hint="eastAsia"/>
          <w:color w:val="auto"/>
          <w:highlight w:val="none"/>
          <w:u w:val="none"/>
          <w:lang w:val="en-US"/>
        </w:rPr>
        <w:t>、</w:t>
      </w:r>
      <w:r>
        <w:rPr>
          <w:color w:val="auto"/>
          <w:highlight w:val="none"/>
          <w:u w:val="none"/>
          <w:lang w:val="en-US"/>
        </w:rPr>
        <w:t>消防水系统</w:t>
      </w:r>
      <w:r>
        <w:rPr>
          <w:rFonts w:hint="eastAsia"/>
          <w:color w:val="auto"/>
          <w:highlight w:val="none"/>
          <w:u w:val="none"/>
          <w:lang w:val="en-US"/>
        </w:rPr>
        <w:t>、</w:t>
      </w:r>
      <w:r>
        <w:rPr>
          <w:color w:val="auto"/>
          <w:highlight w:val="none"/>
          <w:u w:val="none"/>
          <w:lang w:val="en-US"/>
        </w:rPr>
        <w:t>能量回收装置</w:t>
      </w:r>
      <w:r>
        <w:rPr>
          <w:rFonts w:hint="eastAsia"/>
          <w:color w:val="auto"/>
          <w:highlight w:val="none"/>
          <w:u w:val="none"/>
          <w:lang w:val="en-US"/>
        </w:rPr>
        <w:t>、</w:t>
      </w:r>
      <w:r>
        <w:rPr>
          <w:color w:val="auto"/>
          <w:highlight w:val="none"/>
          <w:u w:val="none"/>
          <w:lang w:val="en-US"/>
        </w:rPr>
        <w:t>苯胺焦油焚烧炉</w:t>
      </w:r>
      <w:r>
        <w:rPr>
          <w:rFonts w:hint="eastAsia"/>
          <w:color w:val="auto"/>
          <w:highlight w:val="none"/>
          <w:u w:val="none"/>
          <w:lang w:val="en-US"/>
        </w:rPr>
        <w:t>、地面封闭式</w:t>
      </w:r>
      <w:r>
        <w:rPr>
          <w:color w:val="auto"/>
          <w:highlight w:val="none"/>
          <w:u w:val="none"/>
          <w:lang w:val="en-US"/>
        </w:rPr>
        <w:t>火炬系统</w:t>
      </w:r>
      <w:r>
        <w:rPr>
          <w:rFonts w:hint="eastAsia"/>
          <w:color w:val="auto"/>
          <w:highlight w:val="none"/>
          <w:u w:val="none"/>
          <w:lang w:val="en-US"/>
        </w:rPr>
        <w:t>、危废贮存间、污水处理系统（含</w:t>
      </w:r>
      <w:r>
        <w:rPr>
          <w:color w:val="auto"/>
          <w:highlight w:val="none"/>
          <w:u w:val="none"/>
          <w:lang w:val="en-US"/>
        </w:rPr>
        <w:t>低浓度废水处理</w:t>
      </w:r>
      <w:r>
        <w:rPr>
          <w:rFonts w:hint="eastAsia"/>
          <w:color w:val="auto"/>
          <w:highlight w:val="none"/>
          <w:u w:val="none"/>
          <w:lang w:val="en-US" w:eastAsia="zh-CN"/>
        </w:rPr>
        <w:t>系统</w:t>
      </w:r>
      <w:r>
        <w:rPr>
          <w:rFonts w:hint="eastAsia"/>
          <w:color w:val="auto"/>
          <w:highlight w:val="none"/>
          <w:u w:val="none"/>
          <w:lang w:val="en-US"/>
        </w:rPr>
        <w:t>、</w:t>
      </w:r>
      <w:r>
        <w:rPr>
          <w:color w:val="auto"/>
          <w:highlight w:val="none"/>
          <w:u w:val="none"/>
          <w:lang w:val="en-US"/>
        </w:rPr>
        <w:t>综合废水处理系统</w:t>
      </w:r>
      <w:r>
        <w:rPr>
          <w:rFonts w:hint="eastAsia"/>
          <w:color w:val="auto"/>
          <w:highlight w:val="none"/>
          <w:u w:val="none"/>
          <w:lang w:val="en-US"/>
        </w:rPr>
        <w:t>、</w:t>
      </w:r>
      <w:r>
        <w:rPr>
          <w:color w:val="auto"/>
          <w:highlight w:val="none"/>
          <w:u w:val="none"/>
          <w:lang w:val="en-US"/>
        </w:rPr>
        <w:t>离心母液处理系统</w:t>
      </w:r>
      <w:r>
        <w:rPr>
          <w:rFonts w:hint="eastAsia"/>
          <w:color w:val="auto"/>
          <w:highlight w:val="none"/>
          <w:u w:val="none"/>
          <w:lang w:val="en-US"/>
        </w:rPr>
        <w:t>）、</w:t>
      </w:r>
      <w:r>
        <w:rPr>
          <w:color w:val="auto"/>
          <w:highlight w:val="none"/>
          <w:u w:val="none"/>
          <w:lang w:val="en-US"/>
        </w:rPr>
        <w:t>雨水监控池</w:t>
      </w:r>
      <w:r>
        <w:rPr>
          <w:rFonts w:hint="eastAsia"/>
          <w:color w:val="auto"/>
          <w:highlight w:val="none"/>
          <w:u w:val="none"/>
          <w:lang w:val="en-US"/>
        </w:rPr>
        <w:t>、事故应急</w:t>
      </w:r>
      <w:r>
        <w:rPr>
          <w:color w:val="auto"/>
          <w:highlight w:val="none"/>
          <w:u w:val="none"/>
          <w:lang w:val="en-US"/>
        </w:rPr>
        <w:t>池</w:t>
      </w:r>
      <w:r>
        <w:rPr>
          <w:rFonts w:hint="eastAsia"/>
          <w:color w:val="auto"/>
          <w:highlight w:val="none"/>
          <w:u w:val="none"/>
          <w:lang w:val="en-US"/>
        </w:rPr>
        <w:t>等，</w:t>
      </w:r>
      <w:r>
        <w:rPr>
          <w:rFonts w:hint="eastAsia"/>
          <w:color w:val="auto"/>
          <w:highlight w:val="none"/>
          <w:u w:val="none"/>
        </w:rPr>
        <w:t>异氰酸酯公司附属配套设施工程项目环评已通过审批，且已完成阶段性竣工环保自主验收和第二阶段验收。</w:t>
      </w:r>
    </w:p>
    <w:p w14:paraId="6EB5D7CF">
      <w:pPr>
        <w:rPr>
          <w:rFonts w:hint="eastAsia"/>
          <w:color w:val="auto"/>
          <w:highlight w:val="none"/>
          <w:u w:val="none"/>
        </w:rPr>
      </w:pPr>
      <w:r>
        <w:rPr>
          <w:rFonts w:hint="eastAsia"/>
          <w:color w:val="auto"/>
          <w:highlight w:val="none"/>
          <w:u w:val="none"/>
        </w:rPr>
        <w:t>（1）水量接纳可行性分析</w:t>
      </w:r>
    </w:p>
    <w:p w14:paraId="70F0C650">
      <w:pPr>
        <w:rPr>
          <w:rFonts w:hint="eastAsia"/>
          <w:color w:val="auto"/>
          <w:highlight w:val="none"/>
          <w:u w:val="none"/>
        </w:rPr>
      </w:pPr>
      <w:r>
        <w:rPr>
          <w:rFonts w:hint="eastAsia"/>
          <w:color w:val="auto"/>
          <w:highlight w:val="none"/>
          <w:u w:val="none"/>
        </w:rPr>
        <w:t>本项目依托万华环保科技公司低浓度废水处理系统处理的地面冲洗水、初期雨水、生活污水共</w:t>
      </w:r>
      <w:r>
        <w:rPr>
          <w:rFonts w:hint="eastAsia"/>
          <w:color w:val="auto"/>
          <w:highlight w:val="none"/>
          <w:u w:val="none"/>
          <w:lang w:val="en-US"/>
        </w:rPr>
        <w:t>6.</w:t>
      </w:r>
      <w:r>
        <w:rPr>
          <w:rFonts w:hint="eastAsia"/>
          <w:color w:val="auto"/>
          <w:highlight w:val="none"/>
          <w:u w:val="none"/>
          <w:lang w:val="en-US" w:eastAsia="zh-CN"/>
        </w:rPr>
        <w:t>08</w:t>
      </w:r>
      <w:r>
        <w:rPr>
          <w:color w:val="auto"/>
          <w:highlight w:val="none"/>
          <w:u w:val="none"/>
          <w:lang w:val="en-US"/>
        </w:rPr>
        <w:t>m</w:t>
      </w:r>
      <w:r>
        <w:rPr>
          <w:color w:val="auto"/>
          <w:highlight w:val="none"/>
          <w:u w:val="none"/>
          <w:vertAlign w:val="superscript"/>
          <w:lang w:val="en-US"/>
        </w:rPr>
        <w:t>3</w:t>
      </w:r>
      <w:r>
        <w:rPr>
          <w:color w:val="auto"/>
          <w:highlight w:val="none"/>
          <w:u w:val="none"/>
          <w:lang w:val="en-US"/>
        </w:rPr>
        <w:t>/h</w:t>
      </w:r>
      <w:r>
        <w:rPr>
          <w:rFonts w:hint="eastAsia"/>
          <w:color w:val="auto"/>
          <w:highlight w:val="none"/>
          <w:u w:val="none"/>
        </w:rPr>
        <w:t>，低浓度废水处理系统</w:t>
      </w:r>
      <w:r>
        <w:rPr>
          <w:color w:val="auto"/>
          <w:highlight w:val="none"/>
          <w:u w:val="none"/>
          <w:lang w:val="en-US"/>
        </w:rPr>
        <w:t>一期工程</w:t>
      </w:r>
      <w:r>
        <w:rPr>
          <w:rFonts w:hint="eastAsia"/>
          <w:color w:val="auto"/>
          <w:highlight w:val="none"/>
          <w:u w:val="none"/>
          <w:lang w:val="en-US"/>
        </w:rPr>
        <w:t>设计</w:t>
      </w:r>
      <w:r>
        <w:rPr>
          <w:color w:val="auto"/>
          <w:highlight w:val="none"/>
          <w:u w:val="none"/>
          <w:lang w:val="en-US"/>
        </w:rPr>
        <w:t>处理规模为180m</w:t>
      </w:r>
      <w:r>
        <w:rPr>
          <w:color w:val="auto"/>
          <w:highlight w:val="none"/>
          <w:u w:val="none"/>
          <w:vertAlign w:val="superscript"/>
          <w:lang w:val="en-US"/>
        </w:rPr>
        <w:t>3</w:t>
      </w:r>
      <w:r>
        <w:rPr>
          <w:color w:val="auto"/>
          <w:highlight w:val="none"/>
          <w:u w:val="none"/>
          <w:lang w:val="en-US"/>
        </w:rPr>
        <w:t>/h，二期工程</w:t>
      </w:r>
      <w:r>
        <w:rPr>
          <w:rFonts w:hint="eastAsia"/>
          <w:color w:val="auto"/>
          <w:highlight w:val="none"/>
          <w:u w:val="none"/>
          <w:lang w:val="en-US"/>
        </w:rPr>
        <w:t>设计</w:t>
      </w:r>
      <w:r>
        <w:rPr>
          <w:color w:val="auto"/>
          <w:highlight w:val="none"/>
          <w:u w:val="none"/>
          <w:lang w:val="en-US"/>
        </w:rPr>
        <w:t>处理规模为180m</w:t>
      </w:r>
      <w:r>
        <w:rPr>
          <w:color w:val="auto"/>
          <w:highlight w:val="none"/>
          <w:u w:val="none"/>
          <w:vertAlign w:val="superscript"/>
          <w:lang w:val="en-US"/>
        </w:rPr>
        <w:t>3</w:t>
      </w:r>
      <w:r>
        <w:rPr>
          <w:color w:val="auto"/>
          <w:highlight w:val="none"/>
          <w:u w:val="none"/>
          <w:lang w:val="en-US"/>
        </w:rPr>
        <w:t>/h，总处理规模为360m</w:t>
      </w:r>
      <w:r>
        <w:rPr>
          <w:color w:val="auto"/>
          <w:highlight w:val="none"/>
          <w:u w:val="none"/>
          <w:vertAlign w:val="superscript"/>
          <w:lang w:val="en-US"/>
        </w:rPr>
        <w:t>3</w:t>
      </w:r>
      <w:r>
        <w:rPr>
          <w:color w:val="auto"/>
          <w:highlight w:val="none"/>
          <w:u w:val="none"/>
          <w:lang w:val="en-US"/>
        </w:rPr>
        <w:t>/h</w:t>
      </w:r>
      <w:r>
        <w:rPr>
          <w:rFonts w:hint="eastAsia"/>
          <w:color w:val="auto"/>
          <w:highlight w:val="none"/>
          <w:u w:val="none"/>
          <w:lang w:val="en-US"/>
        </w:rPr>
        <w:t>；综合废水处理系统一期工程设计</w:t>
      </w:r>
      <w:r>
        <w:rPr>
          <w:rFonts w:hAnsi="Times New Roman"/>
          <w:color w:val="auto"/>
          <w:highlight w:val="none"/>
          <w:u w:val="none"/>
        </w:rPr>
        <w:t>处理规模为210m</w:t>
      </w:r>
      <w:r>
        <w:rPr>
          <w:rFonts w:hAnsi="Times New Roman"/>
          <w:color w:val="auto"/>
          <w:highlight w:val="none"/>
          <w:u w:val="none"/>
          <w:vertAlign w:val="superscript"/>
        </w:rPr>
        <w:t>3</w:t>
      </w:r>
      <w:r>
        <w:rPr>
          <w:rFonts w:hAnsi="Times New Roman"/>
          <w:color w:val="auto"/>
          <w:highlight w:val="none"/>
          <w:u w:val="none"/>
        </w:rPr>
        <w:t>/h，二期工程</w:t>
      </w:r>
      <w:r>
        <w:rPr>
          <w:rFonts w:hint="eastAsia" w:hAnsi="Times New Roman"/>
          <w:color w:val="auto"/>
          <w:highlight w:val="none"/>
          <w:u w:val="none"/>
        </w:rPr>
        <w:t>设计</w:t>
      </w:r>
      <w:r>
        <w:rPr>
          <w:rFonts w:hAnsi="Times New Roman"/>
          <w:color w:val="auto"/>
          <w:highlight w:val="none"/>
          <w:u w:val="none"/>
        </w:rPr>
        <w:t>处理规模为210m</w:t>
      </w:r>
      <w:r>
        <w:rPr>
          <w:rFonts w:hAnsi="Times New Roman"/>
          <w:color w:val="auto"/>
          <w:highlight w:val="none"/>
          <w:u w:val="none"/>
          <w:vertAlign w:val="superscript"/>
        </w:rPr>
        <w:t>3</w:t>
      </w:r>
      <w:r>
        <w:rPr>
          <w:rFonts w:hAnsi="Times New Roman"/>
          <w:color w:val="auto"/>
          <w:highlight w:val="none"/>
          <w:u w:val="none"/>
        </w:rPr>
        <w:t>/h，总处理规模为420m</w:t>
      </w:r>
      <w:r>
        <w:rPr>
          <w:rFonts w:hAnsi="Times New Roman"/>
          <w:color w:val="auto"/>
          <w:highlight w:val="none"/>
          <w:u w:val="none"/>
          <w:vertAlign w:val="superscript"/>
        </w:rPr>
        <w:t>3</w:t>
      </w:r>
      <w:r>
        <w:rPr>
          <w:rFonts w:hAnsi="Times New Roman"/>
          <w:color w:val="auto"/>
          <w:highlight w:val="none"/>
          <w:u w:val="none"/>
        </w:rPr>
        <w:t>/h</w:t>
      </w:r>
      <w:r>
        <w:rPr>
          <w:rFonts w:hint="eastAsia"/>
          <w:color w:val="auto"/>
          <w:highlight w:val="none"/>
          <w:u w:val="none"/>
        </w:rPr>
        <w:t>，</w:t>
      </w:r>
      <w:r>
        <w:rPr>
          <w:color w:val="auto"/>
          <w:highlight w:val="none"/>
          <w:u w:val="none"/>
        </w:rPr>
        <w:t>污水处理规模设计时已考虑</w:t>
      </w:r>
      <w:r>
        <w:rPr>
          <w:rFonts w:hint="eastAsia"/>
          <w:color w:val="auto"/>
          <w:highlight w:val="none"/>
          <w:u w:val="none"/>
        </w:rPr>
        <w:t>TDI</w:t>
      </w:r>
      <w:r>
        <w:rPr>
          <w:color w:val="auto"/>
          <w:highlight w:val="none"/>
          <w:u w:val="none"/>
        </w:rPr>
        <w:t>项目的废水产生量</w:t>
      </w:r>
      <w:r>
        <w:rPr>
          <w:rFonts w:hint="eastAsia"/>
          <w:color w:val="auto"/>
          <w:highlight w:val="none"/>
          <w:u w:val="none"/>
        </w:rPr>
        <w:t>。根据“10.2.2 废水污染防治措施及可行性”小节中的</w:t>
      </w:r>
      <w:r>
        <w:rPr>
          <w:rFonts w:hint="eastAsia"/>
          <w:color w:val="auto"/>
          <w:highlight w:val="none"/>
          <w:u w:val="none"/>
        </w:rPr>
        <w:fldChar w:fldCharType="begin"/>
      </w:r>
      <w:r>
        <w:rPr>
          <w:rFonts w:hint="eastAsia"/>
          <w:color w:val="auto"/>
          <w:highlight w:val="none"/>
          <w:u w:val="none"/>
        </w:rPr>
        <w:instrText xml:space="preserve"> REF _Ref147237725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color w:val="auto"/>
          <w:highlight w:val="none"/>
          <w:u w:val="none"/>
        </w:rPr>
        <w:noBreakHyphen/>
      </w:r>
      <w:r>
        <w:rPr>
          <w:color w:val="auto"/>
          <w:highlight w:val="none"/>
          <w:u w:val="none"/>
        </w:rPr>
        <w:t>12</w:t>
      </w:r>
      <w:r>
        <w:rPr>
          <w:rFonts w:hint="eastAsia"/>
          <w:color w:val="auto"/>
          <w:highlight w:val="none"/>
          <w:u w:val="none"/>
        </w:rPr>
        <w:fldChar w:fldCharType="end"/>
      </w:r>
      <w:r>
        <w:rPr>
          <w:rFonts w:hint="eastAsia"/>
          <w:color w:val="auto"/>
          <w:highlight w:val="none"/>
          <w:u w:val="none"/>
        </w:rPr>
        <w:t>统计结果，扣除目前拟进入的废水量后，低浓度废水处理系统的处理余量为131.33</w:t>
      </w:r>
      <w:r>
        <w:rPr>
          <w:color w:val="auto"/>
          <w:highlight w:val="none"/>
          <w:u w:val="none"/>
        </w:rPr>
        <w:t>t/h</w:t>
      </w:r>
      <w:r>
        <w:rPr>
          <w:rFonts w:hint="eastAsia"/>
          <w:color w:val="auto"/>
          <w:highlight w:val="none"/>
          <w:u w:val="none"/>
        </w:rPr>
        <w:t>，本次技改扩能后TDI一期进入低浓度废水处理系统的废水量为6.08</w:t>
      </w:r>
      <w:r>
        <w:rPr>
          <w:color w:val="auto"/>
          <w:highlight w:val="none"/>
          <w:u w:val="none"/>
        </w:rPr>
        <w:t>t/h</w:t>
      </w:r>
      <w:r>
        <w:rPr>
          <w:rFonts w:hint="eastAsia"/>
          <w:color w:val="auto"/>
          <w:highlight w:val="none"/>
          <w:u w:val="none"/>
        </w:rPr>
        <w:t>，小于对应废水处理系统的余量。说明低浓度废水处理系统接纳本项目废水水量可行。</w:t>
      </w:r>
    </w:p>
    <w:p w14:paraId="17FEAEFE">
      <w:pPr>
        <w:pStyle w:val="981"/>
        <w:rPr>
          <w:rFonts w:hint="eastAsia"/>
          <w:color w:val="auto"/>
          <w:highlight w:val="none"/>
          <w:u w:val="none"/>
        </w:rPr>
      </w:pPr>
      <w:r>
        <w:rPr>
          <w:rFonts w:hint="eastAsia"/>
          <w:color w:val="auto"/>
          <w:highlight w:val="none"/>
          <w:u w:val="none"/>
        </w:rPr>
        <w:t>（2）处理工艺及水质接纳可行性分析</w:t>
      </w:r>
    </w:p>
    <w:p w14:paraId="5CA8BFAA">
      <w:r>
        <w:rPr>
          <w:rFonts w:hint="eastAsia"/>
        </w:rPr>
        <w:t>万华环保科技公司低浓度废水处理系统在规划建设时，已考虑接纳TDI项目的低浓度废水。本项目的地面冲洗水、初期雨水、生活污水经低浓度废水处理系统采用“混凝沉淀</w:t>
      </w:r>
      <w:r>
        <w:t>+A/O+二沉池”工艺处理后</w:t>
      </w:r>
      <w:r>
        <w:rPr>
          <w:rFonts w:hint="eastAsia"/>
        </w:rPr>
        <w:t>，</w:t>
      </w:r>
      <w:r>
        <w:rPr>
          <w:rFonts w:hint="eastAsia"/>
          <w:lang w:val="en-US"/>
        </w:rPr>
        <w:t>尾水</w:t>
      </w:r>
      <w:r>
        <w:rPr>
          <w:rFonts w:hint="eastAsia"/>
        </w:rPr>
        <w:t>进入编组站废水处理系统进一步处理。</w:t>
      </w:r>
    </w:p>
    <w:p w14:paraId="25DA2829">
      <w:r>
        <w:rPr>
          <w:rFonts w:hint="eastAsia"/>
        </w:rPr>
        <w:t>根据1</w:t>
      </w:r>
      <w:r>
        <w:t>0.2.2</w:t>
      </w:r>
      <w:r>
        <w:rPr>
          <w:rFonts w:hint="eastAsia"/>
        </w:rPr>
        <w:t>章节分析，本项目地面冲洗水、初期雨水、生活污水进入低浓度废水处理系统调节池均值后各污染物指标均小于其设计进水指标（见</w:t>
      </w:r>
      <w:r>
        <w:rPr>
          <w:rFonts w:hint="eastAsia"/>
        </w:rPr>
        <w:fldChar w:fldCharType="begin"/>
      </w:r>
      <w:r>
        <w:rPr>
          <w:rFonts w:hint="eastAsia"/>
        </w:rPr>
        <w:instrText xml:space="preserve"> REF _Ref188005550 \h </w:instrText>
      </w:r>
      <w:r>
        <w:rPr>
          <w:rFonts w:hint="eastAsia"/>
        </w:rP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10.2</w:t>
      </w:r>
      <w:r>
        <w:fldChar w:fldCharType="end"/>
      </w:r>
      <w:r>
        <w:noBreakHyphen/>
      </w:r>
      <w:r>
        <w:rPr>
          <w:rFonts w:hint="eastAsia"/>
        </w:rPr>
        <w:t>14</w:t>
      </w:r>
      <w:r>
        <w:rPr>
          <w:rFonts w:hint="eastAsia"/>
        </w:rPr>
        <w:fldChar w:fldCharType="end"/>
      </w:r>
      <w:r>
        <w:rPr>
          <w:rFonts w:hint="eastAsia"/>
        </w:rPr>
        <w:t>），万华环保科技公司低浓度废水处理系统可接纳本项目废水，且处理污染物指标涵盖了本项目依托废水中的各污染物，废水经万华环保科技公司低浓度废水处理系统处理后可满足编组站废水处理系统接纳低浓度废水处理系统尾水水质要求。</w:t>
      </w:r>
    </w:p>
    <w:p w14:paraId="345B528F">
      <w:pPr>
        <w:rPr>
          <w:rFonts w:hint="eastAsia"/>
          <w:color w:val="auto"/>
          <w:highlight w:val="none"/>
          <w:u w:val="none"/>
          <w:lang w:val="en-US"/>
        </w:rPr>
      </w:pPr>
      <w:r>
        <w:rPr>
          <w:rFonts w:hint="eastAsia"/>
        </w:rPr>
        <w:t>根据低浓度废水处理系统设计处理效果，本项目废水依托低浓度废水处理系统处理后，</w:t>
      </w:r>
      <w:r>
        <w:t>各污染物</w:t>
      </w:r>
      <w:r>
        <w:rPr>
          <w:rFonts w:hint="eastAsia"/>
        </w:rPr>
        <w:t>出水</w:t>
      </w:r>
      <w:r>
        <w:t>浓度均能满足</w:t>
      </w:r>
      <w:r>
        <w:rPr>
          <w:rFonts w:hint="eastAsia"/>
        </w:rPr>
        <w:t>编组站废水处理系统接纳低浓度废水处理系统尾水水质要求。因此，本项目</w:t>
      </w:r>
      <w:r>
        <w:t>废水依托</w:t>
      </w:r>
      <w:r>
        <w:rPr>
          <w:rFonts w:hint="eastAsia"/>
        </w:rPr>
        <w:t>万华环保科技公司低浓度废水处理系统处理是</w:t>
      </w:r>
      <w:r>
        <w:t>可行性</w:t>
      </w:r>
      <w:r>
        <w:rPr>
          <w:rFonts w:hint="eastAsia"/>
        </w:rPr>
        <w:t>的</w:t>
      </w:r>
      <w:r>
        <w:rPr>
          <w:rFonts w:hint="eastAsia"/>
          <w:color w:val="auto"/>
          <w:highlight w:val="none"/>
          <w:u w:val="none"/>
        </w:rPr>
        <w:t>。</w:t>
      </w:r>
    </w:p>
    <w:p w14:paraId="4E28B6DA">
      <w:pPr>
        <w:pStyle w:val="6"/>
        <w:spacing w:before="156" w:after="156"/>
        <w:rPr>
          <w:color w:val="auto"/>
          <w:highlight w:val="none"/>
          <w:u w:val="none"/>
        </w:rPr>
      </w:pPr>
      <w:r>
        <w:rPr>
          <w:rFonts w:hint="eastAsia"/>
          <w:color w:val="auto"/>
          <w:highlight w:val="none"/>
          <w:u w:val="none"/>
        </w:rPr>
        <w:t>废水依托万华环保科技公司废水综合处理系统可行性分析</w:t>
      </w:r>
    </w:p>
    <w:p w14:paraId="28997807">
      <w:pPr>
        <w:rPr>
          <w:rFonts w:hint="eastAsia"/>
          <w:color w:val="auto"/>
          <w:highlight w:val="none"/>
          <w:u w:val="none"/>
          <w:lang w:val="en-US"/>
        </w:rPr>
      </w:pPr>
      <w:r>
        <w:rPr>
          <w:rFonts w:hint="eastAsia"/>
          <w:color w:val="auto"/>
          <w:highlight w:val="none"/>
          <w:u w:val="none"/>
        </w:rPr>
        <w:t>本项目</w:t>
      </w:r>
      <w:r>
        <w:rPr>
          <w:rFonts w:hint="eastAsia"/>
          <w:color w:val="auto"/>
          <w:highlight w:val="none"/>
          <w:u w:val="none"/>
          <w:lang w:val="en-US"/>
        </w:rPr>
        <w:t>硝硫浓缩酸性废水、废酸浓缩酸性废水、汽提酸性废水、T</w:t>
      </w:r>
      <w:r>
        <w:rPr>
          <w:color w:val="auto"/>
          <w:highlight w:val="none"/>
          <w:u w:val="none"/>
          <w:lang w:val="en-US"/>
        </w:rPr>
        <w:t>DA</w:t>
      </w:r>
      <w:r>
        <w:rPr>
          <w:rFonts w:hint="eastAsia"/>
          <w:color w:val="auto"/>
          <w:highlight w:val="none"/>
          <w:u w:val="none"/>
          <w:lang w:val="en-US"/>
        </w:rPr>
        <w:t>废水、光化中和废水、设备清洗废依托万华环保科技公司综合废水处理系统处理。</w:t>
      </w:r>
      <w:r>
        <w:rPr>
          <w:color w:val="auto"/>
          <w:highlight w:val="none"/>
          <w:u w:val="none"/>
          <w:lang w:val="en-US"/>
        </w:rPr>
        <w:t>综合废水处理系统</w:t>
      </w:r>
      <w:r>
        <w:rPr>
          <w:rFonts w:hint="eastAsia"/>
          <w:color w:val="auto"/>
          <w:highlight w:val="none"/>
          <w:u w:val="none"/>
          <w:lang w:val="en-US"/>
        </w:rPr>
        <w:t>为</w:t>
      </w:r>
      <w:r>
        <w:rPr>
          <w:rFonts w:hint="eastAsia"/>
          <w:color w:val="auto"/>
          <w:highlight w:val="none"/>
          <w:u w:val="none"/>
        </w:rPr>
        <w:t>万华环保科技公司于</w:t>
      </w:r>
      <w:r>
        <w:rPr>
          <w:rFonts w:hint="eastAsia"/>
          <w:color w:val="auto"/>
          <w:highlight w:val="none"/>
          <w:u w:val="none"/>
          <w:lang w:val="en-US"/>
        </w:rPr>
        <w:t>2024年5月接收</w:t>
      </w:r>
      <w:r>
        <w:rPr>
          <w:rFonts w:hint="eastAsia"/>
          <w:color w:val="auto"/>
          <w:highlight w:val="none"/>
          <w:u w:val="none"/>
        </w:rPr>
        <w:t>异氰酸酯公司附属配套设施工程项目的资产，异氰酸酯公司附属配套设施工程项目环评已通过审批，且已完成阶段性竣工环保自主验收和第二阶段验收。</w:t>
      </w:r>
    </w:p>
    <w:p w14:paraId="0AFBB339">
      <w:pPr>
        <w:rPr>
          <w:rFonts w:hint="eastAsia"/>
          <w:color w:val="auto"/>
          <w:highlight w:val="none"/>
          <w:u w:val="none"/>
          <w:lang w:val="en-US"/>
        </w:rPr>
      </w:pPr>
      <w:r>
        <w:rPr>
          <w:rFonts w:hint="eastAsia"/>
          <w:color w:val="auto"/>
          <w:highlight w:val="none"/>
          <w:u w:val="none"/>
        </w:rPr>
        <w:t>根据万华福建公司与万华环保科技公司签署的污水委托处理协议（见附件</w:t>
      </w:r>
      <w:r>
        <w:rPr>
          <w:rFonts w:hint="eastAsia"/>
          <w:color w:val="auto"/>
          <w:highlight w:val="none"/>
          <w:u w:val="none"/>
          <w:lang w:val="en-US" w:eastAsia="zh-CN"/>
        </w:rPr>
        <w:t>22</w:t>
      </w:r>
      <w:r>
        <w:rPr>
          <w:rFonts w:hint="eastAsia"/>
          <w:color w:val="auto"/>
          <w:highlight w:val="none"/>
          <w:u w:val="none"/>
        </w:rPr>
        <w:t>），万华环保科技公司要求万华福建公司废水接入其废水处理设施前设置在线流量监控，对废水水量进行监控，对废水水质则无接管要求。同时，万华环保科技公司全权负责进入厂内废水的处理及环境管理，并对废水在厂区内出现的风险和事故承担责任，万华环保科技公司确保接纳的废水经其废水处理设施处理后达标排放。</w:t>
      </w:r>
    </w:p>
    <w:p w14:paraId="26B4529E">
      <w:pPr>
        <w:ind w:firstLine="482"/>
        <w:rPr>
          <w:rFonts w:hint="eastAsia"/>
          <w:b/>
          <w:bCs/>
          <w:color w:val="auto"/>
          <w:highlight w:val="none"/>
          <w:u w:val="none"/>
        </w:rPr>
      </w:pPr>
      <w:r>
        <w:rPr>
          <w:rFonts w:hint="eastAsia"/>
          <w:b/>
          <w:bCs/>
          <w:color w:val="auto"/>
          <w:highlight w:val="none"/>
          <w:u w:val="none"/>
        </w:rPr>
        <w:t>（1）水量接纳可行性分析</w:t>
      </w:r>
    </w:p>
    <w:p w14:paraId="75174601">
      <w:pPr>
        <w:rPr>
          <w:rFonts w:hint="eastAsia"/>
          <w:color w:val="auto"/>
          <w:highlight w:val="none"/>
          <w:u w:val="none"/>
        </w:rPr>
      </w:pPr>
      <w:r>
        <w:rPr>
          <w:rFonts w:hint="eastAsia"/>
          <w:color w:val="auto"/>
          <w:highlight w:val="none"/>
          <w:u w:val="none"/>
        </w:rPr>
        <w:t>本项目依托万华环保科技公司综合废水处理系统处理的</w:t>
      </w:r>
      <w:r>
        <w:rPr>
          <w:rFonts w:hint="eastAsia"/>
          <w:color w:val="auto"/>
          <w:highlight w:val="none"/>
          <w:u w:val="none"/>
          <w:lang w:val="en-US"/>
        </w:rPr>
        <w:t>硝硫浓缩酸性废水、废酸浓缩酸性废水、汽提酸性废水、T</w:t>
      </w:r>
      <w:r>
        <w:rPr>
          <w:color w:val="auto"/>
          <w:highlight w:val="none"/>
          <w:u w:val="none"/>
          <w:lang w:val="en-US"/>
        </w:rPr>
        <w:t>DA</w:t>
      </w:r>
      <w:r>
        <w:rPr>
          <w:rFonts w:hint="eastAsia"/>
          <w:color w:val="auto"/>
          <w:highlight w:val="none"/>
          <w:u w:val="none"/>
          <w:lang w:val="en-US"/>
        </w:rPr>
        <w:t>废水、光化中和废水、设备清洗废水</w:t>
      </w:r>
      <w:r>
        <w:rPr>
          <w:rFonts w:hint="eastAsia"/>
          <w:color w:val="auto"/>
          <w:highlight w:val="none"/>
          <w:u w:val="none"/>
        </w:rPr>
        <w:t>共</w:t>
      </w:r>
      <w:r>
        <w:rPr>
          <w:rFonts w:hint="eastAsia"/>
          <w:color w:val="auto"/>
          <w:highlight w:val="none"/>
          <w:u w:val="none"/>
          <w:lang w:val="en-US"/>
        </w:rPr>
        <w:t>63.60</w:t>
      </w:r>
      <w:r>
        <w:rPr>
          <w:color w:val="auto"/>
          <w:highlight w:val="none"/>
          <w:u w:val="none"/>
          <w:lang w:val="en-US"/>
        </w:rPr>
        <w:t>m</w:t>
      </w:r>
      <w:r>
        <w:rPr>
          <w:color w:val="auto"/>
          <w:highlight w:val="none"/>
          <w:u w:val="none"/>
          <w:vertAlign w:val="superscript"/>
          <w:lang w:val="en-US"/>
        </w:rPr>
        <w:t>3</w:t>
      </w:r>
      <w:r>
        <w:rPr>
          <w:color w:val="auto"/>
          <w:highlight w:val="none"/>
          <w:u w:val="none"/>
          <w:lang w:val="en-US"/>
        </w:rPr>
        <w:t>/h</w:t>
      </w:r>
      <w:r>
        <w:rPr>
          <w:rFonts w:hint="eastAsia"/>
          <w:color w:val="auto"/>
          <w:highlight w:val="none"/>
          <w:u w:val="none"/>
        </w:rPr>
        <w:t>，经综合废水处理系统处理达标后由福州江阴港城经济区污水处理厂已建排海管道排海。</w:t>
      </w:r>
    </w:p>
    <w:p w14:paraId="39A127DA">
      <w:pPr>
        <w:rPr>
          <w:rFonts w:hint="eastAsia"/>
          <w:color w:val="auto"/>
          <w:highlight w:val="none"/>
          <w:u w:val="none"/>
        </w:rPr>
      </w:pPr>
      <w:r>
        <w:rPr>
          <w:rFonts w:hint="eastAsia"/>
          <w:color w:val="auto"/>
          <w:highlight w:val="none"/>
          <w:u w:val="none"/>
        </w:rPr>
        <w:t>综合废水处理单元由芬顿单元、难生化废水处理单元、废水深处理单元构成。芬顿单元处理规模为</w:t>
      </w:r>
      <w:r>
        <w:rPr>
          <w:color w:val="auto"/>
          <w:highlight w:val="none"/>
          <w:u w:val="none"/>
        </w:rPr>
        <w:t>60m</w:t>
      </w:r>
      <w:r>
        <w:rPr>
          <w:color w:val="auto"/>
          <w:highlight w:val="none"/>
          <w:u w:val="none"/>
          <w:vertAlign w:val="superscript"/>
        </w:rPr>
        <w:t>3</w:t>
      </w:r>
      <w:r>
        <w:rPr>
          <w:color w:val="auto"/>
          <w:highlight w:val="none"/>
          <w:u w:val="none"/>
        </w:rPr>
        <w:t>/h；难生化废水处理单元一期工程处理规模为210m</w:t>
      </w:r>
      <w:r>
        <w:rPr>
          <w:color w:val="auto"/>
          <w:highlight w:val="none"/>
          <w:u w:val="none"/>
          <w:vertAlign w:val="superscript"/>
        </w:rPr>
        <w:t>3</w:t>
      </w:r>
      <w:r>
        <w:rPr>
          <w:color w:val="auto"/>
          <w:highlight w:val="none"/>
          <w:u w:val="none"/>
        </w:rPr>
        <w:t>/h，二期工程处理规模为210m</w:t>
      </w:r>
      <w:r>
        <w:rPr>
          <w:color w:val="auto"/>
          <w:highlight w:val="none"/>
          <w:u w:val="none"/>
          <w:vertAlign w:val="superscript"/>
        </w:rPr>
        <w:t>3</w:t>
      </w:r>
      <w:r>
        <w:rPr>
          <w:color w:val="auto"/>
          <w:highlight w:val="none"/>
          <w:u w:val="none"/>
        </w:rPr>
        <w:t>/h，总处理规模为420m</w:t>
      </w:r>
      <w:r>
        <w:rPr>
          <w:color w:val="auto"/>
          <w:highlight w:val="none"/>
          <w:u w:val="none"/>
          <w:vertAlign w:val="superscript"/>
        </w:rPr>
        <w:t>3</w:t>
      </w:r>
      <w:r>
        <w:rPr>
          <w:color w:val="auto"/>
          <w:highlight w:val="none"/>
          <w:u w:val="none"/>
        </w:rPr>
        <w:t>/h；废水深处理单元一期工程处理规模为210m</w:t>
      </w:r>
      <w:r>
        <w:rPr>
          <w:color w:val="auto"/>
          <w:highlight w:val="none"/>
          <w:u w:val="none"/>
          <w:vertAlign w:val="superscript"/>
        </w:rPr>
        <w:t>3</w:t>
      </w:r>
      <w:r>
        <w:rPr>
          <w:color w:val="auto"/>
          <w:highlight w:val="none"/>
          <w:u w:val="none"/>
        </w:rPr>
        <w:t>/h，二期工程处理规模为420m</w:t>
      </w:r>
      <w:r>
        <w:rPr>
          <w:color w:val="auto"/>
          <w:highlight w:val="none"/>
          <w:u w:val="none"/>
          <w:vertAlign w:val="superscript"/>
        </w:rPr>
        <w:t>3</w:t>
      </w:r>
      <w:r>
        <w:rPr>
          <w:color w:val="auto"/>
          <w:highlight w:val="none"/>
          <w:u w:val="none"/>
        </w:rPr>
        <w:t>/h</w:t>
      </w:r>
      <w:r>
        <w:rPr>
          <w:rFonts w:hint="eastAsia"/>
          <w:color w:val="auto"/>
          <w:highlight w:val="none"/>
          <w:u w:val="none"/>
        </w:rPr>
        <w:t>，总处理规模为63</w:t>
      </w:r>
      <w:r>
        <w:rPr>
          <w:color w:val="auto"/>
          <w:highlight w:val="none"/>
          <w:u w:val="none"/>
        </w:rPr>
        <w:t>0m</w:t>
      </w:r>
      <w:r>
        <w:rPr>
          <w:color w:val="auto"/>
          <w:highlight w:val="none"/>
          <w:u w:val="none"/>
          <w:vertAlign w:val="superscript"/>
        </w:rPr>
        <w:t>3</w:t>
      </w:r>
      <w:r>
        <w:rPr>
          <w:color w:val="auto"/>
          <w:highlight w:val="none"/>
          <w:u w:val="none"/>
        </w:rPr>
        <w:t>/h</w:t>
      </w:r>
      <w:r>
        <w:rPr>
          <w:rFonts w:hint="eastAsia"/>
          <w:color w:val="auto"/>
          <w:highlight w:val="none"/>
          <w:u w:val="none"/>
        </w:rPr>
        <w:t>，</w:t>
      </w:r>
      <w:r>
        <w:rPr>
          <w:color w:val="auto"/>
          <w:highlight w:val="none"/>
          <w:u w:val="none"/>
        </w:rPr>
        <w:t>污水处理规模设计时已考虑</w:t>
      </w:r>
      <w:r>
        <w:rPr>
          <w:rFonts w:hint="eastAsia"/>
          <w:color w:val="auto"/>
          <w:highlight w:val="none"/>
          <w:u w:val="none"/>
        </w:rPr>
        <w:t>TDI</w:t>
      </w:r>
      <w:r>
        <w:rPr>
          <w:color w:val="auto"/>
          <w:highlight w:val="none"/>
          <w:u w:val="none"/>
        </w:rPr>
        <w:t>项目的废水产生量</w:t>
      </w:r>
      <w:r>
        <w:rPr>
          <w:rFonts w:hint="eastAsia"/>
          <w:color w:val="auto"/>
          <w:highlight w:val="none"/>
          <w:u w:val="none"/>
        </w:rPr>
        <w:t>。</w:t>
      </w:r>
    </w:p>
    <w:p w14:paraId="2E3C7FC8">
      <w:pPr>
        <w:rPr>
          <w:rFonts w:hint="eastAsia"/>
          <w:color w:val="auto"/>
          <w:highlight w:val="none"/>
          <w:u w:val="none"/>
        </w:rPr>
      </w:pPr>
      <w:r>
        <w:rPr>
          <w:rFonts w:hint="eastAsia"/>
          <w:color w:val="auto"/>
          <w:highlight w:val="none"/>
          <w:u w:val="none"/>
        </w:rPr>
        <w:t>根据</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_Ref147237725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表 10.2</w:t>
      </w:r>
      <w:r>
        <w:rPr>
          <w:color w:val="auto"/>
          <w:highlight w:val="none"/>
          <w:u w:val="none"/>
        </w:rPr>
        <w:noBreakHyphen/>
      </w:r>
      <w:r>
        <w:rPr>
          <w:color w:val="auto"/>
          <w:highlight w:val="none"/>
          <w:u w:val="none"/>
        </w:rPr>
        <w:t>12</w:t>
      </w:r>
      <w:r>
        <w:rPr>
          <w:color w:val="auto"/>
          <w:highlight w:val="none"/>
          <w:u w:val="none"/>
        </w:rPr>
        <w:fldChar w:fldCharType="end"/>
      </w:r>
      <w:r>
        <w:rPr>
          <w:rFonts w:hint="eastAsia"/>
          <w:color w:val="auto"/>
          <w:highlight w:val="none"/>
          <w:u w:val="none"/>
        </w:rPr>
        <w:t>统计结果，扣除目前拟进入的废水量后，低浓度废水处理系统的处理余量为131.33</w:t>
      </w:r>
      <w:r>
        <w:rPr>
          <w:color w:val="auto"/>
          <w:highlight w:val="none"/>
          <w:u w:val="none"/>
        </w:rPr>
        <w:t>t/h</w:t>
      </w:r>
      <w:r>
        <w:rPr>
          <w:rFonts w:hint="eastAsia"/>
          <w:color w:val="auto"/>
          <w:highlight w:val="none"/>
          <w:u w:val="none"/>
        </w:rPr>
        <w:t>，综合废水处理系统处理余量为117.66</w:t>
      </w:r>
      <w:r>
        <w:rPr>
          <w:color w:val="auto"/>
          <w:highlight w:val="none"/>
          <w:u w:val="none"/>
        </w:rPr>
        <w:t>t/h</w:t>
      </w:r>
      <w:r>
        <w:rPr>
          <w:rFonts w:hint="eastAsia"/>
          <w:color w:val="auto"/>
          <w:highlight w:val="none"/>
          <w:u w:val="none"/>
        </w:rPr>
        <w:t>，本次技改扩能后TDI一期进入低浓度废水处理系统的废水量为6.08</w:t>
      </w:r>
      <w:r>
        <w:rPr>
          <w:color w:val="auto"/>
          <w:highlight w:val="none"/>
          <w:u w:val="none"/>
        </w:rPr>
        <w:t>t/h</w:t>
      </w:r>
      <w:r>
        <w:rPr>
          <w:rFonts w:hint="eastAsia"/>
          <w:color w:val="auto"/>
          <w:highlight w:val="none"/>
          <w:u w:val="none"/>
        </w:rPr>
        <w:t>，拟进入综合废水处理系统的废水量为</w:t>
      </w:r>
      <w:r>
        <w:rPr>
          <w:rFonts w:hint="eastAsia"/>
          <w:color w:val="auto"/>
          <w:highlight w:val="none"/>
          <w:u w:val="none"/>
          <w:lang w:val="en-US" w:eastAsia="zh-CN"/>
        </w:rPr>
        <w:t>85.68</w:t>
      </w:r>
      <w:r>
        <w:rPr>
          <w:color w:val="auto"/>
          <w:highlight w:val="none"/>
          <w:u w:val="none"/>
        </w:rPr>
        <w:t>t/h</w:t>
      </w:r>
      <w:r>
        <w:rPr>
          <w:rFonts w:hint="eastAsia"/>
          <w:color w:val="auto"/>
          <w:highlight w:val="none"/>
          <w:u w:val="none"/>
        </w:rPr>
        <w:t>，均小于对应废水处理系统的余量。说明综合废水处理系统接纳本项目废水水量可行。</w:t>
      </w:r>
    </w:p>
    <w:p w14:paraId="50CCB106">
      <w:pPr>
        <w:pStyle w:val="414"/>
        <w:ind w:left="420" w:firstLine="0" w:firstLineChars="0"/>
        <w:rPr>
          <w:b/>
          <w:bCs/>
          <w:color w:val="auto"/>
          <w:highlight w:val="none"/>
          <w:u w:val="none"/>
        </w:rPr>
      </w:pPr>
      <w:r>
        <w:rPr>
          <w:rFonts w:ascii="Times New Roman" w:hAnsi="Times New Roman" w:cs="Times New Roman"/>
          <w:b/>
          <w:bCs/>
          <w:color w:val="auto"/>
          <w:highlight w:val="none"/>
          <w:u w:val="none"/>
        </w:rPr>
        <w:t>（2）</w:t>
      </w:r>
      <w:r>
        <w:rPr>
          <w:rFonts w:hint="eastAsia"/>
          <w:b/>
          <w:bCs/>
          <w:color w:val="auto"/>
          <w:highlight w:val="none"/>
          <w:u w:val="none"/>
        </w:rPr>
        <w:t>处理工艺及水质接纳可行性分析</w:t>
      </w:r>
    </w:p>
    <w:p w14:paraId="05E0F035">
      <w:pPr>
        <w:ind w:firstLineChars="0"/>
        <w:rPr>
          <w:rFonts w:hint="eastAsia"/>
          <w:color w:val="auto"/>
          <w:highlight w:val="none"/>
          <w:u w:val="none"/>
        </w:rPr>
      </w:pPr>
      <w:r>
        <w:rPr>
          <w:rFonts w:hint="eastAsia"/>
          <w:color w:val="auto"/>
          <w:highlight w:val="none"/>
          <w:u w:val="none"/>
        </w:rPr>
        <w:t>万华环保科技公司综合废水处理系统在规划建设时，已考虑接纳TDI项目的高浓度废水。本项目的</w:t>
      </w:r>
      <w:r>
        <w:rPr>
          <w:rFonts w:hint="eastAsia"/>
          <w:color w:val="auto"/>
          <w:highlight w:val="none"/>
          <w:u w:val="none"/>
          <w:lang w:val="en-US"/>
        </w:rPr>
        <w:t>硝硫浓缩酸性废水、废酸浓缩酸性废水、汽提酸性废水、T</w:t>
      </w:r>
      <w:r>
        <w:rPr>
          <w:color w:val="auto"/>
          <w:highlight w:val="none"/>
          <w:u w:val="none"/>
          <w:lang w:val="en-US"/>
        </w:rPr>
        <w:t>DA</w:t>
      </w:r>
      <w:r>
        <w:rPr>
          <w:rFonts w:hint="eastAsia"/>
          <w:color w:val="auto"/>
          <w:highlight w:val="none"/>
          <w:u w:val="none"/>
          <w:lang w:val="en-US"/>
        </w:rPr>
        <w:t>废水、光化中和废水、设备清洗废水</w:t>
      </w:r>
      <w:r>
        <w:rPr>
          <w:rFonts w:hint="eastAsia"/>
          <w:color w:val="auto"/>
          <w:highlight w:val="none"/>
          <w:u w:val="none"/>
        </w:rPr>
        <w:t>进入综合废水处理系统处理达标后由福州江阴港城经济区污水处理厂已建排海管道排海。主要污水处理工艺为：高浓度废水（本项目主要为TDA废水）经芬顿单元处理后，与其他难生化废水（本项目主要为</w:t>
      </w:r>
      <w:r>
        <w:rPr>
          <w:rFonts w:hint="eastAsia"/>
          <w:color w:val="auto"/>
          <w:highlight w:val="none"/>
          <w:u w:val="none"/>
          <w:lang w:val="en-US"/>
        </w:rPr>
        <w:t>硝硫浓缩酸性废水、废酸浓缩酸性废水、汽提酸性废水、光化中和废水、设备清洗废水</w:t>
      </w:r>
      <w:r>
        <w:rPr>
          <w:rFonts w:hint="eastAsia"/>
          <w:color w:val="auto"/>
          <w:highlight w:val="none"/>
          <w:u w:val="none"/>
        </w:rPr>
        <w:t>）进入难生化废水处理单元，采用“固定化高效微生物法厌氧</w:t>
      </w:r>
      <w:r>
        <w:rPr>
          <w:color w:val="auto"/>
          <w:highlight w:val="none"/>
          <w:u w:val="none"/>
        </w:rPr>
        <w:t>+好氧”工艺处理，再进入废水深处理单元，采用“高密度沉淀池+反硝化滤池+硝化滤池+反硝化滤池+前臭氧氧化+低负荷生物滤池+末端臭氧氧化”工艺处理</w:t>
      </w:r>
      <w:r>
        <w:rPr>
          <w:rFonts w:hint="eastAsia"/>
          <w:color w:val="auto"/>
          <w:highlight w:val="none"/>
          <w:u w:val="none"/>
        </w:rPr>
        <w:t>。</w:t>
      </w:r>
    </w:p>
    <w:p w14:paraId="0B0098B3">
      <w:pPr>
        <w:pStyle w:val="981"/>
        <w:rPr>
          <w:rFonts w:hint="eastAsia"/>
          <w:color w:val="auto"/>
          <w:highlight w:val="none"/>
          <w:u w:val="none"/>
        </w:rPr>
      </w:pPr>
      <w:r>
        <w:rPr>
          <w:rFonts w:hint="eastAsia"/>
          <w:color w:val="auto"/>
          <w:highlight w:val="none"/>
          <w:u w:val="none"/>
        </w:rPr>
        <w:t>根据1</w:t>
      </w:r>
      <w:r>
        <w:rPr>
          <w:color w:val="auto"/>
          <w:highlight w:val="none"/>
          <w:u w:val="none"/>
        </w:rPr>
        <w:t>0.2.2</w:t>
      </w:r>
      <w:r>
        <w:rPr>
          <w:rFonts w:hint="eastAsia"/>
          <w:color w:val="auto"/>
          <w:highlight w:val="none"/>
          <w:u w:val="none"/>
        </w:rPr>
        <w:t>章节分析，接纳本项目废水后，万华环保科技公司综合废水处理系统的污水处理负荷未超其设计的处理规模，且根据综合废水处理系统接纳各废水后统计的水质水量，本项目废水进入综合废水处理系统后各污染物指标均小于其设计进水指标（</w:t>
      </w:r>
      <w:r>
        <w:rPr>
          <w:rFonts w:hint="eastAsia"/>
          <w:color w:val="auto"/>
          <w:highlight w:val="none"/>
          <w:u w:val="none"/>
          <w:lang w:val="en-US" w:eastAsia="zh-CN"/>
        </w:rPr>
        <w:t>见</w:t>
      </w:r>
      <w:r>
        <w:rPr>
          <w:rFonts w:hint="eastAsia"/>
          <w:color w:val="auto"/>
          <w:highlight w:val="none"/>
          <w:u w:val="none"/>
        </w:rPr>
        <w:fldChar w:fldCharType="begin"/>
      </w:r>
      <w:r>
        <w:rPr>
          <w:rFonts w:hint="eastAsia"/>
          <w:color w:val="auto"/>
          <w:highlight w:val="none"/>
          <w:u w:val="none"/>
        </w:rPr>
        <w:instrText xml:space="preserve"> REF _Ref186563358 \h </w:instrText>
      </w:r>
      <w:r>
        <w:rPr>
          <w:rFonts w:hint="eastAsia"/>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10.2</w:t>
      </w:r>
      <w:r>
        <w:rPr>
          <w:color w:val="auto"/>
          <w:highlight w:val="none"/>
          <w:u w:val="none"/>
        </w:rPr>
        <w:fldChar w:fldCharType="end"/>
      </w:r>
      <w:r>
        <w:rPr>
          <w:color w:val="auto"/>
          <w:highlight w:val="none"/>
          <w:u w:val="none"/>
        </w:rPr>
        <w:noBreakHyphen/>
      </w:r>
      <w:r>
        <w:rPr>
          <w:rFonts w:hint="eastAsia"/>
          <w:color w:val="auto"/>
          <w:highlight w:val="none"/>
          <w:u w:val="none"/>
        </w:rPr>
        <w:t>18</w:t>
      </w:r>
      <w:r>
        <w:rPr>
          <w:rFonts w:hint="eastAsia"/>
          <w:color w:val="auto"/>
          <w:highlight w:val="none"/>
          <w:u w:val="none"/>
        </w:rPr>
        <w:fldChar w:fldCharType="end"/>
      </w:r>
      <w:r>
        <w:rPr>
          <w:rFonts w:hint="eastAsia"/>
          <w:color w:val="auto"/>
          <w:highlight w:val="none"/>
          <w:u w:val="none"/>
        </w:rPr>
        <w:t>），万华环保科技公司综合废水处理系统可接纳本项目废水，且处理污染物指标涵盖了本项目依托废水中的各污染物，</w:t>
      </w:r>
      <w:r>
        <w:rPr>
          <w:rFonts w:hAnsi="Times New Roman"/>
          <w:color w:val="auto"/>
          <w:highlight w:val="none"/>
          <w:u w:val="none"/>
        </w:rPr>
        <w:t>处理后的出水水质</w:t>
      </w:r>
      <w:r>
        <w:rPr>
          <w:rFonts w:hint="eastAsia" w:hAnsi="Times New Roman"/>
          <w:color w:val="auto"/>
          <w:highlight w:val="none"/>
          <w:u w:val="none"/>
        </w:rPr>
        <w:t>可实现达标排放</w:t>
      </w:r>
      <w:r>
        <w:rPr>
          <w:rFonts w:hAnsi="Times New Roman"/>
          <w:color w:val="auto"/>
          <w:highlight w:val="none"/>
          <w:u w:val="none"/>
        </w:rPr>
        <w:t>。</w:t>
      </w:r>
      <w:r>
        <w:rPr>
          <w:rFonts w:hint="eastAsia"/>
          <w:color w:val="auto"/>
          <w:highlight w:val="none"/>
          <w:u w:val="none"/>
        </w:rPr>
        <w:t>因此，本项目</w:t>
      </w:r>
      <w:r>
        <w:rPr>
          <w:color w:val="auto"/>
          <w:highlight w:val="none"/>
          <w:u w:val="none"/>
        </w:rPr>
        <w:t>废水依托</w:t>
      </w:r>
      <w:r>
        <w:rPr>
          <w:rFonts w:hint="eastAsia"/>
          <w:color w:val="auto"/>
          <w:highlight w:val="none"/>
          <w:u w:val="none"/>
        </w:rPr>
        <w:t>万华环保科技公司综合废水处理系统处理是</w:t>
      </w:r>
      <w:r>
        <w:rPr>
          <w:color w:val="auto"/>
          <w:highlight w:val="none"/>
          <w:u w:val="none"/>
        </w:rPr>
        <w:t>可行性</w:t>
      </w:r>
      <w:r>
        <w:rPr>
          <w:rFonts w:hint="eastAsia"/>
          <w:color w:val="auto"/>
          <w:highlight w:val="none"/>
          <w:u w:val="none"/>
        </w:rPr>
        <w:t>的。</w:t>
      </w:r>
    </w:p>
    <w:p w14:paraId="51E66A80">
      <w:pPr>
        <w:pStyle w:val="6"/>
        <w:spacing w:before="156" w:after="156"/>
        <w:rPr>
          <w:color w:val="auto"/>
          <w:highlight w:val="none"/>
          <w:u w:val="none"/>
        </w:rPr>
      </w:pPr>
      <w:r>
        <w:rPr>
          <w:rFonts w:hint="eastAsia"/>
          <w:color w:val="auto"/>
          <w:highlight w:val="none"/>
          <w:u w:val="none"/>
        </w:rPr>
        <w:t>结论及建议</w:t>
      </w:r>
    </w:p>
    <w:p w14:paraId="6A1B079E">
      <w:pPr>
        <w:pStyle w:val="981"/>
        <w:rPr>
          <w:rFonts w:hint="eastAsia" w:eastAsia="宋体"/>
          <w:color w:val="auto"/>
          <w:highlight w:val="none"/>
          <w:u w:val="none"/>
          <w:lang w:eastAsia="zh-CN"/>
        </w:rPr>
      </w:pPr>
      <w:r>
        <w:rPr>
          <w:rFonts w:hint="eastAsia"/>
          <w:color w:val="auto"/>
          <w:highlight w:val="none"/>
          <w:u w:val="none"/>
        </w:rPr>
        <w:t>根据上述分析，本项目的地面冲洗水、初期雨水、生活污水依托万华环保科技公司低浓度废水处理系统</w:t>
      </w:r>
      <w:r>
        <w:rPr>
          <w:color w:val="auto"/>
          <w:highlight w:val="none"/>
          <w:u w:val="none"/>
        </w:rPr>
        <w:t>处理后</w:t>
      </w:r>
      <w:r>
        <w:rPr>
          <w:rFonts w:hint="eastAsia"/>
          <w:color w:val="auto"/>
          <w:highlight w:val="none"/>
          <w:u w:val="none"/>
        </w:rPr>
        <w:t>，</w:t>
      </w:r>
      <w:r>
        <w:rPr>
          <w:rFonts w:hint="eastAsia"/>
          <w:color w:val="auto"/>
          <w:highlight w:val="none"/>
          <w:u w:val="none"/>
          <w:lang w:val="en-US" w:eastAsia="zh-CN"/>
        </w:rPr>
        <w:t>尾水</w:t>
      </w:r>
      <w:r>
        <w:rPr>
          <w:rFonts w:hint="eastAsia"/>
          <w:color w:val="auto"/>
          <w:highlight w:val="none"/>
          <w:u w:val="none"/>
        </w:rPr>
        <w:t>进入编组站废水处理系统进一步处理后回用于万华福建产业园内各循环冷却水系统补充水，编组站废水处理系统中水回用装置的浓水处理达标后通过福州江阴港城经济区污水处理厂已建的尾水排海管道排海；</w:t>
      </w:r>
      <w:r>
        <w:rPr>
          <w:rFonts w:hint="eastAsia"/>
          <w:color w:val="auto"/>
          <w:highlight w:val="none"/>
          <w:u w:val="none"/>
          <w:lang w:val="en-US"/>
        </w:rPr>
        <w:t>硝硫浓缩酸性废水、废酸浓缩酸性废水、汽提酸性废水、T</w:t>
      </w:r>
      <w:r>
        <w:rPr>
          <w:color w:val="auto"/>
          <w:highlight w:val="none"/>
          <w:u w:val="none"/>
          <w:lang w:val="en-US"/>
        </w:rPr>
        <w:t>DA</w:t>
      </w:r>
      <w:r>
        <w:rPr>
          <w:rFonts w:hint="eastAsia"/>
          <w:color w:val="auto"/>
          <w:highlight w:val="none"/>
          <w:u w:val="none"/>
          <w:lang w:val="en-US"/>
        </w:rPr>
        <w:t>废水、光化中和废水、设备清洗废依托万华环保科技公司综合废水处理系统处理达标后</w:t>
      </w:r>
      <w:r>
        <w:rPr>
          <w:rFonts w:hint="eastAsia"/>
          <w:color w:val="auto"/>
          <w:highlight w:val="none"/>
          <w:u w:val="none"/>
        </w:rPr>
        <w:t>由福州江阴港城经济区污水处理厂已建排海管道排海。</w:t>
      </w:r>
      <w:r>
        <w:rPr>
          <w:rFonts w:hint="eastAsia" w:hAnsi="Times New Roman"/>
          <w:color w:val="auto"/>
          <w:highlight w:val="none"/>
          <w:u w:val="none"/>
        </w:rPr>
        <w:t>从依托处理设施的处理能力、处理工艺、设计进出水水质要求、废水稳定达标情况等方面分析，</w:t>
      </w:r>
      <w:r>
        <w:rPr>
          <w:rFonts w:hint="eastAsia"/>
          <w:color w:val="auto"/>
          <w:highlight w:val="none"/>
          <w:u w:val="none"/>
        </w:rPr>
        <w:t>本项目废水依托处理可行</w:t>
      </w:r>
      <w:r>
        <w:rPr>
          <w:rFonts w:hint="eastAsia"/>
          <w:color w:val="auto"/>
          <w:highlight w:val="none"/>
          <w:u w:val="none"/>
          <w:lang w:eastAsia="zh-CN"/>
        </w:rPr>
        <w:t>。</w:t>
      </w:r>
    </w:p>
    <w:p w14:paraId="5F3BABB0">
      <w:pPr>
        <w:pStyle w:val="981"/>
        <w:rPr>
          <w:rFonts w:hint="eastAsia"/>
          <w:color w:val="auto"/>
          <w:highlight w:val="none"/>
          <w:u w:val="none"/>
        </w:rPr>
      </w:pPr>
    </w:p>
    <w:p w14:paraId="5F7EF2E3">
      <w:pPr>
        <w:widowControl/>
        <w:spacing w:line="240" w:lineRule="auto"/>
        <w:ind w:firstLine="0" w:firstLineChars="0"/>
        <w:jc w:val="center"/>
        <w:rPr>
          <w:rFonts w:hint="eastAsia"/>
          <w:color w:val="auto"/>
          <w:highlight w:val="none"/>
          <w:u w:val="none"/>
          <w:lang w:val="en-US"/>
        </w:rPr>
      </w:pPr>
    </w:p>
    <w:p w14:paraId="31DD0121">
      <w:pPr>
        <w:rPr>
          <w:rFonts w:hint="eastAsia"/>
          <w:color w:val="auto"/>
          <w:highlight w:val="none"/>
          <w:u w:val="none"/>
        </w:rPr>
      </w:pPr>
    </w:p>
    <w:p w14:paraId="068127A2">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23DA20C2">
      <w:pPr>
        <w:adjustRightInd w:val="0"/>
        <w:snapToGrid w:val="0"/>
        <w:spacing w:before="97" w:line="240" w:lineRule="auto"/>
        <w:ind w:firstLine="0" w:firstLineChars="0"/>
        <w:jc w:val="center"/>
        <w:rPr>
          <w:rFonts w:hAnsi="Times New Roman"/>
          <w:b/>
          <w:color w:val="auto"/>
          <w:kern w:val="2"/>
          <w:highlight w:val="none"/>
          <w:u w:val="none"/>
          <w:lang w:val="en-US"/>
        </w:rPr>
      </w:pPr>
      <w:r>
        <w:rPr>
          <w:rFonts w:hint="eastAsia"/>
          <w:b/>
          <w:bCs/>
          <w:color w:val="auto"/>
          <w:highlight w:val="none"/>
          <w:u w:val="none"/>
        </w:rPr>
        <w:t xml:space="preserve">表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8.2</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fldChar w:fldCharType="begin"/>
      </w:r>
      <w:r>
        <w:rPr>
          <w:rFonts w:hint="eastAsia"/>
          <w:b/>
          <w:bCs/>
          <w:color w:val="auto"/>
          <w:highlight w:val="none"/>
          <w:u w:val="none"/>
        </w:rPr>
        <w:instrText xml:space="preserve"> SEQ 表 \* ARABIC \s 2 </w:instrText>
      </w:r>
      <w:r>
        <w:rPr>
          <w:rFonts w:hint="eastAsia"/>
          <w:b/>
          <w:bCs/>
          <w:color w:val="auto"/>
          <w:highlight w:val="none"/>
          <w:u w:val="none"/>
        </w:rPr>
        <w:fldChar w:fldCharType="separate"/>
      </w:r>
      <w:r>
        <w:rPr>
          <w:rFonts w:hint="eastAsia"/>
          <w:b/>
          <w:bCs/>
          <w:color w:val="auto"/>
          <w:highlight w:val="none"/>
          <w:u w:val="none"/>
        </w:rPr>
        <w:t>4</w:t>
      </w:r>
      <w:r>
        <w:rPr>
          <w:rFonts w:hint="eastAsia"/>
          <w:b/>
          <w:bCs/>
          <w:color w:val="auto"/>
          <w:highlight w:val="none"/>
          <w:u w:val="none"/>
        </w:rPr>
        <w:fldChar w:fldCharType="end"/>
      </w:r>
      <w:r>
        <w:rPr>
          <w:rFonts w:hint="eastAsia" w:hAnsi="Times New Roman"/>
          <w:b/>
          <w:bCs/>
          <w:snapToGrid w:val="0"/>
          <w:color w:val="auto"/>
          <w:highlight w:val="none"/>
          <w:u w:val="none"/>
          <w:lang w:val="en-US"/>
        </w:rPr>
        <w:t xml:space="preserve"> </w:t>
      </w:r>
      <w:r>
        <w:rPr>
          <w:rFonts w:hint="eastAsia" w:hAnsi="Times New Roman"/>
          <w:b/>
          <w:color w:val="auto"/>
          <w:kern w:val="2"/>
          <w:highlight w:val="none"/>
          <w:u w:val="none"/>
          <w:lang w:val="en-US"/>
        </w:rPr>
        <w:t xml:space="preserve"> </w:t>
      </w:r>
      <w:r>
        <w:rPr>
          <w:rFonts w:hAnsi="Times New Roman"/>
          <w:b/>
          <w:color w:val="auto"/>
          <w:kern w:val="2"/>
          <w:highlight w:val="none"/>
          <w:u w:val="none"/>
          <w:lang w:val="en-US"/>
        </w:rPr>
        <w:t>建设项目地表水环境影响评价自查表</w:t>
      </w:r>
    </w:p>
    <w:tbl>
      <w:tblPr>
        <w:tblStyle w:val="58"/>
        <w:tblW w:w="141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7"/>
        <w:gridCol w:w="315"/>
        <w:gridCol w:w="1988"/>
        <w:gridCol w:w="2769"/>
        <w:gridCol w:w="537"/>
        <w:gridCol w:w="886"/>
        <w:gridCol w:w="701"/>
        <w:gridCol w:w="1082"/>
        <w:gridCol w:w="147"/>
        <w:gridCol w:w="906"/>
        <w:gridCol w:w="721"/>
        <w:gridCol w:w="1403"/>
        <w:gridCol w:w="65"/>
        <w:gridCol w:w="605"/>
        <w:gridCol w:w="1516"/>
      </w:tblGrid>
      <w:tr w14:paraId="61A679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860" w:type="dxa"/>
            <w:gridSpan w:val="3"/>
            <w:vAlign w:val="center"/>
          </w:tcPr>
          <w:p w14:paraId="02278115">
            <w:pPr>
              <w:widowControl/>
              <w:spacing w:line="260" w:lineRule="exact"/>
              <w:ind w:firstLine="0" w:firstLineChars="0"/>
              <w:jc w:val="center"/>
              <w:rPr>
                <w:rFonts w:hAnsi="Times New Roman"/>
                <w:b/>
                <w:bCs/>
                <w:color w:val="auto"/>
                <w:kern w:val="2"/>
                <w:sz w:val="21"/>
                <w:szCs w:val="21"/>
                <w:highlight w:val="none"/>
                <w:u w:val="none"/>
                <w:lang w:val="en-US"/>
              </w:rPr>
            </w:pPr>
            <w:r>
              <w:rPr>
                <w:rFonts w:hAnsi="Times New Roman"/>
                <w:b/>
                <w:bCs/>
                <w:color w:val="auto"/>
                <w:kern w:val="2"/>
                <w:sz w:val="21"/>
                <w:szCs w:val="21"/>
                <w:highlight w:val="none"/>
                <w:u w:val="none"/>
                <w:lang w:val="en-US"/>
              </w:rPr>
              <w:t>工作内容</w:t>
            </w:r>
          </w:p>
        </w:tc>
        <w:tc>
          <w:tcPr>
            <w:tcW w:w="11338" w:type="dxa"/>
            <w:gridSpan w:val="12"/>
            <w:vAlign w:val="center"/>
          </w:tcPr>
          <w:p w14:paraId="408FA47F">
            <w:pPr>
              <w:widowControl/>
              <w:spacing w:line="260" w:lineRule="exact"/>
              <w:ind w:firstLine="0" w:firstLineChars="0"/>
              <w:jc w:val="center"/>
              <w:rPr>
                <w:rFonts w:hAnsi="Times New Roman"/>
                <w:b/>
                <w:bCs/>
                <w:color w:val="auto"/>
                <w:kern w:val="2"/>
                <w:sz w:val="21"/>
                <w:szCs w:val="21"/>
                <w:highlight w:val="none"/>
                <w:u w:val="none"/>
                <w:lang w:val="en-US"/>
              </w:rPr>
            </w:pPr>
            <w:r>
              <w:rPr>
                <w:rFonts w:hAnsi="Times New Roman"/>
                <w:b/>
                <w:bCs/>
                <w:color w:val="auto"/>
                <w:kern w:val="2"/>
                <w:sz w:val="21"/>
                <w:szCs w:val="21"/>
                <w:highlight w:val="none"/>
                <w:u w:val="none"/>
                <w:lang w:val="en-US"/>
              </w:rPr>
              <w:t>自查项目</w:t>
            </w:r>
          </w:p>
        </w:tc>
      </w:tr>
      <w:tr w14:paraId="4C2223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7" w:type="dxa"/>
            <w:vMerge w:val="restart"/>
            <w:vAlign w:val="center"/>
          </w:tcPr>
          <w:p w14:paraId="4A9E59C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影响识别</w:t>
            </w:r>
          </w:p>
        </w:tc>
        <w:tc>
          <w:tcPr>
            <w:tcW w:w="2303" w:type="dxa"/>
            <w:gridSpan w:val="2"/>
            <w:vAlign w:val="center"/>
          </w:tcPr>
          <w:p w14:paraId="37E6BAC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影响类型</w:t>
            </w:r>
          </w:p>
        </w:tc>
        <w:tc>
          <w:tcPr>
            <w:tcW w:w="11338" w:type="dxa"/>
            <w:gridSpan w:val="12"/>
            <w:vAlign w:val="center"/>
          </w:tcPr>
          <w:p w14:paraId="2998207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水污染影响型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；水文要素影响型 □</w:t>
            </w:r>
          </w:p>
        </w:tc>
      </w:tr>
      <w:tr w14:paraId="69BD7C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7" w:type="dxa"/>
            <w:vMerge w:val="continue"/>
            <w:vAlign w:val="center"/>
          </w:tcPr>
          <w:p w14:paraId="54AEA2DE">
            <w:pPr>
              <w:widowControl/>
              <w:spacing w:line="260" w:lineRule="exact"/>
              <w:ind w:firstLine="0" w:firstLineChars="0"/>
              <w:jc w:val="center"/>
              <w:rPr>
                <w:rFonts w:hAnsi="Times New Roman"/>
                <w:color w:val="auto"/>
                <w:kern w:val="2"/>
                <w:sz w:val="21"/>
                <w:szCs w:val="21"/>
                <w:highlight w:val="none"/>
                <w:u w:val="none"/>
                <w:lang w:val="en-US"/>
              </w:rPr>
            </w:pPr>
          </w:p>
        </w:tc>
        <w:tc>
          <w:tcPr>
            <w:tcW w:w="2303" w:type="dxa"/>
            <w:gridSpan w:val="2"/>
            <w:vAlign w:val="center"/>
          </w:tcPr>
          <w:p w14:paraId="4AAAF1F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水环境保护目标</w:t>
            </w:r>
          </w:p>
        </w:tc>
        <w:tc>
          <w:tcPr>
            <w:tcW w:w="11338" w:type="dxa"/>
            <w:gridSpan w:val="12"/>
            <w:vAlign w:val="center"/>
          </w:tcPr>
          <w:p w14:paraId="1B119056">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饮用水水源保护区 □；饮用水取水口 □；涉水的自然保护  区 □；重要湿地 □；</w:t>
            </w:r>
          </w:p>
          <w:p w14:paraId="0BDAF389">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重点保护与珍稀水生生物的栖息地 □；重要水生生物的自然产卵场及索饵场、越冬场和洄游通道、天然渔场等渔业水体 □；涉水的风景名胜区 □；其他 </w:t>
            </w:r>
            <w:r>
              <w:rPr>
                <w:rFonts w:hAnsi="Times New Roman"/>
                <w:color w:val="auto"/>
                <w:kern w:val="2"/>
                <w:sz w:val="21"/>
                <w:szCs w:val="21"/>
                <w:highlight w:val="none"/>
                <w:u w:val="none"/>
                <w:lang w:val="en-US"/>
              </w:rPr>
              <w:sym w:font="Wingdings 2" w:char="0052"/>
            </w:r>
          </w:p>
        </w:tc>
      </w:tr>
      <w:tr w14:paraId="641D6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7" w:type="dxa"/>
            <w:vMerge w:val="continue"/>
            <w:vAlign w:val="center"/>
          </w:tcPr>
          <w:p w14:paraId="255A46A6">
            <w:pPr>
              <w:widowControl/>
              <w:spacing w:line="260" w:lineRule="exact"/>
              <w:ind w:firstLine="0" w:firstLineChars="0"/>
              <w:jc w:val="center"/>
              <w:rPr>
                <w:rFonts w:hAnsi="Times New Roman"/>
                <w:color w:val="auto"/>
                <w:kern w:val="2"/>
                <w:sz w:val="21"/>
                <w:szCs w:val="21"/>
                <w:highlight w:val="none"/>
                <w:u w:val="none"/>
                <w:lang w:val="en-US"/>
              </w:rPr>
            </w:pPr>
          </w:p>
        </w:tc>
        <w:tc>
          <w:tcPr>
            <w:tcW w:w="2303" w:type="dxa"/>
            <w:gridSpan w:val="2"/>
            <w:vMerge w:val="restart"/>
            <w:vAlign w:val="center"/>
          </w:tcPr>
          <w:p w14:paraId="13550FDF">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影响途径</w:t>
            </w:r>
          </w:p>
        </w:tc>
        <w:tc>
          <w:tcPr>
            <w:tcW w:w="5975" w:type="dxa"/>
            <w:gridSpan w:val="5"/>
            <w:vAlign w:val="center"/>
          </w:tcPr>
          <w:p w14:paraId="414E8F04">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水污染影响型</w:t>
            </w:r>
          </w:p>
        </w:tc>
        <w:tc>
          <w:tcPr>
            <w:tcW w:w="5363" w:type="dxa"/>
            <w:gridSpan w:val="7"/>
            <w:vAlign w:val="center"/>
          </w:tcPr>
          <w:p w14:paraId="7DD15E5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水文要素影响型</w:t>
            </w:r>
          </w:p>
        </w:tc>
      </w:tr>
      <w:tr w14:paraId="0AC26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7" w:type="dxa"/>
            <w:vMerge w:val="continue"/>
            <w:vAlign w:val="center"/>
          </w:tcPr>
          <w:p w14:paraId="57906459">
            <w:pPr>
              <w:widowControl/>
              <w:spacing w:line="260" w:lineRule="exact"/>
              <w:ind w:firstLine="0" w:firstLineChars="0"/>
              <w:jc w:val="center"/>
              <w:rPr>
                <w:rFonts w:hAnsi="Times New Roman"/>
                <w:color w:val="auto"/>
                <w:kern w:val="2"/>
                <w:sz w:val="21"/>
                <w:szCs w:val="21"/>
                <w:highlight w:val="none"/>
                <w:u w:val="none"/>
                <w:lang w:val="en-US"/>
              </w:rPr>
            </w:pPr>
          </w:p>
        </w:tc>
        <w:tc>
          <w:tcPr>
            <w:tcW w:w="2303" w:type="dxa"/>
            <w:gridSpan w:val="2"/>
            <w:vMerge w:val="continue"/>
            <w:vAlign w:val="center"/>
          </w:tcPr>
          <w:p w14:paraId="59669D92">
            <w:pPr>
              <w:widowControl/>
              <w:spacing w:line="260" w:lineRule="exact"/>
              <w:ind w:firstLine="0" w:firstLineChars="0"/>
              <w:jc w:val="center"/>
              <w:rPr>
                <w:rFonts w:hAnsi="Times New Roman"/>
                <w:color w:val="auto"/>
                <w:kern w:val="2"/>
                <w:sz w:val="21"/>
                <w:szCs w:val="21"/>
                <w:highlight w:val="none"/>
                <w:u w:val="none"/>
                <w:lang w:val="en-US"/>
              </w:rPr>
            </w:pPr>
          </w:p>
        </w:tc>
        <w:tc>
          <w:tcPr>
            <w:tcW w:w="5975" w:type="dxa"/>
            <w:gridSpan w:val="5"/>
            <w:vAlign w:val="center"/>
          </w:tcPr>
          <w:p w14:paraId="50B7D1D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直接排放</w:t>
            </w:r>
            <w:r>
              <w:rPr>
                <w:rFonts w:hAnsi="Times New Roman"/>
                <w:color w:val="auto"/>
                <w:kern w:val="2"/>
                <w:sz w:val="21"/>
                <w:szCs w:val="21"/>
                <w:highlight w:val="none"/>
                <w:u w:val="none"/>
                <w:lang w:val="en-US"/>
              </w:rPr>
              <w:sym w:font="Wingdings 2" w:char="00A3"/>
            </w:r>
            <w:r>
              <w:rPr>
                <w:rFonts w:hAnsi="Times New Roman"/>
                <w:color w:val="auto"/>
                <w:kern w:val="2"/>
                <w:sz w:val="21"/>
                <w:szCs w:val="21"/>
                <w:highlight w:val="none"/>
                <w:u w:val="none"/>
                <w:lang w:val="en-US"/>
              </w:rPr>
              <w:t>；间接排放</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 xml:space="preserve">；其他□ </w:t>
            </w:r>
          </w:p>
        </w:tc>
        <w:tc>
          <w:tcPr>
            <w:tcW w:w="5363" w:type="dxa"/>
            <w:gridSpan w:val="7"/>
            <w:vAlign w:val="center"/>
          </w:tcPr>
          <w:p w14:paraId="36F9085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水温 □；径流 □；水域面积 □</w:t>
            </w:r>
          </w:p>
        </w:tc>
      </w:tr>
      <w:tr w14:paraId="4A9AC3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7" w:type="dxa"/>
            <w:vMerge w:val="continue"/>
            <w:vAlign w:val="center"/>
          </w:tcPr>
          <w:p w14:paraId="5EB11CB5">
            <w:pPr>
              <w:widowControl/>
              <w:spacing w:line="260" w:lineRule="exact"/>
              <w:ind w:firstLine="0" w:firstLineChars="0"/>
              <w:jc w:val="center"/>
              <w:rPr>
                <w:rFonts w:hAnsi="Times New Roman"/>
                <w:color w:val="auto"/>
                <w:kern w:val="2"/>
                <w:sz w:val="21"/>
                <w:szCs w:val="21"/>
                <w:highlight w:val="none"/>
                <w:u w:val="none"/>
                <w:lang w:val="en-US"/>
              </w:rPr>
            </w:pPr>
          </w:p>
        </w:tc>
        <w:tc>
          <w:tcPr>
            <w:tcW w:w="2303" w:type="dxa"/>
            <w:gridSpan w:val="2"/>
            <w:vAlign w:val="center"/>
          </w:tcPr>
          <w:p w14:paraId="4BA73B0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影响因子</w:t>
            </w:r>
          </w:p>
        </w:tc>
        <w:tc>
          <w:tcPr>
            <w:tcW w:w="5975" w:type="dxa"/>
            <w:gridSpan w:val="5"/>
            <w:vAlign w:val="center"/>
          </w:tcPr>
          <w:p w14:paraId="699024E7">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持久性污染物□；有毒有害污染物 □；非持久性污染物 □；</w:t>
            </w:r>
          </w:p>
          <w:p w14:paraId="59E495F2">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pH 值 □；热污染 □；富营养化 □；其他 </w:t>
            </w:r>
            <w:r>
              <w:rPr>
                <w:rFonts w:hAnsi="Times New Roman"/>
                <w:color w:val="auto"/>
                <w:kern w:val="2"/>
                <w:sz w:val="21"/>
                <w:szCs w:val="21"/>
                <w:highlight w:val="none"/>
                <w:u w:val="none"/>
                <w:lang w:val="en-US"/>
              </w:rPr>
              <w:sym w:font="Wingdings 2" w:char="0052"/>
            </w:r>
          </w:p>
        </w:tc>
        <w:tc>
          <w:tcPr>
            <w:tcW w:w="5363" w:type="dxa"/>
            <w:gridSpan w:val="7"/>
            <w:vAlign w:val="center"/>
          </w:tcPr>
          <w:p w14:paraId="3159519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水温 □；水位（水深） □；流速 □；流量 □；其他 □</w:t>
            </w:r>
          </w:p>
        </w:tc>
      </w:tr>
      <w:tr w14:paraId="3B826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60" w:type="dxa"/>
            <w:gridSpan w:val="3"/>
            <w:vMerge w:val="restart"/>
            <w:vAlign w:val="center"/>
          </w:tcPr>
          <w:p w14:paraId="2E4421F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评价等级</w:t>
            </w:r>
          </w:p>
        </w:tc>
        <w:tc>
          <w:tcPr>
            <w:tcW w:w="5975" w:type="dxa"/>
            <w:gridSpan w:val="5"/>
            <w:vAlign w:val="center"/>
          </w:tcPr>
          <w:p w14:paraId="06D7E04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水污染影响型</w:t>
            </w:r>
          </w:p>
        </w:tc>
        <w:tc>
          <w:tcPr>
            <w:tcW w:w="5363" w:type="dxa"/>
            <w:gridSpan w:val="7"/>
            <w:vAlign w:val="center"/>
          </w:tcPr>
          <w:p w14:paraId="22C35AE2">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水文要素影响型</w:t>
            </w:r>
          </w:p>
        </w:tc>
      </w:tr>
      <w:tr w14:paraId="28810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60" w:type="dxa"/>
            <w:gridSpan w:val="3"/>
            <w:vMerge w:val="continue"/>
            <w:vAlign w:val="center"/>
          </w:tcPr>
          <w:p w14:paraId="14245FDD">
            <w:pPr>
              <w:widowControl/>
              <w:spacing w:line="260" w:lineRule="exact"/>
              <w:ind w:firstLine="0" w:firstLineChars="0"/>
              <w:jc w:val="center"/>
              <w:rPr>
                <w:rFonts w:hAnsi="Times New Roman"/>
                <w:color w:val="auto"/>
                <w:kern w:val="2"/>
                <w:sz w:val="21"/>
                <w:szCs w:val="21"/>
                <w:highlight w:val="none"/>
                <w:u w:val="none"/>
                <w:lang w:val="en-US"/>
              </w:rPr>
            </w:pPr>
          </w:p>
        </w:tc>
        <w:tc>
          <w:tcPr>
            <w:tcW w:w="5975" w:type="dxa"/>
            <w:gridSpan w:val="5"/>
            <w:vAlign w:val="center"/>
          </w:tcPr>
          <w:p w14:paraId="527E6DF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一级 □；二级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；三级 A □；三级 B□</w:t>
            </w:r>
          </w:p>
        </w:tc>
        <w:tc>
          <w:tcPr>
            <w:tcW w:w="5363" w:type="dxa"/>
            <w:gridSpan w:val="7"/>
            <w:vAlign w:val="center"/>
          </w:tcPr>
          <w:p w14:paraId="574C630F">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一级 □；二级 □；三级 □</w:t>
            </w:r>
          </w:p>
        </w:tc>
      </w:tr>
      <w:tr w14:paraId="29CEA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restart"/>
            <w:vAlign w:val="center"/>
          </w:tcPr>
          <w:p w14:paraId="79BF7F8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现状调查</w:t>
            </w:r>
          </w:p>
        </w:tc>
        <w:tc>
          <w:tcPr>
            <w:tcW w:w="1988" w:type="dxa"/>
            <w:vMerge w:val="restart"/>
            <w:vAlign w:val="center"/>
          </w:tcPr>
          <w:p w14:paraId="428CA2E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区域污染源</w:t>
            </w:r>
          </w:p>
        </w:tc>
        <w:tc>
          <w:tcPr>
            <w:tcW w:w="5975" w:type="dxa"/>
            <w:gridSpan w:val="5"/>
            <w:vAlign w:val="center"/>
          </w:tcPr>
          <w:p w14:paraId="2851722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调查项目</w:t>
            </w:r>
          </w:p>
        </w:tc>
        <w:tc>
          <w:tcPr>
            <w:tcW w:w="5363" w:type="dxa"/>
            <w:gridSpan w:val="7"/>
            <w:vAlign w:val="center"/>
          </w:tcPr>
          <w:p w14:paraId="5795D30E">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数据来源</w:t>
            </w:r>
          </w:p>
        </w:tc>
      </w:tr>
      <w:tr w14:paraId="31B39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79078755">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30DFB700">
            <w:pPr>
              <w:widowControl/>
              <w:spacing w:line="260" w:lineRule="exact"/>
              <w:ind w:firstLine="0" w:firstLineChars="0"/>
              <w:jc w:val="center"/>
              <w:rPr>
                <w:rFonts w:hAnsi="Times New Roman"/>
                <w:color w:val="auto"/>
                <w:kern w:val="2"/>
                <w:sz w:val="21"/>
                <w:szCs w:val="21"/>
                <w:highlight w:val="none"/>
                <w:u w:val="none"/>
                <w:lang w:val="en-US"/>
              </w:rPr>
            </w:pPr>
          </w:p>
        </w:tc>
        <w:tc>
          <w:tcPr>
            <w:tcW w:w="3306" w:type="dxa"/>
            <w:gridSpan w:val="2"/>
            <w:vAlign w:val="center"/>
          </w:tcPr>
          <w:p w14:paraId="117C3CDD">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已建 □；在建 □；拟建 □；其他 □</w:t>
            </w:r>
          </w:p>
        </w:tc>
        <w:tc>
          <w:tcPr>
            <w:tcW w:w="2669" w:type="dxa"/>
            <w:gridSpan w:val="3"/>
            <w:vAlign w:val="center"/>
          </w:tcPr>
          <w:p w14:paraId="6637B72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拟替代的污染源 □</w:t>
            </w:r>
          </w:p>
        </w:tc>
        <w:tc>
          <w:tcPr>
            <w:tcW w:w="5363" w:type="dxa"/>
            <w:gridSpan w:val="7"/>
            <w:vAlign w:val="center"/>
          </w:tcPr>
          <w:p w14:paraId="027A87AD">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排污许可证 □；环评 □；环保验收 □；既有实测 □；现场监测 □；入河排放口数据 □；其他 □</w:t>
            </w:r>
          </w:p>
        </w:tc>
      </w:tr>
      <w:tr w14:paraId="5CF576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524ADD26">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1D12D8FE">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受影响水体水环境质量</w:t>
            </w:r>
          </w:p>
        </w:tc>
        <w:tc>
          <w:tcPr>
            <w:tcW w:w="5975" w:type="dxa"/>
            <w:gridSpan w:val="5"/>
            <w:vAlign w:val="center"/>
          </w:tcPr>
          <w:p w14:paraId="771B481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调查时期</w:t>
            </w:r>
          </w:p>
        </w:tc>
        <w:tc>
          <w:tcPr>
            <w:tcW w:w="5363" w:type="dxa"/>
            <w:gridSpan w:val="7"/>
            <w:vAlign w:val="center"/>
          </w:tcPr>
          <w:p w14:paraId="6CAA511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数据来源</w:t>
            </w:r>
          </w:p>
        </w:tc>
      </w:tr>
      <w:tr w14:paraId="56BDE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FD5F7C0">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5E8E7018">
            <w:pPr>
              <w:widowControl/>
              <w:spacing w:line="260" w:lineRule="exact"/>
              <w:ind w:firstLine="0" w:firstLineChars="0"/>
              <w:jc w:val="center"/>
              <w:rPr>
                <w:rFonts w:hAnsi="Times New Roman"/>
                <w:color w:val="auto"/>
                <w:kern w:val="2"/>
                <w:sz w:val="21"/>
                <w:szCs w:val="21"/>
                <w:highlight w:val="none"/>
                <w:u w:val="none"/>
                <w:lang w:val="en-US"/>
              </w:rPr>
            </w:pPr>
          </w:p>
        </w:tc>
        <w:tc>
          <w:tcPr>
            <w:tcW w:w="5975" w:type="dxa"/>
            <w:gridSpan w:val="5"/>
            <w:vAlign w:val="center"/>
          </w:tcPr>
          <w:p w14:paraId="196F1F6A">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丰水期□；平水期 □；枯水期 □；冰封期 □ 春季 □；夏季 □；秋季 </w:t>
            </w:r>
            <w:r>
              <w:rPr>
                <w:rFonts w:ascii="Segoe UI Symbol" w:hAnsi="Segoe UI Symbol" w:cs="Segoe UI Symbol"/>
                <w:color w:val="auto"/>
                <w:kern w:val="2"/>
                <w:sz w:val="21"/>
                <w:szCs w:val="21"/>
                <w:highlight w:val="none"/>
                <w:u w:val="none"/>
                <w:lang w:val="en-US"/>
              </w:rPr>
              <w:t>☑</w:t>
            </w:r>
            <w:r>
              <w:rPr>
                <w:rFonts w:hAnsi="Times New Roman"/>
                <w:color w:val="auto"/>
                <w:kern w:val="2"/>
                <w:sz w:val="21"/>
                <w:szCs w:val="21"/>
                <w:highlight w:val="none"/>
                <w:u w:val="none"/>
                <w:lang w:val="en-US"/>
              </w:rPr>
              <w:t>；冬季 □</w:t>
            </w:r>
          </w:p>
        </w:tc>
        <w:tc>
          <w:tcPr>
            <w:tcW w:w="5363" w:type="dxa"/>
            <w:gridSpan w:val="7"/>
            <w:vAlign w:val="center"/>
          </w:tcPr>
          <w:p w14:paraId="5714DF0D">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生态环境保护主管部门 □；补充监测 □；其他 </w:t>
            </w:r>
            <w:r>
              <w:rPr>
                <w:rFonts w:hAnsi="Times New Roman"/>
                <w:color w:val="auto"/>
                <w:kern w:val="2"/>
                <w:sz w:val="21"/>
                <w:szCs w:val="21"/>
                <w:highlight w:val="none"/>
                <w:u w:val="none"/>
                <w:lang w:val="en-US"/>
              </w:rPr>
              <w:sym w:font="Wingdings 2" w:char="0052"/>
            </w:r>
          </w:p>
        </w:tc>
      </w:tr>
      <w:tr w14:paraId="2AA51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DB077E0">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05F3B8F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区域水资源开发利用状况</w:t>
            </w:r>
          </w:p>
        </w:tc>
        <w:tc>
          <w:tcPr>
            <w:tcW w:w="11338" w:type="dxa"/>
            <w:gridSpan w:val="12"/>
            <w:vAlign w:val="center"/>
          </w:tcPr>
          <w:p w14:paraId="720AFD51">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未开发□；开发量 40%以下 □；开发量 40%以上 □</w:t>
            </w:r>
          </w:p>
        </w:tc>
      </w:tr>
      <w:tr w14:paraId="45A77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19A5C572">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079454B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水文情势调查</w:t>
            </w:r>
          </w:p>
        </w:tc>
        <w:tc>
          <w:tcPr>
            <w:tcW w:w="5975" w:type="dxa"/>
            <w:gridSpan w:val="5"/>
            <w:vAlign w:val="center"/>
          </w:tcPr>
          <w:p w14:paraId="6082FA6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调查时期</w:t>
            </w:r>
          </w:p>
        </w:tc>
        <w:tc>
          <w:tcPr>
            <w:tcW w:w="5363" w:type="dxa"/>
            <w:gridSpan w:val="7"/>
            <w:vAlign w:val="center"/>
          </w:tcPr>
          <w:p w14:paraId="1BCDEA7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数据来源</w:t>
            </w:r>
          </w:p>
        </w:tc>
      </w:tr>
      <w:tr w14:paraId="2969B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5C26161">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4D1E948A">
            <w:pPr>
              <w:widowControl/>
              <w:spacing w:line="260" w:lineRule="exact"/>
              <w:ind w:firstLine="0" w:firstLineChars="0"/>
              <w:jc w:val="center"/>
              <w:rPr>
                <w:rFonts w:hAnsi="Times New Roman"/>
                <w:color w:val="auto"/>
                <w:kern w:val="2"/>
                <w:sz w:val="21"/>
                <w:szCs w:val="21"/>
                <w:highlight w:val="none"/>
                <w:u w:val="none"/>
                <w:lang w:val="en-US"/>
              </w:rPr>
            </w:pPr>
          </w:p>
        </w:tc>
        <w:tc>
          <w:tcPr>
            <w:tcW w:w="5975" w:type="dxa"/>
            <w:gridSpan w:val="5"/>
            <w:vAlign w:val="center"/>
          </w:tcPr>
          <w:p w14:paraId="293544DB">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丰水期 □；平水期 </w:t>
            </w:r>
            <w:r>
              <w:rPr>
                <w:rFonts w:hint="eastAsia" w:hAnsi="Times New Roman"/>
                <w:color w:val="auto"/>
                <w:kern w:val="2"/>
                <w:sz w:val="21"/>
                <w:szCs w:val="21"/>
                <w:highlight w:val="none"/>
                <w:u w:val="none"/>
                <w:lang w:val="en-US"/>
              </w:rPr>
              <w:t>□</w:t>
            </w:r>
            <w:r>
              <w:rPr>
                <w:rFonts w:hAnsi="Times New Roman"/>
                <w:color w:val="auto"/>
                <w:kern w:val="2"/>
                <w:sz w:val="21"/>
                <w:szCs w:val="21"/>
                <w:highlight w:val="none"/>
                <w:u w:val="none"/>
                <w:lang w:val="en-US"/>
              </w:rPr>
              <w:t xml:space="preserve">；枯水期 □；冰封期 □ 春季 □；夏季 □；秋季 □；冬季 </w:t>
            </w:r>
            <w:r>
              <w:rPr>
                <w:rFonts w:hint="eastAsia" w:hAnsi="Times New Roman"/>
                <w:color w:val="auto"/>
                <w:kern w:val="2"/>
                <w:sz w:val="21"/>
                <w:szCs w:val="21"/>
                <w:highlight w:val="none"/>
                <w:u w:val="none"/>
                <w:lang w:val="en-US"/>
              </w:rPr>
              <w:t>□</w:t>
            </w:r>
          </w:p>
        </w:tc>
        <w:tc>
          <w:tcPr>
            <w:tcW w:w="5363" w:type="dxa"/>
            <w:gridSpan w:val="7"/>
            <w:vAlign w:val="center"/>
          </w:tcPr>
          <w:p w14:paraId="7B9F4D6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水行政主管部门 □；补充监测 □；其他 □</w:t>
            </w:r>
          </w:p>
        </w:tc>
      </w:tr>
      <w:tr w14:paraId="678DF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587B7C59">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145E57A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补充监测</w:t>
            </w:r>
          </w:p>
        </w:tc>
        <w:tc>
          <w:tcPr>
            <w:tcW w:w="5975" w:type="dxa"/>
            <w:gridSpan w:val="5"/>
            <w:vAlign w:val="center"/>
          </w:tcPr>
          <w:p w14:paraId="0256263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监测时期</w:t>
            </w:r>
          </w:p>
        </w:tc>
        <w:tc>
          <w:tcPr>
            <w:tcW w:w="3242" w:type="dxa"/>
            <w:gridSpan w:val="5"/>
            <w:vAlign w:val="center"/>
          </w:tcPr>
          <w:p w14:paraId="3E04154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监测因子</w:t>
            </w:r>
          </w:p>
        </w:tc>
        <w:tc>
          <w:tcPr>
            <w:tcW w:w="2121" w:type="dxa"/>
            <w:gridSpan w:val="2"/>
            <w:vAlign w:val="center"/>
          </w:tcPr>
          <w:p w14:paraId="3DB1C2E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监测断面或点位</w:t>
            </w:r>
          </w:p>
        </w:tc>
      </w:tr>
      <w:tr w14:paraId="2506C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CBE5CB3">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3DF71DAA">
            <w:pPr>
              <w:widowControl/>
              <w:spacing w:line="260" w:lineRule="exact"/>
              <w:ind w:firstLine="0" w:firstLineChars="0"/>
              <w:jc w:val="center"/>
              <w:rPr>
                <w:rFonts w:hAnsi="Times New Roman"/>
                <w:color w:val="auto"/>
                <w:kern w:val="2"/>
                <w:sz w:val="21"/>
                <w:szCs w:val="21"/>
                <w:highlight w:val="none"/>
                <w:u w:val="none"/>
                <w:lang w:val="en-US"/>
              </w:rPr>
            </w:pPr>
          </w:p>
        </w:tc>
        <w:tc>
          <w:tcPr>
            <w:tcW w:w="5975" w:type="dxa"/>
            <w:gridSpan w:val="5"/>
            <w:vAlign w:val="center"/>
          </w:tcPr>
          <w:p w14:paraId="4C39C60B">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丰水期 □；平水期 □；枯水期 □；冰封期 □ 春季 □；夏季 □；秋季 □；冬季 □</w:t>
            </w:r>
          </w:p>
        </w:tc>
        <w:tc>
          <w:tcPr>
            <w:tcW w:w="3242" w:type="dxa"/>
            <w:gridSpan w:val="5"/>
            <w:vAlign w:val="center"/>
          </w:tcPr>
          <w:p w14:paraId="5F6F722E">
            <w:pPr>
              <w:widowControl/>
              <w:spacing w:line="260" w:lineRule="exact"/>
              <w:ind w:firstLine="0" w:firstLineChars="0"/>
              <w:jc w:val="center"/>
              <w:rPr>
                <w:rFonts w:hAnsi="Times New Roman"/>
                <w:color w:val="auto"/>
                <w:kern w:val="2"/>
                <w:sz w:val="21"/>
                <w:szCs w:val="21"/>
                <w:highlight w:val="none"/>
                <w:u w:val="none"/>
                <w:lang w:val="en-US"/>
              </w:rPr>
            </w:pPr>
          </w:p>
        </w:tc>
        <w:tc>
          <w:tcPr>
            <w:tcW w:w="2121" w:type="dxa"/>
            <w:gridSpan w:val="2"/>
            <w:vAlign w:val="center"/>
          </w:tcPr>
          <w:p w14:paraId="517C34EA">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监测断面或点位个数（）个</w:t>
            </w:r>
          </w:p>
        </w:tc>
      </w:tr>
      <w:tr w14:paraId="01D42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restart"/>
            <w:vAlign w:val="center"/>
          </w:tcPr>
          <w:p w14:paraId="0FD5BC8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现状评价</w:t>
            </w:r>
          </w:p>
        </w:tc>
        <w:tc>
          <w:tcPr>
            <w:tcW w:w="1988" w:type="dxa"/>
            <w:vAlign w:val="center"/>
          </w:tcPr>
          <w:p w14:paraId="15AEDFD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评价范围</w:t>
            </w:r>
          </w:p>
        </w:tc>
        <w:tc>
          <w:tcPr>
            <w:tcW w:w="11338" w:type="dxa"/>
            <w:gridSpan w:val="12"/>
            <w:vAlign w:val="center"/>
          </w:tcPr>
          <w:p w14:paraId="70CCF4B1">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河流：长度（</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）km；湖库、河口及近岸海域：面积（</w:t>
            </w:r>
            <w:r>
              <w:rPr>
                <w:rFonts w:hint="eastAsia" w:hAnsi="Times New Roman"/>
                <w:color w:val="auto"/>
                <w:kern w:val="2"/>
                <w:sz w:val="21"/>
                <w:szCs w:val="21"/>
                <w:highlight w:val="none"/>
                <w:u w:val="none"/>
                <w:lang w:val="en-US"/>
              </w:rPr>
              <w:t>100</w:t>
            </w:r>
            <w:r>
              <w:rPr>
                <w:rFonts w:hAnsi="Times New Roman"/>
                <w:color w:val="auto"/>
                <w:kern w:val="2"/>
                <w:sz w:val="21"/>
                <w:szCs w:val="21"/>
                <w:highlight w:val="none"/>
                <w:u w:val="none"/>
                <w:lang w:val="en-US"/>
              </w:rPr>
              <w:t>）km</w:t>
            </w:r>
            <w:r>
              <w:rPr>
                <w:rFonts w:hAnsi="Times New Roman"/>
                <w:color w:val="auto"/>
                <w:kern w:val="2"/>
                <w:sz w:val="21"/>
                <w:szCs w:val="21"/>
                <w:highlight w:val="none"/>
                <w:u w:val="none"/>
                <w:vertAlign w:val="superscript"/>
                <w:lang w:val="en-US"/>
              </w:rPr>
              <w:t>2</w:t>
            </w:r>
          </w:p>
        </w:tc>
      </w:tr>
      <w:tr w14:paraId="600A6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3866793">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1640582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评价因子</w:t>
            </w:r>
          </w:p>
        </w:tc>
        <w:tc>
          <w:tcPr>
            <w:tcW w:w="11338" w:type="dxa"/>
            <w:gridSpan w:val="12"/>
            <w:vAlign w:val="center"/>
          </w:tcPr>
          <w:p w14:paraId="3D82DAA3">
            <w:pPr>
              <w:widowControl/>
              <w:spacing w:line="260" w:lineRule="exact"/>
              <w:ind w:firstLine="0" w:firstLineChars="0"/>
              <w:jc w:val="left"/>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pH值、汞、粪大肠菌群、铬、砷、镉、镍、铅、铜、锌、硫化物、挥发酚、溶解氧、化学需氧量、无机氮、活性磷酸盐、生化需氧量、硝基苯、苯胺</w:t>
            </w:r>
          </w:p>
        </w:tc>
      </w:tr>
      <w:tr w14:paraId="4A5C6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0AEFF57D">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32A9713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评价标准</w:t>
            </w:r>
          </w:p>
        </w:tc>
        <w:tc>
          <w:tcPr>
            <w:tcW w:w="11338" w:type="dxa"/>
            <w:gridSpan w:val="12"/>
            <w:vAlign w:val="center"/>
          </w:tcPr>
          <w:p w14:paraId="2969E6CF">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河流、湖库、河口：Ⅰ类 □；Ⅱ类 □；Ⅲ类 □；Ⅳ类 □；Ⅴ类□</w:t>
            </w:r>
          </w:p>
          <w:p w14:paraId="5EC86F22">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近岸海域：第一类 □；第二类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；第三类</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；第四类 □</w:t>
            </w:r>
          </w:p>
        </w:tc>
      </w:tr>
      <w:tr w14:paraId="5A77B2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55DC20AA">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78DDF27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评价时期</w:t>
            </w:r>
          </w:p>
        </w:tc>
        <w:tc>
          <w:tcPr>
            <w:tcW w:w="11338" w:type="dxa"/>
            <w:gridSpan w:val="12"/>
            <w:vAlign w:val="center"/>
          </w:tcPr>
          <w:p w14:paraId="75ABE831">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丰水期 □；平水期 □；枯水期 □；冰封期 □</w:t>
            </w:r>
          </w:p>
          <w:p w14:paraId="5EF790B7">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春季 □；夏季 □；秋季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；冬季 □</w:t>
            </w:r>
          </w:p>
        </w:tc>
      </w:tr>
      <w:tr w14:paraId="20C478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3D0768D6">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604DA42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评价结论</w:t>
            </w:r>
          </w:p>
        </w:tc>
        <w:tc>
          <w:tcPr>
            <w:tcW w:w="9822" w:type="dxa"/>
            <w:gridSpan w:val="11"/>
            <w:vAlign w:val="center"/>
          </w:tcPr>
          <w:p w14:paraId="1D9F0772">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水环境功能区或水功能区、近岸海域环境功能区水质达标状况 □：达标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；不达标 □</w:t>
            </w:r>
          </w:p>
          <w:p w14:paraId="78ED5862">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水环境控制单元或断面水质达标状况 □：达标 □；不达标 □</w:t>
            </w:r>
          </w:p>
          <w:p w14:paraId="44649BBE">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水环境保护目标质量状况 □：达标 □；不达标 □</w:t>
            </w:r>
          </w:p>
          <w:p w14:paraId="62B7907A">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对照断面、控制断面等代表性断面的水质状况 □：达标 □；不达标 □ 底泥污染评价 □</w:t>
            </w:r>
          </w:p>
          <w:p w14:paraId="372E8AF6">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水资源与开发利用程度及其水文情势评价 □ 水环境质量回顾评价 □</w:t>
            </w:r>
          </w:p>
          <w:p w14:paraId="0F95D5C3">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流域（区域）水资源（包括水能资源）与开发利用总体状况、生态流量管理要求与现状满足程度、建设项目占用水域空间的水流状况与河湖演变状况 □</w:t>
            </w:r>
          </w:p>
        </w:tc>
        <w:tc>
          <w:tcPr>
            <w:tcW w:w="1516" w:type="dxa"/>
            <w:vAlign w:val="center"/>
          </w:tcPr>
          <w:p w14:paraId="02365DE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达标区</w:t>
            </w:r>
            <w:r>
              <w:rPr>
                <w:rFonts w:hAnsi="Times New Roman"/>
                <w:color w:val="auto"/>
                <w:kern w:val="2"/>
                <w:sz w:val="21"/>
                <w:szCs w:val="21"/>
                <w:highlight w:val="none"/>
                <w:u w:val="none"/>
                <w:lang w:val="en-US"/>
              </w:rPr>
              <w:sym w:font="Wingdings 2" w:char="0052"/>
            </w:r>
          </w:p>
          <w:p w14:paraId="7ABC318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不达标区□</w:t>
            </w:r>
          </w:p>
        </w:tc>
      </w:tr>
      <w:tr w14:paraId="71C1C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restart"/>
            <w:vAlign w:val="center"/>
          </w:tcPr>
          <w:p w14:paraId="2C485A1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影响预测</w:t>
            </w:r>
          </w:p>
        </w:tc>
        <w:tc>
          <w:tcPr>
            <w:tcW w:w="1988" w:type="dxa"/>
            <w:vAlign w:val="center"/>
          </w:tcPr>
          <w:p w14:paraId="6EB4498A">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预测范围</w:t>
            </w:r>
          </w:p>
        </w:tc>
        <w:tc>
          <w:tcPr>
            <w:tcW w:w="11338" w:type="dxa"/>
            <w:gridSpan w:val="12"/>
            <w:vAlign w:val="center"/>
          </w:tcPr>
          <w:p w14:paraId="15762DA5">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河流：长度（）km；湖库、河口及近岸海域：面积（</w:t>
            </w:r>
            <w:r>
              <w:rPr>
                <w:rFonts w:hint="eastAsia" w:hAnsi="Times New Roman"/>
                <w:color w:val="auto"/>
                <w:kern w:val="2"/>
                <w:sz w:val="21"/>
                <w:szCs w:val="21"/>
                <w:highlight w:val="none"/>
                <w:u w:val="none"/>
                <w:lang w:val="en-US"/>
              </w:rPr>
              <w:t>2520</w:t>
            </w:r>
            <w:r>
              <w:rPr>
                <w:rFonts w:hAnsi="Times New Roman"/>
                <w:color w:val="auto"/>
                <w:kern w:val="2"/>
                <w:sz w:val="21"/>
                <w:szCs w:val="21"/>
                <w:highlight w:val="none"/>
                <w:u w:val="none"/>
                <w:lang w:val="en-US"/>
              </w:rPr>
              <w:t>）km</w:t>
            </w:r>
            <w:r>
              <w:rPr>
                <w:rFonts w:hAnsi="Times New Roman"/>
                <w:color w:val="auto"/>
                <w:kern w:val="2"/>
                <w:sz w:val="21"/>
                <w:szCs w:val="21"/>
                <w:highlight w:val="none"/>
                <w:u w:val="none"/>
                <w:vertAlign w:val="superscript"/>
                <w:lang w:val="en-US"/>
              </w:rPr>
              <w:t>2</w:t>
            </w:r>
          </w:p>
        </w:tc>
      </w:tr>
      <w:tr w14:paraId="28C27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31CEC994">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651806E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预测因子</w:t>
            </w:r>
          </w:p>
        </w:tc>
        <w:tc>
          <w:tcPr>
            <w:tcW w:w="11338" w:type="dxa"/>
            <w:gridSpan w:val="12"/>
            <w:vAlign w:val="center"/>
          </w:tcPr>
          <w:p w14:paraId="65CDF1CF">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w:t>
            </w:r>
            <w:r>
              <w:rPr>
                <w:rFonts w:hint="eastAsia" w:hAnsi="Times New Roman"/>
                <w:color w:val="auto"/>
                <w:kern w:val="2"/>
                <w:sz w:val="21"/>
                <w:szCs w:val="21"/>
                <w:highlight w:val="none"/>
                <w:u w:val="none"/>
                <w:lang w:val="en-US"/>
              </w:rPr>
              <w:t>苯胺、硝基苯、甲苯、邻二氯苯、苯、盐度</w:t>
            </w:r>
            <w:r>
              <w:rPr>
                <w:rFonts w:hAnsi="Times New Roman"/>
                <w:color w:val="auto"/>
                <w:kern w:val="2"/>
                <w:sz w:val="21"/>
                <w:szCs w:val="21"/>
                <w:highlight w:val="none"/>
                <w:u w:val="none"/>
                <w:lang w:val="en-US"/>
              </w:rPr>
              <w:t>）</w:t>
            </w:r>
          </w:p>
        </w:tc>
      </w:tr>
      <w:tr w14:paraId="1BC82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697C338">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47290632">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预测时期</w:t>
            </w:r>
          </w:p>
        </w:tc>
        <w:tc>
          <w:tcPr>
            <w:tcW w:w="11338" w:type="dxa"/>
            <w:gridSpan w:val="12"/>
            <w:vAlign w:val="center"/>
          </w:tcPr>
          <w:p w14:paraId="0BDF979D">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丰水期 □；平水期 □；枯水期 □；冰封期 □</w:t>
            </w:r>
          </w:p>
        </w:tc>
      </w:tr>
      <w:tr w14:paraId="4D412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68A5B4F6">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381C4145">
            <w:pPr>
              <w:widowControl/>
              <w:spacing w:line="260" w:lineRule="exact"/>
              <w:ind w:firstLine="0" w:firstLineChars="0"/>
              <w:jc w:val="center"/>
              <w:rPr>
                <w:rFonts w:hAnsi="Times New Roman"/>
                <w:color w:val="auto"/>
                <w:kern w:val="2"/>
                <w:sz w:val="21"/>
                <w:szCs w:val="21"/>
                <w:highlight w:val="none"/>
                <w:u w:val="none"/>
                <w:lang w:val="en-US"/>
              </w:rPr>
            </w:pPr>
          </w:p>
        </w:tc>
        <w:tc>
          <w:tcPr>
            <w:tcW w:w="11338" w:type="dxa"/>
            <w:gridSpan w:val="12"/>
            <w:vAlign w:val="center"/>
          </w:tcPr>
          <w:p w14:paraId="2F00D03B">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春季 □；夏季 □；秋季 □；冬季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 xml:space="preserve">  设计水文条件 □</w:t>
            </w:r>
          </w:p>
        </w:tc>
      </w:tr>
      <w:tr w14:paraId="27719A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581952A4">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5E84376A">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预测情景</w:t>
            </w:r>
          </w:p>
        </w:tc>
        <w:tc>
          <w:tcPr>
            <w:tcW w:w="11338" w:type="dxa"/>
            <w:gridSpan w:val="12"/>
            <w:vAlign w:val="center"/>
          </w:tcPr>
          <w:p w14:paraId="114ED58C">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建设期 □；生产运行期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 xml:space="preserve">；服务期满后 </w:t>
            </w:r>
            <w:r>
              <w:rPr>
                <w:rFonts w:hAnsi="Times New Roman"/>
                <w:color w:val="auto"/>
                <w:kern w:val="2"/>
                <w:sz w:val="21"/>
                <w:szCs w:val="21"/>
                <w:highlight w:val="none"/>
                <w:u w:val="none"/>
                <w:lang w:val="en-US"/>
              </w:rPr>
              <w:sym w:font="Wingdings 2" w:char="00A3"/>
            </w:r>
            <w:r>
              <w:rPr>
                <w:rFonts w:hAnsi="Times New Roman"/>
                <w:color w:val="auto"/>
                <w:kern w:val="2"/>
                <w:sz w:val="21"/>
                <w:szCs w:val="21"/>
                <w:highlight w:val="none"/>
                <w:u w:val="none"/>
                <w:lang w:val="en-US"/>
              </w:rPr>
              <w:t xml:space="preserve"> 正常工况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 xml:space="preserve">；非正常工况 </w:t>
            </w:r>
            <w:r>
              <w:rPr>
                <w:rFonts w:hAnsi="Times New Roman"/>
                <w:color w:val="auto"/>
                <w:kern w:val="2"/>
                <w:sz w:val="21"/>
                <w:szCs w:val="21"/>
                <w:highlight w:val="none"/>
                <w:u w:val="none"/>
                <w:lang w:val="en-US"/>
              </w:rPr>
              <w:sym w:font="Wingdings 2" w:char="0052"/>
            </w:r>
          </w:p>
          <w:p w14:paraId="18630EE3">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污染控制和减缓措施方案 □</w:t>
            </w:r>
          </w:p>
          <w:p w14:paraId="2B3EE8B1">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区（流）域环境质量改善目标要求情景 □</w:t>
            </w:r>
          </w:p>
        </w:tc>
      </w:tr>
      <w:tr w14:paraId="1A6DE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4C2FD710">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625A61B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预测方法</w:t>
            </w:r>
          </w:p>
        </w:tc>
        <w:tc>
          <w:tcPr>
            <w:tcW w:w="11338" w:type="dxa"/>
            <w:gridSpan w:val="12"/>
            <w:vAlign w:val="center"/>
          </w:tcPr>
          <w:p w14:paraId="4062BE2F">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数值解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：解析解 □；其他 □</w:t>
            </w:r>
          </w:p>
          <w:p w14:paraId="2726E6B8">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导则推荐模式</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：其他 □</w:t>
            </w:r>
          </w:p>
        </w:tc>
      </w:tr>
      <w:tr w14:paraId="6F94A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restart"/>
            <w:vAlign w:val="center"/>
          </w:tcPr>
          <w:p w14:paraId="060096BA">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影响评价</w:t>
            </w:r>
          </w:p>
        </w:tc>
        <w:tc>
          <w:tcPr>
            <w:tcW w:w="1988" w:type="dxa"/>
            <w:vAlign w:val="center"/>
          </w:tcPr>
          <w:p w14:paraId="5FA316D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水污染控制和水环境影响减缓措施有效性评价</w:t>
            </w:r>
          </w:p>
        </w:tc>
        <w:tc>
          <w:tcPr>
            <w:tcW w:w="11338" w:type="dxa"/>
            <w:gridSpan w:val="12"/>
            <w:vAlign w:val="center"/>
          </w:tcPr>
          <w:p w14:paraId="0EAF2114">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区（流）域水环境质量改善目标 □；替代削减源 □</w:t>
            </w:r>
          </w:p>
        </w:tc>
      </w:tr>
      <w:tr w14:paraId="3CC65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15" w:hRule="atLeast"/>
          <w:jc w:val="center"/>
        </w:trPr>
        <w:tc>
          <w:tcPr>
            <w:tcW w:w="872" w:type="dxa"/>
            <w:gridSpan w:val="2"/>
            <w:vMerge w:val="continue"/>
            <w:vAlign w:val="center"/>
          </w:tcPr>
          <w:p w14:paraId="34861073">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1631D4F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水环境影响评价</w:t>
            </w:r>
          </w:p>
        </w:tc>
        <w:tc>
          <w:tcPr>
            <w:tcW w:w="11338" w:type="dxa"/>
            <w:gridSpan w:val="12"/>
            <w:vAlign w:val="center"/>
          </w:tcPr>
          <w:p w14:paraId="10C48CC9">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排放口混合区外满足水环境管理要求 □</w:t>
            </w:r>
          </w:p>
          <w:p w14:paraId="5F59A833">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水环境功能区或水功能区、近岸海域环境功能区水质达标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 xml:space="preserve"> 满足水环境保护目标水域水环境质量要求 </w:t>
            </w:r>
            <w:r>
              <w:rPr>
                <w:rFonts w:hAnsi="Times New Roman"/>
                <w:color w:val="auto"/>
                <w:kern w:val="2"/>
                <w:sz w:val="21"/>
                <w:szCs w:val="21"/>
                <w:highlight w:val="none"/>
                <w:u w:val="none"/>
                <w:lang w:val="en-US"/>
              </w:rPr>
              <w:sym w:font="Wingdings 2" w:char="0052"/>
            </w:r>
          </w:p>
          <w:p w14:paraId="0D969AAD">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水环境控制单元或断面水质达标 □</w:t>
            </w:r>
          </w:p>
          <w:p w14:paraId="65B892C5">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满足重点水污染物排放总量控制指标要求，重点行业建设项目，主要污染物排放满足等量或减量替代要求 □</w:t>
            </w:r>
          </w:p>
          <w:p w14:paraId="74E38B0C">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满足区（流）域水环境质量改善目标要求□</w:t>
            </w:r>
          </w:p>
          <w:p w14:paraId="585A3262">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水文要素影响型建设项目同时应包括水文情势变化评价、主要水文特征值影响评价、生态流量符合性评价 □ </w:t>
            </w:r>
          </w:p>
          <w:p w14:paraId="174BD084">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对于新设或调整入河（湖库、近岸海域）排放口的建设项目，应包括排放口设置的环境合理性评价 □</w:t>
            </w:r>
          </w:p>
          <w:p w14:paraId="528B158B">
            <w:pPr>
              <w:widowControl/>
              <w:spacing w:line="260" w:lineRule="exact"/>
              <w:ind w:firstLine="0" w:firstLineChars="0"/>
              <w:jc w:val="left"/>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满足生态保护红线、水环境质量底线、资源利用上线和环境准入清单管理要求 </w:t>
            </w:r>
            <w:r>
              <w:rPr>
                <w:rFonts w:hAnsi="Times New Roman"/>
                <w:color w:val="auto"/>
                <w:kern w:val="2"/>
                <w:sz w:val="21"/>
                <w:szCs w:val="21"/>
                <w:highlight w:val="none"/>
                <w:u w:val="none"/>
                <w:lang w:val="en-US"/>
              </w:rPr>
              <w:sym w:font="Wingdings 2" w:char="0052"/>
            </w:r>
          </w:p>
        </w:tc>
      </w:tr>
      <w:tr w14:paraId="722340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872" w:type="dxa"/>
            <w:gridSpan w:val="2"/>
            <w:vMerge w:val="continue"/>
            <w:vAlign w:val="center"/>
          </w:tcPr>
          <w:p w14:paraId="20A4937C">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64BAB01F">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污染源排放量核算</w:t>
            </w:r>
          </w:p>
        </w:tc>
        <w:tc>
          <w:tcPr>
            <w:tcW w:w="4192" w:type="dxa"/>
            <w:gridSpan w:val="3"/>
            <w:vAlign w:val="center"/>
          </w:tcPr>
          <w:p w14:paraId="6903785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污染物名称</w:t>
            </w:r>
          </w:p>
        </w:tc>
        <w:tc>
          <w:tcPr>
            <w:tcW w:w="3557" w:type="dxa"/>
            <w:gridSpan w:val="5"/>
            <w:vAlign w:val="center"/>
          </w:tcPr>
          <w:p w14:paraId="452B9A3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排放量/（t/a）</w:t>
            </w:r>
          </w:p>
        </w:tc>
        <w:tc>
          <w:tcPr>
            <w:tcW w:w="3589" w:type="dxa"/>
            <w:gridSpan w:val="4"/>
            <w:vAlign w:val="center"/>
          </w:tcPr>
          <w:p w14:paraId="34C7DAD7">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排放浓度/（mg/L）</w:t>
            </w:r>
          </w:p>
        </w:tc>
      </w:tr>
      <w:tr w14:paraId="2DB06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 w:hRule="atLeast"/>
          <w:jc w:val="center"/>
        </w:trPr>
        <w:tc>
          <w:tcPr>
            <w:tcW w:w="872" w:type="dxa"/>
            <w:gridSpan w:val="2"/>
            <w:vMerge w:val="continue"/>
            <w:vAlign w:val="center"/>
          </w:tcPr>
          <w:p w14:paraId="4D5CF34F">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1EF0DB9">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4AEE1486">
            <w:pPr>
              <w:pStyle w:val="1001"/>
              <w:rPr>
                <w:color w:val="auto"/>
                <w:highlight w:val="none"/>
                <w:u w:val="none"/>
              </w:rPr>
            </w:pPr>
            <w:r>
              <w:rPr>
                <w:color w:val="auto"/>
                <w:highlight w:val="none"/>
                <w:u w:val="none"/>
              </w:rPr>
              <w:t>COD</w:t>
            </w:r>
          </w:p>
        </w:tc>
        <w:tc>
          <w:tcPr>
            <w:tcW w:w="3557" w:type="dxa"/>
            <w:gridSpan w:val="5"/>
            <w:vAlign w:val="center"/>
          </w:tcPr>
          <w:p w14:paraId="2A9639DE">
            <w:pPr>
              <w:pStyle w:val="1001"/>
              <w:rPr>
                <w:rFonts w:hint="default" w:eastAsia="宋体"/>
                <w:color w:val="auto"/>
                <w:highlight w:val="none"/>
                <w:u w:val="none"/>
                <w:lang w:val="en-US" w:eastAsia="zh-CN"/>
              </w:rPr>
            </w:pPr>
            <w:r>
              <w:rPr>
                <w:rFonts w:hint="eastAsia"/>
                <w:color w:val="auto"/>
                <w:highlight w:val="none"/>
                <w:u w:val="none"/>
                <w:lang w:val="en-US" w:eastAsia="zh-CN"/>
              </w:rPr>
              <w:t>19.32</w:t>
            </w:r>
          </w:p>
        </w:tc>
        <w:tc>
          <w:tcPr>
            <w:tcW w:w="3589" w:type="dxa"/>
            <w:gridSpan w:val="4"/>
            <w:vAlign w:val="center"/>
          </w:tcPr>
          <w:p w14:paraId="6036B451">
            <w:pPr>
              <w:pStyle w:val="1001"/>
              <w:rPr>
                <w:color w:val="auto"/>
                <w:highlight w:val="none"/>
                <w:u w:val="none"/>
              </w:rPr>
            </w:pPr>
            <w:r>
              <w:rPr>
                <w:rFonts w:hint="eastAsia"/>
                <w:color w:val="auto"/>
                <w:highlight w:val="none"/>
                <w:u w:val="none"/>
              </w:rPr>
              <w:t>50</w:t>
            </w:r>
          </w:p>
        </w:tc>
      </w:tr>
      <w:tr w14:paraId="73BA1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63DAD080">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5C7DB0B0">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5CF0493F">
            <w:pPr>
              <w:pStyle w:val="1001"/>
              <w:rPr>
                <w:color w:val="auto"/>
                <w:highlight w:val="none"/>
                <w:u w:val="none"/>
              </w:rPr>
            </w:pPr>
            <w:r>
              <w:rPr>
                <w:rFonts w:hint="eastAsia"/>
                <w:color w:val="auto"/>
                <w:highlight w:val="none"/>
                <w:u w:val="none"/>
              </w:rPr>
              <w:t>氨氮</w:t>
            </w:r>
          </w:p>
        </w:tc>
        <w:tc>
          <w:tcPr>
            <w:tcW w:w="3557" w:type="dxa"/>
            <w:gridSpan w:val="5"/>
            <w:vAlign w:val="center"/>
          </w:tcPr>
          <w:p w14:paraId="0936D2A7">
            <w:pPr>
              <w:pStyle w:val="1001"/>
              <w:rPr>
                <w:rFonts w:hint="eastAsia" w:eastAsia="宋体"/>
                <w:color w:val="auto"/>
                <w:highlight w:val="none"/>
                <w:u w:val="none"/>
                <w:lang w:eastAsia="zh-CN"/>
              </w:rPr>
            </w:pPr>
            <w:r>
              <w:rPr>
                <w:rFonts w:hint="eastAsia"/>
                <w:color w:val="auto"/>
                <w:highlight w:val="none"/>
                <w:u w:val="none"/>
              </w:rPr>
              <w:t>1.9</w:t>
            </w:r>
            <w:r>
              <w:rPr>
                <w:rFonts w:hint="eastAsia"/>
                <w:color w:val="auto"/>
                <w:highlight w:val="none"/>
                <w:u w:val="none"/>
                <w:lang w:val="en-US" w:eastAsia="zh-CN"/>
              </w:rPr>
              <w:t>3</w:t>
            </w:r>
          </w:p>
        </w:tc>
        <w:tc>
          <w:tcPr>
            <w:tcW w:w="3589" w:type="dxa"/>
            <w:gridSpan w:val="4"/>
            <w:vAlign w:val="center"/>
          </w:tcPr>
          <w:p w14:paraId="173BFF34">
            <w:pPr>
              <w:pStyle w:val="1001"/>
              <w:rPr>
                <w:color w:val="auto"/>
                <w:highlight w:val="none"/>
                <w:u w:val="none"/>
              </w:rPr>
            </w:pPr>
            <w:r>
              <w:rPr>
                <w:rFonts w:hint="eastAsia"/>
                <w:color w:val="auto"/>
                <w:highlight w:val="none"/>
                <w:u w:val="none"/>
              </w:rPr>
              <w:t>5</w:t>
            </w:r>
          </w:p>
        </w:tc>
      </w:tr>
      <w:tr w14:paraId="4FC70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4576D224">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7A688B03">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17A9ED6D">
            <w:pPr>
              <w:pStyle w:val="1001"/>
              <w:rPr>
                <w:color w:val="auto"/>
                <w:highlight w:val="none"/>
                <w:u w:val="none"/>
              </w:rPr>
            </w:pPr>
            <w:r>
              <w:rPr>
                <w:color w:val="auto"/>
                <w:highlight w:val="none"/>
                <w:u w:val="none"/>
              </w:rPr>
              <w:t>SS</w:t>
            </w:r>
          </w:p>
        </w:tc>
        <w:tc>
          <w:tcPr>
            <w:tcW w:w="3557" w:type="dxa"/>
            <w:gridSpan w:val="5"/>
            <w:vAlign w:val="center"/>
          </w:tcPr>
          <w:p w14:paraId="6D062179">
            <w:pPr>
              <w:pStyle w:val="1001"/>
              <w:rPr>
                <w:rFonts w:hint="default" w:eastAsia="宋体"/>
                <w:color w:val="auto"/>
                <w:highlight w:val="none"/>
                <w:u w:val="none"/>
                <w:lang w:val="en-US" w:eastAsia="zh-CN"/>
              </w:rPr>
            </w:pPr>
            <w:r>
              <w:rPr>
                <w:rFonts w:hint="eastAsia"/>
                <w:color w:val="auto"/>
                <w:highlight w:val="none"/>
                <w:u w:val="none"/>
              </w:rPr>
              <w:t>0.</w:t>
            </w:r>
            <w:r>
              <w:rPr>
                <w:rFonts w:hint="eastAsia"/>
                <w:color w:val="auto"/>
                <w:highlight w:val="none"/>
                <w:u w:val="none"/>
                <w:lang w:val="en-US" w:eastAsia="zh-CN"/>
              </w:rPr>
              <w:t>03</w:t>
            </w:r>
          </w:p>
        </w:tc>
        <w:tc>
          <w:tcPr>
            <w:tcW w:w="3589" w:type="dxa"/>
            <w:gridSpan w:val="4"/>
            <w:vAlign w:val="center"/>
          </w:tcPr>
          <w:p w14:paraId="1F3F059C">
            <w:pPr>
              <w:pStyle w:val="1001"/>
              <w:rPr>
                <w:color w:val="auto"/>
                <w:highlight w:val="none"/>
                <w:u w:val="none"/>
              </w:rPr>
            </w:pPr>
            <w:r>
              <w:rPr>
                <w:rFonts w:hint="eastAsia"/>
                <w:color w:val="auto"/>
                <w:highlight w:val="none"/>
                <w:u w:val="none"/>
              </w:rPr>
              <w:t>10</w:t>
            </w:r>
          </w:p>
        </w:tc>
      </w:tr>
      <w:tr w14:paraId="04838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2136FC18">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5571DE0A">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0C5FFDC1">
            <w:pPr>
              <w:pStyle w:val="1001"/>
              <w:rPr>
                <w:color w:val="auto"/>
                <w:highlight w:val="none"/>
                <w:u w:val="none"/>
              </w:rPr>
            </w:pPr>
            <w:r>
              <w:rPr>
                <w:rFonts w:hint="eastAsia"/>
                <w:color w:val="auto"/>
                <w:highlight w:val="none"/>
                <w:u w:val="none"/>
              </w:rPr>
              <w:t>硫酸根</w:t>
            </w:r>
          </w:p>
        </w:tc>
        <w:tc>
          <w:tcPr>
            <w:tcW w:w="3557" w:type="dxa"/>
            <w:gridSpan w:val="5"/>
            <w:vAlign w:val="center"/>
          </w:tcPr>
          <w:p w14:paraId="5996799A">
            <w:pPr>
              <w:pStyle w:val="1001"/>
              <w:rPr>
                <w:rFonts w:hint="default" w:eastAsia="宋体"/>
                <w:color w:val="auto"/>
                <w:highlight w:val="none"/>
                <w:u w:val="none"/>
                <w:lang w:val="en-US" w:eastAsia="zh-CN"/>
              </w:rPr>
            </w:pPr>
            <w:r>
              <w:rPr>
                <w:rFonts w:hint="eastAsia"/>
                <w:color w:val="auto"/>
                <w:highlight w:val="none"/>
                <w:u w:val="none"/>
                <w:lang w:val="en-US" w:eastAsia="zh-CN"/>
              </w:rPr>
              <w:t>1522.11</w:t>
            </w:r>
          </w:p>
        </w:tc>
        <w:tc>
          <w:tcPr>
            <w:tcW w:w="3589" w:type="dxa"/>
            <w:gridSpan w:val="4"/>
            <w:vAlign w:val="center"/>
          </w:tcPr>
          <w:p w14:paraId="7CC3F464">
            <w:pPr>
              <w:pStyle w:val="1001"/>
              <w:rPr>
                <w:rFonts w:hint="default" w:eastAsia="宋体"/>
                <w:color w:val="auto"/>
                <w:highlight w:val="none"/>
                <w:u w:val="none"/>
                <w:lang w:val="en-US" w:eastAsia="zh-CN"/>
              </w:rPr>
            </w:pPr>
            <w:r>
              <w:rPr>
                <w:rFonts w:hint="eastAsia"/>
                <w:color w:val="auto"/>
                <w:highlight w:val="none"/>
                <w:u w:val="none"/>
                <w:lang w:val="en-US" w:eastAsia="zh-CN"/>
              </w:rPr>
              <w:t>3965.58</w:t>
            </w:r>
          </w:p>
        </w:tc>
      </w:tr>
      <w:tr w14:paraId="4E47C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45AA3612">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2DE9310C">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660B7166">
            <w:pPr>
              <w:pStyle w:val="1001"/>
              <w:rPr>
                <w:color w:val="auto"/>
                <w:highlight w:val="none"/>
                <w:u w:val="none"/>
              </w:rPr>
            </w:pPr>
            <w:r>
              <w:rPr>
                <w:rFonts w:hint="eastAsia"/>
                <w:color w:val="auto"/>
                <w:highlight w:val="none"/>
                <w:u w:val="none"/>
              </w:rPr>
              <w:t>硝酸根</w:t>
            </w:r>
          </w:p>
        </w:tc>
        <w:tc>
          <w:tcPr>
            <w:tcW w:w="3557" w:type="dxa"/>
            <w:gridSpan w:val="5"/>
            <w:vAlign w:val="center"/>
          </w:tcPr>
          <w:p w14:paraId="600A404D">
            <w:pPr>
              <w:pStyle w:val="1001"/>
              <w:rPr>
                <w:rFonts w:hint="default" w:eastAsia="宋体"/>
                <w:color w:val="auto"/>
                <w:highlight w:val="none"/>
                <w:u w:val="none"/>
                <w:lang w:val="en-US" w:eastAsia="zh-CN"/>
              </w:rPr>
            </w:pPr>
            <w:r>
              <w:rPr>
                <w:rFonts w:hint="eastAsia"/>
                <w:color w:val="auto"/>
                <w:highlight w:val="none"/>
                <w:u w:val="none"/>
                <w:lang w:val="en-US" w:eastAsia="zh-CN"/>
              </w:rPr>
              <w:t>910.14</w:t>
            </w:r>
          </w:p>
        </w:tc>
        <w:tc>
          <w:tcPr>
            <w:tcW w:w="3589" w:type="dxa"/>
            <w:gridSpan w:val="4"/>
            <w:vAlign w:val="center"/>
          </w:tcPr>
          <w:p w14:paraId="0451B98B">
            <w:pPr>
              <w:pStyle w:val="1001"/>
              <w:rPr>
                <w:rFonts w:hint="default" w:eastAsia="宋体"/>
                <w:color w:val="auto"/>
                <w:highlight w:val="none"/>
                <w:u w:val="none"/>
                <w:lang w:val="en-US" w:eastAsia="zh-CN"/>
              </w:rPr>
            </w:pPr>
            <w:r>
              <w:rPr>
                <w:rFonts w:hint="eastAsia"/>
                <w:color w:val="auto"/>
                <w:highlight w:val="none"/>
                <w:u w:val="none"/>
                <w:lang w:val="en-US" w:eastAsia="zh-CN"/>
              </w:rPr>
              <w:t>2371.21</w:t>
            </w:r>
          </w:p>
        </w:tc>
      </w:tr>
      <w:tr w14:paraId="25F1B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33D2AF7B">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34A2C977">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6417B484">
            <w:pPr>
              <w:pStyle w:val="1001"/>
              <w:rPr>
                <w:color w:val="auto"/>
                <w:highlight w:val="none"/>
                <w:u w:val="none"/>
              </w:rPr>
            </w:pPr>
            <w:r>
              <w:rPr>
                <w:rFonts w:hint="eastAsia"/>
                <w:color w:val="auto"/>
                <w:highlight w:val="none"/>
                <w:u w:val="none"/>
              </w:rPr>
              <w:t>甲苯</w:t>
            </w:r>
          </w:p>
        </w:tc>
        <w:tc>
          <w:tcPr>
            <w:tcW w:w="3557" w:type="dxa"/>
            <w:gridSpan w:val="5"/>
            <w:vAlign w:val="center"/>
          </w:tcPr>
          <w:p w14:paraId="7C75276E">
            <w:pPr>
              <w:pStyle w:val="1001"/>
              <w:rPr>
                <w:color w:val="auto"/>
                <w:highlight w:val="none"/>
                <w:u w:val="none"/>
              </w:rPr>
            </w:pPr>
            <w:r>
              <w:rPr>
                <w:rFonts w:hint="eastAsia"/>
                <w:color w:val="auto"/>
                <w:highlight w:val="none"/>
                <w:u w:val="none"/>
              </w:rPr>
              <w:t>0.04</w:t>
            </w:r>
          </w:p>
        </w:tc>
        <w:tc>
          <w:tcPr>
            <w:tcW w:w="3589" w:type="dxa"/>
            <w:gridSpan w:val="4"/>
            <w:vAlign w:val="center"/>
          </w:tcPr>
          <w:p w14:paraId="3576B45A">
            <w:pPr>
              <w:pStyle w:val="1001"/>
              <w:rPr>
                <w:color w:val="auto"/>
                <w:highlight w:val="none"/>
                <w:u w:val="none"/>
              </w:rPr>
            </w:pPr>
            <w:r>
              <w:rPr>
                <w:rFonts w:hint="eastAsia"/>
                <w:color w:val="auto"/>
                <w:highlight w:val="none"/>
                <w:u w:val="none"/>
              </w:rPr>
              <w:t>0.1</w:t>
            </w:r>
          </w:p>
        </w:tc>
      </w:tr>
      <w:tr w14:paraId="3F205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44297B7A">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672DD00">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7F950F21">
            <w:pPr>
              <w:pStyle w:val="1001"/>
              <w:rPr>
                <w:color w:val="auto"/>
                <w:highlight w:val="none"/>
                <w:u w:val="none"/>
              </w:rPr>
            </w:pPr>
            <w:r>
              <w:rPr>
                <w:rFonts w:hint="eastAsia"/>
                <w:color w:val="auto"/>
                <w:highlight w:val="none"/>
                <w:u w:val="none"/>
              </w:rPr>
              <w:t>邻二氯苯</w:t>
            </w:r>
          </w:p>
        </w:tc>
        <w:tc>
          <w:tcPr>
            <w:tcW w:w="3557" w:type="dxa"/>
            <w:gridSpan w:val="5"/>
            <w:vAlign w:val="center"/>
          </w:tcPr>
          <w:p w14:paraId="147265CB">
            <w:pPr>
              <w:pStyle w:val="1001"/>
              <w:rPr>
                <w:color w:val="auto"/>
                <w:highlight w:val="none"/>
                <w:u w:val="none"/>
              </w:rPr>
            </w:pPr>
            <w:r>
              <w:rPr>
                <w:rFonts w:hint="eastAsia"/>
                <w:color w:val="auto"/>
                <w:highlight w:val="none"/>
                <w:u w:val="none"/>
              </w:rPr>
              <w:t>0.15</w:t>
            </w:r>
          </w:p>
        </w:tc>
        <w:tc>
          <w:tcPr>
            <w:tcW w:w="3589" w:type="dxa"/>
            <w:gridSpan w:val="4"/>
            <w:vAlign w:val="center"/>
          </w:tcPr>
          <w:p w14:paraId="03B7D984">
            <w:pPr>
              <w:pStyle w:val="1001"/>
              <w:rPr>
                <w:color w:val="auto"/>
                <w:highlight w:val="none"/>
                <w:u w:val="none"/>
              </w:rPr>
            </w:pPr>
            <w:r>
              <w:rPr>
                <w:rFonts w:hint="eastAsia"/>
                <w:color w:val="auto"/>
                <w:highlight w:val="none"/>
                <w:u w:val="none"/>
              </w:rPr>
              <w:t>0.4</w:t>
            </w:r>
          </w:p>
        </w:tc>
      </w:tr>
      <w:tr w14:paraId="7A5D9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57836912">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6762ADDB">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4FB48DFD">
            <w:pPr>
              <w:pStyle w:val="1001"/>
              <w:rPr>
                <w:color w:val="auto"/>
                <w:highlight w:val="none"/>
                <w:u w:val="none"/>
              </w:rPr>
            </w:pPr>
            <w:r>
              <w:rPr>
                <w:rFonts w:hint="eastAsia"/>
                <w:color w:val="auto"/>
                <w:highlight w:val="none"/>
                <w:u w:val="none"/>
              </w:rPr>
              <w:t>氯离子</w:t>
            </w:r>
          </w:p>
        </w:tc>
        <w:tc>
          <w:tcPr>
            <w:tcW w:w="3557" w:type="dxa"/>
            <w:gridSpan w:val="5"/>
            <w:vAlign w:val="center"/>
          </w:tcPr>
          <w:p w14:paraId="5CB7FE2C">
            <w:pPr>
              <w:pStyle w:val="1001"/>
              <w:rPr>
                <w:rFonts w:hint="default" w:eastAsia="宋体"/>
                <w:color w:val="auto"/>
                <w:highlight w:val="none"/>
                <w:u w:val="none"/>
                <w:lang w:val="en-US" w:eastAsia="zh-CN"/>
              </w:rPr>
            </w:pPr>
            <w:r>
              <w:rPr>
                <w:rFonts w:hint="eastAsia"/>
                <w:color w:val="auto"/>
                <w:highlight w:val="none"/>
                <w:u w:val="none"/>
                <w:lang w:val="en-US" w:eastAsia="zh-CN"/>
              </w:rPr>
              <w:t>88</w:t>
            </w:r>
          </w:p>
        </w:tc>
        <w:tc>
          <w:tcPr>
            <w:tcW w:w="3589" w:type="dxa"/>
            <w:gridSpan w:val="4"/>
            <w:vAlign w:val="center"/>
          </w:tcPr>
          <w:p w14:paraId="199EC0F8">
            <w:pPr>
              <w:pStyle w:val="1001"/>
              <w:rPr>
                <w:rFonts w:hint="default" w:eastAsia="宋体"/>
                <w:color w:val="auto"/>
                <w:highlight w:val="none"/>
                <w:u w:val="none"/>
                <w:lang w:val="en-US" w:eastAsia="zh-CN"/>
              </w:rPr>
            </w:pPr>
            <w:r>
              <w:rPr>
                <w:rFonts w:hint="eastAsia"/>
                <w:color w:val="auto"/>
                <w:highlight w:val="none"/>
                <w:u w:val="none"/>
                <w:lang w:val="en-US" w:eastAsia="zh-CN"/>
              </w:rPr>
              <w:t>229.27</w:t>
            </w:r>
          </w:p>
        </w:tc>
      </w:tr>
      <w:tr w14:paraId="4F554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6B2877E7">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7C79F010">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06C0B2F8">
            <w:pPr>
              <w:pStyle w:val="1001"/>
              <w:rPr>
                <w:rFonts w:hint="default" w:eastAsia="宋体"/>
                <w:color w:val="auto"/>
                <w:highlight w:val="none"/>
                <w:u w:val="none"/>
                <w:lang w:val="en-US" w:eastAsia="zh-CN"/>
              </w:rPr>
            </w:pPr>
            <w:r>
              <w:rPr>
                <w:rFonts w:hint="eastAsia"/>
                <w:color w:val="auto"/>
                <w:highlight w:val="none"/>
                <w:u w:val="none"/>
                <w:lang w:val="en-US" w:eastAsia="zh-CN"/>
              </w:rPr>
              <w:t>TDS</w:t>
            </w:r>
          </w:p>
        </w:tc>
        <w:tc>
          <w:tcPr>
            <w:tcW w:w="3557" w:type="dxa"/>
            <w:gridSpan w:val="5"/>
            <w:vAlign w:val="center"/>
          </w:tcPr>
          <w:p w14:paraId="7BFCD147">
            <w:pPr>
              <w:pStyle w:val="1001"/>
              <w:rPr>
                <w:rFonts w:hint="default"/>
                <w:color w:val="auto"/>
                <w:highlight w:val="none"/>
                <w:u w:val="none"/>
                <w:lang w:val="en-US" w:eastAsia="zh-CN"/>
              </w:rPr>
            </w:pPr>
            <w:r>
              <w:rPr>
                <w:rFonts w:hint="eastAsia"/>
                <w:color w:val="auto"/>
                <w:highlight w:val="none"/>
                <w:u w:val="none"/>
                <w:lang w:val="en-US" w:eastAsia="zh-CN"/>
              </w:rPr>
              <w:t>3828.33</w:t>
            </w:r>
          </w:p>
        </w:tc>
        <w:tc>
          <w:tcPr>
            <w:tcW w:w="3589" w:type="dxa"/>
            <w:gridSpan w:val="4"/>
            <w:vAlign w:val="center"/>
          </w:tcPr>
          <w:p w14:paraId="3E6EC9E4">
            <w:pPr>
              <w:pStyle w:val="1001"/>
              <w:rPr>
                <w:rFonts w:hint="default"/>
                <w:color w:val="auto"/>
                <w:highlight w:val="none"/>
                <w:u w:val="none"/>
                <w:lang w:val="en-US" w:eastAsia="zh-CN"/>
              </w:rPr>
            </w:pPr>
            <w:r>
              <w:rPr>
                <w:rFonts w:hint="eastAsia"/>
                <w:color w:val="auto"/>
                <w:highlight w:val="none"/>
                <w:u w:val="none"/>
                <w:lang w:val="en-US" w:eastAsia="zh-CN"/>
              </w:rPr>
              <w:t>9974.02</w:t>
            </w:r>
          </w:p>
        </w:tc>
      </w:tr>
      <w:tr w14:paraId="7294EE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1403D617">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4F2AE388">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3B67C9EC">
            <w:pPr>
              <w:pStyle w:val="1001"/>
              <w:rPr>
                <w:color w:val="auto"/>
                <w:highlight w:val="none"/>
                <w:u w:val="none"/>
              </w:rPr>
            </w:pPr>
            <w:r>
              <w:rPr>
                <w:rFonts w:hint="eastAsia"/>
                <w:color w:val="auto"/>
                <w:highlight w:val="none"/>
                <w:u w:val="none"/>
              </w:rPr>
              <w:t>二硝基甲苯</w:t>
            </w:r>
          </w:p>
        </w:tc>
        <w:tc>
          <w:tcPr>
            <w:tcW w:w="3557" w:type="dxa"/>
            <w:gridSpan w:val="5"/>
            <w:vAlign w:val="center"/>
          </w:tcPr>
          <w:p w14:paraId="17BA43B2">
            <w:pPr>
              <w:pStyle w:val="1001"/>
              <w:rPr>
                <w:color w:val="auto"/>
                <w:highlight w:val="none"/>
                <w:u w:val="none"/>
              </w:rPr>
            </w:pPr>
            <w:r>
              <w:rPr>
                <w:rFonts w:hint="eastAsia"/>
                <w:color w:val="auto"/>
                <w:highlight w:val="none"/>
                <w:u w:val="none"/>
              </w:rPr>
              <w:t>0.77</w:t>
            </w:r>
          </w:p>
        </w:tc>
        <w:tc>
          <w:tcPr>
            <w:tcW w:w="3589" w:type="dxa"/>
            <w:gridSpan w:val="4"/>
            <w:vAlign w:val="center"/>
          </w:tcPr>
          <w:p w14:paraId="5FC3B8C9">
            <w:pPr>
              <w:pStyle w:val="1001"/>
              <w:rPr>
                <w:color w:val="auto"/>
                <w:highlight w:val="none"/>
                <w:u w:val="none"/>
              </w:rPr>
            </w:pPr>
            <w:r>
              <w:rPr>
                <w:rFonts w:hint="eastAsia"/>
                <w:color w:val="auto"/>
                <w:highlight w:val="none"/>
                <w:u w:val="none"/>
              </w:rPr>
              <w:t>2</w:t>
            </w:r>
          </w:p>
        </w:tc>
      </w:tr>
      <w:tr w14:paraId="6A7EE2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569E05BC">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74ED3D8">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7621B113">
            <w:pPr>
              <w:pStyle w:val="1001"/>
              <w:rPr>
                <w:color w:val="auto"/>
                <w:highlight w:val="none"/>
                <w:u w:val="none"/>
              </w:rPr>
            </w:pPr>
            <w:r>
              <w:rPr>
                <w:rFonts w:hint="eastAsia"/>
                <w:color w:val="auto"/>
                <w:highlight w:val="none"/>
                <w:u w:val="none"/>
              </w:rPr>
              <w:t>苯胺类</w:t>
            </w:r>
          </w:p>
        </w:tc>
        <w:tc>
          <w:tcPr>
            <w:tcW w:w="3557" w:type="dxa"/>
            <w:gridSpan w:val="5"/>
            <w:vAlign w:val="center"/>
          </w:tcPr>
          <w:p w14:paraId="05931B2B">
            <w:pPr>
              <w:pStyle w:val="1001"/>
              <w:rPr>
                <w:color w:val="auto"/>
                <w:highlight w:val="none"/>
                <w:u w:val="none"/>
              </w:rPr>
            </w:pPr>
            <w:r>
              <w:rPr>
                <w:rFonts w:hint="eastAsia"/>
                <w:color w:val="auto"/>
                <w:highlight w:val="none"/>
                <w:u w:val="none"/>
              </w:rPr>
              <w:t>0.19</w:t>
            </w:r>
          </w:p>
        </w:tc>
        <w:tc>
          <w:tcPr>
            <w:tcW w:w="3589" w:type="dxa"/>
            <w:gridSpan w:val="4"/>
            <w:vAlign w:val="center"/>
          </w:tcPr>
          <w:p w14:paraId="7785FE6F">
            <w:pPr>
              <w:pStyle w:val="1001"/>
              <w:rPr>
                <w:color w:val="auto"/>
                <w:highlight w:val="none"/>
                <w:u w:val="none"/>
              </w:rPr>
            </w:pPr>
            <w:r>
              <w:rPr>
                <w:rFonts w:hint="eastAsia"/>
                <w:color w:val="auto"/>
                <w:highlight w:val="none"/>
                <w:u w:val="none"/>
              </w:rPr>
              <w:t>0.5</w:t>
            </w:r>
          </w:p>
        </w:tc>
      </w:tr>
      <w:tr w14:paraId="707A8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20D3BE6B">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763CC411">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143ABF08">
            <w:pPr>
              <w:pStyle w:val="1001"/>
              <w:rPr>
                <w:color w:val="auto"/>
                <w:highlight w:val="none"/>
                <w:u w:val="none"/>
              </w:rPr>
            </w:pPr>
            <w:r>
              <w:rPr>
                <w:rFonts w:hint="eastAsia"/>
                <w:color w:val="auto"/>
                <w:highlight w:val="none"/>
                <w:u w:val="none"/>
              </w:rPr>
              <w:t>总氮</w:t>
            </w:r>
          </w:p>
        </w:tc>
        <w:tc>
          <w:tcPr>
            <w:tcW w:w="3557" w:type="dxa"/>
            <w:gridSpan w:val="5"/>
            <w:vAlign w:val="center"/>
          </w:tcPr>
          <w:p w14:paraId="2CBF5D50">
            <w:pPr>
              <w:pStyle w:val="1001"/>
              <w:rPr>
                <w:color w:val="auto"/>
                <w:highlight w:val="none"/>
                <w:u w:val="none"/>
              </w:rPr>
            </w:pPr>
            <w:r>
              <w:rPr>
                <w:rFonts w:hint="eastAsia"/>
                <w:color w:val="auto"/>
                <w:highlight w:val="none"/>
                <w:u w:val="none"/>
              </w:rPr>
              <w:t>5.76</w:t>
            </w:r>
          </w:p>
        </w:tc>
        <w:tc>
          <w:tcPr>
            <w:tcW w:w="3589" w:type="dxa"/>
            <w:gridSpan w:val="4"/>
            <w:vAlign w:val="center"/>
          </w:tcPr>
          <w:p w14:paraId="446BA3DF">
            <w:pPr>
              <w:pStyle w:val="1001"/>
              <w:rPr>
                <w:color w:val="auto"/>
                <w:highlight w:val="none"/>
                <w:u w:val="none"/>
              </w:rPr>
            </w:pPr>
            <w:r>
              <w:rPr>
                <w:rFonts w:hint="eastAsia"/>
                <w:color w:val="auto"/>
                <w:highlight w:val="none"/>
                <w:u w:val="none"/>
              </w:rPr>
              <w:t>15</w:t>
            </w:r>
          </w:p>
        </w:tc>
      </w:tr>
      <w:tr w14:paraId="371D1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872" w:type="dxa"/>
            <w:gridSpan w:val="2"/>
            <w:vMerge w:val="continue"/>
            <w:vAlign w:val="center"/>
          </w:tcPr>
          <w:p w14:paraId="284F9074">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F656E03">
            <w:pPr>
              <w:widowControl/>
              <w:spacing w:line="260" w:lineRule="exact"/>
              <w:ind w:firstLine="0" w:firstLineChars="0"/>
              <w:jc w:val="center"/>
              <w:rPr>
                <w:rFonts w:hAnsi="Times New Roman"/>
                <w:color w:val="auto"/>
                <w:kern w:val="2"/>
                <w:sz w:val="21"/>
                <w:szCs w:val="21"/>
                <w:highlight w:val="none"/>
                <w:u w:val="none"/>
                <w:lang w:val="en-US"/>
              </w:rPr>
            </w:pPr>
          </w:p>
        </w:tc>
        <w:tc>
          <w:tcPr>
            <w:tcW w:w="4192" w:type="dxa"/>
            <w:gridSpan w:val="3"/>
            <w:vAlign w:val="center"/>
          </w:tcPr>
          <w:p w14:paraId="413A2196">
            <w:pPr>
              <w:pStyle w:val="1001"/>
              <w:rPr>
                <w:color w:val="auto"/>
                <w:highlight w:val="none"/>
                <w:u w:val="none"/>
              </w:rPr>
            </w:pPr>
            <w:r>
              <w:rPr>
                <w:rFonts w:hint="eastAsia"/>
                <w:color w:val="auto"/>
                <w:highlight w:val="none"/>
                <w:u w:val="none"/>
              </w:rPr>
              <w:t>石油类</w:t>
            </w:r>
          </w:p>
        </w:tc>
        <w:tc>
          <w:tcPr>
            <w:tcW w:w="3557" w:type="dxa"/>
            <w:gridSpan w:val="5"/>
            <w:vAlign w:val="center"/>
          </w:tcPr>
          <w:p w14:paraId="6E274FAE">
            <w:pPr>
              <w:pStyle w:val="1001"/>
              <w:rPr>
                <w:rFonts w:hint="default" w:eastAsia="宋体"/>
                <w:color w:val="auto"/>
                <w:highlight w:val="none"/>
                <w:u w:val="none"/>
                <w:lang w:val="en-US" w:eastAsia="zh-CN"/>
              </w:rPr>
            </w:pPr>
            <w:r>
              <w:rPr>
                <w:rFonts w:hint="eastAsia"/>
                <w:color w:val="auto"/>
                <w:highlight w:val="none"/>
                <w:u w:val="none"/>
              </w:rPr>
              <w:t>0.0</w:t>
            </w:r>
            <w:r>
              <w:rPr>
                <w:rFonts w:hint="eastAsia"/>
                <w:color w:val="auto"/>
                <w:highlight w:val="none"/>
                <w:u w:val="none"/>
                <w:lang w:val="en-US" w:eastAsia="zh-CN"/>
              </w:rPr>
              <w:t>03</w:t>
            </w:r>
          </w:p>
        </w:tc>
        <w:tc>
          <w:tcPr>
            <w:tcW w:w="3589" w:type="dxa"/>
            <w:gridSpan w:val="4"/>
            <w:vAlign w:val="center"/>
          </w:tcPr>
          <w:p w14:paraId="7528BE65">
            <w:pPr>
              <w:pStyle w:val="1001"/>
              <w:rPr>
                <w:rFonts w:hint="eastAsia" w:eastAsia="宋体"/>
                <w:color w:val="auto"/>
                <w:highlight w:val="none"/>
                <w:u w:val="none"/>
                <w:lang w:eastAsia="zh-CN"/>
              </w:rPr>
            </w:pPr>
            <w:r>
              <w:rPr>
                <w:rFonts w:hint="eastAsia"/>
                <w:color w:val="auto"/>
                <w:highlight w:val="none"/>
                <w:u w:val="none"/>
                <w:lang w:val="en-US" w:eastAsia="zh-CN"/>
              </w:rPr>
              <w:t>1</w:t>
            </w:r>
          </w:p>
        </w:tc>
      </w:tr>
      <w:tr w14:paraId="67E1E2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70FC55DF">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1B7745D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替代源排放情况</w:t>
            </w:r>
          </w:p>
        </w:tc>
        <w:tc>
          <w:tcPr>
            <w:tcW w:w="2769" w:type="dxa"/>
            <w:vAlign w:val="center"/>
          </w:tcPr>
          <w:p w14:paraId="49BF56C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污染源名称</w:t>
            </w:r>
          </w:p>
        </w:tc>
        <w:tc>
          <w:tcPr>
            <w:tcW w:w="2124" w:type="dxa"/>
            <w:gridSpan w:val="3"/>
            <w:vAlign w:val="center"/>
          </w:tcPr>
          <w:p w14:paraId="4C719618">
            <w:pPr>
              <w:widowControl/>
              <w:spacing w:line="260" w:lineRule="exact"/>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排污许可证编号</w:t>
            </w:r>
          </w:p>
        </w:tc>
        <w:tc>
          <w:tcPr>
            <w:tcW w:w="2135" w:type="dxa"/>
            <w:gridSpan w:val="3"/>
            <w:vAlign w:val="center"/>
          </w:tcPr>
          <w:p w14:paraId="3C97E33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污染物名称</w:t>
            </w:r>
          </w:p>
        </w:tc>
        <w:tc>
          <w:tcPr>
            <w:tcW w:w="2124" w:type="dxa"/>
            <w:gridSpan w:val="2"/>
            <w:vAlign w:val="center"/>
          </w:tcPr>
          <w:p w14:paraId="29F4C6A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排放量/（t/a）</w:t>
            </w:r>
          </w:p>
        </w:tc>
        <w:tc>
          <w:tcPr>
            <w:tcW w:w="2186" w:type="dxa"/>
            <w:gridSpan w:val="3"/>
            <w:vAlign w:val="center"/>
          </w:tcPr>
          <w:p w14:paraId="2E755F9D">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排放浓度/（mg/L）</w:t>
            </w:r>
          </w:p>
        </w:tc>
      </w:tr>
      <w:tr w14:paraId="34A13A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6" w:hRule="atLeast"/>
          <w:jc w:val="center"/>
        </w:trPr>
        <w:tc>
          <w:tcPr>
            <w:tcW w:w="872" w:type="dxa"/>
            <w:gridSpan w:val="2"/>
            <w:vMerge w:val="continue"/>
            <w:vAlign w:val="center"/>
          </w:tcPr>
          <w:p w14:paraId="5FB37CC3">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3C6280D">
            <w:pPr>
              <w:widowControl/>
              <w:spacing w:line="260" w:lineRule="exact"/>
              <w:ind w:firstLine="0" w:firstLineChars="0"/>
              <w:jc w:val="center"/>
              <w:rPr>
                <w:rFonts w:hAnsi="Times New Roman"/>
                <w:color w:val="auto"/>
                <w:kern w:val="2"/>
                <w:sz w:val="21"/>
                <w:szCs w:val="21"/>
                <w:highlight w:val="none"/>
                <w:u w:val="none"/>
                <w:lang w:val="en-US"/>
              </w:rPr>
            </w:pPr>
          </w:p>
        </w:tc>
        <w:tc>
          <w:tcPr>
            <w:tcW w:w="2769" w:type="dxa"/>
            <w:vAlign w:val="center"/>
          </w:tcPr>
          <w:p w14:paraId="63FB1AB7">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w:t>
            </w:r>
          </w:p>
        </w:tc>
        <w:tc>
          <w:tcPr>
            <w:tcW w:w="2124" w:type="dxa"/>
            <w:gridSpan w:val="3"/>
            <w:vAlign w:val="center"/>
          </w:tcPr>
          <w:p w14:paraId="333CCDD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w:t>
            </w:r>
          </w:p>
        </w:tc>
        <w:tc>
          <w:tcPr>
            <w:tcW w:w="2135" w:type="dxa"/>
            <w:gridSpan w:val="3"/>
            <w:vAlign w:val="center"/>
          </w:tcPr>
          <w:p w14:paraId="3EB0EE5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w:t>
            </w:r>
          </w:p>
        </w:tc>
        <w:tc>
          <w:tcPr>
            <w:tcW w:w="2124" w:type="dxa"/>
            <w:gridSpan w:val="2"/>
            <w:vAlign w:val="center"/>
          </w:tcPr>
          <w:p w14:paraId="24B485E1">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w:t>
            </w:r>
          </w:p>
        </w:tc>
        <w:tc>
          <w:tcPr>
            <w:tcW w:w="2186" w:type="dxa"/>
            <w:gridSpan w:val="3"/>
            <w:vAlign w:val="center"/>
          </w:tcPr>
          <w:p w14:paraId="3C80CF6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w:t>
            </w:r>
          </w:p>
        </w:tc>
      </w:tr>
      <w:tr w14:paraId="5EA54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872" w:type="dxa"/>
            <w:gridSpan w:val="2"/>
            <w:vMerge w:val="continue"/>
            <w:vAlign w:val="center"/>
          </w:tcPr>
          <w:p w14:paraId="284FD312">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1961149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生态流量确定</w:t>
            </w:r>
          </w:p>
        </w:tc>
        <w:tc>
          <w:tcPr>
            <w:tcW w:w="11338" w:type="dxa"/>
            <w:gridSpan w:val="12"/>
            <w:vAlign w:val="center"/>
          </w:tcPr>
          <w:p w14:paraId="3C5F7710">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生态流量：一般水期（</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/s；鱼类繁殖期（</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/s；其他（</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w:t>
            </w:r>
            <w:r>
              <w:rPr>
                <w:rFonts w:hAnsi="Times New Roman"/>
                <w:color w:val="auto"/>
                <w:kern w:val="2"/>
                <w:sz w:val="21"/>
                <w:szCs w:val="21"/>
                <w:highlight w:val="none"/>
                <w:u w:val="none"/>
                <w:vertAlign w:val="superscript"/>
                <w:lang w:val="en-US"/>
              </w:rPr>
              <w:t>3</w:t>
            </w:r>
            <w:r>
              <w:rPr>
                <w:rFonts w:hAnsi="Times New Roman"/>
                <w:color w:val="auto"/>
                <w:kern w:val="2"/>
                <w:sz w:val="21"/>
                <w:szCs w:val="21"/>
                <w:highlight w:val="none"/>
                <w:u w:val="none"/>
                <w:lang w:val="en-US"/>
              </w:rPr>
              <w:t>/s</w:t>
            </w:r>
          </w:p>
          <w:p w14:paraId="35677FF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生态水位：一般水期（</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）m；鱼类繁殖期（</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）m；其他（</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）m</w:t>
            </w:r>
          </w:p>
        </w:tc>
      </w:tr>
      <w:tr w14:paraId="2519B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restart"/>
            <w:vAlign w:val="center"/>
          </w:tcPr>
          <w:p w14:paraId="04C1833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防治措施</w:t>
            </w:r>
          </w:p>
        </w:tc>
        <w:tc>
          <w:tcPr>
            <w:tcW w:w="1988" w:type="dxa"/>
            <w:vAlign w:val="center"/>
          </w:tcPr>
          <w:p w14:paraId="0ED45743">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环保措施</w:t>
            </w:r>
          </w:p>
        </w:tc>
        <w:tc>
          <w:tcPr>
            <w:tcW w:w="11338" w:type="dxa"/>
            <w:gridSpan w:val="12"/>
            <w:vAlign w:val="center"/>
          </w:tcPr>
          <w:p w14:paraId="03245D3E">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污水处理设施</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；水文减缓设施 □；生态流量保障设施 □；区域削减 □；依托其他工程措施 □；其他 □</w:t>
            </w:r>
          </w:p>
        </w:tc>
      </w:tr>
      <w:tr w14:paraId="74531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8" w:hRule="atLeast"/>
          <w:jc w:val="center"/>
        </w:trPr>
        <w:tc>
          <w:tcPr>
            <w:tcW w:w="872" w:type="dxa"/>
            <w:gridSpan w:val="2"/>
            <w:vMerge w:val="continue"/>
            <w:vAlign w:val="center"/>
          </w:tcPr>
          <w:p w14:paraId="6619FD85">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restart"/>
            <w:vAlign w:val="center"/>
          </w:tcPr>
          <w:p w14:paraId="0E1FD2A7">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监测计划</w:t>
            </w:r>
          </w:p>
        </w:tc>
        <w:tc>
          <w:tcPr>
            <w:tcW w:w="3306" w:type="dxa"/>
            <w:gridSpan w:val="2"/>
            <w:vAlign w:val="center"/>
          </w:tcPr>
          <w:p w14:paraId="75E10364">
            <w:pPr>
              <w:widowControl/>
              <w:spacing w:line="260" w:lineRule="exact"/>
              <w:ind w:firstLine="0" w:firstLineChars="0"/>
              <w:jc w:val="center"/>
              <w:rPr>
                <w:rFonts w:hAnsi="Times New Roman"/>
                <w:color w:val="auto"/>
                <w:kern w:val="2"/>
                <w:sz w:val="21"/>
                <w:szCs w:val="21"/>
                <w:highlight w:val="none"/>
                <w:u w:val="none"/>
                <w:lang w:val="en-US"/>
              </w:rPr>
            </w:pPr>
          </w:p>
        </w:tc>
        <w:tc>
          <w:tcPr>
            <w:tcW w:w="2816" w:type="dxa"/>
            <w:gridSpan w:val="4"/>
            <w:vAlign w:val="center"/>
          </w:tcPr>
          <w:p w14:paraId="544C1268">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环境质量</w:t>
            </w:r>
          </w:p>
        </w:tc>
        <w:tc>
          <w:tcPr>
            <w:tcW w:w="5216" w:type="dxa"/>
            <w:gridSpan w:val="6"/>
            <w:vAlign w:val="center"/>
          </w:tcPr>
          <w:p w14:paraId="056AFC0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污染源</w:t>
            </w:r>
          </w:p>
        </w:tc>
      </w:tr>
      <w:tr w14:paraId="7DD52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7" w:hRule="atLeast"/>
          <w:jc w:val="center"/>
        </w:trPr>
        <w:tc>
          <w:tcPr>
            <w:tcW w:w="872" w:type="dxa"/>
            <w:gridSpan w:val="2"/>
            <w:vMerge w:val="continue"/>
            <w:vAlign w:val="center"/>
          </w:tcPr>
          <w:p w14:paraId="328B2A37">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1FDF5A45">
            <w:pPr>
              <w:widowControl/>
              <w:spacing w:line="260" w:lineRule="exact"/>
              <w:ind w:firstLine="0" w:firstLineChars="0"/>
              <w:jc w:val="center"/>
              <w:rPr>
                <w:rFonts w:hAnsi="Times New Roman"/>
                <w:color w:val="auto"/>
                <w:kern w:val="2"/>
                <w:sz w:val="21"/>
                <w:szCs w:val="21"/>
                <w:highlight w:val="none"/>
                <w:u w:val="none"/>
                <w:lang w:val="en-US"/>
              </w:rPr>
            </w:pPr>
          </w:p>
        </w:tc>
        <w:tc>
          <w:tcPr>
            <w:tcW w:w="3306" w:type="dxa"/>
            <w:gridSpan w:val="2"/>
            <w:vAlign w:val="center"/>
          </w:tcPr>
          <w:p w14:paraId="5696DE2F">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监测方式</w:t>
            </w:r>
          </w:p>
        </w:tc>
        <w:tc>
          <w:tcPr>
            <w:tcW w:w="2816" w:type="dxa"/>
            <w:gridSpan w:val="4"/>
            <w:vAlign w:val="center"/>
          </w:tcPr>
          <w:p w14:paraId="74D6981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手动</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；自动</w:t>
            </w:r>
            <w:r>
              <w:rPr>
                <w:rFonts w:hint="eastAsia" w:hAnsi="Times New Roman"/>
                <w:color w:val="auto"/>
                <w:kern w:val="2"/>
                <w:sz w:val="21"/>
                <w:szCs w:val="21"/>
                <w:highlight w:val="none"/>
                <w:u w:val="none"/>
                <w:lang w:val="en-US"/>
              </w:rPr>
              <w:t>□</w:t>
            </w:r>
            <w:r>
              <w:rPr>
                <w:rFonts w:hAnsi="Times New Roman"/>
                <w:color w:val="auto"/>
                <w:kern w:val="2"/>
                <w:sz w:val="21"/>
                <w:szCs w:val="21"/>
                <w:highlight w:val="none"/>
                <w:u w:val="none"/>
                <w:lang w:val="en-US"/>
              </w:rPr>
              <w:t>；无监测 □</w:t>
            </w:r>
          </w:p>
        </w:tc>
        <w:tc>
          <w:tcPr>
            <w:tcW w:w="5216" w:type="dxa"/>
            <w:gridSpan w:val="6"/>
            <w:vAlign w:val="center"/>
          </w:tcPr>
          <w:p w14:paraId="6795EDE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手动</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；自动</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；无监测 □</w:t>
            </w:r>
          </w:p>
        </w:tc>
      </w:tr>
      <w:tr w14:paraId="06895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 w:type="dxa"/>
            <w:gridSpan w:val="2"/>
            <w:vMerge w:val="continue"/>
            <w:vAlign w:val="center"/>
          </w:tcPr>
          <w:p w14:paraId="763FA599">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2C0C29E">
            <w:pPr>
              <w:widowControl/>
              <w:spacing w:line="260" w:lineRule="exact"/>
              <w:ind w:firstLine="0" w:firstLineChars="0"/>
              <w:jc w:val="center"/>
              <w:rPr>
                <w:rFonts w:hAnsi="Times New Roman"/>
                <w:color w:val="auto"/>
                <w:kern w:val="2"/>
                <w:sz w:val="21"/>
                <w:szCs w:val="21"/>
                <w:highlight w:val="none"/>
                <w:u w:val="none"/>
                <w:lang w:val="en-US"/>
              </w:rPr>
            </w:pPr>
          </w:p>
        </w:tc>
        <w:tc>
          <w:tcPr>
            <w:tcW w:w="3306" w:type="dxa"/>
            <w:gridSpan w:val="2"/>
            <w:vAlign w:val="center"/>
          </w:tcPr>
          <w:p w14:paraId="37F6C76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监测点位</w:t>
            </w:r>
          </w:p>
        </w:tc>
        <w:tc>
          <w:tcPr>
            <w:tcW w:w="2816" w:type="dxa"/>
            <w:gridSpan w:val="4"/>
            <w:vAlign w:val="center"/>
          </w:tcPr>
          <w:p w14:paraId="114C36AD">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w:t>
            </w:r>
            <w:r>
              <w:rPr>
                <w:rFonts w:hint="eastAsia" w:hAnsi="Times New Roman"/>
                <w:color w:val="auto"/>
                <w:kern w:val="2"/>
                <w:sz w:val="21"/>
                <w:szCs w:val="21"/>
                <w:highlight w:val="none"/>
                <w:u w:val="none"/>
                <w:lang w:val="en-US"/>
              </w:rPr>
              <w:t>由开发区管委会统筹安排实施监测确定</w:t>
            </w:r>
            <w:r>
              <w:rPr>
                <w:rFonts w:hAnsi="Times New Roman"/>
                <w:color w:val="auto"/>
                <w:kern w:val="2"/>
                <w:sz w:val="21"/>
                <w:szCs w:val="21"/>
                <w:highlight w:val="none"/>
                <w:u w:val="none"/>
                <w:lang w:val="en-US"/>
              </w:rPr>
              <w:t>）</w:t>
            </w:r>
          </w:p>
        </w:tc>
        <w:tc>
          <w:tcPr>
            <w:tcW w:w="5216" w:type="dxa"/>
            <w:gridSpan w:val="6"/>
            <w:vAlign w:val="center"/>
          </w:tcPr>
          <w:p w14:paraId="33DA522E">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w:t>
            </w:r>
            <w:r>
              <w:rPr>
                <w:rFonts w:hint="eastAsia" w:hAnsi="Times New Roman"/>
                <w:color w:val="auto"/>
                <w:kern w:val="2"/>
                <w:sz w:val="21"/>
                <w:szCs w:val="21"/>
                <w:highlight w:val="none"/>
                <w:u w:val="none"/>
                <w:lang w:val="en-US"/>
              </w:rPr>
              <w:t>①TDI一期工程出项目厂界，排入万华环保科技公司污水处理站低浓度废水处理系统前总排口</w:t>
            </w:r>
          </w:p>
          <w:p w14:paraId="598F858D">
            <w:pPr>
              <w:widowControl/>
              <w:spacing w:line="260" w:lineRule="exact"/>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②一期工程出项目厂界，排入万华环保科技公司污水处理站综合废水处理系统前总排口</w:t>
            </w:r>
          </w:p>
          <w:p w14:paraId="72036011">
            <w:pPr>
              <w:widowControl/>
              <w:spacing w:line="260" w:lineRule="exact"/>
              <w:ind w:firstLine="0" w:firstLineChars="0"/>
              <w:jc w:val="center"/>
              <w:rPr>
                <w:rFonts w:hAnsi="Times New Roman"/>
                <w:color w:val="auto"/>
                <w:kern w:val="2"/>
                <w:sz w:val="21"/>
                <w:szCs w:val="21"/>
                <w:highlight w:val="none"/>
                <w:u w:val="none"/>
                <w:lang w:val="en-US"/>
              </w:rPr>
            </w:pPr>
            <w:r>
              <w:rPr>
                <w:rFonts w:hint="eastAsia" w:hAnsi="Times New Roman"/>
                <w:color w:val="auto"/>
                <w:kern w:val="2"/>
                <w:sz w:val="21"/>
                <w:szCs w:val="21"/>
                <w:highlight w:val="none"/>
                <w:u w:val="none"/>
                <w:lang w:val="en-US"/>
              </w:rPr>
              <w:t>③雨水外排口</w:t>
            </w:r>
            <w:r>
              <w:rPr>
                <w:rFonts w:hAnsi="Times New Roman"/>
                <w:color w:val="auto"/>
                <w:kern w:val="2"/>
                <w:sz w:val="21"/>
                <w:szCs w:val="21"/>
                <w:highlight w:val="none"/>
                <w:u w:val="none"/>
                <w:lang w:val="en-US"/>
              </w:rPr>
              <w:t>）</w:t>
            </w:r>
          </w:p>
        </w:tc>
      </w:tr>
      <w:tr w14:paraId="2FD386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872" w:type="dxa"/>
            <w:gridSpan w:val="2"/>
            <w:vMerge w:val="continue"/>
            <w:vAlign w:val="center"/>
          </w:tcPr>
          <w:p w14:paraId="5CF38651">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Merge w:val="continue"/>
            <w:vAlign w:val="center"/>
          </w:tcPr>
          <w:p w14:paraId="0574BDED">
            <w:pPr>
              <w:widowControl/>
              <w:spacing w:line="260" w:lineRule="exact"/>
              <w:ind w:firstLine="0" w:firstLineChars="0"/>
              <w:jc w:val="center"/>
              <w:rPr>
                <w:rFonts w:hAnsi="Times New Roman"/>
                <w:color w:val="auto"/>
                <w:kern w:val="2"/>
                <w:sz w:val="21"/>
                <w:szCs w:val="21"/>
                <w:highlight w:val="none"/>
                <w:u w:val="none"/>
                <w:lang w:val="en-US"/>
              </w:rPr>
            </w:pPr>
          </w:p>
        </w:tc>
        <w:tc>
          <w:tcPr>
            <w:tcW w:w="3306" w:type="dxa"/>
            <w:gridSpan w:val="2"/>
            <w:vAlign w:val="center"/>
          </w:tcPr>
          <w:p w14:paraId="6AA6E12C">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监测因子</w:t>
            </w:r>
          </w:p>
        </w:tc>
        <w:tc>
          <w:tcPr>
            <w:tcW w:w="2816" w:type="dxa"/>
            <w:gridSpan w:val="4"/>
            <w:vAlign w:val="center"/>
          </w:tcPr>
          <w:p w14:paraId="1F19380B">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w:t>
            </w:r>
            <w:r>
              <w:rPr>
                <w:rFonts w:hint="eastAsia" w:hAnsi="Times New Roman"/>
                <w:color w:val="auto"/>
                <w:kern w:val="2"/>
                <w:sz w:val="21"/>
                <w:szCs w:val="21"/>
                <w:highlight w:val="none"/>
                <w:u w:val="none"/>
                <w:lang w:val="en-US"/>
              </w:rPr>
              <w:t>水温、pH值、盐度、溶解氧、悬浮物、化学需氧量、石油类、无机氮、硝酸盐氮、亚硝酸盐氮、氨、活性磷酸盐、铜、总铬、锌、镍、镉、铅、汞、砷、挥发酚、硫化物、氰化物、甲苯、硝基苯类、氯苯类、苯胺类</w:t>
            </w:r>
            <w:r>
              <w:rPr>
                <w:rFonts w:hAnsi="Times New Roman"/>
                <w:color w:val="auto"/>
                <w:kern w:val="2"/>
                <w:sz w:val="21"/>
                <w:szCs w:val="21"/>
                <w:highlight w:val="none"/>
                <w:u w:val="none"/>
                <w:lang w:val="en-US"/>
              </w:rPr>
              <w:t>）</w:t>
            </w:r>
          </w:p>
        </w:tc>
        <w:tc>
          <w:tcPr>
            <w:tcW w:w="5216" w:type="dxa"/>
            <w:gridSpan w:val="6"/>
            <w:vAlign w:val="center"/>
          </w:tcPr>
          <w:p w14:paraId="2587B66B">
            <w:pPr>
              <w:pStyle w:val="57"/>
              <w:spacing w:after="0"/>
              <w:ind w:left="0" w:leftChars="0" w:firstLine="0" w:firstLineChars="0"/>
              <w:rPr>
                <w:color w:val="auto"/>
                <w:highlight w:val="none"/>
                <w:u w:val="none"/>
              </w:rPr>
            </w:pPr>
            <w:r>
              <w:rPr>
                <w:rFonts w:hint="eastAsia"/>
                <w:color w:val="auto"/>
                <w:highlight w:val="none"/>
                <w:u w:val="none"/>
              </w:rPr>
              <w:t>各总排口：流量</w:t>
            </w:r>
          </w:p>
          <w:p w14:paraId="626DF817">
            <w:pPr>
              <w:pStyle w:val="57"/>
              <w:spacing w:after="0"/>
              <w:ind w:left="0" w:leftChars="0" w:firstLine="0" w:firstLineChars="0"/>
              <w:rPr>
                <w:color w:val="auto"/>
                <w:highlight w:val="none"/>
                <w:u w:val="none"/>
              </w:rPr>
            </w:pPr>
            <w:r>
              <w:rPr>
                <w:rFonts w:hint="eastAsia"/>
                <w:color w:val="auto"/>
                <w:highlight w:val="none"/>
                <w:u w:val="none"/>
              </w:rPr>
              <w:t>雨水外排口：</w:t>
            </w:r>
            <w:r>
              <w:rPr>
                <w:color w:val="auto"/>
                <w:kern w:val="0"/>
                <w:highlight w:val="none"/>
                <w:u w:val="none"/>
              </w:rPr>
              <w:t>pH、COD、氨氮、石油类、SS</w:t>
            </w:r>
          </w:p>
        </w:tc>
      </w:tr>
      <w:tr w14:paraId="717C3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2" w:type="dxa"/>
            <w:gridSpan w:val="2"/>
            <w:vMerge w:val="continue"/>
            <w:vAlign w:val="center"/>
          </w:tcPr>
          <w:p w14:paraId="60E1E858">
            <w:pPr>
              <w:widowControl/>
              <w:spacing w:line="260" w:lineRule="exact"/>
              <w:ind w:firstLine="0" w:firstLineChars="0"/>
              <w:jc w:val="center"/>
              <w:rPr>
                <w:rFonts w:hAnsi="Times New Roman"/>
                <w:color w:val="auto"/>
                <w:kern w:val="2"/>
                <w:sz w:val="21"/>
                <w:szCs w:val="21"/>
                <w:highlight w:val="none"/>
                <w:u w:val="none"/>
                <w:lang w:val="en-US"/>
              </w:rPr>
            </w:pPr>
          </w:p>
        </w:tc>
        <w:tc>
          <w:tcPr>
            <w:tcW w:w="1988" w:type="dxa"/>
            <w:vAlign w:val="center"/>
          </w:tcPr>
          <w:p w14:paraId="559B67D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污染物排放清单</w:t>
            </w:r>
          </w:p>
        </w:tc>
        <w:tc>
          <w:tcPr>
            <w:tcW w:w="11338" w:type="dxa"/>
            <w:gridSpan w:val="12"/>
            <w:vAlign w:val="center"/>
          </w:tcPr>
          <w:p w14:paraId="45EB5DD9">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sym w:font="Wingdings 2" w:char="0052"/>
            </w:r>
          </w:p>
        </w:tc>
      </w:tr>
      <w:tr w14:paraId="7D634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60" w:type="dxa"/>
            <w:gridSpan w:val="3"/>
            <w:vAlign w:val="center"/>
          </w:tcPr>
          <w:p w14:paraId="4560A842">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评价结论</w:t>
            </w:r>
          </w:p>
        </w:tc>
        <w:tc>
          <w:tcPr>
            <w:tcW w:w="11338" w:type="dxa"/>
            <w:gridSpan w:val="12"/>
            <w:vAlign w:val="center"/>
          </w:tcPr>
          <w:p w14:paraId="2823B855">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 xml:space="preserve">可以接受 </w:t>
            </w:r>
            <w:r>
              <w:rPr>
                <w:rFonts w:hAnsi="Times New Roman"/>
                <w:color w:val="auto"/>
                <w:kern w:val="2"/>
                <w:sz w:val="21"/>
                <w:szCs w:val="21"/>
                <w:highlight w:val="none"/>
                <w:u w:val="none"/>
                <w:lang w:val="en-US"/>
              </w:rPr>
              <w:sym w:font="Wingdings 2" w:char="0052"/>
            </w:r>
            <w:r>
              <w:rPr>
                <w:rFonts w:hAnsi="Times New Roman"/>
                <w:color w:val="auto"/>
                <w:kern w:val="2"/>
                <w:sz w:val="21"/>
                <w:szCs w:val="21"/>
                <w:highlight w:val="none"/>
                <w:u w:val="none"/>
                <w:lang w:val="en-US"/>
              </w:rPr>
              <w:t>；不可以接受 □</w:t>
            </w:r>
          </w:p>
        </w:tc>
      </w:tr>
      <w:tr w14:paraId="1705F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98" w:type="dxa"/>
            <w:gridSpan w:val="15"/>
            <w:vAlign w:val="center"/>
          </w:tcPr>
          <w:p w14:paraId="6562B6A6">
            <w:pPr>
              <w:widowControl/>
              <w:spacing w:line="260" w:lineRule="exact"/>
              <w:ind w:firstLine="0" w:firstLineChars="0"/>
              <w:jc w:val="center"/>
              <w:rPr>
                <w:rFonts w:hAnsi="Times New Roman"/>
                <w:color w:val="auto"/>
                <w:kern w:val="2"/>
                <w:sz w:val="21"/>
                <w:szCs w:val="21"/>
                <w:highlight w:val="none"/>
                <w:u w:val="none"/>
                <w:lang w:val="en-US"/>
              </w:rPr>
            </w:pPr>
            <w:r>
              <w:rPr>
                <w:rFonts w:hAnsi="Times New Roman"/>
                <w:color w:val="auto"/>
                <w:kern w:val="2"/>
                <w:sz w:val="21"/>
                <w:szCs w:val="21"/>
                <w:highlight w:val="none"/>
                <w:u w:val="none"/>
                <w:lang w:val="en-US"/>
              </w:rPr>
              <w:t>注：“□”为勾选项，可√；“（</w:t>
            </w:r>
            <w:r>
              <w:rPr>
                <w:rFonts w:hAnsi="Times New Roman"/>
                <w:color w:val="auto"/>
                <w:kern w:val="2"/>
                <w:sz w:val="21"/>
                <w:szCs w:val="21"/>
                <w:highlight w:val="none"/>
                <w:u w:val="none"/>
                <w:lang w:val="en-US"/>
              </w:rPr>
              <w:tab/>
            </w:r>
            <w:r>
              <w:rPr>
                <w:rFonts w:hAnsi="Times New Roman"/>
                <w:color w:val="auto"/>
                <w:kern w:val="2"/>
                <w:sz w:val="21"/>
                <w:szCs w:val="21"/>
                <w:highlight w:val="none"/>
                <w:u w:val="none"/>
                <w:lang w:val="en-US"/>
              </w:rPr>
              <w:t>）”为内容填写项；“备注”为其他补充内容。</w:t>
            </w:r>
          </w:p>
        </w:tc>
      </w:tr>
    </w:tbl>
    <w:p w14:paraId="5BAB56C7">
      <w:pPr>
        <w:ind w:firstLine="0" w:firstLineChars="0"/>
        <w:rPr>
          <w:rFonts w:hint="eastAsia"/>
          <w:color w:val="auto"/>
          <w:highlight w:val="none"/>
          <w:u w:val="none"/>
        </w:rPr>
      </w:pPr>
    </w:p>
    <w:p w14:paraId="572CF239">
      <w:pPr>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72555E0E">
      <w:pPr>
        <w:pStyle w:val="4"/>
        <w:rPr>
          <w:color w:val="auto"/>
          <w:highlight w:val="none"/>
          <w:u w:val="none"/>
        </w:rPr>
      </w:pPr>
      <w:bookmarkStart w:id="504" w:name="_Toc148374819"/>
      <w:bookmarkStart w:id="505" w:name="_Toc24309"/>
      <w:bookmarkStart w:id="506" w:name="_Toc148374606"/>
      <w:bookmarkStart w:id="507" w:name="_Toc148375048"/>
      <w:r>
        <w:rPr>
          <w:rFonts w:hint="eastAsia"/>
          <w:color w:val="auto"/>
          <w:highlight w:val="none"/>
          <w:u w:val="none"/>
        </w:rPr>
        <w:t>地下水环境影响分析</w:t>
      </w:r>
      <w:bookmarkEnd w:id="504"/>
      <w:bookmarkEnd w:id="505"/>
      <w:bookmarkEnd w:id="506"/>
      <w:bookmarkEnd w:id="507"/>
    </w:p>
    <w:p w14:paraId="500627C3">
      <w:pPr>
        <w:pStyle w:val="6"/>
        <w:spacing w:before="156" w:after="156"/>
        <w:rPr>
          <w:color w:val="auto"/>
          <w:highlight w:val="none"/>
          <w:u w:val="none"/>
        </w:rPr>
      </w:pPr>
      <w:bookmarkStart w:id="508" w:name="_Toc148374607"/>
      <w:bookmarkStart w:id="509" w:name="_Toc148375049"/>
      <w:r>
        <w:rPr>
          <w:rFonts w:hint="eastAsia"/>
          <w:color w:val="auto"/>
          <w:highlight w:val="none"/>
          <w:u w:val="none"/>
        </w:rPr>
        <w:t>地形地貌</w:t>
      </w:r>
      <w:bookmarkEnd w:id="508"/>
      <w:bookmarkEnd w:id="509"/>
    </w:p>
    <w:p w14:paraId="111DAB43">
      <w:pPr>
        <w:pStyle w:val="6"/>
        <w:spacing w:before="156" w:after="156"/>
        <w:rPr>
          <w:color w:val="auto"/>
          <w:highlight w:val="none"/>
          <w:u w:val="none"/>
        </w:rPr>
      </w:pPr>
      <w:bookmarkStart w:id="510" w:name="_Toc148374608"/>
      <w:bookmarkStart w:id="511" w:name="_Toc148375050"/>
      <w:r>
        <w:rPr>
          <w:rFonts w:hint="eastAsia"/>
          <w:color w:val="auto"/>
          <w:highlight w:val="none"/>
          <w:u w:val="none"/>
        </w:rPr>
        <w:t>工程地质</w:t>
      </w:r>
      <w:bookmarkEnd w:id="510"/>
      <w:bookmarkEnd w:id="511"/>
    </w:p>
    <w:p w14:paraId="0EFBCFD9">
      <w:pPr>
        <w:pStyle w:val="6"/>
        <w:spacing w:before="156" w:after="156"/>
        <w:rPr>
          <w:color w:val="auto"/>
          <w:highlight w:val="none"/>
          <w:u w:val="none"/>
        </w:rPr>
      </w:pPr>
      <w:bookmarkStart w:id="512" w:name="_Toc148374609"/>
      <w:bookmarkStart w:id="513" w:name="_Toc148375051"/>
      <w:r>
        <w:rPr>
          <w:rFonts w:hint="eastAsia"/>
          <w:color w:val="auto"/>
          <w:highlight w:val="none"/>
          <w:u w:val="none"/>
        </w:rPr>
        <w:t>水文地质</w:t>
      </w:r>
      <w:bookmarkEnd w:id="512"/>
      <w:bookmarkEnd w:id="513"/>
    </w:p>
    <w:p w14:paraId="1F96527C">
      <w:pPr>
        <w:pStyle w:val="6"/>
        <w:spacing w:before="156" w:after="156"/>
        <w:rPr>
          <w:color w:val="auto"/>
          <w:highlight w:val="none"/>
          <w:u w:val="none"/>
        </w:rPr>
      </w:pPr>
      <w:bookmarkStart w:id="514" w:name="_Toc148375052"/>
      <w:bookmarkStart w:id="515" w:name="_Toc148374610"/>
      <w:r>
        <w:rPr>
          <w:rFonts w:hint="eastAsia"/>
          <w:color w:val="auto"/>
          <w:highlight w:val="none"/>
          <w:u w:val="none"/>
        </w:rPr>
        <w:t>地下水资源开发现状</w:t>
      </w:r>
      <w:bookmarkEnd w:id="514"/>
      <w:bookmarkEnd w:id="515"/>
    </w:p>
    <w:p w14:paraId="7C116A1E">
      <w:pPr>
        <w:pStyle w:val="6"/>
        <w:spacing w:before="156" w:after="156"/>
        <w:rPr>
          <w:color w:val="auto"/>
          <w:highlight w:val="none"/>
          <w:u w:val="none"/>
        </w:rPr>
      </w:pPr>
      <w:bookmarkStart w:id="516" w:name="_Toc148375053"/>
      <w:bookmarkStart w:id="517" w:name="_Toc148374611"/>
      <w:r>
        <w:rPr>
          <w:rFonts w:hint="eastAsia"/>
          <w:color w:val="auto"/>
          <w:highlight w:val="none"/>
          <w:u w:val="none"/>
        </w:rPr>
        <w:t>地下水环境影响分析</w:t>
      </w:r>
      <w:bookmarkEnd w:id="516"/>
      <w:bookmarkEnd w:id="517"/>
    </w:p>
    <w:p w14:paraId="432105D2">
      <w:pPr>
        <w:pStyle w:val="7"/>
        <w:spacing w:before="156"/>
        <w:rPr>
          <w:color w:val="auto"/>
          <w:highlight w:val="none"/>
          <w:u w:val="none"/>
        </w:rPr>
      </w:pPr>
      <w:r>
        <w:rPr>
          <w:rFonts w:hint="eastAsia"/>
          <w:color w:val="auto"/>
          <w:highlight w:val="none"/>
          <w:u w:val="none"/>
        </w:rPr>
        <w:t>地下水评价工作等级划分及评价范围</w:t>
      </w:r>
    </w:p>
    <w:p w14:paraId="64E92C1E">
      <w:pPr>
        <w:pStyle w:val="5"/>
        <w:numPr>
          <w:ilvl w:val="0"/>
          <w:numId w:val="7"/>
        </w:numPr>
        <w:ind w:firstLineChars="0"/>
        <w:rPr>
          <w:rFonts w:hint="eastAsia"/>
          <w:color w:val="auto"/>
          <w:highlight w:val="none"/>
          <w:u w:val="none"/>
        </w:rPr>
      </w:pPr>
      <w:r>
        <w:rPr>
          <w:rFonts w:hint="eastAsia"/>
          <w:color w:val="auto"/>
          <w:highlight w:val="none"/>
          <w:u w:val="none"/>
        </w:rPr>
        <w:t>划分依据</w:t>
      </w:r>
    </w:p>
    <w:p w14:paraId="604E6B24">
      <w:pPr>
        <w:pStyle w:val="5"/>
        <w:ind w:left="480" w:firstLine="0" w:firstLineChars="0"/>
        <w:rPr>
          <w:rFonts w:hint="eastAsia"/>
          <w:color w:val="auto"/>
          <w:highlight w:val="none"/>
          <w:u w:val="none"/>
        </w:rPr>
      </w:pPr>
      <w:r>
        <w:rPr>
          <w:rFonts w:hint="eastAsia"/>
          <w:color w:val="auto"/>
          <w:highlight w:val="none"/>
          <w:u w:val="none"/>
        </w:rPr>
        <w:t>①项目类别</w:t>
      </w:r>
    </w:p>
    <w:p w14:paraId="3B7121AA">
      <w:pPr>
        <w:pStyle w:val="5"/>
        <w:ind w:firstLineChars="0"/>
        <w:rPr>
          <w:rFonts w:hint="eastAsia"/>
          <w:color w:val="auto"/>
          <w:highlight w:val="none"/>
          <w:u w:val="none"/>
        </w:rPr>
      </w:pPr>
      <w:r>
        <w:rPr>
          <w:rFonts w:hint="eastAsia"/>
          <w:color w:val="auto"/>
          <w:highlight w:val="none"/>
          <w:u w:val="none"/>
        </w:rPr>
        <w:t>根据《环境影响评价技术导则</w:t>
      </w:r>
      <w:r>
        <w:rPr>
          <w:color w:val="auto"/>
          <w:highlight w:val="none"/>
          <w:u w:val="none"/>
        </w:rPr>
        <w:t xml:space="preserve"> 地下水环境》（HJ 610-2016）附录 A，建设项目涉</w:t>
      </w:r>
      <w:r>
        <w:rPr>
          <w:rFonts w:hint="eastAsia"/>
          <w:color w:val="auto"/>
          <w:highlight w:val="none"/>
          <w:u w:val="none"/>
        </w:rPr>
        <w:t>及除单纯混合和分装外的基本化学原料制造，本项目地下水环境影响评价项目类别为Ⅰ类，详见</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REF _Ref146294933 \h</w:instrText>
      </w:r>
      <w:r>
        <w:rPr>
          <w:b/>
          <w:bCs/>
          <w:color w:val="auto"/>
          <w:highlight w:val="none"/>
          <w:u w:val="none"/>
        </w:rPr>
        <w:instrText xml:space="preserve">  \* MERGEFORMAT </w:instrText>
      </w:r>
      <w:r>
        <w:rPr>
          <w:b/>
          <w:bCs/>
          <w:color w:val="auto"/>
          <w:highlight w:val="none"/>
          <w:u w:val="none"/>
        </w:rPr>
        <w:fldChar w:fldCharType="separate"/>
      </w:r>
      <w:r>
        <w:rPr>
          <w:rStyle w:val="87"/>
          <w:b w:val="0"/>
          <w:bCs/>
          <w:color w:val="auto"/>
          <w:highlight w:val="none"/>
          <w:u w:val="none"/>
        </w:rPr>
        <w:t>表 8.3</w:t>
      </w:r>
      <w:r>
        <w:rPr>
          <w:rStyle w:val="87"/>
          <w:b w:val="0"/>
          <w:bCs/>
          <w:color w:val="auto"/>
          <w:highlight w:val="none"/>
          <w:u w:val="none"/>
        </w:rPr>
        <w:noBreakHyphen/>
      </w:r>
      <w:r>
        <w:rPr>
          <w:rStyle w:val="87"/>
          <w:b w:val="0"/>
          <w:bCs/>
          <w:color w:val="auto"/>
          <w:highlight w:val="none"/>
          <w:u w:val="none"/>
        </w:rPr>
        <w:t>1</w:t>
      </w:r>
      <w:r>
        <w:rPr>
          <w:b/>
          <w:bCs/>
          <w:color w:val="auto"/>
          <w:highlight w:val="none"/>
          <w:u w:val="none"/>
        </w:rPr>
        <w:fldChar w:fldCharType="end"/>
      </w:r>
      <w:r>
        <w:rPr>
          <w:rFonts w:hint="eastAsia"/>
          <w:color w:val="auto"/>
          <w:highlight w:val="none"/>
          <w:u w:val="none"/>
        </w:rPr>
        <w:t>。</w:t>
      </w:r>
    </w:p>
    <w:p w14:paraId="7E254B93">
      <w:pPr>
        <w:pStyle w:val="85"/>
        <w:rPr>
          <w:rFonts w:hint="eastAsia"/>
          <w:color w:val="auto"/>
          <w:highlight w:val="none"/>
          <w:u w:val="none"/>
        </w:rPr>
      </w:pPr>
      <w:bookmarkStart w:id="518" w:name="_Ref146294933"/>
      <w:bookmarkStart w:id="519" w:name="_Ref14629491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518"/>
      <w:r>
        <w:rPr>
          <w:rFonts w:hint="eastAsia"/>
          <w:color w:val="auto"/>
          <w:highlight w:val="none"/>
          <w:u w:val="none"/>
        </w:rPr>
        <w:t>地下水环境影响评价行业分类表</w:t>
      </w:r>
      <w:bookmarkEnd w:id="519"/>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97"/>
        <w:gridCol w:w="955"/>
        <w:gridCol w:w="1268"/>
        <w:gridCol w:w="1426"/>
        <w:gridCol w:w="1040"/>
      </w:tblGrid>
      <w:tr w14:paraId="2CE52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475" w:type="pct"/>
            <w:vMerge w:val="restart"/>
            <w:vAlign w:val="center"/>
          </w:tcPr>
          <w:p w14:paraId="77D137EA">
            <w:pPr>
              <w:pStyle w:val="92"/>
              <w:rPr>
                <w:color w:val="auto"/>
                <w:highlight w:val="none"/>
                <w:u w:val="none"/>
              </w:rPr>
            </w:pPr>
            <w:r>
              <w:rPr>
                <w:rFonts w:hint="eastAsia"/>
                <w:color w:val="auto"/>
                <w:highlight w:val="none"/>
                <w:u w:val="none"/>
              </w:rPr>
              <w:t>行业类别</w:t>
            </w:r>
          </w:p>
        </w:tc>
        <w:tc>
          <w:tcPr>
            <w:tcW w:w="514" w:type="pct"/>
            <w:vMerge w:val="restart"/>
            <w:vAlign w:val="center"/>
          </w:tcPr>
          <w:p w14:paraId="305B1368">
            <w:pPr>
              <w:pStyle w:val="92"/>
              <w:rPr>
                <w:color w:val="auto"/>
                <w:highlight w:val="none"/>
                <w:u w:val="none"/>
              </w:rPr>
            </w:pPr>
            <w:r>
              <w:rPr>
                <w:rFonts w:hint="eastAsia"/>
                <w:color w:val="auto"/>
                <w:highlight w:val="none"/>
                <w:u w:val="none"/>
              </w:rPr>
              <w:t>报告书</w:t>
            </w:r>
          </w:p>
        </w:tc>
        <w:tc>
          <w:tcPr>
            <w:tcW w:w="683" w:type="pct"/>
            <w:vMerge w:val="restart"/>
            <w:vAlign w:val="center"/>
          </w:tcPr>
          <w:p w14:paraId="310438F3">
            <w:pPr>
              <w:pStyle w:val="92"/>
              <w:rPr>
                <w:color w:val="auto"/>
                <w:highlight w:val="none"/>
                <w:u w:val="none"/>
              </w:rPr>
            </w:pPr>
            <w:r>
              <w:rPr>
                <w:rFonts w:hint="eastAsia"/>
                <w:color w:val="auto"/>
                <w:highlight w:val="none"/>
                <w:u w:val="none"/>
              </w:rPr>
              <w:t>报告表</w:t>
            </w:r>
          </w:p>
        </w:tc>
        <w:tc>
          <w:tcPr>
            <w:tcW w:w="1329" w:type="pct"/>
            <w:gridSpan w:val="2"/>
            <w:vAlign w:val="center"/>
          </w:tcPr>
          <w:p w14:paraId="0A0996A6">
            <w:pPr>
              <w:pStyle w:val="92"/>
              <w:rPr>
                <w:color w:val="auto"/>
                <w:highlight w:val="none"/>
                <w:u w:val="none"/>
              </w:rPr>
            </w:pPr>
            <w:r>
              <w:rPr>
                <w:rFonts w:hint="eastAsia"/>
                <w:color w:val="auto"/>
                <w:highlight w:val="none"/>
                <w:u w:val="none"/>
              </w:rPr>
              <w:t>地下水环境影响评价项目类别</w:t>
            </w:r>
          </w:p>
        </w:tc>
      </w:tr>
      <w:tr w14:paraId="1CBB3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475" w:type="pct"/>
            <w:vMerge w:val="continue"/>
            <w:vAlign w:val="center"/>
          </w:tcPr>
          <w:p w14:paraId="6DF01468">
            <w:pPr>
              <w:pStyle w:val="92"/>
              <w:rPr>
                <w:color w:val="auto"/>
                <w:highlight w:val="none"/>
                <w:u w:val="none"/>
              </w:rPr>
            </w:pPr>
          </w:p>
        </w:tc>
        <w:tc>
          <w:tcPr>
            <w:tcW w:w="514" w:type="pct"/>
            <w:vMerge w:val="continue"/>
            <w:vAlign w:val="center"/>
          </w:tcPr>
          <w:p w14:paraId="2E4BD963">
            <w:pPr>
              <w:pStyle w:val="92"/>
              <w:rPr>
                <w:color w:val="auto"/>
                <w:highlight w:val="none"/>
                <w:u w:val="none"/>
              </w:rPr>
            </w:pPr>
          </w:p>
        </w:tc>
        <w:tc>
          <w:tcPr>
            <w:tcW w:w="683" w:type="pct"/>
            <w:vMerge w:val="continue"/>
            <w:vAlign w:val="center"/>
          </w:tcPr>
          <w:p w14:paraId="2EDF6B54">
            <w:pPr>
              <w:pStyle w:val="92"/>
              <w:rPr>
                <w:color w:val="auto"/>
                <w:highlight w:val="none"/>
                <w:u w:val="none"/>
              </w:rPr>
            </w:pPr>
          </w:p>
        </w:tc>
        <w:tc>
          <w:tcPr>
            <w:tcW w:w="768" w:type="pct"/>
            <w:vAlign w:val="center"/>
          </w:tcPr>
          <w:p w14:paraId="4C25507A">
            <w:pPr>
              <w:pStyle w:val="92"/>
              <w:rPr>
                <w:color w:val="auto"/>
                <w:highlight w:val="none"/>
                <w:u w:val="none"/>
              </w:rPr>
            </w:pPr>
            <w:r>
              <w:rPr>
                <w:rFonts w:hint="eastAsia"/>
                <w:color w:val="auto"/>
                <w:highlight w:val="none"/>
                <w:u w:val="none"/>
              </w:rPr>
              <w:t>报告书</w:t>
            </w:r>
          </w:p>
        </w:tc>
        <w:tc>
          <w:tcPr>
            <w:tcW w:w="561" w:type="pct"/>
            <w:vAlign w:val="center"/>
          </w:tcPr>
          <w:p w14:paraId="4E8D45CA">
            <w:pPr>
              <w:pStyle w:val="92"/>
              <w:rPr>
                <w:color w:val="auto"/>
                <w:highlight w:val="none"/>
                <w:u w:val="none"/>
              </w:rPr>
            </w:pPr>
            <w:r>
              <w:rPr>
                <w:rFonts w:hint="eastAsia"/>
                <w:color w:val="auto"/>
                <w:highlight w:val="none"/>
                <w:u w:val="none"/>
              </w:rPr>
              <w:t>报告表</w:t>
            </w:r>
          </w:p>
        </w:tc>
      </w:tr>
      <w:tr w14:paraId="558AE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75" w:type="pct"/>
            <w:vAlign w:val="center"/>
          </w:tcPr>
          <w:p w14:paraId="5660936B">
            <w:pPr>
              <w:pStyle w:val="92"/>
              <w:rPr>
                <w:color w:val="auto"/>
                <w:highlight w:val="none"/>
                <w:u w:val="none"/>
              </w:rPr>
            </w:pPr>
            <w:r>
              <w:rPr>
                <w:color w:val="auto"/>
                <w:highlight w:val="none"/>
                <w:u w:val="none"/>
              </w:rPr>
              <w:t>85、</w:t>
            </w:r>
            <w:r>
              <w:rPr>
                <w:b/>
                <w:bCs/>
                <w:color w:val="auto"/>
                <w:highlight w:val="none"/>
                <w:u w:val="none"/>
              </w:rPr>
              <w:t>基本化学原料制造</w:t>
            </w:r>
            <w:r>
              <w:rPr>
                <w:color w:val="auto"/>
                <w:highlight w:val="none"/>
                <w:u w:val="none"/>
              </w:rPr>
              <w:t>；化学肥料制造；农</w:t>
            </w:r>
            <w:r>
              <w:rPr>
                <w:rFonts w:hint="eastAsia"/>
                <w:color w:val="auto"/>
                <w:highlight w:val="none"/>
                <w:u w:val="none"/>
              </w:rPr>
              <w:t>药制造；涂料、染料、颜料、油墨及其类似产品制造；合成材料制造；专用化学品制造；炸药、火工及焰火产品制造；饲料添加剂、食品添加剂及水处理剂等制造</w:t>
            </w:r>
          </w:p>
        </w:tc>
        <w:tc>
          <w:tcPr>
            <w:tcW w:w="514" w:type="pct"/>
            <w:vAlign w:val="center"/>
          </w:tcPr>
          <w:p w14:paraId="52045386">
            <w:pPr>
              <w:pStyle w:val="92"/>
              <w:rPr>
                <w:rFonts w:ascii="宋体" w:cs="宋体"/>
                <w:color w:val="auto"/>
                <w:highlight w:val="none"/>
                <w:u w:val="none"/>
              </w:rPr>
            </w:pPr>
            <w:r>
              <w:rPr>
                <w:rFonts w:hint="eastAsia" w:ascii="宋体" w:cs="宋体"/>
                <w:b/>
                <w:bCs/>
                <w:color w:val="auto"/>
                <w:highlight w:val="none"/>
                <w:u w:val="none"/>
              </w:rPr>
              <w:t>除单纯混合</w:t>
            </w:r>
            <w:r>
              <w:rPr>
                <w:rFonts w:hint="eastAsia" w:ascii="宋体" w:hAnsi="宋体" w:cs="宋体"/>
                <w:b/>
                <w:bCs/>
                <w:color w:val="auto"/>
                <w:kern w:val="0"/>
                <w:highlight w:val="none"/>
                <w:u w:val="none"/>
              </w:rPr>
              <w:t>和分装外</w:t>
            </w:r>
          </w:p>
        </w:tc>
        <w:tc>
          <w:tcPr>
            <w:tcW w:w="683" w:type="pct"/>
            <w:vAlign w:val="center"/>
          </w:tcPr>
          <w:p w14:paraId="0B052BDA">
            <w:pPr>
              <w:pStyle w:val="92"/>
              <w:rPr>
                <w:rFonts w:ascii="宋体" w:cs="宋体"/>
                <w:color w:val="auto"/>
                <w:highlight w:val="none"/>
                <w:u w:val="none"/>
              </w:rPr>
            </w:pPr>
            <w:r>
              <w:rPr>
                <w:rFonts w:hint="eastAsia" w:ascii="宋体" w:cs="宋体"/>
                <w:color w:val="auto"/>
                <w:highlight w:val="none"/>
                <w:u w:val="none"/>
              </w:rPr>
              <w:t>单纯混合</w:t>
            </w:r>
            <w:r>
              <w:rPr>
                <w:rFonts w:hint="eastAsia" w:ascii="宋体" w:hAnsi="宋体" w:cs="宋体"/>
                <w:color w:val="auto"/>
                <w:kern w:val="0"/>
                <w:highlight w:val="none"/>
                <w:u w:val="none"/>
              </w:rPr>
              <w:t>或分装的</w:t>
            </w:r>
          </w:p>
        </w:tc>
        <w:tc>
          <w:tcPr>
            <w:tcW w:w="768" w:type="pct"/>
            <w:vAlign w:val="center"/>
          </w:tcPr>
          <w:p w14:paraId="606FFA73">
            <w:pPr>
              <w:pStyle w:val="92"/>
              <w:rPr>
                <w:color w:val="auto"/>
                <w:highlight w:val="none"/>
                <w:u w:val="none"/>
              </w:rPr>
            </w:pPr>
            <w:r>
              <w:rPr>
                <w:b/>
                <w:bCs/>
                <w:color w:val="auto"/>
                <w:highlight w:val="none"/>
                <w:u w:val="none"/>
              </w:rPr>
              <w:t xml:space="preserve">I </w:t>
            </w:r>
            <w:r>
              <w:rPr>
                <w:rFonts w:hint="eastAsia"/>
                <w:b/>
                <w:bCs/>
                <w:color w:val="auto"/>
                <w:highlight w:val="none"/>
                <w:u w:val="none"/>
              </w:rPr>
              <w:t>类</w:t>
            </w:r>
          </w:p>
        </w:tc>
        <w:tc>
          <w:tcPr>
            <w:tcW w:w="561" w:type="pct"/>
            <w:vAlign w:val="center"/>
          </w:tcPr>
          <w:p w14:paraId="42E7E6B8">
            <w:pPr>
              <w:pStyle w:val="92"/>
              <w:rPr>
                <w:color w:val="auto"/>
                <w:highlight w:val="none"/>
                <w:u w:val="none"/>
              </w:rPr>
            </w:pPr>
            <w:r>
              <w:rPr>
                <w:color w:val="auto"/>
                <w:highlight w:val="none"/>
                <w:u w:val="none"/>
              </w:rPr>
              <w:t xml:space="preserve">III </w:t>
            </w:r>
            <w:r>
              <w:rPr>
                <w:rFonts w:hint="eastAsia"/>
                <w:color w:val="auto"/>
                <w:highlight w:val="none"/>
                <w:u w:val="none"/>
              </w:rPr>
              <w:t>类</w:t>
            </w:r>
          </w:p>
        </w:tc>
      </w:tr>
    </w:tbl>
    <w:p w14:paraId="4D7E173D">
      <w:pPr>
        <w:pStyle w:val="5"/>
        <w:ind w:left="709" w:firstLine="0" w:firstLineChars="0"/>
        <w:rPr>
          <w:rFonts w:hint="eastAsia"/>
          <w:color w:val="auto"/>
          <w:highlight w:val="none"/>
          <w:u w:val="none"/>
        </w:rPr>
      </w:pPr>
      <w:r>
        <w:rPr>
          <w:rFonts w:hint="eastAsia"/>
          <w:color w:val="auto"/>
          <w:highlight w:val="none"/>
          <w:u w:val="none"/>
        </w:rPr>
        <w:t>②敏感程度</w:t>
      </w:r>
    </w:p>
    <w:p w14:paraId="794E6F40">
      <w:pPr>
        <w:pStyle w:val="5"/>
        <w:ind w:firstLineChars="0"/>
        <w:rPr>
          <w:rFonts w:hint="eastAsia"/>
          <w:color w:val="auto"/>
          <w:highlight w:val="none"/>
          <w:u w:val="none"/>
        </w:rPr>
      </w:pPr>
      <w:r>
        <w:rPr>
          <w:rFonts w:hint="eastAsia"/>
          <w:color w:val="auto"/>
          <w:highlight w:val="none"/>
          <w:u w:val="none"/>
        </w:rPr>
        <w:t>项目厂区处于区内水文地质分带的下游滨海平原区，为地下水排泄区。项目所在区域不涉及地下水集中式饮用水源，不涉及国家或地方政府设定的地下水环境相关的其他保护区；不涉及地下水集中式饮用水源的补给径流区，不涉及分散式引用水源地及其他地下水环境敏感区。</w:t>
      </w:r>
    </w:p>
    <w:p w14:paraId="510EE043">
      <w:pPr>
        <w:pStyle w:val="5"/>
        <w:ind w:firstLineChars="0"/>
        <w:rPr>
          <w:rFonts w:hint="eastAsia"/>
          <w:color w:val="auto"/>
          <w:highlight w:val="none"/>
          <w:u w:val="none"/>
        </w:rPr>
      </w:pPr>
      <w:r>
        <w:rPr>
          <w:rFonts w:hint="eastAsia"/>
          <w:color w:val="auto"/>
          <w:highlight w:val="none"/>
          <w:u w:val="none"/>
        </w:rPr>
        <w:t>综上，项目地下水环境敏感程度属不敏感。</w:t>
      </w:r>
    </w:p>
    <w:p w14:paraId="42BE477A">
      <w:pPr>
        <w:pStyle w:val="5"/>
        <w:ind w:firstLineChars="0"/>
        <w:rPr>
          <w:rFonts w:hint="eastAsia"/>
          <w:color w:val="auto"/>
          <w:highlight w:val="none"/>
          <w:u w:val="none"/>
        </w:rPr>
      </w:pPr>
      <w:r>
        <w:rPr>
          <w:rFonts w:hint="eastAsia"/>
          <w:color w:val="auto"/>
          <w:highlight w:val="none"/>
          <w:u w:val="none"/>
        </w:rPr>
        <w:t>（2）评价工作等级</w:t>
      </w:r>
    </w:p>
    <w:p w14:paraId="18C8E4B2">
      <w:pPr>
        <w:pStyle w:val="5"/>
        <w:ind w:firstLineChars="0"/>
        <w:rPr>
          <w:rFonts w:hint="eastAsia"/>
          <w:color w:val="auto"/>
          <w:highlight w:val="none"/>
          <w:u w:val="none"/>
        </w:rPr>
      </w:pPr>
      <w:r>
        <w:rPr>
          <w:rFonts w:hint="eastAsia"/>
          <w:color w:val="auto"/>
          <w:highlight w:val="none"/>
          <w:u w:val="none"/>
        </w:rPr>
        <w:t>根据《环境影响评价技术导则——地下水环境》（</w:t>
      </w:r>
      <w:r>
        <w:rPr>
          <w:color w:val="auto"/>
          <w:highlight w:val="none"/>
          <w:u w:val="none"/>
        </w:rPr>
        <w:t>HJ 610-2016），建设项目厂址区</w:t>
      </w:r>
      <w:r>
        <w:rPr>
          <w:rFonts w:hint="eastAsia"/>
          <w:color w:val="auto"/>
          <w:highlight w:val="none"/>
          <w:u w:val="none"/>
        </w:rPr>
        <w:t>域地下水环境敏感特征为</w:t>
      </w:r>
      <w:r>
        <w:rPr>
          <w:rFonts w:hint="eastAsia"/>
          <w:b/>
          <w:bCs/>
          <w:color w:val="auto"/>
          <w:highlight w:val="none"/>
          <w:u w:val="none"/>
        </w:rPr>
        <w:t>不敏感</w:t>
      </w:r>
      <w:r>
        <w:rPr>
          <w:rFonts w:hint="eastAsia"/>
          <w:color w:val="auto"/>
          <w:highlight w:val="none"/>
          <w:u w:val="none"/>
        </w:rPr>
        <w:t>，项目类别为</w:t>
      </w:r>
      <w:r>
        <w:rPr>
          <w:color w:val="auto"/>
          <w:highlight w:val="none"/>
          <w:u w:val="none"/>
        </w:rPr>
        <w:t xml:space="preserve"> I 类，评价工作等级为</w:t>
      </w:r>
      <w:r>
        <w:rPr>
          <w:b/>
          <w:bCs/>
          <w:color w:val="auto"/>
          <w:highlight w:val="none"/>
          <w:u w:val="none"/>
        </w:rPr>
        <w:t>二级</w:t>
      </w:r>
      <w:r>
        <w:rPr>
          <w:rFonts w:hint="eastAsia"/>
          <w:color w:val="auto"/>
          <w:highlight w:val="none"/>
          <w:u w:val="none"/>
        </w:rPr>
        <w:t>。详见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_Ref146295956 \h</w:instrText>
      </w:r>
      <w:r>
        <w:rPr>
          <w:color w:val="auto"/>
          <w:highlight w:val="none"/>
          <w:u w:val="none"/>
        </w:rPr>
        <w:instrText xml:space="preserve">  \* MERGEFORMAT </w:instrText>
      </w:r>
      <w:r>
        <w:rPr>
          <w:color w:val="auto"/>
          <w:highlight w:val="none"/>
          <w:u w:val="none"/>
        </w:rPr>
        <w:fldChar w:fldCharType="separate"/>
      </w:r>
      <w:r>
        <w:rPr>
          <w:rStyle w:val="87"/>
          <w:color w:val="auto"/>
          <w:highlight w:val="none"/>
          <w:u w:val="none"/>
        </w:rPr>
        <w:t>表 8.3</w:t>
      </w:r>
      <w:r>
        <w:rPr>
          <w:rStyle w:val="87"/>
          <w:color w:val="auto"/>
          <w:highlight w:val="none"/>
          <w:u w:val="none"/>
        </w:rPr>
        <w:noBreakHyphen/>
      </w:r>
      <w:r>
        <w:rPr>
          <w:rStyle w:val="87"/>
          <w:color w:val="auto"/>
          <w:highlight w:val="none"/>
          <w:u w:val="none"/>
        </w:rPr>
        <w:t>2</w:t>
      </w:r>
      <w:r>
        <w:rPr>
          <w:color w:val="auto"/>
          <w:highlight w:val="none"/>
          <w:u w:val="none"/>
        </w:rPr>
        <w:fldChar w:fldCharType="end"/>
      </w:r>
      <w:r>
        <w:rPr>
          <w:rFonts w:hint="eastAsia"/>
          <w:color w:val="auto"/>
          <w:highlight w:val="none"/>
          <w:u w:val="none"/>
        </w:rPr>
        <w:t>。</w:t>
      </w:r>
    </w:p>
    <w:p w14:paraId="6DFA3E2D">
      <w:pPr>
        <w:pStyle w:val="85"/>
        <w:rPr>
          <w:rFonts w:hint="eastAsia"/>
          <w:color w:val="auto"/>
          <w:highlight w:val="none"/>
          <w:u w:val="none"/>
        </w:rPr>
      </w:pPr>
      <w:bookmarkStart w:id="520" w:name="_Ref14629595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520"/>
      <w:r>
        <w:rPr>
          <w:rFonts w:hint="eastAsia"/>
          <w:color w:val="auto"/>
          <w:highlight w:val="none"/>
          <w:u w:val="none"/>
        </w:rPr>
        <w:t>项目评价工作</w:t>
      </w:r>
      <w:r>
        <w:rPr>
          <w:rFonts w:hint="eastAsia"/>
          <w:color w:val="auto"/>
          <w:highlight w:val="none"/>
          <w:u w:val="none"/>
          <w:lang w:val="en-US"/>
        </w:rPr>
        <w:t>等级</w:t>
      </w:r>
      <w:r>
        <w:rPr>
          <w:rFonts w:hint="eastAsia"/>
          <w:color w:val="auto"/>
          <w:highlight w:val="none"/>
          <w:u w:val="none"/>
        </w:rPr>
        <w:t>分级</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14:paraId="6647A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3430496C">
            <w:pPr>
              <w:pStyle w:val="92"/>
              <w:rPr>
                <w:color w:val="auto"/>
                <w:highlight w:val="none"/>
                <w:u w:val="none"/>
              </w:rPr>
            </w:pPr>
            <w:r>
              <w:rPr>
                <w:rFonts w:hint="eastAsia"/>
                <w:color w:val="auto"/>
                <w:highlight w:val="none"/>
                <w:u w:val="none"/>
              </w:rPr>
              <w:t>项目敏感程度</w:t>
            </w:r>
          </w:p>
        </w:tc>
        <w:tc>
          <w:tcPr>
            <w:tcW w:w="1250" w:type="pct"/>
            <w:vAlign w:val="center"/>
          </w:tcPr>
          <w:p w14:paraId="3B7D7E7D">
            <w:pPr>
              <w:pStyle w:val="92"/>
              <w:rPr>
                <w:color w:val="auto"/>
                <w:highlight w:val="none"/>
                <w:u w:val="none"/>
              </w:rPr>
            </w:pPr>
            <w:r>
              <w:rPr>
                <w:rFonts w:hint="eastAsia"/>
                <w:color w:val="auto"/>
                <w:highlight w:val="none"/>
                <w:u w:val="none"/>
              </w:rPr>
              <w:t>I类（本项目类别）</w:t>
            </w:r>
          </w:p>
        </w:tc>
        <w:tc>
          <w:tcPr>
            <w:tcW w:w="1250" w:type="pct"/>
            <w:vAlign w:val="center"/>
          </w:tcPr>
          <w:p w14:paraId="586A5B79">
            <w:pPr>
              <w:pStyle w:val="92"/>
              <w:rPr>
                <w:color w:val="auto"/>
                <w:highlight w:val="none"/>
                <w:u w:val="none"/>
              </w:rPr>
            </w:pPr>
            <w:r>
              <w:rPr>
                <w:rFonts w:hint="eastAsia"/>
                <w:color w:val="auto"/>
                <w:highlight w:val="none"/>
                <w:u w:val="none"/>
              </w:rPr>
              <w:t>II</w:t>
            </w:r>
          </w:p>
        </w:tc>
        <w:tc>
          <w:tcPr>
            <w:tcW w:w="1250" w:type="pct"/>
            <w:vAlign w:val="center"/>
          </w:tcPr>
          <w:p w14:paraId="0344178A">
            <w:pPr>
              <w:pStyle w:val="92"/>
              <w:rPr>
                <w:color w:val="auto"/>
                <w:highlight w:val="none"/>
                <w:u w:val="none"/>
              </w:rPr>
            </w:pPr>
            <w:r>
              <w:rPr>
                <w:rFonts w:hint="eastAsia"/>
                <w:color w:val="auto"/>
                <w:highlight w:val="none"/>
                <w:u w:val="none"/>
              </w:rPr>
              <w:t>III</w:t>
            </w:r>
          </w:p>
        </w:tc>
      </w:tr>
      <w:tr w14:paraId="22859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72FF475">
            <w:pPr>
              <w:pStyle w:val="92"/>
              <w:rPr>
                <w:color w:val="auto"/>
                <w:highlight w:val="none"/>
                <w:u w:val="none"/>
              </w:rPr>
            </w:pPr>
            <w:r>
              <w:rPr>
                <w:rFonts w:hint="eastAsia"/>
                <w:color w:val="auto"/>
                <w:highlight w:val="none"/>
                <w:u w:val="none"/>
              </w:rPr>
              <w:t>敏感</w:t>
            </w:r>
          </w:p>
        </w:tc>
        <w:tc>
          <w:tcPr>
            <w:tcW w:w="1250" w:type="pct"/>
            <w:vAlign w:val="center"/>
          </w:tcPr>
          <w:p w14:paraId="35C22B0F">
            <w:pPr>
              <w:pStyle w:val="92"/>
              <w:rPr>
                <w:color w:val="auto"/>
                <w:highlight w:val="none"/>
                <w:u w:val="none"/>
              </w:rPr>
            </w:pPr>
            <w:r>
              <w:rPr>
                <w:rFonts w:hint="eastAsia"/>
                <w:color w:val="auto"/>
                <w:highlight w:val="none"/>
                <w:u w:val="none"/>
              </w:rPr>
              <w:t>一</w:t>
            </w:r>
          </w:p>
        </w:tc>
        <w:tc>
          <w:tcPr>
            <w:tcW w:w="1250" w:type="pct"/>
            <w:vAlign w:val="center"/>
          </w:tcPr>
          <w:p w14:paraId="74FAB045">
            <w:pPr>
              <w:pStyle w:val="92"/>
              <w:rPr>
                <w:color w:val="auto"/>
                <w:highlight w:val="none"/>
                <w:u w:val="none"/>
              </w:rPr>
            </w:pPr>
            <w:r>
              <w:rPr>
                <w:rFonts w:hint="eastAsia"/>
                <w:color w:val="auto"/>
                <w:highlight w:val="none"/>
                <w:u w:val="none"/>
              </w:rPr>
              <w:t>一</w:t>
            </w:r>
          </w:p>
        </w:tc>
        <w:tc>
          <w:tcPr>
            <w:tcW w:w="1250" w:type="pct"/>
            <w:vAlign w:val="center"/>
          </w:tcPr>
          <w:p w14:paraId="50492E64">
            <w:pPr>
              <w:pStyle w:val="92"/>
              <w:rPr>
                <w:color w:val="auto"/>
                <w:highlight w:val="none"/>
                <w:u w:val="none"/>
              </w:rPr>
            </w:pPr>
            <w:r>
              <w:rPr>
                <w:rFonts w:hint="eastAsia"/>
                <w:color w:val="auto"/>
                <w:highlight w:val="none"/>
                <w:u w:val="none"/>
              </w:rPr>
              <w:t>二</w:t>
            </w:r>
          </w:p>
        </w:tc>
      </w:tr>
      <w:tr w14:paraId="277F8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B27FF38">
            <w:pPr>
              <w:pStyle w:val="92"/>
              <w:rPr>
                <w:color w:val="auto"/>
                <w:highlight w:val="none"/>
                <w:u w:val="none"/>
              </w:rPr>
            </w:pPr>
            <w:r>
              <w:rPr>
                <w:rFonts w:hint="eastAsia"/>
                <w:color w:val="auto"/>
                <w:highlight w:val="none"/>
                <w:u w:val="none"/>
              </w:rPr>
              <w:t>较敏感</w:t>
            </w:r>
          </w:p>
        </w:tc>
        <w:tc>
          <w:tcPr>
            <w:tcW w:w="1250" w:type="pct"/>
            <w:vAlign w:val="center"/>
          </w:tcPr>
          <w:p w14:paraId="4876EE85">
            <w:pPr>
              <w:pStyle w:val="92"/>
              <w:rPr>
                <w:color w:val="auto"/>
                <w:highlight w:val="none"/>
                <w:u w:val="none"/>
              </w:rPr>
            </w:pPr>
            <w:r>
              <w:rPr>
                <w:rFonts w:hint="eastAsia"/>
                <w:color w:val="auto"/>
                <w:highlight w:val="none"/>
                <w:u w:val="none"/>
              </w:rPr>
              <w:t>一</w:t>
            </w:r>
          </w:p>
        </w:tc>
        <w:tc>
          <w:tcPr>
            <w:tcW w:w="1250" w:type="pct"/>
            <w:vAlign w:val="center"/>
          </w:tcPr>
          <w:p w14:paraId="15A942CE">
            <w:pPr>
              <w:pStyle w:val="92"/>
              <w:rPr>
                <w:color w:val="auto"/>
                <w:highlight w:val="none"/>
                <w:u w:val="none"/>
              </w:rPr>
            </w:pPr>
            <w:r>
              <w:rPr>
                <w:rFonts w:hint="eastAsia"/>
                <w:color w:val="auto"/>
                <w:highlight w:val="none"/>
                <w:u w:val="none"/>
              </w:rPr>
              <w:t>二</w:t>
            </w:r>
          </w:p>
        </w:tc>
        <w:tc>
          <w:tcPr>
            <w:tcW w:w="1250" w:type="pct"/>
            <w:vAlign w:val="center"/>
          </w:tcPr>
          <w:p w14:paraId="19748E30">
            <w:pPr>
              <w:pStyle w:val="92"/>
              <w:rPr>
                <w:color w:val="auto"/>
                <w:highlight w:val="none"/>
                <w:u w:val="none"/>
              </w:rPr>
            </w:pPr>
            <w:r>
              <w:rPr>
                <w:rFonts w:hint="eastAsia"/>
                <w:color w:val="auto"/>
                <w:highlight w:val="none"/>
                <w:u w:val="none"/>
              </w:rPr>
              <w:t>三</w:t>
            </w:r>
          </w:p>
        </w:tc>
      </w:tr>
      <w:tr w14:paraId="04CC7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27E1EF3">
            <w:pPr>
              <w:pStyle w:val="92"/>
              <w:rPr>
                <w:color w:val="auto"/>
                <w:highlight w:val="none"/>
                <w:u w:val="none"/>
              </w:rPr>
            </w:pPr>
            <w:r>
              <w:rPr>
                <w:rFonts w:hint="eastAsia"/>
                <w:color w:val="auto"/>
                <w:highlight w:val="none"/>
                <w:u w:val="none"/>
              </w:rPr>
              <w:t>不敏感（本项目敏感程度）</w:t>
            </w:r>
          </w:p>
        </w:tc>
        <w:tc>
          <w:tcPr>
            <w:tcW w:w="1250" w:type="pct"/>
            <w:vAlign w:val="center"/>
          </w:tcPr>
          <w:p w14:paraId="1B764E3C">
            <w:pPr>
              <w:pStyle w:val="92"/>
              <w:rPr>
                <w:color w:val="auto"/>
                <w:highlight w:val="none"/>
                <w:u w:val="none"/>
              </w:rPr>
            </w:pPr>
            <w:r>
              <w:rPr>
                <w:rFonts w:hint="eastAsia"/>
                <w:color w:val="auto"/>
                <w:highlight w:val="none"/>
                <w:u w:val="none"/>
              </w:rPr>
              <w:t>二</w:t>
            </w:r>
          </w:p>
        </w:tc>
        <w:tc>
          <w:tcPr>
            <w:tcW w:w="1250" w:type="pct"/>
            <w:vAlign w:val="center"/>
          </w:tcPr>
          <w:p w14:paraId="24A4143D">
            <w:pPr>
              <w:pStyle w:val="92"/>
              <w:rPr>
                <w:color w:val="auto"/>
                <w:highlight w:val="none"/>
                <w:u w:val="none"/>
              </w:rPr>
            </w:pPr>
            <w:r>
              <w:rPr>
                <w:rFonts w:hint="eastAsia"/>
                <w:color w:val="auto"/>
                <w:highlight w:val="none"/>
                <w:u w:val="none"/>
              </w:rPr>
              <w:t>三</w:t>
            </w:r>
          </w:p>
        </w:tc>
        <w:tc>
          <w:tcPr>
            <w:tcW w:w="1250" w:type="pct"/>
            <w:vAlign w:val="center"/>
          </w:tcPr>
          <w:p w14:paraId="45A923BA">
            <w:pPr>
              <w:pStyle w:val="92"/>
              <w:rPr>
                <w:color w:val="auto"/>
                <w:highlight w:val="none"/>
                <w:u w:val="none"/>
              </w:rPr>
            </w:pPr>
            <w:r>
              <w:rPr>
                <w:rFonts w:hint="eastAsia"/>
                <w:color w:val="auto"/>
                <w:highlight w:val="none"/>
                <w:u w:val="none"/>
              </w:rPr>
              <w:t>三</w:t>
            </w:r>
          </w:p>
        </w:tc>
      </w:tr>
    </w:tbl>
    <w:p w14:paraId="3454430C">
      <w:pPr>
        <w:rPr>
          <w:rFonts w:hint="eastAsia"/>
          <w:color w:val="auto"/>
          <w:highlight w:val="none"/>
          <w:u w:val="none"/>
        </w:rPr>
      </w:pPr>
      <w:r>
        <w:rPr>
          <w:rFonts w:hint="eastAsia"/>
          <w:color w:val="auto"/>
          <w:highlight w:val="none"/>
          <w:u w:val="none"/>
        </w:rPr>
        <w:t>（3）评价范围</w:t>
      </w:r>
    </w:p>
    <w:p w14:paraId="1F9CF3AF">
      <w:pPr>
        <w:pStyle w:val="5"/>
        <w:ind w:firstLineChars="0"/>
        <w:rPr>
          <w:rFonts w:hint="eastAsia"/>
          <w:color w:val="auto"/>
          <w:highlight w:val="none"/>
          <w:u w:val="none"/>
        </w:rPr>
      </w:pPr>
      <w:r>
        <w:rPr>
          <w:rFonts w:hint="eastAsia"/>
          <w:color w:val="auto"/>
          <w:highlight w:val="none"/>
          <w:u w:val="none"/>
        </w:rPr>
        <w:t>因项目所在地水文地质条件较为简单（属构造相对稳定区，处于地下水排泄区），且所掌握的资料能够满足公示计算法的要求。根据《环境影响评价技术导则——地下水环境》（</w:t>
      </w:r>
      <w:r>
        <w:rPr>
          <w:color w:val="auto"/>
          <w:highlight w:val="none"/>
          <w:u w:val="none"/>
        </w:rPr>
        <w:t>HJ 610-2016），项目地下水环境</w:t>
      </w:r>
      <w:r>
        <w:rPr>
          <w:rFonts w:hint="eastAsia"/>
          <w:color w:val="auto"/>
          <w:highlight w:val="none"/>
          <w:u w:val="none"/>
        </w:rPr>
        <w:t>影响现状调查评价范围采用公式计算法进行确定。因项目地勘未做渗透试验及有效孔隙度测试，系数沿用同厂区内已批报告《万华化学（福建）有限公司扩建</w:t>
      </w:r>
      <w:r>
        <w:rPr>
          <w:color w:val="auto"/>
          <w:highlight w:val="none"/>
          <w:u w:val="none"/>
        </w:rPr>
        <w:t>25万吨/年TDI项目</w:t>
      </w:r>
      <w:r>
        <w:rPr>
          <w:rFonts w:hint="eastAsia"/>
          <w:color w:val="auto"/>
          <w:highlight w:val="none"/>
          <w:u w:val="none"/>
        </w:rPr>
        <w:t>环境影响报告书》（2</w:t>
      </w:r>
      <w:r>
        <w:rPr>
          <w:color w:val="auto"/>
          <w:highlight w:val="none"/>
          <w:u w:val="none"/>
        </w:rPr>
        <w:t>022</w:t>
      </w:r>
      <w:r>
        <w:rPr>
          <w:rFonts w:hint="eastAsia"/>
          <w:color w:val="auto"/>
          <w:highlight w:val="none"/>
          <w:u w:val="none"/>
        </w:rPr>
        <w:t>年）的参数，即含水层（中砂层）渗透系数</w:t>
      </w:r>
      <w:r>
        <w:rPr>
          <w:color w:val="auto"/>
          <w:highlight w:val="none"/>
          <w:u w:val="none"/>
        </w:rPr>
        <w:t>6.9m/d</w:t>
      </w:r>
      <w:r>
        <w:rPr>
          <w:rFonts w:hint="eastAsia"/>
          <w:color w:val="auto"/>
          <w:highlight w:val="none"/>
          <w:u w:val="none"/>
        </w:rPr>
        <w:t>，有效孔隙度</w:t>
      </w:r>
      <w:r>
        <w:rPr>
          <w:color w:val="auto"/>
          <w:highlight w:val="none"/>
          <w:u w:val="none"/>
        </w:rPr>
        <w:t>0.15</w:t>
      </w:r>
      <w:r>
        <w:rPr>
          <w:rFonts w:hint="eastAsia"/>
          <w:color w:val="auto"/>
          <w:highlight w:val="none"/>
          <w:u w:val="none"/>
        </w:rPr>
        <w:t>。</w:t>
      </w:r>
    </w:p>
    <w:p w14:paraId="633D4F9F">
      <w:pPr>
        <w:pStyle w:val="5"/>
        <w:ind w:firstLineChars="0"/>
        <w:jc w:val="center"/>
        <w:rPr>
          <w:rFonts w:hint="eastAsia"/>
          <w:color w:val="auto"/>
          <w:highlight w:val="none"/>
          <w:u w:val="none"/>
          <w:lang w:val="en-US"/>
        </w:rPr>
      </w:pPr>
      <w:r>
        <w:rPr>
          <w:rFonts w:hint="eastAsia"/>
          <w:color w:val="auto"/>
          <w:highlight w:val="none"/>
          <w:u w:val="none"/>
        </w:rPr>
        <w:t>公式</w:t>
      </w:r>
      <w:r>
        <w:rPr>
          <w:rFonts w:hint="eastAsia"/>
          <w:color w:val="auto"/>
          <w:highlight w:val="none"/>
          <w:u w:val="none"/>
          <w:lang w:val="en-US"/>
        </w:rPr>
        <w:t>：L</w:t>
      </w:r>
      <w:r>
        <w:rPr>
          <w:color w:val="auto"/>
          <w:highlight w:val="none"/>
          <w:u w:val="none"/>
          <w:lang w:val="en-US"/>
        </w:rPr>
        <w:t>=</w:t>
      </w:r>
      <w:r>
        <w:rPr>
          <w:rFonts w:hint="eastAsia" w:ascii="宋体"/>
          <w:color w:val="auto"/>
          <w:highlight w:val="none"/>
          <w:u w:val="none"/>
        </w:rPr>
        <w:t>α</w:t>
      </w:r>
      <w:r>
        <w:rPr>
          <w:rFonts w:hint="eastAsia" w:ascii="宋体"/>
          <w:color w:val="auto"/>
          <w:highlight w:val="none"/>
          <w:u w:val="none"/>
          <w:lang w:val="en-US"/>
        </w:rPr>
        <w:t>×</w:t>
      </w:r>
      <w:r>
        <w:rPr>
          <w:rFonts w:hint="eastAsia"/>
          <w:color w:val="auto"/>
          <w:highlight w:val="none"/>
          <w:u w:val="none"/>
          <w:lang w:val="en-US"/>
        </w:rPr>
        <w:t>K</w:t>
      </w:r>
      <w:r>
        <w:rPr>
          <w:rFonts w:hint="eastAsia" w:ascii="宋体"/>
          <w:color w:val="auto"/>
          <w:highlight w:val="none"/>
          <w:u w:val="none"/>
          <w:lang w:val="en-US"/>
        </w:rPr>
        <w:t>×I×T</w:t>
      </w:r>
      <m:oMath>
        <m:r>
          <m:rPr/>
          <w:rPr>
            <w:rFonts w:ascii="Cambria Math" w:hAnsi="Cambria Math"/>
            <w:color w:val="auto"/>
            <w:highlight w:val="none"/>
            <w:u w:val="none"/>
            <w:lang w:val="en-US"/>
          </w:rPr>
          <m:t>/</m:t>
        </m:r>
        <m:sSub>
          <m:sSubPr>
            <m:ctrlPr>
              <w:rPr>
                <w:rFonts w:ascii="Cambria Math" w:hAnsi="Cambria Math"/>
                <w:i/>
                <w:color w:val="auto"/>
                <w:highlight w:val="none"/>
                <w:u w:val="none"/>
              </w:rPr>
            </m:ctrlPr>
          </m:sSubPr>
          <m:e>
            <m:r>
              <m:rPr/>
              <w:rPr>
                <w:rFonts w:hint="eastAsia" w:ascii="Cambria Math" w:hAnsi="Cambria Math"/>
                <w:color w:val="auto"/>
                <w:highlight w:val="none"/>
                <w:u w:val="none"/>
              </w:rPr>
              <m:t>n</m:t>
            </m:r>
            <m:ctrlPr>
              <w:rPr>
                <w:rFonts w:ascii="Cambria Math" w:hAnsi="Cambria Math"/>
                <w:i/>
                <w:color w:val="auto"/>
                <w:highlight w:val="none"/>
                <w:u w:val="none"/>
              </w:rPr>
            </m:ctrlPr>
          </m:e>
          <m:sub>
            <m:r>
              <m:rPr/>
              <w:rPr>
                <w:rFonts w:hint="eastAsia" w:ascii="Cambria Math" w:hAnsi="Cambria Math"/>
                <w:color w:val="auto"/>
                <w:highlight w:val="none"/>
                <w:u w:val="none"/>
              </w:rPr>
              <m:t>e</m:t>
            </m:r>
            <m:ctrlPr>
              <w:rPr>
                <w:rFonts w:ascii="Cambria Math" w:hAnsi="Cambria Math"/>
                <w:i/>
                <w:color w:val="auto"/>
                <w:highlight w:val="none"/>
                <w:u w:val="none"/>
              </w:rPr>
            </m:ctrlPr>
          </m:sub>
        </m:sSub>
      </m:oMath>
    </w:p>
    <w:p w14:paraId="422478CE">
      <w:pPr>
        <w:rPr>
          <w:rFonts w:hint="eastAsia"/>
          <w:color w:val="auto"/>
          <w:highlight w:val="none"/>
          <w:u w:val="none"/>
        </w:rPr>
      </w:pPr>
      <w:r>
        <w:rPr>
          <w:rFonts w:hint="eastAsia"/>
          <w:color w:val="auto"/>
          <w:highlight w:val="none"/>
          <w:u w:val="none"/>
        </w:rPr>
        <w:t>式中：</w:t>
      </w:r>
    </w:p>
    <w:p w14:paraId="0C3B3BD9">
      <w:pPr>
        <w:pStyle w:val="85"/>
        <w:rPr>
          <w:color w:val="auto"/>
          <w:highlight w:val="none"/>
          <w:u w:val="none"/>
        </w:rPr>
      </w:pPr>
      <w:r>
        <w:rPr>
          <w:rStyle w:val="87"/>
          <w:b/>
          <w:bCs/>
          <w:color w:val="auto"/>
          <w:highlight w:val="none"/>
          <w:u w:val="none"/>
        </w:rPr>
        <w:t xml:space="preserve">表 </w:t>
      </w:r>
      <w:r>
        <w:rPr>
          <w:rStyle w:val="87"/>
          <w:b/>
          <w:bCs/>
          <w:color w:val="auto"/>
          <w:highlight w:val="none"/>
          <w:u w:val="none"/>
        </w:rPr>
        <w:fldChar w:fldCharType="begin"/>
      </w:r>
      <w:r>
        <w:rPr>
          <w:rStyle w:val="87"/>
          <w:b/>
          <w:bCs/>
          <w:color w:val="auto"/>
          <w:highlight w:val="none"/>
          <w:u w:val="none"/>
        </w:rPr>
        <w:instrText xml:space="preserve"> STYLEREF 2 \s </w:instrText>
      </w:r>
      <w:r>
        <w:rPr>
          <w:rStyle w:val="87"/>
          <w:b/>
          <w:bCs/>
          <w:color w:val="auto"/>
          <w:highlight w:val="none"/>
          <w:u w:val="none"/>
        </w:rPr>
        <w:fldChar w:fldCharType="separate"/>
      </w:r>
      <w:r>
        <w:rPr>
          <w:rStyle w:val="87"/>
          <w:b/>
          <w:bCs/>
          <w:color w:val="auto"/>
          <w:highlight w:val="none"/>
          <w:u w:val="none"/>
        </w:rPr>
        <w:t>8.3</w:t>
      </w:r>
      <w:r>
        <w:rPr>
          <w:rStyle w:val="87"/>
          <w:b/>
          <w:bCs/>
          <w:color w:val="auto"/>
          <w:highlight w:val="none"/>
          <w:u w:val="none"/>
        </w:rPr>
        <w:fldChar w:fldCharType="end"/>
      </w:r>
      <w:r>
        <w:rPr>
          <w:rStyle w:val="87"/>
          <w:b/>
          <w:bCs/>
          <w:color w:val="auto"/>
          <w:highlight w:val="none"/>
          <w:u w:val="none"/>
        </w:rPr>
        <w:noBreakHyphen/>
      </w:r>
      <w:r>
        <w:rPr>
          <w:rStyle w:val="87"/>
          <w:b/>
          <w:bCs/>
          <w:color w:val="auto"/>
          <w:highlight w:val="none"/>
          <w:u w:val="none"/>
        </w:rPr>
        <w:fldChar w:fldCharType="begin"/>
      </w:r>
      <w:r>
        <w:rPr>
          <w:rStyle w:val="87"/>
          <w:b/>
          <w:bCs/>
          <w:color w:val="auto"/>
          <w:highlight w:val="none"/>
          <w:u w:val="none"/>
        </w:rPr>
        <w:instrText xml:space="preserve"> SEQ 表 \* ARABIC \s 2 </w:instrText>
      </w:r>
      <w:r>
        <w:rPr>
          <w:rStyle w:val="87"/>
          <w:b/>
          <w:bCs/>
          <w:color w:val="auto"/>
          <w:highlight w:val="none"/>
          <w:u w:val="none"/>
        </w:rPr>
        <w:fldChar w:fldCharType="separate"/>
      </w:r>
      <w:r>
        <w:rPr>
          <w:rStyle w:val="87"/>
          <w:b/>
          <w:bCs/>
          <w:color w:val="auto"/>
          <w:highlight w:val="none"/>
          <w:u w:val="none"/>
        </w:rPr>
        <w:t>3</w:t>
      </w:r>
      <w:r>
        <w:rPr>
          <w:rStyle w:val="87"/>
          <w:b/>
          <w:bCs/>
          <w:color w:val="auto"/>
          <w:highlight w:val="none"/>
          <w:u w:val="none"/>
        </w:rPr>
        <w:fldChar w:fldCharType="end"/>
      </w:r>
      <w:r>
        <w:rPr>
          <w:rStyle w:val="87"/>
          <w:b/>
          <w:bCs/>
          <w:color w:val="auto"/>
          <w:highlight w:val="none"/>
          <w:u w:val="none"/>
        </w:rPr>
        <w:t xml:space="preserve">  </w:t>
      </w:r>
      <w:r>
        <w:rPr>
          <w:color w:val="auto"/>
          <w:highlight w:val="none"/>
          <w:u w:val="none"/>
        </w:rPr>
        <w:t>项目地下水下游迁移距离取值表</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3978"/>
        <w:gridCol w:w="3098"/>
      </w:tblGrid>
      <w:tr w14:paraId="6BACE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5773B279">
            <w:pPr>
              <w:pStyle w:val="92"/>
              <w:rPr>
                <w:color w:val="auto"/>
                <w:highlight w:val="none"/>
                <w:u w:val="none"/>
              </w:rPr>
            </w:pPr>
            <w:r>
              <w:rPr>
                <w:rFonts w:hint="eastAsia"/>
                <w:color w:val="auto"/>
                <w:highlight w:val="none"/>
                <w:u w:val="none"/>
              </w:rPr>
              <w:t>系数</w:t>
            </w:r>
          </w:p>
        </w:tc>
        <w:tc>
          <w:tcPr>
            <w:tcW w:w="2142" w:type="pct"/>
          </w:tcPr>
          <w:p w14:paraId="0C92A01B">
            <w:pPr>
              <w:pStyle w:val="92"/>
              <w:rPr>
                <w:color w:val="auto"/>
                <w:highlight w:val="none"/>
                <w:u w:val="none"/>
              </w:rPr>
            </w:pPr>
            <w:r>
              <w:rPr>
                <w:rFonts w:hint="eastAsia"/>
                <w:color w:val="auto"/>
                <w:highlight w:val="none"/>
                <w:u w:val="none"/>
              </w:rPr>
              <w:t>说明</w:t>
            </w:r>
          </w:p>
        </w:tc>
        <w:tc>
          <w:tcPr>
            <w:tcW w:w="1667" w:type="pct"/>
          </w:tcPr>
          <w:p w14:paraId="7014DE9B">
            <w:pPr>
              <w:pStyle w:val="92"/>
              <w:rPr>
                <w:color w:val="auto"/>
                <w:highlight w:val="none"/>
                <w:u w:val="none"/>
              </w:rPr>
            </w:pPr>
            <w:r>
              <w:rPr>
                <w:rFonts w:hint="eastAsia"/>
                <w:color w:val="auto"/>
                <w:highlight w:val="none"/>
                <w:u w:val="none"/>
              </w:rPr>
              <w:t>取值</w:t>
            </w:r>
          </w:p>
        </w:tc>
      </w:tr>
      <w:tr w14:paraId="2740A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630E093F">
            <w:pPr>
              <w:pStyle w:val="92"/>
              <w:rPr>
                <w:color w:val="auto"/>
                <w:highlight w:val="none"/>
                <w:u w:val="none"/>
              </w:rPr>
            </w:pPr>
            <w:r>
              <w:rPr>
                <w:color w:val="auto"/>
                <w:highlight w:val="none"/>
                <w:u w:val="none"/>
              </w:rPr>
              <w:t>L</w:t>
            </w:r>
          </w:p>
        </w:tc>
        <w:tc>
          <w:tcPr>
            <w:tcW w:w="2142" w:type="pct"/>
          </w:tcPr>
          <w:p w14:paraId="2C85AE26">
            <w:pPr>
              <w:pStyle w:val="92"/>
              <w:rPr>
                <w:color w:val="auto"/>
                <w:highlight w:val="none"/>
                <w:u w:val="none"/>
              </w:rPr>
            </w:pPr>
            <w:r>
              <w:rPr>
                <w:color w:val="auto"/>
                <w:highlight w:val="none"/>
                <w:u w:val="none"/>
              </w:rPr>
              <w:t>下游迁移距离</w:t>
            </w:r>
            <w:r>
              <w:rPr>
                <w:rFonts w:hint="eastAsia"/>
                <w:color w:val="auto"/>
                <w:highlight w:val="none"/>
                <w:u w:val="none"/>
              </w:rPr>
              <w:t xml:space="preserve"> </w:t>
            </w:r>
            <w:r>
              <w:rPr>
                <w:color w:val="auto"/>
                <w:highlight w:val="none"/>
                <w:u w:val="none"/>
              </w:rPr>
              <w:t>m；</w:t>
            </w:r>
          </w:p>
        </w:tc>
        <w:tc>
          <w:tcPr>
            <w:tcW w:w="1667" w:type="pct"/>
          </w:tcPr>
          <w:p w14:paraId="1F76AFBD">
            <w:pPr>
              <w:pStyle w:val="92"/>
              <w:rPr>
                <w:color w:val="auto"/>
                <w:highlight w:val="none"/>
                <w:u w:val="none"/>
              </w:rPr>
            </w:pPr>
            <w:r>
              <w:rPr>
                <w:rFonts w:hint="eastAsia"/>
                <w:color w:val="auto"/>
                <w:highlight w:val="none"/>
                <w:u w:val="none"/>
              </w:rPr>
              <w:t>\</w:t>
            </w:r>
          </w:p>
        </w:tc>
      </w:tr>
      <w:tr w14:paraId="2032D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76678C8E">
            <w:pPr>
              <w:pStyle w:val="92"/>
              <w:rPr>
                <w:color w:val="auto"/>
                <w:highlight w:val="none"/>
                <w:u w:val="none"/>
              </w:rPr>
            </w:pPr>
            <w:r>
              <w:rPr>
                <w:rFonts w:hint="eastAsia" w:ascii="宋体"/>
                <w:color w:val="auto"/>
                <w:highlight w:val="none"/>
                <w:u w:val="none"/>
              </w:rPr>
              <w:t>α</w:t>
            </w:r>
          </w:p>
        </w:tc>
        <w:tc>
          <w:tcPr>
            <w:tcW w:w="2142" w:type="pct"/>
          </w:tcPr>
          <w:p w14:paraId="7D880B5C">
            <w:pPr>
              <w:pStyle w:val="92"/>
              <w:rPr>
                <w:color w:val="auto"/>
                <w:highlight w:val="none"/>
                <w:u w:val="none"/>
              </w:rPr>
            </w:pPr>
            <w:r>
              <w:rPr>
                <w:rFonts w:hint="eastAsia"/>
                <w:color w:val="auto"/>
                <w:highlight w:val="none"/>
                <w:u w:val="none"/>
              </w:rPr>
              <w:t>变化系数，α≥</w:t>
            </w:r>
            <w:r>
              <w:rPr>
                <w:color w:val="auto"/>
                <w:highlight w:val="none"/>
                <w:u w:val="none"/>
              </w:rPr>
              <w:t>1，一般取2；</w:t>
            </w:r>
          </w:p>
        </w:tc>
        <w:tc>
          <w:tcPr>
            <w:tcW w:w="1667" w:type="pct"/>
          </w:tcPr>
          <w:p w14:paraId="6728B84A">
            <w:pPr>
              <w:pStyle w:val="92"/>
              <w:rPr>
                <w:color w:val="auto"/>
                <w:highlight w:val="none"/>
                <w:u w:val="none"/>
              </w:rPr>
            </w:pPr>
            <w:r>
              <w:rPr>
                <w:rFonts w:hint="eastAsia"/>
                <w:color w:val="auto"/>
                <w:highlight w:val="none"/>
                <w:u w:val="none"/>
              </w:rPr>
              <w:t>2</w:t>
            </w:r>
          </w:p>
        </w:tc>
      </w:tr>
      <w:tr w14:paraId="2DBF0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5864E634">
            <w:pPr>
              <w:pStyle w:val="92"/>
              <w:rPr>
                <w:color w:val="auto"/>
                <w:highlight w:val="none"/>
                <w:u w:val="none"/>
              </w:rPr>
            </w:pPr>
            <w:r>
              <w:rPr>
                <w:color w:val="auto"/>
                <w:highlight w:val="none"/>
                <w:u w:val="none"/>
              </w:rPr>
              <w:t>K</w:t>
            </w:r>
          </w:p>
        </w:tc>
        <w:tc>
          <w:tcPr>
            <w:tcW w:w="2142" w:type="pct"/>
          </w:tcPr>
          <w:p w14:paraId="31E0446A">
            <w:pPr>
              <w:pStyle w:val="92"/>
              <w:rPr>
                <w:color w:val="auto"/>
                <w:highlight w:val="none"/>
                <w:u w:val="none"/>
              </w:rPr>
            </w:pPr>
            <w:r>
              <w:rPr>
                <w:color w:val="auto"/>
                <w:highlight w:val="none"/>
                <w:u w:val="none"/>
              </w:rPr>
              <w:t>渗透系数，m/d</w:t>
            </w:r>
          </w:p>
        </w:tc>
        <w:tc>
          <w:tcPr>
            <w:tcW w:w="1667" w:type="pct"/>
          </w:tcPr>
          <w:p w14:paraId="03AD6317">
            <w:pPr>
              <w:pStyle w:val="92"/>
              <w:rPr>
                <w:color w:val="auto"/>
                <w:highlight w:val="none"/>
                <w:u w:val="none"/>
              </w:rPr>
            </w:pPr>
            <w:r>
              <w:rPr>
                <w:color w:val="auto"/>
                <w:highlight w:val="none"/>
                <w:u w:val="none"/>
              </w:rPr>
              <w:t>6.9m/d</w:t>
            </w:r>
          </w:p>
        </w:tc>
      </w:tr>
      <w:tr w14:paraId="0A381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15AB411C">
            <w:pPr>
              <w:pStyle w:val="92"/>
              <w:rPr>
                <w:color w:val="auto"/>
                <w:highlight w:val="none"/>
                <w:u w:val="none"/>
              </w:rPr>
            </w:pPr>
            <w:r>
              <w:rPr>
                <w:rFonts w:hint="eastAsia" w:ascii="宋体"/>
                <w:color w:val="auto"/>
                <w:highlight w:val="none"/>
                <w:u w:val="none"/>
              </w:rPr>
              <w:t>I</w:t>
            </w:r>
          </w:p>
        </w:tc>
        <w:tc>
          <w:tcPr>
            <w:tcW w:w="2142" w:type="pct"/>
          </w:tcPr>
          <w:p w14:paraId="65ED8172">
            <w:pPr>
              <w:pStyle w:val="92"/>
              <w:rPr>
                <w:color w:val="auto"/>
                <w:highlight w:val="none"/>
                <w:u w:val="none"/>
              </w:rPr>
            </w:pPr>
            <w:r>
              <w:rPr>
                <w:color w:val="auto"/>
                <w:highlight w:val="none"/>
                <w:u w:val="none"/>
              </w:rPr>
              <w:t>水力坡度</w:t>
            </w:r>
            <w:r>
              <w:rPr>
                <w:rFonts w:hint="eastAsia"/>
                <w:color w:val="auto"/>
                <w:highlight w:val="none"/>
                <w:u w:val="none"/>
              </w:rPr>
              <w:t>，</w:t>
            </w:r>
            <w:r>
              <w:rPr>
                <w:color w:val="auto"/>
                <w:highlight w:val="none"/>
                <w:u w:val="none"/>
              </w:rPr>
              <w:t>无量纲</w:t>
            </w:r>
          </w:p>
        </w:tc>
        <w:tc>
          <w:tcPr>
            <w:tcW w:w="1667" w:type="pct"/>
          </w:tcPr>
          <w:p w14:paraId="638BEE0B">
            <w:pPr>
              <w:pStyle w:val="92"/>
              <w:rPr>
                <w:color w:val="auto"/>
                <w:highlight w:val="none"/>
                <w:u w:val="none"/>
              </w:rPr>
            </w:pPr>
            <w:r>
              <w:rPr>
                <w:color w:val="auto"/>
                <w:highlight w:val="none"/>
                <w:u w:val="none"/>
              </w:rPr>
              <w:t>0.002</w:t>
            </w:r>
          </w:p>
        </w:tc>
      </w:tr>
      <w:tr w14:paraId="111DA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23EF759A">
            <w:pPr>
              <w:pStyle w:val="92"/>
              <w:rPr>
                <w:color w:val="auto"/>
                <w:highlight w:val="none"/>
                <w:u w:val="none"/>
              </w:rPr>
            </w:pPr>
            <w:r>
              <w:rPr>
                <w:color w:val="auto"/>
                <w:highlight w:val="none"/>
                <w:u w:val="none"/>
              </w:rPr>
              <w:t>T</w:t>
            </w:r>
          </w:p>
        </w:tc>
        <w:tc>
          <w:tcPr>
            <w:tcW w:w="2142" w:type="pct"/>
          </w:tcPr>
          <w:p w14:paraId="347F4C51">
            <w:pPr>
              <w:pStyle w:val="92"/>
              <w:rPr>
                <w:color w:val="auto"/>
                <w:highlight w:val="none"/>
                <w:u w:val="none"/>
              </w:rPr>
            </w:pPr>
            <w:r>
              <w:rPr>
                <w:color w:val="auto"/>
                <w:highlight w:val="none"/>
                <w:u w:val="none"/>
              </w:rPr>
              <w:t>质点迁移天数，取值</w:t>
            </w:r>
            <w:r>
              <w:rPr>
                <w:rFonts w:hint="eastAsia"/>
                <w:color w:val="auto"/>
                <w:highlight w:val="none"/>
                <w:u w:val="none"/>
              </w:rPr>
              <w:t>不小于</w:t>
            </w:r>
            <w:r>
              <w:rPr>
                <w:color w:val="auto"/>
                <w:highlight w:val="none"/>
                <w:u w:val="none"/>
              </w:rPr>
              <w:t>5000d</w:t>
            </w:r>
          </w:p>
        </w:tc>
        <w:tc>
          <w:tcPr>
            <w:tcW w:w="1667" w:type="pct"/>
          </w:tcPr>
          <w:p w14:paraId="129FA22F">
            <w:pPr>
              <w:pStyle w:val="92"/>
              <w:rPr>
                <w:color w:val="auto"/>
                <w:highlight w:val="none"/>
                <w:u w:val="none"/>
              </w:rPr>
            </w:pPr>
            <w:r>
              <w:rPr>
                <w:rFonts w:hint="eastAsia"/>
                <w:color w:val="auto"/>
                <w:highlight w:val="none"/>
                <w:u w:val="none"/>
              </w:rPr>
              <w:t>5</w:t>
            </w:r>
            <w:r>
              <w:rPr>
                <w:color w:val="auto"/>
                <w:highlight w:val="none"/>
                <w:u w:val="none"/>
              </w:rPr>
              <w:t>000</w:t>
            </w:r>
          </w:p>
        </w:tc>
      </w:tr>
      <w:tr w14:paraId="676BE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0" w:type="pct"/>
          </w:tcPr>
          <w:p w14:paraId="39C25041">
            <w:pPr>
              <w:pStyle w:val="92"/>
              <w:rPr>
                <w:color w:val="auto"/>
                <w:highlight w:val="none"/>
                <w:u w:val="none"/>
              </w:rPr>
            </w:pPr>
            <m:oMathPara>
              <m:oMath>
                <m:sSub>
                  <m:sSubPr>
                    <m:ctrlPr>
                      <w:rPr>
                        <w:rFonts w:ascii="Cambria Math" w:hAnsi="Cambria Math"/>
                        <w:i/>
                        <w:color w:val="auto"/>
                        <w:kern w:val="0"/>
                        <w:sz w:val="24"/>
                        <w:szCs w:val="24"/>
                        <w:highlight w:val="none"/>
                        <w:u w:val="none"/>
                        <w:lang w:val="zh-CN"/>
                      </w:rPr>
                    </m:ctrlPr>
                  </m:sSubPr>
                  <m:e>
                    <m:r>
                      <m:rPr/>
                      <w:rPr>
                        <w:rFonts w:hint="eastAsia" w:ascii="Cambria Math" w:hAnsi="Cambria Math"/>
                        <w:color w:val="auto"/>
                        <w:highlight w:val="none"/>
                        <w:u w:val="none"/>
                      </w:rPr>
                      <m:t>n</m:t>
                    </m:r>
                    <m:ctrlPr>
                      <w:rPr>
                        <w:rFonts w:ascii="Cambria Math" w:hAnsi="Cambria Math"/>
                        <w:i/>
                        <w:color w:val="auto"/>
                        <w:kern w:val="0"/>
                        <w:sz w:val="24"/>
                        <w:szCs w:val="24"/>
                        <w:highlight w:val="none"/>
                        <w:u w:val="none"/>
                        <w:lang w:val="zh-CN"/>
                      </w:rPr>
                    </m:ctrlPr>
                  </m:e>
                  <m:sub>
                    <m:r>
                      <m:rPr/>
                      <w:rPr>
                        <w:rFonts w:hint="eastAsia" w:ascii="Cambria Math" w:hAnsi="Cambria Math"/>
                        <w:color w:val="auto"/>
                        <w:highlight w:val="none"/>
                        <w:u w:val="none"/>
                      </w:rPr>
                      <m:t>e</m:t>
                    </m:r>
                    <m:ctrlPr>
                      <w:rPr>
                        <w:rFonts w:ascii="Cambria Math" w:hAnsi="Cambria Math"/>
                        <w:i/>
                        <w:color w:val="auto"/>
                        <w:kern w:val="0"/>
                        <w:sz w:val="24"/>
                        <w:szCs w:val="24"/>
                        <w:highlight w:val="none"/>
                        <w:u w:val="none"/>
                        <w:lang w:val="zh-CN"/>
                      </w:rPr>
                    </m:ctrlPr>
                  </m:sub>
                </m:sSub>
              </m:oMath>
            </m:oMathPara>
          </w:p>
        </w:tc>
        <w:tc>
          <w:tcPr>
            <w:tcW w:w="2142" w:type="pct"/>
          </w:tcPr>
          <w:p w14:paraId="6E8DA20E">
            <w:pPr>
              <w:pStyle w:val="92"/>
              <w:rPr>
                <w:color w:val="auto"/>
                <w:highlight w:val="none"/>
                <w:u w:val="none"/>
              </w:rPr>
            </w:pPr>
            <w:r>
              <w:rPr>
                <w:color w:val="auto"/>
                <w:highlight w:val="none"/>
                <w:u w:val="none"/>
              </w:rPr>
              <w:t>有效孔隙度，无量纲</w:t>
            </w:r>
          </w:p>
        </w:tc>
        <w:tc>
          <w:tcPr>
            <w:tcW w:w="1667" w:type="pct"/>
          </w:tcPr>
          <w:p w14:paraId="4A8EE820">
            <w:pPr>
              <w:pStyle w:val="92"/>
              <w:rPr>
                <w:color w:val="auto"/>
                <w:highlight w:val="none"/>
                <w:u w:val="none"/>
              </w:rPr>
            </w:pPr>
            <w:r>
              <w:rPr>
                <w:color w:val="auto"/>
                <w:highlight w:val="none"/>
                <w:u w:val="none"/>
              </w:rPr>
              <w:t>0.15</w:t>
            </w:r>
          </w:p>
        </w:tc>
      </w:tr>
      <w:tr w14:paraId="6829F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0EF5202">
            <w:pPr>
              <w:pStyle w:val="92"/>
              <w:rPr>
                <w:color w:val="auto"/>
                <w:highlight w:val="none"/>
                <w:u w:val="none"/>
              </w:rPr>
            </w:pPr>
            <w:r>
              <w:rPr>
                <w:rFonts w:hint="eastAsia"/>
                <w:color w:val="auto"/>
                <w:highlight w:val="none"/>
                <w:u w:val="none"/>
              </w:rPr>
              <w:t>计算结果</w:t>
            </w:r>
          </w:p>
        </w:tc>
      </w:tr>
      <w:tr w14:paraId="6E664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2C26FA8A">
            <w:pPr>
              <w:pStyle w:val="92"/>
              <w:rPr>
                <w:color w:val="auto"/>
                <w:highlight w:val="none"/>
                <w:u w:val="none"/>
              </w:rPr>
            </w:pPr>
            <w:r>
              <w:rPr>
                <w:rFonts w:hint="eastAsia"/>
                <w:color w:val="auto"/>
                <w:highlight w:val="none"/>
                <w:u w:val="none"/>
              </w:rPr>
              <w:t>L</w:t>
            </w:r>
            <w:r>
              <w:rPr>
                <w:color w:val="auto"/>
                <w:highlight w:val="none"/>
                <w:u w:val="none"/>
              </w:rPr>
              <w:t>=920</w:t>
            </w:r>
            <w:r>
              <w:rPr>
                <w:rFonts w:hint="eastAsia"/>
                <w:color w:val="auto"/>
                <w:highlight w:val="none"/>
                <w:u w:val="none"/>
              </w:rPr>
              <w:t>m</w:t>
            </w:r>
          </w:p>
        </w:tc>
      </w:tr>
    </w:tbl>
    <w:p w14:paraId="649F9945">
      <w:pPr>
        <w:rPr>
          <w:rFonts w:hint="eastAsia"/>
          <w:color w:val="auto"/>
          <w:highlight w:val="none"/>
          <w:u w:val="none"/>
        </w:rPr>
      </w:pPr>
      <w:r>
        <w:rPr>
          <w:rFonts w:hint="eastAsia"/>
          <w:color w:val="auto"/>
          <w:highlight w:val="none"/>
          <w:u w:val="none"/>
        </w:rPr>
        <w:t>通过公式计算法计算结果可知，本项目地下水评价范围为：项目厂界下游</w:t>
      </w:r>
      <w:r>
        <w:rPr>
          <w:color w:val="auto"/>
          <w:highlight w:val="none"/>
          <w:u w:val="none"/>
        </w:rPr>
        <w:t>920m</w:t>
      </w:r>
      <w:r>
        <w:rPr>
          <w:rFonts w:hint="eastAsia"/>
          <w:color w:val="auto"/>
          <w:highlight w:val="none"/>
          <w:u w:val="none"/>
        </w:rPr>
        <w:t>，由于本项目下游</w:t>
      </w:r>
      <w:r>
        <w:rPr>
          <w:color w:val="auto"/>
          <w:highlight w:val="none"/>
          <w:u w:val="none"/>
        </w:rPr>
        <w:t>260m为江阴港海域，故选择江阴港海域为评价边界</w:t>
      </w:r>
      <w:r>
        <w:rPr>
          <w:rFonts w:hint="eastAsia"/>
          <w:color w:val="auto"/>
          <w:highlight w:val="none"/>
          <w:u w:val="none"/>
        </w:rPr>
        <w:t>；</w:t>
      </w:r>
      <w:r>
        <w:rPr>
          <w:color w:val="auto"/>
          <w:highlight w:val="none"/>
          <w:u w:val="none"/>
        </w:rPr>
        <w:t>场地两侧</w:t>
      </w:r>
      <w:r>
        <w:rPr>
          <w:rFonts w:hint="eastAsia"/>
          <w:color w:val="auto"/>
          <w:highlight w:val="none"/>
          <w:u w:val="none"/>
        </w:rPr>
        <w:t>根据规范续不小于L/</w:t>
      </w:r>
      <w:r>
        <w:rPr>
          <w:color w:val="auto"/>
          <w:highlight w:val="none"/>
          <w:u w:val="none"/>
        </w:rPr>
        <w:t>2</w:t>
      </w:r>
      <w:r>
        <w:rPr>
          <w:rFonts w:hint="eastAsia"/>
          <w:color w:val="auto"/>
          <w:highlight w:val="none"/>
          <w:u w:val="none"/>
        </w:rPr>
        <w:t>，取</w:t>
      </w:r>
      <w:r>
        <w:rPr>
          <w:color w:val="auto"/>
          <w:highlight w:val="none"/>
          <w:u w:val="none"/>
        </w:rPr>
        <w:t>460m</w:t>
      </w:r>
      <w:r>
        <w:rPr>
          <w:rFonts w:hint="eastAsia"/>
          <w:color w:val="auto"/>
          <w:highlight w:val="none"/>
          <w:u w:val="none"/>
        </w:rPr>
        <w:t>；污染因为弥散作用，将往上游缓慢扩散，出于保守考虑，上游取值</w:t>
      </w:r>
      <w:r>
        <w:rPr>
          <w:color w:val="auto"/>
          <w:highlight w:val="none"/>
          <w:u w:val="none"/>
        </w:rPr>
        <w:t>200m</w:t>
      </w:r>
      <w:r>
        <w:rPr>
          <w:rFonts w:hint="eastAsia"/>
          <w:color w:val="auto"/>
          <w:highlight w:val="none"/>
          <w:u w:val="none"/>
        </w:rPr>
        <w:t>。地下水流向为至东向西流。详见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_Ref146530580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8.3</w:t>
      </w:r>
      <w:r>
        <w:rPr>
          <w:color w:val="auto"/>
          <w:highlight w:val="none"/>
          <w:u w:val="none"/>
        </w:rPr>
        <w:fldChar w:fldCharType="end"/>
      </w:r>
      <w:r>
        <w:rPr>
          <w:color w:val="auto"/>
          <w:highlight w:val="none"/>
          <w:u w:val="none"/>
        </w:rPr>
        <w:noBreakHyphen/>
      </w:r>
      <w:r>
        <w:rPr>
          <w:color w:val="auto"/>
          <w:highlight w:val="none"/>
          <w:u w:val="none"/>
        </w:rPr>
        <w:t>7</w:t>
      </w:r>
      <w:r>
        <w:rPr>
          <w:color w:val="auto"/>
          <w:highlight w:val="none"/>
          <w:u w:val="none"/>
        </w:rPr>
        <w:fldChar w:fldCharType="end"/>
      </w:r>
      <w:r>
        <w:rPr>
          <w:rFonts w:hint="eastAsia"/>
          <w:color w:val="auto"/>
          <w:highlight w:val="none"/>
          <w:u w:val="none"/>
        </w:rPr>
        <w:t>。</w:t>
      </w:r>
    </w:p>
    <w:p w14:paraId="59C7D364">
      <w:pPr>
        <w:pStyle w:val="92"/>
        <w:jc w:val="both"/>
        <w:rPr>
          <w:color w:val="auto"/>
          <w:highlight w:val="none"/>
          <w:u w:val="none"/>
        </w:rPr>
      </w:pPr>
    </w:p>
    <w:p w14:paraId="0A65AC5A">
      <w:pPr>
        <w:pStyle w:val="7"/>
        <w:spacing w:before="156"/>
        <w:rPr>
          <w:color w:val="auto"/>
          <w:highlight w:val="none"/>
          <w:u w:val="none"/>
        </w:rPr>
      </w:pPr>
      <w:r>
        <w:rPr>
          <w:rFonts w:hint="eastAsia"/>
          <w:color w:val="auto"/>
          <w:highlight w:val="none"/>
          <w:u w:val="none"/>
        </w:rPr>
        <w:t>地下水环境影响预测设置条件及参数</w:t>
      </w:r>
    </w:p>
    <w:p w14:paraId="7991BDA0">
      <w:pPr>
        <w:pStyle w:val="5"/>
        <w:ind w:firstLine="480"/>
        <w:rPr>
          <w:rFonts w:hint="eastAsia"/>
          <w:color w:val="auto"/>
          <w:highlight w:val="none"/>
          <w:u w:val="none"/>
        </w:rPr>
      </w:pPr>
      <w:r>
        <w:rPr>
          <w:rFonts w:hint="eastAsia"/>
          <w:color w:val="auto"/>
          <w:highlight w:val="none"/>
          <w:u w:val="none"/>
        </w:rPr>
        <w:t>一、预测因子</w:t>
      </w:r>
    </w:p>
    <w:p w14:paraId="6724A785">
      <w:pPr>
        <w:rPr>
          <w:rFonts w:hint="eastAsia"/>
          <w:color w:val="auto"/>
          <w:highlight w:val="none"/>
          <w:u w:val="none"/>
        </w:rPr>
      </w:pPr>
      <w:r>
        <w:rPr>
          <w:rFonts w:hint="eastAsia"/>
          <w:color w:val="auto"/>
          <w:highlight w:val="none"/>
          <w:u w:val="none"/>
        </w:rPr>
        <w:t>根据上文分析，项目主要污染因子为</w:t>
      </w:r>
      <w:r>
        <w:rPr>
          <w:color w:val="auto"/>
          <w:highlight w:val="none"/>
          <w:u w:val="none"/>
        </w:rPr>
        <w:t>ODCB邻二氯苯、DNT二硝基甲苯</w:t>
      </w:r>
      <w:r>
        <w:rPr>
          <w:rFonts w:hint="eastAsia"/>
          <w:color w:val="auto"/>
          <w:highlight w:val="none"/>
          <w:u w:val="none"/>
        </w:rPr>
        <w:t>，结合《环境影响评价技术导则</w:t>
      </w:r>
      <w:r>
        <w:rPr>
          <w:color w:val="auto"/>
          <w:highlight w:val="none"/>
          <w:u w:val="none"/>
        </w:rPr>
        <w:t>-地下水环境》（HJ 610-2016）</w:t>
      </w:r>
      <w:r>
        <w:rPr>
          <w:rFonts w:hint="eastAsia"/>
          <w:color w:val="auto"/>
          <w:highlight w:val="none"/>
          <w:u w:val="none"/>
        </w:rPr>
        <w:t>，选择预测因子影响预测因子：</w:t>
      </w:r>
      <w:r>
        <w:rPr>
          <w:rFonts w:hAnsi="Times New Roman"/>
          <w:color w:val="auto"/>
          <w:highlight w:val="none"/>
          <w:u w:val="none"/>
        </w:rPr>
        <w:t>ODCB</w:t>
      </w:r>
      <w:r>
        <w:rPr>
          <w:rFonts w:hint="eastAsia"/>
          <w:color w:val="auto"/>
          <w:highlight w:val="none"/>
          <w:u w:val="none"/>
        </w:rPr>
        <w:t>邻二氯苯、</w:t>
      </w:r>
      <w:r>
        <w:rPr>
          <w:rFonts w:hAnsi="Times New Roman"/>
          <w:color w:val="auto"/>
          <w:highlight w:val="none"/>
          <w:u w:val="none"/>
        </w:rPr>
        <w:t>DNT</w:t>
      </w:r>
      <w:r>
        <w:rPr>
          <w:color w:val="auto"/>
          <w:highlight w:val="none"/>
          <w:u w:val="none"/>
        </w:rPr>
        <w:t>二硝基甲苯。</w:t>
      </w:r>
    </w:p>
    <w:p w14:paraId="043B9806">
      <w:pPr>
        <w:pStyle w:val="5"/>
        <w:ind w:firstLine="480"/>
        <w:rPr>
          <w:rFonts w:hint="eastAsia"/>
          <w:color w:val="auto"/>
          <w:highlight w:val="none"/>
          <w:u w:val="none"/>
        </w:rPr>
      </w:pPr>
      <w:r>
        <w:rPr>
          <w:rFonts w:hint="eastAsia"/>
          <w:color w:val="auto"/>
          <w:highlight w:val="none"/>
          <w:u w:val="none"/>
        </w:rPr>
        <w:t>二、预测时段</w:t>
      </w:r>
    </w:p>
    <w:p w14:paraId="7D43D792">
      <w:pPr>
        <w:pStyle w:val="5"/>
        <w:ind w:firstLine="480"/>
        <w:rPr>
          <w:rFonts w:hint="eastAsia"/>
          <w:color w:val="auto"/>
          <w:highlight w:val="none"/>
          <w:u w:val="none"/>
        </w:rPr>
      </w:pPr>
      <w:r>
        <w:rPr>
          <w:rFonts w:hint="eastAsia"/>
          <w:color w:val="auto"/>
          <w:highlight w:val="none"/>
          <w:u w:val="none"/>
        </w:rPr>
        <w:t>（1）正常工况</w:t>
      </w:r>
    </w:p>
    <w:p w14:paraId="2EB2017D">
      <w:pPr>
        <w:pStyle w:val="5"/>
        <w:ind w:firstLine="480"/>
        <w:rPr>
          <w:rFonts w:hint="eastAsia"/>
          <w:b/>
          <w:bCs/>
          <w:color w:val="auto"/>
          <w:highlight w:val="none"/>
          <w:u w:val="none"/>
        </w:rPr>
      </w:pPr>
      <w:r>
        <w:rPr>
          <w:rFonts w:hint="eastAsia"/>
          <w:color w:val="auto"/>
          <w:highlight w:val="none"/>
          <w:u w:val="none"/>
        </w:rPr>
        <w:t>项目已根据《石油化工工程防渗技术规范</w:t>
      </w:r>
      <w:r>
        <w:rPr>
          <w:color w:val="auto"/>
          <w:highlight w:val="none"/>
          <w:u w:val="none"/>
        </w:rPr>
        <w:t>》</w:t>
      </w:r>
      <w:r>
        <w:rPr>
          <w:rFonts w:hint="eastAsia"/>
          <w:color w:val="auto"/>
          <w:highlight w:val="none"/>
          <w:u w:val="none"/>
        </w:rPr>
        <w:t>（</w:t>
      </w:r>
      <w:r>
        <w:rPr>
          <w:color w:val="auto"/>
          <w:highlight w:val="none"/>
          <w:u w:val="none"/>
        </w:rPr>
        <w:t>GB/T 50934-2013</w:t>
      </w:r>
      <w:r>
        <w:rPr>
          <w:rFonts w:hint="eastAsia"/>
          <w:color w:val="auto"/>
          <w:highlight w:val="none"/>
          <w:u w:val="none"/>
        </w:rPr>
        <w:t>）、《危险废物贮存污染控制标准》（</w:t>
      </w:r>
      <w:r>
        <w:rPr>
          <w:color w:val="auto"/>
          <w:highlight w:val="none"/>
          <w:u w:val="none"/>
        </w:rPr>
        <w:t>GB18597-2023</w:t>
      </w:r>
      <w:r>
        <w:rPr>
          <w:rFonts w:hint="eastAsia"/>
          <w:color w:val="auto"/>
          <w:highlight w:val="none"/>
          <w:u w:val="none"/>
        </w:rPr>
        <w:t>）</w:t>
      </w:r>
      <w:r>
        <w:rPr>
          <w:color w:val="auto"/>
          <w:highlight w:val="none"/>
          <w:u w:val="none"/>
        </w:rPr>
        <w:t>；《一般工业固体废物贮存和填埋污染控制标准》（GB18599-2020）</w:t>
      </w:r>
      <w:r>
        <w:rPr>
          <w:rFonts w:hint="eastAsia"/>
          <w:color w:val="auto"/>
          <w:highlight w:val="none"/>
          <w:u w:val="none"/>
        </w:rPr>
        <w:t>设计地下水污染防渗措施，</w:t>
      </w:r>
      <w:r>
        <w:rPr>
          <w:rFonts w:hint="eastAsia"/>
          <w:b/>
          <w:bCs/>
          <w:color w:val="auto"/>
          <w:highlight w:val="none"/>
          <w:u w:val="none"/>
        </w:rPr>
        <w:t>根据《环境影响评价技术导则</w:t>
      </w:r>
      <w:r>
        <w:rPr>
          <w:b/>
          <w:bCs/>
          <w:color w:val="auto"/>
          <w:highlight w:val="none"/>
          <w:u w:val="none"/>
        </w:rPr>
        <w:t>-地下水环境》（HJ 610-2016）</w:t>
      </w:r>
      <w:r>
        <w:rPr>
          <w:rFonts w:hint="eastAsia"/>
          <w:b/>
          <w:bCs/>
          <w:color w:val="auto"/>
          <w:highlight w:val="none"/>
          <w:u w:val="none"/>
        </w:rPr>
        <w:t>可不进行正常工况下的预测。</w:t>
      </w:r>
    </w:p>
    <w:p w14:paraId="7DEFDF37">
      <w:pPr>
        <w:rPr>
          <w:rFonts w:hint="eastAsia"/>
          <w:color w:val="auto"/>
          <w:highlight w:val="none"/>
          <w:u w:val="none"/>
        </w:rPr>
      </w:pPr>
      <w:r>
        <w:rPr>
          <w:rFonts w:hint="eastAsia"/>
          <w:color w:val="auto"/>
          <w:highlight w:val="none"/>
          <w:u w:val="none"/>
        </w:rPr>
        <w:t>（2）事故情况</w:t>
      </w:r>
    </w:p>
    <w:p w14:paraId="765333C5">
      <w:pPr>
        <w:ind w:firstLineChars="0"/>
        <w:rPr>
          <w:rFonts w:hint="eastAsia"/>
          <w:color w:val="auto"/>
          <w:highlight w:val="none"/>
          <w:u w:val="none"/>
        </w:rPr>
      </w:pPr>
      <w:r>
        <w:rPr>
          <w:rFonts w:hint="eastAsia"/>
          <w:color w:val="auto"/>
          <w:highlight w:val="none"/>
          <w:u w:val="none"/>
        </w:rPr>
        <w:t>在事故情况下，结合地下水流向及上文本项目建设内容的分析，本评价事故情况主要考虑</w:t>
      </w:r>
      <w:r>
        <w:rPr>
          <w:color w:val="auto"/>
          <w:highlight w:val="none"/>
          <w:u w:val="none"/>
        </w:rPr>
        <w:t>ODCB储</w:t>
      </w:r>
      <w:r>
        <w:rPr>
          <w:rFonts w:hint="eastAsia"/>
          <w:color w:val="auto"/>
          <w:highlight w:val="none"/>
          <w:u w:val="none"/>
        </w:rPr>
        <w:t>罐、</w:t>
      </w:r>
      <w:r>
        <w:rPr>
          <w:color w:val="auto"/>
          <w:highlight w:val="none"/>
          <w:u w:val="none"/>
        </w:rPr>
        <w:t>DNT储</w:t>
      </w:r>
      <w:r>
        <w:rPr>
          <w:rFonts w:hint="eastAsia"/>
          <w:color w:val="auto"/>
          <w:highlight w:val="none"/>
          <w:u w:val="none"/>
        </w:rPr>
        <w:t>罐发生泄漏。假定设备老化、腐蚀等原因，产生裂缝，池底出现破损，导致较长时间内废水通过裂口渗入地下影响地下水质。项目为技改项目，废水处理设施区域现状为污染重点防渗区域（防渗层≥6m，K≤1x10</w:t>
      </w:r>
      <w:r>
        <w:rPr>
          <w:rFonts w:hint="eastAsia"/>
          <w:color w:val="auto"/>
          <w:highlight w:val="none"/>
          <w:u w:val="none"/>
          <w:vertAlign w:val="superscript"/>
        </w:rPr>
        <w:t>-7</w:t>
      </w:r>
      <w:r>
        <w:rPr>
          <w:rFonts w:hint="eastAsia"/>
          <w:color w:val="auto"/>
          <w:highlight w:val="none"/>
          <w:u w:val="none"/>
        </w:rPr>
        <w:t>cm/s</w:t>
      </w:r>
      <w:r>
        <w:rPr>
          <w:rFonts w:hint="eastAsia"/>
          <w:color w:val="auto"/>
          <w:highlight w:val="none"/>
          <w:u w:val="none"/>
          <w:lang w:eastAsia="zh-CN"/>
        </w:rPr>
        <w:t>；</w:t>
      </w:r>
      <w:r>
        <w:rPr>
          <w:rFonts w:hint="eastAsia"/>
          <w:color w:val="auto"/>
          <w:highlight w:val="none"/>
          <w:u w:val="none"/>
        </w:rPr>
        <w:t>），若出现设备泄露情况，污染物迁移速率极慢，故不对该场景进行污染迁移预测。</w:t>
      </w:r>
    </w:p>
    <w:p w14:paraId="70F5F0E5">
      <w:pPr>
        <w:pStyle w:val="5"/>
        <w:ind w:firstLine="482"/>
        <w:jc w:val="center"/>
        <w:rPr>
          <w:rFonts w:hint="eastAsia" w:ascii="黑体" w:hAnsi="黑体" w:eastAsia="黑体"/>
          <w:b/>
          <w:bCs/>
          <w:color w:val="auto"/>
          <w:highlight w:val="none"/>
          <w:u w:val="none"/>
        </w:rPr>
      </w:pPr>
      <w:r>
        <w:rPr>
          <w:rStyle w:val="87"/>
          <w:color w:val="auto"/>
          <w:highlight w:val="none"/>
          <w:u w:val="none"/>
        </w:rPr>
        <w:t xml:space="preserve">表 </w:t>
      </w:r>
      <w:r>
        <w:rPr>
          <w:rStyle w:val="87"/>
          <w:color w:val="auto"/>
          <w:highlight w:val="none"/>
          <w:u w:val="none"/>
        </w:rPr>
        <w:fldChar w:fldCharType="begin"/>
      </w:r>
      <w:r>
        <w:rPr>
          <w:rStyle w:val="87"/>
          <w:color w:val="auto"/>
          <w:highlight w:val="none"/>
          <w:u w:val="none"/>
        </w:rPr>
        <w:instrText xml:space="preserve"> STYLEREF 2 \s </w:instrText>
      </w:r>
      <w:r>
        <w:rPr>
          <w:rStyle w:val="87"/>
          <w:color w:val="auto"/>
          <w:highlight w:val="none"/>
          <w:u w:val="none"/>
        </w:rPr>
        <w:fldChar w:fldCharType="separate"/>
      </w:r>
      <w:r>
        <w:rPr>
          <w:rStyle w:val="87"/>
          <w:color w:val="auto"/>
          <w:highlight w:val="none"/>
          <w:u w:val="none"/>
        </w:rPr>
        <w:t>8.3</w:t>
      </w:r>
      <w:r>
        <w:rPr>
          <w:rStyle w:val="87"/>
          <w:color w:val="auto"/>
          <w:highlight w:val="none"/>
          <w:u w:val="none"/>
        </w:rPr>
        <w:fldChar w:fldCharType="end"/>
      </w:r>
      <w:r>
        <w:rPr>
          <w:rStyle w:val="87"/>
          <w:color w:val="auto"/>
          <w:highlight w:val="none"/>
          <w:u w:val="none"/>
        </w:rPr>
        <w:noBreakHyphen/>
      </w:r>
      <w:r>
        <w:rPr>
          <w:rStyle w:val="87"/>
          <w:color w:val="auto"/>
          <w:highlight w:val="none"/>
          <w:u w:val="none"/>
        </w:rPr>
        <w:fldChar w:fldCharType="begin"/>
      </w:r>
      <w:r>
        <w:rPr>
          <w:rStyle w:val="87"/>
          <w:color w:val="auto"/>
          <w:highlight w:val="none"/>
          <w:u w:val="none"/>
        </w:rPr>
        <w:instrText xml:space="preserve"> SEQ 表 \* ARABIC \s 2 </w:instrText>
      </w:r>
      <w:r>
        <w:rPr>
          <w:rStyle w:val="87"/>
          <w:color w:val="auto"/>
          <w:highlight w:val="none"/>
          <w:u w:val="none"/>
        </w:rPr>
        <w:fldChar w:fldCharType="separate"/>
      </w:r>
      <w:r>
        <w:rPr>
          <w:rStyle w:val="87"/>
          <w:color w:val="auto"/>
          <w:highlight w:val="none"/>
          <w:u w:val="none"/>
        </w:rPr>
        <w:t>4</w:t>
      </w:r>
      <w:r>
        <w:rPr>
          <w:rStyle w:val="87"/>
          <w:color w:val="auto"/>
          <w:highlight w:val="none"/>
          <w:u w:val="none"/>
        </w:rPr>
        <w:fldChar w:fldCharType="end"/>
      </w:r>
      <w:r>
        <w:rPr>
          <w:rStyle w:val="87"/>
          <w:rFonts w:hint="eastAsia"/>
          <w:color w:val="auto"/>
          <w:highlight w:val="none"/>
          <w:u w:val="none"/>
        </w:rPr>
        <w:t>事故情况表</w:t>
      </w:r>
    </w:p>
    <w:tbl>
      <w:tblPr>
        <w:tblStyle w:val="5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093"/>
        <w:gridCol w:w="4637"/>
      </w:tblGrid>
      <w:tr w14:paraId="1B51C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627636D">
            <w:pPr>
              <w:pStyle w:val="92"/>
              <w:rPr>
                <w:color w:val="auto"/>
                <w:highlight w:val="none"/>
                <w:u w:val="none"/>
              </w:rPr>
            </w:pPr>
            <w:r>
              <w:rPr>
                <w:rFonts w:hint="eastAsia"/>
                <w:color w:val="auto"/>
                <w:highlight w:val="none"/>
                <w:u w:val="none"/>
              </w:rPr>
              <w:t>事故场景</w:t>
            </w:r>
          </w:p>
        </w:tc>
        <w:tc>
          <w:tcPr>
            <w:tcW w:w="0" w:type="auto"/>
            <w:vAlign w:val="center"/>
          </w:tcPr>
          <w:p w14:paraId="501E052B">
            <w:pPr>
              <w:pStyle w:val="92"/>
              <w:rPr>
                <w:color w:val="auto"/>
                <w:highlight w:val="none"/>
                <w:u w:val="none"/>
              </w:rPr>
            </w:pPr>
            <w:r>
              <w:rPr>
                <w:rFonts w:hint="eastAsia"/>
                <w:color w:val="auto"/>
                <w:highlight w:val="none"/>
                <w:u w:val="none"/>
              </w:rPr>
              <w:t>底部面积</w:t>
            </w:r>
          </w:p>
        </w:tc>
        <w:tc>
          <w:tcPr>
            <w:tcW w:w="0" w:type="auto"/>
            <w:vAlign w:val="center"/>
          </w:tcPr>
          <w:p w14:paraId="2AB921C8">
            <w:pPr>
              <w:pStyle w:val="92"/>
              <w:rPr>
                <w:color w:val="auto"/>
                <w:highlight w:val="none"/>
                <w:u w:val="none"/>
              </w:rPr>
            </w:pPr>
            <w:r>
              <w:rPr>
                <w:rFonts w:hint="eastAsia"/>
                <w:color w:val="auto"/>
                <w:highlight w:val="none"/>
                <w:u w:val="none"/>
              </w:rPr>
              <w:t>泄漏假设情况</w:t>
            </w:r>
          </w:p>
        </w:tc>
      </w:tr>
      <w:tr w14:paraId="3E328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C061C3">
            <w:pPr>
              <w:pStyle w:val="92"/>
              <w:rPr>
                <w:color w:val="auto"/>
                <w:highlight w:val="none"/>
                <w:u w:val="none"/>
              </w:rPr>
            </w:pPr>
            <w:r>
              <w:rPr>
                <w:color w:val="auto"/>
                <w:highlight w:val="none"/>
                <w:u w:val="none"/>
              </w:rPr>
              <w:t>ODCB储罐出现泄漏</w:t>
            </w:r>
          </w:p>
        </w:tc>
        <w:tc>
          <w:tcPr>
            <w:tcW w:w="0" w:type="auto"/>
            <w:vAlign w:val="center"/>
          </w:tcPr>
          <w:p w14:paraId="3173384D">
            <w:pPr>
              <w:pStyle w:val="92"/>
              <w:rPr>
                <w:color w:val="auto"/>
                <w:highlight w:val="none"/>
                <w:u w:val="none"/>
              </w:rPr>
            </w:pPr>
            <w:r>
              <w:rPr>
                <w:color w:val="auto"/>
                <w:highlight w:val="none"/>
                <w:u w:val="none"/>
              </w:rPr>
              <w:t>ODCB储</w:t>
            </w:r>
            <w:r>
              <w:rPr>
                <w:rFonts w:hint="eastAsia"/>
                <w:color w:val="auto"/>
                <w:highlight w:val="none"/>
                <w:u w:val="none"/>
              </w:rPr>
              <w:t>罐底面直径为8m，底面面积为6</w:t>
            </w:r>
            <w:r>
              <w:rPr>
                <w:color w:val="auto"/>
                <w:highlight w:val="none"/>
                <w:u w:val="none"/>
              </w:rPr>
              <w:t>3.6</w:t>
            </w:r>
            <w:r>
              <w:rPr>
                <w:rFonts w:hint="eastAsia"/>
                <w:color w:val="auto"/>
                <w:highlight w:val="none"/>
                <w:u w:val="none"/>
              </w:rPr>
              <w:t>m</w:t>
            </w:r>
            <w:r>
              <w:rPr>
                <w:color w:val="auto"/>
                <w:highlight w:val="none"/>
                <w:u w:val="none"/>
                <w:vertAlign w:val="superscript"/>
              </w:rPr>
              <w:t>2</w:t>
            </w:r>
          </w:p>
        </w:tc>
        <w:tc>
          <w:tcPr>
            <w:tcW w:w="0" w:type="auto"/>
            <w:vAlign w:val="center"/>
          </w:tcPr>
          <w:p w14:paraId="2C43C03C">
            <w:pPr>
              <w:pStyle w:val="92"/>
              <w:rPr>
                <w:color w:val="auto"/>
                <w:highlight w:val="none"/>
                <w:u w:val="none"/>
              </w:rPr>
            </w:pPr>
            <w:r>
              <w:rPr>
                <w:rFonts w:hint="eastAsia"/>
                <w:color w:val="auto"/>
                <w:highlight w:val="none"/>
                <w:u w:val="none"/>
              </w:rPr>
              <w:t>假设出现</w:t>
            </w:r>
            <w:r>
              <w:rPr>
                <w:color w:val="auto"/>
                <w:highlight w:val="none"/>
                <w:u w:val="none"/>
              </w:rPr>
              <w:t>0.1%的底面出现泄漏（若大量泄漏时，储罐计量仪器会有所反映）</w:t>
            </w:r>
            <w:r>
              <w:rPr>
                <w:rFonts w:hint="eastAsia"/>
                <w:color w:val="auto"/>
                <w:highlight w:val="none"/>
                <w:u w:val="none"/>
              </w:rPr>
              <w:t>。</w:t>
            </w:r>
          </w:p>
        </w:tc>
      </w:tr>
      <w:tr w14:paraId="3CEF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15FABD">
            <w:pPr>
              <w:pStyle w:val="92"/>
              <w:rPr>
                <w:color w:val="auto"/>
                <w:highlight w:val="none"/>
                <w:u w:val="none"/>
              </w:rPr>
            </w:pPr>
            <w:r>
              <w:rPr>
                <w:color w:val="auto"/>
                <w:highlight w:val="none"/>
                <w:u w:val="none"/>
              </w:rPr>
              <w:t>DNT储</w:t>
            </w:r>
            <w:r>
              <w:rPr>
                <w:rFonts w:hint="eastAsia"/>
                <w:color w:val="auto"/>
                <w:highlight w:val="none"/>
                <w:u w:val="none"/>
              </w:rPr>
              <w:t>罐发生泄漏</w:t>
            </w:r>
          </w:p>
        </w:tc>
        <w:tc>
          <w:tcPr>
            <w:tcW w:w="0" w:type="auto"/>
            <w:vAlign w:val="center"/>
          </w:tcPr>
          <w:p w14:paraId="6D40E2A0">
            <w:pPr>
              <w:pStyle w:val="92"/>
              <w:rPr>
                <w:color w:val="auto"/>
                <w:highlight w:val="none"/>
                <w:u w:val="none"/>
              </w:rPr>
            </w:pPr>
            <w:r>
              <w:rPr>
                <w:color w:val="auto"/>
                <w:highlight w:val="none"/>
                <w:u w:val="none"/>
              </w:rPr>
              <w:t>DNT储</w:t>
            </w:r>
            <w:r>
              <w:rPr>
                <w:rFonts w:hint="eastAsia"/>
                <w:color w:val="auto"/>
                <w:highlight w:val="none"/>
                <w:u w:val="none"/>
              </w:rPr>
              <w:t>罐底面直径为</w:t>
            </w:r>
            <w:r>
              <w:rPr>
                <w:color w:val="auto"/>
                <w:highlight w:val="none"/>
                <w:u w:val="none"/>
              </w:rPr>
              <w:t>10.5</w:t>
            </w:r>
            <w:r>
              <w:rPr>
                <w:rFonts w:hint="eastAsia"/>
                <w:color w:val="auto"/>
                <w:highlight w:val="none"/>
                <w:u w:val="none"/>
              </w:rPr>
              <w:t>m，底面面积为8</w:t>
            </w:r>
            <w:r>
              <w:rPr>
                <w:color w:val="auto"/>
                <w:highlight w:val="none"/>
                <w:u w:val="none"/>
              </w:rPr>
              <w:t>6.4</w:t>
            </w:r>
            <w:r>
              <w:rPr>
                <w:rFonts w:hint="eastAsia"/>
                <w:color w:val="auto"/>
                <w:highlight w:val="none"/>
                <w:u w:val="none"/>
              </w:rPr>
              <w:t>m</w:t>
            </w:r>
            <w:r>
              <w:rPr>
                <w:color w:val="auto"/>
                <w:highlight w:val="none"/>
                <w:u w:val="none"/>
                <w:vertAlign w:val="superscript"/>
              </w:rPr>
              <w:t>2</w:t>
            </w:r>
          </w:p>
        </w:tc>
        <w:tc>
          <w:tcPr>
            <w:tcW w:w="0" w:type="auto"/>
            <w:vAlign w:val="center"/>
          </w:tcPr>
          <w:p w14:paraId="6D42F647">
            <w:pPr>
              <w:pStyle w:val="92"/>
              <w:rPr>
                <w:color w:val="auto"/>
                <w:highlight w:val="none"/>
                <w:u w:val="none"/>
              </w:rPr>
            </w:pPr>
            <w:r>
              <w:rPr>
                <w:rFonts w:hint="eastAsia"/>
                <w:color w:val="auto"/>
                <w:highlight w:val="none"/>
                <w:u w:val="none"/>
              </w:rPr>
              <w:t>假设出现</w:t>
            </w:r>
            <w:r>
              <w:rPr>
                <w:color w:val="auto"/>
                <w:highlight w:val="none"/>
                <w:u w:val="none"/>
              </w:rPr>
              <w:t>0.1%的底面出现泄漏（若大量泄漏时，储罐计量仪器会有所反映）</w:t>
            </w:r>
            <w:r>
              <w:rPr>
                <w:rFonts w:hint="eastAsia"/>
                <w:color w:val="auto"/>
                <w:highlight w:val="none"/>
                <w:u w:val="none"/>
              </w:rPr>
              <w:t>。</w:t>
            </w:r>
          </w:p>
        </w:tc>
      </w:tr>
    </w:tbl>
    <w:p w14:paraId="37E7687D">
      <w:pPr>
        <w:pStyle w:val="7"/>
        <w:numPr>
          <w:ilvl w:val="3"/>
          <w:numId w:val="8"/>
        </w:numPr>
        <w:spacing w:before="156"/>
        <w:rPr>
          <w:color w:val="auto"/>
          <w:highlight w:val="none"/>
          <w:u w:val="none"/>
        </w:rPr>
      </w:pPr>
      <w:r>
        <w:rPr>
          <w:rFonts w:hint="eastAsia"/>
          <w:color w:val="auto"/>
          <w:highlight w:val="none"/>
          <w:u w:val="none"/>
        </w:rPr>
        <w:t>污染物下渗过程分析及预测模型</w:t>
      </w:r>
    </w:p>
    <w:p w14:paraId="43A05395">
      <w:pPr>
        <w:pStyle w:val="5"/>
        <w:ind w:firstLine="480"/>
        <w:rPr>
          <w:rFonts w:hint="eastAsia"/>
          <w:color w:val="auto"/>
          <w:highlight w:val="none"/>
          <w:u w:val="none"/>
        </w:rPr>
      </w:pPr>
      <w:r>
        <w:rPr>
          <w:rFonts w:hint="eastAsia"/>
          <w:color w:val="auto"/>
          <w:highlight w:val="none"/>
          <w:u w:val="none"/>
        </w:rPr>
        <w:t>一、</w:t>
      </w:r>
      <w:r>
        <w:rPr>
          <w:color w:val="auto"/>
          <w:highlight w:val="none"/>
          <w:u w:val="none"/>
        </w:rPr>
        <w:t>污染物</w:t>
      </w:r>
      <w:r>
        <w:rPr>
          <w:rFonts w:hint="eastAsia"/>
          <w:color w:val="auto"/>
          <w:highlight w:val="none"/>
          <w:u w:val="none"/>
        </w:rPr>
        <w:t>下</w:t>
      </w:r>
      <w:r>
        <w:rPr>
          <w:color w:val="auto"/>
          <w:highlight w:val="none"/>
          <w:u w:val="none"/>
        </w:rPr>
        <w:t>渗情况分析</w:t>
      </w:r>
    </w:p>
    <w:p w14:paraId="78B3629A">
      <w:pPr>
        <w:pStyle w:val="5"/>
        <w:ind w:firstLine="480"/>
        <w:rPr>
          <w:rFonts w:hint="eastAsia"/>
          <w:color w:val="auto"/>
          <w:highlight w:val="none"/>
          <w:u w:val="none"/>
        </w:rPr>
      </w:pPr>
      <w:r>
        <w:rPr>
          <w:color w:val="auto"/>
          <w:highlight w:val="none"/>
          <w:u w:val="none"/>
        </w:rPr>
        <w:t>ODCB</w:t>
      </w:r>
      <w:r>
        <w:rPr>
          <w:rFonts w:hint="eastAsia"/>
          <w:color w:val="auto"/>
          <w:highlight w:val="none"/>
          <w:u w:val="none"/>
        </w:rPr>
        <w:t>、</w:t>
      </w:r>
      <w:r>
        <w:rPr>
          <w:color w:val="auto"/>
          <w:highlight w:val="none"/>
          <w:u w:val="none"/>
        </w:rPr>
        <w:t>DNT</w:t>
      </w:r>
      <w:r>
        <w:rPr>
          <w:rFonts w:hint="eastAsia"/>
          <w:color w:val="auto"/>
          <w:highlight w:val="none"/>
          <w:u w:val="none"/>
        </w:rPr>
        <w:t>储罐发生破裂后，垂直入渗穿过包气带中砂层，随后进入潜水层。</w:t>
      </w:r>
      <w:r>
        <w:rPr>
          <w:color w:val="auto"/>
          <w:highlight w:val="none"/>
          <w:u w:val="none"/>
        </w:rPr>
        <w:t>ODCB</w:t>
      </w:r>
      <w:r>
        <w:rPr>
          <w:rFonts w:hint="eastAsia"/>
          <w:color w:val="auto"/>
          <w:highlight w:val="none"/>
          <w:u w:val="none"/>
        </w:rPr>
        <w:t>、</w:t>
      </w:r>
      <w:r>
        <w:rPr>
          <w:color w:val="auto"/>
          <w:highlight w:val="none"/>
          <w:u w:val="none"/>
        </w:rPr>
        <w:t>DNT</w:t>
      </w:r>
      <w:r>
        <w:rPr>
          <w:rFonts w:hint="eastAsia"/>
          <w:color w:val="auto"/>
          <w:highlight w:val="none"/>
          <w:u w:val="none"/>
        </w:rPr>
        <w:t>溶水性较差，故进入潜水层的</w:t>
      </w:r>
      <w:r>
        <w:rPr>
          <w:color w:val="auto"/>
          <w:highlight w:val="none"/>
          <w:u w:val="none"/>
        </w:rPr>
        <w:t>ODCB</w:t>
      </w:r>
      <w:r>
        <w:rPr>
          <w:rFonts w:hint="eastAsia"/>
          <w:color w:val="auto"/>
          <w:highlight w:val="none"/>
          <w:u w:val="none"/>
        </w:rPr>
        <w:t>、</w:t>
      </w:r>
      <w:r>
        <w:rPr>
          <w:color w:val="auto"/>
          <w:highlight w:val="none"/>
          <w:u w:val="none"/>
        </w:rPr>
        <w:t>DNT</w:t>
      </w:r>
      <w:r>
        <w:rPr>
          <w:rFonts w:hint="eastAsia"/>
          <w:color w:val="auto"/>
          <w:highlight w:val="none"/>
          <w:u w:val="none"/>
        </w:rPr>
        <w:t>小部分溶解于地下水向下游迁移；因</w:t>
      </w:r>
      <w:r>
        <w:rPr>
          <w:color w:val="auto"/>
          <w:highlight w:val="none"/>
          <w:u w:val="none"/>
        </w:rPr>
        <w:t>ODCB</w:t>
      </w:r>
      <w:r>
        <w:rPr>
          <w:rFonts w:hint="eastAsia"/>
          <w:color w:val="auto"/>
          <w:highlight w:val="none"/>
          <w:u w:val="none"/>
        </w:rPr>
        <w:t>（</w:t>
      </w:r>
      <w:r>
        <w:rPr>
          <w:color w:val="auto"/>
          <w:highlight w:val="none"/>
          <w:u w:val="none"/>
        </w:rPr>
        <w:t>1.306g/cm³</w:t>
      </w:r>
      <w:r>
        <w:rPr>
          <w:rFonts w:hint="eastAsia"/>
          <w:color w:val="auto"/>
          <w:highlight w:val="none"/>
          <w:u w:val="none"/>
        </w:rPr>
        <w:t>）、</w:t>
      </w:r>
      <w:r>
        <w:rPr>
          <w:color w:val="auto"/>
          <w:highlight w:val="none"/>
          <w:u w:val="none"/>
        </w:rPr>
        <w:t>DNT</w:t>
      </w:r>
      <w:r>
        <w:rPr>
          <w:rFonts w:hint="eastAsia"/>
          <w:color w:val="auto"/>
          <w:highlight w:val="none"/>
          <w:u w:val="none"/>
        </w:rPr>
        <w:t>（</w:t>
      </w:r>
      <w:r>
        <w:rPr>
          <w:color w:val="auto"/>
          <w:highlight w:val="none"/>
          <w:u w:val="none"/>
        </w:rPr>
        <w:t>1.407g/cm³</w:t>
      </w:r>
      <w:r>
        <w:rPr>
          <w:rFonts w:hint="eastAsia"/>
          <w:color w:val="auto"/>
          <w:highlight w:val="none"/>
          <w:u w:val="none"/>
        </w:rPr>
        <w:t>）密度比水（</w:t>
      </w:r>
      <w:r>
        <w:rPr>
          <w:color w:val="auto"/>
          <w:highlight w:val="none"/>
          <w:u w:val="none"/>
        </w:rPr>
        <w:t>1g/cm³</w:t>
      </w:r>
      <w:r>
        <w:rPr>
          <w:rFonts w:hint="eastAsia"/>
          <w:color w:val="auto"/>
          <w:highlight w:val="none"/>
          <w:u w:val="none"/>
        </w:rPr>
        <w:t>）大，故未溶解部分继续下渗，最终淤积于下层相对隔水层上（淤泥质土层）继续缓慢溶解于地下水并向下游迁移。故污染源源强取其在水中的水溶解性数值（</w:t>
      </w:r>
      <w:r>
        <w:rPr>
          <w:rFonts w:hint="eastAsia"/>
          <w:b/>
          <w:bCs/>
          <w:color w:val="auto"/>
          <w:highlight w:val="none"/>
          <w:u w:val="none"/>
        </w:rPr>
        <w:t>即</w:t>
      </w:r>
      <w:r>
        <w:rPr>
          <w:b/>
          <w:bCs/>
          <w:color w:val="auto"/>
          <w:highlight w:val="none"/>
          <w:u w:val="none"/>
        </w:rPr>
        <w:t>ODCB</w:t>
      </w:r>
      <w:r>
        <w:rPr>
          <w:rFonts w:hint="eastAsia"/>
          <w:b/>
          <w:bCs/>
          <w:color w:val="auto"/>
          <w:highlight w:val="none"/>
          <w:u w:val="none"/>
        </w:rPr>
        <w:t>取</w:t>
      </w:r>
      <w:r>
        <w:rPr>
          <w:b/>
          <w:bCs/>
          <w:color w:val="auto"/>
          <w:highlight w:val="none"/>
          <w:u w:val="none"/>
        </w:rPr>
        <w:t>130</w:t>
      </w:r>
      <w:r>
        <w:rPr>
          <w:rFonts w:hint="eastAsia"/>
          <w:b/>
          <w:bCs/>
          <w:color w:val="auto"/>
          <w:highlight w:val="none"/>
          <w:u w:val="none"/>
        </w:rPr>
        <w:t>m</w:t>
      </w:r>
      <w:r>
        <w:rPr>
          <w:b/>
          <w:bCs/>
          <w:color w:val="auto"/>
          <w:highlight w:val="none"/>
          <w:u w:val="none"/>
        </w:rPr>
        <w:t>g/L</w:t>
      </w:r>
      <w:r>
        <w:rPr>
          <w:rFonts w:hint="eastAsia"/>
          <w:b/>
          <w:bCs/>
          <w:color w:val="auto"/>
          <w:highlight w:val="none"/>
          <w:u w:val="none"/>
        </w:rPr>
        <w:t>，</w:t>
      </w:r>
      <w:r>
        <w:rPr>
          <w:b/>
          <w:bCs/>
          <w:color w:val="auto"/>
          <w:highlight w:val="none"/>
          <w:u w:val="none"/>
        </w:rPr>
        <w:t>DNT</w:t>
      </w:r>
      <w:r>
        <w:rPr>
          <w:rFonts w:hint="eastAsia"/>
          <w:b/>
          <w:bCs/>
          <w:color w:val="auto"/>
          <w:highlight w:val="none"/>
          <w:u w:val="none"/>
        </w:rPr>
        <w:t>取</w:t>
      </w:r>
      <w:r>
        <w:rPr>
          <w:b/>
          <w:bCs/>
          <w:color w:val="auto"/>
          <w:highlight w:val="none"/>
          <w:u w:val="none"/>
        </w:rPr>
        <w:t>300</w:t>
      </w:r>
      <w:r>
        <w:rPr>
          <w:rFonts w:hint="eastAsia"/>
          <w:b/>
          <w:bCs/>
          <w:color w:val="auto"/>
          <w:highlight w:val="none"/>
          <w:u w:val="none"/>
        </w:rPr>
        <w:t>m</w:t>
      </w:r>
      <w:r>
        <w:rPr>
          <w:b/>
          <w:bCs/>
          <w:color w:val="auto"/>
          <w:highlight w:val="none"/>
          <w:u w:val="none"/>
        </w:rPr>
        <w:t>g/L</w:t>
      </w:r>
      <w:r>
        <w:rPr>
          <w:rFonts w:hint="eastAsia"/>
          <w:b/>
          <w:bCs/>
          <w:color w:val="auto"/>
          <w:highlight w:val="none"/>
          <w:u w:val="none"/>
        </w:rPr>
        <w:t>）</w:t>
      </w:r>
      <w:r>
        <w:rPr>
          <w:rFonts w:hint="eastAsia"/>
          <w:color w:val="auto"/>
          <w:highlight w:val="none"/>
          <w:u w:val="none"/>
        </w:rPr>
        <w:t>，并视污染源为稳定释放的点源。</w:t>
      </w:r>
    </w:p>
    <w:p w14:paraId="14DAA83B">
      <w:pPr>
        <w:rPr>
          <w:rFonts w:hint="eastAsia"/>
          <w:color w:val="auto"/>
          <w:highlight w:val="none"/>
          <w:u w:val="none"/>
        </w:rPr>
      </w:pPr>
      <w:r>
        <w:rPr>
          <w:rFonts w:hint="eastAsia"/>
          <w:color w:val="auto"/>
          <w:highlight w:val="none"/>
          <w:u w:val="none"/>
        </w:rPr>
        <w:t>二、预测数据模型</w:t>
      </w:r>
    </w:p>
    <w:p w14:paraId="2374A3B2">
      <w:pPr>
        <w:rPr>
          <w:rFonts w:hAnsi="Times New Roman"/>
          <w:color w:val="auto"/>
          <w:highlight w:val="none"/>
          <w:u w:val="none"/>
        </w:rPr>
      </w:pPr>
      <w:r>
        <w:rPr>
          <w:rFonts w:hint="eastAsia"/>
          <w:color w:val="auto"/>
          <w:highlight w:val="none"/>
          <w:u w:val="none"/>
        </w:rPr>
        <w:t>根据现有地质资料，厂区的水文地质条件较为简单，故选择《环境影响评价技术导则</w:t>
      </w:r>
      <w:r>
        <w:rPr>
          <w:color w:val="auto"/>
          <w:highlight w:val="none"/>
          <w:u w:val="none"/>
        </w:rPr>
        <w:t>-地下水环境》（HJ 610-2016）</w:t>
      </w:r>
      <w:r>
        <w:rPr>
          <w:rFonts w:hint="eastAsia"/>
          <w:color w:val="auto"/>
          <w:highlight w:val="none"/>
          <w:u w:val="none"/>
        </w:rPr>
        <w:t>中一维稳定流动一维水动力弥散问题，可将污染源是做连续稳定释放的点源</w:t>
      </w:r>
      <w:r>
        <w:rPr>
          <w:color w:val="auto"/>
          <w:highlight w:val="none"/>
          <w:u w:val="none"/>
        </w:rPr>
        <w:t>。</w:t>
      </w:r>
      <w:r>
        <w:rPr>
          <w:rFonts w:hint="eastAsia"/>
          <w:color w:val="auto"/>
          <w:highlight w:val="none"/>
          <w:u w:val="none"/>
        </w:rPr>
        <w:t>公示如下</w:t>
      </w:r>
    </w:p>
    <w:p w14:paraId="4CB8A959">
      <w:pPr>
        <w:rPr>
          <w:rFonts w:hAnsi="Times New Roman"/>
          <w:color w:val="auto"/>
          <w:highlight w:val="none"/>
          <w:u w:val="none"/>
        </w:rPr>
      </w:pPr>
      <m:oMathPara>
        <m:oMath>
          <m:f>
            <m:fPr>
              <m:ctrlPr>
                <w:rPr>
                  <w:rFonts w:ascii="Cambria Math" w:hAnsi="Cambria Math"/>
                  <w:i/>
                  <w:color w:val="auto"/>
                  <w:highlight w:val="none"/>
                  <w:u w:val="none"/>
                </w:rPr>
              </m:ctrlPr>
            </m:fPr>
            <m:num>
              <m:r>
                <m:rPr/>
                <w:rPr>
                  <w:rFonts w:hint="eastAsia" w:ascii="Cambria Math" w:hAnsi="Cambria Math"/>
                  <w:color w:val="auto"/>
                  <w:highlight w:val="none"/>
                  <w:u w:val="none"/>
                </w:rPr>
                <m:t>c</m:t>
              </m:r>
              <m:ctrlPr>
                <w:rPr>
                  <w:rFonts w:ascii="Cambria Math" w:hAnsi="Cambria Math"/>
                  <w:i/>
                  <w:color w:val="auto"/>
                  <w:highlight w:val="none"/>
                  <w:u w:val="none"/>
                </w:rPr>
              </m:ctrlPr>
            </m:num>
            <m:den>
              <m:sSub>
                <m:sSubPr>
                  <m:ctrlPr>
                    <w:rPr>
                      <w:rFonts w:ascii="Cambria Math" w:hAnsi="Cambria Math"/>
                      <w:i/>
                      <w:color w:val="auto"/>
                      <w:highlight w:val="none"/>
                      <w:u w:val="none"/>
                    </w:rPr>
                  </m:ctrlPr>
                </m:sSubPr>
                <m:e>
                  <m:r>
                    <m:rPr/>
                    <w:rPr>
                      <w:rFonts w:hint="eastAsia" w:ascii="Cambria Math" w:hAnsi="Cambria Math"/>
                      <w:color w:val="auto"/>
                      <w:highlight w:val="none"/>
                      <w:u w:val="none"/>
                    </w:rPr>
                    <m:t>c</m:t>
                  </m:r>
                  <m:ctrlPr>
                    <w:rPr>
                      <w:rFonts w:ascii="Cambria Math" w:hAnsi="Cambria Math"/>
                      <w:i/>
                      <w:color w:val="auto"/>
                      <w:highlight w:val="none"/>
                      <w:u w:val="none"/>
                    </w:rPr>
                  </m:ctrlPr>
                </m:e>
                <m:sub>
                  <m:r>
                    <m:rPr/>
                    <w:rPr>
                      <w:rFonts w:ascii="Cambria Math" w:hAnsi="Cambria Math"/>
                      <w:color w:val="auto"/>
                      <w:highlight w:val="none"/>
                      <w:u w:val="none"/>
                    </w:rPr>
                    <m:t>0</m:t>
                  </m:r>
                  <m:ctrlPr>
                    <w:rPr>
                      <w:rFonts w:ascii="Cambria Math" w:hAnsi="Cambria Math"/>
                      <w:i/>
                      <w:color w:val="auto"/>
                      <w:highlight w:val="none"/>
                      <w:u w:val="none"/>
                    </w:rPr>
                  </m:ctrlPr>
                </m:sub>
              </m:sSub>
              <m:ctrlPr>
                <w:rPr>
                  <w:rFonts w:ascii="Cambria Math" w:hAnsi="Cambria Math"/>
                  <w:i/>
                  <w:color w:val="auto"/>
                  <w:highlight w:val="none"/>
                  <w:u w:val="none"/>
                </w:rPr>
              </m:ctrlPr>
            </m:den>
          </m:f>
          <m:r>
            <m:rPr/>
            <w:rPr>
              <w:rFonts w:hint="eastAsia" w:ascii="Cambria Math" w:hAnsi="Cambria Math"/>
              <w:color w:val="auto"/>
              <w:highlight w:val="none"/>
              <w:u w:val="none"/>
            </w:rPr>
            <m:t>=</m:t>
          </m:r>
          <m:f>
            <m:fPr>
              <m:ctrlPr>
                <w:rPr>
                  <w:rFonts w:ascii="Cambria Math" w:hAnsi="Cambria Math"/>
                  <w:i/>
                  <w:color w:val="auto"/>
                  <w:highlight w:val="none"/>
                  <w:u w:val="none"/>
                </w:rPr>
              </m:ctrlPr>
            </m:fPr>
            <m:num>
              <m:r>
                <m:rPr/>
                <w:rPr>
                  <w:rFonts w:ascii="Cambria Math" w:hAnsi="Cambria Math"/>
                  <w:color w:val="auto"/>
                  <w:highlight w:val="none"/>
                  <w:u w:val="none"/>
                </w:rPr>
                <m:t>1</m:t>
              </m:r>
              <m:ctrlPr>
                <w:rPr>
                  <w:rFonts w:ascii="Cambria Math" w:hAnsi="Cambria Math"/>
                  <w:i/>
                  <w:color w:val="auto"/>
                  <w:highlight w:val="none"/>
                  <w:u w:val="none"/>
                </w:rPr>
              </m:ctrlPr>
            </m:num>
            <m:den>
              <m:r>
                <m:rPr/>
                <w:rPr>
                  <w:rFonts w:ascii="Cambria Math" w:hAnsi="Cambria Math"/>
                  <w:color w:val="auto"/>
                  <w:highlight w:val="none"/>
                  <w:u w:val="none"/>
                </w:rPr>
                <m:t>2</m:t>
              </m:r>
              <m:ctrlPr>
                <w:rPr>
                  <w:rFonts w:ascii="Cambria Math" w:hAnsi="Cambria Math"/>
                  <w:i/>
                  <w:color w:val="auto"/>
                  <w:highlight w:val="none"/>
                  <w:u w:val="none"/>
                </w:rPr>
              </m:ctrlPr>
            </m:den>
          </m:f>
          <m:r>
            <m:rPr/>
            <w:rPr>
              <w:rFonts w:hint="eastAsia" w:ascii="Cambria Math" w:hAnsi="Cambria Math"/>
              <w:color w:val="auto"/>
              <w:highlight w:val="none"/>
              <w:u w:val="none"/>
            </w:rPr>
            <m:t>er</m:t>
          </m:r>
          <m:r>
            <m:rPr/>
            <w:rPr>
              <w:rFonts w:ascii="Cambria Math" w:hAnsi="Cambria Math"/>
              <w:color w:val="auto"/>
              <w:highlight w:val="none"/>
              <w:u w:val="none"/>
            </w:rPr>
            <m:t>fc</m:t>
          </m:r>
          <m:d>
            <m:dPr>
              <m:ctrlPr>
                <w:rPr>
                  <w:rFonts w:ascii="Cambria Math" w:hAnsi="Cambria Math"/>
                  <w:i/>
                  <w:color w:val="auto"/>
                  <w:highlight w:val="none"/>
                  <w:u w:val="none"/>
                </w:rPr>
              </m:ctrlPr>
            </m:dPr>
            <m:e>
              <m:f>
                <m:fPr>
                  <m:ctrlPr>
                    <w:rPr>
                      <w:rFonts w:ascii="Cambria Math" w:hAnsi="Cambria Math"/>
                      <w:i/>
                      <w:color w:val="auto"/>
                      <w:highlight w:val="none"/>
                      <w:u w:val="none"/>
                    </w:rPr>
                  </m:ctrlPr>
                </m:fPr>
                <m:num>
                  <m:r>
                    <m:rPr/>
                    <w:rPr>
                      <w:rFonts w:ascii="Cambria Math" w:hAnsi="Cambria Math"/>
                      <w:color w:val="auto"/>
                      <w:highlight w:val="none"/>
                      <w:u w:val="none"/>
                    </w:rPr>
                    <m:t>x−ut</m:t>
                  </m:r>
                  <m:ctrlPr>
                    <w:rPr>
                      <w:rFonts w:ascii="Cambria Math" w:hAnsi="Cambria Math"/>
                      <w:i/>
                      <w:color w:val="auto"/>
                      <w:highlight w:val="none"/>
                      <w:u w:val="none"/>
                    </w:rPr>
                  </m:ctrlPr>
                </m:num>
                <m:den>
                  <m:r>
                    <m:rPr/>
                    <w:rPr>
                      <w:rFonts w:ascii="Cambria Math" w:hAnsi="Cambria Math"/>
                      <w:color w:val="auto"/>
                      <w:highlight w:val="none"/>
                      <w:u w:val="none"/>
                    </w:rPr>
                    <m:t>2</m:t>
                  </m:r>
                  <m:rad>
                    <m:radPr>
                      <m:degHide m:val="1"/>
                      <m:ctrlPr>
                        <w:rPr>
                          <w:rFonts w:ascii="Cambria Math" w:hAnsi="Cambria Math"/>
                          <w:i/>
                          <w:color w:val="auto"/>
                          <w:highlight w:val="none"/>
                          <w:u w:val="none"/>
                        </w:rPr>
                      </m:ctrlPr>
                    </m:radPr>
                    <m:deg>
                      <m:ctrlPr>
                        <w:rPr>
                          <w:rFonts w:ascii="Cambria Math" w:hAnsi="Cambria Math"/>
                          <w:i/>
                          <w:color w:val="auto"/>
                          <w:highlight w:val="none"/>
                          <w:u w:val="none"/>
                        </w:rPr>
                      </m:ctrlPr>
                    </m:deg>
                    <m:e>
                      <m:sSub>
                        <m:sSubPr>
                          <m:ctrlPr>
                            <w:rPr>
                              <w:rFonts w:ascii="Cambria Math" w:hAnsi="Cambria Math"/>
                              <w:i/>
                              <w:color w:val="auto"/>
                              <w:highlight w:val="none"/>
                              <w:u w:val="none"/>
                            </w:rPr>
                          </m:ctrlPr>
                        </m:sSubPr>
                        <m:e>
                          <m:r>
                            <m:rPr/>
                            <w:rPr>
                              <w:rFonts w:ascii="Cambria Math" w:hAnsi="Cambria Math"/>
                              <w:color w:val="auto"/>
                              <w:highlight w:val="none"/>
                              <w:u w:val="none"/>
                            </w:rPr>
                            <m:t>D</m:t>
                          </m:r>
                          <m:ctrlPr>
                            <w:rPr>
                              <w:rFonts w:ascii="Cambria Math" w:hAnsi="Cambria Math"/>
                              <w:i/>
                              <w:color w:val="auto"/>
                              <w:highlight w:val="none"/>
                              <w:u w:val="none"/>
                            </w:rPr>
                          </m:ctrlPr>
                        </m:e>
                        <m:sub>
                          <m:r>
                            <m:rPr/>
                            <w:rPr>
                              <w:rFonts w:ascii="Cambria Math" w:hAnsi="Cambria Math"/>
                              <w:color w:val="auto"/>
                              <w:highlight w:val="none"/>
                              <w:u w:val="none"/>
                            </w:rPr>
                            <m:t>L</m:t>
                          </m:r>
                          <m:ctrlPr>
                            <w:rPr>
                              <w:rFonts w:ascii="Cambria Math" w:hAnsi="Cambria Math"/>
                              <w:i/>
                              <w:color w:val="auto"/>
                              <w:highlight w:val="none"/>
                              <w:u w:val="none"/>
                            </w:rPr>
                          </m:ctrlPr>
                        </m:sub>
                      </m:sSub>
                      <m:r>
                        <m:rPr/>
                        <w:rPr>
                          <w:rFonts w:ascii="Cambria Math" w:hAnsi="Cambria Math"/>
                          <w:color w:val="auto"/>
                          <w:highlight w:val="none"/>
                          <w:u w:val="none"/>
                        </w:rPr>
                        <m:t>t</m:t>
                      </m:r>
                      <m:ctrlPr>
                        <w:rPr>
                          <w:rFonts w:ascii="Cambria Math" w:hAnsi="Cambria Math"/>
                          <w:i/>
                          <w:color w:val="auto"/>
                          <w:highlight w:val="none"/>
                          <w:u w:val="none"/>
                        </w:rPr>
                      </m:ctrlPr>
                    </m:e>
                  </m:rad>
                  <m:ctrlPr>
                    <w:rPr>
                      <w:rFonts w:ascii="Cambria Math" w:hAnsi="Cambria Math"/>
                      <w:i/>
                      <w:color w:val="auto"/>
                      <w:highlight w:val="none"/>
                      <w:u w:val="none"/>
                    </w:rPr>
                  </m:ctrlPr>
                </m:den>
              </m:f>
              <m:ctrlPr>
                <w:rPr>
                  <w:rFonts w:ascii="Cambria Math" w:hAnsi="Cambria Math"/>
                  <w:i/>
                  <w:color w:val="auto"/>
                  <w:highlight w:val="none"/>
                  <w:u w:val="none"/>
                </w:rPr>
              </m:ctrlPr>
            </m:e>
          </m:d>
          <m:r>
            <m:rPr/>
            <w:rPr>
              <w:rFonts w:ascii="Cambria Math" w:hAnsi="Cambria Math"/>
              <w:color w:val="auto"/>
              <w:highlight w:val="none"/>
              <w:u w:val="none"/>
            </w:rPr>
            <m:t>+</m:t>
          </m:r>
          <m:f>
            <m:fPr>
              <m:ctrlPr>
                <w:rPr>
                  <w:rFonts w:ascii="Cambria Math" w:hAnsi="Cambria Math"/>
                  <w:i/>
                  <w:color w:val="auto"/>
                  <w:highlight w:val="none"/>
                  <w:u w:val="none"/>
                </w:rPr>
              </m:ctrlPr>
            </m:fPr>
            <m:num>
              <m:r>
                <m:rPr/>
                <w:rPr>
                  <w:rFonts w:ascii="Cambria Math" w:hAnsi="Cambria Math"/>
                  <w:color w:val="auto"/>
                  <w:highlight w:val="none"/>
                  <w:u w:val="none"/>
                </w:rPr>
                <m:t>1</m:t>
              </m:r>
              <m:ctrlPr>
                <w:rPr>
                  <w:rFonts w:ascii="Cambria Math" w:hAnsi="Cambria Math"/>
                  <w:i/>
                  <w:color w:val="auto"/>
                  <w:highlight w:val="none"/>
                  <w:u w:val="none"/>
                </w:rPr>
              </m:ctrlPr>
            </m:num>
            <m:den>
              <m:r>
                <m:rPr/>
                <w:rPr>
                  <w:rFonts w:ascii="Cambria Math" w:hAnsi="Cambria Math"/>
                  <w:color w:val="auto"/>
                  <w:highlight w:val="none"/>
                  <w:u w:val="none"/>
                </w:rPr>
                <m:t>2</m:t>
              </m:r>
              <m:ctrlPr>
                <w:rPr>
                  <w:rFonts w:ascii="Cambria Math" w:hAnsi="Cambria Math"/>
                  <w:i/>
                  <w:color w:val="auto"/>
                  <w:highlight w:val="none"/>
                  <w:u w:val="none"/>
                </w:rPr>
              </m:ctrlPr>
            </m:den>
          </m:f>
          <m:sSup>
            <m:sSupPr>
              <m:ctrlPr>
                <w:rPr>
                  <w:rFonts w:ascii="Cambria Math" w:hAnsi="Cambria Math"/>
                  <w:i/>
                  <w:color w:val="auto"/>
                  <w:highlight w:val="none"/>
                  <w:u w:val="none"/>
                </w:rPr>
              </m:ctrlPr>
            </m:sSupPr>
            <m:e>
              <m:r>
                <m:rPr/>
                <w:rPr>
                  <w:rFonts w:ascii="Cambria Math" w:hAnsi="Cambria Math"/>
                  <w:color w:val="auto"/>
                  <w:highlight w:val="none"/>
                  <w:u w:val="none"/>
                </w:rPr>
                <m:t>e</m:t>
              </m:r>
              <m:ctrlPr>
                <w:rPr>
                  <w:rFonts w:ascii="Cambria Math" w:hAnsi="Cambria Math"/>
                  <w:i/>
                  <w:color w:val="auto"/>
                  <w:highlight w:val="none"/>
                  <w:u w:val="none"/>
                </w:rPr>
              </m:ctrlPr>
            </m:e>
            <m:sup>
              <m:f>
                <m:fPr>
                  <m:ctrlPr>
                    <w:rPr>
                      <w:rFonts w:ascii="Cambria Math" w:hAnsi="Cambria Math"/>
                      <w:i/>
                      <w:color w:val="auto"/>
                      <w:highlight w:val="none"/>
                      <w:u w:val="none"/>
                    </w:rPr>
                  </m:ctrlPr>
                </m:fPr>
                <m:num>
                  <m:r>
                    <m:rPr/>
                    <w:rPr>
                      <w:rFonts w:ascii="Cambria Math" w:hAnsi="Cambria Math"/>
                      <w:color w:val="auto"/>
                      <w:highlight w:val="none"/>
                      <w:u w:val="none"/>
                    </w:rPr>
                    <m:t>ux</m:t>
                  </m:r>
                  <m:ctrlPr>
                    <w:rPr>
                      <w:rFonts w:ascii="Cambria Math" w:hAnsi="Cambria Math"/>
                      <w:i/>
                      <w:color w:val="auto"/>
                      <w:highlight w:val="none"/>
                      <w:u w:val="none"/>
                    </w:rPr>
                  </m:ctrlPr>
                </m:num>
                <m:den>
                  <m:sSub>
                    <m:sSubPr>
                      <m:ctrlPr>
                        <w:rPr>
                          <w:rFonts w:ascii="Cambria Math" w:hAnsi="Cambria Math"/>
                          <w:i/>
                          <w:color w:val="auto"/>
                          <w:highlight w:val="none"/>
                          <w:u w:val="none"/>
                        </w:rPr>
                      </m:ctrlPr>
                    </m:sSubPr>
                    <m:e>
                      <m:r>
                        <m:rPr/>
                        <w:rPr>
                          <w:rFonts w:ascii="Cambria Math" w:hAnsi="Cambria Math"/>
                          <w:color w:val="auto"/>
                          <w:highlight w:val="none"/>
                          <w:u w:val="none"/>
                        </w:rPr>
                        <m:t>D</m:t>
                      </m:r>
                      <m:ctrlPr>
                        <w:rPr>
                          <w:rFonts w:ascii="Cambria Math" w:hAnsi="Cambria Math"/>
                          <w:i/>
                          <w:color w:val="auto"/>
                          <w:highlight w:val="none"/>
                          <w:u w:val="none"/>
                        </w:rPr>
                      </m:ctrlPr>
                    </m:e>
                    <m:sub>
                      <m:r>
                        <m:rPr/>
                        <w:rPr>
                          <w:rFonts w:ascii="Cambria Math" w:hAnsi="Cambria Math"/>
                          <w:color w:val="auto"/>
                          <w:highlight w:val="none"/>
                          <w:u w:val="none"/>
                        </w:rPr>
                        <m:t>L</m:t>
                      </m:r>
                      <m:ctrlPr>
                        <w:rPr>
                          <w:rFonts w:ascii="Cambria Math" w:hAnsi="Cambria Math"/>
                          <w:i/>
                          <w:color w:val="auto"/>
                          <w:highlight w:val="none"/>
                          <w:u w:val="none"/>
                        </w:rPr>
                      </m:ctrlPr>
                    </m:sub>
                  </m:sSub>
                  <m:ctrlPr>
                    <w:rPr>
                      <w:rFonts w:ascii="Cambria Math" w:hAnsi="Cambria Math"/>
                      <w:i/>
                      <w:color w:val="auto"/>
                      <w:highlight w:val="none"/>
                      <w:u w:val="none"/>
                    </w:rPr>
                  </m:ctrlPr>
                </m:den>
              </m:f>
              <m:ctrlPr>
                <w:rPr>
                  <w:rFonts w:ascii="Cambria Math" w:hAnsi="Cambria Math"/>
                  <w:i/>
                  <w:color w:val="auto"/>
                  <w:highlight w:val="none"/>
                  <w:u w:val="none"/>
                </w:rPr>
              </m:ctrlPr>
            </m:sup>
          </m:sSup>
          <m:r>
            <m:rPr/>
            <w:rPr>
              <w:rFonts w:ascii="Cambria Math" w:hAnsi="Cambria Math"/>
              <w:color w:val="auto"/>
              <w:highlight w:val="none"/>
              <w:u w:val="none"/>
            </w:rPr>
            <m:t>erfc(</m:t>
          </m:r>
          <m:f>
            <m:fPr>
              <m:ctrlPr>
                <w:rPr>
                  <w:rFonts w:ascii="Cambria Math" w:hAnsi="Cambria Math"/>
                  <w:i/>
                  <w:color w:val="auto"/>
                  <w:highlight w:val="none"/>
                  <w:u w:val="none"/>
                </w:rPr>
              </m:ctrlPr>
            </m:fPr>
            <m:num>
              <m:r>
                <m:rPr/>
                <w:rPr>
                  <w:rFonts w:ascii="Cambria Math" w:hAnsi="Cambria Math"/>
                  <w:color w:val="auto"/>
                  <w:highlight w:val="none"/>
                  <w:u w:val="none"/>
                </w:rPr>
                <m:t>x−ut</m:t>
              </m:r>
              <m:ctrlPr>
                <w:rPr>
                  <w:rFonts w:ascii="Cambria Math" w:hAnsi="Cambria Math"/>
                  <w:i/>
                  <w:color w:val="auto"/>
                  <w:highlight w:val="none"/>
                  <w:u w:val="none"/>
                </w:rPr>
              </m:ctrlPr>
            </m:num>
            <m:den>
              <m:r>
                <m:rPr/>
                <w:rPr>
                  <w:rFonts w:ascii="Cambria Math" w:hAnsi="Cambria Math"/>
                  <w:color w:val="auto"/>
                  <w:highlight w:val="none"/>
                  <w:u w:val="none"/>
                </w:rPr>
                <m:t>2</m:t>
              </m:r>
              <m:rad>
                <m:radPr>
                  <m:degHide m:val="1"/>
                  <m:ctrlPr>
                    <w:rPr>
                      <w:rFonts w:ascii="Cambria Math" w:hAnsi="Cambria Math"/>
                      <w:i/>
                      <w:color w:val="auto"/>
                      <w:highlight w:val="none"/>
                      <w:u w:val="none"/>
                    </w:rPr>
                  </m:ctrlPr>
                </m:radPr>
                <m:deg>
                  <m:ctrlPr>
                    <w:rPr>
                      <w:rFonts w:ascii="Cambria Math" w:hAnsi="Cambria Math"/>
                      <w:i/>
                      <w:color w:val="auto"/>
                      <w:highlight w:val="none"/>
                      <w:u w:val="none"/>
                    </w:rPr>
                  </m:ctrlPr>
                </m:deg>
                <m:e>
                  <m:sSub>
                    <m:sSubPr>
                      <m:ctrlPr>
                        <w:rPr>
                          <w:rFonts w:ascii="Cambria Math" w:hAnsi="Cambria Math"/>
                          <w:i/>
                          <w:color w:val="auto"/>
                          <w:highlight w:val="none"/>
                          <w:u w:val="none"/>
                        </w:rPr>
                      </m:ctrlPr>
                    </m:sSubPr>
                    <m:e>
                      <m:r>
                        <m:rPr/>
                        <w:rPr>
                          <w:rFonts w:ascii="Cambria Math" w:hAnsi="Cambria Math"/>
                          <w:color w:val="auto"/>
                          <w:highlight w:val="none"/>
                          <w:u w:val="none"/>
                        </w:rPr>
                        <m:t>D</m:t>
                      </m:r>
                      <m:ctrlPr>
                        <w:rPr>
                          <w:rFonts w:ascii="Cambria Math" w:hAnsi="Cambria Math"/>
                          <w:i/>
                          <w:color w:val="auto"/>
                          <w:highlight w:val="none"/>
                          <w:u w:val="none"/>
                        </w:rPr>
                      </m:ctrlPr>
                    </m:e>
                    <m:sub>
                      <m:r>
                        <m:rPr/>
                        <w:rPr>
                          <w:rFonts w:ascii="Cambria Math" w:hAnsi="Cambria Math"/>
                          <w:color w:val="auto"/>
                          <w:highlight w:val="none"/>
                          <w:u w:val="none"/>
                        </w:rPr>
                        <m:t>L</m:t>
                      </m:r>
                      <m:ctrlPr>
                        <w:rPr>
                          <w:rFonts w:ascii="Cambria Math" w:hAnsi="Cambria Math"/>
                          <w:i/>
                          <w:color w:val="auto"/>
                          <w:highlight w:val="none"/>
                          <w:u w:val="none"/>
                        </w:rPr>
                      </m:ctrlPr>
                    </m:sub>
                  </m:sSub>
                  <m:r>
                    <m:rPr/>
                    <w:rPr>
                      <w:rFonts w:ascii="Cambria Math" w:hAnsi="Cambria Math"/>
                      <w:color w:val="auto"/>
                      <w:highlight w:val="none"/>
                      <w:u w:val="none"/>
                    </w:rPr>
                    <m:t>t</m:t>
                  </m:r>
                  <m:ctrlPr>
                    <w:rPr>
                      <w:rFonts w:ascii="Cambria Math" w:hAnsi="Cambria Math"/>
                      <w:i/>
                      <w:color w:val="auto"/>
                      <w:highlight w:val="none"/>
                      <w:u w:val="none"/>
                    </w:rPr>
                  </m:ctrlPr>
                </m:e>
              </m:rad>
              <m:ctrlPr>
                <w:rPr>
                  <w:rFonts w:ascii="Cambria Math" w:hAnsi="Cambria Math"/>
                  <w:i/>
                  <w:color w:val="auto"/>
                  <w:highlight w:val="none"/>
                  <w:u w:val="none"/>
                </w:rPr>
              </m:ctrlPr>
            </m:den>
          </m:f>
          <m:r>
            <m:rPr/>
            <w:rPr>
              <w:rFonts w:ascii="Cambria Math" w:hAnsi="Cambria Math"/>
              <w:color w:val="auto"/>
              <w:highlight w:val="none"/>
              <w:u w:val="none"/>
            </w:rPr>
            <m:t>)</m:t>
          </m:r>
        </m:oMath>
      </m:oMathPara>
    </w:p>
    <w:p w14:paraId="63459252">
      <w:pPr>
        <w:rPr>
          <w:rFonts w:hAnsi="Times New Roman"/>
          <w:color w:val="auto"/>
          <w:highlight w:val="none"/>
          <w:u w:val="none"/>
        </w:rPr>
      </w:pPr>
      <w:r>
        <w:rPr>
          <w:rFonts w:hAnsi="Times New Roman"/>
          <w:color w:val="auto"/>
          <w:highlight w:val="none"/>
          <w:u w:val="none"/>
        </w:rPr>
        <w:t>x——距注入点的距离，m；</w:t>
      </w:r>
    </w:p>
    <w:p w14:paraId="7F0B4F91">
      <w:pPr>
        <w:rPr>
          <w:rFonts w:hAnsi="Times New Roman"/>
          <w:color w:val="auto"/>
          <w:highlight w:val="none"/>
          <w:u w:val="none"/>
        </w:rPr>
      </w:pPr>
      <w:r>
        <w:rPr>
          <w:rFonts w:hAnsi="Times New Roman"/>
          <w:color w:val="auto"/>
          <w:highlight w:val="none"/>
          <w:u w:val="none"/>
        </w:rPr>
        <w:t>t——时间，d；C（x，t）——t时刻x处的示踪剂浓度，mg/L。</w:t>
      </w:r>
    </w:p>
    <w:p w14:paraId="6FF87093">
      <w:pPr>
        <w:rPr>
          <w:rFonts w:hAnsi="Times New Roman"/>
          <w:color w:val="auto"/>
          <w:highlight w:val="none"/>
          <w:u w:val="none"/>
        </w:rPr>
      </w:pPr>
      <w:r>
        <w:rPr>
          <w:rFonts w:hAnsi="Times New Roman"/>
          <w:color w:val="auto"/>
          <w:highlight w:val="none"/>
          <w:u w:val="none"/>
        </w:rPr>
        <w:t>C</w:t>
      </w:r>
      <w:r>
        <w:rPr>
          <w:rFonts w:hAnsi="Times New Roman"/>
          <w:color w:val="auto"/>
          <w:highlight w:val="none"/>
          <w:u w:val="none"/>
          <w:vertAlign w:val="subscript"/>
        </w:rPr>
        <w:t>0</w:t>
      </w:r>
      <w:r>
        <w:rPr>
          <w:rFonts w:hAnsi="Times New Roman"/>
          <w:color w:val="auto"/>
          <w:highlight w:val="none"/>
          <w:u w:val="none"/>
        </w:rPr>
        <w:t>——注入的示踪剂浓度，mg/L。</w:t>
      </w:r>
    </w:p>
    <w:p w14:paraId="29039DD5">
      <w:pPr>
        <w:rPr>
          <w:rFonts w:hAnsi="Times New Roman"/>
          <w:color w:val="auto"/>
          <w:highlight w:val="none"/>
          <w:u w:val="none"/>
        </w:rPr>
      </w:pPr>
      <w:r>
        <w:rPr>
          <w:rFonts w:hAnsi="Times New Roman"/>
          <w:color w:val="auto"/>
          <w:highlight w:val="none"/>
          <w:u w:val="none"/>
        </w:rPr>
        <w:t>u——水流速度，m/d。</w:t>
      </w:r>
    </w:p>
    <w:p w14:paraId="0ACAB38C">
      <w:pPr>
        <w:rPr>
          <w:rFonts w:hAnsi="Times New Roman"/>
          <w:color w:val="auto"/>
          <w:highlight w:val="none"/>
          <w:u w:val="none"/>
        </w:rPr>
      </w:pPr>
      <w:r>
        <w:rPr>
          <w:rFonts w:hAnsi="Times New Roman"/>
          <w:color w:val="auto"/>
          <w:highlight w:val="none"/>
          <w:u w:val="none"/>
        </w:rPr>
        <w:t>D</w:t>
      </w:r>
      <w:r>
        <w:rPr>
          <w:rFonts w:hAnsi="Times New Roman"/>
          <w:color w:val="auto"/>
          <w:highlight w:val="none"/>
          <w:u w:val="none"/>
          <w:vertAlign w:val="subscript"/>
        </w:rPr>
        <w:t>L</w:t>
      </w:r>
      <w:r>
        <w:rPr>
          <w:rFonts w:hAnsi="Times New Roman"/>
          <w:color w:val="auto"/>
          <w:highlight w:val="none"/>
          <w:u w:val="none"/>
        </w:rPr>
        <w:t>为纵向弥散系数，m</w:t>
      </w:r>
      <w:r>
        <w:rPr>
          <w:rFonts w:hAnsi="Times New Roman"/>
          <w:color w:val="auto"/>
          <w:highlight w:val="none"/>
          <w:u w:val="none"/>
          <w:vertAlign w:val="superscript"/>
        </w:rPr>
        <w:t>2</w:t>
      </w:r>
      <w:r>
        <w:rPr>
          <w:rFonts w:hAnsi="Times New Roman"/>
          <w:color w:val="auto"/>
          <w:highlight w:val="none"/>
          <w:u w:val="none"/>
        </w:rPr>
        <w:t>/d；</w:t>
      </w:r>
    </w:p>
    <w:p w14:paraId="1D56BA0F">
      <w:pPr>
        <w:rPr>
          <w:rFonts w:hAnsi="Times New Roman"/>
          <w:color w:val="auto"/>
          <w:highlight w:val="none"/>
          <w:u w:val="none"/>
        </w:rPr>
      </w:pPr>
      <w:r>
        <w:rPr>
          <w:rFonts w:hint="eastAsia" w:hAnsi="Times New Roman"/>
          <w:color w:val="auto"/>
          <w:highlight w:val="none"/>
          <w:u w:val="none"/>
        </w:rPr>
        <w:t>erfc</w:t>
      </w:r>
      <w:r>
        <w:rPr>
          <w:rFonts w:hAnsi="Times New Roman"/>
          <w:color w:val="auto"/>
          <w:highlight w:val="none"/>
          <w:u w:val="none"/>
        </w:rPr>
        <w:t>为余误差函数。</w:t>
      </w:r>
    </w:p>
    <w:p w14:paraId="232C8DC5">
      <w:pPr>
        <w:rPr>
          <w:rFonts w:hint="eastAsia"/>
          <w:color w:val="auto"/>
          <w:highlight w:val="none"/>
          <w:u w:val="none"/>
        </w:rPr>
      </w:pPr>
      <w:r>
        <w:rPr>
          <w:rFonts w:hint="eastAsia"/>
          <w:color w:val="auto"/>
          <w:highlight w:val="none"/>
          <w:u w:val="none"/>
        </w:rPr>
        <w:t>参数选择：</w:t>
      </w:r>
    </w:p>
    <w:p w14:paraId="7F477A81">
      <w:pPr>
        <w:pStyle w:val="85"/>
        <w:rPr>
          <w:color w:val="auto"/>
          <w:highlight w:val="none"/>
          <w:u w:val="none"/>
        </w:rPr>
      </w:pPr>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8.3</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5</w:t>
      </w:r>
      <w:r>
        <w:rPr>
          <w:rStyle w:val="87"/>
          <w:b/>
          <w:color w:val="auto"/>
          <w:highlight w:val="none"/>
          <w:u w:val="none"/>
        </w:rPr>
        <w:fldChar w:fldCharType="end"/>
      </w:r>
      <w:r>
        <w:rPr>
          <w:rStyle w:val="87"/>
          <w:b/>
          <w:color w:val="auto"/>
          <w:highlight w:val="none"/>
          <w:u w:val="none"/>
        </w:rPr>
        <w:t xml:space="preserve">  </w:t>
      </w:r>
      <w:r>
        <w:rPr>
          <w:rFonts w:hint="eastAsia"/>
          <w:color w:val="auto"/>
          <w:highlight w:val="none"/>
          <w:u w:val="none"/>
        </w:rPr>
        <w:t>预测模型参数取值表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05"/>
        <w:gridCol w:w="6823"/>
        <w:gridCol w:w="1358"/>
      </w:tblGrid>
      <w:tr w14:paraId="72B331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7433B30D">
            <w:pPr>
              <w:pStyle w:val="92"/>
              <w:rPr>
                <w:color w:val="auto"/>
                <w:highlight w:val="none"/>
                <w:u w:val="none"/>
              </w:rPr>
            </w:pPr>
            <w:r>
              <w:rPr>
                <w:rFonts w:hint="eastAsia"/>
                <w:color w:val="auto"/>
                <w:highlight w:val="none"/>
                <w:u w:val="none"/>
              </w:rPr>
              <w:t>系数</w:t>
            </w:r>
          </w:p>
        </w:tc>
        <w:tc>
          <w:tcPr>
            <w:tcW w:w="3673" w:type="pct"/>
            <w:vAlign w:val="center"/>
          </w:tcPr>
          <w:p w14:paraId="7E68F43A">
            <w:pPr>
              <w:pStyle w:val="92"/>
              <w:rPr>
                <w:color w:val="auto"/>
                <w:highlight w:val="none"/>
                <w:u w:val="none"/>
              </w:rPr>
            </w:pPr>
            <w:r>
              <w:rPr>
                <w:rFonts w:hint="eastAsia"/>
                <w:color w:val="auto"/>
                <w:highlight w:val="none"/>
                <w:u w:val="none"/>
              </w:rPr>
              <w:t>说明</w:t>
            </w:r>
          </w:p>
        </w:tc>
        <w:tc>
          <w:tcPr>
            <w:tcW w:w="731" w:type="pct"/>
            <w:vAlign w:val="center"/>
          </w:tcPr>
          <w:p w14:paraId="1B6E54AD">
            <w:pPr>
              <w:pStyle w:val="92"/>
              <w:rPr>
                <w:color w:val="auto"/>
                <w:highlight w:val="none"/>
                <w:u w:val="none"/>
              </w:rPr>
            </w:pPr>
            <w:r>
              <w:rPr>
                <w:rFonts w:hint="eastAsia"/>
                <w:color w:val="auto"/>
                <w:highlight w:val="none"/>
                <w:u w:val="none"/>
              </w:rPr>
              <w:t>取值</w:t>
            </w:r>
          </w:p>
        </w:tc>
      </w:tr>
      <w:tr w14:paraId="24AFE2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5F73BF94">
            <w:pPr>
              <w:pStyle w:val="92"/>
              <w:rPr>
                <w:color w:val="auto"/>
                <w:highlight w:val="none"/>
                <w:u w:val="none"/>
              </w:rPr>
            </w:pPr>
            <w:r>
              <w:rPr>
                <w:color w:val="auto"/>
                <w:highlight w:val="none"/>
                <w:u w:val="none"/>
              </w:rPr>
              <w:t>u</w:t>
            </w:r>
          </w:p>
        </w:tc>
        <w:tc>
          <w:tcPr>
            <w:tcW w:w="3673" w:type="pct"/>
            <w:vAlign w:val="center"/>
          </w:tcPr>
          <w:p w14:paraId="76897E62">
            <w:pPr>
              <w:pStyle w:val="92"/>
              <w:rPr>
                <w:color w:val="auto"/>
                <w:highlight w:val="none"/>
                <w:u w:val="none"/>
              </w:rPr>
            </w:pPr>
            <w:r>
              <w:rPr>
                <w:rFonts w:hint="eastAsia"/>
                <w:color w:val="auto"/>
                <w:highlight w:val="none"/>
                <w:u w:val="none"/>
              </w:rPr>
              <w:t>水流速度：水力坡度根据地形估算，取值为</w:t>
            </w:r>
            <w:r>
              <w:rPr>
                <w:color w:val="auto"/>
                <w:highlight w:val="none"/>
                <w:u w:val="none"/>
              </w:rPr>
              <w:t>i=0.002。可计算地下水的渗流速度：V=6.9×0.002=0.0138m/d。水流速度u取实际流速u=V/ne=0.0138=0.092m/d</w:t>
            </w:r>
          </w:p>
        </w:tc>
        <w:tc>
          <w:tcPr>
            <w:tcW w:w="731" w:type="pct"/>
            <w:vAlign w:val="center"/>
          </w:tcPr>
          <w:p w14:paraId="13C26BD7">
            <w:pPr>
              <w:pStyle w:val="92"/>
              <w:rPr>
                <w:color w:val="auto"/>
                <w:highlight w:val="none"/>
                <w:u w:val="none"/>
              </w:rPr>
            </w:pPr>
            <w:r>
              <w:rPr>
                <w:color w:val="auto"/>
                <w:highlight w:val="none"/>
                <w:u w:val="none"/>
              </w:rPr>
              <w:t>0.092m/d</w:t>
            </w:r>
          </w:p>
        </w:tc>
      </w:tr>
      <w:tr w14:paraId="470B38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95" w:type="pct"/>
            <w:vAlign w:val="center"/>
          </w:tcPr>
          <w:p w14:paraId="0A9EDDE7">
            <w:pPr>
              <w:pStyle w:val="92"/>
              <w:rPr>
                <w:color w:val="auto"/>
                <w:highlight w:val="none"/>
                <w:u w:val="none"/>
              </w:rPr>
            </w:pPr>
            <w:r>
              <w:rPr>
                <w:color w:val="auto"/>
                <w:highlight w:val="none"/>
                <w:u w:val="none"/>
              </w:rPr>
              <w:t>DL</w:t>
            </w:r>
          </w:p>
        </w:tc>
        <w:tc>
          <w:tcPr>
            <w:tcW w:w="3673" w:type="pct"/>
            <w:vAlign w:val="center"/>
          </w:tcPr>
          <w:p w14:paraId="0BB3A171">
            <w:pPr>
              <w:pStyle w:val="92"/>
              <w:rPr>
                <w:color w:val="auto"/>
                <w:highlight w:val="none"/>
                <w:u w:val="none"/>
              </w:rPr>
            </w:pPr>
            <w:r>
              <w:rPr>
                <w:rFonts w:hint="eastAsia"/>
                <w:color w:val="auto"/>
                <w:highlight w:val="none"/>
                <w:u w:val="none"/>
              </w:rPr>
              <w:t>详见下文</w:t>
            </w:r>
          </w:p>
        </w:tc>
        <w:tc>
          <w:tcPr>
            <w:tcW w:w="731" w:type="pct"/>
            <w:vAlign w:val="center"/>
          </w:tcPr>
          <w:p w14:paraId="05451A36">
            <w:pPr>
              <w:pStyle w:val="92"/>
              <w:rPr>
                <w:color w:val="auto"/>
                <w:highlight w:val="none"/>
                <w:u w:val="none"/>
              </w:rPr>
            </w:pPr>
            <w:r>
              <w:rPr>
                <w:color w:val="auto"/>
                <w:highlight w:val="none"/>
                <w:u w:val="none"/>
              </w:rPr>
              <w:t>0.46m</w:t>
            </w:r>
            <w:r>
              <w:rPr>
                <w:color w:val="auto"/>
                <w:highlight w:val="none"/>
                <w:u w:val="none"/>
                <w:vertAlign w:val="superscript"/>
              </w:rPr>
              <w:t>2</w:t>
            </w:r>
            <w:r>
              <w:rPr>
                <w:color w:val="auto"/>
                <w:highlight w:val="none"/>
                <w:u w:val="none"/>
              </w:rPr>
              <w:t>/d</w:t>
            </w:r>
          </w:p>
        </w:tc>
      </w:tr>
    </w:tbl>
    <w:p w14:paraId="14929AA3">
      <w:pPr>
        <w:rPr>
          <w:rFonts w:hint="eastAsia"/>
          <w:color w:val="auto"/>
          <w:highlight w:val="none"/>
          <w:u w:val="none"/>
        </w:rPr>
      </w:pPr>
      <w:r>
        <w:rPr>
          <w:rFonts w:hint="eastAsia"/>
          <w:color w:val="auto"/>
          <w:highlight w:val="none"/>
          <w:u w:val="none"/>
        </w:rPr>
        <w:t>纵向弥散系数：据</w:t>
      </w:r>
      <w:r>
        <w:rPr>
          <w:color w:val="auto"/>
          <w:highlight w:val="none"/>
          <w:u w:val="none"/>
        </w:rPr>
        <w:t>2011年10月16日，环保部环境工程评估中心在北京组织召开了《环境影响评价技术导则——地下水环境》（HJ610-2011）专家研讨会，与会水文地质专家一致认为弥散试验的结果受试验场地的尺度效应影响明显，其结果应用受到很大的局限性。因此，一般不推荐开展弥散试验工作。将世界范围内所收集到的百余个水质模型中所使用的纵向弥散度</w:t>
      </w:r>
      <w:r>
        <w:rPr>
          <w:rFonts w:hAnsi="Times New Roman"/>
          <w:color w:val="auto"/>
          <w:highlight w:val="none"/>
          <w:u w:val="none"/>
        </w:rPr>
        <w:t>α</w:t>
      </w:r>
      <w:r>
        <w:rPr>
          <w:rFonts w:hAnsi="Times New Roman"/>
          <w:color w:val="auto"/>
          <w:highlight w:val="none"/>
          <w:u w:val="none"/>
          <w:vertAlign w:val="subscript"/>
        </w:rPr>
        <w:t>L</w:t>
      </w:r>
      <w:r>
        <w:rPr>
          <w:color w:val="auto"/>
          <w:highlight w:val="none"/>
          <w:u w:val="none"/>
        </w:rPr>
        <w:t>绘在双对数坐标纸上，从图上可以看出纵向弥散度</w:t>
      </w:r>
      <w:r>
        <w:rPr>
          <w:rFonts w:hAnsi="Times New Roman"/>
          <w:color w:val="auto"/>
          <w:highlight w:val="none"/>
          <w:u w:val="none"/>
        </w:rPr>
        <w:t>α</w:t>
      </w:r>
      <w:r>
        <w:rPr>
          <w:rFonts w:hAnsi="Times New Roman"/>
          <w:color w:val="auto"/>
          <w:highlight w:val="none"/>
          <w:u w:val="none"/>
          <w:vertAlign w:val="subscript"/>
        </w:rPr>
        <w:t>L</w:t>
      </w:r>
      <w:r>
        <w:rPr>
          <w:color w:val="auto"/>
          <w:highlight w:val="none"/>
          <w:u w:val="none"/>
        </w:rPr>
        <w:t>从整体上随着尺度的增加而增大。许多研究者都曾用类似的图说明水动力弥散的尺度效应。根据模型所计算出的孔隙介质的</w:t>
      </w:r>
      <w:r>
        <w:rPr>
          <w:rFonts w:hint="eastAsia"/>
          <w:color w:val="auto"/>
          <w:highlight w:val="none"/>
          <w:u w:val="none"/>
        </w:rPr>
        <w:t>纵向弥散度</w:t>
      </w:r>
      <w:r>
        <w:rPr>
          <w:rFonts w:hAnsi="Times New Roman"/>
          <w:color w:val="auto"/>
          <w:highlight w:val="none"/>
          <w:u w:val="none"/>
        </w:rPr>
        <w:t>α</w:t>
      </w:r>
      <w:r>
        <w:rPr>
          <w:rFonts w:hAnsi="Times New Roman"/>
          <w:color w:val="auto"/>
          <w:highlight w:val="none"/>
          <w:u w:val="none"/>
          <w:vertAlign w:val="subscript"/>
        </w:rPr>
        <w:t>L</w:t>
      </w:r>
      <w:r>
        <w:rPr>
          <w:color w:val="auto"/>
          <w:highlight w:val="none"/>
          <w:u w:val="none"/>
        </w:rPr>
        <w:t>及有关资料与参数作出的</w:t>
      </w:r>
      <w:r>
        <w:rPr>
          <w:rFonts w:hAnsi="Times New Roman"/>
          <w:color w:val="auto"/>
          <w:highlight w:val="none"/>
          <w:u w:val="none"/>
        </w:rPr>
        <w:t>lgα</w:t>
      </w:r>
      <w:r>
        <w:rPr>
          <w:rFonts w:hAnsi="Times New Roman"/>
          <w:color w:val="auto"/>
          <w:highlight w:val="none"/>
          <w:u w:val="none"/>
          <w:vertAlign w:val="subscript"/>
        </w:rPr>
        <w:t>L</w:t>
      </w:r>
      <w:r>
        <w:rPr>
          <w:rFonts w:hAnsi="Times New Roman"/>
          <w:color w:val="auto"/>
          <w:highlight w:val="none"/>
          <w:u w:val="none"/>
        </w:rPr>
        <w:t>—lgLs</w:t>
      </w:r>
      <w:r>
        <w:rPr>
          <w:color w:val="auto"/>
          <w:highlight w:val="none"/>
          <w:u w:val="none"/>
        </w:rPr>
        <w:t>图示于下图。基准尺度Ls是指研究区大小的度量，一般用溶质运移到观测孔的最大距离表示，或用计算区的近似最大内径长度代替。如前述分析，由于水动力弥散尺度效应的存在，难以通过野外或室内弥散试验获得真实的弥散度。因此，本次工作参考前人的研究成果，此次计算区范围为100～1000m范围，对应的纵向弥散度应介于3～5m之间，从保守角度考虑，本次模拟取纵向弥散度参数为5m。</w:t>
      </w:r>
    </w:p>
    <w:p w14:paraId="21E6BAA1">
      <w:pPr>
        <w:rPr>
          <w:rFonts w:hint="eastAsia"/>
          <w:color w:val="auto"/>
          <w:highlight w:val="none"/>
          <w:u w:val="none"/>
        </w:rPr>
      </w:pPr>
      <w:r>
        <w:rPr>
          <w:rFonts w:hint="eastAsia"/>
          <w:color w:val="auto"/>
          <w:highlight w:val="none"/>
          <w:u w:val="none"/>
        </w:rPr>
        <w:t>模式计算中纵向弥散度</w:t>
      </w:r>
      <w:r>
        <w:rPr>
          <w:rFonts w:hAnsi="Times New Roman"/>
          <w:color w:val="auto"/>
          <w:highlight w:val="none"/>
          <w:u w:val="none"/>
        </w:rPr>
        <w:t>α</w:t>
      </w:r>
      <w:r>
        <w:rPr>
          <w:rFonts w:hAnsi="Times New Roman"/>
          <w:color w:val="auto"/>
          <w:highlight w:val="none"/>
          <w:u w:val="none"/>
          <w:vertAlign w:val="subscript"/>
        </w:rPr>
        <w:t>L</w:t>
      </w:r>
      <w:r>
        <w:rPr>
          <w:color w:val="auto"/>
          <w:highlight w:val="none"/>
          <w:u w:val="none"/>
        </w:rPr>
        <w:t>选用5m。由此计算评价区含水层中的纵向弥散系数：D</w:t>
      </w:r>
      <w:r>
        <w:rPr>
          <w:color w:val="auto"/>
          <w:highlight w:val="none"/>
          <w:u w:val="none"/>
          <w:vertAlign w:val="subscript"/>
        </w:rPr>
        <w:t>L</w:t>
      </w:r>
      <w:r>
        <w:rPr>
          <w:color w:val="auto"/>
          <w:highlight w:val="none"/>
          <w:u w:val="none"/>
        </w:rPr>
        <w:t>=</w:t>
      </w:r>
      <w:r>
        <w:rPr>
          <w:rFonts w:hAnsi="Times New Roman"/>
          <w:color w:val="auto"/>
          <w:highlight w:val="none"/>
          <w:u w:val="none"/>
        </w:rPr>
        <w:t>α</w:t>
      </w:r>
      <w:r>
        <w:rPr>
          <w:rFonts w:hAnsi="Times New Roman"/>
          <w:color w:val="auto"/>
          <w:highlight w:val="none"/>
          <w:u w:val="none"/>
          <w:vertAlign w:val="subscript"/>
        </w:rPr>
        <w:t>L</w:t>
      </w:r>
      <w:r>
        <w:rPr>
          <w:color w:val="auto"/>
          <w:highlight w:val="none"/>
          <w:u w:val="none"/>
        </w:rPr>
        <w:t>×u=5m×0.092m/d=0.46m</w:t>
      </w:r>
      <w:r>
        <w:rPr>
          <w:color w:val="auto"/>
          <w:highlight w:val="none"/>
          <w:u w:val="none"/>
          <w:vertAlign w:val="superscript"/>
        </w:rPr>
        <w:t>2</w:t>
      </w:r>
      <w:r>
        <w:rPr>
          <w:color w:val="auto"/>
          <w:highlight w:val="none"/>
          <w:u w:val="none"/>
        </w:rPr>
        <w:t>/d。</w:t>
      </w:r>
    </w:p>
    <w:p w14:paraId="2B928177">
      <w:pPr>
        <w:rPr>
          <w:rFonts w:hint="eastAsia"/>
          <w:color w:val="auto"/>
          <w:highlight w:val="none"/>
          <w:u w:val="none"/>
        </w:rPr>
      </w:pPr>
      <w:r>
        <w:rPr>
          <w:rFonts w:hint="eastAsia"/>
          <w:color w:val="auto"/>
          <w:highlight w:val="none"/>
          <w:u w:val="none"/>
        </w:rPr>
        <w:t>三、预测时长</w:t>
      </w:r>
    </w:p>
    <w:p w14:paraId="2E7D76F1">
      <w:pPr>
        <w:rPr>
          <w:rFonts w:hint="eastAsia"/>
          <w:color w:val="auto"/>
          <w:highlight w:val="none"/>
          <w:u w:val="none"/>
        </w:rPr>
      </w:pPr>
      <w:r>
        <w:rPr>
          <w:rFonts w:hint="eastAsia"/>
          <w:color w:val="auto"/>
          <w:highlight w:val="none"/>
          <w:u w:val="none"/>
        </w:rPr>
        <w:t>根据《环境影响评价技术导则</w:t>
      </w:r>
      <w:r>
        <w:rPr>
          <w:color w:val="auto"/>
          <w:highlight w:val="none"/>
          <w:u w:val="none"/>
        </w:rPr>
        <w:t>-地下水环境》（HJ 610-2016）</w:t>
      </w:r>
      <w:r>
        <w:rPr>
          <w:rFonts w:hint="eastAsia"/>
          <w:color w:val="auto"/>
          <w:highlight w:val="none"/>
          <w:u w:val="none"/>
        </w:rPr>
        <w:t>，预测时长取1</w:t>
      </w:r>
      <w:r>
        <w:rPr>
          <w:color w:val="auto"/>
          <w:highlight w:val="none"/>
          <w:u w:val="none"/>
        </w:rPr>
        <w:t>000</w:t>
      </w:r>
      <w:r>
        <w:rPr>
          <w:rFonts w:hint="eastAsia"/>
          <w:color w:val="auto"/>
          <w:highlight w:val="none"/>
          <w:u w:val="none"/>
        </w:rPr>
        <w:t>天。</w:t>
      </w:r>
    </w:p>
    <w:p w14:paraId="1E48C4AF">
      <w:pPr>
        <w:pStyle w:val="7"/>
        <w:spacing w:before="156"/>
        <w:rPr>
          <w:color w:val="auto"/>
          <w:highlight w:val="none"/>
          <w:u w:val="none"/>
        </w:rPr>
      </w:pPr>
      <w:r>
        <w:rPr>
          <w:rFonts w:hint="eastAsia"/>
          <w:color w:val="auto"/>
          <w:highlight w:val="none"/>
          <w:u w:val="none"/>
        </w:rPr>
        <w:t>地下水环境影响预测结果</w:t>
      </w:r>
    </w:p>
    <w:p w14:paraId="78166902">
      <w:r>
        <w:rPr>
          <w:rFonts w:hint="eastAsia"/>
        </w:rPr>
        <w:t>（一）</w:t>
      </w:r>
      <w:r>
        <w:t>ODCB储罐出现泄漏</w:t>
      </w:r>
    </w:p>
    <w:p w14:paraId="34A11DF5">
      <w:r>
        <w:t>ODCB</w:t>
      </w:r>
      <w:r>
        <w:rPr>
          <w:rFonts w:hint="eastAsia"/>
        </w:rPr>
        <w:t>储罐离本次技改项目边界距离约为</w:t>
      </w:r>
      <w:r>
        <w:t>60</w:t>
      </w:r>
      <w:r>
        <w:rPr>
          <w:rFonts w:hint="eastAsia"/>
        </w:rPr>
        <w:t>m，根据预测结果：</w:t>
      </w:r>
      <w:r>
        <w:t>ODCB</w:t>
      </w:r>
      <w:r>
        <w:rPr>
          <w:rFonts w:hint="eastAsia"/>
        </w:rPr>
        <w:t>储罐发生泄漏约</w:t>
      </w:r>
      <w:r>
        <w:t>200</w:t>
      </w:r>
      <w:r>
        <w:rPr>
          <w:rFonts w:hint="eastAsia"/>
        </w:rPr>
        <w:t>d到达项目边界，在</w:t>
      </w:r>
      <w:r>
        <w:t>180天时，预测超标距离</w:t>
      </w:r>
      <w:r>
        <w:rPr>
          <w:rFonts w:hint="eastAsia"/>
        </w:rPr>
        <w:t>约</w:t>
      </w:r>
      <w:r>
        <w:t>为47m</w:t>
      </w:r>
      <w:r>
        <w:rPr>
          <w:rFonts w:hint="eastAsia"/>
        </w:rPr>
        <w:t>，</w:t>
      </w:r>
      <w:r>
        <w:t>迁移距离</w:t>
      </w:r>
      <w:r>
        <w:rPr>
          <w:rFonts w:hint="eastAsia"/>
        </w:rPr>
        <w:t>约</w:t>
      </w:r>
      <w:r>
        <w:t>为66m</w:t>
      </w:r>
      <w:r>
        <w:rPr>
          <w:rFonts w:hint="eastAsia"/>
        </w:rPr>
        <w:t>；</w:t>
      </w:r>
      <w:r>
        <w:t>365天时，预测超标距离</w:t>
      </w:r>
      <w:r>
        <w:rPr>
          <w:rFonts w:hint="eastAsia"/>
        </w:rPr>
        <w:t>约</w:t>
      </w:r>
      <w:r>
        <w:t>为77m</w:t>
      </w:r>
      <w:r>
        <w:rPr>
          <w:rFonts w:hint="eastAsia"/>
        </w:rPr>
        <w:t>，</w:t>
      </w:r>
      <w:r>
        <w:t>迁移距离为104m</w:t>
      </w:r>
      <w:r>
        <w:rPr>
          <w:rFonts w:hint="eastAsia"/>
        </w:rPr>
        <w:t>；</w:t>
      </w:r>
      <w:r>
        <w:t>750天时，预测超标距离</w:t>
      </w:r>
      <w:r>
        <w:rPr>
          <w:rFonts w:hint="eastAsia"/>
        </w:rPr>
        <w:t>约</w:t>
      </w:r>
      <w:r>
        <w:t>为130m</w:t>
      </w:r>
      <w:r>
        <w:rPr>
          <w:rFonts w:hint="eastAsia"/>
        </w:rPr>
        <w:t>，</w:t>
      </w:r>
      <w:r>
        <w:t>迁移距离</w:t>
      </w:r>
      <w:r>
        <w:rPr>
          <w:rFonts w:hint="eastAsia"/>
        </w:rPr>
        <w:t>约</w:t>
      </w:r>
      <w:r>
        <w:t>为168m</w:t>
      </w:r>
      <w:r>
        <w:rPr>
          <w:rFonts w:hint="eastAsia"/>
        </w:rPr>
        <w:t>；</w:t>
      </w:r>
      <w:r>
        <w:t>1000天时，预测超标距离</w:t>
      </w:r>
      <w:r>
        <w:rPr>
          <w:rFonts w:hint="eastAsia"/>
        </w:rPr>
        <w:t>约</w:t>
      </w:r>
      <w:r>
        <w:t>为165m</w:t>
      </w:r>
      <w:r>
        <w:rPr>
          <w:rFonts w:hint="eastAsia"/>
        </w:rPr>
        <w:t>，</w:t>
      </w:r>
      <w:r>
        <w:t>迁移距离</w:t>
      </w:r>
      <w:r>
        <w:rPr>
          <w:rFonts w:hint="eastAsia"/>
        </w:rPr>
        <w:t>约</w:t>
      </w:r>
      <w:r>
        <w:t>为206m</w:t>
      </w:r>
      <w:r>
        <w:rPr>
          <w:rFonts w:hint="eastAsia"/>
        </w:rPr>
        <w:t>。</w:t>
      </w:r>
    </w:p>
    <w:p w14:paraId="02AE4652">
      <w:r>
        <w:rPr>
          <w:rFonts w:hint="eastAsia"/>
        </w:rPr>
        <w:t>（二）</w:t>
      </w:r>
      <w:r>
        <w:t>DNT储罐出现泄漏</w:t>
      </w:r>
    </w:p>
    <w:p w14:paraId="1887FD80">
      <w:pPr>
        <w:rPr>
          <w:rFonts w:hint="eastAsia"/>
          <w:color w:val="auto"/>
          <w:highlight w:val="none"/>
          <w:u w:val="none"/>
        </w:rPr>
      </w:pPr>
      <w:r>
        <w:rPr>
          <w:rFonts w:hint="eastAsia"/>
        </w:rPr>
        <w:t>DNT储罐离本次</w:t>
      </w:r>
      <w:r>
        <w:rPr>
          <w:rFonts w:hint="eastAsia"/>
          <w:lang w:val="en-US"/>
        </w:rPr>
        <w:t>技改</w:t>
      </w:r>
      <w:r>
        <w:rPr>
          <w:rFonts w:hint="eastAsia"/>
        </w:rPr>
        <w:t>扩</w:t>
      </w:r>
      <w:r>
        <w:rPr>
          <w:rFonts w:hint="eastAsia"/>
          <w:lang w:val="en-US"/>
        </w:rPr>
        <w:t>能</w:t>
      </w:r>
      <w:r>
        <w:rPr>
          <w:rFonts w:hint="eastAsia"/>
        </w:rPr>
        <w:t>项目边界距离约为</w:t>
      </w:r>
      <w:r>
        <w:t>70</w:t>
      </w:r>
      <w:r>
        <w:rPr>
          <w:rFonts w:hint="eastAsia"/>
        </w:rPr>
        <w:t>m，根据预测结果：DNT储罐发生泄漏约1</w:t>
      </w:r>
      <w:r>
        <w:t>80</w:t>
      </w:r>
      <w:r>
        <w:rPr>
          <w:rFonts w:hint="eastAsia"/>
        </w:rPr>
        <w:t>d到达项目边界；</w:t>
      </w:r>
      <w:r>
        <w:t>365天时，预测超标距离</w:t>
      </w:r>
      <w:r>
        <w:rPr>
          <w:rFonts w:hint="eastAsia"/>
        </w:rPr>
        <w:t>约</w:t>
      </w:r>
      <w:r>
        <w:t>为105m</w:t>
      </w:r>
      <w:r>
        <w:rPr>
          <w:rFonts w:hint="eastAsia"/>
        </w:rPr>
        <w:t>，</w:t>
      </w:r>
      <w:r>
        <w:t>迁移距离</w:t>
      </w:r>
      <w:r>
        <w:rPr>
          <w:rFonts w:hint="eastAsia"/>
        </w:rPr>
        <w:t>约</w:t>
      </w:r>
      <w:r>
        <w:t>为117m</w:t>
      </w:r>
      <w:r>
        <w:rPr>
          <w:rFonts w:hint="eastAsia"/>
        </w:rPr>
        <w:t>；</w:t>
      </w:r>
      <w:r>
        <w:t>750天时，预测超标距离</w:t>
      </w:r>
      <w:r>
        <w:rPr>
          <w:rFonts w:hint="eastAsia"/>
        </w:rPr>
        <w:t>约</w:t>
      </w:r>
      <w:r>
        <w:t>为170m</w:t>
      </w:r>
      <w:r>
        <w:rPr>
          <w:rFonts w:hint="eastAsia"/>
        </w:rPr>
        <w:t>，</w:t>
      </w:r>
      <w:r>
        <w:t>迁移距离</w:t>
      </w:r>
      <w:r>
        <w:rPr>
          <w:rFonts w:hint="eastAsia"/>
        </w:rPr>
        <w:t>约</w:t>
      </w:r>
      <w:r>
        <w:t>为187m</w:t>
      </w:r>
      <w:r>
        <w:rPr>
          <w:rFonts w:hint="eastAsia"/>
        </w:rPr>
        <w:t>；</w:t>
      </w:r>
      <w:r>
        <w:t>1000天时，预测超标距离</w:t>
      </w:r>
      <w:r>
        <w:rPr>
          <w:rFonts w:hint="eastAsia"/>
        </w:rPr>
        <w:t>约</w:t>
      </w:r>
      <w:r>
        <w:t>为210m</w:t>
      </w:r>
      <w:r>
        <w:rPr>
          <w:rFonts w:hint="eastAsia"/>
        </w:rPr>
        <w:t>，</w:t>
      </w:r>
      <w:r>
        <w:t>迁移距离</w:t>
      </w:r>
      <w:r>
        <w:rPr>
          <w:rFonts w:hint="eastAsia"/>
        </w:rPr>
        <w:t>约</w:t>
      </w:r>
      <w:r>
        <w:t>为228m</w:t>
      </w:r>
      <w:r>
        <w:rPr>
          <w:rFonts w:hint="eastAsia"/>
          <w:color w:val="auto"/>
          <w:highlight w:val="none"/>
          <w:u w:val="none"/>
        </w:rPr>
        <w:t>。</w:t>
      </w:r>
    </w:p>
    <w:p w14:paraId="3414DD2F">
      <w:pPr>
        <w:rPr>
          <w:rFonts w:hint="eastAsia"/>
          <w:color w:val="auto"/>
          <w:highlight w:val="none"/>
          <w:u w:val="none"/>
        </w:rPr>
      </w:pPr>
      <w:r>
        <w:rPr>
          <w:rFonts w:hint="eastAsia"/>
          <w:color w:val="auto"/>
          <w:highlight w:val="none"/>
          <w:u w:val="none"/>
        </w:rPr>
        <w:t>三、小结</w:t>
      </w:r>
    </w:p>
    <w:p w14:paraId="1F762B11">
      <w:pPr>
        <w:rPr>
          <w:rFonts w:hint="eastAsia"/>
          <w:color w:val="auto"/>
          <w:highlight w:val="none"/>
          <w:u w:val="none"/>
        </w:rPr>
      </w:pPr>
      <w:r>
        <w:rPr>
          <w:rFonts w:hint="eastAsia"/>
          <w:color w:val="auto"/>
          <w:highlight w:val="none"/>
          <w:u w:val="none"/>
        </w:rPr>
        <w:t>根据上文预测结果，当储罐发生泄漏时，污染物沿着地下水往下游迁移，并分别于1</w:t>
      </w:r>
      <w:r>
        <w:rPr>
          <w:color w:val="auto"/>
          <w:highlight w:val="none"/>
          <w:u w:val="none"/>
        </w:rPr>
        <w:t>20</w:t>
      </w:r>
      <w:r>
        <w:rPr>
          <w:rFonts w:hint="eastAsia"/>
          <w:color w:val="auto"/>
          <w:highlight w:val="none"/>
          <w:u w:val="none"/>
        </w:rPr>
        <w:t>d及1</w:t>
      </w:r>
      <w:r>
        <w:rPr>
          <w:color w:val="auto"/>
          <w:highlight w:val="none"/>
          <w:u w:val="none"/>
        </w:rPr>
        <w:t>80</w:t>
      </w:r>
      <w:r>
        <w:rPr>
          <w:rFonts w:hint="eastAsia"/>
          <w:color w:val="auto"/>
          <w:highlight w:val="none"/>
          <w:u w:val="none"/>
        </w:rPr>
        <w:t>d越过项目边界红线，对项目边界下游造成污染；故本评价要求建设单位应加强厂内储罐防渗系统的日常检查工作，若发生渗漏，应及时修补，避免污染物持续性的泄漏，建设单位应同时按本评价提出的地下水监控计划，开展日常地下水监测工作，若发现监控点地下水污染和水质恶化，应及时进行处理，开展系统调查，及时封堵泄漏点。因此，综合以上评价，在及时发现泄漏，排查及切断泄漏源，避免持续性泄漏的情况下，本项目的建设对区域地下水的影响是可以接受的。</w:t>
      </w:r>
    </w:p>
    <w:p w14:paraId="135F0099">
      <w:pPr>
        <w:pStyle w:val="6"/>
        <w:spacing w:before="156" w:after="156"/>
        <w:rPr>
          <w:color w:val="auto"/>
          <w:highlight w:val="none"/>
          <w:u w:val="none"/>
        </w:rPr>
      </w:pPr>
      <w:r>
        <w:rPr>
          <w:rFonts w:hint="eastAsia"/>
          <w:color w:val="auto"/>
          <w:highlight w:val="none"/>
          <w:u w:val="none"/>
        </w:rPr>
        <w:t>地下水防治措施</w:t>
      </w:r>
    </w:p>
    <w:p w14:paraId="3EA6A3C1">
      <w:pPr>
        <w:pStyle w:val="7"/>
        <w:spacing w:before="156"/>
        <w:rPr>
          <w:color w:val="auto"/>
          <w:highlight w:val="none"/>
          <w:u w:val="none"/>
        </w:rPr>
      </w:pPr>
      <w:r>
        <w:rPr>
          <w:rFonts w:hint="eastAsia"/>
          <w:color w:val="auto"/>
          <w:highlight w:val="none"/>
          <w:u w:val="none"/>
        </w:rPr>
        <w:t>防治原则</w:t>
      </w:r>
    </w:p>
    <w:p w14:paraId="19E50978">
      <w:pPr>
        <w:rPr>
          <w:rFonts w:hint="eastAsia"/>
          <w:color w:val="auto"/>
          <w:highlight w:val="none"/>
          <w:u w:val="none"/>
        </w:rPr>
      </w:pPr>
      <w:r>
        <w:rPr>
          <w:rFonts w:hint="eastAsia"/>
          <w:color w:val="auto"/>
          <w:highlight w:val="none"/>
          <w:u w:val="none"/>
        </w:rPr>
        <w:t>地下水防治措施按照“源头控制、分区防控、污染监控、应急响应”重点突出饮用水水质安全的原则确定。</w:t>
      </w:r>
    </w:p>
    <w:p w14:paraId="02A8F8B8">
      <w:pPr>
        <w:pStyle w:val="7"/>
        <w:spacing w:before="156"/>
        <w:rPr>
          <w:color w:val="auto"/>
          <w:highlight w:val="none"/>
          <w:u w:val="none"/>
        </w:rPr>
      </w:pPr>
      <w:r>
        <w:rPr>
          <w:rFonts w:hint="eastAsia"/>
          <w:color w:val="auto"/>
          <w:highlight w:val="none"/>
          <w:u w:val="none"/>
        </w:rPr>
        <w:t>控制措施</w:t>
      </w:r>
    </w:p>
    <w:p w14:paraId="275A6032">
      <w:pPr>
        <w:ind w:firstLine="482"/>
        <w:rPr>
          <w:rFonts w:hint="eastAsia"/>
          <w:b/>
          <w:bCs/>
          <w:color w:val="auto"/>
          <w:highlight w:val="none"/>
          <w:u w:val="none"/>
        </w:rPr>
      </w:pPr>
      <w:r>
        <w:rPr>
          <w:rFonts w:hint="eastAsia"/>
          <w:b/>
          <w:bCs/>
          <w:color w:val="auto"/>
          <w:highlight w:val="none"/>
          <w:u w:val="none"/>
        </w:rPr>
        <w:t>（1）自然防渗层的保护</w:t>
      </w:r>
    </w:p>
    <w:p w14:paraId="51291E3B">
      <w:pPr>
        <w:rPr>
          <w:rFonts w:hint="eastAsia"/>
          <w:color w:val="auto"/>
          <w:highlight w:val="none"/>
          <w:u w:val="none"/>
        </w:rPr>
      </w:pPr>
      <w:r>
        <w:rPr>
          <w:rFonts w:hint="eastAsia"/>
          <w:color w:val="auto"/>
          <w:highlight w:val="none"/>
          <w:u w:val="none"/>
        </w:rPr>
        <w:t>由于在建设过程中，可能有大量土地开挖、钻探和基础施工，人为破坏或揭穿包气带土壤，从而造成地表与地下含水层连通，其防污性便会大大降低。因此，如需开挖、钻探和基础施工，应及时做好防渗和封堵处理。尤其是对钻孔必须用粘土回填，并压实密封；对开挖场地需用粘土进行回填压实。</w:t>
      </w:r>
    </w:p>
    <w:p w14:paraId="31799387">
      <w:pPr>
        <w:ind w:firstLine="482"/>
        <w:rPr>
          <w:rFonts w:hint="eastAsia"/>
          <w:b/>
          <w:bCs/>
          <w:color w:val="auto"/>
          <w:highlight w:val="none"/>
          <w:u w:val="none"/>
        </w:rPr>
      </w:pPr>
      <w:r>
        <w:rPr>
          <w:rFonts w:hint="eastAsia"/>
          <w:b/>
          <w:bCs/>
          <w:color w:val="auto"/>
          <w:highlight w:val="none"/>
          <w:u w:val="none"/>
        </w:rPr>
        <w:t>（2）源头控制</w:t>
      </w:r>
    </w:p>
    <w:p w14:paraId="201D7092">
      <w:pPr>
        <w:rPr>
          <w:rFonts w:hint="eastAsia"/>
          <w:color w:val="auto"/>
          <w:highlight w:val="none"/>
          <w:u w:val="none"/>
        </w:rPr>
      </w:pPr>
      <w:r>
        <w:rPr>
          <w:rFonts w:hint="eastAsia"/>
          <w:color w:val="auto"/>
          <w:highlight w:val="none"/>
          <w:u w:val="none"/>
        </w:rPr>
        <w:t>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14:paraId="2474524E">
      <w:pPr>
        <w:rPr>
          <w:rFonts w:hint="eastAsia"/>
          <w:color w:val="auto"/>
          <w:highlight w:val="none"/>
          <w:u w:val="none"/>
        </w:rPr>
      </w:pPr>
      <w:r>
        <w:rPr>
          <w:rFonts w:hint="eastAsia"/>
          <w:color w:val="auto"/>
          <w:highlight w:val="none"/>
          <w:u w:val="none"/>
        </w:rPr>
        <w:t>①</w:t>
      </w:r>
      <w:r>
        <w:rPr>
          <w:color w:val="auto"/>
          <w:highlight w:val="none"/>
          <w:u w:val="none"/>
        </w:rPr>
        <w:t>设备、设施防渗措施</w:t>
      </w:r>
    </w:p>
    <w:p w14:paraId="1D8635D5">
      <w:pPr>
        <w:rPr>
          <w:rFonts w:hint="eastAsia"/>
          <w:color w:val="auto"/>
          <w:highlight w:val="none"/>
          <w:u w:val="none"/>
        </w:rPr>
      </w:pPr>
      <w:r>
        <w:rPr>
          <w:rFonts w:hint="eastAsia"/>
          <w:color w:val="auto"/>
          <w:highlight w:val="none"/>
          <w:u w:val="none"/>
        </w:rPr>
        <w:t>将生产装置区域内易产生泄漏的设备按其物料的物性分类集中布置，对于不同物料性质的区域，分别设置围堰。对于储存和输送有毒有害介质的设备和管线排液阀门尽量采用双阀，设备及管道排放出的各种含有毒有害介质液体设置专门的废液收集系统加以收集，不任意排放。对于机、泵基础周边设置废液收集设施，确保泄漏物料统一收集至排放系统。</w:t>
      </w:r>
    </w:p>
    <w:p w14:paraId="40CBE866">
      <w:pPr>
        <w:rPr>
          <w:rFonts w:hint="eastAsia"/>
          <w:color w:val="auto"/>
          <w:highlight w:val="none"/>
          <w:u w:val="none"/>
        </w:rPr>
      </w:pPr>
      <w:r>
        <w:rPr>
          <w:rFonts w:hint="eastAsia"/>
          <w:color w:val="auto"/>
          <w:highlight w:val="none"/>
          <w:u w:val="none"/>
        </w:rPr>
        <w:t>②</w:t>
      </w:r>
      <w:r>
        <w:rPr>
          <w:color w:val="auto"/>
          <w:highlight w:val="none"/>
          <w:u w:val="none"/>
        </w:rPr>
        <w:t>给水、排水防渗措施</w:t>
      </w:r>
    </w:p>
    <w:p w14:paraId="699F577C">
      <w:pPr>
        <w:rPr>
          <w:rFonts w:hint="eastAsia"/>
          <w:color w:val="auto"/>
          <w:highlight w:val="none"/>
          <w:u w:val="none"/>
        </w:rPr>
      </w:pPr>
      <w:r>
        <w:rPr>
          <w:rFonts w:hint="eastAsia"/>
          <w:color w:val="auto"/>
          <w:highlight w:val="none"/>
          <w:u w:val="none"/>
        </w:rPr>
        <w:t>完善地表污水和雨水的收集系统，填埋可能积水的坑洼地，减少污染物下渗的可能性。</w:t>
      </w:r>
    </w:p>
    <w:p w14:paraId="20EC265C">
      <w:pPr>
        <w:ind w:firstLine="482"/>
        <w:rPr>
          <w:rFonts w:hint="eastAsia"/>
          <w:b/>
          <w:bCs/>
          <w:color w:val="auto"/>
          <w:highlight w:val="none"/>
          <w:u w:val="none"/>
        </w:rPr>
      </w:pPr>
      <w:r>
        <w:rPr>
          <w:rFonts w:hint="eastAsia"/>
          <w:b/>
          <w:bCs/>
          <w:color w:val="auto"/>
          <w:highlight w:val="none"/>
          <w:u w:val="none"/>
        </w:rPr>
        <w:t>（3）末端控制</w:t>
      </w:r>
    </w:p>
    <w:p w14:paraId="1E8869FF">
      <w:pPr>
        <w:rPr>
          <w:rFonts w:hint="eastAsia"/>
          <w:color w:val="auto"/>
          <w:highlight w:val="none"/>
          <w:u w:val="none"/>
        </w:rPr>
      </w:pPr>
      <w:r>
        <w:rPr>
          <w:rFonts w:hint="eastAsia"/>
          <w:color w:val="auto"/>
          <w:highlight w:val="none"/>
          <w:u w:val="none"/>
        </w:rPr>
        <w:t>主要包括厂内污染区地面的防渗措施和泄漏、渗漏污染物收集措施，即在污染区地面进行防渗处理，防止洒落地面的污染物渗入地下，并把滞留在地面的污染物收集起来，集中送至界区外污水处理站处理。</w:t>
      </w:r>
    </w:p>
    <w:p w14:paraId="7257158E">
      <w:pPr>
        <w:pStyle w:val="7"/>
        <w:spacing w:before="156"/>
        <w:rPr>
          <w:color w:val="auto"/>
          <w:highlight w:val="none"/>
          <w:u w:val="none"/>
        </w:rPr>
      </w:pPr>
      <w:r>
        <w:rPr>
          <w:rFonts w:hint="eastAsia"/>
          <w:color w:val="auto"/>
          <w:highlight w:val="none"/>
          <w:u w:val="none"/>
        </w:rPr>
        <w:t>分区防渗</w:t>
      </w:r>
    </w:p>
    <w:p w14:paraId="11E2D217">
      <w:pPr>
        <w:ind w:firstLine="482"/>
        <w:rPr>
          <w:rFonts w:hint="eastAsia"/>
          <w:b/>
          <w:bCs/>
          <w:color w:val="auto"/>
          <w:highlight w:val="none"/>
          <w:u w:val="none"/>
        </w:rPr>
      </w:pPr>
      <w:r>
        <w:rPr>
          <w:rFonts w:hint="eastAsia"/>
          <w:b/>
          <w:bCs/>
          <w:color w:val="auto"/>
          <w:highlight w:val="none"/>
          <w:u w:val="none"/>
        </w:rPr>
        <w:t>（1）地下水环境敏感程度</w:t>
      </w:r>
    </w:p>
    <w:p w14:paraId="45A2663E">
      <w:pPr>
        <w:rPr>
          <w:rFonts w:hint="eastAsia"/>
          <w:color w:val="auto"/>
          <w:highlight w:val="none"/>
          <w:u w:val="none"/>
        </w:rPr>
      </w:pPr>
      <w:r>
        <w:rPr>
          <w:rFonts w:hint="eastAsia"/>
          <w:color w:val="auto"/>
          <w:highlight w:val="none"/>
          <w:u w:val="none"/>
        </w:rPr>
        <w:t>根据上文分析，项目所在区域地下水环境敏感程度为</w:t>
      </w:r>
      <w:r>
        <w:rPr>
          <w:rFonts w:hint="eastAsia"/>
          <w:b/>
          <w:bCs/>
          <w:color w:val="auto"/>
          <w:highlight w:val="none"/>
          <w:u w:val="none"/>
        </w:rPr>
        <w:t>不敏感</w:t>
      </w:r>
      <w:r>
        <w:rPr>
          <w:rFonts w:hint="eastAsia"/>
          <w:color w:val="auto"/>
          <w:highlight w:val="none"/>
          <w:u w:val="none"/>
        </w:rPr>
        <w:t>。</w:t>
      </w:r>
    </w:p>
    <w:p w14:paraId="0239209C">
      <w:pPr>
        <w:ind w:firstLine="482"/>
        <w:rPr>
          <w:rFonts w:hint="eastAsia"/>
          <w:b/>
          <w:bCs/>
          <w:color w:val="auto"/>
          <w:highlight w:val="none"/>
          <w:u w:val="none"/>
        </w:rPr>
      </w:pPr>
      <w:r>
        <w:rPr>
          <w:rFonts w:hint="eastAsia"/>
          <w:b/>
          <w:bCs/>
          <w:color w:val="auto"/>
          <w:highlight w:val="none"/>
          <w:u w:val="none"/>
        </w:rPr>
        <w:t>（2）包气带防污性能</w:t>
      </w:r>
    </w:p>
    <w:p w14:paraId="64A4AA1B">
      <w:pPr>
        <w:rPr>
          <w:rFonts w:hint="eastAsia"/>
          <w:color w:val="auto"/>
          <w:highlight w:val="none"/>
          <w:u w:val="none"/>
        </w:rPr>
      </w:pPr>
      <w:r>
        <w:rPr>
          <w:rFonts w:hint="eastAsia"/>
          <w:color w:val="auto"/>
          <w:highlight w:val="none"/>
          <w:u w:val="none"/>
        </w:rPr>
        <w:t>建设场地包气带为中砂层，该层场地内遍布，平均厚度6</w:t>
      </w:r>
      <w:r>
        <w:rPr>
          <w:color w:val="auto"/>
          <w:highlight w:val="none"/>
          <w:u w:val="none"/>
        </w:rPr>
        <w:t>.39</w:t>
      </w:r>
      <w:r>
        <w:rPr>
          <w:rFonts w:hint="eastAsia"/>
          <w:color w:val="auto"/>
          <w:highlight w:val="none"/>
          <w:u w:val="none"/>
        </w:rPr>
        <w:t>m，渗透系数</w:t>
      </w:r>
      <w:r>
        <w:rPr>
          <w:color w:val="auto"/>
          <w:highlight w:val="none"/>
          <w:u w:val="none"/>
        </w:rPr>
        <w:t>6.9m/d</w:t>
      </w:r>
      <w:r>
        <w:rPr>
          <w:rFonts w:hint="eastAsia"/>
          <w:color w:val="auto"/>
          <w:highlight w:val="none"/>
          <w:u w:val="none"/>
        </w:rPr>
        <w:t>（7</w:t>
      </w:r>
      <w:r>
        <w:rPr>
          <w:color w:val="auto"/>
          <w:highlight w:val="none"/>
          <w:u w:val="none"/>
        </w:rPr>
        <w:t>.99*10</w:t>
      </w:r>
      <w:r>
        <w:rPr>
          <w:rFonts w:hint="eastAsia"/>
          <w:color w:val="auto"/>
          <w:highlight w:val="none"/>
          <w:u w:val="none"/>
          <w:vertAlign w:val="superscript"/>
        </w:rPr>
        <w:t>-</w:t>
      </w:r>
      <w:r>
        <w:rPr>
          <w:color w:val="auto"/>
          <w:highlight w:val="none"/>
          <w:u w:val="none"/>
          <w:vertAlign w:val="superscript"/>
        </w:rPr>
        <w:t>3</w:t>
      </w:r>
      <w:r>
        <w:rPr>
          <w:rFonts w:hint="eastAsia"/>
          <w:color w:val="auto"/>
          <w:highlight w:val="none"/>
          <w:u w:val="none"/>
        </w:rPr>
        <w:t>cm</w:t>
      </w:r>
      <w:r>
        <w:rPr>
          <w:color w:val="auto"/>
          <w:highlight w:val="none"/>
          <w:u w:val="none"/>
        </w:rPr>
        <w:t>/</w:t>
      </w:r>
      <w:r>
        <w:rPr>
          <w:rFonts w:hint="eastAsia"/>
          <w:color w:val="auto"/>
          <w:highlight w:val="none"/>
          <w:u w:val="none"/>
        </w:rPr>
        <w:t>s），参照《石油化工工程防渗技术规范》（</w:t>
      </w:r>
      <w:r>
        <w:rPr>
          <w:color w:val="auto"/>
          <w:highlight w:val="none"/>
          <w:u w:val="none"/>
        </w:rPr>
        <w:t>GB/T50934-2013）</w:t>
      </w:r>
      <w:r>
        <w:rPr>
          <w:rFonts w:hint="eastAsia"/>
          <w:color w:val="auto"/>
          <w:highlight w:val="none"/>
          <w:u w:val="none"/>
        </w:rPr>
        <w:t>附录A中表A</w:t>
      </w:r>
      <w:r>
        <w:rPr>
          <w:color w:val="auto"/>
          <w:highlight w:val="none"/>
          <w:u w:val="none"/>
        </w:rPr>
        <w:t>.0.3</w:t>
      </w:r>
      <w:r>
        <w:rPr>
          <w:rFonts w:hint="eastAsia"/>
          <w:color w:val="auto"/>
          <w:highlight w:val="none"/>
          <w:u w:val="none"/>
        </w:rPr>
        <w:t>，</w:t>
      </w:r>
      <w:r>
        <w:rPr>
          <w:rFonts w:hint="eastAsia"/>
          <w:b/>
          <w:bCs/>
          <w:color w:val="auto"/>
          <w:highlight w:val="none"/>
          <w:u w:val="none"/>
        </w:rPr>
        <w:t>即建设场地天然包气带防污性能为弱</w:t>
      </w:r>
      <w:r>
        <w:rPr>
          <w:rFonts w:hint="eastAsia"/>
          <w:color w:val="auto"/>
          <w:highlight w:val="none"/>
          <w:u w:val="none"/>
        </w:rPr>
        <w:t>。</w:t>
      </w:r>
    </w:p>
    <w:p w14:paraId="1C1EB8D0">
      <w:pPr>
        <w:ind w:firstLine="482"/>
        <w:rPr>
          <w:rFonts w:hint="eastAsia"/>
          <w:b/>
          <w:bCs/>
          <w:color w:val="auto"/>
          <w:highlight w:val="none"/>
          <w:u w:val="none"/>
        </w:rPr>
      </w:pPr>
      <w:r>
        <w:rPr>
          <w:rFonts w:hint="eastAsia"/>
          <w:b/>
          <w:bCs/>
          <w:color w:val="auto"/>
          <w:highlight w:val="none"/>
          <w:u w:val="none"/>
        </w:rPr>
        <w:t>（3）含水层易污染特性</w:t>
      </w:r>
    </w:p>
    <w:p w14:paraId="61A4B65D">
      <w:pPr>
        <w:rPr>
          <w:rFonts w:hint="eastAsia"/>
          <w:color w:val="auto"/>
          <w:highlight w:val="none"/>
          <w:u w:val="none"/>
        </w:rPr>
      </w:pPr>
      <w:r>
        <w:rPr>
          <w:rFonts w:hint="eastAsia"/>
          <w:color w:val="auto"/>
          <w:highlight w:val="none"/>
          <w:u w:val="none"/>
        </w:rPr>
        <w:t>建设场地潜水层埋深较浅（稳定水位埋深为</w:t>
      </w:r>
      <w:r>
        <w:rPr>
          <w:color w:val="auto"/>
          <w:highlight w:val="none"/>
          <w:u w:val="none"/>
        </w:rPr>
        <w:t>1.95～3.30m</w:t>
      </w:r>
      <w:r>
        <w:rPr>
          <w:rFonts w:hint="eastAsia"/>
          <w:color w:val="auto"/>
          <w:highlight w:val="none"/>
          <w:u w:val="none"/>
        </w:rPr>
        <w:t>），参照《石油化工工程防渗技术规范》（</w:t>
      </w:r>
      <w:r>
        <w:rPr>
          <w:color w:val="auto"/>
          <w:highlight w:val="none"/>
          <w:u w:val="none"/>
        </w:rPr>
        <w:t>GB/T50934-2013）</w:t>
      </w:r>
      <w:r>
        <w:rPr>
          <w:rFonts w:hint="eastAsia"/>
          <w:color w:val="auto"/>
          <w:highlight w:val="none"/>
          <w:u w:val="none"/>
        </w:rPr>
        <w:t>附录A中表A</w:t>
      </w:r>
      <w:r>
        <w:rPr>
          <w:color w:val="auto"/>
          <w:highlight w:val="none"/>
          <w:u w:val="none"/>
        </w:rPr>
        <w:t>.0.2</w:t>
      </w:r>
      <w:r>
        <w:rPr>
          <w:rFonts w:hint="eastAsia"/>
          <w:color w:val="auto"/>
          <w:highlight w:val="none"/>
          <w:u w:val="none"/>
        </w:rPr>
        <w:t>，</w:t>
      </w:r>
      <w:r>
        <w:rPr>
          <w:rFonts w:hint="eastAsia"/>
          <w:b/>
          <w:bCs/>
          <w:color w:val="auto"/>
          <w:highlight w:val="none"/>
          <w:u w:val="none"/>
        </w:rPr>
        <w:t>属于易污染的场地含水层</w:t>
      </w:r>
      <w:r>
        <w:rPr>
          <w:rFonts w:hint="eastAsia"/>
          <w:color w:val="auto"/>
          <w:highlight w:val="none"/>
          <w:u w:val="none"/>
        </w:rPr>
        <w:t>。</w:t>
      </w:r>
    </w:p>
    <w:p w14:paraId="06F4ED79">
      <w:pPr>
        <w:ind w:firstLine="482"/>
        <w:rPr>
          <w:rFonts w:hint="eastAsia"/>
          <w:b/>
          <w:bCs/>
          <w:color w:val="auto"/>
          <w:highlight w:val="none"/>
          <w:u w:val="none"/>
        </w:rPr>
      </w:pPr>
      <w:r>
        <w:rPr>
          <w:rFonts w:hint="eastAsia"/>
          <w:b/>
          <w:bCs/>
          <w:color w:val="auto"/>
          <w:highlight w:val="none"/>
          <w:u w:val="none"/>
        </w:rPr>
        <w:t>（4）分区防渗</w:t>
      </w:r>
    </w:p>
    <w:p w14:paraId="7D46ECB5">
      <w:pPr>
        <w:pStyle w:val="5"/>
        <w:ind w:firstLine="480"/>
        <w:rPr>
          <w:rFonts w:hint="eastAsia"/>
          <w:color w:val="auto"/>
          <w:highlight w:val="none"/>
          <w:u w:val="none"/>
        </w:rPr>
      </w:pPr>
      <w:r>
        <w:rPr>
          <w:rFonts w:hint="eastAsia"/>
          <w:color w:val="auto"/>
          <w:highlight w:val="none"/>
          <w:u w:val="none"/>
        </w:rPr>
        <w:t>一、分区防渗设置</w:t>
      </w:r>
    </w:p>
    <w:p w14:paraId="24F3CCF9">
      <w:pPr>
        <w:rPr>
          <w:rFonts w:hint="eastAsia"/>
          <w:color w:val="auto"/>
          <w:highlight w:val="none"/>
          <w:u w:val="none"/>
          <w:lang w:val="en-US"/>
        </w:rPr>
      </w:pPr>
      <w:r>
        <w:rPr>
          <w:rFonts w:hint="eastAsia"/>
          <w:color w:val="auto"/>
          <w:highlight w:val="none"/>
          <w:u w:val="none"/>
        </w:rPr>
        <w:t>分区防渗以水平防渗为主，</w:t>
      </w:r>
      <w:r>
        <w:rPr>
          <w:rFonts w:hint="eastAsia"/>
          <w:color w:val="auto"/>
          <w:highlight w:val="none"/>
          <w:u w:val="none"/>
          <w:lang w:val="en-US"/>
        </w:rPr>
        <w:t>目前现有工程已验收，根据《</w:t>
      </w:r>
      <w:r>
        <w:rPr>
          <w:rFonts w:hint="eastAsia"/>
          <w:color w:val="auto"/>
          <w:highlight w:val="none"/>
          <w:u w:val="none"/>
        </w:rPr>
        <w:t>万华化学（福建）有限公司扩建</w:t>
      </w:r>
      <w:r>
        <w:rPr>
          <w:color w:val="auto"/>
          <w:highlight w:val="none"/>
          <w:u w:val="none"/>
        </w:rPr>
        <w:t>25万吨/年TDI项目</w:t>
      </w:r>
      <w:r>
        <w:rPr>
          <w:rFonts w:hint="eastAsia"/>
          <w:color w:val="auto"/>
          <w:highlight w:val="none"/>
          <w:u w:val="none"/>
          <w:lang w:val="en-US"/>
        </w:rPr>
        <w:t>竣工环境保护验收监测报告》，TDI一期已实际建设分区防渗，地下水防渗措施基本符合项目环评分区防渗要求，满足《</w:t>
      </w:r>
      <w:r>
        <w:rPr>
          <w:rFonts w:hint="eastAsia"/>
          <w:color w:val="auto"/>
          <w:highlight w:val="none"/>
          <w:u w:val="none"/>
        </w:rPr>
        <w:t>石油化工工程防渗技术规范</w:t>
      </w:r>
      <w:r>
        <w:rPr>
          <w:rFonts w:hint="eastAsia"/>
          <w:color w:val="auto"/>
          <w:highlight w:val="none"/>
          <w:u w:val="none"/>
          <w:lang w:val="en-US"/>
        </w:rPr>
        <w:t>》</w:t>
      </w:r>
      <w:r>
        <w:rPr>
          <w:rFonts w:hint="eastAsia"/>
          <w:color w:val="auto"/>
          <w:highlight w:val="none"/>
          <w:u w:val="none"/>
        </w:rPr>
        <w:t>（</w:t>
      </w:r>
      <w:r>
        <w:rPr>
          <w:color w:val="auto"/>
          <w:highlight w:val="none"/>
          <w:u w:val="none"/>
        </w:rPr>
        <w:t>GB/T50934-2013）中的相关</w:t>
      </w:r>
      <w:r>
        <w:rPr>
          <w:rFonts w:hint="eastAsia"/>
          <w:color w:val="auto"/>
          <w:highlight w:val="none"/>
          <w:u w:val="none"/>
          <w:lang w:val="en-US"/>
        </w:rPr>
        <w:t>地下水</w:t>
      </w:r>
      <w:r>
        <w:rPr>
          <w:color w:val="auto"/>
          <w:highlight w:val="none"/>
          <w:u w:val="none"/>
        </w:rPr>
        <w:t>分区防渗要求</w:t>
      </w:r>
      <w:r>
        <w:rPr>
          <w:rFonts w:hint="eastAsia"/>
          <w:color w:val="auto"/>
          <w:highlight w:val="none"/>
          <w:u w:val="none"/>
        </w:rPr>
        <w:t>。</w:t>
      </w:r>
    </w:p>
    <w:p w14:paraId="380B319E">
      <w:pPr>
        <w:rPr>
          <w:rFonts w:hint="eastAsia"/>
          <w:color w:val="auto"/>
          <w:highlight w:val="none"/>
          <w:u w:val="none"/>
        </w:rPr>
      </w:pPr>
      <w:r>
        <w:rPr>
          <w:rFonts w:hint="eastAsia"/>
          <w:color w:val="auto"/>
          <w:highlight w:val="none"/>
          <w:u w:val="none"/>
        </w:rPr>
        <w:t>本项目</w:t>
      </w:r>
      <w:r>
        <w:rPr>
          <w:rFonts w:hint="eastAsia"/>
          <w:color w:val="auto"/>
          <w:highlight w:val="none"/>
          <w:u w:val="none"/>
          <w:lang w:val="en-US"/>
        </w:rPr>
        <w:t>TDI一期</w:t>
      </w:r>
      <w:r>
        <w:rPr>
          <w:rFonts w:hint="eastAsia"/>
          <w:color w:val="auto"/>
          <w:highlight w:val="none"/>
          <w:u w:val="none"/>
        </w:rPr>
        <w:t>的地下水污染分区防渗情况详见</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REF _Ref147756742 \h</w:instrText>
      </w:r>
      <w:r>
        <w:rPr>
          <w:b/>
          <w:bCs/>
          <w:color w:val="auto"/>
          <w:highlight w:val="none"/>
          <w:u w:val="none"/>
        </w:rPr>
        <w:instrText xml:space="preserve">  \* MERGEFORMAT </w:instrText>
      </w:r>
      <w:r>
        <w:rPr>
          <w:b/>
          <w:bCs/>
          <w:color w:val="auto"/>
          <w:highlight w:val="none"/>
          <w:u w:val="none"/>
        </w:rPr>
        <w:fldChar w:fldCharType="separate"/>
      </w:r>
      <w:r>
        <w:rPr>
          <w:rStyle w:val="87"/>
          <w:b w:val="0"/>
          <w:bCs/>
          <w:color w:val="auto"/>
          <w:highlight w:val="none"/>
          <w:u w:val="none"/>
        </w:rPr>
        <w:t>表 8.3</w:t>
      </w:r>
      <w:r>
        <w:rPr>
          <w:rStyle w:val="87"/>
          <w:b w:val="0"/>
          <w:bCs/>
          <w:color w:val="auto"/>
          <w:highlight w:val="none"/>
          <w:u w:val="none"/>
        </w:rPr>
        <w:noBreakHyphen/>
      </w:r>
      <w:r>
        <w:rPr>
          <w:rStyle w:val="87"/>
          <w:b w:val="0"/>
          <w:bCs/>
          <w:color w:val="auto"/>
          <w:highlight w:val="none"/>
          <w:u w:val="none"/>
        </w:rPr>
        <w:t>8</w:t>
      </w:r>
      <w:r>
        <w:rPr>
          <w:b/>
          <w:bCs/>
          <w:color w:val="auto"/>
          <w:highlight w:val="none"/>
          <w:u w:val="none"/>
        </w:rPr>
        <w:fldChar w:fldCharType="end"/>
      </w:r>
      <w:r>
        <w:rPr>
          <w:rFonts w:hint="eastAsia"/>
          <w:color w:val="auto"/>
          <w:highlight w:val="none"/>
          <w:u w:val="none"/>
        </w:rPr>
        <w:t>，见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_Ref147757979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图 8.3</w:t>
      </w:r>
      <w:r>
        <w:rPr>
          <w:color w:val="auto"/>
          <w:highlight w:val="none"/>
          <w:u w:val="none"/>
        </w:rPr>
        <w:noBreakHyphen/>
      </w:r>
      <w:r>
        <w:rPr>
          <w:color w:val="auto"/>
          <w:highlight w:val="none"/>
          <w:u w:val="none"/>
        </w:rPr>
        <w:t>10</w:t>
      </w:r>
      <w:r>
        <w:rPr>
          <w:color w:val="auto"/>
          <w:highlight w:val="none"/>
          <w:u w:val="none"/>
        </w:rPr>
        <w:fldChar w:fldCharType="end"/>
      </w:r>
      <w:r>
        <w:rPr>
          <w:rFonts w:hint="eastAsia"/>
          <w:color w:val="auto"/>
          <w:highlight w:val="none"/>
          <w:u w:val="none"/>
        </w:rPr>
        <w:t>。</w:t>
      </w:r>
    </w:p>
    <w:p w14:paraId="207B46FA">
      <w:pPr>
        <w:pStyle w:val="5"/>
        <w:ind w:firstLine="482"/>
        <w:jc w:val="center"/>
        <w:rPr>
          <w:rFonts w:hint="eastAsia" w:ascii="黑体" w:hAnsi="黑体" w:eastAsia="黑体"/>
          <w:b/>
          <w:bCs/>
          <w:color w:val="auto"/>
          <w:highlight w:val="none"/>
          <w:u w:val="none"/>
        </w:rPr>
      </w:pPr>
      <w:bookmarkStart w:id="521" w:name="_Ref147756742"/>
      <w:r>
        <w:rPr>
          <w:rStyle w:val="87"/>
          <w:color w:val="auto"/>
          <w:highlight w:val="none"/>
          <w:u w:val="none"/>
        </w:rPr>
        <w:t xml:space="preserve">表 </w:t>
      </w:r>
      <w:r>
        <w:rPr>
          <w:rStyle w:val="87"/>
          <w:color w:val="auto"/>
          <w:highlight w:val="none"/>
          <w:u w:val="none"/>
        </w:rPr>
        <w:fldChar w:fldCharType="begin"/>
      </w:r>
      <w:r>
        <w:rPr>
          <w:rStyle w:val="87"/>
          <w:color w:val="auto"/>
          <w:highlight w:val="none"/>
          <w:u w:val="none"/>
        </w:rPr>
        <w:instrText xml:space="preserve"> STYLEREF 2 \s </w:instrText>
      </w:r>
      <w:r>
        <w:rPr>
          <w:rStyle w:val="87"/>
          <w:color w:val="auto"/>
          <w:highlight w:val="none"/>
          <w:u w:val="none"/>
        </w:rPr>
        <w:fldChar w:fldCharType="separate"/>
      </w:r>
      <w:r>
        <w:rPr>
          <w:rStyle w:val="87"/>
          <w:color w:val="auto"/>
          <w:highlight w:val="none"/>
          <w:u w:val="none"/>
        </w:rPr>
        <w:t>8.3</w:t>
      </w:r>
      <w:r>
        <w:rPr>
          <w:rStyle w:val="87"/>
          <w:color w:val="auto"/>
          <w:highlight w:val="none"/>
          <w:u w:val="none"/>
        </w:rPr>
        <w:fldChar w:fldCharType="end"/>
      </w:r>
      <w:r>
        <w:rPr>
          <w:rStyle w:val="87"/>
          <w:color w:val="auto"/>
          <w:highlight w:val="none"/>
          <w:u w:val="none"/>
        </w:rPr>
        <w:noBreakHyphen/>
      </w:r>
      <w:r>
        <w:rPr>
          <w:rStyle w:val="87"/>
          <w:color w:val="auto"/>
          <w:highlight w:val="none"/>
          <w:u w:val="none"/>
        </w:rPr>
        <w:fldChar w:fldCharType="begin"/>
      </w:r>
      <w:r>
        <w:rPr>
          <w:rStyle w:val="87"/>
          <w:color w:val="auto"/>
          <w:highlight w:val="none"/>
          <w:u w:val="none"/>
        </w:rPr>
        <w:instrText xml:space="preserve"> SEQ 表 \* ARABIC \s 2 </w:instrText>
      </w:r>
      <w:r>
        <w:rPr>
          <w:rStyle w:val="87"/>
          <w:color w:val="auto"/>
          <w:highlight w:val="none"/>
          <w:u w:val="none"/>
        </w:rPr>
        <w:fldChar w:fldCharType="separate"/>
      </w:r>
      <w:r>
        <w:rPr>
          <w:rStyle w:val="87"/>
          <w:color w:val="auto"/>
          <w:highlight w:val="none"/>
          <w:u w:val="none"/>
        </w:rPr>
        <w:t>8</w:t>
      </w:r>
      <w:r>
        <w:rPr>
          <w:rStyle w:val="87"/>
          <w:color w:val="auto"/>
          <w:highlight w:val="none"/>
          <w:u w:val="none"/>
        </w:rPr>
        <w:fldChar w:fldCharType="end"/>
      </w:r>
      <w:bookmarkEnd w:id="521"/>
      <w:r>
        <w:rPr>
          <w:rFonts w:hint="eastAsia" w:ascii="黑体" w:hAnsi="黑体" w:eastAsia="黑体"/>
          <w:b/>
          <w:bCs/>
          <w:color w:val="auto"/>
          <w:highlight w:val="none"/>
          <w:u w:val="none"/>
        </w:rPr>
        <w:t>地下水污染分区</w:t>
      </w:r>
    </w:p>
    <w:tbl>
      <w:tblPr>
        <w:tblStyle w:val="5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921"/>
        <w:gridCol w:w="2522"/>
        <w:gridCol w:w="2684"/>
      </w:tblGrid>
      <w:tr w14:paraId="3B3A3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24B5E3F">
            <w:pPr>
              <w:pStyle w:val="510"/>
              <w:rPr>
                <w:color w:val="auto"/>
                <w:highlight w:val="none"/>
                <w:u w:val="none"/>
              </w:rPr>
            </w:pPr>
            <w:r>
              <w:rPr>
                <w:rFonts w:hint="eastAsia"/>
                <w:color w:val="auto"/>
                <w:highlight w:val="none"/>
                <w:u w:val="none"/>
              </w:rPr>
              <w:t>序号</w:t>
            </w:r>
          </w:p>
        </w:tc>
        <w:tc>
          <w:tcPr>
            <w:tcW w:w="1573" w:type="pct"/>
            <w:shd w:val="clear" w:color="auto" w:fill="auto"/>
            <w:vAlign w:val="center"/>
          </w:tcPr>
          <w:p w14:paraId="7A546A35">
            <w:pPr>
              <w:pStyle w:val="510"/>
              <w:rPr>
                <w:color w:val="auto"/>
                <w:highlight w:val="none"/>
                <w:u w:val="none"/>
              </w:rPr>
            </w:pPr>
            <w:r>
              <w:rPr>
                <w:rFonts w:hint="eastAsia"/>
                <w:color w:val="auto"/>
                <w:highlight w:val="none"/>
                <w:u w:val="none"/>
              </w:rPr>
              <w:t>名称</w:t>
            </w:r>
          </w:p>
        </w:tc>
        <w:tc>
          <w:tcPr>
            <w:tcW w:w="1358" w:type="pct"/>
            <w:shd w:val="clear" w:color="auto" w:fill="auto"/>
            <w:noWrap/>
            <w:vAlign w:val="center"/>
          </w:tcPr>
          <w:p w14:paraId="6514E608">
            <w:pPr>
              <w:pStyle w:val="510"/>
              <w:rPr>
                <w:color w:val="auto"/>
                <w:highlight w:val="none"/>
                <w:u w:val="none"/>
              </w:rPr>
            </w:pPr>
            <w:r>
              <w:rPr>
                <w:rFonts w:hint="eastAsia"/>
                <w:color w:val="auto"/>
                <w:highlight w:val="none"/>
                <w:u w:val="none"/>
              </w:rPr>
              <w:t>污染防治分区</w:t>
            </w:r>
          </w:p>
        </w:tc>
        <w:tc>
          <w:tcPr>
            <w:tcW w:w="1445" w:type="pct"/>
          </w:tcPr>
          <w:p w14:paraId="37EC821E">
            <w:pPr>
              <w:pStyle w:val="510"/>
              <w:rPr>
                <w:color w:val="auto"/>
                <w:highlight w:val="none"/>
                <w:u w:val="none"/>
              </w:rPr>
            </w:pPr>
            <w:r>
              <w:rPr>
                <w:rFonts w:hint="eastAsia"/>
                <w:color w:val="auto"/>
                <w:highlight w:val="none"/>
                <w:u w:val="none"/>
              </w:rPr>
              <w:t>备注</w:t>
            </w:r>
          </w:p>
        </w:tc>
      </w:tr>
      <w:tr w14:paraId="3EB00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C2FDF9E">
            <w:pPr>
              <w:pStyle w:val="510"/>
              <w:rPr>
                <w:color w:val="auto"/>
                <w:highlight w:val="none"/>
                <w:u w:val="none"/>
              </w:rPr>
            </w:pPr>
            <w:r>
              <w:rPr>
                <w:color w:val="auto"/>
                <w:highlight w:val="none"/>
                <w:u w:val="none"/>
              </w:rPr>
              <w:t>1</w:t>
            </w:r>
          </w:p>
        </w:tc>
        <w:tc>
          <w:tcPr>
            <w:tcW w:w="1573" w:type="pct"/>
            <w:shd w:val="clear" w:color="auto" w:fill="auto"/>
            <w:vAlign w:val="center"/>
          </w:tcPr>
          <w:p w14:paraId="44A3D2C7">
            <w:pPr>
              <w:pStyle w:val="510"/>
              <w:rPr>
                <w:color w:val="auto"/>
                <w:highlight w:val="none"/>
                <w:u w:val="none"/>
              </w:rPr>
            </w:pPr>
            <w:r>
              <w:rPr>
                <w:color w:val="auto"/>
                <w:highlight w:val="none"/>
                <w:u w:val="none"/>
              </w:rPr>
              <w:t>TDI</w:t>
            </w:r>
            <w:r>
              <w:rPr>
                <w:rFonts w:hint="eastAsia"/>
                <w:color w:val="auto"/>
                <w:highlight w:val="none"/>
                <w:u w:val="none"/>
              </w:rPr>
              <w:t>（蒸汽凝液站、机柜间）</w:t>
            </w:r>
          </w:p>
        </w:tc>
        <w:tc>
          <w:tcPr>
            <w:tcW w:w="1358" w:type="pct"/>
            <w:shd w:val="clear" w:color="auto" w:fill="auto"/>
            <w:noWrap/>
            <w:vAlign w:val="center"/>
          </w:tcPr>
          <w:p w14:paraId="3FEAF7FF">
            <w:pPr>
              <w:pStyle w:val="510"/>
              <w:rPr>
                <w:color w:val="auto"/>
                <w:highlight w:val="none"/>
                <w:u w:val="none"/>
              </w:rPr>
            </w:pPr>
            <w:r>
              <w:rPr>
                <w:rFonts w:hint="eastAsia"/>
                <w:color w:val="auto"/>
                <w:highlight w:val="none"/>
                <w:u w:val="none"/>
              </w:rPr>
              <w:t>一般污染防渗区</w:t>
            </w:r>
          </w:p>
        </w:tc>
        <w:tc>
          <w:tcPr>
            <w:tcW w:w="1445" w:type="pct"/>
          </w:tcPr>
          <w:p w14:paraId="73FADF4E">
            <w:pPr>
              <w:pStyle w:val="510"/>
              <w:rPr>
                <w:color w:val="auto"/>
                <w:highlight w:val="none"/>
                <w:u w:val="none"/>
              </w:rPr>
            </w:pPr>
          </w:p>
        </w:tc>
      </w:tr>
      <w:tr w14:paraId="3B4B3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84510DE">
            <w:pPr>
              <w:pStyle w:val="510"/>
              <w:rPr>
                <w:color w:val="auto"/>
                <w:highlight w:val="none"/>
                <w:u w:val="none"/>
              </w:rPr>
            </w:pPr>
            <w:r>
              <w:rPr>
                <w:color w:val="auto"/>
                <w:highlight w:val="none"/>
                <w:u w:val="none"/>
              </w:rPr>
              <w:t>2</w:t>
            </w:r>
          </w:p>
        </w:tc>
        <w:tc>
          <w:tcPr>
            <w:tcW w:w="1573" w:type="pct"/>
            <w:shd w:val="clear" w:color="auto" w:fill="auto"/>
            <w:vAlign w:val="center"/>
          </w:tcPr>
          <w:p w14:paraId="1ACD6861">
            <w:pPr>
              <w:pStyle w:val="510"/>
              <w:rPr>
                <w:color w:val="auto"/>
                <w:highlight w:val="none"/>
                <w:u w:val="none"/>
              </w:rPr>
            </w:pPr>
            <w:r>
              <w:rPr>
                <w:color w:val="auto"/>
                <w:highlight w:val="none"/>
                <w:u w:val="none"/>
              </w:rPr>
              <w:t>TDI</w:t>
            </w:r>
            <w:r>
              <w:rPr>
                <w:rFonts w:hint="eastAsia"/>
                <w:color w:val="auto"/>
                <w:highlight w:val="none"/>
                <w:u w:val="none"/>
              </w:rPr>
              <w:t>冷冻站</w:t>
            </w:r>
          </w:p>
        </w:tc>
        <w:tc>
          <w:tcPr>
            <w:tcW w:w="1358" w:type="pct"/>
            <w:shd w:val="clear" w:color="auto" w:fill="auto"/>
            <w:noWrap/>
            <w:vAlign w:val="center"/>
          </w:tcPr>
          <w:p w14:paraId="3120919B">
            <w:pPr>
              <w:pStyle w:val="510"/>
              <w:rPr>
                <w:color w:val="auto"/>
                <w:highlight w:val="none"/>
                <w:u w:val="none"/>
              </w:rPr>
            </w:pPr>
            <w:r>
              <w:rPr>
                <w:rFonts w:hint="eastAsia"/>
                <w:color w:val="auto"/>
                <w:highlight w:val="none"/>
                <w:u w:val="none"/>
              </w:rPr>
              <w:t>一般污染防渗区</w:t>
            </w:r>
          </w:p>
        </w:tc>
        <w:tc>
          <w:tcPr>
            <w:tcW w:w="1445" w:type="pct"/>
          </w:tcPr>
          <w:p w14:paraId="74EBCAA7">
            <w:pPr>
              <w:pStyle w:val="510"/>
              <w:rPr>
                <w:color w:val="auto"/>
                <w:highlight w:val="none"/>
                <w:u w:val="none"/>
              </w:rPr>
            </w:pPr>
          </w:p>
        </w:tc>
      </w:tr>
      <w:tr w14:paraId="3DC46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407EACD4">
            <w:pPr>
              <w:pStyle w:val="510"/>
              <w:rPr>
                <w:color w:val="auto"/>
                <w:highlight w:val="none"/>
                <w:u w:val="none"/>
              </w:rPr>
            </w:pPr>
            <w:r>
              <w:rPr>
                <w:color w:val="auto"/>
                <w:highlight w:val="none"/>
                <w:u w:val="none"/>
              </w:rPr>
              <w:t>3</w:t>
            </w:r>
          </w:p>
        </w:tc>
        <w:tc>
          <w:tcPr>
            <w:tcW w:w="1573" w:type="pct"/>
            <w:shd w:val="clear" w:color="auto" w:fill="auto"/>
            <w:vAlign w:val="center"/>
          </w:tcPr>
          <w:p w14:paraId="52B71339">
            <w:pPr>
              <w:pStyle w:val="510"/>
              <w:rPr>
                <w:color w:val="auto"/>
                <w:highlight w:val="none"/>
                <w:u w:val="none"/>
              </w:rPr>
            </w:pPr>
            <w:r>
              <w:rPr>
                <w:color w:val="auto"/>
                <w:highlight w:val="none"/>
                <w:u w:val="none"/>
              </w:rPr>
              <w:t>TDA</w:t>
            </w:r>
            <w:r>
              <w:rPr>
                <w:rFonts w:hint="eastAsia"/>
                <w:color w:val="auto"/>
                <w:highlight w:val="none"/>
                <w:u w:val="none"/>
              </w:rPr>
              <w:t>中间罐组</w:t>
            </w:r>
          </w:p>
        </w:tc>
        <w:tc>
          <w:tcPr>
            <w:tcW w:w="1358" w:type="pct"/>
            <w:shd w:val="clear" w:color="auto" w:fill="auto"/>
            <w:noWrap/>
            <w:vAlign w:val="center"/>
          </w:tcPr>
          <w:p w14:paraId="73BAF149">
            <w:pPr>
              <w:pStyle w:val="510"/>
              <w:rPr>
                <w:color w:val="auto"/>
                <w:highlight w:val="none"/>
                <w:u w:val="none"/>
              </w:rPr>
            </w:pPr>
            <w:r>
              <w:rPr>
                <w:rFonts w:hint="eastAsia"/>
                <w:color w:val="auto"/>
                <w:highlight w:val="none"/>
                <w:u w:val="none"/>
              </w:rPr>
              <w:t>重点污泥防渗区</w:t>
            </w:r>
          </w:p>
        </w:tc>
        <w:tc>
          <w:tcPr>
            <w:tcW w:w="1445" w:type="pct"/>
          </w:tcPr>
          <w:p w14:paraId="1FE8735C">
            <w:pPr>
              <w:pStyle w:val="510"/>
              <w:rPr>
                <w:color w:val="auto"/>
                <w:highlight w:val="none"/>
                <w:u w:val="none"/>
              </w:rPr>
            </w:pPr>
          </w:p>
        </w:tc>
      </w:tr>
      <w:tr w14:paraId="67CB6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7333D5C">
            <w:pPr>
              <w:pStyle w:val="510"/>
              <w:rPr>
                <w:color w:val="auto"/>
                <w:highlight w:val="none"/>
                <w:u w:val="none"/>
              </w:rPr>
            </w:pPr>
            <w:r>
              <w:rPr>
                <w:color w:val="auto"/>
                <w:highlight w:val="none"/>
                <w:u w:val="none"/>
              </w:rPr>
              <w:t>4</w:t>
            </w:r>
          </w:p>
        </w:tc>
        <w:tc>
          <w:tcPr>
            <w:tcW w:w="1573" w:type="pct"/>
            <w:shd w:val="clear" w:color="auto" w:fill="auto"/>
            <w:vAlign w:val="center"/>
          </w:tcPr>
          <w:p w14:paraId="286ECF5E">
            <w:pPr>
              <w:pStyle w:val="510"/>
              <w:rPr>
                <w:color w:val="auto"/>
                <w:highlight w:val="none"/>
                <w:u w:val="none"/>
              </w:rPr>
            </w:pPr>
            <w:r>
              <w:rPr>
                <w:rFonts w:hint="eastAsia"/>
                <w:color w:val="auto"/>
                <w:highlight w:val="none"/>
                <w:u w:val="none"/>
              </w:rPr>
              <w:t>酸浓缩单元</w:t>
            </w:r>
          </w:p>
        </w:tc>
        <w:tc>
          <w:tcPr>
            <w:tcW w:w="1358" w:type="pct"/>
            <w:shd w:val="clear" w:color="auto" w:fill="auto"/>
            <w:noWrap/>
            <w:vAlign w:val="center"/>
          </w:tcPr>
          <w:p w14:paraId="76438689">
            <w:pPr>
              <w:pStyle w:val="510"/>
              <w:rPr>
                <w:color w:val="auto"/>
                <w:highlight w:val="none"/>
                <w:u w:val="none"/>
              </w:rPr>
            </w:pPr>
            <w:r>
              <w:rPr>
                <w:rFonts w:hint="eastAsia"/>
                <w:color w:val="auto"/>
                <w:highlight w:val="none"/>
                <w:u w:val="none"/>
              </w:rPr>
              <w:t>一般污染防渗区</w:t>
            </w:r>
          </w:p>
        </w:tc>
        <w:tc>
          <w:tcPr>
            <w:tcW w:w="1445" w:type="pct"/>
          </w:tcPr>
          <w:p w14:paraId="610FA407">
            <w:pPr>
              <w:pStyle w:val="510"/>
              <w:rPr>
                <w:color w:val="auto"/>
                <w:highlight w:val="none"/>
                <w:u w:val="none"/>
              </w:rPr>
            </w:pPr>
          </w:p>
        </w:tc>
      </w:tr>
      <w:tr w14:paraId="2B4F7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D3C1BCC">
            <w:pPr>
              <w:pStyle w:val="510"/>
              <w:rPr>
                <w:color w:val="auto"/>
                <w:highlight w:val="none"/>
                <w:u w:val="none"/>
              </w:rPr>
            </w:pPr>
            <w:r>
              <w:rPr>
                <w:color w:val="auto"/>
                <w:highlight w:val="none"/>
                <w:u w:val="none"/>
              </w:rPr>
              <w:t>5</w:t>
            </w:r>
          </w:p>
        </w:tc>
        <w:tc>
          <w:tcPr>
            <w:tcW w:w="1573" w:type="pct"/>
            <w:shd w:val="clear" w:color="auto" w:fill="auto"/>
            <w:vAlign w:val="center"/>
          </w:tcPr>
          <w:p w14:paraId="1EC40B2D">
            <w:pPr>
              <w:pStyle w:val="510"/>
              <w:rPr>
                <w:color w:val="auto"/>
                <w:highlight w:val="none"/>
                <w:u w:val="none"/>
              </w:rPr>
            </w:pPr>
            <w:r>
              <w:rPr>
                <w:rFonts w:hint="eastAsia"/>
                <w:color w:val="auto"/>
                <w:highlight w:val="none"/>
                <w:u w:val="none"/>
              </w:rPr>
              <w:t>硝化单元</w:t>
            </w:r>
          </w:p>
        </w:tc>
        <w:tc>
          <w:tcPr>
            <w:tcW w:w="1358" w:type="pct"/>
            <w:shd w:val="clear" w:color="auto" w:fill="auto"/>
            <w:noWrap/>
            <w:vAlign w:val="center"/>
          </w:tcPr>
          <w:p w14:paraId="6184CDBB">
            <w:pPr>
              <w:pStyle w:val="510"/>
              <w:rPr>
                <w:color w:val="auto"/>
                <w:highlight w:val="none"/>
                <w:u w:val="none"/>
              </w:rPr>
            </w:pPr>
            <w:r>
              <w:rPr>
                <w:rFonts w:hint="eastAsia"/>
                <w:color w:val="auto"/>
                <w:highlight w:val="none"/>
                <w:u w:val="none"/>
              </w:rPr>
              <w:t>一般污染防渗区</w:t>
            </w:r>
          </w:p>
        </w:tc>
        <w:tc>
          <w:tcPr>
            <w:tcW w:w="1445" w:type="pct"/>
          </w:tcPr>
          <w:p w14:paraId="7B25B293">
            <w:pPr>
              <w:pStyle w:val="510"/>
              <w:rPr>
                <w:color w:val="auto"/>
                <w:highlight w:val="none"/>
                <w:u w:val="none"/>
              </w:rPr>
            </w:pPr>
          </w:p>
        </w:tc>
      </w:tr>
      <w:tr w14:paraId="3C6E4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D0C64C8">
            <w:pPr>
              <w:pStyle w:val="510"/>
              <w:rPr>
                <w:color w:val="auto"/>
                <w:highlight w:val="none"/>
                <w:u w:val="none"/>
              </w:rPr>
            </w:pPr>
            <w:r>
              <w:rPr>
                <w:color w:val="auto"/>
                <w:highlight w:val="none"/>
                <w:u w:val="none"/>
              </w:rPr>
              <w:t>6</w:t>
            </w:r>
          </w:p>
        </w:tc>
        <w:tc>
          <w:tcPr>
            <w:tcW w:w="1573" w:type="pct"/>
            <w:shd w:val="clear" w:color="auto" w:fill="auto"/>
            <w:vAlign w:val="center"/>
          </w:tcPr>
          <w:p w14:paraId="25FE55F1">
            <w:pPr>
              <w:pStyle w:val="510"/>
              <w:rPr>
                <w:color w:val="auto"/>
                <w:highlight w:val="none"/>
                <w:u w:val="none"/>
              </w:rPr>
            </w:pPr>
            <w:r>
              <w:rPr>
                <w:rFonts w:hint="eastAsia"/>
                <w:color w:val="auto"/>
                <w:highlight w:val="none"/>
                <w:u w:val="none"/>
              </w:rPr>
              <w:t>氢化单元</w:t>
            </w:r>
          </w:p>
        </w:tc>
        <w:tc>
          <w:tcPr>
            <w:tcW w:w="1358" w:type="pct"/>
            <w:shd w:val="clear" w:color="auto" w:fill="auto"/>
            <w:noWrap/>
            <w:vAlign w:val="center"/>
          </w:tcPr>
          <w:p w14:paraId="6EFDFA91">
            <w:pPr>
              <w:pStyle w:val="510"/>
              <w:rPr>
                <w:color w:val="auto"/>
                <w:highlight w:val="none"/>
                <w:u w:val="none"/>
              </w:rPr>
            </w:pPr>
            <w:r>
              <w:rPr>
                <w:rFonts w:hint="eastAsia"/>
                <w:color w:val="auto"/>
                <w:highlight w:val="none"/>
                <w:u w:val="none"/>
              </w:rPr>
              <w:t>一般污染防渗区</w:t>
            </w:r>
          </w:p>
        </w:tc>
        <w:tc>
          <w:tcPr>
            <w:tcW w:w="1445" w:type="pct"/>
          </w:tcPr>
          <w:p w14:paraId="4577245F">
            <w:pPr>
              <w:pStyle w:val="510"/>
              <w:rPr>
                <w:color w:val="auto"/>
                <w:highlight w:val="none"/>
                <w:u w:val="none"/>
              </w:rPr>
            </w:pPr>
          </w:p>
        </w:tc>
      </w:tr>
      <w:tr w14:paraId="33CCE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BAD6AB4">
            <w:pPr>
              <w:pStyle w:val="510"/>
              <w:rPr>
                <w:color w:val="auto"/>
                <w:highlight w:val="none"/>
                <w:u w:val="none"/>
              </w:rPr>
            </w:pPr>
            <w:r>
              <w:rPr>
                <w:color w:val="auto"/>
                <w:highlight w:val="none"/>
                <w:u w:val="none"/>
              </w:rPr>
              <w:t>7</w:t>
            </w:r>
          </w:p>
        </w:tc>
        <w:tc>
          <w:tcPr>
            <w:tcW w:w="1573" w:type="pct"/>
            <w:shd w:val="clear" w:color="auto" w:fill="auto"/>
            <w:vAlign w:val="center"/>
          </w:tcPr>
          <w:p w14:paraId="3CA90B08">
            <w:pPr>
              <w:pStyle w:val="510"/>
              <w:rPr>
                <w:color w:val="auto"/>
                <w:highlight w:val="none"/>
                <w:u w:val="none"/>
              </w:rPr>
            </w:pPr>
            <w:r>
              <w:rPr>
                <w:rFonts w:hint="eastAsia"/>
                <w:color w:val="auto"/>
                <w:highlight w:val="none"/>
                <w:u w:val="none"/>
              </w:rPr>
              <w:t>T</w:t>
            </w:r>
            <w:r>
              <w:rPr>
                <w:color w:val="auto"/>
                <w:highlight w:val="none"/>
                <w:u w:val="none"/>
              </w:rPr>
              <w:t>DI</w:t>
            </w:r>
            <w:r>
              <w:rPr>
                <w:rFonts w:hint="eastAsia"/>
                <w:color w:val="auto"/>
                <w:highlight w:val="none"/>
                <w:u w:val="none"/>
              </w:rPr>
              <w:t>废水处理单元</w:t>
            </w:r>
          </w:p>
        </w:tc>
        <w:tc>
          <w:tcPr>
            <w:tcW w:w="1358" w:type="pct"/>
            <w:shd w:val="clear" w:color="auto" w:fill="auto"/>
            <w:noWrap/>
            <w:vAlign w:val="center"/>
          </w:tcPr>
          <w:p w14:paraId="1BC90645">
            <w:pPr>
              <w:pStyle w:val="510"/>
              <w:rPr>
                <w:color w:val="auto"/>
                <w:highlight w:val="none"/>
                <w:u w:val="none"/>
              </w:rPr>
            </w:pPr>
            <w:r>
              <w:rPr>
                <w:rFonts w:hint="eastAsia"/>
                <w:color w:val="auto"/>
                <w:highlight w:val="none"/>
                <w:u w:val="none"/>
              </w:rPr>
              <w:t>重点污染防渗区</w:t>
            </w:r>
          </w:p>
        </w:tc>
        <w:tc>
          <w:tcPr>
            <w:tcW w:w="1445" w:type="pct"/>
          </w:tcPr>
          <w:p w14:paraId="149E250B">
            <w:pPr>
              <w:pStyle w:val="510"/>
              <w:rPr>
                <w:color w:val="auto"/>
                <w:highlight w:val="none"/>
                <w:u w:val="none"/>
              </w:rPr>
            </w:pPr>
          </w:p>
        </w:tc>
      </w:tr>
      <w:tr w14:paraId="471F3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A7052BF">
            <w:pPr>
              <w:pStyle w:val="510"/>
              <w:rPr>
                <w:color w:val="auto"/>
                <w:highlight w:val="none"/>
                <w:u w:val="none"/>
              </w:rPr>
            </w:pPr>
            <w:r>
              <w:rPr>
                <w:color w:val="auto"/>
                <w:highlight w:val="none"/>
                <w:u w:val="none"/>
              </w:rPr>
              <w:t>8</w:t>
            </w:r>
          </w:p>
        </w:tc>
        <w:tc>
          <w:tcPr>
            <w:tcW w:w="1573" w:type="pct"/>
            <w:shd w:val="clear" w:color="auto" w:fill="auto"/>
            <w:vAlign w:val="center"/>
          </w:tcPr>
          <w:p w14:paraId="6D0B87B1">
            <w:pPr>
              <w:pStyle w:val="510"/>
              <w:rPr>
                <w:color w:val="auto"/>
                <w:highlight w:val="none"/>
                <w:u w:val="none"/>
              </w:rPr>
            </w:pPr>
            <w:r>
              <w:rPr>
                <w:rFonts w:hint="eastAsia"/>
                <w:color w:val="auto"/>
                <w:highlight w:val="none"/>
                <w:u w:val="none"/>
              </w:rPr>
              <w:t>光化单元</w:t>
            </w:r>
          </w:p>
        </w:tc>
        <w:tc>
          <w:tcPr>
            <w:tcW w:w="1358" w:type="pct"/>
            <w:shd w:val="clear" w:color="auto" w:fill="auto"/>
            <w:noWrap/>
            <w:vAlign w:val="center"/>
          </w:tcPr>
          <w:p w14:paraId="6F573F50">
            <w:pPr>
              <w:pStyle w:val="510"/>
              <w:rPr>
                <w:color w:val="auto"/>
                <w:highlight w:val="none"/>
                <w:u w:val="none"/>
              </w:rPr>
            </w:pPr>
            <w:r>
              <w:rPr>
                <w:rFonts w:hint="eastAsia"/>
                <w:color w:val="auto"/>
                <w:highlight w:val="none"/>
                <w:u w:val="none"/>
              </w:rPr>
              <w:t>一般污染防渗区</w:t>
            </w:r>
          </w:p>
        </w:tc>
        <w:tc>
          <w:tcPr>
            <w:tcW w:w="1445" w:type="pct"/>
          </w:tcPr>
          <w:p w14:paraId="32F6EDE1">
            <w:pPr>
              <w:pStyle w:val="510"/>
              <w:rPr>
                <w:color w:val="auto"/>
                <w:highlight w:val="none"/>
                <w:u w:val="none"/>
              </w:rPr>
            </w:pPr>
          </w:p>
        </w:tc>
      </w:tr>
      <w:tr w14:paraId="7C07E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A2A477D">
            <w:pPr>
              <w:pStyle w:val="510"/>
              <w:rPr>
                <w:color w:val="auto"/>
                <w:highlight w:val="none"/>
                <w:u w:val="none"/>
              </w:rPr>
            </w:pPr>
            <w:r>
              <w:rPr>
                <w:color w:val="auto"/>
                <w:highlight w:val="none"/>
                <w:u w:val="none"/>
              </w:rPr>
              <w:t>9</w:t>
            </w:r>
          </w:p>
        </w:tc>
        <w:tc>
          <w:tcPr>
            <w:tcW w:w="1573" w:type="pct"/>
            <w:shd w:val="clear" w:color="auto" w:fill="auto"/>
            <w:vAlign w:val="center"/>
          </w:tcPr>
          <w:p w14:paraId="220CE43B">
            <w:pPr>
              <w:pStyle w:val="510"/>
              <w:rPr>
                <w:color w:val="auto"/>
                <w:highlight w:val="none"/>
                <w:u w:val="none"/>
              </w:rPr>
            </w:pPr>
            <w:r>
              <w:rPr>
                <w:rFonts w:hint="eastAsia"/>
                <w:color w:val="auto"/>
                <w:highlight w:val="none"/>
                <w:u w:val="none"/>
              </w:rPr>
              <w:t>精制单元</w:t>
            </w:r>
          </w:p>
        </w:tc>
        <w:tc>
          <w:tcPr>
            <w:tcW w:w="1358" w:type="pct"/>
            <w:shd w:val="clear" w:color="auto" w:fill="auto"/>
            <w:noWrap/>
            <w:vAlign w:val="center"/>
          </w:tcPr>
          <w:p w14:paraId="3AA63063">
            <w:pPr>
              <w:pStyle w:val="510"/>
              <w:rPr>
                <w:color w:val="auto"/>
                <w:highlight w:val="none"/>
                <w:u w:val="none"/>
              </w:rPr>
            </w:pPr>
            <w:r>
              <w:rPr>
                <w:rFonts w:hint="eastAsia"/>
                <w:color w:val="auto"/>
                <w:highlight w:val="none"/>
                <w:u w:val="none"/>
              </w:rPr>
              <w:t>一般污染防渗区</w:t>
            </w:r>
          </w:p>
        </w:tc>
        <w:tc>
          <w:tcPr>
            <w:tcW w:w="1445" w:type="pct"/>
          </w:tcPr>
          <w:p w14:paraId="1528E13E">
            <w:pPr>
              <w:pStyle w:val="510"/>
              <w:rPr>
                <w:color w:val="auto"/>
                <w:highlight w:val="none"/>
                <w:u w:val="none"/>
              </w:rPr>
            </w:pPr>
          </w:p>
        </w:tc>
      </w:tr>
      <w:tr w14:paraId="15230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F35E2FE">
            <w:pPr>
              <w:pStyle w:val="510"/>
              <w:rPr>
                <w:color w:val="auto"/>
                <w:highlight w:val="none"/>
                <w:u w:val="none"/>
              </w:rPr>
            </w:pPr>
            <w:r>
              <w:rPr>
                <w:rFonts w:hint="eastAsia"/>
                <w:color w:val="auto"/>
                <w:highlight w:val="none"/>
                <w:u w:val="none"/>
              </w:rPr>
              <w:t>1</w:t>
            </w:r>
            <w:r>
              <w:rPr>
                <w:color w:val="auto"/>
                <w:highlight w:val="none"/>
                <w:u w:val="none"/>
              </w:rPr>
              <w:t>0</w:t>
            </w:r>
          </w:p>
        </w:tc>
        <w:tc>
          <w:tcPr>
            <w:tcW w:w="1573" w:type="pct"/>
            <w:shd w:val="clear" w:color="auto" w:fill="auto"/>
            <w:vAlign w:val="center"/>
          </w:tcPr>
          <w:p w14:paraId="0867E218">
            <w:pPr>
              <w:pStyle w:val="510"/>
              <w:rPr>
                <w:color w:val="auto"/>
                <w:highlight w:val="none"/>
                <w:u w:val="none"/>
              </w:rPr>
            </w:pPr>
            <w:r>
              <w:rPr>
                <w:rFonts w:hint="eastAsia"/>
                <w:color w:val="auto"/>
                <w:highlight w:val="none"/>
                <w:u w:val="none"/>
              </w:rPr>
              <w:t>T</w:t>
            </w:r>
            <w:r>
              <w:rPr>
                <w:color w:val="auto"/>
                <w:highlight w:val="none"/>
                <w:u w:val="none"/>
              </w:rPr>
              <w:t>DI</w:t>
            </w:r>
            <w:r>
              <w:rPr>
                <w:rFonts w:hint="eastAsia"/>
                <w:color w:val="auto"/>
                <w:highlight w:val="none"/>
                <w:u w:val="none"/>
              </w:rPr>
              <w:t>变电所</w:t>
            </w:r>
          </w:p>
        </w:tc>
        <w:tc>
          <w:tcPr>
            <w:tcW w:w="1358" w:type="pct"/>
            <w:shd w:val="clear" w:color="auto" w:fill="auto"/>
            <w:noWrap/>
            <w:vAlign w:val="center"/>
          </w:tcPr>
          <w:p w14:paraId="6EDA8FC4">
            <w:pPr>
              <w:pStyle w:val="510"/>
              <w:rPr>
                <w:color w:val="auto"/>
                <w:highlight w:val="none"/>
                <w:u w:val="none"/>
              </w:rPr>
            </w:pPr>
            <w:r>
              <w:rPr>
                <w:rFonts w:hint="eastAsia"/>
                <w:color w:val="auto"/>
                <w:highlight w:val="none"/>
                <w:u w:val="none"/>
              </w:rPr>
              <w:t>一般污染防渗区</w:t>
            </w:r>
          </w:p>
        </w:tc>
        <w:tc>
          <w:tcPr>
            <w:tcW w:w="1445" w:type="pct"/>
          </w:tcPr>
          <w:p w14:paraId="405B61BA">
            <w:pPr>
              <w:pStyle w:val="510"/>
              <w:rPr>
                <w:color w:val="auto"/>
                <w:highlight w:val="none"/>
                <w:u w:val="none"/>
              </w:rPr>
            </w:pPr>
          </w:p>
        </w:tc>
      </w:tr>
      <w:tr w14:paraId="537A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25A87E9">
            <w:pPr>
              <w:pStyle w:val="510"/>
              <w:rPr>
                <w:rFonts w:hint="eastAsia"/>
                <w:color w:val="auto"/>
                <w:highlight w:val="none"/>
                <w:u w:val="none"/>
              </w:rPr>
            </w:pPr>
            <w:r>
              <w:rPr>
                <w:rFonts w:hint="eastAsia"/>
                <w:color w:val="auto"/>
                <w:highlight w:val="none"/>
                <w:u w:val="none"/>
              </w:rPr>
              <w:t>11</w:t>
            </w:r>
          </w:p>
        </w:tc>
        <w:tc>
          <w:tcPr>
            <w:tcW w:w="1573" w:type="pct"/>
            <w:shd w:val="clear" w:color="auto" w:fill="auto"/>
            <w:vAlign w:val="center"/>
          </w:tcPr>
          <w:p w14:paraId="061CBE41">
            <w:pPr>
              <w:pStyle w:val="510"/>
              <w:rPr>
                <w:rFonts w:hint="eastAsia"/>
                <w:color w:val="auto"/>
                <w:highlight w:val="none"/>
                <w:u w:val="none"/>
              </w:rPr>
            </w:pPr>
            <w:r>
              <w:rPr>
                <w:rFonts w:hint="eastAsia"/>
                <w:color w:val="auto"/>
                <w:highlight w:val="none"/>
                <w:u w:val="none"/>
              </w:rPr>
              <w:t>项目红线内雨水收集池</w:t>
            </w:r>
          </w:p>
        </w:tc>
        <w:tc>
          <w:tcPr>
            <w:tcW w:w="1358" w:type="pct"/>
            <w:shd w:val="clear" w:color="auto" w:fill="auto"/>
            <w:noWrap/>
          </w:tcPr>
          <w:p w14:paraId="17BB7777">
            <w:pPr>
              <w:pStyle w:val="510"/>
              <w:rPr>
                <w:rFonts w:hint="eastAsia"/>
                <w:color w:val="auto"/>
                <w:highlight w:val="none"/>
                <w:u w:val="none"/>
              </w:rPr>
            </w:pPr>
            <w:r>
              <w:rPr>
                <w:rFonts w:hint="eastAsia"/>
                <w:color w:val="auto"/>
                <w:highlight w:val="none"/>
                <w:u w:val="none"/>
              </w:rPr>
              <w:t>重点污泥防渗区</w:t>
            </w:r>
          </w:p>
        </w:tc>
        <w:tc>
          <w:tcPr>
            <w:tcW w:w="1445" w:type="pct"/>
          </w:tcPr>
          <w:p w14:paraId="0DE2DE62">
            <w:pPr>
              <w:pStyle w:val="510"/>
              <w:rPr>
                <w:color w:val="auto"/>
                <w:highlight w:val="none"/>
                <w:u w:val="none"/>
              </w:rPr>
            </w:pPr>
          </w:p>
        </w:tc>
      </w:tr>
      <w:tr w14:paraId="56438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7DA654E">
            <w:pPr>
              <w:pStyle w:val="510"/>
              <w:rPr>
                <w:rFonts w:hint="eastAsia"/>
                <w:color w:val="auto"/>
                <w:highlight w:val="none"/>
                <w:u w:val="none"/>
              </w:rPr>
            </w:pPr>
            <w:r>
              <w:rPr>
                <w:rFonts w:hint="eastAsia"/>
                <w:color w:val="auto"/>
                <w:highlight w:val="none"/>
                <w:u w:val="none"/>
              </w:rPr>
              <w:t>12</w:t>
            </w:r>
          </w:p>
        </w:tc>
        <w:tc>
          <w:tcPr>
            <w:tcW w:w="1573" w:type="pct"/>
            <w:shd w:val="clear" w:color="auto" w:fill="auto"/>
            <w:vAlign w:val="center"/>
          </w:tcPr>
          <w:p w14:paraId="406D557A">
            <w:pPr>
              <w:pStyle w:val="510"/>
              <w:rPr>
                <w:rFonts w:hint="eastAsia"/>
                <w:color w:val="auto"/>
                <w:highlight w:val="none"/>
                <w:u w:val="none"/>
              </w:rPr>
            </w:pPr>
            <w:r>
              <w:rPr>
                <w:rFonts w:hint="eastAsia"/>
                <w:color w:val="auto"/>
                <w:highlight w:val="none"/>
                <w:u w:val="none"/>
              </w:rPr>
              <w:t>项目红线内储罐区域</w:t>
            </w:r>
          </w:p>
        </w:tc>
        <w:tc>
          <w:tcPr>
            <w:tcW w:w="1358" w:type="pct"/>
            <w:shd w:val="clear" w:color="auto" w:fill="auto"/>
            <w:noWrap/>
          </w:tcPr>
          <w:p w14:paraId="3D74F1A0">
            <w:pPr>
              <w:pStyle w:val="510"/>
              <w:rPr>
                <w:rFonts w:hint="eastAsia"/>
                <w:color w:val="auto"/>
                <w:highlight w:val="none"/>
                <w:u w:val="none"/>
              </w:rPr>
            </w:pPr>
            <w:r>
              <w:rPr>
                <w:rFonts w:hint="eastAsia"/>
                <w:color w:val="auto"/>
                <w:highlight w:val="none"/>
                <w:u w:val="none"/>
              </w:rPr>
              <w:t>重点污泥防渗区</w:t>
            </w:r>
          </w:p>
        </w:tc>
        <w:tc>
          <w:tcPr>
            <w:tcW w:w="1445" w:type="pct"/>
          </w:tcPr>
          <w:p w14:paraId="4A666BD4">
            <w:pPr>
              <w:pStyle w:val="510"/>
              <w:rPr>
                <w:color w:val="auto"/>
                <w:highlight w:val="none"/>
                <w:u w:val="none"/>
              </w:rPr>
            </w:pPr>
          </w:p>
        </w:tc>
      </w:tr>
    </w:tbl>
    <w:p w14:paraId="7D9BDE92">
      <w:pPr>
        <w:rPr>
          <w:rFonts w:hint="eastAsia"/>
          <w:color w:val="auto"/>
          <w:highlight w:val="none"/>
          <w:u w:val="none"/>
        </w:rPr>
      </w:pPr>
      <w:r>
        <w:rPr>
          <w:rFonts w:hint="eastAsia"/>
          <w:color w:val="auto"/>
          <w:highlight w:val="none"/>
          <w:u w:val="none"/>
        </w:rPr>
        <w:t>二、分区防渗要求</w:t>
      </w:r>
    </w:p>
    <w:p w14:paraId="5FB686CA">
      <w:pPr>
        <w:rPr>
          <w:rFonts w:hAnsi="Times New Roman"/>
          <w:color w:val="auto"/>
          <w:highlight w:val="none"/>
          <w:u w:val="none"/>
        </w:rPr>
      </w:pPr>
      <w:r>
        <w:rPr>
          <w:rFonts w:hAnsi="Times New Roman"/>
          <w:color w:val="auto"/>
          <w:highlight w:val="none"/>
          <w:u w:val="none"/>
        </w:rPr>
        <w:t>一般污染防治区防渗层的防渗性能不应低于1.5m厚渗透系数为1.0×10</w:t>
      </w:r>
      <w:r>
        <w:rPr>
          <w:rFonts w:hAnsi="Times New Roman"/>
          <w:color w:val="auto"/>
          <w:highlight w:val="none"/>
          <w:u w:val="none"/>
          <w:vertAlign w:val="superscript"/>
        </w:rPr>
        <w:t>-7</w:t>
      </w:r>
      <w:r>
        <w:rPr>
          <w:rFonts w:hAnsi="Times New Roman"/>
          <w:color w:val="auto"/>
          <w:highlight w:val="none"/>
          <w:u w:val="none"/>
        </w:rPr>
        <w:t>cm/s的黏土层的防渗性能，重点污染防治区防渗层的防渗性能不应低于6.0m厚渗透系数为1.0×10</w:t>
      </w:r>
      <w:r>
        <w:rPr>
          <w:rFonts w:hAnsi="Times New Roman"/>
          <w:color w:val="auto"/>
          <w:highlight w:val="none"/>
          <w:u w:val="none"/>
          <w:vertAlign w:val="superscript"/>
        </w:rPr>
        <w:t>-7</w:t>
      </w:r>
      <w:r>
        <w:rPr>
          <w:rFonts w:hAnsi="Times New Roman"/>
          <w:color w:val="auto"/>
          <w:highlight w:val="none"/>
          <w:u w:val="none"/>
        </w:rPr>
        <w:t>cm/s的黏土层的防渗性能。</w:t>
      </w:r>
    </w:p>
    <w:p w14:paraId="785DE80B">
      <w:pPr>
        <w:rPr>
          <w:rFonts w:hint="eastAsia"/>
          <w:color w:val="auto"/>
          <w:highlight w:val="none"/>
          <w:u w:val="none"/>
        </w:rPr>
      </w:pPr>
      <w:r>
        <w:rPr>
          <w:rFonts w:hint="eastAsia"/>
          <w:color w:val="auto"/>
          <w:highlight w:val="none"/>
          <w:u w:val="none"/>
        </w:rPr>
        <w:t>为保证防渗工程正常施工、运行，达到设计防渗等级，应对工程质量进行管理控制：选择具有相应资质的设计单位对工程进行设计，防渗工程的设计符合相应要求及设计规范；工程材料符合设计要求，并按照有关规定和要求进行质量检验，保证使用材料全部合格；聘请优秀专业施工队伍，施工方法符合规范要求；工程完工后应进行质量检测；在防渗设施投入使用后，要加强日常的维护管理。</w:t>
      </w:r>
    </w:p>
    <w:p w14:paraId="459BE715">
      <w:pPr>
        <w:pStyle w:val="7"/>
        <w:spacing w:before="156"/>
        <w:rPr>
          <w:color w:val="auto"/>
          <w:highlight w:val="none"/>
          <w:u w:val="none"/>
        </w:rPr>
      </w:pPr>
      <w:r>
        <w:rPr>
          <w:rFonts w:hint="eastAsia"/>
          <w:color w:val="auto"/>
          <w:highlight w:val="none"/>
          <w:u w:val="none"/>
        </w:rPr>
        <w:t>跟踪监测</w:t>
      </w:r>
    </w:p>
    <w:p w14:paraId="08FCD87D">
      <w:pPr>
        <w:rPr>
          <w:rFonts w:hint="eastAsia"/>
          <w:color w:val="auto"/>
          <w:highlight w:val="none"/>
          <w:u w:val="none"/>
        </w:rPr>
      </w:pPr>
      <w:r>
        <w:rPr>
          <w:rFonts w:hint="eastAsia"/>
          <w:color w:val="auto"/>
          <w:highlight w:val="none"/>
          <w:u w:val="none"/>
        </w:rPr>
        <w:t>地下水日常监测目的是为了及时准确的掌握项目所在地地下水环境质量状况和地下水体中污染物的动态变化，以防止或最大限度的减轻对地下水的污染，地下水日常监测方案应能满足《环境影响评价技术导则——地下水环境》（</w:t>
      </w:r>
      <w:r>
        <w:rPr>
          <w:color w:val="auto"/>
          <w:highlight w:val="none"/>
          <w:u w:val="none"/>
        </w:rPr>
        <w:t>HJ610-2016）</w:t>
      </w:r>
      <w:r>
        <w:rPr>
          <w:rFonts w:hint="eastAsia"/>
          <w:color w:val="auto"/>
          <w:highlight w:val="none"/>
          <w:u w:val="none"/>
        </w:rPr>
        <w:t>及《工业企业土壤和地下水自行监测技术指南（试行）》（</w:t>
      </w:r>
      <w:r>
        <w:rPr>
          <w:color w:val="auto"/>
          <w:highlight w:val="none"/>
          <w:u w:val="none"/>
        </w:rPr>
        <w:t>HJ 1209-2021）</w:t>
      </w:r>
      <w:r>
        <w:rPr>
          <w:rFonts w:hint="eastAsia"/>
          <w:color w:val="auto"/>
          <w:highlight w:val="none"/>
          <w:u w:val="none"/>
        </w:rPr>
        <w:t>的</w:t>
      </w:r>
      <w:r>
        <w:rPr>
          <w:color w:val="auto"/>
          <w:highlight w:val="none"/>
          <w:u w:val="none"/>
        </w:rPr>
        <w:t>要求</w:t>
      </w:r>
      <w:r>
        <w:rPr>
          <w:rFonts w:hint="eastAsia"/>
          <w:color w:val="auto"/>
          <w:highlight w:val="none"/>
          <w:u w:val="none"/>
        </w:rPr>
        <w:t>。</w:t>
      </w:r>
    </w:p>
    <w:p w14:paraId="6709EE4D">
      <w:pPr>
        <w:ind w:firstLine="482"/>
        <w:rPr>
          <w:rFonts w:hint="eastAsia"/>
          <w:b/>
          <w:bCs/>
          <w:color w:val="auto"/>
          <w:highlight w:val="none"/>
          <w:u w:val="none"/>
        </w:rPr>
      </w:pPr>
      <w:r>
        <w:rPr>
          <w:rFonts w:hint="eastAsia"/>
          <w:b/>
          <w:bCs/>
          <w:color w:val="auto"/>
          <w:highlight w:val="none"/>
          <w:u w:val="none"/>
        </w:rPr>
        <w:t>（1）监测因子</w:t>
      </w:r>
    </w:p>
    <w:p w14:paraId="0307F756">
      <w:pPr>
        <w:rPr>
          <w:rFonts w:hint="eastAsia"/>
          <w:color w:val="auto"/>
          <w:highlight w:val="none"/>
          <w:u w:val="none"/>
        </w:rPr>
      </w:pPr>
      <w:r>
        <w:rPr>
          <w:rFonts w:hint="eastAsia"/>
          <w:color w:val="auto"/>
          <w:highlight w:val="none"/>
          <w:u w:val="none"/>
        </w:rPr>
        <w:t>根据《地下水环境监测技术规范》（</w:t>
      </w:r>
      <w:r>
        <w:rPr>
          <w:color w:val="auto"/>
          <w:highlight w:val="none"/>
          <w:u w:val="none"/>
        </w:rPr>
        <w:t>HJ/T164-2020）</w:t>
      </w:r>
      <w:r>
        <w:rPr>
          <w:rFonts w:hint="eastAsia"/>
          <w:color w:val="auto"/>
          <w:highlight w:val="none"/>
          <w:u w:val="none"/>
        </w:rPr>
        <w:t>及《工业企业土壤和地下水自行监测技术指南（试行）》（</w:t>
      </w:r>
      <w:r>
        <w:rPr>
          <w:color w:val="auto"/>
          <w:highlight w:val="none"/>
          <w:u w:val="none"/>
        </w:rPr>
        <w:t>HJ1209-2021）的要求，结合</w:t>
      </w:r>
      <w:r>
        <w:rPr>
          <w:rFonts w:hint="eastAsia"/>
          <w:color w:val="auto"/>
          <w:highlight w:val="none"/>
          <w:u w:val="none"/>
          <w:lang w:val="en-US"/>
        </w:rPr>
        <w:t>25万吨TDI项目环评和</w:t>
      </w:r>
      <w:r>
        <w:rPr>
          <w:color w:val="auto"/>
          <w:highlight w:val="none"/>
          <w:u w:val="none"/>
        </w:rPr>
        <w:t>本项目</w:t>
      </w:r>
      <w:r>
        <w:rPr>
          <w:rFonts w:hint="eastAsia"/>
          <w:color w:val="auto"/>
          <w:highlight w:val="none"/>
          <w:u w:val="none"/>
        </w:rPr>
        <w:t>污染分析，监测因子如下：</w:t>
      </w:r>
    </w:p>
    <w:p w14:paraId="63A85F47">
      <w:pPr>
        <w:rPr>
          <w:rFonts w:hint="eastAsia"/>
          <w:color w:val="auto"/>
          <w:highlight w:val="none"/>
          <w:u w:val="none"/>
          <w:lang w:val="en-US"/>
        </w:rPr>
      </w:pPr>
      <w:r>
        <w:rPr>
          <w:rFonts w:hint="eastAsia"/>
          <w:color w:val="auto"/>
          <w:highlight w:val="none"/>
          <w:u w:val="none"/>
          <w:lang w:val="en-US"/>
        </w:rPr>
        <w:t>①首次监测</w:t>
      </w:r>
    </w:p>
    <w:p w14:paraId="4D5C1A1C">
      <w:pPr>
        <w:rPr>
          <w:rFonts w:hint="eastAsia"/>
          <w:color w:val="auto"/>
          <w:highlight w:val="none"/>
          <w:u w:val="none"/>
          <w:lang w:val="en-US"/>
        </w:rPr>
      </w:pPr>
      <w:r>
        <w:rPr>
          <w:rFonts w:hint="eastAsia"/>
          <w:color w:val="auto"/>
          <w:highlight w:val="none"/>
          <w:u w:val="none"/>
          <w:lang w:val="en-US"/>
        </w:rPr>
        <w:t>常规因子：《地下水质量标准》（GB/</w:t>
      </w:r>
      <w:r>
        <w:rPr>
          <w:color w:val="auto"/>
          <w:highlight w:val="none"/>
          <w:u w:val="none"/>
          <w:lang w:val="en-US"/>
        </w:rPr>
        <w:t>T14848-2017</w:t>
      </w:r>
      <w:r>
        <w:rPr>
          <w:rFonts w:hint="eastAsia"/>
          <w:color w:val="auto"/>
          <w:highlight w:val="none"/>
          <w:u w:val="none"/>
          <w:lang w:val="en-US"/>
        </w:rPr>
        <w:t>）中表1指标（除去放射性指标）。</w:t>
      </w:r>
    </w:p>
    <w:p w14:paraId="6162838E">
      <w:pPr>
        <w:rPr>
          <w:rFonts w:hint="eastAsia"/>
          <w:color w:val="auto"/>
          <w:highlight w:val="none"/>
          <w:u w:val="none"/>
          <w:lang w:val="en-US"/>
        </w:rPr>
      </w:pPr>
      <w:r>
        <w:rPr>
          <w:rFonts w:hint="eastAsia"/>
          <w:color w:val="auto"/>
          <w:highlight w:val="none"/>
          <w:u w:val="none"/>
        </w:rPr>
        <w:t>特征因子：</w:t>
      </w:r>
      <w:r>
        <w:rPr>
          <w:rFonts w:hint="eastAsia"/>
          <w:color w:val="auto"/>
          <w:highlight w:val="none"/>
          <w:u w:val="none"/>
          <w:lang w:val="en-US"/>
        </w:rPr>
        <w:t>邻二氯苯、</w:t>
      </w:r>
      <w:r>
        <w:rPr>
          <w:color w:val="auto"/>
          <w:highlight w:val="none"/>
          <w:u w:val="none"/>
          <w:lang w:val="en-US"/>
        </w:rPr>
        <w:t>2,4-二硝基甲苯、2,6-二硝基甲苯、甲苯</w:t>
      </w:r>
      <w:r>
        <w:rPr>
          <w:rFonts w:hint="eastAsia"/>
          <w:color w:val="auto"/>
          <w:highlight w:val="none"/>
          <w:u w:val="none"/>
          <w:lang w:val="en-US"/>
        </w:rPr>
        <w:t>。</w:t>
      </w:r>
    </w:p>
    <w:p w14:paraId="1B5DC132">
      <w:pPr>
        <w:rPr>
          <w:rFonts w:hint="eastAsia"/>
          <w:color w:val="auto"/>
          <w:highlight w:val="none"/>
          <w:u w:val="none"/>
          <w:lang w:val="en-US"/>
        </w:rPr>
      </w:pPr>
      <w:r>
        <w:rPr>
          <w:rFonts w:hint="eastAsia"/>
          <w:color w:val="auto"/>
          <w:highlight w:val="none"/>
          <w:u w:val="none"/>
          <w:lang w:val="en-US"/>
        </w:rPr>
        <w:t>②后续监测：</w:t>
      </w:r>
    </w:p>
    <w:p w14:paraId="76C95023">
      <w:pPr>
        <w:rPr>
          <w:rFonts w:hint="eastAsia"/>
          <w:color w:val="auto"/>
          <w:highlight w:val="none"/>
          <w:u w:val="none"/>
        </w:rPr>
      </w:pPr>
      <w:r>
        <w:rPr>
          <w:rFonts w:hint="eastAsia"/>
          <w:color w:val="auto"/>
          <w:highlight w:val="none"/>
          <w:u w:val="none"/>
        </w:rPr>
        <w:t>特征因子：邻二氯苯、</w:t>
      </w:r>
      <w:r>
        <w:rPr>
          <w:color w:val="auto"/>
          <w:highlight w:val="none"/>
          <w:u w:val="none"/>
        </w:rPr>
        <w:t>2,4-二硝基甲苯、2,6-二硝基甲苯、甲苯。</w:t>
      </w:r>
    </w:p>
    <w:p w14:paraId="241438AA">
      <w:pPr>
        <w:rPr>
          <w:rFonts w:hint="eastAsia"/>
          <w:color w:val="auto"/>
          <w:highlight w:val="none"/>
          <w:u w:val="none"/>
        </w:rPr>
      </w:pPr>
      <w:r>
        <w:rPr>
          <w:rFonts w:hint="eastAsia"/>
          <w:color w:val="auto"/>
          <w:highlight w:val="none"/>
          <w:u w:val="none"/>
        </w:rPr>
        <w:t>其他：前期监测中曾超标的污染物。</w:t>
      </w:r>
    </w:p>
    <w:p w14:paraId="36CEA59A">
      <w:pPr>
        <w:rPr>
          <w:rFonts w:hint="eastAsia"/>
          <w:color w:val="auto"/>
          <w:highlight w:val="none"/>
          <w:u w:val="none"/>
        </w:rPr>
      </w:pPr>
      <w:r>
        <w:rPr>
          <w:rFonts w:hint="eastAsia"/>
          <w:color w:val="auto"/>
          <w:highlight w:val="none"/>
          <w:u w:val="none"/>
        </w:rPr>
        <w:t>③执行标准</w:t>
      </w:r>
    </w:p>
    <w:p w14:paraId="30B3E89A">
      <w:pPr>
        <w:rPr>
          <w:rFonts w:hint="eastAsia"/>
          <w:color w:val="auto"/>
          <w:highlight w:val="none"/>
          <w:u w:val="none"/>
        </w:rPr>
      </w:pPr>
      <w:r>
        <w:rPr>
          <w:rFonts w:hint="eastAsia"/>
          <w:color w:val="auto"/>
          <w:highlight w:val="none"/>
          <w:u w:val="none"/>
        </w:rPr>
        <w:t>按照《地下水质量标准》（</w:t>
      </w:r>
      <w:r>
        <w:rPr>
          <w:color w:val="auto"/>
          <w:highlight w:val="none"/>
          <w:u w:val="none"/>
        </w:rPr>
        <w:t>GB/T14848-2017）中的</w:t>
      </w:r>
      <w:r>
        <w:rPr>
          <w:rFonts w:hint="eastAsia"/>
          <w:color w:val="auto"/>
          <w:highlight w:val="none"/>
          <w:u w:val="none"/>
        </w:rPr>
        <w:t>Ⅳ</w:t>
      </w:r>
      <w:r>
        <w:rPr>
          <w:color w:val="auto"/>
          <w:highlight w:val="none"/>
          <w:u w:val="none"/>
        </w:rPr>
        <w:t>类标准进行评价</w:t>
      </w:r>
      <w:r>
        <w:rPr>
          <w:rFonts w:hint="eastAsia"/>
          <w:color w:val="auto"/>
          <w:highlight w:val="none"/>
          <w:u w:val="none"/>
        </w:rPr>
        <w:t>。</w:t>
      </w:r>
    </w:p>
    <w:p w14:paraId="00EF25C1">
      <w:pPr>
        <w:rPr>
          <w:rFonts w:hint="eastAsia"/>
          <w:color w:val="auto"/>
          <w:highlight w:val="none"/>
          <w:u w:val="none"/>
        </w:rPr>
      </w:pPr>
      <w:r>
        <w:rPr>
          <w:rFonts w:hint="eastAsia"/>
          <w:color w:val="auto"/>
          <w:highlight w:val="none"/>
          <w:u w:val="none"/>
        </w:rPr>
        <w:t>④监测频次</w:t>
      </w:r>
    </w:p>
    <w:p w14:paraId="71880D5D">
      <w:pPr>
        <w:rPr>
          <w:rFonts w:hint="eastAsia"/>
          <w:color w:val="auto"/>
          <w:highlight w:val="none"/>
          <w:u w:val="none"/>
        </w:rPr>
      </w:pPr>
      <w:r>
        <w:rPr>
          <w:color w:val="auto"/>
          <w:highlight w:val="none"/>
          <w:u w:val="none"/>
        </w:rPr>
        <w:t>项目的</w:t>
      </w:r>
      <w:r>
        <w:rPr>
          <w:rFonts w:hint="eastAsia"/>
          <w:color w:val="auto"/>
          <w:highlight w:val="none"/>
          <w:u w:val="none"/>
        </w:rPr>
        <w:t>监测频率为每年</w:t>
      </w:r>
      <w:r>
        <w:rPr>
          <w:color w:val="auto"/>
          <w:highlight w:val="none"/>
          <w:u w:val="none"/>
        </w:rPr>
        <w:t>1次。当发生泄漏事故时，应加密监测。</w:t>
      </w:r>
    </w:p>
    <w:p w14:paraId="0B75A818">
      <w:pPr>
        <w:ind w:firstLine="482"/>
        <w:rPr>
          <w:rFonts w:hint="eastAsia"/>
          <w:b/>
          <w:bCs/>
          <w:color w:val="auto"/>
          <w:highlight w:val="none"/>
          <w:u w:val="none"/>
        </w:rPr>
      </w:pPr>
      <w:r>
        <w:rPr>
          <w:rFonts w:hint="eastAsia"/>
          <w:b/>
          <w:bCs/>
          <w:color w:val="auto"/>
          <w:highlight w:val="none"/>
          <w:u w:val="none"/>
        </w:rPr>
        <w:t>（2）监测点位</w:t>
      </w:r>
    </w:p>
    <w:p w14:paraId="3BBE50C0">
      <w:pPr>
        <w:pStyle w:val="5"/>
        <w:ind w:firstLine="480"/>
        <w:rPr>
          <w:rFonts w:hint="eastAsia"/>
          <w:color w:val="auto"/>
          <w:highlight w:val="none"/>
          <w:u w:val="none"/>
        </w:rPr>
      </w:pPr>
      <w:r>
        <w:rPr>
          <w:rFonts w:hint="eastAsia"/>
          <w:color w:val="auto"/>
          <w:highlight w:val="none"/>
          <w:u w:val="none"/>
        </w:rPr>
        <w:t>根据《地下水环境监测技术规范》（</w:t>
      </w:r>
      <w:r>
        <w:rPr>
          <w:color w:val="auto"/>
          <w:highlight w:val="none"/>
          <w:u w:val="none"/>
        </w:rPr>
        <w:t>HJ/T164-2020）</w:t>
      </w:r>
      <w:r>
        <w:rPr>
          <w:rFonts w:hint="eastAsia"/>
          <w:color w:val="auto"/>
          <w:highlight w:val="none"/>
          <w:u w:val="none"/>
        </w:rPr>
        <w:t>、《工业企业土壤和地下水自行监测技术指南（试行）》（</w:t>
      </w:r>
      <w:r>
        <w:rPr>
          <w:color w:val="auto"/>
          <w:highlight w:val="none"/>
          <w:u w:val="none"/>
        </w:rPr>
        <w:t>HJ1209-2021）的要求，本次评价为二级，跟踪监测数量设置4个，</w:t>
      </w:r>
      <w:r>
        <w:rPr>
          <w:rFonts w:hint="eastAsia"/>
          <w:color w:val="auto"/>
          <w:highlight w:val="none"/>
          <w:u w:val="none"/>
        </w:rPr>
        <w:t>在结合厂区现有监测井情况下，充分利用现有监测井，</w:t>
      </w:r>
      <w:r>
        <w:rPr>
          <w:color w:val="auto"/>
          <w:highlight w:val="none"/>
          <w:u w:val="none"/>
        </w:rPr>
        <w:t>详见</w:t>
      </w:r>
      <w:r>
        <w:rPr>
          <w:rFonts w:hint="eastAsia"/>
          <w:color w:val="auto"/>
          <w:highlight w:val="none"/>
          <w:u w:val="none"/>
        </w:rPr>
        <w:t>下图；项目设置4个地下水检测点位。其中1</w:t>
      </w:r>
      <w:r>
        <w:rPr>
          <w:color w:val="auto"/>
          <w:highlight w:val="none"/>
          <w:u w:val="none"/>
        </w:rPr>
        <w:t>#</w:t>
      </w:r>
      <w:r>
        <w:rPr>
          <w:rFonts w:hint="eastAsia"/>
          <w:color w:val="auto"/>
          <w:highlight w:val="none"/>
          <w:u w:val="none"/>
        </w:rPr>
        <w:t>设置</w:t>
      </w:r>
      <w:r>
        <w:rPr>
          <w:color w:val="auto"/>
          <w:highlight w:val="none"/>
          <w:u w:val="none"/>
        </w:rPr>
        <w:t>TDI废水处理单元下游</w:t>
      </w:r>
      <w:r>
        <w:rPr>
          <w:rFonts w:hint="eastAsia"/>
          <w:color w:val="auto"/>
          <w:highlight w:val="none"/>
          <w:u w:val="none"/>
        </w:rPr>
        <w:t>，2</w:t>
      </w:r>
      <w:r>
        <w:rPr>
          <w:color w:val="auto"/>
          <w:highlight w:val="none"/>
          <w:u w:val="none"/>
        </w:rPr>
        <w:t>#</w:t>
      </w:r>
      <w:r>
        <w:rPr>
          <w:rFonts w:hint="eastAsia"/>
          <w:color w:val="auto"/>
          <w:highlight w:val="none"/>
          <w:u w:val="none"/>
        </w:rPr>
        <w:t>（现有井）设置在</w:t>
      </w:r>
      <w:r>
        <w:rPr>
          <w:color w:val="auto"/>
          <w:highlight w:val="none"/>
          <w:u w:val="none"/>
        </w:rPr>
        <w:t>TDA中间罐组下游</w:t>
      </w:r>
      <w:r>
        <w:rPr>
          <w:rFonts w:hint="eastAsia"/>
          <w:color w:val="auto"/>
          <w:highlight w:val="none"/>
          <w:u w:val="none"/>
        </w:rPr>
        <w:t>，3</w:t>
      </w:r>
      <w:r>
        <w:rPr>
          <w:color w:val="auto"/>
          <w:highlight w:val="none"/>
          <w:u w:val="none"/>
        </w:rPr>
        <w:t>#</w:t>
      </w:r>
      <w:r>
        <w:rPr>
          <w:rFonts w:hint="eastAsia"/>
          <w:color w:val="auto"/>
          <w:highlight w:val="none"/>
          <w:u w:val="none"/>
        </w:rPr>
        <w:t>设置在硝化单元和酸浓缩单元之间，4</w:t>
      </w:r>
      <w:r>
        <w:rPr>
          <w:color w:val="auto"/>
          <w:highlight w:val="none"/>
          <w:u w:val="none"/>
        </w:rPr>
        <w:t>#</w:t>
      </w:r>
      <w:r>
        <w:rPr>
          <w:rFonts w:hint="eastAsia"/>
          <w:color w:val="auto"/>
          <w:highlight w:val="none"/>
          <w:u w:val="none"/>
        </w:rPr>
        <w:t>设置在厂区上游。</w:t>
      </w:r>
    </w:p>
    <w:p w14:paraId="582B8740">
      <w:pPr>
        <w:ind w:firstLine="482"/>
        <w:rPr>
          <w:rFonts w:hint="eastAsia"/>
          <w:b/>
          <w:bCs/>
          <w:color w:val="auto"/>
          <w:highlight w:val="none"/>
          <w:u w:val="none"/>
        </w:rPr>
      </w:pPr>
      <w:r>
        <w:rPr>
          <w:rFonts w:hint="eastAsia"/>
          <w:b/>
          <w:bCs/>
          <w:color w:val="auto"/>
          <w:highlight w:val="none"/>
          <w:u w:val="none"/>
        </w:rPr>
        <w:t>（3）监测频次</w:t>
      </w:r>
    </w:p>
    <w:p w14:paraId="18F0768C">
      <w:pPr>
        <w:pStyle w:val="5"/>
        <w:ind w:firstLine="480"/>
        <w:rPr>
          <w:rFonts w:hint="eastAsia"/>
          <w:color w:val="auto"/>
          <w:highlight w:val="none"/>
          <w:u w:val="none"/>
        </w:rPr>
      </w:pPr>
      <w:r>
        <w:rPr>
          <w:rFonts w:hint="eastAsia"/>
          <w:color w:val="auto"/>
          <w:highlight w:val="none"/>
          <w:u w:val="none"/>
        </w:rPr>
        <w:t>每年1次。</w:t>
      </w:r>
    </w:p>
    <w:p w14:paraId="5C009999">
      <w:pPr>
        <w:ind w:firstLine="482"/>
        <w:rPr>
          <w:rFonts w:hint="eastAsia"/>
          <w:b/>
          <w:bCs/>
          <w:color w:val="auto"/>
          <w:highlight w:val="none"/>
          <w:u w:val="none"/>
        </w:rPr>
      </w:pPr>
      <w:r>
        <w:rPr>
          <w:rFonts w:hint="eastAsia"/>
          <w:b/>
          <w:bCs/>
          <w:color w:val="auto"/>
          <w:highlight w:val="none"/>
          <w:u w:val="none"/>
        </w:rPr>
        <w:t>（4）信息公开及应急响应</w:t>
      </w:r>
    </w:p>
    <w:p w14:paraId="1E115A07">
      <w:pPr>
        <w:rPr>
          <w:rFonts w:hint="eastAsia"/>
          <w:color w:val="auto"/>
          <w:highlight w:val="none"/>
          <w:u w:val="none"/>
        </w:rPr>
      </w:pPr>
      <w:r>
        <w:rPr>
          <w:rFonts w:hint="eastAsia"/>
          <w:color w:val="auto"/>
          <w:highlight w:val="none"/>
          <w:u w:val="none"/>
        </w:rPr>
        <w:t>企业应制定信息公开计划，公开内容应至少包括建设项目特征因子的地下水环境监测值。</w:t>
      </w:r>
    </w:p>
    <w:p w14:paraId="1AB7710C">
      <w:pPr>
        <w:rPr>
          <w:rFonts w:hint="eastAsia"/>
          <w:color w:val="auto"/>
          <w:highlight w:val="none"/>
          <w:u w:val="none"/>
        </w:rPr>
      </w:pPr>
      <w:r>
        <w:rPr>
          <w:rFonts w:hint="eastAsia"/>
          <w:color w:val="auto"/>
          <w:highlight w:val="none"/>
          <w:u w:val="none"/>
        </w:rPr>
        <w:t>企业应制定地下水污染应急响应预案，明确污染状况下应采取的控制污染源、切断污染途径等措施。</w:t>
      </w:r>
    </w:p>
    <w:p w14:paraId="0A789D2C">
      <w:pPr>
        <w:pStyle w:val="4"/>
        <w:jc w:val="both"/>
        <w:rPr>
          <w:color w:val="auto"/>
          <w:highlight w:val="none"/>
          <w:u w:val="none"/>
        </w:rPr>
      </w:pPr>
      <w:bookmarkStart w:id="522" w:name="_Toc22292"/>
      <w:bookmarkStart w:id="523" w:name="_Toc109211089"/>
      <w:bookmarkStart w:id="524" w:name="_Toc148374820"/>
      <w:bookmarkStart w:id="525" w:name="_Toc148375054"/>
      <w:bookmarkStart w:id="526" w:name="_Toc148374612"/>
      <w:r>
        <w:rPr>
          <w:rFonts w:hint="eastAsia"/>
          <w:color w:val="auto"/>
          <w:highlight w:val="none"/>
          <w:u w:val="none"/>
        </w:rPr>
        <w:t>噪声环境影响预测与评价</w:t>
      </w:r>
      <w:bookmarkEnd w:id="522"/>
      <w:bookmarkEnd w:id="523"/>
      <w:bookmarkEnd w:id="524"/>
      <w:bookmarkEnd w:id="525"/>
      <w:bookmarkEnd w:id="526"/>
    </w:p>
    <w:p w14:paraId="50326338">
      <w:pPr>
        <w:pStyle w:val="6"/>
        <w:spacing w:before="156" w:after="156"/>
        <w:rPr>
          <w:color w:val="auto"/>
          <w:highlight w:val="none"/>
          <w:u w:val="none"/>
        </w:rPr>
      </w:pPr>
      <w:r>
        <w:rPr>
          <w:rFonts w:hint="eastAsia"/>
          <w:color w:val="auto"/>
          <w:highlight w:val="none"/>
          <w:u w:val="none"/>
        </w:rPr>
        <w:t>噪声污染源分析</w:t>
      </w:r>
    </w:p>
    <w:p w14:paraId="38154B10">
      <w:pPr>
        <w:pStyle w:val="5"/>
        <w:ind w:firstLine="480"/>
        <w:rPr>
          <w:rFonts w:hint="eastAsia"/>
          <w:color w:val="auto"/>
          <w:highlight w:val="none"/>
          <w:u w:val="none"/>
        </w:rPr>
      </w:pPr>
      <w:r>
        <w:rPr>
          <w:rFonts w:hint="eastAsia"/>
          <w:color w:val="auto"/>
          <w:highlight w:val="none"/>
          <w:u w:val="none"/>
        </w:rPr>
        <w:t>（</w:t>
      </w:r>
      <w:r>
        <w:rPr>
          <w:color w:val="auto"/>
          <w:highlight w:val="none"/>
          <w:u w:val="none"/>
        </w:rPr>
        <w:t>1</w:t>
      </w:r>
      <w:r>
        <w:rPr>
          <w:rFonts w:hint="eastAsia"/>
          <w:color w:val="auto"/>
          <w:highlight w:val="none"/>
          <w:u w:val="none"/>
        </w:rPr>
        <w:t>）本项目噪声污染源分析</w:t>
      </w:r>
    </w:p>
    <w:p w14:paraId="23ED77FC">
      <w:pPr>
        <w:pStyle w:val="5"/>
        <w:ind w:firstLine="480"/>
        <w:rPr>
          <w:rFonts w:hint="eastAsia"/>
          <w:color w:val="auto"/>
          <w:highlight w:val="none"/>
          <w:u w:val="none"/>
        </w:rPr>
      </w:pPr>
      <w:r>
        <w:rPr>
          <w:rFonts w:hint="eastAsia"/>
          <w:color w:val="auto"/>
          <w:highlight w:val="none"/>
          <w:u w:val="none"/>
        </w:rPr>
        <w:t>根据工程分析，本次技改扩能新增的噪声污染源主要来自于生产装置中的水泵、物料泵、高压泵等各种泵类，以及搅拌器、干燥机等，其噪声级为80~85dB（A）。本次技改新增主要设备噪声产生排放情况见</w:t>
      </w:r>
      <w:r>
        <w:rPr>
          <w:rFonts w:hint="eastAsia"/>
          <w:color w:val="auto"/>
          <w:highlight w:val="none"/>
          <w:u w:val="none"/>
        </w:rPr>
        <w:fldChar w:fldCharType="begin"/>
      </w:r>
      <w:r>
        <w:rPr>
          <w:rFonts w:hint="eastAsia"/>
          <w:color w:val="auto"/>
          <w:highlight w:val="none"/>
          <w:u w:val="none"/>
        </w:rPr>
        <w:instrText xml:space="preserve"> REF _Ref188022362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8.4</w:t>
      </w:r>
      <w:r>
        <w:rPr>
          <w:color w:val="auto"/>
          <w:highlight w:val="none"/>
          <w:u w:val="none"/>
        </w:rPr>
        <w:fldChar w:fldCharType="end"/>
      </w:r>
      <w:r>
        <w:rPr>
          <w:color w:val="auto"/>
          <w:highlight w:val="none"/>
          <w:u w:val="none"/>
        </w:rPr>
        <w:noBreakHyphen/>
      </w:r>
      <w:r>
        <w:rPr>
          <w:color w:val="auto"/>
          <w:highlight w:val="none"/>
          <w:u w:val="none"/>
        </w:rPr>
        <w:t>1</w:t>
      </w:r>
      <w:r>
        <w:rPr>
          <w:rFonts w:hint="eastAsia"/>
          <w:color w:val="auto"/>
          <w:highlight w:val="none"/>
          <w:u w:val="none"/>
        </w:rPr>
        <w:fldChar w:fldCharType="end"/>
      </w:r>
      <w:r>
        <w:rPr>
          <w:rFonts w:hint="eastAsia"/>
          <w:color w:val="auto"/>
          <w:highlight w:val="none"/>
          <w:u w:val="none"/>
        </w:rPr>
        <w:t>。</w:t>
      </w:r>
    </w:p>
    <w:p w14:paraId="6820C9D9">
      <w:pPr>
        <w:pStyle w:val="476"/>
        <w:rPr>
          <w:color w:val="auto"/>
          <w:highlight w:val="none"/>
          <w:u w:val="none"/>
        </w:rPr>
      </w:pPr>
      <w:bookmarkStart w:id="527" w:name="_Ref188022362"/>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527"/>
      <w:r>
        <w:rPr>
          <w:color w:val="auto"/>
          <w:highlight w:val="none"/>
          <w:u w:val="none"/>
        </w:rPr>
        <w:t xml:space="preserve">  </w:t>
      </w:r>
      <w:r>
        <w:rPr>
          <w:rFonts w:hint="eastAsia"/>
          <w:color w:val="auto"/>
          <w:highlight w:val="none"/>
          <w:u w:val="none"/>
        </w:rPr>
        <w:t>本次技改扩能新增主要设备噪声排放一览表</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1151"/>
        <w:gridCol w:w="923"/>
        <w:gridCol w:w="695"/>
        <w:gridCol w:w="579"/>
        <w:gridCol w:w="579"/>
        <w:gridCol w:w="522"/>
        <w:gridCol w:w="1151"/>
        <w:gridCol w:w="1839"/>
        <w:gridCol w:w="1152"/>
      </w:tblGrid>
      <w:tr w14:paraId="279FA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vMerge w:val="restart"/>
            <w:vAlign w:val="center"/>
          </w:tcPr>
          <w:p w14:paraId="4CEC78BA">
            <w:pPr>
              <w:pStyle w:val="92"/>
              <w:rPr>
                <w:color w:val="auto"/>
                <w:highlight w:val="none"/>
                <w:u w:val="none"/>
              </w:rPr>
            </w:pPr>
            <w:r>
              <w:rPr>
                <w:color w:val="auto"/>
                <w:highlight w:val="none"/>
                <w:u w:val="none"/>
                <w:lang w:bidi="ar"/>
              </w:rPr>
              <w:t>序号</w:t>
            </w:r>
          </w:p>
        </w:tc>
        <w:tc>
          <w:tcPr>
            <w:tcW w:w="620" w:type="pct"/>
            <w:vMerge w:val="restart"/>
            <w:vAlign w:val="center"/>
          </w:tcPr>
          <w:p w14:paraId="26E04AD1">
            <w:pPr>
              <w:pStyle w:val="92"/>
              <w:rPr>
                <w:color w:val="auto"/>
                <w:highlight w:val="none"/>
                <w:u w:val="none"/>
                <w:lang w:bidi="ar"/>
              </w:rPr>
            </w:pPr>
            <w:r>
              <w:rPr>
                <w:color w:val="auto"/>
                <w:highlight w:val="none"/>
                <w:u w:val="none"/>
                <w:lang w:bidi="ar"/>
              </w:rPr>
              <w:t>装置</w:t>
            </w:r>
          </w:p>
          <w:p w14:paraId="05A30633">
            <w:pPr>
              <w:pStyle w:val="92"/>
              <w:rPr>
                <w:color w:val="auto"/>
                <w:highlight w:val="none"/>
                <w:u w:val="none"/>
              </w:rPr>
            </w:pPr>
            <w:r>
              <w:rPr>
                <w:color w:val="auto"/>
                <w:highlight w:val="none"/>
                <w:u w:val="none"/>
                <w:lang w:bidi="ar"/>
              </w:rPr>
              <w:t>位置</w:t>
            </w:r>
          </w:p>
        </w:tc>
        <w:tc>
          <w:tcPr>
            <w:tcW w:w="497" w:type="pct"/>
            <w:vMerge w:val="restart"/>
            <w:vAlign w:val="center"/>
          </w:tcPr>
          <w:p w14:paraId="5A3196F0">
            <w:pPr>
              <w:pStyle w:val="92"/>
              <w:rPr>
                <w:color w:val="auto"/>
                <w:highlight w:val="none"/>
                <w:u w:val="none"/>
                <w:lang w:bidi="ar"/>
              </w:rPr>
            </w:pPr>
            <w:r>
              <w:rPr>
                <w:color w:val="auto"/>
                <w:highlight w:val="none"/>
                <w:u w:val="none"/>
                <w:lang w:bidi="ar"/>
              </w:rPr>
              <w:t>噪声源</w:t>
            </w:r>
          </w:p>
          <w:p w14:paraId="3B7848CF">
            <w:pPr>
              <w:pStyle w:val="92"/>
              <w:rPr>
                <w:color w:val="auto"/>
                <w:highlight w:val="none"/>
                <w:u w:val="none"/>
              </w:rPr>
            </w:pPr>
            <w:r>
              <w:rPr>
                <w:color w:val="auto"/>
                <w:highlight w:val="none"/>
                <w:u w:val="none"/>
                <w:lang w:bidi="ar"/>
              </w:rPr>
              <w:t>名称</w:t>
            </w:r>
          </w:p>
        </w:tc>
        <w:tc>
          <w:tcPr>
            <w:tcW w:w="374" w:type="pct"/>
            <w:vMerge w:val="restart"/>
            <w:vAlign w:val="center"/>
          </w:tcPr>
          <w:p w14:paraId="108DFBF4">
            <w:pPr>
              <w:pStyle w:val="92"/>
              <w:rPr>
                <w:color w:val="auto"/>
                <w:highlight w:val="none"/>
                <w:u w:val="none"/>
              </w:rPr>
            </w:pPr>
            <w:r>
              <w:rPr>
                <w:rFonts w:hint="eastAsia"/>
                <w:color w:val="auto"/>
                <w:highlight w:val="none"/>
                <w:u w:val="none"/>
                <w:lang w:bidi="ar"/>
              </w:rPr>
              <w:t>数量</w:t>
            </w:r>
          </w:p>
        </w:tc>
        <w:tc>
          <w:tcPr>
            <w:tcW w:w="905" w:type="pct"/>
            <w:gridSpan w:val="3"/>
            <w:vAlign w:val="center"/>
          </w:tcPr>
          <w:p w14:paraId="32076F72">
            <w:pPr>
              <w:pStyle w:val="92"/>
              <w:rPr>
                <w:color w:val="auto"/>
                <w:highlight w:val="none"/>
                <w:u w:val="none"/>
              </w:rPr>
            </w:pPr>
            <w:r>
              <w:rPr>
                <w:color w:val="auto"/>
                <w:highlight w:val="none"/>
                <w:u w:val="none"/>
                <w:lang w:bidi="ar"/>
              </w:rPr>
              <w:t>位置坐标</w:t>
            </w:r>
          </w:p>
        </w:tc>
        <w:tc>
          <w:tcPr>
            <w:tcW w:w="620" w:type="pct"/>
            <w:vMerge w:val="restart"/>
            <w:vAlign w:val="center"/>
          </w:tcPr>
          <w:p w14:paraId="624B3DE8">
            <w:pPr>
              <w:pStyle w:val="92"/>
              <w:rPr>
                <w:color w:val="auto"/>
                <w:highlight w:val="none"/>
                <w:u w:val="none"/>
              </w:rPr>
            </w:pPr>
            <w:r>
              <w:rPr>
                <w:color w:val="auto"/>
                <w:highlight w:val="none"/>
                <w:u w:val="none"/>
                <w:lang w:bidi="ar"/>
              </w:rPr>
              <w:t>声源源强</w:t>
            </w:r>
          </w:p>
          <w:p w14:paraId="7B92D0C8">
            <w:pPr>
              <w:pStyle w:val="92"/>
              <w:rPr>
                <w:color w:val="auto"/>
                <w:highlight w:val="none"/>
                <w:u w:val="none"/>
              </w:rPr>
            </w:pPr>
            <w:r>
              <w:rPr>
                <w:color w:val="auto"/>
                <w:highlight w:val="none"/>
                <w:u w:val="none"/>
                <w:lang w:bidi="ar"/>
              </w:rPr>
              <w:t>/dB(A)</w:t>
            </w:r>
          </w:p>
        </w:tc>
        <w:tc>
          <w:tcPr>
            <w:tcW w:w="990" w:type="pct"/>
            <w:vMerge w:val="restart"/>
            <w:vAlign w:val="center"/>
          </w:tcPr>
          <w:p w14:paraId="4A609140">
            <w:pPr>
              <w:pStyle w:val="92"/>
              <w:rPr>
                <w:color w:val="auto"/>
                <w:highlight w:val="none"/>
                <w:u w:val="none"/>
              </w:rPr>
            </w:pPr>
            <w:r>
              <w:rPr>
                <w:color w:val="auto"/>
                <w:highlight w:val="none"/>
                <w:u w:val="none"/>
                <w:lang w:bidi="ar"/>
              </w:rPr>
              <w:t>声源控制措施</w:t>
            </w:r>
          </w:p>
        </w:tc>
        <w:tc>
          <w:tcPr>
            <w:tcW w:w="620" w:type="pct"/>
            <w:vMerge w:val="restart"/>
            <w:vAlign w:val="center"/>
          </w:tcPr>
          <w:p w14:paraId="75B1232E">
            <w:pPr>
              <w:pStyle w:val="92"/>
              <w:rPr>
                <w:color w:val="auto"/>
                <w:highlight w:val="none"/>
                <w:u w:val="none"/>
              </w:rPr>
            </w:pPr>
            <w:r>
              <w:rPr>
                <w:color w:val="auto"/>
                <w:highlight w:val="none"/>
                <w:u w:val="none"/>
                <w:lang w:bidi="ar"/>
              </w:rPr>
              <w:t>运行时段</w:t>
            </w:r>
          </w:p>
        </w:tc>
      </w:tr>
      <w:tr w14:paraId="15545C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vMerge w:val="continue"/>
            <w:vAlign w:val="center"/>
          </w:tcPr>
          <w:p w14:paraId="31F948A6">
            <w:pPr>
              <w:pStyle w:val="92"/>
              <w:rPr>
                <w:color w:val="auto"/>
                <w:highlight w:val="none"/>
                <w:u w:val="none"/>
              </w:rPr>
            </w:pPr>
          </w:p>
        </w:tc>
        <w:tc>
          <w:tcPr>
            <w:tcW w:w="620" w:type="pct"/>
            <w:vMerge w:val="continue"/>
            <w:vAlign w:val="center"/>
          </w:tcPr>
          <w:p w14:paraId="4364D794">
            <w:pPr>
              <w:pStyle w:val="92"/>
              <w:rPr>
                <w:color w:val="auto"/>
                <w:highlight w:val="none"/>
                <w:u w:val="none"/>
              </w:rPr>
            </w:pPr>
          </w:p>
        </w:tc>
        <w:tc>
          <w:tcPr>
            <w:tcW w:w="497" w:type="pct"/>
            <w:vMerge w:val="continue"/>
            <w:vAlign w:val="center"/>
          </w:tcPr>
          <w:p w14:paraId="0EAF295A">
            <w:pPr>
              <w:pStyle w:val="92"/>
              <w:rPr>
                <w:color w:val="auto"/>
                <w:highlight w:val="none"/>
                <w:u w:val="none"/>
              </w:rPr>
            </w:pPr>
          </w:p>
        </w:tc>
        <w:tc>
          <w:tcPr>
            <w:tcW w:w="374" w:type="pct"/>
            <w:vMerge w:val="continue"/>
            <w:vAlign w:val="center"/>
          </w:tcPr>
          <w:p w14:paraId="70D21A57">
            <w:pPr>
              <w:pStyle w:val="92"/>
              <w:rPr>
                <w:color w:val="auto"/>
                <w:highlight w:val="none"/>
                <w:u w:val="none"/>
              </w:rPr>
            </w:pPr>
          </w:p>
        </w:tc>
        <w:tc>
          <w:tcPr>
            <w:tcW w:w="312" w:type="pct"/>
            <w:vAlign w:val="center"/>
          </w:tcPr>
          <w:p w14:paraId="474961BC">
            <w:pPr>
              <w:pStyle w:val="92"/>
              <w:rPr>
                <w:color w:val="auto"/>
                <w:highlight w:val="none"/>
                <w:u w:val="none"/>
              </w:rPr>
            </w:pPr>
            <w:r>
              <w:rPr>
                <w:color w:val="auto"/>
                <w:highlight w:val="none"/>
                <w:u w:val="none"/>
                <w:lang w:bidi="ar"/>
              </w:rPr>
              <w:t>X</w:t>
            </w:r>
          </w:p>
        </w:tc>
        <w:tc>
          <w:tcPr>
            <w:tcW w:w="312" w:type="pct"/>
            <w:vAlign w:val="center"/>
          </w:tcPr>
          <w:p w14:paraId="653732F3">
            <w:pPr>
              <w:pStyle w:val="92"/>
              <w:rPr>
                <w:color w:val="auto"/>
                <w:highlight w:val="none"/>
                <w:u w:val="none"/>
              </w:rPr>
            </w:pPr>
            <w:r>
              <w:rPr>
                <w:color w:val="auto"/>
                <w:highlight w:val="none"/>
                <w:u w:val="none"/>
                <w:lang w:bidi="ar"/>
              </w:rPr>
              <w:t>Y</w:t>
            </w:r>
          </w:p>
        </w:tc>
        <w:tc>
          <w:tcPr>
            <w:tcW w:w="281" w:type="pct"/>
            <w:vAlign w:val="center"/>
          </w:tcPr>
          <w:p w14:paraId="11AA8353">
            <w:pPr>
              <w:pStyle w:val="92"/>
              <w:rPr>
                <w:color w:val="auto"/>
                <w:highlight w:val="none"/>
                <w:u w:val="none"/>
              </w:rPr>
            </w:pPr>
            <w:r>
              <w:rPr>
                <w:color w:val="auto"/>
                <w:highlight w:val="none"/>
                <w:u w:val="none"/>
                <w:lang w:bidi="ar"/>
              </w:rPr>
              <w:t>Z</w:t>
            </w:r>
          </w:p>
        </w:tc>
        <w:tc>
          <w:tcPr>
            <w:tcW w:w="620" w:type="pct"/>
            <w:vMerge w:val="continue"/>
            <w:vAlign w:val="center"/>
          </w:tcPr>
          <w:p w14:paraId="557CC1F8">
            <w:pPr>
              <w:pStyle w:val="92"/>
              <w:rPr>
                <w:color w:val="auto"/>
                <w:highlight w:val="none"/>
                <w:u w:val="none"/>
              </w:rPr>
            </w:pPr>
          </w:p>
        </w:tc>
        <w:tc>
          <w:tcPr>
            <w:tcW w:w="990" w:type="pct"/>
            <w:vMerge w:val="continue"/>
            <w:vAlign w:val="center"/>
          </w:tcPr>
          <w:p w14:paraId="2E2A377D">
            <w:pPr>
              <w:pStyle w:val="92"/>
              <w:rPr>
                <w:color w:val="auto"/>
                <w:highlight w:val="none"/>
                <w:u w:val="none"/>
              </w:rPr>
            </w:pPr>
          </w:p>
        </w:tc>
        <w:tc>
          <w:tcPr>
            <w:tcW w:w="620" w:type="pct"/>
            <w:vMerge w:val="continue"/>
            <w:vAlign w:val="center"/>
          </w:tcPr>
          <w:p w14:paraId="249F7B92">
            <w:pPr>
              <w:pStyle w:val="92"/>
              <w:rPr>
                <w:color w:val="auto"/>
                <w:highlight w:val="none"/>
                <w:u w:val="none"/>
              </w:rPr>
            </w:pPr>
          </w:p>
        </w:tc>
      </w:tr>
      <w:tr w14:paraId="65DA56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6071E54D">
            <w:pPr>
              <w:pStyle w:val="92"/>
              <w:rPr>
                <w:color w:val="auto"/>
                <w:highlight w:val="none"/>
                <w:u w:val="none"/>
              </w:rPr>
            </w:pPr>
            <w:r>
              <w:rPr>
                <w:rFonts w:hint="eastAsia"/>
                <w:color w:val="auto"/>
                <w:highlight w:val="none"/>
                <w:u w:val="none"/>
              </w:rPr>
              <w:t>1</w:t>
            </w:r>
          </w:p>
        </w:tc>
        <w:tc>
          <w:tcPr>
            <w:tcW w:w="620" w:type="pct"/>
            <w:vMerge w:val="restart"/>
            <w:noWrap/>
            <w:vAlign w:val="center"/>
          </w:tcPr>
          <w:p w14:paraId="0C7694E4">
            <w:pPr>
              <w:pStyle w:val="92"/>
              <w:rPr>
                <w:color w:val="auto"/>
                <w:highlight w:val="none"/>
                <w:u w:val="none"/>
              </w:rPr>
            </w:pPr>
            <w:r>
              <w:rPr>
                <w:rFonts w:hint="eastAsia"/>
                <w:color w:val="auto"/>
                <w:highlight w:val="none"/>
                <w:u w:val="none"/>
              </w:rPr>
              <w:t>硝化单元</w:t>
            </w:r>
          </w:p>
        </w:tc>
        <w:tc>
          <w:tcPr>
            <w:tcW w:w="497" w:type="pct"/>
            <w:noWrap/>
            <w:vAlign w:val="center"/>
          </w:tcPr>
          <w:p w14:paraId="3C3AA11B">
            <w:pPr>
              <w:pStyle w:val="92"/>
              <w:rPr>
                <w:color w:val="auto"/>
                <w:highlight w:val="none"/>
                <w:u w:val="none"/>
              </w:rPr>
            </w:pPr>
            <w:r>
              <w:rPr>
                <w:rFonts w:hint="eastAsia"/>
                <w:color w:val="auto"/>
                <w:highlight w:val="none"/>
                <w:u w:val="none"/>
              </w:rPr>
              <w:t>反应器</w:t>
            </w:r>
          </w:p>
        </w:tc>
        <w:tc>
          <w:tcPr>
            <w:tcW w:w="374" w:type="pct"/>
            <w:noWrap/>
            <w:vAlign w:val="center"/>
          </w:tcPr>
          <w:p w14:paraId="30435E14">
            <w:pPr>
              <w:pStyle w:val="92"/>
              <w:rPr>
                <w:color w:val="auto"/>
                <w:highlight w:val="none"/>
                <w:u w:val="none"/>
              </w:rPr>
            </w:pPr>
            <w:r>
              <w:rPr>
                <w:rFonts w:hint="eastAsia"/>
                <w:color w:val="auto"/>
                <w:highlight w:val="none"/>
                <w:u w:val="none"/>
              </w:rPr>
              <w:t>5</w:t>
            </w:r>
          </w:p>
        </w:tc>
        <w:tc>
          <w:tcPr>
            <w:tcW w:w="312" w:type="pct"/>
            <w:noWrap/>
            <w:vAlign w:val="center"/>
          </w:tcPr>
          <w:p w14:paraId="237CF3DE">
            <w:pPr>
              <w:pStyle w:val="92"/>
              <w:rPr>
                <w:color w:val="auto"/>
                <w:highlight w:val="none"/>
                <w:u w:val="none"/>
              </w:rPr>
            </w:pPr>
            <w:r>
              <w:rPr>
                <w:rFonts w:hint="eastAsia"/>
                <w:color w:val="auto"/>
                <w:highlight w:val="none"/>
                <w:u w:val="none"/>
              </w:rPr>
              <w:t>125</w:t>
            </w:r>
          </w:p>
        </w:tc>
        <w:tc>
          <w:tcPr>
            <w:tcW w:w="312" w:type="pct"/>
            <w:noWrap/>
            <w:vAlign w:val="center"/>
          </w:tcPr>
          <w:p w14:paraId="0BA453E2">
            <w:pPr>
              <w:pStyle w:val="92"/>
              <w:rPr>
                <w:color w:val="auto"/>
                <w:highlight w:val="none"/>
                <w:u w:val="none"/>
              </w:rPr>
            </w:pPr>
            <w:r>
              <w:rPr>
                <w:rFonts w:hint="eastAsia"/>
                <w:color w:val="auto"/>
                <w:highlight w:val="none"/>
                <w:u w:val="none"/>
              </w:rPr>
              <w:t>116</w:t>
            </w:r>
          </w:p>
        </w:tc>
        <w:tc>
          <w:tcPr>
            <w:tcW w:w="281" w:type="pct"/>
            <w:noWrap/>
            <w:vAlign w:val="center"/>
          </w:tcPr>
          <w:p w14:paraId="3A32BC79">
            <w:pPr>
              <w:pStyle w:val="92"/>
              <w:rPr>
                <w:color w:val="auto"/>
                <w:highlight w:val="none"/>
                <w:u w:val="none"/>
              </w:rPr>
            </w:pPr>
            <w:r>
              <w:rPr>
                <w:rFonts w:hint="eastAsia"/>
                <w:color w:val="auto"/>
                <w:highlight w:val="none"/>
                <w:u w:val="none"/>
              </w:rPr>
              <w:t>1.2</w:t>
            </w:r>
          </w:p>
        </w:tc>
        <w:tc>
          <w:tcPr>
            <w:tcW w:w="620" w:type="pct"/>
            <w:noWrap/>
            <w:vAlign w:val="center"/>
          </w:tcPr>
          <w:p w14:paraId="477550B6">
            <w:pPr>
              <w:pStyle w:val="92"/>
              <w:rPr>
                <w:color w:val="auto"/>
                <w:highlight w:val="none"/>
                <w:u w:val="none"/>
              </w:rPr>
            </w:pPr>
            <w:r>
              <w:rPr>
                <w:rFonts w:hint="eastAsia"/>
                <w:color w:val="auto"/>
                <w:highlight w:val="none"/>
                <w:u w:val="none"/>
              </w:rPr>
              <w:t>80</w:t>
            </w:r>
          </w:p>
        </w:tc>
        <w:tc>
          <w:tcPr>
            <w:tcW w:w="990" w:type="pct"/>
            <w:vMerge w:val="restart"/>
            <w:noWrap/>
            <w:vAlign w:val="center"/>
          </w:tcPr>
          <w:p w14:paraId="7AA63F63">
            <w:pPr>
              <w:pStyle w:val="92"/>
              <w:rPr>
                <w:rFonts w:ascii="宋体" w:cs="宋体"/>
                <w:color w:val="auto"/>
                <w:highlight w:val="none"/>
                <w:u w:val="none"/>
              </w:rPr>
            </w:pPr>
            <w:r>
              <w:rPr>
                <w:rFonts w:hint="eastAsia" w:ascii="宋体" w:cs="宋体"/>
                <w:color w:val="auto"/>
                <w:highlight w:val="none"/>
                <w:u w:val="none"/>
              </w:rPr>
              <w:t>室外基础减振。</w:t>
            </w:r>
          </w:p>
          <w:p w14:paraId="56DAC109">
            <w:pPr>
              <w:pStyle w:val="92"/>
              <w:rPr>
                <w:rFonts w:hint="eastAsia" w:ascii="宋体" w:hAnsi="宋体" w:cs="宋体"/>
                <w:color w:val="auto"/>
                <w:kern w:val="0"/>
                <w:highlight w:val="none"/>
                <w:u w:val="none"/>
              </w:rPr>
            </w:pPr>
            <w:r>
              <w:rPr>
                <w:rFonts w:hint="eastAsia" w:ascii="宋体" w:cs="宋体"/>
                <w:color w:val="auto"/>
                <w:highlight w:val="none"/>
                <w:u w:val="none"/>
              </w:rPr>
              <w:t>整体</w:t>
            </w:r>
            <w:r>
              <w:rPr>
                <w:rFonts w:hint="eastAsia" w:ascii="宋体" w:hAnsi="宋体" w:cs="宋体"/>
                <w:color w:val="auto"/>
                <w:kern w:val="0"/>
                <w:highlight w:val="none"/>
                <w:u w:val="none"/>
              </w:rPr>
              <w:t>降噪量</w:t>
            </w:r>
          </w:p>
          <w:p w14:paraId="212C4AB7">
            <w:pPr>
              <w:pStyle w:val="92"/>
              <w:rPr>
                <w:rFonts w:ascii="宋体" w:cs="宋体"/>
                <w:color w:val="auto"/>
                <w:highlight w:val="none"/>
                <w:u w:val="none"/>
              </w:rPr>
            </w:pPr>
            <w:r>
              <w:rPr>
                <w:color w:val="auto"/>
                <w:kern w:val="0"/>
                <w:highlight w:val="none"/>
                <w:u w:val="none"/>
              </w:rPr>
              <w:t>≥5dB(A)</w:t>
            </w:r>
          </w:p>
        </w:tc>
        <w:tc>
          <w:tcPr>
            <w:tcW w:w="620" w:type="pct"/>
            <w:noWrap/>
            <w:vAlign w:val="center"/>
          </w:tcPr>
          <w:p w14:paraId="3B3B1D28">
            <w:pPr>
              <w:pStyle w:val="92"/>
              <w:rPr>
                <w:color w:val="auto"/>
                <w:highlight w:val="none"/>
                <w:u w:val="none"/>
              </w:rPr>
            </w:pPr>
            <w:r>
              <w:rPr>
                <w:color w:val="auto"/>
                <w:highlight w:val="none"/>
                <w:u w:val="none"/>
                <w:lang w:bidi="ar"/>
              </w:rPr>
              <w:t>24h</w:t>
            </w:r>
          </w:p>
        </w:tc>
      </w:tr>
      <w:tr w14:paraId="52566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043E1D8D">
            <w:pPr>
              <w:pStyle w:val="92"/>
              <w:rPr>
                <w:color w:val="auto"/>
                <w:highlight w:val="none"/>
                <w:u w:val="none"/>
              </w:rPr>
            </w:pPr>
            <w:r>
              <w:rPr>
                <w:rFonts w:hint="eastAsia"/>
                <w:color w:val="auto"/>
                <w:highlight w:val="none"/>
                <w:u w:val="none"/>
              </w:rPr>
              <w:t>2</w:t>
            </w:r>
          </w:p>
        </w:tc>
        <w:tc>
          <w:tcPr>
            <w:tcW w:w="620" w:type="pct"/>
            <w:vMerge w:val="continue"/>
            <w:noWrap/>
            <w:vAlign w:val="center"/>
          </w:tcPr>
          <w:p w14:paraId="5E0066FD">
            <w:pPr>
              <w:pStyle w:val="92"/>
              <w:rPr>
                <w:color w:val="auto"/>
                <w:highlight w:val="none"/>
                <w:u w:val="none"/>
              </w:rPr>
            </w:pPr>
          </w:p>
        </w:tc>
        <w:tc>
          <w:tcPr>
            <w:tcW w:w="497" w:type="pct"/>
            <w:noWrap/>
            <w:vAlign w:val="center"/>
          </w:tcPr>
          <w:p w14:paraId="507BDDA9">
            <w:pPr>
              <w:pStyle w:val="92"/>
              <w:rPr>
                <w:color w:val="auto"/>
                <w:highlight w:val="none"/>
                <w:u w:val="none"/>
              </w:rPr>
            </w:pPr>
            <w:r>
              <w:rPr>
                <w:rFonts w:hint="eastAsia"/>
                <w:color w:val="auto"/>
                <w:highlight w:val="none"/>
                <w:u w:val="none"/>
              </w:rPr>
              <w:t>机泵</w:t>
            </w:r>
          </w:p>
        </w:tc>
        <w:tc>
          <w:tcPr>
            <w:tcW w:w="374" w:type="pct"/>
            <w:noWrap/>
            <w:vAlign w:val="center"/>
          </w:tcPr>
          <w:p w14:paraId="3AF38FDC">
            <w:pPr>
              <w:pStyle w:val="92"/>
              <w:rPr>
                <w:color w:val="auto"/>
                <w:highlight w:val="none"/>
                <w:u w:val="none"/>
              </w:rPr>
            </w:pPr>
            <w:r>
              <w:rPr>
                <w:rFonts w:hint="eastAsia"/>
                <w:color w:val="auto"/>
                <w:highlight w:val="none"/>
                <w:u w:val="none"/>
              </w:rPr>
              <w:t>8</w:t>
            </w:r>
          </w:p>
        </w:tc>
        <w:tc>
          <w:tcPr>
            <w:tcW w:w="312" w:type="pct"/>
            <w:noWrap/>
            <w:vAlign w:val="center"/>
          </w:tcPr>
          <w:p w14:paraId="2CE2C13E">
            <w:pPr>
              <w:pStyle w:val="92"/>
              <w:rPr>
                <w:color w:val="auto"/>
                <w:highlight w:val="none"/>
                <w:u w:val="none"/>
              </w:rPr>
            </w:pPr>
            <w:r>
              <w:rPr>
                <w:rFonts w:hint="eastAsia"/>
                <w:color w:val="auto"/>
                <w:highlight w:val="none"/>
                <w:u w:val="none"/>
              </w:rPr>
              <w:t>125</w:t>
            </w:r>
          </w:p>
        </w:tc>
        <w:tc>
          <w:tcPr>
            <w:tcW w:w="312" w:type="pct"/>
            <w:noWrap/>
            <w:vAlign w:val="center"/>
          </w:tcPr>
          <w:p w14:paraId="121C2498">
            <w:pPr>
              <w:pStyle w:val="92"/>
              <w:rPr>
                <w:color w:val="auto"/>
                <w:highlight w:val="none"/>
                <w:u w:val="none"/>
              </w:rPr>
            </w:pPr>
            <w:r>
              <w:rPr>
                <w:rFonts w:hint="eastAsia"/>
                <w:color w:val="auto"/>
                <w:highlight w:val="none"/>
                <w:u w:val="none"/>
              </w:rPr>
              <w:t>101</w:t>
            </w:r>
          </w:p>
        </w:tc>
        <w:tc>
          <w:tcPr>
            <w:tcW w:w="281" w:type="pct"/>
            <w:noWrap/>
          </w:tcPr>
          <w:p w14:paraId="5CB4901E">
            <w:pPr>
              <w:pStyle w:val="92"/>
              <w:rPr>
                <w:color w:val="auto"/>
                <w:highlight w:val="none"/>
                <w:u w:val="none"/>
              </w:rPr>
            </w:pPr>
            <w:r>
              <w:rPr>
                <w:rFonts w:hint="eastAsia"/>
                <w:color w:val="auto"/>
                <w:highlight w:val="none"/>
                <w:u w:val="none"/>
              </w:rPr>
              <w:t>1.2</w:t>
            </w:r>
          </w:p>
        </w:tc>
        <w:tc>
          <w:tcPr>
            <w:tcW w:w="620" w:type="pct"/>
            <w:noWrap/>
            <w:vAlign w:val="center"/>
          </w:tcPr>
          <w:p w14:paraId="1609B1E2">
            <w:pPr>
              <w:pStyle w:val="92"/>
              <w:rPr>
                <w:color w:val="auto"/>
                <w:highlight w:val="none"/>
                <w:u w:val="none"/>
              </w:rPr>
            </w:pPr>
            <w:r>
              <w:rPr>
                <w:rFonts w:hint="eastAsia"/>
                <w:color w:val="auto"/>
                <w:highlight w:val="none"/>
                <w:u w:val="none"/>
              </w:rPr>
              <w:t>85</w:t>
            </w:r>
          </w:p>
        </w:tc>
        <w:tc>
          <w:tcPr>
            <w:tcW w:w="990" w:type="pct"/>
            <w:vMerge w:val="continue"/>
            <w:noWrap/>
            <w:vAlign w:val="center"/>
          </w:tcPr>
          <w:p w14:paraId="0CF9DC8F">
            <w:pPr>
              <w:pStyle w:val="92"/>
              <w:rPr>
                <w:color w:val="auto"/>
                <w:highlight w:val="none"/>
                <w:u w:val="none"/>
              </w:rPr>
            </w:pPr>
          </w:p>
        </w:tc>
        <w:tc>
          <w:tcPr>
            <w:tcW w:w="620" w:type="pct"/>
            <w:noWrap/>
            <w:vAlign w:val="center"/>
          </w:tcPr>
          <w:p w14:paraId="688F08ED">
            <w:pPr>
              <w:pStyle w:val="92"/>
              <w:rPr>
                <w:color w:val="auto"/>
                <w:highlight w:val="none"/>
                <w:u w:val="none"/>
              </w:rPr>
            </w:pPr>
            <w:r>
              <w:rPr>
                <w:color w:val="auto"/>
                <w:highlight w:val="none"/>
                <w:u w:val="none"/>
                <w:lang w:bidi="ar"/>
              </w:rPr>
              <w:t>24h</w:t>
            </w:r>
          </w:p>
        </w:tc>
      </w:tr>
      <w:tr w14:paraId="377206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57E1BF04">
            <w:pPr>
              <w:pStyle w:val="92"/>
              <w:rPr>
                <w:color w:val="auto"/>
                <w:highlight w:val="none"/>
                <w:u w:val="none"/>
              </w:rPr>
            </w:pPr>
            <w:r>
              <w:rPr>
                <w:rFonts w:hint="eastAsia"/>
                <w:color w:val="auto"/>
                <w:highlight w:val="none"/>
                <w:u w:val="none"/>
              </w:rPr>
              <w:t>3</w:t>
            </w:r>
          </w:p>
        </w:tc>
        <w:tc>
          <w:tcPr>
            <w:tcW w:w="620" w:type="pct"/>
            <w:vMerge w:val="continue"/>
            <w:noWrap/>
            <w:vAlign w:val="center"/>
          </w:tcPr>
          <w:p w14:paraId="0A69DA91">
            <w:pPr>
              <w:pStyle w:val="92"/>
              <w:rPr>
                <w:color w:val="auto"/>
                <w:highlight w:val="none"/>
                <w:u w:val="none"/>
              </w:rPr>
            </w:pPr>
          </w:p>
        </w:tc>
        <w:tc>
          <w:tcPr>
            <w:tcW w:w="497" w:type="pct"/>
            <w:noWrap/>
            <w:vAlign w:val="center"/>
          </w:tcPr>
          <w:p w14:paraId="19F2A58D">
            <w:pPr>
              <w:pStyle w:val="92"/>
              <w:rPr>
                <w:color w:val="auto"/>
                <w:highlight w:val="none"/>
                <w:u w:val="none"/>
              </w:rPr>
            </w:pPr>
            <w:r>
              <w:rPr>
                <w:rFonts w:hint="eastAsia"/>
                <w:color w:val="auto"/>
                <w:highlight w:val="none"/>
                <w:u w:val="none"/>
              </w:rPr>
              <w:t>机组</w:t>
            </w:r>
          </w:p>
        </w:tc>
        <w:tc>
          <w:tcPr>
            <w:tcW w:w="374" w:type="pct"/>
            <w:noWrap/>
            <w:vAlign w:val="center"/>
          </w:tcPr>
          <w:p w14:paraId="0CC5C088">
            <w:pPr>
              <w:pStyle w:val="92"/>
              <w:rPr>
                <w:color w:val="auto"/>
                <w:highlight w:val="none"/>
                <w:u w:val="none"/>
              </w:rPr>
            </w:pPr>
            <w:r>
              <w:rPr>
                <w:rFonts w:hint="eastAsia"/>
                <w:color w:val="auto"/>
                <w:highlight w:val="none"/>
                <w:u w:val="none"/>
              </w:rPr>
              <w:t>10</w:t>
            </w:r>
          </w:p>
        </w:tc>
        <w:tc>
          <w:tcPr>
            <w:tcW w:w="312" w:type="pct"/>
            <w:noWrap/>
            <w:vAlign w:val="center"/>
          </w:tcPr>
          <w:p w14:paraId="1977DEA0">
            <w:pPr>
              <w:pStyle w:val="92"/>
              <w:rPr>
                <w:color w:val="auto"/>
                <w:highlight w:val="none"/>
                <w:u w:val="none"/>
              </w:rPr>
            </w:pPr>
            <w:r>
              <w:rPr>
                <w:rFonts w:hint="eastAsia"/>
                <w:color w:val="auto"/>
                <w:highlight w:val="none"/>
                <w:u w:val="none"/>
              </w:rPr>
              <w:t>166</w:t>
            </w:r>
          </w:p>
        </w:tc>
        <w:tc>
          <w:tcPr>
            <w:tcW w:w="312" w:type="pct"/>
            <w:noWrap/>
            <w:vAlign w:val="center"/>
          </w:tcPr>
          <w:p w14:paraId="26A462F7">
            <w:pPr>
              <w:pStyle w:val="92"/>
              <w:rPr>
                <w:color w:val="auto"/>
                <w:highlight w:val="none"/>
                <w:u w:val="none"/>
              </w:rPr>
            </w:pPr>
            <w:r>
              <w:rPr>
                <w:rFonts w:hint="eastAsia"/>
                <w:color w:val="auto"/>
                <w:highlight w:val="none"/>
                <w:u w:val="none"/>
              </w:rPr>
              <w:t>106</w:t>
            </w:r>
          </w:p>
        </w:tc>
        <w:tc>
          <w:tcPr>
            <w:tcW w:w="281" w:type="pct"/>
            <w:noWrap/>
          </w:tcPr>
          <w:p w14:paraId="0B75521C">
            <w:pPr>
              <w:pStyle w:val="92"/>
              <w:rPr>
                <w:color w:val="auto"/>
                <w:highlight w:val="none"/>
                <w:u w:val="none"/>
              </w:rPr>
            </w:pPr>
            <w:r>
              <w:rPr>
                <w:rFonts w:hint="eastAsia"/>
                <w:color w:val="auto"/>
                <w:highlight w:val="none"/>
                <w:u w:val="none"/>
              </w:rPr>
              <w:t>1.2</w:t>
            </w:r>
          </w:p>
        </w:tc>
        <w:tc>
          <w:tcPr>
            <w:tcW w:w="620" w:type="pct"/>
            <w:noWrap/>
            <w:vAlign w:val="center"/>
          </w:tcPr>
          <w:p w14:paraId="2EDBAE60">
            <w:pPr>
              <w:pStyle w:val="92"/>
              <w:rPr>
                <w:color w:val="auto"/>
                <w:highlight w:val="none"/>
                <w:u w:val="none"/>
              </w:rPr>
            </w:pPr>
            <w:r>
              <w:rPr>
                <w:rFonts w:hint="eastAsia"/>
                <w:color w:val="auto"/>
                <w:highlight w:val="none"/>
                <w:u w:val="none"/>
              </w:rPr>
              <w:t>85</w:t>
            </w:r>
          </w:p>
        </w:tc>
        <w:tc>
          <w:tcPr>
            <w:tcW w:w="990" w:type="pct"/>
            <w:vMerge w:val="continue"/>
            <w:noWrap/>
            <w:vAlign w:val="center"/>
          </w:tcPr>
          <w:p w14:paraId="3CBD672D">
            <w:pPr>
              <w:pStyle w:val="92"/>
              <w:rPr>
                <w:color w:val="auto"/>
                <w:highlight w:val="none"/>
                <w:u w:val="none"/>
              </w:rPr>
            </w:pPr>
          </w:p>
        </w:tc>
        <w:tc>
          <w:tcPr>
            <w:tcW w:w="620" w:type="pct"/>
            <w:noWrap/>
            <w:vAlign w:val="center"/>
          </w:tcPr>
          <w:p w14:paraId="492BFC11">
            <w:pPr>
              <w:pStyle w:val="92"/>
              <w:rPr>
                <w:color w:val="auto"/>
                <w:highlight w:val="none"/>
                <w:u w:val="none"/>
              </w:rPr>
            </w:pPr>
            <w:r>
              <w:rPr>
                <w:color w:val="auto"/>
                <w:highlight w:val="none"/>
                <w:u w:val="none"/>
                <w:lang w:bidi="ar"/>
              </w:rPr>
              <w:t>24h</w:t>
            </w:r>
          </w:p>
        </w:tc>
      </w:tr>
      <w:tr w14:paraId="51448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2C6C31F3">
            <w:pPr>
              <w:pStyle w:val="92"/>
              <w:rPr>
                <w:color w:val="auto"/>
                <w:highlight w:val="none"/>
                <w:u w:val="none"/>
              </w:rPr>
            </w:pPr>
            <w:r>
              <w:rPr>
                <w:rFonts w:hint="eastAsia"/>
                <w:color w:val="auto"/>
                <w:highlight w:val="none"/>
                <w:u w:val="none"/>
              </w:rPr>
              <w:t>4</w:t>
            </w:r>
          </w:p>
        </w:tc>
        <w:tc>
          <w:tcPr>
            <w:tcW w:w="620" w:type="pct"/>
            <w:vMerge w:val="restart"/>
            <w:noWrap/>
            <w:vAlign w:val="center"/>
          </w:tcPr>
          <w:p w14:paraId="4DC50846">
            <w:pPr>
              <w:pStyle w:val="92"/>
              <w:rPr>
                <w:color w:val="auto"/>
                <w:highlight w:val="none"/>
                <w:u w:val="none"/>
              </w:rPr>
            </w:pPr>
            <w:r>
              <w:rPr>
                <w:rFonts w:hint="eastAsia"/>
                <w:color w:val="auto"/>
                <w:highlight w:val="none"/>
                <w:u w:val="none"/>
                <w:lang w:bidi="ar"/>
              </w:rPr>
              <w:t>光化单元</w:t>
            </w:r>
          </w:p>
        </w:tc>
        <w:tc>
          <w:tcPr>
            <w:tcW w:w="497" w:type="pct"/>
            <w:noWrap/>
            <w:vAlign w:val="center"/>
          </w:tcPr>
          <w:p w14:paraId="1ADB4CD5">
            <w:pPr>
              <w:pStyle w:val="92"/>
              <w:rPr>
                <w:color w:val="auto"/>
                <w:highlight w:val="none"/>
                <w:u w:val="none"/>
              </w:rPr>
            </w:pPr>
            <w:r>
              <w:rPr>
                <w:rFonts w:hint="eastAsia"/>
                <w:color w:val="auto"/>
                <w:highlight w:val="none"/>
                <w:u w:val="none"/>
              </w:rPr>
              <w:t>反应器</w:t>
            </w:r>
          </w:p>
        </w:tc>
        <w:tc>
          <w:tcPr>
            <w:tcW w:w="374" w:type="pct"/>
            <w:noWrap/>
            <w:vAlign w:val="center"/>
          </w:tcPr>
          <w:p w14:paraId="6A1F5454">
            <w:pPr>
              <w:pStyle w:val="92"/>
              <w:rPr>
                <w:color w:val="auto"/>
                <w:highlight w:val="none"/>
                <w:u w:val="none"/>
              </w:rPr>
            </w:pPr>
            <w:r>
              <w:rPr>
                <w:rFonts w:hint="eastAsia"/>
                <w:color w:val="auto"/>
                <w:highlight w:val="none"/>
                <w:u w:val="none"/>
              </w:rPr>
              <w:t>13</w:t>
            </w:r>
          </w:p>
        </w:tc>
        <w:tc>
          <w:tcPr>
            <w:tcW w:w="312" w:type="pct"/>
            <w:noWrap/>
            <w:vAlign w:val="center"/>
          </w:tcPr>
          <w:p w14:paraId="4EF30942">
            <w:pPr>
              <w:pStyle w:val="92"/>
              <w:rPr>
                <w:color w:val="auto"/>
                <w:highlight w:val="none"/>
                <w:u w:val="none"/>
              </w:rPr>
            </w:pPr>
            <w:r>
              <w:rPr>
                <w:rFonts w:hint="eastAsia"/>
                <w:color w:val="auto"/>
                <w:highlight w:val="none"/>
                <w:u w:val="none"/>
              </w:rPr>
              <w:t>322</w:t>
            </w:r>
          </w:p>
        </w:tc>
        <w:tc>
          <w:tcPr>
            <w:tcW w:w="312" w:type="pct"/>
            <w:noWrap/>
            <w:vAlign w:val="center"/>
          </w:tcPr>
          <w:p w14:paraId="5CB714A6">
            <w:pPr>
              <w:pStyle w:val="92"/>
              <w:rPr>
                <w:color w:val="auto"/>
                <w:highlight w:val="none"/>
                <w:u w:val="none"/>
              </w:rPr>
            </w:pPr>
            <w:r>
              <w:rPr>
                <w:rFonts w:hint="eastAsia"/>
                <w:color w:val="auto"/>
                <w:highlight w:val="none"/>
                <w:u w:val="none"/>
              </w:rPr>
              <w:t>143</w:t>
            </w:r>
          </w:p>
        </w:tc>
        <w:tc>
          <w:tcPr>
            <w:tcW w:w="281" w:type="pct"/>
            <w:noWrap/>
          </w:tcPr>
          <w:p w14:paraId="769FFED1">
            <w:pPr>
              <w:pStyle w:val="92"/>
              <w:rPr>
                <w:color w:val="auto"/>
                <w:highlight w:val="none"/>
                <w:u w:val="none"/>
              </w:rPr>
            </w:pPr>
            <w:r>
              <w:rPr>
                <w:rFonts w:hint="eastAsia"/>
                <w:color w:val="auto"/>
                <w:highlight w:val="none"/>
                <w:u w:val="none"/>
              </w:rPr>
              <w:t>1.2</w:t>
            </w:r>
          </w:p>
        </w:tc>
        <w:tc>
          <w:tcPr>
            <w:tcW w:w="620" w:type="pct"/>
            <w:noWrap/>
            <w:vAlign w:val="center"/>
          </w:tcPr>
          <w:p w14:paraId="72FF81F2">
            <w:pPr>
              <w:pStyle w:val="92"/>
              <w:rPr>
                <w:color w:val="auto"/>
                <w:highlight w:val="none"/>
                <w:u w:val="none"/>
              </w:rPr>
            </w:pPr>
            <w:r>
              <w:rPr>
                <w:rFonts w:hint="eastAsia"/>
                <w:color w:val="auto"/>
                <w:highlight w:val="none"/>
                <w:u w:val="none"/>
              </w:rPr>
              <w:t>80</w:t>
            </w:r>
          </w:p>
        </w:tc>
        <w:tc>
          <w:tcPr>
            <w:tcW w:w="990" w:type="pct"/>
            <w:vMerge w:val="continue"/>
            <w:noWrap/>
            <w:vAlign w:val="center"/>
          </w:tcPr>
          <w:p w14:paraId="4F292204">
            <w:pPr>
              <w:pStyle w:val="92"/>
              <w:rPr>
                <w:color w:val="auto"/>
                <w:highlight w:val="none"/>
                <w:u w:val="none"/>
              </w:rPr>
            </w:pPr>
          </w:p>
        </w:tc>
        <w:tc>
          <w:tcPr>
            <w:tcW w:w="620" w:type="pct"/>
            <w:noWrap/>
            <w:vAlign w:val="center"/>
          </w:tcPr>
          <w:p w14:paraId="780ACC17">
            <w:pPr>
              <w:pStyle w:val="92"/>
              <w:rPr>
                <w:color w:val="auto"/>
                <w:highlight w:val="none"/>
                <w:u w:val="none"/>
              </w:rPr>
            </w:pPr>
            <w:r>
              <w:rPr>
                <w:color w:val="auto"/>
                <w:highlight w:val="none"/>
                <w:u w:val="none"/>
                <w:lang w:bidi="ar"/>
              </w:rPr>
              <w:t>24h</w:t>
            </w:r>
          </w:p>
        </w:tc>
      </w:tr>
      <w:tr w14:paraId="4C9B4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4D6E7DA9">
            <w:pPr>
              <w:pStyle w:val="92"/>
              <w:rPr>
                <w:color w:val="auto"/>
                <w:highlight w:val="none"/>
                <w:u w:val="none"/>
              </w:rPr>
            </w:pPr>
            <w:r>
              <w:rPr>
                <w:rFonts w:hint="eastAsia"/>
                <w:color w:val="auto"/>
                <w:highlight w:val="none"/>
                <w:u w:val="none"/>
              </w:rPr>
              <w:t>5</w:t>
            </w:r>
          </w:p>
        </w:tc>
        <w:tc>
          <w:tcPr>
            <w:tcW w:w="620" w:type="pct"/>
            <w:vMerge w:val="continue"/>
            <w:noWrap/>
            <w:vAlign w:val="center"/>
          </w:tcPr>
          <w:p w14:paraId="22D79290">
            <w:pPr>
              <w:pStyle w:val="92"/>
              <w:rPr>
                <w:color w:val="auto"/>
                <w:highlight w:val="none"/>
                <w:u w:val="none"/>
              </w:rPr>
            </w:pPr>
          </w:p>
        </w:tc>
        <w:tc>
          <w:tcPr>
            <w:tcW w:w="497" w:type="pct"/>
            <w:noWrap/>
            <w:vAlign w:val="center"/>
          </w:tcPr>
          <w:p w14:paraId="431E73CE">
            <w:pPr>
              <w:pStyle w:val="92"/>
              <w:rPr>
                <w:color w:val="auto"/>
                <w:highlight w:val="none"/>
                <w:u w:val="none"/>
              </w:rPr>
            </w:pPr>
            <w:r>
              <w:rPr>
                <w:rFonts w:hint="eastAsia"/>
                <w:color w:val="auto"/>
                <w:highlight w:val="none"/>
                <w:u w:val="none"/>
              </w:rPr>
              <w:t>机泵</w:t>
            </w:r>
          </w:p>
        </w:tc>
        <w:tc>
          <w:tcPr>
            <w:tcW w:w="374" w:type="pct"/>
            <w:noWrap/>
            <w:vAlign w:val="center"/>
          </w:tcPr>
          <w:p w14:paraId="024D8958">
            <w:pPr>
              <w:pStyle w:val="92"/>
              <w:rPr>
                <w:color w:val="auto"/>
                <w:highlight w:val="none"/>
                <w:u w:val="none"/>
              </w:rPr>
            </w:pPr>
            <w:r>
              <w:rPr>
                <w:rFonts w:hint="eastAsia"/>
                <w:color w:val="auto"/>
                <w:highlight w:val="none"/>
                <w:u w:val="none"/>
              </w:rPr>
              <w:t>16</w:t>
            </w:r>
          </w:p>
        </w:tc>
        <w:tc>
          <w:tcPr>
            <w:tcW w:w="312" w:type="pct"/>
            <w:noWrap/>
            <w:vAlign w:val="center"/>
          </w:tcPr>
          <w:p w14:paraId="739AB0D5">
            <w:pPr>
              <w:pStyle w:val="92"/>
              <w:rPr>
                <w:color w:val="auto"/>
                <w:highlight w:val="none"/>
                <w:u w:val="none"/>
              </w:rPr>
            </w:pPr>
            <w:r>
              <w:rPr>
                <w:rFonts w:hint="eastAsia"/>
                <w:color w:val="auto"/>
                <w:highlight w:val="none"/>
                <w:u w:val="none"/>
              </w:rPr>
              <w:t>322</w:t>
            </w:r>
          </w:p>
        </w:tc>
        <w:tc>
          <w:tcPr>
            <w:tcW w:w="312" w:type="pct"/>
            <w:noWrap/>
            <w:vAlign w:val="center"/>
          </w:tcPr>
          <w:p w14:paraId="107EE09B">
            <w:pPr>
              <w:pStyle w:val="92"/>
              <w:rPr>
                <w:color w:val="auto"/>
                <w:highlight w:val="none"/>
                <w:u w:val="none"/>
              </w:rPr>
            </w:pPr>
            <w:r>
              <w:rPr>
                <w:rFonts w:hint="eastAsia"/>
                <w:color w:val="auto"/>
                <w:highlight w:val="none"/>
                <w:u w:val="none"/>
              </w:rPr>
              <w:t>120</w:t>
            </w:r>
          </w:p>
        </w:tc>
        <w:tc>
          <w:tcPr>
            <w:tcW w:w="281" w:type="pct"/>
            <w:noWrap/>
          </w:tcPr>
          <w:p w14:paraId="6E7B6336">
            <w:pPr>
              <w:pStyle w:val="92"/>
              <w:rPr>
                <w:color w:val="auto"/>
                <w:highlight w:val="none"/>
                <w:u w:val="none"/>
              </w:rPr>
            </w:pPr>
            <w:r>
              <w:rPr>
                <w:rFonts w:hint="eastAsia"/>
                <w:color w:val="auto"/>
                <w:highlight w:val="none"/>
                <w:u w:val="none"/>
              </w:rPr>
              <w:t>1.2</w:t>
            </w:r>
          </w:p>
        </w:tc>
        <w:tc>
          <w:tcPr>
            <w:tcW w:w="620" w:type="pct"/>
            <w:noWrap/>
            <w:vAlign w:val="center"/>
          </w:tcPr>
          <w:p w14:paraId="0E9A04B5">
            <w:pPr>
              <w:pStyle w:val="92"/>
              <w:rPr>
                <w:color w:val="auto"/>
                <w:highlight w:val="none"/>
                <w:u w:val="none"/>
              </w:rPr>
            </w:pPr>
            <w:r>
              <w:rPr>
                <w:rFonts w:hint="eastAsia"/>
                <w:color w:val="auto"/>
                <w:highlight w:val="none"/>
                <w:u w:val="none"/>
              </w:rPr>
              <w:t>85</w:t>
            </w:r>
          </w:p>
        </w:tc>
        <w:tc>
          <w:tcPr>
            <w:tcW w:w="990" w:type="pct"/>
            <w:vMerge w:val="continue"/>
            <w:noWrap/>
            <w:vAlign w:val="center"/>
          </w:tcPr>
          <w:p w14:paraId="45B3516B">
            <w:pPr>
              <w:pStyle w:val="92"/>
              <w:rPr>
                <w:color w:val="auto"/>
                <w:highlight w:val="none"/>
                <w:u w:val="none"/>
              </w:rPr>
            </w:pPr>
          </w:p>
        </w:tc>
        <w:tc>
          <w:tcPr>
            <w:tcW w:w="620" w:type="pct"/>
            <w:noWrap/>
            <w:vAlign w:val="center"/>
          </w:tcPr>
          <w:p w14:paraId="0B476285">
            <w:pPr>
              <w:pStyle w:val="92"/>
              <w:rPr>
                <w:color w:val="auto"/>
                <w:highlight w:val="none"/>
                <w:u w:val="none"/>
              </w:rPr>
            </w:pPr>
            <w:r>
              <w:rPr>
                <w:color w:val="auto"/>
                <w:highlight w:val="none"/>
                <w:u w:val="none"/>
                <w:lang w:bidi="ar"/>
              </w:rPr>
              <w:t>24h</w:t>
            </w:r>
          </w:p>
        </w:tc>
      </w:tr>
      <w:tr w14:paraId="5108D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4" w:type="pct"/>
            <w:noWrap/>
            <w:vAlign w:val="center"/>
          </w:tcPr>
          <w:p w14:paraId="7C7F5353">
            <w:pPr>
              <w:pStyle w:val="92"/>
              <w:rPr>
                <w:color w:val="auto"/>
                <w:highlight w:val="none"/>
                <w:u w:val="none"/>
              </w:rPr>
            </w:pPr>
            <w:r>
              <w:rPr>
                <w:rFonts w:hint="eastAsia"/>
                <w:color w:val="auto"/>
                <w:highlight w:val="none"/>
                <w:u w:val="none"/>
              </w:rPr>
              <w:t>6</w:t>
            </w:r>
          </w:p>
        </w:tc>
        <w:tc>
          <w:tcPr>
            <w:tcW w:w="620" w:type="pct"/>
            <w:vMerge w:val="continue"/>
            <w:noWrap/>
            <w:vAlign w:val="center"/>
          </w:tcPr>
          <w:p w14:paraId="3BAC9D0D">
            <w:pPr>
              <w:pStyle w:val="92"/>
              <w:rPr>
                <w:color w:val="auto"/>
                <w:highlight w:val="none"/>
                <w:u w:val="none"/>
              </w:rPr>
            </w:pPr>
          </w:p>
        </w:tc>
        <w:tc>
          <w:tcPr>
            <w:tcW w:w="497" w:type="pct"/>
            <w:noWrap/>
            <w:vAlign w:val="center"/>
          </w:tcPr>
          <w:p w14:paraId="6811C5F9">
            <w:pPr>
              <w:pStyle w:val="92"/>
              <w:rPr>
                <w:color w:val="auto"/>
                <w:highlight w:val="none"/>
                <w:u w:val="none"/>
                <w:lang w:bidi="ar"/>
              </w:rPr>
            </w:pPr>
            <w:r>
              <w:rPr>
                <w:rFonts w:hint="eastAsia"/>
                <w:color w:val="auto"/>
                <w:highlight w:val="none"/>
                <w:u w:val="none"/>
              </w:rPr>
              <w:t>机组</w:t>
            </w:r>
          </w:p>
        </w:tc>
        <w:tc>
          <w:tcPr>
            <w:tcW w:w="374" w:type="pct"/>
            <w:noWrap/>
            <w:vAlign w:val="center"/>
          </w:tcPr>
          <w:p w14:paraId="0CE4E1E3">
            <w:pPr>
              <w:pStyle w:val="92"/>
              <w:rPr>
                <w:color w:val="auto"/>
                <w:highlight w:val="none"/>
                <w:u w:val="none"/>
              </w:rPr>
            </w:pPr>
            <w:r>
              <w:rPr>
                <w:rFonts w:hint="eastAsia"/>
                <w:color w:val="auto"/>
                <w:highlight w:val="none"/>
                <w:u w:val="none"/>
              </w:rPr>
              <w:t>20</w:t>
            </w:r>
          </w:p>
        </w:tc>
        <w:tc>
          <w:tcPr>
            <w:tcW w:w="312" w:type="pct"/>
            <w:noWrap/>
            <w:vAlign w:val="center"/>
          </w:tcPr>
          <w:p w14:paraId="43BA81AE">
            <w:pPr>
              <w:pStyle w:val="92"/>
              <w:rPr>
                <w:color w:val="auto"/>
                <w:highlight w:val="none"/>
                <w:u w:val="none"/>
              </w:rPr>
            </w:pPr>
            <w:r>
              <w:rPr>
                <w:rFonts w:hint="eastAsia"/>
                <w:color w:val="auto"/>
                <w:highlight w:val="none"/>
                <w:u w:val="none"/>
              </w:rPr>
              <w:t>323</w:t>
            </w:r>
          </w:p>
        </w:tc>
        <w:tc>
          <w:tcPr>
            <w:tcW w:w="312" w:type="pct"/>
            <w:noWrap/>
            <w:vAlign w:val="center"/>
          </w:tcPr>
          <w:p w14:paraId="650DBD3C">
            <w:pPr>
              <w:pStyle w:val="92"/>
              <w:rPr>
                <w:color w:val="auto"/>
                <w:highlight w:val="none"/>
                <w:u w:val="none"/>
              </w:rPr>
            </w:pPr>
            <w:r>
              <w:rPr>
                <w:rFonts w:hint="eastAsia"/>
                <w:color w:val="auto"/>
                <w:highlight w:val="none"/>
                <w:u w:val="none"/>
              </w:rPr>
              <w:t>61</w:t>
            </w:r>
          </w:p>
        </w:tc>
        <w:tc>
          <w:tcPr>
            <w:tcW w:w="281" w:type="pct"/>
            <w:noWrap/>
          </w:tcPr>
          <w:p w14:paraId="5B219C82">
            <w:pPr>
              <w:pStyle w:val="92"/>
              <w:rPr>
                <w:color w:val="auto"/>
                <w:highlight w:val="none"/>
                <w:u w:val="none"/>
              </w:rPr>
            </w:pPr>
            <w:r>
              <w:rPr>
                <w:rFonts w:hint="eastAsia"/>
                <w:color w:val="auto"/>
                <w:highlight w:val="none"/>
                <w:u w:val="none"/>
              </w:rPr>
              <w:t>1.2</w:t>
            </w:r>
          </w:p>
        </w:tc>
        <w:tc>
          <w:tcPr>
            <w:tcW w:w="620" w:type="pct"/>
            <w:noWrap/>
            <w:vAlign w:val="center"/>
          </w:tcPr>
          <w:p w14:paraId="337E0EC7">
            <w:pPr>
              <w:pStyle w:val="92"/>
              <w:rPr>
                <w:color w:val="auto"/>
                <w:highlight w:val="none"/>
                <w:u w:val="none"/>
                <w:lang w:bidi="ar"/>
              </w:rPr>
            </w:pPr>
            <w:r>
              <w:rPr>
                <w:rFonts w:hint="eastAsia"/>
                <w:color w:val="auto"/>
                <w:highlight w:val="none"/>
                <w:u w:val="none"/>
                <w:lang w:bidi="ar"/>
              </w:rPr>
              <w:t>85</w:t>
            </w:r>
          </w:p>
        </w:tc>
        <w:tc>
          <w:tcPr>
            <w:tcW w:w="990" w:type="pct"/>
            <w:vMerge w:val="continue"/>
            <w:noWrap/>
            <w:vAlign w:val="center"/>
          </w:tcPr>
          <w:p w14:paraId="0609C32F">
            <w:pPr>
              <w:pStyle w:val="92"/>
              <w:rPr>
                <w:color w:val="auto"/>
                <w:highlight w:val="none"/>
                <w:u w:val="none"/>
              </w:rPr>
            </w:pPr>
          </w:p>
        </w:tc>
        <w:tc>
          <w:tcPr>
            <w:tcW w:w="620" w:type="pct"/>
            <w:noWrap/>
            <w:vAlign w:val="center"/>
          </w:tcPr>
          <w:p w14:paraId="3F91A237">
            <w:pPr>
              <w:pStyle w:val="92"/>
              <w:rPr>
                <w:color w:val="auto"/>
                <w:highlight w:val="none"/>
                <w:u w:val="none"/>
                <w:lang w:bidi="ar"/>
              </w:rPr>
            </w:pPr>
            <w:r>
              <w:rPr>
                <w:color w:val="auto"/>
                <w:highlight w:val="none"/>
                <w:u w:val="none"/>
                <w:lang w:bidi="ar"/>
              </w:rPr>
              <w:t>24h</w:t>
            </w:r>
          </w:p>
        </w:tc>
      </w:tr>
    </w:tbl>
    <w:p w14:paraId="5C3AF91A">
      <w:pPr>
        <w:pStyle w:val="981"/>
        <w:rPr>
          <w:rFonts w:hint="eastAsia"/>
          <w:color w:val="auto"/>
          <w:highlight w:val="none"/>
          <w:u w:val="none"/>
        </w:rPr>
      </w:pPr>
      <w:r>
        <w:rPr>
          <w:rFonts w:hint="eastAsia"/>
          <w:color w:val="auto"/>
          <w:highlight w:val="none"/>
          <w:u w:val="none"/>
        </w:rPr>
        <w:t>（2）本次噪声预测考虑现有已批未建项目为：</w:t>
      </w:r>
      <w:r>
        <w:rPr>
          <w:color w:val="auto"/>
          <w:highlight w:val="none"/>
          <w:u w:val="none"/>
        </w:rPr>
        <w:t>PVC二期</w:t>
      </w:r>
      <w:r>
        <w:rPr>
          <w:rFonts w:hint="eastAsia"/>
          <w:color w:val="auto"/>
          <w:highlight w:val="none"/>
          <w:u w:val="none"/>
        </w:rPr>
        <w:t>、</w:t>
      </w:r>
      <w:r>
        <w:rPr>
          <w:color w:val="auto"/>
          <w:highlight w:val="none"/>
          <w:u w:val="none"/>
        </w:rPr>
        <w:t>苯胺二期</w:t>
      </w:r>
      <w:r>
        <w:rPr>
          <w:rFonts w:hint="eastAsia"/>
          <w:color w:val="auto"/>
          <w:highlight w:val="none"/>
          <w:u w:val="none"/>
        </w:rPr>
        <w:t>项目，其噪声污染分析见</w:t>
      </w:r>
      <w:r>
        <w:rPr>
          <w:color w:val="auto"/>
          <w:highlight w:val="none"/>
          <w:u w:val="none"/>
        </w:rPr>
        <w:fldChar w:fldCharType="begin"/>
      </w:r>
      <w:r>
        <w:rPr>
          <w:color w:val="auto"/>
          <w:highlight w:val="none"/>
          <w:u w:val="none"/>
        </w:rPr>
        <w:instrText xml:space="preserve"> REF _Ref24952 \h </w:instrText>
      </w:r>
      <w:r>
        <w:rPr>
          <w:color w:val="auto"/>
          <w:highlight w:val="none"/>
          <w:u w:val="none"/>
        </w:rPr>
        <w:fldChar w:fldCharType="separate"/>
      </w:r>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8.4</w:t>
      </w:r>
      <w:r>
        <w:rPr>
          <w:b/>
          <w:bCs/>
          <w:color w:val="auto"/>
          <w:highlight w:val="none"/>
          <w:u w:val="none"/>
        </w:rPr>
        <w:fldChar w:fldCharType="end"/>
      </w:r>
      <w:r>
        <w:rPr>
          <w:b/>
          <w:bCs/>
          <w:color w:val="auto"/>
          <w:highlight w:val="none"/>
          <w:u w:val="none"/>
        </w:rPr>
        <w:noBreakHyphen/>
      </w:r>
      <w:r>
        <w:rPr>
          <w:rFonts w:hint="eastAsia"/>
          <w:b/>
          <w:bCs/>
          <w:color w:val="auto"/>
          <w:highlight w:val="none"/>
          <w:u w:val="none"/>
        </w:rPr>
        <w:t>2</w:t>
      </w:r>
      <w:r>
        <w:rPr>
          <w:color w:val="auto"/>
          <w:highlight w:val="none"/>
          <w:u w:val="none"/>
        </w:rPr>
        <w:fldChar w:fldCharType="end"/>
      </w:r>
      <w:r>
        <w:rPr>
          <w:rFonts w:hint="eastAsia"/>
          <w:color w:val="auto"/>
          <w:highlight w:val="none"/>
          <w:u w:val="none"/>
        </w:rPr>
        <w:t>。</w:t>
      </w:r>
    </w:p>
    <w:p w14:paraId="5D73419F">
      <w:pPr>
        <w:pStyle w:val="981"/>
        <w:rPr>
          <w:rFonts w:hint="eastAsia"/>
          <w:color w:val="auto"/>
          <w:highlight w:val="none"/>
          <w:u w:val="none"/>
        </w:rPr>
      </w:pPr>
    </w:p>
    <w:p w14:paraId="29A94F2C">
      <w:pPr>
        <w:pStyle w:val="981"/>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5F4F1FBA">
      <w:pPr>
        <w:pStyle w:val="5"/>
        <w:ind w:firstLine="482"/>
        <w:jc w:val="center"/>
        <w:rPr>
          <w:rFonts w:hAnsi="Times New Roman"/>
          <w:b/>
          <w:bCs/>
          <w:color w:val="auto"/>
          <w:highlight w:val="none"/>
          <w:u w:val="none"/>
        </w:rPr>
      </w:pPr>
      <w:bookmarkStart w:id="528" w:name="_Ref24952"/>
      <w:r>
        <w:rPr>
          <w:rFonts w:hint="eastAsia"/>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STYLEREF 2 \s</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8.4</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SEQ 表 \* ARABIC \s 2</w:instrText>
      </w:r>
      <w:r>
        <w:rPr>
          <w:b/>
          <w:bCs/>
          <w:color w:val="auto"/>
          <w:highlight w:val="none"/>
          <w:u w:val="none"/>
        </w:rPr>
        <w:instrText xml:space="preserve"> </w:instrText>
      </w:r>
      <w:r>
        <w:rPr>
          <w:b/>
          <w:bCs/>
          <w:color w:val="auto"/>
          <w:highlight w:val="none"/>
          <w:u w:val="none"/>
        </w:rPr>
        <w:fldChar w:fldCharType="separate"/>
      </w:r>
      <w:r>
        <w:rPr>
          <w:rFonts w:hint="eastAsia"/>
          <w:b/>
          <w:bCs/>
          <w:color w:val="auto"/>
          <w:highlight w:val="none"/>
          <w:u w:val="none"/>
        </w:rPr>
        <w:t>2</w:t>
      </w:r>
      <w:r>
        <w:rPr>
          <w:b/>
          <w:bCs/>
          <w:color w:val="auto"/>
          <w:highlight w:val="none"/>
          <w:u w:val="none"/>
        </w:rPr>
        <w:fldChar w:fldCharType="end"/>
      </w:r>
      <w:bookmarkEnd w:id="528"/>
      <w:r>
        <w:rPr>
          <w:rStyle w:val="1004"/>
          <w:color w:val="auto"/>
          <w:highlight w:val="none"/>
          <w:u w:val="none"/>
        </w:rPr>
        <w:t xml:space="preserve">  </w:t>
      </w:r>
      <w:r>
        <w:rPr>
          <w:rFonts w:hint="eastAsia" w:hAnsi="Times New Roman"/>
          <w:b/>
          <w:bCs/>
          <w:color w:val="auto"/>
          <w:highlight w:val="none"/>
          <w:u w:val="none"/>
        </w:rPr>
        <w:t>现有已批未建项目噪声污染源强一览表</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56"/>
        <w:gridCol w:w="1338"/>
        <w:gridCol w:w="3320"/>
        <w:gridCol w:w="2351"/>
        <w:gridCol w:w="729"/>
        <w:gridCol w:w="607"/>
        <w:gridCol w:w="689"/>
        <w:gridCol w:w="547"/>
        <w:gridCol w:w="927"/>
        <w:gridCol w:w="2410"/>
      </w:tblGrid>
      <w:tr w14:paraId="4D91EB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restart"/>
            <w:vAlign w:val="center"/>
          </w:tcPr>
          <w:p w14:paraId="79810D1D">
            <w:pPr>
              <w:pStyle w:val="1001"/>
              <w:rPr>
                <w:color w:val="auto"/>
                <w:highlight w:val="none"/>
                <w:u w:val="none"/>
              </w:rPr>
            </w:pPr>
            <w:r>
              <w:rPr>
                <w:rFonts w:hint="eastAsia"/>
                <w:color w:val="auto"/>
                <w:highlight w:val="none"/>
                <w:u w:val="none"/>
                <w:lang w:bidi="ar"/>
              </w:rPr>
              <w:t>所属项目</w:t>
            </w:r>
            <w:r>
              <w:rPr>
                <w:rFonts w:hint="eastAsia"/>
                <w:color w:val="auto"/>
                <w:highlight w:val="none"/>
                <w:u w:val="none"/>
              </w:rPr>
              <w:t>及</w:t>
            </w:r>
            <w:r>
              <w:rPr>
                <w:rFonts w:hint="eastAsia"/>
                <w:color w:val="auto"/>
                <w:highlight w:val="none"/>
                <w:u w:val="none"/>
                <w:lang w:bidi="ar"/>
              </w:rPr>
              <w:t>工段</w:t>
            </w:r>
          </w:p>
        </w:tc>
        <w:tc>
          <w:tcPr>
            <w:tcW w:w="1171" w:type="pct"/>
            <w:vMerge w:val="restart"/>
            <w:vAlign w:val="center"/>
          </w:tcPr>
          <w:p w14:paraId="66E11CFA">
            <w:pPr>
              <w:pStyle w:val="1001"/>
              <w:rPr>
                <w:color w:val="auto"/>
                <w:highlight w:val="none"/>
                <w:u w:val="none"/>
                <w:lang w:bidi="ar"/>
              </w:rPr>
            </w:pPr>
            <w:r>
              <w:rPr>
                <w:color w:val="auto"/>
                <w:highlight w:val="none"/>
                <w:u w:val="none"/>
                <w:lang w:bidi="ar"/>
              </w:rPr>
              <w:t>装置</w:t>
            </w:r>
          </w:p>
          <w:p w14:paraId="65217E02">
            <w:pPr>
              <w:pStyle w:val="1001"/>
              <w:rPr>
                <w:color w:val="auto"/>
                <w:highlight w:val="none"/>
                <w:u w:val="none"/>
              </w:rPr>
            </w:pPr>
            <w:r>
              <w:rPr>
                <w:color w:val="auto"/>
                <w:highlight w:val="none"/>
                <w:u w:val="none"/>
                <w:lang w:bidi="ar"/>
              </w:rPr>
              <w:t>位置</w:t>
            </w:r>
          </w:p>
        </w:tc>
        <w:tc>
          <w:tcPr>
            <w:tcW w:w="829" w:type="pct"/>
            <w:vMerge w:val="restart"/>
            <w:vAlign w:val="center"/>
          </w:tcPr>
          <w:p w14:paraId="50EBEEBD">
            <w:pPr>
              <w:pStyle w:val="1001"/>
              <w:rPr>
                <w:color w:val="auto"/>
                <w:highlight w:val="none"/>
                <w:u w:val="none"/>
                <w:lang w:bidi="ar"/>
              </w:rPr>
            </w:pPr>
            <w:r>
              <w:rPr>
                <w:color w:val="auto"/>
                <w:highlight w:val="none"/>
                <w:u w:val="none"/>
                <w:lang w:bidi="ar"/>
              </w:rPr>
              <w:t>噪声源</w:t>
            </w:r>
          </w:p>
          <w:p w14:paraId="0632A49A">
            <w:pPr>
              <w:pStyle w:val="1001"/>
              <w:rPr>
                <w:color w:val="auto"/>
                <w:highlight w:val="none"/>
                <w:u w:val="none"/>
              </w:rPr>
            </w:pPr>
            <w:r>
              <w:rPr>
                <w:color w:val="auto"/>
                <w:highlight w:val="none"/>
                <w:u w:val="none"/>
                <w:lang w:bidi="ar"/>
              </w:rPr>
              <w:t>名称</w:t>
            </w:r>
          </w:p>
        </w:tc>
        <w:tc>
          <w:tcPr>
            <w:tcW w:w="257" w:type="pct"/>
            <w:vMerge w:val="restart"/>
            <w:vAlign w:val="center"/>
          </w:tcPr>
          <w:p w14:paraId="5FE1568D">
            <w:pPr>
              <w:pStyle w:val="1001"/>
              <w:rPr>
                <w:color w:val="auto"/>
                <w:highlight w:val="none"/>
                <w:u w:val="none"/>
              </w:rPr>
            </w:pPr>
            <w:r>
              <w:rPr>
                <w:rFonts w:hint="eastAsia"/>
                <w:color w:val="auto"/>
                <w:highlight w:val="none"/>
                <w:u w:val="none"/>
                <w:lang w:bidi="ar"/>
              </w:rPr>
              <w:t>数量</w:t>
            </w:r>
          </w:p>
        </w:tc>
        <w:tc>
          <w:tcPr>
            <w:tcW w:w="650" w:type="pct"/>
            <w:gridSpan w:val="3"/>
            <w:vAlign w:val="center"/>
          </w:tcPr>
          <w:p w14:paraId="62C23850">
            <w:pPr>
              <w:pStyle w:val="1001"/>
              <w:rPr>
                <w:color w:val="auto"/>
                <w:highlight w:val="none"/>
                <w:u w:val="none"/>
              </w:rPr>
            </w:pPr>
            <w:r>
              <w:rPr>
                <w:color w:val="auto"/>
                <w:highlight w:val="none"/>
                <w:u w:val="none"/>
                <w:lang w:bidi="ar"/>
              </w:rPr>
              <w:t>位置坐标*</w:t>
            </w:r>
          </w:p>
        </w:tc>
        <w:tc>
          <w:tcPr>
            <w:tcW w:w="327" w:type="pct"/>
            <w:vMerge w:val="restart"/>
            <w:tcBorders>
              <w:left w:val="single" w:color="auto" w:sz="4" w:space="0"/>
            </w:tcBorders>
            <w:vAlign w:val="center"/>
          </w:tcPr>
          <w:p w14:paraId="4FF72DC7">
            <w:pPr>
              <w:pStyle w:val="1001"/>
              <w:rPr>
                <w:color w:val="auto"/>
                <w:highlight w:val="none"/>
                <w:u w:val="none"/>
              </w:rPr>
            </w:pPr>
            <w:r>
              <w:rPr>
                <w:color w:val="auto"/>
                <w:highlight w:val="none"/>
                <w:u w:val="none"/>
                <w:lang w:bidi="ar"/>
              </w:rPr>
              <w:t>声源源强</w:t>
            </w:r>
          </w:p>
          <w:p w14:paraId="58A40787">
            <w:pPr>
              <w:pStyle w:val="1001"/>
              <w:rPr>
                <w:color w:val="auto"/>
                <w:highlight w:val="none"/>
                <w:u w:val="none"/>
              </w:rPr>
            </w:pPr>
            <w:r>
              <w:rPr>
                <w:color w:val="auto"/>
                <w:highlight w:val="none"/>
                <w:u w:val="none"/>
                <w:lang w:bidi="ar"/>
              </w:rPr>
              <w:t>dB(A)</w:t>
            </w:r>
          </w:p>
        </w:tc>
        <w:tc>
          <w:tcPr>
            <w:tcW w:w="850" w:type="pct"/>
            <w:vMerge w:val="restart"/>
            <w:vAlign w:val="center"/>
          </w:tcPr>
          <w:p w14:paraId="27C1B6E3">
            <w:pPr>
              <w:pStyle w:val="1001"/>
              <w:rPr>
                <w:color w:val="auto"/>
                <w:highlight w:val="none"/>
                <w:u w:val="none"/>
              </w:rPr>
            </w:pPr>
            <w:r>
              <w:rPr>
                <w:color w:val="auto"/>
                <w:highlight w:val="none"/>
                <w:u w:val="none"/>
                <w:lang w:bidi="ar"/>
              </w:rPr>
              <w:t>声源控制措施</w:t>
            </w:r>
          </w:p>
        </w:tc>
      </w:tr>
      <w:tr w14:paraId="63454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vAlign w:val="center"/>
          </w:tcPr>
          <w:p w14:paraId="71F3EBC0">
            <w:pPr>
              <w:pStyle w:val="1001"/>
              <w:rPr>
                <w:color w:val="auto"/>
                <w:highlight w:val="none"/>
                <w:u w:val="none"/>
              </w:rPr>
            </w:pPr>
          </w:p>
        </w:tc>
        <w:tc>
          <w:tcPr>
            <w:tcW w:w="1171" w:type="pct"/>
            <w:vMerge w:val="continue"/>
            <w:vAlign w:val="center"/>
          </w:tcPr>
          <w:p w14:paraId="35A81944">
            <w:pPr>
              <w:pStyle w:val="1001"/>
              <w:rPr>
                <w:color w:val="auto"/>
                <w:highlight w:val="none"/>
                <w:u w:val="none"/>
              </w:rPr>
            </w:pPr>
          </w:p>
        </w:tc>
        <w:tc>
          <w:tcPr>
            <w:tcW w:w="829" w:type="pct"/>
            <w:vMerge w:val="continue"/>
            <w:vAlign w:val="center"/>
          </w:tcPr>
          <w:p w14:paraId="0CDE0A91">
            <w:pPr>
              <w:pStyle w:val="1001"/>
              <w:rPr>
                <w:color w:val="auto"/>
                <w:highlight w:val="none"/>
                <w:u w:val="none"/>
              </w:rPr>
            </w:pPr>
          </w:p>
        </w:tc>
        <w:tc>
          <w:tcPr>
            <w:tcW w:w="257" w:type="pct"/>
            <w:vMerge w:val="continue"/>
            <w:vAlign w:val="center"/>
          </w:tcPr>
          <w:p w14:paraId="3D480D61">
            <w:pPr>
              <w:pStyle w:val="1001"/>
              <w:rPr>
                <w:color w:val="auto"/>
                <w:highlight w:val="none"/>
                <w:u w:val="none"/>
              </w:rPr>
            </w:pPr>
          </w:p>
        </w:tc>
        <w:tc>
          <w:tcPr>
            <w:tcW w:w="214" w:type="pct"/>
            <w:vAlign w:val="center"/>
          </w:tcPr>
          <w:p w14:paraId="10361EA1">
            <w:pPr>
              <w:pStyle w:val="1001"/>
              <w:rPr>
                <w:color w:val="auto"/>
                <w:highlight w:val="none"/>
                <w:u w:val="none"/>
              </w:rPr>
            </w:pPr>
            <w:r>
              <w:rPr>
                <w:color w:val="auto"/>
                <w:highlight w:val="none"/>
                <w:u w:val="none"/>
                <w:lang w:bidi="ar"/>
              </w:rPr>
              <w:t>X</w:t>
            </w:r>
          </w:p>
        </w:tc>
        <w:tc>
          <w:tcPr>
            <w:tcW w:w="243" w:type="pct"/>
            <w:vAlign w:val="center"/>
          </w:tcPr>
          <w:p w14:paraId="0741B88B">
            <w:pPr>
              <w:pStyle w:val="1001"/>
              <w:rPr>
                <w:color w:val="auto"/>
                <w:highlight w:val="none"/>
                <w:u w:val="none"/>
              </w:rPr>
            </w:pPr>
            <w:r>
              <w:rPr>
                <w:color w:val="auto"/>
                <w:highlight w:val="none"/>
                <w:u w:val="none"/>
                <w:lang w:bidi="ar"/>
              </w:rPr>
              <w:t>Y</w:t>
            </w:r>
          </w:p>
        </w:tc>
        <w:tc>
          <w:tcPr>
            <w:tcW w:w="192" w:type="pct"/>
            <w:vAlign w:val="center"/>
          </w:tcPr>
          <w:p w14:paraId="7F516CDB">
            <w:pPr>
              <w:pStyle w:val="1001"/>
              <w:rPr>
                <w:color w:val="auto"/>
                <w:highlight w:val="none"/>
                <w:u w:val="none"/>
              </w:rPr>
            </w:pPr>
            <w:r>
              <w:rPr>
                <w:color w:val="auto"/>
                <w:highlight w:val="none"/>
                <w:u w:val="none"/>
                <w:lang w:bidi="ar"/>
              </w:rPr>
              <w:t>Z</w:t>
            </w:r>
          </w:p>
        </w:tc>
        <w:tc>
          <w:tcPr>
            <w:tcW w:w="327" w:type="pct"/>
            <w:vMerge w:val="continue"/>
            <w:tcBorders>
              <w:left w:val="single" w:color="auto" w:sz="4" w:space="0"/>
            </w:tcBorders>
            <w:vAlign w:val="center"/>
          </w:tcPr>
          <w:p w14:paraId="71CA0EE2">
            <w:pPr>
              <w:pStyle w:val="1001"/>
              <w:rPr>
                <w:color w:val="auto"/>
                <w:highlight w:val="none"/>
                <w:u w:val="none"/>
              </w:rPr>
            </w:pPr>
          </w:p>
        </w:tc>
        <w:tc>
          <w:tcPr>
            <w:tcW w:w="850" w:type="pct"/>
            <w:vMerge w:val="continue"/>
            <w:vAlign w:val="center"/>
          </w:tcPr>
          <w:p w14:paraId="6FA9E1B8">
            <w:pPr>
              <w:pStyle w:val="1001"/>
              <w:rPr>
                <w:color w:val="auto"/>
                <w:highlight w:val="none"/>
                <w:u w:val="none"/>
              </w:rPr>
            </w:pPr>
          </w:p>
        </w:tc>
      </w:tr>
      <w:tr w14:paraId="0E789F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restart"/>
            <w:noWrap/>
            <w:vAlign w:val="center"/>
          </w:tcPr>
          <w:p w14:paraId="73A13F2D">
            <w:pPr>
              <w:pStyle w:val="1001"/>
              <w:rPr>
                <w:color w:val="auto"/>
                <w:highlight w:val="none"/>
                <w:u w:val="none"/>
              </w:rPr>
            </w:pPr>
            <w:r>
              <w:rPr>
                <w:rFonts w:hint="eastAsia"/>
                <w:color w:val="auto"/>
                <w:highlight w:val="none"/>
                <w:u w:val="none"/>
              </w:rPr>
              <w:t>P</w:t>
            </w:r>
            <w:r>
              <w:rPr>
                <w:color w:val="auto"/>
                <w:highlight w:val="none"/>
                <w:u w:val="none"/>
              </w:rPr>
              <w:t>VC</w:t>
            </w:r>
            <w:r>
              <w:rPr>
                <w:rFonts w:hint="eastAsia"/>
                <w:color w:val="auto"/>
                <w:highlight w:val="none"/>
                <w:u w:val="none"/>
              </w:rPr>
              <w:t>二期</w:t>
            </w:r>
          </w:p>
        </w:tc>
        <w:tc>
          <w:tcPr>
            <w:tcW w:w="471" w:type="pct"/>
            <w:vMerge w:val="restart"/>
            <w:vAlign w:val="center"/>
          </w:tcPr>
          <w:p w14:paraId="0C01889A">
            <w:pPr>
              <w:pStyle w:val="1001"/>
              <w:rPr>
                <w:color w:val="auto"/>
                <w:highlight w:val="none"/>
                <w:u w:val="none"/>
              </w:rPr>
            </w:pPr>
            <w:r>
              <w:rPr>
                <w:rFonts w:hint="eastAsia"/>
                <w:color w:val="auto"/>
                <w:highlight w:val="none"/>
                <w:u w:val="none"/>
              </w:rPr>
              <w:t>V</w:t>
            </w:r>
            <w:r>
              <w:rPr>
                <w:color w:val="auto"/>
                <w:highlight w:val="none"/>
                <w:u w:val="none"/>
              </w:rPr>
              <w:t>CM</w:t>
            </w:r>
            <w:r>
              <w:rPr>
                <w:rFonts w:hint="eastAsia"/>
                <w:color w:val="auto"/>
                <w:highlight w:val="none"/>
                <w:u w:val="none"/>
              </w:rPr>
              <w:t>工序</w:t>
            </w:r>
          </w:p>
        </w:tc>
        <w:tc>
          <w:tcPr>
            <w:tcW w:w="1171" w:type="pct"/>
            <w:vMerge w:val="restart"/>
            <w:noWrap/>
            <w:vAlign w:val="center"/>
          </w:tcPr>
          <w:p w14:paraId="31E23B1C">
            <w:pPr>
              <w:pStyle w:val="1001"/>
              <w:rPr>
                <w:color w:val="auto"/>
                <w:highlight w:val="none"/>
                <w:u w:val="none"/>
              </w:rPr>
            </w:pPr>
            <w:r>
              <w:rPr>
                <w:rFonts w:hint="eastAsia"/>
                <w:color w:val="auto"/>
                <w:highlight w:val="none"/>
                <w:u w:val="none"/>
              </w:rPr>
              <w:t>氧氯化及</w:t>
            </w:r>
            <w:r>
              <w:rPr>
                <w:color w:val="auto"/>
                <w:highlight w:val="none"/>
                <w:u w:val="none"/>
              </w:rPr>
              <w:t>EDC回收单元</w:t>
            </w:r>
          </w:p>
        </w:tc>
        <w:tc>
          <w:tcPr>
            <w:tcW w:w="829" w:type="pct"/>
            <w:noWrap/>
            <w:vAlign w:val="center"/>
          </w:tcPr>
          <w:p w14:paraId="4F027FBB">
            <w:pPr>
              <w:pStyle w:val="1001"/>
              <w:rPr>
                <w:color w:val="auto"/>
                <w:highlight w:val="none"/>
                <w:u w:val="none"/>
              </w:rPr>
            </w:pPr>
            <w:r>
              <w:rPr>
                <w:color w:val="auto"/>
                <w:highlight w:val="none"/>
                <w:u w:val="none"/>
              </w:rPr>
              <w:t>HCl压缩机</w:t>
            </w:r>
          </w:p>
        </w:tc>
        <w:tc>
          <w:tcPr>
            <w:tcW w:w="257" w:type="pct"/>
            <w:noWrap/>
            <w:vAlign w:val="center"/>
          </w:tcPr>
          <w:p w14:paraId="2DEB0B9E">
            <w:pPr>
              <w:pStyle w:val="1001"/>
              <w:rPr>
                <w:color w:val="auto"/>
                <w:highlight w:val="none"/>
                <w:u w:val="none"/>
              </w:rPr>
            </w:pPr>
            <w:r>
              <w:rPr>
                <w:color w:val="auto"/>
                <w:kern w:val="0"/>
                <w:highlight w:val="none"/>
                <w:u w:val="none"/>
              </w:rPr>
              <w:t>1</w:t>
            </w:r>
          </w:p>
        </w:tc>
        <w:tc>
          <w:tcPr>
            <w:tcW w:w="214" w:type="pct"/>
            <w:noWrap/>
            <w:vAlign w:val="center"/>
          </w:tcPr>
          <w:p w14:paraId="2D296858">
            <w:pPr>
              <w:pStyle w:val="1001"/>
              <w:rPr>
                <w:color w:val="auto"/>
                <w:highlight w:val="none"/>
                <w:u w:val="none"/>
              </w:rPr>
            </w:pPr>
            <w:r>
              <w:rPr>
                <w:rFonts w:hint="eastAsia"/>
                <w:color w:val="auto"/>
                <w:highlight w:val="none"/>
                <w:u w:val="none"/>
              </w:rPr>
              <w:t>380</w:t>
            </w:r>
          </w:p>
        </w:tc>
        <w:tc>
          <w:tcPr>
            <w:tcW w:w="243" w:type="pct"/>
            <w:noWrap/>
            <w:vAlign w:val="center"/>
          </w:tcPr>
          <w:p w14:paraId="2894B76F">
            <w:pPr>
              <w:pStyle w:val="1001"/>
              <w:rPr>
                <w:color w:val="auto"/>
                <w:highlight w:val="none"/>
                <w:u w:val="none"/>
              </w:rPr>
            </w:pPr>
            <w:r>
              <w:rPr>
                <w:rFonts w:hint="eastAsia"/>
                <w:color w:val="auto"/>
                <w:highlight w:val="none"/>
                <w:u w:val="none"/>
              </w:rPr>
              <w:t>3</w:t>
            </w:r>
          </w:p>
        </w:tc>
        <w:tc>
          <w:tcPr>
            <w:tcW w:w="192" w:type="pct"/>
            <w:noWrap/>
            <w:vAlign w:val="center"/>
          </w:tcPr>
          <w:p w14:paraId="6C4DF164">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53281E4">
            <w:pPr>
              <w:pStyle w:val="1001"/>
              <w:rPr>
                <w:color w:val="auto"/>
                <w:highlight w:val="none"/>
                <w:u w:val="none"/>
              </w:rPr>
            </w:pPr>
            <w:r>
              <w:rPr>
                <w:color w:val="auto"/>
                <w:kern w:val="0"/>
                <w:highlight w:val="none"/>
                <w:u w:val="none"/>
              </w:rPr>
              <w:t>90</w:t>
            </w:r>
          </w:p>
        </w:tc>
        <w:tc>
          <w:tcPr>
            <w:tcW w:w="850" w:type="pct"/>
            <w:vMerge w:val="restart"/>
            <w:noWrap/>
            <w:vAlign w:val="center"/>
          </w:tcPr>
          <w:p w14:paraId="7DADC557">
            <w:pPr>
              <w:pStyle w:val="1001"/>
              <w:rPr>
                <w:rFonts w:ascii="宋体" w:cs="宋体"/>
                <w:color w:val="auto"/>
                <w:highlight w:val="none"/>
                <w:u w:val="none"/>
              </w:rPr>
            </w:pPr>
            <w:r>
              <w:rPr>
                <w:color w:val="auto"/>
                <w:kern w:val="0"/>
                <w:highlight w:val="none"/>
                <w:u w:val="none"/>
              </w:rPr>
              <w:t>设消音器，基础减振</w:t>
            </w:r>
          </w:p>
        </w:tc>
      </w:tr>
      <w:tr w14:paraId="402B3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492A077">
            <w:pPr>
              <w:pStyle w:val="1001"/>
              <w:rPr>
                <w:color w:val="auto"/>
                <w:highlight w:val="none"/>
                <w:u w:val="none"/>
              </w:rPr>
            </w:pPr>
          </w:p>
        </w:tc>
        <w:tc>
          <w:tcPr>
            <w:tcW w:w="471" w:type="pct"/>
            <w:vMerge w:val="continue"/>
            <w:vAlign w:val="center"/>
          </w:tcPr>
          <w:p w14:paraId="4822CF4B">
            <w:pPr>
              <w:pStyle w:val="1001"/>
              <w:rPr>
                <w:color w:val="auto"/>
                <w:highlight w:val="none"/>
                <w:u w:val="none"/>
              </w:rPr>
            </w:pPr>
          </w:p>
        </w:tc>
        <w:tc>
          <w:tcPr>
            <w:tcW w:w="1171" w:type="pct"/>
            <w:vMerge w:val="continue"/>
            <w:noWrap/>
            <w:vAlign w:val="center"/>
          </w:tcPr>
          <w:p w14:paraId="7A7756D2">
            <w:pPr>
              <w:pStyle w:val="1001"/>
              <w:rPr>
                <w:color w:val="auto"/>
                <w:highlight w:val="none"/>
                <w:u w:val="none"/>
              </w:rPr>
            </w:pPr>
          </w:p>
        </w:tc>
        <w:tc>
          <w:tcPr>
            <w:tcW w:w="829" w:type="pct"/>
            <w:noWrap/>
            <w:vAlign w:val="center"/>
          </w:tcPr>
          <w:p w14:paraId="4F4AA9AE">
            <w:pPr>
              <w:pStyle w:val="1001"/>
              <w:rPr>
                <w:color w:val="auto"/>
                <w:highlight w:val="none"/>
                <w:u w:val="none"/>
              </w:rPr>
            </w:pPr>
            <w:r>
              <w:rPr>
                <w:color w:val="auto"/>
                <w:highlight w:val="none"/>
                <w:u w:val="none"/>
              </w:rPr>
              <w:t>循环气压缩机</w:t>
            </w:r>
          </w:p>
        </w:tc>
        <w:tc>
          <w:tcPr>
            <w:tcW w:w="257" w:type="pct"/>
            <w:noWrap/>
            <w:vAlign w:val="center"/>
          </w:tcPr>
          <w:p w14:paraId="7E5C478E">
            <w:pPr>
              <w:pStyle w:val="1001"/>
              <w:rPr>
                <w:color w:val="auto"/>
                <w:highlight w:val="none"/>
                <w:u w:val="none"/>
              </w:rPr>
            </w:pPr>
            <w:r>
              <w:rPr>
                <w:color w:val="auto"/>
                <w:kern w:val="0"/>
                <w:highlight w:val="none"/>
                <w:u w:val="none"/>
              </w:rPr>
              <w:t>2</w:t>
            </w:r>
          </w:p>
        </w:tc>
        <w:tc>
          <w:tcPr>
            <w:tcW w:w="214" w:type="pct"/>
            <w:noWrap/>
            <w:vAlign w:val="center"/>
          </w:tcPr>
          <w:p w14:paraId="35322080">
            <w:pPr>
              <w:pStyle w:val="1001"/>
              <w:rPr>
                <w:color w:val="auto"/>
                <w:highlight w:val="none"/>
                <w:u w:val="none"/>
              </w:rPr>
            </w:pPr>
            <w:r>
              <w:rPr>
                <w:rFonts w:hint="eastAsia"/>
                <w:color w:val="auto"/>
                <w:highlight w:val="none"/>
                <w:u w:val="none"/>
              </w:rPr>
              <w:t>388</w:t>
            </w:r>
          </w:p>
        </w:tc>
        <w:tc>
          <w:tcPr>
            <w:tcW w:w="243" w:type="pct"/>
            <w:noWrap/>
            <w:vAlign w:val="center"/>
          </w:tcPr>
          <w:p w14:paraId="5F15A989">
            <w:pPr>
              <w:pStyle w:val="1001"/>
              <w:rPr>
                <w:color w:val="auto"/>
                <w:highlight w:val="none"/>
                <w:u w:val="none"/>
              </w:rPr>
            </w:pPr>
            <w:r>
              <w:rPr>
                <w:rFonts w:hint="eastAsia"/>
                <w:color w:val="auto"/>
                <w:highlight w:val="none"/>
                <w:u w:val="none"/>
              </w:rPr>
              <w:t>3</w:t>
            </w:r>
          </w:p>
        </w:tc>
        <w:tc>
          <w:tcPr>
            <w:tcW w:w="192" w:type="pct"/>
            <w:noWrap/>
            <w:vAlign w:val="center"/>
          </w:tcPr>
          <w:p w14:paraId="5D15E13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B6D926F">
            <w:pPr>
              <w:pStyle w:val="1001"/>
              <w:rPr>
                <w:color w:val="auto"/>
                <w:highlight w:val="none"/>
                <w:u w:val="none"/>
              </w:rPr>
            </w:pPr>
            <w:r>
              <w:rPr>
                <w:color w:val="auto"/>
                <w:kern w:val="0"/>
                <w:highlight w:val="none"/>
                <w:u w:val="none"/>
              </w:rPr>
              <w:t>90</w:t>
            </w:r>
          </w:p>
        </w:tc>
        <w:tc>
          <w:tcPr>
            <w:tcW w:w="850" w:type="pct"/>
            <w:vMerge w:val="continue"/>
            <w:noWrap/>
            <w:vAlign w:val="center"/>
          </w:tcPr>
          <w:p w14:paraId="2597808C">
            <w:pPr>
              <w:pStyle w:val="1001"/>
              <w:rPr>
                <w:rFonts w:ascii="宋体" w:cs="宋体"/>
                <w:color w:val="auto"/>
                <w:highlight w:val="none"/>
                <w:u w:val="none"/>
              </w:rPr>
            </w:pPr>
          </w:p>
        </w:tc>
      </w:tr>
      <w:tr w14:paraId="734F4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548EE00D">
            <w:pPr>
              <w:pStyle w:val="1001"/>
              <w:rPr>
                <w:color w:val="auto"/>
                <w:highlight w:val="none"/>
                <w:u w:val="none"/>
              </w:rPr>
            </w:pPr>
          </w:p>
        </w:tc>
        <w:tc>
          <w:tcPr>
            <w:tcW w:w="471" w:type="pct"/>
            <w:vMerge w:val="continue"/>
            <w:vAlign w:val="center"/>
          </w:tcPr>
          <w:p w14:paraId="08362B37">
            <w:pPr>
              <w:pStyle w:val="1001"/>
              <w:rPr>
                <w:color w:val="auto"/>
                <w:highlight w:val="none"/>
                <w:u w:val="none"/>
              </w:rPr>
            </w:pPr>
          </w:p>
        </w:tc>
        <w:tc>
          <w:tcPr>
            <w:tcW w:w="1171" w:type="pct"/>
            <w:vMerge w:val="continue"/>
            <w:noWrap/>
            <w:vAlign w:val="center"/>
          </w:tcPr>
          <w:p w14:paraId="2124A450">
            <w:pPr>
              <w:pStyle w:val="1001"/>
              <w:rPr>
                <w:color w:val="auto"/>
                <w:highlight w:val="none"/>
                <w:u w:val="none"/>
              </w:rPr>
            </w:pPr>
          </w:p>
        </w:tc>
        <w:tc>
          <w:tcPr>
            <w:tcW w:w="829" w:type="pct"/>
            <w:noWrap/>
            <w:vAlign w:val="center"/>
          </w:tcPr>
          <w:p w14:paraId="15C067E8">
            <w:pPr>
              <w:pStyle w:val="1001"/>
              <w:rPr>
                <w:color w:val="auto"/>
                <w:highlight w:val="none"/>
                <w:u w:val="none"/>
              </w:rPr>
            </w:pPr>
            <w:r>
              <w:rPr>
                <w:color w:val="auto"/>
                <w:highlight w:val="none"/>
                <w:u w:val="none"/>
              </w:rPr>
              <w:t>CO</w:t>
            </w:r>
            <w:r>
              <w:rPr>
                <w:color w:val="auto"/>
                <w:highlight w:val="none"/>
                <w:u w:val="none"/>
                <w:vertAlign w:val="subscript"/>
              </w:rPr>
              <w:t>2</w:t>
            </w:r>
            <w:r>
              <w:rPr>
                <w:color w:val="auto"/>
                <w:highlight w:val="none"/>
                <w:u w:val="none"/>
              </w:rPr>
              <w:t>汽提塔给料泵</w:t>
            </w:r>
          </w:p>
        </w:tc>
        <w:tc>
          <w:tcPr>
            <w:tcW w:w="257" w:type="pct"/>
            <w:noWrap/>
            <w:vAlign w:val="center"/>
          </w:tcPr>
          <w:p w14:paraId="115EF6C4">
            <w:pPr>
              <w:pStyle w:val="1001"/>
              <w:rPr>
                <w:color w:val="auto"/>
                <w:highlight w:val="none"/>
                <w:u w:val="none"/>
              </w:rPr>
            </w:pPr>
            <w:r>
              <w:rPr>
                <w:color w:val="auto"/>
                <w:kern w:val="0"/>
                <w:highlight w:val="none"/>
                <w:u w:val="none"/>
              </w:rPr>
              <w:t>4</w:t>
            </w:r>
          </w:p>
        </w:tc>
        <w:tc>
          <w:tcPr>
            <w:tcW w:w="214" w:type="pct"/>
            <w:noWrap/>
            <w:vAlign w:val="center"/>
          </w:tcPr>
          <w:p w14:paraId="032D7B9F">
            <w:pPr>
              <w:pStyle w:val="1001"/>
              <w:rPr>
                <w:color w:val="auto"/>
                <w:highlight w:val="none"/>
                <w:u w:val="none"/>
              </w:rPr>
            </w:pPr>
            <w:r>
              <w:rPr>
                <w:rFonts w:hint="eastAsia"/>
                <w:color w:val="auto"/>
                <w:highlight w:val="none"/>
                <w:u w:val="none"/>
              </w:rPr>
              <w:t>397</w:t>
            </w:r>
          </w:p>
        </w:tc>
        <w:tc>
          <w:tcPr>
            <w:tcW w:w="243" w:type="pct"/>
            <w:noWrap/>
            <w:vAlign w:val="center"/>
          </w:tcPr>
          <w:p w14:paraId="02EC4201">
            <w:pPr>
              <w:pStyle w:val="1001"/>
              <w:rPr>
                <w:color w:val="auto"/>
                <w:highlight w:val="none"/>
                <w:u w:val="none"/>
              </w:rPr>
            </w:pPr>
            <w:r>
              <w:rPr>
                <w:rFonts w:hint="eastAsia"/>
                <w:color w:val="auto"/>
                <w:highlight w:val="none"/>
                <w:u w:val="none"/>
              </w:rPr>
              <w:t>3</w:t>
            </w:r>
          </w:p>
        </w:tc>
        <w:tc>
          <w:tcPr>
            <w:tcW w:w="192" w:type="pct"/>
            <w:noWrap/>
            <w:vAlign w:val="center"/>
          </w:tcPr>
          <w:p w14:paraId="3CACDF88">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F08339A">
            <w:pPr>
              <w:pStyle w:val="1001"/>
              <w:rPr>
                <w:color w:val="auto"/>
                <w:highlight w:val="none"/>
                <w:u w:val="none"/>
              </w:rPr>
            </w:pPr>
            <w:r>
              <w:rPr>
                <w:color w:val="auto"/>
                <w:kern w:val="0"/>
                <w:highlight w:val="none"/>
                <w:u w:val="none"/>
              </w:rPr>
              <w:t>85</w:t>
            </w:r>
          </w:p>
        </w:tc>
        <w:tc>
          <w:tcPr>
            <w:tcW w:w="850" w:type="pct"/>
            <w:vMerge w:val="restart"/>
            <w:noWrap/>
            <w:vAlign w:val="center"/>
          </w:tcPr>
          <w:p w14:paraId="08B06CEC">
            <w:pPr>
              <w:pStyle w:val="1001"/>
              <w:rPr>
                <w:rFonts w:ascii="宋体" w:cs="宋体"/>
                <w:color w:val="auto"/>
                <w:highlight w:val="none"/>
                <w:u w:val="none"/>
              </w:rPr>
            </w:pPr>
            <w:r>
              <w:rPr>
                <w:color w:val="auto"/>
                <w:kern w:val="0"/>
                <w:highlight w:val="none"/>
                <w:u w:val="none"/>
              </w:rPr>
              <w:t>基础减振</w:t>
            </w:r>
          </w:p>
        </w:tc>
      </w:tr>
      <w:tr w14:paraId="5507BD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2AE352C">
            <w:pPr>
              <w:pStyle w:val="1001"/>
              <w:rPr>
                <w:color w:val="auto"/>
                <w:highlight w:val="none"/>
                <w:u w:val="none"/>
              </w:rPr>
            </w:pPr>
          </w:p>
        </w:tc>
        <w:tc>
          <w:tcPr>
            <w:tcW w:w="471" w:type="pct"/>
            <w:vMerge w:val="continue"/>
            <w:vAlign w:val="center"/>
          </w:tcPr>
          <w:p w14:paraId="303AA63D">
            <w:pPr>
              <w:pStyle w:val="1001"/>
              <w:rPr>
                <w:color w:val="auto"/>
                <w:highlight w:val="none"/>
                <w:u w:val="none"/>
              </w:rPr>
            </w:pPr>
          </w:p>
        </w:tc>
        <w:tc>
          <w:tcPr>
            <w:tcW w:w="1171" w:type="pct"/>
            <w:vMerge w:val="continue"/>
            <w:noWrap/>
            <w:vAlign w:val="center"/>
          </w:tcPr>
          <w:p w14:paraId="5508300D">
            <w:pPr>
              <w:pStyle w:val="1001"/>
              <w:rPr>
                <w:color w:val="auto"/>
                <w:highlight w:val="none"/>
                <w:u w:val="none"/>
              </w:rPr>
            </w:pPr>
          </w:p>
        </w:tc>
        <w:tc>
          <w:tcPr>
            <w:tcW w:w="829" w:type="pct"/>
            <w:noWrap/>
            <w:vAlign w:val="center"/>
          </w:tcPr>
          <w:p w14:paraId="36283DE9">
            <w:pPr>
              <w:pStyle w:val="1001"/>
              <w:rPr>
                <w:color w:val="auto"/>
                <w:highlight w:val="none"/>
                <w:u w:val="none"/>
              </w:rPr>
            </w:pPr>
            <w:r>
              <w:rPr>
                <w:color w:val="auto"/>
                <w:highlight w:val="none"/>
                <w:u w:val="none"/>
              </w:rPr>
              <w:t>碱洗循环泵</w:t>
            </w:r>
          </w:p>
        </w:tc>
        <w:tc>
          <w:tcPr>
            <w:tcW w:w="257" w:type="pct"/>
            <w:noWrap/>
            <w:vAlign w:val="center"/>
          </w:tcPr>
          <w:p w14:paraId="40DBEFA8">
            <w:pPr>
              <w:pStyle w:val="1001"/>
              <w:rPr>
                <w:color w:val="auto"/>
                <w:highlight w:val="none"/>
                <w:u w:val="none"/>
              </w:rPr>
            </w:pPr>
            <w:r>
              <w:rPr>
                <w:color w:val="auto"/>
                <w:kern w:val="0"/>
                <w:highlight w:val="none"/>
                <w:u w:val="none"/>
              </w:rPr>
              <w:t>2</w:t>
            </w:r>
          </w:p>
        </w:tc>
        <w:tc>
          <w:tcPr>
            <w:tcW w:w="214" w:type="pct"/>
            <w:noWrap/>
            <w:vAlign w:val="center"/>
          </w:tcPr>
          <w:p w14:paraId="5085DBF8">
            <w:pPr>
              <w:pStyle w:val="1001"/>
              <w:rPr>
                <w:color w:val="auto"/>
                <w:highlight w:val="none"/>
                <w:u w:val="none"/>
              </w:rPr>
            </w:pPr>
            <w:r>
              <w:rPr>
                <w:rFonts w:hint="eastAsia"/>
                <w:color w:val="auto"/>
                <w:highlight w:val="none"/>
                <w:u w:val="none"/>
              </w:rPr>
              <w:t>436</w:t>
            </w:r>
          </w:p>
        </w:tc>
        <w:tc>
          <w:tcPr>
            <w:tcW w:w="243" w:type="pct"/>
            <w:noWrap/>
            <w:vAlign w:val="center"/>
          </w:tcPr>
          <w:p w14:paraId="3A548E10">
            <w:pPr>
              <w:pStyle w:val="1001"/>
              <w:rPr>
                <w:color w:val="auto"/>
                <w:highlight w:val="none"/>
                <w:u w:val="none"/>
              </w:rPr>
            </w:pPr>
            <w:r>
              <w:rPr>
                <w:rFonts w:hint="eastAsia"/>
                <w:color w:val="auto"/>
                <w:highlight w:val="none"/>
                <w:u w:val="none"/>
              </w:rPr>
              <w:t>-5</w:t>
            </w:r>
          </w:p>
        </w:tc>
        <w:tc>
          <w:tcPr>
            <w:tcW w:w="192" w:type="pct"/>
            <w:noWrap/>
            <w:vAlign w:val="center"/>
          </w:tcPr>
          <w:p w14:paraId="58DAD4E7">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E267AA2">
            <w:pPr>
              <w:pStyle w:val="1001"/>
              <w:rPr>
                <w:color w:val="auto"/>
                <w:highlight w:val="none"/>
                <w:u w:val="none"/>
              </w:rPr>
            </w:pPr>
            <w:r>
              <w:rPr>
                <w:color w:val="auto"/>
                <w:kern w:val="0"/>
                <w:highlight w:val="none"/>
                <w:u w:val="none"/>
              </w:rPr>
              <w:t>85</w:t>
            </w:r>
          </w:p>
        </w:tc>
        <w:tc>
          <w:tcPr>
            <w:tcW w:w="850" w:type="pct"/>
            <w:vMerge w:val="continue"/>
            <w:noWrap/>
            <w:vAlign w:val="center"/>
          </w:tcPr>
          <w:p w14:paraId="053B7518">
            <w:pPr>
              <w:pStyle w:val="1001"/>
              <w:rPr>
                <w:rFonts w:ascii="宋体" w:cs="宋体"/>
                <w:color w:val="auto"/>
                <w:highlight w:val="none"/>
                <w:u w:val="none"/>
              </w:rPr>
            </w:pPr>
          </w:p>
        </w:tc>
      </w:tr>
      <w:tr w14:paraId="0BBF5A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250A835A">
            <w:pPr>
              <w:pStyle w:val="1001"/>
              <w:rPr>
                <w:color w:val="auto"/>
                <w:highlight w:val="none"/>
                <w:u w:val="none"/>
              </w:rPr>
            </w:pPr>
          </w:p>
        </w:tc>
        <w:tc>
          <w:tcPr>
            <w:tcW w:w="471" w:type="pct"/>
            <w:vMerge w:val="continue"/>
            <w:vAlign w:val="center"/>
          </w:tcPr>
          <w:p w14:paraId="1F5DC78C">
            <w:pPr>
              <w:pStyle w:val="1001"/>
              <w:rPr>
                <w:color w:val="auto"/>
                <w:highlight w:val="none"/>
                <w:u w:val="none"/>
              </w:rPr>
            </w:pPr>
          </w:p>
        </w:tc>
        <w:tc>
          <w:tcPr>
            <w:tcW w:w="1171" w:type="pct"/>
            <w:vMerge w:val="continue"/>
            <w:noWrap/>
            <w:vAlign w:val="center"/>
          </w:tcPr>
          <w:p w14:paraId="6BBD1402">
            <w:pPr>
              <w:pStyle w:val="1001"/>
              <w:rPr>
                <w:color w:val="auto"/>
                <w:highlight w:val="none"/>
                <w:u w:val="none"/>
              </w:rPr>
            </w:pPr>
          </w:p>
        </w:tc>
        <w:tc>
          <w:tcPr>
            <w:tcW w:w="829" w:type="pct"/>
            <w:noWrap/>
            <w:vAlign w:val="center"/>
          </w:tcPr>
          <w:p w14:paraId="4FB57BE0">
            <w:pPr>
              <w:pStyle w:val="1001"/>
              <w:rPr>
                <w:color w:val="auto"/>
                <w:highlight w:val="none"/>
                <w:u w:val="none"/>
              </w:rPr>
            </w:pPr>
            <w:r>
              <w:rPr>
                <w:color w:val="auto"/>
                <w:highlight w:val="none"/>
                <w:u w:val="none"/>
              </w:rPr>
              <w:t>水洗循环泵</w:t>
            </w:r>
          </w:p>
        </w:tc>
        <w:tc>
          <w:tcPr>
            <w:tcW w:w="257" w:type="pct"/>
            <w:noWrap/>
            <w:vAlign w:val="center"/>
          </w:tcPr>
          <w:p w14:paraId="005E10A1">
            <w:pPr>
              <w:pStyle w:val="1001"/>
              <w:rPr>
                <w:color w:val="auto"/>
                <w:highlight w:val="none"/>
                <w:u w:val="none"/>
              </w:rPr>
            </w:pPr>
            <w:r>
              <w:rPr>
                <w:color w:val="auto"/>
                <w:kern w:val="0"/>
                <w:highlight w:val="none"/>
                <w:u w:val="none"/>
              </w:rPr>
              <w:t>2</w:t>
            </w:r>
          </w:p>
        </w:tc>
        <w:tc>
          <w:tcPr>
            <w:tcW w:w="214" w:type="pct"/>
            <w:noWrap/>
            <w:vAlign w:val="center"/>
          </w:tcPr>
          <w:p w14:paraId="33B09235">
            <w:pPr>
              <w:pStyle w:val="1001"/>
              <w:rPr>
                <w:color w:val="auto"/>
                <w:highlight w:val="none"/>
                <w:u w:val="none"/>
              </w:rPr>
            </w:pPr>
            <w:r>
              <w:rPr>
                <w:rFonts w:hint="eastAsia"/>
                <w:color w:val="auto"/>
                <w:highlight w:val="none"/>
                <w:u w:val="none"/>
              </w:rPr>
              <w:t>389</w:t>
            </w:r>
          </w:p>
        </w:tc>
        <w:tc>
          <w:tcPr>
            <w:tcW w:w="243" w:type="pct"/>
            <w:noWrap/>
            <w:vAlign w:val="center"/>
          </w:tcPr>
          <w:p w14:paraId="17E5CB0F">
            <w:pPr>
              <w:pStyle w:val="1001"/>
              <w:rPr>
                <w:color w:val="auto"/>
                <w:highlight w:val="none"/>
                <w:u w:val="none"/>
              </w:rPr>
            </w:pPr>
            <w:r>
              <w:rPr>
                <w:rFonts w:hint="eastAsia"/>
                <w:color w:val="auto"/>
                <w:highlight w:val="none"/>
                <w:u w:val="none"/>
              </w:rPr>
              <w:t>-42</w:t>
            </w:r>
          </w:p>
        </w:tc>
        <w:tc>
          <w:tcPr>
            <w:tcW w:w="192" w:type="pct"/>
            <w:noWrap/>
            <w:vAlign w:val="center"/>
          </w:tcPr>
          <w:p w14:paraId="65ABAB1B">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5D00E8B">
            <w:pPr>
              <w:pStyle w:val="1001"/>
              <w:rPr>
                <w:color w:val="auto"/>
                <w:highlight w:val="none"/>
                <w:u w:val="none"/>
              </w:rPr>
            </w:pPr>
            <w:r>
              <w:rPr>
                <w:color w:val="auto"/>
                <w:kern w:val="0"/>
                <w:highlight w:val="none"/>
                <w:u w:val="none"/>
              </w:rPr>
              <w:t>85</w:t>
            </w:r>
          </w:p>
        </w:tc>
        <w:tc>
          <w:tcPr>
            <w:tcW w:w="850" w:type="pct"/>
            <w:vMerge w:val="continue"/>
            <w:noWrap/>
            <w:vAlign w:val="center"/>
          </w:tcPr>
          <w:p w14:paraId="19CA94E8">
            <w:pPr>
              <w:pStyle w:val="1001"/>
              <w:rPr>
                <w:rFonts w:ascii="宋体" w:cs="宋体"/>
                <w:color w:val="auto"/>
                <w:highlight w:val="none"/>
                <w:u w:val="none"/>
              </w:rPr>
            </w:pPr>
          </w:p>
        </w:tc>
      </w:tr>
      <w:tr w14:paraId="0D261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70A5D9B">
            <w:pPr>
              <w:pStyle w:val="1001"/>
              <w:rPr>
                <w:color w:val="auto"/>
                <w:highlight w:val="none"/>
                <w:u w:val="none"/>
              </w:rPr>
            </w:pPr>
          </w:p>
        </w:tc>
        <w:tc>
          <w:tcPr>
            <w:tcW w:w="471" w:type="pct"/>
            <w:vMerge w:val="continue"/>
            <w:vAlign w:val="center"/>
          </w:tcPr>
          <w:p w14:paraId="73B5F0ED">
            <w:pPr>
              <w:pStyle w:val="1001"/>
              <w:rPr>
                <w:color w:val="auto"/>
                <w:highlight w:val="none"/>
                <w:u w:val="none"/>
              </w:rPr>
            </w:pPr>
          </w:p>
        </w:tc>
        <w:tc>
          <w:tcPr>
            <w:tcW w:w="1171" w:type="pct"/>
            <w:vMerge w:val="restart"/>
            <w:noWrap/>
            <w:vAlign w:val="center"/>
          </w:tcPr>
          <w:p w14:paraId="25E8AA56">
            <w:pPr>
              <w:pStyle w:val="1001"/>
              <w:rPr>
                <w:color w:val="auto"/>
                <w:highlight w:val="none"/>
                <w:u w:val="none"/>
              </w:rPr>
            </w:pPr>
            <w:r>
              <w:rPr>
                <w:color w:val="auto"/>
                <w:kern w:val="0"/>
                <w:highlight w:val="none"/>
                <w:u w:val="none"/>
              </w:rPr>
              <w:t>EDC精馏单元</w:t>
            </w:r>
          </w:p>
        </w:tc>
        <w:tc>
          <w:tcPr>
            <w:tcW w:w="829" w:type="pct"/>
            <w:noWrap/>
            <w:vAlign w:val="center"/>
          </w:tcPr>
          <w:p w14:paraId="69DB70FE">
            <w:pPr>
              <w:pStyle w:val="1001"/>
              <w:rPr>
                <w:color w:val="auto"/>
                <w:highlight w:val="none"/>
                <w:u w:val="none"/>
              </w:rPr>
            </w:pPr>
            <w:r>
              <w:rPr>
                <w:color w:val="auto"/>
                <w:kern w:val="0"/>
                <w:highlight w:val="none"/>
                <w:u w:val="none"/>
              </w:rPr>
              <w:t>头塔泵</w:t>
            </w:r>
          </w:p>
        </w:tc>
        <w:tc>
          <w:tcPr>
            <w:tcW w:w="257" w:type="pct"/>
            <w:noWrap/>
            <w:vAlign w:val="center"/>
          </w:tcPr>
          <w:p w14:paraId="228AB29E">
            <w:pPr>
              <w:pStyle w:val="1001"/>
              <w:rPr>
                <w:color w:val="auto"/>
                <w:highlight w:val="none"/>
                <w:u w:val="none"/>
              </w:rPr>
            </w:pPr>
            <w:r>
              <w:rPr>
                <w:color w:val="auto"/>
                <w:kern w:val="0"/>
                <w:highlight w:val="none"/>
                <w:u w:val="none"/>
              </w:rPr>
              <w:t>2</w:t>
            </w:r>
          </w:p>
        </w:tc>
        <w:tc>
          <w:tcPr>
            <w:tcW w:w="214" w:type="pct"/>
            <w:noWrap/>
            <w:vAlign w:val="center"/>
          </w:tcPr>
          <w:p w14:paraId="3DF311EB">
            <w:pPr>
              <w:pStyle w:val="1001"/>
              <w:rPr>
                <w:color w:val="auto"/>
                <w:highlight w:val="none"/>
                <w:u w:val="none"/>
              </w:rPr>
            </w:pPr>
            <w:r>
              <w:rPr>
                <w:rFonts w:hint="eastAsia"/>
                <w:color w:val="auto"/>
                <w:highlight w:val="none"/>
                <w:u w:val="none"/>
              </w:rPr>
              <w:t>388</w:t>
            </w:r>
          </w:p>
        </w:tc>
        <w:tc>
          <w:tcPr>
            <w:tcW w:w="243" w:type="pct"/>
            <w:noWrap/>
            <w:vAlign w:val="center"/>
          </w:tcPr>
          <w:p w14:paraId="310338E4">
            <w:pPr>
              <w:pStyle w:val="1001"/>
              <w:rPr>
                <w:color w:val="auto"/>
                <w:highlight w:val="none"/>
                <w:u w:val="none"/>
              </w:rPr>
            </w:pPr>
            <w:r>
              <w:rPr>
                <w:rFonts w:hint="eastAsia"/>
                <w:color w:val="auto"/>
                <w:highlight w:val="none"/>
                <w:u w:val="none"/>
              </w:rPr>
              <w:t>-51</w:t>
            </w:r>
          </w:p>
        </w:tc>
        <w:tc>
          <w:tcPr>
            <w:tcW w:w="192" w:type="pct"/>
            <w:noWrap/>
            <w:vAlign w:val="center"/>
          </w:tcPr>
          <w:p w14:paraId="63AA5878">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910E50A">
            <w:pPr>
              <w:pStyle w:val="1001"/>
              <w:rPr>
                <w:color w:val="auto"/>
                <w:highlight w:val="none"/>
                <w:u w:val="none"/>
              </w:rPr>
            </w:pPr>
            <w:r>
              <w:rPr>
                <w:color w:val="auto"/>
                <w:kern w:val="0"/>
                <w:highlight w:val="none"/>
                <w:u w:val="none"/>
              </w:rPr>
              <w:t>75</w:t>
            </w:r>
          </w:p>
        </w:tc>
        <w:tc>
          <w:tcPr>
            <w:tcW w:w="850" w:type="pct"/>
            <w:vMerge w:val="restart"/>
            <w:noWrap/>
            <w:vAlign w:val="center"/>
          </w:tcPr>
          <w:p w14:paraId="382F6442">
            <w:pPr>
              <w:pStyle w:val="1001"/>
              <w:rPr>
                <w:rFonts w:ascii="宋体" w:cs="宋体"/>
                <w:color w:val="auto"/>
                <w:highlight w:val="none"/>
                <w:u w:val="none"/>
              </w:rPr>
            </w:pPr>
            <w:r>
              <w:rPr>
                <w:rFonts w:hint="eastAsia" w:ascii="宋体" w:cs="宋体"/>
                <w:color w:val="auto"/>
                <w:highlight w:val="none"/>
                <w:u w:val="none"/>
              </w:rPr>
              <w:t>基础减振，厂房隔声</w:t>
            </w:r>
          </w:p>
        </w:tc>
      </w:tr>
      <w:tr w14:paraId="7D693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963A6A5">
            <w:pPr>
              <w:pStyle w:val="1001"/>
              <w:rPr>
                <w:color w:val="auto"/>
                <w:highlight w:val="none"/>
                <w:u w:val="none"/>
              </w:rPr>
            </w:pPr>
          </w:p>
        </w:tc>
        <w:tc>
          <w:tcPr>
            <w:tcW w:w="471" w:type="pct"/>
            <w:vMerge w:val="continue"/>
            <w:vAlign w:val="center"/>
          </w:tcPr>
          <w:p w14:paraId="4EFCB08D">
            <w:pPr>
              <w:pStyle w:val="1001"/>
              <w:rPr>
                <w:color w:val="auto"/>
                <w:highlight w:val="none"/>
                <w:u w:val="none"/>
              </w:rPr>
            </w:pPr>
          </w:p>
        </w:tc>
        <w:tc>
          <w:tcPr>
            <w:tcW w:w="1171" w:type="pct"/>
            <w:vMerge w:val="continue"/>
            <w:noWrap/>
            <w:vAlign w:val="center"/>
          </w:tcPr>
          <w:p w14:paraId="4F0DFC4B">
            <w:pPr>
              <w:pStyle w:val="1001"/>
              <w:rPr>
                <w:color w:val="auto"/>
                <w:highlight w:val="none"/>
                <w:u w:val="none"/>
              </w:rPr>
            </w:pPr>
          </w:p>
        </w:tc>
        <w:tc>
          <w:tcPr>
            <w:tcW w:w="829" w:type="pct"/>
            <w:noWrap/>
            <w:vAlign w:val="center"/>
          </w:tcPr>
          <w:p w14:paraId="6694B8BD">
            <w:pPr>
              <w:pStyle w:val="1001"/>
              <w:rPr>
                <w:color w:val="auto"/>
                <w:highlight w:val="none"/>
                <w:u w:val="none"/>
              </w:rPr>
            </w:pPr>
            <w:r>
              <w:rPr>
                <w:color w:val="auto"/>
                <w:kern w:val="0"/>
                <w:highlight w:val="none"/>
                <w:u w:val="none"/>
              </w:rPr>
              <w:t>高沸塔泵</w:t>
            </w:r>
          </w:p>
        </w:tc>
        <w:tc>
          <w:tcPr>
            <w:tcW w:w="257" w:type="pct"/>
            <w:noWrap/>
            <w:vAlign w:val="center"/>
          </w:tcPr>
          <w:p w14:paraId="72800F49">
            <w:pPr>
              <w:pStyle w:val="1001"/>
              <w:rPr>
                <w:color w:val="auto"/>
                <w:highlight w:val="none"/>
                <w:u w:val="none"/>
              </w:rPr>
            </w:pPr>
            <w:r>
              <w:rPr>
                <w:color w:val="auto"/>
                <w:kern w:val="0"/>
                <w:highlight w:val="none"/>
                <w:u w:val="none"/>
              </w:rPr>
              <w:t>2</w:t>
            </w:r>
          </w:p>
        </w:tc>
        <w:tc>
          <w:tcPr>
            <w:tcW w:w="214" w:type="pct"/>
            <w:noWrap/>
            <w:vAlign w:val="center"/>
          </w:tcPr>
          <w:p w14:paraId="35D7618D">
            <w:pPr>
              <w:pStyle w:val="1001"/>
              <w:rPr>
                <w:color w:val="auto"/>
                <w:highlight w:val="none"/>
                <w:u w:val="none"/>
              </w:rPr>
            </w:pPr>
            <w:r>
              <w:rPr>
                <w:rFonts w:hint="eastAsia"/>
                <w:color w:val="auto"/>
                <w:highlight w:val="none"/>
                <w:u w:val="none"/>
              </w:rPr>
              <w:t>389</w:t>
            </w:r>
          </w:p>
        </w:tc>
        <w:tc>
          <w:tcPr>
            <w:tcW w:w="243" w:type="pct"/>
            <w:noWrap/>
            <w:vAlign w:val="center"/>
          </w:tcPr>
          <w:p w14:paraId="22C625C8">
            <w:pPr>
              <w:pStyle w:val="1001"/>
              <w:rPr>
                <w:color w:val="auto"/>
                <w:highlight w:val="none"/>
                <w:u w:val="none"/>
              </w:rPr>
            </w:pPr>
            <w:r>
              <w:rPr>
                <w:rFonts w:hint="eastAsia"/>
                <w:color w:val="auto"/>
                <w:highlight w:val="none"/>
                <w:u w:val="none"/>
              </w:rPr>
              <w:t>-60</w:t>
            </w:r>
          </w:p>
        </w:tc>
        <w:tc>
          <w:tcPr>
            <w:tcW w:w="192" w:type="pct"/>
            <w:noWrap/>
            <w:vAlign w:val="center"/>
          </w:tcPr>
          <w:p w14:paraId="26A42F0B">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3AD741E">
            <w:pPr>
              <w:pStyle w:val="1001"/>
              <w:rPr>
                <w:color w:val="auto"/>
                <w:highlight w:val="none"/>
                <w:u w:val="none"/>
              </w:rPr>
            </w:pPr>
            <w:r>
              <w:rPr>
                <w:color w:val="auto"/>
                <w:kern w:val="0"/>
                <w:highlight w:val="none"/>
                <w:u w:val="none"/>
              </w:rPr>
              <w:t>75</w:t>
            </w:r>
          </w:p>
        </w:tc>
        <w:tc>
          <w:tcPr>
            <w:tcW w:w="850" w:type="pct"/>
            <w:vMerge w:val="continue"/>
            <w:noWrap/>
            <w:vAlign w:val="center"/>
          </w:tcPr>
          <w:p w14:paraId="304C6270">
            <w:pPr>
              <w:pStyle w:val="1001"/>
              <w:rPr>
                <w:rFonts w:ascii="宋体" w:cs="宋体"/>
                <w:color w:val="auto"/>
                <w:highlight w:val="none"/>
                <w:u w:val="none"/>
              </w:rPr>
            </w:pPr>
          </w:p>
        </w:tc>
      </w:tr>
      <w:tr w14:paraId="4BEC75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971D6A5">
            <w:pPr>
              <w:pStyle w:val="1001"/>
              <w:rPr>
                <w:color w:val="auto"/>
                <w:highlight w:val="none"/>
                <w:u w:val="none"/>
              </w:rPr>
            </w:pPr>
          </w:p>
        </w:tc>
        <w:tc>
          <w:tcPr>
            <w:tcW w:w="471" w:type="pct"/>
            <w:vMerge w:val="continue"/>
            <w:vAlign w:val="center"/>
          </w:tcPr>
          <w:p w14:paraId="2F445C46">
            <w:pPr>
              <w:pStyle w:val="1001"/>
              <w:rPr>
                <w:color w:val="auto"/>
                <w:highlight w:val="none"/>
                <w:u w:val="none"/>
              </w:rPr>
            </w:pPr>
          </w:p>
        </w:tc>
        <w:tc>
          <w:tcPr>
            <w:tcW w:w="1171" w:type="pct"/>
            <w:vMerge w:val="continue"/>
            <w:noWrap/>
            <w:vAlign w:val="center"/>
          </w:tcPr>
          <w:p w14:paraId="6C94A538">
            <w:pPr>
              <w:pStyle w:val="1001"/>
              <w:rPr>
                <w:color w:val="auto"/>
                <w:highlight w:val="none"/>
                <w:u w:val="none"/>
              </w:rPr>
            </w:pPr>
          </w:p>
        </w:tc>
        <w:tc>
          <w:tcPr>
            <w:tcW w:w="829" w:type="pct"/>
            <w:noWrap/>
            <w:vAlign w:val="center"/>
          </w:tcPr>
          <w:p w14:paraId="1D93539A">
            <w:pPr>
              <w:pStyle w:val="1001"/>
              <w:rPr>
                <w:color w:val="auto"/>
                <w:highlight w:val="none"/>
                <w:u w:val="none"/>
              </w:rPr>
            </w:pPr>
            <w:r>
              <w:rPr>
                <w:color w:val="auto"/>
                <w:kern w:val="0"/>
                <w:highlight w:val="none"/>
                <w:u w:val="none"/>
              </w:rPr>
              <w:t>真空塔泵</w:t>
            </w:r>
          </w:p>
        </w:tc>
        <w:tc>
          <w:tcPr>
            <w:tcW w:w="257" w:type="pct"/>
            <w:noWrap/>
            <w:vAlign w:val="center"/>
          </w:tcPr>
          <w:p w14:paraId="37FAF0F8">
            <w:pPr>
              <w:pStyle w:val="1001"/>
              <w:rPr>
                <w:color w:val="auto"/>
                <w:highlight w:val="none"/>
                <w:u w:val="none"/>
              </w:rPr>
            </w:pPr>
            <w:r>
              <w:rPr>
                <w:color w:val="auto"/>
                <w:kern w:val="0"/>
                <w:highlight w:val="none"/>
                <w:u w:val="none"/>
              </w:rPr>
              <w:t>2</w:t>
            </w:r>
          </w:p>
        </w:tc>
        <w:tc>
          <w:tcPr>
            <w:tcW w:w="214" w:type="pct"/>
            <w:noWrap/>
            <w:vAlign w:val="center"/>
          </w:tcPr>
          <w:p w14:paraId="30FB3283">
            <w:pPr>
              <w:pStyle w:val="1001"/>
              <w:rPr>
                <w:color w:val="auto"/>
                <w:highlight w:val="none"/>
                <w:u w:val="none"/>
              </w:rPr>
            </w:pPr>
            <w:r>
              <w:rPr>
                <w:rFonts w:hint="eastAsia"/>
                <w:color w:val="auto"/>
                <w:highlight w:val="none"/>
                <w:u w:val="none"/>
              </w:rPr>
              <w:t>390</w:t>
            </w:r>
          </w:p>
        </w:tc>
        <w:tc>
          <w:tcPr>
            <w:tcW w:w="243" w:type="pct"/>
            <w:noWrap/>
            <w:vAlign w:val="center"/>
          </w:tcPr>
          <w:p w14:paraId="2FCD8BF4">
            <w:pPr>
              <w:pStyle w:val="1001"/>
              <w:rPr>
                <w:color w:val="auto"/>
                <w:highlight w:val="none"/>
                <w:u w:val="none"/>
              </w:rPr>
            </w:pPr>
            <w:r>
              <w:rPr>
                <w:rFonts w:hint="eastAsia"/>
                <w:color w:val="auto"/>
                <w:highlight w:val="none"/>
                <w:u w:val="none"/>
              </w:rPr>
              <w:t>-71</w:t>
            </w:r>
          </w:p>
        </w:tc>
        <w:tc>
          <w:tcPr>
            <w:tcW w:w="192" w:type="pct"/>
            <w:noWrap/>
          </w:tcPr>
          <w:p w14:paraId="7B7EEA9A">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EFB036A">
            <w:pPr>
              <w:pStyle w:val="1001"/>
              <w:rPr>
                <w:color w:val="auto"/>
                <w:highlight w:val="none"/>
                <w:u w:val="none"/>
              </w:rPr>
            </w:pPr>
            <w:r>
              <w:rPr>
                <w:color w:val="auto"/>
                <w:kern w:val="0"/>
                <w:highlight w:val="none"/>
                <w:u w:val="none"/>
              </w:rPr>
              <w:t>75</w:t>
            </w:r>
          </w:p>
        </w:tc>
        <w:tc>
          <w:tcPr>
            <w:tcW w:w="850" w:type="pct"/>
            <w:vMerge w:val="continue"/>
            <w:noWrap/>
            <w:vAlign w:val="center"/>
          </w:tcPr>
          <w:p w14:paraId="0EBEE1E3">
            <w:pPr>
              <w:pStyle w:val="1001"/>
              <w:rPr>
                <w:rFonts w:ascii="宋体" w:cs="宋体"/>
                <w:color w:val="auto"/>
                <w:highlight w:val="none"/>
                <w:u w:val="none"/>
              </w:rPr>
            </w:pPr>
          </w:p>
        </w:tc>
      </w:tr>
      <w:tr w14:paraId="4AD8E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974718B">
            <w:pPr>
              <w:pStyle w:val="1001"/>
              <w:rPr>
                <w:color w:val="auto"/>
                <w:highlight w:val="none"/>
                <w:u w:val="none"/>
              </w:rPr>
            </w:pPr>
          </w:p>
        </w:tc>
        <w:tc>
          <w:tcPr>
            <w:tcW w:w="471" w:type="pct"/>
            <w:vMerge w:val="continue"/>
            <w:vAlign w:val="center"/>
          </w:tcPr>
          <w:p w14:paraId="1334ABAE">
            <w:pPr>
              <w:pStyle w:val="1001"/>
              <w:rPr>
                <w:color w:val="auto"/>
                <w:highlight w:val="none"/>
                <w:u w:val="none"/>
              </w:rPr>
            </w:pPr>
          </w:p>
        </w:tc>
        <w:tc>
          <w:tcPr>
            <w:tcW w:w="1171" w:type="pct"/>
            <w:vMerge w:val="continue"/>
            <w:noWrap/>
            <w:vAlign w:val="center"/>
          </w:tcPr>
          <w:p w14:paraId="66AADEF1">
            <w:pPr>
              <w:pStyle w:val="1001"/>
              <w:rPr>
                <w:color w:val="auto"/>
                <w:highlight w:val="none"/>
                <w:u w:val="none"/>
              </w:rPr>
            </w:pPr>
          </w:p>
        </w:tc>
        <w:tc>
          <w:tcPr>
            <w:tcW w:w="829" w:type="pct"/>
            <w:noWrap/>
            <w:vAlign w:val="center"/>
          </w:tcPr>
          <w:p w14:paraId="4437AE40">
            <w:pPr>
              <w:pStyle w:val="1001"/>
              <w:rPr>
                <w:color w:val="auto"/>
                <w:highlight w:val="none"/>
                <w:u w:val="none"/>
              </w:rPr>
            </w:pPr>
            <w:r>
              <w:rPr>
                <w:color w:val="auto"/>
                <w:kern w:val="0"/>
                <w:highlight w:val="none"/>
                <w:u w:val="none"/>
              </w:rPr>
              <w:t>头塔倾析水泵</w:t>
            </w:r>
          </w:p>
        </w:tc>
        <w:tc>
          <w:tcPr>
            <w:tcW w:w="257" w:type="pct"/>
            <w:noWrap/>
            <w:vAlign w:val="center"/>
          </w:tcPr>
          <w:p w14:paraId="272499E7">
            <w:pPr>
              <w:pStyle w:val="1001"/>
              <w:rPr>
                <w:color w:val="auto"/>
                <w:highlight w:val="none"/>
                <w:u w:val="none"/>
              </w:rPr>
            </w:pPr>
            <w:r>
              <w:rPr>
                <w:color w:val="auto"/>
                <w:kern w:val="0"/>
                <w:highlight w:val="none"/>
                <w:u w:val="none"/>
              </w:rPr>
              <w:t>2</w:t>
            </w:r>
          </w:p>
        </w:tc>
        <w:tc>
          <w:tcPr>
            <w:tcW w:w="214" w:type="pct"/>
            <w:noWrap/>
            <w:vAlign w:val="center"/>
          </w:tcPr>
          <w:p w14:paraId="423105CA">
            <w:pPr>
              <w:pStyle w:val="1001"/>
              <w:rPr>
                <w:color w:val="auto"/>
                <w:highlight w:val="none"/>
                <w:u w:val="none"/>
              </w:rPr>
            </w:pPr>
            <w:r>
              <w:rPr>
                <w:rFonts w:hint="eastAsia"/>
                <w:color w:val="auto"/>
                <w:highlight w:val="none"/>
                <w:u w:val="none"/>
              </w:rPr>
              <w:t>425</w:t>
            </w:r>
          </w:p>
        </w:tc>
        <w:tc>
          <w:tcPr>
            <w:tcW w:w="243" w:type="pct"/>
            <w:noWrap/>
            <w:vAlign w:val="center"/>
          </w:tcPr>
          <w:p w14:paraId="6DB7EC2C">
            <w:pPr>
              <w:pStyle w:val="1001"/>
              <w:rPr>
                <w:color w:val="auto"/>
                <w:highlight w:val="none"/>
                <w:u w:val="none"/>
              </w:rPr>
            </w:pPr>
            <w:r>
              <w:rPr>
                <w:rFonts w:hint="eastAsia"/>
                <w:color w:val="auto"/>
                <w:highlight w:val="none"/>
                <w:u w:val="none"/>
              </w:rPr>
              <w:t>-43</w:t>
            </w:r>
          </w:p>
        </w:tc>
        <w:tc>
          <w:tcPr>
            <w:tcW w:w="192" w:type="pct"/>
            <w:noWrap/>
          </w:tcPr>
          <w:p w14:paraId="43EC535D">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C46E888">
            <w:pPr>
              <w:pStyle w:val="1001"/>
              <w:rPr>
                <w:color w:val="auto"/>
                <w:highlight w:val="none"/>
                <w:u w:val="none"/>
              </w:rPr>
            </w:pPr>
            <w:r>
              <w:rPr>
                <w:color w:val="auto"/>
                <w:kern w:val="0"/>
                <w:highlight w:val="none"/>
                <w:u w:val="none"/>
              </w:rPr>
              <w:t>75</w:t>
            </w:r>
          </w:p>
        </w:tc>
        <w:tc>
          <w:tcPr>
            <w:tcW w:w="850" w:type="pct"/>
            <w:vMerge w:val="continue"/>
            <w:noWrap/>
            <w:vAlign w:val="center"/>
          </w:tcPr>
          <w:p w14:paraId="275389C4">
            <w:pPr>
              <w:pStyle w:val="1001"/>
              <w:rPr>
                <w:rFonts w:ascii="宋体" w:cs="宋体"/>
                <w:color w:val="auto"/>
                <w:highlight w:val="none"/>
                <w:u w:val="none"/>
              </w:rPr>
            </w:pPr>
          </w:p>
        </w:tc>
      </w:tr>
      <w:tr w14:paraId="4C135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7F3B18D3">
            <w:pPr>
              <w:pStyle w:val="1001"/>
              <w:rPr>
                <w:color w:val="auto"/>
                <w:highlight w:val="none"/>
                <w:u w:val="none"/>
              </w:rPr>
            </w:pPr>
          </w:p>
        </w:tc>
        <w:tc>
          <w:tcPr>
            <w:tcW w:w="471" w:type="pct"/>
            <w:vMerge w:val="continue"/>
            <w:vAlign w:val="center"/>
          </w:tcPr>
          <w:p w14:paraId="19344579">
            <w:pPr>
              <w:pStyle w:val="1001"/>
              <w:rPr>
                <w:color w:val="auto"/>
                <w:highlight w:val="none"/>
                <w:u w:val="none"/>
              </w:rPr>
            </w:pPr>
          </w:p>
        </w:tc>
        <w:tc>
          <w:tcPr>
            <w:tcW w:w="1171" w:type="pct"/>
            <w:vMerge w:val="continue"/>
            <w:noWrap/>
            <w:vAlign w:val="center"/>
          </w:tcPr>
          <w:p w14:paraId="0559FF50">
            <w:pPr>
              <w:pStyle w:val="1001"/>
              <w:rPr>
                <w:color w:val="auto"/>
                <w:highlight w:val="none"/>
                <w:u w:val="none"/>
              </w:rPr>
            </w:pPr>
          </w:p>
        </w:tc>
        <w:tc>
          <w:tcPr>
            <w:tcW w:w="829" w:type="pct"/>
            <w:noWrap/>
            <w:vAlign w:val="center"/>
          </w:tcPr>
          <w:p w14:paraId="68A4570F">
            <w:pPr>
              <w:pStyle w:val="1001"/>
              <w:rPr>
                <w:color w:val="auto"/>
                <w:highlight w:val="none"/>
                <w:u w:val="none"/>
              </w:rPr>
            </w:pPr>
            <w:r>
              <w:rPr>
                <w:color w:val="auto"/>
                <w:kern w:val="0"/>
                <w:highlight w:val="none"/>
                <w:u w:val="none"/>
              </w:rPr>
              <w:t>高沸塔侧采泵</w:t>
            </w:r>
          </w:p>
        </w:tc>
        <w:tc>
          <w:tcPr>
            <w:tcW w:w="257" w:type="pct"/>
            <w:noWrap/>
            <w:vAlign w:val="center"/>
          </w:tcPr>
          <w:p w14:paraId="03ACC0BB">
            <w:pPr>
              <w:pStyle w:val="1001"/>
              <w:rPr>
                <w:color w:val="auto"/>
                <w:highlight w:val="none"/>
                <w:u w:val="none"/>
              </w:rPr>
            </w:pPr>
            <w:r>
              <w:rPr>
                <w:color w:val="auto"/>
                <w:kern w:val="0"/>
                <w:highlight w:val="none"/>
                <w:u w:val="none"/>
              </w:rPr>
              <w:t>2</w:t>
            </w:r>
          </w:p>
        </w:tc>
        <w:tc>
          <w:tcPr>
            <w:tcW w:w="214" w:type="pct"/>
            <w:noWrap/>
            <w:vAlign w:val="center"/>
          </w:tcPr>
          <w:p w14:paraId="156A7717">
            <w:pPr>
              <w:pStyle w:val="1001"/>
              <w:rPr>
                <w:color w:val="auto"/>
                <w:highlight w:val="none"/>
                <w:u w:val="none"/>
              </w:rPr>
            </w:pPr>
            <w:r>
              <w:rPr>
                <w:rFonts w:hint="eastAsia"/>
                <w:color w:val="auto"/>
                <w:highlight w:val="none"/>
                <w:u w:val="none"/>
              </w:rPr>
              <w:t>425</w:t>
            </w:r>
          </w:p>
        </w:tc>
        <w:tc>
          <w:tcPr>
            <w:tcW w:w="243" w:type="pct"/>
            <w:noWrap/>
            <w:vAlign w:val="center"/>
          </w:tcPr>
          <w:p w14:paraId="306766D4">
            <w:pPr>
              <w:pStyle w:val="1001"/>
              <w:rPr>
                <w:color w:val="auto"/>
                <w:highlight w:val="none"/>
                <w:u w:val="none"/>
              </w:rPr>
            </w:pPr>
            <w:r>
              <w:rPr>
                <w:rFonts w:hint="eastAsia"/>
                <w:color w:val="auto"/>
                <w:highlight w:val="none"/>
                <w:u w:val="none"/>
              </w:rPr>
              <w:t>-51</w:t>
            </w:r>
          </w:p>
        </w:tc>
        <w:tc>
          <w:tcPr>
            <w:tcW w:w="192" w:type="pct"/>
            <w:noWrap/>
          </w:tcPr>
          <w:p w14:paraId="09E092B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768EC5E">
            <w:pPr>
              <w:pStyle w:val="1001"/>
              <w:rPr>
                <w:color w:val="auto"/>
                <w:highlight w:val="none"/>
                <w:u w:val="none"/>
              </w:rPr>
            </w:pPr>
            <w:r>
              <w:rPr>
                <w:color w:val="auto"/>
                <w:kern w:val="0"/>
                <w:highlight w:val="none"/>
                <w:u w:val="none"/>
              </w:rPr>
              <w:t>75</w:t>
            </w:r>
          </w:p>
        </w:tc>
        <w:tc>
          <w:tcPr>
            <w:tcW w:w="850" w:type="pct"/>
            <w:vMerge w:val="continue"/>
            <w:noWrap/>
            <w:vAlign w:val="center"/>
          </w:tcPr>
          <w:p w14:paraId="5F4097FB">
            <w:pPr>
              <w:pStyle w:val="1001"/>
              <w:rPr>
                <w:rFonts w:ascii="宋体" w:cs="宋体"/>
                <w:color w:val="auto"/>
                <w:highlight w:val="none"/>
                <w:u w:val="none"/>
              </w:rPr>
            </w:pPr>
          </w:p>
        </w:tc>
      </w:tr>
      <w:tr w14:paraId="42C62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1DE7EEB7">
            <w:pPr>
              <w:pStyle w:val="1001"/>
              <w:rPr>
                <w:color w:val="auto"/>
                <w:highlight w:val="none"/>
                <w:u w:val="none"/>
              </w:rPr>
            </w:pPr>
          </w:p>
        </w:tc>
        <w:tc>
          <w:tcPr>
            <w:tcW w:w="471" w:type="pct"/>
            <w:vMerge w:val="continue"/>
            <w:vAlign w:val="center"/>
          </w:tcPr>
          <w:p w14:paraId="65BD9967">
            <w:pPr>
              <w:pStyle w:val="1001"/>
              <w:rPr>
                <w:color w:val="auto"/>
                <w:highlight w:val="none"/>
                <w:u w:val="none"/>
              </w:rPr>
            </w:pPr>
          </w:p>
        </w:tc>
        <w:tc>
          <w:tcPr>
            <w:tcW w:w="1171" w:type="pct"/>
            <w:vMerge w:val="restart"/>
            <w:noWrap/>
            <w:vAlign w:val="center"/>
          </w:tcPr>
          <w:p w14:paraId="35B2E3BA">
            <w:pPr>
              <w:pStyle w:val="1001"/>
              <w:rPr>
                <w:color w:val="auto"/>
                <w:highlight w:val="none"/>
                <w:u w:val="none"/>
              </w:rPr>
            </w:pPr>
            <w:r>
              <w:rPr>
                <w:color w:val="auto"/>
                <w:kern w:val="0"/>
                <w:highlight w:val="none"/>
                <w:u w:val="none"/>
              </w:rPr>
              <w:t>VCM精馏单元</w:t>
            </w:r>
          </w:p>
        </w:tc>
        <w:tc>
          <w:tcPr>
            <w:tcW w:w="829" w:type="pct"/>
            <w:noWrap/>
            <w:vAlign w:val="center"/>
          </w:tcPr>
          <w:p w14:paraId="2AD73236">
            <w:pPr>
              <w:pStyle w:val="1001"/>
              <w:rPr>
                <w:color w:val="auto"/>
                <w:highlight w:val="none"/>
                <w:u w:val="none"/>
              </w:rPr>
            </w:pPr>
            <w:r>
              <w:rPr>
                <w:color w:val="auto"/>
                <w:kern w:val="0"/>
                <w:highlight w:val="none"/>
                <w:u w:val="none"/>
              </w:rPr>
              <w:t>急冷洗涤塔循环泵</w:t>
            </w:r>
          </w:p>
        </w:tc>
        <w:tc>
          <w:tcPr>
            <w:tcW w:w="257" w:type="pct"/>
            <w:noWrap/>
            <w:vAlign w:val="center"/>
          </w:tcPr>
          <w:p w14:paraId="1CADFAB7">
            <w:pPr>
              <w:pStyle w:val="1001"/>
              <w:rPr>
                <w:color w:val="auto"/>
                <w:highlight w:val="none"/>
                <w:u w:val="none"/>
              </w:rPr>
            </w:pPr>
            <w:r>
              <w:rPr>
                <w:color w:val="auto"/>
                <w:kern w:val="0"/>
                <w:highlight w:val="none"/>
                <w:u w:val="none"/>
              </w:rPr>
              <w:t>4</w:t>
            </w:r>
          </w:p>
        </w:tc>
        <w:tc>
          <w:tcPr>
            <w:tcW w:w="214" w:type="pct"/>
            <w:noWrap/>
            <w:vAlign w:val="center"/>
          </w:tcPr>
          <w:p w14:paraId="597801B1">
            <w:pPr>
              <w:pStyle w:val="1001"/>
              <w:rPr>
                <w:color w:val="auto"/>
                <w:highlight w:val="none"/>
                <w:u w:val="none"/>
              </w:rPr>
            </w:pPr>
            <w:r>
              <w:rPr>
                <w:rFonts w:hint="eastAsia"/>
                <w:color w:val="auto"/>
                <w:highlight w:val="none"/>
                <w:u w:val="none"/>
              </w:rPr>
              <w:t>425</w:t>
            </w:r>
          </w:p>
        </w:tc>
        <w:tc>
          <w:tcPr>
            <w:tcW w:w="243" w:type="pct"/>
            <w:noWrap/>
            <w:vAlign w:val="center"/>
          </w:tcPr>
          <w:p w14:paraId="6BE5BA84">
            <w:pPr>
              <w:pStyle w:val="1001"/>
              <w:rPr>
                <w:color w:val="auto"/>
                <w:highlight w:val="none"/>
                <w:u w:val="none"/>
              </w:rPr>
            </w:pPr>
            <w:r>
              <w:rPr>
                <w:rFonts w:hint="eastAsia"/>
                <w:color w:val="auto"/>
                <w:highlight w:val="none"/>
                <w:u w:val="none"/>
              </w:rPr>
              <w:t>-60</w:t>
            </w:r>
          </w:p>
        </w:tc>
        <w:tc>
          <w:tcPr>
            <w:tcW w:w="192" w:type="pct"/>
            <w:noWrap/>
          </w:tcPr>
          <w:p w14:paraId="67314446">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6815280A">
            <w:pPr>
              <w:pStyle w:val="1001"/>
              <w:rPr>
                <w:color w:val="auto"/>
                <w:highlight w:val="none"/>
                <w:u w:val="none"/>
              </w:rPr>
            </w:pPr>
            <w:r>
              <w:rPr>
                <w:color w:val="auto"/>
                <w:kern w:val="0"/>
                <w:highlight w:val="none"/>
                <w:u w:val="none"/>
              </w:rPr>
              <w:t>75</w:t>
            </w:r>
          </w:p>
        </w:tc>
        <w:tc>
          <w:tcPr>
            <w:tcW w:w="850" w:type="pct"/>
            <w:vMerge w:val="continue"/>
            <w:noWrap/>
            <w:vAlign w:val="center"/>
          </w:tcPr>
          <w:p w14:paraId="0EADF615">
            <w:pPr>
              <w:pStyle w:val="1001"/>
              <w:rPr>
                <w:rFonts w:ascii="宋体" w:cs="宋体"/>
                <w:color w:val="auto"/>
                <w:highlight w:val="none"/>
                <w:u w:val="none"/>
              </w:rPr>
            </w:pPr>
          </w:p>
        </w:tc>
      </w:tr>
      <w:tr w14:paraId="6DF31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7BBA9CF">
            <w:pPr>
              <w:pStyle w:val="1001"/>
              <w:rPr>
                <w:color w:val="auto"/>
                <w:highlight w:val="none"/>
                <w:u w:val="none"/>
              </w:rPr>
            </w:pPr>
          </w:p>
        </w:tc>
        <w:tc>
          <w:tcPr>
            <w:tcW w:w="471" w:type="pct"/>
            <w:vMerge w:val="continue"/>
            <w:vAlign w:val="center"/>
          </w:tcPr>
          <w:p w14:paraId="056E52BA">
            <w:pPr>
              <w:pStyle w:val="1001"/>
              <w:rPr>
                <w:color w:val="auto"/>
                <w:highlight w:val="none"/>
                <w:u w:val="none"/>
              </w:rPr>
            </w:pPr>
          </w:p>
        </w:tc>
        <w:tc>
          <w:tcPr>
            <w:tcW w:w="1171" w:type="pct"/>
            <w:vMerge w:val="continue"/>
            <w:noWrap/>
            <w:vAlign w:val="center"/>
          </w:tcPr>
          <w:p w14:paraId="74686BF4">
            <w:pPr>
              <w:pStyle w:val="1001"/>
              <w:rPr>
                <w:color w:val="auto"/>
                <w:highlight w:val="none"/>
                <w:u w:val="none"/>
              </w:rPr>
            </w:pPr>
          </w:p>
        </w:tc>
        <w:tc>
          <w:tcPr>
            <w:tcW w:w="829" w:type="pct"/>
            <w:noWrap/>
            <w:vAlign w:val="center"/>
          </w:tcPr>
          <w:p w14:paraId="65026D4B">
            <w:pPr>
              <w:pStyle w:val="1001"/>
              <w:rPr>
                <w:color w:val="auto"/>
                <w:highlight w:val="none"/>
                <w:u w:val="none"/>
              </w:rPr>
            </w:pPr>
            <w:r>
              <w:rPr>
                <w:color w:val="auto"/>
                <w:kern w:val="0"/>
                <w:highlight w:val="none"/>
                <w:u w:val="none"/>
              </w:rPr>
              <w:t>VCM塔进料泵</w:t>
            </w:r>
          </w:p>
        </w:tc>
        <w:tc>
          <w:tcPr>
            <w:tcW w:w="257" w:type="pct"/>
            <w:noWrap/>
            <w:vAlign w:val="center"/>
          </w:tcPr>
          <w:p w14:paraId="2927C79D">
            <w:pPr>
              <w:pStyle w:val="1001"/>
              <w:rPr>
                <w:color w:val="auto"/>
                <w:highlight w:val="none"/>
                <w:u w:val="none"/>
              </w:rPr>
            </w:pPr>
            <w:r>
              <w:rPr>
                <w:color w:val="auto"/>
                <w:kern w:val="0"/>
                <w:highlight w:val="none"/>
                <w:u w:val="none"/>
              </w:rPr>
              <w:t>1</w:t>
            </w:r>
          </w:p>
        </w:tc>
        <w:tc>
          <w:tcPr>
            <w:tcW w:w="214" w:type="pct"/>
            <w:noWrap/>
            <w:vAlign w:val="center"/>
          </w:tcPr>
          <w:p w14:paraId="7621A50D">
            <w:pPr>
              <w:pStyle w:val="1001"/>
              <w:rPr>
                <w:color w:val="auto"/>
                <w:highlight w:val="none"/>
                <w:u w:val="none"/>
              </w:rPr>
            </w:pPr>
            <w:r>
              <w:rPr>
                <w:rFonts w:hint="eastAsia"/>
                <w:color w:val="auto"/>
                <w:highlight w:val="none"/>
                <w:u w:val="none"/>
              </w:rPr>
              <w:t>424</w:t>
            </w:r>
          </w:p>
        </w:tc>
        <w:tc>
          <w:tcPr>
            <w:tcW w:w="243" w:type="pct"/>
            <w:noWrap/>
            <w:vAlign w:val="center"/>
          </w:tcPr>
          <w:p w14:paraId="03C5EDD2">
            <w:pPr>
              <w:pStyle w:val="1001"/>
              <w:rPr>
                <w:color w:val="auto"/>
                <w:highlight w:val="none"/>
                <w:u w:val="none"/>
              </w:rPr>
            </w:pPr>
            <w:r>
              <w:rPr>
                <w:rFonts w:hint="eastAsia"/>
                <w:color w:val="auto"/>
                <w:highlight w:val="none"/>
                <w:u w:val="none"/>
              </w:rPr>
              <w:t>-69</w:t>
            </w:r>
          </w:p>
        </w:tc>
        <w:tc>
          <w:tcPr>
            <w:tcW w:w="192" w:type="pct"/>
            <w:noWrap/>
          </w:tcPr>
          <w:p w14:paraId="5B413BC6">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709EF464">
            <w:pPr>
              <w:pStyle w:val="1001"/>
              <w:rPr>
                <w:color w:val="auto"/>
                <w:highlight w:val="none"/>
                <w:u w:val="none"/>
              </w:rPr>
            </w:pPr>
            <w:r>
              <w:rPr>
                <w:color w:val="auto"/>
                <w:kern w:val="0"/>
                <w:highlight w:val="none"/>
                <w:u w:val="none"/>
              </w:rPr>
              <w:t>75</w:t>
            </w:r>
          </w:p>
        </w:tc>
        <w:tc>
          <w:tcPr>
            <w:tcW w:w="850" w:type="pct"/>
            <w:vMerge w:val="continue"/>
            <w:noWrap/>
            <w:vAlign w:val="center"/>
          </w:tcPr>
          <w:p w14:paraId="1D129BE3">
            <w:pPr>
              <w:pStyle w:val="1001"/>
              <w:rPr>
                <w:rFonts w:ascii="宋体" w:cs="宋体"/>
                <w:color w:val="auto"/>
                <w:highlight w:val="none"/>
                <w:u w:val="none"/>
              </w:rPr>
            </w:pPr>
          </w:p>
        </w:tc>
      </w:tr>
      <w:tr w14:paraId="07F0E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22663A4F">
            <w:pPr>
              <w:pStyle w:val="1001"/>
              <w:rPr>
                <w:color w:val="auto"/>
                <w:highlight w:val="none"/>
                <w:u w:val="none"/>
              </w:rPr>
            </w:pPr>
          </w:p>
        </w:tc>
        <w:tc>
          <w:tcPr>
            <w:tcW w:w="471" w:type="pct"/>
            <w:vMerge w:val="continue"/>
            <w:vAlign w:val="center"/>
          </w:tcPr>
          <w:p w14:paraId="46D79B93">
            <w:pPr>
              <w:pStyle w:val="1001"/>
              <w:rPr>
                <w:color w:val="auto"/>
                <w:highlight w:val="none"/>
                <w:u w:val="none"/>
              </w:rPr>
            </w:pPr>
          </w:p>
        </w:tc>
        <w:tc>
          <w:tcPr>
            <w:tcW w:w="1171" w:type="pct"/>
            <w:vMerge w:val="restart"/>
            <w:noWrap/>
            <w:vAlign w:val="center"/>
          </w:tcPr>
          <w:p w14:paraId="58783D0E">
            <w:pPr>
              <w:pStyle w:val="1001"/>
              <w:rPr>
                <w:color w:val="auto"/>
                <w:highlight w:val="none"/>
                <w:u w:val="none"/>
              </w:rPr>
            </w:pPr>
            <w:r>
              <w:rPr>
                <w:color w:val="auto"/>
                <w:kern w:val="0"/>
                <w:highlight w:val="none"/>
                <w:u w:val="none"/>
              </w:rPr>
              <w:t>焚烧单元</w:t>
            </w:r>
          </w:p>
        </w:tc>
        <w:tc>
          <w:tcPr>
            <w:tcW w:w="829" w:type="pct"/>
            <w:noWrap/>
            <w:vAlign w:val="center"/>
          </w:tcPr>
          <w:p w14:paraId="17CB1615">
            <w:pPr>
              <w:pStyle w:val="1001"/>
              <w:rPr>
                <w:color w:val="auto"/>
                <w:highlight w:val="none"/>
                <w:u w:val="none"/>
              </w:rPr>
            </w:pPr>
            <w:r>
              <w:rPr>
                <w:color w:val="auto"/>
                <w:kern w:val="0"/>
                <w:highlight w:val="none"/>
                <w:u w:val="none"/>
              </w:rPr>
              <w:t>洗涤塔循环泵</w:t>
            </w:r>
          </w:p>
        </w:tc>
        <w:tc>
          <w:tcPr>
            <w:tcW w:w="257" w:type="pct"/>
            <w:noWrap/>
            <w:vAlign w:val="center"/>
          </w:tcPr>
          <w:p w14:paraId="651AEEDB">
            <w:pPr>
              <w:pStyle w:val="1001"/>
              <w:rPr>
                <w:color w:val="auto"/>
                <w:highlight w:val="none"/>
                <w:u w:val="none"/>
              </w:rPr>
            </w:pPr>
            <w:r>
              <w:rPr>
                <w:color w:val="auto"/>
                <w:kern w:val="0"/>
                <w:highlight w:val="none"/>
                <w:u w:val="none"/>
              </w:rPr>
              <w:t>2</w:t>
            </w:r>
          </w:p>
        </w:tc>
        <w:tc>
          <w:tcPr>
            <w:tcW w:w="214" w:type="pct"/>
            <w:noWrap/>
            <w:vAlign w:val="center"/>
          </w:tcPr>
          <w:p w14:paraId="554A2F7C">
            <w:pPr>
              <w:pStyle w:val="1001"/>
              <w:rPr>
                <w:color w:val="auto"/>
                <w:highlight w:val="none"/>
                <w:u w:val="none"/>
              </w:rPr>
            </w:pPr>
            <w:r>
              <w:rPr>
                <w:rFonts w:hint="eastAsia"/>
                <w:color w:val="auto"/>
                <w:highlight w:val="none"/>
                <w:u w:val="none"/>
              </w:rPr>
              <w:t>395</w:t>
            </w:r>
          </w:p>
        </w:tc>
        <w:tc>
          <w:tcPr>
            <w:tcW w:w="243" w:type="pct"/>
            <w:noWrap/>
            <w:vAlign w:val="center"/>
          </w:tcPr>
          <w:p w14:paraId="1A0C7F6A">
            <w:pPr>
              <w:pStyle w:val="1001"/>
              <w:rPr>
                <w:color w:val="auto"/>
                <w:highlight w:val="none"/>
                <w:u w:val="none"/>
              </w:rPr>
            </w:pPr>
            <w:r>
              <w:rPr>
                <w:rFonts w:hint="eastAsia"/>
                <w:color w:val="auto"/>
                <w:highlight w:val="none"/>
                <w:u w:val="none"/>
              </w:rPr>
              <w:t>-92</w:t>
            </w:r>
          </w:p>
        </w:tc>
        <w:tc>
          <w:tcPr>
            <w:tcW w:w="192" w:type="pct"/>
            <w:noWrap/>
          </w:tcPr>
          <w:p w14:paraId="6C80D767">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5D478B7">
            <w:pPr>
              <w:pStyle w:val="1001"/>
              <w:rPr>
                <w:color w:val="auto"/>
                <w:highlight w:val="none"/>
                <w:u w:val="none"/>
              </w:rPr>
            </w:pPr>
            <w:r>
              <w:rPr>
                <w:color w:val="auto"/>
                <w:kern w:val="0"/>
                <w:highlight w:val="none"/>
                <w:u w:val="none"/>
              </w:rPr>
              <w:t>75</w:t>
            </w:r>
          </w:p>
        </w:tc>
        <w:tc>
          <w:tcPr>
            <w:tcW w:w="850" w:type="pct"/>
            <w:vMerge w:val="continue"/>
            <w:noWrap/>
            <w:vAlign w:val="center"/>
          </w:tcPr>
          <w:p w14:paraId="6327C657">
            <w:pPr>
              <w:pStyle w:val="1001"/>
              <w:rPr>
                <w:rFonts w:ascii="宋体" w:cs="宋体"/>
                <w:color w:val="auto"/>
                <w:highlight w:val="none"/>
                <w:u w:val="none"/>
              </w:rPr>
            </w:pPr>
          </w:p>
        </w:tc>
      </w:tr>
      <w:tr w14:paraId="74925D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06E483F">
            <w:pPr>
              <w:pStyle w:val="1001"/>
              <w:rPr>
                <w:color w:val="auto"/>
                <w:highlight w:val="none"/>
                <w:u w:val="none"/>
              </w:rPr>
            </w:pPr>
          </w:p>
        </w:tc>
        <w:tc>
          <w:tcPr>
            <w:tcW w:w="471" w:type="pct"/>
            <w:vMerge w:val="continue"/>
            <w:vAlign w:val="center"/>
          </w:tcPr>
          <w:p w14:paraId="61D66251">
            <w:pPr>
              <w:pStyle w:val="1001"/>
              <w:rPr>
                <w:color w:val="auto"/>
                <w:highlight w:val="none"/>
                <w:u w:val="none"/>
              </w:rPr>
            </w:pPr>
          </w:p>
        </w:tc>
        <w:tc>
          <w:tcPr>
            <w:tcW w:w="1171" w:type="pct"/>
            <w:vMerge w:val="continue"/>
            <w:noWrap/>
            <w:vAlign w:val="center"/>
          </w:tcPr>
          <w:p w14:paraId="78869790">
            <w:pPr>
              <w:pStyle w:val="1001"/>
              <w:rPr>
                <w:color w:val="auto"/>
                <w:highlight w:val="none"/>
                <w:u w:val="none"/>
              </w:rPr>
            </w:pPr>
          </w:p>
        </w:tc>
        <w:tc>
          <w:tcPr>
            <w:tcW w:w="829" w:type="pct"/>
            <w:noWrap/>
            <w:vAlign w:val="center"/>
          </w:tcPr>
          <w:p w14:paraId="5E715CDB">
            <w:pPr>
              <w:pStyle w:val="1001"/>
              <w:rPr>
                <w:color w:val="auto"/>
                <w:highlight w:val="none"/>
                <w:u w:val="none"/>
              </w:rPr>
            </w:pPr>
            <w:r>
              <w:rPr>
                <w:color w:val="auto"/>
                <w:kern w:val="0"/>
                <w:highlight w:val="none"/>
                <w:u w:val="none"/>
              </w:rPr>
              <w:t>吸收循环泵</w:t>
            </w:r>
          </w:p>
        </w:tc>
        <w:tc>
          <w:tcPr>
            <w:tcW w:w="257" w:type="pct"/>
            <w:noWrap/>
            <w:vAlign w:val="center"/>
          </w:tcPr>
          <w:p w14:paraId="3E042CFA">
            <w:pPr>
              <w:pStyle w:val="1001"/>
              <w:rPr>
                <w:color w:val="auto"/>
                <w:highlight w:val="none"/>
                <w:u w:val="none"/>
              </w:rPr>
            </w:pPr>
            <w:r>
              <w:rPr>
                <w:color w:val="auto"/>
                <w:kern w:val="0"/>
                <w:highlight w:val="none"/>
                <w:u w:val="none"/>
              </w:rPr>
              <w:t>2</w:t>
            </w:r>
          </w:p>
        </w:tc>
        <w:tc>
          <w:tcPr>
            <w:tcW w:w="214" w:type="pct"/>
            <w:noWrap/>
            <w:vAlign w:val="center"/>
          </w:tcPr>
          <w:p w14:paraId="413E507B">
            <w:pPr>
              <w:pStyle w:val="1001"/>
              <w:rPr>
                <w:color w:val="auto"/>
                <w:highlight w:val="none"/>
                <w:u w:val="none"/>
              </w:rPr>
            </w:pPr>
            <w:r>
              <w:rPr>
                <w:rFonts w:hint="eastAsia"/>
                <w:color w:val="auto"/>
                <w:highlight w:val="none"/>
                <w:u w:val="none"/>
              </w:rPr>
              <w:t>423</w:t>
            </w:r>
          </w:p>
        </w:tc>
        <w:tc>
          <w:tcPr>
            <w:tcW w:w="243" w:type="pct"/>
            <w:noWrap/>
            <w:vAlign w:val="center"/>
          </w:tcPr>
          <w:p w14:paraId="0EA25A79">
            <w:pPr>
              <w:pStyle w:val="1001"/>
              <w:rPr>
                <w:color w:val="auto"/>
                <w:highlight w:val="none"/>
                <w:u w:val="none"/>
              </w:rPr>
            </w:pPr>
            <w:r>
              <w:rPr>
                <w:rFonts w:hint="eastAsia"/>
                <w:color w:val="auto"/>
                <w:highlight w:val="none"/>
                <w:u w:val="none"/>
              </w:rPr>
              <w:t>-91</w:t>
            </w:r>
          </w:p>
        </w:tc>
        <w:tc>
          <w:tcPr>
            <w:tcW w:w="192" w:type="pct"/>
            <w:noWrap/>
          </w:tcPr>
          <w:p w14:paraId="05759AF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BC7BD3F">
            <w:pPr>
              <w:pStyle w:val="1001"/>
              <w:rPr>
                <w:color w:val="auto"/>
                <w:highlight w:val="none"/>
                <w:u w:val="none"/>
              </w:rPr>
            </w:pPr>
            <w:r>
              <w:rPr>
                <w:color w:val="auto"/>
                <w:kern w:val="0"/>
                <w:highlight w:val="none"/>
                <w:u w:val="none"/>
              </w:rPr>
              <w:t>75</w:t>
            </w:r>
          </w:p>
        </w:tc>
        <w:tc>
          <w:tcPr>
            <w:tcW w:w="850" w:type="pct"/>
            <w:vMerge w:val="continue"/>
            <w:noWrap/>
            <w:vAlign w:val="center"/>
          </w:tcPr>
          <w:p w14:paraId="08B3CB7E">
            <w:pPr>
              <w:pStyle w:val="1001"/>
              <w:rPr>
                <w:rFonts w:ascii="宋体" w:cs="宋体"/>
                <w:color w:val="auto"/>
                <w:highlight w:val="none"/>
                <w:u w:val="none"/>
              </w:rPr>
            </w:pPr>
          </w:p>
        </w:tc>
      </w:tr>
      <w:tr w14:paraId="544006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2E211CA1">
            <w:pPr>
              <w:pStyle w:val="1001"/>
              <w:rPr>
                <w:color w:val="auto"/>
                <w:highlight w:val="none"/>
                <w:u w:val="none"/>
              </w:rPr>
            </w:pPr>
          </w:p>
        </w:tc>
        <w:tc>
          <w:tcPr>
            <w:tcW w:w="471" w:type="pct"/>
            <w:vMerge w:val="continue"/>
            <w:vAlign w:val="center"/>
          </w:tcPr>
          <w:p w14:paraId="47541159">
            <w:pPr>
              <w:pStyle w:val="1001"/>
              <w:rPr>
                <w:color w:val="auto"/>
                <w:highlight w:val="none"/>
                <w:u w:val="none"/>
              </w:rPr>
            </w:pPr>
          </w:p>
        </w:tc>
        <w:tc>
          <w:tcPr>
            <w:tcW w:w="1171" w:type="pct"/>
            <w:vMerge w:val="continue"/>
            <w:noWrap/>
            <w:vAlign w:val="center"/>
          </w:tcPr>
          <w:p w14:paraId="7F2A5A65">
            <w:pPr>
              <w:pStyle w:val="1001"/>
              <w:rPr>
                <w:color w:val="auto"/>
                <w:highlight w:val="none"/>
                <w:u w:val="none"/>
              </w:rPr>
            </w:pPr>
          </w:p>
        </w:tc>
        <w:tc>
          <w:tcPr>
            <w:tcW w:w="829" w:type="pct"/>
            <w:noWrap/>
            <w:vAlign w:val="center"/>
          </w:tcPr>
          <w:p w14:paraId="16DAD772">
            <w:pPr>
              <w:pStyle w:val="1001"/>
              <w:rPr>
                <w:color w:val="auto"/>
                <w:highlight w:val="none"/>
                <w:u w:val="none"/>
              </w:rPr>
            </w:pPr>
            <w:r>
              <w:rPr>
                <w:color w:val="auto"/>
                <w:kern w:val="0"/>
                <w:highlight w:val="none"/>
                <w:u w:val="none"/>
              </w:rPr>
              <w:t>碱洗循环泵</w:t>
            </w:r>
          </w:p>
        </w:tc>
        <w:tc>
          <w:tcPr>
            <w:tcW w:w="257" w:type="pct"/>
            <w:noWrap/>
            <w:vAlign w:val="center"/>
          </w:tcPr>
          <w:p w14:paraId="6487E28A">
            <w:pPr>
              <w:pStyle w:val="1001"/>
              <w:rPr>
                <w:color w:val="auto"/>
                <w:highlight w:val="none"/>
                <w:u w:val="none"/>
              </w:rPr>
            </w:pPr>
            <w:r>
              <w:rPr>
                <w:color w:val="auto"/>
                <w:kern w:val="0"/>
                <w:highlight w:val="none"/>
                <w:u w:val="none"/>
              </w:rPr>
              <w:t>2</w:t>
            </w:r>
          </w:p>
        </w:tc>
        <w:tc>
          <w:tcPr>
            <w:tcW w:w="214" w:type="pct"/>
            <w:noWrap/>
            <w:vAlign w:val="center"/>
          </w:tcPr>
          <w:p w14:paraId="4C0AB5D4">
            <w:pPr>
              <w:pStyle w:val="1001"/>
              <w:rPr>
                <w:color w:val="auto"/>
                <w:highlight w:val="none"/>
                <w:u w:val="none"/>
              </w:rPr>
            </w:pPr>
            <w:r>
              <w:rPr>
                <w:rFonts w:hint="eastAsia"/>
                <w:color w:val="auto"/>
                <w:highlight w:val="none"/>
                <w:u w:val="none"/>
              </w:rPr>
              <w:t>393</w:t>
            </w:r>
          </w:p>
        </w:tc>
        <w:tc>
          <w:tcPr>
            <w:tcW w:w="243" w:type="pct"/>
            <w:noWrap/>
            <w:vAlign w:val="center"/>
          </w:tcPr>
          <w:p w14:paraId="51EE5CDB">
            <w:pPr>
              <w:pStyle w:val="1001"/>
              <w:rPr>
                <w:color w:val="auto"/>
                <w:highlight w:val="none"/>
                <w:u w:val="none"/>
              </w:rPr>
            </w:pPr>
            <w:r>
              <w:rPr>
                <w:rFonts w:hint="eastAsia"/>
                <w:color w:val="auto"/>
                <w:highlight w:val="none"/>
                <w:u w:val="none"/>
              </w:rPr>
              <w:t>-107</w:t>
            </w:r>
          </w:p>
        </w:tc>
        <w:tc>
          <w:tcPr>
            <w:tcW w:w="192" w:type="pct"/>
            <w:noWrap/>
          </w:tcPr>
          <w:p w14:paraId="406D2B67">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726F333">
            <w:pPr>
              <w:pStyle w:val="1001"/>
              <w:rPr>
                <w:color w:val="auto"/>
                <w:highlight w:val="none"/>
                <w:u w:val="none"/>
              </w:rPr>
            </w:pPr>
            <w:r>
              <w:rPr>
                <w:color w:val="auto"/>
                <w:kern w:val="0"/>
                <w:highlight w:val="none"/>
                <w:u w:val="none"/>
              </w:rPr>
              <w:t>75</w:t>
            </w:r>
          </w:p>
        </w:tc>
        <w:tc>
          <w:tcPr>
            <w:tcW w:w="850" w:type="pct"/>
            <w:vMerge w:val="continue"/>
            <w:noWrap/>
            <w:vAlign w:val="center"/>
          </w:tcPr>
          <w:p w14:paraId="6C4CAAC4">
            <w:pPr>
              <w:pStyle w:val="1001"/>
              <w:rPr>
                <w:rFonts w:ascii="宋体" w:cs="宋体"/>
                <w:color w:val="auto"/>
                <w:highlight w:val="none"/>
                <w:u w:val="none"/>
              </w:rPr>
            </w:pPr>
          </w:p>
        </w:tc>
      </w:tr>
      <w:tr w14:paraId="6598D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74F1292">
            <w:pPr>
              <w:pStyle w:val="1001"/>
              <w:rPr>
                <w:color w:val="auto"/>
                <w:highlight w:val="none"/>
                <w:u w:val="none"/>
              </w:rPr>
            </w:pPr>
          </w:p>
        </w:tc>
        <w:tc>
          <w:tcPr>
            <w:tcW w:w="471" w:type="pct"/>
            <w:vMerge w:val="continue"/>
            <w:vAlign w:val="center"/>
          </w:tcPr>
          <w:p w14:paraId="6F882E52">
            <w:pPr>
              <w:pStyle w:val="1001"/>
              <w:rPr>
                <w:color w:val="auto"/>
                <w:highlight w:val="none"/>
                <w:u w:val="none"/>
              </w:rPr>
            </w:pPr>
          </w:p>
        </w:tc>
        <w:tc>
          <w:tcPr>
            <w:tcW w:w="1171" w:type="pct"/>
            <w:vMerge w:val="continue"/>
            <w:noWrap/>
            <w:vAlign w:val="center"/>
          </w:tcPr>
          <w:p w14:paraId="56660456">
            <w:pPr>
              <w:pStyle w:val="1001"/>
              <w:rPr>
                <w:color w:val="auto"/>
                <w:highlight w:val="none"/>
                <w:u w:val="none"/>
              </w:rPr>
            </w:pPr>
          </w:p>
        </w:tc>
        <w:tc>
          <w:tcPr>
            <w:tcW w:w="829" w:type="pct"/>
            <w:noWrap/>
            <w:vAlign w:val="center"/>
          </w:tcPr>
          <w:p w14:paraId="22C13D85">
            <w:pPr>
              <w:pStyle w:val="1001"/>
              <w:rPr>
                <w:color w:val="auto"/>
                <w:highlight w:val="none"/>
                <w:u w:val="none"/>
              </w:rPr>
            </w:pPr>
            <w:r>
              <w:rPr>
                <w:color w:val="auto"/>
                <w:kern w:val="0"/>
                <w:highlight w:val="none"/>
                <w:u w:val="none"/>
              </w:rPr>
              <w:t>中和收集池排污泵</w:t>
            </w:r>
          </w:p>
        </w:tc>
        <w:tc>
          <w:tcPr>
            <w:tcW w:w="257" w:type="pct"/>
            <w:noWrap/>
            <w:vAlign w:val="center"/>
          </w:tcPr>
          <w:p w14:paraId="6A61EED5">
            <w:pPr>
              <w:pStyle w:val="1001"/>
              <w:rPr>
                <w:color w:val="auto"/>
                <w:highlight w:val="none"/>
                <w:u w:val="none"/>
              </w:rPr>
            </w:pPr>
            <w:r>
              <w:rPr>
                <w:color w:val="auto"/>
                <w:kern w:val="0"/>
                <w:highlight w:val="none"/>
                <w:u w:val="none"/>
              </w:rPr>
              <w:t>1</w:t>
            </w:r>
          </w:p>
        </w:tc>
        <w:tc>
          <w:tcPr>
            <w:tcW w:w="214" w:type="pct"/>
            <w:noWrap/>
            <w:vAlign w:val="center"/>
          </w:tcPr>
          <w:p w14:paraId="4A144136">
            <w:pPr>
              <w:pStyle w:val="1001"/>
              <w:rPr>
                <w:color w:val="auto"/>
                <w:highlight w:val="none"/>
                <w:u w:val="none"/>
              </w:rPr>
            </w:pPr>
            <w:r>
              <w:rPr>
                <w:rFonts w:hint="eastAsia"/>
                <w:color w:val="auto"/>
                <w:highlight w:val="none"/>
                <w:u w:val="none"/>
              </w:rPr>
              <w:t>388</w:t>
            </w:r>
          </w:p>
        </w:tc>
        <w:tc>
          <w:tcPr>
            <w:tcW w:w="243" w:type="pct"/>
            <w:noWrap/>
            <w:vAlign w:val="center"/>
          </w:tcPr>
          <w:p w14:paraId="06169AAC">
            <w:pPr>
              <w:pStyle w:val="1001"/>
              <w:rPr>
                <w:color w:val="auto"/>
                <w:highlight w:val="none"/>
                <w:u w:val="none"/>
              </w:rPr>
            </w:pPr>
            <w:r>
              <w:rPr>
                <w:rFonts w:hint="eastAsia"/>
                <w:color w:val="auto"/>
                <w:highlight w:val="none"/>
                <w:u w:val="none"/>
              </w:rPr>
              <w:t>-112</w:t>
            </w:r>
          </w:p>
        </w:tc>
        <w:tc>
          <w:tcPr>
            <w:tcW w:w="192" w:type="pct"/>
            <w:noWrap/>
          </w:tcPr>
          <w:p w14:paraId="2C387B19">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DD733EB">
            <w:pPr>
              <w:pStyle w:val="1001"/>
              <w:rPr>
                <w:color w:val="auto"/>
                <w:highlight w:val="none"/>
                <w:u w:val="none"/>
              </w:rPr>
            </w:pPr>
            <w:r>
              <w:rPr>
                <w:color w:val="auto"/>
                <w:kern w:val="0"/>
                <w:highlight w:val="none"/>
                <w:u w:val="none"/>
              </w:rPr>
              <w:t>75</w:t>
            </w:r>
          </w:p>
        </w:tc>
        <w:tc>
          <w:tcPr>
            <w:tcW w:w="850" w:type="pct"/>
            <w:vMerge w:val="continue"/>
            <w:noWrap/>
            <w:vAlign w:val="center"/>
          </w:tcPr>
          <w:p w14:paraId="13EF7CF0">
            <w:pPr>
              <w:pStyle w:val="1001"/>
              <w:rPr>
                <w:rFonts w:ascii="宋体" w:cs="宋体"/>
                <w:color w:val="auto"/>
                <w:highlight w:val="none"/>
                <w:u w:val="none"/>
              </w:rPr>
            </w:pPr>
          </w:p>
        </w:tc>
      </w:tr>
      <w:tr w14:paraId="5A6F98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27E5D12">
            <w:pPr>
              <w:pStyle w:val="1001"/>
              <w:rPr>
                <w:color w:val="auto"/>
                <w:highlight w:val="none"/>
                <w:u w:val="none"/>
              </w:rPr>
            </w:pPr>
          </w:p>
        </w:tc>
        <w:tc>
          <w:tcPr>
            <w:tcW w:w="471" w:type="pct"/>
            <w:vMerge w:val="continue"/>
            <w:vAlign w:val="center"/>
          </w:tcPr>
          <w:p w14:paraId="34C55AD9">
            <w:pPr>
              <w:pStyle w:val="1001"/>
              <w:rPr>
                <w:color w:val="auto"/>
                <w:highlight w:val="none"/>
                <w:u w:val="none"/>
              </w:rPr>
            </w:pPr>
          </w:p>
        </w:tc>
        <w:tc>
          <w:tcPr>
            <w:tcW w:w="1171" w:type="pct"/>
            <w:vMerge w:val="continue"/>
            <w:noWrap/>
            <w:vAlign w:val="center"/>
          </w:tcPr>
          <w:p w14:paraId="123B1279">
            <w:pPr>
              <w:pStyle w:val="1001"/>
              <w:rPr>
                <w:color w:val="auto"/>
                <w:highlight w:val="none"/>
                <w:u w:val="none"/>
              </w:rPr>
            </w:pPr>
          </w:p>
        </w:tc>
        <w:tc>
          <w:tcPr>
            <w:tcW w:w="829" w:type="pct"/>
            <w:noWrap/>
            <w:vAlign w:val="center"/>
          </w:tcPr>
          <w:p w14:paraId="7F40650D">
            <w:pPr>
              <w:pStyle w:val="1001"/>
              <w:rPr>
                <w:color w:val="auto"/>
                <w:highlight w:val="none"/>
                <w:u w:val="none"/>
              </w:rPr>
            </w:pPr>
            <w:r>
              <w:rPr>
                <w:color w:val="auto"/>
                <w:kern w:val="0"/>
                <w:highlight w:val="none"/>
                <w:u w:val="none"/>
              </w:rPr>
              <w:t>尾气洗涤塔循环泵</w:t>
            </w:r>
          </w:p>
        </w:tc>
        <w:tc>
          <w:tcPr>
            <w:tcW w:w="257" w:type="pct"/>
            <w:noWrap/>
            <w:vAlign w:val="center"/>
          </w:tcPr>
          <w:p w14:paraId="64718D4B">
            <w:pPr>
              <w:pStyle w:val="1001"/>
              <w:rPr>
                <w:color w:val="auto"/>
                <w:highlight w:val="none"/>
                <w:u w:val="none"/>
              </w:rPr>
            </w:pPr>
            <w:r>
              <w:rPr>
                <w:color w:val="auto"/>
                <w:kern w:val="0"/>
                <w:highlight w:val="none"/>
                <w:u w:val="none"/>
              </w:rPr>
              <w:t>2</w:t>
            </w:r>
          </w:p>
        </w:tc>
        <w:tc>
          <w:tcPr>
            <w:tcW w:w="214" w:type="pct"/>
            <w:noWrap/>
            <w:vAlign w:val="center"/>
          </w:tcPr>
          <w:p w14:paraId="734673E6">
            <w:pPr>
              <w:pStyle w:val="1001"/>
              <w:rPr>
                <w:color w:val="auto"/>
                <w:highlight w:val="none"/>
                <w:u w:val="none"/>
              </w:rPr>
            </w:pPr>
            <w:r>
              <w:rPr>
                <w:rFonts w:hint="eastAsia"/>
                <w:color w:val="auto"/>
                <w:highlight w:val="none"/>
                <w:u w:val="none"/>
              </w:rPr>
              <w:t>417</w:t>
            </w:r>
          </w:p>
        </w:tc>
        <w:tc>
          <w:tcPr>
            <w:tcW w:w="243" w:type="pct"/>
            <w:noWrap/>
            <w:vAlign w:val="center"/>
          </w:tcPr>
          <w:p w14:paraId="70D92FD8">
            <w:pPr>
              <w:pStyle w:val="1001"/>
              <w:rPr>
                <w:color w:val="auto"/>
                <w:highlight w:val="none"/>
                <w:u w:val="none"/>
              </w:rPr>
            </w:pPr>
            <w:r>
              <w:rPr>
                <w:rFonts w:hint="eastAsia"/>
                <w:color w:val="auto"/>
                <w:highlight w:val="none"/>
                <w:u w:val="none"/>
              </w:rPr>
              <w:t>-106</w:t>
            </w:r>
          </w:p>
        </w:tc>
        <w:tc>
          <w:tcPr>
            <w:tcW w:w="192" w:type="pct"/>
            <w:noWrap/>
          </w:tcPr>
          <w:p w14:paraId="570D63E2">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7BDBD07">
            <w:pPr>
              <w:pStyle w:val="1001"/>
              <w:rPr>
                <w:color w:val="auto"/>
                <w:highlight w:val="none"/>
                <w:u w:val="none"/>
              </w:rPr>
            </w:pPr>
            <w:r>
              <w:rPr>
                <w:color w:val="auto"/>
                <w:kern w:val="0"/>
                <w:highlight w:val="none"/>
                <w:u w:val="none"/>
              </w:rPr>
              <w:t>75</w:t>
            </w:r>
          </w:p>
        </w:tc>
        <w:tc>
          <w:tcPr>
            <w:tcW w:w="850" w:type="pct"/>
            <w:vMerge w:val="continue"/>
            <w:noWrap/>
            <w:vAlign w:val="center"/>
          </w:tcPr>
          <w:p w14:paraId="05098CEA">
            <w:pPr>
              <w:pStyle w:val="1001"/>
              <w:rPr>
                <w:rFonts w:ascii="宋体" w:cs="宋体"/>
                <w:color w:val="auto"/>
                <w:highlight w:val="none"/>
                <w:u w:val="none"/>
              </w:rPr>
            </w:pPr>
          </w:p>
        </w:tc>
      </w:tr>
      <w:tr w14:paraId="7190E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63BD46E">
            <w:pPr>
              <w:pStyle w:val="1001"/>
              <w:rPr>
                <w:color w:val="auto"/>
                <w:highlight w:val="none"/>
                <w:u w:val="none"/>
              </w:rPr>
            </w:pPr>
          </w:p>
        </w:tc>
        <w:tc>
          <w:tcPr>
            <w:tcW w:w="471" w:type="pct"/>
            <w:vMerge w:val="continue"/>
            <w:vAlign w:val="center"/>
          </w:tcPr>
          <w:p w14:paraId="405141D3">
            <w:pPr>
              <w:pStyle w:val="1001"/>
              <w:rPr>
                <w:color w:val="auto"/>
                <w:highlight w:val="none"/>
                <w:u w:val="none"/>
              </w:rPr>
            </w:pPr>
          </w:p>
        </w:tc>
        <w:tc>
          <w:tcPr>
            <w:tcW w:w="1171" w:type="pct"/>
            <w:vMerge w:val="restart"/>
            <w:noWrap/>
            <w:vAlign w:val="center"/>
          </w:tcPr>
          <w:p w14:paraId="08570888">
            <w:pPr>
              <w:pStyle w:val="1001"/>
              <w:rPr>
                <w:color w:val="auto"/>
                <w:highlight w:val="none"/>
                <w:u w:val="none"/>
              </w:rPr>
            </w:pPr>
            <w:r>
              <w:rPr>
                <w:color w:val="auto"/>
                <w:kern w:val="0"/>
                <w:highlight w:val="none"/>
                <w:u w:val="none"/>
              </w:rPr>
              <w:t>EDC中间罐区、VCM球罐区</w:t>
            </w:r>
          </w:p>
        </w:tc>
        <w:tc>
          <w:tcPr>
            <w:tcW w:w="829" w:type="pct"/>
            <w:noWrap/>
            <w:vAlign w:val="center"/>
          </w:tcPr>
          <w:p w14:paraId="0DEF0AD2">
            <w:pPr>
              <w:pStyle w:val="1001"/>
              <w:rPr>
                <w:color w:val="auto"/>
                <w:highlight w:val="none"/>
                <w:u w:val="none"/>
              </w:rPr>
            </w:pPr>
            <w:r>
              <w:rPr>
                <w:color w:val="auto"/>
                <w:kern w:val="0"/>
                <w:highlight w:val="none"/>
                <w:u w:val="none"/>
              </w:rPr>
              <w:t>湿粗EDC输送泵</w:t>
            </w:r>
          </w:p>
        </w:tc>
        <w:tc>
          <w:tcPr>
            <w:tcW w:w="257" w:type="pct"/>
            <w:noWrap/>
            <w:vAlign w:val="center"/>
          </w:tcPr>
          <w:p w14:paraId="267EE3B8">
            <w:pPr>
              <w:pStyle w:val="1001"/>
              <w:rPr>
                <w:color w:val="auto"/>
                <w:highlight w:val="none"/>
                <w:u w:val="none"/>
              </w:rPr>
            </w:pPr>
            <w:r>
              <w:rPr>
                <w:color w:val="auto"/>
                <w:kern w:val="0"/>
                <w:highlight w:val="none"/>
                <w:u w:val="none"/>
              </w:rPr>
              <w:t>2</w:t>
            </w:r>
          </w:p>
        </w:tc>
        <w:tc>
          <w:tcPr>
            <w:tcW w:w="214" w:type="pct"/>
            <w:noWrap/>
            <w:vAlign w:val="center"/>
          </w:tcPr>
          <w:p w14:paraId="6CF2E3FB">
            <w:pPr>
              <w:pStyle w:val="1001"/>
              <w:rPr>
                <w:color w:val="auto"/>
                <w:highlight w:val="none"/>
                <w:u w:val="none"/>
              </w:rPr>
            </w:pPr>
            <w:r>
              <w:rPr>
                <w:rFonts w:hint="eastAsia"/>
                <w:color w:val="auto"/>
                <w:highlight w:val="none"/>
                <w:u w:val="none"/>
              </w:rPr>
              <w:t>418</w:t>
            </w:r>
          </w:p>
        </w:tc>
        <w:tc>
          <w:tcPr>
            <w:tcW w:w="243" w:type="pct"/>
            <w:noWrap/>
            <w:vAlign w:val="center"/>
          </w:tcPr>
          <w:p w14:paraId="3D2101BB">
            <w:pPr>
              <w:pStyle w:val="1001"/>
              <w:rPr>
                <w:color w:val="auto"/>
                <w:highlight w:val="none"/>
                <w:u w:val="none"/>
              </w:rPr>
            </w:pPr>
            <w:r>
              <w:rPr>
                <w:rFonts w:hint="eastAsia"/>
                <w:color w:val="auto"/>
                <w:highlight w:val="none"/>
                <w:u w:val="none"/>
              </w:rPr>
              <w:t>-113</w:t>
            </w:r>
          </w:p>
        </w:tc>
        <w:tc>
          <w:tcPr>
            <w:tcW w:w="192" w:type="pct"/>
            <w:noWrap/>
          </w:tcPr>
          <w:p w14:paraId="364C2BFD">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3406693">
            <w:pPr>
              <w:pStyle w:val="1001"/>
              <w:rPr>
                <w:color w:val="auto"/>
                <w:highlight w:val="none"/>
                <w:u w:val="none"/>
              </w:rPr>
            </w:pPr>
            <w:r>
              <w:rPr>
                <w:color w:val="auto"/>
                <w:kern w:val="0"/>
                <w:highlight w:val="none"/>
                <w:u w:val="none"/>
              </w:rPr>
              <w:t>70</w:t>
            </w:r>
          </w:p>
        </w:tc>
        <w:tc>
          <w:tcPr>
            <w:tcW w:w="850" w:type="pct"/>
            <w:vMerge w:val="restart"/>
            <w:noWrap/>
            <w:vAlign w:val="center"/>
          </w:tcPr>
          <w:p w14:paraId="78ABCAD3">
            <w:pPr>
              <w:pStyle w:val="1001"/>
              <w:rPr>
                <w:rFonts w:ascii="宋体" w:cs="宋体"/>
                <w:color w:val="auto"/>
                <w:highlight w:val="none"/>
                <w:u w:val="none"/>
              </w:rPr>
            </w:pPr>
            <w:r>
              <w:rPr>
                <w:color w:val="auto"/>
                <w:kern w:val="0"/>
                <w:highlight w:val="none"/>
                <w:u w:val="none"/>
              </w:rPr>
              <w:t>基础减振，设消音器</w:t>
            </w:r>
          </w:p>
        </w:tc>
      </w:tr>
      <w:tr w14:paraId="0D56D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600923B1">
            <w:pPr>
              <w:pStyle w:val="1001"/>
              <w:rPr>
                <w:color w:val="auto"/>
                <w:highlight w:val="none"/>
                <w:u w:val="none"/>
              </w:rPr>
            </w:pPr>
          </w:p>
        </w:tc>
        <w:tc>
          <w:tcPr>
            <w:tcW w:w="471" w:type="pct"/>
            <w:vMerge w:val="continue"/>
            <w:vAlign w:val="center"/>
          </w:tcPr>
          <w:p w14:paraId="59AB1557">
            <w:pPr>
              <w:pStyle w:val="1001"/>
              <w:rPr>
                <w:color w:val="auto"/>
                <w:highlight w:val="none"/>
                <w:u w:val="none"/>
              </w:rPr>
            </w:pPr>
          </w:p>
        </w:tc>
        <w:tc>
          <w:tcPr>
            <w:tcW w:w="1171" w:type="pct"/>
            <w:vMerge w:val="continue"/>
            <w:noWrap/>
            <w:vAlign w:val="center"/>
          </w:tcPr>
          <w:p w14:paraId="135E94DB">
            <w:pPr>
              <w:pStyle w:val="1001"/>
              <w:rPr>
                <w:color w:val="auto"/>
                <w:highlight w:val="none"/>
                <w:u w:val="none"/>
              </w:rPr>
            </w:pPr>
          </w:p>
        </w:tc>
        <w:tc>
          <w:tcPr>
            <w:tcW w:w="829" w:type="pct"/>
            <w:noWrap/>
            <w:vAlign w:val="center"/>
          </w:tcPr>
          <w:p w14:paraId="2E815EC4">
            <w:pPr>
              <w:pStyle w:val="1001"/>
              <w:rPr>
                <w:color w:val="auto"/>
                <w:highlight w:val="none"/>
                <w:u w:val="none"/>
              </w:rPr>
            </w:pPr>
            <w:r>
              <w:rPr>
                <w:color w:val="auto"/>
                <w:kern w:val="0"/>
                <w:highlight w:val="none"/>
                <w:u w:val="none"/>
              </w:rPr>
              <w:t>干粗EDC输送泵</w:t>
            </w:r>
          </w:p>
        </w:tc>
        <w:tc>
          <w:tcPr>
            <w:tcW w:w="257" w:type="pct"/>
            <w:noWrap/>
            <w:vAlign w:val="center"/>
          </w:tcPr>
          <w:p w14:paraId="341D4A70">
            <w:pPr>
              <w:pStyle w:val="1001"/>
              <w:rPr>
                <w:color w:val="auto"/>
                <w:highlight w:val="none"/>
                <w:u w:val="none"/>
              </w:rPr>
            </w:pPr>
            <w:r>
              <w:rPr>
                <w:color w:val="auto"/>
                <w:kern w:val="0"/>
                <w:highlight w:val="none"/>
                <w:u w:val="none"/>
              </w:rPr>
              <w:t>2</w:t>
            </w:r>
          </w:p>
        </w:tc>
        <w:tc>
          <w:tcPr>
            <w:tcW w:w="214" w:type="pct"/>
            <w:noWrap/>
            <w:vAlign w:val="center"/>
          </w:tcPr>
          <w:p w14:paraId="62BD7E3B">
            <w:pPr>
              <w:pStyle w:val="1001"/>
              <w:rPr>
                <w:color w:val="auto"/>
                <w:highlight w:val="none"/>
                <w:u w:val="none"/>
              </w:rPr>
            </w:pPr>
            <w:r>
              <w:rPr>
                <w:rFonts w:hint="eastAsia"/>
                <w:color w:val="auto"/>
                <w:highlight w:val="none"/>
                <w:u w:val="none"/>
              </w:rPr>
              <w:t>381</w:t>
            </w:r>
          </w:p>
        </w:tc>
        <w:tc>
          <w:tcPr>
            <w:tcW w:w="243" w:type="pct"/>
            <w:noWrap/>
            <w:vAlign w:val="center"/>
          </w:tcPr>
          <w:p w14:paraId="1AA08B95">
            <w:pPr>
              <w:pStyle w:val="1001"/>
              <w:rPr>
                <w:color w:val="auto"/>
                <w:highlight w:val="none"/>
                <w:u w:val="none"/>
              </w:rPr>
            </w:pPr>
            <w:r>
              <w:rPr>
                <w:rFonts w:hint="eastAsia"/>
                <w:color w:val="auto"/>
                <w:highlight w:val="none"/>
                <w:u w:val="none"/>
              </w:rPr>
              <w:t>-167</w:t>
            </w:r>
          </w:p>
        </w:tc>
        <w:tc>
          <w:tcPr>
            <w:tcW w:w="192" w:type="pct"/>
            <w:noWrap/>
          </w:tcPr>
          <w:p w14:paraId="1C17870F">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DA4F934">
            <w:pPr>
              <w:pStyle w:val="1001"/>
              <w:rPr>
                <w:color w:val="auto"/>
                <w:highlight w:val="none"/>
                <w:u w:val="none"/>
              </w:rPr>
            </w:pPr>
            <w:r>
              <w:rPr>
                <w:color w:val="auto"/>
                <w:kern w:val="0"/>
                <w:highlight w:val="none"/>
                <w:u w:val="none"/>
              </w:rPr>
              <w:t>70</w:t>
            </w:r>
          </w:p>
        </w:tc>
        <w:tc>
          <w:tcPr>
            <w:tcW w:w="850" w:type="pct"/>
            <w:vMerge w:val="continue"/>
            <w:noWrap/>
            <w:vAlign w:val="center"/>
          </w:tcPr>
          <w:p w14:paraId="4CF926EB">
            <w:pPr>
              <w:pStyle w:val="1001"/>
              <w:rPr>
                <w:rFonts w:ascii="宋体" w:cs="宋体"/>
                <w:color w:val="auto"/>
                <w:highlight w:val="none"/>
                <w:u w:val="none"/>
              </w:rPr>
            </w:pPr>
          </w:p>
        </w:tc>
      </w:tr>
      <w:tr w14:paraId="544F1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57569C74">
            <w:pPr>
              <w:pStyle w:val="1001"/>
              <w:rPr>
                <w:color w:val="auto"/>
                <w:highlight w:val="none"/>
                <w:u w:val="none"/>
              </w:rPr>
            </w:pPr>
          </w:p>
        </w:tc>
        <w:tc>
          <w:tcPr>
            <w:tcW w:w="471" w:type="pct"/>
            <w:vMerge w:val="continue"/>
            <w:vAlign w:val="center"/>
          </w:tcPr>
          <w:p w14:paraId="30BCF7F1">
            <w:pPr>
              <w:pStyle w:val="1001"/>
              <w:rPr>
                <w:color w:val="auto"/>
                <w:highlight w:val="none"/>
                <w:u w:val="none"/>
              </w:rPr>
            </w:pPr>
          </w:p>
        </w:tc>
        <w:tc>
          <w:tcPr>
            <w:tcW w:w="1171" w:type="pct"/>
            <w:vMerge w:val="continue"/>
            <w:noWrap/>
            <w:vAlign w:val="center"/>
          </w:tcPr>
          <w:p w14:paraId="5C809E4F">
            <w:pPr>
              <w:pStyle w:val="1001"/>
              <w:rPr>
                <w:color w:val="auto"/>
                <w:highlight w:val="none"/>
                <w:u w:val="none"/>
              </w:rPr>
            </w:pPr>
          </w:p>
        </w:tc>
        <w:tc>
          <w:tcPr>
            <w:tcW w:w="829" w:type="pct"/>
            <w:noWrap/>
            <w:vAlign w:val="center"/>
          </w:tcPr>
          <w:p w14:paraId="4D461AA9">
            <w:pPr>
              <w:pStyle w:val="1001"/>
              <w:rPr>
                <w:color w:val="auto"/>
                <w:highlight w:val="none"/>
                <w:u w:val="none"/>
              </w:rPr>
            </w:pPr>
            <w:r>
              <w:rPr>
                <w:color w:val="auto"/>
                <w:kern w:val="0"/>
                <w:highlight w:val="none"/>
                <w:u w:val="none"/>
              </w:rPr>
              <w:t>裂解炉进料泵</w:t>
            </w:r>
          </w:p>
        </w:tc>
        <w:tc>
          <w:tcPr>
            <w:tcW w:w="257" w:type="pct"/>
            <w:noWrap/>
            <w:vAlign w:val="center"/>
          </w:tcPr>
          <w:p w14:paraId="157996B2">
            <w:pPr>
              <w:pStyle w:val="1001"/>
              <w:rPr>
                <w:color w:val="auto"/>
                <w:highlight w:val="none"/>
                <w:u w:val="none"/>
              </w:rPr>
            </w:pPr>
            <w:r>
              <w:rPr>
                <w:color w:val="auto"/>
                <w:kern w:val="0"/>
                <w:highlight w:val="none"/>
                <w:u w:val="none"/>
              </w:rPr>
              <w:t>2</w:t>
            </w:r>
          </w:p>
        </w:tc>
        <w:tc>
          <w:tcPr>
            <w:tcW w:w="214" w:type="pct"/>
            <w:noWrap/>
            <w:vAlign w:val="center"/>
          </w:tcPr>
          <w:p w14:paraId="7496E135">
            <w:pPr>
              <w:pStyle w:val="1001"/>
              <w:rPr>
                <w:color w:val="auto"/>
                <w:highlight w:val="none"/>
                <w:u w:val="none"/>
              </w:rPr>
            </w:pPr>
            <w:r>
              <w:rPr>
                <w:rFonts w:hint="eastAsia"/>
                <w:color w:val="auto"/>
                <w:highlight w:val="none"/>
                <w:u w:val="none"/>
              </w:rPr>
              <w:t>378</w:t>
            </w:r>
          </w:p>
        </w:tc>
        <w:tc>
          <w:tcPr>
            <w:tcW w:w="243" w:type="pct"/>
            <w:noWrap/>
            <w:vAlign w:val="center"/>
          </w:tcPr>
          <w:p w14:paraId="5B4AB772">
            <w:pPr>
              <w:pStyle w:val="1001"/>
              <w:rPr>
                <w:color w:val="auto"/>
                <w:highlight w:val="none"/>
                <w:u w:val="none"/>
              </w:rPr>
            </w:pPr>
            <w:r>
              <w:rPr>
                <w:rFonts w:hint="eastAsia"/>
                <w:color w:val="auto"/>
                <w:highlight w:val="none"/>
                <w:u w:val="none"/>
              </w:rPr>
              <w:t>-176</w:t>
            </w:r>
          </w:p>
        </w:tc>
        <w:tc>
          <w:tcPr>
            <w:tcW w:w="192" w:type="pct"/>
            <w:noWrap/>
          </w:tcPr>
          <w:p w14:paraId="5C6C80BB">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9936A7D">
            <w:pPr>
              <w:pStyle w:val="1001"/>
              <w:rPr>
                <w:color w:val="auto"/>
                <w:highlight w:val="none"/>
                <w:u w:val="none"/>
              </w:rPr>
            </w:pPr>
            <w:r>
              <w:rPr>
                <w:color w:val="auto"/>
                <w:kern w:val="0"/>
                <w:highlight w:val="none"/>
                <w:u w:val="none"/>
              </w:rPr>
              <w:t>70</w:t>
            </w:r>
          </w:p>
        </w:tc>
        <w:tc>
          <w:tcPr>
            <w:tcW w:w="850" w:type="pct"/>
            <w:vMerge w:val="continue"/>
            <w:noWrap/>
            <w:vAlign w:val="center"/>
          </w:tcPr>
          <w:p w14:paraId="37690E1C">
            <w:pPr>
              <w:pStyle w:val="1001"/>
              <w:rPr>
                <w:rFonts w:ascii="宋体" w:cs="宋体"/>
                <w:color w:val="auto"/>
                <w:highlight w:val="none"/>
                <w:u w:val="none"/>
              </w:rPr>
            </w:pPr>
          </w:p>
        </w:tc>
      </w:tr>
      <w:tr w14:paraId="5F1D76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78B39776">
            <w:pPr>
              <w:pStyle w:val="1001"/>
              <w:rPr>
                <w:color w:val="auto"/>
                <w:highlight w:val="none"/>
                <w:u w:val="none"/>
              </w:rPr>
            </w:pPr>
          </w:p>
        </w:tc>
        <w:tc>
          <w:tcPr>
            <w:tcW w:w="471" w:type="pct"/>
            <w:vMerge w:val="continue"/>
            <w:vAlign w:val="center"/>
          </w:tcPr>
          <w:p w14:paraId="1CC6771D">
            <w:pPr>
              <w:pStyle w:val="1001"/>
              <w:rPr>
                <w:color w:val="auto"/>
                <w:highlight w:val="none"/>
                <w:u w:val="none"/>
              </w:rPr>
            </w:pPr>
          </w:p>
        </w:tc>
        <w:tc>
          <w:tcPr>
            <w:tcW w:w="1171" w:type="pct"/>
            <w:vMerge w:val="continue"/>
            <w:noWrap/>
            <w:vAlign w:val="center"/>
          </w:tcPr>
          <w:p w14:paraId="04D46716">
            <w:pPr>
              <w:pStyle w:val="1001"/>
              <w:rPr>
                <w:color w:val="auto"/>
                <w:highlight w:val="none"/>
                <w:u w:val="none"/>
              </w:rPr>
            </w:pPr>
          </w:p>
        </w:tc>
        <w:tc>
          <w:tcPr>
            <w:tcW w:w="829" w:type="pct"/>
            <w:noWrap/>
            <w:vAlign w:val="center"/>
          </w:tcPr>
          <w:p w14:paraId="63835869">
            <w:pPr>
              <w:pStyle w:val="1001"/>
              <w:rPr>
                <w:color w:val="auto"/>
                <w:highlight w:val="none"/>
                <w:u w:val="none"/>
              </w:rPr>
            </w:pPr>
            <w:r>
              <w:rPr>
                <w:color w:val="auto"/>
                <w:kern w:val="0"/>
                <w:highlight w:val="none"/>
                <w:u w:val="none"/>
              </w:rPr>
              <w:t>不合格VCM泵</w:t>
            </w:r>
          </w:p>
        </w:tc>
        <w:tc>
          <w:tcPr>
            <w:tcW w:w="257" w:type="pct"/>
            <w:noWrap/>
            <w:vAlign w:val="center"/>
          </w:tcPr>
          <w:p w14:paraId="40E38E6F">
            <w:pPr>
              <w:pStyle w:val="1001"/>
              <w:rPr>
                <w:color w:val="auto"/>
                <w:highlight w:val="none"/>
                <w:u w:val="none"/>
              </w:rPr>
            </w:pPr>
            <w:r>
              <w:rPr>
                <w:color w:val="auto"/>
                <w:kern w:val="0"/>
                <w:highlight w:val="none"/>
                <w:u w:val="none"/>
              </w:rPr>
              <w:t>1</w:t>
            </w:r>
          </w:p>
        </w:tc>
        <w:tc>
          <w:tcPr>
            <w:tcW w:w="214" w:type="pct"/>
            <w:noWrap/>
            <w:vAlign w:val="center"/>
          </w:tcPr>
          <w:p w14:paraId="74DC0D71">
            <w:pPr>
              <w:pStyle w:val="1001"/>
              <w:rPr>
                <w:color w:val="auto"/>
                <w:highlight w:val="none"/>
                <w:u w:val="none"/>
              </w:rPr>
            </w:pPr>
            <w:r>
              <w:rPr>
                <w:rFonts w:hint="eastAsia"/>
                <w:color w:val="auto"/>
                <w:highlight w:val="none"/>
                <w:u w:val="none"/>
              </w:rPr>
              <w:t>428</w:t>
            </w:r>
          </w:p>
        </w:tc>
        <w:tc>
          <w:tcPr>
            <w:tcW w:w="243" w:type="pct"/>
            <w:noWrap/>
            <w:vAlign w:val="center"/>
          </w:tcPr>
          <w:p w14:paraId="38FC8F14">
            <w:pPr>
              <w:pStyle w:val="1001"/>
              <w:rPr>
                <w:color w:val="auto"/>
                <w:highlight w:val="none"/>
                <w:u w:val="none"/>
              </w:rPr>
            </w:pPr>
            <w:r>
              <w:rPr>
                <w:rFonts w:hint="eastAsia"/>
                <w:color w:val="auto"/>
                <w:highlight w:val="none"/>
                <w:u w:val="none"/>
              </w:rPr>
              <w:t>-166</w:t>
            </w:r>
          </w:p>
        </w:tc>
        <w:tc>
          <w:tcPr>
            <w:tcW w:w="192" w:type="pct"/>
            <w:noWrap/>
          </w:tcPr>
          <w:p w14:paraId="4C09C2D0">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D838985">
            <w:pPr>
              <w:pStyle w:val="1001"/>
              <w:rPr>
                <w:color w:val="auto"/>
                <w:highlight w:val="none"/>
                <w:u w:val="none"/>
              </w:rPr>
            </w:pPr>
            <w:r>
              <w:rPr>
                <w:color w:val="auto"/>
                <w:kern w:val="0"/>
                <w:highlight w:val="none"/>
                <w:u w:val="none"/>
              </w:rPr>
              <w:t>70</w:t>
            </w:r>
          </w:p>
        </w:tc>
        <w:tc>
          <w:tcPr>
            <w:tcW w:w="850" w:type="pct"/>
            <w:vMerge w:val="continue"/>
            <w:noWrap/>
            <w:vAlign w:val="center"/>
          </w:tcPr>
          <w:p w14:paraId="2A3F72A2">
            <w:pPr>
              <w:pStyle w:val="1001"/>
              <w:rPr>
                <w:rFonts w:ascii="宋体" w:cs="宋体"/>
                <w:color w:val="auto"/>
                <w:highlight w:val="none"/>
                <w:u w:val="none"/>
              </w:rPr>
            </w:pPr>
          </w:p>
        </w:tc>
      </w:tr>
      <w:tr w14:paraId="6AF614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86A7BFD">
            <w:pPr>
              <w:pStyle w:val="1001"/>
              <w:rPr>
                <w:color w:val="auto"/>
                <w:highlight w:val="none"/>
                <w:u w:val="none"/>
              </w:rPr>
            </w:pPr>
          </w:p>
        </w:tc>
        <w:tc>
          <w:tcPr>
            <w:tcW w:w="471" w:type="pct"/>
            <w:vMerge w:val="continue"/>
            <w:vAlign w:val="center"/>
          </w:tcPr>
          <w:p w14:paraId="78235599">
            <w:pPr>
              <w:pStyle w:val="1001"/>
              <w:rPr>
                <w:color w:val="auto"/>
                <w:highlight w:val="none"/>
                <w:u w:val="none"/>
              </w:rPr>
            </w:pPr>
          </w:p>
        </w:tc>
        <w:tc>
          <w:tcPr>
            <w:tcW w:w="1171" w:type="pct"/>
            <w:vMerge w:val="continue"/>
            <w:noWrap/>
            <w:vAlign w:val="center"/>
          </w:tcPr>
          <w:p w14:paraId="7E97D3BA">
            <w:pPr>
              <w:pStyle w:val="1001"/>
              <w:rPr>
                <w:color w:val="auto"/>
                <w:highlight w:val="none"/>
                <w:u w:val="none"/>
              </w:rPr>
            </w:pPr>
          </w:p>
        </w:tc>
        <w:tc>
          <w:tcPr>
            <w:tcW w:w="829" w:type="pct"/>
            <w:noWrap/>
            <w:vAlign w:val="center"/>
          </w:tcPr>
          <w:p w14:paraId="21A27E3C">
            <w:pPr>
              <w:pStyle w:val="1001"/>
              <w:rPr>
                <w:color w:val="auto"/>
                <w:highlight w:val="none"/>
                <w:u w:val="none"/>
              </w:rPr>
            </w:pPr>
            <w:r>
              <w:rPr>
                <w:color w:val="auto"/>
                <w:kern w:val="0"/>
                <w:highlight w:val="none"/>
                <w:u w:val="none"/>
              </w:rPr>
              <w:t>碱输送泵</w:t>
            </w:r>
          </w:p>
        </w:tc>
        <w:tc>
          <w:tcPr>
            <w:tcW w:w="257" w:type="pct"/>
            <w:noWrap/>
            <w:vAlign w:val="center"/>
          </w:tcPr>
          <w:p w14:paraId="71D17A6B">
            <w:pPr>
              <w:pStyle w:val="1001"/>
              <w:rPr>
                <w:color w:val="auto"/>
                <w:highlight w:val="none"/>
                <w:u w:val="none"/>
              </w:rPr>
            </w:pPr>
            <w:r>
              <w:rPr>
                <w:color w:val="auto"/>
                <w:kern w:val="0"/>
                <w:highlight w:val="none"/>
                <w:u w:val="none"/>
              </w:rPr>
              <w:t>1</w:t>
            </w:r>
          </w:p>
        </w:tc>
        <w:tc>
          <w:tcPr>
            <w:tcW w:w="214" w:type="pct"/>
            <w:noWrap/>
            <w:vAlign w:val="center"/>
          </w:tcPr>
          <w:p w14:paraId="0C5244AC">
            <w:pPr>
              <w:pStyle w:val="1001"/>
              <w:rPr>
                <w:color w:val="auto"/>
                <w:highlight w:val="none"/>
                <w:u w:val="none"/>
              </w:rPr>
            </w:pPr>
            <w:r>
              <w:rPr>
                <w:rFonts w:hint="eastAsia"/>
                <w:color w:val="auto"/>
                <w:highlight w:val="none"/>
                <w:u w:val="none"/>
              </w:rPr>
              <w:t>433</w:t>
            </w:r>
          </w:p>
        </w:tc>
        <w:tc>
          <w:tcPr>
            <w:tcW w:w="243" w:type="pct"/>
            <w:noWrap/>
            <w:vAlign w:val="center"/>
          </w:tcPr>
          <w:p w14:paraId="4B21403E">
            <w:pPr>
              <w:pStyle w:val="1001"/>
              <w:rPr>
                <w:color w:val="auto"/>
                <w:highlight w:val="none"/>
                <w:u w:val="none"/>
              </w:rPr>
            </w:pPr>
            <w:r>
              <w:rPr>
                <w:rFonts w:hint="eastAsia"/>
                <w:color w:val="auto"/>
                <w:highlight w:val="none"/>
                <w:u w:val="none"/>
              </w:rPr>
              <w:t>-174</w:t>
            </w:r>
          </w:p>
        </w:tc>
        <w:tc>
          <w:tcPr>
            <w:tcW w:w="192" w:type="pct"/>
            <w:noWrap/>
          </w:tcPr>
          <w:p w14:paraId="55AA687C">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5772E59">
            <w:pPr>
              <w:pStyle w:val="1001"/>
              <w:rPr>
                <w:color w:val="auto"/>
                <w:highlight w:val="none"/>
                <w:u w:val="none"/>
              </w:rPr>
            </w:pPr>
            <w:r>
              <w:rPr>
                <w:color w:val="auto"/>
                <w:kern w:val="0"/>
                <w:highlight w:val="none"/>
                <w:u w:val="none"/>
              </w:rPr>
              <w:t>70</w:t>
            </w:r>
          </w:p>
        </w:tc>
        <w:tc>
          <w:tcPr>
            <w:tcW w:w="850" w:type="pct"/>
            <w:vMerge w:val="continue"/>
            <w:noWrap/>
            <w:vAlign w:val="center"/>
          </w:tcPr>
          <w:p w14:paraId="4839C2E1">
            <w:pPr>
              <w:pStyle w:val="1001"/>
              <w:rPr>
                <w:rFonts w:ascii="宋体" w:cs="宋体"/>
                <w:color w:val="auto"/>
                <w:highlight w:val="none"/>
                <w:u w:val="none"/>
              </w:rPr>
            </w:pPr>
          </w:p>
        </w:tc>
      </w:tr>
      <w:tr w14:paraId="4405D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7D7FEEEA">
            <w:pPr>
              <w:pStyle w:val="1001"/>
              <w:rPr>
                <w:color w:val="auto"/>
                <w:highlight w:val="none"/>
                <w:u w:val="none"/>
              </w:rPr>
            </w:pPr>
          </w:p>
        </w:tc>
        <w:tc>
          <w:tcPr>
            <w:tcW w:w="471" w:type="pct"/>
            <w:vMerge w:val="continue"/>
            <w:vAlign w:val="center"/>
          </w:tcPr>
          <w:p w14:paraId="2FFD8B1C">
            <w:pPr>
              <w:pStyle w:val="1001"/>
              <w:rPr>
                <w:color w:val="auto"/>
                <w:highlight w:val="none"/>
                <w:u w:val="none"/>
              </w:rPr>
            </w:pPr>
          </w:p>
        </w:tc>
        <w:tc>
          <w:tcPr>
            <w:tcW w:w="1171" w:type="pct"/>
            <w:vMerge w:val="restart"/>
            <w:noWrap/>
            <w:vAlign w:val="center"/>
          </w:tcPr>
          <w:p w14:paraId="2CCE6DA4">
            <w:pPr>
              <w:pStyle w:val="1001"/>
              <w:rPr>
                <w:color w:val="auto"/>
                <w:highlight w:val="none"/>
                <w:u w:val="none"/>
              </w:rPr>
            </w:pPr>
            <w:r>
              <w:rPr>
                <w:color w:val="auto"/>
                <w:kern w:val="0"/>
                <w:highlight w:val="none"/>
                <w:u w:val="none"/>
              </w:rPr>
              <w:t>废水汽提单元</w:t>
            </w:r>
          </w:p>
        </w:tc>
        <w:tc>
          <w:tcPr>
            <w:tcW w:w="829" w:type="pct"/>
            <w:noWrap/>
            <w:vAlign w:val="center"/>
          </w:tcPr>
          <w:p w14:paraId="0650F676">
            <w:pPr>
              <w:pStyle w:val="1001"/>
              <w:rPr>
                <w:color w:val="auto"/>
                <w:highlight w:val="none"/>
                <w:u w:val="none"/>
              </w:rPr>
            </w:pPr>
            <w:r>
              <w:rPr>
                <w:color w:val="auto"/>
                <w:kern w:val="0"/>
                <w:highlight w:val="none"/>
                <w:u w:val="none"/>
              </w:rPr>
              <w:t>气提塔进料泵</w:t>
            </w:r>
          </w:p>
        </w:tc>
        <w:tc>
          <w:tcPr>
            <w:tcW w:w="257" w:type="pct"/>
            <w:noWrap/>
            <w:vAlign w:val="center"/>
          </w:tcPr>
          <w:p w14:paraId="6B0BC416">
            <w:pPr>
              <w:pStyle w:val="1001"/>
              <w:rPr>
                <w:color w:val="auto"/>
                <w:highlight w:val="none"/>
                <w:u w:val="none"/>
              </w:rPr>
            </w:pPr>
            <w:r>
              <w:rPr>
                <w:color w:val="auto"/>
                <w:kern w:val="0"/>
                <w:highlight w:val="none"/>
                <w:u w:val="none"/>
              </w:rPr>
              <w:t>2</w:t>
            </w:r>
          </w:p>
        </w:tc>
        <w:tc>
          <w:tcPr>
            <w:tcW w:w="214" w:type="pct"/>
            <w:noWrap/>
            <w:vAlign w:val="center"/>
          </w:tcPr>
          <w:p w14:paraId="3D6E7B2D">
            <w:pPr>
              <w:pStyle w:val="1001"/>
              <w:rPr>
                <w:color w:val="auto"/>
                <w:highlight w:val="none"/>
                <w:u w:val="none"/>
              </w:rPr>
            </w:pPr>
            <w:r>
              <w:rPr>
                <w:rFonts w:hint="eastAsia"/>
                <w:color w:val="auto"/>
                <w:highlight w:val="none"/>
                <w:u w:val="none"/>
              </w:rPr>
              <w:t>493</w:t>
            </w:r>
          </w:p>
        </w:tc>
        <w:tc>
          <w:tcPr>
            <w:tcW w:w="243" w:type="pct"/>
            <w:noWrap/>
            <w:vAlign w:val="center"/>
          </w:tcPr>
          <w:p w14:paraId="52783880">
            <w:pPr>
              <w:pStyle w:val="1001"/>
              <w:rPr>
                <w:color w:val="auto"/>
                <w:highlight w:val="none"/>
                <w:u w:val="none"/>
              </w:rPr>
            </w:pPr>
            <w:r>
              <w:rPr>
                <w:rFonts w:hint="eastAsia"/>
                <w:color w:val="auto"/>
                <w:highlight w:val="none"/>
                <w:u w:val="none"/>
              </w:rPr>
              <w:t>9</w:t>
            </w:r>
          </w:p>
        </w:tc>
        <w:tc>
          <w:tcPr>
            <w:tcW w:w="192" w:type="pct"/>
            <w:noWrap/>
          </w:tcPr>
          <w:p w14:paraId="691C6774">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1B9CEFF">
            <w:pPr>
              <w:pStyle w:val="1001"/>
              <w:rPr>
                <w:color w:val="auto"/>
                <w:highlight w:val="none"/>
                <w:u w:val="none"/>
              </w:rPr>
            </w:pPr>
            <w:r>
              <w:rPr>
                <w:color w:val="auto"/>
                <w:kern w:val="0"/>
                <w:highlight w:val="none"/>
                <w:u w:val="none"/>
              </w:rPr>
              <w:t>75</w:t>
            </w:r>
          </w:p>
        </w:tc>
        <w:tc>
          <w:tcPr>
            <w:tcW w:w="850" w:type="pct"/>
            <w:vMerge w:val="restart"/>
            <w:noWrap/>
            <w:vAlign w:val="center"/>
          </w:tcPr>
          <w:p w14:paraId="5046B7CB">
            <w:pPr>
              <w:pStyle w:val="1001"/>
              <w:rPr>
                <w:rFonts w:ascii="宋体" w:cs="宋体"/>
                <w:color w:val="auto"/>
                <w:highlight w:val="none"/>
                <w:u w:val="none"/>
              </w:rPr>
            </w:pPr>
            <w:r>
              <w:rPr>
                <w:color w:val="auto"/>
                <w:kern w:val="0"/>
                <w:highlight w:val="none"/>
                <w:u w:val="none"/>
              </w:rPr>
              <w:t>厂房隔声，基础减振</w:t>
            </w:r>
          </w:p>
        </w:tc>
      </w:tr>
      <w:tr w14:paraId="7B1751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2F51F9C9">
            <w:pPr>
              <w:pStyle w:val="1001"/>
              <w:rPr>
                <w:color w:val="auto"/>
                <w:highlight w:val="none"/>
                <w:u w:val="none"/>
              </w:rPr>
            </w:pPr>
          </w:p>
        </w:tc>
        <w:tc>
          <w:tcPr>
            <w:tcW w:w="471" w:type="pct"/>
            <w:vMerge w:val="continue"/>
            <w:vAlign w:val="center"/>
          </w:tcPr>
          <w:p w14:paraId="76E855F4">
            <w:pPr>
              <w:pStyle w:val="1001"/>
              <w:rPr>
                <w:color w:val="auto"/>
                <w:highlight w:val="none"/>
                <w:u w:val="none"/>
              </w:rPr>
            </w:pPr>
          </w:p>
        </w:tc>
        <w:tc>
          <w:tcPr>
            <w:tcW w:w="1171" w:type="pct"/>
            <w:vMerge w:val="continue"/>
            <w:noWrap/>
            <w:vAlign w:val="center"/>
          </w:tcPr>
          <w:p w14:paraId="4A366BD9">
            <w:pPr>
              <w:pStyle w:val="1001"/>
              <w:rPr>
                <w:color w:val="auto"/>
                <w:highlight w:val="none"/>
                <w:u w:val="none"/>
              </w:rPr>
            </w:pPr>
          </w:p>
        </w:tc>
        <w:tc>
          <w:tcPr>
            <w:tcW w:w="829" w:type="pct"/>
            <w:noWrap/>
            <w:vAlign w:val="center"/>
          </w:tcPr>
          <w:p w14:paraId="24D44790">
            <w:pPr>
              <w:pStyle w:val="1001"/>
              <w:rPr>
                <w:color w:val="auto"/>
                <w:highlight w:val="none"/>
                <w:u w:val="none"/>
              </w:rPr>
            </w:pPr>
            <w:r>
              <w:rPr>
                <w:color w:val="auto"/>
                <w:kern w:val="0"/>
                <w:highlight w:val="none"/>
                <w:u w:val="none"/>
              </w:rPr>
              <w:t>污水泵</w:t>
            </w:r>
          </w:p>
        </w:tc>
        <w:tc>
          <w:tcPr>
            <w:tcW w:w="257" w:type="pct"/>
            <w:noWrap/>
            <w:vAlign w:val="center"/>
          </w:tcPr>
          <w:p w14:paraId="7ECA3015">
            <w:pPr>
              <w:pStyle w:val="1001"/>
              <w:rPr>
                <w:color w:val="auto"/>
                <w:highlight w:val="none"/>
                <w:u w:val="none"/>
              </w:rPr>
            </w:pPr>
            <w:r>
              <w:rPr>
                <w:color w:val="auto"/>
                <w:kern w:val="0"/>
                <w:highlight w:val="none"/>
                <w:u w:val="none"/>
              </w:rPr>
              <w:t>2</w:t>
            </w:r>
          </w:p>
        </w:tc>
        <w:tc>
          <w:tcPr>
            <w:tcW w:w="214" w:type="pct"/>
            <w:noWrap/>
            <w:vAlign w:val="center"/>
          </w:tcPr>
          <w:p w14:paraId="2DA38E7D">
            <w:pPr>
              <w:pStyle w:val="1001"/>
              <w:rPr>
                <w:color w:val="auto"/>
                <w:highlight w:val="none"/>
                <w:u w:val="none"/>
              </w:rPr>
            </w:pPr>
            <w:r>
              <w:rPr>
                <w:rFonts w:hint="eastAsia"/>
                <w:color w:val="auto"/>
                <w:highlight w:val="none"/>
                <w:u w:val="none"/>
              </w:rPr>
              <w:t>494</w:t>
            </w:r>
          </w:p>
        </w:tc>
        <w:tc>
          <w:tcPr>
            <w:tcW w:w="243" w:type="pct"/>
            <w:noWrap/>
            <w:vAlign w:val="center"/>
          </w:tcPr>
          <w:p w14:paraId="769E2ACC">
            <w:pPr>
              <w:pStyle w:val="1001"/>
              <w:rPr>
                <w:color w:val="auto"/>
                <w:highlight w:val="none"/>
                <w:u w:val="none"/>
              </w:rPr>
            </w:pPr>
            <w:r>
              <w:rPr>
                <w:rFonts w:hint="eastAsia"/>
                <w:color w:val="auto"/>
                <w:highlight w:val="none"/>
                <w:u w:val="none"/>
              </w:rPr>
              <w:t>-13</w:t>
            </w:r>
          </w:p>
        </w:tc>
        <w:tc>
          <w:tcPr>
            <w:tcW w:w="192" w:type="pct"/>
            <w:noWrap/>
          </w:tcPr>
          <w:p w14:paraId="2CDCC8B3">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D0C46C8">
            <w:pPr>
              <w:pStyle w:val="1001"/>
              <w:rPr>
                <w:color w:val="auto"/>
                <w:highlight w:val="none"/>
                <w:u w:val="none"/>
              </w:rPr>
            </w:pPr>
            <w:r>
              <w:rPr>
                <w:color w:val="auto"/>
                <w:kern w:val="0"/>
                <w:highlight w:val="none"/>
                <w:u w:val="none"/>
              </w:rPr>
              <w:t>75</w:t>
            </w:r>
          </w:p>
        </w:tc>
        <w:tc>
          <w:tcPr>
            <w:tcW w:w="850" w:type="pct"/>
            <w:vMerge w:val="continue"/>
            <w:noWrap/>
            <w:vAlign w:val="center"/>
          </w:tcPr>
          <w:p w14:paraId="4B0432A2">
            <w:pPr>
              <w:pStyle w:val="1001"/>
              <w:rPr>
                <w:rFonts w:ascii="宋体" w:cs="宋体"/>
                <w:color w:val="auto"/>
                <w:highlight w:val="none"/>
                <w:u w:val="none"/>
              </w:rPr>
            </w:pPr>
          </w:p>
        </w:tc>
      </w:tr>
      <w:tr w14:paraId="70C84A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8A76DD1">
            <w:pPr>
              <w:pStyle w:val="1001"/>
              <w:rPr>
                <w:color w:val="auto"/>
                <w:highlight w:val="none"/>
                <w:u w:val="none"/>
              </w:rPr>
            </w:pPr>
          </w:p>
        </w:tc>
        <w:tc>
          <w:tcPr>
            <w:tcW w:w="471" w:type="pct"/>
            <w:vMerge w:val="continue"/>
            <w:vAlign w:val="center"/>
          </w:tcPr>
          <w:p w14:paraId="5A2CC091">
            <w:pPr>
              <w:pStyle w:val="1001"/>
              <w:rPr>
                <w:color w:val="auto"/>
                <w:highlight w:val="none"/>
                <w:u w:val="none"/>
              </w:rPr>
            </w:pPr>
          </w:p>
        </w:tc>
        <w:tc>
          <w:tcPr>
            <w:tcW w:w="1171" w:type="pct"/>
            <w:vMerge w:val="continue"/>
            <w:noWrap/>
            <w:vAlign w:val="center"/>
          </w:tcPr>
          <w:p w14:paraId="01E46C1F">
            <w:pPr>
              <w:pStyle w:val="1001"/>
              <w:rPr>
                <w:color w:val="auto"/>
                <w:highlight w:val="none"/>
                <w:u w:val="none"/>
              </w:rPr>
            </w:pPr>
          </w:p>
        </w:tc>
        <w:tc>
          <w:tcPr>
            <w:tcW w:w="829" w:type="pct"/>
            <w:noWrap/>
            <w:vAlign w:val="center"/>
          </w:tcPr>
          <w:p w14:paraId="331494E3">
            <w:pPr>
              <w:pStyle w:val="1001"/>
              <w:rPr>
                <w:color w:val="auto"/>
                <w:kern w:val="0"/>
                <w:highlight w:val="none"/>
                <w:u w:val="none"/>
              </w:rPr>
            </w:pPr>
            <w:r>
              <w:rPr>
                <w:color w:val="auto"/>
                <w:kern w:val="0"/>
                <w:highlight w:val="none"/>
                <w:u w:val="none"/>
              </w:rPr>
              <w:t>废水输送泵</w:t>
            </w:r>
          </w:p>
        </w:tc>
        <w:tc>
          <w:tcPr>
            <w:tcW w:w="257" w:type="pct"/>
            <w:noWrap/>
            <w:vAlign w:val="center"/>
          </w:tcPr>
          <w:p w14:paraId="37A0A814">
            <w:pPr>
              <w:pStyle w:val="1001"/>
              <w:rPr>
                <w:color w:val="auto"/>
                <w:highlight w:val="none"/>
                <w:u w:val="none"/>
              </w:rPr>
            </w:pPr>
            <w:r>
              <w:rPr>
                <w:color w:val="auto"/>
                <w:kern w:val="0"/>
                <w:highlight w:val="none"/>
                <w:u w:val="none"/>
              </w:rPr>
              <w:t>2</w:t>
            </w:r>
          </w:p>
        </w:tc>
        <w:tc>
          <w:tcPr>
            <w:tcW w:w="214" w:type="pct"/>
            <w:noWrap/>
            <w:vAlign w:val="center"/>
          </w:tcPr>
          <w:p w14:paraId="295CC90E">
            <w:pPr>
              <w:pStyle w:val="1001"/>
              <w:rPr>
                <w:color w:val="auto"/>
                <w:highlight w:val="none"/>
                <w:u w:val="none"/>
              </w:rPr>
            </w:pPr>
            <w:r>
              <w:rPr>
                <w:rFonts w:hint="eastAsia"/>
                <w:color w:val="auto"/>
                <w:highlight w:val="none"/>
                <w:u w:val="none"/>
              </w:rPr>
              <w:t>494</w:t>
            </w:r>
          </w:p>
        </w:tc>
        <w:tc>
          <w:tcPr>
            <w:tcW w:w="243" w:type="pct"/>
            <w:noWrap/>
            <w:vAlign w:val="center"/>
          </w:tcPr>
          <w:p w14:paraId="6799E3FE">
            <w:pPr>
              <w:pStyle w:val="1001"/>
              <w:rPr>
                <w:color w:val="auto"/>
                <w:highlight w:val="none"/>
                <w:u w:val="none"/>
              </w:rPr>
            </w:pPr>
            <w:r>
              <w:rPr>
                <w:rFonts w:hint="eastAsia"/>
                <w:color w:val="auto"/>
                <w:highlight w:val="none"/>
                <w:u w:val="none"/>
              </w:rPr>
              <w:t>-22</w:t>
            </w:r>
          </w:p>
        </w:tc>
        <w:tc>
          <w:tcPr>
            <w:tcW w:w="192" w:type="pct"/>
            <w:noWrap/>
          </w:tcPr>
          <w:p w14:paraId="15CC732C">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F6B280A">
            <w:pPr>
              <w:pStyle w:val="1001"/>
              <w:rPr>
                <w:color w:val="auto"/>
                <w:highlight w:val="none"/>
                <w:u w:val="none"/>
              </w:rPr>
            </w:pPr>
            <w:r>
              <w:rPr>
                <w:color w:val="auto"/>
                <w:kern w:val="0"/>
                <w:highlight w:val="none"/>
                <w:u w:val="none"/>
              </w:rPr>
              <w:t>75</w:t>
            </w:r>
          </w:p>
        </w:tc>
        <w:tc>
          <w:tcPr>
            <w:tcW w:w="850" w:type="pct"/>
            <w:vMerge w:val="continue"/>
            <w:noWrap/>
            <w:vAlign w:val="center"/>
          </w:tcPr>
          <w:p w14:paraId="2CEBE54B">
            <w:pPr>
              <w:pStyle w:val="1001"/>
              <w:rPr>
                <w:rFonts w:ascii="宋体" w:cs="宋体"/>
                <w:color w:val="auto"/>
                <w:highlight w:val="none"/>
                <w:u w:val="none"/>
              </w:rPr>
            </w:pPr>
          </w:p>
        </w:tc>
      </w:tr>
      <w:tr w14:paraId="771242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ECD024D">
            <w:pPr>
              <w:pStyle w:val="1001"/>
              <w:rPr>
                <w:color w:val="auto"/>
                <w:highlight w:val="none"/>
                <w:u w:val="none"/>
              </w:rPr>
            </w:pPr>
          </w:p>
        </w:tc>
        <w:tc>
          <w:tcPr>
            <w:tcW w:w="471" w:type="pct"/>
            <w:vMerge w:val="continue"/>
            <w:vAlign w:val="center"/>
          </w:tcPr>
          <w:p w14:paraId="29DE254E">
            <w:pPr>
              <w:pStyle w:val="1001"/>
              <w:rPr>
                <w:color w:val="auto"/>
                <w:highlight w:val="none"/>
                <w:u w:val="none"/>
              </w:rPr>
            </w:pPr>
          </w:p>
        </w:tc>
        <w:tc>
          <w:tcPr>
            <w:tcW w:w="1171" w:type="pct"/>
            <w:vMerge w:val="restart"/>
            <w:noWrap/>
            <w:vAlign w:val="center"/>
          </w:tcPr>
          <w:p w14:paraId="4A49F94D">
            <w:pPr>
              <w:pStyle w:val="1001"/>
              <w:rPr>
                <w:color w:val="auto"/>
                <w:highlight w:val="none"/>
                <w:u w:val="none"/>
              </w:rPr>
            </w:pPr>
            <w:r>
              <w:rPr>
                <w:color w:val="auto"/>
                <w:kern w:val="0"/>
                <w:highlight w:val="none"/>
                <w:u w:val="none"/>
              </w:rPr>
              <w:t>公用工程单元</w:t>
            </w:r>
          </w:p>
        </w:tc>
        <w:tc>
          <w:tcPr>
            <w:tcW w:w="829" w:type="pct"/>
            <w:noWrap/>
            <w:vAlign w:val="center"/>
          </w:tcPr>
          <w:p w14:paraId="12EDE241">
            <w:pPr>
              <w:pStyle w:val="1001"/>
              <w:rPr>
                <w:color w:val="auto"/>
                <w:kern w:val="0"/>
                <w:highlight w:val="none"/>
                <w:u w:val="none"/>
              </w:rPr>
            </w:pPr>
            <w:r>
              <w:rPr>
                <w:color w:val="auto"/>
                <w:kern w:val="0"/>
                <w:highlight w:val="none"/>
                <w:u w:val="none"/>
              </w:rPr>
              <w:t>冷凝水增压泵</w:t>
            </w:r>
          </w:p>
        </w:tc>
        <w:tc>
          <w:tcPr>
            <w:tcW w:w="257" w:type="pct"/>
            <w:noWrap/>
            <w:vAlign w:val="center"/>
          </w:tcPr>
          <w:p w14:paraId="4B0DA4F0">
            <w:pPr>
              <w:pStyle w:val="1001"/>
              <w:rPr>
                <w:color w:val="auto"/>
                <w:highlight w:val="none"/>
                <w:u w:val="none"/>
              </w:rPr>
            </w:pPr>
            <w:r>
              <w:rPr>
                <w:color w:val="auto"/>
                <w:kern w:val="0"/>
                <w:highlight w:val="none"/>
                <w:u w:val="none"/>
              </w:rPr>
              <w:t>2</w:t>
            </w:r>
          </w:p>
        </w:tc>
        <w:tc>
          <w:tcPr>
            <w:tcW w:w="214" w:type="pct"/>
            <w:noWrap/>
            <w:vAlign w:val="center"/>
          </w:tcPr>
          <w:p w14:paraId="657D7668">
            <w:pPr>
              <w:pStyle w:val="1001"/>
              <w:rPr>
                <w:color w:val="auto"/>
                <w:highlight w:val="none"/>
                <w:u w:val="none"/>
              </w:rPr>
            </w:pPr>
            <w:r>
              <w:rPr>
                <w:rFonts w:hint="eastAsia"/>
                <w:color w:val="auto"/>
                <w:highlight w:val="none"/>
                <w:u w:val="none"/>
              </w:rPr>
              <w:t>493</w:t>
            </w:r>
          </w:p>
        </w:tc>
        <w:tc>
          <w:tcPr>
            <w:tcW w:w="243" w:type="pct"/>
            <w:noWrap/>
            <w:vAlign w:val="center"/>
          </w:tcPr>
          <w:p w14:paraId="19347137">
            <w:pPr>
              <w:pStyle w:val="1001"/>
              <w:rPr>
                <w:color w:val="auto"/>
                <w:highlight w:val="none"/>
                <w:u w:val="none"/>
              </w:rPr>
            </w:pPr>
            <w:r>
              <w:rPr>
                <w:rFonts w:hint="eastAsia"/>
                <w:color w:val="auto"/>
                <w:highlight w:val="none"/>
                <w:u w:val="none"/>
              </w:rPr>
              <w:t>-39</w:t>
            </w:r>
          </w:p>
        </w:tc>
        <w:tc>
          <w:tcPr>
            <w:tcW w:w="192" w:type="pct"/>
            <w:noWrap/>
          </w:tcPr>
          <w:p w14:paraId="0BE80102">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E7B5BC7">
            <w:pPr>
              <w:pStyle w:val="1001"/>
              <w:rPr>
                <w:color w:val="auto"/>
                <w:highlight w:val="none"/>
                <w:u w:val="none"/>
              </w:rPr>
            </w:pPr>
            <w:r>
              <w:rPr>
                <w:color w:val="auto"/>
                <w:kern w:val="0"/>
                <w:highlight w:val="none"/>
                <w:u w:val="none"/>
              </w:rPr>
              <w:t>70</w:t>
            </w:r>
          </w:p>
        </w:tc>
        <w:tc>
          <w:tcPr>
            <w:tcW w:w="850" w:type="pct"/>
            <w:vMerge w:val="restart"/>
            <w:noWrap/>
            <w:vAlign w:val="center"/>
          </w:tcPr>
          <w:p w14:paraId="3D7CC805">
            <w:pPr>
              <w:pStyle w:val="1001"/>
              <w:rPr>
                <w:rFonts w:ascii="宋体" w:cs="宋体"/>
                <w:color w:val="auto"/>
                <w:highlight w:val="none"/>
                <w:u w:val="none"/>
              </w:rPr>
            </w:pPr>
            <w:r>
              <w:rPr>
                <w:color w:val="auto"/>
                <w:kern w:val="0"/>
                <w:highlight w:val="none"/>
                <w:u w:val="none"/>
              </w:rPr>
              <w:t>基础减振，设消音器</w:t>
            </w:r>
          </w:p>
        </w:tc>
      </w:tr>
      <w:tr w14:paraId="178A9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1298B9C4">
            <w:pPr>
              <w:pStyle w:val="1001"/>
              <w:rPr>
                <w:color w:val="auto"/>
                <w:highlight w:val="none"/>
                <w:u w:val="none"/>
              </w:rPr>
            </w:pPr>
          </w:p>
        </w:tc>
        <w:tc>
          <w:tcPr>
            <w:tcW w:w="471" w:type="pct"/>
            <w:vMerge w:val="continue"/>
            <w:vAlign w:val="center"/>
          </w:tcPr>
          <w:p w14:paraId="081B5638">
            <w:pPr>
              <w:pStyle w:val="1001"/>
              <w:rPr>
                <w:color w:val="auto"/>
                <w:highlight w:val="none"/>
                <w:u w:val="none"/>
              </w:rPr>
            </w:pPr>
          </w:p>
        </w:tc>
        <w:tc>
          <w:tcPr>
            <w:tcW w:w="1171" w:type="pct"/>
            <w:vMerge w:val="continue"/>
            <w:noWrap/>
            <w:vAlign w:val="center"/>
          </w:tcPr>
          <w:p w14:paraId="1BC756CC">
            <w:pPr>
              <w:pStyle w:val="1001"/>
              <w:rPr>
                <w:color w:val="auto"/>
                <w:highlight w:val="none"/>
                <w:u w:val="none"/>
              </w:rPr>
            </w:pPr>
          </w:p>
        </w:tc>
        <w:tc>
          <w:tcPr>
            <w:tcW w:w="829" w:type="pct"/>
            <w:noWrap/>
            <w:vAlign w:val="center"/>
          </w:tcPr>
          <w:p w14:paraId="49598948">
            <w:pPr>
              <w:pStyle w:val="1001"/>
              <w:rPr>
                <w:color w:val="auto"/>
                <w:kern w:val="0"/>
                <w:highlight w:val="none"/>
                <w:u w:val="none"/>
              </w:rPr>
            </w:pPr>
            <w:r>
              <w:rPr>
                <w:color w:val="auto"/>
                <w:kern w:val="0"/>
                <w:highlight w:val="none"/>
                <w:u w:val="none"/>
              </w:rPr>
              <w:t>HP凝液泵</w:t>
            </w:r>
          </w:p>
        </w:tc>
        <w:tc>
          <w:tcPr>
            <w:tcW w:w="257" w:type="pct"/>
            <w:noWrap/>
            <w:vAlign w:val="center"/>
          </w:tcPr>
          <w:p w14:paraId="0AF45957">
            <w:pPr>
              <w:pStyle w:val="1001"/>
              <w:rPr>
                <w:color w:val="auto"/>
                <w:highlight w:val="none"/>
                <w:u w:val="none"/>
              </w:rPr>
            </w:pPr>
            <w:r>
              <w:rPr>
                <w:color w:val="auto"/>
                <w:kern w:val="0"/>
                <w:highlight w:val="none"/>
                <w:u w:val="none"/>
              </w:rPr>
              <w:t>2</w:t>
            </w:r>
          </w:p>
        </w:tc>
        <w:tc>
          <w:tcPr>
            <w:tcW w:w="214" w:type="pct"/>
            <w:noWrap/>
            <w:vAlign w:val="center"/>
          </w:tcPr>
          <w:p w14:paraId="5B140B56">
            <w:pPr>
              <w:pStyle w:val="1001"/>
              <w:rPr>
                <w:color w:val="auto"/>
                <w:highlight w:val="none"/>
                <w:u w:val="none"/>
              </w:rPr>
            </w:pPr>
            <w:r>
              <w:rPr>
                <w:rFonts w:hint="eastAsia"/>
                <w:color w:val="auto"/>
                <w:highlight w:val="none"/>
                <w:u w:val="none"/>
              </w:rPr>
              <w:t>493</w:t>
            </w:r>
          </w:p>
        </w:tc>
        <w:tc>
          <w:tcPr>
            <w:tcW w:w="243" w:type="pct"/>
            <w:noWrap/>
            <w:vAlign w:val="center"/>
          </w:tcPr>
          <w:p w14:paraId="2B03CCF1">
            <w:pPr>
              <w:pStyle w:val="1001"/>
              <w:rPr>
                <w:color w:val="auto"/>
                <w:highlight w:val="none"/>
                <w:u w:val="none"/>
              </w:rPr>
            </w:pPr>
            <w:r>
              <w:rPr>
                <w:rFonts w:hint="eastAsia"/>
                <w:color w:val="auto"/>
                <w:highlight w:val="none"/>
                <w:u w:val="none"/>
              </w:rPr>
              <w:t>-48</w:t>
            </w:r>
          </w:p>
        </w:tc>
        <w:tc>
          <w:tcPr>
            <w:tcW w:w="192" w:type="pct"/>
            <w:noWrap/>
          </w:tcPr>
          <w:p w14:paraId="4BDA0634">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62CCBC4">
            <w:pPr>
              <w:pStyle w:val="1001"/>
              <w:rPr>
                <w:color w:val="auto"/>
                <w:highlight w:val="none"/>
                <w:u w:val="none"/>
              </w:rPr>
            </w:pPr>
            <w:r>
              <w:rPr>
                <w:color w:val="auto"/>
                <w:kern w:val="0"/>
                <w:highlight w:val="none"/>
                <w:u w:val="none"/>
              </w:rPr>
              <w:t>70</w:t>
            </w:r>
          </w:p>
        </w:tc>
        <w:tc>
          <w:tcPr>
            <w:tcW w:w="850" w:type="pct"/>
            <w:vMerge w:val="continue"/>
            <w:noWrap/>
            <w:vAlign w:val="center"/>
          </w:tcPr>
          <w:p w14:paraId="7F91CDA1">
            <w:pPr>
              <w:pStyle w:val="1001"/>
              <w:rPr>
                <w:rFonts w:ascii="宋体" w:cs="宋体"/>
                <w:color w:val="auto"/>
                <w:highlight w:val="none"/>
                <w:u w:val="none"/>
              </w:rPr>
            </w:pPr>
          </w:p>
        </w:tc>
      </w:tr>
      <w:tr w14:paraId="344321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B174E65">
            <w:pPr>
              <w:pStyle w:val="1001"/>
              <w:rPr>
                <w:color w:val="auto"/>
                <w:highlight w:val="none"/>
                <w:u w:val="none"/>
              </w:rPr>
            </w:pPr>
          </w:p>
        </w:tc>
        <w:tc>
          <w:tcPr>
            <w:tcW w:w="471" w:type="pct"/>
            <w:vMerge w:val="continue"/>
            <w:vAlign w:val="center"/>
          </w:tcPr>
          <w:p w14:paraId="0827590E">
            <w:pPr>
              <w:pStyle w:val="1001"/>
              <w:rPr>
                <w:color w:val="auto"/>
                <w:highlight w:val="none"/>
                <w:u w:val="none"/>
              </w:rPr>
            </w:pPr>
          </w:p>
        </w:tc>
        <w:tc>
          <w:tcPr>
            <w:tcW w:w="1171" w:type="pct"/>
            <w:vMerge w:val="continue"/>
            <w:noWrap/>
            <w:vAlign w:val="center"/>
          </w:tcPr>
          <w:p w14:paraId="689011D3">
            <w:pPr>
              <w:pStyle w:val="1001"/>
              <w:rPr>
                <w:color w:val="auto"/>
                <w:highlight w:val="none"/>
                <w:u w:val="none"/>
              </w:rPr>
            </w:pPr>
          </w:p>
        </w:tc>
        <w:tc>
          <w:tcPr>
            <w:tcW w:w="829" w:type="pct"/>
            <w:noWrap/>
            <w:vAlign w:val="center"/>
          </w:tcPr>
          <w:p w14:paraId="7A08BE24">
            <w:pPr>
              <w:pStyle w:val="1001"/>
              <w:rPr>
                <w:color w:val="auto"/>
                <w:kern w:val="0"/>
                <w:highlight w:val="none"/>
                <w:u w:val="none"/>
              </w:rPr>
            </w:pPr>
            <w:r>
              <w:rPr>
                <w:color w:val="auto"/>
                <w:kern w:val="0"/>
                <w:highlight w:val="none"/>
                <w:u w:val="none"/>
              </w:rPr>
              <w:t>中压蒸汽凝液泵</w:t>
            </w:r>
          </w:p>
        </w:tc>
        <w:tc>
          <w:tcPr>
            <w:tcW w:w="257" w:type="pct"/>
            <w:noWrap/>
            <w:vAlign w:val="center"/>
          </w:tcPr>
          <w:p w14:paraId="3C7359E6">
            <w:pPr>
              <w:pStyle w:val="1001"/>
              <w:rPr>
                <w:color w:val="auto"/>
                <w:highlight w:val="none"/>
                <w:u w:val="none"/>
              </w:rPr>
            </w:pPr>
            <w:r>
              <w:rPr>
                <w:color w:val="auto"/>
                <w:kern w:val="0"/>
                <w:highlight w:val="none"/>
                <w:u w:val="none"/>
              </w:rPr>
              <w:t>2</w:t>
            </w:r>
          </w:p>
        </w:tc>
        <w:tc>
          <w:tcPr>
            <w:tcW w:w="214" w:type="pct"/>
            <w:noWrap/>
            <w:vAlign w:val="center"/>
          </w:tcPr>
          <w:p w14:paraId="304C98E8">
            <w:pPr>
              <w:pStyle w:val="1001"/>
              <w:rPr>
                <w:color w:val="auto"/>
                <w:highlight w:val="none"/>
                <w:u w:val="none"/>
              </w:rPr>
            </w:pPr>
            <w:r>
              <w:rPr>
                <w:rFonts w:hint="eastAsia"/>
                <w:color w:val="auto"/>
                <w:highlight w:val="none"/>
                <w:u w:val="none"/>
              </w:rPr>
              <w:t>493</w:t>
            </w:r>
          </w:p>
        </w:tc>
        <w:tc>
          <w:tcPr>
            <w:tcW w:w="243" w:type="pct"/>
            <w:noWrap/>
            <w:vAlign w:val="center"/>
          </w:tcPr>
          <w:p w14:paraId="0592D9A5">
            <w:pPr>
              <w:pStyle w:val="1001"/>
              <w:rPr>
                <w:color w:val="auto"/>
                <w:highlight w:val="none"/>
                <w:u w:val="none"/>
              </w:rPr>
            </w:pPr>
            <w:r>
              <w:rPr>
                <w:rFonts w:hint="eastAsia"/>
                <w:color w:val="auto"/>
                <w:highlight w:val="none"/>
                <w:u w:val="none"/>
              </w:rPr>
              <w:t>-88</w:t>
            </w:r>
          </w:p>
        </w:tc>
        <w:tc>
          <w:tcPr>
            <w:tcW w:w="192" w:type="pct"/>
            <w:noWrap/>
          </w:tcPr>
          <w:p w14:paraId="6DB44EDA">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941FF13">
            <w:pPr>
              <w:pStyle w:val="1001"/>
              <w:rPr>
                <w:color w:val="auto"/>
                <w:highlight w:val="none"/>
                <w:u w:val="none"/>
              </w:rPr>
            </w:pPr>
            <w:r>
              <w:rPr>
                <w:color w:val="auto"/>
                <w:kern w:val="0"/>
                <w:highlight w:val="none"/>
                <w:u w:val="none"/>
              </w:rPr>
              <w:t>70</w:t>
            </w:r>
          </w:p>
        </w:tc>
        <w:tc>
          <w:tcPr>
            <w:tcW w:w="850" w:type="pct"/>
            <w:vMerge w:val="continue"/>
            <w:noWrap/>
            <w:vAlign w:val="center"/>
          </w:tcPr>
          <w:p w14:paraId="33E35BBD">
            <w:pPr>
              <w:pStyle w:val="1001"/>
              <w:rPr>
                <w:rFonts w:ascii="宋体" w:cs="宋体"/>
                <w:color w:val="auto"/>
                <w:highlight w:val="none"/>
                <w:u w:val="none"/>
              </w:rPr>
            </w:pPr>
          </w:p>
        </w:tc>
      </w:tr>
      <w:tr w14:paraId="5A659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E633C4F">
            <w:pPr>
              <w:pStyle w:val="1001"/>
              <w:rPr>
                <w:color w:val="auto"/>
                <w:highlight w:val="none"/>
                <w:u w:val="none"/>
              </w:rPr>
            </w:pPr>
          </w:p>
        </w:tc>
        <w:tc>
          <w:tcPr>
            <w:tcW w:w="471" w:type="pct"/>
            <w:vMerge w:val="restart"/>
            <w:vAlign w:val="center"/>
          </w:tcPr>
          <w:p w14:paraId="100D6889">
            <w:pPr>
              <w:pStyle w:val="1001"/>
              <w:rPr>
                <w:color w:val="auto"/>
                <w:highlight w:val="none"/>
                <w:u w:val="none"/>
              </w:rPr>
            </w:pPr>
            <w:r>
              <w:rPr>
                <w:rFonts w:hint="eastAsia"/>
                <w:color w:val="auto"/>
                <w:highlight w:val="none"/>
                <w:u w:val="none"/>
              </w:rPr>
              <w:t>P</w:t>
            </w:r>
            <w:r>
              <w:rPr>
                <w:color w:val="auto"/>
                <w:highlight w:val="none"/>
                <w:u w:val="none"/>
              </w:rPr>
              <w:t>VC</w:t>
            </w:r>
            <w:r>
              <w:rPr>
                <w:rFonts w:hint="eastAsia"/>
                <w:color w:val="auto"/>
                <w:highlight w:val="none"/>
                <w:u w:val="none"/>
              </w:rPr>
              <w:t>单元</w:t>
            </w:r>
          </w:p>
        </w:tc>
        <w:tc>
          <w:tcPr>
            <w:tcW w:w="1171" w:type="pct"/>
            <w:vMerge w:val="restart"/>
            <w:noWrap/>
            <w:vAlign w:val="center"/>
          </w:tcPr>
          <w:p w14:paraId="6D700E55">
            <w:pPr>
              <w:pStyle w:val="1001"/>
              <w:rPr>
                <w:color w:val="auto"/>
                <w:highlight w:val="none"/>
                <w:u w:val="none"/>
              </w:rPr>
            </w:pPr>
            <w:r>
              <w:rPr>
                <w:color w:val="auto"/>
                <w:kern w:val="0"/>
                <w:highlight w:val="none"/>
                <w:u w:val="none"/>
              </w:rPr>
              <w:t>原料准备单元</w:t>
            </w:r>
          </w:p>
        </w:tc>
        <w:tc>
          <w:tcPr>
            <w:tcW w:w="829" w:type="pct"/>
            <w:noWrap/>
            <w:vAlign w:val="center"/>
          </w:tcPr>
          <w:p w14:paraId="7EE2C66A">
            <w:pPr>
              <w:pStyle w:val="1001"/>
              <w:rPr>
                <w:color w:val="auto"/>
                <w:kern w:val="0"/>
                <w:highlight w:val="none"/>
                <w:u w:val="none"/>
              </w:rPr>
            </w:pPr>
            <w:r>
              <w:rPr>
                <w:color w:val="auto"/>
                <w:kern w:val="0"/>
                <w:highlight w:val="none"/>
                <w:u w:val="none"/>
              </w:rPr>
              <w:t>脱氧脱盐水泵</w:t>
            </w:r>
          </w:p>
        </w:tc>
        <w:tc>
          <w:tcPr>
            <w:tcW w:w="257" w:type="pct"/>
            <w:noWrap/>
            <w:vAlign w:val="center"/>
          </w:tcPr>
          <w:p w14:paraId="5CE2D44E">
            <w:pPr>
              <w:pStyle w:val="1001"/>
              <w:rPr>
                <w:color w:val="auto"/>
                <w:highlight w:val="none"/>
                <w:u w:val="none"/>
              </w:rPr>
            </w:pPr>
            <w:r>
              <w:rPr>
                <w:color w:val="auto"/>
                <w:kern w:val="0"/>
                <w:highlight w:val="none"/>
                <w:u w:val="none"/>
              </w:rPr>
              <w:t>2</w:t>
            </w:r>
          </w:p>
        </w:tc>
        <w:tc>
          <w:tcPr>
            <w:tcW w:w="214" w:type="pct"/>
            <w:noWrap/>
            <w:vAlign w:val="center"/>
          </w:tcPr>
          <w:p w14:paraId="04F7A1A9">
            <w:pPr>
              <w:pStyle w:val="1001"/>
              <w:rPr>
                <w:color w:val="auto"/>
                <w:highlight w:val="none"/>
                <w:u w:val="none"/>
              </w:rPr>
            </w:pPr>
            <w:r>
              <w:rPr>
                <w:rFonts w:hint="eastAsia"/>
                <w:color w:val="auto"/>
                <w:highlight w:val="none"/>
                <w:u w:val="none"/>
              </w:rPr>
              <w:t>475</w:t>
            </w:r>
          </w:p>
        </w:tc>
        <w:tc>
          <w:tcPr>
            <w:tcW w:w="243" w:type="pct"/>
            <w:noWrap/>
            <w:vAlign w:val="center"/>
          </w:tcPr>
          <w:p w14:paraId="2B018465">
            <w:pPr>
              <w:pStyle w:val="1001"/>
              <w:rPr>
                <w:color w:val="auto"/>
                <w:highlight w:val="none"/>
                <w:u w:val="none"/>
              </w:rPr>
            </w:pPr>
            <w:r>
              <w:rPr>
                <w:rFonts w:hint="eastAsia"/>
                <w:color w:val="auto"/>
                <w:highlight w:val="none"/>
                <w:u w:val="none"/>
              </w:rPr>
              <w:t>-152</w:t>
            </w:r>
          </w:p>
        </w:tc>
        <w:tc>
          <w:tcPr>
            <w:tcW w:w="192" w:type="pct"/>
            <w:noWrap/>
          </w:tcPr>
          <w:p w14:paraId="7440F2C7">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7AAE9F32">
            <w:pPr>
              <w:pStyle w:val="1001"/>
              <w:rPr>
                <w:color w:val="auto"/>
                <w:highlight w:val="none"/>
                <w:u w:val="none"/>
              </w:rPr>
            </w:pPr>
            <w:r>
              <w:rPr>
                <w:color w:val="auto"/>
                <w:kern w:val="0"/>
                <w:highlight w:val="none"/>
                <w:u w:val="none"/>
              </w:rPr>
              <w:t>70</w:t>
            </w:r>
          </w:p>
        </w:tc>
        <w:tc>
          <w:tcPr>
            <w:tcW w:w="850" w:type="pct"/>
            <w:vMerge w:val="restart"/>
            <w:noWrap/>
            <w:vAlign w:val="center"/>
          </w:tcPr>
          <w:p w14:paraId="181E3861">
            <w:pPr>
              <w:pStyle w:val="1001"/>
              <w:rPr>
                <w:rFonts w:ascii="宋体" w:cs="宋体"/>
                <w:color w:val="auto"/>
                <w:highlight w:val="none"/>
                <w:u w:val="none"/>
              </w:rPr>
            </w:pPr>
            <w:r>
              <w:rPr>
                <w:color w:val="auto"/>
                <w:kern w:val="0"/>
                <w:highlight w:val="none"/>
                <w:u w:val="none"/>
              </w:rPr>
              <w:t>基础减振，设消音器</w:t>
            </w:r>
          </w:p>
        </w:tc>
      </w:tr>
      <w:tr w14:paraId="1EB4F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5FB82AC">
            <w:pPr>
              <w:pStyle w:val="1001"/>
              <w:rPr>
                <w:color w:val="auto"/>
                <w:highlight w:val="none"/>
                <w:u w:val="none"/>
              </w:rPr>
            </w:pPr>
          </w:p>
        </w:tc>
        <w:tc>
          <w:tcPr>
            <w:tcW w:w="471" w:type="pct"/>
            <w:vMerge w:val="continue"/>
            <w:vAlign w:val="center"/>
          </w:tcPr>
          <w:p w14:paraId="1CD0C3FF">
            <w:pPr>
              <w:pStyle w:val="1001"/>
              <w:rPr>
                <w:color w:val="auto"/>
                <w:highlight w:val="none"/>
                <w:u w:val="none"/>
              </w:rPr>
            </w:pPr>
          </w:p>
        </w:tc>
        <w:tc>
          <w:tcPr>
            <w:tcW w:w="1171" w:type="pct"/>
            <w:vMerge w:val="continue"/>
            <w:noWrap/>
            <w:vAlign w:val="center"/>
          </w:tcPr>
          <w:p w14:paraId="0FFBDA5E">
            <w:pPr>
              <w:pStyle w:val="1001"/>
              <w:rPr>
                <w:color w:val="auto"/>
                <w:highlight w:val="none"/>
                <w:u w:val="none"/>
              </w:rPr>
            </w:pPr>
          </w:p>
        </w:tc>
        <w:tc>
          <w:tcPr>
            <w:tcW w:w="829" w:type="pct"/>
            <w:noWrap/>
            <w:vAlign w:val="center"/>
          </w:tcPr>
          <w:p w14:paraId="4BF4FBA0">
            <w:pPr>
              <w:pStyle w:val="1001"/>
              <w:rPr>
                <w:color w:val="auto"/>
                <w:kern w:val="0"/>
                <w:highlight w:val="none"/>
                <w:u w:val="none"/>
              </w:rPr>
            </w:pPr>
            <w:r>
              <w:rPr>
                <w:color w:val="auto"/>
                <w:kern w:val="0"/>
                <w:highlight w:val="none"/>
                <w:u w:val="none"/>
              </w:rPr>
              <w:t>注水泵</w:t>
            </w:r>
          </w:p>
        </w:tc>
        <w:tc>
          <w:tcPr>
            <w:tcW w:w="257" w:type="pct"/>
            <w:noWrap/>
            <w:vAlign w:val="center"/>
          </w:tcPr>
          <w:p w14:paraId="1065FACD">
            <w:pPr>
              <w:pStyle w:val="1001"/>
              <w:rPr>
                <w:color w:val="auto"/>
                <w:highlight w:val="none"/>
                <w:u w:val="none"/>
              </w:rPr>
            </w:pPr>
            <w:r>
              <w:rPr>
                <w:color w:val="auto"/>
                <w:kern w:val="0"/>
                <w:highlight w:val="none"/>
                <w:u w:val="none"/>
              </w:rPr>
              <w:t>3</w:t>
            </w:r>
          </w:p>
        </w:tc>
        <w:tc>
          <w:tcPr>
            <w:tcW w:w="214" w:type="pct"/>
            <w:noWrap/>
            <w:vAlign w:val="center"/>
          </w:tcPr>
          <w:p w14:paraId="33533D80">
            <w:pPr>
              <w:pStyle w:val="1001"/>
              <w:rPr>
                <w:color w:val="auto"/>
                <w:highlight w:val="none"/>
                <w:u w:val="none"/>
              </w:rPr>
            </w:pPr>
            <w:r>
              <w:rPr>
                <w:rFonts w:hint="eastAsia"/>
                <w:color w:val="auto"/>
                <w:highlight w:val="none"/>
                <w:u w:val="none"/>
              </w:rPr>
              <w:t>524</w:t>
            </w:r>
          </w:p>
        </w:tc>
        <w:tc>
          <w:tcPr>
            <w:tcW w:w="243" w:type="pct"/>
            <w:noWrap/>
            <w:vAlign w:val="center"/>
          </w:tcPr>
          <w:p w14:paraId="1B6B25BA">
            <w:pPr>
              <w:pStyle w:val="1001"/>
              <w:rPr>
                <w:color w:val="auto"/>
                <w:highlight w:val="none"/>
                <w:u w:val="none"/>
              </w:rPr>
            </w:pPr>
            <w:r>
              <w:rPr>
                <w:rFonts w:hint="eastAsia"/>
                <w:color w:val="auto"/>
                <w:highlight w:val="none"/>
                <w:u w:val="none"/>
              </w:rPr>
              <w:t>-4</w:t>
            </w:r>
          </w:p>
        </w:tc>
        <w:tc>
          <w:tcPr>
            <w:tcW w:w="192" w:type="pct"/>
            <w:noWrap/>
          </w:tcPr>
          <w:p w14:paraId="78931C52">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EB26821">
            <w:pPr>
              <w:pStyle w:val="1001"/>
              <w:rPr>
                <w:color w:val="auto"/>
                <w:highlight w:val="none"/>
                <w:u w:val="none"/>
              </w:rPr>
            </w:pPr>
            <w:r>
              <w:rPr>
                <w:color w:val="auto"/>
                <w:kern w:val="0"/>
                <w:highlight w:val="none"/>
                <w:u w:val="none"/>
              </w:rPr>
              <w:t>70</w:t>
            </w:r>
          </w:p>
        </w:tc>
        <w:tc>
          <w:tcPr>
            <w:tcW w:w="850" w:type="pct"/>
            <w:vMerge w:val="continue"/>
            <w:noWrap/>
            <w:vAlign w:val="center"/>
          </w:tcPr>
          <w:p w14:paraId="5D519B05">
            <w:pPr>
              <w:pStyle w:val="1001"/>
              <w:rPr>
                <w:rFonts w:ascii="宋体" w:cs="宋体"/>
                <w:color w:val="auto"/>
                <w:highlight w:val="none"/>
                <w:u w:val="none"/>
              </w:rPr>
            </w:pPr>
          </w:p>
        </w:tc>
      </w:tr>
      <w:tr w14:paraId="7AB2B3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1E98D7D5">
            <w:pPr>
              <w:pStyle w:val="1001"/>
              <w:rPr>
                <w:color w:val="auto"/>
                <w:highlight w:val="none"/>
                <w:u w:val="none"/>
              </w:rPr>
            </w:pPr>
          </w:p>
        </w:tc>
        <w:tc>
          <w:tcPr>
            <w:tcW w:w="471" w:type="pct"/>
            <w:vMerge w:val="continue"/>
            <w:vAlign w:val="center"/>
          </w:tcPr>
          <w:p w14:paraId="689CD234">
            <w:pPr>
              <w:pStyle w:val="1001"/>
              <w:rPr>
                <w:color w:val="auto"/>
                <w:highlight w:val="none"/>
                <w:u w:val="none"/>
              </w:rPr>
            </w:pPr>
          </w:p>
        </w:tc>
        <w:tc>
          <w:tcPr>
            <w:tcW w:w="1171" w:type="pct"/>
            <w:vMerge w:val="continue"/>
            <w:noWrap/>
            <w:vAlign w:val="center"/>
          </w:tcPr>
          <w:p w14:paraId="63390E33">
            <w:pPr>
              <w:pStyle w:val="1001"/>
              <w:rPr>
                <w:color w:val="auto"/>
                <w:highlight w:val="none"/>
                <w:u w:val="none"/>
              </w:rPr>
            </w:pPr>
          </w:p>
        </w:tc>
        <w:tc>
          <w:tcPr>
            <w:tcW w:w="829" w:type="pct"/>
            <w:noWrap/>
            <w:vAlign w:val="center"/>
          </w:tcPr>
          <w:p w14:paraId="1EE2974A">
            <w:pPr>
              <w:pStyle w:val="1001"/>
              <w:rPr>
                <w:color w:val="auto"/>
                <w:kern w:val="0"/>
                <w:highlight w:val="none"/>
                <w:u w:val="none"/>
              </w:rPr>
            </w:pPr>
            <w:r>
              <w:rPr>
                <w:color w:val="auto"/>
                <w:kern w:val="0"/>
                <w:highlight w:val="none"/>
                <w:u w:val="none"/>
              </w:rPr>
              <w:t>机封水泵</w:t>
            </w:r>
          </w:p>
        </w:tc>
        <w:tc>
          <w:tcPr>
            <w:tcW w:w="257" w:type="pct"/>
            <w:noWrap/>
            <w:vAlign w:val="center"/>
          </w:tcPr>
          <w:p w14:paraId="75D2C6C6">
            <w:pPr>
              <w:pStyle w:val="1001"/>
              <w:rPr>
                <w:color w:val="auto"/>
                <w:highlight w:val="none"/>
                <w:u w:val="none"/>
              </w:rPr>
            </w:pPr>
            <w:r>
              <w:rPr>
                <w:color w:val="auto"/>
                <w:kern w:val="0"/>
                <w:highlight w:val="none"/>
                <w:u w:val="none"/>
              </w:rPr>
              <w:t>2</w:t>
            </w:r>
          </w:p>
        </w:tc>
        <w:tc>
          <w:tcPr>
            <w:tcW w:w="214" w:type="pct"/>
            <w:noWrap/>
            <w:vAlign w:val="center"/>
          </w:tcPr>
          <w:p w14:paraId="3220926A">
            <w:pPr>
              <w:pStyle w:val="1001"/>
              <w:rPr>
                <w:color w:val="auto"/>
                <w:highlight w:val="none"/>
                <w:u w:val="none"/>
              </w:rPr>
            </w:pPr>
            <w:r>
              <w:rPr>
                <w:rFonts w:hint="eastAsia"/>
                <w:color w:val="auto"/>
                <w:highlight w:val="none"/>
                <w:u w:val="none"/>
              </w:rPr>
              <w:t>529</w:t>
            </w:r>
          </w:p>
        </w:tc>
        <w:tc>
          <w:tcPr>
            <w:tcW w:w="243" w:type="pct"/>
            <w:noWrap/>
            <w:vAlign w:val="center"/>
          </w:tcPr>
          <w:p w14:paraId="269DC959">
            <w:pPr>
              <w:pStyle w:val="1001"/>
              <w:rPr>
                <w:color w:val="auto"/>
                <w:highlight w:val="none"/>
                <w:u w:val="none"/>
              </w:rPr>
            </w:pPr>
            <w:r>
              <w:rPr>
                <w:rFonts w:hint="eastAsia"/>
                <w:color w:val="auto"/>
                <w:highlight w:val="none"/>
                <w:u w:val="none"/>
              </w:rPr>
              <w:t>-12</w:t>
            </w:r>
          </w:p>
        </w:tc>
        <w:tc>
          <w:tcPr>
            <w:tcW w:w="192" w:type="pct"/>
            <w:noWrap/>
          </w:tcPr>
          <w:p w14:paraId="0E4210D6">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78C8962">
            <w:pPr>
              <w:pStyle w:val="1001"/>
              <w:rPr>
                <w:color w:val="auto"/>
                <w:highlight w:val="none"/>
                <w:u w:val="none"/>
              </w:rPr>
            </w:pPr>
            <w:r>
              <w:rPr>
                <w:color w:val="auto"/>
                <w:kern w:val="0"/>
                <w:highlight w:val="none"/>
                <w:u w:val="none"/>
              </w:rPr>
              <w:t>70</w:t>
            </w:r>
          </w:p>
        </w:tc>
        <w:tc>
          <w:tcPr>
            <w:tcW w:w="850" w:type="pct"/>
            <w:vMerge w:val="continue"/>
            <w:noWrap/>
            <w:vAlign w:val="center"/>
          </w:tcPr>
          <w:p w14:paraId="057F2B74">
            <w:pPr>
              <w:pStyle w:val="1001"/>
              <w:rPr>
                <w:rFonts w:ascii="宋体" w:cs="宋体"/>
                <w:color w:val="auto"/>
                <w:highlight w:val="none"/>
                <w:u w:val="none"/>
              </w:rPr>
            </w:pPr>
          </w:p>
        </w:tc>
      </w:tr>
      <w:tr w14:paraId="6A51D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48E65A8">
            <w:pPr>
              <w:pStyle w:val="1001"/>
              <w:rPr>
                <w:color w:val="auto"/>
                <w:highlight w:val="none"/>
                <w:u w:val="none"/>
              </w:rPr>
            </w:pPr>
          </w:p>
        </w:tc>
        <w:tc>
          <w:tcPr>
            <w:tcW w:w="471" w:type="pct"/>
            <w:vMerge w:val="continue"/>
            <w:vAlign w:val="center"/>
          </w:tcPr>
          <w:p w14:paraId="55DEBD44">
            <w:pPr>
              <w:pStyle w:val="1001"/>
              <w:rPr>
                <w:color w:val="auto"/>
                <w:highlight w:val="none"/>
                <w:u w:val="none"/>
              </w:rPr>
            </w:pPr>
          </w:p>
        </w:tc>
        <w:tc>
          <w:tcPr>
            <w:tcW w:w="1171" w:type="pct"/>
            <w:vMerge w:val="restart"/>
            <w:noWrap/>
            <w:vAlign w:val="center"/>
          </w:tcPr>
          <w:p w14:paraId="5D0FAE5F">
            <w:pPr>
              <w:pStyle w:val="1001"/>
              <w:rPr>
                <w:color w:val="auto"/>
                <w:highlight w:val="none"/>
                <w:u w:val="none"/>
              </w:rPr>
            </w:pPr>
            <w:r>
              <w:rPr>
                <w:color w:val="auto"/>
                <w:kern w:val="0"/>
                <w:highlight w:val="none"/>
                <w:u w:val="none"/>
              </w:rPr>
              <w:t>聚合单元</w:t>
            </w:r>
          </w:p>
        </w:tc>
        <w:tc>
          <w:tcPr>
            <w:tcW w:w="829" w:type="pct"/>
            <w:noWrap/>
            <w:vAlign w:val="center"/>
          </w:tcPr>
          <w:p w14:paraId="3DA15618">
            <w:pPr>
              <w:pStyle w:val="1001"/>
              <w:rPr>
                <w:color w:val="auto"/>
                <w:kern w:val="0"/>
                <w:highlight w:val="none"/>
                <w:u w:val="none"/>
              </w:rPr>
            </w:pPr>
            <w:r>
              <w:rPr>
                <w:color w:val="auto"/>
                <w:kern w:val="0"/>
                <w:highlight w:val="none"/>
                <w:u w:val="none"/>
              </w:rPr>
              <w:t>高压清洗泵</w:t>
            </w:r>
          </w:p>
        </w:tc>
        <w:tc>
          <w:tcPr>
            <w:tcW w:w="257" w:type="pct"/>
            <w:noWrap/>
            <w:vAlign w:val="center"/>
          </w:tcPr>
          <w:p w14:paraId="7170998D">
            <w:pPr>
              <w:pStyle w:val="1001"/>
              <w:rPr>
                <w:color w:val="auto"/>
                <w:highlight w:val="none"/>
                <w:u w:val="none"/>
              </w:rPr>
            </w:pPr>
            <w:r>
              <w:rPr>
                <w:color w:val="auto"/>
                <w:kern w:val="0"/>
                <w:highlight w:val="none"/>
                <w:u w:val="none"/>
              </w:rPr>
              <w:t>1</w:t>
            </w:r>
          </w:p>
        </w:tc>
        <w:tc>
          <w:tcPr>
            <w:tcW w:w="214" w:type="pct"/>
            <w:noWrap/>
            <w:vAlign w:val="center"/>
          </w:tcPr>
          <w:p w14:paraId="07BFB754">
            <w:pPr>
              <w:pStyle w:val="1001"/>
              <w:rPr>
                <w:color w:val="auto"/>
                <w:highlight w:val="none"/>
                <w:u w:val="none"/>
              </w:rPr>
            </w:pPr>
            <w:r>
              <w:rPr>
                <w:rFonts w:hint="eastAsia"/>
                <w:color w:val="auto"/>
                <w:highlight w:val="none"/>
                <w:u w:val="none"/>
              </w:rPr>
              <w:t>523</w:t>
            </w:r>
          </w:p>
        </w:tc>
        <w:tc>
          <w:tcPr>
            <w:tcW w:w="243" w:type="pct"/>
            <w:noWrap/>
            <w:vAlign w:val="center"/>
          </w:tcPr>
          <w:p w14:paraId="60E8C3CA">
            <w:pPr>
              <w:pStyle w:val="1001"/>
              <w:rPr>
                <w:color w:val="auto"/>
                <w:highlight w:val="none"/>
                <w:u w:val="none"/>
              </w:rPr>
            </w:pPr>
            <w:r>
              <w:rPr>
                <w:rFonts w:hint="eastAsia"/>
                <w:color w:val="auto"/>
                <w:highlight w:val="none"/>
                <w:u w:val="none"/>
              </w:rPr>
              <w:t>-17</w:t>
            </w:r>
          </w:p>
        </w:tc>
        <w:tc>
          <w:tcPr>
            <w:tcW w:w="192" w:type="pct"/>
            <w:noWrap/>
          </w:tcPr>
          <w:p w14:paraId="5CAC1803">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122200D">
            <w:pPr>
              <w:pStyle w:val="1001"/>
              <w:rPr>
                <w:color w:val="auto"/>
                <w:highlight w:val="none"/>
                <w:u w:val="none"/>
              </w:rPr>
            </w:pPr>
            <w:r>
              <w:rPr>
                <w:color w:val="auto"/>
                <w:kern w:val="0"/>
                <w:highlight w:val="none"/>
                <w:u w:val="none"/>
              </w:rPr>
              <w:t>70</w:t>
            </w:r>
          </w:p>
        </w:tc>
        <w:tc>
          <w:tcPr>
            <w:tcW w:w="850" w:type="pct"/>
            <w:vMerge w:val="continue"/>
            <w:noWrap/>
            <w:vAlign w:val="center"/>
          </w:tcPr>
          <w:p w14:paraId="25348152">
            <w:pPr>
              <w:pStyle w:val="1001"/>
              <w:rPr>
                <w:rFonts w:ascii="宋体" w:cs="宋体"/>
                <w:color w:val="auto"/>
                <w:highlight w:val="none"/>
                <w:u w:val="none"/>
              </w:rPr>
            </w:pPr>
          </w:p>
        </w:tc>
      </w:tr>
      <w:tr w14:paraId="1BF435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61C4ADA6">
            <w:pPr>
              <w:pStyle w:val="1001"/>
              <w:rPr>
                <w:color w:val="auto"/>
                <w:highlight w:val="none"/>
                <w:u w:val="none"/>
              </w:rPr>
            </w:pPr>
          </w:p>
        </w:tc>
        <w:tc>
          <w:tcPr>
            <w:tcW w:w="471" w:type="pct"/>
            <w:vMerge w:val="continue"/>
            <w:vAlign w:val="center"/>
          </w:tcPr>
          <w:p w14:paraId="5146A294">
            <w:pPr>
              <w:pStyle w:val="1001"/>
              <w:rPr>
                <w:color w:val="auto"/>
                <w:highlight w:val="none"/>
                <w:u w:val="none"/>
              </w:rPr>
            </w:pPr>
          </w:p>
        </w:tc>
        <w:tc>
          <w:tcPr>
            <w:tcW w:w="1171" w:type="pct"/>
            <w:vMerge w:val="continue"/>
            <w:noWrap/>
            <w:vAlign w:val="center"/>
          </w:tcPr>
          <w:p w14:paraId="1DD7E979">
            <w:pPr>
              <w:pStyle w:val="1001"/>
              <w:rPr>
                <w:color w:val="auto"/>
                <w:highlight w:val="none"/>
                <w:u w:val="none"/>
              </w:rPr>
            </w:pPr>
          </w:p>
        </w:tc>
        <w:tc>
          <w:tcPr>
            <w:tcW w:w="829" w:type="pct"/>
            <w:noWrap/>
            <w:vAlign w:val="center"/>
          </w:tcPr>
          <w:p w14:paraId="7F249B66">
            <w:pPr>
              <w:pStyle w:val="1001"/>
              <w:rPr>
                <w:color w:val="auto"/>
                <w:kern w:val="0"/>
                <w:highlight w:val="none"/>
                <w:u w:val="none"/>
              </w:rPr>
            </w:pPr>
            <w:r>
              <w:rPr>
                <w:color w:val="auto"/>
                <w:kern w:val="0"/>
                <w:highlight w:val="none"/>
                <w:u w:val="none"/>
              </w:rPr>
              <w:t>浆料出料泵</w:t>
            </w:r>
          </w:p>
        </w:tc>
        <w:tc>
          <w:tcPr>
            <w:tcW w:w="257" w:type="pct"/>
            <w:noWrap/>
            <w:vAlign w:val="center"/>
          </w:tcPr>
          <w:p w14:paraId="3A6A8D18">
            <w:pPr>
              <w:pStyle w:val="1001"/>
              <w:rPr>
                <w:color w:val="auto"/>
                <w:highlight w:val="none"/>
                <w:u w:val="none"/>
              </w:rPr>
            </w:pPr>
            <w:r>
              <w:rPr>
                <w:color w:val="auto"/>
                <w:kern w:val="0"/>
                <w:highlight w:val="none"/>
                <w:u w:val="none"/>
              </w:rPr>
              <w:t>2</w:t>
            </w:r>
          </w:p>
        </w:tc>
        <w:tc>
          <w:tcPr>
            <w:tcW w:w="214" w:type="pct"/>
            <w:noWrap/>
            <w:vAlign w:val="center"/>
          </w:tcPr>
          <w:p w14:paraId="24B3A112">
            <w:pPr>
              <w:pStyle w:val="1001"/>
              <w:rPr>
                <w:color w:val="auto"/>
                <w:highlight w:val="none"/>
                <w:u w:val="none"/>
              </w:rPr>
            </w:pPr>
            <w:r>
              <w:rPr>
                <w:rFonts w:hint="eastAsia"/>
                <w:color w:val="auto"/>
                <w:highlight w:val="none"/>
                <w:u w:val="none"/>
              </w:rPr>
              <w:t>521</w:t>
            </w:r>
          </w:p>
        </w:tc>
        <w:tc>
          <w:tcPr>
            <w:tcW w:w="243" w:type="pct"/>
            <w:noWrap/>
            <w:vAlign w:val="center"/>
          </w:tcPr>
          <w:p w14:paraId="1A36F0BB">
            <w:pPr>
              <w:pStyle w:val="1001"/>
              <w:rPr>
                <w:color w:val="auto"/>
                <w:highlight w:val="none"/>
                <w:u w:val="none"/>
              </w:rPr>
            </w:pPr>
            <w:r>
              <w:rPr>
                <w:rFonts w:hint="eastAsia"/>
                <w:color w:val="auto"/>
                <w:highlight w:val="none"/>
                <w:u w:val="none"/>
              </w:rPr>
              <w:t>-45</w:t>
            </w:r>
          </w:p>
        </w:tc>
        <w:tc>
          <w:tcPr>
            <w:tcW w:w="192" w:type="pct"/>
            <w:noWrap/>
          </w:tcPr>
          <w:p w14:paraId="48BDEA7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8D87102">
            <w:pPr>
              <w:pStyle w:val="1001"/>
              <w:rPr>
                <w:color w:val="auto"/>
                <w:highlight w:val="none"/>
                <w:u w:val="none"/>
              </w:rPr>
            </w:pPr>
            <w:r>
              <w:rPr>
                <w:color w:val="auto"/>
                <w:kern w:val="0"/>
                <w:highlight w:val="none"/>
                <w:u w:val="none"/>
              </w:rPr>
              <w:t>70</w:t>
            </w:r>
          </w:p>
        </w:tc>
        <w:tc>
          <w:tcPr>
            <w:tcW w:w="850" w:type="pct"/>
            <w:vMerge w:val="continue"/>
            <w:noWrap/>
            <w:vAlign w:val="center"/>
          </w:tcPr>
          <w:p w14:paraId="62741FC8">
            <w:pPr>
              <w:pStyle w:val="1001"/>
              <w:rPr>
                <w:rFonts w:ascii="宋体" w:cs="宋体"/>
                <w:color w:val="auto"/>
                <w:highlight w:val="none"/>
                <w:u w:val="none"/>
              </w:rPr>
            </w:pPr>
          </w:p>
        </w:tc>
      </w:tr>
      <w:tr w14:paraId="5BAE2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2B4E397">
            <w:pPr>
              <w:pStyle w:val="1001"/>
              <w:rPr>
                <w:color w:val="auto"/>
                <w:highlight w:val="none"/>
                <w:u w:val="none"/>
              </w:rPr>
            </w:pPr>
          </w:p>
        </w:tc>
        <w:tc>
          <w:tcPr>
            <w:tcW w:w="471" w:type="pct"/>
            <w:vMerge w:val="continue"/>
            <w:vAlign w:val="center"/>
          </w:tcPr>
          <w:p w14:paraId="708BCFE6">
            <w:pPr>
              <w:pStyle w:val="1001"/>
              <w:rPr>
                <w:color w:val="auto"/>
                <w:highlight w:val="none"/>
                <w:u w:val="none"/>
              </w:rPr>
            </w:pPr>
          </w:p>
        </w:tc>
        <w:tc>
          <w:tcPr>
            <w:tcW w:w="1171" w:type="pct"/>
            <w:vMerge w:val="continue"/>
            <w:noWrap/>
            <w:vAlign w:val="center"/>
          </w:tcPr>
          <w:p w14:paraId="3EB3A5AA">
            <w:pPr>
              <w:pStyle w:val="1001"/>
              <w:rPr>
                <w:color w:val="auto"/>
                <w:highlight w:val="none"/>
                <w:u w:val="none"/>
              </w:rPr>
            </w:pPr>
          </w:p>
        </w:tc>
        <w:tc>
          <w:tcPr>
            <w:tcW w:w="829" w:type="pct"/>
            <w:noWrap/>
            <w:vAlign w:val="center"/>
          </w:tcPr>
          <w:p w14:paraId="0CE745F3">
            <w:pPr>
              <w:pStyle w:val="1001"/>
              <w:rPr>
                <w:color w:val="auto"/>
                <w:kern w:val="0"/>
                <w:highlight w:val="none"/>
                <w:u w:val="none"/>
              </w:rPr>
            </w:pPr>
            <w:r>
              <w:rPr>
                <w:color w:val="auto"/>
                <w:kern w:val="0"/>
                <w:highlight w:val="none"/>
                <w:u w:val="none"/>
              </w:rPr>
              <w:t>聚合废水输送泵</w:t>
            </w:r>
          </w:p>
        </w:tc>
        <w:tc>
          <w:tcPr>
            <w:tcW w:w="257" w:type="pct"/>
            <w:noWrap/>
            <w:vAlign w:val="center"/>
          </w:tcPr>
          <w:p w14:paraId="1F7330EE">
            <w:pPr>
              <w:pStyle w:val="1001"/>
              <w:rPr>
                <w:color w:val="auto"/>
                <w:highlight w:val="none"/>
                <w:u w:val="none"/>
              </w:rPr>
            </w:pPr>
            <w:r>
              <w:rPr>
                <w:color w:val="auto"/>
                <w:kern w:val="0"/>
                <w:highlight w:val="none"/>
                <w:u w:val="none"/>
              </w:rPr>
              <w:t>2</w:t>
            </w:r>
          </w:p>
        </w:tc>
        <w:tc>
          <w:tcPr>
            <w:tcW w:w="214" w:type="pct"/>
            <w:noWrap/>
            <w:vAlign w:val="center"/>
          </w:tcPr>
          <w:p w14:paraId="2128D009">
            <w:pPr>
              <w:pStyle w:val="1001"/>
              <w:rPr>
                <w:color w:val="auto"/>
                <w:highlight w:val="none"/>
                <w:u w:val="none"/>
              </w:rPr>
            </w:pPr>
            <w:r>
              <w:rPr>
                <w:rFonts w:hint="eastAsia"/>
                <w:color w:val="auto"/>
                <w:highlight w:val="none"/>
                <w:u w:val="none"/>
              </w:rPr>
              <w:t>541</w:t>
            </w:r>
          </w:p>
        </w:tc>
        <w:tc>
          <w:tcPr>
            <w:tcW w:w="243" w:type="pct"/>
            <w:noWrap/>
            <w:vAlign w:val="center"/>
          </w:tcPr>
          <w:p w14:paraId="35C1BE3D">
            <w:pPr>
              <w:pStyle w:val="1001"/>
              <w:rPr>
                <w:color w:val="auto"/>
                <w:highlight w:val="none"/>
                <w:u w:val="none"/>
              </w:rPr>
            </w:pPr>
            <w:r>
              <w:rPr>
                <w:rFonts w:hint="eastAsia"/>
                <w:color w:val="auto"/>
                <w:highlight w:val="none"/>
                <w:u w:val="none"/>
              </w:rPr>
              <w:t>-46</w:t>
            </w:r>
          </w:p>
        </w:tc>
        <w:tc>
          <w:tcPr>
            <w:tcW w:w="192" w:type="pct"/>
            <w:noWrap/>
          </w:tcPr>
          <w:p w14:paraId="64AC033F">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60586F7">
            <w:pPr>
              <w:pStyle w:val="1001"/>
              <w:rPr>
                <w:color w:val="auto"/>
                <w:highlight w:val="none"/>
                <w:u w:val="none"/>
              </w:rPr>
            </w:pPr>
            <w:r>
              <w:rPr>
                <w:color w:val="auto"/>
                <w:kern w:val="0"/>
                <w:highlight w:val="none"/>
                <w:u w:val="none"/>
              </w:rPr>
              <w:t>70</w:t>
            </w:r>
          </w:p>
        </w:tc>
        <w:tc>
          <w:tcPr>
            <w:tcW w:w="850" w:type="pct"/>
            <w:vMerge w:val="continue"/>
            <w:noWrap/>
            <w:vAlign w:val="center"/>
          </w:tcPr>
          <w:p w14:paraId="0D178DF8">
            <w:pPr>
              <w:pStyle w:val="1001"/>
              <w:rPr>
                <w:rFonts w:ascii="宋体" w:cs="宋体"/>
                <w:color w:val="auto"/>
                <w:highlight w:val="none"/>
                <w:u w:val="none"/>
              </w:rPr>
            </w:pPr>
          </w:p>
        </w:tc>
      </w:tr>
      <w:tr w14:paraId="052110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4172902">
            <w:pPr>
              <w:pStyle w:val="1001"/>
              <w:rPr>
                <w:color w:val="auto"/>
                <w:highlight w:val="none"/>
                <w:u w:val="none"/>
              </w:rPr>
            </w:pPr>
          </w:p>
        </w:tc>
        <w:tc>
          <w:tcPr>
            <w:tcW w:w="471" w:type="pct"/>
            <w:vMerge w:val="continue"/>
            <w:vAlign w:val="center"/>
          </w:tcPr>
          <w:p w14:paraId="478D0BF1">
            <w:pPr>
              <w:pStyle w:val="1001"/>
              <w:rPr>
                <w:color w:val="auto"/>
                <w:highlight w:val="none"/>
                <w:u w:val="none"/>
              </w:rPr>
            </w:pPr>
          </w:p>
        </w:tc>
        <w:tc>
          <w:tcPr>
            <w:tcW w:w="1171" w:type="pct"/>
            <w:vMerge w:val="continue"/>
            <w:noWrap/>
            <w:vAlign w:val="center"/>
          </w:tcPr>
          <w:p w14:paraId="090FEAB4">
            <w:pPr>
              <w:pStyle w:val="1001"/>
              <w:rPr>
                <w:color w:val="auto"/>
                <w:highlight w:val="none"/>
                <w:u w:val="none"/>
              </w:rPr>
            </w:pPr>
          </w:p>
        </w:tc>
        <w:tc>
          <w:tcPr>
            <w:tcW w:w="829" w:type="pct"/>
            <w:noWrap/>
            <w:vAlign w:val="center"/>
          </w:tcPr>
          <w:p w14:paraId="42ABC02D">
            <w:pPr>
              <w:pStyle w:val="1001"/>
              <w:rPr>
                <w:color w:val="auto"/>
                <w:kern w:val="0"/>
                <w:highlight w:val="none"/>
                <w:u w:val="none"/>
              </w:rPr>
            </w:pPr>
            <w:r>
              <w:rPr>
                <w:color w:val="auto"/>
                <w:kern w:val="0"/>
                <w:highlight w:val="none"/>
                <w:u w:val="none"/>
              </w:rPr>
              <w:t>中和剂泵</w:t>
            </w:r>
          </w:p>
        </w:tc>
        <w:tc>
          <w:tcPr>
            <w:tcW w:w="257" w:type="pct"/>
            <w:noWrap/>
            <w:vAlign w:val="center"/>
          </w:tcPr>
          <w:p w14:paraId="51F84E72">
            <w:pPr>
              <w:pStyle w:val="1001"/>
              <w:rPr>
                <w:color w:val="auto"/>
                <w:highlight w:val="none"/>
                <w:u w:val="none"/>
              </w:rPr>
            </w:pPr>
            <w:r>
              <w:rPr>
                <w:color w:val="auto"/>
                <w:kern w:val="0"/>
                <w:highlight w:val="none"/>
                <w:u w:val="none"/>
              </w:rPr>
              <w:t>2</w:t>
            </w:r>
          </w:p>
        </w:tc>
        <w:tc>
          <w:tcPr>
            <w:tcW w:w="214" w:type="pct"/>
            <w:noWrap/>
            <w:vAlign w:val="center"/>
          </w:tcPr>
          <w:p w14:paraId="3DE64BEC">
            <w:pPr>
              <w:pStyle w:val="1001"/>
              <w:rPr>
                <w:color w:val="auto"/>
                <w:highlight w:val="none"/>
                <w:u w:val="none"/>
              </w:rPr>
            </w:pPr>
            <w:r>
              <w:rPr>
                <w:rFonts w:hint="eastAsia"/>
                <w:color w:val="auto"/>
                <w:highlight w:val="none"/>
                <w:u w:val="none"/>
              </w:rPr>
              <w:t>519</w:t>
            </w:r>
          </w:p>
        </w:tc>
        <w:tc>
          <w:tcPr>
            <w:tcW w:w="243" w:type="pct"/>
            <w:noWrap/>
            <w:vAlign w:val="center"/>
          </w:tcPr>
          <w:p w14:paraId="46FB74C6">
            <w:pPr>
              <w:pStyle w:val="1001"/>
              <w:rPr>
                <w:color w:val="auto"/>
                <w:highlight w:val="none"/>
                <w:u w:val="none"/>
              </w:rPr>
            </w:pPr>
            <w:r>
              <w:rPr>
                <w:rFonts w:hint="eastAsia"/>
                <w:color w:val="auto"/>
                <w:highlight w:val="none"/>
                <w:u w:val="none"/>
              </w:rPr>
              <w:t>-96</w:t>
            </w:r>
          </w:p>
        </w:tc>
        <w:tc>
          <w:tcPr>
            <w:tcW w:w="192" w:type="pct"/>
            <w:noWrap/>
          </w:tcPr>
          <w:p w14:paraId="37BBBA2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7E23FEB">
            <w:pPr>
              <w:pStyle w:val="1001"/>
              <w:rPr>
                <w:color w:val="auto"/>
                <w:highlight w:val="none"/>
                <w:u w:val="none"/>
              </w:rPr>
            </w:pPr>
            <w:r>
              <w:rPr>
                <w:color w:val="auto"/>
                <w:kern w:val="0"/>
                <w:highlight w:val="none"/>
                <w:u w:val="none"/>
              </w:rPr>
              <w:t>70</w:t>
            </w:r>
          </w:p>
        </w:tc>
        <w:tc>
          <w:tcPr>
            <w:tcW w:w="850" w:type="pct"/>
            <w:vMerge w:val="continue"/>
            <w:noWrap/>
            <w:vAlign w:val="center"/>
          </w:tcPr>
          <w:p w14:paraId="7DBADF9A">
            <w:pPr>
              <w:pStyle w:val="1001"/>
              <w:rPr>
                <w:rFonts w:ascii="宋体" w:cs="宋体"/>
                <w:color w:val="auto"/>
                <w:highlight w:val="none"/>
                <w:u w:val="none"/>
              </w:rPr>
            </w:pPr>
          </w:p>
        </w:tc>
      </w:tr>
      <w:tr w14:paraId="4223D4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6090696A">
            <w:pPr>
              <w:pStyle w:val="1001"/>
              <w:rPr>
                <w:color w:val="auto"/>
                <w:highlight w:val="none"/>
                <w:u w:val="none"/>
              </w:rPr>
            </w:pPr>
          </w:p>
        </w:tc>
        <w:tc>
          <w:tcPr>
            <w:tcW w:w="471" w:type="pct"/>
            <w:vMerge w:val="continue"/>
            <w:vAlign w:val="center"/>
          </w:tcPr>
          <w:p w14:paraId="1F28E8C4">
            <w:pPr>
              <w:pStyle w:val="1001"/>
              <w:rPr>
                <w:color w:val="auto"/>
                <w:highlight w:val="none"/>
                <w:u w:val="none"/>
              </w:rPr>
            </w:pPr>
          </w:p>
        </w:tc>
        <w:tc>
          <w:tcPr>
            <w:tcW w:w="1171" w:type="pct"/>
            <w:vMerge w:val="continue"/>
            <w:noWrap/>
            <w:vAlign w:val="center"/>
          </w:tcPr>
          <w:p w14:paraId="7F767832">
            <w:pPr>
              <w:pStyle w:val="1001"/>
              <w:rPr>
                <w:color w:val="auto"/>
                <w:highlight w:val="none"/>
                <w:u w:val="none"/>
              </w:rPr>
            </w:pPr>
          </w:p>
        </w:tc>
        <w:tc>
          <w:tcPr>
            <w:tcW w:w="829" w:type="pct"/>
            <w:noWrap/>
            <w:vAlign w:val="center"/>
          </w:tcPr>
          <w:p w14:paraId="7EEE23ED">
            <w:pPr>
              <w:pStyle w:val="1001"/>
              <w:rPr>
                <w:color w:val="auto"/>
                <w:kern w:val="0"/>
                <w:highlight w:val="none"/>
                <w:u w:val="none"/>
              </w:rPr>
            </w:pPr>
            <w:r>
              <w:rPr>
                <w:color w:val="auto"/>
                <w:kern w:val="0"/>
                <w:highlight w:val="none"/>
                <w:u w:val="none"/>
              </w:rPr>
              <w:t>抗氧剂泵</w:t>
            </w:r>
          </w:p>
        </w:tc>
        <w:tc>
          <w:tcPr>
            <w:tcW w:w="257" w:type="pct"/>
            <w:noWrap/>
            <w:vAlign w:val="center"/>
          </w:tcPr>
          <w:p w14:paraId="10E52E6A">
            <w:pPr>
              <w:pStyle w:val="1001"/>
              <w:rPr>
                <w:color w:val="auto"/>
                <w:highlight w:val="none"/>
                <w:u w:val="none"/>
              </w:rPr>
            </w:pPr>
            <w:r>
              <w:rPr>
                <w:color w:val="auto"/>
                <w:kern w:val="0"/>
                <w:highlight w:val="none"/>
                <w:u w:val="none"/>
              </w:rPr>
              <w:t>2</w:t>
            </w:r>
          </w:p>
        </w:tc>
        <w:tc>
          <w:tcPr>
            <w:tcW w:w="214" w:type="pct"/>
            <w:noWrap/>
            <w:vAlign w:val="center"/>
          </w:tcPr>
          <w:p w14:paraId="433260F7">
            <w:pPr>
              <w:pStyle w:val="1001"/>
              <w:rPr>
                <w:color w:val="auto"/>
                <w:highlight w:val="none"/>
                <w:u w:val="none"/>
              </w:rPr>
            </w:pPr>
            <w:r>
              <w:rPr>
                <w:rFonts w:hint="eastAsia"/>
                <w:color w:val="auto"/>
                <w:highlight w:val="none"/>
                <w:u w:val="none"/>
              </w:rPr>
              <w:t>546</w:t>
            </w:r>
          </w:p>
        </w:tc>
        <w:tc>
          <w:tcPr>
            <w:tcW w:w="243" w:type="pct"/>
            <w:noWrap/>
            <w:vAlign w:val="center"/>
          </w:tcPr>
          <w:p w14:paraId="7EBEB001">
            <w:pPr>
              <w:pStyle w:val="1001"/>
              <w:rPr>
                <w:color w:val="auto"/>
                <w:highlight w:val="none"/>
                <w:u w:val="none"/>
              </w:rPr>
            </w:pPr>
            <w:r>
              <w:rPr>
                <w:rFonts w:hint="eastAsia"/>
                <w:color w:val="auto"/>
                <w:highlight w:val="none"/>
                <w:u w:val="none"/>
              </w:rPr>
              <w:t>-92</w:t>
            </w:r>
          </w:p>
        </w:tc>
        <w:tc>
          <w:tcPr>
            <w:tcW w:w="192" w:type="pct"/>
            <w:noWrap/>
          </w:tcPr>
          <w:p w14:paraId="7473131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7DB1505E">
            <w:pPr>
              <w:pStyle w:val="1001"/>
              <w:rPr>
                <w:color w:val="auto"/>
                <w:highlight w:val="none"/>
                <w:u w:val="none"/>
              </w:rPr>
            </w:pPr>
            <w:r>
              <w:rPr>
                <w:color w:val="auto"/>
                <w:kern w:val="0"/>
                <w:highlight w:val="none"/>
                <w:u w:val="none"/>
              </w:rPr>
              <w:t>70</w:t>
            </w:r>
          </w:p>
        </w:tc>
        <w:tc>
          <w:tcPr>
            <w:tcW w:w="850" w:type="pct"/>
            <w:vMerge w:val="continue"/>
            <w:noWrap/>
            <w:vAlign w:val="center"/>
          </w:tcPr>
          <w:p w14:paraId="16652AB3">
            <w:pPr>
              <w:pStyle w:val="1001"/>
              <w:rPr>
                <w:rFonts w:ascii="宋体" w:cs="宋体"/>
                <w:color w:val="auto"/>
                <w:highlight w:val="none"/>
                <w:u w:val="none"/>
              </w:rPr>
            </w:pPr>
          </w:p>
        </w:tc>
      </w:tr>
      <w:tr w14:paraId="0B4E2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73ACF910">
            <w:pPr>
              <w:pStyle w:val="1001"/>
              <w:rPr>
                <w:color w:val="auto"/>
                <w:highlight w:val="none"/>
                <w:u w:val="none"/>
              </w:rPr>
            </w:pPr>
          </w:p>
        </w:tc>
        <w:tc>
          <w:tcPr>
            <w:tcW w:w="471" w:type="pct"/>
            <w:vMerge w:val="continue"/>
            <w:vAlign w:val="center"/>
          </w:tcPr>
          <w:p w14:paraId="4DDBE102">
            <w:pPr>
              <w:pStyle w:val="1001"/>
              <w:rPr>
                <w:color w:val="auto"/>
                <w:highlight w:val="none"/>
                <w:u w:val="none"/>
              </w:rPr>
            </w:pPr>
          </w:p>
        </w:tc>
        <w:tc>
          <w:tcPr>
            <w:tcW w:w="1171" w:type="pct"/>
            <w:vMerge w:val="continue"/>
            <w:noWrap/>
            <w:vAlign w:val="center"/>
          </w:tcPr>
          <w:p w14:paraId="0753EFDC">
            <w:pPr>
              <w:pStyle w:val="1001"/>
              <w:rPr>
                <w:color w:val="auto"/>
                <w:highlight w:val="none"/>
                <w:u w:val="none"/>
              </w:rPr>
            </w:pPr>
          </w:p>
        </w:tc>
        <w:tc>
          <w:tcPr>
            <w:tcW w:w="829" w:type="pct"/>
            <w:noWrap/>
            <w:vAlign w:val="center"/>
          </w:tcPr>
          <w:p w14:paraId="3A256E24">
            <w:pPr>
              <w:pStyle w:val="1001"/>
              <w:rPr>
                <w:color w:val="auto"/>
                <w:kern w:val="0"/>
                <w:highlight w:val="none"/>
                <w:u w:val="none"/>
              </w:rPr>
            </w:pPr>
            <w:r>
              <w:rPr>
                <w:color w:val="auto"/>
                <w:kern w:val="0"/>
                <w:highlight w:val="none"/>
                <w:u w:val="none"/>
              </w:rPr>
              <w:t>防粘釜剂加料泵</w:t>
            </w:r>
          </w:p>
        </w:tc>
        <w:tc>
          <w:tcPr>
            <w:tcW w:w="257" w:type="pct"/>
            <w:noWrap/>
            <w:vAlign w:val="center"/>
          </w:tcPr>
          <w:p w14:paraId="48FF1CCA">
            <w:pPr>
              <w:pStyle w:val="1001"/>
              <w:rPr>
                <w:color w:val="auto"/>
                <w:highlight w:val="none"/>
                <w:u w:val="none"/>
              </w:rPr>
            </w:pPr>
            <w:r>
              <w:rPr>
                <w:color w:val="auto"/>
                <w:kern w:val="0"/>
                <w:highlight w:val="none"/>
                <w:u w:val="none"/>
              </w:rPr>
              <w:t>2</w:t>
            </w:r>
          </w:p>
        </w:tc>
        <w:tc>
          <w:tcPr>
            <w:tcW w:w="214" w:type="pct"/>
            <w:noWrap/>
            <w:vAlign w:val="center"/>
          </w:tcPr>
          <w:p w14:paraId="7E0056AF">
            <w:pPr>
              <w:pStyle w:val="1001"/>
              <w:rPr>
                <w:color w:val="auto"/>
                <w:highlight w:val="none"/>
                <w:u w:val="none"/>
              </w:rPr>
            </w:pPr>
            <w:r>
              <w:rPr>
                <w:rFonts w:hint="eastAsia"/>
                <w:color w:val="auto"/>
                <w:highlight w:val="none"/>
                <w:u w:val="none"/>
              </w:rPr>
              <w:t>546</w:t>
            </w:r>
          </w:p>
        </w:tc>
        <w:tc>
          <w:tcPr>
            <w:tcW w:w="243" w:type="pct"/>
            <w:noWrap/>
            <w:vAlign w:val="center"/>
          </w:tcPr>
          <w:p w14:paraId="6E0A6797">
            <w:pPr>
              <w:pStyle w:val="1001"/>
              <w:rPr>
                <w:color w:val="auto"/>
                <w:highlight w:val="none"/>
                <w:u w:val="none"/>
              </w:rPr>
            </w:pPr>
            <w:r>
              <w:rPr>
                <w:rFonts w:hint="eastAsia"/>
                <w:color w:val="auto"/>
                <w:highlight w:val="none"/>
                <w:u w:val="none"/>
              </w:rPr>
              <w:t>-100</w:t>
            </w:r>
          </w:p>
        </w:tc>
        <w:tc>
          <w:tcPr>
            <w:tcW w:w="192" w:type="pct"/>
            <w:noWrap/>
          </w:tcPr>
          <w:p w14:paraId="2034FAFA">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B8D0AAF">
            <w:pPr>
              <w:pStyle w:val="1001"/>
              <w:rPr>
                <w:color w:val="auto"/>
                <w:highlight w:val="none"/>
                <w:u w:val="none"/>
              </w:rPr>
            </w:pPr>
            <w:r>
              <w:rPr>
                <w:color w:val="auto"/>
                <w:kern w:val="0"/>
                <w:highlight w:val="none"/>
                <w:u w:val="none"/>
              </w:rPr>
              <w:t>70</w:t>
            </w:r>
          </w:p>
        </w:tc>
        <w:tc>
          <w:tcPr>
            <w:tcW w:w="850" w:type="pct"/>
            <w:vMerge w:val="continue"/>
            <w:noWrap/>
            <w:vAlign w:val="center"/>
          </w:tcPr>
          <w:p w14:paraId="5CDFA873">
            <w:pPr>
              <w:pStyle w:val="1001"/>
              <w:rPr>
                <w:rFonts w:ascii="宋体" w:cs="宋体"/>
                <w:color w:val="auto"/>
                <w:highlight w:val="none"/>
                <w:u w:val="none"/>
              </w:rPr>
            </w:pPr>
          </w:p>
        </w:tc>
      </w:tr>
      <w:tr w14:paraId="178E2A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50E9B004">
            <w:pPr>
              <w:pStyle w:val="1001"/>
              <w:rPr>
                <w:color w:val="auto"/>
                <w:highlight w:val="none"/>
                <w:u w:val="none"/>
              </w:rPr>
            </w:pPr>
          </w:p>
        </w:tc>
        <w:tc>
          <w:tcPr>
            <w:tcW w:w="471" w:type="pct"/>
            <w:vMerge w:val="continue"/>
            <w:vAlign w:val="center"/>
          </w:tcPr>
          <w:p w14:paraId="30126398">
            <w:pPr>
              <w:pStyle w:val="1001"/>
              <w:rPr>
                <w:color w:val="auto"/>
                <w:highlight w:val="none"/>
                <w:u w:val="none"/>
              </w:rPr>
            </w:pPr>
          </w:p>
        </w:tc>
        <w:tc>
          <w:tcPr>
            <w:tcW w:w="1171" w:type="pct"/>
            <w:vMerge w:val="restart"/>
            <w:noWrap/>
            <w:vAlign w:val="center"/>
          </w:tcPr>
          <w:p w14:paraId="4C838566">
            <w:pPr>
              <w:pStyle w:val="1001"/>
              <w:rPr>
                <w:color w:val="auto"/>
                <w:highlight w:val="none"/>
                <w:u w:val="none"/>
              </w:rPr>
            </w:pPr>
            <w:r>
              <w:rPr>
                <w:color w:val="auto"/>
                <w:kern w:val="0"/>
                <w:highlight w:val="none"/>
                <w:u w:val="none"/>
              </w:rPr>
              <w:t>干燥单元</w:t>
            </w:r>
          </w:p>
        </w:tc>
        <w:tc>
          <w:tcPr>
            <w:tcW w:w="829" w:type="pct"/>
            <w:noWrap/>
            <w:vAlign w:val="center"/>
          </w:tcPr>
          <w:p w14:paraId="6CA18952">
            <w:pPr>
              <w:pStyle w:val="1001"/>
              <w:rPr>
                <w:color w:val="auto"/>
                <w:kern w:val="0"/>
                <w:highlight w:val="none"/>
                <w:u w:val="none"/>
              </w:rPr>
            </w:pPr>
            <w:r>
              <w:rPr>
                <w:color w:val="auto"/>
                <w:kern w:val="0"/>
                <w:highlight w:val="none"/>
                <w:u w:val="none"/>
              </w:rPr>
              <w:t>振动筛</w:t>
            </w:r>
          </w:p>
        </w:tc>
        <w:tc>
          <w:tcPr>
            <w:tcW w:w="257" w:type="pct"/>
            <w:noWrap/>
            <w:vAlign w:val="center"/>
          </w:tcPr>
          <w:p w14:paraId="0C1E04E1">
            <w:pPr>
              <w:pStyle w:val="1001"/>
              <w:rPr>
                <w:color w:val="auto"/>
                <w:highlight w:val="none"/>
                <w:u w:val="none"/>
              </w:rPr>
            </w:pPr>
            <w:r>
              <w:rPr>
                <w:color w:val="auto"/>
                <w:kern w:val="0"/>
                <w:highlight w:val="none"/>
                <w:u w:val="none"/>
              </w:rPr>
              <w:t>4</w:t>
            </w:r>
          </w:p>
        </w:tc>
        <w:tc>
          <w:tcPr>
            <w:tcW w:w="214" w:type="pct"/>
            <w:noWrap/>
            <w:vAlign w:val="center"/>
          </w:tcPr>
          <w:p w14:paraId="76ADE967">
            <w:pPr>
              <w:pStyle w:val="1001"/>
              <w:rPr>
                <w:color w:val="auto"/>
                <w:highlight w:val="none"/>
                <w:u w:val="none"/>
              </w:rPr>
            </w:pPr>
            <w:r>
              <w:rPr>
                <w:rFonts w:hint="eastAsia"/>
                <w:color w:val="auto"/>
                <w:highlight w:val="none"/>
                <w:u w:val="none"/>
              </w:rPr>
              <w:t>519</w:t>
            </w:r>
          </w:p>
        </w:tc>
        <w:tc>
          <w:tcPr>
            <w:tcW w:w="243" w:type="pct"/>
            <w:noWrap/>
            <w:vAlign w:val="center"/>
          </w:tcPr>
          <w:p w14:paraId="08E00111">
            <w:pPr>
              <w:pStyle w:val="1001"/>
              <w:rPr>
                <w:color w:val="auto"/>
                <w:highlight w:val="none"/>
                <w:u w:val="none"/>
              </w:rPr>
            </w:pPr>
            <w:r>
              <w:rPr>
                <w:rFonts w:hint="eastAsia"/>
                <w:color w:val="auto"/>
                <w:highlight w:val="none"/>
                <w:u w:val="none"/>
              </w:rPr>
              <w:t>-119</w:t>
            </w:r>
          </w:p>
        </w:tc>
        <w:tc>
          <w:tcPr>
            <w:tcW w:w="192" w:type="pct"/>
            <w:noWrap/>
          </w:tcPr>
          <w:p w14:paraId="1495AB57">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CDAEAFE">
            <w:pPr>
              <w:pStyle w:val="1001"/>
              <w:rPr>
                <w:color w:val="auto"/>
                <w:highlight w:val="none"/>
                <w:u w:val="none"/>
              </w:rPr>
            </w:pPr>
            <w:r>
              <w:rPr>
                <w:color w:val="auto"/>
                <w:kern w:val="0"/>
                <w:highlight w:val="none"/>
                <w:u w:val="none"/>
              </w:rPr>
              <w:t>70</w:t>
            </w:r>
          </w:p>
        </w:tc>
        <w:tc>
          <w:tcPr>
            <w:tcW w:w="850" w:type="pct"/>
            <w:vMerge w:val="restart"/>
            <w:noWrap/>
            <w:vAlign w:val="center"/>
          </w:tcPr>
          <w:p w14:paraId="0575E992">
            <w:pPr>
              <w:pStyle w:val="1001"/>
              <w:rPr>
                <w:rFonts w:ascii="宋体" w:cs="宋体"/>
                <w:color w:val="auto"/>
                <w:highlight w:val="none"/>
                <w:u w:val="none"/>
              </w:rPr>
            </w:pPr>
            <w:r>
              <w:rPr>
                <w:color w:val="auto"/>
                <w:kern w:val="0"/>
                <w:highlight w:val="none"/>
                <w:u w:val="none"/>
              </w:rPr>
              <w:t>基础减振，厂房隔声</w:t>
            </w:r>
          </w:p>
        </w:tc>
      </w:tr>
      <w:tr w14:paraId="07CFB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405485C">
            <w:pPr>
              <w:pStyle w:val="1001"/>
              <w:rPr>
                <w:color w:val="auto"/>
                <w:highlight w:val="none"/>
                <w:u w:val="none"/>
              </w:rPr>
            </w:pPr>
          </w:p>
        </w:tc>
        <w:tc>
          <w:tcPr>
            <w:tcW w:w="471" w:type="pct"/>
            <w:vMerge w:val="continue"/>
            <w:vAlign w:val="center"/>
          </w:tcPr>
          <w:p w14:paraId="19B5D946">
            <w:pPr>
              <w:pStyle w:val="1001"/>
              <w:rPr>
                <w:color w:val="auto"/>
                <w:highlight w:val="none"/>
                <w:u w:val="none"/>
              </w:rPr>
            </w:pPr>
          </w:p>
        </w:tc>
        <w:tc>
          <w:tcPr>
            <w:tcW w:w="1171" w:type="pct"/>
            <w:vMerge w:val="continue"/>
            <w:noWrap/>
            <w:vAlign w:val="center"/>
          </w:tcPr>
          <w:p w14:paraId="705D22D3">
            <w:pPr>
              <w:pStyle w:val="1001"/>
              <w:rPr>
                <w:color w:val="auto"/>
                <w:highlight w:val="none"/>
                <w:u w:val="none"/>
              </w:rPr>
            </w:pPr>
          </w:p>
        </w:tc>
        <w:tc>
          <w:tcPr>
            <w:tcW w:w="829" w:type="pct"/>
            <w:noWrap/>
            <w:vAlign w:val="center"/>
          </w:tcPr>
          <w:p w14:paraId="400DF509">
            <w:pPr>
              <w:pStyle w:val="1001"/>
              <w:rPr>
                <w:color w:val="auto"/>
                <w:kern w:val="0"/>
                <w:highlight w:val="none"/>
                <w:u w:val="none"/>
              </w:rPr>
            </w:pPr>
            <w:r>
              <w:rPr>
                <w:color w:val="auto"/>
                <w:kern w:val="0"/>
                <w:highlight w:val="none"/>
                <w:u w:val="none"/>
              </w:rPr>
              <w:t>离心机</w:t>
            </w:r>
          </w:p>
        </w:tc>
        <w:tc>
          <w:tcPr>
            <w:tcW w:w="257" w:type="pct"/>
            <w:noWrap/>
            <w:vAlign w:val="center"/>
          </w:tcPr>
          <w:p w14:paraId="727E21D3">
            <w:pPr>
              <w:pStyle w:val="1001"/>
              <w:rPr>
                <w:color w:val="auto"/>
                <w:highlight w:val="none"/>
                <w:u w:val="none"/>
              </w:rPr>
            </w:pPr>
            <w:r>
              <w:rPr>
                <w:color w:val="auto"/>
                <w:kern w:val="0"/>
                <w:highlight w:val="none"/>
                <w:u w:val="none"/>
              </w:rPr>
              <w:t>4</w:t>
            </w:r>
          </w:p>
        </w:tc>
        <w:tc>
          <w:tcPr>
            <w:tcW w:w="214" w:type="pct"/>
            <w:noWrap/>
            <w:vAlign w:val="center"/>
          </w:tcPr>
          <w:p w14:paraId="6BE48766">
            <w:pPr>
              <w:pStyle w:val="1001"/>
              <w:rPr>
                <w:color w:val="auto"/>
                <w:highlight w:val="none"/>
                <w:u w:val="none"/>
              </w:rPr>
            </w:pPr>
            <w:r>
              <w:rPr>
                <w:rFonts w:hint="eastAsia"/>
                <w:color w:val="auto"/>
                <w:highlight w:val="none"/>
                <w:u w:val="none"/>
              </w:rPr>
              <w:t>526</w:t>
            </w:r>
          </w:p>
        </w:tc>
        <w:tc>
          <w:tcPr>
            <w:tcW w:w="243" w:type="pct"/>
            <w:noWrap/>
            <w:vAlign w:val="center"/>
          </w:tcPr>
          <w:p w14:paraId="392B35B0">
            <w:pPr>
              <w:pStyle w:val="1001"/>
              <w:rPr>
                <w:color w:val="auto"/>
                <w:highlight w:val="none"/>
                <w:u w:val="none"/>
              </w:rPr>
            </w:pPr>
            <w:r>
              <w:rPr>
                <w:rFonts w:hint="eastAsia"/>
                <w:color w:val="auto"/>
                <w:highlight w:val="none"/>
                <w:u w:val="none"/>
              </w:rPr>
              <w:t>-120</w:t>
            </w:r>
          </w:p>
        </w:tc>
        <w:tc>
          <w:tcPr>
            <w:tcW w:w="192" w:type="pct"/>
            <w:noWrap/>
          </w:tcPr>
          <w:p w14:paraId="49B76E7D">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D168B2D">
            <w:pPr>
              <w:pStyle w:val="1001"/>
              <w:rPr>
                <w:color w:val="auto"/>
                <w:highlight w:val="none"/>
                <w:u w:val="none"/>
              </w:rPr>
            </w:pPr>
            <w:r>
              <w:rPr>
                <w:color w:val="auto"/>
                <w:kern w:val="0"/>
                <w:highlight w:val="none"/>
                <w:u w:val="none"/>
              </w:rPr>
              <w:t>70</w:t>
            </w:r>
          </w:p>
        </w:tc>
        <w:tc>
          <w:tcPr>
            <w:tcW w:w="850" w:type="pct"/>
            <w:vMerge w:val="continue"/>
            <w:noWrap/>
            <w:vAlign w:val="center"/>
          </w:tcPr>
          <w:p w14:paraId="04E6080E">
            <w:pPr>
              <w:pStyle w:val="1001"/>
              <w:rPr>
                <w:rFonts w:ascii="宋体" w:cs="宋体"/>
                <w:color w:val="auto"/>
                <w:highlight w:val="none"/>
                <w:u w:val="none"/>
              </w:rPr>
            </w:pPr>
          </w:p>
        </w:tc>
      </w:tr>
      <w:tr w14:paraId="084AF0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6DBA3A6">
            <w:pPr>
              <w:pStyle w:val="1001"/>
              <w:rPr>
                <w:color w:val="auto"/>
                <w:highlight w:val="none"/>
                <w:u w:val="none"/>
              </w:rPr>
            </w:pPr>
          </w:p>
        </w:tc>
        <w:tc>
          <w:tcPr>
            <w:tcW w:w="471" w:type="pct"/>
            <w:vMerge w:val="continue"/>
            <w:vAlign w:val="center"/>
          </w:tcPr>
          <w:p w14:paraId="7321E693">
            <w:pPr>
              <w:pStyle w:val="1001"/>
              <w:rPr>
                <w:color w:val="auto"/>
                <w:highlight w:val="none"/>
                <w:u w:val="none"/>
              </w:rPr>
            </w:pPr>
          </w:p>
        </w:tc>
        <w:tc>
          <w:tcPr>
            <w:tcW w:w="1171" w:type="pct"/>
            <w:vMerge w:val="continue"/>
            <w:noWrap/>
            <w:vAlign w:val="center"/>
          </w:tcPr>
          <w:p w14:paraId="76979C58">
            <w:pPr>
              <w:pStyle w:val="1001"/>
              <w:rPr>
                <w:color w:val="auto"/>
                <w:highlight w:val="none"/>
                <w:u w:val="none"/>
              </w:rPr>
            </w:pPr>
          </w:p>
        </w:tc>
        <w:tc>
          <w:tcPr>
            <w:tcW w:w="829" w:type="pct"/>
            <w:noWrap/>
            <w:vAlign w:val="center"/>
          </w:tcPr>
          <w:p w14:paraId="3155E16B">
            <w:pPr>
              <w:pStyle w:val="1001"/>
              <w:rPr>
                <w:color w:val="auto"/>
                <w:kern w:val="0"/>
                <w:highlight w:val="none"/>
                <w:u w:val="none"/>
              </w:rPr>
            </w:pPr>
            <w:r>
              <w:rPr>
                <w:color w:val="auto"/>
                <w:kern w:val="0"/>
                <w:highlight w:val="none"/>
                <w:u w:val="none"/>
              </w:rPr>
              <w:t>干燥热水循环泵</w:t>
            </w:r>
          </w:p>
        </w:tc>
        <w:tc>
          <w:tcPr>
            <w:tcW w:w="257" w:type="pct"/>
            <w:noWrap/>
            <w:vAlign w:val="center"/>
          </w:tcPr>
          <w:p w14:paraId="46B58CAE">
            <w:pPr>
              <w:pStyle w:val="1001"/>
              <w:rPr>
                <w:color w:val="auto"/>
                <w:highlight w:val="none"/>
                <w:u w:val="none"/>
              </w:rPr>
            </w:pPr>
            <w:r>
              <w:rPr>
                <w:color w:val="auto"/>
                <w:kern w:val="0"/>
                <w:highlight w:val="none"/>
                <w:u w:val="none"/>
              </w:rPr>
              <w:t>2</w:t>
            </w:r>
          </w:p>
        </w:tc>
        <w:tc>
          <w:tcPr>
            <w:tcW w:w="214" w:type="pct"/>
            <w:noWrap/>
            <w:vAlign w:val="center"/>
          </w:tcPr>
          <w:p w14:paraId="3DE2BBA3">
            <w:pPr>
              <w:pStyle w:val="1001"/>
              <w:rPr>
                <w:color w:val="auto"/>
                <w:highlight w:val="none"/>
                <w:u w:val="none"/>
              </w:rPr>
            </w:pPr>
            <w:r>
              <w:rPr>
                <w:rFonts w:hint="eastAsia"/>
                <w:color w:val="auto"/>
                <w:highlight w:val="none"/>
                <w:u w:val="none"/>
              </w:rPr>
              <w:t>533</w:t>
            </w:r>
          </w:p>
        </w:tc>
        <w:tc>
          <w:tcPr>
            <w:tcW w:w="243" w:type="pct"/>
            <w:noWrap/>
            <w:vAlign w:val="center"/>
          </w:tcPr>
          <w:p w14:paraId="3E45408B">
            <w:pPr>
              <w:pStyle w:val="1001"/>
              <w:rPr>
                <w:color w:val="auto"/>
                <w:highlight w:val="none"/>
                <w:u w:val="none"/>
              </w:rPr>
            </w:pPr>
            <w:r>
              <w:rPr>
                <w:rFonts w:hint="eastAsia"/>
                <w:color w:val="auto"/>
                <w:highlight w:val="none"/>
                <w:u w:val="none"/>
              </w:rPr>
              <w:t>-120</w:t>
            </w:r>
          </w:p>
        </w:tc>
        <w:tc>
          <w:tcPr>
            <w:tcW w:w="192" w:type="pct"/>
            <w:noWrap/>
          </w:tcPr>
          <w:p w14:paraId="01C9F6A8">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C083C8F">
            <w:pPr>
              <w:pStyle w:val="1001"/>
              <w:rPr>
                <w:color w:val="auto"/>
                <w:highlight w:val="none"/>
                <w:u w:val="none"/>
              </w:rPr>
            </w:pPr>
            <w:r>
              <w:rPr>
                <w:color w:val="auto"/>
                <w:kern w:val="0"/>
                <w:highlight w:val="none"/>
                <w:u w:val="none"/>
              </w:rPr>
              <w:t>70</w:t>
            </w:r>
          </w:p>
        </w:tc>
        <w:tc>
          <w:tcPr>
            <w:tcW w:w="850" w:type="pct"/>
            <w:vMerge w:val="continue"/>
            <w:noWrap/>
            <w:vAlign w:val="center"/>
          </w:tcPr>
          <w:p w14:paraId="23081644">
            <w:pPr>
              <w:pStyle w:val="1001"/>
              <w:rPr>
                <w:rFonts w:ascii="宋体" w:cs="宋体"/>
                <w:color w:val="auto"/>
                <w:highlight w:val="none"/>
                <w:u w:val="none"/>
              </w:rPr>
            </w:pPr>
          </w:p>
        </w:tc>
      </w:tr>
      <w:tr w14:paraId="67B5B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E04572A">
            <w:pPr>
              <w:pStyle w:val="1001"/>
              <w:rPr>
                <w:color w:val="auto"/>
                <w:highlight w:val="none"/>
                <w:u w:val="none"/>
              </w:rPr>
            </w:pPr>
          </w:p>
        </w:tc>
        <w:tc>
          <w:tcPr>
            <w:tcW w:w="471" w:type="pct"/>
            <w:vMerge w:val="continue"/>
            <w:vAlign w:val="center"/>
          </w:tcPr>
          <w:p w14:paraId="4790C1AC">
            <w:pPr>
              <w:pStyle w:val="1001"/>
              <w:rPr>
                <w:color w:val="auto"/>
                <w:highlight w:val="none"/>
                <w:u w:val="none"/>
              </w:rPr>
            </w:pPr>
          </w:p>
        </w:tc>
        <w:tc>
          <w:tcPr>
            <w:tcW w:w="1171" w:type="pct"/>
            <w:vMerge w:val="continue"/>
            <w:noWrap/>
            <w:vAlign w:val="center"/>
          </w:tcPr>
          <w:p w14:paraId="1762AE0A">
            <w:pPr>
              <w:pStyle w:val="1001"/>
              <w:rPr>
                <w:color w:val="auto"/>
                <w:highlight w:val="none"/>
                <w:u w:val="none"/>
              </w:rPr>
            </w:pPr>
          </w:p>
        </w:tc>
        <w:tc>
          <w:tcPr>
            <w:tcW w:w="829" w:type="pct"/>
            <w:noWrap/>
            <w:vAlign w:val="center"/>
          </w:tcPr>
          <w:p w14:paraId="3FBB8535">
            <w:pPr>
              <w:pStyle w:val="1001"/>
              <w:rPr>
                <w:color w:val="auto"/>
                <w:kern w:val="0"/>
                <w:highlight w:val="none"/>
                <w:u w:val="none"/>
              </w:rPr>
            </w:pPr>
            <w:r>
              <w:rPr>
                <w:color w:val="auto"/>
                <w:kern w:val="0"/>
                <w:highlight w:val="none"/>
                <w:u w:val="none"/>
              </w:rPr>
              <w:t>洗涤水循环泵</w:t>
            </w:r>
          </w:p>
        </w:tc>
        <w:tc>
          <w:tcPr>
            <w:tcW w:w="257" w:type="pct"/>
            <w:noWrap/>
            <w:vAlign w:val="center"/>
          </w:tcPr>
          <w:p w14:paraId="17F21859">
            <w:pPr>
              <w:pStyle w:val="1001"/>
              <w:rPr>
                <w:color w:val="auto"/>
                <w:highlight w:val="none"/>
                <w:u w:val="none"/>
              </w:rPr>
            </w:pPr>
            <w:r>
              <w:rPr>
                <w:color w:val="auto"/>
                <w:kern w:val="0"/>
                <w:highlight w:val="none"/>
                <w:u w:val="none"/>
              </w:rPr>
              <w:t>2</w:t>
            </w:r>
          </w:p>
        </w:tc>
        <w:tc>
          <w:tcPr>
            <w:tcW w:w="214" w:type="pct"/>
            <w:noWrap/>
            <w:vAlign w:val="center"/>
          </w:tcPr>
          <w:p w14:paraId="3D9CDCDB">
            <w:pPr>
              <w:pStyle w:val="1001"/>
              <w:rPr>
                <w:color w:val="auto"/>
                <w:highlight w:val="none"/>
                <w:u w:val="none"/>
              </w:rPr>
            </w:pPr>
            <w:r>
              <w:rPr>
                <w:rFonts w:hint="eastAsia"/>
                <w:color w:val="auto"/>
                <w:highlight w:val="none"/>
                <w:u w:val="none"/>
              </w:rPr>
              <w:t>536</w:t>
            </w:r>
          </w:p>
        </w:tc>
        <w:tc>
          <w:tcPr>
            <w:tcW w:w="243" w:type="pct"/>
            <w:noWrap/>
            <w:vAlign w:val="center"/>
          </w:tcPr>
          <w:p w14:paraId="45D1A52F">
            <w:pPr>
              <w:pStyle w:val="1001"/>
              <w:rPr>
                <w:color w:val="auto"/>
                <w:highlight w:val="none"/>
                <w:u w:val="none"/>
              </w:rPr>
            </w:pPr>
            <w:r>
              <w:rPr>
                <w:rFonts w:hint="eastAsia"/>
                <w:color w:val="auto"/>
                <w:highlight w:val="none"/>
                <w:u w:val="none"/>
              </w:rPr>
              <w:t>-182</w:t>
            </w:r>
          </w:p>
        </w:tc>
        <w:tc>
          <w:tcPr>
            <w:tcW w:w="192" w:type="pct"/>
            <w:noWrap/>
          </w:tcPr>
          <w:p w14:paraId="16BADDEF">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9E0D5D8">
            <w:pPr>
              <w:pStyle w:val="1001"/>
              <w:rPr>
                <w:color w:val="auto"/>
                <w:highlight w:val="none"/>
                <w:u w:val="none"/>
              </w:rPr>
            </w:pPr>
            <w:r>
              <w:rPr>
                <w:color w:val="auto"/>
                <w:kern w:val="0"/>
                <w:highlight w:val="none"/>
                <w:u w:val="none"/>
              </w:rPr>
              <w:t>70</w:t>
            </w:r>
          </w:p>
        </w:tc>
        <w:tc>
          <w:tcPr>
            <w:tcW w:w="850" w:type="pct"/>
            <w:vMerge w:val="continue"/>
            <w:noWrap/>
            <w:vAlign w:val="center"/>
          </w:tcPr>
          <w:p w14:paraId="617885E6">
            <w:pPr>
              <w:pStyle w:val="1001"/>
              <w:rPr>
                <w:rFonts w:ascii="宋体" w:cs="宋体"/>
                <w:color w:val="auto"/>
                <w:highlight w:val="none"/>
                <w:u w:val="none"/>
              </w:rPr>
            </w:pPr>
          </w:p>
        </w:tc>
      </w:tr>
      <w:tr w14:paraId="1EC02F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2681D38">
            <w:pPr>
              <w:pStyle w:val="1001"/>
              <w:rPr>
                <w:color w:val="auto"/>
                <w:highlight w:val="none"/>
                <w:u w:val="none"/>
              </w:rPr>
            </w:pPr>
          </w:p>
        </w:tc>
        <w:tc>
          <w:tcPr>
            <w:tcW w:w="471" w:type="pct"/>
            <w:vMerge w:val="continue"/>
            <w:vAlign w:val="center"/>
          </w:tcPr>
          <w:p w14:paraId="2F35CDA1">
            <w:pPr>
              <w:pStyle w:val="1001"/>
              <w:rPr>
                <w:color w:val="auto"/>
                <w:highlight w:val="none"/>
                <w:u w:val="none"/>
              </w:rPr>
            </w:pPr>
          </w:p>
        </w:tc>
        <w:tc>
          <w:tcPr>
            <w:tcW w:w="1171" w:type="pct"/>
            <w:vMerge w:val="restart"/>
            <w:noWrap/>
            <w:vAlign w:val="center"/>
          </w:tcPr>
          <w:p w14:paraId="3E1E5CA0">
            <w:pPr>
              <w:pStyle w:val="1001"/>
              <w:rPr>
                <w:color w:val="auto"/>
                <w:highlight w:val="none"/>
                <w:u w:val="none"/>
              </w:rPr>
            </w:pPr>
            <w:r>
              <w:rPr>
                <w:color w:val="auto"/>
                <w:kern w:val="0"/>
                <w:highlight w:val="none"/>
                <w:u w:val="none"/>
              </w:rPr>
              <w:t>VCM回收单元</w:t>
            </w:r>
          </w:p>
        </w:tc>
        <w:tc>
          <w:tcPr>
            <w:tcW w:w="829" w:type="pct"/>
            <w:noWrap/>
            <w:vAlign w:val="center"/>
          </w:tcPr>
          <w:p w14:paraId="2DD43660">
            <w:pPr>
              <w:pStyle w:val="1001"/>
              <w:rPr>
                <w:color w:val="auto"/>
                <w:kern w:val="0"/>
                <w:highlight w:val="none"/>
                <w:u w:val="none"/>
              </w:rPr>
            </w:pPr>
            <w:r>
              <w:rPr>
                <w:color w:val="auto"/>
                <w:kern w:val="0"/>
                <w:highlight w:val="none"/>
                <w:u w:val="none"/>
              </w:rPr>
              <w:t>连续回收压缩机</w:t>
            </w:r>
          </w:p>
        </w:tc>
        <w:tc>
          <w:tcPr>
            <w:tcW w:w="257" w:type="pct"/>
            <w:noWrap/>
            <w:vAlign w:val="center"/>
          </w:tcPr>
          <w:p w14:paraId="4136C8F5">
            <w:pPr>
              <w:pStyle w:val="1001"/>
              <w:rPr>
                <w:color w:val="auto"/>
                <w:highlight w:val="none"/>
                <w:u w:val="none"/>
              </w:rPr>
            </w:pPr>
            <w:r>
              <w:rPr>
                <w:color w:val="auto"/>
                <w:kern w:val="0"/>
                <w:highlight w:val="none"/>
                <w:u w:val="none"/>
              </w:rPr>
              <w:t>3</w:t>
            </w:r>
          </w:p>
        </w:tc>
        <w:tc>
          <w:tcPr>
            <w:tcW w:w="214" w:type="pct"/>
            <w:noWrap/>
            <w:vAlign w:val="center"/>
          </w:tcPr>
          <w:p w14:paraId="6DC82ECD">
            <w:pPr>
              <w:pStyle w:val="1001"/>
              <w:rPr>
                <w:color w:val="auto"/>
                <w:highlight w:val="none"/>
                <w:u w:val="none"/>
              </w:rPr>
            </w:pPr>
            <w:r>
              <w:rPr>
                <w:rFonts w:hint="eastAsia"/>
                <w:color w:val="auto"/>
                <w:highlight w:val="none"/>
                <w:u w:val="none"/>
              </w:rPr>
              <w:t>521</w:t>
            </w:r>
          </w:p>
        </w:tc>
        <w:tc>
          <w:tcPr>
            <w:tcW w:w="243" w:type="pct"/>
            <w:noWrap/>
            <w:vAlign w:val="center"/>
          </w:tcPr>
          <w:p w14:paraId="33B85979">
            <w:pPr>
              <w:pStyle w:val="1001"/>
              <w:rPr>
                <w:color w:val="auto"/>
                <w:highlight w:val="none"/>
                <w:u w:val="none"/>
              </w:rPr>
            </w:pPr>
            <w:r>
              <w:rPr>
                <w:rFonts w:hint="eastAsia"/>
                <w:color w:val="auto"/>
                <w:highlight w:val="none"/>
                <w:u w:val="none"/>
              </w:rPr>
              <w:t>-198</w:t>
            </w:r>
          </w:p>
        </w:tc>
        <w:tc>
          <w:tcPr>
            <w:tcW w:w="192" w:type="pct"/>
            <w:noWrap/>
          </w:tcPr>
          <w:p w14:paraId="424D391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7951CA6">
            <w:pPr>
              <w:pStyle w:val="1001"/>
              <w:rPr>
                <w:color w:val="auto"/>
                <w:highlight w:val="none"/>
                <w:u w:val="none"/>
              </w:rPr>
            </w:pPr>
            <w:r>
              <w:rPr>
                <w:color w:val="auto"/>
                <w:kern w:val="0"/>
                <w:highlight w:val="none"/>
                <w:u w:val="none"/>
              </w:rPr>
              <w:t>85</w:t>
            </w:r>
          </w:p>
        </w:tc>
        <w:tc>
          <w:tcPr>
            <w:tcW w:w="850" w:type="pct"/>
            <w:vMerge w:val="restart"/>
            <w:noWrap/>
            <w:vAlign w:val="center"/>
          </w:tcPr>
          <w:p w14:paraId="1E78E399">
            <w:pPr>
              <w:pStyle w:val="1001"/>
              <w:rPr>
                <w:rFonts w:ascii="宋体" w:cs="宋体"/>
                <w:color w:val="auto"/>
                <w:highlight w:val="none"/>
                <w:u w:val="none"/>
              </w:rPr>
            </w:pPr>
            <w:r>
              <w:rPr>
                <w:color w:val="auto"/>
                <w:kern w:val="0"/>
                <w:highlight w:val="none"/>
                <w:u w:val="none"/>
              </w:rPr>
              <w:t>基础减振，加隔声罩</w:t>
            </w:r>
          </w:p>
        </w:tc>
      </w:tr>
      <w:tr w14:paraId="70DB2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DEB80A4">
            <w:pPr>
              <w:pStyle w:val="1001"/>
              <w:rPr>
                <w:color w:val="auto"/>
                <w:highlight w:val="none"/>
                <w:u w:val="none"/>
              </w:rPr>
            </w:pPr>
          </w:p>
        </w:tc>
        <w:tc>
          <w:tcPr>
            <w:tcW w:w="471" w:type="pct"/>
            <w:vMerge w:val="continue"/>
            <w:vAlign w:val="center"/>
          </w:tcPr>
          <w:p w14:paraId="5EB2FB6D">
            <w:pPr>
              <w:pStyle w:val="1001"/>
              <w:rPr>
                <w:color w:val="auto"/>
                <w:highlight w:val="none"/>
                <w:u w:val="none"/>
              </w:rPr>
            </w:pPr>
          </w:p>
        </w:tc>
        <w:tc>
          <w:tcPr>
            <w:tcW w:w="1171" w:type="pct"/>
            <w:vMerge w:val="continue"/>
            <w:noWrap/>
            <w:vAlign w:val="center"/>
          </w:tcPr>
          <w:p w14:paraId="13647B5D">
            <w:pPr>
              <w:pStyle w:val="1001"/>
              <w:rPr>
                <w:color w:val="auto"/>
                <w:highlight w:val="none"/>
                <w:u w:val="none"/>
              </w:rPr>
            </w:pPr>
          </w:p>
        </w:tc>
        <w:tc>
          <w:tcPr>
            <w:tcW w:w="829" w:type="pct"/>
            <w:noWrap/>
            <w:vAlign w:val="center"/>
          </w:tcPr>
          <w:p w14:paraId="10DD4E71">
            <w:pPr>
              <w:pStyle w:val="1001"/>
              <w:rPr>
                <w:color w:val="auto"/>
                <w:kern w:val="0"/>
                <w:highlight w:val="none"/>
                <w:u w:val="none"/>
              </w:rPr>
            </w:pPr>
            <w:r>
              <w:rPr>
                <w:color w:val="auto"/>
                <w:kern w:val="0"/>
                <w:highlight w:val="none"/>
                <w:u w:val="none"/>
              </w:rPr>
              <w:t>VCM二级压缩机</w:t>
            </w:r>
          </w:p>
        </w:tc>
        <w:tc>
          <w:tcPr>
            <w:tcW w:w="257" w:type="pct"/>
            <w:noWrap/>
            <w:vAlign w:val="center"/>
          </w:tcPr>
          <w:p w14:paraId="15170C9C">
            <w:pPr>
              <w:pStyle w:val="1001"/>
              <w:rPr>
                <w:color w:val="auto"/>
                <w:highlight w:val="none"/>
                <w:u w:val="none"/>
              </w:rPr>
            </w:pPr>
            <w:r>
              <w:rPr>
                <w:color w:val="auto"/>
                <w:kern w:val="0"/>
                <w:highlight w:val="none"/>
                <w:u w:val="none"/>
              </w:rPr>
              <w:t>1</w:t>
            </w:r>
          </w:p>
        </w:tc>
        <w:tc>
          <w:tcPr>
            <w:tcW w:w="214" w:type="pct"/>
            <w:noWrap/>
            <w:vAlign w:val="center"/>
          </w:tcPr>
          <w:p w14:paraId="304B820F">
            <w:pPr>
              <w:pStyle w:val="1001"/>
              <w:rPr>
                <w:color w:val="auto"/>
                <w:highlight w:val="none"/>
                <w:u w:val="none"/>
              </w:rPr>
            </w:pPr>
            <w:r>
              <w:rPr>
                <w:rFonts w:hint="eastAsia"/>
                <w:color w:val="auto"/>
                <w:highlight w:val="none"/>
                <w:u w:val="none"/>
              </w:rPr>
              <w:t>528</w:t>
            </w:r>
          </w:p>
        </w:tc>
        <w:tc>
          <w:tcPr>
            <w:tcW w:w="243" w:type="pct"/>
            <w:noWrap/>
            <w:vAlign w:val="center"/>
          </w:tcPr>
          <w:p w14:paraId="5BC93491">
            <w:pPr>
              <w:pStyle w:val="1001"/>
              <w:rPr>
                <w:color w:val="auto"/>
                <w:highlight w:val="none"/>
                <w:u w:val="none"/>
              </w:rPr>
            </w:pPr>
            <w:r>
              <w:rPr>
                <w:rFonts w:hint="eastAsia"/>
                <w:color w:val="auto"/>
                <w:highlight w:val="none"/>
                <w:u w:val="none"/>
              </w:rPr>
              <w:t>-197</w:t>
            </w:r>
          </w:p>
        </w:tc>
        <w:tc>
          <w:tcPr>
            <w:tcW w:w="192" w:type="pct"/>
            <w:noWrap/>
          </w:tcPr>
          <w:p w14:paraId="50F28494">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2D4FCCF">
            <w:pPr>
              <w:pStyle w:val="1001"/>
              <w:rPr>
                <w:color w:val="auto"/>
                <w:highlight w:val="none"/>
                <w:u w:val="none"/>
              </w:rPr>
            </w:pPr>
            <w:r>
              <w:rPr>
                <w:color w:val="auto"/>
                <w:kern w:val="0"/>
                <w:highlight w:val="none"/>
                <w:u w:val="none"/>
              </w:rPr>
              <w:t>85</w:t>
            </w:r>
          </w:p>
        </w:tc>
        <w:tc>
          <w:tcPr>
            <w:tcW w:w="850" w:type="pct"/>
            <w:vMerge w:val="continue"/>
            <w:noWrap/>
            <w:vAlign w:val="center"/>
          </w:tcPr>
          <w:p w14:paraId="3FF338E9">
            <w:pPr>
              <w:pStyle w:val="1001"/>
              <w:rPr>
                <w:rFonts w:ascii="宋体" w:cs="宋体"/>
                <w:color w:val="auto"/>
                <w:highlight w:val="none"/>
                <w:u w:val="none"/>
              </w:rPr>
            </w:pPr>
          </w:p>
        </w:tc>
      </w:tr>
      <w:tr w14:paraId="4C934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226D57E0">
            <w:pPr>
              <w:pStyle w:val="1001"/>
              <w:rPr>
                <w:color w:val="auto"/>
                <w:highlight w:val="none"/>
                <w:u w:val="none"/>
              </w:rPr>
            </w:pPr>
          </w:p>
        </w:tc>
        <w:tc>
          <w:tcPr>
            <w:tcW w:w="471" w:type="pct"/>
            <w:vMerge w:val="continue"/>
            <w:vAlign w:val="center"/>
          </w:tcPr>
          <w:p w14:paraId="57D10384">
            <w:pPr>
              <w:pStyle w:val="1001"/>
              <w:rPr>
                <w:color w:val="auto"/>
                <w:highlight w:val="none"/>
                <w:u w:val="none"/>
              </w:rPr>
            </w:pPr>
          </w:p>
        </w:tc>
        <w:tc>
          <w:tcPr>
            <w:tcW w:w="1171" w:type="pct"/>
            <w:vMerge w:val="continue"/>
            <w:noWrap/>
            <w:vAlign w:val="center"/>
          </w:tcPr>
          <w:p w14:paraId="0880C250">
            <w:pPr>
              <w:pStyle w:val="1001"/>
              <w:rPr>
                <w:color w:val="auto"/>
                <w:highlight w:val="none"/>
                <w:u w:val="none"/>
              </w:rPr>
            </w:pPr>
          </w:p>
        </w:tc>
        <w:tc>
          <w:tcPr>
            <w:tcW w:w="829" w:type="pct"/>
            <w:noWrap/>
            <w:vAlign w:val="center"/>
          </w:tcPr>
          <w:p w14:paraId="4EAB24FE">
            <w:pPr>
              <w:pStyle w:val="1001"/>
              <w:rPr>
                <w:color w:val="auto"/>
                <w:kern w:val="0"/>
                <w:highlight w:val="none"/>
                <w:u w:val="none"/>
              </w:rPr>
            </w:pPr>
            <w:r>
              <w:rPr>
                <w:color w:val="auto"/>
                <w:kern w:val="0"/>
                <w:highlight w:val="none"/>
                <w:u w:val="none"/>
              </w:rPr>
              <w:t>R-VCM输送泵</w:t>
            </w:r>
          </w:p>
        </w:tc>
        <w:tc>
          <w:tcPr>
            <w:tcW w:w="257" w:type="pct"/>
            <w:noWrap/>
            <w:vAlign w:val="center"/>
          </w:tcPr>
          <w:p w14:paraId="16B70B61">
            <w:pPr>
              <w:pStyle w:val="1001"/>
              <w:rPr>
                <w:color w:val="auto"/>
                <w:highlight w:val="none"/>
                <w:u w:val="none"/>
              </w:rPr>
            </w:pPr>
            <w:r>
              <w:rPr>
                <w:color w:val="auto"/>
                <w:kern w:val="0"/>
                <w:highlight w:val="none"/>
                <w:u w:val="none"/>
              </w:rPr>
              <w:t>2</w:t>
            </w:r>
          </w:p>
        </w:tc>
        <w:tc>
          <w:tcPr>
            <w:tcW w:w="214" w:type="pct"/>
            <w:noWrap/>
            <w:vAlign w:val="center"/>
          </w:tcPr>
          <w:p w14:paraId="073C3952">
            <w:pPr>
              <w:pStyle w:val="1001"/>
              <w:rPr>
                <w:color w:val="auto"/>
                <w:highlight w:val="none"/>
                <w:u w:val="none"/>
              </w:rPr>
            </w:pPr>
            <w:r>
              <w:rPr>
                <w:rFonts w:hint="eastAsia"/>
                <w:color w:val="auto"/>
                <w:highlight w:val="none"/>
                <w:u w:val="none"/>
              </w:rPr>
              <w:t>535</w:t>
            </w:r>
          </w:p>
        </w:tc>
        <w:tc>
          <w:tcPr>
            <w:tcW w:w="243" w:type="pct"/>
            <w:noWrap/>
            <w:vAlign w:val="center"/>
          </w:tcPr>
          <w:p w14:paraId="2C6FB14B">
            <w:pPr>
              <w:pStyle w:val="1001"/>
              <w:rPr>
                <w:color w:val="auto"/>
                <w:highlight w:val="none"/>
                <w:u w:val="none"/>
              </w:rPr>
            </w:pPr>
            <w:r>
              <w:rPr>
                <w:rFonts w:hint="eastAsia"/>
                <w:color w:val="auto"/>
                <w:highlight w:val="none"/>
                <w:u w:val="none"/>
              </w:rPr>
              <w:t>-198</w:t>
            </w:r>
          </w:p>
        </w:tc>
        <w:tc>
          <w:tcPr>
            <w:tcW w:w="192" w:type="pct"/>
            <w:noWrap/>
          </w:tcPr>
          <w:p w14:paraId="53F14E0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6B4C57AF">
            <w:pPr>
              <w:pStyle w:val="1001"/>
              <w:rPr>
                <w:color w:val="auto"/>
                <w:highlight w:val="none"/>
                <w:u w:val="none"/>
              </w:rPr>
            </w:pPr>
            <w:r>
              <w:rPr>
                <w:color w:val="auto"/>
                <w:kern w:val="0"/>
                <w:highlight w:val="none"/>
                <w:u w:val="none"/>
              </w:rPr>
              <w:t>75</w:t>
            </w:r>
          </w:p>
        </w:tc>
        <w:tc>
          <w:tcPr>
            <w:tcW w:w="850" w:type="pct"/>
            <w:vMerge w:val="restart"/>
            <w:noWrap/>
            <w:vAlign w:val="center"/>
          </w:tcPr>
          <w:p w14:paraId="6ACCC44A">
            <w:pPr>
              <w:pStyle w:val="1001"/>
              <w:rPr>
                <w:rFonts w:ascii="宋体" w:cs="宋体"/>
                <w:color w:val="auto"/>
                <w:highlight w:val="none"/>
                <w:u w:val="none"/>
              </w:rPr>
            </w:pPr>
            <w:r>
              <w:rPr>
                <w:color w:val="auto"/>
                <w:kern w:val="0"/>
                <w:highlight w:val="none"/>
                <w:u w:val="none"/>
              </w:rPr>
              <w:t>基础减振</w:t>
            </w:r>
          </w:p>
        </w:tc>
      </w:tr>
      <w:tr w14:paraId="7EFB54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8B7681F">
            <w:pPr>
              <w:pStyle w:val="1001"/>
              <w:rPr>
                <w:color w:val="auto"/>
                <w:highlight w:val="none"/>
                <w:u w:val="none"/>
              </w:rPr>
            </w:pPr>
          </w:p>
        </w:tc>
        <w:tc>
          <w:tcPr>
            <w:tcW w:w="471" w:type="pct"/>
            <w:vMerge w:val="continue"/>
            <w:vAlign w:val="center"/>
          </w:tcPr>
          <w:p w14:paraId="3F2238A4">
            <w:pPr>
              <w:pStyle w:val="1001"/>
              <w:rPr>
                <w:color w:val="auto"/>
                <w:highlight w:val="none"/>
                <w:u w:val="none"/>
              </w:rPr>
            </w:pPr>
          </w:p>
        </w:tc>
        <w:tc>
          <w:tcPr>
            <w:tcW w:w="1171" w:type="pct"/>
            <w:vMerge w:val="continue"/>
            <w:noWrap/>
            <w:vAlign w:val="center"/>
          </w:tcPr>
          <w:p w14:paraId="1EE3BB14">
            <w:pPr>
              <w:pStyle w:val="1001"/>
              <w:rPr>
                <w:color w:val="auto"/>
                <w:highlight w:val="none"/>
                <w:u w:val="none"/>
              </w:rPr>
            </w:pPr>
          </w:p>
        </w:tc>
        <w:tc>
          <w:tcPr>
            <w:tcW w:w="829" w:type="pct"/>
            <w:noWrap/>
            <w:vAlign w:val="center"/>
          </w:tcPr>
          <w:p w14:paraId="218CBD64">
            <w:pPr>
              <w:pStyle w:val="1001"/>
              <w:rPr>
                <w:color w:val="auto"/>
                <w:kern w:val="0"/>
                <w:highlight w:val="none"/>
                <w:u w:val="none"/>
              </w:rPr>
            </w:pPr>
            <w:r>
              <w:rPr>
                <w:color w:val="auto"/>
                <w:kern w:val="0"/>
                <w:highlight w:val="none"/>
                <w:u w:val="none"/>
              </w:rPr>
              <w:t>R-VCM加料泵</w:t>
            </w:r>
          </w:p>
        </w:tc>
        <w:tc>
          <w:tcPr>
            <w:tcW w:w="257" w:type="pct"/>
            <w:noWrap/>
            <w:vAlign w:val="center"/>
          </w:tcPr>
          <w:p w14:paraId="2F4A77FA">
            <w:pPr>
              <w:pStyle w:val="1001"/>
              <w:rPr>
                <w:color w:val="auto"/>
                <w:highlight w:val="none"/>
                <w:u w:val="none"/>
              </w:rPr>
            </w:pPr>
            <w:r>
              <w:rPr>
                <w:color w:val="auto"/>
                <w:kern w:val="0"/>
                <w:highlight w:val="none"/>
                <w:u w:val="none"/>
              </w:rPr>
              <w:t>4</w:t>
            </w:r>
          </w:p>
        </w:tc>
        <w:tc>
          <w:tcPr>
            <w:tcW w:w="214" w:type="pct"/>
            <w:noWrap/>
            <w:vAlign w:val="center"/>
          </w:tcPr>
          <w:p w14:paraId="56E972B5">
            <w:pPr>
              <w:pStyle w:val="1001"/>
              <w:rPr>
                <w:color w:val="auto"/>
                <w:highlight w:val="none"/>
                <w:u w:val="none"/>
              </w:rPr>
            </w:pPr>
            <w:r>
              <w:rPr>
                <w:rFonts w:hint="eastAsia"/>
                <w:color w:val="auto"/>
                <w:highlight w:val="none"/>
                <w:u w:val="none"/>
              </w:rPr>
              <w:t>542</w:t>
            </w:r>
          </w:p>
        </w:tc>
        <w:tc>
          <w:tcPr>
            <w:tcW w:w="243" w:type="pct"/>
            <w:noWrap/>
            <w:vAlign w:val="center"/>
          </w:tcPr>
          <w:p w14:paraId="54E26F22">
            <w:pPr>
              <w:pStyle w:val="1001"/>
              <w:rPr>
                <w:color w:val="auto"/>
                <w:highlight w:val="none"/>
                <w:u w:val="none"/>
              </w:rPr>
            </w:pPr>
            <w:r>
              <w:rPr>
                <w:rFonts w:hint="eastAsia"/>
                <w:color w:val="auto"/>
                <w:highlight w:val="none"/>
                <w:u w:val="none"/>
              </w:rPr>
              <w:t>-199</w:t>
            </w:r>
          </w:p>
        </w:tc>
        <w:tc>
          <w:tcPr>
            <w:tcW w:w="192" w:type="pct"/>
            <w:noWrap/>
          </w:tcPr>
          <w:p w14:paraId="0DCE3BFA">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BDFAA61">
            <w:pPr>
              <w:pStyle w:val="1001"/>
              <w:rPr>
                <w:color w:val="auto"/>
                <w:highlight w:val="none"/>
                <w:u w:val="none"/>
              </w:rPr>
            </w:pPr>
            <w:r>
              <w:rPr>
                <w:color w:val="auto"/>
                <w:kern w:val="0"/>
                <w:highlight w:val="none"/>
                <w:u w:val="none"/>
              </w:rPr>
              <w:t>75</w:t>
            </w:r>
          </w:p>
        </w:tc>
        <w:tc>
          <w:tcPr>
            <w:tcW w:w="850" w:type="pct"/>
            <w:vMerge w:val="continue"/>
            <w:noWrap/>
            <w:vAlign w:val="center"/>
          </w:tcPr>
          <w:p w14:paraId="0E982CCC">
            <w:pPr>
              <w:pStyle w:val="1001"/>
              <w:rPr>
                <w:rFonts w:ascii="宋体" w:cs="宋体"/>
                <w:color w:val="auto"/>
                <w:highlight w:val="none"/>
                <w:u w:val="none"/>
              </w:rPr>
            </w:pPr>
          </w:p>
        </w:tc>
      </w:tr>
      <w:tr w14:paraId="4C190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0AEA0852">
            <w:pPr>
              <w:pStyle w:val="1001"/>
              <w:rPr>
                <w:color w:val="auto"/>
                <w:highlight w:val="none"/>
                <w:u w:val="none"/>
              </w:rPr>
            </w:pPr>
          </w:p>
        </w:tc>
        <w:tc>
          <w:tcPr>
            <w:tcW w:w="471" w:type="pct"/>
            <w:vMerge w:val="continue"/>
            <w:vAlign w:val="center"/>
          </w:tcPr>
          <w:p w14:paraId="4F4DD9E0">
            <w:pPr>
              <w:pStyle w:val="1001"/>
              <w:rPr>
                <w:color w:val="auto"/>
                <w:highlight w:val="none"/>
                <w:u w:val="none"/>
              </w:rPr>
            </w:pPr>
          </w:p>
        </w:tc>
        <w:tc>
          <w:tcPr>
            <w:tcW w:w="1171" w:type="pct"/>
            <w:vMerge w:val="restart"/>
            <w:noWrap/>
            <w:vAlign w:val="center"/>
          </w:tcPr>
          <w:p w14:paraId="78AC4708">
            <w:pPr>
              <w:pStyle w:val="1001"/>
              <w:rPr>
                <w:color w:val="auto"/>
                <w:highlight w:val="none"/>
                <w:u w:val="none"/>
              </w:rPr>
            </w:pPr>
            <w:r>
              <w:rPr>
                <w:color w:val="auto"/>
                <w:kern w:val="0"/>
                <w:highlight w:val="none"/>
                <w:u w:val="none"/>
              </w:rPr>
              <w:t>浆料汽提单元</w:t>
            </w:r>
          </w:p>
        </w:tc>
        <w:tc>
          <w:tcPr>
            <w:tcW w:w="829" w:type="pct"/>
            <w:noWrap/>
            <w:vAlign w:val="center"/>
          </w:tcPr>
          <w:p w14:paraId="042DE3E3">
            <w:pPr>
              <w:pStyle w:val="1001"/>
              <w:rPr>
                <w:color w:val="auto"/>
                <w:kern w:val="0"/>
                <w:highlight w:val="none"/>
                <w:u w:val="none"/>
              </w:rPr>
            </w:pPr>
            <w:r>
              <w:rPr>
                <w:color w:val="auto"/>
                <w:kern w:val="0"/>
                <w:highlight w:val="none"/>
                <w:u w:val="none"/>
              </w:rPr>
              <w:t>汽提进料泵</w:t>
            </w:r>
          </w:p>
        </w:tc>
        <w:tc>
          <w:tcPr>
            <w:tcW w:w="257" w:type="pct"/>
            <w:noWrap/>
            <w:vAlign w:val="center"/>
          </w:tcPr>
          <w:p w14:paraId="6F8C372E">
            <w:pPr>
              <w:pStyle w:val="1001"/>
              <w:rPr>
                <w:color w:val="auto"/>
                <w:highlight w:val="none"/>
                <w:u w:val="none"/>
              </w:rPr>
            </w:pPr>
            <w:r>
              <w:rPr>
                <w:color w:val="auto"/>
                <w:kern w:val="0"/>
                <w:highlight w:val="none"/>
                <w:u w:val="none"/>
              </w:rPr>
              <w:t>4</w:t>
            </w:r>
          </w:p>
        </w:tc>
        <w:tc>
          <w:tcPr>
            <w:tcW w:w="214" w:type="pct"/>
            <w:noWrap/>
            <w:vAlign w:val="center"/>
          </w:tcPr>
          <w:p w14:paraId="712DD6FE">
            <w:pPr>
              <w:pStyle w:val="1001"/>
              <w:rPr>
                <w:color w:val="auto"/>
                <w:highlight w:val="none"/>
                <w:u w:val="none"/>
              </w:rPr>
            </w:pPr>
            <w:r>
              <w:rPr>
                <w:rFonts w:hint="eastAsia"/>
                <w:color w:val="auto"/>
                <w:highlight w:val="none"/>
                <w:u w:val="none"/>
              </w:rPr>
              <w:t>600</w:t>
            </w:r>
          </w:p>
        </w:tc>
        <w:tc>
          <w:tcPr>
            <w:tcW w:w="243" w:type="pct"/>
            <w:noWrap/>
            <w:vAlign w:val="center"/>
          </w:tcPr>
          <w:p w14:paraId="069DD513">
            <w:pPr>
              <w:pStyle w:val="1001"/>
              <w:rPr>
                <w:color w:val="auto"/>
                <w:highlight w:val="none"/>
                <w:u w:val="none"/>
              </w:rPr>
            </w:pPr>
            <w:r>
              <w:rPr>
                <w:rFonts w:hint="eastAsia"/>
                <w:color w:val="auto"/>
                <w:highlight w:val="none"/>
                <w:u w:val="none"/>
              </w:rPr>
              <w:t>-46</w:t>
            </w:r>
          </w:p>
        </w:tc>
        <w:tc>
          <w:tcPr>
            <w:tcW w:w="192" w:type="pct"/>
            <w:noWrap/>
          </w:tcPr>
          <w:p w14:paraId="7003E4AF">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606902E9">
            <w:pPr>
              <w:pStyle w:val="1001"/>
              <w:rPr>
                <w:color w:val="auto"/>
                <w:highlight w:val="none"/>
                <w:u w:val="none"/>
              </w:rPr>
            </w:pPr>
            <w:r>
              <w:rPr>
                <w:color w:val="auto"/>
                <w:kern w:val="0"/>
                <w:highlight w:val="none"/>
                <w:u w:val="none"/>
              </w:rPr>
              <w:t>85</w:t>
            </w:r>
          </w:p>
        </w:tc>
        <w:tc>
          <w:tcPr>
            <w:tcW w:w="850" w:type="pct"/>
            <w:vMerge w:val="continue"/>
            <w:noWrap/>
            <w:vAlign w:val="center"/>
          </w:tcPr>
          <w:p w14:paraId="37A18FDE">
            <w:pPr>
              <w:pStyle w:val="1001"/>
              <w:rPr>
                <w:rFonts w:ascii="宋体" w:cs="宋体"/>
                <w:color w:val="auto"/>
                <w:highlight w:val="none"/>
                <w:u w:val="none"/>
              </w:rPr>
            </w:pPr>
          </w:p>
        </w:tc>
      </w:tr>
      <w:tr w14:paraId="5532D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78565EDD">
            <w:pPr>
              <w:pStyle w:val="1001"/>
              <w:rPr>
                <w:color w:val="auto"/>
                <w:highlight w:val="none"/>
                <w:u w:val="none"/>
              </w:rPr>
            </w:pPr>
          </w:p>
        </w:tc>
        <w:tc>
          <w:tcPr>
            <w:tcW w:w="471" w:type="pct"/>
            <w:vMerge w:val="continue"/>
            <w:vAlign w:val="center"/>
          </w:tcPr>
          <w:p w14:paraId="24824311">
            <w:pPr>
              <w:pStyle w:val="1001"/>
              <w:rPr>
                <w:color w:val="auto"/>
                <w:highlight w:val="none"/>
                <w:u w:val="none"/>
              </w:rPr>
            </w:pPr>
          </w:p>
        </w:tc>
        <w:tc>
          <w:tcPr>
            <w:tcW w:w="1171" w:type="pct"/>
            <w:vMerge w:val="continue"/>
            <w:noWrap/>
            <w:vAlign w:val="center"/>
          </w:tcPr>
          <w:p w14:paraId="3453A38A">
            <w:pPr>
              <w:pStyle w:val="1001"/>
              <w:rPr>
                <w:color w:val="auto"/>
                <w:highlight w:val="none"/>
                <w:u w:val="none"/>
              </w:rPr>
            </w:pPr>
          </w:p>
        </w:tc>
        <w:tc>
          <w:tcPr>
            <w:tcW w:w="829" w:type="pct"/>
            <w:noWrap/>
            <w:vAlign w:val="center"/>
          </w:tcPr>
          <w:p w14:paraId="07B5C019">
            <w:pPr>
              <w:pStyle w:val="1001"/>
              <w:rPr>
                <w:color w:val="auto"/>
                <w:kern w:val="0"/>
                <w:highlight w:val="none"/>
                <w:u w:val="none"/>
              </w:rPr>
            </w:pPr>
            <w:r>
              <w:rPr>
                <w:color w:val="auto"/>
                <w:kern w:val="0"/>
                <w:highlight w:val="none"/>
                <w:u w:val="none"/>
              </w:rPr>
              <w:t>汽提出料泵</w:t>
            </w:r>
          </w:p>
        </w:tc>
        <w:tc>
          <w:tcPr>
            <w:tcW w:w="257" w:type="pct"/>
            <w:noWrap/>
            <w:vAlign w:val="center"/>
          </w:tcPr>
          <w:p w14:paraId="62974630">
            <w:pPr>
              <w:pStyle w:val="1001"/>
              <w:rPr>
                <w:color w:val="auto"/>
                <w:highlight w:val="none"/>
                <w:u w:val="none"/>
              </w:rPr>
            </w:pPr>
            <w:r>
              <w:rPr>
                <w:color w:val="auto"/>
                <w:kern w:val="0"/>
                <w:highlight w:val="none"/>
                <w:u w:val="none"/>
              </w:rPr>
              <w:t>4</w:t>
            </w:r>
          </w:p>
        </w:tc>
        <w:tc>
          <w:tcPr>
            <w:tcW w:w="214" w:type="pct"/>
            <w:noWrap/>
            <w:vAlign w:val="center"/>
          </w:tcPr>
          <w:p w14:paraId="606C87BC">
            <w:pPr>
              <w:pStyle w:val="1001"/>
              <w:rPr>
                <w:color w:val="auto"/>
                <w:highlight w:val="none"/>
                <w:u w:val="none"/>
              </w:rPr>
            </w:pPr>
            <w:r>
              <w:rPr>
                <w:rFonts w:hint="eastAsia"/>
                <w:color w:val="auto"/>
                <w:highlight w:val="none"/>
                <w:u w:val="none"/>
              </w:rPr>
              <w:t>596</w:t>
            </w:r>
          </w:p>
        </w:tc>
        <w:tc>
          <w:tcPr>
            <w:tcW w:w="243" w:type="pct"/>
            <w:noWrap/>
          </w:tcPr>
          <w:p w14:paraId="3EA03181">
            <w:pPr>
              <w:pStyle w:val="1001"/>
              <w:rPr>
                <w:color w:val="auto"/>
                <w:highlight w:val="none"/>
                <w:u w:val="none"/>
              </w:rPr>
            </w:pPr>
            <w:r>
              <w:rPr>
                <w:rFonts w:hint="eastAsia"/>
                <w:color w:val="auto"/>
                <w:highlight w:val="none"/>
                <w:u w:val="none"/>
              </w:rPr>
              <w:t>-71</w:t>
            </w:r>
          </w:p>
        </w:tc>
        <w:tc>
          <w:tcPr>
            <w:tcW w:w="192" w:type="pct"/>
            <w:noWrap/>
          </w:tcPr>
          <w:p w14:paraId="2298058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D18891F">
            <w:pPr>
              <w:pStyle w:val="1001"/>
              <w:rPr>
                <w:color w:val="auto"/>
                <w:highlight w:val="none"/>
                <w:u w:val="none"/>
              </w:rPr>
            </w:pPr>
            <w:r>
              <w:rPr>
                <w:color w:val="auto"/>
                <w:kern w:val="0"/>
                <w:highlight w:val="none"/>
                <w:u w:val="none"/>
              </w:rPr>
              <w:t>85</w:t>
            </w:r>
          </w:p>
        </w:tc>
        <w:tc>
          <w:tcPr>
            <w:tcW w:w="850" w:type="pct"/>
            <w:vMerge w:val="continue"/>
            <w:noWrap/>
            <w:vAlign w:val="center"/>
          </w:tcPr>
          <w:p w14:paraId="715140E0">
            <w:pPr>
              <w:pStyle w:val="1001"/>
              <w:rPr>
                <w:rFonts w:ascii="宋体" w:cs="宋体"/>
                <w:color w:val="auto"/>
                <w:highlight w:val="none"/>
                <w:u w:val="none"/>
              </w:rPr>
            </w:pPr>
          </w:p>
        </w:tc>
      </w:tr>
      <w:tr w14:paraId="66006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197C6E11">
            <w:pPr>
              <w:pStyle w:val="1001"/>
              <w:rPr>
                <w:color w:val="auto"/>
                <w:highlight w:val="none"/>
                <w:u w:val="none"/>
              </w:rPr>
            </w:pPr>
          </w:p>
        </w:tc>
        <w:tc>
          <w:tcPr>
            <w:tcW w:w="471" w:type="pct"/>
            <w:vMerge w:val="continue"/>
            <w:vAlign w:val="center"/>
          </w:tcPr>
          <w:p w14:paraId="55974742">
            <w:pPr>
              <w:pStyle w:val="1001"/>
              <w:rPr>
                <w:color w:val="auto"/>
                <w:highlight w:val="none"/>
                <w:u w:val="none"/>
              </w:rPr>
            </w:pPr>
          </w:p>
        </w:tc>
        <w:tc>
          <w:tcPr>
            <w:tcW w:w="1171" w:type="pct"/>
            <w:vMerge w:val="continue"/>
            <w:noWrap/>
            <w:vAlign w:val="center"/>
          </w:tcPr>
          <w:p w14:paraId="27959AF3">
            <w:pPr>
              <w:pStyle w:val="1001"/>
              <w:rPr>
                <w:color w:val="auto"/>
                <w:highlight w:val="none"/>
                <w:u w:val="none"/>
              </w:rPr>
            </w:pPr>
          </w:p>
        </w:tc>
        <w:tc>
          <w:tcPr>
            <w:tcW w:w="829" w:type="pct"/>
            <w:noWrap/>
            <w:vAlign w:val="center"/>
          </w:tcPr>
          <w:p w14:paraId="31662C4D">
            <w:pPr>
              <w:pStyle w:val="1001"/>
              <w:rPr>
                <w:color w:val="auto"/>
                <w:kern w:val="0"/>
                <w:highlight w:val="none"/>
                <w:u w:val="none"/>
              </w:rPr>
            </w:pPr>
            <w:r>
              <w:rPr>
                <w:color w:val="auto"/>
                <w:kern w:val="0"/>
                <w:highlight w:val="none"/>
                <w:u w:val="none"/>
              </w:rPr>
              <w:t>汽提热水泵</w:t>
            </w:r>
          </w:p>
        </w:tc>
        <w:tc>
          <w:tcPr>
            <w:tcW w:w="257" w:type="pct"/>
            <w:noWrap/>
            <w:vAlign w:val="center"/>
          </w:tcPr>
          <w:p w14:paraId="37BE5F83">
            <w:pPr>
              <w:pStyle w:val="1001"/>
              <w:rPr>
                <w:color w:val="auto"/>
                <w:highlight w:val="none"/>
                <w:u w:val="none"/>
              </w:rPr>
            </w:pPr>
            <w:r>
              <w:rPr>
                <w:color w:val="auto"/>
                <w:kern w:val="0"/>
                <w:highlight w:val="none"/>
                <w:u w:val="none"/>
              </w:rPr>
              <w:t>4</w:t>
            </w:r>
          </w:p>
        </w:tc>
        <w:tc>
          <w:tcPr>
            <w:tcW w:w="214" w:type="pct"/>
            <w:noWrap/>
            <w:vAlign w:val="center"/>
          </w:tcPr>
          <w:p w14:paraId="1D6300C1">
            <w:pPr>
              <w:pStyle w:val="1001"/>
              <w:rPr>
                <w:color w:val="auto"/>
                <w:highlight w:val="none"/>
                <w:u w:val="none"/>
              </w:rPr>
            </w:pPr>
            <w:r>
              <w:rPr>
                <w:rFonts w:hint="eastAsia"/>
                <w:color w:val="auto"/>
                <w:highlight w:val="none"/>
                <w:u w:val="none"/>
              </w:rPr>
              <w:t>613</w:t>
            </w:r>
          </w:p>
        </w:tc>
        <w:tc>
          <w:tcPr>
            <w:tcW w:w="243" w:type="pct"/>
            <w:noWrap/>
          </w:tcPr>
          <w:p w14:paraId="7A20AF9F">
            <w:pPr>
              <w:pStyle w:val="1001"/>
              <w:rPr>
                <w:color w:val="auto"/>
                <w:highlight w:val="none"/>
                <w:u w:val="none"/>
              </w:rPr>
            </w:pPr>
            <w:r>
              <w:rPr>
                <w:rFonts w:hint="eastAsia"/>
                <w:color w:val="auto"/>
                <w:highlight w:val="none"/>
                <w:u w:val="none"/>
              </w:rPr>
              <w:t>-101</w:t>
            </w:r>
          </w:p>
        </w:tc>
        <w:tc>
          <w:tcPr>
            <w:tcW w:w="192" w:type="pct"/>
            <w:noWrap/>
          </w:tcPr>
          <w:p w14:paraId="52FE59DA">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02C9DA0A">
            <w:pPr>
              <w:pStyle w:val="1001"/>
              <w:rPr>
                <w:color w:val="auto"/>
                <w:highlight w:val="none"/>
                <w:u w:val="none"/>
              </w:rPr>
            </w:pPr>
            <w:r>
              <w:rPr>
                <w:color w:val="auto"/>
                <w:kern w:val="0"/>
                <w:highlight w:val="none"/>
                <w:u w:val="none"/>
              </w:rPr>
              <w:t>85</w:t>
            </w:r>
          </w:p>
        </w:tc>
        <w:tc>
          <w:tcPr>
            <w:tcW w:w="850" w:type="pct"/>
            <w:vMerge w:val="continue"/>
            <w:noWrap/>
            <w:vAlign w:val="center"/>
          </w:tcPr>
          <w:p w14:paraId="14BE5CF2">
            <w:pPr>
              <w:pStyle w:val="1001"/>
              <w:rPr>
                <w:rFonts w:ascii="宋体" w:cs="宋体"/>
                <w:color w:val="auto"/>
                <w:highlight w:val="none"/>
                <w:u w:val="none"/>
              </w:rPr>
            </w:pPr>
          </w:p>
        </w:tc>
      </w:tr>
      <w:tr w14:paraId="079DB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37E09CC8">
            <w:pPr>
              <w:pStyle w:val="1001"/>
              <w:rPr>
                <w:color w:val="auto"/>
                <w:highlight w:val="none"/>
                <w:u w:val="none"/>
              </w:rPr>
            </w:pPr>
          </w:p>
        </w:tc>
        <w:tc>
          <w:tcPr>
            <w:tcW w:w="471" w:type="pct"/>
            <w:vMerge w:val="continue"/>
            <w:vAlign w:val="center"/>
          </w:tcPr>
          <w:p w14:paraId="3EEB6758">
            <w:pPr>
              <w:pStyle w:val="1001"/>
              <w:rPr>
                <w:color w:val="auto"/>
                <w:highlight w:val="none"/>
                <w:u w:val="none"/>
              </w:rPr>
            </w:pPr>
          </w:p>
        </w:tc>
        <w:tc>
          <w:tcPr>
            <w:tcW w:w="1171" w:type="pct"/>
            <w:noWrap/>
            <w:vAlign w:val="center"/>
          </w:tcPr>
          <w:p w14:paraId="67E867C5">
            <w:pPr>
              <w:pStyle w:val="1001"/>
              <w:rPr>
                <w:color w:val="auto"/>
                <w:highlight w:val="none"/>
                <w:u w:val="none"/>
              </w:rPr>
            </w:pPr>
            <w:r>
              <w:rPr>
                <w:color w:val="auto"/>
                <w:kern w:val="0"/>
                <w:highlight w:val="none"/>
                <w:u w:val="none"/>
              </w:rPr>
              <w:t>聚合单元</w:t>
            </w:r>
          </w:p>
        </w:tc>
        <w:tc>
          <w:tcPr>
            <w:tcW w:w="829" w:type="pct"/>
            <w:noWrap/>
            <w:vAlign w:val="center"/>
          </w:tcPr>
          <w:p w14:paraId="59E1D15F">
            <w:pPr>
              <w:pStyle w:val="1001"/>
              <w:rPr>
                <w:color w:val="auto"/>
                <w:kern w:val="0"/>
                <w:highlight w:val="none"/>
                <w:u w:val="none"/>
              </w:rPr>
            </w:pPr>
            <w:r>
              <w:rPr>
                <w:color w:val="auto"/>
                <w:kern w:val="0"/>
                <w:highlight w:val="none"/>
                <w:u w:val="none"/>
              </w:rPr>
              <w:t>聚合搅拌系统</w:t>
            </w:r>
          </w:p>
        </w:tc>
        <w:tc>
          <w:tcPr>
            <w:tcW w:w="257" w:type="pct"/>
            <w:noWrap/>
            <w:vAlign w:val="center"/>
          </w:tcPr>
          <w:p w14:paraId="472A1D6D">
            <w:pPr>
              <w:pStyle w:val="1001"/>
              <w:rPr>
                <w:color w:val="auto"/>
                <w:highlight w:val="none"/>
                <w:u w:val="none"/>
              </w:rPr>
            </w:pPr>
            <w:r>
              <w:rPr>
                <w:color w:val="auto"/>
                <w:kern w:val="0"/>
                <w:highlight w:val="none"/>
                <w:u w:val="none"/>
              </w:rPr>
              <w:t>8</w:t>
            </w:r>
          </w:p>
        </w:tc>
        <w:tc>
          <w:tcPr>
            <w:tcW w:w="214" w:type="pct"/>
            <w:noWrap/>
            <w:vAlign w:val="center"/>
          </w:tcPr>
          <w:p w14:paraId="35B7B85D">
            <w:pPr>
              <w:pStyle w:val="1001"/>
              <w:rPr>
                <w:color w:val="auto"/>
                <w:highlight w:val="none"/>
                <w:u w:val="none"/>
              </w:rPr>
            </w:pPr>
            <w:r>
              <w:rPr>
                <w:rFonts w:hint="eastAsia"/>
                <w:color w:val="auto"/>
                <w:highlight w:val="none"/>
                <w:u w:val="none"/>
              </w:rPr>
              <w:t>609</w:t>
            </w:r>
          </w:p>
        </w:tc>
        <w:tc>
          <w:tcPr>
            <w:tcW w:w="243" w:type="pct"/>
            <w:noWrap/>
          </w:tcPr>
          <w:p w14:paraId="6428927D">
            <w:pPr>
              <w:pStyle w:val="1001"/>
              <w:rPr>
                <w:color w:val="auto"/>
                <w:highlight w:val="none"/>
                <w:u w:val="none"/>
              </w:rPr>
            </w:pPr>
            <w:r>
              <w:rPr>
                <w:rFonts w:hint="eastAsia"/>
                <w:color w:val="auto"/>
                <w:highlight w:val="none"/>
                <w:u w:val="none"/>
              </w:rPr>
              <w:t>-147</w:t>
            </w:r>
          </w:p>
        </w:tc>
        <w:tc>
          <w:tcPr>
            <w:tcW w:w="192" w:type="pct"/>
            <w:noWrap/>
          </w:tcPr>
          <w:p w14:paraId="0388A2ED">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2BDF0596">
            <w:pPr>
              <w:pStyle w:val="1001"/>
              <w:rPr>
                <w:color w:val="auto"/>
                <w:highlight w:val="none"/>
                <w:u w:val="none"/>
              </w:rPr>
            </w:pPr>
            <w:r>
              <w:rPr>
                <w:color w:val="auto"/>
                <w:kern w:val="0"/>
                <w:highlight w:val="none"/>
                <w:u w:val="none"/>
              </w:rPr>
              <w:t>85</w:t>
            </w:r>
          </w:p>
        </w:tc>
        <w:tc>
          <w:tcPr>
            <w:tcW w:w="850" w:type="pct"/>
            <w:noWrap/>
            <w:vAlign w:val="center"/>
          </w:tcPr>
          <w:p w14:paraId="25E61AC5">
            <w:pPr>
              <w:pStyle w:val="1001"/>
              <w:rPr>
                <w:rFonts w:ascii="宋体" w:cs="宋体"/>
                <w:color w:val="auto"/>
                <w:highlight w:val="none"/>
                <w:u w:val="none"/>
              </w:rPr>
            </w:pPr>
            <w:r>
              <w:rPr>
                <w:color w:val="auto"/>
                <w:kern w:val="0"/>
                <w:highlight w:val="none"/>
                <w:u w:val="none"/>
              </w:rPr>
              <w:t>基础减振，加隔声罩</w:t>
            </w:r>
          </w:p>
        </w:tc>
      </w:tr>
      <w:tr w14:paraId="6E6963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47BA4B07">
            <w:pPr>
              <w:pStyle w:val="1001"/>
              <w:rPr>
                <w:color w:val="auto"/>
                <w:highlight w:val="none"/>
                <w:u w:val="none"/>
              </w:rPr>
            </w:pPr>
          </w:p>
        </w:tc>
        <w:tc>
          <w:tcPr>
            <w:tcW w:w="471" w:type="pct"/>
            <w:vMerge w:val="continue"/>
            <w:vAlign w:val="center"/>
          </w:tcPr>
          <w:p w14:paraId="50DD31AB">
            <w:pPr>
              <w:pStyle w:val="1001"/>
              <w:rPr>
                <w:color w:val="auto"/>
                <w:highlight w:val="none"/>
                <w:u w:val="none"/>
              </w:rPr>
            </w:pPr>
          </w:p>
        </w:tc>
        <w:tc>
          <w:tcPr>
            <w:tcW w:w="1171" w:type="pct"/>
            <w:noWrap/>
            <w:vAlign w:val="center"/>
          </w:tcPr>
          <w:p w14:paraId="50C75D10">
            <w:pPr>
              <w:pStyle w:val="1001"/>
              <w:rPr>
                <w:color w:val="auto"/>
                <w:highlight w:val="none"/>
                <w:u w:val="none"/>
              </w:rPr>
            </w:pPr>
            <w:r>
              <w:rPr>
                <w:color w:val="auto"/>
                <w:kern w:val="0"/>
                <w:highlight w:val="none"/>
                <w:u w:val="none"/>
              </w:rPr>
              <w:t>气力输送单元</w:t>
            </w:r>
          </w:p>
        </w:tc>
        <w:tc>
          <w:tcPr>
            <w:tcW w:w="829" w:type="pct"/>
            <w:noWrap/>
            <w:vAlign w:val="center"/>
          </w:tcPr>
          <w:p w14:paraId="0B4A16E4">
            <w:pPr>
              <w:pStyle w:val="1001"/>
              <w:rPr>
                <w:color w:val="auto"/>
                <w:kern w:val="0"/>
                <w:highlight w:val="none"/>
                <w:u w:val="none"/>
              </w:rPr>
            </w:pPr>
            <w:r>
              <w:rPr>
                <w:color w:val="auto"/>
                <w:kern w:val="0"/>
                <w:highlight w:val="none"/>
                <w:u w:val="none"/>
              </w:rPr>
              <w:t>产品输送风机</w:t>
            </w:r>
          </w:p>
        </w:tc>
        <w:tc>
          <w:tcPr>
            <w:tcW w:w="257" w:type="pct"/>
            <w:noWrap/>
            <w:vAlign w:val="center"/>
          </w:tcPr>
          <w:p w14:paraId="345CE7C5">
            <w:pPr>
              <w:pStyle w:val="1001"/>
              <w:rPr>
                <w:color w:val="auto"/>
                <w:highlight w:val="none"/>
                <w:u w:val="none"/>
              </w:rPr>
            </w:pPr>
            <w:r>
              <w:rPr>
                <w:color w:val="auto"/>
                <w:kern w:val="0"/>
                <w:highlight w:val="none"/>
                <w:u w:val="none"/>
              </w:rPr>
              <w:t>6</w:t>
            </w:r>
          </w:p>
        </w:tc>
        <w:tc>
          <w:tcPr>
            <w:tcW w:w="214" w:type="pct"/>
            <w:noWrap/>
            <w:vAlign w:val="center"/>
          </w:tcPr>
          <w:p w14:paraId="6B343A38">
            <w:pPr>
              <w:pStyle w:val="1001"/>
              <w:rPr>
                <w:color w:val="auto"/>
                <w:highlight w:val="none"/>
                <w:u w:val="none"/>
              </w:rPr>
            </w:pPr>
            <w:r>
              <w:rPr>
                <w:rFonts w:hint="eastAsia"/>
                <w:color w:val="auto"/>
                <w:highlight w:val="none"/>
                <w:u w:val="none"/>
              </w:rPr>
              <w:t>609</w:t>
            </w:r>
          </w:p>
        </w:tc>
        <w:tc>
          <w:tcPr>
            <w:tcW w:w="243" w:type="pct"/>
            <w:noWrap/>
          </w:tcPr>
          <w:p w14:paraId="4DAA6563">
            <w:pPr>
              <w:pStyle w:val="1001"/>
              <w:rPr>
                <w:color w:val="auto"/>
                <w:highlight w:val="none"/>
                <w:u w:val="none"/>
              </w:rPr>
            </w:pPr>
            <w:r>
              <w:rPr>
                <w:rFonts w:hint="eastAsia"/>
                <w:color w:val="auto"/>
                <w:highlight w:val="none"/>
                <w:u w:val="none"/>
              </w:rPr>
              <w:t>-167</w:t>
            </w:r>
          </w:p>
        </w:tc>
        <w:tc>
          <w:tcPr>
            <w:tcW w:w="192" w:type="pct"/>
            <w:noWrap/>
          </w:tcPr>
          <w:p w14:paraId="1D00684D">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33AE0394">
            <w:pPr>
              <w:pStyle w:val="1001"/>
              <w:rPr>
                <w:color w:val="auto"/>
                <w:highlight w:val="none"/>
                <w:u w:val="none"/>
              </w:rPr>
            </w:pPr>
            <w:r>
              <w:rPr>
                <w:color w:val="auto"/>
                <w:kern w:val="0"/>
                <w:highlight w:val="none"/>
                <w:u w:val="none"/>
              </w:rPr>
              <w:t>85</w:t>
            </w:r>
          </w:p>
        </w:tc>
        <w:tc>
          <w:tcPr>
            <w:tcW w:w="850" w:type="pct"/>
            <w:noWrap/>
            <w:vAlign w:val="center"/>
          </w:tcPr>
          <w:p w14:paraId="35CC01AF">
            <w:pPr>
              <w:pStyle w:val="1001"/>
              <w:rPr>
                <w:rFonts w:ascii="宋体" w:cs="宋体"/>
                <w:color w:val="auto"/>
                <w:highlight w:val="none"/>
                <w:u w:val="none"/>
              </w:rPr>
            </w:pPr>
            <w:r>
              <w:rPr>
                <w:color w:val="auto"/>
                <w:kern w:val="0"/>
                <w:highlight w:val="none"/>
                <w:u w:val="none"/>
              </w:rPr>
              <w:t>基础减振，设消音器</w:t>
            </w:r>
          </w:p>
        </w:tc>
      </w:tr>
      <w:tr w14:paraId="1455B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3" w:type="pct"/>
            <w:vMerge w:val="continue"/>
            <w:noWrap/>
            <w:vAlign w:val="center"/>
          </w:tcPr>
          <w:p w14:paraId="5C2A59C7">
            <w:pPr>
              <w:pStyle w:val="1001"/>
              <w:rPr>
                <w:color w:val="auto"/>
                <w:highlight w:val="none"/>
                <w:u w:val="none"/>
              </w:rPr>
            </w:pPr>
          </w:p>
        </w:tc>
        <w:tc>
          <w:tcPr>
            <w:tcW w:w="471" w:type="pct"/>
            <w:vMerge w:val="continue"/>
            <w:vAlign w:val="center"/>
          </w:tcPr>
          <w:p w14:paraId="5FC2FE6F">
            <w:pPr>
              <w:pStyle w:val="1001"/>
              <w:rPr>
                <w:color w:val="auto"/>
                <w:highlight w:val="none"/>
                <w:u w:val="none"/>
              </w:rPr>
            </w:pPr>
          </w:p>
        </w:tc>
        <w:tc>
          <w:tcPr>
            <w:tcW w:w="1171" w:type="pct"/>
            <w:noWrap/>
            <w:vAlign w:val="center"/>
          </w:tcPr>
          <w:p w14:paraId="56A7CBAE">
            <w:pPr>
              <w:pStyle w:val="1001"/>
              <w:rPr>
                <w:color w:val="auto"/>
                <w:highlight w:val="none"/>
                <w:u w:val="none"/>
              </w:rPr>
            </w:pPr>
            <w:r>
              <w:rPr>
                <w:color w:val="auto"/>
                <w:kern w:val="0"/>
                <w:highlight w:val="none"/>
                <w:u w:val="none"/>
              </w:rPr>
              <w:t>冷冻单元</w:t>
            </w:r>
          </w:p>
        </w:tc>
        <w:tc>
          <w:tcPr>
            <w:tcW w:w="829" w:type="pct"/>
            <w:noWrap/>
            <w:vAlign w:val="center"/>
          </w:tcPr>
          <w:p w14:paraId="7E3DA680">
            <w:pPr>
              <w:pStyle w:val="1001"/>
              <w:rPr>
                <w:color w:val="auto"/>
                <w:kern w:val="0"/>
                <w:highlight w:val="none"/>
                <w:u w:val="none"/>
              </w:rPr>
            </w:pPr>
            <w:r>
              <w:rPr>
                <w:color w:val="auto"/>
                <w:kern w:val="0"/>
                <w:highlight w:val="none"/>
                <w:u w:val="none"/>
              </w:rPr>
              <w:t>7摄氏度水制冷机组</w:t>
            </w:r>
          </w:p>
        </w:tc>
        <w:tc>
          <w:tcPr>
            <w:tcW w:w="257" w:type="pct"/>
            <w:noWrap/>
            <w:vAlign w:val="center"/>
          </w:tcPr>
          <w:p w14:paraId="1E2989F8">
            <w:pPr>
              <w:pStyle w:val="1001"/>
              <w:rPr>
                <w:color w:val="auto"/>
                <w:highlight w:val="none"/>
                <w:u w:val="none"/>
              </w:rPr>
            </w:pPr>
            <w:r>
              <w:rPr>
                <w:color w:val="auto"/>
                <w:kern w:val="0"/>
                <w:highlight w:val="none"/>
                <w:u w:val="none"/>
              </w:rPr>
              <w:t>3</w:t>
            </w:r>
          </w:p>
        </w:tc>
        <w:tc>
          <w:tcPr>
            <w:tcW w:w="214" w:type="pct"/>
            <w:noWrap/>
            <w:vAlign w:val="center"/>
          </w:tcPr>
          <w:p w14:paraId="3A9EA02C">
            <w:pPr>
              <w:pStyle w:val="1001"/>
              <w:rPr>
                <w:color w:val="auto"/>
                <w:highlight w:val="none"/>
                <w:u w:val="none"/>
              </w:rPr>
            </w:pPr>
            <w:r>
              <w:rPr>
                <w:rFonts w:hint="eastAsia"/>
                <w:color w:val="auto"/>
                <w:highlight w:val="none"/>
                <w:u w:val="none"/>
              </w:rPr>
              <w:t>283</w:t>
            </w:r>
          </w:p>
        </w:tc>
        <w:tc>
          <w:tcPr>
            <w:tcW w:w="243" w:type="pct"/>
            <w:noWrap/>
          </w:tcPr>
          <w:p w14:paraId="727390D9">
            <w:pPr>
              <w:pStyle w:val="1001"/>
              <w:rPr>
                <w:color w:val="auto"/>
                <w:highlight w:val="none"/>
                <w:u w:val="none"/>
              </w:rPr>
            </w:pPr>
            <w:r>
              <w:rPr>
                <w:rFonts w:hint="eastAsia"/>
                <w:color w:val="auto"/>
                <w:highlight w:val="none"/>
                <w:u w:val="none"/>
              </w:rPr>
              <w:t>596</w:t>
            </w:r>
          </w:p>
        </w:tc>
        <w:tc>
          <w:tcPr>
            <w:tcW w:w="192" w:type="pct"/>
            <w:noWrap/>
          </w:tcPr>
          <w:p w14:paraId="5688BF01">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7147209">
            <w:pPr>
              <w:pStyle w:val="1001"/>
              <w:rPr>
                <w:color w:val="auto"/>
                <w:highlight w:val="none"/>
                <w:u w:val="none"/>
              </w:rPr>
            </w:pPr>
            <w:r>
              <w:rPr>
                <w:color w:val="auto"/>
                <w:kern w:val="0"/>
                <w:highlight w:val="none"/>
                <w:u w:val="none"/>
              </w:rPr>
              <w:t>70</w:t>
            </w:r>
          </w:p>
        </w:tc>
        <w:tc>
          <w:tcPr>
            <w:tcW w:w="850" w:type="pct"/>
            <w:noWrap/>
            <w:vAlign w:val="center"/>
          </w:tcPr>
          <w:p w14:paraId="4667B9F5">
            <w:pPr>
              <w:pStyle w:val="1001"/>
              <w:rPr>
                <w:rFonts w:ascii="宋体" w:cs="宋体"/>
                <w:color w:val="auto"/>
                <w:highlight w:val="none"/>
                <w:u w:val="none"/>
              </w:rPr>
            </w:pPr>
            <w:r>
              <w:rPr>
                <w:color w:val="auto"/>
                <w:kern w:val="0"/>
                <w:highlight w:val="none"/>
                <w:u w:val="none"/>
              </w:rPr>
              <w:t>厂房隔声，设消音器</w:t>
            </w:r>
          </w:p>
        </w:tc>
      </w:tr>
      <w:tr w14:paraId="71FB67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restart"/>
            <w:noWrap/>
            <w:vAlign w:val="center"/>
          </w:tcPr>
          <w:p w14:paraId="37F5D3C4">
            <w:pPr>
              <w:pStyle w:val="1001"/>
              <w:rPr>
                <w:rFonts w:hint="default" w:eastAsia="宋体"/>
                <w:color w:val="auto"/>
                <w:highlight w:val="none"/>
                <w:u w:val="none"/>
                <w:lang w:val="en-US" w:eastAsia="zh-CN"/>
              </w:rPr>
            </w:pPr>
            <w:r>
              <w:rPr>
                <w:rFonts w:hint="eastAsia"/>
                <w:color w:val="auto"/>
                <w:highlight w:val="none"/>
                <w:u w:val="none"/>
              </w:rPr>
              <w:t>苯胺二期</w:t>
            </w:r>
            <w:r>
              <w:rPr>
                <w:rFonts w:hint="eastAsia"/>
                <w:color w:val="auto"/>
                <w:highlight w:val="none"/>
                <w:u w:val="none"/>
                <w:lang w:eastAsia="zh-CN"/>
              </w:rPr>
              <w:t>、</w:t>
            </w:r>
            <w:r>
              <w:rPr>
                <w:rFonts w:hint="eastAsia"/>
                <w:color w:val="auto"/>
                <w:highlight w:val="none"/>
                <w:u w:val="none"/>
                <w:lang w:val="en-US" w:eastAsia="zh-CN"/>
              </w:rPr>
              <w:t>三期</w:t>
            </w:r>
          </w:p>
        </w:tc>
        <w:tc>
          <w:tcPr>
            <w:tcW w:w="1171" w:type="pct"/>
            <w:vMerge w:val="restart"/>
            <w:noWrap/>
            <w:vAlign w:val="center"/>
          </w:tcPr>
          <w:p w14:paraId="6CC9CB36">
            <w:pPr>
              <w:pStyle w:val="1001"/>
              <w:rPr>
                <w:color w:val="auto"/>
                <w:highlight w:val="none"/>
                <w:u w:val="none"/>
              </w:rPr>
            </w:pPr>
            <w:r>
              <w:rPr>
                <w:rFonts w:hint="eastAsia"/>
                <w:color w:val="auto"/>
                <w:highlight w:val="none"/>
                <w:u w:val="none"/>
              </w:rPr>
              <w:t>循环水站</w:t>
            </w:r>
          </w:p>
        </w:tc>
        <w:tc>
          <w:tcPr>
            <w:tcW w:w="829" w:type="pct"/>
            <w:noWrap/>
            <w:vAlign w:val="center"/>
          </w:tcPr>
          <w:p w14:paraId="1485BBA0">
            <w:pPr>
              <w:pStyle w:val="1001"/>
              <w:rPr>
                <w:color w:val="auto"/>
                <w:kern w:val="0"/>
                <w:highlight w:val="none"/>
                <w:u w:val="none"/>
              </w:rPr>
            </w:pPr>
            <w:r>
              <w:rPr>
                <w:rFonts w:hint="eastAsia"/>
                <w:color w:val="auto"/>
                <w:kern w:val="0"/>
                <w:highlight w:val="none"/>
                <w:u w:val="none"/>
              </w:rPr>
              <w:t>冷却塔</w:t>
            </w:r>
          </w:p>
        </w:tc>
        <w:tc>
          <w:tcPr>
            <w:tcW w:w="257" w:type="pct"/>
            <w:noWrap/>
            <w:vAlign w:val="center"/>
          </w:tcPr>
          <w:p w14:paraId="697B96E7">
            <w:pPr>
              <w:pStyle w:val="1001"/>
              <w:rPr>
                <w:color w:val="auto"/>
                <w:highlight w:val="none"/>
                <w:u w:val="none"/>
              </w:rPr>
            </w:pPr>
            <w:r>
              <w:rPr>
                <w:rFonts w:hint="eastAsia"/>
                <w:color w:val="auto"/>
                <w:highlight w:val="none"/>
                <w:u w:val="none"/>
              </w:rPr>
              <w:t>1</w:t>
            </w:r>
            <w:r>
              <w:rPr>
                <w:color w:val="auto"/>
                <w:highlight w:val="none"/>
                <w:u w:val="none"/>
              </w:rPr>
              <w:t>2</w:t>
            </w:r>
          </w:p>
        </w:tc>
        <w:tc>
          <w:tcPr>
            <w:tcW w:w="214" w:type="pct"/>
            <w:noWrap/>
            <w:vAlign w:val="center"/>
          </w:tcPr>
          <w:p w14:paraId="45591B72">
            <w:pPr>
              <w:pStyle w:val="1001"/>
              <w:rPr>
                <w:color w:val="auto"/>
                <w:highlight w:val="none"/>
                <w:u w:val="none"/>
              </w:rPr>
            </w:pPr>
            <w:r>
              <w:rPr>
                <w:rFonts w:hint="eastAsia"/>
                <w:color w:val="auto"/>
                <w:highlight w:val="none"/>
                <w:u w:val="none"/>
              </w:rPr>
              <w:t>324</w:t>
            </w:r>
          </w:p>
        </w:tc>
        <w:tc>
          <w:tcPr>
            <w:tcW w:w="243" w:type="pct"/>
            <w:noWrap/>
            <w:vAlign w:val="center"/>
          </w:tcPr>
          <w:p w14:paraId="067EC41A">
            <w:pPr>
              <w:pStyle w:val="1001"/>
              <w:rPr>
                <w:color w:val="auto"/>
                <w:highlight w:val="none"/>
                <w:u w:val="none"/>
              </w:rPr>
            </w:pPr>
            <w:r>
              <w:rPr>
                <w:rFonts w:hint="eastAsia"/>
                <w:color w:val="auto"/>
                <w:highlight w:val="none"/>
                <w:u w:val="none"/>
              </w:rPr>
              <w:t>594</w:t>
            </w:r>
          </w:p>
        </w:tc>
        <w:tc>
          <w:tcPr>
            <w:tcW w:w="192" w:type="pct"/>
            <w:noWrap/>
          </w:tcPr>
          <w:p w14:paraId="4835CB33">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2C12E61">
            <w:pPr>
              <w:pStyle w:val="1001"/>
              <w:rPr>
                <w:color w:val="auto"/>
                <w:highlight w:val="none"/>
                <w:u w:val="none"/>
              </w:rPr>
            </w:pPr>
            <w:r>
              <w:rPr>
                <w:color w:val="auto"/>
                <w:highlight w:val="none"/>
                <w:u w:val="none"/>
              </w:rPr>
              <w:t>70</w:t>
            </w:r>
          </w:p>
        </w:tc>
        <w:tc>
          <w:tcPr>
            <w:tcW w:w="850" w:type="pct"/>
            <w:vMerge w:val="restart"/>
            <w:noWrap/>
            <w:vAlign w:val="center"/>
          </w:tcPr>
          <w:p w14:paraId="581D2AAF">
            <w:pPr>
              <w:pStyle w:val="1001"/>
              <w:jc w:val="both"/>
              <w:rPr>
                <w:rFonts w:ascii="宋体" w:cs="宋体"/>
                <w:color w:val="auto"/>
                <w:highlight w:val="none"/>
                <w:u w:val="none"/>
              </w:rPr>
            </w:pPr>
            <w:r>
              <w:rPr>
                <w:rFonts w:hint="eastAsia" w:ascii="宋体" w:cs="宋体"/>
                <w:color w:val="auto"/>
                <w:highlight w:val="none"/>
                <w:u w:val="none"/>
              </w:rPr>
              <w:t>基础减震、建筑隔声</w:t>
            </w:r>
          </w:p>
        </w:tc>
      </w:tr>
      <w:tr w14:paraId="30737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54C035E2">
            <w:pPr>
              <w:pStyle w:val="1001"/>
              <w:rPr>
                <w:color w:val="auto"/>
                <w:highlight w:val="none"/>
                <w:u w:val="none"/>
              </w:rPr>
            </w:pPr>
          </w:p>
        </w:tc>
        <w:tc>
          <w:tcPr>
            <w:tcW w:w="1171" w:type="pct"/>
            <w:vMerge w:val="continue"/>
            <w:noWrap/>
            <w:vAlign w:val="center"/>
          </w:tcPr>
          <w:p w14:paraId="6CDFF8A3">
            <w:pPr>
              <w:pStyle w:val="1001"/>
              <w:rPr>
                <w:color w:val="auto"/>
                <w:highlight w:val="none"/>
                <w:u w:val="none"/>
              </w:rPr>
            </w:pPr>
          </w:p>
        </w:tc>
        <w:tc>
          <w:tcPr>
            <w:tcW w:w="829" w:type="pct"/>
            <w:noWrap/>
            <w:vAlign w:val="center"/>
          </w:tcPr>
          <w:p w14:paraId="675287BD">
            <w:pPr>
              <w:pStyle w:val="1001"/>
              <w:rPr>
                <w:color w:val="auto"/>
                <w:kern w:val="0"/>
                <w:highlight w:val="none"/>
                <w:u w:val="none"/>
              </w:rPr>
            </w:pPr>
            <w:r>
              <w:rPr>
                <w:rFonts w:hint="eastAsia"/>
                <w:color w:val="auto"/>
                <w:kern w:val="0"/>
                <w:highlight w:val="none"/>
                <w:u w:val="none"/>
              </w:rPr>
              <w:t>循环水泵组</w:t>
            </w:r>
          </w:p>
        </w:tc>
        <w:tc>
          <w:tcPr>
            <w:tcW w:w="257" w:type="pct"/>
            <w:noWrap/>
            <w:vAlign w:val="center"/>
          </w:tcPr>
          <w:p w14:paraId="642E47AF">
            <w:pPr>
              <w:pStyle w:val="1001"/>
              <w:rPr>
                <w:color w:val="auto"/>
                <w:highlight w:val="none"/>
                <w:u w:val="none"/>
              </w:rPr>
            </w:pPr>
            <w:r>
              <w:rPr>
                <w:rFonts w:hint="eastAsia"/>
                <w:color w:val="auto"/>
                <w:highlight w:val="none"/>
                <w:u w:val="none"/>
              </w:rPr>
              <w:t>8</w:t>
            </w:r>
          </w:p>
        </w:tc>
        <w:tc>
          <w:tcPr>
            <w:tcW w:w="214" w:type="pct"/>
            <w:noWrap/>
            <w:vAlign w:val="center"/>
          </w:tcPr>
          <w:p w14:paraId="5E80DF3C">
            <w:pPr>
              <w:pStyle w:val="1001"/>
              <w:rPr>
                <w:color w:val="auto"/>
                <w:highlight w:val="none"/>
                <w:u w:val="none"/>
              </w:rPr>
            </w:pPr>
            <w:r>
              <w:rPr>
                <w:rFonts w:hint="eastAsia"/>
                <w:color w:val="auto"/>
                <w:highlight w:val="none"/>
                <w:u w:val="none"/>
              </w:rPr>
              <w:t>494</w:t>
            </w:r>
          </w:p>
        </w:tc>
        <w:tc>
          <w:tcPr>
            <w:tcW w:w="243" w:type="pct"/>
            <w:noWrap/>
            <w:vAlign w:val="center"/>
          </w:tcPr>
          <w:p w14:paraId="1100F8C3">
            <w:pPr>
              <w:pStyle w:val="1001"/>
              <w:rPr>
                <w:color w:val="auto"/>
                <w:highlight w:val="none"/>
                <w:u w:val="none"/>
              </w:rPr>
            </w:pPr>
            <w:r>
              <w:rPr>
                <w:rFonts w:hint="eastAsia"/>
                <w:color w:val="auto"/>
                <w:highlight w:val="none"/>
                <w:u w:val="none"/>
              </w:rPr>
              <w:t>556</w:t>
            </w:r>
          </w:p>
        </w:tc>
        <w:tc>
          <w:tcPr>
            <w:tcW w:w="192" w:type="pct"/>
            <w:noWrap/>
          </w:tcPr>
          <w:p w14:paraId="6D53FCE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A19D5E7">
            <w:pPr>
              <w:pStyle w:val="1001"/>
              <w:rPr>
                <w:color w:val="auto"/>
                <w:highlight w:val="none"/>
                <w:u w:val="none"/>
              </w:rPr>
            </w:pPr>
            <w:r>
              <w:rPr>
                <w:rFonts w:hint="eastAsia"/>
                <w:color w:val="auto"/>
                <w:highlight w:val="none"/>
                <w:u w:val="none"/>
              </w:rPr>
              <w:t>8</w:t>
            </w:r>
            <w:r>
              <w:rPr>
                <w:color w:val="auto"/>
                <w:highlight w:val="none"/>
                <w:u w:val="none"/>
              </w:rPr>
              <w:t>5</w:t>
            </w:r>
          </w:p>
        </w:tc>
        <w:tc>
          <w:tcPr>
            <w:tcW w:w="850" w:type="pct"/>
            <w:vMerge w:val="continue"/>
            <w:noWrap/>
            <w:vAlign w:val="center"/>
          </w:tcPr>
          <w:p w14:paraId="5C2FCA5F">
            <w:pPr>
              <w:pStyle w:val="1001"/>
              <w:jc w:val="both"/>
              <w:rPr>
                <w:rFonts w:ascii="宋体" w:cs="宋体"/>
                <w:color w:val="auto"/>
                <w:highlight w:val="none"/>
                <w:u w:val="none"/>
              </w:rPr>
            </w:pPr>
          </w:p>
        </w:tc>
      </w:tr>
      <w:tr w14:paraId="3EA670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585B8C30">
            <w:pPr>
              <w:pStyle w:val="1001"/>
              <w:rPr>
                <w:color w:val="auto"/>
                <w:highlight w:val="none"/>
                <w:u w:val="none"/>
              </w:rPr>
            </w:pPr>
          </w:p>
        </w:tc>
        <w:tc>
          <w:tcPr>
            <w:tcW w:w="1171" w:type="pct"/>
            <w:vMerge w:val="restart"/>
            <w:noWrap/>
            <w:vAlign w:val="center"/>
          </w:tcPr>
          <w:p w14:paraId="4B1DE075">
            <w:pPr>
              <w:pStyle w:val="1001"/>
              <w:rPr>
                <w:color w:val="auto"/>
                <w:highlight w:val="none"/>
                <w:u w:val="none"/>
              </w:rPr>
            </w:pPr>
            <w:r>
              <w:rPr>
                <w:rFonts w:hint="eastAsia"/>
                <w:color w:val="auto"/>
                <w:highlight w:val="none"/>
                <w:u w:val="none"/>
              </w:rPr>
              <w:t>硝基苯装置</w:t>
            </w:r>
          </w:p>
        </w:tc>
        <w:tc>
          <w:tcPr>
            <w:tcW w:w="829" w:type="pct"/>
            <w:noWrap/>
            <w:vAlign w:val="center"/>
          </w:tcPr>
          <w:p w14:paraId="5438CC3C">
            <w:pPr>
              <w:pStyle w:val="1001"/>
              <w:rPr>
                <w:color w:val="auto"/>
                <w:kern w:val="0"/>
                <w:highlight w:val="none"/>
                <w:u w:val="none"/>
              </w:rPr>
            </w:pPr>
            <w:r>
              <w:rPr>
                <w:rFonts w:hint="eastAsia"/>
                <w:color w:val="auto"/>
                <w:kern w:val="0"/>
                <w:highlight w:val="none"/>
                <w:u w:val="none"/>
              </w:rPr>
              <w:t>真空泵</w:t>
            </w:r>
          </w:p>
        </w:tc>
        <w:tc>
          <w:tcPr>
            <w:tcW w:w="257" w:type="pct"/>
            <w:noWrap/>
            <w:vAlign w:val="center"/>
          </w:tcPr>
          <w:p w14:paraId="21FFEA92">
            <w:pPr>
              <w:pStyle w:val="1001"/>
              <w:rPr>
                <w:color w:val="auto"/>
                <w:highlight w:val="none"/>
                <w:u w:val="none"/>
              </w:rPr>
            </w:pPr>
            <w:r>
              <w:rPr>
                <w:rFonts w:hint="eastAsia"/>
                <w:color w:val="auto"/>
                <w:highlight w:val="none"/>
                <w:u w:val="none"/>
              </w:rPr>
              <w:t>2</w:t>
            </w:r>
          </w:p>
        </w:tc>
        <w:tc>
          <w:tcPr>
            <w:tcW w:w="214" w:type="pct"/>
            <w:noWrap/>
            <w:vAlign w:val="center"/>
          </w:tcPr>
          <w:p w14:paraId="71D6B588">
            <w:pPr>
              <w:pStyle w:val="1001"/>
              <w:rPr>
                <w:color w:val="auto"/>
                <w:highlight w:val="none"/>
                <w:u w:val="none"/>
              </w:rPr>
            </w:pPr>
            <w:r>
              <w:rPr>
                <w:rFonts w:hint="eastAsia"/>
                <w:color w:val="auto"/>
                <w:highlight w:val="none"/>
                <w:u w:val="none"/>
              </w:rPr>
              <w:t>470</w:t>
            </w:r>
          </w:p>
        </w:tc>
        <w:tc>
          <w:tcPr>
            <w:tcW w:w="243" w:type="pct"/>
            <w:noWrap/>
            <w:vAlign w:val="center"/>
          </w:tcPr>
          <w:p w14:paraId="54FF2215">
            <w:pPr>
              <w:pStyle w:val="1001"/>
              <w:rPr>
                <w:color w:val="auto"/>
                <w:highlight w:val="none"/>
                <w:u w:val="none"/>
              </w:rPr>
            </w:pPr>
            <w:r>
              <w:rPr>
                <w:rFonts w:hint="eastAsia"/>
                <w:color w:val="auto"/>
                <w:highlight w:val="none"/>
                <w:u w:val="none"/>
              </w:rPr>
              <w:t>501</w:t>
            </w:r>
          </w:p>
        </w:tc>
        <w:tc>
          <w:tcPr>
            <w:tcW w:w="192" w:type="pct"/>
            <w:noWrap/>
          </w:tcPr>
          <w:p w14:paraId="5ACB6D3F">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92B0020">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11B0973B">
            <w:pPr>
              <w:pStyle w:val="1001"/>
              <w:jc w:val="both"/>
              <w:rPr>
                <w:rFonts w:ascii="宋体" w:cs="宋体"/>
                <w:color w:val="auto"/>
                <w:highlight w:val="none"/>
                <w:u w:val="none"/>
              </w:rPr>
            </w:pPr>
          </w:p>
        </w:tc>
      </w:tr>
      <w:tr w14:paraId="2A3F48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1235BB16">
            <w:pPr>
              <w:pStyle w:val="1001"/>
              <w:rPr>
                <w:color w:val="auto"/>
                <w:highlight w:val="none"/>
                <w:u w:val="none"/>
              </w:rPr>
            </w:pPr>
          </w:p>
        </w:tc>
        <w:tc>
          <w:tcPr>
            <w:tcW w:w="1171" w:type="pct"/>
            <w:vMerge w:val="continue"/>
            <w:noWrap/>
            <w:vAlign w:val="center"/>
          </w:tcPr>
          <w:p w14:paraId="3256E866">
            <w:pPr>
              <w:pStyle w:val="1001"/>
              <w:rPr>
                <w:color w:val="auto"/>
                <w:highlight w:val="none"/>
                <w:u w:val="none"/>
              </w:rPr>
            </w:pPr>
          </w:p>
        </w:tc>
        <w:tc>
          <w:tcPr>
            <w:tcW w:w="829" w:type="pct"/>
            <w:noWrap/>
            <w:vAlign w:val="center"/>
          </w:tcPr>
          <w:p w14:paraId="4B1E6DBE">
            <w:pPr>
              <w:pStyle w:val="1001"/>
              <w:rPr>
                <w:color w:val="auto"/>
                <w:kern w:val="0"/>
                <w:highlight w:val="none"/>
                <w:u w:val="none"/>
              </w:rPr>
            </w:pPr>
            <w:r>
              <w:rPr>
                <w:rFonts w:hint="eastAsia"/>
                <w:color w:val="auto"/>
                <w:kern w:val="0"/>
                <w:highlight w:val="none"/>
                <w:u w:val="none"/>
              </w:rPr>
              <w:t>电机</w:t>
            </w:r>
          </w:p>
        </w:tc>
        <w:tc>
          <w:tcPr>
            <w:tcW w:w="257" w:type="pct"/>
            <w:noWrap/>
            <w:vAlign w:val="center"/>
          </w:tcPr>
          <w:p w14:paraId="6964DFF2">
            <w:pPr>
              <w:pStyle w:val="1001"/>
              <w:rPr>
                <w:color w:val="auto"/>
                <w:highlight w:val="none"/>
                <w:u w:val="none"/>
              </w:rPr>
            </w:pPr>
            <w:r>
              <w:rPr>
                <w:rFonts w:hint="eastAsia"/>
                <w:color w:val="auto"/>
                <w:highlight w:val="none"/>
                <w:u w:val="none"/>
              </w:rPr>
              <w:t>4</w:t>
            </w:r>
          </w:p>
        </w:tc>
        <w:tc>
          <w:tcPr>
            <w:tcW w:w="214" w:type="pct"/>
            <w:noWrap/>
            <w:vAlign w:val="center"/>
          </w:tcPr>
          <w:p w14:paraId="5DF04385">
            <w:pPr>
              <w:pStyle w:val="1001"/>
              <w:rPr>
                <w:color w:val="auto"/>
                <w:highlight w:val="none"/>
                <w:u w:val="none"/>
              </w:rPr>
            </w:pPr>
            <w:r>
              <w:rPr>
                <w:rFonts w:hint="eastAsia"/>
                <w:color w:val="auto"/>
                <w:highlight w:val="none"/>
                <w:u w:val="none"/>
              </w:rPr>
              <w:t>470</w:t>
            </w:r>
          </w:p>
        </w:tc>
        <w:tc>
          <w:tcPr>
            <w:tcW w:w="243" w:type="pct"/>
            <w:noWrap/>
            <w:vAlign w:val="center"/>
          </w:tcPr>
          <w:p w14:paraId="655B21C7">
            <w:pPr>
              <w:pStyle w:val="1001"/>
              <w:rPr>
                <w:color w:val="auto"/>
                <w:highlight w:val="none"/>
                <w:u w:val="none"/>
              </w:rPr>
            </w:pPr>
            <w:r>
              <w:rPr>
                <w:rFonts w:hint="eastAsia"/>
                <w:color w:val="auto"/>
                <w:highlight w:val="none"/>
                <w:u w:val="none"/>
              </w:rPr>
              <w:t>485</w:t>
            </w:r>
          </w:p>
        </w:tc>
        <w:tc>
          <w:tcPr>
            <w:tcW w:w="192" w:type="pct"/>
            <w:noWrap/>
          </w:tcPr>
          <w:p w14:paraId="742BAEAC">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AD90574">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02B30E7B">
            <w:pPr>
              <w:pStyle w:val="1001"/>
              <w:rPr>
                <w:rFonts w:ascii="宋体" w:cs="宋体"/>
                <w:color w:val="auto"/>
                <w:highlight w:val="none"/>
                <w:u w:val="none"/>
              </w:rPr>
            </w:pPr>
          </w:p>
        </w:tc>
      </w:tr>
      <w:tr w14:paraId="73E91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58C452C3">
            <w:pPr>
              <w:pStyle w:val="1001"/>
              <w:rPr>
                <w:color w:val="auto"/>
                <w:highlight w:val="none"/>
                <w:u w:val="none"/>
              </w:rPr>
            </w:pPr>
          </w:p>
        </w:tc>
        <w:tc>
          <w:tcPr>
            <w:tcW w:w="1171" w:type="pct"/>
            <w:vMerge w:val="continue"/>
            <w:noWrap/>
            <w:vAlign w:val="center"/>
          </w:tcPr>
          <w:p w14:paraId="7EA7EF8F">
            <w:pPr>
              <w:pStyle w:val="1001"/>
              <w:rPr>
                <w:color w:val="auto"/>
                <w:highlight w:val="none"/>
                <w:u w:val="none"/>
              </w:rPr>
            </w:pPr>
          </w:p>
        </w:tc>
        <w:tc>
          <w:tcPr>
            <w:tcW w:w="829" w:type="pct"/>
            <w:noWrap/>
            <w:vAlign w:val="center"/>
          </w:tcPr>
          <w:p w14:paraId="0B9E304C">
            <w:pPr>
              <w:pStyle w:val="1001"/>
              <w:rPr>
                <w:color w:val="auto"/>
                <w:kern w:val="0"/>
                <w:highlight w:val="none"/>
                <w:u w:val="none"/>
              </w:rPr>
            </w:pPr>
            <w:r>
              <w:rPr>
                <w:rFonts w:hint="eastAsia"/>
                <w:color w:val="auto"/>
                <w:kern w:val="0"/>
                <w:highlight w:val="none"/>
                <w:u w:val="none"/>
              </w:rPr>
              <w:t>泵组</w:t>
            </w:r>
          </w:p>
        </w:tc>
        <w:tc>
          <w:tcPr>
            <w:tcW w:w="257" w:type="pct"/>
            <w:noWrap/>
            <w:vAlign w:val="center"/>
          </w:tcPr>
          <w:p w14:paraId="4EAF8416">
            <w:pPr>
              <w:pStyle w:val="1001"/>
              <w:rPr>
                <w:color w:val="auto"/>
                <w:highlight w:val="none"/>
                <w:u w:val="none"/>
              </w:rPr>
            </w:pPr>
            <w:r>
              <w:rPr>
                <w:rFonts w:hint="eastAsia"/>
                <w:color w:val="auto"/>
                <w:highlight w:val="none"/>
                <w:u w:val="none"/>
              </w:rPr>
              <w:t>1</w:t>
            </w:r>
          </w:p>
        </w:tc>
        <w:tc>
          <w:tcPr>
            <w:tcW w:w="214" w:type="pct"/>
            <w:noWrap/>
            <w:vAlign w:val="center"/>
          </w:tcPr>
          <w:p w14:paraId="3E6B2DD6">
            <w:pPr>
              <w:pStyle w:val="1001"/>
              <w:rPr>
                <w:color w:val="auto"/>
                <w:highlight w:val="none"/>
                <w:u w:val="none"/>
              </w:rPr>
            </w:pPr>
            <w:r>
              <w:rPr>
                <w:rFonts w:hint="eastAsia"/>
                <w:color w:val="auto"/>
                <w:highlight w:val="none"/>
                <w:u w:val="none"/>
              </w:rPr>
              <w:t>504</w:t>
            </w:r>
          </w:p>
        </w:tc>
        <w:tc>
          <w:tcPr>
            <w:tcW w:w="243" w:type="pct"/>
            <w:noWrap/>
            <w:vAlign w:val="center"/>
          </w:tcPr>
          <w:p w14:paraId="30CA4F86">
            <w:pPr>
              <w:pStyle w:val="1001"/>
              <w:rPr>
                <w:color w:val="auto"/>
                <w:highlight w:val="none"/>
                <w:u w:val="none"/>
              </w:rPr>
            </w:pPr>
            <w:r>
              <w:rPr>
                <w:rFonts w:hint="eastAsia"/>
                <w:color w:val="auto"/>
                <w:highlight w:val="none"/>
                <w:u w:val="none"/>
              </w:rPr>
              <w:t>487</w:t>
            </w:r>
          </w:p>
        </w:tc>
        <w:tc>
          <w:tcPr>
            <w:tcW w:w="192" w:type="pct"/>
            <w:noWrap/>
          </w:tcPr>
          <w:p w14:paraId="5C5986EB">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7199CAE5">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3409B81E">
            <w:pPr>
              <w:pStyle w:val="1001"/>
              <w:rPr>
                <w:rFonts w:ascii="宋体" w:cs="宋体"/>
                <w:color w:val="auto"/>
                <w:highlight w:val="none"/>
                <w:u w:val="none"/>
              </w:rPr>
            </w:pPr>
          </w:p>
        </w:tc>
      </w:tr>
      <w:tr w14:paraId="526A0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4F98C707">
            <w:pPr>
              <w:pStyle w:val="1001"/>
              <w:rPr>
                <w:color w:val="auto"/>
                <w:highlight w:val="none"/>
                <w:u w:val="none"/>
              </w:rPr>
            </w:pPr>
          </w:p>
        </w:tc>
        <w:tc>
          <w:tcPr>
            <w:tcW w:w="1171" w:type="pct"/>
            <w:vMerge w:val="restart"/>
            <w:noWrap/>
            <w:vAlign w:val="center"/>
          </w:tcPr>
          <w:p w14:paraId="33183548">
            <w:pPr>
              <w:pStyle w:val="1001"/>
              <w:rPr>
                <w:color w:val="auto"/>
                <w:highlight w:val="none"/>
                <w:u w:val="none"/>
              </w:rPr>
            </w:pPr>
            <w:r>
              <w:rPr>
                <w:rFonts w:hint="eastAsia"/>
                <w:color w:val="auto"/>
                <w:highlight w:val="none"/>
                <w:u w:val="none"/>
              </w:rPr>
              <w:t>苯胺装置</w:t>
            </w:r>
          </w:p>
        </w:tc>
        <w:tc>
          <w:tcPr>
            <w:tcW w:w="829" w:type="pct"/>
            <w:noWrap/>
            <w:vAlign w:val="center"/>
          </w:tcPr>
          <w:p w14:paraId="42C0C78C">
            <w:pPr>
              <w:pStyle w:val="1001"/>
              <w:rPr>
                <w:color w:val="auto"/>
                <w:kern w:val="0"/>
                <w:highlight w:val="none"/>
                <w:u w:val="none"/>
              </w:rPr>
            </w:pPr>
            <w:r>
              <w:rPr>
                <w:rFonts w:hint="eastAsia"/>
                <w:color w:val="auto"/>
                <w:kern w:val="0"/>
                <w:highlight w:val="none"/>
                <w:u w:val="none"/>
              </w:rPr>
              <w:t>压缩机</w:t>
            </w:r>
          </w:p>
        </w:tc>
        <w:tc>
          <w:tcPr>
            <w:tcW w:w="257" w:type="pct"/>
            <w:noWrap/>
            <w:vAlign w:val="center"/>
          </w:tcPr>
          <w:p w14:paraId="78B42F21">
            <w:pPr>
              <w:pStyle w:val="1001"/>
              <w:rPr>
                <w:color w:val="auto"/>
                <w:highlight w:val="none"/>
                <w:u w:val="none"/>
              </w:rPr>
            </w:pPr>
            <w:r>
              <w:rPr>
                <w:rFonts w:hint="eastAsia"/>
                <w:color w:val="auto"/>
                <w:highlight w:val="none"/>
                <w:u w:val="none"/>
              </w:rPr>
              <w:t>1</w:t>
            </w:r>
          </w:p>
        </w:tc>
        <w:tc>
          <w:tcPr>
            <w:tcW w:w="214" w:type="pct"/>
            <w:noWrap/>
            <w:vAlign w:val="center"/>
          </w:tcPr>
          <w:p w14:paraId="33810D0F">
            <w:pPr>
              <w:pStyle w:val="1001"/>
              <w:rPr>
                <w:color w:val="auto"/>
                <w:highlight w:val="none"/>
                <w:u w:val="none"/>
              </w:rPr>
            </w:pPr>
            <w:r>
              <w:rPr>
                <w:rFonts w:hint="eastAsia"/>
                <w:color w:val="auto"/>
                <w:highlight w:val="none"/>
                <w:u w:val="none"/>
              </w:rPr>
              <w:t>393</w:t>
            </w:r>
          </w:p>
        </w:tc>
        <w:tc>
          <w:tcPr>
            <w:tcW w:w="243" w:type="pct"/>
            <w:noWrap/>
            <w:vAlign w:val="center"/>
          </w:tcPr>
          <w:p w14:paraId="78DECCE4">
            <w:pPr>
              <w:pStyle w:val="1001"/>
              <w:rPr>
                <w:color w:val="auto"/>
                <w:highlight w:val="none"/>
                <w:u w:val="none"/>
              </w:rPr>
            </w:pPr>
            <w:r>
              <w:rPr>
                <w:rFonts w:hint="eastAsia"/>
                <w:color w:val="auto"/>
                <w:highlight w:val="none"/>
                <w:u w:val="none"/>
              </w:rPr>
              <w:t>305</w:t>
            </w:r>
          </w:p>
        </w:tc>
        <w:tc>
          <w:tcPr>
            <w:tcW w:w="192" w:type="pct"/>
            <w:noWrap/>
          </w:tcPr>
          <w:p w14:paraId="16673BDE">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1708300">
            <w:pPr>
              <w:pStyle w:val="1001"/>
              <w:rPr>
                <w:color w:val="auto"/>
                <w:highlight w:val="none"/>
                <w:u w:val="none"/>
              </w:rPr>
            </w:pPr>
            <w:r>
              <w:rPr>
                <w:rFonts w:hint="eastAsia"/>
                <w:color w:val="auto"/>
                <w:highlight w:val="none"/>
                <w:u w:val="none"/>
              </w:rPr>
              <w:t>8</w:t>
            </w:r>
            <w:r>
              <w:rPr>
                <w:color w:val="auto"/>
                <w:highlight w:val="none"/>
                <w:u w:val="none"/>
              </w:rPr>
              <w:t>5</w:t>
            </w:r>
          </w:p>
        </w:tc>
        <w:tc>
          <w:tcPr>
            <w:tcW w:w="850" w:type="pct"/>
            <w:vMerge w:val="continue"/>
            <w:noWrap/>
            <w:vAlign w:val="center"/>
          </w:tcPr>
          <w:p w14:paraId="245E5831">
            <w:pPr>
              <w:pStyle w:val="1001"/>
              <w:rPr>
                <w:rFonts w:ascii="宋体" w:cs="宋体"/>
                <w:color w:val="auto"/>
                <w:highlight w:val="none"/>
                <w:u w:val="none"/>
              </w:rPr>
            </w:pPr>
          </w:p>
        </w:tc>
      </w:tr>
      <w:tr w14:paraId="6B9828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4834CAA7">
            <w:pPr>
              <w:pStyle w:val="1001"/>
              <w:rPr>
                <w:color w:val="auto"/>
                <w:highlight w:val="none"/>
                <w:u w:val="none"/>
              </w:rPr>
            </w:pPr>
          </w:p>
        </w:tc>
        <w:tc>
          <w:tcPr>
            <w:tcW w:w="1171" w:type="pct"/>
            <w:vMerge w:val="continue"/>
            <w:noWrap/>
            <w:vAlign w:val="center"/>
          </w:tcPr>
          <w:p w14:paraId="2C4F5517">
            <w:pPr>
              <w:pStyle w:val="1001"/>
              <w:rPr>
                <w:color w:val="auto"/>
                <w:highlight w:val="none"/>
                <w:u w:val="none"/>
              </w:rPr>
            </w:pPr>
          </w:p>
        </w:tc>
        <w:tc>
          <w:tcPr>
            <w:tcW w:w="829" w:type="pct"/>
            <w:noWrap/>
            <w:vAlign w:val="center"/>
          </w:tcPr>
          <w:p w14:paraId="7A8026D3">
            <w:pPr>
              <w:pStyle w:val="1001"/>
              <w:rPr>
                <w:color w:val="auto"/>
                <w:kern w:val="0"/>
                <w:highlight w:val="none"/>
                <w:u w:val="none"/>
              </w:rPr>
            </w:pPr>
            <w:r>
              <w:rPr>
                <w:rFonts w:hint="eastAsia"/>
                <w:color w:val="auto"/>
                <w:kern w:val="0"/>
                <w:highlight w:val="none"/>
                <w:u w:val="none"/>
              </w:rPr>
              <w:t>调节阀</w:t>
            </w:r>
          </w:p>
        </w:tc>
        <w:tc>
          <w:tcPr>
            <w:tcW w:w="257" w:type="pct"/>
            <w:noWrap/>
            <w:vAlign w:val="center"/>
          </w:tcPr>
          <w:p w14:paraId="215E53D5">
            <w:pPr>
              <w:pStyle w:val="1001"/>
              <w:rPr>
                <w:color w:val="auto"/>
                <w:highlight w:val="none"/>
                <w:u w:val="none"/>
              </w:rPr>
            </w:pPr>
            <w:r>
              <w:rPr>
                <w:rFonts w:hint="eastAsia"/>
                <w:color w:val="auto"/>
                <w:highlight w:val="none"/>
                <w:u w:val="none"/>
              </w:rPr>
              <w:t>1</w:t>
            </w:r>
          </w:p>
        </w:tc>
        <w:tc>
          <w:tcPr>
            <w:tcW w:w="214" w:type="pct"/>
            <w:noWrap/>
            <w:vAlign w:val="center"/>
          </w:tcPr>
          <w:p w14:paraId="3AC2CA80">
            <w:pPr>
              <w:pStyle w:val="1001"/>
              <w:rPr>
                <w:color w:val="auto"/>
                <w:highlight w:val="none"/>
                <w:u w:val="none"/>
              </w:rPr>
            </w:pPr>
            <w:r>
              <w:rPr>
                <w:rFonts w:hint="eastAsia"/>
                <w:color w:val="auto"/>
                <w:highlight w:val="none"/>
                <w:u w:val="none"/>
              </w:rPr>
              <w:t>408</w:t>
            </w:r>
          </w:p>
        </w:tc>
        <w:tc>
          <w:tcPr>
            <w:tcW w:w="243" w:type="pct"/>
            <w:noWrap/>
            <w:vAlign w:val="center"/>
          </w:tcPr>
          <w:p w14:paraId="5DDF6C36">
            <w:pPr>
              <w:pStyle w:val="1001"/>
              <w:rPr>
                <w:color w:val="auto"/>
                <w:highlight w:val="none"/>
                <w:u w:val="none"/>
              </w:rPr>
            </w:pPr>
            <w:r>
              <w:rPr>
                <w:rFonts w:hint="eastAsia"/>
                <w:color w:val="auto"/>
                <w:highlight w:val="none"/>
                <w:u w:val="none"/>
              </w:rPr>
              <w:t>304</w:t>
            </w:r>
          </w:p>
        </w:tc>
        <w:tc>
          <w:tcPr>
            <w:tcW w:w="192" w:type="pct"/>
            <w:noWrap/>
          </w:tcPr>
          <w:p w14:paraId="5F473A0B">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4A8A9D73">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42C71C5E">
            <w:pPr>
              <w:pStyle w:val="1001"/>
              <w:rPr>
                <w:rFonts w:ascii="宋体" w:cs="宋体"/>
                <w:color w:val="auto"/>
                <w:highlight w:val="none"/>
                <w:u w:val="none"/>
              </w:rPr>
            </w:pPr>
          </w:p>
        </w:tc>
      </w:tr>
      <w:tr w14:paraId="1CB62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4767D435">
            <w:pPr>
              <w:pStyle w:val="1001"/>
              <w:rPr>
                <w:color w:val="auto"/>
                <w:highlight w:val="none"/>
                <w:u w:val="none"/>
              </w:rPr>
            </w:pPr>
          </w:p>
        </w:tc>
        <w:tc>
          <w:tcPr>
            <w:tcW w:w="1171" w:type="pct"/>
            <w:vMerge w:val="continue"/>
            <w:noWrap/>
            <w:vAlign w:val="center"/>
          </w:tcPr>
          <w:p w14:paraId="7544DEAD">
            <w:pPr>
              <w:pStyle w:val="1001"/>
              <w:rPr>
                <w:color w:val="auto"/>
                <w:highlight w:val="none"/>
                <w:u w:val="none"/>
              </w:rPr>
            </w:pPr>
          </w:p>
        </w:tc>
        <w:tc>
          <w:tcPr>
            <w:tcW w:w="829" w:type="pct"/>
            <w:noWrap/>
            <w:vAlign w:val="center"/>
          </w:tcPr>
          <w:p w14:paraId="6E1F827D">
            <w:pPr>
              <w:pStyle w:val="1001"/>
              <w:rPr>
                <w:color w:val="auto"/>
                <w:kern w:val="0"/>
                <w:highlight w:val="none"/>
                <w:u w:val="none"/>
              </w:rPr>
            </w:pPr>
            <w:r>
              <w:rPr>
                <w:rFonts w:hint="eastAsia"/>
                <w:color w:val="auto"/>
                <w:kern w:val="0"/>
                <w:highlight w:val="none"/>
                <w:u w:val="none"/>
              </w:rPr>
              <w:t>风机</w:t>
            </w:r>
          </w:p>
        </w:tc>
        <w:tc>
          <w:tcPr>
            <w:tcW w:w="257" w:type="pct"/>
            <w:noWrap/>
            <w:vAlign w:val="center"/>
          </w:tcPr>
          <w:p w14:paraId="49DDE820">
            <w:pPr>
              <w:pStyle w:val="1001"/>
              <w:rPr>
                <w:color w:val="auto"/>
                <w:highlight w:val="none"/>
                <w:u w:val="none"/>
              </w:rPr>
            </w:pPr>
            <w:r>
              <w:rPr>
                <w:rFonts w:hint="eastAsia"/>
                <w:color w:val="auto"/>
                <w:highlight w:val="none"/>
                <w:u w:val="none"/>
              </w:rPr>
              <w:t>4</w:t>
            </w:r>
          </w:p>
        </w:tc>
        <w:tc>
          <w:tcPr>
            <w:tcW w:w="214" w:type="pct"/>
            <w:noWrap/>
            <w:vAlign w:val="center"/>
          </w:tcPr>
          <w:p w14:paraId="611EF10F">
            <w:pPr>
              <w:pStyle w:val="1001"/>
              <w:rPr>
                <w:color w:val="auto"/>
                <w:highlight w:val="none"/>
                <w:u w:val="none"/>
              </w:rPr>
            </w:pPr>
            <w:r>
              <w:rPr>
                <w:rFonts w:hint="eastAsia"/>
                <w:color w:val="auto"/>
                <w:highlight w:val="none"/>
                <w:u w:val="none"/>
              </w:rPr>
              <w:t>424</w:t>
            </w:r>
          </w:p>
        </w:tc>
        <w:tc>
          <w:tcPr>
            <w:tcW w:w="243" w:type="pct"/>
            <w:noWrap/>
            <w:vAlign w:val="center"/>
          </w:tcPr>
          <w:p w14:paraId="7B12B9B1">
            <w:pPr>
              <w:pStyle w:val="1001"/>
              <w:rPr>
                <w:color w:val="auto"/>
                <w:highlight w:val="none"/>
                <w:u w:val="none"/>
              </w:rPr>
            </w:pPr>
            <w:r>
              <w:rPr>
                <w:rFonts w:hint="eastAsia"/>
                <w:color w:val="auto"/>
                <w:highlight w:val="none"/>
                <w:u w:val="none"/>
              </w:rPr>
              <w:t>306</w:t>
            </w:r>
          </w:p>
        </w:tc>
        <w:tc>
          <w:tcPr>
            <w:tcW w:w="192" w:type="pct"/>
            <w:noWrap/>
          </w:tcPr>
          <w:p w14:paraId="186AB510">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50B0E0BB">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2CAA4F6F">
            <w:pPr>
              <w:pStyle w:val="1001"/>
              <w:rPr>
                <w:rFonts w:ascii="宋体" w:cs="宋体"/>
                <w:color w:val="auto"/>
                <w:highlight w:val="none"/>
                <w:u w:val="none"/>
              </w:rPr>
            </w:pPr>
          </w:p>
        </w:tc>
      </w:tr>
      <w:tr w14:paraId="2AF8E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12CC407D">
            <w:pPr>
              <w:pStyle w:val="1001"/>
              <w:rPr>
                <w:color w:val="auto"/>
                <w:highlight w:val="none"/>
                <w:u w:val="none"/>
              </w:rPr>
            </w:pPr>
          </w:p>
        </w:tc>
        <w:tc>
          <w:tcPr>
            <w:tcW w:w="1171" w:type="pct"/>
            <w:vMerge w:val="continue"/>
            <w:noWrap/>
            <w:vAlign w:val="center"/>
          </w:tcPr>
          <w:p w14:paraId="40D2A4D9">
            <w:pPr>
              <w:pStyle w:val="1001"/>
              <w:rPr>
                <w:color w:val="auto"/>
                <w:highlight w:val="none"/>
                <w:u w:val="none"/>
              </w:rPr>
            </w:pPr>
          </w:p>
        </w:tc>
        <w:tc>
          <w:tcPr>
            <w:tcW w:w="829" w:type="pct"/>
            <w:noWrap/>
            <w:vAlign w:val="center"/>
          </w:tcPr>
          <w:p w14:paraId="6C0ADD77">
            <w:pPr>
              <w:pStyle w:val="1001"/>
              <w:rPr>
                <w:color w:val="auto"/>
                <w:kern w:val="0"/>
                <w:highlight w:val="none"/>
                <w:u w:val="none"/>
              </w:rPr>
            </w:pPr>
            <w:r>
              <w:rPr>
                <w:rFonts w:hint="eastAsia"/>
                <w:color w:val="auto"/>
                <w:kern w:val="0"/>
                <w:highlight w:val="none"/>
                <w:u w:val="none"/>
              </w:rPr>
              <w:t>泵组</w:t>
            </w:r>
          </w:p>
        </w:tc>
        <w:tc>
          <w:tcPr>
            <w:tcW w:w="257" w:type="pct"/>
            <w:noWrap/>
            <w:vAlign w:val="center"/>
          </w:tcPr>
          <w:p w14:paraId="77DF06C1">
            <w:pPr>
              <w:pStyle w:val="1001"/>
              <w:rPr>
                <w:color w:val="auto"/>
                <w:highlight w:val="none"/>
                <w:u w:val="none"/>
              </w:rPr>
            </w:pPr>
            <w:r>
              <w:rPr>
                <w:rFonts w:hint="eastAsia"/>
                <w:color w:val="auto"/>
                <w:highlight w:val="none"/>
                <w:u w:val="none"/>
              </w:rPr>
              <w:t>1</w:t>
            </w:r>
          </w:p>
        </w:tc>
        <w:tc>
          <w:tcPr>
            <w:tcW w:w="214" w:type="pct"/>
            <w:noWrap/>
            <w:vAlign w:val="center"/>
          </w:tcPr>
          <w:p w14:paraId="421302F0">
            <w:pPr>
              <w:pStyle w:val="1001"/>
              <w:rPr>
                <w:color w:val="auto"/>
                <w:highlight w:val="none"/>
                <w:u w:val="none"/>
              </w:rPr>
            </w:pPr>
            <w:r>
              <w:rPr>
                <w:rFonts w:hint="eastAsia"/>
                <w:color w:val="auto"/>
                <w:highlight w:val="none"/>
                <w:u w:val="none"/>
              </w:rPr>
              <w:t>430</w:t>
            </w:r>
          </w:p>
        </w:tc>
        <w:tc>
          <w:tcPr>
            <w:tcW w:w="243" w:type="pct"/>
            <w:noWrap/>
            <w:vAlign w:val="center"/>
          </w:tcPr>
          <w:p w14:paraId="6E648F85">
            <w:pPr>
              <w:pStyle w:val="1001"/>
              <w:rPr>
                <w:color w:val="auto"/>
                <w:highlight w:val="none"/>
                <w:u w:val="none"/>
              </w:rPr>
            </w:pPr>
            <w:r>
              <w:rPr>
                <w:rFonts w:hint="eastAsia"/>
                <w:color w:val="auto"/>
                <w:highlight w:val="none"/>
                <w:u w:val="none"/>
              </w:rPr>
              <w:t>290</w:t>
            </w:r>
          </w:p>
        </w:tc>
        <w:tc>
          <w:tcPr>
            <w:tcW w:w="192" w:type="pct"/>
            <w:noWrap/>
          </w:tcPr>
          <w:p w14:paraId="22E2D575">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7323B1F5">
            <w:pPr>
              <w:pStyle w:val="1001"/>
              <w:rPr>
                <w:color w:val="auto"/>
                <w:highlight w:val="none"/>
                <w:u w:val="none"/>
              </w:rPr>
            </w:pPr>
            <w:r>
              <w:rPr>
                <w:rFonts w:hint="eastAsia"/>
                <w:color w:val="auto"/>
                <w:highlight w:val="none"/>
                <w:u w:val="none"/>
              </w:rPr>
              <w:t>8</w:t>
            </w:r>
            <w:r>
              <w:rPr>
                <w:color w:val="auto"/>
                <w:highlight w:val="none"/>
                <w:u w:val="none"/>
              </w:rPr>
              <w:t>0</w:t>
            </w:r>
          </w:p>
        </w:tc>
        <w:tc>
          <w:tcPr>
            <w:tcW w:w="850" w:type="pct"/>
            <w:vMerge w:val="continue"/>
            <w:noWrap/>
            <w:vAlign w:val="center"/>
          </w:tcPr>
          <w:p w14:paraId="3B6EF6A5">
            <w:pPr>
              <w:pStyle w:val="1001"/>
              <w:rPr>
                <w:rFonts w:ascii="宋体" w:cs="宋体"/>
                <w:color w:val="auto"/>
                <w:highlight w:val="none"/>
                <w:u w:val="none"/>
              </w:rPr>
            </w:pPr>
          </w:p>
        </w:tc>
      </w:tr>
      <w:tr w14:paraId="142C01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2AE1DD05">
            <w:pPr>
              <w:pStyle w:val="1001"/>
              <w:rPr>
                <w:color w:val="auto"/>
                <w:highlight w:val="none"/>
                <w:u w:val="none"/>
              </w:rPr>
            </w:pPr>
          </w:p>
        </w:tc>
        <w:tc>
          <w:tcPr>
            <w:tcW w:w="1171" w:type="pct"/>
            <w:noWrap/>
            <w:vAlign w:val="center"/>
          </w:tcPr>
          <w:p w14:paraId="35E8D7B8">
            <w:pPr>
              <w:pStyle w:val="1001"/>
              <w:rPr>
                <w:color w:val="auto"/>
                <w:highlight w:val="none"/>
                <w:u w:val="none"/>
              </w:rPr>
            </w:pPr>
            <w:r>
              <w:rPr>
                <w:rFonts w:hint="eastAsia"/>
                <w:color w:val="auto"/>
                <w:highlight w:val="none"/>
                <w:u w:val="none"/>
              </w:rPr>
              <w:t>苯胺罐区</w:t>
            </w:r>
          </w:p>
        </w:tc>
        <w:tc>
          <w:tcPr>
            <w:tcW w:w="829" w:type="pct"/>
            <w:noWrap/>
            <w:vAlign w:val="center"/>
          </w:tcPr>
          <w:p w14:paraId="40A86B96">
            <w:pPr>
              <w:pStyle w:val="1001"/>
              <w:rPr>
                <w:color w:val="auto"/>
                <w:kern w:val="0"/>
                <w:highlight w:val="none"/>
                <w:u w:val="none"/>
              </w:rPr>
            </w:pPr>
            <w:r>
              <w:rPr>
                <w:rFonts w:hint="eastAsia"/>
                <w:color w:val="auto"/>
                <w:kern w:val="0"/>
                <w:highlight w:val="none"/>
                <w:u w:val="none"/>
              </w:rPr>
              <w:t>各类泵</w:t>
            </w:r>
          </w:p>
        </w:tc>
        <w:tc>
          <w:tcPr>
            <w:tcW w:w="257" w:type="pct"/>
            <w:noWrap/>
            <w:vAlign w:val="center"/>
          </w:tcPr>
          <w:p w14:paraId="183426BF">
            <w:pPr>
              <w:pStyle w:val="1001"/>
              <w:rPr>
                <w:color w:val="auto"/>
                <w:highlight w:val="none"/>
                <w:u w:val="none"/>
              </w:rPr>
            </w:pPr>
            <w:r>
              <w:rPr>
                <w:rFonts w:hint="eastAsia"/>
                <w:color w:val="auto"/>
                <w:highlight w:val="none"/>
                <w:u w:val="none"/>
              </w:rPr>
              <w:t>2</w:t>
            </w:r>
          </w:p>
        </w:tc>
        <w:tc>
          <w:tcPr>
            <w:tcW w:w="214" w:type="pct"/>
            <w:noWrap/>
            <w:vAlign w:val="center"/>
          </w:tcPr>
          <w:p w14:paraId="23BF2B48">
            <w:pPr>
              <w:pStyle w:val="1001"/>
              <w:rPr>
                <w:color w:val="auto"/>
                <w:highlight w:val="none"/>
                <w:u w:val="none"/>
              </w:rPr>
            </w:pPr>
            <w:r>
              <w:rPr>
                <w:rFonts w:hint="eastAsia"/>
                <w:color w:val="auto"/>
                <w:highlight w:val="none"/>
                <w:u w:val="none"/>
              </w:rPr>
              <w:t>487</w:t>
            </w:r>
          </w:p>
        </w:tc>
        <w:tc>
          <w:tcPr>
            <w:tcW w:w="243" w:type="pct"/>
            <w:noWrap/>
            <w:vAlign w:val="center"/>
          </w:tcPr>
          <w:p w14:paraId="77EC1DFA">
            <w:pPr>
              <w:pStyle w:val="1001"/>
              <w:rPr>
                <w:color w:val="auto"/>
                <w:highlight w:val="none"/>
                <w:u w:val="none"/>
              </w:rPr>
            </w:pPr>
            <w:r>
              <w:rPr>
                <w:rFonts w:hint="eastAsia"/>
                <w:color w:val="auto"/>
                <w:highlight w:val="none"/>
                <w:u w:val="none"/>
              </w:rPr>
              <w:t>493</w:t>
            </w:r>
          </w:p>
        </w:tc>
        <w:tc>
          <w:tcPr>
            <w:tcW w:w="192" w:type="pct"/>
            <w:noWrap/>
          </w:tcPr>
          <w:p w14:paraId="38470232">
            <w:pPr>
              <w:pStyle w:val="1001"/>
              <w:rPr>
                <w:color w:val="auto"/>
                <w:highlight w:val="none"/>
                <w:u w:val="none"/>
              </w:rPr>
            </w:pPr>
            <w:r>
              <w:rPr>
                <w:rFonts w:hint="eastAsia"/>
                <w:color w:val="auto"/>
                <w:highlight w:val="none"/>
                <w:u w:val="none"/>
              </w:rPr>
              <w:t>1</w:t>
            </w:r>
            <w:r>
              <w:rPr>
                <w:color w:val="auto"/>
                <w:highlight w:val="none"/>
                <w:u w:val="none"/>
              </w:rPr>
              <w:t>.2</w:t>
            </w:r>
          </w:p>
        </w:tc>
        <w:tc>
          <w:tcPr>
            <w:tcW w:w="327" w:type="pct"/>
            <w:noWrap/>
            <w:vAlign w:val="center"/>
          </w:tcPr>
          <w:p w14:paraId="172C141B">
            <w:pPr>
              <w:pStyle w:val="1001"/>
              <w:rPr>
                <w:color w:val="auto"/>
                <w:highlight w:val="none"/>
                <w:u w:val="none"/>
              </w:rPr>
            </w:pPr>
            <w:r>
              <w:rPr>
                <w:rFonts w:hint="eastAsia"/>
                <w:color w:val="auto"/>
                <w:highlight w:val="none"/>
                <w:u w:val="none"/>
              </w:rPr>
              <w:t>7</w:t>
            </w:r>
            <w:r>
              <w:rPr>
                <w:color w:val="auto"/>
                <w:highlight w:val="none"/>
                <w:u w:val="none"/>
              </w:rPr>
              <w:t>0</w:t>
            </w:r>
          </w:p>
        </w:tc>
        <w:tc>
          <w:tcPr>
            <w:tcW w:w="850" w:type="pct"/>
            <w:vMerge w:val="continue"/>
            <w:noWrap/>
            <w:vAlign w:val="center"/>
          </w:tcPr>
          <w:p w14:paraId="110BFE6B">
            <w:pPr>
              <w:pStyle w:val="1001"/>
              <w:rPr>
                <w:rFonts w:ascii="宋体" w:cs="宋体"/>
                <w:color w:val="auto"/>
                <w:highlight w:val="none"/>
                <w:u w:val="none"/>
              </w:rPr>
            </w:pPr>
          </w:p>
        </w:tc>
      </w:tr>
      <w:tr w14:paraId="7D2EE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restart"/>
            <w:noWrap/>
            <w:vAlign w:val="center"/>
          </w:tcPr>
          <w:p w14:paraId="095F59A1">
            <w:pPr>
              <w:pStyle w:val="1001"/>
              <w:rPr>
                <w:color w:val="auto"/>
                <w:highlight w:val="none"/>
                <w:u w:val="none"/>
              </w:rPr>
            </w:pPr>
            <w:r>
              <w:rPr>
                <w:rFonts w:hint="eastAsia"/>
                <w:color w:val="auto"/>
                <w:highlight w:val="none"/>
                <w:u w:val="none"/>
              </w:rPr>
              <w:t>甲醛二期</w:t>
            </w:r>
          </w:p>
        </w:tc>
        <w:tc>
          <w:tcPr>
            <w:tcW w:w="1171" w:type="pct"/>
            <w:vMerge w:val="restart"/>
            <w:noWrap/>
            <w:vAlign w:val="center"/>
          </w:tcPr>
          <w:p w14:paraId="5641A8B9">
            <w:pPr>
              <w:pStyle w:val="1001"/>
              <w:rPr>
                <w:rFonts w:hint="eastAsia"/>
                <w:color w:val="auto"/>
                <w:highlight w:val="none"/>
                <w:u w:val="none"/>
              </w:rPr>
            </w:pPr>
            <w:r>
              <w:rPr>
                <w:rFonts w:hint="eastAsia"/>
                <w:color w:val="auto"/>
                <w:highlight w:val="none"/>
                <w:u w:val="none"/>
              </w:rPr>
              <w:t>甲醛装置区</w:t>
            </w:r>
          </w:p>
        </w:tc>
        <w:tc>
          <w:tcPr>
            <w:tcW w:w="2351" w:type="dxa"/>
            <w:noWrap/>
            <w:vAlign w:val="center"/>
          </w:tcPr>
          <w:p w14:paraId="716A042F">
            <w:pPr>
              <w:pStyle w:val="1001"/>
              <w:ind w:firstLine="0" w:firstLineChars="0"/>
              <w:rPr>
                <w:rFonts w:hint="eastAsia"/>
                <w:color w:val="auto"/>
                <w:kern w:val="0"/>
                <w:highlight w:val="none"/>
                <w:u w:val="none"/>
              </w:rPr>
            </w:pPr>
            <w:r>
              <w:rPr>
                <w:rFonts w:hint="eastAsia"/>
                <w:color w:val="auto"/>
                <w:kern w:val="0"/>
                <w:highlight w:val="none"/>
                <w:u w:val="none"/>
              </w:rPr>
              <w:t>罗茨风机</w:t>
            </w:r>
          </w:p>
        </w:tc>
        <w:tc>
          <w:tcPr>
            <w:tcW w:w="729" w:type="dxa"/>
            <w:noWrap/>
            <w:vAlign w:val="center"/>
          </w:tcPr>
          <w:p w14:paraId="4A038C3B">
            <w:pPr>
              <w:pStyle w:val="1001"/>
              <w:ind w:firstLine="0" w:firstLineChars="0"/>
              <w:rPr>
                <w:rFonts w:hint="eastAsia"/>
                <w:color w:val="auto"/>
                <w:highlight w:val="none"/>
                <w:u w:val="none"/>
              </w:rPr>
            </w:pPr>
            <w:r>
              <w:rPr>
                <w:rFonts w:hint="eastAsia"/>
                <w:color w:val="auto"/>
                <w:highlight w:val="none"/>
                <w:u w:val="none"/>
              </w:rPr>
              <w:t>1</w:t>
            </w:r>
          </w:p>
        </w:tc>
        <w:tc>
          <w:tcPr>
            <w:tcW w:w="607" w:type="dxa"/>
            <w:noWrap/>
            <w:vAlign w:val="center"/>
          </w:tcPr>
          <w:p w14:paraId="6B2DACA0">
            <w:pPr>
              <w:pStyle w:val="1001"/>
              <w:ind w:firstLine="0" w:firstLineChars="0"/>
              <w:rPr>
                <w:rFonts w:hint="eastAsia"/>
                <w:color w:val="auto"/>
                <w:highlight w:val="none"/>
                <w:u w:val="none"/>
              </w:rPr>
            </w:pPr>
            <w:r>
              <w:rPr>
                <w:rFonts w:hint="eastAsia"/>
                <w:color w:val="auto"/>
                <w:highlight w:val="none"/>
                <w:u w:val="none"/>
              </w:rPr>
              <w:t>564</w:t>
            </w:r>
          </w:p>
        </w:tc>
        <w:tc>
          <w:tcPr>
            <w:tcW w:w="689" w:type="dxa"/>
            <w:noWrap/>
            <w:vAlign w:val="center"/>
          </w:tcPr>
          <w:p w14:paraId="26AC3D97">
            <w:pPr>
              <w:pStyle w:val="1001"/>
              <w:ind w:firstLine="0" w:firstLineChars="0"/>
              <w:rPr>
                <w:rFonts w:hint="eastAsia"/>
                <w:color w:val="auto"/>
                <w:highlight w:val="none"/>
                <w:u w:val="none"/>
              </w:rPr>
            </w:pPr>
            <w:r>
              <w:rPr>
                <w:rFonts w:hint="eastAsia"/>
                <w:color w:val="auto"/>
                <w:highlight w:val="none"/>
                <w:u w:val="none"/>
              </w:rPr>
              <w:t>421</w:t>
            </w:r>
          </w:p>
        </w:tc>
        <w:tc>
          <w:tcPr>
            <w:tcW w:w="547" w:type="dxa"/>
            <w:noWrap/>
            <w:vAlign w:val="top"/>
          </w:tcPr>
          <w:p w14:paraId="25082501">
            <w:pPr>
              <w:pStyle w:val="1001"/>
              <w:ind w:firstLine="0" w:firstLineChars="0"/>
              <w:rPr>
                <w:rFonts w:hint="eastAsia"/>
                <w:color w:val="auto"/>
                <w:highlight w:val="none"/>
                <w:u w:val="none"/>
              </w:rPr>
            </w:pPr>
            <w:r>
              <w:rPr>
                <w:rFonts w:hint="eastAsia"/>
                <w:color w:val="auto"/>
                <w:highlight w:val="none"/>
                <w:u w:val="none"/>
              </w:rPr>
              <w:t>1.2</w:t>
            </w:r>
          </w:p>
        </w:tc>
        <w:tc>
          <w:tcPr>
            <w:tcW w:w="927" w:type="dxa"/>
            <w:noWrap/>
            <w:vAlign w:val="center"/>
          </w:tcPr>
          <w:p w14:paraId="5933FAAD">
            <w:pPr>
              <w:pStyle w:val="1001"/>
              <w:ind w:firstLine="0" w:firstLineChars="0"/>
              <w:rPr>
                <w:rFonts w:hint="eastAsia"/>
                <w:color w:val="auto"/>
                <w:highlight w:val="none"/>
                <w:u w:val="none"/>
              </w:rPr>
            </w:pPr>
            <w:r>
              <w:rPr>
                <w:rFonts w:hint="eastAsia"/>
                <w:color w:val="auto"/>
                <w:highlight w:val="none"/>
                <w:u w:val="none"/>
              </w:rPr>
              <w:t>75</w:t>
            </w:r>
          </w:p>
        </w:tc>
        <w:tc>
          <w:tcPr>
            <w:tcW w:w="850" w:type="pct"/>
            <w:vMerge w:val="restart"/>
            <w:noWrap/>
            <w:vAlign w:val="center"/>
          </w:tcPr>
          <w:p w14:paraId="1C0756E8">
            <w:pPr>
              <w:pStyle w:val="1001"/>
              <w:rPr>
                <w:rFonts w:ascii="宋体" w:cs="宋体"/>
                <w:color w:val="auto"/>
                <w:highlight w:val="none"/>
                <w:u w:val="none"/>
              </w:rPr>
            </w:pPr>
            <w:r>
              <w:rPr>
                <w:rFonts w:hint="eastAsia" w:ascii="宋体" w:cs="宋体"/>
                <w:color w:val="auto"/>
                <w:highlight w:val="none"/>
                <w:u w:val="none"/>
              </w:rPr>
              <w:t>基础减震、建筑隔声</w:t>
            </w:r>
          </w:p>
        </w:tc>
      </w:tr>
      <w:tr w14:paraId="5B5E6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4835B3CE">
            <w:pPr>
              <w:pStyle w:val="1001"/>
              <w:rPr>
                <w:color w:val="auto"/>
                <w:highlight w:val="none"/>
                <w:u w:val="none"/>
              </w:rPr>
            </w:pPr>
          </w:p>
        </w:tc>
        <w:tc>
          <w:tcPr>
            <w:tcW w:w="1171" w:type="pct"/>
            <w:vMerge w:val="continue"/>
            <w:noWrap/>
            <w:vAlign w:val="center"/>
          </w:tcPr>
          <w:p w14:paraId="49A77A60">
            <w:pPr>
              <w:pStyle w:val="1001"/>
              <w:rPr>
                <w:rFonts w:hint="eastAsia"/>
                <w:color w:val="auto"/>
                <w:highlight w:val="none"/>
                <w:u w:val="none"/>
              </w:rPr>
            </w:pPr>
          </w:p>
        </w:tc>
        <w:tc>
          <w:tcPr>
            <w:tcW w:w="2351" w:type="dxa"/>
            <w:noWrap/>
            <w:vAlign w:val="center"/>
          </w:tcPr>
          <w:p w14:paraId="44772D6C">
            <w:pPr>
              <w:pStyle w:val="1001"/>
              <w:ind w:firstLine="0" w:firstLineChars="0"/>
              <w:rPr>
                <w:rFonts w:hint="eastAsia"/>
                <w:color w:val="auto"/>
                <w:kern w:val="0"/>
                <w:highlight w:val="none"/>
                <w:u w:val="none"/>
              </w:rPr>
            </w:pPr>
            <w:r>
              <w:rPr>
                <w:rFonts w:hint="eastAsia"/>
                <w:color w:val="auto"/>
                <w:kern w:val="0"/>
                <w:highlight w:val="none"/>
                <w:u w:val="none"/>
              </w:rPr>
              <w:t>机泵</w:t>
            </w:r>
          </w:p>
        </w:tc>
        <w:tc>
          <w:tcPr>
            <w:tcW w:w="729" w:type="dxa"/>
            <w:noWrap/>
            <w:vAlign w:val="center"/>
          </w:tcPr>
          <w:p w14:paraId="6F567B21">
            <w:pPr>
              <w:pStyle w:val="1001"/>
              <w:ind w:firstLine="0" w:firstLineChars="0"/>
              <w:rPr>
                <w:rFonts w:hint="eastAsia"/>
                <w:color w:val="auto"/>
                <w:highlight w:val="none"/>
                <w:u w:val="none"/>
              </w:rPr>
            </w:pPr>
            <w:r>
              <w:rPr>
                <w:rFonts w:hint="eastAsia"/>
                <w:color w:val="auto"/>
                <w:highlight w:val="none"/>
                <w:u w:val="none"/>
              </w:rPr>
              <w:t>10</w:t>
            </w:r>
          </w:p>
        </w:tc>
        <w:tc>
          <w:tcPr>
            <w:tcW w:w="607" w:type="dxa"/>
            <w:noWrap/>
            <w:vAlign w:val="center"/>
          </w:tcPr>
          <w:p w14:paraId="20D8A436">
            <w:pPr>
              <w:pStyle w:val="1001"/>
              <w:ind w:firstLine="0" w:firstLineChars="0"/>
              <w:rPr>
                <w:rFonts w:hint="eastAsia"/>
                <w:color w:val="auto"/>
                <w:highlight w:val="none"/>
                <w:u w:val="none"/>
              </w:rPr>
            </w:pPr>
            <w:r>
              <w:rPr>
                <w:rFonts w:hint="eastAsia"/>
                <w:color w:val="auto"/>
                <w:highlight w:val="none"/>
                <w:u w:val="none"/>
              </w:rPr>
              <w:t>577</w:t>
            </w:r>
          </w:p>
        </w:tc>
        <w:tc>
          <w:tcPr>
            <w:tcW w:w="689" w:type="dxa"/>
            <w:noWrap/>
            <w:vAlign w:val="center"/>
          </w:tcPr>
          <w:p w14:paraId="71D5CB65">
            <w:pPr>
              <w:pStyle w:val="1001"/>
              <w:ind w:firstLine="0" w:firstLineChars="0"/>
              <w:rPr>
                <w:rFonts w:hint="eastAsia"/>
                <w:color w:val="auto"/>
                <w:highlight w:val="none"/>
                <w:u w:val="none"/>
              </w:rPr>
            </w:pPr>
            <w:r>
              <w:rPr>
                <w:rFonts w:hint="eastAsia"/>
                <w:color w:val="auto"/>
                <w:highlight w:val="none"/>
                <w:u w:val="none"/>
              </w:rPr>
              <w:t>420</w:t>
            </w:r>
          </w:p>
        </w:tc>
        <w:tc>
          <w:tcPr>
            <w:tcW w:w="547" w:type="dxa"/>
            <w:noWrap/>
            <w:vAlign w:val="top"/>
          </w:tcPr>
          <w:p w14:paraId="73FE5400">
            <w:pPr>
              <w:pStyle w:val="1001"/>
              <w:ind w:firstLine="0" w:firstLineChars="0"/>
              <w:rPr>
                <w:rFonts w:hint="eastAsia"/>
                <w:color w:val="auto"/>
                <w:highlight w:val="none"/>
                <w:u w:val="none"/>
              </w:rPr>
            </w:pPr>
            <w:r>
              <w:rPr>
                <w:rFonts w:hint="eastAsia"/>
                <w:color w:val="auto"/>
                <w:highlight w:val="none"/>
                <w:u w:val="none"/>
              </w:rPr>
              <w:t>1.2</w:t>
            </w:r>
          </w:p>
        </w:tc>
        <w:tc>
          <w:tcPr>
            <w:tcW w:w="927" w:type="dxa"/>
            <w:noWrap/>
            <w:vAlign w:val="center"/>
          </w:tcPr>
          <w:p w14:paraId="2EF65146">
            <w:pPr>
              <w:pStyle w:val="1001"/>
              <w:ind w:firstLine="0" w:firstLineChars="0"/>
              <w:rPr>
                <w:rFonts w:hint="eastAsia"/>
                <w:color w:val="auto"/>
                <w:highlight w:val="none"/>
                <w:u w:val="none"/>
              </w:rPr>
            </w:pPr>
            <w:r>
              <w:rPr>
                <w:rFonts w:hint="eastAsia"/>
                <w:color w:val="auto"/>
                <w:highlight w:val="none"/>
                <w:u w:val="none"/>
              </w:rPr>
              <w:t>75</w:t>
            </w:r>
          </w:p>
        </w:tc>
        <w:tc>
          <w:tcPr>
            <w:tcW w:w="850" w:type="pct"/>
            <w:vMerge w:val="continue"/>
            <w:noWrap/>
            <w:vAlign w:val="center"/>
          </w:tcPr>
          <w:p w14:paraId="016ADD09">
            <w:pPr>
              <w:pStyle w:val="1001"/>
              <w:rPr>
                <w:rFonts w:ascii="宋体" w:cs="宋体"/>
                <w:color w:val="auto"/>
                <w:highlight w:val="none"/>
                <w:u w:val="none"/>
              </w:rPr>
            </w:pPr>
          </w:p>
        </w:tc>
      </w:tr>
      <w:tr w14:paraId="0138B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65814EDF">
            <w:pPr>
              <w:pStyle w:val="1001"/>
              <w:rPr>
                <w:color w:val="auto"/>
                <w:highlight w:val="none"/>
                <w:u w:val="none"/>
              </w:rPr>
            </w:pPr>
          </w:p>
        </w:tc>
        <w:tc>
          <w:tcPr>
            <w:tcW w:w="3320" w:type="dxa"/>
            <w:noWrap/>
            <w:vAlign w:val="center"/>
          </w:tcPr>
          <w:p w14:paraId="7B2C4433">
            <w:pPr>
              <w:pStyle w:val="1001"/>
              <w:ind w:firstLine="0" w:firstLineChars="0"/>
              <w:rPr>
                <w:rFonts w:hint="eastAsia"/>
                <w:color w:val="auto"/>
                <w:highlight w:val="none"/>
                <w:u w:val="none"/>
              </w:rPr>
            </w:pPr>
            <w:r>
              <w:rPr>
                <w:rFonts w:hint="eastAsia"/>
                <w:color w:val="auto"/>
                <w:highlight w:val="none"/>
                <w:u w:val="none"/>
              </w:rPr>
              <w:t>风机房</w:t>
            </w:r>
          </w:p>
        </w:tc>
        <w:tc>
          <w:tcPr>
            <w:tcW w:w="2351" w:type="dxa"/>
            <w:noWrap/>
            <w:vAlign w:val="center"/>
          </w:tcPr>
          <w:p w14:paraId="73D63E99">
            <w:pPr>
              <w:pStyle w:val="1001"/>
              <w:ind w:firstLine="0" w:firstLineChars="0"/>
              <w:rPr>
                <w:rFonts w:hint="eastAsia"/>
                <w:color w:val="auto"/>
                <w:kern w:val="0"/>
                <w:highlight w:val="none"/>
                <w:u w:val="none"/>
              </w:rPr>
            </w:pPr>
            <w:r>
              <w:rPr>
                <w:rFonts w:hint="eastAsia"/>
                <w:color w:val="auto"/>
                <w:kern w:val="0"/>
                <w:highlight w:val="none"/>
                <w:u w:val="none"/>
              </w:rPr>
              <w:t>各类风机</w:t>
            </w:r>
          </w:p>
        </w:tc>
        <w:tc>
          <w:tcPr>
            <w:tcW w:w="729" w:type="dxa"/>
            <w:noWrap/>
            <w:vAlign w:val="center"/>
          </w:tcPr>
          <w:p w14:paraId="3BD0D351">
            <w:pPr>
              <w:pStyle w:val="1001"/>
              <w:ind w:firstLine="0" w:firstLineChars="0"/>
              <w:rPr>
                <w:rFonts w:hint="eastAsia"/>
                <w:color w:val="auto"/>
                <w:highlight w:val="none"/>
                <w:u w:val="none"/>
              </w:rPr>
            </w:pPr>
            <w:r>
              <w:rPr>
                <w:rFonts w:hint="eastAsia"/>
                <w:color w:val="auto"/>
                <w:highlight w:val="none"/>
                <w:u w:val="none"/>
              </w:rPr>
              <w:t>9</w:t>
            </w:r>
          </w:p>
        </w:tc>
        <w:tc>
          <w:tcPr>
            <w:tcW w:w="607" w:type="dxa"/>
            <w:noWrap/>
            <w:vAlign w:val="center"/>
          </w:tcPr>
          <w:p w14:paraId="4E458119">
            <w:pPr>
              <w:pStyle w:val="1001"/>
              <w:ind w:firstLine="0" w:firstLineChars="0"/>
              <w:rPr>
                <w:rFonts w:hint="eastAsia"/>
                <w:color w:val="auto"/>
                <w:highlight w:val="none"/>
                <w:u w:val="none"/>
              </w:rPr>
            </w:pPr>
            <w:r>
              <w:rPr>
                <w:rFonts w:hint="eastAsia"/>
                <w:color w:val="auto"/>
                <w:highlight w:val="none"/>
                <w:u w:val="none"/>
              </w:rPr>
              <w:t>555</w:t>
            </w:r>
          </w:p>
        </w:tc>
        <w:tc>
          <w:tcPr>
            <w:tcW w:w="689" w:type="dxa"/>
            <w:noWrap/>
            <w:vAlign w:val="center"/>
          </w:tcPr>
          <w:p w14:paraId="6312BFFD">
            <w:pPr>
              <w:pStyle w:val="1001"/>
              <w:ind w:firstLine="0" w:firstLineChars="0"/>
              <w:rPr>
                <w:rFonts w:hint="eastAsia"/>
                <w:color w:val="auto"/>
                <w:highlight w:val="none"/>
                <w:u w:val="none"/>
              </w:rPr>
            </w:pPr>
            <w:r>
              <w:rPr>
                <w:rFonts w:hint="eastAsia"/>
                <w:color w:val="auto"/>
                <w:highlight w:val="none"/>
                <w:u w:val="none"/>
              </w:rPr>
              <w:t>395</w:t>
            </w:r>
          </w:p>
        </w:tc>
        <w:tc>
          <w:tcPr>
            <w:tcW w:w="547" w:type="dxa"/>
            <w:noWrap/>
            <w:vAlign w:val="top"/>
          </w:tcPr>
          <w:p w14:paraId="073365FD">
            <w:pPr>
              <w:pStyle w:val="1001"/>
              <w:ind w:firstLine="0" w:firstLineChars="0"/>
              <w:rPr>
                <w:rFonts w:hint="eastAsia"/>
                <w:color w:val="auto"/>
                <w:highlight w:val="none"/>
                <w:u w:val="none"/>
              </w:rPr>
            </w:pPr>
            <w:r>
              <w:rPr>
                <w:rFonts w:hint="eastAsia"/>
                <w:color w:val="auto"/>
                <w:highlight w:val="none"/>
                <w:u w:val="none"/>
              </w:rPr>
              <w:t>1.2</w:t>
            </w:r>
          </w:p>
        </w:tc>
        <w:tc>
          <w:tcPr>
            <w:tcW w:w="927" w:type="dxa"/>
            <w:noWrap/>
            <w:vAlign w:val="center"/>
          </w:tcPr>
          <w:p w14:paraId="2FDFB300">
            <w:pPr>
              <w:pStyle w:val="1001"/>
              <w:ind w:firstLine="0" w:firstLineChars="0"/>
              <w:rPr>
                <w:rFonts w:hint="eastAsia"/>
                <w:color w:val="auto"/>
                <w:highlight w:val="none"/>
                <w:u w:val="none"/>
              </w:rPr>
            </w:pPr>
            <w:r>
              <w:rPr>
                <w:rFonts w:hint="eastAsia"/>
                <w:color w:val="auto"/>
                <w:highlight w:val="none"/>
                <w:u w:val="none"/>
              </w:rPr>
              <w:t>90</w:t>
            </w:r>
          </w:p>
        </w:tc>
        <w:tc>
          <w:tcPr>
            <w:tcW w:w="850" w:type="pct"/>
            <w:vMerge w:val="continue"/>
            <w:noWrap/>
            <w:vAlign w:val="center"/>
          </w:tcPr>
          <w:p w14:paraId="62924C37">
            <w:pPr>
              <w:pStyle w:val="1001"/>
              <w:rPr>
                <w:rFonts w:ascii="宋体" w:cs="宋体"/>
                <w:color w:val="auto"/>
                <w:highlight w:val="none"/>
                <w:u w:val="none"/>
              </w:rPr>
            </w:pPr>
          </w:p>
        </w:tc>
      </w:tr>
      <w:tr w14:paraId="23D45D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5" w:type="pct"/>
            <w:gridSpan w:val="2"/>
            <w:vMerge w:val="continue"/>
            <w:noWrap/>
            <w:vAlign w:val="center"/>
          </w:tcPr>
          <w:p w14:paraId="6E8C898D">
            <w:pPr>
              <w:pStyle w:val="1001"/>
              <w:rPr>
                <w:color w:val="auto"/>
                <w:highlight w:val="none"/>
                <w:u w:val="none"/>
              </w:rPr>
            </w:pPr>
          </w:p>
        </w:tc>
        <w:tc>
          <w:tcPr>
            <w:tcW w:w="3320" w:type="dxa"/>
            <w:noWrap/>
            <w:vAlign w:val="center"/>
          </w:tcPr>
          <w:p w14:paraId="4022B5ED">
            <w:pPr>
              <w:pStyle w:val="1001"/>
              <w:ind w:firstLine="0" w:firstLineChars="0"/>
              <w:rPr>
                <w:rFonts w:hint="eastAsia"/>
                <w:color w:val="auto"/>
                <w:highlight w:val="none"/>
                <w:u w:val="none"/>
              </w:rPr>
            </w:pPr>
            <w:r>
              <w:rPr>
                <w:rFonts w:hint="eastAsia"/>
                <w:color w:val="auto"/>
                <w:highlight w:val="none"/>
                <w:u w:val="none"/>
              </w:rPr>
              <w:t>甲醛罐区</w:t>
            </w:r>
          </w:p>
        </w:tc>
        <w:tc>
          <w:tcPr>
            <w:tcW w:w="2351" w:type="dxa"/>
            <w:noWrap/>
            <w:vAlign w:val="center"/>
          </w:tcPr>
          <w:p w14:paraId="3E42CC8B">
            <w:pPr>
              <w:pStyle w:val="1001"/>
              <w:ind w:firstLine="0" w:firstLineChars="0"/>
              <w:rPr>
                <w:rFonts w:hint="eastAsia"/>
                <w:color w:val="auto"/>
                <w:kern w:val="0"/>
                <w:highlight w:val="none"/>
                <w:u w:val="none"/>
              </w:rPr>
            </w:pPr>
            <w:r>
              <w:rPr>
                <w:rFonts w:hint="eastAsia"/>
                <w:color w:val="auto"/>
                <w:kern w:val="0"/>
                <w:highlight w:val="none"/>
                <w:u w:val="none"/>
              </w:rPr>
              <w:t>罗茨风机</w:t>
            </w:r>
          </w:p>
        </w:tc>
        <w:tc>
          <w:tcPr>
            <w:tcW w:w="729" w:type="dxa"/>
            <w:noWrap/>
            <w:vAlign w:val="center"/>
          </w:tcPr>
          <w:p w14:paraId="2918AF19">
            <w:pPr>
              <w:pStyle w:val="1001"/>
              <w:ind w:firstLine="0" w:firstLineChars="0"/>
              <w:rPr>
                <w:rFonts w:hint="eastAsia"/>
                <w:color w:val="auto"/>
                <w:highlight w:val="none"/>
                <w:u w:val="none"/>
              </w:rPr>
            </w:pPr>
            <w:r>
              <w:rPr>
                <w:rFonts w:hint="eastAsia"/>
                <w:color w:val="auto"/>
                <w:highlight w:val="none"/>
                <w:u w:val="none"/>
              </w:rPr>
              <w:t>1</w:t>
            </w:r>
          </w:p>
        </w:tc>
        <w:tc>
          <w:tcPr>
            <w:tcW w:w="607" w:type="dxa"/>
            <w:noWrap/>
            <w:vAlign w:val="center"/>
          </w:tcPr>
          <w:p w14:paraId="11D4B2D1">
            <w:pPr>
              <w:pStyle w:val="1001"/>
              <w:ind w:firstLine="0" w:firstLineChars="0"/>
              <w:rPr>
                <w:rFonts w:hint="eastAsia"/>
                <w:color w:val="auto"/>
                <w:highlight w:val="none"/>
                <w:u w:val="none"/>
              </w:rPr>
            </w:pPr>
            <w:r>
              <w:rPr>
                <w:rFonts w:hint="eastAsia"/>
                <w:color w:val="auto"/>
                <w:highlight w:val="none"/>
                <w:u w:val="none"/>
              </w:rPr>
              <w:t>622</w:t>
            </w:r>
          </w:p>
        </w:tc>
        <w:tc>
          <w:tcPr>
            <w:tcW w:w="689" w:type="dxa"/>
            <w:noWrap/>
            <w:vAlign w:val="center"/>
          </w:tcPr>
          <w:p w14:paraId="577DF41E">
            <w:pPr>
              <w:pStyle w:val="1001"/>
              <w:ind w:firstLine="0" w:firstLineChars="0"/>
              <w:rPr>
                <w:rFonts w:hint="eastAsia"/>
                <w:color w:val="auto"/>
                <w:highlight w:val="none"/>
                <w:u w:val="none"/>
              </w:rPr>
            </w:pPr>
            <w:r>
              <w:rPr>
                <w:rFonts w:hint="eastAsia"/>
                <w:color w:val="auto"/>
                <w:highlight w:val="none"/>
                <w:u w:val="none"/>
              </w:rPr>
              <w:t>403</w:t>
            </w:r>
          </w:p>
        </w:tc>
        <w:tc>
          <w:tcPr>
            <w:tcW w:w="547" w:type="dxa"/>
            <w:noWrap/>
            <w:vAlign w:val="top"/>
          </w:tcPr>
          <w:p w14:paraId="5BC2060D">
            <w:pPr>
              <w:pStyle w:val="1001"/>
              <w:ind w:firstLine="0" w:firstLineChars="0"/>
              <w:rPr>
                <w:rFonts w:hint="eastAsia"/>
                <w:color w:val="auto"/>
                <w:highlight w:val="none"/>
                <w:u w:val="none"/>
              </w:rPr>
            </w:pPr>
            <w:r>
              <w:rPr>
                <w:rFonts w:hint="eastAsia"/>
                <w:color w:val="auto"/>
                <w:highlight w:val="none"/>
                <w:u w:val="none"/>
              </w:rPr>
              <w:t>1.2</w:t>
            </w:r>
          </w:p>
        </w:tc>
        <w:tc>
          <w:tcPr>
            <w:tcW w:w="927" w:type="dxa"/>
            <w:noWrap/>
            <w:vAlign w:val="center"/>
          </w:tcPr>
          <w:p w14:paraId="286962B8">
            <w:pPr>
              <w:pStyle w:val="1001"/>
              <w:ind w:firstLine="0" w:firstLineChars="0"/>
              <w:rPr>
                <w:rFonts w:hint="eastAsia"/>
                <w:color w:val="auto"/>
                <w:highlight w:val="none"/>
                <w:u w:val="none"/>
              </w:rPr>
            </w:pPr>
            <w:r>
              <w:rPr>
                <w:rFonts w:hint="eastAsia"/>
                <w:color w:val="auto"/>
                <w:highlight w:val="none"/>
                <w:u w:val="none"/>
              </w:rPr>
              <w:t>75</w:t>
            </w:r>
          </w:p>
        </w:tc>
        <w:tc>
          <w:tcPr>
            <w:tcW w:w="850" w:type="pct"/>
            <w:vMerge w:val="continue"/>
            <w:noWrap/>
            <w:vAlign w:val="center"/>
          </w:tcPr>
          <w:p w14:paraId="6226D183">
            <w:pPr>
              <w:pStyle w:val="1001"/>
              <w:rPr>
                <w:rFonts w:ascii="宋体" w:cs="宋体"/>
                <w:color w:val="auto"/>
                <w:highlight w:val="none"/>
                <w:u w:val="none"/>
              </w:rPr>
            </w:pPr>
          </w:p>
        </w:tc>
      </w:tr>
    </w:tbl>
    <w:p w14:paraId="213140A3">
      <w:pPr>
        <w:pStyle w:val="981"/>
        <w:rPr>
          <w:rFonts w:hint="eastAsia"/>
          <w:color w:val="auto"/>
          <w:highlight w:val="none"/>
          <w:u w:val="none"/>
        </w:rPr>
      </w:pPr>
    </w:p>
    <w:p w14:paraId="58C4F6D8">
      <w:pPr>
        <w:pStyle w:val="981"/>
        <w:rPr>
          <w:rFonts w:hint="eastAsia"/>
          <w:color w:val="auto"/>
          <w:highlight w:val="none"/>
          <w:u w:val="none"/>
        </w:rPr>
      </w:pPr>
    </w:p>
    <w:p w14:paraId="173EAD63">
      <w:pPr>
        <w:pStyle w:val="981"/>
        <w:rPr>
          <w:rFonts w:hint="eastAsia"/>
          <w:color w:val="auto"/>
          <w:highlight w:val="none"/>
          <w:u w:val="none"/>
        </w:rPr>
        <w:sectPr>
          <w:pgSz w:w="16838" w:h="11906" w:orient="landscape"/>
          <w:pgMar w:top="1418" w:right="1440" w:bottom="1418" w:left="1440" w:header="851" w:footer="992" w:gutter="0"/>
          <w:cols w:space="425" w:num="1"/>
          <w:docGrid w:type="lines" w:linePitch="312" w:charSpace="0"/>
        </w:sectPr>
      </w:pPr>
    </w:p>
    <w:p w14:paraId="5A8E7E8A">
      <w:pPr>
        <w:pStyle w:val="6"/>
        <w:spacing w:before="156" w:after="156"/>
        <w:rPr>
          <w:color w:val="auto"/>
          <w:highlight w:val="none"/>
          <w:u w:val="none"/>
        </w:rPr>
      </w:pPr>
      <w:r>
        <w:rPr>
          <w:rFonts w:hint="eastAsia"/>
          <w:color w:val="auto"/>
          <w:highlight w:val="none"/>
          <w:u w:val="none"/>
        </w:rPr>
        <w:t>预测范围、点位与评价因子</w:t>
      </w:r>
    </w:p>
    <w:p w14:paraId="27994A3A">
      <w:pPr>
        <w:pStyle w:val="981"/>
        <w:rPr>
          <w:rFonts w:hint="eastAsia"/>
          <w:color w:val="auto"/>
          <w:highlight w:val="none"/>
          <w:u w:val="none"/>
        </w:rPr>
      </w:pPr>
      <w:r>
        <w:rPr>
          <w:rFonts w:hint="eastAsia"/>
          <w:color w:val="auto"/>
          <w:highlight w:val="none"/>
          <w:u w:val="none"/>
        </w:rPr>
        <w:t>噪声预测范围为：厂界外</w:t>
      </w:r>
      <w:r>
        <w:rPr>
          <w:color w:val="auto"/>
          <w:highlight w:val="none"/>
          <w:u w:val="none"/>
        </w:rPr>
        <w:t>200m范围；</w:t>
      </w:r>
    </w:p>
    <w:p w14:paraId="3EC16198">
      <w:pPr>
        <w:pStyle w:val="981"/>
        <w:rPr>
          <w:rFonts w:hint="eastAsia"/>
          <w:color w:val="auto"/>
          <w:highlight w:val="none"/>
          <w:u w:val="none"/>
        </w:rPr>
      </w:pPr>
      <w:r>
        <w:rPr>
          <w:rFonts w:hint="eastAsia"/>
          <w:color w:val="auto"/>
          <w:highlight w:val="none"/>
          <w:u w:val="none"/>
        </w:rPr>
        <w:t>预测内容：昼、夜间预测点位等效连续</w:t>
      </w:r>
      <w:r>
        <w:rPr>
          <w:color w:val="auto"/>
          <w:highlight w:val="none"/>
          <w:u w:val="none"/>
        </w:rPr>
        <w:t>A声级。</w:t>
      </w:r>
    </w:p>
    <w:p w14:paraId="1BC9EBD9">
      <w:pPr>
        <w:pStyle w:val="981"/>
        <w:rPr>
          <w:rFonts w:hint="eastAsia"/>
          <w:color w:val="auto"/>
          <w:highlight w:val="none"/>
          <w:u w:val="none"/>
        </w:rPr>
      </w:pPr>
      <w:r>
        <w:rPr>
          <w:rFonts w:hint="eastAsia"/>
          <w:color w:val="auto"/>
          <w:highlight w:val="none"/>
          <w:u w:val="none"/>
        </w:rPr>
        <w:t>由于本项目厂界</w:t>
      </w:r>
      <w:r>
        <w:rPr>
          <w:color w:val="auto"/>
          <w:highlight w:val="none"/>
          <w:u w:val="none"/>
        </w:rPr>
        <w:t>200m范围内无居民区，因而本次预测评价不考虑噪声源对敏感点的影响。</w:t>
      </w:r>
    </w:p>
    <w:p w14:paraId="2C699F54">
      <w:pPr>
        <w:pStyle w:val="6"/>
        <w:spacing w:before="156" w:after="156"/>
        <w:rPr>
          <w:color w:val="auto"/>
          <w:highlight w:val="none"/>
          <w:u w:val="none"/>
        </w:rPr>
      </w:pPr>
      <w:r>
        <w:rPr>
          <w:rFonts w:hint="eastAsia"/>
          <w:color w:val="auto"/>
          <w:highlight w:val="none"/>
          <w:u w:val="none"/>
        </w:rPr>
        <w:t>噪声预测模式</w:t>
      </w:r>
    </w:p>
    <w:p w14:paraId="6B121588">
      <w:pPr>
        <w:pStyle w:val="981"/>
        <w:rPr>
          <w:rFonts w:hint="eastAsia"/>
          <w:snapToGrid w:val="0"/>
          <w:color w:val="auto"/>
          <w:highlight w:val="none"/>
          <w:u w:val="none"/>
        </w:rPr>
      </w:pPr>
      <w:r>
        <w:rPr>
          <w:snapToGrid w:val="0"/>
          <w:color w:val="auto"/>
          <w:highlight w:val="none"/>
          <w:u w:val="none"/>
        </w:rPr>
        <w:t>预测模式采用《环境影响评价技术导则 声环境》（HJ2.4-2021）附录A中的预测模式。</w:t>
      </w:r>
    </w:p>
    <w:p w14:paraId="2FD0EF34">
      <w:pPr>
        <w:pStyle w:val="6"/>
        <w:spacing w:before="156" w:after="156"/>
        <w:rPr>
          <w:color w:val="auto"/>
          <w:highlight w:val="none"/>
          <w:u w:val="none"/>
        </w:rPr>
      </w:pPr>
      <w:r>
        <w:rPr>
          <w:rFonts w:hint="eastAsia"/>
          <w:color w:val="auto"/>
          <w:highlight w:val="none"/>
          <w:u w:val="none"/>
        </w:rPr>
        <w:t>项目建成后环境噪声预测及影响评价</w:t>
      </w:r>
    </w:p>
    <w:p w14:paraId="7D756DD6">
      <w:pPr>
        <w:pStyle w:val="981"/>
        <w:numPr>
          <w:ilvl w:val="0"/>
          <w:numId w:val="9"/>
        </w:numPr>
        <w:ind w:firstLineChars="0"/>
        <w:rPr>
          <w:rFonts w:hint="eastAsia"/>
          <w:snapToGrid w:val="0"/>
          <w:color w:val="auto"/>
          <w:highlight w:val="none"/>
          <w:u w:val="none"/>
        </w:rPr>
      </w:pPr>
      <w:r>
        <w:rPr>
          <w:rFonts w:hint="eastAsia"/>
          <w:snapToGrid w:val="0"/>
          <w:color w:val="auto"/>
          <w:highlight w:val="none"/>
          <w:u w:val="none"/>
        </w:rPr>
        <w:t>项目厂界声影响预测评价</w:t>
      </w:r>
    </w:p>
    <w:p w14:paraId="1D03A3AE">
      <w:pPr>
        <w:pStyle w:val="981"/>
        <w:rPr>
          <w:rFonts w:hint="eastAsia"/>
          <w:color w:val="auto"/>
          <w:highlight w:val="none"/>
          <w:u w:val="none"/>
        </w:rPr>
      </w:pPr>
      <w:r>
        <w:rPr>
          <w:rFonts w:hint="eastAsia"/>
          <w:color w:val="auto"/>
          <w:highlight w:val="none"/>
          <w:u w:val="none"/>
        </w:rPr>
        <w:t>本项目运营后，项目厂界噪声贡献值为本项目</w:t>
      </w:r>
      <w:r>
        <w:rPr>
          <w:rFonts w:hint="eastAsia"/>
          <w:color w:val="auto"/>
          <w:highlight w:val="none"/>
          <w:u w:val="none"/>
          <w:lang w:val="en-US"/>
        </w:rPr>
        <w:t>新增</w:t>
      </w:r>
      <w:r>
        <w:rPr>
          <w:rFonts w:hint="eastAsia"/>
          <w:color w:val="auto"/>
          <w:highlight w:val="none"/>
          <w:u w:val="none"/>
        </w:rPr>
        <w:t>设备噪声贡献值叠加全厂已建设项目设备噪声贡献值的结果</w:t>
      </w:r>
      <w:r>
        <w:rPr>
          <w:color w:val="auto"/>
          <w:highlight w:val="none"/>
          <w:u w:val="none"/>
        </w:rPr>
        <w:t>，预测结果</w:t>
      </w:r>
      <w:r>
        <w:rPr>
          <w:rFonts w:hint="eastAsia"/>
          <w:color w:val="auto"/>
          <w:highlight w:val="none"/>
          <w:u w:val="none"/>
        </w:rPr>
        <w:t>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_Ref148683483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8.4</w:t>
      </w:r>
      <w:r>
        <w:rPr>
          <w:color w:val="auto"/>
          <w:highlight w:val="none"/>
          <w:u w:val="none"/>
        </w:rPr>
        <w:fldChar w:fldCharType="end"/>
      </w:r>
      <w:r>
        <w:rPr>
          <w:color w:val="auto"/>
          <w:highlight w:val="none"/>
          <w:u w:val="none"/>
        </w:rPr>
        <w:noBreakHyphen/>
      </w:r>
      <w:r>
        <w:rPr>
          <w:color w:val="auto"/>
          <w:highlight w:val="none"/>
          <w:u w:val="none"/>
        </w:rPr>
        <w:t>3</w:t>
      </w:r>
      <w:r>
        <w:rPr>
          <w:color w:val="auto"/>
          <w:highlight w:val="none"/>
          <w:u w:val="none"/>
        </w:rPr>
        <w:fldChar w:fldCharType="end"/>
      </w:r>
      <w:r>
        <w:rPr>
          <w:rFonts w:hint="eastAsia"/>
          <w:color w:val="auto"/>
          <w:highlight w:val="none"/>
          <w:u w:val="none"/>
        </w:rPr>
        <w:t>。</w:t>
      </w:r>
    </w:p>
    <w:p w14:paraId="2FAB0448">
      <w:pPr>
        <w:pStyle w:val="476"/>
        <w:rPr>
          <w:color w:val="auto"/>
          <w:highlight w:val="none"/>
          <w:u w:val="none"/>
        </w:rPr>
      </w:pPr>
      <w:bookmarkStart w:id="529" w:name="_Ref148683483"/>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bookmarkEnd w:id="529"/>
      <w:r>
        <w:rPr>
          <w:color w:val="auto"/>
          <w:highlight w:val="none"/>
          <w:u w:val="none"/>
        </w:rPr>
        <w:t xml:space="preserve">  </w:t>
      </w:r>
      <w:r>
        <w:rPr>
          <w:rFonts w:hint="eastAsia"/>
          <w:color w:val="auto"/>
          <w:highlight w:val="none"/>
          <w:u w:val="none"/>
        </w:rPr>
        <w:t>环境噪声预测结果</w:t>
      </w:r>
      <w:r>
        <w:rPr>
          <w:color w:val="auto"/>
          <w:highlight w:val="none"/>
          <w:u w:val="none"/>
        </w:rPr>
        <w:t xml:space="preserve">  单位：dB（A）</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7"/>
        <w:gridCol w:w="972"/>
        <w:gridCol w:w="926"/>
        <w:gridCol w:w="1567"/>
        <w:gridCol w:w="866"/>
        <w:gridCol w:w="870"/>
        <w:gridCol w:w="814"/>
        <w:gridCol w:w="743"/>
        <w:gridCol w:w="892"/>
        <w:gridCol w:w="783"/>
      </w:tblGrid>
      <w:tr w14:paraId="5CA3B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vMerge w:val="restart"/>
            <w:tcMar>
              <w:left w:w="0" w:type="dxa"/>
              <w:right w:w="0" w:type="dxa"/>
            </w:tcMar>
            <w:vAlign w:val="center"/>
          </w:tcPr>
          <w:p w14:paraId="4ED00F3A">
            <w:pPr>
              <w:pStyle w:val="1001"/>
              <w:rPr>
                <w:color w:val="auto"/>
                <w:highlight w:val="none"/>
                <w:u w:val="none"/>
              </w:rPr>
            </w:pPr>
            <w:r>
              <w:rPr>
                <w:color w:val="auto"/>
                <w:highlight w:val="none"/>
                <w:u w:val="none"/>
              </w:rPr>
              <w:t>编号</w:t>
            </w:r>
          </w:p>
        </w:tc>
        <w:tc>
          <w:tcPr>
            <w:tcW w:w="1043" w:type="pct"/>
            <w:gridSpan w:val="2"/>
            <w:tcMar>
              <w:left w:w="0" w:type="dxa"/>
              <w:right w:w="0" w:type="dxa"/>
            </w:tcMar>
            <w:vAlign w:val="center"/>
          </w:tcPr>
          <w:p w14:paraId="1EE51271">
            <w:pPr>
              <w:pStyle w:val="1001"/>
              <w:rPr>
                <w:color w:val="auto"/>
                <w:highlight w:val="none"/>
                <w:u w:val="none"/>
              </w:rPr>
            </w:pPr>
            <w:r>
              <w:rPr>
                <w:color w:val="auto"/>
                <w:highlight w:val="none"/>
                <w:u w:val="none"/>
              </w:rPr>
              <w:t>现状值</w:t>
            </w:r>
          </w:p>
        </w:tc>
        <w:tc>
          <w:tcPr>
            <w:tcW w:w="861" w:type="pct"/>
            <w:vMerge w:val="restart"/>
            <w:vAlign w:val="center"/>
          </w:tcPr>
          <w:p w14:paraId="550141E1">
            <w:pPr>
              <w:pStyle w:val="1001"/>
              <w:rPr>
                <w:color w:val="auto"/>
                <w:highlight w:val="none"/>
                <w:u w:val="none"/>
              </w:rPr>
            </w:pPr>
            <w:r>
              <w:rPr>
                <w:color w:val="auto"/>
                <w:highlight w:val="none"/>
                <w:u w:val="none"/>
              </w:rPr>
              <w:t>最大噪声贡献值</w:t>
            </w:r>
          </w:p>
        </w:tc>
        <w:tc>
          <w:tcPr>
            <w:tcW w:w="954" w:type="pct"/>
            <w:gridSpan w:val="2"/>
            <w:vAlign w:val="center"/>
          </w:tcPr>
          <w:p w14:paraId="2C4943DC">
            <w:pPr>
              <w:pStyle w:val="1001"/>
              <w:rPr>
                <w:color w:val="auto"/>
                <w:highlight w:val="none"/>
                <w:u w:val="none"/>
              </w:rPr>
            </w:pPr>
            <w:r>
              <w:rPr>
                <w:color w:val="auto"/>
                <w:highlight w:val="none"/>
                <w:u w:val="none"/>
              </w:rPr>
              <w:t>项目噪声预测值</w:t>
            </w:r>
          </w:p>
        </w:tc>
        <w:tc>
          <w:tcPr>
            <w:tcW w:w="855" w:type="pct"/>
            <w:gridSpan w:val="2"/>
            <w:tcMar>
              <w:left w:w="0" w:type="dxa"/>
              <w:right w:w="0" w:type="dxa"/>
            </w:tcMar>
            <w:vAlign w:val="center"/>
          </w:tcPr>
          <w:p w14:paraId="11BD10B6">
            <w:pPr>
              <w:pStyle w:val="1001"/>
              <w:rPr>
                <w:color w:val="auto"/>
                <w:highlight w:val="none"/>
                <w:u w:val="none"/>
              </w:rPr>
            </w:pPr>
            <w:r>
              <w:rPr>
                <w:color w:val="auto"/>
                <w:highlight w:val="none"/>
                <w:u w:val="none"/>
              </w:rPr>
              <w:t>执行标准</w:t>
            </w:r>
          </w:p>
        </w:tc>
        <w:tc>
          <w:tcPr>
            <w:tcW w:w="920" w:type="pct"/>
            <w:gridSpan w:val="2"/>
            <w:tcMar>
              <w:left w:w="0" w:type="dxa"/>
              <w:right w:w="0" w:type="dxa"/>
            </w:tcMar>
            <w:vAlign w:val="center"/>
          </w:tcPr>
          <w:p w14:paraId="1D36DC07">
            <w:pPr>
              <w:pStyle w:val="1001"/>
              <w:rPr>
                <w:color w:val="auto"/>
                <w:highlight w:val="none"/>
                <w:u w:val="none"/>
              </w:rPr>
            </w:pPr>
            <w:r>
              <w:rPr>
                <w:color w:val="auto"/>
                <w:highlight w:val="none"/>
                <w:u w:val="none"/>
              </w:rPr>
              <w:t>达标情况</w:t>
            </w:r>
          </w:p>
        </w:tc>
      </w:tr>
      <w:tr w14:paraId="45C94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vMerge w:val="continue"/>
            <w:tcMar>
              <w:left w:w="0" w:type="dxa"/>
              <w:right w:w="0" w:type="dxa"/>
            </w:tcMar>
            <w:vAlign w:val="center"/>
          </w:tcPr>
          <w:p w14:paraId="10BFCE53">
            <w:pPr>
              <w:pStyle w:val="1001"/>
              <w:rPr>
                <w:color w:val="auto"/>
                <w:highlight w:val="none"/>
                <w:u w:val="none"/>
              </w:rPr>
            </w:pPr>
          </w:p>
        </w:tc>
        <w:tc>
          <w:tcPr>
            <w:tcW w:w="534" w:type="pct"/>
            <w:tcMar>
              <w:left w:w="0" w:type="dxa"/>
              <w:right w:w="0" w:type="dxa"/>
            </w:tcMar>
            <w:vAlign w:val="center"/>
          </w:tcPr>
          <w:p w14:paraId="295AFD73">
            <w:pPr>
              <w:pStyle w:val="1001"/>
              <w:rPr>
                <w:color w:val="auto"/>
                <w:highlight w:val="none"/>
                <w:u w:val="none"/>
              </w:rPr>
            </w:pPr>
            <w:r>
              <w:rPr>
                <w:color w:val="auto"/>
                <w:highlight w:val="none"/>
                <w:u w:val="none"/>
              </w:rPr>
              <w:t>昼间</w:t>
            </w:r>
          </w:p>
        </w:tc>
        <w:tc>
          <w:tcPr>
            <w:tcW w:w="509" w:type="pct"/>
            <w:tcMar>
              <w:left w:w="0" w:type="dxa"/>
              <w:right w:w="0" w:type="dxa"/>
            </w:tcMar>
            <w:vAlign w:val="center"/>
          </w:tcPr>
          <w:p w14:paraId="22BA0091">
            <w:pPr>
              <w:pStyle w:val="1001"/>
              <w:rPr>
                <w:color w:val="auto"/>
                <w:highlight w:val="none"/>
                <w:u w:val="none"/>
              </w:rPr>
            </w:pPr>
            <w:r>
              <w:rPr>
                <w:color w:val="auto"/>
                <w:highlight w:val="none"/>
                <w:u w:val="none"/>
              </w:rPr>
              <w:t>夜间</w:t>
            </w:r>
          </w:p>
        </w:tc>
        <w:tc>
          <w:tcPr>
            <w:tcW w:w="861" w:type="pct"/>
            <w:vMerge w:val="continue"/>
            <w:vAlign w:val="center"/>
          </w:tcPr>
          <w:p w14:paraId="54B481B5">
            <w:pPr>
              <w:pStyle w:val="1001"/>
              <w:rPr>
                <w:color w:val="auto"/>
                <w:highlight w:val="none"/>
                <w:u w:val="none"/>
              </w:rPr>
            </w:pPr>
          </w:p>
        </w:tc>
        <w:tc>
          <w:tcPr>
            <w:tcW w:w="476" w:type="pct"/>
            <w:vAlign w:val="center"/>
          </w:tcPr>
          <w:p w14:paraId="2BE0DE16">
            <w:pPr>
              <w:pStyle w:val="1001"/>
              <w:rPr>
                <w:color w:val="auto"/>
                <w:highlight w:val="none"/>
                <w:u w:val="none"/>
              </w:rPr>
            </w:pPr>
            <w:r>
              <w:rPr>
                <w:color w:val="auto"/>
                <w:highlight w:val="none"/>
                <w:u w:val="none"/>
              </w:rPr>
              <w:t>昼间</w:t>
            </w:r>
          </w:p>
        </w:tc>
        <w:tc>
          <w:tcPr>
            <w:tcW w:w="478" w:type="pct"/>
            <w:vAlign w:val="center"/>
          </w:tcPr>
          <w:p w14:paraId="6CB4C9F5">
            <w:pPr>
              <w:pStyle w:val="1001"/>
              <w:rPr>
                <w:color w:val="auto"/>
                <w:highlight w:val="none"/>
                <w:u w:val="none"/>
              </w:rPr>
            </w:pPr>
            <w:r>
              <w:rPr>
                <w:color w:val="auto"/>
                <w:highlight w:val="none"/>
                <w:u w:val="none"/>
              </w:rPr>
              <w:t>夜间</w:t>
            </w:r>
          </w:p>
        </w:tc>
        <w:tc>
          <w:tcPr>
            <w:tcW w:w="447" w:type="pct"/>
            <w:tcMar>
              <w:left w:w="0" w:type="dxa"/>
              <w:right w:w="0" w:type="dxa"/>
            </w:tcMar>
            <w:vAlign w:val="center"/>
          </w:tcPr>
          <w:p w14:paraId="6EB49F48">
            <w:pPr>
              <w:pStyle w:val="1001"/>
              <w:rPr>
                <w:color w:val="auto"/>
                <w:highlight w:val="none"/>
                <w:u w:val="none"/>
              </w:rPr>
            </w:pPr>
            <w:r>
              <w:rPr>
                <w:color w:val="auto"/>
                <w:highlight w:val="none"/>
                <w:u w:val="none"/>
              </w:rPr>
              <w:t>昼间</w:t>
            </w:r>
          </w:p>
        </w:tc>
        <w:tc>
          <w:tcPr>
            <w:tcW w:w="408" w:type="pct"/>
            <w:tcMar>
              <w:left w:w="0" w:type="dxa"/>
              <w:right w:w="0" w:type="dxa"/>
            </w:tcMar>
            <w:vAlign w:val="center"/>
          </w:tcPr>
          <w:p w14:paraId="224F80EC">
            <w:pPr>
              <w:pStyle w:val="1001"/>
              <w:rPr>
                <w:color w:val="auto"/>
                <w:highlight w:val="none"/>
                <w:u w:val="none"/>
              </w:rPr>
            </w:pPr>
            <w:r>
              <w:rPr>
                <w:color w:val="auto"/>
                <w:highlight w:val="none"/>
                <w:u w:val="none"/>
              </w:rPr>
              <w:t>夜间</w:t>
            </w:r>
          </w:p>
        </w:tc>
        <w:tc>
          <w:tcPr>
            <w:tcW w:w="490" w:type="pct"/>
            <w:tcMar>
              <w:left w:w="0" w:type="dxa"/>
              <w:right w:w="0" w:type="dxa"/>
            </w:tcMar>
            <w:vAlign w:val="center"/>
          </w:tcPr>
          <w:p w14:paraId="5F11A9A3">
            <w:pPr>
              <w:pStyle w:val="1001"/>
              <w:rPr>
                <w:color w:val="auto"/>
                <w:highlight w:val="none"/>
                <w:u w:val="none"/>
              </w:rPr>
            </w:pPr>
            <w:r>
              <w:rPr>
                <w:color w:val="auto"/>
                <w:highlight w:val="none"/>
                <w:u w:val="none"/>
              </w:rPr>
              <w:t>昼间</w:t>
            </w:r>
          </w:p>
        </w:tc>
        <w:tc>
          <w:tcPr>
            <w:tcW w:w="430" w:type="pct"/>
            <w:tcMar>
              <w:left w:w="0" w:type="dxa"/>
              <w:right w:w="0" w:type="dxa"/>
            </w:tcMar>
            <w:vAlign w:val="center"/>
          </w:tcPr>
          <w:p w14:paraId="43A5AC21">
            <w:pPr>
              <w:pStyle w:val="1001"/>
              <w:rPr>
                <w:color w:val="auto"/>
                <w:highlight w:val="none"/>
                <w:u w:val="none"/>
              </w:rPr>
            </w:pPr>
            <w:r>
              <w:rPr>
                <w:color w:val="auto"/>
                <w:highlight w:val="none"/>
                <w:u w:val="none"/>
              </w:rPr>
              <w:t>夜间</w:t>
            </w:r>
          </w:p>
        </w:tc>
      </w:tr>
      <w:tr w14:paraId="1DC52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55A763C1">
            <w:pPr>
              <w:pStyle w:val="1001"/>
              <w:rPr>
                <w:color w:val="auto"/>
                <w:highlight w:val="none"/>
                <w:u w:val="none"/>
              </w:rPr>
            </w:pPr>
            <w:r>
              <w:rPr>
                <w:color w:val="auto"/>
                <w:highlight w:val="none"/>
                <w:u w:val="none"/>
              </w:rPr>
              <w:t>N1</w:t>
            </w:r>
          </w:p>
        </w:tc>
        <w:tc>
          <w:tcPr>
            <w:tcW w:w="534" w:type="pct"/>
            <w:tcMar>
              <w:left w:w="0" w:type="dxa"/>
              <w:right w:w="0" w:type="dxa"/>
            </w:tcMar>
            <w:vAlign w:val="center"/>
          </w:tcPr>
          <w:p w14:paraId="11AAD814">
            <w:pPr>
              <w:pStyle w:val="1001"/>
              <w:rPr>
                <w:color w:val="auto"/>
                <w:highlight w:val="none"/>
                <w:u w:val="none"/>
              </w:rPr>
            </w:pPr>
            <w:r>
              <w:rPr>
                <w:rFonts w:hint="eastAsia"/>
                <w:color w:val="auto"/>
                <w:highlight w:val="none"/>
                <w:u w:val="none"/>
              </w:rPr>
              <w:t>54.5</w:t>
            </w:r>
          </w:p>
        </w:tc>
        <w:tc>
          <w:tcPr>
            <w:tcW w:w="509" w:type="pct"/>
            <w:shd w:val="clear" w:color="000000" w:fill="auto"/>
            <w:tcMar>
              <w:left w:w="0" w:type="dxa"/>
              <w:right w:w="0" w:type="dxa"/>
            </w:tcMar>
            <w:vAlign w:val="center"/>
          </w:tcPr>
          <w:p w14:paraId="62303F7F">
            <w:pPr>
              <w:pStyle w:val="1001"/>
              <w:rPr>
                <w:color w:val="auto"/>
                <w:highlight w:val="none"/>
                <w:u w:val="none"/>
              </w:rPr>
            </w:pPr>
            <w:r>
              <w:rPr>
                <w:rFonts w:hint="eastAsia"/>
                <w:color w:val="auto"/>
                <w:highlight w:val="none"/>
                <w:u w:val="none"/>
              </w:rPr>
              <w:t>50</w:t>
            </w:r>
          </w:p>
        </w:tc>
        <w:tc>
          <w:tcPr>
            <w:tcW w:w="1567" w:type="dxa"/>
            <w:vAlign w:val="center"/>
          </w:tcPr>
          <w:p w14:paraId="7000C8DF">
            <w:pPr>
              <w:pStyle w:val="1001"/>
              <w:ind w:firstLine="0" w:firstLineChars="0"/>
              <w:rPr>
                <w:color w:val="auto"/>
                <w:highlight w:val="none"/>
                <w:u w:val="none"/>
              </w:rPr>
            </w:pPr>
            <w:r>
              <w:rPr>
                <w:rFonts w:hint="eastAsia"/>
                <w:color w:val="auto"/>
                <w:highlight w:val="none"/>
                <w:u w:val="none"/>
              </w:rPr>
              <w:t>39.59</w:t>
            </w:r>
          </w:p>
        </w:tc>
        <w:tc>
          <w:tcPr>
            <w:tcW w:w="866" w:type="dxa"/>
            <w:vAlign w:val="bottom"/>
          </w:tcPr>
          <w:p w14:paraId="6926F5C4">
            <w:pPr>
              <w:pStyle w:val="1001"/>
              <w:ind w:firstLine="0" w:firstLineChars="0"/>
              <w:rPr>
                <w:color w:val="auto"/>
                <w:highlight w:val="none"/>
                <w:u w:val="none"/>
              </w:rPr>
            </w:pPr>
            <w:r>
              <w:rPr>
                <w:rFonts w:hint="eastAsia"/>
                <w:color w:val="auto"/>
                <w:highlight w:val="none"/>
                <w:u w:val="none"/>
              </w:rPr>
              <w:t xml:space="preserve">54.63 </w:t>
            </w:r>
          </w:p>
        </w:tc>
        <w:tc>
          <w:tcPr>
            <w:tcW w:w="870" w:type="dxa"/>
            <w:vAlign w:val="bottom"/>
          </w:tcPr>
          <w:p w14:paraId="16AF49A1">
            <w:pPr>
              <w:pStyle w:val="1001"/>
              <w:ind w:firstLine="0" w:firstLineChars="0"/>
              <w:rPr>
                <w:color w:val="auto"/>
                <w:highlight w:val="none"/>
                <w:u w:val="none"/>
              </w:rPr>
            </w:pPr>
            <w:r>
              <w:rPr>
                <w:rFonts w:hint="eastAsia"/>
                <w:color w:val="auto"/>
                <w:highlight w:val="none"/>
                <w:u w:val="none"/>
              </w:rPr>
              <w:t xml:space="preserve">50.38 </w:t>
            </w:r>
          </w:p>
        </w:tc>
        <w:tc>
          <w:tcPr>
            <w:tcW w:w="447" w:type="pct"/>
            <w:tcMar>
              <w:left w:w="0" w:type="dxa"/>
              <w:right w:w="0" w:type="dxa"/>
            </w:tcMar>
            <w:vAlign w:val="center"/>
          </w:tcPr>
          <w:p w14:paraId="5DA86EC4">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21AE47C5">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36041FFE">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574C1B6E">
            <w:pPr>
              <w:pStyle w:val="1001"/>
              <w:rPr>
                <w:color w:val="auto"/>
                <w:highlight w:val="none"/>
                <w:u w:val="none"/>
              </w:rPr>
            </w:pPr>
            <w:r>
              <w:rPr>
                <w:color w:val="auto"/>
                <w:highlight w:val="none"/>
                <w:u w:val="none"/>
              </w:rPr>
              <w:t>达标</w:t>
            </w:r>
          </w:p>
        </w:tc>
      </w:tr>
      <w:tr w14:paraId="017545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2EABC373">
            <w:pPr>
              <w:pStyle w:val="1001"/>
              <w:rPr>
                <w:color w:val="auto"/>
                <w:highlight w:val="none"/>
                <w:u w:val="none"/>
              </w:rPr>
            </w:pPr>
            <w:r>
              <w:rPr>
                <w:color w:val="auto"/>
                <w:highlight w:val="none"/>
                <w:u w:val="none"/>
              </w:rPr>
              <w:t>N2</w:t>
            </w:r>
          </w:p>
        </w:tc>
        <w:tc>
          <w:tcPr>
            <w:tcW w:w="534" w:type="pct"/>
            <w:tcMar>
              <w:left w:w="0" w:type="dxa"/>
              <w:right w:w="0" w:type="dxa"/>
            </w:tcMar>
            <w:vAlign w:val="center"/>
          </w:tcPr>
          <w:p w14:paraId="0E75D551">
            <w:pPr>
              <w:pStyle w:val="1001"/>
              <w:rPr>
                <w:color w:val="auto"/>
                <w:highlight w:val="none"/>
                <w:u w:val="none"/>
              </w:rPr>
            </w:pPr>
            <w:r>
              <w:rPr>
                <w:rFonts w:hint="eastAsia"/>
                <w:color w:val="auto"/>
                <w:highlight w:val="none"/>
                <w:u w:val="none"/>
              </w:rPr>
              <w:t>53</w:t>
            </w:r>
          </w:p>
        </w:tc>
        <w:tc>
          <w:tcPr>
            <w:tcW w:w="509" w:type="pct"/>
            <w:shd w:val="clear" w:color="000000" w:fill="auto"/>
            <w:tcMar>
              <w:left w:w="0" w:type="dxa"/>
              <w:right w:w="0" w:type="dxa"/>
            </w:tcMar>
            <w:vAlign w:val="center"/>
          </w:tcPr>
          <w:p w14:paraId="5985434A">
            <w:pPr>
              <w:pStyle w:val="1001"/>
              <w:rPr>
                <w:color w:val="auto"/>
                <w:highlight w:val="none"/>
                <w:u w:val="none"/>
              </w:rPr>
            </w:pPr>
            <w:r>
              <w:rPr>
                <w:rFonts w:hint="eastAsia"/>
                <w:color w:val="auto"/>
                <w:highlight w:val="none"/>
                <w:u w:val="none"/>
              </w:rPr>
              <w:t>50</w:t>
            </w:r>
          </w:p>
        </w:tc>
        <w:tc>
          <w:tcPr>
            <w:tcW w:w="1567" w:type="dxa"/>
            <w:vAlign w:val="center"/>
          </w:tcPr>
          <w:p w14:paraId="687356EE">
            <w:pPr>
              <w:pStyle w:val="1001"/>
              <w:ind w:firstLine="0" w:firstLineChars="0"/>
              <w:rPr>
                <w:color w:val="auto"/>
                <w:highlight w:val="none"/>
                <w:u w:val="none"/>
              </w:rPr>
            </w:pPr>
            <w:r>
              <w:rPr>
                <w:rFonts w:hint="eastAsia"/>
                <w:color w:val="auto"/>
                <w:highlight w:val="none"/>
                <w:u w:val="none"/>
              </w:rPr>
              <w:t>47.73</w:t>
            </w:r>
          </w:p>
        </w:tc>
        <w:tc>
          <w:tcPr>
            <w:tcW w:w="866" w:type="dxa"/>
            <w:vAlign w:val="bottom"/>
          </w:tcPr>
          <w:p w14:paraId="2BDADBA1">
            <w:pPr>
              <w:pStyle w:val="1001"/>
              <w:ind w:firstLine="0" w:firstLineChars="0"/>
              <w:rPr>
                <w:color w:val="auto"/>
                <w:highlight w:val="none"/>
                <w:u w:val="none"/>
              </w:rPr>
            </w:pPr>
            <w:r>
              <w:rPr>
                <w:rFonts w:hint="eastAsia"/>
                <w:color w:val="auto"/>
                <w:highlight w:val="none"/>
                <w:u w:val="none"/>
              </w:rPr>
              <w:t xml:space="preserve">54.12 </w:t>
            </w:r>
          </w:p>
        </w:tc>
        <w:tc>
          <w:tcPr>
            <w:tcW w:w="870" w:type="dxa"/>
            <w:vAlign w:val="bottom"/>
          </w:tcPr>
          <w:p w14:paraId="062869F0">
            <w:pPr>
              <w:pStyle w:val="1001"/>
              <w:ind w:firstLine="0" w:firstLineChars="0"/>
              <w:rPr>
                <w:color w:val="auto"/>
                <w:highlight w:val="none"/>
                <w:u w:val="none"/>
              </w:rPr>
            </w:pPr>
            <w:r>
              <w:rPr>
                <w:rFonts w:hint="eastAsia"/>
                <w:color w:val="auto"/>
                <w:highlight w:val="none"/>
                <w:u w:val="none"/>
              </w:rPr>
              <w:t xml:space="preserve">52.01 </w:t>
            </w:r>
          </w:p>
        </w:tc>
        <w:tc>
          <w:tcPr>
            <w:tcW w:w="447" w:type="pct"/>
            <w:tcMar>
              <w:left w:w="0" w:type="dxa"/>
              <w:right w:w="0" w:type="dxa"/>
            </w:tcMar>
            <w:vAlign w:val="center"/>
          </w:tcPr>
          <w:p w14:paraId="5774C360">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357813A4">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5A964548">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51ECB8AA">
            <w:pPr>
              <w:pStyle w:val="1001"/>
              <w:rPr>
                <w:color w:val="auto"/>
                <w:highlight w:val="none"/>
                <w:u w:val="none"/>
              </w:rPr>
            </w:pPr>
            <w:r>
              <w:rPr>
                <w:color w:val="auto"/>
                <w:highlight w:val="none"/>
                <w:u w:val="none"/>
              </w:rPr>
              <w:t>达标</w:t>
            </w:r>
          </w:p>
        </w:tc>
      </w:tr>
      <w:tr w14:paraId="2AFAF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0B0A30BC">
            <w:pPr>
              <w:pStyle w:val="1001"/>
              <w:rPr>
                <w:color w:val="auto"/>
                <w:highlight w:val="none"/>
                <w:u w:val="none"/>
              </w:rPr>
            </w:pPr>
            <w:r>
              <w:rPr>
                <w:color w:val="auto"/>
                <w:highlight w:val="none"/>
                <w:u w:val="none"/>
              </w:rPr>
              <w:t>N3</w:t>
            </w:r>
          </w:p>
        </w:tc>
        <w:tc>
          <w:tcPr>
            <w:tcW w:w="534" w:type="pct"/>
            <w:tcMar>
              <w:left w:w="0" w:type="dxa"/>
              <w:right w:w="0" w:type="dxa"/>
            </w:tcMar>
            <w:vAlign w:val="center"/>
          </w:tcPr>
          <w:p w14:paraId="20FC5685">
            <w:pPr>
              <w:pStyle w:val="1001"/>
              <w:rPr>
                <w:color w:val="auto"/>
                <w:highlight w:val="none"/>
                <w:u w:val="none"/>
              </w:rPr>
            </w:pPr>
            <w:r>
              <w:rPr>
                <w:rFonts w:hint="eastAsia"/>
                <w:color w:val="auto"/>
                <w:highlight w:val="none"/>
                <w:u w:val="none"/>
              </w:rPr>
              <w:t>55.5</w:t>
            </w:r>
          </w:p>
        </w:tc>
        <w:tc>
          <w:tcPr>
            <w:tcW w:w="509" w:type="pct"/>
            <w:shd w:val="clear" w:color="000000" w:fill="auto"/>
            <w:tcMar>
              <w:left w:w="0" w:type="dxa"/>
              <w:right w:w="0" w:type="dxa"/>
            </w:tcMar>
            <w:vAlign w:val="center"/>
          </w:tcPr>
          <w:p w14:paraId="0B8FF078">
            <w:pPr>
              <w:pStyle w:val="1001"/>
              <w:rPr>
                <w:color w:val="auto"/>
                <w:highlight w:val="none"/>
                <w:u w:val="none"/>
              </w:rPr>
            </w:pPr>
            <w:r>
              <w:rPr>
                <w:rFonts w:hint="eastAsia"/>
                <w:color w:val="auto"/>
                <w:highlight w:val="none"/>
                <w:u w:val="none"/>
              </w:rPr>
              <w:t>50.5</w:t>
            </w:r>
          </w:p>
        </w:tc>
        <w:tc>
          <w:tcPr>
            <w:tcW w:w="1567" w:type="dxa"/>
            <w:vAlign w:val="center"/>
          </w:tcPr>
          <w:p w14:paraId="2C08D3A5">
            <w:pPr>
              <w:pStyle w:val="1001"/>
              <w:ind w:firstLine="0" w:firstLineChars="0"/>
              <w:rPr>
                <w:color w:val="auto"/>
                <w:highlight w:val="none"/>
                <w:u w:val="none"/>
              </w:rPr>
            </w:pPr>
            <w:r>
              <w:rPr>
                <w:rFonts w:hint="eastAsia"/>
                <w:color w:val="auto"/>
                <w:highlight w:val="none"/>
                <w:u w:val="none"/>
              </w:rPr>
              <w:t>50.16</w:t>
            </w:r>
          </w:p>
        </w:tc>
        <w:tc>
          <w:tcPr>
            <w:tcW w:w="866" w:type="dxa"/>
            <w:vAlign w:val="bottom"/>
          </w:tcPr>
          <w:p w14:paraId="69AC2AEE">
            <w:pPr>
              <w:pStyle w:val="1001"/>
              <w:ind w:firstLine="0" w:firstLineChars="0"/>
              <w:rPr>
                <w:color w:val="auto"/>
                <w:highlight w:val="none"/>
                <w:u w:val="none"/>
              </w:rPr>
            </w:pPr>
            <w:r>
              <w:rPr>
                <w:rFonts w:hint="eastAsia"/>
                <w:color w:val="auto"/>
                <w:highlight w:val="none"/>
                <w:u w:val="none"/>
              </w:rPr>
              <w:t xml:space="preserve">56.63 </w:t>
            </w:r>
          </w:p>
        </w:tc>
        <w:tc>
          <w:tcPr>
            <w:tcW w:w="870" w:type="dxa"/>
            <w:vAlign w:val="bottom"/>
          </w:tcPr>
          <w:p w14:paraId="0CF7E7AF">
            <w:pPr>
              <w:pStyle w:val="1001"/>
              <w:ind w:firstLine="0" w:firstLineChars="0"/>
              <w:rPr>
                <w:color w:val="auto"/>
                <w:highlight w:val="none"/>
                <w:u w:val="none"/>
              </w:rPr>
            </w:pPr>
            <w:r>
              <w:rPr>
                <w:rFonts w:hint="eastAsia"/>
                <w:color w:val="auto"/>
                <w:highlight w:val="none"/>
                <w:u w:val="none"/>
              </w:rPr>
              <w:t xml:space="preserve">53.40 </w:t>
            </w:r>
          </w:p>
        </w:tc>
        <w:tc>
          <w:tcPr>
            <w:tcW w:w="447" w:type="pct"/>
            <w:tcMar>
              <w:left w:w="0" w:type="dxa"/>
              <w:right w:w="0" w:type="dxa"/>
            </w:tcMar>
            <w:vAlign w:val="center"/>
          </w:tcPr>
          <w:p w14:paraId="1D7FE012">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4DC3CE8E">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6BD80A61">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5A13218C">
            <w:pPr>
              <w:pStyle w:val="1001"/>
              <w:rPr>
                <w:color w:val="auto"/>
                <w:highlight w:val="none"/>
                <w:u w:val="none"/>
              </w:rPr>
            </w:pPr>
            <w:r>
              <w:rPr>
                <w:color w:val="auto"/>
                <w:highlight w:val="none"/>
                <w:u w:val="none"/>
              </w:rPr>
              <w:t>达标</w:t>
            </w:r>
          </w:p>
        </w:tc>
      </w:tr>
      <w:tr w14:paraId="470F4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77F75BE6">
            <w:pPr>
              <w:pStyle w:val="1001"/>
              <w:rPr>
                <w:color w:val="auto"/>
                <w:highlight w:val="none"/>
                <w:u w:val="none"/>
              </w:rPr>
            </w:pPr>
            <w:r>
              <w:rPr>
                <w:color w:val="auto"/>
                <w:highlight w:val="none"/>
                <w:u w:val="none"/>
              </w:rPr>
              <w:t>N4</w:t>
            </w:r>
          </w:p>
        </w:tc>
        <w:tc>
          <w:tcPr>
            <w:tcW w:w="534" w:type="pct"/>
            <w:tcMar>
              <w:left w:w="0" w:type="dxa"/>
              <w:right w:w="0" w:type="dxa"/>
            </w:tcMar>
            <w:vAlign w:val="center"/>
          </w:tcPr>
          <w:p w14:paraId="678D6BEE">
            <w:pPr>
              <w:pStyle w:val="1001"/>
              <w:rPr>
                <w:color w:val="auto"/>
                <w:highlight w:val="none"/>
                <w:u w:val="none"/>
              </w:rPr>
            </w:pPr>
            <w:r>
              <w:rPr>
                <w:rFonts w:hint="eastAsia"/>
                <w:color w:val="auto"/>
                <w:highlight w:val="none"/>
                <w:u w:val="none"/>
              </w:rPr>
              <w:t>54.5</w:t>
            </w:r>
          </w:p>
        </w:tc>
        <w:tc>
          <w:tcPr>
            <w:tcW w:w="509" w:type="pct"/>
            <w:shd w:val="clear" w:color="000000" w:fill="auto"/>
            <w:tcMar>
              <w:left w:w="0" w:type="dxa"/>
              <w:right w:w="0" w:type="dxa"/>
            </w:tcMar>
            <w:vAlign w:val="center"/>
          </w:tcPr>
          <w:p w14:paraId="37728086">
            <w:pPr>
              <w:pStyle w:val="1001"/>
              <w:rPr>
                <w:color w:val="auto"/>
                <w:highlight w:val="none"/>
                <w:u w:val="none"/>
              </w:rPr>
            </w:pPr>
            <w:r>
              <w:rPr>
                <w:rFonts w:hint="eastAsia"/>
                <w:color w:val="auto"/>
                <w:highlight w:val="none"/>
                <w:u w:val="none"/>
              </w:rPr>
              <w:t>51</w:t>
            </w:r>
          </w:p>
        </w:tc>
        <w:tc>
          <w:tcPr>
            <w:tcW w:w="1567" w:type="dxa"/>
            <w:vAlign w:val="center"/>
          </w:tcPr>
          <w:p w14:paraId="3EB96035">
            <w:pPr>
              <w:pStyle w:val="1001"/>
              <w:ind w:firstLine="0" w:firstLineChars="0"/>
              <w:rPr>
                <w:color w:val="auto"/>
                <w:highlight w:val="none"/>
                <w:u w:val="none"/>
              </w:rPr>
            </w:pPr>
            <w:r>
              <w:rPr>
                <w:rFonts w:hint="eastAsia"/>
                <w:color w:val="auto"/>
                <w:highlight w:val="none"/>
                <w:u w:val="none"/>
              </w:rPr>
              <w:t>38.91</w:t>
            </w:r>
          </w:p>
        </w:tc>
        <w:tc>
          <w:tcPr>
            <w:tcW w:w="866" w:type="dxa"/>
            <w:vAlign w:val="bottom"/>
          </w:tcPr>
          <w:p w14:paraId="68ACAEB0">
            <w:pPr>
              <w:pStyle w:val="1001"/>
              <w:ind w:firstLine="0" w:firstLineChars="0"/>
              <w:rPr>
                <w:color w:val="auto"/>
                <w:highlight w:val="none"/>
                <w:u w:val="none"/>
              </w:rPr>
            </w:pPr>
            <w:r>
              <w:rPr>
                <w:rFonts w:hint="eastAsia"/>
                <w:color w:val="auto"/>
                <w:highlight w:val="none"/>
                <w:u w:val="none"/>
              </w:rPr>
              <w:t xml:space="preserve">54.62 </w:t>
            </w:r>
          </w:p>
        </w:tc>
        <w:tc>
          <w:tcPr>
            <w:tcW w:w="870" w:type="dxa"/>
            <w:vAlign w:val="bottom"/>
          </w:tcPr>
          <w:p w14:paraId="43B6832F">
            <w:pPr>
              <w:pStyle w:val="1001"/>
              <w:ind w:firstLine="0" w:firstLineChars="0"/>
              <w:rPr>
                <w:color w:val="auto"/>
                <w:highlight w:val="none"/>
                <w:u w:val="none"/>
              </w:rPr>
            </w:pPr>
            <w:r>
              <w:rPr>
                <w:rFonts w:hint="eastAsia"/>
                <w:color w:val="auto"/>
                <w:highlight w:val="none"/>
                <w:u w:val="none"/>
              </w:rPr>
              <w:t xml:space="preserve">51.26 </w:t>
            </w:r>
          </w:p>
        </w:tc>
        <w:tc>
          <w:tcPr>
            <w:tcW w:w="447" w:type="pct"/>
            <w:tcMar>
              <w:left w:w="0" w:type="dxa"/>
              <w:right w:w="0" w:type="dxa"/>
            </w:tcMar>
            <w:vAlign w:val="center"/>
          </w:tcPr>
          <w:p w14:paraId="4BD37578">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0A4E5CCE">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7B4B0700">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085885BC">
            <w:pPr>
              <w:pStyle w:val="1001"/>
              <w:rPr>
                <w:color w:val="auto"/>
                <w:highlight w:val="none"/>
                <w:u w:val="none"/>
              </w:rPr>
            </w:pPr>
            <w:r>
              <w:rPr>
                <w:color w:val="auto"/>
                <w:highlight w:val="none"/>
                <w:u w:val="none"/>
              </w:rPr>
              <w:t>达标</w:t>
            </w:r>
          </w:p>
        </w:tc>
      </w:tr>
      <w:tr w14:paraId="6B559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2FDCCA6D">
            <w:pPr>
              <w:pStyle w:val="1001"/>
              <w:rPr>
                <w:color w:val="auto"/>
                <w:highlight w:val="none"/>
                <w:u w:val="none"/>
              </w:rPr>
            </w:pPr>
            <w:r>
              <w:rPr>
                <w:color w:val="auto"/>
                <w:highlight w:val="none"/>
                <w:u w:val="none"/>
              </w:rPr>
              <w:t>N5</w:t>
            </w:r>
          </w:p>
        </w:tc>
        <w:tc>
          <w:tcPr>
            <w:tcW w:w="534" w:type="pct"/>
            <w:tcMar>
              <w:left w:w="0" w:type="dxa"/>
              <w:right w:w="0" w:type="dxa"/>
            </w:tcMar>
            <w:vAlign w:val="center"/>
          </w:tcPr>
          <w:p w14:paraId="444E8898">
            <w:pPr>
              <w:pStyle w:val="1001"/>
              <w:rPr>
                <w:color w:val="auto"/>
                <w:highlight w:val="none"/>
                <w:u w:val="none"/>
              </w:rPr>
            </w:pPr>
            <w:r>
              <w:rPr>
                <w:rFonts w:hint="eastAsia"/>
                <w:color w:val="auto"/>
                <w:highlight w:val="none"/>
                <w:u w:val="none"/>
              </w:rPr>
              <w:t>50</w:t>
            </w:r>
          </w:p>
        </w:tc>
        <w:tc>
          <w:tcPr>
            <w:tcW w:w="509" w:type="pct"/>
            <w:shd w:val="clear" w:color="000000" w:fill="auto"/>
            <w:tcMar>
              <w:left w:w="0" w:type="dxa"/>
              <w:right w:w="0" w:type="dxa"/>
            </w:tcMar>
            <w:vAlign w:val="center"/>
          </w:tcPr>
          <w:p w14:paraId="13DB169F">
            <w:pPr>
              <w:pStyle w:val="1001"/>
              <w:rPr>
                <w:color w:val="auto"/>
                <w:highlight w:val="none"/>
                <w:u w:val="none"/>
              </w:rPr>
            </w:pPr>
            <w:r>
              <w:rPr>
                <w:rFonts w:hint="eastAsia"/>
                <w:color w:val="auto"/>
                <w:highlight w:val="none"/>
                <w:u w:val="none"/>
              </w:rPr>
              <w:t>48</w:t>
            </w:r>
          </w:p>
        </w:tc>
        <w:tc>
          <w:tcPr>
            <w:tcW w:w="1567" w:type="dxa"/>
            <w:vAlign w:val="center"/>
          </w:tcPr>
          <w:p w14:paraId="56FF9EB6">
            <w:pPr>
              <w:pStyle w:val="1001"/>
              <w:ind w:firstLine="0" w:firstLineChars="0"/>
              <w:rPr>
                <w:color w:val="auto"/>
                <w:highlight w:val="none"/>
                <w:u w:val="none"/>
              </w:rPr>
            </w:pPr>
            <w:r>
              <w:rPr>
                <w:rFonts w:hint="eastAsia"/>
                <w:color w:val="auto"/>
                <w:highlight w:val="none"/>
                <w:u w:val="none"/>
              </w:rPr>
              <w:t>36.38</w:t>
            </w:r>
          </w:p>
        </w:tc>
        <w:tc>
          <w:tcPr>
            <w:tcW w:w="866" w:type="dxa"/>
            <w:vAlign w:val="bottom"/>
          </w:tcPr>
          <w:p w14:paraId="27789ADD">
            <w:pPr>
              <w:pStyle w:val="1001"/>
              <w:ind w:firstLine="0" w:firstLineChars="0"/>
              <w:rPr>
                <w:color w:val="auto"/>
                <w:highlight w:val="none"/>
                <w:u w:val="none"/>
              </w:rPr>
            </w:pPr>
            <w:r>
              <w:rPr>
                <w:rFonts w:hint="eastAsia"/>
                <w:color w:val="auto"/>
                <w:highlight w:val="none"/>
                <w:u w:val="none"/>
              </w:rPr>
              <w:t xml:space="preserve">50.19 </w:t>
            </w:r>
          </w:p>
        </w:tc>
        <w:tc>
          <w:tcPr>
            <w:tcW w:w="870" w:type="dxa"/>
            <w:vAlign w:val="bottom"/>
          </w:tcPr>
          <w:p w14:paraId="58D9D598">
            <w:pPr>
              <w:pStyle w:val="1001"/>
              <w:ind w:firstLine="0" w:firstLineChars="0"/>
              <w:rPr>
                <w:color w:val="auto"/>
                <w:highlight w:val="none"/>
                <w:u w:val="none"/>
              </w:rPr>
            </w:pPr>
            <w:r>
              <w:rPr>
                <w:rFonts w:hint="eastAsia"/>
                <w:color w:val="auto"/>
                <w:highlight w:val="none"/>
                <w:u w:val="none"/>
              </w:rPr>
              <w:t xml:space="preserve">48.28 </w:t>
            </w:r>
          </w:p>
        </w:tc>
        <w:tc>
          <w:tcPr>
            <w:tcW w:w="447" w:type="pct"/>
            <w:tcMar>
              <w:left w:w="0" w:type="dxa"/>
              <w:right w:w="0" w:type="dxa"/>
            </w:tcMar>
            <w:vAlign w:val="center"/>
          </w:tcPr>
          <w:p w14:paraId="37E402BC">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4149A9F5">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4209F6AB">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1348CFB9">
            <w:pPr>
              <w:pStyle w:val="1001"/>
              <w:rPr>
                <w:color w:val="auto"/>
                <w:highlight w:val="none"/>
                <w:u w:val="none"/>
              </w:rPr>
            </w:pPr>
            <w:r>
              <w:rPr>
                <w:color w:val="auto"/>
                <w:highlight w:val="none"/>
                <w:u w:val="none"/>
              </w:rPr>
              <w:t>达标</w:t>
            </w:r>
          </w:p>
        </w:tc>
      </w:tr>
      <w:tr w14:paraId="7F948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4DBF3B0C">
            <w:pPr>
              <w:pStyle w:val="1001"/>
              <w:rPr>
                <w:color w:val="auto"/>
                <w:highlight w:val="none"/>
                <w:u w:val="none"/>
              </w:rPr>
            </w:pPr>
            <w:r>
              <w:rPr>
                <w:color w:val="auto"/>
                <w:highlight w:val="none"/>
                <w:u w:val="none"/>
              </w:rPr>
              <w:t>N6</w:t>
            </w:r>
          </w:p>
        </w:tc>
        <w:tc>
          <w:tcPr>
            <w:tcW w:w="534" w:type="pct"/>
            <w:tcMar>
              <w:left w:w="0" w:type="dxa"/>
              <w:right w:w="0" w:type="dxa"/>
            </w:tcMar>
            <w:vAlign w:val="center"/>
          </w:tcPr>
          <w:p w14:paraId="3C492D2D">
            <w:pPr>
              <w:pStyle w:val="1001"/>
              <w:rPr>
                <w:color w:val="auto"/>
                <w:highlight w:val="none"/>
                <w:u w:val="none"/>
              </w:rPr>
            </w:pPr>
            <w:r>
              <w:rPr>
                <w:rFonts w:hint="eastAsia"/>
                <w:color w:val="auto"/>
                <w:highlight w:val="none"/>
                <w:u w:val="none"/>
              </w:rPr>
              <w:t>52</w:t>
            </w:r>
          </w:p>
        </w:tc>
        <w:tc>
          <w:tcPr>
            <w:tcW w:w="509" w:type="pct"/>
            <w:shd w:val="clear" w:color="000000" w:fill="auto"/>
            <w:tcMar>
              <w:left w:w="0" w:type="dxa"/>
              <w:right w:w="0" w:type="dxa"/>
            </w:tcMar>
            <w:vAlign w:val="center"/>
          </w:tcPr>
          <w:p w14:paraId="5E56EDD0">
            <w:pPr>
              <w:pStyle w:val="1001"/>
              <w:rPr>
                <w:color w:val="auto"/>
                <w:highlight w:val="none"/>
                <w:u w:val="none"/>
              </w:rPr>
            </w:pPr>
            <w:r>
              <w:rPr>
                <w:rFonts w:hint="eastAsia"/>
                <w:color w:val="auto"/>
                <w:highlight w:val="none"/>
                <w:u w:val="none"/>
              </w:rPr>
              <w:t>49</w:t>
            </w:r>
          </w:p>
        </w:tc>
        <w:tc>
          <w:tcPr>
            <w:tcW w:w="1567" w:type="dxa"/>
            <w:vAlign w:val="center"/>
          </w:tcPr>
          <w:p w14:paraId="47EE35EE">
            <w:pPr>
              <w:pStyle w:val="1001"/>
              <w:ind w:firstLine="0" w:firstLineChars="0"/>
              <w:rPr>
                <w:color w:val="auto"/>
                <w:highlight w:val="none"/>
                <w:u w:val="none"/>
              </w:rPr>
            </w:pPr>
            <w:r>
              <w:rPr>
                <w:rFonts w:hint="eastAsia"/>
                <w:color w:val="auto"/>
                <w:highlight w:val="none"/>
                <w:u w:val="none"/>
              </w:rPr>
              <w:t>38.60</w:t>
            </w:r>
          </w:p>
        </w:tc>
        <w:tc>
          <w:tcPr>
            <w:tcW w:w="866" w:type="dxa"/>
            <w:vAlign w:val="bottom"/>
          </w:tcPr>
          <w:p w14:paraId="1897BE7C">
            <w:pPr>
              <w:pStyle w:val="1001"/>
              <w:ind w:firstLine="0" w:firstLineChars="0"/>
              <w:rPr>
                <w:color w:val="auto"/>
                <w:highlight w:val="none"/>
                <w:u w:val="none"/>
              </w:rPr>
            </w:pPr>
            <w:r>
              <w:rPr>
                <w:rFonts w:hint="eastAsia"/>
                <w:color w:val="auto"/>
                <w:highlight w:val="none"/>
                <w:u w:val="none"/>
              </w:rPr>
              <w:t xml:space="preserve">52.19 </w:t>
            </w:r>
          </w:p>
        </w:tc>
        <w:tc>
          <w:tcPr>
            <w:tcW w:w="870" w:type="dxa"/>
            <w:vAlign w:val="bottom"/>
          </w:tcPr>
          <w:p w14:paraId="1073586B">
            <w:pPr>
              <w:pStyle w:val="1001"/>
              <w:ind w:firstLine="0" w:firstLineChars="0"/>
              <w:rPr>
                <w:color w:val="auto"/>
                <w:highlight w:val="none"/>
                <w:u w:val="none"/>
              </w:rPr>
            </w:pPr>
            <w:r>
              <w:rPr>
                <w:rFonts w:hint="eastAsia"/>
                <w:color w:val="auto"/>
                <w:highlight w:val="none"/>
                <w:u w:val="none"/>
              </w:rPr>
              <w:t xml:space="preserve">49.35 </w:t>
            </w:r>
          </w:p>
        </w:tc>
        <w:tc>
          <w:tcPr>
            <w:tcW w:w="447" w:type="pct"/>
            <w:tcMar>
              <w:left w:w="0" w:type="dxa"/>
              <w:right w:w="0" w:type="dxa"/>
            </w:tcMar>
            <w:vAlign w:val="center"/>
          </w:tcPr>
          <w:p w14:paraId="3413AB48">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719EBBA6">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7191CEFB">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01BE60CF">
            <w:pPr>
              <w:pStyle w:val="1001"/>
              <w:rPr>
                <w:color w:val="auto"/>
                <w:highlight w:val="none"/>
                <w:u w:val="none"/>
              </w:rPr>
            </w:pPr>
            <w:r>
              <w:rPr>
                <w:color w:val="auto"/>
                <w:highlight w:val="none"/>
                <w:u w:val="none"/>
              </w:rPr>
              <w:t>达标</w:t>
            </w:r>
          </w:p>
        </w:tc>
      </w:tr>
      <w:tr w14:paraId="72F62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01368799">
            <w:pPr>
              <w:pStyle w:val="1001"/>
              <w:rPr>
                <w:color w:val="auto"/>
                <w:highlight w:val="none"/>
                <w:u w:val="none"/>
              </w:rPr>
            </w:pPr>
            <w:r>
              <w:rPr>
                <w:color w:val="auto"/>
                <w:highlight w:val="none"/>
                <w:u w:val="none"/>
              </w:rPr>
              <w:t>N7</w:t>
            </w:r>
          </w:p>
        </w:tc>
        <w:tc>
          <w:tcPr>
            <w:tcW w:w="534" w:type="pct"/>
            <w:tcMar>
              <w:left w:w="0" w:type="dxa"/>
              <w:right w:w="0" w:type="dxa"/>
            </w:tcMar>
            <w:vAlign w:val="center"/>
          </w:tcPr>
          <w:p w14:paraId="23FCA338">
            <w:pPr>
              <w:pStyle w:val="1001"/>
              <w:rPr>
                <w:color w:val="auto"/>
                <w:highlight w:val="none"/>
                <w:u w:val="none"/>
              </w:rPr>
            </w:pPr>
            <w:r>
              <w:rPr>
                <w:rFonts w:hint="eastAsia"/>
                <w:color w:val="auto"/>
                <w:highlight w:val="none"/>
                <w:u w:val="none"/>
              </w:rPr>
              <w:t>58.5</w:t>
            </w:r>
          </w:p>
        </w:tc>
        <w:tc>
          <w:tcPr>
            <w:tcW w:w="509" w:type="pct"/>
            <w:shd w:val="clear" w:color="000000" w:fill="auto"/>
            <w:tcMar>
              <w:left w:w="0" w:type="dxa"/>
              <w:right w:w="0" w:type="dxa"/>
            </w:tcMar>
            <w:vAlign w:val="center"/>
          </w:tcPr>
          <w:p w14:paraId="2E0E5C62">
            <w:pPr>
              <w:pStyle w:val="1001"/>
              <w:rPr>
                <w:color w:val="auto"/>
                <w:highlight w:val="none"/>
                <w:u w:val="none"/>
              </w:rPr>
            </w:pPr>
            <w:r>
              <w:rPr>
                <w:rFonts w:hint="eastAsia"/>
                <w:color w:val="auto"/>
                <w:highlight w:val="none"/>
                <w:u w:val="none"/>
              </w:rPr>
              <w:t>51.5</w:t>
            </w:r>
          </w:p>
        </w:tc>
        <w:tc>
          <w:tcPr>
            <w:tcW w:w="1567" w:type="dxa"/>
            <w:vAlign w:val="center"/>
          </w:tcPr>
          <w:p w14:paraId="77FAF40D">
            <w:pPr>
              <w:pStyle w:val="1001"/>
              <w:ind w:firstLine="0" w:firstLineChars="0"/>
              <w:rPr>
                <w:color w:val="auto"/>
                <w:highlight w:val="none"/>
                <w:u w:val="none"/>
              </w:rPr>
            </w:pPr>
            <w:r>
              <w:rPr>
                <w:rFonts w:hint="eastAsia"/>
                <w:color w:val="auto"/>
                <w:highlight w:val="none"/>
                <w:u w:val="none"/>
              </w:rPr>
              <w:t>43.21</w:t>
            </w:r>
          </w:p>
        </w:tc>
        <w:tc>
          <w:tcPr>
            <w:tcW w:w="866" w:type="dxa"/>
            <w:vAlign w:val="bottom"/>
          </w:tcPr>
          <w:p w14:paraId="7171941D">
            <w:pPr>
              <w:pStyle w:val="1001"/>
              <w:ind w:firstLine="0" w:firstLineChars="0"/>
              <w:rPr>
                <w:color w:val="auto"/>
                <w:highlight w:val="none"/>
                <w:u w:val="none"/>
              </w:rPr>
            </w:pPr>
            <w:r>
              <w:rPr>
                <w:rFonts w:hint="eastAsia"/>
                <w:color w:val="auto"/>
                <w:highlight w:val="none"/>
                <w:u w:val="none"/>
              </w:rPr>
              <w:t xml:space="preserve">58.58 </w:t>
            </w:r>
          </w:p>
        </w:tc>
        <w:tc>
          <w:tcPr>
            <w:tcW w:w="870" w:type="dxa"/>
            <w:vAlign w:val="bottom"/>
          </w:tcPr>
          <w:p w14:paraId="2D4C08A8">
            <w:pPr>
              <w:pStyle w:val="1001"/>
              <w:ind w:firstLine="0" w:firstLineChars="0"/>
              <w:rPr>
                <w:color w:val="auto"/>
                <w:highlight w:val="none"/>
                <w:u w:val="none"/>
              </w:rPr>
            </w:pPr>
            <w:r>
              <w:rPr>
                <w:rFonts w:hint="eastAsia"/>
                <w:color w:val="auto"/>
                <w:highlight w:val="none"/>
                <w:u w:val="none"/>
              </w:rPr>
              <w:t xml:space="preserve">52.08 </w:t>
            </w:r>
          </w:p>
        </w:tc>
        <w:tc>
          <w:tcPr>
            <w:tcW w:w="447" w:type="pct"/>
            <w:tcMar>
              <w:left w:w="0" w:type="dxa"/>
              <w:right w:w="0" w:type="dxa"/>
            </w:tcMar>
            <w:vAlign w:val="center"/>
          </w:tcPr>
          <w:p w14:paraId="58F4F311">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481DAB71">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3546E6D7">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7C12A94F">
            <w:pPr>
              <w:pStyle w:val="1001"/>
              <w:rPr>
                <w:color w:val="auto"/>
                <w:highlight w:val="none"/>
                <w:u w:val="none"/>
              </w:rPr>
            </w:pPr>
            <w:r>
              <w:rPr>
                <w:color w:val="auto"/>
                <w:highlight w:val="none"/>
                <w:u w:val="none"/>
              </w:rPr>
              <w:t>达标</w:t>
            </w:r>
          </w:p>
        </w:tc>
      </w:tr>
      <w:tr w14:paraId="3457E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6879804A">
            <w:pPr>
              <w:pStyle w:val="1001"/>
              <w:rPr>
                <w:color w:val="auto"/>
                <w:highlight w:val="none"/>
                <w:u w:val="none"/>
              </w:rPr>
            </w:pPr>
            <w:r>
              <w:rPr>
                <w:color w:val="auto"/>
                <w:highlight w:val="none"/>
                <w:u w:val="none"/>
              </w:rPr>
              <w:t>N8</w:t>
            </w:r>
          </w:p>
        </w:tc>
        <w:tc>
          <w:tcPr>
            <w:tcW w:w="534" w:type="pct"/>
            <w:tcMar>
              <w:left w:w="0" w:type="dxa"/>
              <w:right w:w="0" w:type="dxa"/>
            </w:tcMar>
            <w:vAlign w:val="center"/>
          </w:tcPr>
          <w:p w14:paraId="183B749F">
            <w:pPr>
              <w:pStyle w:val="1001"/>
              <w:rPr>
                <w:color w:val="auto"/>
                <w:highlight w:val="none"/>
                <w:u w:val="none"/>
              </w:rPr>
            </w:pPr>
            <w:r>
              <w:rPr>
                <w:rFonts w:hint="eastAsia"/>
                <w:color w:val="auto"/>
                <w:highlight w:val="none"/>
                <w:u w:val="none"/>
              </w:rPr>
              <w:t>56.5</w:t>
            </w:r>
          </w:p>
        </w:tc>
        <w:tc>
          <w:tcPr>
            <w:tcW w:w="509" w:type="pct"/>
            <w:shd w:val="clear" w:color="000000" w:fill="auto"/>
            <w:tcMar>
              <w:left w:w="0" w:type="dxa"/>
              <w:right w:w="0" w:type="dxa"/>
            </w:tcMar>
            <w:vAlign w:val="center"/>
          </w:tcPr>
          <w:p w14:paraId="3BF5B428">
            <w:pPr>
              <w:pStyle w:val="1001"/>
              <w:rPr>
                <w:color w:val="auto"/>
                <w:highlight w:val="none"/>
                <w:u w:val="none"/>
              </w:rPr>
            </w:pPr>
            <w:r>
              <w:rPr>
                <w:rFonts w:hint="eastAsia"/>
                <w:color w:val="auto"/>
                <w:highlight w:val="none"/>
                <w:u w:val="none"/>
              </w:rPr>
              <w:t>52</w:t>
            </w:r>
          </w:p>
        </w:tc>
        <w:tc>
          <w:tcPr>
            <w:tcW w:w="1567" w:type="dxa"/>
            <w:vAlign w:val="center"/>
          </w:tcPr>
          <w:p w14:paraId="5C0D2571">
            <w:pPr>
              <w:pStyle w:val="1001"/>
              <w:ind w:firstLine="0" w:firstLineChars="0"/>
              <w:rPr>
                <w:color w:val="auto"/>
                <w:highlight w:val="none"/>
                <w:u w:val="none"/>
              </w:rPr>
            </w:pPr>
            <w:r>
              <w:rPr>
                <w:rFonts w:hint="eastAsia"/>
                <w:color w:val="auto"/>
                <w:highlight w:val="none"/>
                <w:u w:val="none"/>
              </w:rPr>
              <w:t>43.14</w:t>
            </w:r>
          </w:p>
        </w:tc>
        <w:tc>
          <w:tcPr>
            <w:tcW w:w="866" w:type="dxa"/>
            <w:vAlign w:val="bottom"/>
          </w:tcPr>
          <w:p w14:paraId="7F6241C1">
            <w:pPr>
              <w:pStyle w:val="1001"/>
              <w:ind w:firstLine="0" w:firstLineChars="0"/>
              <w:rPr>
                <w:color w:val="auto"/>
                <w:highlight w:val="none"/>
                <w:u w:val="none"/>
              </w:rPr>
            </w:pPr>
            <w:r>
              <w:rPr>
                <w:rFonts w:hint="eastAsia"/>
                <w:color w:val="auto"/>
                <w:highlight w:val="none"/>
                <w:u w:val="none"/>
              </w:rPr>
              <w:t xml:space="preserve">56.70 </w:t>
            </w:r>
          </w:p>
        </w:tc>
        <w:tc>
          <w:tcPr>
            <w:tcW w:w="870" w:type="dxa"/>
            <w:vAlign w:val="bottom"/>
          </w:tcPr>
          <w:p w14:paraId="778183EB">
            <w:pPr>
              <w:pStyle w:val="1001"/>
              <w:ind w:firstLine="0" w:firstLineChars="0"/>
              <w:rPr>
                <w:color w:val="auto"/>
                <w:highlight w:val="none"/>
                <w:u w:val="none"/>
              </w:rPr>
            </w:pPr>
            <w:r>
              <w:rPr>
                <w:rFonts w:hint="eastAsia"/>
                <w:color w:val="auto"/>
                <w:highlight w:val="none"/>
                <w:u w:val="none"/>
              </w:rPr>
              <w:t xml:space="preserve">52.51 </w:t>
            </w:r>
          </w:p>
        </w:tc>
        <w:tc>
          <w:tcPr>
            <w:tcW w:w="447" w:type="pct"/>
            <w:tcMar>
              <w:left w:w="0" w:type="dxa"/>
              <w:right w:w="0" w:type="dxa"/>
            </w:tcMar>
            <w:vAlign w:val="center"/>
          </w:tcPr>
          <w:p w14:paraId="3EAEC37C">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518E424A">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5991ED58">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4E4B285A">
            <w:pPr>
              <w:pStyle w:val="1001"/>
              <w:rPr>
                <w:color w:val="auto"/>
                <w:highlight w:val="none"/>
                <w:u w:val="none"/>
              </w:rPr>
            </w:pPr>
            <w:r>
              <w:rPr>
                <w:color w:val="auto"/>
                <w:highlight w:val="none"/>
                <w:u w:val="none"/>
              </w:rPr>
              <w:t>达标</w:t>
            </w:r>
          </w:p>
        </w:tc>
      </w:tr>
      <w:tr w14:paraId="6790B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2B515050">
            <w:pPr>
              <w:pStyle w:val="1001"/>
              <w:rPr>
                <w:color w:val="auto"/>
                <w:highlight w:val="none"/>
                <w:u w:val="none"/>
              </w:rPr>
            </w:pPr>
            <w:r>
              <w:rPr>
                <w:rFonts w:hint="eastAsia"/>
                <w:color w:val="auto"/>
                <w:highlight w:val="none"/>
                <w:u w:val="none"/>
              </w:rPr>
              <w:t>N</w:t>
            </w:r>
            <w:r>
              <w:rPr>
                <w:color w:val="auto"/>
                <w:highlight w:val="none"/>
                <w:u w:val="none"/>
              </w:rPr>
              <w:t>9</w:t>
            </w:r>
          </w:p>
        </w:tc>
        <w:tc>
          <w:tcPr>
            <w:tcW w:w="534" w:type="pct"/>
            <w:tcMar>
              <w:left w:w="0" w:type="dxa"/>
              <w:right w:w="0" w:type="dxa"/>
            </w:tcMar>
            <w:vAlign w:val="center"/>
          </w:tcPr>
          <w:p w14:paraId="6982D0A5">
            <w:pPr>
              <w:pStyle w:val="1001"/>
              <w:rPr>
                <w:color w:val="auto"/>
                <w:highlight w:val="none"/>
                <w:u w:val="none"/>
              </w:rPr>
            </w:pPr>
            <w:r>
              <w:rPr>
                <w:rFonts w:hint="eastAsia"/>
                <w:color w:val="auto"/>
                <w:highlight w:val="none"/>
                <w:u w:val="none"/>
              </w:rPr>
              <w:t>55</w:t>
            </w:r>
          </w:p>
        </w:tc>
        <w:tc>
          <w:tcPr>
            <w:tcW w:w="509" w:type="pct"/>
            <w:shd w:val="clear" w:color="000000" w:fill="auto"/>
            <w:tcMar>
              <w:left w:w="0" w:type="dxa"/>
              <w:right w:w="0" w:type="dxa"/>
            </w:tcMar>
            <w:vAlign w:val="center"/>
          </w:tcPr>
          <w:p w14:paraId="5A8B4400">
            <w:pPr>
              <w:pStyle w:val="1001"/>
              <w:rPr>
                <w:color w:val="auto"/>
                <w:highlight w:val="none"/>
                <w:u w:val="none"/>
              </w:rPr>
            </w:pPr>
            <w:r>
              <w:rPr>
                <w:rFonts w:hint="eastAsia"/>
                <w:color w:val="auto"/>
                <w:highlight w:val="none"/>
                <w:u w:val="none"/>
              </w:rPr>
              <w:t>51</w:t>
            </w:r>
          </w:p>
        </w:tc>
        <w:tc>
          <w:tcPr>
            <w:tcW w:w="1567" w:type="dxa"/>
            <w:vAlign w:val="center"/>
          </w:tcPr>
          <w:p w14:paraId="2BBC89B8">
            <w:pPr>
              <w:pStyle w:val="1001"/>
              <w:ind w:firstLine="0" w:firstLineChars="0"/>
              <w:rPr>
                <w:color w:val="auto"/>
                <w:highlight w:val="none"/>
                <w:u w:val="none"/>
              </w:rPr>
            </w:pPr>
            <w:r>
              <w:rPr>
                <w:rFonts w:hint="eastAsia"/>
                <w:color w:val="auto"/>
                <w:highlight w:val="none"/>
                <w:u w:val="none"/>
              </w:rPr>
              <w:t>40.20</w:t>
            </w:r>
          </w:p>
        </w:tc>
        <w:tc>
          <w:tcPr>
            <w:tcW w:w="866" w:type="dxa"/>
            <w:vAlign w:val="bottom"/>
          </w:tcPr>
          <w:p w14:paraId="7AFC29E3">
            <w:pPr>
              <w:pStyle w:val="1001"/>
              <w:ind w:firstLine="0" w:firstLineChars="0"/>
              <w:rPr>
                <w:color w:val="auto"/>
                <w:highlight w:val="none"/>
                <w:u w:val="none"/>
              </w:rPr>
            </w:pPr>
            <w:r>
              <w:rPr>
                <w:rFonts w:hint="eastAsia"/>
                <w:color w:val="auto"/>
                <w:highlight w:val="none"/>
                <w:u w:val="none"/>
              </w:rPr>
              <w:t xml:space="preserve">55.14 </w:t>
            </w:r>
          </w:p>
        </w:tc>
        <w:tc>
          <w:tcPr>
            <w:tcW w:w="870" w:type="dxa"/>
            <w:vAlign w:val="bottom"/>
          </w:tcPr>
          <w:p w14:paraId="36DFE5B2">
            <w:pPr>
              <w:pStyle w:val="1001"/>
              <w:ind w:firstLine="0" w:firstLineChars="0"/>
              <w:rPr>
                <w:color w:val="auto"/>
                <w:highlight w:val="none"/>
                <w:u w:val="none"/>
              </w:rPr>
            </w:pPr>
            <w:r>
              <w:rPr>
                <w:rFonts w:hint="eastAsia"/>
                <w:color w:val="auto"/>
                <w:highlight w:val="none"/>
                <w:u w:val="none"/>
              </w:rPr>
              <w:t xml:space="preserve">51.30 </w:t>
            </w:r>
          </w:p>
        </w:tc>
        <w:tc>
          <w:tcPr>
            <w:tcW w:w="447" w:type="pct"/>
            <w:tcMar>
              <w:left w:w="0" w:type="dxa"/>
              <w:right w:w="0" w:type="dxa"/>
            </w:tcMar>
            <w:vAlign w:val="center"/>
          </w:tcPr>
          <w:p w14:paraId="467BBDCC">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142D16AD">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20CB9CFA">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3E51EA27">
            <w:pPr>
              <w:pStyle w:val="1001"/>
              <w:rPr>
                <w:color w:val="auto"/>
                <w:highlight w:val="none"/>
                <w:u w:val="none"/>
              </w:rPr>
            </w:pPr>
            <w:r>
              <w:rPr>
                <w:color w:val="auto"/>
                <w:highlight w:val="none"/>
                <w:u w:val="none"/>
              </w:rPr>
              <w:t>达标</w:t>
            </w:r>
          </w:p>
        </w:tc>
      </w:tr>
      <w:tr w14:paraId="1C462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34E38793">
            <w:pPr>
              <w:pStyle w:val="1001"/>
              <w:rPr>
                <w:color w:val="auto"/>
                <w:highlight w:val="none"/>
                <w:u w:val="none"/>
              </w:rPr>
            </w:pPr>
            <w:r>
              <w:rPr>
                <w:rFonts w:hint="eastAsia"/>
                <w:color w:val="auto"/>
                <w:highlight w:val="none"/>
                <w:u w:val="none"/>
              </w:rPr>
              <w:t>N</w:t>
            </w:r>
            <w:r>
              <w:rPr>
                <w:color w:val="auto"/>
                <w:highlight w:val="none"/>
                <w:u w:val="none"/>
              </w:rPr>
              <w:t>10</w:t>
            </w:r>
          </w:p>
        </w:tc>
        <w:tc>
          <w:tcPr>
            <w:tcW w:w="534" w:type="pct"/>
            <w:tcMar>
              <w:left w:w="0" w:type="dxa"/>
              <w:right w:w="0" w:type="dxa"/>
            </w:tcMar>
            <w:vAlign w:val="center"/>
          </w:tcPr>
          <w:p w14:paraId="17D4D0D2">
            <w:pPr>
              <w:pStyle w:val="1001"/>
              <w:rPr>
                <w:color w:val="auto"/>
                <w:highlight w:val="none"/>
                <w:u w:val="none"/>
              </w:rPr>
            </w:pPr>
            <w:r>
              <w:rPr>
                <w:rFonts w:hint="eastAsia"/>
                <w:color w:val="auto"/>
                <w:highlight w:val="none"/>
                <w:u w:val="none"/>
              </w:rPr>
              <w:t>50</w:t>
            </w:r>
          </w:p>
        </w:tc>
        <w:tc>
          <w:tcPr>
            <w:tcW w:w="509" w:type="pct"/>
            <w:shd w:val="clear" w:color="000000" w:fill="auto"/>
            <w:tcMar>
              <w:left w:w="0" w:type="dxa"/>
              <w:right w:w="0" w:type="dxa"/>
            </w:tcMar>
            <w:vAlign w:val="center"/>
          </w:tcPr>
          <w:p w14:paraId="5A5BC787">
            <w:pPr>
              <w:pStyle w:val="1001"/>
              <w:rPr>
                <w:color w:val="auto"/>
                <w:highlight w:val="none"/>
                <w:u w:val="none"/>
              </w:rPr>
            </w:pPr>
            <w:r>
              <w:rPr>
                <w:rFonts w:hint="eastAsia"/>
                <w:color w:val="auto"/>
                <w:highlight w:val="none"/>
                <w:u w:val="none"/>
              </w:rPr>
              <w:t>47</w:t>
            </w:r>
          </w:p>
        </w:tc>
        <w:tc>
          <w:tcPr>
            <w:tcW w:w="1567" w:type="dxa"/>
            <w:vAlign w:val="center"/>
          </w:tcPr>
          <w:p w14:paraId="0E026B93">
            <w:pPr>
              <w:pStyle w:val="1001"/>
              <w:ind w:firstLine="0" w:firstLineChars="0"/>
              <w:rPr>
                <w:color w:val="auto"/>
                <w:highlight w:val="none"/>
                <w:u w:val="none"/>
              </w:rPr>
            </w:pPr>
            <w:r>
              <w:rPr>
                <w:rFonts w:hint="eastAsia"/>
                <w:color w:val="auto"/>
                <w:highlight w:val="none"/>
                <w:u w:val="none"/>
              </w:rPr>
              <w:t>36.25</w:t>
            </w:r>
          </w:p>
        </w:tc>
        <w:tc>
          <w:tcPr>
            <w:tcW w:w="866" w:type="dxa"/>
            <w:vAlign w:val="bottom"/>
          </w:tcPr>
          <w:p w14:paraId="0DE59E9A">
            <w:pPr>
              <w:pStyle w:val="1001"/>
              <w:ind w:firstLine="0" w:firstLineChars="0"/>
              <w:rPr>
                <w:color w:val="auto"/>
                <w:highlight w:val="none"/>
                <w:u w:val="none"/>
              </w:rPr>
            </w:pPr>
            <w:r>
              <w:rPr>
                <w:rFonts w:hint="eastAsia"/>
                <w:color w:val="auto"/>
                <w:highlight w:val="none"/>
                <w:u w:val="none"/>
              </w:rPr>
              <w:t xml:space="preserve">50.15 </w:t>
            </w:r>
          </w:p>
        </w:tc>
        <w:tc>
          <w:tcPr>
            <w:tcW w:w="870" w:type="dxa"/>
            <w:vAlign w:val="bottom"/>
          </w:tcPr>
          <w:p w14:paraId="3D023643">
            <w:pPr>
              <w:pStyle w:val="1001"/>
              <w:ind w:firstLine="0" w:firstLineChars="0"/>
              <w:rPr>
                <w:color w:val="auto"/>
                <w:highlight w:val="none"/>
                <w:u w:val="none"/>
              </w:rPr>
            </w:pPr>
            <w:r>
              <w:rPr>
                <w:rFonts w:hint="eastAsia"/>
                <w:color w:val="auto"/>
                <w:highlight w:val="none"/>
                <w:u w:val="none"/>
              </w:rPr>
              <w:t xml:space="preserve">47.28 </w:t>
            </w:r>
          </w:p>
        </w:tc>
        <w:tc>
          <w:tcPr>
            <w:tcW w:w="447" w:type="pct"/>
            <w:tcMar>
              <w:left w:w="0" w:type="dxa"/>
              <w:right w:w="0" w:type="dxa"/>
            </w:tcMar>
            <w:vAlign w:val="center"/>
          </w:tcPr>
          <w:p w14:paraId="18E88AA6">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2C1BC1C5">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3FE576A3">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61051D69">
            <w:pPr>
              <w:pStyle w:val="1001"/>
              <w:rPr>
                <w:color w:val="auto"/>
                <w:highlight w:val="none"/>
                <w:u w:val="none"/>
              </w:rPr>
            </w:pPr>
            <w:r>
              <w:rPr>
                <w:color w:val="auto"/>
                <w:highlight w:val="none"/>
                <w:u w:val="none"/>
              </w:rPr>
              <w:t>达标</w:t>
            </w:r>
          </w:p>
        </w:tc>
      </w:tr>
      <w:tr w14:paraId="1A4EC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4A9DCA05">
            <w:pPr>
              <w:pStyle w:val="1001"/>
              <w:rPr>
                <w:color w:val="auto"/>
                <w:highlight w:val="none"/>
                <w:u w:val="none"/>
              </w:rPr>
            </w:pPr>
            <w:r>
              <w:rPr>
                <w:rFonts w:hint="eastAsia"/>
                <w:color w:val="auto"/>
                <w:highlight w:val="none"/>
                <w:u w:val="none"/>
              </w:rPr>
              <w:t>N</w:t>
            </w:r>
            <w:r>
              <w:rPr>
                <w:color w:val="auto"/>
                <w:highlight w:val="none"/>
                <w:u w:val="none"/>
              </w:rPr>
              <w:t>11</w:t>
            </w:r>
          </w:p>
        </w:tc>
        <w:tc>
          <w:tcPr>
            <w:tcW w:w="534" w:type="pct"/>
            <w:tcMar>
              <w:left w:w="0" w:type="dxa"/>
              <w:right w:w="0" w:type="dxa"/>
            </w:tcMar>
            <w:vAlign w:val="center"/>
          </w:tcPr>
          <w:p w14:paraId="225BF032">
            <w:pPr>
              <w:pStyle w:val="1001"/>
              <w:rPr>
                <w:color w:val="auto"/>
                <w:highlight w:val="none"/>
                <w:u w:val="none"/>
              </w:rPr>
            </w:pPr>
            <w:r>
              <w:rPr>
                <w:rFonts w:hint="eastAsia"/>
                <w:color w:val="auto"/>
                <w:highlight w:val="none"/>
                <w:u w:val="none"/>
              </w:rPr>
              <w:t>51</w:t>
            </w:r>
          </w:p>
        </w:tc>
        <w:tc>
          <w:tcPr>
            <w:tcW w:w="509" w:type="pct"/>
            <w:shd w:val="clear" w:color="000000" w:fill="auto"/>
            <w:tcMar>
              <w:left w:w="0" w:type="dxa"/>
              <w:right w:w="0" w:type="dxa"/>
            </w:tcMar>
            <w:vAlign w:val="center"/>
          </w:tcPr>
          <w:p w14:paraId="3C1A617E">
            <w:pPr>
              <w:pStyle w:val="1001"/>
              <w:rPr>
                <w:color w:val="auto"/>
                <w:highlight w:val="none"/>
                <w:u w:val="none"/>
              </w:rPr>
            </w:pPr>
            <w:r>
              <w:rPr>
                <w:rFonts w:hint="eastAsia"/>
                <w:color w:val="auto"/>
                <w:highlight w:val="none"/>
                <w:u w:val="none"/>
              </w:rPr>
              <w:t>48</w:t>
            </w:r>
          </w:p>
        </w:tc>
        <w:tc>
          <w:tcPr>
            <w:tcW w:w="1567" w:type="dxa"/>
            <w:vAlign w:val="center"/>
          </w:tcPr>
          <w:p w14:paraId="5B1AE282">
            <w:pPr>
              <w:pStyle w:val="1001"/>
              <w:ind w:firstLine="0" w:firstLineChars="0"/>
              <w:rPr>
                <w:color w:val="auto"/>
                <w:highlight w:val="none"/>
                <w:u w:val="none"/>
              </w:rPr>
            </w:pPr>
            <w:r>
              <w:rPr>
                <w:rFonts w:hint="eastAsia"/>
                <w:color w:val="auto"/>
                <w:highlight w:val="none"/>
                <w:u w:val="none"/>
              </w:rPr>
              <w:t>40.42</w:t>
            </w:r>
          </w:p>
        </w:tc>
        <w:tc>
          <w:tcPr>
            <w:tcW w:w="866" w:type="dxa"/>
            <w:vAlign w:val="bottom"/>
          </w:tcPr>
          <w:p w14:paraId="317076DC">
            <w:pPr>
              <w:pStyle w:val="1001"/>
              <w:ind w:firstLine="0" w:firstLineChars="0"/>
              <w:rPr>
                <w:color w:val="auto"/>
                <w:highlight w:val="none"/>
                <w:u w:val="none"/>
              </w:rPr>
            </w:pPr>
            <w:r>
              <w:rPr>
                <w:rFonts w:hint="eastAsia"/>
                <w:color w:val="auto"/>
                <w:highlight w:val="none"/>
                <w:u w:val="none"/>
              </w:rPr>
              <w:t xml:space="preserve">51.21 </w:t>
            </w:r>
          </w:p>
        </w:tc>
        <w:tc>
          <w:tcPr>
            <w:tcW w:w="870" w:type="dxa"/>
            <w:vAlign w:val="bottom"/>
          </w:tcPr>
          <w:p w14:paraId="428CA366">
            <w:pPr>
              <w:pStyle w:val="1001"/>
              <w:ind w:firstLine="0" w:firstLineChars="0"/>
              <w:rPr>
                <w:color w:val="auto"/>
                <w:highlight w:val="none"/>
                <w:u w:val="none"/>
              </w:rPr>
            </w:pPr>
            <w:r>
              <w:rPr>
                <w:rFonts w:hint="eastAsia"/>
                <w:color w:val="auto"/>
                <w:highlight w:val="none"/>
                <w:u w:val="none"/>
              </w:rPr>
              <w:t xml:space="preserve">48.72 </w:t>
            </w:r>
          </w:p>
        </w:tc>
        <w:tc>
          <w:tcPr>
            <w:tcW w:w="447" w:type="pct"/>
            <w:tcMar>
              <w:left w:w="0" w:type="dxa"/>
              <w:right w:w="0" w:type="dxa"/>
            </w:tcMar>
            <w:vAlign w:val="center"/>
          </w:tcPr>
          <w:p w14:paraId="286552DA">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52284405">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6DC650F3">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6C1C7203">
            <w:pPr>
              <w:pStyle w:val="1001"/>
              <w:rPr>
                <w:color w:val="auto"/>
                <w:highlight w:val="none"/>
                <w:u w:val="none"/>
              </w:rPr>
            </w:pPr>
            <w:r>
              <w:rPr>
                <w:color w:val="auto"/>
                <w:highlight w:val="none"/>
                <w:u w:val="none"/>
              </w:rPr>
              <w:t>达标</w:t>
            </w:r>
          </w:p>
        </w:tc>
      </w:tr>
      <w:tr w14:paraId="03CADC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7" w:type="pct"/>
            <w:tcMar>
              <w:left w:w="0" w:type="dxa"/>
              <w:right w:w="0" w:type="dxa"/>
            </w:tcMar>
            <w:vAlign w:val="center"/>
          </w:tcPr>
          <w:p w14:paraId="5A53889E">
            <w:pPr>
              <w:pStyle w:val="1001"/>
              <w:rPr>
                <w:color w:val="auto"/>
                <w:highlight w:val="none"/>
                <w:u w:val="none"/>
              </w:rPr>
            </w:pPr>
            <w:r>
              <w:rPr>
                <w:rFonts w:hint="eastAsia"/>
                <w:color w:val="auto"/>
                <w:highlight w:val="none"/>
                <w:u w:val="none"/>
              </w:rPr>
              <w:t>N</w:t>
            </w:r>
            <w:r>
              <w:rPr>
                <w:color w:val="auto"/>
                <w:highlight w:val="none"/>
                <w:u w:val="none"/>
              </w:rPr>
              <w:t>12</w:t>
            </w:r>
          </w:p>
        </w:tc>
        <w:tc>
          <w:tcPr>
            <w:tcW w:w="534" w:type="pct"/>
            <w:tcMar>
              <w:left w:w="0" w:type="dxa"/>
              <w:right w:w="0" w:type="dxa"/>
            </w:tcMar>
            <w:vAlign w:val="center"/>
          </w:tcPr>
          <w:p w14:paraId="51AD04BE">
            <w:pPr>
              <w:pStyle w:val="1001"/>
              <w:rPr>
                <w:color w:val="auto"/>
                <w:highlight w:val="none"/>
                <w:u w:val="none"/>
              </w:rPr>
            </w:pPr>
            <w:r>
              <w:rPr>
                <w:rFonts w:hint="eastAsia"/>
                <w:color w:val="auto"/>
                <w:highlight w:val="none"/>
                <w:u w:val="none"/>
              </w:rPr>
              <w:t>51.5</w:t>
            </w:r>
          </w:p>
        </w:tc>
        <w:tc>
          <w:tcPr>
            <w:tcW w:w="509" w:type="pct"/>
            <w:shd w:val="clear" w:color="000000" w:fill="auto"/>
            <w:tcMar>
              <w:left w:w="0" w:type="dxa"/>
              <w:right w:w="0" w:type="dxa"/>
            </w:tcMar>
            <w:vAlign w:val="center"/>
          </w:tcPr>
          <w:p w14:paraId="759BC3B6">
            <w:pPr>
              <w:pStyle w:val="1001"/>
              <w:rPr>
                <w:color w:val="auto"/>
                <w:highlight w:val="none"/>
                <w:u w:val="none"/>
              </w:rPr>
            </w:pPr>
            <w:r>
              <w:rPr>
                <w:rFonts w:hint="eastAsia"/>
                <w:color w:val="auto"/>
                <w:highlight w:val="none"/>
                <w:u w:val="none"/>
              </w:rPr>
              <w:t>49.5</w:t>
            </w:r>
          </w:p>
        </w:tc>
        <w:tc>
          <w:tcPr>
            <w:tcW w:w="1567" w:type="dxa"/>
            <w:vAlign w:val="center"/>
          </w:tcPr>
          <w:p w14:paraId="73B02363">
            <w:pPr>
              <w:pStyle w:val="1001"/>
              <w:ind w:firstLine="0" w:firstLineChars="0"/>
              <w:rPr>
                <w:color w:val="auto"/>
                <w:highlight w:val="none"/>
                <w:u w:val="none"/>
              </w:rPr>
            </w:pPr>
            <w:r>
              <w:rPr>
                <w:rFonts w:hint="eastAsia"/>
                <w:color w:val="auto"/>
                <w:highlight w:val="none"/>
                <w:u w:val="none"/>
              </w:rPr>
              <w:t>44.30</w:t>
            </w:r>
          </w:p>
        </w:tc>
        <w:tc>
          <w:tcPr>
            <w:tcW w:w="866" w:type="dxa"/>
            <w:vAlign w:val="bottom"/>
          </w:tcPr>
          <w:p w14:paraId="474A79FC">
            <w:pPr>
              <w:pStyle w:val="1001"/>
              <w:ind w:firstLine="0" w:firstLineChars="0"/>
              <w:rPr>
                <w:color w:val="auto"/>
                <w:highlight w:val="none"/>
                <w:u w:val="none"/>
              </w:rPr>
            </w:pPr>
            <w:r>
              <w:rPr>
                <w:rFonts w:hint="eastAsia"/>
                <w:color w:val="auto"/>
                <w:highlight w:val="none"/>
                <w:u w:val="none"/>
              </w:rPr>
              <w:t xml:space="preserve">52.23 </w:t>
            </w:r>
          </w:p>
        </w:tc>
        <w:tc>
          <w:tcPr>
            <w:tcW w:w="870" w:type="dxa"/>
            <w:vAlign w:val="bottom"/>
          </w:tcPr>
          <w:p w14:paraId="0F369D7B">
            <w:pPr>
              <w:pStyle w:val="1001"/>
              <w:ind w:firstLine="0" w:firstLineChars="0"/>
              <w:rPr>
                <w:color w:val="auto"/>
                <w:highlight w:val="none"/>
                <w:u w:val="none"/>
              </w:rPr>
            </w:pPr>
            <w:r>
              <w:rPr>
                <w:rFonts w:hint="eastAsia"/>
                <w:color w:val="auto"/>
                <w:highlight w:val="none"/>
                <w:u w:val="none"/>
              </w:rPr>
              <w:t xml:space="preserve">50.65 </w:t>
            </w:r>
          </w:p>
        </w:tc>
        <w:tc>
          <w:tcPr>
            <w:tcW w:w="447" w:type="pct"/>
            <w:tcMar>
              <w:left w:w="0" w:type="dxa"/>
              <w:right w:w="0" w:type="dxa"/>
            </w:tcMar>
            <w:vAlign w:val="center"/>
          </w:tcPr>
          <w:p w14:paraId="3D441E7F">
            <w:pPr>
              <w:pStyle w:val="1001"/>
              <w:rPr>
                <w:color w:val="auto"/>
                <w:highlight w:val="none"/>
                <w:u w:val="none"/>
              </w:rPr>
            </w:pPr>
            <w:r>
              <w:rPr>
                <w:color w:val="auto"/>
                <w:highlight w:val="none"/>
                <w:u w:val="none"/>
              </w:rPr>
              <w:t>65</w:t>
            </w:r>
          </w:p>
        </w:tc>
        <w:tc>
          <w:tcPr>
            <w:tcW w:w="408" w:type="pct"/>
            <w:tcMar>
              <w:left w:w="0" w:type="dxa"/>
              <w:right w:w="0" w:type="dxa"/>
            </w:tcMar>
            <w:vAlign w:val="center"/>
          </w:tcPr>
          <w:p w14:paraId="7952CB6B">
            <w:pPr>
              <w:pStyle w:val="1001"/>
              <w:rPr>
                <w:color w:val="auto"/>
                <w:highlight w:val="none"/>
                <w:u w:val="none"/>
              </w:rPr>
            </w:pPr>
            <w:r>
              <w:rPr>
                <w:color w:val="auto"/>
                <w:highlight w:val="none"/>
                <w:u w:val="none"/>
              </w:rPr>
              <w:t>55</w:t>
            </w:r>
          </w:p>
        </w:tc>
        <w:tc>
          <w:tcPr>
            <w:tcW w:w="490" w:type="pct"/>
            <w:tcMar>
              <w:left w:w="0" w:type="dxa"/>
              <w:right w:w="0" w:type="dxa"/>
            </w:tcMar>
            <w:vAlign w:val="center"/>
          </w:tcPr>
          <w:p w14:paraId="7852CD8A">
            <w:pPr>
              <w:pStyle w:val="1001"/>
              <w:rPr>
                <w:color w:val="auto"/>
                <w:highlight w:val="none"/>
                <w:u w:val="none"/>
              </w:rPr>
            </w:pPr>
            <w:r>
              <w:rPr>
                <w:color w:val="auto"/>
                <w:highlight w:val="none"/>
                <w:u w:val="none"/>
              </w:rPr>
              <w:t>达标</w:t>
            </w:r>
          </w:p>
        </w:tc>
        <w:tc>
          <w:tcPr>
            <w:tcW w:w="430" w:type="pct"/>
            <w:tcMar>
              <w:left w:w="0" w:type="dxa"/>
              <w:right w:w="0" w:type="dxa"/>
            </w:tcMar>
            <w:vAlign w:val="center"/>
          </w:tcPr>
          <w:p w14:paraId="1BA42923">
            <w:pPr>
              <w:pStyle w:val="1001"/>
              <w:rPr>
                <w:color w:val="auto"/>
                <w:highlight w:val="none"/>
                <w:u w:val="none"/>
              </w:rPr>
            </w:pPr>
            <w:r>
              <w:rPr>
                <w:color w:val="auto"/>
                <w:highlight w:val="none"/>
                <w:u w:val="none"/>
              </w:rPr>
              <w:t>达标</w:t>
            </w:r>
          </w:p>
        </w:tc>
      </w:tr>
    </w:tbl>
    <w:p w14:paraId="17E7701D">
      <w:pPr>
        <w:pStyle w:val="5"/>
        <w:ind w:firstLine="0" w:firstLineChars="0"/>
        <w:jc w:val="center"/>
        <w:rPr>
          <w:rFonts w:hint="eastAsia"/>
          <w:color w:val="auto"/>
          <w:highlight w:val="none"/>
          <w:u w:val="none"/>
        </w:rPr>
      </w:pPr>
    </w:p>
    <w:p w14:paraId="506D1F09">
      <w:pPr>
        <w:pStyle w:val="5"/>
        <w:ind w:firstLine="0" w:firstLineChars="0"/>
        <w:jc w:val="center"/>
        <w:rPr>
          <w:rFonts w:hint="eastAsia"/>
          <w:color w:val="auto"/>
          <w:highlight w:val="none"/>
          <w:u w:val="none"/>
        </w:rPr>
      </w:pPr>
    </w:p>
    <w:p w14:paraId="054C86F9">
      <w:pPr>
        <w:pStyle w:val="5"/>
        <w:ind w:firstLine="0" w:firstLineChars="0"/>
        <w:jc w:val="center"/>
        <w:rPr>
          <w:rFonts w:hint="eastAsia"/>
          <w:color w:val="auto"/>
          <w:highlight w:val="none"/>
          <w:u w:val="none"/>
        </w:rPr>
      </w:pPr>
    </w:p>
    <w:p w14:paraId="08D70643">
      <w:pPr>
        <w:rPr>
          <w:rFonts w:hint="eastAsia"/>
          <w:color w:val="auto"/>
          <w:highlight w:val="none"/>
          <w:u w:val="none"/>
        </w:rPr>
      </w:pPr>
      <w:r>
        <w:rPr>
          <w:color w:val="auto"/>
          <w:highlight w:val="none"/>
          <w:u w:val="none"/>
        </w:rPr>
        <w:t>由</w:t>
      </w:r>
      <w:r>
        <w:rPr>
          <w:color w:val="auto"/>
          <w:highlight w:val="none"/>
          <w:u w:val="none"/>
        </w:rPr>
        <w:fldChar w:fldCharType="begin"/>
      </w:r>
      <w:r>
        <w:rPr>
          <w:color w:val="auto"/>
          <w:highlight w:val="none"/>
          <w:u w:val="none"/>
        </w:rPr>
        <w:instrText xml:space="preserve"> REF _Ref148683483 \h  \* MERGEFORMAT </w:instrText>
      </w:r>
      <w:r>
        <w:rPr>
          <w:color w:val="auto"/>
          <w:highlight w:val="none"/>
          <w:u w:val="none"/>
        </w:rPr>
        <w:fldChar w:fldCharType="separate"/>
      </w:r>
      <w:r>
        <w:rPr>
          <w:color w:val="auto"/>
          <w:highlight w:val="none"/>
          <w:u w:val="none"/>
        </w:rPr>
        <w:t>表 8.4</w:t>
      </w:r>
      <w:r>
        <w:rPr>
          <w:color w:val="auto"/>
          <w:highlight w:val="none"/>
          <w:u w:val="none"/>
        </w:rPr>
        <w:noBreakHyphen/>
      </w:r>
      <w:r>
        <w:rPr>
          <w:color w:val="auto"/>
          <w:highlight w:val="none"/>
          <w:u w:val="none"/>
        </w:rPr>
        <w:t>3</w:t>
      </w:r>
      <w:r>
        <w:rPr>
          <w:color w:val="auto"/>
          <w:highlight w:val="none"/>
          <w:u w:val="none"/>
        </w:rPr>
        <w:fldChar w:fldCharType="end"/>
      </w:r>
      <w:r>
        <w:rPr>
          <w:color w:val="auto"/>
          <w:highlight w:val="none"/>
          <w:u w:val="none"/>
        </w:rPr>
        <w:t>和</w:t>
      </w:r>
      <w:r>
        <w:rPr>
          <w:color w:val="auto"/>
          <w:highlight w:val="none"/>
          <w:u w:val="none"/>
        </w:rPr>
        <w:fldChar w:fldCharType="begin"/>
      </w:r>
      <w:r>
        <w:rPr>
          <w:color w:val="auto"/>
          <w:highlight w:val="none"/>
          <w:u w:val="none"/>
        </w:rPr>
        <w:instrText xml:space="preserve"> REF _Ref148683555 \h  \* MERGEFORMAT </w:instrText>
      </w:r>
      <w:r>
        <w:rPr>
          <w:color w:val="auto"/>
          <w:highlight w:val="none"/>
          <w:u w:val="none"/>
        </w:rPr>
        <w:fldChar w:fldCharType="separate"/>
      </w:r>
      <w:r>
        <w:rPr>
          <w:rFonts w:hint="eastAsia"/>
          <w:color w:val="auto"/>
          <w:highlight w:val="none"/>
          <w:u w:val="none"/>
        </w:rPr>
        <w:t xml:space="preserve">图 </w:t>
      </w:r>
      <w:r>
        <w:rPr>
          <w:color w:val="auto"/>
          <w:highlight w:val="none"/>
          <w:u w:val="none"/>
        </w:rPr>
        <w:t>8.4</w:t>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中可以看出：工程投入运营后，厂界周围声级都有所上升。厂界昼间噪声预测值介于</w:t>
      </w:r>
      <w:r>
        <w:rPr>
          <w:color w:val="auto"/>
          <w:highlight w:val="none"/>
          <w:u w:val="none"/>
        </w:rPr>
        <w:t>50.</w:t>
      </w:r>
      <w:r>
        <w:rPr>
          <w:rFonts w:hint="eastAsia"/>
          <w:color w:val="auto"/>
          <w:highlight w:val="none"/>
          <w:u w:val="none"/>
        </w:rPr>
        <w:t>15d</w:t>
      </w:r>
      <w:r>
        <w:rPr>
          <w:color w:val="auto"/>
          <w:highlight w:val="none"/>
          <w:u w:val="none"/>
        </w:rPr>
        <w:t>B（A）~58.</w:t>
      </w:r>
      <w:r>
        <w:rPr>
          <w:rFonts w:hint="eastAsia"/>
          <w:color w:val="auto"/>
          <w:highlight w:val="none"/>
          <w:u w:val="none"/>
        </w:rPr>
        <w:t>58d</w:t>
      </w:r>
      <w:r>
        <w:rPr>
          <w:color w:val="auto"/>
          <w:highlight w:val="none"/>
          <w:u w:val="none"/>
        </w:rPr>
        <w:t>B（A）之间，营运期厂界昼间噪声预测值不超过65dB（A），符合《工业企业厂界环境噪声排放标准》（GB12348-2008）规定的3类要求；厂界夜间噪声预测值介于47.</w:t>
      </w:r>
      <w:r>
        <w:rPr>
          <w:rFonts w:hint="eastAsia"/>
          <w:color w:val="auto"/>
          <w:highlight w:val="none"/>
          <w:u w:val="none"/>
        </w:rPr>
        <w:t>28</w:t>
      </w:r>
      <w:r>
        <w:rPr>
          <w:color w:val="auto"/>
          <w:highlight w:val="none"/>
          <w:u w:val="none"/>
        </w:rPr>
        <w:t>（A）~</w:t>
      </w:r>
      <w:r>
        <w:rPr>
          <w:rFonts w:hint="eastAsia"/>
          <w:color w:val="auto"/>
          <w:highlight w:val="none"/>
          <w:u w:val="none"/>
          <w:lang w:val="en-US"/>
        </w:rPr>
        <w:t>53.4</w:t>
      </w:r>
      <w:r>
        <w:rPr>
          <w:color w:val="auto"/>
          <w:highlight w:val="none"/>
          <w:u w:val="none"/>
        </w:rPr>
        <w:t>（A），不超过55dB（A），符合《工业企业厂界环境噪声排放标准》（GB12348-2008）规定的3类要求。</w:t>
      </w:r>
    </w:p>
    <w:p w14:paraId="3C17E7C5">
      <w:pPr>
        <w:rPr>
          <w:rFonts w:hint="eastAsia"/>
          <w:color w:val="auto"/>
          <w:highlight w:val="none"/>
          <w:u w:val="none"/>
        </w:rPr>
      </w:pPr>
      <w:r>
        <w:rPr>
          <w:rFonts w:hint="eastAsia"/>
          <w:color w:val="auto"/>
          <w:highlight w:val="none"/>
          <w:u w:val="none"/>
        </w:rPr>
        <w:t>（2）交通噪声影响分析</w:t>
      </w:r>
    </w:p>
    <w:p w14:paraId="7C234994">
      <w:pPr>
        <w:rPr>
          <w:rFonts w:hint="eastAsia"/>
          <w:color w:val="auto"/>
          <w:highlight w:val="none"/>
          <w:u w:val="none"/>
        </w:rPr>
      </w:pPr>
      <w:r>
        <w:rPr>
          <w:rFonts w:hint="eastAsia"/>
          <w:color w:val="auto"/>
          <w:highlight w:val="none"/>
          <w:u w:val="none"/>
        </w:rPr>
        <w:t>工程建成投入运营后，原辅料和产品通过道路运输。运营企业应合理安排运输量和运输时段，夜间（</w:t>
      </w:r>
      <w:r>
        <w:rPr>
          <w:color w:val="auto"/>
          <w:highlight w:val="none"/>
          <w:u w:val="none"/>
        </w:rPr>
        <w:t>22:00-6:00）不安排原辅料和产品进出厂，运输车辆途经居民区等敏</w:t>
      </w:r>
      <w:r>
        <w:rPr>
          <w:rFonts w:hint="eastAsia"/>
          <w:color w:val="auto"/>
          <w:highlight w:val="none"/>
          <w:u w:val="none"/>
        </w:rPr>
        <w:t>感目标时，应限速行驶，禁止鸣笛，避免产生较大的噪声。</w:t>
      </w:r>
    </w:p>
    <w:p w14:paraId="70CAAADF">
      <w:pPr>
        <w:rPr>
          <w:rFonts w:hint="eastAsia"/>
          <w:color w:val="auto"/>
          <w:highlight w:val="none"/>
          <w:u w:val="none"/>
        </w:rPr>
      </w:pPr>
      <w:r>
        <w:rPr>
          <w:rFonts w:hint="eastAsia"/>
          <w:color w:val="auto"/>
          <w:highlight w:val="none"/>
          <w:u w:val="none"/>
        </w:rPr>
        <w:t>综上，本项目建成后对声环境质量的影响较小。</w:t>
      </w:r>
    </w:p>
    <w:p w14:paraId="2A0A33CF">
      <w:pPr>
        <w:pStyle w:val="6"/>
        <w:spacing w:before="156" w:after="156"/>
        <w:rPr>
          <w:color w:val="auto"/>
          <w:highlight w:val="none"/>
          <w:u w:val="none"/>
        </w:rPr>
      </w:pPr>
      <w:r>
        <w:rPr>
          <w:rFonts w:hint="eastAsia"/>
          <w:color w:val="auto"/>
          <w:highlight w:val="none"/>
          <w:u w:val="none"/>
        </w:rPr>
        <w:t>对策及建议</w:t>
      </w:r>
    </w:p>
    <w:p w14:paraId="64725D58">
      <w:pPr>
        <w:rPr>
          <w:rFonts w:hint="eastAsia"/>
          <w:color w:val="auto"/>
          <w:highlight w:val="none"/>
          <w:u w:val="none"/>
        </w:rPr>
      </w:pPr>
      <w:r>
        <w:rPr>
          <w:rFonts w:hint="eastAsia"/>
          <w:color w:val="auto"/>
          <w:highlight w:val="none"/>
          <w:u w:val="none"/>
        </w:rPr>
        <w:t>为保证营运期噪声得到有效的控制，应采取以下的噪声防治措施：</w:t>
      </w:r>
    </w:p>
    <w:p w14:paraId="1273EE4F">
      <w:pPr>
        <w:rPr>
          <w:rFonts w:hint="eastAsia"/>
          <w:color w:val="auto"/>
          <w:highlight w:val="none"/>
          <w:u w:val="none"/>
        </w:rPr>
      </w:pPr>
      <w:r>
        <w:rPr>
          <w:rFonts w:hint="eastAsia"/>
          <w:color w:val="auto"/>
          <w:highlight w:val="none"/>
          <w:u w:val="none"/>
        </w:rPr>
        <w:t>（</w:t>
      </w:r>
      <w:r>
        <w:rPr>
          <w:color w:val="auto"/>
          <w:highlight w:val="none"/>
          <w:u w:val="none"/>
        </w:rPr>
        <w:t>1）首先从声源上控制，即选用先进的低噪声机械、设备及装置是控制厂区噪声</w:t>
      </w:r>
      <w:r>
        <w:rPr>
          <w:rFonts w:hint="eastAsia"/>
          <w:color w:val="auto"/>
          <w:highlight w:val="none"/>
          <w:u w:val="none"/>
        </w:rPr>
        <w:t>的根本措施。</w:t>
      </w:r>
    </w:p>
    <w:p w14:paraId="048A116A">
      <w:pPr>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rPr>
        <w:t>机泵、机组等高噪声源强设备</w:t>
      </w:r>
      <w:r>
        <w:rPr>
          <w:color w:val="auto"/>
          <w:highlight w:val="none"/>
          <w:u w:val="none"/>
        </w:rPr>
        <w:t>应安置在专用机房，采用密封门与外环境隔开，与外管道采用</w:t>
      </w:r>
      <w:r>
        <w:rPr>
          <w:rFonts w:hint="eastAsia"/>
          <w:color w:val="auto"/>
          <w:highlight w:val="none"/>
          <w:u w:val="none"/>
        </w:rPr>
        <w:t>柔性连接，位置尽量远离边界。</w:t>
      </w:r>
    </w:p>
    <w:p w14:paraId="3FCAB246">
      <w:pPr>
        <w:rPr>
          <w:rFonts w:hint="eastAsia"/>
          <w:color w:val="auto"/>
          <w:highlight w:val="none"/>
          <w:u w:val="none"/>
        </w:rPr>
      </w:pPr>
      <w:r>
        <w:rPr>
          <w:rFonts w:hint="eastAsia"/>
          <w:color w:val="auto"/>
          <w:highlight w:val="none"/>
          <w:u w:val="none"/>
        </w:rPr>
        <w:t>（</w:t>
      </w:r>
      <w:r>
        <w:rPr>
          <w:color w:val="auto"/>
          <w:highlight w:val="none"/>
          <w:u w:val="none"/>
        </w:rPr>
        <w:t>3）对主要噪声设备进行减振、隔声、消声处理，重点对</w:t>
      </w:r>
      <w:r>
        <w:rPr>
          <w:rFonts w:hint="eastAsia"/>
          <w:color w:val="auto"/>
          <w:highlight w:val="none"/>
          <w:u w:val="none"/>
        </w:rPr>
        <w:t>高噪声源强设备</w:t>
      </w:r>
      <w:r>
        <w:rPr>
          <w:color w:val="auto"/>
          <w:highlight w:val="none"/>
          <w:u w:val="none"/>
        </w:rPr>
        <w:t>等设备</w:t>
      </w:r>
      <w:r>
        <w:rPr>
          <w:rFonts w:hint="eastAsia"/>
          <w:color w:val="auto"/>
          <w:highlight w:val="none"/>
          <w:u w:val="none"/>
        </w:rPr>
        <w:t>进行噪声治理。</w:t>
      </w:r>
    </w:p>
    <w:p w14:paraId="5E260C0F">
      <w:pPr>
        <w:rPr>
          <w:rFonts w:hint="eastAsia"/>
          <w:color w:val="auto"/>
          <w:highlight w:val="none"/>
          <w:u w:val="none"/>
        </w:rPr>
      </w:pPr>
      <w:r>
        <w:rPr>
          <w:rFonts w:hint="eastAsia"/>
          <w:color w:val="auto"/>
          <w:highlight w:val="none"/>
          <w:u w:val="none"/>
        </w:rPr>
        <w:t>（</w:t>
      </w:r>
      <w:r>
        <w:rPr>
          <w:color w:val="auto"/>
          <w:highlight w:val="none"/>
          <w:u w:val="none"/>
        </w:rPr>
        <w:t>4）加强机械设备的定期检修和维护，以减少机械故障等原因造成的机械振动及</w:t>
      </w:r>
      <w:r>
        <w:rPr>
          <w:rFonts w:hint="eastAsia"/>
          <w:color w:val="auto"/>
          <w:highlight w:val="none"/>
          <w:u w:val="none"/>
        </w:rPr>
        <w:t>噪声。</w:t>
      </w:r>
    </w:p>
    <w:p w14:paraId="74A9731D">
      <w:pPr>
        <w:widowControl/>
        <w:ind w:firstLine="482"/>
        <w:jc w:val="center"/>
        <w:rPr>
          <w:rFonts w:hint="eastAsia"/>
          <w:b/>
          <w:bCs/>
          <w:color w:val="auto"/>
          <w:kern w:val="2"/>
          <w:highlight w:val="none"/>
          <w:u w:val="none"/>
        </w:rPr>
      </w:pPr>
      <w:r>
        <w:rPr>
          <w:rFonts w:hint="eastAsia"/>
          <w:b/>
          <w:bCs/>
          <w:color w:val="auto"/>
          <w:highlight w:val="none"/>
          <w:u w:val="none"/>
        </w:rPr>
        <w:t xml:space="preserve">表 </w:t>
      </w:r>
      <w:r>
        <w:rPr>
          <w:rFonts w:hint="eastAsia"/>
          <w:b/>
          <w:bCs/>
          <w:color w:val="auto"/>
          <w:highlight w:val="none"/>
          <w:u w:val="none"/>
        </w:rPr>
        <w:fldChar w:fldCharType="begin"/>
      </w:r>
      <w:r>
        <w:rPr>
          <w:rFonts w:hint="eastAsia"/>
          <w:b/>
          <w:bCs/>
          <w:color w:val="auto"/>
          <w:highlight w:val="none"/>
          <w:u w:val="none"/>
        </w:rPr>
        <w:instrText xml:space="preserve"> STYLEREF 2 \s </w:instrText>
      </w:r>
      <w:r>
        <w:rPr>
          <w:rFonts w:hint="eastAsia"/>
          <w:b/>
          <w:bCs/>
          <w:color w:val="auto"/>
          <w:highlight w:val="none"/>
          <w:u w:val="none"/>
        </w:rPr>
        <w:fldChar w:fldCharType="separate"/>
      </w:r>
      <w:r>
        <w:rPr>
          <w:rFonts w:hint="eastAsia"/>
          <w:b/>
          <w:bCs/>
          <w:color w:val="auto"/>
          <w:highlight w:val="none"/>
          <w:u w:val="none"/>
        </w:rPr>
        <w:t>8.4</w:t>
      </w:r>
      <w:r>
        <w:rPr>
          <w:rFonts w:hint="eastAsia"/>
          <w:b/>
          <w:bCs/>
          <w:color w:val="auto"/>
          <w:highlight w:val="none"/>
          <w:u w:val="none"/>
        </w:rPr>
        <w:fldChar w:fldCharType="end"/>
      </w:r>
      <w:r>
        <w:rPr>
          <w:rFonts w:hint="eastAsia"/>
          <w:b/>
          <w:bCs/>
          <w:color w:val="auto"/>
          <w:highlight w:val="none"/>
          <w:u w:val="none"/>
        </w:rPr>
        <w:noBreakHyphen/>
      </w:r>
      <w:r>
        <w:rPr>
          <w:rFonts w:hint="eastAsia"/>
          <w:b/>
          <w:bCs/>
          <w:color w:val="auto"/>
          <w:highlight w:val="none"/>
          <w:u w:val="none"/>
        </w:rPr>
        <w:fldChar w:fldCharType="begin"/>
      </w:r>
      <w:r>
        <w:rPr>
          <w:rFonts w:hint="eastAsia"/>
          <w:b/>
          <w:bCs/>
          <w:color w:val="auto"/>
          <w:highlight w:val="none"/>
          <w:u w:val="none"/>
        </w:rPr>
        <w:instrText xml:space="preserve"> SEQ 表 \* ARABIC \s 2 </w:instrText>
      </w:r>
      <w:r>
        <w:rPr>
          <w:rFonts w:hint="eastAsia"/>
          <w:b/>
          <w:bCs/>
          <w:color w:val="auto"/>
          <w:highlight w:val="none"/>
          <w:u w:val="none"/>
        </w:rPr>
        <w:fldChar w:fldCharType="separate"/>
      </w:r>
      <w:r>
        <w:rPr>
          <w:rFonts w:hint="eastAsia"/>
          <w:b/>
          <w:bCs/>
          <w:color w:val="auto"/>
          <w:highlight w:val="none"/>
          <w:u w:val="none"/>
        </w:rPr>
        <w:t>4</w:t>
      </w:r>
      <w:r>
        <w:rPr>
          <w:rFonts w:hint="eastAsia"/>
          <w:b/>
          <w:bCs/>
          <w:color w:val="auto"/>
          <w:highlight w:val="none"/>
          <w:u w:val="none"/>
        </w:rPr>
        <w:fldChar w:fldCharType="end"/>
      </w:r>
      <w:r>
        <w:rPr>
          <w:rFonts w:hint="eastAsia"/>
          <w:b/>
          <w:bCs/>
          <w:color w:val="auto"/>
          <w:kern w:val="2"/>
          <w:highlight w:val="none"/>
          <w:u w:val="none"/>
          <w:lang w:val="en-US"/>
        </w:rPr>
        <w:t xml:space="preserve"> </w:t>
      </w:r>
      <w:r>
        <w:rPr>
          <w:b/>
          <w:bCs/>
          <w:color w:val="auto"/>
          <w:kern w:val="2"/>
          <w:highlight w:val="none"/>
          <w:u w:val="none"/>
          <w:lang w:val="en-US"/>
        </w:rPr>
        <w:t xml:space="preserve"> </w:t>
      </w:r>
      <w:r>
        <w:rPr>
          <w:rFonts w:hint="eastAsia"/>
          <w:b/>
          <w:bCs/>
          <w:color w:val="auto"/>
          <w:kern w:val="2"/>
          <w:highlight w:val="none"/>
          <w:u w:val="none"/>
        </w:rPr>
        <w:t>声环境影响评价自查表</w:t>
      </w:r>
    </w:p>
    <w:tbl>
      <w:tblPr>
        <w:tblStyle w:val="5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57"/>
        <w:gridCol w:w="1713"/>
        <w:gridCol w:w="963"/>
        <w:gridCol w:w="789"/>
        <w:gridCol w:w="581"/>
        <w:gridCol w:w="488"/>
        <w:gridCol w:w="56"/>
        <w:gridCol w:w="1101"/>
        <w:gridCol w:w="290"/>
        <w:gridCol w:w="492"/>
        <w:gridCol w:w="364"/>
        <w:gridCol w:w="1288"/>
      </w:tblGrid>
      <w:tr w14:paraId="457A2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46" w:type="pct"/>
            <w:gridSpan w:val="2"/>
            <w:tcBorders>
              <w:tl2br w:val="nil"/>
              <w:tr2bl w:val="nil"/>
            </w:tcBorders>
            <w:vAlign w:val="center"/>
          </w:tcPr>
          <w:p w14:paraId="23B20D4F">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工作内容</w:t>
            </w:r>
          </w:p>
        </w:tc>
        <w:tc>
          <w:tcPr>
            <w:tcW w:w="3454" w:type="pct"/>
            <w:gridSpan w:val="10"/>
            <w:tcBorders>
              <w:tl2br w:val="nil"/>
              <w:tr2bl w:val="nil"/>
            </w:tcBorders>
            <w:vAlign w:val="center"/>
          </w:tcPr>
          <w:p w14:paraId="00B5473A">
            <w:pPr>
              <w:widowControl/>
              <w:spacing w:line="240" w:lineRule="auto"/>
              <w:ind w:firstLine="0" w:firstLineChars="0"/>
              <w:jc w:val="center"/>
              <w:rPr>
                <w:rFonts w:hint="eastAsia"/>
                <w:bCs/>
                <w:color w:val="auto"/>
                <w:kern w:val="2"/>
                <w:sz w:val="21"/>
                <w:szCs w:val="21"/>
                <w:highlight w:val="none"/>
                <w:u w:val="none"/>
              </w:rPr>
            </w:pPr>
            <w:r>
              <w:rPr>
                <w:rFonts w:hAnsi="Times New Roman"/>
                <w:color w:val="auto"/>
                <w:sz w:val="21"/>
                <w:szCs w:val="21"/>
                <w:highlight w:val="none"/>
                <w:u w:val="none"/>
              </w:rPr>
              <w:t>自查项目</w:t>
            </w:r>
          </w:p>
        </w:tc>
      </w:tr>
      <w:tr w14:paraId="65C077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792BDA4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评价等级与范围</w:t>
            </w:r>
          </w:p>
        </w:tc>
        <w:tc>
          <w:tcPr>
            <w:tcW w:w="923" w:type="pct"/>
            <w:tcBorders>
              <w:tl2br w:val="nil"/>
              <w:tr2bl w:val="nil"/>
            </w:tcBorders>
            <w:vAlign w:val="center"/>
          </w:tcPr>
          <w:p w14:paraId="2262A9E5">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评价等级</w:t>
            </w:r>
          </w:p>
        </w:tc>
        <w:tc>
          <w:tcPr>
            <w:tcW w:w="3454" w:type="pct"/>
            <w:gridSpan w:val="10"/>
            <w:tcBorders>
              <w:tl2br w:val="nil"/>
              <w:tr2bl w:val="nil"/>
            </w:tcBorders>
            <w:vAlign w:val="center"/>
          </w:tcPr>
          <w:p w14:paraId="3E1C7BA6">
            <w:pPr>
              <w:widowControl/>
              <w:spacing w:line="240" w:lineRule="auto"/>
              <w:ind w:firstLine="0" w:firstLineChars="0"/>
              <w:jc w:val="center"/>
              <w:rPr>
                <w:rFonts w:hint="eastAsia"/>
                <w:bCs/>
                <w:color w:val="auto"/>
                <w:kern w:val="2"/>
                <w:sz w:val="21"/>
                <w:szCs w:val="21"/>
                <w:highlight w:val="none"/>
                <w:u w:val="none"/>
              </w:rPr>
            </w:pPr>
            <w:r>
              <w:rPr>
                <w:rFonts w:hint="eastAsia"/>
                <w:bCs/>
                <w:color w:val="auto"/>
                <w:kern w:val="2"/>
                <w:sz w:val="21"/>
                <w:szCs w:val="21"/>
                <w:highlight w:val="none"/>
                <w:u w:val="none"/>
                <w:lang w:bidi="ar"/>
              </w:rPr>
              <w:t>一</w:t>
            </w:r>
            <w:r>
              <w:rPr>
                <w:bCs/>
                <w:color w:val="auto"/>
                <w:kern w:val="2"/>
                <w:sz w:val="21"/>
                <w:szCs w:val="21"/>
                <w:highlight w:val="none"/>
                <w:u w:val="none"/>
                <w:lang w:bidi="ar"/>
              </w:rPr>
              <w:t>级</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二级</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三</w:t>
            </w:r>
            <w:r>
              <w:rPr>
                <w:bCs/>
                <w:color w:val="auto"/>
                <w:kern w:val="2"/>
                <w:sz w:val="21"/>
                <w:szCs w:val="21"/>
                <w:highlight w:val="none"/>
                <w:u w:val="none"/>
                <w:lang w:bidi="ar"/>
              </w:rPr>
              <w:t>级</w:t>
            </w:r>
            <w:r>
              <w:rPr>
                <w:bCs/>
                <w:color w:val="auto"/>
                <w:kern w:val="2"/>
                <w:sz w:val="21"/>
                <w:szCs w:val="21"/>
                <w:highlight w:val="none"/>
                <w:u w:val="none"/>
                <w:lang w:bidi="ar"/>
              </w:rPr>
              <w:sym w:font="Wingdings 2" w:char="0052"/>
            </w:r>
          </w:p>
        </w:tc>
      </w:tr>
      <w:tr w14:paraId="585C1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3BF08E6">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72C5149A">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评价范围</w:t>
            </w:r>
          </w:p>
        </w:tc>
        <w:tc>
          <w:tcPr>
            <w:tcW w:w="3454" w:type="pct"/>
            <w:gridSpan w:val="10"/>
            <w:tcBorders>
              <w:tl2br w:val="nil"/>
              <w:tr2bl w:val="nil"/>
            </w:tcBorders>
            <w:vAlign w:val="center"/>
          </w:tcPr>
          <w:p w14:paraId="0DB448DE">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200m</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大于200m</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小于200m</w:t>
            </w:r>
            <w:r>
              <w:rPr>
                <w:bCs/>
                <w:color w:val="auto"/>
                <w:kern w:val="2"/>
                <w:sz w:val="21"/>
                <w:szCs w:val="21"/>
                <w:highlight w:val="none"/>
                <w:u w:val="none"/>
                <w:lang w:bidi="ar"/>
              </w:rPr>
              <w:sym w:font="Wingdings 2" w:char="00A3"/>
            </w:r>
          </w:p>
        </w:tc>
      </w:tr>
      <w:tr w14:paraId="6304F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5FC24EE2">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评价因子</w:t>
            </w:r>
          </w:p>
        </w:tc>
        <w:tc>
          <w:tcPr>
            <w:tcW w:w="923" w:type="pct"/>
            <w:tcBorders>
              <w:tl2br w:val="nil"/>
              <w:tr2bl w:val="nil"/>
            </w:tcBorders>
            <w:vAlign w:val="center"/>
          </w:tcPr>
          <w:p w14:paraId="3C5924DF">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评价因子</w:t>
            </w:r>
          </w:p>
        </w:tc>
        <w:tc>
          <w:tcPr>
            <w:tcW w:w="3454" w:type="pct"/>
            <w:gridSpan w:val="10"/>
            <w:tcBorders>
              <w:tl2br w:val="nil"/>
              <w:tr2bl w:val="nil"/>
            </w:tcBorders>
            <w:vAlign w:val="center"/>
          </w:tcPr>
          <w:p w14:paraId="42E840A6">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等效连续A声级</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最大A声级</w:t>
            </w:r>
            <w:r>
              <w:rPr>
                <w:bCs/>
                <w:color w:val="auto"/>
                <w:kern w:val="2"/>
                <w:sz w:val="21"/>
                <w:szCs w:val="21"/>
                <w:highlight w:val="none"/>
                <w:u w:val="none"/>
                <w:lang w:bidi="ar"/>
              </w:rPr>
              <w:sym w:font="Wingdings 2" w:char="00A3"/>
            </w:r>
            <w:r>
              <w:rPr>
                <w:bCs/>
                <w:color w:val="auto"/>
                <w:kern w:val="2"/>
                <w:sz w:val="21"/>
                <w:szCs w:val="21"/>
                <w:highlight w:val="none"/>
                <w:u w:val="none"/>
                <w:lang w:bidi="ar"/>
              </w:rPr>
              <w:t>计权等效连续感觉噪声级</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p>
        </w:tc>
      </w:tr>
      <w:tr w14:paraId="54DBE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51A9A75A">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评价标准</w:t>
            </w:r>
          </w:p>
        </w:tc>
        <w:tc>
          <w:tcPr>
            <w:tcW w:w="923" w:type="pct"/>
            <w:tcBorders>
              <w:tl2br w:val="nil"/>
              <w:tr2bl w:val="nil"/>
            </w:tcBorders>
            <w:vAlign w:val="center"/>
          </w:tcPr>
          <w:p w14:paraId="7486165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评价标准</w:t>
            </w:r>
          </w:p>
        </w:tc>
        <w:tc>
          <w:tcPr>
            <w:tcW w:w="3454" w:type="pct"/>
            <w:gridSpan w:val="10"/>
            <w:tcBorders>
              <w:tl2br w:val="nil"/>
              <w:tr2bl w:val="nil"/>
            </w:tcBorders>
            <w:vAlign w:val="center"/>
          </w:tcPr>
          <w:p w14:paraId="5714D27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国外标准</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地方标准</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国家标准</w:t>
            </w:r>
            <w:r>
              <w:rPr>
                <w:bCs/>
                <w:color w:val="auto"/>
                <w:kern w:val="2"/>
                <w:sz w:val="21"/>
                <w:szCs w:val="21"/>
                <w:highlight w:val="none"/>
                <w:u w:val="none"/>
                <w:lang w:bidi="ar"/>
              </w:rPr>
              <w:sym w:font="Wingdings 2" w:char="0052"/>
            </w:r>
          </w:p>
        </w:tc>
      </w:tr>
      <w:tr w14:paraId="5701DF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12C863A6">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现状评价</w:t>
            </w:r>
          </w:p>
        </w:tc>
        <w:tc>
          <w:tcPr>
            <w:tcW w:w="923" w:type="pct"/>
            <w:tcBorders>
              <w:tl2br w:val="nil"/>
              <w:tr2bl w:val="nil"/>
            </w:tcBorders>
            <w:vAlign w:val="center"/>
          </w:tcPr>
          <w:p w14:paraId="2CA38F21">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环境功能区</w:t>
            </w:r>
          </w:p>
        </w:tc>
        <w:tc>
          <w:tcPr>
            <w:tcW w:w="519" w:type="pct"/>
            <w:tcBorders>
              <w:tl2br w:val="nil"/>
              <w:tr2bl w:val="nil"/>
            </w:tcBorders>
            <w:vAlign w:val="center"/>
          </w:tcPr>
          <w:p w14:paraId="19B6A4D4">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0类区</w:t>
            </w:r>
            <w:r>
              <w:rPr>
                <w:bCs/>
                <w:color w:val="auto"/>
                <w:kern w:val="2"/>
                <w:sz w:val="21"/>
                <w:szCs w:val="21"/>
                <w:highlight w:val="none"/>
                <w:u w:val="none"/>
                <w:lang w:bidi="ar"/>
              </w:rPr>
              <w:sym w:font="Wingdings 2" w:char="00A3"/>
            </w:r>
          </w:p>
        </w:tc>
        <w:tc>
          <w:tcPr>
            <w:tcW w:w="425" w:type="pct"/>
            <w:tcBorders>
              <w:tl2br w:val="nil"/>
              <w:tr2bl w:val="nil"/>
            </w:tcBorders>
            <w:vAlign w:val="center"/>
          </w:tcPr>
          <w:p w14:paraId="0EDE2991">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1类区</w:t>
            </w:r>
            <w:r>
              <w:rPr>
                <w:bCs/>
                <w:color w:val="auto"/>
                <w:kern w:val="2"/>
                <w:sz w:val="21"/>
                <w:szCs w:val="21"/>
                <w:highlight w:val="none"/>
                <w:u w:val="none"/>
                <w:lang w:bidi="ar"/>
              </w:rPr>
              <w:sym w:font="Wingdings 2" w:char="00A3"/>
            </w:r>
          </w:p>
        </w:tc>
        <w:tc>
          <w:tcPr>
            <w:tcW w:w="606" w:type="pct"/>
            <w:gridSpan w:val="3"/>
            <w:tcBorders>
              <w:tl2br w:val="nil"/>
              <w:tr2bl w:val="nil"/>
            </w:tcBorders>
            <w:vAlign w:val="center"/>
          </w:tcPr>
          <w:p w14:paraId="7BED5D43">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2类区</w:t>
            </w:r>
            <w:r>
              <w:rPr>
                <w:bCs/>
                <w:color w:val="auto"/>
                <w:kern w:val="2"/>
                <w:sz w:val="21"/>
                <w:szCs w:val="21"/>
                <w:highlight w:val="none"/>
                <w:u w:val="none"/>
                <w:lang w:bidi="ar"/>
              </w:rPr>
              <w:sym w:font="Wingdings 2" w:char="00A3"/>
            </w:r>
          </w:p>
        </w:tc>
        <w:tc>
          <w:tcPr>
            <w:tcW w:w="593" w:type="pct"/>
            <w:tcBorders>
              <w:tl2br w:val="nil"/>
              <w:tr2bl w:val="nil"/>
            </w:tcBorders>
            <w:vAlign w:val="center"/>
          </w:tcPr>
          <w:p w14:paraId="5C1FDF61">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3类区</w:t>
            </w:r>
            <w:r>
              <w:rPr>
                <w:bCs/>
                <w:color w:val="auto"/>
                <w:kern w:val="2"/>
                <w:sz w:val="21"/>
                <w:szCs w:val="21"/>
                <w:highlight w:val="none"/>
                <w:u w:val="none"/>
                <w:lang w:bidi="ar"/>
              </w:rPr>
              <w:sym w:font="Wingdings 2" w:char="0052"/>
            </w:r>
          </w:p>
        </w:tc>
        <w:tc>
          <w:tcPr>
            <w:tcW w:w="617" w:type="pct"/>
            <w:gridSpan w:val="3"/>
            <w:tcBorders>
              <w:tl2br w:val="nil"/>
              <w:tr2bl w:val="nil"/>
            </w:tcBorders>
            <w:vAlign w:val="center"/>
          </w:tcPr>
          <w:p w14:paraId="4DC978CF">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4a类区</w:t>
            </w:r>
            <w:r>
              <w:rPr>
                <w:bCs/>
                <w:color w:val="auto"/>
                <w:kern w:val="2"/>
                <w:sz w:val="21"/>
                <w:szCs w:val="21"/>
                <w:highlight w:val="none"/>
                <w:u w:val="none"/>
                <w:lang w:bidi="ar"/>
              </w:rPr>
              <w:sym w:font="Wingdings 2" w:char="00A3"/>
            </w:r>
          </w:p>
        </w:tc>
        <w:tc>
          <w:tcPr>
            <w:tcW w:w="694" w:type="pct"/>
            <w:tcBorders>
              <w:tl2br w:val="nil"/>
              <w:tr2bl w:val="nil"/>
            </w:tcBorders>
            <w:vAlign w:val="center"/>
          </w:tcPr>
          <w:p w14:paraId="452C7E9B">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4b类区</w:t>
            </w:r>
            <w:r>
              <w:rPr>
                <w:bCs/>
                <w:color w:val="auto"/>
                <w:kern w:val="2"/>
                <w:sz w:val="21"/>
                <w:szCs w:val="21"/>
                <w:highlight w:val="none"/>
                <w:u w:val="none"/>
                <w:lang w:bidi="ar"/>
              </w:rPr>
              <w:sym w:font="Wingdings 2" w:char="00A3"/>
            </w:r>
          </w:p>
        </w:tc>
      </w:tr>
      <w:tr w14:paraId="2F3392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7DDE2CAE">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4F650346">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评价年度</w:t>
            </w:r>
          </w:p>
        </w:tc>
        <w:tc>
          <w:tcPr>
            <w:tcW w:w="519" w:type="pct"/>
            <w:tcBorders>
              <w:tl2br w:val="nil"/>
              <w:tr2bl w:val="nil"/>
            </w:tcBorders>
            <w:vAlign w:val="center"/>
          </w:tcPr>
          <w:p w14:paraId="713B7C34">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初期</w:t>
            </w:r>
            <w:r>
              <w:rPr>
                <w:bCs/>
                <w:color w:val="auto"/>
                <w:kern w:val="2"/>
                <w:sz w:val="21"/>
                <w:szCs w:val="21"/>
                <w:highlight w:val="none"/>
                <w:u w:val="none"/>
                <w:lang w:bidi="ar"/>
              </w:rPr>
              <w:sym w:font="Wingdings 2" w:char="00A3"/>
            </w:r>
          </w:p>
        </w:tc>
        <w:tc>
          <w:tcPr>
            <w:tcW w:w="1001" w:type="pct"/>
            <w:gridSpan w:val="3"/>
            <w:tcBorders>
              <w:tl2br w:val="nil"/>
              <w:tr2bl w:val="nil"/>
            </w:tcBorders>
            <w:vAlign w:val="center"/>
          </w:tcPr>
          <w:p w14:paraId="1218C6B0">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近期</w:t>
            </w:r>
            <w:r>
              <w:rPr>
                <w:bCs/>
                <w:color w:val="auto"/>
                <w:kern w:val="2"/>
                <w:sz w:val="21"/>
                <w:szCs w:val="21"/>
                <w:highlight w:val="none"/>
                <w:u w:val="none"/>
                <w:lang w:bidi="ar"/>
              </w:rPr>
              <w:sym w:font="Wingdings 2" w:char="00A3"/>
            </w:r>
          </w:p>
        </w:tc>
        <w:tc>
          <w:tcPr>
            <w:tcW w:w="779" w:type="pct"/>
            <w:gridSpan w:val="3"/>
            <w:tcBorders>
              <w:tl2br w:val="nil"/>
              <w:tr2bl w:val="nil"/>
            </w:tcBorders>
            <w:vAlign w:val="center"/>
          </w:tcPr>
          <w:p w14:paraId="5B8B01B6">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中期</w:t>
            </w:r>
            <w:r>
              <w:rPr>
                <w:bCs/>
                <w:color w:val="auto"/>
                <w:kern w:val="2"/>
                <w:sz w:val="21"/>
                <w:szCs w:val="21"/>
                <w:highlight w:val="none"/>
                <w:u w:val="none"/>
                <w:lang w:bidi="ar"/>
              </w:rPr>
              <w:sym w:font="Wingdings 2" w:char="00A3"/>
            </w:r>
          </w:p>
        </w:tc>
        <w:tc>
          <w:tcPr>
            <w:tcW w:w="1155" w:type="pct"/>
            <w:gridSpan w:val="3"/>
            <w:tcBorders>
              <w:tl2br w:val="nil"/>
              <w:tr2bl w:val="nil"/>
            </w:tcBorders>
            <w:vAlign w:val="center"/>
          </w:tcPr>
          <w:p w14:paraId="7ECD90A9">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远期</w:t>
            </w:r>
            <w:r>
              <w:rPr>
                <w:bCs/>
                <w:color w:val="auto"/>
                <w:kern w:val="2"/>
                <w:sz w:val="21"/>
                <w:szCs w:val="21"/>
                <w:highlight w:val="none"/>
                <w:u w:val="none"/>
                <w:lang w:bidi="ar"/>
              </w:rPr>
              <w:sym w:font="Wingdings 2" w:char="00A3"/>
            </w:r>
          </w:p>
        </w:tc>
      </w:tr>
      <w:tr w14:paraId="313D9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688E538E">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37285996">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现状调查方法</w:t>
            </w:r>
          </w:p>
        </w:tc>
        <w:tc>
          <w:tcPr>
            <w:tcW w:w="3454" w:type="pct"/>
            <w:gridSpan w:val="10"/>
            <w:tcBorders>
              <w:tl2br w:val="nil"/>
              <w:tr2bl w:val="nil"/>
            </w:tcBorders>
            <w:vAlign w:val="center"/>
          </w:tcPr>
          <w:p w14:paraId="220191A8">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收集资料</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现场实测加模型计算法</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现场实测法</w:t>
            </w:r>
            <w:r>
              <w:rPr>
                <w:bCs/>
                <w:color w:val="auto"/>
                <w:kern w:val="2"/>
                <w:sz w:val="21"/>
                <w:szCs w:val="21"/>
                <w:highlight w:val="none"/>
                <w:u w:val="none"/>
                <w:lang w:bidi="ar"/>
              </w:rPr>
              <w:sym w:font="Wingdings 2" w:char="0052"/>
            </w:r>
          </w:p>
        </w:tc>
      </w:tr>
      <w:tr w14:paraId="1F1D70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23A68C2A">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475BF230">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现状评价</w:t>
            </w:r>
          </w:p>
        </w:tc>
        <w:tc>
          <w:tcPr>
            <w:tcW w:w="944" w:type="pct"/>
            <w:gridSpan w:val="2"/>
            <w:tcBorders>
              <w:tl2br w:val="nil"/>
              <w:tr2bl w:val="nil"/>
            </w:tcBorders>
            <w:vAlign w:val="center"/>
          </w:tcPr>
          <w:p w14:paraId="2D66E77E">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达标百分比</w:t>
            </w:r>
          </w:p>
        </w:tc>
        <w:tc>
          <w:tcPr>
            <w:tcW w:w="2510" w:type="pct"/>
            <w:gridSpan w:val="8"/>
            <w:tcBorders>
              <w:tl2br w:val="nil"/>
              <w:tr2bl w:val="nil"/>
            </w:tcBorders>
            <w:vAlign w:val="center"/>
          </w:tcPr>
          <w:p w14:paraId="5FCB8E42">
            <w:pPr>
              <w:widowControl/>
              <w:spacing w:line="240" w:lineRule="auto"/>
              <w:ind w:firstLine="0" w:firstLineChars="0"/>
              <w:jc w:val="center"/>
              <w:rPr>
                <w:rFonts w:hint="eastAsia"/>
                <w:bCs/>
                <w:color w:val="auto"/>
                <w:kern w:val="2"/>
                <w:sz w:val="21"/>
                <w:szCs w:val="21"/>
                <w:highlight w:val="none"/>
                <w:u w:val="none"/>
              </w:rPr>
            </w:pPr>
            <w:r>
              <w:rPr>
                <w:rFonts w:hint="eastAsia"/>
                <w:bCs/>
                <w:color w:val="auto"/>
                <w:kern w:val="2"/>
                <w:sz w:val="21"/>
                <w:szCs w:val="21"/>
                <w:highlight w:val="none"/>
                <w:u w:val="none"/>
              </w:rPr>
              <w:t>100%</w:t>
            </w:r>
          </w:p>
        </w:tc>
      </w:tr>
      <w:tr w14:paraId="4D238F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477AD8A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噪声源调查</w:t>
            </w:r>
          </w:p>
        </w:tc>
        <w:tc>
          <w:tcPr>
            <w:tcW w:w="923" w:type="pct"/>
            <w:tcBorders>
              <w:tl2br w:val="nil"/>
              <w:tr2bl w:val="nil"/>
            </w:tcBorders>
            <w:vAlign w:val="center"/>
          </w:tcPr>
          <w:p w14:paraId="4ED752C4">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噪声源调查方法</w:t>
            </w:r>
          </w:p>
        </w:tc>
        <w:tc>
          <w:tcPr>
            <w:tcW w:w="3454" w:type="pct"/>
            <w:gridSpan w:val="10"/>
            <w:tcBorders>
              <w:tl2br w:val="nil"/>
              <w:tr2bl w:val="nil"/>
            </w:tcBorders>
            <w:vAlign w:val="center"/>
          </w:tcPr>
          <w:p w14:paraId="358F14F3">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现场实测</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已有资料</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研究成果</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p>
        </w:tc>
      </w:tr>
      <w:tr w14:paraId="6CF050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684EEB60">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声环境影响预测与评价</w:t>
            </w:r>
          </w:p>
        </w:tc>
        <w:tc>
          <w:tcPr>
            <w:tcW w:w="923" w:type="pct"/>
            <w:tcBorders>
              <w:tl2br w:val="nil"/>
              <w:tr2bl w:val="nil"/>
            </w:tcBorders>
            <w:vAlign w:val="center"/>
          </w:tcPr>
          <w:p w14:paraId="36A8C347">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预测模型</w:t>
            </w:r>
          </w:p>
        </w:tc>
        <w:tc>
          <w:tcPr>
            <w:tcW w:w="3454" w:type="pct"/>
            <w:gridSpan w:val="10"/>
            <w:tcBorders>
              <w:tl2br w:val="nil"/>
              <w:tr2bl w:val="nil"/>
            </w:tcBorders>
            <w:vAlign w:val="center"/>
          </w:tcPr>
          <w:p w14:paraId="035848DF">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导则推荐模型</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其他</w:t>
            </w:r>
            <w:r>
              <w:rPr>
                <w:rFonts w:hint="eastAsia"/>
                <w:bCs/>
                <w:color w:val="auto"/>
                <w:kern w:val="2"/>
                <w:sz w:val="21"/>
                <w:szCs w:val="21"/>
                <w:highlight w:val="none"/>
                <w:u w:val="none"/>
                <w:lang w:bidi="ar"/>
              </w:rPr>
              <w:t xml:space="preserve">       </w:t>
            </w:r>
          </w:p>
        </w:tc>
      </w:tr>
      <w:tr w14:paraId="15AE3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A59A93C">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3CBE42EE">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预测范围</w:t>
            </w:r>
          </w:p>
        </w:tc>
        <w:tc>
          <w:tcPr>
            <w:tcW w:w="3454" w:type="pct"/>
            <w:gridSpan w:val="10"/>
            <w:tcBorders>
              <w:tl2br w:val="nil"/>
              <w:tr2bl w:val="nil"/>
            </w:tcBorders>
            <w:vAlign w:val="center"/>
          </w:tcPr>
          <w:p w14:paraId="6A1A8005">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200m</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大于200m</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小于200m</w:t>
            </w:r>
            <w:r>
              <w:rPr>
                <w:bCs/>
                <w:color w:val="auto"/>
                <w:kern w:val="2"/>
                <w:sz w:val="21"/>
                <w:szCs w:val="21"/>
                <w:highlight w:val="none"/>
                <w:u w:val="none"/>
                <w:lang w:bidi="ar"/>
              </w:rPr>
              <w:sym w:font="Wingdings 2" w:char="00A3"/>
            </w:r>
          </w:p>
        </w:tc>
      </w:tr>
      <w:tr w14:paraId="73297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58A713D1">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1CB00FC5">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预测因子</w:t>
            </w:r>
          </w:p>
        </w:tc>
        <w:tc>
          <w:tcPr>
            <w:tcW w:w="3454" w:type="pct"/>
            <w:gridSpan w:val="10"/>
            <w:tcBorders>
              <w:tl2br w:val="nil"/>
              <w:tr2bl w:val="nil"/>
            </w:tcBorders>
            <w:vAlign w:val="center"/>
          </w:tcPr>
          <w:p w14:paraId="2959C00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等效连续A声级</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最大A声级</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计权等效连续感觉噪声级</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p>
        </w:tc>
      </w:tr>
      <w:tr w14:paraId="3CDA17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7E63152">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74FED5F3">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厂界噪声贡献值</w:t>
            </w:r>
          </w:p>
        </w:tc>
        <w:tc>
          <w:tcPr>
            <w:tcW w:w="3454" w:type="pct"/>
            <w:gridSpan w:val="10"/>
            <w:tcBorders>
              <w:tl2br w:val="nil"/>
              <w:tr2bl w:val="nil"/>
            </w:tcBorders>
            <w:vAlign w:val="center"/>
          </w:tcPr>
          <w:p w14:paraId="6F62D033">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达标</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不达标</w:t>
            </w:r>
            <w:r>
              <w:rPr>
                <w:bCs/>
                <w:color w:val="auto"/>
                <w:kern w:val="2"/>
                <w:sz w:val="21"/>
                <w:szCs w:val="21"/>
                <w:highlight w:val="none"/>
                <w:u w:val="none"/>
                <w:lang w:bidi="ar"/>
              </w:rPr>
              <w:sym w:font="Wingdings 2" w:char="00A3"/>
            </w:r>
          </w:p>
        </w:tc>
      </w:tr>
      <w:tr w14:paraId="73931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15BEEE61">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58CBBD6D">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声环境保护目标处噪声值</w:t>
            </w:r>
          </w:p>
        </w:tc>
        <w:tc>
          <w:tcPr>
            <w:tcW w:w="3454" w:type="pct"/>
            <w:gridSpan w:val="10"/>
            <w:tcBorders>
              <w:tl2br w:val="nil"/>
              <w:tr2bl w:val="nil"/>
            </w:tcBorders>
            <w:vAlign w:val="center"/>
          </w:tcPr>
          <w:p w14:paraId="1B2EF5A9">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达标</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不达标</w:t>
            </w:r>
            <w:r>
              <w:rPr>
                <w:bCs/>
                <w:color w:val="auto"/>
                <w:kern w:val="2"/>
                <w:sz w:val="21"/>
                <w:szCs w:val="21"/>
                <w:highlight w:val="none"/>
                <w:u w:val="none"/>
                <w:lang w:bidi="ar"/>
              </w:rPr>
              <w:sym w:font="Wingdings 2" w:char="00A3"/>
            </w:r>
          </w:p>
        </w:tc>
      </w:tr>
      <w:tr w14:paraId="34DFCB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Borders>
              <w:tl2br w:val="nil"/>
              <w:tr2bl w:val="nil"/>
            </w:tcBorders>
            <w:vAlign w:val="center"/>
          </w:tcPr>
          <w:p w14:paraId="6E3C7E2B">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环境监测计划</w:t>
            </w:r>
          </w:p>
        </w:tc>
        <w:tc>
          <w:tcPr>
            <w:tcW w:w="923" w:type="pct"/>
            <w:tcBorders>
              <w:tl2br w:val="nil"/>
              <w:tr2bl w:val="nil"/>
            </w:tcBorders>
            <w:vAlign w:val="center"/>
          </w:tcPr>
          <w:p w14:paraId="21C124F2">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排放监测</w:t>
            </w:r>
          </w:p>
        </w:tc>
        <w:tc>
          <w:tcPr>
            <w:tcW w:w="3454" w:type="pct"/>
            <w:gridSpan w:val="10"/>
            <w:tcBorders>
              <w:tl2br w:val="nil"/>
              <w:tr2bl w:val="nil"/>
            </w:tcBorders>
            <w:vAlign w:val="center"/>
          </w:tcPr>
          <w:p w14:paraId="09B30BFE">
            <w:pPr>
              <w:widowControl/>
              <w:spacing w:line="240" w:lineRule="auto"/>
              <w:ind w:firstLine="0" w:firstLineChars="0"/>
              <w:jc w:val="center"/>
              <w:rPr>
                <w:rFonts w:hint="eastAsia"/>
                <w:bCs/>
                <w:color w:val="auto"/>
                <w:kern w:val="2"/>
                <w:sz w:val="21"/>
                <w:szCs w:val="21"/>
                <w:highlight w:val="none"/>
                <w:u w:val="none"/>
              </w:rPr>
            </w:pPr>
            <w:r>
              <w:rPr>
                <w:rFonts w:hint="eastAsia"/>
                <w:bCs/>
                <w:color w:val="auto"/>
                <w:kern w:val="2"/>
                <w:sz w:val="21"/>
                <w:szCs w:val="21"/>
                <w:highlight w:val="none"/>
                <w:u w:val="none"/>
                <w:lang w:bidi="ar"/>
              </w:rPr>
              <w:t>厂</w:t>
            </w:r>
            <w:r>
              <w:rPr>
                <w:bCs/>
                <w:color w:val="auto"/>
                <w:kern w:val="2"/>
                <w:sz w:val="21"/>
                <w:szCs w:val="21"/>
                <w:highlight w:val="none"/>
                <w:u w:val="none"/>
                <w:lang w:bidi="ar"/>
              </w:rPr>
              <w:t>界监测</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固定位置监测</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自动监测</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手动监测</w:t>
            </w:r>
            <w:r>
              <w:rPr>
                <w:bCs/>
                <w:color w:val="auto"/>
                <w:kern w:val="2"/>
                <w:sz w:val="21"/>
                <w:szCs w:val="21"/>
                <w:highlight w:val="none"/>
                <w:u w:val="none"/>
                <w:lang w:bidi="ar"/>
              </w:rPr>
              <w:sym w:font="Wingdings 2" w:char="0052"/>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无监测</w:t>
            </w:r>
            <w:r>
              <w:rPr>
                <w:bCs/>
                <w:color w:val="auto"/>
                <w:kern w:val="2"/>
                <w:sz w:val="21"/>
                <w:szCs w:val="21"/>
                <w:highlight w:val="none"/>
                <w:u w:val="none"/>
                <w:lang w:bidi="ar"/>
              </w:rPr>
              <w:sym w:font="Wingdings 2" w:char="00A3"/>
            </w:r>
          </w:p>
        </w:tc>
      </w:tr>
      <w:tr w14:paraId="6DEC7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Borders>
              <w:tl2br w:val="nil"/>
              <w:tr2bl w:val="nil"/>
            </w:tcBorders>
            <w:vAlign w:val="center"/>
          </w:tcPr>
          <w:p w14:paraId="08A0A185">
            <w:pPr>
              <w:widowControl/>
              <w:spacing w:line="240" w:lineRule="auto"/>
              <w:ind w:firstLine="0" w:firstLineChars="0"/>
              <w:jc w:val="center"/>
              <w:rPr>
                <w:rFonts w:hint="eastAsia"/>
                <w:bCs/>
                <w:color w:val="auto"/>
                <w:kern w:val="2"/>
                <w:sz w:val="21"/>
                <w:szCs w:val="21"/>
                <w:highlight w:val="none"/>
                <w:u w:val="none"/>
              </w:rPr>
            </w:pPr>
          </w:p>
        </w:tc>
        <w:tc>
          <w:tcPr>
            <w:tcW w:w="923" w:type="pct"/>
            <w:tcBorders>
              <w:tl2br w:val="nil"/>
              <w:tr2bl w:val="nil"/>
            </w:tcBorders>
            <w:vAlign w:val="center"/>
          </w:tcPr>
          <w:p w14:paraId="1561162E">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声环境保护目标处噪声监测</w:t>
            </w:r>
          </w:p>
        </w:tc>
        <w:tc>
          <w:tcPr>
            <w:tcW w:w="1257" w:type="pct"/>
            <w:gridSpan w:val="3"/>
            <w:tcBorders>
              <w:tl2br w:val="nil"/>
              <w:tr2bl w:val="nil"/>
            </w:tcBorders>
            <w:vAlign w:val="center"/>
          </w:tcPr>
          <w:p w14:paraId="489C924A">
            <w:pPr>
              <w:widowControl/>
              <w:spacing w:line="240" w:lineRule="auto"/>
              <w:ind w:firstLine="0" w:firstLineChars="0"/>
              <w:jc w:val="center"/>
              <w:rPr>
                <w:rFonts w:hint="eastAsia"/>
                <w:bCs/>
                <w:color w:val="auto"/>
                <w:kern w:val="2"/>
                <w:sz w:val="21"/>
                <w:szCs w:val="21"/>
                <w:highlight w:val="none"/>
                <w:u w:val="none"/>
                <w:lang w:bidi="ar"/>
              </w:rPr>
            </w:pPr>
            <w:r>
              <w:rPr>
                <w:bCs/>
                <w:color w:val="auto"/>
                <w:kern w:val="2"/>
                <w:sz w:val="21"/>
                <w:szCs w:val="21"/>
                <w:highlight w:val="none"/>
                <w:u w:val="none"/>
                <w:lang w:bidi="ar"/>
              </w:rPr>
              <w:t>监测因子</w:t>
            </w:r>
            <w:r>
              <w:rPr>
                <w:rFonts w:hint="eastAsia"/>
                <w:bCs/>
                <w:color w:val="auto"/>
                <w:kern w:val="2"/>
                <w:sz w:val="21"/>
                <w:szCs w:val="21"/>
                <w:highlight w:val="none"/>
                <w:u w:val="none"/>
                <w:lang w:bidi="ar"/>
              </w:rPr>
              <w:t>：</w:t>
            </w:r>
          </w:p>
          <w:p w14:paraId="39A507D6">
            <w:pPr>
              <w:widowControl/>
              <w:spacing w:line="240" w:lineRule="auto"/>
              <w:ind w:firstLine="0" w:firstLineChars="0"/>
              <w:jc w:val="center"/>
              <w:rPr>
                <w:rFonts w:hint="eastAsia"/>
                <w:bCs/>
                <w:color w:val="auto"/>
                <w:kern w:val="2"/>
                <w:sz w:val="21"/>
                <w:szCs w:val="21"/>
                <w:highlight w:val="none"/>
                <w:u w:val="none"/>
              </w:rPr>
            </w:pPr>
            <w:r>
              <w:rPr>
                <w:rFonts w:hint="eastAsia"/>
                <w:bCs/>
                <w:color w:val="auto"/>
                <w:kern w:val="2"/>
                <w:sz w:val="21"/>
                <w:szCs w:val="21"/>
                <w:highlight w:val="none"/>
                <w:u w:val="none"/>
                <w:lang w:bidi="ar"/>
              </w:rPr>
              <w:t>（等效连续A声级）</w:t>
            </w:r>
          </w:p>
        </w:tc>
        <w:tc>
          <w:tcPr>
            <w:tcW w:w="1307" w:type="pct"/>
            <w:gridSpan w:val="5"/>
            <w:tcBorders>
              <w:tl2br w:val="nil"/>
              <w:tr2bl w:val="nil"/>
            </w:tcBorders>
            <w:vAlign w:val="center"/>
          </w:tcPr>
          <w:p w14:paraId="0B2A6640">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监测点位数</w:t>
            </w:r>
            <w:r>
              <w:rPr>
                <w:rFonts w:hint="eastAsia"/>
                <w:bCs/>
                <w:color w:val="auto"/>
                <w:kern w:val="2"/>
                <w:sz w:val="21"/>
                <w:szCs w:val="21"/>
                <w:highlight w:val="none"/>
                <w:u w:val="none"/>
                <w:lang w:bidi="ar"/>
              </w:rPr>
              <w:t>（</w:t>
            </w:r>
            <w:r>
              <w:rPr>
                <w:rFonts w:hint="eastAsia"/>
                <w:bCs/>
                <w:color w:val="auto"/>
                <w:kern w:val="2"/>
                <w:sz w:val="21"/>
                <w:szCs w:val="21"/>
                <w:highlight w:val="none"/>
                <w:u w:val="none"/>
                <w:lang w:val="en-US" w:bidi="ar"/>
              </w:rPr>
              <w:t xml:space="preserve"> </w:t>
            </w:r>
            <w:r>
              <w:rPr>
                <w:rFonts w:hint="eastAsia"/>
                <w:bCs/>
                <w:color w:val="auto"/>
                <w:kern w:val="2"/>
                <w:sz w:val="21"/>
                <w:szCs w:val="21"/>
                <w:highlight w:val="none"/>
                <w:u w:val="none"/>
                <w:lang w:bidi="ar"/>
              </w:rPr>
              <w:t>）</w:t>
            </w:r>
          </w:p>
        </w:tc>
        <w:tc>
          <w:tcPr>
            <w:tcW w:w="890" w:type="pct"/>
            <w:gridSpan w:val="2"/>
            <w:tcBorders>
              <w:tl2br w:val="nil"/>
              <w:tr2bl w:val="nil"/>
            </w:tcBorders>
            <w:vAlign w:val="center"/>
          </w:tcPr>
          <w:p w14:paraId="74A15FFE">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无监测</w:t>
            </w:r>
            <w:r>
              <w:rPr>
                <w:bCs/>
                <w:color w:val="auto"/>
                <w:kern w:val="2"/>
                <w:sz w:val="21"/>
                <w:szCs w:val="21"/>
                <w:highlight w:val="none"/>
                <w:u w:val="none"/>
                <w:lang w:bidi="ar"/>
              </w:rPr>
              <w:sym w:font="Wingdings 2" w:char="00A3"/>
            </w:r>
          </w:p>
        </w:tc>
      </w:tr>
      <w:tr w14:paraId="3CA1C5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vAlign w:val="center"/>
          </w:tcPr>
          <w:p w14:paraId="2478A862">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评价结论</w:t>
            </w:r>
          </w:p>
        </w:tc>
        <w:tc>
          <w:tcPr>
            <w:tcW w:w="923" w:type="pct"/>
            <w:tcBorders>
              <w:tl2br w:val="nil"/>
              <w:tr2bl w:val="nil"/>
            </w:tcBorders>
            <w:vAlign w:val="center"/>
          </w:tcPr>
          <w:p w14:paraId="43E08AD9">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环境影响</w:t>
            </w:r>
          </w:p>
        </w:tc>
        <w:tc>
          <w:tcPr>
            <w:tcW w:w="3454" w:type="pct"/>
            <w:gridSpan w:val="10"/>
            <w:tcBorders>
              <w:tl2br w:val="nil"/>
              <w:tr2bl w:val="nil"/>
            </w:tcBorders>
            <w:vAlign w:val="center"/>
          </w:tcPr>
          <w:p w14:paraId="183B791B">
            <w:pPr>
              <w:widowControl/>
              <w:spacing w:line="240" w:lineRule="auto"/>
              <w:ind w:firstLine="0" w:firstLineChars="0"/>
              <w:jc w:val="center"/>
              <w:rPr>
                <w:rFonts w:hint="eastAsia"/>
                <w:bCs/>
                <w:color w:val="auto"/>
                <w:kern w:val="2"/>
                <w:sz w:val="21"/>
                <w:szCs w:val="21"/>
                <w:highlight w:val="none"/>
                <w:u w:val="none"/>
              </w:rPr>
            </w:pPr>
            <w:r>
              <w:rPr>
                <w:bCs/>
                <w:color w:val="auto"/>
                <w:kern w:val="2"/>
                <w:sz w:val="21"/>
                <w:szCs w:val="21"/>
                <w:highlight w:val="none"/>
                <w:u w:val="none"/>
                <w:lang w:bidi="ar"/>
              </w:rPr>
              <w:t>不可行</w:t>
            </w:r>
            <w:r>
              <w:rPr>
                <w:bCs/>
                <w:color w:val="auto"/>
                <w:kern w:val="2"/>
                <w:sz w:val="21"/>
                <w:szCs w:val="21"/>
                <w:highlight w:val="none"/>
                <w:u w:val="none"/>
                <w:lang w:bidi="ar"/>
              </w:rPr>
              <w:sym w:font="Wingdings 2" w:char="00A3"/>
            </w:r>
            <w:r>
              <w:rPr>
                <w:rFonts w:hint="eastAsia"/>
                <w:bCs/>
                <w:color w:val="auto"/>
                <w:kern w:val="2"/>
                <w:sz w:val="21"/>
                <w:szCs w:val="21"/>
                <w:highlight w:val="none"/>
                <w:u w:val="none"/>
                <w:lang w:bidi="ar"/>
              </w:rPr>
              <w:t xml:space="preserve">      </w:t>
            </w:r>
            <w:r>
              <w:rPr>
                <w:bCs/>
                <w:color w:val="auto"/>
                <w:kern w:val="2"/>
                <w:sz w:val="21"/>
                <w:szCs w:val="21"/>
                <w:highlight w:val="none"/>
                <w:u w:val="none"/>
                <w:lang w:bidi="ar"/>
              </w:rPr>
              <w:t>可行</w:t>
            </w:r>
            <w:r>
              <w:rPr>
                <w:bCs/>
                <w:color w:val="auto"/>
                <w:kern w:val="2"/>
                <w:sz w:val="21"/>
                <w:szCs w:val="21"/>
                <w:highlight w:val="none"/>
                <w:u w:val="none"/>
                <w:lang w:bidi="ar"/>
              </w:rPr>
              <w:sym w:font="Wingdings 2" w:char="0052"/>
            </w:r>
          </w:p>
        </w:tc>
      </w:tr>
      <w:tr w14:paraId="1C857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12"/>
            <w:tcBorders>
              <w:tl2br w:val="nil"/>
              <w:tr2bl w:val="nil"/>
            </w:tcBorders>
            <w:vAlign w:val="center"/>
          </w:tcPr>
          <w:p w14:paraId="2517C8F7">
            <w:pPr>
              <w:widowControl/>
              <w:spacing w:line="240" w:lineRule="auto"/>
              <w:ind w:firstLine="0" w:firstLineChars="0"/>
              <w:jc w:val="center"/>
              <w:rPr>
                <w:rFonts w:hint="eastAsia"/>
                <w:bCs/>
                <w:color w:val="auto"/>
                <w:kern w:val="2"/>
                <w:sz w:val="21"/>
                <w:szCs w:val="21"/>
                <w:highlight w:val="none"/>
                <w:u w:val="none"/>
              </w:rPr>
            </w:pPr>
            <w:r>
              <w:rPr>
                <w:rFonts w:hint="eastAsia"/>
                <w:bCs/>
                <w:color w:val="auto"/>
                <w:kern w:val="2"/>
                <w:sz w:val="21"/>
                <w:szCs w:val="21"/>
                <w:highlight w:val="none"/>
                <w:u w:val="none"/>
                <w:lang w:bidi="ar"/>
              </w:rPr>
              <w:t>（</w:t>
            </w:r>
            <w:r>
              <w:rPr>
                <w:bCs/>
                <w:color w:val="auto"/>
                <w:kern w:val="2"/>
                <w:sz w:val="21"/>
                <w:szCs w:val="21"/>
                <w:highlight w:val="none"/>
                <w:u w:val="none"/>
                <w:lang w:bidi="ar"/>
              </w:rPr>
              <w:t>注:</w:t>
            </w:r>
            <w:r>
              <w:rPr>
                <w:rFonts w:hint="eastAsia"/>
                <w:bCs/>
                <w:color w:val="auto"/>
                <w:kern w:val="2"/>
                <w:sz w:val="21"/>
                <w:szCs w:val="21"/>
                <w:highlight w:val="none"/>
                <w:u w:val="none"/>
                <w:lang w:bidi="ar"/>
              </w:rPr>
              <w:t>“</w:t>
            </w:r>
            <w:r>
              <w:rPr>
                <w:bCs/>
                <w:color w:val="auto"/>
                <w:kern w:val="2"/>
                <w:sz w:val="21"/>
                <w:szCs w:val="21"/>
                <w:highlight w:val="none"/>
                <w:u w:val="none"/>
                <w:lang w:bidi="ar"/>
              </w:rPr>
              <w:t>□</w:t>
            </w:r>
            <w:r>
              <w:rPr>
                <w:rFonts w:hint="eastAsia"/>
                <w:bCs/>
                <w:color w:val="auto"/>
                <w:kern w:val="2"/>
                <w:sz w:val="21"/>
                <w:szCs w:val="21"/>
                <w:highlight w:val="none"/>
                <w:u w:val="none"/>
                <w:lang w:bidi="ar"/>
              </w:rPr>
              <w:t>”）</w:t>
            </w:r>
            <w:r>
              <w:rPr>
                <w:bCs/>
                <w:color w:val="auto"/>
                <w:kern w:val="2"/>
                <w:sz w:val="21"/>
                <w:szCs w:val="21"/>
                <w:highlight w:val="none"/>
                <w:u w:val="none"/>
                <w:lang w:bidi="ar"/>
              </w:rPr>
              <w:t>为勾选项</w:t>
            </w:r>
            <w:r>
              <w:rPr>
                <w:rFonts w:hint="eastAsia"/>
                <w:bCs/>
                <w:color w:val="auto"/>
                <w:kern w:val="2"/>
                <w:sz w:val="21"/>
                <w:szCs w:val="21"/>
                <w:highlight w:val="none"/>
                <w:u w:val="none"/>
                <w:lang w:bidi="ar"/>
              </w:rPr>
              <w:t>，</w:t>
            </w:r>
            <w:r>
              <w:rPr>
                <w:bCs/>
                <w:color w:val="auto"/>
                <w:kern w:val="2"/>
                <w:sz w:val="21"/>
                <w:szCs w:val="21"/>
                <w:highlight w:val="none"/>
                <w:u w:val="none"/>
                <w:lang w:bidi="ar"/>
              </w:rPr>
              <w:t>可√</w:t>
            </w:r>
            <w:r>
              <w:rPr>
                <w:rFonts w:hint="eastAsia"/>
                <w:bCs/>
                <w:color w:val="auto"/>
                <w:kern w:val="2"/>
                <w:sz w:val="21"/>
                <w:szCs w:val="21"/>
                <w:highlight w:val="none"/>
                <w:u w:val="none"/>
                <w:lang w:bidi="ar"/>
              </w:rPr>
              <w:t>：“（  ）”</w:t>
            </w:r>
            <w:r>
              <w:rPr>
                <w:bCs/>
                <w:color w:val="auto"/>
                <w:kern w:val="2"/>
                <w:sz w:val="21"/>
                <w:szCs w:val="21"/>
                <w:highlight w:val="none"/>
                <w:u w:val="none"/>
                <w:lang w:bidi="ar"/>
              </w:rPr>
              <w:t>为内容填写项</w:t>
            </w:r>
            <w:r>
              <w:rPr>
                <w:rFonts w:hint="eastAsia"/>
                <w:bCs/>
                <w:color w:val="auto"/>
                <w:kern w:val="2"/>
                <w:sz w:val="21"/>
                <w:szCs w:val="21"/>
                <w:highlight w:val="none"/>
                <w:u w:val="none"/>
                <w:lang w:bidi="ar"/>
              </w:rPr>
              <w:t>。</w:t>
            </w:r>
          </w:p>
        </w:tc>
      </w:tr>
    </w:tbl>
    <w:p w14:paraId="47B896DA">
      <w:pPr>
        <w:rPr>
          <w:rFonts w:hint="eastAsia"/>
          <w:color w:val="auto"/>
          <w:highlight w:val="none"/>
          <w:u w:val="none"/>
        </w:rPr>
      </w:pPr>
    </w:p>
    <w:p w14:paraId="0F7FFEB1">
      <w:pPr>
        <w:pStyle w:val="4"/>
        <w:jc w:val="both"/>
        <w:rPr>
          <w:color w:val="auto"/>
          <w:highlight w:val="none"/>
          <w:u w:val="none"/>
        </w:rPr>
      </w:pPr>
      <w:bookmarkStart w:id="530" w:name="_Toc148375055"/>
      <w:bookmarkStart w:id="531" w:name="_Toc148374613"/>
      <w:bookmarkStart w:id="532" w:name="_Toc12120"/>
      <w:bookmarkStart w:id="533" w:name="_Toc148374821"/>
      <w:bookmarkStart w:id="534" w:name="_Toc109211090"/>
      <w:r>
        <w:rPr>
          <w:rFonts w:hint="eastAsia"/>
          <w:color w:val="auto"/>
          <w:highlight w:val="none"/>
          <w:u w:val="none"/>
        </w:rPr>
        <w:t>固体废物环境影响分析</w:t>
      </w:r>
      <w:bookmarkEnd w:id="530"/>
      <w:bookmarkEnd w:id="531"/>
      <w:bookmarkEnd w:id="532"/>
      <w:bookmarkEnd w:id="533"/>
      <w:bookmarkEnd w:id="534"/>
    </w:p>
    <w:p w14:paraId="3C5A8971">
      <w:pPr>
        <w:pStyle w:val="6"/>
        <w:spacing w:before="156" w:after="156"/>
        <w:rPr>
          <w:color w:val="auto"/>
          <w:highlight w:val="none"/>
          <w:u w:val="none"/>
          <w:lang w:val="en-US"/>
        </w:rPr>
      </w:pPr>
      <w:r>
        <w:rPr>
          <w:rFonts w:hint="eastAsia"/>
          <w:color w:val="auto"/>
          <w:highlight w:val="none"/>
          <w:u w:val="none"/>
          <w:lang w:val="en-US"/>
        </w:rPr>
        <w:t>固体废物产生量、产生规律及分类统计</w:t>
      </w:r>
    </w:p>
    <w:p w14:paraId="78579647">
      <w:pPr>
        <w:pStyle w:val="981"/>
        <w:rPr>
          <w:rFonts w:hint="eastAsia"/>
          <w:color w:val="auto"/>
          <w:highlight w:val="none"/>
          <w:u w:val="none"/>
          <w:lang w:val="en-US"/>
        </w:rPr>
      </w:pPr>
      <w:r>
        <w:rPr>
          <w:rFonts w:hint="eastAsia"/>
          <w:color w:val="auto"/>
          <w:highlight w:val="none"/>
          <w:u w:val="none"/>
          <w:lang w:val="en-US"/>
        </w:rPr>
        <w:t>按照《国家危险废物名录》</w:t>
      </w:r>
      <w:r>
        <w:rPr>
          <w:color w:val="auto"/>
          <w:highlight w:val="none"/>
          <w:u w:val="none"/>
          <w:lang w:val="en-US"/>
        </w:rPr>
        <w:t>(20</w:t>
      </w:r>
      <w:r>
        <w:rPr>
          <w:rFonts w:hint="eastAsia"/>
          <w:color w:val="auto"/>
          <w:highlight w:val="none"/>
          <w:u w:val="none"/>
          <w:lang w:val="en-US" w:eastAsia="zh-CN"/>
        </w:rPr>
        <w:t>25</w:t>
      </w:r>
      <w:r>
        <w:rPr>
          <w:color w:val="auto"/>
          <w:highlight w:val="none"/>
          <w:u w:val="none"/>
          <w:lang w:val="en-US"/>
        </w:rPr>
        <w:t>年)，参考《危险废物鉴别标准》(GB5085.3-2019)、</w:t>
      </w:r>
      <w:r>
        <w:rPr>
          <w:rFonts w:hint="eastAsia"/>
          <w:color w:val="auto"/>
          <w:highlight w:val="none"/>
          <w:u w:val="none"/>
          <w:lang w:val="en-US"/>
        </w:rPr>
        <w:t>《固体废物浸出毒性浸出方法》（</w:t>
      </w:r>
      <w:r>
        <w:rPr>
          <w:color w:val="auto"/>
          <w:highlight w:val="none"/>
          <w:u w:val="none"/>
          <w:lang w:val="en-US"/>
        </w:rPr>
        <w:t>GB5086-1997</w:t>
      </w:r>
      <w:r>
        <w:rPr>
          <w:rFonts w:hint="eastAsia"/>
          <w:color w:val="auto"/>
          <w:highlight w:val="none"/>
          <w:u w:val="none"/>
          <w:lang w:val="en-US"/>
        </w:rPr>
        <w:t>）</w:t>
      </w:r>
      <w:r>
        <w:rPr>
          <w:color w:val="auto"/>
          <w:highlight w:val="none"/>
          <w:u w:val="none"/>
          <w:lang w:val="en-US"/>
        </w:rPr>
        <w:t>，对本项目产生的固体废物进行分类。</w:t>
      </w:r>
      <w:r>
        <w:rPr>
          <w:rFonts w:hint="eastAsia"/>
          <w:color w:val="auto"/>
          <w:highlight w:val="none"/>
          <w:u w:val="none"/>
          <w:lang w:val="en-US"/>
        </w:rPr>
        <w:t>本项目产生的固体废物主要包括</w:t>
      </w:r>
      <w:r>
        <w:rPr>
          <w:color w:val="auto"/>
          <w:highlight w:val="none"/>
          <w:u w:val="none"/>
        </w:rPr>
        <w:t>废DNT</w:t>
      </w:r>
      <w:r>
        <w:rPr>
          <w:rFonts w:hint="eastAsia"/>
          <w:color w:val="auto"/>
          <w:highlight w:val="none"/>
          <w:u w:val="none"/>
        </w:rPr>
        <w:t>、轻油、废催化剂、</w:t>
      </w:r>
      <w:r>
        <w:rPr>
          <w:color w:val="auto"/>
          <w:highlight w:val="none"/>
          <w:u w:val="none"/>
        </w:rPr>
        <w:t>TDA精馏残渣</w:t>
      </w:r>
      <w:r>
        <w:rPr>
          <w:rFonts w:hint="eastAsia"/>
          <w:color w:val="auto"/>
          <w:highlight w:val="none"/>
          <w:u w:val="none"/>
        </w:rPr>
        <w:t>、</w:t>
      </w:r>
      <w:r>
        <w:rPr>
          <w:color w:val="auto"/>
          <w:highlight w:val="none"/>
          <w:u w:val="none"/>
        </w:rPr>
        <w:t>TD</w:t>
      </w:r>
      <w:r>
        <w:rPr>
          <w:rFonts w:hint="eastAsia"/>
          <w:color w:val="auto"/>
          <w:highlight w:val="none"/>
          <w:u w:val="none"/>
        </w:rPr>
        <w:t>I</w:t>
      </w:r>
      <w:r>
        <w:rPr>
          <w:color w:val="auto"/>
          <w:highlight w:val="none"/>
          <w:u w:val="none"/>
        </w:rPr>
        <w:t>精馏残渣焦油颗粒、</w:t>
      </w:r>
      <w:r>
        <w:rPr>
          <w:rFonts w:hint="eastAsia"/>
          <w:color w:val="auto"/>
          <w:highlight w:val="none"/>
          <w:u w:val="none"/>
        </w:rPr>
        <w:t>光化退料、</w:t>
      </w:r>
      <w:r>
        <w:rPr>
          <w:color w:val="auto"/>
          <w:highlight w:val="none"/>
          <w:u w:val="none"/>
        </w:rPr>
        <w:t>废活性炭、TDI废液、废包装材料、机修废油、废导热油、</w:t>
      </w:r>
      <w:r>
        <w:rPr>
          <w:rFonts w:hint="eastAsia"/>
          <w:color w:val="auto"/>
          <w:highlight w:val="none"/>
          <w:u w:val="none"/>
        </w:rPr>
        <w:t>废氮封油、</w:t>
      </w:r>
      <w:r>
        <w:rPr>
          <w:color w:val="auto"/>
          <w:highlight w:val="none"/>
          <w:u w:val="none"/>
        </w:rPr>
        <w:t>废劳保</w:t>
      </w:r>
      <w:r>
        <w:rPr>
          <w:rFonts w:hint="eastAsia"/>
          <w:color w:val="auto"/>
          <w:highlight w:val="none"/>
          <w:u w:val="none"/>
        </w:rPr>
        <w:t>用品、</w:t>
      </w:r>
      <w:r>
        <w:rPr>
          <w:color w:val="auto"/>
          <w:highlight w:val="none"/>
          <w:u w:val="none"/>
        </w:rPr>
        <w:t>废抹布等危险废物，以及生活办</w:t>
      </w:r>
      <w:r>
        <w:rPr>
          <w:rFonts w:hint="eastAsia"/>
          <w:color w:val="auto"/>
          <w:highlight w:val="none"/>
          <w:u w:val="none"/>
        </w:rPr>
        <w:t>公产生的生活垃圾</w:t>
      </w:r>
      <w:r>
        <w:rPr>
          <w:rFonts w:hint="eastAsia"/>
          <w:color w:val="auto"/>
          <w:highlight w:val="none"/>
          <w:u w:val="none"/>
          <w:lang w:val="en-US"/>
        </w:rPr>
        <w:t>。项目折合年均固体废物产生量</w:t>
      </w:r>
      <w:r>
        <w:rPr>
          <w:rFonts w:hint="eastAsia" w:eastAsia="等线"/>
          <w:color w:val="auto"/>
          <w:highlight w:val="none"/>
          <w:u w:val="none"/>
          <w:lang w:val="en-US" w:eastAsia="zh-CN"/>
        </w:rPr>
        <w:t>26933</w:t>
      </w:r>
      <w:r>
        <w:rPr>
          <w:color w:val="auto"/>
          <w:highlight w:val="none"/>
          <w:u w:val="none"/>
          <w:lang w:val="en-US"/>
        </w:rPr>
        <w:t>t/a。</w:t>
      </w:r>
      <w:r>
        <w:rPr>
          <w:rFonts w:hint="eastAsia"/>
          <w:color w:val="auto"/>
          <w:highlight w:val="none"/>
          <w:u w:val="none"/>
          <w:lang w:val="en-US"/>
        </w:rPr>
        <w:t>本项目固体废物产生总量、性质及拟采用的处置方式见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_Ref147993521 \h</w:instrText>
      </w:r>
      <w:r>
        <w:rPr>
          <w:color w:val="auto"/>
          <w:highlight w:val="none"/>
          <w:u w:val="none"/>
          <w:lang w:val="en-US"/>
        </w:rPr>
        <w:instrText xml:space="preserve">  \* MERGEFORMAT </w:instrText>
      </w:r>
      <w:r>
        <w:rPr>
          <w:color w:val="auto"/>
          <w:highlight w:val="none"/>
          <w:u w:val="none"/>
          <w:lang w:val="en-US"/>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lang w:val="en-US"/>
        </w:rPr>
        <w:fldChar w:fldCharType="end"/>
      </w:r>
      <w:r>
        <w:rPr>
          <w:rFonts w:hint="eastAsia"/>
          <w:color w:val="auto"/>
          <w:highlight w:val="none"/>
          <w:u w:val="none"/>
          <w:lang w:val="en-US"/>
        </w:rPr>
        <w:t>。</w:t>
      </w:r>
    </w:p>
    <w:p w14:paraId="532D2704">
      <w:pPr>
        <w:pStyle w:val="476"/>
        <w:rPr>
          <w:color w:val="auto"/>
          <w:highlight w:val="none"/>
          <w:u w:val="none"/>
        </w:rPr>
      </w:pPr>
      <w:bookmarkStart w:id="535" w:name="_Ref14799352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535"/>
      <w:r>
        <w:rPr>
          <w:color w:val="auto"/>
          <w:highlight w:val="none"/>
          <w:u w:val="none"/>
        </w:rPr>
        <w:t xml:space="preserve">  </w:t>
      </w:r>
      <w:r>
        <w:rPr>
          <w:rFonts w:hint="eastAsia"/>
          <w:color w:val="auto"/>
          <w:highlight w:val="none"/>
          <w:u w:val="none"/>
        </w:rPr>
        <w:t>本项目固体废物产生情况一览表</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97"/>
        <w:gridCol w:w="1857"/>
        <w:gridCol w:w="1625"/>
        <w:gridCol w:w="1625"/>
        <w:gridCol w:w="2782"/>
      </w:tblGrid>
      <w:tr w14:paraId="0BE56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shd w:val="clear" w:color="auto" w:fill="auto"/>
            <w:vAlign w:val="center"/>
          </w:tcPr>
          <w:p w14:paraId="063E9CCC">
            <w:pPr>
              <w:pStyle w:val="92"/>
              <w:rPr>
                <w:color w:val="auto"/>
                <w:highlight w:val="none"/>
                <w:u w:val="none"/>
              </w:rPr>
            </w:pPr>
            <w:r>
              <w:rPr>
                <w:color w:val="auto"/>
                <w:highlight w:val="none"/>
                <w:u w:val="none"/>
              </w:rPr>
              <w:t>固废类别</w:t>
            </w:r>
          </w:p>
        </w:tc>
        <w:tc>
          <w:tcPr>
            <w:tcW w:w="1000" w:type="pct"/>
            <w:shd w:val="clear" w:color="auto" w:fill="auto"/>
            <w:vAlign w:val="center"/>
          </w:tcPr>
          <w:p w14:paraId="2B11F782">
            <w:pPr>
              <w:pStyle w:val="92"/>
              <w:rPr>
                <w:color w:val="auto"/>
                <w:highlight w:val="none"/>
                <w:u w:val="none"/>
              </w:rPr>
            </w:pPr>
            <w:r>
              <w:rPr>
                <w:color w:val="auto"/>
                <w:highlight w:val="none"/>
                <w:u w:val="none"/>
              </w:rPr>
              <w:t>固废名称</w:t>
            </w:r>
          </w:p>
        </w:tc>
        <w:tc>
          <w:tcPr>
            <w:tcW w:w="875" w:type="pct"/>
            <w:shd w:val="clear" w:color="auto" w:fill="auto"/>
            <w:vAlign w:val="center"/>
          </w:tcPr>
          <w:p w14:paraId="6B50EEF2">
            <w:pPr>
              <w:pStyle w:val="92"/>
              <w:rPr>
                <w:color w:val="auto"/>
                <w:highlight w:val="none"/>
                <w:u w:val="none"/>
              </w:rPr>
            </w:pPr>
            <w:r>
              <w:rPr>
                <w:color w:val="auto"/>
                <w:highlight w:val="none"/>
                <w:u w:val="none"/>
              </w:rPr>
              <w:t>产生量（t/a）</w:t>
            </w:r>
          </w:p>
        </w:tc>
        <w:tc>
          <w:tcPr>
            <w:tcW w:w="875" w:type="pct"/>
            <w:vAlign w:val="center"/>
          </w:tcPr>
          <w:p w14:paraId="1AEBA703">
            <w:pPr>
              <w:pStyle w:val="92"/>
              <w:rPr>
                <w:color w:val="auto"/>
                <w:highlight w:val="none"/>
                <w:u w:val="none"/>
              </w:rPr>
            </w:pPr>
            <w:r>
              <w:rPr>
                <w:color w:val="auto"/>
                <w:highlight w:val="none"/>
                <w:u w:val="none"/>
              </w:rPr>
              <w:t>危废代码</w:t>
            </w:r>
            <w:r>
              <w:rPr>
                <w:rFonts w:hint="eastAsia"/>
                <w:color w:val="auto"/>
                <w:highlight w:val="none"/>
                <w:u w:val="none"/>
              </w:rPr>
              <w:t>/</w:t>
            </w:r>
          </w:p>
          <w:p w14:paraId="5D72E38C">
            <w:pPr>
              <w:pStyle w:val="92"/>
              <w:rPr>
                <w:color w:val="auto"/>
                <w:highlight w:val="none"/>
                <w:u w:val="none"/>
              </w:rPr>
            </w:pPr>
            <w:r>
              <w:rPr>
                <w:rFonts w:hint="eastAsia"/>
                <w:color w:val="auto"/>
                <w:highlight w:val="none"/>
                <w:u w:val="none"/>
              </w:rPr>
              <w:t>固废代码</w:t>
            </w:r>
          </w:p>
        </w:tc>
        <w:tc>
          <w:tcPr>
            <w:tcW w:w="1498" w:type="pct"/>
            <w:shd w:val="clear" w:color="auto" w:fill="auto"/>
            <w:vAlign w:val="center"/>
          </w:tcPr>
          <w:p w14:paraId="1B905A50">
            <w:pPr>
              <w:pStyle w:val="92"/>
              <w:rPr>
                <w:color w:val="auto"/>
                <w:highlight w:val="none"/>
                <w:u w:val="none"/>
              </w:rPr>
            </w:pPr>
            <w:r>
              <w:rPr>
                <w:color w:val="auto"/>
                <w:highlight w:val="none"/>
                <w:u w:val="none"/>
              </w:rPr>
              <w:t>去向</w:t>
            </w:r>
          </w:p>
        </w:tc>
      </w:tr>
      <w:tr w14:paraId="17484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restart"/>
            <w:shd w:val="clear" w:color="auto" w:fill="auto"/>
            <w:vAlign w:val="center"/>
          </w:tcPr>
          <w:p w14:paraId="7B32CC18">
            <w:pPr>
              <w:pStyle w:val="92"/>
              <w:rPr>
                <w:color w:val="auto"/>
                <w:highlight w:val="none"/>
                <w:u w:val="none"/>
              </w:rPr>
            </w:pPr>
            <w:r>
              <w:rPr>
                <w:color w:val="auto"/>
                <w:highlight w:val="none"/>
                <w:u w:val="none"/>
              </w:rPr>
              <w:t>危险废物</w:t>
            </w:r>
          </w:p>
        </w:tc>
        <w:tc>
          <w:tcPr>
            <w:tcW w:w="1000" w:type="pct"/>
            <w:shd w:val="clear" w:color="auto" w:fill="auto"/>
            <w:vAlign w:val="center"/>
          </w:tcPr>
          <w:p w14:paraId="66CCA5A2">
            <w:pPr>
              <w:pStyle w:val="92"/>
              <w:rPr>
                <w:color w:val="auto"/>
                <w:highlight w:val="none"/>
                <w:u w:val="none"/>
              </w:rPr>
            </w:pPr>
            <w:r>
              <w:rPr>
                <w:rFonts w:hint="eastAsia"/>
                <w:color w:val="auto"/>
                <w:highlight w:val="none"/>
                <w:u w:val="none"/>
              </w:rPr>
              <w:t>废DNT</w:t>
            </w:r>
          </w:p>
        </w:tc>
        <w:tc>
          <w:tcPr>
            <w:tcW w:w="875" w:type="pct"/>
            <w:shd w:val="clear" w:color="auto" w:fill="auto"/>
            <w:vAlign w:val="center"/>
          </w:tcPr>
          <w:p w14:paraId="53FB2DDD">
            <w:pPr>
              <w:pStyle w:val="92"/>
              <w:rPr>
                <w:color w:val="auto"/>
                <w:highlight w:val="none"/>
                <w:u w:val="none"/>
              </w:rPr>
            </w:pPr>
          </w:p>
        </w:tc>
        <w:tc>
          <w:tcPr>
            <w:tcW w:w="875" w:type="pct"/>
            <w:tcBorders>
              <w:bottom w:val="single" w:color="auto" w:sz="4" w:space="0"/>
            </w:tcBorders>
            <w:vAlign w:val="center"/>
          </w:tcPr>
          <w:p w14:paraId="661B5458">
            <w:pPr>
              <w:pStyle w:val="92"/>
              <w:rPr>
                <w:color w:val="auto"/>
                <w:highlight w:val="none"/>
                <w:u w:val="none"/>
              </w:rPr>
            </w:pPr>
            <w:r>
              <w:rPr>
                <w:rFonts w:hint="eastAsia"/>
                <w:color w:val="auto"/>
                <w:highlight w:val="none"/>
                <w:u w:val="none"/>
              </w:rPr>
              <w:t>900-999-49</w:t>
            </w:r>
          </w:p>
        </w:tc>
        <w:tc>
          <w:tcPr>
            <w:tcW w:w="1498" w:type="pct"/>
            <w:vMerge w:val="restart"/>
            <w:shd w:val="clear" w:color="auto" w:fill="auto"/>
            <w:vAlign w:val="center"/>
          </w:tcPr>
          <w:p w14:paraId="417FA4BC">
            <w:pPr>
              <w:pStyle w:val="92"/>
              <w:rPr>
                <w:color w:val="auto"/>
                <w:highlight w:val="none"/>
                <w:u w:val="none"/>
              </w:rPr>
            </w:pPr>
            <w:r>
              <w:rPr>
                <w:color w:val="auto"/>
                <w:highlight w:val="none"/>
                <w:u w:val="none"/>
              </w:rPr>
              <w:t>委托有危险废物</w:t>
            </w:r>
            <w:r>
              <w:rPr>
                <w:rFonts w:hint="eastAsia"/>
                <w:color w:val="auto"/>
                <w:highlight w:val="none"/>
                <w:u w:val="none"/>
              </w:rPr>
              <w:t>处置</w:t>
            </w:r>
          </w:p>
          <w:p w14:paraId="58DFA84C">
            <w:pPr>
              <w:pStyle w:val="92"/>
              <w:rPr>
                <w:color w:val="auto"/>
                <w:highlight w:val="none"/>
                <w:u w:val="none"/>
              </w:rPr>
            </w:pPr>
            <w:r>
              <w:rPr>
                <w:color w:val="auto"/>
                <w:highlight w:val="none"/>
                <w:u w:val="none"/>
              </w:rPr>
              <w:t>资质的单位处理</w:t>
            </w:r>
          </w:p>
        </w:tc>
      </w:tr>
      <w:tr w14:paraId="3BEB49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4B4996B0">
            <w:pPr>
              <w:pStyle w:val="92"/>
              <w:rPr>
                <w:color w:val="auto"/>
                <w:highlight w:val="none"/>
                <w:u w:val="none"/>
              </w:rPr>
            </w:pPr>
          </w:p>
        </w:tc>
        <w:tc>
          <w:tcPr>
            <w:tcW w:w="1000" w:type="pct"/>
            <w:shd w:val="clear" w:color="auto" w:fill="auto"/>
            <w:vAlign w:val="center"/>
          </w:tcPr>
          <w:p w14:paraId="6126CC9B">
            <w:pPr>
              <w:pStyle w:val="92"/>
              <w:rPr>
                <w:color w:val="auto"/>
                <w:highlight w:val="none"/>
                <w:u w:val="none"/>
              </w:rPr>
            </w:pPr>
            <w:r>
              <w:rPr>
                <w:rFonts w:hint="eastAsia"/>
                <w:color w:val="auto"/>
                <w:highlight w:val="none"/>
                <w:u w:val="none"/>
              </w:rPr>
              <w:t>废催化剂</w:t>
            </w:r>
          </w:p>
        </w:tc>
        <w:tc>
          <w:tcPr>
            <w:tcW w:w="875" w:type="pct"/>
            <w:shd w:val="clear" w:color="auto" w:fill="auto"/>
            <w:vAlign w:val="center"/>
          </w:tcPr>
          <w:p w14:paraId="28843B04">
            <w:pPr>
              <w:pStyle w:val="92"/>
              <w:rPr>
                <w:color w:val="auto"/>
                <w:highlight w:val="none"/>
                <w:u w:val="none"/>
              </w:rPr>
            </w:pPr>
          </w:p>
        </w:tc>
        <w:tc>
          <w:tcPr>
            <w:tcW w:w="875" w:type="pct"/>
            <w:tcBorders>
              <w:bottom w:val="single" w:color="auto" w:sz="4" w:space="0"/>
            </w:tcBorders>
            <w:vAlign w:val="center"/>
          </w:tcPr>
          <w:p w14:paraId="73D8C0B9">
            <w:pPr>
              <w:pStyle w:val="92"/>
              <w:rPr>
                <w:snapToGrid w:val="0"/>
                <w:color w:val="auto"/>
                <w:highlight w:val="none"/>
                <w:u w:val="none"/>
              </w:rPr>
            </w:pPr>
            <w:r>
              <w:rPr>
                <w:rFonts w:hint="eastAsia"/>
                <w:color w:val="auto"/>
                <w:highlight w:val="none"/>
                <w:u w:val="none"/>
              </w:rPr>
              <w:t>900-037-46</w:t>
            </w:r>
          </w:p>
        </w:tc>
        <w:tc>
          <w:tcPr>
            <w:tcW w:w="1498" w:type="pct"/>
            <w:vMerge w:val="continue"/>
            <w:shd w:val="clear" w:color="auto" w:fill="auto"/>
            <w:vAlign w:val="center"/>
          </w:tcPr>
          <w:p w14:paraId="5D6662DB">
            <w:pPr>
              <w:pStyle w:val="92"/>
              <w:rPr>
                <w:color w:val="auto"/>
                <w:highlight w:val="none"/>
                <w:u w:val="none"/>
              </w:rPr>
            </w:pPr>
          </w:p>
        </w:tc>
      </w:tr>
      <w:tr w14:paraId="5D0AB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4C7EA3F7">
            <w:pPr>
              <w:pStyle w:val="92"/>
              <w:rPr>
                <w:color w:val="auto"/>
                <w:highlight w:val="none"/>
                <w:u w:val="none"/>
              </w:rPr>
            </w:pPr>
          </w:p>
        </w:tc>
        <w:tc>
          <w:tcPr>
            <w:tcW w:w="1000" w:type="pct"/>
            <w:shd w:val="clear" w:color="auto" w:fill="auto"/>
            <w:vAlign w:val="center"/>
          </w:tcPr>
          <w:p w14:paraId="31652967">
            <w:pPr>
              <w:pStyle w:val="92"/>
              <w:rPr>
                <w:color w:val="auto"/>
                <w:highlight w:val="none"/>
                <w:u w:val="none"/>
              </w:rPr>
            </w:pPr>
            <w:r>
              <w:rPr>
                <w:rFonts w:hint="eastAsia"/>
                <w:color w:val="auto"/>
                <w:highlight w:val="none"/>
                <w:u w:val="none"/>
              </w:rPr>
              <w:t>TDA精馏残渣</w:t>
            </w:r>
          </w:p>
        </w:tc>
        <w:tc>
          <w:tcPr>
            <w:tcW w:w="875" w:type="pct"/>
            <w:shd w:val="clear" w:color="auto" w:fill="auto"/>
            <w:vAlign w:val="center"/>
          </w:tcPr>
          <w:p w14:paraId="10F212C3">
            <w:pPr>
              <w:pStyle w:val="92"/>
              <w:rPr>
                <w:color w:val="auto"/>
                <w:highlight w:val="none"/>
                <w:u w:val="none"/>
              </w:rPr>
            </w:pPr>
          </w:p>
        </w:tc>
        <w:tc>
          <w:tcPr>
            <w:tcW w:w="875" w:type="pct"/>
            <w:tcBorders>
              <w:bottom w:val="single" w:color="auto" w:sz="4" w:space="0"/>
            </w:tcBorders>
            <w:vAlign w:val="center"/>
          </w:tcPr>
          <w:p w14:paraId="31C67B1D">
            <w:pPr>
              <w:pStyle w:val="92"/>
              <w:rPr>
                <w:snapToGrid w:val="0"/>
                <w:color w:val="auto"/>
                <w:highlight w:val="none"/>
                <w:u w:val="none"/>
              </w:rPr>
            </w:pPr>
            <w:r>
              <w:rPr>
                <w:rFonts w:hint="eastAsia"/>
                <w:color w:val="auto"/>
                <w:highlight w:val="none"/>
                <w:u w:val="none"/>
              </w:rPr>
              <w:t>261-023-11</w:t>
            </w:r>
          </w:p>
        </w:tc>
        <w:tc>
          <w:tcPr>
            <w:tcW w:w="1498" w:type="pct"/>
            <w:vMerge w:val="continue"/>
            <w:shd w:val="clear" w:color="auto" w:fill="auto"/>
            <w:vAlign w:val="center"/>
          </w:tcPr>
          <w:p w14:paraId="266DCAD3">
            <w:pPr>
              <w:pStyle w:val="92"/>
              <w:rPr>
                <w:color w:val="auto"/>
                <w:highlight w:val="none"/>
                <w:u w:val="none"/>
              </w:rPr>
            </w:pPr>
          </w:p>
        </w:tc>
      </w:tr>
      <w:tr w14:paraId="3B5E48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F53E028">
            <w:pPr>
              <w:pStyle w:val="92"/>
              <w:rPr>
                <w:color w:val="auto"/>
                <w:highlight w:val="none"/>
                <w:u w:val="none"/>
              </w:rPr>
            </w:pPr>
          </w:p>
        </w:tc>
        <w:tc>
          <w:tcPr>
            <w:tcW w:w="1000" w:type="pct"/>
            <w:shd w:val="clear" w:color="auto" w:fill="auto"/>
            <w:vAlign w:val="center"/>
          </w:tcPr>
          <w:p w14:paraId="4FCB5571">
            <w:pPr>
              <w:pStyle w:val="92"/>
              <w:rPr>
                <w:color w:val="auto"/>
                <w:highlight w:val="none"/>
                <w:u w:val="none"/>
              </w:rPr>
            </w:pPr>
            <w:r>
              <w:rPr>
                <w:rFonts w:hint="eastAsia" w:hAnsi="宋体"/>
                <w:color w:val="auto"/>
                <w:kern w:val="0"/>
                <w:highlight w:val="none"/>
                <w:u w:val="none"/>
                <w:lang w:val="zh-CN"/>
              </w:rPr>
              <w:t>光化退料</w:t>
            </w:r>
          </w:p>
        </w:tc>
        <w:tc>
          <w:tcPr>
            <w:tcW w:w="875" w:type="pct"/>
            <w:shd w:val="clear" w:color="auto" w:fill="auto"/>
            <w:vAlign w:val="center"/>
          </w:tcPr>
          <w:p w14:paraId="4699B414">
            <w:pPr>
              <w:pStyle w:val="92"/>
              <w:rPr>
                <w:color w:val="auto"/>
                <w:highlight w:val="none"/>
                <w:u w:val="none"/>
              </w:rPr>
            </w:pPr>
          </w:p>
        </w:tc>
        <w:tc>
          <w:tcPr>
            <w:tcW w:w="875" w:type="pct"/>
            <w:tcBorders>
              <w:bottom w:val="single" w:color="auto" w:sz="4" w:space="0"/>
            </w:tcBorders>
            <w:vAlign w:val="center"/>
          </w:tcPr>
          <w:p w14:paraId="119E4FEA">
            <w:pPr>
              <w:pStyle w:val="92"/>
              <w:rPr>
                <w:color w:val="auto"/>
                <w:highlight w:val="none"/>
                <w:u w:val="none"/>
              </w:rPr>
            </w:pPr>
            <w:r>
              <w:rPr>
                <w:rFonts w:hint="eastAsia"/>
                <w:color w:val="auto"/>
                <w:highlight w:val="none"/>
                <w:u w:val="none"/>
              </w:rPr>
              <w:t>261-025-11</w:t>
            </w:r>
          </w:p>
        </w:tc>
        <w:tc>
          <w:tcPr>
            <w:tcW w:w="1498" w:type="pct"/>
            <w:vMerge w:val="continue"/>
            <w:shd w:val="clear" w:color="auto" w:fill="auto"/>
            <w:vAlign w:val="center"/>
          </w:tcPr>
          <w:p w14:paraId="016C8606">
            <w:pPr>
              <w:pStyle w:val="92"/>
              <w:rPr>
                <w:color w:val="auto"/>
                <w:highlight w:val="none"/>
                <w:u w:val="none"/>
              </w:rPr>
            </w:pPr>
          </w:p>
        </w:tc>
      </w:tr>
      <w:tr w14:paraId="62B70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2B152806">
            <w:pPr>
              <w:pStyle w:val="92"/>
              <w:rPr>
                <w:color w:val="auto"/>
                <w:highlight w:val="none"/>
                <w:u w:val="none"/>
              </w:rPr>
            </w:pPr>
          </w:p>
        </w:tc>
        <w:tc>
          <w:tcPr>
            <w:tcW w:w="1000" w:type="pct"/>
            <w:shd w:val="clear" w:color="auto" w:fill="auto"/>
            <w:vAlign w:val="center"/>
          </w:tcPr>
          <w:p w14:paraId="65AD43D2">
            <w:pPr>
              <w:pStyle w:val="92"/>
              <w:rPr>
                <w:rFonts w:hint="eastAsia" w:hAnsi="宋体"/>
                <w:color w:val="auto"/>
                <w:kern w:val="0"/>
                <w:highlight w:val="none"/>
                <w:u w:val="none"/>
                <w:lang w:val="zh-CN"/>
              </w:rPr>
            </w:pPr>
            <w:r>
              <w:rPr>
                <w:rFonts w:hint="eastAsia" w:hAnsi="宋体"/>
                <w:color w:val="auto"/>
                <w:kern w:val="0"/>
                <w:highlight w:val="none"/>
                <w:u w:val="none"/>
                <w:lang w:val="zh-CN"/>
              </w:rPr>
              <w:t>TDI精馏残渣</w:t>
            </w:r>
          </w:p>
        </w:tc>
        <w:tc>
          <w:tcPr>
            <w:tcW w:w="875" w:type="pct"/>
            <w:shd w:val="clear" w:color="auto" w:fill="auto"/>
            <w:vAlign w:val="center"/>
          </w:tcPr>
          <w:p w14:paraId="430FC0BB">
            <w:pPr>
              <w:pStyle w:val="92"/>
              <w:rPr>
                <w:color w:val="auto"/>
                <w:highlight w:val="none"/>
                <w:u w:val="none"/>
              </w:rPr>
            </w:pPr>
          </w:p>
        </w:tc>
        <w:tc>
          <w:tcPr>
            <w:tcW w:w="875" w:type="pct"/>
            <w:tcBorders>
              <w:bottom w:val="single" w:color="auto" w:sz="4" w:space="0"/>
            </w:tcBorders>
            <w:vAlign w:val="center"/>
          </w:tcPr>
          <w:p w14:paraId="4E619FEC">
            <w:pPr>
              <w:pStyle w:val="92"/>
              <w:rPr>
                <w:color w:val="auto"/>
                <w:highlight w:val="none"/>
                <w:u w:val="none"/>
              </w:rPr>
            </w:pPr>
            <w:r>
              <w:rPr>
                <w:rFonts w:hint="eastAsia"/>
                <w:color w:val="auto"/>
                <w:highlight w:val="none"/>
                <w:u w:val="none"/>
              </w:rPr>
              <w:t>261-016-11</w:t>
            </w:r>
          </w:p>
        </w:tc>
        <w:tc>
          <w:tcPr>
            <w:tcW w:w="1498" w:type="pct"/>
            <w:vMerge w:val="continue"/>
            <w:tcBorders>
              <w:bottom w:val="single" w:color="auto" w:sz="4" w:space="0"/>
            </w:tcBorders>
            <w:shd w:val="clear" w:color="auto" w:fill="auto"/>
            <w:vAlign w:val="center"/>
          </w:tcPr>
          <w:p w14:paraId="12410059">
            <w:pPr>
              <w:pStyle w:val="92"/>
              <w:rPr>
                <w:color w:val="auto"/>
                <w:highlight w:val="none"/>
                <w:u w:val="none"/>
              </w:rPr>
            </w:pPr>
          </w:p>
        </w:tc>
      </w:tr>
      <w:tr w14:paraId="4ECF1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21B2AAE0">
            <w:pPr>
              <w:pStyle w:val="92"/>
              <w:rPr>
                <w:color w:val="auto"/>
                <w:highlight w:val="none"/>
                <w:u w:val="none"/>
              </w:rPr>
            </w:pPr>
          </w:p>
        </w:tc>
        <w:tc>
          <w:tcPr>
            <w:tcW w:w="1000" w:type="pct"/>
            <w:shd w:val="clear" w:color="auto" w:fill="auto"/>
            <w:vAlign w:val="center"/>
          </w:tcPr>
          <w:p w14:paraId="5E521815">
            <w:pPr>
              <w:pStyle w:val="92"/>
              <w:rPr>
                <w:color w:val="auto"/>
                <w:highlight w:val="none"/>
                <w:u w:val="none"/>
              </w:rPr>
            </w:pPr>
            <w:r>
              <w:rPr>
                <w:rFonts w:hint="eastAsia"/>
                <w:color w:val="auto"/>
                <w:highlight w:val="none"/>
                <w:u w:val="none"/>
              </w:rPr>
              <w:t>轻油</w:t>
            </w:r>
          </w:p>
        </w:tc>
        <w:tc>
          <w:tcPr>
            <w:tcW w:w="875" w:type="pct"/>
            <w:shd w:val="clear" w:color="auto" w:fill="auto"/>
            <w:vAlign w:val="center"/>
          </w:tcPr>
          <w:p w14:paraId="0E72CD20">
            <w:pPr>
              <w:pStyle w:val="92"/>
              <w:rPr>
                <w:color w:val="auto"/>
                <w:highlight w:val="none"/>
                <w:u w:val="none"/>
              </w:rPr>
            </w:pPr>
          </w:p>
        </w:tc>
        <w:tc>
          <w:tcPr>
            <w:tcW w:w="875" w:type="pct"/>
            <w:tcBorders>
              <w:bottom w:val="single" w:color="auto" w:sz="4" w:space="0"/>
            </w:tcBorders>
            <w:vAlign w:val="center"/>
          </w:tcPr>
          <w:p w14:paraId="653402E3">
            <w:pPr>
              <w:pStyle w:val="92"/>
              <w:rPr>
                <w:snapToGrid w:val="0"/>
                <w:color w:val="auto"/>
                <w:highlight w:val="none"/>
                <w:u w:val="none"/>
              </w:rPr>
            </w:pPr>
            <w:r>
              <w:rPr>
                <w:snapToGrid w:val="0"/>
                <w:color w:val="auto"/>
                <w:highlight w:val="none"/>
                <w:u w:val="none"/>
              </w:rPr>
              <w:t>261-022-11</w:t>
            </w:r>
          </w:p>
        </w:tc>
        <w:tc>
          <w:tcPr>
            <w:tcW w:w="1498" w:type="pct"/>
            <w:tcBorders>
              <w:bottom w:val="single" w:color="auto" w:sz="4" w:space="0"/>
            </w:tcBorders>
            <w:shd w:val="clear" w:color="auto" w:fill="auto"/>
            <w:vAlign w:val="center"/>
          </w:tcPr>
          <w:p w14:paraId="175FBC7F">
            <w:pPr>
              <w:pStyle w:val="92"/>
              <w:rPr>
                <w:color w:val="auto"/>
                <w:highlight w:val="none"/>
                <w:u w:val="none"/>
              </w:rPr>
            </w:pPr>
            <w:r>
              <w:rPr>
                <w:color w:val="auto"/>
                <w:highlight w:val="none"/>
                <w:u w:val="none"/>
              </w:rPr>
              <w:t>委托有危险废物</w:t>
            </w:r>
            <w:r>
              <w:rPr>
                <w:rFonts w:hint="eastAsia"/>
                <w:color w:val="auto"/>
                <w:highlight w:val="none"/>
                <w:u w:val="none"/>
              </w:rPr>
              <w:t>处置</w:t>
            </w:r>
            <w:r>
              <w:rPr>
                <w:color w:val="auto"/>
                <w:highlight w:val="none"/>
                <w:u w:val="none"/>
              </w:rPr>
              <w:t>资质的单位处理</w:t>
            </w:r>
            <w:r>
              <w:rPr>
                <w:rFonts w:hint="eastAsia"/>
                <w:color w:val="auto"/>
                <w:highlight w:val="none"/>
                <w:u w:val="none"/>
              </w:rPr>
              <w:t>，待万华环保科技公司</w:t>
            </w:r>
            <w:r>
              <w:rPr>
                <w:color w:val="auto"/>
                <w:highlight w:val="none"/>
                <w:u w:val="none"/>
              </w:rPr>
              <w:t>能量回收装置</w:t>
            </w:r>
            <w:r>
              <w:rPr>
                <w:rFonts w:hint="eastAsia"/>
                <w:color w:val="auto"/>
                <w:highlight w:val="none"/>
                <w:u w:val="none"/>
              </w:rPr>
              <w:t>取得该危废的处置资质后，进入能量回收装置进行焚烧处理</w:t>
            </w:r>
          </w:p>
        </w:tc>
      </w:tr>
      <w:tr w14:paraId="0BA74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A60814E">
            <w:pPr>
              <w:pStyle w:val="92"/>
              <w:rPr>
                <w:color w:val="auto"/>
                <w:highlight w:val="none"/>
                <w:u w:val="none"/>
              </w:rPr>
            </w:pPr>
          </w:p>
        </w:tc>
        <w:tc>
          <w:tcPr>
            <w:tcW w:w="1000" w:type="pct"/>
            <w:shd w:val="clear" w:color="auto" w:fill="auto"/>
            <w:vAlign w:val="center"/>
          </w:tcPr>
          <w:p w14:paraId="634D770F">
            <w:pPr>
              <w:pStyle w:val="92"/>
              <w:rPr>
                <w:color w:val="auto"/>
                <w:highlight w:val="none"/>
                <w:u w:val="none"/>
              </w:rPr>
            </w:pPr>
            <w:r>
              <w:rPr>
                <w:rFonts w:hint="eastAsia"/>
                <w:color w:val="auto"/>
                <w:highlight w:val="none"/>
                <w:u w:val="none"/>
              </w:rPr>
              <w:t>T</w:t>
            </w:r>
            <w:r>
              <w:rPr>
                <w:color w:val="auto"/>
                <w:highlight w:val="none"/>
                <w:u w:val="none"/>
              </w:rPr>
              <w:t>DI</w:t>
            </w:r>
            <w:r>
              <w:rPr>
                <w:rFonts w:hint="eastAsia"/>
                <w:color w:val="auto"/>
                <w:highlight w:val="none"/>
                <w:u w:val="none"/>
              </w:rPr>
              <w:t>废液</w:t>
            </w:r>
          </w:p>
        </w:tc>
        <w:tc>
          <w:tcPr>
            <w:tcW w:w="875" w:type="pct"/>
            <w:shd w:val="clear" w:color="auto" w:fill="auto"/>
            <w:vAlign w:val="center"/>
          </w:tcPr>
          <w:p w14:paraId="2DDD5FAE">
            <w:pPr>
              <w:pStyle w:val="92"/>
              <w:rPr>
                <w:color w:val="auto"/>
                <w:highlight w:val="none"/>
                <w:u w:val="none"/>
              </w:rPr>
            </w:pPr>
          </w:p>
        </w:tc>
        <w:tc>
          <w:tcPr>
            <w:tcW w:w="875" w:type="pct"/>
            <w:tcBorders>
              <w:top w:val="single" w:color="auto" w:sz="4" w:space="0"/>
            </w:tcBorders>
            <w:vAlign w:val="center"/>
          </w:tcPr>
          <w:p w14:paraId="20AC58E6">
            <w:pPr>
              <w:pStyle w:val="92"/>
              <w:rPr>
                <w:color w:val="auto"/>
                <w:highlight w:val="none"/>
                <w:u w:val="none"/>
              </w:rPr>
            </w:pPr>
            <w:r>
              <w:rPr>
                <w:color w:val="auto"/>
                <w:highlight w:val="none"/>
                <w:u w:val="none"/>
              </w:rPr>
              <w:t>261-016-11</w:t>
            </w:r>
          </w:p>
        </w:tc>
        <w:tc>
          <w:tcPr>
            <w:tcW w:w="1498" w:type="pct"/>
            <w:tcBorders>
              <w:top w:val="single" w:color="auto" w:sz="4" w:space="0"/>
            </w:tcBorders>
            <w:shd w:val="clear" w:color="auto" w:fill="auto"/>
            <w:vAlign w:val="center"/>
          </w:tcPr>
          <w:p w14:paraId="0EDB3C5C">
            <w:pPr>
              <w:pStyle w:val="92"/>
              <w:rPr>
                <w:color w:val="auto"/>
                <w:highlight w:val="none"/>
                <w:u w:val="none"/>
              </w:rPr>
            </w:pPr>
            <w:r>
              <w:rPr>
                <w:rFonts w:hint="eastAsia"/>
                <w:color w:val="auto"/>
                <w:highlight w:val="none"/>
                <w:u w:val="none"/>
              </w:rPr>
              <w:t>送往万华环保科技公司能量回收装置进行焚烧处理</w:t>
            </w:r>
          </w:p>
        </w:tc>
      </w:tr>
      <w:tr w14:paraId="06B23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2CAFC533">
            <w:pPr>
              <w:pStyle w:val="92"/>
              <w:rPr>
                <w:color w:val="auto"/>
                <w:highlight w:val="none"/>
                <w:u w:val="none"/>
              </w:rPr>
            </w:pPr>
          </w:p>
        </w:tc>
        <w:tc>
          <w:tcPr>
            <w:tcW w:w="1000" w:type="pct"/>
            <w:shd w:val="clear" w:color="auto" w:fill="auto"/>
            <w:vAlign w:val="center"/>
          </w:tcPr>
          <w:p w14:paraId="6E2D0F4A">
            <w:pPr>
              <w:pStyle w:val="92"/>
              <w:rPr>
                <w:color w:val="auto"/>
                <w:highlight w:val="none"/>
                <w:u w:val="none"/>
              </w:rPr>
            </w:pPr>
            <w:r>
              <w:rPr>
                <w:rFonts w:hint="eastAsia"/>
                <w:color w:val="auto"/>
                <w:highlight w:val="none"/>
                <w:u w:val="none"/>
              </w:rPr>
              <w:t>焦油颗粒</w:t>
            </w:r>
          </w:p>
        </w:tc>
        <w:tc>
          <w:tcPr>
            <w:tcW w:w="875" w:type="pct"/>
            <w:shd w:val="clear" w:color="auto" w:fill="auto"/>
            <w:vAlign w:val="center"/>
          </w:tcPr>
          <w:p w14:paraId="51B07AF3">
            <w:pPr>
              <w:pStyle w:val="92"/>
              <w:rPr>
                <w:rFonts w:eastAsia="等线"/>
                <w:color w:val="auto"/>
                <w:highlight w:val="none"/>
                <w:u w:val="none"/>
              </w:rPr>
            </w:pPr>
          </w:p>
        </w:tc>
        <w:tc>
          <w:tcPr>
            <w:tcW w:w="875" w:type="pct"/>
            <w:vAlign w:val="center"/>
          </w:tcPr>
          <w:p w14:paraId="7A6999DC">
            <w:pPr>
              <w:pStyle w:val="92"/>
              <w:rPr>
                <w:color w:val="auto"/>
                <w:highlight w:val="none"/>
                <w:u w:val="none"/>
              </w:rPr>
            </w:pPr>
            <w:r>
              <w:rPr>
                <w:color w:val="auto"/>
                <w:highlight w:val="none"/>
                <w:u w:val="none"/>
              </w:rPr>
              <w:t>261-016-11</w:t>
            </w:r>
          </w:p>
        </w:tc>
        <w:tc>
          <w:tcPr>
            <w:tcW w:w="1498" w:type="pct"/>
            <w:shd w:val="clear" w:color="auto" w:fill="auto"/>
            <w:vAlign w:val="center"/>
          </w:tcPr>
          <w:p w14:paraId="4040881B">
            <w:pPr>
              <w:pStyle w:val="92"/>
              <w:rPr>
                <w:color w:val="auto"/>
                <w:highlight w:val="none"/>
                <w:u w:val="none"/>
              </w:rPr>
            </w:pPr>
            <w:r>
              <w:rPr>
                <w:rFonts w:hint="eastAsia"/>
                <w:color w:val="auto"/>
                <w:highlight w:val="none"/>
                <w:u w:val="none"/>
              </w:rPr>
              <w:t>送往万华福建公司气体扩能改造项目作为水煤浆气化原料</w:t>
            </w:r>
          </w:p>
        </w:tc>
      </w:tr>
      <w:tr w14:paraId="67738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F264452">
            <w:pPr>
              <w:pStyle w:val="92"/>
              <w:rPr>
                <w:color w:val="auto"/>
                <w:highlight w:val="none"/>
                <w:u w:val="none"/>
              </w:rPr>
            </w:pPr>
          </w:p>
        </w:tc>
        <w:tc>
          <w:tcPr>
            <w:tcW w:w="1000" w:type="pct"/>
            <w:vMerge w:val="restart"/>
            <w:shd w:val="clear" w:color="auto" w:fill="auto"/>
            <w:vAlign w:val="center"/>
          </w:tcPr>
          <w:p w14:paraId="7A17FFA3">
            <w:pPr>
              <w:pStyle w:val="92"/>
              <w:rPr>
                <w:color w:val="auto"/>
                <w:highlight w:val="none"/>
                <w:u w:val="none"/>
              </w:rPr>
            </w:pPr>
            <w:r>
              <w:rPr>
                <w:color w:val="auto"/>
                <w:highlight w:val="none"/>
                <w:u w:val="none"/>
              </w:rPr>
              <w:t>废活性炭</w:t>
            </w:r>
          </w:p>
        </w:tc>
        <w:tc>
          <w:tcPr>
            <w:tcW w:w="875" w:type="pct"/>
            <w:vMerge w:val="restart"/>
            <w:shd w:val="clear" w:color="auto" w:fill="auto"/>
            <w:vAlign w:val="center"/>
          </w:tcPr>
          <w:p w14:paraId="05B7082E">
            <w:pPr>
              <w:pStyle w:val="92"/>
              <w:rPr>
                <w:rFonts w:hint="default" w:eastAsia="宋体"/>
                <w:color w:val="auto"/>
                <w:highlight w:val="none"/>
                <w:u w:val="none"/>
                <w:lang w:val="en-US" w:eastAsia="zh-CN"/>
              </w:rPr>
            </w:pPr>
          </w:p>
        </w:tc>
        <w:tc>
          <w:tcPr>
            <w:tcW w:w="875" w:type="pct"/>
            <w:vAlign w:val="center"/>
          </w:tcPr>
          <w:p w14:paraId="59C178D8">
            <w:pPr>
              <w:pStyle w:val="92"/>
              <w:rPr>
                <w:color w:val="auto"/>
                <w:highlight w:val="none"/>
                <w:u w:val="none"/>
              </w:rPr>
            </w:pPr>
            <w:r>
              <w:rPr>
                <w:color w:val="auto"/>
                <w:highlight w:val="none"/>
                <w:u w:val="none"/>
              </w:rPr>
              <w:t>900-039-49</w:t>
            </w:r>
          </w:p>
        </w:tc>
        <w:tc>
          <w:tcPr>
            <w:tcW w:w="1498" w:type="pct"/>
            <w:vMerge w:val="restart"/>
            <w:shd w:val="clear" w:color="auto" w:fill="auto"/>
            <w:vAlign w:val="center"/>
          </w:tcPr>
          <w:p w14:paraId="6E45CFC8">
            <w:pPr>
              <w:pStyle w:val="92"/>
              <w:rPr>
                <w:color w:val="auto"/>
                <w:highlight w:val="none"/>
                <w:u w:val="none"/>
              </w:rPr>
            </w:pPr>
            <w:r>
              <w:rPr>
                <w:color w:val="auto"/>
                <w:highlight w:val="none"/>
                <w:u w:val="none"/>
              </w:rPr>
              <w:t>委托有危险废物</w:t>
            </w:r>
            <w:r>
              <w:rPr>
                <w:rFonts w:hint="eastAsia"/>
                <w:color w:val="auto"/>
                <w:highlight w:val="none"/>
                <w:u w:val="none"/>
              </w:rPr>
              <w:t>处置</w:t>
            </w:r>
          </w:p>
          <w:p w14:paraId="07411948">
            <w:pPr>
              <w:pStyle w:val="92"/>
              <w:rPr>
                <w:color w:val="auto"/>
                <w:highlight w:val="none"/>
                <w:u w:val="none"/>
              </w:rPr>
            </w:pPr>
            <w:r>
              <w:rPr>
                <w:color w:val="auto"/>
                <w:highlight w:val="none"/>
                <w:u w:val="none"/>
              </w:rPr>
              <w:t>资质的单位处理</w:t>
            </w:r>
          </w:p>
        </w:tc>
      </w:tr>
      <w:tr w14:paraId="7CB6E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5651B398">
            <w:pPr>
              <w:pStyle w:val="92"/>
              <w:rPr>
                <w:color w:val="auto"/>
                <w:highlight w:val="none"/>
                <w:u w:val="none"/>
              </w:rPr>
            </w:pPr>
          </w:p>
        </w:tc>
        <w:tc>
          <w:tcPr>
            <w:tcW w:w="1000" w:type="pct"/>
            <w:vMerge w:val="continue"/>
            <w:shd w:val="clear" w:color="auto" w:fill="auto"/>
            <w:vAlign w:val="center"/>
          </w:tcPr>
          <w:p w14:paraId="1763AE81">
            <w:pPr>
              <w:pStyle w:val="92"/>
              <w:rPr>
                <w:color w:val="auto"/>
                <w:highlight w:val="none"/>
                <w:u w:val="none"/>
              </w:rPr>
            </w:pPr>
          </w:p>
        </w:tc>
        <w:tc>
          <w:tcPr>
            <w:tcW w:w="875" w:type="pct"/>
            <w:vMerge w:val="continue"/>
            <w:shd w:val="clear" w:color="auto" w:fill="auto"/>
            <w:vAlign w:val="center"/>
          </w:tcPr>
          <w:p w14:paraId="662A4DFF">
            <w:pPr>
              <w:pStyle w:val="92"/>
              <w:rPr>
                <w:color w:val="auto"/>
                <w:highlight w:val="none"/>
                <w:u w:val="none"/>
              </w:rPr>
            </w:pPr>
          </w:p>
        </w:tc>
        <w:tc>
          <w:tcPr>
            <w:tcW w:w="875" w:type="pct"/>
            <w:vAlign w:val="center"/>
          </w:tcPr>
          <w:p w14:paraId="7FFF263F">
            <w:pPr>
              <w:pStyle w:val="92"/>
              <w:rPr>
                <w:color w:val="auto"/>
                <w:highlight w:val="none"/>
                <w:u w:val="none"/>
              </w:rPr>
            </w:pPr>
            <w:r>
              <w:rPr>
                <w:color w:val="auto"/>
                <w:highlight w:val="none"/>
                <w:u w:val="none"/>
              </w:rPr>
              <w:t>261-084-45</w:t>
            </w:r>
          </w:p>
        </w:tc>
        <w:tc>
          <w:tcPr>
            <w:tcW w:w="1498" w:type="pct"/>
            <w:vMerge w:val="continue"/>
            <w:shd w:val="clear" w:color="auto" w:fill="auto"/>
            <w:vAlign w:val="center"/>
          </w:tcPr>
          <w:p w14:paraId="7A6B2D54">
            <w:pPr>
              <w:pStyle w:val="92"/>
              <w:rPr>
                <w:color w:val="auto"/>
                <w:highlight w:val="none"/>
                <w:u w:val="none"/>
              </w:rPr>
            </w:pPr>
          </w:p>
        </w:tc>
      </w:tr>
      <w:tr w14:paraId="7F61F7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0F9BC8AA">
            <w:pPr>
              <w:pStyle w:val="92"/>
              <w:rPr>
                <w:color w:val="auto"/>
                <w:highlight w:val="none"/>
                <w:u w:val="none"/>
              </w:rPr>
            </w:pPr>
          </w:p>
        </w:tc>
        <w:tc>
          <w:tcPr>
            <w:tcW w:w="1000" w:type="pct"/>
            <w:shd w:val="clear" w:color="auto" w:fill="auto"/>
            <w:vAlign w:val="center"/>
          </w:tcPr>
          <w:p w14:paraId="666DE2B8">
            <w:pPr>
              <w:pStyle w:val="92"/>
              <w:rPr>
                <w:color w:val="auto"/>
                <w:highlight w:val="none"/>
                <w:u w:val="none"/>
              </w:rPr>
            </w:pPr>
            <w:r>
              <w:rPr>
                <w:rFonts w:hint="eastAsia"/>
                <w:color w:val="auto"/>
                <w:highlight w:val="none"/>
                <w:u w:val="none"/>
              </w:rPr>
              <w:t>废弃化学品包装桶或袋</w:t>
            </w:r>
          </w:p>
        </w:tc>
        <w:tc>
          <w:tcPr>
            <w:tcW w:w="875" w:type="pct"/>
            <w:shd w:val="clear" w:color="auto" w:fill="auto"/>
            <w:vAlign w:val="center"/>
          </w:tcPr>
          <w:p w14:paraId="209F9931">
            <w:pPr>
              <w:pStyle w:val="92"/>
              <w:rPr>
                <w:color w:val="auto"/>
                <w:highlight w:val="none"/>
                <w:u w:val="none"/>
              </w:rPr>
            </w:pPr>
          </w:p>
        </w:tc>
        <w:tc>
          <w:tcPr>
            <w:tcW w:w="875" w:type="pct"/>
            <w:vAlign w:val="center"/>
          </w:tcPr>
          <w:p w14:paraId="25C4B94E">
            <w:pPr>
              <w:pStyle w:val="92"/>
              <w:rPr>
                <w:color w:val="auto"/>
                <w:highlight w:val="none"/>
                <w:u w:val="none"/>
              </w:rPr>
            </w:pPr>
            <w:r>
              <w:rPr>
                <w:color w:val="auto"/>
                <w:highlight w:val="none"/>
                <w:u w:val="none"/>
              </w:rPr>
              <w:t>900-041-49</w:t>
            </w:r>
          </w:p>
        </w:tc>
        <w:tc>
          <w:tcPr>
            <w:tcW w:w="1498" w:type="pct"/>
            <w:vMerge w:val="continue"/>
            <w:shd w:val="clear" w:color="auto" w:fill="auto"/>
            <w:vAlign w:val="center"/>
          </w:tcPr>
          <w:p w14:paraId="0705AA46">
            <w:pPr>
              <w:pStyle w:val="92"/>
              <w:rPr>
                <w:color w:val="auto"/>
                <w:highlight w:val="none"/>
                <w:u w:val="none"/>
              </w:rPr>
            </w:pPr>
          </w:p>
        </w:tc>
      </w:tr>
      <w:tr w14:paraId="41604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6C5178B5">
            <w:pPr>
              <w:pStyle w:val="92"/>
              <w:rPr>
                <w:color w:val="auto"/>
                <w:highlight w:val="none"/>
                <w:u w:val="none"/>
              </w:rPr>
            </w:pPr>
          </w:p>
        </w:tc>
        <w:tc>
          <w:tcPr>
            <w:tcW w:w="1000" w:type="pct"/>
            <w:shd w:val="clear" w:color="auto" w:fill="auto"/>
            <w:vAlign w:val="center"/>
          </w:tcPr>
          <w:p w14:paraId="0C90B70F">
            <w:pPr>
              <w:pStyle w:val="92"/>
              <w:rPr>
                <w:color w:val="auto"/>
                <w:highlight w:val="none"/>
                <w:u w:val="none"/>
              </w:rPr>
            </w:pPr>
            <w:r>
              <w:rPr>
                <w:color w:val="auto"/>
                <w:highlight w:val="none"/>
                <w:u w:val="none"/>
              </w:rPr>
              <w:t>机修废油</w:t>
            </w:r>
          </w:p>
        </w:tc>
        <w:tc>
          <w:tcPr>
            <w:tcW w:w="875" w:type="pct"/>
            <w:shd w:val="clear" w:color="auto" w:fill="auto"/>
            <w:vAlign w:val="center"/>
          </w:tcPr>
          <w:p w14:paraId="26CB854E">
            <w:pPr>
              <w:pStyle w:val="92"/>
              <w:rPr>
                <w:color w:val="auto"/>
                <w:highlight w:val="none"/>
                <w:u w:val="none"/>
              </w:rPr>
            </w:pPr>
          </w:p>
        </w:tc>
        <w:tc>
          <w:tcPr>
            <w:tcW w:w="875" w:type="pct"/>
            <w:vAlign w:val="center"/>
          </w:tcPr>
          <w:p w14:paraId="68C5C66B">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0659E2D9">
            <w:pPr>
              <w:pStyle w:val="92"/>
              <w:rPr>
                <w:color w:val="auto"/>
                <w:highlight w:val="none"/>
                <w:u w:val="none"/>
              </w:rPr>
            </w:pPr>
          </w:p>
        </w:tc>
      </w:tr>
      <w:tr w14:paraId="0C87ED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25C9E351">
            <w:pPr>
              <w:pStyle w:val="92"/>
              <w:rPr>
                <w:color w:val="auto"/>
                <w:highlight w:val="none"/>
                <w:u w:val="none"/>
              </w:rPr>
            </w:pPr>
          </w:p>
        </w:tc>
        <w:tc>
          <w:tcPr>
            <w:tcW w:w="1000" w:type="pct"/>
            <w:shd w:val="clear" w:color="auto" w:fill="auto"/>
            <w:vAlign w:val="center"/>
          </w:tcPr>
          <w:p w14:paraId="4D225039">
            <w:pPr>
              <w:pStyle w:val="92"/>
              <w:rPr>
                <w:color w:val="auto"/>
                <w:highlight w:val="none"/>
                <w:u w:val="none"/>
              </w:rPr>
            </w:pPr>
            <w:r>
              <w:rPr>
                <w:rFonts w:hint="eastAsia"/>
                <w:color w:val="auto"/>
                <w:highlight w:val="none"/>
                <w:u w:val="none"/>
              </w:rPr>
              <w:t>废导热油</w:t>
            </w:r>
          </w:p>
        </w:tc>
        <w:tc>
          <w:tcPr>
            <w:tcW w:w="875" w:type="pct"/>
            <w:shd w:val="clear" w:color="auto" w:fill="auto"/>
            <w:vAlign w:val="center"/>
          </w:tcPr>
          <w:p w14:paraId="386C8495">
            <w:pPr>
              <w:pStyle w:val="92"/>
              <w:rPr>
                <w:color w:val="auto"/>
                <w:highlight w:val="none"/>
                <w:u w:val="none"/>
              </w:rPr>
            </w:pPr>
          </w:p>
        </w:tc>
        <w:tc>
          <w:tcPr>
            <w:tcW w:w="875" w:type="pct"/>
            <w:vAlign w:val="center"/>
          </w:tcPr>
          <w:p w14:paraId="362714DB">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1457EF67">
            <w:pPr>
              <w:pStyle w:val="92"/>
              <w:rPr>
                <w:color w:val="auto"/>
                <w:highlight w:val="none"/>
                <w:u w:val="none"/>
              </w:rPr>
            </w:pPr>
          </w:p>
        </w:tc>
      </w:tr>
      <w:tr w14:paraId="31074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55B7D1F5">
            <w:pPr>
              <w:pStyle w:val="92"/>
              <w:rPr>
                <w:color w:val="auto"/>
                <w:highlight w:val="none"/>
                <w:u w:val="none"/>
              </w:rPr>
            </w:pPr>
          </w:p>
        </w:tc>
        <w:tc>
          <w:tcPr>
            <w:tcW w:w="1000" w:type="pct"/>
            <w:shd w:val="clear" w:color="auto" w:fill="auto"/>
            <w:vAlign w:val="center"/>
          </w:tcPr>
          <w:p w14:paraId="07FE9899">
            <w:pPr>
              <w:pStyle w:val="92"/>
              <w:rPr>
                <w:color w:val="auto"/>
                <w:highlight w:val="none"/>
                <w:u w:val="none"/>
              </w:rPr>
            </w:pPr>
            <w:r>
              <w:rPr>
                <w:rFonts w:hint="eastAsia"/>
                <w:color w:val="auto"/>
                <w:highlight w:val="none"/>
                <w:u w:val="none"/>
              </w:rPr>
              <w:t>废氮封油</w:t>
            </w:r>
          </w:p>
        </w:tc>
        <w:tc>
          <w:tcPr>
            <w:tcW w:w="875" w:type="pct"/>
            <w:shd w:val="clear" w:color="auto" w:fill="auto"/>
            <w:vAlign w:val="center"/>
          </w:tcPr>
          <w:p w14:paraId="4D30CAF9">
            <w:pPr>
              <w:pStyle w:val="92"/>
              <w:rPr>
                <w:color w:val="auto"/>
                <w:highlight w:val="none"/>
                <w:u w:val="none"/>
              </w:rPr>
            </w:pPr>
          </w:p>
        </w:tc>
        <w:tc>
          <w:tcPr>
            <w:tcW w:w="875" w:type="pct"/>
            <w:vAlign w:val="center"/>
          </w:tcPr>
          <w:p w14:paraId="63E77E6F">
            <w:pPr>
              <w:pStyle w:val="92"/>
              <w:rPr>
                <w:color w:val="auto"/>
                <w:highlight w:val="none"/>
                <w:u w:val="none"/>
              </w:rPr>
            </w:pPr>
            <w:r>
              <w:rPr>
                <w:color w:val="auto"/>
                <w:highlight w:val="none"/>
                <w:u w:val="none"/>
              </w:rPr>
              <w:t>900-249-08</w:t>
            </w:r>
          </w:p>
        </w:tc>
        <w:tc>
          <w:tcPr>
            <w:tcW w:w="1498" w:type="pct"/>
            <w:vMerge w:val="continue"/>
            <w:shd w:val="clear" w:color="auto" w:fill="auto"/>
            <w:vAlign w:val="center"/>
          </w:tcPr>
          <w:p w14:paraId="42EA4935">
            <w:pPr>
              <w:pStyle w:val="92"/>
              <w:rPr>
                <w:color w:val="auto"/>
                <w:highlight w:val="none"/>
                <w:u w:val="none"/>
              </w:rPr>
            </w:pPr>
          </w:p>
        </w:tc>
      </w:tr>
      <w:tr w14:paraId="06ECB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52" w:type="pct"/>
            <w:vMerge w:val="continue"/>
            <w:shd w:val="clear" w:color="auto" w:fill="auto"/>
            <w:vAlign w:val="center"/>
          </w:tcPr>
          <w:p w14:paraId="7FCC6392">
            <w:pPr>
              <w:pStyle w:val="92"/>
              <w:rPr>
                <w:color w:val="auto"/>
                <w:highlight w:val="none"/>
                <w:u w:val="none"/>
              </w:rPr>
            </w:pPr>
          </w:p>
        </w:tc>
        <w:tc>
          <w:tcPr>
            <w:tcW w:w="1000" w:type="pct"/>
            <w:shd w:val="clear" w:color="auto" w:fill="auto"/>
            <w:vAlign w:val="center"/>
          </w:tcPr>
          <w:p w14:paraId="5F14C97B">
            <w:pPr>
              <w:pStyle w:val="92"/>
              <w:rPr>
                <w:color w:val="auto"/>
                <w:highlight w:val="none"/>
                <w:u w:val="none"/>
              </w:rPr>
            </w:pPr>
            <w:r>
              <w:rPr>
                <w:rFonts w:hint="eastAsia"/>
                <w:color w:val="auto"/>
                <w:highlight w:val="none"/>
                <w:u w:val="none"/>
              </w:rPr>
              <w:t>废劳保用品、废抹布</w:t>
            </w:r>
          </w:p>
        </w:tc>
        <w:tc>
          <w:tcPr>
            <w:tcW w:w="875" w:type="pct"/>
            <w:shd w:val="clear" w:color="auto" w:fill="auto"/>
            <w:vAlign w:val="center"/>
          </w:tcPr>
          <w:p w14:paraId="3B824DD3">
            <w:pPr>
              <w:pStyle w:val="92"/>
              <w:rPr>
                <w:color w:val="auto"/>
                <w:highlight w:val="none"/>
                <w:u w:val="none"/>
              </w:rPr>
            </w:pPr>
          </w:p>
        </w:tc>
        <w:tc>
          <w:tcPr>
            <w:tcW w:w="875" w:type="pct"/>
            <w:vAlign w:val="center"/>
          </w:tcPr>
          <w:p w14:paraId="10F05ED6">
            <w:pPr>
              <w:pStyle w:val="92"/>
              <w:rPr>
                <w:color w:val="auto"/>
                <w:highlight w:val="none"/>
                <w:u w:val="none"/>
              </w:rPr>
            </w:pPr>
            <w:r>
              <w:rPr>
                <w:color w:val="auto"/>
                <w:highlight w:val="none"/>
                <w:u w:val="none"/>
              </w:rPr>
              <w:t>900-041-49</w:t>
            </w:r>
          </w:p>
        </w:tc>
        <w:tc>
          <w:tcPr>
            <w:tcW w:w="1498" w:type="pct"/>
            <w:shd w:val="clear" w:color="auto" w:fill="auto"/>
            <w:vAlign w:val="center"/>
          </w:tcPr>
          <w:p w14:paraId="707300A5">
            <w:pPr>
              <w:pStyle w:val="92"/>
              <w:rPr>
                <w:color w:val="auto"/>
                <w:highlight w:val="none"/>
                <w:u w:val="none"/>
              </w:rPr>
            </w:pPr>
            <w:bookmarkStart w:id="536" w:name="OLE_LINK27"/>
            <w:r>
              <w:rPr>
                <w:color w:val="auto"/>
                <w:highlight w:val="none"/>
                <w:u w:val="none"/>
              </w:rPr>
              <w:t>在未分类收集的情况下，全过程不按危险废物管理，按一般固废处置。</w:t>
            </w:r>
            <w:bookmarkEnd w:id="536"/>
          </w:p>
        </w:tc>
      </w:tr>
      <w:tr w14:paraId="5B730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4129E093">
            <w:pPr>
              <w:pStyle w:val="92"/>
              <w:rPr>
                <w:color w:val="auto"/>
                <w:highlight w:val="none"/>
                <w:u w:val="none"/>
              </w:rPr>
            </w:pPr>
            <w:r>
              <w:rPr>
                <w:color w:val="auto"/>
                <w:highlight w:val="none"/>
                <w:u w:val="none"/>
              </w:rPr>
              <w:t>小计</w:t>
            </w:r>
          </w:p>
        </w:tc>
        <w:tc>
          <w:tcPr>
            <w:tcW w:w="875" w:type="pct"/>
            <w:shd w:val="clear" w:color="auto" w:fill="auto"/>
            <w:vAlign w:val="center"/>
          </w:tcPr>
          <w:p w14:paraId="7E992DAE">
            <w:pPr>
              <w:pStyle w:val="92"/>
              <w:rPr>
                <w:rFonts w:hint="default" w:eastAsia="宋体"/>
                <w:color w:val="auto"/>
                <w:highlight w:val="none"/>
                <w:u w:val="none"/>
                <w:lang w:val="en-US" w:eastAsia="zh-CN"/>
              </w:rPr>
            </w:pPr>
          </w:p>
        </w:tc>
        <w:tc>
          <w:tcPr>
            <w:tcW w:w="875" w:type="pct"/>
            <w:vAlign w:val="center"/>
          </w:tcPr>
          <w:p w14:paraId="557A7AF3">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56CB972A">
            <w:pPr>
              <w:pStyle w:val="92"/>
              <w:rPr>
                <w:color w:val="auto"/>
                <w:highlight w:val="none"/>
                <w:u w:val="none"/>
              </w:rPr>
            </w:pPr>
            <w:r>
              <w:rPr>
                <w:color w:val="auto"/>
                <w:highlight w:val="none"/>
                <w:u w:val="none"/>
              </w:rPr>
              <w:t>/</w:t>
            </w:r>
          </w:p>
        </w:tc>
      </w:tr>
      <w:tr w14:paraId="30659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67BD5AE5">
            <w:pPr>
              <w:pStyle w:val="92"/>
              <w:rPr>
                <w:color w:val="auto"/>
                <w:highlight w:val="none"/>
                <w:u w:val="none"/>
              </w:rPr>
            </w:pPr>
            <w:r>
              <w:rPr>
                <w:color w:val="auto"/>
                <w:highlight w:val="none"/>
                <w:u w:val="none"/>
              </w:rPr>
              <w:t>生活垃圾</w:t>
            </w:r>
          </w:p>
        </w:tc>
        <w:tc>
          <w:tcPr>
            <w:tcW w:w="875" w:type="pct"/>
            <w:shd w:val="clear" w:color="auto" w:fill="auto"/>
            <w:vAlign w:val="center"/>
          </w:tcPr>
          <w:p w14:paraId="6654FD06">
            <w:pPr>
              <w:pStyle w:val="92"/>
              <w:rPr>
                <w:color w:val="auto"/>
                <w:highlight w:val="none"/>
                <w:u w:val="none"/>
              </w:rPr>
            </w:pPr>
          </w:p>
        </w:tc>
        <w:tc>
          <w:tcPr>
            <w:tcW w:w="875" w:type="pct"/>
            <w:vAlign w:val="center"/>
          </w:tcPr>
          <w:p w14:paraId="657BB65B">
            <w:pPr>
              <w:pStyle w:val="92"/>
              <w:rPr>
                <w:color w:val="auto"/>
                <w:highlight w:val="none"/>
                <w:u w:val="none"/>
              </w:rPr>
            </w:pPr>
            <w:r>
              <w:rPr>
                <w:rFonts w:hint="eastAsia"/>
                <w:color w:val="auto"/>
                <w:highlight w:val="none"/>
                <w:u w:val="none"/>
              </w:rPr>
              <w:t>900-099-S64</w:t>
            </w:r>
          </w:p>
        </w:tc>
        <w:tc>
          <w:tcPr>
            <w:tcW w:w="1498" w:type="pct"/>
            <w:shd w:val="clear" w:color="auto" w:fill="auto"/>
            <w:vAlign w:val="center"/>
          </w:tcPr>
          <w:p w14:paraId="560F9F78">
            <w:pPr>
              <w:pStyle w:val="92"/>
              <w:rPr>
                <w:color w:val="auto"/>
                <w:highlight w:val="none"/>
                <w:u w:val="none"/>
              </w:rPr>
            </w:pPr>
            <w:r>
              <w:rPr>
                <w:color w:val="auto"/>
                <w:highlight w:val="none"/>
                <w:u w:val="none"/>
              </w:rPr>
              <w:t>委托环卫部门清运</w:t>
            </w:r>
          </w:p>
        </w:tc>
      </w:tr>
      <w:tr w14:paraId="56A3D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43D234CA">
            <w:pPr>
              <w:pStyle w:val="92"/>
              <w:rPr>
                <w:color w:val="auto"/>
                <w:highlight w:val="none"/>
                <w:u w:val="none"/>
              </w:rPr>
            </w:pPr>
            <w:r>
              <w:rPr>
                <w:color w:val="auto"/>
                <w:highlight w:val="none"/>
                <w:u w:val="none"/>
              </w:rPr>
              <w:t>小计</w:t>
            </w:r>
          </w:p>
        </w:tc>
        <w:tc>
          <w:tcPr>
            <w:tcW w:w="875" w:type="pct"/>
            <w:shd w:val="clear" w:color="auto" w:fill="auto"/>
            <w:vAlign w:val="center"/>
          </w:tcPr>
          <w:p w14:paraId="72400E75">
            <w:pPr>
              <w:pStyle w:val="92"/>
              <w:rPr>
                <w:rFonts w:eastAsia="等线"/>
                <w:color w:val="auto"/>
                <w:highlight w:val="none"/>
                <w:u w:val="none"/>
              </w:rPr>
            </w:pPr>
          </w:p>
        </w:tc>
        <w:tc>
          <w:tcPr>
            <w:tcW w:w="875" w:type="pct"/>
            <w:vAlign w:val="center"/>
          </w:tcPr>
          <w:p w14:paraId="1E779FFB">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6E41353A">
            <w:pPr>
              <w:pStyle w:val="92"/>
              <w:rPr>
                <w:color w:val="auto"/>
                <w:highlight w:val="none"/>
                <w:u w:val="none"/>
              </w:rPr>
            </w:pPr>
            <w:r>
              <w:rPr>
                <w:color w:val="auto"/>
                <w:highlight w:val="none"/>
                <w:u w:val="none"/>
              </w:rPr>
              <w:t>/</w:t>
            </w:r>
          </w:p>
        </w:tc>
      </w:tr>
      <w:tr w14:paraId="248637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52" w:type="pct"/>
            <w:gridSpan w:val="2"/>
            <w:shd w:val="clear" w:color="auto" w:fill="auto"/>
            <w:vAlign w:val="center"/>
          </w:tcPr>
          <w:p w14:paraId="65C110BB">
            <w:pPr>
              <w:pStyle w:val="92"/>
              <w:rPr>
                <w:color w:val="auto"/>
                <w:highlight w:val="none"/>
                <w:u w:val="none"/>
              </w:rPr>
            </w:pPr>
            <w:r>
              <w:rPr>
                <w:color w:val="auto"/>
                <w:highlight w:val="none"/>
                <w:u w:val="none"/>
              </w:rPr>
              <w:t>合计</w:t>
            </w:r>
          </w:p>
        </w:tc>
        <w:tc>
          <w:tcPr>
            <w:tcW w:w="875" w:type="pct"/>
            <w:shd w:val="clear" w:color="auto" w:fill="auto"/>
            <w:vAlign w:val="center"/>
          </w:tcPr>
          <w:p w14:paraId="3AABC07B">
            <w:pPr>
              <w:pStyle w:val="92"/>
              <w:rPr>
                <w:rFonts w:hint="default" w:eastAsia="等线"/>
                <w:color w:val="auto"/>
                <w:highlight w:val="none"/>
                <w:u w:val="none"/>
                <w:lang w:val="en-US" w:eastAsia="zh-CN"/>
              </w:rPr>
            </w:pPr>
          </w:p>
        </w:tc>
        <w:tc>
          <w:tcPr>
            <w:tcW w:w="875" w:type="pct"/>
            <w:vAlign w:val="center"/>
          </w:tcPr>
          <w:p w14:paraId="6A0413C2">
            <w:pPr>
              <w:pStyle w:val="92"/>
              <w:rPr>
                <w:color w:val="auto"/>
                <w:highlight w:val="none"/>
                <w:u w:val="none"/>
              </w:rPr>
            </w:pPr>
            <w:r>
              <w:rPr>
                <w:rFonts w:hint="eastAsia"/>
                <w:color w:val="auto"/>
                <w:highlight w:val="none"/>
                <w:u w:val="none"/>
              </w:rPr>
              <w:t>/</w:t>
            </w:r>
          </w:p>
        </w:tc>
        <w:tc>
          <w:tcPr>
            <w:tcW w:w="1498" w:type="pct"/>
            <w:shd w:val="clear" w:color="auto" w:fill="auto"/>
            <w:vAlign w:val="center"/>
          </w:tcPr>
          <w:p w14:paraId="3976FAF4">
            <w:pPr>
              <w:pStyle w:val="92"/>
              <w:rPr>
                <w:color w:val="auto"/>
                <w:highlight w:val="none"/>
                <w:u w:val="none"/>
              </w:rPr>
            </w:pPr>
            <w:r>
              <w:rPr>
                <w:color w:val="auto"/>
                <w:highlight w:val="none"/>
                <w:u w:val="none"/>
              </w:rPr>
              <w:t>/</w:t>
            </w:r>
          </w:p>
        </w:tc>
      </w:tr>
    </w:tbl>
    <w:p w14:paraId="4C1314A2">
      <w:pPr>
        <w:pStyle w:val="6"/>
        <w:spacing w:before="156" w:after="156"/>
        <w:rPr>
          <w:color w:val="auto"/>
          <w:highlight w:val="none"/>
          <w:u w:val="none"/>
          <w:lang w:val="en-US"/>
        </w:rPr>
      </w:pPr>
      <w:r>
        <w:rPr>
          <w:rFonts w:hint="eastAsia"/>
          <w:color w:val="auto"/>
          <w:highlight w:val="none"/>
          <w:u w:val="none"/>
          <w:lang w:val="en-US"/>
        </w:rPr>
        <w:t>固体废物分类处置措施</w:t>
      </w:r>
    </w:p>
    <w:p w14:paraId="130B5F73">
      <w:pPr>
        <w:pStyle w:val="981"/>
        <w:rPr>
          <w:rFonts w:hint="eastAsia"/>
          <w:color w:val="auto"/>
          <w:highlight w:val="none"/>
          <w:u w:val="none"/>
          <w:lang w:val="en-US"/>
        </w:rPr>
      </w:pPr>
      <w:r>
        <w:rPr>
          <w:rFonts w:hint="eastAsia"/>
          <w:color w:val="auto"/>
          <w:highlight w:val="none"/>
          <w:u w:val="none"/>
          <w:lang w:val="en-US"/>
        </w:rPr>
        <w:t>根据固体废物“减量化、资源化、无害化”的处置原则，根据固体废物成分、性质，本项目运行生产过程中产生的固体废物分别采取以下措施处理</w:t>
      </w:r>
      <w:r>
        <w:rPr>
          <w:color w:val="auto"/>
          <w:highlight w:val="none"/>
          <w:u w:val="none"/>
          <w:lang w:val="en-US"/>
        </w:rPr>
        <w:t>/处置</w:t>
      </w:r>
    </w:p>
    <w:p w14:paraId="36597507">
      <w:pPr>
        <w:ind w:firstLine="482"/>
        <w:rPr>
          <w:rFonts w:hint="eastAsia"/>
          <w:b/>
          <w:bCs/>
          <w:color w:val="auto"/>
          <w:highlight w:val="none"/>
          <w:u w:val="none"/>
          <w:lang w:val="en-US"/>
        </w:rPr>
      </w:pPr>
      <w:r>
        <w:rPr>
          <w:rFonts w:hint="eastAsia"/>
          <w:b/>
          <w:bCs/>
          <w:color w:val="auto"/>
          <w:highlight w:val="none"/>
          <w:u w:val="none"/>
          <w:lang w:val="en-US"/>
        </w:rPr>
        <w:t>（1）万华环保科技公司能量回收装置焚烧处理</w:t>
      </w:r>
    </w:p>
    <w:p w14:paraId="57159FCD">
      <w:r>
        <w:rPr>
          <w:rFonts w:hint="eastAsia"/>
        </w:rPr>
        <w:t>氢化单元产生的轻油，主要成分为焦油、甲基环己烷、甲基环己醇、</w:t>
      </w:r>
      <w:r>
        <w:t>TDA、硫酸钠</w:t>
      </w:r>
      <w:r>
        <w:rPr>
          <w:rFonts w:hint="eastAsia"/>
        </w:rPr>
        <w:t>盐</w:t>
      </w:r>
      <w:r>
        <w:t>；光化单元产生的TDI废液，主要成分为TDI及有机杂质。</w:t>
      </w:r>
    </w:p>
    <w:p w14:paraId="2294B39B">
      <w:pPr>
        <w:pStyle w:val="981"/>
      </w:pPr>
      <w:r>
        <w:rPr>
          <w:rFonts w:hint="eastAsia"/>
        </w:rPr>
        <w:t>在上述生产过程产生的危险废物，轻油属于《国家危险废物名录》（</w:t>
      </w:r>
      <w:r>
        <w:t>2021</w:t>
      </w:r>
      <w:r>
        <w:rPr>
          <w:rFonts w:hint="eastAsia"/>
        </w:rPr>
        <w:t>）</w:t>
      </w:r>
      <w:r>
        <w:t>中HW11</w:t>
      </w:r>
      <w:r>
        <w:rPr>
          <w:rFonts w:hint="eastAsia"/>
        </w:rPr>
        <w:t>（</w:t>
      </w:r>
      <w:r>
        <w:t>精</w:t>
      </w:r>
      <w:r>
        <w:rPr>
          <w:rFonts w:hint="eastAsia"/>
        </w:rPr>
        <w:t>（蒸）馏残渣）</w:t>
      </w:r>
      <w:r>
        <w:t>类别下代码为261-022-11的“二硝基甲苯加氢法生产甲苯二胺过程中产品</w:t>
      </w:r>
      <w:r>
        <w:rPr>
          <w:rFonts w:hint="eastAsia"/>
        </w:rPr>
        <w:t>精制产生的轻馏分”，危险特性为“</w:t>
      </w:r>
      <w:r>
        <w:t>T"</w:t>
      </w:r>
      <w:r>
        <w:rPr>
          <w:rFonts w:hint="eastAsia"/>
        </w:rPr>
        <w:t>（</w:t>
      </w:r>
      <w:r>
        <w:t>毒性</w:t>
      </w:r>
      <w:r>
        <w:rPr>
          <w:rFonts w:hint="eastAsia"/>
        </w:rPr>
        <w:t>）</w:t>
      </w:r>
      <w:r>
        <w:t>；TDI废液属于《国家危险废</w:t>
      </w:r>
      <w:r>
        <w:rPr>
          <w:rFonts w:hint="eastAsia"/>
        </w:rPr>
        <w:t>物名录》（</w:t>
      </w:r>
      <w:r>
        <w:t>2021</w:t>
      </w:r>
      <w:r>
        <w:rPr>
          <w:rFonts w:hint="eastAsia"/>
        </w:rPr>
        <w:t>）</w:t>
      </w:r>
      <w:r>
        <w:t>中HW11</w:t>
      </w:r>
      <w:r>
        <w:rPr>
          <w:rFonts w:hint="eastAsia"/>
        </w:rPr>
        <w:t>（</w:t>
      </w:r>
      <w:r>
        <w:t>精</w:t>
      </w:r>
      <w:r>
        <w:rPr>
          <w:rFonts w:hint="eastAsia"/>
        </w:rPr>
        <w:t>（蒸）馏残渣）</w:t>
      </w:r>
      <w:r>
        <w:t>类别下代码为261-016-11的“甲苯二异氰酸酯</w:t>
      </w:r>
      <w:r>
        <w:rPr>
          <w:rFonts w:hint="eastAsia"/>
        </w:rPr>
        <w:t>生产过程中产生的蒸馏残渣和离心分离残渣”，危险特性为“</w:t>
      </w:r>
      <w:r>
        <w:t>T"</w:t>
      </w:r>
      <w:r>
        <w:rPr>
          <w:rFonts w:hint="eastAsia"/>
        </w:rPr>
        <w:t>（</w:t>
      </w:r>
      <w:r>
        <w:t>毒性</w:t>
      </w:r>
      <w:r>
        <w:rPr>
          <w:rFonts w:hint="eastAsia"/>
        </w:rPr>
        <w:t>）</w:t>
      </w:r>
      <w:r>
        <w:t>。</w:t>
      </w:r>
    </w:p>
    <w:p w14:paraId="78C9D65E">
      <w:pPr>
        <w:pStyle w:val="981"/>
        <w:rPr>
          <w:rFonts w:hint="eastAsia"/>
          <w:color w:val="auto"/>
          <w:highlight w:val="none"/>
          <w:u w:val="none"/>
        </w:rPr>
      </w:pPr>
      <w:r>
        <w:rPr>
          <w:rFonts w:hint="eastAsia"/>
        </w:rPr>
        <w:t>上述两类危险废物均委托万华环保科技公司</w:t>
      </w:r>
      <w:r>
        <w:t>能量回收装置焚烧处置</w:t>
      </w:r>
      <w:r>
        <w:rPr>
          <w:rFonts w:hint="eastAsia"/>
        </w:rPr>
        <w:t>（已于2</w:t>
      </w:r>
      <w:r>
        <w:t>02</w:t>
      </w:r>
      <w:r>
        <w:rPr>
          <w:rFonts w:hint="eastAsia"/>
        </w:rPr>
        <w:t>4年5月取得危险废物经营许可证，证书编号：</w:t>
      </w:r>
      <w:r>
        <w:t>FZ0181000</w:t>
      </w:r>
      <w:r>
        <w:rPr>
          <w:rFonts w:hint="eastAsia"/>
        </w:rPr>
        <w:t>4，见附件1</w:t>
      </w:r>
      <w:r>
        <w:rPr>
          <w:rFonts w:hint="eastAsia"/>
          <w:lang w:val="en-US"/>
        </w:rPr>
        <w:t>3</w:t>
      </w:r>
      <w:r>
        <w:rPr>
          <w:rFonts w:hint="eastAsia"/>
        </w:rPr>
        <w:t>）</w:t>
      </w:r>
      <w:r>
        <w:rPr>
          <w:color w:val="auto"/>
          <w:highlight w:val="none"/>
          <w:u w:val="none"/>
        </w:rPr>
        <w:t>。</w:t>
      </w:r>
    </w:p>
    <w:p w14:paraId="7231DD7D">
      <w:pPr>
        <w:ind w:firstLine="482"/>
        <w:rPr>
          <w:rFonts w:hint="eastAsia"/>
          <w:b/>
          <w:bCs/>
          <w:color w:val="auto"/>
          <w:highlight w:val="none"/>
          <w:u w:val="none"/>
          <w:lang w:val="en-US"/>
        </w:rPr>
      </w:pPr>
      <w:r>
        <w:rPr>
          <w:rFonts w:hint="eastAsia"/>
          <w:b/>
          <w:bCs/>
          <w:color w:val="auto"/>
          <w:highlight w:val="none"/>
          <w:u w:val="none"/>
          <w:lang w:val="en-US"/>
        </w:rPr>
        <w:t>（</w:t>
      </w:r>
      <w:r>
        <w:rPr>
          <w:b/>
          <w:bCs/>
          <w:color w:val="auto"/>
          <w:highlight w:val="none"/>
          <w:u w:val="none"/>
          <w:lang w:val="en-US"/>
        </w:rPr>
        <w:t>2</w:t>
      </w:r>
      <w:r>
        <w:rPr>
          <w:rFonts w:hint="eastAsia"/>
          <w:b/>
          <w:bCs/>
          <w:color w:val="auto"/>
          <w:highlight w:val="none"/>
          <w:u w:val="none"/>
          <w:lang w:val="en-US"/>
        </w:rPr>
        <w:t>）委托有危险废物处置资质单位处置</w:t>
      </w:r>
    </w:p>
    <w:p w14:paraId="7E0B02A9">
      <w:pPr>
        <w:rPr>
          <w:rFonts w:hAnsi="Times New Roman"/>
          <w:color w:val="auto"/>
          <w:highlight w:val="none"/>
          <w:u w:val="none"/>
        </w:rPr>
      </w:pPr>
      <w:r>
        <w:rPr>
          <w:rFonts w:hint="eastAsia" w:hAnsi="Times New Roman"/>
          <w:color w:val="auto"/>
          <w:highlight w:val="none"/>
          <w:u w:val="none"/>
        </w:rPr>
        <w:t>①</w:t>
      </w:r>
      <w:r>
        <w:rPr>
          <w:rFonts w:hAnsi="Times New Roman"/>
          <w:color w:val="auto"/>
          <w:highlight w:val="none"/>
          <w:u w:val="none"/>
        </w:rPr>
        <w:t>废DNT</w:t>
      </w:r>
    </w:p>
    <w:p w14:paraId="07721026">
      <w:pPr>
        <w:rPr>
          <w:rFonts w:hAnsi="Times New Roman"/>
          <w:color w:val="auto"/>
          <w:highlight w:val="none"/>
          <w:u w:val="none"/>
        </w:rPr>
      </w:pPr>
      <w:r>
        <w:rPr>
          <w:rFonts w:hAnsi="Times New Roman"/>
          <w:color w:val="auto"/>
          <w:highlight w:val="none"/>
          <w:u w:val="none"/>
        </w:rPr>
        <w:t>本项目在硝化单元硝化反应过程中产生的废DNT，属于《国家危险废物名录》（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rPr>
        <w:t>）中HW49（其他废物）类别下代码为900-999-49</w:t>
      </w:r>
      <w:r>
        <w:rPr>
          <w:rFonts w:hint="eastAsia" w:hAnsi="Times New Roman"/>
          <w:color w:val="auto"/>
          <w:highlight w:val="none"/>
          <w:u w:val="none"/>
        </w:rPr>
        <w:t>的“被所有者申报废弃的，或未申报废弃但被非法排放、倾倒、利用、处置的，以及有关部门依法收缴或接收且需要销毁的列入《危险化学品目录》的危险化学品（</w:t>
      </w:r>
      <w:r>
        <w:rPr>
          <w:rFonts w:hAnsi="Times New Roman"/>
          <w:color w:val="auto"/>
          <w:highlight w:val="none"/>
          <w:u w:val="none"/>
        </w:rPr>
        <w:t>不含该目录中仅具有</w:t>
      </w:r>
      <w:r>
        <w:rPr>
          <w:rFonts w:hint="eastAsia" w:hAnsi="Times New Roman"/>
          <w:color w:val="auto"/>
          <w:highlight w:val="none"/>
          <w:u w:val="none"/>
        </w:rPr>
        <w:t>“</w:t>
      </w:r>
      <w:r>
        <w:rPr>
          <w:rFonts w:hAnsi="Times New Roman"/>
          <w:color w:val="auto"/>
          <w:highlight w:val="none"/>
          <w:u w:val="none"/>
        </w:rPr>
        <w:t>加压气体</w:t>
      </w:r>
      <w:r>
        <w:rPr>
          <w:rFonts w:hint="eastAsia" w:hAnsi="Times New Roman"/>
          <w:color w:val="auto"/>
          <w:highlight w:val="none"/>
          <w:u w:val="none"/>
        </w:rPr>
        <w:t>”</w:t>
      </w:r>
      <w:r>
        <w:rPr>
          <w:rFonts w:hAnsi="Times New Roman"/>
          <w:color w:val="auto"/>
          <w:highlight w:val="none"/>
          <w:u w:val="none"/>
        </w:rPr>
        <w:t>物理危险性的危险化学品</w:t>
      </w:r>
      <w:r>
        <w:rPr>
          <w:rFonts w:hint="eastAsia" w:hAnsi="Times New Roman"/>
          <w:color w:val="auto"/>
          <w:highlight w:val="none"/>
          <w:u w:val="none"/>
        </w:rPr>
        <w:t>）”，危险特性为“T/C/I/R（毒性/腐蚀性/易燃性/反应性）”。</w:t>
      </w:r>
      <w:r>
        <w:rPr>
          <w:rFonts w:hAnsi="Times New Roman"/>
          <w:color w:val="auto"/>
          <w:highlight w:val="none"/>
          <w:u w:val="none"/>
        </w:rPr>
        <w:t>建设单位拟废DNT委托有危险废物处置资质单位处置。</w:t>
      </w:r>
    </w:p>
    <w:p w14:paraId="3DE233EF">
      <w:pPr>
        <w:rPr>
          <w:rFonts w:hAnsi="Times New Roman"/>
          <w:color w:val="auto"/>
          <w:highlight w:val="none"/>
          <w:u w:val="none"/>
        </w:rPr>
      </w:pPr>
      <w:r>
        <w:rPr>
          <w:rFonts w:hint="eastAsia" w:hAnsi="Times New Roman"/>
          <w:color w:val="auto"/>
          <w:highlight w:val="none"/>
          <w:u w:val="none"/>
        </w:rPr>
        <w:t>②</w:t>
      </w:r>
      <w:r>
        <w:rPr>
          <w:rFonts w:hAnsi="Times New Roman"/>
          <w:color w:val="auto"/>
          <w:highlight w:val="none"/>
          <w:u w:val="none"/>
        </w:rPr>
        <w:t>废催化剂</w:t>
      </w:r>
    </w:p>
    <w:p w14:paraId="29EF1F28">
      <w:pPr>
        <w:rPr>
          <w:rFonts w:hAnsi="Times New Roman"/>
          <w:color w:val="auto"/>
          <w:highlight w:val="none"/>
          <w:u w:val="none"/>
        </w:rPr>
      </w:pPr>
      <w:r>
        <w:rPr>
          <w:rFonts w:hAnsi="Times New Roman"/>
          <w:color w:val="auto"/>
          <w:highlight w:val="none"/>
          <w:u w:val="none"/>
        </w:rPr>
        <w:t>本项目在氢化单元催化剂过滤环节会产生废催化剂，属于《国家危险废物名录》</w:t>
      </w:r>
      <w:r>
        <w:rPr>
          <w:rFonts w:hAnsi="Times New Roman"/>
          <w:color w:val="auto"/>
          <w:highlight w:val="none"/>
          <w:u w:val="none"/>
          <w:lang w:val="en-US"/>
        </w:rPr>
        <w:t>（</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lang w:val="en-US"/>
        </w:rPr>
        <w:t>）</w:t>
      </w:r>
      <w:r>
        <w:rPr>
          <w:rFonts w:hAnsi="Times New Roman"/>
          <w:color w:val="auto"/>
          <w:highlight w:val="none"/>
          <w:u w:val="none"/>
        </w:rPr>
        <w:t>中HW</w:t>
      </w:r>
      <w:r>
        <w:rPr>
          <w:rFonts w:hint="eastAsia" w:hAnsi="Times New Roman"/>
          <w:color w:val="auto"/>
          <w:highlight w:val="none"/>
          <w:u w:val="none"/>
          <w:lang w:val="en-US" w:eastAsia="zh-CN"/>
        </w:rPr>
        <w:t>46</w:t>
      </w:r>
      <w:r>
        <w:rPr>
          <w:rFonts w:hAnsi="Times New Roman"/>
          <w:color w:val="auto"/>
          <w:highlight w:val="none"/>
          <w:u w:val="none"/>
        </w:rPr>
        <w:t>（废催化剂）类别下代码为</w:t>
      </w:r>
      <w:r>
        <w:rPr>
          <w:rFonts w:hint="eastAsia" w:hAnsi="Times New Roman"/>
          <w:color w:val="auto"/>
          <w:highlight w:val="none"/>
          <w:u w:val="none"/>
        </w:rPr>
        <w:t>900-037-46</w:t>
      </w:r>
      <w:r>
        <w:rPr>
          <w:rFonts w:hAnsi="Times New Roman"/>
          <w:color w:val="auto"/>
          <w:highlight w:val="none"/>
          <w:u w:val="none"/>
        </w:rPr>
        <w:t>的“</w:t>
      </w:r>
      <w:r>
        <w:rPr>
          <w:rFonts w:hint="eastAsia" w:hAnsi="Times New Roman"/>
          <w:color w:val="auto"/>
          <w:highlight w:val="none"/>
          <w:u w:val="none"/>
          <w:lang w:val="en-US" w:eastAsia="zh-CN"/>
        </w:rPr>
        <w:t>废弃的镍</w:t>
      </w:r>
      <w:r>
        <w:rPr>
          <w:rFonts w:hAnsi="Times New Roman"/>
          <w:color w:val="auto"/>
          <w:highlight w:val="none"/>
          <w:u w:val="none"/>
        </w:rPr>
        <w:t>催化剂”，危险特性为“T（毒性）”。建设单位拟将废催化剂委托有危险废物处置资质单位处置。</w:t>
      </w:r>
    </w:p>
    <w:p w14:paraId="558B185F">
      <w:pPr>
        <w:rPr>
          <w:rFonts w:hAnsi="Times New Roman"/>
          <w:color w:val="auto"/>
          <w:highlight w:val="none"/>
          <w:u w:val="none"/>
        </w:rPr>
      </w:pPr>
      <w:r>
        <w:rPr>
          <w:rFonts w:hint="eastAsia" w:hAnsi="Times New Roman"/>
          <w:color w:val="auto"/>
          <w:highlight w:val="none"/>
          <w:u w:val="none"/>
        </w:rPr>
        <w:t>③TDA精馏残渣</w:t>
      </w:r>
    </w:p>
    <w:p w14:paraId="5432E25B">
      <w:pPr>
        <w:rPr>
          <w:rFonts w:hAnsi="Times New Roman"/>
          <w:color w:val="auto"/>
          <w:highlight w:val="none"/>
          <w:u w:val="none"/>
        </w:rPr>
      </w:pPr>
      <w:r>
        <w:rPr>
          <w:rFonts w:hAnsi="Times New Roman"/>
          <w:color w:val="auto"/>
          <w:highlight w:val="none"/>
          <w:u w:val="none"/>
        </w:rPr>
        <w:t>本项目在</w:t>
      </w:r>
      <w:r>
        <w:rPr>
          <w:rFonts w:hint="eastAsia" w:hAnsi="Times New Roman"/>
          <w:color w:val="auto"/>
          <w:highlight w:val="none"/>
          <w:u w:val="none"/>
        </w:rPr>
        <w:t>粗TDA脱水环节会产生TDA精馏残渣，</w:t>
      </w:r>
      <w:r>
        <w:rPr>
          <w:rFonts w:hAnsi="Times New Roman"/>
          <w:color w:val="auto"/>
          <w:highlight w:val="none"/>
          <w:u w:val="none"/>
        </w:rPr>
        <w:t>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rPr>
        <w:t>）中HW</w:t>
      </w:r>
      <w:r>
        <w:rPr>
          <w:rFonts w:hint="eastAsia" w:hAnsi="Times New Roman"/>
          <w:color w:val="auto"/>
          <w:highlight w:val="none"/>
          <w:u w:val="none"/>
        </w:rPr>
        <w:t>11</w:t>
      </w:r>
      <w:r>
        <w:rPr>
          <w:rFonts w:hAnsi="Times New Roman"/>
          <w:color w:val="auto"/>
          <w:highlight w:val="none"/>
          <w:u w:val="none"/>
        </w:rPr>
        <w:t>（</w:t>
      </w:r>
      <w:r>
        <w:rPr>
          <w:rFonts w:hint="eastAsia" w:hAnsi="Times New Roman"/>
          <w:color w:val="auto"/>
          <w:highlight w:val="none"/>
          <w:u w:val="none"/>
        </w:rPr>
        <w:t>精馏残渣</w:t>
      </w:r>
      <w:r>
        <w:rPr>
          <w:rFonts w:hAnsi="Times New Roman"/>
          <w:color w:val="auto"/>
          <w:highlight w:val="none"/>
          <w:u w:val="none"/>
        </w:rPr>
        <w:t>）类别下代码为261-</w:t>
      </w:r>
      <w:r>
        <w:rPr>
          <w:rFonts w:hint="eastAsia" w:hAnsi="Times New Roman"/>
          <w:color w:val="auto"/>
          <w:highlight w:val="none"/>
          <w:u w:val="none"/>
        </w:rPr>
        <w:t>023</w:t>
      </w:r>
      <w:r>
        <w:rPr>
          <w:rFonts w:hAnsi="Times New Roman"/>
          <w:color w:val="auto"/>
          <w:highlight w:val="none"/>
          <w:u w:val="none"/>
        </w:rPr>
        <w:t>-</w:t>
      </w:r>
      <w:r>
        <w:rPr>
          <w:rFonts w:hint="eastAsia" w:hAnsi="Times New Roman"/>
          <w:color w:val="auto"/>
          <w:highlight w:val="none"/>
          <w:u w:val="none"/>
        </w:rPr>
        <w:t>11</w:t>
      </w:r>
      <w:r>
        <w:rPr>
          <w:rFonts w:hAnsi="Times New Roman"/>
          <w:color w:val="auto"/>
          <w:highlight w:val="none"/>
          <w:u w:val="none"/>
        </w:rPr>
        <w:t>的</w:t>
      </w:r>
      <w:r>
        <w:rPr>
          <w:rFonts w:hint="eastAsia" w:hAnsi="Times New Roman"/>
          <w:color w:val="auto"/>
          <w:highlight w:val="none"/>
          <w:u w:val="none"/>
        </w:rPr>
        <w:t>“硝基甲苯加氢法生产甲苯二胺过程中产品精制产生的废液”</w:t>
      </w:r>
      <w:r>
        <w:rPr>
          <w:rFonts w:hAnsi="Times New Roman"/>
          <w:color w:val="auto"/>
          <w:highlight w:val="none"/>
          <w:u w:val="none"/>
        </w:rPr>
        <w:t>，危险特性为“T（毒性）”。建设单位拟将</w:t>
      </w:r>
      <w:r>
        <w:rPr>
          <w:rFonts w:hint="eastAsia" w:hAnsi="Times New Roman"/>
          <w:color w:val="auto"/>
          <w:highlight w:val="none"/>
          <w:u w:val="none"/>
        </w:rPr>
        <w:t>TDA精馏残渣</w:t>
      </w:r>
      <w:r>
        <w:rPr>
          <w:rFonts w:hAnsi="Times New Roman"/>
          <w:color w:val="auto"/>
          <w:highlight w:val="none"/>
          <w:u w:val="none"/>
        </w:rPr>
        <w:t>委托有危险废物处置资质单位处置。</w:t>
      </w:r>
    </w:p>
    <w:p w14:paraId="3F22A1D6">
      <w:pPr>
        <w:rPr>
          <w:rFonts w:hAnsi="Times New Roman"/>
          <w:color w:val="auto"/>
          <w:highlight w:val="none"/>
          <w:u w:val="none"/>
        </w:rPr>
      </w:pPr>
      <w:r>
        <w:rPr>
          <w:rFonts w:hint="eastAsia" w:hAnsi="Times New Roman"/>
          <w:color w:val="auto"/>
          <w:highlight w:val="none"/>
          <w:u w:val="none"/>
        </w:rPr>
        <w:t>④光化退料</w:t>
      </w:r>
    </w:p>
    <w:p w14:paraId="2EA77459">
      <w:pPr>
        <w:rPr>
          <w:rFonts w:hAnsi="Times New Roman"/>
          <w:color w:val="auto"/>
          <w:highlight w:val="none"/>
          <w:u w:val="none"/>
        </w:rPr>
      </w:pPr>
      <w:r>
        <w:rPr>
          <w:rFonts w:hAnsi="Times New Roman"/>
          <w:color w:val="auto"/>
          <w:highlight w:val="none"/>
          <w:u w:val="none"/>
        </w:rPr>
        <w:t>本项目在</w:t>
      </w:r>
      <w:r>
        <w:rPr>
          <w:rFonts w:hint="eastAsia" w:hAnsi="Times New Roman"/>
          <w:color w:val="auto"/>
          <w:highlight w:val="none"/>
          <w:u w:val="none"/>
        </w:rPr>
        <w:t>光化单元脱光气塔环节会产生光化退料</w:t>
      </w:r>
      <w:r>
        <w:rPr>
          <w:rFonts w:hAnsi="Times New Roman"/>
          <w:color w:val="auto"/>
          <w:highlight w:val="none"/>
          <w:u w:val="none"/>
        </w:rPr>
        <w:t>，属于《国家危险废物名录》（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rPr>
        <w:t>）中HW</w:t>
      </w:r>
      <w:r>
        <w:rPr>
          <w:rFonts w:hint="eastAsia" w:hAnsi="Times New Roman"/>
          <w:color w:val="auto"/>
          <w:highlight w:val="none"/>
          <w:u w:val="none"/>
        </w:rPr>
        <w:t>11</w:t>
      </w:r>
      <w:r>
        <w:rPr>
          <w:rFonts w:hAnsi="Times New Roman"/>
          <w:color w:val="auto"/>
          <w:highlight w:val="none"/>
          <w:u w:val="none"/>
        </w:rPr>
        <w:t>（</w:t>
      </w:r>
      <w:r>
        <w:rPr>
          <w:rFonts w:hint="eastAsia" w:hAnsi="Times New Roman"/>
          <w:color w:val="auto"/>
          <w:highlight w:val="none"/>
          <w:u w:val="none"/>
        </w:rPr>
        <w:t>精馏残渣</w:t>
      </w:r>
      <w:r>
        <w:rPr>
          <w:rFonts w:hAnsi="Times New Roman"/>
          <w:color w:val="auto"/>
          <w:highlight w:val="none"/>
          <w:u w:val="none"/>
        </w:rPr>
        <w:t>）类别下代码为261-</w:t>
      </w:r>
      <w:r>
        <w:rPr>
          <w:rFonts w:hint="eastAsia" w:hAnsi="Times New Roman"/>
          <w:color w:val="auto"/>
          <w:highlight w:val="none"/>
          <w:u w:val="none"/>
        </w:rPr>
        <w:t>025</w:t>
      </w:r>
      <w:r>
        <w:rPr>
          <w:rFonts w:hAnsi="Times New Roman"/>
          <w:color w:val="auto"/>
          <w:highlight w:val="none"/>
          <w:u w:val="none"/>
        </w:rPr>
        <w:t>-</w:t>
      </w:r>
      <w:r>
        <w:rPr>
          <w:rFonts w:hint="eastAsia" w:hAnsi="Times New Roman"/>
          <w:color w:val="auto"/>
          <w:highlight w:val="none"/>
          <w:u w:val="none"/>
        </w:rPr>
        <w:t>11</w:t>
      </w:r>
      <w:r>
        <w:rPr>
          <w:rFonts w:hAnsi="Times New Roman"/>
          <w:color w:val="auto"/>
          <w:highlight w:val="none"/>
          <w:u w:val="none"/>
        </w:rPr>
        <w:t>的</w:t>
      </w:r>
      <w:r>
        <w:rPr>
          <w:rFonts w:hint="eastAsia" w:hAnsi="Times New Roman"/>
          <w:color w:val="auto"/>
          <w:highlight w:val="none"/>
          <w:u w:val="none"/>
        </w:rPr>
        <w:t>“甲苯二胺光气化法生产甲苯二异氰酸酯过程中溶剂回收塔产生的有机冷凝物”</w:t>
      </w:r>
      <w:r>
        <w:rPr>
          <w:rFonts w:hAnsi="Times New Roman"/>
          <w:color w:val="auto"/>
          <w:highlight w:val="none"/>
          <w:u w:val="none"/>
        </w:rPr>
        <w:t>，危险特性为</w:t>
      </w:r>
      <w:r>
        <w:rPr>
          <w:rFonts w:hint="eastAsia" w:hAnsi="Times New Roman"/>
          <w:color w:val="auto"/>
          <w:highlight w:val="none"/>
          <w:u w:val="none"/>
        </w:rPr>
        <w:t>“</w:t>
      </w:r>
      <w:r>
        <w:rPr>
          <w:rFonts w:hAnsi="Times New Roman"/>
          <w:color w:val="auto"/>
          <w:highlight w:val="none"/>
          <w:u w:val="none"/>
        </w:rPr>
        <w:t>T（毒性）</w:t>
      </w:r>
      <w:r>
        <w:rPr>
          <w:rFonts w:hint="eastAsia" w:hAnsi="Times New Roman"/>
          <w:color w:val="auto"/>
          <w:highlight w:val="none"/>
          <w:u w:val="none"/>
        </w:rPr>
        <w:t>”</w:t>
      </w:r>
      <w:r>
        <w:rPr>
          <w:rFonts w:hAnsi="Times New Roman"/>
          <w:color w:val="auto"/>
          <w:highlight w:val="none"/>
          <w:u w:val="none"/>
        </w:rPr>
        <w:t>。建设单位拟将</w:t>
      </w:r>
      <w:r>
        <w:rPr>
          <w:rFonts w:hint="eastAsia" w:hAnsi="Times New Roman"/>
          <w:color w:val="auto"/>
          <w:highlight w:val="none"/>
          <w:u w:val="none"/>
        </w:rPr>
        <w:t>光化退料</w:t>
      </w:r>
      <w:r>
        <w:rPr>
          <w:rFonts w:hAnsi="Times New Roman"/>
          <w:color w:val="auto"/>
          <w:highlight w:val="none"/>
          <w:u w:val="none"/>
        </w:rPr>
        <w:t>委托有危险废物处置资质单位处置。</w:t>
      </w:r>
    </w:p>
    <w:p w14:paraId="6927397F">
      <w:pPr>
        <w:rPr>
          <w:rFonts w:hAnsi="Times New Roman"/>
          <w:color w:val="auto"/>
          <w:highlight w:val="none"/>
          <w:u w:val="none"/>
        </w:rPr>
      </w:pPr>
      <w:r>
        <w:rPr>
          <w:rFonts w:hint="eastAsia" w:hAnsi="Times New Roman"/>
          <w:color w:val="auto"/>
          <w:highlight w:val="none"/>
          <w:u w:val="none"/>
        </w:rPr>
        <w:t>⑤TDI精馏残渣</w:t>
      </w:r>
    </w:p>
    <w:p w14:paraId="20D59BB3">
      <w:pPr>
        <w:rPr>
          <w:rFonts w:hAnsi="Times New Roman"/>
          <w:color w:val="auto"/>
          <w:highlight w:val="none"/>
          <w:u w:val="none"/>
        </w:rPr>
      </w:pPr>
      <w:r>
        <w:rPr>
          <w:rFonts w:hAnsi="Times New Roman"/>
          <w:color w:val="auto"/>
          <w:highlight w:val="none"/>
          <w:u w:val="none"/>
        </w:rPr>
        <w:t>本项目在</w:t>
      </w:r>
      <w:r>
        <w:rPr>
          <w:rFonts w:hint="eastAsia" w:hAnsi="Times New Roman"/>
          <w:color w:val="auto"/>
          <w:highlight w:val="none"/>
          <w:u w:val="none"/>
        </w:rPr>
        <w:t>TDI精制环节会产生TDI精馏残渣，</w:t>
      </w:r>
      <w:r>
        <w:rPr>
          <w:rFonts w:hAnsi="Times New Roman"/>
          <w:color w:val="auto"/>
          <w:highlight w:val="none"/>
          <w:u w:val="none"/>
        </w:rPr>
        <w:t>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rPr>
        <w:t>）中HW</w:t>
      </w:r>
      <w:r>
        <w:rPr>
          <w:rFonts w:hint="eastAsia" w:hAnsi="Times New Roman"/>
          <w:color w:val="auto"/>
          <w:highlight w:val="none"/>
          <w:u w:val="none"/>
        </w:rPr>
        <w:t>11</w:t>
      </w:r>
      <w:r>
        <w:rPr>
          <w:rFonts w:hAnsi="Times New Roman"/>
          <w:color w:val="auto"/>
          <w:highlight w:val="none"/>
          <w:u w:val="none"/>
        </w:rPr>
        <w:t>（</w:t>
      </w:r>
      <w:r>
        <w:rPr>
          <w:rFonts w:hint="eastAsia" w:hAnsi="Times New Roman"/>
          <w:color w:val="auto"/>
          <w:highlight w:val="none"/>
          <w:u w:val="none"/>
        </w:rPr>
        <w:t>精馏残渣</w:t>
      </w:r>
      <w:r>
        <w:rPr>
          <w:rFonts w:hAnsi="Times New Roman"/>
          <w:color w:val="auto"/>
          <w:highlight w:val="none"/>
          <w:u w:val="none"/>
        </w:rPr>
        <w:t>）类别下代码为261-</w:t>
      </w:r>
      <w:r>
        <w:rPr>
          <w:rFonts w:hint="eastAsia" w:hAnsi="Times New Roman"/>
          <w:color w:val="auto"/>
          <w:highlight w:val="none"/>
          <w:u w:val="none"/>
        </w:rPr>
        <w:t>016</w:t>
      </w:r>
      <w:r>
        <w:rPr>
          <w:rFonts w:hAnsi="Times New Roman"/>
          <w:color w:val="auto"/>
          <w:highlight w:val="none"/>
          <w:u w:val="none"/>
        </w:rPr>
        <w:t>-</w:t>
      </w:r>
      <w:r>
        <w:rPr>
          <w:rFonts w:hint="eastAsia" w:hAnsi="Times New Roman"/>
          <w:color w:val="auto"/>
          <w:highlight w:val="none"/>
          <w:u w:val="none"/>
        </w:rPr>
        <w:t>11</w:t>
      </w:r>
      <w:r>
        <w:rPr>
          <w:rFonts w:hAnsi="Times New Roman"/>
          <w:color w:val="auto"/>
          <w:highlight w:val="none"/>
          <w:u w:val="none"/>
        </w:rPr>
        <w:t>的</w:t>
      </w:r>
      <w:r>
        <w:rPr>
          <w:rFonts w:hint="eastAsia" w:hAnsi="Times New Roman"/>
          <w:color w:val="auto"/>
          <w:highlight w:val="none"/>
          <w:u w:val="none"/>
        </w:rPr>
        <w:t>“甲苯二异氰酸酯生产过程中产生的蒸馏残渣和离心分离残渣”</w:t>
      </w:r>
      <w:r>
        <w:rPr>
          <w:rFonts w:hAnsi="Times New Roman"/>
          <w:color w:val="auto"/>
          <w:highlight w:val="none"/>
          <w:u w:val="none"/>
        </w:rPr>
        <w:t>，危险特性为“T（毒性）”。建设单位拟将</w:t>
      </w:r>
      <w:r>
        <w:rPr>
          <w:rFonts w:hint="eastAsia" w:hAnsi="Times New Roman"/>
          <w:color w:val="auto"/>
          <w:highlight w:val="none"/>
          <w:u w:val="none"/>
        </w:rPr>
        <w:t>TDI精馏残渣</w:t>
      </w:r>
      <w:r>
        <w:rPr>
          <w:rFonts w:hAnsi="Times New Roman"/>
          <w:color w:val="auto"/>
          <w:highlight w:val="none"/>
          <w:u w:val="none"/>
        </w:rPr>
        <w:t>委托有危险废物处置资质单位处置。</w:t>
      </w:r>
    </w:p>
    <w:p w14:paraId="3DC2DE58">
      <w:pPr>
        <w:rPr>
          <w:rFonts w:hAnsi="Times New Roman"/>
          <w:color w:val="auto"/>
          <w:highlight w:val="none"/>
          <w:u w:val="none"/>
        </w:rPr>
      </w:pPr>
      <w:r>
        <w:rPr>
          <w:rFonts w:hint="eastAsia" w:ascii="宋体" w:cs="宋体"/>
          <w:color w:val="auto"/>
          <w:highlight w:val="none"/>
          <w:u w:val="none"/>
        </w:rPr>
        <w:t>⑥</w:t>
      </w:r>
      <w:r>
        <w:rPr>
          <w:rFonts w:hAnsi="Times New Roman"/>
          <w:color w:val="auto"/>
          <w:highlight w:val="none"/>
          <w:u w:val="none"/>
        </w:rPr>
        <w:t>废活性炭</w:t>
      </w:r>
    </w:p>
    <w:p w14:paraId="77D8B846">
      <w:pPr>
        <w:rPr>
          <w:rFonts w:hAnsi="Times New Roman"/>
          <w:color w:val="auto"/>
          <w:highlight w:val="none"/>
          <w:u w:val="none"/>
        </w:rPr>
      </w:pPr>
      <w:r>
        <w:rPr>
          <w:rFonts w:hAnsi="Times New Roman"/>
          <w:color w:val="auto"/>
          <w:highlight w:val="none"/>
          <w:u w:val="none"/>
        </w:rPr>
        <w:t>本项目在氢化单元的TDA精制尾气吸收措施、ODCB储罐废气活性炭吸附过程、光化单元的光气合成工序会产生废活性炭，主要有害成分是有机物，分别属于《国家危险废物名录》</w:t>
      </w:r>
      <w:r>
        <w:rPr>
          <w:rFonts w:hAnsi="Times New Roman"/>
          <w:color w:val="auto"/>
          <w:highlight w:val="none"/>
          <w:u w:val="none"/>
          <w:lang w:val="en-US"/>
        </w:rPr>
        <w:t>（</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lang w:val="en-US"/>
        </w:rPr>
        <w:t>）</w:t>
      </w:r>
      <w:r>
        <w:rPr>
          <w:rFonts w:hAnsi="Times New Roman"/>
          <w:color w:val="auto"/>
          <w:highlight w:val="none"/>
          <w:u w:val="none"/>
        </w:rPr>
        <w:t>中HW45（含有机卤化物废物）类别下代码为261-084-45的“其他有机卤化物的生产过程（不包括卤化前的生产工段）中产生的残液、废过滤吸附介质、反应残余物、废水处理污泥、废催化剂”，危险特性为“T（毒性）”、HW49（其他废物）类别下代码为900-039-49的“烟气、VOCs治理过程（不包括餐饮行业油烟治理过程）产生的废活性炭，化学原料和化学制品脱色（不包括有机合成食品添加剂脱色）、除杂、净化过程产生的废活性炭”，危险特性为“T（毒性）”。建设单位拟将废活性炭委托有危险废物处置资质单位处置。</w:t>
      </w:r>
    </w:p>
    <w:p w14:paraId="50223B42">
      <w:pPr>
        <w:rPr>
          <w:rFonts w:hAnsi="Times New Roman"/>
          <w:color w:val="auto"/>
          <w:highlight w:val="none"/>
          <w:u w:val="none"/>
        </w:rPr>
      </w:pPr>
      <w:r>
        <w:rPr>
          <w:rFonts w:hint="eastAsia" w:ascii="宋体" w:cs="宋体"/>
          <w:color w:val="auto"/>
          <w:highlight w:val="none"/>
          <w:u w:val="none"/>
          <w:lang w:val="en-US"/>
        </w:rPr>
        <w:t>⑦</w:t>
      </w:r>
      <w:r>
        <w:rPr>
          <w:rFonts w:hAnsi="Times New Roman"/>
          <w:color w:val="auto"/>
          <w:highlight w:val="none"/>
          <w:u w:val="none"/>
        </w:rPr>
        <w:t>废弃化学品包装桶或袋</w:t>
      </w:r>
    </w:p>
    <w:p w14:paraId="4C48271F">
      <w:pPr>
        <w:rPr>
          <w:rFonts w:hAnsi="Times New Roman"/>
          <w:color w:val="auto"/>
          <w:highlight w:val="none"/>
          <w:u w:val="none"/>
          <w:lang w:val="en-US"/>
        </w:rPr>
      </w:pPr>
      <w:r>
        <w:rPr>
          <w:rFonts w:hAnsi="Times New Roman"/>
          <w:color w:val="auto"/>
          <w:highlight w:val="none"/>
          <w:u w:val="none"/>
          <w:lang w:val="en-US"/>
        </w:rPr>
        <w:t>本项目废弃化学品包装桶或袋属于《国家危险废物名录》（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lang w:val="en-US"/>
        </w:rPr>
        <w:t>）中HW49（其他废物）类别下代码为900-041-49的“含有或沾染毒性、感染性危险废物的废弃包装物、容器、过滤吸附介质”，危险特性为“T/In（毒性/感染性）”，拟委托</w:t>
      </w:r>
      <w:r>
        <w:rPr>
          <w:rFonts w:hAnsi="Times New Roman"/>
          <w:color w:val="auto"/>
          <w:highlight w:val="none"/>
          <w:u w:val="none"/>
        </w:rPr>
        <w:t>有危险废物处置资质单位处置。</w:t>
      </w:r>
    </w:p>
    <w:p w14:paraId="0711A96E">
      <w:pPr>
        <w:rPr>
          <w:rFonts w:hAnsi="Times New Roman"/>
          <w:color w:val="auto"/>
          <w:highlight w:val="none"/>
          <w:u w:val="none"/>
          <w:lang w:val="en-US"/>
        </w:rPr>
      </w:pPr>
      <w:r>
        <w:rPr>
          <w:rFonts w:hint="eastAsia" w:ascii="宋体" w:cs="宋体"/>
          <w:color w:val="auto"/>
          <w:highlight w:val="none"/>
          <w:u w:val="none"/>
          <w:lang w:val="en-US"/>
        </w:rPr>
        <w:t>⑧</w:t>
      </w:r>
      <w:r>
        <w:rPr>
          <w:rFonts w:hAnsi="Times New Roman"/>
          <w:color w:val="auto"/>
          <w:highlight w:val="none"/>
          <w:u w:val="none"/>
          <w:lang w:val="en-US"/>
        </w:rPr>
        <w:t>机械设备修理废机油、废导热油、废氮封油</w:t>
      </w:r>
    </w:p>
    <w:p w14:paraId="4B9D9A48">
      <w:pPr>
        <w:rPr>
          <w:rFonts w:hAnsi="Times New Roman"/>
          <w:color w:val="auto"/>
          <w:highlight w:val="none"/>
          <w:u w:val="none"/>
          <w:lang w:val="en-US"/>
        </w:rPr>
      </w:pPr>
      <w:r>
        <w:rPr>
          <w:rFonts w:hAnsi="Times New Roman"/>
          <w:color w:val="auto"/>
          <w:highlight w:val="none"/>
          <w:u w:val="none"/>
          <w:lang w:val="en-US"/>
        </w:rPr>
        <w:t>机械设备修理产生的废机油、</w:t>
      </w:r>
      <w:r>
        <w:rPr>
          <w:rFonts w:hAnsi="Times New Roman"/>
          <w:color w:val="auto"/>
          <w:highlight w:val="none"/>
          <w:u w:val="none"/>
        </w:rPr>
        <w:t>焦油干燥机和蒸汽锅炉更换的</w:t>
      </w:r>
      <w:r>
        <w:rPr>
          <w:rFonts w:hAnsi="Times New Roman"/>
          <w:color w:val="auto"/>
          <w:highlight w:val="none"/>
          <w:u w:val="none"/>
          <w:lang w:val="en-US"/>
        </w:rPr>
        <w:t>废导热油、</w:t>
      </w:r>
      <w:r>
        <w:rPr>
          <w:rFonts w:hAnsi="Times New Roman"/>
          <w:color w:val="auto"/>
          <w:highlight w:val="none"/>
          <w:u w:val="none"/>
        </w:rPr>
        <w:t>不合格TDI储罐的排气管线上正负压防止罐内更换的废氮封油等</w:t>
      </w:r>
      <w:r>
        <w:rPr>
          <w:rFonts w:hAnsi="Times New Roman"/>
          <w:color w:val="auto"/>
          <w:highlight w:val="none"/>
          <w:u w:val="none"/>
          <w:lang w:val="en-US"/>
        </w:rPr>
        <w:t>主要有害成分是油类。属于《国家危险废物名录》（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lang w:val="en-US"/>
        </w:rPr>
        <w:t>）中HW08（废矿物油与含矿物油废物）类别下代码为900-249-08的“其他生产、销售、使用过程中产生的废矿物油及沾染矿物油的废弃包装物”，危险特性为“T/I（毒性/易燃性）”，拟委托</w:t>
      </w:r>
      <w:r>
        <w:rPr>
          <w:rFonts w:hAnsi="Times New Roman"/>
          <w:color w:val="auto"/>
          <w:highlight w:val="none"/>
          <w:u w:val="none"/>
        </w:rPr>
        <w:t>有危险废物处置资质单位处置。</w:t>
      </w:r>
    </w:p>
    <w:p w14:paraId="78349445">
      <w:pPr>
        <w:rPr>
          <w:rFonts w:hAnsi="Times New Roman"/>
          <w:color w:val="auto"/>
          <w:highlight w:val="none"/>
          <w:u w:val="none"/>
          <w:lang w:val="en-US"/>
        </w:rPr>
      </w:pPr>
      <w:r>
        <w:rPr>
          <w:rFonts w:hint="eastAsia" w:ascii="宋体" w:cs="宋体"/>
          <w:color w:val="auto"/>
          <w:highlight w:val="none"/>
          <w:u w:val="none"/>
          <w:lang w:val="en-US"/>
        </w:rPr>
        <w:t>⑨</w:t>
      </w:r>
      <w:r>
        <w:rPr>
          <w:rFonts w:hAnsi="Times New Roman"/>
          <w:color w:val="auto"/>
          <w:highlight w:val="none"/>
          <w:u w:val="none"/>
          <w:lang w:val="en-US"/>
        </w:rPr>
        <w:t>废劳保用品、废抹布</w:t>
      </w:r>
    </w:p>
    <w:p w14:paraId="14290C49">
      <w:pPr>
        <w:pStyle w:val="981"/>
        <w:rPr>
          <w:rFonts w:hint="eastAsia"/>
          <w:color w:val="auto"/>
          <w:highlight w:val="none"/>
          <w:u w:val="none"/>
          <w:lang w:val="en-US"/>
        </w:rPr>
      </w:pPr>
      <w:r>
        <w:rPr>
          <w:rFonts w:hAnsi="Times New Roman"/>
          <w:color w:val="auto"/>
          <w:highlight w:val="none"/>
          <w:u w:val="none"/>
          <w:lang w:val="en-US"/>
        </w:rPr>
        <w:t>项目营运期产生的废劳保、废抹布属于《国家危险废物名录》（</w:t>
      </w:r>
      <w:r>
        <w:rPr>
          <w:rFonts w:hint="eastAsia"/>
          <w:color w:val="auto"/>
          <w:highlight w:val="none"/>
          <w:u w:val="none"/>
        </w:rPr>
        <w:t>2</w:t>
      </w:r>
      <w:r>
        <w:rPr>
          <w:color w:val="auto"/>
          <w:highlight w:val="none"/>
          <w:u w:val="none"/>
        </w:rPr>
        <w:t>02</w:t>
      </w:r>
      <w:r>
        <w:rPr>
          <w:rFonts w:hint="eastAsia"/>
          <w:color w:val="auto"/>
          <w:highlight w:val="none"/>
          <w:u w:val="none"/>
        </w:rPr>
        <w:t>5年版</w:t>
      </w:r>
      <w:r>
        <w:rPr>
          <w:rFonts w:hAnsi="Times New Roman"/>
          <w:color w:val="auto"/>
          <w:highlight w:val="none"/>
          <w:u w:val="none"/>
          <w:lang w:val="en-US"/>
        </w:rPr>
        <w:t>）中HW49（其他废物）类别下代码为900-041-49的“含有或沾染毒性、感染性危险废物的废弃包装物、容器、过滤吸附介质”，危险特性为“T/In（毒性/感染性）”。根据“危险废物豁免管理清单”，废弃的含油抹布、劳保用品在未分类收集的情况下，全过程不按危险废物管理。</w:t>
      </w:r>
    </w:p>
    <w:p w14:paraId="05C911AF">
      <w:pPr>
        <w:pStyle w:val="981"/>
        <w:rPr>
          <w:rFonts w:hint="eastAsia"/>
          <w:color w:val="auto"/>
          <w:highlight w:val="none"/>
          <w:u w:val="none"/>
          <w:lang w:val="en-US"/>
        </w:rPr>
      </w:pPr>
      <w:r>
        <w:rPr>
          <w:rFonts w:hint="eastAsia"/>
          <w:color w:val="auto"/>
          <w:highlight w:val="none"/>
          <w:u w:val="none"/>
          <w:lang w:val="en-US"/>
        </w:rPr>
        <w:t>（3）做为气体装置区的气体扩能改造项目的水煤浆气化原料</w:t>
      </w:r>
    </w:p>
    <w:p w14:paraId="0DB80CCB">
      <w:pPr>
        <w:pStyle w:val="981"/>
        <w:rPr>
          <w:rFonts w:hint="eastAsia"/>
          <w:color w:val="auto"/>
          <w:highlight w:val="none"/>
          <w:u w:val="none"/>
          <w:lang w:val="en-US"/>
        </w:rPr>
      </w:pPr>
      <w:r>
        <w:rPr>
          <w:rFonts w:hint="eastAsia"/>
          <w:color w:val="auto"/>
          <w:highlight w:val="none"/>
          <w:u w:val="none"/>
          <w:lang w:val="en-US"/>
        </w:rPr>
        <w:t>光化单元产生的焦油颗粒，</w:t>
      </w:r>
      <w:r>
        <w:rPr>
          <w:rFonts w:hint="eastAsia"/>
          <w:color w:val="auto"/>
          <w:highlight w:val="none"/>
          <w:u w:val="none"/>
        </w:rPr>
        <w:t>主要成分为高度聚合的</w:t>
      </w:r>
      <w:r>
        <w:rPr>
          <w:color w:val="auto"/>
          <w:highlight w:val="none"/>
          <w:u w:val="none"/>
        </w:rPr>
        <w:t>CDI、UDI、缩脲</w:t>
      </w:r>
      <w:r>
        <w:rPr>
          <w:rFonts w:hint="eastAsia"/>
          <w:color w:val="auto"/>
          <w:highlight w:val="none"/>
          <w:u w:val="none"/>
        </w:rPr>
        <w:t>，</w:t>
      </w:r>
      <w:r>
        <w:rPr>
          <w:color w:val="auto"/>
          <w:highlight w:val="none"/>
          <w:u w:val="none"/>
        </w:rPr>
        <w:t>属于《国家危险废</w:t>
      </w:r>
      <w:r>
        <w:rPr>
          <w:rFonts w:hint="eastAsia"/>
          <w:color w:val="auto"/>
          <w:highlight w:val="none"/>
          <w:u w:val="none"/>
        </w:rPr>
        <w:t>物名录》（</w:t>
      </w:r>
      <w:r>
        <w:rPr>
          <w:color w:val="auto"/>
          <w:highlight w:val="none"/>
          <w:u w:val="none"/>
        </w:rPr>
        <w:t>2021</w:t>
      </w:r>
      <w:r>
        <w:rPr>
          <w:rFonts w:hint="eastAsia"/>
          <w:color w:val="auto"/>
          <w:highlight w:val="none"/>
          <w:u w:val="none"/>
        </w:rPr>
        <w:t>）</w:t>
      </w:r>
      <w:r>
        <w:rPr>
          <w:color w:val="auto"/>
          <w:highlight w:val="none"/>
          <w:u w:val="none"/>
        </w:rPr>
        <w:t>中HW11</w:t>
      </w:r>
      <w:r>
        <w:rPr>
          <w:rFonts w:hint="eastAsia"/>
          <w:color w:val="auto"/>
          <w:highlight w:val="none"/>
          <w:u w:val="none"/>
        </w:rPr>
        <w:t>（</w:t>
      </w:r>
      <w:r>
        <w:rPr>
          <w:color w:val="auto"/>
          <w:highlight w:val="none"/>
          <w:u w:val="none"/>
        </w:rPr>
        <w:t>精</w:t>
      </w:r>
      <w:r>
        <w:rPr>
          <w:rFonts w:hint="eastAsia"/>
          <w:color w:val="auto"/>
          <w:highlight w:val="none"/>
          <w:u w:val="none"/>
        </w:rPr>
        <w:t>（蒸）馏残渣）</w:t>
      </w:r>
      <w:r>
        <w:rPr>
          <w:color w:val="auto"/>
          <w:highlight w:val="none"/>
          <w:u w:val="none"/>
        </w:rPr>
        <w:t>类别下代码为261-016-11的“甲苯二异氰酸酯</w:t>
      </w:r>
      <w:r>
        <w:rPr>
          <w:rFonts w:hint="eastAsia"/>
          <w:color w:val="auto"/>
          <w:highlight w:val="none"/>
          <w:u w:val="none"/>
        </w:rPr>
        <w:t>生产过程中产生的蒸馏残渣和离心分离残渣”，危险特性为“</w:t>
      </w:r>
      <w:r>
        <w:rPr>
          <w:color w:val="auto"/>
          <w:highlight w:val="none"/>
          <w:u w:val="none"/>
        </w:rPr>
        <w:t>T"</w:t>
      </w:r>
      <w:r>
        <w:rPr>
          <w:rFonts w:hint="eastAsia"/>
          <w:color w:val="auto"/>
          <w:highlight w:val="none"/>
          <w:u w:val="none"/>
        </w:rPr>
        <w:t>（</w:t>
      </w:r>
      <w:r>
        <w:rPr>
          <w:color w:val="auto"/>
          <w:highlight w:val="none"/>
          <w:u w:val="none"/>
        </w:rPr>
        <w:t>毒性</w:t>
      </w:r>
      <w:r>
        <w:rPr>
          <w:rFonts w:hint="eastAsia"/>
          <w:color w:val="auto"/>
          <w:highlight w:val="none"/>
          <w:u w:val="none"/>
        </w:rPr>
        <w:t>），送往万华福建公司气体扩能改造项目作为水煤浆气化原料进行利用。</w:t>
      </w:r>
    </w:p>
    <w:p w14:paraId="68CF6D48">
      <w:pPr>
        <w:pStyle w:val="981"/>
        <w:rPr>
          <w:rFonts w:hint="eastAsia"/>
          <w:color w:val="auto"/>
          <w:highlight w:val="none"/>
          <w:u w:val="none"/>
          <w:lang w:val="en-US"/>
        </w:rPr>
      </w:pPr>
      <w:r>
        <w:rPr>
          <w:rFonts w:hint="eastAsia"/>
          <w:color w:val="auto"/>
          <w:highlight w:val="none"/>
          <w:u w:val="none"/>
          <w:lang w:val="en-US"/>
        </w:rPr>
        <w:t>（</w:t>
      </w:r>
      <w:r>
        <w:rPr>
          <w:color w:val="auto"/>
          <w:highlight w:val="none"/>
          <w:u w:val="none"/>
          <w:lang w:val="en-US"/>
        </w:rPr>
        <w:t>4</w:t>
      </w:r>
      <w:r>
        <w:rPr>
          <w:rFonts w:hint="eastAsia"/>
          <w:color w:val="auto"/>
          <w:highlight w:val="none"/>
          <w:u w:val="none"/>
          <w:lang w:val="en-US"/>
        </w:rPr>
        <w:t>）生活垃圾处置</w:t>
      </w:r>
    </w:p>
    <w:p w14:paraId="78A0636E">
      <w:pPr>
        <w:pStyle w:val="981"/>
        <w:rPr>
          <w:rFonts w:hint="eastAsia"/>
          <w:color w:val="auto"/>
          <w:highlight w:val="none"/>
          <w:u w:val="none"/>
          <w:lang w:val="en-US"/>
        </w:rPr>
      </w:pPr>
      <w:r>
        <w:rPr>
          <w:rFonts w:hint="eastAsia"/>
          <w:color w:val="auto"/>
          <w:highlight w:val="none"/>
          <w:u w:val="none"/>
          <w:lang w:val="en-US"/>
        </w:rPr>
        <w:t>生活垃圾中有机物比例较高，极易腐败，散发出氨、硫化氢、硫醇类气体，具有恶臭和毒性，影响周围环境卫生，影响人们身体健康。此外，垃圾堆极易产生病菌，滋生蚊蝇，成为传播疾病的源头，必须及时地收集、清运或处理。项目生活垃圾产生量为18.17</w:t>
      </w:r>
      <w:r>
        <w:rPr>
          <w:color w:val="auto"/>
          <w:highlight w:val="none"/>
          <w:u w:val="none"/>
          <w:lang w:val="en-US"/>
        </w:rPr>
        <w:t>t/a，由当地环卫部门清运</w:t>
      </w:r>
      <w:r>
        <w:rPr>
          <w:rFonts w:hint="eastAsia"/>
          <w:color w:val="auto"/>
          <w:highlight w:val="none"/>
          <w:u w:val="none"/>
          <w:lang w:val="en-US"/>
        </w:rPr>
        <w:t>，做到日产日清。</w:t>
      </w:r>
    </w:p>
    <w:p w14:paraId="3C1371F7">
      <w:pPr>
        <w:pStyle w:val="6"/>
        <w:spacing w:before="156" w:after="156"/>
        <w:rPr>
          <w:color w:val="auto"/>
          <w:highlight w:val="none"/>
          <w:u w:val="none"/>
          <w:lang w:val="en-US"/>
        </w:rPr>
      </w:pPr>
      <w:r>
        <w:rPr>
          <w:rFonts w:hint="eastAsia"/>
          <w:color w:val="auto"/>
          <w:highlight w:val="none"/>
          <w:u w:val="none"/>
          <w:lang w:val="en-US"/>
        </w:rPr>
        <w:t>固体废物堆存场、贮存场设置和要求</w:t>
      </w:r>
    </w:p>
    <w:p w14:paraId="5107E613">
      <w:pPr>
        <w:pStyle w:val="7"/>
        <w:spacing w:before="156"/>
        <w:rPr>
          <w:color w:val="auto"/>
          <w:highlight w:val="none"/>
          <w:u w:val="none"/>
          <w:lang w:val="en-US"/>
        </w:rPr>
      </w:pPr>
      <w:r>
        <w:rPr>
          <w:rFonts w:hint="eastAsia"/>
          <w:color w:val="auto"/>
          <w:highlight w:val="none"/>
          <w:u w:val="none"/>
          <w:lang w:val="en-US"/>
        </w:rPr>
        <w:t>危险废物贮存和转移要求</w:t>
      </w:r>
    </w:p>
    <w:p w14:paraId="37123C79">
      <w:pPr>
        <w:pStyle w:val="981"/>
        <w:rPr>
          <w:rFonts w:hint="eastAsia"/>
          <w:color w:val="auto"/>
          <w:highlight w:val="none"/>
          <w:u w:val="none"/>
        </w:rPr>
      </w:pPr>
      <w:r>
        <w:rPr>
          <w:rFonts w:hint="eastAsia"/>
          <w:color w:val="auto"/>
          <w:highlight w:val="none"/>
          <w:u w:val="none"/>
        </w:rPr>
        <w:t>为防止储存过程的二次污染，其贮存和转运过程，应严格按《危险废物贮存污染控制标准》（</w:t>
      </w:r>
      <w:r>
        <w:rPr>
          <w:color w:val="auto"/>
          <w:highlight w:val="none"/>
          <w:u w:val="none"/>
        </w:rPr>
        <w:t>GB18597-2023</w:t>
      </w:r>
      <w:r>
        <w:rPr>
          <w:rFonts w:hint="eastAsia"/>
          <w:color w:val="auto"/>
          <w:highlight w:val="none"/>
          <w:u w:val="none"/>
        </w:rPr>
        <w:t>）</w:t>
      </w:r>
      <w:r>
        <w:rPr>
          <w:color w:val="auto"/>
          <w:highlight w:val="none"/>
          <w:u w:val="none"/>
        </w:rPr>
        <w:t>和《危险废物转移联单管理办法》要求执行，</w:t>
      </w:r>
      <w:r>
        <w:rPr>
          <w:rFonts w:hint="eastAsia"/>
          <w:color w:val="auto"/>
          <w:highlight w:val="none"/>
          <w:u w:val="none"/>
        </w:rPr>
        <w:t>本项目与异氰酸酯公司共建共享危废贮存间，</w:t>
      </w:r>
      <w:r>
        <w:rPr>
          <w:rFonts w:hint="eastAsia"/>
          <w:color w:val="auto"/>
          <w:highlight w:val="none"/>
          <w:u w:val="none"/>
          <w:lang w:val="en-US"/>
        </w:rPr>
        <w:t>2024年5月13日转为万华环保科技公司，</w:t>
      </w:r>
      <w:r>
        <w:rPr>
          <w:rFonts w:hint="eastAsia"/>
          <w:color w:val="auto"/>
          <w:highlight w:val="none"/>
          <w:u w:val="none"/>
        </w:rPr>
        <w:t>目前共有危废间2座（1座1</w:t>
      </w:r>
      <w:r>
        <w:rPr>
          <w:color w:val="auto"/>
          <w:highlight w:val="none"/>
          <w:u w:val="none"/>
        </w:rPr>
        <w:t>60m</w:t>
      </w:r>
      <w:r>
        <w:rPr>
          <w:color w:val="auto"/>
          <w:highlight w:val="none"/>
          <w:u w:val="none"/>
          <w:vertAlign w:val="superscript"/>
        </w:rPr>
        <w:t>2</w:t>
      </w:r>
      <w:r>
        <w:rPr>
          <w:rFonts w:hint="eastAsia"/>
          <w:color w:val="auto"/>
          <w:highlight w:val="none"/>
          <w:u w:val="none"/>
        </w:rPr>
        <w:t>，1座4</w:t>
      </w:r>
      <w:r>
        <w:rPr>
          <w:color w:val="auto"/>
          <w:highlight w:val="none"/>
          <w:u w:val="none"/>
        </w:rPr>
        <w:t>50m</w:t>
      </w:r>
      <w:r>
        <w:rPr>
          <w:color w:val="auto"/>
          <w:highlight w:val="none"/>
          <w:u w:val="none"/>
          <w:vertAlign w:val="superscript"/>
        </w:rPr>
        <w:t>2</w:t>
      </w:r>
      <w:r>
        <w:rPr>
          <w:rFonts w:hint="eastAsia"/>
          <w:color w:val="auto"/>
          <w:highlight w:val="none"/>
          <w:u w:val="none"/>
        </w:rPr>
        <w:t>，位于异氰酸酯有限公司地块），该危废贮存间已通过竣工环境保护验收。</w:t>
      </w:r>
    </w:p>
    <w:p w14:paraId="51A6B211">
      <w:pPr>
        <w:pStyle w:val="981"/>
        <w:rPr>
          <w:rFonts w:hint="eastAsia"/>
          <w:color w:val="auto"/>
          <w:highlight w:val="none"/>
          <w:u w:val="none"/>
        </w:rPr>
      </w:pPr>
      <w:r>
        <w:rPr>
          <w:rFonts w:hint="eastAsia"/>
          <w:color w:val="auto"/>
          <w:highlight w:val="none"/>
          <w:u w:val="none"/>
        </w:rPr>
        <w:t>根据竣工环境保护验收监测报告，危险废物间已按《危险废物贮存污染控制标准》（</w:t>
      </w:r>
      <w:r>
        <w:rPr>
          <w:color w:val="auto"/>
          <w:highlight w:val="none"/>
          <w:u w:val="none"/>
        </w:rPr>
        <w:t>GB18597-2023</w:t>
      </w:r>
      <w:r>
        <w:rPr>
          <w:rFonts w:hint="eastAsia"/>
          <w:color w:val="auto"/>
          <w:highlight w:val="none"/>
          <w:u w:val="none"/>
        </w:rPr>
        <w:t>）进行建设，并设置有泄露报警器、收集沟、收集槽，张贴了危险废物标识和危废管理制度。</w:t>
      </w:r>
    </w:p>
    <w:p w14:paraId="030A144A">
      <w:pPr>
        <w:pStyle w:val="981"/>
        <w:rPr>
          <w:rFonts w:hint="eastAsia"/>
          <w:color w:val="auto"/>
          <w:highlight w:val="none"/>
          <w:u w:val="none"/>
        </w:rPr>
      </w:pPr>
      <w:r>
        <w:rPr>
          <w:rFonts w:hint="eastAsia"/>
          <w:color w:val="auto"/>
          <w:highlight w:val="none"/>
          <w:u w:val="none"/>
        </w:rPr>
        <w:t>危险废物鉴别、贮存、转移应注意事项：</w:t>
      </w:r>
    </w:p>
    <w:p w14:paraId="34B913C1">
      <w:pPr>
        <w:pStyle w:val="981"/>
        <w:rPr>
          <w:rFonts w:hint="eastAsia"/>
          <w:color w:val="auto"/>
          <w:highlight w:val="none"/>
          <w:u w:val="none"/>
        </w:rPr>
      </w:pPr>
      <w:r>
        <w:rPr>
          <w:rFonts w:hint="eastAsia"/>
          <w:color w:val="auto"/>
          <w:highlight w:val="none"/>
          <w:u w:val="none"/>
        </w:rPr>
        <w:t>（</w:t>
      </w:r>
      <w:r>
        <w:rPr>
          <w:color w:val="auto"/>
          <w:highlight w:val="none"/>
          <w:u w:val="none"/>
        </w:rPr>
        <w:t>1）危险废物收集、</w:t>
      </w:r>
      <w:r>
        <w:rPr>
          <w:rFonts w:hint="eastAsia"/>
          <w:color w:val="auto"/>
          <w:highlight w:val="none"/>
          <w:u w:val="none"/>
        </w:rPr>
        <w:t>贮存</w:t>
      </w:r>
      <w:r>
        <w:rPr>
          <w:color w:val="auto"/>
          <w:highlight w:val="none"/>
          <w:u w:val="none"/>
        </w:rPr>
        <w:t>时应按腐蚀性、毒性、易燃性、反应性等危险特性对危</w:t>
      </w:r>
      <w:r>
        <w:rPr>
          <w:rFonts w:hint="eastAsia"/>
          <w:color w:val="auto"/>
          <w:highlight w:val="none"/>
          <w:u w:val="none"/>
        </w:rPr>
        <w:t>险废物进行分类包装并设置相应的标志及标签。危险废物特性应根据其产生源特性及</w:t>
      </w:r>
      <w:r>
        <w:rPr>
          <w:color w:val="auto"/>
          <w:highlight w:val="none"/>
          <w:u w:val="none"/>
        </w:rPr>
        <w:t>GB5085.1-7、HI/T298进行鉴别。</w:t>
      </w:r>
    </w:p>
    <w:p w14:paraId="3B37A7C9">
      <w:pPr>
        <w:pStyle w:val="981"/>
        <w:rPr>
          <w:rFonts w:hint="eastAsia"/>
          <w:color w:val="auto"/>
          <w:highlight w:val="none"/>
          <w:u w:val="none"/>
        </w:rPr>
      </w:pPr>
      <w:r>
        <w:rPr>
          <w:rFonts w:hint="eastAsia"/>
          <w:color w:val="auto"/>
          <w:highlight w:val="none"/>
          <w:u w:val="none"/>
        </w:rPr>
        <w:t>（</w:t>
      </w:r>
      <w:r>
        <w:rPr>
          <w:color w:val="auto"/>
          <w:highlight w:val="none"/>
          <w:u w:val="none"/>
        </w:rPr>
        <w:t>2）危险废物应使用符合国家标准的容器盛装危险废物。贮存容器必须具有耐腐</w:t>
      </w:r>
      <w:r>
        <w:rPr>
          <w:rFonts w:hint="eastAsia"/>
          <w:color w:val="auto"/>
          <w:highlight w:val="none"/>
          <w:u w:val="none"/>
        </w:rPr>
        <w:t>蚀、耐压、密封和不与所贮存的废物发生反应等特性。贮存容器应保证完好无损并县有明显标志。</w:t>
      </w:r>
    </w:p>
    <w:p w14:paraId="612C9E3D">
      <w:pPr>
        <w:pStyle w:val="981"/>
        <w:rPr>
          <w:rFonts w:hint="eastAsia"/>
          <w:color w:val="auto"/>
          <w:highlight w:val="none"/>
          <w:u w:val="none"/>
        </w:rPr>
      </w:pPr>
      <w:r>
        <w:rPr>
          <w:rFonts w:hint="eastAsia"/>
          <w:color w:val="auto"/>
          <w:highlight w:val="none"/>
          <w:u w:val="none"/>
        </w:rPr>
        <w:t>（</w:t>
      </w:r>
      <w:r>
        <w:rPr>
          <w:color w:val="auto"/>
          <w:highlight w:val="none"/>
          <w:u w:val="none"/>
        </w:rPr>
        <w:t>3）废催化剂应分别采用防漏胶袋存放。废催化剂排放频次少，更换后应及时装</w:t>
      </w:r>
      <w:r>
        <w:rPr>
          <w:rFonts w:hint="eastAsia"/>
          <w:color w:val="auto"/>
          <w:highlight w:val="none"/>
          <w:u w:val="none"/>
        </w:rPr>
        <w:t>车运走。</w:t>
      </w:r>
    </w:p>
    <w:p w14:paraId="12901BE1">
      <w:pPr>
        <w:pStyle w:val="981"/>
        <w:rPr>
          <w:rFonts w:hint="eastAsia"/>
          <w:color w:val="auto"/>
          <w:highlight w:val="none"/>
          <w:u w:val="none"/>
        </w:rPr>
      </w:pPr>
      <w:r>
        <w:rPr>
          <w:rFonts w:hint="eastAsia"/>
          <w:color w:val="auto"/>
          <w:highlight w:val="none"/>
          <w:u w:val="none"/>
        </w:rPr>
        <w:t>（</w:t>
      </w:r>
      <w:r>
        <w:rPr>
          <w:color w:val="auto"/>
          <w:highlight w:val="none"/>
          <w:u w:val="none"/>
        </w:rPr>
        <w:t>4）危险废物应分类贮存于专用贮存设施内，危险废物贮存设施应满足以下要求：</w:t>
      </w:r>
    </w:p>
    <w:p w14:paraId="3D8A3173">
      <w:pPr>
        <w:pStyle w:val="981"/>
        <w:rPr>
          <w:rFonts w:hint="eastAsia"/>
          <w:color w:val="auto"/>
          <w:highlight w:val="none"/>
          <w:u w:val="none"/>
        </w:rPr>
      </w:pPr>
      <w:r>
        <w:rPr>
          <w:rFonts w:hint="eastAsia"/>
          <w:color w:val="auto"/>
          <w:highlight w:val="none"/>
          <w:u w:val="none"/>
        </w:rPr>
        <w:t>①</w:t>
      </w:r>
      <w:r>
        <w:rPr>
          <w:color w:val="auto"/>
          <w:highlight w:val="none"/>
          <w:u w:val="none"/>
        </w:rPr>
        <w:t>危险废物存储场所应按照</w:t>
      </w:r>
      <w:r>
        <w:rPr>
          <w:rFonts w:hint="eastAsia"/>
          <w:color w:val="auto"/>
          <w:highlight w:val="none"/>
          <w:u w:val="none"/>
        </w:rPr>
        <w:t>《危险废物贮存污染控制标准》（</w:t>
      </w:r>
      <w:r>
        <w:rPr>
          <w:color w:val="auto"/>
          <w:highlight w:val="none"/>
          <w:u w:val="none"/>
        </w:rPr>
        <w:t>GB18597-2023</w:t>
      </w:r>
      <w:r>
        <w:rPr>
          <w:rFonts w:hint="eastAsia"/>
          <w:color w:val="auto"/>
          <w:highlight w:val="none"/>
          <w:u w:val="none"/>
        </w:rPr>
        <w:t>）</w:t>
      </w:r>
      <w:r>
        <w:rPr>
          <w:color w:val="auto"/>
          <w:highlight w:val="none"/>
          <w:u w:val="none"/>
        </w:rPr>
        <w:t>的规定进行</w:t>
      </w:r>
      <w:r>
        <w:rPr>
          <w:rFonts w:hint="eastAsia"/>
          <w:color w:val="auto"/>
          <w:highlight w:val="none"/>
          <w:u w:val="none"/>
        </w:rPr>
        <w:t>设置，规模应满足转运周期的需要。必须有符合《环境保护图形标志一固体废物贮存（</w:t>
      </w:r>
      <w:r>
        <w:rPr>
          <w:color w:val="auto"/>
          <w:highlight w:val="none"/>
          <w:u w:val="none"/>
        </w:rPr>
        <w:t>处</w:t>
      </w:r>
      <w:r>
        <w:rPr>
          <w:rFonts w:hint="eastAsia"/>
          <w:color w:val="auto"/>
          <w:highlight w:val="none"/>
          <w:u w:val="none"/>
        </w:rPr>
        <w:t>置）</w:t>
      </w:r>
      <w:r>
        <w:rPr>
          <w:color w:val="auto"/>
          <w:highlight w:val="none"/>
          <w:u w:val="none"/>
        </w:rPr>
        <w:t>场》</w:t>
      </w:r>
      <w:r>
        <w:rPr>
          <w:rFonts w:hint="eastAsia"/>
          <w:color w:val="auto"/>
          <w:highlight w:val="none"/>
          <w:u w:val="none"/>
        </w:rPr>
        <w:t>（</w:t>
      </w:r>
      <w:r>
        <w:rPr>
          <w:color w:val="auto"/>
          <w:highlight w:val="none"/>
          <w:u w:val="none"/>
        </w:rPr>
        <w:t>GB1562.2-1995</w:t>
      </w:r>
      <w:r>
        <w:rPr>
          <w:rFonts w:hint="eastAsia"/>
          <w:color w:val="auto"/>
          <w:highlight w:val="none"/>
          <w:u w:val="none"/>
        </w:rPr>
        <w:t>）</w:t>
      </w:r>
      <w:r>
        <w:rPr>
          <w:color w:val="auto"/>
          <w:highlight w:val="none"/>
          <w:u w:val="none"/>
        </w:rPr>
        <w:t>的专用标志；</w:t>
      </w:r>
    </w:p>
    <w:p w14:paraId="7997D0C8">
      <w:pPr>
        <w:pStyle w:val="981"/>
        <w:rPr>
          <w:rFonts w:hint="eastAsia"/>
          <w:color w:val="auto"/>
          <w:highlight w:val="none"/>
          <w:u w:val="none"/>
        </w:rPr>
      </w:pPr>
      <w:r>
        <w:rPr>
          <w:rFonts w:hint="eastAsia"/>
          <w:color w:val="auto"/>
          <w:highlight w:val="none"/>
          <w:u w:val="none"/>
        </w:rPr>
        <w:t>②</w:t>
      </w:r>
      <w:r>
        <w:rPr>
          <w:color w:val="auto"/>
          <w:highlight w:val="none"/>
          <w:u w:val="none"/>
        </w:rPr>
        <w:t>不相容的危险废物必须分开存放，并设有隔离间隔断；</w:t>
      </w:r>
    </w:p>
    <w:p w14:paraId="503177D9">
      <w:pPr>
        <w:pStyle w:val="981"/>
        <w:rPr>
          <w:rFonts w:hint="eastAsia"/>
          <w:color w:val="auto"/>
          <w:highlight w:val="none"/>
          <w:u w:val="none"/>
        </w:rPr>
      </w:pPr>
      <w:r>
        <w:rPr>
          <w:rFonts w:hint="eastAsia"/>
          <w:color w:val="auto"/>
          <w:highlight w:val="none"/>
          <w:u w:val="none"/>
        </w:rPr>
        <w:t>③</w:t>
      </w:r>
      <w:r>
        <w:rPr>
          <w:color w:val="auto"/>
          <w:highlight w:val="none"/>
          <w:u w:val="none"/>
        </w:rPr>
        <w:t>应建有堵截泄漏的裙角，地面与裙角要用兼顾防渗的材料建造，建筑材料必须与</w:t>
      </w:r>
      <w:r>
        <w:rPr>
          <w:rFonts w:hint="eastAsia"/>
          <w:color w:val="auto"/>
          <w:highlight w:val="none"/>
          <w:u w:val="none"/>
        </w:rPr>
        <w:t>危险废物相容；</w:t>
      </w:r>
    </w:p>
    <w:p w14:paraId="14CFAEF4">
      <w:pPr>
        <w:pStyle w:val="981"/>
        <w:rPr>
          <w:rFonts w:hint="eastAsia"/>
          <w:color w:val="auto"/>
          <w:highlight w:val="none"/>
          <w:u w:val="none"/>
        </w:rPr>
      </w:pPr>
      <w:r>
        <w:rPr>
          <w:rFonts w:hint="eastAsia"/>
          <w:color w:val="auto"/>
          <w:highlight w:val="none"/>
          <w:u w:val="none"/>
        </w:rPr>
        <w:t>④</w:t>
      </w:r>
      <w:r>
        <w:rPr>
          <w:color w:val="auto"/>
          <w:highlight w:val="none"/>
          <w:u w:val="none"/>
        </w:rPr>
        <w:t>必须有泄漏液体收集装置及气体导出口或净化装置；</w:t>
      </w:r>
    </w:p>
    <w:p w14:paraId="7E77886D">
      <w:pPr>
        <w:pStyle w:val="981"/>
        <w:rPr>
          <w:rFonts w:hint="eastAsia"/>
          <w:color w:val="auto"/>
          <w:highlight w:val="none"/>
          <w:u w:val="none"/>
        </w:rPr>
      </w:pPr>
      <w:r>
        <w:rPr>
          <w:rFonts w:hint="eastAsia"/>
          <w:color w:val="auto"/>
          <w:highlight w:val="none"/>
          <w:u w:val="none"/>
        </w:rPr>
        <w:t>⑤</w:t>
      </w:r>
      <w:r>
        <w:rPr>
          <w:color w:val="auto"/>
          <w:highlight w:val="none"/>
          <w:u w:val="none"/>
        </w:rPr>
        <w:t>应有安全照明和观察窗口，并应设有应急防护设施；</w:t>
      </w:r>
    </w:p>
    <w:p w14:paraId="4AB9A9DE">
      <w:pPr>
        <w:pStyle w:val="981"/>
        <w:rPr>
          <w:rFonts w:hint="eastAsia"/>
          <w:color w:val="auto"/>
          <w:highlight w:val="none"/>
          <w:u w:val="none"/>
        </w:rPr>
      </w:pPr>
      <w:r>
        <w:rPr>
          <w:rFonts w:hint="eastAsia"/>
          <w:color w:val="auto"/>
          <w:highlight w:val="none"/>
          <w:u w:val="none"/>
        </w:rPr>
        <w:t>⑥</w:t>
      </w:r>
      <w:r>
        <w:rPr>
          <w:color w:val="auto"/>
          <w:highlight w:val="none"/>
          <w:u w:val="none"/>
        </w:rPr>
        <w:t>应有隔离设施、报警装置和防风、防晒、防雨、防渗设施以及消防设施</w:t>
      </w:r>
      <w:r>
        <w:rPr>
          <w:rFonts w:hint="eastAsia"/>
          <w:color w:val="auto"/>
          <w:highlight w:val="none"/>
          <w:u w:val="none"/>
        </w:rPr>
        <w:t>；</w:t>
      </w:r>
    </w:p>
    <w:p w14:paraId="5E4CAA2A">
      <w:pPr>
        <w:pStyle w:val="981"/>
        <w:rPr>
          <w:rFonts w:hint="eastAsia"/>
          <w:color w:val="auto"/>
          <w:highlight w:val="none"/>
          <w:u w:val="none"/>
        </w:rPr>
      </w:pPr>
      <w:r>
        <w:rPr>
          <w:rFonts w:hint="eastAsia"/>
          <w:color w:val="auto"/>
          <w:highlight w:val="none"/>
          <w:u w:val="none"/>
        </w:rPr>
        <w:t>⑦</w:t>
      </w:r>
      <w:r>
        <w:rPr>
          <w:color w:val="auto"/>
          <w:highlight w:val="none"/>
          <w:u w:val="none"/>
        </w:rPr>
        <w:t>墙面、棚面应防吸附，用于存放装载液体、半固体危险废物容器的地方，必须有</w:t>
      </w:r>
      <w:r>
        <w:rPr>
          <w:rFonts w:hint="eastAsia"/>
          <w:color w:val="auto"/>
          <w:highlight w:val="none"/>
          <w:u w:val="none"/>
        </w:rPr>
        <w:t>耐腐蚀的硬化地面，且表面无裂隙；</w:t>
      </w:r>
    </w:p>
    <w:p w14:paraId="3E28F0D7">
      <w:pPr>
        <w:pStyle w:val="981"/>
        <w:rPr>
          <w:rFonts w:hint="eastAsia"/>
          <w:color w:val="auto"/>
          <w:highlight w:val="none"/>
          <w:u w:val="none"/>
        </w:rPr>
      </w:pPr>
      <w:r>
        <w:rPr>
          <w:rFonts w:hint="eastAsia"/>
          <w:color w:val="auto"/>
          <w:highlight w:val="none"/>
          <w:u w:val="none"/>
        </w:rPr>
        <w:t>（</w:t>
      </w:r>
      <w:r>
        <w:rPr>
          <w:color w:val="auto"/>
          <w:highlight w:val="none"/>
          <w:u w:val="none"/>
        </w:rPr>
        <w:t>5）专人负责危废的日常收集和管理，对任何进出临时贮存所的危废都要记录在</w:t>
      </w:r>
      <w:r>
        <w:rPr>
          <w:rFonts w:hint="eastAsia"/>
          <w:color w:val="auto"/>
          <w:highlight w:val="none"/>
          <w:u w:val="none"/>
        </w:rPr>
        <w:t>案，做好危险废物排放量及处置记录。</w:t>
      </w:r>
    </w:p>
    <w:p w14:paraId="43AC2AF1">
      <w:pPr>
        <w:pStyle w:val="981"/>
        <w:rPr>
          <w:rFonts w:hint="eastAsia"/>
          <w:color w:val="auto"/>
          <w:highlight w:val="none"/>
          <w:u w:val="none"/>
        </w:rPr>
      </w:pPr>
      <w:r>
        <w:rPr>
          <w:rFonts w:hint="eastAsia"/>
          <w:color w:val="auto"/>
          <w:highlight w:val="none"/>
          <w:u w:val="none"/>
        </w:rPr>
        <w:t>（</w:t>
      </w:r>
      <w:r>
        <w:rPr>
          <w:color w:val="auto"/>
          <w:highlight w:val="none"/>
          <w:u w:val="none"/>
        </w:rPr>
        <w:t>6）危险废物运输应由持有危险废物经营许可证的单位按照其许可证的经营范围</w:t>
      </w:r>
      <w:r>
        <w:rPr>
          <w:rFonts w:hint="eastAsia"/>
          <w:color w:val="auto"/>
          <w:highlight w:val="none"/>
          <w:u w:val="none"/>
        </w:rPr>
        <w:t>组织实施，承担危险废物运输的单位应获得交通运输部门颁发的危险货物运输资质。</w:t>
      </w:r>
    </w:p>
    <w:p w14:paraId="3EF83A4A">
      <w:pPr>
        <w:rPr>
          <w:rFonts w:hint="eastAsia"/>
          <w:color w:val="auto"/>
          <w:highlight w:val="none"/>
          <w:u w:val="none"/>
          <w:lang w:val="en-US"/>
        </w:rPr>
      </w:pPr>
      <w:r>
        <w:rPr>
          <w:rFonts w:hint="eastAsia"/>
          <w:color w:val="auto"/>
          <w:highlight w:val="none"/>
          <w:u w:val="none"/>
          <w:lang w:val="en-US"/>
        </w:rPr>
        <w:t>另外，危险废物处置或利用单位必须县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53E10172">
      <w:pPr>
        <w:pStyle w:val="7"/>
        <w:spacing w:before="156"/>
        <w:rPr>
          <w:color w:val="auto"/>
          <w:highlight w:val="none"/>
          <w:u w:val="none"/>
          <w:lang w:val="en-US"/>
        </w:rPr>
      </w:pPr>
      <w:r>
        <w:rPr>
          <w:rFonts w:hint="eastAsia"/>
          <w:color w:val="auto"/>
          <w:highlight w:val="none"/>
          <w:u w:val="none"/>
          <w:lang w:val="en-US"/>
        </w:rPr>
        <w:t>其他固废贮存场设置和要求</w:t>
      </w:r>
    </w:p>
    <w:p w14:paraId="7A016713">
      <w:pPr>
        <w:pStyle w:val="981"/>
        <w:rPr>
          <w:rFonts w:hint="eastAsia"/>
          <w:color w:val="auto"/>
          <w:highlight w:val="none"/>
          <w:u w:val="none"/>
          <w:lang w:val="en-US"/>
        </w:rPr>
      </w:pPr>
      <w:r>
        <w:rPr>
          <w:rFonts w:hint="eastAsia"/>
          <w:color w:val="auto"/>
          <w:highlight w:val="none"/>
          <w:u w:val="none"/>
          <w:lang w:val="en-US"/>
        </w:rPr>
        <w:t>生活垃圾：厂内设置垃圾桶及一处垃圾转运站，由保洁工人负责维护。</w:t>
      </w:r>
    </w:p>
    <w:p w14:paraId="22DC3CFD">
      <w:pPr>
        <w:pStyle w:val="7"/>
        <w:spacing w:before="156"/>
        <w:rPr>
          <w:color w:val="auto"/>
          <w:highlight w:val="none"/>
          <w:u w:val="none"/>
          <w:lang w:val="en-US"/>
        </w:rPr>
      </w:pPr>
      <w:r>
        <w:rPr>
          <w:rFonts w:hint="eastAsia"/>
          <w:color w:val="auto"/>
          <w:highlight w:val="none"/>
          <w:u w:val="none"/>
          <w:lang w:val="en-US"/>
        </w:rPr>
        <w:t>厂内固体废物贮存设施设置要求</w:t>
      </w:r>
    </w:p>
    <w:p w14:paraId="761C7DC3">
      <w:pPr>
        <w:pStyle w:val="981"/>
        <w:rPr>
          <w:rFonts w:hint="eastAsia"/>
          <w:color w:val="auto"/>
          <w:highlight w:val="none"/>
          <w:u w:val="none"/>
          <w:lang w:val="en-US"/>
        </w:rPr>
      </w:pPr>
      <w:r>
        <w:rPr>
          <w:rFonts w:hint="eastAsia"/>
          <w:color w:val="auto"/>
          <w:highlight w:val="none"/>
          <w:u w:val="none"/>
          <w:lang w:val="en-US"/>
        </w:rPr>
        <w:t>万华福建公司危废暂存依托万华环保科技公司危废贮存间（共2座，</w:t>
      </w:r>
      <w:r>
        <w:rPr>
          <w:rFonts w:hint="eastAsia"/>
          <w:color w:val="auto"/>
          <w:highlight w:val="none"/>
          <w:u w:val="none"/>
        </w:rPr>
        <w:t>1座1</w:t>
      </w:r>
      <w:r>
        <w:rPr>
          <w:color w:val="auto"/>
          <w:highlight w:val="none"/>
          <w:u w:val="none"/>
        </w:rPr>
        <w:t>60m</w:t>
      </w:r>
      <w:r>
        <w:rPr>
          <w:color w:val="auto"/>
          <w:highlight w:val="none"/>
          <w:u w:val="none"/>
          <w:vertAlign w:val="superscript"/>
        </w:rPr>
        <w:t>2</w:t>
      </w:r>
      <w:r>
        <w:rPr>
          <w:rFonts w:hint="eastAsia"/>
          <w:color w:val="auto"/>
          <w:highlight w:val="none"/>
          <w:u w:val="none"/>
        </w:rPr>
        <w:t>，1座4</w:t>
      </w:r>
      <w:r>
        <w:rPr>
          <w:color w:val="auto"/>
          <w:highlight w:val="none"/>
          <w:u w:val="none"/>
        </w:rPr>
        <w:t>50m</w:t>
      </w:r>
      <w:r>
        <w:rPr>
          <w:color w:val="auto"/>
          <w:highlight w:val="none"/>
          <w:u w:val="none"/>
          <w:vertAlign w:val="superscript"/>
        </w:rPr>
        <w:t>2</w:t>
      </w:r>
      <w:r>
        <w:rPr>
          <w:rFonts w:hint="eastAsia"/>
          <w:color w:val="auto"/>
          <w:highlight w:val="none"/>
          <w:u w:val="none"/>
        </w:rPr>
        <w:t>，</w:t>
      </w:r>
      <w:r>
        <w:rPr>
          <w:rFonts w:hint="eastAsia"/>
          <w:color w:val="auto"/>
          <w:highlight w:val="none"/>
          <w:u w:val="none"/>
          <w:lang w:val="en-US"/>
        </w:rPr>
        <w:t>总面积</w:t>
      </w:r>
      <w:r>
        <w:rPr>
          <w:color w:val="auto"/>
          <w:highlight w:val="none"/>
          <w:u w:val="none"/>
          <w:lang w:val="en-US"/>
        </w:rPr>
        <w:t>610m</w:t>
      </w:r>
      <w:r>
        <w:rPr>
          <w:color w:val="auto"/>
          <w:highlight w:val="none"/>
          <w:u w:val="none"/>
          <w:vertAlign w:val="superscript"/>
          <w:lang w:val="en-US"/>
        </w:rPr>
        <w:t>2</w:t>
      </w:r>
      <w:r>
        <w:rPr>
          <w:color w:val="auto"/>
          <w:highlight w:val="none"/>
          <w:u w:val="none"/>
          <w:lang w:val="en-US"/>
        </w:rPr>
        <w:t>），万华福建公司产生的危险废物单独贮存，</w:t>
      </w:r>
      <w:r>
        <w:rPr>
          <w:rFonts w:hint="eastAsia"/>
          <w:color w:val="auto"/>
          <w:highlight w:val="none"/>
          <w:u w:val="none"/>
          <w:lang w:val="en-US"/>
        </w:rPr>
        <w:t>其危险废物的转移、贮存、台账、处置仍由</w:t>
      </w:r>
      <w:r>
        <w:rPr>
          <w:color w:val="auto"/>
          <w:highlight w:val="none"/>
          <w:u w:val="none"/>
          <w:lang w:val="en-US"/>
        </w:rPr>
        <w:t>万华福建公司</w:t>
      </w:r>
      <w:r>
        <w:rPr>
          <w:rFonts w:hint="eastAsia"/>
          <w:color w:val="auto"/>
          <w:highlight w:val="none"/>
          <w:u w:val="none"/>
          <w:lang w:val="en-US"/>
        </w:rPr>
        <w:t>负责管理。本项目危废暂存需</w:t>
      </w:r>
      <w:r>
        <w:rPr>
          <w:color w:val="auto"/>
          <w:highlight w:val="none"/>
          <w:u w:val="none"/>
          <w:lang w:val="en-US"/>
        </w:rPr>
        <w:t>55m</w:t>
      </w:r>
      <w:r>
        <w:rPr>
          <w:color w:val="auto"/>
          <w:highlight w:val="none"/>
          <w:u w:val="none"/>
          <w:vertAlign w:val="superscript"/>
          <w:lang w:val="en-US"/>
        </w:rPr>
        <w:t>2</w:t>
      </w:r>
      <w:r>
        <w:rPr>
          <w:rFonts w:hint="eastAsia"/>
          <w:color w:val="auto"/>
          <w:highlight w:val="none"/>
          <w:u w:val="none"/>
          <w:lang w:val="en-US"/>
        </w:rPr>
        <w:t>（由610</w:t>
      </w:r>
      <w:r>
        <w:rPr>
          <w:color w:val="auto"/>
          <w:highlight w:val="none"/>
          <w:u w:val="none"/>
          <w:lang w:val="en-US"/>
        </w:rPr>
        <w:t>m</w:t>
      </w:r>
      <w:r>
        <w:rPr>
          <w:color w:val="auto"/>
          <w:highlight w:val="none"/>
          <w:u w:val="none"/>
          <w:vertAlign w:val="superscript"/>
          <w:lang w:val="en-US"/>
        </w:rPr>
        <w:t>2</w:t>
      </w:r>
      <w:r>
        <w:rPr>
          <w:color w:val="auto"/>
          <w:highlight w:val="none"/>
          <w:u w:val="none"/>
          <w:lang w:val="en-US"/>
        </w:rPr>
        <w:t>面积</w:t>
      </w:r>
      <w:r>
        <w:rPr>
          <w:rFonts w:hint="eastAsia"/>
          <w:color w:val="auto"/>
          <w:highlight w:val="none"/>
          <w:u w:val="none"/>
          <w:lang w:val="en-US"/>
        </w:rPr>
        <w:t>中划出）</w:t>
      </w:r>
      <w:r>
        <w:rPr>
          <w:color w:val="auto"/>
          <w:highlight w:val="none"/>
          <w:u w:val="none"/>
          <w:lang w:val="en-US"/>
        </w:rPr>
        <w:t>。各种固体废物所</w:t>
      </w:r>
      <w:r>
        <w:rPr>
          <w:rFonts w:hint="eastAsia"/>
          <w:color w:val="auto"/>
          <w:highlight w:val="none"/>
          <w:u w:val="none"/>
          <w:lang w:val="en-US"/>
        </w:rPr>
        <w:t>需贮存</w:t>
      </w:r>
      <w:r>
        <w:rPr>
          <w:color w:val="auto"/>
          <w:highlight w:val="none"/>
          <w:u w:val="none"/>
          <w:lang w:val="en-US"/>
        </w:rPr>
        <w:t>间面积、</w:t>
      </w:r>
      <w:r>
        <w:rPr>
          <w:rFonts w:hint="eastAsia"/>
          <w:color w:val="auto"/>
          <w:highlight w:val="none"/>
          <w:u w:val="none"/>
          <w:lang w:val="en-US"/>
        </w:rPr>
        <w:t>贮存</w:t>
      </w:r>
      <w:r>
        <w:rPr>
          <w:color w:val="auto"/>
          <w:highlight w:val="none"/>
          <w:u w:val="none"/>
          <w:lang w:val="en-US"/>
        </w:rPr>
        <w:t>时间、最大</w:t>
      </w:r>
      <w:r>
        <w:rPr>
          <w:rFonts w:hint="eastAsia"/>
          <w:color w:val="auto"/>
          <w:highlight w:val="none"/>
          <w:u w:val="none"/>
          <w:lang w:val="en-US"/>
        </w:rPr>
        <w:t>贮存量要求见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_Ref147997958 \h</w:instrText>
      </w:r>
      <w:r>
        <w:rPr>
          <w:color w:val="auto"/>
          <w:highlight w:val="none"/>
          <w:u w:val="none"/>
          <w:lang w:val="en-US"/>
        </w:rPr>
        <w:instrText xml:space="preserve">  \* MERGEFORMAT </w:instrText>
      </w:r>
      <w:r>
        <w:rPr>
          <w:color w:val="auto"/>
          <w:highlight w:val="none"/>
          <w:u w:val="none"/>
          <w:lang w:val="en-US"/>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lang w:val="en-US"/>
        </w:rPr>
        <w:fldChar w:fldCharType="end"/>
      </w:r>
      <w:r>
        <w:rPr>
          <w:rFonts w:hint="eastAsia"/>
          <w:color w:val="auto"/>
          <w:highlight w:val="none"/>
          <w:u w:val="none"/>
          <w:lang w:val="en-US"/>
        </w:rPr>
        <w:t>。</w:t>
      </w:r>
    </w:p>
    <w:p w14:paraId="3E11A976">
      <w:pPr>
        <w:pStyle w:val="476"/>
        <w:rPr>
          <w:color w:val="auto"/>
          <w:highlight w:val="none"/>
          <w:u w:val="none"/>
        </w:rPr>
      </w:pPr>
      <w:bookmarkStart w:id="537" w:name="_Ref14799795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537"/>
      <w:r>
        <w:rPr>
          <w:color w:val="auto"/>
          <w:highlight w:val="none"/>
          <w:u w:val="none"/>
        </w:rPr>
        <w:t xml:space="preserve">  </w:t>
      </w:r>
      <w:r>
        <w:rPr>
          <w:rFonts w:hint="eastAsia"/>
          <w:color w:val="auto"/>
          <w:highlight w:val="none"/>
          <w:u w:val="none"/>
        </w:rPr>
        <w:t>固体废物分类贮存设施设置要求</w:t>
      </w:r>
    </w:p>
    <w:tbl>
      <w:tblPr>
        <w:tblStyle w:val="5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21"/>
        <w:gridCol w:w="553"/>
        <w:gridCol w:w="1511"/>
        <w:gridCol w:w="1583"/>
        <w:gridCol w:w="812"/>
        <w:gridCol w:w="1071"/>
        <w:gridCol w:w="892"/>
        <w:gridCol w:w="1943"/>
      </w:tblGrid>
      <w:tr w14:paraId="5622B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Align w:val="center"/>
          </w:tcPr>
          <w:p w14:paraId="7C07E883">
            <w:pPr>
              <w:pStyle w:val="92"/>
              <w:rPr>
                <w:color w:val="auto"/>
                <w:highlight w:val="none"/>
                <w:u w:val="none"/>
              </w:rPr>
            </w:pPr>
            <w:r>
              <w:rPr>
                <w:color w:val="auto"/>
                <w:highlight w:val="none"/>
                <w:u w:val="none"/>
              </w:rPr>
              <w:t>类别</w:t>
            </w:r>
          </w:p>
        </w:tc>
        <w:tc>
          <w:tcPr>
            <w:tcW w:w="565" w:type="dxa"/>
            <w:vAlign w:val="center"/>
          </w:tcPr>
          <w:p w14:paraId="566FEF09">
            <w:pPr>
              <w:pStyle w:val="92"/>
              <w:rPr>
                <w:color w:val="auto"/>
                <w:highlight w:val="none"/>
                <w:u w:val="none"/>
              </w:rPr>
            </w:pPr>
            <w:r>
              <w:rPr>
                <w:color w:val="auto"/>
                <w:highlight w:val="none"/>
                <w:u w:val="none"/>
              </w:rPr>
              <w:t>序号</w:t>
            </w:r>
          </w:p>
        </w:tc>
        <w:tc>
          <w:tcPr>
            <w:tcW w:w="1596" w:type="dxa"/>
            <w:vAlign w:val="center"/>
          </w:tcPr>
          <w:p w14:paraId="1F321971">
            <w:pPr>
              <w:pStyle w:val="92"/>
              <w:rPr>
                <w:color w:val="auto"/>
                <w:highlight w:val="none"/>
                <w:u w:val="none"/>
              </w:rPr>
            </w:pPr>
            <w:r>
              <w:rPr>
                <w:color w:val="auto"/>
                <w:highlight w:val="none"/>
                <w:u w:val="none"/>
              </w:rPr>
              <w:t>项目</w:t>
            </w:r>
          </w:p>
        </w:tc>
        <w:tc>
          <w:tcPr>
            <w:tcW w:w="1674" w:type="dxa"/>
            <w:vAlign w:val="center"/>
          </w:tcPr>
          <w:p w14:paraId="6006D07A">
            <w:pPr>
              <w:pStyle w:val="92"/>
              <w:rPr>
                <w:color w:val="auto"/>
                <w:highlight w:val="none"/>
                <w:u w:val="none"/>
              </w:rPr>
            </w:pPr>
            <w:r>
              <w:rPr>
                <w:color w:val="auto"/>
                <w:highlight w:val="none"/>
                <w:u w:val="none"/>
              </w:rPr>
              <w:t>建设内容、规模</w:t>
            </w:r>
          </w:p>
        </w:tc>
        <w:tc>
          <w:tcPr>
            <w:tcW w:w="850" w:type="dxa"/>
            <w:vAlign w:val="center"/>
          </w:tcPr>
          <w:p w14:paraId="0078BCA7">
            <w:pPr>
              <w:pStyle w:val="92"/>
              <w:rPr>
                <w:color w:val="auto"/>
                <w:highlight w:val="none"/>
                <w:u w:val="none"/>
              </w:rPr>
            </w:pPr>
            <w:r>
              <w:rPr>
                <w:color w:val="auto"/>
                <w:highlight w:val="none"/>
                <w:u w:val="none"/>
              </w:rPr>
              <w:t>最大</w:t>
            </w:r>
          </w:p>
          <w:p w14:paraId="32EA0E76">
            <w:pPr>
              <w:pStyle w:val="92"/>
              <w:rPr>
                <w:color w:val="auto"/>
                <w:highlight w:val="none"/>
                <w:u w:val="none"/>
              </w:rPr>
            </w:pPr>
            <w:r>
              <w:rPr>
                <w:color w:val="auto"/>
                <w:highlight w:val="none"/>
                <w:u w:val="none"/>
              </w:rPr>
              <w:t>存量</w:t>
            </w:r>
          </w:p>
        </w:tc>
        <w:tc>
          <w:tcPr>
            <w:tcW w:w="1134" w:type="dxa"/>
            <w:vAlign w:val="center"/>
          </w:tcPr>
          <w:p w14:paraId="58399CC2">
            <w:pPr>
              <w:pStyle w:val="92"/>
              <w:rPr>
                <w:color w:val="auto"/>
                <w:highlight w:val="none"/>
                <w:u w:val="none"/>
              </w:rPr>
            </w:pPr>
            <w:r>
              <w:rPr>
                <w:color w:val="auto"/>
                <w:highlight w:val="none"/>
                <w:u w:val="none"/>
              </w:rPr>
              <w:t>暂存</w:t>
            </w:r>
          </w:p>
          <w:p w14:paraId="353FA64A">
            <w:pPr>
              <w:pStyle w:val="92"/>
              <w:rPr>
                <w:color w:val="auto"/>
                <w:highlight w:val="none"/>
                <w:u w:val="none"/>
              </w:rPr>
            </w:pPr>
            <w:r>
              <w:rPr>
                <w:color w:val="auto"/>
                <w:highlight w:val="none"/>
                <w:u w:val="none"/>
              </w:rPr>
              <w:t>周期</w:t>
            </w:r>
          </w:p>
        </w:tc>
        <w:tc>
          <w:tcPr>
            <w:tcW w:w="938" w:type="dxa"/>
            <w:vAlign w:val="center"/>
          </w:tcPr>
          <w:p w14:paraId="65DB44F0">
            <w:pPr>
              <w:pStyle w:val="92"/>
              <w:rPr>
                <w:color w:val="auto"/>
                <w:highlight w:val="none"/>
                <w:u w:val="none"/>
              </w:rPr>
            </w:pPr>
            <w:r>
              <w:rPr>
                <w:color w:val="auto"/>
                <w:highlight w:val="none"/>
                <w:u w:val="none"/>
              </w:rPr>
              <w:t>包装方式</w:t>
            </w:r>
          </w:p>
        </w:tc>
        <w:tc>
          <w:tcPr>
            <w:tcW w:w="1313" w:type="dxa"/>
            <w:vAlign w:val="center"/>
          </w:tcPr>
          <w:p w14:paraId="27F0A626">
            <w:pPr>
              <w:pStyle w:val="92"/>
              <w:rPr>
                <w:color w:val="auto"/>
                <w:highlight w:val="none"/>
                <w:u w:val="none"/>
              </w:rPr>
            </w:pPr>
            <w:r>
              <w:rPr>
                <w:color w:val="auto"/>
                <w:highlight w:val="none"/>
                <w:u w:val="none"/>
              </w:rPr>
              <w:t>建设要求</w:t>
            </w:r>
          </w:p>
        </w:tc>
      </w:tr>
      <w:tr w14:paraId="18F06A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restart"/>
            <w:vAlign w:val="center"/>
          </w:tcPr>
          <w:p w14:paraId="0CAEFE0C">
            <w:pPr>
              <w:pStyle w:val="92"/>
              <w:rPr>
                <w:color w:val="auto"/>
                <w:highlight w:val="none"/>
                <w:u w:val="none"/>
              </w:rPr>
            </w:pPr>
            <w:r>
              <w:rPr>
                <w:color w:val="auto"/>
                <w:highlight w:val="none"/>
                <w:u w:val="none"/>
              </w:rPr>
              <w:t>危险废</w:t>
            </w:r>
          </w:p>
          <w:p w14:paraId="3054C65C">
            <w:pPr>
              <w:pStyle w:val="92"/>
              <w:rPr>
                <w:color w:val="auto"/>
                <w:highlight w:val="none"/>
                <w:u w:val="none"/>
              </w:rPr>
            </w:pPr>
            <w:r>
              <w:rPr>
                <w:color w:val="auto"/>
                <w:highlight w:val="none"/>
                <w:u w:val="none"/>
              </w:rPr>
              <w:t>物分类</w:t>
            </w:r>
          </w:p>
          <w:p w14:paraId="3F4A9382">
            <w:pPr>
              <w:pStyle w:val="92"/>
              <w:rPr>
                <w:color w:val="auto"/>
                <w:highlight w:val="none"/>
                <w:u w:val="none"/>
              </w:rPr>
            </w:pPr>
            <w:r>
              <w:rPr>
                <w:color w:val="auto"/>
                <w:highlight w:val="none"/>
                <w:u w:val="none"/>
              </w:rPr>
              <w:t>暂存设</w:t>
            </w:r>
          </w:p>
          <w:p w14:paraId="2B09C522">
            <w:pPr>
              <w:pStyle w:val="92"/>
              <w:rPr>
                <w:color w:val="auto"/>
                <w:highlight w:val="none"/>
                <w:u w:val="none"/>
              </w:rPr>
            </w:pPr>
            <w:r>
              <w:rPr>
                <w:color w:val="auto"/>
                <w:highlight w:val="none"/>
                <w:u w:val="none"/>
              </w:rPr>
              <w:t>施</w:t>
            </w:r>
          </w:p>
        </w:tc>
        <w:tc>
          <w:tcPr>
            <w:tcW w:w="565" w:type="dxa"/>
            <w:vAlign w:val="center"/>
          </w:tcPr>
          <w:p w14:paraId="30DC7A33">
            <w:pPr>
              <w:pStyle w:val="92"/>
              <w:rPr>
                <w:color w:val="auto"/>
                <w:highlight w:val="none"/>
                <w:u w:val="none"/>
              </w:rPr>
            </w:pPr>
            <w:r>
              <w:rPr>
                <w:rFonts w:hint="eastAsia"/>
                <w:color w:val="auto"/>
                <w:highlight w:val="none"/>
                <w:u w:val="none"/>
              </w:rPr>
              <w:t>1</w:t>
            </w:r>
          </w:p>
        </w:tc>
        <w:tc>
          <w:tcPr>
            <w:tcW w:w="1596" w:type="dxa"/>
            <w:vAlign w:val="center"/>
          </w:tcPr>
          <w:p w14:paraId="1548CFFF">
            <w:pPr>
              <w:pStyle w:val="92"/>
              <w:rPr>
                <w:color w:val="auto"/>
                <w:highlight w:val="none"/>
                <w:u w:val="none"/>
              </w:rPr>
            </w:pPr>
            <w:r>
              <w:rPr>
                <w:rFonts w:hint="eastAsia"/>
                <w:color w:val="auto"/>
                <w:highlight w:val="none"/>
                <w:u w:val="none"/>
              </w:rPr>
              <w:t>废DNT</w:t>
            </w:r>
          </w:p>
        </w:tc>
        <w:tc>
          <w:tcPr>
            <w:tcW w:w="1674" w:type="dxa"/>
            <w:vAlign w:val="center"/>
          </w:tcPr>
          <w:p w14:paraId="25601878">
            <w:pPr>
              <w:pStyle w:val="92"/>
              <w:rPr>
                <w:color w:val="auto"/>
                <w:highlight w:val="none"/>
                <w:u w:val="none"/>
              </w:rPr>
            </w:pPr>
            <w:r>
              <w:rPr>
                <w:color w:val="auto"/>
                <w:highlight w:val="none"/>
                <w:u w:val="none"/>
              </w:rPr>
              <w:t>暂存面积</w:t>
            </w:r>
            <w:r>
              <w:rPr>
                <w:rFonts w:hint="eastAsia"/>
                <w:color w:val="auto"/>
                <w:highlight w:val="none"/>
                <w:u w:val="none"/>
              </w:rPr>
              <w:t>5</w:t>
            </w:r>
            <w:r>
              <w:rPr>
                <w:color w:val="auto"/>
                <w:highlight w:val="none"/>
                <w:u w:val="none"/>
              </w:rPr>
              <w:t>m</w:t>
            </w:r>
            <w:r>
              <w:rPr>
                <w:color w:val="auto"/>
                <w:highlight w:val="none"/>
                <w:u w:val="none"/>
                <w:vertAlign w:val="superscript"/>
              </w:rPr>
              <w:t>2</w:t>
            </w:r>
          </w:p>
        </w:tc>
        <w:tc>
          <w:tcPr>
            <w:tcW w:w="850" w:type="dxa"/>
            <w:vAlign w:val="center"/>
          </w:tcPr>
          <w:p w14:paraId="72977B39">
            <w:pPr>
              <w:pStyle w:val="92"/>
              <w:rPr>
                <w:color w:val="auto"/>
                <w:highlight w:val="none"/>
                <w:u w:val="none"/>
              </w:rPr>
            </w:pPr>
          </w:p>
        </w:tc>
        <w:tc>
          <w:tcPr>
            <w:tcW w:w="1134" w:type="dxa"/>
            <w:vAlign w:val="center"/>
          </w:tcPr>
          <w:p w14:paraId="385F2C6C">
            <w:pPr>
              <w:pStyle w:val="92"/>
              <w:rPr>
                <w:color w:val="auto"/>
                <w:highlight w:val="none"/>
                <w:u w:val="none"/>
              </w:rPr>
            </w:pPr>
            <w:r>
              <w:rPr>
                <w:rFonts w:hint="eastAsia"/>
                <w:color w:val="auto"/>
                <w:highlight w:val="none"/>
                <w:u w:val="none"/>
              </w:rPr>
              <w:t>半个月</w:t>
            </w:r>
          </w:p>
        </w:tc>
        <w:tc>
          <w:tcPr>
            <w:tcW w:w="938" w:type="dxa"/>
            <w:vAlign w:val="center"/>
          </w:tcPr>
          <w:p w14:paraId="363808AC">
            <w:pPr>
              <w:pStyle w:val="92"/>
              <w:rPr>
                <w:color w:val="auto"/>
                <w:highlight w:val="none"/>
                <w:u w:val="none"/>
              </w:rPr>
            </w:pPr>
            <w:r>
              <w:rPr>
                <w:color w:val="auto"/>
                <w:highlight w:val="none"/>
                <w:u w:val="none"/>
              </w:rPr>
              <w:t>桶装</w:t>
            </w:r>
          </w:p>
        </w:tc>
        <w:tc>
          <w:tcPr>
            <w:tcW w:w="1313" w:type="dxa"/>
            <w:vMerge w:val="restart"/>
            <w:vAlign w:val="center"/>
          </w:tcPr>
          <w:p w14:paraId="1EB1755E">
            <w:pPr>
              <w:pStyle w:val="92"/>
              <w:rPr>
                <w:color w:val="auto"/>
                <w:highlight w:val="none"/>
                <w:u w:val="none"/>
              </w:rPr>
            </w:pPr>
            <w:r>
              <w:rPr>
                <w:color w:val="auto"/>
                <w:highlight w:val="none"/>
                <w:u w:val="none"/>
              </w:rPr>
              <w:t>符合《危险废物贮存污染控制标准》（GB18597-2023）要求</w:t>
            </w:r>
          </w:p>
        </w:tc>
      </w:tr>
      <w:tr w14:paraId="0069C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5A3436B4">
            <w:pPr>
              <w:pStyle w:val="92"/>
              <w:rPr>
                <w:color w:val="auto"/>
                <w:highlight w:val="none"/>
                <w:u w:val="none"/>
              </w:rPr>
            </w:pPr>
          </w:p>
        </w:tc>
        <w:tc>
          <w:tcPr>
            <w:tcW w:w="565" w:type="dxa"/>
            <w:vAlign w:val="center"/>
          </w:tcPr>
          <w:p w14:paraId="202379EC">
            <w:pPr>
              <w:pStyle w:val="92"/>
              <w:rPr>
                <w:color w:val="auto"/>
                <w:highlight w:val="none"/>
                <w:u w:val="none"/>
              </w:rPr>
            </w:pPr>
            <w:r>
              <w:rPr>
                <w:rFonts w:hint="eastAsia"/>
                <w:color w:val="auto"/>
                <w:highlight w:val="none"/>
                <w:u w:val="none"/>
              </w:rPr>
              <w:t>2</w:t>
            </w:r>
          </w:p>
        </w:tc>
        <w:tc>
          <w:tcPr>
            <w:tcW w:w="1596" w:type="dxa"/>
            <w:vAlign w:val="center"/>
          </w:tcPr>
          <w:p w14:paraId="0C09271B">
            <w:pPr>
              <w:pStyle w:val="92"/>
              <w:rPr>
                <w:color w:val="auto"/>
                <w:highlight w:val="none"/>
                <w:u w:val="none"/>
              </w:rPr>
            </w:pPr>
            <w:r>
              <w:rPr>
                <w:color w:val="auto"/>
                <w:highlight w:val="none"/>
                <w:u w:val="none"/>
              </w:rPr>
              <w:t>废催化剂</w:t>
            </w:r>
          </w:p>
        </w:tc>
        <w:tc>
          <w:tcPr>
            <w:tcW w:w="1674" w:type="dxa"/>
            <w:vAlign w:val="center"/>
          </w:tcPr>
          <w:p w14:paraId="562DFE84">
            <w:pPr>
              <w:pStyle w:val="92"/>
              <w:rPr>
                <w:color w:val="auto"/>
                <w:highlight w:val="none"/>
                <w:u w:val="none"/>
              </w:rPr>
            </w:pPr>
            <w:r>
              <w:rPr>
                <w:color w:val="auto"/>
                <w:highlight w:val="none"/>
                <w:u w:val="none"/>
              </w:rPr>
              <w:t>暂存面积</w:t>
            </w:r>
            <w:r>
              <w:rPr>
                <w:rFonts w:hint="eastAsia"/>
                <w:color w:val="auto"/>
                <w:highlight w:val="none"/>
                <w:u w:val="none"/>
              </w:rPr>
              <w:t>5</w:t>
            </w:r>
            <w:r>
              <w:rPr>
                <w:color w:val="auto"/>
                <w:highlight w:val="none"/>
                <w:u w:val="none"/>
              </w:rPr>
              <w:t>m</w:t>
            </w:r>
            <w:r>
              <w:rPr>
                <w:color w:val="auto"/>
                <w:highlight w:val="none"/>
                <w:u w:val="none"/>
                <w:vertAlign w:val="superscript"/>
              </w:rPr>
              <w:t>2</w:t>
            </w:r>
          </w:p>
        </w:tc>
        <w:tc>
          <w:tcPr>
            <w:tcW w:w="850" w:type="dxa"/>
            <w:vAlign w:val="center"/>
          </w:tcPr>
          <w:p w14:paraId="3D89E146">
            <w:pPr>
              <w:pStyle w:val="92"/>
              <w:rPr>
                <w:color w:val="auto"/>
                <w:highlight w:val="none"/>
                <w:u w:val="none"/>
              </w:rPr>
            </w:pPr>
          </w:p>
        </w:tc>
        <w:tc>
          <w:tcPr>
            <w:tcW w:w="1134" w:type="dxa"/>
            <w:vAlign w:val="center"/>
          </w:tcPr>
          <w:p w14:paraId="6D9413AB">
            <w:pPr>
              <w:pStyle w:val="92"/>
              <w:rPr>
                <w:color w:val="auto"/>
                <w:highlight w:val="none"/>
                <w:u w:val="none"/>
              </w:rPr>
            </w:pPr>
            <w:r>
              <w:rPr>
                <w:rFonts w:hint="eastAsia"/>
                <w:color w:val="auto"/>
                <w:highlight w:val="none"/>
                <w:u w:val="none"/>
              </w:rPr>
              <w:t>半个月</w:t>
            </w:r>
          </w:p>
        </w:tc>
        <w:tc>
          <w:tcPr>
            <w:tcW w:w="938" w:type="dxa"/>
            <w:vAlign w:val="center"/>
          </w:tcPr>
          <w:p w14:paraId="64C36DC5">
            <w:pPr>
              <w:pStyle w:val="92"/>
              <w:rPr>
                <w:color w:val="auto"/>
                <w:highlight w:val="none"/>
                <w:u w:val="none"/>
              </w:rPr>
            </w:pPr>
            <w:r>
              <w:rPr>
                <w:color w:val="auto"/>
                <w:highlight w:val="none"/>
                <w:u w:val="none"/>
              </w:rPr>
              <w:t>桶装</w:t>
            </w:r>
          </w:p>
        </w:tc>
        <w:tc>
          <w:tcPr>
            <w:tcW w:w="1313" w:type="dxa"/>
            <w:vMerge w:val="continue"/>
            <w:vAlign w:val="center"/>
          </w:tcPr>
          <w:p w14:paraId="38571913">
            <w:pPr>
              <w:pStyle w:val="92"/>
              <w:rPr>
                <w:color w:val="auto"/>
                <w:highlight w:val="none"/>
                <w:u w:val="none"/>
              </w:rPr>
            </w:pPr>
          </w:p>
        </w:tc>
      </w:tr>
      <w:tr w14:paraId="7229EA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7506B6DB">
            <w:pPr>
              <w:pStyle w:val="92"/>
              <w:rPr>
                <w:color w:val="auto"/>
                <w:highlight w:val="none"/>
                <w:u w:val="none"/>
              </w:rPr>
            </w:pPr>
          </w:p>
        </w:tc>
        <w:tc>
          <w:tcPr>
            <w:tcW w:w="565" w:type="dxa"/>
            <w:vAlign w:val="center"/>
          </w:tcPr>
          <w:p w14:paraId="1DA1EE0B">
            <w:pPr>
              <w:pStyle w:val="92"/>
              <w:rPr>
                <w:color w:val="auto"/>
                <w:highlight w:val="none"/>
                <w:u w:val="none"/>
              </w:rPr>
            </w:pPr>
            <w:r>
              <w:rPr>
                <w:rFonts w:hint="eastAsia"/>
                <w:color w:val="auto"/>
                <w:highlight w:val="none"/>
                <w:u w:val="none"/>
              </w:rPr>
              <w:t>3</w:t>
            </w:r>
          </w:p>
        </w:tc>
        <w:tc>
          <w:tcPr>
            <w:tcW w:w="1596" w:type="dxa"/>
            <w:vAlign w:val="center"/>
          </w:tcPr>
          <w:p w14:paraId="6835CEDF">
            <w:pPr>
              <w:pStyle w:val="92"/>
              <w:rPr>
                <w:color w:val="auto"/>
                <w:highlight w:val="none"/>
                <w:u w:val="none"/>
              </w:rPr>
            </w:pPr>
            <w:r>
              <w:rPr>
                <w:color w:val="auto"/>
                <w:highlight w:val="none"/>
                <w:u w:val="none"/>
              </w:rPr>
              <w:t>TDA精馏残渣</w:t>
            </w:r>
          </w:p>
        </w:tc>
        <w:tc>
          <w:tcPr>
            <w:tcW w:w="1674" w:type="dxa"/>
            <w:vAlign w:val="center"/>
          </w:tcPr>
          <w:p w14:paraId="734E27A9">
            <w:pPr>
              <w:pStyle w:val="92"/>
              <w:rPr>
                <w:color w:val="auto"/>
                <w:highlight w:val="none"/>
                <w:u w:val="none"/>
              </w:rPr>
            </w:pPr>
            <w:r>
              <w:rPr>
                <w:color w:val="auto"/>
                <w:highlight w:val="none"/>
                <w:u w:val="none"/>
              </w:rPr>
              <w:t>暂存面积</w:t>
            </w:r>
            <w:r>
              <w:rPr>
                <w:rFonts w:hint="eastAsia"/>
                <w:color w:val="auto"/>
                <w:highlight w:val="none"/>
                <w:u w:val="none"/>
              </w:rPr>
              <w:t>5</w:t>
            </w:r>
            <w:r>
              <w:rPr>
                <w:color w:val="auto"/>
                <w:highlight w:val="none"/>
                <w:u w:val="none"/>
              </w:rPr>
              <w:t>m</w:t>
            </w:r>
            <w:r>
              <w:rPr>
                <w:color w:val="auto"/>
                <w:highlight w:val="none"/>
                <w:u w:val="none"/>
                <w:vertAlign w:val="superscript"/>
              </w:rPr>
              <w:t>2</w:t>
            </w:r>
          </w:p>
        </w:tc>
        <w:tc>
          <w:tcPr>
            <w:tcW w:w="850" w:type="dxa"/>
            <w:vAlign w:val="center"/>
          </w:tcPr>
          <w:p w14:paraId="185478C1">
            <w:pPr>
              <w:pStyle w:val="92"/>
              <w:rPr>
                <w:color w:val="auto"/>
                <w:highlight w:val="none"/>
                <w:u w:val="none"/>
              </w:rPr>
            </w:pPr>
          </w:p>
        </w:tc>
        <w:tc>
          <w:tcPr>
            <w:tcW w:w="1134" w:type="dxa"/>
            <w:vAlign w:val="center"/>
          </w:tcPr>
          <w:p w14:paraId="7BA94F6A">
            <w:pPr>
              <w:pStyle w:val="92"/>
              <w:rPr>
                <w:color w:val="auto"/>
                <w:highlight w:val="none"/>
                <w:u w:val="none"/>
              </w:rPr>
            </w:pPr>
            <w:r>
              <w:rPr>
                <w:rFonts w:hint="eastAsia"/>
                <w:color w:val="auto"/>
                <w:highlight w:val="none"/>
                <w:u w:val="none"/>
              </w:rPr>
              <w:t>半个月</w:t>
            </w:r>
          </w:p>
        </w:tc>
        <w:tc>
          <w:tcPr>
            <w:tcW w:w="938" w:type="dxa"/>
            <w:vAlign w:val="center"/>
          </w:tcPr>
          <w:p w14:paraId="29588467">
            <w:pPr>
              <w:pStyle w:val="92"/>
              <w:rPr>
                <w:color w:val="auto"/>
                <w:highlight w:val="none"/>
                <w:u w:val="none"/>
              </w:rPr>
            </w:pPr>
            <w:r>
              <w:rPr>
                <w:color w:val="auto"/>
                <w:highlight w:val="none"/>
                <w:u w:val="none"/>
              </w:rPr>
              <w:t>桶装</w:t>
            </w:r>
          </w:p>
        </w:tc>
        <w:tc>
          <w:tcPr>
            <w:tcW w:w="1313" w:type="dxa"/>
            <w:vMerge w:val="continue"/>
            <w:vAlign w:val="center"/>
          </w:tcPr>
          <w:p w14:paraId="43DC36AA">
            <w:pPr>
              <w:pStyle w:val="92"/>
              <w:rPr>
                <w:color w:val="auto"/>
                <w:highlight w:val="none"/>
                <w:u w:val="none"/>
              </w:rPr>
            </w:pPr>
          </w:p>
        </w:tc>
      </w:tr>
      <w:tr w14:paraId="1EB72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4D03F951">
            <w:pPr>
              <w:pStyle w:val="92"/>
              <w:rPr>
                <w:color w:val="auto"/>
                <w:highlight w:val="none"/>
                <w:u w:val="none"/>
              </w:rPr>
            </w:pPr>
          </w:p>
        </w:tc>
        <w:tc>
          <w:tcPr>
            <w:tcW w:w="565" w:type="dxa"/>
            <w:vAlign w:val="center"/>
          </w:tcPr>
          <w:p w14:paraId="2C806C1F">
            <w:pPr>
              <w:pStyle w:val="92"/>
              <w:rPr>
                <w:color w:val="auto"/>
                <w:highlight w:val="none"/>
                <w:u w:val="none"/>
              </w:rPr>
            </w:pPr>
            <w:r>
              <w:rPr>
                <w:rFonts w:hint="eastAsia"/>
                <w:color w:val="auto"/>
                <w:highlight w:val="none"/>
                <w:u w:val="none"/>
              </w:rPr>
              <w:t>4</w:t>
            </w:r>
          </w:p>
        </w:tc>
        <w:tc>
          <w:tcPr>
            <w:tcW w:w="1596" w:type="dxa"/>
            <w:vAlign w:val="center"/>
          </w:tcPr>
          <w:p w14:paraId="55C0B6FB">
            <w:pPr>
              <w:pStyle w:val="92"/>
              <w:rPr>
                <w:color w:val="auto"/>
                <w:highlight w:val="none"/>
                <w:u w:val="none"/>
              </w:rPr>
            </w:pPr>
            <w:r>
              <w:rPr>
                <w:color w:val="auto"/>
                <w:kern w:val="0"/>
                <w:highlight w:val="none"/>
                <w:u w:val="none"/>
                <w:lang w:val="zh-CN"/>
              </w:rPr>
              <w:t>光化退料</w:t>
            </w:r>
          </w:p>
        </w:tc>
        <w:tc>
          <w:tcPr>
            <w:tcW w:w="1674" w:type="dxa"/>
            <w:vAlign w:val="center"/>
          </w:tcPr>
          <w:p w14:paraId="5D388D3B">
            <w:pPr>
              <w:pStyle w:val="92"/>
              <w:rPr>
                <w:color w:val="auto"/>
                <w:highlight w:val="none"/>
                <w:u w:val="none"/>
              </w:rPr>
            </w:pPr>
            <w:r>
              <w:rPr>
                <w:color w:val="auto"/>
                <w:highlight w:val="none"/>
                <w:u w:val="none"/>
              </w:rPr>
              <w:t>暂存面积</w:t>
            </w:r>
            <w:r>
              <w:rPr>
                <w:rFonts w:hint="eastAsia"/>
                <w:color w:val="auto"/>
                <w:highlight w:val="none"/>
                <w:u w:val="none"/>
              </w:rPr>
              <w:t>10</w:t>
            </w:r>
            <w:r>
              <w:rPr>
                <w:color w:val="auto"/>
                <w:highlight w:val="none"/>
                <w:u w:val="none"/>
              </w:rPr>
              <w:t>m</w:t>
            </w:r>
            <w:r>
              <w:rPr>
                <w:color w:val="auto"/>
                <w:highlight w:val="none"/>
                <w:u w:val="none"/>
                <w:vertAlign w:val="superscript"/>
              </w:rPr>
              <w:t>2</w:t>
            </w:r>
          </w:p>
        </w:tc>
        <w:tc>
          <w:tcPr>
            <w:tcW w:w="850" w:type="dxa"/>
            <w:vAlign w:val="center"/>
          </w:tcPr>
          <w:p w14:paraId="5D8EE64D">
            <w:pPr>
              <w:pStyle w:val="92"/>
              <w:rPr>
                <w:color w:val="auto"/>
                <w:highlight w:val="none"/>
                <w:u w:val="none"/>
              </w:rPr>
            </w:pPr>
          </w:p>
        </w:tc>
        <w:tc>
          <w:tcPr>
            <w:tcW w:w="1134" w:type="dxa"/>
            <w:vAlign w:val="center"/>
          </w:tcPr>
          <w:p w14:paraId="4E25F7F5">
            <w:pPr>
              <w:pStyle w:val="92"/>
              <w:rPr>
                <w:color w:val="auto"/>
                <w:highlight w:val="none"/>
                <w:u w:val="none"/>
              </w:rPr>
            </w:pPr>
            <w:r>
              <w:rPr>
                <w:rFonts w:hint="eastAsia"/>
                <w:color w:val="auto"/>
                <w:highlight w:val="none"/>
                <w:u w:val="none"/>
              </w:rPr>
              <w:t>半个月</w:t>
            </w:r>
          </w:p>
        </w:tc>
        <w:tc>
          <w:tcPr>
            <w:tcW w:w="938" w:type="dxa"/>
            <w:vAlign w:val="center"/>
          </w:tcPr>
          <w:p w14:paraId="21A63FA2">
            <w:pPr>
              <w:pStyle w:val="92"/>
              <w:rPr>
                <w:color w:val="auto"/>
                <w:highlight w:val="none"/>
                <w:u w:val="none"/>
              </w:rPr>
            </w:pPr>
            <w:r>
              <w:rPr>
                <w:color w:val="auto"/>
                <w:highlight w:val="none"/>
                <w:u w:val="none"/>
              </w:rPr>
              <w:t>桶装</w:t>
            </w:r>
          </w:p>
        </w:tc>
        <w:tc>
          <w:tcPr>
            <w:tcW w:w="1313" w:type="dxa"/>
            <w:vMerge w:val="continue"/>
            <w:vAlign w:val="center"/>
          </w:tcPr>
          <w:p w14:paraId="01E3E43A">
            <w:pPr>
              <w:pStyle w:val="92"/>
              <w:rPr>
                <w:color w:val="auto"/>
                <w:highlight w:val="none"/>
                <w:u w:val="none"/>
              </w:rPr>
            </w:pPr>
          </w:p>
        </w:tc>
      </w:tr>
      <w:tr w14:paraId="4BB854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731E65C4">
            <w:pPr>
              <w:pStyle w:val="92"/>
              <w:rPr>
                <w:color w:val="auto"/>
                <w:highlight w:val="none"/>
                <w:u w:val="none"/>
              </w:rPr>
            </w:pPr>
          </w:p>
        </w:tc>
        <w:tc>
          <w:tcPr>
            <w:tcW w:w="565" w:type="dxa"/>
            <w:vAlign w:val="center"/>
          </w:tcPr>
          <w:p w14:paraId="703317E5">
            <w:pPr>
              <w:pStyle w:val="92"/>
              <w:rPr>
                <w:color w:val="auto"/>
                <w:highlight w:val="none"/>
                <w:u w:val="none"/>
              </w:rPr>
            </w:pPr>
            <w:r>
              <w:rPr>
                <w:rFonts w:hint="eastAsia"/>
                <w:color w:val="auto"/>
                <w:highlight w:val="none"/>
                <w:u w:val="none"/>
              </w:rPr>
              <w:t>5</w:t>
            </w:r>
          </w:p>
        </w:tc>
        <w:tc>
          <w:tcPr>
            <w:tcW w:w="1596" w:type="dxa"/>
            <w:vAlign w:val="center"/>
          </w:tcPr>
          <w:p w14:paraId="7328AA98">
            <w:pPr>
              <w:pStyle w:val="92"/>
              <w:rPr>
                <w:color w:val="auto"/>
                <w:highlight w:val="none"/>
                <w:u w:val="none"/>
              </w:rPr>
            </w:pPr>
            <w:r>
              <w:rPr>
                <w:color w:val="auto"/>
                <w:highlight w:val="none"/>
                <w:u w:val="none"/>
              </w:rPr>
              <w:t>TDI精馏残渣</w:t>
            </w:r>
          </w:p>
        </w:tc>
        <w:tc>
          <w:tcPr>
            <w:tcW w:w="1674" w:type="dxa"/>
            <w:vAlign w:val="center"/>
          </w:tcPr>
          <w:p w14:paraId="7A25738A">
            <w:pPr>
              <w:pStyle w:val="92"/>
              <w:rPr>
                <w:color w:val="auto"/>
                <w:highlight w:val="none"/>
                <w:u w:val="none"/>
              </w:rPr>
            </w:pPr>
            <w:r>
              <w:rPr>
                <w:color w:val="auto"/>
                <w:highlight w:val="none"/>
                <w:u w:val="none"/>
              </w:rPr>
              <w:t>暂存面积</w:t>
            </w:r>
            <w:r>
              <w:rPr>
                <w:rFonts w:hint="eastAsia"/>
                <w:color w:val="auto"/>
                <w:highlight w:val="none"/>
                <w:u w:val="none"/>
              </w:rPr>
              <w:t>5</w:t>
            </w:r>
            <w:r>
              <w:rPr>
                <w:color w:val="auto"/>
                <w:highlight w:val="none"/>
                <w:u w:val="none"/>
              </w:rPr>
              <w:t>m</w:t>
            </w:r>
            <w:r>
              <w:rPr>
                <w:color w:val="auto"/>
                <w:highlight w:val="none"/>
                <w:u w:val="none"/>
                <w:vertAlign w:val="superscript"/>
              </w:rPr>
              <w:t>2</w:t>
            </w:r>
          </w:p>
        </w:tc>
        <w:tc>
          <w:tcPr>
            <w:tcW w:w="850" w:type="dxa"/>
            <w:vAlign w:val="center"/>
          </w:tcPr>
          <w:p w14:paraId="09CE6BBF">
            <w:pPr>
              <w:pStyle w:val="92"/>
              <w:rPr>
                <w:color w:val="auto"/>
                <w:highlight w:val="none"/>
                <w:u w:val="none"/>
              </w:rPr>
            </w:pPr>
          </w:p>
        </w:tc>
        <w:tc>
          <w:tcPr>
            <w:tcW w:w="1134" w:type="dxa"/>
            <w:vAlign w:val="center"/>
          </w:tcPr>
          <w:p w14:paraId="4F08468B">
            <w:pPr>
              <w:pStyle w:val="92"/>
              <w:rPr>
                <w:color w:val="auto"/>
                <w:highlight w:val="none"/>
                <w:u w:val="none"/>
              </w:rPr>
            </w:pPr>
            <w:r>
              <w:rPr>
                <w:rFonts w:hint="eastAsia"/>
                <w:color w:val="auto"/>
                <w:highlight w:val="none"/>
                <w:u w:val="none"/>
              </w:rPr>
              <w:t>半个月</w:t>
            </w:r>
          </w:p>
        </w:tc>
        <w:tc>
          <w:tcPr>
            <w:tcW w:w="938" w:type="dxa"/>
            <w:vAlign w:val="center"/>
          </w:tcPr>
          <w:p w14:paraId="0B871944">
            <w:pPr>
              <w:pStyle w:val="92"/>
              <w:rPr>
                <w:color w:val="auto"/>
                <w:highlight w:val="none"/>
                <w:u w:val="none"/>
              </w:rPr>
            </w:pPr>
            <w:r>
              <w:rPr>
                <w:color w:val="auto"/>
                <w:highlight w:val="none"/>
                <w:u w:val="none"/>
              </w:rPr>
              <w:t>桶装</w:t>
            </w:r>
          </w:p>
        </w:tc>
        <w:tc>
          <w:tcPr>
            <w:tcW w:w="1313" w:type="dxa"/>
            <w:vMerge w:val="continue"/>
            <w:vAlign w:val="center"/>
          </w:tcPr>
          <w:p w14:paraId="58E10637">
            <w:pPr>
              <w:pStyle w:val="92"/>
              <w:rPr>
                <w:color w:val="auto"/>
                <w:highlight w:val="none"/>
                <w:u w:val="none"/>
              </w:rPr>
            </w:pPr>
          </w:p>
        </w:tc>
      </w:tr>
      <w:tr w14:paraId="0DEAD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45A43FDE">
            <w:pPr>
              <w:pStyle w:val="92"/>
              <w:rPr>
                <w:color w:val="auto"/>
                <w:highlight w:val="none"/>
                <w:u w:val="none"/>
              </w:rPr>
            </w:pPr>
          </w:p>
        </w:tc>
        <w:tc>
          <w:tcPr>
            <w:tcW w:w="565" w:type="dxa"/>
            <w:vAlign w:val="center"/>
          </w:tcPr>
          <w:p w14:paraId="4932F8B8">
            <w:pPr>
              <w:pStyle w:val="92"/>
              <w:rPr>
                <w:color w:val="auto"/>
                <w:highlight w:val="none"/>
                <w:u w:val="none"/>
              </w:rPr>
            </w:pPr>
            <w:r>
              <w:rPr>
                <w:rFonts w:hint="eastAsia"/>
                <w:color w:val="auto"/>
                <w:highlight w:val="none"/>
                <w:u w:val="none"/>
              </w:rPr>
              <w:t>6</w:t>
            </w:r>
          </w:p>
        </w:tc>
        <w:tc>
          <w:tcPr>
            <w:tcW w:w="1596" w:type="dxa"/>
            <w:vAlign w:val="center"/>
          </w:tcPr>
          <w:p w14:paraId="437C9937">
            <w:pPr>
              <w:pStyle w:val="92"/>
              <w:rPr>
                <w:color w:val="auto"/>
                <w:highlight w:val="none"/>
                <w:u w:val="none"/>
              </w:rPr>
            </w:pPr>
            <w:r>
              <w:rPr>
                <w:color w:val="auto"/>
                <w:highlight w:val="none"/>
                <w:u w:val="none"/>
              </w:rPr>
              <w:t>废活性炭</w:t>
            </w:r>
          </w:p>
        </w:tc>
        <w:tc>
          <w:tcPr>
            <w:tcW w:w="1674" w:type="dxa"/>
            <w:vAlign w:val="center"/>
          </w:tcPr>
          <w:p w14:paraId="1E0E9BD0">
            <w:pPr>
              <w:pStyle w:val="92"/>
              <w:rPr>
                <w:color w:val="auto"/>
                <w:highlight w:val="none"/>
                <w:u w:val="none"/>
              </w:rPr>
            </w:pPr>
            <w:r>
              <w:rPr>
                <w:color w:val="auto"/>
                <w:highlight w:val="none"/>
                <w:u w:val="none"/>
              </w:rPr>
              <w:t>暂存面积</w:t>
            </w:r>
            <w:r>
              <w:rPr>
                <w:rFonts w:hint="eastAsia"/>
                <w:color w:val="auto"/>
                <w:highlight w:val="none"/>
                <w:u w:val="none"/>
              </w:rPr>
              <w:t>5</w:t>
            </w:r>
            <w:r>
              <w:rPr>
                <w:color w:val="auto"/>
                <w:highlight w:val="none"/>
                <w:u w:val="none"/>
              </w:rPr>
              <w:t>m</w:t>
            </w:r>
            <w:r>
              <w:rPr>
                <w:color w:val="auto"/>
                <w:highlight w:val="none"/>
                <w:u w:val="none"/>
                <w:vertAlign w:val="superscript"/>
              </w:rPr>
              <w:t>2</w:t>
            </w:r>
          </w:p>
        </w:tc>
        <w:tc>
          <w:tcPr>
            <w:tcW w:w="850" w:type="dxa"/>
            <w:vAlign w:val="center"/>
          </w:tcPr>
          <w:p w14:paraId="317C4352">
            <w:pPr>
              <w:pStyle w:val="92"/>
              <w:rPr>
                <w:color w:val="auto"/>
                <w:highlight w:val="none"/>
                <w:u w:val="none"/>
              </w:rPr>
            </w:pPr>
          </w:p>
        </w:tc>
        <w:tc>
          <w:tcPr>
            <w:tcW w:w="1134" w:type="dxa"/>
            <w:vAlign w:val="center"/>
          </w:tcPr>
          <w:p w14:paraId="072F6294">
            <w:pPr>
              <w:pStyle w:val="92"/>
              <w:rPr>
                <w:color w:val="auto"/>
                <w:highlight w:val="none"/>
                <w:u w:val="none"/>
              </w:rPr>
            </w:pPr>
            <w:r>
              <w:rPr>
                <w:rFonts w:hint="eastAsia"/>
                <w:color w:val="auto"/>
                <w:highlight w:val="none"/>
                <w:u w:val="none"/>
              </w:rPr>
              <w:t>半个月</w:t>
            </w:r>
          </w:p>
        </w:tc>
        <w:tc>
          <w:tcPr>
            <w:tcW w:w="938" w:type="dxa"/>
            <w:vAlign w:val="center"/>
          </w:tcPr>
          <w:p w14:paraId="3FE58DAD">
            <w:pPr>
              <w:pStyle w:val="92"/>
              <w:rPr>
                <w:color w:val="auto"/>
                <w:highlight w:val="none"/>
                <w:u w:val="none"/>
              </w:rPr>
            </w:pPr>
            <w:r>
              <w:rPr>
                <w:color w:val="auto"/>
                <w:highlight w:val="none"/>
                <w:u w:val="none"/>
              </w:rPr>
              <w:t>桶装</w:t>
            </w:r>
          </w:p>
        </w:tc>
        <w:tc>
          <w:tcPr>
            <w:tcW w:w="1313" w:type="dxa"/>
            <w:vMerge w:val="continue"/>
            <w:vAlign w:val="center"/>
          </w:tcPr>
          <w:p w14:paraId="6478EB61">
            <w:pPr>
              <w:pStyle w:val="92"/>
              <w:rPr>
                <w:color w:val="auto"/>
                <w:highlight w:val="none"/>
                <w:u w:val="none"/>
              </w:rPr>
            </w:pPr>
          </w:p>
        </w:tc>
      </w:tr>
      <w:tr w14:paraId="0E1D0C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056025B2">
            <w:pPr>
              <w:pStyle w:val="92"/>
              <w:rPr>
                <w:color w:val="auto"/>
                <w:highlight w:val="none"/>
                <w:u w:val="none"/>
              </w:rPr>
            </w:pPr>
          </w:p>
        </w:tc>
        <w:tc>
          <w:tcPr>
            <w:tcW w:w="565" w:type="dxa"/>
            <w:vAlign w:val="center"/>
          </w:tcPr>
          <w:p w14:paraId="5492D316">
            <w:pPr>
              <w:pStyle w:val="92"/>
              <w:rPr>
                <w:color w:val="auto"/>
                <w:highlight w:val="none"/>
                <w:u w:val="none"/>
              </w:rPr>
            </w:pPr>
            <w:r>
              <w:rPr>
                <w:rFonts w:hint="eastAsia"/>
                <w:color w:val="auto"/>
                <w:highlight w:val="none"/>
                <w:u w:val="none"/>
              </w:rPr>
              <w:t>7</w:t>
            </w:r>
          </w:p>
        </w:tc>
        <w:tc>
          <w:tcPr>
            <w:tcW w:w="1596" w:type="dxa"/>
            <w:vAlign w:val="center"/>
          </w:tcPr>
          <w:p w14:paraId="1FB8E064">
            <w:pPr>
              <w:pStyle w:val="92"/>
              <w:rPr>
                <w:color w:val="auto"/>
                <w:highlight w:val="none"/>
                <w:u w:val="none"/>
              </w:rPr>
            </w:pPr>
            <w:r>
              <w:rPr>
                <w:color w:val="auto"/>
                <w:highlight w:val="none"/>
                <w:u w:val="none"/>
              </w:rPr>
              <w:t>废弃化学品包装桶</w:t>
            </w:r>
            <w:r>
              <w:rPr>
                <w:color w:val="auto"/>
                <w:kern w:val="0"/>
                <w:highlight w:val="none"/>
                <w:u w:val="none"/>
              </w:rPr>
              <w:t>或袋</w:t>
            </w:r>
          </w:p>
        </w:tc>
        <w:tc>
          <w:tcPr>
            <w:tcW w:w="1674" w:type="dxa"/>
            <w:vAlign w:val="center"/>
          </w:tcPr>
          <w:p w14:paraId="1285174D">
            <w:pPr>
              <w:pStyle w:val="92"/>
              <w:rPr>
                <w:color w:val="auto"/>
                <w:highlight w:val="none"/>
                <w:u w:val="none"/>
              </w:rPr>
            </w:pPr>
            <w:r>
              <w:rPr>
                <w:color w:val="auto"/>
                <w:highlight w:val="none"/>
                <w:u w:val="none"/>
              </w:rPr>
              <w:t>暂存面积</w:t>
            </w:r>
            <w:r>
              <w:rPr>
                <w:rFonts w:hint="eastAsia"/>
                <w:color w:val="auto"/>
                <w:highlight w:val="none"/>
                <w:u w:val="none"/>
              </w:rPr>
              <w:t>3</w:t>
            </w:r>
            <w:r>
              <w:rPr>
                <w:color w:val="auto"/>
                <w:highlight w:val="none"/>
                <w:u w:val="none"/>
              </w:rPr>
              <w:t>m</w:t>
            </w:r>
            <w:r>
              <w:rPr>
                <w:color w:val="auto"/>
                <w:highlight w:val="none"/>
                <w:u w:val="none"/>
                <w:vertAlign w:val="superscript"/>
              </w:rPr>
              <w:t>2</w:t>
            </w:r>
          </w:p>
        </w:tc>
        <w:tc>
          <w:tcPr>
            <w:tcW w:w="850" w:type="dxa"/>
            <w:vAlign w:val="center"/>
          </w:tcPr>
          <w:p w14:paraId="16DB9694">
            <w:pPr>
              <w:pStyle w:val="92"/>
              <w:rPr>
                <w:color w:val="auto"/>
                <w:highlight w:val="none"/>
                <w:u w:val="none"/>
              </w:rPr>
            </w:pPr>
          </w:p>
        </w:tc>
        <w:tc>
          <w:tcPr>
            <w:tcW w:w="1134" w:type="dxa"/>
            <w:vAlign w:val="center"/>
          </w:tcPr>
          <w:p w14:paraId="012C68B0">
            <w:pPr>
              <w:pStyle w:val="92"/>
              <w:rPr>
                <w:color w:val="auto"/>
                <w:highlight w:val="none"/>
                <w:u w:val="none"/>
              </w:rPr>
            </w:pPr>
            <w:r>
              <w:rPr>
                <w:rFonts w:hint="eastAsia"/>
                <w:color w:val="auto"/>
                <w:highlight w:val="none"/>
                <w:u w:val="none"/>
              </w:rPr>
              <w:t>半个月</w:t>
            </w:r>
          </w:p>
        </w:tc>
        <w:tc>
          <w:tcPr>
            <w:tcW w:w="938" w:type="dxa"/>
            <w:vAlign w:val="center"/>
          </w:tcPr>
          <w:p w14:paraId="1FB8CEE7">
            <w:pPr>
              <w:pStyle w:val="92"/>
              <w:rPr>
                <w:color w:val="auto"/>
                <w:highlight w:val="none"/>
                <w:u w:val="none"/>
              </w:rPr>
            </w:pPr>
            <w:r>
              <w:rPr>
                <w:color w:val="auto"/>
                <w:highlight w:val="none"/>
                <w:u w:val="none"/>
              </w:rPr>
              <w:t>防漏胶带等</w:t>
            </w:r>
          </w:p>
        </w:tc>
        <w:tc>
          <w:tcPr>
            <w:tcW w:w="1313" w:type="dxa"/>
            <w:vMerge w:val="continue"/>
            <w:vAlign w:val="center"/>
          </w:tcPr>
          <w:p w14:paraId="0FE638C8">
            <w:pPr>
              <w:pStyle w:val="92"/>
              <w:rPr>
                <w:color w:val="auto"/>
                <w:highlight w:val="none"/>
                <w:u w:val="none"/>
              </w:rPr>
            </w:pPr>
          </w:p>
        </w:tc>
      </w:tr>
      <w:tr w14:paraId="5B6D38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0B833EF6">
            <w:pPr>
              <w:pStyle w:val="92"/>
              <w:rPr>
                <w:color w:val="auto"/>
                <w:highlight w:val="none"/>
                <w:u w:val="none"/>
              </w:rPr>
            </w:pPr>
          </w:p>
        </w:tc>
        <w:tc>
          <w:tcPr>
            <w:tcW w:w="565" w:type="dxa"/>
            <w:vAlign w:val="center"/>
          </w:tcPr>
          <w:p w14:paraId="451315D5">
            <w:pPr>
              <w:pStyle w:val="92"/>
              <w:rPr>
                <w:color w:val="auto"/>
                <w:highlight w:val="none"/>
                <w:u w:val="none"/>
              </w:rPr>
            </w:pPr>
            <w:r>
              <w:rPr>
                <w:rFonts w:hint="eastAsia"/>
                <w:color w:val="auto"/>
                <w:highlight w:val="none"/>
                <w:u w:val="none"/>
              </w:rPr>
              <w:t>8</w:t>
            </w:r>
          </w:p>
        </w:tc>
        <w:tc>
          <w:tcPr>
            <w:tcW w:w="1596" w:type="dxa"/>
            <w:vAlign w:val="center"/>
          </w:tcPr>
          <w:p w14:paraId="08395FE4">
            <w:pPr>
              <w:pStyle w:val="92"/>
              <w:rPr>
                <w:color w:val="auto"/>
                <w:highlight w:val="none"/>
                <w:u w:val="none"/>
              </w:rPr>
            </w:pPr>
            <w:r>
              <w:rPr>
                <w:rFonts w:hint="eastAsia"/>
                <w:color w:val="auto"/>
                <w:highlight w:val="none"/>
                <w:u w:val="none"/>
              </w:rPr>
              <w:t>机修废油</w:t>
            </w:r>
            <w:r>
              <w:rPr>
                <w:color w:val="auto"/>
                <w:highlight w:val="none"/>
                <w:u w:val="none"/>
              </w:rPr>
              <w:t>、废导热油、氮封</w:t>
            </w:r>
            <w:r>
              <w:rPr>
                <w:color w:val="auto"/>
                <w:kern w:val="0"/>
                <w:highlight w:val="none"/>
                <w:u w:val="none"/>
              </w:rPr>
              <w:t>油</w:t>
            </w:r>
          </w:p>
        </w:tc>
        <w:tc>
          <w:tcPr>
            <w:tcW w:w="1674" w:type="dxa"/>
            <w:vAlign w:val="center"/>
          </w:tcPr>
          <w:p w14:paraId="1C205EFC">
            <w:pPr>
              <w:pStyle w:val="92"/>
              <w:rPr>
                <w:color w:val="auto"/>
                <w:highlight w:val="none"/>
                <w:u w:val="none"/>
              </w:rPr>
            </w:pPr>
            <w:r>
              <w:rPr>
                <w:color w:val="auto"/>
                <w:highlight w:val="none"/>
                <w:u w:val="none"/>
              </w:rPr>
              <w:t>暂存面积</w:t>
            </w:r>
            <w:r>
              <w:rPr>
                <w:rFonts w:hint="eastAsia"/>
                <w:color w:val="auto"/>
                <w:highlight w:val="none"/>
                <w:u w:val="none"/>
              </w:rPr>
              <w:t>2</w:t>
            </w:r>
            <w:r>
              <w:rPr>
                <w:color w:val="auto"/>
                <w:highlight w:val="none"/>
                <w:u w:val="none"/>
              </w:rPr>
              <w:t>m</w:t>
            </w:r>
            <w:r>
              <w:rPr>
                <w:color w:val="auto"/>
                <w:highlight w:val="none"/>
                <w:u w:val="none"/>
                <w:vertAlign w:val="superscript"/>
              </w:rPr>
              <w:t>2</w:t>
            </w:r>
          </w:p>
        </w:tc>
        <w:tc>
          <w:tcPr>
            <w:tcW w:w="850" w:type="dxa"/>
            <w:vAlign w:val="center"/>
          </w:tcPr>
          <w:p w14:paraId="20E8A305">
            <w:pPr>
              <w:pStyle w:val="92"/>
              <w:rPr>
                <w:color w:val="auto"/>
                <w:highlight w:val="none"/>
                <w:u w:val="none"/>
              </w:rPr>
            </w:pPr>
          </w:p>
        </w:tc>
        <w:tc>
          <w:tcPr>
            <w:tcW w:w="1134" w:type="dxa"/>
            <w:vAlign w:val="center"/>
          </w:tcPr>
          <w:p w14:paraId="17C2B682">
            <w:pPr>
              <w:pStyle w:val="92"/>
              <w:rPr>
                <w:color w:val="auto"/>
                <w:highlight w:val="none"/>
                <w:u w:val="none"/>
              </w:rPr>
            </w:pPr>
            <w:r>
              <w:rPr>
                <w:rFonts w:hint="eastAsia"/>
                <w:color w:val="auto"/>
                <w:highlight w:val="none"/>
                <w:u w:val="none"/>
              </w:rPr>
              <w:t>半个月</w:t>
            </w:r>
          </w:p>
        </w:tc>
        <w:tc>
          <w:tcPr>
            <w:tcW w:w="938" w:type="dxa"/>
            <w:vAlign w:val="center"/>
          </w:tcPr>
          <w:p w14:paraId="23E05BD7">
            <w:pPr>
              <w:pStyle w:val="92"/>
              <w:rPr>
                <w:color w:val="auto"/>
                <w:highlight w:val="none"/>
                <w:u w:val="none"/>
              </w:rPr>
            </w:pPr>
            <w:r>
              <w:rPr>
                <w:color w:val="auto"/>
                <w:highlight w:val="none"/>
                <w:u w:val="none"/>
              </w:rPr>
              <w:t>罐装</w:t>
            </w:r>
          </w:p>
        </w:tc>
        <w:tc>
          <w:tcPr>
            <w:tcW w:w="1313" w:type="dxa"/>
            <w:vMerge w:val="continue"/>
            <w:vAlign w:val="center"/>
          </w:tcPr>
          <w:p w14:paraId="71300CF0">
            <w:pPr>
              <w:pStyle w:val="92"/>
              <w:rPr>
                <w:color w:val="auto"/>
                <w:highlight w:val="none"/>
                <w:u w:val="none"/>
              </w:rPr>
            </w:pPr>
          </w:p>
        </w:tc>
      </w:tr>
    </w:tbl>
    <w:p w14:paraId="5AA1F16A">
      <w:pPr>
        <w:pStyle w:val="6"/>
        <w:spacing w:before="156" w:after="156"/>
        <w:rPr>
          <w:color w:val="auto"/>
          <w:highlight w:val="none"/>
          <w:u w:val="none"/>
          <w:lang w:val="en-US"/>
        </w:rPr>
      </w:pPr>
      <w:r>
        <w:rPr>
          <w:rFonts w:hint="eastAsia"/>
          <w:color w:val="auto"/>
          <w:highlight w:val="none"/>
          <w:u w:val="none"/>
          <w:lang w:val="en-US"/>
        </w:rPr>
        <w:t>固体废物影响分析</w:t>
      </w:r>
    </w:p>
    <w:p w14:paraId="11B746CD">
      <w:pPr>
        <w:pStyle w:val="7"/>
        <w:spacing w:before="156"/>
        <w:rPr>
          <w:color w:val="auto"/>
          <w:highlight w:val="none"/>
          <w:u w:val="none"/>
          <w:lang w:val="en-US"/>
        </w:rPr>
      </w:pPr>
      <w:r>
        <w:rPr>
          <w:rFonts w:hint="eastAsia"/>
          <w:color w:val="auto"/>
          <w:highlight w:val="none"/>
          <w:u w:val="none"/>
          <w:lang w:val="en-US"/>
        </w:rPr>
        <w:t>固体贮存场所（设施）环境影响分析</w:t>
      </w:r>
    </w:p>
    <w:p w14:paraId="3F23F167">
      <w:pPr>
        <w:pStyle w:val="981"/>
        <w:rPr>
          <w:rFonts w:hint="eastAsia"/>
          <w:color w:val="auto"/>
          <w:highlight w:val="none"/>
          <w:u w:val="none"/>
        </w:rPr>
      </w:pPr>
      <w:r>
        <w:rPr>
          <w:rFonts w:hint="eastAsia"/>
          <w:color w:val="auto"/>
          <w:highlight w:val="none"/>
          <w:u w:val="none"/>
        </w:rPr>
        <w:t>本项目的危险废物贮存场按照《危险废物贮存污染控制标准》（</w:t>
      </w:r>
      <w:r>
        <w:rPr>
          <w:color w:val="auto"/>
          <w:highlight w:val="none"/>
          <w:u w:val="none"/>
        </w:rPr>
        <w:t>GB18597-2023</w:t>
      </w:r>
      <w:r>
        <w:rPr>
          <w:rFonts w:hint="eastAsia"/>
          <w:color w:val="auto"/>
          <w:highlight w:val="none"/>
          <w:u w:val="none"/>
        </w:rPr>
        <w:t>）的要求进行建设，一般工业固废贮存场按照《一般工业固体废物贮存、处置场污染控制标准》（</w:t>
      </w:r>
      <w:r>
        <w:rPr>
          <w:color w:val="auto"/>
          <w:highlight w:val="none"/>
          <w:u w:val="none"/>
        </w:rPr>
        <w:t>GB18599-2020）的要求进行建设，基本可满足本项目固体废物的储存要求。</w:t>
      </w:r>
    </w:p>
    <w:p w14:paraId="02050882">
      <w:pPr>
        <w:pStyle w:val="981"/>
        <w:rPr>
          <w:rFonts w:hint="eastAsia"/>
          <w:color w:val="auto"/>
          <w:highlight w:val="none"/>
          <w:u w:val="none"/>
        </w:rPr>
      </w:pPr>
      <w:r>
        <w:rPr>
          <w:rFonts w:hint="eastAsia"/>
          <w:color w:val="auto"/>
          <w:highlight w:val="none"/>
          <w:u w:val="none"/>
        </w:rPr>
        <w:t>（</w:t>
      </w:r>
      <w:r>
        <w:rPr>
          <w:color w:val="auto"/>
          <w:highlight w:val="none"/>
          <w:u w:val="none"/>
        </w:rPr>
        <w:t>1）</w:t>
      </w:r>
      <w:r>
        <w:rPr>
          <w:rFonts w:hint="eastAsia"/>
          <w:color w:val="auto"/>
          <w:highlight w:val="none"/>
          <w:u w:val="none"/>
        </w:rPr>
        <w:t>危废贮存间选址及贮存能力可行性分析</w:t>
      </w:r>
    </w:p>
    <w:p w14:paraId="02709E98">
      <w:pPr>
        <w:pStyle w:val="981"/>
        <w:rPr>
          <w:rFonts w:hint="eastAsia"/>
          <w:color w:val="auto"/>
          <w:highlight w:val="none"/>
          <w:u w:val="none"/>
        </w:rPr>
      </w:pPr>
      <w:r>
        <w:rPr>
          <w:rFonts w:hint="eastAsia"/>
          <w:color w:val="auto"/>
          <w:highlight w:val="none"/>
          <w:u w:val="none"/>
        </w:rPr>
        <w:t>①危废贮存间选址可行性分析</w:t>
      </w:r>
    </w:p>
    <w:p w14:paraId="135413B2">
      <w:pPr>
        <w:pStyle w:val="981"/>
        <w:rPr>
          <w:rFonts w:hint="eastAsia"/>
          <w:color w:val="auto"/>
          <w:highlight w:val="none"/>
          <w:u w:val="none"/>
        </w:rPr>
      </w:pPr>
      <w:r>
        <w:rPr>
          <w:rFonts w:hint="eastAsia"/>
          <w:color w:val="auto"/>
          <w:highlight w:val="none"/>
          <w:u w:val="none"/>
        </w:rPr>
        <w:t>本项目产生的固体废物均为危险废物，项目危废暂存依托万华环保科技公司危废贮存间，万华环保科技公司共有危废间2座（1座1</w:t>
      </w:r>
      <w:r>
        <w:rPr>
          <w:color w:val="auto"/>
          <w:highlight w:val="none"/>
          <w:u w:val="none"/>
        </w:rPr>
        <w:t>60m</w:t>
      </w:r>
      <w:r>
        <w:rPr>
          <w:color w:val="auto"/>
          <w:highlight w:val="none"/>
          <w:u w:val="none"/>
          <w:vertAlign w:val="superscript"/>
        </w:rPr>
        <w:t>2</w:t>
      </w:r>
      <w:r>
        <w:rPr>
          <w:rFonts w:hint="eastAsia"/>
          <w:color w:val="auto"/>
          <w:highlight w:val="none"/>
          <w:u w:val="none"/>
        </w:rPr>
        <w:t>，1座4</w:t>
      </w:r>
      <w:r>
        <w:rPr>
          <w:color w:val="auto"/>
          <w:highlight w:val="none"/>
          <w:u w:val="none"/>
        </w:rPr>
        <w:t>50m</w:t>
      </w:r>
      <w:r>
        <w:rPr>
          <w:color w:val="auto"/>
          <w:highlight w:val="none"/>
          <w:u w:val="none"/>
          <w:vertAlign w:val="superscript"/>
        </w:rPr>
        <w:t>2</w:t>
      </w:r>
      <w:r>
        <w:rPr>
          <w:rFonts w:hint="eastAsia"/>
          <w:color w:val="auto"/>
          <w:highlight w:val="none"/>
          <w:u w:val="none"/>
        </w:rPr>
        <w:t>），该危废贮存间已按照《危险废物贮存污染控制标准》（</w:t>
      </w:r>
      <w:r>
        <w:rPr>
          <w:color w:val="auto"/>
          <w:highlight w:val="none"/>
          <w:u w:val="none"/>
        </w:rPr>
        <w:t>GB18597-2023</w:t>
      </w:r>
      <w:r>
        <w:rPr>
          <w:rFonts w:hint="eastAsia"/>
          <w:color w:val="auto"/>
          <w:highlight w:val="none"/>
          <w:u w:val="none"/>
        </w:rPr>
        <w:t>）的要求进行建设，且已通过竣工环保验收。因此本项目依托的危险废物贮存间选址建设可行。</w:t>
      </w:r>
    </w:p>
    <w:p w14:paraId="3BE68A8B">
      <w:pPr>
        <w:pStyle w:val="981"/>
        <w:rPr>
          <w:rFonts w:hint="eastAsia"/>
          <w:color w:val="auto"/>
          <w:highlight w:val="none"/>
          <w:u w:val="none"/>
        </w:rPr>
      </w:pPr>
      <w:r>
        <w:rPr>
          <w:rFonts w:hint="eastAsia"/>
          <w:color w:val="auto"/>
          <w:highlight w:val="none"/>
          <w:u w:val="none"/>
        </w:rPr>
        <w:t>②危废贮存间贮存能力可行性分析</w:t>
      </w:r>
    </w:p>
    <w:p w14:paraId="3ED585DE">
      <w:pPr>
        <w:pStyle w:val="981"/>
        <w:rPr>
          <w:rFonts w:hint="eastAsia" w:eastAsia="宋体"/>
          <w:color w:val="auto"/>
          <w:highlight w:val="none"/>
          <w:u w:val="none"/>
          <w:lang w:eastAsia="zh-CN"/>
        </w:rPr>
      </w:pPr>
      <w:r>
        <w:rPr>
          <w:rFonts w:hint="eastAsia"/>
          <w:color w:val="auto"/>
          <w:highlight w:val="none"/>
          <w:u w:val="none"/>
        </w:rPr>
        <w:t>万华环保科技公司危废贮存间，</w:t>
      </w:r>
      <w:r>
        <w:rPr>
          <w:color w:val="auto"/>
          <w:highlight w:val="none"/>
          <w:u w:val="none"/>
        </w:rPr>
        <w:t>总面积610m</w:t>
      </w:r>
      <w:r>
        <w:rPr>
          <w:color w:val="auto"/>
          <w:highlight w:val="none"/>
          <w:u w:val="none"/>
          <w:vertAlign w:val="superscript"/>
        </w:rPr>
        <w:t>2</w:t>
      </w:r>
      <w:r>
        <w:rPr>
          <w:color w:val="auto"/>
          <w:highlight w:val="none"/>
          <w:u w:val="none"/>
        </w:rPr>
        <w:t>，</w:t>
      </w:r>
      <w:r>
        <w:rPr>
          <w:rFonts w:hint="eastAsia"/>
          <w:color w:val="auto"/>
          <w:highlight w:val="none"/>
          <w:u w:val="none"/>
        </w:rPr>
        <w:t>本项目危废暂存单独使用其中的</w:t>
      </w:r>
      <w:r>
        <w:rPr>
          <w:color w:val="auto"/>
          <w:highlight w:val="none"/>
          <w:u w:val="none"/>
        </w:rPr>
        <w:t>55m</w:t>
      </w:r>
      <w:r>
        <w:rPr>
          <w:color w:val="auto"/>
          <w:highlight w:val="none"/>
          <w:u w:val="none"/>
          <w:vertAlign w:val="superscript"/>
        </w:rPr>
        <w:t>2</w:t>
      </w:r>
      <w:r>
        <w:rPr>
          <w:rFonts w:hint="eastAsia"/>
          <w:color w:val="auto"/>
          <w:highlight w:val="none"/>
          <w:u w:val="none"/>
        </w:rPr>
        <w:t>。根据前文分析，本项目产生的轻油、TDI废液经管道送往万华环保科技公司能量回收装置进行焚烧处置，焦油颗粒通过密闭循环风送系统，由管道吹送至TDI一期项目的焦油颗粒中转仓临时贮存，与一期项目的焦油颗粒一同经专用密闭槽车送往万华福建公司气体扩能改造项目作为水煤浆气化原料。因此委托万华环保科技公司危废贮存间贮存的危险废物主要有废DNT、废催化剂、TDA精馏残渣、光化退料、TDI精馏残渣、废活性炭、废弃化学品包装桶或袋、机修废油、废导热油、氮封油，最大危废贮存量为38t（见</w:t>
      </w:r>
      <w:r>
        <w:rPr>
          <w:rFonts w:hint="eastAsia"/>
          <w:color w:val="auto"/>
          <w:highlight w:val="none"/>
          <w:u w:val="none"/>
        </w:rPr>
        <w:fldChar w:fldCharType="begin"/>
      </w:r>
      <w:r>
        <w:rPr>
          <w:rFonts w:hint="eastAsia"/>
          <w:color w:val="auto"/>
          <w:highlight w:val="none"/>
          <w:u w:val="none"/>
        </w:rPr>
        <w:instrText xml:space="preserve"> REF _Ref147997958 \h </w:instrText>
      </w:r>
      <w:r>
        <w:rPr>
          <w:rFonts w:hint="eastAsia"/>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8.5</w:t>
      </w:r>
      <w:r>
        <w:rPr>
          <w:color w:val="auto"/>
          <w:highlight w:val="none"/>
          <w:u w:val="none"/>
        </w:rPr>
        <w:fldChar w:fldCharType="end"/>
      </w:r>
      <w:r>
        <w:rPr>
          <w:color w:val="auto"/>
          <w:highlight w:val="none"/>
          <w:u w:val="none"/>
        </w:rPr>
        <w:noBreakHyphen/>
      </w:r>
      <w:r>
        <w:rPr>
          <w:color w:val="auto"/>
          <w:highlight w:val="none"/>
          <w:u w:val="none"/>
        </w:rPr>
        <w:t>2</w:t>
      </w:r>
      <w:r>
        <w:rPr>
          <w:rFonts w:hint="eastAsia"/>
          <w:color w:val="auto"/>
          <w:highlight w:val="none"/>
          <w:u w:val="none"/>
        </w:rPr>
        <w:fldChar w:fldCharType="end"/>
      </w:r>
      <w:r>
        <w:rPr>
          <w:rFonts w:hint="eastAsia"/>
          <w:color w:val="auto"/>
          <w:highlight w:val="none"/>
          <w:u w:val="none"/>
        </w:rPr>
        <w:t>）</w:t>
      </w:r>
      <w:r>
        <w:rPr>
          <w:rFonts w:hint="eastAsia"/>
          <w:color w:val="auto"/>
          <w:highlight w:val="none"/>
          <w:u w:val="none"/>
          <w:lang w:eastAsia="zh-CN"/>
        </w:rPr>
        <w:t>。</w:t>
      </w:r>
    </w:p>
    <w:p w14:paraId="240DF90E">
      <w:pPr>
        <w:pStyle w:val="981"/>
        <w:rPr>
          <w:rFonts w:hint="eastAsia"/>
          <w:color w:val="auto"/>
          <w:highlight w:val="none"/>
          <w:u w:val="none"/>
          <w:lang w:val="en-US"/>
        </w:rPr>
      </w:pPr>
      <w:r>
        <w:rPr>
          <w:rFonts w:hint="eastAsia"/>
          <w:color w:val="auto"/>
          <w:highlight w:val="none"/>
          <w:u w:val="none"/>
        </w:rPr>
        <w:t>万华环保科技公司危废贮存间高度为5.6m，危废贮存高度约1.5m，本项目使用面积为55m</w:t>
      </w:r>
      <w:r>
        <w:rPr>
          <w:rFonts w:hint="eastAsia"/>
          <w:color w:val="auto"/>
          <w:highlight w:val="none"/>
          <w:u w:val="none"/>
          <w:vertAlign w:val="superscript"/>
        </w:rPr>
        <w:t>2</w:t>
      </w:r>
      <w:r>
        <w:rPr>
          <w:rFonts w:hint="eastAsia"/>
          <w:color w:val="auto"/>
          <w:highlight w:val="none"/>
          <w:u w:val="none"/>
        </w:rPr>
        <w:t>，有效使用面积按80%计，危废平均密度按0.8t/m</w:t>
      </w:r>
      <w:r>
        <w:rPr>
          <w:rFonts w:hint="eastAsia"/>
          <w:color w:val="auto"/>
          <w:highlight w:val="none"/>
          <w:u w:val="none"/>
          <w:vertAlign w:val="superscript"/>
        </w:rPr>
        <w:t>3</w:t>
      </w:r>
      <w:r>
        <w:rPr>
          <w:rFonts w:hint="eastAsia"/>
          <w:color w:val="auto"/>
          <w:highlight w:val="none"/>
          <w:u w:val="none"/>
        </w:rPr>
        <w:t>估算，则可贮存52.8t危废，本项目最大危废贮存量38t，可满足本项目的贮存需求。</w:t>
      </w:r>
    </w:p>
    <w:p w14:paraId="60F0C878">
      <w:pPr>
        <w:pStyle w:val="981"/>
        <w:rPr>
          <w:rFonts w:hint="eastAsia"/>
          <w:color w:val="auto"/>
          <w:highlight w:val="none"/>
          <w:u w:val="none"/>
        </w:rPr>
      </w:pPr>
      <w:r>
        <w:rPr>
          <w:rFonts w:hint="eastAsia"/>
          <w:color w:val="auto"/>
          <w:highlight w:val="none"/>
          <w:u w:val="none"/>
          <w:lang w:eastAsia="zh-CN"/>
        </w:rPr>
        <w:t>（</w:t>
      </w:r>
      <w:r>
        <w:rPr>
          <w:rFonts w:hint="eastAsia"/>
          <w:color w:val="auto"/>
          <w:highlight w:val="none"/>
          <w:u w:val="none"/>
          <w:lang w:val="en-US" w:eastAsia="zh-CN"/>
        </w:rPr>
        <w:t>2</w:t>
      </w:r>
      <w:r>
        <w:rPr>
          <w:rFonts w:hint="eastAsia"/>
          <w:color w:val="auto"/>
          <w:highlight w:val="none"/>
          <w:u w:val="none"/>
          <w:lang w:eastAsia="zh-CN"/>
        </w:rPr>
        <w:t>）</w:t>
      </w:r>
      <w:r>
        <w:rPr>
          <w:color w:val="auto"/>
          <w:highlight w:val="none"/>
          <w:u w:val="none"/>
        </w:rPr>
        <w:t>对大气环境的影响：本项目产生的</w:t>
      </w:r>
      <w:r>
        <w:rPr>
          <w:rFonts w:hint="eastAsia"/>
          <w:color w:val="auto"/>
          <w:highlight w:val="none"/>
          <w:u w:val="none"/>
        </w:rPr>
        <w:t>固态</w:t>
      </w:r>
      <w:r>
        <w:rPr>
          <w:color w:val="auto"/>
          <w:highlight w:val="none"/>
          <w:u w:val="none"/>
        </w:rPr>
        <w:t>废物主要有</w:t>
      </w:r>
      <w:r>
        <w:rPr>
          <w:rFonts w:hint="eastAsia"/>
          <w:color w:val="auto"/>
          <w:highlight w:val="none"/>
          <w:u w:val="none"/>
        </w:rPr>
        <w:t>硝化单元产生的废DNT、</w:t>
      </w:r>
      <w:r>
        <w:rPr>
          <w:color w:val="auto"/>
          <w:highlight w:val="none"/>
          <w:u w:val="none"/>
        </w:rPr>
        <w:t>氢化单元产生的废催化剂</w:t>
      </w:r>
      <w:r>
        <w:rPr>
          <w:rFonts w:hint="eastAsia"/>
          <w:color w:val="auto"/>
          <w:highlight w:val="none"/>
          <w:u w:val="none"/>
        </w:rPr>
        <w:t>、废活性炭和TDA精馏残渣，光化单元及储罐区产生的光化退料、TDI精馏残渣和废活性炭，原辅材料仓库产生的废弃化学品包装桶袋；产生的液态废物主要有氢化单元产生的轻油、光化单元产生的T</w:t>
      </w:r>
      <w:r>
        <w:rPr>
          <w:color w:val="auto"/>
          <w:highlight w:val="none"/>
          <w:u w:val="none"/>
        </w:rPr>
        <w:t>DI</w:t>
      </w:r>
      <w:r>
        <w:rPr>
          <w:rFonts w:hint="eastAsia"/>
          <w:color w:val="auto"/>
          <w:highlight w:val="none"/>
          <w:u w:val="none"/>
        </w:rPr>
        <w:t>废液，机械设备维修过程产生的废机油、</w:t>
      </w:r>
      <w:r>
        <w:rPr>
          <w:color w:val="auto"/>
          <w:highlight w:val="none"/>
          <w:u w:val="none"/>
        </w:rPr>
        <w:t>焦油干燥机</w:t>
      </w:r>
      <w:r>
        <w:rPr>
          <w:rFonts w:hint="eastAsia"/>
          <w:color w:val="auto"/>
          <w:highlight w:val="none"/>
          <w:u w:val="none"/>
        </w:rPr>
        <w:t>和蒸汽锅炉更换的</w:t>
      </w:r>
      <w:r>
        <w:rPr>
          <w:rFonts w:hint="eastAsia"/>
          <w:color w:val="auto"/>
          <w:highlight w:val="none"/>
          <w:u w:val="none"/>
          <w:lang w:val="en-US"/>
        </w:rPr>
        <w:t>废导热油、</w:t>
      </w:r>
      <w:r>
        <w:rPr>
          <w:rFonts w:hint="eastAsia"/>
          <w:color w:val="auto"/>
          <w:highlight w:val="none"/>
          <w:u w:val="none"/>
        </w:rPr>
        <w:t>不合格</w:t>
      </w:r>
      <w:r>
        <w:rPr>
          <w:color w:val="auto"/>
          <w:highlight w:val="none"/>
          <w:u w:val="none"/>
        </w:rPr>
        <w:t>TDI储罐的排气管线上</w:t>
      </w:r>
      <w:r>
        <w:rPr>
          <w:rFonts w:hint="eastAsia"/>
          <w:color w:val="auto"/>
          <w:highlight w:val="none"/>
          <w:u w:val="none"/>
        </w:rPr>
        <w:t>正负压防止罐内更换的废氮封油。固态类危险废物采用防渗透的包装袋或桶密封包装储存，液态类的废机油、</w:t>
      </w:r>
      <w:r>
        <w:rPr>
          <w:rFonts w:hint="eastAsia"/>
          <w:color w:val="auto"/>
          <w:highlight w:val="none"/>
          <w:u w:val="none"/>
          <w:lang w:val="en-US"/>
        </w:rPr>
        <w:t>废导热油、</w:t>
      </w:r>
      <w:r>
        <w:rPr>
          <w:rFonts w:hint="eastAsia"/>
          <w:color w:val="auto"/>
          <w:highlight w:val="none"/>
          <w:u w:val="none"/>
        </w:rPr>
        <w:t>废氮封油采用防渗透的罐密封包装储存，后临时暂存于符合《危险废物贮存污染控制标准》（</w:t>
      </w:r>
      <w:r>
        <w:rPr>
          <w:color w:val="auto"/>
          <w:highlight w:val="none"/>
          <w:u w:val="none"/>
        </w:rPr>
        <w:t>GB18597-2023</w:t>
      </w:r>
      <w:r>
        <w:rPr>
          <w:rFonts w:hint="eastAsia"/>
          <w:color w:val="auto"/>
          <w:highlight w:val="none"/>
          <w:u w:val="none"/>
        </w:rPr>
        <w:t>）</w:t>
      </w:r>
      <w:r>
        <w:rPr>
          <w:color w:val="auto"/>
          <w:highlight w:val="none"/>
          <w:u w:val="none"/>
        </w:rPr>
        <w:t>的</w:t>
      </w:r>
      <w:r>
        <w:rPr>
          <w:rFonts w:hint="eastAsia"/>
          <w:color w:val="auto"/>
          <w:highlight w:val="none"/>
          <w:u w:val="none"/>
          <w:lang w:val="en-US"/>
        </w:rPr>
        <w:t>危废贮存间内</w:t>
      </w:r>
      <w:r>
        <w:rPr>
          <w:rFonts w:hint="eastAsia"/>
          <w:color w:val="auto"/>
          <w:highlight w:val="none"/>
          <w:u w:val="none"/>
        </w:rPr>
        <w:t>，危废间配套建设活性炭废气收集处理设施，危废间废气经活性炭吸附处理达标后，通过15m高排气筒排放，液态类的轻油、T</w:t>
      </w:r>
      <w:r>
        <w:rPr>
          <w:color w:val="auto"/>
          <w:highlight w:val="none"/>
          <w:u w:val="none"/>
        </w:rPr>
        <w:t>DI</w:t>
      </w:r>
      <w:r>
        <w:rPr>
          <w:rFonts w:hint="eastAsia"/>
          <w:color w:val="auto"/>
          <w:highlight w:val="none"/>
          <w:u w:val="none"/>
        </w:rPr>
        <w:t>废液通过管道计量运至万华环保科技公司能量回收装置焚烧处置，</w:t>
      </w:r>
      <w:r>
        <w:rPr>
          <w:color w:val="auto"/>
          <w:highlight w:val="none"/>
          <w:u w:val="none"/>
        </w:rPr>
        <w:t>对</w:t>
      </w:r>
      <w:r>
        <w:rPr>
          <w:rFonts w:hint="eastAsia"/>
          <w:color w:val="auto"/>
          <w:highlight w:val="none"/>
          <w:u w:val="none"/>
        </w:rPr>
        <w:t>大气</w:t>
      </w:r>
      <w:r>
        <w:rPr>
          <w:color w:val="auto"/>
          <w:highlight w:val="none"/>
          <w:u w:val="none"/>
        </w:rPr>
        <w:t>环境影响不大。</w:t>
      </w:r>
    </w:p>
    <w:p w14:paraId="10478B73">
      <w:pPr>
        <w:pStyle w:val="981"/>
        <w:rPr>
          <w:rFonts w:hint="eastAsia"/>
          <w:color w:val="auto"/>
          <w:highlight w:val="none"/>
          <w:u w:val="none"/>
        </w:rPr>
      </w:pPr>
      <w:r>
        <w:rPr>
          <w:rFonts w:hint="eastAsia"/>
          <w:color w:val="auto"/>
          <w:highlight w:val="none"/>
          <w:u w:val="none"/>
        </w:rPr>
        <w:t>（</w:t>
      </w:r>
      <w:r>
        <w:rPr>
          <w:color w:val="auto"/>
          <w:highlight w:val="none"/>
          <w:u w:val="none"/>
        </w:rPr>
        <w:t>2）对地</w:t>
      </w:r>
      <w:r>
        <w:rPr>
          <w:rFonts w:hint="eastAsia"/>
          <w:color w:val="auto"/>
          <w:highlight w:val="none"/>
          <w:u w:val="none"/>
          <w:lang w:val="en-US" w:eastAsia="zh-CN"/>
        </w:rPr>
        <w:t>表水</w:t>
      </w:r>
      <w:r>
        <w:rPr>
          <w:color w:val="auto"/>
          <w:highlight w:val="none"/>
          <w:u w:val="none"/>
        </w:rPr>
        <w:t>环境的影响：</w:t>
      </w:r>
      <w:r>
        <w:rPr>
          <w:rFonts w:hint="eastAsia"/>
          <w:color w:val="auto"/>
          <w:highlight w:val="none"/>
          <w:u w:val="none"/>
        </w:rPr>
        <w:t>本项目产生的固体废物均为危险废物，依托的</w:t>
      </w:r>
      <w:r>
        <w:rPr>
          <w:color w:val="auto"/>
          <w:highlight w:val="none"/>
          <w:u w:val="none"/>
        </w:rPr>
        <w:t>危险废物贮存设施均按照有关标准</w:t>
      </w:r>
      <w:r>
        <w:rPr>
          <w:rFonts w:hint="eastAsia"/>
          <w:color w:val="auto"/>
          <w:highlight w:val="none"/>
          <w:u w:val="none"/>
        </w:rPr>
        <w:t>要求建设，并配套建设导流槽、收集池等防流失设施，正常运营情况下，不会对地表水环境产生影响</w:t>
      </w:r>
      <w:r>
        <w:rPr>
          <w:color w:val="auto"/>
          <w:highlight w:val="none"/>
          <w:u w:val="none"/>
        </w:rPr>
        <w:t>。</w:t>
      </w:r>
    </w:p>
    <w:p w14:paraId="23BD64D0">
      <w:pPr>
        <w:pStyle w:val="981"/>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rPr>
        <w:t>对土壤、地下水环境的影响：本项目依托的危险废物临时贮存场所已按照《危险废物贮存污染控制标准》（GB18597-2023）的要求进行防渗建设，正常运营情况下，对土壤、地下水的影响不大。</w:t>
      </w:r>
    </w:p>
    <w:p w14:paraId="33D15595">
      <w:pPr>
        <w:pStyle w:val="7"/>
        <w:spacing w:before="156"/>
        <w:rPr>
          <w:color w:val="auto"/>
          <w:highlight w:val="none"/>
          <w:u w:val="none"/>
        </w:rPr>
      </w:pPr>
      <w:r>
        <w:rPr>
          <w:rFonts w:hint="eastAsia"/>
          <w:color w:val="auto"/>
          <w:highlight w:val="none"/>
          <w:u w:val="none"/>
          <w:lang w:val="en-US"/>
        </w:rPr>
        <w:t>焦油颗粒送往气体厂区利用影响分析</w:t>
      </w:r>
    </w:p>
    <w:p w14:paraId="00CCFCB1">
      <w:pPr>
        <w:pStyle w:val="981"/>
        <w:rPr>
          <w:rFonts w:hint="eastAsia"/>
          <w:color w:val="auto"/>
          <w:highlight w:val="none"/>
          <w:u w:val="none"/>
        </w:rPr>
      </w:pPr>
      <w:r>
        <w:rPr>
          <w:rFonts w:hint="eastAsia"/>
          <w:color w:val="auto"/>
          <w:highlight w:val="none"/>
          <w:u w:val="none"/>
        </w:rPr>
        <w:t>根据项目设计方案，光化工序产生的焦油颗粒，采用氮气经风送管道送往</w:t>
      </w:r>
      <w:r>
        <w:rPr>
          <w:rFonts w:hint="eastAsia"/>
          <w:color w:val="auto"/>
          <w:highlight w:val="none"/>
          <w:u w:val="none"/>
          <w:lang w:val="en-US"/>
        </w:rPr>
        <w:t>本</w:t>
      </w:r>
      <w:r>
        <w:rPr>
          <w:color w:val="auto"/>
          <w:highlight w:val="none"/>
          <w:u w:val="none"/>
        </w:rPr>
        <w:t>项目的焦油料仓临时存储。与</w:t>
      </w:r>
      <w:r>
        <w:rPr>
          <w:rFonts w:hint="eastAsia"/>
          <w:color w:val="auto"/>
          <w:highlight w:val="none"/>
          <w:u w:val="none"/>
          <w:lang w:val="en-US"/>
        </w:rPr>
        <w:t>二</w:t>
      </w:r>
      <w:r>
        <w:rPr>
          <w:color w:val="auto"/>
          <w:highlight w:val="none"/>
          <w:u w:val="none"/>
        </w:rPr>
        <w:t>期项目的焦油颗粒一同经专用密闭槽车送往</w:t>
      </w:r>
      <w:r>
        <w:rPr>
          <w:rFonts w:hint="eastAsia"/>
          <w:color w:val="auto"/>
          <w:highlight w:val="none"/>
          <w:u w:val="none"/>
        </w:rPr>
        <w:t>万华福建公司气体扩能改造项目，替代原料煤</w:t>
      </w:r>
      <w:r>
        <w:rPr>
          <w:color w:val="auto"/>
          <w:highlight w:val="none"/>
          <w:u w:val="none"/>
        </w:rPr>
        <w:t>作为水煤浆气化原料</w:t>
      </w:r>
      <w:r>
        <w:rPr>
          <w:rFonts w:hint="eastAsia"/>
          <w:color w:val="auto"/>
          <w:highlight w:val="none"/>
          <w:u w:val="none"/>
        </w:rPr>
        <w:t>进行利用</w:t>
      </w:r>
      <w:r>
        <w:rPr>
          <w:color w:val="auto"/>
          <w:highlight w:val="none"/>
          <w:u w:val="none"/>
        </w:rPr>
        <w:t>。</w:t>
      </w:r>
      <w:r>
        <w:rPr>
          <w:rFonts w:hint="eastAsia"/>
          <w:color w:val="auto"/>
          <w:highlight w:val="none"/>
          <w:u w:val="none"/>
        </w:rPr>
        <w:t>焦油颗粒利用于水煤浆气化产生的环境影响由建设单位另行委托进行环境影响评价（该项目环评《万华福建工业园MDI一体化扩能配套项目-气体扩能改造项目环境影响报告书》已通过评审并完成复审），不在本次的评价范围内，本评价主要针对其可行性进行分析。</w:t>
      </w:r>
    </w:p>
    <w:p w14:paraId="5306B152">
      <w:pPr>
        <w:pStyle w:val="981"/>
        <w:rPr>
          <w:rFonts w:hint="eastAsia"/>
          <w:color w:val="auto"/>
          <w:highlight w:val="none"/>
          <w:u w:val="none"/>
        </w:rPr>
      </w:pPr>
      <w:r>
        <w:rPr>
          <w:rFonts w:hint="eastAsia"/>
          <w:color w:val="auto"/>
          <w:highlight w:val="none"/>
          <w:u w:val="none"/>
        </w:rPr>
        <w:t>（1）焦油颗粒产生过程</w:t>
      </w:r>
    </w:p>
    <w:p w14:paraId="42CD7846">
      <w:pPr>
        <w:pStyle w:val="981"/>
        <w:rPr>
          <w:rFonts w:hint="eastAsia"/>
          <w:color w:val="auto"/>
          <w:highlight w:val="none"/>
          <w:u w:val="none"/>
        </w:rPr>
      </w:pPr>
      <w:r>
        <w:rPr>
          <w:rFonts w:hint="eastAsia"/>
          <w:color w:val="auto"/>
          <w:highlight w:val="none"/>
          <w:u w:val="none"/>
        </w:rPr>
        <w:t>粗</w:t>
      </w:r>
      <w:r>
        <w:rPr>
          <w:color w:val="auto"/>
          <w:highlight w:val="none"/>
          <w:u w:val="none"/>
        </w:rPr>
        <w:t>TDI经精馏分离，塔顶TDI回收，液体焦油在塔釜富集，焦油浓度为45%-55%，液体焦油经过干燥机240℃高温加热进一步回收TDI，并生成固体焦油颗粒。</w:t>
      </w:r>
      <w:r>
        <w:rPr>
          <w:rFonts w:hint="eastAsia"/>
          <w:color w:val="auto"/>
          <w:highlight w:val="none"/>
          <w:u w:val="none"/>
        </w:rPr>
        <w:t>其主要组分：</w:t>
      </w:r>
      <w:r>
        <w:rPr>
          <w:color w:val="auto"/>
          <w:highlight w:val="none"/>
          <w:u w:val="none"/>
        </w:rPr>
        <w:t>TDI的聚合物，无其他物质，含碳为64.6%、含氢4.6%、含氧11.6%、含氮17.5%，含氯1.7%。</w:t>
      </w:r>
      <w:r>
        <w:rPr>
          <w:rFonts w:hint="eastAsia"/>
          <w:color w:val="auto"/>
          <w:highlight w:val="none"/>
          <w:u w:val="none"/>
        </w:rPr>
        <w:t>固体焦油的形貌、组成均与煤接近，而煤是煤化工制氢气、</w:t>
      </w:r>
      <w:r>
        <w:rPr>
          <w:color w:val="auto"/>
          <w:highlight w:val="none"/>
          <w:u w:val="none"/>
        </w:rPr>
        <w:t>CO的主要原料，</w:t>
      </w:r>
      <w:r>
        <w:rPr>
          <w:rFonts w:hint="eastAsia"/>
          <w:color w:val="auto"/>
          <w:highlight w:val="none"/>
          <w:u w:val="none"/>
        </w:rPr>
        <w:t>因此将固体焦油作为气化炉的替代原料进行综合利用。</w:t>
      </w:r>
    </w:p>
    <w:p w14:paraId="5F8BE06E">
      <w:pPr>
        <w:pStyle w:val="981"/>
        <w:rPr>
          <w:rFonts w:hint="eastAsia"/>
          <w:color w:val="auto"/>
          <w:highlight w:val="none"/>
          <w:u w:val="none"/>
        </w:rPr>
      </w:pPr>
      <w:r>
        <w:rPr>
          <w:rFonts w:hint="eastAsia"/>
          <w:color w:val="auto"/>
          <w:highlight w:val="none"/>
          <w:u w:val="none"/>
        </w:rPr>
        <w:t>（2）焦油处理可行性</w:t>
      </w:r>
    </w:p>
    <w:p w14:paraId="142DD559">
      <w:pPr>
        <w:pStyle w:val="981"/>
        <w:rPr>
          <w:rFonts w:hint="eastAsia"/>
          <w:color w:val="auto"/>
          <w:highlight w:val="none"/>
          <w:u w:val="none"/>
        </w:rPr>
      </w:pPr>
      <w:r>
        <w:rPr>
          <w:rFonts w:hint="eastAsia"/>
        </w:rPr>
        <w:t>2</w:t>
      </w:r>
      <w:r>
        <w:t>023</w:t>
      </w:r>
      <w:r>
        <w:rPr>
          <w:rFonts w:hint="eastAsia"/>
        </w:rPr>
        <w:t>年3月，万华福建公司委托编制《万华化学（</w:t>
      </w:r>
      <w:r>
        <w:t>福建</w:t>
      </w:r>
      <w:r>
        <w:rPr>
          <w:rFonts w:hint="eastAsia"/>
        </w:rPr>
        <w:t>）</w:t>
      </w:r>
      <w:r>
        <w:t>有限公司资源综合利用项目</w:t>
      </w:r>
      <w:r>
        <w:rPr>
          <w:rFonts w:hint="eastAsia"/>
        </w:rPr>
        <w:t>——</w:t>
      </w:r>
      <w:r>
        <w:t>磨煤机制浆水优化</w:t>
      </w:r>
      <w:r>
        <w:rPr>
          <w:rFonts w:hint="eastAsia"/>
        </w:rPr>
        <w:t>环境影响报告表》，其工程内容包含TDI一期项目产生的焦油颗粒作为气化炉的替代原料，替代原料煤进行水煤浆制气，该环评报告表于2</w:t>
      </w:r>
      <w:r>
        <w:t>023</w:t>
      </w:r>
      <w:r>
        <w:rPr>
          <w:rFonts w:hint="eastAsia"/>
        </w:rPr>
        <w:t>年6月6日获得福州市生态环境局批复（见附件</w:t>
      </w:r>
      <w:r>
        <w:rPr>
          <w:rFonts w:hint="eastAsia"/>
          <w:lang w:val="en-US"/>
        </w:rPr>
        <w:t>20</w:t>
      </w:r>
      <w:r>
        <w:rPr>
          <w:rFonts w:hint="eastAsia"/>
        </w:rPr>
        <w:t>）</w:t>
      </w:r>
      <w:r>
        <w:rPr>
          <w:rFonts w:hint="eastAsia"/>
          <w:color w:val="auto"/>
          <w:highlight w:val="none"/>
          <w:u w:val="none"/>
        </w:rPr>
        <w:t>。</w:t>
      </w:r>
    </w:p>
    <w:p w14:paraId="3D5E74B3">
      <w:pPr>
        <w:pStyle w:val="981"/>
        <w:rPr>
          <w:rFonts w:hint="eastAsia"/>
          <w:color w:val="auto"/>
          <w:highlight w:val="none"/>
          <w:u w:val="none"/>
        </w:rPr>
      </w:pPr>
      <w:r>
        <w:rPr>
          <w:rFonts w:hint="eastAsia"/>
          <w:color w:val="auto"/>
          <w:highlight w:val="none"/>
          <w:u w:val="none"/>
        </w:rPr>
        <w:t>根据《万华化学（</w:t>
      </w:r>
      <w:r>
        <w:rPr>
          <w:color w:val="auto"/>
          <w:highlight w:val="none"/>
          <w:u w:val="none"/>
        </w:rPr>
        <w:t>福建</w:t>
      </w:r>
      <w:r>
        <w:rPr>
          <w:rFonts w:hint="eastAsia"/>
          <w:color w:val="auto"/>
          <w:highlight w:val="none"/>
          <w:u w:val="none"/>
        </w:rPr>
        <w:t>）</w:t>
      </w:r>
      <w:r>
        <w:rPr>
          <w:color w:val="auto"/>
          <w:highlight w:val="none"/>
          <w:u w:val="none"/>
        </w:rPr>
        <w:t>有限公司资源综合利用项目</w:t>
      </w:r>
      <w:r>
        <w:rPr>
          <w:rFonts w:hint="eastAsia"/>
          <w:color w:val="auto"/>
          <w:highlight w:val="none"/>
          <w:u w:val="none"/>
        </w:rPr>
        <w:t>——</w:t>
      </w:r>
      <w:r>
        <w:rPr>
          <w:color w:val="auto"/>
          <w:highlight w:val="none"/>
          <w:u w:val="none"/>
        </w:rPr>
        <w:t>磨煤机制浆水优化</w:t>
      </w:r>
      <w:r>
        <w:rPr>
          <w:rFonts w:hint="eastAsia"/>
          <w:color w:val="auto"/>
          <w:highlight w:val="none"/>
          <w:u w:val="none"/>
        </w:rPr>
        <w:t>环境影响报告表》评价结论，在</w:t>
      </w:r>
      <w:bookmarkStart w:id="538" w:name="_Hlk144564223"/>
      <w:r>
        <w:rPr>
          <w:rFonts w:hint="eastAsia"/>
          <w:color w:val="auto"/>
          <w:highlight w:val="none"/>
          <w:u w:val="none"/>
          <w:lang w:val="en-US"/>
        </w:rPr>
        <w:t>万华福建公司</w:t>
      </w:r>
      <w:bookmarkEnd w:id="538"/>
      <w:r>
        <w:rPr>
          <w:rFonts w:hint="eastAsia"/>
          <w:color w:val="auto"/>
          <w:highlight w:val="none"/>
          <w:u w:val="none"/>
          <w:lang w:val="en-US"/>
        </w:rPr>
        <w:t>气体扩能改造项目的气化单元的磨煤和制浆过程加入TDI焦油颗粒、TDI红水等，可以做到减少原料煤和水用量的同时，提高水煤浆的气化效率，并且减少大气颗粒物的排放。</w:t>
      </w:r>
    </w:p>
    <w:p w14:paraId="5190D5F8">
      <w:pPr>
        <w:pStyle w:val="981"/>
        <w:rPr>
          <w:rFonts w:hint="eastAsia"/>
          <w:color w:val="auto"/>
          <w:highlight w:val="none"/>
          <w:u w:val="none"/>
        </w:rPr>
      </w:pPr>
      <w:r>
        <w:rPr>
          <w:rFonts w:hint="eastAsia"/>
          <w:color w:val="auto"/>
          <w:highlight w:val="none"/>
          <w:u w:val="none"/>
        </w:rPr>
        <w:t>（3）焦油颗粒运输防范措施</w:t>
      </w:r>
    </w:p>
    <w:p w14:paraId="3C6D647C">
      <w:pPr>
        <w:pStyle w:val="981"/>
        <w:rPr>
          <w:rFonts w:hint="eastAsia"/>
          <w:color w:val="auto"/>
          <w:highlight w:val="none"/>
          <w:u w:val="none"/>
        </w:rPr>
      </w:pPr>
      <w:r>
        <w:rPr>
          <w:rFonts w:hint="eastAsia"/>
          <w:color w:val="auto"/>
          <w:highlight w:val="none"/>
          <w:u w:val="none"/>
        </w:rPr>
        <w:t>光化单元</w:t>
      </w:r>
      <w:r>
        <w:rPr>
          <w:color w:val="auto"/>
          <w:highlight w:val="none"/>
          <w:u w:val="none"/>
        </w:rPr>
        <w:t>产生的焦油颗粒通过密闭循环风送系统，送至</w:t>
      </w:r>
      <w:r>
        <w:rPr>
          <w:rFonts w:hint="eastAsia"/>
          <w:color w:val="auto"/>
          <w:highlight w:val="none"/>
          <w:u w:val="none"/>
          <w:lang w:val="en-US"/>
        </w:rPr>
        <w:t>本项目</w:t>
      </w:r>
      <w:r>
        <w:rPr>
          <w:rFonts w:hint="eastAsia"/>
          <w:color w:val="auto"/>
          <w:highlight w:val="none"/>
          <w:u w:val="none"/>
        </w:rPr>
        <w:t>焦油</w:t>
      </w:r>
      <w:r>
        <w:rPr>
          <w:color w:val="auto"/>
          <w:highlight w:val="none"/>
          <w:u w:val="none"/>
        </w:rPr>
        <w:t>高位料仓内</w:t>
      </w:r>
      <w:r>
        <w:rPr>
          <w:rFonts w:hint="eastAsia"/>
          <w:color w:val="auto"/>
          <w:highlight w:val="none"/>
          <w:u w:val="none"/>
        </w:rPr>
        <w:t>，</w:t>
      </w:r>
      <w:r>
        <w:rPr>
          <w:color w:val="auto"/>
          <w:highlight w:val="none"/>
          <w:u w:val="none"/>
        </w:rPr>
        <w:t>在料仓底部，安装有伸缩装料机，装料机与槽车顶部口相连，连接部位采用软密封，槽车属于密闭式罐车；运输过程能够完全避免泄漏、扬撒等情况发生，运输过程由具备危废运输资质的运输单位和车辆进行运输，固定车辆运输路线，严格按照《危险废物转移管理办法》做好危废转移管理计划、转移台账等日常管理工作。</w:t>
      </w:r>
    </w:p>
    <w:p w14:paraId="4BB4B746">
      <w:pPr>
        <w:pStyle w:val="7"/>
        <w:spacing w:before="156"/>
        <w:rPr>
          <w:color w:val="auto"/>
          <w:highlight w:val="none"/>
          <w:u w:val="none"/>
          <w:lang w:val="en-US"/>
        </w:rPr>
      </w:pPr>
      <w:r>
        <w:rPr>
          <w:rFonts w:hint="eastAsia"/>
          <w:color w:val="auto"/>
          <w:highlight w:val="none"/>
          <w:u w:val="none"/>
          <w:lang w:val="en-US"/>
        </w:rPr>
        <w:t>危险废物运输过程的环境影响分析</w:t>
      </w:r>
    </w:p>
    <w:p w14:paraId="6EE7C42E">
      <w:pPr>
        <w:pStyle w:val="5"/>
        <w:ind w:firstLine="480"/>
        <w:rPr>
          <w:rFonts w:hint="eastAsia"/>
          <w:color w:val="auto"/>
          <w:highlight w:val="none"/>
          <w:u w:val="none"/>
          <w:lang w:val="en-US"/>
        </w:rPr>
      </w:pPr>
      <w:r>
        <w:rPr>
          <w:rFonts w:hint="eastAsia"/>
          <w:color w:val="auto"/>
          <w:highlight w:val="none"/>
          <w:u w:val="none"/>
          <w:lang w:val="en-US"/>
        </w:rPr>
        <w:t>本项目危险废物在出厂前，按危险废物的管理要求，进行严格的包装，委托有资质的单位进行运输和处理后，不会对环境产生二次污染。项目危险废物运输线路采用固定路线，并选择无敏感点或是敏感点较少的路线，运输车辆采用符合标准要求的专用车辆，并由具备危险废物运输资质单位进行运输，做好明显标识，并配备紧急处置设施，在正常运输情况下，对周围环境影响不大。</w:t>
      </w:r>
    </w:p>
    <w:p w14:paraId="4C5E0B0D">
      <w:pPr>
        <w:pStyle w:val="5"/>
        <w:ind w:firstLine="480"/>
        <w:rPr>
          <w:rFonts w:hint="eastAsia"/>
          <w:color w:val="auto"/>
          <w:highlight w:val="none"/>
          <w:u w:val="none"/>
          <w:lang w:val="en-US"/>
        </w:rPr>
      </w:pPr>
      <w:r>
        <w:rPr>
          <w:rFonts w:hint="eastAsia"/>
          <w:color w:val="auto"/>
          <w:highlight w:val="none"/>
          <w:u w:val="none"/>
          <w:lang w:val="en-US"/>
        </w:rPr>
        <w:t>运输过程的最大环境风险为交通事故造成的环境影响，因此要求承接的有资质处置单位，按照该单位的环境影响报告书及相关法规要求，采用专用的危险废物运输车辆运输，采取有效的运输过程风险防控和应急处置措施，杜绝交通事故发生。</w:t>
      </w:r>
    </w:p>
    <w:p w14:paraId="5D5613C4">
      <w:pPr>
        <w:pStyle w:val="6"/>
        <w:spacing w:before="156" w:after="156"/>
        <w:rPr>
          <w:color w:val="auto"/>
          <w:highlight w:val="none"/>
          <w:u w:val="none"/>
          <w:lang w:val="en-US"/>
        </w:rPr>
      </w:pPr>
      <w:r>
        <w:rPr>
          <w:rFonts w:hint="eastAsia"/>
          <w:color w:val="auto"/>
          <w:highlight w:val="none"/>
          <w:u w:val="none"/>
          <w:lang w:val="en-US"/>
        </w:rPr>
        <w:t>危险废物委托利用或处置的环境影响</w:t>
      </w:r>
      <w:r>
        <w:rPr>
          <w:rFonts w:hint="eastAsia"/>
          <w:color w:val="auto"/>
          <w:highlight w:val="none"/>
          <w:u w:val="none"/>
          <w:lang w:val="en-US" w:eastAsia="zh-CN"/>
        </w:rPr>
        <w:t>分析</w:t>
      </w:r>
    </w:p>
    <w:p w14:paraId="3BD130E1">
      <w:pPr>
        <w:pStyle w:val="5"/>
        <w:ind w:firstLine="480"/>
        <w:rPr>
          <w:rFonts w:hint="eastAsia"/>
          <w:color w:val="auto"/>
          <w:highlight w:val="none"/>
          <w:u w:val="none"/>
          <w:lang w:val="en-US"/>
        </w:rPr>
      </w:pPr>
      <w:r>
        <w:rPr>
          <w:rFonts w:hint="eastAsia"/>
          <w:color w:val="auto"/>
          <w:highlight w:val="none"/>
          <w:u w:val="none"/>
          <w:lang w:val="en-US"/>
        </w:rPr>
        <w:t>本项目产生的危险废物种类与TDI一期</w:t>
      </w:r>
      <w:r>
        <w:rPr>
          <w:rFonts w:hint="eastAsia"/>
          <w:color w:val="auto"/>
          <w:highlight w:val="none"/>
          <w:u w:val="none"/>
          <w:lang w:val="en-US" w:eastAsia="zh-CN"/>
        </w:rPr>
        <w:t>现有</w:t>
      </w:r>
      <w:r>
        <w:rPr>
          <w:rFonts w:hint="eastAsia"/>
          <w:color w:val="auto"/>
          <w:highlight w:val="none"/>
          <w:u w:val="none"/>
          <w:lang w:val="en-US"/>
        </w:rPr>
        <w:t>工程一致。</w:t>
      </w:r>
      <w:r>
        <w:rPr>
          <w:rFonts w:hint="eastAsia"/>
          <w:color w:val="auto"/>
          <w:highlight w:val="none"/>
          <w:u w:val="none"/>
          <w:lang w:val="en-US" w:eastAsia="zh-CN"/>
        </w:rPr>
        <w:t>根据危险废物委托协议，本项目危废依托现有处置单位，可以得到合理利用和处置。建设单位</w:t>
      </w:r>
      <w:r>
        <w:rPr>
          <w:rFonts w:hint="eastAsia"/>
          <w:color w:val="auto"/>
          <w:highlight w:val="none"/>
          <w:u w:val="none"/>
          <w:lang w:val="en-US"/>
        </w:rPr>
        <w:t>处置的危险废物处置单位一览表见</w:t>
      </w:r>
      <w:r>
        <w:rPr>
          <w:rFonts w:hint="eastAsia"/>
          <w:color w:val="auto"/>
          <w:highlight w:val="none"/>
          <w:u w:val="none"/>
          <w:lang w:val="en-US"/>
        </w:rPr>
        <w:fldChar w:fldCharType="begin"/>
      </w:r>
      <w:r>
        <w:rPr>
          <w:rFonts w:hint="eastAsia"/>
          <w:color w:val="auto"/>
          <w:highlight w:val="none"/>
          <w:u w:val="none"/>
          <w:lang w:val="en-US"/>
        </w:rPr>
        <w:instrText xml:space="preserve"> REF _Ref191887477 \h  \* MERGEFORMAT </w:instrText>
      </w:r>
      <w:r>
        <w:rPr>
          <w:rFonts w:hint="eastAsia"/>
          <w:color w:val="auto"/>
          <w:highlight w:val="none"/>
          <w:u w:val="none"/>
          <w:lang w:val="en-US"/>
        </w:rPr>
        <w:fldChar w:fldCharType="separate"/>
      </w:r>
      <w:r>
        <w:rPr>
          <w:color w:val="auto"/>
          <w:highlight w:val="none"/>
          <w:u w:val="none"/>
        </w:rPr>
        <w:t xml:space="preserve">表 </w:t>
      </w:r>
      <w:r>
        <w:rPr>
          <w:rFonts w:hint="eastAsia"/>
          <w:color w:val="auto"/>
          <w:highlight w:val="none"/>
          <w:u w:val="none"/>
        </w:rPr>
        <w:fldChar w:fldCharType="begin"/>
      </w:r>
      <w:r>
        <w:rPr>
          <w:rFonts w:hint="eastAsia"/>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w:t>
      </w:r>
      <w:r>
        <w:rPr>
          <w:rFonts w:hint="eastAsia"/>
          <w:color w:val="auto"/>
          <w:highlight w:val="none"/>
          <w:u w:val="none"/>
        </w:rPr>
        <w:t>.5</w:t>
      </w:r>
      <w:r>
        <w:rPr>
          <w:rFonts w:hint="eastAsia"/>
          <w:color w:val="auto"/>
          <w:highlight w:val="none"/>
          <w:u w:val="none"/>
        </w:rPr>
        <w:fldChar w:fldCharType="end"/>
      </w:r>
      <w:r>
        <w:rPr>
          <w:rFonts w:hint="eastAsia"/>
          <w:color w:val="auto"/>
          <w:highlight w:val="none"/>
          <w:u w:val="none"/>
        </w:rPr>
        <w:noBreakHyphen/>
      </w:r>
      <w:r>
        <w:rPr>
          <w:rFonts w:hint="eastAsia"/>
          <w:color w:val="auto"/>
          <w:highlight w:val="none"/>
          <w:u w:val="none"/>
        </w:rPr>
        <w:t>3</w:t>
      </w:r>
      <w:r>
        <w:rPr>
          <w:rFonts w:hint="eastAsia"/>
          <w:color w:val="auto"/>
          <w:highlight w:val="none"/>
          <w:u w:val="none"/>
          <w:lang w:val="en-US"/>
        </w:rPr>
        <w:fldChar w:fldCharType="end"/>
      </w:r>
      <w:r>
        <w:rPr>
          <w:rFonts w:hint="eastAsia"/>
          <w:color w:val="auto"/>
          <w:highlight w:val="none"/>
          <w:u w:val="none"/>
          <w:lang w:val="en-US"/>
        </w:rPr>
        <w:t>。</w:t>
      </w:r>
    </w:p>
    <w:p w14:paraId="634CFE0E">
      <w:pPr>
        <w:pStyle w:val="981"/>
        <w:ind w:firstLine="0" w:firstLineChars="0"/>
        <w:jc w:val="center"/>
        <w:rPr>
          <w:rFonts w:hint="eastAsia"/>
          <w:b/>
          <w:bCs/>
          <w:color w:val="auto"/>
          <w:highlight w:val="none"/>
          <w:u w:val="none"/>
          <w:lang w:val="en-US"/>
        </w:rPr>
      </w:pPr>
      <w:bookmarkStart w:id="539" w:name="_Ref191887477"/>
      <w:r>
        <w:rPr>
          <w:b/>
          <w:bCs/>
          <w:color w:val="auto"/>
          <w:highlight w:val="none"/>
          <w:u w:val="none"/>
        </w:rPr>
        <w:t xml:space="preserve">表 </w:t>
      </w:r>
      <w:r>
        <w:rPr>
          <w:b/>
          <w:bCs/>
          <w:color w:val="auto"/>
          <w:highlight w:val="none"/>
          <w:u w:val="none"/>
        </w:rPr>
        <w:fldChar w:fldCharType="begin"/>
      </w:r>
      <w:r>
        <w:rPr>
          <w:b/>
          <w:bCs/>
          <w:color w:val="auto"/>
          <w:highlight w:val="none"/>
          <w:u w:val="none"/>
        </w:rPr>
        <w:instrText xml:space="preserve"> STYLEREF 2 \s </w:instrText>
      </w:r>
      <w:r>
        <w:rPr>
          <w:b/>
          <w:bCs/>
          <w:color w:val="auto"/>
          <w:highlight w:val="none"/>
          <w:u w:val="none"/>
        </w:rPr>
        <w:fldChar w:fldCharType="separate"/>
      </w:r>
      <w:r>
        <w:rPr>
          <w:b/>
          <w:bCs/>
          <w:color w:val="auto"/>
          <w:highlight w:val="none"/>
          <w:u w:val="none"/>
        </w:rPr>
        <w:t>8.5</w:t>
      </w:r>
      <w:r>
        <w:rPr>
          <w:b/>
          <w:bCs/>
          <w:color w:val="auto"/>
          <w:highlight w:val="none"/>
          <w:u w:val="none"/>
        </w:rPr>
        <w:fldChar w:fldCharType="end"/>
      </w:r>
      <w:r>
        <w:rPr>
          <w:b/>
          <w:bCs/>
          <w:color w:val="auto"/>
          <w:highlight w:val="none"/>
          <w:u w:val="none"/>
        </w:rPr>
        <w:noBreakHyphen/>
      </w:r>
      <w:r>
        <w:rPr>
          <w:b/>
          <w:bCs/>
          <w:color w:val="auto"/>
          <w:highlight w:val="none"/>
          <w:u w:val="none"/>
        </w:rPr>
        <w:fldChar w:fldCharType="begin"/>
      </w:r>
      <w:r>
        <w:rPr>
          <w:b/>
          <w:bCs/>
          <w:color w:val="auto"/>
          <w:highlight w:val="none"/>
          <w:u w:val="none"/>
        </w:rPr>
        <w:instrText xml:space="preserve"> SEQ 表 \* ARABIC \s 2 </w:instrText>
      </w:r>
      <w:r>
        <w:rPr>
          <w:b/>
          <w:bCs/>
          <w:color w:val="auto"/>
          <w:highlight w:val="none"/>
          <w:u w:val="none"/>
        </w:rPr>
        <w:fldChar w:fldCharType="separate"/>
      </w:r>
      <w:r>
        <w:rPr>
          <w:b/>
          <w:bCs/>
          <w:color w:val="auto"/>
          <w:highlight w:val="none"/>
          <w:u w:val="none"/>
        </w:rPr>
        <w:t>3</w:t>
      </w:r>
      <w:r>
        <w:rPr>
          <w:b/>
          <w:bCs/>
          <w:color w:val="auto"/>
          <w:highlight w:val="none"/>
          <w:u w:val="none"/>
        </w:rPr>
        <w:fldChar w:fldCharType="end"/>
      </w:r>
      <w:bookmarkEnd w:id="539"/>
      <w:r>
        <w:rPr>
          <w:b/>
          <w:bCs/>
          <w:color w:val="auto"/>
          <w:highlight w:val="none"/>
          <w:u w:val="none"/>
        </w:rPr>
        <w:t xml:space="preserve">  </w:t>
      </w:r>
      <w:r>
        <w:rPr>
          <w:rFonts w:hint="eastAsia"/>
          <w:b/>
          <w:bCs/>
          <w:color w:val="auto"/>
          <w:highlight w:val="none"/>
          <w:u w:val="none"/>
        </w:rPr>
        <w:t>项目危险废物处置建议单位一览表</w:t>
      </w:r>
    </w:p>
    <w:tbl>
      <w:tblPr>
        <w:tblStyle w:val="5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36"/>
        <w:gridCol w:w="2357"/>
        <w:gridCol w:w="903"/>
        <w:gridCol w:w="4944"/>
      </w:tblGrid>
      <w:tr w14:paraId="34A3B2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1BBB4285">
            <w:pPr>
              <w:pStyle w:val="92"/>
              <w:rPr>
                <w:color w:val="auto"/>
                <w:highlight w:val="none"/>
                <w:u w:val="none"/>
              </w:rPr>
            </w:pPr>
            <w:r>
              <w:rPr>
                <w:color w:val="auto"/>
                <w:highlight w:val="none"/>
                <w:u w:val="none"/>
              </w:rPr>
              <w:t>固废类别</w:t>
            </w:r>
          </w:p>
        </w:tc>
        <w:tc>
          <w:tcPr>
            <w:tcW w:w="2357" w:type="dxa"/>
            <w:shd w:val="clear" w:color="auto" w:fill="auto"/>
            <w:vAlign w:val="center"/>
          </w:tcPr>
          <w:p w14:paraId="79F39D36">
            <w:pPr>
              <w:pStyle w:val="92"/>
              <w:rPr>
                <w:color w:val="auto"/>
                <w:highlight w:val="none"/>
                <w:u w:val="none"/>
              </w:rPr>
            </w:pPr>
            <w:r>
              <w:rPr>
                <w:color w:val="auto"/>
                <w:highlight w:val="none"/>
                <w:u w:val="none"/>
              </w:rPr>
              <w:t>固废名称</w:t>
            </w:r>
          </w:p>
        </w:tc>
        <w:tc>
          <w:tcPr>
            <w:tcW w:w="903" w:type="dxa"/>
            <w:shd w:val="clear" w:color="auto" w:fill="auto"/>
            <w:vAlign w:val="center"/>
          </w:tcPr>
          <w:p w14:paraId="11E329F7">
            <w:pPr>
              <w:pStyle w:val="92"/>
              <w:rPr>
                <w:color w:val="auto"/>
                <w:highlight w:val="none"/>
                <w:u w:val="none"/>
              </w:rPr>
            </w:pPr>
            <w:r>
              <w:rPr>
                <w:color w:val="auto"/>
                <w:highlight w:val="none"/>
                <w:u w:val="none"/>
              </w:rPr>
              <w:t>产生量（t/a）</w:t>
            </w:r>
          </w:p>
        </w:tc>
        <w:tc>
          <w:tcPr>
            <w:tcW w:w="4944" w:type="dxa"/>
            <w:vAlign w:val="center"/>
          </w:tcPr>
          <w:p w14:paraId="52CD9A42">
            <w:pPr>
              <w:pStyle w:val="92"/>
              <w:rPr>
                <w:color w:val="auto"/>
                <w:highlight w:val="none"/>
                <w:u w:val="none"/>
              </w:rPr>
            </w:pPr>
            <w:r>
              <w:rPr>
                <w:rFonts w:hint="eastAsia"/>
                <w:color w:val="auto"/>
                <w:highlight w:val="none"/>
                <w:u w:val="none"/>
              </w:rPr>
              <w:t>建议委托处置的单位</w:t>
            </w:r>
          </w:p>
        </w:tc>
      </w:tr>
      <w:tr w14:paraId="3442B5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restart"/>
            <w:shd w:val="clear" w:color="auto" w:fill="auto"/>
            <w:vAlign w:val="center"/>
          </w:tcPr>
          <w:p w14:paraId="06FB9255">
            <w:pPr>
              <w:pStyle w:val="92"/>
              <w:rPr>
                <w:color w:val="auto"/>
                <w:highlight w:val="none"/>
                <w:u w:val="none"/>
              </w:rPr>
            </w:pPr>
            <w:r>
              <w:rPr>
                <w:color w:val="auto"/>
                <w:highlight w:val="none"/>
                <w:u w:val="none"/>
              </w:rPr>
              <w:t>危险废物</w:t>
            </w:r>
          </w:p>
        </w:tc>
        <w:tc>
          <w:tcPr>
            <w:tcW w:w="2357" w:type="dxa"/>
            <w:shd w:val="clear" w:color="auto" w:fill="auto"/>
            <w:vAlign w:val="center"/>
          </w:tcPr>
          <w:p w14:paraId="7C298B5C">
            <w:pPr>
              <w:pStyle w:val="92"/>
              <w:rPr>
                <w:color w:val="auto"/>
                <w:highlight w:val="none"/>
                <w:u w:val="none"/>
              </w:rPr>
            </w:pPr>
            <w:r>
              <w:rPr>
                <w:color w:val="auto"/>
                <w:highlight w:val="none"/>
                <w:u w:val="none"/>
              </w:rPr>
              <w:t>废DNT</w:t>
            </w:r>
          </w:p>
        </w:tc>
        <w:tc>
          <w:tcPr>
            <w:tcW w:w="903" w:type="dxa"/>
            <w:shd w:val="clear" w:color="auto" w:fill="auto"/>
            <w:vAlign w:val="center"/>
          </w:tcPr>
          <w:p w14:paraId="60D4495F">
            <w:pPr>
              <w:pStyle w:val="92"/>
              <w:rPr>
                <w:color w:val="auto"/>
                <w:highlight w:val="none"/>
                <w:u w:val="none"/>
              </w:rPr>
            </w:pPr>
            <w:r>
              <w:rPr>
                <w:color w:val="auto"/>
                <w:highlight w:val="none"/>
                <w:u w:val="none"/>
              </w:rPr>
              <w:t>2</w:t>
            </w:r>
          </w:p>
        </w:tc>
        <w:tc>
          <w:tcPr>
            <w:tcW w:w="4944" w:type="dxa"/>
            <w:vAlign w:val="center"/>
          </w:tcPr>
          <w:p w14:paraId="4B0FB294">
            <w:pPr>
              <w:pStyle w:val="92"/>
              <w:rPr>
                <w:color w:val="auto"/>
                <w:highlight w:val="none"/>
                <w:u w:val="none"/>
              </w:rPr>
            </w:pPr>
            <w:r>
              <w:rPr>
                <w:rFonts w:hint="eastAsia"/>
                <w:color w:val="auto"/>
                <w:highlight w:val="none"/>
                <w:u w:val="none"/>
              </w:rPr>
              <w:t>拟委托福建省固体废物处置有限公司处置</w:t>
            </w:r>
          </w:p>
        </w:tc>
      </w:tr>
      <w:tr w14:paraId="0401D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7E3132A4">
            <w:pPr>
              <w:pStyle w:val="92"/>
              <w:rPr>
                <w:color w:val="auto"/>
                <w:highlight w:val="none"/>
                <w:u w:val="none"/>
              </w:rPr>
            </w:pPr>
          </w:p>
        </w:tc>
        <w:tc>
          <w:tcPr>
            <w:tcW w:w="2357" w:type="dxa"/>
            <w:shd w:val="clear" w:color="auto" w:fill="auto"/>
            <w:vAlign w:val="center"/>
          </w:tcPr>
          <w:p w14:paraId="4070B337">
            <w:pPr>
              <w:pStyle w:val="92"/>
              <w:rPr>
                <w:color w:val="auto"/>
                <w:highlight w:val="none"/>
                <w:u w:val="none"/>
              </w:rPr>
            </w:pPr>
            <w:r>
              <w:rPr>
                <w:color w:val="auto"/>
                <w:highlight w:val="none"/>
                <w:u w:val="none"/>
              </w:rPr>
              <w:t>废催化剂</w:t>
            </w:r>
          </w:p>
        </w:tc>
        <w:tc>
          <w:tcPr>
            <w:tcW w:w="903" w:type="dxa"/>
            <w:shd w:val="clear" w:color="auto" w:fill="auto"/>
            <w:vAlign w:val="center"/>
          </w:tcPr>
          <w:p w14:paraId="3E9825B7">
            <w:pPr>
              <w:pStyle w:val="92"/>
              <w:rPr>
                <w:color w:val="auto"/>
                <w:highlight w:val="none"/>
                <w:u w:val="none"/>
              </w:rPr>
            </w:pPr>
            <w:r>
              <w:rPr>
                <w:rFonts w:eastAsia="等线"/>
                <w:color w:val="auto"/>
                <w:highlight w:val="none"/>
                <w:u w:val="none"/>
              </w:rPr>
              <w:t>118</w:t>
            </w:r>
          </w:p>
        </w:tc>
        <w:tc>
          <w:tcPr>
            <w:tcW w:w="4944" w:type="dxa"/>
            <w:vAlign w:val="center"/>
          </w:tcPr>
          <w:p w14:paraId="6DEBA40F">
            <w:pPr>
              <w:pStyle w:val="92"/>
              <w:rPr>
                <w:color w:val="auto"/>
                <w:highlight w:val="none"/>
                <w:u w:val="none"/>
              </w:rPr>
            </w:pPr>
            <w:r>
              <w:rPr>
                <w:rFonts w:hint="eastAsia"/>
                <w:color w:val="auto"/>
                <w:highlight w:val="none"/>
                <w:u w:val="none"/>
              </w:rPr>
              <w:t>拟委托内蒙古熙泰再生资源处理有限责任公司处置</w:t>
            </w:r>
          </w:p>
        </w:tc>
      </w:tr>
      <w:tr w14:paraId="79307E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55BCB86E">
            <w:pPr>
              <w:pStyle w:val="92"/>
              <w:rPr>
                <w:color w:val="auto"/>
                <w:highlight w:val="none"/>
                <w:u w:val="none"/>
              </w:rPr>
            </w:pPr>
          </w:p>
        </w:tc>
        <w:tc>
          <w:tcPr>
            <w:tcW w:w="2357" w:type="dxa"/>
            <w:shd w:val="clear" w:color="auto" w:fill="auto"/>
            <w:vAlign w:val="center"/>
          </w:tcPr>
          <w:p w14:paraId="43FC3BF6">
            <w:pPr>
              <w:pStyle w:val="92"/>
              <w:rPr>
                <w:color w:val="auto"/>
                <w:highlight w:val="none"/>
                <w:u w:val="none"/>
              </w:rPr>
            </w:pPr>
            <w:r>
              <w:rPr>
                <w:color w:val="auto"/>
                <w:highlight w:val="none"/>
                <w:u w:val="none"/>
              </w:rPr>
              <w:t>TDA精馏残渣</w:t>
            </w:r>
          </w:p>
        </w:tc>
        <w:tc>
          <w:tcPr>
            <w:tcW w:w="903" w:type="dxa"/>
            <w:shd w:val="clear" w:color="auto" w:fill="auto"/>
            <w:vAlign w:val="center"/>
          </w:tcPr>
          <w:p w14:paraId="3E952AB4">
            <w:pPr>
              <w:pStyle w:val="92"/>
              <w:rPr>
                <w:color w:val="auto"/>
                <w:highlight w:val="none"/>
                <w:u w:val="none"/>
              </w:rPr>
            </w:pPr>
            <w:r>
              <w:rPr>
                <w:color w:val="auto"/>
                <w:highlight w:val="none"/>
                <w:u w:val="none"/>
              </w:rPr>
              <w:t>17</w:t>
            </w:r>
          </w:p>
        </w:tc>
        <w:tc>
          <w:tcPr>
            <w:tcW w:w="4944" w:type="dxa"/>
            <w:vMerge w:val="restart"/>
            <w:vAlign w:val="center"/>
          </w:tcPr>
          <w:p w14:paraId="7B94092A">
            <w:pPr>
              <w:pStyle w:val="92"/>
              <w:rPr>
                <w:color w:val="auto"/>
                <w:highlight w:val="none"/>
                <w:u w:val="none"/>
              </w:rPr>
            </w:pPr>
            <w:r>
              <w:rPr>
                <w:rFonts w:hint="eastAsia"/>
                <w:color w:val="auto"/>
                <w:highlight w:val="none"/>
                <w:u w:val="none"/>
              </w:rPr>
              <w:t>拟委托福建省固体废物处置有限公司处置</w:t>
            </w:r>
          </w:p>
        </w:tc>
      </w:tr>
      <w:tr w14:paraId="3C105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54822EE0">
            <w:pPr>
              <w:pStyle w:val="92"/>
              <w:rPr>
                <w:color w:val="auto"/>
                <w:highlight w:val="none"/>
                <w:u w:val="none"/>
              </w:rPr>
            </w:pPr>
          </w:p>
        </w:tc>
        <w:tc>
          <w:tcPr>
            <w:tcW w:w="2357" w:type="dxa"/>
            <w:shd w:val="clear" w:color="auto" w:fill="auto"/>
            <w:vAlign w:val="center"/>
          </w:tcPr>
          <w:p w14:paraId="214D2D0E">
            <w:pPr>
              <w:pStyle w:val="92"/>
              <w:rPr>
                <w:color w:val="auto"/>
                <w:highlight w:val="none"/>
                <w:u w:val="none"/>
              </w:rPr>
            </w:pPr>
            <w:r>
              <w:rPr>
                <w:color w:val="auto"/>
                <w:kern w:val="0"/>
                <w:highlight w:val="none"/>
                <w:u w:val="none"/>
                <w:lang w:val="zh-CN"/>
              </w:rPr>
              <w:t>光化退料</w:t>
            </w:r>
          </w:p>
        </w:tc>
        <w:tc>
          <w:tcPr>
            <w:tcW w:w="903" w:type="dxa"/>
            <w:shd w:val="clear" w:color="auto" w:fill="auto"/>
            <w:vAlign w:val="center"/>
          </w:tcPr>
          <w:p w14:paraId="28C63838">
            <w:pPr>
              <w:pStyle w:val="92"/>
              <w:rPr>
                <w:color w:val="auto"/>
                <w:highlight w:val="none"/>
                <w:u w:val="none"/>
              </w:rPr>
            </w:pPr>
            <w:r>
              <w:rPr>
                <w:color w:val="auto"/>
                <w:highlight w:val="none"/>
                <w:u w:val="none"/>
              </w:rPr>
              <w:t>142</w:t>
            </w:r>
          </w:p>
        </w:tc>
        <w:tc>
          <w:tcPr>
            <w:tcW w:w="4944" w:type="dxa"/>
            <w:vMerge w:val="continue"/>
            <w:vAlign w:val="center"/>
          </w:tcPr>
          <w:p w14:paraId="576796C8">
            <w:pPr>
              <w:pStyle w:val="92"/>
              <w:rPr>
                <w:color w:val="auto"/>
                <w:highlight w:val="none"/>
                <w:u w:val="none"/>
              </w:rPr>
            </w:pPr>
          </w:p>
        </w:tc>
      </w:tr>
      <w:tr w14:paraId="3207E4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5A4E79E6">
            <w:pPr>
              <w:pStyle w:val="92"/>
              <w:rPr>
                <w:color w:val="auto"/>
                <w:highlight w:val="none"/>
                <w:u w:val="none"/>
              </w:rPr>
            </w:pPr>
          </w:p>
        </w:tc>
        <w:tc>
          <w:tcPr>
            <w:tcW w:w="2357" w:type="dxa"/>
            <w:shd w:val="clear" w:color="auto" w:fill="auto"/>
            <w:vAlign w:val="center"/>
          </w:tcPr>
          <w:p w14:paraId="0FA76425">
            <w:pPr>
              <w:pStyle w:val="92"/>
              <w:rPr>
                <w:color w:val="auto"/>
                <w:kern w:val="0"/>
                <w:highlight w:val="none"/>
                <w:u w:val="none"/>
                <w:lang w:val="zh-CN"/>
              </w:rPr>
            </w:pPr>
            <w:r>
              <w:rPr>
                <w:color w:val="auto"/>
                <w:kern w:val="0"/>
                <w:highlight w:val="none"/>
                <w:u w:val="none"/>
                <w:lang w:val="zh-CN"/>
              </w:rPr>
              <w:t>TDI精馏残渣</w:t>
            </w:r>
          </w:p>
        </w:tc>
        <w:tc>
          <w:tcPr>
            <w:tcW w:w="903" w:type="dxa"/>
            <w:shd w:val="clear" w:color="auto" w:fill="auto"/>
            <w:vAlign w:val="center"/>
          </w:tcPr>
          <w:p w14:paraId="23B98F06">
            <w:pPr>
              <w:pStyle w:val="92"/>
              <w:rPr>
                <w:color w:val="auto"/>
                <w:highlight w:val="none"/>
                <w:u w:val="none"/>
              </w:rPr>
            </w:pPr>
            <w:r>
              <w:rPr>
                <w:color w:val="auto"/>
                <w:highlight w:val="none"/>
                <w:u w:val="none"/>
              </w:rPr>
              <w:t>58</w:t>
            </w:r>
          </w:p>
        </w:tc>
        <w:tc>
          <w:tcPr>
            <w:tcW w:w="4944" w:type="dxa"/>
            <w:vMerge w:val="continue"/>
            <w:tcBorders>
              <w:bottom w:val="single" w:color="auto" w:sz="4" w:space="0"/>
            </w:tcBorders>
            <w:vAlign w:val="center"/>
          </w:tcPr>
          <w:p w14:paraId="20B099C5">
            <w:pPr>
              <w:pStyle w:val="92"/>
              <w:rPr>
                <w:color w:val="auto"/>
                <w:highlight w:val="none"/>
                <w:u w:val="none"/>
              </w:rPr>
            </w:pPr>
          </w:p>
        </w:tc>
      </w:tr>
      <w:tr w14:paraId="5419E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73C567A5">
            <w:pPr>
              <w:pStyle w:val="92"/>
              <w:rPr>
                <w:color w:val="auto"/>
                <w:highlight w:val="none"/>
                <w:u w:val="none"/>
              </w:rPr>
            </w:pPr>
          </w:p>
        </w:tc>
        <w:tc>
          <w:tcPr>
            <w:tcW w:w="2357" w:type="dxa"/>
            <w:shd w:val="clear" w:color="auto" w:fill="auto"/>
            <w:vAlign w:val="center"/>
          </w:tcPr>
          <w:p w14:paraId="77260E5D">
            <w:pPr>
              <w:pStyle w:val="92"/>
              <w:rPr>
                <w:color w:val="auto"/>
                <w:highlight w:val="none"/>
                <w:u w:val="none"/>
              </w:rPr>
            </w:pPr>
            <w:r>
              <w:rPr>
                <w:color w:val="auto"/>
                <w:highlight w:val="none"/>
                <w:u w:val="none"/>
              </w:rPr>
              <w:t>轻油</w:t>
            </w:r>
          </w:p>
        </w:tc>
        <w:tc>
          <w:tcPr>
            <w:tcW w:w="903" w:type="dxa"/>
            <w:shd w:val="clear" w:color="auto" w:fill="auto"/>
            <w:vAlign w:val="center"/>
          </w:tcPr>
          <w:p w14:paraId="0A01F582">
            <w:pPr>
              <w:pStyle w:val="92"/>
              <w:rPr>
                <w:color w:val="auto"/>
                <w:highlight w:val="none"/>
                <w:u w:val="none"/>
              </w:rPr>
            </w:pPr>
            <w:r>
              <w:rPr>
                <w:color w:val="auto"/>
                <w:highlight w:val="none"/>
                <w:u w:val="none"/>
              </w:rPr>
              <w:t>683</w:t>
            </w:r>
          </w:p>
        </w:tc>
        <w:tc>
          <w:tcPr>
            <w:tcW w:w="4944" w:type="dxa"/>
            <w:vMerge w:val="restart"/>
            <w:vAlign w:val="center"/>
          </w:tcPr>
          <w:p w14:paraId="0834291D">
            <w:pPr>
              <w:pStyle w:val="92"/>
              <w:rPr>
                <w:color w:val="auto"/>
                <w:highlight w:val="none"/>
                <w:u w:val="none"/>
              </w:rPr>
            </w:pPr>
            <w:r>
              <w:rPr>
                <w:rFonts w:hint="eastAsia"/>
                <w:color w:val="auto"/>
                <w:highlight w:val="none"/>
                <w:u w:val="none"/>
              </w:rPr>
              <w:t>拟送能量回收装置焚烧</w:t>
            </w:r>
          </w:p>
        </w:tc>
      </w:tr>
      <w:tr w14:paraId="4AC7A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011D7ED4">
            <w:pPr>
              <w:pStyle w:val="92"/>
              <w:rPr>
                <w:color w:val="auto"/>
                <w:highlight w:val="none"/>
                <w:u w:val="none"/>
              </w:rPr>
            </w:pPr>
          </w:p>
        </w:tc>
        <w:tc>
          <w:tcPr>
            <w:tcW w:w="2357" w:type="dxa"/>
            <w:shd w:val="clear" w:color="auto" w:fill="auto"/>
            <w:vAlign w:val="center"/>
          </w:tcPr>
          <w:p w14:paraId="63973845">
            <w:pPr>
              <w:pStyle w:val="92"/>
              <w:rPr>
                <w:color w:val="auto"/>
                <w:highlight w:val="none"/>
                <w:u w:val="none"/>
              </w:rPr>
            </w:pPr>
            <w:r>
              <w:rPr>
                <w:color w:val="auto"/>
                <w:highlight w:val="none"/>
                <w:u w:val="none"/>
              </w:rPr>
              <w:t>TDI废液</w:t>
            </w:r>
          </w:p>
        </w:tc>
        <w:tc>
          <w:tcPr>
            <w:tcW w:w="903" w:type="dxa"/>
            <w:shd w:val="clear" w:color="auto" w:fill="auto"/>
            <w:vAlign w:val="center"/>
          </w:tcPr>
          <w:p w14:paraId="3B56A42E">
            <w:pPr>
              <w:pStyle w:val="92"/>
              <w:rPr>
                <w:color w:val="auto"/>
                <w:highlight w:val="none"/>
                <w:u w:val="none"/>
              </w:rPr>
            </w:pPr>
            <w:r>
              <w:rPr>
                <w:color w:val="auto"/>
                <w:highlight w:val="none"/>
                <w:u w:val="none"/>
              </w:rPr>
              <w:t>3680</w:t>
            </w:r>
          </w:p>
        </w:tc>
        <w:tc>
          <w:tcPr>
            <w:tcW w:w="4944" w:type="dxa"/>
            <w:vMerge w:val="continue"/>
            <w:vAlign w:val="center"/>
          </w:tcPr>
          <w:p w14:paraId="05E55A59">
            <w:pPr>
              <w:pStyle w:val="92"/>
              <w:rPr>
                <w:color w:val="auto"/>
                <w:highlight w:val="none"/>
                <w:u w:val="none"/>
              </w:rPr>
            </w:pPr>
          </w:p>
        </w:tc>
      </w:tr>
      <w:tr w14:paraId="51F9B8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836" w:type="dxa"/>
            <w:vMerge w:val="continue"/>
            <w:shd w:val="clear" w:color="auto" w:fill="auto"/>
            <w:vAlign w:val="center"/>
          </w:tcPr>
          <w:p w14:paraId="69A27B35">
            <w:pPr>
              <w:pStyle w:val="92"/>
              <w:rPr>
                <w:color w:val="auto"/>
                <w:highlight w:val="none"/>
                <w:u w:val="none"/>
              </w:rPr>
            </w:pPr>
          </w:p>
        </w:tc>
        <w:tc>
          <w:tcPr>
            <w:tcW w:w="2357" w:type="dxa"/>
            <w:shd w:val="clear" w:color="auto" w:fill="auto"/>
            <w:vAlign w:val="center"/>
          </w:tcPr>
          <w:p w14:paraId="195D9572">
            <w:pPr>
              <w:pStyle w:val="92"/>
              <w:rPr>
                <w:color w:val="auto"/>
                <w:highlight w:val="none"/>
                <w:u w:val="none"/>
              </w:rPr>
            </w:pPr>
            <w:r>
              <w:rPr>
                <w:color w:val="auto"/>
                <w:highlight w:val="none"/>
                <w:u w:val="none"/>
              </w:rPr>
              <w:t>焦油颗粒</w:t>
            </w:r>
          </w:p>
        </w:tc>
        <w:tc>
          <w:tcPr>
            <w:tcW w:w="903" w:type="dxa"/>
            <w:shd w:val="clear" w:color="auto" w:fill="auto"/>
            <w:vAlign w:val="center"/>
          </w:tcPr>
          <w:p w14:paraId="363AED30">
            <w:pPr>
              <w:pStyle w:val="92"/>
              <w:rPr>
                <w:rFonts w:eastAsia="等线"/>
                <w:color w:val="auto"/>
                <w:highlight w:val="none"/>
                <w:u w:val="none"/>
              </w:rPr>
            </w:pPr>
            <w:r>
              <w:rPr>
                <w:color w:val="auto"/>
                <w:highlight w:val="none"/>
                <w:u w:val="none"/>
              </w:rPr>
              <w:t>22000</w:t>
            </w:r>
          </w:p>
        </w:tc>
        <w:tc>
          <w:tcPr>
            <w:tcW w:w="4944" w:type="dxa"/>
            <w:vAlign w:val="center"/>
          </w:tcPr>
          <w:p w14:paraId="0DAA1BD0">
            <w:pPr>
              <w:pStyle w:val="92"/>
              <w:rPr>
                <w:color w:val="auto"/>
                <w:highlight w:val="none"/>
                <w:u w:val="none"/>
              </w:rPr>
            </w:pPr>
            <w:r>
              <w:rPr>
                <w:rFonts w:hint="eastAsia"/>
                <w:color w:val="auto"/>
                <w:highlight w:val="none"/>
                <w:u w:val="none"/>
              </w:rPr>
              <w:t>拟送万华福建公司大型煤气化项目作为气化炉的替代原料进行综合利用</w:t>
            </w:r>
          </w:p>
        </w:tc>
      </w:tr>
      <w:tr w14:paraId="45EAD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36" w:type="dxa"/>
            <w:vMerge w:val="continue"/>
            <w:shd w:val="clear" w:color="auto" w:fill="auto"/>
            <w:vAlign w:val="center"/>
          </w:tcPr>
          <w:p w14:paraId="7417B5F9">
            <w:pPr>
              <w:pStyle w:val="92"/>
              <w:rPr>
                <w:color w:val="auto"/>
                <w:highlight w:val="none"/>
                <w:u w:val="none"/>
              </w:rPr>
            </w:pPr>
          </w:p>
        </w:tc>
        <w:tc>
          <w:tcPr>
            <w:tcW w:w="2357" w:type="dxa"/>
            <w:shd w:val="clear" w:color="auto" w:fill="auto"/>
            <w:vAlign w:val="center"/>
          </w:tcPr>
          <w:p w14:paraId="4CAD0213">
            <w:pPr>
              <w:pStyle w:val="92"/>
              <w:rPr>
                <w:color w:val="auto"/>
                <w:highlight w:val="none"/>
                <w:u w:val="none"/>
              </w:rPr>
            </w:pPr>
            <w:r>
              <w:rPr>
                <w:color w:val="auto"/>
                <w:highlight w:val="none"/>
                <w:u w:val="none"/>
              </w:rPr>
              <w:t>废活性炭</w:t>
            </w:r>
          </w:p>
        </w:tc>
        <w:tc>
          <w:tcPr>
            <w:tcW w:w="903" w:type="dxa"/>
            <w:shd w:val="clear" w:color="auto" w:fill="auto"/>
            <w:vAlign w:val="center"/>
          </w:tcPr>
          <w:p w14:paraId="24356D0B">
            <w:pPr>
              <w:pStyle w:val="92"/>
              <w:rPr>
                <w:color w:val="auto"/>
                <w:highlight w:val="none"/>
                <w:u w:val="none"/>
              </w:rPr>
            </w:pPr>
            <w:r>
              <w:rPr>
                <w:color w:val="auto"/>
                <w:highlight w:val="none"/>
                <w:u w:val="none"/>
              </w:rPr>
              <w:t>11</w:t>
            </w:r>
            <w:r>
              <w:rPr>
                <w:rFonts w:hint="eastAsia"/>
                <w:color w:val="auto"/>
                <w:highlight w:val="none"/>
                <w:u w:val="none"/>
              </w:rPr>
              <w:t>2</w:t>
            </w:r>
          </w:p>
        </w:tc>
        <w:tc>
          <w:tcPr>
            <w:tcW w:w="4944" w:type="dxa"/>
            <w:vMerge w:val="restart"/>
            <w:vAlign w:val="center"/>
          </w:tcPr>
          <w:p w14:paraId="30A5062E">
            <w:pPr>
              <w:pStyle w:val="92"/>
              <w:rPr>
                <w:color w:val="auto"/>
                <w:highlight w:val="none"/>
                <w:u w:val="none"/>
              </w:rPr>
            </w:pPr>
            <w:r>
              <w:rPr>
                <w:rFonts w:hint="eastAsia"/>
                <w:color w:val="auto"/>
                <w:highlight w:val="none"/>
                <w:u w:val="none"/>
              </w:rPr>
              <w:t>拟委托福建省固体废物处置有限公司处置</w:t>
            </w:r>
          </w:p>
        </w:tc>
      </w:tr>
      <w:tr w14:paraId="481F6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5DF80C1F">
            <w:pPr>
              <w:pStyle w:val="92"/>
              <w:rPr>
                <w:color w:val="auto"/>
                <w:highlight w:val="none"/>
                <w:u w:val="none"/>
              </w:rPr>
            </w:pPr>
          </w:p>
        </w:tc>
        <w:tc>
          <w:tcPr>
            <w:tcW w:w="2357" w:type="dxa"/>
            <w:shd w:val="clear" w:color="auto" w:fill="auto"/>
            <w:vAlign w:val="center"/>
          </w:tcPr>
          <w:p w14:paraId="0FF5E54B">
            <w:pPr>
              <w:pStyle w:val="92"/>
              <w:rPr>
                <w:color w:val="auto"/>
                <w:highlight w:val="none"/>
                <w:u w:val="none"/>
              </w:rPr>
            </w:pPr>
            <w:r>
              <w:rPr>
                <w:color w:val="auto"/>
                <w:highlight w:val="none"/>
                <w:u w:val="none"/>
              </w:rPr>
              <w:t>废弃化学品包装桶或袋</w:t>
            </w:r>
          </w:p>
        </w:tc>
        <w:tc>
          <w:tcPr>
            <w:tcW w:w="903" w:type="dxa"/>
            <w:shd w:val="clear" w:color="auto" w:fill="auto"/>
            <w:vAlign w:val="center"/>
          </w:tcPr>
          <w:p w14:paraId="676A3487">
            <w:pPr>
              <w:pStyle w:val="92"/>
              <w:rPr>
                <w:color w:val="auto"/>
                <w:highlight w:val="none"/>
                <w:u w:val="none"/>
              </w:rPr>
            </w:pPr>
            <w:r>
              <w:rPr>
                <w:rFonts w:eastAsia="等线"/>
                <w:color w:val="auto"/>
                <w:highlight w:val="none"/>
                <w:u w:val="none"/>
              </w:rPr>
              <w:t>80</w:t>
            </w:r>
          </w:p>
        </w:tc>
        <w:tc>
          <w:tcPr>
            <w:tcW w:w="4944" w:type="dxa"/>
            <w:vMerge w:val="continue"/>
            <w:vAlign w:val="center"/>
          </w:tcPr>
          <w:p w14:paraId="706E076A">
            <w:pPr>
              <w:pStyle w:val="92"/>
              <w:rPr>
                <w:color w:val="auto"/>
                <w:highlight w:val="none"/>
                <w:u w:val="none"/>
              </w:rPr>
            </w:pPr>
          </w:p>
        </w:tc>
      </w:tr>
      <w:tr w14:paraId="087868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78E60F1B">
            <w:pPr>
              <w:pStyle w:val="92"/>
              <w:rPr>
                <w:color w:val="auto"/>
                <w:highlight w:val="none"/>
                <w:u w:val="none"/>
              </w:rPr>
            </w:pPr>
          </w:p>
        </w:tc>
        <w:tc>
          <w:tcPr>
            <w:tcW w:w="2357" w:type="dxa"/>
            <w:shd w:val="clear" w:color="auto" w:fill="auto"/>
            <w:vAlign w:val="center"/>
          </w:tcPr>
          <w:p w14:paraId="2CDE6F5A">
            <w:pPr>
              <w:pStyle w:val="92"/>
              <w:rPr>
                <w:color w:val="auto"/>
                <w:highlight w:val="none"/>
                <w:u w:val="none"/>
              </w:rPr>
            </w:pPr>
            <w:r>
              <w:rPr>
                <w:color w:val="auto"/>
                <w:highlight w:val="none"/>
                <w:u w:val="none"/>
              </w:rPr>
              <w:t>机修废油</w:t>
            </w:r>
          </w:p>
        </w:tc>
        <w:tc>
          <w:tcPr>
            <w:tcW w:w="903" w:type="dxa"/>
            <w:shd w:val="clear" w:color="auto" w:fill="auto"/>
            <w:vAlign w:val="center"/>
          </w:tcPr>
          <w:p w14:paraId="6C62A2F0">
            <w:pPr>
              <w:pStyle w:val="92"/>
              <w:rPr>
                <w:color w:val="auto"/>
                <w:highlight w:val="none"/>
                <w:u w:val="none"/>
              </w:rPr>
            </w:pPr>
            <w:r>
              <w:rPr>
                <w:rFonts w:eastAsia="等线"/>
                <w:color w:val="auto"/>
                <w:highlight w:val="none"/>
                <w:u w:val="none"/>
              </w:rPr>
              <w:t>20</w:t>
            </w:r>
          </w:p>
        </w:tc>
        <w:tc>
          <w:tcPr>
            <w:tcW w:w="4944" w:type="dxa"/>
            <w:vMerge w:val="continue"/>
            <w:vAlign w:val="center"/>
          </w:tcPr>
          <w:p w14:paraId="1F11C9D3">
            <w:pPr>
              <w:pStyle w:val="92"/>
              <w:rPr>
                <w:color w:val="auto"/>
                <w:highlight w:val="none"/>
                <w:u w:val="none"/>
              </w:rPr>
            </w:pPr>
          </w:p>
        </w:tc>
      </w:tr>
      <w:tr w14:paraId="29427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0E42C12D">
            <w:pPr>
              <w:pStyle w:val="92"/>
              <w:rPr>
                <w:color w:val="auto"/>
                <w:highlight w:val="none"/>
                <w:u w:val="none"/>
              </w:rPr>
            </w:pPr>
          </w:p>
        </w:tc>
        <w:tc>
          <w:tcPr>
            <w:tcW w:w="2357" w:type="dxa"/>
            <w:shd w:val="clear" w:color="auto" w:fill="auto"/>
            <w:vAlign w:val="center"/>
          </w:tcPr>
          <w:p w14:paraId="31F9A1DB">
            <w:pPr>
              <w:pStyle w:val="92"/>
              <w:rPr>
                <w:color w:val="auto"/>
                <w:highlight w:val="none"/>
                <w:u w:val="none"/>
              </w:rPr>
            </w:pPr>
            <w:r>
              <w:rPr>
                <w:color w:val="auto"/>
                <w:highlight w:val="none"/>
                <w:u w:val="none"/>
              </w:rPr>
              <w:t>废导热油</w:t>
            </w:r>
          </w:p>
        </w:tc>
        <w:tc>
          <w:tcPr>
            <w:tcW w:w="903" w:type="dxa"/>
            <w:shd w:val="clear" w:color="auto" w:fill="auto"/>
            <w:vAlign w:val="center"/>
          </w:tcPr>
          <w:p w14:paraId="50C3257A">
            <w:pPr>
              <w:pStyle w:val="92"/>
              <w:rPr>
                <w:color w:val="auto"/>
                <w:highlight w:val="none"/>
                <w:u w:val="none"/>
              </w:rPr>
            </w:pPr>
            <w:r>
              <w:rPr>
                <w:color w:val="auto"/>
                <w:highlight w:val="none"/>
                <w:u w:val="none"/>
              </w:rPr>
              <w:t>1</w:t>
            </w:r>
          </w:p>
        </w:tc>
        <w:tc>
          <w:tcPr>
            <w:tcW w:w="4944" w:type="dxa"/>
            <w:vMerge w:val="continue"/>
            <w:vAlign w:val="center"/>
          </w:tcPr>
          <w:p w14:paraId="698187C5">
            <w:pPr>
              <w:pStyle w:val="92"/>
              <w:rPr>
                <w:color w:val="auto"/>
                <w:highlight w:val="none"/>
                <w:u w:val="none"/>
              </w:rPr>
            </w:pPr>
          </w:p>
        </w:tc>
      </w:tr>
      <w:tr w14:paraId="4D069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74FE7DAE">
            <w:pPr>
              <w:pStyle w:val="92"/>
              <w:rPr>
                <w:color w:val="auto"/>
                <w:highlight w:val="none"/>
                <w:u w:val="none"/>
              </w:rPr>
            </w:pPr>
          </w:p>
        </w:tc>
        <w:tc>
          <w:tcPr>
            <w:tcW w:w="2357" w:type="dxa"/>
            <w:shd w:val="clear" w:color="auto" w:fill="auto"/>
            <w:vAlign w:val="center"/>
          </w:tcPr>
          <w:p w14:paraId="62288494">
            <w:pPr>
              <w:pStyle w:val="92"/>
              <w:rPr>
                <w:color w:val="auto"/>
                <w:highlight w:val="none"/>
                <w:u w:val="none"/>
              </w:rPr>
            </w:pPr>
            <w:r>
              <w:rPr>
                <w:color w:val="auto"/>
                <w:highlight w:val="none"/>
                <w:u w:val="none"/>
              </w:rPr>
              <w:t>废氮封油</w:t>
            </w:r>
          </w:p>
        </w:tc>
        <w:tc>
          <w:tcPr>
            <w:tcW w:w="903" w:type="dxa"/>
            <w:shd w:val="clear" w:color="auto" w:fill="auto"/>
            <w:vAlign w:val="center"/>
          </w:tcPr>
          <w:p w14:paraId="47731215">
            <w:pPr>
              <w:pStyle w:val="92"/>
              <w:rPr>
                <w:color w:val="auto"/>
                <w:highlight w:val="none"/>
                <w:u w:val="none"/>
              </w:rPr>
            </w:pPr>
            <w:r>
              <w:rPr>
                <w:color w:val="auto"/>
                <w:highlight w:val="none"/>
                <w:u w:val="none"/>
              </w:rPr>
              <w:t>1</w:t>
            </w:r>
          </w:p>
        </w:tc>
        <w:tc>
          <w:tcPr>
            <w:tcW w:w="4944" w:type="dxa"/>
            <w:vMerge w:val="continue"/>
            <w:vAlign w:val="center"/>
          </w:tcPr>
          <w:p w14:paraId="2489942F">
            <w:pPr>
              <w:pStyle w:val="92"/>
              <w:rPr>
                <w:color w:val="auto"/>
                <w:highlight w:val="none"/>
                <w:u w:val="none"/>
              </w:rPr>
            </w:pPr>
          </w:p>
        </w:tc>
      </w:tr>
      <w:tr w14:paraId="48E24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6" w:type="dxa"/>
            <w:vMerge w:val="continue"/>
            <w:shd w:val="clear" w:color="auto" w:fill="auto"/>
            <w:vAlign w:val="center"/>
          </w:tcPr>
          <w:p w14:paraId="122C3A76">
            <w:pPr>
              <w:pStyle w:val="92"/>
              <w:rPr>
                <w:color w:val="auto"/>
                <w:highlight w:val="none"/>
                <w:u w:val="none"/>
              </w:rPr>
            </w:pPr>
          </w:p>
        </w:tc>
        <w:tc>
          <w:tcPr>
            <w:tcW w:w="2357" w:type="dxa"/>
            <w:shd w:val="clear" w:color="auto" w:fill="auto"/>
            <w:vAlign w:val="center"/>
          </w:tcPr>
          <w:p w14:paraId="45CB77F1">
            <w:pPr>
              <w:pStyle w:val="92"/>
              <w:rPr>
                <w:color w:val="auto"/>
                <w:highlight w:val="none"/>
                <w:u w:val="none"/>
              </w:rPr>
            </w:pPr>
            <w:r>
              <w:rPr>
                <w:color w:val="auto"/>
                <w:highlight w:val="none"/>
                <w:u w:val="none"/>
              </w:rPr>
              <w:t>废劳保用品、废抹布</w:t>
            </w:r>
          </w:p>
        </w:tc>
        <w:tc>
          <w:tcPr>
            <w:tcW w:w="903" w:type="dxa"/>
            <w:shd w:val="clear" w:color="auto" w:fill="auto"/>
            <w:vAlign w:val="center"/>
          </w:tcPr>
          <w:p w14:paraId="29C51F6F">
            <w:pPr>
              <w:pStyle w:val="92"/>
              <w:rPr>
                <w:color w:val="auto"/>
                <w:highlight w:val="none"/>
                <w:u w:val="none"/>
              </w:rPr>
            </w:pPr>
            <w:r>
              <w:rPr>
                <w:color w:val="auto"/>
                <w:highlight w:val="none"/>
                <w:u w:val="none"/>
              </w:rPr>
              <w:t>1</w:t>
            </w:r>
          </w:p>
        </w:tc>
        <w:tc>
          <w:tcPr>
            <w:tcW w:w="4944" w:type="dxa"/>
            <w:vAlign w:val="center"/>
          </w:tcPr>
          <w:p w14:paraId="0A53B8B9">
            <w:pPr>
              <w:pStyle w:val="92"/>
              <w:rPr>
                <w:color w:val="auto"/>
                <w:highlight w:val="none"/>
                <w:u w:val="none"/>
              </w:rPr>
            </w:pPr>
            <w:r>
              <w:rPr>
                <w:rFonts w:hint="eastAsia"/>
                <w:color w:val="auto"/>
                <w:highlight w:val="none"/>
                <w:u w:val="none"/>
              </w:rPr>
              <w:t>根据“危险废物豁免管理清单”废弃的含油抹布、劳保用品。在未分类收集的情况下，全过程不按危险废物管理。</w:t>
            </w:r>
          </w:p>
        </w:tc>
      </w:tr>
    </w:tbl>
    <w:p w14:paraId="4EDAD2C1">
      <w:pPr>
        <w:pStyle w:val="6"/>
        <w:spacing w:before="156" w:after="156"/>
        <w:rPr>
          <w:color w:val="auto"/>
          <w:highlight w:val="none"/>
          <w:u w:val="none"/>
          <w:lang w:val="en-US"/>
        </w:rPr>
      </w:pPr>
      <w:r>
        <w:rPr>
          <w:rFonts w:hint="eastAsia"/>
          <w:color w:val="auto"/>
          <w:highlight w:val="none"/>
          <w:u w:val="none"/>
          <w:lang w:val="en-US"/>
        </w:rPr>
        <w:t>小结</w:t>
      </w:r>
    </w:p>
    <w:p w14:paraId="3BD41892">
      <w:pPr>
        <w:pStyle w:val="981"/>
        <w:rPr>
          <w:rFonts w:hint="eastAsia"/>
          <w:color w:val="auto"/>
          <w:highlight w:val="none"/>
          <w:u w:val="none"/>
        </w:rPr>
      </w:pPr>
      <w:r>
        <w:rPr>
          <w:rFonts w:hint="eastAsia"/>
          <w:color w:val="auto"/>
          <w:highlight w:val="none"/>
          <w:u w:val="none"/>
          <w:lang w:val="en-US"/>
        </w:rPr>
        <w:t>总体上分析，本项目固体废物采取了相应的处置措施，只要建设单位认真落实本环评中提出的各项固体废物处置措施，并按照固体废物的相关管理要求，加强各类固体废物的收集、分类储存、转移和处置管理，本工程产生的固体废物均不会造成二次污染，对环境的影响较小。</w:t>
      </w:r>
    </w:p>
    <w:p w14:paraId="52BF6670">
      <w:pPr>
        <w:pStyle w:val="4"/>
        <w:jc w:val="both"/>
        <w:rPr>
          <w:color w:val="auto"/>
          <w:highlight w:val="none"/>
          <w:u w:val="none"/>
        </w:rPr>
      </w:pPr>
      <w:bookmarkStart w:id="540" w:name="_Toc2391"/>
      <w:bookmarkStart w:id="541" w:name="_Toc148375056"/>
      <w:bookmarkStart w:id="542" w:name="_Toc109211091"/>
      <w:bookmarkStart w:id="543" w:name="_Toc148374614"/>
      <w:bookmarkStart w:id="544" w:name="_Toc148374822"/>
      <w:r>
        <w:rPr>
          <w:rFonts w:hint="eastAsia"/>
          <w:color w:val="auto"/>
          <w:highlight w:val="none"/>
          <w:u w:val="none"/>
        </w:rPr>
        <w:t>土壤环境影响分析</w:t>
      </w:r>
      <w:bookmarkEnd w:id="540"/>
      <w:bookmarkEnd w:id="541"/>
      <w:bookmarkEnd w:id="542"/>
      <w:bookmarkEnd w:id="543"/>
      <w:bookmarkEnd w:id="544"/>
    </w:p>
    <w:p w14:paraId="3F2C32AF">
      <w:pPr>
        <w:pStyle w:val="6"/>
        <w:bidi w:val="0"/>
        <w:rPr>
          <w:color w:val="auto"/>
          <w:highlight w:val="none"/>
          <w:u w:val="none"/>
        </w:rPr>
      </w:pPr>
      <w:r>
        <w:rPr>
          <w:rFonts w:hint="eastAsia"/>
          <w:color w:val="auto"/>
          <w:highlight w:val="none"/>
          <w:u w:val="none"/>
        </w:rPr>
        <w:t>评价工作分级识别</w:t>
      </w:r>
    </w:p>
    <w:p w14:paraId="1DA14056">
      <w:pPr>
        <w:rPr>
          <w:rFonts w:hint="eastAsia"/>
          <w:color w:val="auto"/>
          <w:highlight w:val="none"/>
          <w:u w:val="none"/>
        </w:rPr>
      </w:pPr>
      <w:r>
        <w:rPr>
          <w:rFonts w:hint="eastAsia"/>
          <w:color w:val="auto"/>
          <w:highlight w:val="none"/>
          <w:u w:val="none"/>
        </w:rPr>
        <w:t>根据《环境影响评价技术导则</w:t>
      </w:r>
      <w:r>
        <w:rPr>
          <w:color w:val="auto"/>
          <w:highlight w:val="none"/>
          <w:u w:val="none"/>
        </w:rPr>
        <w:t xml:space="preserve"> 土壤环境（试行）》（HJ964-2018）附录A对土壤</w:t>
      </w:r>
      <w:r>
        <w:rPr>
          <w:rFonts w:hint="eastAsia"/>
          <w:color w:val="auto"/>
          <w:highlight w:val="none"/>
          <w:u w:val="none"/>
        </w:rPr>
        <w:t>环境影响评价项目类别进行分类，本项目对土壤的影响类型为污染影响型，</w:t>
      </w:r>
      <w:r>
        <w:rPr>
          <w:color w:val="auto"/>
          <w:highlight w:val="none"/>
          <w:u w:val="none"/>
        </w:rPr>
        <w:t>土壤环境影响评价项目涉及化学原料和化学制品制造，本项目类别为Ⅰ类</w:t>
      </w:r>
      <w:r>
        <w:rPr>
          <w:rFonts w:hint="eastAsia"/>
          <w:color w:val="auto"/>
          <w:highlight w:val="none"/>
          <w:u w:val="none"/>
        </w:rPr>
        <w:t>。</w:t>
      </w:r>
    </w:p>
    <w:p w14:paraId="4E2DF823">
      <w:pPr>
        <w:rPr>
          <w:rFonts w:hint="eastAsia"/>
          <w:color w:val="auto"/>
          <w:szCs w:val="21"/>
          <w:highlight w:val="none"/>
          <w:u w:val="none"/>
        </w:rPr>
      </w:pPr>
      <w:r>
        <w:rPr>
          <w:rFonts w:hint="eastAsia"/>
          <w:color w:val="auto"/>
          <w:highlight w:val="none"/>
          <w:u w:val="none"/>
        </w:rPr>
        <w:t>项目占地面积</w:t>
      </w:r>
      <w:r>
        <w:rPr>
          <w:rFonts w:hint="eastAsia"/>
          <w:color w:val="auto"/>
          <w:highlight w:val="none"/>
          <w:u w:val="none"/>
          <w:lang w:val="en-US"/>
        </w:rPr>
        <w:t>约</w:t>
      </w:r>
      <w:r>
        <w:rPr>
          <w:rFonts w:hint="eastAsia"/>
          <w:color w:val="auto"/>
          <w:highlight w:val="none"/>
          <w:u w:val="none"/>
        </w:rPr>
        <w:t>为</w:t>
      </w:r>
      <w:r>
        <w:rPr>
          <w:rFonts w:hint="eastAsia"/>
          <w:color w:val="auto"/>
          <w:szCs w:val="21"/>
          <w:highlight w:val="none"/>
          <w:u w:val="none"/>
          <w:lang w:val="en-US"/>
        </w:rPr>
        <w:t>6.2</w:t>
      </w:r>
      <w:r>
        <w:rPr>
          <w:rFonts w:hint="eastAsia"/>
          <w:color w:val="auto"/>
          <w:szCs w:val="21"/>
          <w:highlight w:val="none"/>
          <w:u w:val="none"/>
        </w:rPr>
        <w:t>hm</w:t>
      </w:r>
      <w:r>
        <w:rPr>
          <w:color w:val="auto"/>
          <w:szCs w:val="21"/>
          <w:highlight w:val="none"/>
          <w:u w:val="none"/>
          <w:vertAlign w:val="superscript"/>
        </w:rPr>
        <w:t>2</w:t>
      </w:r>
      <w:r>
        <w:rPr>
          <w:rFonts w:hint="eastAsia"/>
          <w:color w:val="auto"/>
          <w:szCs w:val="21"/>
          <w:highlight w:val="none"/>
          <w:u w:val="none"/>
        </w:rPr>
        <w:t>，占地规模为</w:t>
      </w:r>
      <w:r>
        <w:rPr>
          <w:rFonts w:hint="eastAsia"/>
          <w:color w:val="auto"/>
          <w:szCs w:val="21"/>
          <w:highlight w:val="none"/>
          <w:u w:val="none"/>
          <w:lang w:val="en-US"/>
        </w:rPr>
        <w:t>中</w:t>
      </w:r>
      <w:r>
        <w:rPr>
          <w:rFonts w:hint="eastAsia"/>
          <w:color w:val="auto"/>
          <w:szCs w:val="21"/>
          <w:highlight w:val="none"/>
          <w:u w:val="none"/>
        </w:rPr>
        <w:t>型（5</w:t>
      </w:r>
      <w:r>
        <w:rPr>
          <w:rFonts w:hint="eastAsia"/>
          <w:color w:val="auto"/>
          <w:szCs w:val="21"/>
          <w:highlight w:val="none"/>
          <w:u w:val="none"/>
          <w:lang w:val="en-US"/>
        </w:rPr>
        <w:t>~10</w:t>
      </w:r>
      <w:r>
        <w:rPr>
          <w:rFonts w:hint="eastAsia"/>
          <w:color w:val="auto"/>
          <w:szCs w:val="21"/>
          <w:highlight w:val="none"/>
          <w:u w:val="none"/>
        </w:rPr>
        <w:t>hm</w:t>
      </w:r>
      <w:r>
        <w:rPr>
          <w:color w:val="auto"/>
          <w:szCs w:val="21"/>
          <w:highlight w:val="none"/>
          <w:u w:val="none"/>
          <w:vertAlign w:val="superscript"/>
        </w:rPr>
        <w:t>2</w:t>
      </w:r>
      <w:r>
        <w:rPr>
          <w:rFonts w:hint="eastAsia"/>
          <w:color w:val="auto"/>
          <w:szCs w:val="21"/>
          <w:highlight w:val="none"/>
          <w:u w:val="none"/>
        </w:rPr>
        <w:t>）。</w:t>
      </w:r>
    </w:p>
    <w:p w14:paraId="549528D6">
      <w:pPr>
        <w:rPr>
          <w:rFonts w:hint="eastAsia"/>
          <w:color w:val="auto"/>
          <w:szCs w:val="21"/>
          <w:highlight w:val="none"/>
          <w:u w:val="none"/>
        </w:rPr>
      </w:pPr>
      <w:r>
        <w:rPr>
          <w:rFonts w:hint="eastAsia"/>
          <w:color w:val="auto"/>
          <w:szCs w:val="21"/>
          <w:highlight w:val="none"/>
          <w:u w:val="none"/>
        </w:rPr>
        <w:t>项目处在工业园区，根据《土地利用现状分类》（</w:t>
      </w:r>
      <w:r>
        <w:rPr>
          <w:color w:val="auto"/>
          <w:szCs w:val="21"/>
          <w:highlight w:val="none"/>
          <w:u w:val="none"/>
        </w:rPr>
        <w:t>GB/T21010-2017），本项目场址土地利用现状为建设</w:t>
      </w:r>
      <w:r>
        <w:rPr>
          <w:rFonts w:hint="eastAsia"/>
          <w:color w:val="auto"/>
          <w:szCs w:val="21"/>
          <w:highlight w:val="none"/>
          <w:u w:val="none"/>
        </w:rPr>
        <w:t>用地，周边无敏感目标，故敏感程度为不敏感。</w:t>
      </w:r>
    </w:p>
    <w:p w14:paraId="794C7693">
      <w:pPr>
        <w:ind w:firstLine="482"/>
        <w:rPr>
          <w:rFonts w:hint="eastAsia"/>
          <w:color w:val="auto"/>
          <w:highlight w:val="none"/>
          <w:u w:val="none"/>
        </w:rPr>
      </w:pPr>
      <w:r>
        <w:rPr>
          <w:rFonts w:hint="eastAsia"/>
          <w:b/>
          <w:bCs/>
          <w:color w:val="auto"/>
          <w:szCs w:val="21"/>
          <w:highlight w:val="none"/>
          <w:u w:val="none"/>
        </w:rPr>
        <w:t>故评价工作等级划分为二级</w:t>
      </w:r>
      <w:r>
        <w:rPr>
          <w:rFonts w:hint="eastAsia"/>
          <w:color w:val="auto"/>
          <w:szCs w:val="21"/>
          <w:highlight w:val="none"/>
          <w:u w:val="none"/>
        </w:rPr>
        <w:t>。识别依据详见下表。</w:t>
      </w:r>
    </w:p>
    <w:p w14:paraId="056DE7A2">
      <w:pPr>
        <w:pStyle w:val="85"/>
        <w:rPr>
          <w:color w:val="auto"/>
          <w:highlight w:val="none"/>
          <w:u w:val="none"/>
        </w:rPr>
      </w:pPr>
      <w:bookmarkStart w:id="545" w:name="_Ref147913666"/>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8.6</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1</w:t>
      </w:r>
      <w:r>
        <w:rPr>
          <w:rStyle w:val="87"/>
          <w:b/>
          <w:color w:val="auto"/>
          <w:highlight w:val="none"/>
          <w:u w:val="none"/>
        </w:rPr>
        <w:fldChar w:fldCharType="end"/>
      </w:r>
      <w:bookmarkEnd w:id="545"/>
      <w:r>
        <w:rPr>
          <w:rStyle w:val="87"/>
          <w:b/>
          <w:color w:val="auto"/>
          <w:highlight w:val="none"/>
          <w:u w:val="none"/>
        </w:rPr>
        <w:t xml:space="preserve">  </w:t>
      </w:r>
      <w:r>
        <w:rPr>
          <w:rFonts w:hint="eastAsia"/>
          <w:color w:val="auto"/>
          <w:highlight w:val="none"/>
          <w:u w:val="none"/>
        </w:rPr>
        <w:t>土壤环境影响评价项目类别</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5393"/>
        <w:gridCol w:w="1268"/>
        <w:gridCol w:w="793"/>
        <w:gridCol w:w="885"/>
      </w:tblGrid>
      <w:tr w14:paraId="050E1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vMerge w:val="restart"/>
          </w:tcPr>
          <w:p w14:paraId="645BD9A3">
            <w:pPr>
              <w:pStyle w:val="92"/>
              <w:rPr>
                <w:color w:val="auto"/>
                <w:highlight w:val="none"/>
                <w:u w:val="none"/>
              </w:rPr>
            </w:pPr>
            <w:r>
              <w:rPr>
                <w:rFonts w:hint="eastAsia"/>
                <w:color w:val="auto"/>
                <w:highlight w:val="none"/>
                <w:u w:val="none"/>
              </w:rPr>
              <w:t>行业类别</w:t>
            </w:r>
          </w:p>
        </w:tc>
        <w:tc>
          <w:tcPr>
            <w:tcW w:w="4490" w:type="pct"/>
            <w:gridSpan w:val="4"/>
          </w:tcPr>
          <w:p w14:paraId="32B92D5D">
            <w:pPr>
              <w:pStyle w:val="92"/>
              <w:rPr>
                <w:color w:val="auto"/>
                <w:highlight w:val="none"/>
                <w:u w:val="none"/>
              </w:rPr>
            </w:pPr>
            <w:r>
              <w:rPr>
                <w:rFonts w:hint="eastAsia"/>
                <w:color w:val="auto"/>
                <w:highlight w:val="none"/>
                <w:u w:val="none"/>
              </w:rPr>
              <w:t>项目类别</w:t>
            </w:r>
          </w:p>
        </w:tc>
      </w:tr>
      <w:tr w14:paraId="22ECD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vMerge w:val="continue"/>
          </w:tcPr>
          <w:p w14:paraId="08DD769D">
            <w:pPr>
              <w:pStyle w:val="92"/>
              <w:rPr>
                <w:color w:val="auto"/>
                <w:highlight w:val="none"/>
                <w:u w:val="none"/>
              </w:rPr>
            </w:pPr>
          </w:p>
        </w:tc>
        <w:tc>
          <w:tcPr>
            <w:tcW w:w="2904" w:type="pct"/>
          </w:tcPr>
          <w:p w14:paraId="331C16B7">
            <w:pPr>
              <w:pStyle w:val="92"/>
              <w:rPr>
                <w:b/>
                <w:bCs/>
                <w:color w:val="auto"/>
                <w:highlight w:val="none"/>
                <w:u w:val="none"/>
              </w:rPr>
            </w:pPr>
            <w:r>
              <w:rPr>
                <w:rFonts w:hint="eastAsia"/>
                <w:b/>
                <w:bCs/>
                <w:color w:val="auto"/>
                <w:highlight w:val="none"/>
                <w:u w:val="none"/>
              </w:rPr>
              <w:t>I类</w:t>
            </w:r>
          </w:p>
        </w:tc>
        <w:tc>
          <w:tcPr>
            <w:tcW w:w="683" w:type="pct"/>
          </w:tcPr>
          <w:p w14:paraId="57A02E5D">
            <w:pPr>
              <w:pStyle w:val="92"/>
              <w:rPr>
                <w:color w:val="auto"/>
                <w:highlight w:val="none"/>
                <w:u w:val="none"/>
              </w:rPr>
            </w:pPr>
            <w:r>
              <w:rPr>
                <w:rFonts w:hint="eastAsia"/>
                <w:color w:val="auto"/>
                <w:highlight w:val="none"/>
                <w:u w:val="none"/>
              </w:rPr>
              <w:t>II类</w:t>
            </w:r>
          </w:p>
        </w:tc>
        <w:tc>
          <w:tcPr>
            <w:tcW w:w="427" w:type="pct"/>
          </w:tcPr>
          <w:p w14:paraId="371F955B">
            <w:pPr>
              <w:pStyle w:val="92"/>
              <w:rPr>
                <w:color w:val="auto"/>
                <w:highlight w:val="none"/>
                <w:u w:val="none"/>
              </w:rPr>
            </w:pPr>
            <w:r>
              <w:rPr>
                <w:rFonts w:hint="eastAsia"/>
                <w:color w:val="auto"/>
                <w:highlight w:val="none"/>
                <w:u w:val="none"/>
              </w:rPr>
              <w:t>III类</w:t>
            </w:r>
          </w:p>
        </w:tc>
        <w:tc>
          <w:tcPr>
            <w:tcW w:w="475" w:type="pct"/>
          </w:tcPr>
          <w:p w14:paraId="51B1894B">
            <w:pPr>
              <w:pStyle w:val="92"/>
              <w:rPr>
                <w:color w:val="auto"/>
                <w:highlight w:val="none"/>
                <w:u w:val="none"/>
              </w:rPr>
            </w:pPr>
            <w:r>
              <w:rPr>
                <w:rFonts w:hint="eastAsia"/>
                <w:color w:val="auto"/>
                <w:highlight w:val="none"/>
                <w:u w:val="none"/>
              </w:rPr>
              <w:t>I</w:t>
            </w:r>
            <w:r>
              <w:rPr>
                <w:color w:val="auto"/>
                <w:highlight w:val="none"/>
                <w:u w:val="none"/>
              </w:rPr>
              <w:t>V</w:t>
            </w:r>
            <w:r>
              <w:rPr>
                <w:rFonts w:hint="eastAsia"/>
                <w:color w:val="auto"/>
                <w:highlight w:val="none"/>
                <w:u w:val="none"/>
              </w:rPr>
              <w:t>类</w:t>
            </w:r>
          </w:p>
        </w:tc>
      </w:tr>
      <w:tr w14:paraId="07B1A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Pr>
          <w:p w14:paraId="72D29486">
            <w:pPr>
              <w:pStyle w:val="92"/>
              <w:rPr>
                <w:rFonts w:ascii="宋体" w:cs="宋体"/>
                <w:color w:val="auto"/>
                <w:highlight w:val="none"/>
                <w:u w:val="none"/>
              </w:rPr>
            </w:pPr>
            <w:r>
              <w:rPr>
                <w:rFonts w:hint="eastAsia" w:ascii="宋体" w:cs="宋体"/>
                <w:color w:val="auto"/>
                <w:highlight w:val="none"/>
                <w:u w:val="none"/>
              </w:rPr>
              <w:t>石油、</w:t>
            </w:r>
            <w:r>
              <w:rPr>
                <w:rFonts w:hint="eastAsia" w:ascii="宋体" w:hAnsi="宋体" w:cs="宋体"/>
                <w:color w:val="auto"/>
                <w:kern w:val="0"/>
                <w:highlight w:val="none"/>
                <w:u w:val="none"/>
              </w:rPr>
              <w:t>化工</w:t>
            </w:r>
          </w:p>
        </w:tc>
        <w:tc>
          <w:tcPr>
            <w:tcW w:w="2904" w:type="pct"/>
          </w:tcPr>
          <w:p w14:paraId="1398D956">
            <w:pPr>
              <w:pStyle w:val="92"/>
              <w:rPr>
                <w:b/>
                <w:bCs/>
                <w:color w:val="auto"/>
                <w:highlight w:val="none"/>
                <w:u w:val="none"/>
              </w:rPr>
            </w:pPr>
            <w:r>
              <w:rPr>
                <w:rFonts w:hint="eastAsia"/>
                <w:b/>
                <w:bCs/>
                <w:color w:val="auto"/>
                <w:highlight w:val="none"/>
                <w:u w:val="none"/>
              </w:rPr>
              <w:t>石油加工、炼焦；化学原料和化学制品制造；农药制造；涂料、染料、颜料、油墨及其类似产品制造；合成材料制造；炸药、火工及焰火产品制造；水处理剂等制造；化学药品制造；生物、生化制品制造</w:t>
            </w:r>
          </w:p>
        </w:tc>
        <w:tc>
          <w:tcPr>
            <w:tcW w:w="683" w:type="pct"/>
          </w:tcPr>
          <w:p w14:paraId="69D66712">
            <w:pPr>
              <w:pStyle w:val="92"/>
              <w:rPr>
                <w:color w:val="auto"/>
                <w:highlight w:val="none"/>
                <w:u w:val="none"/>
              </w:rPr>
            </w:pPr>
            <w:r>
              <w:rPr>
                <w:rFonts w:hint="eastAsia"/>
                <w:color w:val="auto"/>
                <w:highlight w:val="none"/>
                <w:u w:val="none"/>
              </w:rPr>
              <w:t>半导体材料、日用化学品制造；化学肥料制造</w:t>
            </w:r>
          </w:p>
        </w:tc>
        <w:tc>
          <w:tcPr>
            <w:tcW w:w="427" w:type="pct"/>
          </w:tcPr>
          <w:p w14:paraId="613D0B88">
            <w:pPr>
              <w:pStyle w:val="92"/>
              <w:rPr>
                <w:color w:val="auto"/>
                <w:highlight w:val="none"/>
                <w:u w:val="none"/>
              </w:rPr>
            </w:pPr>
            <w:r>
              <w:rPr>
                <w:rFonts w:hint="eastAsia"/>
                <w:color w:val="auto"/>
                <w:highlight w:val="none"/>
                <w:u w:val="none"/>
              </w:rPr>
              <w:t>其他</w:t>
            </w:r>
          </w:p>
        </w:tc>
        <w:tc>
          <w:tcPr>
            <w:tcW w:w="475" w:type="pct"/>
          </w:tcPr>
          <w:p w14:paraId="7DF0531E">
            <w:pPr>
              <w:pStyle w:val="92"/>
              <w:rPr>
                <w:color w:val="auto"/>
                <w:highlight w:val="none"/>
                <w:u w:val="none"/>
              </w:rPr>
            </w:pPr>
          </w:p>
        </w:tc>
      </w:tr>
    </w:tbl>
    <w:p w14:paraId="45C51F30">
      <w:pPr>
        <w:pStyle w:val="85"/>
        <w:rPr>
          <w:color w:val="auto"/>
          <w:highlight w:val="none"/>
          <w:u w:val="none"/>
        </w:rPr>
      </w:pPr>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8.6</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2</w:t>
      </w:r>
      <w:r>
        <w:rPr>
          <w:rStyle w:val="87"/>
          <w:b/>
          <w:color w:val="auto"/>
          <w:highlight w:val="none"/>
          <w:u w:val="none"/>
        </w:rPr>
        <w:fldChar w:fldCharType="end"/>
      </w:r>
      <w:r>
        <w:rPr>
          <w:rStyle w:val="87"/>
          <w:b/>
          <w:color w:val="auto"/>
          <w:highlight w:val="none"/>
          <w:u w:val="none"/>
        </w:rPr>
        <w:t xml:space="preserve">  </w:t>
      </w:r>
      <w:r>
        <w:rPr>
          <w:rFonts w:hint="eastAsia"/>
          <w:color w:val="auto"/>
          <w:highlight w:val="none"/>
          <w:u w:val="none"/>
        </w:rPr>
        <w:t>污染影响型敏感程度分级表</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7546"/>
      </w:tblGrid>
      <w:tr w14:paraId="60918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7" w:type="pct"/>
          </w:tcPr>
          <w:p w14:paraId="364A59E4">
            <w:pPr>
              <w:pStyle w:val="92"/>
              <w:rPr>
                <w:color w:val="auto"/>
                <w:highlight w:val="none"/>
                <w:u w:val="none"/>
              </w:rPr>
            </w:pPr>
            <w:r>
              <w:rPr>
                <w:rFonts w:hint="eastAsia"/>
                <w:color w:val="auto"/>
                <w:highlight w:val="none"/>
                <w:u w:val="none"/>
              </w:rPr>
              <w:t>敏感程度</w:t>
            </w:r>
          </w:p>
        </w:tc>
        <w:tc>
          <w:tcPr>
            <w:tcW w:w="4063" w:type="pct"/>
          </w:tcPr>
          <w:p w14:paraId="5D67576B">
            <w:pPr>
              <w:pStyle w:val="92"/>
              <w:rPr>
                <w:color w:val="auto"/>
                <w:highlight w:val="none"/>
                <w:u w:val="none"/>
              </w:rPr>
            </w:pPr>
            <w:r>
              <w:rPr>
                <w:rFonts w:hint="eastAsia"/>
                <w:color w:val="auto"/>
                <w:highlight w:val="none"/>
                <w:u w:val="none"/>
              </w:rPr>
              <w:t>判别依据</w:t>
            </w:r>
          </w:p>
        </w:tc>
      </w:tr>
      <w:tr w14:paraId="42CF1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7" w:type="pct"/>
          </w:tcPr>
          <w:p w14:paraId="4A81CA6A">
            <w:pPr>
              <w:pStyle w:val="92"/>
              <w:rPr>
                <w:color w:val="auto"/>
                <w:highlight w:val="none"/>
                <w:u w:val="none"/>
              </w:rPr>
            </w:pPr>
            <w:r>
              <w:rPr>
                <w:rFonts w:hint="eastAsia"/>
                <w:color w:val="auto"/>
                <w:highlight w:val="none"/>
                <w:u w:val="none"/>
              </w:rPr>
              <w:t>敏感</w:t>
            </w:r>
          </w:p>
        </w:tc>
        <w:tc>
          <w:tcPr>
            <w:tcW w:w="4063" w:type="pct"/>
          </w:tcPr>
          <w:p w14:paraId="703F2DDB">
            <w:pPr>
              <w:pStyle w:val="92"/>
              <w:rPr>
                <w:color w:val="auto"/>
                <w:highlight w:val="none"/>
                <w:u w:val="none"/>
              </w:rPr>
            </w:pPr>
            <w:r>
              <w:rPr>
                <w:rFonts w:hint="eastAsia"/>
                <w:color w:val="auto"/>
                <w:highlight w:val="none"/>
                <w:u w:val="none"/>
              </w:rPr>
              <w:t>建设项目周边存在耕地、园地、牧草地、饮用水水源地或居民区、学校、医院、疗养院、养老院等土壤环境敏感目标的</w:t>
            </w:r>
          </w:p>
        </w:tc>
      </w:tr>
      <w:tr w14:paraId="43067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7" w:type="pct"/>
          </w:tcPr>
          <w:p w14:paraId="1D21B533">
            <w:pPr>
              <w:pStyle w:val="92"/>
              <w:rPr>
                <w:color w:val="auto"/>
                <w:highlight w:val="none"/>
                <w:u w:val="none"/>
              </w:rPr>
            </w:pPr>
            <w:r>
              <w:rPr>
                <w:rFonts w:hint="eastAsia"/>
                <w:color w:val="auto"/>
                <w:highlight w:val="none"/>
                <w:u w:val="none"/>
              </w:rPr>
              <w:t>较敏感</w:t>
            </w:r>
          </w:p>
        </w:tc>
        <w:tc>
          <w:tcPr>
            <w:tcW w:w="4063" w:type="pct"/>
          </w:tcPr>
          <w:p w14:paraId="3131152F">
            <w:pPr>
              <w:pStyle w:val="92"/>
              <w:rPr>
                <w:color w:val="auto"/>
                <w:highlight w:val="none"/>
                <w:u w:val="none"/>
              </w:rPr>
            </w:pPr>
            <w:r>
              <w:rPr>
                <w:rFonts w:hint="eastAsia"/>
                <w:color w:val="auto"/>
                <w:highlight w:val="none"/>
                <w:u w:val="none"/>
              </w:rPr>
              <w:t>建设项目周边存在其他土壤环境敏感目标的</w:t>
            </w:r>
          </w:p>
        </w:tc>
      </w:tr>
      <w:tr w14:paraId="710E3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7" w:type="pct"/>
          </w:tcPr>
          <w:p w14:paraId="698ED33C">
            <w:pPr>
              <w:pStyle w:val="92"/>
              <w:rPr>
                <w:b/>
                <w:bCs/>
                <w:color w:val="auto"/>
                <w:highlight w:val="none"/>
                <w:u w:val="none"/>
              </w:rPr>
            </w:pPr>
            <w:r>
              <w:rPr>
                <w:rFonts w:hint="eastAsia"/>
                <w:b/>
                <w:bCs/>
                <w:color w:val="auto"/>
                <w:highlight w:val="none"/>
                <w:u w:val="none"/>
              </w:rPr>
              <w:t>不敏感</w:t>
            </w:r>
          </w:p>
        </w:tc>
        <w:tc>
          <w:tcPr>
            <w:tcW w:w="4063" w:type="pct"/>
          </w:tcPr>
          <w:p w14:paraId="274A8648">
            <w:pPr>
              <w:pStyle w:val="92"/>
              <w:rPr>
                <w:b/>
                <w:bCs/>
                <w:color w:val="auto"/>
                <w:highlight w:val="none"/>
                <w:u w:val="none"/>
              </w:rPr>
            </w:pPr>
            <w:r>
              <w:rPr>
                <w:rFonts w:hint="eastAsia"/>
                <w:b/>
                <w:bCs/>
                <w:color w:val="auto"/>
                <w:highlight w:val="none"/>
                <w:u w:val="none"/>
              </w:rPr>
              <w:t>其他情况</w:t>
            </w:r>
          </w:p>
        </w:tc>
      </w:tr>
    </w:tbl>
    <w:p w14:paraId="497B82B4">
      <w:pPr>
        <w:pStyle w:val="85"/>
        <w:rPr>
          <w:color w:val="auto"/>
          <w:highlight w:val="none"/>
          <w:u w:val="none"/>
        </w:rPr>
      </w:pPr>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8.6</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3</w:t>
      </w:r>
      <w:r>
        <w:rPr>
          <w:rStyle w:val="87"/>
          <w:b/>
          <w:color w:val="auto"/>
          <w:highlight w:val="none"/>
          <w:u w:val="none"/>
        </w:rPr>
        <w:fldChar w:fldCharType="end"/>
      </w:r>
      <w:r>
        <w:rPr>
          <w:rStyle w:val="87"/>
          <w:b/>
          <w:color w:val="auto"/>
          <w:highlight w:val="none"/>
          <w:u w:val="none"/>
        </w:rPr>
        <w:t xml:space="preserve">  </w:t>
      </w:r>
      <w:r>
        <w:rPr>
          <w:rFonts w:hint="eastAsia"/>
          <w:color w:val="auto"/>
          <w:highlight w:val="none"/>
          <w:u w:val="none"/>
        </w:rPr>
        <w:t>评价工作等级划分表</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749"/>
        <w:gridCol w:w="929"/>
        <w:gridCol w:w="929"/>
        <w:gridCol w:w="929"/>
        <w:gridCol w:w="929"/>
        <w:gridCol w:w="930"/>
        <w:gridCol w:w="929"/>
        <w:gridCol w:w="929"/>
        <w:gridCol w:w="929"/>
      </w:tblGrid>
      <w:tr w14:paraId="6B809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5" w:type="pct"/>
            <w:vMerge w:val="restart"/>
          </w:tcPr>
          <w:p w14:paraId="2252018B">
            <w:pPr>
              <w:pStyle w:val="92"/>
              <w:rPr>
                <w:color w:val="auto"/>
                <w:highlight w:val="none"/>
                <w:u w:val="none"/>
              </w:rPr>
            </w:pPr>
            <w:r>
              <w:rPr>
                <w:rFonts w:hint="eastAsia"/>
                <w:color w:val="auto"/>
                <w:highlight w:val="none"/>
                <w:u w:val="none"/>
              </w:rPr>
              <w:t>\</w:t>
            </w:r>
          </w:p>
        </w:tc>
        <w:tc>
          <w:tcPr>
            <w:tcW w:w="1403" w:type="pct"/>
            <w:gridSpan w:val="3"/>
          </w:tcPr>
          <w:p w14:paraId="3F11F648">
            <w:pPr>
              <w:pStyle w:val="92"/>
              <w:rPr>
                <w:b/>
                <w:bCs/>
                <w:color w:val="auto"/>
                <w:highlight w:val="none"/>
                <w:u w:val="none"/>
              </w:rPr>
            </w:pPr>
            <w:r>
              <w:rPr>
                <w:rFonts w:hint="eastAsia"/>
                <w:b/>
                <w:bCs/>
                <w:color w:val="auto"/>
                <w:highlight w:val="none"/>
                <w:u w:val="none"/>
              </w:rPr>
              <w:t>I类（该</w:t>
            </w:r>
            <w:r>
              <w:rPr>
                <w:b/>
                <w:bCs/>
                <w:color w:val="auto"/>
                <w:highlight w:val="none"/>
                <w:u w:val="none"/>
              </w:rPr>
              <w:t>项目类别</w:t>
            </w:r>
            <w:r>
              <w:rPr>
                <w:rFonts w:hint="eastAsia"/>
                <w:b/>
                <w:bCs/>
                <w:color w:val="auto"/>
                <w:highlight w:val="none"/>
                <w:u w:val="none"/>
              </w:rPr>
              <w:t>）</w:t>
            </w:r>
          </w:p>
        </w:tc>
        <w:tc>
          <w:tcPr>
            <w:tcW w:w="1501" w:type="pct"/>
            <w:gridSpan w:val="3"/>
          </w:tcPr>
          <w:p w14:paraId="2F21F842">
            <w:pPr>
              <w:pStyle w:val="92"/>
              <w:rPr>
                <w:color w:val="auto"/>
                <w:highlight w:val="none"/>
                <w:u w:val="none"/>
              </w:rPr>
            </w:pPr>
            <w:r>
              <w:rPr>
                <w:rFonts w:hint="eastAsia"/>
                <w:color w:val="auto"/>
                <w:highlight w:val="none"/>
                <w:u w:val="none"/>
              </w:rPr>
              <w:t>II类</w:t>
            </w:r>
          </w:p>
        </w:tc>
        <w:tc>
          <w:tcPr>
            <w:tcW w:w="1501" w:type="pct"/>
            <w:gridSpan w:val="3"/>
          </w:tcPr>
          <w:p w14:paraId="453DB61F">
            <w:pPr>
              <w:pStyle w:val="92"/>
              <w:rPr>
                <w:color w:val="auto"/>
                <w:highlight w:val="none"/>
                <w:u w:val="none"/>
              </w:rPr>
            </w:pPr>
            <w:r>
              <w:rPr>
                <w:rFonts w:hint="eastAsia"/>
                <w:color w:val="auto"/>
                <w:highlight w:val="none"/>
                <w:u w:val="none"/>
              </w:rPr>
              <w:t>III类</w:t>
            </w:r>
          </w:p>
        </w:tc>
      </w:tr>
      <w:tr w14:paraId="3951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5" w:type="pct"/>
            <w:vMerge w:val="continue"/>
          </w:tcPr>
          <w:p w14:paraId="3FD2C339">
            <w:pPr>
              <w:pStyle w:val="92"/>
              <w:rPr>
                <w:color w:val="auto"/>
                <w:highlight w:val="none"/>
                <w:u w:val="none"/>
              </w:rPr>
            </w:pPr>
          </w:p>
        </w:tc>
        <w:tc>
          <w:tcPr>
            <w:tcW w:w="404" w:type="pct"/>
          </w:tcPr>
          <w:p w14:paraId="13982B11">
            <w:pPr>
              <w:pStyle w:val="92"/>
              <w:rPr>
                <w:color w:val="auto"/>
                <w:highlight w:val="none"/>
                <w:u w:val="none"/>
              </w:rPr>
            </w:pPr>
            <w:r>
              <w:rPr>
                <w:rFonts w:hint="eastAsia"/>
                <w:color w:val="auto"/>
                <w:highlight w:val="none"/>
                <w:u w:val="none"/>
              </w:rPr>
              <w:t>大</w:t>
            </w:r>
          </w:p>
        </w:tc>
        <w:tc>
          <w:tcPr>
            <w:tcW w:w="500" w:type="pct"/>
          </w:tcPr>
          <w:p w14:paraId="4FB8D7FB">
            <w:pPr>
              <w:pStyle w:val="92"/>
              <w:rPr>
                <w:color w:val="auto"/>
                <w:highlight w:val="none"/>
                <w:u w:val="none"/>
              </w:rPr>
            </w:pPr>
            <w:r>
              <w:rPr>
                <w:rFonts w:hint="eastAsia"/>
                <w:color w:val="auto"/>
                <w:highlight w:val="none"/>
                <w:u w:val="none"/>
              </w:rPr>
              <w:t>中</w:t>
            </w:r>
          </w:p>
        </w:tc>
        <w:tc>
          <w:tcPr>
            <w:tcW w:w="500" w:type="pct"/>
          </w:tcPr>
          <w:p w14:paraId="0142A9DB">
            <w:pPr>
              <w:pStyle w:val="92"/>
              <w:rPr>
                <w:color w:val="auto"/>
                <w:highlight w:val="none"/>
                <w:u w:val="none"/>
              </w:rPr>
            </w:pPr>
            <w:r>
              <w:rPr>
                <w:rFonts w:hint="eastAsia"/>
                <w:color w:val="auto"/>
                <w:highlight w:val="none"/>
                <w:u w:val="none"/>
              </w:rPr>
              <w:t>小</w:t>
            </w:r>
          </w:p>
        </w:tc>
        <w:tc>
          <w:tcPr>
            <w:tcW w:w="500" w:type="pct"/>
          </w:tcPr>
          <w:p w14:paraId="757AD8B9">
            <w:pPr>
              <w:pStyle w:val="92"/>
              <w:rPr>
                <w:color w:val="auto"/>
                <w:highlight w:val="none"/>
                <w:u w:val="none"/>
              </w:rPr>
            </w:pPr>
            <w:r>
              <w:rPr>
                <w:rFonts w:hint="eastAsia"/>
                <w:color w:val="auto"/>
                <w:highlight w:val="none"/>
                <w:u w:val="none"/>
              </w:rPr>
              <w:t>大</w:t>
            </w:r>
          </w:p>
        </w:tc>
        <w:tc>
          <w:tcPr>
            <w:tcW w:w="500" w:type="pct"/>
          </w:tcPr>
          <w:p w14:paraId="04D92AD2">
            <w:pPr>
              <w:pStyle w:val="92"/>
              <w:rPr>
                <w:color w:val="auto"/>
                <w:highlight w:val="none"/>
                <w:u w:val="none"/>
              </w:rPr>
            </w:pPr>
            <w:r>
              <w:rPr>
                <w:rFonts w:hint="eastAsia"/>
                <w:color w:val="auto"/>
                <w:highlight w:val="none"/>
                <w:u w:val="none"/>
              </w:rPr>
              <w:t>中</w:t>
            </w:r>
          </w:p>
        </w:tc>
        <w:tc>
          <w:tcPr>
            <w:tcW w:w="500" w:type="pct"/>
          </w:tcPr>
          <w:p w14:paraId="1A4C71D0">
            <w:pPr>
              <w:pStyle w:val="92"/>
              <w:rPr>
                <w:color w:val="auto"/>
                <w:highlight w:val="none"/>
                <w:u w:val="none"/>
              </w:rPr>
            </w:pPr>
            <w:r>
              <w:rPr>
                <w:rFonts w:hint="eastAsia"/>
                <w:color w:val="auto"/>
                <w:highlight w:val="none"/>
                <w:u w:val="none"/>
              </w:rPr>
              <w:t>小</w:t>
            </w:r>
          </w:p>
        </w:tc>
        <w:tc>
          <w:tcPr>
            <w:tcW w:w="500" w:type="pct"/>
          </w:tcPr>
          <w:p w14:paraId="01B702E5">
            <w:pPr>
              <w:pStyle w:val="92"/>
              <w:rPr>
                <w:color w:val="auto"/>
                <w:highlight w:val="none"/>
                <w:u w:val="none"/>
              </w:rPr>
            </w:pPr>
            <w:r>
              <w:rPr>
                <w:rFonts w:hint="eastAsia"/>
                <w:color w:val="auto"/>
                <w:highlight w:val="none"/>
                <w:u w:val="none"/>
              </w:rPr>
              <w:t>大</w:t>
            </w:r>
          </w:p>
        </w:tc>
        <w:tc>
          <w:tcPr>
            <w:tcW w:w="500" w:type="pct"/>
          </w:tcPr>
          <w:p w14:paraId="64F6C5DC">
            <w:pPr>
              <w:pStyle w:val="92"/>
              <w:rPr>
                <w:color w:val="auto"/>
                <w:highlight w:val="none"/>
                <w:u w:val="none"/>
              </w:rPr>
            </w:pPr>
            <w:r>
              <w:rPr>
                <w:rFonts w:hint="eastAsia"/>
                <w:color w:val="auto"/>
                <w:highlight w:val="none"/>
                <w:u w:val="none"/>
              </w:rPr>
              <w:t>中</w:t>
            </w:r>
          </w:p>
        </w:tc>
        <w:tc>
          <w:tcPr>
            <w:tcW w:w="500" w:type="pct"/>
          </w:tcPr>
          <w:p w14:paraId="6A116B61">
            <w:pPr>
              <w:pStyle w:val="92"/>
              <w:rPr>
                <w:color w:val="auto"/>
                <w:highlight w:val="none"/>
                <w:u w:val="none"/>
              </w:rPr>
            </w:pPr>
            <w:r>
              <w:rPr>
                <w:rFonts w:hint="eastAsia"/>
                <w:color w:val="auto"/>
                <w:highlight w:val="none"/>
                <w:u w:val="none"/>
              </w:rPr>
              <w:t>小</w:t>
            </w:r>
          </w:p>
        </w:tc>
      </w:tr>
      <w:tr w14:paraId="4510B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5" w:type="pct"/>
          </w:tcPr>
          <w:p w14:paraId="7EF618B3">
            <w:pPr>
              <w:pStyle w:val="92"/>
              <w:rPr>
                <w:color w:val="auto"/>
                <w:highlight w:val="none"/>
                <w:u w:val="none"/>
              </w:rPr>
            </w:pPr>
            <w:r>
              <w:rPr>
                <w:rFonts w:hint="eastAsia"/>
                <w:color w:val="auto"/>
                <w:highlight w:val="none"/>
                <w:u w:val="none"/>
              </w:rPr>
              <w:t>敏感</w:t>
            </w:r>
          </w:p>
        </w:tc>
        <w:tc>
          <w:tcPr>
            <w:tcW w:w="404" w:type="pct"/>
          </w:tcPr>
          <w:p w14:paraId="421E8529">
            <w:pPr>
              <w:pStyle w:val="92"/>
              <w:rPr>
                <w:color w:val="auto"/>
                <w:highlight w:val="none"/>
                <w:u w:val="none"/>
              </w:rPr>
            </w:pPr>
            <w:r>
              <w:rPr>
                <w:rFonts w:hint="eastAsia"/>
                <w:color w:val="auto"/>
                <w:highlight w:val="none"/>
                <w:u w:val="none"/>
              </w:rPr>
              <w:t>一级</w:t>
            </w:r>
          </w:p>
        </w:tc>
        <w:tc>
          <w:tcPr>
            <w:tcW w:w="500" w:type="pct"/>
          </w:tcPr>
          <w:p w14:paraId="27E752BC">
            <w:pPr>
              <w:pStyle w:val="92"/>
              <w:rPr>
                <w:color w:val="auto"/>
                <w:highlight w:val="none"/>
                <w:u w:val="none"/>
              </w:rPr>
            </w:pPr>
            <w:r>
              <w:rPr>
                <w:rFonts w:hint="eastAsia"/>
                <w:color w:val="auto"/>
                <w:highlight w:val="none"/>
                <w:u w:val="none"/>
              </w:rPr>
              <w:t>一级</w:t>
            </w:r>
          </w:p>
        </w:tc>
        <w:tc>
          <w:tcPr>
            <w:tcW w:w="500" w:type="pct"/>
          </w:tcPr>
          <w:p w14:paraId="705DABCB">
            <w:pPr>
              <w:pStyle w:val="92"/>
              <w:rPr>
                <w:color w:val="auto"/>
                <w:highlight w:val="none"/>
                <w:u w:val="none"/>
              </w:rPr>
            </w:pPr>
            <w:r>
              <w:rPr>
                <w:rFonts w:hint="eastAsia"/>
                <w:color w:val="auto"/>
                <w:highlight w:val="none"/>
                <w:u w:val="none"/>
              </w:rPr>
              <w:t>一级</w:t>
            </w:r>
          </w:p>
        </w:tc>
        <w:tc>
          <w:tcPr>
            <w:tcW w:w="500" w:type="pct"/>
          </w:tcPr>
          <w:p w14:paraId="54947F1C">
            <w:pPr>
              <w:pStyle w:val="92"/>
              <w:rPr>
                <w:color w:val="auto"/>
                <w:highlight w:val="none"/>
                <w:u w:val="none"/>
              </w:rPr>
            </w:pPr>
            <w:r>
              <w:rPr>
                <w:rFonts w:hint="eastAsia"/>
                <w:color w:val="auto"/>
                <w:highlight w:val="none"/>
                <w:u w:val="none"/>
              </w:rPr>
              <w:t>二级</w:t>
            </w:r>
          </w:p>
        </w:tc>
        <w:tc>
          <w:tcPr>
            <w:tcW w:w="500" w:type="pct"/>
          </w:tcPr>
          <w:p w14:paraId="5FDD3275">
            <w:pPr>
              <w:pStyle w:val="92"/>
              <w:rPr>
                <w:color w:val="auto"/>
                <w:highlight w:val="none"/>
                <w:u w:val="none"/>
              </w:rPr>
            </w:pPr>
            <w:r>
              <w:rPr>
                <w:rFonts w:hint="eastAsia"/>
                <w:color w:val="auto"/>
                <w:highlight w:val="none"/>
                <w:u w:val="none"/>
              </w:rPr>
              <w:t>二级</w:t>
            </w:r>
          </w:p>
        </w:tc>
        <w:tc>
          <w:tcPr>
            <w:tcW w:w="500" w:type="pct"/>
          </w:tcPr>
          <w:p w14:paraId="43E591D0">
            <w:pPr>
              <w:pStyle w:val="92"/>
              <w:rPr>
                <w:color w:val="auto"/>
                <w:highlight w:val="none"/>
                <w:u w:val="none"/>
              </w:rPr>
            </w:pPr>
            <w:r>
              <w:rPr>
                <w:rFonts w:hint="eastAsia"/>
                <w:color w:val="auto"/>
                <w:highlight w:val="none"/>
                <w:u w:val="none"/>
              </w:rPr>
              <w:t>二级</w:t>
            </w:r>
          </w:p>
        </w:tc>
        <w:tc>
          <w:tcPr>
            <w:tcW w:w="500" w:type="pct"/>
          </w:tcPr>
          <w:p w14:paraId="5917B433">
            <w:pPr>
              <w:pStyle w:val="92"/>
              <w:rPr>
                <w:color w:val="auto"/>
                <w:highlight w:val="none"/>
                <w:u w:val="none"/>
              </w:rPr>
            </w:pPr>
            <w:r>
              <w:rPr>
                <w:rFonts w:hint="eastAsia"/>
                <w:color w:val="auto"/>
                <w:highlight w:val="none"/>
                <w:u w:val="none"/>
              </w:rPr>
              <w:t>三级</w:t>
            </w:r>
          </w:p>
        </w:tc>
        <w:tc>
          <w:tcPr>
            <w:tcW w:w="500" w:type="pct"/>
          </w:tcPr>
          <w:p w14:paraId="7D68E7FC">
            <w:pPr>
              <w:pStyle w:val="92"/>
              <w:rPr>
                <w:color w:val="auto"/>
                <w:highlight w:val="none"/>
                <w:u w:val="none"/>
              </w:rPr>
            </w:pPr>
            <w:r>
              <w:rPr>
                <w:rFonts w:hint="eastAsia"/>
                <w:color w:val="auto"/>
                <w:highlight w:val="none"/>
                <w:u w:val="none"/>
              </w:rPr>
              <w:t>三级</w:t>
            </w:r>
          </w:p>
        </w:tc>
        <w:tc>
          <w:tcPr>
            <w:tcW w:w="500" w:type="pct"/>
          </w:tcPr>
          <w:p w14:paraId="3C98981F">
            <w:pPr>
              <w:pStyle w:val="92"/>
              <w:rPr>
                <w:color w:val="auto"/>
                <w:highlight w:val="none"/>
                <w:u w:val="none"/>
              </w:rPr>
            </w:pPr>
            <w:r>
              <w:rPr>
                <w:rFonts w:hint="eastAsia"/>
                <w:color w:val="auto"/>
                <w:highlight w:val="none"/>
                <w:u w:val="none"/>
              </w:rPr>
              <w:t>三级</w:t>
            </w:r>
          </w:p>
        </w:tc>
      </w:tr>
      <w:tr w14:paraId="02125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5" w:type="pct"/>
          </w:tcPr>
          <w:p w14:paraId="2CEB7684">
            <w:pPr>
              <w:pStyle w:val="92"/>
              <w:rPr>
                <w:color w:val="auto"/>
                <w:highlight w:val="none"/>
                <w:u w:val="none"/>
              </w:rPr>
            </w:pPr>
            <w:r>
              <w:rPr>
                <w:rFonts w:hint="eastAsia"/>
                <w:color w:val="auto"/>
                <w:highlight w:val="none"/>
                <w:u w:val="none"/>
              </w:rPr>
              <w:t>较敏感</w:t>
            </w:r>
          </w:p>
        </w:tc>
        <w:tc>
          <w:tcPr>
            <w:tcW w:w="404" w:type="pct"/>
          </w:tcPr>
          <w:p w14:paraId="602E7201">
            <w:pPr>
              <w:pStyle w:val="92"/>
              <w:rPr>
                <w:color w:val="auto"/>
                <w:highlight w:val="none"/>
                <w:u w:val="none"/>
              </w:rPr>
            </w:pPr>
            <w:r>
              <w:rPr>
                <w:rFonts w:hint="eastAsia"/>
                <w:color w:val="auto"/>
                <w:highlight w:val="none"/>
                <w:u w:val="none"/>
              </w:rPr>
              <w:t>一级</w:t>
            </w:r>
          </w:p>
        </w:tc>
        <w:tc>
          <w:tcPr>
            <w:tcW w:w="500" w:type="pct"/>
          </w:tcPr>
          <w:p w14:paraId="70D87836">
            <w:pPr>
              <w:pStyle w:val="92"/>
              <w:rPr>
                <w:color w:val="auto"/>
                <w:highlight w:val="none"/>
                <w:u w:val="none"/>
              </w:rPr>
            </w:pPr>
            <w:r>
              <w:rPr>
                <w:rFonts w:hint="eastAsia"/>
                <w:color w:val="auto"/>
                <w:highlight w:val="none"/>
                <w:u w:val="none"/>
              </w:rPr>
              <w:t>一级</w:t>
            </w:r>
          </w:p>
        </w:tc>
        <w:tc>
          <w:tcPr>
            <w:tcW w:w="500" w:type="pct"/>
          </w:tcPr>
          <w:p w14:paraId="3B88A661">
            <w:pPr>
              <w:pStyle w:val="92"/>
              <w:rPr>
                <w:color w:val="auto"/>
                <w:highlight w:val="none"/>
                <w:u w:val="none"/>
              </w:rPr>
            </w:pPr>
            <w:r>
              <w:rPr>
                <w:rFonts w:hint="eastAsia"/>
                <w:color w:val="auto"/>
                <w:highlight w:val="none"/>
                <w:u w:val="none"/>
              </w:rPr>
              <w:t>二级</w:t>
            </w:r>
          </w:p>
        </w:tc>
        <w:tc>
          <w:tcPr>
            <w:tcW w:w="500" w:type="pct"/>
          </w:tcPr>
          <w:p w14:paraId="0463AD56">
            <w:pPr>
              <w:pStyle w:val="92"/>
              <w:rPr>
                <w:color w:val="auto"/>
                <w:highlight w:val="none"/>
                <w:u w:val="none"/>
              </w:rPr>
            </w:pPr>
            <w:r>
              <w:rPr>
                <w:rFonts w:hint="eastAsia"/>
                <w:color w:val="auto"/>
                <w:highlight w:val="none"/>
                <w:u w:val="none"/>
              </w:rPr>
              <w:t>二级</w:t>
            </w:r>
          </w:p>
        </w:tc>
        <w:tc>
          <w:tcPr>
            <w:tcW w:w="500" w:type="pct"/>
          </w:tcPr>
          <w:p w14:paraId="7EFD6466">
            <w:pPr>
              <w:pStyle w:val="92"/>
              <w:rPr>
                <w:color w:val="auto"/>
                <w:highlight w:val="none"/>
                <w:u w:val="none"/>
              </w:rPr>
            </w:pPr>
            <w:r>
              <w:rPr>
                <w:rFonts w:hint="eastAsia"/>
                <w:color w:val="auto"/>
                <w:highlight w:val="none"/>
                <w:u w:val="none"/>
              </w:rPr>
              <w:t>二级</w:t>
            </w:r>
          </w:p>
        </w:tc>
        <w:tc>
          <w:tcPr>
            <w:tcW w:w="500" w:type="pct"/>
          </w:tcPr>
          <w:p w14:paraId="5A01AB0B">
            <w:pPr>
              <w:pStyle w:val="92"/>
              <w:rPr>
                <w:color w:val="auto"/>
                <w:highlight w:val="none"/>
                <w:u w:val="none"/>
              </w:rPr>
            </w:pPr>
            <w:r>
              <w:rPr>
                <w:rFonts w:hint="eastAsia"/>
                <w:color w:val="auto"/>
                <w:highlight w:val="none"/>
                <w:u w:val="none"/>
              </w:rPr>
              <w:t>三级</w:t>
            </w:r>
          </w:p>
        </w:tc>
        <w:tc>
          <w:tcPr>
            <w:tcW w:w="500" w:type="pct"/>
          </w:tcPr>
          <w:p w14:paraId="0D0BA6EE">
            <w:pPr>
              <w:pStyle w:val="92"/>
              <w:rPr>
                <w:color w:val="auto"/>
                <w:highlight w:val="none"/>
                <w:u w:val="none"/>
              </w:rPr>
            </w:pPr>
            <w:r>
              <w:rPr>
                <w:rFonts w:hint="eastAsia"/>
                <w:color w:val="auto"/>
                <w:highlight w:val="none"/>
                <w:u w:val="none"/>
              </w:rPr>
              <w:t>三级</w:t>
            </w:r>
          </w:p>
        </w:tc>
        <w:tc>
          <w:tcPr>
            <w:tcW w:w="500" w:type="pct"/>
          </w:tcPr>
          <w:p w14:paraId="130FBB73">
            <w:pPr>
              <w:pStyle w:val="92"/>
              <w:rPr>
                <w:color w:val="auto"/>
                <w:highlight w:val="none"/>
                <w:u w:val="none"/>
              </w:rPr>
            </w:pPr>
            <w:r>
              <w:rPr>
                <w:rFonts w:hint="eastAsia"/>
                <w:color w:val="auto"/>
                <w:highlight w:val="none"/>
                <w:u w:val="none"/>
              </w:rPr>
              <w:t>三级</w:t>
            </w:r>
          </w:p>
        </w:tc>
        <w:tc>
          <w:tcPr>
            <w:tcW w:w="500" w:type="pct"/>
          </w:tcPr>
          <w:p w14:paraId="5D96ED16">
            <w:pPr>
              <w:pStyle w:val="92"/>
              <w:rPr>
                <w:color w:val="auto"/>
                <w:highlight w:val="none"/>
                <w:u w:val="none"/>
              </w:rPr>
            </w:pPr>
            <w:r>
              <w:rPr>
                <w:rFonts w:hint="eastAsia"/>
                <w:color w:val="auto"/>
                <w:highlight w:val="none"/>
                <w:u w:val="none"/>
              </w:rPr>
              <w:t>-</w:t>
            </w:r>
          </w:p>
        </w:tc>
      </w:tr>
      <w:tr w14:paraId="71938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5" w:type="pct"/>
          </w:tcPr>
          <w:p w14:paraId="1553F143">
            <w:pPr>
              <w:pStyle w:val="92"/>
              <w:rPr>
                <w:b/>
                <w:bCs/>
                <w:color w:val="auto"/>
                <w:highlight w:val="none"/>
                <w:u w:val="none"/>
              </w:rPr>
            </w:pPr>
            <w:r>
              <w:rPr>
                <w:rFonts w:hint="eastAsia"/>
                <w:b/>
                <w:bCs/>
                <w:color w:val="auto"/>
                <w:highlight w:val="none"/>
                <w:u w:val="none"/>
              </w:rPr>
              <w:t>不敏感</w:t>
            </w:r>
          </w:p>
        </w:tc>
        <w:tc>
          <w:tcPr>
            <w:tcW w:w="404" w:type="pct"/>
          </w:tcPr>
          <w:p w14:paraId="505B6305">
            <w:pPr>
              <w:pStyle w:val="92"/>
              <w:rPr>
                <w:color w:val="auto"/>
                <w:highlight w:val="none"/>
                <w:u w:val="none"/>
              </w:rPr>
            </w:pPr>
            <w:r>
              <w:rPr>
                <w:rFonts w:hint="eastAsia"/>
                <w:color w:val="auto"/>
                <w:highlight w:val="none"/>
                <w:u w:val="none"/>
              </w:rPr>
              <w:t>一级</w:t>
            </w:r>
          </w:p>
        </w:tc>
        <w:tc>
          <w:tcPr>
            <w:tcW w:w="500" w:type="pct"/>
          </w:tcPr>
          <w:p w14:paraId="5CF292D4">
            <w:pPr>
              <w:pStyle w:val="92"/>
              <w:rPr>
                <w:color w:val="auto"/>
                <w:highlight w:val="none"/>
                <w:u w:val="none"/>
              </w:rPr>
            </w:pPr>
            <w:r>
              <w:rPr>
                <w:rFonts w:hint="eastAsia"/>
                <w:b/>
                <w:bCs/>
                <w:color w:val="auto"/>
                <w:highlight w:val="none"/>
                <w:u w:val="none"/>
              </w:rPr>
              <w:t>二级</w:t>
            </w:r>
          </w:p>
        </w:tc>
        <w:tc>
          <w:tcPr>
            <w:tcW w:w="500" w:type="pct"/>
          </w:tcPr>
          <w:p w14:paraId="60F7AAF3">
            <w:pPr>
              <w:pStyle w:val="92"/>
              <w:rPr>
                <w:b/>
                <w:bCs/>
                <w:color w:val="auto"/>
                <w:highlight w:val="none"/>
                <w:u w:val="none"/>
              </w:rPr>
            </w:pPr>
            <w:r>
              <w:rPr>
                <w:rFonts w:hint="eastAsia"/>
                <w:color w:val="auto"/>
                <w:highlight w:val="none"/>
                <w:u w:val="none"/>
              </w:rPr>
              <w:t>二级</w:t>
            </w:r>
          </w:p>
        </w:tc>
        <w:tc>
          <w:tcPr>
            <w:tcW w:w="500" w:type="pct"/>
          </w:tcPr>
          <w:p w14:paraId="1866279D">
            <w:pPr>
              <w:pStyle w:val="92"/>
              <w:rPr>
                <w:color w:val="auto"/>
                <w:highlight w:val="none"/>
                <w:u w:val="none"/>
              </w:rPr>
            </w:pPr>
            <w:r>
              <w:rPr>
                <w:rFonts w:hint="eastAsia"/>
                <w:color w:val="auto"/>
                <w:highlight w:val="none"/>
                <w:u w:val="none"/>
              </w:rPr>
              <w:t>二级</w:t>
            </w:r>
          </w:p>
        </w:tc>
        <w:tc>
          <w:tcPr>
            <w:tcW w:w="500" w:type="pct"/>
          </w:tcPr>
          <w:p w14:paraId="220A64C4">
            <w:pPr>
              <w:pStyle w:val="92"/>
              <w:rPr>
                <w:color w:val="auto"/>
                <w:highlight w:val="none"/>
                <w:u w:val="none"/>
              </w:rPr>
            </w:pPr>
            <w:r>
              <w:rPr>
                <w:rFonts w:hint="eastAsia"/>
                <w:color w:val="auto"/>
                <w:highlight w:val="none"/>
                <w:u w:val="none"/>
              </w:rPr>
              <w:t>三级</w:t>
            </w:r>
          </w:p>
        </w:tc>
        <w:tc>
          <w:tcPr>
            <w:tcW w:w="500" w:type="pct"/>
          </w:tcPr>
          <w:p w14:paraId="03C8658F">
            <w:pPr>
              <w:pStyle w:val="92"/>
              <w:rPr>
                <w:color w:val="auto"/>
                <w:highlight w:val="none"/>
                <w:u w:val="none"/>
              </w:rPr>
            </w:pPr>
            <w:r>
              <w:rPr>
                <w:rFonts w:hint="eastAsia"/>
                <w:color w:val="auto"/>
                <w:highlight w:val="none"/>
                <w:u w:val="none"/>
              </w:rPr>
              <w:t>三级</w:t>
            </w:r>
          </w:p>
        </w:tc>
        <w:tc>
          <w:tcPr>
            <w:tcW w:w="500" w:type="pct"/>
          </w:tcPr>
          <w:p w14:paraId="39ECD4D3">
            <w:pPr>
              <w:pStyle w:val="92"/>
              <w:rPr>
                <w:color w:val="auto"/>
                <w:highlight w:val="none"/>
                <w:u w:val="none"/>
              </w:rPr>
            </w:pPr>
            <w:r>
              <w:rPr>
                <w:rFonts w:hint="eastAsia"/>
                <w:color w:val="auto"/>
                <w:highlight w:val="none"/>
                <w:u w:val="none"/>
              </w:rPr>
              <w:t>三级</w:t>
            </w:r>
          </w:p>
        </w:tc>
        <w:tc>
          <w:tcPr>
            <w:tcW w:w="500" w:type="pct"/>
          </w:tcPr>
          <w:p w14:paraId="4DAD6D21">
            <w:pPr>
              <w:pStyle w:val="92"/>
              <w:rPr>
                <w:color w:val="auto"/>
                <w:highlight w:val="none"/>
                <w:u w:val="none"/>
              </w:rPr>
            </w:pPr>
            <w:r>
              <w:rPr>
                <w:rFonts w:hint="eastAsia"/>
                <w:color w:val="auto"/>
                <w:highlight w:val="none"/>
                <w:u w:val="none"/>
              </w:rPr>
              <w:t>-</w:t>
            </w:r>
          </w:p>
        </w:tc>
        <w:tc>
          <w:tcPr>
            <w:tcW w:w="500" w:type="pct"/>
          </w:tcPr>
          <w:p w14:paraId="114079F6">
            <w:pPr>
              <w:pStyle w:val="92"/>
              <w:rPr>
                <w:color w:val="auto"/>
                <w:highlight w:val="none"/>
                <w:u w:val="none"/>
              </w:rPr>
            </w:pPr>
            <w:r>
              <w:rPr>
                <w:rFonts w:hint="eastAsia"/>
                <w:color w:val="auto"/>
                <w:highlight w:val="none"/>
                <w:u w:val="none"/>
              </w:rPr>
              <w:t>-</w:t>
            </w:r>
          </w:p>
        </w:tc>
      </w:tr>
      <w:tr w14:paraId="28012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10"/>
          </w:tcPr>
          <w:p w14:paraId="4390E07E">
            <w:pPr>
              <w:pStyle w:val="92"/>
              <w:rPr>
                <w:color w:val="auto"/>
                <w:highlight w:val="none"/>
                <w:u w:val="none"/>
              </w:rPr>
            </w:pPr>
            <w:r>
              <w:rPr>
                <w:rFonts w:hint="eastAsia"/>
                <w:color w:val="auto"/>
                <w:highlight w:val="none"/>
                <w:u w:val="none"/>
              </w:rPr>
              <w:t>备注：“-”表示可不开展土壤影响评价工作</w:t>
            </w:r>
          </w:p>
        </w:tc>
      </w:tr>
    </w:tbl>
    <w:p w14:paraId="502809B4">
      <w:pPr>
        <w:pStyle w:val="6"/>
        <w:spacing w:before="156" w:after="156"/>
        <w:rPr>
          <w:color w:val="auto"/>
          <w:highlight w:val="none"/>
          <w:u w:val="none"/>
        </w:rPr>
      </w:pPr>
      <w:bookmarkStart w:id="546" w:name="_Toc148374616"/>
      <w:bookmarkStart w:id="547" w:name="_Toc148375058"/>
      <w:r>
        <w:rPr>
          <w:rFonts w:hint="eastAsia"/>
          <w:color w:val="auto"/>
          <w:highlight w:val="none"/>
          <w:u w:val="none"/>
        </w:rPr>
        <w:t>预测与评价</w:t>
      </w:r>
      <w:bookmarkEnd w:id="546"/>
      <w:bookmarkEnd w:id="547"/>
    </w:p>
    <w:p w14:paraId="2B091AC7">
      <w:pPr>
        <w:pStyle w:val="7"/>
        <w:spacing w:before="156"/>
        <w:rPr>
          <w:color w:val="auto"/>
          <w:highlight w:val="none"/>
          <w:u w:val="none"/>
        </w:rPr>
      </w:pPr>
      <w:r>
        <w:rPr>
          <w:rFonts w:hint="eastAsia"/>
          <w:color w:val="auto"/>
          <w:highlight w:val="none"/>
          <w:u w:val="none"/>
        </w:rPr>
        <w:t>评价范围、评价范围与影响途径</w:t>
      </w:r>
    </w:p>
    <w:p w14:paraId="17551CB6">
      <w:pPr>
        <w:pStyle w:val="5"/>
        <w:ind w:firstLine="480"/>
        <w:rPr>
          <w:rFonts w:hint="eastAsia"/>
          <w:color w:val="auto"/>
          <w:highlight w:val="none"/>
          <w:u w:val="none"/>
        </w:rPr>
      </w:pPr>
      <w:r>
        <w:rPr>
          <w:rFonts w:hint="eastAsia"/>
          <w:color w:val="auto"/>
          <w:highlight w:val="none"/>
          <w:u w:val="none"/>
        </w:rPr>
        <w:t>一、评价范围</w:t>
      </w:r>
    </w:p>
    <w:p w14:paraId="373B327B">
      <w:pPr>
        <w:pStyle w:val="5"/>
        <w:ind w:firstLineChars="0"/>
        <w:rPr>
          <w:rFonts w:hint="eastAsia"/>
          <w:color w:val="auto"/>
          <w:highlight w:val="none"/>
          <w:u w:val="none"/>
        </w:rPr>
      </w:pPr>
      <w:r>
        <w:rPr>
          <w:rFonts w:hint="eastAsia"/>
          <w:color w:val="auto"/>
          <w:highlight w:val="none"/>
          <w:u w:val="none"/>
        </w:rPr>
        <w:t>项目建设类型为污染影响型；污染途径主要为垂直入渗及大气沉降；项目所在地为工业园区，项目红线周边2km内无土壤敏感点。评价范围取项目占地范围外</w:t>
      </w:r>
      <w:r>
        <w:rPr>
          <w:color w:val="auto"/>
          <w:highlight w:val="none"/>
          <w:u w:val="none"/>
        </w:rPr>
        <w:t>200</w:t>
      </w:r>
      <w:r>
        <w:rPr>
          <w:rFonts w:hint="eastAsia"/>
          <w:color w:val="auto"/>
          <w:highlight w:val="none"/>
          <w:u w:val="none"/>
        </w:rPr>
        <w:t>m范围内区域。</w:t>
      </w:r>
    </w:p>
    <w:p w14:paraId="750C73A5">
      <w:pPr>
        <w:pStyle w:val="5"/>
        <w:ind w:firstLine="480"/>
        <w:rPr>
          <w:rFonts w:hint="eastAsia"/>
          <w:color w:val="auto"/>
          <w:highlight w:val="none"/>
          <w:u w:val="none"/>
        </w:rPr>
      </w:pPr>
      <w:r>
        <w:rPr>
          <w:rFonts w:hint="eastAsia"/>
          <w:color w:val="auto"/>
          <w:highlight w:val="none"/>
          <w:u w:val="none"/>
        </w:rPr>
        <w:t>二、评价时段及影响途径</w:t>
      </w:r>
    </w:p>
    <w:p w14:paraId="79BD6E69">
      <w:pPr>
        <w:pStyle w:val="5"/>
        <w:ind w:firstLine="480"/>
        <w:jc w:val="left"/>
        <w:rPr>
          <w:rFonts w:hint="eastAsia"/>
          <w:color w:val="auto"/>
          <w:highlight w:val="none"/>
          <w:u w:val="none"/>
        </w:rPr>
      </w:pPr>
      <w:r>
        <w:rPr>
          <w:rFonts w:hint="eastAsia"/>
          <w:color w:val="auto"/>
          <w:highlight w:val="none"/>
          <w:u w:val="none"/>
        </w:rPr>
        <w:t>土壤污染包括大气沉降、地面漫流、垂直入渗及其他，本项目土壤环境影响类型与影响途径见</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REF _Ref147915951 \h</w:instrText>
      </w:r>
      <w:r>
        <w:rPr>
          <w:b/>
          <w:bCs/>
          <w:color w:val="auto"/>
          <w:highlight w:val="none"/>
          <w:u w:val="none"/>
        </w:rPr>
        <w:instrText xml:space="preserve">  \* MERGEFORMAT </w:instrText>
      </w:r>
      <w:r>
        <w:rPr>
          <w:b/>
          <w:bCs/>
          <w:color w:val="auto"/>
          <w:highlight w:val="none"/>
          <w:u w:val="none"/>
        </w:rPr>
        <w:fldChar w:fldCharType="separate"/>
      </w:r>
      <w:r>
        <w:rPr>
          <w:rStyle w:val="87"/>
          <w:b w:val="0"/>
          <w:bCs/>
          <w:color w:val="auto"/>
          <w:highlight w:val="none"/>
          <w:u w:val="none"/>
        </w:rPr>
        <w:t>表 8.6</w:t>
      </w:r>
      <w:r>
        <w:rPr>
          <w:rStyle w:val="87"/>
          <w:b w:val="0"/>
          <w:bCs/>
          <w:color w:val="auto"/>
          <w:highlight w:val="none"/>
          <w:u w:val="none"/>
        </w:rPr>
        <w:noBreakHyphen/>
      </w:r>
      <w:r>
        <w:rPr>
          <w:rStyle w:val="87"/>
          <w:b w:val="0"/>
          <w:bCs/>
          <w:color w:val="auto"/>
          <w:highlight w:val="none"/>
          <w:u w:val="none"/>
        </w:rPr>
        <w:t>4</w:t>
      </w:r>
      <w:r>
        <w:rPr>
          <w:b/>
          <w:bCs/>
          <w:color w:val="auto"/>
          <w:highlight w:val="none"/>
          <w:u w:val="none"/>
        </w:rPr>
        <w:fldChar w:fldCharType="end"/>
      </w:r>
      <w:r>
        <w:rPr>
          <w:rFonts w:hint="eastAsia"/>
          <w:b/>
          <w:bCs/>
          <w:color w:val="auto"/>
          <w:highlight w:val="none"/>
          <w:u w:val="none"/>
        </w:rPr>
        <w:t>。</w:t>
      </w:r>
    </w:p>
    <w:p w14:paraId="73419A84">
      <w:pPr>
        <w:pStyle w:val="981"/>
        <w:rPr>
          <w:rFonts w:hint="eastAsia"/>
          <w:color w:val="auto"/>
          <w:highlight w:val="none"/>
          <w:u w:val="none"/>
        </w:rPr>
      </w:pPr>
      <w:r>
        <w:rPr>
          <w:rFonts w:hint="eastAsia"/>
          <w:color w:val="auto"/>
          <w:highlight w:val="none"/>
          <w:u w:val="none"/>
        </w:rPr>
        <w:t>项目施工期对土壤环境的影响主要为水土流失，不涉及污染物影响。故设置评价时段为运营期。</w:t>
      </w:r>
    </w:p>
    <w:p w14:paraId="36D1BB35">
      <w:pPr>
        <w:pStyle w:val="85"/>
        <w:rPr>
          <w:color w:val="auto"/>
          <w:highlight w:val="none"/>
          <w:u w:val="none"/>
        </w:rPr>
      </w:pPr>
      <w:bookmarkStart w:id="548" w:name="_Ref147915951"/>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8.6</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4</w:t>
      </w:r>
      <w:r>
        <w:rPr>
          <w:rStyle w:val="87"/>
          <w:b/>
          <w:color w:val="auto"/>
          <w:highlight w:val="none"/>
          <w:u w:val="none"/>
        </w:rPr>
        <w:fldChar w:fldCharType="end"/>
      </w:r>
      <w:bookmarkEnd w:id="548"/>
      <w:r>
        <w:rPr>
          <w:rStyle w:val="87"/>
          <w:b/>
          <w:color w:val="auto"/>
          <w:highlight w:val="none"/>
          <w:u w:val="none"/>
        </w:rPr>
        <w:t xml:space="preserve">  </w:t>
      </w:r>
      <w:r>
        <w:rPr>
          <w:rFonts w:hint="eastAsia"/>
          <w:color w:val="auto"/>
          <w:highlight w:val="none"/>
          <w:u w:val="none"/>
        </w:rPr>
        <w:t>污染影响类别及途径</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872"/>
        <w:gridCol w:w="2121"/>
        <w:gridCol w:w="2121"/>
        <w:gridCol w:w="2119"/>
      </w:tblGrid>
      <w:tr w14:paraId="2D1FE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pct"/>
            <w:vMerge w:val="restart"/>
            <w:vAlign w:val="center"/>
          </w:tcPr>
          <w:p w14:paraId="2707A078">
            <w:pPr>
              <w:pStyle w:val="92"/>
              <w:rPr>
                <w:color w:val="auto"/>
                <w:highlight w:val="none"/>
                <w:u w:val="none"/>
              </w:rPr>
            </w:pPr>
            <w:r>
              <w:rPr>
                <w:rFonts w:hint="eastAsia"/>
                <w:color w:val="auto"/>
                <w:highlight w:val="none"/>
                <w:u w:val="none"/>
              </w:rPr>
              <w:t>时段</w:t>
            </w:r>
          </w:p>
        </w:tc>
        <w:tc>
          <w:tcPr>
            <w:tcW w:w="4433" w:type="pct"/>
            <w:gridSpan w:val="4"/>
            <w:vAlign w:val="center"/>
          </w:tcPr>
          <w:p w14:paraId="6AA3E89E">
            <w:pPr>
              <w:pStyle w:val="92"/>
              <w:rPr>
                <w:color w:val="auto"/>
                <w:highlight w:val="none"/>
                <w:u w:val="none"/>
              </w:rPr>
            </w:pPr>
            <w:r>
              <w:rPr>
                <w:rFonts w:hint="eastAsia"/>
                <w:color w:val="auto"/>
                <w:highlight w:val="none"/>
                <w:u w:val="none"/>
              </w:rPr>
              <w:t>污染影响型</w:t>
            </w:r>
          </w:p>
        </w:tc>
      </w:tr>
      <w:tr w14:paraId="0D280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pct"/>
            <w:vMerge w:val="continue"/>
            <w:vAlign w:val="center"/>
          </w:tcPr>
          <w:p w14:paraId="3C8B78B9">
            <w:pPr>
              <w:pStyle w:val="92"/>
              <w:rPr>
                <w:color w:val="auto"/>
                <w:highlight w:val="none"/>
                <w:u w:val="none"/>
              </w:rPr>
            </w:pPr>
          </w:p>
        </w:tc>
        <w:tc>
          <w:tcPr>
            <w:tcW w:w="1008" w:type="pct"/>
            <w:vAlign w:val="center"/>
          </w:tcPr>
          <w:p w14:paraId="4DA32C18">
            <w:pPr>
              <w:pStyle w:val="92"/>
              <w:rPr>
                <w:color w:val="auto"/>
                <w:highlight w:val="none"/>
                <w:u w:val="none"/>
              </w:rPr>
            </w:pPr>
            <w:r>
              <w:rPr>
                <w:rFonts w:hint="eastAsia"/>
                <w:color w:val="auto"/>
                <w:highlight w:val="none"/>
                <w:u w:val="none"/>
              </w:rPr>
              <w:t>大气沉降</w:t>
            </w:r>
          </w:p>
        </w:tc>
        <w:tc>
          <w:tcPr>
            <w:tcW w:w="1142" w:type="pct"/>
            <w:vAlign w:val="center"/>
          </w:tcPr>
          <w:p w14:paraId="07DF7B39">
            <w:pPr>
              <w:pStyle w:val="92"/>
              <w:rPr>
                <w:color w:val="auto"/>
                <w:highlight w:val="none"/>
                <w:u w:val="none"/>
              </w:rPr>
            </w:pPr>
            <w:r>
              <w:rPr>
                <w:rFonts w:hint="eastAsia"/>
                <w:color w:val="auto"/>
                <w:highlight w:val="none"/>
                <w:u w:val="none"/>
              </w:rPr>
              <w:t>地表漫流</w:t>
            </w:r>
          </w:p>
        </w:tc>
        <w:tc>
          <w:tcPr>
            <w:tcW w:w="1142" w:type="pct"/>
            <w:vAlign w:val="center"/>
          </w:tcPr>
          <w:p w14:paraId="2386FFC4">
            <w:pPr>
              <w:pStyle w:val="92"/>
              <w:rPr>
                <w:color w:val="auto"/>
                <w:highlight w:val="none"/>
                <w:u w:val="none"/>
              </w:rPr>
            </w:pPr>
            <w:r>
              <w:rPr>
                <w:rFonts w:hint="eastAsia"/>
                <w:color w:val="auto"/>
                <w:highlight w:val="none"/>
                <w:u w:val="none"/>
              </w:rPr>
              <w:t>垂直入渗</w:t>
            </w:r>
          </w:p>
        </w:tc>
        <w:tc>
          <w:tcPr>
            <w:tcW w:w="1142" w:type="pct"/>
            <w:vAlign w:val="center"/>
          </w:tcPr>
          <w:p w14:paraId="0D0ED5AD">
            <w:pPr>
              <w:pStyle w:val="92"/>
              <w:rPr>
                <w:color w:val="auto"/>
                <w:highlight w:val="none"/>
                <w:u w:val="none"/>
              </w:rPr>
            </w:pPr>
            <w:r>
              <w:rPr>
                <w:rFonts w:hint="eastAsia"/>
                <w:color w:val="auto"/>
                <w:highlight w:val="none"/>
                <w:u w:val="none"/>
              </w:rPr>
              <w:t>其他</w:t>
            </w:r>
          </w:p>
        </w:tc>
      </w:tr>
      <w:tr w14:paraId="3AE80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14:paraId="54C747CE">
            <w:pPr>
              <w:pStyle w:val="92"/>
              <w:rPr>
                <w:color w:val="auto"/>
                <w:highlight w:val="none"/>
                <w:u w:val="none"/>
              </w:rPr>
            </w:pPr>
            <w:r>
              <w:rPr>
                <w:rFonts w:hint="eastAsia"/>
                <w:color w:val="auto"/>
                <w:highlight w:val="none"/>
                <w:u w:val="none"/>
              </w:rPr>
              <w:t>建设期</w:t>
            </w:r>
          </w:p>
        </w:tc>
        <w:tc>
          <w:tcPr>
            <w:tcW w:w="1008" w:type="pct"/>
            <w:vAlign w:val="center"/>
          </w:tcPr>
          <w:p w14:paraId="7C1A7E94">
            <w:pPr>
              <w:pStyle w:val="92"/>
              <w:rPr>
                <w:color w:val="auto"/>
                <w:highlight w:val="none"/>
                <w:u w:val="none"/>
              </w:rPr>
            </w:pPr>
            <w:r>
              <w:rPr>
                <w:rFonts w:hint="eastAsia"/>
                <w:color w:val="auto"/>
                <w:highlight w:val="none"/>
                <w:u w:val="none"/>
              </w:rPr>
              <w:t>\</w:t>
            </w:r>
          </w:p>
        </w:tc>
        <w:tc>
          <w:tcPr>
            <w:tcW w:w="1142" w:type="pct"/>
            <w:vAlign w:val="center"/>
          </w:tcPr>
          <w:p w14:paraId="1F76DE51">
            <w:pPr>
              <w:pStyle w:val="92"/>
              <w:rPr>
                <w:color w:val="auto"/>
                <w:highlight w:val="none"/>
                <w:u w:val="none"/>
              </w:rPr>
            </w:pPr>
            <w:r>
              <w:rPr>
                <w:rFonts w:hint="eastAsia"/>
                <w:color w:val="auto"/>
                <w:highlight w:val="none"/>
                <w:u w:val="none"/>
              </w:rPr>
              <w:t>\</w:t>
            </w:r>
          </w:p>
        </w:tc>
        <w:tc>
          <w:tcPr>
            <w:tcW w:w="1142" w:type="pct"/>
            <w:vAlign w:val="center"/>
          </w:tcPr>
          <w:p w14:paraId="2E3B884B">
            <w:pPr>
              <w:pStyle w:val="92"/>
              <w:rPr>
                <w:color w:val="auto"/>
                <w:highlight w:val="none"/>
                <w:u w:val="none"/>
              </w:rPr>
            </w:pPr>
            <w:r>
              <w:rPr>
                <w:rFonts w:hint="eastAsia"/>
                <w:color w:val="auto"/>
                <w:highlight w:val="none"/>
                <w:u w:val="none"/>
              </w:rPr>
              <w:t>\</w:t>
            </w:r>
          </w:p>
        </w:tc>
        <w:tc>
          <w:tcPr>
            <w:tcW w:w="1142" w:type="pct"/>
            <w:vAlign w:val="center"/>
          </w:tcPr>
          <w:p w14:paraId="3CE867EF">
            <w:pPr>
              <w:pStyle w:val="92"/>
              <w:rPr>
                <w:color w:val="auto"/>
                <w:highlight w:val="none"/>
                <w:u w:val="none"/>
              </w:rPr>
            </w:pPr>
            <w:r>
              <w:rPr>
                <w:rFonts w:hint="eastAsia"/>
                <w:color w:val="auto"/>
                <w:highlight w:val="none"/>
                <w:u w:val="none"/>
              </w:rPr>
              <w:t>\</w:t>
            </w:r>
          </w:p>
        </w:tc>
      </w:tr>
      <w:tr w14:paraId="00E16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14:paraId="729FC2EE">
            <w:pPr>
              <w:pStyle w:val="92"/>
              <w:rPr>
                <w:color w:val="auto"/>
                <w:highlight w:val="none"/>
                <w:u w:val="none"/>
              </w:rPr>
            </w:pPr>
            <w:r>
              <w:rPr>
                <w:rFonts w:hint="eastAsia"/>
                <w:color w:val="auto"/>
                <w:highlight w:val="none"/>
                <w:u w:val="none"/>
              </w:rPr>
              <w:t>运营期</w:t>
            </w:r>
          </w:p>
        </w:tc>
        <w:tc>
          <w:tcPr>
            <w:tcW w:w="1008" w:type="pct"/>
            <w:vAlign w:val="center"/>
          </w:tcPr>
          <w:p w14:paraId="7606185F">
            <w:pPr>
              <w:pStyle w:val="92"/>
              <w:rPr>
                <w:color w:val="auto"/>
                <w:highlight w:val="none"/>
                <w:u w:val="none"/>
              </w:rPr>
            </w:pPr>
            <w:r>
              <w:rPr>
                <w:rFonts w:hint="eastAsia"/>
                <w:color w:val="auto"/>
                <w:highlight w:val="none"/>
                <w:u w:val="none"/>
              </w:rPr>
              <w:t>●</w:t>
            </w:r>
          </w:p>
        </w:tc>
        <w:tc>
          <w:tcPr>
            <w:tcW w:w="1142" w:type="pct"/>
            <w:vAlign w:val="center"/>
          </w:tcPr>
          <w:p w14:paraId="62E1F4B6">
            <w:pPr>
              <w:pStyle w:val="92"/>
              <w:rPr>
                <w:color w:val="auto"/>
                <w:highlight w:val="none"/>
                <w:u w:val="none"/>
              </w:rPr>
            </w:pPr>
            <w:r>
              <w:rPr>
                <w:rFonts w:hint="eastAsia"/>
                <w:color w:val="auto"/>
                <w:highlight w:val="none"/>
                <w:u w:val="none"/>
              </w:rPr>
              <w:t>\</w:t>
            </w:r>
          </w:p>
        </w:tc>
        <w:tc>
          <w:tcPr>
            <w:tcW w:w="1142" w:type="pct"/>
            <w:vAlign w:val="center"/>
          </w:tcPr>
          <w:p w14:paraId="1175E23B">
            <w:pPr>
              <w:pStyle w:val="92"/>
              <w:rPr>
                <w:color w:val="auto"/>
                <w:highlight w:val="none"/>
                <w:u w:val="none"/>
              </w:rPr>
            </w:pPr>
            <w:r>
              <w:rPr>
                <w:rFonts w:hint="eastAsia"/>
                <w:color w:val="auto"/>
                <w:highlight w:val="none"/>
                <w:u w:val="none"/>
              </w:rPr>
              <w:t>●</w:t>
            </w:r>
          </w:p>
        </w:tc>
        <w:tc>
          <w:tcPr>
            <w:tcW w:w="1142" w:type="pct"/>
            <w:vAlign w:val="center"/>
          </w:tcPr>
          <w:p w14:paraId="7274AB6D">
            <w:pPr>
              <w:pStyle w:val="92"/>
              <w:rPr>
                <w:color w:val="auto"/>
                <w:highlight w:val="none"/>
                <w:u w:val="none"/>
              </w:rPr>
            </w:pPr>
            <w:r>
              <w:rPr>
                <w:rFonts w:hint="eastAsia"/>
                <w:color w:val="auto"/>
                <w:highlight w:val="none"/>
                <w:u w:val="none"/>
              </w:rPr>
              <w:t>\</w:t>
            </w:r>
          </w:p>
        </w:tc>
      </w:tr>
    </w:tbl>
    <w:p w14:paraId="61EF0960">
      <w:pPr>
        <w:pStyle w:val="7"/>
        <w:spacing w:before="156"/>
        <w:rPr>
          <w:color w:val="auto"/>
          <w:highlight w:val="none"/>
          <w:u w:val="none"/>
        </w:rPr>
      </w:pPr>
      <w:r>
        <w:rPr>
          <w:rFonts w:hint="eastAsia"/>
          <w:color w:val="auto"/>
          <w:highlight w:val="none"/>
          <w:u w:val="none"/>
        </w:rPr>
        <w:t>情景设置与评价因子</w:t>
      </w:r>
    </w:p>
    <w:p w14:paraId="2A479DAA">
      <w:pPr>
        <w:pStyle w:val="5"/>
        <w:ind w:firstLine="480"/>
        <w:rPr>
          <w:rFonts w:hint="eastAsia"/>
          <w:color w:val="auto"/>
          <w:highlight w:val="none"/>
          <w:u w:val="none"/>
        </w:rPr>
      </w:pPr>
      <w:r>
        <w:rPr>
          <w:rFonts w:hint="eastAsia"/>
          <w:color w:val="auto"/>
          <w:highlight w:val="none"/>
          <w:u w:val="none"/>
        </w:rPr>
        <w:t>垂直入渗：根据工程分析，设置项目污染情景主要为储运工程（</w:t>
      </w:r>
      <w:r>
        <w:rPr>
          <w:color w:val="auto"/>
          <w:highlight w:val="none"/>
          <w:u w:val="none"/>
        </w:rPr>
        <w:t>DNT储罐</w:t>
      </w:r>
      <w:r>
        <w:rPr>
          <w:rFonts w:hint="eastAsia"/>
          <w:color w:val="auto"/>
          <w:highlight w:val="none"/>
          <w:u w:val="none"/>
        </w:rPr>
        <w:t>、</w:t>
      </w:r>
      <w:r>
        <w:rPr>
          <w:color w:val="auto"/>
          <w:highlight w:val="none"/>
          <w:u w:val="none"/>
        </w:rPr>
        <w:t>ODCB储罐</w:t>
      </w:r>
      <w:r>
        <w:rPr>
          <w:rFonts w:hint="eastAsia"/>
          <w:color w:val="auto"/>
          <w:highlight w:val="none"/>
          <w:u w:val="none"/>
        </w:rPr>
        <w:t>）因事故泄漏污染土壤。本项目</w:t>
      </w:r>
      <w:r>
        <w:rPr>
          <w:color w:val="auto"/>
          <w:highlight w:val="none"/>
          <w:u w:val="none"/>
        </w:rPr>
        <w:t>DNT储罐、ODCB储罐均进行了防渗处理，若底部防渗体破裂将造成污染物的扩散。本项目设置两种垂直入渗污染途径，按最严重情况考虑，假定污染物浓度最高的DNT储罐、ODCB储罐底部有一贯通性裂隙，直通土壤环境。污染物从防渗体破坏处注入，并设污染物浓度恒定。</w:t>
      </w:r>
    </w:p>
    <w:p w14:paraId="18785661">
      <w:pPr>
        <w:pStyle w:val="5"/>
        <w:ind w:firstLine="480"/>
        <w:rPr>
          <w:rFonts w:hint="eastAsia"/>
          <w:color w:val="auto"/>
          <w:highlight w:val="none"/>
          <w:u w:val="none"/>
        </w:rPr>
      </w:pPr>
      <w:r>
        <w:rPr>
          <w:rFonts w:hint="eastAsia"/>
          <w:color w:val="auto"/>
          <w:highlight w:val="none"/>
          <w:u w:val="none"/>
        </w:rPr>
        <w:t>大气沉降：硝化单元、氢化单元、光化单元、储罐区大气污染物排放沉降至地表污染土壤。本项目大气特征污染因子为</w:t>
      </w:r>
      <w:r>
        <w:rPr>
          <w:color w:val="auto"/>
          <w:highlight w:val="none"/>
          <w:u w:val="none"/>
        </w:rPr>
        <w:t>VOC</w:t>
      </w:r>
      <w:r>
        <w:rPr>
          <w:color w:val="auto"/>
          <w:highlight w:val="none"/>
          <w:u w:val="none"/>
          <w:vertAlign w:val="subscript"/>
        </w:rPr>
        <w:t>S</w:t>
      </w:r>
      <w:r>
        <w:rPr>
          <w:rFonts w:hint="eastAsia"/>
          <w:color w:val="auto"/>
          <w:highlight w:val="none"/>
          <w:u w:val="none"/>
        </w:rPr>
        <w:t>、</w:t>
      </w:r>
      <w:r>
        <w:rPr>
          <w:color w:val="auto"/>
          <w:highlight w:val="none"/>
          <w:u w:val="none"/>
        </w:rPr>
        <w:t>Cl</w:t>
      </w:r>
      <w:r>
        <w:rPr>
          <w:color w:val="auto"/>
          <w:highlight w:val="none"/>
          <w:u w:val="none"/>
          <w:vertAlign w:val="subscript"/>
        </w:rPr>
        <w:t>2</w:t>
      </w:r>
      <w:r>
        <w:rPr>
          <w:rFonts w:hint="eastAsia"/>
          <w:color w:val="auto"/>
          <w:highlight w:val="none"/>
          <w:u w:val="none"/>
        </w:rPr>
        <w:t>、</w:t>
      </w:r>
      <w:r>
        <w:rPr>
          <w:color w:val="auto"/>
          <w:highlight w:val="none"/>
          <w:u w:val="none"/>
        </w:rPr>
        <w:t>HCl</w:t>
      </w:r>
      <w:r>
        <w:rPr>
          <w:rFonts w:hint="eastAsia"/>
          <w:color w:val="auto"/>
          <w:highlight w:val="none"/>
          <w:u w:val="none"/>
        </w:rPr>
        <w:t>、DNT、ODCB、TDA、甲苯、光气</w:t>
      </w:r>
      <w:bookmarkStart w:id="549" w:name="OLE_LINK65"/>
      <w:r>
        <w:rPr>
          <w:rFonts w:hint="eastAsia"/>
          <w:color w:val="auto"/>
          <w:highlight w:val="none"/>
          <w:u w:val="none"/>
        </w:rPr>
        <w:t>，结合《土壤环境质量</w:t>
      </w:r>
      <w:r>
        <w:rPr>
          <w:color w:val="auto"/>
          <w:highlight w:val="none"/>
          <w:u w:val="none"/>
        </w:rPr>
        <w:t xml:space="preserve"> 建设用地土壤污染风险管控标准</w:t>
      </w:r>
      <w:r>
        <w:rPr>
          <w:rFonts w:hint="eastAsia"/>
          <w:color w:val="auto"/>
          <w:highlight w:val="none"/>
          <w:u w:val="none"/>
        </w:rPr>
        <w:t>》有标准值的因子和项目主要特征污染物</w:t>
      </w:r>
      <w:bookmarkEnd w:id="549"/>
      <w:r>
        <w:rPr>
          <w:rFonts w:hint="eastAsia"/>
          <w:color w:val="auto"/>
          <w:highlight w:val="none"/>
          <w:u w:val="none"/>
        </w:rPr>
        <w:t>，最终选择预测因子选择：DNT、ODCB、甲苯。详见</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REF _Ref147937616 \h</w:instrText>
      </w:r>
      <w:r>
        <w:rPr>
          <w:b/>
          <w:bCs/>
          <w:color w:val="auto"/>
          <w:highlight w:val="none"/>
          <w:u w:val="none"/>
        </w:rPr>
        <w:instrText xml:space="preserve">  \* MERGEFORMAT </w:instrText>
      </w:r>
      <w:r>
        <w:rPr>
          <w:b/>
          <w:bCs/>
          <w:color w:val="auto"/>
          <w:highlight w:val="none"/>
          <w:u w:val="none"/>
        </w:rPr>
        <w:fldChar w:fldCharType="separate"/>
      </w:r>
      <w:r>
        <w:rPr>
          <w:rStyle w:val="87"/>
          <w:b w:val="0"/>
          <w:bCs/>
          <w:color w:val="auto"/>
          <w:highlight w:val="none"/>
          <w:u w:val="none"/>
        </w:rPr>
        <w:t>表 8.6</w:t>
      </w:r>
      <w:r>
        <w:rPr>
          <w:rStyle w:val="87"/>
          <w:b w:val="0"/>
          <w:bCs/>
          <w:color w:val="auto"/>
          <w:highlight w:val="none"/>
          <w:u w:val="none"/>
        </w:rPr>
        <w:noBreakHyphen/>
      </w:r>
      <w:r>
        <w:rPr>
          <w:rStyle w:val="87"/>
          <w:b w:val="0"/>
          <w:bCs/>
          <w:color w:val="auto"/>
          <w:highlight w:val="none"/>
          <w:u w:val="none"/>
        </w:rPr>
        <w:t>5</w:t>
      </w:r>
      <w:r>
        <w:rPr>
          <w:b/>
          <w:bCs/>
          <w:color w:val="auto"/>
          <w:highlight w:val="none"/>
          <w:u w:val="none"/>
        </w:rPr>
        <w:fldChar w:fldCharType="end"/>
      </w:r>
      <w:r>
        <w:rPr>
          <w:rFonts w:hint="eastAsia"/>
          <w:b/>
          <w:bCs/>
          <w:color w:val="auto"/>
          <w:highlight w:val="none"/>
          <w:u w:val="none"/>
        </w:rPr>
        <w:t>。</w:t>
      </w:r>
    </w:p>
    <w:p w14:paraId="5B9695FD">
      <w:pPr>
        <w:pStyle w:val="1003"/>
        <w:rPr>
          <w:color w:val="auto"/>
          <w:highlight w:val="none"/>
          <w:u w:val="none"/>
        </w:rPr>
      </w:pPr>
      <w:bookmarkStart w:id="550" w:name="_Ref147937616"/>
      <w:r>
        <w:rPr>
          <w:rStyle w:val="87"/>
          <w:b/>
          <w:color w:val="auto"/>
          <w:highlight w:val="none"/>
          <w:u w:val="none"/>
        </w:rPr>
        <w:t xml:space="preserve">表 </w:t>
      </w:r>
      <w:r>
        <w:rPr>
          <w:rStyle w:val="87"/>
          <w:b/>
          <w:color w:val="auto"/>
          <w:highlight w:val="none"/>
          <w:u w:val="none"/>
        </w:rPr>
        <w:fldChar w:fldCharType="begin"/>
      </w:r>
      <w:r>
        <w:rPr>
          <w:rStyle w:val="87"/>
          <w:b/>
          <w:color w:val="auto"/>
          <w:highlight w:val="none"/>
          <w:u w:val="none"/>
        </w:rPr>
        <w:instrText xml:space="preserve"> STYLEREF 2 \s </w:instrText>
      </w:r>
      <w:r>
        <w:rPr>
          <w:rStyle w:val="87"/>
          <w:b/>
          <w:color w:val="auto"/>
          <w:highlight w:val="none"/>
          <w:u w:val="none"/>
        </w:rPr>
        <w:fldChar w:fldCharType="separate"/>
      </w:r>
      <w:r>
        <w:rPr>
          <w:rStyle w:val="87"/>
          <w:b/>
          <w:color w:val="auto"/>
          <w:highlight w:val="none"/>
          <w:u w:val="none"/>
        </w:rPr>
        <w:t>8.6</w:t>
      </w:r>
      <w:r>
        <w:rPr>
          <w:rStyle w:val="87"/>
          <w:b/>
          <w:color w:val="auto"/>
          <w:highlight w:val="none"/>
          <w:u w:val="none"/>
        </w:rPr>
        <w:fldChar w:fldCharType="end"/>
      </w:r>
      <w:r>
        <w:rPr>
          <w:rStyle w:val="87"/>
          <w:b/>
          <w:color w:val="auto"/>
          <w:highlight w:val="none"/>
          <w:u w:val="none"/>
        </w:rPr>
        <w:noBreakHyphen/>
      </w:r>
      <w:r>
        <w:rPr>
          <w:rStyle w:val="87"/>
          <w:b/>
          <w:color w:val="auto"/>
          <w:highlight w:val="none"/>
          <w:u w:val="none"/>
        </w:rPr>
        <w:fldChar w:fldCharType="begin"/>
      </w:r>
      <w:r>
        <w:rPr>
          <w:rStyle w:val="87"/>
          <w:b/>
          <w:color w:val="auto"/>
          <w:highlight w:val="none"/>
          <w:u w:val="none"/>
        </w:rPr>
        <w:instrText xml:space="preserve"> SEQ 表 \* ARABIC \s 2 </w:instrText>
      </w:r>
      <w:r>
        <w:rPr>
          <w:rStyle w:val="87"/>
          <w:b/>
          <w:color w:val="auto"/>
          <w:highlight w:val="none"/>
          <w:u w:val="none"/>
        </w:rPr>
        <w:fldChar w:fldCharType="separate"/>
      </w:r>
      <w:r>
        <w:rPr>
          <w:rStyle w:val="87"/>
          <w:b/>
          <w:color w:val="auto"/>
          <w:highlight w:val="none"/>
          <w:u w:val="none"/>
        </w:rPr>
        <w:t>5</w:t>
      </w:r>
      <w:r>
        <w:rPr>
          <w:rStyle w:val="87"/>
          <w:b/>
          <w:color w:val="auto"/>
          <w:highlight w:val="none"/>
          <w:u w:val="none"/>
        </w:rPr>
        <w:fldChar w:fldCharType="end"/>
      </w:r>
      <w:bookmarkEnd w:id="550"/>
      <w:r>
        <w:rPr>
          <w:rStyle w:val="87"/>
          <w:b/>
          <w:color w:val="auto"/>
          <w:highlight w:val="none"/>
          <w:u w:val="none"/>
        </w:rPr>
        <w:t xml:space="preserve">  </w:t>
      </w:r>
      <w:r>
        <w:rPr>
          <w:rFonts w:hint="eastAsia"/>
          <w:color w:val="auto"/>
          <w:highlight w:val="none"/>
          <w:u w:val="none"/>
        </w:rPr>
        <w:t>污染情景设置、污染途径及影响因子识别表</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909"/>
        <w:gridCol w:w="2067"/>
        <w:gridCol w:w="2227"/>
        <w:gridCol w:w="1668"/>
      </w:tblGrid>
      <w:tr w14:paraId="77CDE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tcPr>
          <w:p w14:paraId="3B04E114">
            <w:pPr>
              <w:pStyle w:val="92"/>
              <w:rPr>
                <w:color w:val="auto"/>
                <w:highlight w:val="none"/>
                <w:u w:val="none"/>
              </w:rPr>
            </w:pPr>
            <w:r>
              <w:rPr>
                <w:rFonts w:hint="eastAsia"/>
                <w:color w:val="auto"/>
                <w:highlight w:val="none"/>
                <w:u w:val="none"/>
              </w:rPr>
              <w:t>污染源</w:t>
            </w:r>
          </w:p>
        </w:tc>
        <w:tc>
          <w:tcPr>
            <w:tcW w:w="1028" w:type="pct"/>
          </w:tcPr>
          <w:p w14:paraId="453B91C2">
            <w:pPr>
              <w:pStyle w:val="92"/>
              <w:rPr>
                <w:color w:val="auto"/>
                <w:highlight w:val="none"/>
                <w:u w:val="none"/>
              </w:rPr>
            </w:pPr>
            <w:r>
              <w:rPr>
                <w:rFonts w:hint="eastAsia"/>
                <w:color w:val="auto"/>
                <w:highlight w:val="none"/>
                <w:u w:val="none"/>
              </w:rPr>
              <w:t>工艺流程/节点</w:t>
            </w:r>
          </w:p>
        </w:tc>
        <w:tc>
          <w:tcPr>
            <w:tcW w:w="1113" w:type="pct"/>
          </w:tcPr>
          <w:p w14:paraId="1953A2FC">
            <w:pPr>
              <w:pStyle w:val="92"/>
              <w:rPr>
                <w:color w:val="auto"/>
                <w:highlight w:val="none"/>
                <w:u w:val="none"/>
              </w:rPr>
            </w:pPr>
            <w:r>
              <w:rPr>
                <w:rFonts w:hint="eastAsia"/>
                <w:color w:val="auto"/>
                <w:highlight w:val="none"/>
                <w:u w:val="none"/>
              </w:rPr>
              <w:t>污染途径</w:t>
            </w:r>
          </w:p>
        </w:tc>
        <w:tc>
          <w:tcPr>
            <w:tcW w:w="1199" w:type="pct"/>
          </w:tcPr>
          <w:p w14:paraId="38A0596A">
            <w:pPr>
              <w:pStyle w:val="92"/>
              <w:rPr>
                <w:color w:val="auto"/>
                <w:highlight w:val="none"/>
                <w:u w:val="none"/>
              </w:rPr>
            </w:pPr>
            <w:r>
              <w:rPr>
                <w:rFonts w:hint="eastAsia"/>
                <w:color w:val="auto"/>
                <w:highlight w:val="none"/>
                <w:u w:val="none"/>
              </w:rPr>
              <w:t>特征因子</w:t>
            </w:r>
          </w:p>
        </w:tc>
        <w:tc>
          <w:tcPr>
            <w:tcW w:w="898" w:type="pct"/>
          </w:tcPr>
          <w:p w14:paraId="7A93165D">
            <w:pPr>
              <w:pStyle w:val="92"/>
              <w:rPr>
                <w:color w:val="auto"/>
                <w:highlight w:val="none"/>
                <w:u w:val="none"/>
              </w:rPr>
            </w:pPr>
            <w:r>
              <w:rPr>
                <w:rFonts w:hint="eastAsia"/>
                <w:color w:val="auto"/>
                <w:highlight w:val="none"/>
                <w:u w:val="none"/>
              </w:rPr>
              <w:t>情景</w:t>
            </w:r>
          </w:p>
        </w:tc>
      </w:tr>
      <w:tr w14:paraId="2BFC6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restart"/>
          </w:tcPr>
          <w:p w14:paraId="31F09781">
            <w:pPr>
              <w:pStyle w:val="92"/>
              <w:rPr>
                <w:color w:val="auto"/>
                <w:highlight w:val="none"/>
                <w:u w:val="none"/>
              </w:rPr>
            </w:pPr>
            <w:r>
              <w:rPr>
                <w:rFonts w:hint="eastAsia"/>
                <w:color w:val="auto"/>
                <w:highlight w:val="none"/>
                <w:u w:val="none"/>
              </w:rPr>
              <w:t>储运工程</w:t>
            </w:r>
          </w:p>
        </w:tc>
        <w:tc>
          <w:tcPr>
            <w:tcW w:w="1028" w:type="pct"/>
          </w:tcPr>
          <w:p w14:paraId="75F0F7DE">
            <w:pPr>
              <w:pStyle w:val="92"/>
              <w:rPr>
                <w:color w:val="auto"/>
                <w:highlight w:val="none"/>
                <w:u w:val="none"/>
              </w:rPr>
            </w:pPr>
            <w:r>
              <w:rPr>
                <w:color w:val="auto"/>
                <w:highlight w:val="none"/>
                <w:u w:val="none"/>
              </w:rPr>
              <w:t>DNT储罐泄漏</w:t>
            </w:r>
          </w:p>
        </w:tc>
        <w:tc>
          <w:tcPr>
            <w:tcW w:w="1113" w:type="pct"/>
          </w:tcPr>
          <w:p w14:paraId="3861EED8">
            <w:pPr>
              <w:pStyle w:val="92"/>
              <w:rPr>
                <w:color w:val="auto"/>
                <w:highlight w:val="none"/>
                <w:u w:val="none"/>
              </w:rPr>
            </w:pPr>
            <w:r>
              <w:rPr>
                <w:rFonts w:hint="eastAsia"/>
                <w:color w:val="auto"/>
                <w:highlight w:val="none"/>
                <w:u w:val="none"/>
              </w:rPr>
              <w:t>垂直入渗</w:t>
            </w:r>
          </w:p>
        </w:tc>
        <w:tc>
          <w:tcPr>
            <w:tcW w:w="1199" w:type="pct"/>
          </w:tcPr>
          <w:p w14:paraId="20149D3A">
            <w:pPr>
              <w:pStyle w:val="92"/>
              <w:rPr>
                <w:color w:val="auto"/>
                <w:highlight w:val="none"/>
                <w:u w:val="none"/>
              </w:rPr>
            </w:pPr>
            <w:r>
              <w:rPr>
                <w:color w:val="auto"/>
                <w:highlight w:val="none"/>
                <w:u w:val="none"/>
              </w:rPr>
              <w:t>DNT</w:t>
            </w:r>
            <w:r>
              <w:rPr>
                <w:rFonts w:hint="eastAsia"/>
                <w:color w:val="auto"/>
                <w:highlight w:val="none"/>
                <w:u w:val="none"/>
              </w:rPr>
              <w:t>二硝基甲苯</w:t>
            </w:r>
          </w:p>
        </w:tc>
        <w:tc>
          <w:tcPr>
            <w:tcW w:w="898" w:type="pct"/>
          </w:tcPr>
          <w:p w14:paraId="51E07BDB">
            <w:pPr>
              <w:pStyle w:val="92"/>
              <w:rPr>
                <w:color w:val="auto"/>
                <w:highlight w:val="none"/>
                <w:u w:val="none"/>
              </w:rPr>
            </w:pPr>
            <w:r>
              <w:rPr>
                <w:rFonts w:hint="eastAsia"/>
                <w:color w:val="auto"/>
                <w:highlight w:val="none"/>
                <w:u w:val="none"/>
              </w:rPr>
              <w:t>事故</w:t>
            </w:r>
          </w:p>
        </w:tc>
      </w:tr>
      <w:tr w14:paraId="05D96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Pr>
          <w:p w14:paraId="0DE7ECEA">
            <w:pPr>
              <w:pStyle w:val="92"/>
              <w:rPr>
                <w:color w:val="auto"/>
                <w:highlight w:val="none"/>
                <w:u w:val="none"/>
              </w:rPr>
            </w:pPr>
          </w:p>
        </w:tc>
        <w:tc>
          <w:tcPr>
            <w:tcW w:w="1028" w:type="pct"/>
          </w:tcPr>
          <w:p w14:paraId="15789611">
            <w:pPr>
              <w:pStyle w:val="92"/>
              <w:rPr>
                <w:color w:val="auto"/>
                <w:highlight w:val="none"/>
                <w:u w:val="none"/>
              </w:rPr>
            </w:pPr>
            <w:r>
              <w:rPr>
                <w:color w:val="auto"/>
                <w:highlight w:val="none"/>
                <w:u w:val="none"/>
              </w:rPr>
              <w:t>ODCB储罐泄漏</w:t>
            </w:r>
          </w:p>
        </w:tc>
        <w:tc>
          <w:tcPr>
            <w:tcW w:w="1113" w:type="pct"/>
          </w:tcPr>
          <w:p w14:paraId="4E21C179">
            <w:pPr>
              <w:pStyle w:val="92"/>
              <w:rPr>
                <w:color w:val="auto"/>
                <w:highlight w:val="none"/>
                <w:u w:val="none"/>
              </w:rPr>
            </w:pPr>
            <w:r>
              <w:rPr>
                <w:rFonts w:hint="eastAsia"/>
                <w:color w:val="auto"/>
                <w:highlight w:val="none"/>
                <w:u w:val="none"/>
              </w:rPr>
              <w:t>垂直入渗</w:t>
            </w:r>
          </w:p>
        </w:tc>
        <w:tc>
          <w:tcPr>
            <w:tcW w:w="1199" w:type="pct"/>
          </w:tcPr>
          <w:p w14:paraId="00081AC0">
            <w:pPr>
              <w:pStyle w:val="92"/>
              <w:rPr>
                <w:color w:val="auto"/>
                <w:highlight w:val="none"/>
                <w:u w:val="none"/>
              </w:rPr>
            </w:pPr>
            <w:r>
              <w:rPr>
                <w:color w:val="auto"/>
                <w:highlight w:val="none"/>
                <w:u w:val="none"/>
              </w:rPr>
              <w:t>ODCB</w:t>
            </w:r>
            <w:r>
              <w:rPr>
                <w:rFonts w:hint="eastAsia"/>
                <w:color w:val="auto"/>
                <w:highlight w:val="none"/>
                <w:u w:val="none"/>
              </w:rPr>
              <w:t>邻二氯苯</w:t>
            </w:r>
          </w:p>
        </w:tc>
        <w:tc>
          <w:tcPr>
            <w:tcW w:w="898" w:type="pct"/>
          </w:tcPr>
          <w:p w14:paraId="51F6D86B">
            <w:pPr>
              <w:pStyle w:val="92"/>
              <w:rPr>
                <w:color w:val="auto"/>
                <w:highlight w:val="none"/>
                <w:u w:val="none"/>
              </w:rPr>
            </w:pPr>
            <w:r>
              <w:rPr>
                <w:rFonts w:hint="eastAsia"/>
                <w:color w:val="auto"/>
                <w:highlight w:val="none"/>
                <w:u w:val="none"/>
              </w:rPr>
              <w:t>事故</w:t>
            </w:r>
          </w:p>
        </w:tc>
      </w:tr>
      <w:tr w14:paraId="1069B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tcPr>
          <w:p w14:paraId="7F994A7D">
            <w:pPr>
              <w:pStyle w:val="92"/>
              <w:rPr>
                <w:color w:val="auto"/>
                <w:highlight w:val="none"/>
                <w:u w:val="none"/>
              </w:rPr>
            </w:pPr>
            <w:r>
              <w:rPr>
                <w:rFonts w:hint="eastAsia"/>
                <w:color w:val="auto"/>
                <w:highlight w:val="none"/>
                <w:u w:val="none"/>
              </w:rPr>
              <w:t>硝化单元</w:t>
            </w:r>
          </w:p>
        </w:tc>
        <w:tc>
          <w:tcPr>
            <w:tcW w:w="1028" w:type="pct"/>
          </w:tcPr>
          <w:p w14:paraId="36CBA94D">
            <w:pPr>
              <w:pStyle w:val="92"/>
              <w:rPr>
                <w:color w:val="auto"/>
                <w:highlight w:val="none"/>
                <w:u w:val="none"/>
              </w:rPr>
            </w:pPr>
            <w:r>
              <w:rPr>
                <w:color w:val="auto"/>
                <w:highlight w:val="none"/>
                <w:u w:val="none"/>
              </w:rPr>
              <w:t>碱性废气</w:t>
            </w:r>
          </w:p>
        </w:tc>
        <w:tc>
          <w:tcPr>
            <w:tcW w:w="1113" w:type="pct"/>
          </w:tcPr>
          <w:p w14:paraId="3E2ACD9C">
            <w:pPr>
              <w:pStyle w:val="92"/>
              <w:rPr>
                <w:color w:val="auto"/>
                <w:highlight w:val="none"/>
                <w:u w:val="none"/>
              </w:rPr>
            </w:pPr>
            <w:r>
              <w:rPr>
                <w:rFonts w:hint="eastAsia"/>
                <w:color w:val="auto"/>
                <w:highlight w:val="none"/>
                <w:u w:val="none"/>
              </w:rPr>
              <w:t>大气沉降</w:t>
            </w:r>
          </w:p>
        </w:tc>
        <w:tc>
          <w:tcPr>
            <w:tcW w:w="1199" w:type="pct"/>
          </w:tcPr>
          <w:p w14:paraId="0B1E9CF6">
            <w:pPr>
              <w:pStyle w:val="92"/>
              <w:rPr>
                <w:color w:val="auto"/>
                <w:highlight w:val="none"/>
                <w:u w:val="none"/>
              </w:rPr>
            </w:pPr>
            <w:r>
              <w:rPr>
                <w:rFonts w:hint="eastAsia"/>
                <w:color w:val="auto"/>
                <w:highlight w:val="none"/>
                <w:u w:val="none"/>
              </w:rPr>
              <w:t>二硝基甲苯、甲苯</w:t>
            </w:r>
          </w:p>
        </w:tc>
        <w:tc>
          <w:tcPr>
            <w:tcW w:w="898" w:type="pct"/>
          </w:tcPr>
          <w:p w14:paraId="30784131">
            <w:pPr>
              <w:pStyle w:val="92"/>
              <w:rPr>
                <w:color w:val="auto"/>
                <w:highlight w:val="none"/>
                <w:u w:val="none"/>
              </w:rPr>
            </w:pPr>
            <w:r>
              <w:rPr>
                <w:rFonts w:hint="eastAsia"/>
                <w:color w:val="auto"/>
                <w:highlight w:val="none"/>
                <w:u w:val="none"/>
              </w:rPr>
              <w:t>尾气排放</w:t>
            </w:r>
          </w:p>
        </w:tc>
      </w:tr>
      <w:tr w14:paraId="74210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tcPr>
          <w:p w14:paraId="4243C820">
            <w:pPr>
              <w:pStyle w:val="92"/>
              <w:rPr>
                <w:color w:val="auto"/>
                <w:highlight w:val="none"/>
                <w:u w:val="none"/>
              </w:rPr>
            </w:pPr>
            <w:r>
              <w:rPr>
                <w:rFonts w:hint="eastAsia"/>
                <w:color w:val="auto"/>
                <w:highlight w:val="none"/>
                <w:u w:val="none"/>
              </w:rPr>
              <w:t>光化单元</w:t>
            </w:r>
          </w:p>
        </w:tc>
        <w:tc>
          <w:tcPr>
            <w:tcW w:w="1028" w:type="pct"/>
          </w:tcPr>
          <w:p w14:paraId="3D615794">
            <w:pPr>
              <w:pStyle w:val="92"/>
              <w:rPr>
                <w:color w:val="auto"/>
                <w:highlight w:val="none"/>
                <w:u w:val="none"/>
              </w:rPr>
            </w:pPr>
            <w:r>
              <w:rPr>
                <w:rFonts w:hint="eastAsia"/>
                <w:color w:val="auto"/>
                <w:highlight w:val="none"/>
                <w:u w:val="none"/>
              </w:rPr>
              <w:t>光化尾气</w:t>
            </w:r>
          </w:p>
        </w:tc>
        <w:tc>
          <w:tcPr>
            <w:tcW w:w="1113" w:type="pct"/>
          </w:tcPr>
          <w:p w14:paraId="5A69AE71">
            <w:pPr>
              <w:pStyle w:val="92"/>
              <w:rPr>
                <w:color w:val="auto"/>
                <w:highlight w:val="none"/>
                <w:u w:val="none"/>
              </w:rPr>
            </w:pPr>
            <w:r>
              <w:rPr>
                <w:rFonts w:hint="eastAsia"/>
                <w:color w:val="auto"/>
                <w:highlight w:val="none"/>
                <w:u w:val="none"/>
              </w:rPr>
              <w:t>大气沉降</w:t>
            </w:r>
          </w:p>
        </w:tc>
        <w:tc>
          <w:tcPr>
            <w:tcW w:w="1199" w:type="pct"/>
          </w:tcPr>
          <w:p w14:paraId="2356118D">
            <w:pPr>
              <w:pStyle w:val="92"/>
              <w:rPr>
                <w:color w:val="auto"/>
                <w:highlight w:val="none"/>
                <w:u w:val="none"/>
              </w:rPr>
            </w:pPr>
            <w:r>
              <w:rPr>
                <w:color w:val="auto"/>
                <w:highlight w:val="none"/>
                <w:u w:val="none"/>
              </w:rPr>
              <w:t>ODCB</w:t>
            </w:r>
            <w:r>
              <w:rPr>
                <w:rFonts w:hint="eastAsia"/>
                <w:color w:val="auto"/>
                <w:highlight w:val="none"/>
                <w:u w:val="none"/>
              </w:rPr>
              <w:t>邻二氯苯</w:t>
            </w:r>
          </w:p>
        </w:tc>
        <w:tc>
          <w:tcPr>
            <w:tcW w:w="898" w:type="pct"/>
          </w:tcPr>
          <w:p w14:paraId="37EC024C">
            <w:pPr>
              <w:pStyle w:val="92"/>
              <w:rPr>
                <w:color w:val="auto"/>
                <w:highlight w:val="none"/>
                <w:u w:val="none"/>
              </w:rPr>
            </w:pPr>
            <w:r>
              <w:rPr>
                <w:rFonts w:hint="eastAsia"/>
                <w:color w:val="auto"/>
                <w:highlight w:val="none"/>
                <w:u w:val="none"/>
              </w:rPr>
              <w:t>尾气排放</w:t>
            </w:r>
          </w:p>
        </w:tc>
      </w:tr>
    </w:tbl>
    <w:p w14:paraId="3123588B">
      <w:pPr>
        <w:pStyle w:val="7"/>
        <w:spacing w:before="156"/>
        <w:rPr>
          <w:color w:val="auto"/>
          <w:highlight w:val="none"/>
          <w:u w:val="none"/>
        </w:rPr>
      </w:pPr>
      <w:r>
        <w:rPr>
          <w:rFonts w:hint="eastAsia"/>
          <w:color w:val="auto"/>
          <w:highlight w:val="none"/>
          <w:u w:val="none"/>
        </w:rPr>
        <w:t>污染预测公式及参数选择</w:t>
      </w:r>
    </w:p>
    <w:p w14:paraId="34089DCB">
      <w:pPr>
        <w:pStyle w:val="5"/>
        <w:ind w:firstLine="480"/>
        <w:rPr>
          <w:rFonts w:hint="eastAsia"/>
          <w:color w:val="auto"/>
          <w:highlight w:val="none"/>
          <w:u w:val="none"/>
        </w:rPr>
      </w:pPr>
      <w:r>
        <w:rPr>
          <w:rFonts w:hint="eastAsia"/>
          <w:color w:val="auto"/>
          <w:highlight w:val="none"/>
          <w:u w:val="none"/>
        </w:rPr>
        <w:t>（一）大气沉降</w:t>
      </w:r>
    </w:p>
    <w:p w14:paraId="499A51A8">
      <w:pPr>
        <w:pStyle w:val="5"/>
        <w:ind w:firstLine="480"/>
        <w:rPr>
          <w:rFonts w:hint="eastAsia"/>
          <w:color w:val="auto"/>
          <w:highlight w:val="none"/>
          <w:u w:val="none"/>
        </w:rPr>
      </w:pPr>
      <w:r>
        <w:rPr>
          <w:rFonts w:hint="eastAsia"/>
          <w:color w:val="auto"/>
          <w:highlight w:val="none"/>
          <w:u w:val="none"/>
        </w:rPr>
        <w:t>根据土壤影响类型及影响途径识别，本项目大气沉降污染途径的特征因子为二硝基甲苯、邻二氯苯和甲苯，选取二硝基甲苯、邻二氯苯和甲苯作为预测因子，主要考虑大气污染物二硝基甲苯、邻二氯苯和甲苯的沉降累积影响，根据《环境影响评价技术导则</w:t>
      </w:r>
      <w:r>
        <w:rPr>
          <w:color w:val="auto"/>
          <w:highlight w:val="none"/>
          <w:u w:val="none"/>
        </w:rPr>
        <w:t xml:space="preserve"> 土壤环境（试行）》（HJ 964-2018），</w:t>
      </w:r>
      <w:r>
        <w:rPr>
          <w:rFonts w:hint="eastAsia"/>
          <w:color w:val="auto"/>
          <w:highlight w:val="none"/>
          <w:u w:val="none"/>
        </w:rPr>
        <w:t>土壤环境影响预测公式如下：</w:t>
      </w:r>
    </w:p>
    <w:p w14:paraId="403B7CDD">
      <w:pPr>
        <w:pStyle w:val="5"/>
        <w:ind w:firstLine="480"/>
        <w:rPr>
          <w:rFonts w:hint="eastAsia"/>
          <w:color w:val="auto"/>
          <w:highlight w:val="none"/>
          <w:u w:val="none"/>
        </w:rPr>
      </w:pPr>
      <w:r>
        <w:rPr>
          <w:rFonts w:hint="eastAsia"/>
          <w:color w:val="auto"/>
          <w:highlight w:val="none"/>
          <w:u w:val="none"/>
        </w:rPr>
        <w:t>（1）单位质量土壤中某种物质的增量用下式计算：</w:t>
      </w:r>
    </w:p>
    <w:p w14:paraId="4531F42A">
      <w:pPr>
        <w:pStyle w:val="5"/>
        <w:ind w:firstLine="480"/>
        <w:rPr>
          <w:rFonts w:hint="eastAsia"/>
          <w:i/>
          <w:color w:val="auto"/>
          <w:highlight w:val="none"/>
          <w:u w:val="none"/>
        </w:rPr>
      </w:pPr>
      <m:oMathPara>
        <m:oMath>
          <m:r>
            <m:rPr/>
            <w:rPr>
              <w:rFonts w:ascii="Cambria Math" w:hAnsi="Cambria Math"/>
              <w:color w:val="auto"/>
              <w:highlight w:val="none"/>
              <w:u w:val="none"/>
            </w:rPr>
            <m:t>∆S=n</m:t>
          </m:r>
          <m:d>
            <m:dPr>
              <m:ctrlPr>
                <w:rPr>
                  <w:rFonts w:ascii="Cambria Math" w:hAnsi="Cambria Math"/>
                  <w:i/>
                  <w:color w:val="auto"/>
                  <w:highlight w:val="none"/>
                  <w:u w:val="none"/>
                </w:rPr>
              </m:ctrlPr>
            </m:dPr>
            <m:e>
              <m:sSub>
                <m:sSubPr>
                  <m:ctrlPr>
                    <w:rPr>
                      <w:rFonts w:ascii="Cambria Math" w:hAnsi="Cambria Math"/>
                      <w:i/>
                      <w:color w:val="auto"/>
                      <w:highlight w:val="none"/>
                      <w:u w:val="none"/>
                    </w:rPr>
                  </m:ctrlPr>
                </m:sSubPr>
                <m:e>
                  <m:r>
                    <m:rPr/>
                    <w:rPr>
                      <w:rFonts w:ascii="Cambria Math" w:hAnsi="Cambria Math"/>
                      <w:color w:val="auto"/>
                      <w:highlight w:val="none"/>
                      <w:u w:val="none"/>
                    </w:rPr>
                    <m:t>I</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r>
                <m:rPr/>
                <w:rPr>
                  <w:rFonts w:ascii="Cambria Math" w:hAnsi="Cambria Math"/>
                  <w:color w:val="auto"/>
                  <w:highlight w:val="none"/>
                  <w:u w:val="none"/>
                </w:rPr>
                <m:t>−</m:t>
              </m:r>
              <m:sSub>
                <m:sSubPr>
                  <m:ctrlPr>
                    <w:rPr>
                      <w:rFonts w:ascii="Cambria Math" w:hAnsi="Cambria Math"/>
                      <w:i/>
                      <w:color w:val="auto"/>
                      <w:highlight w:val="none"/>
                      <w:u w:val="none"/>
                    </w:rPr>
                  </m:ctrlPr>
                </m:sSubPr>
                <m:e>
                  <m:r>
                    <m:rPr/>
                    <w:rPr>
                      <w:rFonts w:ascii="Cambria Math" w:hAnsi="Cambria Math"/>
                      <w:color w:val="auto"/>
                      <w:highlight w:val="none"/>
                      <w:u w:val="none"/>
                    </w:rPr>
                    <m:t>L</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r>
                <m:rPr/>
                <w:rPr>
                  <w:rFonts w:ascii="Cambria Math" w:hAnsi="Cambria Math"/>
                  <w:color w:val="auto"/>
                  <w:highlight w:val="none"/>
                  <w:u w:val="none"/>
                </w:rPr>
                <m:t>−</m:t>
              </m:r>
              <m:sSub>
                <m:sSubPr>
                  <m:ctrlPr>
                    <w:rPr>
                      <w:rFonts w:ascii="Cambria Math" w:hAnsi="Cambria Math"/>
                      <w:i/>
                      <w:color w:val="auto"/>
                      <w:highlight w:val="none"/>
                      <w:u w:val="none"/>
                    </w:rPr>
                  </m:ctrlPr>
                </m:sSubPr>
                <m:e>
                  <m:r>
                    <m:rPr/>
                    <w:rPr>
                      <w:rFonts w:ascii="Cambria Math" w:hAnsi="Cambria Math"/>
                      <w:color w:val="auto"/>
                      <w:highlight w:val="none"/>
                      <w:u w:val="none"/>
                    </w:rPr>
                    <m:t>R</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ctrlPr>
                <w:rPr>
                  <w:rFonts w:ascii="Cambria Math" w:hAnsi="Cambria Math"/>
                  <w:i/>
                  <w:color w:val="auto"/>
                  <w:highlight w:val="none"/>
                  <w:u w:val="none"/>
                </w:rPr>
              </m:ctrlPr>
            </m:e>
          </m:d>
          <m:r>
            <m:rPr/>
            <w:rPr>
              <w:rFonts w:ascii="Cambria Math" w:hAnsi="Cambria Math"/>
              <w:color w:val="auto"/>
              <w:highlight w:val="none"/>
              <w:u w:val="none"/>
            </w:rPr>
            <m:t>/</m:t>
          </m:r>
          <m:r>
            <m:rPr/>
            <w:rPr>
              <w:rFonts w:hint="eastAsia" w:ascii="Cambria Math" w:hAnsi="Cambria Math"/>
              <w:color w:val="auto"/>
              <w:highlight w:val="none"/>
              <w:u w:val="none"/>
            </w:rPr>
            <m:t>（</m:t>
          </m:r>
          <m:sSub>
            <m:sSubPr>
              <m:ctrlPr>
                <w:rPr>
                  <w:rFonts w:ascii="Cambria Math" w:hAnsi="Cambria Math"/>
                  <w:i/>
                  <w:color w:val="auto"/>
                  <w:highlight w:val="none"/>
                  <w:u w:val="none"/>
                </w:rPr>
              </m:ctrlPr>
            </m:sSubPr>
            <m:e>
              <m:r>
                <m:rPr/>
                <w:rPr>
                  <w:rFonts w:ascii="Cambria Math" w:hAnsi="Cambria Math"/>
                  <w:color w:val="auto"/>
                  <w:highlight w:val="none"/>
                  <w:u w:val="none"/>
                </w:rPr>
                <m:t>ρ</m:t>
              </m:r>
              <m:ctrlPr>
                <w:rPr>
                  <w:rFonts w:ascii="Cambria Math" w:hAnsi="Cambria Math"/>
                  <w:i/>
                  <w:color w:val="auto"/>
                  <w:highlight w:val="none"/>
                  <w:u w:val="none"/>
                </w:rPr>
              </m:ctrlPr>
            </m:e>
            <m:sub>
              <m:r>
                <m:rPr/>
                <w:rPr>
                  <w:rFonts w:ascii="Cambria Math" w:hAnsi="Cambria Math"/>
                  <w:color w:val="auto"/>
                  <w:highlight w:val="none"/>
                  <w:u w:val="none"/>
                </w:rPr>
                <m:t>b</m:t>
              </m:r>
              <m:ctrlPr>
                <w:rPr>
                  <w:rFonts w:ascii="Cambria Math" w:hAnsi="Cambria Math"/>
                  <w:i/>
                  <w:color w:val="auto"/>
                  <w:highlight w:val="none"/>
                  <w:u w:val="none"/>
                </w:rPr>
              </m:ctrlPr>
            </m:sub>
          </m:sSub>
          <m:r>
            <m:rPr/>
            <w:rPr>
              <w:rFonts w:ascii="Cambria Math" w:hAnsi="Cambria Math"/>
              <w:color w:val="auto"/>
              <w:highlight w:val="none"/>
              <w:u w:val="none"/>
            </w:rPr>
            <m:t>×A×D</m:t>
          </m:r>
          <m:r>
            <m:rPr/>
            <w:rPr>
              <w:rFonts w:hint="eastAsia" w:ascii="Cambria Math" w:hAnsi="Cambria Math"/>
              <w:color w:val="auto"/>
              <w:highlight w:val="none"/>
              <w:u w:val="none"/>
            </w:rPr>
            <m:t>）</m:t>
          </m:r>
        </m:oMath>
      </m:oMathPara>
    </w:p>
    <w:p w14:paraId="2870CCD8">
      <w:pPr>
        <w:rPr>
          <w:rFonts w:hint="eastAsia"/>
          <w:color w:val="auto"/>
          <w:highlight w:val="none"/>
          <w:u w:val="none"/>
        </w:rPr>
      </w:pPr>
      <w:r>
        <w:rPr>
          <w:rFonts w:hint="eastAsia"/>
          <w:color w:val="auto"/>
          <w:highlight w:val="none"/>
          <w:u w:val="none"/>
        </w:rPr>
        <w:t>式中：</w:t>
      </w:r>
    </w:p>
    <w:p w14:paraId="0A6F4F4B">
      <w:pPr>
        <w:rPr>
          <w:rFonts w:hint="eastAsia"/>
          <w:color w:val="auto"/>
          <w:highlight w:val="none"/>
          <w:u w:val="none"/>
        </w:rPr>
      </w:pPr>
      <m:oMath>
        <m:r>
          <m:rPr/>
          <w:rPr>
            <w:rFonts w:ascii="Cambria Math" w:hAnsi="Cambria Math"/>
            <w:color w:val="auto"/>
            <w:highlight w:val="none"/>
            <w:u w:val="none"/>
          </w:rPr>
          <m:t>∆S</m:t>
        </m:r>
      </m:oMath>
      <w:r>
        <w:rPr>
          <w:color w:val="auto"/>
          <w:highlight w:val="none"/>
          <w:u w:val="none"/>
        </w:rPr>
        <w:t>—单位质量表层土壤中某种物质的增量，g/kg；</w:t>
      </w:r>
    </w:p>
    <w:p w14:paraId="6B419509">
      <w:pPr>
        <w:rPr>
          <w:rFonts w:hint="eastAsia"/>
          <w:color w:val="auto"/>
          <w:highlight w:val="none"/>
          <w:u w:val="none"/>
        </w:rPr>
      </w:pPr>
      <w:r>
        <w:rPr>
          <w:rFonts w:hint="eastAsia"/>
          <w:color w:val="auto"/>
          <w:highlight w:val="none"/>
          <w:u w:val="none"/>
        </w:rPr>
        <w:t>表层土壤中游离酸或游离碱浓度增量，</w:t>
      </w:r>
      <w:r>
        <w:rPr>
          <w:color w:val="auto"/>
          <w:highlight w:val="none"/>
          <w:u w:val="none"/>
        </w:rPr>
        <w:t>mmol/kg；</w:t>
      </w:r>
    </w:p>
    <w:p w14:paraId="4DFF5B3A">
      <w:pPr>
        <w:rPr>
          <w:rFonts w:hint="eastAsia"/>
          <w:color w:val="auto"/>
          <w:highlight w:val="none"/>
          <w:u w:val="none"/>
        </w:rPr>
      </w:pPr>
      <m:oMath>
        <m:sSub>
          <m:sSubPr>
            <m:ctrlPr>
              <w:rPr>
                <w:rFonts w:ascii="Cambria Math" w:hAnsi="Cambria Math"/>
                <w:i/>
                <w:color w:val="auto"/>
                <w:highlight w:val="none"/>
                <w:u w:val="none"/>
              </w:rPr>
            </m:ctrlPr>
          </m:sSubPr>
          <m:e>
            <m:r>
              <m:rPr/>
              <w:rPr>
                <w:rFonts w:ascii="Cambria Math" w:hAnsi="Cambria Math"/>
                <w:color w:val="auto"/>
                <w:highlight w:val="none"/>
                <w:u w:val="none"/>
              </w:rPr>
              <m:t>I</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oMath>
      <w:r>
        <w:rPr>
          <w:color w:val="auto"/>
          <w:highlight w:val="none"/>
          <w:u w:val="none"/>
        </w:rPr>
        <w:t>—预测评价范围内单位年份表层土壤中某种物质的输入量，g；</w:t>
      </w:r>
    </w:p>
    <w:p w14:paraId="585B9BB5">
      <w:pPr>
        <w:rPr>
          <w:rFonts w:hint="eastAsia"/>
          <w:color w:val="auto"/>
          <w:highlight w:val="none"/>
          <w:u w:val="none"/>
        </w:rPr>
      </w:pPr>
    </w:p>
    <w:p w14:paraId="4D714E36">
      <w:pPr>
        <w:rPr>
          <w:rFonts w:hint="eastAsia"/>
          <w:color w:val="auto"/>
          <w:highlight w:val="none"/>
          <w:u w:val="none"/>
        </w:rPr>
      </w:pPr>
      <w:r>
        <w:rPr>
          <w:rFonts w:hint="eastAsia"/>
          <w:color w:val="auto"/>
          <w:highlight w:val="none"/>
          <w:u w:val="none"/>
        </w:rPr>
        <w:t>预测评价范围内单位年份表层土壤中游离酸、游离碱浓度输入量，</w:t>
      </w:r>
      <w:r>
        <w:rPr>
          <w:color w:val="auto"/>
          <w:highlight w:val="none"/>
          <w:u w:val="none"/>
        </w:rPr>
        <w:t>mmol；</w:t>
      </w:r>
    </w:p>
    <w:p w14:paraId="0ED25732">
      <w:pPr>
        <w:rPr>
          <w:rFonts w:hint="eastAsia"/>
          <w:color w:val="auto"/>
          <w:highlight w:val="none"/>
          <w:u w:val="none"/>
        </w:rPr>
      </w:pPr>
      <m:oMath>
        <m:sSub>
          <m:sSubPr>
            <m:ctrlPr>
              <w:rPr>
                <w:rFonts w:ascii="Cambria Math" w:hAnsi="Cambria Math"/>
                <w:i/>
                <w:color w:val="auto"/>
                <w:highlight w:val="none"/>
                <w:u w:val="none"/>
              </w:rPr>
            </m:ctrlPr>
          </m:sSubPr>
          <m:e>
            <m:r>
              <m:rPr/>
              <w:rPr>
                <w:rFonts w:ascii="Cambria Math" w:hAnsi="Cambria Math"/>
                <w:color w:val="auto"/>
                <w:highlight w:val="none"/>
                <w:u w:val="none"/>
              </w:rPr>
              <m:t>L</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oMath>
      <w:r>
        <w:rPr>
          <w:color w:val="auto"/>
          <w:highlight w:val="none"/>
          <w:u w:val="none"/>
        </w:rPr>
        <w:t>—预测评价范围内单位年份表层土壤中某种物质经淋溶排出的量，本项目为0（g）；</w:t>
      </w:r>
    </w:p>
    <w:p w14:paraId="3667CA05">
      <w:pPr>
        <w:rPr>
          <w:rFonts w:hint="eastAsia"/>
          <w:color w:val="auto"/>
          <w:highlight w:val="none"/>
          <w:u w:val="none"/>
        </w:rPr>
      </w:pPr>
      <w:r>
        <w:rPr>
          <w:rFonts w:hint="eastAsia"/>
          <w:color w:val="auto"/>
          <w:highlight w:val="none"/>
          <w:u w:val="none"/>
        </w:rPr>
        <w:t>预测评价范围内单位年份表层土壤中经淋溶排出的游离酸、游离碱的量，</w:t>
      </w:r>
      <w:r>
        <w:rPr>
          <w:color w:val="auto"/>
          <w:highlight w:val="none"/>
          <w:u w:val="none"/>
        </w:rPr>
        <w:t>mmol；</w:t>
      </w:r>
    </w:p>
    <w:p w14:paraId="46BDE5C7">
      <w:pPr>
        <w:rPr>
          <w:rFonts w:hint="eastAsia"/>
          <w:color w:val="auto"/>
          <w:highlight w:val="none"/>
          <w:u w:val="none"/>
        </w:rPr>
      </w:pPr>
      <m:oMath>
        <m:sSub>
          <m:sSubPr>
            <m:ctrlPr>
              <w:rPr>
                <w:rFonts w:ascii="Cambria Math" w:hAnsi="Cambria Math"/>
                <w:i/>
                <w:color w:val="auto"/>
                <w:highlight w:val="none"/>
                <w:u w:val="none"/>
              </w:rPr>
            </m:ctrlPr>
          </m:sSubPr>
          <m:e>
            <m:r>
              <m:rPr/>
              <w:rPr>
                <w:rFonts w:ascii="Cambria Math" w:hAnsi="Cambria Math"/>
                <w:color w:val="auto"/>
                <w:highlight w:val="none"/>
                <w:u w:val="none"/>
              </w:rPr>
              <m:t>R</m:t>
            </m:r>
            <m:ctrlPr>
              <w:rPr>
                <w:rFonts w:ascii="Cambria Math" w:hAnsi="Cambria Math"/>
                <w:i/>
                <w:color w:val="auto"/>
                <w:highlight w:val="none"/>
                <w:u w:val="none"/>
              </w:rPr>
            </m:ctrlPr>
          </m:e>
          <m:sub>
            <m:r>
              <m:rPr/>
              <w:rPr>
                <w:rFonts w:ascii="Cambria Math" w:hAnsi="Cambria Math"/>
                <w:color w:val="auto"/>
                <w:highlight w:val="none"/>
                <w:u w:val="none"/>
              </w:rPr>
              <m:t>s</m:t>
            </m:r>
            <m:ctrlPr>
              <w:rPr>
                <w:rFonts w:ascii="Cambria Math" w:hAnsi="Cambria Math"/>
                <w:i/>
                <w:color w:val="auto"/>
                <w:highlight w:val="none"/>
                <w:u w:val="none"/>
              </w:rPr>
            </m:ctrlPr>
          </m:sub>
        </m:sSub>
      </m:oMath>
      <w:r>
        <w:rPr>
          <w:color w:val="auto"/>
          <w:highlight w:val="none"/>
          <w:u w:val="none"/>
        </w:rPr>
        <w:t>—预测评价范围内单位年份表层土壤中某种物质经径流排出的量，本项目为0（g）；</w:t>
      </w:r>
    </w:p>
    <w:p w14:paraId="7E24D376">
      <w:pPr>
        <w:rPr>
          <w:rFonts w:hint="eastAsia"/>
          <w:color w:val="auto"/>
          <w:highlight w:val="none"/>
          <w:u w:val="none"/>
        </w:rPr>
      </w:pPr>
      <w:r>
        <w:rPr>
          <w:rFonts w:hint="eastAsia"/>
          <w:color w:val="auto"/>
          <w:highlight w:val="none"/>
          <w:u w:val="none"/>
        </w:rPr>
        <w:t>预测评价范围内单位年份表层土壤中经径流排出的游离酸、游离碱的量，</w:t>
      </w:r>
      <w:r>
        <w:rPr>
          <w:color w:val="auto"/>
          <w:highlight w:val="none"/>
          <w:u w:val="none"/>
        </w:rPr>
        <w:t>mmol；</w:t>
      </w:r>
    </w:p>
    <w:p w14:paraId="65D163B4">
      <w:pPr>
        <w:rPr>
          <w:rFonts w:hint="eastAsia"/>
          <w:color w:val="auto"/>
          <w:highlight w:val="none"/>
          <w:u w:val="none"/>
        </w:rPr>
      </w:pPr>
      <m:oMath>
        <m:sSub>
          <m:sSubPr>
            <m:ctrlPr>
              <w:rPr>
                <w:rFonts w:ascii="Cambria Math" w:hAnsi="Cambria Math"/>
                <w:i/>
                <w:color w:val="auto"/>
                <w:highlight w:val="none"/>
                <w:u w:val="none"/>
              </w:rPr>
            </m:ctrlPr>
          </m:sSubPr>
          <m:e>
            <m:r>
              <m:rPr/>
              <w:rPr>
                <w:rFonts w:ascii="Cambria Math" w:hAnsi="Cambria Math"/>
                <w:color w:val="auto"/>
                <w:highlight w:val="none"/>
                <w:u w:val="none"/>
              </w:rPr>
              <m:t>ρ</m:t>
            </m:r>
            <m:ctrlPr>
              <w:rPr>
                <w:rFonts w:ascii="Cambria Math" w:hAnsi="Cambria Math"/>
                <w:i/>
                <w:color w:val="auto"/>
                <w:highlight w:val="none"/>
                <w:u w:val="none"/>
              </w:rPr>
            </m:ctrlPr>
          </m:e>
          <m:sub>
            <m:r>
              <m:rPr/>
              <w:rPr>
                <w:rFonts w:ascii="Cambria Math" w:hAnsi="Cambria Math"/>
                <w:color w:val="auto"/>
                <w:highlight w:val="none"/>
                <w:u w:val="none"/>
              </w:rPr>
              <m:t>b</m:t>
            </m:r>
            <m:ctrlPr>
              <w:rPr>
                <w:rFonts w:ascii="Cambria Math" w:hAnsi="Cambria Math"/>
                <w:i/>
                <w:color w:val="auto"/>
                <w:highlight w:val="none"/>
                <w:u w:val="none"/>
              </w:rPr>
            </m:ctrlPr>
          </m:sub>
        </m:sSub>
      </m:oMath>
      <w:r>
        <w:rPr>
          <w:color w:val="auto"/>
          <w:highlight w:val="none"/>
          <w:u w:val="none"/>
        </w:rPr>
        <w:t>—表层土壤容重，kg/m</w:t>
      </w:r>
      <w:r>
        <w:rPr>
          <w:color w:val="auto"/>
          <w:highlight w:val="none"/>
          <w:u w:val="none"/>
          <w:vertAlign w:val="superscript"/>
        </w:rPr>
        <w:t>3</w:t>
      </w:r>
      <w:r>
        <w:rPr>
          <w:color w:val="auto"/>
          <w:highlight w:val="none"/>
          <w:u w:val="none"/>
        </w:rPr>
        <w:t>；</w:t>
      </w:r>
    </w:p>
    <w:p w14:paraId="2CEAEAC0">
      <w:pPr>
        <w:rPr>
          <w:rFonts w:hint="eastAsia"/>
          <w:color w:val="auto"/>
          <w:highlight w:val="none"/>
          <w:u w:val="none"/>
        </w:rPr>
      </w:pPr>
      <w:r>
        <w:rPr>
          <w:color w:val="auto"/>
          <w:highlight w:val="none"/>
          <w:u w:val="none"/>
        </w:rPr>
        <w:t>A —预测评价范围，m</w:t>
      </w:r>
      <w:r>
        <w:rPr>
          <w:color w:val="auto"/>
          <w:highlight w:val="none"/>
          <w:u w:val="none"/>
          <w:vertAlign w:val="superscript"/>
        </w:rPr>
        <w:t>2</w:t>
      </w:r>
      <w:r>
        <w:rPr>
          <w:color w:val="auto"/>
          <w:highlight w:val="none"/>
          <w:u w:val="none"/>
        </w:rPr>
        <w:t>；</w:t>
      </w:r>
    </w:p>
    <w:p w14:paraId="4B3C92FA">
      <w:pPr>
        <w:rPr>
          <w:rFonts w:hint="eastAsia"/>
          <w:color w:val="auto"/>
          <w:highlight w:val="none"/>
          <w:u w:val="none"/>
        </w:rPr>
      </w:pPr>
      <w:r>
        <w:rPr>
          <w:color w:val="auto"/>
          <w:highlight w:val="none"/>
          <w:u w:val="none"/>
        </w:rPr>
        <w:t>D —表层土壤深度，一般取0.2m，可根据实际情况适当调整；</w:t>
      </w:r>
    </w:p>
    <w:p w14:paraId="6DDF68BE">
      <w:pPr>
        <w:rPr>
          <w:rFonts w:hint="eastAsia"/>
          <w:color w:val="auto"/>
          <w:highlight w:val="none"/>
          <w:u w:val="none"/>
        </w:rPr>
      </w:pPr>
      <w:r>
        <w:rPr>
          <w:color w:val="auto"/>
          <w:highlight w:val="none"/>
          <w:u w:val="none"/>
        </w:rPr>
        <w:t>n—持续年份，a。</w:t>
      </w:r>
    </w:p>
    <w:p w14:paraId="2EC23EC1">
      <w:pPr>
        <w:rPr>
          <w:rFonts w:hint="eastAsia"/>
          <w:color w:val="auto"/>
          <w:highlight w:val="none"/>
          <w:u w:val="none"/>
        </w:rPr>
      </w:pPr>
      <w:r>
        <w:rPr>
          <w:rFonts w:hint="eastAsia"/>
          <w:color w:val="auto"/>
          <w:highlight w:val="none"/>
          <w:u w:val="none"/>
        </w:rPr>
        <w:t>（2）单位质量土壤中某种物质的预测值可根据其增量叠加现状值进行计算，如下：</w:t>
      </w:r>
    </w:p>
    <w:p w14:paraId="6CEE4428">
      <w:pPr>
        <w:rPr>
          <w:rFonts w:hint="eastAsia"/>
          <w:color w:val="auto"/>
          <w:highlight w:val="none"/>
          <w:u w:val="none"/>
        </w:rPr>
      </w:pPr>
      <m:oMathPara>
        <m:oMath>
          <m:r>
            <m:rPr/>
            <w:rPr>
              <w:rFonts w:hint="eastAsia" w:ascii="Cambria Math" w:hAnsi="Cambria Math"/>
              <w:color w:val="auto"/>
              <w:highlight w:val="none"/>
              <w:u w:val="none"/>
            </w:rPr>
            <m:t>S</m:t>
          </m:r>
          <m:r>
            <m:rPr/>
            <w:rPr>
              <w:rFonts w:ascii="Cambria Math" w:hAnsi="Cambria Math"/>
              <w:color w:val="auto"/>
              <w:highlight w:val="none"/>
              <w:u w:val="none"/>
            </w:rPr>
            <m:t>=</m:t>
          </m:r>
          <m:sSub>
            <m:sSubPr>
              <m:ctrlPr>
                <w:rPr>
                  <w:rFonts w:ascii="Cambria Math" w:hAnsi="Cambria Math"/>
                  <w:i/>
                  <w:color w:val="auto"/>
                  <w:highlight w:val="none"/>
                  <w:u w:val="none"/>
                </w:rPr>
              </m:ctrlPr>
            </m:sSubPr>
            <m:e>
              <m:r>
                <m:rPr/>
                <w:rPr>
                  <w:rFonts w:hint="eastAsia" w:ascii="Cambria Math" w:hAnsi="Cambria Math"/>
                  <w:color w:val="auto"/>
                  <w:highlight w:val="none"/>
                  <w:u w:val="none"/>
                </w:rPr>
                <m:t>S</m:t>
              </m:r>
              <m:ctrlPr>
                <w:rPr>
                  <w:rFonts w:ascii="Cambria Math" w:hAnsi="Cambria Math"/>
                  <w:i/>
                  <w:color w:val="auto"/>
                  <w:highlight w:val="none"/>
                  <w:u w:val="none"/>
                </w:rPr>
              </m:ctrlPr>
            </m:e>
            <m:sub>
              <m:r>
                <m:rPr/>
                <w:rPr>
                  <w:rFonts w:hint="eastAsia" w:ascii="Cambria Math" w:hAnsi="Cambria Math"/>
                  <w:color w:val="auto"/>
                  <w:highlight w:val="none"/>
                  <w:u w:val="none"/>
                </w:rPr>
                <m:t>b</m:t>
              </m:r>
              <m:ctrlPr>
                <w:rPr>
                  <w:rFonts w:ascii="Cambria Math" w:hAnsi="Cambria Math"/>
                  <w:i/>
                  <w:color w:val="auto"/>
                  <w:highlight w:val="none"/>
                  <w:u w:val="none"/>
                </w:rPr>
              </m:ctrlPr>
            </m:sub>
          </m:sSub>
          <m:r>
            <m:rPr/>
            <w:rPr>
              <w:rFonts w:ascii="Cambria Math" w:hAnsi="Cambria Math"/>
              <w:color w:val="auto"/>
              <w:highlight w:val="none"/>
              <w:u w:val="none"/>
            </w:rPr>
            <m:t>+∆</m:t>
          </m:r>
          <m:r>
            <m:rPr/>
            <w:rPr>
              <w:rFonts w:hint="eastAsia" w:ascii="Cambria Math" w:hAnsi="Cambria Math"/>
              <w:color w:val="auto"/>
              <w:highlight w:val="none"/>
              <w:u w:val="none"/>
            </w:rPr>
            <m:t>S</m:t>
          </m:r>
        </m:oMath>
      </m:oMathPara>
    </w:p>
    <w:p w14:paraId="0BB9AEC4">
      <w:pPr>
        <w:widowControl/>
        <w:spacing w:line="240" w:lineRule="auto"/>
        <w:ind w:firstLine="0" w:firstLineChars="0"/>
        <w:jc w:val="left"/>
        <w:rPr>
          <w:rFonts w:hint="eastAsia" w:ascii="宋体" w:cs="宋体"/>
          <w:color w:val="auto"/>
          <w:highlight w:val="none"/>
          <w:u w:val="none"/>
          <w:lang w:val="en-US"/>
        </w:rPr>
      </w:pPr>
      <w:r>
        <w:rPr>
          <w:rFonts w:hint="eastAsia" w:ascii="宋体" w:cs="宋体"/>
          <w:color w:val="auto"/>
          <w:highlight w:val="none"/>
          <w:u w:val="none"/>
          <w:lang w:val="en-US"/>
        </w:rPr>
        <w:t>式中：</w:t>
      </w:r>
      <w:r>
        <w:rPr>
          <w:rFonts w:hAnsi="Times New Roman"/>
          <w:i/>
          <w:iCs/>
          <w:color w:val="auto"/>
          <w:highlight w:val="none"/>
          <w:u w:val="none"/>
          <w:lang w:val="en-US"/>
        </w:rPr>
        <w:t>S</w:t>
      </w:r>
      <w:r>
        <w:rPr>
          <w:rFonts w:hAnsi="Times New Roman"/>
          <w:color w:val="auto"/>
          <w:sz w:val="16"/>
          <w:szCs w:val="16"/>
          <w:highlight w:val="none"/>
          <w:u w:val="none"/>
          <w:lang w:val="en-US"/>
        </w:rPr>
        <w:t>b</w:t>
      </w:r>
      <w:r>
        <w:rPr>
          <w:rFonts w:hAnsi="Times New Roman"/>
          <w:color w:val="auto"/>
          <w:highlight w:val="none"/>
          <w:u w:val="none"/>
          <w:lang w:val="en-US"/>
        </w:rPr>
        <w:t>—</w:t>
      </w:r>
      <w:r>
        <w:rPr>
          <w:rFonts w:hint="eastAsia" w:ascii="宋体" w:cs="宋体"/>
          <w:color w:val="auto"/>
          <w:highlight w:val="none"/>
          <w:u w:val="none"/>
          <w:lang w:val="en-US"/>
        </w:rPr>
        <w:t>单位质量表层土壤中某种物质的现状值，</w:t>
      </w:r>
      <w:r>
        <w:rPr>
          <w:rFonts w:hAnsi="Times New Roman"/>
          <w:color w:val="auto"/>
          <w:highlight w:val="none"/>
          <w:u w:val="none"/>
          <w:lang w:val="en-US"/>
        </w:rPr>
        <w:t>g/kg</w:t>
      </w:r>
      <w:r>
        <w:rPr>
          <w:rFonts w:hint="eastAsia" w:ascii="宋体" w:cs="宋体"/>
          <w:color w:val="auto"/>
          <w:highlight w:val="none"/>
          <w:u w:val="none"/>
          <w:lang w:val="en-US"/>
        </w:rPr>
        <w:t xml:space="preserve">； </w:t>
      </w:r>
    </w:p>
    <w:p w14:paraId="6D724EF8">
      <w:pPr>
        <w:ind w:firstLine="720" w:firstLineChars="300"/>
        <w:rPr>
          <w:rFonts w:hint="eastAsia" w:ascii="宋体" w:cs="宋体"/>
          <w:color w:val="auto"/>
          <w:highlight w:val="none"/>
          <w:u w:val="none"/>
          <w:lang w:val="en-US"/>
        </w:rPr>
      </w:pPr>
      <w:r>
        <w:rPr>
          <w:rFonts w:hAnsi="Times New Roman"/>
          <w:i/>
          <w:iCs/>
          <w:color w:val="auto"/>
          <w:highlight w:val="none"/>
          <w:u w:val="none"/>
          <w:lang w:val="en-US"/>
        </w:rPr>
        <w:t xml:space="preserve">S </w:t>
      </w:r>
      <w:r>
        <w:rPr>
          <w:rFonts w:hAnsi="Times New Roman"/>
          <w:color w:val="auto"/>
          <w:highlight w:val="none"/>
          <w:u w:val="none"/>
          <w:lang w:val="en-US"/>
        </w:rPr>
        <w:t>—</w:t>
      </w:r>
      <w:r>
        <w:rPr>
          <w:rFonts w:hint="eastAsia" w:ascii="宋体" w:cs="宋体"/>
          <w:color w:val="auto"/>
          <w:highlight w:val="none"/>
          <w:u w:val="none"/>
          <w:lang w:val="en-US"/>
        </w:rPr>
        <w:t>单位质量土壤中某种物质的预测值，</w:t>
      </w:r>
      <w:r>
        <w:rPr>
          <w:rFonts w:hAnsi="Times New Roman"/>
          <w:color w:val="auto"/>
          <w:highlight w:val="none"/>
          <w:u w:val="none"/>
          <w:lang w:val="en-US"/>
        </w:rPr>
        <w:t>g/kg</w:t>
      </w:r>
      <w:r>
        <w:rPr>
          <w:rFonts w:hint="eastAsia" w:ascii="宋体" w:cs="宋体"/>
          <w:color w:val="auto"/>
          <w:highlight w:val="none"/>
          <w:u w:val="none"/>
          <w:lang w:val="en-US"/>
        </w:rPr>
        <w:t>。</w:t>
      </w:r>
    </w:p>
    <w:p w14:paraId="11C6E041">
      <w:pPr>
        <w:pStyle w:val="5"/>
        <w:ind w:firstLine="480"/>
        <w:rPr>
          <w:rFonts w:hint="eastAsia"/>
          <w:color w:val="auto"/>
          <w:highlight w:val="none"/>
          <w:u w:val="none"/>
        </w:rPr>
      </w:pPr>
      <w:r>
        <w:rPr>
          <w:rFonts w:hint="eastAsia"/>
          <w:color w:val="auto"/>
          <w:highlight w:val="none"/>
          <w:u w:val="none"/>
        </w:rPr>
        <w:t>（二）污染物垂直入渗</w:t>
      </w:r>
    </w:p>
    <w:p w14:paraId="1595E493">
      <w:pPr>
        <w:ind w:firstLine="720" w:firstLineChars="300"/>
        <w:rPr>
          <w:rFonts w:hint="eastAsia"/>
          <w:color w:val="auto"/>
          <w:highlight w:val="none"/>
          <w:u w:val="none"/>
        </w:rPr>
      </w:pPr>
      <w:r>
        <w:rPr>
          <w:rFonts w:hint="eastAsia"/>
          <w:color w:val="auto"/>
          <w:highlight w:val="none"/>
          <w:u w:val="none"/>
        </w:rPr>
        <w:t>根据《环境影响评价技术导则</w:t>
      </w:r>
      <w:r>
        <w:rPr>
          <w:color w:val="auto"/>
          <w:highlight w:val="none"/>
          <w:u w:val="none"/>
        </w:rPr>
        <w:t xml:space="preserve"> 土壤环境（试行）》(HJ 964-2018)，污染影响型建</w:t>
      </w:r>
      <w:r>
        <w:rPr>
          <w:rFonts w:hint="eastAsia"/>
          <w:color w:val="auto"/>
          <w:highlight w:val="none"/>
          <w:u w:val="none"/>
        </w:rPr>
        <w:t>设项目，其评价工作等级为二级，预测方法可参见附录</w:t>
      </w:r>
      <w:r>
        <w:rPr>
          <w:color w:val="auto"/>
          <w:highlight w:val="none"/>
          <w:u w:val="none"/>
        </w:rPr>
        <w:t>E或进行类比分析。</w:t>
      </w:r>
      <w:r>
        <w:rPr>
          <w:rFonts w:hint="eastAsia"/>
          <w:color w:val="auto"/>
          <w:highlight w:val="none"/>
          <w:u w:val="none"/>
        </w:rPr>
        <w:t>本方法适用于某种物质以点源形式进入土壤环境的影响预测。</w:t>
      </w:r>
    </w:p>
    <w:p w14:paraId="326E8F67">
      <w:pPr>
        <w:rPr>
          <w:rFonts w:hint="eastAsia"/>
          <w:color w:val="auto"/>
          <w:highlight w:val="none"/>
          <w:u w:val="none"/>
        </w:rPr>
      </w:pPr>
      <w:r>
        <w:rPr>
          <w:rFonts w:hint="eastAsia"/>
          <w:color w:val="auto"/>
          <w:highlight w:val="none"/>
          <w:u w:val="none"/>
        </w:rPr>
        <w:t>（1）</w:t>
      </w:r>
      <w:r>
        <w:rPr>
          <w:color w:val="auto"/>
          <w:highlight w:val="none"/>
          <w:u w:val="none"/>
        </w:rPr>
        <w:t>一维非饱和溶质垂向运移控制方程：</w:t>
      </w:r>
    </w:p>
    <w:p w14:paraId="56803E81">
      <w:pPr>
        <w:ind w:firstLine="720" w:firstLineChars="300"/>
        <w:rPr>
          <w:rFonts w:hint="eastAsia"/>
          <w:color w:val="auto"/>
          <w:highlight w:val="none"/>
          <w:u w:val="none"/>
        </w:rPr>
      </w:pPr>
      <m:oMathPara>
        <m:oMath>
          <m:f>
            <m:fPr>
              <m:ctrlPr>
                <w:rPr>
                  <w:rFonts w:ascii="Cambria Math" w:hAnsi="Cambria Math"/>
                  <w:i/>
                  <w:color w:val="auto"/>
                  <w:highlight w:val="none"/>
                  <w:u w:val="none"/>
                </w:rPr>
              </m:ctrlPr>
            </m:fPr>
            <m:num>
              <m:r>
                <m:rPr/>
                <w:rPr>
                  <w:rFonts w:ascii="Cambria Math" w:hAnsi="Cambria Math"/>
                  <w:color w:val="auto"/>
                  <w:highlight w:val="none"/>
                  <w:u w:val="none"/>
                </w:rPr>
                <m:t xml:space="preserve"> ∂(θc)</m:t>
              </m:r>
              <m:ctrlPr>
                <w:rPr>
                  <w:rFonts w:ascii="Cambria Math" w:hAnsi="Cambria Math"/>
                  <w:i/>
                  <w:color w:val="auto"/>
                  <w:highlight w:val="none"/>
                  <w:u w:val="none"/>
                </w:rPr>
              </m:ctrlPr>
            </m:num>
            <m:den>
              <m:r>
                <m:rPr/>
                <w:rPr>
                  <w:rFonts w:ascii="Cambria Math" w:hAnsi="Cambria Math"/>
                  <w:color w:val="auto"/>
                  <w:highlight w:val="none"/>
                  <w:u w:val="none"/>
                </w:rPr>
                <m:t xml:space="preserve"> ∂</m:t>
              </m:r>
              <m:r>
                <m:rPr/>
                <w:rPr>
                  <w:rFonts w:hint="eastAsia" w:ascii="Cambria Math" w:hAnsi="Cambria Math"/>
                  <w:color w:val="auto"/>
                  <w:highlight w:val="none"/>
                  <w:u w:val="none"/>
                </w:rPr>
                <m:t>t</m:t>
              </m:r>
              <m:ctrlPr>
                <w:rPr>
                  <w:rFonts w:ascii="Cambria Math" w:hAnsi="Cambria Math"/>
                  <w:i/>
                  <w:color w:val="auto"/>
                  <w:highlight w:val="none"/>
                  <w:u w:val="none"/>
                </w:rPr>
              </m:ctrlPr>
            </m:den>
          </m:f>
          <m:r>
            <m:rPr/>
            <w:rPr>
              <w:rFonts w:ascii="Cambria Math" w:hAnsi="Cambria Math"/>
              <w:color w:val="auto"/>
              <w:highlight w:val="none"/>
              <w:u w:val="none"/>
            </w:rPr>
            <m:t>=</m:t>
          </m:r>
          <m:f>
            <m:fPr>
              <m:ctrlPr>
                <w:rPr>
                  <w:rFonts w:ascii="Cambria Math" w:hAnsi="Cambria Math"/>
                  <w:i/>
                  <w:color w:val="auto"/>
                  <w:highlight w:val="none"/>
                  <w:u w:val="none"/>
                </w:rPr>
              </m:ctrlPr>
            </m:fPr>
            <m:num>
              <m:r>
                <m:rPr/>
                <w:rPr>
                  <w:rFonts w:ascii="Cambria Math" w:hAnsi="Cambria Math"/>
                  <w:color w:val="auto"/>
                  <w:highlight w:val="none"/>
                  <w:u w:val="none"/>
                </w:rPr>
                <m:t xml:space="preserve"> ∂</m:t>
              </m:r>
              <m:ctrlPr>
                <w:rPr>
                  <w:rFonts w:ascii="Cambria Math" w:hAnsi="Cambria Math"/>
                  <w:i/>
                  <w:color w:val="auto"/>
                  <w:highlight w:val="none"/>
                  <w:u w:val="none"/>
                </w:rPr>
              </m:ctrlPr>
            </m:num>
            <m:den>
              <m:r>
                <m:rPr/>
                <w:rPr>
                  <w:rFonts w:ascii="Cambria Math" w:hAnsi="Cambria Math"/>
                  <w:color w:val="auto"/>
                  <w:highlight w:val="none"/>
                  <w:u w:val="none"/>
                </w:rPr>
                <m:t xml:space="preserve"> ∂z</m:t>
              </m:r>
              <m:ctrlPr>
                <w:rPr>
                  <w:rFonts w:ascii="Cambria Math" w:hAnsi="Cambria Math"/>
                  <w:i/>
                  <w:color w:val="auto"/>
                  <w:highlight w:val="none"/>
                  <w:u w:val="none"/>
                </w:rPr>
              </m:ctrlPr>
            </m:den>
          </m:f>
          <m:d>
            <m:dPr>
              <m:ctrlPr>
                <w:rPr>
                  <w:rFonts w:ascii="Cambria Math" w:hAnsi="Cambria Math"/>
                  <w:i/>
                  <w:color w:val="auto"/>
                  <w:highlight w:val="none"/>
                  <w:u w:val="none"/>
                </w:rPr>
              </m:ctrlPr>
            </m:dPr>
            <m:e>
              <m:r>
                <m:rPr/>
                <w:rPr>
                  <w:rFonts w:ascii="Cambria Math" w:hAnsi="Cambria Math"/>
                  <w:color w:val="auto"/>
                  <w:highlight w:val="none"/>
                  <w:u w:val="none"/>
                </w:rPr>
                <m:t>θD</m:t>
              </m:r>
              <m:f>
                <m:fPr>
                  <m:ctrlPr>
                    <w:rPr>
                      <w:rFonts w:ascii="Cambria Math" w:hAnsi="Cambria Math"/>
                      <w:i/>
                      <w:color w:val="auto"/>
                      <w:highlight w:val="none"/>
                      <w:u w:val="none"/>
                    </w:rPr>
                  </m:ctrlPr>
                </m:fPr>
                <m:num>
                  <m:r>
                    <m:rPr/>
                    <w:rPr>
                      <w:rFonts w:ascii="Cambria Math" w:hAnsi="Cambria Math"/>
                      <w:color w:val="auto"/>
                      <w:highlight w:val="none"/>
                      <w:u w:val="none"/>
                    </w:rPr>
                    <m:t xml:space="preserve"> ∂c</m:t>
                  </m:r>
                  <m:ctrlPr>
                    <w:rPr>
                      <w:rFonts w:ascii="Cambria Math" w:hAnsi="Cambria Math"/>
                      <w:i/>
                      <w:color w:val="auto"/>
                      <w:highlight w:val="none"/>
                      <w:u w:val="none"/>
                    </w:rPr>
                  </m:ctrlPr>
                </m:num>
                <m:den>
                  <m:r>
                    <m:rPr/>
                    <w:rPr>
                      <w:rFonts w:ascii="Cambria Math" w:hAnsi="Cambria Math"/>
                      <w:color w:val="auto"/>
                      <w:highlight w:val="none"/>
                      <w:u w:val="none"/>
                    </w:rPr>
                    <m:t xml:space="preserve"> ∂z</m:t>
                  </m:r>
                  <m:ctrlPr>
                    <w:rPr>
                      <w:rFonts w:ascii="Cambria Math" w:hAnsi="Cambria Math"/>
                      <w:i/>
                      <w:color w:val="auto"/>
                      <w:highlight w:val="none"/>
                      <w:u w:val="none"/>
                    </w:rPr>
                  </m:ctrlPr>
                </m:den>
              </m:f>
              <m:ctrlPr>
                <w:rPr>
                  <w:rFonts w:ascii="Cambria Math" w:hAnsi="Cambria Math"/>
                  <w:i/>
                  <w:color w:val="auto"/>
                  <w:highlight w:val="none"/>
                  <w:u w:val="none"/>
                </w:rPr>
              </m:ctrlPr>
            </m:e>
          </m:d>
          <m:r>
            <m:rPr/>
            <w:rPr>
              <w:rFonts w:ascii="Cambria Math" w:hAnsi="Cambria Math"/>
              <w:color w:val="auto"/>
              <w:highlight w:val="none"/>
              <w:u w:val="none"/>
            </w:rPr>
            <m:t>−</m:t>
          </m:r>
          <m:f>
            <m:fPr>
              <m:ctrlPr>
                <w:rPr>
                  <w:rFonts w:ascii="Cambria Math" w:hAnsi="Cambria Math"/>
                  <w:i/>
                  <w:color w:val="auto"/>
                  <w:highlight w:val="none"/>
                  <w:u w:val="none"/>
                </w:rPr>
              </m:ctrlPr>
            </m:fPr>
            <m:num>
              <m:r>
                <m:rPr/>
                <w:rPr>
                  <w:rFonts w:ascii="Cambria Math" w:hAnsi="Cambria Math"/>
                  <w:color w:val="auto"/>
                  <w:highlight w:val="none"/>
                  <w:u w:val="none"/>
                </w:rPr>
                <m:t xml:space="preserve"> ∂(qc)</m:t>
              </m:r>
              <m:ctrlPr>
                <w:rPr>
                  <w:rFonts w:ascii="Cambria Math" w:hAnsi="Cambria Math"/>
                  <w:i/>
                  <w:color w:val="auto"/>
                  <w:highlight w:val="none"/>
                  <w:u w:val="none"/>
                </w:rPr>
              </m:ctrlPr>
            </m:num>
            <m:den>
              <m:r>
                <m:rPr/>
                <w:rPr>
                  <w:rFonts w:ascii="Cambria Math" w:hAnsi="Cambria Math"/>
                  <w:color w:val="auto"/>
                  <w:highlight w:val="none"/>
                  <w:u w:val="none"/>
                </w:rPr>
                <m:t xml:space="preserve"> ∂z</m:t>
              </m:r>
              <m:ctrlPr>
                <w:rPr>
                  <w:rFonts w:ascii="Cambria Math" w:hAnsi="Cambria Math"/>
                  <w:i/>
                  <w:color w:val="auto"/>
                  <w:highlight w:val="none"/>
                  <w:u w:val="none"/>
                </w:rPr>
              </m:ctrlPr>
            </m:den>
          </m:f>
        </m:oMath>
      </m:oMathPara>
    </w:p>
    <w:p w14:paraId="10EABDC6">
      <w:pPr>
        <w:rPr>
          <w:rFonts w:hint="eastAsia"/>
          <w:color w:val="auto"/>
          <w:highlight w:val="none"/>
          <w:u w:val="none"/>
        </w:rPr>
      </w:pPr>
      <w:r>
        <w:rPr>
          <w:rFonts w:hint="eastAsia"/>
          <w:color w:val="auto"/>
          <w:highlight w:val="none"/>
          <w:u w:val="none"/>
        </w:rPr>
        <w:t>式中：</w:t>
      </w:r>
      <w:r>
        <w:rPr>
          <w:color w:val="auto"/>
          <w:highlight w:val="none"/>
          <w:u w:val="none"/>
        </w:rPr>
        <w:t>c—污染物介质中溶度，mg/L；</w:t>
      </w:r>
    </w:p>
    <w:p w14:paraId="187EFF6B">
      <w:pPr>
        <w:rPr>
          <w:rFonts w:hint="eastAsia"/>
          <w:color w:val="auto"/>
          <w:highlight w:val="none"/>
          <w:u w:val="none"/>
        </w:rPr>
      </w:pPr>
      <w:r>
        <w:rPr>
          <w:color w:val="auto"/>
          <w:highlight w:val="none"/>
          <w:u w:val="none"/>
        </w:rPr>
        <w:t>D—弥散系数，m</w:t>
      </w:r>
      <w:r>
        <w:rPr>
          <w:color w:val="auto"/>
          <w:highlight w:val="none"/>
          <w:u w:val="none"/>
          <w:vertAlign w:val="superscript"/>
        </w:rPr>
        <w:t>2</w:t>
      </w:r>
      <w:r>
        <w:rPr>
          <w:color w:val="auto"/>
          <w:highlight w:val="none"/>
          <w:u w:val="none"/>
        </w:rPr>
        <w:t>/d；</w:t>
      </w:r>
    </w:p>
    <w:p w14:paraId="5B195EF9">
      <w:pPr>
        <w:rPr>
          <w:rFonts w:hint="eastAsia"/>
          <w:color w:val="auto"/>
          <w:highlight w:val="none"/>
          <w:u w:val="none"/>
        </w:rPr>
      </w:pPr>
      <w:r>
        <w:rPr>
          <w:color w:val="auto"/>
          <w:highlight w:val="none"/>
          <w:u w:val="none"/>
        </w:rPr>
        <w:t>q—渗流速率，m/d；</w:t>
      </w:r>
    </w:p>
    <w:p w14:paraId="775D4BA6">
      <w:pPr>
        <w:rPr>
          <w:rFonts w:hint="eastAsia"/>
          <w:color w:val="auto"/>
          <w:highlight w:val="none"/>
          <w:u w:val="none"/>
        </w:rPr>
      </w:pPr>
      <w:r>
        <w:rPr>
          <w:color w:val="auto"/>
          <w:highlight w:val="none"/>
          <w:u w:val="none"/>
        </w:rPr>
        <w:t>z—沿Z轴距离，m；</w:t>
      </w:r>
    </w:p>
    <w:p w14:paraId="512C0D4C">
      <w:pPr>
        <w:rPr>
          <w:rFonts w:hint="eastAsia"/>
          <w:color w:val="auto"/>
          <w:highlight w:val="none"/>
          <w:u w:val="none"/>
        </w:rPr>
      </w:pPr>
      <w:r>
        <w:rPr>
          <w:color w:val="auto"/>
          <w:highlight w:val="none"/>
          <w:u w:val="none"/>
        </w:rPr>
        <w:t>t—时间变量，d；</w:t>
      </w:r>
    </w:p>
    <w:p w14:paraId="22070F54">
      <w:pPr>
        <w:rPr>
          <w:rFonts w:hint="eastAsia"/>
          <w:color w:val="auto"/>
          <w:highlight w:val="none"/>
          <w:u w:val="none"/>
        </w:rPr>
      </w:pPr>
      <w:r>
        <w:rPr>
          <w:rFonts w:hint="eastAsia"/>
          <w:color w:val="auto"/>
          <w:highlight w:val="none"/>
          <w:u w:val="none"/>
        </w:rPr>
        <w:t>θ—土壤含水率，</w:t>
      </w:r>
      <w:r>
        <w:rPr>
          <w:color w:val="auto"/>
          <w:highlight w:val="none"/>
          <w:u w:val="none"/>
        </w:rPr>
        <w:t>%；</w:t>
      </w:r>
    </w:p>
    <w:p w14:paraId="03E3C084">
      <w:pPr>
        <w:rPr>
          <w:rFonts w:hint="eastAsia"/>
          <w:color w:val="auto"/>
          <w:highlight w:val="none"/>
          <w:u w:val="none"/>
        </w:rPr>
      </w:pPr>
      <w:r>
        <w:rPr>
          <w:rFonts w:hint="eastAsia" w:hAnsi="Times New Roman"/>
          <w:color w:val="auto"/>
          <w:highlight w:val="none"/>
          <w:u w:val="none"/>
        </w:rPr>
        <w:t>（2）</w:t>
      </w:r>
      <w:r>
        <w:rPr>
          <w:rFonts w:hint="eastAsia"/>
          <w:color w:val="auto"/>
          <w:highlight w:val="none"/>
          <w:u w:val="none"/>
        </w:rPr>
        <w:t>初始条件</w:t>
      </w:r>
    </w:p>
    <w:p w14:paraId="535D47DE">
      <w:pPr>
        <w:rPr>
          <w:rFonts w:hint="eastAsia"/>
          <w:color w:val="auto"/>
          <w:highlight w:val="none"/>
          <w:u w:val="none"/>
        </w:rPr>
      </w:pPr>
      <w:r>
        <w:rPr>
          <w:color w:val="auto"/>
          <w:highlight w:val="none"/>
          <w:u w:val="none"/>
        </w:rPr>
        <w:t>C</w:t>
      </w:r>
      <w:r>
        <w:rPr>
          <w:rFonts w:hint="eastAsia"/>
          <w:color w:val="auto"/>
          <w:highlight w:val="none"/>
          <w:u w:val="none"/>
        </w:rPr>
        <w:t>（z，t）=</w:t>
      </w:r>
      <w:r>
        <w:rPr>
          <w:color w:val="auto"/>
          <w:highlight w:val="none"/>
          <w:u w:val="none"/>
        </w:rPr>
        <w:t xml:space="preserve">0  </w:t>
      </w:r>
      <w:r>
        <w:rPr>
          <w:rFonts w:hint="eastAsia"/>
          <w:color w:val="auto"/>
          <w:highlight w:val="none"/>
          <w:u w:val="none"/>
        </w:rPr>
        <w:t>t</w:t>
      </w:r>
      <w:r>
        <w:rPr>
          <w:color w:val="auto"/>
          <w:highlight w:val="none"/>
          <w:u w:val="none"/>
        </w:rPr>
        <w:t>=</w:t>
      </w:r>
      <w:r>
        <w:rPr>
          <w:rFonts w:hint="eastAsia"/>
          <w:color w:val="auto"/>
          <w:highlight w:val="none"/>
          <w:u w:val="none"/>
        </w:rPr>
        <w:t>0,</w:t>
      </w:r>
      <w:r>
        <w:rPr>
          <w:color w:val="auto"/>
          <w:highlight w:val="none"/>
          <w:u w:val="none"/>
        </w:rPr>
        <w:t xml:space="preserve">  </w:t>
      </w:r>
      <w:r>
        <w:rPr>
          <w:rFonts w:hint="eastAsia"/>
          <w:color w:val="auto"/>
          <w:highlight w:val="none"/>
          <w:u w:val="none"/>
        </w:rPr>
        <w:t>L≤Z</w:t>
      </w:r>
      <w:r>
        <w:rPr>
          <w:color w:val="auto"/>
          <w:highlight w:val="none"/>
          <w:u w:val="none"/>
        </w:rPr>
        <w:t>&lt;0</w:t>
      </w:r>
    </w:p>
    <w:p w14:paraId="3C9AE72A">
      <w:pPr>
        <w:rPr>
          <w:rFonts w:hint="eastAsia"/>
          <w:color w:val="auto"/>
          <w:highlight w:val="none"/>
          <w:u w:val="none"/>
        </w:rPr>
      </w:pPr>
      <w:r>
        <w:rPr>
          <w:rFonts w:hint="eastAsia"/>
          <w:color w:val="auto"/>
          <w:highlight w:val="none"/>
          <w:u w:val="none"/>
        </w:rPr>
        <w:t>（3）边界条件</w:t>
      </w:r>
    </w:p>
    <w:p w14:paraId="1DA31618">
      <w:pPr>
        <w:rPr>
          <w:rFonts w:hint="eastAsia"/>
          <w:color w:val="auto"/>
          <w:highlight w:val="none"/>
          <w:u w:val="none"/>
        </w:rPr>
      </w:pPr>
      <w:r>
        <w:rPr>
          <w:rFonts w:hint="eastAsia"/>
          <w:color w:val="auto"/>
          <w:highlight w:val="none"/>
          <w:u w:val="none"/>
        </w:rPr>
        <w:t>第一类</w:t>
      </w:r>
      <w:r>
        <w:rPr>
          <w:color w:val="auto"/>
          <w:highlight w:val="none"/>
          <w:u w:val="none"/>
        </w:rPr>
        <w:t xml:space="preserve"> Dirichlet 边界条件，适用于连续点源情景</w:t>
      </w:r>
      <w:r>
        <w:rPr>
          <w:rFonts w:hint="eastAsia"/>
          <w:color w:val="auto"/>
          <w:highlight w:val="none"/>
          <w:u w:val="none"/>
        </w:rPr>
        <w:t>。</w:t>
      </w:r>
    </w:p>
    <w:p w14:paraId="14935669">
      <w:pPr>
        <w:rPr>
          <w:rFonts w:hint="eastAsia"/>
          <w:color w:val="auto"/>
          <w:highlight w:val="none"/>
          <w:u w:val="none"/>
          <w:lang w:val="en-US"/>
        </w:rPr>
      </w:pPr>
      <m:oMathPara>
        <m:oMath>
          <m:r>
            <m:rPr/>
            <w:rPr>
              <w:rFonts w:ascii="Cambria Math" w:hAnsi="Cambria Math"/>
              <w:color w:val="auto"/>
              <w:highlight w:val="none"/>
              <w:u w:val="none"/>
              <w:lang w:val="en-US"/>
            </w:rPr>
            <m:t>C（z，t）=Co  t&gt;0,  Z=0</m:t>
          </m:r>
        </m:oMath>
      </m:oMathPara>
    </w:p>
    <w:p w14:paraId="7366BCC1">
      <w:pPr>
        <w:rPr>
          <w:rFonts w:hint="eastAsia"/>
          <w:color w:val="auto"/>
          <w:highlight w:val="none"/>
          <w:u w:val="none"/>
          <w:lang w:val="en-US"/>
        </w:rPr>
      </w:pPr>
      <w:r>
        <w:rPr>
          <w:rFonts w:hint="eastAsia"/>
          <w:color w:val="auto"/>
          <w:highlight w:val="none"/>
          <w:u w:val="none"/>
          <w:lang w:val="en-US"/>
        </w:rPr>
        <w:t>第二类</w:t>
      </w:r>
      <w:r>
        <w:rPr>
          <w:color w:val="auto"/>
          <w:highlight w:val="none"/>
          <w:u w:val="none"/>
          <w:lang w:val="en-US"/>
        </w:rPr>
        <w:t xml:space="preserve"> Neumann 零梯度边界</w:t>
      </w:r>
    </w:p>
    <w:p w14:paraId="4764244F">
      <w:pPr>
        <w:rPr>
          <w:rFonts w:hint="eastAsia"/>
          <w:color w:val="auto"/>
          <w:highlight w:val="none"/>
          <w:u w:val="none"/>
        </w:rPr>
      </w:pPr>
      <m:oMathPara>
        <m:oMath>
          <m:r>
            <m:rPr/>
            <w:rPr>
              <w:rFonts w:ascii="Cambria Math" w:hAnsi="Cambria Math"/>
              <w:color w:val="auto"/>
              <w:highlight w:val="none"/>
              <w:u w:val="none"/>
              <w:lang w:val="en-US"/>
            </w:rPr>
            <m:t>−</m:t>
          </m:r>
          <m:r>
            <m:rPr/>
            <w:rPr>
              <w:rFonts w:ascii="Cambria Math" w:hAnsi="Cambria Math"/>
              <w:color w:val="auto"/>
              <w:highlight w:val="none"/>
              <w:u w:val="none"/>
            </w:rPr>
            <m:t>θD</m:t>
          </m:r>
          <m:f>
            <m:fPr>
              <m:ctrlPr>
                <w:rPr>
                  <w:rFonts w:ascii="Cambria Math" w:hAnsi="Cambria Math"/>
                  <w:i/>
                  <w:color w:val="auto"/>
                  <w:highlight w:val="none"/>
                  <w:u w:val="none"/>
                </w:rPr>
              </m:ctrlPr>
            </m:fPr>
            <m:num>
              <m:r>
                <m:rPr/>
                <w:rPr>
                  <w:rFonts w:ascii="Cambria Math" w:hAnsi="Cambria Math"/>
                  <w:color w:val="auto"/>
                  <w:highlight w:val="none"/>
                  <w:u w:val="none"/>
                </w:rPr>
                <m:t xml:space="preserve"> ∂c</m:t>
              </m:r>
              <m:ctrlPr>
                <w:rPr>
                  <w:rFonts w:ascii="Cambria Math" w:hAnsi="Cambria Math"/>
                  <w:i/>
                  <w:color w:val="auto"/>
                  <w:highlight w:val="none"/>
                  <w:u w:val="none"/>
                </w:rPr>
              </m:ctrlPr>
            </m:num>
            <m:den>
              <m:r>
                <m:rPr/>
                <w:rPr>
                  <w:rFonts w:ascii="Cambria Math" w:hAnsi="Cambria Math"/>
                  <w:color w:val="auto"/>
                  <w:highlight w:val="none"/>
                  <w:u w:val="none"/>
                </w:rPr>
                <m:t xml:space="preserve"> ∂z</m:t>
              </m:r>
              <m:ctrlPr>
                <w:rPr>
                  <w:rFonts w:ascii="Cambria Math" w:hAnsi="Cambria Math"/>
                  <w:i/>
                  <w:color w:val="auto"/>
                  <w:highlight w:val="none"/>
                  <w:u w:val="none"/>
                </w:rPr>
              </m:ctrlPr>
            </m:den>
          </m:f>
          <m:r>
            <m:rPr/>
            <w:rPr>
              <w:rFonts w:ascii="Cambria Math" w:hAnsi="Cambria Math"/>
              <w:color w:val="auto"/>
              <w:highlight w:val="none"/>
              <w:u w:val="none"/>
            </w:rPr>
            <m:t>=0     t&gt;0,z=L</m:t>
          </m:r>
        </m:oMath>
      </m:oMathPara>
    </w:p>
    <w:p w14:paraId="21EC1E77">
      <w:pPr>
        <w:pStyle w:val="6"/>
        <w:spacing w:before="156" w:after="156"/>
        <w:rPr>
          <w:color w:val="auto"/>
          <w:highlight w:val="none"/>
          <w:u w:val="none"/>
          <w:lang w:val="en-US"/>
        </w:rPr>
      </w:pPr>
      <w:bookmarkStart w:id="551" w:name="_Toc148374617"/>
      <w:bookmarkStart w:id="552" w:name="_Toc148375059"/>
      <w:r>
        <w:rPr>
          <w:rFonts w:hint="eastAsia"/>
          <w:color w:val="auto"/>
          <w:highlight w:val="none"/>
          <w:u w:val="none"/>
          <w:lang w:val="en-US"/>
        </w:rPr>
        <w:t>预测结果</w:t>
      </w:r>
      <w:bookmarkEnd w:id="551"/>
      <w:bookmarkEnd w:id="552"/>
    </w:p>
    <w:p w14:paraId="7A597286">
      <w:pPr>
        <w:pStyle w:val="7"/>
        <w:spacing w:before="156"/>
        <w:rPr>
          <w:color w:val="auto"/>
          <w:highlight w:val="none"/>
          <w:u w:val="none"/>
          <w:lang w:val="en-US"/>
        </w:rPr>
      </w:pPr>
      <w:r>
        <w:rPr>
          <w:rFonts w:hint="eastAsia"/>
          <w:color w:val="auto"/>
          <w:highlight w:val="none"/>
          <w:u w:val="none"/>
          <w:lang w:val="en-US"/>
        </w:rPr>
        <w:t>大气沉降预测结果</w:t>
      </w:r>
    </w:p>
    <w:p w14:paraId="6539E425">
      <w:pPr>
        <w:pStyle w:val="5"/>
        <w:ind w:firstLine="480"/>
        <w:rPr>
          <w:rFonts w:hint="eastAsia"/>
          <w:color w:val="auto"/>
          <w:highlight w:val="none"/>
          <w:u w:val="none"/>
          <w:lang w:val="en-US"/>
        </w:rPr>
      </w:pPr>
      <w:r>
        <w:rPr>
          <w:rFonts w:hint="eastAsia"/>
          <w:color w:val="auto"/>
          <w:highlight w:val="none"/>
          <w:u w:val="none"/>
          <w:lang w:val="en-US"/>
        </w:rPr>
        <w:t>根据预测分析，项目运营期生产活动在正常情况下，</w:t>
      </w:r>
      <w:r>
        <w:rPr>
          <w:color w:val="auto"/>
          <w:highlight w:val="none"/>
          <w:u w:val="none"/>
          <w:lang w:val="en-US"/>
        </w:rPr>
        <w:t>在30年服务期限内项目厂区</w:t>
      </w:r>
      <w:r>
        <w:rPr>
          <w:rFonts w:hint="eastAsia"/>
          <w:color w:val="auto"/>
          <w:highlight w:val="none"/>
          <w:u w:val="none"/>
          <w:lang w:val="en-US"/>
        </w:rPr>
        <w:t>甲苯、二硝基甲苯、邻二氯苯在土壤中的最大积累浓度分别为</w:t>
      </w:r>
      <w:r>
        <w:rPr>
          <w:color w:val="auto"/>
          <w:highlight w:val="none"/>
          <w:u w:val="none"/>
          <w:lang w:val="en-US"/>
        </w:rPr>
        <w:t>102.650mg/kg</w:t>
      </w:r>
      <w:r>
        <w:rPr>
          <w:rFonts w:hint="eastAsia"/>
          <w:color w:val="auto"/>
          <w:highlight w:val="none"/>
          <w:u w:val="none"/>
          <w:lang w:val="en-US"/>
        </w:rPr>
        <w:t>、</w:t>
      </w:r>
      <w:r>
        <w:rPr>
          <w:color w:val="auto"/>
          <w:highlight w:val="none"/>
          <w:u w:val="none"/>
          <w:lang w:val="en-US"/>
        </w:rPr>
        <w:t>4.321mg/kg</w:t>
      </w:r>
      <w:r>
        <w:rPr>
          <w:rFonts w:hint="eastAsia"/>
          <w:color w:val="auto"/>
          <w:highlight w:val="none"/>
          <w:u w:val="none"/>
          <w:lang w:val="en-US"/>
        </w:rPr>
        <w:t>和4</w:t>
      </w:r>
      <w:r>
        <w:rPr>
          <w:color w:val="auto"/>
          <w:highlight w:val="none"/>
          <w:u w:val="none"/>
          <w:lang w:val="en-US"/>
        </w:rPr>
        <w:t>7.046mg/kg，</w:t>
      </w:r>
      <w:r>
        <w:rPr>
          <w:rFonts w:hint="eastAsia"/>
          <w:color w:val="auto"/>
          <w:highlight w:val="none"/>
          <w:u w:val="none"/>
          <w:lang w:val="en-US"/>
        </w:rPr>
        <w:t>甲苯、二硝基甲苯、邻二氯苯符合《土壤环境质量标准建设用地土壤污染风险管控标准（试行）》（</w:t>
      </w:r>
      <w:r>
        <w:rPr>
          <w:color w:val="auto"/>
          <w:highlight w:val="none"/>
          <w:u w:val="none"/>
          <w:lang w:val="en-US"/>
        </w:rPr>
        <w:t>GB36600-2018）</w:t>
      </w:r>
      <w:r>
        <w:rPr>
          <w:rFonts w:hint="eastAsia"/>
          <w:color w:val="auto"/>
          <w:highlight w:val="none"/>
          <w:u w:val="none"/>
          <w:lang w:val="en-US"/>
        </w:rPr>
        <w:t>表</w:t>
      </w:r>
      <w:r>
        <w:rPr>
          <w:color w:val="auto"/>
          <w:highlight w:val="none"/>
          <w:u w:val="none"/>
          <w:lang w:val="en-US"/>
        </w:rPr>
        <w:t>2和表 1 中第二类用地筛选值。</w:t>
      </w:r>
      <w:r>
        <w:rPr>
          <w:rFonts w:hint="eastAsia"/>
          <w:color w:val="auto"/>
          <w:highlight w:val="none"/>
          <w:u w:val="none"/>
          <w:lang w:val="en-US"/>
        </w:rPr>
        <w:t>建设单位在日常运行中就加强管理，确保各污染治理设施正常运行、污染物达标排放，以减轻对周边环境的影响。</w:t>
      </w:r>
    </w:p>
    <w:p w14:paraId="78F24F28">
      <w:pPr>
        <w:pStyle w:val="7"/>
        <w:spacing w:before="156"/>
        <w:rPr>
          <w:color w:val="auto"/>
          <w:highlight w:val="none"/>
          <w:u w:val="none"/>
          <w:lang w:val="en-US"/>
        </w:rPr>
      </w:pPr>
      <w:r>
        <w:rPr>
          <w:rFonts w:hint="eastAsia"/>
          <w:color w:val="auto"/>
          <w:highlight w:val="none"/>
          <w:u w:val="none"/>
          <w:lang w:val="en-US"/>
        </w:rPr>
        <w:t>垂直入渗预测结果</w:t>
      </w:r>
    </w:p>
    <w:p w14:paraId="2EEA3609">
      <w:pPr>
        <w:pStyle w:val="5"/>
        <w:ind w:firstLine="480"/>
        <w:rPr>
          <w:rFonts w:hint="eastAsia"/>
          <w:color w:val="auto"/>
          <w:highlight w:val="none"/>
          <w:u w:val="none"/>
          <w:lang w:val="en-US"/>
        </w:rPr>
      </w:pPr>
      <w:r>
        <w:rPr>
          <w:rFonts w:hint="eastAsia"/>
          <w:lang w:val="en-US"/>
        </w:rPr>
        <w:t>根据预测结果可知，</w:t>
      </w:r>
      <w:r>
        <w:rPr>
          <w:lang w:val="en-US"/>
        </w:rPr>
        <w:t>DNT储罐、ODCB储罐底部泄漏发生后，</w:t>
      </w:r>
      <w:r>
        <w:rPr>
          <w:rFonts w:hint="eastAsia"/>
          <w:lang w:val="en-US"/>
        </w:rPr>
        <w:t>土壤中的二硝基甲苯、</w:t>
      </w:r>
      <w:r>
        <w:rPr>
          <w:lang w:val="en-US"/>
        </w:rPr>
        <w:t>1,2-二氯苯浓度升高，其中二硝基甲苯出现超标的</w:t>
      </w:r>
      <w:r>
        <w:rPr>
          <w:rFonts w:hint="eastAsia"/>
          <w:lang w:val="en-US"/>
        </w:rPr>
        <w:t>现象，对土壤造成较大影响。因此，应要求建设单位对储罐设有相应的防渗措施，杜绝储罐污染物泄漏事故发生，并做好防渗和围堰，设置监控系统，一旦发生泄漏，立刻启动应急预案，将土壤污染事故发生的可能性降到最低。</w:t>
      </w:r>
    </w:p>
    <w:p w14:paraId="39621280">
      <w:pPr>
        <w:pStyle w:val="6"/>
        <w:rPr>
          <w:color w:val="auto"/>
          <w:highlight w:val="none"/>
          <w:u w:val="none"/>
          <w:lang w:val="en-US"/>
        </w:rPr>
      </w:pPr>
      <w:r>
        <w:rPr>
          <w:rFonts w:hint="eastAsia"/>
          <w:color w:val="auto"/>
          <w:highlight w:val="none"/>
          <w:u w:val="none"/>
          <w:lang w:val="en-US"/>
        </w:rPr>
        <w:t>土壤环境影响小结</w:t>
      </w:r>
    </w:p>
    <w:p w14:paraId="026C8FF2">
      <w:pPr>
        <w:rPr>
          <w:rFonts w:hint="eastAsia"/>
          <w:color w:val="auto"/>
          <w:highlight w:val="none"/>
          <w:u w:val="none"/>
          <w:lang w:val="en-US"/>
        </w:rPr>
      </w:pPr>
      <w:r>
        <w:rPr>
          <w:rFonts w:hint="eastAsia"/>
          <w:color w:val="auto"/>
          <w:highlight w:val="none"/>
          <w:u w:val="none"/>
          <w:lang w:val="en-US"/>
        </w:rPr>
        <w:t>根据大气沉降预测结果判断，本项目所选取的土壤预测点位中甲苯、DNT、ODCB符合《土壤环境质量标准建设用地土壤污染风险管控标准（试行）》（</w:t>
      </w:r>
      <w:r>
        <w:rPr>
          <w:color w:val="auto"/>
          <w:highlight w:val="none"/>
          <w:u w:val="none"/>
          <w:lang w:val="en-US"/>
        </w:rPr>
        <w:t>GB36600-2018）表2和表1中第二类用地筛选值。建设单位在日常运行中应加强管理，确保各污染治理设施正常运行、污染物达标排放，以减轻对周边土壤环境的影响。</w:t>
      </w:r>
    </w:p>
    <w:p w14:paraId="5D4B26CD">
      <w:pPr>
        <w:pStyle w:val="5"/>
        <w:ind w:firstLine="480"/>
        <w:rPr>
          <w:rFonts w:hint="eastAsia" w:eastAsia="宋体"/>
          <w:color w:val="auto"/>
          <w:highlight w:val="none"/>
          <w:u w:val="none"/>
          <w:lang w:val="en-US" w:eastAsia="zh-CN"/>
        </w:rPr>
      </w:pPr>
      <w:r>
        <w:rPr>
          <w:rFonts w:hint="eastAsia"/>
          <w:color w:val="auto"/>
          <w:highlight w:val="none"/>
          <w:u w:val="none"/>
          <w:lang w:val="en-US"/>
        </w:rPr>
        <w:t>根据垂直入渗预测结果判断，</w:t>
      </w:r>
      <w:r>
        <w:rPr>
          <w:color w:val="auto"/>
          <w:highlight w:val="none"/>
          <w:u w:val="none"/>
          <w:lang w:val="en-US"/>
        </w:rPr>
        <w:t>DNT储罐、ODCB储罐底部泄漏发生后，土壤中的DNT、ODCB浓度升高，其中DNT出现超标，对土壤造成较大影响。因此，要求建设单位应对储罐采取相应的防渗措施，杜绝储罐污染物泄漏事故发生，并做好地面防渗和围堰，设置监控系统，一旦发生泄漏，立刻启动应急预案，将土壤污染事故发生的可能性降到最低</w:t>
      </w:r>
      <w:r>
        <w:rPr>
          <w:rFonts w:hint="eastAsia"/>
          <w:color w:val="auto"/>
          <w:highlight w:val="none"/>
          <w:u w:val="none"/>
          <w:lang w:val="en-US" w:eastAsia="zh-CN"/>
        </w:rPr>
        <w:t>。</w:t>
      </w:r>
    </w:p>
    <w:p w14:paraId="337A1842">
      <w:pPr>
        <w:pStyle w:val="6"/>
        <w:spacing w:before="156" w:after="156"/>
        <w:rPr>
          <w:color w:val="auto"/>
          <w:highlight w:val="none"/>
          <w:u w:val="none"/>
        </w:rPr>
      </w:pPr>
      <w:r>
        <w:rPr>
          <w:rFonts w:hint="eastAsia"/>
          <w:color w:val="auto"/>
          <w:highlight w:val="none"/>
          <w:u w:val="none"/>
        </w:rPr>
        <w:t>土壤防治措施</w:t>
      </w:r>
    </w:p>
    <w:p w14:paraId="0DF91E34">
      <w:pPr>
        <w:pStyle w:val="7"/>
        <w:bidi w:val="0"/>
        <w:rPr>
          <w:color w:val="auto"/>
          <w:highlight w:val="none"/>
          <w:u w:val="none"/>
        </w:rPr>
      </w:pPr>
      <w:r>
        <w:rPr>
          <w:color w:val="auto"/>
          <w:highlight w:val="none"/>
          <w:u w:val="none"/>
        </w:rPr>
        <w:t>土壤污染重点监管行业</w:t>
      </w:r>
      <w:r>
        <w:rPr>
          <w:rFonts w:hint="eastAsia"/>
          <w:color w:val="auto"/>
          <w:highlight w:val="none"/>
          <w:u w:val="none"/>
        </w:rPr>
        <w:t>管控要求</w:t>
      </w:r>
    </w:p>
    <w:p w14:paraId="6E37B736">
      <w:pPr>
        <w:bidi w:val="0"/>
        <w:rPr>
          <w:rFonts w:hint="eastAsia" w:eastAsia="宋体"/>
          <w:color w:val="auto"/>
          <w:highlight w:val="none"/>
          <w:u w:val="none"/>
          <w:lang w:eastAsia="zh-CN"/>
        </w:rPr>
      </w:pPr>
      <w:r>
        <w:rPr>
          <w:rFonts w:hint="eastAsia"/>
          <w:color w:val="auto"/>
          <w:highlight w:val="none"/>
          <w:u w:val="none"/>
        </w:rPr>
        <w:t>根据《福州市生态环境局关于印发</w:t>
      </w:r>
      <w:r>
        <w:rPr>
          <w:color w:val="auto"/>
          <w:highlight w:val="none"/>
          <w:u w:val="none"/>
        </w:rPr>
        <w:t>2024年度福州市环境监管重点单位名录的通知》（榕环保综〔2024〕17号），万华化学（福建）有限公司为土壤污染重点监管单位，</w:t>
      </w:r>
      <w:r>
        <w:rPr>
          <w:rFonts w:hint="eastAsia"/>
          <w:color w:val="auto"/>
          <w:highlight w:val="none"/>
          <w:u w:val="none"/>
        </w:rPr>
        <w:t>在建设、生产的过程中</w:t>
      </w:r>
      <w:r>
        <w:rPr>
          <w:color w:val="auto"/>
          <w:highlight w:val="none"/>
          <w:u w:val="none"/>
        </w:rPr>
        <w:t>需</w:t>
      </w:r>
      <w:r>
        <w:rPr>
          <w:rFonts w:hint="eastAsia"/>
          <w:color w:val="auto"/>
          <w:highlight w:val="none"/>
          <w:u w:val="none"/>
        </w:rPr>
        <w:t>根据《工矿用地土壤环境管理办法（试行）》、《土壤污染重点监管单位土壤环境自行监测方案编制指南》进行土壤污染土壤隐患排查及自行监测</w:t>
      </w:r>
      <w:r>
        <w:rPr>
          <w:rFonts w:hint="eastAsia"/>
          <w:color w:val="auto"/>
          <w:highlight w:val="none"/>
          <w:u w:val="none"/>
          <w:lang w:eastAsia="zh-CN"/>
        </w:rPr>
        <w:t>。</w:t>
      </w:r>
    </w:p>
    <w:p w14:paraId="6E017537">
      <w:pPr>
        <w:pStyle w:val="7"/>
        <w:spacing w:before="156"/>
        <w:rPr>
          <w:color w:val="auto"/>
          <w:highlight w:val="none"/>
          <w:u w:val="none"/>
        </w:rPr>
      </w:pPr>
      <w:r>
        <w:rPr>
          <w:rFonts w:hint="eastAsia"/>
          <w:color w:val="auto"/>
          <w:highlight w:val="none"/>
          <w:u w:val="none"/>
        </w:rPr>
        <w:t>源头控制、过程防控</w:t>
      </w:r>
    </w:p>
    <w:p w14:paraId="48FAA5A2">
      <w:pPr>
        <w:rPr>
          <w:rFonts w:hint="eastAsia"/>
          <w:color w:val="auto"/>
          <w:highlight w:val="none"/>
          <w:u w:val="none"/>
        </w:rPr>
      </w:pPr>
      <w:r>
        <w:rPr>
          <w:rFonts w:hint="eastAsia"/>
          <w:color w:val="auto"/>
          <w:highlight w:val="none"/>
          <w:u w:val="none"/>
        </w:rPr>
        <w:t>设备、设施按照不同物料性质，分别设置围堰，按要求做好分区防渗。对于储存和输送有毒有害介质的设备和管线排液阀门采用双阀，管道均按照明管敷设，设备及管道排放出的各种含有毒有害介质液体设置专门的废液收集系统加以收集，不任意排放。</w:t>
      </w:r>
    </w:p>
    <w:p w14:paraId="52B10BFF">
      <w:pPr>
        <w:rPr>
          <w:rFonts w:hint="eastAsia"/>
          <w:color w:val="auto"/>
          <w:highlight w:val="none"/>
          <w:u w:val="none"/>
        </w:rPr>
      </w:pPr>
      <w:r>
        <w:rPr>
          <w:rFonts w:hint="eastAsia"/>
          <w:color w:val="auto"/>
          <w:highlight w:val="none"/>
          <w:u w:val="none"/>
        </w:rPr>
        <w:t>项目涉及大气沉降影响，故厂区占地范围内应采取绿化措施，以种植具有较强吸附能力的植物为主。</w:t>
      </w:r>
    </w:p>
    <w:p w14:paraId="6D260ECD">
      <w:pPr>
        <w:pStyle w:val="7"/>
        <w:spacing w:before="156"/>
        <w:rPr>
          <w:color w:val="auto"/>
          <w:highlight w:val="none"/>
          <w:u w:val="none"/>
        </w:rPr>
      </w:pPr>
      <w:r>
        <w:rPr>
          <w:rFonts w:hint="eastAsia"/>
          <w:color w:val="auto"/>
          <w:highlight w:val="none"/>
          <w:u w:val="none"/>
        </w:rPr>
        <w:t>环境管理和检测制度</w:t>
      </w:r>
    </w:p>
    <w:p w14:paraId="6812AE27">
      <w:pPr>
        <w:rPr>
          <w:rFonts w:hint="eastAsia"/>
          <w:color w:val="auto"/>
          <w:highlight w:val="none"/>
          <w:u w:val="none"/>
        </w:rPr>
      </w:pPr>
      <w:r>
        <w:rPr>
          <w:rFonts w:hint="eastAsia"/>
          <w:color w:val="auto"/>
          <w:highlight w:val="none"/>
          <w:u w:val="none"/>
        </w:rPr>
        <w:t>建立健全环境管理和监测制度：保证各环保设施正常运转，同时强化风险防范意识，如遇环保设施不能正常运转，应立即停产检修。</w:t>
      </w:r>
    </w:p>
    <w:p w14:paraId="2FB00CB9">
      <w:pPr>
        <w:rPr>
          <w:rFonts w:hint="eastAsia"/>
          <w:color w:val="auto"/>
          <w:highlight w:val="none"/>
          <w:u w:val="none"/>
        </w:rPr>
      </w:pPr>
      <w:r>
        <w:rPr>
          <w:color w:val="auto"/>
          <w:highlight w:val="none"/>
          <w:u w:val="none"/>
        </w:rPr>
        <w:t>定期进行环境监测</w:t>
      </w:r>
      <w:r>
        <w:rPr>
          <w:rFonts w:hint="eastAsia"/>
          <w:color w:val="auto"/>
          <w:highlight w:val="none"/>
          <w:u w:val="none"/>
        </w:rPr>
        <w:t>：罐区附近应设置土壤质量监控点，日常生产中加强巡回检查，发现设备故障及跑、冒、滴、漏现象及时处理，地面散落的物料、化学药品等及时清扫、收集，合理处置不得随意倾倒。</w:t>
      </w:r>
    </w:p>
    <w:p w14:paraId="0FE4E708">
      <w:pPr>
        <w:rPr>
          <w:rFonts w:hint="eastAsia"/>
          <w:color w:val="auto"/>
          <w:highlight w:val="none"/>
          <w:u w:val="none"/>
        </w:rPr>
      </w:pPr>
      <w:r>
        <w:rPr>
          <w:rFonts w:hint="eastAsia"/>
          <w:color w:val="auto"/>
          <w:highlight w:val="none"/>
          <w:u w:val="none"/>
        </w:rPr>
        <w:t>应在生态环境监测部门的协助下定期对厂址周边地下水、土壤进行特征污染物的监测，掌握厂址周边污染变化趋势。</w:t>
      </w:r>
    </w:p>
    <w:p w14:paraId="5B7FDEDE">
      <w:pPr>
        <w:rPr>
          <w:rFonts w:hint="eastAsia"/>
          <w:color w:val="auto"/>
          <w:highlight w:val="none"/>
          <w:u w:val="none"/>
        </w:rPr>
      </w:pPr>
      <w:r>
        <w:rPr>
          <w:color w:val="auto"/>
          <w:highlight w:val="none"/>
          <w:u w:val="none"/>
        </w:rPr>
        <w:t>在今后的生产活动中，做好罐区的维护、检修，杜绝跑、冒、滴、漏</w:t>
      </w:r>
      <w:r>
        <w:rPr>
          <w:rFonts w:hint="eastAsia"/>
          <w:color w:val="auto"/>
          <w:highlight w:val="none"/>
          <w:u w:val="none"/>
        </w:rPr>
        <w:t>现象。同时，加强污染物产生主要环节的安全防护、报警措施，以便及时发现事故隐患，采取有效的应对措施。</w:t>
      </w:r>
    </w:p>
    <w:p w14:paraId="5395D6FE">
      <w:pPr>
        <w:pStyle w:val="981"/>
        <w:rPr>
          <w:rFonts w:hint="eastAsia"/>
          <w:color w:val="auto"/>
          <w:highlight w:val="none"/>
          <w:u w:val="none"/>
        </w:rPr>
      </w:pPr>
      <w:r>
        <w:rPr>
          <w:rFonts w:hint="eastAsia"/>
          <w:color w:val="auto"/>
          <w:highlight w:val="none"/>
          <w:u w:val="none"/>
        </w:rPr>
        <w:t>（1）土壤跟踪检测</w:t>
      </w:r>
    </w:p>
    <w:p w14:paraId="3665C124">
      <w:pPr>
        <w:rPr>
          <w:rFonts w:hint="eastAsia"/>
          <w:color w:val="auto"/>
          <w:highlight w:val="none"/>
          <w:u w:val="none"/>
        </w:rPr>
      </w:pPr>
      <w:r>
        <w:rPr>
          <w:rFonts w:hint="eastAsia"/>
          <w:color w:val="auto"/>
          <w:highlight w:val="none"/>
          <w:u w:val="none"/>
        </w:rPr>
        <w:t>土壤跟踪监测目的是为了及时准确的掌握项目所在地土壤环境质量状况和土壤污染物的动态变化，以防止或最大限度的减轻对土壤的污染，土壤监测方案应能满足《环境影响评价技术导则 土壤环境（试行）》（H</w:t>
      </w:r>
      <w:r>
        <w:rPr>
          <w:color w:val="auto"/>
          <w:highlight w:val="none"/>
          <w:u w:val="none"/>
        </w:rPr>
        <w:t>J964-2018</w:t>
      </w:r>
      <w:r>
        <w:rPr>
          <w:rFonts w:hint="eastAsia"/>
          <w:color w:val="auto"/>
          <w:highlight w:val="none"/>
          <w:u w:val="none"/>
        </w:rPr>
        <w:t>）及《工业企业土壤和地下水自行监测技术指南（试行）》（H</w:t>
      </w:r>
      <w:r>
        <w:rPr>
          <w:color w:val="auto"/>
          <w:highlight w:val="none"/>
          <w:u w:val="none"/>
        </w:rPr>
        <w:t>J 1209-2021</w:t>
      </w:r>
      <w:r>
        <w:rPr>
          <w:rFonts w:hint="eastAsia"/>
          <w:color w:val="auto"/>
          <w:highlight w:val="none"/>
          <w:u w:val="none"/>
        </w:rPr>
        <w:t>）该要求。</w:t>
      </w:r>
    </w:p>
    <w:p w14:paraId="78AF4702">
      <w:pPr>
        <w:pStyle w:val="981"/>
        <w:rPr>
          <w:rFonts w:hint="eastAsia"/>
          <w:color w:val="auto"/>
          <w:highlight w:val="none"/>
          <w:u w:val="none"/>
        </w:rPr>
      </w:pPr>
      <w:r>
        <w:rPr>
          <w:rFonts w:hint="eastAsia"/>
          <w:color w:val="auto"/>
          <w:highlight w:val="none"/>
          <w:u w:val="none"/>
        </w:rPr>
        <w:t>（2）监测因子、频次、点位、深度、执行标准</w:t>
      </w:r>
    </w:p>
    <w:p w14:paraId="77441C1F">
      <w:pPr>
        <w:pStyle w:val="981"/>
        <w:rPr>
          <w:rFonts w:hint="eastAsia"/>
          <w:color w:val="auto"/>
          <w:highlight w:val="none"/>
          <w:u w:val="none"/>
        </w:rPr>
      </w:pPr>
      <w:r>
        <w:rPr>
          <w:rFonts w:hint="eastAsia"/>
          <w:color w:val="auto"/>
          <w:highlight w:val="none"/>
          <w:u w:val="none"/>
        </w:rPr>
        <w:t>土壤跟踪监测因子、频次、点位、深度、执行标准等信息见</w:t>
      </w:r>
      <w:r>
        <w:rPr>
          <w:b/>
          <w:bCs/>
          <w:color w:val="auto"/>
          <w:highlight w:val="none"/>
          <w:u w:val="none"/>
        </w:rPr>
        <w:fldChar w:fldCharType="begin"/>
      </w:r>
      <w:r>
        <w:rPr>
          <w:b/>
          <w:bCs/>
          <w:color w:val="auto"/>
          <w:highlight w:val="none"/>
          <w:u w:val="none"/>
        </w:rPr>
        <w:instrText xml:space="preserve"> </w:instrText>
      </w:r>
      <w:r>
        <w:rPr>
          <w:rFonts w:hint="eastAsia"/>
          <w:b/>
          <w:bCs/>
          <w:color w:val="auto"/>
          <w:highlight w:val="none"/>
          <w:u w:val="none"/>
        </w:rPr>
        <w:instrText xml:space="preserve">REF _Ref148089573 \h</w:instrText>
      </w:r>
      <w:r>
        <w:rPr>
          <w:b/>
          <w:bCs/>
          <w:color w:val="auto"/>
          <w:highlight w:val="none"/>
          <w:u w:val="none"/>
        </w:rPr>
        <w:instrText xml:space="preserve">  \* MERGEFORMAT </w:instrText>
      </w:r>
      <w:r>
        <w:rPr>
          <w:b/>
          <w:bCs/>
          <w:color w:val="auto"/>
          <w:highlight w:val="none"/>
          <w:u w:val="none"/>
        </w:rPr>
        <w:fldChar w:fldCharType="separate"/>
      </w:r>
      <w:r>
        <w:rPr>
          <w:rStyle w:val="87"/>
          <w:b w:val="0"/>
          <w:bCs/>
          <w:color w:val="auto"/>
          <w:highlight w:val="none"/>
          <w:u w:val="none"/>
        </w:rPr>
        <w:t xml:space="preserve">表 </w:t>
      </w:r>
      <w:r>
        <w:rPr>
          <w:rStyle w:val="87"/>
          <w:b w:val="0"/>
          <w:bCs/>
          <w:color w:val="auto"/>
          <w:highlight w:val="none"/>
          <w:u w:val="none"/>
        </w:rPr>
        <w:fldChar w:fldCharType="begin"/>
      </w:r>
      <w:r>
        <w:rPr>
          <w:rStyle w:val="87"/>
          <w:b w:val="0"/>
          <w:bCs/>
          <w:color w:val="auto"/>
          <w:highlight w:val="none"/>
          <w:u w:val="none"/>
        </w:rPr>
        <w:instrText xml:space="preserve"> STYLEREF</w:instrText>
      </w:r>
      <w:r>
        <w:rPr>
          <w:color w:val="auto"/>
          <w:highlight w:val="none"/>
          <w:u w:val="none"/>
        </w:rPr>
        <w:instrText xml:space="preserve"> 2 \s </w:instrText>
      </w:r>
      <w:r>
        <w:rPr>
          <w:color w:val="auto"/>
          <w:highlight w:val="none"/>
          <w:u w:val="none"/>
        </w:rPr>
        <w:fldChar w:fldCharType="separate"/>
      </w:r>
      <w:r>
        <w:rPr>
          <w:color w:val="auto"/>
          <w:highlight w:val="none"/>
          <w:u w:val="none"/>
        </w:rPr>
        <w:t>8.6</w:t>
      </w:r>
      <w:r>
        <w:rPr>
          <w:color w:val="auto"/>
          <w:highlight w:val="none"/>
          <w:u w:val="none"/>
        </w:rPr>
        <w:fldChar w:fldCharType="end"/>
      </w:r>
      <w:r>
        <w:rPr>
          <w:color w:val="auto"/>
          <w:highlight w:val="none"/>
          <w:u w:val="none"/>
        </w:rPr>
        <w:noBreakHyphen/>
      </w:r>
      <w:r>
        <w:rPr>
          <w:color w:val="auto"/>
          <w:highlight w:val="none"/>
          <w:u w:val="none"/>
        </w:rPr>
        <w:t>12</w:t>
      </w:r>
      <w:r>
        <w:rPr>
          <w:b/>
          <w:bCs/>
          <w:color w:val="auto"/>
          <w:highlight w:val="none"/>
          <w:u w:val="none"/>
        </w:rPr>
        <w:fldChar w:fldCharType="end"/>
      </w:r>
      <w:r>
        <w:rPr>
          <w:rFonts w:hint="eastAsia"/>
          <w:color w:val="auto"/>
          <w:highlight w:val="none"/>
          <w:u w:val="none"/>
        </w:rPr>
        <w:t>及</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_Ref148089884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图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8.6</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0AF7CFF8">
      <w:pPr>
        <w:pStyle w:val="86"/>
        <w:rPr>
          <w:rFonts w:hint="eastAsia"/>
          <w:color w:val="auto"/>
          <w:highlight w:val="none"/>
          <w:u w:val="none"/>
        </w:rPr>
      </w:pPr>
      <w:bookmarkStart w:id="553" w:name="_Ref148089573"/>
      <w:r>
        <w:rPr>
          <w:rStyle w:val="87"/>
          <w:b/>
          <w:bCs/>
          <w:color w:val="auto"/>
          <w:highlight w:val="none"/>
          <w:u w:val="none"/>
        </w:rPr>
        <w:t xml:space="preserve">表 </w:t>
      </w:r>
      <w:r>
        <w:rPr>
          <w:rStyle w:val="87"/>
          <w:b/>
          <w:bCs/>
          <w:color w:val="auto"/>
          <w:highlight w:val="none"/>
          <w:u w:val="none"/>
        </w:rPr>
        <w:fldChar w:fldCharType="begin"/>
      </w:r>
      <w:r>
        <w:rPr>
          <w:rStyle w:val="87"/>
          <w:b/>
          <w:bCs/>
          <w:color w:val="auto"/>
          <w:highlight w:val="none"/>
          <w:u w:val="none"/>
        </w:rPr>
        <w:instrText xml:space="preserve"> STYLEREF 2 \s </w:instrText>
      </w:r>
      <w:r>
        <w:rPr>
          <w:rStyle w:val="87"/>
          <w:b/>
          <w:bCs/>
          <w:color w:val="auto"/>
          <w:highlight w:val="none"/>
          <w:u w:val="none"/>
        </w:rPr>
        <w:fldChar w:fldCharType="separate"/>
      </w:r>
      <w:r>
        <w:rPr>
          <w:rStyle w:val="87"/>
          <w:b/>
          <w:bCs/>
          <w:color w:val="auto"/>
          <w:highlight w:val="none"/>
          <w:u w:val="none"/>
        </w:rPr>
        <w:t>8.6</w:t>
      </w:r>
      <w:r>
        <w:rPr>
          <w:rStyle w:val="87"/>
          <w:b/>
          <w:bCs/>
          <w:color w:val="auto"/>
          <w:highlight w:val="none"/>
          <w:u w:val="none"/>
        </w:rPr>
        <w:fldChar w:fldCharType="end"/>
      </w:r>
      <w:r>
        <w:rPr>
          <w:rStyle w:val="87"/>
          <w:b/>
          <w:bCs/>
          <w:color w:val="auto"/>
          <w:highlight w:val="none"/>
          <w:u w:val="none"/>
        </w:rPr>
        <w:noBreakHyphen/>
      </w:r>
      <w:r>
        <w:rPr>
          <w:rStyle w:val="87"/>
          <w:b/>
          <w:bCs/>
          <w:color w:val="auto"/>
          <w:highlight w:val="none"/>
          <w:u w:val="none"/>
        </w:rPr>
        <w:fldChar w:fldCharType="begin"/>
      </w:r>
      <w:r>
        <w:rPr>
          <w:rStyle w:val="87"/>
          <w:b/>
          <w:bCs/>
          <w:color w:val="auto"/>
          <w:highlight w:val="none"/>
          <w:u w:val="none"/>
        </w:rPr>
        <w:instrText xml:space="preserve"> SEQ 表 \* ARABIC \s 2 </w:instrText>
      </w:r>
      <w:r>
        <w:rPr>
          <w:rStyle w:val="87"/>
          <w:b/>
          <w:bCs/>
          <w:color w:val="auto"/>
          <w:highlight w:val="none"/>
          <w:u w:val="none"/>
        </w:rPr>
        <w:fldChar w:fldCharType="separate"/>
      </w:r>
      <w:r>
        <w:rPr>
          <w:rStyle w:val="87"/>
          <w:b/>
          <w:bCs/>
          <w:color w:val="auto"/>
          <w:highlight w:val="none"/>
          <w:u w:val="none"/>
        </w:rPr>
        <w:t>12</w:t>
      </w:r>
      <w:r>
        <w:rPr>
          <w:rStyle w:val="87"/>
          <w:b/>
          <w:bCs/>
          <w:color w:val="auto"/>
          <w:highlight w:val="none"/>
          <w:u w:val="none"/>
        </w:rPr>
        <w:fldChar w:fldCharType="end"/>
      </w:r>
      <w:bookmarkEnd w:id="553"/>
      <w:r>
        <w:rPr>
          <w:rStyle w:val="87"/>
          <w:b w:val="0"/>
          <w:color w:val="auto"/>
          <w:highlight w:val="none"/>
          <w:u w:val="none"/>
        </w:rPr>
        <w:t xml:space="preserve">  </w:t>
      </w:r>
      <w:r>
        <w:rPr>
          <w:color w:val="auto"/>
          <w:highlight w:val="none"/>
          <w:u w:val="none"/>
        </w:rPr>
        <w:t>土壤跟踪监测点位表</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909"/>
        <w:gridCol w:w="1554"/>
        <w:gridCol w:w="2739"/>
        <w:gridCol w:w="1986"/>
      </w:tblGrid>
      <w:tr w14:paraId="69D16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1" w:type="pct"/>
            <w:vAlign w:val="center"/>
          </w:tcPr>
          <w:p w14:paraId="5FF21690">
            <w:pPr>
              <w:pStyle w:val="1001"/>
              <w:ind w:firstLine="400"/>
              <w:rPr>
                <w:color w:val="auto"/>
                <w:highlight w:val="none"/>
                <w:u w:val="none"/>
              </w:rPr>
            </w:pPr>
            <w:r>
              <w:rPr>
                <w:rFonts w:hint="eastAsia"/>
                <w:color w:val="auto"/>
                <w:highlight w:val="none"/>
                <w:u w:val="none"/>
              </w:rPr>
              <w:t>序号</w:t>
            </w:r>
          </w:p>
        </w:tc>
        <w:tc>
          <w:tcPr>
            <w:tcW w:w="1028" w:type="pct"/>
            <w:vAlign w:val="center"/>
          </w:tcPr>
          <w:p w14:paraId="6558785D">
            <w:pPr>
              <w:pStyle w:val="1001"/>
              <w:rPr>
                <w:color w:val="auto"/>
                <w:highlight w:val="none"/>
                <w:u w:val="none"/>
              </w:rPr>
            </w:pPr>
            <w:r>
              <w:rPr>
                <w:rFonts w:hint="eastAsia"/>
                <w:color w:val="auto"/>
                <w:highlight w:val="none"/>
                <w:u w:val="none"/>
              </w:rPr>
              <w:t>监测点位</w:t>
            </w:r>
          </w:p>
        </w:tc>
        <w:tc>
          <w:tcPr>
            <w:tcW w:w="837" w:type="pct"/>
            <w:vAlign w:val="center"/>
          </w:tcPr>
          <w:p w14:paraId="0E0E70C3">
            <w:pPr>
              <w:pStyle w:val="1001"/>
              <w:rPr>
                <w:color w:val="auto"/>
                <w:highlight w:val="none"/>
                <w:u w:val="none"/>
              </w:rPr>
            </w:pPr>
            <w:r>
              <w:rPr>
                <w:rFonts w:hint="eastAsia"/>
                <w:color w:val="auto"/>
                <w:highlight w:val="none"/>
                <w:u w:val="none"/>
              </w:rPr>
              <w:t>深度</w:t>
            </w:r>
          </w:p>
        </w:tc>
        <w:tc>
          <w:tcPr>
            <w:tcW w:w="1475" w:type="pct"/>
            <w:vAlign w:val="center"/>
          </w:tcPr>
          <w:p w14:paraId="5B08AEAC">
            <w:pPr>
              <w:pStyle w:val="1001"/>
              <w:rPr>
                <w:color w:val="auto"/>
                <w:highlight w:val="none"/>
                <w:u w:val="none"/>
              </w:rPr>
            </w:pPr>
            <w:r>
              <w:rPr>
                <w:rFonts w:hint="eastAsia"/>
                <w:color w:val="auto"/>
                <w:highlight w:val="none"/>
                <w:u w:val="none"/>
              </w:rPr>
              <w:t>检测因子</w:t>
            </w:r>
          </w:p>
        </w:tc>
        <w:tc>
          <w:tcPr>
            <w:tcW w:w="1069" w:type="pct"/>
            <w:vAlign w:val="center"/>
          </w:tcPr>
          <w:p w14:paraId="7721E169">
            <w:pPr>
              <w:pStyle w:val="1001"/>
              <w:rPr>
                <w:color w:val="auto"/>
                <w:highlight w:val="none"/>
                <w:u w:val="none"/>
              </w:rPr>
            </w:pPr>
            <w:r>
              <w:rPr>
                <w:rFonts w:hint="eastAsia"/>
                <w:color w:val="auto"/>
                <w:highlight w:val="none"/>
                <w:u w:val="none"/>
              </w:rPr>
              <w:t>监测频次</w:t>
            </w:r>
          </w:p>
        </w:tc>
      </w:tr>
      <w:tr w14:paraId="02E1F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1" w:type="pct"/>
            <w:vAlign w:val="center"/>
          </w:tcPr>
          <w:p w14:paraId="22435303">
            <w:pPr>
              <w:pStyle w:val="1001"/>
              <w:rPr>
                <w:color w:val="auto"/>
                <w:highlight w:val="none"/>
                <w:u w:val="none"/>
              </w:rPr>
            </w:pPr>
            <w:r>
              <w:rPr>
                <w:rFonts w:hint="eastAsia"/>
                <w:color w:val="auto"/>
                <w:highlight w:val="none"/>
                <w:u w:val="none"/>
              </w:rPr>
              <w:t>1</w:t>
            </w:r>
            <w:r>
              <w:rPr>
                <w:color w:val="auto"/>
                <w:highlight w:val="none"/>
                <w:u w:val="none"/>
              </w:rPr>
              <w:t>#</w:t>
            </w:r>
          </w:p>
        </w:tc>
        <w:tc>
          <w:tcPr>
            <w:tcW w:w="1028" w:type="pct"/>
            <w:vAlign w:val="center"/>
          </w:tcPr>
          <w:p w14:paraId="0BD460FA">
            <w:pPr>
              <w:pStyle w:val="1001"/>
              <w:rPr>
                <w:color w:val="auto"/>
                <w:highlight w:val="none"/>
                <w:u w:val="none"/>
              </w:rPr>
            </w:pPr>
            <w:r>
              <w:rPr>
                <w:rFonts w:hint="eastAsia"/>
                <w:color w:val="auto"/>
                <w:highlight w:val="none"/>
                <w:u w:val="none"/>
              </w:rPr>
              <w:t>硝化单元（废水处理）</w:t>
            </w:r>
          </w:p>
        </w:tc>
        <w:tc>
          <w:tcPr>
            <w:tcW w:w="837" w:type="pct"/>
            <w:vAlign w:val="center"/>
          </w:tcPr>
          <w:p w14:paraId="6D9903DA">
            <w:pPr>
              <w:pStyle w:val="1001"/>
              <w:rPr>
                <w:color w:val="auto"/>
                <w:highlight w:val="none"/>
                <w:u w:val="none"/>
              </w:rPr>
            </w:pPr>
            <w:r>
              <w:rPr>
                <w:color w:val="auto"/>
                <w:highlight w:val="none"/>
                <w:u w:val="none"/>
              </w:rPr>
              <w:t>0</w:t>
            </w:r>
            <w:r>
              <w:rPr>
                <w:rFonts w:hint="eastAsia"/>
                <w:color w:val="auto"/>
                <w:highlight w:val="none"/>
                <w:u w:val="none"/>
              </w:rPr>
              <w:t>~</w:t>
            </w:r>
            <w:r>
              <w:rPr>
                <w:color w:val="auto"/>
                <w:highlight w:val="none"/>
                <w:u w:val="none"/>
              </w:rPr>
              <w:t>0.5</w:t>
            </w:r>
            <w:r>
              <w:rPr>
                <w:rFonts w:hint="eastAsia"/>
                <w:color w:val="auto"/>
                <w:highlight w:val="none"/>
                <w:u w:val="none"/>
              </w:rPr>
              <w:t>m、0</w:t>
            </w:r>
            <w:r>
              <w:rPr>
                <w:color w:val="auto"/>
                <w:highlight w:val="none"/>
                <w:u w:val="none"/>
              </w:rPr>
              <w:t>.5</w:t>
            </w:r>
            <w:r>
              <w:rPr>
                <w:rFonts w:hint="eastAsia"/>
                <w:color w:val="auto"/>
                <w:highlight w:val="none"/>
                <w:u w:val="none"/>
              </w:rPr>
              <w:t>~</w:t>
            </w:r>
            <w:r>
              <w:rPr>
                <w:color w:val="auto"/>
                <w:highlight w:val="none"/>
                <w:u w:val="none"/>
              </w:rPr>
              <w:t>1.5</w:t>
            </w:r>
            <w:r>
              <w:rPr>
                <w:rFonts w:hint="eastAsia"/>
                <w:color w:val="auto"/>
                <w:highlight w:val="none"/>
                <w:u w:val="none"/>
              </w:rPr>
              <w:t>m、</w:t>
            </w:r>
            <w:r>
              <w:rPr>
                <w:color w:val="auto"/>
                <w:highlight w:val="none"/>
                <w:u w:val="none"/>
              </w:rPr>
              <w:t>1.5</w:t>
            </w:r>
            <w:r>
              <w:rPr>
                <w:rFonts w:hint="eastAsia"/>
                <w:color w:val="auto"/>
                <w:highlight w:val="none"/>
                <w:u w:val="none"/>
              </w:rPr>
              <w:t>~</w:t>
            </w:r>
            <w:r>
              <w:rPr>
                <w:color w:val="auto"/>
                <w:highlight w:val="none"/>
                <w:u w:val="none"/>
              </w:rPr>
              <w:t>3</w:t>
            </w:r>
            <w:r>
              <w:rPr>
                <w:rFonts w:hint="eastAsia"/>
                <w:color w:val="auto"/>
                <w:highlight w:val="none"/>
                <w:u w:val="none"/>
              </w:rPr>
              <w:t>m</w:t>
            </w:r>
          </w:p>
        </w:tc>
        <w:tc>
          <w:tcPr>
            <w:tcW w:w="1475" w:type="pct"/>
            <w:vMerge w:val="restart"/>
            <w:vAlign w:val="center"/>
          </w:tcPr>
          <w:p w14:paraId="2235A268">
            <w:pPr>
              <w:pStyle w:val="1001"/>
              <w:rPr>
                <w:color w:val="auto"/>
                <w:highlight w:val="none"/>
                <w:u w:val="none"/>
              </w:rPr>
            </w:pPr>
            <w:r>
              <w:rPr>
                <w:rFonts w:hint="eastAsia"/>
                <w:color w:val="auto"/>
                <w:highlight w:val="none"/>
                <w:u w:val="none"/>
              </w:rPr>
              <w:t>首次监测：G</w:t>
            </w:r>
            <w:r>
              <w:rPr>
                <w:color w:val="auto"/>
                <w:highlight w:val="none"/>
                <w:u w:val="none"/>
              </w:rPr>
              <w:t>B36600 表</w:t>
            </w:r>
            <w:r>
              <w:rPr>
                <w:rFonts w:hint="eastAsia"/>
                <w:color w:val="auto"/>
                <w:highlight w:val="none"/>
                <w:u w:val="none"/>
              </w:rPr>
              <w:t>1基本项目</w:t>
            </w:r>
            <w:r>
              <w:rPr>
                <w:color w:val="auto"/>
                <w:highlight w:val="none"/>
                <w:u w:val="none"/>
              </w:rPr>
              <w:t>、2,4-二硝基甲苯、石油烃</w:t>
            </w:r>
          </w:p>
          <w:p w14:paraId="7EA42BF2">
            <w:pPr>
              <w:pStyle w:val="1001"/>
              <w:rPr>
                <w:color w:val="auto"/>
                <w:highlight w:val="none"/>
                <w:u w:val="none"/>
              </w:rPr>
            </w:pPr>
            <w:r>
              <w:rPr>
                <w:rFonts w:hint="eastAsia"/>
                <w:color w:val="auto"/>
                <w:highlight w:val="none"/>
                <w:u w:val="none"/>
              </w:rPr>
              <w:t>后续监测：硝基苯、苯胺、甲苯、邻二氯苯、</w:t>
            </w:r>
            <w:r>
              <w:rPr>
                <w:color w:val="auto"/>
                <w:highlight w:val="none"/>
                <w:u w:val="none"/>
              </w:rPr>
              <w:t>2,4-二硝基甲苯、石油烃。</w:t>
            </w:r>
            <w:r>
              <w:rPr>
                <w:rFonts w:hint="eastAsia"/>
                <w:color w:val="auto"/>
                <w:highlight w:val="none"/>
                <w:u w:val="none"/>
              </w:rPr>
              <w:t>前期监测中曾超标的污染物。</w:t>
            </w:r>
          </w:p>
        </w:tc>
        <w:tc>
          <w:tcPr>
            <w:tcW w:w="1069" w:type="pct"/>
            <w:vMerge w:val="restart"/>
            <w:vAlign w:val="center"/>
          </w:tcPr>
          <w:p w14:paraId="7B36DDA5">
            <w:pPr>
              <w:pStyle w:val="1001"/>
              <w:rPr>
                <w:color w:val="auto"/>
                <w:highlight w:val="none"/>
                <w:u w:val="none"/>
              </w:rPr>
            </w:pPr>
            <w:r>
              <w:rPr>
                <w:rFonts w:hint="eastAsia"/>
                <w:color w:val="auto"/>
                <w:highlight w:val="none"/>
                <w:u w:val="none"/>
              </w:rPr>
              <w:t>表层土壤（0</w:t>
            </w:r>
            <w:r>
              <w:rPr>
                <w:color w:val="auto"/>
                <w:highlight w:val="none"/>
                <w:u w:val="none"/>
              </w:rPr>
              <w:t>~0.</w:t>
            </w:r>
            <w:r>
              <w:rPr>
                <w:rFonts w:hint="eastAsia"/>
                <w:color w:val="auto"/>
                <w:highlight w:val="none"/>
                <w:u w:val="none"/>
              </w:rPr>
              <w:t>2</w:t>
            </w:r>
            <w:r>
              <w:rPr>
                <w:color w:val="auto"/>
                <w:highlight w:val="none"/>
                <w:u w:val="none"/>
              </w:rPr>
              <w:t>m</w:t>
            </w:r>
            <w:r>
              <w:rPr>
                <w:rFonts w:hint="eastAsia"/>
                <w:color w:val="auto"/>
                <w:highlight w:val="none"/>
                <w:u w:val="none"/>
              </w:rPr>
              <w:t>）每年检测1</w:t>
            </w:r>
            <w:r>
              <w:rPr>
                <w:color w:val="auto"/>
                <w:highlight w:val="none"/>
                <w:u w:val="none"/>
              </w:rPr>
              <w:t>次；深层土壤每三年监测</w:t>
            </w:r>
            <w:r>
              <w:rPr>
                <w:rFonts w:hint="eastAsia"/>
                <w:color w:val="auto"/>
                <w:highlight w:val="none"/>
                <w:u w:val="none"/>
              </w:rPr>
              <w:t>1</w:t>
            </w:r>
            <w:r>
              <w:rPr>
                <w:color w:val="auto"/>
                <w:highlight w:val="none"/>
                <w:u w:val="none"/>
              </w:rPr>
              <w:t>次</w:t>
            </w:r>
            <w:r>
              <w:rPr>
                <w:rFonts w:hint="eastAsia"/>
                <w:color w:val="auto"/>
                <w:highlight w:val="none"/>
                <w:u w:val="none"/>
              </w:rPr>
              <w:t>。当发生事故时，应加密监测。</w:t>
            </w:r>
          </w:p>
        </w:tc>
      </w:tr>
      <w:tr w14:paraId="0E22B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1" w:type="pct"/>
            <w:vAlign w:val="center"/>
          </w:tcPr>
          <w:p w14:paraId="30ED933A">
            <w:pPr>
              <w:pStyle w:val="1001"/>
              <w:rPr>
                <w:color w:val="auto"/>
                <w:highlight w:val="none"/>
                <w:u w:val="none"/>
              </w:rPr>
            </w:pPr>
            <w:r>
              <w:rPr>
                <w:rFonts w:hint="eastAsia"/>
                <w:color w:val="auto"/>
                <w:highlight w:val="none"/>
                <w:u w:val="none"/>
              </w:rPr>
              <w:t>2</w:t>
            </w:r>
            <w:r>
              <w:rPr>
                <w:color w:val="auto"/>
                <w:highlight w:val="none"/>
                <w:u w:val="none"/>
              </w:rPr>
              <w:t>#</w:t>
            </w:r>
          </w:p>
        </w:tc>
        <w:tc>
          <w:tcPr>
            <w:tcW w:w="1028" w:type="pct"/>
            <w:vAlign w:val="center"/>
          </w:tcPr>
          <w:p w14:paraId="2535F00A">
            <w:pPr>
              <w:pStyle w:val="1001"/>
              <w:rPr>
                <w:color w:val="auto"/>
                <w:highlight w:val="none"/>
                <w:u w:val="none"/>
              </w:rPr>
            </w:pPr>
            <w:r>
              <w:rPr>
                <w:rFonts w:hint="eastAsia"/>
                <w:color w:val="auto"/>
                <w:highlight w:val="none"/>
                <w:u w:val="none"/>
              </w:rPr>
              <w:t>氢化单元</w:t>
            </w:r>
          </w:p>
        </w:tc>
        <w:tc>
          <w:tcPr>
            <w:tcW w:w="1554" w:type="dxa"/>
            <w:vAlign w:val="center"/>
          </w:tcPr>
          <w:p w14:paraId="2146838E">
            <w:pPr>
              <w:pStyle w:val="1001"/>
              <w:rPr>
                <w:color w:val="auto"/>
                <w:highlight w:val="none"/>
                <w:u w:val="none"/>
              </w:rPr>
            </w:pPr>
            <w:r>
              <w:rPr>
                <w:color w:val="auto"/>
                <w:highlight w:val="none"/>
                <w:u w:val="none"/>
              </w:rPr>
              <w:t>0</w:t>
            </w:r>
            <w:r>
              <w:rPr>
                <w:rFonts w:hint="eastAsia"/>
                <w:color w:val="auto"/>
                <w:highlight w:val="none"/>
                <w:u w:val="none"/>
              </w:rPr>
              <w:t>~</w:t>
            </w:r>
            <w:r>
              <w:rPr>
                <w:color w:val="auto"/>
                <w:highlight w:val="none"/>
                <w:u w:val="none"/>
              </w:rPr>
              <w:t>0.2</w:t>
            </w:r>
            <w:r>
              <w:rPr>
                <w:rFonts w:hint="eastAsia"/>
                <w:color w:val="auto"/>
                <w:highlight w:val="none"/>
                <w:u w:val="none"/>
              </w:rPr>
              <w:t>m</w:t>
            </w:r>
          </w:p>
        </w:tc>
        <w:tc>
          <w:tcPr>
            <w:tcW w:w="1475" w:type="pct"/>
            <w:vMerge w:val="continue"/>
            <w:vAlign w:val="center"/>
          </w:tcPr>
          <w:p w14:paraId="2931A2D9">
            <w:pPr>
              <w:pStyle w:val="1001"/>
              <w:rPr>
                <w:color w:val="auto"/>
                <w:highlight w:val="none"/>
                <w:u w:val="none"/>
              </w:rPr>
            </w:pPr>
          </w:p>
        </w:tc>
        <w:tc>
          <w:tcPr>
            <w:tcW w:w="1069" w:type="pct"/>
            <w:vMerge w:val="continue"/>
            <w:vAlign w:val="center"/>
          </w:tcPr>
          <w:p w14:paraId="70412483">
            <w:pPr>
              <w:pStyle w:val="1001"/>
              <w:rPr>
                <w:color w:val="auto"/>
                <w:highlight w:val="none"/>
                <w:u w:val="none"/>
              </w:rPr>
            </w:pPr>
          </w:p>
        </w:tc>
      </w:tr>
      <w:tr w14:paraId="7AB47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1" w:type="pct"/>
            <w:vAlign w:val="center"/>
          </w:tcPr>
          <w:p w14:paraId="6437C368">
            <w:pPr>
              <w:pStyle w:val="1001"/>
              <w:rPr>
                <w:color w:val="auto"/>
                <w:highlight w:val="none"/>
                <w:u w:val="none"/>
              </w:rPr>
            </w:pPr>
            <w:r>
              <w:rPr>
                <w:rFonts w:hint="eastAsia"/>
                <w:color w:val="auto"/>
                <w:highlight w:val="none"/>
                <w:u w:val="none"/>
              </w:rPr>
              <w:t>3#</w:t>
            </w:r>
          </w:p>
        </w:tc>
        <w:tc>
          <w:tcPr>
            <w:tcW w:w="1028" w:type="pct"/>
            <w:vAlign w:val="center"/>
          </w:tcPr>
          <w:p w14:paraId="4A505049">
            <w:pPr>
              <w:pStyle w:val="1001"/>
              <w:rPr>
                <w:color w:val="auto"/>
                <w:highlight w:val="none"/>
                <w:u w:val="none"/>
              </w:rPr>
            </w:pPr>
            <w:r>
              <w:rPr>
                <w:rFonts w:hint="eastAsia"/>
                <w:color w:val="auto"/>
                <w:highlight w:val="none"/>
                <w:u w:val="none"/>
              </w:rPr>
              <w:t>光化单元</w:t>
            </w:r>
          </w:p>
        </w:tc>
        <w:tc>
          <w:tcPr>
            <w:tcW w:w="1554" w:type="dxa"/>
            <w:vAlign w:val="center"/>
          </w:tcPr>
          <w:p w14:paraId="0624E2C1">
            <w:pPr>
              <w:pStyle w:val="1001"/>
              <w:rPr>
                <w:color w:val="auto"/>
                <w:highlight w:val="none"/>
                <w:u w:val="none"/>
              </w:rPr>
            </w:pPr>
            <w:r>
              <w:rPr>
                <w:color w:val="auto"/>
                <w:highlight w:val="none"/>
                <w:u w:val="none"/>
              </w:rPr>
              <w:t>0</w:t>
            </w:r>
            <w:r>
              <w:rPr>
                <w:rFonts w:hint="eastAsia"/>
                <w:color w:val="auto"/>
                <w:highlight w:val="none"/>
                <w:u w:val="none"/>
              </w:rPr>
              <w:t>~</w:t>
            </w:r>
            <w:r>
              <w:rPr>
                <w:color w:val="auto"/>
                <w:highlight w:val="none"/>
                <w:u w:val="none"/>
              </w:rPr>
              <w:t>0.2</w:t>
            </w:r>
            <w:r>
              <w:rPr>
                <w:rFonts w:hint="eastAsia"/>
                <w:color w:val="auto"/>
                <w:highlight w:val="none"/>
                <w:u w:val="none"/>
              </w:rPr>
              <w:t>m</w:t>
            </w:r>
          </w:p>
        </w:tc>
        <w:tc>
          <w:tcPr>
            <w:tcW w:w="1475" w:type="pct"/>
            <w:vMerge w:val="continue"/>
            <w:vAlign w:val="center"/>
          </w:tcPr>
          <w:p w14:paraId="501BBE9C">
            <w:pPr>
              <w:pStyle w:val="1001"/>
              <w:rPr>
                <w:color w:val="auto"/>
                <w:highlight w:val="none"/>
                <w:u w:val="none"/>
              </w:rPr>
            </w:pPr>
          </w:p>
        </w:tc>
        <w:tc>
          <w:tcPr>
            <w:tcW w:w="1069" w:type="pct"/>
            <w:vMerge w:val="continue"/>
            <w:vAlign w:val="center"/>
          </w:tcPr>
          <w:p w14:paraId="536C3EDD">
            <w:pPr>
              <w:pStyle w:val="1001"/>
              <w:rPr>
                <w:color w:val="auto"/>
                <w:highlight w:val="none"/>
                <w:u w:val="none"/>
              </w:rPr>
            </w:pPr>
          </w:p>
        </w:tc>
      </w:tr>
      <w:tr w14:paraId="6CCE3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1" w:type="pct"/>
            <w:vAlign w:val="center"/>
          </w:tcPr>
          <w:p w14:paraId="7823D122">
            <w:pPr>
              <w:pStyle w:val="1001"/>
              <w:rPr>
                <w:color w:val="auto"/>
                <w:highlight w:val="none"/>
                <w:u w:val="none"/>
              </w:rPr>
            </w:pPr>
            <w:r>
              <w:rPr>
                <w:rFonts w:hint="eastAsia"/>
                <w:color w:val="auto"/>
                <w:highlight w:val="none"/>
                <w:u w:val="none"/>
              </w:rPr>
              <w:t>4#</w:t>
            </w:r>
          </w:p>
        </w:tc>
        <w:tc>
          <w:tcPr>
            <w:tcW w:w="1028" w:type="pct"/>
            <w:vAlign w:val="center"/>
          </w:tcPr>
          <w:p w14:paraId="111AF1C7">
            <w:pPr>
              <w:pStyle w:val="1001"/>
              <w:rPr>
                <w:color w:val="auto"/>
                <w:highlight w:val="none"/>
                <w:u w:val="none"/>
              </w:rPr>
            </w:pPr>
            <w:r>
              <w:rPr>
                <w:rFonts w:hint="eastAsia"/>
                <w:color w:val="auto"/>
                <w:highlight w:val="none"/>
                <w:u w:val="none"/>
              </w:rPr>
              <w:t>TDI中间罐组</w:t>
            </w:r>
          </w:p>
        </w:tc>
        <w:tc>
          <w:tcPr>
            <w:tcW w:w="1554" w:type="dxa"/>
            <w:vAlign w:val="center"/>
          </w:tcPr>
          <w:p w14:paraId="51BA0C79">
            <w:pPr>
              <w:pStyle w:val="1001"/>
              <w:rPr>
                <w:color w:val="auto"/>
                <w:highlight w:val="none"/>
                <w:u w:val="none"/>
              </w:rPr>
            </w:pPr>
            <w:r>
              <w:rPr>
                <w:color w:val="auto"/>
                <w:highlight w:val="none"/>
                <w:u w:val="none"/>
              </w:rPr>
              <w:t>0</w:t>
            </w:r>
            <w:r>
              <w:rPr>
                <w:rFonts w:hint="eastAsia"/>
                <w:color w:val="auto"/>
                <w:highlight w:val="none"/>
                <w:u w:val="none"/>
              </w:rPr>
              <w:t>~</w:t>
            </w:r>
            <w:r>
              <w:rPr>
                <w:color w:val="auto"/>
                <w:highlight w:val="none"/>
                <w:u w:val="none"/>
              </w:rPr>
              <w:t>0.2</w:t>
            </w:r>
            <w:r>
              <w:rPr>
                <w:rFonts w:hint="eastAsia"/>
                <w:color w:val="auto"/>
                <w:highlight w:val="none"/>
                <w:u w:val="none"/>
              </w:rPr>
              <w:t>m</w:t>
            </w:r>
            <w:r>
              <w:rPr>
                <w:color w:val="auto"/>
                <w:highlight w:val="none"/>
                <w:u w:val="none"/>
              </w:rPr>
              <w:t xml:space="preserve"> </w:t>
            </w:r>
          </w:p>
        </w:tc>
        <w:tc>
          <w:tcPr>
            <w:tcW w:w="1475" w:type="pct"/>
            <w:vMerge w:val="continue"/>
            <w:vAlign w:val="center"/>
          </w:tcPr>
          <w:p w14:paraId="697D6C19">
            <w:pPr>
              <w:pStyle w:val="1001"/>
              <w:rPr>
                <w:color w:val="auto"/>
                <w:highlight w:val="none"/>
                <w:u w:val="none"/>
              </w:rPr>
            </w:pPr>
          </w:p>
        </w:tc>
        <w:tc>
          <w:tcPr>
            <w:tcW w:w="1069" w:type="pct"/>
            <w:vMerge w:val="continue"/>
            <w:vAlign w:val="center"/>
          </w:tcPr>
          <w:p w14:paraId="0BA8FBBD">
            <w:pPr>
              <w:pStyle w:val="1001"/>
              <w:rPr>
                <w:color w:val="auto"/>
                <w:highlight w:val="none"/>
                <w:u w:val="none"/>
              </w:rPr>
            </w:pPr>
          </w:p>
        </w:tc>
      </w:tr>
      <w:tr w14:paraId="31C00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D243989">
            <w:pPr>
              <w:pStyle w:val="1001"/>
              <w:rPr>
                <w:color w:val="auto"/>
                <w:highlight w:val="none"/>
                <w:u w:val="none"/>
              </w:rPr>
            </w:pPr>
            <w:r>
              <w:rPr>
                <w:rFonts w:hint="eastAsia"/>
                <w:color w:val="auto"/>
                <w:highlight w:val="none"/>
                <w:u w:val="none"/>
              </w:rPr>
              <w:t>执行标准：《土壤环境质量</w:t>
            </w:r>
            <w:r>
              <w:rPr>
                <w:color w:val="auto"/>
                <w:highlight w:val="none"/>
                <w:u w:val="none"/>
              </w:rPr>
              <w:t xml:space="preserve"> 建设用地土壤污染风险管控标准(试行)》（GB 36600-2018）中表1第二类用地筛选值。</w:t>
            </w:r>
          </w:p>
        </w:tc>
      </w:tr>
    </w:tbl>
    <w:p w14:paraId="12D7364E">
      <w:pPr>
        <w:pStyle w:val="7"/>
        <w:spacing w:before="156"/>
        <w:rPr>
          <w:color w:val="auto"/>
          <w:highlight w:val="none"/>
          <w:u w:val="none"/>
        </w:rPr>
      </w:pPr>
      <w:r>
        <w:rPr>
          <w:rFonts w:hint="eastAsia"/>
          <w:color w:val="auto"/>
          <w:highlight w:val="none"/>
          <w:u w:val="none"/>
        </w:rPr>
        <w:t>信息公开及应急响应</w:t>
      </w:r>
    </w:p>
    <w:p w14:paraId="654B0B07">
      <w:pPr>
        <w:rPr>
          <w:rFonts w:hint="eastAsia"/>
          <w:color w:val="auto"/>
          <w:highlight w:val="none"/>
          <w:u w:val="none"/>
        </w:rPr>
      </w:pPr>
      <w:r>
        <w:rPr>
          <w:rFonts w:hint="eastAsia"/>
          <w:color w:val="auto"/>
          <w:highlight w:val="none"/>
          <w:u w:val="none"/>
        </w:rPr>
        <w:t>企业应制定信息公开计划，公开内容应至少包括建设项目特征因子的土壤环境监测值。</w:t>
      </w:r>
    </w:p>
    <w:p w14:paraId="0AF2EA55">
      <w:pPr>
        <w:pStyle w:val="6"/>
        <w:spacing w:before="156" w:after="156"/>
        <w:rPr>
          <w:color w:val="auto"/>
          <w:highlight w:val="none"/>
          <w:u w:val="none"/>
          <w:lang w:val="en-US"/>
        </w:rPr>
      </w:pPr>
      <w:bookmarkStart w:id="554" w:name="_Toc148374618"/>
      <w:bookmarkStart w:id="555" w:name="_Toc148375060"/>
      <w:r>
        <w:rPr>
          <w:rFonts w:hint="eastAsia"/>
          <w:color w:val="auto"/>
          <w:highlight w:val="none"/>
          <w:u w:val="none"/>
          <w:lang w:val="en-US"/>
        </w:rPr>
        <w:t>土壤环境影响评价自查一览表</w:t>
      </w:r>
      <w:bookmarkEnd w:id="554"/>
      <w:bookmarkEnd w:id="555"/>
    </w:p>
    <w:p w14:paraId="241469BD">
      <w:pPr>
        <w:pStyle w:val="5"/>
        <w:ind w:firstLine="482"/>
        <w:jc w:val="center"/>
        <w:rPr>
          <w:rFonts w:hint="eastAsia" w:ascii="黑体" w:hAnsi="黑体" w:eastAsia="黑体"/>
          <w:b/>
          <w:bCs/>
          <w:color w:val="auto"/>
          <w:highlight w:val="none"/>
          <w:u w:val="none"/>
        </w:rPr>
      </w:pPr>
      <w:r>
        <w:rPr>
          <w:rStyle w:val="87"/>
          <w:color w:val="auto"/>
          <w:highlight w:val="none"/>
          <w:u w:val="none"/>
        </w:rPr>
        <w:t xml:space="preserve">表 </w:t>
      </w:r>
      <w:r>
        <w:rPr>
          <w:rStyle w:val="87"/>
          <w:color w:val="auto"/>
          <w:highlight w:val="none"/>
          <w:u w:val="none"/>
        </w:rPr>
        <w:fldChar w:fldCharType="begin"/>
      </w:r>
      <w:r>
        <w:rPr>
          <w:rStyle w:val="87"/>
          <w:color w:val="auto"/>
          <w:highlight w:val="none"/>
          <w:u w:val="none"/>
        </w:rPr>
        <w:instrText xml:space="preserve"> STYLEREF 2 \s </w:instrText>
      </w:r>
      <w:r>
        <w:rPr>
          <w:rStyle w:val="87"/>
          <w:color w:val="auto"/>
          <w:highlight w:val="none"/>
          <w:u w:val="none"/>
        </w:rPr>
        <w:fldChar w:fldCharType="separate"/>
      </w:r>
      <w:r>
        <w:rPr>
          <w:rStyle w:val="87"/>
          <w:color w:val="auto"/>
          <w:highlight w:val="none"/>
          <w:u w:val="none"/>
        </w:rPr>
        <w:t>8.6</w:t>
      </w:r>
      <w:r>
        <w:rPr>
          <w:rStyle w:val="87"/>
          <w:color w:val="auto"/>
          <w:highlight w:val="none"/>
          <w:u w:val="none"/>
        </w:rPr>
        <w:fldChar w:fldCharType="end"/>
      </w:r>
      <w:r>
        <w:rPr>
          <w:rStyle w:val="87"/>
          <w:color w:val="auto"/>
          <w:highlight w:val="none"/>
          <w:u w:val="none"/>
        </w:rPr>
        <w:noBreakHyphen/>
      </w:r>
      <w:r>
        <w:rPr>
          <w:rStyle w:val="87"/>
          <w:color w:val="auto"/>
          <w:highlight w:val="none"/>
          <w:u w:val="none"/>
        </w:rPr>
        <w:fldChar w:fldCharType="begin"/>
      </w:r>
      <w:r>
        <w:rPr>
          <w:rStyle w:val="87"/>
          <w:color w:val="auto"/>
          <w:highlight w:val="none"/>
          <w:u w:val="none"/>
        </w:rPr>
        <w:instrText xml:space="preserve"> SEQ 表 \* ARABIC \s 2 </w:instrText>
      </w:r>
      <w:r>
        <w:rPr>
          <w:rStyle w:val="87"/>
          <w:color w:val="auto"/>
          <w:highlight w:val="none"/>
          <w:u w:val="none"/>
        </w:rPr>
        <w:fldChar w:fldCharType="separate"/>
      </w:r>
      <w:r>
        <w:rPr>
          <w:rStyle w:val="87"/>
          <w:color w:val="auto"/>
          <w:highlight w:val="none"/>
          <w:u w:val="none"/>
        </w:rPr>
        <w:t>13</w:t>
      </w:r>
      <w:r>
        <w:rPr>
          <w:rStyle w:val="87"/>
          <w:color w:val="auto"/>
          <w:highlight w:val="none"/>
          <w:u w:val="none"/>
        </w:rPr>
        <w:fldChar w:fldCharType="end"/>
      </w:r>
      <w:r>
        <w:rPr>
          <w:rStyle w:val="87"/>
          <w:color w:val="auto"/>
          <w:highlight w:val="none"/>
          <w:u w:val="none"/>
        </w:rPr>
        <w:t xml:space="preserve">  </w:t>
      </w:r>
      <w:r>
        <w:rPr>
          <w:rStyle w:val="87"/>
          <w:rFonts w:hint="eastAsia"/>
          <w:color w:val="auto"/>
          <w:highlight w:val="none"/>
          <w:u w:val="none"/>
        </w:rPr>
        <w:t>壤环境影响评价自查一览表</w:t>
      </w:r>
    </w:p>
    <w:tbl>
      <w:tblPr>
        <w:tblStyle w:val="59"/>
        <w:tblW w:w="87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663"/>
        <w:gridCol w:w="992"/>
        <w:gridCol w:w="709"/>
        <w:gridCol w:w="621"/>
        <w:gridCol w:w="1221"/>
        <w:gridCol w:w="109"/>
        <w:gridCol w:w="1876"/>
        <w:gridCol w:w="1134"/>
      </w:tblGrid>
      <w:tr w14:paraId="55A78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2" w:type="dxa"/>
            <w:gridSpan w:val="2"/>
            <w:vAlign w:val="center"/>
          </w:tcPr>
          <w:p w14:paraId="3E294D9A">
            <w:pPr>
              <w:pStyle w:val="92"/>
              <w:rPr>
                <w:color w:val="auto"/>
                <w:highlight w:val="none"/>
                <w:u w:val="none"/>
              </w:rPr>
            </w:pPr>
            <w:bookmarkStart w:id="556" w:name="_Toc148375061"/>
            <w:bookmarkStart w:id="557" w:name="_Toc148374823"/>
            <w:bookmarkStart w:id="558" w:name="_Toc148374619"/>
            <w:bookmarkStart w:id="559" w:name="_Toc109211092"/>
            <w:r>
              <w:rPr>
                <w:color w:val="auto"/>
                <w:highlight w:val="none"/>
                <w:u w:val="none"/>
              </w:rPr>
              <w:t>工作内容</w:t>
            </w:r>
          </w:p>
        </w:tc>
        <w:tc>
          <w:tcPr>
            <w:tcW w:w="5528" w:type="dxa"/>
            <w:gridSpan w:val="6"/>
            <w:vAlign w:val="center"/>
          </w:tcPr>
          <w:p w14:paraId="5192F3E5">
            <w:pPr>
              <w:pStyle w:val="92"/>
              <w:rPr>
                <w:color w:val="auto"/>
                <w:highlight w:val="none"/>
                <w:u w:val="none"/>
              </w:rPr>
            </w:pPr>
            <w:r>
              <w:rPr>
                <w:color w:val="auto"/>
                <w:highlight w:val="none"/>
                <w:u w:val="none"/>
              </w:rPr>
              <w:t>完成情况</w:t>
            </w:r>
          </w:p>
        </w:tc>
        <w:tc>
          <w:tcPr>
            <w:tcW w:w="1134" w:type="dxa"/>
            <w:vAlign w:val="center"/>
          </w:tcPr>
          <w:p w14:paraId="0DA38810">
            <w:pPr>
              <w:pStyle w:val="92"/>
              <w:rPr>
                <w:color w:val="auto"/>
                <w:highlight w:val="none"/>
                <w:u w:val="none"/>
              </w:rPr>
            </w:pPr>
            <w:r>
              <w:rPr>
                <w:color w:val="auto"/>
                <w:highlight w:val="none"/>
                <w:u w:val="none"/>
              </w:rPr>
              <w:t>备注</w:t>
            </w:r>
          </w:p>
        </w:tc>
      </w:tr>
      <w:tr w14:paraId="456F3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restart"/>
            <w:vAlign w:val="center"/>
          </w:tcPr>
          <w:p w14:paraId="172E9903">
            <w:pPr>
              <w:pStyle w:val="92"/>
              <w:rPr>
                <w:color w:val="auto"/>
                <w:highlight w:val="none"/>
                <w:u w:val="none"/>
              </w:rPr>
            </w:pPr>
            <w:r>
              <w:rPr>
                <w:color w:val="auto"/>
                <w:highlight w:val="none"/>
                <w:u w:val="none"/>
              </w:rPr>
              <w:t>影响识别</w:t>
            </w:r>
          </w:p>
        </w:tc>
        <w:tc>
          <w:tcPr>
            <w:tcW w:w="1663" w:type="dxa"/>
            <w:vAlign w:val="center"/>
          </w:tcPr>
          <w:p w14:paraId="71B0D15E">
            <w:pPr>
              <w:pStyle w:val="92"/>
              <w:rPr>
                <w:color w:val="auto"/>
                <w:highlight w:val="none"/>
                <w:u w:val="none"/>
              </w:rPr>
            </w:pPr>
            <w:r>
              <w:rPr>
                <w:color w:val="auto"/>
                <w:highlight w:val="none"/>
                <w:u w:val="none"/>
              </w:rPr>
              <w:t>影响类型</w:t>
            </w:r>
          </w:p>
        </w:tc>
        <w:tc>
          <w:tcPr>
            <w:tcW w:w="5528" w:type="dxa"/>
            <w:gridSpan w:val="6"/>
            <w:vAlign w:val="center"/>
          </w:tcPr>
          <w:p w14:paraId="275CF5B7">
            <w:pPr>
              <w:pStyle w:val="92"/>
              <w:rPr>
                <w:color w:val="auto"/>
                <w:highlight w:val="none"/>
                <w:u w:val="none"/>
              </w:rPr>
            </w:pPr>
            <w:r>
              <w:rPr>
                <w:rFonts w:hint="eastAsia"/>
                <w:color w:val="auto"/>
                <w:highlight w:val="none"/>
                <w:u w:val="none"/>
              </w:rPr>
              <w:t>污染影响型</w:t>
            </w:r>
            <w:r>
              <w:rPr>
                <w:rFonts w:hint="eastAsia"/>
                <w:color w:val="auto"/>
                <w:highlight w:val="none"/>
                <w:u w:val="none"/>
              </w:rPr>
              <w:sym w:font="Wingdings 2" w:char="0052"/>
            </w:r>
            <w:r>
              <w:rPr>
                <w:rFonts w:hint="eastAsia"/>
                <w:color w:val="auto"/>
                <w:highlight w:val="none"/>
                <w:u w:val="none"/>
              </w:rPr>
              <w:t>；生态影响型□；</w:t>
            </w:r>
          </w:p>
        </w:tc>
        <w:tc>
          <w:tcPr>
            <w:tcW w:w="1134" w:type="dxa"/>
            <w:vAlign w:val="center"/>
          </w:tcPr>
          <w:p w14:paraId="344B3CFB">
            <w:pPr>
              <w:pStyle w:val="92"/>
              <w:rPr>
                <w:color w:val="auto"/>
                <w:highlight w:val="none"/>
                <w:u w:val="none"/>
              </w:rPr>
            </w:pPr>
          </w:p>
        </w:tc>
      </w:tr>
      <w:tr w14:paraId="7D8A0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56D00158">
            <w:pPr>
              <w:pStyle w:val="92"/>
              <w:rPr>
                <w:color w:val="auto"/>
                <w:highlight w:val="none"/>
                <w:u w:val="none"/>
              </w:rPr>
            </w:pPr>
          </w:p>
        </w:tc>
        <w:tc>
          <w:tcPr>
            <w:tcW w:w="1663" w:type="dxa"/>
            <w:vAlign w:val="center"/>
          </w:tcPr>
          <w:p w14:paraId="04D07439">
            <w:pPr>
              <w:pStyle w:val="92"/>
              <w:rPr>
                <w:color w:val="auto"/>
                <w:highlight w:val="none"/>
                <w:u w:val="none"/>
              </w:rPr>
            </w:pPr>
            <w:r>
              <w:rPr>
                <w:color w:val="auto"/>
                <w:highlight w:val="none"/>
                <w:u w:val="none"/>
              </w:rPr>
              <w:t>土地利用类型</w:t>
            </w:r>
          </w:p>
        </w:tc>
        <w:tc>
          <w:tcPr>
            <w:tcW w:w="5528" w:type="dxa"/>
            <w:gridSpan w:val="6"/>
            <w:vAlign w:val="center"/>
          </w:tcPr>
          <w:p w14:paraId="4C076DB9">
            <w:pPr>
              <w:pStyle w:val="92"/>
              <w:rPr>
                <w:color w:val="auto"/>
                <w:highlight w:val="none"/>
                <w:u w:val="none"/>
              </w:rPr>
            </w:pPr>
            <w:r>
              <w:rPr>
                <w:rFonts w:hint="eastAsia"/>
                <w:color w:val="auto"/>
                <w:highlight w:val="none"/>
                <w:u w:val="none"/>
              </w:rPr>
              <w:t>建设用地</w:t>
            </w:r>
            <w:r>
              <w:rPr>
                <w:rFonts w:hint="eastAsia"/>
                <w:color w:val="auto"/>
                <w:highlight w:val="none"/>
                <w:u w:val="none"/>
              </w:rPr>
              <w:sym w:font="Wingdings 2" w:char="0052"/>
            </w:r>
            <w:r>
              <w:rPr>
                <w:rFonts w:hint="eastAsia"/>
                <w:color w:val="auto"/>
                <w:highlight w:val="none"/>
                <w:u w:val="none"/>
              </w:rPr>
              <w:t>；农用地□；未利用地□</w:t>
            </w:r>
          </w:p>
        </w:tc>
        <w:tc>
          <w:tcPr>
            <w:tcW w:w="1134" w:type="dxa"/>
            <w:vAlign w:val="center"/>
          </w:tcPr>
          <w:p w14:paraId="540922D4">
            <w:pPr>
              <w:pStyle w:val="92"/>
              <w:rPr>
                <w:color w:val="auto"/>
                <w:highlight w:val="none"/>
                <w:u w:val="none"/>
              </w:rPr>
            </w:pPr>
            <w:r>
              <w:rPr>
                <w:rFonts w:hint="eastAsia"/>
                <w:color w:val="auto"/>
                <w:highlight w:val="none"/>
                <w:u w:val="none"/>
              </w:rPr>
              <w:t>土地利用类型图</w:t>
            </w:r>
          </w:p>
        </w:tc>
      </w:tr>
      <w:tr w14:paraId="2A642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33AC1DBF">
            <w:pPr>
              <w:pStyle w:val="92"/>
              <w:rPr>
                <w:color w:val="auto"/>
                <w:highlight w:val="none"/>
                <w:u w:val="none"/>
              </w:rPr>
            </w:pPr>
          </w:p>
        </w:tc>
        <w:tc>
          <w:tcPr>
            <w:tcW w:w="1663" w:type="dxa"/>
            <w:vAlign w:val="center"/>
          </w:tcPr>
          <w:p w14:paraId="6CFDEF0B">
            <w:pPr>
              <w:pStyle w:val="92"/>
              <w:rPr>
                <w:color w:val="auto"/>
                <w:highlight w:val="none"/>
                <w:u w:val="none"/>
              </w:rPr>
            </w:pPr>
            <w:r>
              <w:rPr>
                <w:rFonts w:hint="eastAsia"/>
                <w:color w:val="auto"/>
                <w:highlight w:val="none"/>
                <w:u w:val="none"/>
              </w:rPr>
              <w:t>占地规模</w:t>
            </w:r>
          </w:p>
        </w:tc>
        <w:tc>
          <w:tcPr>
            <w:tcW w:w="5528" w:type="dxa"/>
            <w:gridSpan w:val="6"/>
            <w:vAlign w:val="center"/>
          </w:tcPr>
          <w:p w14:paraId="64C85DD9">
            <w:pPr>
              <w:pStyle w:val="92"/>
              <w:rPr>
                <w:color w:val="auto"/>
                <w:highlight w:val="none"/>
                <w:u w:val="none"/>
              </w:rPr>
            </w:pPr>
            <w:r>
              <w:rPr>
                <w:color w:val="auto"/>
                <w:highlight w:val="none"/>
                <w:u w:val="none"/>
              </w:rPr>
              <w:t>6.2</w:t>
            </w:r>
            <w:r>
              <w:rPr>
                <w:rFonts w:hint="eastAsia"/>
                <w:color w:val="auto"/>
                <w:highlight w:val="none"/>
                <w:u w:val="none"/>
              </w:rPr>
              <w:t>hm</w:t>
            </w:r>
            <w:r>
              <w:rPr>
                <w:rFonts w:hint="eastAsia"/>
                <w:color w:val="auto"/>
                <w:highlight w:val="none"/>
                <w:u w:val="none"/>
                <w:vertAlign w:val="superscript"/>
              </w:rPr>
              <w:t>2</w:t>
            </w:r>
          </w:p>
        </w:tc>
        <w:tc>
          <w:tcPr>
            <w:tcW w:w="1134" w:type="dxa"/>
            <w:vAlign w:val="center"/>
          </w:tcPr>
          <w:p w14:paraId="75C53A8D">
            <w:pPr>
              <w:pStyle w:val="92"/>
              <w:rPr>
                <w:color w:val="auto"/>
                <w:highlight w:val="none"/>
                <w:u w:val="none"/>
              </w:rPr>
            </w:pPr>
          </w:p>
        </w:tc>
      </w:tr>
      <w:tr w14:paraId="3E5A7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5E8EEB84">
            <w:pPr>
              <w:pStyle w:val="92"/>
              <w:rPr>
                <w:color w:val="auto"/>
                <w:highlight w:val="none"/>
                <w:u w:val="none"/>
              </w:rPr>
            </w:pPr>
          </w:p>
        </w:tc>
        <w:tc>
          <w:tcPr>
            <w:tcW w:w="1663" w:type="dxa"/>
            <w:vAlign w:val="center"/>
          </w:tcPr>
          <w:p w14:paraId="2BEE14CD">
            <w:pPr>
              <w:pStyle w:val="92"/>
              <w:rPr>
                <w:color w:val="auto"/>
                <w:highlight w:val="none"/>
                <w:u w:val="none"/>
              </w:rPr>
            </w:pPr>
            <w:r>
              <w:rPr>
                <w:rFonts w:hint="eastAsia"/>
                <w:color w:val="auto"/>
                <w:highlight w:val="none"/>
                <w:u w:val="none"/>
              </w:rPr>
              <w:t>敏感</w:t>
            </w:r>
            <w:r>
              <w:rPr>
                <w:color w:val="auto"/>
                <w:highlight w:val="none"/>
                <w:u w:val="none"/>
              </w:rPr>
              <w:t>目标信息</w:t>
            </w:r>
          </w:p>
        </w:tc>
        <w:tc>
          <w:tcPr>
            <w:tcW w:w="5528" w:type="dxa"/>
            <w:gridSpan w:val="6"/>
            <w:vAlign w:val="center"/>
          </w:tcPr>
          <w:p w14:paraId="67A0BAE3">
            <w:pPr>
              <w:pStyle w:val="92"/>
              <w:rPr>
                <w:color w:val="auto"/>
                <w:highlight w:val="none"/>
                <w:u w:val="none"/>
              </w:rPr>
            </w:pPr>
            <w:r>
              <w:rPr>
                <w:rFonts w:hint="eastAsia"/>
                <w:color w:val="auto"/>
                <w:highlight w:val="none"/>
                <w:u w:val="none"/>
              </w:rPr>
              <w:t>无</w:t>
            </w:r>
          </w:p>
        </w:tc>
        <w:tc>
          <w:tcPr>
            <w:tcW w:w="1134" w:type="dxa"/>
            <w:vAlign w:val="center"/>
          </w:tcPr>
          <w:p w14:paraId="1C2E7C12">
            <w:pPr>
              <w:pStyle w:val="92"/>
              <w:rPr>
                <w:color w:val="auto"/>
                <w:highlight w:val="none"/>
                <w:u w:val="none"/>
              </w:rPr>
            </w:pPr>
          </w:p>
        </w:tc>
      </w:tr>
      <w:tr w14:paraId="23DB3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309540F4">
            <w:pPr>
              <w:pStyle w:val="92"/>
              <w:rPr>
                <w:color w:val="auto"/>
                <w:highlight w:val="none"/>
                <w:u w:val="none"/>
              </w:rPr>
            </w:pPr>
          </w:p>
        </w:tc>
        <w:tc>
          <w:tcPr>
            <w:tcW w:w="1663" w:type="dxa"/>
            <w:vAlign w:val="center"/>
          </w:tcPr>
          <w:p w14:paraId="68E98CF5">
            <w:pPr>
              <w:pStyle w:val="92"/>
              <w:rPr>
                <w:color w:val="auto"/>
                <w:highlight w:val="none"/>
                <w:u w:val="none"/>
              </w:rPr>
            </w:pPr>
            <w:r>
              <w:rPr>
                <w:color w:val="auto"/>
                <w:highlight w:val="none"/>
                <w:u w:val="none"/>
              </w:rPr>
              <w:t>影响途径</w:t>
            </w:r>
          </w:p>
        </w:tc>
        <w:tc>
          <w:tcPr>
            <w:tcW w:w="5528" w:type="dxa"/>
            <w:gridSpan w:val="6"/>
            <w:vAlign w:val="center"/>
          </w:tcPr>
          <w:p w14:paraId="62D1754F">
            <w:pPr>
              <w:pStyle w:val="92"/>
              <w:rPr>
                <w:color w:val="auto"/>
                <w:highlight w:val="none"/>
                <w:u w:val="none"/>
              </w:rPr>
            </w:pPr>
            <w:r>
              <w:rPr>
                <w:rFonts w:hint="eastAsia"/>
                <w:color w:val="auto"/>
                <w:highlight w:val="none"/>
                <w:u w:val="none"/>
              </w:rPr>
              <w:t>大气沉降</w:t>
            </w:r>
            <w:r>
              <w:rPr>
                <w:rFonts w:hint="eastAsia"/>
                <w:color w:val="auto"/>
                <w:highlight w:val="none"/>
                <w:u w:val="none"/>
              </w:rPr>
              <w:sym w:font="Wingdings 2" w:char="0052"/>
            </w:r>
            <w:r>
              <w:rPr>
                <w:rFonts w:hint="eastAsia"/>
                <w:color w:val="auto"/>
                <w:highlight w:val="none"/>
                <w:u w:val="none"/>
              </w:rPr>
              <w:t>；地面漫流</w:t>
            </w:r>
            <w:r>
              <w:rPr>
                <w:rFonts w:hint="eastAsia"/>
                <w:color w:val="auto"/>
                <w:highlight w:val="none"/>
                <w:u w:val="none"/>
              </w:rPr>
              <w:sym w:font="Wingdings 2" w:char="00A3"/>
            </w:r>
            <w:r>
              <w:rPr>
                <w:rFonts w:hint="eastAsia"/>
                <w:color w:val="auto"/>
                <w:highlight w:val="none"/>
                <w:u w:val="none"/>
              </w:rPr>
              <w:t>；垂直入深</w:t>
            </w:r>
            <w:r>
              <w:rPr>
                <w:rFonts w:hint="eastAsia"/>
                <w:color w:val="auto"/>
                <w:highlight w:val="none"/>
                <w:u w:val="none"/>
              </w:rPr>
              <w:sym w:font="Wingdings 2" w:char="0052"/>
            </w:r>
            <w:r>
              <w:rPr>
                <w:rFonts w:hint="eastAsia"/>
                <w:color w:val="auto"/>
                <w:highlight w:val="none"/>
                <w:u w:val="none"/>
              </w:rPr>
              <w:t>；地下水位□；其他</w:t>
            </w:r>
          </w:p>
        </w:tc>
        <w:tc>
          <w:tcPr>
            <w:tcW w:w="1134" w:type="dxa"/>
            <w:vAlign w:val="center"/>
          </w:tcPr>
          <w:p w14:paraId="188E3D88">
            <w:pPr>
              <w:pStyle w:val="92"/>
              <w:rPr>
                <w:color w:val="auto"/>
                <w:highlight w:val="none"/>
                <w:u w:val="none"/>
              </w:rPr>
            </w:pPr>
          </w:p>
        </w:tc>
      </w:tr>
      <w:tr w14:paraId="3BA01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2C0482BC">
            <w:pPr>
              <w:pStyle w:val="92"/>
              <w:rPr>
                <w:color w:val="auto"/>
                <w:highlight w:val="none"/>
                <w:u w:val="none"/>
              </w:rPr>
            </w:pPr>
          </w:p>
        </w:tc>
        <w:tc>
          <w:tcPr>
            <w:tcW w:w="1663" w:type="dxa"/>
            <w:vAlign w:val="center"/>
          </w:tcPr>
          <w:p w14:paraId="441823BD">
            <w:pPr>
              <w:pStyle w:val="92"/>
              <w:rPr>
                <w:color w:val="auto"/>
                <w:highlight w:val="none"/>
                <w:u w:val="none"/>
              </w:rPr>
            </w:pPr>
            <w:r>
              <w:rPr>
                <w:color w:val="auto"/>
                <w:highlight w:val="none"/>
                <w:u w:val="none"/>
              </w:rPr>
              <w:t>全部污染物</w:t>
            </w:r>
          </w:p>
        </w:tc>
        <w:tc>
          <w:tcPr>
            <w:tcW w:w="5528" w:type="dxa"/>
            <w:gridSpan w:val="6"/>
            <w:vAlign w:val="center"/>
          </w:tcPr>
          <w:p w14:paraId="6D1FE166">
            <w:pPr>
              <w:pStyle w:val="92"/>
              <w:ind w:firstLine="0" w:firstLineChars="0"/>
              <w:rPr>
                <w:color w:val="auto"/>
                <w:highlight w:val="none"/>
                <w:u w:val="none"/>
              </w:rPr>
            </w:pPr>
            <w:r>
              <w:rPr>
                <w:rFonts w:hint="eastAsia"/>
                <w:color w:val="auto"/>
                <w:highlight w:val="none"/>
                <w:u w:val="none"/>
              </w:rPr>
              <w:t>甲苯、DNT、ODCB</w:t>
            </w:r>
          </w:p>
        </w:tc>
        <w:tc>
          <w:tcPr>
            <w:tcW w:w="1134" w:type="dxa"/>
            <w:vAlign w:val="center"/>
          </w:tcPr>
          <w:p w14:paraId="7B16FACA">
            <w:pPr>
              <w:pStyle w:val="92"/>
              <w:rPr>
                <w:color w:val="auto"/>
                <w:highlight w:val="none"/>
                <w:u w:val="none"/>
              </w:rPr>
            </w:pPr>
          </w:p>
        </w:tc>
      </w:tr>
      <w:tr w14:paraId="4678C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07B5A73E">
            <w:pPr>
              <w:pStyle w:val="92"/>
              <w:rPr>
                <w:color w:val="auto"/>
                <w:highlight w:val="none"/>
                <w:u w:val="none"/>
              </w:rPr>
            </w:pPr>
          </w:p>
        </w:tc>
        <w:tc>
          <w:tcPr>
            <w:tcW w:w="1663" w:type="dxa"/>
            <w:vAlign w:val="center"/>
          </w:tcPr>
          <w:p w14:paraId="5EDDAF84">
            <w:pPr>
              <w:pStyle w:val="92"/>
              <w:rPr>
                <w:color w:val="auto"/>
                <w:highlight w:val="none"/>
                <w:u w:val="none"/>
              </w:rPr>
            </w:pPr>
            <w:r>
              <w:rPr>
                <w:rFonts w:hint="eastAsia"/>
                <w:color w:val="auto"/>
                <w:highlight w:val="none"/>
                <w:u w:val="none"/>
              </w:rPr>
              <w:t>特征因子</w:t>
            </w:r>
          </w:p>
        </w:tc>
        <w:tc>
          <w:tcPr>
            <w:tcW w:w="5528" w:type="dxa"/>
            <w:gridSpan w:val="6"/>
            <w:vAlign w:val="center"/>
          </w:tcPr>
          <w:p w14:paraId="79A34B6B">
            <w:pPr>
              <w:pStyle w:val="92"/>
              <w:ind w:firstLine="0" w:firstLineChars="0"/>
              <w:rPr>
                <w:color w:val="auto"/>
                <w:highlight w:val="none"/>
                <w:u w:val="none"/>
              </w:rPr>
            </w:pPr>
            <w:r>
              <w:rPr>
                <w:rFonts w:hint="eastAsia"/>
                <w:color w:val="auto"/>
                <w:highlight w:val="none"/>
                <w:u w:val="none"/>
              </w:rPr>
              <w:t>甲苯、DNT、ODCB</w:t>
            </w:r>
          </w:p>
        </w:tc>
        <w:tc>
          <w:tcPr>
            <w:tcW w:w="1134" w:type="dxa"/>
            <w:vAlign w:val="center"/>
          </w:tcPr>
          <w:p w14:paraId="08913A5D">
            <w:pPr>
              <w:pStyle w:val="92"/>
              <w:rPr>
                <w:color w:val="auto"/>
                <w:highlight w:val="none"/>
                <w:u w:val="none"/>
              </w:rPr>
            </w:pPr>
          </w:p>
        </w:tc>
      </w:tr>
      <w:tr w14:paraId="269C2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22F378CD">
            <w:pPr>
              <w:pStyle w:val="92"/>
              <w:rPr>
                <w:color w:val="auto"/>
                <w:highlight w:val="none"/>
                <w:u w:val="none"/>
              </w:rPr>
            </w:pPr>
          </w:p>
        </w:tc>
        <w:tc>
          <w:tcPr>
            <w:tcW w:w="1663" w:type="dxa"/>
            <w:vAlign w:val="center"/>
          </w:tcPr>
          <w:p w14:paraId="716E26DD">
            <w:pPr>
              <w:pStyle w:val="92"/>
              <w:rPr>
                <w:color w:val="auto"/>
                <w:highlight w:val="none"/>
                <w:u w:val="none"/>
              </w:rPr>
            </w:pPr>
            <w:r>
              <w:rPr>
                <w:color w:val="auto"/>
                <w:highlight w:val="none"/>
                <w:u w:val="none"/>
              </w:rPr>
              <w:t>所属土壤环境影响评价项目类别</w:t>
            </w:r>
          </w:p>
        </w:tc>
        <w:tc>
          <w:tcPr>
            <w:tcW w:w="5528" w:type="dxa"/>
            <w:gridSpan w:val="6"/>
            <w:vAlign w:val="center"/>
          </w:tcPr>
          <w:p w14:paraId="29D5D6AF">
            <w:pPr>
              <w:pStyle w:val="92"/>
              <w:rPr>
                <w:color w:val="auto"/>
                <w:highlight w:val="none"/>
                <w:u w:val="none"/>
              </w:rPr>
            </w:pPr>
            <w:r>
              <w:rPr>
                <w:rFonts w:hint="eastAsia"/>
                <w:color w:val="auto"/>
                <w:highlight w:val="none"/>
                <w:u w:val="none"/>
              </w:rPr>
              <w:t>I类</w:t>
            </w:r>
            <w:r>
              <w:rPr>
                <w:rFonts w:hint="eastAsia"/>
                <w:color w:val="auto"/>
                <w:highlight w:val="none"/>
                <w:u w:val="none"/>
              </w:rPr>
              <w:sym w:font="Wingdings 2" w:char="0052"/>
            </w:r>
            <w:r>
              <w:rPr>
                <w:rFonts w:hint="eastAsia"/>
                <w:color w:val="auto"/>
                <w:highlight w:val="none"/>
                <w:u w:val="none"/>
              </w:rPr>
              <w:t>；II类□；III类□；IV类□</w:t>
            </w:r>
          </w:p>
        </w:tc>
        <w:tc>
          <w:tcPr>
            <w:tcW w:w="1134" w:type="dxa"/>
            <w:vAlign w:val="center"/>
          </w:tcPr>
          <w:p w14:paraId="0B99CEB8">
            <w:pPr>
              <w:pStyle w:val="92"/>
              <w:rPr>
                <w:color w:val="auto"/>
                <w:highlight w:val="none"/>
                <w:u w:val="none"/>
              </w:rPr>
            </w:pPr>
          </w:p>
        </w:tc>
      </w:tr>
      <w:tr w14:paraId="3D259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4F645709">
            <w:pPr>
              <w:pStyle w:val="92"/>
              <w:rPr>
                <w:color w:val="auto"/>
                <w:highlight w:val="none"/>
                <w:u w:val="none"/>
              </w:rPr>
            </w:pPr>
          </w:p>
        </w:tc>
        <w:tc>
          <w:tcPr>
            <w:tcW w:w="1663" w:type="dxa"/>
            <w:vAlign w:val="center"/>
          </w:tcPr>
          <w:p w14:paraId="576BDB5F">
            <w:pPr>
              <w:pStyle w:val="92"/>
              <w:rPr>
                <w:color w:val="auto"/>
                <w:highlight w:val="none"/>
                <w:u w:val="none"/>
              </w:rPr>
            </w:pPr>
            <w:r>
              <w:rPr>
                <w:color w:val="auto"/>
                <w:highlight w:val="none"/>
                <w:u w:val="none"/>
              </w:rPr>
              <w:t>敏感程度</w:t>
            </w:r>
          </w:p>
        </w:tc>
        <w:tc>
          <w:tcPr>
            <w:tcW w:w="5528" w:type="dxa"/>
            <w:gridSpan w:val="6"/>
            <w:vAlign w:val="center"/>
          </w:tcPr>
          <w:p w14:paraId="5FCBA2F4">
            <w:pPr>
              <w:pStyle w:val="92"/>
              <w:rPr>
                <w:color w:val="auto"/>
                <w:highlight w:val="none"/>
                <w:u w:val="none"/>
              </w:rPr>
            </w:pPr>
            <w:r>
              <w:rPr>
                <w:rFonts w:hint="eastAsia"/>
                <w:color w:val="auto"/>
                <w:highlight w:val="none"/>
                <w:u w:val="none"/>
              </w:rPr>
              <w:t>敏感□；较敏感□；不敏感</w:t>
            </w:r>
            <w:r>
              <w:rPr>
                <w:rFonts w:hint="eastAsia"/>
                <w:color w:val="auto"/>
                <w:highlight w:val="none"/>
                <w:u w:val="none"/>
              </w:rPr>
              <w:sym w:font="Wingdings 2" w:char="0052"/>
            </w:r>
          </w:p>
        </w:tc>
        <w:tc>
          <w:tcPr>
            <w:tcW w:w="1134" w:type="dxa"/>
            <w:vAlign w:val="center"/>
          </w:tcPr>
          <w:p w14:paraId="22374382">
            <w:pPr>
              <w:pStyle w:val="92"/>
              <w:rPr>
                <w:color w:val="auto"/>
                <w:highlight w:val="none"/>
                <w:u w:val="none"/>
              </w:rPr>
            </w:pPr>
          </w:p>
        </w:tc>
      </w:tr>
      <w:tr w14:paraId="3A394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2" w:type="dxa"/>
            <w:gridSpan w:val="2"/>
            <w:vAlign w:val="center"/>
          </w:tcPr>
          <w:p w14:paraId="65F9BFDE">
            <w:pPr>
              <w:pStyle w:val="92"/>
              <w:rPr>
                <w:color w:val="auto"/>
                <w:highlight w:val="none"/>
                <w:u w:val="none"/>
              </w:rPr>
            </w:pPr>
            <w:r>
              <w:rPr>
                <w:rFonts w:hint="eastAsia"/>
                <w:color w:val="auto"/>
                <w:highlight w:val="none"/>
                <w:u w:val="none"/>
              </w:rPr>
              <w:t>评价工作等级</w:t>
            </w:r>
          </w:p>
        </w:tc>
        <w:tc>
          <w:tcPr>
            <w:tcW w:w="5528" w:type="dxa"/>
            <w:gridSpan w:val="6"/>
            <w:vAlign w:val="center"/>
          </w:tcPr>
          <w:p w14:paraId="3942975E">
            <w:pPr>
              <w:pStyle w:val="92"/>
              <w:rPr>
                <w:color w:val="auto"/>
                <w:highlight w:val="none"/>
                <w:u w:val="none"/>
              </w:rPr>
            </w:pPr>
            <w:r>
              <w:rPr>
                <w:rFonts w:hint="eastAsia"/>
                <w:color w:val="auto"/>
                <w:highlight w:val="none"/>
                <w:u w:val="none"/>
              </w:rPr>
              <w:t>一级</w:t>
            </w:r>
            <w:r>
              <w:rPr>
                <w:rFonts w:hint="eastAsia"/>
                <w:color w:val="auto"/>
                <w:highlight w:val="none"/>
                <w:u w:val="none"/>
              </w:rPr>
              <w:sym w:font="Wingdings 2" w:char="00A3"/>
            </w:r>
            <w:r>
              <w:rPr>
                <w:rFonts w:hint="eastAsia"/>
                <w:color w:val="auto"/>
                <w:highlight w:val="none"/>
                <w:u w:val="none"/>
              </w:rPr>
              <w:t>；二级</w:t>
            </w:r>
            <w:r>
              <w:rPr>
                <w:rFonts w:hint="eastAsia"/>
                <w:color w:val="auto"/>
                <w:highlight w:val="none"/>
                <w:u w:val="none"/>
              </w:rPr>
              <w:sym w:font="Wingdings 2" w:char="0052"/>
            </w:r>
            <w:r>
              <w:rPr>
                <w:rFonts w:hint="eastAsia"/>
                <w:color w:val="auto"/>
                <w:highlight w:val="none"/>
                <w:u w:val="none"/>
              </w:rPr>
              <w:t>；三级□</w:t>
            </w:r>
          </w:p>
        </w:tc>
        <w:tc>
          <w:tcPr>
            <w:tcW w:w="1134" w:type="dxa"/>
            <w:vAlign w:val="center"/>
          </w:tcPr>
          <w:p w14:paraId="4AB5C452">
            <w:pPr>
              <w:pStyle w:val="92"/>
              <w:rPr>
                <w:color w:val="auto"/>
                <w:highlight w:val="none"/>
                <w:u w:val="none"/>
              </w:rPr>
            </w:pPr>
          </w:p>
        </w:tc>
      </w:tr>
      <w:tr w14:paraId="73BB9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restart"/>
            <w:vAlign w:val="center"/>
          </w:tcPr>
          <w:p w14:paraId="42B5E640">
            <w:pPr>
              <w:pStyle w:val="92"/>
              <w:rPr>
                <w:color w:val="auto"/>
                <w:highlight w:val="none"/>
                <w:u w:val="none"/>
              </w:rPr>
            </w:pPr>
            <w:r>
              <w:rPr>
                <w:rFonts w:hint="eastAsia"/>
                <w:color w:val="auto"/>
                <w:highlight w:val="none"/>
                <w:u w:val="none"/>
              </w:rPr>
              <w:t>现状调查内容</w:t>
            </w:r>
          </w:p>
        </w:tc>
        <w:tc>
          <w:tcPr>
            <w:tcW w:w="1663" w:type="dxa"/>
            <w:vAlign w:val="center"/>
          </w:tcPr>
          <w:p w14:paraId="574EF87F">
            <w:pPr>
              <w:pStyle w:val="92"/>
              <w:rPr>
                <w:color w:val="auto"/>
                <w:highlight w:val="none"/>
                <w:u w:val="none"/>
              </w:rPr>
            </w:pPr>
            <w:r>
              <w:rPr>
                <w:rFonts w:hint="eastAsia"/>
                <w:color w:val="auto"/>
                <w:highlight w:val="none"/>
                <w:u w:val="none"/>
              </w:rPr>
              <w:t>资料收集</w:t>
            </w:r>
          </w:p>
        </w:tc>
        <w:tc>
          <w:tcPr>
            <w:tcW w:w="5528" w:type="dxa"/>
            <w:gridSpan w:val="6"/>
            <w:vAlign w:val="center"/>
          </w:tcPr>
          <w:p w14:paraId="0B9FF269">
            <w:pPr>
              <w:pStyle w:val="92"/>
              <w:rPr>
                <w:color w:val="auto"/>
                <w:highlight w:val="none"/>
                <w:u w:val="none"/>
              </w:rPr>
            </w:pPr>
            <w:r>
              <w:rPr>
                <w:rFonts w:hint="eastAsia"/>
                <w:color w:val="auto"/>
                <w:highlight w:val="none"/>
                <w:u w:val="none"/>
              </w:rPr>
              <w:t>a）</w:t>
            </w:r>
            <w:r>
              <w:rPr>
                <w:rFonts w:hint="eastAsia"/>
                <w:color w:val="auto"/>
                <w:highlight w:val="none"/>
                <w:u w:val="none"/>
              </w:rPr>
              <w:sym w:font="Wingdings 2" w:char="0052"/>
            </w:r>
            <w:r>
              <w:rPr>
                <w:rFonts w:hint="eastAsia"/>
                <w:color w:val="auto"/>
                <w:highlight w:val="none"/>
                <w:u w:val="none"/>
              </w:rPr>
              <w:t>；b）</w:t>
            </w:r>
            <w:r>
              <w:rPr>
                <w:rFonts w:hint="eastAsia"/>
                <w:color w:val="auto"/>
                <w:highlight w:val="none"/>
                <w:u w:val="none"/>
              </w:rPr>
              <w:sym w:font="Wingdings 2" w:char="0052"/>
            </w:r>
            <w:r>
              <w:rPr>
                <w:rFonts w:hint="eastAsia"/>
                <w:color w:val="auto"/>
                <w:highlight w:val="none"/>
                <w:u w:val="none"/>
              </w:rPr>
              <w:t>；c）</w:t>
            </w:r>
            <w:r>
              <w:rPr>
                <w:rFonts w:hint="eastAsia"/>
                <w:color w:val="auto"/>
                <w:highlight w:val="none"/>
                <w:u w:val="none"/>
              </w:rPr>
              <w:sym w:font="Wingdings 2" w:char="0052"/>
            </w:r>
            <w:r>
              <w:rPr>
                <w:rFonts w:hint="eastAsia"/>
                <w:color w:val="auto"/>
                <w:highlight w:val="none"/>
                <w:u w:val="none"/>
              </w:rPr>
              <w:t>；d）</w:t>
            </w:r>
            <w:r>
              <w:rPr>
                <w:rFonts w:hint="eastAsia"/>
                <w:color w:val="auto"/>
                <w:highlight w:val="none"/>
                <w:u w:val="none"/>
              </w:rPr>
              <w:sym w:font="Wingdings 2" w:char="0052"/>
            </w:r>
          </w:p>
        </w:tc>
        <w:tc>
          <w:tcPr>
            <w:tcW w:w="1134" w:type="dxa"/>
            <w:vAlign w:val="center"/>
          </w:tcPr>
          <w:p w14:paraId="12236A8F">
            <w:pPr>
              <w:pStyle w:val="92"/>
              <w:rPr>
                <w:color w:val="auto"/>
                <w:highlight w:val="none"/>
                <w:u w:val="none"/>
              </w:rPr>
            </w:pPr>
          </w:p>
        </w:tc>
      </w:tr>
      <w:tr w14:paraId="07975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7F8AC900">
            <w:pPr>
              <w:pStyle w:val="92"/>
              <w:rPr>
                <w:color w:val="auto"/>
                <w:highlight w:val="none"/>
                <w:u w:val="none"/>
              </w:rPr>
            </w:pPr>
          </w:p>
        </w:tc>
        <w:tc>
          <w:tcPr>
            <w:tcW w:w="1663" w:type="dxa"/>
            <w:vAlign w:val="center"/>
          </w:tcPr>
          <w:p w14:paraId="0A4E019C">
            <w:pPr>
              <w:pStyle w:val="92"/>
              <w:rPr>
                <w:color w:val="auto"/>
                <w:highlight w:val="none"/>
                <w:u w:val="none"/>
              </w:rPr>
            </w:pPr>
            <w:r>
              <w:rPr>
                <w:rFonts w:hint="eastAsia"/>
                <w:color w:val="auto"/>
                <w:highlight w:val="none"/>
                <w:u w:val="none"/>
              </w:rPr>
              <w:t>理化特性</w:t>
            </w:r>
          </w:p>
        </w:tc>
        <w:tc>
          <w:tcPr>
            <w:tcW w:w="5528" w:type="dxa"/>
            <w:gridSpan w:val="6"/>
            <w:vAlign w:val="center"/>
          </w:tcPr>
          <w:p w14:paraId="6DA073D8">
            <w:pPr>
              <w:pStyle w:val="92"/>
              <w:rPr>
                <w:color w:val="auto"/>
                <w:highlight w:val="none"/>
                <w:u w:val="none"/>
              </w:rPr>
            </w:pPr>
            <w:r>
              <w:rPr>
                <w:rFonts w:hint="eastAsia"/>
                <w:color w:val="auto"/>
                <w:highlight w:val="none"/>
                <w:u w:val="none"/>
              </w:rPr>
              <w:t>土壤类型，容重</w:t>
            </w:r>
          </w:p>
        </w:tc>
        <w:tc>
          <w:tcPr>
            <w:tcW w:w="1134" w:type="dxa"/>
            <w:vAlign w:val="center"/>
          </w:tcPr>
          <w:p w14:paraId="3F890BD2">
            <w:pPr>
              <w:pStyle w:val="92"/>
              <w:rPr>
                <w:color w:val="auto"/>
                <w:highlight w:val="none"/>
                <w:u w:val="none"/>
              </w:rPr>
            </w:pPr>
            <w:r>
              <w:rPr>
                <w:rFonts w:hint="eastAsia"/>
                <w:color w:val="auto"/>
                <w:highlight w:val="none"/>
                <w:u w:val="none"/>
              </w:rPr>
              <w:t>同附录C</w:t>
            </w:r>
          </w:p>
        </w:tc>
      </w:tr>
      <w:tr w14:paraId="2EA76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53C82862">
            <w:pPr>
              <w:pStyle w:val="92"/>
              <w:rPr>
                <w:color w:val="auto"/>
                <w:highlight w:val="none"/>
                <w:u w:val="none"/>
              </w:rPr>
            </w:pPr>
          </w:p>
        </w:tc>
        <w:tc>
          <w:tcPr>
            <w:tcW w:w="1663" w:type="dxa"/>
            <w:vMerge w:val="restart"/>
            <w:vAlign w:val="center"/>
          </w:tcPr>
          <w:p w14:paraId="40C215C9">
            <w:pPr>
              <w:pStyle w:val="92"/>
              <w:rPr>
                <w:color w:val="auto"/>
                <w:highlight w:val="none"/>
                <w:u w:val="none"/>
              </w:rPr>
            </w:pPr>
            <w:r>
              <w:rPr>
                <w:rFonts w:hint="eastAsia"/>
                <w:color w:val="auto"/>
                <w:highlight w:val="none"/>
                <w:u w:val="none"/>
              </w:rPr>
              <w:t>现状监测点位</w:t>
            </w:r>
          </w:p>
        </w:tc>
        <w:tc>
          <w:tcPr>
            <w:tcW w:w="992" w:type="dxa"/>
            <w:vAlign w:val="center"/>
          </w:tcPr>
          <w:p w14:paraId="70CAA638">
            <w:pPr>
              <w:pStyle w:val="92"/>
              <w:rPr>
                <w:color w:val="auto"/>
                <w:highlight w:val="none"/>
                <w:u w:val="none"/>
              </w:rPr>
            </w:pPr>
          </w:p>
        </w:tc>
        <w:tc>
          <w:tcPr>
            <w:tcW w:w="1330" w:type="dxa"/>
            <w:gridSpan w:val="2"/>
            <w:vAlign w:val="center"/>
          </w:tcPr>
          <w:p w14:paraId="2957A942">
            <w:pPr>
              <w:pStyle w:val="92"/>
              <w:rPr>
                <w:color w:val="auto"/>
                <w:highlight w:val="none"/>
                <w:u w:val="none"/>
              </w:rPr>
            </w:pPr>
            <w:r>
              <w:rPr>
                <w:rFonts w:hint="eastAsia"/>
                <w:color w:val="auto"/>
                <w:highlight w:val="none"/>
                <w:u w:val="none"/>
              </w:rPr>
              <w:t>占地范围内</w:t>
            </w:r>
          </w:p>
        </w:tc>
        <w:tc>
          <w:tcPr>
            <w:tcW w:w="1330" w:type="dxa"/>
            <w:gridSpan w:val="2"/>
            <w:vAlign w:val="center"/>
          </w:tcPr>
          <w:p w14:paraId="230506A5">
            <w:pPr>
              <w:pStyle w:val="92"/>
              <w:rPr>
                <w:color w:val="auto"/>
                <w:highlight w:val="none"/>
                <w:u w:val="none"/>
              </w:rPr>
            </w:pPr>
            <w:r>
              <w:rPr>
                <w:rFonts w:hint="eastAsia"/>
                <w:color w:val="auto"/>
                <w:highlight w:val="none"/>
                <w:u w:val="none"/>
              </w:rPr>
              <w:t>占地范围外</w:t>
            </w:r>
          </w:p>
        </w:tc>
        <w:tc>
          <w:tcPr>
            <w:tcW w:w="1876" w:type="dxa"/>
            <w:vAlign w:val="center"/>
          </w:tcPr>
          <w:p w14:paraId="12DCAE3A">
            <w:pPr>
              <w:pStyle w:val="92"/>
              <w:rPr>
                <w:color w:val="auto"/>
                <w:highlight w:val="none"/>
                <w:u w:val="none"/>
              </w:rPr>
            </w:pPr>
            <w:r>
              <w:rPr>
                <w:rFonts w:hint="eastAsia"/>
                <w:color w:val="auto"/>
                <w:highlight w:val="none"/>
                <w:u w:val="none"/>
              </w:rPr>
              <w:t>深度(m</w:t>
            </w:r>
            <w:r>
              <w:rPr>
                <w:color w:val="auto"/>
                <w:highlight w:val="none"/>
                <w:u w:val="none"/>
              </w:rPr>
              <w:t>)</w:t>
            </w:r>
          </w:p>
        </w:tc>
        <w:tc>
          <w:tcPr>
            <w:tcW w:w="1134" w:type="dxa"/>
            <w:vMerge w:val="restart"/>
            <w:vAlign w:val="center"/>
          </w:tcPr>
          <w:p w14:paraId="3714A915">
            <w:pPr>
              <w:pStyle w:val="92"/>
              <w:rPr>
                <w:color w:val="auto"/>
                <w:highlight w:val="none"/>
                <w:u w:val="none"/>
              </w:rPr>
            </w:pPr>
            <w:r>
              <w:rPr>
                <w:rFonts w:hint="eastAsia"/>
                <w:color w:val="auto"/>
                <w:highlight w:val="none"/>
                <w:u w:val="none"/>
              </w:rPr>
              <w:t>点位布置图</w:t>
            </w:r>
          </w:p>
        </w:tc>
      </w:tr>
      <w:tr w14:paraId="3B299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66EB7F95">
            <w:pPr>
              <w:pStyle w:val="92"/>
              <w:rPr>
                <w:color w:val="auto"/>
                <w:highlight w:val="none"/>
                <w:u w:val="none"/>
              </w:rPr>
            </w:pPr>
          </w:p>
        </w:tc>
        <w:tc>
          <w:tcPr>
            <w:tcW w:w="1663" w:type="dxa"/>
            <w:vMerge w:val="continue"/>
            <w:vAlign w:val="center"/>
          </w:tcPr>
          <w:p w14:paraId="738A67AB">
            <w:pPr>
              <w:pStyle w:val="92"/>
              <w:rPr>
                <w:color w:val="auto"/>
                <w:highlight w:val="none"/>
                <w:u w:val="none"/>
              </w:rPr>
            </w:pPr>
          </w:p>
        </w:tc>
        <w:tc>
          <w:tcPr>
            <w:tcW w:w="992" w:type="dxa"/>
            <w:vAlign w:val="center"/>
          </w:tcPr>
          <w:p w14:paraId="1FB80495">
            <w:pPr>
              <w:pStyle w:val="92"/>
              <w:rPr>
                <w:color w:val="auto"/>
                <w:highlight w:val="none"/>
                <w:u w:val="none"/>
              </w:rPr>
            </w:pPr>
            <w:r>
              <w:rPr>
                <w:rFonts w:hint="eastAsia"/>
                <w:color w:val="auto"/>
                <w:highlight w:val="none"/>
                <w:u w:val="none"/>
              </w:rPr>
              <w:t>表层样点数</w:t>
            </w:r>
          </w:p>
        </w:tc>
        <w:tc>
          <w:tcPr>
            <w:tcW w:w="1330" w:type="dxa"/>
            <w:gridSpan w:val="2"/>
            <w:vAlign w:val="center"/>
          </w:tcPr>
          <w:p w14:paraId="71948C89">
            <w:pPr>
              <w:pStyle w:val="92"/>
              <w:rPr>
                <w:color w:val="auto"/>
                <w:highlight w:val="none"/>
                <w:u w:val="none"/>
              </w:rPr>
            </w:pPr>
            <w:r>
              <w:rPr>
                <w:color w:val="auto"/>
                <w:highlight w:val="none"/>
                <w:u w:val="none"/>
              </w:rPr>
              <w:t>1</w:t>
            </w:r>
          </w:p>
        </w:tc>
        <w:tc>
          <w:tcPr>
            <w:tcW w:w="1330" w:type="dxa"/>
            <w:gridSpan w:val="2"/>
            <w:vAlign w:val="center"/>
          </w:tcPr>
          <w:p w14:paraId="6AE05DC0">
            <w:pPr>
              <w:pStyle w:val="92"/>
              <w:rPr>
                <w:color w:val="auto"/>
                <w:highlight w:val="none"/>
                <w:u w:val="none"/>
              </w:rPr>
            </w:pPr>
            <w:r>
              <w:rPr>
                <w:rFonts w:hint="eastAsia"/>
                <w:color w:val="auto"/>
                <w:highlight w:val="none"/>
                <w:u w:val="none"/>
              </w:rPr>
              <w:t>2</w:t>
            </w:r>
          </w:p>
        </w:tc>
        <w:tc>
          <w:tcPr>
            <w:tcW w:w="1876" w:type="dxa"/>
            <w:vAlign w:val="center"/>
          </w:tcPr>
          <w:p w14:paraId="3C7983DD">
            <w:pPr>
              <w:pStyle w:val="92"/>
              <w:rPr>
                <w:color w:val="auto"/>
                <w:highlight w:val="none"/>
                <w:u w:val="none"/>
              </w:rPr>
            </w:pPr>
            <w:r>
              <w:rPr>
                <w:color w:val="auto"/>
                <w:highlight w:val="none"/>
                <w:u w:val="none"/>
              </w:rPr>
              <w:t>0~0.2m</w:t>
            </w:r>
          </w:p>
        </w:tc>
        <w:tc>
          <w:tcPr>
            <w:tcW w:w="1134" w:type="dxa"/>
            <w:vMerge w:val="continue"/>
            <w:vAlign w:val="center"/>
          </w:tcPr>
          <w:p w14:paraId="1CC48B88">
            <w:pPr>
              <w:pStyle w:val="92"/>
              <w:rPr>
                <w:color w:val="auto"/>
                <w:highlight w:val="none"/>
                <w:u w:val="none"/>
              </w:rPr>
            </w:pPr>
          </w:p>
        </w:tc>
      </w:tr>
      <w:tr w14:paraId="543CE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457FB23F">
            <w:pPr>
              <w:pStyle w:val="92"/>
              <w:rPr>
                <w:color w:val="auto"/>
                <w:highlight w:val="none"/>
                <w:u w:val="none"/>
              </w:rPr>
            </w:pPr>
          </w:p>
        </w:tc>
        <w:tc>
          <w:tcPr>
            <w:tcW w:w="1663" w:type="dxa"/>
            <w:vMerge w:val="continue"/>
            <w:vAlign w:val="center"/>
          </w:tcPr>
          <w:p w14:paraId="4EE5FD7E">
            <w:pPr>
              <w:pStyle w:val="92"/>
              <w:rPr>
                <w:color w:val="auto"/>
                <w:highlight w:val="none"/>
                <w:u w:val="none"/>
              </w:rPr>
            </w:pPr>
          </w:p>
        </w:tc>
        <w:tc>
          <w:tcPr>
            <w:tcW w:w="992" w:type="dxa"/>
            <w:vAlign w:val="center"/>
          </w:tcPr>
          <w:p w14:paraId="683AA61C">
            <w:pPr>
              <w:pStyle w:val="92"/>
              <w:rPr>
                <w:color w:val="auto"/>
                <w:highlight w:val="none"/>
                <w:u w:val="none"/>
              </w:rPr>
            </w:pPr>
            <w:r>
              <w:rPr>
                <w:rFonts w:hint="eastAsia"/>
                <w:color w:val="auto"/>
                <w:highlight w:val="none"/>
                <w:u w:val="none"/>
              </w:rPr>
              <w:t>柱状样点数</w:t>
            </w:r>
          </w:p>
        </w:tc>
        <w:tc>
          <w:tcPr>
            <w:tcW w:w="1330" w:type="dxa"/>
            <w:gridSpan w:val="2"/>
            <w:vAlign w:val="center"/>
          </w:tcPr>
          <w:p w14:paraId="2D036A1F">
            <w:pPr>
              <w:pStyle w:val="92"/>
              <w:rPr>
                <w:color w:val="auto"/>
                <w:highlight w:val="none"/>
                <w:u w:val="none"/>
              </w:rPr>
            </w:pPr>
            <w:r>
              <w:rPr>
                <w:rFonts w:hint="eastAsia"/>
                <w:color w:val="auto"/>
                <w:highlight w:val="none"/>
                <w:u w:val="none"/>
              </w:rPr>
              <w:t>3</w:t>
            </w:r>
          </w:p>
        </w:tc>
        <w:tc>
          <w:tcPr>
            <w:tcW w:w="1330" w:type="dxa"/>
            <w:gridSpan w:val="2"/>
            <w:vAlign w:val="center"/>
          </w:tcPr>
          <w:p w14:paraId="770AFAF4">
            <w:pPr>
              <w:pStyle w:val="92"/>
              <w:rPr>
                <w:color w:val="auto"/>
                <w:highlight w:val="none"/>
                <w:u w:val="none"/>
              </w:rPr>
            </w:pPr>
            <w:r>
              <w:rPr>
                <w:rFonts w:hint="eastAsia"/>
                <w:color w:val="auto"/>
                <w:highlight w:val="none"/>
                <w:u w:val="none"/>
              </w:rPr>
              <w:t>0</w:t>
            </w:r>
          </w:p>
        </w:tc>
        <w:tc>
          <w:tcPr>
            <w:tcW w:w="1876" w:type="dxa"/>
            <w:vAlign w:val="center"/>
          </w:tcPr>
          <w:p w14:paraId="7B4A5EB8">
            <w:pPr>
              <w:pStyle w:val="92"/>
              <w:rPr>
                <w:color w:val="auto"/>
                <w:highlight w:val="none"/>
                <w:u w:val="none"/>
              </w:rPr>
            </w:pPr>
            <w:r>
              <w:rPr>
                <w:color w:val="auto"/>
                <w:highlight w:val="none"/>
                <w:u w:val="none"/>
              </w:rPr>
              <w:t>0~0.5m、0.5~1.5m、1.5~3m</w:t>
            </w:r>
          </w:p>
        </w:tc>
        <w:tc>
          <w:tcPr>
            <w:tcW w:w="1134" w:type="dxa"/>
            <w:vMerge w:val="continue"/>
            <w:vAlign w:val="center"/>
          </w:tcPr>
          <w:p w14:paraId="6F20B140">
            <w:pPr>
              <w:pStyle w:val="92"/>
              <w:rPr>
                <w:color w:val="auto"/>
                <w:highlight w:val="none"/>
                <w:u w:val="none"/>
              </w:rPr>
            </w:pPr>
          </w:p>
        </w:tc>
      </w:tr>
      <w:tr w14:paraId="1E33E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3E7F8E9D">
            <w:pPr>
              <w:pStyle w:val="92"/>
              <w:rPr>
                <w:color w:val="auto"/>
                <w:highlight w:val="none"/>
                <w:u w:val="none"/>
              </w:rPr>
            </w:pPr>
          </w:p>
        </w:tc>
        <w:tc>
          <w:tcPr>
            <w:tcW w:w="1663" w:type="dxa"/>
            <w:vAlign w:val="center"/>
          </w:tcPr>
          <w:p w14:paraId="3E8EED82">
            <w:pPr>
              <w:pStyle w:val="92"/>
              <w:rPr>
                <w:color w:val="auto"/>
                <w:highlight w:val="none"/>
                <w:u w:val="none"/>
              </w:rPr>
            </w:pPr>
            <w:r>
              <w:rPr>
                <w:rFonts w:hint="eastAsia"/>
                <w:color w:val="auto"/>
                <w:highlight w:val="none"/>
                <w:u w:val="none"/>
              </w:rPr>
              <w:t>现状监测因子</w:t>
            </w:r>
          </w:p>
        </w:tc>
        <w:tc>
          <w:tcPr>
            <w:tcW w:w="5528" w:type="dxa"/>
            <w:gridSpan w:val="6"/>
            <w:vAlign w:val="center"/>
          </w:tcPr>
          <w:p w14:paraId="0C3A7137">
            <w:pPr>
              <w:pStyle w:val="92"/>
              <w:rPr>
                <w:color w:val="auto"/>
                <w:highlight w:val="none"/>
                <w:u w:val="none"/>
              </w:rPr>
            </w:pPr>
            <w:r>
              <w:rPr>
                <w:rFonts w:hint="eastAsia"/>
                <w:color w:val="auto"/>
                <w:highlight w:val="none"/>
                <w:u w:val="none"/>
              </w:rPr>
              <w:t>45项基本因子；硝基苯、苯胺、甲苯、邻二氯苯、</w:t>
            </w:r>
            <w:r>
              <w:rPr>
                <w:color w:val="auto"/>
                <w:highlight w:val="none"/>
                <w:u w:val="none"/>
              </w:rPr>
              <w:t>2,4-二硝基甲苯、石油烃</w:t>
            </w:r>
          </w:p>
        </w:tc>
        <w:tc>
          <w:tcPr>
            <w:tcW w:w="1134" w:type="dxa"/>
            <w:vAlign w:val="center"/>
          </w:tcPr>
          <w:p w14:paraId="39160E6B">
            <w:pPr>
              <w:pStyle w:val="92"/>
              <w:rPr>
                <w:color w:val="auto"/>
                <w:highlight w:val="none"/>
                <w:u w:val="none"/>
              </w:rPr>
            </w:pPr>
          </w:p>
        </w:tc>
      </w:tr>
      <w:tr w14:paraId="74C4D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restart"/>
            <w:vAlign w:val="center"/>
          </w:tcPr>
          <w:p w14:paraId="47D6D273">
            <w:pPr>
              <w:pStyle w:val="92"/>
              <w:rPr>
                <w:color w:val="auto"/>
                <w:highlight w:val="none"/>
                <w:u w:val="none"/>
              </w:rPr>
            </w:pPr>
            <w:r>
              <w:rPr>
                <w:rFonts w:hint="eastAsia"/>
                <w:color w:val="auto"/>
                <w:highlight w:val="none"/>
                <w:u w:val="none"/>
              </w:rPr>
              <w:t>现状评测</w:t>
            </w:r>
          </w:p>
        </w:tc>
        <w:tc>
          <w:tcPr>
            <w:tcW w:w="1663" w:type="dxa"/>
            <w:vAlign w:val="center"/>
          </w:tcPr>
          <w:p w14:paraId="17545714">
            <w:pPr>
              <w:pStyle w:val="92"/>
              <w:rPr>
                <w:color w:val="auto"/>
                <w:highlight w:val="none"/>
                <w:u w:val="none"/>
              </w:rPr>
            </w:pPr>
            <w:r>
              <w:rPr>
                <w:rFonts w:hint="eastAsia"/>
                <w:color w:val="auto"/>
                <w:highlight w:val="none"/>
                <w:u w:val="none"/>
              </w:rPr>
              <w:t>评价因子</w:t>
            </w:r>
          </w:p>
        </w:tc>
        <w:tc>
          <w:tcPr>
            <w:tcW w:w="5528" w:type="dxa"/>
            <w:gridSpan w:val="6"/>
            <w:vAlign w:val="center"/>
          </w:tcPr>
          <w:p w14:paraId="199D50D1">
            <w:pPr>
              <w:pStyle w:val="92"/>
              <w:rPr>
                <w:color w:val="auto"/>
                <w:highlight w:val="none"/>
                <w:u w:val="none"/>
              </w:rPr>
            </w:pPr>
            <w:r>
              <w:rPr>
                <w:rFonts w:hint="eastAsia"/>
                <w:color w:val="auto"/>
                <w:highlight w:val="none"/>
                <w:u w:val="none"/>
              </w:rPr>
              <w:t>同现状监测因子</w:t>
            </w:r>
          </w:p>
        </w:tc>
        <w:tc>
          <w:tcPr>
            <w:tcW w:w="1134" w:type="dxa"/>
            <w:vAlign w:val="center"/>
          </w:tcPr>
          <w:p w14:paraId="43321E65">
            <w:pPr>
              <w:pStyle w:val="92"/>
              <w:rPr>
                <w:color w:val="auto"/>
                <w:highlight w:val="none"/>
                <w:u w:val="none"/>
              </w:rPr>
            </w:pPr>
          </w:p>
        </w:tc>
      </w:tr>
      <w:tr w14:paraId="54A43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3DCF08A0">
            <w:pPr>
              <w:pStyle w:val="92"/>
              <w:rPr>
                <w:color w:val="auto"/>
                <w:highlight w:val="none"/>
                <w:u w:val="none"/>
              </w:rPr>
            </w:pPr>
          </w:p>
        </w:tc>
        <w:tc>
          <w:tcPr>
            <w:tcW w:w="1663" w:type="dxa"/>
            <w:vAlign w:val="center"/>
          </w:tcPr>
          <w:p w14:paraId="4A8AB705">
            <w:pPr>
              <w:pStyle w:val="92"/>
              <w:rPr>
                <w:color w:val="auto"/>
                <w:highlight w:val="none"/>
                <w:u w:val="none"/>
              </w:rPr>
            </w:pPr>
            <w:r>
              <w:rPr>
                <w:rFonts w:hint="eastAsia"/>
                <w:color w:val="auto"/>
                <w:highlight w:val="none"/>
                <w:u w:val="none"/>
              </w:rPr>
              <w:t>评价标准</w:t>
            </w:r>
          </w:p>
        </w:tc>
        <w:tc>
          <w:tcPr>
            <w:tcW w:w="5528" w:type="dxa"/>
            <w:gridSpan w:val="6"/>
            <w:vAlign w:val="center"/>
          </w:tcPr>
          <w:p w14:paraId="469C0CF0">
            <w:pPr>
              <w:pStyle w:val="92"/>
              <w:rPr>
                <w:color w:val="auto"/>
                <w:highlight w:val="none"/>
                <w:u w:val="none"/>
              </w:rPr>
            </w:pPr>
            <w:r>
              <w:rPr>
                <w:rFonts w:hint="eastAsia"/>
                <w:color w:val="auto"/>
                <w:highlight w:val="none"/>
                <w:u w:val="none"/>
              </w:rPr>
              <w:t>GB15618□；GB36600</w:t>
            </w:r>
            <w:r>
              <w:rPr>
                <w:rFonts w:hint="eastAsia"/>
                <w:color w:val="auto"/>
                <w:highlight w:val="none"/>
                <w:u w:val="none"/>
              </w:rPr>
              <w:sym w:font="Wingdings 2" w:char="0052"/>
            </w:r>
            <w:r>
              <w:rPr>
                <w:rFonts w:hint="eastAsia"/>
                <w:color w:val="auto"/>
                <w:highlight w:val="none"/>
                <w:u w:val="none"/>
              </w:rPr>
              <w:t>；表D.1□；表D.2□；其他</w:t>
            </w:r>
          </w:p>
        </w:tc>
        <w:tc>
          <w:tcPr>
            <w:tcW w:w="1134" w:type="dxa"/>
            <w:vAlign w:val="center"/>
          </w:tcPr>
          <w:p w14:paraId="6BA93005">
            <w:pPr>
              <w:pStyle w:val="92"/>
              <w:rPr>
                <w:color w:val="auto"/>
                <w:highlight w:val="none"/>
                <w:u w:val="none"/>
              </w:rPr>
            </w:pPr>
          </w:p>
        </w:tc>
      </w:tr>
      <w:tr w14:paraId="51759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3A209E26">
            <w:pPr>
              <w:pStyle w:val="92"/>
              <w:rPr>
                <w:color w:val="auto"/>
                <w:highlight w:val="none"/>
                <w:u w:val="none"/>
              </w:rPr>
            </w:pPr>
          </w:p>
        </w:tc>
        <w:tc>
          <w:tcPr>
            <w:tcW w:w="1663" w:type="dxa"/>
            <w:vAlign w:val="center"/>
          </w:tcPr>
          <w:p w14:paraId="105FDC98">
            <w:pPr>
              <w:pStyle w:val="92"/>
              <w:rPr>
                <w:color w:val="auto"/>
                <w:highlight w:val="none"/>
                <w:u w:val="none"/>
              </w:rPr>
            </w:pPr>
            <w:r>
              <w:rPr>
                <w:rFonts w:hint="eastAsia"/>
                <w:color w:val="auto"/>
                <w:highlight w:val="none"/>
                <w:u w:val="none"/>
              </w:rPr>
              <w:t>现状评价结论</w:t>
            </w:r>
          </w:p>
        </w:tc>
        <w:tc>
          <w:tcPr>
            <w:tcW w:w="5528" w:type="dxa"/>
            <w:gridSpan w:val="6"/>
            <w:vAlign w:val="center"/>
          </w:tcPr>
          <w:p w14:paraId="489E5CF4">
            <w:pPr>
              <w:pStyle w:val="92"/>
              <w:rPr>
                <w:color w:val="auto"/>
                <w:highlight w:val="none"/>
                <w:u w:val="none"/>
              </w:rPr>
            </w:pPr>
            <w:r>
              <w:rPr>
                <w:rFonts w:hint="eastAsia"/>
                <w:color w:val="auto"/>
                <w:highlight w:val="none"/>
                <w:u w:val="none"/>
              </w:rPr>
              <w:t>项目区域土壤环境质量现状良好，能够满足</w:t>
            </w:r>
          </w:p>
          <w:p w14:paraId="7E60DD25">
            <w:pPr>
              <w:pStyle w:val="92"/>
              <w:rPr>
                <w:color w:val="auto"/>
                <w:highlight w:val="none"/>
                <w:u w:val="none"/>
              </w:rPr>
            </w:pPr>
            <w:r>
              <w:rPr>
                <w:rFonts w:hint="eastAsia"/>
                <w:color w:val="auto"/>
                <w:highlight w:val="none"/>
                <w:u w:val="none"/>
              </w:rPr>
              <w:t>建设用地第二类用地筛选值</w:t>
            </w:r>
          </w:p>
        </w:tc>
        <w:tc>
          <w:tcPr>
            <w:tcW w:w="1134" w:type="dxa"/>
            <w:vAlign w:val="center"/>
          </w:tcPr>
          <w:p w14:paraId="6510D2D8">
            <w:pPr>
              <w:pStyle w:val="92"/>
              <w:rPr>
                <w:color w:val="auto"/>
                <w:highlight w:val="none"/>
                <w:u w:val="none"/>
              </w:rPr>
            </w:pPr>
          </w:p>
        </w:tc>
      </w:tr>
      <w:tr w14:paraId="6B6B1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restart"/>
            <w:vAlign w:val="center"/>
          </w:tcPr>
          <w:p w14:paraId="268D45EC">
            <w:pPr>
              <w:pStyle w:val="92"/>
              <w:rPr>
                <w:color w:val="auto"/>
                <w:highlight w:val="none"/>
                <w:u w:val="none"/>
              </w:rPr>
            </w:pPr>
            <w:r>
              <w:rPr>
                <w:rFonts w:hint="eastAsia"/>
                <w:color w:val="auto"/>
                <w:highlight w:val="none"/>
                <w:u w:val="none"/>
              </w:rPr>
              <w:t>影响预测</w:t>
            </w:r>
          </w:p>
        </w:tc>
        <w:tc>
          <w:tcPr>
            <w:tcW w:w="1663" w:type="dxa"/>
            <w:vAlign w:val="center"/>
          </w:tcPr>
          <w:p w14:paraId="14C02FDA">
            <w:pPr>
              <w:pStyle w:val="92"/>
              <w:rPr>
                <w:color w:val="auto"/>
                <w:highlight w:val="none"/>
                <w:u w:val="none"/>
              </w:rPr>
            </w:pPr>
            <w:r>
              <w:rPr>
                <w:rFonts w:hint="eastAsia"/>
                <w:color w:val="auto"/>
                <w:highlight w:val="none"/>
                <w:u w:val="none"/>
              </w:rPr>
              <w:t>评价因子</w:t>
            </w:r>
          </w:p>
        </w:tc>
        <w:tc>
          <w:tcPr>
            <w:tcW w:w="5528" w:type="dxa"/>
            <w:gridSpan w:val="6"/>
            <w:vAlign w:val="center"/>
          </w:tcPr>
          <w:p w14:paraId="2BF86BC1">
            <w:pPr>
              <w:pStyle w:val="92"/>
              <w:rPr>
                <w:color w:val="auto"/>
                <w:highlight w:val="none"/>
                <w:u w:val="none"/>
              </w:rPr>
            </w:pPr>
            <w:r>
              <w:rPr>
                <w:rFonts w:hint="eastAsia"/>
                <w:color w:val="auto"/>
                <w:highlight w:val="none"/>
                <w:u w:val="none"/>
              </w:rPr>
              <w:t>DNT、ODCB、甲苯</w:t>
            </w:r>
          </w:p>
        </w:tc>
        <w:tc>
          <w:tcPr>
            <w:tcW w:w="1134" w:type="dxa"/>
            <w:vAlign w:val="center"/>
          </w:tcPr>
          <w:p w14:paraId="744A8F5F">
            <w:pPr>
              <w:pStyle w:val="92"/>
              <w:rPr>
                <w:color w:val="auto"/>
                <w:highlight w:val="none"/>
                <w:u w:val="none"/>
              </w:rPr>
            </w:pPr>
          </w:p>
        </w:tc>
      </w:tr>
      <w:tr w14:paraId="691D3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070D1418">
            <w:pPr>
              <w:pStyle w:val="92"/>
              <w:rPr>
                <w:color w:val="auto"/>
                <w:highlight w:val="none"/>
                <w:u w:val="none"/>
              </w:rPr>
            </w:pPr>
          </w:p>
        </w:tc>
        <w:tc>
          <w:tcPr>
            <w:tcW w:w="1663" w:type="dxa"/>
            <w:vAlign w:val="center"/>
          </w:tcPr>
          <w:p w14:paraId="1BC899CA">
            <w:pPr>
              <w:pStyle w:val="92"/>
              <w:rPr>
                <w:color w:val="auto"/>
                <w:highlight w:val="none"/>
                <w:u w:val="none"/>
              </w:rPr>
            </w:pPr>
            <w:r>
              <w:rPr>
                <w:rFonts w:hint="eastAsia"/>
                <w:color w:val="auto"/>
                <w:highlight w:val="none"/>
                <w:u w:val="none"/>
              </w:rPr>
              <w:t>预测方法</w:t>
            </w:r>
          </w:p>
        </w:tc>
        <w:tc>
          <w:tcPr>
            <w:tcW w:w="5528" w:type="dxa"/>
            <w:gridSpan w:val="6"/>
            <w:vAlign w:val="center"/>
          </w:tcPr>
          <w:p w14:paraId="79C08F47">
            <w:pPr>
              <w:pStyle w:val="92"/>
              <w:rPr>
                <w:color w:val="auto"/>
                <w:highlight w:val="none"/>
                <w:u w:val="none"/>
              </w:rPr>
            </w:pPr>
            <w:r>
              <w:rPr>
                <w:rFonts w:hint="eastAsia"/>
                <w:color w:val="auto"/>
                <w:highlight w:val="none"/>
                <w:u w:val="none"/>
              </w:rPr>
              <w:t>附录E</w:t>
            </w:r>
            <w:r>
              <w:rPr>
                <w:rFonts w:hint="eastAsia"/>
                <w:color w:val="auto"/>
                <w:highlight w:val="none"/>
                <w:u w:val="none"/>
              </w:rPr>
              <w:sym w:font="Wingdings 2" w:char="0052"/>
            </w:r>
            <w:r>
              <w:rPr>
                <w:rFonts w:hint="eastAsia"/>
                <w:color w:val="auto"/>
                <w:highlight w:val="none"/>
                <w:u w:val="none"/>
              </w:rPr>
              <w:t>；附录F□；其他（）</w:t>
            </w:r>
          </w:p>
        </w:tc>
        <w:tc>
          <w:tcPr>
            <w:tcW w:w="1134" w:type="dxa"/>
            <w:vAlign w:val="center"/>
          </w:tcPr>
          <w:p w14:paraId="6B45A022">
            <w:pPr>
              <w:pStyle w:val="92"/>
              <w:rPr>
                <w:color w:val="auto"/>
                <w:highlight w:val="none"/>
                <w:u w:val="none"/>
              </w:rPr>
            </w:pPr>
          </w:p>
        </w:tc>
      </w:tr>
      <w:tr w14:paraId="4DB3A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20C4B4B3">
            <w:pPr>
              <w:pStyle w:val="92"/>
              <w:rPr>
                <w:color w:val="auto"/>
                <w:highlight w:val="none"/>
                <w:u w:val="none"/>
              </w:rPr>
            </w:pPr>
          </w:p>
        </w:tc>
        <w:tc>
          <w:tcPr>
            <w:tcW w:w="1663" w:type="dxa"/>
            <w:vAlign w:val="center"/>
          </w:tcPr>
          <w:p w14:paraId="3554E915">
            <w:pPr>
              <w:pStyle w:val="92"/>
              <w:rPr>
                <w:color w:val="auto"/>
                <w:highlight w:val="none"/>
                <w:u w:val="none"/>
              </w:rPr>
            </w:pPr>
            <w:r>
              <w:rPr>
                <w:rFonts w:hint="eastAsia"/>
                <w:color w:val="auto"/>
                <w:highlight w:val="none"/>
                <w:u w:val="none"/>
              </w:rPr>
              <w:t>预测分析内容</w:t>
            </w:r>
          </w:p>
        </w:tc>
        <w:tc>
          <w:tcPr>
            <w:tcW w:w="5528" w:type="dxa"/>
            <w:gridSpan w:val="6"/>
            <w:vAlign w:val="center"/>
          </w:tcPr>
          <w:p w14:paraId="157E8AFF">
            <w:pPr>
              <w:pStyle w:val="92"/>
              <w:rPr>
                <w:color w:val="auto"/>
                <w:highlight w:val="none"/>
                <w:u w:val="none"/>
              </w:rPr>
            </w:pPr>
            <w:r>
              <w:rPr>
                <w:rFonts w:hint="eastAsia"/>
                <w:color w:val="auto"/>
                <w:highlight w:val="none"/>
                <w:u w:val="none"/>
              </w:rPr>
              <w:t>影响范围</w:t>
            </w:r>
          </w:p>
        </w:tc>
        <w:tc>
          <w:tcPr>
            <w:tcW w:w="1134" w:type="dxa"/>
            <w:vAlign w:val="center"/>
          </w:tcPr>
          <w:p w14:paraId="32A70D3D">
            <w:pPr>
              <w:pStyle w:val="92"/>
              <w:rPr>
                <w:color w:val="auto"/>
                <w:highlight w:val="none"/>
                <w:u w:val="none"/>
              </w:rPr>
            </w:pPr>
          </w:p>
        </w:tc>
      </w:tr>
      <w:tr w14:paraId="63897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7FB1AD00">
            <w:pPr>
              <w:pStyle w:val="92"/>
              <w:rPr>
                <w:color w:val="auto"/>
                <w:highlight w:val="none"/>
                <w:u w:val="none"/>
              </w:rPr>
            </w:pPr>
          </w:p>
        </w:tc>
        <w:tc>
          <w:tcPr>
            <w:tcW w:w="1663" w:type="dxa"/>
            <w:vAlign w:val="center"/>
          </w:tcPr>
          <w:p w14:paraId="5E46D335">
            <w:pPr>
              <w:pStyle w:val="92"/>
              <w:rPr>
                <w:color w:val="auto"/>
                <w:highlight w:val="none"/>
                <w:u w:val="none"/>
              </w:rPr>
            </w:pPr>
            <w:r>
              <w:rPr>
                <w:color w:val="auto"/>
                <w:highlight w:val="none"/>
                <w:u w:val="none"/>
              </w:rPr>
              <w:t>预测结论</w:t>
            </w:r>
          </w:p>
        </w:tc>
        <w:tc>
          <w:tcPr>
            <w:tcW w:w="5528" w:type="dxa"/>
            <w:gridSpan w:val="6"/>
            <w:vAlign w:val="center"/>
          </w:tcPr>
          <w:p w14:paraId="5E217BFB">
            <w:pPr>
              <w:pStyle w:val="92"/>
              <w:rPr>
                <w:color w:val="auto"/>
                <w:highlight w:val="none"/>
                <w:u w:val="none"/>
              </w:rPr>
            </w:pPr>
            <w:r>
              <w:rPr>
                <w:rFonts w:hint="eastAsia"/>
                <w:color w:val="auto"/>
                <w:highlight w:val="none"/>
                <w:u w:val="none"/>
              </w:rPr>
              <w:t>达标结论a）</w:t>
            </w:r>
            <w:r>
              <w:rPr>
                <w:rFonts w:hint="eastAsia"/>
                <w:color w:val="auto"/>
                <w:highlight w:val="none"/>
                <w:u w:val="none"/>
              </w:rPr>
              <w:sym w:font="Wingdings 2" w:char="00A3"/>
            </w:r>
            <w:r>
              <w:rPr>
                <w:rFonts w:hint="eastAsia"/>
                <w:color w:val="auto"/>
                <w:highlight w:val="none"/>
                <w:u w:val="none"/>
              </w:rPr>
              <w:t>；b）□；c）</w:t>
            </w:r>
            <w:r>
              <w:rPr>
                <w:rFonts w:hint="eastAsia"/>
                <w:color w:val="auto"/>
                <w:highlight w:val="none"/>
                <w:u w:val="none"/>
              </w:rPr>
              <w:sym w:font="Wingdings 2" w:char="0052"/>
            </w:r>
            <w:r>
              <w:rPr>
                <w:rFonts w:hint="eastAsia"/>
                <w:color w:val="auto"/>
                <w:highlight w:val="none"/>
                <w:u w:val="none"/>
              </w:rPr>
              <w:t>不达标结论a）</w:t>
            </w:r>
            <w:r>
              <w:rPr>
                <w:rFonts w:hint="eastAsia"/>
                <w:color w:val="auto"/>
                <w:highlight w:val="none"/>
                <w:u w:val="none"/>
              </w:rPr>
              <w:sym w:font="Wingdings 2" w:char="00A3"/>
            </w:r>
            <w:r>
              <w:rPr>
                <w:rFonts w:hint="eastAsia"/>
                <w:color w:val="auto"/>
                <w:highlight w:val="none"/>
                <w:u w:val="none"/>
              </w:rPr>
              <w:t>；b）□</w:t>
            </w:r>
          </w:p>
        </w:tc>
        <w:tc>
          <w:tcPr>
            <w:tcW w:w="1134" w:type="dxa"/>
            <w:vAlign w:val="center"/>
          </w:tcPr>
          <w:p w14:paraId="459E4352">
            <w:pPr>
              <w:pStyle w:val="92"/>
              <w:rPr>
                <w:color w:val="auto"/>
                <w:highlight w:val="none"/>
                <w:u w:val="none"/>
              </w:rPr>
            </w:pPr>
          </w:p>
        </w:tc>
      </w:tr>
      <w:tr w14:paraId="7CF91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restart"/>
            <w:vAlign w:val="center"/>
          </w:tcPr>
          <w:p w14:paraId="2B1890D6">
            <w:pPr>
              <w:pStyle w:val="92"/>
              <w:rPr>
                <w:color w:val="auto"/>
                <w:highlight w:val="none"/>
                <w:u w:val="none"/>
              </w:rPr>
            </w:pPr>
            <w:r>
              <w:rPr>
                <w:rFonts w:hint="eastAsia"/>
                <w:color w:val="auto"/>
                <w:highlight w:val="none"/>
                <w:u w:val="none"/>
              </w:rPr>
              <w:t>防治措施</w:t>
            </w:r>
          </w:p>
        </w:tc>
        <w:tc>
          <w:tcPr>
            <w:tcW w:w="1663" w:type="dxa"/>
            <w:vAlign w:val="center"/>
          </w:tcPr>
          <w:p w14:paraId="687928FF">
            <w:pPr>
              <w:pStyle w:val="92"/>
              <w:rPr>
                <w:color w:val="auto"/>
                <w:highlight w:val="none"/>
                <w:u w:val="none"/>
              </w:rPr>
            </w:pPr>
            <w:r>
              <w:rPr>
                <w:rFonts w:hint="eastAsia"/>
                <w:color w:val="auto"/>
                <w:highlight w:val="none"/>
                <w:u w:val="none"/>
              </w:rPr>
              <w:t>防治措施</w:t>
            </w:r>
          </w:p>
        </w:tc>
        <w:tc>
          <w:tcPr>
            <w:tcW w:w="5528" w:type="dxa"/>
            <w:gridSpan w:val="6"/>
            <w:vAlign w:val="center"/>
          </w:tcPr>
          <w:p w14:paraId="0B26B4E1">
            <w:pPr>
              <w:pStyle w:val="92"/>
              <w:rPr>
                <w:color w:val="auto"/>
                <w:highlight w:val="none"/>
                <w:u w:val="none"/>
              </w:rPr>
            </w:pPr>
            <w:r>
              <w:rPr>
                <w:rFonts w:hint="eastAsia"/>
                <w:color w:val="auto"/>
                <w:highlight w:val="none"/>
                <w:u w:val="none"/>
              </w:rPr>
              <w:t>土壤环境质量现状保障</w:t>
            </w:r>
            <w:r>
              <w:rPr>
                <w:rFonts w:hint="eastAsia"/>
                <w:color w:val="auto"/>
                <w:highlight w:val="none"/>
                <w:u w:val="none"/>
              </w:rPr>
              <w:sym w:font="Wingdings 2" w:char="0052"/>
            </w:r>
            <w:r>
              <w:rPr>
                <w:rFonts w:hint="eastAsia"/>
                <w:color w:val="auto"/>
                <w:highlight w:val="none"/>
                <w:u w:val="none"/>
              </w:rPr>
              <w:t>；源头控制</w:t>
            </w:r>
            <w:r>
              <w:rPr>
                <w:rFonts w:hint="eastAsia"/>
                <w:color w:val="auto"/>
                <w:highlight w:val="none"/>
                <w:u w:val="none"/>
              </w:rPr>
              <w:sym w:font="Wingdings 2" w:char="0052"/>
            </w:r>
            <w:r>
              <w:rPr>
                <w:rFonts w:hint="eastAsia"/>
                <w:color w:val="auto"/>
                <w:highlight w:val="none"/>
                <w:u w:val="none"/>
              </w:rPr>
              <w:t>；过程防控</w:t>
            </w:r>
            <w:r>
              <w:rPr>
                <w:rFonts w:hint="eastAsia"/>
                <w:color w:val="auto"/>
                <w:highlight w:val="none"/>
                <w:u w:val="none"/>
              </w:rPr>
              <w:sym w:font="Wingdings 2" w:char="0052"/>
            </w:r>
            <w:r>
              <w:rPr>
                <w:rFonts w:hint="eastAsia"/>
                <w:color w:val="auto"/>
                <w:highlight w:val="none"/>
                <w:u w:val="none"/>
              </w:rPr>
              <w:t>；其他（）</w:t>
            </w:r>
          </w:p>
        </w:tc>
        <w:tc>
          <w:tcPr>
            <w:tcW w:w="1134" w:type="dxa"/>
            <w:vAlign w:val="center"/>
          </w:tcPr>
          <w:p w14:paraId="66F5C0FA">
            <w:pPr>
              <w:pStyle w:val="92"/>
              <w:rPr>
                <w:color w:val="auto"/>
                <w:highlight w:val="none"/>
                <w:u w:val="none"/>
              </w:rPr>
            </w:pPr>
          </w:p>
        </w:tc>
      </w:tr>
      <w:tr w14:paraId="02AC0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7B9642D4">
            <w:pPr>
              <w:pStyle w:val="92"/>
              <w:rPr>
                <w:color w:val="auto"/>
                <w:highlight w:val="none"/>
                <w:u w:val="none"/>
              </w:rPr>
            </w:pPr>
          </w:p>
        </w:tc>
        <w:tc>
          <w:tcPr>
            <w:tcW w:w="1663" w:type="dxa"/>
            <w:vMerge w:val="restart"/>
            <w:vAlign w:val="center"/>
          </w:tcPr>
          <w:p w14:paraId="4E8EB939">
            <w:pPr>
              <w:pStyle w:val="92"/>
              <w:rPr>
                <w:color w:val="auto"/>
                <w:highlight w:val="none"/>
                <w:u w:val="none"/>
              </w:rPr>
            </w:pPr>
            <w:r>
              <w:rPr>
                <w:rFonts w:hint="eastAsia"/>
                <w:color w:val="auto"/>
                <w:highlight w:val="none"/>
                <w:u w:val="none"/>
              </w:rPr>
              <w:t>跟踪监测</w:t>
            </w:r>
          </w:p>
        </w:tc>
        <w:tc>
          <w:tcPr>
            <w:tcW w:w="1701" w:type="dxa"/>
            <w:gridSpan w:val="2"/>
            <w:vAlign w:val="center"/>
          </w:tcPr>
          <w:p w14:paraId="5464A370">
            <w:pPr>
              <w:pStyle w:val="92"/>
              <w:rPr>
                <w:color w:val="auto"/>
                <w:highlight w:val="none"/>
                <w:u w:val="none"/>
              </w:rPr>
            </w:pPr>
            <w:r>
              <w:rPr>
                <w:rFonts w:hint="eastAsia"/>
                <w:color w:val="auto"/>
                <w:highlight w:val="none"/>
                <w:u w:val="none"/>
              </w:rPr>
              <w:t>监测点位</w:t>
            </w:r>
          </w:p>
        </w:tc>
        <w:tc>
          <w:tcPr>
            <w:tcW w:w="1842" w:type="dxa"/>
            <w:gridSpan w:val="2"/>
            <w:vAlign w:val="center"/>
          </w:tcPr>
          <w:p w14:paraId="33DED076">
            <w:pPr>
              <w:pStyle w:val="92"/>
              <w:rPr>
                <w:color w:val="auto"/>
                <w:highlight w:val="none"/>
                <w:u w:val="none"/>
              </w:rPr>
            </w:pPr>
            <w:r>
              <w:rPr>
                <w:rFonts w:hint="eastAsia"/>
                <w:color w:val="auto"/>
                <w:highlight w:val="none"/>
                <w:u w:val="none"/>
              </w:rPr>
              <w:t>跟踪指标</w:t>
            </w:r>
          </w:p>
        </w:tc>
        <w:tc>
          <w:tcPr>
            <w:tcW w:w="1985" w:type="dxa"/>
            <w:gridSpan w:val="2"/>
            <w:vAlign w:val="center"/>
          </w:tcPr>
          <w:p w14:paraId="05F0115E">
            <w:pPr>
              <w:pStyle w:val="92"/>
              <w:rPr>
                <w:color w:val="auto"/>
                <w:highlight w:val="none"/>
                <w:u w:val="none"/>
              </w:rPr>
            </w:pPr>
            <w:r>
              <w:rPr>
                <w:rFonts w:hint="eastAsia"/>
                <w:color w:val="auto"/>
                <w:highlight w:val="none"/>
                <w:u w:val="none"/>
              </w:rPr>
              <w:t>监测频次</w:t>
            </w:r>
          </w:p>
        </w:tc>
        <w:tc>
          <w:tcPr>
            <w:tcW w:w="1134" w:type="dxa"/>
            <w:vAlign w:val="center"/>
          </w:tcPr>
          <w:p w14:paraId="65D6F619">
            <w:pPr>
              <w:pStyle w:val="92"/>
              <w:rPr>
                <w:color w:val="auto"/>
                <w:highlight w:val="none"/>
                <w:u w:val="none"/>
              </w:rPr>
            </w:pPr>
          </w:p>
        </w:tc>
      </w:tr>
      <w:tr w14:paraId="43972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1D236B44">
            <w:pPr>
              <w:pStyle w:val="92"/>
              <w:rPr>
                <w:color w:val="auto"/>
                <w:highlight w:val="none"/>
                <w:u w:val="none"/>
              </w:rPr>
            </w:pPr>
          </w:p>
        </w:tc>
        <w:tc>
          <w:tcPr>
            <w:tcW w:w="1663" w:type="dxa"/>
            <w:vMerge w:val="continue"/>
            <w:vAlign w:val="center"/>
          </w:tcPr>
          <w:p w14:paraId="72D6DB4E">
            <w:pPr>
              <w:pStyle w:val="92"/>
              <w:rPr>
                <w:color w:val="auto"/>
                <w:highlight w:val="none"/>
                <w:u w:val="none"/>
              </w:rPr>
            </w:pPr>
          </w:p>
        </w:tc>
        <w:tc>
          <w:tcPr>
            <w:tcW w:w="1701" w:type="dxa"/>
            <w:gridSpan w:val="2"/>
            <w:vAlign w:val="center"/>
          </w:tcPr>
          <w:p w14:paraId="37A83ABE">
            <w:pPr>
              <w:pStyle w:val="92"/>
              <w:rPr>
                <w:color w:val="auto"/>
                <w:highlight w:val="none"/>
                <w:u w:val="none"/>
              </w:rPr>
            </w:pPr>
            <w:r>
              <w:rPr>
                <w:color w:val="auto"/>
                <w:highlight w:val="none"/>
                <w:u w:val="none"/>
              </w:rPr>
              <w:t>4</w:t>
            </w:r>
          </w:p>
        </w:tc>
        <w:tc>
          <w:tcPr>
            <w:tcW w:w="1842" w:type="dxa"/>
            <w:gridSpan w:val="2"/>
            <w:vAlign w:val="center"/>
          </w:tcPr>
          <w:p w14:paraId="0881A2D0">
            <w:pPr>
              <w:pStyle w:val="92"/>
              <w:rPr>
                <w:color w:val="auto"/>
                <w:highlight w:val="none"/>
                <w:u w:val="none"/>
              </w:rPr>
            </w:pPr>
            <w:r>
              <w:rPr>
                <w:rFonts w:hint="eastAsia"/>
                <w:color w:val="auto"/>
                <w:highlight w:val="none"/>
                <w:u w:val="none"/>
              </w:rPr>
              <w:t>首次监测：</w:t>
            </w:r>
            <w:r>
              <w:rPr>
                <w:color w:val="auto"/>
                <w:highlight w:val="none"/>
                <w:u w:val="none"/>
              </w:rPr>
              <w:t>GB/T14848-2017</w:t>
            </w:r>
            <w:r>
              <w:rPr>
                <w:rFonts w:hint="eastAsia"/>
                <w:color w:val="auto"/>
                <w:highlight w:val="none"/>
                <w:u w:val="none"/>
              </w:rPr>
              <w:t>表</w:t>
            </w:r>
            <w:r>
              <w:rPr>
                <w:color w:val="auto"/>
                <w:highlight w:val="none"/>
                <w:u w:val="none"/>
              </w:rPr>
              <w:t>1</w:t>
            </w:r>
            <w:r>
              <w:rPr>
                <w:rFonts w:hint="eastAsia"/>
                <w:color w:val="auto"/>
                <w:highlight w:val="none"/>
                <w:u w:val="none"/>
              </w:rPr>
              <w:t>指标（除去放射性指标、微生物指标）、ODCB、</w:t>
            </w:r>
            <w:r>
              <w:rPr>
                <w:color w:val="auto"/>
                <w:highlight w:val="none"/>
                <w:u w:val="none"/>
              </w:rPr>
              <w:t>2,4-</w:t>
            </w:r>
            <w:r>
              <w:rPr>
                <w:rFonts w:hint="eastAsia"/>
                <w:color w:val="auto"/>
                <w:highlight w:val="none"/>
                <w:u w:val="none"/>
              </w:rPr>
              <w:t>二硝基甲苯、</w:t>
            </w:r>
            <w:r>
              <w:rPr>
                <w:color w:val="auto"/>
                <w:highlight w:val="none"/>
                <w:u w:val="none"/>
              </w:rPr>
              <w:t>2,6-</w:t>
            </w:r>
            <w:r>
              <w:rPr>
                <w:rFonts w:hint="eastAsia"/>
                <w:color w:val="auto"/>
                <w:highlight w:val="none"/>
                <w:u w:val="none"/>
              </w:rPr>
              <w:t>二硝基甲苯、甲苯；</w:t>
            </w:r>
          </w:p>
          <w:p w14:paraId="4EE4C212">
            <w:pPr>
              <w:pStyle w:val="92"/>
              <w:ind w:firstLine="0" w:firstLineChars="0"/>
              <w:rPr>
                <w:color w:val="auto"/>
                <w:highlight w:val="none"/>
                <w:u w:val="none"/>
              </w:rPr>
            </w:pPr>
            <w:r>
              <w:rPr>
                <w:rFonts w:hint="eastAsia"/>
                <w:color w:val="auto"/>
                <w:highlight w:val="none"/>
                <w:u w:val="none"/>
              </w:rPr>
              <w:t>后续监测：ODCB、</w:t>
            </w:r>
            <w:r>
              <w:rPr>
                <w:color w:val="auto"/>
                <w:highlight w:val="none"/>
                <w:u w:val="none"/>
              </w:rPr>
              <w:t>2,4-</w:t>
            </w:r>
            <w:r>
              <w:rPr>
                <w:rFonts w:hint="eastAsia"/>
                <w:color w:val="auto"/>
                <w:highlight w:val="none"/>
                <w:u w:val="none"/>
              </w:rPr>
              <w:t>二硝基甲苯、</w:t>
            </w:r>
            <w:r>
              <w:rPr>
                <w:color w:val="auto"/>
                <w:highlight w:val="none"/>
                <w:u w:val="none"/>
              </w:rPr>
              <w:t>2,6-</w:t>
            </w:r>
            <w:r>
              <w:rPr>
                <w:rFonts w:hint="eastAsia"/>
                <w:color w:val="auto"/>
                <w:highlight w:val="none"/>
                <w:u w:val="none"/>
              </w:rPr>
              <w:t>二硝基甲苯、甲苯、前期监测中曾超标的污染物。</w:t>
            </w:r>
          </w:p>
        </w:tc>
        <w:tc>
          <w:tcPr>
            <w:tcW w:w="1985" w:type="dxa"/>
            <w:gridSpan w:val="2"/>
            <w:vAlign w:val="center"/>
          </w:tcPr>
          <w:p w14:paraId="4835B918">
            <w:pPr>
              <w:pStyle w:val="92"/>
              <w:ind w:firstLine="0" w:firstLineChars="0"/>
              <w:rPr>
                <w:color w:val="auto"/>
                <w:highlight w:val="none"/>
                <w:u w:val="none"/>
              </w:rPr>
            </w:pPr>
            <w:r>
              <w:rPr>
                <w:rFonts w:hint="eastAsia"/>
                <w:color w:val="auto"/>
                <w:highlight w:val="none"/>
                <w:u w:val="none"/>
              </w:rPr>
              <w:t>表层土壤</w:t>
            </w:r>
            <w:r>
              <w:rPr>
                <w:color w:val="auto"/>
                <w:highlight w:val="none"/>
                <w:u w:val="none"/>
              </w:rPr>
              <w:t>每年检测1次；深层土壤每三年监测1次。当发生事故时，应加密监测。</w:t>
            </w:r>
          </w:p>
        </w:tc>
        <w:tc>
          <w:tcPr>
            <w:tcW w:w="1134" w:type="dxa"/>
            <w:vAlign w:val="center"/>
          </w:tcPr>
          <w:p w14:paraId="500AA635">
            <w:pPr>
              <w:pStyle w:val="92"/>
              <w:rPr>
                <w:color w:val="auto"/>
                <w:highlight w:val="none"/>
                <w:u w:val="none"/>
              </w:rPr>
            </w:pPr>
          </w:p>
        </w:tc>
      </w:tr>
      <w:tr w14:paraId="7ED71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dxa"/>
            <w:vMerge w:val="continue"/>
            <w:vAlign w:val="center"/>
          </w:tcPr>
          <w:p w14:paraId="19A43D1F">
            <w:pPr>
              <w:pStyle w:val="92"/>
              <w:rPr>
                <w:color w:val="auto"/>
                <w:highlight w:val="none"/>
                <w:u w:val="none"/>
              </w:rPr>
            </w:pPr>
          </w:p>
        </w:tc>
        <w:tc>
          <w:tcPr>
            <w:tcW w:w="1663" w:type="dxa"/>
            <w:vAlign w:val="center"/>
          </w:tcPr>
          <w:p w14:paraId="4CC995BE">
            <w:pPr>
              <w:pStyle w:val="92"/>
              <w:rPr>
                <w:color w:val="auto"/>
                <w:highlight w:val="none"/>
                <w:u w:val="none"/>
              </w:rPr>
            </w:pPr>
            <w:r>
              <w:rPr>
                <w:rFonts w:hint="eastAsia"/>
                <w:color w:val="auto"/>
                <w:highlight w:val="none"/>
                <w:u w:val="none"/>
              </w:rPr>
              <w:t>信息公开指标</w:t>
            </w:r>
          </w:p>
        </w:tc>
        <w:tc>
          <w:tcPr>
            <w:tcW w:w="5528" w:type="dxa"/>
            <w:gridSpan w:val="6"/>
            <w:vAlign w:val="center"/>
          </w:tcPr>
          <w:p w14:paraId="6C827ECD">
            <w:pPr>
              <w:pStyle w:val="92"/>
              <w:rPr>
                <w:color w:val="auto"/>
                <w:highlight w:val="none"/>
                <w:u w:val="none"/>
              </w:rPr>
            </w:pPr>
            <w:r>
              <w:rPr>
                <w:rFonts w:hint="eastAsia"/>
                <w:color w:val="auto"/>
                <w:highlight w:val="none"/>
                <w:u w:val="none"/>
              </w:rPr>
              <w:t>与跟踪监测指标一致</w:t>
            </w:r>
          </w:p>
        </w:tc>
        <w:tc>
          <w:tcPr>
            <w:tcW w:w="1134" w:type="dxa"/>
            <w:vAlign w:val="center"/>
          </w:tcPr>
          <w:p w14:paraId="65476413">
            <w:pPr>
              <w:pStyle w:val="92"/>
              <w:rPr>
                <w:color w:val="auto"/>
                <w:highlight w:val="none"/>
                <w:u w:val="none"/>
              </w:rPr>
            </w:pPr>
          </w:p>
        </w:tc>
      </w:tr>
      <w:tr w14:paraId="1EE75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2" w:type="dxa"/>
            <w:gridSpan w:val="2"/>
            <w:vAlign w:val="center"/>
          </w:tcPr>
          <w:p w14:paraId="1BEAE486">
            <w:pPr>
              <w:pStyle w:val="92"/>
              <w:rPr>
                <w:color w:val="auto"/>
                <w:highlight w:val="none"/>
                <w:u w:val="none"/>
              </w:rPr>
            </w:pPr>
            <w:r>
              <w:rPr>
                <w:rFonts w:hint="eastAsia"/>
                <w:color w:val="auto"/>
                <w:highlight w:val="none"/>
                <w:u w:val="none"/>
              </w:rPr>
              <w:t>评价结论</w:t>
            </w:r>
          </w:p>
        </w:tc>
        <w:tc>
          <w:tcPr>
            <w:tcW w:w="5528" w:type="dxa"/>
            <w:gridSpan w:val="6"/>
            <w:vAlign w:val="center"/>
          </w:tcPr>
          <w:p w14:paraId="1D4DA526">
            <w:pPr>
              <w:pStyle w:val="92"/>
              <w:rPr>
                <w:color w:val="auto"/>
                <w:highlight w:val="none"/>
                <w:u w:val="none"/>
              </w:rPr>
            </w:pPr>
            <w:r>
              <w:rPr>
                <w:rFonts w:hint="eastAsia"/>
                <w:color w:val="auto"/>
                <w:highlight w:val="none"/>
                <w:u w:val="none"/>
              </w:rPr>
              <w:t>可接受</w:t>
            </w:r>
          </w:p>
        </w:tc>
        <w:tc>
          <w:tcPr>
            <w:tcW w:w="1134" w:type="dxa"/>
            <w:vAlign w:val="center"/>
          </w:tcPr>
          <w:p w14:paraId="46C56CAF">
            <w:pPr>
              <w:pStyle w:val="92"/>
              <w:rPr>
                <w:color w:val="auto"/>
                <w:highlight w:val="none"/>
                <w:u w:val="none"/>
              </w:rPr>
            </w:pPr>
          </w:p>
        </w:tc>
      </w:tr>
      <w:tr w14:paraId="38024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74" w:type="dxa"/>
            <w:gridSpan w:val="9"/>
            <w:vAlign w:val="center"/>
          </w:tcPr>
          <w:p w14:paraId="2B6E20B7">
            <w:pPr>
              <w:pStyle w:val="92"/>
              <w:rPr>
                <w:color w:val="auto"/>
                <w:highlight w:val="none"/>
                <w:u w:val="none"/>
              </w:rPr>
            </w:pPr>
            <w:r>
              <w:rPr>
                <w:rFonts w:hint="eastAsia"/>
                <w:color w:val="auto"/>
                <w:highlight w:val="none"/>
                <w:u w:val="none"/>
              </w:rPr>
              <w:t>注1：“□”为勾选项；可√；“（ ）”为内容填写项；“备注”为其他补充内容。</w:t>
            </w:r>
          </w:p>
          <w:p w14:paraId="3AE9D7A2">
            <w:pPr>
              <w:pStyle w:val="92"/>
              <w:rPr>
                <w:color w:val="auto"/>
                <w:highlight w:val="none"/>
                <w:u w:val="none"/>
              </w:rPr>
            </w:pPr>
            <w:r>
              <w:rPr>
                <w:rFonts w:hint="eastAsia"/>
                <w:color w:val="auto"/>
                <w:highlight w:val="none"/>
                <w:u w:val="none"/>
              </w:rPr>
              <w:t>注2：需要分别开展土壤环境影响评级工作的，分别填写自查表。</w:t>
            </w:r>
          </w:p>
        </w:tc>
      </w:tr>
    </w:tbl>
    <w:p w14:paraId="49C9DAB0">
      <w:pPr>
        <w:pStyle w:val="4"/>
        <w:rPr>
          <w:rFonts w:hint="eastAsia" w:eastAsiaTheme="minorEastAsia"/>
          <w:color w:val="auto"/>
          <w:highlight w:val="none"/>
          <w:u w:val="none"/>
        </w:rPr>
      </w:pPr>
      <w:bookmarkStart w:id="560" w:name="_Toc9448"/>
      <w:r>
        <w:rPr>
          <w:rFonts w:hint="eastAsia"/>
          <w:color w:val="auto"/>
          <w:highlight w:val="none"/>
          <w:u w:val="none"/>
        </w:rPr>
        <w:t>生态环境影响分析</w:t>
      </w:r>
      <w:bookmarkEnd w:id="556"/>
      <w:bookmarkEnd w:id="557"/>
      <w:bookmarkEnd w:id="558"/>
      <w:bookmarkEnd w:id="559"/>
      <w:bookmarkEnd w:id="560"/>
    </w:p>
    <w:p w14:paraId="5FD76375">
      <w:pPr>
        <w:pStyle w:val="6"/>
        <w:spacing w:before="156" w:after="156"/>
        <w:rPr>
          <w:color w:val="auto"/>
          <w:highlight w:val="none"/>
          <w:u w:val="none"/>
        </w:rPr>
      </w:pPr>
      <w:r>
        <w:rPr>
          <w:rFonts w:hint="eastAsia"/>
          <w:color w:val="auto"/>
          <w:highlight w:val="none"/>
          <w:u w:val="none"/>
        </w:rPr>
        <w:t>陆域生态环境影响分析</w:t>
      </w:r>
    </w:p>
    <w:p w14:paraId="650F7151">
      <w:pPr>
        <w:pStyle w:val="7"/>
        <w:spacing w:before="156"/>
        <w:rPr>
          <w:color w:val="auto"/>
          <w:highlight w:val="none"/>
          <w:u w:val="none"/>
        </w:rPr>
      </w:pPr>
      <w:r>
        <w:rPr>
          <w:rFonts w:hint="eastAsia"/>
          <w:color w:val="auto"/>
          <w:highlight w:val="none"/>
          <w:u w:val="none"/>
        </w:rPr>
        <w:t>对动植物影响</w:t>
      </w:r>
    </w:p>
    <w:p w14:paraId="1C7B2D42">
      <w:pPr>
        <w:pStyle w:val="5"/>
        <w:ind w:firstLine="480"/>
        <w:rPr>
          <w:rFonts w:hint="eastAsia"/>
          <w:color w:val="auto"/>
          <w:highlight w:val="none"/>
          <w:u w:val="none"/>
        </w:rPr>
      </w:pPr>
      <w:r>
        <w:rPr>
          <w:rFonts w:hint="eastAsia"/>
          <w:color w:val="auto"/>
          <w:highlight w:val="none"/>
          <w:u w:val="none"/>
        </w:rPr>
        <w:t>工程运营阶段对动植物的影响主要为工程投产运行后，废气排放对周围动植物和农作物的影响。根据工程分析，运营期间在正常运行（即污染物达标排放）情况下，本工程产生的废气主要N</w:t>
      </w:r>
      <w:r>
        <w:rPr>
          <w:color w:val="auto"/>
          <w:highlight w:val="none"/>
          <w:u w:val="none"/>
        </w:rPr>
        <w:t>O</w:t>
      </w:r>
      <w:r>
        <w:rPr>
          <w:rFonts w:hint="eastAsia"/>
          <w:color w:val="auto"/>
          <w:highlight w:val="none"/>
          <w:u w:val="none"/>
          <w:vertAlign w:val="subscript"/>
        </w:rPr>
        <w:t>x</w:t>
      </w:r>
      <w:r>
        <w:rPr>
          <w:rFonts w:hint="eastAsia"/>
          <w:color w:val="auto"/>
          <w:highlight w:val="none"/>
          <w:u w:val="none"/>
        </w:rPr>
        <w:t>（硝酸雾）、C</w:t>
      </w:r>
      <w:r>
        <w:rPr>
          <w:color w:val="auto"/>
          <w:highlight w:val="none"/>
          <w:u w:val="none"/>
        </w:rPr>
        <w:t>O</w:t>
      </w:r>
      <w:r>
        <w:rPr>
          <w:rFonts w:hint="eastAsia"/>
          <w:color w:val="auto"/>
          <w:highlight w:val="none"/>
          <w:u w:val="none"/>
          <w:vertAlign w:val="subscript"/>
        </w:rPr>
        <w:t>x</w:t>
      </w:r>
      <w:r>
        <w:rPr>
          <w:rFonts w:hint="eastAsia"/>
          <w:color w:val="auto"/>
          <w:highlight w:val="none"/>
          <w:u w:val="none"/>
        </w:rPr>
        <w:t>、D</w:t>
      </w:r>
      <w:r>
        <w:rPr>
          <w:color w:val="auto"/>
          <w:highlight w:val="none"/>
          <w:u w:val="none"/>
        </w:rPr>
        <w:t>NT</w:t>
      </w:r>
      <w:r>
        <w:rPr>
          <w:rFonts w:hint="eastAsia"/>
          <w:color w:val="auto"/>
          <w:highlight w:val="none"/>
          <w:u w:val="none"/>
        </w:rPr>
        <w:t>（硝基苯类）、氨、V</w:t>
      </w:r>
      <w:r>
        <w:rPr>
          <w:color w:val="auto"/>
          <w:highlight w:val="none"/>
          <w:u w:val="none"/>
        </w:rPr>
        <w:t>OC</w:t>
      </w:r>
      <w:r>
        <w:rPr>
          <w:rFonts w:hint="eastAsia"/>
          <w:color w:val="auto"/>
          <w:highlight w:val="none"/>
          <w:u w:val="none"/>
        </w:rPr>
        <w:t>s、T</w:t>
      </w:r>
      <w:r>
        <w:rPr>
          <w:color w:val="auto"/>
          <w:highlight w:val="none"/>
          <w:u w:val="none"/>
        </w:rPr>
        <w:t>DA</w:t>
      </w:r>
      <w:r>
        <w:rPr>
          <w:rFonts w:hint="eastAsia"/>
          <w:color w:val="auto"/>
          <w:highlight w:val="none"/>
          <w:u w:val="none"/>
        </w:rPr>
        <w:t>（苯胺类）、</w:t>
      </w:r>
      <w:r>
        <w:rPr>
          <w:color w:val="auto"/>
          <w:highlight w:val="none"/>
          <w:u w:val="none"/>
        </w:rPr>
        <w:t>C</w:t>
      </w:r>
      <w:r>
        <w:rPr>
          <w:rFonts w:hint="eastAsia"/>
          <w:color w:val="auto"/>
          <w:highlight w:val="none"/>
          <w:u w:val="none"/>
        </w:rPr>
        <w:t>l</w:t>
      </w:r>
      <w:r>
        <w:rPr>
          <w:color w:val="auto"/>
          <w:highlight w:val="none"/>
          <w:u w:val="none"/>
          <w:vertAlign w:val="subscript"/>
        </w:rPr>
        <w:t>2</w:t>
      </w:r>
      <w:r>
        <w:rPr>
          <w:rFonts w:hint="eastAsia"/>
          <w:color w:val="auto"/>
          <w:highlight w:val="none"/>
          <w:u w:val="none"/>
        </w:rPr>
        <w:t>、O</w:t>
      </w:r>
      <w:r>
        <w:rPr>
          <w:color w:val="auto"/>
          <w:highlight w:val="none"/>
          <w:u w:val="none"/>
        </w:rPr>
        <w:t>DCB</w:t>
      </w:r>
      <w:r>
        <w:rPr>
          <w:rFonts w:hint="eastAsia"/>
          <w:color w:val="auto"/>
          <w:highlight w:val="none"/>
          <w:u w:val="none"/>
        </w:rPr>
        <w:t>（氯苯类）、H</w:t>
      </w:r>
      <w:r>
        <w:rPr>
          <w:color w:val="auto"/>
          <w:highlight w:val="none"/>
          <w:u w:val="none"/>
        </w:rPr>
        <w:t>C</w:t>
      </w:r>
      <w:r>
        <w:rPr>
          <w:rFonts w:hint="eastAsia"/>
          <w:color w:val="auto"/>
          <w:highlight w:val="none"/>
          <w:u w:val="none"/>
        </w:rPr>
        <w:t>l、T</w:t>
      </w:r>
      <w:r>
        <w:rPr>
          <w:color w:val="auto"/>
          <w:highlight w:val="none"/>
          <w:u w:val="none"/>
        </w:rPr>
        <w:t>DI</w:t>
      </w:r>
      <w:r>
        <w:rPr>
          <w:rFonts w:hint="eastAsia"/>
          <w:color w:val="auto"/>
          <w:highlight w:val="none"/>
          <w:u w:val="none"/>
        </w:rPr>
        <w:t>等。</w:t>
      </w:r>
    </w:p>
    <w:p w14:paraId="3C8407FB">
      <w:pPr>
        <w:pStyle w:val="981"/>
        <w:rPr>
          <w:rFonts w:hint="eastAsia"/>
          <w:snapToGrid w:val="0"/>
          <w:color w:val="auto"/>
          <w:highlight w:val="none"/>
          <w:u w:val="none"/>
        </w:rPr>
      </w:pPr>
      <w:r>
        <w:rPr>
          <w:snapToGrid w:val="0"/>
          <w:color w:val="auto"/>
          <w:highlight w:val="none"/>
          <w:u w:val="none"/>
        </w:rPr>
        <w:t>（1）NO</w:t>
      </w:r>
      <w:r>
        <w:rPr>
          <w:snapToGrid w:val="0"/>
          <w:color w:val="auto"/>
          <w:highlight w:val="none"/>
          <w:u w:val="none"/>
          <w:vertAlign w:val="subscript"/>
        </w:rPr>
        <w:t>x</w:t>
      </w:r>
    </w:p>
    <w:p w14:paraId="3032FB35">
      <w:pPr>
        <w:pStyle w:val="981"/>
        <w:rPr>
          <w:rFonts w:hint="eastAsia"/>
          <w:color w:val="auto"/>
          <w:highlight w:val="none"/>
          <w:u w:val="none"/>
        </w:rPr>
      </w:pPr>
      <w:r>
        <w:rPr>
          <w:color w:val="auto"/>
          <w:highlight w:val="none"/>
          <w:u w:val="none"/>
        </w:rPr>
        <w:t>氮氧化物与空气中的水结合最终会转化成硝酸和硝酸盐，硝酸是酸雨的成因之一；它与其他污染物在一定条件下能产生光化学烟雾污染。酸雨危害是多方面的，包括对人体健康、生态系统和建筑设施都有直接和潜在的危害。酸雨可使儿童免疫功能下降，慢性咽炎、支气管哮喘发病率增加，同时可使老人眼部、呼吸道患病率增加。酸雨还可使农作物大幅度减产，大豆、蔬菜也容易受酸雨危害，导致蛋白质含量和产量下降。酸雨对森林和其他植物危害也较大，常使森林和其他植物叶子枯黄、病虫害加重，最终造成大面积死亡。</w:t>
      </w:r>
    </w:p>
    <w:p w14:paraId="2EDBDD9F">
      <w:pPr>
        <w:pStyle w:val="981"/>
        <w:rPr>
          <w:rFonts w:hint="eastAsia"/>
          <w:snapToGrid w:val="0"/>
          <w:color w:val="auto"/>
          <w:highlight w:val="none"/>
          <w:u w:val="none"/>
        </w:rPr>
      </w:pPr>
      <w:r>
        <w:rPr>
          <w:snapToGrid w:val="0"/>
          <w:color w:val="auto"/>
          <w:highlight w:val="none"/>
          <w:u w:val="none"/>
        </w:rPr>
        <w:t>氮氧化物的排放不仅会造成酸雨，还可能引起光化学烟雾，从而影响植物细胞的渗透性，可导致高产作物的高产性能消失，甚至使植物丧失遗传能力。植物受到损害，开始时表皮褪色，呈蜡质状，经过一段时间后色素发生变化，叶片上出现红褐色斑点。叶子背面呈银灰色或古铜色，影响植物的生长，降低植物对</w:t>
      </w:r>
      <w:r>
        <w:rPr>
          <w:color w:val="auto"/>
          <w:highlight w:val="none"/>
          <w:u w:val="none"/>
        </w:rPr>
        <w:fldChar w:fldCharType="begin"/>
      </w:r>
      <w:r>
        <w:rPr>
          <w:color w:val="auto"/>
          <w:highlight w:val="none"/>
          <w:u w:val="none"/>
        </w:rPr>
        <w:instrText xml:space="preserve"> HYPERLINK "http://baike.baidu.com/view/1117987.htm" \t "_blank" </w:instrText>
      </w:r>
      <w:r>
        <w:rPr>
          <w:color w:val="auto"/>
          <w:highlight w:val="none"/>
          <w:u w:val="none"/>
        </w:rPr>
        <w:fldChar w:fldCharType="separate"/>
      </w:r>
      <w:r>
        <w:rPr>
          <w:snapToGrid w:val="0"/>
          <w:color w:val="auto"/>
          <w:highlight w:val="none"/>
          <w:u w:val="none"/>
        </w:rPr>
        <w:t>病虫害</w:t>
      </w:r>
      <w:r>
        <w:rPr>
          <w:snapToGrid w:val="0"/>
          <w:color w:val="auto"/>
          <w:highlight w:val="none"/>
          <w:u w:val="none"/>
        </w:rPr>
        <w:fldChar w:fldCharType="end"/>
      </w:r>
      <w:r>
        <w:rPr>
          <w:snapToGrid w:val="0"/>
          <w:color w:val="auto"/>
          <w:highlight w:val="none"/>
          <w:u w:val="none"/>
        </w:rPr>
        <w:t>的抵抗力。</w:t>
      </w:r>
    </w:p>
    <w:p w14:paraId="43D1ED89">
      <w:pPr>
        <w:pStyle w:val="981"/>
        <w:rPr>
          <w:rFonts w:hint="eastAsia"/>
          <w:snapToGrid w:val="0"/>
          <w:color w:val="auto"/>
          <w:highlight w:val="none"/>
          <w:u w:val="none"/>
        </w:rPr>
      </w:pPr>
      <w:r>
        <w:rPr>
          <w:snapToGrid w:val="0"/>
          <w:color w:val="auto"/>
          <w:highlight w:val="none"/>
          <w:u w:val="none"/>
        </w:rPr>
        <w:t>NO</w:t>
      </w:r>
      <w:r>
        <w:rPr>
          <w:snapToGrid w:val="0"/>
          <w:color w:val="auto"/>
          <w:highlight w:val="none"/>
          <w:u w:val="none"/>
          <w:vertAlign w:val="subscript"/>
        </w:rPr>
        <w:t>x</w:t>
      </w:r>
      <w:r>
        <w:rPr>
          <w:snapToGrid w:val="0"/>
          <w:color w:val="auto"/>
          <w:highlight w:val="none"/>
          <w:u w:val="none"/>
        </w:rPr>
        <w:t>对植物伤害的一个重要方面是NO</w:t>
      </w:r>
      <w:r>
        <w:rPr>
          <w:snapToGrid w:val="0"/>
          <w:color w:val="auto"/>
          <w:highlight w:val="none"/>
          <w:u w:val="none"/>
          <w:vertAlign w:val="subscript"/>
        </w:rPr>
        <w:t>2</w:t>
      </w:r>
      <w:r>
        <w:rPr>
          <w:snapToGrid w:val="0"/>
          <w:color w:val="auto"/>
          <w:highlight w:val="none"/>
          <w:u w:val="none"/>
        </w:rPr>
        <w:t>进入叶片后，与附与海绵组织细胞表面的水分结合，生成亚硝酸或硝酸，当酸的浓度达到一定量时使植物细胞受害。NO</w:t>
      </w:r>
      <w:r>
        <w:rPr>
          <w:snapToGrid w:val="0"/>
          <w:color w:val="auto"/>
          <w:highlight w:val="none"/>
          <w:u w:val="none"/>
          <w:vertAlign w:val="subscript"/>
        </w:rPr>
        <w:t>x</w:t>
      </w:r>
      <w:r>
        <w:rPr>
          <w:snapToGrid w:val="0"/>
          <w:color w:val="auto"/>
          <w:highlight w:val="none"/>
          <w:u w:val="none"/>
        </w:rPr>
        <w:t>对光合作用的影响，表现为对CO</w:t>
      </w:r>
      <w:r>
        <w:rPr>
          <w:snapToGrid w:val="0"/>
          <w:color w:val="auto"/>
          <w:highlight w:val="none"/>
          <w:u w:val="none"/>
          <w:vertAlign w:val="subscript"/>
        </w:rPr>
        <w:t>2</w:t>
      </w:r>
      <w:r>
        <w:rPr>
          <w:snapToGrid w:val="0"/>
          <w:color w:val="auto"/>
          <w:highlight w:val="none"/>
          <w:u w:val="none"/>
        </w:rPr>
        <w:t>的吸收能力降低。</w:t>
      </w:r>
    </w:p>
    <w:p w14:paraId="67927343">
      <w:pPr>
        <w:pStyle w:val="981"/>
        <w:rPr>
          <w:rFonts w:hint="eastAsia"/>
          <w:snapToGrid w:val="0"/>
          <w:color w:val="auto"/>
          <w:highlight w:val="none"/>
          <w:u w:val="none"/>
        </w:rPr>
      </w:pPr>
      <w:r>
        <w:rPr>
          <w:snapToGrid w:val="0"/>
          <w:color w:val="auto"/>
          <w:highlight w:val="none"/>
          <w:u w:val="none"/>
        </w:rPr>
        <w:t>（2）CO</w:t>
      </w:r>
      <w:r>
        <w:rPr>
          <w:rFonts w:hint="eastAsia"/>
          <w:snapToGrid w:val="0"/>
          <w:color w:val="auto"/>
          <w:highlight w:val="none"/>
          <w:u w:val="none"/>
          <w:vertAlign w:val="subscript"/>
        </w:rPr>
        <w:t>x</w:t>
      </w:r>
    </w:p>
    <w:p w14:paraId="785CD104">
      <w:pPr>
        <w:rPr>
          <w:rFonts w:hint="eastAsia"/>
          <w:color w:val="auto"/>
          <w:highlight w:val="none"/>
          <w:u w:val="none"/>
        </w:rPr>
      </w:pPr>
      <w:r>
        <w:rPr>
          <w:rFonts w:hint="eastAsia"/>
          <w:color w:val="auto"/>
          <w:highlight w:val="none"/>
          <w:u w:val="none"/>
        </w:rPr>
        <w:t>温室气体排放会进一步加剧全球变暖趋势，宏观上它还会造成气候带北移，使局部地区在短时间内发生急剧天气变化，导致气候异常，造成高温、热浪、热带风暴、龙卷风等自然灾害频发，这会导致动植物的生态栖息环境遭受一定程度的侵扰。微观上来看，其会增加土壤硝化反硝化速率，促进氧化亚氮排放，这不利于对消化反应的控制，导致农作物营养成分加速流失。</w:t>
      </w:r>
    </w:p>
    <w:p w14:paraId="1BCB7413">
      <w:pPr>
        <w:rPr>
          <w:rFonts w:hint="eastAsia"/>
          <w:color w:val="auto"/>
          <w:highlight w:val="none"/>
          <w:u w:val="none"/>
        </w:rPr>
      </w:pPr>
      <w:r>
        <w:rPr>
          <w:rFonts w:hint="eastAsia"/>
          <w:color w:val="auto"/>
          <w:highlight w:val="none"/>
          <w:u w:val="none"/>
        </w:rPr>
        <w:t>（3）硝基苯和氯苯</w:t>
      </w:r>
    </w:p>
    <w:p w14:paraId="6730CCD9">
      <w:pPr>
        <w:pStyle w:val="981"/>
        <w:rPr>
          <w:rFonts w:hint="eastAsia"/>
          <w:color w:val="auto"/>
          <w:highlight w:val="none"/>
          <w:u w:val="none"/>
          <w:lang w:val="en-US"/>
        </w:rPr>
      </w:pPr>
      <w:r>
        <w:rPr>
          <w:rFonts w:hint="eastAsia"/>
          <w:color w:val="auto"/>
          <w:highlight w:val="none"/>
          <w:u w:val="none"/>
          <w:lang w:val="en-US"/>
        </w:rPr>
        <w:t>根据徐应明、袁志华等人的研究，硝基苯的存在延迟了小麦出苗时间，浓度为</w:t>
      </w:r>
      <w:r>
        <w:rPr>
          <w:rFonts w:hAnsi="Times New Roman"/>
          <w:color w:val="auto"/>
          <w:highlight w:val="none"/>
          <w:u w:val="none"/>
          <w:lang w:val="en-US"/>
        </w:rPr>
        <w:t>25mg/L</w:t>
      </w:r>
      <w:r>
        <w:rPr>
          <w:rFonts w:hint="eastAsia"/>
          <w:color w:val="auto"/>
          <w:highlight w:val="none"/>
          <w:u w:val="none"/>
          <w:lang w:val="en-US"/>
        </w:rPr>
        <w:t>的硝基苯影响下的小麦幼苗要比对照晚</w:t>
      </w:r>
      <w:r>
        <w:rPr>
          <w:rFonts w:hAnsi="Times New Roman"/>
          <w:color w:val="auto"/>
          <w:highlight w:val="none"/>
          <w:u w:val="none"/>
          <w:lang w:val="en-US"/>
        </w:rPr>
        <w:t>1d</w:t>
      </w:r>
      <w:r>
        <w:rPr>
          <w:rFonts w:hint="eastAsia"/>
          <w:color w:val="auto"/>
          <w:highlight w:val="none"/>
          <w:u w:val="none"/>
          <w:lang w:val="en-US"/>
        </w:rPr>
        <w:t>出苗，且小麦幼苗生长极为缓慢，而当硝基苯浓度大于</w:t>
      </w:r>
      <w:r>
        <w:rPr>
          <w:rFonts w:hAnsi="Times New Roman"/>
          <w:color w:val="auto"/>
          <w:highlight w:val="none"/>
          <w:u w:val="none"/>
          <w:lang w:val="en-US"/>
        </w:rPr>
        <w:t>100mg/L</w:t>
      </w:r>
      <w:r>
        <w:rPr>
          <w:rFonts w:hint="eastAsia"/>
          <w:color w:val="auto"/>
          <w:highlight w:val="none"/>
          <w:u w:val="none"/>
          <w:lang w:val="en-US"/>
        </w:rPr>
        <w:t>时，小麦种子发芽停止。硝基苯的存在明显抑制小麦根的生长，并诱导根畸形生长，使根增粗，根数增多。培养时间大于</w:t>
      </w:r>
      <w:r>
        <w:rPr>
          <w:rFonts w:hAnsi="Times New Roman"/>
          <w:color w:val="auto"/>
          <w:highlight w:val="none"/>
          <w:u w:val="none"/>
          <w:lang w:val="en-US"/>
        </w:rPr>
        <w:t>6d</w:t>
      </w:r>
      <w:r>
        <w:rPr>
          <w:rFonts w:hint="eastAsia"/>
          <w:color w:val="auto"/>
          <w:highlight w:val="none"/>
          <w:u w:val="none"/>
          <w:lang w:val="en-US"/>
        </w:rPr>
        <w:t>，硝基苯浓度为</w:t>
      </w:r>
      <w:r>
        <w:rPr>
          <w:rFonts w:hAnsi="Times New Roman"/>
          <w:color w:val="auto"/>
          <w:highlight w:val="none"/>
          <w:u w:val="none"/>
          <w:lang w:val="en-US"/>
        </w:rPr>
        <w:t>25mg/L</w:t>
      </w:r>
      <w:r>
        <w:rPr>
          <w:rFonts w:hint="eastAsia"/>
          <w:color w:val="auto"/>
          <w:highlight w:val="none"/>
          <w:u w:val="none"/>
          <w:lang w:val="en-US"/>
        </w:rPr>
        <w:t>时小麦根数为</w:t>
      </w:r>
      <w:r>
        <w:rPr>
          <w:rFonts w:hAnsi="Times New Roman"/>
          <w:color w:val="auto"/>
          <w:highlight w:val="none"/>
          <w:u w:val="none"/>
          <w:lang w:val="en-US"/>
        </w:rPr>
        <w:t>6</w:t>
      </w:r>
      <w:r>
        <w:rPr>
          <w:rFonts w:hint="eastAsia"/>
          <w:color w:val="auto"/>
          <w:highlight w:val="none"/>
          <w:u w:val="none"/>
          <w:lang w:val="en-US"/>
        </w:rPr>
        <w:t>～</w:t>
      </w:r>
      <w:r>
        <w:rPr>
          <w:rFonts w:hAnsi="Times New Roman"/>
          <w:color w:val="auto"/>
          <w:highlight w:val="none"/>
          <w:u w:val="none"/>
          <w:lang w:val="en-US"/>
        </w:rPr>
        <w:t>10</w:t>
      </w:r>
      <w:r>
        <w:rPr>
          <w:rFonts w:hint="eastAsia"/>
          <w:color w:val="auto"/>
          <w:highlight w:val="none"/>
          <w:u w:val="none"/>
          <w:lang w:val="en-US"/>
        </w:rPr>
        <w:t>条，远多于对照的</w:t>
      </w:r>
      <w:r>
        <w:rPr>
          <w:rFonts w:hAnsi="Times New Roman"/>
          <w:color w:val="auto"/>
          <w:highlight w:val="none"/>
          <w:u w:val="none"/>
          <w:lang w:val="en-US"/>
        </w:rPr>
        <w:t>3</w:t>
      </w:r>
      <w:r>
        <w:rPr>
          <w:rFonts w:hint="eastAsia"/>
          <w:color w:val="auto"/>
          <w:highlight w:val="none"/>
          <w:u w:val="none"/>
          <w:lang w:val="en-US"/>
        </w:rPr>
        <w:t>～</w:t>
      </w:r>
      <w:r>
        <w:rPr>
          <w:rFonts w:hAnsi="Times New Roman"/>
          <w:color w:val="auto"/>
          <w:highlight w:val="none"/>
          <w:u w:val="none"/>
          <w:lang w:val="en-US"/>
        </w:rPr>
        <w:t>5</w:t>
      </w:r>
      <w:r>
        <w:rPr>
          <w:rFonts w:hint="eastAsia"/>
          <w:color w:val="auto"/>
          <w:highlight w:val="none"/>
          <w:u w:val="none"/>
          <w:lang w:val="en-US"/>
        </w:rPr>
        <w:t>条。硝基苯浓度为</w:t>
      </w:r>
      <w:r>
        <w:rPr>
          <w:rFonts w:hAnsi="Times New Roman"/>
          <w:color w:val="auto"/>
          <w:highlight w:val="none"/>
          <w:u w:val="none"/>
          <w:lang w:val="en-US"/>
        </w:rPr>
        <w:t>10mg/L</w:t>
      </w:r>
      <w:r>
        <w:rPr>
          <w:rFonts w:hint="eastAsia"/>
          <w:color w:val="auto"/>
          <w:highlight w:val="none"/>
          <w:u w:val="none"/>
          <w:lang w:val="en-US"/>
        </w:rPr>
        <w:t>胁迫下的小麦根总长仅为对照的</w:t>
      </w:r>
      <w:r>
        <w:rPr>
          <w:rFonts w:hAnsi="Times New Roman"/>
          <w:color w:val="auto"/>
          <w:highlight w:val="none"/>
          <w:u w:val="none"/>
          <w:lang w:val="en-US"/>
        </w:rPr>
        <w:t>37%</w:t>
      </w:r>
      <w:r>
        <w:rPr>
          <w:rFonts w:hint="eastAsia"/>
          <w:color w:val="auto"/>
          <w:highlight w:val="none"/>
          <w:u w:val="none"/>
          <w:lang w:val="en-US"/>
        </w:rPr>
        <w:t>，且与对照间存在极其显著性差异，但在水培</w:t>
      </w:r>
      <w:r>
        <w:rPr>
          <w:rFonts w:hAnsi="Times New Roman"/>
          <w:color w:val="auto"/>
          <w:highlight w:val="none"/>
          <w:u w:val="none"/>
          <w:lang w:val="en-US"/>
        </w:rPr>
        <w:t>6d</w:t>
      </w:r>
      <w:r>
        <w:rPr>
          <w:rFonts w:hint="eastAsia"/>
          <w:color w:val="auto"/>
          <w:highlight w:val="none"/>
          <w:u w:val="none"/>
          <w:lang w:val="en-US"/>
        </w:rPr>
        <w:t>时，根鲜重却为对照的</w:t>
      </w:r>
      <w:r>
        <w:rPr>
          <w:rFonts w:hAnsi="Times New Roman"/>
          <w:color w:val="auto"/>
          <w:highlight w:val="none"/>
          <w:u w:val="none"/>
          <w:lang w:val="en-US"/>
        </w:rPr>
        <w:t>95%</w:t>
      </w:r>
      <w:r>
        <w:rPr>
          <w:rFonts w:hint="eastAsia"/>
          <w:color w:val="auto"/>
          <w:highlight w:val="none"/>
          <w:u w:val="none"/>
          <w:lang w:val="en-US"/>
        </w:rPr>
        <w:t>，说明硝基苯可诱导根增粗。不同浓度的氯苯明显地影响小麦幼苗的生长。在</w:t>
      </w:r>
      <w:r>
        <w:rPr>
          <w:rFonts w:hAnsi="Times New Roman"/>
          <w:color w:val="auto"/>
          <w:highlight w:val="none"/>
          <w:u w:val="none"/>
          <w:lang w:val="en-US"/>
        </w:rPr>
        <w:t>10</w:t>
      </w:r>
      <w:r>
        <w:rPr>
          <w:rFonts w:hint="eastAsia"/>
          <w:color w:val="auto"/>
          <w:highlight w:val="none"/>
          <w:u w:val="none"/>
          <w:lang w:val="en-US"/>
        </w:rPr>
        <w:t>～</w:t>
      </w:r>
      <w:r>
        <w:rPr>
          <w:rFonts w:hAnsi="Times New Roman"/>
          <w:color w:val="auto"/>
          <w:highlight w:val="none"/>
          <w:u w:val="none"/>
          <w:lang w:val="en-US"/>
        </w:rPr>
        <w:t>400mg/L</w:t>
      </w:r>
      <w:r>
        <w:rPr>
          <w:rFonts w:hint="eastAsia"/>
          <w:color w:val="auto"/>
          <w:highlight w:val="none"/>
          <w:u w:val="none"/>
          <w:lang w:val="en-US"/>
        </w:rPr>
        <w:t>氯苯中，小麦根长和苗长抑制率分别为</w:t>
      </w:r>
      <w:r>
        <w:rPr>
          <w:rFonts w:hAnsi="Times New Roman"/>
          <w:color w:val="auto"/>
          <w:highlight w:val="none"/>
          <w:u w:val="none"/>
          <w:lang w:val="en-US"/>
        </w:rPr>
        <w:t>19.34%</w:t>
      </w:r>
      <w:r>
        <w:rPr>
          <w:rFonts w:hint="eastAsia"/>
          <w:color w:val="auto"/>
          <w:highlight w:val="none"/>
          <w:u w:val="none"/>
          <w:lang w:val="en-US"/>
        </w:rPr>
        <w:t>～</w:t>
      </w:r>
      <w:r>
        <w:rPr>
          <w:rFonts w:hAnsi="Times New Roman"/>
          <w:color w:val="auto"/>
          <w:highlight w:val="none"/>
          <w:u w:val="none"/>
          <w:lang w:val="en-US"/>
        </w:rPr>
        <w:t>82.76%</w:t>
      </w:r>
      <w:r>
        <w:rPr>
          <w:rFonts w:hint="eastAsia"/>
          <w:color w:val="auto"/>
          <w:highlight w:val="none"/>
          <w:u w:val="none"/>
          <w:lang w:val="en-US"/>
        </w:rPr>
        <w:t>和</w:t>
      </w:r>
      <w:r>
        <w:rPr>
          <w:rFonts w:hAnsi="Times New Roman"/>
          <w:color w:val="auto"/>
          <w:highlight w:val="none"/>
          <w:u w:val="none"/>
          <w:lang w:val="en-US"/>
        </w:rPr>
        <w:t>10.03%</w:t>
      </w:r>
      <w:r>
        <w:rPr>
          <w:rFonts w:hint="eastAsia"/>
          <w:color w:val="auto"/>
          <w:highlight w:val="none"/>
          <w:u w:val="none"/>
          <w:lang w:val="en-US"/>
        </w:rPr>
        <w:t>～</w:t>
      </w:r>
      <w:r>
        <w:rPr>
          <w:rFonts w:hAnsi="Times New Roman"/>
          <w:color w:val="auto"/>
          <w:highlight w:val="none"/>
          <w:u w:val="none"/>
          <w:lang w:val="en-US"/>
        </w:rPr>
        <w:t>68.88%</w:t>
      </w:r>
      <w:r>
        <w:rPr>
          <w:rFonts w:hint="eastAsia"/>
          <w:color w:val="auto"/>
          <w:highlight w:val="none"/>
          <w:u w:val="none"/>
          <w:lang w:val="en-US"/>
        </w:rPr>
        <w:t>，与对照间均存在极其显著差异。此外，氯苯对小麦根鲜重、根干重、苗鲜重和苗干重的抑制率也都随着浓度的增加而增加，抑制率范围分别为</w:t>
      </w:r>
      <w:r>
        <w:rPr>
          <w:rFonts w:hAnsi="Times New Roman"/>
          <w:color w:val="auto"/>
          <w:highlight w:val="none"/>
          <w:u w:val="none"/>
          <w:lang w:val="en-US"/>
        </w:rPr>
        <w:t>9.68%</w:t>
      </w:r>
      <w:r>
        <w:rPr>
          <w:rFonts w:hint="eastAsia"/>
          <w:color w:val="auto"/>
          <w:highlight w:val="none"/>
          <w:u w:val="none"/>
          <w:lang w:val="en-US"/>
        </w:rPr>
        <w:t>～</w:t>
      </w:r>
      <w:r>
        <w:rPr>
          <w:rFonts w:hAnsi="Times New Roman"/>
          <w:color w:val="auto"/>
          <w:highlight w:val="none"/>
          <w:u w:val="none"/>
          <w:lang w:val="en-US"/>
        </w:rPr>
        <w:t>48.39%</w:t>
      </w:r>
      <w:r>
        <w:rPr>
          <w:rFonts w:hint="eastAsia"/>
          <w:color w:val="auto"/>
          <w:highlight w:val="none"/>
          <w:u w:val="none"/>
          <w:lang w:val="en-US"/>
        </w:rPr>
        <w:t>、</w:t>
      </w:r>
      <w:r>
        <w:rPr>
          <w:rFonts w:hAnsi="Times New Roman"/>
          <w:color w:val="auto"/>
          <w:highlight w:val="none"/>
          <w:u w:val="none"/>
          <w:lang w:val="en-US"/>
        </w:rPr>
        <w:t>9.86%</w:t>
      </w:r>
      <w:r>
        <w:rPr>
          <w:rFonts w:hint="eastAsia"/>
          <w:color w:val="auto"/>
          <w:highlight w:val="none"/>
          <w:u w:val="none"/>
          <w:lang w:val="en-US"/>
        </w:rPr>
        <w:t>～</w:t>
      </w:r>
      <w:r>
        <w:rPr>
          <w:rFonts w:hAnsi="Times New Roman"/>
          <w:color w:val="auto"/>
          <w:highlight w:val="none"/>
          <w:u w:val="none"/>
          <w:lang w:val="en-US"/>
        </w:rPr>
        <w:t>42.25%</w:t>
      </w:r>
      <w:r>
        <w:rPr>
          <w:rFonts w:hint="eastAsia"/>
          <w:color w:val="auto"/>
          <w:highlight w:val="none"/>
          <w:u w:val="none"/>
          <w:lang w:val="en-US"/>
        </w:rPr>
        <w:t>、</w:t>
      </w:r>
      <w:r>
        <w:rPr>
          <w:rFonts w:hAnsi="Times New Roman"/>
          <w:color w:val="auto"/>
          <w:highlight w:val="none"/>
          <w:u w:val="none"/>
          <w:lang w:val="en-US"/>
        </w:rPr>
        <w:t>11.11%</w:t>
      </w:r>
      <w:r>
        <w:rPr>
          <w:rFonts w:hint="eastAsia"/>
          <w:color w:val="auto"/>
          <w:highlight w:val="none"/>
          <w:u w:val="none"/>
          <w:lang w:val="en-US"/>
        </w:rPr>
        <w:t>～</w:t>
      </w:r>
      <w:r>
        <w:rPr>
          <w:rFonts w:hAnsi="Times New Roman"/>
          <w:color w:val="auto"/>
          <w:highlight w:val="none"/>
          <w:u w:val="none"/>
          <w:lang w:val="en-US"/>
        </w:rPr>
        <w:t>44.44%</w:t>
      </w:r>
      <w:r>
        <w:rPr>
          <w:rFonts w:hint="eastAsia"/>
          <w:color w:val="auto"/>
          <w:highlight w:val="none"/>
          <w:u w:val="none"/>
          <w:lang w:val="en-US"/>
        </w:rPr>
        <w:t>和</w:t>
      </w:r>
      <w:r>
        <w:rPr>
          <w:rFonts w:hAnsi="Times New Roman"/>
          <w:color w:val="auto"/>
          <w:highlight w:val="none"/>
          <w:u w:val="none"/>
          <w:lang w:val="en-US"/>
        </w:rPr>
        <w:t>8.33%</w:t>
      </w:r>
      <w:r>
        <w:rPr>
          <w:rFonts w:hint="eastAsia"/>
          <w:color w:val="auto"/>
          <w:highlight w:val="none"/>
          <w:u w:val="none"/>
          <w:lang w:val="en-US"/>
        </w:rPr>
        <w:t>～</w:t>
      </w:r>
      <w:r>
        <w:rPr>
          <w:rFonts w:hAnsi="Times New Roman"/>
          <w:color w:val="auto"/>
          <w:highlight w:val="none"/>
          <w:u w:val="none"/>
          <w:lang w:val="en-US"/>
        </w:rPr>
        <w:t>50%</w:t>
      </w:r>
      <w:r>
        <w:rPr>
          <w:rFonts w:hint="eastAsia"/>
          <w:color w:val="auto"/>
          <w:highlight w:val="none"/>
          <w:u w:val="none"/>
          <w:lang w:val="en-US"/>
        </w:rPr>
        <w:t>，且与对照间均存在着显著差异。说明氯苯对小麦根部胁迫的敏感性大于苗，可明显的影响小麦初生根的伸长。据报道氯苯对小麦根的抑制源于对细胞分裂的抑制。氯苯可以抑制细胞生长，干扰有丝分裂进程。</w:t>
      </w:r>
    </w:p>
    <w:p w14:paraId="562F99C4">
      <w:pPr>
        <w:pStyle w:val="981"/>
        <w:rPr>
          <w:rFonts w:hint="eastAsia"/>
          <w:color w:val="auto"/>
          <w:highlight w:val="none"/>
          <w:u w:val="none"/>
          <w:lang w:val="en-US"/>
        </w:rPr>
      </w:pPr>
      <w:r>
        <w:rPr>
          <w:rFonts w:hint="eastAsia"/>
          <w:color w:val="auto"/>
          <w:highlight w:val="none"/>
          <w:u w:val="none"/>
          <w:lang w:val="en-US"/>
        </w:rPr>
        <w:t>在低浓度时，硝基苯和氯苯能激活过氧化物酶活性，且随着浓度的增加，过氧化物酶激活率最高所对应的硝基苯和氯苯浓度分别为</w:t>
      </w:r>
      <w:r>
        <w:rPr>
          <w:rFonts w:hAnsi="Times New Roman"/>
          <w:color w:val="auto"/>
          <w:highlight w:val="none"/>
          <w:u w:val="none"/>
          <w:lang w:val="en-US"/>
        </w:rPr>
        <w:t>25mg/L</w:t>
      </w:r>
      <w:r>
        <w:rPr>
          <w:rFonts w:hint="eastAsia"/>
          <w:color w:val="auto"/>
          <w:highlight w:val="none"/>
          <w:u w:val="none"/>
          <w:lang w:val="en-US"/>
        </w:rPr>
        <w:t>和</w:t>
      </w:r>
      <w:r>
        <w:rPr>
          <w:rFonts w:hAnsi="Times New Roman"/>
          <w:color w:val="auto"/>
          <w:highlight w:val="none"/>
          <w:u w:val="none"/>
          <w:lang w:val="en-US"/>
        </w:rPr>
        <w:t>50mg/L</w:t>
      </w:r>
      <w:r>
        <w:rPr>
          <w:rFonts w:hint="eastAsia"/>
          <w:color w:val="auto"/>
          <w:highlight w:val="none"/>
          <w:u w:val="none"/>
          <w:lang w:val="en-US"/>
        </w:rPr>
        <w:t>。可见，在适度的有机物影响下，小麦体内</w:t>
      </w:r>
      <w:r>
        <w:rPr>
          <w:rFonts w:hAnsi="Times New Roman"/>
          <w:color w:val="auto"/>
          <w:highlight w:val="none"/>
          <w:u w:val="none"/>
          <w:lang w:val="en-US"/>
        </w:rPr>
        <w:t>POD</w:t>
      </w:r>
      <w:r>
        <w:rPr>
          <w:rFonts w:hint="eastAsia"/>
          <w:color w:val="auto"/>
          <w:highlight w:val="none"/>
          <w:u w:val="none"/>
          <w:lang w:val="en-US"/>
        </w:rPr>
        <w:t>活性升高，增强了植株的抗性，但过度胁迫时，</w:t>
      </w:r>
      <w:r>
        <w:rPr>
          <w:rFonts w:hAnsi="Times New Roman"/>
          <w:color w:val="auto"/>
          <w:highlight w:val="none"/>
          <w:u w:val="none"/>
          <w:lang w:val="en-US"/>
        </w:rPr>
        <w:t>POD</w:t>
      </w:r>
      <w:r>
        <w:rPr>
          <w:rFonts w:hint="eastAsia"/>
          <w:color w:val="auto"/>
          <w:highlight w:val="none"/>
          <w:u w:val="none"/>
          <w:lang w:val="en-US"/>
        </w:rPr>
        <w:t>活性降低，植株将受到伤害。一些研究也表明</w:t>
      </w:r>
      <w:r>
        <w:rPr>
          <w:rFonts w:hAnsi="Times New Roman"/>
          <w:color w:val="auto"/>
          <w:highlight w:val="none"/>
          <w:u w:val="none"/>
          <w:lang w:val="en-US"/>
        </w:rPr>
        <w:t>POD</w:t>
      </w:r>
      <w:r>
        <w:rPr>
          <w:rFonts w:hint="eastAsia"/>
          <w:color w:val="auto"/>
          <w:highlight w:val="none"/>
          <w:u w:val="none"/>
          <w:lang w:val="en-US"/>
        </w:rPr>
        <w:t>活性与器官幼嫩、老化有关，它与生长速率呈负相关，这可能是</w:t>
      </w:r>
      <w:r>
        <w:rPr>
          <w:rFonts w:hAnsi="Times New Roman"/>
          <w:color w:val="auto"/>
          <w:highlight w:val="none"/>
          <w:u w:val="none"/>
          <w:lang w:val="en-US"/>
        </w:rPr>
        <w:t>POD</w:t>
      </w:r>
      <w:r>
        <w:rPr>
          <w:rFonts w:hint="eastAsia"/>
          <w:color w:val="auto"/>
          <w:highlight w:val="none"/>
          <w:u w:val="none"/>
          <w:lang w:val="en-US"/>
        </w:rPr>
        <w:t>具有生长素氧化酶的性质所致。</w:t>
      </w:r>
    </w:p>
    <w:p w14:paraId="7B2AD47C">
      <w:pPr>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rPr>
        <w:t>）硝基苯和氯苯</w:t>
      </w:r>
    </w:p>
    <w:p w14:paraId="3526828C">
      <w:pPr>
        <w:pStyle w:val="981"/>
        <w:rPr>
          <w:rFonts w:hint="eastAsia"/>
          <w:color w:val="auto"/>
          <w:highlight w:val="none"/>
          <w:u w:val="none"/>
        </w:rPr>
      </w:pPr>
      <w:r>
        <w:rPr>
          <w:rFonts w:hint="eastAsia"/>
          <w:color w:val="auto"/>
          <w:highlight w:val="none"/>
          <w:u w:val="none"/>
        </w:rPr>
        <w:t>氨对植物有明显的直接伤害，在高浓度氨气影响下，植物叶片会发生急性伤害，使叶肉组织崩溃，叶绿素解体；氨气的排放使环境的酸化对土壤有害继而影响生长的植物。氨气对植物的危害的途径是从叶片气孔、水孔进入植物体内，在其体内发生碱性危害，造成生理障碍，影响植物的正常生长。</w:t>
      </w:r>
    </w:p>
    <w:p w14:paraId="216B051C">
      <w:pPr>
        <w:pStyle w:val="981"/>
        <w:rPr>
          <w:rFonts w:hint="eastAsia"/>
          <w:color w:val="auto"/>
          <w:highlight w:val="none"/>
          <w:u w:val="none"/>
        </w:rPr>
      </w:pPr>
      <w:r>
        <w:rPr>
          <w:rFonts w:hint="eastAsia"/>
          <w:color w:val="auto"/>
          <w:highlight w:val="none"/>
          <w:u w:val="none"/>
        </w:rPr>
        <w:t>植物种类不同，对氨气的敏感程度也不同，在</w:t>
      </w:r>
      <w:r>
        <w:rPr>
          <w:color w:val="auto"/>
          <w:highlight w:val="none"/>
          <w:u w:val="none"/>
        </w:rPr>
        <w:t>50ppm熏气下，15分钟后悬铃木叶片即开始出现症状，脉间产生大块的淡褐色伤斑，1小时后伤斑逐渐扩大，并加深为黑色褐斑。而杜仲在熏1小时后才开始出现密集小点伤斑，熏气结束后3小时，伤斑进一步扩大连接成片。在大约150ppm浓度的田间熏气，棉花80%的叶片受害，花生20%的叶片受害，玉米10%的叶片受害，芋头不受害。</w:t>
      </w:r>
    </w:p>
    <w:p w14:paraId="21AFCB41">
      <w:pPr>
        <w:rPr>
          <w:rFonts w:hint="eastAsia"/>
          <w:color w:val="auto"/>
          <w:highlight w:val="none"/>
          <w:u w:val="none"/>
        </w:rPr>
      </w:pPr>
      <w:r>
        <w:rPr>
          <w:rFonts w:hint="eastAsia"/>
          <w:color w:val="auto"/>
          <w:highlight w:val="none"/>
          <w:u w:val="none"/>
        </w:rPr>
        <w:t>（5）V</w:t>
      </w:r>
      <w:r>
        <w:rPr>
          <w:color w:val="auto"/>
          <w:highlight w:val="none"/>
          <w:u w:val="none"/>
        </w:rPr>
        <w:t>OC</w:t>
      </w:r>
      <w:r>
        <w:rPr>
          <w:rFonts w:hint="eastAsia"/>
          <w:color w:val="auto"/>
          <w:highlight w:val="none"/>
          <w:u w:val="none"/>
        </w:rPr>
        <w:t>s</w:t>
      </w:r>
    </w:p>
    <w:p w14:paraId="70154C69">
      <w:pPr>
        <w:snapToGrid w:val="0"/>
        <w:rPr>
          <w:rFonts w:hAnsi="Times New Roman"/>
          <w:color w:val="auto"/>
          <w:szCs w:val="28"/>
          <w:highlight w:val="none"/>
          <w:u w:val="none"/>
        </w:rPr>
      </w:pPr>
      <w:r>
        <w:rPr>
          <w:rFonts w:hAnsi="Times New Roman"/>
          <w:color w:val="auto"/>
          <w:szCs w:val="28"/>
          <w:highlight w:val="none"/>
          <w:u w:val="none"/>
        </w:rPr>
        <w:t>挥发性有机化合物浓度过高时很容易引起急性中毒，长期居住在挥发性有机化合物污染的室内，可引起慢性中毒，损害肝脏和神经系统，有的还可能引起内分泌失调。</w:t>
      </w:r>
    </w:p>
    <w:p w14:paraId="7C214324">
      <w:pPr>
        <w:rPr>
          <w:rFonts w:hint="eastAsia"/>
          <w:color w:val="auto"/>
          <w:highlight w:val="none"/>
          <w:u w:val="none"/>
        </w:rPr>
      </w:pPr>
      <w:r>
        <w:rPr>
          <w:rFonts w:hint="eastAsia"/>
          <w:color w:val="auto"/>
          <w:highlight w:val="none"/>
          <w:u w:val="none"/>
        </w:rPr>
        <w:t>（6）氯气</w:t>
      </w:r>
    </w:p>
    <w:p w14:paraId="2319A49B">
      <w:pPr>
        <w:pStyle w:val="981"/>
        <w:rPr>
          <w:rFonts w:hint="eastAsia"/>
          <w:color w:val="auto"/>
          <w:highlight w:val="none"/>
          <w:u w:val="none"/>
        </w:rPr>
      </w:pPr>
      <w:r>
        <w:rPr>
          <w:rFonts w:hint="eastAsia"/>
          <w:color w:val="auto"/>
          <w:highlight w:val="none"/>
          <w:u w:val="none"/>
        </w:rPr>
        <w:t>氯气是一种具有强烈臭昧、令人窒息的黄绿色气体，它是大气环境中的主要污染物之一，危害往往较</w:t>
      </w:r>
      <w:r>
        <w:rPr>
          <w:color w:val="auto"/>
          <w:highlight w:val="none"/>
          <w:u w:val="none"/>
        </w:rPr>
        <w:t>SO2</w:t>
      </w:r>
      <w:r>
        <w:rPr>
          <w:rFonts w:hint="eastAsia"/>
          <w:color w:val="auto"/>
          <w:highlight w:val="none"/>
          <w:u w:val="none"/>
        </w:rPr>
        <w:t>，</w:t>
      </w:r>
      <w:r>
        <w:rPr>
          <w:color w:val="auto"/>
          <w:highlight w:val="none"/>
          <w:u w:val="none"/>
        </w:rPr>
        <w:t>HF</w:t>
      </w:r>
      <w:r>
        <w:rPr>
          <w:rFonts w:hint="eastAsia"/>
          <w:color w:val="auto"/>
          <w:highlight w:val="none"/>
          <w:u w:val="none"/>
        </w:rPr>
        <w:t>等更为严重。氯气逸散于大气中达到一定浓度，就会使植物受到急性或慢性伤害。氯气引起的叶片受害伤斑，在叶片的分布部位，随植物的不同而异。低浓度氯气（</w:t>
      </w:r>
      <w:r>
        <w:rPr>
          <w:color w:val="auto"/>
          <w:highlight w:val="none"/>
          <w:u w:val="none"/>
        </w:rPr>
        <w:t>0.8mg/m</w:t>
      </w:r>
      <w:r>
        <w:rPr>
          <w:color w:val="auto"/>
          <w:highlight w:val="none"/>
          <w:u w:val="none"/>
          <w:vertAlign w:val="superscript"/>
        </w:rPr>
        <w:t>3</w:t>
      </w:r>
      <w:r>
        <w:rPr>
          <w:rFonts w:hint="eastAsia"/>
          <w:color w:val="auto"/>
          <w:highlight w:val="none"/>
          <w:u w:val="none"/>
        </w:rPr>
        <w:t>）熏气时，熏气</w:t>
      </w:r>
      <w:r>
        <w:rPr>
          <w:color w:val="auto"/>
          <w:highlight w:val="none"/>
          <w:u w:val="none"/>
        </w:rPr>
        <w:t>h8</w:t>
      </w:r>
      <w:r>
        <w:rPr>
          <w:rFonts w:hint="eastAsia"/>
          <w:color w:val="auto"/>
          <w:highlight w:val="none"/>
          <w:u w:val="none"/>
        </w:rPr>
        <w:t>以上，叶片才开始受害，且叶脉比叶肉组织受害轻微甚至不受害在高浓度氯气（</w:t>
      </w:r>
      <w:r>
        <w:rPr>
          <w:color w:val="auto"/>
          <w:highlight w:val="none"/>
          <w:u w:val="none"/>
        </w:rPr>
        <w:t>15.4</w:t>
      </w:r>
      <w:r>
        <w:rPr>
          <w:rFonts w:hint="eastAsia"/>
          <w:color w:val="auto"/>
          <w:highlight w:val="none"/>
          <w:u w:val="none"/>
        </w:rPr>
        <w:t>或</w:t>
      </w:r>
      <w:r>
        <w:rPr>
          <w:color w:val="auto"/>
          <w:highlight w:val="none"/>
          <w:u w:val="none"/>
        </w:rPr>
        <w:t>22.5mg/m</w:t>
      </w:r>
      <w:r>
        <w:rPr>
          <w:color w:val="auto"/>
          <w:highlight w:val="none"/>
          <w:u w:val="none"/>
          <w:vertAlign w:val="superscript"/>
        </w:rPr>
        <w:t>3</w:t>
      </w:r>
      <w:r>
        <w:rPr>
          <w:rFonts w:hint="eastAsia"/>
          <w:color w:val="auto"/>
          <w:highlight w:val="none"/>
          <w:u w:val="none"/>
        </w:rPr>
        <w:t>）熏气条件下，叶片受害迅速，且叶脉及其周围组织首先受伤害，再向周围组织扩散。</w:t>
      </w:r>
    </w:p>
    <w:p w14:paraId="29CC90C6">
      <w:pPr>
        <w:pStyle w:val="981"/>
        <w:rPr>
          <w:rFonts w:hint="eastAsia"/>
          <w:color w:val="auto"/>
          <w:highlight w:val="none"/>
          <w:u w:val="none"/>
        </w:rPr>
      </w:pPr>
      <w:r>
        <w:rPr>
          <w:rFonts w:hint="eastAsia"/>
          <w:color w:val="auto"/>
          <w:highlight w:val="none"/>
          <w:u w:val="none"/>
        </w:rPr>
        <w:t>本项目施工期粉尘排放量有限，其影响范围也有限，因此在正常排放情况下，项目废气排放对周边植被生长的影响有限。项目运营期间正常情况（即达标排放）下，对环境产生的影响能够满足环境功能区划要求，项目运营对周围植被的影响有限。</w:t>
      </w:r>
    </w:p>
    <w:p w14:paraId="27DAB3D4">
      <w:pPr>
        <w:rPr>
          <w:rFonts w:hint="eastAsia"/>
          <w:color w:val="auto"/>
          <w:highlight w:val="none"/>
          <w:u w:val="none"/>
        </w:rPr>
      </w:pPr>
      <w:r>
        <w:rPr>
          <w:rFonts w:hint="eastAsia"/>
          <w:color w:val="auto"/>
          <w:highlight w:val="none"/>
          <w:u w:val="none"/>
        </w:rPr>
        <w:t>（7）氯化氢</w:t>
      </w:r>
    </w:p>
    <w:p w14:paraId="0C3192D4">
      <w:pPr>
        <w:pStyle w:val="981"/>
        <w:rPr>
          <w:rFonts w:hint="eastAsia"/>
          <w:color w:val="auto"/>
          <w:highlight w:val="none"/>
          <w:u w:val="none"/>
          <w:lang w:val="en-US"/>
        </w:rPr>
      </w:pPr>
      <w:r>
        <w:rPr>
          <w:rFonts w:hint="eastAsia"/>
          <w:color w:val="auto"/>
          <w:highlight w:val="none"/>
          <w:u w:val="none"/>
          <w:lang w:val="en-US"/>
        </w:rPr>
        <w:t>酸雾直接作用于植物上会促进植物的生长，酸雾还会对植物造成伤害，抑制其生长，如使叶片产生可见伤害、抑制花粉管萌发和花粉管伸长以及导致植物干物质产量减少。酸雾也会对植物的光合作用产生影响。酸雾通过降低植物叶绿素含量使其光合作用速率降低，进而影响植物的光合作用、阻碍其生长。</w:t>
      </w:r>
    </w:p>
    <w:p w14:paraId="64DA7514">
      <w:pPr>
        <w:pStyle w:val="7"/>
        <w:spacing w:before="156"/>
        <w:rPr>
          <w:color w:val="auto"/>
          <w:highlight w:val="none"/>
          <w:u w:val="none"/>
        </w:rPr>
      </w:pPr>
      <w:r>
        <w:rPr>
          <w:rFonts w:hint="eastAsia"/>
          <w:color w:val="auto"/>
          <w:highlight w:val="none"/>
          <w:u w:val="none"/>
        </w:rPr>
        <w:t>陆域生态保护措施</w:t>
      </w:r>
    </w:p>
    <w:p w14:paraId="2BCA6499">
      <w:pPr>
        <w:pStyle w:val="981"/>
        <w:rPr>
          <w:rFonts w:hint="eastAsia"/>
          <w:color w:val="auto"/>
          <w:highlight w:val="none"/>
          <w:u w:val="none"/>
        </w:rPr>
      </w:pPr>
      <w:r>
        <w:rPr>
          <w:color w:val="auto"/>
          <w:highlight w:val="none"/>
          <w:u w:val="none"/>
        </w:rPr>
        <w:t>（1）本项目建设区必须因地制宜地利用自然地形地貌进行土方工程的合理设计和施工，充分利用开挖方作回填方，做到建设区内挖方和填方相平衡，不得在建设区外设置土料场或弃碴场；施工临时工地应安排在规划建设用地范围内，不得在建设区外临时占地；工程建设所需砂、石料应向砂、石料市场购买，不得另行设置采砂、石料场。</w:t>
      </w:r>
    </w:p>
    <w:p w14:paraId="0E81FD61">
      <w:pPr>
        <w:pStyle w:val="981"/>
        <w:rPr>
          <w:rFonts w:hint="eastAsia"/>
          <w:color w:val="auto"/>
          <w:highlight w:val="none"/>
          <w:u w:val="none"/>
        </w:rPr>
      </w:pPr>
      <w:r>
        <w:rPr>
          <w:color w:val="auto"/>
          <w:highlight w:val="none"/>
          <w:u w:val="none"/>
        </w:rPr>
        <w:t>（2）项目运营期间，应实行清洁生产，采用先进的污染防治技术，加强污染源的治理，确保项目污染物达标排放，减少</w:t>
      </w:r>
      <w:r>
        <w:rPr>
          <w:rFonts w:hint="eastAsia"/>
          <w:color w:val="auto"/>
          <w:highlight w:val="none"/>
          <w:u w:val="none"/>
        </w:rPr>
        <w:t>N</w:t>
      </w:r>
      <w:r>
        <w:rPr>
          <w:color w:val="auto"/>
          <w:highlight w:val="none"/>
          <w:u w:val="none"/>
        </w:rPr>
        <w:t>O</w:t>
      </w:r>
      <w:r>
        <w:rPr>
          <w:rFonts w:hint="eastAsia"/>
          <w:color w:val="auto"/>
          <w:highlight w:val="none"/>
          <w:u w:val="none"/>
          <w:vertAlign w:val="subscript"/>
        </w:rPr>
        <w:t>x</w:t>
      </w:r>
      <w:r>
        <w:rPr>
          <w:rFonts w:hint="eastAsia"/>
          <w:color w:val="auto"/>
          <w:highlight w:val="none"/>
          <w:u w:val="none"/>
        </w:rPr>
        <w:t>、C</w:t>
      </w:r>
      <w:r>
        <w:rPr>
          <w:color w:val="auto"/>
          <w:highlight w:val="none"/>
          <w:u w:val="none"/>
        </w:rPr>
        <w:t>O</w:t>
      </w:r>
      <w:r>
        <w:rPr>
          <w:rFonts w:hint="eastAsia"/>
          <w:color w:val="auto"/>
          <w:highlight w:val="none"/>
          <w:u w:val="none"/>
          <w:vertAlign w:val="subscript"/>
        </w:rPr>
        <w:t>x</w:t>
      </w:r>
      <w:r>
        <w:rPr>
          <w:rFonts w:hint="eastAsia"/>
          <w:color w:val="auto"/>
          <w:highlight w:val="none"/>
          <w:u w:val="none"/>
        </w:rPr>
        <w:t>、D</w:t>
      </w:r>
      <w:r>
        <w:rPr>
          <w:color w:val="auto"/>
          <w:highlight w:val="none"/>
          <w:u w:val="none"/>
        </w:rPr>
        <w:t>NT</w:t>
      </w:r>
      <w:r>
        <w:rPr>
          <w:rFonts w:hint="eastAsia"/>
          <w:color w:val="auto"/>
          <w:highlight w:val="none"/>
          <w:u w:val="none"/>
        </w:rPr>
        <w:t>、氨、V</w:t>
      </w:r>
      <w:r>
        <w:rPr>
          <w:color w:val="auto"/>
          <w:highlight w:val="none"/>
          <w:u w:val="none"/>
        </w:rPr>
        <w:t>OC</w:t>
      </w:r>
      <w:r>
        <w:rPr>
          <w:rFonts w:hint="eastAsia"/>
          <w:color w:val="auto"/>
          <w:highlight w:val="none"/>
          <w:u w:val="none"/>
        </w:rPr>
        <w:t>s、T</w:t>
      </w:r>
      <w:r>
        <w:rPr>
          <w:color w:val="auto"/>
          <w:highlight w:val="none"/>
          <w:u w:val="none"/>
        </w:rPr>
        <w:t>DA</w:t>
      </w:r>
      <w:r>
        <w:rPr>
          <w:rFonts w:hint="eastAsia"/>
          <w:color w:val="auto"/>
          <w:highlight w:val="none"/>
          <w:u w:val="none"/>
        </w:rPr>
        <w:t>、</w:t>
      </w:r>
      <w:r>
        <w:rPr>
          <w:color w:val="auto"/>
          <w:highlight w:val="none"/>
          <w:u w:val="none"/>
        </w:rPr>
        <w:t>C</w:t>
      </w:r>
      <w:r>
        <w:rPr>
          <w:rFonts w:hint="eastAsia"/>
          <w:color w:val="auto"/>
          <w:highlight w:val="none"/>
          <w:u w:val="none"/>
        </w:rPr>
        <w:t>l</w:t>
      </w:r>
      <w:r>
        <w:rPr>
          <w:color w:val="auto"/>
          <w:highlight w:val="none"/>
          <w:u w:val="none"/>
          <w:vertAlign w:val="subscript"/>
        </w:rPr>
        <w:t>2</w:t>
      </w:r>
      <w:r>
        <w:rPr>
          <w:rFonts w:hint="eastAsia"/>
          <w:color w:val="auto"/>
          <w:highlight w:val="none"/>
          <w:u w:val="none"/>
        </w:rPr>
        <w:t>、O</w:t>
      </w:r>
      <w:r>
        <w:rPr>
          <w:color w:val="auto"/>
          <w:highlight w:val="none"/>
          <w:u w:val="none"/>
        </w:rPr>
        <w:t>DCB</w:t>
      </w:r>
      <w:r>
        <w:rPr>
          <w:rFonts w:hint="eastAsia"/>
          <w:color w:val="auto"/>
          <w:highlight w:val="none"/>
          <w:u w:val="none"/>
        </w:rPr>
        <w:t>、H</w:t>
      </w:r>
      <w:r>
        <w:rPr>
          <w:color w:val="auto"/>
          <w:highlight w:val="none"/>
          <w:u w:val="none"/>
        </w:rPr>
        <w:t>C</w:t>
      </w:r>
      <w:r>
        <w:rPr>
          <w:rFonts w:hint="eastAsia"/>
          <w:color w:val="auto"/>
          <w:highlight w:val="none"/>
          <w:u w:val="none"/>
        </w:rPr>
        <w:t>l、T</w:t>
      </w:r>
      <w:r>
        <w:rPr>
          <w:color w:val="auto"/>
          <w:highlight w:val="none"/>
          <w:u w:val="none"/>
        </w:rPr>
        <w:t>DI</w:t>
      </w:r>
      <w:r>
        <w:rPr>
          <w:rFonts w:hint="eastAsia"/>
          <w:color w:val="auto"/>
          <w:highlight w:val="none"/>
          <w:u w:val="none"/>
        </w:rPr>
        <w:t>等</w:t>
      </w:r>
      <w:r>
        <w:rPr>
          <w:color w:val="auto"/>
          <w:highlight w:val="none"/>
          <w:u w:val="none"/>
        </w:rPr>
        <w:t>气体的释放量，降低项目运营对周围植被的不利影响。</w:t>
      </w:r>
    </w:p>
    <w:p w14:paraId="2BE223C4">
      <w:pPr>
        <w:pStyle w:val="981"/>
        <w:rPr>
          <w:rFonts w:hint="eastAsia"/>
          <w:color w:val="auto"/>
          <w:highlight w:val="none"/>
          <w:u w:val="none"/>
        </w:rPr>
      </w:pPr>
      <w:r>
        <w:rPr>
          <w:color w:val="auto"/>
          <w:highlight w:val="none"/>
          <w:u w:val="none"/>
        </w:rPr>
        <w:t>（3）对厂区外周边、进厂道路、厂内空地等地进行绿化及植被恢复，通过植树种草、绿化裸地、美化环境，改善生态。在树种选择方面，应选择有较强滞尘能力的树种，如：广玉兰、忍冬、差化、女贞、圆柏、刺槐、木槿、合欢、夹竹桃、棕榈等。在绿化规划方面，可采取点、线、面结合的方式，在厂区周围建立环境净化防护林带，提高绿化成活率的同时达到净化环境空气的效果。</w:t>
      </w:r>
    </w:p>
    <w:p w14:paraId="1D82F284">
      <w:pPr>
        <w:pStyle w:val="6"/>
        <w:spacing w:before="156" w:after="156"/>
        <w:rPr>
          <w:color w:val="auto"/>
          <w:highlight w:val="none"/>
          <w:u w:val="none"/>
        </w:rPr>
      </w:pPr>
      <w:r>
        <w:rPr>
          <w:rFonts w:hint="eastAsia"/>
          <w:color w:val="auto"/>
          <w:highlight w:val="none"/>
          <w:u w:val="none"/>
        </w:rPr>
        <w:t>海洋生态环境影响分析</w:t>
      </w:r>
    </w:p>
    <w:p w14:paraId="439E8366">
      <w:pPr>
        <w:pStyle w:val="981"/>
        <w:rPr>
          <w:rFonts w:hint="eastAsia"/>
          <w:color w:val="auto"/>
          <w:highlight w:val="none"/>
          <w:u w:val="none"/>
        </w:rPr>
      </w:pPr>
      <w:r>
        <w:rPr>
          <w:rFonts w:hint="eastAsia"/>
          <w:color w:val="auto"/>
          <w:highlight w:val="none"/>
          <w:u w:val="none"/>
        </w:rPr>
        <w:t>工程运营期间的海域生态环境影响主要为有</w:t>
      </w:r>
      <w:r>
        <w:rPr>
          <w:color w:val="auto"/>
          <w:highlight w:val="none"/>
          <w:u w:val="none"/>
        </w:rPr>
        <w:t>COD、BOD、氨氮、SS、邻二氯苯、</w:t>
      </w:r>
      <w:r>
        <w:rPr>
          <w:rFonts w:hint="eastAsia"/>
          <w:color w:val="auto"/>
          <w:highlight w:val="none"/>
          <w:u w:val="none"/>
        </w:rPr>
        <w:t>硝基苯类、氯化物、石油类等污染物排放入海对海洋生态环境的影响。因此，建设单位需在废水排入</w:t>
      </w:r>
      <w:r>
        <w:rPr>
          <w:rFonts w:hint="eastAsia"/>
          <w:color w:val="auto"/>
          <w:highlight w:val="none"/>
          <w:u w:val="none"/>
          <w:lang w:val="en-US"/>
        </w:rPr>
        <w:t>万华环保科技公司污水处置站之</w:t>
      </w:r>
      <w:r>
        <w:rPr>
          <w:rFonts w:hint="eastAsia"/>
          <w:color w:val="auto"/>
          <w:highlight w:val="none"/>
          <w:u w:val="none"/>
        </w:rPr>
        <w:t>前的总排口安装流量计，实时监控企业外排至</w:t>
      </w:r>
      <w:r>
        <w:rPr>
          <w:rFonts w:hint="eastAsia"/>
          <w:color w:val="auto"/>
          <w:highlight w:val="none"/>
          <w:u w:val="none"/>
          <w:lang w:val="en-US"/>
        </w:rPr>
        <w:t>万华环保科技公司污水</w:t>
      </w:r>
      <w:r>
        <w:rPr>
          <w:rFonts w:hint="eastAsia"/>
          <w:color w:val="auto"/>
          <w:highlight w:val="none"/>
          <w:u w:val="none"/>
        </w:rPr>
        <w:t>处理的废水流量。</w:t>
      </w:r>
    </w:p>
    <w:p w14:paraId="3323CAE7">
      <w:pPr>
        <w:pStyle w:val="981"/>
        <w:rPr>
          <w:rFonts w:hint="eastAsia"/>
          <w:color w:val="auto"/>
          <w:highlight w:val="none"/>
          <w:u w:val="none"/>
        </w:rPr>
      </w:pPr>
      <w:r>
        <w:rPr>
          <w:rFonts w:hint="eastAsia"/>
          <w:color w:val="auto"/>
          <w:highlight w:val="none"/>
          <w:u w:val="none"/>
        </w:rPr>
        <w:t>低</w:t>
      </w:r>
      <w:r>
        <w:rPr>
          <w:color w:val="auto"/>
          <w:highlight w:val="none"/>
          <w:u w:val="none"/>
        </w:rPr>
        <w:t>浓度废水处理系统</w:t>
      </w:r>
      <w:r>
        <w:rPr>
          <w:rFonts w:hint="eastAsia"/>
          <w:color w:val="auto"/>
          <w:highlight w:val="none"/>
          <w:u w:val="none"/>
        </w:rPr>
        <w:t>尾水满足编组站废水处理系统接纳低浓度废水处理系统尾水水质要求后，进入编组站废水处理系统进一步处理。综合废水处理系统废水排放执行《烧碱、聚氯乙烯工业污染物排放标准》（</w:t>
      </w:r>
      <w:r>
        <w:rPr>
          <w:color w:val="auto"/>
          <w:highlight w:val="none"/>
          <w:u w:val="none"/>
        </w:rPr>
        <w:t>GB15581-2016）表1直接排放限值、</w:t>
      </w:r>
      <w:r>
        <w:rPr>
          <w:rFonts w:hint="eastAsia"/>
          <w:color w:val="auto"/>
          <w:highlight w:val="none"/>
          <w:u w:val="none"/>
        </w:rPr>
        <w:t>《石油化学工业污染物排放标准》（</w:t>
      </w:r>
      <w:r>
        <w:rPr>
          <w:color w:val="auto"/>
          <w:highlight w:val="none"/>
          <w:u w:val="none"/>
        </w:rPr>
        <w:t>GB31571-2015）表1直接排放限值和表3有机特</w:t>
      </w:r>
      <w:r>
        <w:rPr>
          <w:rFonts w:hint="eastAsia"/>
          <w:color w:val="auto"/>
          <w:highlight w:val="none"/>
          <w:u w:val="none"/>
        </w:rPr>
        <w:t>征污染物排放限值、以及《城镇污水处理厂污染物排放标准》（</w:t>
      </w:r>
      <w:r>
        <w:rPr>
          <w:color w:val="auto"/>
          <w:highlight w:val="none"/>
          <w:u w:val="none"/>
        </w:rPr>
        <w:t>GB18918-2002）表1一级A标准中的最严格浓度限值，</w:t>
      </w:r>
      <w:r>
        <w:rPr>
          <w:rFonts w:hint="eastAsia"/>
          <w:color w:val="auto"/>
          <w:highlight w:val="none"/>
          <w:u w:val="none"/>
        </w:rPr>
        <w:t>经处理达标后的废水</w:t>
      </w:r>
      <w:r>
        <w:rPr>
          <w:color w:val="auto"/>
          <w:highlight w:val="none"/>
          <w:u w:val="none"/>
        </w:rPr>
        <w:t>由</w:t>
      </w:r>
      <w:r>
        <w:rPr>
          <w:rFonts w:hint="eastAsia"/>
          <w:color w:val="auto"/>
          <w:highlight w:val="none"/>
          <w:u w:val="none"/>
          <w:lang w:eastAsia="zh-CN"/>
        </w:rPr>
        <w:t>福州江阴港城经济区</w:t>
      </w:r>
      <w:r>
        <w:rPr>
          <w:color w:val="auto"/>
          <w:highlight w:val="none"/>
          <w:u w:val="none"/>
        </w:rPr>
        <w:t>污水处理厂已建排海管道排海。</w:t>
      </w:r>
      <w:r>
        <w:rPr>
          <w:rFonts w:hint="eastAsia"/>
          <w:color w:val="auto"/>
          <w:highlight w:val="none"/>
          <w:u w:val="none"/>
        </w:rPr>
        <w:t>项目废水排放会对纳污海域的海洋生态环境造成一定程度的不利影响，其影响主要如下：</w:t>
      </w:r>
    </w:p>
    <w:p w14:paraId="7F2BDA81">
      <w:pPr>
        <w:pStyle w:val="7"/>
        <w:spacing w:before="156"/>
        <w:rPr>
          <w:color w:val="auto"/>
          <w:highlight w:val="none"/>
          <w:u w:val="none"/>
        </w:rPr>
      </w:pPr>
      <w:r>
        <w:rPr>
          <w:color w:val="auto"/>
          <w:highlight w:val="none"/>
          <w:u w:val="none"/>
        </w:rPr>
        <w:t>COD</w:t>
      </w:r>
      <w:r>
        <w:rPr>
          <w:rFonts w:hint="eastAsia"/>
          <w:color w:val="auto"/>
          <w:highlight w:val="none"/>
          <w:u w:val="none"/>
        </w:rPr>
        <w:t>、</w:t>
      </w:r>
      <w:r>
        <w:rPr>
          <w:color w:val="auto"/>
          <w:highlight w:val="none"/>
          <w:u w:val="none"/>
        </w:rPr>
        <w:t xml:space="preserve">BOD </w:t>
      </w:r>
      <w:r>
        <w:rPr>
          <w:rFonts w:hint="eastAsia"/>
          <w:color w:val="auto"/>
          <w:highlight w:val="none"/>
          <w:u w:val="none"/>
        </w:rPr>
        <w:t>和氨氮等有机污染物对海洋生态环境的影响</w:t>
      </w:r>
    </w:p>
    <w:p w14:paraId="506A77DB">
      <w:pPr>
        <w:pStyle w:val="981"/>
        <w:rPr>
          <w:rFonts w:hint="eastAsia"/>
          <w:color w:val="auto"/>
          <w:highlight w:val="none"/>
          <w:u w:val="none"/>
          <w:lang w:val="en-US"/>
        </w:rPr>
      </w:pPr>
      <w:r>
        <w:rPr>
          <w:rFonts w:hint="eastAsia"/>
          <w:color w:val="auto"/>
          <w:highlight w:val="none"/>
          <w:u w:val="none"/>
          <w:lang w:val="en-US"/>
        </w:rPr>
        <w:t>海水中氮、磷等营养盐是海洋生物生长、繁殖所必需的物质，但过量排放将导致海水富营养化。海水富营养化是赤潮发生的物质基础和首要条件。工程运营期间废水中的主要污染物包括</w:t>
      </w:r>
      <w:r>
        <w:rPr>
          <w:rFonts w:hAnsi="Times New Roman"/>
          <w:color w:val="auto"/>
          <w:highlight w:val="none"/>
          <w:u w:val="none"/>
          <w:lang w:val="en-US"/>
        </w:rPr>
        <w:t>COD</w:t>
      </w:r>
      <w:r>
        <w:rPr>
          <w:rFonts w:hint="eastAsia"/>
          <w:color w:val="auto"/>
          <w:highlight w:val="none"/>
          <w:u w:val="none"/>
          <w:lang w:val="en-US"/>
        </w:rPr>
        <w:t>、氨氮等有机污染物。长期、大量的有机废水排入工程区海域，会使营养物质在水体中富集，水域中氮、磷等营养盐类含量将会增加，如果此时海域的水文气象和海水理化因子合适，就会促进赤潮生物的大量繁殖。赤潮的危害是严重的，如果赤潮发生，将严重地破坏了海洋环境。赤潮（藻华）的发生使水体的含氧量急剧下降，更多的水中生物，如鱼、虾贝等因缺氧而窒息死亡。赤潮的发生给海洋带来的危害是灾难性的，危害生态平衡，破坏生物资源，损害渔业生产。严重时，还会影响人体健康。</w:t>
      </w:r>
    </w:p>
    <w:p w14:paraId="1F84E31A">
      <w:pPr>
        <w:pStyle w:val="7"/>
        <w:spacing w:before="156"/>
        <w:rPr>
          <w:color w:val="auto"/>
          <w:highlight w:val="none"/>
          <w:u w:val="none"/>
        </w:rPr>
      </w:pPr>
      <w:r>
        <w:rPr>
          <w:rFonts w:hint="eastAsia"/>
          <w:color w:val="auto"/>
          <w:highlight w:val="none"/>
          <w:u w:val="none"/>
        </w:rPr>
        <w:t>石油类污染物排放对海洋生态环境的影响</w:t>
      </w:r>
    </w:p>
    <w:p w14:paraId="48092E6B">
      <w:pPr>
        <w:pStyle w:val="981"/>
        <w:rPr>
          <w:rFonts w:hint="eastAsia"/>
          <w:color w:val="auto"/>
          <w:highlight w:val="none"/>
          <w:u w:val="none"/>
          <w:lang w:val="en-US"/>
        </w:rPr>
      </w:pPr>
      <w:r>
        <w:rPr>
          <w:rFonts w:hint="eastAsia"/>
          <w:color w:val="auto"/>
          <w:highlight w:val="none"/>
          <w:u w:val="none"/>
          <w:lang w:val="en-US"/>
        </w:rPr>
        <w:t>石油污染物进入海洋环境会对水生生物的生长、繁殖以及整个生态系统发生巨大的影响。污染物中的毒性化合物可以改变细胞活性，使藻类等浮游生物急性中毒死亡。当海洋中石油浓度在</w:t>
      </w:r>
      <w:r>
        <w:rPr>
          <w:color w:val="auto"/>
          <w:highlight w:val="none"/>
          <w:u w:val="none"/>
        </w:rPr>
        <w:t>10</w:t>
      </w:r>
      <w:r>
        <w:rPr>
          <w:color w:val="auto"/>
          <w:highlight w:val="none"/>
          <w:u w:val="none"/>
          <w:vertAlign w:val="superscript"/>
        </w:rPr>
        <w:t>-4</w:t>
      </w:r>
      <w:r>
        <w:rPr>
          <w:color w:val="auto"/>
          <w:highlight w:val="none"/>
          <w:u w:val="none"/>
        </w:rPr>
        <w:t>~10</w:t>
      </w:r>
      <w:r>
        <w:rPr>
          <w:color w:val="auto"/>
          <w:highlight w:val="none"/>
          <w:u w:val="none"/>
          <w:vertAlign w:val="superscript"/>
        </w:rPr>
        <w:t>-3</w:t>
      </w:r>
      <w:r>
        <w:rPr>
          <w:color w:val="auto"/>
          <w:highlight w:val="none"/>
          <w:u w:val="none"/>
        </w:rPr>
        <w:t xml:space="preserve">mg/L </w:t>
      </w:r>
      <w:r>
        <w:rPr>
          <w:rFonts w:hint="eastAsia"/>
          <w:color w:val="auto"/>
          <w:highlight w:val="none"/>
          <w:u w:val="none"/>
        </w:rPr>
        <w:t>时，可以对鱼卵和鱼类的早期发育产生影响。石油污染也会抑制光合作用，降低海水中</w:t>
      </w:r>
      <w:r>
        <w:rPr>
          <w:color w:val="auto"/>
          <w:highlight w:val="none"/>
          <w:u w:val="none"/>
        </w:rPr>
        <w:t>O</w:t>
      </w:r>
      <w:r>
        <w:rPr>
          <w:color w:val="auto"/>
          <w:highlight w:val="none"/>
          <w:u w:val="none"/>
          <w:vertAlign w:val="subscript"/>
        </w:rPr>
        <w:t>2</w:t>
      </w:r>
      <w:r>
        <w:rPr>
          <w:rFonts w:hint="eastAsia"/>
          <w:color w:val="auto"/>
          <w:highlight w:val="none"/>
          <w:u w:val="none"/>
        </w:rPr>
        <w:t>的含量，破坏生物的正常生理机能，使渔业资源逐步衰退。在被污染的水域，其恶</w:t>
      </w:r>
      <w:r>
        <w:rPr>
          <w:rFonts w:hint="eastAsia"/>
          <w:color w:val="auto"/>
          <w:highlight w:val="none"/>
          <w:u w:val="none"/>
          <w:lang w:val="en-US"/>
        </w:rPr>
        <w:t>劣水质使养殖对象大量死亡。存活下来的也因含有石油污染物而有异味，导致无法食用。并且，石油在海面形成的油膜能阻碍大气与海水之间的气体交换，影响了海面对电磁辐射的吸收、传递和反射。长期覆盖在极地冰面的油膜，会增强冰块吸热能力，加速冰层融化，对全球海平面变化和长期气候变化造成潜在影响。</w:t>
      </w:r>
    </w:p>
    <w:p w14:paraId="23468DC6">
      <w:pPr>
        <w:pStyle w:val="981"/>
        <w:rPr>
          <w:rFonts w:hint="eastAsia"/>
          <w:color w:val="auto"/>
          <w:highlight w:val="none"/>
          <w:u w:val="none"/>
          <w:lang w:val="en-US"/>
        </w:rPr>
      </w:pPr>
      <w:r>
        <w:rPr>
          <w:rFonts w:hint="eastAsia"/>
          <w:color w:val="auto"/>
          <w:highlight w:val="none"/>
          <w:u w:val="none"/>
          <w:lang w:val="en-US"/>
        </w:rPr>
        <w:t>以上分析可见，工程在运营期间产生废水除含有有机污染外，还含有对藻类、鱼类等海洋生物具有毒害作用的物质，如果不采取必要的污水处理措施，其中污染直接排放海域，将对海洋生物的生长、繁殖造成干扰，危及海洋生态系统的稳定。在确保达达标排放的前提下，污染物的排放量得到大幅削减，工程污水排放对周围海域的海洋生态环境影响是可以接受的。</w:t>
      </w:r>
    </w:p>
    <w:p w14:paraId="64B9A2AB">
      <w:pPr>
        <w:pStyle w:val="981"/>
        <w:rPr>
          <w:rFonts w:hint="eastAsia"/>
          <w:color w:val="auto"/>
          <w:highlight w:val="none"/>
          <w:u w:val="none"/>
          <w:lang w:val="en-US"/>
        </w:rPr>
      </w:pPr>
      <w:r>
        <w:rPr>
          <w:rFonts w:hint="eastAsia"/>
          <w:color w:val="auto"/>
          <w:highlight w:val="none"/>
          <w:u w:val="none"/>
          <w:lang w:val="en-US"/>
        </w:rPr>
        <w:t>以上分析可见，工程在运营期间产生废水除含有有机污染外，还含有对藻类、鱼类等海洋生物具有毒害作用的物质，如果不采取必要的污水处理措施，其中污染直接排放海域，将对海洋生物的生长、繁殖造成干扰，危及海洋生态系统的稳定。在确保达达标排放的前提下，污染物的排放量得到大幅削减，工程污水排放对周围海域的海洋生态环境影响是可以接受的。</w:t>
      </w:r>
    </w:p>
    <w:p w14:paraId="40A26DBC">
      <w:pPr>
        <w:pStyle w:val="7"/>
        <w:spacing w:before="156"/>
        <w:rPr>
          <w:color w:val="auto"/>
          <w:highlight w:val="none"/>
          <w:u w:val="none"/>
        </w:rPr>
      </w:pPr>
      <w:r>
        <w:rPr>
          <w:rFonts w:hint="eastAsia"/>
          <w:color w:val="auto"/>
          <w:highlight w:val="none"/>
          <w:u w:val="none"/>
        </w:rPr>
        <w:t>邻二氯苯污染物排放对海洋生态环境的影响</w:t>
      </w:r>
    </w:p>
    <w:p w14:paraId="3258A98D">
      <w:pPr>
        <w:pStyle w:val="981"/>
        <w:rPr>
          <w:rFonts w:hint="eastAsia"/>
          <w:color w:val="auto"/>
          <w:highlight w:val="none"/>
          <w:u w:val="none"/>
          <w:lang w:val="en-US"/>
        </w:rPr>
      </w:pPr>
      <w:r>
        <w:rPr>
          <w:rFonts w:hint="eastAsia"/>
          <w:color w:val="auto"/>
          <w:highlight w:val="none"/>
          <w:u w:val="none"/>
          <w:lang w:val="en-US"/>
        </w:rPr>
        <w:t>有机氯化物，包括氯代脂肪烃、氯代芳香烃等含氯有机化合物。有机氯化物的化学性质相对稳定，容易在生物体、土壤和沉积物的有机质中累积，在自然界中降解缓慢，环境危害周期长。许多有机氯化物被认为具有</w:t>
      </w:r>
      <w:r>
        <w:rPr>
          <w:color w:val="auto"/>
          <w:highlight w:val="none"/>
          <w:u w:val="none"/>
          <w:lang w:val="en-US"/>
        </w:rPr>
        <w:t>“</w:t>
      </w:r>
      <w:r>
        <w:rPr>
          <w:rFonts w:hint="eastAsia"/>
          <w:color w:val="auto"/>
          <w:highlight w:val="none"/>
          <w:u w:val="none"/>
          <w:lang w:val="en-US"/>
        </w:rPr>
        <w:t>致癌、致畸形、致突变</w:t>
      </w:r>
      <w:r>
        <w:rPr>
          <w:color w:val="auto"/>
          <w:highlight w:val="none"/>
          <w:u w:val="none"/>
          <w:lang w:val="en-US"/>
        </w:rPr>
        <w:t>”</w:t>
      </w:r>
      <w:r>
        <w:rPr>
          <w:rFonts w:hint="eastAsia"/>
          <w:color w:val="auto"/>
          <w:highlight w:val="none"/>
          <w:u w:val="none"/>
          <w:lang w:val="en-US"/>
        </w:rPr>
        <w:t xml:space="preserve">效应。有机氯化物的污染具有广泛性和危害性，已经成为一个全球性环境问题，引起密切关注。欧共体公布的污染物黑名单上，排在前列的也是卤代物和可以在环境中形成卤代物的物质，主要包括氯代脂肪烃、氯代芳香烃及其衍生物。 </w:t>
      </w:r>
    </w:p>
    <w:p w14:paraId="0E6D616A">
      <w:pPr>
        <w:pStyle w:val="981"/>
        <w:rPr>
          <w:rFonts w:hint="eastAsia"/>
          <w:color w:val="auto"/>
          <w:highlight w:val="none"/>
          <w:u w:val="none"/>
          <w:lang w:val="en-US"/>
        </w:rPr>
      </w:pPr>
      <w:r>
        <w:rPr>
          <w:rFonts w:hint="eastAsia"/>
          <w:color w:val="auto"/>
          <w:highlight w:val="none"/>
          <w:u w:val="none"/>
          <w:lang w:val="en-US"/>
        </w:rPr>
        <w:t>长期实验表明，有机氯毒物会侵入细胞内并参与生化反应和转化体系（至少就某些生态群而论），最终可由分子、细胞和组织等水平上的反应机理以确定对生物体某个功能产生抑制作用这种意义上的中毒现象。例如，有机氯毒物阻碍发生电子转移的还原反应，并抑制光合作用期间的希尔反应。邻二氯苯对水体和大气可造成污染，在对人类重要食物链中，特别是在水生生物中可发生生物蓄积。</w:t>
      </w:r>
    </w:p>
    <w:p w14:paraId="153ED529">
      <w:pPr>
        <w:pStyle w:val="7"/>
        <w:spacing w:before="156"/>
        <w:rPr>
          <w:color w:val="auto"/>
          <w:highlight w:val="none"/>
          <w:u w:val="none"/>
        </w:rPr>
      </w:pPr>
      <w:r>
        <w:rPr>
          <w:rFonts w:hint="eastAsia"/>
          <w:color w:val="auto"/>
          <w:highlight w:val="none"/>
          <w:u w:val="none"/>
        </w:rPr>
        <w:t>硝基苯类污染物排放对海洋生态环境的影响</w:t>
      </w:r>
    </w:p>
    <w:p w14:paraId="26843B78">
      <w:pPr>
        <w:pStyle w:val="981"/>
        <w:rPr>
          <w:rFonts w:hint="eastAsia"/>
          <w:color w:val="auto"/>
          <w:highlight w:val="none"/>
          <w:u w:val="none"/>
        </w:rPr>
      </w:pPr>
      <w:r>
        <w:rPr>
          <w:rFonts w:hint="eastAsia"/>
          <w:color w:val="auto"/>
          <w:highlight w:val="none"/>
          <w:u w:val="none"/>
        </w:rPr>
        <w:t>硝基苯化合物可通过呼吸、消化和皮肤渗透等方式侵入生物体，危害海洋生态环境，并通过食物链传递，对人体产生如三致效应、生殖发育毒性等健康危害。董玉瑛等根据毒性比法研究硝基芳烃对发光菌的毒性表明，硝基苯和氯苯均为麻醉型有机物。</w:t>
      </w:r>
      <w:r>
        <w:rPr>
          <w:color w:val="auto"/>
          <w:highlight w:val="none"/>
          <w:u w:val="none"/>
        </w:rPr>
        <w:t>Cronin</w:t>
      </w:r>
      <w:r>
        <w:rPr>
          <w:rFonts w:hint="eastAsia"/>
          <w:color w:val="auto"/>
          <w:highlight w:val="none"/>
          <w:u w:val="none"/>
        </w:rPr>
        <w:t>等曾指出单硝基取代或单氯代苯等属于极性麻醉剂。前人的研究表明，对于极性麻醉型有机物，可与生物分子发生氢键作用，因此这些物质在生物体中的运转过程以及与受体靶分子发生相互作用，它们不仅可通过脂溶作用产生毒性效应，而且可通过氢键结合进一步增加毒性。李铁军、郭远明、张小军等的研究指出，三疣梭子蟹、黄姑鱼和脊尾白虾都有初期活跃、后期逐渐变得呆滞并丧失活动能力的症状。初期活跃是由于生物受到硝基苯刺激产生回避，后期由于神经系统传递的阻抑或紊乱，丧失活动能力，变得麻痹。菲律宾蛤则由于神经系统传递的阻抑出现外套膜剧烈收缩、丧失附着能力，直至最后贝壳不能闭合等现象。硝基苯对三疣梭子蟹、黄姑鱼、脊尾白虾和菲律宾蛤的安全浓度分别为</w:t>
      </w:r>
      <w:r>
        <w:rPr>
          <w:color w:val="auto"/>
          <w:highlight w:val="none"/>
          <w:u w:val="none"/>
        </w:rPr>
        <w:t>0.076mg/L</w:t>
      </w:r>
      <w:r>
        <w:rPr>
          <w:rFonts w:hint="eastAsia"/>
          <w:color w:val="auto"/>
          <w:highlight w:val="none"/>
          <w:u w:val="none"/>
        </w:rPr>
        <w:t>、</w:t>
      </w:r>
      <w:r>
        <w:rPr>
          <w:color w:val="auto"/>
          <w:highlight w:val="none"/>
          <w:u w:val="none"/>
        </w:rPr>
        <w:t>0.075mg/L</w:t>
      </w:r>
      <w:r>
        <w:rPr>
          <w:rFonts w:hint="eastAsia"/>
          <w:color w:val="auto"/>
          <w:highlight w:val="none"/>
          <w:u w:val="none"/>
        </w:rPr>
        <w:t>、</w:t>
      </w:r>
      <w:r>
        <w:rPr>
          <w:color w:val="auto"/>
          <w:highlight w:val="none"/>
          <w:u w:val="none"/>
        </w:rPr>
        <w:t>0.0026mg/L</w:t>
      </w:r>
      <w:r>
        <w:rPr>
          <w:rFonts w:hint="eastAsia"/>
          <w:color w:val="auto"/>
          <w:highlight w:val="none"/>
          <w:u w:val="none"/>
        </w:rPr>
        <w:t>和</w:t>
      </w:r>
      <w:r>
        <w:rPr>
          <w:color w:val="auto"/>
          <w:highlight w:val="none"/>
          <w:u w:val="none"/>
        </w:rPr>
        <w:t>0.092mg/L</w:t>
      </w:r>
      <w:r>
        <w:rPr>
          <w:rFonts w:hint="eastAsia"/>
          <w:color w:val="auto"/>
          <w:highlight w:val="none"/>
          <w:u w:val="none"/>
        </w:rPr>
        <w:t>。</w:t>
      </w:r>
    </w:p>
    <w:p w14:paraId="60D0BC0A">
      <w:pPr>
        <w:pStyle w:val="981"/>
        <w:rPr>
          <w:rFonts w:hint="eastAsia"/>
          <w:color w:val="auto"/>
          <w:highlight w:val="none"/>
          <w:u w:val="none"/>
          <w:lang w:val="en-US"/>
        </w:rPr>
      </w:pPr>
      <w:r>
        <w:rPr>
          <w:rFonts w:hint="eastAsia"/>
          <w:color w:val="auto"/>
          <w:highlight w:val="none"/>
          <w:u w:val="none"/>
          <w:lang w:val="en-US"/>
        </w:rPr>
        <w:t>以上分析可见，工程在运营期间产生废水除含有有机污染外，还含有对藻类、鱼类等海洋生物具有毒害作用的物质，如果不采取必要的污水处理措施，其中污染直接排放海域，将对海洋生物的生长、繁殖造成干扰，危及海洋生态系统的稳定。</w:t>
      </w:r>
    </w:p>
    <w:p w14:paraId="75A49D66">
      <w:pPr>
        <w:pStyle w:val="981"/>
        <w:rPr>
          <w:rFonts w:hint="eastAsia"/>
          <w:color w:val="auto"/>
          <w:highlight w:val="none"/>
          <w:u w:val="none"/>
          <w:lang w:val="en-US"/>
        </w:rPr>
      </w:pPr>
      <w:r>
        <w:rPr>
          <w:rFonts w:hint="eastAsia"/>
          <w:color w:val="auto"/>
          <w:highlight w:val="none"/>
          <w:u w:val="none"/>
          <w:lang w:val="en-US"/>
        </w:rPr>
        <w:t>本项目硝硫浓缩酸性废水、废酸浓缩酸性废水、汽提酸性废水、TDA废水、光化中和废水、设备清洗水废水依托万华环保科技公司现有污水处理站（原异氰酸酯公司附属设施工程废水处理站）的综合废水处理系统处理达标后通过福州江阴港城经济区污水处理厂已建的尾水排海管道排入兴化湾；地面冲洗水、初期雨水、生活污水依托万华环保科技公司现有污水处理站（原异氰酸酯公司附属设施工程废水处理站）的低浓度废水处理系统处理后</w:t>
      </w:r>
      <w:r>
        <w:rPr>
          <w:rFonts w:hint="eastAsia"/>
          <w:color w:val="auto"/>
          <w:highlight w:val="none"/>
          <w:u w:val="none"/>
          <w:lang w:val="en-US" w:eastAsia="zh-CN"/>
        </w:rPr>
        <w:t>，尾水进入</w:t>
      </w:r>
      <w:r>
        <w:rPr>
          <w:rFonts w:hint="eastAsia"/>
          <w:color w:val="auto"/>
          <w:highlight w:val="none"/>
          <w:u w:val="none"/>
          <w:lang w:val="en-US"/>
        </w:rPr>
        <w:t>拟建的编组站废水处理系统处理后回用于万华福建产业园内各循环冷却水系统补充水，编组站废水处理系统中水回用装置的浓水处理达标后通过福州江阴港城经济区污水处理厂已建的尾水排海管道排入兴化湾。根据《万华化学（福建）异氰酸酯有限公司附属配套设施工程环境影响报告书（报批本）》的海洋生态环境影响结论，万华环保科技公司现有污水处理站“运营期间对区域海洋生态环境的影响主要为废水排放对海区海洋生物生境的影响，对其正常生长的繁殖造成干扰，进而影响区域海洋生态环境。在正常运营情况下，工程污废水在厂内处理后，集中通过经过论证的排污口排放，对海域的海洋生态环境影响有限”。同时根据《万华环保科技（福建）有限公司编组站项目环境影响报告书（报批稿）》的海洋环境生态影响结论，万华环保科技公司编组站“运营后，园区深海排放口废水排放量减少，废水排放水质不低于现有排放标准，可以减少对纳污海域的污染负荷，对改善纳污海域的水质起到积极的作用；浓水入海对海水盐度影响不大，工程污水排放对周围海域的海洋生态环境影响是可以接受的。在企业严格落实事故废水三级防控措施的前提下，能够确保事故废水不入海，对海洋生态环境的风险可防可控。”</w:t>
      </w:r>
    </w:p>
    <w:p w14:paraId="39EA3F90">
      <w:pPr>
        <w:pStyle w:val="981"/>
        <w:rPr>
          <w:rFonts w:hint="eastAsia"/>
          <w:color w:val="auto"/>
          <w:highlight w:val="none"/>
          <w:u w:val="none"/>
          <w:lang w:val="en-US"/>
        </w:rPr>
      </w:pPr>
      <w:r>
        <w:rPr>
          <w:rFonts w:hint="eastAsia"/>
          <w:color w:val="auto"/>
          <w:highlight w:val="none"/>
          <w:u w:val="none"/>
          <w:lang w:val="en-US"/>
        </w:rPr>
        <w:t>因此，本项目废水依托万华环保科技公司现有污水处理站、拟建的编组站处理，在确保达标排放的前提下，项目污水排放对周围海域的海洋生态环境影响可以接受。</w:t>
      </w:r>
    </w:p>
    <w:p w14:paraId="6A955066">
      <w:pPr>
        <w:pStyle w:val="476"/>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8.7</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color w:val="auto"/>
          <w:highlight w:val="none"/>
          <w:u w:val="none"/>
        </w:rPr>
        <w:t xml:space="preserve">  </w:t>
      </w:r>
      <w:r>
        <w:rPr>
          <w:rFonts w:hint="eastAsia"/>
          <w:color w:val="auto"/>
          <w:highlight w:val="none"/>
          <w:u w:val="none"/>
        </w:rPr>
        <w:t>建设项目生态影响评价自查表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59"/>
        <w:gridCol w:w="1602"/>
        <w:gridCol w:w="6825"/>
      </w:tblGrid>
      <w:tr w14:paraId="28A827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25" w:type="pct"/>
            <w:gridSpan w:val="2"/>
            <w:vAlign w:val="center"/>
          </w:tcPr>
          <w:p w14:paraId="7D3A5821">
            <w:pPr>
              <w:pStyle w:val="1001"/>
              <w:rPr>
                <w:color w:val="auto"/>
                <w:highlight w:val="none"/>
                <w:u w:val="none"/>
              </w:rPr>
            </w:pPr>
            <w:r>
              <w:rPr>
                <w:rFonts w:hint="eastAsia"/>
                <w:color w:val="auto"/>
                <w:highlight w:val="none"/>
                <w:u w:val="none"/>
              </w:rPr>
              <w:t>工作内容</w:t>
            </w:r>
          </w:p>
        </w:tc>
        <w:tc>
          <w:tcPr>
            <w:tcW w:w="3675" w:type="pct"/>
            <w:vAlign w:val="center"/>
          </w:tcPr>
          <w:p w14:paraId="4253EC97">
            <w:pPr>
              <w:pStyle w:val="1001"/>
              <w:rPr>
                <w:color w:val="auto"/>
                <w:highlight w:val="none"/>
                <w:u w:val="none"/>
              </w:rPr>
            </w:pPr>
            <w:r>
              <w:rPr>
                <w:rFonts w:hint="eastAsia"/>
                <w:color w:val="auto"/>
                <w:highlight w:val="none"/>
                <w:u w:val="none"/>
              </w:rPr>
              <w:t>自查项目</w:t>
            </w:r>
          </w:p>
        </w:tc>
      </w:tr>
      <w:tr w14:paraId="16BEF4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restart"/>
            <w:vAlign w:val="center"/>
          </w:tcPr>
          <w:p w14:paraId="55FCB6B8">
            <w:pPr>
              <w:pStyle w:val="1001"/>
              <w:rPr>
                <w:color w:val="auto"/>
                <w:highlight w:val="none"/>
                <w:u w:val="none"/>
              </w:rPr>
            </w:pPr>
            <w:r>
              <w:rPr>
                <w:rFonts w:hint="eastAsia"/>
                <w:color w:val="auto"/>
                <w:highlight w:val="none"/>
                <w:u w:val="none"/>
              </w:rPr>
              <w:t>生态影响识别</w:t>
            </w:r>
          </w:p>
        </w:tc>
        <w:tc>
          <w:tcPr>
            <w:tcW w:w="863" w:type="pct"/>
            <w:vAlign w:val="center"/>
          </w:tcPr>
          <w:p w14:paraId="5AFA86EF">
            <w:pPr>
              <w:pStyle w:val="1001"/>
              <w:rPr>
                <w:color w:val="auto"/>
                <w:highlight w:val="none"/>
                <w:u w:val="none"/>
              </w:rPr>
            </w:pPr>
            <w:r>
              <w:rPr>
                <w:rFonts w:hint="eastAsia"/>
                <w:color w:val="auto"/>
                <w:highlight w:val="none"/>
                <w:u w:val="none"/>
              </w:rPr>
              <w:t>生态保护目标</w:t>
            </w:r>
          </w:p>
        </w:tc>
        <w:tc>
          <w:tcPr>
            <w:tcW w:w="3675" w:type="pct"/>
            <w:vAlign w:val="center"/>
          </w:tcPr>
          <w:p w14:paraId="581773B6">
            <w:pPr>
              <w:pStyle w:val="1001"/>
              <w:rPr>
                <w:color w:val="auto"/>
                <w:highlight w:val="none"/>
                <w:u w:val="none"/>
              </w:rPr>
            </w:pPr>
            <w:r>
              <w:rPr>
                <w:rFonts w:hint="eastAsia"/>
                <w:color w:val="auto"/>
                <w:highlight w:val="none"/>
                <w:u w:val="none"/>
              </w:rPr>
              <w:t>重要物种□；国家公园□；自然保护区□；自然公园□；世界自然遗产□；生态保护红线□；重要生境□；其他具有重要生态功能、对保护生物多样性具有重要意义的区域□；其他□</w:t>
            </w:r>
          </w:p>
        </w:tc>
      </w:tr>
      <w:tr w14:paraId="15D63B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36BFFEE1">
            <w:pPr>
              <w:pStyle w:val="1001"/>
              <w:rPr>
                <w:color w:val="auto"/>
                <w:highlight w:val="none"/>
                <w:u w:val="none"/>
              </w:rPr>
            </w:pPr>
          </w:p>
        </w:tc>
        <w:tc>
          <w:tcPr>
            <w:tcW w:w="863" w:type="pct"/>
            <w:vAlign w:val="center"/>
          </w:tcPr>
          <w:p w14:paraId="7EA1E01E">
            <w:pPr>
              <w:pStyle w:val="1001"/>
              <w:rPr>
                <w:color w:val="auto"/>
                <w:highlight w:val="none"/>
                <w:u w:val="none"/>
              </w:rPr>
            </w:pPr>
            <w:r>
              <w:rPr>
                <w:rFonts w:hint="eastAsia"/>
                <w:color w:val="auto"/>
                <w:highlight w:val="none"/>
                <w:u w:val="none"/>
              </w:rPr>
              <w:t>影响方式</w:t>
            </w:r>
          </w:p>
        </w:tc>
        <w:tc>
          <w:tcPr>
            <w:tcW w:w="3675" w:type="pct"/>
            <w:vAlign w:val="center"/>
          </w:tcPr>
          <w:p w14:paraId="231FCBB2">
            <w:pPr>
              <w:pStyle w:val="1001"/>
              <w:rPr>
                <w:color w:val="auto"/>
                <w:highlight w:val="none"/>
                <w:u w:val="none"/>
              </w:rPr>
            </w:pPr>
            <w:r>
              <w:rPr>
                <w:rFonts w:hint="eastAsia"/>
                <w:color w:val="auto"/>
                <w:highlight w:val="none"/>
                <w:u w:val="none"/>
              </w:rPr>
              <w:t>工程占用□；施工活动干扰√；改变环境条件□；其他□</w:t>
            </w:r>
          </w:p>
        </w:tc>
      </w:tr>
      <w:tr w14:paraId="52DDBF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56B9C89B">
            <w:pPr>
              <w:pStyle w:val="1001"/>
              <w:rPr>
                <w:color w:val="auto"/>
                <w:highlight w:val="none"/>
                <w:u w:val="none"/>
              </w:rPr>
            </w:pPr>
          </w:p>
        </w:tc>
        <w:tc>
          <w:tcPr>
            <w:tcW w:w="863" w:type="pct"/>
            <w:vAlign w:val="center"/>
          </w:tcPr>
          <w:p w14:paraId="3051C298">
            <w:pPr>
              <w:pStyle w:val="1001"/>
              <w:rPr>
                <w:color w:val="auto"/>
                <w:highlight w:val="none"/>
                <w:u w:val="none"/>
              </w:rPr>
            </w:pPr>
            <w:r>
              <w:rPr>
                <w:rFonts w:hint="eastAsia"/>
                <w:color w:val="auto"/>
                <w:highlight w:val="none"/>
                <w:u w:val="none"/>
              </w:rPr>
              <w:t>评价因子</w:t>
            </w:r>
          </w:p>
        </w:tc>
        <w:tc>
          <w:tcPr>
            <w:tcW w:w="3675" w:type="pct"/>
            <w:vAlign w:val="center"/>
          </w:tcPr>
          <w:p w14:paraId="4BA3045B">
            <w:pPr>
              <w:pStyle w:val="1001"/>
              <w:jc w:val="both"/>
              <w:rPr>
                <w:color w:val="auto"/>
                <w:highlight w:val="none"/>
                <w:u w:val="none"/>
              </w:rPr>
            </w:pPr>
            <w:r>
              <w:rPr>
                <w:rFonts w:hint="eastAsia"/>
                <w:color w:val="auto"/>
                <w:highlight w:val="none"/>
                <w:u w:val="none"/>
              </w:rPr>
              <w:t xml:space="preserve">物种□（ </w:t>
            </w:r>
            <w:r>
              <w:rPr>
                <w:color w:val="auto"/>
                <w:highlight w:val="none"/>
                <w:u w:val="none"/>
              </w:rPr>
              <w:t xml:space="preserve">                                                    </w:t>
            </w:r>
            <w:r>
              <w:rPr>
                <w:rFonts w:hint="eastAsia"/>
                <w:color w:val="auto"/>
                <w:highlight w:val="none"/>
                <w:u w:val="none"/>
              </w:rPr>
              <w:t>）</w:t>
            </w:r>
          </w:p>
          <w:p w14:paraId="47EAE74E">
            <w:pPr>
              <w:pStyle w:val="1001"/>
              <w:jc w:val="both"/>
              <w:rPr>
                <w:color w:val="auto"/>
                <w:highlight w:val="none"/>
                <w:u w:val="none"/>
              </w:rPr>
            </w:pPr>
            <w:r>
              <w:rPr>
                <w:rFonts w:hint="eastAsia"/>
                <w:color w:val="auto"/>
                <w:highlight w:val="none"/>
                <w:u w:val="none"/>
              </w:rPr>
              <w:t xml:space="preserve">生境□（ </w:t>
            </w:r>
            <w:r>
              <w:rPr>
                <w:color w:val="auto"/>
                <w:highlight w:val="none"/>
                <w:u w:val="none"/>
              </w:rPr>
              <w:t xml:space="preserve">                                                    </w:t>
            </w:r>
            <w:r>
              <w:rPr>
                <w:rFonts w:hint="eastAsia"/>
                <w:color w:val="auto"/>
                <w:highlight w:val="none"/>
                <w:u w:val="none"/>
              </w:rPr>
              <w:t>）</w:t>
            </w:r>
          </w:p>
          <w:p w14:paraId="19B889C8">
            <w:pPr>
              <w:pStyle w:val="1001"/>
              <w:jc w:val="both"/>
              <w:rPr>
                <w:color w:val="auto"/>
                <w:highlight w:val="none"/>
                <w:u w:val="none"/>
              </w:rPr>
            </w:pPr>
            <w:r>
              <w:rPr>
                <w:rFonts w:hint="eastAsia"/>
                <w:color w:val="auto"/>
                <w:highlight w:val="none"/>
                <w:u w:val="none"/>
              </w:rPr>
              <w:t xml:space="preserve">生物群落□（ </w:t>
            </w:r>
            <w:r>
              <w:rPr>
                <w:color w:val="auto"/>
                <w:highlight w:val="none"/>
                <w:u w:val="none"/>
              </w:rPr>
              <w:t xml:space="preserve">                                                </w:t>
            </w:r>
            <w:r>
              <w:rPr>
                <w:rFonts w:hint="eastAsia"/>
                <w:color w:val="auto"/>
                <w:highlight w:val="none"/>
                <w:u w:val="none"/>
              </w:rPr>
              <w:t>）</w:t>
            </w:r>
          </w:p>
          <w:p w14:paraId="578A8D74">
            <w:pPr>
              <w:pStyle w:val="1001"/>
              <w:jc w:val="both"/>
              <w:rPr>
                <w:color w:val="auto"/>
                <w:highlight w:val="none"/>
                <w:u w:val="none"/>
              </w:rPr>
            </w:pPr>
            <w:r>
              <w:rPr>
                <w:rFonts w:hint="eastAsia"/>
                <w:color w:val="auto"/>
                <w:highlight w:val="none"/>
                <w:u w:val="none"/>
              </w:rPr>
              <w:t xml:space="preserve">生态系统□（ </w:t>
            </w:r>
            <w:r>
              <w:rPr>
                <w:color w:val="auto"/>
                <w:highlight w:val="none"/>
                <w:u w:val="none"/>
              </w:rPr>
              <w:t xml:space="preserve">                                                </w:t>
            </w:r>
            <w:r>
              <w:rPr>
                <w:rFonts w:hint="eastAsia"/>
                <w:color w:val="auto"/>
                <w:highlight w:val="none"/>
                <w:u w:val="none"/>
              </w:rPr>
              <w:t>）</w:t>
            </w:r>
          </w:p>
          <w:p w14:paraId="79618623">
            <w:pPr>
              <w:pStyle w:val="1001"/>
              <w:jc w:val="both"/>
              <w:rPr>
                <w:color w:val="auto"/>
                <w:highlight w:val="none"/>
                <w:u w:val="none"/>
              </w:rPr>
            </w:pPr>
            <w:r>
              <w:rPr>
                <w:rFonts w:hint="eastAsia"/>
                <w:color w:val="auto"/>
                <w:highlight w:val="none"/>
                <w:u w:val="none"/>
              </w:rPr>
              <w:t xml:space="preserve">生物多样性□（ </w:t>
            </w:r>
            <w:r>
              <w:rPr>
                <w:color w:val="auto"/>
                <w:highlight w:val="none"/>
                <w:u w:val="none"/>
              </w:rPr>
              <w:t xml:space="preserve">                                              </w:t>
            </w:r>
            <w:r>
              <w:rPr>
                <w:rFonts w:hint="eastAsia"/>
                <w:color w:val="auto"/>
                <w:highlight w:val="none"/>
                <w:u w:val="none"/>
              </w:rPr>
              <w:t>）</w:t>
            </w:r>
          </w:p>
          <w:p w14:paraId="2D63D53E">
            <w:pPr>
              <w:pStyle w:val="1001"/>
              <w:jc w:val="both"/>
              <w:rPr>
                <w:color w:val="auto"/>
                <w:highlight w:val="none"/>
                <w:u w:val="none"/>
              </w:rPr>
            </w:pPr>
            <w:r>
              <w:rPr>
                <w:rFonts w:hint="eastAsia"/>
                <w:color w:val="auto"/>
                <w:highlight w:val="none"/>
                <w:u w:val="none"/>
              </w:rPr>
              <w:t xml:space="preserve">生态敏感区□（ </w:t>
            </w:r>
            <w:r>
              <w:rPr>
                <w:color w:val="auto"/>
                <w:highlight w:val="none"/>
                <w:u w:val="none"/>
              </w:rPr>
              <w:t xml:space="preserve">                                              </w:t>
            </w:r>
            <w:r>
              <w:rPr>
                <w:rFonts w:hint="eastAsia"/>
                <w:color w:val="auto"/>
                <w:highlight w:val="none"/>
                <w:u w:val="none"/>
              </w:rPr>
              <w:t>）</w:t>
            </w:r>
          </w:p>
          <w:p w14:paraId="69F86DFC">
            <w:pPr>
              <w:pStyle w:val="1001"/>
              <w:jc w:val="both"/>
              <w:rPr>
                <w:color w:val="auto"/>
                <w:highlight w:val="none"/>
                <w:u w:val="none"/>
              </w:rPr>
            </w:pPr>
            <w:r>
              <w:rPr>
                <w:rFonts w:hint="eastAsia"/>
                <w:color w:val="auto"/>
                <w:highlight w:val="none"/>
                <w:u w:val="none"/>
              </w:rPr>
              <w:t xml:space="preserve">自然景观□（ </w:t>
            </w:r>
            <w:r>
              <w:rPr>
                <w:color w:val="auto"/>
                <w:highlight w:val="none"/>
                <w:u w:val="none"/>
              </w:rPr>
              <w:t xml:space="preserve">                                                </w:t>
            </w:r>
            <w:r>
              <w:rPr>
                <w:rFonts w:hint="eastAsia"/>
                <w:color w:val="auto"/>
                <w:highlight w:val="none"/>
                <w:u w:val="none"/>
              </w:rPr>
              <w:t>）</w:t>
            </w:r>
          </w:p>
          <w:p w14:paraId="7AA03ACE">
            <w:pPr>
              <w:pStyle w:val="1001"/>
              <w:jc w:val="both"/>
              <w:rPr>
                <w:color w:val="auto"/>
                <w:highlight w:val="none"/>
                <w:u w:val="none"/>
              </w:rPr>
            </w:pPr>
            <w:r>
              <w:rPr>
                <w:rFonts w:hint="eastAsia"/>
                <w:color w:val="auto"/>
                <w:highlight w:val="none"/>
                <w:u w:val="none"/>
              </w:rPr>
              <w:t xml:space="preserve">自然遗迹□（ </w:t>
            </w:r>
            <w:r>
              <w:rPr>
                <w:color w:val="auto"/>
                <w:highlight w:val="none"/>
                <w:u w:val="none"/>
              </w:rPr>
              <w:t xml:space="preserve">                                                </w:t>
            </w:r>
            <w:r>
              <w:rPr>
                <w:rFonts w:hint="eastAsia"/>
                <w:color w:val="auto"/>
                <w:highlight w:val="none"/>
                <w:u w:val="none"/>
              </w:rPr>
              <w:t>）</w:t>
            </w:r>
          </w:p>
          <w:p w14:paraId="6FFCDE01">
            <w:pPr>
              <w:pStyle w:val="1001"/>
              <w:jc w:val="both"/>
              <w:rPr>
                <w:color w:val="auto"/>
                <w:highlight w:val="none"/>
                <w:u w:val="none"/>
              </w:rPr>
            </w:pPr>
            <w:r>
              <w:rPr>
                <w:rFonts w:hint="eastAsia"/>
                <w:color w:val="auto"/>
                <w:highlight w:val="none"/>
                <w:u w:val="none"/>
              </w:rPr>
              <w:t xml:space="preserve">其他□（ </w:t>
            </w:r>
            <w:r>
              <w:rPr>
                <w:color w:val="auto"/>
                <w:highlight w:val="none"/>
                <w:u w:val="none"/>
              </w:rPr>
              <w:t xml:space="preserve">                                                    </w:t>
            </w:r>
            <w:r>
              <w:rPr>
                <w:rFonts w:hint="eastAsia"/>
                <w:color w:val="auto"/>
                <w:highlight w:val="none"/>
                <w:u w:val="none"/>
              </w:rPr>
              <w:t>）</w:t>
            </w:r>
          </w:p>
        </w:tc>
      </w:tr>
      <w:tr w14:paraId="470D28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25" w:type="pct"/>
            <w:gridSpan w:val="2"/>
            <w:vAlign w:val="center"/>
          </w:tcPr>
          <w:p w14:paraId="1FFDFF72">
            <w:pPr>
              <w:pStyle w:val="1001"/>
              <w:rPr>
                <w:color w:val="auto"/>
                <w:highlight w:val="none"/>
                <w:u w:val="none"/>
              </w:rPr>
            </w:pPr>
            <w:r>
              <w:rPr>
                <w:rFonts w:hint="eastAsia"/>
                <w:color w:val="auto"/>
                <w:highlight w:val="none"/>
                <w:u w:val="none"/>
              </w:rPr>
              <w:t>评价等级</w:t>
            </w:r>
          </w:p>
        </w:tc>
        <w:tc>
          <w:tcPr>
            <w:tcW w:w="3675" w:type="pct"/>
            <w:vAlign w:val="center"/>
          </w:tcPr>
          <w:p w14:paraId="6E3D770D">
            <w:pPr>
              <w:pStyle w:val="1001"/>
              <w:rPr>
                <w:color w:val="auto"/>
                <w:highlight w:val="none"/>
                <w:u w:val="none"/>
              </w:rPr>
            </w:pPr>
            <w:r>
              <w:rPr>
                <w:rFonts w:hint="eastAsia"/>
                <w:color w:val="auto"/>
                <w:highlight w:val="none"/>
                <w:u w:val="none"/>
              </w:rPr>
              <w:t xml:space="preserve">一级□ </w:t>
            </w:r>
            <w:r>
              <w:rPr>
                <w:color w:val="auto"/>
                <w:highlight w:val="none"/>
                <w:u w:val="none"/>
              </w:rPr>
              <w:t xml:space="preserve">       </w:t>
            </w:r>
            <w:r>
              <w:rPr>
                <w:rFonts w:hint="eastAsia"/>
                <w:color w:val="auto"/>
                <w:highlight w:val="none"/>
                <w:u w:val="none"/>
              </w:rPr>
              <w:t xml:space="preserve">二级□ </w:t>
            </w:r>
            <w:r>
              <w:rPr>
                <w:color w:val="auto"/>
                <w:highlight w:val="none"/>
                <w:u w:val="none"/>
              </w:rPr>
              <w:t xml:space="preserve">      </w:t>
            </w:r>
            <w:r>
              <w:rPr>
                <w:rFonts w:hint="eastAsia"/>
                <w:color w:val="auto"/>
                <w:highlight w:val="none"/>
                <w:u w:val="none"/>
              </w:rPr>
              <w:t xml:space="preserve"> 三级□ </w:t>
            </w:r>
            <w:r>
              <w:rPr>
                <w:color w:val="auto"/>
                <w:highlight w:val="none"/>
                <w:u w:val="none"/>
              </w:rPr>
              <w:t xml:space="preserve">      </w:t>
            </w:r>
            <w:r>
              <w:rPr>
                <w:rFonts w:hint="eastAsia"/>
                <w:color w:val="auto"/>
                <w:highlight w:val="none"/>
                <w:u w:val="none"/>
              </w:rPr>
              <w:t xml:space="preserve"> 生态影响简单分析√</w:t>
            </w:r>
          </w:p>
        </w:tc>
      </w:tr>
      <w:tr w14:paraId="6F45E3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25" w:type="pct"/>
            <w:gridSpan w:val="2"/>
            <w:vAlign w:val="center"/>
          </w:tcPr>
          <w:p w14:paraId="5ECD38AC">
            <w:pPr>
              <w:pStyle w:val="1001"/>
              <w:rPr>
                <w:color w:val="auto"/>
                <w:highlight w:val="none"/>
                <w:u w:val="none"/>
              </w:rPr>
            </w:pPr>
            <w:r>
              <w:rPr>
                <w:rFonts w:hint="eastAsia"/>
                <w:color w:val="auto"/>
                <w:highlight w:val="none"/>
                <w:u w:val="none"/>
              </w:rPr>
              <w:t>评价范围</w:t>
            </w:r>
          </w:p>
        </w:tc>
        <w:tc>
          <w:tcPr>
            <w:tcW w:w="3675" w:type="pct"/>
            <w:vAlign w:val="center"/>
          </w:tcPr>
          <w:p w14:paraId="02040524">
            <w:pPr>
              <w:pStyle w:val="1001"/>
              <w:rPr>
                <w:color w:val="auto"/>
                <w:highlight w:val="none"/>
                <w:u w:val="none"/>
              </w:rPr>
            </w:pPr>
            <w:r>
              <w:rPr>
                <w:rFonts w:hint="eastAsia"/>
                <w:color w:val="auto"/>
                <w:highlight w:val="none"/>
                <w:u w:val="none"/>
              </w:rPr>
              <w:t>陆域面积：（ ）km2；水域面积：（ ）km2</w:t>
            </w:r>
          </w:p>
        </w:tc>
      </w:tr>
      <w:tr w14:paraId="09D5E5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restart"/>
            <w:vAlign w:val="center"/>
          </w:tcPr>
          <w:p w14:paraId="673D8858">
            <w:pPr>
              <w:pStyle w:val="1001"/>
              <w:rPr>
                <w:color w:val="auto"/>
                <w:highlight w:val="none"/>
                <w:u w:val="none"/>
              </w:rPr>
            </w:pPr>
            <w:r>
              <w:rPr>
                <w:rFonts w:hint="eastAsia"/>
                <w:color w:val="auto"/>
                <w:highlight w:val="none"/>
                <w:u w:val="none"/>
              </w:rPr>
              <w:t>生态现状调查与评价</w:t>
            </w:r>
          </w:p>
        </w:tc>
        <w:tc>
          <w:tcPr>
            <w:tcW w:w="863" w:type="pct"/>
            <w:vAlign w:val="center"/>
          </w:tcPr>
          <w:p w14:paraId="3EA496F9">
            <w:pPr>
              <w:pStyle w:val="1001"/>
              <w:rPr>
                <w:color w:val="auto"/>
                <w:highlight w:val="none"/>
                <w:u w:val="none"/>
              </w:rPr>
            </w:pPr>
            <w:r>
              <w:rPr>
                <w:rFonts w:hint="eastAsia"/>
                <w:color w:val="auto"/>
                <w:highlight w:val="none"/>
                <w:u w:val="none"/>
              </w:rPr>
              <w:t>调查方法</w:t>
            </w:r>
          </w:p>
        </w:tc>
        <w:tc>
          <w:tcPr>
            <w:tcW w:w="3675" w:type="pct"/>
            <w:vAlign w:val="center"/>
          </w:tcPr>
          <w:p w14:paraId="4B40A3BA">
            <w:pPr>
              <w:pStyle w:val="1001"/>
              <w:rPr>
                <w:color w:val="auto"/>
                <w:highlight w:val="none"/>
                <w:u w:val="none"/>
              </w:rPr>
            </w:pPr>
            <w:r>
              <w:rPr>
                <w:rFonts w:hint="eastAsia"/>
                <w:color w:val="auto"/>
                <w:highlight w:val="none"/>
                <w:u w:val="none"/>
              </w:rPr>
              <w:t>资料收集□； 遥感调查□；调查样方、样线□；调查点位、断面□； 专家和公众咨询法□； 其他□</w:t>
            </w:r>
          </w:p>
        </w:tc>
      </w:tr>
      <w:tr w14:paraId="731C81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6DC59136">
            <w:pPr>
              <w:pStyle w:val="1001"/>
              <w:rPr>
                <w:color w:val="auto"/>
                <w:highlight w:val="none"/>
                <w:u w:val="none"/>
              </w:rPr>
            </w:pPr>
          </w:p>
        </w:tc>
        <w:tc>
          <w:tcPr>
            <w:tcW w:w="863" w:type="pct"/>
            <w:vAlign w:val="center"/>
          </w:tcPr>
          <w:p w14:paraId="4F60C8B7">
            <w:pPr>
              <w:pStyle w:val="1001"/>
              <w:rPr>
                <w:color w:val="auto"/>
                <w:highlight w:val="none"/>
                <w:u w:val="none"/>
              </w:rPr>
            </w:pPr>
            <w:r>
              <w:rPr>
                <w:rFonts w:hint="eastAsia"/>
                <w:color w:val="auto"/>
                <w:highlight w:val="none"/>
                <w:u w:val="none"/>
              </w:rPr>
              <w:t>调查时间</w:t>
            </w:r>
          </w:p>
        </w:tc>
        <w:tc>
          <w:tcPr>
            <w:tcW w:w="3675" w:type="pct"/>
            <w:vAlign w:val="center"/>
          </w:tcPr>
          <w:p w14:paraId="4F00F74F">
            <w:pPr>
              <w:pStyle w:val="1001"/>
              <w:rPr>
                <w:color w:val="auto"/>
                <w:highlight w:val="none"/>
                <w:u w:val="none"/>
              </w:rPr>
            </w:pPr>
            <w:r>
              <w:rPr>
                <w:rFonts w:hint="eastAsia"/>
                <w:color w:val="auto"/>
                <w:highlight w:val="none"/>
                <w:u w:val="none"/>
              </w:rPr>
              <w:t>春季□；夏季□；秋季□；冬季□；丰水期□；枯水期□；平水期□</w:t>
            </w:r>
          </w:p>
        </w:tc>
      </w:tr>
      <w:tr w14:paraId="022D50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27B1D823">
            <w:pPr>
              <w:pStyle w:val="1001"/>
              <w:rPr>
                <w:color w:val="auto"/>
                <w:highlight w:val="none"/>
                <w:u w:val="none"/>
              </w:rPr>
            </w:pPr>
          </w:p>
        </w:tc>
        <w:tc>
          <w:tcPr>
            <w:tcW w:w="863" w:type="pct"/>
            <w:vAlign w:val="center"/>
          </w:tcPr>
          <w:p w14:paraId="6CBD8B9B">
            <w:pPr>
              <w:pStyle w:val="1001"/>
              <w:rPr>
                <w:color w:val="auto"/>
                <w:highlight w:val="none"/>
                <w:u w:val="none"/>
              </w:rPr>
            </w:pPr>
            <w:r>
              <w:rPr>
                <w:rFonts w:hint="eastAsia"/>
                <w:color w:val="auto"/>
                <w:highlight w:val="none"/>
                <w:u w:val="none"/>
              </w:rPr>
              <w:t>所在区域的</w:t>
            </w:r>
          </w:p>
          <w:p w14:paraId="3EA1B1CB">
            <w:pPr>
              <w:pStyle w:val="1001"/>
              <w:rPr>
                <w:color w:val="auto"/>
                <w:highlight w:val="none"/>
                <w:u w:val="none"/>
              </w:rPr>
            </w:pPr>
            <w:r>
              <w:rPr>
                <w:rFonts w:hint="eastAsia"/>
                <w:color w:val="auto"/>
                <w:highlight w:val="none"/>
                <w:u w:val="none"/>
              </w:rPr>
              <w:t>生态问题</w:t>
            </w:r>
          </w:p>
        </w:tc>
        <w:tc>
          <w:tcPr>
            <w:tcW w:w="3675" w:type="pct"/>
            <w:vAlign w:val="center"/>
          </w:tcPr>
          <w:p w14:paraId="5C2E9595">
            <w:pPr>
              <w:pStyle w:val="1001"/>
              <w:rPr>
                <w:color w:val="auto"/>
                <w:highlight w:val="none"/>
                <w:u w:val="none"/>
              </w:rPr>
            </w:pPr>
            <w:r>
              <w:rPr>
                <w:rFonts w:hint="eastAsia"/>
                <w:color w:val="auto"/>
                <w:highlight w:val="none"/>
                <w:u w:val="none"/>
              </w:rPr>
              <w:t>水土流失□；沙漠化□； 石漠化□；盐渍化□； 生物入侵□； 污染危害□；其他□</w:t>
            </w:r>
          </w:p>
        </w:tc>
      </w:tr>
      <w:tr w14:paraId="7380BE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1F88EE47">
            <w:pPr>
              <w:pStyle w:val="1001"/>
              <w:rPr>
                <w:color w:val="auto"/>
                <w:highlight w:val="none"/>
                <w:u w:val="none"/>
              </w:rPr>
            </w:pPr>
          </w:p>
        </w:tc>
        <w:tc>
          <w:tcPr>
            <w:tcW w:w="863" w:type="pct"/>
            <w:vAlign w:val="center"/>
          </w:tcPr>
          <w:p w14:paraId="6329D0A4">
            <w:pPr>
              <w:pStyle w:val="1001"/>
              <w:rPr>
                <w:color w:val="auto"/>
                <w:highlight w:val="none"/>
                <w:u w:val="none"/>
              </w:rPr>
            </w:pPr>
            <w:r>
              <w:rPr>
                <w:rFonts w:hint="eastAsia"/>
                <w:color w:val="auto"/>
                <w:highlight w:val="none"/>
                <w:u w:val="none"/>
              </w:rPr>
              <w:t>评价内容</w:t>
            </w:r>
          </w:p>
        </w:tc>
        <w:tc>
          <w:tcPr>
            <w:tcW w:w="3675" w:type="pct"/>
            <w:vAlign w:val="center"/>
          </w:tcPr>
          <w:p w14:paraId="563612EC">
            <w:pPr>
              <w:pStyle w:val="1001"/>
              <w:rPr>
                <w:color w:val="auto"/>
                <w:highlight w:val="none"/>
                <w:u w:val="none"/>
              </w:rPr>
            </w:pPr>
            <w:r>
              <w:rPr>
                <w:rFonts w:hint="eastAsia"/>
                <w:color w:val="auto"/>
                <w:highlight w:val="none"/>
                <w:u w:val="none"/>
              </w:rPr>
              <w:t>植被/植物群落□；土地利用□；生态系统□； 生物多样性□；重要物种□；生态敏感区□；其他□</w:t>
            </w:r>
          </w:p>
        </w:tc>
      </w:tr>
      <w:tr w14:paraId="5DDA24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restart"/>
            <w:vAlign w:val="center"/>
          </w:tcPr>
          <w:p w14:paraId="2D163B82">
            <w:pPr>
              <w:pStyle w:val="1001"/>
              <w:rPr>
                <w:color w:val="auto"/>
                <w:highlight w:val="none"/>
                <w:u w:val="none"/>
              </w:rPr>
            </w:pPr>
            <w:r>
              <w:rPr>
                <w:rFonts w:hint="eastAsia"/>
                <w:color w:val="auto"/>
                <w:highlight w:val="none"/>
                <w:u w:val="none"/>
              </w:rPr>
              <w:t>生态影响</w:t>
            </w:r>
          </w:p>
          <w:p w14:paraId="48F5B0E2">
            <w:pPr>
              <w:pStyle w:val="1001"/>
              <w:rPr>
                <w:color w:val="auto"/>
                <w:highlight w:val="none"/>
                <w:u w:val="none"/>
              </w:rPr>
            </w:pPr>
            <w:r>
              <w:rPr>
                <w:rFonts w:hint="eastAsia"/>
                <w:color w:val="auto"/>
                <w:highlight w:val="none"/>
                <w:u w:val="none"/>
              </w:rPr>
              <w:t>预测与评价</w:t>
            </w:r>
          </w:p>
        </w:tc>
        <w:tc>
          <w:tcPr>
            <w:tcW w:w="863" w:type="pct"/>
            <w:vAlign w:val="center"/>
          </w:tcPr>
          <w:p w14:paraId="148FB2F5">
            <w:pPr>
              <w:pStyle w:val="1001"/>
              <w:rPr>
                <w:color w:val="auto"/>
                <w:highlight w:val="none"/>
                <w:u w:val="none"/>
              </w:rPr>
            </w:pPr>
            <w:r>
              <w:rPr>
                <w:rFonts w:hint="eastAsia"/>
                <w:color w:val="auto"/>
                <w:highlight w:val="none"/>
                <w:u w:val="none"/>
              </w:rPr>
              <w:t>评价方法</w:t>
            </w:r>
          </w:p>
        </w:tc>
        <w:tc>
          <w:tcPr>
            <w:tcW w:w="3675" w:type="pct"/>
            <w:vAlign w:val="center"/>
          </w:tcPr>
          <w:p w14:paraId="67D12736">
            <w:pPr>
              <w:pStyle w:val="1001"/>
              <w:rPr>
                <w:color w:val="auto"/>
                <w:highlight w:val="none"/>
                <w:u w:val="none"/>
              </w:rPr>
            </w:pPr>
            <w:r>
              <w:rPr>
                <w:rFonts w:hint="eastAsia"/>
                <w:color w:val="auto"/>
                <w:highlight w:val="none"/>
                <w:u w:val="none"/>
              </w:rPr>
              <w:t>定性□；定性和定量□</w:t>
            </w:r>
          </w:p>
        </w:tc>
      </w:tr>
      <w:tr w14:paraId="5F6D95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14A4D91E">
            <w:pPr>
              <w:pStyle w:val="1001"/>
              <w:rPr>
                <w:color w:val="auto"/>
                <w:highlight w:val="none"/>
                <w:u w:val="none"/>
              </w:rPr>
            </w:pPr>
          </w:p>
        </w:tc>
        <w:tc>
          <w:tcPr>
            <w:tcW w:w="863" w:type="pct"/>
            <w:vAlign w:val="center"/>
          </w:tcPr>
          <w:p w14:paraId="132A0CB2">
            <w:pPr>
              <w:pStyle w:val="1001"/>
              <w:rPr>
                <w:color w:val="auto"/>
                <w:highlight w:val="none"/>
                <w:u w:val="none"/>
              </w:rPr>
            </w:pPr>
            <w:r>
              <w:rPr>
                <w:rFonts w:hint="eastAsia"/>
                <w:color w:val="auto"/>
                <w:highlight w:val="none"/>
                <w:u w:val="none"/>
              </w:rPr>
              <w:t>评价内容</w:t>
            </w:r>
          </w:p>
        </w:tc>
        <w:tc>
          <w:tcPr>
            <w:tcW w:w="3675" w:type="pct"/>
            <w:vAlign w:val="center"/>
          </w:tcPr>
          <w:p w14:paraId="4F35D65D">
            <w:pPr>
              <w:pStyle w:val="1001"/>
              <w:rPr>
                <w:color w:val="auto"/>
                <w:highlight w:val="none"/>
                <w:u w:val="none"/>
              </w:rPr>
            </w:pPr>
            <w:r>
              <w:rPr>
                <w:rFonts w:hint="eastAsia"/>
                <w:color w:val="auto"/>
                <w:highlight w:val="none"/>
                <w:u w:val="none"/>
              </w:rPr>
              <w:t>植被/植物群落□；土地利用□；生态系统□； 生物多样性□；重要物种□；生态敏感区□；生物入侵风险□； 其他□</w:t>
            </w:r>
          </w:p>
        </w:tc>
      </w:tr>
      <w:tr w14:paraId="46025D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restart"/>
            <w:vAlign w:val="center"/>
          </w:tcPr>
          <w:p w14:paraId="0A0C9EE0">
            <w:pPr>
              <w:pStyle w:val="1001"/>
              <w:rPr>
                <w:color w:val="auto"/>
                <w:highlight w:val="none"/>
                <w:u w:val="none"/>
              </w:rPr>
            </w:pPr>
            <w:r>
              <w:rPr>
                <w:rFonts w:hint="eastAsia"/>
                <w:color w:val="auto"/>
                <w:highlight w:val="none"/>
                <w:u w:val="none"/>
              </w:rPr>
              <w:t>生态保护</w:t>
            </w:r>
          </w:p>
          <w:p w14:paraId="2137AF46">
            <w:pPr>
              <w:pStyle w:val="1001"/>
              <w:rPr>
                <w:color w:val="auto"/>
                <w:highlight w:val="none"/>
                <w:u w:val="none"/>
              </w:rPr>
            </w:pPr>
            <w:r>
              <w:rPr>
                <w:rFonts w:hint="eastAsia"/>
                <w:color w:val="auto"/>
                <w:highlight w:val="none"/>
                <w:u w:val="none"/>
              </w:rPr>
              <w:t>对策措施</w:t>
            </w:r>
          </w:p>
        </w:tc>
        <w:tc>
          <w:tcPr>
            <w:tcW w:w="863" w:type="pct"/>
            <w:vAlign w:val="center"/>
          </w:tcPr>
          <w:p w14:paraId="704BD73C">
            <w:pPr>
              <w:pStyle w:val="1001"/>
              <w:rPr>
                <w:color w:val="auto"/>
                <w:highlight w:val="none"/>
                <w:u w:val="none"/>
              </w:rPr>
            </w:pPr>
            <w:r>
              <w:rPr>
                <w:rFonts w:hint="eastAsia"/>
                <w:color w:val="auto"/>
                <w:highlight w:val="none"/>
                <w:u w:val="none"/>
              </w:rPr>
              <w:t>对策措施</w:t>
            </w:r>
          </w:p>
        </w:tc>
        <w:tc>
          <w:tcPr>
            <w:tcW w:w="3675" w:type="pct"/>
            <w:vAlign w:val="center"/>
          </w:tcPr>
          <w:p w14:paraId="288D0B97">
            <w:pPr>
              <w:pStyle w:val="1001"/>
              <w:rPr>
                <w:color w:val="auto"/>
                <w:highlight w:val="none"/>
                <w:u w:val="none"/>
              </w:rPr>
            </w:pPr>
            <w:r>
              <w:rPr>
                <w:rFonts w:hint="eastAsia"/>
                <w:color w:val="auto"/>
                <w:highlight w:val="none"/>
                <w:u w:val="none"/>
              </w:rPr>
              <w:t>避让□；减缓□；生态修复□；生态补偿□；科研□；其他□</w:t>
            </w:r>
          </w:p>
        </w:tc>
      </w:tr>
      <w:tr w14:paraId="64D751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63D62371">
            <w:pPr>
              <w:pStyle w:val="1001"/>
              <w:rPr>
                <w:color w:val="auto"/>
                <w:highlight w:val="none"/>
                <w:u w:val="none"/>
              </w:rPr>
            </w:pPr>
          </w:p>
        </w:tc>
        <w:tc>
          <w:tcPr>
            <w:tcW w:w="863" w:type="pct"/>
            <w:vAlign w:val="center"/>
          </w:tcPr>
          <w:p w14:paraId="291AA44F">
            <w:pPr>
              <w:pStyle w:val="1001"/>
              <w:rPr>
                <w:color w:val="auto"/>
                <w:highlight w:val="none"/>
                <w:u w:val="none"/>
              </w:rPr>
            </w:pPr>
            <w:r>
              <w:rPr>
                <w:rFonts w:hint="eastAsia"/>
                <w:color w:val="auto"/>
                <w:highlight w:val="none"/>
                <w:u w:val="none"/>
              </w:rPr>
              <w:t>生态监测计划</w:t>
            </w:r>
          </w:p>
        </w:tc>
        <w:tc>
          <w:tcPr>
            <w:tcW w:w="3675" w:type="pct"/>
            <w:vAlign w:val="center"/>
          </w:tcPr>
          <w:p w14:paraId="7E1E20A5">
            <w:pPr>
              <w:pStyle w:val="1001"/>
              <w:rPr>
                <w:color w:val="auto"/>
                <w:highlight w:val="none"/>
                <w:u w:val="none"/>
              </w:rPr>
            </w:pPr>
            <w:r>
              <w:rPr>
                <w:rFonts w:hint="eastAsia"/>
                <w:color w:val="auto"/>
                <w:highlight w:val="none"/>
                <w:u w:val="none"/>
              </w:rPr>
              <w:t>全生命周期□； 长期跟踪□； 常规□；无□</w:t>
            </w:r>
          </w:p>
        </w:tc>
      </w:tr>
      <w:tr w14:paraId="0577E0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Merge w:val="continue"/>
            <w:vAlign w:val="center"/>
          </w:tcPr>
          <w:p w14:paraId="33681DAC">
            <w:pPr>
              <w:pStyle w:val="1001"/>
              <w:rPr>
                <w:color w:val="auto"/>
                <w:highlight w:val="none"/>
                <w:u w:val="none"/>
              </w:rPr>
            </w:pPr>
          </w:p>
        </w:tc>
        <w:tc>
          <w:tcPr>
            <w:tcW w:w="863" w:type="pct"/>
            <w:vAlign w:val="center"/>
          </w:tcPr>
          <w:p w14:paraId="3C47310B">
            <w:pPr>
              <w:pStyle w:val="1001"/>
              <w:rPr>
                <w:color w:val="auto"/>
                <w:highlight w:val="none"/>
                <w:u w:val="none"/>
              </w:rPr>
            </w:pPr>
            <w:r>
              <w:rPr>
                <w:rFonts w:hint="eastAsia"/>
                <w:color w:val="auto"/>
                <w:highlight w:val="none"/>
                <w:u w:val="none"/>
              </w:rPr>
              <w:t>环境管理</w:t>
            </w:r>
          </w:p>
        </w:tc>
        <w:tc>
          <w:tcPr>
            <w:tcW w:w="3675" w:type="pct"/>
            <w:vAlign w:val="center"/>
          </w:tcPr>
          <w:p w14:paraId="12313982">
            <w:pPr>
              <w:pStyle w:val="1001"/>
              <w:rPr>
                <w:color w:val="auto"/>
                <w:highlight w:val="none"/>
                <w:u w:val="none"/>
              </w:rPr>
            </w:pPr>
            <w:r>
              <w:rPr>
                <w:rFonts w:hint="eastAsia"/>
                <w:color w:val="auto"/>
                <w:highlight w:val="none"/>
                <w:u w:val="none"/>
              </w:rPr>
              <w:t>环境监理□；环境影响后评价□；其他□</w:t>
            </w:r>
          </w:p>
        </w:tc>
      </w:tr>
      <w:tr w14:paraId="01D1D1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62" w:type="pct"/>
            <w:vAlign w:val="center"/>
          </w:tcPr>
          <w:p w14:paraId="62F7271B">
            <w:pPr>
              <w:pStyle w:val="1001"/>
              <w:rPr>
                <w:color w:val="auto"/>
                <w:highlight w:val="none"/>
                <w:u w:val="none"/>
              </w:rPr>
            </w:pPr>
            <w:r>
              <w:rPr>
                <w:rFonts w:hint="eastAsia"/>
                <w:color w:val="auto"/>
                <w:highlight w:val="none"/>
                <w:u w:val="none"/>
              </w:rPr>
              <w:t>评价结论</w:t>
            </w:r>
          </w:p>
        </w:tc>
        <w:tc>
          <w:tcPr>
            <w:tcW w:w="863" w:type="pct"/>
            <w:vAlign w:val="center"/>
          </w:tcPr>
          <w:p w14:paraId="3EA41777">
            <w:pPr>
              <w:pStyle w:val="1001"/>
              <w:rPr>
                <w:color w:val="auto"/>
                <w:highlight w:val="none"/>
                <w:u w:val="none"/>
              </w:rPr>
            </w:pPr>
            <w:r>
              <w:rPr>
                <w:rFonts w:hint="eastAsia"/>
                <w:color w:val="auto"/>
                <w:highlight w:val="none"/>
                <w:u w:val="none"/>
              </w:rPr>
              <w:t>生态影响</w:t>
            </w:r>
          </w:p>
        </w:tc>
        <w:tc>
          <w:tcPr>
            <w:tcW w:w="3675" w:type="pct"/>
            <w:vAlign w:val="center"/>
          </w:tcPr>
          <w:p w14:paraId="38251635">
            <w:pPr>
              <w:pStyle w:val="1001"/>
              <w:rPr>
                <w:color w:val="auto"/>
                <w:highlight w:val="none"/>
                <w:u w:val="none"/>
              </w:rPr>
            </w:pPr>
            <w:r>
              <w:rPr>
                <w:rFonts w:hint="eastAsia"/>
                <w:color w:val="auto"/>
                <w:highlight w:val="none"/>
                <w:u w:val="none"/>
              </w:rPr>
              <w:t>可行√；不可行□</w:t>
            </w:r>
          </w:p>
        </w:tc>
      </w:tr>
      <w:tr w14:paraId="19E53E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vAlign w:val="center"/>
          </w:tcPr>
          <w:p w14:paraId="6955C14B">
            <w:pPr>
              <w:pStyle w:val="1001"/>
              <w:rPr>
                <w:color w:val="auto"/>
                <w:highlight w:val="none"/>
                <w:u w:val="none"/>
              </w:rPr>
            </w:pPr>
            <w:r>
              <w:rPr>
                <w:rFonts w:hint="eastAsia"/>
                <w:color w:val="auto"/>
                <w:highlight w:val="none"/>
                <w:u w:val="none"/>
              </w:rPr>
              <w:t>注： “□” 为勾选项 ，可√ ；“（ ）” 为内容填写项</w:t>
            </w:r>
          </w:p>
        </w:tc>
      </w:tr>
    </w:tbl>
    <w:p w14:paraId="0AA7262D">
      <w:pPr>
        <w:pStyle w:val="981"/>
        <w:rPr>
          <w:rFonts w:hint="eastAsia"/>
          <w:color w:val="auto"/>
          <w:highlight w:val="none"/>
          <w:u w:val="none"/>
        </w:rPr>
      </w:pPr>
    </w:p>
    <w:p w14:paraId="49704ECF">
      <w:pPr>
        <w:pStyle w:val="4"/>
        <w:rPr>
          <w:color w:val="auto"/>
          <w:highlight w:val="none"/>
          <w:u w:val="none"/>
        </w:rPr>
      </w:pPr>
      <w:bookmarkStart w:id="561" w:name="_Toc148374824"/>
      <w:bookmarkStart w:id="562" w:name="_Toc148374620"/>
      <w:bookmarkStart w:id="563" w:name="_Toc148375062"/>
      <w:bookmarkStart w:id="564" w:name="_Toc8126"/>
      <w:r>
        <w:rPr>
          <w:rFonts w:hint="eastAsia"/>
          <w:color w:val="auto"/>
          <w:highlight w:val="none"/>
          <w:u w:val="none"/>
        </w:rPr>
        <w:t>碳排放环境影响评价</w:t>
      </w:r>
      <w:bookmarkEnd w:id="561"/>
      <w:bookmarkEnd w:id="562"/>
      <w:bookmarkEnd w:id="563"/>
      <w:bookmarkEnd w:id="564"/>
    </w:p>
    <w:p w14:paraId="748C3975">
      <w:pPr>
        <w:pStyle w:val="6"/>
        <w:spacing w:before="156" w:after="156"/>
        <w:rPr>
          <w:color w:val="auto"/>
          <w:highlight w:val="none"/>
          <w:u w:val="none"/>
        </w:rPr>
      </w:pPr>
      <w:r>
        <w:rPr>
          <w:rFonts w:hint="eastAsia"/>
          <w:color w:val="auto"/>
          <w:highlight w:val="none"/>
          <w:u w:val="none"/>
        </w:rPr>
        <w:t>碳排放政策符合性分析</w:t>
      </w:r>
    </w:p>
    <w:p w14:paraId="215E6489">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zh-CN" w:eastAsia="zh-CN" w:bidi="ar-SA"/>
        </w:rPr>
      </w:pPr>
      <w:r>
        <w:rPr>
          <w:rFonts w:ascii="Times New Roman" w:hAnsi="宋体" w:eastAsia="宋体" w:cs="Times New Roman"/>
          <w:color w:val="auto"/>
          <w:sz w:val="24"/>
          <w:szCs w:val="24"/>
          <w:highlight w:val="none"/>
          <w:u w:val="none"/>
          <w:lang w:val="zh-CN" w:eastAsia="zh-CN" w:bidi="ar-SA"/>
        </w:rPr>
        <w:t>为应对气候变化，我国提出“二氧化碳排放力争于2030年前达到峰值，努力争取2060年前实现碳中和”等庄严的目标承诺。“十四五”规划也将加快推动绿色低碳发展列入其中。</w:t>
      </w:r>
      <w:r>
        <w:rPr>
          <w:rFonts w:hint="eastAsia" w:ascii="Times New Roman" w:hAnsi="宋体" w:eastAsia="宋体" w:cs="Times New Roman"/>
          <w:color w:val="auto"/>
          <w:sz w:val="24"/>
          <w:szCs w:val="24"/>
          <w:highlight w:val="none"/>
          <w:u w:val="none"/>
          <w:lang w:val="zh-CN" w:eastAsia="zh-CN" w:bidi="ar-SA"/>
        </w:rPr>
        <w:t>2024年7月30国务院办公厅关于印发《加快构建碳排放双控制度体系工作方案》（国办发</w:t>
      </w:r>
      <w:r>
        <w:rPr>
          <w:rFonts w:ascii="Times New Roman" w:hAnsi="宋体" w:eastAsia="宋体" w:cs="Times New Roman"/>
          <w:color w:val="auto"/>
          <w:sz w:val="24"/>
          <w:szCs w:val="24"/>
          <w:highlight w:val="none"/>
          <w:u w:val="none"/>
          <w:lang w:val="en-US" w:eastAsia="zh-CN" w:bidi="ar-SA"/>
        </w:rPr>
        <w:t>[2024]39</w:t>
      </w:r>
      <w:r>
        <w:rPr>
          <w:rFonts w:hint="eastAsia" w:ascii="Times New Roman" w:hAnsi="宋体" w:eastAsia="宋体" w:cs="Times New Roman"/>
          <w:color w:val="auto"/>
          <w:sz w:val="24"/>
          <w:szCs w:val="24"/>
          <w:highlight w:val="none"/>
          <w:u w:val="none"/>
          <w:lang w:val="en-US" w:eastAsia="zh-CN" w:bidi="ar-SA"/>
        </w:rPr>
        <w:t>号</w:t>
      </w:r>
      <w:r>
        <w:rPr>
          <w:rFonts w:hint="eastAsia" w:ascii="Times New Roman" w:hAnsi="宋体" w:eastAsia="宋体" w:cs="Times New Roman"/>
          <w:color w:val="auto"/>
          <w:sz w:val="24"/>
          <w:szCs w:val="24"/>
          <w:highlight w:val="none"/>
          <w:u w:val="none"/>
          <w:lang w:val="zh-CN" w:eastAsia="zh-CN" w:bidi="ar-SA"/>
        </w:rPr>
        <w:t>）要求积极稳妥推进碳达峰碳中和、加快发展方式绿色转型。</w:t>
      </w:r>
    </w:p>
    <w:p w14:paraId="171B8F8F">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zh-CN" w:eastAsia="zh-CN" w:bidi="ar-SA"/>
        </w:rPr>
      </w:pPr>
      <w:r>
        <w:rPr>
          <w:rFonts w:hint="eastAsia" w:ascii="Times New Roman" w:hAnsi="宋体" w:eastAsia="宋体" w:cs="Times New Roman"/>
          <w:color w:val="auto"/>
          <w:sz w:val="24"/>
          <w:szCs w:val="24"/>
          <w:highlight w:val="none"/>
          <w:u w:val="none"/>
          <w:lang w:val="zh-CN" w:eastAsia="zh-CN" w:bidi="ar-SA"/>
        </w:rPr>
        <w:t>项目建设积极响应国家对碳达峰、碳中和工作，推动绿色低碳发展，建设单位在各方面采用了一系列节能减排措施。本项目建成后的单位产品碳排量为吨/吨产品，优于一期工程及行业平均水平。项目建设符合国家、地方相关的碳达峰、碳中和、碳排放政策要求。</w:t>
      </w:r>
    </w:p>
    <w:p w14:paraId="54C2CD7D">
      <w:pPr>
        <w:keepNext/>
        <w:keepLines/>
        <w:widowControl/>
        <w:numPr>
          <w:ilvl w:val="3"/>
          <w:numId w:val="1"/>
        </w:numPr>
        <w:adjustRightInd w:val="0"/>
        <w:snapToGrid w:val="0"/>
        <w:spacing w:before="156" w:beforeLines="50" w:after="0" w:afterLines="0" w:line="360" w:lineRule="auto"/>
        <w:ind w:left="0" w:firstLine="1" w:firstLineChars="0"/>
        <w:jc w:val="both"/>
        <w:outlineLvl w:val="3"/>
        <w:rPr>
          <w:rFonts w:ascii="Times New Roman" w:hAnsi="Times New Roman" w:eastAsia="宋体" w:cs="Times New Roman"/>
          <w:b/>
          <w:color w:val="auto"/>
          <w:kern w:val="0"/>
          <w:sz w:val="28"/>
          <w:szCs w:val="28"/>
          <w:highlight w:val="none"/>
          <w:u w:val="none"/>
          <w:lang w:val="en-US" w:eastAsia="zh-CN" w:bidi="ar-SA"/>
        </w:rPr>
      </w:pPr>
      <w:r>
        <w:rPr>
          <w:rFonts w:hint="eastAsia" w:ascii="Times New Roman" w:hAnsi="Times New Roman" w:eastAsia="宋体" w:cs="Times New Roman"/>
          <w:b/>
          <w:color w:val="auto"/>
          <w:kern w:val="0"/>
          <w:sz w:val="28"/>
          <w:szCs w:val="28"/>
          <w:highlight w:val="none"/>
          <w:u w:val="none"/>
          <w:lang w:val="en-US" w:eastAsia="zh-CN" w:bidi="ar-SA"/>
        </w:rPr>
        <w:t>相关碳排放政策的符合性分析</w:t>
      </w:r>
    </w:p>
    <w:p w14:paraId="1A7830D2">
      <w:pPr>
        <w:widowControl w:val="0"/>
        <w:spacing w:line="360" w:lineRule="auto"/>
        <w:ind w:firstLine="482" w:firstLineChars="200"/>
        <w:jc w:val="both"/>
        <w:rPr>
          <w:rFonts w:hint="eastAsia" w:ascii="Times New Roman" w:hAnsi="宋体" w:eastAsia="宋体" w:cs="Times New Roman"/>
          <w:b/>
          <w:bCs/>
          <w:color w:val="auto"/>
          <w:sz w:val="24"/>
          <w:szCs w:val="24"/>
          <w:highlight w:val="none"/>
          <w:u w:val="none"/>
          <w:lang w:val="zh-CN" w:eastAsia="zh-CN" w:bidi="ar-SA"/>
        </w:rPr>
      </w:pPr>
      <w:r>
        <w:rPr>
          <w:rFonts w:hint="eastAsia" w:ascii="Times New Roman" w:hAnsi="宋体" w:eastAsia="宋体" w:cs="Times New Roman"/>
          <w:b/>
          <w:bCs/>
          <w:color w:val="auto"/>
          <w:sz w:val="24"/>
          <w:szCs w:val="24"/>
          <w:highlight w:val="none"/>
          <w:u w:val="none"/>
          <w:lang w:val="zh-CN" w:eastAsia="zh-CN" w:bidi="ar-SA"/>
        </w:rPr>
        <w:t>（1）《中共中央国务院关于完整准确全面贯彻新发展理念做好碳达峰碳中和工作的意见》（中发[2021]36号）</w:t>
      </w:r>
    </w:p>
    <w:p w14:paraId="72D6E3BB">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zh-CN" w:eastAsia="zh-CN" w:bidi="ar-SA"/>
        </w:rPr>
      </w:pPr>
      <w:r>
        <w:rPr>
          <w:rFonts w:hint="eastAsia" w:ascii="Times New Roman" w:hAnsi="宋体" w:eastAsia="宋体" w:cs="Times New Roman"/>
          <w:color w:val="auto"/>
          <w:sz w:val="24"/>
          <w:szCs w:val="24"/>
          <w:highlight w:val="none"/>
          <w:u w:val="none"/>
          <w:lang w:val="zh-CN" w:eastAsia="zh-CN" w:bidi="ar-SA"/>
        </w:rPr>
        <w:t>2021年10月，中共中央、国务院发布了《中共中央国务院关于完整准确全面贯彻新发展理念做好碳达峰碳中和工作的意见》（中发[2021]36号）。本项目符合该意见的要求，相符性分析见</w:t>
      </w:r>
      <w:r>
        <w:rPr>
          <w:rFonts w:hint="eastAsia" w:ascii="Times New Roman" w:hAnsi="宋体" w:eastAsia="宋体" w:cs="Times New Roman"/>
          <w:color w:val="auto"/>
          <w:sz w:val="24"/>
          <w:szCs w:val="24"/>
          <w:highlight w:val="none"/>
          <w:u w:val="none"/>
          <w:lang w:val="zh-CN" w:eastAsia="zh-CN" w:bidi="ar-SA"/>
        </w:rPr>
        <w:fldChar w:fldCharType="begin"/>
      </w:r>
      <w:r>
        <w:rPr>
          <w:rFonts w:hint="eastAsia" w:ascii="Times New Roman" w:hAnsi="宋体" w:eastAsia="宋体" w:cs="Times New Roman"/>
          <w:color w:val="auto"/>
          <w:sz w:val="24"/>
          <w:szCs w:val="24"/>
          <w:highlight w:val="none"/>
          <w:u w:val="none"/>
          <w:lang w:val="zh-CN" w:eastAsia="zh-CN" w:bidi="ar-SA"/>
        </w:rPr>
        <w:instrText xml:space="preserve"> REF _Ref193203695 \h </w:instrText>
      </w:r>
      <w:r>
        <w:rPr>
          <w:rFonts w:hint="eastAsia" w:ascii="Times New Roman" w:hAnsi="宋体" w:eastAsia="宋体" w:cs="Times New Roman"/>
          <w:color w:val="auto"/>
          <w:sz w:val="24"/>
          <w:szCs w:val="24"/>
          <w:highlight w:val="none"/>
          <w:u w:val="none"/>
          <w:lang w:val="zh-CN" w:eastAsia="zh-CN" w:bidi="ar-SA"/>
        </w:rPr>
        <w:fldChar w:fldCharType="separate"/>
      </w:r>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t>1</w:t>
      </w:r>
      <w:r>
        <w:rPr>
          <w:rFonts w:hint="eastAsia" w:ascii="Times New Roman" w:hAnsi="宋体" w:eastAsia="宋体" w:cs="Times New Roman"/>
          <w:color w:val="auto"/>
          <w:sz w:val="24"/>
          <w:szCs w:val="24"/>
          <w:highlight w:val="none"/>
          <w:u w:val="none"/>
          <w:lang w:val="zh-CN" w:eastAsia="zh-CN" w:bidi="ar-SA"/>
        </w:rPr>
        <w:fldChar w:fldCharType="end"/>
      </w:r>
      <w:r>
        <w:rPr>
          <w:rFonts w:hint="eastAsia" w:ascii="Times New Roman" w:hAnsi="宋体" w:eastAsia="宋体" w:cs="Times New Roman"/>
          <w:color w:val="auto"/>
          <w:sz w:val="24"/>
          <w:szCs w:val="24"/>
          <w:highlight w:val="none"/>
          <w:u w:val="none"/>
          <w:lang w:val="zh-CN" w:eastAsia="zh-CN" w:bidi="ar-SA"/>
        </w:rPr>
        <w:t>。</w:t>
      </w:r>
    </w:p>
    <w:p w14:paraId="33A58C57">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65" w:name="_Ref193203695"/>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1</w:t>
      </w:r>
      <w:r>
        <w:rPr>
          <w:rFonts w:ascii="Times New Roman" w:hAnsi="Times New Roman" w:eastAsia="宋体" w:cs="Times New Roman"/>
          <w:b/>
          <w:color w:val="auto"/>
          <w:sz w:val="24"/>
          <w:szCs w:val="24"/>
          <w:highlight w:val="none"/>
          <w:u w:val="none"/>
          <w:lang w:val="en-US" w:eastAsia="zh-CN" w:bidi="ar-SA"/>
        </w:rPr>
        <w:fldChar w:fldCharType="end"/>
      </w:r>
      <w:bookmarkEnd w:id="565"/>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与“中发[2021]36号”符合性分析</w:t>
      </w:r>
    </w:p>
    <w:tbl>
      <w:tblPr>
        <w:tblStyle w:val="5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501"/>
        <w:gridCol w:w="2784"/>
        <w:gridCol w:w="1001"/>
      </w:tblGrid>
      <w:tr w14:paraId="3CB3B2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962" w:type="pct"/>
            <w:vAlign w:val="center"/>
          </w:tcPr>
          <w:p w14:paraId="079E4562">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1499" w:type="pct"/>
            <w:vAlign w:val="center"/>
          </w:tcPr>
          <w:p w14:paraId="38FD7FAC">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539" w:type="pct"/>
            <w:vAlign w:val="center"/>
          </w:tcPr>
          <w:p w14:paraId="37CCDD60">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1BAD12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962" w:type="pct"/>
            <w:vAlign w:val="center"/>
          </w:tcPr>
          <w:p w14:paraId="1BBD21AE">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主要目标：到</w:t>
            </w:r>
            <w:r>
              <w:rPr>
                <w:rFonts w:ascii="Times New Roman" w:hAnsi="Times New Roman" w:eastAsia="宋体" w:cs="Times New Roman"/>
                <w:color w:val="auto"/>
                <w:kern w:val="2"/>
                <w:sz w:val="21"/>
                <w:szCs w:val="21"/>
                <w:highlight w:val="none"/>
                <w:u w:val="none"/>
                <w:lang w:val="en-US" w:eastAsia="zh-CN" w:bidi="ar-SA"/>
              </w:rPr>
              <w:t>2025</w:t>
            </w:r>
            <w:r>
              <w:rPr>
                <w:rFonts w:hint="eastAsia" w:ascii="Times New Roman" w:hAnsi="Times New Roman" w:eastAsia="宋体" w:cs="Times New Roman"/>
                <w:color w:val="auto"/>
                <w:kern w:val="2"/>
                <w:sz w:val="21"/>
                <w:szCs w:val="21"/>
                <w:highlight w:val="none"/>
                <w:u w:val="none"/>
                <w:lang w:val="en-US" w:eastAsia="zh-CN" w:bidi="ar-SA"/>
              </w:rPr>
              <w:t>年，绿色低碳循环发展的经济体系初步形成，重点行业能源利用效率大幅提升。单位国内生产总值能耗比</w:t>
            </w:r>
            <w:r>
              <w:rPr>
                <w:rFonts w:ascii="Times New Roman" w:hAnsi="Times New Roman" w:eastAsia="宋体" w:cs="Times New Roman"/>
                <w:color w:val="auto"/>
                <w:kern w:val="2"/>
                <w:sz w:val="21"/>
                <w:szCs w:val="21"/>
                <w:highlight w:val="none"/>
                <w:u w:val="none"/>
                <w:lang w:val="en-US" w:eastAsia="zh-CN" w:bidi="ar-SA"/>
              </w:rPr>
              <w:t>2020</w:t>
            </w:r>
            <w:r>
              <w:rPr>
                <w:rFonts w:hint="eastAsia" w:ascii="Times New Roman" w:hAnsi="Times New Roman" w:eastAsia="宋体" w:cs="Times New Roman"/>
                <w:color w:val="auto"/>
                <w:kern w:val="2"/>
                <w:sz w:val="21"/>
                <w:szCs w:val="21"/>
                <w:highlight w:val="none"/>
                <w:u w:val="none"/>
                <w:lang w:val="en-US" w:eastAsia="zh-CN" w:bidi="ar-SA"/>
              </w:rPr>
              <w:t>年下降</w:t>
            </w:r>
            <w:r>
              <w:rPr>
                <w:rFonts w:ascii="Times New Roman" w:hAnsi="Times New Roman" w:eastAsia="宋体" w:cs="Times New Roman"/>
                <w:color w:val="auto"/>
                <w:kern w:val="2"/>
                <w:sz w:val="21"/>
                <w:szCs w:val="21"/>
                <w:highlight w:val="none"/>
                <w:u w:val="none"/>
                <w:lang w:val="en-US" w:eastAsia="zh-CN" w:bidi="ar-SA"/>
              </w:rPr>
              <w:t>13.5%</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b/>
                <w:color w:val="auto"/>
                <w:kern w:val="2"/>
                <w:sz w:val="21"/>
                <w:szCs w:val="21"/>
                <w:highlight w:val="none"/>
                <w:u w:val="none"/>
                <w:lang w:val="en-US" w:eastAsia="zh-CN" w:bidi="ar-SA"/>
              </w:rPr>
              <w:t>单位国内生产总值二氧化碳排放比单位国内生产总值二氧化碳排放比</w:t>
            </w:r>
            <w:r>
              <w:rPr>
                <w:rFonts w:ascii="Times New Roman" w:hAnsi="Times New Roman" w:eastAsia="宋体" w:cs="Times New Roman"/>
                <w:b/>
                <w:color w:val="auto"/>
                <w:kern w:val="2"/>
                <w:sz w:val="21"/>
                <w:szCs w:val="21"/>
                <w:highlight w:val="none"/>
                <w:u w:val="none"/>
                <w:lang w:val="en-US" w:eastAsia="zh-CN" w:bidi="ar-SA"/>
              </w:rPr>
              <w:t>2020</w:t>
            </w:r>
            <w:r>
              <w:rPr>
                <w:rFonts w:hint="eastAsia" w:ascii="Times New Roman" w:hAnsi="Times New Roman" w:eastAsia="宋体" w:cs="Times New Roman"/>
                <w:b/>
                <w:color w:val="auto"/>
                <w:kern w:val="2"/>
                <w:sz w:val="21"/>
                <w:szCs w:val="21"/>
                <w:highlight w:val="none"/>
                <w:u w:val="none"/>
                <w:lang w:val="en-US" w:eastAsia="zh-CN" w:bidi="ar-SA"/>
              </w:rPr>
              <w:t>年下降</w:t>
            </w:r>
            <w:r>
              <w:rPr>
                <w:rFonts w:ascii="Times New Roman" w:hAnsi="Times New Roman" w:eastAsia="宋体" w:cs="Times New Roman"/>
                <w:b/>
                <w:color w:val="auto"/>
                <w:kern w:val="2"/>
                <w:sz w:val="21"/>
                <w:szCs w:val="21"/>
                <w:highlight w:val="none"/>
                <w:u w:val="none"/>
                <w:lang w:val="en-US" w:eastAsia="zh-CN" w:bidi="ar-SA"/>
              </w:rPr>
              <w:t>18%</w:t>
            </w:r>
            <w:r>
              <w:rPr>
                <w:rFonts w:hint="eastAsia" w:ascii="Times New Roman" w:hAnsi="Times New Roman" w:eastAsia="宋体" w:cs="Times New Roman"/>
                <w:b/>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非化石能源消费比重达到</w:t>
            </w:r>
            <w:r>
              <w:rPr>
                <w:rFonts w:ascii="Times New Roman" w:hAnsi="Times New Roman" w:eastAsia="宋体" w:cs="Times New Roman"/>
                <w:color w:val="auto"/>
                <w:kern w:val="2"/>
                <w:sz w:val="21"/>
                <w:szCs w:val="21"/>
                <w:highlight w:val="none"/>
                <w:u w:val="none"/>
                <w:lang w:val="en-US" w:eastAsia="zh-CN" w:bidi="ar-SA"/>
              </w:rPr>
              <w:t>20%</w:t>
            </w:r>
            <w:r>
              <w:rPr>
                <w:rFonts w:hint="eastAsia" w:ascii="Times New Roman" w:hAnsi="Times New Roman" w:eastAsia="宋体" w:cs="Times New Roman"/>
                <w:color w:val="auto"/>
                <w:kern w:val="2"/>
                <w:sz w:val="21"/>
                <w:szCs w:val="21"/>
                <w:highlight w:val="none"/>
                <w:u w:val="none"/>
                <w:lang w:val="en-US" w:eastAsia="zh-CN" w:bidi="ar-SA"/>
              </w:rPr>
              <w:t>左右</w:t>
            </w:r>
            <w:r>
              <w:rPr>
                <w:rFonts w:ascii="Times New Roman" w:hAnsi="Times New Roman" w:eastAsia="宋体" w:cs="Times New Roman"/>
                <w:color w:val="auto"/>
                <w:kern w:val="2"/>
                <w:sz w:val="21"/>
                <w:szCs w:val="21"/>
                <w:highlight w:val="none"/>
                <w:u w:val="none"/>
                <w:lang w:val="en-US" w:eastAsia="zh-CN" w:bidi="ar-SA"/>
              </w:rPr>
              <w:t>..............</w:t>
            </w:r>
          </w:p>
        </w:tc>
        <w:tc>
          <w:tcPr>
            <w:tcW w:w="1499" w:type="pct"/>
            <w:vAlign w:val="center"/>
          </w:tcPr>
          <w:p w14:paraId="720E5D2E">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项目达产后，单位产品碳排放量优于行业平均水平。</w:t>
            </w:r>
          </w:p>
        </w:tc>
        <w:tc>
          <w:tcPr>
            <w:tcW w:w="539" w:type="pct"/>
            <w:vAlign w:val="center"/>
          </w:tcPr>
          <w:p w14:paraId="3A11FDFE">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6F2C2BB8">
      <w:pPr>
        <w:widowControl w:val="0"/>
        <w:spacing w:line="360" w:lineRule="auto"/>
        <w:ind w:firstLine="482" w:firstLineChars="200"/>
        <w:jc w:val="both"/>
        <w:rPr>
          <w:rFonts w:hint="eastAsia" w:ascii="Times New Roman" w:hAnsi="宋体" w:eastAsia="宋体" w:cs="Times New Roman"/>
          <w:b/>
          <w:bCs/>
          <w:color w:val="auto"/>
          <w:sz w:val="24"/>
          <w:szCs w:val="24"/>
          <w:highlight w:val="none"/>
          <w:u w:val="none"/>
          <w:lang w:val="zh-CN" w:eastAsia="zh-CN" w:bidi="ar-SA"/>
        </w:rPr>
      </w:pPr>
      <w:r>
        <w:rPr>
          <w:rFonts w:hint="eastAsia" w:ascii="Times New Roman" w:hAnsi="宋体" w:eastAsia="宋体" w:cs="Times New Roman"/>
          <w:b/>
          <w:bCs/>
          <w:color w:val="auto"/>
          <w:sz w:val="24"/>
          <w:szCs w:val="24"/>
          <w:highlight w:val="none"/>
          <w:u w:val="none"/>
          <w:lang w:val="zh-CN" w:eastAsia="zh-CN" w:bidi="ar-SA"/>
        </w:rPr>
        <w:t>（2）《国务院关于印发2030年前碳达峰行动方案的通知》（国发[2021]23号）</w:t>
      </w:r>
    </w:p>
    <w:p w14:paraId="094DBA84">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zh-CN" w:eastAsia="zh-CN" w:bidi="ar-SA"/>
        </w:rPr>
      </w:pPr>
      <w:r>
        <w:rPr>
          <w:rFonts w:hint="eastAsia" w:ascii="Times New Roman" w:hAnsi="宋体" w:eastAsia="宋体" w:cs="Times New Roman"/>
          <w:color w:val="auto"/>
          <w:sz w:val="24"/>
          <w:szCs w:val="24"/>
          <w:highlight w:val="none"/>
          <w:u w:val="none"/>
          <w:lang w:val="zh-CN" w:eastAsia="zh-CN" w:bidi="ar-SA"/>
        </w:rPr>
        <w:t>2021年10月，国务院发布了《国务院关于印发2030年前碳达峰行动方案的通知》（国发[2021]23号）。本项目符合该方案的要求，相符性分析见</w:t>
      </w:r>
      <w:r>
        <w:rPr>
          <w:rFonts w:hint="eastAsia" w:ascii="Times New Roman" w:hAnsi="宋体" w:eastAsia="宋体" w:cs="Times New Roman"/>
          <w:color w:val="auto"/>
          <w:sz w:val="24"/>
          <w:szCs w:val="24"/>
          <w:highlight w:val="none"/>
          <w:u w:val="none"/>
          <w:lang w:val="zh-CN" w:eastAsia="zh-CN" w:bidi="ar-SA"/>
        </w:rPr>
        <w:fldChar w:fldCharType="begin"/>
      </w:r>
      <w:r>
        <w:rPr>
          <w:rFonts w:hint="eastAsia" w:ascii="Times New Roman" w:hAnsi="宋体" w:eastAsia="宋体" w:cs="Times New Roman"/>
          <w:color w:val="auto"/>
          <w:sz w:val="24"/>
          <w:szCs w:val="24"/>
          <w:highlight w:val="none"/>
          <w:u w:val="none"/>
          <w:lang w:val="zh-CN" w:eastAsia="zh-CN" w:bidi="ar-SA"/>
        </w:rPr>
        <w:instrText xml:space="preserve"> REF _Ref193961918 \h </w:instrText>
      </w:r>
      <w:r>
        <w:rPr>
          <w:rFonts w:hint="eastAsia" w:ascii="Times New Roman" w:hAnsi="宋体" w:eastAsia="宋体" w:cs="Times New Roman"/>
          <w:color w:val="auto"/>
          <w:sz w:val="24"/>
          <w:szCs w:val="24"/>
          <w:highlight w:val="none"/>
          <w:u w:val="none"/>
          <w:lang w:val="zh-CN" w:eastAsia="zh-CN" w:bidi="ar-SA"/>
        </w:rPr>
        <w:fldChar w:fldCharType="separate"/>
      </w:r>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t>2</w:t>
      </w:r>
      <w:r>
        <w:rPr>
          <w:rFonts w:hint="eastAsia" w:ascii="Times New Roman" w:hAnsi="宋体" w:eastAsia="宋体" w:cs="Times New Roman"/>
          <w:color w:val="auto"/>
          <w:sz w:val="24"/>
          <w:szCs w:val="24"/>
          <w:highlight w:val="none"/>
          <w:u w:val="none"/>
          <w:lang w:val="zh-CN" w:eastAsia="zh-CN" w:bidi="ar-SA"/>
        </w:rPr>
        <w:fldChar w:fldCharType="end"/>
      </w:r>
      <w:r>
        <w:rPr>
          <w:rFonts w:hint="eastAsia" w:ascii="Times New Roman" w:hAnsi="宋体" w:eastAsia="宋体" w:cs="Times New Roman"/>
          <w:color w:val="auto"/>
          <w:sz w:val="24"/>
          <w:szCs w:val="24"/>
          <w:highlight w:val="none"/>
          <w:u w:val="none"/>
          <w:lang w:val="zh-CN" w:eastAsia="zh-CN" w:bidi="ar-SA"/>
        </w:rPr>
        <w:t>。</w:t>
      </w:r>
    </w:p>
    <w:p w14:paraId="18D348B9">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66" w:name="_Ref193961918"/>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2</w:t>
      </w:r>
      <w:r>
        <w:rPr>
          <w:rFonts w:ascii="Times New Roman" w:hAnsi="Times New Roman" w:eastAsia="宋体" w:cs="Times New Roman"/>
          <w:b/>
          <w:color w:val="auto"/>
          <w:sz w:val="24"/>
          <w:szCs w:val="24"/>
          <w:highlight w:val="none"/>
          <w:u w:val="none"/>
          <w:lang w:val="en-US" w:eastAsia="zh-CN" w:bidi="ar-SA"/>
        </w:rPr>
        <w:fldChar w:fldCharType="end"/>
      </w:r>
      <w:bookmarkEnd w:id="566"/>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与“国发[2021]23号”符合性分析</w:t>
      </w:r>
    </w:p>
    <w:tbl>
      <w:tblPr>
        <w:tblStyle w:val="58"/>
        <w:tblW w:w="50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791"/>
        <w:gridCol w:w="3785"/>
        <w:gridCol w:w="873"/>
      </w:tblGrid>
      <w:tr w14:paraId="79C6C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35" w:type="pct"/>
            <w:vAlign w:val="center"/>
          </w:tcPr>
          <w:p w14:paraId="59F95762">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2003" w:type="pct"/>
            <w:vAlign w:val="center"/>
          </w:tcPr>
          <w:p w14:paraId="4841CF18">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462" w:type="pct"/>
            <w:vAlign w:val="center"/>
          </w:tcPr>
          <w:p w14:paraId="46F6DF4E">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7EB7C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35" w:type="pct"/>
            <w:vAlign w:val="center"/>
          </w:tcPr>
          <w:p w14:paraId="354E209F">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十四五</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期间，产业结构和能源结构调整优化取得明显进展，重点行业能源利用效率大幅提升，煤炭消费增长得到严格控制，新型电力系统加快构建，绿色低碳技术研发和推广应用取得新进展，绿色生产生活方式得到普遍推行，有利于绿色低碳循环发展的政策体系进一步完善。</w:t>
            </w:r>
          </w:p>
        </w:tc>
        <w:tc>
          <w:tcPr>
            <w:tcW w:w="2003" w:type="pct"/>
            <w:vAlign w:val="center"/>
          </w:tcPr>
          <w:p w14:paraId="602947ED">
            <w:pPr>
              <w:widowControl w:val="0"/>
              <w:spacing w:line="240" w:lineRule="auto"/>
              <w:ind w:firstLine="0" w:firstLine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本项目位于福州江阴港城经济区，根据其2024年产业规划，园区将通过有序开展清洁能源和可再生能源、加大集中供热等方式控制煤炭消费。</w:t>
            </w:r>
          </w:p>
          <w:p w14:paraId="46D5E06E">
            <w:pPr>
              <w:widowControl w:val="0"/>
              <w:spacing w:line="240" w:lineRule="auto"/>
              <w:ind w:firstLine="0" w:firstLineChars="0"/>
              <w:jc w:val="left"/>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本项目产生的TDI焦油颗粒将送入气化装置进行气化，减少了气化装置的煤炭使用量，以降低碳排放。</w:t>
            </w:r>
          </w:p>
        </w:tc>
        <w:tc>
          <w:tcPr>
            <w:tcW w:w="462" w:type="pct"/>
            <w:vAlign w:val="center"/>
          </w:tcPr>
          <w:p w14:paraId="1C033DFE">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r w14:paraId="4283E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35" w:type="pct"/>
            <w:vAlign w:val="center"/>
          </w:tcPr>
          <w:p w14:paraId="1229183F">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十五五</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期间，产业结构调整取得重大进展，清洁低碳安全高效的能源体系初步建立，重点领域低碳发展模式基本形成，重点耗能行业能源利用效率达到国际先进水平，非化石能源消费比重进一步提高，煤炭消费逐步减少，绿色低碳技术取得关键突破，绿色生活方式成为公众自觉选择，绿色低碳循环发展政策体系基本健全。</w:t>
            </w:r>
          </w:p>
        </w:tc>
        <w:tc>
          <w:tcPr>
            <w:tcW w:w="2003" w:type="pct"/>
            <w:vAlign w:val="center"/>
          </w:tcPr>
          <w:p w14:paraId="7B939486">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本项目建成后的单位产品碳排量优于现有一期工程及行业平均水平。</w:t>
            </w:r>
          </w:p>
        </w:tc>
        <w:tc>
          <w:tcPr>
            <w:tcW w:w="462" w:type="pct"/>
            <w:vAlign w:val="center"/>
          </w:tcPr>
          <w:p w14:paraId="3AEC6688">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156432C8">
      <w:pPr>
        <w:widowControl w:val="0"/>
        <w:spacing w:line="360" w:lineRule="auto"/>
        <w:ind w:firstLine="482" w:firstLineChars="200"/>
        <w:jc w:val="both"/>
        <w:rPr>
          <w:rFonts w:hint="eastAsia" w:ascii="Times New Roman" w:hAnsi="宋体" w:eastAsia="宋体" w:cs="Times New Roman"/>
          <w:b/>
          <w:bCs/>
          <w:color w:val="auto"/>
          <w:sz w:val="24"/>
          <w:szCs w:val="24"/>
          <w:highlight w:val="none"/>
          <w:u w:val="none"/>
          <w:lang w:val="zh-CN" w:eastAsia="zh-CN" w:bidi="ar-SA"/>
        </w:rPr>
      </w:pPr>
      <w:r>
        <w:rPr>
          <w:rFonts w:hint="eastAsia" w:ascii="Times New Roman" w:hAnsi="宋体" w:eastAsia="宋体" w:cs="Times New Roman"/>
          <w:b/>
          <w:bCs/>
          <w:color w:val="auto"/>
          <w:sz w:val="24"/>
          <w:szCs w:val="24"/>
          <w:highlight w:val="none"/>
          <w:u w:val="none"/>
          <w:lang w:val="zh-CN" w:eastAsia="zh-CN" w:bidi="ar-SA"/>
        </w:rPr>
        <w:t>（3）《关于加强高耗能、高排放项目生态环境源头防控的指导意见》（环环评[2021]45号）</w:t>
      </w:r>
    </w:p>
    <w:p w14:paraId="12137AF8">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zh-CN" w:eastAsia="zh-CN" w:bidi="ar-SA"/>
        </w:rPr>
      </w:pPr>
      <w:r>
        <w:rPr>
          <w:rFonts w:ascii="Times New Roman" w:hAnsi="宋体" w:eastAsia="宋体" w:cs="Times New Roman"/>
          <w:color w:val="auto"/>
          <w:sz w:val="24"/>
          <w:szCs w:val="24"/>
          <w:highlight w:val="none"/>
          <w:u w:val="none"/>
          <w:lang w:val="zh-CN" w:eastAsia="zh-CN" w:bidi="ar-SA"/>
        </w:rPr>
        <w:t>2021</w:t>
      </w:r>
      <w:r>
        <w:rPr>
          <w:rFonts w:hint="eastAsia" w:ascii="Times New Roman" w:hAnsi="宋体" w:eastAsia="宋体" w:cs="Times New Roman"/>
          <w:color w:val="auto"/>
          <w:sz w:val="24"/>
          <w:szCs w:val="24"/>
          <w:highlight w:val="none"/>
          <w:u w:val="none"/>
          <w:lang w:val="zh-CN" w:eastAsia="zh-CN" w:bidi="ar-SA"/>
        </w:rPr>
        <w:t>年</w:t>
      </w:r>
      <w:r>
        <w:rPr>
          <w:rFonts w:ascii="Times New Roman" w:hAnsi="宋体" w:eastAsia="宋体" w:cs="Times New Roman"/>
          <w:color w:val="auto"/>
          <w:sz w:val="24"/>
          <w:szCs w:val="24"/>
          <w:highlight w:val="none"/>
          <w:u w:val="none"/>
          <w:lang w:val="zh-CN" w:eastAsia="zh-CN" w:bidi="ar-SA"/>
        </w:rPr>
        <w:t>5</w:t>
      </w:r>
      <w:r>
        <w:rPr>
          <w:rFonts w:hint="eastAsia" w:ascii="Times New Roman" w:hAnsi="宋体" w:eastAsia="宋体" w:cs="Times New Roman"/>
          <w:color w:val="auto"/>
          <w:sz w:val="24"/>
          <w:szCs w:val="24"/>
          <w:highlight w:val="none"/>
          <w:u w:val="none"/>
          <w:lang w:val="zh-CN" w:eastAsia="zh-CN" w:bidi="ar-SA"/>
        </w:rPr>
        <w:t>月</w:t>
      </w:r>
      <w:r>
        <w:rPr>
          <w:rFonts w:ascii="Times New Roman" w:hAnsi="宋体" w:eastAsia="宋体" w:cs="Times New Roman"/>
          <w:color w:val="auto"/>
          <w:sz w:val="24"/>
          <w:szCs w:val="24"/>
          <w:highlight w:val="none"/>
          <w:u w:val="none"/>
          <w:lang w:val="zh-CN" w:eastAsia="zh-CN" w:bidi="ar-SA"/>
        </w:rPr>
        <w:t>30</w:t>
      </w:r>
      <w:r>
        <w:rPr>
          <w:rFonts w:hint="eastAsia" w:ascii="Times New Roman" w:hAnsi="宋体" w:eastAsia="宋体" w:cs="Times New Roman"/>
          <w:color w:val="auto"/>
          <w:sz w:val="24"/>
          <w:szCs w:val="24"/>
          <w:highlight w:val="none"/>
          <w:u w:val="none"/>
          <w:lang w:val="zh-CN" w:eastAsia="zh-CN" w:bidi="ar-SA"/>
        </w:rPr>
        <w:t>日，生态环境部印发了《关于加强高耗能、高排放项目生态环境源头防控的指导意见》（环环评[2021]45号）。本项目符合该意见的要求，相符性分析见</w:t>
      </w:r>
      <w:r>
        <w:rPr>
          <w:rFonts w:hint="eastAsia" w:ascii="Times New Roman" w:hAnsi="宋体" w:eastAsia="宋体" w:cs="Times New Roman"/>
          <w:color w:val="auto"/>
          <w:sz w:val="24"/>
          <w:szCs w:val="24"/>
          <w:highlight w:val="none"/>
          <w:u w:val="none"/>
          <w:lang w:val="zh-CN" w:eastAsia="zh-CN" w:bidi="ar-SA"/>
        </w:rPr>
        <w:fldChar w:fldCharType="begin"/>
      </w:r>
      <w:r>
        <w:rPr>
          <w:rFonts w:hint="eastAsia" w:ascii="Times New Roman" w:hAnsi="宋体" w:eastAsia="宋体" w:cs="Times New Roman"/>
          <w:color w:val="auto"/>
          <w:sz w:val="24"/>
          <w:szCs w:val="24"/>
          <w:highlight w:val="none"/>
          <w:u w:val="none"/>
          <w:lang w:val="zh-CN" w:eastAsia="zh-CN" w:bidi="ar-SA"/>
        </w:rPr>
        <w:instrText xml:space="preserve"> REF _Ref193961934 \h </w:instrText>
      </w:r>
      <w:r>
        <w:rPr>
          <w:rFonts w:hint="eastAsia" w:ascii="Times New Roman" w:hAnsi="宋体" w:eastAsia="宋体" w:cs="Times New Roman"/>
          <w:color w:val="auto"/>
          <w:sz w:val="24"/>
          <w:szCs w:val="24"/>
          <w:highlight w:val="none"/>
          <w:u w:val="none"/>
          <w:lang w:val="zh-CN" w:eastAsia="zh-CN" w:bidi="ar-SA"/>
        </w:rPr>
        <w:fldChar w:fldCharType="separate"/>
      </w:r>
      <w:r>
        <w:rPr>
          <w:rFonts w:ascii="Times New Roman" w:hAnsi="宋体" w:eastAsia="宋体" w:cs="Times New Roman"/>
          <w:color w:val="auto"/>
          <w:sz w:val="24"/>
          <w:szCs w:val="24"/>
          <w:highlight w:val="none"/>
          <w:u w:val="none"/>
          <w:lang w:val="zh-CN" w:eastAsia="zh-CN" w:bidi="ar-SA"/>
        </w:rPr>
        <w:t>表 8.8</w:t>
      </w:r>
      <w:r>
        <w:rPr>
          <w:rFonts w:ascii="Times New Roman" w:hAnsi="宋体" w:eastAsia="宋体" w:cs="Times New Roman"/>
          <w:color w:val="auto"/>
          <w:sz w:val="24"/>
          <w:szCs w:val="24"/>
          <w:highlight w:val="none"/>
          <w:u w:val="none"/>
          <w:lang w:val="zh-CN" w:eastAsia="zh-CN" w:bidi="ar-SA"/>
        </w:rPr>
        <w:noBreakHyphen/>
      </w:r>
      <w:r>
        <w:rPr>
          <w:rFonts w:ascii="Times New Roman" w:hAnsi="宋体" w:eastAsia="宋体" w:cs="Times New Roman"/>
          <w:color w:val="auto"/>
          <w:sz w:val="24"/>
          <w:szCs w:val="24"/>
          <w:highlight w:val="none"/>
          <w:u w:val="none"/>
          <w:lang w:val="zh-CN" w:eastAsia="zh-CN" w:bidi="ar-SA"/>
        </w:rPr>
        <w:t>3</w:t>
      </w:r>
      <w:r>
        <w:rPr>
          <w:rFonts w:hint="eastAsia" w:ascii="Times New Roman" w:hAnsi="宋体" w:eastAsia="宋体" w:cs="Times New Roman"/>
          <w:color w:val="auto"/>
          <w:sz w:val="24"/>
          <w:szCs w:val="24"/>
          <w:highlight w:val="none"/>
          <w:u w:val="none"/>
          <w:lang w:val="zh-CN" w:eastAsia="zh-CN" w:bidi="ar-SA"/>
        </w:rPr>
        <w:fldChar w:fldCharType="end"/>
      </w:r>
      <w:r>
        <w:rPr>
          <w:rFonts w:hint="eastAsia" w:ascii="Times New Roman" w:hAnsi="宋体" w:eastAsia="宋体" w:cs="Times New Roman"/>
          <w:color w:val="auto"/>
          <w:sz w:val="24"/>
          <w:szCs w:val="24"/>
          <w:highlight w:val="none"/>
          <w:u w:val="none"/>
          <w:lang w:val="zh-CN" w:eastAsia="zh-CN" w:bidi="ar-SA"/>
        </w:rPr>
        <w:t>。</w:t>
      </w:r>
    </w:p>
    <w:p w14:paraId="25D802BF">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67" w:name="_Ref193961934"/>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3</w:t>
      </w:r>
      <w:r>
        <w:rPr>
          <w:rFonts w:ascii="Times New Roman" w:hAnsi="Times New Roman" w:eastAsia="宋体" w:cs="Times New Roman"/>
          <w:b/>
          <w:color w:val="auto"/>
          <w:sz w:val="24"/>
          <w:szCs w:val="24"/>
          <w:highlight w:val="none"/>
          <w:u w:val="none"/>
          <w:lang w:val="en-US" w:eastAsia="zh-CN" w:bidi="ar-SA"/>
        </w:rPr>
        <w:fldChar w:fldCharType="end"/>
      </w:r>
      <w:bookmarkEnd w:id="567"/>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“环环评[2021]45号”的符合性分析</w:t>
      </w:r>
    </w:p>
    <w:tbl>
      <w:tblPr>
        <w:tblStyle w:val="58"/>
        <w:tblW w:w="496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226"/>
        <w:gridCol w:w="3058"/>
        <w:gridCol w:w="937"/>
      </w:tblGrid>
      <w:tr w14:paraId="2CF1A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34" w:type="pct"/>
            <w:vAlign w:val="center"/>
          </w:tcPr>
          <w:p w14:paraId="3E80017D">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1658" w:type="pct"/>
            <w:vAlign w:val="center"/>
          </w:tcPr>
          <w:p w14:paraId="2572D769">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508" w:type="pct"/>
            <w:vAlign w:val="center"/>
          </w:tcPr>
          <w:p w14:paraId="38F8C4CA">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535F9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34" w:type="pct"/>
            <w:vAlign w:val="center"/>
          </w:tcPr>
          <w:p w14:paraId="19086137">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（六）提升清洁生产和污染防治水平。新建、扩建</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两高</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项目应采用先进适用的工艺技术和装备，单位产品物耗、能耗、水耗等达到清洁生产先进水平，依法制定并严格落实防治土壤与地下水污染的措施。</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大宗物料优先采用铁路、管道或水路运输，短途接驳优先使用新能源车辆运输大宗物料优先采用铁路、管道或水路运输，短途接驳优先使用新能源车辆运输。</w:t>
            </w:r>
          </w:p>
        </w:tc>
        <w:tc>
          <w:tcPr>
            <w:tcW w:w="1658" w:type="pct"/>
            <w:vAlign w:val="center"/>
          </w:tcPr>
          <w:p w14:paraId="3BC02B41">
            <w:pPr>
              <w:widowControl w:val="0"/>
              <w:spacing w:line="240" w:lineRule="auto"/>
              <w:ind w:firstLine="0" w:firstLineChars="0"/>
              <w:jc w:val="left"/>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①本项目建成后的单位产品碳排量优于行业平均水平。</w:t>
            </w:r>
          </w:p>
          <w:p w14:paraId="5DC6C8B0">
            <w:pPr>
              <w:widowControl w:val="0"/>
              <w:spacing w:line="240" w:lineRule="auto"/>
              <w:ind w:firstLine="0" w:firstLineChars="0"/>
              <w:jc w:val="left"/>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②大宗物料煤采用水路运输至园区码头，然后通过管网、新能源车辆运输至厂区内。</w:t>
            </w:r>
          </w:p>
        </w:tc>
        <w:tc>
          <w:tcPr>
            <w:tcW w:w="508" w:type="pct"/>
            <w:vAlign w:val="center"/>
          </w:tcPr>
          <w:p w14:paraId="02A85CF2">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r w14:paraId="2B5230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34" w:type="pct"/>
            <w:vAlign w:val="center"/>
          </w:tcPr>
          <w:p w14:paraId="5127364F">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（七）将碳排放影响评价纳入环境影响评价体系。各级生态环境部门和行政审批部门应积极推进</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两高</w:t>
            </w:r>
            <w:r>
              <w:rPr>
                <w:rFonts w:ascii="Times New Roman" w:hAnsi="Times New Roman" w:eastAsia="宋体" w:cs="Times New Roman"/>
                <w:color w:val="auto"/>
                <w:kern w:val="2"/>
                <w:sz w:val="21"/>
                <w:szCs w:val="21"/>
                <w:highlight w:val="none"/>
                <w:u w:val="none"/>
                <w:lang w:val="en-US" w:eastAsia="zh-CN" w:bidi="ar-SA"/>
              </w:rPr>
              <w:t>”</w:t>
            </w:r>
            <w:r>
              <w:rPr>
                <w:rFonts w:hint="eastAsia" w:ascii="Times New Roman" w:hAnsi="Times New Roman" w:eastAsia="宋体" w:cs="Times New Roman"/>
                <w:color w:val="auto"/>
                <w:kern w:val="2"/>
                <w:sz w:val="21"/>
                <w:szCs w:val="21"/>
                <w:highlight w:val="none"/>
                <w:u w:val="none"/>
                <w:lang w:val="en-US" w:eastAsia="zh-CN" w:bidi="ar-SA"/>
              </w:rPr>
              <w:t>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658" w:type="pct"/>
            <w:vAlign w:val="center"/>
          </w:tcPr>
          <w:p w14:paraId="44D27039">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本项目设置碳排放影响专题，进行了碳排放源识别、预测、减排潜力分析及减污降碳措施可行性分析。</w:t>
            </w:r>
          </w:p>
        </w:tc>
        <w:tc>
          <w:tcPr>
            <w:tcW w:w="508" w:type="pct"/>
            <w:vAlign w:val="center"/>
          </w:tcPr>
          <w:p w14:paraId="3FF2C4EC">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71EDDF87">
      <w:pPr>
        <w:widowControl w:val="0"/>
        <w:spacing w:line="360" w:lineRule="auto"/>
        <w:ind w:firstLine="482" w:firstLineChars="200"/>
        <w:jc w:val="both"/>
        <w:rPr>
          <w:rFonts w:hint="eastAsia" w:ascii="Times New Roman" w:hAnsi="宋体" w:eastAsia="宋体" w:cs="Times New Roman"/>
          <w:b/>
          <w:bCs/>
          <w:color w:val="auto"/>
          <w:sz w:val="24"/>
          <w:szCs w:val="32"/>
          <w:highlight w:val="none"/>
          <w:u w:val="none"/>
          <w:lang w:val="zh-CN" w:eastAsia="zh-CN" w:bidi="ar-SA"/>
        </w:rPr>
      </w:pPr>
      <w:r>
        <w:rPr>
          <w:rFonts w:hint="eastAsia" w:ascii="Times New Roman" w:hAnsi="宋体" w:eastAsia="宋体" w:cs="Times New Roman"/>
          <w:b/>
          <w:bCs/>
          <w:color w:val="auto"/>
          <w:sz w:val="24"/>
          <w:szCs w:val="32"/>
          <w:highlight w:val="none"/>
          <w:u w:val="none"/>
          <w:lang w:val="zh-CN" w:eastAsia="zh-CN" w:bidi="ar-SA"/>
        </w:rPr>
        <w:t>（</w:t>
      </w:r>
      <w:r>
        <w:rPr>
          <w:rFonts w:hint="eastAsia" w:ascii="Times New Roman" w:hAnsi="宋体" w:eastAsia="宋体" w:cs="Times New Roman"/>
          <w:b/>
          <w:bCs/>
          <w:color w:val="auto"/>
          <w:sz w:val="24"/>
          <w:szCs w:val="32"/>
          <w:highlight w:val="none"/>
          <w:u w:val="none"/>
          <w:lang w:val="en-US" w:eastAsia="zh-CN" w:bidi="ar-SA"/>
        </w:rPr>
        <w:t>4</w:t>
      </w:r>
      <w:r>
        <w:rPr>
          <w:rFonts w:hint="eastAsia" w:ascii="Times New Roman" w:hAnsi="宋体" w:eastAsia="宋体" w:cs="Times New Roman"/>
          <w:b/>
          <w:bCs/>
          <w:color w:val="auto"/>
          <w:sz w:val="24"/>
          <w:szCs w:val="32"/>
          <w:highlight w:val="none"/>
          <w:u w:val="none"/>
          <w:lang w:val="zh-CN" w:eastAsia="zh-CN" w:bidi="ar-SA"/>
        </w:rPr>
        <w:t>）</w:t>
      </w:r>
      <w:r>
        <w:rPr>
          <w:rFonts w:ascii="Times New Roman" w:hAnsi="宋体" w:eastAsia="宋体" w:cs="Times New Roman"/>
          <w:b/>
          <w:bCs/>
          <w:color w:val="auto"/>
          <w:sz w:val="24"/>
          <w:szCs w:val="32"/>
          <w:highlight w:val="none"/>
          <w:u w:val="none"/>
          <w:lang w:val="zh-CN" w:eastAsia="zh-CN" w:bidi="ar-SA"/>
        </w:rPr>
        <w:t>《关于印发福建省石化化工行业碳达峰实施方案的通知》（闽工信规</w:t>
      </w:r>
      <w:r>
        <w:rPr>
          <w:rFonts w:ascii="Times New Roman" w:hAnsi="宋体" w:eastAsia="宋体" w:cs="Times New Roman"/>
          <w:b/>
          <w:bCs/>
          <w:color w:val="auto"/>
          <w:sz w:val="24"/>
          <w:szCs w:val="32"/>
          <w:highlight w:val="none"/>
          <w:u w:val="none"/>
          <w:lang w:val="en-US" w:eastAsia="zh-CN" w:bidi="ar-SA"/>
        </w:rPr>
        <w:t>[</w:t>
      </w:r>
      <w:r>
        <w:rPr>
          <w:rFonts w:ascii="Times New Roman" w:hAnsi="宋体" w:eastAsia="宋体" w:cs="Times New Roman"/>
          <w:b/>
          <w:bCs/>
          <w:color w:val="auto"/>
          <w:sz w:val="24"/>
          <w:szCs w:val="32"/>
          <w:highlight w:val="none"/>
          <w:u w:val="none"/>
          <w:lang w:val="zh-CN" w:eastAsia="zh-CN" w:bidi="ar-SA"/>
        </w:rPr>
        <w:t>2024</w:t>
      </w:r>
      <w:r>
        <w:rPr>
          <w:rFonts w:ascii="Times New Roman" w:hAnsi="宋体" w:eastAsia="宋体" w:cs="Times New Roman"/>
          <w:b/>
          <w:bCs/>
          <w:color w:val="auto"/>
          <w:sz w:val="24"/>
          <w:szCs w:val="32"/>
          <w:highlight w:val="none"/>
          <w:u w:val="none"/>
          <w:lang w:val="en-US" w:eastAsia="zh-CN" w:bidi="ar-SA"/>
        </w:rPr>
        <w:t>]</w:t>
      </w:r>
      <w:r>
        <w:rPr>
          <w:rFonts w:ascii="Times New Roman" w:hAnsi="宋体" w:eastAsia="宋体" w:cs="Times New Roman"/>
          <w:b/>
          <w:bCs/>
          <w:color w:val="auto"/>
          <w:sz w:val="24"/>
          <w:szCs w:val="32"/>
          <w:highlight w:val="none"/>
          <w:u w:val="none"/>
          <w:lang w:val="zh-CN" w:eastAsia="zh-CN" w:bidi="ar-SA"/>
        </w:rPr>
        <w:t>5号）</w:t>
      </w:r>
    </w:p>
    <w:p w14:paraId="7D3790DF">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en-US" w:eastAsia="zh-CN" w:bidi="ar-SA"/>
        </w:rPr>
      </w:pPr>
      <w:r>
        <w:rPr>
          <w:rFonts w:ascii="Times New Roman" w:hAnsi="宋体" w:eastAsia="宋体" w:cs="Times New Roman"/>
          <w:color w:val="auto"/>
          <w:sz w:val="24"/>
          <w:szCs w:val="24"/>
          <w:highlight w:val="none"/>
          <w:u w:val="none"/>
          <w:lang w:val="en-US" w:eastAsia="zh-CN" w:bidi="ar-SA"/>
        </w:rPr>
        <w:t>2024</w:t>
      </w:r>
      <w:r>
        <w:rPr>
          <w:rFonts w:hint="eastAsia" w:ascii="Times New Roman" w:hAnsi="宋体" w:eastAsia="宋体" w:cs="Times New Roman"/>
          <w:color w:val="auto"/>
          <w:sz w:val="24"/>
          <w:szCs w:val="24"/>
          <w:highlight w:val="none"/>
          <w:u w:val="none"/>
          <w:lang w:val="en-US" w:eastAsia="zh-CN" w:bidi="ar-SA"/>
        </w:rPr>
        <w:t>年3月12日，福建省工业和信息化厅、福建省发展和改革委员会、福建省生态环境厅联合印发了《关于印发福建省石化化工行业碳达峰实施方案的通知》（闽工信规[2024]5号），</w:t>
      </w:r>
      <w:r>
        <w:rPr>
          <w:rFonts w:hint="eastAsia" w:ascii="Times New Roman" w:hAnsi="宋体" w:eastAsia="宋体" w:cs="Times New Roman"/>
          <w:color w:val="auto"/>
          <w:sz w:val="24"/>
          <w:szCs w:val="24"/>
          <w:highlight w:val="none"/>
          <w:u w:val="none"/>
          <w:lang w:val="zh-CN" w:eastAsia="zh-CN" w:bidi="ar-SA"/>
        </w:rPr>
        <w:t>本项目符合该</w:t>
      </w:r>
      <w:r>
        <w:rPr>
          <w:rFonts w:hint="eastAsia" w:ascii="Times New Roman" w:hAnsi="宋体" w:eastAsia="宋体" w:cs="Times New Roman"/>
          <w:color w:val="auto"/>
          <w:sz w:val="24"/>
          <w:szCs w:val="24"/>
          <w:highlight w:val="none"/>
          <w:u w:val="none"/>
          <w:lang w:val="en-US" w:eastAsia="zh-CN" w:bidi="ar-SA"/>
        </w:rPr>
        <w:t>方案</w:t>
      </w:r>
      <w:r>
        <w:rPr>
          <w:rFonts w:hint="eastAsia" w:ascii="Times New Roman" w:hAnsi="宋体" w:eastAsia="宋体" w:cs="Times New Roman"/>
          <w:color w:val="auto"/>
          <w:sz w:val="24"/>
          <w:szCs w:val="24"/>
          <w:highlight w:val="none"/>
          <w:u w:val="none"/>
          <w:lang w:val="zh-CN" w:eastAsia="zh-CN" w:bidi="ar-SA"/>
        </w:rPr>
        <w:t>的要求，</w:t>
      </w:r>
      <w:r>
        <w:rPr>
          <w:rFonts w:hint="eastAsia" w:ascii="Times New Roman" w:hAnsi="宋体" w:eastAsia="宋体" w:cs="Times New Roman"/>
          <w:color w:val="auto"/>
          <w:sz w:val="24"/>
          <w:szCs w:val="24"/>
          <w:highlight w:val="none"/>
          <w:u w:val="none"/>
          <w:lang w:val="en-US" w:eastAsia="zh-CN" w:bidi="ar-SA"/>
        </w:rPr>
        <w:t>相符性分析见</w:t>
      </w:r>
      <w:r>
        <w:rPr>
          <w:rFonts w:hint="eastAsia" w:ascii="Times New Roman" w:hAnsi="宋体" w:eastAsia="宋体" w:cs="Times New Roman"/>
          <w:color w:val="auto"/>
          <w:sz w:val="24"/>
          <w:szCs w:val="24"/>
          <w:highlight w:val="none"/>
          <w:u w:val="none"/>
          <w:lang w:val="en-US" w:eastAsia="zh-CN" w:bidi="ar-SA"/>
        </w:rPr>
        <w:fldChar w:fldCharType="begin"/>
      </w:r>
      <w:r>
        <w:rPr>
          <w:rFonts w:hint="eastAsia" w:ascii="Times New Roman" w:hAnsi="宋体" w:eastAsia="宋体" w:cs="Times New Roman"/>
          <w:color w:val="auto"/>
          <w:sz w:val="24"/>
          <w:szCs w:val="24"/>
          <w:highlight w:val="none"/>
          <w:u w:val="none"/>
          <w:lang w:val="en-US" w:eastAsia="zh-CN" w:bidi="ar-SA"/>
        </w:rPr>
        <w:instrText xml:space="preserve"> REF _Ref193234893 \h </w:instrText>
      </w:r>
      <w:r>
        <w:rPr>
          <w:rFonts w:hint="eastAsia" w:ascii="Times New Roman" w:hAnsi="宋体" w:eastAsia="宋体" w:cs="Times New Roman"/>
          <w:color w:val="auto"/>
          <w:sz w:val="24"/>
          <w:szCs w:val="24"/>
          <w:highlight w:val="none"/>
          <w:u w:val="none"/>
          <w:lang w:val="en-US" w:eastAsia="zh-CN" w:bidi="ar-SA"/>
        </w:rPr>
        <w:fldChar w:fldCharType="separate"/>
      </w:r>
      <w:r>
        <w:rPr>
          <w:rFonts w:ascii="Times New Roman" w:hAnsi="宋体" w:eastAsia="宋体" w:cs="Times New Roman"/>
          <w:color w:val="auto"/>
          <w:sz w:val="24"/>
          <w:szCs w:val="24"/>
          <w:highlight w:val="none"/>
          <w:u w:val="none"/>
          <w:lang w:val="zh-CN" w:eastAsia="zh-CN" w:bidi="ar-SA"/>
        </w:rPr>
        <w:t>表 8.8</w:t>
      </w:r>
      <w:r>
        <w:rPr>
          <w:rFonts w:ascii="Times New Roman" w:hAnsi="宋体" w:eastAsia="宋体" w:cs="Times New Roman"/>
          <w:color w:val="auto"/>
          <w:sz w:val="24"/>
          <w:szCs w:val="24"/>
          <w:highlight w:val="none"/>
          <w:u w:val="none"/>
          <w:lang w:val="zh-CN" w:eastAsia="zh-CN" w:bidi="ar-SA"/>
        </w:rPr>
        <w:noBreakHyphen/>
      </w:r>
      <w:r>
        <w:rPr>
          <w:rFonts w:ascii="Times New Roman" w:hAnsi="宋体" w:eastAsia="宋体" w:cs="Times New Roman"/>
          <w:color w:val="auto"/>
          <w:sz w:val="24"/>
          <w:szCs w:val="24"/>
          <w:highlight w:val="none"/>
          <w:u w:val="none"/>
          <w:lang w:val="zh-CN" w:eastAsia="zh-CN" w:bidi="ar-SA"/>
        </w:rPr>
        <w:t>4</w:t>
      </w:r>
      <w:r>
        <w:rPr>
          <w:rFonts w:hint="eastAsia" w:ascii="Times New Roman" w:hAnsi="宋体" w:eastAsia="宋体" w:cs="Times New Roman"/>
          <w:color w:val="auto"/>
          <w:sz w:val="24"/>
          <w:szCs w:val="24"/>
          <w:highlight w:val="none"/>
          <w:u w:val="none"/>
          <w:lang w:val="en-US" w:eastAsia="zh-CN" w:bidi="ar-SA"/>
        </w:rPr>
        <w:fldChar w:fldCharType="end"/>
      </w:r>
      <w:r>
        <w:rPr>
          <w:rFonts w:hint="eastAsia" w:ascii="Times New Roman" w:hAnsi="宋体" w:eastAsia="宋体" w:cs="Times New Roman"/>
          <w:color w:val="auto"/>
          <w:sz w:val="24"/>
          <w:szCs w:val="24"/>
          <w:highlight w:val="none"/>
          <w:u w:val="none"/>
          <w:lang w:val="en-US" w:eastAsia="zh-CN" w:bidi="ar-SA"/>
        </w:rPr>
        <w:t>。</w:t>
      </w:r>
    </w:p>
    <w:p w14:paraId="196D3DC8">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68" w:name="_Ref193234893"/>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4</w:t>
      </w:r>
      <w:r>
        <w:rPr>
          <w:rFonts w:ascii="Times New Roman" w:hAnsi="Times New Roman" w:eastAsia="宋体" w:cs="Times New Roman"/>
          <w:b/>
          <w:color w:val="auto"/>
          <w:sz w:val="24"/>
          <w:szCs w:val="24"/>
          <w:highlight w:val="none"/>
          <w:u w:val="none"/>
          <w:lang w:val="en-US" w:eastAsia="zh-CN" w:bidi="ar-SA"/>
        </w:rPr>
        <w:fldChar w:fldCharType="end"/>
      </w:r>
      <w:bookmarkEnd w:id="568"/>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“闽工信规[2024]5号”的符合性分析</w:t>
      </w:r>
    </w:p>
    <w:tbl>
      <w:tblPr>
        <w:tblStyle w:val="58"/>
        <w:tblW w:w="496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789"/>
        <w:gridCol w:w="3495"/>
        <w:gridCol w:w="937"/>
      </w:tblGrid>
      <w:tr w14:paraId="101F2C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7" w:type="pct"/>
            <w:vAlign w:val="center"/>
          </w:tcPr>
          <w:p w14:paraId="251ABF6E">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1895" w:type="pct"/>
            <w:vAlign w:val="center"/>
          </w:tcPr>
          <w:p w14:paraId="170B2B94">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508" w:type="pct"/>
            <w:vAlign w:val="center"/>
          </w:tcPr>
          <w:p w14:paraId="716D8901">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751C9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7" w:type="pct"/>
            <w:vAlign w:val="center"/>
          </w:tcPr>
          <w:p w14:paraId="2C3834E2">
            <w:pPr>
              <w:widowControl w:val="0"/>
              <w:numPr>
                <w:ilvl w:val="0"/>
                <w:numId w:val="10"/>
              </w:numPr>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调整优化产业结构，加快构建低碳体系</w:t>
            </w:r>
          </w:p>
          <w:p w14:paraId="638E917B">
            <w:pPr>
              <w:widowControl w:val="0"/>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推进产品向价值链中高端迈进。围绕质量提升做优做强价值链，重点打造一批产业集群，通过强链补链延链，推动全产业链优化升级，产业向价值链中高端跃升。按照“少油多化、减油增化、高端化发展”“炼化一体化”的原则，推进“两基地一专区”（湄洲湾石化基地、漳州古雷石化基地和福州江阴化工新材料专区）及连江可门化工新材料产业园大型石化项目建设，合理增加炼油能力，增强烯烃、芳烃等原料供应能力，通过产业链延伸，带动高性能树脂、高性能纤维、功能性膜材料等化工新材料、高端石化产品、精细化学品行业发展，以满足福建省装备制造、建材、纺织服装、电子信息等产业对石化产品的需求，通过优化发展高端产业，不断降低碳排放强度。</w:t>
            </w:r>
          </w:p>
        </w:tc>
        <w:tc>
          <w:tcPr>
            <w:tcW w:w="1895" w:type="pct"/>
            <w:vAlign w:val="center"/>
          </w:tcPr>
          <w:p w14:paraId="4DB8E7E8">
            <w:pPr>
              <w:widowControl w:val="0"/>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本项目位于福州江阴港城经济区江阴化工园区的万华福建公司内，主要产品为TDI（甲苯二异氰酸酯），为化工新材料产业链项目。本项目技改后的单位产品碳排放量优于行业平均水平。</w:t>
            </w:r>
          </w:p>
        </w:tc>
        <w:tc>
          <w:tcPr>
            <w:tcW w:w="508" w:type="pct"/>
            <w:vAlign w:val="center"/>
          </w:tcPr>
          <w:p w14:paraId="5921002E">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53A97E9B">
      <w:pPr>
        <w:widowControl w:val="0"/>
        <w:spacing w:line="360" w:lineRule="auto"/>
        <w:ind w:firstLine="482" w:firstLineChars="200"/>
        <w:jc w:val="both"/>
        <w:rPr>
          <w:rFonts w:hint="eastAsia" w:ascii="Times New Roman" w:hAnsi="宋体" w:eastAsia="宋体" w:cs="Times New Roman"/>
          <w:b/>
          <w:bCs/>
          <w:color w:val="auto"/>
          <w:sz w:val="24"/>
          <w:szCs w:val="32"/>
          <w:highlight w:val="none"/>
          <w:u w:val="none"/>
          <w:lang w:val="zh-CN" w:eastAsia="zh-CN" w:bidi="ar-SA"/>
        </w:rPr>
      </w:pPr>
      <w:r>
        <w:rPr>
          <w:rFonts w:hint="eastAsia" w:ascii="Times New Roman" w:hAnsi="宋体" w:eastAsia="宋体" w:cs="Times New Roman"/>
          <w:b/>
          <w:bCs/>
          <w:color w:val="auto"/>
          <w:sz w:val="24"/>
          <w:szCs w:val="32"/>
          <w:highlight w:val="none"/>
          <w:u w:val="none"/>
          <w:lang w:val="zh-CN" w:eastAsia="zh-CN" w:bidi="ar-SA"/>
        </w:rPr>
        <w:t>（</w:t>
      </w:r>
      <w:r>
        <w:rPr>
          <w:rFonts w:hint="eastAsia" w:ascii="Times New Roman" w:hAnsi="宋体" w:eastAsia="宋体" w:cs="Times New Roman"/>
          <w:b/>
          <w:bCs/>
          <w:color w:val="auto"/>
          <w:sz w:val="24"/>
          <w:szCs w:val="32"/>
          <w:highlight w:val="none"/>
          <w:u w:val="none"/>
          <w:lang w:val="en-US" w:eastAsia="zh-CN" w:bidi="ar-SA"/>
        </w:rPr>
        <w:t>5</w:t>
      </w:r>
      <w:r>
        <w:rPr>
          <w:rFonts w:hint="eastAsia" w:ascii="Times New Roman" w:hAnsi="宋体" w:eastAsia="宋体" w:cs="Times New Roman"/>
          <w:b/>
          <w:bCs/>
          <w:color w:val="auto"/>
          <w:sz w:val="24"/>
          <w:szCs w:val="32"/>
          <w:highlight w:val="none"/>
          <w:u w:val="none"/>
          <w:lang w:val="zh-CN" w:eastAsia="zh-CN" w:bidi="ar-SA"/>
        </w:rPr>
        <w:t>）《关于印发冶金、建材、石化化工行业“十四五”节能降碳实施方案的通知》（闽工信规</w:t>
      </w:r>
      <w:r>
        <w:rPr>
          <w:rFonts w:ascii="Times New Roman" w:hAnsi="宋体" w:eastAsia="宋体" w:cs="Times New Roman"/>
          <w:b/>
          <w:bCs/>
          <w:color w:val="auto"/>
          <w:sz w:val="24"/>
          <w:szCs w:val="32"/>
          <w:highlight w:val="none"/>
          <w:u w:val="none"/>
          <w:lang w:val="en-US" w:eastAsia="zh-CN" w:bidi="ar-SA"/>
        </w:rPr>
        <w:t>[</w:t>
      </w:r>
      <w:r>
        <w:rPr>
          <w:rFonts w:hint="eastAsia" w:ascii="Times New Roman" w:hAnsi="宋体" w:eastAsia="宋体" w:cs="Times New Roman"/>
          <w:b/>
          <w:bCs/>
          <w:color w:val="auto"/>
          <w:sz w:val="24"/>
          <w:szCs w:val="32"/>
          <w:highlight w:val="none"/>
          <w:u w:val="none"/>
          <w:lang w:val="zh-CN" w:eastAsia="zh-CN" w:bidi="ar-SA"/>
        </w:rPr>
        <w:t>2022</w:t>
      </w:r>
      <w:r>
        <w:rPr>
          <w:rFonts w:ascii="Times New Roman" w:hAnsi="宋体" w:eastAsia="宋体" w:cs="Times New Roman"/>
          <w:b/>
          <w:bCs/>
          <w:color w:val="auto"/>
          <w:sz w:val="24"/>
          <w:szCs w:val="32"/>
          <w:highlight w:val="none"/>
          <w:u w:val="none"/>
          <w:lang w:val="en-US" w:eastAsia="zh-CN" w:bidi="ar-SA"/>
        </w:rPr>
        <w:t>]</w:t>
      </w:r>
      <w:r>
        <w:rPr>
          <w:rFonts w:hint="eastAsia" w:ascii="Times New Roman" w:hAnsi="宋体" w:eastAsia="宋体" w:cs="Times New Roman"/>
          <w:b/>
          <w:bCs/>
          <w:color w:val="auto"/>
          <w:sz w:val="24"/>
          <w:szCs w:val="32"/>
          <w:highlight w:val="none"/>
          <w:u w:val="none"/>
          <w:lang w:val="zh-CN" w:eastAsia="zh-CN" w:bidi="ar-SA"/>
        </w:rPr>
        <w:t>1号）</w:t>
      </w:r>
    </w:p>
    <w:p w14:paraId="6156F79D">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en-US" w:eastAsia="zh-CN" w:bidi="ar-SA"/>
        </w:rPr>
      </w:pPr>
      <w:r>
        <w:rPr>
          <w:rFonts w:ascii="Times New Roman" w:hAnsi="宋体" w:eastAsia="宋体" w:cs="Times New Roman"/>
          <w:color w:val="auto"/>
          <w:sz w:val="24"/>
          <w:szCs w:val="24"/>
          <w:highlight w:val="none"/>
          <w:u w:val="none"/>
          <w:lang w:val="en-US" w:eastAsia="zh-CN" w:bidi="ar-SA"/>
        </w:rPr>
        <w:t>2022</w:t>
      </w:r>
      <w:r>
        <w:rPr>
          <w:rFonts w:hint="eastAsia" w:ascii="Times New Roman" w:hAnsi="宋体" w:eastAsia="宋体" w:cs="Times New Roman"/>
          <w:color w:val="auto"/>
          <w:sz w:val="24"/>
          <w:szCs w:val="24"/>
          <w:highlight w:val="none"/>
          <w:u w:val="none"/>
          <w:lang w:val="en-US" w:eastAsia="zh-CN" w:bidi="ar-SA"/>
        </w:rPr>
        <w:t>年3月7日，福建省工业和信息化厅引发了《关于印发冶金、建材、石化化工行业“十四五”节能降碳实施方案的通知》（闽工信规[2022]1号），本项目符合该方案的要求，相符性分析见</w:t>
      </w:r>
      <w:r>
        <w:rPr>
          <w:rFonts w:hint="eastAsia" w:ascii="Times New Roman" w:hAnsi="宋体" w:eastAsia="宋体" w:cs="Times New Roman"/>
          <w:color w:val="auto"/>
          <w:sz w:val="24"/>
          <w:szCs w:val="24"/>
          <w:highlight w:val="none"/>
          <w:u w:val="none"/>
          <w:lang w:val="en-US" w:eastAsia="zh-CN" w:bidi="ar-SA"/>
        </w:rPr>
        <w:fldChar w:fldCharType="begin"/>
      </w:r>
      <w:r>
        <w:rPr>
          <w:rFonts w:hint="eastAsia" w:ascii="Times New Roman" w:hAnsi="宋体" w:eastAsia="宋体" w:cs="Times New Roman"/>
          <w:color w:val="auto"/>
          <w:sz w:val="24"/>
          <w:szCs w:val="24"/>
          <w:highlight w:val="none"/>
          <w:u w:val="none"/>
          <w:lang w:val="en-US" w:eastAsia="zh-CN" w:bidi="ar-SA"/>
        </w:rPr>
        <w:instrText xml:space="preserve"> REF _Ref193308422 \h </w:instrText>
      </w:r>
      <w:r>
        <w:rPr>
          <w:rFonts w:hint="eastAsia" w:ascii="Times New Roman" w:hAnsi="宋体" w:eastAsia="宋体" w:cs="Times New Roman"/>
          <w:color w:val="auto"/>
          <w:sz w:val="24"/>
          <w:szCs w:val="24"/>
          <w:highlight w:val="none"/>
          <w:u w:val="none"/>
          <w:lang w:val="en-US" w:eastAsia="zh-CN" w:bidi="ar-SA"/>
        </w:rPr>
        <w:fldChar w:fldCharType="separate"/>
      </w:r>
      <w:r>
        <w:rPr>
          <w:rFonts w:ascii="Times New Roman" w:hAnsi="宋体" w:eastAsia="宋体" w:cs="Times New Roman"/>
          <w:color w:val="auto"/>
          <w:sz w:val="24"/>
          <w:szCs w:val="24"/>
          <w:highlight w:val="none"/>
          <w:u w:val="none"/>
          <w:lang w:val="zh-CN" w:eastAsia="zh-CN" w:bidi="ar-SA"/>
        </w:rPr>
        <w:t>表 8.8</w:t>
      </w:r>
      <w:r>
        <w:rPr>
          <w:rFonts w:ascii="Times New Roman" w:hAnsi="宋体" w:eastAsia="宋体" w:cs="Times New Roman"/>
          <w:color w:val="auto"/>
          <w:sz w:val="24"/>
          <w:szCs w:val="24"/>
          <w:highlight w:val="none"/>
          <w:u w:val="none"/>
          <w:lang w:val="zh-CN" w:eastAsia="zh-CN" w:bidi="ar-SA"/>
        </w:rPr>
        <w:noBreakHyphen/>
      </w:r>
      <w:r>
        <w:rPr>
          <w:rFonts w:ascii="Times New Roman" w:hAnsi="宋体" w:eastAsia="宋体" w:cs="Times New Roman"/>
          <w:color w:val="auto"/>
          <w:sz w:val="24"/>
          <w:szCs w:val="24"/>
          <w:highlight w:val="none"/>
          <w:u w:val="none"/>
          <w:lang w:val="zh-CN" w:eastAsia="zh-CN" w:bidi="ar-SA"/>
        </w:rPr>
        <w:t>5</w:t>
      </w:r>
      <w:r>
        <w:rPr>
          <w:rFonts w:hint="eastAsia" w:ascii="Times New Roman" w:hAnsi="宋体" w:eastAsia="宋体" w:cs="Times New Roman"/>
          <w:color w:val="auto"/>
          <w:sz w:val="24"/>
          <w:szCs w:val="24"/>
          <w:highlight w:val="none"/>
          <w:u w:val="none"/>
          <w:lang w:val="en-US" w:eastAsia="zh-CN" w:bidi="ar-SA"/>
        </w:rPr>
        <w:fldChar w:fldCharType="end"/>
      </w:r>
      <w:r>
        <w:rPr>
          <w:rFonts w:hint="eastAsia" w:ascii="Times New Roman" w:hAnsi="宋体" w:eastAsia="宋体" w:cs="Times New Roman"/>
          <w:color w:val="auto"/>
          <w:sz w:val="24"/>
          <w:szCs w:val="24"/>
          <w:highlight w:val="none"/>
          <w:u w:val="none"/>
          <w:lang w:val="en-US" w:eastAsia="zh-CN" w:bidi="ar-SA"/>
        </w:rPr>
        <w:t>。</w:t>
      </w:r>
    </w:p>
    <w:p w14:paraId="4A6F3671">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69" w:name="_Ref193308422"/>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5</w:t>
      </w:r>
      <w:r>
        <w:rPr>
          <w:rFonts w:ascii="Times New Roman" w:hAnsi="Times New Roman" w:eastAsia="宋体" w:cs="Times New Roman"/>
          <w:b/>
          <w:color w:val="auto"/>
          <w:sz w:val="24"/>
          <w:szCs w:val="24"/>
          <w:highlight w:val="none"/>
          <w:u w:val="none"/>
          <w:lang w:val="en-US" w:eastAsia="zh-CN" w:bidi="ar-SA"/>
        </w:rPr>
        <w:fldChar w:fldCharType="end"/>
      </w:r>
      <w:bookmarkEnd w:id="569"/>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“闽工信规[2022]1号”的符合性分析</w:t>
      </w:r>
    </w:p>
    <w:tbl>
      <w:tblPr>
        <w:tblStyle w:val="58"/>
        <w:tblW w:w="496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501"/>
        <w:gridCol w:w="3783"/>
        <w:gridCol w:w="937"/>
      </w:tblGrid>
      <w:tr w14:paraId="662B9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440" w:type="pct"/>
            <w:vAlign w:val="center"/>
          </w:tcPr>
          <w:p w14:paraId="474A1730">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2051" w:type="pct"/>
            <w:vAlign w:val="center"/>
          </w:tcPr>
          <w:p w14:paraId="48E1B640">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508" w:type="pct"/>
            <w:vAlign w:val="center"/>
          </w:tcPr>
          <w:p w14:paraId="68E8125B">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3B84C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40" w:type="pct"/>
            <w:vAlign w:val="center"/>
          </w:tcPr>
          <w:p w14:paraId="6A016ECB">
            <w:pPr>
              <w:widowControl w:val="0"/>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三）加快节能降碳改造。对能效低于行业基准水平的存量项目，应加快节能降碳、提质增效改造，并于2024年前完成改造升级，未能按期完成改造升级的项目坚决予以淘汰退出。引导冶金行业集中集聚发展，鼓励企业兼并重组，提高集约化、现代化水平，形成规模效益、降低单位产品能耗。发布行业能效“领跑者”标杆，引导企业对标对表改造升级。鼓励国有企业、龙头企业在废钢利用、燃料优化、智能管控、产业协同、绿色物流等方面发挥引领作用，开展节能降碳示范性改造。推广先进适用节能低碳、提高余热自发电率、优化用能结构、钢化联产等技术，加大数字化、智能化技术应用，提升企业全流程信息化水平，实现绿色低碳发展。</w:t>
            </w:r>
          </w:p>
        </w:tc>
        <w:tc>
          <w:tcPr>
            <w:tcW w:w="2051" w:type="pct"/>
            <w:vAlign w:val="center"/>
          </w:tcPr>
          <w:p w14:paraId="7B234E42">
            <w:pPr>
              <w:widowControl w:val="0"/>
              <w:wordWrap w:val="0"/>
              <w:spacing w:line="240" w:lineRule="auto"/>
              <w:ind w:firstLine="0" w:firstLineChars="0"/>
              <w:jc w:val="left"/>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本项目TDI单位产品能耗水平达到《甲苯二异氰酸酯和二苯基甲烷二异氰酸酯单位产品能源消耗限额》（GB31830-2024）1级指标要求，本项目TDI单位产品能耗总体上优于同行业平均水平，本项目建成后的单位产品碳排放下降，具有显著的降碳成效。</w:t>
            </w:r>
          </w:p>
        </w:tc>
        <w:tc>
          <w:tcPr>
            <w:tcW w:w="508" w:type="pct"/>
            <w:vAlign w:val="center"/>
          </w:tcPr>
          <w:p w14:paraId="3981BB04">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3475E061">
      <w:pPr>
        <w:widowControl w:val="0"/>
        <w:spacing w:line="360" w:lineRule="auto"/>
        <w:ind w:firstLine="482" w:firstLineChars="200"/>
        <w:jc w:val="both"/>
        <w:rPr>
          <w:rFonts w:hint="eastAsia" w:ascii="Times New Roman" w:hAnsi="宋体" w:eastAsia="宋体" w:cs="Times New Roman"/>
          <w:b/>
          <w:bCs/>
          <w:color w:val="auto"/>
          <w:sz w:val="24"/>
          <w:szCs w:val="32"/>
          <w:highlight w:val="none"/>
          <w:u w:val="none"/>
          <w:lang w:val="zh-CN" w:eastAsia="zh-CN" w:bidi="ar-SA"/>
        </w:rPr>
      </w:pPr>
      <w:r>
        <w:rPr>
          <w:rFonts w:hint="eastAsia" w:ascii="Times New Roman" w:hAnsi="宋体" w:eastAsia="宋体" w:cs="Times New Roman"/>
          <w:b/>
          <w:bCs/>
          <w:color w:val="auto"/>
          <w:sz w:val="24"/>
          <w:szCs w:val="32"/>
          <w:highlight w:val="none"/>
          <w:u w:val="none"/>
          <w:lang w:val="zh-CN" w:eastAsia="zh-CN" w:bidi="ar-SA"/>
        </w:rPr>
        <w:t>（</w:t>
      </w:r>
      <w:r>
        <w:rPr>
          <w:rFonts w:hint="eastAsia" w:ascii="Times New Roman" w:hAnsi="宋体" w:eastAsia="宋体" w:cs="Times New Roman"/>
          <w:b/>
          <w:bCs/>
          <w:color w:val="auto"/>
          <w:sz w:val="24"/>
          <w:szCs w:val="32"/>
          <w:highlight w:val="none"/>
          <w:u w:val="none"/>
          <w:lang w:val="en-US" w:eastAsia="zh-CN" w:bidi="ar-SA"/>
        </w:rPr>
        <w:t>6</w:t>
      </w:r>
      <w:r>
        <w:rPr>
          <w:rFonts w:hint="eastAsia" w:ascii="Times New Roman" w:hAnsi="宋体" w:eastAsia="宋体" w:cs="Times New Roman"/>
          <w:b/>
          <w:bCs/>
          <w:color w:val="auto"/>
          <w:sz w:val="24"/>
          <w:szCs w:val="32"/>
          <w:highlight w:val="none"/>
          <w:u w:val="none"/>
          <w:lang w:val="zh-CN" w:eastAsia="zh-CN" w:bidi="ar-SA"/>
        </w:rPr>
        <w:t>）</w:t>
      </w:r>
      <w:r>
        <w:rPr>
          <w:rFonts w:ascii="Times New Roman" w:hAnsi="宋体" w:eastAsia="宋体" w:cs="Times New Roman"/>
          <w:b/>
          <w:bCs/>
          <w:color w:val="auto"/>
          <w:sz w:val="24"/>
          <w:szCs w:val="32"/>
          <w:highlight w:val="none"/>
          <w:u w:val="none"/>
          <w:lang w:val="zh-CN" w:eastAsia="zh-CN" w:bidi="ar-SA"/>
        </w:rPr>
        <w:t>《福州市生态环境局关于福州市重点行业建设项目碳排放环境影响评价的指导意见（试行）》（榕环保综</w:t>
      </w:r>
      <w:r>
        <w:rPr>
          <w:rFonts w:ascii="Times New Roman" w:hAnsi="宋体" w:eastAsia="宋体" w:cs="Times New Roman"/>
          <w:b/>
          <w:bCs/>
          <w:color w:val="auto"/>
          <w:sz w:val="24"/>
          <w:szCs w:val="32"/>
          <w:highlight w:val="none"/>
          <w:u w:val="none"/>
          <w:lang w:val="en-US" w:eastAsia="zh-CN" w:bidi="ar-SA"/>
        </w:rPr>
        <w:t>[</w:t>
      </w:r>
      <w:r>
        <w:rPr>
          <w:rFonts w:ascii="Times New Roman" w:hAnsi="宋体" w:eastAsia="宋体" w:cs="Times New Roman"/>
          <w:b/>
          <w:bCs/>
          <w:color w:val="auto"/>
          <w:sz w:val="24"/>
          <w:szCs w:val="32"/>
          <w:highlight w:val="none"/>
          <w:u w:val="none"/>
          <w:lang w:val="zh-CN" w:eastAsia="zh-CN" w:bidi="ar-SA"/>
        </w:rPr>
        <w:t>2021</w:t>
      </w:r>
      <w:r>
        <w:rPr>
          <w:rFonts w:ascii="Times New Roman" w:hAnsi="宋体" w:eastAsia="宋体" w:cs="Times New Roman"/>
          <w:b/>
          <w:bCs/>
          <w:color w:val="auto"/>
          <w:sz w:val="24"/>
          <w:szCs w:val="32"/>
          <w:highlight w:val="none"/>
          <w:u w:val="none"/>
          <w:lang w:val="en-US" w:eastAsia="zh-CN" w:bidi="ar-SA"/>
        </w:rPr>
        <w:t>]</w:t>
      </w:r>
      <w:r>
        <w:rPr>
          <w:rFonts w:ascii="Times New Roman" w:hAnsi="宋体" w:eastAsia="宋体" w:cs="Times New Roman"/>
          <w:b/>
          <w:bCs/>
          <w:color w:val="auto"/>
          <w:sz w:val="24"/>
          <w:szCs w:val="32"/>
          <w:highlight w:val="none"/>
          <w:u w:val="none"/>
          <w:lang w:val="zh-CN" w:eastAsia="zh-CN" w:bidi="ar-SA"/>
        </w:rPr>
        <w:t>62号）</w:t>
      </w:r>
    </w:p>
    <w:p w14:paraId="318D2AB0">
      <w:pPr>
        <w:widowControl w:val="0"/>
        <w:spacing w:line="360" w:lineRule="auto"/>
        <w:ind w:firstLine="480" w:firstLineChars="200"/>
        <w:jc w:val="both"/>
        <w:rPr>
          <w:rFonts w:hint="eastAsia" w:ascii="Times New Roman" w:hAnsi="宋体" w:eastAsia="宋体" w:cs="Times New Roman"/>
          <w:color w:val="auto"/>
          <w:sz w:val="24"/>
          <w:szCs w:val="24"/>
          <w:highlight w:val="none"/>
          <w:u w:val="none"/>
          <w:lang w:val="en-US" w:eastAsia="zh-CN" w:bidi="ar-SA"/>
        </w:rPr>
      </w:pPr>
      <w:r>
        <w:rPr>
          <w:rFonts w:hint="eastAsia" w:ascii="Times New Roman" w:hAnsi="宋体" w:eastAsia="宋体" w:cs="Times New Roman"/>
          <w:color w:val="auto"/>
          <w:sz w:val="24"/>
          <w:szCs w:val="24"/>
          <w:highlight w:val="none"/>
          <w:u w:val="none"/>
          <w:lang w:val="en-US" w:eastAsia="zh-CN" w:bidi="ar-SA"/>
        </w:rPr>
        <w:t>2021年5月31日，福州市生态环境局印发了《福州市生态环境局关于福州市重点行业建设项目碳排放环境影响评价的指导意见（试行）》（榕环保综</w:t>
      </w:r>
      <w:r>
        <w:rPr>
          <w:rFonts w:ascii="Times New Roman" w:hAnsi="宋体" w:eastAsia="宋体" w:cs="Times New Roman"/>
          <w:color w:val="auto"/>
          <w:sz w:val="24"/>
          <w:szCs w:val="24"/>
          <w:highlight w:val="none"/>
          <w:u w:val="none"/>
          <w:lang w:val="en-US" w:eastAsia="zh-CN" w:bidi="ar-SA"/>
        </w:rPr>
        <w:t>[</w:t>
      </w:r>
      <w:r>
        <w:rPr>
          <w:rFonts w:hint="eastAsia" w:ascii="Times New Roman" w:hAnsi="宋体" w:eastAsia="宋体" w:cs="Times New Roman"/>
          <w:color w:val="auto"/>
          <w:sz w:val="24"/>
          <w:szCs w:val="24"/>
          <w:highlight w:val="none"/>
          <w:u w:val="none"/>
          <w:lang w:val="en-US" w:eastAsia="zh-CN" w:bidi="ar-SA"/>
        </w:rPr>
        <w:t>2021</w:t>
      </w:r>
      <w:r>
        <w:rPr>
          <w:rFonts w:ascii="Times New Roman" w:hAnsi="宋体" w:eastAsia="宋体" w:cs="Times New Roman"/>
          <w:color w:val="auto"/>
          <w:sz w:val="24"/>
          <w:szCs w:val="24"/>
          <w:highlight w:val="none"/>
          <w:u w:val="none"/>
          <w:lang w:val="en-US" w:eastAsia="zh-CN" w:bidi="ar-SA"/>
        </w:rPr>
        <w:t>]</w:t>
      </w:r>
      <w:r>
        <w:rPr>
          <w:rFonts w:hint="eastAsia" w:ascii="Times New Roman" w:hAnsi="宋体" w:eastAsia="宋体" w:cs="Times New Roman"/>
          <w:color w:val="auto"/>
          <w:sz w:val="24"/>
          <w:szCs w:val="24"/>
          <w:highlight w:val="none"/>
          <w:u w:val="none"/>
          <w:lang w:val="en-US" w:eastAsia="zh-CN" w:bidi="ar-SA"/>
        </w:rPr>
        <w:t>62号），</w:t>
      </w:r>
      <w:r>
        <w:rPr>
          <w:rFonts w:hint="eastAsia" w:ascii="Times New Roman" w:hAnsi="宋体" w:eastAsia="宋体" w:cs="Times New Roman"/>
          <w:color w:val="auto"/>
          <w:sz w:val="24"/>
          <w:szCs w:val="24"/>
          <w:highlight w:val="none"/>
          <w:u w:val="none"/>
          <w:lang w:val="zh-CN" w:eastAsia="zh-CN" w:bidi="ar-SA"/>
        </w:rPr>
        <w:t>本项目符合该意见的要求，</w:t>
      </w:r>
      <w:r>
        <w:rPr>
          <w:rFonts w:hint="eastAsia" w:ascii="Times New Roman" w:hAnsi="宋体" w:eastAsia="宋体" w:cs="Times New Roman"/>
          <w:color w:val="auto"/>
          <w:sz w:val="24"/>
          <w:szCs w:val="24"/>
          <w:highlight w:val="none"/>
          <w:u w:val="none"/>
          <w:lang w:val="en-US" w:eastAsia="zh-CN" w:bidi="ar-SA"/>
        </w:rPr>
        <w:t>相符性分析见</w:t>
      </w:r>
      <w:r>
        <w:rPr>
          <w:rFonts w:hint="eastAsia" w:ascii="Times New Roman" w:hAnsi="宋体" w:eastAsia="宋体" w:cs="Times New Roman"/>
          <w:color w:val="auto"/>
          <w:sz w:val="24"/>
          <w:szCs w:val="24"/>
          <w:highlight w:val="none"/>
          <w:u w:val="none"/>
          <w:lang w:val="en-US" w:eastAsia="zh-CN" w:bidi="ar-SA"/>
        </w:rPr>
        <w:fldChar w:fldCharType="begin"/>
      </w:r>
      <w:r>
        <w:rPr>
          <w:rFonts w:hint="eastAsia" w:ascii="Times New Roman" w:hAnsi="宋体" w:eastAsia="宋体" w:cs="Times New Roman"/>
          <w:color w:val="auto"/>
          <w:sz w:val="24"/>
          <w:szCs w:val="24"/>
          <w:highlight w:val="none"/>
          <w:u w:val="none"/>
          <w:lang w:val="en-US" w:eastAsia="zh-CN" w:bidi="ar-SA"/>
        </w:rPr>
        <w:instrText xml:space="preserve"> REF _Ref257 \h </w:instrText>
      </w:r>
      <w:r>
        <w:rPr>
          <w:rFonts w:hint="eastAsia" w:ascii="Times New Roman" w:hAnsi="宋体" w:eastAsia="宋体" w:cs="Times New Roman"/>
          <w:color w:val="auto"/>
          <w:sz w:val="24"/>
          <w:szCs w:val="24"/>
          <w:highlight w:val="none"/>
          <w:u w:val="none"/>
          <w:lang w:val="en-US" w:eastAsia="zh-CN" w:bidi="ar-SA"/>
        </w:rPr>
        <w:fldChar w:fldCharType="separate"/>
      </w:r>
      <w:r>
        <w:rPr>
          <w:rFonts w:ascii="Times New Roman" w:hAnsi="宋体" w:eastAsia="宋体" w:cs="Times New Roman"/>
          <w:color w:val="auto"/>
          <w:sz w:val="24"/>
          <w:szCs w:val="24"/>
          <w:highlight w:val="none"/>
          <w:u w:val="none"/>
          <w:lang w:val="zh-CN" w:eastAsia="zh-CN" w:bidi="ar-SA"/>
        </w:rPr>
        <w:t>表 8.8</w:t>
      </w:r>
      <w:r>
        <w:rPr>
          <w:rFonts w:ascii="Times New Roman" w:hAnsi="宋体" w:eastAsia="宋体" w:cs="Times New Roman"/>
          <w:color w:val="auto"/>
          <w:sz w:val="24"/>
          <w:szCs w:val="24"/>
          <w:highlight w:val="none"/>
          <w:u w:val="none"/>
          <w:lang w:val="zh-CN" w:eastAsia="zh-CN" w:bidi="ar-SA"/>
        </w:rPr>
        <w:noBreakHyphen/>
      </w:r>
      <w:r>
        <w:rPr>
          <w:rFonts w:ascii="Times New Roman" w:hAnsi="宋体" w:eastAsia="宋体" w:cs="Times New Roman"/>
          <w:color w:val="auto"/>
          <w:sz w:val="24"/>
          <w:szCs w:val="24"/>
          <w:highlight w:val="none"/>
          <w:u w:val="none"/>
          <w:lang w:val="zh-CN" w:eastAsia="zh-CN" w:bidi="ar-SA"/>
        </w:rPr>
        <w:t>6</w:t>
      </w:r>
      <w:r>
        <w:rPr>
          <w:rFonts w:hint="eastAsia" w:ascii="Times New Roman" w:hAnsi="宋体" w:eastAsia="宋体" w:cs="Times New Roman"/>
          <w:color w:val="auto"/>
          <w:sz w:val="24"/>
          <w:szCs w:val="24"/>
          <w:highlight w:val="none"/>
          <w:u w:val="none"/>
          <w:lang w:val="en-US" w:eastAsia="zh-CN" w:bidi="ar-SA"/>
        </w:rPr>
        <w:fldChar w:fldCharType="end"/>
      </w:r>
      <w:r>
        <w:rPr>
          <w:rFonts w:hint="eastAsia" w:ascii="Times New Roman" w:hAnsi="宋体" w:eastAsia="宋体" w:cs="Times New Roman"/>
          <w:color w:val="auto"/>
          <w:sz w:val="24"/>
          <w:szCs w:val="24"/>
          <w:highlight w:val="none"/>
          <w:u w:val="none"/>
          <w:lang w:val="en-US" w:eastAsia="zh-CN" w:bidi="ar-SA"/>
        </w:rPr>
        <w:t>。</w:t>
      </w:r>
    </w:p>
    <w:p w14:paraId="0D12EF91">
      <w:pPr>
        <w:widowControl w:val="0"/>
        <w:spacing w:line="360" w:lineRule="auto"/>
        <w:ind w:firstLine="0" w:firstLineChars="0"/>
        <w:jc w:val="center"/>
        <w:rPr>
          <w:rFonts w:ascii="Times New Roman" w:hAnsi="Times New Roman" w:eastAsia="宋体" w:cs="Times New Roman"/>
          <w:b/>
          <w:color w:val="auto"/>
          <w:sz w:val="24"/>
          <w:szCs w:val="24"/>
          <w:highlight w:val="none"/>
          <w:u w:val="none"/>
          <w:lang w:val="en-US" w:eastAsia="zh-CN" w:bidi="ar-SA"/>
        </w:rPr>
      </w:pPr>
      <w:bookmarkStart w:id="570" w:name="_Ref257"/>
      <w:r>
        <w:rPr>
          <w:rFonts w:ascii="Times New Roman" w:hAnsi="Times New Roman" w:eastAsia="宋体" w:cs="Times New Roman"/>
          <w:b/>
          <w:color w:val="auto"/>
          <w:sz w:val="24"/>
          <w:szCs w:val="24"/>
          <w:highlight w:val="none"/>
          <w:u w:val="none"/>
          <w:lang w:val="en-US" w:eastAsia="zh-CN" w:bidi="ar-SA"/>
        </w:rPr>
        <w:t xml:space="preserve">表 </w:t>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STYLEREF 2 \s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8.8</w:t>
      </w:r>
      <w:r>
        <w:rPr>
          <w:rFonts w:ascii="Times New Roman" w:hAnsi="Times New Roman" w:eastAsia="宋体" w:cs="Times New Roman"/>
          <w:b/>
          <w:color w:val="auto"/>
          <w:sz w:val="24"/>
          <w:szCs w:val="24"/>
          <w:highlight w:val="none"/>
          <w:u w:val="none"/>
          <w:lang w:val="en-US" w:eastAsia="zh-CN" w:bidi="ar-SA"/>
        </w:rPr>
        <w:fldChar w:fldCharType="end"/>
      </w:r>
      <w:r>
        <w:rPr>
          <w:rFonts w:ascii="Times New Roman" w:hAnsi="Times New Roman" w:eastAsia="宋体" w:cs="Times New Roman"/>
          <w:b/>
          <w:color w:val="auto"/>
          <w:sz w:val="24"/>
          <w:szCs w:val="24"/>
          <w:highlight w:val="none"/>
          <w:u w:val="none"/>
          <w:lang w:val="en-US" w:eastAsia="zh-CN" w:bidi="ar-SA"/>
        </w:rPr>
        <w:noBreakHyphen/>
      </w:r>
      <w:r>
        <w:rPr>
          <w:rFonts w:ascii="Times New Roman" w:hAnsi="Times New Roman" w:eastAsia="宋体" w:cs="Times New Roman"/>
          <w:b/>
          <w:color w:val="auto"/>
          <w:sz w:val="24"/>
          <w:szCs w:val="24"/>
          <w:highlight w:val="none"/>
          <w:u w:val="none"/>
          <w:lang w:val="en-US" w:eastAsia="zh-CN" w:bidi="ar-SA"/>
        </w:rPr>
        <w:fldChar w:fldCharType="begin"/>
      </w:r>
      <w:r>
        <w:rPr>
          <w:rFonts w:ascii="Times New Roman" w:hAnsi="Times New Roman" w:eastAsia="宋体" w:cs="Times New Roman"/>
          <w:b/>
          <w:color w:val="auto"/>
          <w:sz w:val="24"/>
          <w:szCs w:val="24"/>
          <w:highlight w:val="none"/>
          <w:u w:val="none"/>
          <w:lang w:val="en-US" w:eastAsia="zh-CN" w:bidi="ar-SA"/>
        </w:rPr>
        <w:instrText xml:space="preserve"> SEQ 表 \* ARABIC \s 2 </w:instrText>
      </w:r>
      <w:r>
        <w:rPr>
          <w:rFonts w:ascii="Times New Roman" w:hAnsi="Times New Roman" w:eastAsia="宋体" w:cs="Times New Roman"/>
          <w:b/>
          <w:color w:val="auto"/>
          <w:sz w:val="24"/>
          <w:szCs w:val="24"/>
          <w:highlight w:val="none"/>
          <w:u w:val="none"/>
          <w:lang w:val="en-US" w:eastAsia="zh-CN" w:bidi="ar-SA"/>
        </w:rPr>
        <w:fldChar w:fldCharType="separate"/>
      </w:r>
      <w:r>
        <w:rPr>
          <w:rFonts w:ascii="Times New Roman" w:hAnsi="Times New Roman" w:eastAsia="宋体" w:cs="Times New Roman"/>
          <w:b/>
          <w:color w:val="auto"/>
          <w:sz w:val="24"/>
          <w:szCs w:val="24"/>
          <w:highlight w:val="none"/>
          <w:u w:val="none"/>
          <w:lang w:val="en-US" w:eastAsia="zh-CN" w:bidi="ar-SA"/>
        </w:rPr>
        <w:t>6</w:t>
      </w:r>
      <w:r>
        <w:rPr>
          <w:rFonts w:ascii="Times New Roman" w:hAnsi="Times New Roman" w:eastAsia="宋体" w:cs="Times New Roman"/>
          <w:b/>
          <w:color w:val="auto"/>
          <w:sz w:val="24"/>
          <w:szCs w:val="24"/>
          <w:highlight w:val="none"/>
          <w:u w:val="none"/>
          <w:lang w:val="en-US" w:eastAsia="zh-CN" w:bidi="ar-SA"/>
        </w:rPr>
        <w:fldChar w:fldCharType="end"/>
      </w:r>
      <w:bookmarkEnd w:id="570"/>
      <w:r>
        <w:rPr>
          <w:rFonts w:ascii="Times New Roman" w:hAnsi="Times New Roman" w:eastAsia="宋体" w:cs="Times New Roman"/>
          <w:b/>
          <w:color w:val="auto"/>
          <w:sz w:val="24"/>
          <w:szCs w:val="24"/>
          <w:highlight w:val="none"/>
          <w:u w:val="none"/>
          <w:lang w:val="en-US" w:eastAsia="zh-CN" w:bidi="ar-SA"/>
        </w:rPr>
        <w:t xml:space="preserve">  </w:t>
      </w:r>
      <w:r>
        <w:rPr>
          <w:rFonts w:hint="eastAsia" w:ascii="Times New Roman" w:hAnsi="Times New Roman" w:eastAsia="宋体" w:cs="Times New Roman"/>
          <w:b/>
          <w:color w:val="auto"/>
          <w:sz w:val="24"/>
          <w:szCs w:val="24"/>
          <w:highlight w:val="none"/>
          <w:u w:val="none"/>
          <w:lang w:val="en-US" w:eastAsia="zh-CN" w:bidi="ar-SA"/>
        </w:rPr>
        <w:t>“榕环保综[2021]62号”的符合性分析</w:t>
      </w:r>
    </w:p>
    <w:tbl>
      <w:tblPr>
        <w:tblStyle w:val="58"/>
        <w:tblW w:w="496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501"/>
        <w:gridCol w:w="3783"/>
        <w:gridCol w:w="937"/>
      </w:tblGrid>
      <w:tr w14:paraId="154EB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40" w:type="pct"/>
            <w:vAlign w:val="center"/>
          </w:tcPr>
          <w:p w14:paraId="2F5EB612">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要求</w:t>
            </w:r>
          </w:p>
        </w:tc>
        <w:tc>
          <w:tcPr>
            <w:tcW w:w="2051" w:type="pct"/>
            <w:vAlign w:val="center"/>
          </w:tcPr>
          <w:p w14:paraId="5930C69C">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本项目情况</w:t>
            </w:r>
          </w:p>
        </w:tc>
        <w:tc>
          <w:tcPr>
            <w:tcW w:w="508" w:type="pct"/>
            <w:vAlign w:val="center"/>
          </w:tcPr>
          <w:p w14:paraId="045DDE24">
            <w:pPr>
              <w:widowControl w:val="0"/>
              <w:spacing w:line="240" w:lineRule="auto"/>
              <w:ind w:firstLine="0" w:firstLineChars="0"/>
              <w:jc w:val="center"/>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符合性</w:t>
            </w:r>
          </w:p>
        </w:tc>
      </w:tr>
      <w:tr w14:paraId="48489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40" w:type="pct"/>
            <w:vAlign w:val="center"/>
          </w:tcPr>
          <w:p w14:paraId="34365152">
            <w:pPr>
              <w:widowControl w:val="0"/>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（四）重点行业建设项目环境影响报告书（表）中，应设置碳排放评价专章，专章应包含建设项目碳排放现状调查与评价、碳排放预测与评价、碳减排潜力分析及建议等内容。</w:t>
            </w:r>
          </w:p>
        </w:tc>
        <w:tc>
          <w:tcPr>
            <w:tcW w:w="2051" w:type="pct"/>
            <w:vAlign w:val="center"/>
          </w:tcPr>
          <w:p w14:paraId="1CCDFF10">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报告书在8.8章节调查分析了建设项目碳排放现状调查与评价、碳排放预测与评价、碳减排潜力分析及建议等内容。</w:t>
            </w:r>
          </w:p>
        </w:tc>
        <w:tc>
          <w:tcPr>
            <w:tcW w:w="508" w:type="pct"/>
            <w:vAlign w:val="center"/>
          </w:tcPr>
          <w:p w14:paraId="005BB4BD">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r w14:paraId="6D903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40" w:type="pct"/>
            <w:vAlign w:val="center"/>
          </w:tcPr>
          <w:p w14:paraId="021CB7D5">
            <w:pPr>
              <w:widowControl w:val="0"/>
              <w:numPr>
                <w:ilvl w:val="0"/>
                <w:numId w:val="11"/>
              </w:numPr>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建设项目碳排放现状调查与评价，应调查建设项目现状碳排放情况、碳排放量、碳排放强度等，将现有项目的碳排放强度与同行业的碳排放强度进行对比分析，确定项目碳排放水平。</w:t>
            </w:r>
          </w:p>
          <w:p w14:paraId="676F6153">
            <w:pPr>
              <w:widowControl w:val="0"/>
              <w:numPr>
                <w:ilvl w:val="0"/>
                <w:numId w:val="11"/>
              </w:numPr>
              <w:spacing w:line="240" w:lineRule="auto"/>
              <w:ind w:firstLine="0" w:firstLineChars="0"/>
              <w:jc w:val="both"/>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建设项目碳排放预测，应从能源活动排放、净调入电力和热力排放、工业生产过程排放三个方面，计算建设项目实施后的碳排放量。结合项目特点及关键经济指标，计算建设项目碳排放强度。</w:t>
            </w:r>
          </w:p>
        </w:tc>
        <w:tc>
          <w:tcPr>
            <w:tcW w:w="2051" w:type="pct"/>
            <w:vAlign w:val="center"/>
          </w:tcPr>
          <w:p w14:paraId="12A54623">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报告书在8.8.2.3章节对本项目的碳排放情况、碳排放量、碳排放强度进行了分析计算，根据8.8.5小节碳排放水平评价分析，本项目能耗优于同行业，达到了先进水平，碳排放优于同行业平均水平。</w:t>
            </w:r>
          </w:p>
        </w:tc>
        <w:tc>
          <w:tcPr>
            <w:tcW w:w="508" w:type="pct"/>
            <w:vAlign w:val="center"/>
          </w:tcPr>
          <w:p w14:paraId="2D8A3F35">
            <w:pPr>
              <w:widowControl w:val="0"/>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符合</w:t>
            </w:r>
          </w:p>
        </w:tc>
      </w:tr>
    </w:tbl>
    <w:p w14:paraId="43646B15">
      <w:pPr>
        <w:pStyle w:val="981"/>
        <w:rPr>
          <w:color w:val="auto"/>
          <w:highlight w:val="none"/>
          <w:u w:val="none"/>
        </w:rPr>
      </w:pPr>
    </w:p>
    <w:p w14:paraId="6564D855">
      <w:pPr>
        <w:pStyle w:val="7"/>
        <w:spacing w:before="156"/>
        <w:rPr>
          <w:color w:val="auto"/>
          <w:highlight w:val="none"/>
          <w:u w:val="none"/>
        </w:rPr>
      </w:pPr>
      <w:r>
        <w:rPr>
          <w:color w:val="auto"/>
          <w:highlight w:val="none"/>
          <w:u w:val="none"/>
        </w:rPr>
        <w:t>产业政策符合性分析</w:t>
      </w:r>
    </w:p>
    <w:p w14:paraId="024E0C3E">
      <w:pPr>
        <w:pStyle w:val="981"/>
        <w:rPr>
          <w:rFonts w:hint="eastAsia"/>
          <w:color w:val="auto"/>
          <w:highlight w:val="none"/>
          <w:u w:val="none"/>
        </w:rPr>
      </w:pPr>
      <w:r>
        <w:rPr>
          <w:rFonts w:hint="eastAsia"/>
          <w:color w:val="auto"/>
          <w:highlight w:val="none"/>
          <w:u w:val="none"/>
        </w:rPr>
        <w:t>根据《产业结构调整指导目录（</w:t>
      </w:r>
      <w:r>
        <w:rPr>
          <w:color w:val="auto"/>
          <w:highlight w:val="none"/>
          <w:u w:val="none"/>
        </w:rPr>
        <w:t>2024年本）》，本项目不属于该目录的限制类和淘汰类</w:t>
      </w:r>
      <w:r>
        <w:rPr>
          <w:rFonts w:hint="eastAsia"/>
          <w:color w:val="auto"/>
          <w:highlight w:val="none"/>
          <w:u w:val="none"/>
        </w:rPr>
        <w:t>；项目用地不在《禁止用地项目目录（</w:t>
      </w:r>
      <w:r>
        <w:rPr>
          <w:color w:val="auto"/>
          <w:highlight w:val="none"/>
          <w:u w:val="none"/>
        </w:rPr>
        <w:t>2012年本）》和《限制用地项目目录（2012年本）》范围内</w:t>
      </w:r>
      <w:r>
        <w:rPr>
          <w:rFonts w:hint="eastAsia"/>
          <w:color w:val="auto"/>
          <w:highlight w:val="none"/>
          <w:u w:val="none"/>
        </w:rPr>
        <w:t>；</w:t>
      </w:r>
      <w:r>
        <w:rPr>
          <w:color w:val="auto"/>
          <w:highlight w:val="none"/>
          <w:u w:val="none"/>
        </w:rPr>
        <w:t>项目建设已取得福清市发展和改革局备案（编号：闽发改备〔202</w:t>
      </w:r>
      <w:r>
        <w:rPr>
          <w:rFonts w:hint="eastAsia"/>
          <w:color w:val="auto"/>
          <w:highlight w:val="none"/>
          <w:u w:val="none"/>
          <w:lang w:val="en-US" w:eastAsia="zh-CN"/>
        </w:rPr>
        <w:t>4</w:t>
      </w:r>
      <w:r>
        <w:rPr>
          <w:color w:val="auto"/>
          <w:highlight w:val="none"/>
          <w:u w:val="none"/>
        </w:rPr>
        <w:t>〕A06</w:t>
      </w:r>
      <w:r>
        <w:rPr>
          <w:rFonts w:hint="eastAsia"/>
          <w:color w:val="auto"/>
          <w:highlight w:val="none"/>
          <w:u w:val="none"/>
          <w:lang w:val="en-US" w:eastAsia="zh-CN"/>
        </w:rPr>
        <w:t>0018</w:t>
      </w:r>
      <w:r>
        <w:rPr>
          <w:color w:val="auto"/>
          <w:highlight w:val="none"/>
          <w:u w:val="none"/>
        </w:rPr>
        <w:t>号）。因此，本项目符合国家产业政策。</w:t>
      </w:r>
    </w:p>
    <w:p w14:paraId="03C622F3">
      <w:pPr>
        <w:pStyle w:val="7"/>
        <w:spacing w:before="156"/>
        <w:rPr>
          <w:rFonts w:hint="eastAsia"/>
          <w:color w:val="auto"/>
          <w:highlight w:val="none"/>
          <w:u w:val="none"/>
        </w:rPr>
      </w:pPr>
      <w:r>
        <w:rPr>
          <w:color w:val="auto"/>
          <w:highlight w:val="none"/>
          <w:u w:val="none"/>
        </w:rPr>
        <w:t>相关规划符合性分析</w:t>
      </w:r>
    </w:p>
    <w:p w14:paraId="6F6B5A64">
      <w:pPr>
        <w:pStyle w:val="981"/>
        <w:rPr>
          <w:rFonts w:hint="eastAsia"/>
          <w:color w:val="auto"/>
          <w:highlight w:val="none"/>
          <w:u w:val="none"/>
        </w:rPr>
      </w:pPr>
      <w:r>
        <w:rPr>
          <w:rFonts w:hint="eastAsia"/>
          <w:color w:val="auto"/>
          <w:highlight w:val="none"/>
          <w:u w:val="none"/>
        </w:rPr>
        <w:t>项目建设与福州市生态环境分区管控要求、《福清市国土空间总体规划（2021-2035年）</w:t>
      </w:r>
      <w:r>
        <w:rPr>
          <w:color w:val="auto"/>
          <w:highlight w:val="none"/>
          <w:u w:val="none"/>
        </w:rPr>
        <w:t>》</w:t>
      </w:r>
      <w:r>
        <w:rPr>
          <w:rFonts w:hint="eastAsia"/>
          <w:color w:val="auto"/>
          <w:highlight w:val="none"/>
          <w:u w:val="none"/>
        </w:rPr>
        <w:t>、《福州江阴港城总体规划（2018-2035年）》</w:t>
      </w:r>
      <w:r>
        <w:rPr>
          <w:rFonts w:hint="eastAsia"/>
          <w:color w:val="auto"/>
          <w:szCs w:val="32"/>
          <w:highlight w:val="none"/>
          <w:u w:val="none"/>
        </w:rPr>
        <w:t>及《福州江阴港城经济区产业发展规划》</w:t>
      </w:r>
      <w:r>
        <w:rPr>
          <w:color w:val="auto"/>
          <w:highlight w:val="none"/>
          <w:u w:val="none"/>
        </w:rPr>
        <w:t>相符合。</w:t>
      </w:r>
    </w:p>
    <w:p w14:paraId="61D1BA98">
      <w:pPr>
        <w:pStyle w:val="981"/>
        <w:rPr>
          <w:rFonts w:hint="eastAsia"/>
          <w:color w:val="auto"/>
          <w:highlight w:val="none"/>
          <w:u w:val="none"/>
        </w:rPr>
      </w:pPr>
      <w:r>
        <w:rPr>
          <w:rFonts w:hint="eastAsia"/>
          <w:color w:val="auto"/>
          <w:highlight w:val="none"/>
          <w:u w:val="none"/>
        </w:rPr>
        <w:t>项目建设符合国家、地方相关的碳达峰、碳中和、碳排放政策要求</w:t>
      </w:r>
      <w:r>
        <w:rPr>
          <w:color w:val="auto"/>
          <w:highlight w:val="none"/>
          <w:u w:val="none"/>
        </w:rPr>
        <w:t>。</w:t>
      </w:r>
    </w:p>
    <w:p w14:paraId="45F045F1">
      <w:pPr>
        <w:pStyle w:val="6"/>
        <w:spacing w:before="156" w:after="156"/>
        <w:rPr>
          <w:color w:val="auto"/>
          <w:highlight w:val="none"/>
          <w:u w:val="none"/>
          <w:lang w:val="en-US"/>
        </w:rPr>
      </w:pPr>
      <w:r>
        <w:rPr>
          <w:rFonts w:hint="eastAsia"/>
          <w:color w:val="auto"/>
          <w:highlight w:val="none"/>
          <w:u w:val="none"/>
          <w:lang w:val="en-US"/>
        </w:rPr>
        <w:t>碳排放预测</w:t>
      </w:r>
    </w:p>
    <w:p w14:paraId="2DB7F788">
      <w:pPr>
        <w:pStyle w:val="981"/>
        <w:rPr>
          <w:rFonts w:hint="eastAsia"/>
          <w:color w:val="auto"/>
          <w:highlight w:val="none"/>
          <w:u w:val="none"/>
        </w:rPr>
      </w:pPr>
      <w:r>
        <w:rPr>
          <w:rFonts w:hint="eastAsia"/>
          <w:color w:val="auto"/>
          <w:highlight w:val="none"/>
          <w:u w:val="none"/>
        </w:rPr>
        <w:t>综合考虑</w:t>
      </w:r>
      <w:r>
        <w:rPr>
          <w:color w:val="auto"/>
          <w:highlight w:val="none"/>
          <w:u w:val="none"/>
        </w:rPr>
        <w:t>《温室气体排放核算与报告要求 第10部分：化工生产企业》（GB/T32151.10-2015）</w:t>
      </w:r>
      <w:r>
        <w:rPr>
          <w:rFonts w:hint="eastAsia"/>
          <w:color w:val="auto"/>
          <w:highlight w:val="none"/>
          <w:u w:val="none"/>
        </w:rPr>
        <w:t>、《重点行业建设项目碳排放环境影响评价试点技术指南（试行）》（环办环评函〔2021〕346号中附件2）以及</w:t>
      </w:r>
      <w:r>
        <w:rPr>
          <w:color w:val="auto"/>
          <w:highlight w:val="none"/>
          <w:u w:val="none"/>
        </w:rPr>
        <w:t>《福州市生态环境局关于福州市重点行业建设项目碳排放环境影响评价的指导意见（试行）》（榕环保综〔2021〕62号），对</w:t>
      </w:r>
      <w:r>
        <w:rPr>
          <w:rFonts w:hint="eastAsia"/>
          <w:color w:val="auto"/>
          <w:highlight w:val="none"/>
          <w:u w:val="none"/>
        </w:rPr>
        <w:t>本项目</w:t>
      </w:r>
      <w:r>
        <w:rPr>
          <w:color w:val="auto"/>
          <w:highlight w:val="none"/>
          <w:u w:val="none"/>
        </w:rPr>
        <w:t>碳排放进行核算</w:t>
      </w:r>
      <w:r>
        <w:rPr>
          <w:rFonts w:hint="eastAsia"/>
          <w:color w:val="auto"/>
          <w:highlight w:val="none"/>
          <w:u w:val="none"/>
        </w:rPr>
        <w:t>，还需叠加现有全厂其他现有项目的碳排放（包括80万吨PVC项目、108万吨苯胺项目、48万吨甲醛项目及大型煤气化项目、二期扩建36万吨/年TDI项目）</w:t>
      </w:r>
      <w:r>
        <w:rPr>
          <w:color w:val="auto"/>
          <w:highlight w:val="none"/>
          <w:u w:val="none"/>
        </w:rPr>
        <w:t>。</w:t>
      </w:r>
    </w:p>
    <w:p w14:paraId="059FF31A">
      <w:pPr>
        <w:pStyle w:val="7"/>
        <w:spacing w:before="156"/>
        <w:rPr>
          <w:color w:val="auto"/>
          <w:highlight w:val="none"/>
          <w:u w:val="none"/>
          <w:lang w:val="en-US"/>
        </w:rPr>
      </w:pPr>
      <w:r>
        <w:rPr>
          <w:rFonts w:hint="eastAsia"/>
          <w:color w:val="auto"/>
          <w:highlight w:val="none"/>
          <w:u w:val="none"/>
          <w:lang w:val="en-US"/>
        </w:rPr>
        <w:t>预测核算边界</w:t>
      </w:r>
    </w:p>
    <w:p w14:paraId="643DE5FD">
      <w:pPr>
        <w:pStyle w:val="981"/>
        <w:rPr>
          <w:rFonts w:hint="eastAsia"/>
          <w:color w:val="auto"/>
          <w:highlight w:val="none"/>
          <w:u w:val="none"/>
        </w:rPr>
      </w:pPr>
      <w:r>
        <w:rPr>
          <w:rFonts w:hint="eastAsia"/>
          <w:color w:val="auto"/>
          <w:highlight w:val="none"/>
          <w:u w:val="none"/>
        </w:rPr>
        <w:t>本次根据万华福建公司的红线，以企业法人为边界，预测核算边界内生产设施产生的温室气体排放。</w:t>
      </w:r>
    </w:p>
    <w:p w14:paraId="35AD07EF">
      <w:pPr>
        <w:pStyle w:val="7"/>
        <w:spacing w:before="156"/>
        <w:rPr>
          <w:color w:val="auto"/>
          <w:highlight w:val="none"/>
          <w:u w:val="none"/>
        </w:rPr>
      </w:pPr>
      <w:r>
        <w:rPr>
          <w:color w:val="auto"/>
          <w:highlight w:val="none"/>
          <w:u w:val="none"/>
        </w:rPr>
        <w:t>排放源识别</w:t>
      </w:r>
    </w:p>
    <w:p w14:paraId="4A161A50">
      <w:pPr>
        <w:pStyle w:val="981"/>
        <w:rPr>
          <w:rFonts w:hint="eastAsia"/>
          <w:color w:val="auto"/>
          <w:highlight w:val="none"/>
          <w:u w:val="none"/>
        </w:rPr>
      </w:pPr>
      <w:r>
        <w:rPr>
          <w:rFonts w:hint="eastAsia"/>
          <w:color w:val="auto"/>
          <w:highlight w:val="none"/>
          <w:u w:val="none"/>
        </w:rPr>
        <w:t>根据《中国化工生产企业温室气体排放核算方法与报告指南》（试行），碳排放源包括直接排放和间接排放，直接排放源可分为燃料燃烧碳排放源和工业过程碳排放源两大类，间接排放源主要包括净调入电力。</w:t>
      </w:r>
    </w:p>
    <w:p w14:paraId="4CFC5BA2">
      <w:pPr>
        <w:pStyle w:val="7"/>
        <w:spacing w:before="156"/>
        <w:rPr>
          <w:color w:val="auto"/>
          <w:highlight w:val="none"/>
          <w:u w:val="none"/>
        </w:rPr>
      </w:pPr>
      <w:r>
        <w:rPr>
          <w:rFonts w:hint="eastAsia"/>
          <w:color w:val="auto"/>
          <w:highlight w:val="none"/>
          <w:u w:val="none"/>
        </w:rPr>
        <w:t>碳排放总量与强度计算</w:t>
      </w:r>
    </w:p>
    <w:p w14:paraId="08543743">
      <w:pPr>
        <w:widowControl/>
        <w:rPr>
          <w:rFonts w:hAnsi="Times New Roman"/>
          <w:color w:val="auto"/>
          <w:highlight w:val="none"/>
          <w:u w:val="none"/>
        </w:rPr>
      </w:pPr>
      <w:r>
        <w:rPr>
          <w:rFonts w:hint="eastAsia" w:hAnsi="Times New Roman"/>
          <w:color w:val="auto"/>
          <w:highlight w:val="none"/>
          <w:u w:val="none"/>
        </w:rPr>
        <w:t>企业温室气体（</w:t>
      </w:r>
      <w:r>
        <w:rPr>
          <w:rFonts w:hAnsi="Times New Roman"/>
          <w:color w:val="auto"/>
          <w:highlight w:val="none"/>
          <w:u w:val="none"/>
        </w:rPr>
        <w:t>GHG）排放总量应等于燃料燃烧CO</w:t>
      </w:r>
      <w:r>
        <w:rPr>
          <w:rFonts w:hAnsi="Times New Roman"/>
          <w:color w:val="auto"/>
          <w:highlight w:val="none"/>
          <w:u w:val="none"/>
          <w:vertAlign w:val="subscript"/>
        </w:rPr>
        <w:t>2</w:t>
      </w:r>
      <w:r>
        <w:rPr>
          <w:rFonts w:hAnsi="Times New Roman"/>
          <w:color w:val="auto"/>
          <w:highlight w:val="none"/>
          <w:u w:val="none"/>
        </w:rPr>
        <w:t>排放量，加上火炬燃烧CO</w:t>
      </w:r>
      <w:r>
        <w:rPr>
          <w:rFonts w:hAnsi="Times New Roman"/>
          <w:color w:val="auto"/>
          <w:highlight w:val="none"/>
          <w:u w:val="none"/>
          <w:vertAlign w:val="subscript"/>
        </w:rPr>
        <w:t>2</w:t>
      </w:r>
      <w:r>
        <w:rPr>
          <w:rFonts w:hAnsi="Times New Roman"/>
          <w:color w:val="auto"/>
          <w:highlight w:val="none"/>
          <w:u w:val="none"/>
        </w:rPr>
        <w:t>排放量，加上工业生产过程CO</w:t>
      </w:r>
      <w:r>
        <w:rPr>
          <w:rFonts w:hAnsi="Times New Roman"/>
          <w:color w:val="auto"/>
          <w:highlight w:val="none"/>
          <w:u w:val="none"/>
          <w:vertAlign w:val="subscript"/>
        </w:rPr>
        <w:t>2</w:t>
      </w:r>
      <w:r>
        <w:rPr>
          <w:rFonts w:hAnsi="Times New Roman"/>
          <w:color w:val="auto"/>
          <w:highlight w:val="none"/>
          <w:u w:val="none"/>
        </w:rPr>
        <w:t>排放量，减去企业CO</w:t>
      </w:r>
      <w:r>
        <w:rPr>
          <w:rFonts w:hAnsi="Times New Roman"/>
          <w:color w:val="auto"/>
          <w:highlight w:val="none"/>
          <w:u w:val="none"/>
          <w:vertAlign w:val="subscript"/>
        </w:rPr>
        <w:t>2</w:t>
      </w:r>
      <w:r>
        <w:rPr>
          <w:rFonts w:hAnsi="Times New Roman"/>
          <w:color w:val="auto"/>
          <w:highlight w:val="none"/>
          <w:u w:val="none"/>
        </w:rPr>
        <w:t>回收利用量，再加上企业净购入电力和热力隐含的CO</w:t>
      </w:r>
      <w:r>
        <w:rPr>
          <w:rFonts w:hAnsi="Times New Roman"/>
          <w:color w:val="auto"/>
          <w:highlight w:val="none"/>
          <w:u w:val="none"/>
          <w:vertAlign w:val="subscript"/>
        </w:rPr>
        <w:t>2</w:t>
      </w:r>
      <w:r>
        <w:rPr>
          <w:rFonts w:hAnsi="Times New Roman"/>
          <w:color w:val="auto"/>
          <w:highlight w:val="none"/>
          <w:u w:val="none"/>
        </w:rPr>
        <w:t>排放量。</w:t>
      </w:r>
    </w:p>
    <w:p w14:paraId="21D8BDEA">
      <w:pPr>
        <w:pStyle w:val="981"/>
        <w:rPr>
          <w:rFonts w:hAnsi="Times New Roman"/>
          <w:color w:val="auto"/>
          <w:highlight w:val="none"/>
          <w:u w:val="none"/>
        </w:rPr>
      </w:pPr>
      <w:r>
        <w:rPr>
          <w:rFonts w:hAnsi="Times New Roman"/>
          <w:color w:val="auto"/>
          <w:position w:val="-14"/>
          <w:highlight w:val="none"/>
          <w:u w:val="none"/>
        </w:rPr>
        <w:object>
          <v:shape id="_x0000_i1025" o:spt="75" type="#_x0000_t75" style="height:18.4pt;width:327.35pt;" o:ole="t" filled="f" o:preferrelative="t" stroked="f" coordsize="21600,21600">
            <v:path/>
            <v:fill on="f" focussize="0,0"/>
            <v:stroke on="f" joinstyle="miter"/>
            <v:imagedata r:id="rId36" o:title=""/>
            <o:lock v:ext="edit" aspectratio="t"/>
            <w10:wrap type="none"/>
            <w10:anchorlock/>
          </v:shape>
          <o:OLEObject Type="Embed" ProgID="Equation.DSMT4" ShapeID="_x0000_i1025" DrawAspect="Content" ObjectID="_1468075725" r:id="rId35">
            <o:LockedField>false</o:LockedField>
          </o:OLEObject>
        </w:object>
      </w:r>
    </w:p>
    <w:p w14:paraId="12FA72CE">
      <w:pPr>
        <w:pStyle w:val="981"/>
        <w:rPr>
          <w:rFonts w:hAnsi="Times New Roman"/>
          <w:color w:val="auto"/>
          <w:highlight w:val="none"/>
          <w:u w:val="none"/>
        </w:rPr>
      </w:pPr>
      <w:r>
        <w:rPr>
          <w:rFonts w:hint="eastAsia" w:hAnsi="Times New Roman"/>
          <w:color w:val="auto"/>
          <w:highlight w:val="none"/>
          <w:u w:val="none"/>
        </w:rPr>
        <w:t>其中：</w:t>
      </w:r>
    </w:p>
    <w:p w14:paraId="2D13168A">
      <w:pPr>
        <w:pStyle w:val="981"/>
        <w:rPr>
          <w:rFonts w:hint="eastAsia"/>
          <w:color w:val="auto"/>
          <w:highlight w:val="none"/>
          <w:u w:val="none"/>
        </w:rPr>
      </w:pPr>
      <w:r>
        <w:rPr>
          <w:color w:val="auto"/>
          <w:position w:val="-12"/>
          <w:highlight w:val="none"/>
          <w:u w:val="none"/>
        </w:rPr>
        <w:object>
          <v:shape id="_x0000_i1026" o:spt="75" type="#_x0000_t75" style="height:18.4pt;width:26.8pt;" o:ole="t" filled="f" o:preferrelative="t" stroked="f" coordsize="21600,21600">
            <v:path/>
            <v:fill on="f" focussize="0,0"/>
            <v:stroke on="f" joinstyle="miter"/>
            <v:imagedata r:id="rId38" o:title=""/>
            <o:lock v:ext="edit" aspectratio="t"/>
            <w10:wrap type="none"/>
            <w10:anchorlock/>
          </v:shape>
          <o:OLEObject Type="Embed" ProgID="Equation.DSMT4" ShapeID="_x0000_i1026" DrawAspect="Content" ObjectID="_1468075726" r:id="rId37">
            <o:LockedField>false</o:LockedField>
          </o:OLEObject>
        </w:object>
      </w:r>
      <w:r>
        <w:rPr>
          <w:rFonts w:hint="eastAsia"/>
          <w:color w:val="auto"/>
          <w:highlight w:val="none"/>
          <w:u w:val="none"/>
        </w:rPr>
        <w:t>为企业温室气体排放总量，单位为吨</w:t>
      </w:r>
      <w:r>
        <w:rPr>
          <w:color w:val="auto"/>
          <w:highlight w:val="none"/>
          <w:u w:val="none"/>
        </w:rPr>
        <w:t>CO</w:t>
      </w:r>
      <w:r>
        <w:rPr>
          <w:color w:val="auto"/>
          <w:highlight w:val="none"/>
          <w:u w:val="none"/>
          <w:vertAlign w:val="subscript"/>
        </w:rPr>
        <w:t>2</w:t>
      </w:r>
      <w:r>
        <w:rPr>
          <w:color w:val="auto"/>
          <w:highlight w:val="none"/>
          <w:u w:val="none"/>
        </w:rPr>
        <w:t>当量；</w:t>
      </w:r>
    </w:p>
    <w:p w14:paraId="50546D78">
      <w:pPr>
        <w:pStyle w:val="981"/>
        <w:rPr>
          <w:rFonts w:hint="eastAsia"/>
          <w:color w:val="auto"/>
          <w:highlight w:val="none"/>
          <w:u w:val="none"/>
        </w:rPr>
      </w:pPr>
      <w:r>
        <w:rPr>
          <w:color w:val="auto"/>
          <w:position w:val="-14"/>
          <w:highlight w:val="none"/>
          <w:u w:val="none"/>
        </w:rPr>
        <w:object>
          <v:shape id="_x0000_i1027" o:spt="75" type="#_x0000_t75" style="height:18.4pt;width:42.7pt;" o:ole="t" filled="f" o:preferrelative="t" stroked="f" coordsize="21600,21600">
            <v:path/>
            <v:fill on="f" focussize="0,0"/>
            <v:stroke on="f" joinstyle="miter"/>
            <v:imagedata r:id="rId40" o:title=""/>
            <o:lock v:ext="edit" aspectratio="t"/>
            <w10:wrap type="none"/>
            <w10:anchorlock/>
          </v:shape>
          <o:OLEObject Type="Embed" ProgID="Equation.DSMT4" ShapeID="_x0000_i1027" DrawAspect="Content" ObjectID="_1468075727" r:id="rId39">
            <o:LockedField>false</o:LockedField>
          </o:OLEObject>
        </w:object>
      </w:r>
      <w:r>
        <w:rPr>
          <w:rFonts w:hint="eastAsia"/>
          <w:color w:val="auto"/>
          <w:highlight w:val="none"/>
          <w:u w:val="none"/>
        </w:rPr>
        <w:t>燃烧为企业由于化石燃料燃烧活动产生的</w:t>
      </w:r>
      <w:r>
        <w:rPr>
          <w:color w:val="auto"/>
          <w:highlight w:val="none"/>
          <w:u w:val="none"/>
        </w:rPr>
        <w:t>CO</w:t>
      </w:r>
      <w:r>
        <w:rPr>
          <w:color w:val="auto"/>
          <w:highlight w:val="none"/>
          <w:u w:val="none"/>
          <w:vertAlign w:val="subscript"/>
        </w:rPr>
        <w:t>2</w:t>
      </w:r>
      <w:r>
        <w:rPr>
          <w:color w:val="auto"/>
          <w:highlight w:val="none"/>
          <w:u w:val="none"/>
        </w:rPr>
        <w:t>排放，单位为吨CO</w:t>
      </w:r>
      <w:r>
        <w:rPr>
          <w:color w:val="auto"/>
          <w:highlight w:val="none"/>
          <w:u w:val="none"/>
          <w:vertAlign w:val="subscript"/>
        </w:rPr>
        <w:t>2</w:t>
      </w:r>
      <w:r>
        <w:rPr>
          <w:color w:val="auto"/>
          <w:highlight w:val="none"/>
          <w:u w:val="none"/>
        </w:rPr>
        <w:t>；</w:t>
      </w:r>
    </w:p>
    <w:p w14:paraId="51F87D6B">
      <w:pPr>
        <w:pStyle w:val="981"/>
        <w:rPr>
          <w:rFonts w:hint="eastAsia"/>
          <w:color w:val="auto"/>
          <w:highlight w:val="none"/>
          <w:u w:val="none"/>
        </w:rPr>
      </w:pPr>
      <w:r>
        <w:rPr>
          <w:color w:val="auto"/>
          <w:position w:val="-14"/>
          <w:highlight w:val="none"/>
          <w:u w:val="none"/>
        </w:rPr>
        <w:object>
          <v:shape id="_x0000_i1028" o:spt="75" type="#_x0000_t75" style="height:18.4pt;width:42.7pt;" o:ole="t" filled="f" o:preferrelative="t" stroked="f" coordsize="21600,21600">
            <v:path/>
            <v:fill on="f" focussize="0,0"/>
            <v:stroke on="f" joinstyle="miter"/>
            <v:imagedata r:id="rId42" o:title=""/>
            <o:lock v:ext="edit" aspectratio="t"/>
            <w10:wrap type="none"/>
            <w10:anchorlock/>
          </v:shape>
          <o:OLEObject Type="Embed" ProgID="Equation.DSMT4" ShapeID="_x0000_i1028" DrawAspect="Content" ObjectID="_1468075728" r:id="rId41">
            <o:LockedField>false</o:LockedField>
          </o:OLEObject>
        </w:object>
      </w:r>
      <w:r>
        <w:rPr>
          <w:rFonts w:hint="eastAsia"/>
          <w:color w:val="auto"/>
          <w:highlight w:val="none"/>
          <w:u w:val="none"/>
        </w:rPr>
        <w:t>火炬为企业火炬燃烧导致的</w:t>
      </w:r>
      <w:r>
        <w:rPr>
          <w:color w:val="auto"/>
          <w:highlight w:val="none"/>
          <w:u w:val="none"/>
        </w:rPr>
        <w:t>CO</w:t>
      </w:r>
      <w:r>
        <w:rPr>
          <w:color w:val="auto"/>
          <w:highlight w:val="none"/>
          <w:u w:val="none"/>
          <w:vertAlign w:val="subscript"/>
        </w:rPr>
        <w:t>2</w:t>
      </w:r>
      <w:r>
        <w:rPr>
          <w:color w:val="auto"/>
          <w:highlight w:val="none"/>
          <w:u w:val="none"/>
        </w:rPr>
        <w:t>直接排放，单位为吨CO</w:t>
      </w:r>
      <w:r>
        <w:rPr>
          <w:color w:val="auto"/>
          <w:highlight w:val="none"/>
          <w:u w:val="none"/>
          <w:vertAlign w:val="subscript"/>
        </w:rPr>
        <w:t>2</w:t>
      </w:r>
      <w:r>
        <w:rPr>
          <w:color w:val="auto"/>
          <w:highlight w:val="none"/>
          <w:u w:val="none"/>
        </w:rPr>
        <w:t>；</w:t>
      </w:r>
    </w:p>
    <w:p w14:paraId="44F05022">
      <w:pPr>
        <w:pStyle w:val="981"/>
        <w:rPr>
          <w:rFonts w:hint="eastAsia"/>
          <w:color w:val="auto"/>
          <w:highlight w:val="none"/>
          <w:u w:val="none"/>
        </w:rPr>
      </w:pPr>
      <w:r>
        <w:rPr>
          <w:color w:val="auto"/>
          <w:position w:val="-14"/>
          <w:highlight w:val="none"/>
          <w:u w:val="none"/>
        </w:rPr>
        <w:object>
          <v:shape id="_x0000_i1029" o:spt="75" type="#_x0000_t75" style="height:18.4pt;width:42.7pt;" o:ole="t" filled="f" o:preferrelative="t" stroked="f" coordsize="21600,21600">
            <v:path/>
            <v:fill on="f" focussize="0,0"/>
            <v:stroke on="f" joinstyle="miter"/>
            <v:imagedata r:id="rId44" o:title=""/>
            <o:lock v:ext="edit" aspectratio="t"/>
            <w10:wrap type="none"/>
            <w10:anchorlock/>
          </v:shape>
          <o:OLEObject Type="Embed" ProgID="Equation.DSMT4" ShapeID="_x0000_i1029" DrawAspect="Content" ObjectID="_1468075729" r:id="rId43">
            <o:LockedField>false</o:LockedField>
          </o:OLEObject>
        </w:object>
      </w:r>
      <w:r>
        <w:rPr>
          <w:rFonts w:hint="eastAsia"/>
          <w:color w:val="auto"/>
          <w:highlight w:val="none"/>
          <w:u w:val="none"/>
        </w:rPr>
        <w:t>过程为企业的工业生产过程</w:t>
      </w:r>
      <w:r>
        <w:rPr>
          <w:color w:val="auto"/>
          <w:highlight w:val="none"/>
          <w:u w:val="none"/>
        </w:rPr>
        <w:t>CO</w:t>
      </w:r>
      <w:r>
        <w:rPr>
          <w:color w:val="auto"/>
          <w:highlight w:val="none"/>
          <w:u w:val="none"/>
          <w:vertAlign w:val="subscript"/>
        </w:rPr>
        <w:t>2</w:t>
      </w:r>
      <w:r>
        <w:rPr>
          <w:color w:val="auto"/>
          <w:highlight w:val="none"/>
          <w:u w:val="none"/>
        </w:rPr>
        <w:t>排放，单位为吨CO</w:t>
      </w:r>
      <w:r>
        <w:rPr>
          <w:color w:val="auto"/>
          <w:highlight w:val="none"/>
          <w:u w:val="none"/>
          <w:vertAlign w:val="subscript"/>
        </w:rPr>
        <w:t>2</w:t>
      </w:r>
      <w:r>
        <w:rPr>
          <w:rFonts w:hint="eastAsia"/>
          <w:color w:val="auto"/>
          <w:highlight w:val="none"/>
          <w:u w:val="none"/>
        </w:rPr>
        <w:t>；</w:t>
      </w:r>
    </w:p>
    <w:p w14:paraId="523EEF28">
      <w:pPr>
        <w:pStyle w:val="981"/>
        <w:rPr>
          <w:rFonts w:hAnsi="Times New Roman"/>
          <w:color w:val="auto"/>
          <w:highlight w:val="none"/>
          <w:u w:val="none"/>
        </w:rPr>
      </w:pPr>
      <w:r>
        <w:rPr>
          <w:color w:val="auto"/>
          <w:position w:val="-14"/>
          <w:highlight w:val="none"/>
          <w:u w:val="none"/>
        </w:rPr>
        <w:object>
          <v:shape id="_x0000_i1030" o:spt="75" type="#_x0000_t75" style="height:18.4pt;width:41.85pt;" o:ole="t" filled="f" o:preferrelative="t" stroked="f" coordsize="21600,21600">
            <v:path/>
            <v:fill on="f" focussize="0,0"/>
            <v:stroke on="f" joinstyle="miter"/>
            <v:imagedata r:id="rId46" o:title=""/>
            <o:lock v:ext="edit" aspectratio="t"/>
            <w10:wrap type="none"/>
            <w10:anchorlock/>
          </v:shape>
          <o:OLEObject Type="Embed" ProgID="Equation.DSMT4" ShapeID="_x0000_i1030" DrawAspect="Content" ObjectID="_1468075730" r:id="rId45">
            <o:LockedField>false</o:LockedField>
          </o:OLEObject>
        </w:object>
      </w:r>
      <w:r>
        <w:rPr>
          <w:rFonts w:hint="eastAsia"/>
          <w:color w:val="auto"/>
          <w:highlight w:val="none"/>
          <w:u w:val="none"/>
        </w:rPr>
        <w:t>回收为企业的</w:t>
      </w:r>
      <w:r>
        <w:rPr>
          <w:color w:val="auto"/>
          <w:highlight w:val="none"/>
          <w:u w:val="none"/>
        </w:rPr>
        <w:t>CO</w:t>
      </w:r>
      <w:r>
        <w:rPr>
          <w:color w:val="auto"/>
          <w:highlight w:val="none"/>
          <w:u w:val="none"/>
          <w:vertAlign w:val="subscript"/>
        </w:rPr>
        <w:t>2</w:t>
      </w:r>
      <w:r>
        <w:rPr>
          <w:color w:val="auto"/>
          <w:highlight w:val="none"/>
          <w:u w:val="none"/>
        </w:rPr>
        <w:t>回收利用量，单位为吨CO</w:t>
      </w:r>
      <w:r>
        <w:rPr>
          <w:color w:val="auto"/>
          <w:highlight w:val="none"/>
          <w:u w:val="none"/>
          <w:vertAlign w:val="subscript"/>
        </w:rPr>
        <w:t>2</w:t>
      </w:r>
      <w:r>
        <w:rPr>
          <w:color w:val="auto"/>
          <w:highlight w:val="none"/>
          <w:u w:val="none"/>
        </w:rPr>
        <w:t>；</w:t>
      </w:r>
    </w:p>
    <w:p w14:paraId="5369C452">
      <w:pPr>
        <w:pStyle w:val="981"/>
        <w:rPr>
          <w:rFonts w:hint="eastAsia"/>
          <w:color w:val="auto"/>
          <w:highlight w:val="none"/>
          <w:u w:val="none"/>
        </w:rPr>
      </w:pPr>
      <w:r>
        <w:rPr>
          <w:color w:val="auto"/>
          <w:position w:val="-14"/>
          <w:highlight w:val="none"/>
          <w:u w:val="none"/>
        </w:rPr>
        <w:object>
          <v:shape id="_x0000_i1031" o:spt="75" type="#_x0000_t75" style="height:18.4pt;width:42.7pt;" o:ole="t" filled="f" o:preferrelative="t" stroked="f" coordsize="21600,21600">
            <v:path/>
            <v:fill on="f" focussize="0,0"/>
            <v:stroke on="f" joinstyle="miter"/>
            <v:imagedata r:id="rId48" o:title=""/>
            <o:lock v:ext="edit" aspectratio="t"/>
            <w10:wrap type="none"/>
            <w10:anchorlock/>
          </v:shape>
          <o:OLEObject Type="Embed" ProgID="Equation.DSMT4" ShapeID="_x0000_i1031" DrawAspect="Content" ObjectID="_1468075731" r:id="rId47">
            <o:LockedField>false</o:LockedField>
          </o:OLEObject>
        </w:object>
      </w:r>
      <w:r>
        <w:rPr>
          <w:rFonts w:hint="eastAsia"/>
          <w:color w:val="auto"/>
          <w:highlight w:val="none"/>
          <w:u w:val="none"/>
        </w:rPr>
        <w:t>净电为企业的净购入电力隐含的</w:t>
      </w:r>
      <w:r>
        <w:rPr>
          <w:color w:val="auto"/>
          <w:highlight w:val="none"/>
          <w:u w:val="none"/>
        </w:rPr>
        <w:t>CO</w:t>
      </w:r>
      <w:r>
        <w:rPr>
          <w:color w:val="auto"/>
          <w:highlight w:val="none"/>
          <w:u w:val="none"/>
          <w:vertAlign w:val="subscript"/>
        </w:rPr>
        <w:t>2</w:t>
      </w:r>
      <w:r>
        <w:rPr>
          <w:color w:val="auto"/>
          <w:highlight w:val="none"/>
          <w:u w:val="none"/>
        </w:rPr>
        <w:t>排放，单位为吨CO</w:t>
      </w:r>
      <w:r>
        <w:rPr>
          <w:color w:val="auto"/>
          <w:highlight w:val="none"/>
          <w:u w:val="none"/>
          <w:vertAlign w:val="subscript"/>
        </w:rPr>
        <w:t>2</w:t>
      </w:r>
      <w:r>
        <w:rPr>
          <w:color w:val="auto"/>
          <w:highlight w:val="none"/>
          <w:u w:val="none"/>
        </w:rPr>
        <w:t>；</w:t>
      </w:r>
    </w:p>
    <w:p w14:paraId="1B9D621F">
      <w:pPr>
        <w:pStyle w:val="981"/>
        <w:rPr>
          <w:rFonts w:hAnsi="Times New Roman"/>
          <w:color w:val="auto"/>
          <w:highlight w:val="none"/>
          <w:u w:val="none"/>
        </w:rPr>
      </w:pPr>
      <w:r>
        <w:rPr>
          <w:color w:val="auto"/>
          <w:position w:val="-14"/>
          <w:highlight w:val="none"/>
          <w:u w:val="none"/>
        </w:rPr>
        <w:object>
          <v:shape id="_x0000_i1032" o:spt="75" type="#_x0000_t75" style="height:18.4pt;width:42.7pt;" o:ole="t" filled="f" o:preferrelative="t" stroked="f" coordsize="21600,21600">
            <v:path/>
            <v:fill on="f" focussize="0,0"/>
            <v:stroke on="f" joinstyle="miter"/>
            <v:imagedata r:id="rId50" o:title=""/>
            <o:lock v:ext="edit" aspectratio="t"/>
            <w10:wrap type="none"/>
            <w10:anchorlock/>
          </v:shape>
          <o:OLEObject Type="Embed" ProgID="Equation.DSMT4" ShapeID="_x0000_i1032" DrawAspect="Content" ObjectID="_1468075732" r:id="rId49">
            <o:LockedField>false</o:LockedField>
          </o:OLEObject>
        </w:object>
      </w:r>
      <w:r>
        <w:rPr>
          <w:rFonts w:hint="eastAsia"/>
          <w:color w:val="auto"/>
          <w:highlight w:val="none"/>
          <w:u w:val="none"/>
        </w:rPr>
        <w:t>净热为企业的净购入热力隐含的</w:t>
      </w:r>
      <w:r>
        <w:rPr>
          <w:color w:val="auto"/>
          <w:highlight w:val="none"/>
          <w:u w:val="none"/>
        </w:rPr>
        <w:t>CO</w:t>
      </w:r>
      <w:r>
        <w:rPr>
          <w:color w:val="auto"/>
          <w:highlight w:val="none"/>
          <w:u w:val="none"/>
          <w:vertAlign w:val="subscript"/>
        </w:rPr>
        <w:t>2</w:t>
      </w:r>
      <w:r>
        <w:rPr>
          <w:color w:val="auto"/>
          <w:highlight w:val="none"/>
          <w:u w:val="none"/>
        </w:rPr>
        <w:t>排放，单位为吨CO</w:t>
      </w:r>
      <w:r>
        <w:rPr>
          <w:color w:val="auto"/>
          <w:highlight w:val="none"/>
          <w:u w:val="none"/>
          <w:vertAlign w:val="subscript"/>
        </w:rPr>
        <w:t>2</w:t>
      </w:r>
      <w:r>
        <w:rPr>
          <w:color w:val="auto"/>
          <w:highlight w:val="none"/>
          <w:u w:val="none"/>
        </w:rPr>
        <w:t>。</w:t>
      </w:r>
    </w:p>
    <w:p w14:paraId="7FC9FB0D">
      <w:pPr>
        <w:pStyle w:val="981"/>
        <w:rPr>
          <w:rFonts w:hAnsi="Times New Roman"/>
          <w:color w:val="auto"/>
          <w:highlight w:val="none"/>
          <w:u w:val="none"/>
          <w:lang w:val="en-US"/>
        </w:rPr>
      </w:pPr>
      <w:r>
        <w:rPr>
          <w:rFonts w:hAnsi="Times New Roman"/>
          <w:color w:val="auto"/>
          <w:highlight w:val="none"/>
          <w:u w:val="none"/>
          <w:lang w:val="en-US"/>
        </w:rPr>
        <w:t>（</w:t>
      </w:r>
      <w:r>
        <w:rPr>
          <w:rFonts w:hint="eastAsia" w:hAnsi="Times New Roman"/>
          <w:color w:val="auto"/>
          <w:highlight w:val="none"/>
          <w:u w:val="none"/>
          <w:lang w:val="en-US"/>
        </w:rPr>
        <w:t>1</w:t>
      </w:r>
      <w:r>
        <w:rPr>
          <w:rFonts w:hAnsi="Times New Roman"/>
          <w:color w:val="auto"/>
          <w:highlight w:val="none"/>
          <w:u w:val="none"/>
          <w:lang w:val="en-US"/>
        </w:rPr>
        <w:t>）</w:t>
      </w:r>
      <w:r>
        <w:rPr>
          <w:rFonts w:hint="eastAsia" w:hAnsi="Times New Roman"/>
          <w:color w:val="auto"/>
          <w:highlight w:val="none"/>
          <w:u w:val="none"/>
          <w:lang w:val="en-US"/>
        </w:rPr>
        <w:t>燃料燃烧排放核算</w:t>
      </w:r>
    </w:p>
    <w:p w14:paraId="02B11FFB">
      <w:pPr>
        <w:pStyle w:val="981"/>
        <w:rPr>
          <w:rFonts w:hAnsi="Times New Roman"/>
          <w:color w:val="auto"/>
          <w:highlight w:val="none"/>
          <w:u w:val="none"/>
          <w:lang w:val="en-US"/>
        </w:rPr>
      </w:pPr>
      <w:r>
        <w:rPr>
          <w:rFonts w:hint="eastAsia" w:hAnsi="Times New Roman"/>
          <w:color w:val="auto"/>
          <w:highlight w:val="none"/>
          <w:u w:val="none"/>
          <w:lang w:val="en-US"/>
        </w:rPr>
        <w:t>根据石化核算指南的要求，燃料燃烧排放计算如下：</w:t>
      </w:r>
    </w:p>
    <w:p w14:paraId="60249635">
      <w:pPr>
        <w:pStyle w:val="981"/>
        <w:jc w:val="center"/>
        <w:rPr>
          <w:rFonts w:hAnsi="Times New Roman"/>
          <w:color w:val="auto"/>
          <w:highlight w:val="none"/>
          <w:u w:val="none"/>
          <w:lang w:val="en-US"/>
        </w:rPr>
      </w:pPr>
      <w:r>
        <w:rPr>
          <w:color w:val="auto"/>
          <w:position w:val="-24"/>
          <w:highlight w:val="none"/>
          <w:u w:val="none"/>
        </w:rPr>
        <w:object>
          <v:shape id="_x0000_i1033" o:spt="75" type="#_x0000_t75" style="height:31.8pt;width:216.85pt;" o:ole="t" filled="f" o:preferrelative="t" stroked="f" coordsize="21600,21600">
            <v:path/>
            <v:fill on="f" focussize="0,0"/>
            <v:stroke on="f" joinstyle="miter"/>
            <v:imagedata r:id="rId52" o:title=""/>
            <o:lock v:ext="edit" aspectratio="t"/>
            <w10:wrap type="none"/>
            <w10:anchorlock/>
          </v:shape>
          <o:OLEObject Type="Embed" ProgID="Equation.DSMT4" ShapeID="_x0000_i1033" DrawAspect="Content" ObjectID="_1468075733" r:id="rId51">
            <o:LockedField>false</o:LockedField>
          </o:OLEObject>
        </w:object>
      </w:r>
    </w:p>
    <w:p w14:paraId="76A347AB">
      <w:pPr>
        <w:pStyle w:val="981"/>
        <w:rPr>
          <w:rFonts w:hAnsi="Times New Roman"/>
          <w:color w:val="auto"/>
          <w:highlight w:val="none"/>
          <w:u w:val="none"/>
          <w:lang w:val="en-US"/>
        </w:rPr>
      </w:pPr>
      <w:r>
        <w:rPr>
          <w:rFonts w:hint="eastAsia" w:hAnsi="Times New Roman"/>
          <w:color w:val="auto"/>
          <w:highlight w:val="none"/>
          <w:u w:val="none"/>
          <w:lang w:val="en-US"/>
        </w:rPr>
        <w:t>其中：</w:t>
      </w:r>
    </w:p>
    <w:p w14:paraId="710168D9">
      <w:pPr>
        <w:pStyle w:val="981"/>
        <w:rPr>
          <w:rFonts w:hint="eastAsia"/>
          <w:color w:val="auto"/>
          <w:highlight w:val="none"/>
          <w:u w:val="none"/>
        </w:rPr>
      </w:pPr>
      <w:r>
        <w:rPr>
          <w:color w:val="auto"/>
          <w:position w:val="-14"/>
          <w:highlight w:val="none"/>
          <w:u w:val="none"/>
        </w:rPr>
        <w:object>
          <v:shape id="_x0000_i1034" o:spt="75" type="#_x0000_t75" style="height:18.4pt;width:42.7pt;" o:ole="t" filled="f" o:preferrelative="t" stroked="f" coordsize="21600,21600">
            <v:path/>
            <v:fill on="f" focussize="0,0"/>
            <v:stroke on="f" joinstyle="miter"/>
            <v:imagedata r:id="rId40" o:title=""/>
            <o:lock v:ext="edit" aspectratio="t"/>
            <w10:wrap type="none"/>
            <w10:anchorlock/>
          </v:shape>
          <o:OLEObject Type="Embed" ProgID="Equation.DSMT4" ShapeID="_x0000_i1034" DrawAspect="Content" ObjectID="_1468075734" r:id="rId53">
            <o:LockedField>false</o:LockedField>
          </o:OLEObject>
        </w:object>
      </w:r>
      <w:r>
        <w:rPr>
          <w:rFonts w:hint="eastAsia"/>
          <w:color w:val="auto"/>
          <w:highlight w:val="none"/>
          <w:u w:val="none"/>
        </w:rPr>
        <w:t>燃烧为企业由于化石燃料燃烧活动产生的</w:t>
      </w:r>
      <w:r>
        <w:rPr>
          <w:color w:val="auto"/>
          <w:highlight w:val="none"/>
          <w:u w:val="none"/>
        </w:rPr>
        <w:t>CO</w:t>
      </w:r>
      <w:r>
        <w:rPr>
          <w:color w:val="auto"/>
          <w:highlight w:val="none"/>
          <w:u w:val="none"/>
          <w:vertAlign w:val="subscript"/>
        </w:rPr>
        <w:t>2</w:t>
      </w:r>
      <w:r>
        <w:rPr>
          <w:color w:val="auto"/>
          <w:highlight w:val="none"/>
          <w:u w:val="none"/>
        </w:rPr>
        <w:t>排放，单位为吨CO</w:t>
      </w:r>
      <w:r>
        <w:rPr>
          <w:color w:val="auto"/>
          <w:highlight w:val="none"/>
          <w:u w:val="none"/>
          <w:vertAlign w:val="subscript"/>
        </w:rPr>
        <w:t>2</w:t>
      </w:r>
      <w:r>
        <w:rPr>
          <w:rFonts w:hint="eastAsia"/>
          <w:color w:val="auto"/>
          <w:highlight w:val="none"/>
          <w:u w:val="none"/>
        </w:rPr>
        <w:t>；</w:t>
      </w:r>
    </w:p>
    <w:p w14:paraId="5E20453E">
      <w:pPr>
        <w:pStyle w:val="981"/>
        <w:rPr>
          <w:rFonts w:hAnsi="Times New Roman"/>
          <w:color w:val="auto"/>
          <w:highlight w:val="none"/>
          <w:u w:val="none"/>
          <w:lang w:val="en-US"/>
        </w:rPr>
      </w:pPr>
      <w:r>
        <w:rPr>
          <w:rFonts w:hAnsi="Times New Roman"/>
          <w:color w:val="auto"/>
          <w:highlight w:val="none"/>
          <w:u w:val="none"/>
          <w:lang w:val="en-US"/>
        </w:rPr>
        <w:t>i为化石燃料的种类；</w:t>
      </w:r>
    </w:p>
    <w:p w14:paraId="170D3178">
      <w:pPr>
        <w:pStyle w:val="981"/>
        <w:rPr>
          <w:rFonts w:hAnsi="Times New Roman"/>
          <w:color w:val="auto"/>
          <w:highlight w:val="none"/>
          <w:u w:val="none"/>
          <w:lang w:val="en-US"/>
        </w:rPr>
      </w:pPr>
      <w:r>
        <w:rPr>
          <w:rFonts w:hAnsi="Times New Roman"/>
          <w:color w:val="auto"/>
          <w:highlight w:val="none"/>
          <w:u w:val="none"/>
          <w:lang w:val="en-US"/>
        </w:rPr>
        <w:t>j为燃烧设施序号；</w:t>
      </w:r>
    </w:p>
    <w:p w14:paraId="702F892E">
      <w:pPr>
        <w:pStyle w:val="981"/>
        <w:rPr>
          <w:rFonts w:hAnsi="Times New Roman"/>
          <w:color w:val="auto"/>
          <w:highlight w:val="none"/>
          <w:u w:val="none"/>
          <w:lang w:val="en-US"/>
        </w:rPr>
      </w:pPr>
      <w:r>
        <w:rPr>
          <w:color w:val="auto"/>
          <w:position w:val="-14"/>
          <w:highlight w:val="none"/>
          <w:u w:val="none"/>
        </w:rPr>
        <w:object>
          <v:shape id="_x0000_i1035" o:spt="75" type="#_x0000_t75" style="height:18.4pt;width:30.15pt;" o:ole="t" filled="f" o:preferrelative="t" stroked="f" coordsize="21600,21600">
            <v:path/>
            <v:fill on="f" focussize="0,0"/>
            <v:stroke on="f" joinstyle="miter"/>
            <v:imagedata r:id="rId55" o:title=""/>
            <o:lock v:ext="edit" aspectratio="t"/>
            <w10:wrap type="none"/>
            <w10:anchorlock/>
          </v:shape>
          <o:OLEObject Type="Embed" ProgID="Equation.DSMT4" ShapeID="_x0000_i1035" DrawAspect="Content" ObjectID="_1468075735" r:id="rId54">
            <o:LockedField>false</o:LockedField>
          </o:OLEObject>
        </w:object>
      </w:r>
      <w:r>
        <w:rPr>
          <w:rFonts w:hint="eastAsia"/>
          <w:color w:val="auto"/>
          <w:highlight w:val="none"/>
          <w:u w:val="none"/>
        </w:rPr>
        <w:t>为燃烧设施</w:t>
      </w:r>
      <w:r>
        <w:rPr>
          <w:color w:val="auto"/>
          <w:highlight w:val="none"/>
          <w:u w:val="none"/>
        </w:rPr>
        <w:t>j内燃烧的化石燃料品种i消费量，对固体或液体燃料以吨为单位，对其它气体燃料以气体燃料标准状况下的体积（万Nm</w:t>
      </w:r>
      <w:r>
        <w:rPr>
          <w:color w:val="auto"/>
          <w:highlight w:val="none"/>
          <w:u w:val="none"/>
          <w:vertAlign w:val="superscript"/>
        </w:rPr>
        <w:t>3</w:t>
      </w:r>
      <w:r>
        <w:rPr>
          <w:rFonts w:hint="eastAsia"/>
          <w:color w:val="auto"/>
          <w:highlight w:val="none"/>
          <w:u w:val="none"/>
        </w:rPr>
        <w:t>或t</w:t>
      </w:r>
      <w:r>
        <w:rPr>
          <w:color w:val="auto"/>
          <w:highlight w:val="none"/>
          <w:u w:val="none"/>
        </w:rPr>
        <w:t>）为单位，非标准状况下的体积需转化成标况下进行计算；</w:t>
      </w:r>
    </w:p>
    <w:p w14:paraId="6AAE9994">
      <w:pPr>
        <w:adjustRightInd w:val="0"/>
        <w:snapToGrid w:val="0"/>
        <w:jc w:val="left"/>
        <w:rPr>
          <w:rFonts w:hAnsi="Times New Roman"/>
          <w:color w:val="auto"/>
          <w:highlight w:val="none"/>
          <w:u w:val="none"/>
        </w:rPr>
      </w:pPr>
      <w:r>
        <w:rPr>
          <w:color w:val="auto"/>
          <w:position w:val="-14"/>
          <w:highlight w:val="none"/>
          <w:u w:val="none"/>
        </w:rPr>
        <w:object>
          <v:shape id="_x0000_i1036" o:spt="75" type="#_x0000_t75" style="height:18.4pt;width:30.15pt;" o:ole="t" filled="f" o:preferrelative="t" stroked="f" coordsize="21600,21600">
            <v:path/>
            <v:fill on="f" focussize="0,0"/>
            <v:stroke on="f" joinstyle="miter"/>
            <v:imagedata r:id="rId57" o:title=""/>
            <o:lock v:ext="edit" aspectratio="t"/>
            <w10:wrap type="none"/>
            <w10:anchorlock/>
          </v:shape>
          <o:OLEObject Type="Embed" ProgID="Equation.DSMT4" ShapeID="_x0000_i1036" DrawAspect="Content" ObjectID="_1468075736" r:id="rId56">
            <o:LockedField>false</o:LockedField>
          </o:OLEObject>
        </w:object>
      </w:r>
      <w:r>
        <w:rPr>
          <w:rFonts w:hAnsi="Times New Roman"/>
          <w:color w:val="auto"/>
          <w:highlight w:val="none"/>
          <w:u w:val="none"/>
        </w:rPr>
        <w:t>为设施j内燃烧的化石燃料i的含碳量，</w:t>
      </w:r>
      <w:r>
        <w:rPr>
          <w:rFonts w:hint="eastAsia" w:hAnsi="Times New Roman"/>
          <w:color w:val="auto"/>
          <w:highlight w:val="none"/>
          <w:u w:val="none"/>
        </w:rPr>
        <w:t>单位为tC/GJ</w:t>
      </w:r>
      <w:r>
        <w:rPr>
          <w:rFonts w:hAnsi="Times New Roman"/>
          <w:color w:val="auto"/>
          <w:highlight w:val="none"/>
          <w:u w:val="none"/>
        </w:rPr>
        <w:t>；</w:t>
      </w:r>
    </w:p>
    <w:p w14:paraId="4746A3F3">
      <w:pPr>
        <w:pStyle w:val="981"/>
        <w:rPr>
          <w:rFonts w:hAnsi="Times New Roman"/>
          <w:color w:val="auto"/>
          <w:highlight w:val="none"/>
          <w:u w:val="none"/>
          <w:lang w:val="en-US"/>
        </w:rPr>
      </w:pPr>
      <w:r>
        <w:rPr>
          <w:color w:val="auto"/>
          <w:position w:val="-14"/>
          <w:highlight w:val="none"/>
          <w:u w:val="none"/>
        </w:rPr>
        <w:object>
          <v:shape id="_x0000_i1037" o:spt="75" type="#_x0000_t75" style="height:18.4pt;width:30.15pt;" o:ole="t" filled="f" o:preferrelative="t" stroked="f" coordsize="21600,21600">
            <v:path/>
            <v:fill on="f" focussize="0,0"/>
            <v:stroke on="f" joinstyle="miter"/>
            <v:imagedata r:id="rId59" o:title=""/>
            <o:lock v:ext="edit" aspectratio="t"/>
            <w10:wrap type="none"/>
            <w10:anchorlock/>
          </v:shape>
          <o:OLEObject Type="Embed" ProgID="Equation.DSMT4" ShapeID="_x0000_i1037" DrawAspect="Content" ObjectID="_1468075737" r:id="rId58">
            <o:LockedField>false</o:LockedField>
          </o:OLEObject>
        </w:object>
      </w:r>
      <w:r>
        <w:rPr>
          <w:rFonts w:hint="eastAsia"/>
          <w:color w:val="auto"/>
          <w:highlight w:val="none"/>
          <w:u w:val="none"/>
        </w:rPr>
        <w:t>为燃烧的化石燃料</w:t>
      </w:r>
      <w:r>
        <w:rPr>
          <w:color w:val="auto"/>
          <w:highlight w:val="none"/>
          <w:u w:val="none"/>
        </w:rPr>
        <w:t>i的碳氧化率，取值范围为0～1。</w:t>
      </w:r>
    </w:p>
    <w:p w14:paraId="7C0C6B4E">
      <w:pPr>
        <w:pStyle w:val="981"/>
        <w:rPr>
          <w:rFonts w:hAnsi="Times New Roman"/>
          <w:color w:val="auto"/>
          <w:highlight w:val="none"/>
          <w:u w:val="none"/>
          <w:lang w:val="en-US"/>
        </w:rPr>
      </w:pPr>
      <w:r>
        <w:rPr>
          <w:rFonts w:hint="eastAsia" w:hAnsi="Times New Roman"/>
          <w:color w:val="auto"/>
          <w:highlight w:val="none"/>
          <w:u w:val="none"/>
          <w:lang w:val="en-US"/>
        </w:rPr>
        <w:t>企业燃料燃烧排放情况如下</w:t>
      </w:r>
      <w:r>
        <w:rPr>
          <w:rFonts w:hAnsi="Times New Roman"/>
          <w:color w:val="auto"/>
          <w:highlight w:val="none"/>
          <w:u w:val="none"/>
          <w:lang w:val="en-US"/>
        </w:rPr>
        <w:t>：</w:t>
      </w:r>
    </w:p>
    <w:p w14:paraId="1F3FE4D4">
      <w:pPr>
        <w:pStyle w:val="981"/>
        <w:rPr>
          <w:rFonts w:hAnsi="Times New Roman"/>
          <w:color w:val="auto"/>
          <w:highlight w:val="none"/>
          <w:u w:val="none"/>
        </w:rPr>
      </w:pPr>
      <w:bookmarkStart w:id="571" w:name="_Ref168062274"/>
      <w:r>
        <w:rPr>
          <w:rFonts w:hint="eastAsia" w:hAnsi="Times New Roman"/>
          <w:color w:val="auto"/>
          <w:highlight w:val="none"/>
          <w:u w:val="none"/>
          <w:lang w:eastAsia="zh-CN"/>
        </w:rPr>
        <w:t>（</w:t>
      </w:r>
      <w:r>
        <w:rPr>
          <w:rFonts w:hint="eastAsia" w:hAnsi="Times New Roman"/>
          <w:color w:val="auto"/>
          <w:highlight w:val="none"/>
          <w:u w:val="none"/>
          <w:lang w:val="en-US" w:eastAsia="zh-CN"/>
        </w:rPr>
        <w:t>2</w:t>
      </w:r>
      <w:r>
        <w:rPr>
          <w:rFonts w:hint="eastAsia" w:hAnsi="Times New Roman"/>
          <w:color w:val="auto"/>
          <w:highlight w:val="none"/>
          <w:u w:val="none"/>
          <w:lang w:eastAsia="zh-CN"/>
        </w:rPr>
        <w:t>）</w:t>
      </w:r>
      <w:r>
        <w:rPr>
          <w:rFonts w:hint="eastAsia" w:hAnsi="Times New Roman"/>
          <w:color w:val="auto"/>
          <w:highlight w:val="none"/>
          <w:u w:val="none"/>
        </w:rPr>
        <w:t>火炬燃烧排放</w:t>
      </w:r>
    </w:p>
    <w:p w14:paraId="713A6092">
      <w:pPr>
        <w:pStyle w:val="981"/>
        <w:rPr>
          <w:rFonts w:hAnsi="Times New Roman"/>
          <w:color w:val="auto"/>
          <w:highlight w:val="none"/>
          <w:u w:val="none"/>
        </w:rPr>
      </w:pPr>
      <w:r>
        <w:rPr>
          <w:rFonts w:hint="eastAsia" w:hAnsi="Times New Roman"/>
          <w:color w:val="auto"/>
          <w:highlight w:val="none"/>
          <w:u w:val="none"/>
        </w:rPr>
        <w:t>本项目未设置火炬系统，仅在应急工况下部分废气依托万华</w:t>
      </w:r>
      <w:r>
        <w:rPr>
          <w:rFonts w:hint="eastAsia" w:hAnsi="Times New Roman"/>
          <w:color w:val="auto"/>
          <w:highlight w:val="none"/>
          <w:u w:val="none"/>
          <w:lang w:val="en-US"/>
        </w:rPr>
        <w:t>环保科技</w:t>
      </w:r>
      <w:r>
        <w:rPr>
          <w:rFonts w:hint="eastAsia" w:hAnsi="Times New Roman"/>
          <w:color w:val="auto"/>
          <w:highlight w:val="none"/>
          <w:u w:val="none"/>
        </w:rPr>
        <w:t>公司火炬系统处置。</w:t>
      </w:r>
    </w:p>
    <w:p w14:paraId="6797ACC9">
      <w:pPr>
        <w:pStyle w:val="981"/>
        <w:rPr>
          <w:rFonts w:hAnsi="Times New Roman"/>
          <w:color w:val="auto"/>
          <w:highlight w:val="none"/>
          <w:u w:val="none"/>
        </w:rPr>
      </w:pPr>
      <w:r>
        <w:rPr>
          <w:rFonts w:hint="eastAsia" w:hAnsi="Times New Roman"/>
          <w:color w:val="auto"/>
          <w:highlight w:val="none"/>
          <w:u w:val="none"/>
          <w:lang w:eastAsia="zh-CN"/>
        </w:rPr>
        <w:t>（</w:t>
      </w:r>
      <w:r>
        <w:rPr>
          <w:rFonts w:hint="eastAsia" w:hAnsi="Times New Roman"/>
          <w:color w:val="auto"/>
          <w:highlight w:val="none"/>
          <w:u w:val="none"/>
          <w:lang w:val="en-US" w:eastAsia="zh-CN"/>
        </w:rPr>
        <w:t>3</w:t>
      </w:r>
      <w:r>
        <w:rPr>
          <w:rFonts w:hint="eastAsia" w:hAnsi="Times New Roman"/>
          <w:color w:val="auto"/>
          <w:highlight w:val="none"/>
          <w:u w:val="none"/>
          <w:lang w:eastAsia="zh-CN"/>
        </w:rPr>
        <w:t>）</w:t>
      </w:r>
      <w:r>
        <w:rPr>
          <w:rFonts w:hint="eastAsia" w:hAnsi="Times New Roman"/>
          <w:color w:val="auto"/>
          <w:highlight w:val="none"/>
          <w:u w:val="none"/>
        </w:rPr>
        <w:t>工业生产过程排放</w:t>
      </w:r>
    </w:p>
    <w:p w14:paraId="40CC7CA7">
      <w:pPr>
        <w:pStyle w:val="981"/>
        <w:rPr>
          <w:rFonts w:hAnsi="Times New Roman"/>
          <w:color w:val="auto"/>
          <w:highlight w:val="none"/>
          <w:u w:val="none"/>
        </w:rPr>
      </w:pPr>
      <w:r>
        <w:rPr>
          <w:rFonts w:hint="eastAsia" w:hAnsi="Times New Roman"/>
          <w:color w:val="auto"/>
          <w:highlight w:val="none"/>
          <w:u w:val="none"/>
        </w:rPr>
        <w:t>根据石化核算指南的要求，结合企业生产装置情况，工业生产过程涉及</w:t>
      </w:r>
      <w:r>
        <w:rPr>
          <w:rFonts w:hAnsi="Times New Roman"/>
          <w:color w:val="auto"/>
          <w:highlight w:val="none"/>
          <w:u w:val="none"/>
        </w:rPr>
        <w:t>CO</w:t>
      </w:r>
      <w:r>
        <w:rPr>
          <w:rFonts w:hAnsi="Times New Roman"/>
          <w:color w:val="auto"/>
          <w:highlight w:val="none"/>
          <w:u w:val="none"/>
          <w:vertAlign w:val="subscript"/>
        </w:rPr>
        <w:t>2</w:t>
      </w:r>
      <w:r>
        <w:rPr>
          <w:rFonts w:hAnsi="Times New Roman"/>
          <w:color w:val="auto"/>
          <w:highlight w:val="none"/>
          <w:u w:val="none"/>
        </w:rPr>
        <w:t>排放的有</w:t>
      </w:r>
      <w:r>
        <w:rPr>
          <w:rFonts w:hint="eastAsia" w:hAnsi="Times New Roman"/>
          <w:color w:val="auto"/>
          <w:highlight w:val="none"/>
          <w:u w:val="none"/>
        </w:rPr>
        <w:t>酸性废气、碱性废气、光化废气、TDA精制废气、ODCB储罐废气</w:t>
      </w:r>
      <w:r>
        <w:rPr>
          <w:rFonts w:hAnsi="Times New Roman"/>
          <w:color w:val="auto"/>
          <w:highlight w:val="none"/>
          <w:u w:val="none"/>
        </w:rPr>
        <w:t>，采用物料平衡法进行核算。</w:t>
      </w:r>
      <w:r>
        <w:rPr>
          <w:rFonts w:hint="eastAsia" w:hAnsi="Times New Roman"/>
          <w:color w:val="auto"/>
          <w:highlight w:val="none"/>
          <w:u w:val="none"/>
        </w:rPr>
        <w:t>核算结果见</w:t>
      </w:r>
      <w:r>
        <w:rPr>
          <w:rFonts w:hAnsi="Times New Roman"/>
          <w:color w:val="auto"/>
          <w:highlight w:val="none"/>
          <w:u w:val="none"/>
        </w:rPr>
        <w:fldChar w:fldCharType="begin"/>
      </w:r>
      <w:r>
        <w:rPr>
          <w:rFonts w:hAnsi="Times New Roman"/>
          <w:color w:val="auto"/>
          <w:highlight w:val="none"/>
          <w:u w:val="none"/>
        </w:rPr>
        <w:instrText xml:space="preserve"> </w:instrText>
      </w:r>
      <w:r>
        <w:rPr>
          <w:rFonts w:hint="eastAsia" w:hAnsi="Times New Roman"/>
          <w:color w:val="auto"/>
          <w:highlight w:val="none"/>
          <w:u w:val="none"/>
        </w:rPr>
        <w:instrText xml:space="preserve">REF _Ref168062575 \h</w:instrText>
      </w:r>
      <w:r>
        <w:rPr>
          <w:rFonts w:hAnsi="Times New Roman"/>
          <w:color w:val="auto"/>
          <w:highlight w:val="none"/>
          <w:u w:val="none"/>
        </w:rPr>
        <w:instrText xml:space="preserve">  \* MERGEFORMAT </w:instrText>
      </w:r>
      <w:r>
        <w:rPr>
          <w:rFonts w:hAnsi="Times New Roman"/>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8.8</w:t>
      </w:r>
      <w:r>
        <w:rPr>
          <w:color w:val="auto"/>
          <w:highlight w:val="none"/>
          <w:u w:val="none"/>
        </w:rPr>
        <w:fldChar w:fldCharType="end"/>
      </w:r>
      <w:r>
        <w:rPr>
          <w:color w:val="auto"/>
          <w:highlight w:val="none"/>
          <w:u w:val="none"/>
        </w:rPr>
        <w:noBreakHyphen/>
      </w:r>
      <w:r>
        <w:rPr>
          <w:color w:val="auto"/>
          <w:highlight w:val="none"/>
          <w:u w:val="none"/>
        </w:rPr>
        <w:t>8</w:t>
      </w:r>
      <w:r>
        <w:rPr>
          <w:rFonts w:hAnsi="Times New Roman"/>
          <w:color w:val="auto"/>
          <w:highlight w:val="none"/>
          <w:u w:val="none"/>
        </w:rPr>
        <w:fldChar w:fldCharType="end"/>
      </w:r>
      <w:r>
        <w:rPr>
          <w:rFonts w:hint="eastAsia" w:hAnsi="Times New Roman"/>
          <w:color w:val="auto"/>
          <w:highlight w:val="none"/>
          <w:u w:val="none"/>
        </w:rPr>
        <w:t>。</w:t>
      </w:r>
    </w:p>
    <w:bookmarkEnd w:id="571"/>
    <w:p w14:paraId="1F902CAC">
      <w:pPr>
        <w:pStyle w:val="981"/>
        <w:rPr>
          <w:rFonts w:hAnsi="Times New Roman"/>
          <w:color w:val="auto"/>
          <w:highlight w:val="none"/>
          <w:u w:val="none"/>
        </w:rPr>
      </w:pPr>
      <w:r>
        <w:rPr>
          <w:rFonts w:hint="eastAsia" w:hAnsi="Times New Roman"/>
          <w:color w:val="auto"/>
          <w:highlight w:val="none"/>
          <w:u w:val="none"/>
          <w:lang w:eastAsia="zh-CN"/>
        </w:rPr>
        <w:t>（</w:t>
      </w:r>
      <w:r>
        <w:rPr>
          <w:rFonts w:hint="eastAsia" w:hAnsi="Times New Roman"/>
          <w:color w:val="auto"/>
          <w:highlight w:val="none"/>
          <w:u w:val="none"/>
          <w:lang w:val="en-US" w:eastAsia="zh-CN"/>
        </w:rPr>
        <w:t>4</w:t>
      </w:r>
      <w:r>
        <w:rPr>
          <w:rFonts w:hint="eastAsia" w:hAnsi="Times New Roman"/>
          <w:color w:val="auto"/>
          <w:highlight w:val="none"/>
          <w:u w:val="none"/>
          <w:lang w:eastAsia="zh-CN"/>
        </w:rPr>
        <w:t>）</w:t>
      </w:r>
      <w:r>
        <w:rPr>
          <w:rFonts w:hAnsi="Times New Roman"/>
          <w:color w:val="auto"/>
          <w:highlight w:val="none"/>
          <w:u w:val="none"/>
        </w:rPr>
        <w:t>CO</w:t>
      </w:r>
      <w:r>
        <w:rPr>
          <w:rFonts w:hAnsi="Times New Roman"/>
          <w:color w:val="auto"/>
          <w:highlight w:val="none"/>
          <w:u w:val="none"/>
          <w:vertAlign w:val="subscript"/>
        </w:rPr>
        <w:t>2</w:t>
      </w:r>
      <w:r>
        <w:rPr>
          <w:rFonts w:hint="eastAsia" w:hAnsi="Times New Roman"/>
          <w:color w:val="auto"/>
          <w:highlight w:val="none"/>
          <w:u w:val="none"/>
        </w:rPr>
        <w:t>回收用量</w:t>
      </w:r>
    </w:p>
    <w:p w14:paraId="790E962D">
      <w:pPr>
        <w:pStyle w:val="981"/>
        <w:rPr>
          <w:rFonts w:hAnsi="Times New Roman"/>
          <w:color w:val="auto"/>
          <w:highlight w:val="none"/>
          <w:u w:val="none"/>
        </w:rPr>
      </w:pPr>
      <w:r>
        <w:rPr>
          <w:rFonts w:hint="eastAsia" w:hAnsi="Times New Roman"/>
          <w:color w:val="auto"/>
          <w:highlight w:val="none"/>
          <w:u w:val="none"/>
        </w:rPr>
        <w:t>生产过程无回收利用CO</w:t>
      </w:r>
      <w:r>
        <w:rPr>
          <w:rFonts w:hint="eastAsia" w:hAnsi="Times New Roman"/>
          <w:color w:val="auto"/>
          <w:highlight w:val="none"/>
          <w:u w:val="none"/>
          <w:vertAlign w:val="subscript"/>
        </w:rPr>
        <w:t>2</w:t>
      </w:r>
      <w:r>
        <w:rPr>
          <w:rFonts w:hint="eastAsia" w:hAnsi="Times New Roman"/>
          <w:color w:val="auto"/>
          <w:highlight w:val="none"/>
          <w:u w:val="none"/>
        </w:rPr>
        <w:t>环节，不涉及此项核算。</w:t>
      </w:r>
    </w:p>
    <w:p w14:paraId="3FA4386E">
      <w:pPr>
        <w:pStyle w:val="981"/>
        <w:rPr>
          <w:rFonts w:hAnsi="Times New Roman"/>
          <w:color w:val="auto"/>
          <w:highlight w:val="none"/>
          <w:u w:val="none"/>
        </w:rPr>
      </w:pPr>
      <w:r>
        <w:rPr>
          <w:rFonts w:hint="eastAsia" w:hAnsi="Times New Roman"/>
          <w:color w:val="auto"/>
          <w:highlight w:val="none"/>
          <w:u w:val="none"/>
          <w:lang w:eastAsia="zh-CN"/>
        </w:rPr>
        <w:t>（</w:t>
      </w:r>
      <w:r>
        <w:rPr>
          <w:rFonts w:hint="eastAsia" w:hAnsi="Times New Roman"/>
          <w:color w:val="auto"/>
          <w:highlight w:val="none"/>
          <w:u w:val="none"/>
          <w:lang w:val="en-US" w:eastAsia="zh-CN"/>
        </w:rPr>
        <w:t>5</w:t>
      </w:r>
      <w:r>
        <w:rPr>
          <w:rFonts w:hint="eastAsia" w:hAnsi="Times New Roman"/>
          <w:color w:val="auto"/>
          <w:highlight w:val="none"/>
          <w:u w:val="none"/>
          <w:lang w:eastAsia="zh-CN"/>
        </w:rPr>
        <w:t>）</w:t>
      </w:r>
      <w:r>
        <w:rPr>
          <w:rFonts w:hint="eastAsia" w:hAnsi="Times New Roman"/>
          <w:color w:val="auto"/>
          <w:highlight w:val="none"/>
          <w:u w:val="none"/>
        </w:rPr>
        <w:t>净购入电力和热力隐含的</w:t>
      </w:r>
      <w:r>
        <w:rPr>
          <w:rFonts w:hAnsi="Times New Roman"/>
          <w:color w:val="auto"/>
          <w:highlight w:val="none"/>
          <w:u w:val="none"/>
        </w:rPr>
        <w:t>CO</w:t>
      </w:r>
      <w:r>
        <w:rPr>
          <w:rFonts w:hAnsi="Times New Roman"/>
          <w:color w:val="auto"/>
          <w:highlight w:val="none"/>
          <w:u w:val="none"/>
          <w:vertAlign w:val="subscript"/>
        </w:rPr>
        <w:t>2</w:t>
      </w:r>
      <w:r>
        <w:rPr>
          <w:rFonts w:hAnsi="Times New Roman"/>
          <w:color w:val="auto"/>
          <w:highlight w:val="none"/>
          <w:u w:val="none"/>
        </w:rPr>
        <w:t>排放</w:t>
      </w:r>
    </w:p>
    <w:p w14:paraId="1A15A603">
      <w:pPr>
        <w:pStyle w:val="981"/>
        <w:rPr>
          <w:rFonts w:hAnsi="Times New Roman"/>
          <w:color w:val="auto"/>
          <w:highlight w:val="none"/>
          <w:u w:val="none"/>
          <w:lang w:val="en-US"/>
        </w:rPr>
      </w:pPr>
      <w:r>
        <w:rPr>
          <w:rFonts w:hAnsi="Times New Roman"/>
          <w:color w:val="auto"/>
          <w:highlight w:val="none"/>
          <w:u w:val="none"/>
        </w:rPr>
        <w:t>参照《温室气体排放核算与报告要求 第10部分：化工生产企业》（GB/T32151.10-2015）、《企业温室气体排放核算方法与报告指南 发电设施》等文件，本项目采用的电力、热力二氧化碳</w:t>
      </w:r>
      <w:r>
        <w:rPr>
          <w:rFonts w:hint="eastAsia" w:hAnsi="Times New Roman"/>
          <w:color w:val="auto"/>
          <w:highlight w:val="none"/>
          <w:u w:val="none"/>
        </w:rPr>
        <w:t>排放</w:t>
      </w:r>
      <w:r>
        <w:rPr>
          <w:rFonts w:hint="eastAsia" w:hAnsi="Times New Roman"/>
          <w:color w:val="auto"/>
          <w:highlight w:val="none"/>
          <w:u w:val="none"/>
          <w:lang w:val="en-US" w:eastAsia="zh-CN"/>
        </w:rPr>
        <w:t>核算</w:t>
      </w:r>
      <w:r>
        <w:rPr>
          <w:rFonts w:hAnsi="Times New Roman"/>
          <w:color w:val="auto"/>
          <w:highlight w:val="none"/>
          <w:u w:val="none"/>
        </w:rPr>
        <w:t>。</w:t>
      </w:r>
    </w:p>
    <w:p w14:paraId="64C6706E">
      <w:pPr>
        <w:pStyle w:val="6"/>
        <w:spacing w:before="156" w:after="156"/>
        <w:rPr>
          <w:color w:val="auto"/>
          <w:highlight w:val="none"/>
          <w:u w:val="none"/>
        </w:rPr>
      </w:pPr>
      <w:r>
        <w:rPr>
          <w:color w:val="auto"/>
          <w:highlight w:val="none"/>
          <w:u w:val="none"/>
        </w:rPr>
        <w:t>减排潜力分析</w:t>
      </w:r>
    </w:p>
    <w:p w14:paraId="2BD407D3">
      <w:pPr>
        <w:pStyle w:val="5"/>
        <w:ind w:firstLine="480"/>
        <w:rPr>
          <w:rFonts w:hint="eastAsia"/>
          <w:color w:val="auto"/>
          <w:highlight w:val="none"/>
          <w:u w:val="none"/>
        </w:rPr>
      </w:pPr>
      <w:r>
        <w:rPr>
          <w:rFonts w:hint="eastAsia"/>
          <w:color w:val="auto"/>
          <w:highlight w:val="none"/>
          <w:u w:val="none"/>
        </w:rPr>
        <w:t>本次技改</w:t>
      </w:r>
      <w:r>
        <w:rPr>
          <w:rFonts w:hint="eastAsia"/>
          <w:color w:val="auto"/>
          <w:highlight w:val="none"/>
          <w:u w:val="none"/>
          <w:lang w:val="en-US"/>
        </w:rPr>
        <w:t>扩能</w:t>
      </w:r>
      <w:r>
        <w:rPr>
          <w:rFonts w:hint="eastAsia"/>
          <w:color w:val="auto"/>
          <w:highlight w:val="none"/>
          <w:u w:val="none"/>
        </w:rPr>
        <w:t>采用先进的生产技术和设备，未采用国家明令禁止或淘汰的落后工艺、设备。本项目碳排放源主要包括燃料燃烧和购入电力热力排放，根据碳排放核算结果可知，对碳排放结果影响最大的为生产过程中的排放、其次为电力购入的排放。因此，在电力减排方面的潜力可以通过采用各种先进技术，降低物料消耗、减少生产中各种污染物的产生和排放；工艺流程紧凑、合理、顺畅，最大限度的缩短中间环节物流运距，并在工艺设计、设备选型、建筑材料、电气系统、节能管理等各方面采用节能措施。</w:t>
      </w:r>
    </w:p>
    <w:p w14:paraId="003CF7A8">
      <w:pPr>
        <w:pStyle w:val="6"/>
        <w:spacing w:before="156" w:after="156"/>
        <w:rPr>
          <w:color w:val="auto"/>
          <w:highlight w:val="none"/>
          <w:u w:val="none"/>
        </w:rPr>
      </w:pPr>
      <w:r>
        <w:rPr>
          <w:color w:val="auto"/>
          <w:highlight w:val="none"/>
          <w:u w:val="none"/>
        </w:rPr>
        <w:t>减污降碳措施及其可行性论证</w:t>
      </w:r>
    </w:p>
    <w:p w14:paraId="3DF59EE1">
      <w:pPr>
        <w:pStyle w:val="981"/>
        <w:rPr>
          <w:rFonts w:hint="eastAsia"/>
          <w:color w:val="auto"/>
          <w:highlight w:val="none"/>
          <w:u w:val="none"/>
        </w:rPr>
      </w:pPr>
      <w:r>
        <w:rPr>
          <w:rFonts w:hint="eastAsia"/>
          <w:color w:val="auto"/>
          <w:highlight w:val="none"/>
          <w:u w:val="none"/>
        </w:rPr>
        <w:t>本项目拟在工艺系统、电气系统、建筑设备等各方面采用一系列节能措施，可取得较为明显的节能效果。</w:t>
      </w:r>
    </w:p>
    <w:p w14:paraId="12DCF615">
      <w:pPr>
        <w:pStyle w:val="981"/>
        <w:rPr>
          <w:rFonts w:hint="eastAsia"/>
          <w:color w:val="auto"/>
          <w:highlight w:val="none"/>
          <w:u w:val="none"/>
        </w:rPr>
      </w:pPr>
      <w:r>
        <w:rPr>
          <w:rFonts w:hint="eastAsia"/>
          <w:color w:val="auto"/>
          <w:highlight w:val="none"/>
          <w:u w:val="none"/>
        </w:rPr>
        <w:t>（</w:t>
      </w:r>
      <w:r>
        <w:rPr>
          <w:color w:val="auto"/>
          <w:highlight w:val="none"/>
          <w:u w:val="none"/>
        </w:rPr>
        <w:t>1）工艺系统</w:t>
      </w:r>
    </w:p>
    <w:p w14:paraId="41D94B69">
      <w:pPr>
        <w:pStyle w:val="981"/>
        <w:rPr>
          <w:rFonts w:hint="eastAsia"/>
          <w:color w:val="auto"/>
          <w:highlight w:val="none"/>
          <w:u w:val="none"/>
        </w:rPr>
      </w:pPr>
      <w:r>
        <w:rPr>
          <w:rFonts w:hint="eastAsia"/>
          <w:color w:val="auto"/>
          <w:highlight w:val="none"/>
          <w:u w:val="none"/>
        </w:rPr>
        <w:t>①各生产装置设备均采用效率高、低损耗、节能产品，能有效提供能源利用率，减少二氧化碳排放强度。</w:t>
      </w:r>
    </w:p>
    <w:p w14:paraId="482ED56F">
      <w:pPr>
        <w:pStyle w:val="981"/>
        <w:rPr>
          <w:rFonts w:hint="eastAsia"/>
          <w:color w:val="auto"/>
          <w:highlight w:val="none"/>
          <w:u w:val="none"/>
        </w:rPr>
      </w:pPr>
      <w:r>
        <w:rPr>
          <w:rFonts w:hint="eastAsia"/>
          <w:color w:val="auto"/>
          <w:highlight w:val="none"/>
          <w:u w:val="none"/>
        </w:rPr>
        <w:t>②优化系统设计，提高生产装置运行经济性。设备、系统的布置在满足安全运行、方便检修的前提下，做到合理紧凑，以减少各种介质的能量损失。</w:t>
      </w:r>
    </w:p>
    <w:p w14:paraId="47BED871">
      <w:pPr>
        <w:pStyle w:val="981"/>
        <w:rPr>
          <w:rFonts w:hint="eastAsia"/>
          <w:color w:val="auto"/>
          <w:highlight w:val="none"/>
          <w:u w:val="none"/>
        </w:rPr>
      </w:pPr>
      <w:r>
        <w:rPr>
          <w:rFonts w:hint="eastAsia"/>
          <w:color w:val="auto"/>
          <w:highlight w:val="none"/>
          <w:u w:val="none"/>
        </w:rPr>
        <w:t>（</w:t>
      </w:r>
      <w:r>
        <w:rPr>
          <w:color w:val="auto"/>
          <w:highlight w:val="none"/>
          <w:u w:val="none"/>
        </w:rPr>
        <w:t>2）电气系统</w:t>
      </w:r>
    </w:p>
    <w:p w14:paraId="7F824E13">
      <w:pPr>
        <w:pStyle w:val="981"/>
        <w:rPr>
          <w:rFonts w:hint="eastAsia"/>
          <w:color w:val="auto"/>
          <w:highlight w:val="none"/>
          <w:u w:val="none"/>
        </w:rPr>
      </w:pPr>
      <w:r>
        <w:rPr>
          <w:rFonts w:hint="eastAsia"/>
          <w:color w:val="auto"/>
          <w:highlight w:val="none"/>
          <w:u w:val="none"/>
        </w:rPr>
        <w:t>①在厂用电设计中，拟选择优质、节能型、低损耗变压器，以减少能量损失；所有电动机均采用国家推荐的低耗高效产品。</w:t>
      </w:r>
    </w:p>
    <w:p w14:paraId="44FA25BD">
      <w:pPr>
        <w:pStyle w:val="981"/>
        <w:rPr>
          <w:rFonts w:hint="eastAsia"/>
          <w:color w:val="auto"/>
          <w:highlight w:val="none"/>
          <w:u w:val="none"/>
        </w:rPr>
      </w:pPr>
      <w:r>
        <w:rPr>
          <w:rFonts w:hint="eastAsia"/>
          <w:color w:val="auto"/>
          <w:highlight w:val="none"/>
          <w:u w:val="none"/>
        </w:rPr>
        <w:t>②照明选用节能型灯具，提高照明系统的功率因数，合理设置分组开关，室外照明采用光控。</w:t>
      </w:r>
    </w:p>
    <w:p w14:paraId="4B86A0CC">
      <w:pPr>
        <w:pStyle w:val="981"/>
        <w:rPr>
          <w:rFonts w:hint="eastAsia"/>
          <w:color w:val="auto"/>
          <w:highlight w:val="none"/>
          <w:u w:val="none"/>
        </w:rPr>
      </w:pPr>
      <w:r>
        <w:rPr>
          <w:rFonts w:hint="eastAsia"/>
          <w:color w:val="auto"/>
          <w:highlight w:val="none"/>
          <w:u w:val="none"/>
        </w:rPr>
        <w:t>③合理设计配电系统，避免大电流远距离配电，降低配电系统的损耗。电源及重要回路选用铜芯电缆。优化电缆通道，减小电缆总长，可同时减小电缆系统的负载损耗。</w:t>
      </w:r>
    </w:p>
    <w:p w14:paraId="06D3837C">
      <w:pPr>
        <w:pStyle w:val="981"/>
        <w:rPr>
          <w:rFonts w:hint="eastAsia"/>
          <w:color w:val="auto"/>
          <w:highlight w:val="none"/>
          <w:u w:val="none"/>
        </w:rPr>
      </w:pPr>
      <w:r>
        <w:rPr>
          <w:rFonts w:hint="eastAsia"/>
          <w:color w:val="auto"/>
          <w:highlight w:val="none"/>
          <w:u w:val="none"/>
        </w:rPr>
        <w:t>（</w:t>
      </w:r>
      <w:r>
        <w:rPr>
          <w:color w:val="auto"/>
          <w:highlight w:val="none"/>
          <w:u w:val="none"/>
        </w:rPr>
        <w:t>3）建筑节能</w:t>
      </w:r>
    </w:p>
    <w:p w14:paraId="7B67E98F">
      <w:pPr>
        <w:pStyle w:val="981"/>
        <w:rPr>
          <w:rFonts w:hint="eastAsia"/>
          <w:color w:val="auto"/>
          <w:highlight w:val="none"/>
          <w:u w:val="none"/>
        </w:rPr>
      </w:pPr>
      <w:r>
        <w:rPr>
          <w:rFonts w:hint="eastAsia"/>
          <w:color w:val="auto"/>
          <w:highlight w:val="none"/>
          <w:u w:val="none"/>
        </w:rPr>
        <w:t>①合理布置厂区总平面，选择最佳的建筑平面主朝向，充分利用冬季日照和夏季自然通风，改善建筑物室内热环境的设计。</w:t>
      </w:r>
    </w:p>
    <w:p w14:paraId="5C781805">
      <w:pPr>
        <w:pStyle w:val="981"/>
        <w:rPr>
          <w:rFonts w:hint="eastAsia"/>
          <w:color w:val="auto"/>
          <w:highlight w:val="none"/>
          <w:u w:val="none"/>
        </w:rPr>
      </w:pPr>
      <w:r>
        <w:rPr>
          <w:rFonts w:hint="eastAsia"/>
          <w:color w:val="auto"/>
          <w:highlight w:val="none"/>
          <w:u w:val="none"/>
        </w:rPr>
        <w:t>②合理控制建筑体型与窗墙面积比。外门窗是建筑能耗散失的最薄弱部位，其能耗占建筑总能耗的比例较大。所以，在保证日照、采光、通风等要求的前提下，尽量减小建筑物的外门窗洞口的面积。</w:t>
      </w:r>
    </w:p>
    <w:p w14:paraId="063E6870">
      <w:pPr>
        <w:pStyle w:val="981"/>
        <w:rPr>
          <w:rFonts w:hint="eastAsia"/>
          <w:color w:val="auto"/>
          <w:highlight w:val="none"/>
          <w:u w:val="none"/>
        </w:rPr>
      </w:pPr>
      <w:r>
        <w:rPr>
          <w:rFonts w:hint="eastAsia"/>
          <w:color w:val="auto"/>
          <w:highlight w:val="none"/>
          <w:u w:val="none"/>
        </w:rPr>
        <w:t>③加强屋面保温隔热的措施，选用密度较小，导热系数较高的保温材料，既避免屋面重量、厚度过大，又易于保温节能。</w:t>
      </w:r>
    </w:p>
    <w:p w14:paraId="23394464">
      <w:pPr>
        <w:pStyle w:val="981"/>
        <w:rPr>
          <w:rFonts w:hint="eastAsia"/>
          <w:color w:val="auto"/>
          <w:highlight w:val="none"/>
          <w:u w:val="none"/>
        </w:rPr>
      </w:pPr>
      <w:r>
        <w:rPr>
          <w:rFonts w:hint="eastAsia"/>
          <w:color w:val="auto"/>
          <w:highlight w:val="none"/>
          <w:u w:val="none"/>
        </w:rPr>
        <w:t>④建筑物墙体材料，将注意选择自重轻、导热系数小、保温性能好的材料；</w:t>
      </w:r>
    </w:p>
    <w:p w14:paraId="6701708A">
      <w:pPr>
        <w:pStyle w:val="981"/>
        <w:rPr>
          <w:rFonts w:hint="eastAsia"/>
          <w:color w:val="auto"/>
          <w:highlight w:val="none"/>
          <w:u w:val="none"/>
        </w:rPr>
      </w:pPr>
      <w:r>
        <w:rPr>
          <w:rFonts w:hint="eastAsia"/>
          <w:color w:val="auto"/>
          <w:highlight w:val="none"/>
          <w:u w:val="none"/>
        </w:rPr>
        <w:t>⑤建筑物的门窗将按规定选择国家或行业推荐的密封性能好的节能产品。</w:t>
      </w:r>
    </w:p>
    <w:p w14:paraId="3D475186">
      <w:pPr>
        <w:pStyle w:val="981"/>
        <w:rPr>
          <w:rFonts w:hint="eastAsia"/>
          <w:color w:val="auto"/>
          <w:highlight w:val="none"/>
          <w:u w:val="none"/>
        </w:rPr>
      </w:pPr>
      <w:r>
        <w:rPr>
          <w:rFonts w:hint="eastAsia"/>
          <w:color w:val="auto"/>
          <w:highlight w:val="none"/>
          <w:u w:val="none"/>
        </w:rPr>
        <w:t>（</w:t>
      </w:r>
      <w:r>
        <w:rPr>
          <w:color w:val="auto"/>
          <w:highlight w:val="none"/>
          <w:u w:val="none"/>
        </w:rPr>
        <w:t>4）热力节能</w:t>
      </w:r>
    </w:p>
    <w:p w14:paraId="740F5107">
      <w:pPr>
        <w:pStyle w:val="981"/>
        <w:rPr>
          <w:rFonts w:hint="eastAsia"/>
          <w:color w:val="auto"/>
          <w:highlight w:val="none"/>
          <w:u w:val="none"/>
        </w:rPr>
      </w:pPr>
      <w:r>
        <w:rPr>
          <w:rFonts w:hint="eastAsia"/>
          <w:color w:val="auto"/>
          <w:highlight w:val="none"/>
          <w:u w:val="none"/>
        </w:rPr>
        <w:t>为了减少管道及设备的散热损失，选用保温材料品种和确定保温结构。采用自力式流量调节阀，对蒸汽流量进行自动调节和控制，实现管网调度、运行、调节的自动监控。</w:t>
      </w:r>
    </w:p>
    <w:p w14:paraId="0AA46119">
      <w:pPr>
        <w:pStyle w:val="981"/>
        <w:rPr>
          <w:rFonts w:hint="eastAsia"/>
          <w:color w:val="auto"/>
          <w:highlight w:val="none"/>
          <w:u w:val="none"/>
        </w:rPr>
      </w:pPr>
      <w:r>
        <w:rPr>
          <w:rFonts w:hint="eastAsia"/>
          <w:color w:val="auto"/>
          <w:highlight w:val="none"/>
          <w:u w:val="none"/>
        </w:rPr>
        <w:t>（</w:t>
      </w:r>
      <w:r>
        <w:rPr>
          <w:color w:val="auto"/>
          <w:highlight w:val="none"/>
          <w:u w:val="none"/>
        </w:rPr>
        <w:t>5）给排水节能</w:t>
      </w:r>
    </w:p>
    <w:p w14:paraId="5F2DB0C1">
      <w:pPr>
        <w:pStyle w:val="981"/>
        <w:rPr>
          <w:rFonts w:hint="eastAsia"/>
          <w:color w:val="auto"/>
          <w:highlight w:val="none"/>
          <w:u w:val="none"/>
        </w:rPr>
      </w:pPr>
      <w:r>
        <w:rPr>
          <w:rFonts w:hint="eastAsia"/>
          <w:color w:val="auto"/>
          <w:highlight w:val="none"/>
          <w:u w:val="none"/>
        </w:rPr>
        <w:t>充分利用市政水压，在其压力范围内的配水点采用市政供水。站房位置尽量安排在用水集中点、合理进行管网布局，减少压损。各部门要根据生产及生活的实际情况，合理配置水表等计量装置，减少水资源浪费。要求各单元采用不用或少用水的工艺技术和设备。综合利用地表水、废水等水资源，提高供水保障率。</w:t>
      </w:r>
    </w:p>
    <w:p w14:paraId="76E2D08C">
      <w:pPr>
        <w:pStyle w:val="981"/>
        <w:rPr>
          <w:rFonts w:hint="eastAsia"/>
          <w:color w:val="auto"/>
          <w:highlight w:val="none"/>
          <w:u w:val="none"/>
        </w:rPr>
      </w:pPr>
      <w:r>
        <w:rPr>
          <w:rFonts w:hint="eastAsia"/>
          <w:color w:val="auto"/>
          <w:highlight w:val="none"/>
          <w:u w:val="none"/>
        </w:rPr>
        <w:t>选用合格的水泵、阀门、管道、管件以及卫生洁具，做到管路系统不发生渗漏和爆裂。采用管内壁光滑、阻力小的给水管材，给水水嘴采用密封新能好、能限制出流流率并经国家有关质量检测部门检测合格的节水水嘴。</w:t>
      </w:r>
    </w:p>
    <w:p w14:paraId="76679566">
      <w:pPr>
        <w:pStyle w:val="6"/>
        <w:spacing w:before="156" w:after="156"/>
        <w:rPr>
          <w:color w:val="auto"/>
          <w:highlight w:val="none"/>
          <w:u w:val="none"/>
        </w:rPr>
      </w:pPr>
      <w:r>
        <w:rPr>
          <w:color w:val="auto"/>
          <w:highlight w:val="none"/>
          <w:u w:val="none"/>
        </w:rPr>
        <w:t>碳排放水平评价</w:t>
      </w:r>
    </w:p>
    <w:p w14:paraId="6963F172">
      <w:pPr>
        <w:pStyle w:val="981"/>
        <w:spacing w:before="156" w:after="156"/>
      </w:pPr>
      <w:r>
        <w:rPr>
          <w:rFonts w:hint="eastAsia"/>
        </w:rPr>
        <w:t>本项目建成后的单位产品碳排放量为</w:t>
      </w:r>
      <w:r>
        <w:t>tCO</w:t>
      </w:r>
      <w:r>
        <w:rPr>
          <w:vertAlign w:val="subscript"/>
        </w:rPr>
        <w:t>2</w:t>
      </w:r>
      <w:r>
        <w:t>/t</w:t>
      </w:r>
      <w:r>
        <w:rPr>
          <w:rFonts w:hint="eastAsia"/>
        </w:rPr>
        <w:t>，较现有</w:t>
      </w:r>
      <w:r>
        <w:t>25</w:t>
      </w:r>
      <w:r>
        <w:rPr>
          <w:rFonts w:hint="eastAsia"/>
        </w:rPr>
        <w:t>万吨</w:t>
      </w:r>
      <w:r>
        <w:t>/</w:t>
      </w:r>
      <w:r>
        <w:rPr>
          <w:rFonts w:hint="eastAsia"/>
        </w:rPr>
        <w:t>年</w:t>
      </w:r>
      <w:r>
        <w:t>TDI</w:t>
      </w:r>
      <w:r>
        <w:rPr>
          <w:rFonts w:hint="eastAsia"/>
        </w:rPr>
        <w:t>项目的</w:t>
      </w:r>
      <w:r>
        <w:t>tCO</w:t>
      </w:r>
      <w:r>
        <w:rPr>
          <w:vertAlign w:val="subscript"/>
        </w:rPr>
        <w:t>2</w:t>
      </w:r>
      <w:r>
        <w:t>/t</w:t>
      </w:r>
      <w:r>
        <w:rPr>
          <w:rFonts w:hint="eastAsia"/>
        </w:rPr>
        <w:t>下降了</w:t>
      </w:r>
      <w:r>
        <w:t>%</w:t>
      </w:r>
      <w:r>
        <w:rPr>
          <w:rFonts w:hint="eastAsia"/>
        </w:rPr>
        <w:t>，较烟台</w:t>
      </w:r>
      <w:r>
        <w:t>30</w:t>
      </w:r>
      <w:r>
        <w:rPr>
          <w:rFonts w:hint="eastAsia"/>
        </w:rPr>
        <w:t>万吨</w:t>
      </w:r>
      <w:r>
        <w:t>/</w:t>
      </w:r>
      <w:r>
        <w:rPr>
          <w:rFonts w:hint="eastAsia"/>
        </w:rPr>
        <w:t>年</w:t>
      </w:r>
      <w:r>
        <w:t>TDI</w:t>
      </w:r>
      <w:r>
        <w:rPr>
          <w:rFonts w:hint="eastAsia"/>
        </w:rPr>
        <w:t>项目的</w:t>
      </w:r>
      <w:r>
        <w:t>tCO</w:t>
      </w:r>
      <w:r>
        <w:rPr>
          <w:vertAlign w:val="subscript"/>
        </w:rPr>
        <w:t>2</w:t>
      </w:r>
      <w:r>
        <w:t>/t</w:t>
      </w:r>
      <w:r>
        <w:rPr>
          <w:rFonts w:hint="eastAsia"/>
        </w:rPr>
        <w:t>下降了</w:t>
      </w:r>
      <w:r>
        <w:t>%</w:t>
      </w:r>
      <w:r>
        <w:rPr>
          <w:rFonts w:hint="eastAsia"/>
        </w:rPr>
        <w:t>，与36万吨/年TDI项目的</w:t>
      </w:r>
      <w:r>
        <w:t>tCO</w:t>
      </w:r>
      <w:r>
        <w:rPr>
          <w:vertAlign w:val="subscript"/>
        </w:rPr>
        <w:t>2</w:t>
      </w:r>
      <w:r>
        <w:t>/t</w:t>
      </w:r>
      <w:r>
        <w:rPr>
          <w:rFonts w:hint="eastAsia"/>
        </w:rPr>
        <w:t>相当。经查询《工业重点领域能效标杆水平和基准水平（</w:t>
      </w:r>
      <w:r>
        <w:t>2023</w:t>
      </w:r>
      <w:r>
        <w:rPr>
          <w:rFonts w:hint="eastAsia"/>
        </w:rPr>
        <w:t>年版）》、《福建省工业和信息化厅关于印发冶金、建材、石化化工行业“十四五”节能降碳实施方案的通知》（闽工信规〔</w:t>
      </w:r>
      <w:r>
        <w:t>2022</w:t>
      </w:r>
      <w:r>
        <w:rPr>
          <w:rFonts w:hint="eastAsia"/>
        </w:rPr>
        <w:t>〕</w:t>
      </w:r>
      <w:r>
        <w:t>1</w:t>
      </w:r>
      <w:r>
        <w:rPr>
          <w:rFonts w:hint="eastAsia"/>
        </w:rPr>
        <w:t>号），上述文件在石化化工行业、化学原料和化学制品制造业中未明确</w:t>
      </w:r>
      <w:r>
        <w:t>TDI</w:t>
      </w:r>
      <w:r>
        <w:rPr>
          <w:rFonts w:hint="eastAsia"/>
        </w:rPr>
        <w:t>重点领域的能效标杆水平和基准水平。根据“清洁生产”章节计算，本项目</w:t>
      </w:r>
      <w:r>
        <w:t>TDI</w:t>
      </w:r>
      <w:r>
        <w:rPr>
          <w:rFonts w:hint="eastAsia"/>
        </w:rPr>
        <w:t>单位产品能耗指标达到了《甲苯二异氰酸酯和二苯基甲烷二异氰酸酯单位产品能源消耗限额》（</w:t>
      </w:r>
      <w:r>
        <w:t>GB31830-2024</w:t>
      </w:r>
      <w:r>
        <w:rPr>
          <w:rFonts w:hint="eastAsia"/>
        </w:rPr>
        <w:t>）中的</w:t>
      </w:r>
      <w:r>
        <w:t>1</w:t>
      </w:r>
      <w:r>
        <w:rPr>
          <w:rFonts w:hint="eastAsia"/>
        </w:rPr>
        <w:t>级水平，且单位产品能耗低于现有</w:t>
      </w:r>
      <w:r>
        <w:t>25</w:t>
      </w:r>
      <w:r>
        <w:rPr>
          <w:rFonts w:hint="eastAsia"/>
        </w:rPr>
        <w:t>万吨</w:t>
      </w:r>
      <w:r>
        <w:t>/</w:t>
      </w:r>
      <w:r>
        <w:rPr>
          <w:rFonts w:hint="eastAsia"/>
        </w:rPr>
        <w:t>年</w:t>
      </w:r>
      <w:r>
        <w:t>TDI</w:t>
      </w:r>
      <w:r>
        <w:rPr>
          <w:rFonts w:hint="eastAsia"/>
        </w:rPr>
        <w:t>项目、烟台</w:t>
      </w:r>
      <w:r>
        <w:t>30</w:t>
      </w:r>
      <w:r>
        <w:rPr>
          <w:rFonts w:hint="eastAsia"/>
        </w:rPr>
        <w:t>万吨</w:t>
      </w:r>
      <w:r>
        <w:t>/</w:t>
      </w:r>
      <w:r>
        <w:rPr>
          <w:rFonts w:hint="eastAsia"/>
        </w:rPr>
        <w:t>年</w:t>
      </w:r>
      <w:r>
        <w:t>TDI</w:t>
      </w:r>
      <w:r>
        <w:rPr>
          <w:rFonts w:hint="eastAsia"/>
        </w:rPr>
        <w:t>项目，说明本项目能耗优于同行业，达到了先进水平，也说明本项目碳排放优于同行业平均水平。</w:t>
      </w:r>
    </w:p>
    <w:p w14:paraId="7EDB64B5">
      <w:pPr>
        <w:pStyle w:val="981"/>
        <w:rPr>
          <w:rFonts w:hint="eastAsia"/>
          <w:color w:val="auto"/>
          <w:highlight w:val="none"/>
          <w:u w:val="none"/>
        </w:rPr>
      </w:pPr>
      <w:r>
        <w:rPr>
          <w:rFonts w:hint="eastAsia"/>
          <w:color w:val="auto"/>
          <w:highlight w:val="none"/>
          <w:u w:val="none"/>
        </w:rPr>
        <w:t>本项目建设后对万华福建公司全厂的碳排放绩效具有一定优化作用。</w:t>
      </w:r>
    </w:p>
    <w:p w14:paraId="181393AC">
      <w:pPr>
        <w:pStyle w:val="6"/>
        <w:spacing w:before="156" w:after="156"/>
        <w:rPr>
          <w:color w:val="auto"/>
          <w:highlight w:val="none"/>
          <w:u w:val="none"/>
        </w:rPr>
      </w:pPr>
      <w:r>
        <w:rPr>
          <w:color w:val="auto"/>
          <w:highlight w:val="none"/>
          <w:u w:val="none"/>
        </w:rPr>
        <w:t>碳排放</w:t>
      </w:r>
      <w:r>
        <w:rPr>
          <w:rFonts w:hint="eastAsia"/>
          <w:color w:val="auto"/>
          <w:highlight w:val="none"/>
          <w:u w:val="none"/>
        </w:rPr>
        <w:t>控制措施及建议</w:t>
      </w:r>
    </w:p>
    <w:p w14:paraId="05C0B488">
      <w:pPr>
        <w:pStyle w:val="981"/>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1</w:t>
      </w:r>
      <w:r>
        <w:rPr>
          <w:rFonts w:hint="eastAsia"/>
          <w:b/>
          <w:bCs/>
          <w:color w:val="auto"/>
          <w:highlight w:val="none"/>
          <w:u w:val="none"/>
        </w:rPr>
        <w:t>）资源能源综合利用</w:t>
      </w:r>
    </w:p>
    <w:p w14:paraId="4CDA6AF2">
      <w:pPr>
        <w:pStyle w:val="981"/>
        <w:rPr>
          <w:rFonts w:hint="eastAsia"/>
          <w:color w:val="auto"/>
          <w:highlight w:val="none"/>
          <w:u w:val="none"/>
        </w:rPr>
      </w:pPr>
      <w:r>
        <w:rPr>
          <w:rFonts w:hint="eastAsia"/>
          <w:color w:val="auto"/>
          <w:highlight w:val="none"/>
          <w:u w:val="none"/>
        </w:rPr>
        <w:t>①余热梯级回收</w:t>
      </w:r>
    </w:p>
    <w:p w14:paraId="72459FD3">
      <w:pPr>
        <w:pStyle w:val="981"/>
        <w:rPr>
          <w:rFonts w:hint="eastAsia"/>
          <w:color w:val="auto"/>
          <w:highlight w:val="none"/>
          <w:u w:val="none"/>
        </w:rPr>
      </w:pPr>
      <w:r>
        <w:rPr>
          <w:rFonts w:hint="eastAsia"/>
          <w:color w:val="auto"/>
          <w:highlight w:val="none"/>
          <w:u w:val="none"/>
        </w:rPr>
        <w:t>建立反应余热回收系统，将高温蒸汽用于发电或供热，低温余热用于预热原料或供暖。采用热泵技术提升低品位热能利用率，减少蒸汽消耗。</w:t>
      </w:r>
    </w:p>
    <w:p w14:paraId="741160A7">
      <w:pPr>
        <w:pStyle w:val="981"/>
        <w:rPr>
          <w:rFonts w:hint="eastAsia"/>
          <w:color w:val="auto"/>
          <w:highlight w:val="none"/>
          <w:u w:val="none"/>
        </w:rPr>
      </w:pPr>
      <w:r>
        <w:rPr>
          <w:rFonts w:hint="eastAsia"/>
          <w:color w:val="auto"/>
          <w:highlight w:val="none"/>
          <w:u w:val="none"/>
        </w:rPr>
        <w:t>②副产物循环利用</w:t>
      </w:r>
    </w:p>
    <w:p w14:paraId="59B5E260">
      <w:pPr>
        <w:pStyle w:val="981"/>
        <w:rPr>
          <w:rFonts w:hint="eastAsia"/>
          <w:color w:val="auto"/>
          <w:highlight w:val="none"/>
          <w:u w:val="none"/>
        </w:rPr>
      </w:pPr>
      <w:r>
        <w:rPr>
          <w:rFonts w:hint="eastAsia"/>
          <w:color w:val="auto"/>
          <w:highlight w:val="none"/>
          <w:u w:val="none"/>
        </w:rPr>
        <w:t>回收氯化氢（</w:t>
      </w:r>
      <w:r>
        <w:rPr>
          <w:color w:val="auto"/>
          <w:highlight w:val="none"/>
          <w:u w:val="none"/>
        </w:rPr>
        <w:t>HCl</w:t>
      </w:r>
      <w:r>
        <w:rPr>
          <w:rFonts w:hint="eastAsia"/>
          <w:color w:val="auto"/>
          <w:highlight w:val="none"/>
          <w:u w:val="none"/>
        </w:rPr>
        <w:t>）副产物，用于生产盐酸或作为其他化工原料，减少废弃物排放。探索废催化剂再生技术，延长使用寿命。</w:t>
      </w:r>
    </w:p>
    <w:p w14:paraId="31BA5285">
      <w:pPr>
        <w:pStyle w:val="981"/>
        <w:rPr>
          <w:rFonts w:hint="eastAsia"/>
          <w:color w:val="auto"/>
          <w:highlight w:val="none"/>
          <w:u w:val="none"/>
        </w:rPr>
      </w:pPr>
      <w:r>
        <w:rPr>
          <w:rFonts w:hint="eastAsia"/>
          <w:color w:val="auto"/>
          <w:highlight w:val="none"/>
          <w:u w:val="none"/>
        </w:rPr>
        <w:t>③园区能源协同</w:t>
      </w:r>
    </w:p>
    <w:p w14:paraId="53FC8365">
      <w:pPr>
        <w:pStyle w:val="981"/>
        <w:rPr>
          <w:rFonts w:hint="eastAsia"/>
          <w:color w:val="auto"/>
          <w:highlight w:val="none"/>
          <w:u w:val="none"/>
        </w:rPr>
      </w:pPr>
      <w:r>
        <w:rPr>
          <w:rFonts w:hint="eastAsia"/>
          <w:color w:val="auto"/>
          <w:highlight w:val="none"/>
          <w:u w:val="none"/>
        </w:rPr>
        <w:t>与周边企业共建蒸汽管网，实现能源互补，降低整体碳足迹。</w:t>
      </w:r>
    </w:p>
    <w:p w14:paraId="194993AF">
      <w:pPr>
        <w:pStyle w:val="981"/>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2</w:t>
      </w:r>
      <w:r>
        <w:rPr>
          <w:rFonts w:hint="eastAsia"/>
          <w:b/>
          <w:bCs/>
          <w:color w:val="auto"/>
          <w:highlight w:val="none"/>
          <w:u w:val="none"/>
        </w:rPr>
        <w:t>）节能降耗</w:t>
      </w:r>
    </w:p>
    <w:p w14:paraId="36B359D2">
      <w:pPr>
        <w:pStyle w:val="981"/>
        <w:rPr>
          <w:rFonts w:hint="eastAsia"/>
          <w:color w:val="auto"/>
          <w:highlight w:val="none"/>
          <w:u w:val="none"/>
        </w:rPr>
      </w:pPr>
      <w:r>
        <w:rPr>
          <w:rFonts w:hint="eastAsia"/>
          <w:color w:val="auto"/>
          <w:highlight w:val="none"/>
          <w:u w:val="none"/>
        </w:rPr>
        <w:t>①工艺优化与高效设备</w:t>
      </w:r>
    </w:p>
    <w:p w14:paraId="19899E70">
      <w:pPr>
        <w:pStyle w:val="981"/>
        <w:rPr>
          <w:rFonts w:hint="eastAsia"/>
          <w:color w:val="auto"/>
          <w:highlight w:val="none"/>
          <w:u w:val="none"/>
        </w:rPr>
      </w:pPr>
      <w:r>
        <w:rPr>
          <w:rFonts w:hint="eastAsia"/>
          <w:color w:val="auto"/>
          <w:highlight w:val="none"/>
          <w:u w:val="none"/>
        </w:rPr>
        <w:t>采用高效催化剂，降低反应温度和压力，缩短工艺流程。替换传统电机为永磁变频电机，关键泵阀加装智能控制系统，动态调节能耗。</w:t>
      </w:r>
    </w:p>
    <w:p w14:paraId="4F8FFDA9">
      <w:pPr>
        <w:pStyle w:val="981"/>
        <w:rPr>
          <w:rFonts w:hint="eastAsia"/>
          <w:color w:val="auto"/>
          <w:highlight w:val="none"/>
          <w:u w:val="none"/>
        </w:rPr>
      </w:pPr>
      <w:r>
        <w:rPr>
          <w:rFonts w:hint="eastAsia"/>
          <w:color w:val="auto"/>
          <w:highlight w:val="none"/>
          <w:u w:val="none"/>
        </w:rPr>
        <w:t>②热能系统升级</w:t>
      </w:r>
    </w:p>
    <w:p w14:paraId="62032777">
      <w:pPr>
        <w:pStyle w:val="981"/>
        <w:rPr>
          <w:rFonts w:hint="eastAsia"/>
          <w:color w:val="auto"/>
          <w:highlight w:val="none"/>
          <w:u w:val="none"/>
        </w:rPr>
      </w:pPr>
      <w:r>
        <w:rPr>
          <w:rFonts w:hint="eastAsia"/>
          <w:color w:val="auto"/>
          <w:highlight w:val="none"/>
          <w:u w:val="none"/>
        </w:rPr>
        <w:t>实施蒸汽管网保温改造，减少传输损耗。</w:t>
      </w:r>
    </w:p>
    <w:p w14:paraId="2E0DEFBA">
      <w:pPr>
        <w:pStyle w:val="981"/>
        <w:rPr>
          <w:rFonts w:hint="eastAsia"/>
          <w:color w:val="auto"/>
          <w:highlight w:val="none"/>
          <w:u w:val="none"/>
        </w:rPr>
      </w:pPr>
      <w:r>
        <w:rPr>
          <w:rFonts w:hint="eastAsia"/>
          <w:color w:val="auto"/>
          <w:highlight w:val="none"/>
          <w:u w:val="none"/>
        </w:rPr>
        <w:t>③数字化能效管理</w:t>
      </w:r>
    </w:p>
    <w:p w14:paraId="67B270D5">
      <w:pPr>
        <w:pStyle w:val="981"/>
        <w:rPr>
          <w:rFonts w:hint="eastAsia"/>
          <w:color w:val="auto"/>
          <w:highlight w:val="none"/>
          <w:u w:val="none"/>
        </w:rPr>
      </w:pPr>
      <w:r>
        <w:rPr>
          <w:rFonts w:hint="eastAsia"/>
          <w:color w:val="auto"/>
          <w:highlight w:val="none"/>
          <w:u w:val="none"/>
        </w:rPr>
        <w:t>部署能源管理系统（</w:t>
      </w:r>
      <w:r>
        <w:rPr>
          <w:color w:val="auto"/>
          <w:highlight w:val="none"/>
          <w:u w:val="none"/>
        </w:rPr>
        <w:t>EMS</w:t>
      </w:r>
      <w:r>
        <w:rPr>
          <w:rFonts w:hint="eastAsia"/>
          <w:color w:val="auto"/>
          <w:highlight w:val="none"/>
          <w:u w:val="none"/>
        </w:rPr>
        <w:t>），实时监测能耗数据，</w:t>
      </w:r>
      <w:r>
        <w:rPr>
          <w:color w:val="auto"/>
          <w:highlight w:val="none"/>
          <w:u w:val="none"/>
        </w:rPr>
        <w:t>AI</w:t>
      </w:r>
      <w:r>
        <w:rPr>
          <w:rFonts w:hint="eastAsia"/>
          <w:color w:val="auto"/>
          <w:highlight w:val="none"/>
          <w:u w:val="none"/>
        </w:rPr>
        <w:t>优化生产排程，减少非计划停车导致的能源浪费。</w:t>
      </w:r>
    </w:p>
    <w:p w14:paraId="439F9969">
      <w:pPr>
        <w:pStyle w:val="981"/>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3</w:t>
      </w:r>
      <w:r>
        <w:rPr>
          <w:rFonts w:hint="eastAsia"/>
          <w:b/>
          <w:bCs/>
          <w:color w:val="auto"/>
          <w:highlight w:val="none"/>
          <w:u w:val="none"/>
        </w:rPr>
        <w:t>）减污降碳协同</w:t>
      </w:r>
    </w:p>
    <w:p w14:paraId="5CCD188D">
      <w:pPr>
        <w:pStyle w:val="981"/>
        <w:rPr>
          <w:rFonts w:hint="eastAsia"/>
          <w:color w:val="auto"/>
          <w:highlight w:val="none"/>
          <w:u w:val="none"/>
        </w:rPr>
      </w:pPr>
      <w:r>
        <w:rPr>
          <w:rFonts w:hint="eastAsia"/>
          <w:color w:val="auto"/>
          <w:highlight w:val="none"/>
          <w:u w:val="none"/>
        </w:rPr>
        <w:t>①废水预处理：含苯系物废水单独收集并进行预处理。</w:t>
      </w:r>
    </w:p>
    <w:p w14:paraId="4333B708">
      <w:pPr>
        <w:pStyle w:val="981"/>
        <w:rPr>
          <w:rFonts w:hint="eastAsia"/>
          <w:color w:val="auto"/>
          <w:highlight w:val="none"/>
          <w:u w:val="none"/>
        </w:rPr>
      </w:pPr>
      <w:r>
        <w:rPr>
          <w:rFonts w:hint="eastAsia"/>
          <w:color w:val="auto"/>
          <w:highlight w:val="none"/>
          <w:u w:val="none"/>
        </w:rPr>
        <w:t>②废水集输、储存和处理设施：用于集输、储存和处理含挥发性有机物废水设施应密闭，产生的废气应接入有机废气回收或处理装置。</w:t>
      </w:r>
    </w:p>
    <w:p w14:paraId="320197A2">
      <w:pPr>
        <w:pStyle w:val="981"/>
        <w:rPr>
          <w:rFonts w:hint="eastAsia"/>
          <w:color w:val="auto"/>
          <w:highlight w:val="none"/>
          <w:u w:val="none"/>
        </w:rPr>
      </w:pPr>
      <w:r>
        <w:rPr>
          <w:rFonts w:hint="eastAsia"/>
          <w:color w:val="auto"/>
          <w:highlight w:val="none"/>
          <w:u w:val="none"/>
        </w:rPr>
        <w:t>③挥发性有机液体分装过程应密闭并设置有机废气收集、回收或处理装置。</w:t>
      </w:r>
    </w:p>
    <w:p w14:paraId="0222E0A5">
      <w:pPr>
        <w:pStyle w:val="981"/>
        <w:rPr>
          <w:rFonts w:hint="eastAsia"/>
          <w:color w:val="auto"/>
          <w:highlight w:val="none"/>
          <w:u w:val="none"/>
        </w:rPr>
      </w:pPr>
      <w:r>
        <w:rPr>
          <w:rFonts w:hint="eastAsia"/>
          <w:color w:val="auto"/>
          <w:highlight w:val="none"/>
          <w:u w:val="none"/>
        </w:rPr>
        <w:t>④下列有机废气应接入有机废气回收或处理装置：反应器原料装填过程、气相空间保护气置换过程、反应器升温过程和反应器、清洗过程排出的废气、有机固体物料气体输送废气、用于含挥发性有机物容器真空保持的真空泵排气、非正常工况下生产设备通过安全阀排出的含挥发性有机物的废气；生产装置、设备开停车过程不满足排放标准要求的废气。</w:t>
      </w:r>
    </w:p>
    <w:p w14:paraId="0F10D5AA">
      <w:pPr>
        <w:pStyle w:val="981"/>
        <w:rPr>
          <w:rFonts w:hint="eastAsia"/>
          <w:color w:val="auto"/>
          <w:highlight w:val="none"/>
          <w:u w:val="none"/>
        </w:rPr>
      </w:pPr>
      <w:r>
        <w:rPr>
          <w:rFonts w:hint="eastAsia"/>
          <w:color w:val="auto"/>
          <w:highlight w:val="none"/>
          <w:u w:val="none"/>
        </w:rPr>
        <w:t>⑤有机废气收集、传输设施的设置和操作条件应保证被收集的有机气体不通过收集、传输设施的开口向大气泄漏。</w:t>
      </w:r>
    </w:p>
    <w:p w14:paraId="13E18553">
      <w:pPr>
        <w:pStyle w:val="981"/>
        <w:rPr>
          <w:rFonts w:hint="eastAsia"/>
          <w:color w:val="auto"/>
          <w:highlight w:val="none"/>
          <w:u w:val="none"/>
        </w:rPr>
      </w:pPr>
      <w:r>
        <w:rPr>
          <w:rFonts w:hint="eastAsia"/>
          <w:color w:val="auto"/>
          <w:highlight w:val="none"/>
          <w:u w:val="none"/>
        </w:rPr>
        <w:t>⑥检维修：用于输送、储存、处理含挥发性有机物的生产设施，以及水、大气、固体废物污染控制设施在检维修时清扫气应接入有机废气处理装置。</w:t>
      </w:r>
    </w:p>
    <w:p w14:paraId="4DC46BDC">
      <w:pPr>
        <w:pStyle w:val="981"/>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4</w:t>
      </w:r>
      <w:r>
        <w:rPr>
          <w:rFonts w:hint="eastAsia"/>
          <w:b/>
          <w:bCs/>
          <w:color w:val="auto"/>
          <w:highlight w:val="none"/>
          <w:u w:val="none"/>
        </w:rPr>
        <w:t>）清洁运输</w:t>
      </w:r>
    </w:p>
    <w:p w14:paraId="036AC54C">
      <w:pPr>
        <w:pStyle w:val="981"/>
        <w:rPr>
          <w:rFonts w:hint="eastAsia"/>
          <w:color w:val="auto"/>
          <w:highlight w:val="none"/>
          <w:u w:val="none"/>
        </w:rPr>
      </w:pPr>
      <w:r>
        <w:rPr>
          <w:rFonts w:hint="eastAsia"/>
          <w:color w:val="auto"/>
          <w:highlight w:val="none"/>
          <w:u w:val="none"/>
        </w:rPr>
        <w:t>①运输结构优化</w:t>
      </w:r>
    </w:p>
    <w:p w14:paraId="321F9714">
      <w:pPr>
        <w:pStyle w:val="981"/>
        <w:rPr>
          <w:rFonts w:hint="eastAsia"/>
          <w:color w:val="auto"/>
          <w:highlight w:val="none"/>
          <w:u w:val="none"/>
        </w:rPr>
      </w:pPr>
      <w:r>
        <w:rPr>
          <w:rFonts w:hint="eastAsia"/>
          <w:color w:val="auto"/>
          <w:highlight w:val="none"/>
          <w:u w:val="none"/>
        </w:rPr>
        <w:t>建设厂区管路专用线，大宗原料优先采用海运，公路运输占比降至</w:t>
      </w:r>
      <w:r>
        <w:rPr>
          <w:color w:val="auto"/>
          <w:highlight w:val="none"/>
          <w:u w:val="none"/>
        </w:rPr>
        <w:t>20%</w:t>
      </w:r>
      <w:r>
        <w:rPr>
          <w:rFonts w:hint="eastAsia"/>
          <w:color w:val="auto"/>
          <w:highlight w:val="none"/>
          <w:u w:val="none"/>
        </w:rPr>
        <w:t>以下。</w:t>
      </w:r>
    </w:p>
    <w:p w14:paraId="00F3A306">
      <w:pPr>
        <w:pStyle w:val="981"/>
        <w:rPr>
          <w:rFonts w:hint="eastAsia"/>
          <w:color w:val="auto"/>
          <w:highlight w:val="none"/>
          <w:u w:val="none"/>
        </w:rPr>
      </w:pPr>
      <w:r>
        <w:rPr>
          <w:rFonts w:hint="eastAsia"/>
          <w:color w:val="auto"/>
          <w:highlight w:val="none"/>
          <w:u w:val="none"/>
        </w:rPr>
        <w:t>②新能源物流车辆</w:t>
      </w:r>
    </w:p>
    <w:p w14:paraId="1DC1DEF8">
      <w:pPr>
        <w:pStyle w:val="981"/>
        <w:rPr>
          <w:rFonts w:hint="eastAsia"/>
          <w:color w:val="auto"/>
          <w:highlight w:val="none"/>
          <w:u w:val="none"/>
        </w:rPr>
      </w:pPr>
      <w:r>
        <w:rPr>
          <w:rFonts w:hint="eastAsia"/>
          <w:color w:val="auto"/>
          <w:highlight w:val="none"/>
          <w:u w:val="none"/>
        </w:rPr>
        <w:t>短途配送使用氢燃料电池重卡或电动卡车，配套建设加氢站</w:t>
      </w:r>
      <w:r>
        <w:rPr>
          <w:color w:val="auto"/>
          <w:highlight w:val="none"/>
          <w:u w:val="none"/>
        </w:rPr>
        <w:t>/</w:t>
      </w:r>
      <w:r>
        <w:rPr>
          <w:rFonts w:hint="eastAsia"/>
          <w:color w:val="auto"/>
          <w:highlight w:val="none"/>
          <w:u w:val="none"/>
        </w:rPr>
        <w:t>充电桩。</w:t>
      </w:r>
    </w:p>
    <w:p w14:paraId="31939601">
      <w:pPr>
        <w:pStyle w:val="981"/>
        <w:rPr>
          <w:rFonts w:hint="eastAsia"/>
          <w:color w:val="auto"/>
          <w:highlight w:val="none"/>
          <w:u w:val="none"/>
        </w:rPr>
      </w:pPr>
      <w:r>
        <w:rPr>
          <w:rFonts w:hint="eastAsia"/>
          <w:color w:val="auto"/>
          <w:highlight w:val="none"/>
          <w:u w:val="none"/>
        </w:rPr>
        <w:t>③智能物流管理</w:t>
      </w:r>
    </w:p>
    <w:p w14:paraId="05EE7567">
      <w:pPr>
        <w:pStyle w:val="981"/>
        <w:rPr>
          <w:rFonts w:hint="eastAsia"/>
          <w:color w:val="auto"/>
          <w:highlight w:val="none"/>
          <w:u w:val="none"/>
        </w:rPr>
      </w:pPr>
      <w:r>
        <w:rPr>
          <w:rFonts w:hint="eastAsia"/>
          <w:color w:val="auto"/>
          <w:highlight w:val="none"/>
          <w:u w:val="none"/>
        </w:rPr>
        <w:t>搭建数字化物流平台，整合运输需求，推行“共享集装箱”模式，减少空载率。</w:t>
      </w:r>
    </w:p>
    <w:p w14:paraId="281AA1C3">
      <w:pPr>
        <w:pStyle w:val="981"/>
        <w:ind w:firstLine="482"/>
        <w:rPr>
          <w:rFonts w:hint="eastAsia"/>
          <w:b/>
          <w:bCs/>
          <w:color w:val="auto"/>
          <w:highlight w:val="none"/>
          <w:u w:val="none"/>
        </w:rPr>
      </w:pPr>
      <w:r>
        <w:rPr>
          <w:rFonts w:hint="eastAsia"/>
          <w:b/>
          <w:bCs/>
          <w:color w:val="auto"/>
          <w:highlight w:val="none"/>
          <w:u w:val="none"/>
        </w:rPr>
        <w:t>（</w:t>
      </w:r>
      <w:r>
        <w:rPr>
          <w:b/>
          <w:bCs/>
          <w:color w:val="auto"/>
          <w:highlight w:val="none"/>
          <w:u w:val="none"/>
        </w:rPr>
        <w:t>5</w:t>
      </w:r>
      <w:r>
        <w:rPr>
          <w:rFonts w:hint="eastAsia"/>
          <w:b/>
          <w:bCs/>
          <w:color w:val="auto"/>
          <w:highlight w:val="none"/>
          <w:u w:val="none"/>
        </w:rPr>
        <w:t>）实施保障</w:t>
      </w:r>
    </w:p>
    <w:p w14:paraId="20BC6D8D">
      <w:pPr>
        <w:pStyle w:val="981"/>
        <w:rPr>
          <w:rFonts w:hint="eastAsia"/>
          <w:color w:val="auto"/>
          <w:highlight w:val="none"/>
          <w:u w:val="none"/>
        </w:rPr>
      </w:pPr>
      <w:r>
        <w:rPr>
          <w:rFonts w:hint="eastAsia"/>
          <w:color w:val="auto"/>
          <w:highlight w:val="none"/>
          <w:u w:val="none"/>
        </w:rPr>
        <w:t>①政策衔接</w:t>
      </w:r>
    </w:p>
    <w:p w14:paraId="77C382CA">
      <w:pPr>
        <w:pStyle w:val="981"/>
        <w:rPr>
          <w:rFonts w:hint="eastAsia"/>
          <w:color w:val="auto"/>
          <w:highlight w:val="none"/>
          <w:u w:val="none"/>
        </w:rPr>
      </w:pPr>
      <w:r>
        <w:rPr>
          <w:rFonts w:hint="eastAsia"/>
          <w:color w:val="auto"/>
          <w:highlight w:val="none"/>
          <w:u w:val="none"/>
        </w:rPr>
        <w:t>申请绿色制造、循环经济试点示范政策支持，参与碳交易市场抵消部分排放。</w:t>
      </w:r>
    </w:p>
    <w:p w14:paraId="227D694C">
      <w:pPr>
        <w:pStyle w:val="981"/>
        <w:rPr>
          <w:rFonts w:hint="eastAsia"/>
          <w:color w:val="auto"/>
          <w:highlight w:val="none"/>
          <w:u w:val="none"/>
        </w:rPr>
      </w:pPr>
      <w:r>
        <w:rPr>
          <w:rFonts w:hint="eastAsia"/>
          <w:color w:val="auto"/>
          <w:highlight w:val="none"/>
          <w:u w:val="none"/>
        </w:rPr>
        <w:t>②技术创新</w:t>
      </w:r>
    </w:p>
    <w:p w14:paraId="403D45AD">
      <w:pPr>
        <w:pStyle w:val="981"/>
        <w:rPr>
          <w:rFonts w:hint="eastAsia"/>
          <w:color w:val="auto"/>
          <w:highlight w:val="none"/>
          <w:u w:val="none"/>
        </w:rPr>
      </w:pPr>
      <w:r>
        <w:rPr>
          <w:rFonts w:hint="eastAsia"/>
          <w:color w:val="auto"/>
          <w:highlight w:val="none"/>
          <w:u w:val="none"/>
        </w:rPr>
        <w:t>与科研院所、高校合作研发电化学合成</w:t>
      </w:r>
      <w:r>
        <w:rPr>
          <w:color w:val="auto"/>
          <w:highlight w:val="none"/>
          <w:u w:val="none"/>
        </w:rPr>
        <w:t>TDI</w:t>
      </w:r>
      <w:r>
        <w:rPr>
          <w:rFonts w:hint="eastAsia"/>
          <w:color w:val="auto"/>
          <w:highlight w:val="none"/>
          <w:u w:val="none"/>
        </w:rPr>
        <w:t>等颠覆性低碳技术，布局长期减排路径。</w:t>
      </w:r>
    </w:p>
    <w:p w14:paraId="09A6D91D">
      <w:pPr>
        <w:pStyle w:val="981"/>
        <w:rPr>
          <w:rFonts w:hint="eastAsia"/>
          <w:color w:val="auto"/>
          <w:highlight w:val="none"/>
          <w:u w:val="none"/>
        </w:rPr>
      </w:pPr>
      <w:r>
        <w:rPr>
          <w:rFonts w:hint="eastAsia"/>
          <w:color w:val="auto"/>
          <w:highlight w:val="none"/>
          <w:u w:val="none"/>
        </w:rPr>
        <w:t>③碳足迹追踪</w:t>
      </w:r>
    </w:p>
    <w:p w14:paraId="60E3EA27">
      <w:pPr>
        <w:pStyle w:val="981"/>
        <w:rPr>
          <w:rFonts w:hint="eastAsia"/>
          <w:color w:val="auto"/>
          <w:highlight w:val="none"/>
          <w:u w:val="none"/>
        </w:rPr>
      </w:pPr>
      <w:r>
        <w:rPr>
          <w:rFonts w:hint="eastAsia"/>
          <w:color w:val="auto"/>
          <w:highlight w:val="none"/>
          <w:u w:val="none"/>
        </w:rPr>
        <w:t>立全生命周期碳核算体系，通过产品碳标签提升市场竞争力。</w:t>
      </w:r>
    </w:p>
    <w:p w14:paraId="4ADAAA79">
      <w:pPr>
        <w:rPr>
          <w:rFonts w:hint="eastAsia" w:eastAsia="宋体"/>
          <w:color w:val="auto"/>
          <w:highlight w:val="none"/>
          <w:u w:val="none"/>
          <w:lang w:eastAsia="zh-CN"/>
        </w:rPr>
      </w:pPr>
      <w:r>
        <w:rPr>
          <w:rFonts w:hint="eastAsia"/>
          <w:color w:val="auto"/>
          <w:highlight w:val="none"/>
          <w:u w:val="none"/>
        </w:rPr>
        <w:t>综上，通过以上措施，</w:t>
      </w:r>
      <w:r>
        <w:rPr>
          <w:color w:val="auto"/>
          <w:highlight w:val="none"/>
          <w:u w:val="none"/>
        </w:rPr>
        <w:t>TDI</w:t>
      </w:r>
      <w:r>
        <w:rPr>
          <w:rFonts w:hint="eastAsia"/>
          <w:color w:val="auto"/>
          <w:highlight w:val="none"/>
          <w:u w:val="none"/>
        </w:rPr>
        <w:t>项目可在生产、运输及末端治理环节实现系统性降碳，助力“双碳”目标达成</w:t>
      </w:r>
      <w:r>
        <w:rPr>
          <w:rFonts w:hint="eastAsia"/>
          <w:color w:val="auto"/>
          <w:highlight w:val="none"/>
          <w:u w:val="none"/>
          <w:lang w:eastAsia="zh-CN"/>
        </w:rPr>
        <w:t>。</w:t>
      </w:r>
    </w:p>
    <w:p w14:paraId="41B3814B">
      <w:pPr>
        <w:pStyle w:val="6"/>
        <w:spacing w:before="156" w:after="156"/>
        <w:rPr>
          <w:color w:val="auto"/>
          <w:highlight w:val="none"/>
          <w:u w:val="none"/>
        </w:rPr>
      </w:pPr>
      <w:r>
        <w:rPr>
          <w:color w:val="auto"/>
          <w:highlight w:val="none"/>
          <w:u w:val="none"/>
        </w:rPr>
        <w:t>碳排放管理与监测计划</w:t>
      </w:r>
    </w:p>
    <w:p w14:paraId="1E73F8BC">
      <w:pPr>
        <w:rPr>
          <w:rFonts w:hint="eastAsia"/>
          <w:color w:val="auto"/>
          <w:highlight w:val="none"/>
          <w:u w:val="none"/>
        </w:rPr>
      </w:pPr>
      <w:r>
        <w:rPr>
          <w:color w:val="auto"/>
          <w:highlight w:val="none"/>
          <w:u w:val="none"/>
        </w:rPr>
        <w:t>（1）组织管理</w:t>
      </w:r>
    </w:p>
    <w:p w14:paraId="6219F9A5">
      <w:pPr>
        <w:pStyle w:val="981"/>
        <w:rPr>
          <w:rFonts w:hint="eastAsia"/>
          <w:color w:val="auto"/>
          <w:highlight w:val="none"/>
          <w:u w:val="none"/>
        </w:rPr>
      </w:pPr>
      <w:r>
        <w:rPr>
          <w:rFonts w:hint="eastAsia" w:ascii="宋体" w:cs="宋体"/>
          <w:color w:val="auto"/>
          <w:highlight w:val="none"/>
          <w:u w:val="none"/>
        </w:rPr>
        <w:t>①</w:t>
      </w:r>
      <w:r>
        <w:rPr>
          <w:color w:val="auto"/>
          <w:highlight w:val="none"/>
          <w:u w:val="none"/>
        </w:rPr>
        <w:t>建立制度</w:t>
      </w:r>
    </w:p>
    <w:p w14:paraId="198B155F">
      <w:pPr>
        <w:pStyle w:val="981"/>
        <w:rPr>
          <w:rFonts w:hint="eastAsia"/>
          <w:color w:val="auto"/>
          <w:highlight w:val="none"/>
          <w:u w:val="none"/>
        </w:rPr>
      </w:pPr>
      <w:r>
        <w:rPr>
          <w:color w:val="auto"/>
          <w:highlight w:val="none"/>
          <w:u w:val="none"/>
        </w:rPr>
        <w:t>为规范企业碳管理工作，结合自身生产管理实际情况，建立碳管理制度，包括但不限于建立企业碳管理工作组织体系；明确各岗位职责及权限范围；明确战略管理、碳排放管理、碳资产管理、信息公开等具体内容；明确各事项审批流程及时限；明确管理制度的时效性。</w:t>
      </w:r>
    </w:p>
    <w:p w14:paraId="07BF9C9B">
      <w:pPr>
        <w:pStyle w:val="981"/>
        <w:rPr>
          <w:rFonts w:hint="eastAsia"/>
          <w:color w:val="auto"/>
          <w:highlight w:val="none"/>
          <w:u w:val="none"/>
        </w:rPr>
      </w:pPr>
      <w:r>
        <w:rPr>
          <w:rFonts w:hint="eastAsia" w:ascii="宋体" w:cs="宋体"/>
          <w:color w:val="auto"/>
          <w:highlight w:val="none"/>
          <w:u w:val="none"/>
        </w:rPr>
        <w:t>②</w:t>
      </w:r>
      <w:r>
        <w:rPr>
          <w:color w:val="auto"/>
          <w:highlight w:val="none"/>
          <w:u w:val="none"/>
        </w:rPr>
        <w:t>能力培养</w:t>
      </w:r>
    </w:p>
    <w:p w14:paraId="5CE79789">
      <w:pPr>
        <w:pStyle w:val="981"/>
        <w:rPr>
          <w:rFonts w:hint="eastAsia"/>
          <w:color w:val="auto"/>
          <w:highlight w:val="none"/>
          <w:u w:val="none"/>
        </w:rPr>
      </w:pPr>
      <w:r>
        <w:rPr>
          <w:color w:val="auto"/>
          <w:highlight w:val="none"/>
          <w:u w:val="none"/>
        </w:rPr>
        <w:t>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14:paraId="3BAD4992">
      <w:pPr>
        <w:pStyle w:val="981"/>
        <w:rPr>
          <w:rFonts w:hint="eastAsia"/>
          <w:color w:val="auto"/>
          <w:highlight w:val="none"/>
          <w:u w:val="none"/>
        </w:rPr>
      </w:pPr>
      <w:r>
        <w:rPr>
          <w:rFonts w:hint="eastAsia" w:ascii="宋体" w:cs="宋体"/>
          <w:color w:val="auto"/>
          <w:highlight w:val="none"/>
          <w:u w:val="none"/>
        </w:rPr>
        <w:t>③</w:t>
      </w:r>
      <w:r>
        <w:rPr>
          <w:color w:val="auto"/>
          <w:highlight w:val="none"/>
          <w:u w:val="none"/>
        </w:rPr>
        <w:t>意识培养</w:t>
      </w:r>
    </w:p>
    <w:p w14:paraId="01EC47F9">
      <w:pPr>
        <w:pStyle w:val="981"/>
        <w:rPr>
          <w:rFonts w:hint="eastAsia"/>
          <w:color w:val="auto"/>
          <w:highlight w:val="none"/>
          <w:u w:val="none"/>
        </w:rPr>
      </w:pPr>
      <w:r>
        <w:rPr>
          <w:color w:val="auto"/>
          <w:highlight w:val="none"/>
          <w:u w:val="none"/>
        </w:rPr>
        <w:t>企业应采取措施，使全体人员都意识到实施企业碳管理工作的重要性；降低碳排放、提高碳排放绩效给企业带来的效益，以及个人工作改进能带来的碳排放绩效；偏离碳管理制度规定运行程序的潜在后果。</w:t>
      </w:r>
    </w:p>
    <w:p w14:paraId="6091DE71">
      <w:pPr>
        <w:pStyle w:val="981"/>
        <w:rPr>
          <w:rFonts w:hint="eastAsia"/>
          <w:color w:val="auto"/>
          <w:highlight w:val="none"/>
          <w:u w:val="none"/>
        </w:rPr>
      </w:pPr>
      <w:r>
        <w:rPr>
          <w:color w:val="auto"/>
          <w:highlight w:val="none"/>
          <w:u w:val="none"/>
        </w:rPr>
        <w:t>（2）排放管理</w:t>
      </w:r>
    </w:p>
    <w:p w14:paraId="570F7DBA">
      <w:pPr>
        <w:pStyle w:val="981"/>
        <w:rPr>
          <w:rFonts w:hint="eastAsia"/>
          <w:color w:val="auto"/>
          <w:highlight w:val="none"/>
          <w:u w:val="none"/>
        </w:rPr>
      </w:pPr>
      <w:r>
        <w:rPr>
          <w:rFonts w:hint="eastAsia" w:ascii="宋体" w:cs="宋体"/>
          <w:color w:val="auto"/>
          <w:highlight w:val="none"/>
          <w:u w:val="none"/>
        </w:rPr>
        <w:t>①</w:t>
      </w:r>
      <w:r>
        <w:rPr>
          <w:color w:val="auto"/>
          <w:highlight w:val="none"/>
          <w:u w:val="none"/>
        </w:rPr>
        <w:t>监测管理</w:t>
      </w:r>
    </w:p>
    <w:p w14:paraId="08572FE6">
      <w:pPr>
        <w:pStyle w:val="981"/>
        <w:rPr>
          <w:rFonts w:hint="eastAsia"/>
          <w:color w:val="auto"/>
          <w:highlight w:val="none"/>
          <w:u w:val="none"/>
        </w:rPr>
      </w:pPr>
      <w:r>
        <w:rPr>
          <w:color w:val="auto"/>
          <w:highlight w:val="none"/>
          <w:u w:val="none"/>
        </w:rPr>
        <w:t>企业应根据自身的生产工艺以及国家相关部门发布的技术指南等有关要求，确保对运行中的决定碳排放绩效的关键特性进行定期监视、测量和分析，关键特性至少应包括但不限于：排放源设施、各碳源流数据、具备实测条件的与排放因子相关的数据、碳排放相关数据和生产相关数据获取方式、数据的准确性。温室气体排放监测计划见下表：</w:t>
      </w:r>
    </w:p>
    <w:p w14:paraId="13D5508A">
      <w:pPr>
        <w:pStyle w:val="981"/>
        <w:rPr>
          <w:rFonts w:hint="eastAsia"/>
          <w:color w:val="auto"/>
          <w:highlight w:val="none"/>
          <w:u w:val="none"/>
        </w:rPr>
      </w:pPr>
      <w:r>
        <w:rPr>
          <w:color w:val="auto"/>
          <w:highlight w:val="none"/>
          <w:u w:val="none"/>
        </w:rPr>
        <w:t>企业应对监视和测量获取的相关数据进行分析，应开展以下工作：</w:t>
      </w:r>
    </w:p>
    <w:p w14:paraId="797F8AA2">
      <w:pPr>
        <w:pStyle w:val="981"/>
        <w:rPr>
          <w:rFonts w:hint="eastAsia"/>
          <w:color w:val="auto"/>
          <w:highlight w:val="none"/>
          <w:u w:val="none"/>
        </w:rPr>
      </w:pPr>
      <w:r>
        <w:rPr>
          <w:color w:val="auto"/>
          <w:highlight w:val="none"/>
          <w:u w:val="none"/>
        </w:rPr>
        <w:t>a)规范碳排放数据的整理和分析；</w:t>
      </w:r>
    </w:p>
    <w:p w14:paraId="2CF65426">
      <w:pPr>
        <w:pStyle w:val="981"/>
        <w:rPr>
          <w:rFonts w:hint="eastAsia"/>
          <w:color w:val="auto"/>
          <w:highlight w:val="none"/>
          <w:u w:val="none"/>
        </w:rPr>
      </w:pPr>
      <w:r>
        <w:rPr>
          <w:color w:val="auto"/>
          <w:highlight w:val="none"/>
          <w:u w:val="none"/>
        </w:rPr>
        <w:t>b)对数据来源进行分类整理；</w:t>
      </w:r>
    </w:p>
    <w:p w14:paraId="010713D8">
      <w:pPr>
        <w:pStyle w:val="981"/>
        <w:rPr>
          <w:rFonts w:hint="eastAsia"/>
          <w:color w:val="auto"/>
          <w:highlight w:val="none"/>
          <w:u w:val="none"/>
        </w:rPr>
      </w:pPr>
      <w:r>
        <w:rPr>
          <w:color w:val="auto"/>
          <w:highlight w:val="none"/>
          <w:u w:val="none"/>
        </w:rPr>
        <w:t>c)对排放因子及相关参数的监测数据进行分类整理；</w:t>
      </w:r>
    </w:p>
    <w:p w14:paraId="0790F760">
      <w:pPr>
        <w:pStyle w:val="981"/>
        <w:rPr>
          <w:rFonts w:hint="eastAsia"/>
          <w:color w:val="auto"/>
          <w:highlight w:val="none"/>
          <w:u w:val="none"/>
        </w:rPr>
      </w:pPr>
      <w:r>
        <w:rPr>
          <w:color w:val="auto"/>
          <w:highlight w:val="none"/>
          <w:u w:val="none"/>
        </w:rPr>
        <w:t>d)对数据进行处理并进行统计分析；</w:t>
      </w:r>
    </w:p>
    <w:p w14:paraId="5F6ED04D">
      <w:pPr>
        <w:pStyle w:val="981"/>
        <w:rPr>
          <w:rFonts w:hint="eastAsia"/>
          <w:color w:val="auto"/>
          <w:highlight w:val="none"/>
          <w:u w:val="none"/>
        </w:rPr>
      </w:pPr>
      <w:r>
        <w:rPr>
          <w:color w:val="auto"/>
          <w:highlight w:val="none"/>
          <w:u w:val="none"/>
        </w:rPr>
        <w:t>e)形成数据分析报告并存档。</w:t>
      </w:r>
    </w:p>
    <w:p w14:paraId="393A08AE">
      <w:pPr>
        <w:pStyle w:val="476"/>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8.8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17</w:t>
      </w:r>
      <w:r>
        <w:rPr>
          <w:color w:val="auto"/>
          <w:highlight w:val="none"/>
          <w:u w:val="none"/>
        </w:rPr>
        <w:fldChar w:fldCharType="end"/>
      </w:r>
      <w:r>
        <w:rPr>
          <w:color w:val="auto"/>
          <w:highlight w:val="none"/>
          <w:u w:val="none"/>
        </w:rPr>
        <w:t xml:space="preserve">  </w:t>
      </w:r>
      <w:r>
        <w:rPr>
          <w:rFonts w:hint="eastAsia"/>
          <w:color w:val="auto"/>
          <w:highlight w:val="none"/>
          <w:u w:val="none"/>
        </w:rPr>
        <w:t>温室气体排放监测计划一览表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793"/>
        <w:gridCol w:w="4532"/>
        <w:gridCol w:w="1254"/>
        <w:gridCol w:w="1670"/>
      </w:tblGrid>
      <w:tr w14:paraId="323C2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Align w:val="center"/>
          </w:tcPr>
          <w:p w14:paraId="026BD02F">
            <w:pPr>
              <w:pStyle w:val="92"/>
              <w:rPr>
                <w:color w:val="auto"/>
                <w:highlight w:val="none"/>
                <w:u w:val="none"/>
              </w:rPr>
            </w:pPr>
            <w:r>
              <w:rPr>
                <w:color w:val="auto"/>
                <w:highlight w:val="none"/>
                <w:u w:val="none"/>
              </w:rPr>
              <w:t>燃料种类</w:t>
            </w:r>
          </w:p>
        </w:tc>
        <w:tc>
          <w:tcPr>
            <w:tcW w:w="427" w:type="pct"/>
            <w:vAlign w:val="center"/>
          </w:tcPr>
          <w:p w14:paraId="7D1E4DCC">
            <w:pPr>
              <w:pStyle w:val="92"/>
              <w:rPr>
                <w:color w:val="auto"/>
                <w:highlight w:val="none"/>
                <w:u w:val="none"/>
              </w:rPr>
            </w:pPr>
            <w:r>
              <w:rPr>
                <w:color w:val="auto"/>
                <w:highlight w:val="none"/>
                <w:u w:val="none"/>
              </w:rPr>
              <w:t>单位</w:t>
            </w:r>
          </w:p>
        </w:tc>
        <w:tc>
          <w:tcPr>
            <w:tcW w:w="2440" w:type="pct"/>
            <w:vAlign w:val="center"/>
          </w:tcPr>
          <w:p w14:paraId="0E9B8A32">
            <w:pPr>
              <w:pStyle w:val="92"/>
              <w:rPr>
                <w:color w:val="auto"/>
                <w:highlight w:val="none"/>
                <w:u w:val="none"/>
              </w:rPr>
            </w:pPr>
            <w:r>
              <w:rPr>
                <w:color w:val="auto"/>
                <w:highlight w:val="none"/>
                <w:u w:val="none"/>
              </w:rPr>
              <w:t>数据的计算方法及获取方式</w:t>
            </w:r>
          </w:p>
        </w:tc>
        <w:tc>
          <w:tcPr>
            <w:tcW w:w="675" w:type="pct"/>
            <w:vAlign w:val="center"/>
          </w:tcPr>
          <w:p w14:paraId="001146C2">
            <w:pPr>
              <w:pStyle w:val="92"/>
              <w:rPr>
                <w:color w:val="auto"/>
                <w:highlight w:val="none"/>
                <w:u w:val="none"/>
              </w:rPr>
            </w:pPr>
            <w:r>
              <w:rPr>
                <w:color w:val="auto"/>
                <w:highlight w:val="none"/>
                <w:u w:val="none"/>
              </w:rPr>
              <w:t>数据记录频次</w:t>
            </w:r>
          </w:p>
        </w:tc>
        <w:tc>
          <w:tcPr>
            <w:tcW w:w="899" w:type="pct"/>
            <w:vAlign w:val="center"/>
          </w:tcPr>
          <w:p w14:paraId="31D4227F">
            <w:pPr>
              <w:pStyle w:val="92"/>
              <w:rPr>
                <w:color w:val="auto"/>
                <w:highlight w:val="none"/>
                <w:u w:val="none"/>
              </w:rPr>
            </w:pPr>
            <w:r>
              <w:rPr>
                <w:color w:val="auto"/>
                <w:highlight w:val="none"/>
                <w:u w:val="none"/>
              </w:rPr>
              <w:t>数据缺失时的处理方式</w:t>
            </w:r>
          </w:p>
        </w:tc>
      </w:tr>
      <w:tr w14:paraId="5B9B0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48C22890">
            <w:pPr>
              <w:pStyle w:val="92"/>
              <w:rPr>
                <w:color w:val="auto"/>
                <w:highlight w:val="none"/>
                <w:u w:val="none"/>
              </w:rPr>
            </w:pPr>
            <w:r>
              <w:rPr>
                <w:color w:val="auto"/>
                <w:highlight w:val="none"/>
                <w:u w:val="none"/>
              </w:rPr>
              <w:t>购入电力、热力</w:t>
            </w:r>
          </w:p>
        </w:tc>
      </w:tr>
      <w:tr w14:paraId="232C9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Align w:val="center"/>
          </w:tcPr>
          <w:p w14:paraId="65A52806">
            <w:pPr>
              <w:pStyle w:val="92"/>
              <w:rPr>
                <w:color w:val="auto"/>
                <w:highlight w:val="none"/>
                <w:u w:val="none"/>
              </w:rPr>
            </w:pPr>
            <w:r>
              <w:rPr>
                <w:color w:val="auto"/>
                <w:highlight w:val="none"/>
                <w:u w:val="none"/>
              </w:rPr>
              <w:t>净购入电量</w:t>
            </w:r>
          </w:p>
        </w:tc>
        <w:tc>
          <w:tcPr>
            <w:tcW w:w="427" w:type="pct"/>
            <w:vAlign w:val="center"/>
          </w:tcPr>
          <w:p w14:paraId="0BFD5D9A">
            <w:pPr>
              <w:pStyle w:val="92"/>
              <w:rPr>
                <w:color w:val="auto"/>
                <w:highlight w:val="none"/>
                <w:u w:val="none"/>
              </w:rPr>
            </w:pPr>
            <w:r>
              <w:rPr>
                <w:color w:val="auto"/>
                <w:highlight w:val="none"/>
                <w:u w:val="none"/>
              </w:rPr>
              <w:t>MWh</w:t>
            </w:r>
          </w:p>
        </w:tc>
        <w:tc>
          <w:tcPr>
            <w:tcW w:w="2440" w:type="pct"/>
            <w:vAlign w:val="center"/>
          </w:tcPr>
          <w:p w14:paraId="11FC943F">
            <w:pPr>
              <w:pStyle w:val="92"/>
              <w:rPr>
                <w:color w:val="auto"/>
                <w:highlight w:val="none"/>
                <w:u w:val="none"/>
              </w:rPr>
            </w:pPr>
            <w:r>
              <w:rPr>
                <w:color w:val="auto"/>
                <w:highlight w:val="none"/>
                <w:u w:val="none"/>
              </w:rPr>
              <w:t>实测值：供电公司每月抄表结算</w:t>
            </w:r>
          </w:p>
          <w:p w14:paraId="21CFEA50">
            <w:pPr>
              <w:pStyle w:val="92"/>
              <w:rPr>
                <w:color w:val="auto"/>
                <w:highlight w:val="none"/>
                <w:u w:val="none"/>
              </w:rPr>
            </w:pPr>
            <w:r>
              <w:rPr>
                <w:color w:val="auto"/>
                <w:highlight w:val="none"/>
                <w:u w:val="none"/>
              </w:rPr>
              <w:t>参考标准：GB17167《用能单位能源计量器具配备和管理通则》</w:t>
            </w:r>
          </w:p>
        </w:tc>
        <w:tc>
          <w:tcPr>
            <w:tcW w:w="675" w:type="pct"/>
            <w:vAlign w:val="center"/>
          </w:tcPr>
          <w:p w14:paraId="405CC618">
            <w:pPr>
              <w:pStyle w:val="92"/>
              <w:rPr>
                <w:color w:val="auto"/>
                <w:highlight w:val="none"/>
                <w:u w:val="none"/>
              </w:rPr>
            </w:pPr>
            <w:r>
              <w:rPr>
                <w:color w:val="auto"/>
                <w:highlight w:val="none"/>
                <w:u w:val="none"/>
              </w:rPr>
              <w:t>每月记录</w:t>
            </w:r>
          </w:p>
        </w:tc>
        <w:tc>
          <w:tcPr>
            <w:tcW w:w="899" w:type="pct"/>
            <w:vAlign w:val="center"/>
          </w:tcPr>
          <w:p w14:paraId="4228680D">
            <w:pPr>
              <w:pStyle w:val="92"/>
              <w:rPr>
                <w:color w:val="auto"/>
                <w:highlight w:val="none"/>
                <w:u w:val="none"/>
              </w:rPr>
            </w:pPr>
            <w:r>
              <w:rPr>
                <w:color w:val="auto"/>
                <w:highlight w:val="none"/>
                <w:u w:val="none"/>
              </w:rPr>
              <w:t>参考内部抄表</w:t>
            </w:r>
          </w:p>
        </w:tc>
      </w:tr>
      <w:tr w14:paraId="6E8E4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vAlign w:val="center"/>
          </w:tcPr>
          <w:p w14:paraId="00044D39">
            <w:pPr>
              <w:pStyle w:val="92"/>
              <w:rPr>
                <w:color w:val="auto"/>
                <w:highlight w:val="none"/>
                <w:u w:val="none"/>
              </w:rPr>
            </w:pPr>
            <w:r>
              <w:rPr>
                <w:color w:val="auto"/>
                <w:highlight w:val="none"/>
                <w:u w:val="none"/>
              </w:rPr>
              <w:t>净购入热量</w:t>
            </w:r>
          </w:p>
        </w:tc>
        <w:tc>
          <w:tcPr>
            <w:tcW w:w="427" w:type="pct"/>
            <w:vAlign w:val="center"/>
          </w:tcPr>
          <w:p w14:paraId="40132AAC">
            <w:pPr>
              <w:pStyle w:val="92"/>
              <w:rPr>
                <w:color w:val="auto"/>
                <w:highlight w:val="none"/>
                <w:u w:val="none"/>
              </w:rPr>
            </w:pPr>
            <w:r>
              <w:rPr>
                <w:color w:val="auto"/>
                <w:highlight w:val="none"/>
                <w:u w:val="none"/>
              </w:rPr>
              <w:t>GJ</w:t>
            </w:r>
          </w:p>
        </w:tc>
        <w:tc>
          <w:tcPr>
            <w:tcW w:w="2440" w:type="pct"/>
            <w:vAlign w:val="center"/>
          </w:tcPr>
          <w:p w14:paraId="3A58CD58">
            <w:pPr>
              <w:pStyle w:val="92"/>
              <w:rPr>
                <w:color w:val="auto"/>
                <w:highlight w:val="none"/>
                <w:u w:val="none"/>
              </w:rPr>
            </w:pPr>
            <w:r>
              <w:rPr>
                <w:color w:val="auto"/>
                <w:highlight w:val="none"/>
                <w:u w:val="none"/>
              </w:rPr>
              <w:t>实测值：蒸汽报表</w:t>
            </w:r>
          </w:p>
        </w:tc>
        <w:tc>
          <w:tcPr>
            <w:tcW w:w="675" w:type="pct"/>
            <w:vAlign w:val="center"/>
          </w:tcPr>
          <w:p w14:paraId="7BCA8DE5">
            <w:pPr>
              <w:pStyle w:val="92"/>
              <w:rPr>
                <w:color w:val="auto"/>
                <w:highlight w:val="none"/>
                <w:u w:val="none"/>
              </w:rPr>
            </w:pPr>
            <w:r>
              <w:rPr>
                <w:color w:val="auto"/>
                <w:highlight w:val="none"/>
                <w:u w:val="none"/>
              </w:rPr>
              <w:t>每月记录</w:t>
            </w:r>
          </w:p>
        </w:tc>
        <w:tc>
          <w:tcPr>
            <w:tcW w:w="899" w:type="pct"/>
            <w:vAlign w:val="center"/>
          </w:tcPr>
          <w:p w14:paraId="24B27DBC">
            <w:pPr>
              <w:pStyle w:val="92"/>
              <w:rPr>
                <w:color w:val="auto"/>
                <w:highlight w:val="none"/>
                <w:u w:val="none"/>
              </w:rPr>
            </w:pPr>
            <w:r>
              <w:rPr>
                <w:color w:val="auto"/>
                <w:highlight w:val="none"/>
                <w:u w:val="none"/>
              </w:rPr>
              <w:t>参考内部抄表</w:t>
            </w:r>
          </w:p>
        </w:tc>
      </w:tr>
    </w:tbl>
    <w:p w14:paraId="64149F64">
      <w:pPr>
        <w:pStyle w:val="981"/>
        <w:rPr>
          <w:rFonts w:hint="eastAsia"/>
          <w:color w:val="auto"/>
          <w:highlight w:val="none"/>
          <w:u w:val="none"/>
        </w:rPr>
      </w:pPr>
      <w:r>
        <w:rPr>
          <w:rFonts w:hint="eastAsia" w:ascii="宋体" w:cs="宋体"/>
          <w:color w:val="auto"/>
          <w:highlight w:val="none"/>
          <w:u w:val="none"/>
        </w:rPr>
        <w:t>②</w:t>
      </w:r>
      <w:r>
        <w:rPr>
          <w:color w:val="auto"/>
          <w:highlight w:val="none"/>
          <w:u w:val="none"/>
        </w:rPr>
        <w:t>报告管理</w:t>
      </w:r>
    </w:p>
    <w:p w14:paraId="0633B93E">
      <w:pPr>
        <w:pStyle w:val="981"/>
        <w:rPr>
          <w:rFonts w:hint="eastAsia"/>
          <w:color w:val="auto"/>
          <w:highlight w:val="none"/>
          <w:u w:val="none"/>
        </w:rPr>
      </w:pPr>
      <w:r>
        <w:rPr>
          <w:color w:val="auto"/>
          <w:highlight w:val="none"/>
          <w:u w:val="none"/>
        </w:rPr>
        <w:t>企业应基于碳排放核算的结果编写碳排放报告，并对其进行校核。核算报告编写应符合主管部门所规定的格式要求，对经过内部质量控制的核算结果进行确认形成最终企业盖章的碳排放报告，并按要求提交给主管部门1份，本企业存档1份。</w:t>
      </w:r>
    </w:p>
    <w:p w14:paraId="095620F2">
      <w:pPr>
        <w:pStyle w:val="981"/>
        <w:rPr>
          <w:rFonts w:hint="eastAsia"/>
          <w:color w:val="auto"/>
          <w:highlight w:val="none"/>
          <w:u w:val="none"/>
        </w:rPr>
      </w:pPr>
      <w:r>
        <w:rPr>
          <w:color w:val="auto"/>
          <w:highlight w:val="none"/>
          <w:u w:val="none"/>
        </w:rPr>
        <w:t>（3）信息公开</w:t>
      </w:r>
    </w:p>
    <w:p w14:paraId="483A97D7">
      <w:pPr>
        <w:pStyle w:val="981"/>
        <w:rPr>
          <w:rFonts w:hint="eastAsia"/>
          <w:color w:val="auto"/>
          <w:highlight w:val="none"/>
          <w:u w:val="none"/>
        </w:rPr>
      </w:pPr>
      <w:r>
        <w:rPr>
          <w:color w:val="auto"/>
          <w:highlight w:val="none"/>
          <w:u w:val="none"/>
        </w:rPr>
        <w:t>企业应按照主管部门相关要求和规定，核算并上报企业碳排放情况。鼓励企业选择合适的自发性披露渠道和方式，面向社会发布企业碳排放情况。</w:t>
      </w:r>
    </w:p>
    <w:p w14:paraId="0ADFE83A">
      <w:pPr>
        <w:pStyle w:val="6"/>
        <w:spacing w:before="156" w:after="156"/>
        <w:rPr>
          <w:color w:val="auto"/>
          <w:highlight w:val="none"/>
          <w:u w:val="none"/>
          <w:lang w:val="en-US"/>
        </w:rPr>
      </w:pPr>
      <w:r>
        <w:rPr>
          <w:color w:val="auto"/>
          <w:highlight w:val="none"/>
          <w:u w:val="none"/>
          <w:lang w:val="en-US"/>
        </w:rPr>
        <w:t>碳排放环境影响评价结论</w:t>
      </w:r>
    </w:p>
    <w:p w14:paraId="5DF016E3">
      <w:pPr>
        <w:pStyle w:val="981"/>
        <w:spacing w:before="156" w:after="156"/>
      </w:pPr>
      <w:r>
        <w:rPr>
          <w:rFonts w:hint="eastAsia"/>
        </w:rPr>
        <w:t>（</w:t>
      </w:r>
      <w:r>
        <w:t>1</w:t>
      </w:r>
      <w:r>
        <w:rPr>
          <w:rFonts w:hint="eastAsia"/>
        </w:rPr>
        <w:t>）本次技改在工艺系统、电气系统、建筑节能等各方面采用了一系列节能减排措施，实现碳减排，这与碳达峰、碳中和的政策相符。</w:t>
      </w:r>
    </w:p>
    <w:p w14:paraId="4FCAB3C5">
      <w:pPr>
        <w:pStyle w:val="981"/>
      </w:pPr>
      <w:r>
        <w:rPr>
          <w:rFonts w:hint="eastAsia"/>
        </w:rPr>
        <w:t>（</w:t>
      </w:r>
      <w:r>
        <w:t>2</w:t>
      </w:r>
      <w:r>
        <w:rPr>
          <w:rFonts w:hint="eastAsia"/>
        </w:rPr>
        <w:t>）</w:t>
      </w:r>
      <w:r>
        <w:rPr>
          <w:rFonts w:hint="eastAsia" w:hAnsi="Times New Roman"/>
        </w:rPr>
        <w:t>本次评价以企业法人独立核算单位为边界，预测核算企业技改工程产生的温室气体排放总量</w:t>
      </w:r>
      <w:r>
        <w:rPr>
          <w:rFonts w:hint="eastAsia"/>
        </w:rPr>
        <w:t>优于同行业平均水平</w:t>
      </w:r>
      <w:r>
        <w:rPr>
          <w:rFonts w:hint="eastAsia"/>
          <w:lang w:val="en-US"/>
        </w:rPr>
        <w:t>。</w:t>
      </w:r>
      <w:r>
        <w:rPr>
          <w:rFonts w:hint="eastAsia"/>
        </w:rPr>
        <w:t>本项目技改后对万华福建公司全厂的碳排放绩效具有一定优化作用。</w:t>
      </w:r>
    </w:p>
    <w:p w14:paraId="51582F8D">
      <w:pPr>
        <w:pStyle w:val="981"/>
        <w:rPr>
          <w:rFonts w:hint="eastAsia"/>
          <w:color w:val="auto"/>
          <w:highlight w:val="none"/>
          <w:u w:val="none"/>
        </w:rPr>
      </w:pPr>
      <w:r>
        <w:rPr>
          <w:rFonts w:hint="eastAsia"/>
        </w:rPr>
        <w:t>（</w:t>
      </w:r>
      <w:r>
        <w:t>3</w:t>
      </w:r>
      <w:r>
        <w:rPr>
          <w:rFonts w:hint="eastAsia"/>
        </w:rPr>
        <w:t>）建议企业按照国家对碳排放控制和碳市场管理的要求开展和完善监测计划，从源头、过程、末端等全生命周期加强节能降耗，减排降碳的控制与管理，严格按照本报告提出的措施进行减污降碳，从源头上减少二氧化碳的排放</w:t>
      </w:r>
      <w:r>
        <w:rPr>
          <w:rFonts w:hint="eastAsia"/>
          <w:color w:val="auto"/>
          <w:highlight w:val="none"/>
          <w:u w:val="none"/>
        </w:rPr>
        <w:t>。</w:t>
      </w:r>
    </w:p>
    <w:p w14:paraId="3F251E06">
      <w:pPr>
        <w:pStyle w:val="4"/>
        <w:jc w:val="both"/>
        <w:rPr>
          <w:color w:val="auto"/>
          <w:highlight w:val="none"/>
          <w:u w:val="none"/>
        </w:rPr>
      </w:pPr>
      <w:bookmarkStart w:id="572" w:name="_Toc148374825"/>
      <w:bookmarkStart w:id="573" w:name="_Toc109211093"/>
      <w:bookmarkStart w:id="574" w:name="_Toc148375063"/>
      <w:bookmarkStart w:id="575" w:name="_Toc10255"/>
      <w:bookmarkStart w:id="576" w:name="_Toc148374621"/>
      <w:r>
        <w:rPr>
          <w:rFonts w:hint="eastAsia"/>
          <w:color w:val="auto"/>
          <w:highlight w:val="none"/>
          <w:u w:val="none"/>
        </w:rPr>
        <w:t>施工期环境影响评价</w:t>
      </w:r>
      <w:bookmarkEnd w:id="572"/>
      <w:bookmarkEnd w:id="573"/>
      <w:bookmarkEnd w:id="574"/>
      <w:bookmarkEnd w:id="575"/>
      <w:bookmarkEnd w:id="576"/>
    </w:p>
    <w:p w14:paraId="0DFD91F1">
      <w:pPr>
        <w:pStyle w:val="6"/>
        <w:spacing w:before="156" w:after="156"/>
        <w:rPr>
          <w:color w:val="auto"/>
          <w:highlight w:val="none"/>
          <w:u w:val="none"/>
        </w:rPr>
      </w:pPr>
      <w:bookmarkStart w:id="577" w:name="_Toc148375064"/>
      <w:bookmarkStart w:id="578" w:name="_Toc148374622"/>
      <w:r>
        <w:rPr>
          <w:rFonts w:hint="eastAsia"/>
          <w:color w:val="auto"/>
          <w:highlight w:val="none"/>
          <w:u w:val="none"/>
        </w:rPr>
        <w:t>施工期水环境影响分析</w:t>
      </w:r>
      <w:bookmarkEnd w:id="577"/>
      <w:bookmarkEnd w:id="578"/>
    </w:p>
    <w:p w14:paraId="53D48226">
      <w:pPr>
        <w:rPr>
          <w:rFonts w:hint="eastAsia"/>
          <w:color w:val="auto"/>
          <w:highlight w:val="none"/>
          <w:u w:val="none"/>
        </w:rPr>
      </w:pPr>
      <w:r>
        <w:rPr>
          <w:rFonts w:hint="eastAsia"/>
          <w:color w:val="auto"/>
          <w:highlight w:val="none"/>
          <w:u w:val="none"/>
        </w:rPr>
        <w:t>项目施工过程中产生的废水主要为施工废水、施工人员生活污水等。</w:t>
      </w:r>
    </w:p>
    <w:p w14:paraId="1A91BD1B">
      <w:pPr>
        <w:rPr>
          <w:rFonts w:hint="eastAsia"/>
          <w:color w:val="auto"/>
          <w:highlight w:val="none"/>
          <w:u w:val="none"/>
        </w:rPr>
      </w:pPr>
      <w:r>
        <w:rPr>
          <w:rFonts w:hint="eastAsia"/>
          <w:color w:val="auto"/>
          <w:highlight w:val="none"/>
          <w:u w:val="none"/>
        </w:rPr>
        <w:t>（1）生产废水</w:t>
      </w:r>
    </w:p>
    <w:p w14:paraId="64106B5B">
      <w:pPr>
        <w:rPr>
          <w:rFonts w:hint="eastAsia"/>
          <w:color w:val="auto"/>
          <w:highlight w:val="none"/>
          <w:u w:val="none"/>
        </w:rPr>
      </w:pPr>
      <w:r>
        <w:rPr>
          <w:rFonts w:hint="eastAsia"/>
          <w:color w:val="auto"/>
          <w:highlight w:val="none"/>
          <w:u w:val="none"/>
        </w:rPr>
        <w:t>项目施工过程中产生的施工废水主要含有砂土、悬浮物、石油类等，可在施工场地附近设置临时隔油池和沉淀池处理后用于场地洒水抑尘，不外排，对周边水体的影响较小。</w:t>
      </w:r>
    </w:p>
    <w:p w14:paraId="64F364E3">
      <w:pPr>
        <w:rPr>
          <w:rFonts w:hint="eastAsia"/>
          <w:color w:val="auto"/>
          <w:highlight w:val="none"/>
          <w:u w:val="none"/>
        </w:rPr>
      </w:pPr>
      <w:r>
        <w:rPr>
          <w:rFonts w:ascii="宋体"/>
          <w:color w:val="auto"/>
          <w:highlight w:val="none"/>
          <w:u w:val="none"/>
        </w:rPr>
        <w:t>项目施工期</w:t>
      </w:r>
      <w:r>
        <w:rPr>
          <w:rFonts w:hint="eastAsia" w:ascii="宋体"/>
          <w:color w:val="auto"/>
          <w:highlight w:val="none"/>
          <w:u w:val="none"/>
        </w:rPr>
        <w:t>应加强对施工机械的检修，防止</w:t>
      </w:r>
      <w:r>
        <w:rPr>
          <w:color w:val="auto"/>
          <w:highlight w:val="none"/>
          <w:u w:val="none"/>
        </w:rPr>
        <w:t>跑、冒、滴、漏</w:t>
      </w:r>
      <w:r>
        <w:rPr>
          <w:rFonts w:hint="eastAsia"/>
          <w:color w:val="auto"/>
          <w:highlight w:val="none"/>
          <w:u w:val="none"/>
        </w:rPr>
        <w:t>，</w:t>
      </w:r>
      <w:r>
        <w:rPr>
          <w:rFonts w:ascii="宋体"/>
          <w:color w:val="auto"/>
          <w:highlight w:val="none"/>
          <w:u w:val="none"/>
        </w:rPr>
        <w:t>严格控制汽车等机械设备冲洗废水，</w:t>
      </w:r>
      <w:r>
        <w:rPr>
          <w:rFonts w:hint="eastAsia" w:ascii="宋体"/>
          <w:color w:val="auto"/>
          <w:highlight w:val="none"/>
          <w:u w:val="none"/>
        </w:rPr>
        <w:t>减少污水产生量，并在运输车辆</w:t>
      </w:r>
      <w:r>
        <w:rPr>
          <w:rFonts w:ascii="宋体"/>
          <w:color w:val="auto"/>
          <w:highlight w:val="none"/>
          <w:u w:val="none"/>
        </w:rPr>
        <w:t>出口处设置车轮冲洗设备及相应的</w:t>
      </w:r>
      <w:r>
        <w:rPr>
          <w:rFonts w:hint="eastAsia" w:ascii="宋体"/>
          <w:color w:val="auto"/>
          <w:highlight w:val="none"/>
          <w:u w:val="none"/>
        </w:rPr>
        <w:t>隔油</w:t>
      </w:r>
      <w:r>
        <w:rPr>
          <w:rFonts w:ascii="宋体"/>
          <w:color w:val="auto"/>
          <w:highlight w:val="none"/>
          <w:u w:val="none"/>
        </w:rPr>
        <w:t>沉淀设施</w:t>
      </w:r>
      <w:r>
        <w:rPr>
          <w:rFonts w:hint="eastAsia" w:ascii="宋体"/>
          <w:color w:val="auto"/>
          <w:highlight w:val="none"/>
          <w:u w:val="none"/>
        </w:rPr>
        <w:t>，冲洗废水</w:t>
      </w:r>
      <w:r>
        <w:rPr>
          <w:rFonts w:ascii="宋体"/>
          <w:color w:val="auto"/>
          <w:highlight w:val="none"/>
          <w:u w:val="none"/>
        </w:rPr>
        <w:t>经</w:t>
      </w:r>
      <w:r>
        <w:rPr>
          <w:rFonts w:hint="eastAsia" w:ascii="宋体"/>
          <w:color w:val="auto"/>
          <w:highlight w:val="none"/>
          <w:u w:val="none"/>
        </w:rPr>
        <w:t>隔油</w:t>
      </w:r>
      <w:r>
        <w:rPr>
          <w:rFonts w:ascii="宋体"/>
          <w:color w:val="auto"/>
          <w:highlight w:val="none"/>
          <w:u w:val="none"/>
        </w:rPr>
        <w:t>沉淀后</w:t>
      </w:r>
      <w:r>
        <w:rPr>
          <w:rFonts w:hint="eastAsia" w:ascii="宋体"/>
          <w:color w:val="auto"/>
          <w:highlight w:val="none"/>
          <w:u w:val="none"/>
        </w:rPr>
        <w:t>用于施工现场洒水不外排。</w:t>
      </w:r>
    </w:p>
    <w:p w14:paraId="687248B5">
      <w:pPr>
        <w:rPr>
          <w:rFonts w:hint="eastAsia"/>
          <w:color w:val="auto"/>
          <w:highlight w:val="none"/>
          <w:u w:val="none"/>
        </w:rPr>
      </w:pPr>
      <w:r>
        <w:rPr>
          <w:rFonts w:hint="eastAsia"/>
          <w:color w:val="auto"/>
          <w:highlight w:val="none"/>
          <w:u w:val="none"/>
        </w:rPr>
        <w:t>（2）生活污水</w:t>
      </w:r>
    </w:p>
    <w:p w14:paraId="035C2558">
      <w:pPr>
        <w:rPr>
          <w:rFonts w:hint="eastAsia"/>
          <w:color w:val="auto"/>
          <w:highlight w:val="none"/>
          <w:u w:val="none"/>
        </w:rPr>
      </w:pPr>
      <w:r>
        <w:rPr>
          <w:rFonts w:hint="eastAsia"/>
          <w:color w:val="auto"/>
          <w:highlight w:val="none"/>
          <w:u w:val="none"/>
        </w:rPr>
        <w:t>施工人员的生活污水按高峰期施工人员</w:t>
      </w:r>
      <w:r>
        <w:rPr>
          <w:color w:val="auto"/>
          <w:highlight w:val="none"/>
          <w:u w:val="none"/>
        </w:rPr>
        <w:t>5</w:t>
      </w:r>
      <w:r>
        <w:rPr>
          <w:rFonts w:hint="eastAsia"/>
          <w:color w:val="auto"/>
          <w:highlight w:val="none"/>
          <w:u w:val="none"/>
        </w:rPr>
        <w:t>0人，根据《建筑给水排水设计规范》（GB50015-2003），按供水定额100L人/d，则用水量为</w:t>
      </w:r>
      <w:r>
        <w:rPr>
          <w:color w:val="auto"/>
          <w:highlight w:val="none"/>
          <w:u w:val="none"/>
        </w:rPr>
        <w:t>5</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/d，排污系数取0.8，则施工人员产生的生活污水量为</w:t>
      </w:r>
      <w:r>
        <w:rPr>
          <w:color w:val="auto"/>
          <w:highlight w:val="none"/>
          <w:u w:val="none"/>
        </w:rPr>
        <w:t>4</w:t>
      </w:r>
      <w:r>
        <w:rPr>
          <w:rFonts w:hint="eastAsia"/>
          <w:color w:val="auto"/>
          <w:highlight w:val="none"/>
          <w:u w:val="none"/>
        </w:rPr>
        <w:t>m</w:t>
      </w:r>
      <w:r>
        <w:rPr>
          <w:rFonts w:hint="eastAsia"/>
          <w:color w:val="auto"/>
          <w:highlight w:val="none"/>
          <w:u w:val="none"/>
          <w:vertAlign w:val="superscript"/>
        </w:rPr>
        <w:t>3</w:t>
      </w:r>
      <w:r>
        <w:rPr>
          <w:rFonts w:hint="eastAsia"/>
          <w:color w:val="auto"/>
          <w:highlight w:val="none"/>
          <w:u w:val="none"/>
        </w:rPr>
        <w:t>/d，其主要污染因子为COD、BOD</w:t>
      </w:r>
      <w:r>
        <w:rPr>
          <w:rFonts w:hint="eastAsia"/>
          <w:color w:val="auto"/>
          <w:highlight w:val="none"/>
          <w:u w:val="none"/>
          <w:vertAlign w:val="subscript"/>
        </w:rPr>
        <w:t>5</w:t>
      </w:r>
      <w:r>
        <w:rPr>
          <w:rFonts w:hint="eastAsia"/>
          <w:color w:val="auto"/>
          <w:highlight w:val="none"/>
          <w:u w:val="none"/>
        </w:rPr>
        <w:t>、SS、氨氮等。在项目施工期间，施工人员就近租住于当地民房，施工人员的生活污水依托当地的污水处理系统处理，不单独外排。</w:t>
      </w:r>
    </w:p>
    <w:p w14:paraId="01114F6E">
      <w:pPr>
        <w:rPr>
          <w:rFonts w:hint="eastAsia"/>
          <w:color w:val="auto"/>
          <w:highlight w:val="none"/>
          <w:u w:val="none"/>
        </w:rPr>
      </w:pPr>
      <w:r>
        <w:rPr>
          <w:rFonts w:hint="eastAsia"/>
          <w:color w:val="auto"/>
          <w:highlight w:val="none"/>
          <w:u w:val="none"/>
        </w:rPr>
        <w:t>经以上分析，项目施工期排水量较小，排水水质简单，生活污水依托当地的污水处理系统处理，不单独外排。施工废水经过隔油、沉淀处理后充分循环利用，对项目周边的水环境影响较小，并且当施工活动结束后，污染源及其影响即随之消失。</w:t>
      </w:r>
    </w:p>
    <w:p w14:paraId="1020D3C1">
      <w:pPr>
        <w:pStyle w:val="6"/>
        <w:spacing w:before="156" w:after="156"/>
        <w:rPr>
          <w:color w:val="auto"/>
          <w:highlight w:val="none"/>
          <w:u w:val="none"/>
        </w:rPr>
      </w:pPr>
      <w:bookmarkStart w:id="579" w:name="_Toc148374623"/>
      <w:bookmarkStart w:id="580" w:name="_Toc148375065"/>
      <w:r>
        <w:rPr>
          <w:rFonts w:hint="eastAsia"/>
          <w:color w:val="auto"/>
          <w:highlight w:val="none"/>
          <w:u w:val="none"/>
        </w:rPr>
        <w:t>施工期大气环境影响分析</w:t>
      </w:r>
      <w:bookmarkEnd w:id="579"/>
      <w:bookmarkEnd w:id="580"/>
    </w:p>
    <w:p w14:paraId="56684DB5">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1</w:t>
      </w:r>
      <w:r>
        <w:rPr>
          <w:rFonts w:hint="eastAsia"/>
          <w:color w:val="auto"/>
          <w:highlight w:val="none"/>
          <w:u w:val="none"/>
        </w:rPr>
        <w:t>）技改过程装置废气</w:t>
      </w:r>
    </w:p>
    <w:p w14:paraId="7A79FFBD">
      <w:pPr>
        <w:rPr>
          <w:rFonts w:hint="eastAsia"/>
          <w:color w:val="auto"/>
          <w:highlight w:val="none"/>
          <w:u w:val="none"/>
        </w:rPr>
      </w:pPr>
      <w:r>
        <w:rPr>
          <w:rFonts w:hint="eastAsia"/>
          <w:color w:val="auto"/>
          <w:highlight w:val="none"/>
          <w:u w:val="none"/>
        </w:rPr>
        <w:t>技改施工过程各管道、中间罐、反应塔等设备废气采用排气置换措施，排出的废气由风机送往各废气处理设施处理后达标排放。</w:t>
      </w:r>
    </w:p>
    <w:p w14:paraId="3554FC3B">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2</w:t>
      </w:r>
      <w:r>
        <w:rPr>
          <w:rFonts w:hint="eastAsia"/>
          <w:color w:val="auto"/>
          <w:highlight w:val="none"/>
          <w:u w:val="none"/>
        </w:rPr>
        <w:t>）焊接烟气</w:t>
      </w:r>
    </w:p>
    <w:p w14:paraId="185D45F8">
      <w:pPr>
        <w:rPr>
          <w:rFonts w:hint="eastAsia"/>
          <w:color w:val="auto"/>
          <w:highlight w:val="none"/>
          <w:u w:val="none"/>
        </w:rPr>
      </w:pPr>
      <w:r>
        <w:rPr>
          <w:rFonts w:hint="eastAsia"/>
          <w:color w:val="auto"/>
          <w:highlight w:val="none"/>
          <w:u w:val="none"/>
        </w:rPr>
        <w:t>本项目设施施工安装过程的焊接烟气产生量可忽略不计，施工期短，工程一结束，影响随之消失。</w:t>
      </w:r>
    </w:p>
    <w:p w14:paraId="4D51E919">
      <w:pPr>
        <w:rPr>
          <w:rFonts w:hint="eastAsia"/>
          <w:color w:val="auto"/>
          <w:highlight w:val="none"/>
          <w:u w:val="none"/>
        </w:rPr>
      </w:pPr>
      <w:r>
        <w:rPr>
          <w:rFonts w:hint="eastAsia"/>
          <w:color w:val="auto"/>
          <w:highlight w:val="none"/>
          <w:u w:val="none"/>
        </w:rPr>
        <w:t>（3）施工机械、施工车辆燃油产生的尾气</w:t>
      </w:r>
    </w:p>
    <w:p w14:paraId="5A685227">
      <w:pPr>
        <w:rPr>
          <w:rFonts w:hint="eastAsia"/>
          <w:color w:val="auto"/>
          <w:highlight w:val="none"/>
          <w:u w:val="none"/>
        </w:rPr>
      </w:pPr>
      <w:r>
        <w:rPr>
          <w:rFonts w:hint="eastAsia"/>
          <w:color w:val="auto"/>
          <w:highlight w:val="none"/>
          <w:u w:val="none"/>
        </w:rPr>
        <w:t>施工机械运输和车辆动力源为柴油，主要污染物为NO</w:t>
      </w:r>
      <w:r>
        <w:rPr>
          <w:rFonts w:hint="eastAsia"/>
          <w:color w:val="auto"/>
          <w:highlight w:val="none"/>
          <w:u w:val="none"/>
          <w:vertAlign w:val="subscript"/>
        </w:rPr>
        <w:t>2</w:t>
      </w:r>
      <w:r>
        <w:rPr>
          <w:rFonts w:hint="eastAsia"/>
          <w:color w:val="auto"/>
          <w:highlight w:val="none"/>
          <w:u w:val="none"/>
        </w:rPr>
        <w:t>、CO和THC（碳氢化合物）等。一般来说，施工机械排放的废气和运输车辆尾气的污染源较分散，且是流动性的，因数量少，影响较为轻微。</w:t>
      </w:r>
    </w:p>
    <w:p w14:paraId="6F24757C">
      <w:pPr>
        <w:pStyle w:val="6"/>
        <w:spacing w:before="156" w:after="156"/>
        <w:rPr>
          <w:color w:val="auto"/>
          <w:highlight w:val="none"/>
          <w:u w:val="none"/>
        </w:rPr>
      </w:pPr>
      <w:bookmarkStart w:id="581" w:name="_Toc148375066"/>
      <w:bookmarkStart w:id="582" w:name="_Toc148374624"/>
      <w:r>
        <w:rPr>
          <w:rFonts w:hint="eastAsia"/>
          <w:color w:val="auto"/>
          <w:highlight w:val="none"/>
          <w:u w:val="none"/>
        </w:rPr>
        <w:t>施工期声环境影响分析</w:t>
      </w:r>
      <w:bookmarkEnd w:id="581"/>
      <w:bookmarkEnd w:id="582"/>
    </w:p>
    <w:p w14:paraId="64BC15A6">
      <w:pPr>
        <w:rPr>
          <w:rFonts w:hint="eastAsia"/>
          <w:color w:val="auto"/>
          <w:highlight w:val="none"/>
          <w:u w:val="none"/>
        </w:rPr>
      </w:pPr>
      <w:r>
        <w:rPr>
          <w:rFonts w:hint="eastAsia"/>
          <w:color w:val="auto"/>
          <w:highlight w:val="none"/>
          <w:u w:val="none"/>
        </w:rPr>
        <w:t>在建筑施工中，本项目施工期噪声主要来自设备安装过程中使用的运输车辆和多种施工机械，包括起重机、运输车辆等，通过类比调查，</w:t>
      </w:r>
      <w:r>
        <w:rPr>
          <w:rFonts w:hint="eastAsia"/>
          <w:color w:val="auto"/>
          <w:highlight w:val="none"/>
          <w:u w:val="none"/>
          <w:lang w:val="en-US"/>
        </w:rPr>
        <w:t>施工期间的主要噪声声源强见表</w:t>
      </w:r>
      <w:r>
        <w:rPr>
          <w:color w:val="auto"/>
          <w:highlight w:val="none"/>
          <w:u w:val="none"/>
        </w:rPr>
        <w:t>。</w:t>
      </w:r>
    </w:p>
    <w:p w14:paraId="1E976809">
      <w:pPr>
        <w:pStyle w:val="981"/>
        <w:rPr>
          <w:rFonts w:hint="eastAsia"/>
          <w:color w:val="auto"/>
          <w:highlight w:val="none"/>
          <w:u w:val="none"/>
        </w:rPr>
      </w:pPr>
      <w:r>
        <w:rPr>
          <w:rFonts w:hint="eastAsia"/>
          <w:color w:val="auto"/>
          <w:highlight w:val="none"/>
          <w:u w:val="none"/>
        </w:rPr>
        <w:t>本项目采用几何发散衰减计算式预测噪声强度：</w:t>
      </w:r>
    </w:p>
    <w:p w14:paraId="317ED5DF">
      <w:pPr>
        <w:pStyle w:val="981"/>
        <w:jc w:val="center"/>
        <w:rPr>
          <w:rStyle w:val="791"/>
          <w:rFonts w:hint="eastAsia"/>
          <w:color w:val="auto"/>
          <w:highlight w:val="none"/>
          <w:u w:val="none"/>
        </w:rPr>
      </w:pPr>
      <w:r>
        <w:rPr>
          <w:color w:val="auto"/>
          <w:position w:val="-30"/>
          <w:highlight w:val="none"/>
          <w:u w:val="none"/>
        </w:rPr>
        <w:object>
          <v:shape id="_x0000_i1038" o:spt="75" type="#_x0000_t75" style="height:35.15pt;width:84.55pt;" o:ole="t" filled="f" o:preferrelative="t" stroked="f" coordsize="21600,21600">
            <v:path/>
            <v:fill on="f" focussize="0,0"/>
            <v:stroke on="f" joinstyle="miter"/>
            <v:imagedata r:id="rId61" o:title=""/>
            <o:lock v:ext="edit" aspectratio="t"/>
            <w10:wrap type="none"/>
            <w10:anchorlock/>
          </v:shape>
          <o:OLEObject Type="Embed" ProgID="Equation.3" ShapeID="_x0000_i1038" DrawAspect="Content" ObjectID="_1468075738" r:id="rId60">
            <o:LockedField>false</o:LockedField>
          </o:OLEObject>
        </w:object>
      </w:r>
    </w:p>
    <w:p w14:paraId="69DF931E">
      <w:pPr>
        <w:pStyle w:val="981"/>
        <w:rPr>
          <w:rFonts w:hint="eastAsia"/>
          <w:color w:val="auto"/>
          <w:highlight w:val="none"/>
          <w:u w:val="none"/>
        </w:rPr>
      </w:pPr>
      <w:r>
        <w:rPr>
          <w:rFonts w:hint="eastAsia"/>
          <w:color w:val="auto"/>
          <w:highlight w:val="none"/>
          <w:u w:val="none"/>
        </w:rPr>
        <w:t>其中：</w:t>
      </w:r>
    </w:p>
    <w:p w14:paraId="411BCE33">
      <w:pPr>
        <w:pStyle w:val="981"/>
        <w:rPr>
          <w:rFonts w:hint="eastAsia"/>
          <w:color w:val="auto"/>
          <w:highlight w:val="none"/>
          <w:u w:val="none"/>
        </w:rPr>
      </w:pPr>
      <w:r>
        <w:rPr>
          <w:rFonts w:hint="eastAsia"/>
          <w:color w:val="auto"/>
          <w:highlight w:val="none"/>
          <w:u w:val="none"/>
        </w:rPr>
        <w:t>L</w:t>
      </w:r>
      <w:r>
        <w:rPr>
          <w:rFonts w:hint="eastAsia"/>
          <w:color w:val="auto"/>
          <w:highlight w:val="none"/>
          <w:u w:val="none"/>
          <w:vertAlign w:val="subscript"/>
        </w:rPr>
        <w:t>1</w:t>
      </w:r>
      <w:r>
        <w:rPr>
          <w:rFonts w:hint="eastAsia"/>
          <w:color w:val="auto"/>
          <w:highlight w:val="none"/>
          <w:u w:val="none"/>
        </w:rPr>
        <w:t>、L</w:t>
      </w:r>
      <w:r>
        <w:rPr>
          <w:rFonts w:hint="eastAsia"/>
          <w:color w:val="auto"/>
          <w:highlight w:val="none"/>
          <w:u w:val="none"/>
          <w:vertAlign w:val="subscript"/>
        </w:rPr>
        <w:t>2</w:t>
      </w:r>
      <w:r>
        <w:rPr>
          <w:rFonts w:hint="eastAsia"/>
          <w:color w:val="auto"/>
          <w:highlight w:val="none"/>
          <w:u w:val="none"/>
        </w:rPr>
        <w:t>——距离声源r</w:t>
      </w:r>
      <w:r>
        <w:rPr>
          <w:rFonts w:hint="eastAsia"/>
          <w:color w:val="auto"/>
          <w:highlight w:val="none"/>
          <w:u w:val="none"/>
          <w:vertAlign w:val="subscript"/>
        </w:rPr>
        <w:t>1</w:t>
      </w:r>
      <w:r>
        <w:rPr>
          <w:rFonts w:hint="eastAsia"/>
          <w:color w:val="auto"/>
          <w:highlight w:val="none"/>
          <w:u w:val="none"/>
        </w:rPr>
        <w:t>、r</w:t>
      </w:r>
      <w:r>
        <w:rPr>
          <w:rFonts w:hint="eastAsia"/>
          <w:color w:val="auto"/>
          <w:highlight w:val="none"/>
          <w:u w:val="none"/>
          <w:vertAlign w:val="subscript"/>
        </w:rPr>
        <w:t>2</w:t>
      </w:r>
      <w:r>
        <w:rPr>
          <w:rFonts w:hint="eastAsia"/>
          <w:color w:val="auto"/>
          <w:highlight w:val="none"/>
          <w:u w:val="none"/>
        </w:rPr>
        <w:t>距离的噪声值，dB；</w:t>
      </w:r>
    </w:p>
    <w:p w14:paraId="62C24E5F">
      <w:pPr>
        <w:pStyle w:val="981"/>
        <w:rPr>
          <w:rFonts w:hint="eastAsia"/>
          <w:color w:val="auto"/>
          <w:highlight w:val="none"/>
          <w:u w:val="none"/>
        </w:rPr>
      </w:pPr>
      <w:r>
        <w:rPr>
          <w:rFonts w:hint="eastAsia"/>
          <w:color w:val="auto"/>
          <w:highlight w:val="none"/>
          <w:u w:val="none"/>
        </w:rPr>
        <w:t>r</w:t>
      </w:r>
      <w:r>
        <w:rPr>
          <w:rFonts w:hint="eastAsia"/>
          <w:color w:val="auto"/>
          <w:highlight w:val="none"/>
          <w:u w:val="none"/>
          <w:vertAlign w:val="subscript"/>
        </w:rPr>
        <w:t>1</w:t>
      </w:r>
      <w:r>
        <w:rPr>
          <w:rFonts w:hint="eastAsia"/>
          <w:color w:val="auto"/>
          <w:highlight w:val="none"/>
          <w:u w:val="none"/>
        </w:rPr>
        <w:t>——点声源至受声点1的距离，m；</w:t>
      </w:r>
    </w:p>
    <w:p w14:paraId="5345762A">
      <w:pPr>
        <w:pStyle w:val="981"/>
        <w:rPr>
          <w:rFonts w:hint="eastAsia"/>
          <w:color w:val="auto"/>
          <w:highlight w:val="none"/>
          <w:u w:val="none"/>
        </w:rPr>
      </w:pPr>
      <w:r>
        <w:rPr>
          <w:rFonts w:hint="eastAsia"/>
          <w:color w:val="auto"/>
          <w:highlight w:val="none"/>
          <w:u w:val="none"/>
        </w:rPr>
        <w:t>r</w:t>
      </w:r>
      <w:r>
        <w:rPr>
          <w:rFonts w:hint="eastAsia"/>
          <w:color w:val="auto"/>
          <w:highlight w:val="none"/>
          <w:u w:val="none"/>
          <w:vertAlign w:val="subscript"/>
        </w:rPr>
        <w:t>2</w:t>
      </w:r>
      <w:r>
        <w:rPr>
          <w:rFonts w:hint="eastAsia"/>
          <w:color w:val="auto"/>
          <w:highlight w:val="none"/>
          <w:u w:val="none"/>
        </w:rPr>
        <w:t>——点声源至受声点2的距离，m；</w:t>
      </w:r>
    </w:p>
    <w:p w14:paraId="2AD3196D">
      <w:pPr>
        <w:pStyle w:val="981"/>
        <w:rPr>
          <w:rFonts w:hint="eastAsia"/>
          <w:color w:val="auto"/>
          <w:highlight w:val="none"/>
          <w:u w:val="none"/>
        </w:rPr>
      </w:pPr>
      <w:r>
        <w:rPr>
          <w:rFonts w:hAnsi="Times New Roman"/>
          <w:color w:val="auto"/>
          <w:szCs w:val="22"/>
          <w:highlight w:val="none"/>
          <w:u w:val="none"/>
        </w:rPr>
        <w:t>根据公式计算可以得出和声源不同距离处的噪声贡献值预测结果</w:t>
      </w:r>
      <w:r>
        <w:rPr>
          <w:color w:val="auto"/>
          <w:highlight w:val="none"/>
          <w:u w:val="none"/>
        </w:rPr>
        <w:t>，见</w:t>
      </w:r>
      <w:r>
        <w:rPr>
          <w:color w:val="auto"/>
          <w:highlight w:val="none"/>
          <w:u w:val="none"/>
        </w:rPr>
        <w:fldChar w:fldCharType="begin"/>
      </w:r>
      <w:r>
        <w:rPr>
          <w:color w:val="auto"/>
          <w:highlight w:val="none"/>
          <w:u w:val="none"/>
        </w:rPr>
        <w:instrText xml:space="preserve"> REF _Ref51085489 \h  \* MERGEFORMAT </w:instrText>
      </w:r>
      <w:r>
        <w:rPr>
          <w:color w:val="auto"/>
          <w:highlight w:val="none"/>
          <w:u w:val="none"/>
        </w:rPr>
        <w:fldChar w:fldCharType="separate"/>
      </w:r>
      <w:r>
        <w:rPr>
          <w:rFonts w:hint="eastAsia"/>
          <w:bCs/>
          <w:color w:val="auto"/>
          <w:highlight w:val="none"/>
          <w:u w:val="none"/>
        </w:rPr>
        <w:t xml:space="preserve">表 </w:t>
      </w:r>
      <w:r>
        <w:rPr>
          <w:bCs/>
          <w:color w:val="auto"/>
          <w:highlight w:val="none"/>
          <w:u w:val="none"/>
        </w:rPr>
        <w:fldChar w:fldCharType="begin"/>
      </w:r>
      <w:r>
        <w:rPr>
          <w:bCs/>
          <w:color w:val="auto"/>
          <w:highlight w:val="none"/>
          <w:u w:val="none"/>
        </w:rPr>
        <w:instrText xml:space="preserve"> </w:instrText>
      </w:r>
      <w:r>
        <w:rPr>
          <w:rFonts w:hint="eastAsia"/>
          <w:bCs/>
          <w:color w:val="auto"/>
          <w:highlight w:val="none"/>
          <w:u w:val="none"/>
        </w:rPr>
        <w:instrText xml:space="preserve">STYLEREF</w:instrText>
      </w:r>
      <w:r>
        <w:rPr>
          <w:rFonts w:hint="eastAsia"/>
          <w:color w:val="auto"/>
          <w:highlight w:val="none"/>
          <w:u w:val="none"/>
        </w:rPr>
        <w:instrText xml:space="preserve"> 2 \s</w:instrText>
      </w:r>
      <w:r>
        <w:rPr>
          <w:color w:val="auto"/>
          <w:highlight w:val="none"/>
          <w:u w:val="none"/>
        </w:rPr>
        <w:instrText xml:space="preserve"> </w:instrText>
      </w:r>
      <w:r>
        <w:rPr>
          <w:color w:val="auto"/>
          <w:highlight w:val="none"/>
          <w:u w:val="none"/>
        </w:rPr>
        <w:fldChar w:fldCharType="separate"/>
      </w:r>
      <w:r>
        <w:rPr>
          <w:color w:val="auto"/>
          <w:highlight w:val="none"/>
          <w:u w:val="none"/>
        </w:rPr>
        <w:t>8.9</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6969B3EB">
      <w:pPr>
        <w:pStyle w:val="85"/>
        <w:rPr>
          <w:color w:val="auto"/>
          <w:highlight w:val="none"/>
          <w:u w:val="none"/>
        </w:rPr>
      </w:pPr>
      <w:bookmarkStart w:id="583" w:name="_Ref51085489"/>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8.9</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bookmarkEnd w:id="583"/>
      <w:r>
        <w:rPr>
          <w:rFonts w:hint="eastAsia"/>
          <w:color w:val="auto"/>
          <w:highlight w:val="none"/>
          <w:u w:val="none"/>
        </w:rPr>
        <w:t xml:space="preserve">  施工机械</w:t>
      </w:r>
      <w:r>
        <w:rPr>
          <w:color w:val="auto"/>
          <w:highlight w:val="none"/>
          <w:u w:val="none"/>
        </w:rPr>
        <w:t>不同距离处噪声强度一览表</w:t>
      </w:r>
    </w:p>
    <w:tbl>
      <w:tblPr>
        <w:tblStyle w:val="58"/>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276"/>
        <w:gridCol w:w="650"/>
        <w:gridCol w:w="652"/>
        <w:gridCol w:w="656"/>
        <w:gridCol w:w="656"/>
        <w:gridCol w:w="656"/>
        <w:gridCol w:w="815"/>
        <w:gridCol w:w="815"/>
        <w:gridCol w:w="763"/>
        <w:gridCol w:w="611"/>
        <w:gridCol w:w="734"/>
      </w:tblGrid>
      <w:tr w14:paraId="224A7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6" w:type="pct"/>
            <w:vMerge w:val="restart"/>
            <w:shd w:val="clear" w:color="auto" w:fill="auto"/>
            <w:vAlign w:val="center"/>
          </w:tcPr>
          <w:p w14:paraId="17282F97">
            <w:pPr>
              <w:pStyle w:val="92"/>
              <w:rPr>
                <w:color w:val="auto"/>
                <w:highlight w:val="none"/>
                <w:u w:val="none"/>
              </w:rPr>
            </w:pPr>
            <w:r>
              <w:rPr>
                <w:color w:val="auto"/>
                <w:highlight w:val="none"/>
                <w:u w:val="none"/>
              </w:rPr>
              <w:t>机械名称</w:t>
            </w:r>
          </w:p>
        </w:tc>
        <w:tc>
          <w:tcPr>
            <w:tcW w:w="3773" w:type="pct"/>
            <w:gridSpan w:val="10"/>
            <w:shd w:val="clear" w:color="auto" w:fill="auto"/>
            <w:vAlign w:val="center"/>
          </w:tcPr>
          <w:p w14:paraId="7BB678F0">
            <w:pPr>
              <w:pStyle w:val="92"/>
              <w:rPr>
                <w:color w:val="auto"/>
                <w:highlight w:val="none"/>
                <w:u w:val="none"/>
              </w:rPr>
            </w:pPr>
            <w:r>
              <w:rPr>
                <w:color w:val="auto"/>
                <w:highlight w:val="none"/>
                <w:u w:val="none"/>
              </w:rPr>
              <w:t>距机械不同距离的噪声级（dB）</w:t>
            </w:r>
          </w:p>
        </w:tc>
      </w:tr>
      <w:tr w14:paraId="100A1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6" w:type="pct"/>
            <w:vMerge w:val="continue"/>
            <w:shd w:val="clear" w:color="auto" w:fill="auto"/>
            <w:vAlign w:val="center"/>
          </w:tcPr>
          <w:p w14:paraId="1E63A3FF">
            <w:pPr>
              <w:pStyle w:val="92"/>
              <w:rPr>
                <w:color w:val="auto"/>
                <w:highlight w:val="none"/>
                <w:u w:val="none"/>
              </w:rPr>
            </w:pPr>
          </w:p>
        </w:tc>
        <w:tc>
          <w:tcPr>
            <w:tcW w:w="350" w:type="pct"/>
            <w:shd w:val="clear" w:color="auto" w:fill="auto"/>
            <w:vAlign w:val="center"/>
          </w:tcPr>
          <w:p w14:paraId="6F9727C7">
            <w:pPr>
              <w:pStyle w:val="92"/>
              <w:rPr>
                <w:color w:val="auto"/>
                <w:highlight w:val="none"/>
                <w:u w:val="none"/>
              </w:rPr>
            </w:pPr>
            <w:r>
              <w:rPr>
                <w:rFonts w:hint="eastAsia"/>
                <w:color w:val="auto"/>
                <w:highlight w:val="none"/>
                <w:u w:val="none"/>
              </w:rPr>
              <w:t>5</w:t>
            </w:r>
          </w:p>
        </w:tc>
        <w:tc>
          <w:tcPr>
            <w:tcW w:w="351" w:type="pct"/>
            <w:shd w:val="clear" w:color="auto" w:fill="auto"/>
            <w:vAlign w:val="center"/>
          </w:tcPr>
          <w:p w14:paraId="14DDFBB3">
            <w:pPr>
              <w:pStyle w:val="92"/>
              <w:rPr>
                <w:color w:val="auto"/>
                <w:highlight w:val="none"/>
                <w:u w:val="none"/>
              </w:rPr>
            </w:pPr>
            <w:r>
              <w:rPr>
                <w:color w:val="auto"/>
                <w:highlight w:val="none"/>
                <w:u w:val="none"/>
              </w:rPr>
              <w:t>20</w:t>
            </w:r>
          </w:p>
        </w:tc>
        <w:tc>
          <w:tcPr>
            <w:tcW w:w="353" w:type="pct"/>
            <w:shd w:val="clear" w:color="auto" w:fill="auto"/>
            <w:vAlign w:val="center"/>
          </w:tcPr>
          <w:p w14:paraId="230DC5FD">
            <w:pPr>
              <w:pStyle w:val="92"/>
              <w:rPr>
                <w:color w:val="auto"/>
                <w:highlight w:val="none"/>
                <w:u w:val="none"/>
              </w:rPr>
            </w:pPr>
            <w:r>
              <w:rPr>
                <w:rFonts w:hint="eastAsia"/>
                <w:color w:val="auto"/>
                <w:highlight w:val="none"/>
                <w:u w:val="none"/>
              </w:rPr>
              <w:t>40</w:t>
            </w:r>
          </w:p>
        </w:tc>
        <w:tc>
          <w:tcPr>
            <w:tcW w:w="353" w:type="pct"/>
            <w:shd w:val="clear" w:color="auto" w:fill="auto"/>
            <w:vAlign w:val="center"/>
          </w:tcPr>
          <w:p w14:paraId="62714B15">
            <w:pPr>
              <w:pStyle w:val="92"/>
              <w:rPr>
                <w:color w:val="auto"/>
                <w:highlight w:val="none"/>
                <w:u w:val="none"/>
              </w:rPr>
            </w:pPr>
            <w:r>
              <w:rPr>
                <w:rFonts w:hint="eastAsia"/>
                <w:color w:val="auto"/>
                <w:highlight w:val="none"/>
                <w:u w:val="none"/>
              </w:rPr>
              <w:t>6</w:t>
            </w:r>
            <w:r>
              <w:rPr>
                <w:color w:val="auto"/>
                <w:highlight w:val="none"/>
                <w:u w:val="none"/>
              </w:rPr>
              <w:t>0</w:t>
            </w:r>
          </w:p>
        </w:tc>
        <w:tc>
          <w:tcPr>
            <w:tcW w:w="353" w:type="pct"/>
            <w:shd w:val="clear" w:color="auto" w:fill="auto"/>
            <w:vAlign w:val="center"/>
          </w:tcPr>
          <w:p w14:paraId="2F5A4C1B">
            <w:pPr>
              <w:pStyle w:val="92"/>
              <w:rPr>
                <w:color w:val="auto"/>
                <w:highlight w:val="none"/>
                <w:u w:val="none"/>
              </w:rPr>
            </w:pPr>
            <w:r>
              <w:rPr>
                <w:rFonts w:hint="eastAsia"/>
                <w:color w:val="auto"/>
                <w:highlight w:val="none"/>
                <w:u w:val="none"/>
              </w:rPr>
              <w:t>8</w:t>
            </w:r>
            <w:r>
              <w:rPr>
                <w:color w:val="auto"/>
                <w:highlight w:val="none"/>
                <w:u w:val="none"/>
              </w:rPr>
              <w:t>0</w:t>
            </w:r>
          </w:p>
        </w:tc>
        <w:tc>
          <w:tcPr>
            <w:tcW w:w="439" w:type="pct"/>
            <w:shd w:val="clear" w:color="auto" w:fill="auto"/>
            <w:vAlign w:val="center"/>
          </w:tcPr>
          <w:p w14:paraId="36267BBB">
            <w:pPr>
              <w:pStyle w:val="92"/>
              <w:rPr>
                <w:color w:val="auto"/>
                <w:highlight w:val="none"/>
                <w:u w:val="none"/>
              </w:rPr>
            </w:pPr>
            <w:r>
              <w:rPr>
                <w:color w:val="auto"/>
                <w:highlight w:val="none"/>
                <w:u w:val="none"/>
              </w:rPr>
              <w:t>100</w:t>
            </w:r>
          </w:p>
        </w:tc>
        <w:tc>
          <w:tcPr>
            <w:tcW w:w="439" w:type="pct"/>
            <w:shd w:val="clear" w:color="auto" w:fill="auto"/>
            <w:vAlign w:val="center"/>
          </w:tcPr>
          <w:p w14:paraId="7D657931">
            <w:pPr>
              <w:pStyle w:val="92"/>
              <w:rPr>
                <w:color w:val="auto"/>
                <w:highlight w:val="none"/>
                <w:u w:val="none"/>
              </w:rPr>
            </w:pPr>
            <w:r>
              <w:rPr>
                <w:rFonts w:hint="eastAsia"/>
                <w:color w:val="auto"/>
                <w:highlight w:val="none"/>
                <w:u w:val="none"/>
              </w:rPr>
              <w:t>120</w:t>
            </w:r>
          </w:p>
        </w:tc>
        <w:tc>
          <w:tcPr>
            <w:tcW w:w="411" w:type="pct"/>
            <w:tcBorders>
              <w:right w:val="single" w:color="auto" w:sz="4" w:space="0"/>
            </w:tcBorders>
            <w:shd w:val="clear" w:color="auto" w:fill="auto"/>
            <w:vAlign w:val="center"/>
          </w:tcPr>
          <w:p w14:paraId="38E738D9">
            <w:pPr>
              <w:pStyle w:val="92"/>
              <w:rPr>
                <w:color w:val="auto"/>
                <w:highlight w:val="none"/>
                <w:u w:val="none"/>
              </w:rPr>
            </w:pPr>
            <w:r>
              <w:rPr>
                <w:rFonts w:hint="eastAsia"/>
                <w:color w:val="auto"/>
                <w:highlight w:val="none"/>
                <w:u w:val="none"/>
              </w:rPr>
              <w:t>140</w:t>
            </w:r>
          </w:p>
        </w:tc>
        <w:tc>
          <w:tcPr>
            <w:tcW w:w="329" w:type="pct"/>
            <w:tcBorders>
              <w:left w:val="single" w:color="auto" w:sz="4" w:space="0"/>
              <w:right w:val="single" w:color="auto" w:sz="4" w:space="0"/>
            </w:tcBorders>
            <w:shd w:val="clear" w:color="auto" w:fill="auto"/>
            <w:vAlign w:val="center"/>
          </w:tcPr>
          <w:p w14:paraId="197CB3FA">
            <w:pPr>
              <w:pStyle w:val="92"/>
              <w:rPr>
                <w:color w:val="auto"/>
                <w:highlight w:val="none"/>
                <w:u w:val="none"/>
              </w:rPr>
            </w:pPr>
            <w:r>
              <w:rPr>
                <w:rFonts w:hint="eastAsia"/>
                <w:color w:val="auto"/>
                <w:highlight w:val="none"/>
                <w:u w:val="none"/>
              </w:rPr>
              <w:t>160</w:t>
            </w:r>
          </w:p>
        </w:tc>
        <w:tc>
          <w:tcPr>
            <w:tcW w:w="390" w:type="pct"/>
            <w:tcBorders>
              <w:left w:val="single" w:color="auto" w:sz="4" w:space="0"/>
            </w:tcBorders>
            <w:shd w:val="clear" w:color="auto" w:fill="auto"/>
            <w:vAlign w:val="center"/>
          </w:tcPr>
          <w:p w14:paraId="60113ACF">
            <w:pPr>
              <w:pStyle w:val="92"/>
              <w:rPr>
                <w:color w:val="auto"/>
                <w:highlight w:val="none"/>
                <w:u w:val="none"/>
              </w:rPr>
            </w:pPr>
            <w:r>
              <w:rPr>
                <w:rFonts w:hint="eastAsia"/>
                <w:color w:val="auto"/>
                <w:highlight w:val="none"/>
                <w:u w:val="none"/>
              </w:rPr>
              <w:t>180</w:t>
            </w:r>
          </w:p>
        </w:tc>
      </w:tr>
      <w:tr w14:paraId="6DA07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6" w:type="pct"/>
            <w:shd w:val="clear" w:color="auto" w:fill="auto"/>
            <w:vAlign w:val="center"/>
          </w:tcPr>
          <w:p w14:paraId="6D5BE5A8">
            <w:pPr>
              <w:pStyle w:val="92"/>
              <w:rPr>
                <w:color w:val="auto"/>
                <w:highlight w:val="none"/>
                <w:u w:val="none"/>
              </w:rPr>
            </w:pPr>
            <w:r>
              <w:rPr>
                <w:rFonts w:hint="eastAsia"/>
                <w:color w:val="auto"/>
                <w:highlight w:val="none"/>
                <w:u w:val="none"/>
              </w:rPr>
              <w:t>起重机</w:t>
            </w:r>
          </w:p>
        </w:tc>
        <w:tc>
          <w:tcPr>
            <w:tcW w:w="350" w:type="pct"/>
            <w:shd w:val="clear" w:color="auto" w:fill="auto"/>
            <w:vAlign w:val="center"/>
          </w:tcPr>
          <w:p w14:paraId="79865BD5">
            <w:pPr>
              <w:pStyle w:val="92"/>
              <w:rPr>
                <w:color w:val="auto"/>
                <w:highlight w:val="none"/>
                <w:u w:val="none"/>
              </w:rPr>
            </w:pPr>
            <w:r>
              <w:rPr>
                <w:color w:val="auto"/>
                <w:highlight w:val="none"/>
                <w:u w:val="none"/>
              </w:rPr>
              <w:t>82</w:t>
            </w:r>
          </w:p>
        </w:tc>
        <w:tc>
          <w:tcPr>
            <w:tcW w:w="351" w:type="pct"/>
            <w:shd w:val="clear" w:color="auto" w:fill="auto"/>
            <w:vAlign w:val="center"/>
          </w:tcPr>
          <w:p w14:paraId="327DF9AF">
            <w:pPr>
              <w:pStyle w:val="92"/>
              <w:rPr>
                <w:color w:val="auto"/>
                <w:highlight w:val="none"/>
                <w:u w:val="none"/>
              </w:rPr>
            </w:pPr>
            <w:r>
              <w:rPr>
                <w:color w:val="auto"/>
                <w:highlight w:val="none"/>
                <w:u w:val="none"/>
              </w:rPr>
              <w:t>76</w:t>
            </w:r>
          </w:p>
        </w:tc>
        <w:tc>
          <w:tcPr>
            <w:tcW w:w="353" w:type="pct"/>
            <w:shd w:val="clear" w:color="auto" w:fill="auto"/>
            <w:vAlign w:val="center"/>
          </w:tcPr>
          <w:p w14:paraId="25E0796E">
            <w:pPr>
              <w:pStyle w:val="92"/>
              <w:rPr>
                <w:color w:val="auto"/>
                <w:highlight w:val="none"/>
                <w:u w:val="none"/>
              </w:rPr>
            </w:pPr>
            <w:r>
              <w:rPr>
                <w:color w:val="auto"/>
                <w:highlight w:val="none"/>
                <w:u w:val="none"/>
              </w:rPr>
              <w:t>73</w:t>
            </w:r>
          </w:p>
        </w:tc>
        <w:tc>
          <w:tcPr>
            <w:tcW w:w="353" w:type="pct"/>
            <w:shd w:val="clear" w:color="auto" w:fill="auto"/>
            <w:vAlign w:val="center"/>
          </w:tcPr>
          <w:p w14:paraId="2F9F360C">
            <w:pPr>
              <w:pStyle w:val="92"/>
              <w:rPr>
                <w:color w:val="auto"/>
                <w:highlight w:val="none"/>
                <w:u w:val="none"/>
              </w:rPr>
            </w:pPr>
            <w:r>
              <w:rPr>
                <w:color w:val="auto"/>
                <w:highlight w:val="none"/>
                <w:u w:val="none"/>
              </w:rPr>
              <w:t>70</w:t>
            </w:r>
          </w:p>
        </w:tc>
        <w:tc>
          <w:tcPr>
            <w:tcW w:w="353" w:type="pct"/>
            <w:shd w:val="clear" w:color="auto" w:fill="auto"/>
            <w:vAlign w:val="center"/>
          </w:tcPr>
          <w:p w14:paraId="09E92FF9">
            <w:pPr>
              <w:pStyle w:val="92"/>
              <w:rPr>
                <w:color w:val="auto"/>
                <w:highlight w:val="none"/>
                <w:u w:val="none"/>
              </w:rPr>
            </w:pPr>
            <w:r>
              <w:rPr>
                <w:color w:val="auto"/>
                <w:highlight w:val="none"/>
                <w:u w:val="none"/>
              </w:rPr>
              <w:t>68</w:t>
            </w:r>
          </w:p>
        </w:tc>
        <w:tc>
          <w:tcPr>
            <w:tcW w:w="439" w:type="pct"/>
            <w:shd w:val="clear" w:color="auto" w:fill="auto"/>
            <w:vAlign w:val="center"/>
          </w:tcPr>
          <w:p w14:paraId="51E20D1E">
            <w:pPr>
              <w:pStyle w:val="92"/>
              <w:rPr>
                <w:color w:val="auto"/>
                <w:highlight w:val="none"/>
                <w:u w:val="none"/>
              </w:rPr>
            </w:pPr>
            <w:r>
              <w:rPr>
                <w:color w:val="auto"/>
                <w:highlight w:val="none"/>
                <w:u w:val="none"/>
              </w:rPr>
              <w:t>62</w:t>
            </w:r>
          </w:p>
        </w:tc>
        <w:tc>
          <w:tcPr>
            <w:tcW w:w="439" w:type="pct"/>
            <w:shd w:val="clear" w:color="auto" w:fill="auto"/>
            <w:vAlign w:val="center"/>
          </w:tcPr>
          <w:p w14:paraId="681E1170">
            <w:pPr>
              <w:pStyle w:val="92"/>
              <w:rPr>
                <w:color w:val="auto"/>
                <w:highlight w:val="none"/>
                <w:u w:val="none"/>
              </w:rPr>
            </w:pPr>
            <w:r>
              <w:rPr>
                <w:color w:val="auto"/>
                <w:highlight w:val="none"/>
                <w:u w:val="none"/>
              </w:rPr>
              <w:t>59</w:t>
            </w:r>
          </w:p>
        </w:tc>
        <w:tc>
          <w:tcPr>
            <w:tcW w:w="411" w:type="pct"/>
            <w:tcBorders>
              <w:right w:val="single" w:color="auto" w:sz="4" w:space="0"/>
            </w:tcBorders>
            <w:shd w:val="clear" w:color="auto" w:fill="auto"/>
            <w:vAlign w:val="center"/>
          </w:tcPr>
          <w:p w14:paraId="648FD1D9">
            <w:pPr>
              <w:pStyle w:val="92"/>
              <w:rPr>
                <w:color w:val="auto"/>
                <w:highlight w:val="none"/>
                <w:u w:val="none"/>
              </w:rPr>
            </w:pPr>
            <w:r>
              <w:rPr>
                <w:color w:val="auto"/>
                <w:highlight w:val="none"/>
                <w:u w:val="none"/>
              </w:rPr>
              <w:t>56</w:t>
            </w:r>
          </w:p>
        </w:tc>
        <w:tc>
          <w:tcPr>
            <w:tcW w:w="329" w:type="pct"/>
            <w:tcBorders>
              <w:left w:val="single" w:color="auto" w:sz="4" w:space="0"/>
              <w:right w:val="single" w:color="auto" w:sz="4" w:space="0"/>
            </w:tcBorders>
            <w:shd w:val="clear" w:color="auto" w:fill="auto"/>
            <w:vAlign w:val="center"/>
          </w:tcPr>
          <w:p w14:paraId="7C725BB4">
            <w:pPr>
              <w:pStyle w:val="92"/>
              <w:rPr>
                <w:color w:val="auto"/>
                <w:highlight w:val="none"/>
                <w:u w:val="none"/>
              </w:rPr>
            </w:pPr>
          </w:p>
        </w:tc>
        <w:tc>
          <w:tcPr>
            <w:tcW w:w="390" w:type="pct"/>
            <w:tcBorders>
              <w:left w:val="single" w:color="auto" w:sz="4" w:space="0"/>
            </w:tcBorders>
            <w:shd w:val="clear" w:color="auto" w:fill="auto"/>
            <w:vAlign w:val="center"/>
          </w:tcPr>
          <w:p w14:paraId="4A34FB7B">
            <w:pPr>
              <w:pStyle w:val="92"/>
              <w:rPr>
                <w:color w:val="auto"/>
                <w:highlight w:val="none"/>
                <w:u w:val="none"/>
              </w:rPr>
            </w:pPr>
          </w:p>
        </w:tc>
      </w:tr>
    </w:tbl>
    <w:p w14:paraId="4016215A">
      <w:pPr>
        <w:pStyle w:val="981"/>
        <w:rPr>
          <w:rFonts w:hint="eastAsia"/>
          <w:snapToGrid w:val="0"/>
          <w:color w:val="auto"/>
          <w:highlight w:val="none"/>
          <w:u w:val="none"/>
        </w:rPr>
      </w:pPr>
    </w:p>
    <w:p w14:paraId="2C0A533C">
      <w:pPr>
        <w:pStyle w:val="981"/>
        <w:rPr>
          <w:rFonts w:hint="eastAsia"/>
          <w:snapToGrid w:val="0"/>
          <w:color w:val="auto"/>
          <w:highlight w:val="none"/>
          <w:u w:val="none"/>
        </w:rPr>
      </w:pPr>
      <w:r>
        <w:rPr>
          <w:rFonts w:hint="eastAsia"/>
          <w:snapToGrid w:val="0"/>
          <w:color w:val="auto"/>
          <w:highlight w:val="none"/>
          <w:u w:val="none"/>
          <w:lang w:val="en-US"/>
        </w:rPr>
        <w:t>根据</w:t>
      </w:r>
      <w:r>
        <w:rPr>
          <w:color w:val="auto"/>
          <w:highlight w:val="none"/>
          <w:u w:val="none"/>
        </w:rPr>
        <w:fldChar w:fldCharType="begin"/>
      </w:r>
      <w:r>
        <w:rPr>
          <w:color w:val="auto"/>
          <w:highlight w:val="none"/>
          <w:u w:val="none"/>
        </w:rPr>
        <w:instrText xml:space="preserve"> REF _Ref51085489 \h  \* MERGEFORMAT </w:instrText>
      </w:r>
      <w:r>
        <w:rPr>
          <w:color w:val="auto"/>
          <w:highlight w:val="none"/>
          <w:u w:val="none"/>
        </w:rPr>
        <w:fldChar w:fldCharType="separate"/>
      </w:r>
      <w:r>
        <w:rPr>
          <w:rFonts w:hint="eastAsia"/>
          <w:bCs/>
          <w:color w:val="auto"/>
          <w:highlight w:val="none"/>
          <w:u w:val="none"/>
        </w:rPr>
        <w:t xml:space="preserve">表 </w:t>
      </w:r>
      <w:r>
        <w:rPr>
          <w:bCs/>
          <w:color w:val="auto"/>
          <w:highlight w:val="none"/>
          <w:u w:val="none"/>
        </w:rPr>
        <w:t>8.9</w:t>
      </w:r>
      <w:r>
        <w:rPr>
          <w:bCs/>
          <w:color w:val="auto"/>
          <w:highlight w:val="none"/>
          <w:u w:val="none"/>
        </w:rPr>
        <w:noBreakHyphen/>
      </w:r>
      <w:r>
        <w:rPr>
          <w:bCs/>
          <w:color w:val="auto"/>
          <w:highlight w:val="none"/>
          <w:u w:val="none"/>
        </w:rPr>
        <w:t>1</w:t>
      </w:r>
      <w:r>
        <w:rPr>
          <w:color w:val="auto"/>
          <w:highlight w:val="none"/>
          <w:u w:val="none"/>
        </w:rPr>
        <w:fldChar w:fldCharType="end"/>
      </w:r>
      <w:r>
        <w:rPr>
          <w:rFonts w:hint="eastAsia"/>
          <w:color w:val="auto"/>
          <w:highlight w:val="none"/>
          <w:u w:val="none"/>
          <w:lang w:val="en-US"/>
        </w:rPr>
        <w:t>可知，</w:t>
      </w:r>
      <w:r>
        <w:rPr>
          <w:rFonts w:hint="eastAsia"/>
          <w:snapToGrid w:val="0"/>
          <w:color w:val="auto"/>
          <w:highlight w:val="none"/>
          <w:u w:val="none"/>
        </w:rPr>
        <w:t>施工机械噪声在无遮挡情况下，如果使用单台机械，起重机对环境的影响范围为100m，夜间需禁止施工。在此距离之外可满足《建筑施工场界环境噪声排放标准》（GB12523-2011）的要求。</w:t>
      </w:r>
    </w:p>
    <w:p w14:paraId="232800F6">
      <w:pPr>
        <w:pStyle w:val="981"/>
        <w:rPr>
          <w:rFonts w:hint="eastAsia"/>
          <w:snapToGrid w:val="0"/>
          <w:color w:val="auto"/>
          <w:highlight w:val="none"/>
          <w:u w:val="none"/>
        </w:rPr>
      </w:pPr>
      <w:r>
        <w:rPr>
          <w:rFonts w:hint="eastAsia"/>
          <w:snapToGrid w:val="0"/>
          <w:color w:val="auto"/>
          <w:highlight w:val="none"/>
          <w:u w:val="none"/>
        </w:rPr>
        <w:t>但施工机械多是露天作业，四周无遮挡，部分机械需要经常移动，起吊和安装工作需要高空作业，所以建筑施工噪声具有突发性、冲击性和不连续性等特点。当施工机械在厂界某一侧进行作业时，该厂界噪声昼、夜间将无法满足《建筑施工厂界环境噪声排放标准》（GB12523-2011）中规定的限值。</w:t>
      </w:r>
    </w:p>
    <w:p w14:paraId="50B9A0E0">
      <w:pPr>
        <w:pStyle w:val="981"/>
        <w:rPr>
          <w:rFonts w:hint="eastAsia"/>
          <w:snapToGrid w:val="0"/>
          <w:color w:val="auto"/>
          <w:highlight w:val="none"/>
          <w:u w:val="none"/>
        </w:rPr>
      </w:pPr>
      <w:r>
        <w:rPr>
          <w:rFonts w:hint="eastAsia"/>
          <w:snapToGrid w:val="0"/>
          <w:color w:val="auto"/>
          <w:highlight w:val="none"/>
          <w:u w:val="none"/>
        </w:rPr>
        <w:t>此外，考虑到项目施工材料运输路线主要利用现有的公路，施工过程中运输车辆流量增量总体来说不大，且项目密集的材料运输时间较短，将随着施工结束而消失。因此只要采取措施对材料运输车辆加强管理，项目施工期材料运输产生的噪声对沿线环境影响是可以接受的。</w:t>
      </w:r>
    </w:p>
    <w:p w14:paraId="7C5DA476">
      <w:pPr>
        <w:pStyle w:val="981"/>
        <w:rPr>
          <w:rFonts w:hint="eastAsia"/>
          <w:snapToGrid w:val="0"/>
          <w:color w:val="auto"/>
          <w:highlight w:val="none"/>
          <w:u w:val="none"/>
        </w:rPr>
      </w:pPr>
      <w:r>
        <w:rPr>
          <w:rFonts w:hint="eastAsia"/>
          <w:snapToGrid w:val="0"/>
          <w:color w:val="auto"/>
          <w:highlight w:val="none"/>
          <w:u w:val="none"/>
        </w:rPr>
        <w:t>针对如上情况，本评价提出以下措施：</w:t>
      </w:r>
    </w:p>
    <w:p w14:paraId="2F7B4312">
      <w:pPr>
        <w:pStyle w:val="981"/>
        <w:rPr>
          <w:rFonts w:hint="eastAsia"/>
          <w:snapToGrid w:val="0"/>
          <w:color w:val="auto"/>
          <w:highlight w:val="none"/>
          <w:u w:val="none"/>
        </w:rPr>
      </w:pPr>
      <w:r>
        <w:rPr>
          <w:rFonts w:hint="eastAsia"/>
          <w:snapToGrid w:val="0"/>
          <w:color w:val="auto"/>
          <w:highlight w:val="none"/>
          <w:u w:val="none"/>
        </w:rPr>
        <w:t>①严禁夜间施工，从严控制车辆鸣笛。</w:t>
      </w:r>
    </w:p>
    <w:p w14:paraId="26C8DB4A">
      <w:pPr>
        <w:pStyle w:val="981"/>
        <w:rPr>
          <w:rFonts w:hint="eastAsia"/>
          <w:snapToGrid w:val="0"/>
          <w:color w:val="auto"/>
          <w:highlight w:val="none"/>
          <w:u w:val="none"/>
        </w:rPr>
      </w:pPr>
      <w:r>
        <w:rPr>
          <w:rFonts w:hint="eastAsia"/>
          <w:snapToGrid w:val="0"/>
          <w:color w:val="auto"/>
          <w:highlight w:val="none"/>
          <w:u w:val="none"/>
        </w:rPr>
        <w:t>②建设单位应合理安排施工进度，避免高噪声设备集中运作，尽量将高噪声设备摆放在距离厂界较远的位置，定期进行维护和检修。</w:t>
      </w:r>
    </w:p>
    <w:p w14:paraId="02915FE2">
      <w:pPr>
        <w:pStyle w:val="981"/>
        <w:rPr>
          <w:rFonts w:hint="eastAsia"/>
          <w:snapToGrid w:val="0"/>
          <w:color w:val="auto"/>
          <w:highlight w:val="none"/>
          <w:u w:val="none"/>
        </w:rPr>
      </w:pPr>
      <w:r>
        <w:rPr>
          <w:rFonts w:hint="eastAsia"/>
          <w:snapToGrid w:val="0"/>
          <w:color w:val="auto"/>
          <w:highlight w:val="none"/>
          <w:u w:val="none"/>
        </w:rPr>
        <w:t>③对高噪声设备进行隔声减振处理。</w:t>
      </w:r>
    </w:p>
    <w:p w14:paraId="1E1804D8">
      <w:pPr>
        <w:pStyle w:val="981"/>
        <w:rPr>
          <w:rFonts w:hint="eastAsia"/>
          <w:color w:val="auto"/>
          <w:highlight w:val="none"/>
          <w:u w:val="none"/>
        </w:rPr>
      </w:pPr>
      <w:r>
        <w:rPr>
          <w:rFonts w:hint="eastAsia"/>
          <w:snapToGrid w:val="0"/>
          <w:color w:val="auto"/>
          <w:highlight w:val="none"/>
          <w:u w:val="none"/>
        </w:rPr>
        <w:t>本项目位于工业园区内，周边没有声环境敏感点，项目施工期噪声对周边环境影响不大，但为了减轻施工噪声对周围环境的影响，施工单位在组织施工时，应选用低噪声的设备，同时在施工场界做围挡措施，使噪声的影响降至最低程度。本项目施工期较为短暂，待施工结束后，施工噪声影响也随之消失。</w:t>
      </w:r>
    </w:p>
    <w:p w14:paraId="1A7E9E9A">
      <w:pPr>
        <w:pStyle w:val="6"/>
        <w:spacing w:before="156" w:after="156"/>
        <w:rPr>
          <w:color w:val="auto"/>
          <w:highlight w:val="none"/>
          <w:u w:val="none"/>
        </w:rPr>
      </w:pPr>
      <w:bookmarkStart w:id="584" w:name="_Toc148375067"/>
      <w:bookmarkStart w:id="585" w:name="_Toc148374625"/>
      <w:r>
        <w:rPr>
          <w:rFonts w:hint="eastAsia"/>
          <w:color w:val="auto"/>
          <w:highlight w:val="none"/>
          <w:u w:val="none"/>
        </w:rPr>
        <w:t>施工期固体废物影响分析</w:t>
      </w:r>
      <w:bookmarkEnd w:id="584"/>
      <w:bookmarkEnd w:id="585"/>
    </w:p>
    <w:p w14:paraId="0697330B">
      <w:pPr>
        <w:rPr>
          <w:rFonts w:hint="eastAsia"/>
          <w:color w:val="auto"/>
          <w:highlight w:val="none"/>
          <w:u w:val="none"/>
        </w:rPr>
      </w:pPr>
      <w:r>
        <w:rPr>
          <w:rFonts w:hint="eastAsia"/>
          <w:color w:val="auto"/>
          <w:highlight w:val="none"/>
          <w:u w:val="none"/>
        </w:rPr>
        <w:t>施工期固废主要分为施工作业固体废物、施工生活垃圾以及</w:t>
      </w:r>
      <w:r>
        <w:rPr>
          <w:rFonts w:hint="eastAsia"/>
          <w:color w:val="auto"/>
          <w:highlight w:val="none"/>
          <w:u w:val="none"/>
          <w:lang w:val="en-US"/>
        </w:rPr>
        <w:t>T</w:t>
      </w:r>
      <w:r>
        <w:rPr>
          <w:rFonts w:hint="eastAsia"/>
          <w:color w:val="auto"/>
          <w:highlight w:val="none"/>
          <w:u w:val="none"/>
        </w:rPr>
        <w:t>DI装置更换的旧设备、废催化剂、废污油等。</w:t>
      </w:r>
    </w:p>
    <w:p w14:paraId="718DF034">
      <w:pPr>
        <w:rPr>
          <w:rFonts w:hint="eastAsia"/>
          <w:color w:val="auto"/>
          <w:highlight w:val="none"/>
          <w:u w:val="none"/>
        </w:rPr>
      </w:pPr>
      <w:r>
        <w:rPr>
          <w:rFonts w:hint="eastAsia"/>
          <w:color w:val="auto"/>
          <w:highlight w:val="none"/>
          <w:u w:val="none"/>
        </w:rPr>
        <w:t>①施工作业固体废物</w:t>
      </w:r>
    </w:p>
    <w:p w14:paraId="6D44F878">
      <w:pPr>
        <w:rPr>
          <w:rFonts w:hint="eastAsia"/>
          <w:color w:val="auto"/>
          <w:highlight w:val="none"/>
          <w:u w:val="none"/>
        </w:rPr>
      </w:pPr>
      <w:r>
        <w:rPr>
          <w:rFonts w:hint="eastAsia"/>
          <w:color w:val="auto"/>
          <w:highlight w:val="none"/>
          <w:u w:val="none"/>
        </w:rPr>
        <w:t>施工作业固体废物主要为建筑模板、建筑材料下脚料、包装袋、废矿物油及含油废物、废油漆桶、少量机械修配擦油布等。施工作业产生的建筑模板、建筑材料下脚料、包装袋等应回收综合利用。施工安装过程产生的废杂物、含油抹布由环卫部门处置。施工过程产生的废矿物油及含油废物、废油漆桶等应集中收集，委托有资质单位接收处理处置。</w:t>
      </w:r>
    </w:p>
    <w:p w14:paraId="09FCFDEC">
      <w:pPr>
        <w:rPr>
          <w:rFonts w:hint="eastAsia"/>
          <w:color w:val="auto"/>
          <w:highlight w:val="none"/>
          <w:u w:val="none"/>
        </w:rPr>
      </w:pPr>
      <w:r>
        <w:rPr>
          <w:rFonts w:hint="eastAsia"/>
          <w:color w:val="auto"/>
          <w:highlight w:val="none"/>
          <w:u w:val="none"/>
        </w:rPr>
        <w:t>②施工生活垃圾收集后委托当地环卫部门统一处理。</w:t>
      </w:r>
    </w:p>
    <w:p w14:paraId="49A5F09E">
      <w:pPr>
        <w:rPr>
          <w:rFonts w:hint="eastAsia"/>
          <w:color w:val="auto"/>
          <w:highlight w:val="none"/>
          <w:u w:val="none"/>
        </w:rPr>
      </w:pPr>
      <w:r>
        <w:rPr>
          <w:rFonts w:hint="eastAsia"/>
          <w:color w:val="auto"/>
          <w:highlight w:val="none"/>
          <w:u w:val="none"/>
        </w:rPr>
        <w:t>③施工过程</w:t>
      </w:r>
      <w:r>
        <w:rPr>
          <w:rFonts w:hint="eastAsia"/>
          <w:color w:val="auto"/>
          <w:highlight w:val="none"/>
          <w:u w:val="none"/>
          <w:lang w:val="en-US"/>
        </w:rPr>
        <w:t>T</w:t>
      </w:r>
      <w:r>
        <w:rPr>
          <w:rFonts w:hint="eastAsia"/>
          <w:color w:val="auto"/>
          <w:highlight w:val="none"/>
          <w:u w:val="none"/>
        </w:rPr>
        <w:t>DI装置更换的泵和仪表等零部件清洗后暂存厂内一般固废暂存间，及时委托有能力单位处置；在</w:t>
      </w:r>
      <w:r>
        <w:rPr>
          <w:rFonts w:hint="eastAsia"/>
          <w:color w:val="auto"/>
          <w:highlight w:val="none"/>
          <w:u w:val="none"/>
          <w:lang w:val="en-US"/>
        </w:rPr>
        <w:t>T</w:t>
      </w:r>
      <w:r>
        <w:rPr>
          <w:rFonts w:hint="eastAsia"/>
          <w:color w:val="auto"/>
          <w:highlight w:val="none"/>
          <w:u w:val="none"/>
        </w:rPr>
        <w:t>DI装置区内预留用地上设置暂存区，暂存区设置适当的防雨、防渗、拦挡等防护措施，更换的大型旧设备先将存留的物料清空，再吹扫清洗去除设备附着物，达到施工作业条件，拆除存放在暂存区，作为一般固体废物及时委托有能力单位处置。技改过程更换的废催化剂、废污油等危险废物暂存厂内危险废物暂存间，及时委托有资质单位处置。</w:t>
      </w:r>
    </w:p>
    <w:p w14:paraId="7E0CCBD7">
      <w:pPr>
        <w:rPr>
          <w:rFonts w:hint="eastAsia"/>
          <w:color w:val="auto"/>
          <w:highlight w:val="none"/>
          <w:u w:val="none"/>
        </w:rPr>
      </w:pPr>
      <w:r>
        <w:rPr>
          <w:rFonts w:hint="eastAsia"/>
          <w:color w:val="auto"/>
          <w:highlight w:val="none"/>
          <w:u w:val="none"/>
        </w:rPr>
        <w:t>综上所述，施工期固体废物得到妥善处置后对外环境影响较小。</w:t>
      </w:r>
    </w:p>
    <w:p w14:paraId="4BF4ED44">
      <w:pPr>
        <w:rPr>
          <w:rFonts w:hint="eastAsia"/>
          <w:color w:val="auto"/>
          <w:highlight w:val="none"/>
          <w:u w:val="none"/>
        </w:rPr>
      </w:pPr>
    </w:p>
    <w:p w14:paraId="0E3F34C7">
      <w:pPr>
        <w:rPr>
          <w:rFonts w:hint="eastAsia"/>
          <w:color w:val="auto"/>
          <w:highlight w:val="none"/>
          <w:u w:val="none"/>
        </w:rPr>
      </w:pPr>
    </w:p>
    <w:p w14:paraId="29D87F6D">
      <w:pPr>
        <w:rPr>
          <w:rFonts w:hint="eastAsia"/>
          <w:color w:val="auto"/>
          <w:highlight w:val="none"/>
          <w:u w:val="none"/>
        </w:rPr>
      </w:pPr>
    </w:p>
    <w:p w14:paraId="719D36DC">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374E93F4">
      <w:pPr>
        <w:pStyle w:val="3"/>
        <w:rPr>
          <w:rFonts w:hint="eastAsia"/>
          <w:color w:val="auto"/>
          <w:highlight w:val="none"/>
          <w:u w:val="none"/>
        </w:rPr>
      </w:pPr>
      <w:bookmarkStart w:id="586" w:name="_Toc148374626"/>
      <w:bookmarkStart w:id="587" w:name="_Toc148374826"/>
      <w:bookmarkStart w:id="588" w:name="_Toc148375068"/>
      <w:bookmarkStart w:id="589" w:name="_Toc16465"/>
      <w:r>
        <w:rPr>
          <w:rFonts w:hint="eastAsia"/>
          <w:color w:val="auto"/>
          <w:highlight w:val="none"/>
          <w:u w:val="none"/>
        </w:rPr>
        <w:t>环境风险评价</w:t>
      </w:r>
      <w:bookmarkEnd w:id="586"/>
      <w:bookmarkEnd w:id="587"/>
      <w:bookmarkEnd w:id="588"/>
      <w:bookmarkEnd w:id="589"/>
    </w:p>
    <w:p w14:paraId="5C8EBF32">
      <w:pPr>
        <w:rPr>
          <w:rFonts w:hint="eastAsia"/>
          <w:color w:val="auto"/>
          <w:highlight w:val="none"/>
          <w:u w:val="none"/>
        </w:rPr>
      </w:pPr>
      <w:r>
        <w:rPr>
          <w:rFonts w:hint="eastAsia"/>
          <w:color w:val="auto"/>
          <w:highlight w:val="none"/>
          <w:u w:val="none"/>
        </w:rPr>
        <w:t>环境风险评价的目的是分析和预测工程建设存在的潜在危险、有害因素，项目施工和运营期间可能发生的突发性事件或事故（一般不包括人为破坏及自然灾害），引起有毒有害和易燃易爆等物质泄漏，所造成的人身安全与环境影响和损害程度，提出合理可行的防范、应急与减缓措施，以使项目事故率、损失和环境影响达到可接受水平。</w:t>
      </w:r>
    </w:p>
    <w:p w14:paraId="6B49CCE9">
      <w:pPr>
        <w:rPr>
          <w:rFonts w:hint="eastAsia"/>
          <w:color w:val="auto"/>
          <w:highlight w:val="none"/>
          <w:u w:val="none"/>
        </w:rPr>
      </w:pPr>
      <w:r>
        <w:rPr>
          <w:rFonts w:hint="eastAsia"/>
          <w:color w:val="auto"/>
          <w:highlight w:val="none"/>
          <w:u w:val="none"/>
        </w:rPr>
        <w:t>风险识别范围主要为项目所涉及的原辅材料、中间产品和最终产品及三废等物品、生产系统、贮存运输系统、相关的公用工程和辅助系统等。</w:t>
      </w:r>
    </w:p>
    <w:p w14:paraId="0946E821">
      <w:pPr>
        <w:rPr>
          <w:rFonts w:hint="eastAsia"/>
          <w:color w:val="auto"/>
          <w:highlight w:val="none"/>
          <w:u w:val="none"/>
        </w:rPr>
      </w:pPr>
      <w:r>
        <w:rPr>
          <w:rFonts w:hint="eastAsia"/>
          <w:color w:val="auto"/>
          <w:highlight w:val="none"/>
          <w:u w:val="none"/>
        </w:rPr>
        <w:t>本次环境风险评价将遵照国家环境保护部《关于进一步加强环境影响评价管理防范环境风险的通知》（环发[2012] 77号）和《关于切实加强风险防范严格环境影响评价管理的通知》（环发[2012] 98号），以及《国家安全监管总局办公厅关于印发光气及光气化产品安全生产管理指南的通知》（安监总厅管三〔</w:t>
      </w:r>
      <w:r>
        <w:rPr>
          <w:color w:val="auto"/>
          <w:highlight w:val="none"/>
          <w:u w:val="none"/>
        </w:rPr>
        <w:t>2014〕104号）的精神</w:t>
      </w:r>
      <w:r>
        <w:rPr>
          <w:rFonts w:hint="eastAsia"/>
          <w:color w:val="auto"/>
          <w:highlight w:val="none"/>
          <w:u w:val="none"/>
        </w:rPr>
        <w:t>，并依据《建设项目环境风险评价技术导则》（HJ169-2018）的相关要求，通过对项目环境风险识别、风险分析和对环境后果计算等方法进行环境风险评价，并针对潜在的环境风险，提出相应的预防措施及事故应急措施，力求将潜在的环境风险危害程度降至最低。</w:t>
      </w:r>
    </w:p>
    <w:p w14:paraId="0043F99B">
      <w:pPr>
        <w:pStyle w:val="4"/>
        <w:jc w:val="both"/>
        <w:rPr>
          <w:color w:val="auto"/>
          <w:highlight w:val="none"/>
          <w:u w:val="none"/>
        </w:rPr>
      </w:pPr>
      <w:bookmarkStart w:id="590" w:name="_Toc20696"/>
      <w:bookmarkStart w:id="591" w:name="_Toc148375069"/>
      <w:bookmarkStart w:id="592" w:name="_Toc148374627"/>
      <w:bookmarkStart w:id="593" w:name="_Toc148374827"/>
      <w:r>
        <w:rPr>
          <w:rFonts w:hint="eastAsia" w:eastAsia="宋体"/>
          <w:color w:val="auto"/>
          <w:highlight w:val="none"/>
          <w:u w:val="none"/>
          <w:lang w:val="en-US"/>
        </w:rPr>
        <w:t>现有工程环境风险防范措施</w:t>
      </w:r>
      <w:bookmarkEnd w:id="590"/>
      <w:bookmarkEnd w:id="591"/>
      <w:bookmarkEnd w:id="592"/>
      <w:bookmarkEnd w:id="593"/>
    </w:p>
    <w:p w14:paraId="6579162C">
      <w:pPr>
        <w:pStyle w:val="4"/>
        <w:rPr>
          <w:color w:val="auto"/>
          <w:highlight w:val="none"/>
          <w:u w:val="none"/>
        </w:rPr>
      </w:pPr>
      <w:bookmarkStart w:id="594" w:name="_Toc148374647"/>
      <w:bookmarkStart w:id="595" w:name="_Toc148375089"/>
      <w:bookmarkStart w:id="596" w:name="_Toc148374828"/>
      <w:bookmarkStart w:id="597" w:name="_Toc3214"/>
      <w:r>
        <w:rPr>
          <w:rFonts w:hint="eastAsia"/>
          <w:color w:val="auto"/>
          <w:highlight w:val="none"/>
          <w:u w:val="none"/>
        </w:rPr>
        <w:t>现有应急物资与装备、救援队伍情况</w:t>
      </w:r>
      <w:bookmarkEnd w:id="594"/>
      <w:bookmarkEnd w:id="595"/>
      <w:bookmarkEnd w:id="596"/>
      <w:bookmarkEnd w:id="597"/>
    </w:p>
    <w:p w14:paraId="22AA32B8">
      <w:pPr>
        <w:pStyle w:val="4"/>
        <w:jc w:val="both"/>
        <w:rPr>
          <w:color w:val="auto"/>
          <w:highlight w:val="none"/>
          <w:u w:val="none"/>
        </w:rPr>
      </w:pPr>
      <w:bookmarkStart w:id="598" w:name="_Toc26108"/>
      <w:bookmarkStart w:id="599" w:name="_Toc148374651"/>
      <w:bookmarkStart w:id="600" w:name="_Toc148375093"/>
      <w:bookmarkStart w:id="601" w:name="_Toc148374829"/>
      <w:r>
        <w:rPr>
          <w:color w:val="auto"/>
          <w:highlight w:val="none"/>
          <w:u w:val="none"/>
        </w:rPr>
        <w:t>环境风险潜势初判</w:t>
      </w:r>
      <w:bookmarkEnd w:id="598"/>
    </w:p>
    <w:p w14:paraId="76687C88">
      <w:pPr>
        <w:pStyle w:val="6"/>
        <w:spacing w:before="156" w:after="156"/>
        <w:rPr>
          <w:color w:val="auto"/>
          <w:highlight w:val="none"/>
          <w:u w:val="none"/>
        </w:rPr>
      </w:pPr>
      <w:r>
        <w:rPr>
          <w:color w:val="auto"/>
          <w:highlight w:val="none"/>
          <w:u w:val="none"/>
        </w:rPr>
        <w:t>危险物质及工艺系统危险性（P）分级</w:t>
      </w:r>
    </w:p>
    <w:p w14:paraId="217E5662">
      <w:pPr>
        <w:pStyle w:val="7"/>
        <w:spacing w:before="156"/>
        <w:rPr>
          <w:color w:val="auto"/>
          <w:highlight w:val="none"/>
          <w:u w:val="none"/>
        </w:rPr>
      </w:pPr>
      <w:r>
        <w:rPr>
          <w:color w:val="auto"/>
          <w:highlight w:val="none"/>
          <w:u w:val="none"/>
        </w:rPr>
        <w:t>危险物质数量与临界量比值（Q）</w:t>
      </w:r>
    </w:p>
    <w:p w14:paraId="06C4B383">
      <w:pPr>
        <w:rPr>
          <w:rFonts w:hint="eastAsia"/>
          <w:color w:val="auto"/>
          <w:highlight w:val="none"/>
          <w:u w:val="none"/>
        </w:rPr>
      </w:pPr>
      <w:r>
        <w:rPr>
          <w:color w:val="auto"/>
          <w:highlight w:val="none"/>
          <w:u w:val="none"/>
        </w:rPr>
        <w:t>当存在多种危险物质时，按下式计算物质总量与其临界量比值（Q）：</w:t>
      </w:r>
    </w:p>
    <w:p w14:paraId="43276E20">
      <w:pPr>
        <w:adjustRightInd w:val="0"/>
        <w:snapToGrid w:val="0"/>
        <w:jc w:val="center"/>
        <w:rPr>
          <w:rFonts w:hint="eastAsia"/>
          <w:color w:val="auto"/>
          <w:highlight w:val="none"/>
          <w:u w:val="none"/>
        </w:rPr>
      </w:pPr>
      <w:r>
        <w:rPr>
          <w:color w:val="auto"/>
          <w:position w:val="-30"/>
          <w:highlight w:val="none"/>
          <w:u w:val="none"/>
        </w:rPr>
        <w:object>
          <v:shape id="_x0000_i1039" o:spt="75" type="#_x0000_t75" style="height:43.55pt;width:180pt;" o:ole="t" filled="f" o:preferrelative="t" stroked="f" coordsize="21600,21600">
            <v:path/>
            <v:fill on="f" focussize="0,0"/>
            <v:stroke on="f" joinstyle="miter"/>
            <v:imagedata r:id="rId63" o:title=""/>
            <o:lock v:ext="edit" aspectratio="t"/>
            <w10:wrap type="none"/>
            <w10:anchorlock/>
          </v:shape>
          <o:OLEObject Type="Embed" ProgID="Equation.3" ShapeID="_x0000_i1039" DrawAspect="Content" ObjectID="_1468075739" r:id="rId62">
            <o:LockedField>false</o:LockedField>
          </o:OLEObject>
        </w:object>
      </w:r>
    </w:p>
    <w:p w14:paraId="5AB88AAE">
      <w:pPr>
        <w:rPr>
          <w:rFonts w:hint="eastAsia"/>
          <w:color w:val="auto"/>
          <w:highlight w:val="none"/>
          <w:u w:val="none"/>
        </w:rPr>
      </w:pPr>
      <w:r>
        <w:rPr>
          <w:color w:val="auto"/>
          <w:highlight w:val="none"/>
          <w:u w:val="none"/>
        </w:rPr>
        <w:t>式中：</w:t>
      </w:r>
    </w:p>
    <w:p w14:paraId="74AD12DE">
      <w:pPr>
        <w:rPr>
          <w:rFonts w:hint="eastAsia"/>
          <w:color w:val="auto"/>
          <w:highlight w:val="none"/>
          <w:u w:val="none"/>
        </w:rPr>
      </w:pPr>
      <w:r>
        <w:rPr>
          <w:color w:val="auto"/>
          <w:highlight w:val="none"/>
          <w:u w:val="none"/>
        </w:rPr>
        <w:t>q</w:t>
      </w:r>
      <w:r>
        <w:rPr>
          <w:color w:val="auto"/>
          <w:highlight w:val="none"/>
          <w:u w:val="none"/>
          <w:vertAlign w:val="subscript"/>
        </w:rPr>
        <w:t>1</w:t>
      </w:r>
      <w:r>
        <w:rPr>
          <w:color w:val="auto"/>
          <w:highlight w:val="none"/>
          <w:u w:val="none"/>
        </w:rPr>
        <w:t>，q</w:t>
      </w:r>
      <w:r>
        <w:rPr>
          <w:color w:val="auto"/>
          <w:highlight w:val="none"/>
          <w:u w:val="none"/>
          <w:vertAlign w:val="subscript"/>
        </w:rPr>
        <w:t>2</w:t>
      </w:r>
      <w:r>
        <w:rPr>
          <w:color w:val="auto"/>
          <w:highlight w:val="none"/>
          <w:u w:val="none"/>
        </w:rPr>
        <w:t>，…，q</w:t>
      </w:r>
      <w:r>
        <w:rPr>
          <w:color w:val="auto"/>
          <w:highlight w:val="none"/>
          <w:u w:val="none"/>
          <w:vertAlign w:val="subscript"/>
        </w:rPr>
        <w:t>n</w:t>
      </w:r>
      <w:r>
        <w:rPr>
          <w:color w:val="auto"/>
          <w:highlight w:val="none"/>
          <w:u w:val="none"/>
        </w:rPr>
        <w:t>——每种危险物质的最大存在总量，t；</w:t>
      </w:r>
    </w:p>
    <w:p w14:paraId="2EB9D0CD">
      <w:pPr>
        <w:rPr>
          <w:rFonts w:hint="eastAsia"/>
          <w:color w:val="auto"/>
          <w:highlight w:val="none"/>
          <w:u w:val="none"/>
        </w:rPr>
      </w:pPr>
      <w:r>
        <w:rPr>
          <w:color w:val="auto"/>
          <w:highlight w:val="none"/>
          <w:u w:val="none"/>
        </w:rPr>
        <w:t>Q</w:t>
      </w:r>
      <w:r>
        <w:rPr>
          <w:color w:val="auto"/>
          <w:highlight w:val="none"/>
          <w:u w:val="none"/>
          <w:vertAlign w:val="subscript"/>
        </w:rPr>
        <w:t>1</w:t>
      </w:r>
      <w:r>
        <w:rPr>
          <w:color w:val="auto"/>
          <w:highlight w:val="none"/>
          <w:u w:val="none"/>
        </w:rPr>
        <w:t>，Q</w:t>
      </w:r>
      <w:r>
        <w:rPr>
          <w:color w:val="auto"/>
          <w:highlight w:val="none"/>
          <w:u w:val="none"/>
          <w:vertAlign w:val="subscript"/>
        </w:rPr>
        <w:t>2</w:t>
      </w:r>
      <w:r>
        <w:rPr>
          <w:color w:val="auto"/>
          <w:highlight w:val="none"/>
          <w:u w:val="none"/>
        </w:rPr>
        <w:t>，…，Q</w:t>
      </w:r>
      <w:r>
        <w:rPr>
          <w:color w:val="auto"/>
          <w:highlight w:val="none"/>
          <w:u w:val="none"/>
          <w:vertAlign w:val="subscript"/>
        </w:rPr>
        <w:t>N</w:t>
      </w:r>
      <w:r>
        <w:rPr>
          <w:color w:val="auto"/>
          <w:highlight w:val="none"/>
          <w:u w:val="none"/>
        </w:rPr>
        <w:t>——每种危险物质的临界量，单位为t。</w:t>
      </w:r>
    </w:p>
    <w:p w14:paraId="298C0F95">
      <w:pPr>
        <w:rPr>
          <w:rFonts w:hint="eastAsia"/>
          <w:color w:val="auto"/>
          <w:highlight w:val="none"/>
          <w:u w:val="none"/>
        </w:rPr>
      </w:pPr>
      <w:r>
        <w:rPr>
          <w:color w:val="auto"/>
          <w:highlight w:val="none"/>
          <w:u w:val="none"/>
        </w:rPr>
        <w:t>当Q＜1时，该项目环境风险潜势为I。</w:t>
      </w:r>
    </w:p>
    <w:p w14:paraId="7D3E8910">
      <w:pPr>
        <w:rPr>
          <w:rFonts w:hint="eastAsia"/>
          <w:color w:val="auto"/>
          <w:highlight w:val="none"/>
          <w:u w:val="none"/>
        </w:rPr>
      </w:pPr>
      <w:r>
        <w:rPr>
          <w:color w:val="auto"/>
          <w:highlight w:val="none"/>
          <w:u w:val="none"/>
        </w:rPr>
        <w:t>当Q≥1时，将Q值划分为：（1）1≤Q＜10；（2）10≤Q＜100；（3）Q≥100。</w:t>
      </w:r>
    </w:p>
    <w:p w14:paraId="631D2505">
      <w:pPr>
        <w:rPr>
          <w:rFonts w:hint="eastAsia"/>
          <w:color w:val="auto"/>
          <w:highlight w:val="none"/>
          <w:u w:val="none"/>
        </w:rPr>
      </w:pPr>
      <w:r>
        <w:rPr>
          <w:rFonts w:hint="eastAsia"/>
          <w:color w:val="auto"/>
          <w:highlight w:val="none"/>
          <w:u w:val="none"/>
        </w:rPr>
        <w:t>根据工程概况可知，化学品库一</w:t>
      </w:r>
      <w:r>
        <w:rPr>
          <w:rFonts w:hint="eastAsia"/>
          <w:color w:val="auto"/>
          <w:highlight w:val="none"/>
          <w:u w:val="none"/>
          <w:lang w:val="en-US"/>
        </w:rPr>
        <w:t>是</w:t>
      </w:r>
      <w:r>
        <w:rPr>
          <w:color w:val="auto"/>
          <w:highlight w:val="none"/>
          <w:u w:val="none"/>
        </w:rPr>
        <w:t>TDI一期</w:t>
      </w:r>
      <w:r>
        <w:rPr>
          <w:rFonts w:hint="eastAsia"/>
          <w:color w:val="auto"/>
          <w:highlight w:val="none"/>
          <w:u w:val="none"/>
          <w:lang w:val="en-US"/>
        </w:rPr>
        <w:t>与TDI二期</w:t>
      </w:r>
      <w:r>
        <w:rPr>
          <w:color w:val="auto"/>
          <w:highlight w:val="none"/>
          <w:u w:val="none"/>
        </w:rPr>
        <w:t>工程共用</w:t>
      </w:r>
      <w:r>
        <w:rPr>
          <w:rFonts w:hint="eastAsia"/>
          <w:color w:val="auto"/>
          <w:highlight w:val="none"/>
          <w:u w:val="none"/>
        </w:rPr>
        <w:t>，</w:t>
      </w:r>
      <w:r>
        <w:rPr>
          <w:rFonts w:hint="eastAsia"/>
          <w:color w:val="auto"/>
          <w:highlight w:val="none"/>
          <w:u w:val="none"/>
          <w:lang w:val="en-US"/>
        </w:rPr>
        <w:t>因此，存储量应按两期合计</w:t>
      </w:r>
      <w:r>
        <w:rPr>
          <w:color w:val="auto"/>
          <w:highlight w:val="none"/>
          <w:u w:val="none"/>
        </w:rPr>
        <w:t>，危废</w:t>
      </w:r>
      <w:r>
        <w:rPr>
          <w:rFonts w:hint="eastAsia"/>
          <w:color w:val="auto"/>
          <w:highlight w:val="none"/>
          <w:u w:val="none"/>
        </w:rPr>
        <w:t>贮存</w:t>
      </w:r>
      <w:r>
        <w:rPr>
          <w:color w:val="auto"/>
          <w:highlight w:val="none"/>
          <w:u w:val="none"/>
        </w:rPr>
        <w:t>间</w:t>
      </w:r>
      <w:r>
        <w:rPr>
          <w:rFonts w:hint="eastAsia"/>
          <w:color w:val="auto"/>
          <w:highlight w:val="none"/>
          <w:u w:val="none"/>
          <w:lang w:val="en-US"/>
        </w:rPr>
        <w:t>属于</w:t>
      </w:r>
      <w:r>
        <w:rPr>
          <w:rFonts w:hint="eastAsia" w:hAnsi="Times New Roman"/>
          <w:color w:val="auto"/>
          <w:highlight w:val="none"/>
          <w:u w:val="none"/>
        </w:rPr>
        <w:t>万华</w:t>
      </w:r>
      <w:r>
        <w:rPr>
          <w:rFonts w:hint="eastAsia" w:hAnsi="Times New Roman"/>
          <w:color w:val="auto"/>
          <w:highlight w:val="none"/>
          <w:u w:val="none"/>
          <w:lang w:val="en-US"/>
        </w:rPr>
        <w:t>环保科技</w:t>
      </w:r>
      <w:r>
        <w:rPr>
          <w:rFonts w:hint="eastAsia" w:hAnsi="Times New Roman"/>
          <w:color w:val="auto"/>
          <w:highlight w:val="none"/>
          <w:u w:val="none"/>
        </w:rPr>
        <w:t>公司</w:t>
      </w:r>
      <w:r>
        <w:rPr>
          <w:color w:val="auto"/>
          <w:highlight w:val="none"/>
          <w:u w:val="none"/>
        </w:rPr>
        <w:t>，</w:t>
      </w:r>
      <w:r>
        <w:rPr>
          <w:rFonts w:hint="eastAsia"/>
          <w:color w:val="auto"/>
          <w:highlight w:val="none"/>
          <w:u w:val="none"/>
          <w:lang w:val="en-US"/>
        </w:rPr>
        <w:t>因此，</w:t>
      </w:r>
      <w:r>
        <w:rPr>
          <w:color w:val="auto"/>
          <w:highlight w:val="none"/>
          <w:u w:val="none"/>
        </w:rPr>
        <w:t>危废</w:t>
      </w:r>
      <w:r>
        <w:rPr>
          <w:rFonts w:hint="eastAsia"/>
          <w:color w:val="auto"/>
          <w:highlight w:val="none"/>
          <w:u w:val="none"/>
          <w:lang w:val="en-US"/>
        </w:rPr>
        <w:t>间不在本期风险范围内；而危险化学品库一虽不在本次技改扩范围内，但是由于原来是属于一期的，因此，本次技改扩后，仍然计入一期的风险范围</w:t>
      </w:r>
      <w:r>
        <w:rPr>
          <w:color w:val="auto"/>
          <w:highlight w:val="none"/>
          <w:u w:val="none"/>
        </w:rPr>
        <w:t>。</w:t>
      </w:r>
    </w:p>
    <w:p w14:paraId="7022148B">
      <w:pPr>
        <w:rPr>
          <w:rFonts w:hint="eastAsia"/>
          <w:color w:val="auto"/>
          <w:highlight w:val="none"/>
          <w:u w:val="none"/>
          <w:lang w:val="en-US"/>
        </w:rPr>
      </w:pPr>
      <w:r>
        <w:rPr>
          <w:rFonts w:hint="eastAsia"/>
          <w:color w:val="auto"/>
          <w:highlight w:val="none"/>
          <w:u w:val="none"/>
          <w:lang w:val="en-US"/>
        </w:rPr>
        <w:t>本项目属于技改扩项目，因此，各风险单元的储存量或在线量以技改扩后的量重新核算。</w:t>
      </w:r>
    </w:p>
    <w:p w14:paraId="667B0FA1">
      <w:pPr>
        <w:rPr>
          <w:rFonts w:hint="eastAsia"/>
          <w:color w:val="auto"/>
          <w:highlight w:val="none"/>
          <w:u w:val="none"/>
        </w:rPr>
      </w:pPr>
      <w:r>
        <w:rPr>
          <w:color w:val="auto"/>
          <w:highlight w:val="none"/>
          <w:u w:val="none"/>
        </w:rPr>
        <w:t>化学品库</w:t>
      </w:r>
      <w:r>
        <w:rPr>
          <w:rFonts w:hint="eastAsia"/>
          <w:color w:val="auto"/>
          <w:highlight w:val="none"/>
          <w:u w:val="none"/>
          <w:lang w:val="en-US"/>
        </w:rPr>
        <w:t>一</w:t>
      </w:r>
      <w:r>
        <w:rPr>
          <w:color w:val="auto"/>
          <w:highlight w:val="none"/>
          <w:u w:val="none"/>
        </w:rPr>
        <w:t>中的催化剂（镍含量≥93%）</w:t>
      </w:r>
      <w:r>
        <w:rPr>
          <w:rFonts w:hint="eastAsia"/>
          <w:color w:val="auto"/>
          <w:highlight w:val="none"/>
          <w:u w:val="none"/>
        </w:rPr>
        <w:t>储存量</w:t>
      </w:r>
      <w:r>
        <w:rPr>
          <w:rFonts w:hint="eastAsia"/>
          <w:color w:val="auto"/>
          <w:highlight w:val="none"/>
          <w:u w:val="none"/>
          <w:lang w:val="en-US"/>
        </w:rPr>
        <w:t>技改后</w:t>
      </w:r>
      <w:r>
        <w:rPr>
          <w:color w:val="auto"/>
          <w:highlight w:val="none"/>
          <w:u w:val="none"/>
        </w:rPr>
        <w:t>为</w:t>
      </w:r>
      <w:r>
        <w:rPr>
          <w:rFonts w:hint="eastAsia"/>
          <w:color w:val="auto"/>
          <w:highlight w:val="none"/>
          <w:u w:val="none"/>
          <w:lang w:val="en-US"/>
        </w:rPr>
        <w:t>10t，再加上TDI二期的10t，则合计为20</w:t>
      </w:r>
      <w:r>
        <w:rPr>
          <w:color w:val="auto"/>
          <w:highlight w:val="none"/>
          <w:u w:val="none"/>
        </w:rPr>
        <w:t>t，Q值</w:t>
      </w:r>
      <w:r>
        <w:rPr>
          <w:rFonts w:hint="eastAsia"/>
          <w:color w:val="auto"/>
          <w:highlight w:val="none"/>
          <w:u w:val="none"/>
          <w:lang w:val="en-US"/>
        </w:rPr>
        <w:t>为</w:t>
      </w:r>
      <w:r>
        <w:rPr>
          <w:color w:val="auto"/>
          <w:highlight w:val="none"/>
          <w:u w:val="none"/>
        </w:rPr>
        <w:t>40；</w:t>
      </w:r>
      <w:r>
        <w:rPr>
          <w:rFonts w:hint="eastAsia"/>
          <w:color w:val="auto"/>
          <w:highlight w:val="none"/>
          <w:u w:val="none"/>
        </w:rPr>
        <w:t>万华环保科技公司</w:t>
      </w:r>
      <w:r>
        <w:rPr>
          <w:color w:val="auto"/>
          <w:highlight w:val="none"/>
          <w:u w:val="none"/>
        </w:rPr>
        <w:t>中的废机油、</w:t>
      </w:r>
      <w:r>
        <w:rPr>
          <w:rFonts w:hint="eastAsia"/>
          <w:color w:val="auto"/>
          <w:highlight w:val="none"/>
          <w:u w:val="none"/>
        </w:rPr>
        <w:t>废</w:t>
      </w:r>
      <w:r>
        <w:rPr>
          <w:color w:val="auto"/>
          <w:highlight w:val="none"/>
          <w:u w:val="none"/>
        </w:rPr>
        <w:t>导热油、</w:t>
      </w:r>
      <w:r>
        <w:rPr>
          <w:rFonts w:hint="eastAsia"/>
          <w:color w:val="auto"/>
          <w:highlight w:val="none"/>
          <w:u w:val="none"/>
        </w:rPr>
        <w:t>废</w:t>
      </w:r>
      <w:r>
        <w:rPr>
          <w:color w:val="auto"/>
          <w:highlight w:val="none"/>
          <w:u w:val="none"/>
        </w:rPr>
        <w:t>氮封油等，</w:t>
      </w:r>
      <w:r>
        <w:rPr>
          <w:rFonts w:hint="eastAsia"/>
          <w:color w:val="auto"/>
          <w:highlight w:val="none"/>
          <w:u w:val="none"/>
          <w:lang w:val="en-US"/>
        </w:rPr>
        <w:t>一期的储存增量为2t，再加上二期的增量2t，合计增量</w:t>
      </w:r>
      <w:r>
        <w:rPr>
          <w:color w:val="auto"/>
          <w:highlight w:val="none"/>
          <w:u w:val="none"/>
        </w:rPr>
        <w:t>为</w:t>
      </w:r>
      <w:r>
        <w:rPr>
          <w:rFonts w:hint="eastAsia"/>
          <w:color w:val="auto"/>
          <w:highlight w:val="none"/>
          <w:u w:val="none"/>
          <w:lang w:val="en-US"/>
        </w:rPr>
        <w:t>4.0</w:t>
      </w:r>
      <w:r>
        <w:rPr>
          <w:color w:val="auto"/>
          <w:highlight w:val="none"/>
          <w:u w:val="none"/>
        </w:rPr>
        <w:t>t，Q值增</w:t>
      </w:r>
      <w:r>
        <w:rPr>
          <w:rFonts w:hint="eastAsia"/>
          <w:color w:val="auto"/>
          <w:highlight w:val="none"/>
          <w:u w:val="none"/>
          <w:lang w:val="en-US"/>
        </w:rPr>
        <w:t>大</w:t>
      </w:r>
      <w:r>
        <w:rPr>
          <w:color w:val="auto"/>
          <w:highlight w:val="none"/>
          <w:u w:val="none"/>
        </w:rPr>
        <w:t>0.00</w:t>
      </w:r>
      <w:r>
        <w:rPr>
          <w:rFonts w:hint="eastAsia"/>
          <w:color w:val="auto"/>
          <w:highlight w:val="none"/>
          <w:u w:val="none"/>
          <w:lang w:val="en-US"/>
        </w:rPr>
        <w:t>16</w:t>
      </w:r>
      <w:r>
        <w:rPr>
          <w:color w:val="auto"/>
          <w:highlight w:val="none"/>
          <w:u w:val="none"/>
        </w:rPr>
        <w:t>；废催化剂（按镍含量≥93%）</w:t>
      </w:r>
      <w:r>
        <w:rPr>
          <w:rFonts w:hint="eastAsia"/>
          <w:color w:val="auto"/>
          <w:highlight w:val="none"/>
          <w:u w:val="none"/>
          <w:lang w:val="en-US"/>
        </w:rPr>
        <w:t>的储存增量11</w:t>
      </w:r>
      <w:r>
        <w:rPr>
          <w:color w:val="auto"/>
          <w:highlight w:val="none"/>
          <w:u w:val="none"/>
        </w:rPr>
        <w:t>t，</w:t>
      </w:r>
      <w:r>
        <w:rPr>
          <w:rFonts w:hint="eastAsia"/>
          <w:color w:val="auto"/>
          <w:highlight w:val="none"/>
          <w:u w:val="none"/>
          <w:lang w:val="en-US"/>
        </w:rPr>
        <w:t>加上二期的增量11t，</w:t>
      </w:r>
      <w:r>
        <w:rPr>
          <w:color w:val="auto"/>
          <w:highlight w:val="none"/>
          <w:u w:val="none"/>
        </w:rPr>
        <w:t>Q值增大</w:t>
      </w:r>
      <w:r>
        <w:rPr>
          <w:rFonts w:hint="eastAsia"/>
          <w:color w:val="auto"/>
          <w:highlight w:val="none"/>
          <w:u w:val="none"/>
          <w:lang w:val="en-US"/>
        </w:rPr>
        <w:t>88</w:t>
      </w:r>
      <w:r>
        <w:rPr>
          <w:color w:val="auto"/>
          <w:highlight w:val="none"/>
          <w:u w:val="none"/>
        </w:rPr>
        <w:t>，不改变</w:t>
      </w:r>
      <w:r>
        <w:rPr>
          <w:rFonts w:hint="eastAsia"/>
          <w:color w:val="auto"/>
          <w:highlight w:val="none"/>
          <w:u w:val="none"/>
        </w:rPr>
        <w:t>万华环保科技公司</w:t>
      </w:r>
      <w:r>
        <w:rPr>
          <w:color w:val="auto"/>
          <w:highlight w:val="none"/>
          <w:u w:val="none"/>
        </w:rPr>
        <w:t>的风险潜势（IV+）。</w:t>
      </w:r>
    </w:p>
    <w:p w14:paraId="1A138C80">
      <w:pPr>
        <w:rPr>
          <w:color w:val="auto"/>
          <w:highlight w:val="none"/>
          <w:u w:val="none"/>
        </w:rPr>
      </w:pPr>
      <w:r>
        <w:rPr>
          <w:color w:val="auto"/>
          <w:highlight w:val="none"/>
          <w:u w:val="none"/>
        </w:rPr>
        <w:t>根据风险调查</w:t>
      </w:r>
      <w:r>
        <w:rPr>
          <w:rFonts w:hint="eastAsia"/>
          <w:color w:val="auto"/>
          <w:highlight w:val="none"/>
          <w:u w:val="none"/>
        </w:rPr>
        <w:t>并</w:t>
      </w:r>
      <w:r>
        <w:rPr>
          <w:color w:val="auto"/>
          <w:highlight w:val="none"/>
          <w:u w:val="none"/>
        </w:rPr>
        <w:t>对照</w:t>
      </w:r>
      <w:r>
        <w:rPr>
          <w:rFonts w:hint="eastAsia"/>
          <w:color w:val="auto"/>
          <w:highlight w:val="none"/>
          <w:u w:val="none"/>
        </w:rPr>
        <w:t>《</w:t>
      </w:r>
      <w:r>
        <w:rPr>
          <w:color w:val="auto"/>
          <w:highlight w:val="none"/>
          <w:u w:val="none"/>
        </w:rPr>
        <w:t>建设项目环境风险评价技术导则</w:t>
      </w:r>
      <w:r>
        <w:rPr>
          <w:rFonts w:hint="eastAsia"/>
          <w:color w:val="auto"/>
          <w:highlight w:val="none"/>
          <w:u w:val="none"/>
        </w:rPr>
        <w:t>》</w:t>
      </w:r>
      <w:r>
        <w:rPr>
          <w:color w:val="auto"/>
          <w:highlight w:val="none"/>
          <w:u w:val="none"/>
        </w:rPr>
        <w:t>（HJ169-2018）的附录B和《企业突发环境事件风险分级方法》</w:t>
      </w:r>
      <w:r>
        <w:rPr>
          <w:rFonts w:hint="eastAsia"/>
          <w:color w:val="auto"/>
          <w:highlight w:val="none"/>
          <w:u w:val="none"/>
        </w:rPr>
        <w:t>（</w:t>
      </w:r>
      <w:r>
        <w:rPr>
          <w:color w:val="auto"/>
          <w:highlight w:val="none"/>
          <w:u w:val="none"/>
        </w:rPr>
        <w:t>HJ 941-2018</w:t>
      </w:r>
      <w:r>
        <w:rPr>
          <w:rFonts w:hint="eastAsia"/>
          <w:color w:val="auto"/>
          <w:highlight w:val="none"/>
          <w:u w:val="none"/>
        </w:rPr>
        <w:t>）</w:t>
      </w:r>
      <w:r>
        <w:rPr>
          <w:color w:val="auto"/>
          <w:highlight w:val="none"/>
          <w:u w:val="none"/>
        </w:rPr>
        <w:t>可知，</w:t>
      </w:r>
      <w:r>
        <w:rPr>
          <w:rFonts w:hint="eastAsia"/>
          <w:color w:val="auto"/>
          <w:highlight w:val="none"/>
          <w:u w:val="none"/>
        </w:rPr>
        <w:t>本项目涉及风险物质</w:t>
      </w:r>
      <w:r>
        <w:rPr>
          <w:color w:val="auto"/>
          <w:highlight w:val="none"/>
          <w:u w:val="none"/>
        </w:rPr>
        <w:t>Q值=</w:t>
      </w:r>
      <w:r>
        <w:rPr>
          <w:rFonts w:hint="eastAsia"/>
          <w:color w:val="auto"/>
          <w:highlight w:val="none"/>
          <w:u w:val="none"/>
          <w:lang w:val="en-US" w:eastAsia="zh-CN"/>
        </w:rPr>
        <w:t>724.35</w:t>
      </w:r>
      <w:r>
        <w:rPr>
          <w:color w:val="auto"/>
          <w:highlight w:val="none"/>
          <w:u w:val="none"/>
        </w:rPr>
        <w:t>＞100。具体见</w:t>
      </w:r>
      <w:r>
        <w:rPr>
          <w:color w:val="auto"/>
          <w:highlight w:val="none"/>
          <w:u w:val="none"/>
        </w:rPr>
        <w:fldChar w:fldCharType="begin"/>
      </w:r>
      <w:r>
        <w:rPr>
          <w:color w:val="auto"/>
          <w:highlight w:val="none"/>
          <w:u w:val="none"/>
        </w:rPr>
        <w:instrText xml:space="preserve"> REF _Ref149248000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3</w:t>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lang w:val="en-US"/>
        </w:rPr>
        <w:t>与表9.3-2</w:t>
      </w:r>
      <w:r>
        <w:rPr>
          <w:color w:val="auto"/>
          <w:highlight w:val="none"/>
          <w:u w:val="none"/>
        </w:rPr>
        <w:t>。</w:t>
      </w:r>
    </w:p>
    <w:p w14:paraId="73602D86">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9.3</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color w:val="auto"/>
          <w:highlight w:val="none"/>
          <w:u w:val="none"/>
        </w:rPr>
        <w:t xml:space="preserve">  本项目各装置区和罐区风险Q值计算表</w:t>
      </w:r>
    </w:p>
    <w:p w14:paraId="0A3EBD45">
      <w:pPr>
        <w:rPr>
          <w:rFonts w:hint="eastAsia"/>
          <w:color w:val="auto"/>
          <w:highlight w:val="none"/>
          <w:u w:val="none"/>
        </w:rPr>
      </w:pPr>
    </w:p>
    <w:bookmarkEnd w:id="599"/>
    <w:bookmarkEnd w:id="600"/>
    <w:bookmarkEnd w:id="601"/>
    <w:p w14:paraId="12AFA2F4">
      <w:pPr>
        <w:pStyle w:val="7"/>
        <w:spacing w:before="120"/>
        <w:rPr>
          <w:color w:val="auto"/>
          <w:highlight w:val="none"/>
          <w:u w:val="none"/>
        </w:rPr>
      </w:pPr>
      <w:r>
        <w:rPr>
          <w:color w:val="auto"/>
          <w:highlight w:val="none"/>
          <w:u w:val="none"/>
        </w:rPr>
        <w:t>行业及生产工艺（M）</w:t>
      </w:r>
    </w:p>
    <w:p w14:paraId="4A97E5A1">
      <w:pPr>
        <w:rPr>
          <w:rFonts w:hint="eastAsia"/>
          <w:color w:val="auto"/>
          <w:highlight w:val="none"/>
          <w:u w:val="none"/>
        </w:rPr>
      </w:pPr>
      <w:r>
        <w:rPr>
          <w:color w:val="auto"/>
          <w:highlight w:val="none"/>
          <w:u w:val="none"/>
        </w:rPr>
        <w:t>分析项目所属行业及生产工艺特点，按照</w:t>
      </w:r>
      <w:r>
        <w:rPr>
          <w:color w:val="auto"/>
          <w:highlight w:val="none"/>
          <w:u w:val="none"/>
        </w:rPr>
        <w:fldChar w:fldCharType="begin"/>
      </w:r>
      <w:r>
        <w:rPr>
          <w:color w:val="auto"/>
          <w:highlight w:val="none"/>
          <w:u w:val="none"/>
        </w:rPr>
        <w:instrText xml:space="preserve"> REF _Ref149248065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3</w:t>
      </w:r>
      <w:r>
        <w:rPr>
          <w:color w:val="auto"/>
          <w:highlight w:val="none"/>
          <w:u w:val="none"/>
        </w:rPr>
        <w:noBreakHyphen/>
      </w:r>
      <w:r>
        <w:rPr>
          <w:rFonts w:hint="eastAsia"/>
          <w:color w:val="auto"/>
          <w:highlight w:val="none"/>
          <w:u w:val="none"/>
          <w:lang w:val="en-US"/>
        </w:rPr>
        <w:t>3</w:t>
      </w:r>
      <w:r>
        <w:rPr>
          <w:color w:val="auto"/>
          <w:highlight w:val="none"/>
          <w:u w:val="none"/>
        </w:rPr>
        <w:fldChar w:fldCharType="end"/>
      </w:r>
      <w:r>
        <w:rPr>
          <w:color w:val="auto"/>
          <w:highlight w:val="none"/>
          <w:u w:val="none"/>
        </w:rPr>
        <w:t>评估生产工艺情况，具有多套工艺单元的项目，对每套生产工艺分别评分并求和。将M划分为（1）M＞20；（2）10＜M≤20；（3）5＜M≤10；（4）M=5，分别以M1、M2、M3和M4表示。</w:t>
      </w:r>
    </w:p>
    <w:p w14:paraId="4D370411">
      <w:pPr>
        <w:rPr>
          <w:rFonts w:hint="eastAsia"/>
          <w:color w:val="auto"/>
          <w:highlight w:val="none"/>
          <w:u w:val="none"/>
        </w:rPr>
      </w:pPr>
      <w:r>
        <w:rPr>
          <w:color w:val="auto"/>
          <w:highlight w:val="none"/>
          <w:u w:val="none"/>
        </w:rPr>
        <w:t>本项目所属行业为化工行业，本项目涉及光气及光气化工艺、硝化工艺、加氢化工艺，另有TDA中间罐组</w:t>
      </w:r>
      <w:r>
        <w:rPr>
          <w:rFonts w:hint="eastAsia"/>
          <w:color w:val="auto"/>
          <w:highlight w:val="none"/>
          <w:u w:val="none"/>
          <w:lang w:val="en-US"/>
        </w:rPr>
        <w:t>1</w:t>
      </w:r>
      <w:r>
        <w:rPr>
          <w:color w:val="auto"/>
          <w:highlight w:val="none"/>
          <w:u w:val="none"/>
        </w:rPr>
        <w:t>套，因此M=</w:t>
      </w:r>
      <w:r>
        <w:rPr>
          <w:rFonts w:hint="eastAsia"/>
          <w:color w:val="auto"/>
          <w:highlight w:val="none"/>
          <w:u w:val="none"/>
          <w:lang w:val="en-US"/>
        </w:rPr>
        <w:t>35</w:t>
      </w:r>
      <w:r>
        <w:rPr>
          <w:color w:val="auto"/>
          <w:highlight w:val="none"/>
          <w:u w:val="none"/>
        </w:rPr>
        <w:t>，为M1，具体详见</w:t>
      </w:r>
      <w:r>
        <w:rPr>
          <w:color w:val="auto"/>
          <w:highlight w:val="none"/>
          <w:u w:val="none"/>
        </w:rPr>
        <w:fldChar w:fldCharType="begin"/>
      </w:r>
      <w:r>
        <w:rPr>
          <w:color w:val="auto"/>
          <w:highlight w:val="none"/>
          <w:u w:val="none"/>
        </w:rPr>
        <w:instrText xml:space="preserve"> REF _Ref149248065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3</w:t>
      </w:r>
      <w:r>
        <w:rPr>
          <w:color w:val="auto"/>
          <w:highlight w:val="none"/>
          <w:u w:val="none"/>
        </w:rPr>
        <w:noBreakHyphen/>
      </w:r>
      <w:r>
        <w:rPr>
          <w:rFonts w:hint="eastAsia"/>
          <w:color w:val="auto"/>
          <w:highlight w:val="none"/>
          <w:u w:val="none"/>
          <w:lang w:val="en-US"/>
        </w:rPr>
        <w:t>3</w:t>
      </w:r>
      <w:r>
        <w:rPr>
          <w:color w:val="auto"/>
          <w:highlight w:val="none"/>
          <w:u w:val="none"/>
        </w:rPr>
        <w:fldChar w:fldCharType="end"/>
      </w:r>
      <w:r>
        <w:rPr>
          <w:color w:val="auto"/>
          <w:highlight w:val="none"/>
          <w:u w:val="none"/>
        </w:rPr>
        <w:t>。</w:t>
      </w:r>
    </w:p>
    <w:p w14:paraId="36B4CF42">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w:t>
      </w:r>
      <w:r>
        <w:rPr>
          <w:rFonts w:hint="eastAsia"/>
          <w:color w:val="auto"/>
          <w:highlight w:val="none"/>
          <w:u w:val="none"/>
        </w:rPr>
        <w:t>3</w:t>
      </w:r>
      <w:r>
        <w:rPr>
          <w:color w:val="auto"/>
          <w:highlight w:val="none"/>
          <w:u w:val="none"/>
        </w:rPr>
        <w:fldChar w:fldCharType="end"/>
      </w:r>
      <w:r>
        <w:rPr>
          <w:color w:val="auto"/>
          <w:highlight w:val="none"/>
          <w:u w:val="none"/>
        </w:rPr>
        <w:noBreakHyphen/>
      </w:r>
      <w:r>
        <w:rPr>
          <w:rFonts w:hint="eastAsia"/>
          <w:color w:val="auto"/>
          <w:highlight w:val="none"/>
          <w:u w:val="none"/>
        </w:rPr>
        <w:t>3</w:t>
      </w:r>
      <w:r>
        <w:rPr>
          <w:color w:val="auto"/>
          <w:highlight w:val="none"/>
          <w:u w:val="none"/>
        </w:rPr>
        <w:t xml:space="preserve">  行业及生产工艺（M）</w:t>
      </w:r>
    </w:p>
    <w:tbl>
      <w:tblPr>
        <w:tblStyle w:val="58"/>
        <w:tblW w:w="90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5806"/>
        <w:gridCol w:w="1136"/>
        <w:gridCol w:w="887"/>
      </w:tblGrid>
      <w:tr w14:paraId="19BE8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29" w:type="dxa"/>
            <w:shd w:val="clear" w:color="auto" w:fill="auto"/>
            <w:vAlign w:val="center"/>
          </w:tcPr>
          <w:p w14:paraId="20949FAB">
            <w:pPr>
              <w:pStyle w:val="92"/>
              <w:rPr>
                <w:color w:val="auto"/>
                <w:highlight w:val="none"/>
                <w:u w:val="none"/>
              </w:rPr>
            </w:pPr>
            <w:r>
              <w:rPr>
                <w:color w:val="auto"/>
                <w:highlight w:val="none"/>
                <w:u w:val="none"/>
              </w:rPr>
              <w:t>行业</w:t>
            </w:r>
          </w:p>
        </w:tc>
        <w:tc>
          <w:tcPr>
            <w:tcW w:w="5806" w:type="dxa"/>
            <w:shd w:val="clear" w:color="auto" w:fill="auto"/>
            <w:vAlign w:val="center"/>
          </w:tcPr>
          <w:p w14:paraId="5E5B646A">
            <w:pPr>
              <w:pStyle w:val="92"/>
              <w:rPr>
                <w:color w:val="auto"/>
                <w:highlight w:val="none"/>
                <w:u w:val="none"/>
              </w:rPr>
            </w:pPr>
            <w:r>
              <w:rPr>
                <w:color w:val="auto"/>
                <w:highlight w:val="none"/>
                <w:u w:val="none"/>
              </w:rPr>
              <w:t>评估依据</w:t>
            </w:r>
          </w:p>
        </w:tc>
        <w:tc>
          <w:tcPr>
            <w:tcW w:w="1136" w:type="dxa"/>
            <w:shd w:val="clear" w:color="auto" w:fill="auto"/>
            <w:vAlign w:val="center"/>
          </w:tcPr>
          <w:p w14:paraId="027B237B">
            <w:pPr>
              <w:pStyle w:val="92"/>
              <w:rPr>
                <w:color w:val="auto"/>
                <w:highlight w:val="none"/>
                <w:u w:val="none"/>
              </w:rPr>
            </w:pPr>
            <w:r>
              <w:rPr>
                <w:color w:val="auto"/>
                <w:highlight w:val="none"/>
                <w:u w:val="none"/>
              </w:rPr>
              <w:t>分值</w:t>
            </w:r>
          </w:p>
        </w:tc>
        <w:tc>
          <w:tcPr>
            <w:tcW w:w="887" w:type="dxa"/>
            <w:shd w:val="clear" w:color="auto" w:fill="auto"/>
            <w:vAlign w:val="center"/>
          </w:tcPr>
          <w:p w14:paraId="37B59149">
            <w:pPr>
              <w:pStyle w:val="92"/>
              <w:rPr>
                <w:color w:val="auto"/>
                <w:highlight w:val="none"/>
                <w:u w:val="none"/>
              </w:rPr>
            </w:pPr>
            <w:r>
              <w:rPr>
                <w:color w:val="auto"/>
                <w:highlight w:val="none"/>
                <w:u w:val="none"/>
              </w:rPr>
              <w:t>项目</w:t>
            </w:r>
          </w:p>
          <w:p w14:paraId="55E36ADB">
            <w:pPr>
              <w:pStyle w:val="92"/>
              <w:rPr>
                <w:color w:val="auto"/>
                <w:highlight w:val="none"/>
                <w:u w:val="none"/>
              </w:rPr>
            </w:pPr>
            <w:r>
              <w:rPr>
                <w:color w:val="auto"/>
                <w:highlight w:val="none"/>
                <w:u w:val="none"/>
              </w:rPr>
              <w:t>M值</w:t>
            </w:r>
          </w:p>
        </w:tc>
      </w:tr>
      <w:tr w14:paraId="15548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vMerge w:val="restart"/>
            <w:shd w:val="clear" w:color="auto" w:fill="auto"/>
            <w:vAlign w:val="center"/>
          </w:tcPr>
          <w:p w14:paraId="1DB65A25">
            <w:pPr>
              <w:pStyle w:val="92"/>
              <w:rPr>
                <w:color w:val="auto"/>
                <w:highlight w:val="none"/>
                <w:u w:val="none"/>
              </w:rPr>
            </w:pPr>
            <w:r>
              <w:rPr>
                <w:color w:val="auto"/>
                <w:highlight w:val="none"/>
                <w:u w:val="none"/>
              </w:rPr>
              <w:t>石化、化工、医药、轻工、化纤、有色冶炼等</w:t>
            </w:r>
          </w:p>
        </w:tc>
        <w:tc>
          <w:tcPr>
            <w:tcW w:w="5806" w:type="dxa"/>
            <w:shd w:val="clear" w:color="auto" w:fill="auto"/>
            <w:vAlign w:val="center"/>
          </w:tcPr>
          <w:p w14:paraId="1B8D505E">
            <w:pPr>
              <w:pStyle w:val="92"/>
              <w:rPr>
                <w:color w:val="auto"/>
                <w:highlight w:val="none"/>
                <w:u w:val="none"/>
              </w:rPr>
            </w:pPr>
            <w:r>
              <w:rPr>
                <w:color w:val="auto"/>
                <w:highlight w:val="none"/>
                <w:u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36" w:type="dxa"/>
            <w:shd w:val="clear" w:color="auto" w:fill="auto"/>
            <w:vAlign w:val="center"/>
          </w:tcPr>
          <w:p w14:paraId="444C48AE">
            <w:pPr>
              <w:pStyle w:val="92"/>
              <w:rPr>
                <w:color w:val="auto"/>
                <w:highlight w:val="none"/>
                <w:u w:val="none"/>
              </w:rPr>
            </w:pPr>
          </w:p>
        </w:tc>
        <w:tc>
          <w:tcPr>
            <w:tcW w:w="887" w:type="dxa"/>
            <w:shd w:val="clear" w:color="auto" w:fill="auto"/>
            <w:vAlign w:val="center"/>
          </w:tcPr>
          <w:p w14:paraId="025C2D78">
            <w:pPr>
              <w:pStyle w:val="92"/>
              <w:rPr>
                <w:color w:val="auto"/>
                <w:highlight w:val="none"/>
                <w:u w:val="none"/>
              </w:rPr>
            </w:pPr>
          </w:p>
        </w:tc>
      </w:tr>
      <w:tr w14:paraId="52DF1A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vMerge w:val="continue"/>
            <w:shd w:val="clear" w:color="auto" w:fill="auto"/>
            <w:vAlign w:val="center"/>
          </w:tcPr>
          <w:p w14:paraId="0400B553">
            <w:pPr>
              <w:pStyle w:val="92"/>
              <w:rPr>
                <w:color w:val="auto"/>
                <w:highlight w:val="none"/>
                <w:u w:val="none"/>
              </w:rPr>
            </w:pPr>
          </w:p>
        </w:tc>
        <w:tc>
          <w:tcPr>
            <w:tcW w:w="5806" w:type="dxa"/>
            <w:shd w:val="clear" w:color="auto" w:fill="auto"/>
            <w:vAlign w:val="center"/>
          </w:tcPr>
          <w:p w14:paraId="6D2DC9D3">
            <w:pPr>
              <w:pStyle w:val="92"/>
              <w:rPr>
                <w:color w:val="auto"/>
                <w:highlight w:val="none"/>
                <w:u w:val="none"/>
              </w:rPr>
            </w:pPr>
            <w:r>
              <w:rPr>
                <w:color w:val="auto"/>
                <w:highlight w:val="none"/>
                <w:u w:val="none"/>
              </w:rPr>
              <w:t>无机酸制酸工艺、焦化工艺</w:t>
            </w:r>
          </w:p>
        </w:tc>
        <w:tc>
          <w:tcPr>
            <w:tcW w:w="1136" w:type="dxa"/>
            <w:shd w:val="clear" w:color="auto" w:fill="auto"/>
            <w:vAlign w:val="center"/>
          </w:tcPr>
          <w:p w14:paraId="7C6681FD">
            <w:pPr>
              <w:pStyle w:val="92"/>
              <w:rPr>
                <w:color w:val="auto"/>
                <w:highlight w:val="none"/>
                <w:u w:val="none"/>
              </w:rPr>
            </w:pPr>
          </w:p>
        </w:tc>
        <w:tc>
          <w:tcPr>
            <w:tcW w:w="887" w:type="dxa"/>
            <w:shd w:val="clear" w:color="auto" w:fill="auto"/>
            <w:vAlign w:val="center"/>
          </w:tcPr>
          <w:p w14:paraId="3B357CF4">
            <w:pPr>
              <w:pStyle w:val="92"/>
              <w:rPr>
                <w:color w:val="auto"/>
                <w:highlight w:val="none"/>
                <w:u w:val="none"/>
              </w:rPr>
            </w:pPr>
          </w:p>
        </w:tc>
      </w:tr>
      <w:tr w14:paraId="14386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vMerge w:val="continue"/>
            <w:shd w:val="clear" w:color="auto" w:fill="auto"/>
            <w:vAlign w:val="center"/>
          </w:tcPr>
          <w:p w14:paraId="5D72CA70">
            <w:pPr>
              <w:pStyle w:val="92"/>
              <w:rPr>
                <w:color w:val="auto"/>
                <w:highlight w:val="none"/>
                <w:u w:val="none"/>
              </w:rPr>
            </w:pPr>
          </w:p>
        </w:tc>
        <w:tc>
          <w:tcPr>
            <w:tcW w:w="5806" w:type="dxa"/>
            <w:shd w:val="clear" w:color="auto" w:fill="auto"/>
            <w:vAlign w:val="center"/>
          </w:tcPr>
          <w:p w14:paraId="7BF62560">
            <w:pPr>
              <w:pStyle w:val="92"/>
              <w:rPr>
                <w:color w:val="auto"/>
                <w:highlight w:val="none"/>
                <w:u w:val="none"/>
              </w:rPr>
            </w:pPr>
            <w:r>
              <w:rPr>
                <w:color w:val="auto"/>
                <w:highlight w:val="none"/>
                <w:u w:val="none"/>
              </w:rPr>
              <w:t>其他高温或高压，且涉及危险物质的工艺过程a、危险物质贮存罐区</w:t>
            </w:r>
          </w:p>
        </w:tc>
        <w:tc>
          <w:tcPr>
            <w:tcW w:w="1136" w:type="dxa"/>
            <w:shd w:val="clear" w:color="auto" w:fill="auto"/>
            <w:vAlign w:val="center"/>
          </w:tcPr>
          <w:p w14:paraId="0A31F68F">
            <w:pPr>
              <w:pStyle w:val="92"/>
              <w:rPr>
                <w:color w:val="auto"/>
                <w:highlight w:val="none"/>
                <w:u w:val="none"/>
              </w:rPr>
            </w:pPr>
          </w:p>
        </w:tc>
        <w:tc>
          <w:tcPr>
            <w:tcW w:w="887" w:type="dxa"/>
            <w:shd w:val="clear" w:color="auto" w:fill="auto"/>
            <w:vAlign w:val="center"/>
          </w:tcPr>
          <w:p w14:paraId="37D16FF1">
            <w:pPr>
              <w:pStyle w:val="92"/>
              <w:rPr>
                <w:color w:val="auto"/>
                <w:highlight w:val="none"/>
                <w:u w:val="none"/>
              </w:rPr>
            </w:pPr>
          </w:p>
        </w:tc>
      </w:tr>
      <w:tr w14:paraId="1CD73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shd w:val="clear" w:color="auto" w:fill="auto"/>
            <w:vAlign w:val="center"/>
          </w:tcPr>
          <w:p w14:paraId="69F45C9F">
            <w:pPr>
              <w:pStyle w:val="92"/>
              <w:rPr>
                <w:color w:val="auto"/>
                <w:highlight w:val="none"/>
                <w:u w:val="none"/>
              </w:rPr>
            </w:pPr>
            <w:r>
              <w:rPr>
                <w:color w:val="auto"/>
                <w:highlight w:val="none"/>
                <w:u w:val="none"/>
              </w:rPr>
              <w:t>管道、港口/码头等</w:t>
            </w:r>
          </w:p>
        </w:tc>
        <w:tc>
          <w:tcPr>
            <w:tcW w:w="5806" w:type="dxa"/>
            <w:shd w:val="clear" w:color="auto" w:fill="auto"/>
            <w:vAlign w:val="center"/>
          </w:tcPr>
          <w:p w14:paraId="6DA320D2">
            <w:pPr>
              <w:pStyle w:val="92"/>
              <w:rPr>
                <w:color w:val="auto"/>
                <w:highlight w:val="none"/>
                <w:u w:val="none"/>
              </w:rPr>
            </w:pPr>
            <w:r>
              <w:rPr>
                <w:color w:val="auto"/>
                <w:highlight w:val="none"/>
                <w:u w:val="none"/>
              </w:rPr>
              <w:t>涉及危险物质管道运输项目、港口/码头等</w:t>
            </w:r>
          </w:p>
        </w:tc>
        <w:tc>
          <w:tcPr>
            <w:tcW w:w="1136" w:type="dxa"/>
            <w:shd w:val="clear" w:color="auto" w:fill="auto"/>
            <w:vAlign w:val="center"/>
          </w:tcPr>
          <w:p w14:paraId="7F3B211C">
            <w:pPr>
              <w:pStyle w:val="92"/>
              <w:rPr>
                <w:color w:val="auto"/>
                <w:highlight w:val="none"/>
                <w:u w:val="none"/>
              </w:rPr>
            </w:pPr>
          </w:p>
        </w:tc>
        <w:tc>
          <w:tcPr>
            <w:tcW w:w="887" w:type="dxa"/>
            <w:vMerge w:val="restart"/>
            <w:shd w:val="clear" w:color="auto" w:fill="auto"/>
            <w:vAlign w:val="center"/>
          </w:tcPr>
          <w:p w14:paraId="7601127D">
            <w:pPr>
              <w:pStyle w:val="92"/>
              <w:rPr>
                <w:color w:val="auto"/>
                <w:highlight w:val="none"/>
                <w:u w:val="none"/>
              </w:rPr>
            </w:pPr>
          </w:p>
        </w:tc>
      </w:tr>
      <w:tr w14:paraId="74E9B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shd w:val="clear" w:color="auto" w:fill="auto"/>
            <w:vAlign w:val="center"/>
          </w:tcPr>
          <w:p w14:paraId="4AD53799">
            <w:pPr>
              <w:pStyle w:val="92"/>
              <w:rPr>
                <w:color w:val="auto"/>
                <w:highlight w:val="none"/>
                <w:u w:val="none"/>
              </w:rPr>
            </w:pPr>
            <w:r>
              <w:rPr>
                <w:color w:val="auto"/>
                <w:highlight w:val="none"/>
                <w:u w:val="none"/>
              </w:rPr>
              <w:t>石油</w:t>
            </w:r>
          </w:p>
          <w:p w14:paraId="4E08F00B">
            <w:pPr>
              <w:pStyle w:val="92"/>
              <w:rPr>
                <w:color w:val="auto"/>
                <w:highlight w:val="none"/>
                <w:u w:val="none"/>
              </w:rPr>
            </w:pPr>
            <w:r>
              <w:rPr>
                <w:color w:val="auto"/>
                <w:highlight w:val="none"/>
                <w:u w:val="none"/>
              </w:rPr>
              <w:t>天然气</w:t>
            </w:r>
          </w:p>
        </w:tc>
        <w:tc>
          <w:tcPr>
            <w:tcW w:w="5806" w:type="dxa"/>
            <w:shd w:val="clear" w:color="auto" w:fill="auto"/>
            <w:vAlign w:val="center"/>
          </w:tcPr>
          <w:p w14:paraId="1B1C084B">
            <w:pPr>
              <w:pStyle w:val="92"/>
              <w:rPr>
                <w:color w:val="auto"/>
                <w:highlight w:val="none"/>
                <w:u w:val="none"/>
              </w:rPr>
            </w:pPr>
            <w:r>
              <w:rPr>
                <w:color w:val="auto"/>
                <w:highlight w:val="none"/>
                <w:u w:val="none"/>
              </w:rPr>
              <w:t>石油、天然气、页岩气开采（含净化），气库（不含加气站的气库），油库（不含加气站的油库）、油气管线b （不含城镇燃气管线）</w:t>
            </w:r>
          </w:p>
        </w:tc>
        <w:tc>
          <w:tcPr>
            <w:tcW w:w="1136" w:type="dxa"/>
            <w:shd w:val="clear" w:color="auto" w:fill="auto"/>
            <w:vAlign w:val="center"/>
          </w:tcPr>
          <w:p w14:paraId="62DB9746">
            <w:pPr>
              <w:pStyle w:val="92"/>
              <w:rPr>
                <w:color w:val="auto"/>
                <w:highlight w:val="none"/>
                <w:u w:val="none"/>
              </w:rPr>
            </w:pPr>
          </w:p>
        </w:tc>
        <w:tc>
          <w:tcPr>
            <w:tcW w:w="887" w:type="dxa"/>
            <w:vMerge w:val="continue"/>
            <w:shd w:val="clear" w:color="auto" w:fill="auto"/>
            <w:vAlign w:val="center"/>
          </w:tcPr>
          <w:p w14:paraId="73EA62FF">
            <w:pPr>
              <w:pStyle w:val="92"/>
              <w:rPr>
                <w:color w:val="auto"/>
                <w:highlight w:val="none"/>
                <w:u w:val="none"/>
              </w:rPr>
            </w:pPr>
          </w:p>
        </w:tc>
      </w:tr>
      <w:tr w14:paraId="13BA0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9" w:type="dxa"/>
            <w:shd w:val="clear" w:color="auto" w:fill="auto"/>
            <w:vAlign w:val="center"/>
          </w:tcPr>
          <w:p w14:paraId="36B343EA">
            <w:pPr>
              <w:pStyle w:val="92"/>
              <w:rPr>
                <w:color w:val="auto"/>
                <w:highlight w:val="none"/>
                <w:u w:val="none"/>
              </w:rPr>
            </w:pPr>
            <w:r>
              <w:rPr>
                <w:color w:val="auto"/>
                <w:highlight w:val="none"/>
                <w:u w:val="none"/>
              </w:rPr>
              <w:t>其他</w:t>
            </w:r>
          </w:p>
        </w:tc>
        <w:tc>
          <w:tcPr>
            <w:tcW w:w="5806" w:type="dxa"/>
            <w:shd w:val="clear" w:color="auto" w:fill="auto"/>
            <w:vAlign w:val="center"/>
          </w:tcPr>
          <w:p w14:paraId="1A1B76C4">
            <w:pPr>
              <w:pStyle w:val="92"/>
              <w:rPr>
                <w:color w:val="auto"/>
                <w:highlight w:val="none"/>
                <w:u w:val="none"/>
              </w:rPr>
            </w:pPr>
            <w:r>
              <w:rPr>
                <w:color w:val="auto"/>
                <w:highlight w:val="none"/>
                <w:u w:val="none"/>
              </w:rPr>
              <w:t xml:space="preserve">涉及危险物质使用、贮存的项目  </w:t>
            </w:r>
          </w:p>
        </w:tc>
        <w:tc>
          <w:tcPr>
            <w:tcW w:w="1136" w:type="dxa"/>
            <w:shd w:val="clear" w:color="auto" w:fill="auto"/>
            <w:vAlign w:val="center"/>
          </w:tcPr>
          <w:p w14:paraId="1B9AC9B1">
            <w:pPr>
              <w:pStyle w:val="92"/>
              <w:rPr>
                <w:color w:val="auto"/>
                <w:highlight w:val="none"/>
                <w:u w:val="none"/>
              </w:rPr>
            </w:pPr>
          </w:p>
        </w:tc>
        <w:tc>
          <w:tcPr>
            <w:tcW w:w="887" w:type="dxa"/>
            <w:shd w:val="clear" w:color="auto" w:fill="auto"/>
            <w:vAlign w:val="center"/>
          </w:tcPr>
          <w:p w14:paraId="4128AE0F">
            <w:pPr>
              <w:pStyle w:val="92"/>
              <w:rPr>
                <w:color w:val="auto"/>
                <w:highlight w:val="none"/>
                <w:u w:val="none"/>
              </w:rPr>
            </w:pPr>
          </w:p>
        </w:tc>
      </w:tr>
      <w:tr w14:paraId="413F9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058" w:type="dxa"/>
            <w:gridSpan w:val="4"/>
            <w:shd w:val="clear" w:color="auto" w:fill="auto"/>
            <w:vAlign w:val="center"/>
          </w:tcPr>
          <w:p w14:paraId="139DBBA5">
            <w:pPr>
              <w:pStyle w:val="92"/>
              <w:rPr>
                <w:color w:val="auto"/>
                <w:highlight w:val="none"/>
                <w:u w:val="none"/>
              </w:rPr>
            </w:pPr>
            <w:r>
              <w:rPr>
                <w:color w:val="auto"/>
                <w:highlight w:val="none"/>
                <w:u w:val="none"/>
              </w:rPr>
              <w:t>a 高温指工艺温度≥300 ℃，高压指压力容器的设计压力（P）≥10.0 MPa；b 长输管道运输项目应按站场、管线分段进行评价。</w:t>
            </w:r>
          </w:p>
        </w:tc>
      </w:tr>
    </w:tbl>
    <w:p w14:paraId="1F1A01C9">
      <w:pPr>
        <w:pStyle w:val="7"/>
        <w:spacing w:before="120"/>
        <w:rPr>
          <w:color w:val="auto"/>
          <w:highlight w:val="none"/>
          <w:u w:val="none"/>
        </w:rPr>
      </w:pPr>
      <w:r>
        <w:rPr>
          <w:color w:val="auto"/>
          <w:highlight w:val="none"/>
          <w:u w:val="none"/>
        </w:rPr>
        <w:t>危险物质及工艺系统危险性（P）分级</w:t>
      </w:r>
    </w:p>
    <w:p w14:paraId="7A49DE17">
      <w:pPr>
        <w:rPr>
          <w:rFonts w:hint="eastAsia"/>
          <w:color w:val="auto"/>
          <w:highlight w:val="none"/>
          <w:u w:val="none"/>
        </w:rPr>
      </w:pPr>
      <w:r>
        <w:rPr>
          <w:color w:val="auto"/>
          <w:highlight w:val="none"/>
          <w:u w:val="none"/>
        </w:rPr>
        <w:t>根据危险物质数量与临界量比值（Q）和行业及生产工艺（M）确定危险物质及工艺系统危险性等级（P），分别以P1、P2、P3、P4表示。根据前文分析可知，本项目危险物质数量与临界量比值Q＞100，行业及生产工艺为M1，对照下表，本项目危险物质及工艺系统危险性为P1。</w:t>
      </w:r>
    </w:p>
    <w:p w14:paraId="3F1F27CE">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w:t>
      </w:r>
      <w:r>
        <w:rPr>
          <w:rFonts w:hint="eastAsia"/>
          <w:color w:val="auto"/>
          <w:highlight w:val="none"/>
          <w:u w:val="none"/>
        </w:rPr>
        <w:t>3</w:t>
      </w:r>
      <w:r>
        <w:rPr>
          <w:color w:val="auto"/>
          <w:highlight w:val="none"/>
          <w:u w:val="none"/>
        </w:rPr>
        <w:fldChar w:fldCharType="end"/>
      </w:r>
      <w:r>
        <w:rPr>
          <w:color w:val="auto"/>
          <w:highlight w:val="none"/>
          <w:u w:val="none"/>
        </w:rPr>
        <w:noBreakHyphen/>
      </w:r>
      <w:r>
        <w:rPr>
          <w:rFonts w:hint="eastAsia"/>
          <w:color w:val="auto"/>
          <w:highlight w:val="none"/>
          <w:u w:val="none"/>
        </w:rPr>
        <w:t>4</w:t>
      </w:r>
      <w:r>
        <w:rPr>
          <w:color w:val="auto"/>
          <w:highlight w:val="none"/>
          <w:u w:val="none"/>
        </w:rPr>
        <w:t xml:space="preserve">  危险物质及工艺系统危险性等级判断（P）</w:t>
      </w:r>
    </w:p>
    <w:tbl>
      <w:tblPr>
        <w:tblStyle w:val="58"/>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27"/>
        <w:gridCol w:w="1514"/>
        <w:gridCol w:w="1846"/>
        <w:gridCol w:w="1846"/>
        <w:gridCol w:w="1852"/>
      </w:tblGrid>
      <w:tr w14:paraId="1BA50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99" w:type="pct"/>
            <w:vMerge w:val="restart"/>
          </w:tcPr>
          <w:p w14:paraId="5BD64D03">
            <w:pPr>
              <w:pStyle w:val="92"/>
              <w:rPr>
                <w:color w:val="auto"/>
                <w:highlight w:val="none"/>
                <w:u w:val="none"/>
              </w:rPr>
            </w:pPr>
            <w:r>
              <w:rPr>
                <w:color w:val="auto"/>
                <w:highlight w:val="none"/>
                <w:u w:val="none"/>
              </w:rPr>
              <w:t>危险物质数量与临界量比值（Q）</w:t>
            </w:r>
          </w:p>
        </w:tc>
        <w:tc>
          <w:tcPr>
            <w:tcW w:w="3800" w:type="pct"/>
            <w:gridSpan w:val="4"/>
          </w:tcPr>
          <w:p w14:paraId="38D66B58">
            <w:pPr>
              <w:pStyle w:val="92"/>
              <w:rPr>
                <w:color w:val="auto"/>
                <w:highlight w:val="none"/>
                <w:u w:val="none"/>
              </w:rPr>
            </w:pPr>
            <w:r>
              <w:rPr>
                <w:color w:val="auto"/>
                <w:highlight w:val="none"/>
                <w:u w:val="none"/>
              </w:rPr>
              <w:t>行业及生产工艺（M）</w:t>
            </w:r>
          </w:p>
        </w:tc>
      </w:tr>
      <w:tr w14:paraId="75A43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99" w:type="pct"/>
            <w:vMerge w:val="continue"/>
          </w:tcPr>
          <w:p w14:paraId="3DCB03E1">
            <w:pPr>
              <w:pStyle w:val="92"/>
              <w:rPr>
                <w:color w:val="auto"/>
                <w:highlight w:val="none"/>
                <w:u w:val="none"/>
              </w:rPr>
            </w:pPr>
          </w:p>
        </w:tc>
        <w:tc>
          <w:tcPr>
            <w:tcW w:w="815" w:type="pct"/>
          </w:tcPr>
          <w:p w14:paraId="5F861C34">
            <w:pPr>
              <w:pStyle w:val="92"/>
              <w:rPr>
                <w:color w:val="auto"/>
                <w:highlight w:val="none"/>
                <w:u w:val="none"/>
              </w:rPr>
            </w:pPr>
            <w:r>
              <w:rPr>
                <w:color w:val="auto"/>
                <w:highlight w:val="none"/>
                <w:u w:val="none"/>
              </w:rPr>
              <w:t>M1</w:t>
            </w:r>
          </w:p>
        </w:tc>
        <w:tc>
          <w:tcPr>
            <w:tcW w:w="994" w:type="pct"/>
          </w:tcPr>
          <w:p w14:paraId="0AB81F37">
            <w:pPr>
              <w:pStyle w:val="92"/>
              <w:rPr>
                <w:color w:val="auto"/>
                <w:highlight w:val="none"/>
                <w:u w:val="none"/>
              </w:rPr>
            </w:pPr>
            <w:r>
              <w:rPr>
                <w:color w:val="auto"/>
                <w:highlight w:val="none"/>
                <w:u w:val="none"/>
              </w:rPr>
              <w:t>M2</w:t>
            </w:r>
          </w:p>
        </w:tc>
        <w:tc>
          <w:tcPr>
            <w:tcW w:w="994" w:type="pct"/>
          </w:tcPr>
          <w:p w14:paraId="2FBAFE74">
            <w:pPr>
              <w:pStyle w:val="92"/>
              <w:rPr>
                <w:color w:val="auto"/>
                <w:highlight w:val="none"/>
                <w:u w:val="none"/>
              </w:rPr>
            </w:pPr>
            <w:r>
              <w:rPr>
                <w:color w:val="auto"/>
                <w:highlight w:val="none"/>
                <w:u w:val="none"/>
              </w:rPr>
              <w:t>M3</w:t>
            </w:r>
          </w:p>
        </w:tc>
        <w:tc>
          <w:tcPr>
            <w:tcW w:w="997" w:type="pct"/>
          </w:tcPr>
          <w:p w14:paraId="19A7473F">
            <w:pPr>
              <w:pStyle w:val="92"/>
              <w:rPr>
                <w:color w:val="auto"/>
                <w:highlight w:val="none"/>
                <w:u w:val="none"/>
              </w:rPr>
            </w:pPr>
            <w:r>
              <w:rPr>
                <w:color w:val="auto"/>
                <w:highlight w:val="none"/>
                <w:u w:val="none"/>
              </w:rPr>
              <w:t>M4</w:t>
            </w:r>
          </w:p>
        </w:tc>
      </w:tr>
      <w:tr w14:paraId="0D77D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99" w:type="pct"/>
            <w:shd w:val="clear" w:color="auto" w:fill="auto"/>
          </w:tcPr>
          <w:p w14:paraId="4BBF4083">
            <w:pPr>
              <w:pStyle w:val="92"/>
              <w:rPr>
                <w:color w:val="auto"/>
                <w:highlight w:val="none"/>
                <w:u w:val="none"/>
              </w:rPr>
            </w:pPr>
            <w:r>
              <w:rPr>
                <w:color w:val="auto"/>
                <w:highlight w:val="none"/>
                <w:u w:val="none"/>
              </w:rPr>
              <w:t>Q≥100</w:t>
            </w:r>
          </w:p>
        </w:tc>
        <w:tc>
          <w:tcPr>
            <w:tcW w:w="815" w:type="pct"/>
            <w:shd w:val="clear" w:color="auto" w:fill="BEBEBE"/>
            <w:vAlign w:val="center"/>
          </w:tcPr>
          <w:p w14:paraId="4B328D62">
            <w:pPr>
              <w:pStyle w:val="92"/>
              <w:rPr>
                <w:color w:val="auto"/>
                <w:highlight w:val="none"/>
                <w:u w:val="none"/>
              </w:rPr>
            </w:pPr>
            <w:r>
              <w:rPr>
                <w:color w:val="auto"/>
                <w:highlight w:val="none"/>
                <w:u w:val="none"/>
              </w:rPr>
              <w:t>P1</w:t>
            </w:r>
          </w:p>
        </w:tc>
        <w:tc>
          <w:tcPr>
            <w:tcW w:w="994" w:type="pct"/>
            <w:shd w:val="clear" w:color="auto" w:fill="FFFFFF"/>
            <w:vAlign w:val="center"/>
          </w:tcPr>
          <w:p w14:paraId="67256A34">
            <w:pPr>
              <w:pStyle w:val="92"/>
              <w:rPr>
                <w:color w:val="auto"/>
                <w:highlight w:val="none"/>
                <w:u w:val="none"/>
              </w:rPr>
            </w:pPr>
            <w:r>
              <w:rPr>
                <w:color w:val="auto"/>
                <w:highlight w:val="none"/>
                <w:u w:val="none"/>
              </w:rPr>
              <w:t>P1</w:t>
            </w:r>
          </w:p>
        </w:tc>
        <w:tc>
          <w:tcPr>
            <w:tcW w:w="994" w:type="pct"/>
            <w:vAlign w:val="center"/>
          </w:tcPr>
          <w:p w14:paraId="6BC67172">
            <w:pPr>
              <w:pStyle w:val="92"/>
              <w:rPr>
                <w:color w:val="auto"/>
                <w:highlight w:val="none"/>
                <w:u w:val="none"/>
              </w:rPr>
            </w:pPr>
            <w:r>
              <w:rPr>
                <w:color w:val="auto"/>
                <w:highlight w:val="none"/>
                <w:u w:val="none"/>
              </w:rPr>
              <w:t>P2</w:t>
            </w:r>
          </w:p>
        </w:tc>
        <w:tc>
          <w:tcPr>
            <w:tcW w:w="997" w:type="pct"/>
            <w:vAlign w:val="center"/>
          </w:tcPr>
          <w:p w14:paraId="744F4E23">
            <w:pPr>
              <w:pStyle w:val="92"/>
              <w:rPr>
                <w:color w:val="auto"/>
                <w:highlight w:val="none"/>
                <w:u w:val="none"/>
              </w:rPr>
            </w:pPr>
            <w:r>
              <w:rPr>
                <w:color w:val="auto"/>
                <w:highlight w:val="none"/>
                <w:u w:val="none"/>
              </w:rPr>
              <w:t>P3</w:t>
            </w:r>
          </w:p>
        </w:tc>
      </w:tr>
      <w:tr w14:paraId="7C4D6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99" w:type="pct"/>
          </w:tcPr>
          <w:p w14:paraId="769D6AFE">
            <w:pPr>
              <w:pStyle w:val="92"/>
              <w:rPr>
                <w:color w:val="auto"/>
                <w:highlight w:val="none"/>
                <w:u w:val="none"/>
              </w:rPr>
            </w:pPr>
            <w:r>
              <w:rPr>
                <w:color w:val="auto"/>
                <w:highlight w:val="none"/>
                <w:u w:val="none"/>
              </w:rPr>
              <w:t>10≤Q＜100</w:t>
            </w:r>
          </w:p>
        </w:tc>
        <w:tc>
          <w:tcPr>
            <w:tcW w:w="815" w:type="pct"/>
            <w:vAlign w:val="center"/>
          </w:tcPr>
          <w:p w14:paraId="53B57F60">
            <w:pPr>
              <w:pStyle w:val="92"/>
              <w:rPr>
                <w:color w:val="auto"/>
                <w:highlight w:val="none"/>
                <w:u w:val="none"/>
              </w:rPr>
            </w:pPr>
            <w:r>
              <w:rPr>
                <w:color w:val="auto"/>
                <w:highlight w:val="none"/>
                <w:u w:val="none"/>
              </w:rPr>
              <w:t>P1</w:t>
            </w:r>
          </w:p>
        </w:tc>
        <w:tc>
          <w:tcPr>
            <w:tcW w:w="994" w:type="pct"/>
            <w:vAlign w:val="center"/>
          </w:tcPr>
          <w:p w14:paraId="61241A45">
            <w:pPr>
              <w:pStyle w:val="92"/>
              <w:rPr>
                <w:color w:val="auto"/>
                <w:highlight w:val="none"/>
                <w:u w:val="none"/>
              </w:rPr>
            </w:pPr>
            <w:r>
              <w:rPr>
                <w:color w:val="auto"/>
                <w:highlight w:val="none"/>
                <w:u w:val="none"/>
              </w:rPr>
              <w:t>P2</w:t>
            </w:r>
          </w:p>
        </w:tc>
        <w:tc>
          <w:tcPr>
            <w:tcW w:w="994" w:type="pct"/>
            <w:vAlign w:val="center"/>
          </w:tcPr>
          <w:p w14:paraId="61D938EF">
            <w:pPr>
              <w:pStyle w:val="92"/>
              <w:rPr>
                <w:color w:val="auto"/>
                <w:highlight w:val="none"/>
                <w:u w:val="none"/>
              </w:rPr>
            </w:pPr>
            <w:r>
              <w:rPr>
                <w:color w:val="auto"/>
                <w:highlight w:val="none"/>
                <w:u w:val="none"/>
              </w:rPr>
              <w:t>P3</w:t>
            </w:r>
          </w:p>
        </w:tc>
        <w:tc>
          <w:tcPr>
            <w:tcW w:w="997" w:type="pct"/>
            <w:vAlign w:val="center"/>
          </w:tcPr>
          <w:p w14:paraId="12125099">
            <w:pPr>
              <w:pStyle w:val="92"/>
              <w:rPr>
                <w:color w:val="auto"/>
                <w:highlight w:val="none"/>
                <w:u w:val="none"/>
              </w:rPr>
            </w:pPr>
            <w:r>
              <w:rPr>
                <w:color w:val="auto"/>
                <w:highlight w:val="none"/>
                <w:u w:val="none"/>
              </w:rPr>
              <w:t>P4</w:t>
            </w:r>
          </w:p>
        </w:tc>
      </w:tr>
      <w:tr w14:paraId="78D3C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99" w:type="pct"/>
            <w:shd w:val="clear" w:color="auto" w:fill="auto"/>
          </w:tcPr>
          <w:p w14:paraId="43B06DF5">
            <w:pPr>
              <w:pStyle w:val="92"/>
              <w:rPr>
                <w:color w:val="auto"/>
                <w:highlight w:val="none"/>
                <w:u w:val="none"/>
              </w:rPr>
            </w:pPr>
            <w:r>
              <w:rPr>
                <w:color w:val="auto"/>
                <w:highlight w:val="none"/>
                <w:u w:val="none"/>
              </w:rPr>
              <w:t>1≤Q＜10</w:t>
            </w:r>
          </w:p>
        </w:tc>
        <w:tc>
          <w:tcPr>
            <w:tcW w:w="815" w:type="pct"/>
            <w:shd w:val="clear" w:color="auto" w:fill="auto"/>
            <w:vAlign w:val="center"/>
          </w:tcPr>
          <w:p w14:paraId="18E8A87C">
            <w:pPr>
              <w:pStyle w:val="92"/>
              <w:rPr>
                <w:color w:val="auto"/>
                <w:highlight w:val="none"/>
                <w:u w:val="none"/>
              </w:rPr>
            </w:pPr>
            <w:r>
              <w:rPr>
                <w:color w:val="auto"/>
                <w:highlight w:val="none"/>
                <w:u w:val="none"/>
              </w:rPr>
              <w:t>P2</w:t>
            </w:r>
          </w:p>
        </w:tc>
        <w:tc>
          <w:tcPr>
            <w:tcW w:w="994" w:type="pct"/>
            <w:shd w:val="clear" w:color="auto" w:fill="FFFFFF"/>
            <w:vAlign w:val="center"/>
          </w:tcPr>
          <w:p w14:paraId="79470F53">
            <w:pPr>
              <w:pStyle w:val="92"/>
              <w:rPr>
                <w:color w:val="auto"/>
                <w:highlight w:val="none"/>
                <w:u w:val="none"/>
              </w:rPr>
            </w:pPr>
            <w:r>
              <w:rPr>
                <w:color w:val="auto"/>
                <w:highlight w:val="none"/>
                <w:u w:val="none"/>
              </w:rPr>
              <w:t>P3</w:t>
            </w:r>
          </w:p>
        </w:tc>
        <w:tc>
          <w:tcPr>
            <w:tcW w:w="994" w:type="pct"/>
            <w:vAlign w:val="center"/>
          </w:tcPr>
          <w:p w14:paraId="54880D72">
            <w:pPr>
              <w:pStyle w:val="92"/>
              <w:rPr>
                <w:color w:val="auto"/>
                <w:highlight w:val="none"/>
                <w:u w:val="none"/>
              </w:rPr>
            </w:pPr>
            <w:r>
              <w:rPr>
                <w:color w:val="auto"/>
                <w:highlight w:val="none"/>
                <w:u w:val="none"/>
              </w:rPr>
              <w:t>P4</w:t>
            </w:r>
          </w:p>
        </w:tc>
        <w:tc>
          <w:tcPr>
            <w:tcW w:w="997" w:type="pct"/>
            <w:vAlign w:val="center"/>
          </w:tcPr>
          <w:p w14:paraId="01F4B894">
            <w:pPr>
              <w:pStyle w:val="92"/>
              <w:rPr>
                <w:color w:val="auto"/>
                <w:highlight w:val="none"/>
                <w:u w:val="none"/>
              </w:rPr>
            </w:pPr>
            <w:r>
              <w:rPr>
                <w:color w:val="auto"/>
                <w:highlight w:val="none"/>
                <w:u w:val="none"/>
              </w:rPr>
              <w:t>P5</w:t>
            </w:r>
          </w:p>
        </w:tc>
      </w:tr>
    </w:tbl>
    <w:p w14:paraId="4F951490">
      <w:pPr>
        <w:pStyle w:val="6"/>
        <w:spacing w:before="120" w:after="120"/>
        <w:rPr>
          <w:color w:val="auto"/>
          <w:highlight w:val="none"/>
          <w:u w:val="none"/>
        </w:rPr>
      </w:pPr>
      <w:r>
        <w:rPr>
          <w:color w:val="auto"/>
          <w:highlight w:val="none"/>
          <w:u w:val="none"/>
        </w:rPr>
        <w:t>建设项目各要素环境敏感程度（E）的分级</w:t>
      </w:r>
    </w:p>
    <w:p w14:paraId="47314FD1">
      <w:pPr>
        <w:adjustRightInd w:val="0"/>
        <w:snapToGrid w:val="0"/>
        <w:rPr>
          <w:rFonts w:hint="eastAsia"/>
          <w:color w:val="auto"/>
          <w:highlight w:val="none"/>
          <w:u w:val="none"/>
        </w:rPr>
      </w:pPr>
      <w:r>
        <w:rPr>
          <w:color w:val="auto"/>
          <w:highlight w:val="none"/>
          <w:u w:val="none"/>
        </w:rPr>
        <w:t>建设项目周边敏感特征见</w:t>
      </w:r>
      <w:r>
        <w:rPr>
          <w:color w:val="auto"/>
          <w:highlight w:val="none"/>
          <w:u w:val="none"/>
        </w:rPr>
        <w:fldChar w:fldCharType="begin"/>
      </w:r>
      <w:r>
        <w:rPr>
          <w:color w:val="auto"/>
          <w:highlight w:val="none"/>
          <w:u w:val="none"/>
        </w:rPr>
        <w:instrText xml:space="preserve"> REF _Ref149248188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3</w:t>
      </w:r>
      <w:r>
        <w:rPr>
          <w:color w:val="auto"/>
          <w:highlight w:val="none"/>
          <w:u w:val="none"/>
        </w:rPr>
        <w:noBreakHyphen/>
      </w:r>
      <w:r>
        <w:rPr>
          <w:rFonts w:hint="eastAsia"/>
          <w:color w:val="auto"/>
          <w:highlight w:val="none"/>
          <w:u w:val="none"/>
          <w:lang w:val="en-US"/>
        </w:rPr>
        <w:t>5</w:t>
      </w:r>
      <w:r>
        <w:rPr>
          <w:color w:val="auto"/>
          <w:highlight w:val="none"/>
          <w:u w:val="none"/>
        </w:rPr>
        <w:fldChar w:fldCharType="end"/>
      </w:r>
      <w:r>
        <w:rPr>
          <w:color w:val="auto"/>
          <w:highlight w:val="none"/>
          <w:u w:val="none"/>
        </w:rPr>
        <w:t>。</w:t>
      </w:r>
    </w:p>
    <w:p w14:paraId="2FDED60B">
      <w:pPr>
        <w:rPr>
          <w:rFonts w:hint="eastAsia"/>
          <w:color w:val="auto"/>
          <w:highlight w:val="none"/>
          <w:u w:val="none"/>
        </w:rPr>
      </w:pPr>
      <w:r>
        <w:rPr>
          <w:color w:val="auto"/>
          <w:highlight w:val="none"/>
          <w:u w:val="none"/>
        </w:rPr>
        <w:t>本项目周边5km范围人口密度超过5万人，大气环境敏感程度为E1。</w:t>
      </w:r>
    </w:p>
    <w:p w14:paraId="6B6EE19A">
      <w:pPr>
        <w:rPr>
          <w:rFonts w:hint="eastAsia"/>
          <w:color w:val="auto"/>
          <w:highlight w:val="none"/>
          <w:u w:val="none"/>
        </w:rPr>
      </w:pPr>
      <w:r>
        <w:rPr>
          <w:color w:val="auto"/>
          <w:highlight w:val="none"/>
          <w:u w:val="none"/>
        </w:rPr>
        <w:t>本项目所在区域地下水敏感性为低敏感G3，本项目厂区内包气带岩土层渗透系数K&gt;1.0×10</w:t>
      </w:r>
      <w:r>
        <w:rPr>
          <w:color w:val="auto"/>
          <w:highlight w:val="none"/>
          <w:u w:val="none"/>
          <w:vertAlign w:val="superscript"/>
        </w:rPr>
        <w:t>-4</w:t>
      </w:r>
      <w:r>
        <w:rPr>
          <w:color w:val="auto"/>
          <w:highlight w:val="none"/>
          <w:u w:val="none"/>
        </w:rPr>
        <w:t>cm/s包气带防污性能为D1，最终判定本项目地下水环境敏感程度为E2。</w:t>
      </w:r>
    </w:p>
    <w:p w14:paraId="1B1593EB">
      <w:pPr>
        <w:pStyle w:val="6"/>
        <w:spacing w:before="120" w:after="120"/>
        <w:rPr>
          <w:color w:val="auto"/>
          <w:highlight w:val="none"/>
          <w:u w:val="none"/>
        </w:rPr>
      </w:pPr>
      <w:r>
        <w:rPr>
          <w:color w:val="auto"/>
          <w:highlight w:val="none"/>
          <w:u w:val="none"/>
        </w:rPr>
        <w:t>环境风险潜势划分</w:t>
      </w:r>
    </w:p>
    <w:p w14:paraId="4BC79EB3">
      <w:pPr>
        <w:rPr>
          <w:rFonts w:hint="eastAsia"/>
          <w:color w:val="auto"/>
          <w:highlight w:val="none"/>
          <w:u w:val="none"/>
        </w:rPr>
      </w:pPr>
      <w:r>
        <w:rPr>
          <w:color w:val="auto"/>
          <w:highlight w:val="none"/>
          <w:u w:val="none"/>
        </w:rPr>
        <w:t>根据建设项目涉及的物质和工艺系统的危险性及其所在地的环境敏感程度，结合事故情形下环境影响途径，对建设项目潜在的环境危害程度进行概化分析，按《建设项目环境风险评价技术导则》（HJ169-2018）表2建设项目环境风险潜势划分（</w:t>
      </w:r>
      <w:r>
        <w:rPr>
          <w:color w:val="auto"/>
          <w:highlight w:val="none"/>
          <w:u w:val="none"/>
        </w:rPr>
        <w:fldChar w:fldCharType="begin"/>
      </w:r>
      <w:r>
        <w:rPr>
          <w:color w:val="auto"/>
          <w:highlight w:val="none"/>
          <w:u w:val="none"/>
        </w:rPr>
        <w:instrText xml:space="preserve"> REF _Ref149248225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3</w:t>
      </w:r>
      <w:r>
        <w:rPr>
          <w:color w:val="auto"/>
          <w:highlight w:val="none"/>
          <w:u w:val="none"/>
        </w:rPr>
        <w:noBreakHyphen/>
      </w:r>
      <w:r>
        <w:rPr>
          <w:rFonts w:hint="eastAsia"/>
          <w:color w:val="auto"/>
          <w:highlight w:val="none"/>
          <w:u w:val="none"/>
          <w:lang w:val="en-US"/>
        </w:rPr>
        <w:t>5</w:t>
      </w:r>
      <w:r>
        <w:rPr>
          <w:color w:val="auto"/>
          <w:highlight w:val="none"/>
          <w:u w:val="none"/>
        </w:rPr>
        <w:fldChar w:fldCharType="end"/>
      </w:r>
      <w:r>
        <w:rPr>
          <w:color w:val="auto"/>
          <w:highlight w:val="none"/>
          <w:u w:val="none"/>
        </w:rPr>
        <w:t>），根据项目大气环境敏感程度为E1，判断风险潜势为IV+级；地下水环境敏感程度为E2，判断风险潜势为</w:t>
      </w:r>
      <w:r>
        <w:rPr>
          <w:rFonts w:hint="eastAsia"/>
          <w:color w:val="auto"/>
          <w:highlight w:val="none"/>
          <w:u w:val="none"/>
          <w:lang w:val="en-US"/>
        </w:rPr>
        <w:t>IV</w:t>
      </w:r>
      <w:r>
        <w:rPr>
          <w:color w:val="auto"/>
          <w:highlight w:val="none"/>
          <w:u w:val="none"/>
        </w:rPr>
        <w:t>级。本项目环境风险潜势综合等级取各要素等级的相对高值，即本项目环境风险潜势综合等级为Ⅳ+级。</w:t>
      </w:r>
    </w:p>
    <w:p w14:paraId="5D90FF73">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w:t>
      </w:r>
      <w:r>
        <w:rPr>
          <w:rFonts w:hint="eastAsia"/>
          <w:color w:val="auto"/>
          <w:highlight w:val="none"/>
          <w:u w:val="none"/>
        </w:rPr>
        <w:t>3</w:t>
      </w:r>
      <w:r>
        <w:rPr>
          <w:color w:val="auto"/>
          <w:highlight w:val="none"/>
          <w:u w:val="none"/>
        </w:rPr>
        <w:fldChar w:fldCharType="end"/>
      </w:r>
      <w:r>
        <w:rPr>
          <w:color w:val="auto"/>
          <w:highlight w:val="none"/>
          <w:u w:val="none"/>
        </w:rPr>
        <w:noBreakHyphen/>
      </w:r>
      <w:r>
        <w:rPr>
          <w:rFonts w:hint="eastAsia"/>
          <w:color w:val="auto"/>
          <w:highlight w:val="none"/>
          <w:u w:val="none"/>
        </w:rPr>
        <w:t>6</w:t>
      </w:r>
      <w:r>
        <w:rPr>
          <w:color w:val="auto"/>
          <w:highlight w:val="none"/>
          <w:u w:val="none"/>
        </w:rPr>
        <w:t xml:space="preserve">  建设项目环境风险潜势划分</w:t>
      </w:r>
    </w:p>
    <w:tbl>
      <w:tblPr>
        <w:tblStyle w:val="5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74"/>
        <w:gridCol w:w="1571"/>
        <w:gridCol w:w="1603"/>
        <w:gridCol w:w="1664"/>
        <w:gridCol w:w="1673"/>
      </w:tblGrid>
      <w:tr w14:paraId="09172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4" w:type="pct"/>
            <w:vMerge w:val="restart"/>
            <w:vAlign w:val="center"/>
          </w:tcPr>
          <w:p w14:paraId="33E780E7">
            <w:pPr>
              <w:pStyle w:val="92"/>
              <w:rPr>
                <w:color w:val="auto"/>
                <w:highlight w:val="none"/>
                <w:u w:val="none"/>
              </w:rPr>
            </w:pPr>
            <w:r>
              <w:rPr>
                <w:color w:val="auto"/>
                <w:highlight w:val="none"/>
                <w:u w:val="none"/>
              </w:rPr>
              <w:t>环境敏感程度（E）</w:t>
            </w:r>
          </w:p>
        </w:tc>
        <w:tc>
          <w:tcPr>
            <w:tcW w:w="3505" w:type="pct"/>
            <w:gridSpan w:val="4"/>
            <w:vAlign w:val="center"/>
          </w:tcPr>
          <w:p w14:paraId="5EF0FD0B">
            <w:pPr>
              <w:pStyle w:val="92"/>
              <w:rPr>
                <w:color w:val="auto"/>
                <w:highlight w:val="none"/>
                <w:u w:val="none"/>
              </w:rPr>
            </w:pPr>
            <w:r>
              <w:rPr>
                <w:color w:val="auto"/>
                <w:highlight w:val="none"/>
                <w:u w:val="none"/>
              </w:rPr>
              <w:t>危险物质及工艺系统危险性（P）</w:t>
            </w:r>
          </w:p>
        </w:tc>
      </w:tr>
      <w:tr w14:paraId="6002E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4" w:type="pct"/>
            <w:vMerge w:val="continue"/>
            <w:vAlign w:val="center"/>
          </w:tcPr>
          <w:p w14:paraId="6B67435C">
            <w:pPr>
              <w:pStyle w:val="92"/>
              <w:rPr>
                <w:color w:val="auto"/>
                <w:highlight w:val="none"/>
                <w:u w:val="none"/>
              </w:rPr>
            </w:pPr>
          </w:p>
        </w:tc>
        <w:tc>
          <w:tcPr>
            <w:tcW w:w="846" w:type="pct"/>
            <w:vAlign w:val="center"/>
          </w:tcPr>
          <w:p w14:paraId="075E81D7">
            <w:pPr>
              <w:pStyle w:val="92"/>
              <w:rPr>
                <w:color w:val="auto"/>
                <w:highlight w:val="none"/>
                <w:u w:val="none"/>
              </w:rPr>
            </w:pPr>
            <w:r>
              <w:rPr>
                <w:color w:val="auto"/>
                <w:highlight w:val="none"/>
                <w:u w:val="none"/>
              </w:rPr>
              <w:t>极高危害（P1）</w:t>
            </w:r>
          </w:p>
        </w:tc>
        <w:tc>
          <w:tcPr>
            <w:tcW w:w="863" w:type="pct"/>
            <w:vAlign w:val="center"/>
          </w:tcPr>
          <w:p w14:paraId="2D01B836">
            <w:pPr>
              <w:pStyle w:val="92"/>
              <w:rPr>
                <w:color w:val="auto"/>
                <w:highlight w:val="none"/>
                <w:u w:val="none"/>
              </w:rPr>
            </w:pPr>
            <w:r>
              <w:rPr>
                <w:color w:val="auto"/>
                <w:highlight w:val="none"/>
                <w:u w:val="none"/>
              </w:rPr>
              <w:t>高度危害（P2）</w:t>
            </w:r>
          </w:p>
        </w:tc>
        <w:tc>
          <w:tcPr>
            <w:tcW w:w="896" w:type="pct"/>
            <w:vAlign w:val="center"/>
          </w:tcPr>
          <w:p w14:paraId="58197821">
            <w:pPr>
              <w:pStyle w:val="92"/>
              <w:rPr>
                <w:color w:val="auto"/>
                <w:highlight w:val="none"/>
                <w:u w:val="none"/>
              </w:rPr>
            </w:pPr>
            <w:r>
              <w:rPr>
                <w:color w:val="auto"/>
                <w:highlight w:val="none"/>
                <w:u w:val="none"/>
              </w:rPr>
              <w:t>中度危害（P3）</w:t>
            </w:r>
          </w:p>
        </w:tc>
        <w:tc>
          <w:tcPr>
            <w:tcW w:w="898" w:type="pct"/>
            <w:vAlign w:val="center"/>
          </w:tcPr>
          <w:p w14:paraId="794AA044">
            <w:pPr>
              <w:pStyle w:val="92"/>
              <w:rPr>
                <w:color w:val="auto"/>
                <w:highlight w:val="none"/>
                <w:u w:val="none"/>
              </w:rPr>
            </w:pPr>
            <w:r>
              <w:rPr>
                <w:color w:val="auto"/>
                <w:highlight w:val="none"/>
                <w:u w:val="none"/>
              </w:rPr>
              <w:t>轻度危害（P4）</w:t>
            </w:r>
          </w:p>
        </w:tc>
      </w:tr>
      <w:tr w14:paraId="6DC45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4" w:type="pct"/>
            <w:shd w:val="clear" w:color="auto" w:fill="auto"/>
            <w:vAlign w:val="center"/>
          </w:tcPr>
          <w:p w14:paraId="5BF8B10B">
            <w:pPr>
              <w:pStyle w:val="92"/>
              <w:rPr>
                <w:color w:val="auto"/>
                <w:highlight w:val="none"/>
                <w:u w:val="none"/>
              </w:rPr>
            </w:pPr>
            <w:r>
              <w:rPr>
                <w:color w:val="auto"/>
                <w:highlight w:val="none"/>
                <w:u w:val="none"/>
              </w:rPr>
              <w:t>环境高度敏感区（E1）</w:t>
            </w:r>
          </w:p>
        </w:tc>
        <w:tc>
          <w:tcPr>
            <w:tcW w:w="846" w:type="pct"/>
            <w:shd w:val="clear" w:color="auto" w:fill="7F7F7F"/>
            <w:vAlign w:val="center"/>
          </w:tcPr>
          <w:p w14:paraId="2B5D6FB3">
            <w:pPr>
              <w:pStyle w:val="92"/>
              <w:rPr>
                <w:color w:val="auto"/>
                <w:highlight w:val="none"/>
                <w:u w:val="none"/>
              </w:rPr>
            </w:pPr>
            <w:r>
              <w:rPr>
                <w:color w:val="auto"/>
                <w:highlight w:val="none"/>
                <w:u w:val="none"/>
              </w:rPr>
              <w:t>Ⅳ+</w:t>
            </w:r>
          </w:p>
        </w:tc>
        <w:tc>
          <w:tcPr>
            <w:tcW w:w="863" w:type="pct"/>
            <w:vAlign w:val="center"/>
          </w:tcPr>
          <w:p w14:paraId="69DB0CAD">
            <w:pPr>
              <w:pStyle w:val="92"/>
              <w:rPr>
                <w:color w:val="auto"/>
                <w:highlight w:val="none"/>
                <w:u w:val="none"/>
              </w:rPr>
            </w:pPr>
            <w:r>
              <w:rPr>
                <w:color w:val="auto"/>
                <w:highlight w:val="none"/>
                <w:u w:val="none"/>
              </w:rPr>
              <w:t>Ⅳ</w:t>
            </w:r>
          </w:p>
        </w:tc>
        <w:tc>
          <w:tcPr>
            <w:tcW w:w="896" w:type="pct"/>
            <w:vAlign w:val="center"/>
          </w:tcPr>
          <w:p w14:paraId="216CB1B1">
            <w:pPr>
              <w:pStyle w:val="92"/>
              <w:rPr>
                <w:color w:val="auto"/>
                <w:highlight w:val="none"/>
                <w:u w:val="none"/>
              </w:rPr>
            </w:pPr>
            <w:r>
              <w:rPr>
                <w:color w:val="auto"/>
                <w:highlight w:val="none"/>
                <w:u w:val="none"/>
              </w:rPr>
              <w:t>Ⅲ</w:t>
            </w:r>
          </w:p>
        </w:tc>
        <w:tc>
          <w:tcPr>
            <w:tcW w:w="898" w:type="pct"/>
            <w:vAlign w:val="center"/>
          </w:tcPr>
          <w:p w14:paraId="7D6C76AD">
            <w:pPr>
              <w:pStyle w:val="92"/>
              <w:rPr>
                <w:color w:val="auto"/>
                <w:highlight w:val="none"/>
                <w:u w:val="none"/>
              </w:rPr>
            </w:pPr>
            <w:r>
              <w:rPr>
                <w:color w:val="auto"/>
                <w:highlight w:val="none"/>
                <w:u w:val="none"/>
              </w:rPr>
              <w:t>Ⅲ</w:t>
            </w:r>
          </w:p>
        </w:tc>
      </w:tr>
      <w:tr w14:paraId="4577A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4" w:type="pct"/>
            <w:shd w:val="clear" w:color="auto" w:fill="auto"/>
            <w:vAlign w:val="center"/>
          </w:tcPr>
          <w:p w14:paraId="68EA5442">
            <w:pPr>
              <w:pStyle w:val="92"/>
              <w:rPr>
                <w:color w:val="auto"/>
                <w:highlight w:val="none"/>
                <w:u w:val="none"/>
              </w:rPr>
            </w:pPr>
            <w:r>
              <w:rPr>
                <w:color w:val="auto"/>
                <w:highlight w:val="none"/>
                <w:u w:val="none"/>
              </w:rPr>
              <w:t>环境中度敏感区（E2）</w:t>
            </w:r>
          </w:p>
        </w:tc>
        <w:tc>
          <w:tcPr>
            <w:tcW w:w="846" w:type="pct"/>
            <w:shd w:val="clear" w:color="auto" w:fill="FFFFFF"/>
            <w:vAlign w:val="center"/>
          </w:tcPr>
          <w:p w14:paraId="54C0D988">
            <w:pPr>
              <w:pStyle w:val="92"/>
              <w:rPr>
                <w:color w:val="auto"/>
                <w:highlight w:val="none"/>
                <w:u w:val="none"/>
              </w:rPr>
            </w:pPr>
            <w:r>
              <w:rPr>
                <w:color w:val="auto"/>
                <w:highlight w:val="none"/>
                <w:u w:val="none"/>
              </w:rPr>
              <w:t>Ⅳ</w:t>
            </w:r>
          </w:p>
        </w:tc>
        <w:tc>
          <w:tcPr>
            <w:tcW w:w="863" w:type="pct"/>
            <w:vAlign w:val="center"/>
          </w:tcPr>
          <w:p w14:paraId="5811A142">
            <w:pPr>
              <w:pStyle w:val="92"/>
              <w:rPr>
                <w:color w:val="auto"/>
                <w:highlight w:val="none"/>
                <w:u w:val="none"/>
              </w:rPr>
            </w:pPr>
            <w:r>
              <w:rPr>
                <w:color w:val="auto"/>
                <w:highlight w:val="none"/>
                <w:u w:val="none"/>
              </w:rPr>
              <w:t>Ⅲ</w:t>
            </w:r>
          </w:p>
        </w:tc>
        <w:tc>
          <w:tcPr>
            <w:tcW w:w="896" w:type="pct"/>
            <w:vAlign w:val="center"/>
          </w:tcPr>
          <w:p w14:paraId="2177110A">
            <w:pPr>
              <w:pStyle w:val="92"/>
              <w:rPr>
                <w:color w:val="auto"/>
                <w:highlight w:val="none"/>
                <w:u w:val="none"/>
              </w:rPr>
            </w:pPr>
            <w:r>
              <w:rPr>
                <w:color w:val="auto"/>
                <w:highlight w:val="none"/>
                <w:u w:val="none"/>
              </w:rPr>
              <w:t>Ⅲ</w:t>
            </w:r>
          </w:p>
        </w:tc>
        <w:tc>
          <w:tcPr>
            <w:tcW w:w="898" w:type="pct"/>
            <w:vAlign w:val="center"/>
          </w:tcPr>
          <w:p w14:paraId="1B281FCD">
            <w:pPr>
              <w:pStyle w:val="92"/>
              <w:rPr>
                <w:color w:val="auto"/>
                <w:highlight w:val="none"/>
                <w:u w:val="none"/>
              </w:rPr>
            </w:pPr>
            <w:r>
              <w:rPr>
                <w:color w:val="auto"/>
                <w:highlight w:val="none"/>
                <w:u w:val="none"/>
              </w:rPr>
              <w:t>Ⅱ</w:t>
            </w:r>
          </w:p>
        </w:tc>
      </w:tr>
      <w:tr w14:paraId="37D7B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94" w:type="pct"/>
            <w:vAlign w:val="center"/>
          </w:tcPr>
          <w:p w14:paraId="5EC40F64">
            <w:pPr>
              <w:pStyle w:val="92"/>
              <w:rPr>
                <w:color w:val="auto"/>
                <w:highlight w:val="none"/>
                <w:u w:val="none"/>
              </w:rPr>
            </w:pPr>
            <w:r>
              <w:rPr>
                <w:color w:val="auto"/>
                <w:highlight w:val="none"/>
                <w:u w:val="none"/>
              </w:rPr>
              <w:t>环境低度敏感区（E3）</w:t>
            </w:r>
          </w:p>
        </w:tc>
        <w:tc>
          <w:tcPr>
            <w:tcW w:w="846" w:type="pct"/>
            <w:vAlign w:val="center"/>
          </w:tcPr>
          <w:p w14:paraId="16B2BF98">
            <w:pPr>
              <w:pStyle w:val="92"/>
              <w:rPr>
                <w:color w:val="auto"/>
                <w:highlight w:val="none"/>
                <w:u w:val="none"/>
              </w:rPr>
            </w:pPr>
            <w:r>
              <w:rPr>
                <w:color w:val="auto"/>
                <w:highlight w:val="none"/>
                <w:u w:val="none"/>
              </w:rPr>
              <w:t>Ⅲ</w:t>
            </w:r>
          </w:p>
        </w:tc>
        <w:tc>
          <w:tcPr>
            <w:tcW w:w="863" w:type="pct"/>
            <w:vAlign w:val="center"/>
          </w:tcPr>
          <w:p w14:paraId="782940B6">
            <w:pPr>
              <w:pStyle w:val="92"/>
              <w:rPr>
                <w:color w:val="auto"/>
                <w:highlight w:val="none"/>
                <w:u w:val="none"/>
              </w:rPr>
            </w:pPr>
            <w:r>
              <w:rPr>
                <w:color w:val="auto"/>
                <w:highlight w:val="none"/>
                <w:u w:val="none"/>
              </w:rPr>
              <w:t>Ⅲ</w:t>
            </w:r>
          </w:p>
        </w:tc>
        <w:tc>
          <w:tcPr>
            <w:tcW w:w="896" w:type="pct"/>
            <w:vAlign w:val="center"/>
          </w:tcPr>
          <w:p w14:paraId="4DC07355">
            <w:pPr>
              <w:pStyle w:val="92"/>
              <w:rPr>
                <w:color w:val="auto"/>
                <w:highlight w:val="none"/>
                <w:u w:val="none"/>
              </w:rPr>
            </w:pPr>
            <w:r>
              <w:rPr>
                <w:color w:val="auto"/>
                <w:highlight w:val="none"/>
                <w:u w:val="none"/>
              </w:rPr>
              <w:t>Ⅱ</w:t>
            </w:r>
          </w:p>
        </w:tc>
        <w:tc>
          <w:tcPr>
            <w:tcW w:w="898" w:type="pct"/>
            <w:vAlign w:val="center"/>
          </w:tcPr>
          <w:p w14:paraId="7394036C">
            <w:pPr>
              <w:pStyle w:val="92"/>
              <w:rPr>
                <w:color w:val="auto"/>
                <w:highlight w:val="none"/>
                <w:u w:val="none"/>
              </w:rPr>
            </w:pPr>
            <w:r>
              <w:rPr>
                <w:color w:val="auto"/>
                <w:highlight w:val="none"/>
                <w:u w:val="none"/>
              </w:rPr>
              <w:t>Ⅰ</w:t>
            </w:r>
          </w:p>
        </w:tc>
      </w:tr>
      <w:tr w14:paraId="2F1FD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vAlign w:val="center"/>
          </w:tcPr>
          <w:p w14:paraId="5E6FE5E5">
            <w:pPr>
              <w:pStyle w:val="92"/>
              <w:rPr>
                <w:color w:val="auto"/>
                <w:highlight w:val="none"/>
                <w:u w:val="none"/>
              </w:rPr>
            </w:pPr>
            <w:r>
              <w:rPr>
                <w:color w:val="auto"/>
                <w:highlight w:val="none"/>
                <w:u w:val="none"/>
              </w:rPr>
              <w:t>注：Ⅳ+为极高环境风险</w:t>
            </w:r>
          </w:p>
        </w:tc>
      </w:tr>
    </w:tbl>
    <w:p w14:paraId="48A01599">
      <w:pPr>
        <w:pStyle w:val="6"/>
        <w:spacing w:before="120" w:after="120"/>
        <w:rPr>
          <w:color w:val="auto"/>
          <w:highlight w:val="none"/>
          <w:u w:val="none"/>
          <w:lang w:val="en-US"/>
        </w:rPr>
      </w:pPr>
      <w:r>
        <w:rPr>
          <w:rFonts w:hint="eastAsia"/>
          <w:color w:val="auto"/>
          <w:highlight w:val="none"/>
          <w:u w:val="none"/>
          <w:lang w:val="en-US"/>
        </w:rPr>
        <w:t>环境风险等级及评价范围</w:t>
      </w:r>
    </w:p>
    <w:p w14:paraId="5B6CD7E3">
      <w:pPr>
        <w:pStyle w:val="7"/>
        <w:spacing w:before="120"/>
        <w:rPr>
          <w:color w:val="auto"/>
          <w:highlight w:val="none"/>
          <w:u w:val="none"/>
          <w:lang w:val="en-US"/>
        </w:rPr>
      </w:pPr>
      <w:r>
        <w:rPr>
          <w:rFonts w:hint="eastAsia"/>
          <w:color w:val="auto"/>
          <w:highlight w:val="none"/>
          <w:u w:val="none"/>
          <w:lang w:val="en-US"/>
        </w:rPr>
        <w:t>评价等级</w:t>
      </w:r>
    </w:p>
    <w:p w14:paraId="46FE1309">
      <w:pPr>
        <w:rPr>
          <w:rFonts w:hint="eastAsia"/>
          <w:color w:val="auto"/>
          <w:highlight w:val="none"/>
          <w:u w:val="none"/>
        </w:rPr>
      </w:pPr>
      <w:r>
        <w:rPr>
          <w:rFonts w:hint="eastAsia"/>
          <w:color w:val="auto"/>
          <w:highlight w:val="none"/>
          <w:u w:val="none"/>
          <w:lang w:val="en-US"/>
        </w:rPr>
        <w:t>综合前述判定分析，</w:t>
      </w:r>
      <w:r>
        <w:rPr>
          <w:rFonts w:hint="eastAsia"/>
          <w:color w:val="auto"/>
          <w:highlight w:val="none"/>
          <w:u w:val="none"/>
        </w:rPr>
        <w:t>本项目</w:t>
      </w:r>
      <w:r>
        <w:rPr>
          <w:rFonts w:hint="eastAsia"/>
          <w:color w:val="auto"/>
          <w:highlight w:val="none"/>
          <w:u w:val="none"/>
          <w:lang w:val="en-US"/>
        </w:rPr>
        <w:t>大气环境</w:t>
      </w:r>
      <w:r>
        <w:rPr>
          <w:rFonts w:hint="eastAsia"/>
          <w:color w:val="auto"/>
          <w:highlight w:val="none"/>
          <w:u w:val="none"/>
        </w:rPr>
        <w:t>风险评价等级为</w:t>
      </w:r>
      <w:r>
        <w:rPr>
          <w:rFonts w:hint="eastAsia"/>
          <w:color w:val="auto"/>
          <w:highlight w:val="none"/>
          <w:u w:val="none"/>
          <w:lang w:val="en-US"/>
        </w:rPr>
        <w:t>一</w:t>
      </w:r>
      <w:r>
        <w:rPr>
          <w:rFonts w:hint="eastAsia"/>
          <w:color w:val="auto"/>
          <w:highlight w:val="none"/>
          <w:u w:val="none"/>
        </w:rPr>
        <w:t>级，</w:t>
      </w:r>
      <w:r>
        <w:rPr>
          <w:rFonts w:hint="eastAsia"/>
          <w:color w:val="auto"/>
          <w:highlight w:val="none"/>
          <w:u w:val="none"/>
          <w:lang w:val="en-US"/>
        </w:rPr>
        <w:t>地下水环境风险评价等级为一级</w:t>
      </w:r>
      <w:r>
        <w:rPr>
          <w:rFonts w:hint="eastAsia"/>
          <w:color w:val="auto"/>
          <w:highlight w:val="none"/>
          <w:u w:val="none"/>
        </w:rPr>
        <w:t>。项目环境风险评价工作等级为一级。</w:t>
      </w:r>
    </w:p>
    <w:p w14:paraId="21E8F249">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w:t>
      </w:r>
      <w:r>
        <w:rPr>
          <w:rFonts w:hint="eastAsia"/>
          <w:color w:val="auto"/>
          <w:highlight w:val="none"/>
          <w:u w:val="none"/>
        </w:rPr>
        <w:t>3</w:t>
      </w:r>
      <w:r>
        <w:rPr>
          <w:color w:val="auto"/>
          <w:highlight w:val="none"/>
          <w:u w:val="none"/>
        </w:rPr>
        <w:fldChar w:fldCharType="end"/>
      </w:r>
      <w:r>
        <w:rPr>
          <w:color w:val="auto"/>
          <w:highlight w:val="none"/>
          <w:u w:val="none"/>
        </w:rPr>
        <w:noBreakHyphen/>
      </w:r>
      <w:r>
        <w:rPr>
          <w:rFonts w:hint="eastAsia"/>
          <w:color w:val="auto"/>
          <w:highlight w:val="none"/>
          <w:u w:val="none"/>
        </w:rPr>
        <w:t>7</w:t>
      </w:r>
      <w:r>
        <w:rPr>
          <w:color w:val="auto"/>
          <w:highlight w:val="none"/>
          <w:u w:val="none"/>
        </w:rPr>
        <w:t xml:space="preserve">  </w:t>
      </w:r>
      <w:r>
        <w:rPr>
          <w:rFonts w:hint="eastAsia"/>
          <w:color w:val="auto"/>
          <w:highlight w:val="none"/>
          <w:u w:val="none"/>
        </w:rPr>
        <w:t>评价工作等级划分</w:t>
      </w:r>
    </w:p>
    <w:tbl>
      <w:tblPr>
        <w:tblStyle w:val="5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1531"/>
        <w:gridCol w:w="1856"/>
        <w:gridCol w:w="1858"/>
        <w:gridCol w:w="1858"/>
      </w:tblGrid>
      <w:tr w14:paraId="4F0FB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vAlign w:val="center"/>
          </w:tcPr>
          <w:p w14:paraId="0A3C9B4F">
            <w:pPr>
              <w:pStyle w:val="92"/>
              <w:rPr>
                <w:color w:val="auto"/>
                <w:highlight w:val="none"/>
                <w:u w:val="none"/>
              </w:rPr>
            </w:pPr>
            <w:r>
              <w:rPr>
                <w:rFonts w:hint="eastAsia"/>
                <w:color w:val="auto"/>
                <w:highlight w:val="none"/>
                <w:u w:val="none"/>
              </w:rPr>
              <w:t>环境风险潜势</w:t>
            </w:r>
          </w:p>
        </w:tc>
        <w:tc>
          <w:tcPr>
            <w:tcW w:w="824" w:type="pct"/>
            <w:vAlign w:val="center"/>
          </w:tcPr>
          <w:p w14:paraId="51DE5D0D">
            <w:pPr>
              <w:pStyle w:val="92"/>
              <w:rPr>
                <w:color w:val="auto"/>
                <w:highlight w:val="none"/>
                <w:u w:val="none"/>
              </w:rPr>
            </w:pPr>
            <w:r>
              <w:rPr>
                <w:rFonts w:hint="eastAsia"/>
                <w:color w:val="auto"/>
                <w:highlight w:val="none"/>
                <w:u w:val="none"/>
              </w:rPr>
              <w:t>Ⅳ、Ⅳ+</w:t>
            </w:r>
          </w:p>
        </w:tc>
        <w:tc>
          <w:tcPr>
            <w:tcW w:w="999" w:type="pct"/>
            <w:vAlign w:val="center"/>
          </w:tcPr>
          <w:p w14:paraId="5F8C3B88">
            <w:pPr>
              <w:pStyle w:val="92"/>
              <w:rPr>
                <w:color w:val="auto"/>
                <w:highlight w:val="none"/>
                <w:u w:val="none"/>
              </w:rPr>
            </w:pPr>
            <w:r>
              <w:rPr>
                <w:rFonts w:hint="eastAsia"/>
                <w:color w:val="auto"/>
                <w:highlight w:val="none"/>
                <w:u w:val="none"/>
              </w:rPr>
              <w:t>Ⅲ</w:t>
            </w:r>
          </w:p>
        </w:tc>
        <w:tc>
          <w:tcPr>
            <w:tcW w:w="1000" w:type="pct"/>
            <w:vAlign w:val="center"/>
          </w:tcPr>
          <w:p w14:paraId="1F43FC3A">
            <w:pPr>
              <w:pStyle w:val="92"/>
              <w:rPr>
                <w:color w:val="auto"/>
                <w:highlight w:val="none"/>
                <w:u w:val="none"/>
              </w:rPr>
            </w:pPr>
            <w:r>
              <w:rPr>
                <w:rFonts w:hint="eastAsia"/>
                <w:color w:val="auto"/>
                <w:highlight w:val="none"/>
                <w:u w:val="none"/>
              </w:rPr>
              <w:t>Ⅱ</w:t>
            </w:r>
          </w:p>
        </w:tc>
        <w:tc>
          <w:tcPr>
            <w:tcW w:w="1000" w:type="pct"/>
            <w:vAlign w:val="center"/>
          </w:tcPr>
          <w:p w14:paraId="242734D4">
            <w:pPr>
              <w:pStyle w:val="92"/>
              <w:rPr>
                <w:color w:val="auto"/>
                <w:highlight w:val="none"/>
                <w:u w:val="none"/>
              </w:rPr>
            </w:pPr>
            <w:r>
              <w:rPr>
                <w:rFonts w:hint="eastAsia"/>
                <w:color w:val="auto"/>
                <w:highlight w:val="none"/>
                <w:u w:val="none"/>
              </w:rPr>
              <w:t>I</w:t>
            </w:r>
          </w:p>
        </w:tc>
      </w:tr>
      <w:tr w14:paraId="318B3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vAlign w:val="center"/>
          </w:tcPr>
          <w:p w14:paraId="04BAC3D3">
            <w:pPr>
              <w:pStyle w:val="92"/>
              <w:rPr>
                <w:color w:val="auto"/>
                <w:highlight w:val="none"/>
                <w:u w:val="none"/>
              </w:rPr>
            </w:pPr>
            <w:r>
              <w:rPr>
                <w:rFonts w:hint="eastAsia"/>
                <w:color w:val="auto"/>
                <w:highlight w:val="none"/>
                <w:u w:val="none"/>
              </w:rPr>
              <w:t>评价工作等级</w:t>
            </w:r>
          </w:p>
        </w:tc>
        <w:tc>
          <w:tcPr>
            <w:tcW w:w="824" w:type="pct"/>
            <w:vAlign w:val="center"/>
          </w:tcPr>
          <w:p w14:paraId="1B16D907">
            <w:pPr>
              <w:pStyle w:val="92"/>
              <w:rPr>
                <w:color w:val="auto"/>
                <w:highlight w:val="none"/>
                <w:u w:val="none"/>
              </w:rPr>
            </w:pPr>
            <w:r>
              <w:rPr>
                <w:rFonts w:hint="eastAsia"/>
                <w:color w:val="auto"/>
                <w:highlight w:val="none"/>
                <w:u w:val="none"/>
              </w:rPr>
              <w:t>一</w:t>
            </w:r>
          </w:p>
        </w:tc>
        <w:tc>
          <w:tcPr>
            <w:tcW w:w="999" w:type="pct"/>
            <w:vAlign w:val="center"/>
          </w:tcPr>
          <w:p w14:paraId="1F584E4F">
            <w:pPr>
              <w:pStyle w:val="92"/>
              <w:rPr>
                <w:color w:val="auto"/>
                <w:highlight w:val="none"/>
                <w:u w:val="none"/>
              </w:rPr>
            </w:pPr>
            <w:r>
              <w:rPr>
                <w:rFonts w:hint="eastAsia"/>
                <w:color w:val="auto"/>
                <w:highlight w:val="none"/>
                <w:u w:val="none"/>
              </w:rPr>
              <w:t>二</w:t>
            </w:r>
          </w:p>
        </w:tc>
        <w:tc>
          <w:tcPr>
            <w:tcW w:w="1000" w:type="pct"/>
            <w:vAlign w:val="center"/>
          </w:tcPr>
          <w:p w14:paraId="2F0416D3">
            <w:pPr>
              <w:pStyle w:val="92"/>
              <w:rPr>
                <w:color w:val="auto"/>
                <w:highlight w:val="none"/>
                <w:u w:val="none"/>
              </w:rPr>
            </w:pPr>
            <w:r>
              <w:rPr>
                <w:rFonts w:hint="eastAsia"/>
                <w:color w:val="auto"/>
                <w:highlight w:val="none"/>
                <w:u w:val="none"/>
              </w:rPr>
              <w:t>三</w:t>
            </w:r>
          </w:p>
        </w:tc>
        <w:tc>
          <w:tcPr>
            <w:tcW w:w="1000" w:type="pct"/>
            <w:vAlign w:val="center"/>
          </w:tcPr>
          <w:p w14:paraId="50FAF768">
            <w:pPr>
              <w:pStyle w:val="92"/>
              <w:rPr>
                <w:color w:val="auto"/>
                <w:highlight w:val="none"/>
                <w:u w:val="none"/>
              </w:rPr>
            </w:pPr>
            <w:r>
              <w:rPr>
                <w:rFonts w:hint="eastAsia"/>
                <w:color w:val="auto"/>
                <w:highlight w:val="none"/>
                <w:u w:val="none"/>
              </w:rPr>
              <w:t>简单分析a</w:t>
            </w:r>
          </w:p>
        </w:tc>
      </w:tr>
    </w:tbl>
    <w:p w14:paraId="6E506C83">
      <w:pPr>
        <w:pStyle w:val="7"/>
        <w:spacing w:before="120"/>
        <w:rPr>
          <w:color w:val="auto"/>
          <w:highlight w:val="none"/>
          <w:u w:val="none"/>
        </w:rPr>
      </w:pPr>
      <w:r>
        <w:rPr>
          <w:rFonts w:hint="eastAsia"/>
          <w:color w:val="auto"/>
          <w:highlight w:val="none"/>
          <w:u w:val="none"/>
        </w:rPr>
        <w:t>评价范围与保护目标</w:t>
      </w:r>
    </w:p>
    <w:p w14:paraId="35F2949C">
      <w:pPr>
        <w:pStyle w:val="5"/>
        <w:ind w:firstLine="480"/>
        <w:rPr>
          <w:rFonts w:hint="eastAsia"/>
          <w:color w:val="auto"/>
          <w:highlight w:val="none"/>
          <w:u w:val="none"/>
        </w:rPr>
      </w:pPr>
      <w:r>
        <w:rPr>
          <w:color w:val="auto"/>
          <w:highlight w:val="none"/>
          <w:u w:val="none"/>
        </w:rPr>
        <w:t>本项目大气环境风险评价范围为厂区边界外延5km；地表水环境风险评价重点分析项目及园区采取的风险防措施；</w:t>
      </w:r>
      <w:r>
        <w:rPr>
          <w:rFonts w:hint="eastAsia"/>
          <w:color w:val="auto"/>
          <w:highlight w:val="none"/>
          <w:u w:val="none"/>
        </w:rPr>
        <w:t>地下水环境风险评价范围结合本评价地下水环境影响评价确定为：项目场界上游2</w:t>
      </w:r>
      <w:r>
        <w:rPr>
          <w:color w:val="auto"/>
          <w:highlight w:val="none"/>
          <w:u w:val="none"/>
        </w:rPr>
        <w:t>00</w:t>
      </w:r>
      <w:r>
        <w:rPr>
          <w:rFonts w:hint="eastAsia"/>
          <w:color w:val="auto"/>
          <w:highlight w:val="none"/>
          <w:u w:val="none"/>
        </w:rPr>
        <w:t>m，两侧4</w:t>
      </w:r>
      <w:r>
        <w:rPr>
          <w:color w:val="auto"/>
          <w:highlight w:val="none"/>
          <w:u w:val="none"/>
        </w:rPr>
        <w:t>60</w:t>
      </w:r>
      <w:r>
        <w:rPr>
          <w:rFonts w:hint="eastAsia"/>
          <w:color w:val="auto"/>
          <w:highlight w:val="none"/>
          <w:u w:val="none"/>
        </w:rPr>
        <w:t>m，下游以</w:t>
      </w:r>
      <w:r>
        <w:rPr>
          <w:color w:val="auto"/>
          <w:highlight w:val="none"/>
          <w:u w:val="none"/>
        </w:rPr>
        <w:t>江阴港海域为评价边界</w:t>
      </w:r>
      <w:r>
        <w:rPr>
          <w:rFonts w:hint="eastAsia"/>
          <w:color w:val="auto"/>
          <w:highlight w:val="none"/>
          <w:u w:val="none"/>
        </w:rPr>
        <w:t>（</w:t>
      </w:r>
      <w:r>
        <w:rPr>
          <w:color w:val="auto"/>
          <w:highlight w:val="none"/>
          <w:u w:val="none"/>
        </w:rPr>
        <w:t>地下水流向为自东向西流</w:t>
      </w:r>
      <w:r>
        <w:rPr>
          <w:rFonts w:hint="eastAsia"/>
          <w:color w:val="auto"/>
          <w:highlight w:val="none"/>
          <w:u w:val="none"/>
        </w:rPr>
        <w:t>）。</w:t>
      </w:r>
      <w:r>
        <w:rPr>
          <w:color w:val="auto"/>
          <w:highlight w:val="none"/>
          <w:u w:val="none"/>
        </w:rPr>
        <w:t>环境风险保护目标具体见第</w:t>
      </w:r>
      <w:r>
        <w:rPr>
          <w:rFonts w:hint="eastAsia"/>
          <w:color w:val="auto"/>
          <w:highlight w:val="none"/>
          <w:u w:val="none"/>
          <w:lang w:val="en-US"/>
        </w:rPr>
        <w:t>二</w:t>
      </w:r>
      <w:r>
        <w:rPr>
          <w:color w:val="auto"/>
          <w:highlight w:val="none"/>
          <w:u w:val="none"/>
        </w:rPr>
        <w:t>章总</w:t>
      </w:r>
      <w:r>
        <w:rPr>
          <w:rFonts w:hint="eastAsia"/>
          <w:color w:val="auto"/>
          <w:highlight w:val="none"/>
          <w:u w:val="none"/>
          <w:lang w:val="en-US"/>
        </w:rPr>
        <w:t>则</w:t>
      </w:r>
      <w:r>
        <w:rPr>
          <w:color w:val="auto"/>
          <w:highlight w:val="none"/>
          <w:u w:val="none"/>
        </w:rPr>
        <w:t>章节</w:t>
      </w:r>
      <w:r>
        <w:rPr>
          <w:rFonts w:hint="eastAsia"/>
          <w:color w:val="auto"/>
          <w:highlight w:val="none"/>
          <w:u w:val="none"/>
        </w:rPr>
        <w:t>。</w:t>
      </w:r>
    </w:p>
    <w:p w14:paraId="3730A810">
      <w:pPr>
        <w:pStyle w:val="4"/>
        <w:spacing w:before="120" w:after="120"/>
        <w:jc w:val="both"/>
        <w:rPr>
          <w:color w:val="auto"/>
          <w:highlight w:val="none"/>
          <w:u w:val="none"/>
        </w:rPr>
      </w:pPr>
      <w:bookmarkStart w:id="602" w:name="_Toc340"/>
      <w:bookmarkStart w:id="603" w:name="_Toc30383"/>
      <w:r>
        <w:rPr>
          <w:rFonts w:hint="eastAsia" w:eastAsia="宋体"/>
          <w:color w:val="auto"/>
          <w:highlight w:val="none"/>
          <w:u w:val="none"/>
          <w:lang w:val="en-US"/>
        </w:rPr>
        <w:t>技改扩能项目环境风险识别</w:t>
      </w:r>
      <w:bookmarkEnd w:id="602"/>
      <w:bookmarkEnd w:id="603"/>
    </w:p>
    <w:p w14:paraId="3A80C074">
      <w:pPr>
        <w:pStyle w:val="6"/>
        <w:spacing w:before="120" w:after="120"/>
        <w:rPr>
          <w:color w:val="auto"/>
          <w:highlight w:val="none"/>
          <w:u w:val="none"/>
        </w:rPr>
      </w:pPr>
      <w:bookmarkStart w:id="604" w:name="_Toc148375094"/>
      <w:bookmarkStart w:id="605" w:name="_Toc148374652"/>
      <w:r>
        <w:rPr>
          <w:rFonts w:hint="eastAsia"/>
          <w:color w:val="auto"/>
          <w:highlight w:val="none"/>
          <w:u w:val="none"/>
          <w:lang w:val="en-US"/>
        </w:rPr>
        <w:t>物质风险性识别</w:t>
      </w:r>
      <w:bookmarkEnd w:id="604"/>
      <w:bookmarkEnd w:id="605"/>
    </w:p>
    <w:p w14:paraId="0D153357">
      <w:pPr>
        <w:pStyle w:val="7"/>
        <w:spacing w:before="120"/>
        <w:rPr>
          <w:color w:val="auto"/>
          <w:highlight w:val="none"/>
          <w:u w:val="none"/>
        </w:rPr>
      </w:pPr>
      <w:r>
        <w:rPr>
          <w:rFonts w:hint="eastAsia"/>
          <w:color w:val="auto"/>
          <w:highlight w:val="none"/>
          <w:u w:val="none"/>
          <w:lang w:val="en-US"/>
        </w:rPr>
        <w:t>风险因子识别</w:t>
      </w:r>
    </w:p>
    <w:p w14:paraId="51AA7B6F">
      <w:pPr>
        <w:rPr>
          <w:rFonts w:hint="eastAsia"/>
          <w:color w:val="auto"/>
          <w:highlight w:val="none"/>
          <w:u w:val="none"/>
        </w:rPr>
      </w:pPr>
      <w:r>
        <w:rPr>
          <w:rFonts w:hint="eastAsia"/>
          <w:color w:val="auto"/>
          <w:highlight w:val="none"/>
          <w:u w:val="none"/>
        </w:rPr>
        <w:t>本项目属于</w:t>
      </w:r>
      <w:r>
        <w:rPr>
          <w:rFonts w:hint="eastAsia"/>
          <w:color w:val="auto"/>
          <w:highlight w:val="none"/>
          <w:u w:val="none"/>
          <w:lang w:val="en-US"/>
        </w:rPr>
        <w:t>技改扩能</w:t>
      </w:r>
      <w:r>
        <w:rPr>
          <w:rFonts w:hint="eastAsia"/>
          <w:color w:val="auto"/>
          <w:highlight w:val="none"/>
          <w:u w:val="none"/>
        </w:rPr>
        <w:t>项目，主要建设内容</w:t>
      </w:r>
      <w:r>
        <w:rPr>
          <w:rFonts w:hint="eastAsia"/>
          <w:color w:val="auto"/>
          <w:highlight w:val="none"/>
          <w:u w:val="none"/>
          <w:lang w:val="en-US"/>
        </w:rPr>
        <w:t>为</w:t>
      </w:r>
      <w:r>
        <w:rPr>
          <w:rFonts w:hint="eastAsia"/>
          <w:color w:val="auto"/>
          <w:highlight w:val="none"/>
          <w:u w:val="none"/>
        </w:rPr>
        <w:t>：</w:t>
      </w:r>
      <w:r>
        <w:rPr>
          <w:rFonts w:hint="eastAsia"/>
          <w:color w:val="auto"/>
          <w:highlight w:val="none"/>
          <w:u w:val="none"/>
          <w:lang w:val="en-US"/>
        </w:rPr>
        <w:t>通过更换与增加部分设备并延长年工作时间，使产能由原来的一期的TDI 25万吨/年增至36万</w:t>
      </w:r>
      <w:r>
        <w:rPr>
          <w:rFonts w:hint="eastAsia"/>
          <w:color w:val="auto"/>
          <w:highlight w:val="none"/>
          <w:u w:val="none"/>
        </w:rPr>
        <w:t>吨/年，</w:t>
      </w:r>
      <w:r>
        <w:rPr>
          <w:rFonts w:hint="eastAsia"/>
          <w:color w:val="auto"/>
          <w:highlight w:val="none"/>
          <w:u w:val="none"/>
          <w:lang w:val="en-US"/>
        </w:rPr>
        <w:t>仍是</w:t>
      </w:r>
      <w:r>
        <w:rPr>
          <w:rFonts w:hint="eastAsia"/>
          <w:color w:val="auto"/>
          <w:highlight w:val="none"/>
          <w:u w:val="none"/>
        </w:rPr>
        <w:t>TDI生产装置，</w:t>
      </w:r>
      <w:r>
        <w:rPr>
          <w:rFonts w:hint="eastAsia"/>
          <w:color w:val="auto"/>
          <w:highlight w:val="none"/>
          <w:u w:val="none"/>
          <w:lang w:val="en-US"/>
        </w:rPr>
        <w:t>包括硝化装置、氢化装置与光化装置，</w:t>
      </w:r>
      <w:r>
        <w:rPr>
          <w:rFonts w:hint="eastAsia"/>
          <w:color w:val="auto"/>
          <w:highlight w:val="none"/>
          <w:u w:val="none"/>
        </w:rPr>
        <w:t>各装置涉及的主要风险物质如下：</w:t>
      </w:r>
    </w:p>
    <w:p w14:paraId="58806D8B">
      <w:pPr>
        <w:rPr>
          <w:rFonts w:hint="eastAsia"/>
          <w:color w:val="auto"/>
          <w:highlight w:val="none"/>
          <w:u w:val="none"/>
        </w:rPr>
      </w:pPr>
      <w:r>
        <w:rPr>
          <w:rFonts w:hint="eastAsia"/>
          <w:color w:val="auto"/>
          <w:highlight w:val="none"/>
          <w:u w:val="none"/>
        </w:rPr>
        <w:t>（1）硝化工序</w:t>
      </w:r>
    </w:p>
    <w:p w14:paraId="43771C4B">
      <w:pPr>
        <w:rPr>
          <w:rFonts w:hint="eastAsia"/>
          <w:color w:val="auto"/>
          <w:highlight w:val="none"/>
          <w:u w:val="none"/>
        </w:rPr>
      </w:pPr>
      <w:r>
        <w:rPr>
          <w:rFonts w:hint="eastAsia"/>
          <w:color w:val="auto"/>
          <w:highlight w:val="none"/>
          <w:u w:val="none"/>
        </w:rPr>
        <w:t>DNT生产装置。</w:t>
      </w:r>
    </w:p>
    <w:p w14:paraId="137565F6">
      <w:pPr>
        <w:rPr>
          <w:rFonts w:hint="eastAsia"/>
          <w:color w:val="auto"/>
          <w:highlight w:val="none"/>
          <w:u w:val="none"/>
        </w:rPr>
      </w:pPr>
      <w:r>
        <w:rPr>
          <w:rFonts w:hint="eastAsia"/>
          <w:color w:val="auto"/>
          <w:highlight w:val="none"/>
          <w:u w:val="none"/>
        </w:rPr>
        <w:t>（2）氢化工序</w:t>
      </w:r>
    </w:p>
    <w:p w14:paraId="66D879EB">
      <w:pPr>
        <w:rPr>
          <w:rFonts w:hint="eastAsia"/>
          <w:color w:val="auto"/>
          <w:highlight w:val="none"/>
          <w:u w:val="none"/>
        </w:rPr>
      </w:pPr>
      <w:r>
        <w:rPr>
          <w:rFonts w:hint="eastAsia"/>
          <w:color w:val="auto"/>
          <w:highlight w:val="none"/>
          <w:u w:val="none"/>
        </w:rPr>
        <w:t>（3）光化工序</w:t>
      </w:r>
    </w:p>
    <w:p w14:paraId="15BA7681">
      <w:pPr>
        <w:rPr>
          <w:rFonts w:hint="eastAsia"/>
          <w:color w:val="auto"/>
          <w:highlight w:val="none"/>
          <w:u w:val="none"/>
        </w:rPr>
      </w:pPr>
      <w:r>
        <w:rPr>
          <w:rFonts w:hint="eastAsia"/>
          <w:color w:val="auto"/>
          <w:highlight w:val="none"/>
          <w:u w:val="none"/>
        </w:rPr>
        <w:t>（4）原料、产品输送管道</w:t>
      </w:r>
    </w:p>
    <w:p w14:paraId="3A8B1BCF">
      <w:pPr>
        <w:rPr>
          <w:rFonts w:hint="eastAsia"/>
          <w:color w:val="auto"/>
          <w:highlight w:val="none"/>
          <w:u w:val="none"/>
        </w:rPr>
      </w:pPr>
      <w:r>
        <w:rPr>
          <w:rFonts w:hint="eastAsia"/>
          <w:color w:val="auto"/>
          <w:highlight w:val="none"/>
          <w:u w:val="none"/>
        </w:rPr>
        <w:t>（5）公辅工程、环保工程</w:t>
      </w:r>
    </w:p>
    <w:p w14:paraId="2DA375D2">
      <w:pPr>
        <w:pStyle w:val="7"/>
        <w:spacing w:before="120"/>
        <w:rPr>
          <w:color w:val="auto"/>
          <w:highlight w:val="none"/>
          <w:u w:val="none"/>
        </w:rPr>
      </w:pPr>
      <w:r>
        <w:rPr>
          <w:rFonts w:hint="eastAsia"/>
          <w:color w:val="auto"/>
          <w:highlight w:val="none"/>
          <w:u w:val="none"/>
          <w:lang w:val="en-US"/>
        </w:rPr>
        <w:t>危险性识别</w:t>
      </w:r>
    </w:p>
    <w:p w14:paraId="4DDCD438">
      <w:pPr>
        <w:autoSpaceDE w:val="0"/>
        <w:autoSpaceDN w:val="0"/>
        <w:adjustRightInd w:val="0"/>
        <w:rPr>
          <w:rFonts w:hint="eastAsia"/>
          <w:color w:val="auto"/>
          <w:highlight w:val="none"/>
          <w:u w:val="none"/>
        </w:rPr>
      </w:pPr>
      <w:r>
        <w:rPr>
          <w:color w:val="auto"/>
          <w:highlight w:val="none"/>
          <w:u w:val="none"/>
        </w:rPr>
        <w:t>（1）危险物品的理化性质</w:t>
      </w:r>
    </w:p>
    <w:p w14:paraId="7C522F05">
      <w:pPr>
        <w:autoSpaceDE w:val="0"/>
        <w:autoSpaceDN w:val="0"/>
        <w:adjustRightInd w:val="0"/>
        <w:rPr>
          <w:rFonts w:hint="eastAsia"/>
          <w:color w:val="auto"/>
          <w:highlight w:val="none"/>
          <w:u w:val="none"/>
        </w:rPr>
      </w:pPr>
      <w:r>
        <w:rPr>
          <w:color w:val="auto"/>
          <w:highlight w:val="none"/>
          <w:u w:val="none"/>
        </w:rPr>
        <w:t>本项目涉及的主要危险物品的理化性质见</w:t>
      </w:r>
      <w:r>
        <w:rPr>
          <w:color w:val="auto"/>
          <w:highlight w:val="none"/>
          <w:u w:val="none"/>
        </w:rPr>
        <w:fldChar w:fldCharType="begin"/>
      </w:r>
      <w:r>
        <w:rPr>
          <w:color w:val="auto"/>
          <w:highlight w:val="none"/>
          <w:u w:val="none"/>
        </w:rPr>
        <w:instrText xml:space="preserve"> REF _Ref138580432 \h  \* MERGEFORMAT </w:instrText>
      </w:r>
      <w:r>
        <w:rPr>
          <w:color w:val="auto"/>
          <w:highlight w:val="none"/>
          <w:u w:val="none"/>
        </w:rPr>
        <w:fldChar w:fldCharType="separate"/>
      </w:r>
      <w:r>
        <w:rPr>
          <w:color w:val="auto"/>
          <w:highlight w:val="none"/>
          <w:u w:val="none"/>
        </w:rPr>
        <w:t>表 4.5</w:t>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w:t>
      </w:r>
    </w:p>
    <w:p w14:paraId="1F503134">
      <w:pPr>
        <w:autoSpaceDE w:val="0"/>
        <w:autoSpaceDN w:val="0"/>
        <w:adjustRightInd w:val="0"/>
        <w:rPr>
          <w:rFonts w:hint="eastAsia"/>
          <w:color w:val="auto"/>
          <w:highlight w:val="none"/>
          <w:u w:val="none"/>
        </w:rPr>
      </w:pPr>
      <w:r>
        <w:rPr>
          <w:color w:val="auto"/>
          <w:highlight w:val="none"/>
          <w:u w:val="none"/>
        </w:rPr>
        <w:t>（2）火灾危险物质</w:t>
      </w:r>
    </w:p>
    <w:p w14:paraId="2AA01C3C">
      <w:pPr>
        <w:autoSpaceDE w:val="0"/>
        <w:autoSpaceDN w:val="0"/>
        <w:adjustRightInd w:val="0"/>
        <w:rPr>
          <w:rFonts w:hint="eastAsia"/>
          <w:color w:val="auto"/>
          <w:highlight w:val="none"/>
          <w:u w:val="none"/>
        </w:rPr>
      </w:pPr>
      <w:r>
        <w:rPr>
          <w:color w:val="auto"/>
          <w:highlight w:val="none"/>
          <w:u w:val="none"/>
        </w:rPr>
        <w:t>根据</w:t>
      </w:r>
      <w:r>
        <w:rPr>
          <w:color w:val="auto"/>
          <w:highlight w:val="none"/>
          <w:u w:val="none"/>
        </w:rPr>
        <w:fldChar w:fldCharType="begin"/>
      </w:r>
      <w:r>
        <w:rPr>
          <w:color w:val="auto"/>
          <w:highlight w:val="none"/>
          <w:u w:val="none"/>
        </w:rPr>
        <w:instrText xml:space="preserve"> REF _Ref138580432 \h  \* MERGEFORMAT </w:instrText>
      </w:r>
      <w:r>
        <w:rPr>
          <w:color w:val="auto"/>
          <w:highlight w:val="none"/>
          <w:u w:val="none"/>
        </w:rPr>
        <w:fldChar w:fldCharType="separate"/>
      </w:r>
      <w:r>
        <w:rPr>
          <w:color w:val="auto"/>
          <w:highlight w:val="none"/>
          <w:u w:val="none"/>
        </w:rPr>
        <w:t>表 4.5</w:t>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，本项目涉及到的主要火灾爆炸风险物质主要</w:t>
      </w:r>
      <w:r>
        <w:rPr>
          <w:rFonts w:hint="eastAsia"/>
          <w:color w:val="auto"/>
          <w:highlight w:val="none"/>
          <w:u w:val="none"/>
        </w:rPr>
        <w:t>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_Ref149247768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color w:val="auto"/>
          <w:highlight w:val="none"/>
          <w:u w:val="none"/>
        </w:rPr>
        <w:t>。</w:t>
      </w:r>
    </w:p>
    <w:p w14:paraId="17DB0FEB">
      <w:pPr>
        <w:pStyle w:val="85"/>
        <w:rPr>
          <w:color w:val="auto"/>
          <w:highlight w:val="none"/>
          <w:u w:val="none"/>
        </w:rPr>
      </w:pPr>
      <w:bookmarkStart w:id="606" w:name="_Ref14924776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606"/>
      <w:r>
        <w:rPr>
          <w:color w:val="auto"/>
          <w:highlight w:val="none"/>
          <w:u w:val="none"/>
        </w:rPr>
        <w:t xml:space="preserve">  项目主要物质火灾危险性分类</w:t>
      </w:r>
    </w:p>
    <w:tbl>
      <w:tblPr>
        <w:tblStyle w:val="5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68"/>
        <w:gridCol w:w="7017"/>
      </w:tblGrid>
      <w:tr w14:paraId="760D4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vAlign w:val="center"/>
          </w:tcPr>
          <w:p w14:paraId="55CE822B">
            <w:pPr>
              <w:pStyle w:val="92"/>
              <w:rPr>
                <w:color w:val="auto"/>
                <w:highlight w:val="none"/>
                <w:u w:val="none"/>
              </w:rPr>
            </w:pPr>
            <w:r>
              <w:rPr>
                <w:color w:val="auto"/>
                <w:highlight w:val="none"/>
                <w:u w:val="none"/>
              </w:rPr>
              <w:t>级别</w:t>
            </w:r>
          </w:p>
        </w:tc>
        <w:tc>
          <w:tcPr>
            <w:tcW w:w="3778" w:type="pct"/>
            <w:vAlign w:val="center"/>
          </w:tcPr>
          <w:p w14:paraId="20888EA7">
            <w:pPr>
              <w:pStyle w:val="92"/>
              <w:rPr>
                <w:color w:val="auto"/>
                <w:highlight w:val="none"/>
                <w:u w:val="none"/>
              </w:rPr>
            </w:pPr>
            <w:r>
              <w:rPr>
                <w:color w:val="auto"/>
                <w:highlight w:val="none"/>
                <w:u w:val="none"/>
              </w:rPr>
              <w:t>物质名称</w:t>
            </w:r>
          </w:p>
        </w:tc>
      </w:tr>
      <w:tr w14:paraId="6AD9D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vAlign w:val="center"/>
          </w:tcPr>
          <w:p w14:paraId="47DCF73B">
            <w:pPr>
              <w:pStyle w:val="92"/>
              <w:rPr>
                <w:color w:val="auto"/>
                <w:highlight w:val="none"/>
                <w:u w:val="none"/>
              </w:rPr>
            </w:pPr>
            <w:r>
              <w:rPr>
                <w:color w:val="auto"/>
                <w:highlight w:val="none"/>
                <w:u w:val="none"/>
              </w:rPr>
              <w:t>易燃物质</w:t>
            </w:r>
          </w:p>
        </w:tc>
        <w:tc>
          <w:tcPr>
            <w:tcW w:w="3778" w:type="pct"/>
            <w:vAlign w:val="center"/>
          </w:tcPr>
          <w:p w14:paraId="0360D9C2">
            <w:pPr>
              <w:pStyle w:val="92"/>
              <w:rPr>
                <w:color w:val="auto"/>
                <w:highlight w:val="none"/>
                <w:u w:val="none"/>
              </w:rPr>
            </w:pPr>
            <w:r>
              <w:rPr>
                <w:color w:val="auto"/>
                <w:highlight w:val="none"/>
                <w:u w:val="none"/>
              </w:rPr>
              <w:t>氢气、一氧化碳、甲苯</w:t>
            </w:r>
          </w:p>
        </w:tc>
      </w:tr>
      <w:tr w14:paraId="1D3A6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1" w:type="pct"/>
            <w:vAlign w:val="center"/>
          </w:tcPr>
          <w:p w14:paraId="5B3BF45D">
            <w:pPr>
              <w:pStyle w:val="92"/>
              <w:rPr>
                <w:color w:val="auto"/>
                <w:highlight w:val="none"/>
                <w:u w:val="none"/>
              </w:rPr>
            </w:pPr>
            <w:r>
              <w:rPr>
                <w:color w:val="auto"/>
                <w:highlight w:val="none"/>
                <w:u w:val="none"/>
              </w:rPr>
              <w:t>爆炸性物质</w:t>
            </w:r>
          </w:p>
        </w:tc>
        <w:tc>
          <w:tcPr>
            <w:tcW w:w="3778" w:type="pct"/>
            <w:vAlign w:val="center"/>
          </w:tcPr>
          <w:p w14:paraId="3A611976">
            <w:pPr>
              <w:pStyle w:val="92"/>
              <w:rPr>
                <w:color w:val="auto"/>
                <w:highlight w:val="none"/>
                <w:u w:val="none"/>
              </w:rPr>
            </w:pPr>
            <w:r>
              <w:rPr>
                <w:color w:val="auto"/>
                <w:highlight w:val="none"/>
                <w:u w:val="none"/>
              </w:rPr>
              <w:t>二硝基甲苯</w:t>
            </w:r>
            <w:r>
              <w:rPr>
                <w:rFonts w:hint="eastAsia"/>
                <w:color w:val="auto"/>
                <w:highlight w:val="none"/>
                <w:u w:val="none"/>
              </w:rPr>
              <w:t>（DNT）</w:t>
            </w:r>
            <w:r>
              <w:rPr>
                <w:color w:val="auto"/>
                <w:highlight w:val="none"/>
                <w:u w:val="none"/>
              </w:rPr>
              <w:t>、邻二氯苯</w:t>
            </w:r>
            <w:r>
              <w:rPr>
                <w:rFonts w:hint="eastAsia"/>
                <w:color w:val="auto"/>
                <w:highlight w:val="none"/>
                <w:u w:val="none"/>
              </w:rPr>
              <w:t>（ODCB）</w:t>
            </w:r>
            <w:r>
              <w:rPr>
                <w:color w:val="auto"/>
                <w:highlight w:val="none"/>
                <w:u w:val="none"/>
              </w:rPr>
              <w:t>、乙二醇、甲苯、氢气、一氧化碳、</w:t>
            </w:r>
            <w:r>
              <w:rPr>
                <w:rFonts w:hint="eastAsia"/>
                <w:color w:val="auto"/>
                <w:highlight w:val="none"/>
                <w:u w:val="none"/>
              </w:rPr>
              <w:t>甲苯二异氰酸酯（TDI）</w:t>
            </w:r>
            <w:r>
              <w:rPr>
                <w:color w:val="auto"/>
                <w:highlight w:val="none"/>
                <w:u w:val="none"/>
              </w:rPr>
              <w:t>、焦油</w:t>
            </w:r>
            <w:r>
              <w:rPr>
                <w:rFonts w:hint="eastAsia"/>
                <w:color w:val="auto"/>
                <w:highlight w:val="none"/>
                <w:u w:val="none"/>
              </w:rPr>
              <w:t>、导热油</w:t>
            </w:r>
          </w:p>
        </w:tc>
      </w:tr>
    </w:tbl>
    <w:p w14:paraId="2F092D3A">
      <w:pPr>
        <w:rPr>
          <w:rFonts w:hint="eastAsia"/>
          <w:color w:val="auto"/>
          <w:highlight w:val="none"/>
          <w:u w:val="none"/>
        </w:rPr>
      </w:pPr>
      <w:r>
        <w:rPr>
          <w:color w:val="auto"/>
          <w:highlight w:val="none"/>
          <w:u w:val="none"/>
        </w:rPr>
        <w:t>（3）毒物危害</w:t>
      </w:r>
    </w:p>
    <w:p w14:paraId="36005D8F">
      <w:pPr>
        <w:rPr>
          <w:rFonts w:hint="eastAsia"/>
          <w:color w:val="auto"/>
          <w:highlight w:val="none"/>
          <w:u w:val="none"/>
        </w:rPr>
      </w:pPr>
      <w:r>
        <w:rPr>
          <w:color w:val="auto"/>
          <w:highlight w:val="none"/>
          <w:u w:val="none"/>
        </w:rPr>
        <w:t>根据《职业性接触毒物危害程度分级》，毒物危害程度分级见</w:t>
      </w:r>
      <w:r>
        <w:rPr>
          <w:color w:val="auto"/>
          <w:highlight w:val="none"/>
          <w:u w:val="none"/>
        </w:rPr>
        <w:fldChar w:fldCharType="begin"/>
      </w:r>
      <w:r>
        <w:rPr>
          <w:color w:val="auto"/>
          <w:highlight w:val="none"/>
          <w:u w:val="none"/>
        </w:rPr>
        <w:instrText xml:space="preserve"> REF _Ref149247790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w:t>
      </w:r>
    </w:p>
    <w:p w14:paraId="1EFD5EB8">
      <w:pPr>
        <w:pStyle w:val="85"/>
        <w:rPr>
          <w:color w:val="auto"/>
          <w:highlight w:val="none"/>
          <w:u w:val="none"/>
        </w:rPr>
      </w:pPr>
      <w:bookmarkStart w:id="607" w:name="_Ref149247790"/>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607"/>
      <w:r>
        <w:rPr>
          <w:color w:val="auto"/>
          <w:highlight w:val="none"/>
          <w:u w:val="none"/>
        </w:rPr>
        <w:t xml:space="preserve"> 职业性接触毒物危害程度分级依据</w:t>
      </w:r>
    </w:p>
    <w:tbl>
      <w:tblPr>
        <w:tblStyle w:val="5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1554"/>
        <w:gridCol w:w="1685"/>
        <w:gridCol w:w="1661"/>
        <w:gridCol w:w="1856"/>
        <w:gridCol w:w="1644"/>
      </w:tblGrid>
      <w:tr w14:paraId="61B0E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4" w:type="pct"/>
            <w:gridSpan w:val="2"/>
            <w:vMerge w:val="restart"/>
            <w:vAlign w:val="center"/>
          </w:tcPr>
          <w:p w14:paraId="5AF141A1">
            <w:pPr>
              <w:pStyle w:val="92"/>
              <w:rPr>
                <w:color w:val="auto"/>
                <w:highlight w:val="none"/>
                <w:u w:val="none"/>
              </w:rPr>
            </w:pPr>
            <w:r>
              <w:rPr>
                <w:color w:val="auto"/>
                <w:highlight w:val="none"/>
                <w:u w:val="none"/>
              </w:rPr>
              <w:t>指标</w:t>
            </w:r>
          </w:p>
        </w:tc>
        <w:tc>
          <w:tcPr>
            <w:tcW w:w="3685" w:type="pct"/>
            <w:gridSpan w:val="4"/>
            <w:vAlign w:val="center"/>
          </w:tcPr>
          <w:p w14:paraId="3CC4008C">
            <w:pPr>
              <w:pStyle w:val="92"/>
              <w:rPr>
                <w:color w:val="auto"/>
                <w:highlight w:val="none"/>
                <w:u w:val="none"/>
              </w:rPr>
            </w:pPr>
            <w:r>
              <w:rPr>
                <w:color w:val="auto"/>
                <w:highlight w:val="none"/>
                <w:u w:val="none"/>
              </w:rPr>
              <w:t>分级</w:t>
            </w:r>
          </w:p>
        </w:tc>
      </w:tr>
      <w:tr w14:paraId="63768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4" w:type="pct"/>
            <w:gridSpan w:val="2"/>
            <w:vMerge w:val="continue"/>
            <w:vAlign w:val="center"/>
          </w:tcPr>
          <w:p w14:paraId="597E9290">
            <w:pPr>
              <w:pStyle w:val="92"/>
              <w:rPr>
                <w:color w:val="auto"/>
                <w:highlight w:val="none"/>
                <w:u w:val="none"/>
              </w:rPr>
            </w:pPr>
          </w:p>
        </w:tc>
        <w:tc>
          <w:tcPr>
            <w:tcW w:w="907" w:type="pct"/>
            <w:vAlign w:val="center"/>
          </w:tcPr>
          <w:p w14:paraId="5EA91B39">
            <w:pPr>
              <w:pStyle w:val="92"/>
              <w:rPr>
                <w:color w:val="auto"/>
                <w:highlight w:val="none"/>
                <w:u w:val="none"/>
              </w:rPr>
            </w:pPr>
            <w:r>
              <w:rPr>
                <w:color w:val="auto"/>
                <w:highlight w:val="none"/>
                <w:u w:val="none"/>
              </w:rPr>
              <w:t>极度危害</w:t>
            </w:r>
          </w:p>
        </w:tc>
        <w:tc>
          <w:tcPr>
            <w:tcW w:w="894" w:type="pct"/>
            <w:vAlign w:val="center"/>
          </w:tcPr>
          <w:p w14:paraId="3A426652">
            <w:pPr>
              <w:pStyle w:val="92"/>
              <w:rPr>
                <w:color w:val="auto"/>
                <w:highlight w:val="none"/>
                <w:u w:val="none"/>
              </w:rPr>
            </w:pPr>
            <w:r>
              <w:rPr>
                <w:color w:val="auto"/>
                <w:highlight w:val="none"/>
                <w:u w:val="none"/>
              </w:rPr>
              <w:t>高度危害</w:t>
            </w:r>
          </w:p>
        </w:tc>
        <w:tc>
          <w:tcPr>
            <w:tcW w:w="999" w:type="pct"/>
            <w:vAlign w:val="center"/>
          </w:tcPr>
          <w:p w14:paraId="49BB29FF">
            <w:pPr>
              <w:pStyle w:val="92"/>
              <w:rPr>
                <w:color w:val="auto"/>
                <w:highlight w:val="none"/>
                <w:u w:val="none"/>
              </w:rPr>
            </w:pPr>
            <w:r>
              <w:rPr>
                <w:color w:val="auto"/>
                <w:highlight w:val="none"/>
                <w:u w:val="none"/>
              </w:rPr>
              <w:t>中度危害</w:t>
            </w:r>
          </w:p>
        </w:tc>
        <w:tc>
          <w:tcPr>
            <w:tcW w:w="883" w:type="pct"/>
            <w:vAlign w:val="center"/>
          </w:tcPr>
          <w:p w14:paraId="345F2AB9">
            <w:pPr>
              <w:pStyle w:val="92"/>
              <w:rPr>
                <w:color w:val="auto"/>
                <w:highlight w:val="none"/>
                <w:u w:val="none"/>
              </w:rPr>
            </w:pPr>
            <w:r>
              <w:rPr>
                <w:color w:val="auto"/>
                <w:highlight w:val="none"/>
                <w:u w:val="none"/>
              </w:rPr>
              <w:t>轻度危害</w:t>
            </w:r>
          </w:p>
        </w:tc>
      </w:tr>
      <w:tr w14:paraId="6C662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Merge w:val="restart"/>
            <w:vAlign w:val="center"/>
          </w:tcPr>
          <w:p w14:paraId="4779716D">
            <w:pPr>
              <w:pStyle w:val="92"/>
              <w:rPr>
                <w:color w:val="auto"/>
                <w:highlight w:val="none"/>
                <w:u w:val="none"/>
              </w:rPr>
            </w:pPr>
            <w:r>
              <w:rPr>
                <w:color w:val="auto"/>
                <w:highlight w:val="none"/>
                <w:u w:val="none"/>
              </w:rPr>
              <w:t>急性</w:t>
            </w:r>
          </w:p>
          <w:p w14:paraId="6A7BE3AD">
            <w:pPr>
              <w:pStyle w:val="92"/>
              <w:rPr>
                <w:color w:val="auto"/>
                <w:highlight w:val="none"/>
                <w:u w:val="none"/>
              </w:rPr>
            </w:pPr>
            <w:r>
              <w:rPr>
                <w:color w:val="auto"/>
                <w:highlight w:val="none"/>
                <w:u w:val="none"/>
              </w:rPr>
              <w:t>中毒</w:t>
            </w:r>
          </w:p>
        </w:tc>
        <w:tc>
          <w:tcPr>
            <w:tcW w:w="837" w:type="pct"/>
            <w:tcMar>
              <w:left w:w="28" w:type="dxa"/>
              <w:right w:w="28" w:type="dxa"/>
            </w:tcMar>
            <w:vAlign w:val="center"/>
          </w:tcPr>
          <w:p w14:paraId="4257D807">
            <w:pPr>
              <w:pStyle w:val="92"/>
              <w:rPr>
                <w:color w:val="auto"/>
                <w:highlight w:val="none"/>
                <w:u w:val="none"/>
              </w:rPr>
            </w:pPr>
            <w:r>
              <w:rPr>
                <w:color w:val="auto"/>
                <w:highlight w:val="none"/>
                <w:u w:val="none"/>
              </w:rPr>
              <w:t>吸入LC</w:t>
            </w:r>
            <w:r>
              <w:rPr>
                <w:color w:val="auto"/>
                <w:highlight w:val="none"/>
                <w:u w:val="none"/>
                <w:vertAlign w:val="subscript"/>
              </w:rPr>
              <w:t>50</w:t>
            </w:r>
            <w:r>
              <w:rPr>
                <w:color w:val="auto"/>
                <w:highlight w:val="none"/>
                <w:u w:val="none"/>
              </w:rPr>
              <w:t>（mg/m³）</w:t>
            </w:r>
          </w:p>
        </w:tc>
        <w:tc>
          <w:tcPr>
            <w:tcW w:w="907" w:type="pct"/>
            <w:vAlign w:val="center"/>
          </w:tcPr>
          <w:p w14:paraId="514ACD87">
            <w:pPr>
              <w:pStyle w:val="92"/>
              <w:rPr>
                <w:color w:val="auto"/>
                <w:highlight w:val="none"/>
                <w:u w:val="none"/>
              </w:rPr>
            </w:pPr>
            <w:r>
              <w:rPr>
                <w:color w:val="auto"/>
                <w:highlight w:val="none"/>
                <w:u w:val="none"/>
              </w:rPr>
              <w:t>&lt;200</w:t>
            </w:r>
          </w:p>
        </w:tc>
        <w:tc>
          <w:tcPr>
            <w:tcW w:w="894" w:type="pct"/>
            <w:vAlign w:val="center"/>
          </w:tcPr>
          <w:p w14:paraId="2752BB47">
            <w:pPr>
              <w:pStyle w:val="92"/>
              <w:rPr>
                <w:color w:val="auto"/>
                <w:highlight w:val="none"/>
                <w:u w:val="none"/>
              </w:rPr>
            </w:pPr>
            <w:r>
              <w:rPr>
                <w:color w:val="auto"/>
                <w:highlight w:val="none"/>
                <w:u w:val="none"/>
              </w:rPr>
              <w:t>≥200~＜2000</w:t>
            </w:r>
          </w:p>
        </w:tc>
        <w:tc>
          <w:tcPr>
            <w:tcW w:w="999" w:type="pct"/>
            <w:vAlign w:val="center"/>
          </w:tcPr>
          <w:p w14:paraId="1A6D1CA2">
            <w:pPr>
              <w:pStyle w:val="92"/>
              <w:rPr>
                <w:color w:val="auto"/>
                <w:highlight w:val="none"/>
                <w:u w:val="none"/>
              </w:rPr>
            </w:pPr>
            <w:r>
              <w:rPr>
                <w:color w:val="auto"/>
                <w:highlight w:val="none"/>
                <w:u w:val="none"/>
              </w:rPr>
              <w:t>≥2000~≤20000</w:t>
            </w:r>
          </w:p>
        </w:tc>
        <w:tc>
          <w:tcPr>
            <w:tcW w:w="883" w:type="pct"/>
            <w:vAlign w:val="center"/>
          </w:tcPr>
          <w:p w14:paraId="4E1B23FC">
            <w:pPr>
              <w:pStyle w:val="92"/>
              <w:rPr>
                <w:color w:val="auto"/>
                <w:highlight w:val="none"/>
                <w:u w:val="none"/>
              </w:rPr>
            </w:pPr>
            <w:r>
              <w:rPr>
                <w:color w:val="auto"/>
                <w:highlight w:val="none"/>
                <w:u w:val="none"/>
              </w:rPr>
              <w:t>&gt;20000</w:t>
            </w:r>
          </w:p>
        </w:tc>
      </w:tr>
      <w:tr w14:paraId="30F6B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Merge w:val="continue"/>
            <w:vAlign w:val="center"/>
          </w:tcPr>
          <w:p w14:paraId="283A19A4">
            <w:pPr>
              <w:pStyle w:val="92"/>
              <w:rPr>
                <w:color w:val="auto"/>
                <w:highlight w:val="none"/>
                <w:u w:val="none"/>
              </w:rPr>
            </w:pPr>
          </w:p>
        </w:tc>
        <w:tc>
          <w:tcPr>
            <w:tcW w:w="837" w:type="pct"/>
            <w:vAlign w:val="center"/>
          </w:tcPr>
          <w:p w14:paraId="5118824A">
            <w:pPr>
              <w:pStyle w:val="92"/>
              <w:rPr>
                <w:color w:val="auto"/>
                <w:highlight w:val="none"/>
                <w:u w:val="none"/>
              </w:rPr>
            </w:pPr>
            <w:r>
              <w:rPr>
                <w:color w:val="auto"/>
                <w:highlight w:val="none"/>
                <w:u w:val="none"/>
              </w:rPr>
              <w:t>经皮LD</w:t>
            </w:r>
            <w:r>
              <w:rPr>
                <w:color w:val="auto"/>
                <w:highlight w:val="none"/>
                <w:u w:val="none"/>
                <w:vertAlign w:val="subscript"/>
              </w:rPr>
              <w:t>50</w:t>
            </w:r>
            <w:r>
              <w:rPr>
                <w:color w:val="auto"/>
                <w:highlight w:val="none"/>
                <w:u w:val="none"/>
              </w:rPr>
              <w:t>（mg/kg）</w:t>
            </w:r>
          </w:p>
        </w:tc>
        <w:tc>
          <w:tcPr>
            <w:tcW w:w="907" w:type="pct"/>
            <w:vAlign w:val="center"/>
          </w:tcPr>
          <w:p w14:paraId="64920212">
            <w:pPr>
              <w:pStyle w:val="92"/>
              <w:rPr>
                <w:color w:val="auto"/>
                <w:highlight w:val="none"/>
                <w:u w:val="none"/>
              </w:rPr>
            </w:pPr>
            <w:r>
              <w:rPr>
                <w:color w:val="auto"/>
                <w:highlight w:val="none"/>
                <w:u w:val="none"/>
              </w:rPr>
              <w:t>&lt;100</w:t>
            </w:r>
          </w:p>
        </w:tc>
        <w:tc>
          <w:tcPr>
            <w:tcW w:w="894" w:type="pct"/>
            <w:vAlign w:val="center"/>
          </w:tcPr>
          <w:p w14:paraId="3EBA4F56">
            <w:pPr>
              <w:pStyle w:val="92"/>
              <w:rPr>
                <w:color w:val="auto"/>
                <w:highlight w:val="none"/>
                <w:u w:val="none"/>
              </w:rPr>
            </w:pPr>
            <w:r>
              <w:rPr>
                <w:color w:val="auto"/>
                <w:highlight w:val="none"/>
                <w:u w:val="none"/>
              </w:rPr>
              <w:t>≥100~＜500</w:t>
            </w:r>
          </w:p>
        </w:tc>
        <w:tc>
          <w:tcPr>
            <w:tcW w:w="999" w:type="pct"/>
            <w:vAlign w:val="center"/>
          </w:tcPr>
          <w:p w14:paraId="50E5BB84">
            <w:pPr>
              <w:pStyle w:val="92"/>
              <w:rPr>
                <w:color w:val="auto"/>
                <w:highlight w:val="none"/>
                <w:u w:val="none"/>
              </w:rPr>
            </w:pPr>
            <w:r>
              <w:rPr>
                <w:color w:val="auto"/>
                <w:highlight w:val="none"/>
                <w:u w:val="none"/>
              </w:rPr>
              <w:t>≥500~≤2500</w:t>
            </w:r>
          </w:p>
        </w:tc>
        <w:tc>
          <w:tcPr>
            <w:tcW w:w="883" w:type="pct"/>
            <w:vAlign w:val="center"/>
          </w:tcPr>
          <w:p w14:paraId="781232A6">
            <w:pPr>
              <w:pStyle w:val="92"/>
              <w:rPr>
                <w:color w:val="auto"/>
                <w:highlight w:val="none"/>
                <w:u w:val="none"/>
              </w:rPr>
            </w:pPr>
            <w:r>
              <w:rPr>
                <w:color w:val="auto"/>
                <w:highlight w:val="none"/>
                <w:u w:val="none"/>
              </w:rPr>
              <w:t>&gt;2500</w:t>
            </w:r>
          </w:p>
        </w:tc>
      </w:tr>
      <w:tr w14:paraId="3B1D8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Merge w:val="continue"/>
            <w:vAlign w:val="center"/>
          </w:tcPr>
          <w:p w14:paraId="0024D312">
            <w:pPr>
              <w:pStyle w:val="92"/>
              <w:rPr>
                <w:color w:val="auto"/>
                <w:highlight w:val="none"/>
                <w:u w:val="none"/>
              </w:rPr>
            </w:pPr>
          </w:p>
        </w:tc>
        <w:tc>
          <w:tcPr>
            <w:tcW w:w="837" w:type="pct"/>
            <w:vAlign w:val="center"/>
          </w:tcPr>
          <w:p w14:paraId="4B9E1918">
            <w:pPr>
              <w:pStyle w:val="92"/>
              <w:rPr>
                <w:color w:val="auto"/>
                <w:highlight w:val="none"/>
                <w:u w:val="none"/>
              </w:rPr>
            </w:pPr>
            <w:r>
              <w:rPr>
                <w:color w:val="auto"/>
                <w:highlight w:val="none"/>
                <w:u w:val="none"/>
              </w:rPr>
              <w:t>经口LD</w:t>
            </w:r>
            <w:r>
              <w:rPr>
                <w:color w:val="auto"/>
                <w:highlight w:val="none"/>
                <w:u w:val="none"/>
                <w:vertAlign w:val="subscript"/>
              </w:rPr>
              <w:t>50</w:t>
            </w:r>
            <w:r>
              <w:rPr>
                <w:color w:val="auto"/>
                <w:highlight w:val="none"/>
                <w:u w:val="none"/>
              </w:rPr>
              <w:t>（mg/kg）</w:t>
            </w:r>
          </w:p>
        </w:tc>
        <w:tc>
          <w:tcPr>
            <w:tcW w:w="907" w:type="pct"/>
            <w:vAlign w:val="center"/>
          </w:tcPr>
          <w:p w14:paraId="1D5E4480">
            <w:pPr>
              <w:pStyle w:val="92"/>
              <w:rPr>
                <w:color w:val="auto"/>
                <w:highlight w:val="none"/>
                <w:u w:val="none"/>
              </w:rPr>
            </w:pPr>
            <w:r>
              <w:rPr>
                <w:color w:val="auto"/>
                <w:highlight w:val="none"/>
                <w:u w:val="none"/>
              </w:rPr>
              <w:t>&lt;25</w:t>
            </w:r>
          </w:p>
        </w:tc>
        <w:tc>
          <w:tcPr>
            <w:tcW w:w="894" w:type="pct"/>
            <w:vAlign w:val="center"/>
          </w:tcPr>
          <w:p w14:paraId="5DF3DE0F">
            <w:pPr>
              <w:pStyle w:val="92"/>
              <w:rPr>
                <w:color w:val="auto"/>
                <w:highlight w:val="none"/>
                <w:u w:val="none"/>
              </w:rPr>
            </w:pPr>
            <w:r>
              <w:rPr>
                <w:color w:val="auto"/>
                <w:highlight w:val="none"/>
                <w:u w:val="none"/>
              </w:rPr>
              <w:t>≥25~＜500</w:t>
            </w:r>
          </w:p>
        </w:tc>
        <w:tc>
          <w:tcPr>
            <w:tcW w:w="999" w:type="pct"/>
            <w:vAlign w:val="center"/>
          </w:tcPr>
          <w:p w14:paraId="6B048FE2">
            <w:pPr>
              <w:pStyle w:val="92"/>
              <w:rPr>
                <w:color w:val="auto"/>
                <w:highlight w:val="none"/>
                <w:u w:val="none"/>
              </w:rPr>
            </w:pPr>
            <w:r>
              <w:rPr>
                <w:color w:val="auto"/>
                <w:highlight w:val="none"/>
                <w:u w:val="none"/>
              </w:rPr>
              <w:t>≥500~≤2500</w:t>
            </w:r>
          </w:p>
        </w:tc>
        <w:tc>
          <w:tcPr>
            <w:tcW w:w="883" w:type="pct"/>
            <w:vAlign w:val="center"/>
          </w:tcPr>
          <w:p w14:paraId="2F400019">
            <w:pPr>
              <w:pStyle w:val="92"/>
              <w:rPr>
                <w:color w:val="auto"/>
                <w:highlight w:val="none"/>
                <w:u w:val="none"/>
              </w:rPr>
            </w:pPr>
            <w:r>
              <w:rPr>
                <w:color w:val="auto"/>
                <w:highlight w:val="none"/>
                <w:u w:val="none"/>
              </w:rPr>
              <w:t>&gt;5000</w:t>
            </w:r>
          </w:p>
        </w:tc>
      </w:tr>
      <w:tr w14:paraId="665E0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4" w:type="pct"/>
            <w:gridSpan w:val="2"/>
            <w:vAlign w:val="center"/>
          </w:tcPr>
          <w:p w14:paraId="379428DC">
            <w:pPr>
              <w:pStyle w:val="92"/>
              <w:rPr>
                <w:color w:val="auto"/>
                <w:highlight w:val="none"/>
                <w:u w:val="none"/>
              </w:rPr>
            </w:pPr>
            <w:r>
              <w:rPr>
                <w:color w:val="auto"/>
                <w:highlight w:val="none"/>
                <w:u w:val="none"/>
              </w:rPr>
              <w:t>致癌性</w:t>
            </w:r>
          </w:p>
        </w:tc>
        <w:tc>
          <w:tcPr>
            <w:tcW w:w="907" w:type="pct"/>
            <w:vAlign w:val="center"/>
          </w:tcPr>
          <w:p w14:paraId="0B19716A">
            <w:pPr>
              <w:pStyle w:val="92"/>
              <w:rPr>
                <w:color w:val="auto"/>
                <w:highlight w:val="none"/>
                <w:u w:val="none"/>
              </w:rPr>
            </w:pPr>
            <w:r>
              <w:rPr>
                <w:color w:val="auto"/>
                <w:highlight w:val="none"/>
                <w:u w:val="none"/>
              </w:rPr>
              <w:t>人类致癌物</w:t>
            </w:r>
          </w:p>
        </w:tc>
        <w:tc>
          <w:tcPr>
            <w:tcW w:w="894" w:type="pct"/>
            <w:vAlign w:val="center"/>
          </w:tcPr>
          <w:p w14:paraId="5A0F2CCD">
            <w:pPr>
              <w:pStyle w:val="92"/>
              <w:rPr>
                <w:color w:val="auto"/>
                <w:highlight w:val="none"/>
                <w:u w:val="none"/>
              </w:rPr>
            </w:pPr>
            <w:r>
              <w:rPr>
                <w:color w:val="auto"/>
                <w:highlight w:val="none"/>
                <w:u w:val="none"/>
              </w:rPr>
              <w:t>可疑人类致癌物</w:t>
            </w:r>
          </w:p>
        </w:tc>
        <w:tc>
          <w:tcPr>
            <w:tcW w:w="999" w:type="pct"/>
            <w:vAlign w:val="center"/>
          </w:tcPr>
          <w:p w14:paraId="6AA6212A">
            <w:pPr>
              <w:pStyle w:val="92"/>
              <w:rPr>
                <w:color w:val="auto"/>
                <w:highlight w:val="none"/>
                <w:u w:val="none"/>
              </w:rPr>
            </w:pPr>
            <w:r>
              <w:rPr>
                <w:color w:val="auto"/>
                <w:highlight w:val="none"/>
                <w:u w:val="none"/>
              </w:rPr>
              <w:t>实验动物致癌物</w:t>
            </w:r>
          </w:p>
        </w:tc>
        <w:tc>
          <w:tcPr>
            <w:tcW w:w="883" w:type="pct"/>
            <w:vAlign w:val="center"/>
          </w:tcPr>
          <w:p w14:paraId="7E744176">
            <w:pPr>
              <w:pStyle w:val="92"/>
              <w:rPr>
                <w:color w:val="auto"/>
                <w:highlight w:val="none"/>
                <w:u w:val="none"/>
              </w:rPr>
            </w:pPr>
            <w:r>
              <w:rPr>
                <w:color w:val="auto"/>
                <w:highlight w:val="none"/>
                <w:u w:val="none"/>
              </w:rPr>
              <w:t>无致癌物</w:t>
            </w:r>
          </w:p>
        </w:tc>
      </w:tr>
    </w:tbl>
    <w:p w14:paraId="579AAA05">
      <w:pPr>
        <w:pStyle w:val="7"/>
        <w:spacing w:before="120"/>
        <w:rPr>
          <w:color w:val="auto"/>
          <w:highlight w:val="none"/>
          <w:u w:val="none"/>
          <w:lang w:val="en-US"/>
        </w:rPr>
      </w:pPr>
      <w:r>
        <w:rPr>
          <w:rFonts w:hint="eastAsia"/>
          <w:color w:val="auto"/>
          <w:highlight w:val="none"/>
          <w:u w:val="none"/>
          <w:lang w:val="en-US"/>
        </w:rPr>
        <w:t>生产设施危险性识别</w:t>
      </w:r>
    </w:p>
    <w:p w14:paraId="21A0EEB3">
      <w:pPr>
        <w:rPr>
          <w:rFonts w:hint="eastAsia"/>
          <w:color w:val="auto"/>
          <w:highlight w:val="none"/>
          <w:u w:val="none"/>
        </w:rPr>
      </w:pPr>
      <w:r>
        <w:rPr>
          <w:color w:val="auto"/>
          <w:highlight w:val="none"/>
          <w:u w:val="none"/>
        </w:rPr>
        <w:t>按照《建设项目环境风险评价技术导则》(HJ169-2018)的规定，结合工程特点，本次评价对工程生产系统、储运系统进行危险性辨识。</w:t>
      </w:r>
    </w:p>
    <w:p w14:paraId="035E3EB1">
      <w:pPr>
        <w:pStyle w:val="7"/>
        <w:spacing w:before="120"/>
        <w:rPr>
          <w:color w:val="auto"/>
          <w:highlight w:val="none"/>
          <w:u w:val="none"/>
        </w:rPr>
      </w:pPr>
      <w:r>
        <w:rPr>
          <w:color w:val="auto"/>
          <w:highlight w:val="none"/>
          <w:u w:val="none"/>
        </w:rPr>
        <w:t>生产装置风险分析</w:t>
      </w:r>
    </w:p>
    <w:p w14:paraId="2FDB1579">
      <w:pPr>
        <w:rPr>
          <w:rFonts w:hint="eastAsia"/>
          <w:color w:val="auto"/>
          <w:highlight w:val="none"/>
          <w:u w:val="none"/>
        </w:rPr>
      </w:pPr>
      <w:r>
        <w:rPr>
          <w:color w:val="auto"/>
          <w:highlight w:val="none"/>
          <w:u w:val="none"/>
        </w:rPr>
        <w:t>本项目各装置作业特点及危害性分析情况见下</w:t>
      </w:r>
      <w:r>
        <w:rPr>
          <w:color w:val="auto"/>
          <w:highlight w:val="none"/>
          <w:u w:val="none"/>
        </w:rPr>
        <w:fldChar w:fldCharType="begin"/>
      </w:r>
      <w:r>
        <w:rPr>
          <w:color w:val="auto"/>
          <w:highlight w:val="none"/>
          <w:u w:val="none"/>
        </w:rPr>
        <w:instrText xml:space="preserve"> REF _Ref149247896 \h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t>4</w:t>
      </w:r>
      <w:r>
        <w:rPr>
          <w:color w:val="auto"/>
          <w:highlight w:val="none"/>
          <w:u w:val="none"/>
        </w:rPr>
        <w:fldChar w:fldCharType="end"/>
      </w:r>
      <w:r>
        <w:rPr>
          <w:color w:val="auto"/>
          <w:highlight w:val="none"/>
          <w:u w:val="none"/>
        </w:rPr>
        <w:t>。</w:t>
      </w:r>
    </w:p>
    <w:p w14:paraId="1161E5DA">
      <w:pPr>
        <w:pStyle w:val="85"/>
        <w:rPr>
          <w:color w:val="auto"/>
          <w:highlight w:val="none"/>
          <w:u w:val="none"/>
        </w:rPr>
      </w:pPr>
      <w:bookmarkStart w:id="608" w:name="_Ref14924789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bookmarkEnd w:id="608"/>
      <w:r>
        <w:rPr>
          <w:color w:val="auto"/>
          <w:highlight w:val="none"/>
          <w:u w:val="none"/>
        </w:rPr>
        <w:t xml:space="preserve">  环境风险物质在生产过程中的作业特点及危害性一览表</w:t>
      </w:r>
    </w:p>
    <w:p w14:paraId="0BEBD46D">
      <w:pPr>
        <w:pStyle w:val="7"/>
        <w:spacing w:before="120"/>
        <w:rPr>
          <w:color w:val="auto"/>
          <w:highlight w:val="none"/>
          <w:u w:val="none"/>
        </w:rPr>
      </w:pPr>
      <w:r>
        <w:rPr>
          <w:color w:val="auto"/>
          <w:highlight w:val="none"/>
          <w:u w:val="none"/>
        </w:rPr>
        <w:t>储运过程风险分析</w:t>
      </w:r>
    </w:p>
    <w:p w14:paraId="5239A4C5">
      <w:pPr>
        <w:rPr>
          <w:color w:val="auto"/>
          <w:highlight w:val="none"/>
          <w:u w:val="none"/>
        </w:rPr>
      </w:pPr>
      <w:r>
        <w:rPr>
          <w:color w:val="auto"/>
          <w:highlight w:val="none"/>
          <w:u w:val="none"/>
        </w:rPr>
        <w:t>在装卸车场与罐区之间、罐区与生产装置、各生产装置之间以工艺管道连通，工艺管道潜在发生爆炸、火灾、有毒化学物料泄漏发生中毒事故等的危险。</w:t>
      </w:r>
    </w:p>
    <w:p w14:paraId="0FB869FA">
      <w:pPr>
        <w:pStyle w:val="7"/>
        <w:spacing w:before="120"/>
        <w:rPr>
          <w:color w:val="auto"/>
          <w:highlight w:val="none"/>
          <w:u w:val="none"/>
        </w:rPr>
      </w:pPr>
      <w:bookmarkStart w:id="609" w:name="_Toc148374653"/>
      <w:bookmarkStart w:id="610" w:name="_Toc211497546"/>
      <w:bookmarkStart w:id="611" w:name="_Toc148375095"/>
      <w:bookmarkStart w:id="612" w:name="_Toc210576015"/>
      <w:r>
        <w:rPr>
          <w:rFonts w:hint="eastAsia"/>
          <w:color w:val="auto"/>
          <w:highlight w:val="none"/>
          <w:u w:val="none"/>
          <w:lang w:val="en-US"/>
        </w:rPr>
        <w:t>公辅工程及环保设施</w:t>
      </w:r>
      <w:r>
        <w:rPr>
          <w:color w:val="auto"/>
          <w:highlight w:val="none"/>
          <w:u w:val="none"/>
        </w:rPr>
        <w:t>风险分析</w:t>
      </w:r>
    </w:p>
    <w:p w14:paraId="4FC15481">
      <w:pPr>
        <w:pStyle w:val="405"/>
        <w:rPr>
          <w:rStyle w:val="525"/>
          <w:rFonts w:hint="eastAsia"/>
          <w:color w:val="auto"/>
          <w:highlight w:val="none"/>
          <w:u w:val="none"/>
        </w:rPr>
      </w:pPr>
      <w:r>
        <w:rPr>
          <w:rFonts w:hint="eastAsia" w:ascii="Times New Roman" w:cs="Times New Roman"/>
          <w:color w:val="auto"/>
          <w:highlight w:val="none"/>
          <w:u w:val="none"/>
        </w:rPr>
        <w:t>根据工程分析，公辅工程主要是给排水工程、供电、供热、供气（仪表空气、压缩空气、氮气等）、制冷工程等，其中制冷工程中使用溴化锂、乙二醇为环境风险物质，其他工程并不涉及环境风险物质。环保设施主要是“TDI 废水预处理单元”，包括DNT撇取水罐、红水废水罐、黄水酸性水储罐、汽提酸性废水缓冲罐、MNT废酸储罐等，根据表4.7-3 储罐设置情况一览表（续）可知，这些罐中其中MNT废酸储罐中硫酸占比72%，TDI不合格产品储罐中TDI占比50%，其他的储罐中中水的占比均大于90%，而风险物质的占比量较小。</w:t>
      </w:r>
    </w:p>
    <w:p w14:paraId="1B1CC045">
      <w:pPr>
        <w:pStyle w:val="6"/>
        <w:spacing w:before="120" w:after="120"/>
        <w:rPr>
          <w:color w:val="auto"/>
          <w:highlight w:val="none"/>
          <w:u w:val="none"/>
        </w:rPr>
      </w:pPr>
      <w:r>
        <w:rPr>
          <w:color w:val="auto"/>
          <w:highlight w:val="none"/>
          <w:u w:val="none"/>
        </w:rPr>
        <w:t>危害方式与途径</w:t>
      </w:r>
      <w:bookmarkEnd w:id="609"/>
      <w:bookmarkEnd w:id="610"/>
      <w:bookmarkEnd w:id="611"/>
      <w:bookmarkEnd w:id="612"/>
    </w:p>
    <w:p w14:paraId="7229E557">
      <w:pPr>
        <w:rPr>
          <w:rFonts w:hint="eastAsia"/>
          <w:color w:val="auto"/>
          <w:highlight w:val="none"/>
          <w:u w:val="none"/>
        </w:rPr>
      </w:pPr>
      <w:r>
        <w:rPr>
          <w:color w:val="auto"/>
          <w:highlight w:val="none"/>
          <w:u w:val="none"/>
        </w:rPr>
        <w:t>事故可能存在多种危害方式，包括对人员的伤害和加重环境污染等。本项目在生产运行过程中存在着多种危险与危害因素。环境风险分析的对象主要是可能导致有毒有害物泄漏的火灾、爆炸和有毒有害物泄漏，给公众带来严重危害，对环境造成严重污染的事故。</w:t>
      </w:r>
    </w:p>
    <w:p w14:paraId="6EDCD36A">
      <w:pPr>
        <w:pStyle w:val="4"/>
        <w:spacing w:before="120" w:after="120"/>
        <w:rPr>
          <w:color w:val="auto"/>
          <w:highlight w:val="none"/>
          <w:u w:val="none"/>
        </w:rPr>
      </w:pPr>
      <w:bookmarkStart w:id="613" w:name="_Toc148374659"/>
      <w:bookmarkStart w:id="614" w:name="_Toc28973"/>
      <w:bookmarkStart w:id="615" w:name="_Toc148375101"/>
      <w:bookmarkStart w:id="616" w:name="_Toc3371"/>
      <w:bookmarkStart w:id="617" w:name="_Toc148374831"/>
      <w:bookmarkStart w:id="618" w:name="_Toc26000"/>
      <w:r>
        <w:rPr>
          <w:color w:val="auto"/>
          <w:highlight w:val="none"/>
          <w:u w:val="none"/>
        </w:rPr>
        <w:t>事故调查及统计分析</w:t>
      </w:r>
      <w:bookmarkEnd w:id="613"/>
      <w:bookmarkEnd w:id="614"/>
      <w:bookmarkEnd w:id="615"/>
      <w:bookmarkEnd w:id="616"/>
      <w:bookmarkEnd w:id="617"/>
      <w:bookmarkEnd w:id="618"/>
    </w:p>
    <w:p w14:paraId="27201361">
      <w:pPr>
        <w:pStyle w:val="6"/>
        <w:spacing w:before="120" w:after="120"/>
        <w:rPr>
          <w:color w:val="auto"/>
          <w:highlight w:val="none"/>
          <w:u w:val="none"/>
          <w:lang w:val="en-US"/>
        </w:rPr>
      </w:pPr>
      <w:bookmarkStart w:id="619" w:name="_Toc148374660"/>
      <w:bookmarkStart w:id="620" w:name="_Toc148375102"/>
      <w:r>
        <w:rPr>
          <w:rFonts w:hint="eastAsia"/>
          <w:color w:val="auto"/>
          <w:highlight w:val="none"/>
          <w:u w:val="none"/>
          <w:lang w:val="en-US"/>
        </w:rPr>
        <w:t>风险事故情形设定</w:t>
      </w:r>
    </w:p>
    <w:bookmarkEnd w:id="619"/>
    <w:bookmarkEnd w:id="620"/>
    <w:p w14:paraId="75EFC7AD">
      <w:pPr>
        <w:pStyle w:val="7"/>
        <w:spacing w:before="120"/>
        <w:rPr>
          <w:color w:val="auto"/>
          <w:highlight w:val="none"/>
          <w:u w:val="none"/>
        </w:rPr>
      </w:pPr>
      <w:bookmarkStart w:id="621" w:name="_Toc148374832"/>
      <w:bookmarkStart w:id="622" w:name="_Toc17305"/>
      <w:bookmarkStart w:id="623" w:name="_Toc148374662"/>
      <w:bookmarkStart w:id="624" w:name="_Toc148375104"/>
      <w:r>
        <w:rPr>
          <w:color w:val="auto"/>
          <w:highlight w:val="none"/>
          <w:u w:val="none"/>
        </w:rPr>
        <w:t>风险事故情形设定</w:t>
      </w:r>
    </w:p>
    <w:p w14:paraId="453AEAAD">
      <w:pPr>
        <w:ind w:firstLine="482"/>
        <w:rPr>
          <w:rFonts w:hint="eastAsia"/>
          <w:b/>
          <w:bCs/>
          <w:color w:val="auto"/>
          <w:highlight w:val="none"/>
          <w:u w:val="none"/>
        </w:rPr>
      </w:pPr>
      <w:r>
        <w:rPr>
          <w:rFonts w:hint="eastAsia"/>
          <w:b/>
          <w:bCs/>
          <w:color w:val="auto"/>
          <w:highlight w:val="none"/>
          <w:u w:val="none"/>
        </w:rPr>
        <w:t>（</w:t>
      </w:r>
      <w:r>
        <w:rPr>
          <w:rFonts w:hint="eastAsia"/>
          <w:b/>
          <w:bCs/>
          <w:color w:val="auto"/>
          <w:highlight w:val="none"/>
          <w:u w:val="none"/>
          <w:lang w:val="en-US"/>
        </w:rPr>
        <w:t>一</w:t>
      </w:r>
      <w:r>
        <w:rPr>
          <w:rFonts w:hint="eastAsia"/>
          <w:b/>
          <w:bCs/>
          <w:color w:val="auto"/>
          <w:highlight w:val="none"/>
          <w:u w:val="none"/>
        </w:rPr>
        <w:t>）</w:t>
      </w:r>
      <w:r>
        <w:rPr>
          <w:b/>
          <w:bCs/>
          <w:color w:val="auto"/>
          <w:highlight w:val="none"/>
          <w:u w:val="none"/>
        </w:rPr>
        <w:t>泄漏事故概率分析</w:t>
      </w:r>
    </w:p>
    <w:p w14:paraId="564F1E8B">
      <w:pPr>
        <w:rPr>
          <w:rFonts w:hint="eastAsia"/>
          <w:color w:val="auto"/>
          <w:highlight w:val="none"/>
          <w:u w:val="none"/>
        </w:rPr>
      </w:pPr>
      <w:r>
        <w:rPr>
          <w:color w:val="auto"/>
          <w:highlight w:val="none"/>
          <w:u w:val="none"/>
        </w:rPr>
        <w:t>泄漏事故类型如容器、管道、泵体、储罐的泄漏和破裂等，泄漏频率详见下</w:t>
      </w:r>
      <w:r>
        <w:rPr>
          <w:color w:val="auto"/>
          <w:highlight w:val="none"/>
          <w:u w:val="none"/>
        </w:rPr>
        <w:fldChar w:fldCharType="begin"/>
      </w:r>
      <w:r>
        <w:rPr>
          <w:color w:val="auto"/>
          <w:highlight w:val="none"/>
          <w:u w:val="none"/>
        </w:rPr>
        <w:instrText xml:space="preserve"> REF _Ref149248541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5</w:t>
      </w:r>
      <w:r>
        <w:rPr>
          <w:color w:val="auto"/>
          <w:highlight w:val="none"/>
          <w:u w:val="none"/>
        </w:rPr>
        <w:fldChar w:fldCharType="end"/>
      </w:r>
      <w:r>
        <w:rPr>
          <w:rFonts w:hint="eastAsia"/>
          <w:color w:val="auto"/>
          <w:highlight w:val="none"/>
          <w:u w:val="none"/>
          <w:lang w:val="en-US"/>
        </w:rPr>
        <w:t>-8，《建设项目环境风险评价技术导则》（HJ169-2018）中8.1.2.3条款规定：设定的风险事故情形发生可能性应处于合理的区间，并与经济技术发展水平相适应。</w:t>
      </w:r>
      <w:r>
        <w:rPr>
          <w:color w:val="auto"/>
          <w:highlight w:val="none"/>
          <w:u w:val="none"/>
        </w:rPr>
        <w:t>一般而言，发生频率小于10</w:t>
      </w:r>
      <w:r>
        <w:rPr>
          <w:color w:val="auto"/>
          <w:highlight w:val="none"/>
          <w:u w:val="none"/>
          <w:vertAlign w:val="superscript"/>
        </w:rPr>
        <w:t>-6</w:t>
      </w:r>
      <w:r>
        <w:rPr>
          <w:color w:val="auto"/>
          <w:highlight w:val="none"/>
          <w:u w:val="none"/>
        </w:rPr>
        <w:t>/年的事件是极小概率事件，可作为代表性事故情形中最大可信事故设定的参考。</w:t>
      </w:r>
    </w:p>
    <w:p w14:paraId="2AEE10C3">
      <w:pPr>
        <w:pStyle w:val="85"/>
        <w:rPr>
          <w:color w:val="auto"/>
          <w:highlight w:val="none"/>
          <w:u w:val="none"/>
        </w:rPr>
      </w:pPr>
      <w:r>
        <w:rPr>
          <w:color w:val="auto"/>
          <w:highlight w:val="none"/>
          <w:u w:val="none"/>
        </w:rPr>
        <w:t xml:space="preserve">表 </w:t>
      </w:r>
      <w:r>
        <w:rPr>
          <w:rFonts w:hint="eastAsia"/>
          <w:color w:val="auto"/>
          <w:highlight w:val="none"/>
          <w:u w:val="none"/>
        </w:rPr>
        <w:t>9.5-8</w:t>
      </w:r>
      <w:r>
        <w:rPr>
          <w:color w:val="auto"/>
          <w:highlight w:val="none"/>
          <w:u w:val="none"/>
        </w:rPr>
        <w:t xml:space="preserve"> 泄漏频率表</w:t>
      </w:r>
    </w:p>
    <w:tbl>
      <w:tblPr>
        <w:tblStyle w:val="58"/>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60"/>
        <w:gridCol w:w="4568"/>
        <w:gridCol w:w="2457"/>
      </w:tblGrid>
      <w:tr w14:paraId="42A4A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17" w:type="pct"/>
            <w:vAlign w:val="center"/>
          </w:tcPr>
          <w:p w14:paraId="18511471">
            <w:pPr>
              <w:pStyle w:val="92"/>
              <w:rPr>
                <w:color w:val="auto"/>
                <w:highlight w:val="none"/>
                <w:u w:val="none"/>
              </w:rPr>
            </w:pPr>
            <w:r>
              <w:rPr>
                <w:color w:val="auto"/>
                <w:highlight w:val="none"/>
                <w:u w:val="none"/>
              </w:rPr>
              <w:t>部件类型</w:t>
            </w:r>
          </w:p>
        </w:tc>
        <w:tc>
          <w:tcPr>
            <w:tcW w:w="2460" w:type="pct"/>
            <w:vAlign w:val="center"/>
          </w:tcPr>
          <w:p w14:paraId="5FDA576E">
            <w:pPr>
              <w:pStyle w:val="92"/>
              <w:rPr>
                <w:color w:val="auto"/>
                <w:highlight w:val="none"/>
                <w:u w:val="none"/>
              </w:rPr>
            </w:pPr>
            <w:r>
              <w:rPr>
                <w:color w:val="auto"/>
                <w:highlight w:val="none"/>
                <w:u w:val="none"/>
              </w:rPr>
              <w:t>泄漏模式</w:t>
            </w:r>
          </w:p>
        </w:tc>
        <w:tc>
          <w:tcPr>
            <w:tcW w:w="1323" w:type="pct"/>
            <w:vAlign w:val="center"/>
          </w:tcPr>
          <w:p w14:paraId="3393F034">
            <w:pPr>
              <w:pStyle w:val="92"/>
              <w:rPr>
                <w:color w:val="auto"/>
                <w:highlight w:val="none"/>
                <w:u w:val="none"/>
              </w:rPr>
            </w:pPr>
            <w:r>
              <w:rPr>
                <w:color w:val="auto"/>
                <w:highlight w:val="none"/>
                <w:u w:val="none"/>
              </w:rPr>
              <w:t>泄漏频率</w:t>
            </w:r>
          </w:p>
        </w:tc>
      </w:tr>
      <w:tr w14:paraId="1CF72E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54F9FED3">
            <w:pPr>
              <w:pStyle w:val="92"/>
              <w:jc w:val="both"/>
              <w:rPr>
                <w:color w:val="auto"/>
                <w:highlight w:val="none"/>
                <w:u w:val="none"/>
              </w:rPr>
            </w:pPr>
            <w:r>
              <w:rPr>
                <w:color w:val="auto"/>
                <w:highlight w:val="none"/>
                <w:u w:val="none"/>
              </w:rPr>
              <w:t>反应器/工艺储罐/气体储罐/塔器</w:t>
            </w:r>
          </w:p>
        </w:tc>
        <w:tc>
          <w:tcPr>
            <w:tcW w:w="2460" w:type="pct"/>
            <w:vAlign w:val="center"/>
          </w:tcPr>
          <w:p w14:paraId="1592713D">
            <w:pPr>
              <w:pStyle w:val="92"/>
              <w:jc w:val="both"/>
              <w:rPr>
                <w:color w:val="auto"/>
                <w:highlight w:val="none"/>
                <w:u w:val="none"/>
              </w:rPr>
            </w:pPr>
            <w:r>
              <w:rPr>
                <w:color w:val="auto"/>
                <w:highlight w:val="none"/>
                <w:u w:val="none"/>
              </w:rPr>
              <w:t>泄漏孔径为10mm孔径</w:t>
            </w:r>
          </w:p>
          <w:p w14:paraId="15ED7835">
            <w:pPr>
              <w:pStyle w:val="92"/>
              <w:jc w:val="both"/>
              <w:rPr>
                <w:color w:val="auto"/>
                <w:highlight w:val="none"/>
                <w:u w:val="none"/>
              </w:rPr>
            </w:pPr>
            <w:r>
              <w:rPr>
                <w:color w:val="auto"/>
                <w:highlight w:val="none"/>
                <w:u w:val="none"/>
              </w:rPr>
              <w:t>10min内储罐泄漏完</w:t>
            </w:r>
          </w:p>
          <w:p w14:paraId="5A092DC6">
            <w:pPr>
              <w:pStyle w:val="92"/>
              <w:jc w:val="both"/>
              <w:rPr>
                <w:color w:val="auto"/>
                <w:highlight w:val="none"/>
                <w:u w:val="none"/>
              </w:rPr>
            </w:pPr>
            <w:r>
              <w:rPr>
                <w:color w:val="auto"/>
                <w:highlight w:val="none"/>
                <w:u w:val="none"/>
              </w:rPr>
              <w:t>储罐全破裂</w:t>
            </w:r>
          </w:p>
        </w:tc>
        <w:tc>
          <w:tcPr>
            <w:tcW w:w="1323" w:type="pct"/>
            <w:vAlign w:val="center"/>
          </w:tcPr>
          <w:p w14:paraId="128DBF92">
            <w:pPr>
              <w:pStyle w:val="92"/>
              <w:jc w:val="both"/>
              <w:rPr>
                <w:color w:val="auto"/>
                <w:highlight w:val="none"/>
                <w:u w:val="none"/>
              </w:rPr>
            </w:pPr>
            <w:r>
              <w:rPr>
                <w:color w:val="auto"/>
                <w:highlight w:val="none"/>
                <w:u w:val="none"/>
              </w:rPr>
              <w:t>1.00×10</w:t>
            </w:r>
            <w:r>
              <w:rPr>
                <w:color w:val="auto"/>
                <w:highlight w:val="none"/>
                <w:u w:val="none"/>
                <w:vertAlign w:val="superscript"/>
              </w:rPr>
              <w:t>-4</w:t>
            </w:r>
            <w:r>
              <w:rPr>
                <w:color w:val="auto"/>
                <w:highlight w:val="none"/>
                <w:u w:val="none"/>
              </w:rPr>
              <w:t>/a</w:t>
            </w:r>
          </w:p>
          <w:p w14:paraId="6721F92C">
            <w:pPr>
              <w:pStyle w:val="92"/>
              <w:jc w:val="both"/>
              <w:rPr>
                <w:color w:val="auto"/>
                <w:highlight w:val="none"/>
                <w:u w:val="none"/>
              </w:rPr>
            </w:pPr>
            <w:r>
              <w:rPr>
                <w:color w:val="auto"/>
                <w:highlight w:val="none"/>
                <w:u w:val="none"/>
              </w:rPr>
              <w:t>5.00×10</w:t>
            </w:r>
            <w:r>
              <w:rPr>
                <w:color w:val="auto"/>
                <w:highlight w:val="none"/>
                <w:u w:val="none"/>
                <w:vertAlign w:val="superscript"/>
              </w:rPr>
              <w:t>-6</w:t>
            </w:r>
            <w:r>
              <w:rPr>
                <w:color w:val="auto"/>
                <w:highlight w:val="none"/>
                <w:u w:val="none"/>
              </w:rPr>
              <w:t>/a</w:t>
            </w:r>
          </w:p>
          <w:p w14:paraId="540ECB4F">
            <w:pPr>
              <w:pStyle w:val="92"/>
              <w:jc w:val="both"/>
              <w:rPr>
                <w:color w:val="auto"/>
                <w:highlight w:val="none"/>
                <w:u w:val="none"/>
              </w:rPr>
            </w:pPr>
            <w:r>
              <w:rPr>
                <w:color w:val="auto"/>
                <w:highlight w:val="none"/>
                <w:u w:val="none"/>
              </w:rPr>
              <w:t>5.00×10</w:t>
            </w:r>
            <w:r>
              <w:rPr>
                <w:color w:val="auto"/>
                <w:highlight w:val="none"/>
                <w:u w:val="none"/>
                <w:vertAlign w:val="superscript"/>
              </w:rPr>
              <w:t>-6</w:t>
            </w:r>
            <w:r>
              <w:rPr>
                <w:color w:val="auto"/>
                <w:highlight w:val="none"/>
                <w:u w:val="none"/>
              </w:rPr>
              <w:t>/a</w:t>
            </w:r>
          </w:p>
        </w:tc>
      </w:tr>
      <w:tr w14:paraId="4017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79046D40">
            <w:pPr>
              <w:pStyle w:val="92"/>
              <w:jc w:val="both"/>
              <w:rPr>
                <w:color w:val="auto"/>
                <w:highlight w:val="none"/>
                <w:u w:val="none"/>
              </w:rPr>
            </w:pPr>
            <w:r>
              <w:rPr>
                <w:color w:val="auto"/>
                <w:highlight w:val="none"/>
                <w:u w:val="none"/>
              </w:rPr>
              <w:t>常压单包容储罐</w:t>
            </w:r>
          </w:p>
        </w:tc>
        <w:tc>
          <w:tcPr>
            <w:tcW w:w="2460" w:type="pct"/>
            <w:vAlign w:val="center"/>
          </w:tcPr>
          <w:p w14:paraId="28718B0B">
            <w:pPr>
              <w:pStyle w:val="92"/>
              <w:jc w:val="both"/>
              <w:rPr>
                <w:color w:val="auto"/>
                <w:highlight w:val="none"/>
                <w:u w:val="none"/>
              </w:rPr>
            </w:pPr>
            <w:r>
              <w:rPr>
                <w:color w:val="auto"/>
                <w:highlight w:val="none"/>
                <w:u w:val="none"/>
              </w:rPr>
              <w:t>泄漏孔径为10mm孔径</w:t>
            </w:r>
          </w:p>
          <w:p w14:paraId="553B292C">
            <w:pPr>
              <w:pStyle w:val="92"/>
              <w:jc w:val="both"/>
              <w:rPr>
                <w:color w:val="auto"/>
                <w:highlight w:val="none"/>
                <w:u w:val="none"/>
              </w:rPr>
            </w:pPr>
            <w:r>
              <w:rPr>
                <w:color w:val="auto"/>
                <w:highlight w:val="none"/>
                <w:u w:val="none"/>
              </w:rPr>
              <w:t>10min内储罐泄漏完</w:t>
            </w:r>
          </w:p>
          <w:p w14:paraId="3B09CDA3">
            <w:pPr>
              <w:pStyle w:val="92"/>
              <w:jc w:val="both"/>
              <w:rPr>
                <w:color w:val="auto"/>
                <w:highlight w:val="none"/>
                <w:u w:val="none"/>
              </w:rPr>
            </w:pPr>
            <w:r>
              <w:rPr>
                <w:color w:val="auto"/>
                <w:highlight w:val="none"/>
                <w:u w:val="none"/>
              </w:rPr>
              <w:t>储罐全破裂</w:t>
            </w:r>
          </w:p>
        </w:tc>
        <w:tc>
          <w:tcPr>
            <w:tcW w:w="1323" w:type="pct"/>
            <w:vAlign w:val="center"/>
          </w:tcPr>
          <w:p w14:paraId="797F2E3A">
            <w:pPr>
              <w:pStyle w:val="92"/>
              <w:jc w:val="both"/>
              <w:rPr>
                <w:color w:val="auto"/>
                <w:highlight w:val="none"/>
                <w:u w:val="none"/>
              </w:rPr>
            </w:pPr>
            <w:r>
              <w:rPr>
                <w:color w:val="auto"/>
                <w:highlight w:val="none"/>
                <w:u w:val="none"/>
              </w:rPr>
              <w:t>1.00×10</w:t>
            </w:r>
            <w:r>
              <w:rPr>
                <w:color w:val="auto"/>
                <w:highlight w:val="none"/>
                <w:u w:val="none"/>
                <w:vertAlign w:val="superscript"/>
              </w:rPr>
              <w:t>-4</w:t>
            </w:r>
            <w:r>
              <w:rPr>
                <w:color w:val="auto"/>
                <w:highlight w:val="none"/>
                <w:u w:val="none"/>
              </w:rPr>
              <w:t>/a</w:t>
            </w:r>
          </w:p>
          <w:p w14:paraId="6D1D6467">
            <w:pPr>
              <w:pStyle w:val="92"/>
              <w:jc w:val="both"/>
              <w:rPr>
                <w:color w:val="auto"/>
                <w:highlight w:val="none"/>
                <w:u w:val="none"/>
              </w:rPr>
            </w:pPr>
            <w:r>
              <w:rPr>
                <w:color w:val="auto"/>
                <w:highlight w:val="none"/>
                <w:u w:val="none"/>
              </w:rPr>
              <w:t>5.00×10</w:t>
            </w:r>
            <w:r>
              <w:rPr>
                <w:color w:val="auto"/>
                <w:highlight w:val="none"/>
                <w:u w:val="none"/>
                <w:vertAlign w:val="superscript"/>
              </w:rPr>
              <w:t>-6</w:t>
            </w:r>
            <w:r>
              <w:rPr>
                <w:color w:val="auto"/>
                <w:highlight w:val="none"/>
                <w:u w:val="none"/>
              </w:rPr>
              <w:t>/a</w:t>
            </w:r>
          </w:p>
          <w:p w14:paraId="7F096D40">
            <w:pPr>
              <w:pStyle w:val="92"/>
              <w:jc w:val="both"/>
              <w:rPr>
                <w:color w:val="auto"/>
                <w:highlight w:val="none"/>
                <w:u w:val="none"/>
              </w:rPr>
            </w:pPr>
            <w:r>
              <w:rPr>
                <w:color w:val="auto"/>
                <w:highlight w:val="none"/>
                <w:u w:val="none"/>
              </w:rPr>
              <w:t>5.00×10</w:t>
            </w:r>
            <w:r>
              <w:rPr>
                <w:color w:val="auto"/>
                <w:highlight w:val="none"/>
                <w:u w:val="none"/>
                <w:vertAlign w:val="superscript"/>
              </w:rPr>
              <w:t>-6</w:t>
            </w:r>
            <w:r>
              <w:rPr>
                <w:color w:val="auto"/>
                <w:highlight w:val="none"/>
                <w:u w:val="none"/>
              </w:rPr>
              <w:t>/a</w:t>
            </w:r>
          </w:p>
        </w:tc>
      </w:tr>
      <w:tr w14:paraId="71203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65038D86">
            <w:pPr>
              <w:pStyle w:val="92"/>
              <w:jc w:val="both"/>
              <w:rPr>
                <w:color w:val="auto"/>
                <w:highlight w:val="none"/>
                <w:u w:val="none"/>
              </w:rPr>
            </w:pPr>
            <w:r>
              <w:rPr>
                <w:color w:val="auto"/>
                <w:highlight w:val="none"/>
                <w:u w:val="none"/>
              </w:rPr>
              <w:t>常压双包容储罐</w:t>
            </w:r>
          </w:p>
        </w:tc>
        <w:tc>
          <w:tcPr>
            <w:tcW w:w="2460" w:type="pct"/>
            <w:vAlign w:val="center"/>
          </w:tcPr>
          <w:p w14:paraId="145DC9AD">
            <w:pPr>
              <w:pStyle w:val="92"/>
              <w:jc w:val="both"/>
              <w:rPr>
                <w:color w:val="auto"/>
                <w:highlight w:val="none"/>
                <w:u w:val="none"/>
              </w:rPr>
            </w:pPr>
            <w:r>
              <w:rPr>
                <w:color w:val="auto"/>
                <w:highlight w:val="none"/>
                <w:u w:val="none"/>
              </w:rPr>
              <w:t>泄漏孔径为10mm孔径</w:t>
            </w:r>
          </w:p>
          <w:p w14:paraId="6FA56EC1">
            <w:pPr>
              <w:pStyle w:val="92"/>
              <w:jc w:val="both"/>
              <w:rPr>
                <w:color w:val="auto"/>
                <w:highlight w:val="none"/>
                <w:u w:val="none"/>
              </w:rPr>
            </w:pPr>
            <w:r>
              <w:rPr>
                <w:color w:val="auto"/>
                <w:highlight w:val="none"/>
                <w:u w:val="none"/>
              </w:rPr>
              <w:t>10min内储罐泄漏完</w:t>
            </w:r>
          </w:p>
          <w:p w14:paraId="5DE5D5D0">
            <w:pPr>
              <w:pStyle w:val="92"/>
              <w:jc w:val="both"/>
              <w:rPr>
                <w:color w:val="auto"/>
                <w:highlight w:val="none"/>
                <w:u w:val="none"/>
              </w:rPr>
            </w:pPr>
            <w:r>
              <w:rPr>
                <w:color w:val="auto"/>
                <w:highlight w:val="none"/>
                <w:u w:val="none"/>
              </w:rPr>
              <w:t>储罐全破裂</w:t>
            </w:r>
          </w:p>
        </w:tc>
        <w:tc>
          <w:tcPr>
            <w:tcW w:w="1323" w:type="pct"/>
            <w:vAlign w:val="center"/>
          </w:tcPr>
          <w:p w14:paraId="5F1EAF5C">
            <w:pPr>
              <w:pStyle w:val="92"/>
              <w:jc w:val="both"/>
              <w:rPr>
                <w:color w:val="auto"/>
                <w:highlight w:val="none"/>
                <w:u w:val="none"/>
              </w:rPr>
            </w:pPr>
            <w:r>
              <w:rPr>
                <w:color w:val="auto"/>
                <w:highlight w:val="none"/>
                <w:u w:val="none"/>
              </w:rPr>
              <w:t>1.00×10</w:t>
            </w:r>
            <w:r>
              <w:rPr>
                <w:color w:val="auto"/>
                <w:highlight w:val="none"/>
                <w:u w:val="none"/>
                <w:vertAlign w:val="superscript"/>
              </w:rPr>
              <w:t>-4</w:t>
            </w:r>
            <w:r>
              <w:rPr>
                <w:color w:val="auto"/>
                <w:highlight w:val="none"/>
                <w:u w:val="none"/>
              </w:rPr>
              <w:t>/a</w:t>
            </w:r>
          </w:p>
          <w:p w14:paraId="301005B2">
            <w:pPr>
              <w:pStyle w:val="92"/>
              <w:jc w:val="both"/>
              <w:rPr>
                <w:color w:val="auto"/>
                <w:highlight w:val="none"/>
                <w:u w:val="none"/>
              </w:rPr>
            </w:pPr>
            <w:r>
              <w:rPr>
                <w:color w:val="auto"/>
                <w:highlight w:val="none"/>
                <w:u w:val="none"/>
              </w:rPr>
              <w:t>1.25×10</w:t>
            </w:r>
            <w:r>
              <w:rPr>
                <w:color w:val="auto"/>
                <w:highlight w:val="none"/>
                <w:u w:val="none"/>
                <w:vertAlign w:val="superscript"/>
              </w:rPr>
              <w:t>-8</w:t>
            </w:r>
            <w:r>
              <w:rPr>
                <w:color w:val="auto"/>
                <w:highlight w:val="none"/>
                <w:u w:val="none"/>
              </w:rPr>
              <w:t>/a</w:t>
            </w:r>
          </w:p>
          <w:p w14:paraId="16BEAD25">
            <w:pPr>
              <w:pStyle w:val="92"/>
              <w:jc w:val="both"/>
              <w:rPr>
                <w:color w:val="auto"/>
                <w:highlight w:val="none"/>
                <w:u w:val="none"/>
              </w:rPr>
            </w:pPr>
            <w:r>
              <w:rPr>
                <w:color w:val="auto"/>
                <w:highlight w:val="none"/>
                <w:u w:val="none"/>
              </w:rPr>
              <w:t>1.25×10</w:t>
            </w:r>
            <w:r>
              <w:rPr>
                <w:color w:val="auto"/>
                <w:highlight w:val="none"/>
                <w:u w:val="none"/>
                <w:vertAlign w:val="superscript"/>
              </w:rPr>
              <w:t>-8</w:t>
            </w:r>
            <w:r>
              <w:rPr>
                <w:color w:val="auto"/>
                <w:highlight w:val="none"/>
                <w:u w:val="none"/>
              </w:rPr>
              <w:t>/a</w:t>
            </w:r>
          </w:p>
        </w:tc>
      </w:tr>
      <w:tr w14:paraId="67261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4A7907EF">
            <w:pPr>
              <w:pStyle w:val="92"/>
              <w:jc w:val="both"/>
              <w:rPr>
                <w:color w:val="auto"/>
                <w:highlight w:val="none"/>
                <w:u w:val="none"/>
              </w:rPr>
            </w:pPr>
            <w:r>
              <w:rPr>
                <w:color w:val="auto"/>
                <w:highlight w:val="none"/>
                <w:u w:val="none"/>
              </w:rPr>
              <w:t>常压全包容储罐</w:t>
            </w:r>
          </w:p>
        </w:tc>
        <w:tc>
          <w:tcPr>
            <w:tcW w:w="2460" w:type="pct"/>
            <w:vAlign w:val="center"/>
          </w:tcPr>
          <w:p w14:paraId="328513F7">
            <w:pPr>
              <w:pStyle w:val="92"/>
              <w:jc w:val="both"/>
              <w:rPr>
                <w:color w:val="auto"/>
                <w:highlight w:val="none"/>
                <w:u w:val="none"/>
              </w:rPr>
            </w:pPr>
            <w:r>
              <w:rPr>
                <w:color w:val="auto"/>
                <w:highlight w:val="none"/>
                <w:u w:val="none"/>
              </w:rPr>
              <w:t>储罐全破裂</w:t>
            </w:r>
          </w:p>
        </w:tc>
        <w:tc>
          <w:tcPr>
            <w:tcW w:w="1323" w:type="pct"/>
            <w:vAlign w:val="center"/>
          </w:tcPr>
          <w:p w14:paraId="791CD979">
            <w:pPr>
              <w:pStyle w:val="92"/>
              <w:jc w:val="both"/>
              <w:rPr>
                <w:color w:val="auto"/>
                <w:highlight w:val="none"/>
                <w:u w:val="none"/>
              </w:rPr>
            </w:pPr>
            <w:r>
              <w:rPr>
                <w:color w:val="auto"/>
                <w:highlight w:val="none"/>
                <w:u w:val="none"/>
              </w:rPr>
              <w:t>1.00×10</w:t>
            </w:r>
            <w:r>
              <w:rPr>
                <w:color w:val="auto"/>
                <w:highlight w:val="none"/>
                <w:u w:val="none"/>
                <w:vertAlign w:val="superscript"/>
              </w:rPr>
              <w:t>-8</w:t>
            </w:r>
            <w:r>
              <w:rPr>
                <w:color w:val="auto"/>
                <w:highlight w:val="none"/>
                <w:u w:val="none"/>
              </w:rPr>
              <w:t>/a</w:t>
            </w:r>
          </w:p>
        </w:tc>
      </w:tr>
      <w:tr w14:paraId="75FB3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5413F2E0">
            <w:pPr>
              <w:pStyle w:val="92"/>
              <w:jc w:val="both"/>
              <w:rPr>
                <w:color w:val="auto"/>
                <w:highlight w:val="none"/>
                <w:u w:val="none"/>
              </w:rPr>
            </w:pPr>
            <w:r>
              <w:rPr>
                <w:color w:val="auto"/>
                <w:highlight w:val="none"/>
                <w:u w:val="none"/>
              </w:rPr>
              <w:t>内径≤75mm的管道</w:t>
            </w:r>
          </w:p>
        </w:tc>
        <w:tc>
          <w:tcPr>
            <w:tcW w:w="2460" w:type="pct"/>
            <w:vAlign w:val="center"/>
          </w:tcPr>
          <w:p w14:paraId="68C41387">
            <w:pPr>
              <w:pStyle w:val="92"/>
              <w:jc w:val="both"/>
              <w:rPr>
                <w:color w:val="auto"/>
                <w:highlight w:val="none"/>
                <w:u w:val="none"/>
              </w:rPr>
            </w:pPr>
            <w:r>
              <w:rPr>
                <w:color w:val="auto"/>
                <w:highlight w:val="none"/>
                <w:u w:val="none"/>
              </w:rPr>
              <w:t>泄漏孔径为10%孔径</w:t>
            </w:r>
          </w:p>
          <w:p w14:paraId="38A80486">
            <w:pPr>
              <w:pStyle w:val="92"/>
              <w:jc w:val="both"/>
              <w:rPr>
                <w:color w:val="auto"/>
                <w:highlight w:val="none"/>
                <w:u w:val="none"/>
              </w:rPr>
            </w:pPr>
            <w:r>
              <w:rPr>
                <w:color w:val="auto"/>
                <w:highlight w:val="none"/>
                <w:u w:val="none"/>
              </w:rPr>
              <w:t>全管径泄漏</w:t>
            </w:r>
          </w:p>
        </w:tc>
        <w:tc>
          <w:tcPr>
            <w:tcW w:w="1323" w:type="pct"/>
            <w:vAlign w:val="center"/>
          </w:tcPr>
          <w:p w14:paraId="0867FABC">
            <w:pPr>
              <w:pStyle w:val="92"/>
              <w:jc w:val="both"/>
              <w:rPr>
                <w:color w:val="auto"/>
                <w:highlight w:val="none"/>
                <w:u w:val="none"/>
              </w:rPr>
            </w:pPr>
            <w:r>
              <w:rPr>
                <w:color w:val="auto"/>
                <w:highlight w:val="none"/>
                <w:u w:val="none"/>
              </w:rPr>
              <w:t>5.00×10</w:t>
            </w:r>
            <w:r>
              <w:rPr>
                <w:color w:val="auto"/>
                <w:highlight w:val="none"/>
                <w:u w:val="none"/>
                <w:vertAlign w:val="superscript"/>
              </w:rPr>
              <w:t>-6</w:t>
            </w:r>
            <w:r>
              <w:rPr>
                <w:color w:val="auto"/>
                <w:highlight w:val="none"/>
                <w:u w:val="none"/>
              </w:rPr>
              <w:t>/（m·a）1.00×10</w:t>
            </w:r>
            <w:r>
              <w:rPr>
                <w:color w:val="auto"/>
                <w:highlight w:val="none"/>
                <w:u w:val="none"/>
                <w:vertAlign w:val="superscript"/>
              </w:rPr>
              <w:t>-6</w:t>
            </w:r>
            <w:r>
              <w:rPr>
                <w:color w:val="auto"/>
                <w:highlight w:val="none"/>
                <w:u w:val="none"/>
              </w:rPr>
              <w:t>/（m·a）</w:t>
            </w:r>
          </w:p>
        </w:tc>
      </w:tr>
      <w:tr w14:paraId="5FD9A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540A882D">
            <w:pPr>
              <w:pStyle w:val="92"/>
              <w:jc w:val="both"/>
              <w:rPr>
                <w:color w:val="auto"/>
                <w:highlight w:val="none"/>
                <w:u w:val="none"/>
              </w:rPr>
            </w:pPr>
            <w:r>
              <w:rPr>
                <w:color w:val="auto"/>
                <w:highlight w:val="none"/>
                <w:u w:val="none"/>
              </w:rPr>
              <w:t>75mm＜内径≤150mm的管道</w:t>
            </w:r>
          </w:p>
        </w:tc>
        <w:tc>
          <w:tcPr>
            <w:tcW w:w="2460" w:type="pct"/>
            <w:vAlign w:val="center"/>
          </w:tcPr>
          <w:p w14:paraId="2CCF277F">
            <w:pPr>
              <w:pStyle w:val="92"/>
              <w:jc w:val="both"/>
              <w:rPr>
                <w:color w:val="auto"/>
                <w:highlight w:val="none"/>
                <w:u w:val="none"/>
              </w:rPr>
            </w:pPr>
            <w:r>
              <w:rPr>
                <w:color w:val="auto"/>
                <w:highlight w:val="none"/>
                <w:u w:val="none"/>
              </w:rPr>
              <w:t>泄漏孔径为10%孔径</w:t>
            </w:r>
          </w:p>
          <w:p w14:paraId="31D21B49">
            <w:pPr>
              <w:pStyle w:val="92"/>
              <w:jc w:val="both"/>
              <w:rPr>
                <w:color w:val="auto"/>
                <w:highlight w:val="none"/>
                <w:u w:val="none"/>
              </w:rPr>
            </w:pPr>
            <w:r>
              <w:rPr>
                <w:color w:val="auto"/>
                <w:highlight w:val="none"/>
                <w:u w:val="none"/>
              </w:rPr>
              <w:t>全管径泄漏</w:t>
            </w:r>
          </w:p>
        </w:tc>
        <w:tc>
          <w:tcPr>
            <w:tcW w:w="1323" w:type="pct"/>
            <w:vAlign w:val="center"/>
          </w:tcPr>
          <w:p w14:paraId="433412B9">
            <w:pPr>
              <w:pStyle w:val="92"/>
              <w:jc w:val="both"/>
              <w:rPr>
                <w:color w:val="auto"/>
                <w:highlight w:val="none"/>
                <w:u w:val="none"/>
              </w:rPr>
            </w:pPr>
            <w:r>
              <w:rPr>
                <w:color w:val="auto"/>
                <w:highlight w:val="none"/>
                <w:u w:val="none"/>
              </w:rPr>
              <w:t>2.00×10</w:t>
            </w:r>
            <w:r>
              <w:rPr>
                <w:color w:val="auto"/>
                <w:highlight w:val="none"/>
                <w:u w:val="none"/>
                <w:vertAlign w:val="superscript"/>
              </w:rPr>
              <w:t>-6</w:t>
            </w:r>
            <w:r>
              <w:rPr>
                <w:color w:val="auto"/>
                <w:highlight w:val="none"/>
                <w:u w:val="none"/>
              </w:rPr>
              <w:t>/（m·a）3.00×10</w:t>
            </w:r>
            <w:r>
              <w:rPr>
                <w:color w:val="auto"/>
                <w:highlight w:val="none"/>
                <w:u w:val="none"/>
                <w:vertAlign w:val="superscript"/>
              </w:rPr>
              <w:t>-7</w:t>
            </w:r>
            <w:r>
              <w:rPr>
                <w:color w:val="auto"/>
                <w:highlight w:val="none"/>
                <w:u w:val="none"/>
              </w:rPr>
              <w:t>/（m·a）</w:t>
            </w:r>
          </w:p>
        </w:tc>
      </w:tr>
      <w:tr w14:paraId="3E5EB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22D956B3">
            <w:pPr>
              <w:pStyle w:val="92"/>
              <w:jc w:val="both"/>
              <w:rPr>
                <w:color w:val="auto"/>
                <w:highlight w:val="none"/>
                <w:u w:val="none"/>
              </w:rPr>
            </w:pPr>
            <w:r>
              <w:rPr>
                <w:color w:val="auto"/>
                <w:highlight w:val="none"/>
                <w:u w:val="none"/>
              </w:rPr>
              <w:t>内径＞150mm的管道</w:t>
            </w:r>
          </w:p>
        </w:tc>
        <w:tc>
          <w:tcPr>
            <w:tcW w:w="2460" w:type="pct"/>
            <w:vAlign w:val="center"/>
          </w:tcPr>
          <w:p w14:paraId="3452C2B7">
            <w:pPr>
              <w:pStyle w:val="92"/>
              <w:jc w:val="both"/>
              <w:rPr>
                <w:color w:val="auto"/>
                <w:highlight w:val="none"/>
                <w:u w:val="none"/>
              </w:rPr>
            </w:pPr>
            <w:r>
              <w:rPr>
                <w:color w:val="auto"/>
                <w:highlight w:val="none"/>
                <w:u w:val="none"/>
              </w:rPr>
              <w:t>泄漏孔径为10%孔径（最大50mm）</w:t>
            </w:r>
          </w:p>
          <w:p w14:paraId="35798B68">
            <w:pPr>
              <w:pStyle w:val="92"/>
              <w:jc w:val="both"/>
              <w:rPr>
                <w:color w:val="auto"/>
                <w:highlight w:val="none"/>
                <w:u w:val="none"/>
              </w:rPr>
            </w:pPr>
            <w:r>
              <w:rPr>
                <w:color w:val="auto"/>
                <w:highlight w:val="none"/>
                <w:u w:val="none"/>
              </w:rPr>
              <w:t>全管径泄漏</w:t>
            </w:r>
          </w:p>
        </w:tc>
        <w:tc>
          <w:tcPr>
            <w:tcW w:w="1323" w:type="pct"/>
            <w:vAlign w:val="center"/>
          </w:tcPr>
          <w:p w14:paraId="0C0268E1">
            <w:pPr>
              <w:pStyle w:val="92"/>
              <w:jc w:val="both"/>
              <w:rPr>
                <w:color w:val="auto"/>
                <w:highlight w:val="none"/>
                <w:u w:val="none"/>
              </w:rPr>
            </w:pPr>
            <w:r>
              <w:rPr>
                <w:color w:val="auto"/>
                <w:highlight w:val="none"/>
                <w:u w:val="none"/>
              </w:rPr>
              <w:t>2.40×10</w:t>
            </w:r>
            <w:r>
              <w:rPr>
                <w:color w:val="auto"/>
                <w:highlight w:val="none"/>
                <w:u w:val="none"/>
                <w:vertAlign w:val="superscript"/>
              </w:rPr>
              <w:t>-6</w:t>
            </w:r>
            <w:r>
              <w:rPr>
                <w:color w:val="auto"/>
                <w:highlight w:val="none"/>
                <w:u w:val="none"/>
              </w:rPr>
              <w:t>/（m·a）*</w:t>
            </w:r>
          </w:p>
          <w:p w14:paraId="61C20A47">
            <w:pPr>
              <w:pStyle w:val="92"/>
              <w:jc w:val="both"/>
              <w:rPr>
                <w:color w:val="auto"/>
                <w:highlight w:val="none"/>
                <w:u w:val="none"/>
              </w:rPr>
            </w:pPr>
            <w:r>
              <w:rPr>
                <w:color w:val="auto"/>
                <w:highlight w:val="none"/>
                <w:u w:val="none"/>
              </w:rPr>
              <w:t>1.00×10</w:t>
            </w:r>
            <w:r>
              <w:rPr>
                <w:color w:val="auto"/>
                <w:highlight w:val="none"/>
                <w:u w:val="none"/>
                <w:vertAlign w:val="superscript"/>
              </w:rPr>
              <w:t>-7</w:t>
            </w:r>
            <w:r>
              <w:rPr>
                <w:color w:val="auto"/>
                <w:highlight w:val="none"/>
                <w:u w:val="none"/>
              </w:rPr>
              <w:t>/（m·a）</w:t>
            </w:r>
          </w:p>
        </w:tc>
      </w:tr>
      <w:tr w14:paraId="48201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1E1D9362">
            <w:pPr>
              <w:pStyle w:val="92"/>
              <w:jc w:val="both"/>
              <w:rPr>
                <w:color w:val="auto"/>
                <w:highlight w:val="none"/>
                <w:u w:val="none"/>
              </w:rPr>
            </w:pPr>
            <w:r>
              <w:rPr>
                <w:color w:val="auto"/>
                <w:highlight w:val="none"/>
                <w:u w:val="none"/>
              </w:rPr>
              <w:t>泵体和压缩机</w:t>
            </w:r>
          </w:p>
        </w:tc>
        <w:tc>
          <w:tcPr>
            <w:tcW w:w="2460" w:type="pct"/>
            <w:vAlign w:val="center"/>
          </w:tcPr>
          <w:p w14:paraId="4A6F365E">
            <w:pPr>
              <w:pStyle w:val="92"/>
              <w:jc w:val="both"/>
              <w:rPr>
                <w:color w:val="auto"/>
                <w:highlight w:val="none"/>
                <w:u w:val="none"/>
              </w:rPr>
            </w:pPr>
            <w:r>
              <w:rPr>
                <w:color w:val="auto"/>
                <w:highlight w:val="none"/>
                <w:u w:val="none"/>
              </w:rPr>
              <w:t>泵体和压缩机最大连接管泄漏孔径为10%孔径（最大50mm）</w:t>
            </w:r>
          </w:p>
          <w:p w14:paraId="6B3E007B">
            <w:pPr>
              <w:pStyle w:val="92"/>
              <w:jc w:val="both"/>
              <w:rPr>
                <w:color w:val="auto"/>
                <w:highlight w:val="none"/>
                <w:u w:val="none"/>
              </w:rPr>
            </w:pPr>
            <w:r>
              <w:rPr>
                <w:color w:val="auto"/>
                <w:highlight w:val="none"/>
                <w:u w:val="none"/>
              </w:rPr>
              <w:t>泵体和压缩机最大连接管全管径泄漏</w:t>
            </w:r>
          </w:p>
        </w:tc>
        <w:tc>
          <w:tcPr>
            <w:tcW w:w="1323" w:type="pct"/>
            <w:vAlign w:val="center"/>
          </w:tcPr>
          <w:p w14:paraId="41107E89">
            <w:pPr>
              <w:pStyle w:val="92"/>
              <w:jc w:val="both"/>
              <w:rPr>
                <w:color w:val="auto"/>
                <w:highlight w:val="none"/>
                <w:u w:val="none"/>
              </w:rPr>
            </w:pPr>
            <w:r>
              <w:rPr>
                <w:color w:val="auto"/>
                <w:highlight w:val="none"/>
                <w:u w:val="none"/>
              </w:rPr>
              <w:t>5.00×10</w:t>
            </w:r>
            <w:r>
              <w:rPr>
                <w:color w:val="auto"/>
                <w:highlight w:val="none"/>
                <w:u w:val="none"/>
                <w:vertAlign w:val="superscript"/>
              </w:rPr>
              <w:t>-4</w:t>
            </w:r>
            <w:r>
              <w:rPr>
                <w:color w:val="auto"/>
                <w:highlight w:val="none"/>
                <w:u w:val="none"/>
              </w:rPr>
              <w:t>/a</w:t>
            </w:r>
          </w:p>
          <w:p w14:paraId="512A1765">
            <w:pPr>
              <w:pStyle w:val="92"/>
              <w:jc w:val="both"/>
              <w:rPr>
                <w:color w:val="auto"/>
                <w:highlight w:val="none"/>
                <w:u w:val="none"/>
              </w:rPr>
            </w:pPr>
            <w:r>
              <w:rPr>
                <w:color w:val="auto"/>
                <w:highlight w:val="none"/>
                <w:u w:val="none"/>
              </w:rPr>
              <w:t>1.00×10</w:t>
            </w:r>
            <w:r>
              <w:rPr>
                <w:color w:val="auto"/>
                <w:highlight w:val="none"/>
                <w:u w:val="none"/>
                <w:vertAlign w:val="superscript"/>
              </w:rPr>
              <w:t>-4</w:t>
            </w:r>
            <w:r>
              <w:rPr>
                <w:color w:val="auto"/>
                <w:highlight w:val="none"/>
                <w:u w:val="none"/>
              </w:rPr>
              <w:t>/a</w:t>
            </w:r>
          </w:p>
        </w:tc>
      </w:tr>
      <w:tr w14:paraId="433E4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3F539AFF">
            <w:pPr>
              <w:pStyle w:val="92"/>
              <w:jc w:val="both"/>
              <w:rPr>
                <w:color w:val="auto"/>
                <w:highlight w:val="none"/>
                <w:u w:val="none"/>
              </w:rPr>
            </w:pPr>
            <w:r>
              <w:rPr>
                <w:color w:val="auto"/>
                <w:highlight w:val="none"/>
                <w:u w:val="none"/>
              </w:rPr>
              <w:t>装卸臂</w:t>
            </w:r>
          </w:p>
        </w:tc>
        <w:tc>
          <w:tcPr>
            <w:tcW w:w="2460" w:type="pct"/>
            <w:vAlign w:val="center"/>
          </w:tcPr>
          <w:p w14:paraId="485D16CC">
            <w:pPr>
              <w:pStyle w:val="92"/>
              <w:jc w:val="both"/>
              <w:rPr>
                <w:color w:val="auto"/>
                <w:highlight w:val="none"/>
                <w:u w:val="none"/>
              </w:rPr>
            </w:pPr>
            <w:r>
              <w:rPr>
                <w:color w:val="auto"/>
                <w:highlight w:val="none"/>
                <w:u w:val="none"/>
              </w:rPr>
              <w:t>装卸臂连接管泄漏孔径为10%孔径（最大50mm）</w:t>
            </w:r>
          </w:p>
          <w:p w14:paraId="426697D2">
            <w:pPr>
              <w:pStyle w:val="92"/>
              <w:jc w:val="both"/>
              <w:rPr>
                <w:color w:val="auto"/>
                <w:highlight w:val="none"/>
                <w:u w:val="none"/>
              </w:rPr>
            </w:pPr>
            <w:r>
              <w:rPr>
                <w:color w:val="auto"/>
                <w:highlight w:val="none"/>
                <w:u w:val="none"/>
              </w:rPr>
              <w:t>装卸臂全管径泄漏</w:t>
            </w:r>
          </w:p>
        </w:tc>
        <w:tc>
          <w:tcPr>
            <w:tcW w:w="1323" w:type="pct"/>
            <w:vAlign w:val="center"/>
          </w:tcPr>
          <w:p w14:paraId="640A6346">
            <w:pPr>
              <w:pStyle w:val="92"/>
              <w:jc w:val="both"/>
              <w:rPr>
                <w:color w:val="auto"/>
                <w:highlight w:val="none"/>
                <w:u w:val="none"/>
              </w:rPr>
            </w:pPr>
            <w:r>
              <w:rPr>
                <w:color w:val="auto"/>
                <w:highlight w:val="none"/>
                <w:u w:val="none"/>
              </w:rPr>
              <w:t>3.00×10</w:t>
            </w:r>
            <w:r>
              <w:rPr>
                <w:color w:val="auto"/>
                <w:highlight w:val="none"/>
                <w:u w:val="none"/>
                <w:vertAlign w:val="superscript"/>
              </w:rPr>
              <w:t>-7</w:t>
            </w:r>
            <w:r>
              <w:rPr>
                <w:color w:val="auto"/>
                <w:highlight w:val="none"/>
                <w:u w:val="none"/>
              </w:rPr>
              <w:t>/h</w:t>
            </w:r>
          </w:p>
          <w:p w14:paraId="148E0807">
            <w:pPr>
              <w:pStyle w:val="92"/>
              <w:jc w:val="both"/>
              <w:rPr>
                <w:color w:val="auto"/>
                <w:highlight w:val="none"/>
                <w:u w:val="none"/>
              </w:rPr>
            </w:pPr>
            <w:r>
              <w:rPr>
                <w:color w:val="auto"/>
                <w:highlight w:val="none"/>
                <w:u w:val="none"/>
              </w:rPr>
              <w:t>3.00×10</w:t>
            </w:r>
            <w:r>
              <w:rPr>
                <w:color w:val="auto"/>
                <w:highlight w:val="none"/>
                <w:u w:val="none"/>
                <w:vertAlign w:val="superscript"/>
              </w:rPr>
              <w:t>-8</w:t>
            </w:r>
            <w:r>
              <w:rPr>
                <w:color w:val="auto"/>
                <w:highlight w:val="none"/>
                <w:u w:val="none"/>
              </w:rPr>
              <w:t>/h</w:t>
            </w:r>
          </w:p>
        </w:tc>
      </w:tr>
      <w:tr w14:paraId="0244E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7" w:type="pct"/>
            <w:vAlign w:val="center"/>
          </w:tcPr>
          <w:p w14:paraId="3439F099">
            <w:pPr>
              <w:pStyle w:val="92"/>
              <w:jc w:val="both"/>
              <w:rPr>
                <w:color w:val="auto"/>
                <w:highlight w:val="none"/>
                <w:u w:val="none"/>
              </w:rPr>
            </w:pPr>
            <w:r>
              <w:rPr>
                <w:color w:val="auto"/>
                <w:highlight w:val="none"/>
                <w:u w:val="none"/>
              </w:rPr>
              <w:t>装卸软管</w:t>
            </w:r>
          </w:p>
        </w:tc>
        <w:tc>
          <w:tcPr>
            <w:tcW w:w="2460" w:type="pct"/>
            <w:vAlign w:val="center"/>
          </w:tcPr>
          <w:p w14:paraId="3E244186">
            <w:pPr>
              <w:pStyle w:val="92"/>
              <w:jc w:val="both"/>
              <w:rPr>
                <w:color w:val="auto"/>
                <w:highlight w:val="none"/>
                <w:u w:val="none"/>
              </w:rPr>
            </w:pPr>
            <w:r>
              <w:rPr>
                <w:color w:val="auto"/>
                <w:highlight w:val="none"/>
                <w:u w:val="none"/>
              </w:rPr>
              <w:t>装卸软管连接管泄漏孔径为10%孔径（最大50mm）</w:t>
            </w:r>
          </w:p>
          <w:p w14:paraId="563A033B">
            <w:pPr>
              <w:pStyle w:val="92"/>
              <w:jc w:val="both"/>
              <w:rPr>
                <w:color w:val="auto"/>
                <w:highlight w:val="none"/>
                <w:u w:val="none"/>
              </w:rPr>
            </w:pPr>
            <w:r>
              <w:rPr>
                <w:color w:val="auto"/>
                <w:highlight w:val="none"/>
                <w:u w:val="none"/>
              </w:rPr>
              <w:t>装卸软管全管径泄漏</w:t>
            </w:r>
          </w:p>
        </w:tc>
        <w:tc>
          <w:tcPr>
            <w:tcW w:w="1323" w:type="pct"/>
            <w:vAlign w:val="center"/>
          </w:tcPr>
          <w:p w14:paraId="1FAA8140">
            <w:pPr>
              <w:pStyle w:val="92"/>
              <w:jc w:val="both"/>
              <w:rPr>
                <w:color w:val="auto"/>
                <w:highlight w:val="none"/>
                <w:u w:val="none"/>
              </w:rPr>
            </w:pPr>
            <w:r>
              <w:rPr>
                <w:color w:val="auto"/>
                <w:highlight w:val="none"/>
                <w:u w:val="none"/>
              </w:rPr>
              <w:t>4.00×10</w:t>
            </w:r>
            <w:r>
              <w:rPr>
                <w:color w:val="auto"/>
                <w:highlight w:val="none"/>
                <w:u w:val="none"/>
                <w:vertAlign w:val="superscript"/>
              </w:rPr>
              <w:t>-5</w:t>
            </w:r>
            <w:r>
              <w:rPr>
                <w:color w:val="auto"/>
                <w:highlight w:val="none"/>
                <w:u w:val="none"/>
              </w:rPr>
              <w:t>/h</w:t>
            </w:r>
          </w:p>
          <w:p w14:paraId="7E82A457">
            <w:pPr>
              <w:pStyle w:val="92"/>
              <w:jc w:val="both"/>
              <w:rPr>
                <w:color w:val="auto"/>
                <w:highlight w:val="none"/>
                <w:u w:val="none"/>
              </w:rPr>
            </w:pPr>
            <w:r>
              <w:rPr>
                <w:color w:val="auto"/>
                <w:highlight w:val="none"/>
                <w:u w:val="none"/>
              </w:rPr>
              <w:t>4.00×10</w:t>
            </w:r>
            <w:r>
              <w:rPr>
                <w:color w:val="auto"/>
                <w:highlight w:val="none"/>
                <w:u w:val="none"/>
                <w:vertAlign w:val="superscript"/>
              </w:rPr>
              <w:t>-6</w:t>
            </w:r>
            <w:r>
              <w:rPr>
                <w:color w:val="auto"/>
                <w:highlight w:val="none"/>
                <w:u w:val="none"/>
              </w:rPr>
              <w:t>/h</w:t>
            </w:r>
          </w:p>
        </w:tc>
      </w:tr>
      <w:tr w14:paraId="50464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3"/>
            <w:vAlign w:val="center"/>
          </w:tcPr>
          <w:p w14:paraId="54A301BA">
            <w:pPr>
              <w:pStyle w:val="92"/>
              <w:jc w:val="left"/>
              <w:rPr>
                <w:color w:val="auto"/>
                <w:highlight w:val="none"/>
                <w:u w:val="none"/>
              </w:rPr>
            </w:pPr>
            <w:r>
              <w:rPr>
                <w:color w:val="auto"/>
                <w:highlight w:val="none"/>
                <w:u w:val="none"/>
              </w:rPr>
              <w:t>注：以上数据来源于荷兰TNO紫皮书（Guidelines for Quantitative）以及Reference Manual Bevi Risk Assessments；</w:t>
            </w:r>
          </w:p>
          <w:p w14:paraId="1B2ADA7C">
            <w:pPr>
              <w:pStyle w:val="92"/>
              <w:jc w:val="left"/>
              <w:rPr>
                <w:color w:val="auto"/>
                <w:highlight w:val="none"/>
                <w:u w:val="none"/>
              </w:rPr>
            </w:pPr>
            <w:r>
              <w:rPr>
                <w:color w:val="auto"/>
                <w:highlight w:val="none"/>
                <w:u w:val="none"/>
              </w:rPr>
              <w:t>*来源于国际油气协会（International Association of Oil &amp;Gas Producers）发布的Risk Assessment Data Directory(2010,3)。</w:t>
            </w:r>
          </w:p>
        </w:tc>
      </w:tr>
    </w:tbl>
    <w:p w14:paraId="21CE3DCE">
      <w:pPr>
        <w:ind w:firstLine="482"/>
        <w:rPr>
          <w:rFonts w:hint="eastAsia"/>
          <w:b/>
          <w:bCs/>
          <w:color w:val="auto"/>
          <w:highlight w:val="none"/>
          <w:u w:val="none"/>
        </w:rPr>
      </w:pPr>
      <w:r>
        <w:rPr>
          <w:rFonts w:hint="eastAsia"/>
          <w:b/>
          <w:bCs/>
          <w:color w:val="auto"/>
          <w:highlight w:val="none"/>
          <w:u w:val="none"/>
        </w:rPr>
        <w:t>（</w:t>
      </w:r>
      <w:r>
        <w:rPr>
          <w:rFonts w:hint="eastAsia"/>
          <w:b/>
          <w:bCs/>
          <w:color w:val="auto"/>
          <w:highlight w:val="none"/>
          <w:u w:val="none"/>
          <w:lang w:val="en-US"/>
        </w:rPr>
        <w:t>二</w:t>
      </w:r>
      <w:r>
        <w:rPr>
          <w:rFonts w:hint="eastAsia"/>
          <w:b/>
          <w:bCs/>
          <w:color w:val="auto"/>
          <w:highlight w:val="none"/>
          <w:u w:val="none"/>
        </w:rPr>
        <w:t>）</w:t>
      </w:r>
      <w:r>
        <w:rPr>
          <w:b/>
          <w:bCs/>
          <w:color w:val="auto"/>
          <w:highlight w:val="none"/>
          <w:u w:val="none"/>
        </w:rPr>
        <w:t>风险事故情形设定</w:t>
      </w:r>
    </w:p>
    <w:p w14:paraId="30EC1C07">
      <w:pPr>
        <w:rPr>
          <w:rFonts w:hint="eastAsia"/>
          <w:color w:val="auto"/>
          <w:highlight w:val="none"/>
          <w:u w:val="none"/>
        </w:rPr>
      </w:pPr>
      <w:r>
        <w:rPr>
          <w:color w:val="auto"/>
          <w:highlight w:val="none"/>
          <w:u w:val="none"/>
        </w:rPr>
        <w:t>通过对工程所涉及的原辅料、中间产品及最终产品的物理化学、毒理学识别，对生产装置和储运系统的火灾爆炸及物料泄漏的危险性识别，以及</w:t>
      </w:r>
      <w:r>
        <w:rPr>
          <w:rFonts w:hint="eastAsia"/>
          <w:color w:val="auto"/>
          <w:highlight w:val="none"/>
          <w:u w:val="none"/>
          <w:lang w:val="en-US"/>
        </w:rPr>
        <w:t>本项目中</w:t>
      </w:r>
      <w:r>
        <w:rPr>
          <w:color w:val="auto"/>
          <w:highlight w:val="none"/>
          <w:u w:val="none"/>
        </w:rPr>
        <w:t>生产装置、储运系统采取的风险防控措施</w:t>
      </w:r>
      <w:r>
        <w:rPr>
          <w:rFonts w:hint="eastAsia"/>
          <w:color w:val="auto"/>
          <w:highlight w:val="none"/>
          <w:u w:val="none"/>
          <w:lang w:val="en-US"/>
        </w:rPr>
        <w:t>，并结合表9.5-8中给出的泄漏模式，</w:t>
      </w:r>
      <w:r>
        <w:rPr>
          <w:color w:val="auto"/>
          <w:highlight w:val="none"/>
          <w:u w:val="none"/>
        </w:rPr>
        <w:t>本项目可能发生的事故情形按照</w:t>
      </w:r>
      <w:r>
        <w:rPr>
          <w:color w:val="auto"/>
          <w:highlight w:val="none"/>
          <w:u w:val="none"/>
        </w:rPr>
        <w:fldChar w:fldCharType="begin"/>
      </w:r>
      <w:r>
        <w:rPr>
          <w:color w:val="auto"/>
          <w:highlight w:val="none"/>
          <w:u w:val="none"/>
        </w:rPr>
        <w:instrText xml:space="preserve"> REF _Ref149248479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5</w:t>
      </w:r>
      <w:r>
        <w:rPr>
          <w:color w:val="auto"/>
          <w:highlight w:val="none"/>
          <w:u w:val="none"/>
        </w:rPr>
        <w:fldChar w:fldCharType="end"/>
      </w:r>
      <w:r>
        <w:rPr>
          <w:rFonts w:hint="eastAsia"/>
          <w:color w:val="auto"/>
          <w:highlight w:val="none"/>
          <w:u w:val="none"/>
          <w:lang w:val="en-US"/>
        </w:rPr>
        <w:t>-9</w:t>
      </w:r>
      <w:r>
        <w:rPr>
          <w:color w:val="auto"/>
          <w:highlight w:val="none"/>
          <w:u w:val="none"/>
        </w:rPr>
        <w:t>考虑。</w:t>
      </w:r>
    </w:p>
    <w:p w14:paraId="706C01CC">
      <w:pPr>
        <w:rPr>
          <w:rFonts w:hint="eastAsia"/>
          <w:color w:val="auto"/>
          <w:highlight w:val="none"/>
          <w:u w:val="none"/>
        </w:rPr>
      </w:pPr>
      <w:r>
        <w:rPr>
          <w:rFonts w:hint="eastAsia"/>
          <w:color w:val="auto"/>
          <w:highlight w:val="none"/>
          <w:u w:val="none"/>
        </w:rPr>
        <w:t>目前国内石化企业事故反应时间一般在10～30min之间，最迟在30min内都能做出应急反应措施，包括切断通往事故源的物料管线、开启倒油管线，利用泵等进行事故源物料转移等。一旦发生泄漏，通常在1min之内即可启动自动截断设施，防止进一步泄漏。若自动切断系统发生故障时，工作人员赶赴现场可在10min之内关闭截断阀。因此将管线的泄漏时间设定为10min；储罐泄漏的应急反应时间设定为30min；泄漏液体蒸发时间设定为30min。</w:t>
      </w:r>
    </w:p>
    <w:p w14:paraId="52F7B414">
      <w:pPr>
        <w:rPr>
          <w:rFonts w:hint="eastAsia"/>
          <w:color w:val="auto"/>
          <w:highlight w:val="none"/>
          <w:u w:val="none"/>
        </w:rPr>
      </w:pPr>
      <w:r>
        <w:rPr>
          <w:rFonts w:hint="eastAsia"/>
          <w:color w:val="auto"/>
          <w:highlight w:val="none"/>
          <w:u w:val="none"/>
        </w:rPr>
        <w:t>泄漏量的计算主要包括确定泄漏口尺寸、泄漏速率的计算和泄漏量的计算等。生产装置计算管道泄漏，泄漏参数考虑《建设项目环境风险评价技术导则》泄漏频率，内径≤75mm的管道按照管线全断裂进行计算，内径&gt;75mm的管道泄漏孔径为10%管径进行计算；罐区储罐泄漏孔径为10mm。</w:t>
      </w:r>
    </w:p>
    <w:p w14:paraId="5BA32F2E">
      <w:pPr>
        <w:pStyle w:val="6"/>
        <w:spacing w:before="120" w:after="120"/>
        <w:rPr>
          <w:color w:val="auto"/>
          <w:highlight w:val="none"/>
          <w:u w:val="none"/>
        </w:rPr>
      </w:pPr>
      <w:r>
        <w:rPr>
          <w:rFonts w:hint="eastAsia"/>
          <w:color w:val="auto"/>
          <w:highlight w:val="none"/>
          <w:u w:val="none"/>
          <w:lang w:val="en-US"/>
        </w:rPr>
        <w:t>事故源项计算</w:t>
      </w:r>
    </w:p>
    <w:p w14:paraId="6B30E610">
      <w:pPr>
        <w:pStyle w:val="7"/>
        <w:spacing w:before="120"/>
        <w:rPr>
          <w:color w:val="auto"/>
          <w:highlight w:val="none"/>
          <w:u w:val="none"/>
          <w:lang w:val="en-US"/>
        </w:rPr>
      </w:pPr>
      <w:r>
        <w:rPr>
          <w:rFonts w:hint="eastAsia"/>
          <w:color w:val="auto"/>
          <w:highlight w:val="none"/>
          <w:u w:val="none"/>
          <w:lang w:val="en-US"/>
        </w:rPr>
        <w:t>事故源强计算模式</w:t>
      </w:r>
    </w:p>
    <w:p w14:paraId="1BC2E59F">
      <w:pPr>
        <w:pStyle w:val="1016"/>
        <w:spacing w:before="0" w:after="0" w:line="360" w:lineRule="auto"/>
        <w:ind w:firstLine="480"/>
        <w:rPr>
          <w:rFonts w:hAnsi="Times New Roman"/>
          <w:color w:val="auto"/>
          <w:highlight w:val="none"/>
          <w:u w:val="none"/>
        </w:rPr>
      </w:pPr>
      <w:r>
        <w:rPr>
          <w:rFonts w:hAnsi="Times New Roman"/>
          <w:color w:val="auto"/>
          <w:highlight w:val="none"/>
          <w:u w:val="none"/>
        </w:rPr>
        <w:t>采用《建设项目环境风险评价技术导则》（HJ169-2018）推荐的有关方法确定有毒有害物质的排放源强。</w:t>
      </w:r>
    </w:p>
    <w:p w14:paraId="3ED79DA6">
      <w:pPr>
        <w:pStyle w:val="1016"/>
        <w:spacing w:before="0" w:after="0" w:line="360" w:lineRule="auto"/>
        <w:ind w:firstLine="480"/>
        <w:rPr>
          <w:rFonts w:hAnsi="Times New Roman"/>
          <w:color w:val="auto"/>
          <w:highlight w:val="none"/>
          <w:u w:val="none"/>
        </w:rPr>
      </w:pPr>
      <w:r>
        <w:rPr>
          <w:rFonts w:hAnsi="Times New Roman"/>
          <w:color w:val="auto"/>
          <w:highlight w:val="none"/>
          <w:u w:val="none"/>
        </w:rPr>
        <w:t>（1）气体泄漏速率计算</w:t>
      </w:r>
    </w:p>
    <w:p w14:paraId="09A95D19">
      <w:pPr>
        <w:pStyle w:val="1016"/>
        <w:spacing w:before="0" w:after="0" w:line="360" w:lineRule="auto"/>
        <w:ind w:firstLine="480"/>
        <w:rPr>
          <w:rFonts w:hAnsi="Times New Roman"/>
          <w:color w:val="auto"/>
          <w:highlight w:val="none"/>
          <w:u w:val="none"/>
        </w:rPr>
      </w:pPr>
      <w:r>
        <w:rPr>
          <w:rFonts w:hAnsi="Times New Roman"/>
          <w:color w:val="auto"/>
          <w:highlight w:val="none"/>
          <w:u w:val="none"/>
        </w:rPr>
        <w:t>气体泄漏速率参考《建设项目环境风险评价技术导则》(HJ169-2018)附录F.1.2(气体泄漏)进行计算。具体计算公式如下：</w:t>
      </w:r>
    </w:p>
    <w:p w14:paraId="54D3FE43">
      <w:pPr>
        <w:pStyle w:val="1016"/>
        <w:spacing w:before="0" w:after="0" w:line="360" w:lineRule="auto"/>
        <w:ind w:firstLine="480"/>
        <w:rPr>
          <w:rFonts w:hAnsi="Times New Roman"/>
          <w:color w:val="auto"/>
          <w:highlight w:val="none"/>
          <w:u w:val="none"/>
        </w:rPr>
      </w:pPr>
      <w:r>
        <w:rPr>
          <w:rFonts w:hAnsi="Times New Roman"/>
          <w:color w:val="auto"/>
          <w:highlight w:val="none"/>
          <w:u w:val="none"/>
        </w:rPr>
        <w:t>当气体流速在音速范围（临界流）：</w:t>
      </w:r>
    </w:p>
    <w:p w14:paraId="60161672">
      <w:pPr>
        <w:adjustRightInd w:val="0"/>
        <w:jc w:val="center"/>
        <w:rPr>
          <w:rFonts w:hAnsi="Times New Roman"/>
          <w:color w:val="auto"/>
          <w:highlight w:val="none"/>
          <w:u w:val="none"/>
        </w:rPr>
      </w:pPr>
      <w:r>
        <w:rPr>
          <w:rFonts w:hAnsi="Times New Roman"/>
          <w:color w:val="auto"/>
          <w:highlight w:val="none"/>
          <w:u w:val="none"/>
        </w:rPr>
        <w:object>
          <v:shape id="_x0000_i1040" o:spt="75" type="#_x0000_t75" style="height:41pt;width:77.85pt;" o:ole="t" filled="f" o:preferrelative="t" stroked="f" coordsize="21600,21600">
            <v:path/>
            <v:fill on="f" focussize="0,0"/>
            <v:stroke on="f" joinstyle="miter"/>
            <v:imagedata r:id="rId65" o:title=""/>
            <o:lock v:ext="edit" aspectratio="t"/>
            <w10:wrap type="none"/>
            <w10:anchorlock/>
          </v:shape>
          <o:OLEObject Type="Embed" ProgID="Equation.3" ShapeID="_x0000_i1040" DrawAspect="Content" ObjectID="_1468075740" r:id="rId64">
            <o:LockedField>false</o:LockedField>
          </o:OLEObject>
        </w:object>
      </w:r>
    </w:p>
    <w:p w14:paraId="539270CF">
      <w:pPr>
        <w:pStyle w:val="1016"/>
        <w:spacing w:before="0" w:after="0" w:line="360" w:lineRule="auto"/>
        <w:ind w:firstLine="480"/>
        <w:rPr>
          <w:rFonts w:hAnsi="Times New Roman"/>
          <w:color w:val="auto"/>
          <w:highlight w:val="none"/>
          <w:u w:val="none"/>
        </w:rPr>
      </w:pPr>
      <w:r>
        <w:rPr>
          <w:rFonts w:hAnsi="Times New Roman"/>
          <w:color w:val="auto"/>
          <w:highlight w:val="none"/>
          <w:u w:val="none"/>
        </w:rPr>
        <w:t>当气体流速在亚音速范围（次临界流）：</w:t>
      </w:r>
    </w:p>
    <w:p w14:paraId="6AADFFE6">
      <w:pPr>
        <w:adjustRightInd w:val="0"/>
        <w:jc w:val="center"/>
        <w:rPr>
          <w:rFonts w:hAnsi="Times New Roman"/>
          <w:color w:val="auto"/>
          <w:highlight w:val="none"/>
          <w:u w:val="none"/>
        </w:rPr>
      </w:pPr>
      <w:r>
        <w:rPr>
          <w:rFonts w:hAnsi="Times New Roman"/>
          <w:color w:val="auto"/>
          <w:highlight w:val="none"/>
          <w:u w:val="none"/>
        </w:rPr>
        <w:object>
          <v:shape id="_x0000_i1041" o:spt="75" type="#_x0000_t75" style="height:41pt;width:77pt;" o:ole="t" filled="f" o:preferrelative="t" stroked="f" coordsize="21600,21600">
            <v:path/>
            <v:fill on="f" focussize="0,0"/>
            <v:stroke on="f" joinstyle="miter"/>
            <v:imagedata r:id="rId67" o:title=""/>
            <o:lock v:ext="edit" aspectratio="t"/>
            <w10:wrap type="none"/>
            <w10:anchorlock/>
          </v:shape>
          <o:OLEObject Type="Embed" ProgID="Equation.3" ShapeID="_x0000_i1041" DrawAspect="Content" ObjectID="_1468075741" r:id="rId66">
            <o:LockedField>false</o:LockedField>
          </o:OLEObject>
        </w:object>
      </w:r>
    </w:p>
    <w:p w14:paraId="019B2666">
      <w:pPr>
        <w:pStyle w:val="1016"/>
        <w:spacing w:before="0" w:after="0" w:line="360" w:lineRule="auto"/>
        <w:ind w:firstLine="480"/>
        <w:rPr>
          <w:rFonts w:hAnsi="Times New Roman"/>
          <w:color w:val="auto"/>
          <w:highlight w:val="none"/>
          <w:u w:val="none"/>
        </w:rPr>
      </w:pPr>
      <w:r>
        <w:rPr>
          <w:rFonts w:hAnsi="Times New Roman"/>
          <w:color w:val="auto"/>
          <w:highlight w:val="none"/>
          <w:u w:val="none"/>
        </w:rPr>
        <w:t>式中：P—容器内介质压力，Pa；</w:t>
      </w:r>
    </w:p>
    <w:p w14:paraId="7EE3DEF7">
      <w:pPr>
        <w:pStyle w:val="1016"/>
        <w:spacing w:before="0" w:after="0" w:line="360" w:lineRule="auto"/>
        <w:ind w:left="780" w:firstLine="420" w:firstLineChars="175"/>
        <w:rPr>
          <w:rFonts w:hAnsi="Times New Roman"/>
          <w:color w:val="auto"/>
          <w:highlight w:val="none"/>
          <w:u w:val="none"/>
        </w:rPr>
      </w:pPr>
      <w:r>
        <w:rPr>
          <w:rFonts w:hAnsi="Times New Roman"/>
          <w:color w:val="auto"/>
          <w:highlight w:val="none"/>
          <w:u w:val="none"/>
        </w:rPr>
        <w:t>p</w:t>
      </w:r>
      <w:r>
        <w:rPr>
          <w:rFonts w:hAnsi="Times New Roman" w:eastAsia="MS Mincho"/>
          <w:color w:val="auto"/>
          <w:highlight w:val="none"/>
          <w:u w:val="none"/>
        </w:rPr>
        <w:t>₀</w:t>
      </w:r>
      <w:r>
        <w:rPr>
          <w:rFonts w:hAnsi="Times New Roman"/>
          <w:color w:val="auto"/>
          <w:highlight w:val="none"/>
          <w:u w:val="none"/>
        </w:rPr>
        <w:t>—环境压力，Pa；</w:t>
      </w:r>
    </w:p>
    <w:p w14:paraId="28421550">
      <w:pPr>
        <w:pStyle w:val="1016"/>
        <w:spacing w:before="0" w:after="0" w:line="360" w:lineRule="auto"/>
        <w:ind w:left="780" w:firstLine="420" w:firstLineChars="175"/>
        <w:rPr>
          <w:rFonts w:hAnsi="Times New Roman"/>
          <w:color w:val="auto"/>
          <w:highlight w:val="none"/>
          <w:u w:val="none"/>
        </w:rPr>
      </w:pPr>
      <w:r>
        <w:rPr>
          <w:rFonts w:hAnsi="Times New Roman"/>
          <w:color w:val="auto"/>
          <w:highlight w:val="none"/>
          <w:u w:val="none"/>
        </w:rPr>
        <w:t>k—气体的绝热指数(热容比)，即定压热容C</w:t>
      </w:r>
      <w:r>
        <w:rPr>
          <w:rFonts w:hAnsi="Times New Roman"/>
          <w:color w:val="auto"/>
          <w:highlight w:val="none"/>
          <w:u w:val="none"/>
          <w:vertAlign w:val="subscript"/>
        </w:rPr>
        <w:t>p</w:t>
      </w:r>
      <w:r>
        <w:rPr>
          <w:rFonts w:hAnsi="Times New Roman"/>
          <w:color w:val="auto"/>
          <w:highlight w:val="none"/>
          <w:u w:val="none"/>
        </w:rPr>
        <w:t>与定容热容C</w:t>
      </w:r>
      <w:r>
        <w:rPr>
          <w:rFonts w:hAnsi="Times New Roman"/>
          <w:color w:val="auto"/>
          <w:highlight w:val="none"/>
          <w:u w:val="none"/>
          <w:vertAlign w:val="subscript"/>
        </w:rPr>
        <w:t>V</w:t>
      </w:r>
      <w:r>
        <w:rPr>
          <w:rFonts w:hAnsi="Times New Roman"/>
          <w:color w:val="auto"/>
          <w:highlight w:val="none"/>
          <w:u w:val="none"/>
        </w:rPr>
        <w:t>之比。</w:t>
      </w:r>
    </w:p>
    <w:p w14:paraId="2BA56E33">
      <w:pPr>
        <w:pStyle w:val="1016"/>
        <w:spacing w:before="0" w:after="0" w:line="360" w:lineRule="auto"/>
        <w:ind w:firstLine="480"/>
        <w:rPr>
          <w:rFonts w:hAnsi="Times New Roman"/>
          <w:color w:val="auto"/>
          <w:highlight w:val="none"/>
          <w:u w:val="none"/>
        </w:rPr>
      </w:pPr>
      <w:r>
        <w:rPr>
          <w:rFonts w:hAnsi="Times New Roman"/>
          <w:color w:val="auto"/>
          <w:highlight w:val="none"/>
          <w:u w:val="none"/>
        </w:rPr>
        <w:t>假定气体的特性是理想气体，气体泄漏速度QG按下式计算：</w:t>
      </w:r>
    </w:p>
    <w:p w14:paraId="43963DBE">
      <w:pPr>
        <w:adjustRightInd w:val="0"/>
        <w:jc w:val="center"/>
        <w:rPr>
          <w:rFonts w:hAnsi="Times New Roman"/>
          <w:color w:val="auto"/>
          <w:highlight w:val="none"/>
          <w:u w:val="none"/>
        </w:rPr>
      </w:pPr>
      <w:r>
        <w:rPr>
          <w:rFonts w:hAnsi="Times New Roman"/>
          <w:color w:val="auto"/>
          <w:highlight w:val="none"/>
          <w:u w:val="none"/>
        </w:rPr>
        <w:object>
          <v:shape id="_x0000_i1042" o:spt="75" type="#_x0000_t75" style="height:54.4pt;width:149.85pt;" o:ole="t" filled="f" o:preferrelative="t" stroked="f" coordsize="21600,21600">
            <v:path/>
            <v:fill on="f" focussize="0,0"/>
            <v:stroke on="f" joinstyle="miter"/>
            <v:imagedata r:id="rId69" o:title=""/>
            <o:lock v:ext="edit" aspectratio="t"/>
            <w10:wrap type="none"/>
            <w10:anchorlock/>
          </v:shape>
          <o:OLEObject Type="Embed" ProgID="Equation.3" ShapeID="_x0000_i1042" DrawAspect="Content" ObjectID="_1468075742" r:id="rId68">
            <o:LockedField>false</o:LockedField>
          </o:OLEObject>
        </w:object>
      </w:r>
    </w:p>
    <w:p w14:paraId="78FFBA08">
      <w:pPr>
        <w:adjustRightInd w:val="0"/>
        <w:rPr>
          <w:rFonts w:hAnsi="Times New Roman"/>
          <w:color w:val="auto"/>
          <w:highlight w:val="none"/>
          <w:u w:val="none"/>
        </w:rPr>
      </w:pPr>
      <w:r>
        <w:rPr>
          <w:rFonts w:hAnsi="Times New Roman"/>
          <w:color w:val="auto"/>
          <w:highlight w:val="none"/>
          <w:u w:val="none"/>
        </w:rPr>
        <w:t>式中：Q</w:t>
      </w:r>
      <w:r>
        <w:rPr>
          <w:rFonts w:hAnsi="Times New Roman"/>
          <w:color w:val="auto"/>
          <w:highlight w:val="none"/>
          <w:u w:val="none"/>
          <w:vertAlign w:val="subscript"/>
        </w:rPr>
        <w:t>G</w:t>
      </w:r>
      <w:r>
        <w:rPr>
          <w:rFonts w:hAnsi="Times New Roman"/>
          <w:color w:val="auto"/>
          <w:highlight w:val="none"/>
          <w:u w:val="none"/>
        </w:rPr>
        <w:t>—气体泄漏速度，kg/s；</w:t>
      </w:r>
    </w:p>
    <w:p w14:paraId="4B9DBB60">
      <w:pPr>
        <w:adjustRightInd w:val="0"/>
        <w:ind w:left="420"/>
        <w:rPr>
          <w:rFonts w:hAnsi="Times New Roman"/>
          <w:color w:val="auto"/>
          <w:highlight w:val="none"/>
          <w:u w:val="none"/>
        </w:rPr>
      </w:pPr>
      <w:r>
        <w:rPr>
          <w:rFonts w:hAnsi="Times New Roman"/>
          <w:color w:val="auto"/>
          <w:highlight w:val="none"/>
          <w:u w:val="none"/>
        </w:rPr>
        <w:t>P—容器压力，Pa；</w:t>
      </w:r>
    </w:p>
    <w:p w14:paraId="70890D95">
      <w:pPr>
        <w:adjustRightInd w:val="0"/>
        <w:ind w:left="420"/>
        <w:rPr>
          <w:rFonts w:hAnsi="Times New Roman"/>
          <w:color w:val="auto"/>
          <w:highlight w:val="none"/>
          <w:u w:val="none"/>
        </w:rPr>
      </w:pPr>
      <w:r>
        <w:rPr>
          <w:rFonts w:hAnsi="Times New Roman"/>
          <w:color w:val="auto"/>
          <w:highlight w:val="none"/>
          <w:u w:val="none"/>
        </w:rPr>
        <w:t>C</w:t>
      </w:r>
      <w:r>
        <w:rPr>
          <w:rFonts w:hAnsi="Times New Roman"/>
          <w:color w:val="auto"/>
          <w:highlight w:val="none"/>
          <w:u w:val="none"/>
          <w:vertAlign w:val="subscript"/>
        </w:rPr>
        <w:t>d</w:t>
      </w:r>
      <w:r>
        <w:rPr>
          <w:rFonts w:hAnsi="Times New Roman"/>
          <w:color w:val="auto"/>
          <w:highlight w:val="none"/>
          <w:u w:val="none"/>
        </w:rPr>
        <w:t>—气体泄漏系数；当裂口形状为圆形时取1.00，三角形时取0.95，长方形时取0.90；</w:t>
      </w:r>
    </w:p>
    <w:p w14:paraId="49D94F23">
      <w:pPr>
        <w:adjustRightInd w:val="0"/>
        <w:ind w:left="420"/>
        <w:rPr>
          <w:rFonts w:hAnsi="Times New Roman"/>
          <w:color w:val="auto"/>
          <w:highlight w:val="none"/>
          <w:u w:val="none"/>
        </w:rPr>
      </w:pPr>
      <w:r>
        <w:rPr>
          <w:rFonts w:hAnsi="Times New Roman"/>
          <w:color w:val="auto"/>
          <w:highlight w:val="none"/>
          <w:u w:val="none"/>
        </w:rPr>
        <w:t>A—裂口面积，m</w:t>
      </w:r>
      <w:r>
        <w:rPr>
          <w:rFonts w:hAnsi="Times New Roman"/>
          <w:color w:val="auto"/>
          <w:highlight w:val="none"/>
          <w:u w:val="none"/>
          <w:vertAlign w:val="superscript"/>
        </w:rPr>
        <w:t>2</w:t>
      </w:r>
      <w:r>
        <w:rPr>
          <w:rFonts w:hAnsi="Times New Roman"/>
          <w:color w:val="auto"/>
          <w:highlight w:val="none"/>
          <w:u w:val="none"/>
        </w:rPr>
        <w:t>；</w:t>
      </w:r>
    </w:p>
    <w:p w14:paraId="622D6CAE">
      <w:pPr>
        <w:adjustRightInd w:val="0"/>
        <w:ind w:left="420"/>
        <w:rPr>
          <w:rFonts w:hAnsi="Times New Roman"/>
          <w:color w:val="auto"/>
          <w:highlight w:val="none"/>
          <w:u w:val="none"/>
        </w:rPr>
      </w:pPr>
      <w:r>
        <w:rPr>
          <w:rFonts w:hAnsi="Times New Roman"/>
          <w:color w:val="auto"/>
          <w:highlight w:val="none"/>
          <w:u w:val="none"/>
        </w:rPr>
        <w:t>M—分子量；</w:t>
      </w:r>
    </w:p>
    <w:p w14:paraId="4140D6DC">
      <w:pPr>
        <w:adjustRightInd w:val="0"/>
        <w:ind w:left="420"/>
        <w:rPr>
          <w:rFonts w:hAnsi="Times New Roman"/>
          <w:color w:val="auto"/>
          <w:highlight w:val="none"/>
          <w:u w:val="none"/>
        </w:rPr>
      </w:pPr>
      <w:r>
        <w:rPr>
          <w:rFonts w:hAnsi="Times New Roman"/>
          <w:color w:val="auto"/>
          <w:highlight w:val="none"/>
          <w:u w:val="none"/>
        </w:rPr>
        <w:t>R—气体常数，J/(mol•k)；</w:t>
      </w:r>
    </w:p>
    <w:p w14:paraId="017252C2">
      <w:pPr>
        <w:adjustRightInd w:val="0"/>
        <w:ind w:left="420"/>
        <w:rPr>
          <w:rFonts w:hAnsi="Times New Roman"/>
          <w:color w:val="auto"/>
          <w:highlight w:val="none"/>
          <w:u w:val="none"/>
        </w:rPr>
      </w:pPr>
      <w:r>
        <w:rPr>
          <w:rFonts w:hAnsi="Times New Roman"/>
          <w:color w:val="auto"/>
          <w:highlight w:val="none"/>
          <w:u w:val="none"/>
        </w:rPr>
        <w:t>T</w:t>
      </w:r>
      <w:r>
        <w:rPr>
          <w:rFonts w:hAnsi="Times New Roman"/>
          <w:color w:val="auto"/>
          <w:highlight w:val="none"/>
          <w:u w:val="none"/>
          <w:vertAlign w:val="subscript"/>
        </w:rPr>
        <w:t>G</w:t>
      </w:r>
      <w:r>
        <w:rPr>
          <w:rFonts w:hAnsi="Times New Roman"/>
          <w:color w:val="auto"/>
          <w:highlight w:val="none"/>
          <w:u w:val="none"/>
        </w:rPr>
        <w:t>—气体温度，K；</w:t>
      </w:r>
    </w:p>
    <w:p w14:paraId="4721E491">
      <w:pPr>
        <w:adjustRightInd w:val="0"/>
        <w:ind w:left="420"/>
        <w:rPr>
          <w:rFonts w:hAnsi="Times New Roman"/>
          <w:color w:val="auto"/>
          <w:highlight w:val="none"/>
          <w:u w:val="none"/>
        </w:rPr>
      </w:pPr>
      <w:r>
        <w:rPr>
          <w:rFonts w:hAnsi="Times New Roman"/>
          <w:color w:val="auto"/>
          <w:highlight w:val="none"/>
          <w:u w:val="none"/>
        </w:rPr>
        <w:t>Y—流出系数，对于临界流Y=1.0对于次临界流按下式计算：</w:t>
      </w:r>
    </w:p>
    <w:p w14:paraId="4EDA8C4D">
      <w:pPr>
        <w:adjustRightInd w:val="0"/>
        <w:jc w:val="center"/>
        <w:rPr>
          <w:rFonts w:hAnsi="Times New Roman"/>
          <w:color w:val="auto"/>
          <w:highlight w:val="none"/>
          <w:u w:val="none"/>
        </w:rPr>
      </w:pPr>
      <w:r>
        <w:rPr>
          <w:rFonts w:hAnsi="Times New Roman"/>
          <w:color w:val="auto"/>
          <w:highlight w:val="none"/>
          <w:u w:val="none"/>
        </w:rPr>
        <w:object>
          <v:shape id="_x0000_i1043" o:spt="75" type="#_x0000_t75" style="height:57.75pt;width:257.85pt;" o:ole="t" filled="f" o:preferrelative="t" stroked="f" coordsize="21600,21600">
            <v:path/>
            <v:fill on="f" focussize="0,0"/>
            <v:stroke on="f" joinstyle="miter"/>
            <v:imagedata r:id="rId71" o:title=""/>
            <o:lock v:ext="edit" aspectratio="t"/>
            <w10:wrap type="none"/>
            <w10:anchorlock/>
          </v:shape>
          <o:OLEObject Type="Embed" ProgID="Equation.3" ShapeID="_x0000_i1043" DrawAspect="Content" ObjectID="_1468075743" r:id="rId70">
            <o:LockedField>false</o:LockedField>
          </o:OLEObject>
        </w:object>
      </w:r>
    </w:p>
    <w:p w14:paraId="7A0D9D40">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（2）液体泄漏速率计算</w:t>
      </w:r>
    </w:p>
    <w:p w14:paraId="5282B751">
      <w:pPr>
        <w:pStyle w:val="1016"/>
        <w:spacing w:before="0" w:after="0" w:line="360" w:lineRule="auto"/>
        <w:ind w:firstLine="480"/>
        <w:rPr>
          <w:rFonts w:hAnsi="Times New Roman"/>
          <w:color w:val="auto"/>
          <w:highlight w:val="none"/>
          <w:u w:val="none"/>
        </w:rPr>
      </w:pPr>
      <w:r>
        <w:rPr>
          <w:rFonts w:hAnsi="Times New Roman"/>
          <w:color w:val="auto"/>
          <w:szCs w:val="24"/>
          <w:highlight w:val="none"/>
          <w:u w:val="none"/>
        </w:rPr>
        <w:t>液体泄漏速率参考《建设项目环境风险评价技术导则》(HJ169-2018)附录F.1.1（液体泄漏）进行计算。具体计算公式如下：</w:t>
      </w:r>
    </w:p>
    <w:p w14:paraId="0BB94E7C">
      <w:pPr>
        <w:adjustRightInd w:val="0"/>
        <w:jc w:val="center"/>
        <w:rPr>
          <w:rFonts w:hAnsi="Times New Roman"/>
          <w:color w:val="auto"/>
          <w:highlight w:val="none"/>
          <w:u w:val="none"/>
        </w:rPr>
      </w:pPr>
      <w:r>
        <w:rPr>
          <w:rFonts w:hAnsi="Times New Roman"/>
          <w:color w:val="auto"/>
          <w:highlight w:val="none"/>
          <w:u w:val="none"/>
        </w:rPr>
        <w:object>
          <v:shape id="_x0000_i1044" o:spt="75" type="#_x0000_t75" style="height:36.85pt;width:143.15pt;" o:ole="t" filled="f" o:preferrelative="t" stroked="f" coordsize="21600,21600">
            <v:path/>
            <v:fill on="f" focussize="0,0"/>
            <v:stroke on="f" joinstyle="miter"/>
            <v:imagedata r:id="rId73" o:title=""/>
            <o:lock v:ext="edit" aspectratio="t"/>
            <w10:wrap type="none"/>
            <w10:anchorlock/>
          </v:shape>
          <o:OLEObject Type="Embed" ProgID="Equation.DSMT4" ShapeID="_x0000_i1044" DrawAspect="Content" ObjectID="_1468075744" r:id="rId72">
            <o:LockedField>false</o:LockedField>
          </o:OLEObject>
        </w:object>
      </w:r>
    </w:p>
    <w:p w14:paraId="0C2702AD">
      <w:pPr>
        <w:adjustRightInd w:val="0"/>
        <w:rPr>
          <w:rFonts w:hAnsi="Times New Roman"/>
          <w:color w:val="auto"/>
          <w:highlight w:val="none"/>
          <w:u w:val="none"/>
        </w:rPr>
      </w:pPr>
      <w:r>
        <w:rPr>
          <w:rFonts w:hAnsi="Times New Roman"/>
          <w:color w:val="auto"/>
          <w:highlight w:val="none"/>
          <w:u w:val="none"/>
        </w:rPr>
        <w:t>式中：Q</w:t>
      </w:r>
      <w:r>
        <w:rPr>
          <w:rFonts w:hAnsi="Times New Roman"/>
          <w:color w:val="auto"/>
          <w:highlight w:val="none"/>
          <w:u w:val="none"/>
          <w:vertAlign w:val="subscript"/>
        </w:rPr>
        <w:t>L</w:t>
      </w:r>
      <w:r>
        <w:rPr>
          <w:rFonts w:hAnsi="Times New Roman"/>
          <w:color w:val="auto"/>
          <w:highlight w:val="none"/>
          <w:u w:val="none"/>
        </w:rPr>
        <w:t>——液体泄漏速度，kg/s；</w:t>
      </w:r>
    </w:p>
    <w:p w14:paraId="46DCD065">
      <w:pPr>
        <w:adjustRightInd w:val="0"/>
        <w:ind w:left="420"/>
        <w:rPr>
          <w:rFonts w:hAnsi="Times New Roman"/>
          <w:color w:val="auto"/>
          <w:highlight w:val="none"/>
          <w:u w:val="none"/>
        </w:rPr>
      </w:pPr>
      <w:r>
        <w:rPr>
          <w:rFonts w:hAnsi="Times New Roman"/>
          <w:color w:val="auto"/>
          <w:highlight w:val="none"/>
          <w:u w:val="none"/>
        </w:rPr>
        <w:t>C</w:t>
      </w:r>
      <w:r>
        <w:rPr>
          <w:rFonts w:hAnsi="Times New Roman"/>
          <w:color w:val="auto"/>
          <w:highlight w:val="none"/>
          <w:u w:val="none"/>
          <w:vertAlign w:val="subscript"/>
        </w:rPr>
        <w:t>d</w:t>
      </w:r>
      <w:r>
        <w:rPr>
          <w:rFonts w:hAnsi="Times New Roman"/>
          <w:color w:val="auto"/>
          <w:highlight w:val="none"/>
          <w:u w:val="none"/>
        </w:rPr>
        <w:t>——液体泄漏系数，本评价取0.6。</w:t>
      </w:r>
    </w:p>
    <w:p w14:paraId="1544E909">
      <w:pPr>
        <w:adjustRightInd w:val="0"/>
        <w:ind w:left="420"/>
        <w:rPr>
          <w:rFonts w:hAnsi="Times New Roman"/>
          <w:color w:val="auto"/>
          <w:highlight w:val="none"/>
          <w:u w:val="none"/>
        </w:rPr>
      </w:pPr>
      <w:r>
        <w:rPr>
          <w:rFonts w:hAnsi="Times New Roman"/>
          <w:color w:val="auto"/>
          <w:highlight w:val="none"/>
          <w:u w:val="none"/>
        </w:rPr>
        <w:t>A——裂口面积，m²；</w:t>
      </w:r>
    </w:p>
    <w:p w14:paraId="2B5D92D8">
      <w:pPr>
        <w:adjustRightInd w:val="0"/>
        <w:ind w:left="420"/>
        <w:rPr>
          <w:rFonts w:hAnsi="Times New Roman"/>
          <w:color w:val="auto"/>
          <w:highlight w:val="none"/>
          <w:u w:val="none"/>
        </w:rPr>
      </w:pPr>
      <w:r>
        <w:rPr>
          <w:rFonts w:hAnsi="Times New Roman"/>
          <w:color w:val="auto"/>
          <w:highlight w:val="none"/>
          <w:u w:val="none"/>
        </w:rPr>
        <w:t>P——容器内介质压力，Pa；</w:t>
      </w:r>
    </w:p>
    <w:p w14:paraId="58DB21B8">
      <w:pPr>
        <w:adjustRightInd w:val="0"/>
        <w:ind w:left="420"/>
        <w:rPr>
          <w:rFonts w:hAnsi="Times New Roman"/>
          <w:color w:val="auto"/>
          <w:highlight w:val="none"/>
          <w:u w:val="none"/>
        </w:rPr>
      </w:pPr>
      <w:r>
        <w:rPr>
          <w:rFonts w:hAnsi="Times New Roman"/>
          <w:color w:val="auto"/>
          <w:highlight w:val="none"/>
          <w:u w:val="none"/>
        </w:rPr>
        <w:t>P</w:t>
      </w:r>
      <w:r>
        <w:rPr>
          <w:rFonts w:hAnsi="Times New Roman" w:eastAsia="MS Mincho"/>
          <w:color w:val="auto"/>
          <w:highlight w:val="none"/>
          <w:u w:val="none"/>
        </w:rPr>
        <w:t>₀</w:t>
      </w:r>
      <w:r>
        <w:rPr>
          <w:rFonts w:hAnsi="Times New Roman"/>
          <w:color w:val="auto"/>
          <w:highlight w:val="none"/>
          <w:u w:val="none"/>
        </w:rPr>
        <w:t>——环境压力，Pa；</w:t>
      </w:r>
    </w:p>
    <w:p w14:paraId="75E3911B">
      <w:pPr>
        <w:adjustRightInd w:val="0"/>
        <w:ind w:left="420"/>
        <w:rPr>
          <w:rFonts w:hAnsi="Times New Roman"/>
          <w:color w:val="auto"/>
          <w:highlight w:val="none"/>
          <w:u w:val="none"/>
        </w:rPr>
      </w:pPr>
      <w:r>
        <w:rPr>
          <w:rFonts w:hAnsi="Times New Roman"/>
          <w:color w:val="auto"/>
          <w:highlight w:val="none"/>
          <w:u w:val="none"/>
        </w:rPr>
        <w:t>ρ——液体密度，kg/m</w:t>
      </w:r>
      <w:r>
        <w:rPr>
          <w:rFonts w:hAnsi="Times New Roman"/>
          <w:color w:val="auto"/>
          <w:highlight w:val="none"/>
          <w:u w:val="none"/>
          <w:vertAlign w:val="superscript"/>
        </w:rPr>
        <w:t>3</w:t>
      </w:r>
      <w:r>
        <w:rPr>
          <w:rFonts w:hAnsi="Times New Roman"/>
          <w:color w:val="auto"/>
          <w:highlight w:val="none"/>
          <w:u w:val="none"/>
        </w:rPr>
        <w:t>；</w:t>
      </w:r>
    </w:p>
    <w:p w14:paraId="6E3848DA">
      <w:pPr>
        <w:adjustRightInd w:val="0"/>
        <w:ind w:left="420"/>
        <w:rPr>
          <w:rFonts w:hAnsi="Times New Roman"/>
          <w:color w:val="auto"/>
          <w:highlight w:val="none"/>
          <w:u w:val="none"/>
        </w:rPr>
      </w:pPr>
      <w:r>
        <w:rPr>
          <w:rFonts w:hAnsi="Times New Roman"/>
          <w:color w:val="auto"/>
          <w:highlight w:val="none"/>
          <w:u w:val="none"/>
        </w:rPr>
        <w:t>g——重力加速度。</w:t>
      </w:r>
    </w:p>
    <w:p w14:paraId="61E67116">
      <w:pPr>
        <w:adjustRightInd w:val="0"/>
        <w:ind w:left="420"/>
        <w:rPr>
          <w:rFonts w:hAnsi="Times New Roman"/>
          <w:color w:val="auto"/>
          <w:highlight w:val="none"/>
          <w:u w:val="none"/>
        </w:rPr>
      </w:pPr>
      <w:r>
        <w:rPr>
          <w:rFonts w:hAnsi="Times New Roman"/>
          <w:color w:val="auto"/>
          <w:highlight w:val="none"/>
          <w:u w:val="none"/>
        </w:rPr>
        <w:t>h——裂口之上液位高度，m。</w:t>
      </w:r>
    </w:p>
    <w:p w14:paraId="7903810D">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泄漏液体的蒸发速率按照《建设项目环境风险评价技术导则》（J169-2018）附录F.1.4有关公式计算。</w:t>
      </w:r>
    </w:p>
    <w:p w14:paraId="06303F3C">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（3）油品火灾伴生/次生污染物的一氧化碳产生量产生量估算。</w:t>
      </w:r>
    </w:p>
    <w:p w14:paraId="2E970CD4">
      <w:pPr>
        <w:pStyle w:val="1016"/>
        <w:spacing w:before="0" w:after="0" w:line="360" w:lineRule="auto"/>
        <w:ind w:firstLine="960" w:firstLineChars="400"/>
        <w:jc w:val="center"/>
        <w:rPr>
          <w:rFonts w:hAnsi="Times New Roman"/>
          <w:color w:val="auto"/>
          <w:szCs w:val="24"/>
          <w:highlight w:val="none"/>
          <w:u w:val="none"/>
        </w:rPr>
      </w:pPr>
      <w:r>
        <w:rPr>
          <w:rFonts w:hAnsi="Times New Roman"/>
          <w:color w:val="auto"/>
          <w:szCs w:val="24"/>
          <w:highlight w:val="none"/>
          <w:u w:val="none"/>
        </w:rPr>
        <w:t>G</w:t>
      </w:r>
      <w:r>
        <w:rPr>
          <w:rFonts w:hAnsi="Times New Roman"/>
          <w:color w:val="auto"/>
          <w:szCs w:val="24"/>
          <w:highlight w:val="none"/>
          <w:u w:val="none"/>
          <w:vertAlign w:val="subscript"/>
        </w:rPr>
        <w:t>CO</w:t>
      </w:r>
      <w:r>
        <w:rPr>
          <w:rFonts w:hAnsi="Times New Roman"/>
          <w:color w:val="auto"/>
          <w:szCs w:val="24"/>
          <w:highlight w:val="none"/>
          <w:u w:val="none"/>
        </w:rPr>
        <w:t>=2330qCQ</w:t>
      </w:r>
    </w:p>
    <w:p w14:paraId="335D4EC1">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式中:G</w:t>
      </w:r>
      <w:r>
        <w:rPr>
          <w:rFonts w:hAnsi="Times New Roman"/>
          <w:color w:val="auto"/>
          <w:szCs w:val="24"/>
          <w:highlight w:val="none"/>
          <w:u w:val="none"/>
          <w:vertAlign w:val="subscript"/>
        </w:rPr>
        <w:t>CO</w:t>
      </w:r>
      <w:r>
        <w:rPr>
          <w:rFonts w:hAnsi="Times New Roman"/>
          <w:color w:val="auto"/>
          <w:szCs w:val="24"/>
          <w:highlight w:val="none"/>
          <w:u w:val="none"/>
        </w:rPr>
        <w:t>--CO 的产生量，kg/s;</w:t>
      </w:r>
    </w:p>
    <w:p w14:paraId="5E7F0E34">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C--物质中碳的质量百分比含量，%;</w:t>
      </w:r>
    </w:p>
    <w:p w14:paraId="5D81A847">
      <w:pPr>
        <w:pStyle w:val="1016"/>
        <w:spacing w:before="0" w:after="0" w:line="360" w:lineRule="auto"/>
        <w:ind w:firstLine="480"/>
        <w:rPr>
          <w:rFonts w:hAnsi="Times New Roman"/>
          <w:color w:val="auto"/>
          <w:szCs w:val="24"/>
          <w:highlight w:val="none"/>
          <w:u w:val="none"/>
        </w:rPr>
      </w:pPr>
      <w:r>
        <w:rPr>
          <w:rFonts w:hAnsi="Times New Roman"/>
          <w:color w:val="auto"/>
          <w:szCs w:val="24"/>
          <w:highlight w:val="none"/>
          <w:u w:val="none"/>
        </w:rPr>
        <w:t>q--化学不完全燃烧值，%;取 1.5%~6%，本计算取5%;</w:t>
      </w:r>
    </w:p>
    <w:p w14:paraId="2326CDE5">
      <w:pPr>
        <w:pStyle w:val="1016"/>
        <w:spacing w:before="0" w:after="0" w:line="360" w:lineRule="auto"/>
        <w:ind w:firstLine="480"/>
        <w:rPr>
          <w:rFonts w:hint="eastAsia"/>
          <w:color w:val="auto"/>
          <w:highlight w:val="none"/>
          <w:u w:val="none"/>
          <w:lang w:val="en-US"/>
        </w:rPr>
      </w:pPr>
      <w:r>
        <w:rPr>
          <w:rFonts w:hAnsi="Times New Roman"/>
          <w:color w:val="auto"/>
          <w:szCs w:val="24"/>
          <w:highlight w:val="none"/>
          <w:u w:val="none"/>
        </w:rPr>
        <w:t>Q--参与燃烧的物质量，t/s.</w:t>
      </w:r>
    </w:p>
    <w:p w14:paraId="28B5C67A">
      <w:pPr>
        <w:pStyle w:val="7"/>
        <w:spacing w:before="120"/>
        <w:rPr>
          <w:color w:val="auto"/>
          <w:highlight w:val="none"/>
          <w:u w:val="none"/>
        </w:rPr>
      </w:pPr>
      <w:r>
        <w:rPr>
          <w:rFonts w:hint="eastAsia"/>
          <w:color w:val="auto"/>
          <w:highlight w:val="none"/>
          <w:u w:val="none"/>
          <w:lang w:val="en-US"/>
        </w:rPr>
        <w:t>光气泄漏源强</w:t>
      </w:r>
      <w:r>
        <w:rPr>
          <w:color w:val="auto"/>
          <w:highlight w:val="none"/>
          <w:u w:val="none"/>
        </w:rPr>
        <w:t>计算</w:t>
      </w:r>
    </w:p>
    <w:p w14:paraId="2C1AAFB4">
      <w:pPr>
        <w:rPr>
          <w:rFonts w:hint="eastAsia"/>
          <w:color w:val="auto"/>
          <w:highlight w:val="none"/>
          <w:u w:val="none"/>
          <w:lang w:val="en-US"/>
        </w:rPr>
      </w:pPr>
      <w:r>
        <w:rPr>
          <w:rFonts w:hint="eastAsia"/>
          <w:color w:val="auto"/>
          <w:highlight w:val="none"/>
          <w:u w:val="none"/>
          <w:lang w:val="en-US"/>
        </w:rPr>
        <w:t>根据表9.5-10光气的10种情形，其中情景10泄漏量最大，为最不利的情形，参考《建设项目环境风险评价技术导则》（HJ169-2018）附录F中泄漏模式与操作参数计算，其泄漏量为0.1036kg/s，泄漏时间按10min计。</w:t>
      </w:r>
    </w:p>
    <w:p w14:paraId="359C1E89">
      <w:pPr>
        <w:pStyle w:val="7"/>
        <w:spacing w:before="120"/>
        <w:rPr>
          <w:color w:val="auto"/>
          <w:highlight w:val="none"/>
          <w:u w:val="none"/>
          <w:lang w:val="en-US"/>
        </w:rPr>
      </w:pPr>
      <w:r>
        <w:rPr>
          <w:rFonts w:hint="eastAsia"/>
          <w:color w:val="auto"/>
          <w:highlight w:val="none"/>
          <w:u w:val="none"/>
          <w:lang w:val="en-US"/>
        </w:rPr>
        <w:t>氯化氢管道输送气体泄漏源强</w:t>
      </w:r>
    </w:p>
    <w:p w14:paraId="5118D4F1">
      <w:pPr>
        <w:rPr>
          <w:rFonts w:hint="eastAsia"/>
          <w:color w:val="auto"/>
          <w:highlight w:val="none"/>
          <w:u w:val="none"/>
        </w:rPr>
      </w:pPr>
      <w:r>
        <w:rPr>
          <w:color w:val="auto"/>
          <w:highlight w:val="none"/>
          <w:u w:val="none"/>
        </w:rPr>
        <w:t>根据建设单位提供的资料，TDI界区至公司外围墙的氯化氢输送管道，管道内温度为-10℃，压力为0.51MPa，直径为</w:t>
      </w:r>
      <w:r>
        <w:rPr>
          <w:rFonts w:hint="eastAsia"/>
          <w:color w:val="auto"/>
          <w:highlight w:val="none"/>
          <w:u w:val="none"/>
          <w:lang w:val="en-US"/>
        </w:rPr>
        <w:t>300</w:t>
      </w:r>
      <w:r>
        <w:rPr>
          <w:color w:val="auto"/>
          <w:highlight w:val="none"/>
          <w:u w:val="none"/>
        </w:rPr>
        <w:t>mm。参考《建设项目环境风险评价技术导则》（HJ169-2018）</w:t>
      </w:r>
      <w:r>
        <w:rPr>
          <w:rFonts w:hint="eastAsia"/>
          <w:color w:val="auto"/>
          <w:highlight w:val="none"/>
          <w:u w:val="none"/>
          <w:lang w:val="en-US"/>
        </w:rPr>
        <w:t>附录F</w:t>
      </w:r>
      <w:r>
        <w:rPr>
          <w:color w:val="auto"/>
          <w:highlight w:val="none"/>
          <w:u w:val="none"/>
        </w:rPr>
        <w:t>中泄漏模式设定，本次评价假设氯化氢管道发生泄漏</w:t>
      </w:r>
      <w:r>
        <w:rPr>
          <w:rFonts w:hint="eastAsia"/>
          <w:color w:val="auto"/>
          <w:highlight w:val="none"/>
          <w:u w:val="none"/>
          <w:lang w:val="en-US"/>
        </w:rPr>
        <w:t>10mm</w:t>
      </w:r>
      <w:r>
        <w:rPr>
          <w:color w:val="auto"/>
          <w:highlight w:val="none"/>
          <w:u w:val="none"/>
        </w:rPr>
        <w:t>管径泄漏，根据计算，</w:t>
      </w:r>
      <w:r>
        <w:rPr>
          <w:rFonts w:hint="eastAsia"/>
          <w:color w:val="auto"/>
          <w:highlight w:val="none"/>
          <w:u w:val="none"/>
        </w:rPr>
        <w:t>则</w:t>
      </w:r>
      <w:r>
        <w:rPr>
          <w:color w:val="auto"/>
          <w:highlight w:val="none"/>
          <w:u w:val="none"/>
        </w:rPr>
        <w:t>估算纯气体泄漏速率为</w:t>
      </w:r>
      <w:r>
        <w:rPr>
          <w:rFonts w:hint="eastAsia"/>
          <w:color w:val="auto"/>
          <w:highlight w:val="none"/>
          <w:u w:val="none"/>
          <w:lang w:val="en-US"/>
        </w:rPr>
        <w:t>0.12</w:t>
      </w:r>
      <w:r>
        <w:rPr>
          <w:color w:val="auto"/>
          <w:highlight w:val="none"/>
          <w:u w:val="none"/>
        </w:rPr>
        <w:t>kg/s，管道设置有紧急切断系统，泄漏时间按10min考虑。</w:t>
      </w:r>
    </w:p>
    <w:p w14:paraId="43AEA82C">
      <w:pPr>
        <w:pStyle w:val="7"/>
        <w:spacing w:before="120"/>
        <w:rPr>
          <w:color w:val="auto"/>
          <w:highlight w:val="none"/>
          <w:u w:val="none"/>
          <w:lang w:val="en-US"/>
        </w:rPr>
      </w:pPr>
      <w:r>
        <w:rPr>
          <w:rFonts w:hint="eastAsia"/>
          <w:color w:val="auto"/>
          <w:highlight w:val="none"/>
          <w:u w:val="none"/>
          <w:lang w:val="en-US"/>
        </w:rPr>
        <w:t>氯气管道输送气体泄漏源强</w:t>
      </w:r>
    </w:p>
    <w:p w14:paraId="34A5E5A9">
      <w:pPr>
        <w:rPr>
          <w:rFonts w:hint="eastAsia"/>
          <w:color w:val="auto"/>
          <w:highlight w:val="none"/>
          <w:u w:val="none"/>
        </w:rPr>
      </w:pPr>
      <w:r>
        <w:rPr>
          <w:color w:val="auto"/>
          <w:highlight w:val="none"/>
          <w:u w:val="none"/>
        </w:rPr>
        <w:t>根据建设单位提供的资料，福建省东南电化股份有限公司</w:t>
      </w:r>
      <w:r>
        <w:rPr>
          <w:rFonts w:hint="eastAsia"/>
          <w:color w:val="auto"/>
          <w:highlight w:val="none"/>
          <w:u w:val="none"/>
        </w:rPr>
        <w:t>、异氰酸酯公司</w:t>
      </w:r>
      <w:r>
        <w:rPr>
          <w:color w:val="auto"/>
          <w:highlight w:val="none"/>
          <w:u w:val="none"/>
        </w:rPr>
        <w:t>汽化氯缓冲罐至本项目装置区的氯气输送管道，管道内温度为</w:t>
      </w:r>
      <w:r>
        <w:rPr>
          <w:rFonts w:hint="eastAsia"/>
          <w:color w:val="auto"/>
          <w:highlight w:val="none"/>
          <w:u w:val="none"/>
          <w:lang w:val="en-US"/>
        </w:rPr>
        <w:t>3</w:t>
      </w:r>
      <w:r>
        <w:rPr>
          <w:color w:val="auto"/>
          <w:highlight w:val="none"/>
          <w:u w:val="none"/>
        </w:rPr>
        <w:t>5℃，压力为</w:t>
      </w:r>
      <w:r>
        <w:rPr>
          <w:rFonts w:hint="eastAsia"/>
          <w:color w:val="auto"/>
          <w:highlight w:val="none"/>
          <w:u w:val="none"/>
          <w:lang w:val="en-US"/>
        </w:rPr>
        <w:t>0.7</w:t>
      </w:r>
      <w:r>
        <w:rPr>
          <w:color w:val="auto"/>
          <w:highlight w:val="none"/>
          <w:u w:val="none"/>
        </w:rPr>
        <w:t>MPa，直径为</w:t>
      </w:r>
      <w:r>
        <w:rPr>
          <w:rFonts w:hint="eastAsia"/>
          <w:color w:val="auto"/>
          <w:highlight w:val="none"/>
          <w:u w:val="none"/>
          <w:lang w:val="en-US"/>
        </w:rPr>
        <w:t>30</w:t>
      </w:r>
      <w:r>
        <w:rPr>
          <w:color w:val="auto"/>
          <w:highlight w:val="none"/>
          <w:u w:val="none"/>
        </w:rPr>
        <w:t>0mm。参考《建设项目环境风险评价技术导则》（HJ169-2018）表E.1中泄漏模式设定，本次评价假设氯气管道在连接处发生泄漏事故，按</w:t>
      </w:r>
      <w:r>
        <w:rPr>
          <w:rFonts w:hint="eastAsia"/>
          <w:color w:val="auto"/>
          <w:highlight w:val="none"/>
          <w:u w:val="none"/>
          <w:lang w:val="en-US"/>
        </w:rPr>
        <w:t>10mm</w:t>
      </w:r>
      <w:r>
        <w:rPr>
          <w:color w:val="auto"/>
          <w:highlight w:val="none"/>
          <w:u w:val="none"/>
        </w:rPr>
        <w:t>管径泄漏，</w:t>
      </w:r>
      <w:r>
        <w:rPr>
          <w:rFonts w:hint="eastAsia"/>
          <w:color w:val="auto"/>
          <w:highlight w:val="none"/>
          <w:u w:val="none"/>
        </w:rPr>
        <w:t>则</w:t>
      </w:r>
      <w:r>
        <w:rPr>
          <w:color w:val="auto"/>
          <w:highlight w:val="none"/>
          <w:u w:val="none"/>
        </w:rPr>
        <w:t>估算纯气体泄漏速率为0.</w:t>
      </w:r>
      <w:r>
        <w:rPr>
          <w:rFonts w:hint="eastAsia"/>
          <w:color w:val="auto"/>
          <w:highlight w:val="none"/>
          <w:u w:val="none"/>
          <w:lang w:val="en-US"/>
        </w:rPr>
        <w:t>216</w:t>
      </w:r>
      <w:r>
        <w:rPr>
          <w:color w:val="auto"/>
          <w:highlight w:val="none"/>
          <w:u w:val="none"/>
        </w:rPr>
        <w:t>kg/s，根据建设单位提供的资料管道设置有紧急切断系统，发生泄漏时能够在10min内得到控制，因此本评价氯气管道泄漏时间按10min考虑。</w:t>
      </w:r>
    </w:p>
    <w:p w14:paraId="13459B10">
      <w:pPr>
        <w:pStyle w:val="7"/>
        <w:spacing w:before="120"/>
        <w:rPr>
          <w:color w:val="auto"/>
          <w:highlight w:val="none"/>
          <w:u w:val="none"/>
          <w:lang w:val="en-US"/>
        </w:rPr>
      </w:pPr>
      <w:r>
        <w:rPr>
          <w:rFonts w:hint="eastAsia"/>
          <w:color w:val="auto"/>
          <w:highlight w:val="none"/>
          <w:u w:val="none"/>
          <w:lang w:val="en-US"/>
        </w:rPr>
        <w:t>一氧化碳管道输送气体泄漏源强</w:t>
      </w:r>
    </w:p>
    <w:p w14:paraId="61831DF4">
      <w:pPr>
        <w:rPr>
          <w:rFonts w:hint="eastAsia"/>
          <w:color w:val="auto"/>
          <w:highlight w:val="none"/>
          <w:u w:val="none"/>
        </w:rPr>
      </w:pPr>
      <w:r>
        <w:rPr>
          <w:color w:val="auto"/>
          <w:highlight w:val="none"/>
          <w:u w:val="none"/>
        </w:rPr>
        <w:t>根据建设单位提供的资料，</w:t>
      </w:r>
      <w:r>
        <w:rPr>
          <w:rFonts w:hint="eastAsia"/>
          <w:color w:val="auto"/>
          <w:highlight w:val="none"/>
          <w:u w:val="none"/>
        </w:rPr>
        <w:t>万华福建公司气体厂区</w:t>
      </w:r>
      <w:r>
        <w:rPr>
          <w:color w:val="auto"/>
          <w:highlight w:val="none"/>
          <w:u w:val="none"/>
        </w:rPr>
        <w:t>一氧化碳输送管道操作温度为20℃，压力为0.7MPa，直径为</w:t>
      </w:r>
      <w:r>
        <w:rPr>
          <w:rFonts w:hint="eastAsia"/>
          <w:color w:val="auto"/>
          <w:highlight w:val="none"/>
          <w:u w:val="none"/>
          <w:lang w:val="en-US"/>
        </w:rPr>
        <w:t>30</w:t>
      </w:r>
      <w:r>
        <w:rPr>
          <w:color w:val="auto"/>
          <w:highlight w:val="none"/>
          <w:u w:val="none"/>
        </w:rPr>
        <w:t>0mm，参考《建设项目环境风险评价技术导则》（HJ169-2018）表E.1中泄漏模式设定，本次评价假设一氧化碳管道在连接处发生泄漏事故，按</w:t>
      </w:r>
      <w:r>
        <w:rPr>
          <w:rFonts w:hint="eastAsia"/>
          <w:color w:val="auto"/>
          <w:highlight w:val="none"/>
          <w:u w:val="none"/>
          <w:lang w:val="en-US"/>
        </w:rPr>
        <w:t>10mm</w:t>
      </w:r>
      <w:r>
        <w:rPr>
          <w:color w:val="auto"/>
          <w:highlight w:val="none"/>
          <w:u w:val="none"/>
        </w:rPr>
        <w:t>管径泄漏，估算纯气体泄漏速率为</w:t>
      </w:r>
      <w:r>
        <w:rPr>
          <w:rFonts w:hint="eastAsia"/>
          <w:color w:val="auto"/>
          <w:highlight w:val="none"/>
          <w:u w:val="none"/>
          <w:lang w:val="en-US"/>
        </w:rPr>
        <w:t>0.147</w:t>
      </w:r>
      <w:r>
        <w:rPr>
          <w:color w:val="auto"/>
          <w:highlight w:val="none"/>
          <w:u w:val="none"/>
        </w:rPr>
        <w:t>kg/s。根据建设单位提供的资料管道设置有紧急切断系统，发生泄漏时能够在10min内得到控制，因此本评价一氧化碳管道泄漏时间按10min考虑。</w:t>
      </w:r>
    </w:p>
    <w:p w14:paraId="0B41AA23">
      <w:pPr>
        <w:pStyle w:val="7"/>
        <w:spacing w:before="120"/>
        <w:rPr>
          <w:color w:val="auto"/>
          <w:highlight w:val="none"/>
          <w:u w:val="none"/>
          <w:lang w:val="en-US"/>
        </w:rPr>
      </w:pPr>
      <w:r>
        <w:rPr>
          <w:rFonts w:hint="eastAsia"/>
          <w:color w:val="auto"/>
          <w:highlight w:val="none"/>
          <w:u w:val="none"/>
          <w:lang w:val="en-US"/>
        </w:rPr>
        <w:t>硝酸储罐泄漏导致的液池蒸发</w:t>
      </w:r>
    </w:p>
    <w:p w14:paraId="001A0890">
      <w:pPr>
        <w:rPr>
          <w:rFonts w:hint="eastAsia"/>
          <w:color w:val="auto"/>
          <w:highlight w:val="none"/>
          <w:u w:val="none"/>
        </w:rPr>
      </w:pPr>
      <w:r>
        <w:rPr>
          <w:rFonts w:hint="eastAsia"/>
          <w:color w:val="auto"/>
          <w:highlight w:val="none"/>
          <w:u w:val="none"/>
          <w:lang w:val="en-US"/>
        </w:rPr>
        <w:t>本项目设置2个浓硝酸储罐（63%wt，常温，常压），根据</w:t>
      </w:r>
      <w:r>
        <w:rPr>
          <w:color w:val="auto"/>
          <w:highlight w:val="none"/>
          <w:u w:val="none"/>
        </w:rPr>
        <w:t>《建设项目环境风险评价技术导则》（HJ169-2018）</w:t>
      </w:r>
      <w:r>
        <w:rPr>
          <w:rFonts w:hint="eastAsia"/>
          <w:color w:val="auto"/>
          <w:highlight w:val="none"/>
          <w:u w:val="none"/>
          <w:lang w:val="en-US"/>
        </w:rPr>
        <w:t>液体</w:t>
      </w:r>
      <w:r>
        <w:rPr>
          <w:color w:val="auto"/>
          <w:highlight w:val="none"/>
          <w:u w:val="none"/>
        </w:rPr>
        <w:t>泄漏模式</w:t>
      </w:r>
      <w:r>
        <w:rPr>
          <w:rFonts w:hint="eastAsia"/>
          <w:color w:val="auto"/>
          <w:highlight w:val="none"/>
          <w:u w:val="none"/>
        </w:rPr>
        <w:t>，</w:t>
      </w:r>
      <w:r>
        <w:rPr>
          <w:rFonts w:hint="eastAsia"/>
          <w:color w:val="auto"/>
          <w:highlight w:val="none"/>
          <w:u w:val="none"/>
          <w:lang w:val="en-US"/>
        </w:rPr>
        <w:t>泄漏孔径取10mm，泄漏时间取30min，则泄漏速率为0.31kg/s，总泄漏量为566.5kg。</w:t>
      </w:r>
      <w:r>
        <w:rPr>
          <w:color w:val="auto"/>
          <w:highlight w:val="none"/>
          <w:u w:val="none"/>
        </w:rPr>
        <w:t>参考《建设项目环境风险评价技术导则》（HJ169-2018）液池蒸发源强计算。在不利气象条件下（风速1.5m/s，稳定度F，湿度50%，温度25℃）时，硝酸总蒸发可速率为0.</w:t>
      </w:r>
      <w:r>
        <w:rPr>
          <w:rFonts w:hint="eastAsia"/>
          <w:color w:val="auto"/>
          <w:highlight w:val="none"/>
          <w:u w:val="none"/>
          <w:lang w:val="en-US"/>
        </w:rPr>
        <w:t>0226</w:t>
      </w:r>
      <w:r>
        <w:rPr>
          <w:color w:val="auto"/>
          <w:highlight w:val="none"/>
          <w:u w:val="none"/>
        </w:rPr>
        <w:t>kg/s；常见气象条件下（风速5.</w:t>
      </w:r>
      <w:r>
        <w:rPr>
          <w:rFonts w:hint="eastAsia"/>
          <w:color w:val="auto"/>
          <w:highlight w:val="none"/>
          <w:u w:val="none"/>
          <w:lang w:val="en-US"/>
        </w:rPr>
        <w:t>34</w:t>
      </w:r>
      <w:r>
        <w:rPr>
          <w:color w:val="auto"/>
          <w:highlight w:val="none"/>
          <w:u w:val="none"/>
        </w:rPr>
        <w:t>m/s，稳定度D，湿度76.71%，温度30.6℃）时，硝酸总蒸发可速率为</w:t>
      </w:r>
      <w:r>
        <w:rPr>
          <w:rFonts w:hint="eastAsia"/>
          <w:color w:val="auto"/>
          <w:highlight w:val="none"/>
          <w:u w:val="none"/>
          <w:lang w:val="en-US"/>
        </w:rPr>
        <w:t>0.0570</w:t>
      </w:r>
      <w:r>
        <w:rPr>
          <w:color w:val="auto"/>
          <w:highlight w:val="none"/>
          <w:u w:val="none"/>
        </w:rPr>
        <w:t>kg/s。</w:t>
      </w:r>
    </w:p>
    <w:p w14:paraId="43F8ABE4">
      <w:pPr>
        <w:pStyle w:val="7"/>
        <w:spacing w:before="120"/>
        <w:rPr>
          <w:color w:val="auto"/>
          <w:highlight w:val="none"/>
          <w:u w:val="none"/>
          <w:lang w:val="en-US"/>
        </w:rPr>
      </w:pPr>
      <w:r>
        <w:rPr>
          <w:rFonts w:hint="eastAsia"/>
          <w:color w:val="auto"/>
          <w:highlight w:val="none"/>
          <w:u w:val="none"/>
          <w:lang w:val="en-US"/>
        </w:rPr>
        <w:t>邻二氯苯（ODCB）储罐泄漏源强</w:t>
      </w:r>
    </w:p>
    <w:p w14:paraId="6AE036B8">
      <w:pPr>
        <w:rPr>
          <w:rFonts w:hint="eastAsia"/>
          <w:color w:val="auto"/>
          <w:highlight w:val="none"/>
          <w:u w:val="none"/>
        </w:rPr>
      </w:pPr>
      <w:r>
        <w:rPr>
          <w:rFonts w:hint="eastAsia"/>
          <w:color w:val="auto"/>
          <w:highlight w:val="none"/>
          <w:u w:val="none"/>
          <w:lang w:val="en-US"/>
        </w:rPr>
        <w:t>根据资料可知，本项目设置2个500m</w:t>
      </w:r>
      <w:r>
        <w:rPr>
          <w:rFonts w:hAnsi="Times New Roman"/>
          <w:color w:val="auto"/>
          <w:highlight w:val="none"/>
          <w:u w:val="none"/>
          <w:lang w:val="en-US"/>
        </w:rPr>
        <w:t>³</w:t>
      </w:r>
      <w:r>
        <w:rPr>
          <w:rFonts w:hint="eastAsia" w:hAnsi="Times New Roman"/>
          <w:color w:val="auto"/>
          <w:highlight w:val="none"/>
          <w:u w:val="none"/>
          <w:lang w:val="en-US"/>
        </w:rPr>
        <w:t xml:space="preserve"> </w:t>
      </w:r>
      <w:r>
        <w:rPr>
          <w:rFonts w:hint="eastAsia"/>
          <w:color w:val="auto"/>
          <w:highlight w:val="none"/>
          <w:u w:val="none"/>
          <w:lang w:val="en-US"/>
        </w:rPr>
        <w:t>ODCB储罐（常温，常压），总储存量为300t，单个储罐的量为150t。根据</w:t>
      </w:r>
      <w:r>
        <w:rPr>
          <w:color w:val="auto"/>
          <w:highlight w:val="none"/>
          <w:u w:val="none"/>
        </w:rPr>
        <w:t>《建设项目环境风险评价技术导则》（HJ169-2018）</w:t>
      </w:r>
      <w:r>
        <w:rPr>
          <w:rFonts w:hint="eastAsia"/>
          <w:color w:val="auto"/>
          <w:highlight w:val="none"/>
          <w:u w:val="none"/>
          <w:lang w:val="en-US"/>
        </w:rPr>
        <w:t>液体</w:t>
      </w:r>
      <w:r>
        <w:rPr>
          <w:color w:val="auto"/>
          <w:highlight w:val="none"/>
          <w:u w:val="none"/>
        </w:rPr>
        <w:t>泄漏模式</w:t>
      </w:r>
      <w:r>
        <w:rPr>
          <w:rFonts w:hint="eastAsia"/>
          <w:color w:val="auto"/>
          <w:highlight w:val="none"/>
          <w:u w:val="none"/>
        </w:rPr>
        <w:t>，</w:t>
      </w:r>
      <w:r>
        <w:rPr>
          <w:rFonts w:hint="eastAsia"/>
          <w:color w:val="auto"/>
          <w:highlight w:val="none"/>
          <w:u w:val="none"/>
          <w:lang w:val="en-US"/>
        </w:rPr>
        <w:t>泄漏孔径取10mm，泄漏时间取30min，则泄漏速率为0.41kg/s，总泄漏量为738kg。</w:t>
      </w:r>
      <w:r>
        <w:rPr>
          <w:color w:val="auto"/>
          <w:highlight w:val="none"/>
          <w:u w:val="none"/>
        </w:rPr>
        <w:t>参考《建设项目环境风险评价技术导则》（HJ169-2018）液池蒸发源强计算。在不利气象条件下（风速1.5m/s，稳定度F，湿度50%，温度25℃）时，</w:t>
      </w:r>
      <w:r>
        <w:rPr>
          <w:rFonts w:hint="eastAsia"/>
          <w:color w:val="auto"/>
          <w:highlight w:val="none"/>
          <w:u w:val="none"/>
        </w:rPr>
        <w:t>ODCB</w:t>
      </w:r>
      <w:r>
        <w:rPr>
          <w:color w:val="auto"/>
          <w:highlight w:val="none"/>
          <w:u w:val="none"/>
        </w:rPr>
        <w:t>总蒸发可速率为0.</w:t>
      </w:r>
      <w:r>
        <w:rPr>
          <w:rFonts w:hint="eastAsia"/>
          <w:color w:val="auto"/>
          <w:highlight w:val="none"/>
          <w:u w:val="none"/>
          <w:lang w:val="en-US"/>
        </w:rPr>
        <w:t>0014</w:t>
      </w:r>
      <w:r>
        <w:rPr>
          <w:color w:val="auto"/>
          <w:highlight w:val="none"/>
          <w:u w:val="none"/>
        </w:rPr>
        <w:t>kg/s；常见气象条件下（风速5.</w:t>
      </w:r>
      <w:r>
        <w:rPr>
          <w:rFonts w:hint="eastAsia"/>
          <w:color w:val="auto"/>
          <w:highlight w:val="none"/>
          <w:u w:val="none"/>
          <w:lang w:val="en-US"/>
        </w:rPr>
        <w:t>34</w:t>
      </w:r>
      <w:r>
        <w:rPr>
          <w:color w:val="auto"/>
          <w:highlight w:val="none"/>
          <w:u w:val="none"/>
        </w:rPr>
        <w:t>m/s，稳定度D，湿度76.71%，温度30.6℃）时，硝酸总蒸发可速率为0.</w:t>
      </w:r>
      <w:r>
        <w:rPr>
          <w:rFonts w:hint="eastAsia"/>
          <w:color w:val="auto"/>
          <w:highlight w:val="none"/>
          <w:u w:val="none"/>
          <w:lang w:val="en-US"/>
        </w:rPr>
        <w:t>0051</w:t>
      </w:r>
      <w:r>
        <w:rPr>
          <w:color w:val="auto"/>
          <w:highlight w:val="none"/>
          <w:u w:val="none"/>
        </w:rPr>
        <w:t>kg/s。</w:t>
      </w:r>
    </w:p>
    <w:p w14:paraId="5F882601">
      <w:pPr>
        <w:pStyle w:val="7"/>
        <w:spacing w:before="120"/>
        <w:rPr>
          <w:color w:val="auto"/>
          <w:highlight w:val="none"/>
          <w:u w:val="none"/>
          <w:lang w:val="en-US"/>
        </w:rPr>
      </w:pPr>
      <w:r>
        <w:rPr>
          <w:rFonts w:hint="eastAsia"/>
          <w:color w:val="auto"/>
          <w:highlight w:val="none"/>
          <w:u w:val="none"/>
          <w:lang w:val="en-US"/>
        </w:rPr>
        <w:t>DNT储罐火灾爆炸</w:t>
      </w:r>
    </w:p>
    <w:p w14:paraId="1C86275C">
      <w:pPr>
        <w:widowControl/>
        <w:rPr>
          <w:rFonts w:hint="eastAsia"/>
          <w:color w:val="auto"/>
          <w:highlight w:val="none"/>
          <w:u w:val="none"/>
          <w:lang w:val="en-US"/>
        </w:rPr>
      </w:pPr>
      <w:r>
        <w:rPr>
          <w:rFonts w:hint="eastAsia"/>
          <w:color w:val="auto"/>
          <w:highlight w:val="none"/>
          <w:u w:val="none"/>
          <w:lang w:val="en-US"/>
        </w:rPr>
        <w:t>根据资料可知，本项目设置2个60</w:t>
      </w:r>
      <w:r>
        <w:rPr>
          <w:rFonts w:hint="eastAsia"/>
          <w:color w:val="auto"/>
          <w:highlight w:val="none"/>
          <w:u w:val="none"/>
          <w:lang w:val="en-US" w:eastAsia="zh-CN"/>
        </w:rPr>
        <w:t>0</w:t>
      </w:r>
      <w:r>
        <w:rPr>
          <w:rFonts w:hint="eastAsia"/>
          <w:color w:val="auto"/>
          <w:highlight w:val="none"/>
          <w:u w:val="none"/>
          <w:lang w:val="en-US"/>
        </w:rPr>
        <w:t>m</w:t>
      </w:r>
      <w:r>
        <w:rPr>
          <w:rFonts w:hAnsi="Times New Roman"/>
          <w:color w:val="auto"/>
          <w:highlight w:val="none"/>
          <w:u w:val="none"/>
          <w:lang w:val="en-US"/>
        </w:rPr>
        <w:t>³</w:t>
      </w:r>
      <w:r>
        <w:rPr>
          <w:rFonts w:hint="eastAsia" w:hAnsi="Times New Roman"/>
          <w:color w:val="auto"/>
          <w:highlight w:val="none"/>
          <w:u w:val="none"/>
          <w:lang w:val="en-US"/>
        </w:rPr>
        <w:t xml:space="preserve"> </w:t>
      </w:r>
      <w:r>
        <w:rPr>
          <w:rFonts w:hint="eastAsia"/>
          <w:color w:val="auto"/>
          <w:highlight w:val="none"/>
          <w:u w:val="none"/>
          <w:lang w:val="en-US"/>
        </w:rPr>
        <w:t>DNT储罐，在线储存量为520.1t量，单个储罐储量为260t。</w:t>
      </w:r>
    </w:p>
    <w:p w14:paraId="37032313">
      <w:pPr>
        <w:widowControl/>
        <w:ind w:firstLine="482"/>
        <w:rPr>
          <w:rFonts w:hint="eastAsia"/>
          <w:b/>
          <w:color w:val="auto"/>
          <w:highlight w:val="none"/>
          <w:u w:val="none"/>
          <w:lang w:val="en-US"/>
        </w:rPr>
      </w:pPr>
      <w:r>
        <w:rPr>
          <w:rFonts w:hint="eastAsia"/>
          <w:b/>
          <w:color w:val="auto"/>
          <w:highlight w:val="none"/>
          <w:u w:val="none"/>
          <w:lang w:val="en-US"/>
        </w:rPr>
        <w:t>火灾伴生/次生污染物产生量估算：</w:t>
      </w:r>
    </w:p>
    <w:p w14:paraId="712C4148">
      <w:pPr>
        <w:widowControl/>
        <w:rPr>
          <w:rFonts w:hint="eastAsia"/>
          <w:bCs/>
          <w:color w:val="auto"/>
          <w:highlight w:val="none"/>
          <w:u w:val="none"/>
        </w:rPr>
      </w:pPr>
      <w:r>
        <w:rPr>
          <w:bCs/>
          <w:color w:val="auto"/>
          <w:highlight w:val="none"/>
          <w:u w:val="none"/>
        </w:rPr>
        <w:t>根据</w:t>
      </w:r>
      <w:r>
        <w:rPr>
          <w:rFonts w:hint="eastAsia"/>
          <w:bCs/>
          <w:color w:val="auto"/>
          <w:highlight w:val="none"/>
          <w:u w:val="none"/>
        </w:rPr>
        <w:t>物质</w:t>
      </w:r>
      <w:r>
        <w:rPr>
          <w:bCs/>
          <w:color w:val="auto"/>
          <w:highlight w:val="none"/>
          <w:u w:val="none"/>
        </w:rPr>
        <w:t>的性质，泄漏后处理不当可能引发火灾和爆炸</w:t>
      </w:r>
      <w:r>
        <w:rPr>
          <w:rFonts w:hint="eastAsia"/>
          <w:bCs/>
          <w:color w:val="auto"/>
          <w:highlight w:val="none"/>
          <w:u w:val="none"/>
        </w:rPr>
        <w:t>，主要产物为二氧化碳、水、不完全燃烧产物一氧化碳等，主要伴生/次生污染物为一氧化碳。根据</w:t>
      </w:r>
      <w:r>
        <w:rPr>
          <w:bCs/>
          <w:color w:val="auto"/>
          <w:highlight w:val="none"/>
          <w:u w:val="none"/>
        </w:rPr>
        <w:t>《建设项目环境风险评价技术导则》</w:t>
      </w:r>
      <w:r>
        <w:rPr>
          <w:color w:val="auto"/>
          <w:highlight w:val="none"/>
          <w:u w:val="none"/>
        </w:rPr>
        <w:t>（HJ169-2018）</w:t>
      </w:r>
      <w:r>
        <w:rPr>
          <w:bCs/>
          <w:color w:val="auto"/>
          <w:highlight w:val="none"/>
          <w:u w:val="none"/>
        </w:rPr>
        <w:t>中火灾伴生事故一氧化碳产生量计算方法如下：</w:t>
      </w:r>
    </w:p>
    <w:p w14:paraId="3C46D4E3">
      <w:pPr>
        <w:widowControl/>
        <w:jc w:val="center"/>
        <w:rPr>
          <w:rFonts w:hint="eastAsia"/>
          <w:bCs/>
          <w:color w:val="auto"/>
          <w:highlight w:val="none"/>
          <w:u w:val="none"/>
        </w:rPr>
      </w:pPr>
      <w:r>
        <w:rPr>
          <w:bCs/>
          <w:color w:val="auto"/>
          <w:highlight w:val="none"/>
          <w:u w:val="none"/>
        </w:rPr>
        <w:t>G</w:t>
      </w:r>
      <w:r>
        <w:rPr>
          <w:rFonts w:hint="eastAsia"/>
          <w:bCs/>
          <w:color w:val="auto"/>
          <w:highlight w:val="none"/>
          <w:u w:val="none"/>
          <w:vertAlign w:val="subscript"/>
        </w:rPr>
        <w:t>一氧化碳</w:t>
      </w:r>
      <w:r>
        <w:rPr>
          <w:bCs/>
          <w:color w:val="auto"/>
          <w:highlight w:val="none"/>
          <w:u w:val="none"/>
        </w:rPr>
        <w:t>=2</w:t>
      </w:r>
      <w:r>
        <w:rPr>
          <w:rFonts w:hint="eastAsia"/>
          <w:bCs/>
          <w:color w:val="auto"/>
          <w:highlight w:val="none"/>
          <w:u w:val="none"/>
        </w:rPr>
        <w:t>330</w:t>
      </w:r>
      <w:r>
        <w:rPr>
          <w:bCs/>
          <w:color w:val="auto"/>
          <w:highlight w:val="none"/>
          <w:u w:val="none"/>
        </w:rPr>
        <w:t>qCQ</w:t>
      </w:r>
    </w:p>
    <w:p w14:paraId="20B410D8">
      <w:pPr>
        <w:widowControl/>
        <w:rPr>
          <w:rFonts w:hint="eastAsia"/>
          <w:bCs/>
          <w:color w:val="auto"/>
          <w:highlight w:val="none"/>
          <w:u w:val="none"/>
        </w:rPr>
      </w:pPr>
      <w:r>
        <w:rPr>
          <w:rFonts w:hint="eastAsia"/>
          <w:bCs/>
          <w:color w:val="auto"/>
          <w:highlight w:val="none"/>
          <w:u w:val="none"/>
        </w:rPr>
        <w:t>式中：G</w:t>
      </w:r>
      <w:r>
        <w:rPr>
          <w:rFonts w:hint="eastAsia"/>
          <w:bCs/>
          <w:color w:val="auto"/>
          <w:highlight w:val="none"/>
          <w:u w:val="none"/>
          <w:vertAlign w:val="subscript"/>
        </w:rPr>
        <w:t>一氧化碳</w:t>
      </w:r>
      <w:r>
        <w:rPr>
          <w:rFonts w:hint="eastAsia"/>
          <w:bCs/>
          <w:color w:val="auto"/>
          <w:highlight w:val="none"/>
          <w:u w:val="none"/>
        </w:rPr>
        <w:t>——一氧化碳的产生量，kg/s；</w:t>
      </w:r>
    </w:p>
    <w:p w14:paraId="53257CC7">
      <w:pPr>
        <w:widowControl/>
        <w:ind w:firstLine="1200" w:firstLineChars="500"/>
        <w:rPr>
          <w:rFonts w:hint="eastAsia"/>
          <w:bCs/>
          <w:color w:val="auto"/>
          <w:highlight w:val="none"/>
          <w:u w:val="none"/>
        </w:rPr>
      </w:pPr>
      <w:r>
        <w:rPr>
          <w:rFonts w:hint="eastAsia"/>
          <w:bCs/>
          <w:color w:val="auto"/>
          <w:highlight w:val="none"/>
          <w:u w:val="none"/>
        </w:rPr>
        <w:t>C——物质中碳的含量，为</w:t>
      </w:r>
      <w:r>
        <w:rPr>
          <w:rFonts w:hint="eastAsia"/>
          <w:bCs/>
          <w:color w:val="auto"/>
          <w:highlight w:val="none"/>
          <w:u w:val="none"/>
          <w:lang w:val="en-US"/>
        </w:rPr>
        <w:t>46</w:t>
      </w:r>
      <w:r>
        <w:rPr>
          <w:rFonts w:hint="eastAsia"/>
          <w:bCs/>
          <w:color w:val="auto"/>
          <w:highlight w:val="none"/>
          <w:u w:val="none"/>
        </w:rPr>
        <w:t>%；</w:t>
      </w:r>
    </w:p>
    <w:p w14:paraId="6804D94A">
      <w:pPr>
        <w:widowControl/>
        <w:ind w:firstLine="1200" w:firstLineChars="500"/>
        <w:rPr>
          <w:rFonts w:hint="eastAsia"/>
          <w:bCs/>
          <w:color w:val="auto"/>
          <w:highlight w:val="none"/>
          <w:u w:val="none"/>
        </w:rPr>
      </w:pPr>
      <w:r>
        <w:rPr>
          <w:rFonts w:hint="eastAsia"/>
          <w:bCs/>
          <w:color w:val="auto"/>
          <w:highlight w:val="none"/>
          <w:u w:val="none"/>
        </w:rPr>
        <w:t>q——化学不完全燃烧值，取1.5%~6.0%，本项目取6.0%；</w:t>
      </w:r>
    </w:p>
    <w:p w14:paraId="10643169">
      <w:pPr>
        <w:widowControl/>
        <w:ind w:firstLine="1200" w:firstLineChars="500"/>
        <w:rPr>
          <w:rFonts w:hint="eastAsia"/>
          <w:bCs/>
          <w:color w:val="auto"/>
          <w:highlight w:val="none"/>
          <w:u w:val="none"/>
        </w:rPr>
      </w:pPr>
      <w:r>
        <w:rPr>
          <w:rFonts w:hint="eastAsia"/>
          <w:bCs/>
          <w:color w:val="auto"/>
          <w:highlight w:val="none"/>
          <w:u w:val="none"/>
        </w:rPr>
        <w:t>Q——参与燃烧的物质量，t/s，假定罐区内</w:t>
      </w:r>
      <w:r>
        <w:rPr>
          <w:rFonts w:hint="eastAsia"/>
          <w:bCs/>
          <w:color w:val="auto"/>
          <w:highlight w:val="none"/>
          <w:u w:val="none"/>
          <w:lang w:val="en-US"/>
        </w:rPr>
        <w:t>1个DNT储罐发生爆炸，</w:t>
      </w:r>
      <w:r>
        <w:rPr>
          <w:rFonts w:hint="eastAsia"/>
          <w:bCs/>
          <w:color w:val="auto"/>
          <w:highlight w:val="none"/>
          <w:u w:val="none"/>
        </w:rPr>
        <w:t>储存的</w:t>
      </w:r>
      <w:r>
        <w:rPr>
          <w:rFonts w:hint="eastAsia"/>
          <w:bCs/>
          <w:color w:val="auto"/>
          <w:highlight w:val="none"/>
          <w:u w:val="none"/>
          <w:lang w:val="en-US"/>
        </w:rPr>
        <w:t>260</w:t>
      </w:r>
      <w:r>
        <w:rPr>
          <w:rFonts w:hint="eastAsia"/>
          <w:bCs/>
          <w:color w:val="auto"/>
          <w:highlight w:val="none"/>
          <w:u w:val="none"/>
        </w:rPr>
        <w:t>t可燃有机物质60min内燃烧完，则为0.0</w:t>
      </w:r>
      <w:r>
        <w:rPr>
          <w:rFonts w:hint="eastAsia"/>
          <w:bCs/>
          <w:color w:val="auto"/>
          <w:highlight w:val="none"/>
          <w:u w:val="none"/>
          <w:lang w:val="en-US"/>
        </w:rPr>
        <w:t>72</w:t>
      </w:r>
      <w:r>
        <w:rPr>
          <w:rFonts w:hint="eastAsia"/>
          <w:bCs/>
          <w:color w:val="auto"/>
          <w:highlight w:val="none"/>
          <w:u w:val="none"/>
        </w:rPr>
        <w:t>t/s。</w:t>
      </w:r>
    </w:p>
    <w:p w14:paraId="3814FD84">
      <w:pPr>
        <w:widowControl/>
        <w:rPr>
          <w:rFonts w:hint="eastAsia"/>
          <w:bCs/>
          <w:color w:val="auto"/>
          <w:highlight w:val="none"/>
          <w:u w:val="none"/>
        </w:rPr>
      </w:pPr>
      <w:r>
        <w:rPr>
          <w:rFonts w:hint="eastAsia"/>
          <w:bCs/>
          <w:color w:val="auto"/>
          <w:highlight w:val="none"/>
          <w:u w:val="none"/>
        </w:rPr>
        <w:t>经计算，CO的产生量如下</w:t>
      </w:r>
      <w:r>
        <w:rPr>
          <w:bCs/>
          <w:color w:val="auto"/>
          <w:highlight w:val="none"/>
          <w:u w:val="none"/>
          <w:lang w:val="en-US"/>
        </w:rPr>
        <w:fldChar w:fldCharType="begin"/>
      </w:r>
      <w:r>
        <w:rPr>
          <w:bCs/>
          <w:color w:val="auto"/>
          <w:highlight w:val="none"/>
          <w:u w:val="none"/>
        </w:rPr>
        <w:instrText xml:space="preserve"> </w:instrText>
      </w:r>
      <w:r>
        <w:rPr>
          <w:rFonts w:hint="eastAsia"/>
          <w:bCs/>
          <w:color w:val="auto"/>
          <w:highlight w:val="none"/>
          <w:u w:val="none"/>
        </w:rPr>
        <w:instrText xml:space="preserve">REF _Ref149248695 \h</w:instrText>
      </w:r>
      <w:r>
        <w:rPr>
          <w:bCs/>
          <w:color w:val="auto"/>
          <w:highlight w:val="none"/>
          <w:u w:val="none"/>
        </w:rPr>
        <w:instrText xml:space="preserve"> </w:instrText>
      </w:r>
      <w:r>
        <w:rPr>
          <w:bCs/>
          <w:color w:val="auto"/>
          <w:highlight w:val="none"/>
          <w:u w:val="none"/>
          <w:lang w:val="en-US"/>
        </w:rPr>
        <w:instrText xml:space="preserve"> \* MERGEFORMAT </w:instrText>
      </w:r>
      <w:r>
        <w:rPr>
          <w:bCs/>
          <w:color w:val="auto"/>
          <w:highlight w:val="none"/>
          <w:u w:val="none"/>
          <w:lang w:val="en-US"/>
        </w:rPr>
        <w:fldChar w:fldCharType="separate"/>
      </w:r>
      <w:r>
        <w:rPr>
          <w:bCs/>
          <w:color w:val="auto"/>
          <w:highlight w:val="none"/>
          <w:u w:val="none"/>
        </w:rPr>
        <w:t>表 9.6</w:t>
      </w:r>
      <w:r>
        <w:rPr>
          <w:bCs/>
          <w:color w:val="auto"/>
          <w:highlight w:val="none"/>
          <w:u w:val="none"/>
        </w:rPr>
        <w:noBreakHyphen/>
      </w:r>
      <w:r>
        <w:rPr>
          <w:bCs/>
          <w:color w:val="auto"/>
          <w:highlight w:val="none"/>
          <w:u w:val="none"/>
        </w:rPr>
        <w:t>5</w:t>
      </w:r>
      <w:r>
        <w:rPr>
          <w:bCs/>
          <w:color w:val="auto"/>
          <w:highlight w:val="none"/>
          <w:u w:val="none"/>
          <w:lang w:val="en-US"/>
        </w:rPr>
        <w:fldChar w:fldCharType="end"/>
      </w:r>
      <w:r>
        <w:rPr>
          <w:rFonts w:hint="eastAsia"/>
          <w:bCs/>
          <w:color w:val="auto"/>
          <w:highlight w:val="none"/>
          <w:u w:val="none"/>
        </w:rPr>
        <w:t>所示：</w:t>
      </w:r>
    </w:p>
    <w:p w14:paraId="0ED17E90">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5</w:t>
      </w:r>
      <w:r>
        <w:rPr>
          <w:color w:val="auto"/>
          <w:highlight w:val="none"/>
          <w:u w:val="none"/>
        </w:rPr>
        <w:fldChar w:fldCharType="end"/>
      </w:r>
      <w:r>
        <w:rPr>
          <w:rFonts w:hint="eastAsia"/>
          <w:color w:val="auto"/>
          <w:highlight w:val="none"/>
          <w:u w:val="none"/>
        </w:rPr>
        <w:t xml:space="preserve">  </w:t>
      </w:r>
      <w:r>
        <w:rPr>
          <w:color w:val="auto"/>
          <w:highlight w:val="none"/>
          <w:u w:val="none"/>
        </w:rPr>
        <w:t>DNT储罐火灾爆炸</w:t>
      </w:r>
      <w:r>
        <w:rPr>
          <w:rFonts w:hint="eastAsia"/>
          <w:color w:val="auto"/>
          <w:highlight w:val="none"/>
          <w:u w:val="none"/>
        </w:rPr>
        <w:t>CO的产生量一览表</w:t>
      </w:r>
    </w:p>
    <w:tbl>
      <w:tblPr>
        <w:tblStyle w:val="5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959"/>
        <w:gridCol w:w="2397"/>
        <w:gridCol w:w="2743"/>
      </w:tblGrid>
      <w:tr w14:paraId="020EC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75" w:type="pct"/>
            <w:vAlign w:val="center"/>
          </w:tcPr>
          <w:p w14:paraId="526C5D59">
            <w:pPr>
              <w:pStyle w:val="92"/>
              <w:rPr>
                <w:color w:val="auto"/>
                <w:highlight w:val="none"/>
                <w:u w:val="none"/>
              </w:rPr>
            </w:pPr>
            <w:r>
              <w:rPr>
                <w:color w:val="auto"/>
                <w:highlight w:val="none"/>
                <w:u w:val="none"/>
              </w:rPr>
              <w:t>事故名称</w:t>
            </w:r>
          </w:p>
        </w:tc>
        <w:tc>
          <w:tcPr>
            <w:tcW w:w="1317" w:type="pct"/>
            <w:vAlign w:val="center"/>
          </w:tcPr>
          <w:p w14:paraId="7CD49D6C">
            <w:pPr>
              <w:pStyle w:val="92"/>
              <w:rPr>
                <w:color w:val="auto"/>
                <w:highlight w:val="none"/>
                <w:u w:val="none"/>
              </w:rPr>
            </w:pPr>
            <w:r>
              <w:rPr>
                <w:color w:val="auto"/>
                <w:highlight w:val="none"/>
                <w:u w:val="none"/>
              </w:rPr>
              <w:t>化学物质</w:t>
            </w:r>
          </w:p>
        </w:tc>
        <w:tc>
          <w:tcPr>
            <w:tcW w:w="1507" w:type="pct"/>
            <w:vAlign w:val="center"/>
          </w:tcPr>
          <w:p w14:paraId="714073B1">
            <w:pPr>
              <w:pStyle w:val="92"/>
              <w:rPr>
                <w:color w:val="auto"/>
                <w:highlight w:val="none"/>
                <w:u w:val="none"/>
              </w:rPr>
            </w:pPr>
            <w:r>
              <w:rPr>
                <w:bCs/>
                <w:color w:val="auto"/>
                <w:highlight w:val="none"/>
                <w:u w:val="none"/>
              </w:rPr>
              <w:t>G</w:t>
            </w:r>
            <w:r>
              <w:rPr>
                <w:bCs/>
                <w:color w:val="auto"/>
                <w:highlight w:val="none"/>
                <w:u w:val="none"/>
                <w:vertAlign w:val="subscript"/>
              </w:rPr>
              <w:t>一氧化碳</w:t>
            </w:r>
          </w:p>
        </w:tc>
      </w:tr>
      <w:tr w14:paraId="03985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175" w:type="pct"/>
            <w:vAlign w:val="center"/>
          </w:tcPr>
          <w:p w14:paraId="45C6B225">
            <w:pPr>
              <w:pStyle w:val="92"/>
              <w:rPr>
                <w:color w:val="auto"/>
                <w:highlight w:val="none"/>
                <w:u w:val="none"/>
              </w:rPr>
            </w:pPr>
            <w:r>
              <w:rPr>
                <w:color w:val="auto"/>
                <w:highlight w:val="none"/>
                <w:u w:val="none"/>
              </w:rPr>
              <w:t>罐区发生火灾爆炸事故</w:t>
            </w:r>
          </w:p>
        </w:tc>
        <w:tc>
          <w:tcPr>
            <w:tcW w:w="1317" w:type="pct"/>
            <w:vAlign w:val="center"/>
          </w:tcPr>
          <w:p w14:paraId="30AB8A7E">
            <w:pPr>
              <w:pStyle w:val="92"/>
              <w:rPr>
                <w:color w:val="auto"/>
                <w:highlight w:val="none"/>
                <w:u w:val="none"/>
              </w:rPr>
            </w:pPr>
          </w:p>
        </w:tc>
        <w:tc>
          <w:tcPr>
            <w:tcW w:w="1507" w:type="pct"/>
            <w:vAlign w:val="center"/>
          </w:tcPr>
          <w:p w14:paraId="1F93C050">
            <w:pPr>
              <w:pStyle w:val="92"/>
              <w:rPr>
                <w:color w:val="auto"/>
                <w:highlight w:val="none"/>
                <w:u w:val="none"/>
              </w:rPr>
            </w:pPr>
          </w:p>
        </w:tc>
      </w:tr>
    </w:tbl>
    <w:p w14:paraId="653642C0">
      <w:pPr>
        <w:pStyle w:val="4"/>
        <w:spacing w:before="120" w:after="120"/>
        <w:rPr>
          <w:color w:val="auto"/>
          <w:highlight w:val="none"/>
          <w:u w:val="none"/>
          <w:lang w:val="en-US"/>
        </w:rPr>
      </w:pPr>
      <w:bookmarkStart w:id="625" w:name="_Toc3636"/>
      <w:bookmarkStart w:id="626" w:name="_Toc12799"/>
      <w:r>
        <w:rPr>
          <w:rFonts w:hint="eastAsia"/>
          <w:color w:val="auto"/>
          <w:highlight w:val="none"/>
          <w:u w:val="none"/>
          <w:lang w:val="en-US"/>
        </w:rPr>
        <w:t>气相毒物危害预测结果</w:t>
      </w:r>
      <w:bookmarkEnd w:id="625"/>
      <w:bookmarkEnd w:id="626"/>
    </w:p>
    <w:p w14:paraId="010ECC83">
      <w:pPr>
        <w:pStyle w:val="5"/>
        <w:ind w:firstLine="480"/>
        <w:rPr>
          <w:rFonts w:hint="eastAsia"/>
          <w:color w:val="auto"/>
          <w:highlight w:val="none"/>
          <w:u w:val="none"/>
        </w:rPr>
      </w:pPr>
    </w:p>
    <w:p w14:paraId="37D5B1A0">
      <w:pPr>
        <w:pStyle w:val="5"/>
        <w:ind w:firstLine="480"/>
        <w:rPr>
          <w:rFonts w:hint="eastAsia"/>
          <w:color w:val="auto"/>
          <w:highlight w:val="none"/>
          <w:u w:val="none"/>
        </w:rPr>
      </w:pPr>
    </w:p>
    <w:p w14:paraId="0E6AE138">
      <w:pPr>
        <w:pStyle w:val="5"/>
        <w:ind w:firstLine="480"/>
        <w:rPr>
          <w:rFonts w:hint="eastAsia"/>
          <w:color w:val="auto"/>
          <w:highlight w:val="none"/>
          <w:u w:val="none"/>
        </w:rPr>
      </w:pPr>
    </w:p>
    <w:bookmarkEnd w:id="621"/>
    <w:bookmarkEnd w:id="622"/>
    <w:bookmarkEnd w:id="623"/>
    <w:bookmarkEnd w:id="624"/>
    <w:p w14:paraId="4DF2E873">
      <w:pPr>
        <w:pStyle w:val="6"/>
        <w:spacing w:before="120" w:after="120"/>
        <w:rPr>
          <w:color w:val="auto"/>
          <w:highlight w:val="none"/>
          <w:u w:val="none"/>
          <w:lang w:val="en-US"/>
        </w:rPr>
      </w:pPr>
      <w:bookmarkStart w:id="627" w:name="_Toc148374666"/>
      <w:bookmarkStart w:id="628" w:name="_Toc148375108"/>
      <w:r>
        <w:rPr>
          <w:rFonts w:hint="eastAsia"/>
          <w:color w:val="auto"/>
          <w:highlight w:val="none"/>
          <w:u w:val="none"/>
          <w:lang w:val="en-US"/>
        </w:rPr>
        <w:t>预测参数</w:t>
      </w:r>
      <w:bookmarkEnd w:id="627"/>
      <w:bookmarkEnd w:id="628"/>
    </w:p>
    <w:p w14:paraId="5A0C08CC">
      <w:pPr>
        <w:rPr>
          <w:rFonts w:hint="eastAsia"/>
          <w:color w:val="auto"/>
          <w:highlight w:val="none"/>
          <w:u w:val="none"/>
          <w:lang w:val="en-US"/>
        </w:rPr>
      </w:pPr>
      <w:bookmarkStart w:id="629" w:name="OLE_LINK28"/>
      <w:r>
        <w:rPr>
          <w:rFonts w:hint="eastAsia"/>
          <w:color w:val="auto"/>
          <w:highlight w:val="none"/>
          <w:u w:val="none"/>
          <w:lang w:val="en-US"/>
        </w:rPr>
        <w:t>根据《建设项目环境风险评价技术导则》（HJ169-2018）附录G。大气风险预测参数表详见下表，其中常见气象条件由</w:t>
      </w:r>
      <w:r>
        <w:rPr>
          <w:color w:val="auto"/>
          <w:highlight w:val="none"/>
          <w:u w:val="none"/>
        </w:rPr>
        <w:t>EIApro</w:t>
      </w:r>
      <w:r>
        <w:rPr>
          <w:rFonts w:hint="eastAsia"/>
          <w:color w:val="auto"/>
          <w:highlight w:val="none"/>
          <w:u w:val="none"/>
        </w:rPr>
        <w:t>A</w:t>
      </w:r>
      <w:r>
        <w:rPr>
          <w:rFonts w:hint="eastAsia"/>
          <w:color w:val="auto"/>
          <w:highlight w:val="none"/>
          <w:u w:val="none"/>
          <w:lang w:val="en-US"/>
        </w:rPr>
        <w:t>2018通过区域全年逐日逐时气象条件筛选</w:t>
      </w:r>
      <w:bookmarkEnd w:id="629"/>
      <w:r>
        <w:rPr>
          <w:rFonts w:hint="eastAsia"/>
          <w:color w:val="auto"/>
          <w:highlight w:val="none"/>
          <w:u w:val="none"/>
          <w:lang w:val="en-US"/>
        </w:rPr>
        <w:t>。</w:t>
      </w:r>
    </w:p>
    <w:p w14:paraId="40D83DEE">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9.6</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r>
        <w:rPr>
          <w:color w:val="auto"/>
          <w:highlight w:val="none"/>
          <w:u w:val="none"/>
        </w:rPr>
        <w:t xml:space="preserve">  大气风险预测模型主要参数表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15" w:type="dxa"/>
          <w:left w:w="108" w:type="dxa"/>
          <w:bottom w:w="15" w:type="dxa"/>
          <w:right w:w="108" w:type="dxa"/>
        </w:tblCellMar>
      </w:tblPr>
      <w:tblGrid>
        <w:gridCol w:w="1267"/>
        <w:gridCol w:w="2330"/>
        <w:gridCol w:w="2976"/>
        <w:gridCol w:w="2714"/>
      </w:tblGrid>
      <w:tr w14:paraId="61B9C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Align w:val="center"/>
          </w:tcPr>
          <w:p w14:paraId="0C623422">
            <w:pPr>
              <w:pStyle w:val="92"/>
              <w:rPr>
                <w:color w:val="auto"/>
                <w:highlight w:val="none"/>
                <w:u w:val="none"/>
              </w:rPr>
            </w:pPr>
            <w:r>
              <w:rPr>
                <w:color w:val="auto"/>
                <w:highlight w:val="none"/>
                <w:u w:val="none"/>
              </w:rPr>
              <w:t>参数类型</w:t>
            </w:r>
          </w:p>
        </w:tc>
        <w:tc>
          <w:tcPr>
            <w:tcW w:w="1254" w:type="pct"/>
            <w:vAlign w:val="center"/>
          </w:tcPr>
          <w:p w14:paraId="5467C6CA">
            <w:pPr>
              <w:pStyle w:val="92"/>
              <w:rPr>
                <w:color w:val="auto"/>
                <w:highlight w:val="none"/>
                <w:u w:val="none"/>
              </w:rPr>
            </w:pPr>
            <w:r>
              <w:rPr>
                <w:color w:val="auto"/>
                <w:highlight w:val="none"/>
                <w:u w:val="none"/>
              </w:rPr>
              <w:t>选项</w:t>
            </w:r>
          </w:p>
        </w:tc>
        <w:tc>
          <w:tcPr>
            <w:tcW w:w="3063" w:type="pct"/>
            <w:gridSpan w:val="2"/>
            <w:vAlign w:val="center"/>
          </w:tcPr>
          <w:p w14:paraId="79E33D1F">
            <w:pPr>
              <w:pStyle w:val="92"/>
              <w:rPr>
                <w:color w:val="auto"/>
                <w:highlight w:val="none"/>
                <w:u w:val="none"/>
              </w:rPr>
            </w:pPr>
            <w:r>
              <w:rPr>
                <w:color w:val="auto"/>
                <w:highlight w:val="none"/>
                <w:u w:val="none"/>
              </w:rPr>
              <w:t>参数</w:t>
            </w:r>
          </w:p>
        </w:tc>
      </w:tr>
      <w:tr w14:paraId="20AAE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restart"/>
            <w:vAlign w:val="center"/>
          </w:tcPr>
          <w:p w14:paraId="515E9C21">
            <w:pPr>
              <w:pStyle w:val="92"/>
              <w:rPr>
                <w:color w:val="auto"/>
                <w:highlight w:val="none"/>
                <w:u w:val="none"/>
              </w:rPr>
            </w:pPr>
            <w:r>
              <w:rPr>
                <w:color w:val="auto"/>
                <w:highlight w:val="none"/>
                <w:u w:val="none"/>
              </w:rPr>
              <w:t>气象参数</w:t>
            </w:r>
          </w:p>
        </w:tc>
        <w:tc>
          <w:tcPr>
            <w:tcW w:w="1254" w:type="pct"/>
            <w:vAlign w:val="center"/>
          </w:tcPr>
          <w:p w14:paraId="56A61225">
            <w:pPr>
              <w:pStyle w:val="92"/>
              <w:rPr>
                <w:color w:val="auto"/>
                <w:highlight w:val="none"/>
                <w:u w:val="none"/>
              </w:rPr>
            </w:pPr>
            <w:r>
              <w:rPr>
                <w:color w:val="auto"/>
                <w:highlight w:val="none"/>
                <w:u w:val="none"/>
              </w:rPr>
              <w:t>气象条件类型</w:t>
            </w:r>
          </w:p>
        </w:tc>
        <w:tc>
          <w:tcPr>
            <w:tcW w:w="1602" w:type="pct"/>
            <w:vAlign w:val="center"/>
          </w:tcPr>
          <w:p w14:paraId="184BC32B">
            <w:pPr>
              <w:pStyle w:val="92"/>
              <w:rPr>
                <w:color w:val="auto"/>
                <w:highlight w:val="none"/>
                <w:u w:val="none"/>
              </w:rPr>
            </w:pPr>
            <w:r>
              <w:rPr>
                <w:color w:val="auto"/>
                <w:highlight w:val="none"/>
                <w:u w:val="none"/>
              </w:rPr>
              <w:t>（1）最不利气象</w:t>
            </w:r>
          </w:p>
        </w:tc>
        <w:tc>
          <w:tcPr>
            <w:tcW w:w="1460" w:type="pct"/>
            <w:vAlign w:val="center"/>
          </w:tcPr>
          <w:p w14:paraId="5E07ED28">
            <w:pPr>
              <w:pStyle w:val="92"/>
              <w:rPr>
                <w:color w:val="auto"/>
                <w:highlight w:val="none"/>
                <w:u w:val="none"/>
              </w:rPr>
            </w:pPr>
            <w:r>
              <w:rPr>
                <w:color w:val="auto"/>
                <w:highlight w:val="none"/>
                <w:u w:val="none"/>
              </w:rPr>
              <w:t>（2）最常见气象</w:t>
            </w:r>
          </w:p>
        </w:tc>
      </w:tr>
      <w:tr w14:paraId="53BC0C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4949A9A2">
            <w:pPr>
              <w:pStyle w:val="92"/>
              <w:rPr>
                <w:color w:val="auto"/>
                <w:highlight w:val="none"/>
                <w:u w:val="none"/>
              </w:rPr>
            </w:pPr>
            <w:bookmarkStart w:id="630" w:name="OLE_LINK29" w:colFirst="2" w:colLast="2"/>
          </w:p>
        </w:tc>
        <w:tc>
          <w:tcPr>
            <w:tcW w:w="1254" w:type="pct"/>
            <w:vAlign w:val="center"/>
          </w:tcPr>
          <w:p w14:paraId="72C266C7">
            <w:pPr>
              <w:pStyle w:val="92"/>
              <w:rPr>
                <w:color w:val="auto"/>
                <w:highlight w:val="none"/>
                <w:u w:val="none"/>
              </w:rPr>
            </w:pPr>
            <w:r>
              <w:rPr>
                <w:color w:val="auto"/>
                <w:highlight w:val="none"/>
                <w:u w:val="none"/>
              </w:rPr>
              <w:t xml:space="preserve">风速/(m/s) </w:t>
            </w:r>
          </w:p>
        </w:tc>
        <w:tc>
          <w:tcPr>
            <w:tcW w:w="1602" w:type="pct"/>
            <w:vAlign w:val="center"/>
          </w:tcPr>
          <w:p w14:paraId="0EF407BC">
            <w:pPr>
              <w:pStyle w:val="92"/>
              <w:rPr>
                <w:color w:val="auto"/>
                <w:highlight w:val="none"/>
                <w:u w:val="none"/>
              </w:rPr>
            </w:pPr>
            <w:r>
              <w:rPr>
                <w:color w:val="auto"/>
                <w:highlight w:val="none"/>
                <w:u w:val="none"/>
              </w:rPr>
              <w:t>1.5</w:t>
            </w:r>
          </w:p>
        </w:tc>
        <w:tc>
          <w:tcPr>
            <w:tcW w:w="1460" w:type="pct"/>
            <w:vAlign w:val="center"/>
          </w:tcPr>
          <w:p w14:paraId="51F5DE6E">
            <w:pPr>
              <w:pStyle w:val="92"/>
              <w:rPr>
                <w:color w:val="auto"/>
                <w:highlight w:val="none"/>
                <w:u w:val="none"/>
              </w:rPr>
            </w:pPr>
            <w:r>
              <w:rPr>
                <w:color w:val="auto"/>
                <w:highlight w:val="none"/>
                <w:u w:val="none"/>
              </w:rPr>
              <w:t>5.</w:t>
            </w:r>
            <w:r>
              <w:rPr>
                <w:rFonts w:hint="eastAsia"/>
                <w:color w:val="auto"/>
                <w:highlight w:val="none"/>
                <w:u w:val="none"/>
              </w:rPr>
              <w:t>34</w:t>
            </w:r>
          </w:p>
        </w:tc>
      </w:tr>
      <w:tr w14:paraId="218DE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316440CD">
            <w:pPr>
              <w:pStyle w:val="92"/>
              <w:rPr>
                <w:color w:val="auto"/>
                <w:highlight w:val="none"/>
                <w:u w:val="none"/>
              </w:rPr>
            </w:pPr>
          </w:p>
        </w:tc>
        <w:tc>
          <w:tcPr>
            <w:tcW w:w="1254" w:type="pct"/>
            <w:vAlign w:val="center"/>
          </w:tcPr>
          <w:p w14:paraId="5DB93092">
            <w:pPr>
              <w:pStyle w:val="92"/>
              <w:rPr>
                <w:color w:val="auto"/>
                <w:highlight w:val="none"/>
                <w:u w:val="none"/>
              </w:rPr>
            </w:pPr>
            <w:r>
              <w:rPr>
                <w:color w:val="auto"/>
                <w:highlight w:val="none"/>
                <w:u w:val="none"/>
              </w:rPr>
              <w:t>环境温度/℃</w:t>
            </w:r>
          </w:p>
        </w:tc>
        <w:tc>
          <w:tcPr>
            <w:tcW w:w="1602" w:type="pct"/>
            <w:vAlign w:val="center"/>
          </w:tcPr>
          <w:p w14:paraId="79BA445C">
            <w:pPr>
              <w:pStyle w:val="92"/>
              <w:rPr>
                <w:color w:val="auto"/>
                <w:highlight w:val="none"/>
                <w:u w:val="none"/>
              </w:rPr>
            </w:pPr>
            <w:r>
              <w:rPr>
                <w:color w:val="auto"/>
                <w:highlight w:val="none"/>
                <w:u w:val="none"/>
              </w:rPr>
              <w:t>25</w:t>
            </w:r>
          </w:p>
        </w:tc>
        <w:tc>
          <w:tcPr>
            <w:tcW w:w="1460" w:type="pct"/>
            <w:vAlign w:val="center"/>
          </w:tcPr>
          <w:p w14:paraId="3D568A9A">
            <w:pPr>
              <w:pStyle w:val="92"/>
              <w:rPr>
                <w:color w:val="auto"/>
                <w:highlight w:val="none"/>
                <w:u w:val="none"/>
              </w:rPr>
            </w:pPr>
            <w:r>
              <w:rPr>
                <w:rFonts w:hint="eastAsia"/>
                <w:color w:val="auto"/>
                <w:highlight w:val="none"/>
                <w:u w:val="none"/>
              </w:rPr>
              <w:t>20.47</w:t>
            </w:r>
          </w:p>
        </w:tc>
      </w:tr>
      <w:tr w14:paraId="194A9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7D101CDE">
            <w:pPr>
              <w:pStyle w:val="92"/>
              <w:rPr>
                <w:color w:val="auto"/>
                <w:highlight w:val="none"/>
                <w:u w:val="none"/>
              </w:rPr>
            </w:pPr>
          </w:p>
        </w:tc>
        <w:tc>
          <w:tcPr>
            <w:tcW w:w="1254" w:type="pct"/>
            <w:vAlign w:val="center"/>
          </w:tcPr>
          <w:p w14:paraId="0FAE8A7D">
            <w:pPr>
              <w:pStyle w:val="92"/>
              <w:rPr>
                <w:color w:val="auto"/>
                <w:highlight w:val="none"/>
                <w:u w:val="none"/>
              </w:rPr>
            </w:pPr>
            <w:r>
              <w:rPr>
                <w:color w:val="auto"/>
                <w:highlight w:val="none"/>
                <w:u w:val="none"/>
              </w:rPr>
              <w:t xml:space="preserve">相对湿度/% </w:t>
            </w:r>
          </w:p>
        </w:tc>
        <w:tc>
          <w:tcPr>
            <w:tcW w:w="1602" w:type="pct"/>
            <w:vAlign w:val="center"/>
          </w:tcPr>
          <w:p w14:paraId="52ECAD27">
            <w:pPr>
              <w:pStyle w:val="92"/>
              <w:rPr>
                <w:color w:val="auto"/>
                <w:highlight w:val="none"/>
                <w:u w:val="none"/>
              </w:rPr>
            </w:pPr>
            <w:r>
              <w:rPr>
                <w:color w:val="auto"/>
                <w:highlight w:val="none"/>
                <w:u w:val="none"/>
              </w:rPr>
              <w:t>50</w:t>
            </w:r>
          </w:p>
        </w:tc>
        <w:tc>
          <w:tcPr>
            <w:tcW w:w="1460" w:type="pct"/>
            <w:vAlign w:val="center"/>
          </w:tcPr>
          <w:p w14:paraId="608FB59E">
            <w:pPr>
              <w:pStyle w:val="92"/>
              <w:rPr>
                <w:color w:val="auto"/>
                <w:highlight w:val="none"/>
                <w:u w:val="none"/>
              </w:rPr>
            </w:pPr>
            <w:r>
              <w:rPr>
                <w:color w:val="auto"/>
                <w:highlight w:val="none"/>
                <w:u w:val="none"/>
              </w:rPr>
              <w:t>76.71</w:t>
            </w:r>
          </w:p>
        </w:tc>
      </w:tr>
      <w:tr w14:paraId="2FE781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0512CF0D">
            <w:pPr>
              <w:pStyle w:val="92"/>
              <w:rPr>
                <w:color w:val="auto"/>
                <w:highlight w:val="none"/>
                <w:u w:val="none"/>
              </w:rPr>
            </w:pPr>
          </w:p>
        </w:tc>
        <w:tc>
          <w:tcPr>
            <w:tcW w:w="1254" w:type="pct"/>
            <w:vAlign w:val="center"/>
          </w:tcPr>
          <w:p w14:paraId="2BB7ED32">
            <w:pPr>
              <w:pStyle w:val="92"/>
              <w:rPr>
                <w:color w:val="auto"/>
                <w:highlight w:val="none"/>
                <w:u w:val="none"/>
              </w:rPr>
            </w:pPr>
            <w:r>
              <w:rPr>
                <w:color w:val="auto"/>
                <w:highlight w:val="none"/>
                <w:u w:val="none"/>
              </w:rPr>
              <w:t>稳定度</w:t>
            </w:r>
          </w:p>
        </w:tc>
        <w:tc>
          <w:tcPr>
            <w:tcW w:w="1602" w:type="pct"/>
            <w:vAlign w:val="center"/>
          </w:tcPr>
          <w:p w14:paraId="0CD95D2A">
            <w:pPr>
              <w:pStyle w:val="92"/>
              <w:rPr>
                <w:color w:val="auto"/>
                <w:highlight w:val="none"/>
                <w:u w:val="none"/>
              </w:rPr>
            </w:pPr>
            <w:r>
              <w:rPr>
                <w:color w:val="auto"/>
                <w:highlight w:val="none"/>
                <w:u w:val="none"/>
              </w:rPr>
              <w:t>F</w:t>
            </w:r>
          </w:p>
        </w:tc>
        <w:tc>
          <w:tcPr>
            <w:tcW w:w="1460" w:type="pct"/>
            <w:vAlign w:val="center"/>
          </w:tcPr>
          <w:p w14:paraId="558E355B">
            <w:pPr>
              <w:pStyle w:val="92"/>
              <w:rPr>
                <w:color w:val="auto"/>
                <w:highlight w:val="none"/>
                <w:u w:val="none"/>
              </w:rPr>
            </w:pPr>
            <w:r>
              <w:rPr>
                <w:color w:val="auto"/>
                <w:highlight w:val="none"/>
                <w:u w:val="none"/>
              </w:rPr>
              <w:t>D</w:t>
            </w:r>
          </w:p>
        </w:tc>
      </w:tr>
      <w:bookmarkEnd w:id="630"/>
      <w:tr w14:paraId="345FC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restart"/>
            <w:vAlign w:val="center"/>
          </w:tcPr>
          <w:p w14:paraId="2960FFA7">
            <w:pPr>
              <w:pStyle w:val="92"/>
              <w:rPr>
                <w:color w:val="auto"/>
                <w:highlight w:val="none"/>
                <w:u w:val="none"/>
              </w:rPr>
            </w:pPr>
            <w:r>
              <w:rPr>
                <w:color w:val="auto"/>
                <w:highlight w:val="none"/>
                <w:u w:val="none"/>
              </w:rPr>
              <w:t>其他参数</w:t>
            </w:r>
          </w:p>
        </w:tc>
        <w:tc>
          <w:tcPr>
            <w:tcW w:w="1254" w:type="pct"/>
            <w:vAlign w:val="center"/>
          </w:tcPr>
          <w:p w14:paraId="23162266">
            <w:pPr>
              <w:pStyle w:val="92"/>
              <w:rPr>
                <w:color w:val="auto"/>
                <w:highlight w:val="none"/>
                <w:u w:val="none"/>
              </w:rPr>
            </w:pPr>
            <w:r>
              <w:rPr>
                <w:color w:val="auto"/>
                <w:highlight w:val="none"/>
                <w:u w:val="none"/>
              </w:rPr>
              <w:t>地表粗糙度/m</w:t>
            </w:r>
          </w:p>
        </w:tc>
        <w:tc>
          <w:tcPr>
            <w:tcW w:w="3063" w:type="pct"/>
            <w:gridSpan w:val="2"/>
            <w:vAlign w:val="center"/>
          </w:tcPr>
          <w:p w14:paraId="24BF3050">
            <w:pPr>
              <w:pStyle w:val="92"/>
              <w:rPr>
                <w:color w:val="auto"/>
                <w:highlight w:val="none"/>
                <w:u w:val="none"/>
              </w:rPr>
            </w:pPr>
            <w:r>
              <w:rPr>
                <w:color w:val="auto"/>
                <w:highlight w:val="none"/>
                <w:u w:val="none"/>
              </w:rPr>
              <w:t>1.0</w:t>
            </w:r>
          </w:p>
        </w:tc>
      </w:tr>
      <w:tr w14:paraId="4A49A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21CAFA55">
            <w:pPr>
              <w:pStyle w:val="92"/>
              <w:rPr>
                <w:color w:val="auto"/>
                <w:highlight w:val="none"/>
                <w:u w:val="none"/>
              </w:rPr>
            </w:pPr>
          </w:p>
        </w:tc>
        <w:tc>
          <w:tcPr>
            <w:tcW w:w="1254" w:type="pct"/>
            <w:vAlign w:val="center"/>
          </w:tcPr>
          <w:p w14:paraId="609513C5">
            <w:pPr>
              <w:pStyle w:val="92"/>
              <w:rPr>
                <w:color w:val="auto"/>
                <w:highlight w:val="none"/>
                <w:u w:val="none"/>
              </w:rPr>
            </w:pPr>
            <w:r>
              <w:rPr>
                <w:color w:val="auto"/>
                <w:highlight w:val="none"/>
                <w:u w:val="none"/>
              </w:rPr>
              <w:t>是否考虑地形</w:t>
            </w:r>
          </w:p>
        </w:tc>
        <w:tc>
          <w:tcPr>
            <w:tcW w:w="3063" w:type="pct"/>
            <w:gridSpan w:val="2"/>
            <w:vAlign w:val="center"/>
          </w:tcPr>
          <w:p w14:paraId="79D2AF5B">
            <w:pPr>
              <w:pStyle w:val="92"/>
              <w:rPr>
                <w:color w:val="auto"/>
                <w:highlight w:val="none"/>
                <w:u w:val="none"/>
              </w:rPr>
            </w:pPr>
            <w:r>
              <w:rPr>
                <w:color w:val="auto"/>
                <w:highlight w:val="none"/>
                <w:u w:val="none"/>
              </w:rPr>
              <w:t>否</w:t>
            </w:r>
          </w:p>
        </w:tc>
      </w:tr>
      <w:tr w14:paraId="32FAA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08" w:type="dxa"/>
            <w:bottom w:w="15" w:type="dxa"/>
            <w:right w:w="108" w:type="dxa"/>
          </w:tblCellMar>
        </w:tblPrEx>
        <w:trPr>
          <w:trHeight w:val="340" w:hRule="atLeast"/>
          <w:jc w:val="center"/>
        </w:trPr>
        <w:tc>
          <w:tcPr>
            <w:tcW w:w="682" w:type="pct"/>
            <w:vMerge w:val="continue"/>
            <w:vAlign w:val="center"/>
          </w:tcPr>
          <w:p w14:paraId="30B531D9">
            <w:pPr>
              <w:pStyle w:val="92"/>
              <w:rPr>
                <w:color w:val="auto"/>
                <w:highlight w:val="none"/>
                <w:u w:val="none"/>
              </w:rPr>
            </w:pPr>
          </w:p>
        </w:tc>
        <w:tc>
          <w:tcPr>
            <w:tcW w:w="1254" w:type="pct"/>
            <w:vAlign w:val="center"/>
          </w:tcPr>
          <w:p w14:paraId="27B5DAB5">
            <w:pPr>
              <w:pStyle w:val="92"/>
              <w:rPr>
                <w:color w:val="auto"/>
                <w:highlight w:val="none"/>
                <w:u w:val="none"/>
              </w:rPr>
            </w:pPr>
            <w:r>
              <w:rPr>
                <w:color w:val="auto"/>
                <w:highlight w:val="none"/>
                <w:u w:val="none"/>
              </w:rPr>
              <w:t xml:space="preserve">地形数据精度/m </w:t>
            </w:r>
          </w:p>
        </w:tc>
        <w:tc>
          <w:tcPr>
            <w:tcW w:w="3063" w:type="pct"/>
            <w:gridSpan w:val="2"/>
            <w:vAlign w:val="center"/>
          </w:tcPr>
          <w:p w14:paraId="1732F669">
            <w:pPr>
              <w:pStyle w:val="92"/>
              <w:rPr>
                <w:color w:val="auto"/>
                <w:highlight w:val="none"/>
                <w:u w:val="none"/>
              </w:rPr>
            </w:pPr>
            <w:r>
              <w:rPr>
                <w:color w:val="auto"/>
                <w:highlight w:val="none"/>
                <w:u w:val="none"/>
              </w:rPr>
              <w:t>/</w:t>
            </w:r>
          </w:p>
        </w:tc>
      </w:tr>
    </w:tbl>
    <w:p w14:paraId="6906FEE5">
      <w:pPr>
        <w:pStyle w:val="6"/>
        <w:spacing w:before="120" w:after="120"/>
        <w:rPr>
          <w:color w:val="auto"/>
          <w:highlight w:val="none"/>
          <w:u w:val="none"/>
        </w:rPr>
      </w:pPr>
      <w:bookmarkStart w:id="631" w:name="_Toc148375109"/>
      <w:bookmarkStart w:id="632" w:name="_Toc148374667"/>
      <w:r>
        <w:rPr>
          <w:rFonts w:hint="eastAsia"/>
          <w:color w:val="auto"/>
          <w:highlight w:val="none"/>
          <w:u w:val="none"/>
        </w:rPr>
        <w:t>光气反应器光气泄漏预测结果</w:t>
      </w:r>
      <w:bookmarkEnd w:id="631"/>
      <w:bookmarkEnd w:id="632"/>
    </w:p>
    <w:p w14:paraId="7A4581B4">
      <w:pPr>
        <w:rPr>
          <w:rFonts w:hint="eastAsia"/>
          <w:color w:val="auto"/>
          <w:highlight w:val="none"/>
          <w:u w:val="none"/>
        </w:rPr>
      </w:pPr>
      <w:r>
        <w:rPr>
          <w:color w:val="auto"/>
          <w:highlight w:val="none"/>
          <w:u w:val="none"/>
        </w:rPr>
        <w:t>根据EIApro</w:t>
      </w:r>
      <w:r>
        <w:rPr>
          <w:rFonts w:hint="eastAsia"/>
          <w:color w:val="auto"/>
          <w:highlight w:val="none"/>
          <w:u w:val="none"/>
        </w:rPr>
        <w:t>A</w:t>
      </w:r>
      <w:r>
        <w:rPr>
          <w:color w:val="auto"/>
          <w:highlight w:val="none"/>
          <w:u w:val="none"/>
        </w:rPr>
        <w:t>2018预测软件理查德森数估算可知，理查德森数Ri=2.</w:t>
      </w:r>
      <w:r>
        <w:rPr>
          <w:rFonts w:hint="eastAsia"/>
          <w:color w:val="auto"/>
          <w:highlight w:val="none"/>
          <w:u w:val="none"/>
          <w:lang w:val="en-US"/>
        </w:rPr>
        <w:t>2717</w:t>
      </w:r>
      <w:r>
        <w:rPr>
          <w:color w:val="auto"/>
          <w:highlight w:val="none"/>
          <w:u w:val="none"/>
        </w:rPr>
        <w:t>，Ri≥1/6，为重质气体。扩散计算建议采用SLAB模式。</w:t>
      </w:r>
    </w:p>
    <w:p w14:paraId="69FB6146">
      <w:pPr>
        <w:pStyle w:val="7"/>
        <w:spacing w:before="120"/>
        <w:rPr>
          <w:color w:val="auto"/>
          <w:highlight w:val="none"/>
          <w:u w:val="none"/>
        </w:rPr>
      </w:pPr>
      <w:r>
        <w:rPr>
          <w:color w:val="auto"/>
          <w:highlight w:val="none"/>
          <w:u w:val="none"/>
        </w:rPr>
        <w:t>下风向最远距离、不同距离处最大浓度及对应半宽</w:t>
      </w:r>
    </w:p>
    <w:p w14:paraId="5193CFE6">
      <w:pPr>
        <w:rPr>
          <w:rFonts w:hint="eastAsia"/>
          <w:color w:val="auto"/>
          <w:highlight w:val="none"/>
          <w:u w:val="none"/>
        </w:rPr>
      </w:pPr>
      <w:r>
        <w:rPr>
          <w:rFonts w:hint="eastAsia"/>
          <w:color w:val="auto"/>
          <w:highlight w:val="none"/>
          <w:u w:val="none"/>
          <w:lang w:val="en-US"/>
        </w:rPr>
        <w:t>1）</w:t>
      </w:r>
      <w:r>
        <w:rPr>
          <w:color w:val="auto"/>
          <w:highlight w:val="none"/>
          <w:u w:val="none"/>
        </w:rPr>
        <w:t>采用SLAB模型进行进一步预测计算可知，最不利气象条件（预测气象条件为F类稳定度、1.5m/s风速、温度25℃、相对湿度50%）时，毒性终点浓度-1</w:t>
      </w:r>
      <w:r>
        <w:rPr>
          <w:rFonts w:hint="eastAsia"/>
          <w:color w:val="auto"/>
          <w:highlight w:val="none"/>
          <w:u w:val="none"/>
        </w:rPr>
        <w:t>（</w:t>
      </w:r>
      <w:r>
        <w:rPr>
          <w:color w:val="auto"/>
          <w:highlight w:val="none"/>
          <w:u w:val="none"/>
        </w:rPr>
        <w:t>3mg/m</w:t>
      </w:r>
      <w:r>
        <w:rPr>
          <w:rFonts w:hAnsi="Times New Roman"/>
          <w:color w:val="auto"/>
          <w:highlight w:val="none"/>
          <w:u w:val="none"/>
        </w:rPr>
        <w:t>³</w:t>
      </w:r>
      <w:r>
        <w:rPr>
          <w:rFonts w:hint="eastAsia"/>
          <w:color w:val="auto"/>
          <w:highlight w:val="none"/>
          <w:u w:val="none"/>
        </w:rPr>
        <w:t>）</w:t>
      </w:r>
      <w:r>
        <w:rPr>
          <w:color w:val="auto"/>
          <w:highlight w:val="none"/>
          <w:u w:val="none"/>
        </w:rPr>
        <w:t>、毒性终点浓度-2</w:t>
      </w:r>
      <w:r>
        <w:rPr>
          <w:rFonts w:hint="eastAsia"/>
          <w:color w:val="auto"/>
          <w:highlight w:val="none"/>
          <w:u w:val="none"/>
        </w:rPr>
        <w:t>（</w:t>
      </w:r>
      <w:r>
        <w:rPr>
          <w:color w:val="auto"/>
          <w:highlight w:val="none"/>
          <w:u w:val="none"/>
        </w:rPr>
        <w:t>1.2mg/m</w:t>
      </w:r>
      <w:r>
        <w:rPr>
          <w:rFonts w:hAnsi="Times New Roman"/>
          <w:color w:val="auto"/>
          <w:highlight w:val="none"/>
          <w:u w:val="none"/>
        </w:rPr>
        <w:t>³</w:t>
      </w:r>
      <w:r>
        <w:rPr>
          <w:rFonts w:hint="eastAsia"/>
          <w:color w:val="auto"/>
          <w:highlight w:val="none"/>
          <w:u w:val="none"/>
        </w:rPr>
        <w:t>）</w:t>
      </w:r>
      <w:r>
        <w:rPr>
          <w:color w:val="auto"/>
          <w:highlight w:val="none"/>
          <w:u w:val="none"/>
        </w:rPr>
        <w:t>对应的下风向最远距离分别为</w:t>
      </w:r>
      <w:r>
        <w:rPr>
          <w:rFonts w:hint="eastAsia"/>
          <w:color w:val="auto"/>
          <w:highlight w:val="none"/>
          <w:u w:val="none"/>
          <w:lang w:val="en-US"/>
        </w:rPr>
        <w:t>1680</w:t>
      </w:r>
      <w:r>
        <w:rPr>
          <w:color w:val="auto"/>
          <w:highlight w:val="none"/>
          <w:u w:val="none"/>
        </w:rPr>
        <w:t>m、</w:t>
      </w:r>
      <w:r>
        <w:rPr>
          <w:rFonts w:hint="eastAsia"/>
          <w:color w:val="auto"/>
          <w:highlight w:val="none"/>
          <w:u w:val="none"/>
          <w:lang w:val="en-US"/>
        </w:rPr>
        <w:t>3000</w:t>
      </w:r>
      <w:r>
        <w:rPr>
          <w:color w:val="auto"/>
          <w:highlight w:val="none"/>
          <w:u w:val="none"/>
        </w:rPr>
        <w:t>m。毒性终点浓度-1</w:t>
      </w:r>
      <w:r>
        <w:rPr>
          <w:rFonts w:hint="eastAsia"/>
          <w:color w:val="auto"/>
          <w:highlight w:val="none"/>
          <w:u w:val="none"/>
        </w:rPr>
        <w:t>（</w:t>
      </w:r>
      <w:r>
        <w:rPr>
          <w:color w:val="auto"/>
          <w:highlight w:val="none"/>
          <w:u w:val="none"/>
        </w:rPr>
        <w:t>3mg/m</w:t>
      </w:r>
      <w:r>
        <w:rPr>
          <w:rFonts w:hAnsi="Times New Roman"/>
          <w:color w:val="auto"/>
          <w:highlight w:val="none"/>
          <w:u w:val="none"/>
        </w:rPr>
        <w:t>³</w:t>
      </w:r>
      <w:r>
        <w:rPr>
          <w:rFonts w:hint="eastAsia"/>
          <w:color w:val="auto"/>
          <w:highlight w:val="none"/>
          <w:u w:val="none"/>
        </w:rPr>
        <w:t>）</w:t>
      </w:r>
      <w:r>
        <w:rPr>
          <w:color w:val="auto"/>
          <w:highlight w:val="none"/>
          <w:u w:val="none"/>
        </w:rPr>
        <w:t>对应的最大半宽为</w:t>
      </w:r>
      <w:r>
        <w:rPr>
          <w:rFonts w:hint="eastAsia"/>
          <w:color w:val="auto"/>
          <w:highlight w:val="none"/>
          <w:u w:val="none"/>
          <w:lang w:val="en-US"/>
        </w:rPr>
        <w:t>164</w:t>
      </w:r>
      <w:r>
        <w:rPr>
          <w:color w:val="auto"/>
          <w:highlight w:val="none"/>
          <w:u w:val="none"/>
        </w:rPr>
        <w:t>m，出现在</w:t>
      </w:r>
      <w:r>
        <w:rPr>
          <w:rFonts w:hint="eastAsia"/>
          <w:color w:val="auto"/>
          <w:highlight w:val="none"/>
          <w:u w:val="none"/>
          <w:lang w:val="en-US"/>
        </w:rPr>
        <w:t>30.23</w:t>
      </w:r>
      <w:r>
        <w:rPr>
          <w:color w:val="auto"/>
          <w:highlight w:val="none"/>
          <w:u w:val="none"/>
        </w:rPr>
        <w:t>min、距污染物质泄漏点</w:t>
      </w:r>
      <w:r>
        <w:rPr>
          <w:rFonts w:hint="eastAsia"/>
          <w:color w:val="auto"/>
          <w:highlight w:val="none"/>
          <w:u w:val="none"/>
          <w:lang w:val="en-US"/>
        </w:rPr>
        <w:t>1610</w:t>
      </w:r>
      <w:r>
        <w:rPr>
          <w:color w:val="auto"/>
          <w:highlight w:val="none"/>
          <w:u w:val="none"/>
        </w:rPr>
        <w:t>m处</w:t>
      </w:r>
      <w:r>
        <w:rPr>
          <w:rFonts w:hint="eastAsia"/>
          <w:color w:val="auto"/>
          <w:highlight w:val="none"/>
          <w:u w:val="none"/>
          <w:lang w:val="en-US"/>
        </w:rPr>
        <w:t>；</w:t>
      </w:r>
      <w:r>
        <w:rPr>
          <w:color w:val="auto"/>
          <w:highlight w:val="none"/>
          <w:u w:val="none"/>
        </w:rPr>
        <w:t>毒性终点浓度-2(1.2mg/m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252</w:t>
      </w:r>
      <w:r>
        <w:rPr>
          <w:color w:val="auto"/>
          <w:highlight w:val="none"/>
          <w:u w:val="none"/>
        </w:rPr>
        <w:t>m，出现在</w:t>
      </w:r>
      <w:r>
        <w:rPr>
          <w:rFonts w:hint="eastAsia"/>
          <w:color w:val="auto"/>
          <w:highlight w:val="none"/>
          <w:u w:val="none"/>
          <w:lang w:val="en-US"/>
        </w:rPr>
        <w:t>44.11</w:t>
      </w:r>
      <w:r>
        <w:rPr>
          <w:color w:val="auto"/>
          <w:highlight w:val="none"/>
          <w:u w:val="none"/>
        </w:rPr>
        <w:t>min、距污染物质泄漏点</w:t>
      </w:r>
      <w:r>
        <w:rPr>
          <w:rFonts w:hint="eastAsia"/>
          <w:color w:val="auto"/>
          <w:highlight w:val="none"/>
          <w:u w:val="none"/>
          <w:lang w:val="en-US"/>
        </w:rPr>
        <w:t>2930</w:t>
      </w:r>
      <w:r>
        <w:rPr>
          <w:color w:val="auto"/>
          <w:highlight w:val="none"/>
          <w:u w:val="none"/>
        </w:rPr>
        <w:t>m处。下风向最大浓度为</w:t>
      </w:r>
      <w:r>
        <w:rPr>
          <w:rFonts w:hint="eastAsia"/>
          <w:color w:val="auto"/>
          <w:highlight w:val="none"/>
          <w:u w:val="none"/>
          <w:lang w:val="en-US"/>
        </w:rPr>
        <w:t>1087.0</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5.22</w:t>
      </w:r>
      <w:r>
        <w:rPr>
          <w:color w:val="auto"/>
          <w:highlight w:val="none"/>
          <w:u w:val="none"/>
        </w:rPr>
        <w:t>min、距污染物质泄漏点</w:t>
      </w:r>
      <w:r>
        <w:rPr>
          <w:rFonts w:hint="eastAsia"/>
          <w:color w:val="auto"/>
          <w:highlight w:val="none"/>
          <w:u w:val="none"/>
          <w:lang w:val="en-US"/>
        </w:rPr>
        <w:t>1</w:t>
      </w:r>
      <w:r>
        <w:rPr>
          <w:color w:val="auto"/>
          <w:highlight w:val="none"/>
          <w:u w:val="none"/>
        </w:rPr>
        <w:t>0m处。</w:t>
      </w:r>
    </w:p>
    <w:p w14:paraId="45EA6CBF">
      <w:pPr>
        <w:rPr>
          <w:rFonts w:hint="eastAsia"/>
          <w:color w:val="auto"/>
          <w:highlight w:val="none"/>
          <w:u w:val="none"/>
        </w:rPr>
      </w:pPr>
      <w:r>
        <w:rPr>
          <w:rFonts w:hint="eastAsia"/>
          <w:color w:val="auto"/>
          <w:highlight w:val="none"/>
          <w:u w:val="none"/>
          <w:lang w:val="en-US"/>
        </w:rPr>
        <w:t>2）</w:t>
      </w:r>
      <w:r>
        <w:rPr>
          <w:color w:val="auto"/>
          <w:highlight w:val="none"/>
          <w:u w:val="none"/>
        </w:rPr>
        <w:t>最常见气象条件（预测气象条件为D类稳定度、5.</w:t>
      </w:r>
      <w:r>
        <w:rPr>
          <w:rFonts w:hint="eastAsia"/>
          <w:color w:val="auto"/>
          <w:highlight w:val="none"/>
          <w:u w:val="none"/>
          <w:lang w:val="en-US"/>
        </w:rPr>
        <w:t>34</w:t>
      </w:r>
      <w:r>
        <w:rPr>
          <w:color w:val="auto"/>
          <w:highlight w:val="none"/>
          <w:u w:val="none"/>
        </w:rPr>
        <w:t>m/s风速、温度</w:t>
      </w:r>
      <w:r>
        <w:rPr>
          <w:rFonts w:hint="eastAsia"/>
          <w:color w:val="auto"/>
          <w:highlight w:val="none"/>
          <w:u w:val="none"/>
          <w:lang w:val="en-US"/>
        </w:rPr>
        <w:t>20</w:t>
      </w:r>
      <w:r>
        <w:rPr>
          <w:color w:val="auto"/>
          <w:highlight w:val="none"/>
          <w:u w:val="none"/>
        </w:rPr>
        <w:t>.</w:t>
      </w:r>
      <w:r>
        <w:rPr>
          <w:rFonts w:hint="eastAsia"/>
          <w:color w:val="auto"/>
          <w:highlight w:val="none"/>
          <w:u w:val="none"/>
          <w:lang w:val="en-US"/>
        </w:rPr>
        <w:t>47</w:t>
      </w:r>
      <w:r>
        <w:rPr>
          <w:color w:val="auto"/>
          <w:highlight w:val="none"/>
          <w:u w:val="none"/>
        </w:rPr>
        <w:t>℃、相对湿度76.71%）时，毒性终点浓度-1(3mg/m</w:t>
      </w:r>
      <w:r>
        <w:rPr>
          <w:rFonts w:hAnsi="Times New Roman"/>
          <w:color w:val="auto"/>
          <w:highlight w:val="none"/>
          <w:u w:val="none"/>
        </w:rPr>
        <w:t>³</w:t>
      </w:r>
      <w:r>
        <w:rPr>
          <w:color w:val="auto"/>
          <w:highlight w:val="none"/>
          <w:u w:val="none"/>
        </w:rPr>
        <w:t>)、毒性终点浓度-2(1.2mg/m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280</w:t>
      </w:r>
      <w:r>
        <w:rPr>
          <w:color w:val="auto"/>
          <w:highlight w:val="none"/>
          <w:u w:val="none"/>
        </w:rPr>
        <w:t>m、</w:t>
      </w:r>
      <w:r>
        <w:rPr>
          <w:rFonts w:hint="eastAsia"/>
          <w:color w:val="auto"/>
          <w:highlight w:val="none"/>
          <w:u w:val="none"/>
          <w:lang w:val="en-US"/>
        </w:rPr>
        <w:t>480</w:t>
      </w:r>
      <w:r>
        <w:rPr>
          <w:color w:val="auto"/>
          <w:highlight w:val="none"/>
          <w:u w:val="none"/>
        </w:rPr>
        <w:t>m。毒性终点浓度-1(3mg/m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16</w:t>
      </w:r>
      <w:r>
        <w:rPr>
          <w:color w:val="auto"/>
          <w:highlight w:val="none"/>
          <w:u w:val="none"/>
        </w:rPr>
        <w:t>m，出现在</w:t>
      </w:r>
      <w:r>
        <w:rPr>
          <w:rFonts w:hint="eastAsia"/>
          <w:color w:val="auto"/>
          <w:highlight w:val="none"/>
          <w:u w:val="none"/>
          <w:lang w:val="en-US"/>
        </w:rPr>
        <w:t>5.32</w:t>
      </w:r>
      <w:r>
        <w:rPr>
          <w:color w:val="auto"/>
          <w:highlight w:val="none"/>
          <w:u w:val="none"/>
        </w:rPr>
        <w:t>min、距污染物质泄漏点</w:t>
      </w:r>
      <w:r>
        <w:rPr>
          <w:rFonts w:hint="eastAsia"/>
          <w:color w:val="auto"/>
          <w:highlight w:val="none"/>
          <w:u w:val="none"/>
          <w:lang w:val="en-US"/>
        </w:rPr>
        <w:t>130</w:t>
      </w:r>
      <w:r>
        <w:rPr>
          <w:color w:val="auto"/>
          <w:highlight w:val="none"/>
          <w:u w:val="none"/>
        </w:rPr>
        <w:t>m处；毒性终点浓度-2(1.2mg/m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28</w:t>
      </w:r>
      <w:r>
        <w:rPr>
          <w:color w:val="auto"/>
          <w:highlight w:val="none"/>
          <w:u w:val="none"/>
        </w:rPr>
        <w:t>m，出现在</w:t>
      </w:r>
      <w:r>
        <w:rPr>
          <w:rFonts w:hint="eastAsia"/>
          <w:color w:val="auto"/>
          <w:highlight w:val="none"/>
          <w:u w:val="none"/>
          <w:lang w:val="en-US"/>
        </w:rPr>
        <w:t>5.64</w:t>
      </w:r>
      <w:r>
        <w:rPr>
          <w:color w:val="auto"/>
          <w:highlight w:val="none"/>
          <w:u w:val="none"/>
        </w:rPr>
        <w:t>min、距污染物质泄漏点</w:t>
      </w:r>
      <w:r>
        <w:rPr>
          <w:rFonts w:hint="eastAsia"/>
          <w:color w:val="auto"/>
          <w:highlight w:val="none"/>
          <w:u w:val="none"/>
          <w:lang w:val="en-US"/>
        </w:rPr>
        <w:t>260</w:t>
      </w:r>
      <w:r>
        <w:rPr>
          <w:color w:val="auto"/>
          <w:highlight w:val="none"/>
          <w:u w:val="none"/>
        </w:rPr>
        <w:t>m处。下风向最大浓度为</w:t>
      </w:r>
      <w:r>
        <w:rPr>
          <w:rFonts w:hint="eastAsia"/>
          <w:color w:val="auto"/>
          <w:highlight w:val="none"/>
          <w:u w:val="none"/>
          <w:lang w:val="en-US"/>
        </w:rPr>
        <w:t>565.03</w:t>
      </w:r>
      <w:r>
        <w:rPr>
          <w:color w:val="auto"/>
          <w:highlight w:val="none"/>
          <w:u w:val="none"/>
        </w:rPr>
        <w:t>mg/m</w:t>
      </w:r>
      <w:r>
        <w:rPr>
          <w:color w:val="auto"/>
          <w:highlight w:val="none"/>
          <w:u w:val="none"/>
          <w:vertAlign w:val="superscript"/>
        </w:rPr>
        <w:t>3</w:t>
      </w:r>
      <w:r>
        <w:rPr>
          <w:color w:val="auto"/>
          <w:highlight w:val="none"/>
          <w:u w:val="none"/>
        </w:rPr>
        <w:t>，出现在5.02min、距污染物质泄漏点10m处。</w:t>
      </w:r>
    </w:p>
    <w:p w14:paraId="53EA908A">
      <w:pPr>
        <w:pStyle w:val="7"/>
        <w:spacing w:before="120"/>
        <w:rPr>
          <w:color w:val="auto"/>
          <w:highlight w:val="none"/>
          <w:u w:val="none"/>
        </w:rPr>
      </w:pPr>
      <w:bookmarkStart w:id="633" w:name="OLE_LINK4"/>
      <w:r>
        <w:rPr>
          <w:color w:val="auto"/>
          <w:highlight w:val="none"/>
          <w:u w:val="none"/>
        </w:rPr>
        <w:t>各关心点有毒有害气体大气伤害概率估算</w:t>
      </w:r>
    </w:p>
    <w:p w14:paraId="0D33B11B">
      <w:pPr>
        <w:rPr>
          <w:rFonts w:hint="eastAsia"/>
          <w:color w:val="auto"/>
          <w:highlight w:val="none"/>
          <w:u w:val="none"/>
        </w:rPr>
      </w:pPr>
      <w:r>
        <w:rPr>
          <w:color w:val="auto"/>
          <w:highlight w:val="none"/>
          <w:u w:val="none"/>
        </w:rPr>
        <w:t>光气发生10mm孔径泄漏，泄漏持续时间10min，在最不利气象条件下，各关心点的光气最大浓度为</w:t>
      </w:r>
      <w:r>
        <w:rPr>
          <w:rFonts w:hint="eastAsia"/>
          <w:color w:val="auto"/>
          <w:highlight w:val="none"/>
          <w:u w:val="none"/>
          <w:lang w:val="en-US"/>
        </w:rPr>
        <w:t>8.19</w:t>
      </w:r>
      <w:r>
        <w:rPr>
          <w:color w:val="auto"/>
          <w:highlight w:val="none"/>
          <w:u w:val="none"/>
        </w:rPr>
        <w:t>mg/m</w:t>
      </w:r>
      <w:r>
        <w:rPr>
          <w:rFonts w:hAnsi="Times New Roman"/>
          <w:color w:val="auto"/>
          <w:highlight w:val="none"/>
          <w:u w:val="none"/>
        </w:rPr>
        <w:t>³</w:t>
      </w:r>
      <w:r>
        <w:rPr>
          <w:color w:val="auto"/>
          <w:highlight w:val="none"/>
          <w:u w:val="none"/>
        </w:rPr>
        <w:t>，出现在东江水厂，超过1.2mg/m</w:t>
      </w:r>
      <w:r>
        <w:rPr>
          <w:rFonts w:hAnsi="Times New Roman"/>
          <w:color w:val="auto"/>
          <w:highlight w:val="none"/>
          <w:u w:val="none"/>
        </w:rPr>
        <w:t>³</w:t>
      </w:r>
      <w:r>
        <w:rPr>
          <w:color w:val="auto"/>
          <w:highlight w:val="none"/>
          <w:u w:val="none"/>
        </w:rPr>
        <w:t>浓度持续时间</w:t>
      </w:r>
      <w:r>
        <w:rPr>
          <w:rFonts w:hint="eastAsia"/>
          <w:color w:val="auto"/>
          <w:highlight w:val="none"/>
          <w:u w:val="none"/>
          <w:lang w:val="en-US"/>
        </w:rPr>
        <w:t>30</w:t>
      </w:r>
      <w:r>
        <w:rPr>
          <w:color w:val="auto"/>
          <w:highlight w:val="none"/>
          <w:u w:val="none"/>
        </w:rPr>
        <w:t>min，根据《建设项目环境风险评价技术导则》（HJ169-2018）附录I的公式计算，最大浓度点东江水厂中间量Y=</w:t>
      </w:r>
      <w:r>
        <w:rPr>
          <w:rFonts w:hint="eastAsia"/>
          <w:color w:val="auto"/>
          <w:highlight w:val="none"/>
          <w:u w:val="none"/>
          <w:lang w:val="en-US"/>
        </w:rPr>
        <w:t>0.41</w:t>
      </w:r>
      <w:r>
        <w:rPr>
          <w:color w:val="auto"/>
          <w:highlight w:val="none"/>
          <w:u w:val="none"/>
        </w:rPr>
        <w:t>，大气伤害概率PE（%）为0.00，可见，不利气象条件下各关心点光气急性死亡概率为0。常见气象条件下，各关心点的光气最大浓度为0.</w:t>
      </w:r>
      <w:r>
        <w:rPr>
          <w:rFonts w:hint="eastAsia"/>
          <w:color w:val="auto"/>
          <w:highlight w:val="none"/>
          <w:u w:val="none"/>
          <w:lang w:val="en-US"/>
        </w:rPr>
        <w:t>65</w:t>
      </w:r>
      <w:r>
        <w:rPr>
          <w:color w:val="auto"/>
          <w:highlight w:val="none"/>
          <w:u w:val="none"/>
        </w:rPr>
        <w:t>mg/m</w:t>
      </w:r>
      <w:r>
        <w:rPr>
          <w:rFonts w:hAnsi="Times New Roman"/>
          <w:color w:val="auto"/>
          <w:highlight w:val="none"/>
          <w:u w:val="none"/>
        </w:rPr>
        <w:t>³</w:t>
      </w:r>
      <w:r>
        <w:rPr>
          <w:color w:val="auto"/>
          <w:highlight w:val="none"/>
          <w:u w:val="none"/>
        </w:rPr>
        <w:t>，未超过毒性终点浓度-1和毒性终点浓度-2；常见气象条件下各关心点光气急性死亡概率为0。</w:t>
      </w:r>
      <w:bookmarkEnd w:id="633"/>
    </w:p>
    <w:p w14:paraId="00831D33">
      <w:pPr>
        <w:pStyle w:val="7"/>
        <w:spacing w:before="120"/>
        <w:rPr>
          <w:color w:val="auto"/>
          <w:highlight w:val="none"/>
          <w:u w:val="none"/>
        </w:rPr>
      </w:pPr>
      <w:r>
        <w:rPr>
          <w:color w:val="auto"/>
          <w:highlight w:val="none"/>
          <w:u w:val="none"/>
        </w:rPr>
        <w:t>光气工程防护措施的环境可行性</w:t>
      </w:r>
      <w:r>
        <w:rPr>
          <w:rFonts w:hint="eastAsia"/>
          <w:color w:val="auto"/>
          <w:highlight w:val="none"/>
          <w:u w:val="none"/>
          <w:lang w:val="en-US"/>
        </w:rPr>
        <w:t>分析</w:t>
      </w:r>
    </w:p>
    <w:p w14:paraId="23EFD5B1">
      <w:pPr>
        <w:rPr>
          <w:rFonts w:hint="eastAsia"/>
          <w:color w:val="auto"/>
          <w:highlight w:val="none"/>
          <w:u w:val="none"/>
        </w:rPr>
      </w:pPr>
      <w:r>
        <w:rPr>
          <w:rFonts w:hint="eastAsia"/>
          <w:color w:val="auto"/>
          <w:highlight w:val="none"/>
          <w:u w:val="none"/>
        </w:rPr>
        <w:t>光气及光气化生产系统一旦出现异常现象或发生光气及其剧毒产品泄漏事故时，自控联锁装置启动紧急停车并自动连接应急破坏处理系统，处理过程如下：a）自动切断所有进出生产装置的物料，将反应装置迅速冷却降温，且系统泄压，使生产装置处于能量最低状态；b）应急联动应急封闭门关闭将泄漏光气封闭在光气室内；c）立即将发生事故设备内的剧毒物料导入碱洗破坏系统内；d）如出现溢漏，喷氨和喷水系统将启动；e）通风系统将事故部位的有毒气体排至碱洗破坏系统处理。碱洗破坏系统的装置处理能力满足30min内消除事故部位绝大部分的有毒气体；f）启动事故现场喷氨系统，以加速有毒气体的破坏。碱破坏系统的高空排放筒接有蒸汽管，用以中和残余的光气。</w:t>
      </w:r>
    </w:p>
    <w:p w14:paraId="5CCCC586">
      <w:pPr>
        <w:rPr>
          <w:rFonts w:hint="eastAsia"/>
          <w:color w:val="auto"/>
          <w:highlight w:val="none"/>
          <w:u w:val="none"/>
        </w:rPr>
      </w:pPr>
      <w:r>
        <w:rPr>
          <w:rFonts w:hint="eastAsia"/>
          <w:color w:val="auto"/>
          <w:highlight w:val="none"/>
          <w:u w:val="none"/>
        </w:rPr>
        <w:t>综上，采取“局部封闭式”光气工程防护措施环境风险总体可防可控。</w:t>
      </w:r>
    </w:p>
    <w:p w14:paraId="496482B0">
      <w:pPr>
        <w:ind w:firstLine="482"/>
        <w:rPr>
          <w:rFonts w:hint="eastAsia"/>
          <w:b/>
          <w:color w:val="auto"/>
          <w:highlight w:val="none"/>
          <w:u w:val="none"/>
        </w:rPr>
      </w:pPr>
      <w:r>
        <w:rPr>
          <w:rFonts w:hint="eastAsia"/>
          <w:b/>
          <w:color w:val="auto"/>
          <w:highlight w:val="none"/>
          <w:u w:val="none"/>
          <w:lang w:val="en-US"/>
        </w:rPr>
        <w:t>综上</w:t>
      </w:r>
      <w:r>
        <w:rPr>
          <w:b/>
          <w:color w:val="auto"/>
          <w:highlight w:val="none"/>
          <w:u w:val="none"/>
        </w:rPr>
        <w:t>可知，上述光气室建设方案均能够做到环境风险总体可防可控。根据建设单位提供的资料，建设单位对主要涉及光气的单元，均采取了封闭处理，并配套氨幕、水幕等光气工程防护措施。</w:t>
      </w:r>
    </w:p>
    <w:p w14:paraId="725A1364">
      <w:pPr>
        <w:pStyle w:val="6"/>
        <w:spacing w:before="120" w:after="120"/>
        <w:rPr>
          <w:color w:val="auto"/>
          <w:highlight w:val="none"/>
          <w:u w:val="none"/>
        </w:rPr>
      </w:pPr>
      <w:bookmarkStart w:id="634" w:name="_Toc148375110"/>
      <w:bookmarkStart w:id="635" w:name="_Toc148374668"/>
      <w:r>
        <w:rPr>
          <w:color w:val="auto"/>
          <w:highlight w:val="none"/>
          <w:u w:val="none"/>
        </w:rPr>
        <w:t>氯化氢管道气相毒物危害预测</w:t>
      </w:r>
      <w:bookmarkEnd w:id="634"/>
      <w:bookmarkEnd w:id="635"/>
    </w:p>
    <w:p w14:paraId="6F49B495">
      <w:pPr>
        <w:rPr>
          <w:rFonts w:hint="eastAsia"/>
          <w:color w:val="auto"/>
          <w:highlight w:val="none"/>
          <w:u w:val="none"/>
        </w:rPr>
      </w:pPr>
      <w:r>
        <w:rPr>
          <w:rFonts w:hint="eastAsia"/>
          <w:color w:val="auto"/>
          <w:highlight w:val="none"/>
          <w:u w:val="none"/>
        </w:rPr>
        <w:t>根据EIAproA2018预测软件理查德森数估算可知，理查德森数 Ri = 1.923078,Ri≥1/6，为重质气体。扩散计算建议采用 SLAB 模式。</w:t>
      </w:r>
    </w:p>
    <w:p w14:paraId="1E835977">
      <w:pPr>
        <w:pStyle w:val="7"/>
        <w:spacing w:before="120"/>
        <w:rPr>
          <w:color w:val="auto"/>
          <w:highlight w:val="none"/>
          <w:u w:val="none"/>
        </w:rPr>
      </w:pPr>
      <w:r>
        <w:rPr>
          <w:color w:val="auto"/>
          <w:highlight w:val="none"/>
          <w:u w:val="none"/>
        </w:rPr>
        <w:t>下风向最远距离、不同距离处最大浓度及对应半宽</w:t>
      </w:r>
    </w:p>
    <w:p w14:paraId="3D86060C">
      <w:pPr>
        <w:rPr>
          <w:rFonts w:hint="eastAsia"/>
          <w:color w:val="auto"/>
          <w:highlight w:val="none"/>
          <w:u w:val="none"/>
        </w:rPr>
      </w:pPr>
      <w:r>
        <w:rPr>
          <w:color w:val="auto"/>
          <w:highlight w:val="none"/>
          <w:u w:val="none"/>
        </w:rPr>
        <w:t>（1）最不利气象条件，下风向最远距离、不同距离处最大浓度及对应半宽</w:t>
      </w:r>
    </w:p>
    <w:p w14:paraId="4A73836F">
      <w:pPr>
        <w:rPr>
          <w:rFonts w:hint="eastAsia"/>
          <w:color w:val="auto"/>
          <w:highlight w:val="none"/>
          <w:u w:val="none"/>
        </w:rPr>
      </w:pPr>
      <w:r>
        <w:rPr>
          <w:color w:val="auto"/>
          <w:highlight w:val="none"/>
          <w:u w:val="none"/>
        </w:rPr>
        <w:t>采用SLAB模型进行进一步预测计算可知，最不利气象条件（预测气象条件为F类稳定度、1.5m/s风速、温度25℃、相对湿度50%）时，毒性终点浓度-1(150mg/m</w:t>
      </w:r>
      <w:r>
        <w:rPr>
          <w:rFonts w:hAnsi="Times New Roman"/>
          <w:color w:val="auto"/>
          <w:highlight w:val="none"/>
          <w:u w:val="none"/>
        </w:rPr>
        <w:t>³</w:t>
      </w:r>
      <w:r>
        <w:rPr>
          <w:color w:val="auto"/>
          <w:highlight w:val="none"/>
          <w:u w:val="none"/>
        </w:rPr>
        <w:t>)、毒性终点浓度-2(33mg/m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120</w:t>
      </w:r>
      <w:r>
        <w:rPr>
          <w:color w:val="auto"/>
          <w:highlight w:val="none"/>
          <w:u w:val="none"/>
        </w:rPr>
        <w:t>m、</w:t>
      </w:r>
      <w:r>
        <w:rPr>
          <w:rFonts w:hint="eastAsia"/>
          <w:color w:val="auto"/>
          <w:highlight w:val="none"/>
          <w:u w:val="none"/>
          <w:lang w:val="en-US"/>
        </w:rPr>
        <w:t>370</w:t>
      </w:r>
      <w:r>
        <w:rPr>
          <w:color w:val="auto"/>
          <w:highlight w:val="none"/>
          <w:u w:val="none"/>
        </w:rPr>
        <w:t>m。下风向最大浓度为</w:t>
      </w:r>
      <w:r>
        <w:rPr>
          <w:rFonts w:hint="eastAsia"/>
          <w:color w:val="auto"/>
          <w:highlight w:val="none"/>
          <w:u w:val="none"/>
          <w:lang w:val="en-US"/>
        </w:rPr>
        <w:t>1571.4</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5.24</w:t>
      </w:r>
      <w:r>
        <w:rPr>
          <w:color w:val="auto"/>
          <w:highlight w:val="none"/>
          <w:u w:val="none"/>
        </w:rPr>
        <w:t>min、距污染物质泄漏点10m处。毒性终点浓度-1(150mg/m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14</w:t>
      </w:r>
      <w:r>
        <w:rPr>
          <w:color w:val="auto"/>
          <w:highlight w:val="none"/>
          <w:u w:val="none"/>
        </w:rPr>
        <w:t>m，出现在</w:t>
      </w:r>
      <w:r>
        <w:rPr>
          <w:rFonts w:hint="eastAsia"/>
          <w:color w:val="auto"/>
          <w:highlight w:val="none"/>
          <w:u w:val="none"/>
          <w:lang w:val="en-US"/>
        </w:rPr>
        <w:t>6.56</w:t>
      </w:r>
      <w:r>
        <w:rPr>
          <w:color w:val="auto"/>
          <w:highlight w:val="none"/>
          <w:u w:val="none"/>
        </w:rPr>
        <w:t>min、距污染物质泄漏点</w:t>
      </w:r>
      <w:r>
        <w:rPr>
          <w:rFonts w:hint="eastAsia"/>
          <w:color w:val="auto"/>
          <w:highlight w:val="none"/>
          <w:u w:val="none"/>
          <w:lang w:val="en-US"/>
        </w:rPr>
        <w:t>60</w:t>
      </w:r>
      <w:r>
        <w:rPr>
          <w:color w:val="auto"/>
          <w:highlight w:val="none"/>
          <w:u w:val="none"/>
        </w:rPr>
        <w:t>m处；毒性终点浓度-2(33mg/m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64</w:t>
      </w:r>
      <w:r>
        <w:rPr>
          <w:color w:val="auto"/>
          <w:highlight w:val="none"/>
          <w:u w:val="none"/>
        </w:rPr>
        <w:t>m，出现在</w:t>
      </w:r>
      <w:r>
        <w:rPr>
          <w:rFonts w:hint="eastAsia"/>
          <w:color w:val="auto"/>
          <w:highlight w:val="none"/>
          <w:u w:val="none"/>
          <w:lang w:val="en-US"/>
        </w:rPr>
        <w:t>12.54</w:t>
      </w:r>
      <w:r>
        <w:rPr>
          <w:color w:val="auto"/>
          <w:highlight w:val="none"/>
          <w:u w:val="none"/>
        </w:rPr>
        <w:t>min、距污染物质泄漏点</w:t>
      </w:r>
      <w:r>
        <w:rPr>
          <w:rFonts w:hint="eastAsia"/>
          <w:color w:val="auto"/>
          <w:highlight w:val="none"/>
          <w:u w:val="none"/>
          <w:lang w:val="en-US"/>
        </w:rPr>
        <w:t>310</w:t>
      </w:r>
      <w:r>
        <w:rPr>
          <w:color w:val="auto"/>
          <w:highlight w:val="none"/>
          <w:u w:val="none"/>
        </w:rPr>
        <w:t>m处。</w:t>
      </w:r>
    </w:p>
    <w:p w14:paraId="09DBF7F8">
      <w:pPr>
        <w:rPr>
          <w:rFonts w:hint="eastAsia"/>
          <w:color w:val="auto"/>
          <w:highlight w:val="none"/>
          <w:u w:val="none"/>
        </w:rPr>
      </w:pPr>
      <w:r>
        <w:rPr>
          <w:color w:val="auto"/>
          <w:highlight w:val="none"/>
          <w:u w:val="none"/>
        </w:rPr>
        <w:t>（2）常见气象条件，下风向最远距离、不同距离处最大浓度及对应半宽</w:t>
      </w:r>
    </w:p>
    <w:p w14:paraId="237D3930">
      <w:pPr>
        <w:rPr>
          <w:rFonts w:hint="eastAsia"/>
          <w:color w:val="auto"/>
          <w:highlight w:val="none"/>
          <w:u w:val="none"/>
        </w:rPr>
      </w:pPr>
      <w:r>
        <w:rPr>
          <w:color w:val="auto"/>
          <w:highlight w:val="none"/>
          <w:u w:val="none"/>
        </w:rPr>
        <w:t>采用SLAB模型进行进一步预测计算可知，最常见气象条件（预测气象条件为D类稳定度，5.</w:t>
      </w:r>
      <w:r>
        <w:rPr>
          <w:rFonts w:hint="eastAsia"/>
          <w:color w:val="auto"/>
          <w:highlight w:val="none"/>
          <w:u w:val="none"/>
          <w:lang w:val="en-US"/>
        </w:rPr>
        <w:t>34</w:t>
      </w:r>
      <w:r>
        <w:rPr>
          <w:color w:val="auto"/>
          <w:highlight w:val="none"/>
          <w:u w:val="none"/>
        </w:rPr>
        <w:t>m/s风速，温度</w:t>
      </w:r>
      <w:r>
        <w:rPr>
          <w:rFonts w:hint="eastAsia"/>
          <w:color w:val="auto"/>
          <w:highlight w:val="none"/>
          <w:u w:val="none"/>
          <w:lang w:val="en-US"/>
        </w:rPr>
        <w:t>20.47</w:t>
      </w:r>
      <w:r>
        <w:rPr>
          <w:color w:val="auto"/>
          <w:highlight w:val="none"/>
          <w:u w:val="none"/>
        </w:rPr>
        <w:t>℃、年平均湿度76.71%）时，毒性终点浓度-1(150mg/m</w:t>
      </w:r>
      <w:r>
        <w:rPr>
          <w:rFonts w:hAnsi="Times New Roman"/>
          <w:color w:val="auto"/>
          <w:highlight w:val="none"/>
          <w:u w:val="none"/>
        </w:rPr>
        <w:t>³</w:t>
      </w:r>
      <w:r>
        <w:rPr>
          <w:color w:val="auto"/>
          <w:highlight w:val="none"/>
          <w:u w:val="none"/>
        </w:rPr>
        <w:t>)、毒性终点浓度-2(33mg/m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80</w:t>
      </w:r>
      <w:r>
        <w:rPr>
          <w:color w:val="auto"/>
          <w:highlight w:val="none"/>
          <w:u w:val="none"/>
        </w:rPr>
        <w:t>m、</w:t>
      </w:r>
      <w:r>
        <w:rPr>
          <w:rFonts w:hint="eastAsia"/>
          <w:color w:val="auto"/>
          <w:highlight w:val="none"/>
          <w:u w:val="none"/>
          <w:lang w:val="en-US"/>
        </w:rPr>
        <w:t>200</w:t>
      </w:r>
      <w:r>
        <w:rPr>
          <w:color w:val="auto"/>
          <w:highlight w:val="none"/>
          <w:u w:val="none"/>
        </w:rPr>
        <w:t>m。下风向最大浓度为</w:t>
      </w:r>
      <w:r>
        <w:rPr>
          <w:rFonts w:hint="eastAsia"/>
          <w:color w:val="auto"/>
          <w:highlight w:val="none"/>
          <w:u w:val="none"/>
          <w:lang w:val="en-US"/>
        </w:rPr>
        <w:t>1979.5</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7.60</w:t>
      </w:r>
      <w:r>
        <w:rPr>
          <w:color w:val="auto"/>
          <w:highlight w:val="none"/>
          <w:u w:val="none"/>
        </w:rPr>
        <w:t>min、距污染物质泄漏点10m处。毒性终点浓度-1(150mg/m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8</w:t>
      </w:r>
      <w:r>
        <w:rPr>
          <w:color w:val="auto"/>
          <w:highlight w:val="none"/>
          <w:u w:val="none"/>
        </w:rPr>
        <w:t>m，出现在</w:t>
      </w:r>
      <w:r>
        <w:rPr>
          <w:rFonts w:hint="eastAsia"/>
          <w:color w:val="auto"/>
          <w:highlight w:val="none"/>
          <w:u w:val="none"/>
          <w:lang w:val="en-US"/>
        </w:rPr>
        <w:t>7.93</w:t>
      </w:r>
      <w:r>
        <w:rPr>
          <w:color w:val="auto"/>
          <w:highlight w:val="none"/>
          <w:u w:val="none"/>
        </w:rPr>
        <w:t>min、距污染物质泄漏点</w:t>
      </w:r>
      <w:r>
        <w:rPr>
          <w:rFonts w:hint="eastAsia"/>
          <w:color w:val="auto"/>
          <w:highlight w:val="none"/>
          <w:u w:val="none"/>
          <w:lang w:val="en-US"/>
        </w:rPr>
        <w:t>40</w:t>
      </w:r>
      <w:r>
        <w:rPr>
          <w:color w:val="auto"/>
          <w:highlight w:val="none"/>
          <w:u w:val="none"/>
        </w:rPr>
        <w:t>m处，毒性终点浓度-2(33mg/m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16</w:t>
      </w:r>
      <w:r>
        <w:rPr>
          <w:color w:val="auto"/>
          <w:highlight w:val="none"/>
          <w:u w:val="none"/>
        </w:rPr>
        <w:t>m，出现在</w:t>
      </w:r>
      <w:r>
        <w:rPr>
          <w:rFonts w:hint="eastAsia"/>
          <w:color w:val="auto"/>
          <w:highlight w:val="none"/>
          <w:u w:val="none"/>
          <w:lang w:val="en-US"/>
        </w:rPr>
        <w:t>8.26</w:t>
      </w:r>
      <w:r>
        <w:rPr>
          <w:color w:val="auto"/>
          <w:highlight w:val="none"/>
          <w:u w:val="none"/>
        </w:rPr>
        <w:t>min、距污染物质泄漏点</w:t>
      </w:r>
      <w:r>
        <w:rPr>
          <w:rFonts w:hint="eastAsia"/>
          <w:color w:val="auto"/>
          <w:highlight w:val="none"/>
          <w:u w:val="none"/>
          <w:lang w:val="en-US"/>
        </w:rPr>
        <w:t>70</w:t>
      </w:r>
      <w:r>
        <w:rPr>
          <w:color w:val="auto"/>
          <w:highlight w:val="none"/>
          <w:u w:val="none"/>
        </w:rPr>
        <w:t>m处。</w:t>
      </w:r>
    </w:p>
    <w:p w14:paraId="23DBBCDB">
      <w:pPr>
        <w:pStyle w:val="7"/>
        <w:spacing w:before="120"/>
        <w:rPr>
          <w:color w:val="auto"/>
          <w:highlight w:val="none"/>
          <w:u w:val="none"/>
        </w:rPr>
      </w:pPr>
      <w:r>
        <w:rPr>
          <w:color w:val="auto"/>
          <w:highlight w:val="none"/>
          <w:u w:val="none"/>
        </w:rPr>
        <w:t>各关心点有毒有害气体大气伤害概率估算</w:t>
      </w:r>
    </w:p>
    <w:p w14:paraId="2DF6BBB0">
      <w:pPr>
        <w:rPr>
          <w:rFonts w:hint="eastAsia"/>
          <w:color w:val="auto"/>
          <w:highlight w:val="none"/>
          <w:u w:val="none"/>
        </w:rPr>
      </w:pPr>
      <w:r>
        <w:rPr>
          <w:color w:val="auto"/>
          <w:highlight w:val="none"/>
          <w:u w:val="none"/>
        </w:rPr>
        <w:t>在最不利气象条件下，各关心点最大浓度为</w:t>
      </w:r>
      <w:r>
        <w:rPr>
          <w:rFonts w:hint="eastAsia"/>
          <w:color w:val="auto"/>
          <w:highlight w:val="none"/>
          <w:u w:val="none"/>
          <w:lang w:val="en-US"/>
        </w:rPr>
        <w:t>1.95</w:t>
      </w:r>
      <w:r>
        <w:rPr>
          <w:color w:val="auto"/>
          <w:highlight w:val="none"/>
          <w:u w:val="none"/>
        </w:rPr>
        <w:t>mg/m</w:t>
      </w:r>
      <w:r>
        <w:rPr>
          <w:rFonts w:hAnsi="Times New Roman"/>
          <w:color w:val="auto"/>
          <w:highlight w:val="none"/>
          <w:u w:val="none"/>
        </w:rPr>
        <w:t>³</w:t>
      </w:r>
      <w:r>
        <w:rPr>
          <w:color w:val="auto"/>
          <w:highlight w:val="none"/>
          <w:u w:val="none"/>
        </w:rPr>
        <w:t>，未超过毒性终点浓度-1和毒性终点浓度-2要求。常见气象条件下，敏感点最大浓度为</w:t>
      </w:r>
      <w:r>
        <w:rPr>
          <w:rFonts w:hint="eastAsia"/>
          <w:color w:val="auto"/>
          <w:highlight w:val="none"/>
          <w:u w:val="none"/>
          <w:lang w:val="en-US"/>
        </w:rPr>
        <w:t>0.37</w:t>
      </w:r>
      <w:r>
        <w:rPr>
          <w:color w:val="auto"/>
          <w:highlight w:val="none"/>
          <w:u w:val="none"/>
        </w:rPr>
        <w:t>mg/m</w:t>
      </w:r>
      <w:r>
        <w:rPr>
          <w:rFonts w:hAnsi="Times New Roman"/>
          <w:color w:val="auto"/>
          <w:highlight w:val="none"/>
          <w:u w:val="none"/>
        </w:rPr>
        <w:t>³</w:t>
      </w:r>
      <w:r>
        <w:rPr>
          <w:color w:val="auto"/>
          <w:highlight w:val="none"/>
          <w:u w:val="none"/>
        </w:rPr>
        <w:t>，最大浓度出现在东江水厂。采用导则附录I推荐公式估算，东江水厂及其余各敏感点出现急性死亡概率为0。</w:t>
      </w:r>
    </w:p>
    <w:p w14:paraId="10AF483F">
      <w:pPr>
        <w:pStyle w:val="6"/>
        <w:spacing w:before="120" w:after="120"/>
        <w:rPr>
          <w:color w:val="auto"/>
          <w:highlight w:val="none"/>
          <w:u w:val="none"/>
        </w:rPr>
      </w:pPr>
      <w:r>
        <w:rPr>
          <w:color w:val="auto"/>
          <w:highlight w:val="none"/>
          <w:u w:val="none"/>
        </w:rPr>
        <w:t>氯气输送管道气相毒物危害预测</w:t>
      </w:r>
    </w:p>
    <w:p w14:paraId="0BB04325">
      <w:pPr>
        <w:rPr>
          <w:rFonts w:hint="eastAsia"/>
          <w:color w:val="auto"/>
          <w:highlight w:val="none"/>
          <w:u w:val="none"/>
        </w:rPr>
      </w:pPr>
      <w:r>
        <w:rPr>
          <w:color w:val="auto"/>
          <w:highlight w:val="none"/>
          <w:u w:val="none"/>
        </w:rPr>
        <w:t>根据EIApro</w:t>
      </w:r>
      <w:r>
        <w:rPr>
          <w:rFonts w:hint="eastAsia"/>
          <w:color w:val="auto"/>
          <w:highlight w:val="none"/>
          <w:u w:val="none"/>
        </w:rPr>
        <w:t>A</w:t>
      </w:r>
      <w:r>
        <w:rPr>
          <w:color w:val="auto"/>
          <w:highlight w:val="none"/>
          <w:u w:val="none"/>
        </w:rPr>
        <w:t>2018预测软件理查德森数估算可知，理查德森数Ri=0.</w:t>
      </w:r>
      <w:r>
        <w:rPr>
          <w:rFonts w:hint="eastAsia"/>
          <w:color w:val="auto"/>
          <w:highlight w:val="none"/>
          <w:u w:val="none"/>
          <w:lang w:val="en-US"/>
        </w:rPr>
        <w:t>47</w:t>
      </w:r>
      <w:r>
        <w:rPr>
          <w:color w:val="auto"/>
          <w:highlight w:val="none"/>
          <w:u w:val="none"/>
        </w:rPr>
        <w:t>，Ri≥1/6，为重质气体。扩散计算建议采用SLAB模式。</w:t>
      </w:r>
    </w:p>
    <w:p w14:paraId="1CEEF53B">
      <w:pPr>
        <w:pStyle w:val="7"/>
        <w:spacing w:before="120"/>
        <w:rPr>
          <w:color w:val="auto"/>
          <w:highlight w:val="none"/>
          <w:u w:val="none"/>
        </w:rPr>
      </w:pPr>
      <w:r>
        <w:rPr>
          <w:color w:val="auto"/>
          <w:highlight w:val="none"/>
          <w:u w:val="none"/>
        </w:rPr>
        <w:t>下风向最远距离、不同距离处最大浓度及对应半宽</w:t>
      </w:r>
    </w:p>
    <w:p w14:paraId="1168A708">
      <w:pPr>
        <w:rPr>
          <w:rFonts w:hint="eastAsia"/>
          <w:color w:val="auto"/>
          <w:highlight w:val="none"/>
          <w:u w:val="none"/>
        </w:rPr>
      </w:pPr>
      <w:r>
        <w:rPr>
          <w:rFonts w:hint="eastAsia"/>
          <w:color w:val="auto"/>
          <w:highlight w:val="none"/>
          <w:u w:val="none"/>
          <w:lang w:val="en-US"/>
        </w:rPr>
        <w:t>1）</w:t>
      </w:r>
      <w:r>
        <w:rPr>
          <w:color w:val="auto"/>
          <w:highlight w:val="none"/>
          <w:u w:val="none"/>
        </w:rPr>
        <w:t>采用SLAB模型进行进一步预测计算可知，最不利气象条件（预测气象条件为F类稳定度、1.5m/s风速、温度25℃、相对湿度50%）时，毒性终点浓度-1(58mg/m</w:t>
      </w:r>
      <w:r>
        <w:rPr>
          <w:rFonts w:hAnsi="Times New Roman"/>
          <w:color w:val="auto"/>
          <w:highlight w:val="none"/>
          <w:u w:val="none"/>
        </w:rPr>
        <w:t>³</w:t>
      </w:r>
      <w:r>
        <w:rPr>
          <w:color w:val="auto"/>
          <w:highlight w:val="none"/>
          <w:u w:val="none"/>
        </w:rPr>
        <w:t>)、毒性终点浓度-2(5.8mg/m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300</w:t>
      </w:r>
      <w:r>
        <w:rPr>
          <w:color w:val="auto"/>
          <w:highlight w:val="none"/>
          <w:u w:val="none"/>
        </w:rPr>
        <w:t>m、</w:t>
      </w:r>
      <w:r>
        <w:rPr>
          <w:rFonts w:hint="eastAsia"/>
          <w:color w:val="auto"/>
          <w:highlight w:val="none"/>
          <w:u w:val="none"/>
          <w:lang w:val="en-US"/>
        </w:rPr>
        <w:t>1680</w:t>
      </w:r>
      <w:r>
        <w:rPr>
          <w:color w:val="auto"/>
          <w:highlight w:val="none"/>
          <w:u w:val="none"/>
        </w:rPr>
        <w:t>m。下风向最大浓度为</w:t>
      </w:r>
      <w:r>
        <w:rPr>
          <w:rFonts w:hint="eastAsia"/>
          <w:color w:val="auto"/>
          <w:highlight w:val="none"/>
          <w:u w:val="none"/>
          <w:lang w:val="en-US"/>
        </w:rPr>
        <w:t>2349.9</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5.23</w:t>
      </w:r>
      <w:r>
        <w:rPr>
          <w:color w:val="auto"/>
          <w:highlight w:val="none"/>
          <w:u w:val="none"/>
        </w:rPr>
        <w:t>min、距污染物质泄漏点10m处。毒性终点浓度-1(58mg/m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84</w:t>
      </w:r>
      <w:r>
        <w:rPr>
          <w:color w:val="auto"/>
          <w:highlight w:val="none"/>
          <w:u w:val="none"/>
        </w:rPr>
        <w:t>m，出现在</w:t>
      </w:r>
      <w:r>
        <w:rPr>
          <w:rFonts w:hint="eastAsia"/>
          <w:color w:val="auto"/>
          <w:highlight w:val="none"/>
          <w:u w:val="none"/>
          <w:lang w:val="en-US"/>
        </w:rPr>
        <w:t>12.31</w:t>
      </w:r>
      <w:r>
        <w:rPr>
          <w:color w:val="auto"/>
          <w:highlight w:val="none"/>
          <w:u w:val="none"/>
        </w:rPr>
        <w:t>min、距污染物质泄漏点</w:t>
      </w:r>
      <w:r>
        <w:rPr>
          <w:rFonts w:hint="eastAsia"/>
          <w:color w:val="auto"/>
          <w:highlight w:val="none"/>
          <w:u w:val="none"/>
          <w:lang w:val="en-US"/>
        </w:rPr>
        <w:t>300</w:t>
      </w:r>
      <w:r>
        <w:rPr>
          <w:color w:val="auto"/>
          <w:highlight w:val="none"/>
          <w:u w:val="none"/>
        </w:rPr>
        <w:t>m处；毒性终点浓度-2(5.8mg/m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174</w:t>
      </w:r>
      <w:r>
        <w:rPr>
          <w:color w:val="auto"/>
          <w:highlight w:val="none"/>
          <w:u w:val="none"/>
        </w:rPr>
        <w:t>m，出现在</w:t>
      </w:r>
      <w:r>
        <w:rPr>
          <w:rFonts w:hint="eastAsia"/>
          <w:color w:val="auto"/>
          <w:highlight w:val="none"/>
          <w:u w:val="none"/>
          <w:lang w:val="en-US"/>
        </w:rPr>
        <w:t>30.15</w:t>
      </w:r>
      <w:r>
        <w:rPr>
          <w:color w:val="auto"/>
          <w:highlight w:val="none"/>
          <w:u w:val="none"/>
        </w:rPr>
        <w:t>min、距污染物质泄漏点</w:t>
      </w:r>
      <w:r>
        <w:rPr>
          <w:rFonts w:hint="eastAsia"/>
          <w:color w:val="auto"/>
          <w:highlight w:val="none"/>
          <w:u w:val="none"/>
          <w:lang w:val="en-US"/>
        </w:rPr>
        <w:t>1580</w:t>
      </w:r>
      <w:r>
        <w:rPr>
          <w:color w:val="auto"/>
          <w:highlight w:val="none"/>
          <w:u w:val="none"/>
        </w:rPr>
        <w:t>m处。</w:t>
      </w:r>
    </w:p>
    <w:p w14:paraId="29D0560E">
      <w:pPr>
        <w:rPr>
          <w:rFonts w:hint="eastAsia"/>
          <w:color w:val="auto"/>
          <w:highlight w:val="none"/>
          <w:u w:val="none"/>
        </w:rPr>
      </w:pPr>
      <w:r>
        <w:rPr>
          <w:rFonts w:hint="eastAsia"/>
          <w:color w:val="auto"/>
          <w:highlight w:val="none"/>
          <w:u w:val="none"/>
          <w:lang w:val="en-US"/>
        </w:rPr>
        <w:t>2）</w:t>
      </w:r>
      <w:r>
        <w:rPr>
          <w:color w:val="auto"/>
          <w:highlight w:val="none"/>
          <w:u w:val="none"/>
        </w:rPr>
        <w:t>采用SLAB模型进行进一步预测计算可知，最常见气象条件（预测气象条件为D类稳定度，5.</w:t>
      </w:r>
      <w:r>
        <w:rPr>
          <w:rFonts w:hint="eastAsia"/>
          <w:color w:val="auto"/>
          <w:highlight w:val="none"/>
          <w:u w:val="none"/>
          <w:lang w:val="en-US"/>
        </w:rPr>
        <w:t>34</w:t>
      </w:r>
      <w:r>
        <w:rPr>
          <w:color w:val="auto"/>
          <w:highlight w:val="none"/>
          <w:u w:val="none"/>
        </w:rPr>
        <w:t>m/s风速，温度</w:t>
      </w:r>
      <w:r>
        <w:rPr>
          <w:rFonts w:hint="eastAsia"/>
          <w:color w:val="auto"/>
          <w:highlight w:val="none"/>
          <w:u w:val="none"/>
          <w:lang w:val="en-US"/>
        </w:rPr>
        <w:t>20.47</w:t>
      </w:r>
      <w:r>
        <w:rPr>
          <w:color w:val="auto"/>
          <w:highlight w:val="none"/>
          <w:u w:val="none"/>
        </w:rPr>
        <w:t>℃、年平均湿度76.71%）时，毒性终点浓度-1(58mg/m</w:t>
      </w:r>
      <w:r>
        <w:rPr>
          <w:rFonts w:hAnsi="Times New Roman"/>
          <w:color w:val="auto"/>
          <w:highlight w:val="none"/>
          <w:u w:val="none"/>
        </w:rPr>
        <w:t>³</w:t>
      </w:r>
      <w:r>
        <w:rPr>
          <w:color w:val="auto"/>
          <w:highlight w:val="none"/>
          <w:u w:val="none"/>
        </w:rPr>
        <w:t>)、毒性终点浓度-2(5.8mg/m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80</w:t>
      </w:r>
      <w:r>
        <w:rPr>
          <w:rFonts w:hint="eastAsia"/>
          <w:color w:val="auto"/>
          <w:highlight w:val="none"/>
          <w:u w:val="none"/>
        </w:rPr>
        <w:t>m、</w:t>
      </w:r>
      <w:r>
        <w:rPr>
          <w:rFonts w:hint="eastAsia"/>
          <w:color w:val="auto"/>
          <w:highlight w:val="none"/>
          <w:u w:val="none"/>
          <w:lang w:val="en-US"/>
        </w:rPr>
        <w:t>310</w:t>
      </w:r>
      <w:r>
        <w:rPr>
          <w:rFonts w:hint="eastAsia"/>
          <w:color w:val="auto"/>
          <w:highlight w:val="none"/>
          <w:u w:val="none"/>
        </w:rPr>
        <w:t>m。下风向最大浓度为</w:t>
      </w:r>
      <w:r>
        <w:rPr>
          <w:rFonts w:hint="eastAsia"/>
          <w:color w:val="auto"/>
          <w:highlight w:val="none"/>
          <w:u w:val="none"/>
          <w:lang w:val="en-US"/>
        </w:rPr>
        <w:t>1125.50</w:t>
      </w:r>
      <w:r>
        <w:rPr>
          <w:rFonts w:hint="eastAsia"/>
          <w:color w:val="auto"/>
          <w:highlight w:val="none"/>
          <w:u w:val="none"/>
        </w:rPr>
        <w:t>mg/m</w:t>
      </w:r>
      <w:r>
        <w:rPr>
          <w:rFonts w:hAnsi="Times New Roman"/>
          <w:color w:val="auto"/>
          <w:highlight w:val="none"/>
          <w:u w:val="none"/>
        </w:rPr>
        <w:t>³</w:t>
      </w:r>
      <w:r>
        <w:rPr>
          <w:rFonts w:hint="eastAsia"/>
          <w:color w:val="auto"/>
          <w:highlight w:val="none"/>
          <w:u w:val="none"/>
        </w:rPr>
        <w:t>，出现在5.0</w:t>
      </w:r>
      <w:r>
        <w:rPr>
          <w:rFonts w:hint="eastAsia"/>
          <w:color w:val="auto"/>
          <w:highlight w:val="none"/>
          <w:u w:val="none"/>
          <w:lang w:val="en-US"/>
        </w:rPr>
        <w:t>2</w:t>
      </w:r>
      <w:r>
        <w:rPr>
          <w:rFonts w:hint="eastAsia"/>
          <w:color w:val="auto"/>
          <w:highlight w:val="none"/>
          <w:u w:val="none"/>
        </w:rPr>
        <w:t>min、距污染物质泄漏点10m处。毒性终点浓度-1(58mg/m</w:t>
      </w:r>
      <w:r>
        <w:rPr>
          <w:rFonts w:hAnsi="Times New Roman"/>
          <w:color w:val="auto"/>
          <w:highlight w:val="none"/>
          <w:u w:val="none"/>
        </w:rPr>
        <w:t>³</w:t>
      </w:r>
      <w:r>
        <w:rPr>
          <w:rFonts w:hint="eastAsia"/>
          <w:color w:val="auto"/>
          <w:highlight w:val="none"/>
          <w:u w:val="none"/>
        </w:rPr>
        <w:t>)对应的最大半宽为</w:t>
      </w:r>
      <w:r>
        <w:rPr>
          <w:rFonts w:hint="eastAsia"/>
          <w:color w:val="auto"/>
          <w:highlight w:val="none"/>
          <w:u w:val="none"/>
          <w:lang w:val="en-US"/>
        </w:rPr>
        <w:t>4</w:t>
      </w:r>
      <w:r>
        <w:rPr>
          <w:rFonts w:hint="eastAsia"/>
          <w:color w:val="auto"/>
          <w:highlight w:val="none"/>
          <w:u w:val="none"/>
        </w:rPr>
        <w:t>m，出现在5.</w:t>
      </w:r>
      <w:r>
        <w:rPr>
          <w:rFonts w:hint="eastAsia"/>
          <w:color w:val="auto"/>
          <w:highlight w:val="none"/>
          <w:u w:val="none"/>
          <w:lang w:val="en-US"/>
        </w:rPr>
        <w:t>05</w:t>
      </w:r>
      <w:r>
        <w:rPr>
          <w:rFonts w:hint="eastAsia"/>
          <w:color w:val="auto"/>
          <w:highlight w:val="none"/>
          <w:u w:val="none"/>
        </w:rPr>
        <w:t>min、距污染物质泄漏点</w:t>
      </w:r>
      <w:r>
        <w:rPr>
          <w:rFonts w:hint="eastAsia"/>
          <w:color w:val="auto"/>
          <w:highlight w:val="none"/>
          <w:u w:val="none"/>
          <w:lang w:val="en-US"/>
        </w:rPr>
        <w:t>20</w:t>
      </w:r>
      <w:r>
        <w:rPr>
          <w:rFonts w:hint="eastAsia"/>
          <w:color w:val="auto"/>
          <w:highlight w:val="none"/>
          <w:u w:val="none"/>
        </w:rPr>
        <w:t>m处；毒性终点浓度-2(5.8mg/m</w:t>
      </w:r>
      <w:r>
        <w:rPr>
          <w:rFonts w:hAnsi="Times New Roman"/>
          <w:color w:val="auto"/>
          <w:highlight w:val="none"/>
          <w:u w:val="none"/>
        </w:rPr>
        <w:t>³</w:t>
      </w:r>
      <w:r>
        <w:rPr>
          <w:rFonts w:hint="eastAsia"/>
          <w:color w:val="auto"/>
          <w:highlight w:val="none"/>
          <w:u w:val="none"/>
        </w:rPr>
        <w:t>），对应的最大半宽为</w:t>
      </w:r>
      <w:r>
        <w:rPr>
          <w:rFonts w:hint="eastAsia"/>
          <w:color w:val="auto"/>
          <w:highlight w:val="none"/>
          <w:u w:val="none"/>
          <w:lang w:val="en-US"/>
        </w:rPr>
        <w:t>18</w:t>
      </w:r>
      <w:r>
        <w:rPr>
          <w:rFonts w:hint="eastAsia"/>
          <w:color w:val="auto"/>
          <w:highlight w:val="none"/>
          <w:u w:val="none"/>
        </w:rPr>
        <w:t>m，出现在</w:t>
      </w:r>
      <w:r>
        <w:rPr>
          <w:rFonts w:hint="eastAsia"/>
          <w:color w:val="auto"/>
          <w:highlight w:val="none"/>
          <w:u w:val="none"/>
          <w:lang w:val="en-US"/>
        </w:rPr>
        <w:t>5.38</w:t>
      </w:r>
      <w:r>
        <w:rPr>
          <w:rFonts w:hint="eastAsia"/>
          <w:color w:val="auto"/>
          <w:highlight w:val="none"/>
          <w:u w:val="none"/>
        </w:rPr>
        <w:t>min、距污染物质泄漏点</w:t>
      </w:r>
      <w:r>
        <w:rPr>
          <w:rFonts w:hint="eastAsia"/>
          <w:color w:val="auto"/>
          <w:highlight w:val="none"/>
          <w:u w:val="none"/>
          <w:lang w:val="en-US"/>
        </w:rPr>
        <w:t>150</w:t>
      </w:r>
      <w:r>
        <w:rPr>
          <w:rFonts w:hint="eastAsia"/>
          <w:color w:val="auto"/>
          <w:highlight w:val="none"/>
          <w:u w:val="none"/>
        </w:rPr>
        <w:t>m处</w:t>
      </w:r>
      <w:r>
        <w:rPr>
          <w:color w:val="auto"/>
          <w:highlight w:val="none"/>
          <w:u w:val="none"/>
        </w:rPr>
        <w:t>。</w:t>
      </w:r>
    </w:p>
    <w:p w14:paraId="25CF870E">
      <w:pPr>
        <w:pStyle w:val="7"/>
        <w:spacing w:before="120"/>
        <w:rPr>
          <w:color w:val="auto"/>
          <w:highlight w:val="none"/>
          <w:u w:val="none"/>
        </w:rPr>
      </w:pPr>
      <w:r>
        <w:rPr>
          <w:color w:val="auto"/>
          <w:highlight w:val="none"/>
          <w:u w:val="none"/>
        </w:rPr>
        <w:t>各关心点有毒有害气体大气伤害概率估算</w:t>
      </w:r>
    </w:p>
    <w:p w14:paraId="68D6759D">
      <w:pPr>
        <w:rPr>
          <w:rFonts w:hint="eastAsia"/>
          <w:color w:val="auto"/>
          <w:highlight w:val="none"/>
          <w:u w:val="none"/>
        </w:rPr>
      </w:pPr>
      <w:r>
        <w:rPr>
          <w:color w:val="auto"/>
          <w:highlight w:val="none"/>
          <w:u w:val="none"/>
        </w:rPr>
        <w:t>最不利气象条件下，各关心点的氯气最大浓度为</w:t>
      </w:r>
      <w:r>
        <w:rPr>
          <w:rFonts w:hint="eastAsia"/>
          <w:color w:val="auto"/>
          <w:highlight w:val="none"/>
          <w:u w:val="none"/>
          <w:lang w:val="en-US"/>
        </w:rPr>
        <w:t>3.35</w:t>
      </w:r>
      <w:r>
        <w:rPr>
          <w:color w:val="auto"/>
          <w:highlight w:val="none"/>
          <w:u w:val="none"/>
        </w:rPr>
        <w:t>mg/m</w:t>
      </w:r>
      <w:r>
        <w:rPr>
          <w:rFonts w:hAnsi="Times New Roman"/>
          <w:color w:val="auto"/>
          <w:highlight w:val="none"/>
          <w:u w:val="none"/>
        </w:rPr>
        <w:t>³</w:t>
      </w:r>
      <w:r>
        <w:rPr>
          <w:color w:val="auto"/>
          <w:highlight w:val="none"/>
          <w:u w:val="none"/>
        </w:rPr>
        <w:t>，常见气象条件下，各关心点的氯气最大浓度为0.</w:t>
      </w:r>
      <w:r>
        <w:rPr>
          <w:rFonts w:hint="eastAsia"/>
          <w:color w:val="auto"/>
          <w:highlight w:val="none"/>
          <w:u w:val="none"/>
          <w:lang w:val="en-US"/>
        </w:rPr>
        <w:t>16</w:t>
      </w:r>
      <w:r>
        <w:rPr>
          <w:color w:val="auto"/>
          <w:highlight w:val="none"/>
          <w:u w:val="none"/>
        </w:rPr>
        <w:t>mg/m</w:t>
      </w:r>
      <w:r>
        <w:rPr>
          <w:rFonts w:hAnsi="Times New Roman"/>
          <w:color w:val="auto"/>
          <w:highlight w:val="none"/>
          <w:u w:val="none"/>
        </w:rPr>
        <w:t>³</w:t>
      </w:r>
      <w:r>
        <w:rPr>
          <w:color w:val="auto"/>
          <w:highlight w:val="none"/>
          <w:u w:val="none"/>
        </w:rPr>
        <w:t>，出现在东江水厂。未超过毒性终点浓度-1和毒性终点浓度-2；常见气象条件下各关心点氯气急性死亡概率为0。</w:t>
      </w:r>
    </w:p>
    <w:p w14:paraId="70D913E8">
      <w:pPr>
        <w:pStyle w:val="6"/>
        <w:spacing w:before="120" w:after="120"/>
        <w:rPr>
          <w:color w:val="auto"/>
          <w:highlight w:val="none"/>
          <w:u w:val="none"/>
        </w:rPr>
      </w:pPr>
      <w:r>
        <w:rPr>
          <w:color w:val="auto"/>
          <w:highlight w:val="none"/>
          <w:u w:val="none"/>
        </w:rPr>
        <w:t>一氧化碳输送管道气相毒物危害预测</w:t>
      </w:r>
    </w:p>
    <w:p w14:paraId="0FB879E4">
      <w:pPr>
        <w:rPr>
          <w:rFonts w:hint="eastAsia"/>
          <w:color w:val="auto"/>
          <w:highlight w:val="none"/>
          <w:u w:val="none"/>
          <w:lang w:val="en-US"/>
        </w:rPr>
      </w:pPr>
      <w:r>
        <w:rPr>
          <w:color w:val="auto"/>
          <w:highlight w:val="none"/>
          <w:u w:val="none"/>
        </w:rPr>
        <w:t>根据EIApro</w:t>
      </w:r>
      <w:r>
        <w:rPr>
          <w:rFonts w:hint="eastAsia"/>
          <w:color w:val="auto"/>
          <w:highlight w:val="none"/>
          <w:u w:val="none"/>
        </w:rPr>
        <w:t>A</w:t>
      </w:r>
      <w:r>
        <w:rPr>
          <w:color w:val="auto"/>
          <w:highlight w:val="none"/>
          <w:u w:val="none"/>
        </w:rPr>
        <w:t>2018预测软件</w:t>
      </w:r>
      <w:r>
        <w:rPr>
          <w:rFonts w:hint="eastAsia"/>
          <w:color w:val="auto"/>
          <w:highlight w:val="none"/>
          <w:u w:val="none"/>
          <w:lang w:val="en-US"/>
        </w:rPr>
        <w:t>理查德森数为1.13&gt;1/6，为重质气体，扩散计算采用SLAB模式。</w:t>
      </w:r>
    </w:p>
    <w:p w14:paraId="568400DA">
      <w:pPr>
        <w:pStyle w:val="7"/>
        <w:spacing w:before="120"/>
        <w:rPr>
          <w:color w:val="auto"/>
          <w:highlight w:val="none"/>
          <w:u w:val="none"/>
        </w:rPr>
      </w:pPr>
      <w:r>
        <w:rPr>
          <w:color w:val="auto"/>
          <w:highlight w:val="none"/>
          <w:u w:val="none"/>
        </w:rPr>
        <w:t>下风向最远距离、不同距离处最大浓度及对应半宽</w:t>
      </w:r>
    </w:p>
    <w:p w14:paraId="31241605">
      <w:pPr>
        <w:rPr>
          <w:rFonts w:hint="eastAsia"/>
          <w:color w:val="auto"/>
          <w:highlight w:val="none"/>
          <w:u w:val="none"/>
        </w:rPr>
      </w:pPr>
      <w:r>
        <w:rPr>
          <w:rFonts w:hint="eastAsia"/>
          <w:color w:val="auto"/>
          <w:highlight w:val="none"/>
          <w:u w:val="none"/>
          <w:lang w:val="en-US"/>
        </w:rPr>
        <w:t>1）</w:t>
      </w:r>
      <w:r>
        <w:rPr>
          <w:color w:val="auto"/>
          <w:highlight w:val="none"/>
          <w:u w:val="none"/>
        </w:rPr>
        <w:t>采用</w:t>
      </w:r>
      <w:r>
        <w:rPr>
          <w:rFonts w:hint="eastAsia"/>
          <w:color w:val="auto"/>
          <w:highlight w:val="none"/>
          <w:u w:val="none"/>
          <w:lang w:val="en-US"/>
        </w:rPr>
        <w:t>SLAB</w:t>
      </w:r>
      <w:r>
        <w:rPr>
          <w:color w:val="auto"/>
          <w:highlight w:val="none"/>
          <w:u w:val="none"/>
        </w:rPr>
        <w:t>模型进行进一步预测计算可知，最不利气象条件（预测气象条件为F类稳定度、1.5m/s风速、温度25℃、相对湿度50%）时，</w:t>
      </w:r>
      <w:r>
        <w:rPr>
          <w:rFonts w:hint="eastAsia"/>
          <w:color w:val="auto"/>
          <w:highlight w:val="none"/>
          <w:u w:val="none"/>
          <w:lang w:val="en-US"/>
        </w:rPr>
        <w:t>下风向均未超过</w:t>
      </w:r>
      <w:r>
        <w:rPr>
          <w:color w:val="auto"/>
          <w:highlight w:val="none"/>
          <w:u w:val="none"/>
        </w:rPr>
        <w:t>毒性终点浓度-1(380mg/m</w:t>
      </w:r>
      <w:r>
        <w:rPr>
          <w:rFonts w:hAnsi="Times New Roman"/>
          <w:color w:val="auto"/>
          <w:highlight w:val="none"/>
          <w:u w:val="none"/>
        </w:rPr>
        <w:t>³</w:t>
      </w:r>
      <w:r>
        <w:rPr>
          <w:color w:val="auto"/>
          <w:highlight w:val="none"/>
          <w:u w:val="none"/>
        </w:rPr>
        <w:t>)、毒性终点浓度-2(95mg/m</w:t>
      </w:r>
      <w:r>
        <w:rPr>
          <w:rFonts w:hAnsi="Times New Roman"/>
          <w:color w:val="auto"/>
          <w:highlight w:val="none"/>
          <w:u w:val="none"/>
        </w:rPr>
        <w:t>³</w:t>
      </w:r>
      <w:r>
        <w:rPr>
          <w:color w:val="auto"/>
          <w:highlight w:val="none"/>
          <w:u w:val="none"/>
        </w:rPr>
        <w:t>）。下风向最大浓度为</w:t>
      </w:r>
      <w:r>
        <w:rPr>
          <w:rFonts w:hint="eastAsia"/>
          <w:color w:val="auto"/>
          <w:highlight w:val="none"/>
          <w:u w:val="none"/>
          <w:lang w:val="en-US"/>
        </w:rPr>
        <w:t>22.12</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5.15</w:t>
      </w:r>
      <w:r>
        <w:rPr>
          <w:color w:val="auto"/>
          <w:highlight w:val="none"/>
          <w:u w:val="none"/>
        </w:rPr>
        <w:t>min、距污染物质泄漏点</w:t>
      </w:r>
      <w:r>
        <w:rPr>
          <w:rFonts w:hint="eastAsia"/>
          <w:color w:val="auto"/>
          <w:highlight w:val="none"/>
          <w:u w:val="none"/>
          <w:lang w:val="en-US"/>
        </w:rPr>
        <w:t>10</w:t>
      </w:r>
      <w:r>
        <w:rPr>
          <w:color w:val="auto"/>
          <w:highlight w:val="none"/>
          <w:u w:val="none"/>
        </w:rPr>
        <w:t>m处。</w:t>
      </w:r>
    </w:p>
    <w:p w14:paraId="024B3F33">
      <w:pPr>
        <w:rPr>
          <w:rFonts w:hint="eastAsia"/>
          <w:color w:val="auto"/>
          <w:highlight w:val="none"/>
          <w:u w:val="none"/>
        </w:rPr>
      </w:pPr>
      <w:r>
        <w:rPr>
          <w:rFonts w:hint="eastAsia"/>
          <w:color w:val="auto"/>
          <w:highlight w:val="none"/>
          <w:u w:val="none"/>
          <w:lang w:val="en-US"/>
        </w:rPr>
        <w:t>2）</w:t>
      </w:r>
      <w:r>
        <w:rPr>
          <w:color w:val="auto"/>
          <w:highlight w:val="none"/>
          <w:u w:val="none"/>
        </w:rPr>
        <w:t>采用</w:t>
      </w:r>
      <w:r>
        <w:rPr>
          <w:rFonts w:hint="eastAsia"/>
          <w:color w:val="auto"/>
          <w:highlight w:val="none"/>
          <w:u w:val="none"/>
          <w:lang w:val="en-US"/>
        </w:rPr>
        <w:t>SLAB</w:t>
      </w:r>
      <w:r>
        <w:rPr>
          <w:color w:val="auto"/>
          <w:highlight w:val="none"/>
          <w:u w:val="none"/>
        </w:rPr>
        <w:t>模型进行进一步预测计算可知，最常见气象条件（预测气象条件为D类稳定度，</w:t>
      </w:r>
      <w:r>
        <w:rPr>
          <w:rFonts w:hint="eastAsia"/>
          <w:color w:val="auto"/>
          <w:highlight w:val="none"/>
          <w:u w:val="none"/>
          <w:lang w:val="en-US"/>
        </w:rPr>
        <w:t>5.34</w:t>
      </w:r>
      <w:r>
        <w:rPr>
          <w:color w:val="auto"/>
          <w:highlight w:val="none"/>
          <w:u w:val="none"/>
        </w:rPr>
        <w:t>m/s风速，温度</w:t>
      </w:r>
      <w:r>
        <w:rPr>
          <w:rFonts w:hint="eastAsia"/>
          <w:color w:val="auto"/>
          <w:highlight w:val="none"/>
          <w:u w:val="none"/>
          <w:lang w:val="en-US"/>
        </w:rPr>
        <w:t>20.47</w:t>
      </w:r>
      <w:r>
        <w:rPr>
          <w:color w:val="auto"/>
          <w:highlight w:val="none"/>
          <w:u w:val="none"/>
        </w:rPr>
        <w:t>℃、年平均湿度76.71%）时，</w:t>
      </w:r>
      <w:r>
        <w:rPr>
          <w:rFonts w:hint="eastAsia"/>
          <w:color w:val="auto"/>
          <w:highlight w:val="none"/>
          <w:u w:val="none"/>
          <w:lang w:val="en-US"/>
        </w:rPr>
        <w:t>下风风均未超过</w:t>
      </w:r>
      <w:r>
        <w:rPr>
          <w:color w:val="auto"/>
          <w:highlight w:val="none"/>
          <w:u w:val="none"/>
        </w:rPr>
        <w:t>毒性终点浓度-1(380mg/m</w:t>
      </w:r>
      <w:r>
        <w:rPr>
          <w:rFonts w:hAnsi="Times New Roman"/>
          <w:color w:val="auto"/>
          <w:highlight w:val="none"/>
          <w:u w:val="none"/>
        </w:rPr>
        <w:t>³</w:t>
      </w:r>
      <w:r>
        <w:rPr>
          <w:color w:val="auto"/>
          <w:highlight w:val="none"/>
          <w:u w:val="none"/>
        </w:rPr>
        <w:t>)、毒性终点浓度-2(95mg/m</w:t>
      </w:r>
      <w:r>
        <w:rPr>
          <w:rFonts w:hAnsi="Times New Roman"/>
          <w:color w:val="auto"/>
          <w:highlight w:val="none"/>
          <w:u w:val="none"/>
        </w:rPr>
        <w:t>³</w:t>
      </w:r>
      <w:r>
        <w:rPr>
          <w:color w:val="auto"/>
          <w:highlight w:val="none"/>
          <w:u w:val="none"/>
        </w:rPr>
        <w:t>）。下风向最大浓度为</w:t>
      </w:r>
      <w:r>
        <w:rPr>
          <w:rFonts w:hint="eastAsia"/>
          <w:color w:val="auto"/>
          <w:highlight w:val="none"/>
          <w:u w:val="none"/>
          <w:lang w:val="en-US"/>
        </w:rPr>
        <w:t>26.15</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5.02</w:t>
      </w:r>
      <w:r>
        <w:rPr>
          <w:color w:val="auto"/>
          <w:highlight w:val="none"/>
          <w:u w:val="none"/>
        </w:rPr>
        <w:t>min、距污染物质泄漏点</w:t>
      </w:r>
      <w:r>
        <w:rPr>
          <w:rFonts w:hint="eastAsia"/>
          <w:color w:val="auto"/>
          <w:highlight w:val="none"/>
          <w:u w:val="none"/>
          <w:lang w:val="en-US"/>
        </w:rPr>
        <w:t>1</w:t>
      </w:r>
      <w:r>
        <w:rPr>
          <w:color w:val="auto"/>
          <w:highlight w:val="none"/>
          <w:u w:val="none"/>
        </w:rPr>
        <w:t>0m处。</w:t>
      </w:r>
    </w:p>
    <w:p w14:paraId="6F887009">
      <w:pPr>
        <w:pStyle w:val="7"/>
        <w:spacing w:before="120"/>
        <w:rPr>
          <w:color w:val="auto"/>
          <w:highlight w:val="none"/>
          <w:u w:val="none"/>
        </w:rPr>
      </w:pPr>
      <w:r>
        <w:rPr>
          <w:color w:val="auto"/>
          <w:highlight w:val="none"/>
          <w:u w:val="none"/>
        </w:rPr>
        <w:t>下风向不同距离处最大浓度及影响区域</w:t>
      </w:r>
    </w:p>
    <w:p w14:paraId="6509B2AD">
      <w:pPr>
        <w:rPr>
          <w:rFonts w:hint="eastAsia"/>
          <w:color w:val="auto"/>
          <w:highlight w:val="none"/>
          <w:u w:val="none"/>
        </w:rPr>
      </w:pPr>
      <w:r>
        <w:rPr>
          <w:color w:val="auto"/>
          <w:highlight w:val="none"/>
          <w:u w:val="none"/>
        </w:rPr>
        <w:t>采用</w:t>
      </w:r>
      <w:r>
        <w:rPr>
          <w:rFonts w:hint="eastAsia"/>
          <w:color w:val="auto"/>
          <w:highlight w:val="none"/>
          <w:u w:val="none"/>
          <w:lang w:val="en-US"/>
        </w:rPr>
        <w:t>SLAB</w:t>
      </w:r>
      <w:r>
        <w:rPr>
          <w:color w:val="auto"/>
          <w:highlight w:val="none"/>
          <w:u w:val="none"/>
        </w:rPr>
        <w:t>模型进行进一步预测计算可知，最不利气象条件时，下风向不同距离处一氧化碳的最大浓度见</w:t>
      </w:r>
      <w:r>
        <w:rPr>
          <w:color w:val="auto"/>
          <w:highlight w:val="none"/>
          <w:u w:val="none"/>
        </w:rPr>
        <w:fldChar w:fldCharType="begin"/>
      </w:r>
      <w:r>
        <w:rPr>
          <w:color w:val="auto"/>
          <w:highlight w:val="none"/>
          <w:u w:val="none"/>
        </w:rPr>
        <w:instrText xml:space="preserve"> REF _Ref149249939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6</w:t>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lang w:val="en-US"/>
        </w:rPr>
        <w:t>7</w:t>
      </w:r>
      <w:r>
        <w:rPr>
          <w:color w:val="auto"/>
          <w:highlight w:val="none"/>
          <w:u w:val="none"/>
        </w:rPr>
        <w:t>。</w:t>
      </w:r>
    </w:p>
    <w:p w14:paraId="44FF2127">
      <w:pPr>
        <w:pStyle w:val="7"/>
        <w:spacing w:before="120"/>
        <w:rPr>
          <w:color w:val="auto"/>
          <w:highlight w:val="none"/>
          <w:u w:val="none"/>
        </w:rPr>
      </w:pPr>
      <w:r>
        <w:rPr>
          <w:color w:val="auto"/>
          <w:highlight w:val="none"/>
          <w:u w:val="none"/>
        </w:rPr>
        <w:t>各关心点有毒有害气体大气伤害概率估算</w:t>
      </w:r>
    </w:p>
    <w:p w14:paraId="0E63B12B">
      <w:pPr>
        <w:rPr>
          <w:rFonts w:hint="eastAsia"/>
          <w:color w:val="auto"/>
          <w:highlight w:val="none"/>
          <w:u w:val="none"/>
        </w:rPr>
      </w:pPr>
      <w:r>
        <w:rPr>
          <w:color w:val="auto"/>
          <w:highlight w:val="none"/>
          <w:u w:val="none"/>
        </w:rPr>
        <w:t>最不利气象条件下，各关心点的一氧化碳最大浓度为</w:t>
      </w:r>
      <w:r>
        <w:rPr>
          <w:rFonts w:hint="eastAsia"/>
          <w:color w:val="auto"/>
          <w:highlight w:val="none"/>
          <w:u w:val="none"/>
          <w:lang w:val="en-US"/>
        </w:rPr>
        <w:t>1.59</w:t>
      </w:r>
      <w:r>
        <w:rPr>
          <w:color w:val="auto"/>
          <w:highlight w:val="none"/>
          <w:u w:val="none"/>
        </w:rPr>
        <w:t>mg/m</w:t>
      </w:r>
      <w:r>
        <w:rPr>
          <w:rFonts w:hAnsi="Times New Roman"/>
          <w:color w:val="auto"/>
          <w:highlight w:val="none"/>
          <w:u w:val="none"/>
        </w:rPr>
        <w:t>³</w:t>
      </w:r>
      <w:r>
        <w:rPr>
          <w:color w:val="auto"/>
          <w:highlight w:val="none"/>
          <w:u w:val="none"/>
        </w:rPr>
        <w:t>，常见气象条件下，各关心点的一氧化碳最大浓度为</w:t>
      </w:r>
      <w:r>
        <w:rPr>
          <w:rFonts w:hint="eastAsia"/>
          <w:color w:val="auto"/>
          <w:highlight w:val="none"/>
          <w:u w:val="none"/>
          <w:lang w:val="en-US"/>
        </w:rPr>
        <w:t>0.10</w:t>
      </w:r>
      <w:r>
        <w:rPr>
          <w:color w:val="auto"/>
          <w:highlight w:val="none"/>
          <w:u w:val="none"/>
        </w:rPr>
        <w:t>mg/m</w:t>
      </w:r>
      <w:r>
        <w:rPr>
          <w:rFonts w:hAnsi="Times New Roman"/>
          <w:color w:val="auto"/>
          <w:highlight w:val="none"/>
          <w:u w:val="none"/>
        </w:rPr>
        <w:t>³</w:t>
      </w:r>
      <w:r>
        <w:rPr>
          <w:color w:val="auto"/>
          <w:highlight w:val="none"/>
          <w:u w:val="none"/>
        </w:rPr>
        <w:t>，</w:t>
      </w:r>
      <w:r>
        <w:rPr>
          <w:rFonts w:hint="eastAsia"/>
          <w:color w:val="auto"/>
          <w:highlight w:val="none"/>
          <w:u w:val="none"/>
          <w:lang w:val="en-US"/>
        </w:rPr>
        <w:t>出现在东江水厂，均</w:t>
      </w:r>
      <w:r>
        <w:rPr>
          <w:color w:val="auto"/>
          <w:highlight w:val="none"/>
          <w:u w:val="none"/>
        </w:rPr>
        <w:t>未超过毒性终点浓度-1和毒性终点浓度-2；常见气象条件下各关心点氯气急性死亡概率为0。</w:t>
      </w:r>
    </w:p>
    <w:p w14:paraId="5E109574">
      <w:pPr>
        <w:pStyle w:val="6"/>
        <w:spacing w:before="120" w:after="120"/>
        <w:rPr>
          <w:color w:val="auto"/>
          <w:highlight w:val="none"/>
          <w:u w:val="none"/>
        </w:rPr>
      </w:pPr>
      <w:r>
        <w:rPr>
          <w:color w:val="auto"/>
          <w:highlight w:val="none"/>
          <w:u w:val="none"/>
        </w:rPr>
        <w:t>硝酸液池蒸发气相毒物危害预测</w:t>
      </w:r>
    </w:p>
    <w:p w14:paraId="65C7438E">
      <w:pPr>
        <w:rPr>
          <w:rFonts w:hint="eastAsia"/>
          <w:color w:val="auto"/>
          <w:highlight w:val="none"/>
          <w:u w:val="none"/>
        </w:rPr>
      </w:pPr>
      <w:r>
        <w:rPr>
          <w:color w:val="auto"/>
          <w:highlight w:val="none"/>
          <w:u w:val="none"/>
        </w:rPr>
        <w:t>根据EIApro</w:t>
      </w:r>
      <w:r>
        <w:rPr>
          <w:rFonts w:hint="eastAsia"/>
          <w:color w:val="auto"/>
          <w:highlight w:val="none"/>
          <w:u w:val="none"/>
        </w:rPr>
        <w:t>A</w:t>
      </w:r>
      <w:r>
        <w:rPr>
          <w:color w:val="auto"/>
          <w:highlight w:val="none"/>
          <w:u w:val="none"/>
        </w:rPr>
        <w:t>2018预测软件理查德森数估算可知，理查德森数Ri=7.724309E-02,Ri&lt;1/6，为轻质气体。扩散计算建议采用AFTOX模式。</w:t>
      </w:r>
    </w:p>
    <w:p w14:paraId="34D88624">
      <w:pPr>
        <w:pStyle w:val="7"/>
        <w:spacing w:before="120"/>
        <w:rPr>
          <w:color w:val="auto"/>
          <w:highlight w:val="none"/>
          <w:u w:val="none"/>
        </w:rPr>
      </w:pPr>
      <w:r>
        <w:rPr>
          <w:color w:val="auto"/>
          <w:highlight w:val="none"/>
          <w:u w:val="none"/>
        </w:rPr>
        <w:t>下风向最远距离、不同距离处最大浓度及对应半宽</w:t>
      </w:r>
    </w:p>
    <w:p w14:paraId="033E3200">
      <w:pPr>
        <w:rPr>
          <w:rFonts w:hint="eastAsia"/>
          <w:color w:val="auto"/>
          <w:highlight w:val="none"/>
          <w:u w:val="none"/>
          <w:lang w:val="en-US"/>
        </w:rPr>
      </w:pPr>
      <w:r>
        <w:rPr>
          <w:rFonts w:hint="eastAsia"/>
          <w:color w:val="auto"/>
          <w:highlight w:val="none"/>
          <w:u w:val="none"/>
          <w:lang w:val="en-US"/>
        </w:rPr>
        <w:t>（1）最不利</w:t>
      </w:r>
      <w:r>
        <w:rPr>
          <w:color w:val="auto"/>
          <w:highlight w:val="none"/>
          <w:u w:val="none"/>
        </w:rPr>
        <w:t>气象条件，下风向最远距离、不同距离处最大浓度及对应半宽</w:t>
      </w:r>
    </w:p>
    <w:p w14:paraId="0B20A9A0">
      <w:pPr>
        <w:rPr>
          <w:rFonts w:hint="eastAsia"/>
          <w:color w:val="auto"/>
          <w:highlight w:val="none"/>
          <w:u w:val="none"/>
        </w:rPr>
      </w:pPr>
      <w:r>
        <w:rPr>
          <w:color w:val="auto"/>
          <w:highlight w:val="none"/>
          <w:u w:val="none"/>
        </w:rPr>
        <w:t>采用AFTOX模型进行进一步预测计算可知，最不利气象条件（预测气象条件为F类稳定度、1.5m/s风速、温度25℃、相对湿度50%）时，毒性终点浓度-1(240mg/m</w:t>
      </w:r>
      <w:r>
        <w:rPr>
          <w:rFonts w:hAnsi="Times New Roman"/>
          <w:color w:val="auto"/>
          <w:highlight w:val="none"/>
          <w:u w:val="none"/>
        </w:rPr>
        <w:t>³</w:t>
      </w:r>
      <w:r>
        <w:rPr>
          <w:color w:val="auto"/>
          <w:highlight w:val="none"/>
          <w:u w:val="none"/>
        </w:rPr>
        <w:t>)、毒性终点浓度-2(62mg/m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0</w:t>
      </w:r>
      <w:r>
        <w:rPr>
          <w:color w:val="auto"/>
          <w:highlight w:val="none"/>
          <w:u w:val="none"/>
        </w:rPr>
        <w:t>m、</w:t>
      </w:r>
      <w:r>
        <w:rPr>
          <w:rFonts w:hint="eastAsia"/>
          <w:color w:val="auto"/>
          <w:highlight w:val="none"/>
          <w:u w:val="none"/>
          <w:lang w:val="en-US"/>
        </w:rPr>
        <w:t>190</w:t>
      </w:r>
      <w:r>
        <w:rPr>
          <w:color w:val="auto"/>
          <w:highlight w:val="none"/>
          <w:u w:val="none"/>
        </w:rPr>
        <w:t>m。下风向最大浓度为</w:t>
      </w:r>
      <w:r>
        <w:rPr>
          <w:rFonts w:hint="eastAsia"/>
          <w:color w:val="auto"/>
          <w:highlight w:val="none"/>
          <w:u w:val="none"/>
          <w:lang w:val="en-US"/>
        </w:rPr>
        <w:t>83.94</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1.11</w:t>
      </w:r>
      <w:r>
        <w:rPr>
          <w:color w:val="auto"/>
          <w:highlight w:val="none"/>
          <w:u w:val="none"/>
        </w:rPr>
        <w:t>min、距污染物质泄漏点</w:t>
      </w:r>
      <w:r>
        <w:rPr>
          <w:rFonts w:hint="eastAsia"/>
          <w:color w:val="auto"/>
          <w:highlight w:val="none"/>
          <w:u w:val="none"/>
          <w:lang w:val="en-US"/>
        </w:rPr>
        <w:t>100</w:t>
      </w:r>
      <w:r>
        <w:rPr>
          <w:color w:val="auto"/>
          <w:highlight w:val="none"/>
          <w:u w:val="none"/>
        </w:rPr>
        <w:t>m处。毒性终点浓度-2(62mg/m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4</w:t>
      </w:r>
      <w:r>
        <w:rPr>
          <w:color w:val="auto"/>
          <w:highlight w:val="none"/>
          <w:u w:val="none"/>
        </w:rPr>
        <w:t>m，出现在</w:t>
      </w:r>
      <w:r>
        <w:rPr>
          <w:rFonts w:hint="eastAsia"/>
          <w:color w:val="auto"/>
          <w:highlight w:val="none"/>
          <w:u w:val="none"/>
          <w:lang w:val="en-US"/>
        </w:rPr>
        <w:t>1.11</w:t>
      </w:r>
      <w:r>
        <w:rPr>
          <w:color w:val="auto"/>
          <w:highlight w:val="none"/>
          <w:u w:val="none"/>
        </w:rPr>
        <w:t>min、距污染物质泄漏点</w:t>
      </w:r>
      <w:r>
        <w:rPr>
          <w:rFonts w:hint="eastAsia"/>
          <w:color w:val="auto"/>
          <w:highlight w:val="none"/>
          <w:u w:val="none"/>
          <w:lang w:val="en-US"/>
        </w:rPr>
        <w:t>100</w:t>
      </w:r>
      <w:r>
        <w:rPr>
          <w:color w:val="auto"/>
          <w:highlight w:val="none"/>
          <w:u w:val="none"/>
        </w:rPr>
        <w:t>m处。</w:t>
      </w:r>
    </w:p>
    <w:p w14:paraId="3D7B25B2">
      <w:pPr>
        <w:rPr>
          <w:rFonts w:hint="eastAsia"/>
          <w:color w:val="auto"/>
          <w:highlight w:val="none"/>
          <w:u w:val="none"/>
        </w:rPr>
      </w:pPr>
      <w:r>
        <w:rPr>
          <w:color w:val="auto"/>
          <w:highlight w:val="none"/>
          <w:u w:val="none"/>
        </w:rPr>
        <w:t>（2）常见气象条件，下风向最远距离、不同距离处最大浓度及对应半宽。</w:t>
      </w:r>
    </w:p>
    <w:p w14:paraId="2F243D4E">
      <w:pPr>
        <w:rPr>
          <w:rFonts w:hint="eastAsia"/>
          <w:color w:val="auto"/>
          <w:highlight w:val="none"/>
          <w:u w:val="none"/>
        </w:rPr>
      </w:pPr>
      <w:r>
        <w:rPr>
          <w:color w:val="auto"/>
          <w:highlight w:val="none"/>
          <w:u w:val="none"/>
        </w:rPr>
        <w:t>采用AFTOX模型进行进一步预测计算可知，最常见气象条件（预测气象条件为D类稳定度，5.</w:t>
      </w:r>
      <w:r>
        <w:rPr>
          <w:rFonts w:hint="eastAsia"/>
          <w:color w:val="auto"/>
          <w:highlight w:val="none"/>
          <w:u w:val="none"/>
          <w:lang w:val="en-US"/>
        </w:rPr>
        <w:t>34</w:t>
      </w:r>
      <w:r>
        <w:rPr>
          <w:color w:val="auto"/>
          <w:highlight w:val="none"/>
          <w:u w:val="none"/>
        </w:rPr>
        <w:t>m/s风速，温度</w:t>
      </w:r>
      <w:r>
        <w:rPr>
          <w:rFonts w:hint="eastAsia"/>
          <w:color w:val="auto"/>
          <w:highlight w:val="none"/>
          <w:u w:val="none"/>
          <w:lang w:val="en-US"/>
        </w:rPr>
        <w:t>20.47</w:t>
      </w:r>
      <w:r>
        <w:rPr>
          <w:color w:val="auto"/>
          <w:highlight w:val="none"/>
          <w:u w:val="none"/>
        </w:rPr>
        <w:t>℃、年平均湿度76.71%）时，</w:t>
      </w:r>
      <w:r>
        <w:rPr>
          <w:rFonts w:hint="eastAsia"/>
          <w:color w:val="auto"/>
          <w:highlight w:val="none"/>
          <w:u w:val="none"/>
          <w:lang w:val="en-US"/>
        </w:rPr>
        <w:t>下风向均未超同</w:t>
      </w:r>
      <w:r>
        <w:rPr>
          <w:color w:val="auto"/>
          <w:highlight w:val="none"/>
          <w:u w:val="none"/>
        </w:rPr>
        <w:t>毒性终点浓度-1(</w:t>
      </w:r>
      <w:r>
        <w:rPr>
          <w:rFonts w:hint="eastAsia"/>
          <w:color w:val="auto"/>
          <w:highlight w:val="none"/>
          <w:u w:val="none"/>
          <w:lang w:val="en-US"/>
        </w:rPr>
        <w:t>240</w:t>
      </w:r>
      <w:r>
        <w:rPr>
          <w:color w:val="auto"/>
          <w:highlight w:val="none"/>
          <w:u w:val="none"/>
        </w:rPr>
        <w:t>mg/m</w:t>
      </w:r>
      <w:r>
        <w:rPr>
          <w:rFonts w:hAnsi="Times New Roman"/>
          <w:color w:val="auto"/>
          <w:highlight w:val="none"/>
          <w:u w:val="none"/>
        </w:rPr>
        <w:t>³</w:t>
      </w:r>
      <w:r>
        <w:rPr>
          <w:color w:val="auto"/>
          <w:highlight w:val="none"/>
          <w:u w:val="none"/>
        </w:rPr>
        <w:t>)</w:t>
      </w:r>
      <w:r>
        <w:rPr>
          <w:rFonts w:hint="eastAsia"/>
          <w:color w:val="auto"/>
          <w:highlight w:val="none"/>
          <w:u w:val="none"/>
          <w:lang w:val="en-US"/>
        </w:rPr>
        <w:t>与超出</w:t>
      </w:r>
      <w:r>
        <w:rPr>
          <w:color w:val="auto"/>
          <w:highlight w:val="none"/>
          <w:u w:val="none"/>
        </w:rPr>
        <w:t>毒性终点浓度-2(</w:t>
      </w:r>
      <w:r>
        <w:rPr>
          <w:rFonts w:hint="eastAsia"/>
          <w:color w:val="auto"/>
          <w:highlight w:val="none"/>
          <w:u w:val="none"/>
          <w:lang w:val="en-US"/>
        </w:rPr>
        <w:t>62</w:t>
      </w:r>
      <w:r>
        <w:rPr>
          <w:color w:val="auto"/>
          <w:highlight w:val="none"/>
          <w:u w:val="none"/>
        </w:rPr>
        <w:t>mg/m</w:t>
      </w:r>
      <w:r>
        <w:rPr>
          <w:rFonts w:hAnsi="Times New Roman"/>
          <w:color w:val="auto"/>
          <w:highlight w:val="none"/>
          <w:u w:val="none"/>
        </w:rPr>
        <w:t>³</w:t>
      </w:r>
      <w:r>
        <w:rPr>
          <w:color w:val="auto"/>
          <w:highlight w:val="none"/>
          <w:u w:val="none"/>
        </w:rPr>
        <w:t>）。下风向最大浓度为</w:t>
      </w:r>
      <w:r>
        <w:rPr>
          <w:rFonts w:hint="eastAsia"/>
          <w:color w:val="auto"/>
          <w:highlight w:val="none"/>
          <w:u w:val="none"/>
          <w:lang w:val="en-US"/>
        </w:rPr>
        <w:t>52.26</w:t>
      </w:r>
      <w:r>
        <w:rPr>
          <w:color w:val="auto"/>
          <w:highlight w:val="none"/>
          <w:u w:val="none"/>
        </w:rPr>
        <w:t>mg/m</w:t>
      </w:r>
      <w:r>
        <w:rPr>
          <w:rFonts w:hAnsi="Times New Roman"/>
          <w:color w:val="auto"/>
          <w:highlight w:val="none"/>
          <w:u w:val="none"/>
        </w:rPr>
        <w:t>³</w:t>
      </w:r>
      <w:r>
        <w:rPr>
          <w:color w:val="auto"/>
          <w:highlight w:val="none"/>
          <w:u w:val="none"/>
        </w:rPr>
        <w:t>，出现在0.</w:t>
      </w:r>
      <w:r>
        <w:rPr>
          <w:rFonts w:hint="eastAsia"/>
          <w:color w:val="auto"/>
          <w:highlight w:val="none"/>
          <w:u w:val="none"/>
          <w:lang w:val="en-US"/>
        </w:rPr>
        <w:t>16</w:t>
      </w:r>
      <w:r>
        <w:rPr>
          <w:color w:val="auto"/>
          <w:highlight w:val="none"/>
          <w:u w:val="none"/>
        </w:rPr>
        <w:t>min、距污染物质泄漏点</w:t>
      </w:r>
      <w:r>
        <w:rPr>
          <w:rFonts w:hint="eastAsia"/>
          <w:color w:val="auto"/>
          <w:highlight w:val="none"/>
          <w:u w:val="none"/>
          <w:lang w:val="en-US"/>
        </w:rPr>
        <w:t>50</w:t>
      </w:r>
      <w:r>
        <w:rPr>
          <w:color w:val="auto"/>
          <w:highlight w:val="none"/>
          <w:u w:val="none"/>
        </w:rPr>
        <w:t>m处。</w:t>
      </w:r>
    </w:p>
    <w:p w14:paraId="7C20B7D3">
      <w:pPr>
        <w:pStyle w:val="7"/>
        <w:spacing w:before="120"/>
        <w:rPr>
          <w:color w:val="auto"/>
          <w:highlight w:val="none"/>
          <w:u w:val="none"/>
        </w:rPr>
      </w:pPr>
      <w:r>
        <w:rPr>
          <w:color w:val="auto"/>
          <w:highlight w:val="none"/>
          <w:u w:val="none"/>
        </w:rPr>
        <w:t>各关心点有毒有害气体大气伤害概率估算</w:t>
      </w:r>
    </w:p>
    <w:p w14:paraId="44BE5873">
      <w:pPr>
        <w:rPr>
          <w:rFonts w:hint="eastAsia"/>
          <w:color w:val="auto"/>
          <w:highlight w:val="none"/>
          <w:u w:val="none"/>
        </w:rPr>
      </w:pPr>
      <w:r>
        <w:rPr>
          <w:color w:val="auto"/>
          <w:highlight w:val="none"/>
          <w:u w:val="none"/>
        </w:rPr>
        <w:t>最不利气象条件下，各关心点的硝酸最大浓度为</w:t>
      </w:r>
      <w:r>
        <w:rPr>
          <w:rFonts w:hint="eastAsia"/>
          <w:color w:val="auto"/>
          <w:highlight w:val="none"/>
          <w:u w:val="none"/>
          <w:lang w:val="en-US"/>
        </w:rPr>
        <w:t>1.87</w:t>
      </w:r>
      <w:r>
        <w:rPr>
          <w:color w:val="auto"/>
          <w:highlight w:val="none"/>
          <w:u w:val="none"/>
        </w:rPr>
        <w:t>mg/m</w:t>
      </w:r>
      <w:r>
        <w:rPr>
          <w:rFonts w:hAnsi="Times New Roman"/>
          <w:color w:val="auto"/>
          <w:highlight w:val="none"/>
          <w:u w:val="none"/>
        </w:rPr>
        <w:t>³</w:t>
      </w:r>
      <w:r>
        <w:rPr>
          <w:color w:val="auto"/>
          <w:highlight w:val="none"/>
          <w:u w:val="none"/>
        </w:rPr>
        <w:t>，常见气象条件下，各关心点的硝酸最大浓度为</w:t>
      </w:r>
      <w:r>
        <w:rPr>
          <w:rFonts w:hint="eastAsia"/>
          <w:color w:val="auto"/>
          <w:highlight w:val="none"/>
          <w:u w:val="none"/>
          <w:lang w:val="en-US"/>
        </w:rPr>
        <w:t>0.33</w:t>
      </w:r>
      <w:r>
        <w:rPr>
          <w:color w:val="auto"/>
          <w:highlight w:val="none"/>
          <w:u w:val="none"/>
        </w:rPr>
        <w:t>mg/m</w:t>
      </w:r>
      <w:r>
        <w:rPr>
          <w:rFonts w:hAnsi="Times New Roman"/>
          <w:color w:val="auto"/>
          <w:highlight w:val="none"/>
          <w:u w:val="none"/>
        </w:rPr>
        <w:t>³</w:t>
      </w:r>
      <w:r>
        <w:rPr>
          <w:rFonts w:hint="eastAsia" w:hAnsi="Times New Roman"/>
          <w:color w:val="auto"/>
          <w:highlight w:val="none"/>
          <w:u w:val="none"/>
        </w:rPr>
        <w:t>，</w:t>
      </w:r>
      <w:r>
        <w:rPr>
          <w:rFonts w:hint="eastAsia" w:hAnsi="Times New Roman"/>
          <w:color w:val="auto"/>
          <w:highlight w:val="none"/>
          <w:u w:val="none"/>
          <w:lang w:val="en-US"/>
        </w:rPr>
        <w:t>出现在东江水厂，均</w:t>
      </w:r>
      <w:r>
        <w:rPr>
          <w:color w:val="auto"/>
          <w:highlight w:val="none"/>
          <w:u w:val="none"/>
        </w:rPr>
        <w:t>未超过毒性终点浓度-1和毒性终点浓度-2；常见气象条件下各关心点硝酸泄漏导致急性死亡概率为0。</w:t>
      </w:r>
    </w:p>
    <w:p w14:paraId="2A4FF11E">
      <w:pPr>
        <w:pStyle w:val="6"/>
        <w:spacing w:before="120" w:after="120"/>
        <w:rPr>
          <w:color w:val="auto"/>
          <w:highlight w:val="none"/>
          <w:u w:val="none"/>
          <w:lang w:val="en-US"/>
        </w:rPr>
      </w:pPr>
      <w:r>
        <w:rPr>
          <w:rFonts w:hint="eastAsia"/>
          <w:color w:val="auto"/>
          <w:highlight w:val="none"/>
          <w:u w:val="none"/>
          <w:lang w:val="en-US"/>
        </w:rPr>
        <w:t>邻二氯苯（ODCB）储罐泄漏源强</w:t>
      </w:r>
    </w:p>
    <w:p w14:paraId="11B146AB">
      <w:pPr>
        <w:rPr>
          <w:rFonts w:hint="eastAsia"/>
          <w:color w:val="auto"/>
          <w:highlight w:val="none"/>
          <w:u w:val="none"/>
        </w:rPr>
      </w:pPr>
      <w:r>
        <w:rPr>
          <w:color w:val="auto"/>
          <w:highlight w:val="none"/>
          <w:u w:val="none"/>
        </w:rPr>
        <w:t>根据EIApro</w:t>
      </w:r>
      <w:r>
        <w:rPr>
          <w:rFonts w:hint="eastAsia"/>
          <w:color w:val="auto"/>
          <w:highlight w:val="none"/>
          <w:u w:val="none"/>
        </w:rPr>
        <w:t>A</w:t>
      </w:r>
      <w:r>
        <w:rPr>
          <w:color w:val="auto"/>
          <w:highlight w:val="none"/>
          <w:u w:val="none"/>
        </w:rPr>
        <w:t>2018预测软件理</w:t>
      </w:r>
      <w:r>
        <w:rPr>
          <w:rFonts w:hint="eastAsia"/>
          <w:color w:val="auto"/>
          <w:highlight w:val="none"/>
          <w:u w:val="none"/>
        </w:rPr>
        <w:t>理查德森数 Ri = 1.189897E-02,Ri&lt;1/6，为轻质气体。扩散计算建议采用 AFTOX 模式</w:t>
      </w:r>
      <w:r>
        <w:rPr>
          <w:color w:val="auto"/>
          <w:highlight w:val="none"/>
          <w:u w:val="none"/>
        </w:rPr>
        <w:t>。</w:t>
      </w:r>
    </w:p>
    <w:p w14:paraId="0F156F8E">
      <w:pPr>
        <w:pStyle w:val="7"/>
        <w:spacing w:before="120"/>
        <w:rPr>
          <w:color w:val="auto"/>
          <w:highlight w:val="none"/>
          <w:u w:val="none"/>
        </w:rPr>
      </w:pPr>
      <w:r>
        <w:rPr>
          <w:color w:val="auto"/>
          <w:highlight w:val="none"/>
          <w:u w:val="none"/>
        </w:rPr>
        <w:t>下风向最远距离、不同距离处最大浓度及对应半宽</w:t>
      </w:r>
    </w:p>
    <w:p w14:paraId="5DB7CAA1">
      <w:pPr>
        <w:rPr>
          <w:rFonts w:hint="eastAsia"/>
          <w:color w:val="auto"/>
          <w:highlight w:val="none"/>
          <w:u w:val="none"/>
          <w:lang w:val="en-US"/>
        </w:rPr>
      </w:pPr>
      <w:r>
        <w:rPr>
          <w:rFonts w:hint="eastAsia"/>
          <w:color w:val="auto"/>
          <w:highlight w:val="none"/>
          <w:u w:val="none"/>
          <w:lang w:val="en-US"/>
        </w:rPr>
        <w:t>（1）最不利</w:t>
      </w:r>
      <w:r>
        <w:rPr>
          <w:color w:val="auto"/>
          <w:highlight w:val="none"/>
          <w:u w:val="none"/>
        </w:rPr>
        <w:t>气象条件，下风向最远距离、不同距离处最大浓度及对应半宽</w:t>
      </w:r>
    </w:p>
    <w:p w14:paraId="3E307A83">
      <w:pPr>
        <w:rPr>
          <w:rFonts w:hint="eastAsia"/>
          <w:color w:val="auto"/>
          <w:highlight w:val="none"/>
          <w:u w:val="none"/>
        </w:rPr>
      </w:pPr>
      <w:r>
        <w:rPr>
          <w:color w:val="auto"/>
          <w:highlight w:val="none"/>
          <w:u w:val="none"/>
        </w:rPr>
        <w:t>采用AFTOX模型进行进一步预测计算可知，最不利气象条件（预测气象条件为F类稳定度、1.5m/s风速、温度25℃、相对湿度50%）时，</w:t>
      </w:r>
      <w:r>
        <w:rPr>
          <w:rFonts w:hint="eastAsia"/>
          <w:color w:val="auto"/>
          <w:highlight w:val="none"/>
          <w:u w:val="none"/>
          <w:lang w:val="en-US"/>
        </w:rPr>
        <w:t>下风风均未超出</w:t>
      </w:r>
      <w:r>
        <w:rPr>
          <w:color w:val="auto"/>
          <w:highlight w:val="none"/>
          <w:u w:val="none"/>
        </w:rPr>
        <w:t>毒性终点浓度-1(</w:t>
      </w:r>
      <w:r>
        <w:rPr>
          <w:rFonts w:hint="eastAsia"/>
          <w:color w:val="auto"/>
          <w:highlight w:val="none"/>
          <w:u w:val="none"/>
          <w:lang w:val="en-US"/>
        </w:rPr>
        <w:t>6000</w:t>
      </w:r>
      <w:r>
        <w:rPr>
          <w:color w:val="auto"/>
          <w:highlight w:val="none"/>
          <w:u w:val="none"/>
        </w:rPr>
        <w:t>mg/m</w:t>
      </w:r>
      <w:r>
        <w:rPr>
          <w:rFonts w:hAnsi="Times New Roman"/>
          <w:color w:val="auto"/>
          <w:highlight w:val="none"/>
          <w:u w:val="none"/>
        </w:rPr>
        <w:t>³</w:t>
      </w:r>
      <w:r>
        <w:rPr>
          <w:color w:val="auto"/>
          <w:highlight w:val="none"/>
          <w:u w:val="none"/>
        </w:rPr>
        <w:t>)、毒性终点浓度-2(</w:t>
      </w:r>
      <w:r>
        <w:rPr>
          <w:rFonts w:hint="eastAsia"/>
          <w:color w:val="auto"/>
          <w:highlight w:val="none"/>
          <w:u w:val="none"/>
          <w:lang w:val="en-US"/>
        </w:rPr>
        <w:t>1000</w:t>
      </w:r>
      <w:r>
        <w:rPr>
          <w:color w:val="auto"/>
          <w:highlight w:val="none"/>
          <w:u w:val="none"/>
        </w:rPr>
        <w:t>mg/m</w:t>
      </w:r>
      <w:r>
        <w:rPr>
          <w:rFonts w:hAnsi="Times New Roman"/>
          <w:color w:val="auto"/>
          <w:highlight w:val="none"/>
          <w:u w:val="none"/>
        </w:rPr>
        <w:t>³</w:t>
      </w:r>
      <w:r>
        <w:rPr>
          <w:color w:val="auto"/>
          <w:highlight w:val="none"/>
          <w:u w:val="none"/>
        </w:rPr>
        <w:t>）。下风向最大浓度为</w:t>
      </w:r>
      <w:r>
        <w:rPr>
          <w:rFonts w:hint="eastAsia"/>
          <w:color w:val="auto"/>
          <w:highlight w:val="none"/>
          <w:u w:val="none"/>
          <w:lang w:val="en-US"/>
        </w:rPr>
        <w:t>154.27</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0.11</w:t>
      </w:r>
      <w:r>
        <w:rPr>
          <w:color w:val="auto"/>
          <w:highlight w:val="none"/>
          <w:u w:val="none"/>
        </w:rPr>
        <w:t>min、距污染物质泄漏点</w:t>
      </w:r>
      <w:r>
        <w:rPr>
          <w:rFonts w:hint="eastAsia"/>
          <w:color w:val="auto"/>
          <w:highlight w:val="none"/>
          <w:u w:val="none"/>
          <w:lang w:val="en-US"/>
        </w:rPr>
        <w:t>10</w:t>
      </w:r>
      <w:r>
        <w:rPr>
          <w:color w:val="auto"/>
          <w:highlight w:val="none"/>
          <w:u w:val="none"/>
        </w:rPr>
        <w:t>m处。</w:t>
      </w:r>
    </w:p>
    <w:p w14:paraId="1C4D8646">
      <w:pPr>
        <w:rPr>
          <w:rFonts w:hint="eastAsia"/>
          <w:color w:val="auto"/>
          <w:highlight w:val="none"/>
          <w:u w:val="none"/>
        </w:rPr>
      </w:pPr>
      <w:r>
        <w:rPr>
          <w:color w:val="auto"/>
          <w:highlight w:val="none"/>
          <w:u w:val="none"/>
        </w:rPr>
        <w:t>（2）常见气象条件，下风向最远距离、不同距离处最大浓度及对应半宽。</w:t>
      </w:r>
    </w:p>
    <w:p w14:paraId="191290AC">
      <w:pPr>
        <w:rPr>
          <w:rFonts w:hint="eastAsia"/>
          <w:color w:val="auto"/>
          <w:highlight w:val="none"/>
          <w:u w:val="none"/>
        </w:rPr>
      </w:pPr>
      <w:r>
        <w:rPr>
          <w:color w:val="auto"/>
          <w:highlight w:val="none"/>
          <w:u w:val="none"/>
        </w:rPr>
        <w:t>采用AFTOX模型进行进一步预测计算可知，最不利气象条件（预测气象条件为F类稳定度、1.5m/s风速、温度25℃、相对湿度50%）时，</w:t>
      </w:r>
      <w:r>
        <w:rPr>
          <w:rFonts w:hint="eastAsia"/>
          <w:color w:val="auto"/>
          <w:highlight w:val="none"/>
          <w:u w:val="none"/>
          <w:lang w:val="en-US"/>
        </w:rPr>
        <w:t>下风风均未超出</w:t>
      </w:r>
      <w:r>
        <w:rPr>
          <w:color w:val="auto"/>
          <w:highlight w:val="none"/>
          <w:u w:val="none"/>
        </w:rPr>
        <w:t>毒性终点浓度-1(</w:t>
      </w:r>
      <w:r>
        <w:rPr>
          <w:rFonts w:hint="eastAsia"/>
          <w:color w:val="auto"/>
          <w:highlight w:val="none"/>
          <w:u w:val="none"/>
          <w:lang w:val="en-US"/>
        </w:rPr>
        <w:t>6000</w:t>
      </w:r>
      <w:r>
        <w:rPr>
          <w:color w:val="auto"/>
          <w:highlight w:val="none"/>
          <w:u w:val="none"/>
        </w:rPr>
        <w:t>mg/m</w:t>
      </w:r>
      <w:r>
        <w:rPr>
          <w:rFonts w:hAnsi="Times New Roman"/>
          <w:color w:val="auto"/>
          <w:highlight w:val="none"/>
          <w:u w:val="none"/>
        </w:rPr>
        <w:t>³</w:t>
      </w:r>
      <w:r>
        <w:rPr>
          <w:color w:val="auto"/>
          <w:highlight w:val="none"/>
          <w:u w:val="none"/>
        </w:rPr>
        <w:t>)、毒性终点浓度-2(</w:t>
      </w:r>
      <w:r>
        <w:rPr>
          <w:rFonts w:hint="eastAsia"/>
          <w:color w:val="auto"/>
          <w:highlight w:val="none"/>
          <w:u w:val="none"/>
          <w:lang w:val="en-US"/>
        </w:rPr>
        <w:t>1000</w:t>
      </w:r>
      <w:r>
        <w:rPr>
          <w:color w:val="auto"/>
          <w:highlight w:val="none"/>
          <w:u w:val="none"/>
        </w:rPr>
        <w:t>mg/m</w:t>
      </w:r>
      <w:r>
        <w:rPr>
          <w:rFonts w:hAnsi="Times New Roman"/>
          <w:color w:val="auto"/>
          <w:highlight w:val="none"/>
          <w:u w:val="none"/>
        </w:rPr>
        <w:t>³</w:t>
      </w:r>
      <w:r>
        <w:rPr>
          <w:color w:val="auto"/>
          <w:highlight w:val="none"/>
          <w:u w:val="none"/>
        </w:rPr>
        <w:t>）。下风向最大浓度为</w:t>
      </w:r>
      <w:r>
        <w:rPr>
          <w:rFonts w:hint="eastAsia"/>
          <w:color w:val="auto"/>
          <w:highlight w:val="none"/>
          <w:u w:val="none"/>
          <w:lang w:val="en-US"/>
        </w:rPr>
        <w:t>5.84</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0.12</w:t>
      </w:r>
      <w:r>
        <w:rPr>
          <w:color w:val="auto"/>
          <w:highlight w:val="none"/>
          <w:u w:val="none"/>
        </w:rPr>
        <w:t>min、距污染物质泄漏点</w:t>
      </w:r>
      <w:r>
        <w:rPr>
          <w:rFonts w:hint="eastAsia"/>
          <w:color w:val="auto"/>
          <w:highlight w:val="none"/>
          <w:u w:val="none"/>
          <w:lang w:val="en-US"/>
        </w:rPr>
        <w:t>40</w:t>
      </w:r>
      <w:r>
        <w:rPr>
          <w:color w:val="auto"/>
          <w:highlight w:val="none"/>
          <w:u w:val="none"/>
        </w:rPr>
        <w:t>m处。</w:t>
      </w:r>
    </w:p>
    <w:p w14:paraId="32E063A6">
      <w:pPr>
        <w:pStyle w:val="7"/>
        <w:spacing w:before="120"/>
        <w:rPr>
          <w:color w:val="auto"/>
          <w:highlight w:val="none"/>
          <w:u w:val="none"/>
        </w:rPr>
      </w:pPr>
      <w:r>
        <w:rPr>
          <w:color w:val="auto"/>
          <w:highlight w:val="none"/>
          <w:u w:val="none"/>
        </w:rPr>
        <w:t>各关心点有毒有害气体大气伤害概率估算</w:t>
      </w:r>
    </w:p>
    <w:p w14:paraId="6349F706">
      <w:pPr>
        <w:rPr>
          <w:rFonts w:hint="eastAsia"/>
          <w:color w:val="auto"/>
          <w:highlight w:val="none"/>
          <w:u w:val="none"/>
        </w:rPr>
      </w:pPr>
      <w:r>
        <w:rPr>
          <w:color w:val="auto"/>
          <w:highlight w:val="none"/>
          <w:u w:val="none"/>
        </w:rPr>
        <w:t>最不利气象条件下，各关心点的</w:t>
      </w:r>
      <w:r>
        <w:rPr>
          <w:rFonts w:hint="eastAsia"/>
          <w:color w:val="auto"/>
          <w:highlight w:val="none"/>
          <w:u w:val="none"/>
          <w:lang w:val="en-US"/>
        </w:rPr>
        <w:t>ODCB</w:t>
      </w:r>
      <w:r>
        <w:rPr>
          <w:color w:val="auto"/>
          <w:highlight w:val="none"/>
          <w:u w:val="none"/>
        </w:rPr>
        <w:t>最大浓度为</w:t>
      </w:r>
      <w:r>
        <w:rPr>
          <w:rFonts w:hint="eastAsia"/>
          <w:color w:val="auto"/>
          <w:highlight w:val="none"/>
          <w:u w:val="none"/>
          <w:lang w:val="en-US"/>
        </w:rPr>
        <w:t>0.084</w:t>
      </w:r>
      <w:r>
        <w:rPr>
          <w:color w:val="auto"/>
          <w:highlight w:val="none"/>
          <w:u w:val="none"/>
        </w:rPr>
        <w:t>mg/m</w:t>
      </w:r>
      <w:r>
        <w:rPr>
          <w:rFonts w:hAnsi="Times New Roman"/>
          <w:color w:val="auto"/>
          <w:highlight w:val="none"/>
          <w:u w:val="none"/>
        </w:rPr>
        <w:t>³</w:t>
      </w:r>
      <w:r>
        <w:rPr>
          <w:color w:val="auto"/>
          <w:highlight w:val="none"/>
          <w:u w:val="none"/>
        </w:rPr>
        <w:t>，常见气象条件下，各关心点的</w:t>
      </w:r>
      <w:r>
        <w:rPr>
          <w:rFonts w:hint="eastAsia"/>
          <w:color w:val="auto"/>
          <w:highlight w:val="none"/>
          <w:u w:val="none"/>
          <w:lang w:val="en-US"/>
        </w:rPr>
        <w:t>ODCB</w:t>
      </w:r>
      <w:r>
        <w:rPr>
          <w:color w:val="auto"/>
          <w:highlight w:val="none"/>
          <w:u w:val="none"/>
        </w:rPr>
        <w:t>最大浓度为</w:t>
      </w:r>
      <w:r>
        <w:rPr>
          <w:rFonts w:hint="eastAsia"/>
          <w:color w:val="auto"/>
          <w:highlight w:val="none"/>
          <w:u w:val="none"/>
          <w:lang w:val="en-US"/>
        </w:rPr>
        <w:t>0.029</w:t>
      </w:r>
      <w:r>
        <w:rPr>
          <w:color w:val="auto"/>
          <w:highlight w:val="none"/>
          <w:u w:val="none"/>
        </w:rPr>
        <w:t>mg/m</w:t>
      </w:r>
      <w:r>
        <w:rPr>
          <w:rFonts w:hAnsi="Times New Roman"/>
          <w:color w:val="auto"/>
          <w:highlight w:val="none"/>
          <w:u w:val="none"/>
        </w:rPr>
        <w:t>³</w:t>
      </w:r>
      <w:r>
        <w:rPr>
          <w:color w:val="auto"/>
          <w:highlight w:val="none"/>
          <w:u w:val="none"/>
        </w:rPr>
        <w:t>，</w:t>
      </w:r>
      <w:r>
        <w:rPr>
          <w:rFonts w:hint="eastAsia"/>
          <w:color w:val="auto"/>
          <w:highlight w:val="none"/>
          <w:u w:val="none"/>
          <w:lang w:val="en-US"/>
        </w:rPr>
        <w:t>出现在东江水厂，均</w:t>
      </w:r>
      <w:r>
        <w:rPr>
          <w:color w:val="auto"/>
          <w:highlight w:val="none"/>
          <w:u w:val="none"/>
        </w:rPr>
        <w:t>未超过毒性终点浓度-1和毒性终点浓度-2；常见气象条件下各关心点</w:t>
      </w:r>
      <w:r>
        <w:rPr>
          <w:rFonts w:hint="eastAsia"/>
          <w:color w:val="auto"/>
          <w:highlight w:val="none"/>
          <w:u w:val="none"/>
          <w:lang w:val="en-US"/>
        </w:rPr>
        <w:t>ODCB</w:t>
      </w:r>
      <w:r>
        <w:rPr>
          <w:color w:val="auto"/>
          <w:highlight w:val="none"/>
          <w:u w:val="none"/>
        </w:rPr>
        <w:t>泄漏导致急性死亡概率为0。</w:t>
      </w:r>
    </w:p>
    <w:p w14:paraId="499F109B">
      <w:pPr>
        <w:pStyle w:val="6"/>
        <w:spacing w:before="120" w:after="120"/>
        <w:rPr>
          <w:color w:val="auto"/>
          <w:highlight w:val="none"/>
          <w:u w:val="none"/>
          <w:lang w:val="en-US"/>
        </w:rPr>
      </w:pPr>
      <w:r>
        <w:rPr>
          <w:rFonts w:hint="eastAsia"/>
          <w:color w:val="auto"/>
          <w:highlight w:val="none"/>
          <w:u w:val="none"/>
          <w:lang w:val="en-US"/>
        </w:rPr>
        <w:t>DNT储罐火灾事故</w:t>
      </w:r>
    </w:p>
    <w:p w14:paraId="03CBED2A">
      <w:pPr>
        <w:rPr>
          <w:rFonts w:hint="eastAsia"/>
          <w:color w:val="auto"/>
          <w:highlight w:val="none"/>
          <w:u w:val="none"/>
          <w:lang w:val="en-US"/>
        </w:rPr>
      </w:pPr>
      <w:r>
        <w:rPr>
          <w:color w:val="auto"/>
          <w:highlight w:val="none"/>
          <w:u w:val="none"/>
        </w:rPr>
        <w:t>根据EIApro</w:t>
      </w:r>
      <w:r>
        <w:rPr>
          <w:rFonts w:hint="eastAsia"/>
          <w:color w:val="auto"/>
          <w:highlight w:val="none"/>
          <w:u w:val="none"/>
        </w:rPr>
        <w:t>A</w:t>
      </w:r>
      <w:r>
        <w:rPr>
          <w:color w:val="auto"/>
          <w:highlight w:val="none"/>
          <w:u w:val="none"/>
        </w:rPr>
        <w:t>2018预测软件</w:t>
      </w:r>
      <w:r>
        <w:rPr>
          <w:rFonts w:hint="eastAsia"/>
          <w:bCs/>
          <w:color w:val="auto"/>
          <w:highlight w:val="none"/>
          <w:u w:val="none"/>
        </w:rPr>
        <w:t>理查德森数 Ri = 1.128371,Ri≥1/6，为重质气体。扩散计算建议采用 SLAB 模式。</w:t>
      </w:r>
    </w:p>
    <w:p w14:paraId="55F11679">
      <w:pPr>
        <w:pStyle w:val="7"/>
        <w:spacing w:before="120"/>
        <w:rPr>
          <w:color w:val="auto"/>
          <w:highlight w:val="none"/>
          <w:u w:val="none"/>
        </w:rPr>
      </w:pPr>
      <w:r>
        <w:rPr>
          <w:color w:val="auto"/>
          <w:highlight w:val="none"/>
          <w:u w:val="none"/>
        </w:rPr>
        <w:t>下风向最远距离、不同距离处最大浓度及对应半宽</w:t>
      </w:r>
    </w:p>
    <w:p w14:paraId="30F803E1">
      <w:pPr>
        <w:numPr>
          <w:ilvl w:val="0"/>
          <w:numId w:val="12"/>
        </w:numPr>
        <w:rPr>
          <w:rFonts w:hint="eastAsia"/>
          <w:color w:val="auto"/>
          <w:highlight w:val="none"/>
          <w:u w:val="none"/>
        </w:rPr>
      </w:pPr>
      <w:r>
        <w:rPr>
          <w:color w:val="auto"/>
          <w:highlight w:val="none"/>
          <w:u w:val="none"/>
        </w:rPr>
        <w:t>采用</w:t>
      </w:r>
      <w:r>
        <w:rPr>
          <w:rFonts w:hint="eastAsia"/>
          <w:bCs/>
          <w:color w:val="auto"/>
          <w:highlight w:val="none"/>
          <w:u w:val="none"/>
          <w:lang w:val="en-US"/>
        </w:rPr>
        <w:t>SLAB模型</w:t>
      </w:r>
      <w:r>
        <w:rPr>
          <w:color w:val="auto"/>
          <w:highlight w:val="none"/>
          <w:u w:val="none"/>
        </w:rPr>
        <w:t>进行进一步预测计算可知，最不利气象条件（预测气象条件为F类稳定度、1.5m/s风速、温度25℃、相对湿度50%）时，毒性终点浓度-1(</w:t>
      </w:r>
      <w:r>
        <w:rPr>
          <w:rFonts w:hint="eastAsia"/>
          <w:color w:val="auto"/>
          <w:highlight w:val="none"/>
          <w:u w:val="none"/>
          <w:lang w:val="en-US"/>
        </w:rPr>
        <w:t>380</w:t>
      </w:r>
      <w:r>
        <w:rPr>
          <w:color w:val="auto"/>
          <w:highlight w:val="none"/>
          <w:u w:val="none"/>
        </w:rPr>
        <w:t>mg/m</w:t>
      </w:r>
      <w:r>
        <w:rPr>
          <w:rFonts w:hAnsi="Times New Roman"/>
          <w:color w:val="auto"/>
          <w:highlight w:val="none"/>
          <w:u w:val="none"/>
        </w:rPr>
        <w:t>³</w:t>
      </w:r>
      <w:r>
        <w:rPr>
          <w:color w:val="auto"/>
          <w:highlight w:val="none"/>
          <w:u w:val="none"/>
        </w:rPr>
        <w:t>)、毒性终点浓度-2(</w:t>
      </w:r>
      <w:r>
        <w:rPr>
          <w:rFonts w:hint="eastAsia"/>
          <w:color w:val="auto"/>
          <w:highlight w:val="none"/>
          <w:u w:val="none"/>
          <w:lang w:val="en-US"/>
        </w:rPr>
        <w:t>95</w:t>
      </w:r>
      <w:r>
        <w:rPr>
          <w:color w:val="auto"/>
          <w:highlight w:val="none"/>
          <w:u w:val="none"/>
        </w:rPr>
        <w:t>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640</w:t>
      </w:r>
      <w:r>
        <w:rPr>
          <w:color w:val="auto"/>
          <w:highlight w:val="none"/>
          <w:u w:val="none"/>
        </w:rPr>
        <w:t>m、</w:t>
      </w:r>
      <w:r>
        <w:rPr>
          <w:rFonts w:hint="eastAsia"/>
          <w:color w:val="auto"/>
          <w:highlight w:val="none"/>
          <w:u w:val="none"/>
          <w:lang w:val="en-US"/>
        </w:rPr>
        <w:t>830</w:t>
      </w:r>
      <w:r>
        <w:rPr>
          <w:color w:val="auto"/>
          <w:highlight w:val="none"/>
          <w:u w:val="none"/>
        </w:rPr>
        <w:t>m。下风向最大浓度为</w:t>
      </w:r>
      <w:r>
        <w:rPr>
          <w:rFonts w:hint="eastAsia"/>
          <w:color w:val="auto"/>
          <w:highlight w:val="none"/>
          <w:u w:val="none"/>
          <w:lang w:val="en-US"/>
        </w:rPr>
        <w:t>8913.3</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30.06</w:t>
      </w:r>
      <w:r>
        <w:rPr>
          <w:color w:val="auto"/>
          <w:highlight w:val="none"/>
          <w:u w:val="none"/>
        </w:rPr>
        <w:t>min、距污染物质泄漏点</w:t>
      </w:r>
      <w:r>
        <w:rPr>
          <w:rFonts w:hint="eastAsia"/>
          <w:color w:val="auto"/>
          <w:highlight w:val="none"/>
          <w:u w:val="none"/>
          <w:lang w:val="en-US"/>
        </w:rPr>
        <w:t>10</w:t>
      </w:r>
      <w:r>
        <w:rPr>
          <w:color w:val="auto"/>
          <w:highlight w:val="none"/>
          <w:u w:val="none"/>
        </w:rPr>
        <w:t>m处。毒性终点浓度-1(</w:t>
      </w:r>
      <w:r>
        <w:rPr>
          <w:rFonts w:hint="eastAsia"/>
          <w:color w:val="auto"/>
          <w:highlight w:val="none"/>
          <w:u w:val="none"/>
          <w:lang w:val="en-US"/>
        </w:rPr>
        <w:t>380</w:t>
      </w:r>
      <w:r>
        <w:rPr>
          <w:color w:val="auto"/>
          <w:highlight w:val="none"/>
          <w:u w:val="none"/>
        </w:rPr>
        <w:t>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56</w:t>
      </w:r>
      <w:r>
        <w:rPr>
          <w:color w:val="auto"/>
          <w:highlight w:val="none"/>
          <w:u w:val="none"/>
        </w:rPr>
        <w:t>m，出现在</w:t>
      </w:r>
      <w:r>
        <w:rPr>
          <w:rFonts w:hint="eastAsia"/>
          <w:color w:val="auto"/>
          <w:highlight w:val="none"/>
          <w:u w:val="none"/>
          <w:lang w:val="en-US"/>
        </w:rPr>
        <w:t>32.45</w:t>
      </w:r>
      <w:r>
        <w:rPr>
          <w:color w:val="auto"/>
          <w:highlight w:val="none"/>
          <w:u w:val="none"/>
        </w:rPr>
        <w:t>min、距污染物质泄漏点</w:t>
      </w:r>
      <w:r>
        <w:rPr>
          <w:rFonts w:hint="eastAsia"/>
          <w:color w:val="auto"/>
          <w:highlight w:val="none"/>
          <w:u w:val="none"/>
          <w:lang w:val="en-US"/>
        </w:rPr>
        <w:t>370</w:t>
      </w:r>
      <w:r>
        <w:rPr>
          <w:color w:val="auto"/>
          <w:highlight w:val="none"/>
          <w:u w:val="none"/>
        </w:rPr>
        <w:t>m处；毒性终点浓度-2(</w:t>
      </w:r>
      <w:r>
        <w:rPr>
          <w:rFonts w:hint="eastAsia"/>
          <w:color w:val="auto"/>
          <w:highlight w:val="none"/>
          <w:u w:val="none"/>
          <w:lang w:val="en-US"/>
        </w:rPr>
        <w:t>95</w:t>
      </w:r>
      <w:r>
        <w:rPr>
          <w:color w:val="auto"/>
          <w:highlight w:val="none"/>
          <w:u w:val="none"/>
        </w:rPr>
        <w:t>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84</w:t>
      </w:r>
      <w:r>
        <w:rPr>
          <w:color w:val="auto"/>
          <w:highlight w:val="none"/>
          <w:u w:val="none"/>
        </w:rPr>
        <w:t>m，出现在</w:t>
      </w:r>
      <w:r>
        <w:rPr>
          <w:rFonts w:hint="eastAsia"/>
          <w:color w:val="auto"/>
          <w:highlight w:val="none"/>
          <w:u w:val="none"/>
          <w:lang w:val="en-US"/>
        </w:rPr>
        <w:t>33.18</w:t>
      </w:r>
      <w:r>
        <w:rPr>
          <w:color w:val="auto"/>
          <w:highlight w:val="none"/>
          <w:u w:val="none"/>
        </w:rPr>
        <w:t>min、距污染物质泄漏点</w:t>
      </w:r>
      <w:r>
        <w:rPr>
          <w:rFonts w:hint="eastAsia"/>
          <w:color w:val="auto"/>
          <w:highlight w:val="none"/>
          <w:u w:val="none"/>
          <w:lang w:val="en-US"/>
        </w:rPr>
        <w:t>480</w:t>
      </w:r>
      <w:r>
        <w:rPr>
          <w:color w:val="auto"/>
          <w:highlight w:val="none"/>
          <w:u w:val="none"/>
        </w:rPr>
        <w:t>m处。</w:t>
      </w:r>
    </w:p>
    <w:p w14:paraId="563E5028">
      <w:pPr>
        <w:rPr>
          <w:rFonts w:hint="eastAsia"/>
          <w:color w:val="auto"/>
          <w:highlight w:val="none"/>
          <w:u w:val="none"/>
        </w:rPr>
      </w:pPr>
      <w:r>
        <w:rPr>
          <w:rFonts w:hint="eastAsia"/>
          <w:color w:val="auto"/>
          <w:highlight w:val="none"/>
          <w:u w:val="none"/>
          <w:lang w:val="en-US"/>
        </w:rPr>
        <w:t>2）</w:t>
      </w:r>
      <w:r>
        <w:rPr>
          <w:color w:val="auto"/>
          <w:highlight w:val="none"/>
          <w:u w:val="none"/>
        </w:rPr>
        <w:t>采用</w:t>
      </w:r>
      <w:r>
        <w:rPr>
          <w:rFonts w:hint="eastAsia"/>
          <w:bCs/>
          <w:color w:val="auto"/>
          <w:highlight w:val="none"/>
          <w:u w:val="none"/>
          <w:lang w:val="en-US"/>
        </w:rPr>
        <w:t>SLAB模型</w:t>
      </w:r>
      <w:r>
        <w:rPr>
          <w:color w:val="auto"/>
          <w:highlight w:val="none"/>
          <w:u w:val="none"/>
        </w:rPr>
        <w:t>进行进一步预测计算可知，最常见气象条件（预测气象条件为D类稳定度，5.</w:t>
      </w:r>
      <w:r>
        <w:rPr>
          <w:rFonts w:hint="eastAsia"/>
          <w:color w:val="auto"/>
          <w:highlight w:val="none"/>
          <w:u w:val="none"/>
          <w:lang w:val="en-US"/>
        </w:rPr>
        <w:t>34</w:t>
      </w:r>
      <w:r>
        <w:rPr>
          <w:color w:val="auto"/>
          <w:highlight w:val="none"/>
          <w:u w:val="none"/>
        </w:rPr>
        <w:t>m/s风速，温度</w:t>
      </w:r>
      <w:r>
        <w:rPr>
          <w:rFonts w:hint="eastAsia"/>
          <w:color w:val="auto"/>
          <w:highlight w:val="none"/>
          <w:u w:val="none"/>
          <w:lang w:val="en-US"/>
        </w:rPr>
        <w:t>20.47</w:t>
      </w:r>
      <w:r>
        <w:rPr>
          <w:color w:val="auto"/>
          <w:highlight w:val="none"/>
          <w:u w:val="none"/>
        </w:rPr>
        <w:t>℃、年平均湿度76.71%）时，毒性终点浓度-1(</w:t>
      </w:r>
      <w:r>
        <w:rPr>
          <w:rFonts w:hint="eastAsia"/>
          <w:color w:val="auto"/>
          <w:highlight w:val="none"/>
          <w:u w:val="none"/>
          <w:lang w:val="en-US"/>
        </w:rPr>
        <w:t>380</w:t>
      </w:r>
      <w:r>
        <w:rPr>
          <w:color w:val="auto"/>
          <w:highlight w:val="none"/>
          <w:u w:val="none"/>
        </w:rPr>
        <w:t>mg/m</w:t>
      </w:r>
      <w:r>
        <w:rPr>
          <w:rFonts w:hAnsi="Times New Roman"/>
          <w:color w:val="auto"/>
          <w:highlight w:val="none"/>
          <w:u w:val="none"/>
        </w:rPr>
        <w:t>³</w:t>
      </w:r>
      <w:r>
        <w:rPr>
          <w:color w:val="auto"/>
          <w:highlight w:val="none"/>
          <w:u w:val="none"/>
        </w:rPr>
        <w:t>)、毒性终点浓度-2(</w:t>
      </w:r>
      <w:r>
        <w:rPr>
          <w:rFonts w:hint="eastAsia"/>
          <w:color w:val="auto"/>
          <w:highlight w:val="none"/>
          <w:u w:val="none"/>
          <w:lang w:val="en-US"/>
        </w:rPr>
        <w:t>95</w:t>
      </w:r>
      <w:r>
        <w:rPr>
          <w:color w:val="auto"/>
          <w:highlight w:val="none"/>
          <w:u w:val="none"/>
        </w:rPr>
        <w:t>mg/m</w:t>
      </w:r>
      <w:r>
        <w:rPr>
          <w:rFonts w:hAnsi="Times New Roman"/>
          <w:color w:val="auto"/>
          <w:highlight w:val="none"/>
          <w:u w:val="none"/>
        </w:rPr>
        <w:t>³</w:t>
      </w:r>
      <w:r>
        <w:rPr>
          <w:color w:val="auto"/>
          <w:highlight w:val="none"/>
          <w:u w:val="none"/>
        </w:rPr>
        <w:t>）对应的下风向最远距离分别为</w:t>
      </w:r>
      <w:r>
        <w:rPr>
          <w:rFonts w:hint="eastAsia"/>
          <w:color w:val="auto"/>
          <w:highlight w:val="none"/>
          <w:u w:val="none"/>
          <w:lang w:val="en-US"/>
        </w:rPr>
        <w:t>320</w:t>
      </w:r>
      <w:r>
        <w:rPr>
          <w:color w:val="auto"/>
          <w:highlight w:val="none"/>
          <w:u w:val="none"/>
        </w:rPr>
        <w:t>m、</w:t>
      </w:r>
      <w:r>
        <w:rPr>
          <w:rFonts w:hint="eastAsia"/>
          <w:color w:val="auto"/>
          <w:highlight w:val="none"/>
          <w:u w:val="none"/>
          <w:lang w:val="en-US"/>
        </w:rPr>
        <w:t>750</w:t>
      </w:r>
      <w:r>
        <w:rPr>
          <w:color w:val="auto"/>
          <w:highlight w:val="none"/>
          <w:u w:val="none"/>
        </w:rPr>
        <w:t>m。下风向最大浓度为</w:t>
      </w:r>
      <w:r>
        <w:rPr>
          <w:rFonts w:hint="eastAsia"/>
          <w:color w:val="auto"/>
          <w:highlight w:val="none"/>
          <w:u w:val="none"/>
          <w:lang w:val="en-US"/>
        </w:rPr>
        <w:t>7073.7</w:t>
      </w:r>
      <w:r>
        <w:rPr>
          <w:color w:val="auto"/>
          <w:highlight w:val="none"/>
          <w:u w:val="none"/>
        </w:rPr>
        <w:t>mg/m</w:t>
      </w:r>
      <w:r>
        <w:rPr>
          <w:rFonts w:hAnsi="Times New Roman"/>
          <w:color w:val="auto"/>
          <w:highlight w:val="none"/>
          <w:u w:val="none"/>
        </w:rPr>
        <w:t>³</w:t>
      </w:r>
      <w:r>
        <w:rPr>
          <w:color w:val="auto"/>
          <w:highlight w:val="none"/>
          <w:u w:val="none"/>
        </w:rPr>
        <w:t>，出现在</w:t>
      </w:r>
      <w:r>
        <w:rPr>
          <w:rFonts w:hint="eastAsia"/>
          <w:color w:val="auto"/>
          <w:highlight w:val="none"/>
          <w:u w:val="none"/>
          <w:lang w:val="en-US"/>
        </w:rPr>
        <w:t>30.01</w:t>
      </w:r>
      <w:r>
        <w:rPr>
          <w:color w:val="auto"/>
          <w:highlight w:val="none"/>
          <w:u w:val="none"/>
        </w:rPr>
        <w:t>min、距污染物质泄漏点</w:t>
      </w:r>
      <w:r>
        <w:rPr>
          <w:rFonts w:hint="eastAsia"/>
          <w:color w:val="auto"/>
          <w:highlight w:val="none"/>
          <w:u w:val="none"/>
          <w:lang w:val="en-US"/>
        </w:rPr>
        <w:t>10</w:t>
      </w:r>
      <w:r>
        <w:rPr>
          <w:color w:val="auto"/>
          <w:highlight w:val="none"/>
          <w:u w:val="none"/>
        </w:rPr>
        <w:t>m处。毒性终点浓度-1(</w:t>
      </w:r>
      <w:r>
        <w:rPr>
          <w:rFonts w:hint="eastAsia"/>
          <w:color w:val="auto"/>
          <w:highlight w:val="none"/>
          <w:u w:val="none"/>
          <w:lang w:val="en-US"/>
        </w:rPr>
        <w:t>380</w:t>
      </w:r>
      <w:r>
        <w:rPr>
          <w:color w:val="auto"/>
          <w:highlight w:val="none"/>
          <w:u w:val="none"/>
        </w:rPr>
        <w:t>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30</w:t>
      </w:r>
      <w:r>
        <w:rPr>
          <w:color w:val="auto"/>
          <w:highlight w:val="none"/>
          <w:u w:val="none"/>
        </w:rPr>
        <w:t>m，出现在</w:t>
      </w:r>
      <w:r>
        <w:rPr>
          <w:rFonts w:hint="eastAsia"/>
          <w:color w:val="auto"/>
          <w:highlight w:val="none"/>
          <w:u w:val="none"/>
          <w:lang w:val="en-US"/>
        </w:rPr>
        <w:t>30.21</w:t>
      </w:r>
      <w:r>
        <w:rPr>
          <w:color w:val="auto"/>
          <w:highlight w:val="none"/>
          <w:u w:val="none"/>
        </w:rPr>
        <w:t>min、距污染物质泄漏点</w:t>
      </w:r>
      <w:r>
        <w:rPr>
          <w:rFonts w:hint="eastAsia"/>
          <w:color w:val="auto"/>
          <w:highlight w:val="none"/>
          <w:u w:val="none"/>
          <w:lang w:val="en-US"/>
        </w:rPr>
        <w:t>140</w:t>
      </w:r>
      <w:r>
        <w:rPr>
          <w:color w:val="auto"/>
          <w:highlight w:val="none"/>
          <w:u w:val="none"/>
        </w:rPr>
        <w:t>m处；毒性终点浓度-2(</w:t>
      </w:r>
      <w:r>
        <w:rPr>
          <w:rFonts w:hint="eastAsia"/>
          <w:color w:val="auto"/>
          <w:highlight w:val="none"/>
          <w:u w:val="none"/>
          <w:lang w:val="en-US"/>
        </w:rPr>
        <w:t>95</w:t>
      </w:r>
      <w:r>
        <w:rPr>
          <w:color w:val="auto"/>
          <w:highlight w:val="none"/>
          <w:u w:val="none"/>
        </w:rPr>
        <w:t>mg/m</w:t>
      </w:r>
      <w:r>
        <w:rPr>
          <w:rFonts w:hAnsi="Times New Roman"/>
          <w:color w:val="auto"/>
          <w:highlight w:val="none"/>
          <w:u w:val="none"/>
        </w:rPr>
        <w:t>³</w:t>
      </w:r>
      <w:r>
        <w:rPr>
          <w:color w:val="auto"/>
          <w:highlight w:val="none"/>
          <w:u w:val="none"/>
        </w:rPr>
        <w:t>），对应的最大半宽为</w:t>
      </w:r>
      <w:r>
        <w:rPr>
          <w:rFonts w:hint="eastAsia"/>
          <w:color w:val="auto"/>
          <w:highlight w:val="none"/>
          <w:u w:val="none"/>
          <w:lang w:val="en-US"/>
        </w:rPr>
        <w:t>62</w:t>
      </w:r>
      <w:r>
        <w:rPr>
          <w:color w:val="auto"/>
          <w:highlight w:val="none"/>
          <w:u w:val="none"/>
        </w:rPr>
        <w:t>m，出现在</w:t>
      </w:r>
      <w:r>
        <w:rPr>
          <w:rFonts w:hint="eastAsia"/>
          <w:color w:val="auto"/>
          <w:highlight w:val="none"/>
          <w:u w:val="none"/>
          <w:lang w:val="en-US"/>
        </w:rPr>
        <w:t>30.55</w:t>
      </w:r>
      <w:r>
        <w:rPr>
          <w:color w:val="auto"/>
          <w:highlight w:val="none"/>
          <w:u w:val="none"/>
        </w:rPr>
        <w:t>min、距污染物质泄漏点</w:t>
      </w:r>
      <w:r>
        <w:rPr>
          <w:rFonts w:hint="eastAsia"/>
          <w:color w:val="auto"/>
          <w:highlight w:val="none"/>
          <w:u w:val="none"/>
          <w:lang w:val="en-US"/>
        </w:rPr>
        <w:t>360</w:t>
      </w:r>
      <w:r>
        <w:rPr>
          <w:color w:val="auto"/>
          <w:highlight w:val="none"/>
          <w:u w:val="none"/>
        </w:rPr>
        <w:t>m处。</w:t>
      </w:r>
    </w:p>
    <w:p w14:paraId="4342D37C">
      <w:pPr>
        <w:pStyle w:val="7"/>
        <w:spacing w:before="120"/>
        <w:rPr>
          <w:color w:val="auto"/>
          <w:highlight w:val="none"/>
          <w:u w:val="none"/>
        </w:rPr>
      </w:pPr>
      <w:r>
        <w:rPr>
          <w:color w:val="auto"/>
          <w:highlight w:val="none"/>
          <w:u w:val="none"/>
        </w:rPr>
        <w:t>各关心点有毒有害气体大气伤害概率估算</w:t>
      </w:r>
    </w:p>
    <w:p w14:paraId="034E0075">
      <w:pPr>
        <w:rPr>
          <w:rFonts w:hint="eastAsia"/>
          <w:color w:val="auto"/>
          <w:highlight w:val="none"/>
          <w:u w:val="none"/>
        </w:rPr>
      </w:pPr>
      <w:r>
        <w:rPr>
          <w:color w:val="auto"/>
          <w:highlight w:val="none"/>
          <w:u w:val="none"/>
        </w:rPr>
        <w:t>最不利气象条件下，各关心点的</w:t>
      </w:r>
      <w:r>
        <w:rPr>
          <w:rFonts w:hint="eastAsia"/>
          <w:color w:val="auto"/>
          <w:highlight w:val="none"/>
          <w:u w:val="none"/>
          <w:lang w:val="en-US"/>
        </w:rPr>
        <w:t>CO</w:t>
      </w:r>
      <w:r>
        <w:rPr>
          <w:color w:val="auto"/>
          <w:highlight w:val="none"/>
          <w:u w:val="none"/>
        </w:rPr>
        <w:t>最大浓度为</w:t>
      </w:r>
      <w:r>
        <w:rPr>
          <w:rFonts w:hint="eastAsia"/>
          <w:color w:val="auto"/>
          <w:highlight w:val="none"/>
          <w:u w:val="none"/>
          <w:lang w:val="en-US"/>
        </w:rPr>
        <w:t>0.0003</w:t>
      </w:r>
      <w:r>
        <w:rPr>
          <w:color w:val="auto"/>
          <w:highlight w:val="none"/>
          <w:u w:val="none"/>
        </w:rPr>
        <w:t>mg/m</w:t>
      </w:r>
      <w:r>
        <w:rPr>
          <w:rFonts w:hAnsi="Times New Roman"/>
          <w:color w:val="auto"/>
          <w:highlight w:val="none"/>
          <w:u w:val="none"/>
        </w:rPr>
        <w:t>³</w:t>
      </w:r>
      <w:r>
        <w:rPr>
          <w:color w:val="auto"/>
          <w:highlight w:val="none"/>
          <w:u w:val="none"/>
        </w:rPr>
        <w:t>，常见气象条件下，各关心点的</w:t>
      </w:r>
      <w:r>
        <w:rPr>
          <w:rFonts w:hint="eastAsia"/>
          <w:color w:val="auto"/>
          <w:highlight w:val="none"/>
          <w:u w:val="none"/>
          <w:lang w:val="en-US"/>
        </w:rPr>
        <w:t>CO</w:t>
      </w:r>
      <w:r>
        <w:rPr>
          <w:color w:val="auto"/>
          <w:highlight w:val="none"/>
          <w:u w:val="none"/>
        </w:rPr>
        <w:t>最大浓度为</w:t>
      </w:r>
      <w:r>
        <w:rPr>
          <w:rFonts w:hint="eastAsia"/>
          <w:color w:val="auto"/>
          <w:highlight w:val="none"/>
          <w:u w:val="none"/>
          <w:lang w:val="en-US"/>
        </w:rPr>
        <w:t>13.86</w:t>
      </w:r>
      <w:r>
        <w:rPr>
          <w:color w:val="auto"/>
          <w:highlight w:val="none"/>
          <w:u w:val="none"/>
        </w:rPr>
        <w:t>mg/m</w:t>
      </w:r>
      <w:r>
        <w:rPr>
          <w:rFonts w:hAnsi="Times New Roman"/>
          <w:color w:val="auto"/>
          <w:highlight w:val="none"/>
          <w:u w:val="none"/>
        </w:rPr>
        <w:t>³</w:t>
      </w:r>
      <w:r>
        <w:rPr>
          <w:color w:val="auto"/>
          <w:highlight w:val="none"/>
          <w:u w:val="none"/>
        </w:rPr>
        <w:t>，</w:t>
      </w:r>
      <w:r>
        <w:rPr>
          <w:rFonts w:hint="eastAsia"/>
          <w:color w:val="auto"/>
          <w:highlight w:val="none"/>
          <w:u w:val="none"/>
          <w:lang w:val="en-US"/>
        </w:rPr>
        <w:t>出现在东江水厂，均</w:t>
      </w:r>
      <w:r>
        <w:rPr>
          <w:color w:val="auto"/>
          <w:highlight w:val="none"/>
          <w:u w:val="none"/>
        </w:rPr>
        <w:t>未超过毒性终点浓度-1和毒性终点浓度-2；常见气象条件下各关心点</w:t>
      </w:r>
      <w:r>
        <w:rPr>
          <w:rStyle w:val="70"/>
          <w:rFonts w:hint="eastAsia"/>
          <w:color w:val="auto"/>
          <w:highlight w:val="none"/>
          <w:u w:val="none"/>
          <w:lang w:val="en-US"/>
        </w:rPr>
        <w:t>CO扩散</w:t>
      </w:r>
      <w:r>
        <w:rPr>
          <w:color w:val="auto"/>
          <w:highlight w:val="none"/>
          <w:u w:val="none"/>
        </w:rPr>
        <w:t>导致急性死亡概率为0。</w:t>
      </w:r>
    </w:p>
    <w:p w14:paraId="5690CC69">
      <w:pPr>
        <w:pStyle w:val="6"/>
        <w:spacing w:before="120" w:after="120"/>
        <w:rPr>
          <w:color w:val="auto"/>
          <w:highlight w:val="none"/>
          <w:u w:val="none"/>
        </w:rPr>
      </w:pPr>
      <w:r>
        <w:rPr>
          <w:color w:val="auto"/>
          <w:highlight w:val="none"/>
          <w:u w:val="none"/>
        </w:rPr>
        <w:t>气相毒物危害后果综述及风险水平分析</w:t>
      </w:r>
    </w:p>
    <w:p w14:paraId="24B796B9">
      <w:pPr>
        <w:rPr>
          <w:rFonts w:hint="eastAsia"/>
          <w:color w:val="auto"/>
          <w:highlight w:val="none"/>
          <w:u w:val="none"/>
        </w:rPr>
      </w:pPr>
      <w:r>
        <w:rPr>
          <w:color w:val="auto"/>
          <w:highlight w:val="none"/>
          <w:u w:val="none"/>
        </w:rPr>
        <w:t>（1）下风向不同距离处有毒有害物质的最大浓度</w:t>
      </w:r>
    </w:p>
    <w:p w14:paraId="10B0EFD4">
      <w:pPr>
        <w:rPr>
          <w:rFonts w:hint="eastAsia"/>
          <w:color w:val="auto"/>
          <w:highlight w:val="none"/>
          <w:u w:val="none"/>
        </w:rPr>
      </w:pPr>
      <w:r>
        <w:rPr>
          <w:color w:val="auto"/>
          <w:highlight w:val="none"/>
          <w:u w:val="none"/>
        </w:rPr>
        <w:t>根据本项目各事故情景预测结果，已预测出下风向不同距离处有毒有害物质的最大浓度，详见各预测情景。</w:t>
      </w:r>
    </w:p>
    <w:p w14:paraId="70A0DA84">
      <w:pPr>
        <w:rPr>
          <w:rFonts w:hint="eastAsia"/>
          <w:color w:val="auto"/>
          <w:highlight w:val="none"/>
          <w:u w:val="none"/>
        </w:rPr>
      </w:pPr>
      <w:r>
        <w:rPr>
          <w:color w:val="auto"/>
          <w:highlight w:val="none"/>
          <w:u w:val="none"/>
        </w:rPr>
        <w:t>（2）预测浓度达到不同浓度的最大影响范围综述</w:t>
      </w:r>
    </w:p>
    <w:p w14:paraId="1B5BE793">
      <w:pPr>
        <w:rPr>
          <w:rFonts w:hint="eastAsia"/>
          <w:color w:val="auto"/>
          <w:highlight w:val="none"/>
          <w:u w:val="none"/>
        </w:rPr>
      </w:pPr>
      <w:r>
        <w:rPr>
          <w:color w:val="auto"/>
          <w:highlight w:val="none"/>
          <w:u w:val="none"/>
        </w:rPr>
        <w:t>根据本项目各事故情景预测可知，本项目各事故情景影响范围见</w:t>
      </w:r>
      <w:r>
        <w:rPr>
          <w:color w:val="auto"/>
          <w:highlight w:val="none"/>
          <w:u w:val="none"/>
        </w:rPr>
        <w:fldChar w:fldCharType="begin"/>
      </w:r>
      <w:r>
        <w:rPr>
          <w:color w:val="auto"/>
          <w:highlight w:val="none"/>
          <w:u w:val="none"/>
        </w:rPr>
        <w:instrText xml:space="preserve"> REF _Ref149250695 \h  \* MERGEFORMAT </w:instrText>
      </w:r>
      <w:r>
        <w:rPr>
          <w:color w:val="auto"/>
          <w:highlight w:val="none"/>
          <w:u w:val="none"/>
        </w:rPr>
        <w:fldChar w:fldCharType="separate"/>
      </w:r>
      <w:r>
        <w:rPr>
          <w:color w:val="auto"/>
          <w:highlight w:val="none"/>
          <w:u w:val="none"/>
        </w:rPr>
        <w:t>表 9.</w:t>
      </w:r>
      <w:r>
        <w:rPr>
          <w:rFonts w:hint="eastAsia"/>
          <w:color w:val="auto"/>
          <w:highlight w:val="none"/>
          <w:u w:val="none"/>
          <w:lang w:val="en-US"/>
        </w:rPr>
        <w:t>6</w:t>
      </w:r>
      <w:r>
        <w:rPr>
          <w:color w:val="auto"/>
          <w:highlight w:val="none"/>
          <w:u w:val="none"/>
        </w:rPr>
        <w:noBreakHyphen/>
      </w:r>
      <w:r>
        <w:rPr>
          <w:color w:val="auto"/>
          <w:highlight w:val="none"/>
          <w:u w:val="none"/>
        </w:rPr>
        <w:fldChar w:fldCharType="end"/>
      </w:r>
      <w:r>
        <w:rPr>
          <w:rFonts w:hint="eastAsia"/>
          <w:color w:val="auto"/>
          <w:highlight w:val="none"/>
          <w:u w:val="none"/>
          <w:lang w:val="en-US"/>
        </w:rPr>
        <w:t>31</w:t>
      </w:r>
      <w:r>
        <w:rPr>
          <w:color w:val="auto"/>
          <w:highlight w:val="none"/>
          <w:u w:val="none"/>
        </w:rPr>
        <w:t>。</w:t>
      </w:r>
    </w:p>
    <w:p w14:paraId="4E1C0DC8">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w:t>
      </w:r>
      <w:r>
        <w:rPr>
          <w:color w:val="auto"/>
          <w:highlight w:val="none"/>
          <w:u w:val="none"/>
        </w:rPr>
        <w:fldChar w:fldCharType="end"/>
      </w:r>
      <w:r>
        <w:rPr>
          <w:rFonts w:hint="eastAsia"/>
          <w:color w:val="auto"/>
          <w:highlight w:val="none"/>
          <w:u w:val="none"/>
        </w:rPr>
        <w:t>6</w:t>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rFonts w:hint="eastAsia"/>
          <w:color w:val="auto"/>
          <w:highlight w:val="none"/>
          <w:u w:val="none"/>
        </w:rPr>
        <w:t>31</w:t>
      </w:r>
      <w:r>
        <w:rPr>
          <w:color w:val="auto"/>
          <w:highlight w:val="none"/>
          <w:u w:val="none"/>
        </w:rPr>
        <w:fldChar w:fldCharType="end"/>
      </w:r>
      <w:r>
        <w:rPr>
          <w:color w:val="auto"/>
          <w:highlight w:val="none"/>
          <w:u w:val="none"/>
        </w:rPr>
        <w:t xml:space="preserve">  装置区及储罐区各风险事故影响范围一览表</w:t>
      </w:r>
    </w:p>
    <w:tbl>
      <w:tblPr>
        <w:tblStyle w:val="5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1467"/>
        <w:gridCol w:w="786"/>
        <w:gridCol w:w="1401"/>
        <w:gridCol w:w="1412"/>
        <w:gridCol w:w="1401"/>
        <w:gridCol w:w="1430"/>
      </w:tblGrid>
      <w:tr w14:paraId="4FD7D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07" w:type="pct"/>
            <w:gridSpan w:val="2"/>
            <w:vMerge w:val="restart"/>
            <w:tcMar>
              <w:left w:w="28" w:type="dxa"/>
              <w:right w:w="28" w:type="dxa"/>
            </w:tcMar>
            <w:vAlign w:val="center"/>
          </w:tcPr>
          <w:p w14:paraId="3801BF71">
            <w:pPr>
              <w:pStyle w:val="92"/>
              <w:rPr>
                <w:color w:val="auto"/>
                <w:highlight w:val="none"/>
                <w:u w:val="none"/>
              </w:rPr>
            </w:pPr>
            <w:r>
              <w:rPr>
                <w:color w:val="auto"/>
                <w:highlight w:val="none"/>
                <w:u w:val="none"/>
              </w:rPr>
              <w:t>事故情景</w:t>
            </w:r>
          </w:p>
        </w:tc>
        <w:tc>
          <w:tcPr>
            <w:tcW w:w="427" w:type="pct"/>
            <w:vMerge w:val="restart"/>
            <w:tcMar>
              <w:left w:w="28" w:type="dxa"/>
              <w:right w:w="28" w:type="dxa"/>
            </w:tcMar>
            <w:vAlign w:val="center"/>
          </w:tcPr>
          <w:p w14:paraId="41D2B68B">
            <w:pPr>
              <w:pStyle w:val="92"/>
              <w:rPr>
                <w:color w:val="auto"/>
                <w:highlight w:val="none"/>
                <w:u w:val="none"/>
              </w:rPr>
            </w:pPr>
            <w:r>
              <w:rPr>
                <w:color w:val="auto"/>
                <w:highlight w:val="none"/>
                <w:u w:val="none"/>
              </w:rPr>
              <w:t>毒物</w:t>
            </w:r>
          </w:p>
        </w:tc>
        <w:tc>
          <w:tcPr>
            <w:tcW w:w="1528" w:type="pct"/>
            <w:gridSpan w:val="2"/>
            <w:tcMar>
              <w:left w:w="28" w:type="dxa"/>
              <w:right w:w="28" w:type="dxa"/>
            </w:tcMar>
            <w:vAlign w:val="center"/>
          </w:tcPr>
          <w:p w14:paraId="7B8999D7">
            <w:pPr>
              <w:pStyle w:val="92"/>
              <w:rPr>
                <w:color w:val="auto"/>
                <w:highlight w:val="none"/>
                <w:u w:val="none"/>
              </w:rPr>
            </w:pPr>
            <w:r>
              <w:rPr>
                <w:color w:val="auto"/>
                <w:highlight w:val="none"/>
                <w:u w:val="none"/>
              </w:rPr>
              <w:t>最不利气象条件（F类稳定度，1.5m/s风速，温度25℃，相对湿度50%）</w:t>
            </w:r>
          </w:p>
        </w:tc>
        <w:tc>
          <w:tcPr>
            <w:tcW w:w="1535" w:type="pct"/>
            <w:gridSpan w:val="2"/>
            <w:vAlign w:val="center"/>
          </w:tcPr>
          <w:p w14:paraId="647EF15D">
            <w:pPr>
              <w:pStyle w:val="92"/>
              <w:rPr>
                <w:color w:val="auto"/>
                <w:highlight w:val="none"/>
                <w:u w:val="none"/>
              </w:rPr>
            </w:pPr>
            <w:r>
              <w:rPr>
                <w:color w:val="auto"/>
                <w:highlight w:val="none"/>
                <w:u w:val="none"/>
              </w:rPr>
              <w:t>最常见气象条件（D类稳定度，5.</w:t>
            </w:r>
            <w:r>
              <w:rPr>
                <w:rFonts w:hint="eastAsia"/>
                <w:color w:val="auto"/>
                <w:highlight w:val="none"/>
                <w:u w:val="none"/>
              </w:rPr>
              <w:t>34</w:t>
            </w:r>
            <w:r>
              <w:rPr>
                <w:color w:val="auto"/>
                <w:highlight w:val="none"/>
                <w:u w:val="none"/>
              </w:rPr>
              <w:t>m/s风速，温度</w:t>
            </w:r>
            <w:r>
              <w:rPr>
                <w:rFonts w:hint="eastAsia"/>
                <w:color w:val="auto"/>
                <w:highlight w:val="none"/>
                <w:u w:val="none"/>
              </w:rPr>
              <w:t>20.47</w:t>
            </w:r>
            <w:r>
              <w:rPr>
                <w:color w:val="auto"/>
                <w:highlight w:val="none"/>
                <w:u w:val="none"/>
              </w:rPr>
              <w:t>℃、年平均湿度76.71%）</w:t>
            </w:r>
          </w:p>
        </w:tc>
      </w:tr>
      <w:tr w14:paraId="55331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07" w:type="pct"/>
            <w:gridSpan w:val="2"/>
            <w:vMerge w:val="continue"/>
            <w:tcMar>
              <w:left w:w="28" w:type="dxa"/>
              <w:right w:w="28" w:type="dxa"/>
            </w:tcMar>
            <w:vAlign w:val="center"/>
          </w:tcPr>
          <w:p w14:paraId="6767763E">
            <w:pPr>
              <w:pStyle w:val="92"/>
              <w:rPr>
                <w:color w:val="auto"/>
                <w:highlight w:val="none"/>
                <w:u w:val="none"/>
              </w:rPr>
            </w:pPr>
          </w:p>
        </w:tc>
        <w:tc>
          <w:tcPr>
            <w:tcW w:w="427" w:type="pct"/>
            <w:vMerge w:val="continue"/>
            <w:tcMar>
              <w:left w:w="28" w:type="dxa"/>
              <w:right w:w="28" w:type="dxa"/>
            </w:tcMar>
            <w:vAlign w:val="center"/>
          </w:tcPr>
          <w:p w14:paraId="0CA69EC9">
            <w:pPr>
              <w:pStyle w:val="92"/>
              <w:rPr>
                <w:color w:val="auto"/>
                <w:highlight w:val="none"/>
                <w:u w:val="none"/>
              </w:rPr>
            </w:pPr>
          </w:p>
        </w:tc>
        <w:tc>
          <w:tcPr>
            <w:tcW w:w="761" w:type="pct"/>
            <w:tcMar>
              <w:left w:w="28" w:type="dxa"/>
              <w:right w:w="28" w:type="dxa"/>
            </w:tcMar>
            <w:vAlign w:val="center"/>
          </w:tcPr>
          <w:p w14:paraId="71678990">
            <w:pPr>
              <w:pStyle w:val="92"/>
              <w:rPr>
                <w:color w:val="auto"/>
                <w:highlight w:val="none"/>
                <w:u w:val="none"/>
              </w:rPr>
            </w:pPr>
            <w:r>
              <w:rPr>
                <w:color w:val="auto"/>
                <w:highlight w:val="none"/>
                <w:u w:val="none"/>
              </w:rPr>
              <w:t>达到毒性终点浓度-1的最大影响范围（m）</w:t>
            </w:r>
          </w:p>
        </w:tc>
        <w:tc>
          <w:tcPr>
            <w:tcW w:w="767" w:type="pct"/>
            <w:vAlign w:val="center"/>
          </w:tcPr>
          <w:p w14:paraId="402C7A75">
            <w:pPr>
              <w:pStyle w:val="92"/>
              <w:rPr>
                <w:color w:val="auto"/>
                <w:highlight w:val="none"/>
                <w:u w:val="none"/>
              </w:rPr>
            </w:pPr>
            <w:r>
              <w:rPr>
                <w:color w:val="auto"/>
                <w:highlight w:val="none"/>
                <w:u w:val="none"/>
              </w:rPr>
              <w:t>达到毒性终点浓度-2的最大影响范围（m）</w:t>
            </w:r>
          </w:p>
        </w:tc>
        <w:tc>
          <w:tcPr>
            <w:tcW w:w="761" w:type="pct"/>
            <w:vAlign w:val="center"/>
          </w:tcPr>
          <w:p w14:paraId="0C261C96">
            <w:pPr>
              <w:pStyle w:val="92"/>
              <w:rPr>
                <w:color w:val="auto"/>
                <w:highlight w:val="none"/>
                <w:u w:val="none"/>
              </w:rPr>
            </w:pPr>
            <w:r>
              <w:rPr>
                <w:color w:val="auto"/>
                <w:highlight w:val="none"/>
                <w:u w:val="none"/>
              </w:rPr>
              <w:t>达到毒性终点浓度-1的最大影响范围（m）</w:t>
            </w:r>
          </w:p>
        </w:tc>
        <w:tc>
          <w:tcPr>
            <w:tcW w:w="773" w:type="pct"/>
            <w:vAlign w:val="center"/>
          </w:tcPr>
          <w:p w14:paraId="0556E4D5">
            <w:pPr>
              <w:pStyle w:val="92"/>
              <w:rPr>
                <w:color w:val="auto"/>
                <w:highlight w:val="none"/>
                <w:u w:val="none"/>
              </w:rPr>
            </w:pPr>
            <w:r>
              <w:rPr>
                <w:color w:val="auto"/>
                <w:highlight w:val="none"/>
                <w:u w:val="none"/>
              </w:rPr>
              <w:t>达到毒性终点浓度-2的最大影响范围（m）</w:t>
            </w:r>
          </w:p>
        </w:tc>
      </w:tr>
      <w:tr w14:paraId="46218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207786DB">
            <w:pPr>
              <w:pStyle w:val="92"/>
              <w:rPr>
                <w:color w:val="auto"/>
                <w:highlight w:val="none"/>
                <w:u w:val="none"/>
              </w:rPr>
            </w:pPr>
            <w:r>
              <w:rPr>
                <w:color w:val="auto"/>
                <w:highlight w:val="none"/>
                <w:u w:val="none"/>
              </w:rPr>
              <w:t>光气化反应光气泄漏</w:t>
            </w:r>
          </w:p>
        </w:tc>
        <w:tc>
          <w:tcPr>
            <w:tcW w:w="797" w:type="pct"/>
            <w:tcMar>
              <w:left w:w="28" w:type="dxa"/>
              <w:right w:w="28" w:type="dxa"/>
            </w:tcMar>
            <w:vAlign w:val="center"/>
          </w:tcPr>
          <w:p w14:paraId="4DB3058C">
            <w:pPr>
              <w:pStyle w:val="92"/>
              <w:rPr>
                <w:color w:val="auto"/>
                <w:highlight w:val="none"/>
                <w:u w:val="none"/>
              </w:rPr>
            </w:pPr>
            <w:r>
              <w:rPr>
                <w:color w:val="auto"/>
                <w:highlight w:val="none"/>
                <w:u w:val="none"/>
              </w:rPr>
              <w:t>情景</w:t>
            </w:r>
            <w:r>
              <w:rPr>
                <w:rFonts w:hint="eastAsia"/>
                <w:color w:val="auto"/>
                <w:highlight w:val="none"/>
                <w:u w:val="none"/>
              </w:rPr>
              <w:t>10</w:t>
            </w:r>
            <w:r>
              <w:rPr>
                <w:color w:val="auto"/>
                <w:highlight w:val="none"/>
                <w:u w:val="none"/>
              </w:rPr>
              <w:t>：10mm直径泄漏</w:t>
            </w:r>
          </w:p>
        </w:tc>
        <w:tc>
          <w:tcPr>
            <w:tcW w:w="427" w:type="pct"/>
            <w:tcMar>
              <w:left w:w="28" w:type="dxa"/>
              <w:right w:w="28" w:type="dxa"/>
            </w:tcMar>
            <w:vAlign w:val="center"/>
          </w:tcPr>
          <w:p w14:paraId="331F3564">
            <w:pPr>
              <w:pStyle w:val="92"/>
              <w:rPr>
                <w:color w:val="auto"/>
                <w:highlight w:val="none"/>
                <w:u w:val="none"/>
              </w:rPr>
            </w:pPr>
            <w:r>
              <w:rPr>
                <w:color w:val="auto"/>
                <w:highlight w:val="none"/>
                <w:u w:val="none"/>
              </w:rPr>
              <w:t>光气</w:t>
            </w:r>
          </w:p>
        </w:tc>
        <w:tc>
          <w:tcPr>
            <w:tcW w:w="761" w:type="pct"/>
            <w:tcMar>
              <w:left w:w="28" w:type="dxa"/>
              <w:right w:w="28" w:type="dxa"/>
            </w:tcMar>
            <w:vAlign w:val="center"/>
          </w:tcPr>
          <w:p w14:paraId="67CA179C">
            <w:pPr>
              <w:pStyle w:val="92"/>
              <w:rPr>
                <w:color w:val="auto"/>
                <w:highlight w:val="none"/>
                <w:u w:val="none"/>
              </w:rPr>
            </w:pPr>
            <w:r>
              <w:rPr>
                <w:rFonts w:hint="eastAsia"/>
                <w:color w:val="auto"/>
                <w:highlight w:val="none"/>
                <w:u w:val="none"/>
              </w:rPr>
              <w:t>1680</w:t>
            </w:r>
          </w:p>
        </w:tc>
        <w:tc>
          <w:tcPr>
            <w:tcW w:w="767" w:type="pct"/>
            <w:vAlign w:val="center"/>
          </w:tcPr>
          <w:p w14:paraId="712E67B8">
            <w:pPr>
              <w:pStyle w:val="92"/>
              <w:rPr>
                <w:color w:val="auto"/>
                <w:highlight w:val="none"/>
                <w:u w:val="none"/>
              </w:rPr>
            </w:pPr>
            <w:r>
              <w:rPr>
                <w:rFonts w:hint="eastAsia"/>
                <w:color w:val="auto"/>
                <w:highlight w:val="none"/>
                <w:u w:val="none"/>
              </w:rPr>
              <w:t>3000</w:t>
            </w:r>
          </w:p>
        </w:tc>
        <w:tc>
          <w:tcPr>
            <w:tcW w:w="761" w:type="pct"/>
            <w:vAlign w:val="center"/>
          </w:tcPr>
          <w:p w14:paraId="64A387FE">
            <w:pPr>
              <w:pStyle w:val="92"/>
              <w:rPr>
                <w:color w:val="auto"/>
                <w:highlight w:val="none"/>
                <w:u w:val="none"/>
              </w:rPr>
            </w:pPr>
            <w:r>
              <w:rPr>
                <w:rFonts w:hint="eastAsia"/>
                <w:color w:val="auto"/>
                <w:highlight w:val="none"/>
                <w:u w:val="none"/>
              </w:rPr>
              <w:t>280</w:t>
            </w:r>
          </w:p>
        </w:tc>
        <w:tc>
          <w:tcPr>
            <w:tcW w:w="773" w:type="pct"/>
            <w:vAlign w:val="center"/>
          </w:tcPr>
          <w:p w14:paraId="3D0B8920">
            <w:pPr>
              <w:pStyle w:val="92"/>
              <w:rPr>
                <w:color w:val="auto"/>
                <w:highlight w:val="none"/>
                <w:u w:val="none"/>
              </w:rPr>
            </w:pPr>
            <w:r>
              <w:rPr>
                <w:rFonts w:hint="eastAsia"/>
                <w:color w:val="auto"/>
                <w:highlight w:val="none"/>
                <w:u w:val="none"/>
              </w:rPr>
              <w:t>480</w:t>
            </w:r>
          </w:p>
        </w:tc>
      </w:tr>
      <w:tr w14:paraId="698A9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1CDC522D">
            <w:pPr>
              <w:pStyle w:val="92"/>
              <w:rPr>
                <w:color w:val="auto"/>
                <w:highlight w:val="none"/>
                <w:u w:val="none"/>
              </w:rPr>
            </w:pPr>
            <w:r>
              <w:rPr>
                <w:color w:val="auto"/>
                <w:highlight w:val="none"/>
                <w:u w:val="none"/>
              </w:rPr>
              <w:t>厂内氯化氢管道泄漏</w:t>
            </w:r>
          </w:p>
        </w:tc>
        <w:tc>
          <w:tcPr>
            <w:tcW w:w="797" w:type="pct"/>
            <w:vAlign w:val="center"/>
          </w:tcPr>
          <w:p w14:paraId="2157B557">
            <w:pPr>
              <w:pStyle w:val="92"/>
              <w:rPr>
                <w:color w:val="auto"/>
                <w:highlight w:val="none"/>
                <w:u w:val="none"/>
              </w:rPr>
            </w:pPr>
            <w:r>
              <w:rPr>
                <w:color w:val="auto"/>
                <w:highlight w:val="none"/>
                <w:u w:val="none"/>
              </w:rPr>
              <w:t>泄漏孔径</w:t>
            </w:r>
            <w:r>
              <w:rPr>
                <w:rFonts w:hint="eastAsia"/>
                <w:color w:val="auto"/>
                <w:highlight w:val="none"/>
                <w:u w:val="none"/>
              </w:rPr>
              <w:t>10</w:t>
            </w:r>
            <w:r>
              <w:rPr>
                <w:color w:val="auto"/>
                <w:highlight w:val="none"/>
                <w:u w:val="none"/>
              </w:rPr>
              <w:t>mm</w:t>
            </w:r>
          </w:p>
        </w:tc>
        <w:tc>
          <w:tcPr>
            <w:tcW w:w="427" w:type="pct"/>
            <w:tcMar>
              <w:left w:w="28" w:type="dxa"/>
              <w:right w:w="28" w:type="dxa"/>
            </w:tcMar>
            <w:vAlign w:val="center"/>
          </w:tcPr>
          <w:p w14:paraId="4ECE9B24">
            <w:pPr>
              <w:pStyle w:val="92"/>
              <w:rPr>
                <w:color w:val="auto"/>
                <w:highlight w:val="none"/>
                <w:u w:val="none"/>
              </w:rPr>
            </w:pPr>
            <w:r>
              <w:rPr>
                <w:color w:val="auto"/>
                <w:highlight w:val="none"/>
                <w:u w:val="none"/>
              </w:rPr>
              <w:t>氯化氢</w:t>
            </w:r>
          </w:p>
        </w:tc>
        <w:tc>
          <w:tcPr>
            <w:tcW w:w="761" w:type="pct"/>
            <w:tcMar>
              <w:left w:w="28" w:type="dxa"/>
              <w:right w:w="28" w:type="dxa"/>
            </w:tcMar>
            <w:vAlign w:val="center"/>
          </w:tcPr>
          <w:p w14:paraId="78541067">
            <w:pPr>
              <w:pStyle w:val="92"/>
              <w:rPr>
                <w:color w:val="auto"/>
                <w:highlight w:val="none"/>
                <w:u w:val="none"/>
              </w:rPr>
            </w:pPr>
            <w:r>
              <w:rPr>
                <w:rFonts w:hint="eastAsia"/>
                <w:color w:val="auto"/>
                <w:highlight w:val="none"/>
                <w:u w:val="none"/>
              </w:rPr>
              <w:t>120</w:t>
            </w:r>
          </w:p>
        </w:tc>
        <w:tc>
          <w:tcPr>
            <w:tcW w:w="767" w:type="pct"/>
            <w:vAlign w:val="center"/>
          </w:tcPr>
          <w:p w14:paraId="2A273A0B">
            <w:pPr>
              <w:pStyle w:val="92"/>
              <w:rPr>
                <w:color w:val="auto"/>
                <w:highlight w:val="none"/>
                <w:u w:val="none"/>
              </w:rPr>
            </w:pPr>
            <w:r>
              <w:rPr>
                <w:rFonts w:hint="eastAsia"/>
                <w:color w:val="auto"/>
                <w:highlight w:val="none"/>
                <w:u w:val="none"/>
              </w:rPr>
              <w:t>370</w:t>
            </w:r>
          </w:p>
        </w:tc>
        <w:tc>
          <w:tcPr>
            <w:tcW w:w="761" w:type="pct"/>
            <w:vAlign w:val="center"/>
          </w:tcPr>
          <w:p w14:paraId="1BAEC2CA">
            <w:pPr>
              <w:pStyle w:val="92"/>
              <w:rPr>
                <w:color w:val="auto"/>
                <w:highlight w:val="none"/>
                <w:u w:val="none"/>
              </w:rPr>
            </w:pPr>
            <w:r>
              <w:rPr>
                <w:rFonts w:hint="eastAsia"/>
                <w:color w:val="auto"/>
                <w:highlight w:val="none"/>
                <w:u w:val="none"/>
              </w:rPr>
              <w:t>80</w:t>
            </w:r>
          </w:p>
        </w:tc>
        <w:tc>
          <w:tcPr>
            <w:tcW w:w="773" w:type="pct"/>
            <w:vAlign w:val="center"/>
          </w:tcPr>
          <w:p w14:paraId="7992D660">
            <w:pPr>
              <w:pStyle w:val="92"/>
              <w:rPr>
                <w:color w:val="auto"/>
                <w:highlight w:val="none"/>
                <w:u w:val="none"/>
              </w:rPr>
            </w:pPr>
            <w:r>
              <w:rPr>
                <w:rFonts w:hint="eastAsia"/>
                <w:color w:val="auto"/>
                <w:highlight w:val="none"/>
                <w:u w:val="none"/>
              </w:rPr>
              <w:t>200</w:t>
            </w:r>
          </w:p>
        </w:tc>
      </w:tr>
      <w:tr w14:paraId="51160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245BA3E4">
            <w:pPr>
              <w:pStyle w:val="92"/>
              <w:rPr>
                <w:color w:val="auto"/>
                <w:highlight w:val="none"/>
                <w:u w:val="none"/>
              </w:rPr>
            </w:pPr>
            <w:r>
              <w:rPr>
                <w:color w:val="auto"/>
                <w:highlight w:val="none"/>
                <w:u w:val="none"/>
              </w:rPr>
              <w:t>厂内氯气管道泄漏</w:t>
            </w:r>
          </w:p>
        </w:tc>
        <w:tc>
          <w:tcPr>
            <w:tcW w:w="797" w:type="pct"/>
            <w:vAlign w:val="center"/>
          </w:tcPr>
          <w:p w14:paraId="4CF80444">
            <w:pPr>
              <w:pStyle w:val="92"/>
              <w:rPr>
                <w:color w:val="auto"/>
                <w:highlight w:val="none"/>
                <w:u w:val="none"/>
              </w:rPr>
            </w:pPr>
            <w:r>
              <w:rPr>
                <w:color w:val="auto"/>
                <w:highlight w:val="none"/>
                <w:u w:val="none"/>
              </w:rPr>
              <w:t>泄漏孔径为</w:t>
            </w:r>
            <w:r>
              <w:rPr>
                <w:rFonts w:hint="eastAsia"/>
                <w:color w:val="auto"/>
                <w:highlight w:val="none"/>
                <w:u w:val="none"/>
              </w:rPr>
              <w:t>10</w:t>
            </w:r>
            <w:r>
              <w:rPr>
                <w:color w:val="auto"/>
                <w:highlight w:val="none"/>
                <w:u w:val="none"/>
              </w:rPr>
              <w:t>mm</w:t>
            </w:r>
          </w:p>
        </w:tc>
        <w:tc>
          <w:tcPr>
            <w:tcW w:w="427" w:type="pct"/>
            <w:tcMar>
              <w:left w:w="28" w:type="dxa"/>
              <w:right w:w="28" w:type="dxa"/>
            </w:tcMar>
            <w:vAlign w:val="center"/>
          </w:tcPr>
          <w:p w14:paraId="07198C1C">
            <w:pPr>
              <w:pStyle w:val="92"/>
              <w:rPr>
                <w:color w:val="auto"/>
                <w:highlight w:val="none"/>
                <w:u w:val="none"/>
              </w:rPr>
            </w:pPr>
            <w:r>
              <w:rPr>
                <w:color w:val="auto"/>
                <w:highlight w:val="none"/>
                <w:u w:val="none"/>
              </w:rPr>
              <w:t>氯气</w:t>
            </w:r>
          </w:p>
        </w:tc>
        <w:tc>
          <w:tcPr>
            <w:tcW w:w="761" w:type="pct"/>
            <w:tcMar>
              <w:left w:w="28" w:type="dxa"/>
              <w:right w:w="28" w:type="dxa"/>
            </w:tcMar>
            <w:vAlign w:val="center"/>
          </w:tcPr>
          <w:p w14:paraId="0EA2D15E">
            <w:pPr>
              <w:pStyle w:val="92"/>
              <w:rPr>
                <w:color w:val="auto"/>
                <w:highlight w:val="none"/>
                <w:u w:val="none"/>
              </w:rPr>
            </w:pPr>
            <w:r>
              <w:rPr>
                <w:rFonts w:hint="eastAsia"/>
                <w:color w:val="auto"/>
                <w:highlight w:val="none"/>
                <w:u w:val="none"/>
              </w:rPr>
              <w:t>300</w:t>
            </w:r>
          </w:p>
        </w:tc>
        <w:tc>
          <w:tcPr>
            <w:tcW w:w="767" w:type="pct"/>
            <w:vAlign w:val="center"/>
          </w:tcPr>
          <w:p w14:paraId="4774F17F">
            <w:pPr>
              <w:pStyle w:val="92"/>
              <w:rPr>
                <w:color w:val="auto"/>
                <w:highlight w:val="none"/>
                <w:u w:val="none"/>
              </w:rPr>
            </w:pPr>
            <w:r>
              <w:rPr>
                <w:rFonts w:hint="eastAsia"/>
                <w:color w:val="auto"/>
                <w:highlight w:val="none"/>
                <w:u w:val="none"/>
              </w:rPr>
              <w:t>1680</w:t>
            </w:r>
          </w:p>
        </w:tc>
        <w:tc>
          <w:tcPr>
            <w:tcW w:w="761" w:type="pct"/>
            <w:vAlign w:val="center"/>
          </w:tcPr>
          <w:p w14:paraId="70A3DB53">
            <w:pPr>
              <w:pStyle w:val="92"/>
              <w:rPr>
                <w:color w:val="auto"/>
                <w:highlight w:val="none"/>
                <w:u w:val="none"/>
              </w:rPr>
            </w:pPr>
            <w:r>
              <w:rPr>
                <w:rFonts w:hint="eastAsia"/>
                <w:color w:val="auto"/>
                <w:highlight w:val="none"/>
                <w:u w:val="none"/>
              </w:rPr>
              <w:t>80</w:t>
            </w:r>
          </w:p>
        </w:tc>
        <w:tc>
          <w:tcPr>
            <w:tcW w:w="773" w:type="pct"/>
            <w:vAlign w:val="center"/>
          </w:tcPr>
          <w:p w14:paraId="16221106">
            <w:pPr>
              <w:pStyle w:val="92"/>
              <w:rPr>
                <w:color w:val="auto"/>
                <w:highlight w:val="none"/>
                <w:u w:val="none"/>
              </w:rPr>
            </w:pPr>
            <w:r>
              <w:rPr>
                <w:rFonts w:hint="eastAsia"/>
                <w:color w:val="auto"/>
                <w:highlight w:val="none"/>
                <w:u w:val="none"/>
              </w:rPr>
              <w:t>310</w:t>
            </w:r>
          </w:p>
        </w:tc>
      </w:tr>
      <w:tr w14:paraId="501AD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300D0ADF">
            <w:pPr>
              <w:pStyle w:val="92"/>
              <w:rPr>
                <w:color w:val="auto"/>
                <w:highlight w:val="none"/>
                <w:u w:val="none"/>
              </w:rPr>
            </w:pPr>
            <w:r>
              <w:rPr>
                <w:color w:val="auto"/>
                <w:highlight w:val="none"/>
                <w:u w:val="none"/>
              </w:rPr>
              <w:t>厂内一氧化</w:t>
            </w:r>
            <w:r>
              <w:rPr>
                <w:rFonts w:hint="eastAsia"/>
                <w:color w:val="auto"/>
                <w:highlight w:val="none"/>
                <w:u w:val="none"/>
                <w:lang w:val="en-US" w:eastAsia="zh-CN"/>
              </w:rPr>
              <w:t>碳</w:t>
            </w:r>
            <w:r>
              <w:rPr>
                <w:color w:val="auto"/>
                <w:highlight w:val="none"/>
                <w:u w:val="none"/>
              </w:rPr>
              <w:t>管道泄漏事故</w:t>
            </w:r>
          </w:p>
        </w:tc>
        <w:tc>
          <w:tcPr>
            <w:tcW w:w="797" w:type="pct"/>
            <w:vAlign w:val="center"/>
          </w:tcPr>
          <w:p w14:paraId="225E7C32">
            <w:pPr>
              <w:pStyle w:val="92"/>
              <w:rPr>
                <w:color w:val="auto"/>
                <w:highlight w:val="none"/>
                <w:u w:val="none"/>
              </w:rPr>
            </w:pPr>
            <w:r>
              <w:rPr>
                <w:color w:val="auto"/>
                <w:highlight w:val="none"/>
                <w:u w:val="none"/>
              </w:rPr>
              <w:t>泄漏孔径为</w:t>
            </w:r>
            <w:r>
              <w:rPr>
                <w:rFonts w:hint="eastAsia"/>
                <w:color w:val="auto"/>
                <w:highlight w:val="none"/>
                <w:u w:val="none"/>
              </w:rPr>
              <w:t>10</w:t>
            </w:r>
            <w:r>
              <w:rPr>
                <w:color w:val="auto"/>
                <w:highlight w:val="none"/>
                <w:u w:val="none"/>
              </w:rPr>
              <w:t>mm</w:t>
            </w:r>
          </w:p>
        </w:tc>
        <w:tc>
          <w:tcPr>
            <w:tcW w:w="427" w:type="pct"/>
            <w:tcMar>
              <w:left w:w="28" w:type="dxa"/>
              <w:right w:w="28" w:type="dxa"/>
            </w:tcMar>
            <w:vAlign w:val="center"/>
          </w:tcPr>
          <w:p w14:paraId="16534A87">
            <w:pPr>
              <w:pStyle w:val="92"/>
              <w:rPr>
                <w:color w:val="auto"/>
                <w:highlight w:val="none"/>
                <w:u w:val="none"/>
              </w:rPr>
            </w:pPr>
            <w:r>
              <w:rPr>
                <w:color w:val="auto"/>
                <w:highlight w:val="none"/>
                <w:u w:val="none"/>
              </w:rPr>
              <w:t>一氧化碳</w:t>
            </w:r>
          </w:p>
        </w:tc>
        <w:tc>
          <w:tcPr>
            <w:tcW w:w="761" w:type="pct"/>
            <w:tcMar>
              <w:left w:w="28" w:type="dxa"/>
              <w:right w:w="28" w:type="dxa"/>
            </w:tcMar>
            <w:vAlign w:val="center"/>
          </w:tcPr>
          <w:p w14:paraId="0665E753">
            <w:pPr>
              <w:pStyle w:val="92"/>
              <w:rPr>
                <w:color w:val="auto"/>
                <w:highlight w:val="none"/>
                <w:u w:val="none"/>
              </w:rPr>
            </w:pPr>
            <w:r>
              <w:rPr>
                <w:rFonts w:hint="eastAsia"/>
                <w:color w:val="auto"/>
                <w:highlight w:val="none"/>
                <w:u w:val="none"/>
              </w:rPr>
              <w:t>/</w:t>
            </w:r>
          </w:p>
        </w:tc>
        <w:tc>
          <w:tcPr>
            <w:tcW w:w="767" w:type="pct"/>
            <w:vAlign w:val="center"/>
          </w:tcPr>
          <w:p w14:paraId="648FE4E6">
            <w:pPr>
              <w:pStyle w:val="92"/>
              <w:rPr>
                <w:color w:val="auto"/>
                <w:highlight w:val="none"/>
                <w:u w:val="none"/>
              </w:rPr>
            </w:pPr>
            <w:r>
              <w:rPr>
                <w:rFonts w:hint="eastAsia"/>
                <w:color w:val="auto"/>
                <w:highlight w:val="none"/>
                <w:u w:val="none"/>
              </w:rPr>
              <w:t>/</w:t>
            </w:r>
          </w:p>
        </w:tc>
        <w:tc>
          <w:tcPr>
            <w:tcW w:w="761" w:type="pct"/>
            <w:vAlign w:val="center"/>
          </w:tcPr>
          <w:p w14:paraId="38574307">
            <w:pPr>
              <w:pStyle w:val="92"/>
              <w:rPr>
                <w:color w:val="auto"/>
                <w:highlight w:val="none"/>
                <w:u w:val="none"/>
              </w:rPr>
            </w:pPr>
            <w:r>
              <w:rPr>
                <w:rFonts w:hint="eastAsia"/>
                <w:color w:val="auto"/>
                <w:highlight w:val="none"/>
                <w:u w:val="none"/>
              </w:rPr>
              <w:t>/</w:t>
            </w:r>
          </w:p>
        </w:tc>
        <w:tc>
          <w:tcPr>
            <w:tcW w:w="773" w:type="pct"/>
            <w:vAlign w:val="center"/>
          </w:tcPr>
          <w:p w14:paraId="2ECFA1CE">
            <w:pPr>
              <w:pStyle w:val="92"/>
              <w:rPr>
                <w:color w:val="auto"/>
                <w:highlight w:val="none"/>
                <w:u w:val="none"/>
              </w:rPr>
            </w:pPr>
            <w:r>
              <w:rPr>
                <w:rFonts w:hint="eastAsia"/>
                <w:color w:val="auto"/>
                <w:highlight w:val="none"/>
                <w:u w:val="none"/>
              </w:rPr>
              <w:t>/</w:t>
            </w:r>
          </w:p>
        </w:tc>
      </w:tr>
      <w:tr w14:paraId="70A34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6426CDE6">
            <w:pPr>
              <w:pStyle w:val="92"/>
              <w:rPr>
                <w:color w:val="auto"/>
                <w:highlight w:val="none"/>
                <w:u w:val="none"/>
              </w:rPr>
            </w:pPr>
            <w:r>
              <w:rPr>
                <w:color w:val="auto"/>
                <w:highlight w:val="none"/>
                <w:u w:val="none"/>
              </w:rPr>
              <w:t>硝酸泄漏液池蒸发</w:t>
            </w:r>
          </w:p>
        </w:tc>
        <w:tc>
          <w:tcPr>
            <w:tcW w:w="797" w:type="pct"/>
            <w:vAlign w:val="center"/>
          </w:tcPr>
          <w:p w14:paraId="6BD90689">
            <w:pPr>
              <w:pStyle w:val="92"/>
              <w:rPr>
                <w:color w:val="auto"/>
                <w:highlight w:val="none"/>
                <w:u w:val="none"/>
              </w:rPr>
            </w:pPr>
            <w:r>
              <w:rPr>
                <w:color w:val="auto"/>
                <w:highlight w:val="none"/>
                <w:u w:val="none"/>
              </w:rPr>
              <w:t>泄漏持续时间30min</w:t>
            </w:r>
          </w:p>
        </w:tc>
        <w:tc>
          <w:tcPr>
            <w:tcW w:w="427" w:type="pct"/>
            <w:tcMar>
              <w:left w:w="28" w:type="dxa"/>
              <w:right w:w="28" w:type="dxa"/>
            </w:tcMar>
            <w:vAlign w:val="center"/>
          </w:tcPr>
          <w:p w14:paraId="34A1B25C">
            <w:pPr>
              <w:pStyle w:val="92"/>
              <w:rPr>
                <w:color w:val="auto"/>
                <w:highlight w:val="none"/>
                <w:u w:val="none"/>
              </w:rPr>
            </w:pPr>
            <w:r>
              <w:rPr>
                <w:color w:val="auto"/>
                <w:highlight w:val="none"/>
                <w:u w:val="none"/>
              </w:rPr>
              <w:t>硝酸</w:t>
            </w:r>
          </w:p>
        </w:tc>
        <w:tc>
          <w:tcPr>
            <w:tcW w:w="761" w:type="pct"/>
            <w:tcMar>
              <w:left w:w="28" w:type="dxa"/>
              <w:right w:w="28" w:type="dxa"/>
            </w:tcMar>
            <w:vAlign w:val="center"/>
          </w:tcPr>
          <w:p w14:paraId="61F2E7E6">
            <w:pPr>
              <w:pStyle w:val="92"/>
              <w:rPr>
                <w:color w:val="auto"/>
                <w:highlight w:val="none"/>
                <w:u w:val="none"/>
              </w:rPr>
            </w:pPr>
            <w:r>
              <w:rPr>
                <w:rFonts w:hint="eastAsia"/>
                <w:color w:val="auto"/>
                <w:highlight w:val="none"/>
                <w:u w:val="none"/>
              </w:rPr>
              <w:t>/</w:t>
            </w:r>
          </w:p>
        </w:tc>
        <w:tc>
          <w:tcPr>
            <w:tcW w:w="767" w:type="pct"/>
            <w:vAlign w:val="center"/>
          </w:tcPr>
          <w:p w14:paraId="5CF15C4B">
            <w:pPr>
              <w:pStyle w:val="92"/>
              <w:rPr>
                <w:color w:val="auto"/>
                <w:highlight w:val="none"/>
                <w:u w:val="none"/>
              </w:rPr>
            </w:pPr>
            <w:r>
              <w:rPr>
                <w:rFonts w:hint="eastAsia"/>
                <w:color w:val="auto"/>
                <w:highlight w:val="none"/>
                <w:u w:val="none"/>
              </w:rPr>
              <w:t>190</w:t>
            </w:r>
          </w:p>
        </w:tc>
        <w:tc>
          <w:tcPr>
            <w:tcW w:w="761" w:type="pct"/>
            <w:vAlign w:val="center"/>
          </w:tcPr>
          <w:p w14:paraId="311453CF">
            <w:pPr>
              <w:pStyle w:val="92"/>
              <w:rPr>
                <w:color w:val="auto"/>
                <w:highlight w:val="none"/>
                <w:u w:val="none"/>
              </w:rPr>
            </w:pPr>
            <w:r>
              <w:rPr>
                <w:rFonts w:hint="eastAsia"/>
                <w:color w:val="auto"/>
                <w:highlight w:val="none"/>
                <w:u w:val="none"/>
              </w:rPr>
              <w:t>/</w:t>
            </w:r>
          </w:p>
        </w:tc>
        <w:tc>
          <w:tcPr>
            <w:tcW w:w="773" w:type="pct"/>
            <w:vAlign w:val="center"/>
          </w:tcPr>
          <w:p w14:paraId="3772EC09">
            <w:pPr>
              <w:pStyle w:val="92"/>
              <w:rPr>
                <w:color w:val="auto"/>
                <w:highlight w:val="none"/>
                <w:u w:val="none"/>
              </w:rPr>
            </w:pPr>
            <w:r>
              <w:rPr>
                <w:rFonts w:hint="eastAsia"/>
                <w:color w:val="auto"/>
                <w:highlight w:val="none"/>
                <w:u w:val="none"/>
              </w:rPr>
              <w:t>/</w:t>
            </w:r>
          </w:p>
        </w:tc>
      </w:tr>
      <w:tr w14:paraId="46D8B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147FA400">
            <w:pPr>
              <w:pStyle w:val="92"/>
              <w:rPr>
                <w:color w:val="auto"/>
                <w:highlight w:val="none"/>
                <w:u w:val="none"/>
              </w:rPr>
            </w:pPr>
            <w:r>
              <w:rPr>
                <w:rFonts w:hint="eastAsia"/>
                <w:color w:val="auto"/>
                <w:highlight w:val="none"/>
                <w:u w:val="none"/>
              </w:rPr>
              <w:t>ODCB</w:t>
            </w:r>
            <w:r>
              <w:rPr>
                <w:color w:val="auto"/>
                <w:highlight w:val="none"/>
                <w:u w:val="none"/>
              </w:rPr>
              <w:t>泄漏液池蒸发</w:t>
            </w:r>
          </w:p>
        </w:tc>
        <w:tc>
          <w:tcPr>
            <w:tcW w:w="797" w:type="pct"/>
            <w:vAlign w:val="center"/>
          </w:tcPr>
          <w:p w14:paraId="7EFAE6E0">
            <w:pPr>
              <w:pStyle w:val="92"/>
              <w:rPr>
                <w:color w:val="auto"/>
                <w:highlight w:val="none"/>
                <w:u w:val="none"/>
              </w:rPr>
            </w:pPr>
            <w:r>
              <w:rPr>
                <w:color w:val="auto"/>
                <w:highlight w:val="none"/>
                <w:u w:val="none"/>
              </w:rPr>
              <w:t>泄漏持续时间30min</w:t>
            </w:r>
          </w:p>
        </w:tc>
        <w:tc>
          <w:tcPr>
            <w:tcW w:w="427" w:type="pct"/>
            <w:tcMar>
              <w:left w:w="28" w:type="dxa"/>
              <w:right w:w="28" w:type="dxa"/>
            </w:tcMar>
            <w:vAlign w:val="center"/>
          </w:tcPr>
          <w:p w14:paraId="1CAB6060">
            <w:pPr>
              <w:pStyle w:val="92"/>
              <w:rPr>
                <w:color w:val="auto"/>
                <w:highlight w:val="none"/>
                <w:u w:val="none"/>
              </w:rPr>
            </w:pPr>
            <w:r>
              <w:rPr>
                <w:rFonts w:hint="eastAsia"/>
                <w:color w:val="auto"/>
                <w:highlight w:val="none"/>
                <w:u w:val="none"/>
              </w:rPr>
              <w:t>ODCB</w:t>
            </w:r>
          </w:p>
        </w:tc>
        <w:tc>
          <w:tcPr>
            <w:tcW w:w="761" w:type="pct"/>
            <w:tcMar>
              <w:left w:w="28" w:type="dxa"/>
              <w:right w:w="28" w:type="dxa"/>
            </w:tcMar>
            <w:vAlign w:val="center"/>
          </w:tcPr>
          <w:p w14:paraId="56329773">
            <w:pPr>
              <w:pStyle w:val="92"/>
              <w:rPr>
                <w:color w:val="auto"/>
                <w:highlight w:val="none"/>
                <w:u w:val="none"/>
              </w:rPr>
            </w:pPr>
            <w:r>
              <w:rPr>
                <w:rFonts w:hint="eastAsia"/>
                <w:color w:val="auto"/>
                <w:highlight w:val="none"/>
                <w:u w:val="none"/>
              </w:rPr>
              <w:t>/</w:t>
            </w:r>
          </w:p>
        </w:tc>
        <w:tc>
          <w:tcPr>
            <w:tcW w:w="767" w:type="pct"/>
            <w:vAlign w:val="center"/>
          </w:tcPr>
          <w:p w14:paraId="73AD24C7">
            <w:pPr>
              <w:pStyle w:val="92"/>
              <w:rPr>
                <w:color w:val="auto"/>
                <w:highlight w:val="none"/>
                <w:u w:val="none"/>
              </w:rPr>
            </w:pPr>
            <w:r>
              <w:rPr>
                <w:rFonts w:hint="eastAsia"/>
                <w:color w:val="auto"/>
                <w:highlight w:val="none"/>
                <w:u w:val="none"/>
              </w:rPr>
              <w:t>/</w:t>
            </w:r>
          </w:p>
        </w:tc>
        <w:tc>
          <w:tcPr>
            <w:tcW w:w="761" w:type="pct"/>
            <w:vAlign w:val="center"/>
          </w:tcPr>
          <w:p w14:paraId="24192F12">
            <w:pPr>
              <w:pStyle w:val="92"/>
              <w:rPr>
                <w:color w:val="auto"/>
                <w:highlight w:val="none"/>
                <w:u w:val="none"/>
              </w:rPr>
            </w:pPr>
            <w:r>
              <w:rPr>
                <w:rFonts w:hint="eastAsia"/>
                <w:color w:val="auto"/>
                <w:highlight w:val="none"/>
                <w:u w:val="none"/>
              </w:rPr>
              <w:t>/</w:t>
            </w:r>
          </w:p>
        </w:tc>
        <w:tc>
          <w:tcPr>
            <w:tcW w:w="773" w:type="pct"/>
            <w:vAlign w:val="center"/>
          </w:tcPr>
          <w:p w14:paraId="5EA038FD">
            <w:pPr>
              <w:pStyle w:val="92"/>
              <w:rPr>
                <w:color w:val="auto"/>
                <w:highlight w:val="none"/>
                <w:u w:val="none"/>
              </w:rPr>
            </w:pPr>
            <w:r>
              <w:rPr>
                <w:rFonts w:hint="eastAsia"/>
                <w:color w:val="auto"/>
                <w:highlight w:val="none"/>
                <w:u w:val="none"/>
              </w:rPr>
              <w:t>/</w:t>
            </w:r>
          </w:p>
        </w:tc>
      </w:tr>
      <w:tr w14:paraId="0AA6D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Mar>
              <w:left w:w="28" w:type="dxa"/>
              <w:right w:w="28" w:type="dxa"/>
            </w:tcMar>
            <w:vAlign w:val="center"/>
          </w:tcPr>
          <w:p w14:paraId="59C76076">
            <w:pPr>
              <w:pStyle w:val="92"/>
              <w:rPr>
                <w:color w:val="auto"/>
                <w:highlight w:val="none"/>
                <w:u w:val="none"/>
              </w:rPr>
            </w:pPr>
            <w:r>
              <w:rPr>
                <w:rFonts w:hint="eastAsia"/>
                <w:color w:val="auto"/>
                <w:highlight w:val="none"/>
                <w:u w:val="none"/>
              </w:rPr>
              <w:t>DNT储罐爆炸火灾</w:t>
            </w:r>
          </w:p>
        </w:tc>
        <w:tc>
          <w:tcPr>
            <w:tcW w:w="797" w:type="pct"/>
            <w:vAlign w:val="center"/>
          </w:tcPr>
          <w:p w14:paraId="5B946E33">
            <w:pPr>
              <w:pStyle w:val="92"/>
              <w:rPr>
                <w:color w:val="auto"/>
                <w:highlight w:val="none"/>
                <w:u w:val="none"/>
              </w:rPr>
            </w:pPr>
            <w:r>
              <w:rPr>
                <w:rFonts w:hint="eastAsia"/>
                <w:color w:val="auto"/>
                <w:highlight w:val="none"/>
                <w:u w:val="none"/>
              </w:rPr>
              <w:t>燃烧时间60min</w:t>
            </w:r>
          </w:p>
        </w:tc>
        <w:tc>
          <w:tcPr>
            <w:tcW w:w="427" w:type="pct"/>
            <w:tcMar>
              <w:left w:w="28" w:type="dxa"/>
              <w:right w:w="28" w:type="dxa"/>
            </w:tcMar>
            <w:vAlign w:val="center"/>
          </w:tcPr>
          <w:p w14:paraId="0BEF2546">
            <w:pPr>
              <w:pStyle w:val="92"/>
              <w:rPr>
                <w:color w:val="auto"/>
                <w:highlight w:val="none"/>
                <w:u w:val="none"/>
              </w:rPr>
            </w:pPr>
            <w:r>
              <w:rPr>
                <w:rFonts w:hint="eastAsia"/>
                <w:color w:val="auto"/>
                <w:highlight w:val="none"/>
                <w:u w:val="none"/>
              </w:rPr>
              <w:t>一氧化碳</w:t>
            </w:r>
          </w:p>
        </w:tc>
        <w:tc>
          <w:tcPr>
            <w:tcW w:w="761" w:type="pct"/>
            <w:tcMar>
              <w:left w:w="28" w:type="dxa"/>
              <w:right w:w="28" w:type="dxa"/>
            </w:tcMar>
            <w:vAlign w:val="center"/>
          </w:tcPr>
          <w:p w14:paraId="60D4141F">
            <w:pPr>
              <w:pStyle w:val="92"/>
              <w:rPr>
                <w:color w:val="auto"/>
                <w:highlight w:val="none"/>
                <w:u w:val="none"/>
              </w:rPr>
            </w:pPr>
            <w:r>
              <w:rPr>
                <w:rFonts w:hint="eastAsia"/>
                <w:color w:val="auto"/>
                <w:highlight w:val="none"/>
                <w:u w:val="none"/>
              </w:rPr>
              <w:t>640</w:t>
            </w:r>
          </w:p>
        </w:tc>
        <w:tc>
          <w:tcPr>
            <w:tcW w:w="767" w:type="pct"/>
            <w:vAlign w:val="center"/>
          </w:tcPr>
          <w:p w14:paraId="4C0C0F34">
            <w:pPr>
              <w:pStyle w:val="92"/>
              <w:rPr>
                <w:color w:val="auto"/>
                <w:highlight w:val="none"/>
                <w:u w:val="none"/>
              </w:rPr>
            </w:pPr>
            <w:r>
              <w:rPr>
                <w:rFonts w:hint="eastAsia"/>
                <w:color w:val="auto"/>
                <w:highlight w:val="none"/>
                <w:u w:val="none"/>
              </w:rPr>
              <w:t>830</w:t>
            </w:r>
          </w:p>
        </w:tc>
        <w:tc>
          <w:tcPr>
            <w:tcW w:w="761" w:type="pct"/>
            <w:vAlign w:val="center"/>
          </w:tcPr>
          <w:p w14:paraId="2B5BF2A0">
            <w:pPr>
              <w:pStyle w:val="92"/>
              <w:rPr>
                <w:color w:val="auto"/>
                <w:highlight w:val="none"/>
                <w:u w:val="none"/>
              </w:rPr>
            </w:pPr>
            <w:r>
              <w:rPr>
                <w:rFonts w:hint="eastAsia"/>
                <w:color w:val="auto"/>
                <w:highlight w:val="none"/>
                <w:u w:val="none"/>
              </w:rPr>
              <w:t>320</w:t>
            </w:r>
          </w:p>
        </w:tc>
        <w:tc>
          <w:tcPr>
            <w:tcW w:w="773" w:type="pct"/>
            <w:vAlign w:val="center"/>
          </w:tcPr>
          <w:p w14:paraId="27C0DE98">
            <w:pPr>
              <w:pStyle w:val="92"/>
              <w:rPr>
                <w:color w:val="auto"/>
                <w:highlight w:val="none"/>
                <w:u w:val="none"/>
              </w:rPr>
            </w:pPr>
            <w:r>
              <w:rPr>
                <w:rFonts w:hint="eastAsia"/>
                <w:color w:val="auto"/>
                <w:highlight w:val="none"/>
                <w:u w:val="none"/>
              </w:rPr>
              <w:t>750</w:t>
            </w:r>
          </w:p>
        </w:tc>
      </w:tr>
      <w:tr w14:paraId="7190C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7"/>
            <w:tcMar>
              <w:left w:w="28" w:type="dxa"/>
              <w:right w:w="28" w:type="dxa"/>
            </w:tcMar>
            <w:vAlign w:val="center"/>
          </w:tcPr>
          <w:p w14:paraId="013D6665">
            <w:pPr>
              <w:pStyle w:val="92"/>
              <w:jc w:val="left"/>
              <w:rPr>
                <w:color w:val="auto"/>
                <w:highlight w:val="none"/>
                <w:u w:val="none"/>
              </w:rPr>
            </w:pPr>
            <w:r>
              <w:rPr>
                <w:rFonts w:hint="eastAsia"/>
                <w:color w:val="auto"/>
                <w:highlight w:val="none"/>
                <w:u w:val="none"/>
              </w:rPr>
              <w:t>大气毒性终点浓度分为1级与2级，其中1级为当大气中危险物质浓度低于该限值时，绝大多数人员显露1h不会对生命造成威胁，当超过该限值时，有可能对人群造成生命威胁；2级为当大气中危险物质浓度低于该限值时，显露1h一般不会对人体造成不可逆的伤害，或出现的症状一般不会损伤个体采取有效防护措施的能力。</w:t>
            </w:r>
          </w:p>
        </w:tc>
      </w:tr>
    </w:tbl>
    <w:p w14:paraId="618E4E11">
      <w:pPr>
        <w:rPr>
          <w:rFonts w:hint="eastAsia"/>
          <w:color w:val="auto"/>
          <w:highlight w:val="none"/>
          <w:u w:val="none"/>
        </w:rPr>
      </w:pPr>
    </w:p>
    <w:p w14:paraId="576205EF">
      <w:pPr>
        <w:rPr>
          <w:rFonts w:hint="eastAsia"/>
          <w:color w:val="auto"/>
          <w:highlight w:val="none"/>
          <w:u w:val="none"/>
        </w:rPr>
      </w:pPr>
      <w:r>
        <w:rPr>
          <w:color w:val="auto"/>
          <w:highlight w:val="none"/>
          <w:u w:val="none"/>
        </w:rPr>
        <w:t>在本评价预设条件下发生气相毒物风险事故时，各装置、管廊和罐区中各风险物质毒性终点浓度-1出现的距离在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3000</w:t>
      </w:r>
      <w:r>
        <w:rPr>
          <w:color w:val="auto"/>
          <w:highlight w:val="none"/>
          <w:u w:val="none"/>
        </w:rPr>
        <w:t>m之间，在</w:t>
      </w:r>
      <w:r>
        <w:rPr>
          <w:rFonts w:hint="eastAsia"/>
          <w:color w:val="auto"/>
          <w:highlight w:val="none"/>
          <w:u w:val="none"/>
          <w:lang w:val="en-US"/>
        </w:rPr>
        <w:t>最不利气象条件下，风向刚好位于W</w:t>
      </w:r>
      <w:r>
        <w:rPr>
          <w:color w:val="auto"/>
          <w:highlight w:val="none"/>
          <w:u w:val="none"/>
        </w:rPr>
        <w:t>、</w:t>
      </w:r>
      <w:r>
        <w:rPr>
          <w:rFonts w:hint="eastAsia"/>
          <w:color w:val="auto"/>
          <w:highlight w:val="none"/>
          <w:u w:val="none"/>
          <w:lang w:val="en-US"/>
        </w:rPr>
        <w:t>NW</w:t>
      </w:r>
      <w:r>
        <w:rPr>
          <w:color w:val="auto"/>
          <w:highlight w:val="none"/>
          <w:u w:val="none"/>
        </w:rPr>
        <w:t>、</w:t>
      </w:r>
      <w:r>
        <w:rPr>
          <w:rFonts w:hint="eastAsia"/>
          <w:color w:val="auto"/>
          <w:highlight w:val="none"/>
          <w:u w:val="none"/>
          <w:lang w:val="en-US"/>
        </w:rPr>
        <w:t>SW</w:t>
      </w:r>
      <w:r>
        <w:rPr>
          <w:color w:val="auto"/>
          <w:highlight w:val="none"/>
          <w:u w:val="none"/>
        </w:rPr>
        <w:t>等气象条件下</w:t>
      </w:r>
      <w:r>
        <w:rPr>
          <w:rFonts w:hint="eastAsia"/>
          <w:color w:val="auto"/>
          <w:highlight w:val="none"/>
          <w:u w:val="none"/>
        </w:rPr>
        <w:t>，</w:t>
      </w:r>
      <w:r>
        <w:rPr>
          <w:rFonts w:hint="eastAsia"/>
          <w:color w:val="auto"/>
          <w:highlight w:val="none"/>
          <w:u w:val="none"/>
          <w:lang w:val="en-US"/>
        </w:rPr>
        <w:t>受影响的敏感目标主要为</w:t>
      </w:r>
      <w:r>
        <w:rPr>
          <w:color w:val="auto"/>
          <w:highlight w:val="none"/>
          <w:u w:val="none"/>
        </w:rPr>
        <w:t>芝山村、后林村、南曹村、</w:t>
      </w:r>
      <w:r>
        <w:rPr>
          <w:rFonts w:hint="eastAsia"/>
          <w:color w:val="auto"/>
          <w:highlight w:val="none"/>
          <w:u w:val="none"/>
          <w:lang w:val="en-US"/>
        </w:rPr>
        <w:t>岭兜</w:t>
      </w:r>
      <w:r>
        <w:rPr>
          <w:color w:val="auto"/>
          <w:highlight w:val="none"/>
          <w:u w:val="none"/>
        </w:rPr>
        <w:t>村、东江水厂等。</w:t>
      </w:r>
    </w:p>
    <w:p w14:paraId="778E5999">
      <w:pPr>
        <w:rPr>
          <w:rFonts w:hint="eastAsia"/>
          <w:color w:val="auto"/>
          <w:highlight w:val="none"/>
          <w:u w:val="none"/>
        </w:rPr>
      </w:pPr>
      <w:r>
        <w:rPr>
          <w:color w:val="auto"/>
          <w:highlight w:val="none"/>
          <w:u w:val="none"/>
        </w:rPr>
        <w:t>而一般事故情况下毒性重点浓度-2浓度范围出现的距离在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750</w:t>
      </w:r>
      <w:r>
        <w:rPr>
          <w:color w:val="auto"/>
          <w:highlight w:val="none"/>
          <w:u w:val="none"/>
        </w:rPr>
        <w:t>m之间，</w:t>
      </w:r>
      <w:r>
        <w:rPr>
          <w:rFonts w:hint="eastAsia"/>
          <w:color w:val="auto"/>
          <w:highlight w:val="none"/>
          <w:u w:val="none"/>
          <w:lang w:val="en-US"/>
        </w:rPr>
        <w:t>对敏感点的影响较小，一般均不会超过毒性终点浓度-1与毒性终点浓度-2</w:t>
      </w:r>
      <w:r>
        <w:rPr>
          <w:color w:val="auto"/>
          <w:highlight w:val="none"/>
          <w:u w:val="none"/>
        </w:rPr>
        <w:t>。</w:t>
      </w:r>
    </w:p>
    <w:p w14:paraId="7183F776">
      <w:pPr>
        <w:rPr>
          <w:rFonts w:hint="eastAsia"/>
          <w:color w:val="auto"/>
          <w:highlight w:val="none"/>
          <w:u w:val="none"/>
        </w:rPr>
      </w:pPr>
      <w:r>
        <w:rPr>
          <w:rFonts w:hint="eastAsia"/>
          <w:color w:val="auto"/>
          <w:highlight w:val="none"/>
          <w:u w:val="none"/>
        </w:rPr>
        <w:t>（</w:t>
      </w:r>
      <w:r>
        <w:rPr>
          <w:rFonts w:hint="eastAsia"/>
          <w:color w:val="auto"/>
          <w:highlight w:val="none"/>
          <w:u w:val="none"/>
          <w:lang w:val="en-US"/>
        </w:rPr>
        <w:t>3</w:t>
      </w:r>
      <w:r>
        <w:rPr>
          <w:rFonts w:hint="eastAsia"/>
          <w:color w:val="auto"/>
          <w:highlight w:val="none"/>
          <w:u w:val="none"/>
        </w:rPr>
        <w:t>）</w:t>
      </w:r>
      <w:r>
        <w:rPr>
          <w:color w:val="auto"/>
          <w:highlight w:val="none"/>
          <w:u w:val="none"/>
        </w:rPr>
        <w:t>各关心点的有毒有害物质随时间变化情况</w:t>
      </w:r>
    </w:p>
    <w:p w14:paraId="33720C48">
      <w:pPr>
        <w:rPr>
          <w:rFonts w:hint="eastAsia"/>
          <w:color w:val="auto"/>
          <w:highlight w:val="none"/>
          <w:u w:val="none"/>
        </w:rPr>
      </w:pPr>
      <w:r>
        <w:rPr>
          <w:color w:val="auto"/>
          <w:highlight w:val="none"/>
          <w:u w:val="none"/>
        </w:rPr>
        <w:t>根据本项目各事故情景预测结果，已预测各关心点的有毒有害物质随时间变化的情况，以及关心点预测浓度超过评价标准</w:t>
      </w:r>
      <w:r>
        <w:rPr>
          <w:rFonts w:hint="eastAsia"/>
          <w:color w:val="auto"/>
          <w:highlight w:val="none"/>
          <w:u w:val="none"/>
        </w:rPr>
        <w:t>时</w:t>
      </w:r>
      <w:r>
        <w:rPr>
          <w:color w:val="auto"/>
          <w:highlight w:val="none"/>
          <w:u w:val="none"/>
        </w:rPr>
        <w:t>对应的时刻和持续时间，详见各预测情景。</w:t>
      </w:r>
    </w:p>
    <w:p w14:paraId="1D4C6DE6">
      <w:pPr>
        <w:rPr>
          <w:rFonts w:hint="eastAsia"/>
          <w:color w:val="auto"/>
          <w:highlight w:val="none"/>
          <w:u w:val="none"/>
        </w:rPr>
      </w:pPr>
      <w:r>
        <w:rPr>
          <w:color w:val="auto"/>
          <w:highlight w:val="none"/>
          <w:u w:val="none"/>
        </w:rPr>
        <w:t>不确定性广泛地存在于自然界和人类社会中，就环境风险评价而言，不确定性的表现也是相当普遍的。将环境风险评价中的不确定性分为两大类，一类是可以用较确切语言描述的不确定性。例如，在环境风险评价中，某一随机事件的发生(如有毒化学物质的泄漏)具有随机性，只能通过特定的方法预测其发生的概率及影响程度。另一类不确定性是由于人们认识能力的局限，对风险评价中某些现象、机理本身就不清楚，不能准确地描述。比如本项目在环境风险评价中对受影响人群产生的健康风险，在评价中鉴定某一有毒物质的毒性对人体的健康危害影响时，往往是选择动物进行毒理实验，再由实验所得数据外推到人类，然后把所得数据作为该有毒物质对人体健康危害的标准值。可以说，在整个实验过程中，动物是受试者，而真正受到有健康危害影响的却是人类。可以确切地说，有毒物质在人体内的反应机理、对人体健康的影响及影响程度是不清楚的，也无法用语言准确地加以描述。对于第一类不确定性，又可进一步分为两类：由于自然界本身所固有的不确定性；在风险分析的过程中所引起的不确定性(如模型不确定性、参数不确定性等)和自然界随机变化引起的不确定性。就本项目风险评价而言，首先拟设的风险事故一般为某个装置、管道、储罐发生的单一事故，对如火灾爆炸等可能产生的连锁事故等无法进行准确的模拟及预测。其次就单一事故源项而言，具体的事故对象、源强大小、排放参数、事故控制时间和事故发生时的气象条件等的确定也存在客观不确定性，而且就预测模式而言，也有一定局限性。</w:t>
      </w:r>
    </w:p>
    <w:p w14:paraId="50D72076">
      <w:pPr>
        <w:ind w:firstLine="482"/>
        <w:rPr>
          <w:rFonts w:hint="eastAsia"/>
          <w:b/>
          <w:color w:val="auto"/>
          <w:highlight w:val="none"/>
          <w:u w:val="none"/>
        </w:rPr>
      </w:pPr>
      <w:r>
        <w:rPr>
          <w:b/>
          <w:color w:val="auto"/>
          <w:highlight w:val="none"/>
          <w:u w:val="none"/>
        </w:rPr>
        <w:t>本次环境风险评价，主要依据相关法律法规、导则、标准等要求，分别从装置区、罐区和管线等角度分析，根据涉及的主要Ⅰ级极度危害、Ⅱ级高度危害、</w:t>
      </w:r>
      <w:r>
        <w:rPr>
          <w:rFonts w:hint="eastAsia"/>
          <w:b/>
          <w:color w:val="auto"/>
          <w:highlight w:val="none"/>
          <w:u w:val="none"/>
        </w:rPr>
        <w:t>Ⅲ</w:t>
      </w:r>
      <w:r>
        <w:rPr>
          <w:b/>
          <w:color w:val="auto"/>
          <w:highlight w:val="none"/>
          <w:u w:val="none"/>
        </w:rPr>
        <w:t>级中度危害风险物质，同时综合考虑了《化学品环境风险防控“十二五”规划》重点防控化学品名单中的突发环境事件高发类物质</w:t>
      </w:r>
      <w:r>
        <w:rPr>
          <w:rFonts w:hint="eastAsia"/>
          <w:b/>
          <w:color w:val="auto"/>
          <w:highlight w:val="none"/>
          <w:u w:val="none"/>
        </w:rPr>
        <w:t>、危险化学品目录（2015版）(2022年修正）、《</w:t>
      </w:r>
      <w:r>
        <w:rPr>
          <w:rFonts w:hint="eastAsia"/>
          <w:b/>
          <w:color w:val="auto"/>
          <w:highlight w:val="none"/>
          <w:u w:val="none"/>
          <w:lang w:val="en-US"/>
        </w:rPr>
        <w:t>危险化学品重大危险源辨识</w:t>
      </w:r>
      <w:r>
        <w:rPr>
          <w:rFonts w:hint="eastAsia"/>
          <w:b/>
          <w:color w:val="auto"/>
          <w:highlight w:val="none"/>
          <w:u w:val="none"/>
        </w:rPr>
        <w:t>》（</w:t>
      </w:r>
      <w:r>
        <w:rPr>
          <w:rFonts w:hint="eastAsia"/>
          <w:b/>
          <w:color w:val="auto"/>
          <w:highlight w:val="none"/>
          <w:u w:val="none"/>
          <w:lang w:val="en-US"/>
        </w:rPr>
        <w:t>GB18218-2018</w:t>
      </w:r>
      <w:r>
        <w:rPr>
          <w:rFonts w:hint="eastAsia"/>
          <w:b/>
          <w:color w:val="auto"/>
          <w:highlight w:val="none"/>
          <w:u w:val="none"/>
        </w:rPr>
        <w:t>）、</w:t>
      </w:r>
      <w:r>
        <w:rPr>
          <w:b/>
          <w:color w:val="auto"/>
          <w:highlight w:val="none"/>
          <w:u w:val="none"/>
        </w:rPr>
        <w:t>《建设项目环境风险评价技术导则》（HJ169-2018）</w:t>
      </w:r>
      <w:r>
        <w:rPr>
          <w:rFonts w:hint="eastAsia"/>
          <w:b/>
          <w:color w:val="auto"/>
          <w:highlight w:val="none"/>
          <w:u w:val="none"/>
          <w:lang w:val="en-US"/>
        </w:rPr>
        <w:t>附录B中的重点关注的危险物质及临界量等</w:t>
      </w:r>
      <w:r>
        <w:rPr>
          <w:b/>
          <w:color w:val="auto"/>
          <w:highlight w:val="none"/>
          <w:u w:val="none"/>
        </w:rPr>
        <w:t>，分别筛选了各装置区、罐区和管线等可能产生的最大可信风险事故。最后按照《建设项目环境风险评价技术导则》（HJ169-2018）推荐的模式进行毒物在大气中的扩散计算，在预设条件下模拟出了事故发生后可能产生的最大影响，评价基本涵盖了本项目危害最大的事故和环境风险的最大后果，具有一定的代表性。</w:t>
      </w:r>
    </w:p>
    <w:p w14:paraId="4A44674B">
      <w:pPr>
        <w:ind w:firstLine="482"/>
        <w:rPr>
          <w:rFonts w:hint="eastAsia"/>
          <w:color w:val="auto"/>
          <w:highlight w:val="none"/>
          <w:u w:val="none"/>
        </w:rPr>
      </w:pPr>
      <w:r>
        <w:rPr>
          <w:b/>
          <w:color w:val="auto"/>
          <w:highlight w:val="none"/>
          <w:u w:val="none"/>
        </w:rPr>
        <w:t>但受制于</w:t>
      </w:r>
      <w:r>
        <w:rPr>
          <w:rFonts w:hint="eastAsia"/>
          <w:b/>
          <w:color w:val="auto"/>
          <w:highlight w:val="none"/>
          <w:u w:val="none"/>
        </w:rPr>
        <w:t>上述</w:t>
      </w:r>
      <w:r>
        <w:rPr>
          <w:b/>
          <w:color w:val="auto"/>
          <w:highlight w:val="none"/>
          <w:u w:val="none"/>
        </w:rPr>
        <w:t>种种不确定性因素的影响，本项目实际发生环境风险事故时，实际的风险影响范围和程度有可能大于以上预测值，建设单位应严格按照本评价及可行性研究报告的要求落实各项风险防范措施，特别应杜绝光气单元发生大规模泄漏的风险事故发生。</w:t>
      </w:r>
    </w:p>
    <w:p w14:paraId="60EF8C64">
      <w:pPr>
        <w:pStyle w:val="4"/>
        <w:spacing w:before="120" w:after="120"/>
        <w:rPr>
          <w:color w:val="auto"/>
          <w:highlight w:val="none"/>
          <w:u w:val="none"/>
        </w:rPr>
      </w:pPr>
      <w:bookmarkStart w:id="636" w:name="_Toc27619"/>
      <w:bookmarkStart w:id="637" w:name="_Toc3389"/>
      <w:bookmarkStart w:id="638" w:name="_Toc23781"/>
      <w:bookmarkStart w:id="639" w:name="_Toc148374834"/>
      <w:bookmarkStart w:id="640" w:name="_Toc148374674"/>
      <w:bookmarkStart w:id="641" w:name="_Toc148375116"/>
      <w:r>
        <w:rPr>
          <w:color w:val="auto"/>
          <w:highlight w:val="none"/>
          <w:u w:val="none"/>
        </w:rPr>
        <w:t>消防废水和液体风险物质泄漏影响分析</w:t>
      </w:r>
      <w:bookmarkEnd w:id="636"/>
      <w:bookmarkEnd w:id="637"/>
      <w:bookmarkEnd w:id="638"/>
      <w:bookmarkEnd w:id="639"/>
      <w:bookmarkEnd w:id="640"/>
      <w:bookmarkEnd w:id="641"/>
    </w:p>
    <w:p w14:paraId="04145FCB">
      <w:pPr>
        <w:pStyle w:val="6"/>
        <w:spacing w:before="120" w:after="120"/>
        <w:rPr>
          <w:color w:val="auto"/>
          <w:highlight w:val="none"/>
          <w:u w:val="none"/>
        </w:rPr>
      </w:pPr>
      <w:bookmarkStart w:id="642" w:name="_Toc148375117"/>
      <w:bookmarkStart w:id="643" w:name="_Toc148374675"/>
      <w:r>
        <w:rPr>
          <w:color w:val="auto"/>
          <w:highlight w:val="none"/>
          <w:u w:val="none"/>
        </w:rPr>
        <w:t>事故废水产生</w:t>
      </w:r>
      <w:bookmarkEnd w:id="642"/>
      <w:bookmarkEnd w:id="643"/>
    </w:p>
    <w:p w14:paraId="7A629967">
      <w:pPr>
        <w:rPr>
          <w:rFonts w:hint="eastAsia"/>
          <w:color w:val="auto"/>
          <w:highlight w:val="none"/>
          <w:u w:val="none"/>
        </w:rPr>
      </w:pPr>
      <w:r>
        <w:rPr>
          <w:color w:val="auto"/>
          <w:highlight w:val="none"/>
          <w:u w:val="none"/>
        </w:rPr>
        <w:t>本项目事故废水主要有以下几种情况：①当生产不正常造成工艺物料泄漏、生产污水排放量或者排放浓度大幅度增加超过了污水处理装置的承载负荷时；②由于污水处理装置运行不正常、排水水质不能满足排放标准要求时；③发生火灾时污染区域内产生了大量消防废水；④污染区域内产生的初期污染雨水等。</w:t>
      </w:r>
    </w:p>
    <w:p w14:paraId="59DE82BA">
      <w:pPr>
        <w:pStyle w:val="6"/>
        <w:spacing w:before="120" w:after="120"/>
        <w:rPr>
          <w:color w:val="auto"/>
          <w:highlight w:val="none"/>
          <w:u w:val="none"/>
        </w:rPr>
      </w:pPr>
      <w:bookmarkStart w:id="644" w:name="_Toc148375118"/>
      <w:bookmarkStart w:id="645" w:name="_Toc148374676"/>
      <w:r>
        <w:rPr>
          <w:color w:val="auto"/>
          <w:highlight w:val="none"/>
          <w:u w:val="none"/>
        </w:rPr>
        <w:t>消防及事故污水的特点</w:t>
      </w:r>
      <w:bookmarkEnd w:id="644"/>
      <w:bookmarkEnd w:id="645"/>
    </w:p>
    <w:p w14:paraId="084FA341">
      <w:pPr>
        <w:rPr>
          <w:rFonts w:hint="eastAsia"/>
          <w:color w:val="auto"/>
          <w:highlight w:val="none"/>
          <w:u w:val="none"/>
        </w:rPr>
      </w:pPr>
      <w:r>
        <w:rPr>
          <w:color w:val="auto"/>
          <w:highlight w:val="none"/>
          <w:u w:val="none"/>
        </w:rPr>
        <w:t>当发生火灾等风险事故时，将用到大量消防水来灭火；或发生液体化工品泄漏时用不燃性分散剂制成的乳液刷洗产生冲洗液，或用泡沫覆盖，抑制蒸发。消防时，泄漏出来的物料混入消防水，消防水即被污染。消防污水具有以下几个特点：</w:t>
      </w:r>
    </w:p>
    <w:p w14:paraId="30F2FCD8">
      <w:pPr>
        <w:rPr>
          <w:rFonts w:hint="eastAsia"/>
          <w:color w:val="auto"/>
          <w:highlight w:val="none"/>
          <w:u w:val="none"/>
        </w:rPr>
      </w:pPr>
      <w:r>
        <w:rPr>
          <w:color w:val="auto"/>
          <w:highlight w:val="none"/>
          <w:u w:val="none"/>
        </w:rPr>
        <w:t>（1）消防污水量变化大</w:t>
      </w:r>
    </w:p>
    <w:p w14:paraId="5C57D747">
      <w:pPr>
        <w:rPr>
          <w:rFonts w:hint="eastAsia"/>
          <w:color w:val="auto"/>
          <w:highlight w:val="none"/>
          <w:u w:val="none"/>
        </w:rPr>
      </w:pPr>
      <w:r>
        <w:rPr>
          <w:color w:val="auto"/>
          <w:highlight w:val="none"/>
          <w:u w:val="none"/>
        </w:rPr>
        <w:t>消防污水量与消防时实际用水量有关，而消防实际用水量与火灾严重程度密切相关。当火灾处于初期或程度比较轻时，消防实际用水量就小，产生的消防污水也就少；当火灾程度比较严重时，消防实际用水量就大，产生的消防污水也就多。</w:t>
      </w:r>
    </w:p>
    <w:p w14:paraId="54895A09">
      <w:pPr>
        <w:rPr>
          <w:rFonts w:hint="eastAsia"/>
          <w:color w:val="auto"/>
          <w:highlight w:val="none"/>
          <w:u w:val="none"/>
        </w:rPr>
      </w:pPr>
      <w:r>
        <w:rPr>
          <w:color w:val="auto"/>
          <w:highlight w:val="none"/>
          <w:u w:val="none"/>
        </w:rPr>
        <w:t>（2）污水中污染物组分复杂</w:t>
      </w:r>
    </w:p>
    <w:p w14:paraId="2E73ED8A">
      <w:pPr>
        <w:rPr>
          <w:rFonts w:hint="eastAsia"/>
          <w:color w:val="auto"/>
          <w:highlight w:val="none"/>
          <w:u w:val="none"/>
        </w:rPr>
      </w:pPr>
      <w:r>
        <w:rPr>
          <w:color w:val="auto"/>
          <w:highlight w:val="none"/>
          <w:u w:val="none"/>
        </w:rPr>
        <w:t>不同的</w:t>
      </w:r>
      <w:r>
        <w:rPr>
          <w:rFonts w:hint="eastAsia"/>
          <w:color w:val="auto"/>
          <w:highlight w:val="none"/>
          <w:u w:val="none"/>
        </w:rPr>
        <w:t>物料</w:t>
      </w:r>
      <w:r>
        <w:rPr>
          <w:color w:val="auto"/>
          <w:highlight w:val="none"/>
          <w:u w:val="none"/>
        </w:rPr>
        <w:t>泄漏，消防污水中污染物的组分都会不同，污染物的浓度也会有很大差异。本项目消防水中可能含有甲苯二异氰酸酯、甲苯二胺、甲苯、邻二氯苯、一硝基甲苯、二硝基甲苯、硝酸、浓硫酸、盐酸等化学品成分。</w:t>
      </w:r>
    </w:p>
    <w:p w14:paraId="00A92AED">
      <w:pPr>
        <w:rPr>
          <w:rFonts w:hint="eastAsia"/>
          <w:color w:val="auto"/>
          <w:highlight w:val="none"/>
          <w:u w:val="none"/>
        </w:rPr>
      </w:pPr>
      <w:r>
        <w:rPr>
          <w:color w:val="auto"/>
          <w:highlight w:val="none"/>
          <w:u w:val="none"/>
        </w:rPr>
        <w:t>一旦消防用水量大于事故水池的容积，消防污水将可能进入海域，对海水水质、海洋生态环境造成较大的影响。因此，消防污水的收集与处理是十分必要的。</w:t>
      </w:r>
    </w:p>
    <w:p w14:paraId="10F60B6C">
      <w:pPr>
        <w:pStyle w:val="6"/>
        <w:spacing w:before="120" w:after="120"/>
        <w:rPr>
          <w:color w:val="auto"/>
          <w:highlight w:val="none"/>
          <w:u w:val="none"/>
        </w:rPr>
      </w:pPr>
      <w:bookmarkStart w:id="646" w:name="_Toc148374677"/>
      <w:bookmarkStart w:id="647" w:name="_Toc148375119"/>
      <w:r>
        <w:rPr>
          <w:color w:val="auto"/>
          <w:highlight w:val="none"/>
          <w:u w:val="none"/>
        </w:rPr>
        <w:t>事故污水对海洋生态环境的影响分析</w:t>
      </w:r>
      <w:bookmarkEnd w:id="646"/>
      <w:bookmarkEnd w:id="647"/>
    </w:p>
    <w:p w14:paraId="1E6B9FFB">
      <w:pPr>
        <w:rPr>
          <w:rFonts w:hint="eastAsia"/>
          <w:color w:val="auto"/>
          <w:highlight w:val="none"/>
          <w:u w:val="none"/>
        </w:rPr>
      </w:pPr>
      <w:r>
        <w:rPr>
          <w:color w:val="auto"/>
          <w:highlight w:val="none"/>
          <w:u w:val="none"/>
        </w:rPr>
        <w:t>本</w:t>
      </w:r>
      <w:r>
        <w:rPr>
          <w:rFonts w:hint="eastAsia"/>
          <w:color w:val="auto"/>
          <w:highlight w:val="none"/>
          <w:u w:val="none"/>
          <w:lang w:val="en-US"/>
        </w:rPr>
        <w:t>技改扩能</w:t>
      </w:r>
      <w:r>
        <w:rPr>
          <w:color w:val="auto"/>
          <w:highlight w:val="none"/>
          <w:u w:val="none"/>
        </w:rPr>
        <w:t>项目甲苯二异氰酸酯、甲苯二胺、甲苯、邻二氯苯</w:t>
      </w:r>
      <w:r>
        <w:rPr>
          <w:rFonts w:hint="eastAsia"/>
          <w:color w:val="auto"/>
          <w:highlight w:val="none"/>
          <w:u w:val="none"/>
        </w:rPr>
        <w:t>、</w:t>
      </w:r>
      <w:r>
        <w:rPr>
          <w:color w:val="auto"/>
          <w:highlight w:val="none"/>
          <w:u w:val="none"/>
        </w:rPr>
        <w:t>一硝基甲苯、二硝基甲苯、硝酸、浓硫酸、盐酸等危化品对水生生物等危害较大，若在极端事故情况下，大量危化品进入海域，将对附近海域的养殖业及海域生态造成严重的影响。因此，建设单位应制定完善的风险防范措施与应急预案，必须杜绝危化品和消防事故污水泄漏进入兴化湾的事故发生。</w:t>
      </w:r>
    </w:p>
    <w:p w14:paraId="606D94C6">
      <w:pPr>
        <w:rPr>
          <w:rFonts w:hint="eastAsia"/>
          <w:color w:val="auto"/>
          <w:highlight w:val="none"/>
          <w:u w:val="none"/>
        </w:rPr>
      </w:pPr>
      <w:r>
        <w:rPr>
          <w:color w:val="auto"/>
          <w:highlight w:val="none"/>
          <w:u w:val="none"/>
        </w:rPr>
        <w:t>（1）对海水水质的影响</w:t>
      </w:r>
    </w:p>
    <w:p w14:paraId="74730BBA">
      <w:pPr>
        <w:rPr>
          <w:rFonts w:hint="eastAsia"/>
          <w:color w:val="auto"/>
          <w:highlight w:val="none"/>
          <w:u w:val="none"/>
        </w:rPr>
      </w:pPr>
      <w:r>
        <w:rPr>
          <w:color w:val="auto"/>
          <w:highlight w:val="none"/>
          <w:u w:val="none"/>
        </w:rPr>
        <w:t>事故</w:t>
      </w:r>
      <w:r>
        <w:rPr>
          <w:rFonts w:hint="eastAsia"/>
          <w:color w:val="auto"/>
          <w:highlight w:val="none"/>
          <w:u w:val="none"/>
        </w:rPr>
        <w:t>废水</w:t>
      </w:r>
      <w:r>
        <w:rPr>
          <w:color w:val="auto"/>
          <w:highlight w:val="none"/>
          <w:u w:val="none"/>
        </w:rPr>
        <w:t>中可能含有化学品，进入海域后将使得局部海域的pH、COD值明显增大，将对附近海域的海水水质造成一定的影响。</w:t>
      </w:r>
    </w:p>
    <w:p w14:paraId="3BF27478">
      <w:pPr>
        <w:rPr>
          <w:rFonts w:hint="eastAsia"/>
          <w:color w:val="auto"/>
          <w:highlight w:val="none"/>
          <w:u w:val="none"/>
        </w:rPr>
      </w:pPr>
      <w:r>
        <w:rPr>
          <w:color w:val="auto"/>
          <w:highlight w:val="none"/>
          <w:u w:val="none"/>
        </w:rPr>
        <w:t>（2）对浮游生物的影响</w:t>
      </w:r>
    </w:p>
    <w:p w14:paraId="2CE5179D">
      <w:pPr>
        <w:rPr>
          <w:rFonts w:hint="eastAsia"/>
          <w:color w:val="auto"/>
          <w:highlight w:val="none"/>
          <w:u w:val="none"/>
        </w:rPr>
      </w:pPr>
      <w:r>
        <w:rPr>
          <w:color w:val="auto"/>
          <w:highlight w:val="none"/>
          <w:u w:val="none"/>
        </w:rPr>
        <w:t>浮游生物对液化品污染极为敏感，许多浮游生物皆会因受液化品危害而惨遭厄运，食物链会被破坏，饵料基础因此遭破坏，特别是由于浮游生物缺乏运动能力，加以身体柔弱，身体多生毛、刺更易为液化产品所附着和易受污染。</w:t>
      </w:r>
    </w:p>
    <w:p w14:paraId="6559549B">
      <w:pPr>
        <w:rPr>
          <w:rFonts w:hint="eastAsia"/>
          <w:color w:val="auto"/>
          <w:highlight w:val="none"/>
          <w:u w:val="none"/>
        </w:rPr>
      </w:pPr>
      <w:r>
        <w:rPr>
          <w:color w:val="auto"/>
          <w:highlight w:val="none"/>
          <w:u w:val="none"/>
        </w:rPr>
        <w:t>（3）对底栖生物的影响</w:t>
      </w:r>
    </w:p>
    <w:p w14:paraId="65736252">
      <w:pPr>
        <w:rPr>
          <w:rFonts w:hint="eastAsia"/>
          <w:color w:val="auto"/>
          <w:highlight w:val="none"/>
          <w:u w:val="none"/>
        </w:rPr>
      </w:pPr>
      <w:r>
        <w:rPr>
          <w:color w:val="auto"/>
          <w:highlight w:val="none"/>
          <w:u w:val="none"/>
        </w:rPr>
        <w:t>事故</w:t>
      </w:r>
      <w:r>
        <w:rPr>
          <w:rFonts w:hint="eastAsia"/>
          <w:color w:val="auto"/>
          <w:highlight w:val="none"/>
          <w:u w:val="none"/>
        </w:rPr>
        <w:t>废水</w:t>
      </w:r>
      <w:r>
        <w:rPr>
          <w:color w:val="auto"/>
          <w:highlight w:val="none"/>
          <w:u w:val="none"/>
        </w:rPr>
        <w:t>进入海域中，液化品沉降可能导致该海域滩涂、底栖生物窒息死亡或中毒死亡，其中一些营固着性生物的贝类如牡蛎、贻贝等及甲壳类的虾、蟹，及对污染敏感的棘皮动物将深受其害，一些滩涂鱼类也会因此受害，幸存者也将因有臭味而降低其经济价值。此外，海涂及沉积物中未经降解的液化品有可能还原于水中造成二次污染。</w:t>
      </w:r>
    </w:p>
    <w:p w14:paraId="17BEE428">
      <w:pPr>
        <w:rPr>
          <w:rFonts w:hint="eastAsia"/>
          <w:color w:val="auto"/>
          <w:highlight w:val="none"/>
          <w:u w:val="none"/>
        </w:rPr>
      </w:pPr>
      <w:r>
        <w:rPr>
          <w:color w:val="auto"/>
          <w:highlight w:val="none"/>
          <w:u w:val="none"/>
        </w:rPr>
        <w:t>（4）对渔业生产的影响</w:t>
      </w:r>
    </w:p>
    <w:p w14:paraId="4E8B7B11">
      <w:pPr>
        <w:rPr>
          <w:rFonts w:hint="eastAsia"/>
          <w:color w:val="auto"/>
          <w:highlight w:val="none"/>
          <w:u w:val="none"/>
        </w:rPr>
      </w:pPr>
      <w:r>
        <w:rPr>
          <w:color w:val="auto"/>
          <w:highlight w:val="none"/>
          <w:u w:val="none"/>
        </w:rPr>
        <w:t>事故</w:t>
      </w:r>
      <w:r>
        <w:rPr>
          <w:rFonts w:hint="eastAsia"/>
          <w:color w:val="auto"/>
          <w:highlight w:val="none"/>
          <w:u w:val="none"/>
        </w:rPr>
        <w:t>废水</w:t>
      </w:r>
      <w:r>
        <w:rPr>
          <w:color w:val="auto"/>
          <w:highlight w:val="none"/>
          <w:u w:val="none"/>
        </w:rPr>
        <w:t>进入海域后，可能将对渔业资源、鱼类产卵场、育肥场带来影响的同时，也可能对现有养殖区养殖生产造成较大的损失。</w:t>
      </w:r>
    </w:p>
    <w:p w14:paraId="05A910B7">
      <w:pPr>
        <w:rPr>
          <w:rFonts w:hint="eastAsia"/>
          <w:color w:val="auto"/>
          <w:highlight w:val="none"/>
          <w:u w:val="none"/>
        </w:rPr>
      </w:pPr>
      <w:r>
        <w:rPr>
          <w:rFonts w:hint="eastAsia"/>
          <w:color w:val="auto"/>
          <w:highlight w:val="none"/>
          <w:u w:val="none"/>
        </w:rPr>
        <w:t>本项目设计的废水管道均采用明管敷设，硝硫浓缩酸性废水、废酸浓缩酸性废水、</w:t>
      </w:r>
      <w:r>
        <w:rPr>
          <w:color w:val="auto"/>
          <w:highlight w:val="none"/>
          <w:u w:val="none"/>
        </w:rPr>
        <w:t>汽提酸性废水</w:t>
      </w:r>
      <w:r>
        <w:rPr>
          <w:rFonts w:hint="eastAsia"/>
          <w:color w:val="auto"/>
          <w:highlight w:val="none"/>
          <w:u w:val="none"/>
        </w:rPr>
        <w:t>、</w:t>
      </w:r>
      <w:r>
        <w:rPr>
          <w:color w:val="auto"/>
          <w:highlight w:val="none"/>
          <w:u w:val="none"/>
        </w:rPr>
        <w:t>TDA</w:t>
      </w:r>
      <w:r>
        <w:rPr>
          <w:rFonts w:hint="eastAsia"/>
          <w:color w:val="auto"/>
          <w:highlight w:val="none"/>
          <w:u w:val="none"/>
        </w:rPr>
        <w:t>废水、光化中和废水、设备清洗废水</w:t>
      </w:r>
      <w:r>
        <w:rPr>
          <w:color w:val="auto"/>
          <w:highlight w:val="none"/>
          <w:u w:val="none"/>
        </w:rPr>
        <w:t>通过明管输送至</w:t>
      </w:r>
      <w:r>
        <w:rPr>
          <w:rFonts w:hint="eastAsia"/>
          <w:color w:val="auto"/>
          <w:highlight w:val="none"/>
          <w:u w:val="none"/>
        </w:rPr>
        <w:t>万华环保科技公司</w:t>
      </w:r>
      <w:r>
        <w:rPr>
          <w:color w:val="auto"/>
          <w:highlight w:val="none"/>
          <w:u w:val="none"/>
        </w:rPr>
        <w:t>污水处理站综合废水处理系统处理，处理达标后通过</w:t>
      </w:r>
      <w:r>
        <w:rPr>
          <w:rFonts w:hint="eastAsia"/>
          <w:color w:val="auto"/>
          <w:highlight w:val="none"/>
          <w:u w:val="none"/>
          <w:lang w:eastAsia="zh-CN"/>
        </w:rPr>
        <w:t>福州江阴港城经济区</w:t>
      </w:r>
      <w:r>
        <w:rPr>
          <w:color w:val="auto"/>
          <w:highlight w:val="none"/>
          <w:u w:val="none"/>
        </w:rPr>
        <w:t>污水处理厂已建排海管道排海；</w:t>
      </w:r>
      <w:r>
        <w:rPr>
          <w:rFonts w:hint="eastAsia"/>
          <w:color w:val="auto"/>
          <w:highlight w:val="none"/>
          <w:u w:val="none"/>
        </w:rPr>
        <w:t>红水废水通过明管</w:t>
      </w:r>
      <w:r>
        <w:rPr>
          <w:color w:val="auto"/>
          <w:highlight w:val="none"/>
          <w:u w:val="none"/>
        </w:rPr>
        <w:t>输送至</w:t>
      </w:r>
      <w:r>
        <w:rPr>
          <w:rFonts w:hint="eastAsia"/>
          <w:color w:val="auto"/>
          <w:highlight w:val="none"/>
          <w:u w:val="none"/>
        </w:rPr>
        <w:t>万华福建公司</w:t>
      </w:r>
      <w:r>
        <w:rPr>
          <w:rFonts w:hint="eastAsia"/>
          <w:color w:val="auto"/>
          <w:highlight w:val="none"/>
          <w:u w:val="none"/>
          <w:lang w:eastAsia="zh-CN"/>
        </w:rPr>
        <w:t>气体扩能改造项目</w:t>
      </w:r>
      <w:r>
        <w:rPr>
          <w:rFonts w:hint="eastAsia"/>
          <w:color w:val="auto"/>
          <w:highlight w:val="none"/>
          <w:u w:val="none"/>
        </w:rPr>
        <w:t>作为水煤浆气化原料；</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DNT反应工序循环使用不外排。地面冲洗水</w:t>
      </w:r>
      <w:r>
        <w:rPr>
          <w:rFonts w:hint="eastAsia"/>
          <w:color w:val="auto"/>
          <w:highlight w:val="none"/>
          <w:u w:val="none"/>
        </w:rPr>
        <w:t>、初期雨水及生活污水送至万华环保科技公司</w:t>
      </w:r>
      <w:r>
        <w:rPr>
          <w:color w:val="auto"/>
          <w:highlight w:val="none"/>
          <w:u w:val="none"/>
        </w:rPr>
        <w:t>污水处理站低浓度废水处理系统处理，处理</w:t>
      </w:r>
      <w:r>
        <w:rPr>
          <w:rFonts w:hint="eastAsia"/>
          <w:color w:val="auto"/>
          <w:highlight w:val="none"/>
          <w:u w:val="none"/>
        </w:rPr>
        <w:t>达标</w:t>
      </w:r>
      <w:r>
        <w:rPr>
          <w:color w:val="auto"/>
          <w:highlight w:val="none"/>
          <w:u w:val="none"/>
        </w:rPr>
        <w:t>后排入</w:t>
      </w:r>
      <w:r>
        <w:rPr>
          <w:rFonts w:hint="eastAsia"/>
          <w:color w:val="auto"/>
          <w:highlight w:val="none"/>
          <w:u w:val="none"/>
          <w:lang w:eastAsia="zh-CN"/>
        </w:rPr>
        <w:t>福州江阴港城经济区</w:t>
      </w:r>
      <w:r>
        <w:rPr>
          <w:color w:val="auto"/>
          <w:highlight w:val="none"/>
          <w:u w:val="none"/>
        </w:rPr>
        <w:t>污水处理厂进一步处理。</w:t>
      </w:r>
    </w:p>
    <w:p w14:paraId="0BBD76B2">
      <w:pPr>
        <w:rPr>
          <w:rFonts w:hint="eastAsia"/>
          <w:color w:val="auto"/>
          <w:highlight w:val="none"/>
          <w:u w:val="none"/>
        </w:rPr>
      </w:pPr>
      <w:r>
        <w:rPr>
          <w:rFonts w:hint="eastAsia"/>
          <w:color w:val="auto"/>
          <w:highlight w:val="none"/>
          <w:u w:val="none"/>
          <w:lang w:val="en-US"/>
        </w:rPr>
        <w:t>若发生事故，</w:t>
      </w:r>
      <w:r>
        <w:rPr>
          <w:color w:val="auto"/>
          <w:highlight w:val="none"/>
          <w:u w:val="none"/>
        </w:rPr>
        <w:t>企业</w:t>
      </w:r>
      <w:r>
        <w:rPr>
          <w:rFonts w:hint="eastAsia"/>
          <w:color w:val="auto"/>
          <w:highlight w:val="none"/>
          <w:u w:val="none"/>
        </w:rPr>
        <w:t>将</w:t>
      </w:r>
      <w:r>
        <w:rPr>
          <w:color w:val="auto"/>
          <w:highlight w:val="none"/>
          <w:u w:val="none"/>
        </w:rPr>
        <w:t>采取</w:t>
      </w:r>
      <w:r>
        <w:rPr>
          <w:rFonts w:hint="eastAsia"/>
          <w:color w:val="auto"/>
          <w:highlight w:val="none"/>
          <w:u w:val="none"/>
        </w:rPr>
        <w:t>四</w:t>
      </w:r>
      <w:r>
        <w:rPr>
          <w:color w:val="auto"/>
          <w:highlight w:val="none"/>
          <w:u w:val="none"/>
        </w:rPr>
        <w:t>级防控措施来杜绝环境风险事故废水排放对外环境造成的污染事件，将环境风险事故排水及污染物控制在储罐区、装置区</w:t>
      </w:r>
      <w:r>
        <w:rPr>
          <w:rFonts w:hint="eastAsia"/>
          <w:color w:val="auto"/>
          <w:highlight w:val="none"/>
          <w:u w:val="none"/>
        </w:rPr>
        <w:t>及</w:t>
      </w:r>
      <w:r>
        <w:rPr>
          <w:color w:val="auto"/>
          <w:highlight w:val="none"/>
          <w:u w:val="none"/>
        </w:rPr>
        <w:t>事故池</w:t>
      </w:r>
      <w:r>
        <w:rPr>
          <w:rFonts w:hint="eastAsia"/>
          <w:color w:val="auto"/>
          <w:highlight w:val="none"/>
          <w:u w:val="none"/>
        </w:rPr>
        <w:t>，同时</w:t>
      </w:r>
      <w:r>
        <w:rPr>
          <w:color w:val="auto"/>
          <w:highlight w:val="none"/>
          <w:u w:val="none"/>
        </w:rPr>
        <w:t>事故废水分批次纳入</w:t>
      </w:r>
      <w:r>
        <w:rPr>
          <w:rFonts w:hint="eastAsia"/>
          <w:color w:val="auto"/>
          <w:highlight w:val="none"/>
          <w:u w:val="none"/>
        </w:rPr>
        <w:t>万华环保科技公司</w:t>
      </w:r>
      <w:r>
        <w:rPr>
          <w:color w:val="auto"/>
          <w:highlight w:val="none"/>
          <w:u w:val="none"/>
        </w:rPr>
        <w:t>综合废水处理站，避免对其造成冲击。</w:t>
      </w:r>
      <w:r>
        <w:rPr>
          <w:rFonts w:hint="eastAsia"/>
          <w:color w:val="auto"/>
          <w:highlight w:val="none"/>
          <w:u w:val="none"/>
          <w:lang w:val="en-US"/>
        </w:rPr>
        <w:t>且</w:t>
      </w:r>
      <w:r>
        <w:rPr>
          <w:color w:val="auto"/>
          <w:highlight w:val="none"/>
          <w:u w:val="none"/>
        </w:rPr>
        <w:t>在整个园区建立企业事故污水控制调储措施，同时，</w:t>
      </w:r>
      <w:r>
        <w:rPr>
          <w:rFonts w:hint="eastAsia"/>
          <w:color w:val="auto"/>
          <w:highlight w:val="none"/>
          <w:u w:val="none"/>
          <w:lang w:eastAsia="zh-CN"/>
        </w:rPr>
        <w:t>福州江阴港城经济区</w:t>
      </w:r>
      <w:r>
        <w:rPr>
          <w:color w:val="auto"/>
          <w:highlight w:val="none"/>
          <w:u w:val="none"/>
        </w:rPr>
        <w:t>紧急启动应急预案，通过相关防控措施，企业厂区发生事故废水排放对排污口海域造成的环境影响能够得到有效控制</w:t>
      </w:r>
      <w:r>
        <w:rPr>
          <w:rFonts w:hint="eastAsia"/>
          <w:color w:val="auto"/>
          <w:highlight w:val="none"/>
          <w:u w:val="none"/>
        </w:rPr>
        <w:t>。</w:t>
      </w:r>
    </w:p>
    <w:p w14:paraId="7A635705">
      <w:pPr>
        <w:pStyle w:val="6"/>
        <w:spacing w:before="120" w:after="120"/>
        <w:rPr>
          <w:color w:val="auto"/>
          <w:highlight w:val="none"/>
          <w:u w:val="none"/>
        </w:rPr>
      </w:pPr>
      <w:bookmarkStart w:id="648" w:name="_Toc148375120"/>
      <w:bookmarkStart w:id="649" w:name="_Toc148374678"/>
      <w:r>
        <w:rPr>
          <w:color w:val="auto"/>
          <w:highlight w:val="none"/>
          <w:u w:val="none"/>
        </w:rPr>
        <w:t>事故应急池设置</w:t>
      </w:r>
      <w:bookmarkEnd w:id="648"/>
      <w:bookmarkEnd w:id="649"/>
    </w:p>
    <w:p w14:paraId="4078A77D">
      <w:pPr>
        <w:pStyle w:val="7"/>
        <w:spacing w:before="120"/>
        <w:rPr>
          <w:color w:val="auto"/>
          <w:highlight w:val="none"/>
          <w:u w:val="none"/>
          <w:lang w:val="en-US"/>
        </w:rPr>
      </w:pPr>
      <w:r>
        <w:rPr>
          <w:rFonts w:hint="eastAsia"/>
          <w:color w:val="auto"/>
          <w:highlight w:val="none"/>
          <w:u w:val="none"/>
          <w:lang w:val="en-US"/>
        </w:rPr>
        <w:t>万华福建公司主要生产地块现有事故应急池设置情况</w:t>
      </w:r>
    </w:p>
    <w:p w14:paraId="32860621">
      <w:pPr>
        <w:rPr>
          <w:rFonts w:hint="eastAsia"/>
          <w:color w:val="auto"/>
          <w:highlight w:val="none"/>
          <w:u w:val="none"/>
        </w:rPr>
      </w:pPr>
      <w:r>
        <w:rPr>
          <w:rFonts w:hint="eastAsia"/>
          <w:color w:val="auto"/>
          <w:highlight w:val="none"/>
          <w:u w:val="none"/>
        </w:rPr>
        <w:t>万华福建公司与福建东南电化土地分割后，对其雨污管网虽然进行了改造，但是改造后东南电化与万华化学装置区的雨水管网仍旧不能够分开，东南电化的雨水排放最终仍由万华化学雨水监测井监测达标后排放。不达标雨水及事故洗消废水则暂存于事故应急池，再由万华环保科技公司污水处理站处理达标后排放。</w:t>
      </w:r>
    </w:p>
    <w:p w14:paraId="79530268">
      <w:pPr>
        <w:rPr>
          <w:rFonts w:hint="eastAsia"/>
          <w:bCs/>
          <w:color w:val="auto"/>
          <w:highlight w:val="none"/>
          <w:u w:val="none"/>
        </w:rPr>
      </w:pPr>
      <w:r>
        <w:rPr>
          <w:rFonts w:hint="eastAsia"/>
          <w:color w:val="auto"/>
          <w:highlight w:val="none"/>
          <w:u w:val="none"/>
        </w:rPr>
        <w:t>因此，</w:t>
      </w:r>
      <w:r>
        <w:rPr>
          <w:rFonts w:hint="eastAsia"/>
          <w:color w:val="auto"/>
          <w:highlight w:val="none"/>
          <w:u w:val="none"/>
          <w:lang w:val="en-US"/>
        </w:rPr>
        <w:t>现有</w:t>
      </w:r>
      <w:r>
        <w:rPr>
          <w:rFonts w:hint="eastAsia"/>
          <w:color w:val="auto"/>
          <w:highlight w:val="none"/>
          <w:u w:val="none"/>
        </w:rPr>
        <w:t>万华福建公司事故应急池设置时除了考虑自身的PVC项目、TDI项目、苯胺项目、甲醛项目等装置区发生风险时，消防历时6~12小时的最大消防水量、泄漏物料量和可转移物料量之和，即</w:t>
      </w:r>
      <w:r>
        <w:rPr>
          <w:color w:val="auto"/>
          <w:highlight w:val="none"/>
          <w:u w:val="none"/>
        </w:rPr>
        <w:t>（V</w:t>
      </w:r>
      <w:r>
        <w:rPr>
          <w:color w:val="auto"/>
          <w:highlight w:val="none"/>
          <w:u w:val="none"/>
          <w:vertAlign w:val="subscript"/>
        </w:rPr>
        <w:t>1</w:t>
      </w:r>
      <w:r>
        <w:rPr>
          <w:color w:val="auto"/>
          <w:highlight w:val="none"/>
          <w:u w:val="none"/>
        </w:rPr>
        <w:t>+V</w:t>
      </w:r>
      <w:r>
        <w:rPr>
          <w:color w:val="auto"/>
          <w:highlight w:val="none"/>
          <w:u w:val="none"/>
          <w:vertAlign w:val="subscript"/>
        </w:rPr>
        <w:t>2</w:t>
      </w:r>
      <w:r>
        <w:rPr>
          <w:color w:val="auto"/>
          <w:highlight w:val="none"/>
          <w:u w:val="none"/>
        </w:rPr>
        <w:t>-V</w:t>
      </w:r>
      <w:r>
        <w:rPr>
          <w:color w:val="auto"/>
          <w:highlight w:val="none"/>
          <w:u w:val="none"/>
          <w:vertAlign w:val="subscript"/>
        </w:rPr>
        <w:t>3</w:t>
      </w:r>
      <w:r>
        <w:rPr>
          <w:color w:val="auto"/>
          <w:highlight w:val="none"/>
          <w:u w:val="none"/>
        </w:rPr>
        <w:t>）</w:t>
      </w:r>
      <w:r>
        <w:rPr>
          <w:color w:val="auto"/>
          <w:highlight w:val="none"/>
          <w:u w:val="none"/>
          <w:vertAlign w:val="subscript"/>
        </w:rPr>
        <w:t>max</w:t>
      </w:r>
      <w:r>
        <w:rPr>
          <w:rFonts w:hint="eastAsia"/>
          <w:color w:val="auto"/>
          <w:highlight w:val="none"/>
          <w:u w:val="none"/>
        </w:rPr>
        <w:t>，及发生事故时汇水区域雨污水排放量；还需考虑东南电化事故消防废水排放量。</w:t>
      </w:r>
    </w:p>
    <w:p w14:paraId="1A18E476">
      <w:pPr>
        <w:rPr>
          <w:rFonts w:hint="eastAsia"/>
          <w:color w:val="auto"/>
          <w:highlight w:val="none"/>
          <w:u w:val="none"/>
        </w:rPr>
      </w:pPr>
      <w:r>
        <w:rPr>
          <w:rFonts w:hint="eastAsia"/>
          <w:color w:val="auto"/>
          <w:highlight w:val="none"/>
          <w:u w:val="none"/>
        </w:rPr>
        <w:t>（1）万华福建公司自身事故应急池估算</w:t>
      </w:r>
    </w:p>
    <w:p w14:paraId="2EB30E30">
      <w:pPr>
        <w:rPr>
          <w:rFonts w:hint="eastAsia"/>
          <w:color w:val="auto"/>
          <w:highlight w:val="none"/>
          <w:u w:val="none"/>
        </w:rPr>
      </w:pPr>
      <w:r>
        <w:rPr>
          <w:rFonts w:hint="eastAsia"/>
          <w:color w:val="auto"/>
          <w:highlight w:val="none"/>
          <w:u w:val="none"/>
        </w:rPr>
        <w:t>①公司各泄漏物料、消防废水量、转移物料情况，即</w:t>
      </w:r>
      <w:r>
        <w:rPr>
          <w:color w:val="auto"/>
          <w:highlight w:val="none"/>
          <w:u w:val="none"/>
        </w:rPr>
        <w:t>（V</w:t>
      </w:r>
      <w:r>
        <w:rPr>
          <w:color w:val="auto"/>
          <w:highlight w:val="none"/>
          <w:u w:val="none"/>
          <w:vertAlign w:val="subscript"/>
        </w:rPr>
        <w:t>1</w:t>
      </w:r>
      <w:r>
        <w:rPr>
          <w:color w:val="auto"/>
          <w:highlight w:val="none"/>
          <w:u w:val="none"/>
        </w:rPr>
        <w:t>+V</w:t>
      </w:r>
      <w:r>
        <w:rPr>
          <w:color w:val="auto"/>
          <w:highlight w:val="none"/>
          <w:u w:val="none"/>
          <w:vertAlign w:val="subscript"/>
        </w:rPr>
        <w:t>2</w:t>
      </w:r>
      <w:r>
        <w:rPr>
          <w:color w:val="auto"/>
          <w:highlight w:val="none"/>
          <w:u w:val="none"/>
        </w:rPr>
        <w:t>-V</w:t>
      </w:r>
      <w:r>
        <w:rPr>
          <w:color w:val="auto"/>
          <w:highlight w:val="none"/>
          <w:u w:val="none"/>
          <w:vertAlign w:val="subscript"/>
        </w:rPr>
        <w:t>3</w:t>
      </w:r>
      <w:r>
        <w:rPr>
          <w:color w:val="auto"/>
          <w:highlight w:val="none"/>
          <w:u w:val="none"/>
        </w:rPr>
        <w:t>）max</w:t>
      </w:r>
      <w:r>
        <w:rPr>
          <w:rFonts w:hint="eastAsia"/>
          <w:color w:val="auto"/>
          <w:highlight w:val="none"/>
          <w:u w:val="none"/>
        </w:rPr>
        <w:t>。</w:t>
      </w:r>
    </w:p>
    <w:p w14:paraId="5ADEA0E5">
      <w:pPr>
        <w:rPr>
          <w:rFonts w:hint="eastAsia"/>
          <w:color w:val="auto"/>
          <w:highlight w:val="none"/>
          <w:u w:val="none"/>
        </w:rPr>
      </w:pPr>
      <w:r>
        <w:rPr>
          <w:color w:val="auto"/>
          <w:highlight w:val="none"/>
          <w:u w:val="none"/>
        </w:rPr>
        <w:t>由上表可知，（V</w:t>
      </w:r>
      <w:r>
        <w:rPr>
          <w:color w:val="auto"/>
          <w:highlight w:val="none"/>
          <w:u w:val="none"/>
          <w:vertAlign w:val="subscript"/>
        </w:rPr>
        <w:t>1</w:t>
      </w:r>
      <w:r>
        <w:rPr>
          <w:color w:val="auto"/>
          <w:highlight w:val="none"/>
          <w:u w:val="none"/>
        </w:rPr>
        <w:t>+V</w:t>
      </w:r>
      <w:r>
        <w:rPr>
          <w:color w:val="auto"/>
          <w:highlight w:val="none"/>
          <w:u w:val="none"/>
          <w:vertAlign w:val="subscript"/>
        </w:rPr>
        <w:t>2</w:t>
      </w:r>
      <w:r>
        <w:rPr>
          <w:rFonts w:hint="eastAsia"/>
          <w:color w:val="auto"/>
          <w:highlight w:val="none"/>
          <w:u w:val="none"/>
        </w:rPr>
        <w:t>-</w:t>
      </w:r>
      <w:r>
        <w:rPr>
          <w:color w:val="auto"/>
          <w:highlight w:val="none"/>
          <w:u w:val="none"/>
        </w:rPr>
        <w:t>V</w:t>
      </w:r>
      <w:r>
        <w:rPr>
          <w:color w:val="auto"/>
          <w:highlight w:val="none"/>
          <w:u w:val="none"/>
          <w:vertAlign w:val="subscript"/>
        </w:rPr>
        <w:t>3</w:t>
      </w:r>
      <w:r>
        <w:rPr>
          <w:color w:val="auto"/>
          <w:highlight w:val="none"/>
          <w:u w:val="none"/>
        </w:rPr>
        <w:t>）max</w:t>
      </w:r>
      <w:r>
        <w:rPr>
          <w:rFonts w:hint="eastAsia"/>
          <w:color w:val="auto"/>
          <w:highlight w:val="none"/>
          <w:u w:val="none"/>
        </w:rPr>
        <w:t>单元</w:t>
      </w:r>
      <w:r>
        <w:rPr>
          <w:color w:val="auto"/>
          <w:highlight w:val="none"/>
          <w:u w:val="none"/>
        </w:rPr>
        <w:t>为PVC项目VCM罐区，即16576m</w:t>
      </w:r>
      <w:r>
        <w:rPr>
          <w:rFonts w:hAnsi="Times New Roman"/>
          <w:color w:val="auto"/>
          <w:highlight w:val="none"/>
          <w:u w:val="none"/>
        </w:rPr>
        <w:t>³</w:t>
      </w:r>
      <w:r>
        <w:rPr>
          <w:color w:val="auto"/>
          <w:highlight w:val="none"/>
          <w:u w:val="none"/>
        </w:rPr>
        <w:t>。</w:t>
      </w:r>
    </w:p>
    <w:p w14:paraId="0810B15F">
      <w:pPr>
        <w:rPr>
          <w:rFonts w:hint="eastAsia"/>
          <w:color w:val="auto"/>
          <w:highlight w:val="none"/>
          <w:u w:val="none"/>
        </w:rPr>
      </w:pPr>
      <w:r>
        <w:rPr>
          <w:color w:val="auto"/>
          <w:highlight w:val="none"/>
          <w:u w:val="none"/>
        </w:rPr>
        <w:t>②进入的生产废水V</w:t>
      </w:r>
      <w:r>
        <w:rPr>
          <w:color w:val="auto"/>
          <w:highlight w:val="none"/>
          <w:u w:val="none"/>
          <w:vertAlign w:val="subscript"/>
        </w:rPr>
        <w:t>4</w:t>
      </w:r>
      <w:r>
        <w:rPr>
          <w:color w:val="auto"/>
          <w:highlight w:val="none"/>
          <w:u w:val="none"/>
        </w:rPr>
        <w:t>：</w:t>
      </w:r>
      <w:r>
        <w:rPr>
          <w:rFonts w:hint="eastAsia"/>
          <w:color w:val="auto"/>
          <w:highlight w:val="none"/>
          <w:u w:val="none"/>
        </w:rPr>
        <w:t>各</w:t>
      </w:r>
      <w:r>
        <w:rPr>
          <w:color w:val="auto"/>
          <w:highlight w:val="none"/>
          <w:u w:val="none"/>
        </w:rPr>
        <w:t>项目废水</w:t>
      </w:r>
      <w:r>
        <w:rPr>
          <w:rFonts w:hint="eastAsia"/>
          <w:color w:val="auto"/>
          <w:highlight w:val="none"/>
          <w:u w:val="none"/>
        </w:rPr>
        <w:t>经管廊排水</w:t>
      </w:r>
      <w:r>
        <w:rPr>
          <w:color w:val="auto"/>
          <w:highlight w:val="none"/>
          <w:u w:val="none"/>
        </w:rPr>
        <w:t>管</w:t>
      </w:r>
      <w:r>
        <w:rPr>
          <w:rFonts w:hint="eastAsia"/>
          <w:color w:val="auto"/>
          <w:highlight w:val="none"/>
          <w:u w:val="none"/>
        </w:rPr>
        <w:t>网</w:t>
      </w:r>
      <w:r>
        <w:rPr>
          <w:color w:val="auto"/>
          <w:highlight w:val="none"/>
          <w:u w:val="none"/>
        </w:rPr>
        <w:t>送至</w:t>
      </w:r>
      <w:r>
        <w:rPr>
          <w:rFonts w:hint="eastAsia"/>
          <w:color w:val="auto"/>
          <w:highlight w:val="none"/>
          <w:u w:val="none"/>
        </w:rPr>
        <w:t>万华环保科技公司</w:t>
      </w:r>
      <w:r>
        <w:rPr>
          <w:color w:val="auto"/>
          <w:highlight w:val="none"/>
          <w:u w:val="none"/>
        </w:rPr>
        <w:t>污水处理站处理，因此，V4取0。</w:t>
      </w:r>
    </w:p>
    <w:p w14:paraId="0A2E0568">
      <w:pPr>
        <w:rPr>
          <w:rFonts w:hint="eastAsia"/>
          <w:color w:val="auto"/>
          <w:highlight w:val="none"/>
          <w:u w:val="none"/>
        </w:rPr>
      </w:pPr>
      <w:r>
        <w:rPr>
          <w:rFonts w:hint="eastAsia"/>
          <w:color w:val="auto"/>
          <w:highlight w:val="none"/>
          <w:u w:val="none"/>
        </w:rPr>
        <w:t>③</w:t>
      </w:r>
      <w:r>
        <w:rPr>
          <w:color w:val="auto"/>
          <w:highlight w:val="none"/>
          <w:u w:val="none"/>
        </w:rPr>
        <w:t>降雨量V</w:t>
      </w:r>
      <w:r>
        <w:rPr>
          <w:color w:val="auto"/>
          <w:highlight w:val="none"/>
          <w:u w:val="none"/>
          <w:vertAlign w:val="subscript"/>
        </w:rPr>
        <w:t>5</w:t>
      </w:r>
    </w:p>
    <w:p w14:paraId="46CB4F9B">
      <w:pPr>
        <w:rPr>
          <w:rFonts w:hint="eastAsia"/>
          <w:color w:val="auto"/>
          <w:highlight w:val="none"/>
          <w:u w:val="none"/>
        </w:rPr>
      </w:pPr>
      <w:r>
        <w:rPr>
          <w:color w:val="auto"/>
          <w:highlight w:val="none"/>
          <w:u w:val="none"/>
        </w:rPr>
        <w:t>本地区多年平均降雨量为1239.1mm，年平均降雨日数为124.6天，平均日降雨量为9.94mm。</w:t>
      </w:r>
    </w:p>
    <w:p w14:paraId="53D8B36B">
      <w:pPr>
        <w:rPr>
          <w:rFonts w:hint="eastAsia"/>
          <w:color w:val="auto"/>
          <w:highlight w:val="none"/>
          <w:u w:val="none"/>
        </w:rPr>
      </w:pPr>
      <w:r>
        <w:rPr>
          <w:color w:val="auto"/>
          <w:highlight w:val="none"/>
          <w:u w:val="none"/>
        </w:rPr>
        <w:t>保守按全厂的降水全部进入事故水收集系统，则进入事故池的雨水量为10×9.94×46.47</w:t>
      </w:r>
      <w:r>
        <w:rPr>
          <w:rFonts w:hint="eastAsia"/>
          <w:color w:val="auto"/>
          <w:highlight w:val="none"/>
          <w:u w:val="none"/>
        </w:rPr>
        <w:t>hm</w:t>
      </w:r>
      <w:r>
        <w:rPr>
          <w:rFonts w:hint="eastAsia"/>
          <w:color w:val="auto"/>
          <w:highlight w:val="none"/>
          <w:u w:val="none"/>
          <w:vertAlign w:val="superscript"/>
        </w:rPr>
        <w:t>2</w:t>
      </w:r>
      <w:r>
        <w:rPr>
          <w:color w:val="auto"/>
          <w:highlight w:val="none"/>
          <w:u w:val="none"/>
        </w:rPr>
        <w:t>=4633m</w:t>
      </w:r>
      <w:r>
        <w:rPr>
          <w:rFonts w:hAnsi="Times New Roman"/>
          <w:color w:val="auto"/>
          <w:highlight w:val="none"/>
          <w:u w:val="none"/>
        </w:rPr>
        <w:t>³</w:t>
      </w:r>
      <w:r>
        <w:rPr>
          <w:color w:val="auto"/>
          <w:highlight w:val="none"/>
          <w:u w:val="none"/>
        </w:rPr>
        <w:t>。</w:t>
      </w:r>
    </w:p>
    <w:p w14:paraId="684361E2">
      <w:pPr>
        <w:rPr>
          <w:rFonts w:hint="eastAsia"/>
          <w:color w:val="auto"/>
          <w:highlight w:val="none"/>
          <w:u w:val="none"/>
        </w:rPr>
      </w:pPr>
      <w:r>
        <w:rPr>
          <w:rFonts w:hint="eastAsia"/>
          <w:color w:val="auto"/>
          <w:highlight w:val="none"/>
          <w:u w:val="none"/>
        </w:rPr>
        <w:t>④万华福建公司</w:t>
      </w:r>
      <w:r>
        <w:rPr>
          <w:color w:val="auto"/>
          <w:highlight w:val="none"/>
          <w:u w:val="none"/>
        </w:rPr>
        <w:t>总事故废水量V</w:t>
      </w:r>
      <w:r>
        <w:rPr>
          <w:color w:val="auto"/>
          <w:highlight w:val="none"/>
          <w:u w:val="none"/>
          <w:vertAlign w:val="subscript"/>
        </w:rPr>
        <w:t>总</w:t>
      </w:r>
    </w:p>
    <w:p w14:paraId="21C03A01">
      <w:pPr>
        <w:rPr>
          <w:rFonts w:hint="eastAsia"/>
          <w:color w:val="auto"/>
          <w:highlight w:val="none"/>
          <w:u w:val="none"/>
        </w:rPr>
      </w:pPr>
      <w:r>
        <w:rPr>
          <w:color w:val="auto"/>
          <w:highlight w:val="none"/>
          <w:u w:val="none"/>
        </w:rPr>
        <w:t>厂区发生火灾时事故缓冲设施最大事故水量为：</w:t>
      </w:r>
    </w:p>
    <w:p w14:paraId="6F429651">
      <w:pPr>
        <w:rPr>
          <w:rFonts w:hint="eastAsia"/>
          <w:color w:val="auto"/>
          <w:highlight w:val="none"/>
          <w:u w:val="none"/>
        </w:rPr>
      </w:pPr>
      <w:r>
        <w:rPr>
          <w:color w:val="auto"/>
          <w:highlight w:val="none"/>
          <w:u w:val="none"/>
        </w:rPr>
        <w:t>V</w:t>
      </w:r>
      <w:r>
        <w:rPr>
          <w:color w:val="auto"/>
          <w:highlight w:val="none"/>
          <w:u w:val="none"/>
          <w:vertAlign w:val="subscript"/>
        </w:rPr>
        <w:t>总</w:t>
      </w:r>
      <w:r>
        <w:rPr>
          <w:color w:val="auto"/>
          <w:highlight w:val="none"/>
          <w:u w:val="none"/>
        </w:rPr>
        <w:t>=16576+0+4633=21209m</w:t>
      </w:r>
      <w:r>
        <w:rPr>
          <w:rFonts w:hAnsi="Times New Roman"/>
          <w:color w:val="auto"/>
          <w:highlight w:val="none"/>
          <w:u w:val="none"/>
        </w:rPr>
        <w:t>³</w:t>
      </w:r>
      <w:r>
        <w:rPr>
          <w:color w:val="auto"/>
          <w:highlight w:val="none"/>
          <w:u w:val="none"/>
        </w:rPr>
        <w:t>，</w:t>
      </w:r>
      <w:r>
        <w:rPr>
          <w:rFonts w:hint="eastAsia"/>
          <w:color w:val="auto"/>
          <w:highlight w:val="none"/>
          <w:u w:val="none"/>
        </w:rPr>
        <w:t>万华福建公司主</w:t>
      </w:r>
      <w:r>
        <w:rPr>
          <w:rFonts w:hint="eastAsia"/>
          <w:color w:val="auto"/>
          <w:highlight w:val="none"/>
          <w:u w:val="none"/>
          <w:lang w:val="en-US"/>
        </w:rPr>
        <w:t>要生产地块</w:t>
      </w:r>
      <w:r>
        <w:rPr>
          <w:color w:val="auto"/>
          <w:highlight w:val="none"/>
          <w:u w:val="none"/>
        </w:rPr>
        <w:t>事故应急池容积按21250m</w:t>
      </w:r>
      <w:r>
        <w:rPr>
          <w:rFonts w:hAnsi="Times New Roman"/>
          <w:color w:val="auto"/>
          <w:highlight w:val="none"/>
          <w:u w:val="none"/>
        </w:rPr>
        <w:t>³</w:t>
      </w:r>
      <w:r>
        <w:rPr>
          <w:color w:val="auto"/>
          <w:highlight w:val="none"/>
          <w:u w:val="none"/>
        </w:rPr>
        <w:t>考虑。</w:t>
      </w:r>
    </w:p>
    <w:p w14:paraId="129BE6CD">
      <w:pPr>
        <w:rPr>
          <w:rFonts w:hint="eastAsia"/>
          <w:color w:val="auto"/>
          <w:highlight w:val="none"/>
          <w:u w:val="none"/>
        </w:rPr>
      </w:pPr>
      <w:r>
        <w:rPr>
          <w:color w:val="auto"/>
          <w:highlight w:val="none"/>
          <w:u w:val="none"/>
        </w:rPr>
        <w:t>（2）</w:t>
      </w:r>
      <w:r>
        <w:rPr>
          <w:rFonts w:hint="eastAsia"/>
          <w:color w:val="auto"/>
          <w:highlight w:val="none"/>
          <w:u w:val="none"/>
        </w:rPr>
        <w:t>福建</w:t>
      </w:r>
      <w:r>
        <w:rPr>
          <w:color w:val="auto"/>
          <w:highlight w:val="none"/>
          <w:u w:val="none"/>
        </w:rPr>
        <w:t>东南电化股份有限公司现有工程依托</w:t>
      </w:r>
      <w:r>
        <w:rPr>
          <w:rFonts w:hint="eastAsia"/>
          <w:color w:val="auto"/>
          <w:highlight w:val="none"/>
          <w:u w:val="none"/>
        </w:rPr>
        <w:t>万华福建公司主</w:t>
      </w:r>
      <w:r>
        <w:rPr>
          <w:rFonts w:hint="eastAsia"/>
          <w:color w:val="auto"/>
          <w:highlight w:val="none"/>
          <w:u w:val="none"/>
          <w:lang w:val="en-US"/>
        </w:rPr>
        <w:t>要生产地块</w:t>
      </w:r>
      <w:r>
        <w:rPr>
          <w:color w:val="auto"/>
          <w:highlight w:val="none"/>
          <w:u w:val="none"/>
        </w:rPr>
        <w:t>事故消防水量</w:t>
      </w:r>
    </w:p>
    <w:p w14:paraId="56D924F1">
      <w:pPr>
        <w:rPr>
          <w:rFonts w:hint="eastAsia"/>
          <w:color w:val="auto"/>
          <w:highlight w:val="none"/>
          <w:u w:val="none"/>
        </w:rPr>
      </w:pPr>
      <w:r>
        <w:rPr>
          <w:rFonts w:hint="eastAsia"/>
          <w:color w:val="auto"/>
          <w:highlight w:val="none"/>
          <w:u w:val="none"/>
        </w:rPr>
        <w:t>①福建</w:t>
      </w:r>
      <w:r>
        <w:rPr>
          <w:color w:val="auto"/>
          <w:highlight w:val="none"/>
          <w:u w:val="none"/>
        </w:rPr>
        <w:t>东南电化股份有限公司泄漏物料、消防废水量及转移物料量情况，详见</w:t>
      </w:r>
      <w:r>
        <w:rPr>
          <w:color w:val="auto"/>
          <w:highlight w:val="none"/>
          <w:u w:val="none"/>
        </w:rPr>
        <w:fldChar w:fldCharType="begin"/>
      </w:r>
      <w:r>
        <w:rPr>
          <w:color w:val="auto"/>
          <w:highlight w:val="none"/>
          <w:u w:val="none"/>
        </w:rPr>
        <w:instrText xml:space="preserve"> REF _Ref149250821 \h  \* MERGEFORMAT </w:instrText>
      </w:r>
      <w:r>
        <w:rPr>
          <w:color w:val="auto"/>
          <w:highlight w:val="none"/>
          <w:u w:val="none"/>
        </w:rPr>
        <w:fldChar w:fldCharType="separate"/>
      </w:r>
      <w:r>
        <w:rPr>
          <w:color w:val="auto"/>
          <w:highlight w:val="none"/>
          <w:u w:val="none"/>
        </w:rPr>
        <w:t>表 9.8</w:t>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w:t>
      </w:r>
    </w:p>
    <w:p w14:paraId="3326D99D">
      <w:pPr>
        <w:pStyle w:val="85"/>
        <w:rPr>
          <w:color w:val="auto"/>
          <w:highlight w:val="none"/>
          <w:u w:val="none"/>
        </w:rPr>
      </w:pPr>
      <w:bookmarkStart w:id="650" w:name="_Ref149250821"/>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9.8</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650"/>
      <w:r>
        <w:rPr>
          <w:color w:val="auto"/>
          <w:highlight w:val="none"/>
          <w:u w:val="none"/>
        </w:rPr>
        <w:t xml:space="preserve"> 东南电化现有工程泄漏物料、消防废水量、转移物料表</w:t>
      </w:r>
    </w:p>
    <w:p w14:paraId="09710797">
      <w:pPr>
        <w:rPr>
          <w:rFonts w:hAnsi="Times New Roman"/>
          <w:snapToGrid w:val="0"/>
          <w:color w:val="auto"/>
          <w:highlight w:val="none"/>
          <w:u w:val="none"/>
        </w:rPr>
      </w:pPr>
      <w:r>
        <w:rPr>
          <w:snapToGrid w:val="0"/>
          <w:color w:val="auto"/>
          <w:highlight w:val="none"/>
          <w:u w:val="none"/>
        </w:rPr>
        <w:t>从上表可以看出，</w:t>
      </w:r>
      <w:r>
        <w:rPr>
          <w:rFonts w:hint="eastAsia"/>
          <w:snapToGrid w:val="0"/>
          <w:color w:val="auto"/>
          <w:highlight w:val="none"/>
          <w:u w:val="none"/>
          <w:lang w:val="en-US"/>
        </w:rPr>
        <w:t>东南电化一期</w:t>
      </w:r>
      <w:r>
        <w:rPr>
          <w:snapToGrid w:val="0"/>
          <w:color w:val="auto"/>
          <w:highlight w:val="none"/>
          <w:u w:val="none"/>
        </w:rPr>
        <w:t>（</w:t>
      </w:r>
      <w:r>
        <w:rPr>
          <w:rFonts w:hAnsi="Times New Roman"/>
          <w:snapToGrid w:val="0"/>
          <w:color w:val="auto"/>
          <w:highlight w:val="none"/>
          <w:u w:val="none"/>
        </w:rPr>
        <w:t>V</w:t>
      </w:r>
      <w:r>
        <w:rPr>
          <w:rFonts w:hAnsi="Times New Roman"/>
          <w:snapToGrid w:val="0"/>
          <w:color w:val="auto"/>
          <w:highlight w:val="none"/>
          <w:u w:val="none"/>
          <w:vertAlign w:val="subscript"/>
        </w:rPr>
        <w:t>1</w:t>
      </w:r>
      <w:r>
        <w:rPr>
          <w:rFonts w:hAnsi="Times New Roman"/>
          <w:snapToGrid w:val="0"/>
          <w:color w:val="auto"/>
          <w:highlight w:val="none"/>
          <w:u w:val="none"/>
        </w:rPr>
        <w:t>+V</w:t>
      </w:r>
      <w:r>
        <w:rPr>
          <w:rFonts w:hAnsi="Times New Roman"/>
          <w:snapToGrid w:val="0"/>
          <w:color w:val="auto"/>
          <w:highlight w:val="none"/>
          <w:u w:val="none"/>
          <w:vertAlign w:val="subscript"/>
        </w:rPr>
        <w:t>2</w:t>
      </w:r>
      <w:r>
        <w:rPr>
          <w:rFonts w:hAnsi="Times New Roman"/>
          <w:snapToGrid w:val="0"/>
          <w:color w:val="auto"/>
          <w:highlight w:val="none"/>
          <w:u w:val="none"/>
        </w:rPr>
        <w:t>-V</w:t>
      </w:r>
      <w:r>
        <w:rPr>
          <w:rFonts w:hAnsi="Times New Roman"/>
          <w:snapToGrid w:val="0"/>
          <w:color w:val="auto"/>
          <w:highlight w:val="none"/>
          <w:u w:val="none"/>
          <w:vertAlign w:val="subscript"/>
        </w:rPr>
        <w:t>3</w:t>
      </w:r>
      <w:r>
        <w:rPr>
          <w:snapToGrid w:val="0"/>
          <w:color w:val="auto"/>
          <w:highlight w:val="none"/>
          <w:u w:val="none"/>
        </w:rPr>
        <w:t>）</w:t>
      </w:r>
      <w:r>
        <w:rPr>
          <w:rFonts w:hAnsi="Times New Roman"/>
          <w:snapToGrid w:val="0"/>
          <w:color w:val="auto"/>
          <w:highlight w:val="none"/>
          <w:u w:val="none"/>
          <w:vertAlign w:val="subscript"/>
        </w:rPr>
        <w:t>max</w:t>
      </w:r>
      <w:r>
        <w:rPr>
          <w:snapToGrid w:val="0"/>
          <w:color w:val="auto"/>
          <w:highlight w:val="none"/>
          <w:u w:val="none"/>
        </w:rPr>
        <w:t>单元为氯气处理及压缩装置，</w:t>
      </w:r>
      <w:r>
        <w:rPr>
          <w:rFonts w:hint="eastAsia"/>
          <w:snapToGrid w:val="0"/>
          <w:color w:val="auto"/>
          <w:highlight w:val="none"/>
          <w:u w:val="none"/>
          <w:lang w:val="en-US"/>
        </w:rPr>
        <w:t>二期</w:t>
      </w:r>
      <w:r>
        <w:rPr>
          <w:snapToGrid w:val="0"/>
          <w:color w:val="auto"/>
          <w:highlight w:val="none"/>
          <w:u w:val="none"/>
        </w:rPr>
        <w:t>项目（</w:t>
      </w:r>
      <w:r>
        <w:rPr>
          <w:rFonts w:hAnsi="Times New Roman"/>
          <w:snapToGrid w:val="0"/>
          <w:color w:val="auto"/>
          <w:highlight w:val="none"/>
          <w:u w:val="none"/>
        </w:rPr>
        <w:t>V</w:t>
      </w:r>
      <w:r>
        <w:rPr>
          <w:rFonts w:hAnsi="Times New Roman"/>
          <w:snapToGrid w:val="0"/>
          <w:color w:val="auto"/>
          <w:highlight w:val="none"/>
          <w:u w:val="none"/>
          <w:vertAlign w:val="subscript"/>
        </w:rPr>
        <w:t>1</w:t>
      </w:r>
      <w:r>
        <w:rPr>
          <w:rFonts w:hAnsi="Times New Roman"/>
          <w:snapToGrid w:val="0"/>
          <w:color w:val="auto"/>
          <w:highlight w:val="none"/>
          <w:u w:val="none"/>
        </w:rPr>
        <w:t>+V</w:t>
      </w:r>
      <w:r>
        <w:rPr>
          <w:rFonts w:hAnsi="Times New Roman"/>
          <w:snapToGrid w:val="0"/>
          <w:color w:val="auto"/>
          <w:highlight w:val="none"/>
          <w:u w:val="none"/>
          <w:vertAlign w:val="subscript"/>
        </w:rPr>
        <w:t>2</w:t>
      </w:r>
      <w:r>
        <w:rPr>
          <w:rFonts w:hAnsi="Times New Roman"/>
          <w:snapToGrid w:val="0"/>
          <w:color w:val="auto"/>
          <w:highlight w:val="none"/>
          <w:u w:val="none"/>
        </w:rPr>
        <w:t>-V</w:t>
      </w:r>
      <w:r>
        <w:rPr>
          <w:rFonts w:hAnsi="Times New Roman"/>
          <w:snapToGrid w:val="0"/>
          <w:color w:val="auto"/>
          <w:highlight w:val="none"/>
          <w:u w:val="none"/>
          <w:vertAlign w:val="subscript"/>
        </w:rPr>
        <w:t>3</w:t>
      </w:r>
      <w:r>
        <w:rPr>
          <w:snapToGrid w:val="0"/>
          <w:color w:val="auto"/>
          <w:highlight w:val="none"/>
          <w:u w:val="none"/>
        </w:rPr>
        <w:t>）</w:t>
      </w:r>
      <w:r>
        <w:rPr>
          <w:rFonts w:hAnsi="Times New Roman"/>
          <w:snapToGrid w:val="0"/>
          <w:color w:val="auto"/>
          <w:highlight w:val="none"/>
          <w:u w:val="none"/>
          <w:vertAlign w:val="subscript"/>
        </w:rPr>
        <w:t>max</w:t>
      </w:r>
      <w:r>
        <w:rPr>
          <w:rFonts w:hAnsi="Times New Roman"/>
          <w:snapToGrid w:val="0"/>
          <w:color w:val="auto"/>
          <w:highlight w:val="none"/>
          <w:u w:val="none"/>
        </w:rPr>
        <w:t>=</w:t>
      </w:r>
      <w:r>
        <w:rPr>
          <w:rFonts w:hAnsi="Times New Roman"/>
          <w:color w:val="auto"/>
          <w:highlight w:val="none"/>
          <w:u w:val="none"/>
        </w:rPr>
        <w:fldChar w:fldCharType="begin"/>
      </w:r>
      <w:r>
        <w:rPr>
          <w:rFonts w:hAnsi="Times New Roman"/>
          <w:color w:val="auto"/>
          <w:highlight w:val="none"/>
          <w:u w:val="none"/>
        </w:rPr>
        <w:instrText xml:space="preserve"> =972+38.5 \* MERGEFORMAT </w:instrText>
      </w:r>
      <w:r>
        <w:rPr>
          <w:rFonts w:hAnsi="Times New Roman"/>
          <w:color w:val="auto"/>
          <w:highlight w:val="none"/>
          <w:u w:val="none"/>
        </w:rPr>
        <w:fldChar w:fldCharType="separate"/>
      </w:r>
      <w:r>
        <w:rPr>
          <w:rFonts w:hAnsi="Times New Roman"/>
          <w:color w:val="auto"/>
          <w:highlight w:val="none"/>
          <w:u w:val="none"/>
        </w:rPr>
        <w:t>1010.5</w:t>
      </w:r>
      <w:r>
        <w:rPr>
          <w:rFonts w:hAnsi="Times New Roman"/>
          <w:color w:val="auto"/>
          <w:highlight w:val="none"/>
          <w:u w:val="none"/>
        </w:rPr>
        <w:fldChar w:fldCharType="end"/>
      </w:r>
      <w:r>
        <w:rPr>
          <w:rFonts w:hAnsi="Times New Roman"/>
          <w:snapToGrid w:val="0"/>
          <w:color w:val="auto"/>
          <w:highlight w:val="none"/>
          <w:u w:val="none"/>
        </w:rPr>
        <w:t>m</w:t>
      </w:r>
      <w:r>
        <w:rPr>
          <w:rFonts w:hAnsi="Times New Roman"/>
          <w:snapToGrid w:val="0"/>
          <w:color w:val="auto"/>
          <w:highlight w:val="none"/>
          <w:u w:val="none"/>
          <w:vertAlign w:val="superscript"/>
        </w:rPr>
        <w:t>3</w:t>
      </w:r>
      <w:r>
        <w:rPr>
          <w:snapToGrid w:val="0"/>
          <w:color w:val="auto"/>
          <w:highlight w:val="none"/>
          <w:u w:val="none"/>
        </w:rPr>
        <w:t>。</w:t>
      </w:r>
    </w:p>
    <w:p w14:paraId="263F18B1">
      <w:pPr>
        <w:rPr>
          <w:rFonts w:hAnsi="Times New Roman"/>
          <w:snapToGrid w:val="0"/>
          <w:color w:val="auto"/>
          <w:highlight w:val="none"/>
          <w:u w:val="none"/>
        </w:rPr>
      </w:pPr>
      <w:r>
        <w:rPr>
          <w:rFonts w:hint="eastAsia" w:asciiTheme="minorEastAsia" w:hAnsiTheme="minorEastAsia"/>
          <w:color w:val="auto"/>
          <w:highlight w:val="none"/>
          <w:u w:val="none"/>
        </w:rPr>
        <w:t>②</w:t>
      </w:r>
      <w:r>
        <w:rPr>
          <w:snapToGrid w:val="0"/>
          <w:color w:val="auto"/>
          <w:highlight w:val="none"/>
          <w:u w:val="none"/>
        </w:rPr>
        <w:t>进入的生产废水</w:t>
      </w:r>
      <w:r>
        <w:rPr>
          <w:rFonts w:hAnsi="Times New Roman"/>
          <w:snapToGrid w:val="0"/>
          <w:color w:val="auto"/>
          <w:highlight w:val="none"/>
          <w:u w:val="none"/>
        </w:rPr>
        <w:t>V</w:t>
      </w:r>
      <w:r>
        <w:rPr>
          <w:rFonts w:hAnsi="Times New Roman"/>
          <w:snapToGrid w:val="0"/>
          <w:color w:val="auto"/>
          <w:highlight w:val="none"/>
          <w:u w:val="none"/>
          <w:vertAlign w:val="subscript"/>
        </w:rPr>
        <w:t>4</w:t>
      </w:r>
      <w:r>
        <w:rPr>
          <w:snapToGrid w:val="0"/>
          <w:color w:val="auto"/>
          <w:highlight w:val="none"/>
          <w:u w:val="none"/>
        </w:rPr>
        <w:t>：</w:t>
      </w:r>
      <w:r>
        <w:rPr>
          <w:rFonts w:hint="eastAsia"/>
          <w:color w:val="auto"/>
          <w:highlight w:val="none"/>
          <w:u w:val="none"/>
        </w:rPr>
        <w:t>福建</w:t>
      </w:r>
      <w:r>
        <w:rPr>
          <w:color w:val="auto"/>
          <w:highlight w:val="none"/>
          <w:u w:val="none"/>
        </w:rPr>
        <w:t>东南电化股份有限公司</w:t>
      </w:r>
      <w:r>
        <w:rPr>
          <w:snapToGrid w:val="0"/>
          <w:color w:val="auto"/>
          <w:highlight w:val="none"/>
          <w:u w:val="none"/>
        </w:rPr>
        <w:t>生产废水依托</w:t>
      </w:r>
      <w:r>
        <w:rPr>
          <w:rFonts w:hint="eastAsia"/>
          <w:color w:val="auto"/>
          <w:highlight w:val="none"/>
          <w:u w:val="none"/>
        </w:rPr>
        <w:t>万华环保科技公司</w:t>
      </w:r>
      <w:r>
        <w:rPr>
          <w:snapToGrid w:val="0"/>
          <w:color w:val="auto"/>
          <w:highlight w:val="none"/>
          <w:u w:val="none"/>
        </w:rPr>
        <w:t>处置，</w:t>
      </w:r>
      <w:r>
        <w:rPr>
          <w:rFonts w:hAnsi="Times New Roman"/>
          <w:snapToGrid w:val="0"/>
          <w:color w:val="auto"/>
          <w:highlight w:val="none"/>
          <w:u w:val="none"/>
        </w:rPr>
        <w:t>V</w:t>
      </w:r>
      <w:r>
        <w:rPr>
          <w:rFonts w:hAnsi="Times New Roman"/>
          <w:snapToGrid w:val="0"/>
          <w:color w:val="auto"/>
          <w:highlight w:val="none"/>
          <w:u w:val="none"/>
          <w:vertAlign w:val="subscript"/>
        </w:rPr>
        <w:t>4</w:t>
      </w:r>
      <w:r>
        <w:rPr>
          <w:snapToGrid w:val="0"/>
          <w:color w:val="auto"/>
          <w:highlight w:val="none"/>
          <w:u w:val="none"/>
        </w:rPr>
        <w:t>保守取</w:t>
      </w:r>
      <w:r>
        <w:rPr>
          <w:rFonts w:hAnsi="Times New Roman"/>
          <w:snapToGrid w:val="0"/>
          <w:color w:val="auto"/>
          <w:highlight w:val="none"/>
          <w:u w:val="none"/>
        </w:rPr>
        <w:t>0</w:t>
      </w:r>
      <w:r>
        <w:rPr>
          <w:snapToGrid w:val="0"/>
          <w:color w:val="auto"/>
          <w:highlight w:val="none"/>
          <w:u w:val="none"/>
        </w:rPr>
        <w:t>。</w:t>
      </w:r>
    </w:p>
    <w:p w14:paraId="5FFD8572">
      <w:pPr>
        <w:rPr>
          <w:rFonts w:hAnsi="Times New Roman"/>
          <w:snapToGrid w:val="0"/>
          <w:color w:val="auto"/>
          <w:highlight w:val="none"/>
          <w:u w:val="none"/>
        </w:rPr>
      </w:pPr>
      <w:r>
        <w:rPr>
          <w:snapToGrid w:val="0"/>
          <w:color w:val="auto"/>
          <w:highlight w:val="none"/>
          <w:u w:val="none"/>
        </w:rPr>
        <w:t>③降雨量</w:t>
      </w:r>
      <w:r>
        <w:rPr>
          <w:rFonts w:hAnsi="Times New Roman"/>
          <w:snapToGrid w:val="0"/>
          <w:color w:val="auto"/>
          <w:highlight w:val="none"/>
          <w:u w:val="none"/>
        </w:rPr>
        <w:t>V</w:t>
      </w:r>
      <w:r>
        <w:rPr>
          <w:rFonts w:hAnsi="Times New Roman"/>
          <w:snapToGrid w:val="0"/>
          <w:color w:val="auto"/>
          <w:highlight w:val="none"/>
          <w:u w:val="none"/>
          <w:vertAlign w:val="subscript"/>
        </w:rPr>
        <w:t>5</w:t>
      </w:r>
    </w:p>
    <w:p w14:paraId="79F3A880">
      <w:pPr>
        <w:rPr>
          <w:rFonts w:hAnsi="Times New Roman"/>
          <w:snapToGrid w:val="0"/>
          <w:color w:val="auto"/>
          <w:highlight w:val="none"/>
          <w:u w:val="none"/>
        </w:rPr>
      </w:pPr>
      <w:r>
        <w:rPr>
          <w:snapToGrid w:val="0"/>
          <w:color w:val="auto"/>
          <w:highlight w:val="none"/>
          <w:u w:val="none"/>
        </w:rPr>
        <w:t>保守按</w:t>
      </w:r>
      <w:r>
        <w:rPr>
          <w:rFonts w:hint="eastAsia"/>
          <w:color w:val="auto"/>
          <w:highlight w:val="none"/>
          <w:u w:val="none"/>
        </w:rPr>
        <w:t>福建</w:t>
      </w:r>
      <w:r>
        <w:rPr>
          <w:color w:val="auto"/>
          <w:highlight w:val="none"/>
          <w:u w:val="none"/>
        </w:rPr>
        <w:t>东南电化股份有限公司</w:t>
      </w:r>
      <w:r>
        <w:rPr>
          <w:snapToGrid w:val="0"/>
          <w:color w:val="auto"/>
          <w:highlight w:val="none"/>
          <w:u w:val="none"/>
        </w:rPr>
        <w:t>需收集的装置区降水进入事故水收集系统，则进入事故池的雨水量为</w:t>
      </w:r>
      <w:r>
        <w:rPr>
          <w:rFonts w:hAnsi="Times New Roman"/>
          <w:snapToGrid w:val="0"/>
          <w:color w:val="auto"/>
          <w:highlight w:val="none"/>
          <w:u w:val="none"/>
        </w:rPr>
        <w:t>10×9.94×36.246hm</w:t>
      </w:r>
      <w:r>
        <w:rPr>
          <w:rFonts w:hAnsi="Times New Roman"/>
          <w:snapToGrid w:val="0"/>
          <w:color w:val="auto"/>
          <w:highlight w:val="none"/>
          <w:u w:val="none"/>
          <w:vertAlign w:val="superscript"/>
        </w:rPr>
        <w:t>2</w:t>
      </w:r>
      <w:r>
        <w:rPr>
          <w:rFonts w:hAnsi="Times New Roman"/>
          <w:snapToGrid w:val="0"/>
          <w:color w:val="auto"/>
          <w:highlight w:val="none"/>
          <w:u w:val="none"/>
        </w:rPr>
        <w:t>=</w:t>
      </w:r>
      <w:r>
        <w:rPr>
          <w:rFonts w:hAnsi="Times New Roman"/>
          <w:snapToGrid w:val="0"/>
          <w:color w:val="auto"/>
          <w:highlight w:val="none"/>
          <w:u w:val="none"/>
        </w:rPr>
        <w:fldChar w:fldCharType="begin"/>
      </w:r>
      <w:r>
        <w:rPr>
          <w:rFonts w:hAnsi="Times New Roman"/>
          <w:snapToGrid w:val="0"/>
          <w:color w:val="auto"/>
          <w:highlight w:val="none"/>
          <w:u w:val="none"/>
        </w:rPr>
        <w:instrText xml:space="preserve"> =10*9.94*36.246 \# "0.000" \* MERGEFORMAT </w:instrText>
      </w:r>
      <w:r>
        <w:rPr>
          <w:rFonts w:hAnsi="Times New Roman"/>
          <w:snapToGrid w:val="0"/>
          <w:color w:val="auto"/>
          <w:highlight w:val="none"/>
          <w:u w:val="none"/>
        </w:rPr>
        <w:fldChar w:fldCharType="separate"/>
      </w:r>
      <w:r>
        <w:rPr>
          <w:rFonts w:hAnsi="Times New Roman"/>
          <w:color w:val="auto"/>
          <w:highlight w:val="none"/>
          <w:u w:val="none"/>
        </w:rPr>
        <w:t>3602.852</w:t>
      </w:r>
      <w:r>
        <w:rPr>
          <w:rFonts w:hAnsi="Times New Roman"/>
          <w:snapToGrid w:val="0"/>
          <w:color w:val="auto"/>
          <w:highlight w:val="none"/>
          <w:u w:val="none"/>
        </w:rPr>
        <w:fldChar w:fldCharType="end"/>
      </w:r>
      <w:r>
        <w:rPr>
          <w:rFonts w:hAnsi="Times New Roman"/>
          <w:snapToGrid w:val="0"/>
          <w:color w:val="auto"/>
          <w:highlight w:val="none"/>
          <w:u w:val="none"/>
        </w:rPr>
        <w:t>m</w:t>
      </w:r>
      <w:r>
        <w:rPr>
          <w:rFonts w:hAnsi="Times New Roman"/>
          <w:snapToGrid w:val="0"/>
          <w:color w:val="auto"/>
          <w:highlight w:val="none"/>
          <w:u w:val="none"/>
          <w:vertAlign w:val="superscript"/>
        </w:rPr>
        <w:t>3</w:t>
      </w:r>
      <w:r>
        <w:rPr>
          <w:snapToGrid w:val="0"/>
          <w:color w:val="auto"/>
          <w:highlight w:val="none"/>
          <w:u w:val="none"/>
        </w:rPr>
        <w:t>。</w:t>
      </w:r>
    </w:p>
    <w:p w14:paraId="415D51DD">
      <w:pPr>
        <w:adjustRightInd w:val="0"/>
        <w:snapToGrid w:val="0"/>
        <w:rPr>
          <w:rFonts w:hAnsi="Times New Roman"/>
          <w:snapToGrid w:val="0"/>
          <w:color w:val="auto"/>
          <w:highlight w:val="none"/>
          <w:u w:val="none"/>
          <w:vertAlign w:val="superscript"/>
        </w:rPr>
      </w:pPr>
      <w:r>
        <w:rPr>
          <w:bCs/>
          <w:color w:val="auto"/>
          <w:highlight w:val="none"/>
          <w:u w:val="none"/>
        </w:rPr>
        <w:t>则</w:t>
      </w:r>
      <w:r>
        <w:rPr>
          <w:snapToGrid w:val="0"/>
          <w:color w:val="auto"/>
          <w:highlight w:val="none"/>
          <w:u w:val="none"/>
        </w:rPr>
        <w:t>（</w:t>
      </w:r>
      <w:r>
        <w:rPr>
          <w:rFonts w:hAnsi="Times New Roman"/>
          <w:snapToGrid w:val="0"/>
          <w:color w:val="auto"/>
          <w:highlight w:val="none"/>
          <w:u w:val="none"/>
        </w:rPr>
        <w:t>V</w:t>
      </w:r>
      <w:r>
        <w:rPr>
          <w:rFonts w:hAnsi="Times New Roman"/>
          <w:snapToGrid w:val="0"/>
          <w:color w:val="auto"/>
          <w:highlight w:val="none"/>
          <w:u w:val="none"/>
          <w:vertAlign w:val="subscript"/>
        </w:rPr>
        <w:t>1</w:t>
      </w:r>
      <w:r>
        <w:rPr>
          <w:rFonts w:hAnsi="Times New Roman"/>
          <w:snapToGrid w:val="0"/>
          <w:color w:val="auto"/>
          <w:highlight w:val="none"/>
          <w:u w:val="none"/>
        </w:rPr>
        <w:t>+V</w:t>
      </w:r>
      <w:r>
        <w:rPr>
          <w:rFonts w:hAnsi="Times New Roman"/>
          <w:snapToGrid w:val="0"/>
          <w:color w:val="auto"/>
          <w:highlight w:val="none"/>
          <w:u w:val="none"/>
          <w:vertAlign w:val="subscript"/>
        </w:rPr>
        <w:t>2</w:t>
      </w:r>
      <w:r>
        <w:rPr>
          <w:rFonts w:hAnsi="Times New Roman"/>
          <w:snapToGrid w:val="0"/>
          <w:color w:val="auto"/>
          <w:highlight w:val="none"/>
          <w:u w:val="none"/>
        </w:rPr>
        <w:t>-V</w:t>
      </w:r>
      <w:r>
        <w:rPr>
          <w:rFonts w:hAnsi="Times New Roman"/>
          <w:snapToGrid w:val="0"/>
          <w:color w:val="auto"/>
          <w:highlight w:val="none"/>
          <w:u w:val="none"/>
          <w:vertAlign w:val="subscript"/>
        </w:rPr>
        <w:t>3</w:t>
      </w:r>
      <w:r>
        <w:rPr>
          <w:snapToGrid w:val="0"/>
          <w:color w:val="auto"/>
          <w:highlight w:val="none"/>
          <w:u w:val="none"/>
        </w:rPr>
        <w:t>）</w:t>
      </w:r>
      <w:r>
        <w:rPr>
          <w:rFonts w:hAnsi="Times New Roman"/>
          <w:snapToGrid w:val="0"/>
          <w:color w:val="auto"/>
          <w:highlight w:val="none"/>
          <w:u w:val="none"/>
          <w:vertAlign w:val="subscript"/>
        </w:rPr>
        <w:t>max</w:t>
      </w:r>
      <w:r>
        <w:rPr>
          <w:rFonts w:hAnsi="Times New Roman"/>
          <w:snapToGrid w:val="0"/>
          <w:color w:val="auto"/>
          <w:highlight w:val="none"/>
          <w:u w:val="none"/>
        </w:rPr>
        <w:t>+V</w:t>
      </w:r>
      <w:r>
        <w:rPr>
          <w:rFonts w:hAnsi="Times New Roman"/>
          <w:snapToGrid w:val="0"/>
          <w:color w:val="auto"/>
          <w:highlight w:val="none"/>
          <w:u w:val="none"/>
          <w:vertAlign w:val="subscript"/>
        </w:rPr>
        <w:t>4</w:t>
      </w:r>
      <w:r>
        <w:rPr>
          <w:rFonts w:hAnsi="Times New Roman"/>
          <w:snapToGrid w:val="0"/>
          <w:color w:val="auto"/>
          <w:highlight w:val="none"/>
          <w:u w:val="none"/>
        </w:rPr>
        <w:t>+V</w:t>
      </w:r>
      <w:r>
        <w:rPr>
          <w:rFonts w:hAnsi="Times New Roman"/>
          <w:snapToGrid w:val="0"/>
          <w:color w:val="auto"/>
          <w:highlight w:val="none"/>
          <w:u w:val="none"/>
          <w:vertAlign w:val="subscript"/>
        </w:rPr>
        <w:t>5</w:t>
      </w:r>
      <w:r>
        <w:rPr>
          <w:rFonts w:hAnsi="Times New Roman"/>
          <w:snapToGrid w:val="0"/>
          <w:color w:val="auto"/>
          <w:highlight w:val="none"/>
          <w:u w:val="none"/>
        </w:rPr>
        <w:t>=4613.3m</w:t>
      </w:r>
      <w:r>
        <w:rPr>
          <w:rFonts w:hAnsi="Times New Roman"/>
          <w:snapToGrid w:val="0"/>
          <w:color w:val="auto"/>
          <w:highlight w:val="none"/>
          <w:u w:val="none"/>
          <w:vertAlign w:val="superscript"/>
        </w:rPr>
        <w:t>3</w:t>
      </w:r>
      <w:r>
        <w:rPr>
          <w:snapToGrid w:val="0"/>
          <w:color w:val="auto"/>
          <w:highlight w:val="none"/>
          <w:u w:val="none"/>
        </w:rPr>
        <w:t>，</w:t>
      </w:r>
      <w:r>
        <w:rPr>
          <w:rFonts w:hint="eastAsia"/>
          <w:snapToGrid w:val="0"/>
          <w:color w:val="auto"/>
          <w:highlight w:val="none"/>
          <w:u w:val="none"/>
        </w:rPr>
        <w:t>则</w:t>
      </w:r>
      <w:r>
        <w:rPr>
          <w:rFonts w:hint="eastAsia"/>
          <w:color w:val="auto"/>
          <w:highlight w:val="none"/>
          <w:u w:val="none"/>
        </w:rPr>
        <w:t>福建</w:t>
      </w:r>
      <w:r>
        <w:rPr>
          <w:color w:val="auto"/>
          <w:highlight w:val="none"/>
          <w:u w:val="none"/>
        </w:rPr>
        <w:t>东南电化股份有限公司</w:t>
      </w:r>
      <w:r>
        <w:rPr>
          <w:snapToGrid w:val="0"/>
          <w:color w:val="auto"/>
          <w:highlight w:val="none"/>
          <w:u w:val="none"/>
        </w:rPr>
        <w:t>依托</w:t>
      </w:r>
      <w:r>
        <w:rPr>
          <w:rFonts w:hint="eastAsia"/>
          <w:color w:val="auto"/>
          <w:highlight w:val="none"/>
          <w:u w:val="none"/>
        </w:rPr>
        <w:t>万华福建公司</w:t>
      </w:r>
      <w:r>
        <w:rPr>
          <w:snapToGrid w:val="0"/>
          <w:color w:val="auto"/>
          <w:highlight w:val="none"/>
          <w:u w:val="none"/>
        </w:rPr>
        <w:t>事故应急池容积按</w:t>
      </w:r>
      <w:r>
        <w:rPr>
          <w:rFonts w:hAnsi="Times New Roman"/>
          <w:snapToGrid w:val="0"/>
          <w:color w:val="auto"/>
          <w:highlight w:val="none"/>
          <w:u w:val="none"/>
        </w:rPr>
        <w:t>4650m</w:t>
      </w:r>
      <w:r>
        <w:rPr>
          <w:rFonts w:hAnsi="Times New Roman"/>
          <w:snapToGrid w:val="0"/>
          <w:color w:val="auto"/>
          <w:highlight w:val="none"/>
          <w:u w:val="none"/>
          <w:vertAlign w:val="superscript"/>
        </w:rPr>
        <w:t>3</w:t>
      </w:r>
      <w:r>
        <w:rPr>
          <w:snapToGrid w:val="0"/>
          <w:color w:val="auto"/>
          <w:highlight w:val="none"/>
          <w:u w:val="none"/>
        </w:rPr>
        <w:t>考虑。</w:t>
      </w:r>
    </w:p>
    <w:p w14:paraId="0B607615">
      <w:pPr>
        <w:pStyle w:val="7"/>
        <w:spacing w:before="120"/>
        <w:rPr>
          <w:color w:val="auto"/>
          <w:highlight w:val="none"/>
          <w:u w:val="none"/>
          <w:lang w:val="en-US"/>
        </w:rPr>
      </w:pPr>
      <w:r>
        <w:rPr>
          <w:rFonts w:hint="eastAsia"/>
          <w:color w:val="auto"/>
          <w:highlight w:val="none"/>
          <w:u w:val="none"/>
          <w:lang w:val="en-US"/>
        </w:rPr>
        <w:t>本次技改扩项目事故应急池计算</w:t>
      </w:r>
    </w:p>
    <w:p w14:paraId="2B88EC69">
      <w:pPr>
        <w:rPr>
          <w:rFonts w:hint="eastAsia"/>
          <w:color w:val="auto"/>
          <w:highlight w:val="none"/>
          <w:u w:val="none"/>
          <w:lang w:val="en-US"/>
        </w:rPr>
      </w:pPr>
      <w:r>
        <w:rPr>
          <w:rFonts w:hint="eastAsia"/>
          <w:color w:val="auto"/>
          <w:highlight w:val="none"/>
          <w:u w:val="none"/>
          <w:lang w:val="en-US"/>
        </w:rPr>
        <w:t>本次技改扩能在原来TDI一期的厂址范内，不新增用地，因此，本次技改扩后全厂建设面积仍为</w:t>
      </w:r>
      <w:r>
        <w:rPr>
          <w:color w:val="auto"/>
          <w:highlight w:val="none"/>
          <w:u w:val="none"/>
        </w:rPr>
        <w:t>46.47</w:t>
      </w:r>
      <w:r>
        <w:rPr>
          <w:rFonts w:hint="eastAsia"/>
          <w:color w:val="auto"/>
          <w:highlight w:val="none"/>
          <w:u w:val="none"/>
          <w:lang w:val="en-US"/>
        </w:rPr>
        <w:t>hm</w:t>
      </w:r>
      <w:r>
        <w:rPr>
          <w:rFonts w:hAnsi="Times New Roman"/>
          <w:color w:val="auto"/>
          <w:highlight w:val="none"/>
          <w:u w:val="none"/>
          <w:lang w:val="en-US"/>
        </w:rPr>
        <w:t>²</w:t>
      </w:r>
      <w:r>
        <w:rPr>
          <w:rFonts w:hint="eastAsia" w:hAnsi="Times New Roman"/>
          <w:color w:val="auto"/>
          <w:highlight w:val="none"/>
          <w:u w:val="none"/>
          <w:lang w:val="en-US"/>
        </w:rPr>
        <w:t>（小于100</w:t>
      </w:r>
      <w:r>
        <w:rPr>
          <w:rFonts w:hint="eastAsia"/>
          <w:color w:val="auto"/>
          <w:highlight w:val="none"/>
          <w:u w:val="none"/>
          <w:lang w:val="en-US"/>
        </w:rPr>
        <w:t>hm</w:t>
      </w:r>
      <w:r>
        <w:rPr>
          <w:rFonts w:hAnsi="Times New Roman"/>
          <w:color w:val="auto"/>
          <w:highlight w:val="none"/>
          <w:u w:val="none"/>
          <w:lang w:val="en-US"/>
        </w:rPr>
        <w:t>²</w:t>
      </w:r>
      <w:r>
        <w:rPr>
          <w:rFonts w:hint="eastAsia" w:hAnsi="Times New Roman"/>
          <w:color w:val="auto"/>
          <w:highlight w:val="none"/>
          <w:u w:val="none"/>
          <w:lang w:val="en-US"/>
        </w:rPr>
        <w:t>），参考《消防给水及消火栓系统技术规范》（</w:t>
      </w:r>
      <w:r>
        <w:rPr>
          <w:rFonts w:hAnsi="Times New Roman"/>
          <w:color w:val="auto"/>
          <w:highlight w:val="none"/>
          <w:u w:val="none"/>
          <w:lang w:val="en-US"/>
        </w:rPr>
        <w:t>GB50974-2014）</w:t>
      </w:r>
      <w:r>
        <w:rPr>
          <w:rFonts w:hint="eastAsia" w:hAnsi="Times New Roman"/>
          <w:color w:val="auto"/>
          <w:highlight w:val="none"/>
          <w:u w:val="none"/>
          <w:lang w:val="en-US"/>
        </w:rPr>
        <w:t>，“工厂、堆场和储罐区等，当占地面积小于等于</w:t>
      </w:r>
      <w:r>
        <w:rPr>
          <w:rFonts w:hAnsi="Times New Roman"/>
          <w:color w:val="auto"/>
          <w:highlight w:val="none"/>
          <w:u w:val="none"/>
          <w:lang w:val="en-US"/>
        </w:rPr>
        <w:t>100hm²，且附有居住区人数小于或等于1.5万人时，同一时间内的火灾起数按1起确定</w:t>
      </w:r>
      <w:r>
        <w:rPr>
          <w:rFonts w:hint="eastAsia" w:hAnsi="Times New Roman"/>
          <w:color w:val="auto"/>
          <w:highlight w:val="none"/>
          <w:u w:val="none"/>
          <w:lang w:val="en-US"/>
        </w:rPr>
        <w:t>”，本次事故起数按1起计，因此，本技改扩项目的事故应急池仍可依托现有的事故应急池。本次技改扩能项目事故应急池的计算中</w:t>
      </w:r>
      <w:r>
        <w:rPr>
          <w:color w:val="auto"/>
          <w:highlight w:val="none"/>
          <w:u w:val="none"/>
        </w:rPr>
        <w:t>（V</w:t>
      </w:r>
      <w:r>
        <w:rPr>
          <w:color w:val="auto"/>
          <w:highlight w:val="none"/>
          <w:u w:val="none"/>
          <w:vertAlign w:val="subscript"/>
        </w:rPr>
        <w:t>1</w:t>
      </w:r>
      <w:r>
        <w:rPr>
          <w:color w:val="auto"/>
          <w:highlight w:val="none"/>
          <w:u w:val="none"/>
        </w:rPr>
        <w:t>+V</w:t>
      </w:r>
      <w:r>
        <w:rPr>
          <w:color w:val="auto"/>
          <w:highlight w:val="none"/>
          <w:u w:val="none"/>
          <w:vertAlign w:val="subscript"/>
        </w:rPr>
        <w:t>2</w:t>
      </w:r>
      <w:r>
        <w:rPr>
          <w:color w:val="auto"/>
          <w:highlight w:val="none"/>
          <w:u w:val="none"/>
        </w:rPr>
        <w:t>-V</w:t>
      </w:r>
      <w:r>
        <w:rPr>
          <w:color w:val="auto"/>
          <w:highlight w:val="none"/>
          <w:u w:val="none"/>
          <w:vertAlign w:val="subscript"/>
        </w:rPr>
        <w:t>3</w:t>
      </w:r>
      <w:r>
        <w:rPr>
          <w:color w:val="auto"/>
          <w:highlight w:val="none"/>
          <w:u w:val="none"/>
        </w:rPr>
        <w:t>）</w:t>
      </w:r>
      <w:r>
        <w:rPr>
          <w:color w:val="auto"/>
          <w:highlight w:val="none"/>
          <w:u w:val="none"/>
          <w:vertAlign w:val="subscript"/>
        </w:rPr>
        <w:t>max</w:t>
      </w:r>
      <w:r>
        <w:rPr>
          <w:rFonts w:hint="eastAsia"/>
          <w:color w:val="auto"/>
          <w:highlight w:val="none"/>
          <w:u w:val="none"/>
          <w:lang w:val="en-US"/>
        </w:rPr>
        <w:t>值应与其他现有项目进行对比取所有项目（包括此次新建的TDI二期工程）中的大值，V</w:t>
      </w:r>
      <w:r>
        <w:rPr>
          <w:rFonts w:hint="eastAsia"/>
          <w:color w:val="auto"/>
          <w:highlight w:val="none"/>
          <w:u w:val="none"/>
          <w:vertAlign w:val="subscript"/>
          <w:lang w:val="en-US"/>
        </w:rPr>
        <w:t>5</w:t>
      </w:r>
      <w:r>
        <w:rPr>
          <w:rFonts w:hint="eastAsia"/>
          <w:color w:val="auto"/>
          <w:highlight w:val="none"/>
          <w:u w:val="none"/>
          <w:lang w:val="en-US"/>
        </w:rPr>
        <w:t>保守按全厂面积计算。</w:t>
      </w:r>
    </w:p>
    <w:p w14:paraId="56B2AB8C">
      <w:pPr>
        <w:pStyle w:val="7"/>
        <w:spacing w:before="120"/>
        <w:rPr>
          <w:color w:val="auto"/>
          <w:highlight w:val="none"/>
          <w:u w:val="none"/>
          <w:lang w:val="en-US"/>
        </w:rPr>
      </w:pPr>
      <w:bookmarkStart w:id="651" w:name="_Hlk14788657"/>
      <w:r>
        <w:rPr>
          <w:rFonts w:hint="eastAsia"/>
          <w:color w:val="auto"/>
          <w:highlight w:val="none"/>
          <w:u w:val="none"/>
          <w:lang w:val="en-US"/>
        </w:rPr>
        <w:t>本次技改扩能后事故应急池设置分析</w:t>
      </w:r>
    </w:p>
    <w:p w14:paraId="130F60AF">
      <w:pPr>
        <w:ind w:firstLine="482"/>
        <w:rPr>
          <w:rFonts w:hint="eastAsia"/>
          <w:b/>
          <w:bCs/>
          <w:color w:val="auto"/>
          <w:highlight w:val="none"/>
          <w:u w:val="none"/>
          <w:lang w:val="en-US"/>
        </w:rPr>
      </w:pPr>
      <w:r>
        <w:rPr>
          <w:rFonts w:hint="eastAsia"/>
          <w:b/>
          <w:bCs/>
          <w:color w:val="auto"/>
          <w:highlight w:val="none"/>
          <w:u w:val="none"/>
          <w:lang w:val="en-US"/>
        </w:rPr>
        <w:t>综上，本技改扩能项目建成后，经计算，万华福建公司主要生产地块事故池容积仍可以满足需求。</w:t>
      </w:r>
    </w:p>
    <w:bookmarkEnd w:id="651"/>
    <w:p w14:paraId="300EE319">
      <w:pPr>
        <w:pStyle w:val="6"/>
        <w:spacing w:before="120" w:after="120"/>
        <w:rPr>
          <w:color w:val="auto"/>
          <w:highlight w:val="none"/>
          <w:u w:val="none"/>
        </w:rPr>
      </w:pPr>
      <w:bookmarkStart w:id="652" w:name="_Toc148375121"/>
      <w:bookmarkStart w:id="653" w:name="_Toc148374679"/>
      <w:bookmarkStart w:id="654" w:name="_Toc9197"/>
      <w:r>
        <w:rPr>
          <w:color w:val="auto"/>
          <w:highlight w:val="none"/>
          <w:u w:val="none"/>
        </w:rPr>
        <w:t>事故</w:t>
      </w:r>
      <w:r>
        <w:rPr>
          <w:rFonts w:hint="eastAsia"/>
          <w:color w:val="auto"/>
          <w:highlight w:val="none"/>
          <w:u w:val="none"/>
          <w:lang w:val="en-US"/>
        </w:rPr>
        <w:t>废</w:t>
      </w:r>
      <w:r>
        <w:rPr>
          <w:color w:val="auto"/>
          <w:highlight w:val="none"/>
          <w:u w:val="none"/>
        </w:rPr>
        <w:t>水四级防控体系</w:t>
      </w:r>
      <w:bookmarkEnd w:id="652"/>
      <w:bookmarkEnd w:id="653"/>
      <w:bookmarkEnd w:id="654"/>
    </w:p>
    <w:p w14:paraId="20FE254B">
      <w:pPr>
        <w:rPr>
          <w:rFonts w:hint="eastAsia"/>
          <w:color w:val="auto"/>
          <w:highlight w:val="none"/>
          <w:u w:val="none"/>
        </w:rPr>
      </w:pPr>
      <w:r>
        <w:rPr>
          <w:color w:val="auto"/>
          <w:highlight w:val="none"/>
          <w:u w:val="none"/>
        </w:rPr>
        <w:t>参照《事故状态下水体污染的预防与控制技术要求》（Q/SY08190-2019）和《石化企业水体环境风险防控技术要求》（Q/SH0729-2018）的有关要求，本次环境影响评价针对企业事故废水排放采取</w:t>
      </w:r>
      <w:r>
        <w:rPr>
          <w:rFonts w:hint="eastAsia"/>
          <w:color w:val="auto"/>
          <w:highlight w:val="none"/>
          <w:u w:val="none"/>
        </w:rPr>
        <w:t>四</w:t>
      </w:r>
      <w:r>
        <w:rPr>
          <w:color w:val="auto"/>
          <w:highlight w:val="none"/>
          <w:u w:val="none"/>
        </w:rPr>
        <w:t>级防控措施来杜绝环境风险事故废水排放对外环境造成的污染事件，将环境风险事故排水及污染物控制在储罐区、装置区，环境风险事故排水及污染物控制在排水系统事故池；以及事故废水分批次纳入</w:t>
      </w:r>
      <w:r>
        <w:rPr>
          <w:rFonts w:hint="eastAsia"/>
          <w:color w:val="auto"/>
          <w:highlight w:val="none"/>
          <w:u w:val="none"/>
        </w:rPr>
        <w:t>万华环保科技公司</w:t>
      </w:r>
      <w:r>
        <w:rPr>
          <w:color w:val="auto"/>
          <w:highlight w:val="none"/>
          <w:u w:val="none"/>
        </w:rPr>
        <w:t>综合废水处理站，避免对其造成冲击。</w:t>
      </w:r>
      <w:r>
        <w:rPr>
          <w:rFonts w:hint="eastAsia"/>
          <w:color w:val="auto"/>
          <w:highlight w:val="none"/>
          <w:u w:val="none"/>
        </w:rPr>
        <w:t>四</w:t>
      </w:r>
      <w:r>
        <w:rPr>
          <w:color w:val="auto"/>
          <w:highlight w:val="none"/>
          <w:u w:val="none"/>
        </w:rPr>
        <w:t>级防控措施具体如下：</w:t>
      </w:r>
    </w:p>
    <w:p w14:paraId="740A0293">
      <w:pPr>
        <w:rPr>
          <w:rFonts w:hint="eastAsia"/>
          <w:color w:val="auto"/>
          <w:highlight w:val="none"/>
          <w:u w:val="none"/>
        </w:rPr>
      </w:pPr>
      <w:r>
        <w:rPr>
          <w:color w:val="auto"/>
          <w:highlight w:val="none"/>
          <w:u w:val="none"/>
        </w:rPr>
        <w:t>（1）第一级防控措施：第一级防控措施是设置装置和罐区围堰及防火堤，构筑生产过程中环境安全的第一层防控网，是泄漏物料切换到处理系统，防止污染雨水和轻微事故泄漏造成的环境污染。</w:t>
      </w:r>
    </w:p>
    <w:p w14:paraId="1A1938C6">
      <w:pPr>
        <w:rPr>
          <w:rFonts w:hint="eastAsia"/>
          <w:color w:val="auto"/>
          <w:highlight w:val="none"/>
          <w:u w:val="none"/>
        </w:rPr>
      </w:pPr>
      <w:r>
        <w:rPr>
          <w:color w:val="auto"/>
          <w:highlight w:val="none"/>
          <w:u w:val="none"/>
        </w:rPr>
        <w:t>a.装置和罐区按规范设围堰及防火堤，对事故情况泄漏物料及消防废水进行收集控制；</w:t>
      </w:r>
    </w:p>
    <w:p w14:paraId="4BBCC343">
      <w:pPr>
        <w:rPr>
          <w:rFonts w:hint="eastAsia"/>
          <w:color w:val="auto"/>
          <w:highlight w:val="none"/>
          <w:u w:val="none"/>
        </w:rPr>
      </w:pPr>
      <w:r>
        <w:rPr>
          <w:color w:val="auto"/>
          <w:highlight w:val="none"/>
          <w:u w:val="none"/>
        </w:rPr>
        <w:t>b.装置和罐区均分别设置污水及雨水排放的切换闸门，正常及事故情况下针对不同物质实施分流排放控制；</w:t>
      </w:r>
    </w:p>
    <w:p w14:paraId="639E83C3">
      <w:pPr>
        <w:rPr>
          <w:rFonts w:hint="eastAsia"/>
          <w:color w:val="auto"/>
          <w:highlight w:val="none"/>
          <w:u w:val="none"/>
        </w:rPr>
      </w:pPr>
      <w:r>
        <w:rPr>
          <w:color w:val="auto"/>
          <w:highlight w:val="none"/>
          <w:u w:val="none"/>
        </w:rPr>
        <w:t>c.装置内凡在操作或检修过程中，可能有液化品等有毒物料泄漏污染的区域，设置不低于150mm 的围堰，围堰内设置排水设施，实施清污分流，控制污染范围。污水管道上设有控制闸门，正常情况下，装置检修、维护、冲洗等产生的污水经收集后，排入污水系统。在装置发生液体物料泄漏的情况下，及时关闭污水排放阀门，对泄漏物料进行收集。</w:t>
      </w:r>
    </w:p>
    <w:p w14:paraId="748E74EC">
      <w:pPr>
        <w:rPr>
          <w:rFonts w:hint="eastAsia"/>
          <w:color w:val="auto"/>
          <w:highlight w:val="none"/>
          <w:u w:val="none"/>
        </w:rPr>
      </w:pPr>
      <w:r>
        <w:rPr>
          <w:color w:val="auto"/>
          <w:highlight w:val="none"/>
          <w:u w:val="none"/>
        </w:rPr>
        <w:t>d.罐区分别设置污水及雨水阀门，且处于常关状态，以使突发性泄漏的物料囤积在罐区内，不跑到外围。进行罐区脱水时，或下雨初期15min，打开污水水封井阀门排污，下雨时后期，打开雨水阀门，罐区地面雨水通过雨水水封井阀门排入边沟水系统。消防事故情况下，打开污水阀门，通过污水系统收集消防废水。</w:t>
      </w:r>
    </w:p>
    <w:p w14:paraId="2D0C1483">
      <w:pPr>
        <w:rPr>
          <w:rFonts w:hint="eastAsia"/>
          <w:color w:val="auto"/>
          <w:highlight w:val="none"/>
          <w:u w:val="none"/>
        </w:rPr>
      </w:pPr>
      <w:r>
        <w:rPr>
          <w:color w:val="auto"/>
          <w:highlight w:val="none"/>
          <w:u w:val="none"/>
        </w:rPr>
        <w:t>（2）第二级防控措施</w:t>
      </w:r>
    </w:p>
    <w:p w14:paraId="6CB6544B">
      <w:pPr>
        <w:rPr>
          <w:rFonts w:hint="eastAsia"/>
          <w:color w:val="auto"/>
          <w:highlight w:val="none"/>
          <w:u w:val="none"/>
        </w:rPr>
      </w:pPr>
      <w:r>
        <w:rPr>
          <w:color w:val="auto"/>
          <w:highlight w:val="none"/>
          <w:u w:val="none"/>
        </w:rPr>
        <w:t>企业必须在各贮罐区、装置区单元外围设置连接污水总排放口、雨水排放口的专用事故池，设计相应的切换装置，其中雨水总排放口闸阀要求保持常关状态。一旦厂区内发生污染事故，立即启动切换装置，将雨水和污水引入事故池，切断污染物与外部的通道，将污染控制在厂区内，防止较大生产事故泄漏物和污染消防水造成的环境污染。</w:t>
      </w:r>
    </w:p>
    <w:p w14:paraId="0064C664">
      <w:pPr>
        <w:rPr>
          <w:rFonts w:hint="eastAsia"/>
          <w:color w:val="auto"/>
          <w:highlight w:val="none"/>
          <w:u w:val="none"/>
        </w:rPr>
      </w:pPr>
      <w:r>
        <w:rPr>
          <w:color w:val="auto"/>
          <w:highlight w:val="none"/>
          <w:u w:val="none"/>
        </w:rPr>
        <w:t>建设单位</w:t>
      </w:r>
      <w:r>
        <w:rPr>
          <w:rFonts w:hint="eastAsia"/>
          <w:color w:val="auto"/>
          <w:highlight w:val="none"/>
          <w:u w:val="none"/>
        </w:rPr>
        <w:t>已</w:t>
      </w:r>
      <w:r>
        <w:rPr>
          <w:color w:val="auto"/>
          <w:highlight w:val="none"/>
          <w:u w:val="none"/>
        </w:rPr>
        <w:t>设置29000m</w:t>
      </w:r>
      <w:r>
        <w:rPr>
          <w:rFonts w:hAnsi="Times New Roman"/>
          <w:color w:val="auto"/>
          <w:highlight w:val="none"/>
          <w:u w:val="none"/>
        </w:rPr>
        <w:t>³</w:t>
      </w:r>
      <w:r>
        <w:rPr>
          <w:color w:val="auto"/>
          <w:highlight w:val="none"/>
          <w:u w:val="none"/>
        </w:rPr>
        <w:t>的事故应急储存设施，事故状态下首先将事故液拦在第一级防控措施的围堰内，溢流部分流入事故污水排水管或雨水管系统。在事故污水排水管和雨水管系统总出口设闸门，事故状态下闸门关闭，将事故污水切入事故池，事故池中的事故废水最后分批进入</w:t>
      </w:r>
      <w:r>
        <w:rPr>
          <w:rFonts w:hint="eastAsia"/>
          <w:color w:val="auto"/>
          <w:highlight w:val="none"/>
          <w:u w:val="none"/>
        </w:rPr>
        <w:t>万华环保科技公司</w:t>
      </w:r>
      <w:r>
        <w:rPr>
          <w:color w:val="auto"/>
          <w:highlight w:val="none"/>
          <w:u w:val="none"/>
        </w:rPr>
        <w:t>污水处理站处理，最后通过污水排水管网</w:t>
      </w:r>
      <w:r>
        <w:rPr>
          <w:color w:val="auto"/>
          <w:highlight w:val="none"/>
          <w:u w:val="none"/>
          <w:lang w:val="en-US"/>
        </w:rPr>
        <w:t>进入</w:t>
      </w:r>
      <w:r>
        <w:rPr>
          <w:rStyle w:val="161"/>
          <w:rFonts w:hint="eastAsia"/>
          <w:color w:val="auto"/>
          <w:sz w:val="24"/>
          <w:szCs w:val="24"/>
          <w:highlight w:val="none"/>
          <w:u w:val="none"/>
          <w:lang w:eastAsia="zh-CN"/>
        </w:rPr>
        <w:t>福州江阴港城经济区</w:t>
      </w:r>
      <w:r>
        <w:rPr>
          <w:rStyle w:val="161"/>
          <w:rFonts w:hint="eastAsia"/>
          <w:color w:val="auto"/>
          <w:sz w:val="24"/>
          <w:szCs w:val="24"/>
          <w:highlight w:val="none"/>
          <w:u w:val="none"/>
        </w:rPr>
        <w:t>污水处理厂</w:t>
      </w:r>
      <w:r>
        <w:rPr>
          <w:color w:val="auto"/>
          <w:highlight w:val="none"/>
          <w:u w:val="none"/>
        </w:rPr>
        <w:t>。本评价同时要求厂区应设有备用柴油发电机组和耐酸碱的事故污水提升泵，以便在事故发生时，确保将事故废水由泵提升至污水处理站处理。同时本项目29000m</w:t>
      </w:r>
      <w:r>
        <w:rPr>
          <w:rFonts w:hAnsi="Times New Roman"/>
          <w:color w:val="auto"/>
          <w:highlight w:val="none"/>
          <w:u w:val="none"/>
          <w:vertAlign w:val="superscript"/>
        </w:rPr>
        <w:t>3</w:t>
      </w:r>
      <w:r>
        <w:rPr>
          <w:color w:val="auto"/>
          <w:highlight w:val="none"/>
          <w:u w:val="none"/>
        </w:rPr>
        <w:t>的事故应急储存系统还与</w:t>
      </w:r>
      <w:r>
        <w:rPr>
          <w:rFonts w:hint="eastAsia"/>
          <w:color w:val="auto"/>
          <w:highlight w:val="none"/>
          <w:u w:val="none"/>
        </w:rPr>
        <w:t>万华环保科技公司</w:t>
      </w:r>
      <w:r>
        <w:rPr>
          <w:color w:val="auto"/>
          <w:highlight w:val="none"/>
          <w:u w:val="none"/>
        </w:rPr>
        <w:t>内24000m</w:t>
      </w:r>
      <w:r>
        <w:rPr>
          <w:rFonts w:hAnsi="Times New Roman"/>
          <w:color w:val="auto"/>
          <w:highlight w:val="none"/>
          <w:u w:val="none"/>
          <w:vertAlign w:val="superscript"/>
        </w:rPr>
        <w:t>3</w:t>
      </w:r>
      <w:r>
        <w:rPr>
          <w:color w:val="auto"/>
          <w:highlight w:val="none"/>
          <w:u w:val="none"/>
        </w:rPr>
        <w:t>的事故应急储存系统互联互通，作为特大事故状态下的控制措施。</w:t>
      </w:r>
    </w:p>
    <w:p w14:paraId="13A35331">
      <w:pPr>
        <w:rPr>
          <w:rFonts w:hint="eastAsia"/>
          <w:color w:val="auto"/>
          <w:highlight w:val="none"/>
          <w:u w:val="none"/>
        </w:rPr>
      </w:pPr>
      <w:r>
        <w:rPr>
          <w:color w:val="auto"/>
          <w:highlight w:val="none"/>
          <w:u w:val="none"/>
        </w:rPr>
        <w:t>（3）三级防控措施（企业级）</w:t>
      </w:r>
    </w:p>
    <w:p w14:paraId="69C5D692">
      <w:pPr>
        <w:rPr>
          <w:rFonts w:hint="eastAsia"/>
          <w:color w:val="auto"/>
          <w:highlight w:val="none"/>
          <w:u w:val="none"/>
        </w:rPr>
      </w:pPr>
      <w:r>
        <w:rPr>
          <w:color w:val="auto"/>
          <w:highlight w:val="none"/>
          <w:u w:val="none"/>
        </w:rPr>
        <w:t>三级防控主要是指在特别重大事故情形，厂区内的事故池装满事故污水时，事故污水进入雨水系统即将通过雨水总排水进入外环境，此时启动污水提升泵，将事故应急池内的消防事故废水紧急提升至</w:t>
      </w:r>
      <w:r>
        <w:rPr>
          <w:rFonts w:hint="eastAsia"/>
          <w:color w:val="auto"/>
          <w:highlight w:val="none"/>
          <w:u w:val="none"/>
        </w:rPr>
        <w:t>万华环保科技公司</w:t>
      </w:r>
      <w:r>
        <w:rPr>
          <w:color w:val="auto"/>
          <w:highlight w:val="none"/>
          <w:u w:val="none"/>
        </w:rPr>
        <w:t>污水站的调节池内，进行预处理后排入园区污水管网，最后进入园区污水处理厂再次深度处理达标排放。此措施作为特别重大事故状态下，将污染物控制在厂区内的最后控制措施。</w:t>
      </w:r>
    </w:p>
    <w:p w14:paraId="47DC64F5">
      <w:pPr>
        <w:rPr>
          <w:rFonts w:hint="eastAsia"/>
          <w:color w:val="auto"/>
          <w:highlight w:val="none"/>
          <w:u w:val="none"/>
        </w:rPr>
      </w:pPr>
      <w:r>
        <w:rPr>
          <w:color w:val="auto"/>
          <w:highlight w:val="none"/>
          <w:u w:val="none"/>
        </w:rPr>
        <w:t>（4）四级防控措施（园区级）</w:t>
      </w:r>
    </w:p>
    <w:p w14:paraId="64A71802">
      <w:pPr>
        <w:rPr>
          <w:rFonts w:hint="eastAsia"/>
          <w:color w:val="auto"/>
          <w:highlight w:val="none"/>
          <w:u w:val="none"/>
        </w:rPr>
      </w:pPr>
      <w:r>
        <w:rPr>
          <w:color w:val="auto"/>
          <w:highlight w:val="none"/>
          <w:u w:val="none"/>
        </w:rPr>
        <w:t>为防范于未然，将可能发生的环境风险事故的影响将到最低，园区已在本项目所在江阴西片区建成1个容积为5万m3的公共事故应急池，当厂内、</w:t>
      </w:r>
      <w:r>
        <w:rPr>
          <w:rFonts w:hint="eastAsia"/>
          <w:color w:val="auto"/>
          <w:highlight w:val="none"/>
          <w:u w:val="none"/>
        </w:rPr>
        <w:t>万华环保科技公司</w:t>
      </w:r>
      <w:r>
        <w:rPr>
          <w:rFonts w:hint="eastAsia"/>
          <w:color w:val="auto"/>
          <w:highlight w:val="none"/>
          <w:u w:val="none"/>
          <w:lang w:val="en-US"/>
        </w:rPr>
        <w:t>污水处理站</w:t>
      </w:r>
      <w:r>
        <w:rPr>
          <w:color w:val="auto"/>
          <w:highlight w:val="none"/>
          <w:u w:val="none"/>
        </w:rPr>
        <w:t>配套的事故应急池均不能满足事故应急洗消废水暂存需要时，可将事故洗消废水通过厂外公共管线转移至5万m3园区公共事故应急池暂存。当本项目发生重大或极端事故时，园区启动园区事故应急预案，关闭</w:t>
      </w:r>
      <w:r>
        <w:rPr>
          <w:rFonts w:hint="eastAsia"/>
          <w:color w:val="auto"/>
          <w:highlight w:val="none"/>
          <w:u w:val="none"/>
        </w:rPr>
        <w:t>江阴港城经济区</w:t>
      </w:r>
      <w:r>
        <w:rPr>
          <w:color w:val="auto"/>
          <w:highlight w:val="none"/>
          <w:u w:val="none"/>
        </w:rPr>
        <w:t>排洪渠两端水闸，避免事故废水排入兴化湾。</w:t>
      </w:r>
    </w:p>
    <w:p w14:paraId="4388FFFF">
      <w:pPr>
        <w:pStyle w:val="29"/>
        <w:ind w:left="-103" w:right="-113"/>
        <w:rPr>
          <w:color w:val="auto"/>
          <w:highlight w:val="none"/>
          <w:u w:val="none"/>
        </w:rPr>
      </w:pPr>
    </w:p>
    <w:p w14:paraId="55ECA3AB">
      <w:pPr>
        <w:rPr>
          <w:rFonts w:hint="eastAsia"/>
          <w:color w:val="auto"/>
          <w:highlight w:val="none"/>
          <w:u w:val="none"/>
        </w:rPr>
        <w:sectPr>
          <w:footerReference r:id="rId26" w:type="default"/>
          <w:pgSz w:w="11906" w:h="16838"/>
          <w:pgMar w:top="1417" w:right="1418" w:bottom="1417" w:left="1417" w:header="851" w:footer="992" w:gutter="0"/>
          <w:pgBorders>
            <w:top w:val="none" w:sz="0" w:space="0"/>
            <w:left w:val="none" w:sz="0" w:space="0"/>
            <w:bottom w:val="none" w:sz="0" w:space="0"/>
            <w:right w:val="none" w:sz="0" w:space="0"/>
          </w:pgBorders>
          <w:cols w:space="720" w:num="1"/>
          <w:docGrid w:linePitch="380" w:charSpace="0"/>
        </w:sectPr>
      </w:pPr>
    </w:p>
    <w:p w14:paraId="05AE1303">
      <w:pPr>
        <w:pStyle w:val="4"/>
        <w:rPr>
          <w:color w:val="auto"/>
          <w:highlight w:val="none"/>
          <w:u w:val="none"/>
        </w:rPr>
      </w:pPr>
      <w:bookmarkStart w:id="655" w:name="_Toc13672"/>
      <w:bookmarkStart w:id="656" w:name="_Toc30909"/>
      <w:bookmarkStart w:id="657" w:name="_Toc148374835"/>
      <w:bookmarkStart w:id="658" w:name="_Toc148375122"/>
      <w:bookmarkStart w:id="659" w:name="_Toc26038"/>
      <w:bookmarkStart w:id="660" w:name="_Toc148374680"/>
      <w:bookmarkStart w:id="661" w:name="_Hlk30084889"/>
      <w:bookmarkStart w:id="662" w:name="_Toc535482067"/>
      <w:r>
        <w:rPr>
          <w:color w:val="auto"/>
          <w:highlight w:val="none"/>
          <w:u w:val="none"/>
        </w:rPr>
        <w:t>地下水环境风险预测与分析</w:t>
      </w:r>
      <w:bookmarkEnd w:id="655"/>
      <w:bookmarkEnd w:id="656"/>
      <w:bookmarkEnd w:id="657"/>
      <w:bookmarkEnd w:id="658"/>
      <w:bookmarkEnd w:id="659"/>
      <w:bookmarkEnd w:id="660"/>
    </w:p>
    <w:bookmarkEnd w:id="661"/>
    <w:p w14:paraId="5573B389">
      <w:pPr>
        <w:rPr>
          <w:rFonts w:hint="eastAsia"/>
          <w:color w:val="auto"/>
          <w:highlight w:val="none"/>
          <w:u w:val="none"/>
        </w:rPr>
      </w:pPr>
      <w:r>
        <w:rPr>
          <w:rFonts w:hint="eastAsia"/>
          <w:color w:val="auto"/>
          <w:highlight w:val="none"/>
          <w:u w:val="none"/>
        </w:rPr>
        <w:t>根据前文可知，本项目物料管线均架空敷设。可能造成地下水污染的点位主要有：生产装置区、储罐区等可能发生的事故泄漏、跑冒滴漏，渗入到泄漏区域附近土壤、地下水中；危险废物转运过程中操作不当引起泄漏污染土壤和地下水；物料输送管线可能发生的泄漏；事故池发生的泄漏等。地下水污染事故情景及影响参见8.3地下水环境影响分析与评价章节。</w:t>
      </w:r>
    </w:p>
    <w:p w14:paraId="0768B5F1">
      <w:pPr>
        <w:rPr>
          <w:rFonts w:hint="eastAsia"/>
          <w:color w:val="auto"/>
          <w:highlight w:val="none"/>
          <w:u w:val="none"/>
        </w:rPr>
      </w:pPr>
      <w:r>
        <w:rPr>
          <w:rFonts w:hint="eastAsia"/>
          <w:color w:val="auto"/>
          <w:highlight w:val="none"/>
          <w:u w:val="none"/>
        </w:rPr>
        <w:t>本项目装置区内将采取相应的防渗措施，运行过程中配套有监控系统，储罐区为地上储罐且配套有监控系统，在生产或储存过程中一旦发生物料的泄漏，建设单位均可以及时发现并采取应急响应措施，尽快控制住泄漏源，泄漏的持续时间和物料泄漏量有限，同时各区域也配套设置了围堰、收集沟等，泄漏物料可通过事故废水截留措施进行截留，正常运营情况下不会漫流至周边区域。</w:t>
      </w:r>
    </w:p>
    <w:p w14:paraId="43BA5A53">
      <w:pPr>
        <w:pStyle w:val="4"/>
        <w:rPr>
          <w:color w:val="auto"/>
          <w:highlight w:val="none"/>
          <w:u w:val="none"/>
        </w:rPr>
      </w:pPr>
      <w:bookmarkStart w:id="663" w:name="_Toc148374836"/>
      <w:bookmarkStart w:id="664" w:name="_Toc148375123"/>
      <w:bookmarkStart w:id="665" w:name="_Toc18339"/>
      <w:bookmarkStart w:id="666" w:name="_Toc148374681"/>
      <w:bookmarkStart w:id="667" w:name="_Toc21900"/>
      <w:bookmarkStart w:id="668" w:name="_Toc12940"/>
      <w:r>
        <w:rPr>
          <w:color w:val="auto"/>
          <w:highlight w:val="none"/>
          <w:u w:val="none"/>
        </w:rPr>
        <w:t>运输过程潜在的风险分析</w:t>
      </w:r>
      <w:bookmarkEnd w:id="662"/>
      <w:bookmarkEnd w:id="663"/>
      <w:bookmarkEnd w:id="664"/>
      <w:bookmarkEnd w:id="665"/>
      <w:bookmarkEnd w:id="666"/>
      <w:bookmarkEnd w:id="667"/>
      <w:bookmarkEnd w:id="668"/>
    </w:p>
    <w:p w14:paraId="3ACA3595">
      <w:pPr>
        <w:rPr>
          <w:rFonts w:hint="eastAsia"/>
          <w:color w:val="auto"/>
          <w:highlight w:val="none"/>
          <w:u w:val="none"/>
        </w:rPr>
      </w:pPr>
      <w:r>
        <w:rPr>
          <w:color w:val="auto"/>
          <w:highlight w:val="none"/>
          <w:u w:val="none"/>
        </w:rPr>
        <w:t>本项目的氢气、氯气、甲苯、一氧化碳</w:t>
      </w:r>
      <w:r>
        <w:rPr>
          <w:rFonts w:hint="eastAsia"/>
          <w:color w:val="auto"/>
          <w:highlight w:val="none"/>
          <w:u w:val="none"/>
        </w:rPr>
        <w:t>、硫酸、硝酸、碱液</w:t>
      </w:r>
      <w:r>
        <w:rPr>
          <w:color w:val="auto"/>
          <w:highlight w:val="none"/>
          <w:u w:val="none"/>
        </w:rPr>
        <w:t>等由邻近的厂区</w:t>
      </w:r>
      <w:r>
        <w:rPr>
          <w:rFonts w:hint="eastAsia"/>
          <w:color w:val="auto"/>
          <w:highlight w:val="none"/>
          <w:u w:val="none"/>
        </w:rPr>
        <w:t>、项目</w:t>
      </w:r>
      <w:r>
        <w:rPr>
          <w:color w:val="auto"/>
          <w:highlight w:val="none"/>
          <w:u w:val="none"/>
        </w:rPr>
        <w:t>通过管道直接送至本项目。而邻二氯苯则由槽车运输，直接由供货单位负责运输。本项目的产品TDI由建设单位委托有危险品运输资质的单位运输，运输路线、运输方式、运输时间需报公路沿线交通管理部门审批。</w:t>
      </w:r>
    </w:p>
    <w:p w14:paraId="3F2EB71E">
      <w:pPr>
        <w:rPr>
          <w:rFonts w:hint="eastAsia"/>
          <w:color w:val="auto"/>
          <w:highlight w:val="none"/>
          <w:u w:val="none"/>
        </w:rPr>
      </w:pPr>
      <w:r>
        <w:rPr>
          <w:color w:val="auto"/>
          <w:highlight w:val="none"/>
          <w:u w:val="none"/>
        </w:rPr>
        <w:t>通过危险化学品道路运输过程中存在的风险因素分析，主要如下：</w:t>
      </w:r>
    </w:p>
    <w:p w14:paraId="40F231C8">
      <w:pPr>
        <w:rPr>
          <w:rFonts w:hint="eastAsia"/>
          <w:color w:val="auto"/>
          <w:highlight w:val="none"/>
          <w:u w:val="none"/>
        </w:rPr>
      </w:pPr>
      <w:r>
        <w:rPr>
          <w:color w:val="auto"/>
          <w:highlight w:val="none"/>
          <w:u w:val="none"/>
        </w:rPr>
        <w:t>（1）运输人员方面的风险因素</w:t>
      </w:r>
    </w:p>
    <w:p w14:paraId="1D95436A">
      <w:pPr>
        <w:rPr>
          <w:rFonts w:hint="eastAsia"/>
          <w:color w:val="auto"/>
          <w:highlight w:val="none"/>
          <w:u w:val="none"/>
        </w:rPr>
      </w:pPr>
      <w:r>
        <w:rPr>
          <w:color w:val="auto"/>
          <w:highlight w:val="none"/>
          <w:u w:val="none"/>
        </w:rPr>
        <w:t>在危险化学品的运输过程中，驾驶人员的驾车技术、应变能力及精神状态会对运输环节的安全问题产生极其重要的影响。如果驾驶人员的操作水平、操作状态存在问题，就会导致整个运输过程的风险加大。</w:t>
      </w:r>
    </w:p>
    <w:p w14:paraId="3BB6186C">
      <w:pPr>
        <w:rPr>
          <w:rFonts w:hint="eastAsia"/>
          <w:color w:val="auto"/>
          <w:highlight w:val="none"/>
          <w:u w:val="none"/>
        </w:rPr>
      </w:pPr>
      <w:r>
        <w:rPr>
          <w:color w:val="auto"/>
          <w:highlight w:val="none"/>
          <w:u w:val="none"/>
        </w:rPr>
        <w:t>（2）车辆风险因素</w:t>
      </w:r>
    </w:p>
    <w:p w14:paraId="5897E81C">
      <w:pPr>
        <w:rPr>
          <w:rFonts w:hint="eastAsia"/>
          <w:color w:val="auto"/>
          <w:highlight w:val="none"/>
          <w:u w:val="none"/>
        </w:rPr>
      </w:pPr>
      <w:r>
        <w:rPr>
          <w:color w:val="auto"/>
          <w:highlight w:val="none"/>
          <w:u w:val="none"/>
        </w:rPr>
        <w:t>在危险化学品道路运输过程中，运输车辆的选择也会对危险化学品的运输带来一定的风险。因此，应加强对于危险化学品运输车辆的管控，主要以罐车进行危险化学品的运输，并加强对运输车辆设施的检查，防止泄漏等事故发生。对于罐体车辆要及时进行正常的年检并进行定期保养。</w:t>
      </w:r>
    </w:p>
    <w:p w14:paraId="2D496927">
      <w:pPr>
        <w:rPr>
          <w:rFonts w:hint="eastAsia"/>
          <w:color w:val="auto"/>
          <w:highlight w:val="none"/>
          <w:u w:val="none"/>
        </w:rPr>
      </w:pPr>
      <w:r>
        <w:rPr>
          <w:color w:val="auto"/>
          <w:highlight w:val="none"/>
          <w:u w:val="none"/>
        </w:rPr>
        <w:t>（3）管理方面的风险因素</w:t>
      </w:r>
    </w:p>
    <w:p w14:paraId="38B2AE2C">
      <w:pPr>
        <w:rPr>
          <w:rFonts w:hint="eastAsia"/>
          <w:color w:val="auto"/>
          <w:highlight w:val="none"/>
          <w:u w:val="none"/>
        </w:rPr>
      </w:pPr>
      <w:r>
        <w:rPr>
          <w:color w:val="auto"/>
          <w:highlight w:val="none"/>
          <w:u w:val="none"/>
        </w:rPr>
        <w:t>管理方面存在的风险主要是体现在对危险化学品运输的管理力度不够，没有健全的管理制度、管理机制，对人员及设备的管控措施不到位。</w:t>
      </w:r>
    </w:p>
    <w:p w14:paraId="3A7B3823">
      <w:pPr>
        <w:rPr>
          <w:rFonts w:hint="eastAsia"/>
          <w:color w:val="auto"/>
          <w:highlight w:val="none"/>
          <w:u w:val="none"/>
        </w:rPr>
      </w:pPr>
      <w:r>
        <w:rPr>
          <w:color w:val="auto"/>
          <w:highlight w:val="none"/>
          <w:u w:val="none"/>
        </w:rPr>
        <w:t>（4）交通事故风险因素</w:t>
      </w:r>
    </w:p>
    <w:p w14:paraId="70B031C3">
      <w:pPr>
        <w:rPr>
          <w:rFonts w:hint="eastAsia"/>
          <w:color w:val="auto"/>
          <w:highlight w:val="none"/>
          <w:u w:val="none"/>
        </w:rPr>
      </w:pPr>
      <w:r>
        <w:rPr>
          <w:color w:val="auto"/>
          <w:highlight w:val="none"/>
          <w:u w:val="none"/>
        </w:rPr>
        <w:t>在运输途中发生重大撞车翻车事故突发性溢漏，使所运载危险品进入大气，造成恶性污染事故。污染事故最为严重的路段是跨越人口密集的城镇路段，其余路段由于人口少，通过及时采取防护措施，可避免污染造成的伤亡事故发生。因此本项目装载危险化学品运输路线应避开福清市区，其车辆不得在生活饮用水地表水源保护区、居民聚居点、行人稠密地段、政府机关、大桥等敏感目标停车。如必须在上述地区进行装卸作业或临时停车，应事先报经当地县、市公安部门批准，按照指定的路线、时间行驶。</w:t>
      </w:r>
    </w:p>
    <w:p w14:paraId="5BEC2531">
      <w:pPr>
        <w:rPr>
          <w:rFonts w:hint="eastAsia"/>
          <w:color w:val="auto"/>
          <w:highlight w:val="none"/>
          <w:u w:val="none"/>
        </w:rPr>
      </w:pPr>
      <w:r>
        <w:rPr>
          <w:color w:val="auto"/>
          <w:highlight w:val="none"/>
          <w:u w:val="none"/>
        </w:rPr>
        <w:t>本项目运输过程风险防范措施见</w:t>
      </w:r>
      <w:r>
        <w:rPr>
          <w:rFonts w:hint="eastAsia"/>
          <w:color w:val="auto"/>
          <w:highlight w:val="none"/>
          <w:u w:val="none"/>
          <w:lang w:val="en-US"/>
        </w:rPr>
        <w:t>9.11.6节</w:t>
      </w:r>
      <w:r>
        <w:rPr>
          <w:color w:val="auto"/>
          <w:highlight w:val="none"/>
          <w:u w:val="none"/>
        </w:rPr>
        <w:t>，通过采取相应的防范措施，可减小发生事故的概率。</w:t>
      </w:r>
    </w:p>
    <w:p w14:paraId="75A38971">
      <w:pPr>
        <w:pStyle w:val="4"/>
        <w:rPr>
          <w:color w:val="auto"/>
          <w:highlight w:val="none"/>
          <w:u w:val="none"/>
        </w:rPr>
      </w:pPr>
      <w:bookmarkStart w:id="669" w:name="_Toc148374838"/>
      <w:bookmarkStart w:id="670" w:name="_Toc148374695"/>
      <w:bookmarkStart w:id="671" w:name="_Toc535482069"/>
      <w:bookmarkStart w:id="672" w:name="_Toc148375137"/>
      <w:bookmarkStart w:id="673" w:name="_Toc19075"/>
      <w:bookmarkStart w:id="674" w:name="_Toc1098"/>
      <w:bookmarkStart w:id="675" w:name="_Toc23630"/>
      <w:r>
        <w:rPr>
          <w:color w:val="auto"/>
          <w:highlight w:val="none"/>
          <w:u w:val="none"/>
        </w:rPr>
        <w:t>环境风险事故应急预案</w:t>
      </w:r>
      <w:bookmarkEnd w:id="669"/>
      <w:bookmarkEnd w:id="670"/>
      <w:bookmarkEnd w:id="671"/>
      <w:bookmarkEnd w:id="672"/>
      <w:bookmarkEnd w:id="673"/>
      <w:bookmarkEnd w:id="674"/>
      <w:bookmarkEnd w:id="675"/>
    </w:p>
    <w:p w14:paraId="2D29BD21">
      <w:pPr>
        <w:pStyle w:val="6"/>
        <w:spacing w:before="156" w:after="156"/>
        <w:rPr>
          <w:color w:val="auto"/>
          <w:highlight w:val="none"/>
          <w:u w:val="none"/>
        </w:rPr>
      </w:pPr>
      <w:bookmarkStart w:id="676" w:name="_Toc148374696"/>
      <w:bookmarkStart w:id="677" w:name="_Toc148375138"/>
      <w:r>
        <w:rPr>
          <w:color w:val="auto"/>
          <w:highlight w:val="none"/>
          <w:u w:val="none"/>
        </w:rPr>
        <w:t>现有应急预案编制情况</w:t>
      </w:r>
      <w:bookmarkEnd w:id="676"/>
      <w:bookmarkEnd w:id="677"/>
    </w:p>
    <w:p w14:paraId="31EA6B64">
      <w:pPr>
        <w:rPr>
          <w:rFonts w:hint="eastAsia"/>
          <w:color w:val="auto"/>
          <w:highlight w:val="none"/>
          <w:u w:val="none"/>
        </w:rPr>
      </w:pPr>
      <w:r>
        <w:rPr>
          <w:color w:val="auto"/>
          <w:highlight w:val="none"/>
          <w:u w:val="none"/>
        </w:rPr>
        <w:t>建设单位针对现有工程可能发生的突发环境风险状况，目前已经按照《建设项目环境风险评价技术导则》、《国家突发环境事件应急预案》、《企业事业单位突发环境应急预案备案管理办法（试行）》（环发〔2015〕4号）、福建省人民政府“关于印发福建省突发环境事件应急预案的通知”（闽政办〔2015〕102号）等文件中规定的“环境风险事故应急预案编制原则”要求，编制了《万华化学（福建）有限公司突发环境事件应急预案》</w:t>
      </w:r>
      <w:r>
        <w:rPr>
          <w:rFonts w:hint="eastAsia"/>
          <w:color w:val="auto"/>
          <w:highlight w:val="none"/>
          <w:u w:val="none"/>
        </w:rPr>
        <w:t>并</w:t>
      </w:r>
      <w:r>
        <w:rPr>
          <w:color w:val="auto"/>
          <w:highlight w:val="none"/>
          <w:u w:val="none"/>
        </w:rPr>
        <w:t>备案。建设单位应结合本次</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color w:val="auto"/>
          <w:highlight w:val="none"/>
          <w:u w:val="none"/>
        </w:rPr>
        <w:t>新增的化工装置、储罐以及涉及的危险化学品等，按照福建省环保厅转发环保部关于印发《企业事业单位突发环境事件应急预案备案管理办法（试行）》（闽环保应急〔2015〕2号）的通知，对应急预案进行修编，并报福州市生态环境局再次备案。</w:t>
      </w:r>
    </w:p>
    <w:p w14:paraId="5EAB9899">
      <w:pPr>
        <w:rPr>
          <w:rFonts w:hint="eastAsia"/>
          <w:color w:val="auto"/>
          <w:highlight w:val="none"/>
          <w:u w:val="none"/>
        </w:rPr>
      </w:pPr>
      <w:r>
        <w:rPr>
          <w:color w:val="auto"/>
          <w:highlight w:val="none"/>
          <w:u w:val="none"/>
        </w:rPr>
        <w:t>本评价主要是提出本项目《环境风险事故应急预案》的编制原则和总体要求、主要管理内容和应急措施等，指导环境风险应急预案编制，本评价与应急预案有冲突部分应以应急预案为准。</w:t>
      </w:r>
    </w:p>
    <w:p w14:paraId="6779D2DB">
      <w:pPr>
        <w:pStyle w:val="6"/>
        <w:spacing w:before="156" w:after="156"/>
        <w:rPr>
          <w:color w:val="auto"/>
          <w:highlight w:val="none"/>
          <w:u w:val="none"/>
        </w:rPr>
      </w:pPr>
      <w:bookmarkStart w:id="678" w:name="_Toc148374697"/>
      <w:bookmarkStart w:id="679" w:name="_Toc148375139"/>
      <w:r>
        <w:rPr>
          <w:color w:val="auto"/>
          <w:highlight w:val="none"/>
          <w:u w:val="none"/>
        </w:rPr>
        <w:t>应急预案框架内容</w:t>
      </w:r>
      <w:bookmarkEnd w:id="678"/>
      <w:bookmarkEnd w:id="679"/>
    </w:p>
    <w:p w14:paraId="6A565C38">
      <w:pPr>
        <w:rPr>
          <w:rFonts w:hint="eastAsia"/>
          <w:color w:val="auto"/>
          <w:highlight w:val="none"/>
          <w:u w:val="none"/>
        </w:rPr>
      </w:pPr>
      <w:r>
        <w:rPr>
          <w:rFonts w:hint="eastAsia"/>
          <w:color w:val="auto"/>
          <w:highlight w:val="none"/>
          <w:u w:val="none"/>
          <w:lang w:val="en-US"/>
        </w:rPr>
        <w:t>本次技改扩能</w:t>
      </w:r>
      <w:r>
        <w:rPr>
          <w:color w:val="auto"/>
          <w:highlight w:val="none"/>
          <w:u w:val="none"/>
        </w:rPr>
        <w:t>项目是属于大型化工项目，潜在诸多的事故隐患因素，如果安全措施水平不高，一旦发生事故，需要采取工程应急预案，控制和减少事故危害。根据《建设项目环境风险评价技术导则》(HJ169-2018)的要求，环境风险应急预案应包括内容见</w:t>
      </w:r>
      <w:r>
        <w:rPr>
          <w:color w:val="auto"/>
          <w:highlight w:val="none"/>
          <w:u w:val="none"/>
        </w:rPr>
        <w:fldChar w:fldCharType="begin"/>
      </w:r>
      <w:r>
        <w:rPr>
          <w:color w:val="auto"/>
          <w:highlight w:val="none"/>
          <w:u w:val="none"/>
        </w:rPr>
        <w:instrText xml:space="preserve"> REF _Ref149251458 \h  \* MERGEFORMAT </w:instrText>
      </w:r>
      <w:r>
        <w:rPr>
          <w:color w:val="auto"/>
          <w:highlight w:val="none"/>
          <w:u w:val="none"/>
        </w:rPr>
        <w:fldChar w:fldCharType="separate"/>
      </w:r>
      <w:r>
        <w:rPr>
          <w:color w:val="auto"/>
          <w:highlight w:val="none"/>
          <w:u w:val="none"/>
        </w:rPr>
        <w:t>表 9.12</w:t>
      </w:r>
      <w:r>
        <w:rPr>
          <w:color w:val="auto"/>
          <w:highlight w:val="none"/>
          <w:u w:val="none"/>
        </w:rPr>
        <w:noBreakHyphen/>
      </w:r>
      <w:r>
        <w:rPr>
          <w:color w:val="auto"/>
          <w:highlight w:val="none"/>
          <w:u w:val="none"/>
        </w:rPr>
        <w:t>1</w:t>
      </w:r>
      <w:r>
        <w:rPr>
          <w:color w:val="auto"/>
          <w:highlight w:val="none"/>
          <w:u w:val="none"/>
        </w:rPr>
        <w:fldChar w:fldCharType="end"/>
      </w:r>
      <w:r>
        <w:rPr>
          <w:color w:val="auto"/>
          <w:highlight w:val="none"/>
          <w:u w:val="none"/>
        </w:rPr>
        <w:t>。</w:t>
      </w:r>
    </w:p>
    <w:p w14:paraId="7D515C0D">
      <w:pPr>
        <w:pStyle w:val="85"/>
        <w:rPr>
          <w:color w:val="auto"/>
          <w:highlight w:val="none"/>
          <w:u w:val="none"/>
        </w:rPr>
      </w:pPr>
      <w:bookmarkStart w:id="680" w:name="_Ref149251458"/>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680"/>
      <w:r>
        <w:rPr>
          <w:color w:val="auto"/>
          <w:highlight w:val="none"/>
          <w:u w:val="none"/>
        </w:rPr>
        <w:t xml:space="preserve">  应急预案框架</w:t>
      </w:r>
    </w:p>
    <w:tbl>
      <w:tblPr>
        <w:tblStyle w:val="5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46"/>
        <w:gridCol w:w="2874"/>
        <w:gridCol w:w="5666"/>
      </w:tblGrid>
      <w:tr w14:paraId="1F3CF7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712600B5">
            <w:pPr>
              <w:pStyle w:val="92"/>
              <w:rPr>
                <w:color w:val="auto"/>
                <w:highlight w:val="none"/>
                <w:u w:val="none"/>
              </w:rPr>
            </w:pPr>
            <w:r>
              <w:rPr>
                <w:color w:val="auto"/>
                <w:highlight w:val="none"/>
                <w:u w:val="none"/>
              </w:rPr>
              <w:t>序号</w:t>
            </w:r>
          </w:p>
        </w:tc>
        <w:tc>
          <w:tcPr>
            <w:tcW w:w="1547" w:type="pct"/>
            <w:vAlign w:val="center"/>
          </w:tcPr>
          <w:p w14:paraId="77E074B6">
            <w:pPr>
              <w:pStyle w:val="92"/>
              <w:rPr>
                <w:color w:val="auto"/>
                <w:highlight w:val="none"/>
                <w:u w:val="none"/>
              </w:rPr>
            </w:pPr>
            <w:r>
              <w:rPr>
                <w:color w:val="auto"/>
                <w:highlight w:val="none"/>
                <w:u w:val="none"/>
              </w:rPr>
              <w:t>项目</w:t>
            </w:r>
          </w:p>
        </w:tc>
        <w:tc>
          <w:tcPr>
            <w:tcW w:w="3050" w:type="pct"/>
            <w:vAlign w:val="center"/>
          </w:tcPr>
          <w:p w14:paraId="5A4243BB">
            <w:pPr>
              <w:pStyle w:val="92"/>
              <w:rPr>
                <w:color w:val="auto"/>
                <w:highlight w:val="none"/>
                <w:u w:val="none"/>
              </w:rPr>
            </w:pPr>
            <w:r>
              <w:rPr>
                <w:color w:val="auto"/>
                <w:highlight w:val="none"/>
                <w:u w:val="none"/>
              </w:rPr>
              <w:t>内容及要求</w:t>
            </w:r>
          </w:p>
        </w:tc>
      </w:tr>
      <w:tr w14:paraId="25DFBD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69F43586">
            <w:pPr>
              <w:pStyle w:val="92"/>
              <w:rPr>
                <w:color w:val="auto"/>
                <w:highlight w:val="none"/>
                <w:u w:val="none"/>
              </w:rPr>
            </w:pPr>
            <w:r>
              <w:rPr>
                <w:color w:val="auto"/>
                <w:highlight w:val="none"/>
                <w:u w:val="none"/>
              </w:rPr>
              <w:t>1</w:t>
            </w:r>
          </w:p>
        </w:tc>
        <w:tc>
          <w:tcPr>
            <w:tcW w:w="1547" w:type="pct"/>
            <w:vAlign w:val="center"/>
          </w:tcPr>
          <w:p w14:paraId="29CAF71C">
            <w:pPr>
              <w:pStyle w:val="92"/>
              <w:rPr>
                <w:color w:val="auto"/>
                <w:highlight w:val="none"/>
                <w:u w:val="none"/>
              </w:rPr>
            </w:pPr>
            <w:r>
              <w:rPr>
                <w:color w:val="auto"/>
                <w:highlight w:val="none"/>
                <w:u w:val="none"/>
              </w:rPr>
              <w:t>应急计划区</w:t>
            </w:r>
          </w:p>
        </w:tc>
        <w:tc>
          <w:tcPr>
            <w:tcW w:w="3050" w:type="pct"/>
            <w:vAlign w:val="center"/>
          </w:tcPr>
          <w:p w14:paraId="0709847E">
            <w:pPr>
              <w:pStyle w:val="92"/>
              <w:rPr>
                <w:color w:val="auto"/>
                <w:highlight w:val="none"/>
                <w:u w:val="none"/>
              </w:rPr>
            </w:pPr>
            <w:r>
              <w:rPr>
                <w:color w:val="auto"/>
                <w:highlight w:val="none"/>
                <w:u w:val="none"/>
              </w:rPr>
              <w:t>危险目标：整个厂区、环境保护目标</w:t>
            </w:r>
          </w:p>
        </w:tc>
      </w:tr>
      <w:tr w14:paraId="63FE38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1D8EA95A">
            <w:pPr>
              <w:pStyle w:val="92"/>
              <w:rPr>
                <w:color w:val="auto"/>
                <w:highlight w:val="none"/>
                <w:u w:val="none"/>
              </w:rPr>
            </w:pPr>
            <w:r>
              <w:rPr>
                <w:color w:val="auto"/>
                <w:highlight w:val="none"/>
                <w:u w:val="none"/>
              </w:rPr>
              <w:t>2</w:t>
            </w:r>
          </w:p>
        </w:tc>
        <w:tc>
          <w:tcPr>
            <w:tcW w:w="1547" w:type="pct"/>
            <w:vAlign w:val="center"/>
          </w:tcPr>
          <w:p w14:paraId="25F4D881">
            <w:pPr>
              <w:pStyle w:val="92"/>
              <w:rPr>
                <w:color w:val="auto"/>
                <w:highlight w:val="none"/>
                <w:u w:val="none"/>
              </w:rPr>
            </w:pPr>
            <w:r>
              <w:rPr>
                <w:color w:val="auto"/>
                <w:highlight w:val="none"/>
                <w:u w:val="none"/>
              </w:rPr>
              <w:t>应急组织机构、人员</w:t>
            </w:r>
          </w:p>
        </w:tc>
        <w:tc>
          <w:tcPr>
            <w:tcW w:w="3050" w:type="pct"/>
            <w:vAlign w:val="center"/>
          </w:tcPr>
          <w:p w14:paraId="7C794A68">
            <w:pPr>
              <w:pStyle w:val="92"/>
              <w:rPr>
                <w:color w:val="auto"/>
                <w:highlight w:val="none"/>
                <w:u w:val="none"/>
              </w:rPr>
            </w:pPr>
            <w:r>
              <w:rPr>
                <w:color w:val="auto"/>
                <w:highlight w:val="none"/>
                <w:u w:val="none"/>
              </w:rPr>
              <w:t>工厂、地区应急组织机构、人员</w:t>
            </w:r>
          </w:p>
        </w:tc>
      </w:tr>
      <w:tr w14:paraId="2E088C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04B1CA4B">
            <w:pPr>
              <w:pStyle w:val="92"/>
              <w:rPr>
                <w:color w:val="auto"/>
                <w:highlight w:val="none"/>
                <w:u w:val="none"/>
              </w:rPr>
            </w:pPr>
            <w:r>
              <w:rPr>
                <w:color w:val="auto"/>
                <w:highlight w:val="none"/>
                <w:u w:val="none"/>
              </w:rPr>
              <w:t>3</w:t>
            </w:r>
          </w:p>
        </w:tc>
        <w:tc>
          <w:tcPr>
            <w:tcW w:w="1547" w:type="pct"/>
            <w:vAlign w:val="center"/>
          </w:tcPr>
          <w:p w14:paraId="2E146742">
            <w:pPr>
              <w:pStyle w:val="92"/>
              <w:rPr>
                <w:color w:val="auto"/>
                <w:highlight w:val="none"/>
                <w:u w:val="none"/>
              </w:rPr>
            </w:pPr>
            <w:r>
              <w:rPr>
                <w:color w:val="auto"/>
                <w:highlight w:val="none"/>
                <w:u w:val="none"/>
              </w:rPr>
              <w:t>预案分级响应条件</w:t>
            </w:r>
          </w:p>
        </w:tc>
        <w:tc>
          <w:tcPr>
            <w:tcW w:w="3050" w:type="pct"/>
            <w:vAlign w:val="center"/>
          </w:tcPr>
          <w:p w14:paraId="23897CB2">
            <w:pPr>
              <w:pStyle w:val="92"/>
              <w:rPr>
                <w:color w:val="auto"/>
                <w:highlight w:val="none"/>
                <w:u w:val="none"/>
              </w:rPr>
            </w:pPr>
            <w:r>
              <w:rPr>
                <w:color w:val="auto"/>
                <w:highlight w:val="none"/>
                <w:u w:val="none"/>
              </w:rPr>
              <w:t>规定预案的级别及分级响应程序</w:t>
            </w:r>
          </w:p>
        </w:tc>
      </w:tr>
      <w:tr w14:paraId="174C74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066C236F">
            <w:pPr>
              <w:pStyle w:val="92"/>
              <w:rPr>
                <w:color w:val="auto"/>
                <w:highlight w:val="none"/>
                <w:u w:val="none"/>
              </w:rPr>
            </w:pPr>
            <w:r>
              <w:rPr>
                <w:color w:val="auto"/>
                <w:highlight w:val="none"/>
                <w:u w:val="none"/>
              </w:rPr>
              <w:t>4</w:t>
            </w:r>
          </w:p>
        </w:tc>
        <w:tc>
          <w:tcPr>
            <w:tcW w:w="1547" w:type="pct"/>
            <w:vAlign w:val="center"/>
          </w:tcPr>
          <w:p w14:paraId="4EB7D280">
            <w:pPr>
              <w:pStyle w:val="92"/>
              <w:rPr>
                <w:color w:val="auto"/>
                <w:highlight w:val="none"/>
                <w:u w:val="none"/>
              </w:rPr>
            </w:pPr>
            <w:r>
              <w:rPr>
                <w:color w:val="auto"/>
                <w:highlight w:val="none"/>
                <w:u w:val="none"/>
              </w:rPr>
              <w:t>应急救援保障</w:t>
            </w:r>
          </w:p>
        </w:tc>
        <w:tc>
          <w:tcPr>
            <w:tcW w:w="3050" w:type="pct"/>
            <w:vAlign w:val="center"/>
          </w:tcPr>
          <w:p w14:paraId="6EA73680">
            <w:pPr>
              <w:pStyle w:val="92"/>
              <w:rPr>
                <w:color w:val="auto"/>
                <w:highlight w:val="none"/>
                <w:u w:val="none"/>
              </w:rPr>
            </w:pPr>
            <w:r>
              <w:rPr>
                <w:color w:val="auto"/>
                <w:highlight w:val="none"/>
                <w:u w:val="none"/>
              </w:rPr>
              <w:t>应急设施，设备与器材等</w:t>
            </w:r>
          </w:p>
        </w:tc>
      </w:tr>
      <w:tr w14:paraId="337C85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4E8DE534">
            <w:pPr>
              <w:pStyle w:val="92"/>
              <w:rPr>
                <w:color w:val="auto"/>
                <w:highlight w:val="none"/>
                <w:u w:val="none"/>
              </w:rPr>
            </w:pPr>
            <w:r>
              <w:rPr>
                <w:color w:val="auto"/>
                <w:highlight w:val="none"/>
                <w:u w:val="none"/>
              </w:rPr>
              <w:t>5</w:t>
            </w:r>
          </w:p>
        </w:tc>
        <w:tc>
          <w:tcPr>
            <w:tcW w:w="1547" w:type="pct"/>
            <w:vAlign w:val="center"/>
          </w:tcPr>
          <w:p w14:paraId="42951FA8">
            <w:pPr>
              <w:pStyle w:val="92"/>
              <w:rPr>
                <w:color w:val="auto"/>
                <w:highlight w:val="none"/>
                <w:u w:val="none"/>
              </w:rPr>
            </w:pPr>
            <w:r>
              <w:rPr>
                <w:color w:val="auto"/>
                <w:highlight w:val="none"/>
                <w:u w:val="none"/>
              </w:rPr>
              <w:t>报警、通讯联络方式</w:t>
            </w:r>
          </w:p>
        </w:tc>
        <w:tc>
          <w:tcPr>
            <w:tcW w:w="3050" w:type="pct"/>
            <w:vAlign w:val="center"/>
          </w:tcPr>
          <w:p w14:paraId="5EC2B30B">
            <w:pPr>
              <w:pStyle w:val="92"/>
              <w:rPr>
                <w:color w:val="auto"/>
                <w:highlight w:val="none"/>
                <w:u w:val="none"/>
              </w:rPr>
            </w:pPr>
            <w:r>
              <w:rPr>
                <w:color w:val="auto"/>
                <w:highlight w:val="none"/>
                <w:u w:val="none"/>
              </w:rPr>
              <w:t>规定应急状态下的报警通讯方式、通知方式和交通保障、管制。</w:t>
            </w:r>
          </w:p>
        </w:tc>
      </w:tr>
      <w:tr w14:paraId="0E0E7E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19A89D61">
            <w:pPr>
              <w:pStyle w:val="92"/>
              <w:rPr>
                <w:color w:val="auto"/>
                <w:highlight w:val="none"/>
                <w:u w:val="none"/>
              </w:rPr>
            </w:pPr>
            <w:r>
              <w:rPr>
                <w:color w:val="auto"/>
                <w:highlight w:val="none"/>
                <w:u w:val="none"/>
              </w:rPr>
              <w:t>6</w:t>
            </w:r>
          </w:p>
        </w:tc>
        <w:tc>
          <w:tcPr>
            <w:tcW w:w="1547" w:type="pct"/>
            <w:vAlign w:val="center"/>
          </w:tcPr>
          <w:p w14:paraId="23B103D9">
            <w:pPr>
              <w:pStyle w:val="92"/>
              <w:rPr>
                <w:color w:val="auto"/>
                <w:highlight w:val="none"/>
                <w:u w:val="none"/>
              </w:rPr>
            </w:pPr>
            <w:r>
              <w:rPr>
                <w:color w:val="auto"/>
                <w:highlight w:val="none"/>
                <w:u w:val="none"/>
              </w:rPr>
              <w:t>应急环境监测、抢险、救援及控制措施</w:t>
            </w:r>
          </w:p>
        </w:tc>
        <w:tc>
          <w:tcPr>
            <w:tcW w:w="3050" w:type="pct"/>
            <w:vAlign w:val="center"/>
          </w:tcPr>
          <w:p w14:paraId="5C6AC3C2">
            <w:pPr>
              <w:pStyle w:val="92"/>
              <w:rPr>
                <w:color w:val="auto"/>
                <w:highlight w:val="none"/>
                <w:u w:val="none"/>
              </w:rPr>
            </w:pPr>
            <w:r>
              <w:rPr>
                <w:color w:val="auto"/>
                <w:highlight w:val="none"/>
                <w:u w:val="none"/>
              </w:rPr>
              <w:t>由专业队伍负责对事故现场进行侦察监测，对事故性质、参数与后果进行评估，为指挥部门提供决策依据。</w:t>
            </w:r>
          </w:p>
        </w:tc>
      </w:tr>
      <w:tr w14:paraId="52491E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02" w:type="pct"/>
            <w:vAlign w:val="center"/>
          </w:tcPr>
          <w:p w14:paraId="7509EA37">
            <w:pPr>
              <w:pStyle w:val="92"/>
              <w:rPr>
                <w:color w:val="auto"/>
                <w:highlight w:val="none"/>
                <w:u w:val="none"/>
              </w:rPr>
            </w:pPr>
            <w:r>
              <w:rPr>
                <w:color w:val="auto"/>
                <w:highlight w:val="none"/>
                <w:u w:val="none"/>
              </w:rPr>
              <w:t>7</w:t>
            </w:r>
          </w:p>
        </w:tc>
        <w:tc>
          <w:tcPr>
            <w:tcW w:w="1547" w:type="pct"/>
            <w:vAlign w:val="center"/>
          </w:tcPr>
          <w:p w14:paraId="30DE9ECA">
            <w:pPr>
              <w:pStyle w:val="92"/>
              <w:rPr>
                <w:color w:val="auto"/>
                <w:highlight w:val="none"/>
                <w:u w:val="none"/>
              </w:rPr>
            </w:pPr>
            <w:r>
              <w:rPr>
                <w:color w:val="auto"/>
                <w:highlight w:val="none"/>
                <w:u w:val="none"/>
              </w:rPr>
              <w:t>应急检测、防护措施、清除泄漏措施和器材</w:t>
            </w:r>
          </w:p>
        </w:tc>
        <w:tc>
          <w:tcPr>
            <w:tcW w:w="3050" w:type="pct"/>
            <w:vAlign w:val="center"/>
          </w:tcPr>
          <w:p w14:paraId="074F2263">
            <w:pPr>
              <w:pStyle w:val="92"/>
              <w:rPr>
                <w:color w:val="auto"/>
                <w:highlight w:val="none"/>
                <w:u w:val="none"/>
              </w:rPr>
            </w:pPr>
            <w:r>
              <w:rPr>
                <w:color w:val="auto"/>
                <w:highlight w:val="none"/>
                <w:u w:val="none"/>
              </w:rPr>
              <w:t>事故现场、邻近区域、控制防火区域，控制和清除污染措施及相应设备。</w:t>
            </w:r>
          </w:p>
        </w:tc>
      </w:tr>
      <w:tr w14:paraId="5993B7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4E63D8CD">
            <w:pPr>
              <w:pStyle w:val="92"/>
              <w:rPr>
                <w:color w:val="auto"/>
                <w:highlight w:val="none"/>
                <w:u w:val="none"/>
              </w:rPr>
            </w:pPr>
            <w:r>
              <w:rPr>
                <w:color w:val="auto"/>
                <w:highlight w:val="none"/>
                <w:u w:val="none"/>
              </w:rPr>
              <w:t>8</w:t>
            </w:r>
          </w:p>
        </w:tc>
        <w:tc>
          <w:tcPr>
            <w:tcW w:w="1547" w:type="pct"/>
            <w:vAlign w:val="center"/>
          </w:tcPr>
          <w:p w14:paraId="436F6C1F">
            <w:pPr>
              <w:pStyle w:val="92"/>
              <w:rPr>
                <w:color w:val="auto"/>
                <w:highlight w:val="none"/>
                <w:u w:val="none"/>
              </w:rPr>
            </w:pPr>
            <w:r>
              <w:rPr>
                <w:color w:val="auto"/>
                <w:highlight w:val="none"/>
                <w:u w:val="none"/>
              </w:rPr>
              <w:t>人员紧急撤离、疏散，应急剂量控制、撤离组织计划</w:t>
            </w:r>
          </w:p>
        </w:tc>
        <w:tc>
          <w:tcPr>
            <w:tcW w:w="3050" w:type="pct"/>
            <w:vAlign w:val="center"/>
          </w:tcPr>
          <w:p w14:paraId="73DCA83D">
            <w:pPr>
              <w:pStyle w:val="92"/>
              <w:rPr>
                <w:color w:val="auto"/>
                <w:highlight w:val="none"/>
                <w:u w:val="none"/>
              </w:rPr>
            </w:pPr>
            <w:r>
              <w:rPr>
                <w:color w:val="auto"/>
                <w:highlight w:val="none"/>
                <w:u w:val="none"/>
              </w:rPr>
              <w:t>事故现场、工厂邻近区、受事故影响的区域人员及公众对毒物应急剂量控制规定，撤离组织计划及救护，医疗救护与公众健康。</w:t>
            </w:r>
          </w:p>
        </w:tc>
      </w:tr>
      <w:tr w14:paraId="77D545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43FD4B86">
            <w:pPr>
              <w:pStyle w:val="92"/>
              <w:rPr>
                <w:color w:val="auto"/>
                <w:highlight w:val="none"/>
                <w:u w:val="none"/>
              </w:rPr>
            </w:pPr>
            <w:r>
              <w:rPr>
                <w:color w:val="auto"/>
                <w:highlight w:val="none"/>
                <w:u w:val="none"/>
              </w:rPr>
              <w:t>9</w:t>
            </w:r>
          </w:p>
        </w:tc>
        <w:tc>
          <w:tcPr>
            <w:tcW w:w="1547" w:type="pct"/>
            <w:vAlign w:val="center"/>
          </w:tcPr>
          <w:p w14:paraId="77E1DF8E">
            <w:pPr>
              <w:pStyle w:val="92"/>
              <w:rPr>
                <w:color w:val="auto"/>
                <w:highlight w:val="none"/>
                <w:u w:val="none"/>
              </w:rPr>
            </w:pPr>
            <w:r>
              <w:rPr>
                <w:color w:val="auto"/>
                <w:highlight w:val="none"/>
                <w:u w:val="none"/>
              </w:rPr>
              <w:t>事故应急救援关闭程序与恢复措施</w:t>
            </w:r>
          </w:p>
        </w:tc>
        <w:tc>
          <w:tcPr>
            <w:tcW w:w="3050" w:type="pct"/>
            <w:vAlign w:val="center"/>
          </w:tcPr>
          <w:p w14:paraId="566B135A">
            <w:pPr>
              <w:pStyle w:val="92"/>
              <w:rPr>
                <w:color w:val="auto"/>
                <w:highlight w:val="none"/>
                <w:u w:val="none"/>
              </w:rPr>
            </w:pPr>
            <w:r>
              <w:rPr>
                <w:color w:val="auto"/>
                <w:highlight w:val="none"/>
                <w:u w:val="none"/>
              </w:rPr>
              <w:t>规定应急状态终止程序；事故现场善后处理，恢复措施；邻近区域解除事故警戒及善后恢复措施。</w:t>
            </w:r>
          </w:p>
        </w:tc>
      </w:tr>
      <w:tr w14:paraId="2B4214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3FA334CE">
            <w:pPr>
              <w:pStyle w:val="92"/>
              <w:rPr>
                <w:color w:val="auto"/>
                <w:highlight w:val="none"/>
                <w:u w:val="none"/>
              </w:rPr>
            </w:pPr>
            <w:r>
              <w:rPr>
                <w:color w:val="auto"/>
                <w:highlight w:val="none"/>
                <w:u w:val="none"/>
              </w:rPr>
              <w:t>10</w:t>
            </w:r>
          </w:p>
        </w:tc>
        <w:tc>
          <w:tcPr>
            <w:tcW w:w="1547" w:type="pct"/>
            <w:vAlign w:val="center"/>
          </w:tcPr>
          <w:p w14:paraId="65BF352A">
            <w:pPr>
              <w:pStyle w:val="92"/>
              <w:rPr>
                <w:color w:val="auto"/>
                <w:highlight w:val="none"/>
                <w:u w:val="none"/>
              </w:rPr>
            </w:pPr>
            <w:r>
              <w:rPr>
                <w:color w:val="auto"/>
                <w:highlight w:val="none"/>
                <w:u w:val="none"/>
              </w:rPr>
              <w:t>应急培训计划</w:t>
            </w:r>
          </w:p>
        </w:tc>
        <w:tc>
          <w:tcPr>
            <w:tcW w:w="3050" w:type="pct"/>
            <w:vAlign w:val="center"/>
          </w:tcPr>
          <w:p w14:paraId="045349D4">
            <w:pPr>
              <w:pStyle w:val="92"/>
              <w:rPr>
                <w:color w:val="auto"/>
                <w:highlight w:val="none"/>
                <w:u w:val="none"/>
              </w:rPr>
            </w:pPr>
            <w:r>
              <w:rPr>
                <w:color w:val="auto"/>
                <w:highlight w:val="none"/>
                <w:u w:val="none"/>
              </w:rPr>
              <w:t>应急计划制定后，平时安排人员培训与演练</w:t>
            </w:r>
          </w:p>
        </w:tc>
      </w:tr>
      <w:tr w14:paraId="47D6C7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2" w:type="pct"/>
            <w:vAlign w:val="center"/>
          </w:tcPr>
          <w:p w14:paraId="6D82822A">
            <w:pPr>
              <w:pStyle w:val="92"/>
              <w:rPr>
                <w:color w:val="auto"/>
                <w:highlight w:val="none"/>
                <w:u w:val="none"/>
              </w:rPr>
            </w:pPr>
            <w:r>
              <w:rPr>
                <w:color w:val="auto"/>
                <w:highlight w:val="none"/>
                <w:u w:val="none"/>
              </w:rPr>
              <w:t>11</w:t>
            </w:r>
          </w:p>
        </w:tc>
        <w:tc>
          <w:tcPr>
            <w:tcW w:w="1547" w:type="pct"/>
            <w:vAlign w:val="center"/>
          </w:tcPr>
          <w:p w14:paraId="13AE6DAD">
            <w:pPr>
              <w:pStyle w:val="92"/>
              <w:rPr>
                <w:color w:val="auto"/>
                <w:highlight w:val="none"/>
                <w:u w:val="none"/>
              </w:rPr>
            </w:pPr>
            <w:r>
              <w:rPr>
                <w:color w:val="auto"/>
                <w:highlight w:val="none"/>
                <w:u w:val="none"/>
              </w:rPr>
              <w:t>公众教育和信息</w:t>
            </w:r>
          </w:p>
        </w:tc>
        <w:tc>
          <w:tcPr>
            <w:tcW w:w="3050" w:type="pct"/>
            <w:vAlign w:val="center"/>
          </w:tcPr>
          <w:p w14:paraId="7FF76788">
            <w:pPr>
              <w:pStyle w:val="92"/>
              <w:rPr>
                <w:color w:val="auto"/>
                <w:highlight w:val="none"/>
                <w:u w:val="none"/>
              </w:rPr>
            </w:pPr>
            <w:r>
              <w:rPr>
                <w:color w:val="auto"/>
                <w:highlight w:val="none"/>
                <w:u w:val="none"/>
              </w:rPr>
              <w:t>对工厂邻近地区开展公众教育、培训和发布有关信息</w:t>
            </w:r>
          </w:p>
        </w:tc>
      </w:tr>
    </w:tbl>
    <w:p w14:paraId="6EC4FD21">
      <w:pPr>
        <w:pStyle w:val="6"/>
        <w:spacing w:before="156" w:after="156"/>
        <w:rPr>
          <w:color w:val="auto"/>
          <w:highlight w:val="none"/>
          <w:u w:val="none"/>
        </w:rPr>
      </w:pPr>
      <w:bookmarkStart w:id="681" w:name="_Toc148375140"/>
      <w:bookmarkStart w:id="682" w:name="_Toc148374698"/>
      <w:r>
        <w:rPr>
          <w:color w:val="auto"/>
          <w:highlight w:val="none"/>
          <w:u w:val="none"/>
        </w:rPr>
        <w:t>应急计划区</w:t>
      </w:r>
      <w:bookmarkEnd w:id="681"/>
      <w:bookmarkEnd w:id="682"/>
    </w:p>
    <w:p w14:paraId="16247DEB">
      <w:pPr>
        <w:rPr>
          <w:rFonts w:hint="eastAsia"/>
          <w:color w:val="auto"/>
          <w:highlight w:val="none"/>
          <w:u w:val="none"/>
        </w:rPr>
      </w:pPr>
      <w:r>
        <w:rPr>
          <w:rFonts w:hint="eastAsia"/>
          <w:color w:val="auto"/>
          <w:highlight w:val="none"/>
          <w:u w:val="none"/>
          <w:lang w:val="en-US"/>
        </w:rPr>
        <w:t>本</w:t>
      </w:r>
      <w:r>
        <w:rPr>
          <w:color w:val="auto"/>
          <w:highlight w:val="none"/>
          <w:u w:val="none"/>
        </w:rPr>
        <w:t>项目的应急计划区主要包括公司整个厂区及周边的企业、村庄，事故发生时根据严重程度，分级响应。在所有应急计划区中，厂区中的罐区、装置区为本项目主体应急计划区；项目相关配套环保设施的应急计划做为应急预案的响应内容；周边的村庄应急计划则可充分依托地区公共卫生安全应急预案，事故发生时根据严重程度，分级响应。</w:t>
      </w:r>
    </w:p>
    <w:p w14:paraId="6501F338">
      <w:pPr>
        <w:pStyle w:val="6"/>
        <w:spacing w:before="156" w:after="156"/>
        <w:rPr>
          <w:color w:val="auto"/>
          <w:highlight w:val="none"/>
          <w:u w:val="none"/>
        </w:rPr>
      </w:pPr>
      <w:bookmarkStart w:id="683" w:name="_Toc148374699"/>
      <w:bookmarkStart w:id="684" w:name="_Toc148375141"/>
      <w:r>
        <w:rPr>
          <w:color w:val="auto"/>
          <w:highlight w:val="none"/>
          <w:u w:val="none"/>
        </w:rPr>
        <w:t>应急组织机构、人员设置</w:t>
      </w:r>
      <w:bookmarkEnd w:id="683"/>
      <w:bookmarkEnd w:id="684"/>
    </w:p>
    <w:p w14:paraId="27E78F03">
      <w:pPr>
        <w:rPr>
          <w:rFonts w:hint="eastAsia"/>
          <w:color w:val="auto"/>
          <w:highlight w:val="none"/>
          <w:u w:val="none"/>
        </w:rPr>
      </w:pPr>
      <w:r>
        <w:rPr>
          <w:color w:val="auto"/>
          <w:highlight w:val="none"/>
          <w:u w:val="none"/>
        </w:rPr>
        <w:t>（1）机构、人员</w:t>
      </w:r>
    </w:p>
    <w:p w14:paraId="4A567879">
      <w:pPr>
        <w:rPr>
          <w:rFonts w:hint="eastAsia"/>
          <w:color w:val="auto"/>
          <w:highlight w:val="none"/>
          <w:u w:val="none"/>
        </w:rPr>
      </w:pPr>
      <w:r>
        <w:rPr>
          <w:color w:val="auto"/>
          <w:highlight w:val="none"/>
          <w:u w:val="none"/>
        </w:rPr>
        <w:t xml:space="preserve">拟建项目建有应急指挥小组和应急指挥中心，指挥官为总经理，由总经理、副总经理、以及生产、技术、工务、工安、行政管理等部门领导组成。 </w:t>
      </w:r>
    </w:p>
    <w:p w14:paraId="0615B2FF">
      <w:pPr>
        <w:rPr>
          <w:rFonts w:hint="eastAsia"/>
          <w:color w:val="auto"/>
          <w:highlight w:val="none"/>
          <w:u w:val="none"/>
        </w:rPr>
      </w:pPr>
      <w:r>
        <w:rPr>
          <w:color w:val="auto"/>
          <w:highlight w:val="none"/>
          <w:u w:val="none"/>
        </w:rPr>
        <w:t>拟建项目环境突发事故应急指挥领导小组及职责见</w:t>
      </w:r>
      <w:r>
        <w:rPr>
          <w:color w:val="auto"/>
          <w:highlight w:val="none"/>
          <w:u w:val="none"/>
        </w:rPr>
        <w:fldChar w:fldCharType="begin"/>
      </w:r>
      <w:r>
        <w:rPr>
          <w:color w:val="auto"/>
          <w:highlight w:val="none"/>
          <w:u w:val="none"/>
        </w:rPr>
        <w:instrText xml:space="preserve"> REF _Ref149251497 \h  \* MERGEFORMAT </w:instrText>
      </w:r>
      <w:r>
        <w:rPr>
          <w:color w:val="auto"/>
          <w:highlight w:val="none"/>
          <w:u w:val="none"/>
        </w:rPr>
        <w:fldChar w:fldCharType="separate"/>
      </w:r>
      <w:r>
        <w:rPr>
          <w:color w:val="auto"/>
          <w:highlight w:val="none"/>
          <w:u w:val="none"/>
        </w:rPr>
        <w:t>表 9.12</w:t>
      </w:r>
      <w:r>
        <w:rPr>
          <w:color w:val="auto"/>
          <w:highlight w:val="none"/>
          <w:u w:val="none"/>
        </w:rPr>
        <w:noBreakHyphen/>
      </w:r>
      <w:r>
        <w:rPr>
          <w:color w:val="auto"/>
          <w:highlight w:val="none"/>
          <w:u w:val="none"/>
        </w:rPr>
        <w:t>2</w:t>
      </w:r>
      <w:r>
        <w:rPr>
          <w:color w:val="auto"/>
          <w:highlight w:val="none"/>
          <w:u w:val="none"/>
        </w:rPr>
        <w:fldChar w:fldCharType="end"/>
      </w:r>
      <w:r>
        <w:rPr>
          <w:color w:val="auto"/>
          <w:highlight w:val="none"/>
          <w:u w:val="none"/>
        </w:rPr>
        <w:t>。</w:t>
      </w:r>
    </w:p>
    <w:p w14:paraId="5023161C">
      <w:pPr>
        <w:pStyle w:val="85"/>
        <w:rPr>
          <w:color w:val="auto"/>
          <w:highlight w:val="none"/>
          <w:u w:val="none"/>
        </w:rPr>
      </w:pPr>
      <w:bookmarkStart w:id="685" w:name="_Ref149251497"/>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2</w:t>
      </w:r>
      <w:r>
        <w:rPr>
          <w:color w:val="auto"/>
          <w:highlight w:val="none"/>
          <w:u w:val="none"/>
        </w:rPr>
        <w:fldChar w:fldCharType="end"/>
      </w:r>
      <w:bookmarkEnd w:id="685"/>
      <w:r>
        <w:rPr>
          <w:color w:val="auto"/>
          <w:highlight w:val="none"/>
          <w:u w:val="none"/>
        </w:rPr>
        <w:t xml:space="preserve">  应急救援领导小组组成及其职责一览</w:t>
      </w:r>
    </w:p>
    <w:p w14:paraId="3612FEE1">
      <w:pPr>
        <w:rPr>
          <w:rFonts w:hint="eastAsia"/>
          <w:color w:val="auto"/>
          <w:highlight w:val="none"/>
          <w:u w:val="none"/>
        </w:rPr>
      </w:pPr>
      <w:r>
        <w:rPr>
          <w:color w:val="auto"/>
          <w:highlight w:val="none"/>
          <w:u w:val="none"/>
        </w:rPr>
        <w:t>（2）职责和分工</w:t>
      </w:r>
    </w:p>
    <w:p w14:paraId="618258F3">
      <w:pPr>
        <w:rPr>
          <w:rFonts w:hint="eastAsia"/>
          <w:color w:val="auto"/>
          <w:highlight w:val="none"/>
          <w:u w:val="none"/>
        </w:rPr>
      </w:pPr>
      <w:r>
        <w:rPr>
          <w:color w:val="auto"/>
          <w:highlight w:val="none"/>
          <w:u w:val="none"/>
        </w:rPr>
        <w:t>A．指挥机构职责</w:t>
      </w:r>
    </w:p>
    <w:p w14:paraId="4EA05D3F">
      <w:pPr>
        <w:rPr>
          <w:rFonts w:hint="eastAsia"/>
          <w:color w:val="auto"/>
          <w:highlight w:val="none"/>
          <w:u w:val="none"/>
        </w:rPr>
      </w:pPr>
      <w:r>
        <w:rPr>
          <w:color w:val="auto"/>
          <w:highlight w:val="none"/>
          <w:u w:val="none"/>
        </w:rPr>
        <w:fldChar w:fldCharType="begin"/>
      </w:r>
      <w:r>
        <w:rPr>
          <w:color w:val="auto"/>
          <w:highlight w:val="none"/>
          <w:u w:val="none"/>
        </w:rPr>
        <w:instrText xml:space="preserve"> = 1 \* GB3 </w:instrText>
      </w:r>
      <w:r>
        <w:rPr>
          <w:color w:val="auto"/>
          <w:highlight w:val="none"/>
          <w:u w:val="none"/>
        </w:rPr>
        <w:fldChar w:fldCharType="separate"/>
      </w:r>
      <w:r>
        <w:rPr>
          <w:color w:val="auto"/>
          <w:highlight w:val="none"/>
          <w:u w:val="none"/>
        </w:rPr>
        <w:t>①</w:t>
      </w:r>
      <w:r>
        <w:rPr>
          <w:color w:val="auto"/>
          <w:highlight w:val="none"/>
          <w:u w:val="none"/>
        </w:rPr>
        <w:fldChar w:fldCharType="end"/>
      </w:r>
      <w:r>
        <w:rPr>
          <w:color w:val="auto"/>
          <w:highlight w:val="none"/>
          <w:u w:val="none"/>
        </w:rPr>
        <w:t>负责本“预案”的制定、修订；组建应急救援专业队伍，组织实施和演练；检查督促做好重大事故的预防措施和应急救援的各项准备工作。</w:t>
      </w:r>
    </w:p>
    <w:p w14:paraId="494CC4BA">
      <w:pPr>
        <w:rPr>
          <w:rFonts w:hint="eastAsia"/>
          <w:color w:val="auto"/>
          <w:highlight w:val="none"/>
          <w:u w:val="none"/>
        </w:rPr>
      </w:pPr>
      <w:r>
        <w:rPr>
          <w:color w:val="auto"/>
          <w:highlight w:val="none"/>
          <w:u w:val="none"/>
        </w:rPr>
        <w:fldChar w:fldCharType="begin"/>
      </w:r>
      <w:r>
        <w:rPr>
          <w:color w:val="auto"/>
          <w:highlight w:val="none"/>
          <w:u w:val="none"/>
        </w:rPr>
        <w:instrText xml:space="preserve"> = 2 \* GB3 </w:instrText>
      </w:r>
      <w:r>
        <w:rPr>
          <w:color w:val="auto"/>
          <w:highlight w:val="none"/>
          <w:u w:val="none"/>
        </w:rPr>
        <w:fldChar w:fldCharType="separate"/>
      </w:r>
      <w:r>
        <w:rPr>
          <w:color w:val="auto"/>
          <w:highlight w:val="none"/>
          <w:u w:val="none"/>
        </w:rPr>
        <w:t>②</w:t>
      </w:r>
      <w:r>
        <w:rPr>
          <w:color w:val="auto"/>
          <w:highlight w:val="none"/>
          <w:u w:val="none"/>
        </w:rPr>
        <w:fldChar w:fldCharType="end"/>
      </w:r>
      <w:r>
        <w:rPr>
          <w:color w:val="auto"/>
          <w:highlight w:val="none"/>
          <w:u w:val="none"/>
        </w:rPr>
        <w:t>发生重大事故时，由指挥部发布和解除应急救援命令、信号；组建应急救援专家组，组织指挥救援队伍实施救援行动；</w:t>
      </w:r>
    </w:p>
    <w:p w14:paraId="2728BAEF">
      <w:pPr>
        <w:rPr>
          <w:rFonts w:hint="eastAsia"/>
          <w:color w:val="auto"/>
          <w:highlight w:val="none"/>
          <w:u w:val="none"/>
        </w:rPr>
      </w:pPr>
      <w:r>
        <w:rPr>
          <w:color w:val="auto"/>
          <w:highlight w:val="none"/>
          <w:u w:val="none"/>
        </w:rPr>
        <w:fldChar w:fldCharType="begin"/>
      </w:r>
      <w:r>
        <w:rPr>
          <w:color w:val="auto"/>
          <w:highlight w:val="none"/>
          <w:u w:val="none"/>
        </w:rPr>
        <w:instrText xml:space="preserve"> = 3 \* GB3 </w:instrText>
      </w:r>
      <w:r>
        <w:rPr>
          <w:color w:val="auto"/>
          <w:highlight w:val="none"/>
          <w:u w:val="none"/>
        </w:rPr>
        <w:fldChar w:fldCharType="separate"/>
      </w:r>
      <w:r>
        <w:rPr>
          <w:color w:val="auto"/>
          <w:highlight w:val="none"/>
          <w:u w:val="none"/>
        </w:rPr>
        <w:t>③</w:t>
      </w:r>
      <w:r>
        <w:rPr>
          <w:color w:val="auto"/>
          <w:highlight w:val="none"/>
          <w:u w:val="none"/>
        </w:rPr>
        <w:fldChar w:fldCharType="end"/>
      </w:r>
      <w:r>
        <w:rPr>
          <w:color w:val="auto"/>
          <w:highlight w:val="none"/>
          <w:u w:val="none"/>
        </w:rPr>
        <w:t>向上级汇报和向友邻单位通报事故情况，必要时向有关单位发出救援请求；</w:t>
      </w:r>
    </w:p>
    <w:p w14:paraId="7EEE9344">
      <w:pPr>
        <w:rPr>
          <w:rFonts w:hint="eastAsia"/>
          <w:color w:val="auto"/>
          <w:highlight w:val="none"/>
          <w:u w:val="none"/>
        </w:rPr>
      </w:pPr>
      <w:r>
        <w:rPr>
          <w:color w:val="auto"/>
          <w:highlight w:val="none"/>
          <w:u w:val="none"/>
        </w:rPr>
        <w:fldChar w:fldCharType="begin"/>
      </w:r>
      <w:r>
        <w:rPr>
          <w:color w:val="auto"/>
          <w:highlight w:val="none"/>
          <w:u w:val="none"/>
        </w:rPr>
        <w:instrText xml:space="preserve"> = 4 \* GB3 </w:instrText>
      </w:r>
      <w:r>
        <w:rPr>
          <w:color w:val="auto"/>
          <w:highlight w:val="none"/>
          <w:u w:val="none"/>
        </w:rPr>
        <w:fldChar w:fldCharType="separate"/>
      </w:r>
      <w:r>
        <w:rPr>
          <w:color w:val="auto"/>
          <w:highlight w:val="none"/>
          <w:u w:val="none"/>
        </w:rPr>
        <w:t>④</w:t>
      </w:r>
      <w:r>
        <w:rPr>
          <w:color w:val="auto"/>
          <w:highlight w:val="none"/>
          <w:u w:val="none"/>
        </w:rPr>
        <w:fldChar w:fldCharType="end"/>
      </w:r>
      <w:r>
        <w:rPr>
          <w:color w:val="auto"/>
          <w:highlight w:val="none"/>
          <w:u w:val="none"/>
        </w:rPr>
        <w:t>组织事故调查，总结应急救援经验教训。</w:t>
      </w:r>
    </w:p>
    <w:p w14:paraId="7B706934">
      <w:pPr>
        <w:rPr>
          <w:rFonts w:hint="eastAsia"/>
          <w:color w:val="auto"/>
          <w:highlight w:val="none"/>
          <w:u w:val="none"/>
        </w:rPr>
      </w:pPr>
      <w:r>
        <w:rPr>
          <w:color w:val="auto"/>
          <w:highlight w:val="none"/>
          <w:u w:val="none"/>
        </w:rPr>
        <w:t>B．成员分工</w:t>
      </w:r>
    </w:p>
    <w:p w14:paraId="753A6C95">
      <w:pPr>
        <w:rPr>
          <w:rFonts w:hint="eastAsia"/>
          <w:color w:val="auto"/>
          <w:highlight w:val="none"/>
          <w:u w:val="none"/>
        </w:rPr>
      </w:pPr>
      <w:r>
        <w:rPr>
          <w:color w:val="auto"/>
          <w:highlight w:val="none"/>
          <w:u w:val="none"/>
        </w:rPr>
        <w:t>指挥部总指挥：组织指挥全厂的应急救援工作。</w:t>
      </w:r>
    </w:p>
    <w:p w14:paraId="79112A40">
      <w:pPr>
        <w:rPr>
          <w:rFonts w:hint="eastAsia"/>
          <w:color w:val="auto"/>
          <w:highlight w:val="none"/>
          <w:u w:val="none"/>
        </w:rPr>
      </w:pPr>
      <w:r>
        <w:rPr>
          <w:color w:val="auto"/>
          <w:highlight w:val="none"/>
          <w:u w:val="none"/>
        </w:rPr>
        <w:t>指挥部副总指挥：协助总指挥负责应急救援的具体指挥工作。</w:t>
      </w:r>
    </w:p>
    <w:p w14:paraId="03043C27">
      <w:pPr>
        <w:rPr>
          <w:rFonts w:hint="eastAsia"/>
          <w:color w:val="auto"/>
          <w:highlight w:val="none"/>
          <w:u w:val="none"/>
        </w:rPr>
      </w:pPr>
      <w:r>
        <w:rPr>
          <w:color w:val="auto"/>
          <w:highlight w:val="none"/>
          <w:u w:val="none"/>
        </w:rPr>
        <w:t>指挥部成员：</w:t>
      </w:r>
    </w:p>
    <w:p w14:paraId="6BD23031">
      <w:pPr>
        <w:rPr>
          <w:rFonts w:hint="eastAsia"/>
          <w:color w:val="auto"/>
          <w:highlight w:val="none"/>
          <w:u w:val="none"/>
        </w:rPr>
      </w:pPr>
      <w:r>
        <w:rPr>
          <w:color w:val="auto"/>
          <w:highlight w:val="none"/>
          <w:u w:val="none"/>
        </w:rPr>
        <w:t>①对突发环境事件的危害范围、发展趋势做出科学评估，为应急领导小组的决策和指挥提供科学依据；</w:t>
      </w:r>
    </w:p>
    <w:p w14:paraId="2D0A0F26">
      <w:pPr>
        <w:rPr>
          <w:rFonts w:hint="eastAsia"/>
          <w:color w:val="auto"/>
          <w:highlight w:val="none"/>
          <w:u w:val="none"/>
        </w:rPr>
      </w:pPr>
      <w:r>
        <w:rPr>
          <w:color w:val="auto"/>
          <w:highlight w:val="none"/>
          <w:u w:val="none"/>
        </w:rPr>
        <w:t>②掌握重大危险源的污染情况，按照国内外的有关技术信息，提出相应的对策和处置意见；</w:t>
      </w:r>
    </w:p>
    <w:p w14:paraId="63D5AFFA">
      <w:pPr>
        <w:rPr>
          <w:rFonts w:hint="eastAsia"/>
          <w:color w:val="auto"/>
          <w:highlight w:val="none"/>
          <w:u w:val="none"/>
        </w:rPr>
      </w:pPr>
      <w:r>
        <w:rPr>
          <w:color w:val="auto"/>
          <w:highlight w:val="none"/>
          <w:u w:val="none"/>
        </w:rPr>
        <w:t>③参与污染程度、危害范围、事件等级的判定，对污染区域的警报设立与解除等重大防护措施的决策提供技术依据；</w:t>
      </w:r>
    </w:p>
    <w:p w14:paraId="0A96BCE5">
      <w:pPr>
        <w:rPr>
          <w:rFonts w:hint="eastAsia"/>
          <w:color w:val="auto"/>
          <w:highlight w:val="none"/>
          <w:u w:val="none"/>
        </w:rPr>
      </w:pPr>
      <w:r>
        <w:rPr>
          <w:color w:val="auto"/>
          <w:highlight w:val="none"/>
          <w:u w:val="none"/>
        </w:rPr>
        <w:t xml:space="preserve">④指导各应急小组进行现场处置； </w:t>
      </w:r>
    </w:p>
    <w:p w14:paraId="0B4F4BFC">
      <w:pPr>
        <w:rPr>
          <w:rFonts w:hint="eastAsia"/>
          <w:color w:val="auto"/>
          <w:highlight w:val="none"/>
          <w:u w:val="none"/>
        </w:rPr>
      </w:pPr>
      <w:r>
        <w:rPr>
          <w:color w:val="auto"/>
          <w:highlight w:val="none"/>
          <w:u w:val="none"/>
        </w:rPr>
        <w:t>⑤负责对突发环境事件现场应急处置工作和环境受污染程度的评估工作。</w:t>
      </w:r>
    </w:p>
    <w:p w14:paraId="677724C0">
      <w:pPr>
        <w:pStyle w:val="6"/>
        <w:spacing w:before="156" w:after="156"/>
        <w:rPr>
          <w:color w:val="auto"/>
          <w:highlight w:val="none"/>
          <w:u w:val="none"/>
        </w:rPr>
      </w:pPr>
      <w:bookmarkStart w:id="686" w:name="_Toc148375142"/>
      <w:bookmarkStart w:id="687" w:name="_Toc148374700"/>
      <w:r>
        <w:rPr>
          <w:color w:val="auto"/>
          <w:highlight w:val="none"/>
          <w:u w:val="none"/>
        </w:rPr>
        <w:t>应急联动响应要求</w:t>
      </w:r>
      <w:bookmarkEnd w:id="686"/>
      <w:bookmarkEnd w:id="687"/>
    </w:p>
    <w:p w14:paraId="0648433E">
      <w:pPr>
        <w:numPr>
          <w:ilvl w:val="0"/>
          <w:numId w:val="13"/>
        </w:numPr>
        <w:rPr>
          <w:rFonts w:hint="eastAsia"/>
          <w:color w:val="auto"/>
          <w:highlight w:val="none"/>
          <w:u w:val="none"/>
        </w:rPr>
      </w:pPr>
      <w:r>
        <w:rPr>
          <w:color w:val="auto"/>
          <w:highlight w:val="none"/>
          <w:u w:val="none"/>
        </w:rPr>
        <w:t>与上级应急预案联动关系</w:t>
      </w:r>
    </w:p>
    <w:p w14:paraId="216DB694">
      <w:pPr>
        <w:rPr>
          <w:rFonts w:hint="eastAsia"/>
          <w:color w:val="auto"/>
          <w:highlight w:val="none"/>
          <w:u w:val="none"/>
        </w:rPr>
      </w:pPr>
      <w:r>
        <w:rPr>
          <w:color w:val="auto"/>
          <w:highlight w:val="none"/>
          <w:u w:val="none"/>
        </w:rPr>
        <w:t>福州江阴港城经济区编制了突发环境事件应急预案，该预案外部与《福清市大气重污染应急预案》、《福清市危险化学品事故应急救援预案》、《福州市福清生态环境局突发环境污染事件应急预案》、《福清市安全生产事故灾难应急预案》、《福清市交通运输局突发应急事件处置工作预案》平行联动，发挥效能；内部与《福州市江阴工业集中区危险化学品事故应急救援预案》、《福建华东水务有限公司江阴污水处理厂突发环境事件应急预案》、《FCT江阴港区1#-5#泊位溢油事故联合应急预案》、事发企业与受影响企业突发环境事件应急预案同时启动。</w:t>
      </w:r>
    </w:p>
    <w:p w14:paraId="1920CD36">
      <w:pPr>
        <w:rPr>
          <w:rFonts w:hint="eastAsia"/>
          <w:color w:val="auto"/>
          <w:highlight w:val="none"/>
          <w:u w:val="none"/>
        </w:rPr>
      </w:pPr>
      <w:r>
        <w:rPr>
          <w:rFonts w:hint="eastAsia"/>
          <w:color w:val="auto"/>
          <w:highlight w:val="none"/>
          <w:u w:val="none"/>
        </w:rPr>
        <w:t>万华福建公司</w:t>
      </w:r>
      <w:r>
        <w:rPr>
          <w:color w:val="auto"/>
          <w:highlight w:val="none"/>
          <w:u w:val="none"/>
        </w:rPr>
        <w:t>在江阴港城经济区应急联动的基础上，建立与福州江阴港城经济区、上级主管部门及所在地生态环境主管部门之间的应急联动机制，统筹配置应急救援组织机构、队伍、装备和物资，共享区域应急资源，提高共同应对突发环境事件的能力和水平。当发生突发环境事件时，</w:t>
      </w:r>
      <w:r>
        <w:rPr>
          <w:rFonts w:hint="eastAsia"/>
          <w:color w:val="auto"/>
          <w:highlight w:val="none"/>
          <w:u w:val="none"/>
        </w:rPr>
        <w:t>万华福建公司</w:t>
      </w:r>
      <w:r>
        <w:rPr>
          <w:color w:val="auto"/>
          <w:highlight w:val="none"/>
          <w:u w:val="none"/>
        </w:rPr>
        <w:t>对外联络小组负责与政府应急指挥部的联络汇报，配合政府应急指挥部的应急处置工作。同时与周边</w:t>
      </w:r>
      <w:r>
        <w:rPr>
          <w:rFonts w:hint="eastAsia"/>
          <w:color w:val="auto"/>
          <w:highlight w:val="none"/>
          <w:u w:val="none"/>
          <w:lang w:eastAsia="zh-CN"/>
        </w:rPr>
        <w:t>福州江阴港城经济区</w:t>
      </w:r>
      <w:r>
        <w:rPr>
          <w:color w:val="auto"/>
          <w:highlight w:val="none"/>
          <w:u w:val="none"/>
        </w:rPr>
        <w:t>污水处理厂、</w:t>
      </w:r>
      <w:r>
        <w:rPr>
          <w:rFonts w:hint="eastAsia"/>
          <w:color w:val="auto"/>
          <w:highlight w:val="none"/>
          <w:u w:val="none"/>
        </w:rPr>
        <w:t>异氰酸酯公司</w:t>
      </w:r>
      <w:r>
        <w:rPr>
          <w:color w:val="auto"/>
          <w:highlight w:val="none"/>
          <w:u w:val="none"/>
        </w:rPr>
        <w:t>、</w:t>
      </w:r>
      <w:r>
        <w:rPr>
          <w:rFonts w:hint="eastAsia"/>
          <w:color w:val="auto"/>
          <w:highlight w:val="none"/>
          <w:u w:val="none"/>
        </w:rPr>
        <w:t>福建</w:t>
      </w:r>
      <w:r>
        <w:rPr>
          <w:color w:val="auto"/>
          <w:highlight w:val="none"/>
          <w:u w:val="none"/>
        </w:rPr>
        <w:t>东南电化股份有限公司等公司应急资源共享，协同合作。</w:t>
      </w:r>
    </w:p>
    <w:p w14:paraId="0A4E2A97">
      <w:pPr>
        <w:rPr>
          <w:rFonts w:hint="eastAsia"/>
          <w:color w:val="auto"/>
          <w:highlight w:val="none"/>
          <w:u w:val="none"/>
        </w:rPr>
      </w:pPr>
      <w:r>
        <w:rPr>
          <w:color w:val="auto"/>
          <w:highlight w:val="none"/>
          <w:u w:val="none"/>
        </w:rPr>
        <w:t>按照应急事件的性质、严重程度、可控性、影响范围和机构设置等因素对</w:t>
      </w:r>
      <w:r>
        <w:rPr>
          <w:rFonts w:hint="eastAsia"/>
          <w:color w:val="auto"/>
          <w:highlight w:val="none"/>
          <w:u w:val="none"/>
        </w:rPr>
        <w:t>万华福建公司</w:t>
      </w:r>
      <w:r>
        <w:rPr>
          <w:color w:val="auto"/>
          <w:highlight w:val="none"/>
          <w:u w:val="none"/>
        </w:rPr>
        <w:t>突发事件分为福州市级、福清市级、江阴港城经济区级、万华公司级。应急系统其主要关系、辖管范围和联动关系见</w:t>
      </w:r>
      <w:r>
        <w:rPr>
          <w:color w:val="auto"/>
          <w:highlight w:val="none"/>
          <w:u w:val="none"/>
        </w:rPr>
        <w:fldChar w:fldCharType="begin"/>
      </w:r>
      <w:r>
        <w:rPr>
          <w:color w:val="auto"/>
          <w:highlight w:val="none"/>
          <w:u w:val="none"/>
        </w:rPr>
        <w:instrText xml:space="preserve"> REF _Ref149251539 \h  \* MERGEFORMAT </w:instrText>
      </w:r>
      <w:r>
        <w:rPr>
          <w:color w:val="auto"/>
          <w:highlight w:val="none"/>
          <w:u w:val="none"/>
        </w:rPr>
        <w:fldChar w:fldCharType="separate"/>
      </w:r>
      <w:r>
        <w:rPr>
          <w:color w:val="auto"/>
          <w:highlight w:val="none"/>
          <w:u w:val="none"/>
        </w:rPr>
        <w:t>表 9.12</w:t>
      </w:r>
      <w:r>
        <w:rPr>
          <w:color w:val="auto"/>
          <w:highlight w:val="none"/>
          <w:u w:val="none"/>
        </w:rPr>
        <w:noBreakHyphen/>
      </w:r>
      <w:r>
        <w:rPr>
          <w:color w:val="auto"/>
          <w:highlight w:val="none"/>
          <w:u w:val="none"/>
        </w:rPr>
        <w:t>3</w:t>
      </w:r>
      <w:r>
        <w:rPr>
          <w:color w:val="auto"/>
          <w:highlight w:val="none"/>
          <w:u w:val="none"/>
        </w:rPr>
        <w:fldChar w:fldCharType="end"/>
      </w:r>
      <w:r>
        <w:rPr>
          <w:color w:val="auto"/>
          <w:highlight w:val="none"/>
          <w:u w:val="none"/>
        </w:rPr>
        <w:t>。</w:t>
      </w:r>
    </w:p>
    <w:p w14:paraId="38595766">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3</w:t>
      </w:r>
      <w:r>
        <w:rPr>
          <w:color w:val="auto"/>
          <w:highlight w:val="none"/>
          <w:u w:val="none"/>
        </w:rPr>
        <w:fldChar w:fldCharType="end"/>
      </w:r>
      <w:r>
        <w:rPr>
          <w:color w:val="auto"/>
          <w:highlight w:val="none"/>
          <w:u w:val="none"/>
        </w:rPr>
        <w:t xml:space="preserve">  四级应急系统关系、辖管内容和联动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70"/>
        <w:gridCol w:w="1161"/>
        <w:gridCol w:w="2821"/>
        <w:gridCol w:w="2634"/>
      </w:tblGrid>
      <w:tr w14:paraId="3228A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38" w:type="pct"/>
            <w:vAlign w:val="center"/>
          </w:tcPr>
          <w:p w14:paraId="22726A9F">
            <w:pPr>
              <w:pStyle w:val="92"/>
              <w:rPr>
                <w:color w:val="auto"/>
                <w:highlight w:val="none"/>
                <w:u w:val="none"/>
              </w:rPr>
            </w:pPr>
            <w:r>
              <w:rPr>
                <w:color w:val="auto"/>
                <w:highlight w:val="none"/>
                <w:u w:val="none"/>
              </w:rPr>
              <w:t>响应系统</w:t>
            </w:r>
          </w:p>
        </w:tc>
        <w:tc>
          <w:tcPr>
            <w:tcW w:w="625" w:type="pct"/>
            <w:vAlign w:val="center"/>
          </w:tcPr>
          <w:p w14:paraId="58EFB9A1">
            <w:pPr>
              <w:pStyle w:val="92"/>
              <w:rPr>
                <w:color w:val="auto"/>
                <w:highlight w:val="none"/>
                <w:u w:val="none"/>
              </w:rPr>
            </w:pPr>
            <w:r>
              <w:rPr>
                <w:color w:val="auto"/>
                <w:highlight w:val="none"/>
                <w:u w:val="none"/>
              </w:rPr>
              <w:t>级别</w:t>
            </w:r>
          </w:p>
        </w:tc>
        <w:tc>
          <w:tcPr>
            <w:tcW w:w="1519" w:type="pct"/>
            <w:vAlign w:val="center"/>
          </w:tcPr>
          <w:p w14:paraId="23D2EE47">
            <w:pPr>
              <w:pStyle w:val="92"/>
              <w:rPr>
                <w:color w:val="auto"/>
                <w:highlight w:val="none"/>
                <w:u w:val="none"/>
              </w:rPr>
            </w:pPr>
            <w:r>
              <w:rPr>
                <w:color w:val="auto"/>
                <w:highlight w:val="none"/>
                <w:u w:val="none"/>
              </w:rPr>
              <w:t>辖管范围</w:t>
            </w:r>
          </w:p>
        </w:tc>
        <w:tc>
          <w:tcPr>
            <w:tcW w:w="1418" w:type="pct"/>
            <w:vAlign w:val="center"/>
          </w:tcPr>
          <w:p w14:paraId="7C712B3A">
            <w:pPr>
              <w:pStyle w:val="92"/>
              <w:rPr>
                <w:color w:val="auto"/>
                <w:highlight w:val="none"/>
                <w:u w:val="none"/>
              </w:rPr>
            </w:pPr>
            <w:r>
              <w:rPr>
                <w:color w:val="auto"/>
                <w:highlight w:val="none"/>
                <w:u w:val="none"/>
              </w:rPr>
              <w:t>启动-联动关系</w:t>
            </w:r>
          </w:p>
        </w:tc>
      </w:tr>
      <w:tr w14:paraId="2F540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38" w:type="pct"/>
            <w:vAlign w:val="center"/>
          </w:tcPr>
          <w:p w14:paraId="5BCCD08B">
            <w:pPr>
              <w:pStyle w:val="92"/>
              <w:rPr>
                <w:color w:val="auto"/>
                <w:highlight w:val="none"/>
                <w:u w:val="none"/>
              </w:rPr>
            </w:pPr>
            <w:r>
              <w:rPr>
                <w:rFonts w:hint="eastAsia"/>
                <w:color w:val="auto"/>
                <w:highlight w:val="none"/>
                <w:u w:val="none"/>
              </w:rPr>
              <w:t>万华福建公司</w:t>
            </w:r>
          </w:p>
        </w:tc>
        <w:tc>
          <w:tcPr>
            <w:tcW w:w="625" w:type="pct"/>
            <w:vAlign w:val="center"/>
          </w:tcPr>
          <w:p w14:paraId="5E0CAACA">
            <w:pPr>
              <w:pStyle w:val="92"/>
              <w:rPr>
                <w:color w:val="auto"/>
                <w:highlight w:val="none"/>
                <w:u w:val="none"/>
              </w:rPr>
            </w:pPr>
            <w:r>
              <w:rPr>
                <w:color w:val="auto"/>
                <w:highlight w:val="none"/>
                <w:u w:val="none"/>
              </w:rPr>
              <w:t>一</w:t>
            </w:r>
          </w:p>
        </w:tc>
        <w:tc>
          <w:tcPr>
            <w:tcW w:w="1519" w:type="pct"/>
            <w:vAlign w:val="center"/>
          </w:tcPr>
          <w:p w14:paraId="4128A163">
            <w:pPr>
              <w:pStyle w:val="92"/>
              <w:rPr>
                <w:color w:val="auto"/>
                <w:highlight w:val="none"/>
                <w:u w:val="none"/>
              </w:rPr>
            </w:pPr>
            <w:r>
              <w:rPr>
                <w:rFonts w:hint="eastAsia"/>
                <w:color w:val="auto"/>
                <w:highlight w:val="none"/>
                <w:u w:val="none"/>
              </w:rPr>
              <w:t>万华福建公司</w:t>
            </w:r>
          </w:p>
        </w:tc>
        <w:tc>
          <w:tcPr>
            <w:tcW w:w="1418" w:type="pct"/>
            <w:vAlign w:val="center"/>
          </w:tcPr>
          <w:p w14:paraId="4B33C03F">
            <w:pPr>
              <w:pStyle w:val="92"/>
              <w:rPr>
                <w:color w:val="auto"/>
                <w:highlight w:val="none"/>
                <w:u w:val="none"/>
              </w:rPr>
            </w:pPr>
            <w:r>
              <w:rPr>
                <w:color w:val="auto"/>
                <w:highlight w:val="none"/>
                <w:u w:val="none"/>
              </w:rPr>
              <w:t>一</w:t>
            </w:r>
          </w:p>
        </w:tc>
      </w:tr>
      <w:tr w14:paraId="7C4B7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38" w:type="pct"/>
            <w:vAlign w:val="center"/>
          </w:tcPr>
          <w:p w14:paraId="463873EC">
            <w:pPr>
              <w:pStyle w:val="92"/>
              <w:rPr>
                <w:color w:val="auto"/>
                <w:highlight w:val="none"/>
                <w:u w:val="none"/>
              </w:rPr>
            </w:pPr>
            <w:r>
              <w:rPr>
                <w:color w:val="auto"/>
                <w:highlight w:val="none"/>
                <w:u w:val="none"/>
              </w:rPr>
              <w:t>江阴港城经济区级</w:t>
            </w:r>
          </w:p>
        </w:tc>
        <w:tc>
          <w:tcPr>
            <w:tcW w:w="625" w:type="pct"/>
            <w:vAlign w:val="center"/>
          </w:tcPr>
          <w:p w14:paraId="30BED7B3">
            <w:pPr>
              <w:pStyle w:val="92"/>
              <w:rPr>
                <w:color w:val="auto"/>
                <w:highlight w:val="none"/>
                <w:u w:val="none"/>
              </w:rPr>
            </w:pPr>
            <w:r>
              <w:rPr>
                <w:color w:val="auto"/>
                <w:highlight w:val="none"/>
                <w:u w:val="none"/>
              </w:rPr>
              <w:t>二</w:t>
            </w:r>
          </w:p>
        </w:tc>
        <w:tc>
          <w:tcPr>
            <w:tcW w:w="1519" w:type="pct"/>
            <w:vAlign w:val="center"/>
          </w:tcPr>
          <w:p w14:paraId="004C4C8F">
            <w:pPr>
              <w:pStyle w:val="92"/>
              <w:rPr>
                <w:color w:val="auto"/>
                <w:highlight w:val="none"/>
                <w:u w:val="none"/>
              </w:rPr>
            </w:pPr>
            <w:r>
              <w:rPr>
                <w:color w:val="auto"/>
                <w:highlight w:val="none"/>
                <w:u w:val="none"/>
              </w:rPr>
              <w:t>园区级</w:t>
            </w:r>
          </w:p>
        </w:tc>
        <w:tc>
          <w:tcPr>
            <w:tcW w:w="1418" w:type="pct"/>
            <w:vAlign w:val="center"/>
          </w:tcPr>
          <w:p w14:paraId="73DDBFAD">
            <w:pPr>
              <w:pStyle w:val="92"/>
              <w:rPr>
                <w:color w:val="auto"/>
                <w:highlight w:val="none"/>
                <w:u w:val="none"/>
              </w:rPr>
            </w:pPr>
            <w:r>
              <w:rPr>
                <w:color w:val="auto"/>
                <w:highlight w:val="none"/>
                <w:u w:val="none"/>
              </w:rPr>
              <w:t>一→二</w:t>
            </w:r>
          </w:p>
        </w:tc>
      </w:tr>
      <w:tr w14:paraId="1C978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38" w:type="pct"/>
            <w:vAlign w:val="center"/>
          </w:tcPr>
          <w:p w14:paraId="4BE1D27A">
            <w:pPr>
              <w:pStyle w:val="92"/>
              <w:rPr>
                <w:color w:val="auto"/>
                <w:highlight w:val="none"/>
                <w:u w:val="none"/>
              </w:rPr>
            </w:pPr>
            <w:r>
              <w:rPr>
                <w:color w:val="auto"/>
                <w:highlight w:val="none"/>
                <w:u w:val="none"/>
              </w:rPr>
              <w:t>福清市级</w:t>
            </w:r>
          </w:p>
        </w:tc>
        <w:tc>
          <w:tcPr>
            <w:tcW w:w="625" w:type="pct"/>
            <w:vAlign w:val="center"/>
          </w:tcPr>
          <w:p w14:paraId="4F81907D">
            <w:pPr>
              <w:pStyle w:val="92"/>
              <w:rPr>
                <w:color w:val="auto"/>
                <w:highlight w:val="none"/>
                <w:u w:val="none"/>
              </w:rPr>
            </w:pPr>
            <w:r>
              <w:rPr>
                <w:color w:val="auto"/>
                <w:highlight w:val="none"/>
                <w:u w:val="none"/>
              </w:rPr>
              <w:t>三</w:t>
            </w:r>
          </w:p>
        </w:tc>
        <w:tc>
          <w:tcPr>
            <w:tcW w:w="1519" w:type="pct"/>
            <w:vAlign w:val="center"/>
          </w:tcPr>
          <w:p w14:paraId="1E67669C">
            <w:pPr>
              <w:pStyle w:val="92"/>
              <w:rPr>
                <w:color w:val="auto"/>
                <w:highlight w:val="none"/>
                <w:u w:val="none"/>
              </w:rPr>
            </w:pPr>
            <w:r>
              <w:rPr>
                <w:color w:val="auto"/>
                <w:highlight w:val="none"/>
                <w:u w:val="none"/>
              </w:rPr>
              <w:t>福清市级</w:t>
            </w:r>
          </w:p>
        </w:tc>
        <w:tc>
          <w:tcPr>
            <w:tcW w:w="1418" w:type="pct"/>
            <w:vAlign w:val="center"/>
          </w:tcPr>
          <w:p w14:paraId="378711CC">
            <w:pPr>
              <w:pStyle w:val="92"/>
              <w:rPr>
                <w:color w:val="auto"/>
                <w:highlight w:val="none"/>
                <w:u w:val="none"/>
              </w:rPr>
            </w:pPr>
            <w:r>
              <w:rPr>
                <w:color w:val="auto"/>
                <w:highlight w:val="none"/>
                <w:u w:val="none"/>
              </w:rPr>
              <w:t>二→三</w:t>
            </w:r>
          </w:p>
        </w:tc>
      </w:tr>
      <w:tr w14:paraId="33DF9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38" w:type="pct"/>
            <w:vAlign w:val="center"/>
          </w:tcPr>
          <w:p w14:paraId="34D2B867">
            <w:pPr>
              <w:pStyle w:val="92"/>
              <w:rPr>
                <w:color w:val="auto"/>
                <w:highlight w:val="none"/>
                <w:u w:val="none"/>
              </w:rPr>
            </w:pPr>
            <w:r>
              <w:rPr>
                <w:rFonts w:hint="eastAsia"/>
                <w:color w:val="auto"/>
                <w:highlight w:val="none"/>
                <w:u w:val="none"/>
              </w:rPr>
              <w:t>福州</w:t>
            </w:r>
            <w:r>
              <w:rPr>
                <w:color w:val="auto"/>
                <w:highlight w:val="none"/>
                <w:u w:val="none"/>
              </w:rPr>
              <w:t>市级</w:t>
            </w:r>
          </w:p>
        </w:tc>
        <w:tc>
          <w:tcPr>
            <w:tcW w:w="625" w:type="pct"/>
            <w:vAlign w:val="center"/>
          </w:tcPr>
          <w:p w14:paraId="4561CCF3">
            <w:pPr>
              <w:pStyle w:val="92"/>
              <w:rPr>
                <w:color w:val="auto"/>
                <w:highlight w:val="none"/>
                <w:u w:val="none"/>
              </w:rPr>
            </w:pPr>
            <w:r>
              <w:rPr>
                <w:color w:val="auto"/>
                <w:highlight w:val="none"/>
                <w:u w:val="none"/>
              </w:rPr>
              <w:t>四</w:t>
            </w:r>
          </w:p>
        </w:tc>
        <w:tc>
          <w:tcPr>
            <w:tcW w:w="1519" w:type="pct"/>
            <w:vAlign w:val="center"/>
          </w:tcPr>
          <w:p w14:paraId="050B301A">
            <w:pPr>
              <w:pStyle w:val="92"/>
              <w:rPr>
                <w:color w:val="auto"/>
                <w:highlight w:val="none"/>
                <w:u w:val="none"/>
              </w:rPr>
            </w:pPr>
            <w:r>
              <w:rPr>
                <w:color w:val="auto"/>
                <w:highlight w:val="none"/>
                <w:u w:val="none"/>
              </w:rPr>
              <w:t>福州市级</w:t>
            </w:r>
          </w:p>
        </w:tc>
        <w:tc>
          <w:tcPr>
            <w:tcW w:w="1418" w:type="pct"/>
            <w:vAlign w:val="center"/>
          </w:tcPr>
          <w:p w14:paraId="20454887">
            <w:pPr>
              <w:pStyle w:val="92"/>
              <w:rPr>
                <w:color w:val="auto"/>
                <w:highlight w:val="none"/>
                <w:u w:val="none"/>
              </w:rPr>
            </w:pPr>
            <w:r>
              <w:rPr>
                <w:color w:val="auto"/>
                <w:highlight w:val="none"/>
                <w:u w:val="none"/>
              </w:rPr>
              <w:t>三→四</w:t>
            </w:r>
          </w:p>
        </w:tc>
      </w:tr>
    </w:tbl>
    <w:p w14:paraId="1EDDD6B6">
      <w:pPr>
        <w:rPr>
          <w:rFonts w:hint="eastAsia"/>
          <w:color w:val="auto"/>
          <w:highlight w:val="none"/>
          <w:u w:val="none"/>
        </w:rPr>
      </w:pPr>
      <w:r>
        <w:rPr>
          <w:color w:val="auto"/>
          <w:highlight w:val="none"/>
          <w:u w:val="none"/>
        </w:rPr>
        <w:t>（2）分级响应</w:t>
      </w:r>
    </w:p>
    <w:p w14:paraId="3887B2C7">
      <w:pPr>
        <w:rPr>
          <w:rFonts w:hint="eastAsia"/>
          <w:color w:val="auto"/>
          <w:highlight w:val="none"/>
          <w:u w:val="none"/>
        </w:rPr>
      </w:pPr>
      <w:r>
        <w:rPr>
          <w:color w:val="auto"/>
          <w:highlight w:val="none"/>
          <w:u w:val="none"/>
        </w:rPr>
        <w:t>按突发环境事件的可控性、严重程度和影响范围，突发环境事件的应急响应分为特别重大（I级响应）、重大（II级响应）、较大（III级响应）、一般（IV级响应）四级。超出本级应急处置能力时，应及时请求上一级应急救援指挥机构启动上一级应急预案。</w:t>
      </w:r>
    </w:p>
    <w:p w14:paraId="48D6BA1C">
      <w:pPr>
        <w:rPr>
          <w:rFonts w:hint="eastAsia"/>
          <w:color w:val="auto"/>
          <w:highlight w:val="none"/>
          <w:u w:val="none"/>
        </w:rPr>
      </w:pPr>
      <w:r>
        <w:rPr>
          <w:color w:val="auto"/>
          <w:highlight w:val="none"/>
          <w:u w:val="none"/>
        </w:rPr>
        <w:t>1）I级应急响应</w:t>
      </w:r>
    </w:p>
    <w:p w14:paraId="4D4E7AC9">
      <w:pPr>
        <w:rPr>
          <w:rFonts w:hint="eastAsia"/>
          <w:color w:val="auto"/>
          <w:highlight w:val="none"/>
          <w:u w:val="none"/>
        </w:rPr>
      </w:pPr>
      <w:r>
        <w:rPr>
          <w:color w:val="auto"/>
          <w:highlight w:val="none"/>
          <w:u w:val="none"/>
        </w:rPr>
        <w:t>I级突发环境事件发生后，事件发生单元应立即启动本单元应急预案，并报到厂应急办公室。</w:t>
      </w:r>
    </w:p>
    <w:p w14:paraId="2B3C5BF9">
      <w:pPr>
        <w:rPr>
          <w:rFonts w:hint="eastAsia"/>
          <w:color w:val="auto"/>
          <w:highlight w:val="none"/>
          <w:u w:val="none"/>
        </w:rPr>
      </w:pPr>
      <w:r>
        <w:rPr>
          <w:color w:val="auto"/>
          <w:highlight w:val="none"/>
          <w:u w:val="none"/>
        </w:rPr>
        <w:t>由厂应急指挥小组决定启动厂级应急预案，并将事件发生情况上报江阴港城经济区、福清市应急办公室，由福清市应急办公室上报福州市应急办公室，并由福州市应急办公室根据事件发生严重程度，逐级上报省政府、国务院；由国务院、省政府或所授权的上级专项应急指挥部领导处置。</w:t>
      </w:r>
    </w:p>
    <w:p w14:paraId="7F827BDE">
      <w:pPr>
        <w:rPr>
          <w:rFonts w:hint="eastAsia"/>
          <w:color w:val="auto"/>
          <w:highlight w:val="none"/>
          <w:u w:val="none"/>
        </w:rPr>
      </w:pPr>
      <w:r>
        <w:rPr>
          <w:color w:val="auto"/>
          <w:highlight w:val="none"/>
          <w:u w:val="none"/>
        </w:rPr>
        <w:t>厂应急指挥小组根据政府应急领导小组指示，配合政府应急领导小组，向可能受到影响的区域发出红色预警信息。</w:t>
      </w:r>
    </w:p>
    <w:p w14:paraId="56B2DB05">
      <w:pPr>
        <w:rPr>
          <w:rFonts w:hint="eastAsia"/>
          <w:color w:val="auto"/>
          <w:highlight w:val="none"/>
          <w:u w:val="none"/>
        </w:rPr>
      </w:pPr>
      <w:r>
        <w:rPr>
          <w:color w:val="auto"/>
          <w:highlight w:val="none"/>
          <w:u w:val="none"/>
        </w:rPr>
        <w:t>厂应急指挥小组应迅速组织应急人员到达现场，进行污染源调查，控制污染源，划定警戒区域，疏散可能受到影响的人员，同时分析污染事故的发展趋势，在组织抢险救援的同时，及时向厂应急指挥小组报告。</w:t>
      </w:r>
    </w:p>
    <w:p w14:paraId="13FC3813">
      <w:pPr>
        <w:rPr>
          <w:rFonts w:hint="eastAsia"/>
          <w:color w:val="auto"/>
          <w:highlight w:val="none"/>
          <w:u w:val="none"/>
        </w:rPr>
      </w:pPr>
      <w:r>
        <w:rPr>
          <w:color w:val="auto"/>
          <w:highlight w:val="none"/>
          <w:u w:val="none"/>
        </w:rPr>
        <w:t>2）II级应急响应</w:t>
      </w:r>
    </w:p>
    <w:p w14:paraId="6289BB08">
      <w:pPr>
        <w:rPr>
          <w:rFonts w:hint="eastAsia"/>
          <w:color w:val="auto"/>
          <w:highlight w:val="none"/>
          <w:u w:val="none"/>
        </w:rPr>
      </w:pPr>
      <w:r>
        <w:rPr>
          <w:color w:val="auto"/>
          <w:highlight w:val="none"/>
          <w:u w:val="none"/>
        </w:rPr>
        <w:t>II级突发环境事件发生后，事件发生单元应立即启动本单元应急预案，并报到厂应急办公室。</w:t>
      </w:r>
    </w:p>
    <w:p w14:paraId="749AC9AC">
      <w:pPr>
        <w:rPr>
          <w:rFonts w:hint="eastAsia"/>
          <w:color w:val="auto"/>
          <w:highlight w:val="none"/>
          <w:u w:val="none"/>
        </w:rPr>
      </w:pPr>
      <w:r>
        <w:rPr>
          <w:color w:val="auto"/>
          <w:highlight w:val="none"/>
          <w:u w:val="none"/>
        </w:rPr>
        <w:t>由厂应急指挥小组决定启动厂级应急预案，并将事件发生情况上报江阴港城经济区应急办公室、福清市应急办公室，由福清市应急办公室上报福州市应急办公室，并由福州市应急办公室根据事件发生严重程度，上报省政府。</w:t>
      </w:r>
    </w:p>
    <w:p w14:paraId="39CFD961">
      <w:pPr>
        <w:rPr>
          <w:rFonts w:hint="eastAsia"/>
          <w:color w:val="auto"/>
          <w:highlight w:val="none"/>
          <w:u w:val="none"/>
        </w:rPr>
      </w:pPr>
      <w:r>
        <w:rPr>
          <w:color w:val="auto"/>
          <w:highlight w:val="none"/>
          <w:u w:val="none"/>
        </w:rPr>
        <w:t>厂应急指挥小组根据福建省应急领导小组指示，配合政府应急领导小组，向可能受到影响的区域发出橙色预警信息。</w:t>
      </w:r>
    </w:p>
    <w:p w14:paraId="0C3A75E2">
      <w:pPr>
        <w:rPr>
          <w:rFonts w:hint="eastAsia"/>
          <w:color w:val="auto"/>
          <w:highlight w:val="none"/>
          <w:u w:val="none"/>
        </w:rPr>
      </w:pPr>
      <w:r>
        <w:rPr>
          <w:color w:val="auto"/>
          <w:highlight w:val="none"/>
          <w:u w:val="none"/>
        </w:rPr>
        <w:t>事件发生厂应急指挥小组应迅速组织应急人员到达现场，进行污染源调查，控制污染源，划定警戒区域，疏散可能受到影响的人员，同时分析污染事故的发展趋势，在组织抢险救援的同时，及时向厂应急指挥小组报告。</w:t>
      </w:r>
    </w:p>
    <w:p w14:paraId="62DD50E2">
      <w:pPr>
        <w:rPr>
          <w:rFonts w:hint="eastAsia"/>
          <w:color w:val="auto"/>
          <w:highlight w:val="none"/>
          <w:u w:val="none"/>
        </w:rPr>
      </w:pPr>
      <w:r>
        <w:rPr>
          <w:color w:val="auto"/>
          <w:highlight w:val="none"/>
          <w:u w:val="none"/>
        </w:rPr>
        <w:t>3）III级应急响应</w:t>
      </w:r>
    </w:p>
    <w:p w14:paraId="3E7567FB">
      <w:pPr>
        <w:rPr>
          <w:rFonts w:hint="eastAsia"/>
          <w:color w:val="auto"/>
          <w:highlight w:val="none"/>
          <w:u w:val="none"/>
        </w:rPr>
      </w:pPr>
      <w:r>
        <w:rPr>
          <w:color w:val="auto"/>
          <w:highlight w:val="none"/>
          <w:u w:val="none"/>
        </w:rPr>
        <w:t>III级突发环境事件发生后，事件发生单元应立即启动本单元突发环境事件应急预案，并报告厂应急办公室。</w:t>
      </w:r>
    </w:p>
    <w:p w14:paraId="755FB273">
      <w:pPr>
        <w:rPr>
          <w:rFonts w:hint="eastAsia"/>
          <w:color w:val="auto"/>
          <w:highlight w:val="none"/>
          <w:u w:val="none"/>
        </w:rPr>
      </w:pPr>
      <w:r>
        <w:rPr>
          <w:color w:val="auto"/>
          <w:highlight w:val="none"/>
          <w:u w:val="none"/>
        </w:rPr>
        <w:t>由厂应急指挥小组启动厂级应急预案，并将事件发生情况上报江阴港城经济区、福清市应急办公室，由福清市应急办公室上报福州市应急办公室。</w:t>
      </w:r>
    </w:p>
    <w:p w14:paraId="4B2739FD">
      <w:pPr>
        <w:rPr>
          <w:rFonts w:hint="eastAsia"/>
          <w:color w:val="auto"/>
          <w:highlight w:val="none"/>
          <w:u w:val="none"/>
        </w:rPr>
      </w:pPr>
      <w:r>
        <w:rPr>
          <w:color w:val="auto"/>
          <w:highlight w:val="none"/>
          <w:u w:val="none"/>
        </w:rPr>
        <w:t>厂应急指挥小组根据福州市应急领导小组指示，配合福州市应急领导小组，向可能受到影响的区域发出黄色预警信息。</w:t>
      </w:r>
    </w:p>
    <w:p w14:paraId="531EA1CD">
      <w:pPr>
        <w:rPr>
          <w:rFonts w:hint="eastAsia"/>
          <w:color w:val="auto"/>
          <w:highlight w:val="none"/>
          <w:u w:val="none"/>
        </w:rPr>
      </w:pPr>
      <w:r>
        <w:rPr>
          <w:color w:val="auto"/>
          <w:highlight w:val="none"/>
          <w:u w:val="none"/>
        </w:rPr>
        <w:t>厂应急指挥小组应迅速组织应急人员到达现场，进行污染源调查，控制污染源，划定警戒区域，疏散可能受到影响的人员，同时分析污染事故的发展趋势，在组织抢险救援的同时，及时向厂应急指挥小组报告。</w:t>
      </w:r>
    </w:p>
    <w:p w14:paraId="785F6111">
      <w:pPr>
        <w:rPr>
          <w:rFonts w:hint="eastAsia"/>
          <w:color w:val="auto"/>
          <w:highlight w:val="none"/>
          <w:u w:val="none"/>
        </w:rPr>
      </w:pPr>
      <w:r>
        <w:rPr>
          <w:color w:val="auto"/>
          <w:highlight w:val="none"/>
          <w:u w:val="none"/>
        </w:rPr>
        <w:t>4）IV级应急响应</w:t>
      </w:r>
    </w:p>
    <w:p w14:paraId="1AABF47C">
      <w:pPr>
        <w:rPr>
          <w:rFonts w:hint="eastAsia"/>
          <w:color w:val="auto"/>
          <w:highlight w:val="none"/>
          <w:u w:val="none"/>
        </w:rPr>
      </w:pPr>
      <w:r>
        <w:rPr>
          <w:color w:val="auto"/>
          <w:highlight w:val="none"/>
          <w:u w:val="none"/>
        </w:rPr>
        <w:t>IV级突发环境事件发生后，事件发生单元应立即启动本单元应急预案，并报告厂应急办公室。</w:t>
      </w:r>
    </w:p>
    <w:p w14:paraId="7C471A6B">
      <w:pPr>
        <w:rPr>
          <w:rFonts w:hint="eastAsia"/>
          <w:color w:val="auto"/>
          <w:highlight w:val="none"/>
          <w:u w:val="none"/>
        </w:rPr>
      </w:pPr>
      <w:r>
        <w:rPr>
          <w:color w:val="auto"/>
          <w:highlight w:val="none"/>
          <w:u w:val="none"/>
        </w:rPr>
        <w:t>由厂应急指挥小组决定启动厂级应急预案，并将事件发生情况上报江阴港城经济区、福清市应急办公室，由福清市应急领导小组启动《福清市突发环境事件应急预案》。</w:t>
      </w:r>
    </w:p>
    <w:p w14:paraId="2B89BEFF">
      <w:pPr>
        <w:rPr>
          <w:rFonts w:hint="eastAsia"/>
          <w:color w:val="auto"/>
          <w:highlight w:val="none"/>
          <w:u w:val="none"/>
        </w:rPr>
      </w:pPr>
      <w:r>
        <w:rPr>
          <w:color w:val="auto"/>
          <w:highlight w:val="none"/>
          <w:u w:val="none"/>
        </w:rPr>
        <w:t>厂应急指挥小组根据福清市应急领导小组指示，配合福清市应急领导小组，向可能受到影响的区域发出蓝色预警信息。</w:t>
      </w:r>
    </w:p>
    <w:p w14:paraId="45ECCB23">
      <w:pPr>
        <w:rPr>
          <w:rFonts w:hint="eastAsia"/>
          <w:color w:val="auto"/>
          <w:highlight w:val="none"/>
          <w:u w:val="none"/>
        </w:rPr>
      </w:pPr>
      <w:r>
        <w:rPr>
          <w:color w:val="auto"/>
          <w:highlight w:val="none"/>
          <w:u w:val="none"/>
        </w:rPr>
        <w:t>厂应急指挥小组应迅速组织应急人员到达现场，进行污染源调查，控制污染源，划定警戒区域，疏散可能受到影响的人员，同时分析污染事故的发展趋势，在组织抢险救援的同时，及时向厂应急指挥小组报告。</w:t>
      </w:r>
    </w:p>
    <w:p w14:paraId="77105123">
      <w:pPr>
        <w:pStyle w:val="6"/>
        <w:spacing w:before="156" w:after="156"/>
        <w:rPr>
          <w:color w:val="auto"/>
          <w:highlight w:val="none"/>
          <w:u w:val="none"/>
        </w:rPr>
      </w:pPr>
      <w:bookmarkStart w:id="688" w:name="_Toc148374701"/>
      <w:bookmarkStart w:id="689" w:name="_Toc148375143"/>
      <w:r>
        <w:rPr>
          <w:color w:val="auto"/>
          <w:highlight w:val="none"/>
          <w:u w:val="none"/>
        </w:rPr>
        <w:t>应急保障机制</w:t>
      </w:r>
      <w:bookmarkEnd w:id="688"/>
      <w:bookmarkEnd w:id="689"/>
    </w:p>
    <w:p w14:paraId="45FBCEFF">
      <w:pPr>
        <w:rPr>
          <w:rFonts w:hint="eastAsia"/>
          <w:color w:val="auto"/>
          <w:highlight w:val="none"/>
          <w:u w:val="none"/>
        </w:rPr>
      </w:pPr>
      <w:r>
        <w:rPr>
          <w:color w:val="auto"/>
          <w:highlight w:val="none"/>
          <w:u w:val="none"/>
        </w:rPr>
        <w:t>在应急救援保障方面，具体注意以下几点：</w:t>
      </w:r>
    </w:p>
    <w:p w14:paraId="25E931B4">
      <w:pPr>
        <w:rPr>
          <w:rFonts w:hint="eastAsia"/>
          <w:color w:val="auto"/>
          <w:highlight w:val="none"/>
          <w:u w:val="none"/>
        </w:rPr>
      </w:pPr>
      <w:r>
        <w:rPr>
          <w:color w:val="auto"/>
          <w:highlight w:val="none"/>
          <w:u w:val="none"/>
        </w:rPr>
        <w:t>（1）落实应急救援组织，确保事故发生时能及时集合并开展救援。</w:t>
      </w:r>
    </w:p>
    <w:p w14:paraId="22F372B0">
      <w:pPr>
        <w:rPr>
          <w:rFonts w:hint="eastAsia"/>
          <w:color w:val="auto"/>
          <w:highlight w:val="none"/>
          <w:u w:val="none"/>
        </w:rPr>
      </w:pPr>
      <w:r>
        <w:rPr>
          <w:color w:val="auto"/>
          <w:highlight w:val="none"/>
          <w:u w:val="none"/>
        </w:rPr>
        <w:t>（2）各项应急救援器材和资料由专人保管，确保完好可随时调用。应急救援器材包括报警、通讯设备、灭火器材、防护设施等，定期检查、保养，确保处于良好状态。应急救援相关资料包括消防设施配置图、工艺流程图、平面布置图和周边地区图、气象资料、危险化学品安全技术说明书等。</w:t>
      </w:r>
    </w:p>
    <w:p w14:paraId="4DE8DA35">
      <w:pPr>
        <w:rPr>
          <w:rFonts w:hint="eastAsia"/>
          <w:color w:val="auto"/>
          <w:highlight w:val="none"/>
          <w:u w:val="none"/>
        </w:rPr>
      </w:pPr>
      <w:r>
        <w:rPr>
          <w:color w:val="auto"/>
          <w:highlight w:val="none"/>
          <w:u w:val="none"/>
        </w:rPr>
        <w:t>（3）配备一套可监测光气、氯气、氯苯、甲苯、一氧化碳等多种污染物的废气监测仪表，便携式COD、石油类、pH值、氨氮等监测仪表。</w:t>
      </w:r>
    </w:p>
    <w:p w14:paraId="38348FCA">
      <w:pPr>
        <w:rPr>
          <w:rFonts w:hint="eastAsia"/>
          <w:color w:val="auto"/>
          <w:highlight w:val="none"/>
          <w:u w:val="none"/>
        </w:rPr>
      </w:pPr>
      <w:r>
        <w:rPr>
          <w:color w:val="auto"/>
          <w:highlight w:val="none"/>
          <w:u w:val="none"/>
        </w:rPr>
        <w:t>（4）加强应急救援培训和演练。定期组织应急救援训练和学习，对全厂职工进行经常性的化学救护常识教育。</w:t>
      </w:r>
    </w:p>
    <w:p w14:paraId="2B464F8B">
      <w:pPr>
        <w:rPr>
          <w:rFonts w:hint="eastAsia"/>
          <w:color w:val="auto"/>
          <w:highlight w:val="none"/>
          <w:u w:val="none"/>
        </w:rPr>
      </w:pPr>
      <w:r>
        <w:rPr>
          <w:color w:val="auto"/>
          <w:highlight w:val="none"/>
          <w:u w:val="none"/>
        </w:rPr>
        <w:t>（5）加强安全管理，落实各项安全管理制度，包括值班制度、检查制度等，确保事故发生后能迅速组织应急救援。</w:t>
      </w:r>
    </w:p>
    <w:p w14:paraId="6C056B9A">
      <w:pPr>
        <w:pStyle w:val="6"/>
        <w:spacing w:before="156" w:after="156"/>
        <w:rPr>
          <w:color w:val="auto"/>
          <w:highlight w:val="none"/>
          <w:u w:val="none"/>
        </w:rPr>
      </w:pPr>
      <w:bookmarkStart w:id="690" w:name="_Toc148374702"/>
      <w:bookmarkStart w:id="691" w:name="_Toc148375144"/>
      <w:r>
        <w:rPr>
          <w:color w:val="auto"/>
          <w:highlight w:val="none"/>
          <w:u w:val="none"/>
        </w:rPr>
        <w:t>报警、通讯联络方式</w:t>
      </w:r>
      <w:bookmarkEnd w:id="690"/>
      <w:bookmarkEnd w:id="691"/>
    </w:p>
    <w:p w14:paraId="6769B009">
      <w:pPr>
        <w:rPr>
          <w:rFonts w:hint="eastAsia"/>
          <w:color w:val="auto"/>
          <w:highlight w:val="none"/>
          <w:u w:val="none"/>
        </w:rPr>
      </w:pPr>
      <w:r>
        <w:rPr>
          <w:color w:val="auto"/>
          <w:highlight w:val="none"/>
          <w:u w:val="none"/>
        </w:rPr>
        <w:t>一旦发生重特大环境污染事故，建设单位（最早发现者）必须立即将事故情况报工厂生产调度室和消防队（负责紧急报警处理和先期处置工作）、安环部（日常应急救援办公室）。</w:t>
      </w:r>
    </w:p>
    <w:p w14:paraId="663BE2F9">
      <w:pPr>
        <w:rPr>
          <w:rFonts w:hint="eastAsia"/>
          <w:color w:val="auto"/>
          <w:highlight w:val="none"/>
          <w:u w:val="none"/>
        </w:rPr>
      </w:pPr>
      <w:r>
        <w:rPr>
          <w:color w:val="auto"/>
          <w:highlight w:val="none"/>
          <w:u w:val="none"/>
        </w:rPr>
        <w:t>（1）报告内容</w:t>
      </w:r>
    </w:p>
    <w:p w14:paraId="75D2D760">
      <w:pPr>
        <w:rPr>
          <w:rFonts w:hint="eastAsia"/>
          <w:color w:val="auto"/>
          <w:highlight w:val="none"/>
          <w:u w:val="none"/>
        </w:rPr>
      </w:pPr>
      <w:r>
        <w:rPr>
          <w:color w:val="auto"/>
          <w:highlight w:val="none"/>
          <w:u w:val="none"/>
        </w:rPr>
        <w:t>事故发生的时间、地点、单位（部位）、事故的简要情况、污染源种类、数量、性质、伤亡人数、已采取的应急措施等。工安部接到报告后，立即报告公司应急指挥中心总指挥或副总指挥，由总指挥（副总指挥）决定是否启动《应急救援预案》。</w:t>
      </w:r>
    </w:p>
    <w:p w14:paraId="292F98F6">
      <w:pPr>
        <w:rPr>
          <w:rFonts w:hint="eastAsia"/>
          <w:color w:val="auto"/>
          <w:highlight w:val="none"/>
          <w:u w:val="none"/>
        </w:rPr>
      </w:pPr>
      <w:r>
        <w:rPr>
          <w:color w:val="auto"/>
          <w:highlight w:val="none"/>
          <w:u w:val="none"/>
        </w:rPr>
        <w:t>（2）紧急求助电话号码表</w:t>
      </w:r>
    </w:p>
    <w:p w14:paraId="4CED3E3B">
      <w:pPr>
        <w:rPr>
          <w:rFonts w:hint="eastAsia"/>
          <w:color w:val="auto"/>
          <w:highlight w:val="none"/>
          <w:u w:val="none"/>
        </w:rPr>
      </w:pPr>
      <w:r>
        <w:rPr>
          <w:color w:val="auto"/>
          <w:highlight w:val="none"/>
          <w:u w:val="none"/>
        </w:rPr>
        <w:t>根据事故发生的类型和级别，按照以下单位的联系方式，通知该单位。</w:t>
      </w:r>
    </w:p>
    <w:p w14:paraId="5404F7FC">
      <w:pPr>
        <w:pStyle w:val="85"/>
        <w:rPr>
          <w:color w:val="auto"/>
          <w:highlight w:val="none"/>
          <w:u w:val="none"/>
        </w:rPr>
      </w:pP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9.11</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4</w:t>
      </w:r>
      <w:r>
        <w:rPr>
          <w:color w:val="auto"/>
          <w:highlight w:val="none"/>
          <w:u w:val="none"/>
        </w:rPr>
        <w:fldChar w:fldCharType="end"/>
      </w:r>
      <w:r>
        <w:rPr>
          <w:color w:val="auto"/>
          <w:highlight w:val="none"/>
          <w:u w:val="none"/>
        </w:rPr>
        <w:t xml:space="preserve">  紧急求助电话表</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43"/>
        <w:gridCol w:w="4643"/>
      </w:tblGrid>
      <w:tr w14:paraId="4881C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1F784E13">
            <w:pPr>
              <w:pStyle w:val="92"/>
              <w:rPr>
                <w:color w:val="auto"/>
                <w:highlight w:val="none"/>
                <w:u w:val="none"/>
              </w:rPr>
            </w:pPr>
            <w:r>
              <w:rPr>
                <w:color w:val="auto"/>
                <w:highlight w:val="none"/>
                <w:u w:val="none"/>
              </w:rPr>
              <w:t>电话名称</w:t>
            </w:r>
          </w:p>
        </w:tc>
        <w:tc>
          <w:tcPr>
            <w:tcW w:w="2500" w:type="pct"/>
            <w:vAlign w:val="center"/>
          </w:tcPr>
          <w:p w14:paraId="6064C751">
            <w:pPr>
              <w:pStyle w:val="92"/>
              <w:rPr>
                <w:color w:val="auto"/>
                <w:highlight w:val="none"/>
                <w:u w:val="none"/>
              </w:rPr>
            </w:pPr>
            <w:r>
              <w:rPr>
                <w:color w:val="auto"/>
                <w:highlight w:val="none"/>
                <w:u w:val="none"/>
              </w:rPr>
              <w:t>电话号码</w:t>
            </w:r>
          </w:p>
        </w:tc>
      </w:tr>
      <w:tr w14:paraId="2DF22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4F80E97F">
            <w:pPr>
              <w:pStyle w:val="92"/>
              <w:rPr>
                <w:color w:val="auto"/>
                <w:highlight w:val="none"/>
                <w:u w:val="none"/>
              </w:rPr>
            </w:pPr>
            <w:r>
              <w:rPr>
                <w:color w:val="auto"/>
                <w:highlight w:val="none"/>
                <w:u w:val="none"/>
              </w:rPr>
              <w:t>火警</w:t>
            </w:r>
          </w:p>
        </w:tc>
        <w:tc>
          <w:tcPr>
            <w:tcW w:w="2500" w:type="pct"/>
            <w:vAlign w:val="center"/>
          </w:tcPr>
          <w:p w14:paraId="7080F5D8">
            <w:pPr>
              <w:pStyle w:val="92"/>
              <w:rPr>
                <w:color w:val="auto"/>
                <w:highlight w:val="none"/>
                <w:u w:val="none"/>
              </w:rPr>
            </w:pPr>
            <w:r>
              <w:rPr>
                <w:color w:val="auto"/>
                <w:highlight w:val="none"/>
                <w:u w:val="none"/>
              </w:rPr>
              <w:t>119</w:t>
            </w:r>
          </w:p>
        </w:tc>
      </w:tr>
      <w:tr w14:paraId="22032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5F2D84CD">
            <w:pPr>
              <w:pStyle w:val="92"/>
              <w:rPr>
                <w:color w:val="auto"/>
                <w:highlight w:val="none"/>
                <w:u w:val="none"/>
              </w:rPr>
            </w:pPr>
            <w:r>
              <w:rPr>
                <w:color w:val="auto"/>
                <w:highlight w:val="none"/>
                <w:u w:val="none"/>
              </w:rPr>
              <w:t>公众求助</w:t>
            </w:r>
          </w:p>
        </w:tc>
        <w:tc>
          <w:tcPr>
            <w:tcW w:w="2500" w:type="pct"/>
            <w:vAlign w:val="center"/>
          </w:tcPr>
          <w:p w14:paraId="671CB838">
            <w:pPr>
              <w:pStyle w:val="92"/>
              <w:rPr>
                <w:color w:val="auto"/>
                <w:highlight w:val="none"/>
                <w:u w:val="none"/>
              </w:rPr>
            </w:pPr>
            <w:r>
              <w:rPr>
                <w:color w:val="auto"/>
                <w:highlight w:val="none"/>
                <w:u w:val="none"/>
              </w:rPr>
              <w:t>110</w:t>
            </w:r>
          </w:p>
        </w:tc>
      </w:tr>
      <w:tr w14:paraId="3D1C3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47EE6B0A">
            <w:pPr>
              <w:pStyle w:val="92"/>
              <w:rPr>
                <w:color w:val="auto"/>
                <w:highlight w:val="none"/>
                <w:u w:val="none"/>
              </w:rPr>
            </w:pPr>
            <w:r>
              <w:rPr>
                <w:color w:val="auto"/>
                <w:highlight w:val="none"/>
                <w:u w:val="none"/>
              </w:rPr>
              <w:t>医疗急救</w:t>
            </w:r>
          </w:p>
        </w:tc>
        <w:tc>
          <w:tcPr>
            <w:tcW w:w="2500" w:type="pct"/>
            <w:vAlign w:val="center"/>
          </w:tcPr>
          <w:p w14:paraId="44C3CF3E">
            <w:pPr>
              <w:pStyle w:val="92"/>
              <w:rPr>
                <w:color w:val="auto"/>
                <w:highlight w:val="none"/>
                <w:u w:val="none"/>
              </w:rPr>
            </w:pPr>
            <w:r>
              <w:rPr>
                <w:color w:val="auto"/>
                <w:highlight w:val="none"/>
                <w:u w:val="none"/>
              </w:rPr>
              <w:t>120</w:t>
            </w:r>
          </w:p>
        </w:tc>
      </w:tr>
      <w:tr w14:paraId="18C92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6BFB9211">
            <w:pPr>
              <w:pStyle w:val="92"/>
              <w:rPr>
                <w:color w:val="auto"/>
                <w:highlight w:val="none"/>
                <w:u w:val="none"/>
              </w:rPr>
            </w:pPr>
            <w:r>
              <w:rPr>
                <w:color w:val="auto"/>
                <w:highlight w:val="none"/>
                <w:u w:val="none"/>
              </w:rPr>
              <w:t>劳动保障</w:t>
            </w:r>
          </w:p>
        </w:tc>
        <w:tc>
          <w:tcPr>
            <w:tcW w:w="2500" w:type="pct"/>
            <w:vAlign w:val="center"/>
          </w:tcPr>
          <w:p w14:paraId="15ABB774">
            <w:pPr>
              <w:pStyle w:val="92"/>
              <w:rPr>
                <w:color w:val="auto"/>
                <w:highlight w:val="none"/>
                <w:u w:val="none"/>
              </w:rPr>
            </w:pPr>
            <w:r>
              <w:rPr>
                <w:color w:val="auto"/>
                <w:highlight w:val="none"/>
                <w:u w:val="none"/>
              </w:rPr>
              <w:t>12333</w:t>
            </w:r>
          </w:p>
        </w:tc>
      </w:tr>
      <w:tr w14:paraId="113C4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0616CE4C">
            <w:pPr>
              <w:pStyle w:val="92"/>
              <w:rPr>
                <w:color w:val="auto"/>
                <w:highlight w:val="none"/>
                <w:u w:val="none"/>
              </w:rPr>
            </w:pPr>
            <w:r>
              <w:rPr>
                <w:color w:val="auto"/>
                <w:highlight w:val="none"/>
                <w:u w:val="none"/>
              </w:rPr>
              <w:t>环保投诉</w:t>
            </w:r>
          </w:p>
        </w:tc>
        <w:tc>
          <w:tcPr>
            <w:tcW w:w="2500" w:type="pct"/>
            <w:vAlign w:val="center"/>
          </w:tcPr>
          <w:p w14:paraId="0F4D6362">
            <w:pPr>
              <w:pStyle w:val="92"/>
              <w:rPr>
                <w:color w:val="auto"/>
                <w:highlight w:val="none"/>
                <w:u w:val="none"/>
              </w:rPr>
            </w:pPr>
            <w:r>
              <w:rPr>
                <w:color w:val="auto"/>
                <w:highlight w:val="none"/>
                <w:u w:val="none"/>
              </w:rPr>
              <w:t>12369</w:t>
            </w:r>
          </w:p>
        </w:tc>
      </w:tr>
    </w:tbl>
    <w:p w14:paraId="3B76520E">
      <w:pPr>
        <w:pStyle w:val="6"/>
        <w:spacing w:before="156" w:after="156"/>
        <w:rPr>
          <w:color w:val="auto"/>
          <w:highlight w:val="none"/>
          <w:u w:val="none"/>
        </w:rPr>
      </w:pPr>
      <w:bookmarkStart w:id="692" w:name="_Toc148375145"/>
      <w:bookmarkStart w:id="693" w:name="_Toc148374703"/>
      <w:r>
        <w:rPr>
          <w:color w:val="auto"/>
          <w:highlight w:val="none"/>
          <w:u w:val="none"/>
        </w:rPr>
        <w:t>应急监测、抢险、救援及控制措施</w:t>
      </w:r>
      <w:bookmarkEnd w:id="692"/>
      <w:bookmarkEnd w:id="693"/>
    </w:p>
    <w:p w14:paraId="738E88A4">
      <w:pPr>
        <w:rPr>
          <w:rFonts w:hint="eastAsia"/>
          <w:color w:val="auto"/>
          <w:highlight w:val="none"/>
          <w:u w:val="none"/>
        </w:rPr>
      </w:pPr>
      <w:r>
        <w:rPr>
          <w:color w:val="auto"/>
          <w:highlight w:val="none"/>
          <w:u w:val="none"/>
        </w:rPr>
        <w:t>（1）应急监测</w:t>
      </w:r>
    </w:p>
    <w:p w14:paraId="1BA5C5FE">
      <w:pPr>
        <w:rPr>
          <w:rFonts w:hint="eastAsia"/>
          <w:color w:val="auto"/>
          <w:highlight w:val="none"/>
          <w:u w:val="none"/>
        </w:rPr>
      </w:pPr>
      <w:r>
        <w:rPr>
          <w:color w:val="auto"/>
          <w:highlight w:val="none"/>
          <w:u w:val="none"/>
        </w:rPr>
        <w:t>建设项目</w:t>
      </w:r>
      <w:r>
        <w:rPr>
          <w:rFonts w:hint="eastAsia"/>
          <w:color w:val="auto"/>
          <w:highlight w:val="none"/>
          <w:u w:val="none"/>
        </w:rPr>
        <w:t>突发环境事件应急</w:t>
      </w:r>
      <w:r>
        <w:rPr>
          <w:color w:val="auto"/>
          <w:highlight w:val="none"/>
          <w:u w:val="none"/>
        </w:rPr>
        <w:t>预案中应包括应急监测程序，运行过程中一旦发生事故，应立即启动应急监测程序，并跟踪监测污染物的迁移情况，直至事故影响根本消除。事故应急监测方案与所在地附近环境监测部门共同制订和实施，环境监测人员在工作时间30min内、非工作时间内40min内要到达事故现场，需实验室分析测试的项目，在采样后24h内必须报出，应急监测专题报告在48h内要报出。根据事故发生源，污染物泄漏各类的分析成果，监测事故的特征因子。所有应急监测数据由公司环保科管理，单独建档，永久保存。</w:t>
      </w:r>
    </w:p>
    <w:p w14:paraId="39F53195">
      <w:pPr>
        <w:rPr>
          <w:rFonts w:hint="eastAsia"/>
          <w:color w:val="auto"/>
          <w:highlight w:val="none"/>
          <w:u w:val="none"/>
        </w:rPr>
      </w:pPr>
      <w:r>
        <w:rPr>
          <w:color w:val="auto"/>
          <w:highlight w:val="none"/>
          <w:u w:val="none"/>
        </w:rPr>
        <w:t>①大气污染事故监测方案</w:t>
      </w:r>
    </w:p>
    <w:p w14:paraId="23E7ADE5">
      <w:pPr>
        <w:rPr>
          <w:rFonts w:hint="eastAsia"/>
          <w:color w:val="auto"/>
          <w:highlight w:val="none"/>
          <w:u w:val="none"/>
        </w:rPr>
      </w:pPr>
      <w:r>
        <w:rPr>
          <w:color w:val="auto"/>
          <w:highlight w:val="none"/>
          <w:u w:val="none"/>
        </w:rPr>
        <w:t>发生大气污染事故时，应急监测组要立即组织对下风向地区进行特征污染物及质量监测，等确定污染危害消除后，所撤离人员方可返回。</w:t>
      </w:r>
    </w:p>
    <w:p w14:paraId="6B71822C">
      <w:pPr>
        <w:rPr>
          <w:rFonts w:hint="eastAsia"/>
          <w:color w:val="auto"/>
          <w:highlight w:val="none"/>
          <w:u w:val="none"/>
        </w:rPr>
      </w:pPr>
      <w:r>
        <w:rPr>
          <w:color w:val="auto"/>
          <w:highlight w:val="none"/>
          <w:u w:val="none"/>
        </w:rPr>
        <w:fldChar w:fldCharType="begin"/>
      </w:r>
      <w:r>
        <w:rPr>
          <w:color w:val="auto"/>
          <w:highlight w:val="none"/>
          <w:u w:val="none"/>
        </w:rPr>
        <w:instrText xml:space="preserve"> = 2 \* GB3 </w:instrText>
      </w:r>
      <w:r>
        <w:rPr>
          <w:color w:val="auto"/>
          <w:highlight w:val="none"/>
          <w:u w:val="none"/>
        </w:rPr>
        <w:fldChar w:fldCharType="separate"/>
      </w:r>
      <w:r>
        <w:rPr>
          <w:color w:val="auto"/>
          <w:highlight w:val="none"/>
          <w:u w:val="none"/>
        </w:rPr>
        <w:t>②</w:t>
      </w:r>
      <w:r>
        <w:rPr>
          <w:color w:val="auto"/>
          <w:highlight w:val="none"/>
          <w:u w:val="none"/>
        </w:rPr>
        <w:fldChar w:fldCharType="end"/>
      </w:r>
      <w:r>
        <w:rPr>
          <w:color w:val="auto"/>
          <w:highlight w:val="none"/>
          <w:u w:val="none"/>
        </w:rPr>
        <w:t>地表水应急监测方案</w:t>
      </w:r>
    </w:p>
    <w:p w14:paraId="72B839F7">
      <w:pPr>
        <w:rPr>
          <w:rFonts w:hint="eastAsia"/>
          <w:color w:val="auto"/>
          <w:highlight w:val="none"/>
          <w:u w:val="none"/>
        </w:rPr>
      </w:pPr>
      <w:r>
        <w:rPr>
          <w:color w:val="auto"/>
          <w:highlight w:val="none"/>
          <w:u w:val="none"/>
        </w:rPr>
        <w:t>对于厂区废水总排口和雨水排放口进行在线监测，不合格废水不能直接外排，打回事故池，重新处理达标后回用。</w:t>
      </w:r>
    </w:p>
    <w:p w14:paraId="06440517">
      <w:pPr>
        <w:rPr>
          <w:rFonts w:hint="eastAsia"/>
          <w:color w:val="auto"/>
          <w:highlight w:val="none"/>
          <w:u w:val="none"/>
        </w:rPr>
      </w:pPr>
      <w:r>
        <w:rPr>
          <w:color w:val="auto"/>
          <w:highlight w:val="none"/>
          <w:u w:val="none"/>
        </w:rPr>
        <w:t>出现水污染事件，应急监测组立即组织相关单位对各级排放口就特征污染物进行监测，并及时报告应急指挥部采取相关措施。</w:t>
      </w:r>
    </w:p>
    <w:p w14:paraId="0A9ECE79">
      <w:pPr>
        <w:rPr>
          <w:rFonts w:hint="eastAsia"/>
          <w:color w:val="auto"/>
          <w:highlight w:val="none"/>
          <w:u w:val="none"/>
        </w:rPr>
      </w:pPr>
      <w:r>
        <w:rPr>
          <w:color w:val="auto"/>
          <w:highlight w:val="none"/>
          <w:u w:val="none"/>
        </w:rPr>
        <w:t>事故池启用后，雨排水口正常排雨水时，要对事故池排水口和雨排水口进行跟踪监测，防范二次污染危害。</w:t>
      </w:r>
    </w:p>
    <w:p w14:paraId="3B244E24">
      <w:pPr>
        <w:rPr>
          <w:rFonts w:hint="eastAsia"/>
          <w:color w:val="auto"/>
          <w:highlight w:val="none"/>
          <w:u w:val="none"/>
        </w:rPr>
      </w:pPr>
      <w:r>
        <w:rPr>
          <w:color w:val="auto"/>
          <w:highlight w:val="none"/>
          <w:u w:val="none"/>
        </w:rPr>
        <w:t>（2）救援、控制措施</w:t>
      </w:r>
    </w:p>
    <w:p w14:paraId="575B4ABF">
      <w:pPr>
        <w:rPr>
          <w:rFonts w:hint="eastAsia"/>
          <w:color w:val="auto"/>
          <w:highlight w:val="none"/>
          <w:u w:val="none"/>
        </w:rPr>
      </w:pPr>
      <w:r>
        <w:rPr>
          <w:color w:val="auto"/>
          <w:highlight w:val="none"/>
          <w:u w:val="none"/>
        </w:rPr>
        <w:t>A.水环境污染事故应急措施</w:t>
      </w:r>
    </w:p>
    <w:p w14:paraId="2C3C6D03">
      <w:pPr>
        <w:rPr>
          <w:rFonts w:hint="eastAsia"/>
          <w:color w:val="auto"/>
          <w:highlight w:val="none"/>
          <w:u w:val="none"/>
        </w:rPr>
      </w:pPr>
      <w:r>
        <w:rPr>
          <w:color w:val="auto"/>
          <w:highlight w:val="none"/>
          <w:u w:val="none"/>
        </w:rPr>
        <w:t>水环境污染事故应急措施见本章9.8节。</w:t>
      </w:r>
    </w:p>
    <w:p w14:paraId="62EDBFD8">
      <w:pPr>
        <w:rPr>
          <w:rFonts w:hint="eastAsia"/>
          <w:color w:val="auto"/>
          <w:highlight w:val="none"/>
          <w:u w:val="none"/>
        </w:rPr>
      </w:pPr>
      <w:r>
        <w:rPr>
          <w:color w:val="auto"/>
          <w:highlight w:val="none"/>
          <w:u w:val="none"/>
        </w:rPr>
        <w:t>B.大气污染事故应急措施</w:t>
      </w:r>
    </w:p>
    <w:p w14:paraId="39B211F9">
      <w:pPr>
        <w:rPr>
          <w:rFonts w:hint="eastAsia"/>
          <w:color w:val="auto"/>
          <w:highlight w:val="none"/>
          <w:u w:val="none"/>
        </w:rPr>
      </w:pPr>
      <w:r>
        <w:rPr>
          <w:color w:val="auto"/>
          <w:highlight w:val="none"/>
          <w:u w:val="none"/>
        </w:rPr>
        <w:t>①发生火灾爆炸或有害气体泄漏可能引发大气污染事件，即可启动安全应急预案，保护人身安全，防范事故的扩延。</w:t>
      </w:r>
    </w:p>
    <w:p w14:paraId="628E7D27">
      <w:pPr>
        <w:rPr>
          <w:rFonts w:hint="eastAsia"/>
          <w:color w:val="auto"/>
          <w:highlight w:val="none"/>
          <w:u w:val="none"/>
        </w:rPr>
      </w:pPr>
      <w:r>
        <w:rPr>
          <w:color w:val="auto"/>
          <w:highlight w:val="none"/>
          <w:u w:val="none"/>
        </w:rPr>
        <w:t>②当发生光气、氯气、氯化氢、甲苯、一氧化碳等有毒物质泄漏时，有可能涉及周边地区居民人身安全、财产损失和环境污染，对外联络协调组要立即设法通知周边地区单位和关联单位，采取紧急措施，预防事故扩大，避免发生人员伤亡事故，最大限度降低事故损失。保卫处要负责做好周边地区居民有关疏散、引导、安置等相关工作。</w:t>
      </w:r>
    </w:p>
    <w:p w14:paraId="56560C9D">
      <w:pPr>
        <w:rPr>
          <w:rFonts w:hint="eastAsia"/>
          <w:color w:val="auto"/>
          <w:highlight w:val="none"/>
          <w:u w:val="none"/>
        </w:rPr>
      </w:pPr>
      <w:r>
        <w:rPr>
          <w:color w:val="auto"/>
          <w:highlight w:val="none"/>
          <w:u w:val="none"/>
        </w:rPr>
        <w:t>（3）污染事故处理预案</w:t>
      </w:r>
    </w:p>
    <w:p w14:paraId="7049C950">
      <w:pPr>
        <w:rPr>
          <w:rFonts w:hint="eastAsia"/>
          <w:color w:val="auto"/>
          <w:highlight w:val="none"/>
          <w:u w:val="none"/>
        </w:rPr>
      </w:pPr>
      <w:r>
        <w:rPr>
          <w:color w:val="auto"/>
          <w:highlight w:val="none"/>
          <w:u w:val="none"/>
        </w:rPr>
        <w:t>拟建项目生产所需的化工原料、中间品等，多数都是化学品，存在潜在的污染事故发生的可能性。所以，一旦发生有毒有害物质泄漏等事故，危急环境时，应迅速采取如下应急救援措施。</w:t>
      </w:r>
    </w:p>
    <w:p w14:paraId="27E3B4BE">
      <w:pPr>
        <w:rPr>
          <w:rFonts w:hint="eastAsia"/>
          <w:color w:val="auto"/>
          <w:highlight w:val="none"/>
          <w:u w:val="none"/>
        </w:rPr>
      </w:pPr>
      <w:r>
        <w:rPr>
          <w:color w:val="auto"/>
          <w:highlight w:val="none"/>
          <w:u w:val="none"/>
        </w:rPr>
        <w:t>①发现泄漏事故者应立即向生产调度室报告；</w:t>
      </w:r>
    </w:p>
    <w:p w14:paraId="4E05885A">
      <w:pPr>
        <w:rPr>
          <w:rFonts w:hint="eastAsia"/>
          <w:color w:val="auto"/>
          <w:highlight w:val="none"/>
          <w:u w:val="none"/>
        </w:rPr>
      </w:pPr>
      <w:r>
        <w:rPr>
          <w:color w:val="auto"/>
          <w:highlight w:val="none"/>
          <w:u w:val="none"/>
        </w:rPr>
        <w:t>②生产调度室接到报警后，应迅速查清发生泄漏事故的地点和部位，并迅速通知指挥部成员前往事故现场；</w:t>
      </w:r>
    </w:p>
    <w:p w14:paraId="16BEC55F">
      <w:pPr>
        <w:rPr>
          <w:rFonts w:hint="eastAsia"/>
          <w:color w:val="auto"/>
          <w:highlight w:val="none"/>
          <w:u w:val="none"/>
        </w:rPr>
      </w:pPr>
      <w:r>
        <w:rPr>
          <w:color w:val="auto"/>
          <w:highlight w:val="none"/>
          <w:u w:val="none"/>
        </w:rPr>
        <w:t>③指挥部应立即通知各职能部门按专业分工开展工作，必要时向主管部门和上级领导机关报告事故情况；</w:t>
      </w:r>
    </w:p>
    <w:p w14:paraId="588B2022">
      <w:pPr>
        <w:rPr>
          <w:rFonts w:hint="eastAsia"/>
          <w:color w:val="auto"/>
          <w:highlight w:val="none"/>
          <w:u w:val="none"/>
        </w:rPr>
      </w:pPr>
      <w:r>
        <w:rPr>
          <w:color w:val="auto"/>
          <w:highlight w:val="none"/>
          <w:u w:val="none"/>
        </w:rPr>
        <w:t>④发生泄漏事故的岗位在报警的同时，应组织力量根据泄漏化学品的性质，采取相应的手段进行处理。若有毒气体发生泄漏，应使用消防水对有毒气体进行喷淋洗涤，并迅速关闭相关阀门切断气源；若有毒有害液体发生泄漏，应使用消防水对有毒害液体进行大量稀释，并迅速关闭相关阀门切断污染源；</w:t>
      </w:r>
    </w:p>
    <w:p w14:paraId="4598293E">
      <w:pPr>
        <w:rPr>
          <w:rFonts w:hint="eastAsia"/>
          <w:color w:val="auto"/>
          <w:highlight w:val="none"/>
          <w:u w:val="none"/>
        </w:rPr>
      </w:pPr>
      <w:r>
        <w:rPr>
          <w:color w:val="auto"/>
          <w:highlight w:val="none"/>
          <w:u w:val="none"/>
        </w:rPr>
        <w:t>⑤消防救护队员接到报警电话后，应立即赶到现场，戴好防毒面具进行搜寻中毒或受伤人员，若发现中毒的伤员应救出毒区，并引导无关人员撤离现场；对抢险人员进行监护和供给防毒器材；配合医生对受伤者实施救护工作。按预定的作战方案，针对不同介质和部位，采取消洗、现场冲洗、加水稀释等措施；</w:t>
      </w:r>
    </w:p>
    <w:p w14:paraId="3B22F623">
      <w:pPr>
        <w:rPr>
          <w:rFonts w:hint="eastAsia"/>
          <w:color w:val="auto"/>
          <w:highlight w:val="none"/>
          <w:u w:val="none"/>
        </w:rPr>
      </w:pPr>
      <w:r>
        <w:rPr>
          <w:color w:val="auto"/>
          <w:highlight w:val="none"/>
          <w:u w:val="none"/>
        </w:rPr>
        <w:t>⑥环保管理人员到达事故现场后，查明泄漏浓度和扩散情况，必要时报告地方生态环境部门。并根据当时的风向、风速判断扩散的方向速度，对泄漏点下风扩散区进行监测分析，并将监测结果及时报告指挥部；</w:t>
      </w:r>
    </w:p>
    <w:p w14:paraId="143DD6CF">
      <w:pPr>
        <w:rPr>
          <w:rFonts w:hint="eastAsia"/>
          <w:color w:val="auto"/>
          <w:highlight w:val="none"/>
          <w:u w:val="none"/>
        </w:rPr>
      </w:pPr>
      <w:r>
        <w:rPr>
          <w:color w:val="auto"/>
          <w:highlight w:val="none"/>
          <w:u w:val="none"/>
        </w:rPr>
        <w:t>⑦生产管理部门到达事故现场后，应会同发生事故的车间视泄漏能否控制，是否会扩大蔓延到其它部位等情况，做出局部或全部停车的决定。若需紧急停车，则按紧急停车程序作停车处理；</w:t>
      </w:r>
    </w:p>
    <w:p w14:paraId="5AF5403F">
      <w:pPr>
        <w:rPr>
          <w:rFonts w:hint="eastAsia"/>
          <w:color w:val="auto"/>
          <w:highlight w:val="none"/>
          <w:u w:val="none"/>
        </w:rPr>
      </w:pPr>
      <w:r>
        <w:rPr>
          <w:color w:val="auto"/>
          <w:highlight w:val="none"/>
          <w:u w:val="none"/>
        </w:rPr>
        <w:t>⑧保卫部门到达事故现场后，迅速设立警戒线，加强现场警戒治安工作，严密注视泄漏发展和蔓延情况，及时向指挥部报告；</w:t>
      </w:r>
    </w:p>
    <w:p w14:paraId="7CD459D5">
      <w:pPr>
        <w:rPr>
          <w:rFonts w:hint="eastAsia"/>
          <w:color w:val="auto"/>
          <w:highlight w:val="none"/>
          <w:u w:val="none"/>
        </w:rPr>
      </w:pPr>
      <w:r>
        <w:rPr>
          <w:color w:val="auto"/>
          <w:highlight w:val="none"/>
          <w:u w:val="none"/>
        </w:rPr>
        <w:t>⑨</w:t>
      </w:r>
      <w:r>
        <w:rPr>
          <w:rFonts w:hint="eastAsia"/>
          <w:color w:val="auto"/>
          <w:highlight w:val="none"/>
          <w:u w:val="none"/>
        </w:rPr>
        <w:t>医疗</w:t>
      </w:r>
      <w:r>
        <w:rPr>
          <w:color w:val="auto"/>
          <w:highlight w:val="none"/>
          <w:u w:val="none"/>
        </w:rPr>
        <w:t>救护队到达现场后，与消防救护队配合，立即开展救护伤员的工作，对重伤员迅速送医院进行抢救</w:t>
      </w:r>
      <w:r>
        <w:rPr>
          <w:rFonts w:hint="eastAsia"/>
          <w:color w:val="auto"/>
          <w:highlight w:val="none"/>
          <w:u w:val="none"/>
        </w:rPr>
        <w:t>。</w:t>
      </w:r>
    </w:p>
    <w:p w14:paraId="0A6094CA">
      <w:pPr>
        <w:pStyle w:val="6"/>
        <w:spacing w:before="156" w:after="156"/>
        <w:rPr>
          <w:color w:val="auto"/>
          <w:highlight w:val="none"/>
          <w:u w:val="none"/>
        </w:rPr>
      </w:pPr>
      <w:bookmarkStart w:id="694" w:name="_Toc148375146"/>
      <w:bookmarkStart w:id="695" w:name="_Toc148374704"/>
      <w:bookmarkStart w:id="696" w:name="OLE_LINK10"/>
      <w:bookmarkStart w:id="697" w:name="OLE_LINK9"/>
      <w:r>
        <w:rPr>
          <w:color w:val="auto"/>
          <w:highlight w:val="none"/>
          <w:u w:val="none"/>
        </w:rPr>
        <w:t>人员紧急撤离、疏散</w:t>
      </w:r>
      <w:bookmarkEnd w:id="694"/>
      <w:bookmarkEnd w:id="695"/>
    </w:p>
    <w:bookmarkEnd w:id="696"/>
    <w:bookmarkEnd w:id="697"/>
    <w:p w14:paraId="76BD33E6">
      <w:pPr>
        <w:pStyle w:val="7"/>
        <w:spacing w:before="156"/>
        <w:rPr>
          <w:color w:val="auto"/>
          <w:highlight w:val="none"/>
          <w:u w:val="none"/>
        </w:rPr>
      </w:pPr>
      <w:bookmarkStart w:id="698" w:name="_Hlk30086889"/>
      <w:r>
        <w:rPr>
          <w:color w:val="auto"/>
          <w:highlight w:val="none"/>
          <w:u w:val="none"/>
        </w:rPr>
        <w:t>人员紧急撤离、疏散</w:t>
      </w:r>
    </w:p>
    <w:bookmarkEnd w:id="698"/>
    <w:p w14:paraId="7BFEFDB2">
      <w:pPr>
        <w:rPr>
          <w:rFonts w:hint="eastAsia"/>
          <w:color w:val="auto"/>
          <w:highlight w:val="none"/>
          <w:u w:val="none"/>
        </w:rPr>
      </w:pPr>
      <w:r>
        <w:rPr>
          <w:color w:val="auto"/>
          <w:highlight w:val="none"/>
          <w:u w:val="none"/>
        </w:rPr>
        <w:t>为防止发生重大风险事故，对影响范围内人员的影响，对于人员的疏散和撤离，要求如下：</w:t>
      </w:r>
    </w:p>
    <w:p w14:paraId="75381E4B">
      <w:pPr>
        <w:rPr>
          <w:rFonts w:hint="eastAsia"/>
          <w:color w:val="auto"/>
          <w:highlight w:val="none"/>
          <w:u w:val="none"/>
        </w:rPr>
      </w:pPr>
      <w:r>
        <w:rPr>
          <w:color w:val="auto"/>
          <w:highlight w:val="none"/>
          <w:u w:val="none"/>
        </w:rPr>
        <w:t>疏散、撤离负责人</w:t>
      </w:r>
    </w:p>
    <w:p w14:paraId="69C06B26">
      <w:pPr>
        <w:rPr>
          <w:rFonts w:hint="eastAsia"/>
          <w:color w:val="auto"/>
          <w:highlight w:val="none"/>
          <w:u w:val="none"/>
        </w:rPr>
      </w:pPr>
      <w:r>
        <w:rPr>
          <w:color w:val="auto"/>
          <w:highlight w:val="none"/>
          <w:u w:val="none"/>
        </w:rPr>
        <w:t>事故发生后，由各生产班组安全员作为疏散、撤离组织负责人。</w:t>
      </w:r>
    </w:p>
    <w:p w14:paraId="6FF7C9FA">
      <w:pPr>
        <w:rPr>
          <w:rFonts w:hint="eastAsia"/>
          <w:color w:val="auto"/>
          <w:highlight w:val="none"/>
          <w:u w:val="none"/>
        </w:rPr>
      </w:pPr>
      <w:r>
        <w:rPr>
          <w:color w:val="auto"/>
          <w:highlight w:val="none"/>
          <w:u w:val="none"/>
        </w:rPr>
        <w:t>（</w:t>
      </w:r>
      <w:r>
        <w:rPr>
          <w:rFonts w:hint="eastAsia"/>
          <w:color w:val="auto"/>
          <w:highlight w:val="none"/>
          <w:u w:val="none"/>
          <w:lang w:val="en-US"/>
        </w:rPr>
        <w:t>1</w:t>
      </w:r>
      <w:r>
        <w:rPr>
          <w:color w:val="auto"/>
          <w:highlight w:val="none"/>
          <w:u w:val="none"/>
        </w:rPr>
        <w:t>）事故现场人员清点、撤离方式、方法</w:t>
      </w:r>
    </w:p>
    <w:p w14:paraId="3119A619">
      <w:pPr>
        <w:rPr>
          <w:rFonts w:hint="eastAsia"/>
          <w:color w:val="auto"/>
          <w:highlight w:val="none"/>
          <w:u w:val="none"/>
        </w:rPr>
      </w:pPr>
      <w:r>
        <w:rPr>
          <w:color w:val="auto"/>
          <w:highlight w:val="none"/>
          <w:u w:val="none"/>
        </w:rPr>
        <w:t>当发生重大泄漏和火灾事故时，由应急指挥部实施紧急疏散、撤离计划。事故区域所有员工必须执行紧急疏散、撤离命令。侦检抢救队员应立即到达事故现场，设立警戒区域，在疏散和撤离的路线上可设立指示牌，指明方向，指导警戒区内的员工有序的离开。警戒区域内的各生产班组安全员应清点撤离人员，检查确认区域内确无任何人滞留后，向指挥组汇报撤离人数，进行最后撤离。人员不要在低洼处滞留；要查清是否有人留在泄漏区或污染区。如有没有及时撤离人员，应由配戴适宜防护装备的抢险队员两人进入现场搜寻，并实施救助。</w:t>
      </w:r>
    </w:p>
    <w:p w14:paraId="7DC411B7">
      <w:pPr>
        <w:rPr>
          <w:rFonts w:hint="eastAsia"/>
          <w:color w:val="auto"/>
          <w:highlight w:val="none"/>
          <w:u w:val="none"/>
        </w:rPr>
      </w:pPr>
      <w:r>
        <w:rPr>
          <w:color w:val="auto"/>
          <w:highlight w:val="none"/>
          <w:u w:val="none"/>
        </w:rPr>
        <w:t>当员工接到紧急撤离命令后，应对生产装置进行紧急停车，并对物料进行安全处置无危险后，方可撤离岗位到指定地点进行集合。员工在撤离过程中，应戴好岗位上所配备的防毒面具，在无防毒面具的情况下，不能剧烈奔跑和碰撞容易产生火花的铁器或石块，应</w:t>
      </w:r>
      <w:r>
        <w:rPr>
          <w:rFonts w:hint="eastAsia"/>
          <w:color w:val="auto"/>
          <w:highlight w:val="none"/>
          <w:u w:val="none"/>
        </w:rPr>
        <w:t>屏住</w:t>
      </w:r>
      <w:r>
        <w:rPr>
          <w:color w:val="auto"/>
          <w:highlight w:val="none"/>
          <w:u w:val="none"/>
        </w:rPr>
        <w:t>呼吸，用湿毛巾捂住口、鼻部位，缓缓地朝逆风方向，或指定的集中地点走去。</w:t>
      </w:r>
    </w:p>
    <w:p w14:paraId="0612ABEE">
      <w:pPr>
        <w:rPr>
          <w:rFonts w:hint="eastAsia"/>
          <w:color w:val="auto"/>
          <w:highlight w:val="none"/>
          <w:u w:val="none"/>
        </w:rPr>
      </w:pPr>
      <w:r>
        <w:rPr>
          <w:color w:val="auto"/>
          <w:highlight w:val="none"/>
          <w:u w:val="none"/>
        </w:rPr>
        <w:t>（</w:t>
      </w:r>
      <w:r>
        <w:rPr>
          <w:rFonts w:hint="eastAsia"/>
          <w:color w:val="auto"/>
          <w:highlight w:val="none"/>
          <w:u w:val="none"/>
          <w:lang w:val="en-US"/>
        </w:rPr>
        <w:t>2</w:t>
      </w:r>
      <w:r>
        <w:rPr>
          <w:color w:val="auto"/>
          <w:highlight w:val="none"/>
          <w:u w:val="none"/>
        </w:rPr>
        <w:t>）社会关注区应急撤离、疏散计划</w:t>
      </w:r>
    </w:p>
    <w:p w14:paraId="164E791C">
      <w:pPr>
        <w:rPr>
          <w:rFonts w:hint="eastAsia"/>
          <w:color w:val="auto"/>
          <w:highlight w:val="none"/>
          <w:u w:val="none"/>
        </w:rPr>
      </w:pPr>
      <w:r>
        <w:rPr>
          <w:color w:val="auto"/>
          <w:highlight w:val="none"/>
          <w:u w:val="none"/>
        </w:rPr>
        <w:t>A.应急撤离步骤和指导思想</w:t>
      </w:r>
    </w:p>
    <w:p w14:paraId="2C9DB44C">
      <w:pPr>
        <w:rPr>
          <w:rFonts w:hint="eastAsia"/>
          <w:color w:val="auto"/>
          <w:highlight w:val="none"/>
          <w:u w:val="none"/>
        </w:rPr>
      </w:pPr>
      <w:r>
        <w:rPr>
          <w:color w:val="auto"/>
          <w:highlight w:val="none"/>
          <w:u w:val="none"/>
        </w:rPr>
        <w:t>拟建项目环境敏感的重点关注区是：周围村庄、企业单位人员。</w:t>
      </w:r>
    </w:p>
    <w:p w14:paraId="4FBFC5DB">
      <w:pPr>
        <w:rPr>
          <w:rFonts w:hint="eastAsia"/>
          <w:color w:val="auto"/>
          <w:highlight w:val="none"/>
          <w:u w:val="none"/>
        </w:rPr>
      </w:pPr>
      <w:r>
        <w:rPr>
          <w:color w:val="auto"/>
          <w:highlight w:val="none"/>
          <w:u w:val="none"/>
        </w:rPr>
        <w:t>根据环境风险预测结果，当发生化工品泄漏、火灾爆炸，有毒有害气体泄漏事故时，应对重点关注区制定详细的应急响应预案及应急撤离、疏散计划，具体如下：</w:t>
      </w:r>
    </w:p>
    <w:p w14:paraId="661BF12D">
      <w:pPr>
        <w:rPr>
          <w:rFonts w:hint="eastAsia"/>
          <w:color w:val="auto"/>
          <w:highlight w:val="none"/>
          <w:u w:val="none"/>
        </w:rPr>
      </w:pPr>
      <w:r>
        <w:rPr>
          <w:color w:val="auto"/>
          <w:highlight w:val="none"/>
          <w:u w:val="none"/>
        </w:rPr>
        <w:t>①根据《突发公共卫生事件应急条例》及《突发环境事件应急管理办法》（部令）34号文）的有关规定，的要求，坚决贯彻“信息畅通、反应快捷、指挥有力、责任明确”的应急</w:t>
      </w:r>
      <w:r>
        <w:rPr>
          <w:rFonts w:hint="eastAsia"/>
          <w:color w:val="auto"/>
          <w:highlight w:val="none"/>
          <w:u w:val="none"/>
          <w:lang w:val="en-US"/>
        </w:rPr>
        <w:t>原</w:t>
      </w:r>
      <w:r>
        <w:rPr>
          <w:color w:val="auto"/>
          <w:highlight w:val="none"/>
          <w:u w:val="none"/>
        </w:rPr>
        <w:t>则分别制定各关注区的“公共安全应急预案”。</w:t>
      </w:r>
    </w:p>
    <w:p w14:paraId="0A2D2D65">
      <w:pPr>
        <w:rPr>
          <w:rFonts w:hint="eastAsia"/>
          <w:color w:val="auto"/>
          <w:highlight w:val="none"/>
          <w:u w:val="none"/>
        </w:rPr>
      </w:pPr>
      <w:r>
        <w:rPr>
          <w:color w:val="auto"/>
          <w:highlight w:val="none"/>
          <w:u w:val="none"/>
        </w:rPr>
        <w:t>②“各关注点常设专项机构、专人（一般由村委会、企业调度室）与</w:t>
      </w:r>
      <w:r>
        <w:rPr>
          <w:rFonts w:hint="eastAsia"/>
          <w:color w:val="auto"/>
          <w:highlight w:val="none"/>
          <w:u w:val="none"/>
        </w:rPr>
        <w:t>万华福建公司</w:t>
      </w:r>
      <w:r>
        <w:rPr>
          <w:color w:val="auto"/>
          <w:highlight w:val="none"/>
          <w:u w:val="none"/>
        </w:rPr>
        <w:t>调度室保持联系，无事故状态下进行定期信息互换和监督管理，事故状态下则进行事故报警、应急措施指导、通报以及处理结果反馈等紧急信息联络。</w:t>
      </w:r>
    </w:p>
    <w:p w14:paraId="28B806BB">
      <w:pPr>
        <w:rPr>
          <w:rFonts w:hint="eastAsia"/>
          <w:color w:val="auto"/>
          <w:highlight w:val="none"/>
          <w:u w:val="none"/>
        </w:rPr>
      </w:pPr>
      <w:r>
        <w:rPr>
          <w:color w:val="auto"/>
          <w:highlight w:val="none"/>
          <w:u w:val="none"/>
        </w:rPr>
        <w:t>③在发生特重大有毒有害物质泄漏、火灾、爆炸事故情况下，调度室应立即通知受影响敏感区公共安全应急预案小组，预案指导小组应根据事故通报信息及时通过高音广播或专职信息员向受灾居民报警，杜绝明火，主要路口组织人员发放安全防范用具（防毒面具、口罩等），并按照风向、风速指示器及撤离应急计划安排敏感区内居民有序、快速撤离到远离事故发生地点的空旷地带，附近地区消防、公安武警、医疗机构及时出调相关人员，确保撤离路线安全、通畅、组织有序、救护及时。对于老弱病残人员，应组织专业人员或车辆进行特殊保护、撤离。并要求启动人员安置及物资供应紧急方案，同时向相关地方部门和国家有关部门及时通报应急处理情况。</w:t>
      </w:r>
    </w:p>
    <w:p w14:paraId="7BD23B59">
      <w:pPr>
        <w:rPr>
          <w:rFonts w:hint="eastAsia"/>
          <w:color w:val="auto"/>
          <w:highlight w:val="none"/>
          <w:u w:val="none"/>
        </w:rPr>
      </w:pPr>
      <w:r>
        <w:rPr>
          <w:color w:val="auto"/>
          <w:highlight w:val="none"/>
          <w:u w:val="none"/>
        </w:rPr>
        <w:t>④突发事故结束后，根据敏感点的实际情况，结合环境监测部门的监测结果，由受害区应急预案小组协同福州市地方政府、</w:t>
      </w:r>
      <w:r>
        <w:rPr>
          <w:rFonts w:hint="eastAsia"/>
          <w:color w:val="auto"/>
          <w:highlight w:val="none"/>
          <w:u w:val="none"/>
        </w:rPr>
        <w:t>万华福建公司</w:t>
      </w:r>
      <w:r>
        <w:rPr>
          <w:color w:val="auto"/>
          <w:highlight w:val="none"/>
          <w:u w:val="none"/>
        </w:rPr>
        <w:t>等相关部门，通知、组织安排撤离人员有序返回，必要时应提供相关帮助和支持，做好人员返回后的善后、赔偿、教育工作，并适时宣布关闭事故应急程序。</w:t>
      </w:r>
    </w:p>
    <w:p w14:paraId="096052EE">
      <w:pPr>
        <w:rPr>
          <w:rFonts w:hint="eastAsia"/>
          <w:color w:val="auto"/>
          <w:highlight w:val="none"/>
          <w:u w:val="none"/>
        </w:rPr>
      </w:pPr>
      <w:r>
        <w:rPr>
          <w:color w:val="auto"/>
          <w:highlight w:val="none"/>
          <w:u w:val="none"/>
        </w:rPr>
        <w:t>⑤结合本公司事故应急预案，定期组织敏感点内</w:t>
      </w:r>
      <w:r>
        <w:rPr>
          <w:rFonts w:hint="eastAsia"/>
          <w:color w:val="auto"/>
          <w:highlight w:val="none"/>
          <w:u w:val="none"/>
          <w:lang w:eastAsia="zh-CN"/>
        </w:rPr>
        <w:t>常住</w:t>
      </w:r>
      <w:r>
        <w:rPr>
          <w:color w:val="auto"/>
          <w:highlight w:val="none"/>
          <w:u w:val="none"/>
        </w:rPr>
        <w:t>居民进行健康、安全教育和应急预案演习，提高自我防范意识和自救能力，安排能力较强居民作为安全协防人员，协调敏感区应急指导小组与居民群众的紧急事故处理关系。</w:t>
      </w:r>
    </w:p>
    <w:p w14:paraId="74287547">
      <w:pPr>
        <w:rPr>
          <w:rFonts w:hint="eastAsia"/>
          <w:color w:val="auto"/>
          <w:highlight w:val="none"/>
          <w:u w:val="none"/>
        </w:rPr>
      </w:pPr>
      <w:r>
        <w:rPr>
          <w:color w:val="auto"/>
          <w:highlight w:val="none"/>
          <w:u w:val="none"/>
        </w:rPr>
        <w:t>（3）日常宣传范围</w:t>
      </w:r>
    </w:p>
    <w:p w14:paraId="7AC4E2E8">
      <w:pPr>
        <w:rPr>
          <w:rFonts w:hint="eastAsia"/>
          <w:color w:val="auto"/>
          <w:highlight w:val="none"/>
          <w:u w:val="none"/>
        </w:rPr>
      </w:pPr>
      <w:r>
        <w:rPr>
          <w:color w:val="auto"/>
          <w:highlight w:val="none"/>
          <w:u w:val="none"/>
        </w:rPr>
        <w:t>项目</w:t>
      </w:r>
      <w:r>
        <w:rPr>
          <w:rFonts w:hint="eastAsia"/>
          <w:color w:val="auto"/>
          <w:highlight w:val="none"/>
          <w:u w:val="none"/>
        </w:rPr>
        <w:t>建设单位</w:t>
      </w:r>
      <w:r>
        <w:rPr>
          <w:color w:val="auto"/>
          <w:highlight w:val="none"/>
          <w:u w:val="none"/>
        </w:rPr>
        <w:t>应制作安全宣传手册，重点对项目厂界外</w:t>
      </w:r>
      <w:r>
        <w:rPr>
          <w:rFonts w:hint="eastAsia"/>
          <w:color w:val="auto"/>
          <w:highlight w:val="none"/>
          <w:u w:val="none"/>
          <w:lang w:val="en-US"/>
        </w:rPr>
        <w:t>11.0</w:t>
      </w:r>
      <w:r>
        <w:rPr>
          <w:color w:val="auto"/>
          <w:highlight w:val="none"/>
          <w:u w:val="none"/>
        </w:rPr>
        <w:t>km范围内的居民进行安全宣教，对项目可能对周围环境造成的影响进行客观的宣传，并进行环境风险应急演练。</w:t>
      </w:r>
    </w:p>
    <w:p w14:paraId="29D792AA">
      <w:pPr>
        <w:rPr>
          <w:rFonts w:hint="eastAsia"/>
          <w:color w:val="auto"/>
          <w:highlight w:val="none"/>
          <w:u w:val="none"/>
        </w:rPr>
      </w:pPr>
      <w:r>
        <w:rPr>
          <w:color w:val="auto"/>
          <w:highlight w:val="none"/>
          <w:u w:val="none"/>
        </w:rPr>
        <w:t>（4）撤离路线</w:t>
      </w:r>
    </w:p>
    <w:p w14:paraId="06A5A309">
      <w:pPr>
        <w:rPr>
          <w:rFonts w:hint="eastAsia"/>
          <w:color w:val="auto"/>
          <w:highlight w:val="none"/>
          <w:u w:val="none"/>
        </w:rPr>
      </w:pPr>
      <w:r>
        <w:rPr>
          <w:color w:val="auto"/>
          <w:highlight w:val="none"/>
          <w:u w:val="none"/>
        </w:rPr>
        <w:t>建设单位应按照《建设项目环境风险评价技术导则》（HJ169-2018）、《国家突发环境事件应急预案》、《企业事业单位突发环境应急预案备案管理办法（试行）》（环发〔2015〕4号）、</w:t>
      </w:r>
      <w:r>
        <w:rPr>
          <w:rFonts w:hint="eastAsia"/>
          <w:color w:val="auto"/>
          <w:highlight w:val="none"/>
          <w:u w:val="none"/>
        </w:rPr>
        <w:t>《</w:t>
      </w:r>
      <w:r>
        <w:rPr>
          <w:color w:val="auto"/>
          <w:highlight w:val="none"/>
          <w:u w:val="none"/>
        </w:rPr>
        <w:t>福建省人民政府“关于印发福建省突发环境事件应急预案的通知”</w:t>
      </w:r>
      <w:r>
        <w:rPr>
          <w:rFonts w:hint="eastAsia"/>
          <w:color w:val="auto"/>
          <w:highlight w:val="none"/>
          <w:u w:val="none"/>
        </w:rPr>
        <w:t>》</w:t>
      </w:r>
      <w:r>
        <w:rPr>
          <w:color w:val="auto"/>
          <w:highlight w:val="none"/>
          <w:u w:val="none"/>
        </w:rPr>
        <w:t>（闽政办〔2015〕102号）等文件，编制应急预案，制订项目环境风险紧急撤离方案，划定紧急疏散人群集中点和撤离路线，相应负责人应将发生事故的场所，设施及周围情况、化学品的性质和危害程度，以及当时的风向</w:t>
      </w:r>
      <w:r>
        <w:rPr>
          <w:rFonts w:hint="eastAsia"/>
          <w:color w:val="auto"/>
          <w:highlight w:val="none"/>
          <w:u w:val="none"/>
        </w:rPr>
        <w:t>（</w:t>
      </w:r>
      <w:r>
        <w:rPr>
          <w:color w:val="auto"/>
          <w:highlight w:val="none"/>
          <w:u w:val="none"/>
        </w:rPr>
        <w:t>根据设立的风向标</w:t>
      </w:r>
      <w:r>
        <w:rPr>
          <w:rFonts w:hint="eastAsia"/>
          <w:color w:val="auto"/>
          <w:highlight w:val="none"/>
          <w:u w:val="none"/>
        </w:rPr>
        <w:t>）</w:t>
      </w:r>
      <w:r>
        <w:rPr>
          <w:color w:val="auto"/>
          <w:highlight w:val="none"/>
          <w:u w:val="none"/>
        </w:rPr>
        <w:t>等气象情况向应急指挥部作详细报告后确定疏散、撤离路线，撤离过程中，受影响人员应配备防毒面具等必要防护装备。</w:t>
      </w:r>
    </w:p>
    <w:p w14:paraId="2021CBA4">
      <w:pPr>
        <w:rPr>
          <w:rFonts w:hint="eastAsia"/>
          <w:color w:val="auto"/>
          <w:highlight w:val="none"/>
          <w:u w:val="none"/>
        </w:rPr>
      </w:pPr>
      <w:r>
        <w:rPr>
          <w:color w:val="auto"/>
          <w:highlight w:val="none"/>
          <w:u w:val="none"/>
        </w:rPr>
        <w:t>疏散警报响起，首先判断风向，原则上往上风处疏散，若气体泄漏源为上风处时，宜向与风向垂直</w:t>
      </w:r>
      <w:r>
        <w:rPr>
          <w:rFonts w:hint="eastAsia"/>
          <w:color w:val="auto"/>
          <w:highlight w:val="none"/>
          <w:u w:val="none"/>
        </w:rPr>
        <w:t>的</w:t>
      </w:r>
      <w:r>
        <w:rPr>
          <w:color w:val="auto"/>
          <w:highlight w:val="none"/>
          <w:u w:val="none"/>
        </w:rPr>
        <w:t>方向疏散</w:t>
      </w:r>
      <w:r>
        <w:rPr>
          <w:rFonts w:hint="eastAsia"/>
          <w:color w:val="auto"/>
          <w:highlight w:val="none"/>
          <w:u w:val="none"/>
        </w:rPr>
        <w:t>（</w:t>
      </w:r>
      <w:r>
        <w:rPr>
          <w:color w:val="auto"/>
          <w:highlight w:val="none"/>
          <w:u w:val="none"/>
        </w:rPr>
        <w:t>以宽度疏散</w:t>
      </w:r>
      <w:r>
        <w:rPr>
          <w:rFonts w:hint="eastAsia"/>
          <w:color w:val="auto"/>
          <w:highlight w:val="none"/>
          <w:u w:val="none"/>
        </w:rPr>
        <w:t>）</w:t>
      </w:r>
      <w:r>
        <w:rPr>
          <w:color w:val="auto"/>
          <w:highlight w:val="none"/>
          <w:u w:val="none"/>
        </w:rPr>
        <w:t>。</w:t>
      </w:r>
    </w:p>
    <w:p w14:paraId="7FB9D4D6">
      <w:pPr>
        <w:rPr>
          <w:rFonts w:hint="eastAsia"/>
          <w:color w:val="auto"/>
          <w:highlight w:val="none"/>
          <w:u w:val="none"/>
        </w:rPr>
      </w:pPr>
      <w:r>
        <w:rPr>
          <w:color w:val="auto"/>
          <w:highlight w:val="none"/>
          <w:u w:val="none"/>
        </w:rPr>
        <w:t>为使疏散计划执行期间厂内员工能从容撤离灾区，要随时了解员工状况，采取必要</w:t>
      </w:r>
      <w:r>
        <w:rPr>
          <w:rFonts w:hint="eastAsia"/>
          <w:color w:val="auto"/>
          <w:highlight w:val="none"/>
          <w:u w:val="none"/>
        </w:rPr>
        <w:t>的</w:t>
      </w:r>
      <w:r>
        <w:rPr>
          <w:color w:val="auto"/>
          <w:highlight w:val="none"/>
          <w:u w:val="none"/>
        </w:rPr>
        <w:t>应变措施，根据厂内疏散路线，员工按照指示迅速撤离、疏散至集合地点大门口，各生产班组安全员负责人清点人数。</w:t>
      </w:r>
    </w:p>
    <w:p w14:paraId="49795114">
      <w:pPr>
        <w:rPr>
          <w:rFonts w:hint="eastAsia"/>
          <w:color w:val="auto"/>
          <w:highlight w:val="none"/>
          <w:u w:val="none"/>
        </w:rPr>
      </w:pPr>
      <w:r>
        <w:rPr>
          <w:color w:val="auto"/>
          <w:highlight w:val="none"/>
          <w:u w:val="none"/>
        </w:rPr>
        <w:t>（5）非事故原发点/非现场人员的紧急疏散</w:t>
      </w:r>
    </w:p>
    <w:p w14:paraId="200E3886">
      <w:pPr>
        <w:rPr>
          <w:rFonts w:hint="eastAsia"/>
          <w:color w:val="auto"/>
          <w:highlight w:val="none"/>
          <w:u w:val="none"/>
        </w:rPr>
      </w:pPr>
      <w:r>
        <w:rPr>
          <w:color w:val="auto"/>
          <w:highlight w:val="none"/>
          <w:u w:val="none"/>
        </w:rPr>
        <w:t>事故警戒区域外为非事故现场。当发生重大泄漏事故时，应急指挥部根据事故可能扩大的范围和当时气象条件，抢险进展情况及预计延展趋势，综合分析判断，对可能涉及的生产装置决定是否紧急停车和疏散人员，并向他们通报这一决定。防止引起恐慌或引发派生事故。</w:t>
      </w:r>
    </w:p>
    <w:p w14:paraId="5ACCF3E0">
      <w:pPr>
        <w:rPr>
          <w:rFonts w:hint="eastAsia"/>
          <w:color w:val="auto"/>
          <w:highlight w:val="none"/>
          <w:u w:val="none"/>
        </w:rPr>
      </w:pPr>
      <w:r>
        <w:rPr>
          <w:color w:val="auto"/>
          <w:highlight w:val="none"/>
          <w:u w:val="none"/>
        </w:rPr>
        <w:t>（6）周边区域的工厂、社区人员的疏散</w:t>
      </w:r>
    </w:p>
    <w:p w14:paraId="4C94318A">
      <w:pPr>
        <w:rPr>
          <w:rFonts w:hint="eastAsia"/>
          <w:color w:val="auto"/>
          <w:highlight w:val="none"/>
          <w:u w:val="none"/>
        </w:rPr>
      </w:pPr>
      <w:r>
        <w:rPr>
          <w:color w:val="auto"/>
          <w:highlight w:val="none"/>
          <w:u w:val="none"/>
        </w:rPr>
        <w:t>发生重大事故时，可能危及周边区域的单位、社区安全时，根据当时的气象条件、污染物可能扩散的区域和污染物的性质，由应急指挥部决定是否需要向周边地区发布信息，并与政府有关部门联系。</w:t>
      </w:r>
    </w:p>
    <w:p w14:paraId="3D9588BB">
      <w:pPr>
        <w:rPr>
          <w:rFonts w:hint="eastAsia"/>
          <w:color w:val="auto"/>
          <w:highlight w:val="none"/>
          <w:u w:val="none"/>
        </w:rPr>
      </w:pPr>
      <w:r>
        <w:rPr>
          <w:color w:val="auto"/>
          <w:highlight w:val="none"/>
          <w:u w:val="none"/>
        </w:rPr>
        <w:t>政府部门根据实际需要对周边区域的工厂</w:t>
      </w:r>
      <w:r>
        <w:rPr>
          <w:rFonts w:hint="eastAsia"/>
          <w:color w:val="auto"/>
          <w:highlight w:val="none"/>
          <w:u w:val="none"/>
        </w:rPr>
        <w:t>、</w:t>
      </w:r>
      <w:r>
        <w:rPr>
          <w:color w:val="auto"/>
          <w:highlight w:val="none"/>
          <w:u w:val="none"/>
        </w:rPr>
        <w:t>社区和村落的人员进行疏散时，由公安、民政部门、街道组织抽调力量负责组织实施，立即组织广播车辆和专业人员协助公安及其他政府有关部门的人员进行动员和疏导，使周边区域的人员安全疏散。</w:t>
      </w:r>
    </w:p>
    <w:p w14:paraId="3E383DCA">
      <w:pPr>
        <w:rPr>
          <w:rFonts w:hint="eastAsia"/>
          <w:color w:val="auto"/>
          <w:highlight w:val="none"/>
          <w:u w:val="none"/>
        </w:rPr>
      </w:pPr>
      <w:r>
        <w:rPr>
          <w:color w:val="auto"/>
          <w:highlight w:val="none"/>
          <w:u w:val="none"/>
        </w:rPr>
        <w:t>（7）人员在撤离、疏散后的报告</w:t>
      </w:r>
    </w:p>
    <w:p w14:paraId="62D3B73A">
      <w:pPr>
        <w:rPr>
          <w:rFonts w:hint="eastAsia"/>
          <w:color w:val="auto"/>
          <w:highlight w:val="none"/>
          <w:u w:val="none"/>
        </w:rPr>
      </w:pPr>
      <w:r>
        <w:rPr>
          <w:color w:val="auto"/>
          <w:highlight w:val="none"/>
          <w:u w:val="none"/>
        </w:rPr>
        <w:t>事故现场、非事故现场和周边区域的人员按指挥组命令撤离、疏散至安全地点集中后，由相关负责人清点、统计人数后，及时向指挥组报告。</w:t>
      </w:r>
    </w:p>
    <w:p w14:paraId="79787BB3">
      <w:pPr>
        <w:rPr>
          <w:rFonts w:hint="eastAsia"/>
          <w:color w:val="auto"/>
          <w:highlight w:val="none"/>
          <w:u w:val="none"/>
        </w:rPr>
      </w:pPr>
      <w:r>
        <w:rPr>
          <w:color w:val="auto"/>
          <w:highlight w:val="none"/>
          <w:u w:val="none"/>
        </w:rPr>
        <w:t>（8）事故紧急撤离避难场所</w:t>
      </w:r>
    </w:p>
    <w:p w14:paraId="62527DD5">
      <w:pPr>
        <w:rPr>
          <w:rFonts w:hint="eastAsia"/>
          <w:color w:val="auto"/>
          <w:highlight w:val="none"/>
          <w:u w:val="none"/>
        </w:rPr>
      </w:pPr>
      <w:r>
        <w:rPr>
          <w:color w:val="auto"/>
          <w:highlight w:val="none"/>
          <w:u w:val="none"/>
        </w:rPr>
        <w:t>项目在办公用地设紧急撤离集结点，配备防毒面具、防化服、正压式呼吸器、疏散车辆等必要设施，并由事故应急指挥中心根据事故影响情况，决定是否进行远距离疏散</w:t>
      </w:r>
      <w:r>
        <w:rPr>
          <w:rFonts w:hint="eastAsia"/>
          <w:color w:val="auto"/>
          <w:highlight w:val="none"/>
          <w:u w:val="none"/>
        </w:rPr>
        <w:t>。</w:t>
      </w:r>
    </w:p>
    <w:p w14:paraId="34FAACBE">
      <w:pPr>
        <w:pStyle w:val="7"/>
        <w:spacing w:before="156"/>
        <w:rPr>
          <w:color w:val="auto"/>
          <w:highlight w:val="none"/>
          <w:u w:val="none"/>
        </w:rPr>
      </w:pPr>
      <w:bookmarkStart w:id="699" w:name="_Hlk30086919"/>
      <w:r>
        <w:rPr>
          <w:color w:val="auto"/>
          <w:highlight w:val="none"/>
          <w:u w:val="none"/>
        </w:rPr>
        <w:t>事故应急救援关闭及解除</w:t>
      </w:r>
    </w:p>
    <w:bookmarkEnd w:id="699"/>
    <w:p w14:paraId="3EACC76E">
      <w:pPr>
        <w:rPr>
          <w:rFonts w:hint="eastAsia"/>
          <w:color w:val="auto"/>
          <w:highlight w:val="none"/>
          <w:u w:val="none"/>
        </w:rPr>
      </w:pPr>
      <w:r>
        <w:rPr>
          <w:color w:val="auto"/>
          <w:highlight w:val="none"/>
          <w:u w:val="none"/>
        </w:rPr>
        <w:t>（1）应急解除的条件</w:t>
      </w:r>
    </w:p>
    <w:p w14:paraId="1FAF1A34">
      <w:pPr>
        <w:rPr>
          <w:rFonts w:hint="eastAsia"/>
          <w:color w:val="auto"/>
          <w:highlight w:val="none"/>
          <w:u w:val="none"/>
        </w:rPr>
      </w:pPr>
      <w:r>
        <w:rPr>
          <w:color w:val="auto"/>
          <w:highlight w:val="none"/>
          <w:u w:val="none"/>
        </w:rPr>
        <w:t>符合下列条件之一的，即满足应急解除的条件：</w:t>
      </w:r>
    </w:p>
    <w:p w14:paraId="0C01257E">
      <w:pPr>
        <w:rPr>
          <w:rFonts w:hint="eastAsia"/>
          <w:color w:val="auto"/>
          <w:highlight w:val="none"/>
          <w:u w:val="none"/>
        </w:rPr>
      </w:pPr>
      <w:r>
        <w:rPr>
          <w:color w:val="auto"/>
          <w:highlight w:val="none"/>
          <w:u w:val="none"/>
        </w:rPr>
        <w:t>①事件现场得到控制，事件条件已经消除；</w:t>
      </w:r>
    </w:p>
    <w:p w14:paraId="48BB070C">
      <w:pPr>
        <w:rPr>
          <w:rFonts w:hint="eastAsia"/>
          <w:color w:val="auto"/>
          <w:highlight w:val="none"/>
          <w:u w:val="none"/>
        </w:rPr>
      </w:pPr>
      <w:r>
        <w:rPr>
          <w:color w:val="auto"/>
          <w:highlight w:val="none"/>
          <w:u w:val="none"/>
        </w:rPr>
        <w:t>②污染源的泄漏或释放已降至规定限值以内；</w:t>
      </w:r>
    </w:p>
    <w:p w14:paraId="052EB1B5">
      <w:pPr>
        <w:rPr>
          <w:rFonts w:hint="eastAsia"/>
          <w:color w:val="auto"/>
          <w:highlight w:val="none"/>
          <w:u w:val="none"/>
        </w:rPr>
      </w:pPr>
      <w:r>
        <w:rPr>
          <w:color w:val="auto"/>
          <w:highlight w:val="none"/>
          <w:u w:val="none"/>
        </w:rPr>
        <w:t>③事件所造成的危害已经被彻底消除，无继发可能；</w:t>
      </w:r>
    </w:p>
    <w:p w14:paraId="1009D1C8">
      <w:pPr>
        <w:rPr>
          <w:rFonts w:hint="eastAsia"/>
          <w:color w:val="auto"/>
          <w:highlight w:val="none"/>
          <w:u w:val="none"/>
        </w:rPr>
      </w:pPr>
      <w:r>
        <w:rPr>
          <w:color w:val="auto"/>
          <w:highlight w:val="none"/>
          <w:u w:val="none"/>
        </w:rPr>
        <w:t>④事件现场的各种专业应急处置行动已无继续的必要；</w:t>
      </w:r>
    </w:p>
    <w:p w14:paraId="68CDA4BB">
      <w:pPr>
        <w:rPr>
          <w:rFonts w:hint="eastAsia"/>
          <w:color w:val="auto"/>
          <w:highlight w:val="none"/>
          <w:u w:val="none"/>
        </w:rPr>
      </w:pPr>
      <w:r>
        <w:rPr>
          <w:color w:val="auto"/>
          <w:highlight w:val="none"/>
          <w:u w:val="none"/>
        </w:rPr>
        <w:t>⑤采取了必要的防护措施以保护公众免受再次危害，并使事件可能引起的中长期影响趋于合理且尽量低的水平。</w:t>
      </w:r>
    </w:p>
    <w:p w14:paraId="71D05913">
      <w:pPr>
        <w:rPr>
          <w:rFonts w:hint="eastAsia"/>
          <w:color w:val="auto"/>
          <w:highlight w:val="none"/>
          <w:u w:val="none"/>
        </w:rPr>
      </w:pPr>
      <w:r>
        <w:rPr>
          <w:color w:val="auto"/>
          <w:highlight w:val="none"/>
          <w:u w:val="none"/>
        </w:rPr>
        <w:t>（2）应急解除的程序</w:t>
      </w:r>
    </w:p>
    <w:p w14:paraId="79BE6952">
      <w:pPr>
        <w:rPr>
          <w:rFonts w:hint="eastAsia"/>
          <w:color w:val="auto"/>
          <w:highlight w:val="none"/>
          <w:u w:val="none"/>
        </w:rPr>
      </w:pPr>
      <w:r>
        <w:rPr>
          <w:color w:val="auto"/>
          <w:highlight w:val="none"/>
          <w:u w:val="none"/>
        </w:rPr>
        <w:t>①应急状态的解除令由应急指挥部下达。</w:t>
      </w:r>
    </w:p>
    <w:p w14:paraId="1862EC68">
      <w:pPr>
        <w:rPr>
          <w:rFonts w:hint="eastAsia"/>
          <w:color w:val="auto"/>
          <w:highlight w:val="none"/>
          <w:u w:val="none"/>
        </w:rPr>
      </w:pPr>
      <w:r>
        <w:rPr>
          <w:color w:val="auto"/>
          <w:highlight w:val="none"/>
          <w:u w:val="none"/>
        </w:rPr>
        <w:t>②各级应急办公室（生产调度中心）接受和下达的各种应急指令，必须认真记录在案，归档保存。</w:t>
      </w:r>
    </w:p>
    <w:p w14:paraId="0F649E14">
      <w:pPr>
        <w:rPr>
          <w:rFonts w:hint="eastAsia"/>
          <w:color w:val="auto"/>
          <w:highlight w:val="none"/>
          <w:u w:val="none"/>
        </w:rPr>
      </w:pPr>
      <w:r>
        <w:rPr>
          <w:color w:val="auto"/>
          <w:highlight w:val="none"/>
          <w:u w:val="none"/>
        </w:rPr>
        <w:t>③现场应急状态解除后，由灾害受损鉴定组组织调查事故损失情况、由事故救灾抢修施工组组织现场的抢修施工，由生产恢复组组织开工恢复工作。</w:t>
      </w:r>
    </w:p>
    <w:p w14:paraId="581E6E47">
      <w:pPr>
        <w:rPr>
          <w:rFonts w:hint="eastAsia"/>
          <w:color w:val="auto"/>
          <w:highlight w:val="none"/>
          <w:u w:val="none"/>
        </w:rPr>
      </w:pPr>
      <w:r>
        <w:rPr>
          <w:color w:val="auto"/>
          <w:highlight w:val="none"/>
          <w:u w:val="none"/>
        </w:rPr>
        <w:t>④应急状态解除后，应急监测组及相关单位应根据指挥部及生态环境局的有关要求和实际情况，继续进行环境监测和评价工作，直至其他补救措施无需继续进行为止。</w:t>
      </w:r>
    </w:p>
    <w:p w14:paraId="227274DD">
      <w:pPr>
        <w:pStyle w:val="7"/>
        <w:spacing w:before="156"/>
        <w:rPr>
          <w:color w:val="auto"/>
          <w:highlight w:val="none"/>
          <w:u w:val="none"/>
        </w:rPr>
      </w:pPr>
      <w:bookmarkStart w:id="700" w:name="_Hlk30086989"/>
      <w:r>
        <w:rPr>
          <w:color w:val="auto"/>
          <w:highlight w:val="none"/>
          <w:u w:val="none"/>
        </w:rPr>
        <w:t>预案演练</w:t>
      </w:r>
    </w:p>
    <w:bookmarkEnd w:id="700"/>
    <w:p w14:paraId="0F4C9B75">
      <w:pPr>
        <w:rPr>
          <w:rFonts w:hint="eastAsia"/>
          <w:color w:val="auto"/>
          <w:highlight w:val="none"/>
          <w:u w:val="none"/>
        </w:rPr>
      </w:pPr>
      <w:r>
        <w:rPr>
          <w:rFonts w:hint="eastAsia"/>
          <w:color w:val="auto"/>
          <w:highlight w:val="none"/>
          <w:u w:val="none"/>
        </w:rPr>
        <w:t>万华福建公司</w:t>
      </w:r>
      <w:r>
        <w:rPr>
          <w:color w:val="auto"/>
          <w:highlight w:val="none"/>
          <w:u w:val="none"/>
        </w:rPr>
        <w:t>必须十分重视应急救援和演练，每年对应急救援队伍进行培训，明确分工和职责，掌握应急救援处理方法。制定应急预案的演练计划，定期组织应急预案演练，同时应建立与地方环境应急机构的联系，组织参与地方救援活动，开展与相关的交流与合作。通过演练，达到检验预案、锻炼队伍、教育员工和提高能力的目的，也促进公司应急预案与福清市、福州市政府应急预案的衔接和对应急预案的不断完善。</w:t>
      </w:r>
    </w:p>
    <w:p w14:paraId="433B3264">
      <w:pPr>
        <w:pStyle w:val="7"/>
        <w:spacing w:before="156"/>
        <w:rPr>
          <w:color w:val="auto"/>
          <w:highlight w:val="none"/>
          <w:u w:val="none"/>
        </w:rPr>
      </w:pPr>
      <w:r>
        <w:rPr>
          <w:color w:val="auto"/>
          <w:highlight w:val="none"/>
          <w:u w:val="none"/>
        </w:rPr>
        <w:t>公众教育与信息公开</w:t>
      </w:r>
    </w:p>
    <w:p w14:paraId="0BCC930C">
      <w:pPr>
        <w:rPr>
          <w:rFonts w:hint="eastAsia"/>
          <w:color w:val="auto"/>
          <w:highlight w:val="none"/>
          <w:u w:val="none"/>
        </w:rPr>
      </w:pPr>
      <w:r>
        <w:rPr>
          <w:color w:val="auto"/>
          <w:highlight w:val="none"/>
          <w:u w:val="none"/>
        </w:rPr>
        <w:t>对</w:t>
      </w:r>
      <w:r>
        <w:rPr>
          <w:rFonts w:hint="eastAsia"/>
          <w:color w:val="auto"/>
          <w:highlight w:val="none"/>
          <w:u w:val="none"/>
        </w:rPr>
        <w:t>万华福建公司</w:t>
      </w:r>
      <w:r>
        <w:rPr>
          <w:color w:val="auto"/>
          <w:highlight w:val="none"/>
          <w:u w:val="none"/>
        </w:rPr>
        <w:t>厂区临近地区开展公众教育、培训和发布有关信息。编写有关安全环保宣传手册或卡片，以备内部员工和外部人员使用。</w:t>
      </w:r>
    </w:p>
    <w:p w14:paraId="2EF895F2">
      <w:pPr>
        <w:pStyle w:val="4"/>
        <w:rPr>
          <w:color w:val="auto"/>
          <w:highlight w:val="none"/>
          <w:u w:val="none"/>
        </w:rPr>
      </w:pPr>
      <w:bookmarkStart w:id="701" w:name="_Toc148374839"/>
      <w:bookmarkStart w:id="702" w:name="_Toc148375147"/>
      <w:bookmarkStart w:id="703" w:name="_Toc28864"/>
      <w:bookmarkStart w:id="704" w:name="_Toc9708"/>
      <w:bookmarkStart w:id="705" w:name="_Toc13967"/>
      <w:bookmarkStart w:id="706" w:name="_Toc148374705"/>
      <w:r>
        <w:rPr>
          <w:color w:val="auto"/>
          <w:highlight w:val="none"/>
          <w:u w:val="none"/>
        </w:rPr>
        <w:t>小结</w:t>
      </w:r>
      <w:bookmarkEnd w:id="701"/>
      <w:bookmarkEnd w:id="702"/>
      <w:bookmarkEnd w:id="703"/>
      <w:bookmarkEnd w:id="704"/>
      <w:bookmarkEnd w:id="705"/>
      <w:bookmarkEnd w:id="706"/>
    </w:p>
    <w:p w14:paraId="2D90F399">
      <w:pPr>
        <w:rPr>
          <w:rFonts w:hint="eastAsia"/>
          <w:color w:val="auto"/>
          <w:highlight w:val="none"/>
          <w:u w:val="none"/>
        </w:rPr>
      </w:pPr>
      <w:r>
        <w:rPr>
          <w:color w:val="auto"/>
          <w:highlight w:val="none"/>
          <w:u w:val="none"/>
        </w:rPr>
        <w:t>环境风险事故具有一定程度的不确定性。事故发生的条件、情形有很多，事故发生时的天气条件千差万别具有极大的不确定性，发生事故的排放强度有多种可能。这样对风险事故的后果的预测就存在着极大的不确定性。</w:t>
      </w:r>
    </w:p>
    <w:p w14:paraId="1622538F">
      <w:pPr>
        <w:rPr>
          <w:rFonts w:hint="eastAsia"/>
          <w:color w:val="auto"/>
          <w:highlight w:val="none"/>
          <w:u w:val="none"/>
        </w:rPr>
      </w:pPr>
      <w:r>
        <w:rPr>
          <w:color w:val="auto"/>
          <w:highlight w:val="none"/>
          <w:u w:val="none"/>
        </w:rPr>
        <w:t>在本评价预设条件下发生气相毒物风险事故时，各装置、管廊和罐区中各风险物质毒性终点浓度-1出现的距离在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3000</w:t>
      </w:r>
      <w:r>
        <w:rPr>
          <w:color w:val="auto"/>
          <w:highlight w:val="none"/>
          <w:u w:val="none"/>
        </w:rPr>
        <w:t>m之间，在</w:t>
      </w:r>
      <w:r>
        <w:rPr>
          <w:rFonts w:hint="eastAsia"/>
          <w:color w:val="auto"/>
          <w:highlight w:val="none"/>
          <w:u w:val="none"/>
          <w:lang w:val="en-US"/>
        </w:rPr>
        <w:t>最不利气象条件下，风向刚好位于W</w:t>
      </w:r>
      <w:r>
        <w:rPr>
          <w:color w:val="auto"/>
          <w:highlight w:val="none"/>
          <w:u w:val="none"/>
        </w:rPr>
        <w:t>、</w:t>
      </w:r>
      <w:r>
        <w:rPr>
          <w:rFonts w:hint="eastAsia"/>
          <w:color w:val="auto"/>
          <w:highlight w:val="none"/>
          <w:u w:val="none"/>
          <w:lang w:val="en-US"/>
        </w:rPr>
        <w:t>NW</w:t>
      </w:r>
      <w:r>
        <w:rPr>
          <w:color w:val="auto"/>
          <w:highlight w:val="none"/>
          <w:u w:val="none"/>
        </w:rPr>
        <w:t>、</w:t>
      </w:r>
      <w:r>
        <w:rPr>
          <w:rFonts w:hint="eastAsia"/>
          <w:color w:val="auto"/>
          <w:highlight w:val="none"/>
          <w:u w:val="none"/>
          <w:lang w:val="en-US"/>
        </w:rPr>
        <w:t>SW</w:t>
      </w:r>
      <w:r>
        <w:rPr>
          <w:color w:val="auto"/>
          <w:highlight w:val="none"/>
          <w:u w:val="none"/>
        </w:rPr>
        <w:t>等气象条件下</w:t>
      </w:r>
      <w:r>
        <w:rPr>
          <w:rFonts w:hint="eastAsia"/>
          <w:color w:val="auto"/>
          <w:highlight w:val="none"/>
          <w:u w:val="none"/>
        </w:rPr>
        <w:t>，</w:t>
      </w:r>
      <w:r>
        <w:rPr>
          <w:rFonts w:hint="eastAsia"/>
          <w:color w:val="auto"/>
          <w:highlight w:val="none"/>
          <w:u w:val="none"/>
          <w:lang w:val="en-US"/>
        </w:rPr>
        <w:t>受影响的敏感目标主要为</w:t>
      </w:r>
      <w:r>
        <w:rPr>
          <w:color w:val="auto"/>
          <w:highlight w:val="none"/>
          <w:u w:val="none"/>
        </w:rPr>
        <w:t>芝山村、后林村、南曹村、</w:t>
      </w:r>
      <w:r>
        <w:rPr>
          <w:rFonts w:hint="eastAsia"/>
          <w:color w:val="auto"/>
          <w:highlight w:val="none"/>
          <w:u w:val="none"/>
          <w:lang w:val="en-US"/>
        </w:rPr>
        <w:t>岭兜</w:t>
      </w:r>
      <w:r>
        <w:rPr>
          <w:color w:val="auto"/>
          <w:highlight w:val="none"/>
          <w:u w:val="none"/>
        </w:rPr>
        <w:t>村、东江水厂等。而一般事故情况下毒性重点浓度-2浓度范围出现的距离在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750</w:t>
      </w:r>
      <w:r>
        <w:rPr>
          <w:color w:val="auto"/>
          <w:highlight w:val="none"/>
          <w:u w:val="none"/>
        </w:rPr>
        <w:t>m之间，</w:t>
      </w:r>
      <w:r>
        <w:rPr>
          <w:rFonts w:hint="eastAsia"/>
          <w:color w:val="auto"/>
          <w:highlight w:val="none"/>
          <w:u w:val="none"/>
          <w:lang w:val="en-US"/>
        </w:rPr>
        <w:t>对敏感点的影响较小，一般均不会超过毒性终点浓度-1与毒性终点浓度-2</w:t>
      </w:r>
      <w:r>
        <w:rPr>
          <w:color w:val="auto"/>
          <w:highlight w:val="none"/>
          <w:u w:val="none"/>
        </w:rPr>
        <w:t>。</w:t>
      </w:r>
    </w:p>
    <w:p w14:paraId="24B4F96F">
      <w:pPr>
        <w:rPr>
          <w:rFonts w:hint="eastAsia"/>
          <w:color w:val="auto"/>
          <w:highlight w:val="none"/>
          <w:u w:val="none"/>
        </w:rPr>
      </w:pPr>
      <w:r>
        <w:rPr>
          <w:color w:val="auto"/>
          <w:highlight w:val="none"/>
          <w:u w:val="none"/>
        </w:rPr>
        <w:t>但由于风险评价存在诸多的不确定因素，当泄漏量、泄漏事故控制时间大于本评价设定的情形，则风险影响范围和程度将大于预测值。</w:t>
      </w:r>
    </w:p>
    <w:p w14:paraId="2D7564C9">
      <w:pPr>
        <w:rPr>
          <w:color w:val="auto"/>
          <w:highlight w:val="none"/>
          <w:u w:val="none"/>
        </w:rPr>
      </w:pPr>
      <w:r>
        <w:rPr>
          <w:rFonts w:hint="eastAsia"/>
          <w:color w:val="auto"/>
          <w:highlight w:val="none"/>
          <w:u w:val="none"/>
          <w:lang w:val="en-US"/>
        </w:rPr>
        <w:t>根据《光气及光气化产品生产安全规范》（</w:t>
      </w:r>
      <w:r>
        <w:rPr>
          <w:color w:val="auto"/>
          <w:highlight w:val="none"/>
          <w:u w:val="none"/>
          <w:lang w:val="en-US"/>
        </w:rPr>
        <w:t>GB 19041-20</w:t>
      </w:r>
      <w:r>
        <w:rPr>
          <w:rFonts w:hint="eastAsia"/>
          <w:color w:val="auto"/>
          <w:highlight w:val="none"/>
          <w:u w:val="none"/>
          <w:lang w:val="en-US"/>
        </w:rPr>
        <w:t>24）</w:t>
      </w:r>
      <w:r>
        <w:rPr>
          <w:color w:val="auto"/>
          <w:highlight w:val="none"/>
          <w:u w:val="none"/>
        </w:rPr>
        <w:t>本</w:t>
      </w:r>
      <w:r>
        <w:rPr>
          <w:rFonts w:hint="eastAsia"/>
          <w:color w:val="auto"/>
          <w:highlight w:val="none"/>
          <w:u w:val="none"/>
          <w:lang w:val="en-US"/>
        </w:rPr>
        <w:t>次技改扩能后，一期与二期</w:t>
      </w:r>
      <w:r>
        <w:rPr>
          <w:color w:val="auto"/>
          <w:highlight w:val="none"/>
          <w:u w:val="none"/>
        </w:rPr>
        <w:t>装置内的光气总量</w:t>
      </w:r>
      <w:r>
        <w:rPr>
          <w:rFonts w:hint="eastAsia"/>
          <w:color w:val="auto"/>
          <w:highlight w:val="none"/>
          <w:u w:val="none"/>
          <w:lang w:val="en-US"/>
        </w:rPr>
        <w:t>均</w:t>
      </w:r>
      <w:r>
        <w:rPr>
          <w:color w:val="auto"/>
          <w:highlight w:val="none"/>
          <w:u w:val="none"/>
        </w:rPr>
        <w:t>＞5000kg，</w:t>
      </w:r>
      <w:r>
        <w:rPr>
          <w:rFonts w:hint="eastAsia"/>
          <w:color w:val="auto"/>
          <w:highlight w:val="none"/>
          <w:u w:val="none"/>
        </w:rPr>
        <w:t>《福州江阴港城经济区产业发展规划环境影响报告书》、《福州江阴港城经济区光气环境风险论证报告》，TDI项目应以光气及光气化装置边界外扩2000m设置安全防护距离，</w:t>
      </w:r>
      <w:r>
        <w:rPr>
          <w:rFonts w:hint="eastAsia"/>
          <w:color w:val="auto"/>
          <w:highlight w:val="none"/>
          <w:u w:val="none"/>
          <w:lang w:val="en-US"/>
        </w:rPr>
        <w:t>由于二期装置更靠近居民区，因此，</w:t>
      </w:r>
      <w:r>
        <w:rPr>
          <w:color w:val="auto"/>
          <w:highlight w:val="none"/>
          <w:u w:val="none"/>
        </w:rPr>
        <w:t>应以</w:t>
      </w:r>
      <w:r>
        <w:rPr>
          <w:rFonts w:hint="eastAsia"/>
          <w:color w:val="auto"/>
          <w:highlight w:val="none"/>
          <w:u w:val="none"/>
          <w:lang w:val="en-US"/>
        </w:rPr>
        <w:t>二期装置的</w:t>
      </w:r>
      <w:r>
        <w:rPr>
          <w:color w:val="auto"/>
          <w:highlight w:val="none"/>
          <w:u w:val="none"/>
        </w:rPr>
        <w:t>光气及光气化装置为边界设置2000m的安全防护距离，目前在该范围内无居民区</w:t>
      </w:r>
      <w:r>
        <w:rPr>
          <w:rFonts w:hint="eastAsia"/>
          <w:color w:val="auto"/>
          <w:highlight w:val="none"/>
          <w:u w:val="none"/>
          <w:lang w:eastAsia="zh-CN"/>
        </w:rPr>
        <w:t>、</w:t>
      </w:r>
      <w:r>
        <w:rPr>
          <w:color w:val="auto"/>
          <w:highlight w:val="none"/>
          <w:u w:val="none"/>
        </w:rPr>
        <w:t>学校、医院等敏感目标，</w:t>
      </w:r>
      <w:r>
        <w:rPr>
          <w:rFonts w:hint="eastAsia"/>
          <w:color w:val="auto"/>
          <w:highlight w:val="none"/>
          <w:u w:val="none"/>
        </w:rPr>
        <w:t>无劳动密集型场所、</w:t>
      </w:r>
      <w:r>
        <w:rPr>
          <w:color w:val="auto"/>
          <w:highlight w:val="none"/>
          <w:u w:val="none"/>
        </w:rPr>
        <w:t>员工集体宿舍</w:t>
      </w:r>
      <w:r>
        <w:rPr>
          <w:rFonts w:hint="eastAsia"/>
          <w:color w:val="auto"/>
          <w:highlight w:val="none"/>
          <w:u w:val="none"/>
        </w:rPr>
        <w:t>等</w:t>
      </w:r>
      <w:r>
        <w:rPr>
          <w:color w:val="auto"/>
          <w:highlight w:val="none"/>
          <w:u w:val="none"/>
        </w:rPr>
        <w:t>人员聚集</w:t>
      </w:r>
      <w:r>
        <w:rPr>
          <w:rFonts w:hint="eastAsia"/>
          <w:color w:val="auto"/>
          <w:highlight w:val="none"/>
          <w:u w:val="none"/>
        </w:rPr>
        <w:t>区域，</w:t>
      </w:r>
      <w:r>
        <w:rPr>
          <w:color w:val="auto"/>
          <w:highlight w:val="none"/>
          <w:u w:val="none"/>
        </w:rPr>
        <w:t>本评价要求在该防控区内日后也应禁止规划建设居住区、学校、医院、养老院、文化场馆、商业场所、客运港口、客运码头、客运车站、客运机场、公园、体育场及游乐场所</w:t>
      </w:r>
      <w:r>
        <w:rPr>
          <w:rFonts w:hint="eastAsia"/>
          <w:color w:val="auto"/>
          <w:highlight w:val="none"/>
          <w:u w:val="none"/>
        </w:rPr>
        <w:t>等公共设施、劳动密集型场所、</w:t>
      </w:r>
      <w:r>
        <w:rPr>
          <w:color w:val="auto"/>
          <w:highlight w:val="none"/>
          <w:u w:val="none"/>
        </w:rPr>
        <w:t>员工集体宿舍（含倒班宿舍）等人员聚集的区域。</w:t>
      </w:r>
    </w:p>
    <w:p w14:paraId="7517613C">
      <w:pPr>
        <w:rPr>
          <w:rFonts w:hint="eastAsia"/>
          <w:color w:val="auto"/>
          <w:highlight w:val="none"/>
          <w:u w:val="none"/>
        </w:rPr>
      </w:pPr>
      <w:r>
        <w:rPr>
          <w:rFonts w:hint="eastAsia"/>
          <w:color w:val="auto"/>
          <w:highlight w:val="none"/>
          <w:u w:val="none"/>
          <w:lang w:val="en-US"/>
        </w:rPr>
        <w:t>根据《江阴港城经济区产业发展规划环境影响报告书》（</w:t>
      </w:r>
      <w:r>
        <w:rPr>
          <w:rFonts w:hint="eastAsia" w:hAnsi="Times New Roman"/>
          <w:color w:val="auto"/>
          <w:highlight w:val="none"/>
          <w:u w:val="none"/>
        </w:rPr>
        <w:t>福州市环境科学研究院、</w:t>
      </w:r>
      <w:r>
        <w:rPr>
          <w:rFonts w:hint="eastAsia" w:hAnsi="Times New Roman"/>
          <w:color w:val="auto"/>
          <w:highlight w:val="none"/>
          <w:u w:val="none"/>
          <w:lang w:val="en-US"/>
        </w:rPr>
        <w:t>生态环境部华南环境科学研究所</w:t>
      </w:r>
      <w:r>
        <w:rPr>
          <w:rFonts w:hint="eastAsia" w:hAnsi="Times New Roman"/>
          <w:color w:val="auto"/>
          <w:highlight w:val="none"/>
          <w:u w:val="none"/>
        </w:rPr>
        <w:t>，</w:t>
      </w:r>
      <w:r>
        <w:rPr>
          <w:rFonts w:hint="eastAsia" w:hAnsi="Times New Roman"/>
          <w:color w:val="auto"/>
          <w:highlight w:val="none"/>
          <w:u w:val="none"/>
          <w:lang w:val="en-US"/>
        </w:rPr>
        <w:t>2024年</w:t>
      </w:r>
      <w:r>
        <w:rPr>
          <w:rFonts w:hint="eastAsia"/>
          <w:color w:val="auto"/>
          <w:highlight w:val="none"/>
          <w:u w:val="none"/>
          <w:lang w:val="en-US"/>
        </w:rPr>
        <w:t>），建议</w:t>
      </w:r>
      <w:r>
        <w:rPr>
          <w:rFonts w:hint="eastAsia"/>
          <w:color w:val="auto"/>
          <w:highlight w:val="none"/>
          <w:u w:val="none"/>
        </w:rPr>
        <w:t>福州江阴港城经济区规划的化工产业所在片区（包括：医疗、尼龙新材料、高端异氰酸酯、氯循环发展、轻烃深加工等产业板块以及其他涉及化工的发展预留板块）边界外扩500米范围（海域除外）设为环保隔离带，西部环保隔离带与西部化工区最大风险事故应急疏散范围（5000米）包络线之间设置为环保控制带，中部、东部环保隔离带外扩1500米范围设置为环保控制带</w:t>
      </w:r>
      <w:r>
        <w:rPr>
          <w:rFonts w:hint="eastAsia"/>
          <w:color w:val="auto"/>
          <w:highlight w:val="none"/>
          <w:u w:val="none"/>
          <w:lang w:val="en-US"/>
        </w:rPr>
        <w:t>，有环境防护距离设置要求的项目按环评批复从严执行，对现有及规划扩建的涉光气项目以光气及光气化装置边界外扩2000m设置。</w:t>
      </w:r>
      <w:r>
        <w:rPr>
          <w:color w:val="auto"/>
          <w:highlight w:val="none"/>
          <w:u w:val="none"/>
        </w:rPr>
        <w:t>环保隔离带内不得有居民区、学校、医院等敏感目标</w:t>
      </w:r>
      <w:r>
        <w:rPr>
          <w:rFonts w:hint="eastAsia"/>
          <w:color w:val="auto"/>
          <w:highlight w:val="none"/>
          <w:u w:val="none"/>
        </w:rPr>
        <w:t>，环保控制带内不得新增居住建筑。</w:t>
      </w:r>
    </w:p>
    <w:p w14:paraId="013A9763">
      <w:pPr>
        <w:rPr>
          <w:rFonts w:hint="eastAsia"/>
          <w:color w:val="auto"/>
          <w:highlight w:val="none"/>
          <w:u w:val="none"/>
          <w:lang w:val="en-US"/>
        </w:rPr>
      </w:pPr>
      <w:r>
        <w:rPr>
          <w:color w:val="auto"/>
          <w:highlight w:val="none"/>
          <w:u w:val="none"/>
        </w:rPr>
        <w:t>本项目</w:t>
      </w:r>
      <w:r>
        <w:rPr>
          <w:rFonts w:hint="eastAsia"/>
          <w:color w:val="auto"/>
          <w:highlight w:val="none"/>
          <w:u w:val="none"/>
          <w:lang w:val="en-US"/>
        </w:rPr>
        <w:t>企业主要生产地块内已</w:t>
      </w:r>
      <w:r>
        <w:rPr>
          <w:color w:val="auto"/>
          <w:highlight w:val="none"/>
          <w:u w:val="none"/>
          <w:lang w:val="en-US"/>
        </w:rPr>
        <w:t>设有2个5000m</w:t>
      </w:r>
      <w:r>
        <w:rPr>
          <w:rFonts w:hAnsi="Times New Roman"/>
          <w:color w:val="auto"/>
          <w:highlight w:val="none"/>
          <w:u w:val="none"/>
          <w:lang w:val="en-US"/>
        </w:rPr>
        <w:t>³</w:t>
      </w:r>
      <w:r>
        <w:rPr>
          <w:color w:val="auto"/>
          <w:highlight w:val="none"/>
          <w:u w:val="none"/>
          <w:lang w:val="en-US"/>
        </w:rPr>
        <w:t>事故水罐、1个5000m</w:t>
      </w:r>
      <w:r>
        <w:rPr>
          <w:rFonts w:hAnsi="Times New Roman"/>
          <w:color w:val="auto"/>
          <w:highlight w:val="none"/>
          <w:u w:val="none"/>
          <w:lang w:val="en-US"/>
        </w:rPr>
        <w:t>³</w:t>
      </w:r>
      <w:r>
        <w:rPr>
          <w:color w:val="auto"/>
          <w:highlight w:val="none"/>
          <w:u w:val="none"/>
          <w:lang w:val="en-US"/>
        </w:rPr>
        <w:t>自流式应急池和1个14000m</w:t>
      </w:r>
      <w:r>
        <w:rPr>
          <w:rFonts w:hAnsi="Times New Roman"/>
          <w:color w:val="auto"/>
          <w:highlight w:val="none"/>
          <w:u w:val="none"/>
          <w:lang w:val="en-US"/>
        </w:rPr>
        <w:t>³</w:t>
      </w:r>
      <w:r>
        <w:rPr>
          <w:color w:val="auto"/>
          <w:highlight w:val="none"/>
          <w:u w:val="none"/>
          <w:lang w:val="en-US"/>
        </w:rPr>
        <w:t>事故水罐共计29000m</w:t>
      </w:r>
      <w:r>
        <w:rPr>
          <w:rFonts w:hAnsi="Times New Roman"/>
          <w:color w:val="auto"/>
          <w:highlight w:val="none"/>
          <w:u w:val="none"/>
          <w:lang w:val="en-US"/>
        </w:rPr>
        <w:t>³</w:t>
      </w:r>
      <w:r>
        <w:rPr>
          <w:color w:val="auto"/>
          <w:highlight w:val="none"/>
          <w:u w:val="none"/>
          <w:lang w:val="en-US"/>
        </w:rPr>
        <w:t>的事故池。事故状态下首先将事故液拦在围堰内，溢流部分流入雨水系统。雨水系统总出口设置一个雨水监控池，监控不合格时，闸门关闭，将事故</w:t>
      </w:r>
      <w:r>
        <w:rPr>
          <w:rFonts w:hint="eastAsia"/>
          <w:color w:val="auto"/>
          <w:highlight w:val="none"/>
          <w:u w:val="none"/>
          <w:lang w:val="en-US"/>
        </w:rPr>
        <w:t>废水</w:t>
      </w:r>
      <w:r>
        <w:rPr>
          <w:color w:val="auto"/>
          <w:highlight w:val="none"/>
          <w:u w:val="none"/>
          <w:lang w:val="en-US"/>
        </w:rPr>
        <w:t>切入事故池。</w:t>
      </w:r>
      <w:r>
        <w:rPr>
          <w:rFonts w:hint="eastAsia"/>
          <w:color w:val="auto"/>
          <w:highlight w:val="none"/>
          <w:u w:val="none"/>
          <w:lang w:val="en-US"/>
        </w:rPr>
        <w:t>经核算，其容积可</w:t>
      </w:r>
      <w:r>
        <w:rPr>
          <w:color w:val="auto"/>
          <w:highlight w:val="none"/>
          <w:u w:val="none"/>
        </w:rPr>
        <w:t>满足</w:t>
      </w:r>
      <w:r>
        <w:rPr>
          <w:rFonts w:hint="eastAsia"/>
          <w:color w:val="auto"/>
          <w:highlight w:val="none"/>
          <w:u w:val="none"/>
        </w:rPr>
        <w:t>本项目</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rFonts w:hint="eastAsia"/>
          <w:color w:val="auto"/>
          <w:highlight w:val="none"/>
          <w:u w:val="none"/>
        </w:rPr>
        <w:t>后企业</w:t>
      </w:r>
      <w:r>
        <w:rPr>
          <w:color w:val="auto"/>
          <w:highlight w:val="none"/>
          <w:u w:val="none"/>
        </w:rPr>
        <w:t>最大事故水量及转送要求。</w:t>
      </w:r>
      <w:r>
        <w:rPr>
          <w:color w:val="auto"/>
          <w:highlight w:val="none"/>
          <w:u w:val="none"/>
          <w:lang w:val="en-US"/>
        </w:rPr>
        <w:t>厂区的事故池</w:t>
      </w:r>
      <w:r>
        <w:rPr>
          <w:rFonts w:hint="eastAsia"/>
          <w:color w:val="auto"/>
          <w:highlight w:val="none"/>
          <w:u w:val="none"/>
          <w:lang w:val="en-US"/>
        </w:rPr>
        <w:t>已与</w:t>
      </w:r>
      <w:r>
        <w:rPr>
          <w:color w:val="auto"/>
          <w:highlight w:val="none"/>
          <w:u w:val="none"/>
          <w:lang w:val="en-US"/>
        </w:rPr>
        <w:t>邻近的</w:t>
      </w:r>
      <w:r>
        <w:rPr>
          <w:rFonts w:hint="eastAsia"/>
          <w:color w:val="auto"/>
          <w:highlight w:val="none"/>
          <w:u w:val="none"/>
        </w:rPr>
        <w:t>万华环保科技公司</w:t>
      </w:r>
      <w:r>
        <w:rPr>
          <w:color w:val="auto"/>
          <w:highlight w:val="none"/>
          <w:u w:val="none"/>
          <w:lang w:val="en-US"/>
        </w:rPr>
        <w:t>的24000m</w:t>
      </w:r>
      <w:r>
        <w:rPr>
          <w:rFonts w:hAnsi="Times New Roman"/>
          <w:color w:val="auto"/>
          <w:highlight w:val="none"/>
          <w:u w:val="none"/>
          <w:lang w:val="en-US"/>
        </w:rPr>
        <w:t>³</w:t>
      </w:r>
      <w:r>
        <w:rPr>
          <w:color w:val="auto"/>
          <w:highlight w:val="none"/>
          <w:u w:val="none"/>
          <w:lang w:val="en-US"/>
        </w:rPr>
        <w:t>的事故应急池实现相互连通，事故废水可以互相调储，事故废水在</w:t>
      </w:r>
      <w:r>
        <w:rPr>
          <w:rFonts w:hint="eastAsia"/>
          <w:color w:val="auto"/>
          <w:highlight w:val="none"/>
          <w:u w:val="none"/>
        </w:rPr>
        <w:t>万华环保科技公司</w:t>
      </w:r>
      <w:r>
        <w:rPr>
          <w:color w:val="auto"/>
          <w:highlight w:val="none"/>
          <w:u w:val="none"/>
          <w:lang w:val="en-US"/>
        </w:rPr>
        <w:t>厂内污水处理站预处理后，进入</w:t>
      </w:r>
      <w:r>
        <w:rPr>
          <w:rStyle w:val="161"/>
          <w:rFonts w:hint="eastAsia"/>
          <w:color w:val="auto"/>
          <w:sz w:val="24"/>
          <w:szCs w:val="24"/>
          <w:highlight w:val="none"/>
          <w:u w:val="none"/>
          <w:lang w:eastAsia="zh-CN"/>
        </w:rPr>
        <w:t>福州江阴港城经济区</w:t>
      </w:r>
      <w:r>
        <w:rPr>
          <w:rStyle w:val="161"/>
          <w:rFonts w:hint="eastAsia"/>
          <w:color w:val="auto"/>
          <w:sz w:val="24"/>
          <w:szCs w:val="24"/>
          <w:highlight w:val="none"/>
          <w:u w:val="none"/>
        </w:rPr>
        <w:t>污水处理厂</w:t>
      </w:r>
      <w:r>
        <w:rPr>
          <w:color w:val="auto"/>
          <w:highlight w:val="none"/>
          <w:u w:val="none"/>
          <w:lang w:val="en-US"/>
        </w:rPr>
        <w:t>集中处理，最后通过园区排海管网外排。厂区设有备用柴油发电机组和2000m</w:t>
      </w:r>
      <w:r>
        <w:rPr>
          <w:rFonts w:hAnsi="Times New Roman"/>
          <w:color w:val="auto"/>
          <w:highlight w:val="none"/>
          <w:u w:val="none"/>
          <w:lang w:val="en-US"/>
        </w:rPr>
        <w:t>³</w:t>
      </w:r>
      <w:r>
        <w:rPr>
          <w:color w:val="auto"/>
          <w:highlight w:val="none"/>
          <w:u w:val="none"/>
          <w:lang w:val="en-US"/>
        </w:rPr>
        <w:t>/h的污水提升泵3台（2用1备），以便在事故发生时，确保各事故池之间实现相互连通，同时也可及时将事故废水由泵提升至污水处理站</w:t>
      </w:r>
      <w:r>
        <w:rPr>
          <w:rFonts w:hint="eastAsia"/>
          <w:color w:val="auto"/>
          <w:highlight w:val="none"/>
          <w:u w:val="none"/>
          <w:lang w:val="en-US"/>
        </w:rPr>
        <w:t>，符合</w:t>
      </w:r>
      <w:r>
        <w:rPr>
          <w:color w:val="auto"/>
          <w:highlight w:val="none"/>
          <w:u w:val="none"/>
        </w:rPr>
        <w:t>《福建省环保厅关于切实加强重点石化化工企业及园区环境应急池建设的通知》</w:t>
      </w:r>
      <w:r>
        <w:rPr>
          <w:rFonts w:hint="eastAsia"/>
          <w:color w:val="auto"/>
          <w:highlight w:val="none"/>
          <w:u w:val="none"/>
        </w:rPr>
        <w:t>（</w:t>
      </w:r>
      <w:r>
        <w:rPr>
          <w:color w:val="auto"/>
          <w:highlight w:val="none"/>
          <w:u w:val="none"/>
        </w:rPr>
        <w:t>闽环保应急〔2015〕13号</w:t>
      </w:r>
      <w:r>
        <w:rPr>
          <w:rFonts w:hint="eastAsia"/>
          <w:color w:val="auto"/>
          <w:highlight w:val="none"/>
          <w:u w:val="none"/>
        </w:rPr>
        <w:t>）</w:t>
      </w:r>
      <w:r>
        <w:rPr>
          <w:color w:val="auto"/>
          <w:highlight w:val="none"/>
          <w:u w:val="none"/>
        </w:rPr>
        <w:t>的要求，</w:t>
      </w:r>
      <w:r>
        <w:rPr>
          <w:rFonts w:hint="eastAsia"/>
          <w:color w:val="auto"/>
          <w:highlight w:val="none"/>
          <w:u w:val="none"/>
        </w:rPr>
        <w:t>即</w:t>
      </w:r>
      <w:r>
        <w:rPr>
          <w:color w:val="auto"/>
          <w:highlight w:val="none"/>
          <w:u w:val="none"/>
        </w:rPr>
        <w:t>在同一个园区或者片区内的，或者彼此相邻的石化、化工生产企业和油库、罐区储运企业之间，要加强沟通联动，牢固树立“环保一家人”观念，打通彼此已建、在建、拟建应急池通道，配备能力足够的双向自流或者动力提升设施，实现应急池系统共用</w:t>
      </w:r>
      <w:r>
        <w:rPr>
          <w:rFonts w:hint="eastAsia"/>
          <w:color w:val="auto"/>
          <w:highlight w:val="none"/>
          <w:u w:val="none"/>
          <w:lang w:val="en-US"/>
        </w:rPr>
        <w:t>的要求。</w:t>
      </w:r>
    </w:p>
    <w:p w14:paraId="37BD1BC9">
      <w:pPr>
        <w:rPr>
          <w:rFonts w:hint="eastAsia"/>
          <w:color w:val="auto"/>
          <w:highlight w:val="none"/>
          <w:u w:val="none"/>
        </w:rPr>
      </w:pPr>
      <w:r>
        <w:rPr>
          <w:color w:val="auto"/>
          <w:highlight w:val="none"/>
          <w:u w:val="none"/>
        </w:rPr>
        <w:t>另外，园区管委会已在园区的西部化工片区建设一个5万m</w:t>
      </w:r>
      <w:r>
        <w:rPr>
          <w:rFonts w:hAnsi="Times New Roman"/>
          <w:color w:val="auto"/>
          <w:highlight w:val="none"/>
          <w:u w:val="none"/>
          <w:lang w:val="en-US"/>
        </w:rPr>
        <w:t>³</w:t>
      </w:r>
      <w:r>
        <w:rPr>
          <w:color w:val="auto"/>
          <w:highlight w:val="none"/>
          <w:u w:val="none"/>
        </w:rPr>
        <w:t>的公共事故应急池系统，同时，园区排洪渠两端设置水闸，遇极端事故情况，园区启动园区应急预案，事故废水可通过园区事故应急四级防控系统及排洪渠</w:t>
      </w:r>
      <w:r>
        <w:rPr>
          <w:rFonts w:hint="eastAsia"/>
          <w:color w:val="auto"/>
          <w:highlight w:val="none"/>
          <w:u w:val="none"/>
        </w:rPr>
        <w:t>水</w:t>
      </w:r>
      <w:r>
        <w:rPr>
          <w:color w:val="auto"/>
          <w:highlight w:val="none"/>
          <w:u w:val="none"/>
        </w:rPr>
        <w:t>闸进一步控制，避免事故废水排入兴化湾。</w:t>
      </w:r>
    </w:p>
    <w:p w14:paraId="3090D91D">
      <w:pPr>
        <w:rPr>
          <w:rFonts w:hint="eastAsia"/>
          <w:color w:val="auto"/>
          <w:highlight w:val="none"/>
          <w:u w:val="none"/>
        </w:rPr>
      </w:pPr>
      <w:r>
        <w:rPr>
          <w:color w:val="auto"/>
          <w:highlight w:val="none"/>
          <w:u w:val="none"/>
        </w:rPr>
        <w:t>建设单位针对现有工程可能发生的突发环境风险状况，目前已经按照《建设项目环境风险评价技术导则》</w:t>
      </w:r>
      <w:r>
        <w:rPr>
          <w:rFonts w:hint="eastAsia"/>
          <w:color w:val="auto"/>
          <w:highlight w:val="none"/>
          <w:u w:val="none"/>
        </w:rPr>
        <w:t>（HJ169-2018）</w:t>
      </w:r>
      <w:r>
        <w:rPr>
          <w:color w:val="auto"/>
          <w:highlight w:val="none"/>
          <w:u w:val="none"/>
        </w:rPr>
        <w:t>、《国家突发环境事件应急预案》、《企业事业单位突发环境应急预案备案管理办法（试行）》（环发〔2015〕4号）、</w:t>
      </w:r>
      <w:r>
        <w:rPr>
          <w:rFonts w:hint="eastAsia"/>
          <w:color w:val="auto"/>
          <w:highlight w:val="none"/>
          <w:u w:val="none"/>
        </w:rPr>
        <w:t>《</w:t>
      </w:r>
      <w:r>
        <w:rPr>
          <w:color w:val="auto"/>
          <w:highlight w:val="none"/>
          <w:u w:val="none"/>
        </w:rPr>
        <w:t>福建省人民政府“关于印发福建省突发环境事件应急预案的通知”</w:t>
      </w:r>
      <w:r>
        <w:rPr>
          <w:rFonts w:hint="eastAsia"/>
          <w:color w:val="auto"/>
          <w:highlight w:val="none"/>
          <w:u w:val="none"/>
        </w:rPr>
        <w:t>》</w:t>
      </w:r>
      <w:r>
        <w:rPr>
          <w:color w:val="auto"/>
          <w:highlight w:val="none"/>
          <w:u w:val="none"/>
        </w:rPr>
        <w:t>（闽政办〔2015〕102号）等文件中规定的“环境风险事故应急预案编制原则”要求，编制了突发环境事件应急预案</w:t>
      </w:r>
      <w:r>
        <w:rPr>
          <w:rFonts w:hint="eastAsia"/>
          <w:color w:val="auto"/>
          <w:highlight w:val="none"/>
          <w:u w:val="none"/>
          <w:lang w:val="en-US"/>
        </w:rPr>
        <w:t>且</w:t>
      </w:r>
      <w:r>
        <w:rPr>
          <w:color w:val="auto"/>
          <w:highlight w:val="none"/>
          <w:u w:val="none"/>
        </w:rPr>
        <w:t>备案。</w:t>
      </w:r>
      <w:r>
        <w:rPr>
          <w:rFonts w:hint="eastAsia"/>
          <w:color w:val="auto"/>
          <w:highlight w:val="none"/>
          <w:u w:val="none"/>
          <w:lang w:val="en-US"/>
        </w:rPr>
        <w:t>但是</w:t>
      </w:r>
      <w:r>
        <w:rPr>
          <w:color w:val="auto"/>
          <w:highlight w:val="none"/>
          <w:u w:val="none"/>
        </w:rPr>
        <w:t>建设单位应结合本次</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color w:val="auto"/>
          <w:highlight w:val="none"/>
          <w:u w:val="none"/>
        </w:rPr>
        <w:t>新增的化工装置、储罐以及涉及的危险化学品等，按照福建省环保厅转发环保部关于印发《企业事业单位突发环境事件应急预案备案管理办法（试行）》（闽环保应急〔2015〕2号）的通知，进一步完善事故应急预案，并报福州市生态环境局再次备案。</w:t>
      </w:r>
    </w:p>
    <w:p w14:paraId="4BD2BD6D">
      <w:pPr>
        <w:rPr>
          <w:rFonts w:hint="eastAsia"/>
          <w:color w:val="auto"/>
          <w:highlight w:val="none"/>
          <w:u w:val="none"/>
        </w:rPr>
      </w:pPr>
      <w:r>
        <w:rPr>
          <w:color w:val="auto"/>
          <w:highlight w:val="none"/>
          <w:u w:val="none"/>
        </w:rPr>
        <w:t>建议园区应进行工业园区环境风险评估，并制定、完善相应园区环境风险事故应急响应和应急预案，确保事故状态</w:t>
      </w:r>
      <w:r>
        <w:rPr>
          <w:rFonts w:hint="eastAsia"/>
          <w:color w:val="auto"/>
          <w:highlight w:val="none"/>
          <w:u w:val="none"/>
        </w:rPr>
        <w:t>下</w:t>
      </w:r>
      <w:r>
        <w:rPr>
          <w:color w:val="auto"/>
          <w:highlight w:val="none"/>
          <w:u w:val="none"/>
        </w:rPr>
        <w:t>本工程废水得到妥善收集处理，不对水环境造成污染。</w:t>
      </w:r>
    </w:p>
    <w:p w14:paraId="1E7AE821">
      <w:pPr>
        <w:rPr>
          <w:rFonts w:hint="eastAsia"/>
          <w:color w:val="auto"/>
          <w:highlight w:val="none"/>
          <w:u w:val="none"/>
        </w:rPr>
      </w:pPr>
      <w:r>
        <w:rPr>
          <w:color w:val="auto"/>
          <w:highlight w:val="none"/>
          <w:u w:val="none"/>
        </w:rPr>
        <w:t>综上所述，建设单位应严格按照本评价的要求采取相应的风险防范措施，并针对潜在的各类风险事故制定相应的应急预案，并严格执行，以最大程度降低风险影响，则本项目的环境风险总体是可防可控的</w:t>
      </w:r>
      <w:r>
        <w:rPr>
          <w:rFonts w:hint="eastAsia"/>
          <w:color w:val="auto"/>
          <w:highlight w:val="none"/>
          <w:u w:val="none"/>
        </w:rPr>
        <w:t>。</w:t>
      </w:r>
    </w:p>
    <w:p w14:paraId="5A05C0A7">
      <w:pPr>
        <w:rPr>
          <w:rFonts w:hint="eastAsia"/>
          <w:color w:val="auto"/>
          <w:highlight w:val="none"/>
          <w:u w:val="none"/>
        </w:rPr>
        <w:sectPr>
          <w:footerReference r:id="rId27" w:type="default"/>
          <w:pgSz w:w="11906" w:h="16838"/>
          <w:pgMar w:top="1440" w:right="1418" w:bottom="1440" w:left="1418" w:header="851" w:footer="992" w:gutter="0"/>
          <w:cols w:space="425" w:num="1"/>
          <w:docGrid w:type="lines" w:linePitch="312" w:charSpace="0"/>
        </w:sectPr>
      </w:pPr>
    </w:p>
    <w:p w14:paraId="29BCA3A8">
      <w:pPr>
        <w:pStyle w:val="3"/>
        <w:rPr>
          <w:rFonts w:hint="eastAsia"/>
          <w:color w:val="auto"/>
          <w:highlight w:val="none"/>
          <w:u w:val="none"/>
        </w:rPr>
      </w:pPr>
      <w:bookmarkStart w:id="707" w:name="_Toc9980"/>
      <w:bookmarkStart w:id="708" w:name="_Toc148375148"/>
      <w:bookmarkStart w:id="709" w:name="_Toc148374706"/>
      <w:bookmarkStart w:id="710" w:name="_Toc148374840"/>
      <w:r>
        <w:rPr>
          <w:rFonts w:hint="eastAsia"/>
          <w:color w:val="auto"/>
          <w:highlight w:val="none"/>
          <w:u w:val="none"/>
        </w:rPr>
        <w:t>环境保护措施及可行性分析</w:t>
      </w:r>
      <w:bookmarkEnd w:id="707"/>
      <w:bookmarkEnd w:id="708"/>
      <w:bookmarkEnd w:id="709"/>
      <w:bookmarkEnd w:id="710"/>
    </w:p>
    <w:p w14:paraId="436C1B5F">
      <w:pPr>
        <w:pStyle w:val="5"/>
        <w:rPr>
          <w:rFonts w:hint="eastAsia"/>
          <w:color w:val="auto"/>
          <w:highlight w:val="none"/>
          <w:u w:val="none"/>
        </w:rPr>
      </w:pPr>
      <w:bookmarkStart w:id="711" w:name="_Toc148375157"/>
      <w:bookmarkStart w:id="712" w:name="_Toc148374715"/>
      <w:r>
        <w:rPr>
          <w:rFonts w:hint="eastAsia"/>
          <w:color w:val="auto"/>
          <w:highlight w:val="none"/>
          <w:u w:val="none"/>
        </w:rPr>
        <w:t>现有工程采取的环保措施执行情况及其可行性已在</w:t>
      </w:r>
      <w:r>
        <w:rPr>
          <w:rFonts w:hint="eastAsia"/>
          <w:color w:val="auto"/>
          <w:highlight w:val="none"/>
          <w:u w:val="none"/>
          <w:lang w:val="en-US" w:eastAsia="zh-CN"/>
        </w:rPr>
        <w:t>第三章节</w:t>
      </w:r>
      <w:r>
        <w:rPr>
          <w:rFonts w:hint="eastAsia"/>
          <w:color w:val="auto"/>
          <w:highlight w:val="none"/>
          <w:u w:val="none"/>
        </w:rPr>
        <w:t>进行回顾分析，本节不再进行赘述，通过对现有工程环保措施现场调查、第三方检测单位检测数据</w:t>
      </w:r>
      <w:r>
        <w:rPr>
          <w:rFonts w:hint="eastAsia"/>
          <w:color w:val="auto"/>
          <w:highlight w:val="none"/>
          <w:u w:val="none"/>
          <w:lang w:eastAsia="zh-CN"/>
        </w:rPr>
        <w:t>、</w:t>
      </w:r>
      <w:r>
        <w:rPr>
          <w:rFonts w:hint="eastAsia"/>
          <w:color w:val="auto"/>
          <w:highlight w:val="none"/>
          <w:u w:val="none"/>
          <w:lang w:val="en-US" w:eastAsia="zh-CN"/>
        </w:rPr>
        <w:t>验收报告</w:t>
      </w:r>
      <w:r>
        <w:rPr>
          <w:rFonts w:hint="eastAsia"/>
          <w:color w:val="auto"/>
          <w:highlight w:val="none"/>
          <w:u w:val="none"/>
        </w:rPr>
        <w:t>以及现有工程在线监测数据的分析，可以看出现有工程环保措施可保证各污染物稳定达标排放。</w:t>
      </w:r>
    </w:p>
    <w:p w14:paraId="13A746D8">
      <w:pPr>
        <w:pStyle w:val="5"/>
        <w:rPr>
          <w:rFonts w:hint="eastAsia"/>
          <w:color w:val="auto"/>
          <w:highlight w:val="none"/>
          <w:u w:val="none"/>
        </w:rPr>
      </w:pPr>
      <w:r>
        <w:rPr>
          <w:rFonts w:hint="eastAsia"/>
          <w:color w:val="auto"/>
          <w:highlight w:val="none"/>
          <w:u w:val="none"/>
        </w:rPr>
        <w:t>根据工程分析，本工程的主要环境问题为生产过程产生的工艺废水、各装置工艺废气、设备运行噪声和固体废物对环境的影响等。本章将针对工程分析中提出的污染源及拟采用的环保措施的可行性进行分析，并提出相应的对策与建议。</w:t>
      </w:r>
    </w:p>
    <w:p w14:paraId="44DF2777">
      <w:pPr>
        <w:pStyle w:val="4"/>
        <w:bidi w:val="0"/>
        <w:rPr>
          <w:color w:val="auto"/>
          <w:highlight w:val="none"/>
          <w:u w:val="none"/>
        </w:rPr>
      </w:pPr>
      <w:bookmarkStart w:id="713" w:name="_Toc28510"/>
      <w:r>
        <w:rPr>
          <w:rFonts w:hint="eastAsia"/>
          <w:color w:val="auto"/>
          <w:highlight w:val="none"/>
          <w:u w:val="none"/>
          <w:lang w:val="en-US"/>
        </w:rPr>
        <w:t>施工期污染防治措施</w:t>
      </w:r>
      <w:bookmarkEnd w:id="713"/>
    </w:p>
    <w:p w14:paraId="3FF9EC5A">
      <w:pPr>
        <w:pStyle w:val="6"/>
        <w:bidi w:val="0"/>
        <w:rPr>
          <w:color w:val="auto"/>
          <w:highlight w:val="none"/>
          <w:u w:val="none"/>
        </w:rPr>
      </w:pPr>
      <w:r>
        <w:rPr>
          <w:rFonts w:hint="eastAsia"/>
          <w:color w:val="auto"/>
          <w:highlight w:val="none"/>
          <w:u w:val="none"/>
        </w:rPr>
        <w:t>施工期大气污染防治对策措施</w:t>
      </w:r>
    </w:p>
    <w:p w14:paraId="71ED16A7">
      <w:pPr>
        <w:pStyle w:val="5"/>
        <w:ind w:firstLine="480"/>
        <w:rPr>
          <w:rFonts w:hint="eastAsia"/>
          <w:color w:val="auto"/>
          <w:highlight w:val="none"/>
          <w:u w:val="none"/>
        </w:rPr>
      </w:pPr>
      <w:r>
        <w:rPr>
          <w:rFonts w:hint="eastAsia"/>
          <w:color w:val="auto"/>
          <w:highlight w:val="none"/>
          <w:u w:val="none"/>
        </w:rPr>
        <w:t>为减轻施工过程对环境的影响，建设单位应加强以下各项环保措施：</w:t>
      </w:r>
    </w:p>
    <w:p w14:paraId="2F8AFC54">
      <w:pPr>
        <w:pStyle w:val="5"/>
        <w:ind w:firstLine="480"/>
        <w:rPr>
          <w:rFonts w:hint="eastAsia"/>
          <w:color w:val="auto"/>
          <w:highlight w:val="none"/>
          <w:u w:val="none"/>
        </w:rPr>
      </w:pPr>
      <w:r>
        <w:rPr>
          <w:rFonts w:hint="eastAsia"/>
          <w:color w:val="auto"/>
          <w:highlight w:val="none"/>
          <w:u w:val="none"/>
        </w:rPr>
        <w:t>（1）焊接烟尘控制措施</w:t>
      </w:r>
    </w:p>
    <w:p w14:paraId="01FEFF81">
      <w:pPr>
        <w:pStyle w:val="5"/>
        <w:ind w:firstLine="480"/>
        <w:rPr>
          <w:rFonts w:hint="eastAsia"/>
          <w:color w:val="auto"/>
          <w:highlight w:val="none"/>
          <w:u w:val="none"/>
        </w:rPr>
      </w:pPr>
      <w:r>
        <w:rPr>
          <w:rFonts w:hint="eastAsia"/>
          <w:color w:val="auto"/>
          <w:highlight w:val="none"/>
          <w:u w:val="none"/>
        </w:rPr>
        <w:t>①焊接工人必须经过专门培训，持证上岗，保证焊接质量，避免因返工而增加焊接工作量，连带产生不必要的焊接烟尘。</w:t>
      </w:r>
    </w:p>
    <w:p w14:paraId="2E9CBB4D">
      <w:pPr>
        <w:pStyle w:val="5"/>
        <w:ind w:firstLine="480"/>
        <w:rPr>
          <w:rFonts w:hint="eastAsia"/>
          <w:color w:val="auto"/>
          <w:highlight w:val="none"/>
          <w:u w:val="none"/>
        </w:rPr>
      </w:pPr>
      <w:r>
        <w:rPr>
          <w:rFonts w:hint="eastAsia"/>
          <w:color w:val="auto"/>
          <w:highlight w:val="none"/>
          <w:u w:val="none"/>
        </w:rPr>
        <w:t>②焊接现场必须保持良好的通风条件，以保持焊接现场的良好环境空气质量。</w:t>
      </w:r>
    </w:p>
    <w:p w14:paraId="4DCA3EBC">
      <w:pPr>
        <w:pStyle w:val="5"/>
        <w:ind w:firstLine="480"/>
        <w:rPr>
          <w:rFonts w:hint="eastAsia"/>
          <w:color w:val="auto"/>
          <w:highlight w:val="none"/>
          <w:u w:val="none"/>
        </w:rPr>
      </w:pPr>
      <w:r>
        <w:rPr>
          <w:rFonts w:hint="eastAsia"/>
          <w:color w:val="auto"/>
          <w:highlight w:val="none"/>
          <w:u w:val="none"/>
        </w:rPr>
        <w:t>（2）施工机械、施工车辆燃油尾气控制措施</w:t>
      </w:r>
    </w:p>
    <w:p w14:paraId="62D580E5">
      <w:pPr>
        <w:pStyle w:val="5"/>
        <w:ind w:firstLine="480"/>
        <w:rPr>
          <w:rFonts w:hint="eastAsia"/>
          <w:color w:val="auto"/>
          <w:highlight w:val="none"/>
          <w:u w:val="none"/>
        </w:rPr>
      </w:pPr>
      <w:r>
        <w:rPr>
          <w:rFonts w:hint="eastAsia"/>
          <w:color w:val="auto"/>
          <w:highlight w:val="none"/>
          <w:u w:val="none"/>
        </w:rPr>
        <w:t>建设单位应加强监督管理，要求施工单位使用性能优良的施工机械和施工车辆，进入施工现场的车辆性能必须符合《轻型汽车污染物排放限值及测量方法（中国第六阶段）》（GB18352.6-2016）、《重型柴油车污染物排放限值及测量方法（中国第六阶段）》（GB17691-2018）的要求，禁止使用不符合上述性能的施工车辆。</w:t>
      </w:r>
    </w:p>
    <w:p w14:paraId="33BEBFC9">
      <w:pPr>
        <w:pStyle w:val="5"/>
        <w:ind w:firstLine="480"/>
        <w:rPr>
          <w:rFonts w:hint="eastAsia"/>
          <w:color w:val="auto"/>
          <w:highlight w:val="none"/>
          <w:u w:val="none"/>
        </w:rPr>
      </w:pPr>
      <w:r>
        <w:rPr>
          <w:rFonts w:hint="eastAsia"/>
          <w:color w:val="auto"/>
          <w:highlight w:val="none"/>
          <w:u w:val="none"/>
        </w:rPr>
        <w:t>（4）技改过程装置废气</w:t>
      </w:r>
    </w:p>
    <w:p w14:paraId="37D05FC1">
      <w:pPr>
        <w:pStyle w:val="5"/>
        <w:ind w:firstLine="480"/>
        <w:rPr>
          <w:rFonts w:hint="eastAsia"/>
          <w:color w:val="auto"/>
          <w:highlight w:val="none"/>
          <w:u w:val="none"/>
        </w:rPr>
      </w:pPr>
      <w:r>
        <w:rPr>
          <w:rFonts w:hint="eastAsia"/>
          <w:color w:val="auto"/>
          <w:highlight w:val="none"/>
          <w:u w:val="none"/>
        </w:rPr>
        <w:t>技改过程各管道、中间罐、反应塔等设备废气采用排气置换措施，排出的废气由风机送往各废气处理设施处理后达标排放。</w:t>
      </w:r>
    </w:p>
    <w:p w14:paraId="4FF651DE">
      <w:pPr>
        <w:pStyle w:val="6"/>
        <w:bidi w:val="0"/>
        <w:rPr>
          <w:color w:val="auto"/>
          <w:highlight w:val="none"/>
          <w:u w:val="none"/>
        </w:rPr>
      </w:pPr>
      <w:r>
        <w:rPr>
          <w:rFonts w:hint="eastAsia"/>
          <w:color w:val="auto"/>
          <w:highlight w:val="none"/>
          <w:u w:val="none"/>
        </w:rPr>
        <w:t>施工期水污染防治对策措施</w:t>
      </w:r>
    </w:p>
    <w:p w14:paraId="37AF9AEC">
      <w:pPr>
        <w:pStyle w:val="5"/>
        <w:ind w:firstLine="480"/>
        <w:rPr>
          <w:rFonts w:hint="eastAsia"/>
          <w:color w:val="auto"/>
          <w:highlight w:val="none"/>
          <w:u w:val="none"/>
        </w:rPr>
      </w:pPr>
      <w:r>
        <w:rPr>
          <w:rFonts w:hint="eastAsia"/>
          <w:color w:val="auto"/>
          <w:highlight w:val="none"/>
          <w:u w:val="none"/>
        </w:rPr>
        <w:t>项目施工期废水主要为施工人员生活污水、施工机械和车辆清洗废水和试车期间设备及管道清洗试压废水，应采取以下的废水防治对策及措施。</w:t>
      </w:r>
    </w:p>
    <w:p w14:paraId="66D73170">
      <w:pPr>
        <w:pStyle w:val="5"/>
        <w:ind w:firstLine="480"/>
        <w:rPr>
          <w:rFonts w:hint="eastAsia"/>
          <w:color w:val="auto"/>
          <w:highlight w:val="none"/>
          <w:u w:val="none"/>
        </w:rPr>
      </w:pPr>
      <w:r>
        <w:rPr>
          <w:rFonts w:hint="eastAsia"/>
          <w:color w:val="auto"/>
          <w:highlight w:val="none"/>
          <w:u w:val="none"/>
        </w:rPr>
        <w:t>（1）施工人员生活污水</w:t>
      </w:r>
    </w:p>
    <w:p w14:paraId="6890907E">
      <w:pPr>
        <w:pStyle w:val="5"/>
        <w:ind w:firstLine="480"/>
        <w:rPr>
          <w:rFonts w:hint="eastAsia"/>
          <w:color w:val="auto"/>
          <w:highlight w:val="none"/>
          <w:u w:val="none"/>
        </w:rPr>
      </w:pPr>
      <w:r>
        <w:rPr>
          <w:rFonts w:hint="eastAsia"/>
          <w:color w:val="auto"/>
          <w:highlight w:val="none"/>
          <w:u w:val="none"/>
        </w:rPr>
        <w:t>施工现场施工人员生活污水依托厂内现有低浓度废水处理系统处置达标后送入江阴污水处理厂进一步处理，禁止生活污水直接排入附近水体。</w:t>
      </w:r>
    </w:p>
    <w:p w14:paraId="0D0426D1">
      <w:pPr>
        <w:pStyle w:val="5"/>
        <w:ind w:firstLine="480"/>
        <w:rPr>
          <w:rFonts w:hint="eastAsia"/>
          <w:color w:val="auto"/>
          <w:highlight w:val="none"/>
          <w:u w:val="none"/>
        </w:rPr>
      </w:pPr>
      <w:r>
        <w:rPr>
          <w:rFonts w:hint="eastAsia"/>
          <w:color w:val="auto"/>
          <w:highlight w:val="none"/>
          <w:u w:val="none"/>
        </w:rPr>
        <w:t>（2）施工机械和车辆清洗废水</w:t>
      </w:r>
    </w:p>
    <w:p w14:paraId="7351C8C2">
      <w:pPr>
        <w:pStyle w:val="5"/>
        <w:ind w:firstLine="480"/>
        <w:rPr>
          <w:rFonts w:hint="eastAsia"/>
          <w:color w:val="auto"/>
          <w:highlight w:val="none"/>
          <w:u w:val="none"/>
        </w:rPr>
      </w:pPr>
      <w:r>
        <w:rPr>
          <w:rFonts w:hint="eastAsia"/>
          <w:color w:val="auto"/>
          <w:highlight w:val="none"/>
          <w:u w:val="none"/>
        </w:rPr>
        <w:t>①减少清洗废水量措施：加强施工机械的清洗管理，设置汽车机械临时保养站（含停车场），运输车辆和机械设备冲洗在保养站内进行，主要机械设备每天清洗1次。</w:t>
      </w:r>
    </w:p>
    <w:p w14:paraId="238FBA75">
      <w:pPr>
        <w:pStyle w:val="5"/>
        <w:ind w:firstLine="480"/>
        <w:rPr>
          <w:rFonts w:hint="eastAsia"/>
          <w:color w:val="auto"/>
          <w:highlight w:val="none"/>
          <w:u w:val="none"/>
        </w:rPr>
      </w:pPr>
      <w:r>
        <w:rPr>
          <w:rFonts w:hint="eastAsia"/>
          <w:color w:val="auto"/>
          <w:highlight w:val="none"/>
          <w:u w:val="none"/>
        </w:rPr>
        <w:t>②清洗废水处理措施：施工机械清洗废水主要含有泥土等悬浮物质(SS)、石油类等，依托厂内现有低浓度废水处理系统处置。</w:t>
      </w:r>
    </w:p>
    <w:p w14:paraId="5BF0D745">
      <w:pPr>
        <w:pStyle w:val="5"/>
        <w:ind w:firstLine="480"/>
        <w:rPr>
          <w:rFonts w:hint="eastAsia"/>
          <w:color w:val="auto"/>
          <w:highlight w:val="none"/>
          <w:u w:val="none"/>
        </w:rPr>
      </w:pPr>
      <w:r>
        <w:rPr>
          <w:rFonts w:hint="eastAsia"/>
          <w:color w:val="auto"/>
          <w:highlight w:val="none"/>
          <w:u w:val="none"/>
        </w:rPr>
        <w:t xml:space="preserve">（4）试车期间设备及管道清洗试压废水 </w:t>
      </w:r>
    </w:p>
    <w:p w14:paraId="417F57D2">
      <w:pPr>
        <w:pStyle w:val="5"/>
        <w:ind w:firstLine="480"/>
        <w:rPr>
          <w:rFonts w:hint="eastAsia"/>
          <w:color w:val="auto"/>
          <w:highlight w:val="none"/>
          <w:u w:val="none"/>
        </w:rPr>
      </w:pPr>
      <w:r>
        <w:rPr>
          <w:rFonts w:hint="eastAsia"/>
          <w:color w:val="auto"/>
          <w:highlight w:val="none"/>
          <w:u w:val="none"/>
        </w:rPr>
        <w:t>在设备及管道安装完成后，需要对设备及管道进行清洗试压。设备及管道清洗试压废水即为设备及管道的清洗和试压阶段排放的废水，废水中含少量的铁锈等悬浮物，可依托厂内低浓度废水处理系统处理。</w:t>
      </w:r>
    </w:p>
    <w:p w14:paraId="4D58E064">
      <w:pPr>
        <w:pStyle w:val="5"/>
        <w:ind w:firstLine="480"/>
        <w:rPr>
          <w:rFonts w:hint="eastAsia"/>
          <w:color w:val="auto"/>
          <w:highlight w:val="none"/>
          <w:u w:val="none"/>
        </w:rPr>
      </w:pPr>
      <w:r>
        <w:rPr>
          <w:rFonts w:hint="eastAsia"/>
          <w:color w:val="auto"/>
          <w:highlight w:val="none"/>
          <w:u w:val="none"/>
        </w:rPr>
        <w:t>（5）技改过程中的罐体清空排水，设备清洗废水、装置临时性用水的排水及非正常生产排水等通过污水管网排入污水处理系统的废水缓冲池（低浓度废水处理系统缓冲池容积2200立方米，综合废水处理系统缓冲池容积6100立方米），先在废水缓冲池内暂存，再分批次与其他废水调节均质后送入污水处理系统处理。</w:t>
      </w:r>
    </w:p>
    <w:p w14:paraId="65A532A5">
      <w:pPr>
        <w:pStyle w:val="6"/>
        <w:bidi w:val="0"/>
        <w:rPr>
          <w:color w:val="auto"/>
          <w:highlight w:val="none"/>
          <w:u w:val="none"/>
        </w:rPr>
      </w:pPr>
      <w:r>
        <w:rPr>
          <w:rFonts w:hint="eastAsia"/>
          <w:color w:val="auto"/>
          <w:highlight w:val="none"/>
          <w:u w:val="none"/>
        </w:rPr>
        <w:t>施工噪声防治对策措施</w:t>
      </w:r>
    </w:p>
    <w:p w14:paraId="0D94C760">
      <w:pPr>
        <w:pStyle w:val="5"/>
        <w:ind w:firstLine="480"/>
        <w:rPr>
          <w:rFonts w:hint="eastAsia"/>
          <w:color w:val="auto"/>
          <w:highlight w:val="none"/>
          <w:u w:val="none"/>
        </w:rPr>
      </w:pPr>
      <w:r>
        <w:rPr>
          <w:rFonts w:hint="eastAsia"/>
          <w:color w:val="auto"/>
          <w:highlight w:val="none"/>
          <w:u w:val="none"/>
        </w:rPr>
        <w:t>项目施工现场距离周边居民区较远，最近的敏感点距离厂界超过2600m，在施工期采取以下有效的噪声污染防治措施，进一步降低施工现场噪声对敏感点的影响。</w:t>
      </w:r>
    </w:p>
    <w:p w14:paraId="1FB162C7">
      <w:pPr>
        <w:pStyle w:val="5"/>
        <w:ind w:firstLine="480"/>
        <w:rPr>
          <w:rFonts w:hint="eastAsia"/>
          <w:color w:val="auto"/>
          <w:highlight w:val="none"/>
          <w:u w:val="none"/>
        </w:rPr>
      </w:pPr>
      <w:r>
        <w:rPr>
          <w:rFonts w:hint="eastAsia"/>
          <w:color w:val="auto"/>
          <w:highlight w:val="none"/>
          <w:u w:val="none"/>
        </w:rPr>
        <w:t>（1）噪声源的控制：施工机械应尽量选用低噪声设备；高噪声设备合理布置；起重机、运输卡车等机械的进气、排气口设置消声器；加强设备的维护和保养；运输车辆经过附近村庄时，应尽可能减少鸣号，同时尽量减少运输车辆夜间作业时间。</w:t>
      </w:r>
    </w:p>
    <w:p w14:paraId="732728E8">
      <w:pPr>
        <w:pStyle w:val="5"/>
        <w:ind w:firstLine="480"/>
        <w:rPr>
          <w:rFonts w:hint="eastAsia"/>
          <w:color w:val="auto"/>
          <w:highlight w:val="none"/>
          <w:u w:val="none"/>
        </w:rPr>
      </w:pPr>
      <w:r>
        <w:rPr>
          <w:rFonts w:hint="eastAsia"/>
          <w:color w:val="auto"/>
          <w:highlight w:val="none"/>
          <w:u w:val="none"/>
        </w:rPr>
        <w:t>（2）传播途径控制：在起重机等声级大的噪声源周围尽可能用多孔吸声材料建立隔声屏障；在施工场地边界、产生噪声设备相对集中的地方建立临时性声障。</w:t>
      </w:r>
    </w:p>
    <w:p w14:paraId="40594A76">
      <w:pPr>
        <w:pStyle w:val="5"/>
        <w:ind w:firstLine="480"/>
        <w:rPr>
          <w:rFonts w:hint="eastAsia"/>
          <w:color w:val="auto"/>
          <w:highlight w:val="none"/>
          <w:u w:val="none"/>
        </w:rPr>
      </w:pPr>
      <w:r>
        <w:rPr>
          <w:rFonts w:hint="eastAsia"/>
          <w:color w:val="auto"/>
          <w:highlight w:val="none"/>
          <w:u w:val="none"/>
        </w:rPr>
        <w:t>（3）施工期间要求施工队伍文明施工，加强管理，合理安排施工时间。</w:t>
      </w:r>
    </w:p>
    <w:p w14:paraId="3C8A6636">
      <w:pPr>
        <w:pStyle w:val="6"/>
        <w:bidi w:val="0"/>
        <w:rPr>
          <w:color w:val="auto"/>
          <w:highlight w:val="none"/>
          <w:u w:val="none"/>
        </w:rPr>
      </w:pPr>
      <w:r>
        <w:rPr>
          <w:rFonts w:hint="eastAsia"/>
          <w:color w:val="auto"/>
          <w:highlight w:val="none"/>
          <w:u w:val="none"/>
        </w:rPr>
        <w:t>施工期固体废物处置措施</w:t>
      </w:r>
    </w:p>
    <w:p w14:paraId="247FFB30">
      <w:pPr>
        <w:pStyle w:val="5"/>
        <w:ind w:firstLine="480"/>
        <w:rPr>
          <w:rFonts w:hint="eastAsia"/>
          <w:color w:val="auto"/>
          <w:highlight w:val="none"/>
          <w:u w:val="none"/>
        </w:rPr>
      </w:pPr>
      <w:r>
        <w:rPr>
          <w:rFonts w:hint="eastAsia"/>
          <w:color w:val="auto"/>
          <w:highlight w:val="none"/>
          <w:u w:val="none"/>
        </w:rPr>
        <w:t>项目施工期产生的固体废物主要为施工作业固体废物、施工人员生活垃圾、以及TDI装置更换的旧设备、废催化剂、废污油等，建设单位应加强管理，采取以下的对策措施：</w:t>
      </w:r>
    </w:p>
    <w:p w14:paraId="5CD4248C">
      <w:pPr>
        <w:pStyle w:val="5"/>
        <w:ind w:firstLine="480"/>
        <w:rPr>
          <w:rFonts w:hint="eastAsia"/>
          <w:color w:val="auto"/>
          <w:highlight w:val="none"/>
          <w:u w:val="none"/>
        </w:rPr>
      </w:pPr>
      <w:r>
        <w:rPr>
          <w:rFonts w:hint="eastAsia"/>
          <w:color w:val="auto"/>
          <w:highlight w:val="none"/>
          <w:u w:val="none"/>
        </w:rPr>
        <w:t>（1）应在施工场地尤其是施工营地的周边设置一些垃圾</w:t>
      </w:r>
      <w:r>
        <w:rPr>
          <w:rFonts w:hint="eastAsia"/>
          <w:color w:val="auto"/>
          <w:highlight w:val="none"/>
          <w:u w:val="none"/>
          <w:lang w:val="en-US" w:eastAsia="zh-CN"/>
        </w:rPr>
        <w:t>桶</w:t>
      </w:r>
      <w:r>
        <w:rPr>
          <w:rFonts w:hint="eastAsia"/>
          <w:color w:val="auto"/>
          <w:highlight w:val="none"/>
          <w:u w:val="none"/>
        </w:rPr>
        <w:t>，用于收集施工人员的生活垃圾，并指定人员负责及时收集，定期清运至附近生活垃圾处理场进行处理。</w:t>
      </w:r>
    </w:p>
    <w:p w14:paraId="518AECF8">
      <w:pPr>
        <w:pStyle w:val="5"/>
        <w:ind w:firstLine="480"/>
        <w:rPr>
          <w:rFonts w:hint="eastAsia"/>
          <w:color w:val="auto"/>
          <w:highlight w:val="none"/>
          <w:u w:val="none"/>
        </w:rPr>
      </w:pPr>
      <w:r>
        <w:rPr>
          <w:rFonts w:hint="eastAsia"/>
          <w:color w:val="auto"/>
          <w:highlight w:val="none"/>
          <w:u w:val="none"/>
        </w:rPr>
        <w:t>（2）建筑模板、建筑材料下脚料、包装袋等应回收综合利用。</w:t>
      </w:r>
    </w:p>
    <w:p w14:paraId="59B1C554">
      <w:pPr>
        <w:pStyle w:val="5"/>
        <w:ind w:firstLine="480"/>
        <w:rPr>
          <w:rFonts w:hint="eastAsia"/>
          <w:color w:val="auto"/>
          <w:highlight w:val="none"/>
          <w:u w:val="none"/>
        </w:rPr>
      </w:pPr>
      <w:r>
        <w:rPr>
          <w:rFonts w:hint="eastAsia"/>
          <w:color w:val="auto"/>
          <w:highlight w:val="none"/>
          <w:u w:val="none"/>
        </w:rPr>
        <w:t>（3）施工安装过程产生的废杂物、含油抹布由环卫部门处置。</w:t>
      </w:r>
    </w:p>
    <w:p w14:paraId="13EBFC30">
      <w:pPr>
        <w:pStyle w:val="5"/>
        <w:ind w:firstLine="480"/>
        <w:rPr>
          <w:rFonts w:hint="eastAsia"/>
          <w:color w:val="auto"/>
          <w:highlight w:val="none"/>
          <w:u w:val="none"/>
        </w:rPr>
      </w:pPr>
      <w:r>
        <w:rPr>
          <w:rFonts w:hint="eastAsia"/>
          <w:color w:val="auto"/>
          <w:highlight w:val="none"/>
          <w:u w:val="none"/>
        </w:rPr>
        <w:t>（4）施工过程产生的废矿物油及含油废物、废油漆桶等应集中收集，委托有资质单位接收处理处置。</w:t>
      </w:r>
    </w:p>
    <w:p w14:paraId="5F367AA7">
      <w:pPr>
        <w:pStyle w:val="5"/>
        <w:ind w:firstLine="480"/>
        <w:rPr>
          <w:rFonts w:hint="eastAsia"/>
          <w:color w:val="auto"/>
          <w:highlight w:val="none"/>
          <w:u w:val="none"/>
        </w:rPr>
      </w:pPr>
      <w:r>
        <w:rPr>
          <w:rFonts w:hint="eastAsia"/>
          <w:color w:val="auto"/>
          <w:highlight w:val="none"/>
          <w:u w:val="none"/>
        </w:rPr>
        <w:t>（5）施工过程TDI装置更换的泵和仪表等零部件清洗后暂存厂内一般固废暂存间，及时委托有能力单位处置；在TDI装置区内预留用地上设置暂存区，暂存区设置适当的防雨、防渗、拦挡等防护措施，更换的大型旧设备先将存留的物料清空，再吹扫清洗去除设备附着物，达到施工作业条件，拆除存放在暂存区，作为一般固体废物及时委托有能力单位处置。</w:t>
      </w:r>
    </w:p>
    <w:p w14:paraId="480C41DE">
      <w:pPr>
        <w:pStyle w:val="5"/>
        <w:ind w:firstLine="480"/>
        <w:rPr>
          <w:rFonts w:hint="eastAsia"/>
          <w:color w:val="auto"/>
          <w:highlight w:val="none"/>
          <w:u w:val="none"/>
        </w:rPr>
      </w:pPr>
      <w:r>
        <w:rPr>
          <w:rFonts w:hint="eastAsia"/>
          <w:color w:val="auto"/>
          <w:highlight w:val="none"/>
          <w:u w:val="none"/>
        </w:rPr>
        <w:t>技改过程更换的废催化剂、废污油等危险废物暂存厂内危险废物暂存间，及时委托有资质单位处置。</w:t>
      </w:r>
    </w:p>
    <w:p w14:paraId="1947BC64">
      <w:pPr>
        <w:pStyle w:val="6"/>
        <w:bidi w:val="0"/>
        <w:rPr>
          <w:color w:val="auto"/>
          <w:highlight w:val="none"/>
          <w:u w:val="none"/>
        </w:rPr>
      </w:pPr>
      <w:r>
        <w:rPr>
          <w:rFonts w:hint="eastAsia"/>
          <w:color w:val="auto"/>
          <w:highlight w:val="none"/>
          <w:u w:val="none"/>
        </w:rPr>
        <w:t>施工期环境管理</w:t>
      </w:r>
    </w:p>
    <w:p w14:paraId="7012FA87">
      <w:pPr>
        <w:pStyle w:val="5"/>
        <w:ind w:firstLine="480"/>
        <w:rPr>
          <w:rFonts w:hint="eastAsia"/>
          <w:color w:val="auto"/>
          <w:highlight w:val="none"/>
          <w:u w:val="none"/>
        </w:rPr>
      </w:pPr>
      <w:r>
        <w:rPr>
          <w:rFonts w:hint="eastAsia"/>
          <w:color w:val="auto"/>
          <w:highlight w:val="none"/>
          <w:u w:val="none"/>
        </w:rPr>
        <w:t>加强施工期环境管理是保障施工期环境保护各项工作顺利实施的关键，建设单位应配备专职的环保管理人员，具体负责该项目筹建、施工期间的环境管理和监督工作。重点监督、检查施工单位环保设施的落实情况，并委托专业单位进行施工期的环境监理。</w:t>
      </w:r>
    </w:p>
    <w:p w14:paraId="232201B5">
      <w:pPr>
        <w:pStyle w:val="5"/>
        <w:ind w:firstLine="480"/>
        <w:rPr>
          <w:rFonts w:hint="eastAsia"/>
          <w:color w:val="auto"/>
          <w:highlight w:val="none"/>
          <w:u w:val="none"/>
        </w:rPr>
      </w:pPr>
      <w:r>
        <w:rPr>
          <w:rFonts w:hint="eastAsia"/>
          <w:color w:val="auto"/>
          <w:highlight w:val="none"/>
          <w:u w:val="none"/>
        </w:rPr>
        <w:t>综上所述，在施工期间，只要建设单位认真落实上述各项环保措施，施工期对环境造成的各种影响将得到有效控制。</w:t>
      </w:r>
    </w:p>
    <w:p w14:paraId="6AA84F8C">
      <w:pPr>
        <w:pStyle w:val="4"/>
        <w:bidi w:val="0"/>
        <w:rPr>
          <w:color w:val="auto"/>
          <w:highlight w:val="none"/>
          <w:u w:val="none"/>
        </w:rPr>
      </w:pPr>
      <w:bookmarkStart w:id="714" w:name="_Toc31532"/>
      <w:r>
        <w:rPr>
          <w:rFonts w:hint="eastAsia"/>
          <w:color w:val="auto"/>
          <w:highlight w:val="none"/>
          <w:u w:val="none"/>
          <w:lang w:val="en-US"/>
        </w:rPr>
        <w:t>营运期环境污染防治措施及可行性分析</w:t>
      </w:r>
      <w:bookmarkEnd w:id="714"/>
    </w:p>
    <w:p w14:paraId="5600A30C">
      <w:pPr>
        <w:pStyle w:val="6"/>
        <w:bidi w:val="0"/>
        <w:rPr>
          <w:color w:val="auto"/>
          <w:highlight w:val="none"/>
          <w:u w:val="none"/>
        </w:rPr>
      </w:pPr>
      <w:r>
        <w:rPr>
          <w:rFonts w:hint="eastAsia"/>
          <w:color w:val="auto"/>
          <w:highlight w:val="none"/>
          <w:u w:val="none"/>
        </w:rPr>
        <w:t>废气污染防治措施及可行性分析</w:t>
      </w:r>
      <w:bookmarkEnd w:id="711"/>
      <w:bookmarkEnd w:id="712"/>
    </w:p>
    <w:p w14:paraId="717BE07E">
      <w:pPr>
        <w:rPr>
          <w:rFonts w:hint="eastAsia"/>
          <w:color w:val="auto"/>
          <w:highlight w:val="none"/>
          <w:u w:val="none"/>
        </w:rPr>
      </w:pPr>
      <w:r>
        <w:rPr>
          <w:rFonts w:hint="eastAsia"/>
          <w:color w:val="auto"/>
          <w:highlight w:val="none"/>
          <w:u w:val="none"/>
        </w:rPr>
        <w:t>根据工程分析，</w:t>
      </w:r>
      <w:r>
        <w:rPr>
          <w:color w:val="auto"/>
          <w:highlight w:val="none"/>
          <w:u w:val="none"/>
        </w:rPr>
        <w:t>本项目主要废气污染源有：硝化单元G1-1酸性废气（含MNT废酸</w:t>
      </w:r>
      <w:r>
        <w:rPr>
          <w:rFonts w:hint="eastAsia"/>
          <w:color w:val="auto"/>
          <w:highlight w:val="none"/>
          <w:u w:val="none"/>
        </w:rPr>
        <w:t>储罐、</w:t>
      </w:r>
      <w:r>
        <w:rPr>
          <w:color w:val="auto"/>
          <w:highlight w:val="none"/>
          <w:u w:val="none"/>
        </w:rPr>
        <w:t>浓硝酸储罐呼吸气）、G1-2碱性废气；氢化单元G2-1反应驰放气、G2-2TDA精</w:t>
      </w:r>
      <w:r>
        <w:rPr>
          <w:rFonts w:hint="eastAsia"/>
          <w:color w:val="auto"/>
          <w:highlight w:val="none"/>
          <w:u w:val="none"/>
        </w:rPr>
        <w:t>制尾气（</w:t>
      </w:r>
      <w:r>
        <w:rPr>
          <w:color w:val="auto"/>
          <w:highlight w:val="none"/>
          <w:u w:val="none"/>
        </w:rPr>
        <w:t>含粗TDA中间储罐呼吸气及OTDA储罐呼吸气）；光化单元G3-1光化尾气</w:t>
      </w:r>
      <w:r>
        <w:rPr>
          <w:rFonts w:hint="eastAsia"/>
          <w:color w:val="auto"/>
          <w:highlight w:val="none"/>
          <w:u w:val="none"/>
        </w:rPr>
        <w:t>（</w:t>
      </w:r>
      <w:r>
        <w:rPr>
          <w:color w:val="auto"/>
          <w:highlight w:val="none"/>
          <w:u w:val="none"/>
        </w:rPr>
        <w:t>含TDI不合格产品储罐呼吸气）、G4-1ODCB储罐废气</w:t>
      </w:r>
      <w:r>
        <w:rPr>
          <w:rFonts w:hint="eastAsia"/>
          <w:color w:val="auto"/>
          <w:highlight w:val="none"/>
          <w:u w:val="none"/>
        </w:rPr>
        <w:t>、</w:t>
      </w:r>
      <w:r>
        <w:rPr>
          <w:rFonts w:hint="eastAsia"/>
          <w:color w:val="auto"/>
          <w:highlight w:val="none"/>
          <w:u w:val="none"/>
          <w:lang w:val="en-US"/>
        </w:rPr>
        <w:t>G5-1 焦油颗粒装车站废气</w:t>
      </w:r>
      <w:r>
        <w:rPr>
          <w:rFonts w:hint="eastAsia"/>
          <w:color w:val="auto"/>
          <w:highlight w:val="none"/>
          <w:u w:val="none"/>
        </w:rPr>
        <w:t>。</w:t>
      </w:r>
      <w:r>
        <w:rPr>
          <w:color w:val="auto"/>
          <w:highlight w:val="none"/>
          <w:u w:val="none"/>
        </w:rPr>
        <w:t>主要</w:t>
      </w:r>
      <w:r>
        <w:rPr>
          <w:rFonts w:hint="eastAsia"/>
          <w:color w:val="auto"/>
          <w:highlight w:val="none"/>
          <w:u w:val="none"/>
        </w:rPr>
        <w:t>废气</w:t>
      </w:r>
      <w:r>
        <w:rPr>
          <w:color w:val="auto"/>
          <w:highlight w:val="none"/>
          <w:u w:val="none"/>
        </w:rPr>
        <w:t>污染物为TDA</w:t>
      </w:r>
      <w:r>
        <w:rPr>
          <w:rFonts w:hint="eastAsia"/>
          <w:color w:val="auto"/>
          <w:highlight w:val="none"/>
          <w:u w:val="none"/>
        </w:rPr>
        <w:t>（</w:t>
      </w:r>
      <w:r>
        <w:rPr>
          <w:color w:val="auto"/>
          <w:highlight w:val="none"/>
          <w:u w:val="none"/>
        </w:rPr>
        <w:t>苯胺类</w:t>
      </w:r>
      <w:r>
        <w:rPr>
          <w:rFonts w:hint="eastAsia"/>
          <w:color w:val="auto"/>
          <w:highlight w:val="none"/>
          <w:u w:val="none"/>
        </w:rPr>
        <w:t>）</w:t>
      </w:r>
      <w:r>
        <w:rPr>
          <w:color w:val="auto"/>
          <w:highlight w:val="none"/>
          <w:u w:val="none"/>
        </w:rPr>
        <w:t>、</w:t>
      </w:r>
      <w:r>
        <w:rPr>
          <w:rFonts w:hint="eastAsia"/>
          <w:color w:val="auto"/>
          <w:highlight w:val="none"/>
          <w:u w:val="none"/>
        </w:rPr>
        <w:t>ODCB</w:t>
      </w:r>
      <w:r>
        <w:rPr>
          <w:color w:val="auto"/>
          <w:highlight w:val="none"/>
          <w:u w:val="none"/>
        </w:rPr>
        <w:t>（氯苯类）、</w:t>
      </w:r>
      <w:r>
        <w:rPr>
          <w:rFonts w:hint="eastAsia"/>
          <w:color w:val="auto"/>
          <w:highlight w:val="none"/>
          <w:u w:val="none"/>
        </w:rPr>
        <w:t>DNT</w:t>
      </w:r>
      <w:r>
        <w:rPr>
          <w:color w:val="auto"/>
          <w:highlight w:val="none"/>
          <w:u w:val="none"/>
        </w:rPr>
        <w:t>（硝基苯类）、TDI、VOCs、氮氧化物、一氧化碳、</w:t>
      </w:r>
      <w:r>
        <w:rPr>
          <w:rFonts w:hint="eastAsia"/>
          <w:color w:val="auto"/>
          <w:highlight w:val="none"/>
          <w:u w:val="none"/>
        </w:rPr>
        <w:t>甲苯、</w:t>
      </w:r>
      <w:r>
        <w:rPr>
          <w:color w:val="auto"/>
          <w:highlight w:val="none"/>
          <w:u w:val="none"/>
        </w:rPr>
        <w:t>光气、氯气、氨和氯化氢等。</w:t>
      </w:r>
    </w:p>
    <w:p w14:paraId="38603982">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项目大气污染物</w:t>
      </w:r>
      <w:r>
        <w:rPr>
          <w:rFonts w:hint="eastAsia"/>
          <w:color w:val="auto"/>
          <w:highlight w:val="none"/>
          <w:u w:val="none"/>
          <w:lang w:val="en-US"/>
        </w:rPr>
        <w:t>依托现有工程，</w:t>
      </w:r>
      <w:r>
        <w:rPr>
          <w:rFonts w:hint="eastAsia"/>
          <w:color w:val="auto"/>
          <w:highlight w:val="none"/>
          <w:u w:val="none"/>
        </w:rPr>
        <w:t>采取的治理措施情况见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_Ref139299364 \h</w:instrText>
      </w:r>
      <w:r>
        <w:rPr>
          <w:color w:val="auto"/>
          <w:highlight w:val="none"/>
          <w:u w:val="none"/>
        </w:rPr>
        <w:instrText xml:space="preserve">  \* MERGEFORMAT </w:instrText>
      </w:r>
      <w:r>
        <w:rPr>
          <w:color w:val="auto"/>
          <w:highlight w:val="none"/>
          <w:u w:val="none"/>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rPr>
        <w:fldChar w:fldCharType="end"/>
      </w:r>
      <w:r>
        <w:rPr>
          <w:rFonts w:hint="eastAsia"/>
          <w:color w:val="auto"/>
          <w:highlight w:val="none"/>
          <w:u w:val="none"/>
        </w:rPr>
        <w:t>。</w:t>
      </w:r>
    </w:p>
    <w:p w14:paraId="5E8B1441">
      <w:pPr>
        <w:pStyle w:val="86"/>
        <w:rPr>
          <w:rFonts w:hint="eastAsia"/>
          <w:color w:val="auto"/>
          <w:highlight w:val="none"/>
          <w:u w:val="none"/>
        </w:rPr>
      </w:pPr>
      <w:bookmarkStart w:id="715" w:name="_Ref139299364"/>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10.2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715"/>
      <w:r>
        <w:rPr>
          <w:color w:val="auto"/>
          <w:highlight w:val="none"/>
          <w:u w:val="none"/>
        </w:rPr>
        <w:t xml:space="preserve">  </w:t>
      </w:r>
      <w:r>
        <w:rPr>
          <w:rFonts w:hint="eastAsia"/>
          <w:color w:val="auto"/>
          <w:highlight w:val="none"/>
          <w:u w:val="none"/>
        </w:rPr>
        <w:t>本项目大气污染物采取的治理措施一览表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11"/>
        <w:gridCol w:w="2476"/>
        <w:gridCol w:w="6099"/>
      </w:tblGrid>
      <w:tr w14:paraId="28F6C7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tcPr>
          <w:p w14:paraId="1894EE43">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序号</w:t>
            </w:r>
          </w:p>
        </w:tc>
        <w:tc>
          <w:tcPr>
            <w:tcW w:w="1333" w:type="pct"/>
          </w:tcPr>
          <w:p w14:paraId="2485425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污染源</w:t>
            </w:r>
          </w:p>
        </w:tc>
        <w:tc>
          <w:tcPr>
            <w:tcW w:w="3282" w:type="pct"/>
          </w:tcPr>
          <w:p w14:paraId="274F5183">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废气采用的治理措施</w:t>
            </w:r>
          </w:p>
        </w:tc>
      </w:tr>
      <w:tr w14:paraId="096FE8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tcPr>
          <w:p w14:paraId="1E5A4E05">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一、有组织废气</w:t>
            </w:r>
          </w:p>
        </w:tc>
      </w:tr>
      <w:tr w14:paraId="343D85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tcPr>
          <w:p w14:paraId="25471D58">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1</w:t>
            </w:r>
            <w:r>
              <w:rPr>
                <w:rFonts w:hint="eastAsia" w:hAnsi="Times New Roman"/>
                <w:color w:val="auto"/>
                <w:sz w:val="21"/>
                <w:szCs w:val="21"/>
                <w:highlight w:val="none"/>
                <w:u w:val="none"/>
              </w:rPr>
              <w:t>、</w:t>
            </w:r>
            <w:r>
              <w:rPr>
                <w:rStyle w:val="150"/>
                <w:rFonts w:hint="default" w:ascii="Times New Roman" w:hAnsi="Times New Roman"/>
                <w:color w:val="auto"/>
                <w:sz w:val="21"/>
                <w:szCs w:val="21"/>
                <w:highlight w:val="none"/>
                <w:u w:val="none"/>
              </w:rPr>
              <w:t>硝化单元</w:t>
            </w:r>
          </w:p>
        </w:tc>
      </w:tr>
      <w:tr w14:paraId="277661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373BF7A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1.1</w:t>
            </w:r>
          </w:p>
        </w:tc>
        <w:tc>
          <w:tcPr>
            <w:tcW w:w="1333" w:type="pct"/>
            <w:vAlign w:val="center"/>
          </w:tcPr>
          <w:p w14:paraId="1297D7A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G1-1 酸性废气（含MNT废酸储罐、浓硝酸储罐呼吸气）</w:t>
            </w:r>
          </w:p>
        </w:tc>
        <w:tc>
          <w:tcPr>
            <w:tcW w:w="3282" w:type="pct"/>
          </w:tcPr>
          <w:p w14:paraId="6638ADF4">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w:t>
            </w:r>
            <w:r>
              <w:rPr>
                <w:color w:val="auto"/>
                <w:sz w:val="21"/>
                <w:szCs w:val="21"/>
                <w:highlight w:val="none"/>
                <w:u w:val="none"/>
              </w:rPr>
              <w:t>低温</w:t>
            </w:r>
            <w:r>
              <w:rPr>
                <w:rFonts w:hAnsi="Times New Roman"/>
                <w:color w:val="auto"/>
                <w:sz w:val="21"/>
                <w:szCs w:val="21"/>
                <w:highlight w:val="none"/>
                <w:u w:val="none"/>
              </w:rPr>
              <w:t>加压水吸收预处理后，委托万华</w:t>
            </w:r>
            <w:r>
              <w:rPr>
                <w:rFonts w:hint="eastAsia" w:hAnsi="Times New Roman"/>
                <w:color w:val="auto"/>
                <w:sz w:val="21"/>
                <w:szCs w:val="21"/>
                <w:highlight w:val="none"/>
                <w:u w:val="none"/>
                <w:lang w:val="en-US"/>
              </w:rPr>
              <w:t>环保科技公司</w:t>
            </w:r>
            <w:r>
              <w:rPr>
                <w:rFonts w:hAnsi="Times New Roman"/>
                <w:color w:val="auto"/>
                <w:sz w:val="21"/>
                <w:szCs w:val="21"/>
                <w:highlight w:val="none"/>
                <w:u w:val="none"/>
              </w:rPr>
              <w:t>能量回收装置</w:t>
            </w:r>
            <w:r>
              <w:rPr>
                <w:rFonts w:hint="eastAsia" w:hAnsi="Times New Roman"/>
                <w:color w:val="auto"/>
                <w:sz w:val="21"/>
                <w:szCs w:val="21"/>
                <w:highlight w:val="none"/>
                <w:u w:val="none"/>
              </w:rPr>
              <w:t>焚烧处置</w:t>
            </w:r>
            <w:r>
              <w:rPr>
                <w:rFonts w:hAnsi="Times New Roman"/>
                <w:color w:val="auto"/>
                <w:sz w:val="21"/>
                <w:szCs w:val="21"/>
                <w:highlight w:val="none"/>
                <w:u w:val="none"/>
              </w:rPr>
              <w:t>，尾气由一根50m高</w:t>
            </w:r>
            <w:r>
              <w:rPr>
                <w:rFonts w:hint="eastAsia" w:hAnsi="Times New Roman"/>
                <w:color w:val="auto"/>
                <w:sz w:val="21"/>
                <w:szCs w:val="21"/>
                <w:highlight w:val="none"/>
                <w:u w:val="none"/>
              </w:rPr>
              <w:t>烟囱</w:t>
            </w:r>
            <w:r>
              <w:rPr>
                <w:rFonts w:hAnsi="Times New Roman"/>
                <w:color w:val="auto"/>
                <w:sz w:val="21"/>
                <w:szCs w:val="21"/>
                <w:highlight w:val="none"/>
                <w:u w:val="none"/>
              </w:rPr>
              <w:t>排放。</w:t>
            </w:r>
          </w:p>
        </w:tc>
      </w:tr>
      <w:tr w14:paraId="17BBC4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0390E31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1.2</w:t>
            </w:r>
          </w:p>
        </w:tc>
        <w:tc>
          <w:tcPr>
            <w:tcW w:w="1333" w:type="pct"/>
            <w:vAlign w:val="center"/>
          </w:tcPr>
          <w:p w14:paraId="68657346">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G1-2 碱性废气</w:t>
            </w:r>
          </w:p>
        </w:tc>
        <w:tc>
          <w:tcPr>
            <w:tcW w:w="3282" w:type="pct"/>
          </w:tcPr>
          <w:p w14:paraId="170436EC">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经水洗塔</w:t>
            </w:r>
            <w:r>
              <w:rPr>
                <w:rFonts w:hint="eastAsia" w:hAnsi="Times New Roman"/>
                <w:color w:val="auto"/>
                <w:sz w:val="21"/>
                <w:szCs w:val="21"/>
                <w:highlight w:val="none"/>
                <w:u w:val="none"/>
              </w:rPr>
              <w:t>加压水洗涤</w:t>
            </w:r>
            <w:r>
              <w:rPr>
                <w:rFonts w:hAnsi="Times New Roman"/>
                <w:color w:val="auto"/>
                <w:sz w:val="21"/>
                <w:szCs w:val="21"/>
                <w:highlight w:val="none"/>
                <w:u w:val="none"/>
              </w:rPr>
              <w:t>后，委托万华</w:t>
            </w:r>
            <w:r>
              <w:rPr>
                <w:rFonts w:hint="eastAsia" w:hAnsi="Times New Roman"/>
                <w:color w:val="auto"/>
                <w:sz w:val="21"/>
                <w:szCs w:val="21"/>
                <w:highlight w:val="none"/>
                <w:u w:val="none"/>
                <w:lang w:val="en-US"/>
              </w:rPr>
              <w:t>环保科技公司</w:t>
            </w:r>
            <w:r>
              <w:rPr>
                <w:rFonts w:hAnsi="Times New Roman"/>
                <w:color w:val="auto"/>
                <w:sz w:val="21"/>
                <w:szCs w:val="21"/>
                <w:highlight w:val="none"/>
                <w:u w:val="none"/>
              </w:rPr>
              <w:t>能量回收装置</w:t>
            </w:r>
            <w:r>
              <w:rPr>
                <w:rFonts w:hint="eastAsia" w:hAnsi="Times New Roman"/>
                <w:color w:val="auto"/>
                <w:sz w:val="21"/>
                <w:szCs w:val="21"/>
                <w:highlight w:val="none"/>
                <w:u w:val="none"/>
              </w:rPr>
              <w:t>焚烧处置</w:t>
            </w:r>
            <w:r>
              <w:rPr>
                <w:rFonts w:hAnsi="Times New Roman"/>
                <w:color w:val="auto"/>
                <w:sz w:val="21"/>
                <w:szCs w:val="21"/>
                <w:highlight w:val="none"/>
                <w:u w:val="none"/>
              </w:rPr>
              <w:t>，尾气由一根50m高</w:t>
            </w:r>
            <w:r>
              <w:rPr>
                <w:rFonts w:hint="eastAsia" w:hAnsi="Times New Roman"/>
                <w:color w:val="auto"/>
                <w:sz w:val="21"/>
                <w:szCs w:val="21"/>
                <w:highlight w:val="none"/>
                <w:u w:val="none"/>
              </w:rPr>
              <w:t>烟囱</w:t>
            </w:r>
            <w:r>
              <w:rPr>
                <w:rFonts w:hAnsi="Times New Roman"/>
                <w:color w:val="auto"/>
                <w:sz w:val="21"/>
                <w:szCs w:val="21"/>
                <w:highlight w:val="none"/>
                <w:u w:val="none"/>
              </w:rPr>
              <w:t>排放。</w:t>
            </w:r>
          </w:p>
        </w:tc>
      </w:tr>
      <w:tr w14:paraId="6CD9CD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vAlign w:val="center"/>
          </w:tcPr>
          <w:p w14:paraId="19625815">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2</w:t>
            </w:r>
            <w:r>
              <w:rPr>
                <w:rFonts w:hint="eastAsia" w:hAnsi="Times New Roman"/>
                <w:color w:val="auto"/>
                <w:sz w:val="21"/>
                <w:szCs w:val="21"/>
                <w:highlight w:val="none"/>
                <w:u w:val="none"/>
              </w:rPr>
              <w:t>、</w:t>
            </w:r>
            <w:r>
              <w:rPr>
                <w:rFonts w:hAnsi="Times New Roman"/>
                <w:color w:val="auto"/>
                <w:sz w:val="21"/>
                <w:szCs w:val="21"/>
                <w:highlight w:val="none"/>
                <w:u w:val="none"/>
              </w:rPr>
              <w:t>氢化单元</w:t>
            </w:r>
          </w:p>
        </w:tc>
      </w:tr>
      <w:tr w14:paraId="29460F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7AB3906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2.1</w:t>
            </w:r>
          </w:p>
        </w:tc>
        <w:tc>
          <w:tcPr>
            <w:tcW w:w="1333" w:type="pct"/>
            <w:vAlign w:val="center"/>
          </w:tcPr>
          <w:p w14:paraId="55B8A31A">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G2-1反应驰放气</w:t>
            </w:r>
          </w:p>
        </w:tc>
        <w:tc>
          <w:tcPr>
            <w:tcW w:w="3282" w:type="pct"/>
            <w:shd w:val="clear" w:color="auto" w:fill="auto"/>
          </w:tcPr>
          <w:p w14:paraId="2755FFE1">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经冷凝</w:t>
            </w:r>
            <w:r>
              <w:rPr>
                <w:rFonts w:hint="eastAsia" w:hAnsi="Times New Roman"/>
                <w:color w:val="auto"/>
                <w:sz w:val="21"/>
                <w:szCs w:val="21"/>
                <w:highlight w:val="none"/>
                <w:u w:val="none"/>
              </w:rPr>
              <w:t>预处理</w:t>
            </w:r>
            <w:r>
              <w:rPr>
                <w:rFonts w:hAnsi="Times New Roman"/>
                <w:color w:val="auto"/>
                <w:sz w:val="21"/>
                <w:szCs w:val="21"/>
                <w:highlight w:val="none"/>
                <w:u w:val="none"/>
              </w:rPr>
              <w:t>后，委托万华</w:t>
            </w:r>
            <w:r>
              <w:rPr>
                <w:rFonts w:hint="eastAsia" w:hAnsi="Times New Roman"/>
                <w:color w:val="auto"/>
                <w:sz w:val="21"/>
                <w:szCs w:val="21"/>
                <w:highlight w:val="none"/>
                <w:u w:val="none"/>
                <w:lang w:val="en-US"/>
              </w:rPr>
              <w:t>环保科技公司</w:t>
            </w:r>
            <w:r>
              <w:rPr>
                <w:rFonts w:hAnsi="Times New Roman"/>
                <w:color w:val="auto"/>
                <w:sz w:val="21"/>
                <w:szCs w:val="21"/>
                <w:highlight w:val="none"/>
                <w:u w:val="none"/>
              </w:rPr>
              <w:t>能量回收装置</w:t>
            </w:r>
            <w:r>
              <w:rPr>
                <w:rFonts w:hint="eastAsia" w:hAnsi="Times New Roman"/>
                <w:color w:val="auto"/>
                <w:sz w:val="21"/>
                <w:szCs w:val="21"/>
                <w:highlight w:val="none"/>
                <w:u w:val="none"/>
              </w:rPr>
              <w:t>焚烧处置</w:t>
            </w:r>
            <w:r>
              <w:rPr>
                <w:rFonts w:hAnsi="Times New Roman"/>
                <w:color w:val="auto"/>
                <w:sz w:val="21"/>
                <w:szCs w:val="21"/>
                <w:highlight w:val="none"/>
                <w:u w:val="none"/>
              </w:rPr>
              <w:t>，尾气由一根50m高</w:t>
            </w:r>
            <w:r>
              <w:rPr>
                <w:rFonts w:hint="eastAsia" w:hAnsi="Times New Roman"/>
                <w:color w:val="auto"/>
                <w:sz w:val="21"/>
                <w:szCs w:val="21"/>
                <w:highlight w:val="none"/>
                <w:u w:val="none"/>
              </w:rPr>
              <w:t>烟囱</w:t>
            </w:r>
            <w:r>
              <w:rPr>
                <w:rFonts w:hAnsi="Times New Roman"/>
                <w:color w:val="auto"/>
                <w:sz w:val="21"/>
                <w:szCs w:val="21"/>
                <w:highlight w:val="none"/>
                <w:u w:val="none"/>
              </w:rPr>
              <w:t>排放。</w:t>
            </w:r>
          </w:p>
        </w:tc>
      </w:tr>
      <w:tr w14:paraId="0A8E06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7FD2C33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2.2</w:t>
            </w:r>
          </w:p>
        </w:tc>
        <w:tc>
          <w:tcPr>
            <w:tcW w:w="1333" w:type="pct"/>
            <w:vAlign w:val="center"/>
          </w:tcPr>
          <w:p w14:paraId="53972CFB">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G2-2 TDA精制尾气（含粗TDA中间储罐呼吸</w:t>
            </w:r>
            <w:r>
              <w:rPr>
                <w:rFonts w:hint="eastAsia" w:hAnsi="Times New Roman"/>
                <w:color w:val="auto"/>
                <w:sz w:val="21"/>
                <w:szCs w:val="21"/>
                <w:highlight w:val="none"/>
                <w:u w:val="none"/>
              </w:rPr>
              <w:t>废气</w:t>
            </w:r>
            <w:r>
              <w:rPr>
                <w:rFonts w:hAnsi="Times New Roman"/>
                <w:color w:val="auto"/>
                <w:sz w:val="21"/>
                <w:szCs w:val="21"/>
                <w:highlight w:val="none"/>
                <w:u w:val="none"/>
              </w:rPr>
              <w:t>及OTDA储罐呼吸</w:t>
            </w:r>
            <w:r>
              <w:rPr>
                <w:rFonts w:hint="eastAsia" w:hAnsi="Times New Roman"/>
                <w:color w:val="auto"/>
                <w:sz w:val="21"/>
                <w:szCs w:val="21"/>
                <w:highlight w:val="none"/>
                <w:u w:val="none"/>
              </w:rPr>
              <w:t>废气</w:t>
            </w:r>
            <w:r>
              <w:rPr>
                <w:rFonts w:hAnsi="Times New Roman"/>
                <w:color w:val="auto"/>
                <w:sz w:val="21"/>
                <w:szCs w:val="21"/>
                <w:highlight w:val="none"/>
                <w:u w:val="none"/>
              </w:rPr>
              <w:t>）</w:t>
            </w:r>
          </w:p>
        </w:tc>
        <w:tc>
          <w:tcPr>
            <w:tcW w:w="3282" w:type="pct"/>
            <w:vAlign w:val="center"/>
          </w:tcPr>
          <w:p w14:paraId="69A56E86">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w:t>
            </w:r>
            <w:r>
              <w:rPr>
                <w:rFonts w:hint="eastAsia" w:hAnsi="Times New Roman"/>
                <w:color w:val="auto"/>
                <w:sz w:val="21"/>
                <w:szCs w:val="21"/>
                <w:highlight w:val="none"/>
                <w:u w:val="none"/>
              </w:rPr>
              <w:t>“</w:t>
            </w:r>
            <w:r>
              <w:rPr>
                <w:rFonts w:hAnsi="Times New Roman"/>
                <w:color w:val="auto"/>
                <w:sz w:val="21"/>
                <w:szCs w:val="21"/>
                <w:highlight w:val="none"/>
                <w:u w:val="none"/>
              </w:rPr>
              <w:t>冷凝+水洗涤+活性炭吸附</w:t>
            </w:r>
            <w:r>
              <w:rPr>
                <w:rFonts w:hint="eastAsia" w:hAnsi="Times New Roman"/>
                <w:color w:val="auto"/>
                <w:sz w:val="21"/>
                <w:szCs w:val="21"/>
                <w:highlight w:val="none"/>
                <w:u w:val="none"/>
              </w:rPr>
              <w:t>”</w:t>
            </w:r>
            <w:r>
              <w:rPr>
                <w:rFonts w:hAnsi="Times New Roman"/>
                <w:color w:val="auto"/>
                <w:sz w:val="21"/>
                <w:szCs w:val="21"/>
                <w:highlight w:val="none"/>
                <w:u w:val="none"/>
              </w:rPr>
              <w:t>后，尾气由一根</w:t>
            </w:r>
            <w:r>
              <w:rPr>
                <w:rFonts w:hint="eastAsia" w:hAnsi="Times New Roman"/>
                <w:color w:val="auto"/>
                <w:sz w:val="21"/>
                <w:szCs w:val="21"/>
                <w:highlight w:val="none"/>
                <w:u w:val="none"/>
              </w:rPr>
              <w:t>3</w:t>
            </w:r>
            <w:r>
              <w:rPr>
                <w:rFonts w:hint="eastAsia" w:hAnsi="Times New Roman"/>
                <w:color w:val="auto"/>
                <w:sz w:val="21"/>
                <w:szCs w:val="21"/>
                <w:highlight w:val="none"/>
                <w:u w:val="none"/>
                <w:lang w:val="en-US"/>
              </w:rPr>
              <w:t>4</w:t>
            </w:r>
            <w:r>
              <w:rPr>
                <w:rFonts w:hAnsi="Times New Roman"/>
                <w:color w:val="auto"/>
                <w:sz w:val="21"/>
                <w:szCs w:val="21"/>
                <w:highlight w:val="none"/>
                <w:u w:val="none"/>
              </w:rPr>
              <w:t>m高排气筒排放。</w:t>
            </w:r>
          </w:p>
        </w:tc>
      </w:tr>
      <w:tr w14:paraId="78545E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vAlign w:val="center"/>
          </w:tcPr>
          <w:p w14:paraId="05A07926">
            <w:pPr>
              <w:widowControl/>
              <w:spacing w:line="240" w:lineRule="auto"/>
              <w:ind w:firstLine="0" w:firstLineChars="0"/>
              <w:rPr>
                <w:rFonts w:hAnsi="Times New Roman"/>
                <w:color w:val="auto"/>
                <w:sz w:val="21"/>
                <w:szCs w:val="21"/>
                <w:highlight w:val="none"/>
                <w:u w:val="none"/>
              </w:rPr>
            </w:pPr>
            <w:r>
              <w:rPr>
                <w:rStyle w:val="150"/>
                <w:rFonts w:hint="default" w:ascii="Times New Roman" w:hAnsi="Times New Roman"/>
                <w:color w:val="auto"/>
                <w:sz w:val="21"/>
                <w:szCs w:val="21"/>
                <w:highlight w:val="none"/>
                <w:u w:val="none"/>
              </w:rPr>
              <w:t>3、光化单元</w:t>
            </w:r>
          </w:p>
        </w:tc>
      </w:tr>
      <w:tr w14:paraId="629B59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57BC267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3.1</w:t>
            </w:r>
          </w:p>
        </w:tc>
        <w:tc>
          <w:tcPr>
            <w:tcW w:w="1333" w:type="pct"/>
            <w:vAlign w:val="center"/>
          </w:tcPr>
          <w:p w14:paraId="681C2B3F">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G3-1 光化尾气（含TDI不合格产品储罐呼吸</w:t>
            </w:r>
            <w:r>
              <w:rPr>
                <w:rFonts w:hint="eastAsia" w:hAnsi="Times New Roman"/>
                <w:color w:val="auto"/>
                <w:sz w:val="21"/>
                <w:szCs w:val="21"/>
                <w:highlight w:val="none"/>
                <w:u w:val="none"/>
              </w:rPr>
              <w:t>废气</w:t>
            </w:r>
            <w:r>
              <w:rPr>
                <w:rFonts w:hAnsi="Times New Roman"/>
                <w:color w:val="auto"/>
                <w:sz w:val="21"/>
                <w:szCs w:val="21"/>
                <w:highlight w:val="none"/>
                <w:u w:val="none"/>
              </w:rPr>
              <w:t>）</w:t>
            </w:r>
          </w:p>
        </w:tc>
        <w:tc>
          <w:tcPr>
            <w:tcW w:w="3282" w:type="pct"/>
          </w:tcPr>
          <w:p w14:paraId="1BB3FA70">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w:t>
            </w:r>
            <w:r>
              <w:rPr>
                <w:rFonts w:hint="eastAsia" w:hAnsi="Times New Roman"/>
                <w:color w:val="auto"/>
                <w:sz w:val="21"/>
                <w:szCs w:val="21"/>
                <w:highlight w:val="none"/>
                <w:u w:val="none"/>
              </w:rPr>
              <w:t>“酸分解+碱分解”</w:t>
            </w:r>
            <w:r>
              <w:rPr>
                <w:rFonts w:hAnsi="Times New Roman"/>
                <w:color w:val="auto"/>
                <w:sz w:val="21"/>
                <w:szCs w:val="21"/>
                <w:highlight w:val="none"/>
                <w:u w:val="none"/>
              </w:rPr>
              <w:t>处理后，委托万华</w:t>
            </w:r>
            <w:r>
              <w:rPr>
                <w:rFonts w:hint="eastAsia" w:hAnsi="Times New Roman"/>
                <w:color w:val="auto"/>
                <w:sz w:val="21"/>
                <w:szCs w:val="21"/>
                <w:highlight w:val="none"/>
                <w:u w:val="none"/>
                <w:lang w:val="en-US"/>
              </w:rPr>
              <w:t>环保科技公司</w:t>
            </w:r>
            <w:r>
              <w:rPr>
                <w:rFonts w:hAnsi="Times New Roman"/>
                <w:color w:val="auto"/>
                <w:sz w:val="21"/>
                <w:szCs w:val="21"/>
                <w:highlight w:val="none"/>
                <w:u w:val="none"/>
              </w:rPr>
              <w:t>能量回收装置</w:t>
            </w:r>
            <w:r>
              <w:rPr>
                <w:rFonts w:hint="eastAsia" w:hAnsi="Times New Roman"/>
                <w:color w:val="auto"/>
                <w:sz w:val="21"/>
                <w:szCs w:val="21"/>
                <w:highlight w:val="none"/>
                <w:u w:val="none"/>
              </w:rPr>
              <w:t>焚烧处置</w:t>
            </w:r>
            <w:r>
              <w:rPr>
                <w:rFonts w:hAnsi="Times New Roman"/>
                <w:color w:val="auto"/>
                <w:sz w:val="21"/>
                <w:szCs w:val="21"/>
                <w:highlight w:val="none"/>
                <w:u w:val="none"/>
              </w:rPr>
              <w:t>，尾气由一根50m高</w:t>
            </w:r>
            <w:r>
              <w:rPr>
                <w:rFonts w:hint="eastAsia" w:hAnsi="Times New Roman"/>
                <w:color w:val="auto"/>
                <w:sz w:val="21"/>
                <w:szCs w:val="21"/>
                <w:highlight w:val="none"/>
                <w:u w:val="none"/>
              </w:rPr>
              <w:t>烟囱</w:t>
            </w:r>
            <w:r>
              <w:rPr>
                <w:rFonts w:hAnsi="Times New Roman"/>
                <w:color w:val="auto"/>
                <w:sz w:val="21"/>
                <w:szCs w:val="21"/>
                <w:highlight w:val="none"/>
                <w:u w:val="none"/>
              </w:rPr>
              <w:t>排放。</w:t>
            </w:r>
          </w:p>
        </w:tc>
      </w:tr>
      <w:tr w14:paraId="4A1316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7CC19F87">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4</w:t>
            </w:r>
          </w:p>
        </w:tc>
        <w:tc>
          <w:tcPr>
            <w:tcW w:w="1333" w:type="pct"/>
            <w:vAlign w:val="center"/>
          </w:tcPr>
          <w:p w14:paraId="2B11F974">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G4-1 ODCB储罐废气</w:t>
            </w:r>
          </w:p>
        </w:tc>
        <w:tc>
          <w:tcPr>
            <w:tcW w:w="3282" w:type="pct"/>
          </w:tcPr>
          <w:p w14:paraId="6B9B90E8">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经两级活性炭吸附处理后，尾气由一根15m高排气筒排放。</w:t>
            </w:r>
          </w:p>
        </w:tc>
      </w:tr>
      <w:tr w14:paraId="53B1E5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5947C7E5">
            <w:pPr>
              <w:spacing w:line="240" w:lineRule="auto"/>
              <w:ind w:firstLine="0" w:firstLineChars="0"/>
              <w:jc w:val="center"/>
              <w:rPr>
                <w:rFonts w:hAnsi="Times New Roman"/>
                <w:color w:val="auto"/>
                <w:sz w:val="21"/>
                <w:szCs w:val="21"/>
                <w:highlight w:val="none"/>
                <w:u w:val="none"/>
                <w:lang w:val="en-US"/>
              </w:rPr>
            </w:pPr>
            <w:r>
              <w:rPr>
                <w:rFonts w:hint="eastAsia" w:hAnsi="Times New Roman"/>
                <w:color w:val="auto"/>
                <w:sz w:val="21"/>
                <w:szCs w:val="21"/>
                <w:highlight w:val="none"/>
                <w:u w:val="none"/>
                <w:lang w:val="en-US"/>
              </w:rPr>
              <w:t>5</w:t>
            </w:r>
          </w:p>
        </w:tc>
        <w:tc>
          <w:tcPr>
            <w:tcW w:w="1333" w:type="pct"/>
            <w:vAlign w:val="center"/>
          </w:tcPr>
          <w:p w14:paraId="31CC7176">
            <w:pPr>
              <w:spacing w:line="240" w:lineRule="auto"/>
              <w:ind w:firstLine="0" w:firstLineChars="0"/>
              <w:jc w:val="center"/>
              <w:rPr>
                <w:rFonts w:hAnsi="Times New Roman"/>
                <w:color w:val="auto"/>
                <w:sz w:val="21"/>
                <w:szCs w:val="21"/>
                <w:highlight w:val="none"/>
                <w:u w:val="none"/>
                <w:lang w:val="en-US"/>
              </w:rPr>
            </w:pPr>
            <w:r>
              <w:rPr>
                <w:rFonts w:hint="eastAsia" w:hAnsi="Times New Roman"/>
                <w:color w:val="auto"/>
                <w:sz w:val="21"/>
                <w:szCs w:val="21"/>
                <w:highlight w:val="none"/>
                <w:u w:val="none"/>
                <w:lang w:val="en-US"/>
              </w:rPr>
              <w:t>G5-1 焦油装车站</w:t>
            </w:r>
          </w:p>
        </w:tc>
        <w:tc>
          <w:tcPr>
            <w:tcW w:w="3282" w:type="pct"/>
          </w:tcPr>
          <w:p w14:paraId="0B298A78">
            <w:pPr>
              <w:spacing w:line="240" w:lineRule="auto"/>
              <w:ind w:firstLine="0" w:firstLineChars="0"/>
              <w:rPr>
                <w:rFonts w:hAnsi="Times New Roman"/>
                <w:color w:val="auto"/>
                <w:sz w:val="21"/>
                <w:szCs w:val="21"/>
                <w:highlight w:val="none"/>
                <w:u w:val="none"/>
                <w:lang w:val="en-US"/>
              </w:rPr>
            </w:pPr>
            <w:r>
              <w:rPr>
                <w:rFonts w:hint="eastAsia" w:hAnsi="Times New Roman"/>
                <w:color w:val="auto"/>
                <w:sz w:val="21"/>
                <w:szCs w:val="21"/>
                <w:highlight w:val="none"/>
                <w:u w:val="none"/>
                <w:lang w:val="en-US"/>
              </w:rPr>
              <w:t>经过两级粉尘过滤器处理后，尾气由一根23m</w:t>
            </w:r>
            <w:r>
              <w:rPr>
                <w:rFonts w:hAnsi="Times New Roman"/>
                <w:color w:val="auto"/>
                <w:sz w:val="21"/>
                <w:szCs w:val="21"/>
                <w:highlight w:val="none"/>
                <w:u w:val="none"/>
              </w:rPr>
              <w:t>高排气筒排放。</w:t>
            </w:r>
          </w:p>
        </w:tc>
      </w:tr>
      <w:tr w14:paraId="7C6A91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3"/>
          </w:tcPr>
          <w:p w14:paraId="6ACAAD63">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二</w:t>
            </w:r>
            <w:r>
              <w:rPr>
                <w:rFonts w:hint="eastAsia" w:hAnsi="Times New Roman"/>
                <w:color w:val="auto"/>
                <w:sz w:val="21"/>
                <w:szCs w:val="21"/>
                <w:highlight w:val="none"/>
                <w:u w:val="none"/>
              </w:rPr>
              <w:t>、</w:t>
            </w:r>
            <w:r>
              <w:rPr>
                <w:rFonts w:hAnsi="Times New Roman"/>
                <w:color w:val="auto"/>
                <w:sz w:val="21"/>
                <w:szCs w:val="21"/>
                <w:highlight w:val="none"/>
                <w:u w:val="none"/>
              </w:rPr>
              <w:t>无组织废气控制措施</w:t>
            </w:r>
          </w:p>
        </w:tc>
      </w:tr>
      <w:tr w14:paraId="767989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1F652945">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1</w:t>
            </w:r>
          </w:p>
        </w:tc>
        <w:tc>
          <w:tcPr>
            <w:tcW w:w="1333" w:type="pct"/>
            <w:vAlign w:val="center"/>
          </w:tcPr>
          <w:p w14:paraId="06ED056D">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生产装置区挥发性有机物无组织排放控制措施</w:t>
            </w:r>
          </w:p>
        </w:tc>
        <w:tc>
          <w:tcPr>
            <w:tcW w:w="3282" w:type="pct"/>
          </w:tcPr>
          <w:p w14:paraId="4DF5D367">
            <w:pPr>
              <w:spacing w:line="240" w:lineRule="auto"/>
              <w:ind w:firstLine="0" w:firstLineChars="0"/>
              <w:rPr>
                <w:rFonts w:hAnsi="Times New Roman"/>
                <w:color w:val="auto"/>
                <w:sz w:val="21"/>
                <w:szCs w:val="21"/>
                <w:highlight w:val="none"/>
                <w:u w:val="none"/>
              </w:rPr>
            </w:pPr>
            <w:r>
              <w:rPr>
                <w:rFonts w:hint="eastAsia" w:ascii="宋体" w:cs="宋体"/>
                <w:color w:val="auto"/>
                <w:sz w:val="21"/>
                <w:szCs w:val="21"/>
                <w:highlight w:val="none"/>
                <w:u w:val="none"/>
              </w:rPr>
              <w:t>①</w:t>
            </w:r>
            <w:r>
              <w:rPr>
                <w:rFonts w:hAnsi="Times New Roman"/>
                <w:color w:val="auto"/>
                <w:sz w:val="21"/>
                <w:szCs w:val="21"/>
                <w:highlight w:val="none"/>
                <w:u w:val="none"/>
              </w:rPr>
              <w:t>应优先选用低挥发性原辅材料、先进密闭的生产工艺，强化生产、输送、进出料、干燥以及采样等易泄漏环节的密闭性，加强无组织废气的收集和有效处理。对含有挥发性有机物料的工艺管线，除与阀门、仪表、设备等连接可采用法兰外，螺纹连接管道均采用密封焊。阀门、仪表、设备法兰的密封面和垫片提高密封等级；所有设备的液面计及视镜加设保护设施</w:t>
            </w:r>
            <w:r>
              <w:rPr>
                <w:rFonts w:hint="eastAsia" w:hAnsi="Times New Roman"/>
                <w:color w:val="auto"/>
                <w:sz w:val="21"/>
                <w:szCs w:val="21"/>
                <w:highlight w:val="none"/>
                <w:u w:val="none"/>
              </w:rPr>
              <w:t>。</w:t>
            </w:r>
          </w:p>
          <w:p w14:paraId="6ABC0815">
            <w:pPr>
              <w:spacing w:line="240" w:lineRule="auto"/>
              <w:ind w:firstLine="0" w:firstLineChars="0"/>
              <w:rPr>
                <w:rFonts w:hAnsi="Times New Roman"/>
                <w:color w:val="auto"/>
                <w:sz w:val="21"/>
                <w:szCs w:val="21"/>
                <w:highlight w:val="none"/>
                <w:u w:val="none"/>
              </w:rPr>
            </w:pPr>
            <w:r>
              <w:rPr>
                <w:rFonts w:hint="eastAsia" w:ascii="宋体" w:cs="宋体"/>
                <w:color w:val="auto"/>
                <w:sz w:val="21"/>
                <w:szCs w:val="21"/>
                <w:highlight w:val="none"/>
                <w:u w:val="none"/>
              </w:rPr>
              <w:t>②</w:t>
            </w:r>
            <w:r>
              <w:rPr>
                <w:rFonts w:hAnsi="Times New Roman"/>
                <w:color w:val="auto"/>
                <w:sz w:val="21"/>
                <w:szCs w:val="21"/>
                <w:highlight w:val="none"/>
                <w:u w:val="none"/>
              </w:rPr>
              <w:t>对于生产工艺装置的精馏塔、闪蒸塔、汽提塔等不凝气及抽真空尾气等，进行收集净化处理，避免直接放空。正常工况时采用集中收集净化后有组织排放或燃烧后排放等措施，非正常工况应急情况下的泄放气</w:t>
            </w:r>
            <w:r>
              <w:rPr>
                <w:rFonts w:hint="eastAsia" w:hAnsi="Times New Roman"/>
                <w:color w:val="auto"/>
                <w:sz w:val="21"/>
                <w:szCs w:val="21"/>
                <w:highlight w:val="none"/>
                <w:u w:val="none"/>
              </w:rPr>
              <w:t>进入万华环保科技公司</w:t>
            </w:r>
            <w:r>
              <w:rPr>
                <w:rFonts w:hAnsi="Times New Roman"/>
                <w:color w:val="auto"/>
                <w:sz w:val="21"/>
                <w:szCs w:val="21"/>
                <w:highlight w:val="none"/>
                <w:u w:val="none"/>
              </w:rPr>
              <w:t>火炬系统，经过充分燃烧后排放</w:t>
            </w:r>
            <w:r>
              <w:rPr>
                <w:rFonts w:hint="eastAsia" w:hAnsi="Times New Roman"/>
                <w:color w:val="auto"/>
                <w:sz w:val="21"/>
                <w:szCs w:val="21"/>
                <w:highlight w:val="none"/>
                <w:u w:val="none"/>
              </w:rPr>
              <w:t>。</w:t>
            </w:r>
          </w:p>
          <w:p w14:paraId="4A8EFC86">
            <w:pPr>
              <w:spacing w:line="240" w:lineRule="auto"/>
              <w:ind w:firstLine="0" w:firstLineChars="0"/>
              <w:rPr>
                <w:rFonts w:hAnsi="Times New Roman"/>
                <w:color w:val="auto"/>
                <w:sz w:val="21"/>
                <w:szCs w:val="21"/>
                <w:highlight w:val="none"/>
                <w:u w:val="none"/>
              </w:rPr>
            </w:pPr>
            <w:r>
              <w:rPr>
                <w:rFonts w:hint="eastAsia" w:ascii="宋体" w:cs="宋体"/>
                <w:color w:val="auto"/>
                <w:sz w:val="21"/>
                <w:szCs w:val="21"/>
                <w:highlight w:val="none"/>
                <w:u w:val="none"/>
              </w:rPr>
              <w:t>③</w:t>
            </w:r>
            <w:r>
              <w:rPr>
                <w:rFonts w:hAnsi="Times New Roman"/>
                <w:color w:val="auto"/>
                <w:sz w:val="21"/>
                <w:szCs w:val="21"/>
                <w:highlight w:val="none"/>
                <w:u w:val="none"/>
              </w:rPr>
              <w:t>建立“泄漏检测与修复（LDAR）”管理制度。对生产装置的管线法兰、阀门、泵、压缩机、开口阀或开口管线、泄压设备等可能泄漏点应开展泄漏检测与修复（LDAR）。明确工作程序、检测方法、检测频率、泄漏浓度限值、修复要求等关键要素，对密封点设置编号和标识，泄漏超标的密封点要及时修复。建立信息管理平台，全面分析泄漏点信息，对易泄漏环节制定针对性改进措施，通过源头控制减少VOCs泄漏排放</w:t>
            </w:r>
            <w:r>
              <w:rPr>
                <w:rFonts w:hint="eastAsia" w:hAnsi="Times New Roman"/>
                <w:color w:val="auto"/>
                <w:sz w:val="21"/>
                <w:szCs w:val="21"/>
                <w:highlight w:val="none"/>
                <w:u w:val="none"/>
              </w:rPr>
              <w:t>。</w:t>
            </w:r>
          </w:p>
          <w:p w14:paraId="6A7A73EC">
            <w:pPr>
              <w:spacing w:line="240" w:lineRule="auto"/>
              <w:ind w:firstLine="0" w:firstLineChars="0"/>
              <w:rPr>
                <w:rFonts w:hAnsi="Times New Roman"/>
                <w:color w:val="auto"/>
                <w:sz w:val="21"/>
                <w:szCs w:val="21"/>
                <w:highlight w:val="none"/>
                <w:u w:val="none"/>
              </w:rPr>
            </w:pPr>
            <w:r>
              <w:rPr>
                <w:rFonts w:hint="eastAsia" w:ascii="宋体" w:cs="宋体"/>
                <w:color w:val="auto"/>
                <w:sz w:val="21"/>
                <w:szCs w:val="21"/>
                <w:highlight w:val="none"/>
                <w:u w:val="none"/>
              </w:rPr>
              <w:t>④</w:t>
            </w:r>
            <w:r>
              <w:rPr>
                <w:rFonts w:hAnsi="Times New Roman"/>
                <w:color w:val="auto"/>
                <w:sz w:val="21"/>
                <w:szCs w:val="21"/>
                <w:highlight w:val="none"/>
                <w:u w:val="none"/>
              </w:rPr>
              <w:t>加强管理，</w:t>
            </w:r>
            <w:r>
              <w:rPr>
                <w:rFonts w:hint="eastAsia" w:hAnsi="Times New Roman"/>
                <w:color w:val="auto"/>
                <w:sz w:val="21"/>
                <w:szCs w:val="21"/>
                <w:highlight w:val="none"/>
                <w:u w:val="none"/>
              </w:rPr>
              <w:t>制定</w:t>
            </w:r>
            <w:r>
              <w:rPr>
                <w:rFonts w:hAnsi="Times New Roman"/>
                <w:color w:val="auto"/>
                <w:sz w:val="21"/>
                <w:szCs w:val="21"/>
                <w:highlight w:val="none"/>
                <w:u w:val="none"/>
              </w:rPr>
              <w:t>设备定期检修、维护，建立巡视制度等。加强操作人员的岗位操作技能培训，提高操作人员的操作技能，避免因人为操作失误引起的废气泄漏、逃逸事故</w:t>
            </w:r>
            <w:r>
              <w:rPr>
                <w:rFonts w:hint="eastAsia" w:hAnsi="Times New Roman"/>
                <w:color w:val="auto"/>
                <w:sz w:val="21"/>
                <w:szCs w:val="21"/>
                <w:highlight w:val="none"/>
                <w:u w:val="none"/>
              </w:rPr>
              <w:t>。</w:t>
            </w:r>
          </w:p>
          <w:p w14:paraId="76BE1D5E">
            <w:pPr>
              <w:spacing w:line="240" w:lineRule="auto"/>
              <w:ind w:firstLine="0" w:firstLineChars="0"/>
              <w:rPr>
                <w:rFonts w:hAnsi="Times New Roman"/>
                <w:color w:val="auto"/>
                <w:sz w:val="21"/>
                <w:szCs w:val="21"/>
                <w:highlight w:val="none"/>
                <w:u w:val="none"/>
              </w:rPr>
            </w:pPr>
            <w:r>
              <w:rPr>
                <w:rFonts w:hint="eastAsia" w:ascii="宋体" w:cs="宋体"/>
                <w:color w:val="auto"/>
                <w:sz w:val="21"/>
                <w:szCs w:val="21"/>
                <w:highlight w:val="none"/>
                <w:u w:val="none"/>
              </w:rPr>
              <w:t>⑤</w:t>
            </w:r>
            <w:r>
              <w:rPr>
                <w:rFonts w:hAnsi="Times New Roman"/>
                <w:color w:val="auto"/>
                <w:sz w:val="21"/>
                <w:szCs w:val="21"/>
                <w:highlight w:val="none"/>
                <w:u w:val="none"/>
              </w:rPr>
              <w:t>强化废水废液废渣系统逸散废气治理。废水废液废渣收集、储存、处理处置过程中，对逸散VOCs和产生异味的主要环节采取有效的密闭与收集措施，确保废气经收集处理</w:t>
            </w:r>
            <w:r>
              <w:rPr>
                <w:rFonts w:hint="eastAsia" w:hAnsi="Times New Roman"/>
                <w:color w:val="auto"/>
                <w:sz w:val="21"/>
                <w:szCs w:val="21"/>
                <w:highlight w:val="none"/>
                <w:u w:val="none"/>
              </w:rPr>
              <w:t>达标后排放</w:t>
            </w:r>
            <w:r>
              <w:rPr>
                <w:rFonts w:hAnsi="Times New Roman"/>
                <w:color w:val="auto"/>
                <w:sz w:val="21"/>
                <w:szCs w:val="21"/>
                <w:highlight w:val="none"/>
                <w:u w:val="none"/>
              </w:rPr>
              <w:t>，禁止稀释排放。</w:t>
            </w:r>
          </w:p>
        </w:tc>
      </w:tr>
      <w:tr w14:paraId="5ADEBB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2FACF66E">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2</w:t>
            </w:r>
          </w:p>
        </w:tc>
        <w:tc>
          <w:tcPr>
            <w:tcW w:w="1333" w:type="pct"/>
            <w:vAlign w:val="center"/>
          </w:tcPr>
          <w:p w14:paraId="1976AFC2">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罐区储罐呼吸排放控制</w:t>
            </w:r>
          </w:p>
        </w:tc>
        <w:tc>
          <w:tcPr>
            <w:tcW w:w="3282" w:type="pct"/>
          </w:tcPr>
          <w:p w14:paraId="79415820">
            <w:pPr>
              <w:spacing w:line="240" w:lineRule="auto"/>
              <w:ind w:firstLine="0" w:firstLineChars="0"/>
              <w:rPr>
                <w:rFonts w:hAnsi="Times New Roman"/>
                <w:color w:val="auto"/>
                <w:sz w:val="21"/>
                <w:szCs w:val="21"/>
                <w:highlight w:val="none"/>
                <w:u w:val="none"/>
              </w:rPr>
            </w:pPr>
            <w:r>
              <w:rPr>
                <w:rFonts w:hint="eastAsia" w:hAnsi="Times New Roman"/>
                <w:color w:val="auto"/>
                <w:sz w:val="21"/>
                <w:szCs w:val="21"/>
                <w:highlight w:val="none"/>
                <w:u w:val="none"/>
              </w:rPr>
              <w:t>罐区储罐采取</w:t>
            </w:r>
            <w:r>
              <w:rPr>
                <w:rFonts w:hAnsi="Times New Roman"/>
                <w:color w:val="auto"/>
                <w:sz w:val="21"/>
                <w:szCs w:val="21"/>
                <w:highlight w:val="none"/>
                <w:u w:val="none"/>
              </w:rPr>
              <w:t>氮封处理；ODCB储罐呼吸</w:t>
            </w:r>
            <w:r>
              <w:rPr>
                <w:rFonts w:hint="eastAsia" w:hAnsi="Times New Roman"/>
                <w:color w:val="auto"/>
                <w:sz w:val="21"/>
                <w:szCs w:val="21"/>
                <w:highlight w:val="none"/>
                <w:u w:val="none"/>
              </w:rPr>
              <w:t>废气</w:t>
            </w:r>
            <w:r>
              <w:rPr>
                <w:rFonts w:hAnsi="Times New Roman"/>
                <w:color w:val="auto"/>
                <w:sz w:val="21"/>
                <w:szCs w:val="21"/>
                <w:highlight w:val="none"/>
                <w:u w:val="none"/>
              </w:rPr>
              <w:t>收集后采用两级活性炭吸附处理，净化尾气由一根15m高排气筒排放；TDI不合格产品储罐呼吸</w:t>
            </w:r>
            <w:r>
              <w:rPr>
                <w:rFonts w:hint="eastAsia" w:hAnsi="Times New Roman"/>
                <w:color w:val="auto"/>
                <w:sz w:val="21"/>
                <w:szCs w:val="21"/>
                <w:highlight w:val="none"/>
                <w:u w:val="none"/>
              </w:rPr>
              <w:t>废气</w:t>
            </w:r>
            <w:r>
              <w:rPr>
                <w:rFonts w:hAnsi="Times New Roman"/>
                <w:color w:val="auto"/>
                <w:sz w:val="21"/>
                <w:szCs w:val="21"/>
                <w:highlight w:val="none"/>
                <w:u w:val="none"/>
              </w:rPr>
              <w:t>，收集并入光化尾气</w:t>
            </w:r>
            <w:r>
              <w:rPr>
                <w:rFonts w:hint="eastAsia" w:hAnsi="Times New Roman"/>
                <w:color w:val="auto"/>
                <w:sz w:val="21"/>
                <w:szCs w:val="21"/>
                <w:highlight w:val="none"/>
                <w:u w:val="none"/>
              </w:rPr>
              <w:t>，经“酸分解+碱分解”</w:t>
            </w:r>
            <w:r>
              <w:rPr>
                <w:rFonts w:hAnsi="Times New Roman"/>
                <w:color w:val="auto"/>
                <w:sz w:val="21"/>
                <w:szCs w:val="21"/>
                <w:highlight w:val="none"/>
                <w:u w:val="none"/>
              </w:rPr>
              <w:t>处理后去能量回收装置焚烧</w:t>
            </w:r>
            <w:r>
              <w:rPr>
                <w:rFonts w:hint="eastAsia" w:hAnsi="Times New Roman"/>
                <w:color w:val="auto"/>
                <w:sz w:val="21"/>
                <w:szCs w:val="21"/>
                <w:highlight w:val="none"/>
                <w:u w:val="none"/>
              </w:rPr>
              <w:t>处置</w:t>
            </w:r>
            <w:r>
              <w:rPr>
                <w:rFonts w:hAnsi="Times New Roman"/>
                <w:color w:val="auto"/>
                <w:sz w:val="21"/>
                <w:szCs w:val="21"/>
                <w:highlight w:val="none"/>
                <w:u w:val="none"/>
              </w:rPr>
              <w:t>；粗TDA中间储罐、OTDA储罐呼吸</w:t>
            </w:r>
            <w:r>
              <w:rPr>
                <w:rFonts w:hint="eastAsia" w:hAnsi="Times New Roman"/>
                <w:color w:val="auto"/>
                <w:sz w:val="21"/>
                <w:szCs w:val="21"/>
                <w:highlight w:val="none"/>
                <w:u w:val="none"/>
              </w:rPr>
              <w:t>废气</w:t>
            </w:r>
            <w:r>
              <w:rPr>
                <w:rFonts w:hAnsi="Times New Roman"/>
                <w:color w:val="auto"/>
                <w:sz w:val="21"/>
                <w:szCs w:val="21"/>
                <w:highlight w:val="none"/>
                <w:u w:val="none"/>
              </w:rPr>
              <w:t>，收集并入精制尾气</w:t>
            </w:r>
            <w:r>
              <w:rPr>
                <w:rFonts w:hint="eastAsia" w:hAnsi="Times New Roman"/>
                <w:color w:val="auto"/>
                <w:sz w:val="21"/>
                <w:szCs w:val="21"/>
                <w:highlight w:val="none"/>
                <w:u w:val="none"/>
              </w:rPr>
              <w:t>，</w:t>
            </w:r>
            <w:r>
              <w:rPr>
                <w:rFonts w:hAnsi="Times New Roman"/>
                <w:color w:val="auto"/>
                <w:sz w:val="21"/>
                <w:szCs w:val="21"/>
                <w:highlight w:val="none"/>
                <w:u w:val="none"/>
              </w:rPr>
              <w:t>经</w:t>
            </w:r>
            <w:r>
              <w:rPr>
                <w:rFonts w:hint="eastAsia" w:hAnsi="Times New Roman"/>
                <w:color w:val="auto"/>
                <w:sz w:val="21"/>
                <w:szCs w:val="21"/>
                <w:highlight w:val="none"/>
                <w:u w:val="none"/>
              </w:rPr>
              <w:t>“</w:t>
            </w:r>
            <w:r>
              <w:rPr>
                <w:rFonts w:hAnsi="Times New Roman"/>
                <w:color w:val="auto"/>
                <w:sz w:val="21"/>
                <w:szCs w:val="21"/>
                <w:highlight w:val="none"/>
                <w:u w:val="none"/>
              </w:rPr>
              <w:t>冷凝+水洗涤+活性炭吸附</w:t>
            </w:r>
            <w:r>
              <w:rPr>
                <w:rFonts w:hint="eastAsia" w:hAnsi="Times New Roman"/>
                <w:color w:val="auto"/>
                <w:sz w:val="21"/>
                <w:szCs w:val="21"/>
                <w:highlight w:val="none"/>
                <w:u w:val="none"/>
              </w:rPr>
              <w:t>”</w:t>
            </w:r>
            <w:r>
              <w:rPr>
                <w:rFonts w:hAnsi="Times New Roman"/>
                <w:color w:val="auto"/>
                <w:sz w:val="21"/>
                <w:szCs w:val="21"/>
                <w:highlight w:val="none"/>
                <w:u w:val="none"/>
              </w:rPr>
              <w:t>后通过厂内一根3</w:t>
            </w:r>
            <w:r>
              <w:rPr>
                <w:rFonts w:hint="eastAsia" w:hAnsi="Times New Roman"/>
                <w:color w:val="auto"/>
                <w:sz w:val="21"/>
                <w:szCs w:val="21"/>
                <w:highlight w:val="none"/>
                <w:u w:val="none"/>
                <w:lang w:val="en-US"/>
              </w:rPr>
              <w:t>4</w:t>
            </w:r>
            <w:r>
              <w:rPr>
                <w:rFonts w:hAnsi="Times New Roman"/>
                <w:color w:val="auto"/>
                <w:sz w:val="21"/>
                <w:szCs w:val="21"/>
                <w:highlight w:val="none"/>
                <w:u w:val="none"/>
              </w:rPr>
              <w:t>m</w:t>
            </w:r>
            <w:r>
              <w:rPr>
                <w:rFonts w:hint="eastAsia" w:hAnsi="Times New Roman"/>
                <w:color w:val="auto"/>
                <w:sz w:val="21"/>
                <w:szCs w:val="21"/>
                <w:highlight w:val="none"/>
                <w:u w:val="none"/>
              </w:rPr>
              <w:t>高</w:t>
            </w:r>
            <w:r>
              <w:rPr>
                <w:rFonts w:hAnsi="Times New Roman"/>
                <w:color w:val="auto"/>
                <w:sz w:val="21"/>
                <w:szCs w:val="21"/>
                <w:highlight w:val="none"/>
                <w:u w:val="none"/>
              </w:rPr>
              <w:t>的排气筒排放；MNT储罐、浓硝酸储罐呼吸</w:t>
            </w:r>
            <w:r>
              <w:rPr>
                <w:rFonts w:hint="eastAsia" w:hAnsi="Times New Roman"/>
                <w:color w:val="auto"/>
                <w:sz w:val="21"/>
                <w:szCs w:val="21"/>
                <w:highlight w:val="none"/>
                <w:u w:val="none"/>
              </w:rPr>
              <w:t>废气</w:t>
            </w:r>
            <w:r>
              <w:rPr>
                <w:rFonts w:hAnsi="Times New Roman"/>
                <w:color w:val="auto"/>
                <w:sz w:val="21"/>
                <w:szCs w:val="21"/>
                <w:highlight w:val="none"/>
                <w:u w:val="none"/>
              </w:rPr>
              <w:t>，收集后并入酸性废气</w:t>
            </w:r>
            <w:r>
              <w:rPr>
                <w:rFonts w:hint="eastAsia" w:hAnsi="Times New Roman"/>
                <w:color w:val="auto"/>
                <w:sz w:val="21"/>
                <w:szCs w:val="21"/>
                <w:highlight w:val="none"/>
                <w:u w:val="none"/>
              </w:rPr>
              <w:t>，</w:t>
            </w:r>
            <w:r>
              <w:rPr>
                <w:rFonts w:hAnsi="Times New Roman"/>
                <w:color w:val="auto"/>
                <w:sz w:val="21"/>
                <w:szCs w:val="21"/>
                <w:highlight w:val="none"/>
                <w:u w:val="none"/>
              </w:rPr>
              <w:t>经</w:t>
            </w:r>
            <w:r>
              <w:rPr>
                <w:color w:val="auto"/>
                <w:sz w:val="21"/>
                <w:szCs w:val="21"/>
                <w:highlight w:val="none"/>
                <w:u w:val="none"/>
              </w:rPr>
              <w:t>低温</w:t>
            </w:r>
            <w:r>
              <w:rPr>
                <w:rFonts w:hAnsi="Times New Roman"/>
                <w:color w:val="auto"/>
                <w:sz w:val="21"/>
                <w:szCs w:val="21"/>
                <w:highlight w:val="none"/>
                <w:u w:val="none"/>
              </w:rPr>
              <w:t>加压水吸收预处理后，去能量回收装置焚烧</w:t>
            </w:r>
            <w:r>
              <w:rPr>
                <w:rFonts w:hint="eastAsia" w:hAnsi="Times New Roman"/>
                <w:color w:val="auto"/>
                <w:sz w:val="21"/>
                <w:szCs w:val="21"/>
                <w:highlight w:val="none"/>
                <w:u w:val="none"/>
              </w:rPr>
              <w:t>处置</w:t>
            </w:r>
            <w:r>
              <w:rPr>
                <w:rFonts w:hAnsi="Times New Roman"/>
                <w:color w:val="auto"/>
                <w:sz w:val="21"/>
                <w:szCs w:val="21"/>
                <w:highlight w:val="none"/>
                <w:u w:val="none"/>
              </w:rPr>
              <w:t>；DNT储罐罐体内采用水封措施，罐体中DNT的凝固点在57℃-62℃，储罐存储温度在60℃-80℃，较难挥发出有机物</w:t>
            </w:r>
            <w:r>
              <w:rPr>
                <w:rFonts w:hint="eastAsia" w:hAnsi="Times New Roman"/>
                <w:color w:val="auto"/>
                <w:sz w:val="21"/>
                <w:szCs w:val="21"/>
                <w:highlight w:val="none"/>
                <w:u w:val="none"/>
              </w:rPr>
              <w:t>。</w:t>
            </w:r>
          </w:p>
        </w:tc>
      </w:tr>
      <w:tr w14:paraId="6CEDEF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83" w:type="pct"/>
            <w:vAlign w:val="center"/>
          </w:tcPr>
          <w:p w14:paraId="2DD4FBBB">
            <w:pPr>
              <w:widowControl/>
              <w:spacing w:line="240" w:lineRule="auto"/>
              <w:ind w:firstLine="0" w:firstLineChars="0"/>
              <w:jc w:val="center"/>
              <w:rPr>
                <w:rFonts w:hAnsi="Times New Roman"/>
                <w:color w:val="auto"/>
                <w:sz w:val="21"/>
                <w:szCs w:val="21"/>
                <w:highlight w:val="none"/>
                <w:u w:val="none"/>
              </w:rPr>
            </w:pPr>
            <w:r>
              <w:rPr>
                <w:rStyle w:val="150"/>
                <w:rFonts w:hint="default" w:ascii="Times New Roman" w:hAnsi="Times New Roman"/>
                <w:color w:val="auto"/>
                <w:sz w:val="21"/>
                <w:szCs w:val="21"/>
                <w:highlight w:val="none"/>
                <w:u w:val="none"/>
              </w:rPr>
              <w:t>3</w:t>
            </w:r>
          </w:p>
        </w:tc>
        <w:tc>
          <w:tcPr>
            <w:tcW w:w="1333" w:type="pct"/>
            <w:vAlign w:val="center"/>
          </w:tcPr>
          <w:p w14:paraId="5ECA0601">
            <w:pPr>
              <w:spacing w:line="240" w:lineRule="auto"/>
              <w:ind w:firstLine="0" w:firstLineChars="0"/>
              <w:jc w:val="center"/>
              <w:rPr>
                <w:rFonts w:hAnsi="Times New Roman"/>
                <w:color w:val="auto"/>
                <w:sz w:val="21"/>
                <w:szCs w:val="21"/>
                <w:highlight w:val="none"/>
                <w:u w:val="none"/>
              </w:rPr>
            </w:pPr>
            <w:r>
              <w:rPr>
                <w:rFonts w:hAnsi="Times New Roman"/>
                <w:color w:val="auto"/>
                <w:sz w:val="21"/>
                <w:szCs w:val="21"/>
                <w:highlight w:val="none"/>
                <w:u w:val="none"/>
              </w:rPr>
              <w:t>挥发性有机液体装载逸散控制措施</w:t>
            </w:r>
          </w:p>
        </w:tc>
        <w:tc>
          <w:tcPr>
            <w:tcW w:w="3282" w:type="pct"/>
          </w:tcPr>
          <w:p w14:paraId="075542BD">
            <w:pPr>
              <w:spacing w:line="240" w:lineRule="auto"/>
              <w:ind w:firstLine="0" w:firstLineChars="0"/>
              <w:rPr>
                <w:rFonts w:hAnsi="Times New Roman"/>
                <w:color w:val="auto"/>
                <w:sz w:val="21"/>
                <w:szCs w:val="21"/>
                <w:highlight w:val="none"/>
                <w:u w:val="none"/>
              </w:rPr>
            </w:pPr>
            <w:r>
              <w:rPr>
                <w:rFonts w:hAnsi="Times New Roman"/>
                <w:color w:val="auto"/>
                <w:sz w:val="21"/>
                <w:szCs w:val="21"/>
                <w:highlight w:val="none"/>
                <w:u w:val="none"/>
              </w:rPr>
              <w:t>挥发性有机液体装卸应采取全密闭、液下装载等方式，严禁喷溅式装载。顶部浸没式装载出料口距离罐底高度应小于200mm。</w:t>
            </w:r>
          </w:p>
        </w:tc>
      </w:tr>
    </w:tbl>
    <w:p w14:paraId="7EFB8DBD">
      <w:pPr>
        <w:pStyle w:val="7"/>
        <w:spacing w:before="156"/>
        <w:rPr>
          <w:color w:val="auto"/>
          <w:highlight w:val="none"/>
          <w:u w:val="none"/>
        </w:rPr>
      </w:pPr>
      <w:r>
        <w:rPr>
          <w:rFonts w:hint="eastAsia"/>
          <w:color w:val="auto"/>
          <w:highlight w:val="none"/>
          <w:u w:val="none"/>
        </w:rPr>
        <w:t>硝化单元废气污染物控制措施及可行性分析</w:t>
      </w:r>
    </w:p>
    <w:p w14:paraId="13799A40">
      <w:pPr>
        <w:rPr>
          <w:rFonts w:hint="eastAsia"/>
          <w:color w:val="auto"/>
          <w:highlight w:val="none"/>
          <w:u w:val="none"/>
        </w:rPr>
      </w:pPr>
      <w:r>
        <w:rPr>
          <w:rFonts w:hint="eastAsia"/>
          <w:color w:val="auto"/>
          <w:highlight w:val="none"/>
          <w:u w:val="none"/>
        </w:rPr>
        <w:t>（</w:t>
      </w:r>
      <w:r>
        <w:rPr>
          <w:color w:val="auto"/>
          <w:highlight w:val="none"/>
          <w:u w:val="none"/>
        </w:rPr>
        <w:t>1）酸性废气</w:t>
      </w:r>
      <w:r>
        <w:rPr>
          <w:rFonts w:hint="eastAsia"/>
          <w:color w:val="auto"/>
          <w:highlight w:val="none"/>
          <w:u w:val="none"/>
        </w:rPr>
        <w:t>（G1-1）</w:t>
      </w:r>
    </w:p>
    <w:p w14:paraId="3B1F5634">
      <w:pPr>
        <w:rPr>
          <w:color w:val="auto"/>
          <w:highlight w:val="none"/>
          <w:u w:val="none"/>
        </w:rPr>
      </w:pPr>
      <w:r>
        <w:rPr>
          <w:rFonts w:hint="eastAsia"/>
          <w:color w:val="auto"/>
          <w:highlight w:val="none"/>
          <w:u w:val="none"/>
        </w:rPr>
        <w:t>酸性废气（G1-1）主要污染物为</w:t>
      </w:r>
      <w:r>
        <w:rPr>
          <w:color w:val="auto"/>
          <w:highlight w:val="none"/>
          <w:u w:val="none"/>
        </w:rPr>
        <w:t>NO</w:t>
      </w:r>
      <w:r>
        <w:rPr>
          <w:color w:val="auto"/>
          <w:highlight w:val="none"/>
          <w:u w:val="none"/>
          <w:vertAlign w:val="subscript"/>
        </w:rPr>
        <w:t>X</w:t>
      </w:r>
      <w:r>
        <w:rPr>
          <w:color w:val="auto"/>
          <w:highlight w:val="none"/>
          <w:u w:val="none"/>
        </w:rPr>
        <w:t>，在厂区内</w:t>
      </w:r>
      <w:r>
        <w:rPr>
          <w:rFonts w:hint="eastAsia"/>
          <w:color w:val="auto"/>
          <w:highlight w:val="none"/>
          <w:u w:val="none"/>
        </w:rPr>
        <w:t>采用</w:t>
      </w:r>
      <w:r>
        <w:rPr>
          <w:color w:val="auto"/>
          <w:highlight w:val="none"/>
          <w:u w:val="none"/>
        </w:rPr>
        <w:t>“</w:t>
      </w:r>
      <w:r>
        <w:rPr>
          <w:rFonts w:hint="eastAsia"/>
          <w:color w:val="auto"/>
          <w:highlight w:val="none"/>
          <w:u w:val="none"/>
        </w:rPr>
        <w:t>低温</w:t>
      </w:r>
      <w:r>
        <w:rPr>
          <w:color w:val="auto"/>
          <w:highlight w:val="none"/>
          <w:u w:val="none"/>
        </w:rPr>
        <w:t>加压水吸收”</w:t>
      </w:r>
      <w:r>
        <w:rPr>
          <w:rFonts w:hint="eastAsia"/>
          <w:color w:val="auto"/>
          <w:highlight w:val="none"/>
          <w:u w:val="none"/>
        </w:rPr>
        <w:t>措施（硝烟吸收塔）</w:t>
      </w:r>
      <w:r>
        <w:rPr>
          <w:color w:val="auto"/>
          <w:highlight w:val="none"/>
          <w:u w:val="none"/>
        </w:rPr>
        <w:t>进行预处理，利用NO</w:t>
      </w:r>
      <w:r>
        <w:rPr>
          <w:color w:val="auto"/>
          <w:highlight w:val="none"/>
          <w:u w:val="none"/>
          <w:vertAlign w:val="subscript"/>
        </w:rPr>
        <w:t>X</w:t>
      </w:r>
      <w:r>
        <w:rPr>
          <w:rFonts w:hint="eastAsia"/>
          <w:color w:val="auto"/>
          <w:highlight w:val="none"/>
          <w:u w:val="none"/>
        </w:rPr>
        <w:t>通过液体介质时易被溶解吸收的原理，</w:t>
      </w:r>
      <w:r>
        <w:rPr>
          <w:color w:val="auto"/>
          <w:highlight w:val="none"/>
          <w:u w:val="none"/>
        </w:rPr>
        <w:t>以水作为吸收剂，对NO</w:t>
      </w:r>
      <w:r>
        <w:rPr>
          <w:color w:val="auto"/>
          <w:highlight w:val="none"/>
          <w:u w:val="none"/>
          <w:vertAlign w:val="subscript"/>
        </w:rPr>
        <w:t>X</w:t>
      </w:r>
      <w:r>
        <w:rPr>
          <w:color w:val="auto"/>
          <w:highlight w:val="none"/>
          <w:u w:val="none"/>
        </w:rPr>
        <w:t>进行吸收，去除部分NO</w:t>
      </w:r>
      <w:r>
        <w:rPr>
          <w:color w:val="auto"/>
          <w:highlight w:val="none"/>
          <w:u w:val="none"/>
          <w:vertAlign w:val="subscript"/>
        </w:rPr>
        <w:t>X</w:t>
      </w:r>
      <w:r>
        <w:rPr>
          <w:color w:val="auto"/>
          <w:highlight w:val="none"/>
          <w:u w:val="none"/>
        </w:rPr>
        <w:t>后，再送</w:t>
      </w:r>
      <w:r>
        <w:rPr>
          <w:rFonts w:hint="eastAsia"/>
          <w:color w:val="auto"/>
          <w:highlight w:val="none"/>
          <w:u w:val="none"/>
        </w:rPr>
        <w:t>往万华环保科技公司</w:t>
      </w:r>
      <w:r>
        <w:rPr>
          <w:color w:val="auto"/>
          <w:highlight w:val="none"/>
          <w:u w:val="none"/>
        </w:rPr>
        <w:t>能量回收装置进一</w:t>
      </w:r>
      <w:r>
        <w:rPr>
          <w:rFonts w:hint="eastAsia"/>
          <w:color w:val="auto"/>
          <w:highlight w:val="none"/>
          <w:u w:val="none"/>
        </w:rPr>
        <w:t>步焚烧处理，能量回收装置采用</w:t>
      </w:r>
      <w:r>
        <w:rPr>
          <w:color w:val="auto"/>
          <w:highlight w:val="none"/>
          <w:u w:val="none"/>
        </w:rPr>
        <w:t>“低氮燃烧+SNCR+</w:t>
      </w:r>
      <w:r>
        <w:rPr>
          <w:rFonts w:hint="eastAsia"/>
          <w:color w:val="auto"/>
          <w:highlight w:val="none"/>
          <w:u w:val="none"/>
        </w:rPr>
        <w:t>急冷塔</w:t>
      </w:r>
      <w:r>
        <w:rPr>
          <w:color w:val="auto"/>
          <w:highlight w:val="none"/>
          <w:u w:val="none"/>
        </w:rPr>
        <w:t>+干式喷射</w:t>
      </w:r>
      <w:r>
        <w:rPr>
          <w:rFonts w:hint="eastAsia"/>
          <w:color w:val="auto"/>
          <w:highlight w:val="none"/>
          <w:u w:val="none"/>
        </w:rPr>
        <w:t>（</w:t>
      </w:r>
      <w:r>
        <w:rPr>
          <w:color w:val="auto"/>
          <w:highlight w:val="none"/>
          <w:u w:val="none"/>
        </w:rPr>
        <w:t>活性炭</w:t>
      </w:r>
      <w:r>
        <w:rPr>
          <w:rFonts w:hint="eastAsia"/>
          <w:color w:val="auto"/>
          <w:highlight w:val="none"/>
          <w:u w:val="none"/>
        </w:rPr>
        <w:t>）</w:t>
      </w:r>
      <w:r>
        <w:rPr>
          <w:color w:val="auto"/>
          <w:highlight w:val="none"/>
          <w:u w:val="none"/>
        </w:rPr>
        <w:t>+布袋除尘+二级喷淋+SCR”的处理方式，可满足排放标准要求。</w:t>
      </w:r>
    </w:p>
    <w:p w14:paraId="3C3AD146">
      <w:pPr>
        <w:rPr>
          <w:rFonts w:hint="eastAsia"/>
          <w:color w:val="auto"/>
          <w:highlight w:val="none"/>
          <w:u w:val="none"/>
        </w:rPr>
      </w:pPr>
      <w:r>
        <w:rPr>
          <w:rFonts w:hint="eastAsia"/>
          <w:color w:val="auto"/>
          <w:highlight w:val="none"/>
          <w:u w:val="none"/>
        </w:rPr>
        <w:t>（</w:t>
      </w:r>
      <w:r>
        <w:rPr>
          <w:color w:val="auto"/>
          <w:highlight w:val="none"/>
          <w:u w:val="none"/>
        </w:rPr>
        <w:t>2）碱性废气</w:t>
      </w:r>
      <w:r>
        <w:rPr>
          <w:rFonts w:hint="eastAsia"/>
          <w:color w:val="auto"/>
          <w:highlight w:val="none"/>
          <w:u w:val="none"/>
        </w:rPr>
        <w:t>（G</w:t>
      </w:r>
      <w:r>
        <w:rPr>
          <w:color w:val="auto"/>
          <w:highlight w:val="none"/>
          <w:u w:val="none"/>
        </w:rPr>
        <w:t>1-2</w:t>
      </w:r>
      <w:r>
        <w:rPr>
          <w:rFonts w:hint="eastAsia"/>
          <w:color w:val="auto"/>
          <w:highlight w:val="none"/>
          <w:u w:val="none"/>
        </w:rPr>
        <w:t>）</w:t>
      </w:r>
    </w:p>
    <w:p w14:paraId="377B2FBD">
      <w:pPr>
        <w:rPr>
          <w:rFonts w:hint="eastAsia"/>
          <w:color w:val="auto"/>
          <w:highlight w:val="none"/>
          <w:u w:val="none"/>
        </w:rPr>
      </w:pPr>
      <w:r>
        <w:rPr>
          <w:rFonts w:hint="eastAsia"/>
          <w:color w:val="auto"/>
          <w:highlight w:val="none"/>
          <w:u w:val="none"/>
        </w:rPr>
        <w:t>碱性废气（G</w:t>
      </w:r>
      <w:r>
        <w:rPr>
          <w:color w:val="auto"/>
          <w:highlight w:val="none"/>
          <w:u w:val="none"/>
        </w:rPr>
        <w:t>1-2</w:t>
      </w:r>
      <w:r>
        <w:rPr>
          <w:rFonts w:hint="eastAsia"/>
          <w:color w:val="auto"/>
          <w:highlight w:val="none"/>
          <w:u w:val="none"/>
        </w:rPr>
        <w:t>）主要污染物为DNT（硝基苯类）、</w:t>
      </w:r>
      <w:r>
        <w:rPr>
          <w:color w:val="auto"/>
          <w:highlight w:val="none"/>
          <w:u w:val="none"/>
        </w:rPr>
        <w:t>甲苯等挥发性有机物</w:t>
      </w:r>
      <w:r>
        <w:rPr>
          <w:rFonts w:hint="eastAsia"/>
          <w:color w:val="auto"/>
          <w:highlight w:val="none"/>
          <w:u w:val="none"/>
        </w:rPr>
        <w:t>及氨等</w:t>
      </w:r>
      <w:r>
        <w:rPr>
          <w:color w:val="auto"/>
          <w:highlight w:val="none"/>
          <w:u w:val="none"/>
        </w:rPr>
        <w:t>，在厂区内</w:t>
      </w:r>
      <w:r>
        <w:rPr>
          <w:rFonts w:hint="eastAsia"/>
          <w:color w:val="auto"/>
          <w:highlight w:val="none"/>
          <w:u w:val="none"/>
        </w:rPr>
        <w:t>采用“加压水洗涤”措施</w:t>
      </w:r>
      <w:r>
        <w:rPr>
          <w:color w:val="auto"/>
          <w:highlight w:val="none"/>
          <w:u w:val="none"/>
        </w:rPr>
        <w:t>进行</w:t>
      </w:r>
      <w:r>
        <w:rPr>
          <w:rFonts w:hint="eastAsia"/>
          <w:color w:val="auto"/>
          <w:highlight w:val="none"/>
          <w:u w:val="none"/>
        </w:rPr>
        <w:t>预处理，</w:t>
      </w:r>
      <w:r>
        <w:rPr>
          <w:color w:val="auto"/>
          <w:highlight w:val="none"/>
          <w:u w:val="none"/>
        </w:rPr>
        <w:t>通过水洗塔的喷淋装置将细小水滴与废气充分接触去除废气中的部分有机</w:t>
      </w:r>
      <w:r>
        <w:rPr>
          <w:rFonts w:hint="eastAsia"/>
          <w:color w:val="auto"/>
          <w:highlight w:val="none"/>
          <w:u w:val="none"/>
        </w:rPr>
        <w:t>物及氨气，</w:t>
      </w:r>
      <w:r>
        <w:rPr>
          <w:color w:val="auto"/>
          <w:highlight w:val="none"/>
          <w:u w:val="none"/>
        </w:rPr>
        <w:t>再送</w:t>
      </w:r>
      <w:r>
        <w:rPr>
          <w:rFonts w:hint="eastAsia"/>
          <w:color w:val="auto"/>
          <w:highlight w:val="none"/>
          <w:u w:val="none"/>
        </w:rPr>
        <w:t>往万华环保科技公司</w:t>
      </w:r>
      <w:r>
        <w:rPr>
          <w:color w:val="auto"/>
          <w:highlight w:val="none"/>
          <w:u w:val="none"/>
        </w:rPr>
        <w:t>能量回收装置进一</w:t>
      </w:r>
      <w:r>
        <w:rPr>
          <w:rFonts w:hint="eastAsia"/>
          <w:color w:val="auto"/>
          <w:highlight w:val="none"/>
          <w:u w:val="none"/>
        </w:rPr>
        <w:t>步焚烧处理，能量回收装置采用</w:t>
      </w:r>
      <w:r>
        <w:rPr>
          <w:color w:val="auto"/>
          <w:highlight w:val="none"/>
          <w:u w:val="none"/>
        </w:rPr>
        <w:t>“低氮燃烧+SNCR+</w:t>
      </w:r>
      <w:r>
        <w:rPr>
          <w:rFonts w:hint="eastAsia"/>
          <w:color w:val="auto"/>
          <w:highlight w:val="none"/>
          <w:u w:val="none"/>
        </w:rPr>
        <w:t>急冷塔</w:t>
      </w:r>
      <w:r>
        <w:rPr>
          <w:color w:val="auto"/>
          <w:highlight w:val="none"/>
          <w:u w:val="none"/>
        </w:rPr>
        <w:t>+干式喷射</w:t>
      </w:r>
      <w:r>
        <w:rPr>
          <w:rFonts w:hint="eastAsia"/>
          <w:color w:val="auto"/>
          <w:highlight w:val="none"/>
          <w:u w:val="none"/>
        </w:rPr>
        <w:t>（</w:t>
      </w:r>
      <w:r>
        <w:rPr>
          <w:color w:val="auto"/>
          <w:highlight w:val="none"/>
          <w:u w:val="none"/>
        </w:rPr>
        <w:t>活性炭</w:t>
      </w:r>
      <w:r>
        <w:rPr>
          <w:rFonts w:hint="eastAsia"/>
          <w:color w:val="auto"/>
          <w:highlight w:val="none"/>
          <w:u w:val="none"/>
        </w:rPr>
        <w:t>）</w:t>
      </w:r>
      <w:r>
        <w:rPr>
          <w:color w:val="auto"/>
          <w:highlight w:val="none"/>
          <w:u w:val="none"/>
        </w:rPr>
        <w:t>+布袋除尘+二级喷淋+SCR”的处理方式，可满足排放标准要求。</w:t>
      </w:r>
    </w:p>
    <w:p w14:paraId="0BE3402D">
      <w:pPr>
        <w:rPr>
          <w:rFonts w:hint="eastAsia"/>
          <w:color w:val="auto"/>
          <w:highlight w:val="none"/>
          <w:u w:val="none"/>
        </w:rPr>
      </w:pPr>
      <w:r>
        <w:rPr>
          <w:rFonts w:hint="eastAsia"/>
          <w:color w:val="auto"/>
          <w:highlight w:val="none"/>
          <w:u w:val="none"/>
        </w:rPr>
        <w:t>根据《排污许可证申请与核发技术规范 石化工业》（HJ853-2017），挥发性有机物污染治理工艺有：热力焚烧法、催化燃烧法、蓄热燃烧法、吸附法、吸收法、冷凝法等；碱性废气经“加压水洗涤”吸收氨后，剩余的有机废气进入</w:t>
      </w:r>
      <w:r>
        <w:rPr>
          <w:color w:val="auto"/>
          <w:highlight w:val="none"/>
          <w:u w:val="none"/>
        </w:rPr>
        <w:t>能量回收装置</w:t>
      </w:r>
      <w:r>
        <w:rPr>
          <w:rFonts w:hint="eastAsia"/>
          <w:color w:val="auto"/>
          <w:highlight w:val="none"/>
          <w:u w:val="none"/>
        </w:rPr>
        <w:t>焚烧处置后达标排放，措施可行。</w:t>
      </w:r>
    </w:p>
    <w:p w14:paraId="2821C202">
      <w:pPr>
        <w:pStyle w:val="7"/>
        <w:spacing w:before="156"/>
        <w:rPr>
          <w:color w:val="auto"/>
          <w:highlight w:val="none"/>
          <w:u w:val="none"/>
        </w:rPr>
      </w:pPr>
      <w:r>
        <w:rPr>
          <w:rFonts w:hint="eastAsia"/>
          <w:color w:val="auto"/>
          <w:highlight w:val="none"/>
          <w:u w:val="none"/>
        </w:rPr>
        <w:t>氢化单元废气污染物控制措施及可行性分析</w:t>
      </w:r>
    </w:p>
    <w:p w14:paraId="321CA164">
      <w:pPr>
        <w:rPr>
          <w:rFonts w:hint="eastAsia"/>
          <w:color w:val="auto"/>
          <w:highlight w:val="none"/>
          <w:u w:val="none"/>
        </w:rPr>
      </w:pPr>
      <w:r>
        <w:rPr>
          <w:rFonts w:hint="eastAsia"/>
          <w:color w:val="auto"/>
          <w:highlight w:val="none"/>
          <w:u w:val="none"/>
        </w:rPr>
        <w:t>（</w:t>
      </w:r>
      <w:r>
        <w:rPr>
          <w:color w:val="auto"/>
          <w:highlight w:val="none"/>
          <w:u w:val="none"/>
        </w:rPr>
        <w:t>1）反应驰放气</w:t>
      </w:r>
      <w:r>
        <w:rPr>
          <w:rFonts w:hint="eastAsia"/>
          <w:color w:val="auto"/>
          <w:highlight w:val="none"/>
          <w:u w:val="none"/>
        </w:rPr>
        <w:t>（G2-1）</w:t>
      </w:r>
    </w:p>
    <w:p w14:paraId="0F684AEE">
      <w:pPr>
        <w:rPr>
          <w:rFonts w:hint="eastAsia"/>
          <w:color w:val="auto"/>
          <w:highlight w:val="none"/>
          <w:u w:val="none"/>
        </w:rPr>
      </w:pPr>
      <w:r>
        <w:rPr>
          <w:rFonts w:hint="eastAsia"/>
          <w:color w:val="auto"/>
          <w:highlight w:val="none"/>
          <w:u w:val="none"/>
        </w:rPr>
        <w:t>反应驰放气（G2-1）主要污染物为挥发性有机物，</w:t>
      </w:r>
      <w:r>
        <w:rPr>
          <w:color w:val="auto"/>
          <w:highlight w:val="none"/>
          <w:u w:val="none"/>
        </w:rPr>
        <w:t>在厂区内</w:t>
      </w:r>
      <w:r>
        <w:rPr>
          <w:rFonts w:hint="eastAsia"/>
          <w:color w:val="auto"/>
          <w:highlight w:val="none"/>
          <w:u w:val="none"/>
        </w:rPr>
        <w:t>采用</w:t>
      </w:r>
      <w:r>
        <w:rPr>
          <w:color w:val="auto"/>
          <w:highlight w:val="none"/>
          <w:u w:val="none"/>
        </w:rPr>
        <w:t>“冷凝+水洗涤”</w:t>
      </w:r>
      <w:r>
        <w:rPr>
          <w:rFonts w:hint="eastAsia"/>
          <w:color w:val="auto"/>
          <w:highlight w:val="none"/>
          <w:u w:val="none"/>
        </w:rPr>
        <w:t>措施</w:t>
      </w:r>
      <w:r>
        <w:rPr>
          <w:color w:val="auto"/>
          <w:highlight w:val="none"/>
          <w:u w:val="none"/>
        </w:rPr>
        <w:t>进行</w:t>
      </w:r>
      <w:r>
        <w:rPr>
          <w:rFonts w:hint="eastAsia"/>
          <w:color w:val="auto"/>
          <w:highlight w:val="none"/>
          <w:u w:val="none"/>
        </w:rPr>
        <w:t>预处理，</w:t>
      </w:r>
      <w:r>
        <w:rPr>
          <w:color w:val="auto"/>
          <w:highlight w:val="none"/>
          <w:u w:val="none"/>
        </w:rPr>
        <w:t>废气经冷凝器冷凝后可回收部分有机物，冷凝液返回反应器，经过冷凝处理的</w:t>
      </w:r>
      <w:r>
        <w:rPr>
          <w:rFonts w:hint="eastAsia"/>
          <w:color w:val="auto"/>
          <w:highlight w:val="none"/>
          <w:u w:val="none"/>
        </w:rPr>
        <w:t>反应驰放气再通过水洗塔的喷淋装置将细小水滴与有机废气充分接触去除废气中的有机物，再送往万华环保科技公司能量回收装置进一步焚烧处理，能量回收装置采用</w:t>
      </w:r>
      <w:r>
        <w:rPr>
          <w:color w:val="auto"/>
          <w:highlight w:val="none"/>
          <w:u w:val="none"/>
        </w:rPr>
        <w:t>“低氮燃烧+SNCR+</w:t>
      </w:r>
      <w:r>
        <w:rPr>
          <w:rFonts w:hint="eastAsia"/>
          <w:color w:val="auto"/>
          <w:highlight w:val="none"/>
          <w:u w:val="none"/>
        </w:rPr>
        <w:t>急冷塔</w:t>
      </w:r>
      <w:r>
        <w:rPr>
          <w:color w:val="auto"/>
          <w:highlight w:val="none"/>
          <w:u w:val="none"/>
        </w:rPr>
        <w:t>+干式喷射</w:t>
      </w:r>
      <w:r>
        <w:rPr>
          <w:rFonts w:hint="eastAsia"/>
          <w:color w:val="auto"/>
          <w:highlight w:val="none"/>
          <w:u w:val="none"/>
        </w:rPr>
        <w:t>（</w:t>
      </w:r>
      <w:r>
        <w:rPr>
          <w:color w:val="auto"/>
          <w:highlight w:val="none"/>
          <w:u w:val="none"/>
        </w:rPr>
        <w:t>活性炭</w:t>
      </w:r>
      <w:r>
        <w:rPr>
          <w:rFonts w:hint="eastAsia"/>
          <w:color w:val="auto"/>
          <w:highlight w:val="none"/>
          <w:u w:val="none"/>
        </w:rPr>
        <w:t>）</w:t>
      </w:r>
      <w:r>
        <w:rPr>
          <w:color w:val="auto"/>
          <w:highlight w:val="none"/>
          <w:u w:val="none"/>
        </w:rPr>
        <w:t>+布袋除尘+二级喷淋+SCR”的处理方式，可满足排放标准要求。</w:t>
      </w:r>
    </w:p>
    <w:p w14:paraId="2F0F3885">
      <w:pPr>
        <w:rPr>
          <w:rFonts w:hint="eastAsia"/>
          <w:color w:val="auto"/>
          <w:highlight w:val="none"/>
          <w:u w:val="none"/>
        </w:rPr>
      </w:pPr>
      <w:r>
        <w:rPr>
          <w:rFonts w:hint="eastAsia"/>
          <w:color w:val="auto"/>
          <w:highlight w:val="none"/>
          <w:u w:val="none"/>
        </w:rPr>
        <w:t>（</w:t>
      </w:r>
      <w:r>
        <w:rPr>
          <w:color w:val="auto"/>
          <w:highlight w:val="none"/>
          <w:u w:val="none"/>
        </w:rPr>
        <w:t>2）精制尾气</w:t>
      </w:r>
      <w:r>
        <w:rPr>
          <w:rFonts w:hint="eastAsia"/>
          <w:color w:val="auto"/>
          <w:highlight w:val="none"/>
          <w:u w:val="none"/>
        </w:rPr>
        <w:t>（G2-2）</w:t>
      </w:r>
    </w:p>
    <w:p w14:paraId="75F818A9">
      <w:pPr>
        <w:rPr>
          <w:rFonts w:hint="eastAsia"/>
          <w:color w:val="auto"/>
          <w:highlight w:val="none"/>
          <w:u w:val="none"/>
        </w:rPr>
      </w:pPr>
      <w:r>
        <w:rPr>
          <w:rFonts w:hint="eastAsia"/>
          <w:color w:val="auto"/>
          <w:highlight w:val="none"/>
          <w:u w:val="none"/>
        </w:rPr>
        <w:t>精制尾气（G2-2）主要污染物为TDA等挥发性有机物，</w:t>
      </w:r>
      <w:r>
        <w:rPr>
          <w:color w:val="auto"/>
          <w:highlight w:val="none"/>
          <w:u w:val="none"/>
        </w:rPr>
        <w:t>采用“冷凝+水洗涤+活性</w:t>
      </w:r>
      <w:r>
        <w:rPr>
          <w:rFonts w:hint="eastAsia"/>
          <w:color w:val="auto"/>
          <w:highlight w:val="none"/>
          <w:u w:val="none"/>
        </w:rPr>
        <w:t>炭吸附”措施进行处理，废气经处理达标后，经1根3</w:t>
      </w:r>
      <w:r>
        <w:rPr>
          <w:rFonts w:hint="eastAsia"/>
          <w:color w:val="auto"/>
          <w:highlight w:val="none"/>
          <w:u w:val="none"/>
          <w:lang w:val="en-US"/>
        </w:rPr>
        <w:t>4</w:t>
      </w:r>
      <w:r>
        <w:rPr>
          <w:rFonts w:hint="eastAsia"/>
          <w:color w:val="auto"/>
          <w:highlight w:val="none"/>
          <w:u w:val="none"/>
        </w:rPr>
        <w:t>m高排气筒排放。</w:t>
      </w:r>
    </w:p>
    <w:p w14:paraId="49D6FD23">
      <w:pPr>
        <w:rPr>
          <w:rFonts w:hint="eastAsia"/>
          <w:color w:val="auto"/>
          <w:highlight w:val="none"/>
          <w:u w:val="none"/>
        </w:rPr>
      </w:pPr>
      <w:r>
        <w:rPr>
          <w:rFonts w:hint="eastAsia"/>
          <w:color w:val="auto"/>
          <w:highlight w:val="none"/>
          <w:u w:val="none"/>
        </w:rPr>
        <w:t>目前，</w:t>
      </w:r>
      <w:r>
        <w:rPr>
          <w:color w:val="auto"/>
          <w:highlight w:val="none"/>
          <w:u w:val="none"/>
        </w:rPr>
        <w:t>挥发性有机废气治理方法主要为燃烧法、吸附法、吸收法、生物处理法、冷</w:t>
      </w:r>
      <w:r>
        <w:rPr>
          <w:rFonts w:hint="eastAsia"/>
          <w:color w:val="auto"/>
          <w:highlight w:val="none"/>
          <w:u w:val="none"/>
        </w:rPr>
        <w:t>凝法等。</w:t>
      </w:r>
      <w:r>
        <w:rPr>
          <w:color w:val="auto"/>
          <w:highlight w:val="none"/>
          <w:u w:val="none"/>
        </w:rPr>
        <w:t>其中吸附法以其处理能力强、吸附效率高的优点成为应用较为广泛的有机废气</w:t>
      </w:r>
      <w:r>
        <w:rPr>
          <w:rFonts w:hint="eastAsia"/>
          <w:color w:val="auto"/>
          <w:highlight w:val="none"/>
          <w:u w:val="none"/>
        </w:rPr>
        <w:t>处理方法。</w:t>
      </w:r>
      <w:r>
        <w:rPr>
          <w:color w:val="auto"/>
          <w:highlight w:val="none"/>
          <w:u w:val="none"/>
        </w:rPr>
        <w:t>活性炭微孔结构高度发达，具有很大的比表面积，由表面效应所产生的吸附</w:t>
      </w:r>
      <w:r>
        <w:rPr>
          <w:rFonts w:hint="eastAsia"/>
          <w:color w:val="auto"/>
          <w:highlight w:val="none"/>
          <w:u w:val="none"/>
        </w:rPr>
        <w:t>作用是活性炭吸附最明显的特征之一。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w:t>
      </w:r>
      <w:r>
        <w:rPr>
          <w:rFonts w:hAnsi="Times New Roman"/>
          <w:color w:val="auto"/>
          <w:highlight w:val="none"/>
          <w:u w:val="none"/>
        </w:rPr>
        <w:t>径500~5000μm，</w:t>
      </w:r>
      <w:r>
        <w:rPr>
          <w:color w:val="auto"/>
          <w:highlight w:val="none"/>
          <w:u w:val="none"/>
        </w:rPr>
        <w:t>对低浓度有机废气的吸附率可达到70%以上。</w:t>
      </w:r>
    </w:p>
    <w:p w14:paraId="57B9F75D">
      <w:pPr>
        <w:rPr>
          <w:rFonts w:hint="eastAsia"/>
          <w:color w:val="auto"/>
          <w:highlight w:val="none"/>
          <w:u w:val="none"/>
        </w:rPr>
      </w:pPr>
      <w:r>
        <w:rPr>
          <w:rFonts w:hint="eastAsia"/>
          <w:color w:val="auto"/>
          <w:highlight w:val="none"/>
          <w:u w:val="none"/>
        </w:rPr>
        <w:t>根据本项目氢化单元精制尾气的特点，</w:t>
      </w:r>
      <w:r>
        <w:rPr>
          <w:color w:val="auto"/>
          <w:highlight w:val="none"/>
          <w:u w:val="none"/>
        </w:rPr>
        <w:t>拟采用“冷凝+水洗涤+活性炭吸附”的方法处</w:t>
      </w:r>
      <w:r>
        <w:rPr>
          <w:rFonts w:hint="eastAsia"/>
          <w:color w:val="auto"/>
          <w:highlight w:val="none"/>
          <w:u w:val="none"/>
        </w:rPr>
        <w:t>理有机废气，</w:t>
      </w:r>
      <w:r>
        <w:rPr>
          <w:color w:val="auto"/>
          <w:highlight w:val="none"/>
          <w:u w:val="none"/>
        </w:rPr>
        <w:t>从OTDA精制塔侧线出来的OTDA产品经冷凝器冷凝处理后送至OTDA</w:t>
      </w:r>
      <w:r>
        <w:rPr>
          <w:rFonts w:hint="eastAsia"/>
          <w:color w:val="auto"/>
          <w:highlight w:val="none"/>
          <w:u w:val="none"/>
        </w:rPr>
        <w:t>储罐，</w:t>
      </w:r>
      <w:r>
        <w:rPr>
          <w:color w:val="auto"/>
          <w:highlight w:val="none"/>
          <w:u w:val="none"/>
        </w:rPr>
        <w:t>而后有机废气通过水洗塔的喷淋装置将细小水滴与有机废气充分接触进一步去除</w:t>
      </w:r>
      <w:r>
        <w:rPr>
          <w:rFonts w:hint="eastAsia"/>
          <w:color w:val="auto"/>
          <w:highlight w:val="none"/>
          <w:u w:val="none"/>
        </w:rPr>
        <w:t>废气中的有机物，</w:t>
      </w:r>
      <w:r>
        <w:rPr>
          <w:color w:val="auto"/>
          <w:highlight w:val="none"/>
          <w:u w:val="none"/>
        </w:rPr>
        <w:t>经“冷凝+水洗涤”处理后的有机废气浓度较低，再采用活性炭吸附</w:t>
      </w:r>
      <w:r>
        <w:rPr>
          <w:rFonts w:hint="eastAsia"/>
          <w:color w:val="auto"/>
          <w:highlight w:val="none"/>
          <w:u w:val="none"/>
        </w:rPr>
        <w:t>措施处理，</w:t>
      </w:r>
      <w:r>
        <w:rPr>
          <w:color w:val="auto"/>
          <w:highlight w:val="none"/>
          <w:u w:val="none"/>
        </w:rPr>
        <w:t>活性炭吸附塔出入口设置压力表，通过监测压差判定是否吸附饱和，定期更</w:t>
      </w:r>
      <w:r>
        <w:rPr>
          <w:rFonts w:hint="eastAsia"/>
          <w:color w:val="auto"/>
          <w:highlight w:val="none"/>
          <w:u w:val="none"/>
        </w:rPr>
        <w:t>换活性炭，</w:t>
      </w:r>
      <w:r>
        <w:rPr>
          <w:color w:val="auto"/>
          <w:highlight w:val="none"/>
          <w:u w:val="none"/>
        </w:rPr>
        <w:t>保障活性炭吸附塔的吸附能力。氢化单元精制尾气经过“冷凝+水洗涤+活性炭吸附”处理后</w:t>
      </w:r>
      <w:r>
        <w:rPr>
          <w:rFonts w:hint="eastAsia"/>
          <w:color w:val="auto"/>
          <w:highlight w:val="none"/>
          <w:u w:val="none"/>
        </w:rPr>
        <w:t>废气可实现达标排放，废气措施可行。</w:t>
      </w:r>
    </w:p>
    <w:p w14:paraId="145387D9">
      <w:pPr>
        <w:rPr>
          <w:rFonts w:hint="eastAsia"/>
          <w:color w:val="auto"/>
          <w:highlight w:val="none"/>
          <w:u w:val="none"/>
        </w:rPr>
      </w:pPr>
      <w:r>
        <w:rPr>
          <w:rFonts w:hint="eastAsia"/>
          <w:color w:val="auto"/>
          <w:highlight w:val="none"/>
          <w:u w:val="none"/>
        </w:rPr>
        <w:t>根据《排污许可证申请与核发技术规范 石化工业》（HJ853-2017），挥发性有机物污染治理工艺有：热力焚烧法、催化燃烧法、蓄热燃烧法、吸附法、吸收法、冷凝法等；同时根据《挥发性有机物治理实用手册（第二版）》（生态环境部大气环境司、规划院编著），针对挥发性有机物的末端治理措施为：可采用吸收、吸附、冷凝、膜分离等A类回收组合技术以及与蓄热式燃烧、蓄热式催化燃烧、催化燃烧等B类破坏技术的组合技术，如</w:t>
      </w:r>
      <w:r>
        <w:rPr>
          <w:rFonts w:hint="eastAsia"/>
          <w:color w:val="auto"/>
          <w:highlight w:val="none"/>
          <w:u w:val="none"/>
          <w:lang w:val="en-US"/>
        </w:rPr>
        <w:t>A+A，A+A+A，A+B，A+A+B</w:t>
      </w:r>
      <w:r>
        <w:rPr>
          <w:rFonts w:hint="eastAsia"/>
          <w:color w:val="auto"/>
          <w:highlight w:val="none"/>
          <w:u w:val="none"/>
        </w:rPr>
        <w:t>等。因此反应驰放气</w:t>
      </w:r>
      <w:r>
        <w:rPr>
          <w:color w:val="auto"/>
          <w:highlight w:val="none"/>
          <w:u w:val="none"/>
        </w:rPr>
        <w:t>经过冷凝处理</w:t>
      </w:r>
      <w:r>
        <w:rPr>
          <w:rFonts w:hint="eastAsia"/>
          <w:color w:val="auto"/>
          <w:highlight w:val="none"/>
          <w:u w:val="none"/>
        </w:rPr>
        <w:t>后送往万华环保科技公司能量回收装置焚烧处理后达标排放，精制尾气经</w:t>
      </w:r>
      <w:r>
        <w:rPr>
          <w:color w:val="auto"/>
          <w:highlight w:val="none"/>
          <w:u w:val="none"/>
        </w:rPr>
        <w:t>“冷凝+水洗涤+活性炭吸附”</w:t>
      </w:r>
      <w:r>
        <w:rPr>
          <w:rFonts w:hint="eastAsia"/>
          <w:color w:val="auto"/>
          <w:highlight w:val="none"/>
          <w:u w:val="none"/>
        </w:rPr>
        <w:t>处理后达标排放，措施可行。</w:t>
      </w:r>
    </w:p>
    <w:p w14:paraId="638F5A3C">
      <w:pPr>
        <w:pStyle w:val="7"/>
        <w:spacing w:before="156"/>
        <w:rPr>
          <w:color w:val="auto"/>
          <w:highlight w:val="none"/>
          <w:u w:val="none"/>
        </w:rPr>
      </w:pPr>
      <w:r>
        <w:rPr>
          <w:rFonts w:hint="eastAsia"/>
          <w:color w:val="auto"/>
          <w:highlight w:val="none"/>
          <w:u w:val="none"/>
        </w:rPr>
        <w:t>光化工序废气污染物控制措施及可行性分析</w:t>
      </w:r>
    </w:p>
    <w:p w14:paraId="696081C6">
      <w:pPr>
        <w:rPr>
          <w:rFonts w:hint="eastAsia"/>
          <w:color w:val="auto"/>
          <w:highlight w:val="none"/>
          <w:u w:val="none"/>
        </w:rPr>
      </w:pPr>
      <w:r>
        <w:rPr>
          <w:rFonts w:hint="eastAsia"/>
          <w:color w:val="auto"/>
          <w:highlight w:val="none"/>
          <w:u w:val="none"/>
        </w:rPr>
        <w:t>（1）光化尾气</w:t>
      </w:r>
    </w:p>
    <w:p w14:paraId="591D4B71">
      <w:pPr>
        <w:rPr>
          <w:rFonts w:hint="eastAsia"/>
          <w:color w:val="auto"/>
          <w:highlight w:val="none"/>
          <w:u w:val="none"/>
        </w:rPr>
      </w:pPr>
      <w:r>
        <w:rPr>
          <w:rFonts w:hint="eastAsia"/>
          <w:color w:val="auto"/>
          <w:highlight w:val="none"/>
          <w:u w:val="none"/>
        </w:rPr>
        <w:t>光化工序废气主要有光化尾气（G3-1），</w:t>
      </w:r>
      <w:r>
        <w:rPr>
          <w:color w:val="auto"/>
          <w:highlight w:val="none"/>
          <w:u w:val="none"/>
        </w:rPr>
        <w:t>主要污染物为</w:t>
      </w:r>
      <w:r>
        <w:rPr>
          <w:rFonts w:hint="eastAsia"/>
          <w:color w:val="auto"/>
          <w:highlight w:val="none"/>
          <w:u w:val="none"/>
        </w:rPr>
        <w:t>ODCB（</w:t>
      </w:r>
      <w:r>
        <w:rPr>
          <w:color w:val="auto"/>
          <w:highlight w:val="none"/>
          <w:u w:val="none"/>
        </w:rPr>
        <w:t>氯苯类</w:t>
      </w:r>
      <w:r>
        <w:rPr>
          <w:rFonts w:hint="eastAsia"/>
          <w:color w:val="auto"/>
          <w:highlight w:val="none"/>
          <w:u w:val="none"/>
        </w:rPr>
        <w:t>）、</w:t>
      </w:r>
      <w:r>
        <w:rPr>
          <w:color w:val="auto"/>
          <w:highlight w:val="none"/>
          <w:u w:val="none"/>
        </w:rPr>
        <w:t>氯气、氯化氢、光气以及TDI</w:t>
      </w:r>
      <w:r>
        <w:rPr>
          <w:rFonts w:hint="eastAsia"/>
          <w:color w:val="auto"/>
          <w:highlight w:val="none"/>
          <w:u w:val="none"/>
        </w:rPr>
        <w:t>等挥发性有机物，</w:t>
      </w:r>
      <w:r>
        <w:rPr>
          <w:color w:val="auto"/>
          <w:highlight w:val="none"/>
          <w:u w:val="none"/>
        </w:rPr>
        <w:t>在厂区内</w:t>
      </w:r>
      <w:r>
        <w:rPr>
          <w:rFonts w:hint="eastAsia"/>
          <w:color w:val="auto"/>
          <w:highlight w:val="none"/>
          <w:u w:val="none"/>
        </w:rPr>
        <w:t>采用</w:t>
      </w:r>
      <w:r>
        <w:rPr>
          <w:color w:val="auto"/>
          <w:highlight w:val="none"/>
          <w:u w:val="none"/>
        </w:rPr>
        <w:t>“</w:t>
      </w:r>
      <w:r>
        <w:rPr>
          <w:rFonts w:hint="eastAsia"/>
          <w:color w:val="auto"/>
          <w:highlight w:val="none"/>
          <w:u w:val="none"/>
        </w:rPr>
        <w:t>酸分解+碱分解</w:t>
      </w:r>
      <w:r>
        <w:rPr>
          <w:color w:val="auto"/>
          <w:highlight w:val="none"/>
          <w:u w:val="none"/>
        </w:rPr>
        <w:t>”</w:t>
      </w:r>
      <w:r>
        <w:rPr>
          <w:rFonts w:hint="eastAsia"/>
          <w:color w:val="auto"/>
          <w:highlight w:val="none"/>
          <w:u w:val="none"/>
        </w:rPr>
        <w:t>措施</w:t>
      </w:r>
      <w:r>
        <w:rPr>
          <w:color w:val="auto"/>
          <w:highlight w:val="none"/>
          <w:u w:val="none"/>
        </w:rPr>
        <w:t>进行预处理，酸分解是利</w:t>
      </w:r>
      <w:r>
        <w:rPr>
          <w:rFonts w:hint="eastAsia"/>
          <w:color w:val="auto"/>
          <w:highlight w:val="none"/>
          <w:u w:val="none"/>
        </w:rPr>
        <w:t>用低浓度的稀盐酸分解吸收盐酸吸收塔排放的尾气中所含的微量光气，</w:t>
      </w:r>
      <w:r>
        <w:rPr>
          <w:color w:val="auto"/>
          <w:highlight w:val="none"/>
          <w:u w:val="none"/>
        </w:rPr>
        <w:t>排气中的光气在</w:t>
      </w:r>
      <w:r>
        <w:rPr>
          <w:rFonts w:hint="eastAsia"/>
          <w:color w:val="auto"/>
          <w:highlight w:val="none"/>
          <w:u w:val="none"/>
        </w:rPr>
        <w:t>酸性条件及催化剂的作用下分解成二氧化碳和氯化氢，</w:t>
      </w:r>
      <w:r>
        <w:rPr>
          <w:color w:val="auto"/>
          <w:highlight w:val="none"/>
          <w:u w:val="none"/>
        </w:rPr>
        <w:t>氯化氢返回盐酸吸收塔，以降低</w:t>
      </w:r>
      <w:r>
        <w:rPr>
          <w:rFonts w:hint="eastAsia"/>
          <w:color w:val="auto"/>
          <w:highlight w:val="none"/>
          <w:u w:val="none"/>
        </w:rPr>
        <w:t>后续碱洗塔的碱液消耗量。</w:t>
      </w:r>
      <w:r>
        <w:rPr>
          <w:color w:val="auto"/>
          <w:highlight w:val="none"/>
          <w:u w:val="none"/>
        </w:rPr>
        <w:t>经酸分解后的尾气进入集中分解塔进行碱洗处理，利用氯化</w:t>
      </w:r>
      <w:r>
        <w:rPr>
          <w:rFonts w:hint="eastAsia"/>
          <w:color w:val="auto"/>
          <w:highlight w:val="none"/>
          <w:u w:val="none"/>
        </w:rPr>
        <w:t>氢、</w:t>
      </w:r>
      <w:r>
        <w:rPr>
          <w:color w:val="auto"/>
          <w:highlight w:val="none"/>
          <w:u w:val="none"/>
        </w:rPr>
        <w:t>光气、氯气与碱反应速度快特点，用低浓度的苛性钠作为分解液，以确保尾气中无</w:t>
      </w:r>
      <w:r>
        <w:rPr>
          <w:rFonts w:hint="eastAsia"/>
          <w:color w:val="auto"/>
          <w:highlight w:val="none"/>
          <w:u w:val="none"/>
        </w:rPr>
        <w:t>酸性气体，</w:t>
      </w:r>
      <w:r>
        <w:rPr>
          <w:color w:val="auto"/>
          <w:highlight w:val="none"/>
          <w:u w:val="none"/>
        </w:rPr>
        <w:t>塔顶排出的气体经尾气深冷器冷凝处理去除废气中的部分有机物。经预处</w:t>
      </w:r>
      <w:r>
        <w:rPr>
          <w:rFonts w:hint="eastAsia"/>
          <w:color w:val="auto"/>
          <w:highlight w:val="none"/>
          <w:u w:val="none"/>
        </w:rPr>
        <w:t>理后的光化尾气再委托万华环保科技公司</w:t>
      </w:r>
      <w:r>
        <w:rPr>
          <w:color w:val="auto"/>
          <w:highlight w:val="none"/>
          <w:u w:val="none"/>
        </w:rPr>
        <w:t>能量回收装</w:t>
      </w:r>
      <w:r>
        <w:rPr>
          <w:rFonts w:hint="eastAsia"/>
          <w:color w:val="auto"/>
          <w:highlight w:val="none"/>
          <w:u w:val="none"/>
        </w:rPr>
        <w:t>置进一步焚烧处理，能量回收装置采用</w:t>
      </w:r>
      <w:r>
        <w:rPr>
          <w:color w:val="auto"/>
          <w:highlight w:val="none"/>
          <w:u w:val="none"/>
        </w:rPr>
        <w:t>“低氮燃烧+SNCR+</w:t>
      </w:r>
      <w:r>
        <w:rPr>
          <w:rFonts w:hint="eastAsia"/>
          <w:color w:val="auto"/>
          <w:highlight w:val="none"/>
          <w:u w:val="none"/>
        </w:rPr>
        <w:t>急冷塔</w:t>
      </w:r>
      <w:r>
        <w:rPr>
          <w:color w:val="auto"/>
          <w:highlight w:val="none"/>
          <w:u w:val="none"/>
        </w:rPr>
        <w:t>+干式喷射</w:t>
      </w:r>
      <w:r>
        <w:rPr>
          <w:rFonts w:hint="eastAsia"/>
          <w:color w:val="auto"/>
          <w:highlight w:val="none"/>
          <w:u w:val="none"/>
        </w:rPr>
        <w:t>（</w:t>
      </w:r>
      <w:r>
        <w:rPr>
          <w:color w:val="auto"/>
          <w:highlight w:val="none"/>
          <w:u w:val="none"/>
        </w:rPr>
        <w:t>活性炭</w:t>
      </w:r>
      <w:r>
        <w:rPr>
          <w:rFonts w:hint="eastAsia"/>
          <w:color w:val="auto"/>
          <w:highlight w:val="none"/>
          <w:u w:val="none"/>
        </w:rPr>
        <w:t>）</w:t>
      </w:r>
      <w:r>
        <w:rPr>
          <w:color w:val="auto"/>
          <w:highlight w:val="none"/>
          <w:u w:val="none"/>
        </w:rPr>
        <w:t>+布袋除尘+二级喷淋+SCR”的处理方式，可满足排放标准要求。</w:t>
      </w:r>
      <w:r>
        <w:rPr>
          <w:rFonts w:hint="eastAsia"/>
          <w:color w:val="auto"/>
          <w:highlight w:val="none"/>
          <w:u w:val="none"/>
        </w:rPr>
        <w:t>根据《排污许可证申请与核发技术规范 石化工业》（HJ853-2017）及《挥发性有机物治理实用手册（第二版）》（生态环境部大气环境司、规划院编著），热力焚烧法是治理挥发性有机物的可行技术。</w:t>
      </w:r>
    </w:p>
    <w:p w14:paraId="1EBCBBD6">
      <w:pPr>
        <w:rPr>
          <w:rFonts w:hint="eastAsia"/>
          <w:color w:val="auto"/>
          <w:highlight w:val="none"/>
          <w:u w:val="none"/>
        </w:rPr>
      </w:pPr>
      <w:r>
        <w:rPr>
          <w:rFonts w:hint="eastAsia"/>
          <w:color w:val="auto"/>
          <w:highlight w:val="none"/>
          <w:u w:val="none"/>
        </w:rPr>
        <w:t>（2）ODCB储罐废气</w:t>
      </w:r>
    </w:p>
    <w:p w14:paraId="27441F8F">
      <w:pPr>
        <w:ind w:firstLineChars="0"/>
        <w:rPr>
          <w:rFonts w:hint="eastAsia"/>
          <w:color w:val="auto"/>
          <w:highlight w:val="none"/>
          <w:u w:val="none"/>
        </w:rPr>
      </w:pPr>
      <w:r>
        <w:rPr>
          <w:rFonts w:hint="eastAsia"/>
          <w:color w:val="auto"/>
          <w:highlight w:val="none"/>
          <w:u w:val="none"/>
        </w:rPr>
        <w:t>ODCB储罐废气（G4-1）主要污染物为ODCB，采用两级活性炭吸附处理后，由一根</w:t>
      </w:r>
      <w:r>
        <w:rPr>
          <w:color w:val="auto"/>
          <w:highlight w:val="none"/>
          <w:u w:val="none"/>
        </w:rPr>
        <w:t>15m</w:t>
      </w:r>
      <w:r>
        <w:rPr>
          <w:rFonts w:hint="eastAsia"/>
          <w:color w:val="auto"/>
          <w:highlight w:val="none"/>
          <w:u w:val="none"/>
        </w:rPr>
        <w:t>高排气筒排放。活性炭吸附装置为串联的两个活性炭吸附罐，单个吸附罐的尺寸为直径1m、高度</w:t>
      </w:r>
      <w:r>
        <w:rPr>
          <w:color w:val="auto"/>
          <w:highlight w:val="none"/>
          <w:u w:val="none"/>
        </w:rPr>
        <w:t>8</w:t>
      </w:r>
      <w:r>
        <w:rPr>
          <w:rFonts w:hint="eastAsia"/>
          <w:color w:val="auto"/>
          <w:highlight w:val="none"/>
          <w:u w:val="none"/>
        </w:rPr>
        <w:t>m，罐内填充由万华福建公司研发部门和活性炭厂家联合开发的ODCB吸附专用活性炭，单粒活性炭为直径4mm、高度8mm的小圆柱状活性炭，填充高度2m，单个吸附罐的处理效率可达8</w:t>
      </w:r>
      <w:r>
        <w:rPr>
          <w:color w:val="auto"/>
          <w:highlight w:val="none"/>
          <w:u w:val="none"/>
        </w:rPr>
        <w:t>5%</w:t>
      </w:r>
      <w:r>
        <w:rPr>
          <w:rFonts w:hint="eastAsia"/>
          <w:color w:val="auto"/>
          <w:highlight w:val="none"/>
          <w:u w:val="none"/>
        </w:rPr>
        <w:t>，两级活性炭吸附效率可达97%以上，设计</w:t>
      </w:r>
      <w:r>
        <w:rPr>
          <w:color w:val="auto"/>
          <w:highlight w:val="none"/>
          <w:u w:val="none"/>
        </w:rPr>
        <w:t>1</w:t>
      </w:r>
      <w:r>
        <w:rPr>
          <w:rFonts w:hint="eastAsia"/>
          <w:color w:val="auto"/>
          <w:highlight w:val="none"/>
          <w:u w:val="none"/>
        </w:rPr>
        <w:t>年更换一次，并在活性炭吸附塔出入口设置压力表，通过监测压差判定是否吸附饱和，根据压差监测结果及时更换活性炭，保障吸附装置的吸附能力。为了保证活性炭的吸附效果，其性能指标为：①活性炭碘值≥8</w:t>
      </w:r>
      <w:r>
        <w:rPr>
          <w:color w:val="auto"/>
          <w:highlight w:val="none"/>
          <w:u w:val="none"/>
        </w:rPr>
        <w:t>00mg/g</w:t>
      </w:r>
      <w:r>
        <w:rPr>
          <w:rFonts w:hint="eastAsia"/>
          <w:color w:val="auto"/>
          <w:highlight w:val="none"/>
          <w:u w:val="none"/>
        </w:rPr>
        <w:t>；②比表面积≥1</w:t>
      </w:r>
      <w:r>
        <w:rPr>
          <w:color w:val="auto"/>
          <w:highlight w:val="none"/>
          <w:u w:val="none"/>
        </w:rPr>
        <w:t>200m</w:t>
      </w:r>
      <w:r>
        <w:rPr>
          <w:rFonts w:hint="eastAsia"/>
          <w:color w:val="auto"/>
          <w:highlight w:val="none"/>
          <w:u w:val="none"/>
          <w:vertAlign w:val="superscript"/>
        </w:rPr>
        <w:t>2</w:t>
      </w:r>
      <w:r>
        <w:rPr>
          <w:rFonts w:hint="eastAsia"/>
          <w:color w:val="auto"/>
          <w:highlight w:val="none"/>
          <w:u w:val="none"/>
        </w:rPr>
        <w:t>/</w:t>
      </w:r>
      <w:r>
        <w:rPr>
          <w:color w:val="auto"/>
          <w:highlight w:val="none"/>
          <w:u w:val="none"/>
        </w:rPr>
        <w:t>g</w:t>
      </w:r>
      <w:r>
        <w:rPr>
          <w:rFonts w:hint="eastAsia"/>
          <w:color w:val="auto"/>
          <w:highlight w:val="none"/>
          <w:u w:val="none"/>
        </w:rPr>
        <w:t>；③吸附罐内气体流速控制在0</w:t>
      </w:r>
      <w:r>
        <w:rPr>
          <w:color w:val="auto"/>
          <w:highlight w:val="none"/>
          <w:u w:val="none"/>
        </w:rPr>
        <w:t>.</w:t>
      </w:r>
      <w:r>
        <w:rPr>
          <w:rFonts w:hint="eastAsia"/>
          <w:color w:val="auto"/>
          <w:highlight w:val="none"/>
          <w:u w:val="none"/>
        </w:rPr>
        <w:t>6</w:t>
      </w:r>
      <w:r>
        <w:rPr>
          <w:color w:val="auto"/>
          <w:highlight w:val="none"/>
          <w:u w:val="none"/>
        </w:rPr>
        <w:t>m/s</w:t>
      </w:r>
      <w:r>
        <w:rPr>
          <w:rFonts w:hint="eastAsia"/>
          <w:color w:val="auto"/>
          <w:highlight w:val="none"/>
          <w:u w:val="none"/>
        </w:rPr>
        <w:t>以下；④活性炭填充量与废气处理量比值大于1:</w:t>
      </w:r>
      <w:r>
        <w:rPr>
          <w:color w:val="auto"/>
          <w:highlight w:val="none"/>
          <w:u w:val="none"/>
        </w:rPr>
        <w:t>5000</w:t>
      </w:r>
      <w:r>
        <w:rPr>
          <w:rFonts w:hint="eastAsia"/>
          <w:color w:val="auto"/>
          <w:highlight w:val="none"/>
          <w:u w:val="none"/>
        </w:rPr>
        <w:t>。</w:t>
      </w:r>
    </w:p>
    <w:p w14:paraId="6A6B5C66">
      <w:pPr>
        <w:rPr>
          <w:rFonts w:hint="eastAsia" w:eastAsia="宋体"/>
          <w:color w:val="auto"/>
          <w:highlight w:val="none"/>
          <w:u w:val="none"/>
          <w:lang w:eastAsia="zh-CN"/>
        </w:rPr>
      </w:pPr>
      <w:r>
        <w:rPr>
          <w:rFonts w:hint="eastAsia"/>
          <w:color w:val="auto"/>
          <w:highlight w:val="none"/>
          <w:u w:val="none"/>
        </w:rPr>
        <w:t>根据《排污许可证申请与核发技术规范 石化工业》（HJ853-2017），挥发性有机物污染治理工艺有：热力焚烧法、催化燃烧法、蓄热燃烧法、吸附法、吸收法、冷凝法等，因此本项目ODCB储罐废气采用“两级活性炭</w:t>
      </w:r>
      <w:r>
        <w:rPr>
          <w:color w:val="auto"/>
          <w:highlight w:val="none"/>
          <w:u w:val="none"/>
        </w:rPr>
        <w:t>吸附</w:t>
      </w:r>
      <w:r>
        <w:rPr>
          <w:rFonts w:hint="eastAsia"/>
          <w:color w:val="auto"/>
          <w:highlight w:val="none"/>
          <w:u w:val="none"/>
        </w:rPr>
        <w:t>”处理后达标排放，属于排污许可技术规范中的可行治理工艺</w:t>
      </w:r>
      <w:r>
        <w:rPr>
          <w:rFonts w:hint="eastAsia"/>
          <w:color w:val="auto"/>
          <w:highlight w:val="none"/>
          <w:u w:val="none"/>
          <w:lang w:eastAsia="zh-CN"/>
        </w:rPr>
        <w:t>。</w:t>
      </w:r>
    </w:p>
    <w:p w14:paraId="42769BE4">
      <w:pPr>
        <w:rPr>
          <w:rFonts w:hint="eastAsia" w:eastAsia="宋体"/>
          <w:color w:val="auto"/>
          <w:highlight w:val="none"/>
          <w:u w:val="none"/>
          <w:lang w:eastAsia="zh-CN"/>
        </w:rPr>
      </w:pPr>
      <w:r>
        <w:rPr>
          <w:rFonts w:hint="eastAsia"/>
          <w:color w:val="auto"/>
          <w:highlight w:val="none"/>
          <w:u w:val="none"/>
          <w:lang w:eastAsia="zh-CN"/>
        </w:rPr>
        <w:t>（</w:t>
      </w:r>
      <w:r>
        <w:rPr>
          <w:rFonts w:hint="eastAsia"/>
          <w:color w:val="auto"/>
          <w:highlight w:val="none"/>
          <w:u w:val="none"/>
          <w:lang w:val="en-US" w:eastAsia="zh-CN"/>
        </w:rPr>
        <w:t>3</w:t>
      </w:r>
      <w:r>
        <w:rPr>
          <w:rFonts w:hint="eastAsia"/>
          <w:color w:val="auto"/>
          <w:highlight w:val="none"/>
          <w:u w:val="none"/>
          <w:lang w:eastAsia="zh-CN"/>
        </w:rPr>
        <w:t>）</w:t>
      </w:r>
      <w:r>
        <w:rPr>
          <w:rFonts w:hint="eastAsia"/>
          <w:color w:val="auto"/>
          <w:highlight w:val="none"/>
          <w:u w:val="none"/>
          <w:lang w:val="en-US"/>
        </w:rPr>
        <w:t>焦油颗粒装车站废气</w:t>
      </w:r>
    </w:p>
    <w:p w14:paraId="53E42230">
      <w:pPr>
        <w:rPr>
          <w:rFonts w:hint="eastAsia"/>
          <w:color w:val="auto"/>
          <w:highlight w:val="none"/>
          <w:u w:val="none"/>
          <w:lang w:val="en-US"/>
        </w:rPr>
      </w:pPr>
      <w:r>
        <w:rPr>
          <w:rFonts w:hint="eastAsia"/>
          <w:color w:val="auto"/>
          <w:highlight w:val="none"/>
          <w:u w:val="none"/>
          <w:lang w:val="en-US"/>
        </w:rPr>
        <w:t>焦油颗粒装车站废气（G5-1）采用二级粉尘过滤器，粉尘过滤器主要通过</w:t>
      </w:r>
      <w:r>
        <w:rPr>
          <w:color w:val="auto"/>
          <w:highlight w:val="none"/>
          <w:u w:val="none"/>
        </w:rPr>
        <w:t>重力、筛滤、碰撞、钩住、扩散和静电力</w:t>
      </w:r>
      <w:r>
        <w:rPr>
          <w:rFonts w:hint="eastAsia"/>
          <w:color w:val="auto"/>
          <w:highlight w:val="none"/>
          <w:u w:val="none"/>
          <w:lang w:val="en-US"/>
        </w:rPr>
        <w:t>等作用对空气中的粉尘进行去除，属于袋式除尘，除尘效率可达99%以上，根据现有已运行的装车站废气排放情况，装车站废气中的颗粒物排放浓度可满足GB31571-2015及其修改单表5工艺加热炉排放要求，非甲烷总烃排放浓度可满足DB35/1782-2018表1其他行业允许排放浓度限值要求。</w:t>
      </w:r>
      <w:r>
        <w:rPr>
          <w:rFonts w:hint="eastAsia"/>
          <w:color w:val="auto"/>
          <w:highlight w:val="none"/>
          <w:u w:val="none"/>
        </w:rPr>
        <w:t>根据《排污许可证申请与核发技术规范 石化工业》（HJ853-2017），</w:t>
      </w:r>
      <w:r>
        <w:rPr>
          <w:rFonts w:hint="eastAsia"/>
          <w:color w:val="auto"/>
          <w:highlight w:val="none"/>
          <w:u w:val="none"/>
          <w:lang w:val="en-US"/>
        </w:rPr>
        <w:t>袋式除尘是治理颗粒物的可行技术。</w:t>
      </w:r>
    </w:p>
    <w:p w14:paraId="72007A1B">
      <w:pPr>
        <w:pStyle w:val="7"/>
        <w:spacing w:before="156"/>
        <w:rPr>
          <w:color w:val="auto"/>
          <w:highlight w:val="none"/>
          <w:u w:val="none"/>
        </w:rPr>
      </w:pPr>
      <w:r>
        <w:rPr>
          <w:color w:val="auto"/>
          <w:highlight w:val="none"/>
          <w:u w:val="none"/>
        </w:rPr>
        <w:t>各装置工艺有机废气、废液送能量回收装置可行性分析</w:t>
      </w:r>
    </w:p>
    <w:p w14:paraId="17594284">
      <w:pPr>
        <w:rPr>
          <w:rFonts w:hint="eastAsia"/>
          <w:color w:val="auto"/>
          <w:highlight w:val="none"/>
          <w:u w:val="none"/>
          <w:lang w:val="en-US"/>
        </w:rPr>
      </w:pPr>
      <w:r>
        <w:rPr>
          <w:rFonts w:hint="eastAsia"/>
          <w:color w:val="auto"/>
          <w:highlight w:val="none"/>
          <w:u w:val="none"/>
          <w:lang w:val="en-US"/>
        </w:rPr>
        <w:t>本次技改扩能废气依托现有废气处理系统。</w:t>
      </w:r>
    </w:p>
    <w:p w14:paraId="56597A39">
      <w:pPr>
        <w:rPr>
          <w:rFonts w:hint="eastAsia"/>
          <w:color w:val="auto"/>
          <w:highlight w:val="none"/>
          <w:u w:val="none"/>
        </w:rPr>
      </w:pPr>
      <w:r>
        <w:rPr>
          <w:rFonts w:hint="eastAsia"/>
          <w:color w:val="auto"/>
          <w:highlight w:val="none"/>
          <w:u w:val="none"/>
        </w:rPr>
        <w:t>本项目硝化单元酸性废气、</w:t>
      </w:r>
      <w:r>
        <w:rPr>
          <w:color w:val="auto"/>
          <w:highlight w:val="none"/>
          <w:u w:val="none"/>
        </w:rPr>
        <w:t>碱性废气，氢化单元反应驰放气和光化单元光化尾气在</w:t>
      </w:r>
      <w:r>
        <w:rPr>
          <w:rFonts w:hint="eastAsia"/>
          <w:color w:val="auto"/>
          <w:highlight w:val="none"/>
          <w:u w:val="none"/>
        </w:rPr>
        <w:t>厂区内预处理后，</w:t>
      </w:r>
      <w:r>
        <w:rPr>
          <w:color w:val="auto"/>
          <w:highlight w:val="none"/>
          <w:u w:val="none"/>
        </w:rPr>
        <w:t>委托</w:t>
      </w:r>
      <w:r>
        <w:rPr>
          <w:rFonts w:hint="eastAsia"/>
          <w:color w:val="auto"/>
          <w:highlight w:val="none"/>
          <w:u w:val="none"/>
        </w:rPr>
        <w:t>万华环保科技公司</w:t>
      </w:r>
      <w:r>
        <w:rPr>
          <w:color w:val="auto"/>
          <w:highlight w:val="none"/>
          <w:u w:val="none"/>
        </w:rPr>
        <w:t>能量回收</w:t>
      </w:r>
      <w:r>
        <w:rPr>
          <w:rFonts w:hint="eastAsia"/>
          <w:color w:val="auto"/>
          <w:highlight w:val="none"/>
          <w:u w:val="none"/>
        </w:rPr>
        <w:t>装置进行焚烧处理，</w:t>
      </w:r>
      <w:r>
        <w:rPr>
          <w:color w:val="auto"/>
          <w:highlight w:val="none"/>
          <w:u w:val="none"/>
        </w:rPr>
        <w:t>产生的危险废物轻油、TDI废液</w:t>
      </w:r>
      <w:r>
        <w:rPr>
          <w:rFonts w:hint="eastAsia"/>
          <w:color w:val="auto"/>
          <w:highlight w:val="none"/>
          <w:u w:val="none"/>
        </w:rPr>
        <w:t>也委托</w:t>
      </w:r>
      <w:r>
        <w:rPr>
          <w:color w:val="auto"/>
          <w:highlight w:val="none"/>
          <w:u w:val="none"/>
        </w:rPr>
        <w:t>万</w:t>
      </w:r>
      <w:r>
        <w:rPr>
          <w:rFonts w:hint="eastAsia"/>
          <w:color w:val="auto"/>
          <w:highlight w:val="none"/>
          <w:u w:val="none"/>
        </w:rPr>
        <w:t>万华环保科技公司能量回收装置进行焚烧处理，</w:t>
      </w:r>
      <w:r>
        <w:rPr>
          <w:color w:val="auto"/>
          <w:highlight w:val="none"/>
          <w:u w:val="none"/>
        </w:rPr>
        <w:t>能量回收装置设计焚</w:t>
      </w:r>
      <w:r>
        <w:rPr>
          <w:rFonts w:hint="eastAsia"/>
          <w:color w:val="auto"/>
          <w:highlight w:val="none"/>
          <w:u w:val="none"/>
        </w:rPr>
        <w:t>烧处理能力为“</w:t>
      </w:r>
      <w:r>
        <w:rPr>
          <w:color w:val="auto"/>
          <w:highlight w:val="none"/>
          <w:u w:val="none"/>
        </w:rPr>
        <w:t>3000kg/h废液+</w:t>
      </w:r>
      <w:bookmarkStart w:id="716" w:name="OLE_LINK32"/>
      <w:r>
        <w:rPr>
          <w:rFonts w:hint="eastAsia"/>
          <w:color w:val="auto"/>
          <w:highlight w:val="none"/>
          <w:u w:val="none"/>
          <w:lang w:val="en-US"/>
        </w:rPr>
        <w:t>300</w:t>
      </w:r>
      <w:r>
        <w:rPr>
          <w:color w:val="auto"/>
          <w:highlight w:val="none"/>
          <w:u w:val="none"/>
        </w:rPr>
        <w:t>00</w:t>
      </w:r>
      <w:bookmarkEnd w:id="716"/>
      <w:r>
        <w:rPr>
          <w:color w:val="auto"/>
          <w:highlight w:val="none"/>
          <w:u w:val="none"/>
        </w:rPr>
        <w:t>m</w:t>
      </w:r>
      <w:r>
        <w:rPr>
          <w:color w:val="auto"/>
          <w:highlight w:val="none"/>
          <w:u w:val="none"/>
          <w:vertAlign w:val="superscript"/>
        </w:rPr>
        <w:t>3</w:t>
      </w:r>
      <w:r>
        <w:rPr>
          <w:color w:val="auto"/>
          <w:highlight w:val="none"/>
          <w:u w:val="none"/>
        </w:rPr>
        <w:t>/h废气”，设计处理规模时已</w:t>
      </w:r>
      <w:r>
        <w:rPr>
          <w:rFonts w:hint="eastAsia"/>
          <w:color w:val="auto"/>
          <w:highlight w:val="none"/>
          <w:u w:val="none"/>
        </w:rPr>
        <w:t>考虑了本项目的废气、</w:t>
      </w:r>
      <w:r>
        <w:rPr>
          <w:color w:val="auto"/>
          <w:highlight w:val="none"/>
          <w:u w:val="none"/>
        </w:rPr>
        <w:t>废液量。</w:t>
      </w:r>
    </w:p>
    <w:p w14:paraId="41B2C65B">
      <w:pPr>
        <w:rPr>
          <w:rFonts w:hint="eastAsia"/>
          <w:color w:val="auto"/>
          <w:highlight w:val="none"/>
          <w:u w:val="none"/>
        </w:rPr>
      </w:pPr>
      <w:r>
        <w:rPr>
          <w:rFonts w:hint="eastAsia"/>
          <w:color w:val="auto"/>
          <w:highlight w:val="none"/>
          <w:u w:val="none"/>
        </w:rPr>
        <w:t>万华环保科技公司能量回收装置布置在异氰酸酯公司</w:t>
      </w:r>
      <w:r>
        <w:rPr>
          <w:color w:val="auto"/>
          <w:highlight w:val="none"/>
          <w:u w:val="none"/>
        </w:rPr>
        <w:t>厂区东北部，与</w:t>
      </w:r>
      <w:r>
        <w:rPr>
          <w:rFonts w:hint="eastAsia"/>
          <w:color w:val="auto"/>
          <w:highlight w:val="none"/>
          <w:u w:val="none"/>
        </w:rPr>
        <w:t>万华福建公司</w:t>
      </w:r>
      <w:r>
        <w:rPr>
          <w:color w:val="auto"/>
          <w:highlight w:val="none"/>
          <w:u w:val="none"/>
        </w:rPr>
        <w:t>厂区相邻，本项目各装置废气/废液输送管道出装置界区后，经地上管</w:t>
      </w:r>
      <w:r>
        <w:rPr>
          <w:rFonts w:hint="eastAsia"/>
          <w:color w:val="auto"/>
          <w:highlight w:val="none"/>
          <w:u w:val="none"/>
        </w:rPr>
        <w:t>廊敷设至能量回收装置。</w:t>
      </w:r>
      <w:r>
        <w:rPr>
          <w:color w:val="auto"/>
          <w:highlight w:val="none"/>
          <w:u w:val="none"/>
        </w:rPr>
        <w:t>各</w:t>
      </w:r>
      <w:r>
        <w:rPr>
          <w:rFonts w:hint="eastAsia"/>
          <w:color w:val="auto"/>
          <w:highlight w:val="none"/>
          <w:u w:val="none"/>
        </w:rPr>
        <w:t>废气、</w:t>
      </w:r>
      <w:r>
        <w:rPr>
          <w:color w:val="auto"/>
          <w:highlight w:val="none"/>
          <w:u w:val="none"/>
        </w:rPr>
        <w:t>废液管道上均设置在线流量计，可统计各装置进入能量回收</w:t>
      </w:r>
      <w:r>
        <w:rPr>
          <w:rFonts w:hint="eastAsia"/>
          <w:color w:val="auto"/>
          <w:highlight w:val="none"/>
          <w:u w:val="none"/>
        </w:rPr>
        <w:t>装置的废气、废液量</w:t>
      </w:r>
      <w:r>
        <w:rPr>
          <w:color w:val="auto"/>
          <w:highlight w:val="none"/>
          <w:u w:val="none"/>
        </w:rPr>
        <w:t>。</w:t>
      </w:r>
    </w:p>
    <w:p w14:paraId="1BAD6398">
      <w:pPr>
        <w:pStyle w:val="7"/>
        <w:spacing w:before="156"/>
        <w:rPr>
          <w:color w:val="auto"/>
          <w:highlight w:val="none"/>
          <w:u w:val="none"/>
          <w:lang w:val="en-US"/>
        </w:rPr>
      </w:pPr>
      <w:r>
        <w:rPr>
          <w:color w:val="auto"/>
          <w:highlight w:val="none"/>
          <w:u w:val="none"/>
          <w:lang w:val="en-US"/>
        </w:rPr>
        <w:t>减少无组织废气污染控制措施</w:t>
      </w:r>
    </w:p>
    <w:p w14:paraId="65D27417">
      <w:pPr>
        <w:rPr>
          <w:rFonts w:hint="eastAsia"/>
          <w:color w:val="auto"/>
          <w:highlight w:val="none"/>
          <w:u w:val="none"/>
        </w:rPr>
      </w:pPr>
      <w:r>
        <w:rPr>
          <w:rFonts w:hint="eastAsia"/>
          <w:color w:val="auto"/>
          <w:highlight w:val="none"/>
          <w:u w:val="none"/>
        </w:rPr>
        <w:t>为减少挥发性有机物无组织排放，建设单位从生产工艺选择、设备选型开始，到日常管理、采取控制和治理技术入手，切实地有针对性地采取有效环保措施，最大限度减少无组织排放。</w:t>
      </w:r>
    </w:p>
    <w:p w14:paraId="55BC8732">
      <w:pPr>
        <w:rPr>
          <w:rFonts w:hint="eastAsia"/>
          <w:color w:val="auto"/>
          <w:highlight w:val="none"/>
          <w:u w:val="none"/>
        </w:rPr>
      </w:pPr>
      <w:r>
        <w:rPr>
          <w:rFonts w:hint="eastAsia"/>
          <w:color w:val="auto"/>
          <w:highlight w:val="none"/>
          <w:u w:val="none"/>
        </w:rPr>
        <w:t>（</w:t>
      </w:r>
      <w:r>
        <w:rPr>
          <w:color w:val="auto"/>
          <w:highlight w:val="none"/>
          <w:u w:val="none"/>
        </w:rPr>
        <w:t>1）生产装置区减少无组织排放控制措施</w:t>
      </w:r>
    </w:p>
    <w:p w14:paraId="3C9B7822">
      <w:pPr>
        <w:rPr>
          <w:rFonts w:hint="eastAsia"/>
          <w:color w:val="auto"/>
          <w:highlight w:val="none"/>
          <w:u w:val="none"/>
        </w:rPr>
      </w:pPr>
      <w:r>
        <w:rPr>
          <w:rFonts w:hint="eastAsia"/>
          <w:color w:val="auto"/>
          <w:highlight w:val="none"/>
          <w:u w:val="none"/>
        </w:rPr>
        <w:t>①大力推进清洁生产。企业应优先选用低挥发性原辅材料、先进密闭的生产工艺，</w:t>
      </w:r>
      <w:r>
        <w:rPr>
          <w:color w:val="auto"/>
          <w:highlight w:val="none"/>
          <w:u w:val="none"/>
        </w:rPr>
        <w:t>强化生产、输送、进出料、干燥以及采样等易泄漏环节的密闭性，加强无组织废气的收集和有效处理。对含有挥发性有机物料的工艺管线，除与阀门、仪表、设备等连接可采用法兰外，螺纹连接管道均采用密封焊。阀门、仪表、设备法兰的密封面和垫片提高密封等级；所有设备的液面计及视镜加设保护设施。</w:t>
      </w:r>
    </w:p>
    <w:p w14:paraId="335C8A91">
      <w:pPr>
        <w:rPr>
          <w:rFonts w:hint="eastAsia"/>
          <w:color w:val="auto"/>
          <w:highlight w:val="none"/>
          <w:u w:val="none"/>
        </w:rPr>
      </w:pPr>
      <w:r>
        <w:rPr>
          <w:rFonts w:hint="eastAsia"/>
          <w:color w:val="auto"/>
          <w:highlight w:val="none"/>
          <w:u w:val="none"/>
        </w:rPr>
        <w:t>②加强装置设备无组织排放控制措施。</w:t>
      </w:r>
      <w:r>
        <w:rPr>
          <w:color w:val="auto"/>
          <w:highlight w:val="none"/>
          <w:u w:val="none"/>
        </w:rPr>
        <w:t>对于生产工艺装置的精馏塔、闪蒸塔、汽提塔等不凝气及抽真空尾气等，进行收集净化处理，避免直接放空。正常工况时采用集中收集净化后有组织排放或燃烧后排放等措施，非正常工况应急情况下的泄放气</w:t>
      </w:r>
      <w:r>
        <w:rPr>
          <w:rFonts w:hint="eastAsia"/>
          <w:color w:val="auto"/>
          <w:highlight w:val="none"/>
          <w:u w:val="none"/>
        </w:rPr>
        <w:t>进入万华环保科技公司</w:t>
      </w:r>
      <w:r>
        <w:rPr>
          <w:color w:val="auto"/>
          <w:highlight w:val="none"/>
          <w:u w:val="none"/>
        </w:rPr>
        <w:t>火炬系统，经过充分燃烧后排放</w:t>
      </w:r>
      <w:r>
        <w:rPr>
          <w:rFonts w:hint="eastAsia"/>
          <w:color w:val="auto"/>
          <w:highlight w:val="none"/>
          <w:u w:val="none"/>
        </w:rPr>
        <w:t>。本项目各工艺装置的工艺尾气收集处理详见上述各装置尾气处理分析。</w:t>
      </w:r>
    </w:p>
    <w:p w14:paraId="003CAAD5">
      <w:pPr>
        <w:rPr>
          <w:rFonts w:hint="eastAsia"/>
          <w:color w:val="auto"/>
          <w:highlight w:val="none"/>
          <w:u w:val="none"/>
        </w:rPr>
      </w:pPr>
      <w:r>
        <w:rPr>
          <w:rFonts w:hint="eastAsia"/>
          <w:color w:val="auto"/>
          <w:highlight w:val="none"/>
          <w:u w:val="none"/>
        </w:rPr>
        <w:t>③建立“泄漏检测与修复（</w:t>
      </w:r>
      <w:r>
        <w:rPr>
          <w:color w:val="auto"/>
          <w:highlight w:val="none"/>
          <w:u w:val="none"/>
        </w:rPr>
        <w:t>LDAR）”管理制度。</w:t>
      </w:r>
      <w:r>
        <w:rPr>
          <w:rFonts w:hint="eastAsia"/>
          <w:color w:val="auto"/>
          <w:highlight w:val="none"/>
          <w:u w:val="none"/>
        </w:rPr>
        <w:t>对生产装置的管线法兰、阀门、泵、压缩机、开口阀或开口管线、泄压设备等可能泄漏点应开展泄漏检测与修复（</w:t>
      </w:r>
      <w:r>
        <w:rPr>
          <w:color w:val="auto"/>
          <w:highlight w:val="none"/>
          <w:u w:val="none"/>
        </w:rPr>
        <w:t>LDAR）。明确工作程序、检测方法、检测频率、泄漏浓度限值、修复要求等关键要素，对密封点设置编号和标识，泄漏超标的密封点要及时修复。建立信息管理平台，全面分析泄漏点信息，对易泄漏环节制定针对性改进措施，通过源头控制减少VOCs泄漏排放。建设单位主要采取以下措施：</w:t>
      </w:r>
    </w:p>
    <w:p w14:paraId="32724BCD">
      <w:pPr>
        <w:rPr>
          <w:rFonts w:hint="eastAsia"/>
          <w:color w:val="auto"/>
          <w:highlight w:val="none"/>
          <w:u w:val="none"/>
        </w:rPr>
      </w:pPr>
      <w:r>
        <w:rPr>
          <w:color w:val="auto"/>
          <w:highlight w:val="none"/>
          <w:u w:val="none"/>
        </w:rPr>
        <w:t>1）密闭尾气系统</w:t>
      </w:r>
    </w:p>
    <w:p w14:paraId="65D2C792">
      <w:pPr>
        <w:rPr>
          <w:rFonts w:hint="eastAsia"/>
          <w:color w:val="auto"/>
          <w:highlight w:val="none"/>
          <w:u w:val="none"/>
        </w:rPr>
      </w:pPr>
      <w:r>
        <w:rPr>
          <w:rFonts w:hint="eastAsia"/>
          <w:color w:val="auto"/>
          <w:highlight w:val="none"/>
          <w:u w:val="none"/>
        </w:rPr>
        <w:t>密闭尾气系统是收集泄漏的尾气并将其送至控制设施的系统。密闭尾气系统的控制效率取决于泄漏尾气的收集率和控制设施的效率。密闭尾气系统可用于单个设备，也可用于一组设备。用于单个设备的密闭尾气系统主要适合于高泄漏风险的设备，比如泵、压缩机及压力泄放设备。</w:t>
      </w:r>
    </w:p>
    <w:p w14:paraId="623F1AEE">
      <w:pPr>
        <w:rPr>
          <w:rFonts w:hint="eastAsia"/>
          <w:color w:val="auto"/>
          <w:highlight w:val="none"/>
          <w:u w:val="none"/>
        </w:rPr>
      </w:pPr>
      <w:r>
        <w:rPr>
          <w:color w:val="auto"/>
          <w:highlight w:val="none"/>
          <w:u w:val="none"/>
        </w:rPr>
        <w:t>2）泵类</w:t>
      </w:r>
    </w:p>
    <w:p w14:paraId="29F91612">
      <w:pPr>
        <w:rPr>
          <w:rFonts w:hint="eastAsia"/>
          <w:color w:val="auto"/>
          <w:highlight w:val="none"/>
          <w:u w:val="none"/>
        </w:rPr>
      </w:pPr>
      <w:r>
        <w:rPr>
          <w:rFonts w:hint="eastAsia"/>
          <w:color w:val="auto"/>
          <w:highlight w:val="none"/>
          <w:u w:val="none"/>
        </w:rPr>
        <w:t>双向机械密封：为两层密封，在两层密封间填充循环的阻隔介质，阻隔介质可维持比泵内介质高或低的压力。如果阻隔介质的压力比泵内介质高，泵内介质就不会向外环境泄漏。带有双向机械密封的泵类设备，若阻隔介质的压力比泵内介质高，在内外密封不同时失效的情况下，其对泄漏的控制效率实际为</w:t>
      </w:r>
      <w:r>
        <w:rPr>
          <w:color w:val="auto"/>
          <w:highlight w:val="none"/>
          <w:u w:val="none"/>
        </w:rPr>
        <w:t>100%。若阻隔介质的压力比泵内介质低，内层密封的泄漏会导致泵内介质进入阻隔介质。为防止泵内介质进入大气，应采用阻隔介质存贮系统。在阻隔介质存贮槽内，泵内介质经脱气进入密闭尾气系统。双向机械密封实际上可达到的泄漏控制效率取决于密封失效的频率。</w:t>
      </w:r>
      <w:r>
        <w:rPr>
          <w:rFonts w:hint="eastAsia"/>
          <w:color w:val="auto"/>
          <w:highlight w:val="none"/>
          <w:u w:val="none"/>
        </w:rPr>
        <w:t>内外双层密封的同时失效会导致工艺介质相当大的泄漏。为对密封失效做出快速反应，对阻隔介质进行压力检测可用于判别密封是否失效。</w:t>
      </w:r>
    </w:p>
    <w:p w14:paraId="53D082CF">
      <w:pPr>
        <w:rPr>
          <w:rFonts w:hint="eastAsia"/>
          <w:color w:val="auto"/>
          <w:highlight w:val="none"/>
          <w:u w:val="none"/>
        </w:rPr>
      </w:pPr>
      <w:r>
        <w:rPr>
          <w:rFonts w:hint="eastAsia"/>
          <w:color w:val="auto"/>
          <w:highlight w:val="none"/>
          <w:u w:val="none"/>
        </w:rPr>
        <w:t>无泄漏型泵：此泵适用于输送高危、高毒和昂贵介质，或不得产生任何泄漏的场合。该泵操作得当时，工艺介质不会逸散到大气，不发生泄漏，控制效率为</w:t>
      </w:r>
      <w:r>
        <w:rPr>
          <w:color w:val="auto"/>
          <w:highlight w:val="none"/>
          <w:u w:val="none"/>
        </w:rPr>
        <w:t>100%。但如果发生灾难性的失效，将会导致大量泄漏。</w:t>
      </w:r>
    </w:p>
    <w:p w14:paraId="013729FA">
      <w:pPr>
        <w:rPr>
          <w:rFonts w:hint="eastAsia"/>
          <w:color w:val="auto"/>
          <w:highlight w:val="none"/>
          <w:u w:val="none"/>
        </w:rPr>
      </w:pPr>
      <w:r>
        <w:rPr>
          <w:color w:val="auto"/>
          <w:highlight w:val="none"/>
          <w:u w:val="none"/>
        </w:rPr>
        <w:t>3）压缩机</w:t>
      </w:r>
    </w:p>
    <w:p w14:paraId="3C520914">
      <w:pPr>
        <w:rPr>
          <w:rFonts w:hint="eastAsia"/>
          <w:color w:val="auto"/>
          <w:highlight w:val="none"/>
          <w:u w:val="none"/>
        </w:rPr>
      </w:pPr>
      <w:r>
        <w:rPr>
          <w:rFonts w:hint="eastAsia"/>
          <w:color w:val="auto"/>
          <w:highlight w:val="none"/>
          <w:u w:val="none"/>
        </w:rPr>
        <w:t>压缩机可通过收集和控制从密封处的泄漏气体或提高密封性能来减少泄漏。</w:t>
      </w:r>
    </w:p>
    <w:p w14:paraId="32331305">
      <w:pPr>
        <w:rPr>
          <w:rFonts w:hint="eastAsia"/>
          <w:color w:val="auto"/>
          <w:highlight w:val="none"/>
          <w:u w:val="none"/>
        </w:rPr>
      </w:pPr>
      <w:r>
        <w:rPr>
          <w:color w:val="auto"/>
          <w:highlight w:val="none"/>
          <w:u w:val="none"/>
        </w:rPr>
        <w:t>4）阀类</w:t>
      </w:r>
    </w:p>
    <w:p w14:paraId="6C6D6215">
      <w:pPr>
        <w:rPr>
          <w:rFonts w:hint="eastAsia"/>
          <w:color w:val="auto"/>
          <w:highlight w:val="none"/>
          <w:u w:val="none"/>
        </w:rPr>
      </w:pPr>
      <w:r>
        <w:rPr>
          <w:rFonts w:hint="eastAsia"/>
          <w:color w:val="auto"/>
          <w:highlight w:val="none"/>
          <w:u w:val="none"/>
        </w:rPr>
        <w:t>如果工艺介质与阀杆隔离，就可以消除工艺阀门泄漏。本项目采取无泄漏型阀门，</w:t>
      </w:r>
      <w:r>
        <w:rPr>
          <w:color w:val="auto"/>
          <w:highlight w:val="none"/>
          <w:u w:val="none"/>
        </w:rPr>
        <w:t>使泄漏控制率为100%。</w:t>
      </w:r>
    </w:p>
    <w:p w14:paraId="3B58B378">
      <w:pPr>
        <w:rPr>
          <w:rFonts w:hint="eastAsia"/>
          <w:color w:val="auto"/>
          <w:highlight w:val="none"/>
          <w:u w:val="none"/>
        </w:rPr>
      </w:pPr>
      <w:r>
        <w:rPr>
          <w:color w:val="auto"/>
          <w:highlight w:val="none"/>
          <w:u w:val="none"/>
        </w:rPr>
        <w:t>5）开口管线</w:t>
      </w:r>
    </w:p>
    <w:p w14:paraId="54E9D58A">
      <w:pPr>
        <w:rPr>
          <w:rFonts w:hint="eastAsia"/>
          <w:color w:val="auto"/>
          <w:highlight w:val="none"/>
          <w:u w:val="none"/>
        </w:rPr>
      </w:pPr>
      <w:r>
        <w:rPr>
          <w:rFonts w:hint="eastAsia"/>
          <w:color w:val="auto"/>
          <w:highlight w:val="none"/>
          <w:u w:val="none"/>
        </w:rPr>
        <w:t>开口管线泄漏出的气体可通过在开口端正确安装管帽、管堵或二次阀进行控制。如果安装了二次阀，当用阀门对阀门间的介质进行捕集时，上游阀门应先行关闭。该措施的控制效率为</w:t>
      </w:r>
      <w:r>
        <w:rPr>
          <w:color w:val="auto"/>
          <w:highlight w:val="none"/>
          <w:u w:val="none"/>
        </w:rPr>
        <w:t>100%。</w:t>
      </w:r>
    </w:p>
    <w:p w14:paraId="29B1EBE5">
      <w:pPr>
        <w:rPr>
          <w:rFonts w:hint="eastAsia"/>
          <w:color w:val="auto"/>
          <w:highlight w:val="none"/>
          <w:u w:val="none"/>
        </w:rPr>
      </w:pPr>
      <w:r>
        <w:rPr>
          <w:rFonts w:hint="eastAsia"/>
          <w:color w:val="auto"/>
          <w:highlight w:val="none"/>
          <w:u w:val="none"/>
        </w:rPr>
        <w:t>④加强管理，制定设备定期检修、维护，建立巡视制度等。加强操作人员的岗位操作技能培训，提高操作人员的操作技能，避免因人为操作失误引起的废气泄漏、逃逸事故。</w:t>
      </w:r>
    </w:p>
    <w:p w14:paraId="29B38516">
      <w:pPr>
        <w:rPr>
          <w:rFonts w:hint="eastAsia"/>
          <w:color w:val="auto"/>
          <w:highlight w:val="none"/>
          <w:u w:val="none"/>
        </w:rPr>
      </w:pPr>
      <w:r>
        <w:rPr>
          <w:rFonts w:hint="eastAsia"/>
          <w:color w:val="auto"/>
          <w:highlight w:val="none"/>
          <w:u w:val="none"/>
        </w:rPr>
        <w:t>⑤强化废水废液废渣系统逸散废气治理。废水废液废渣收集、储存、处理处置过程中，应对逸散</w:t>
      </w:r>
      <w:r>
        <w:rPr>
          <w:color w:val="auto"/>
          <w:highlight w:val="none"/>
          <w:u w:val="none"/>
        </w:rPr>
        <w:t>VOCs和产生异味的主要环节采取有效的密闭与收集措施，确保废气经收集处理后达到标准要求，禁止稀释排放。</w:t>
      </w:r>
    </w:p>
    <w:p w14:paraId="67056F1D">
      <w:pPr>
        <w:rPr>
          <w:rFonts w:hint="eastAsia"/>
          <w:color w:val="auto"/>
          <w:highlight w:val="none"/>
          <w:u w:val="none"/>
        </w:rPr>
      </w:pPr>
      <w:r>
        <w:rPr>
          <w:rFonts w:hint="eastAsia"/>
          <w:color w:val="auto"/>
          <w:highlight w:val="none"/>
          <w:u w:val="none"/>
        </w:rPr>
        <w:t>（</w:t>
      </w:r>
      <w:r>
        <w:rPr>
          <w:color w:val="auto"/>
          <w:highlight w:val="none"/>
          <w:u w:val="none"/>
        </w:rPr>
        <w:t>2）储罐区减少无组织排放控制措施</w:t>
      </w:r>
    </w:p>
    <w:p w14:paraId="5684885F">
      <w:pPr>
        <w:rPr>
          <w:rFonts w:hint="eastAsia"/>
          <w:color w:val="auto"/>
          <w:highlight w:val="none"/>
          <w:u w:val="none"/>
        </w:rPr>
      </w:pPr>
      <w:r>
        <w:rPr>
          <w:rFonts w:hint="eastAsia"/>
          <w:color w:val="auto"/>
          <w:highlight w:val="none"/>
          <w:u w:val="none"/>
        </w:rPr>
        <w:t>项目储罐区罐顶设置氮封处理。</w:t>
      </w:r>
      <w:r>
        <w:rPr>
          <w:color w:val="auto"/>
          <w:highlight w:val="none"/>
          <w:u w:val="none"/>
        </w:rPr>
        <w:t>ODCB储罐呼吸废气收集后采用两级活性炭吸附处理，净化尾气由一根15m高排气筒排放。ODCB储罐呼吸废气主要成分为氮气，含有少量挥发性有机物，浓度较低，采用“二级活性炭吸附”的方法处理，并在活性炭吸附塔出入口设置压力表，通过监测压差判定是否吸附饱和，定期更换活性炭，保障吸附塔的吸附能力。</w:t>
      </w:r>
      <w:r>
        <w:rPr>
          <w:rFonts w:hint="eastAsia"/>
          <w:color w:val="auto"/>
          <w:highlight w:val="none"/>
          <w:u w:val="none"/>
        </w:rPr>
        <w:t>根据</w:t>
      </w:r>
      <w:r>
        <w:rPr>
          <w:rFonts w:hint="eastAsia"/>
          <w:color w:val="auto"/>
          <w:highlight w:val="none"/>
          <w:u w:val="none"/>
          <w:lang w:val="en-US"/>
        </w:rPr>
        <w:t>现有</w:t>
      </w:r>
      <w:r>
        <w:rPr>
          <w:rFonts w:hint="eastAsia"/>
          <w:color w:val="auto"/>
          <w:highlight w:val="none"/>
          <w:u w:val="none"/>
        </w:rPr>
        <w:t>TDI一期工程的验收监测数据，</w:t>
      </w:r>
      <w:r>
        <w:rPr>
          <w:color w:val="auto"/>
          <w:highlight w:val="none"/>
          <w:u w:val="none"/>
        </w:rPr>
        <w:t>采用“二级活性炭吸附”</w:t>
      </w:r>
      <w:r>
        <w:rPr>
          <w:rFonts w:hint="eastAsia"/>
          <w:color w:val="auto"/>
          <w:highlight w:val="none"/>
          <w:u w:val="none"/>
        </w:rPr>
        <w:t>对ODCB</w:t>
      </w:r>
      <w:r>
        <w:rPr>
          <w:color w:val="auto"/>
          <w:highlight w:val="none"/>
          <w:u w:val="none"/>
        </w:rPr>
        <w:t>储罐呼吸废气</w:t>
      </w:r>
      <w:r>
        <w:rPr>
          <w:rFonts w:hint="eastAsia"/>
          <w:color w:val="auto"/>
          <w:highlight w:val="none"/>
          <w:u w:val="none"/>
        </w:rPr>
        <w:t>中的</w:t>
      </w:r>
      <w:r>
        <w:rPr>
          <w:color w:val="auto"/>
          <w:highlight w:val="none"/>
          <w:u w:val="none"/>
        </w:rPr>
        <w:t>有机废气</w:t>
      </w:r>
      <w:r>
        <w:rPr>
          <w:rFonts w:hint="eastAsia"/>
          <w:color w:val="auto"/>
          <w:highlight w:val="none"/>
          <w:u w:val="none"/>
        </w:rPr>
        <w:t>的去除效率可达97%以上，本</w:t>
      </w:r>
      <w:r>
        <w:rPr>
          <w:rFonts w:hint="eastAsia"/>
          <w:color w:val="auto"/>
          <w:highlight w:val="none"/>
          <w:u w:val="none"/>
          <w:lang w:val="en-US"/>
        </w:rPr>
        <w:t>次技改扩能不改变废气成分，因此</w:t>
      </w:r>
      <w:r>
        <w:rPr>
          <w:rFonts w:hint="eastAsia"/>
          <w:color w:val="auto"/>
          <w:highlight w:val="none"/>
          <w:u w:val="none"/>
        </w:rPr>
        <w:t>项目</w:t>
      </w:r>
      <w:r>
        <w:rPr>
          <w:color w:val="auto"/>
          <w:highlight w:val="none"/>
          <w:u w:val="none"/>
        </w:rPr>
        <w:t>ODCB储罐呼吸废气</w:t>
      </w:r>
      <w:r>
        <w:rPr>
          <w:rFonts w:hint="eastAsia"/>
          <w:color w:val="auto"/>
          <w:highlight w:val="none"/>
          <w:u w:val="none"/>
        </w:rPr>
        <w:t>中的</w:t>
      </w:r>
      <w:r>
        <w:rPr>
          <w:color w:val="auto"/>
          <w:highlight w:val="none"/>
          <w:u w:val="none"/>
        </w:rPr>
        <w:t>有机废气经过二级活性炭吸附后，</w:t>
      </w:r>
      <w:r>
        <w:rPr>
          <w:rFonts w:hint="eastAsia"/>
          <w:color w:val="auto"/>
          <w:highlight w:val="none"/>
          <w:u w:val="none"/>
        </w:rPr>
        <w:t>其去除效率可达9</w:t>
      </w:r>
      <w:r>
        <w:rPr>
          <w:color w:val="auto"/>
          <w:highlight w:val="none"/>
          <w:u w:val="none"/>
        </w:rPr>
        <w:t>0%</w:t>
      </w:r>
      <w:r>
        <w:rPr>
          <w:rFonts w:hint="eastAsia"/>
          <w:color w:val="auto"/>
          <w:highlight w:val="none"/>
          <w:u w:val="none"/>
        </w:rPr>
        <w:t>，</w:t>
      </w:r>
      <w:r>
        <w:rPr>
          <w:color w:val="auto"/>
          <w:highlight w:val="none"/>
          <w:u w:val="none"/>
        </w:rPr>
        <w:t>可以满足排放标准的要求</w:t>
      </w:r>
      <w:r>
        <w:rPr>
          <w:rFonts w:hint="eastAsia"/>
          <w:color w:val="auto"/>
          <w:highlight w:val="none"/>
          <w:u w:val="none"/>
        </w:rPr>
        <w:t>，且吸附措施为《挥发性有机物治理实用手册（第二版）》（</w:t>
      </w:r>
      <w:r>
        <w:rPr>
          <w:color w:val="auto"/>
          <w:highlight w:val="none"/>
          <w:u w:val="none"/>
        </w:rPr>
        <w:t>生态环境部大气环境司、生态环境部环境规划院</w:t>
      </w:r>
      <w:r>
        <w:rPr>
          <w:rFonts w:hint="eastAsia"/>
          <w:color w:val="auto"/>
          <w:highlight w:val="none"/>
          <w:u w:val="none"/>
        </w:rPr>
        <w:t>编著）中推荐的有机液体储罐末端治理措施</w:t>
      </w:r>
      <w:r>
        <w:rPr>
          <w:color w:val="auto"/>
          <w:highlight w:val="none"/>
          <w:u w:val="none"/>
        </w:rPr>
        <w:t>。TDI不合格产品储罐呼吸废气，收集并入光化尾气，经“</w:t>
      </w:r>
      <w:r>
        <w:rPr>
          <w:rFonts w:hint="eastAsia"/>
          <w:color w:val="auto"/>
          <w:highlight w:val="none"/>
          <w:u w:val="none"/>
        </w:rPr>
        <w:t>酸分解+碱分解</w:t>
      </w:r>
      <w:r>
        <w:rPr>
          <w:color w:val="auto"/>
          <w:highlight w:val="none"/>
          <w:u w:val="none"/>
        </w:rPr>
        <w:t>”处理后去能量回收装置焚烧处置；粗TDA中间储罐、OTDA储罐呼吸废气，收集并入精制尾气，经“冷凝+水洗涤+活性炭吸附”后通过厂内一根3</w:t>
      </w:r>
      <w:r>
        <w:rPr>
          <w:rFonts w:hint="eastAsia"/>
          <w:color w:val="auto"/>
          <w:highlight w:val="none"/>
          <w:u w:val="none"/>
          <w:lang w:val="en-US"/>
        </w:rPr>
        <w:t>4</w:t>
      </w:r>
      <w:r>
        <w:rPr>
          <w:color w:val="auto"/>
          <w:highlight w:val="none"/>
          <w:u w:val="none"/>
        </w:rPr>
        <w:t>m高的排气筒排放；MNT储罐、浓硝酸储罐呼吸废气，收集后并入酸性废气，经低温加压水吸收预处理后，去能量回收装置焚烧处置；DNT储罐罐体内采用水封措施，罐体中DNT的凝固点在57℃-62℃，储罐存储温度在60℃-80℃，较难挥发出有机物。本项目有机物料储存罐体形式见</w:t>
      </w:r>
      <w:r>
        <w:rPr>
          <w:color w:val="auto"/>
          <w:highlight w:val="none"/>
          <w:u w:val="none"/>
        </w:rPr>
        <w:fldChar w:fldCharType="begin"/>
      </w:r>
      <w:r>
        <w:rPr>
          <w:color w:val="auto"/>
          <w:highlight w:val="none"/>
          <w:u w:val="none"/>
        </w:rPr>
        <w:instrText xml:space="preserve"> REF _Ref147090167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10.2</w:t>
      </w:r>
      <w:r>
        <w:rPr>
          <w:color w:val="auto"/>
          <w:highlight w:val="none"/>
          <w:u w:val="none"/>
        </w:rPr>
        <w:fldChar w:fldCharType="end"/>
      </w:r>
      <w:r>
        <w:rPr>
          <w:color w:val="auto"/>
          <w:highlight w:val="none"/>
          <w:u w:val="none"/>
        </w:rPr>
        <w:noBreakHyphen/>
      </w:r>
      <w:r>
        <w:rPr>
          <w:rFonts w:hint="eastAsia"/>
          <w:color w:val="auto"/>
          <w:highlight w:val="none"/>
          <w:u w:val="none"/>
        </w:rPr>
        <w:t>10</w:t>
      </w:r>
      <w:r>
        <w:rPr>
          <w:color w:val="auto"/>
          <w:highlight w:val="none"/>
          <w:u w:val="none"/>
        </w:rPr>
        <w:fldChar w:fldCharType="end"/>
      </w:r>
      <w:r>
        <w:rPr>
          <w:color w:val="auto"/>
          <w:highlight w:val="none"/>
          <w:u w:val="none"/>
        </w:rPr>
        <w:t>，可以满足《挥发性有机物无组织排放控制标准》（GB37822-2019）及《石油化</w:t>
      </w:r>
      <w:r>
        <w:rPr>
          <w:rFonts w:hint="eastAsia"/>
          <w:color w:val="auto"/>
          <w:highlight w:val="none"/>
          <w:u w:val="none"/>
        </w:rPr>
        <w:t>学工业污染物排放标准》</w:t>
      </w:r>
      <w:r>
        <w:rPr>
          <w:color w:val="auto"/>
          <w:highlight w:val="none"/>
          <w:u w:val="none"/>
        </w:rPr>
        <w:t>（GB31571-2015）</w:t>
      </w:r>
      <w:r>
        <w:rPr>
          <w:rFonts w:hint="eastAsia"/>
          <w:color w:val="auto"/>
          <w:highlight w:val="none"/>
          <w:u w:val="none"/>
          <w:lang w:val="en-US"/>
        </w:rPr>
        <w:t>及其修改单</w:t>
      </w:r>
      <w:r>
        <w:rPr>
          <w:color w:val="auto"/>
          <w:highlight w:val="none"/>
          <w:u w:val="none"/>
        </w:rPr>
        <w:t>对挥发性有机液体储罐的控制要求，本项目采用的罐体形式是合理的。</w:t>
      </w:r>
    </w:p>
    <w:p w14:paraId="2BF63734">
      <w:pPr>
        <w:rPr>
          <w:rFonts w:hint="eastAsia"/>
          <w:color w:val="auto"/>
          <w:highlight w:val="none"/>
          <w:u w:val="none"/>
        </w:rPr>
      </w:pPr>
      <w:r>
        <w:rPr>
          <w:rFonts w:hint="eastAsia"/>
          <w:color w:val="auto"/>
          <w:highlight w:val="none"/>
          <w:u w:val="none"/>
        </w:rPr>
        <w:t>（</w:t>
      </w:r>
      <w:r>
        <w:rPr>
          <w:color w:val="auto"/>
          <w:highlight w:val="none"/>
          <w:u w:val="none"/>
        </w:rPr>
        <w:t>3）减少挥发性有机液体装载逸散控制措施</w:t>
      </w:r>
    </w:p>
    <w:p w14:paraId="1FB09A56">
      <w:pPr>
        <w:rPr>
          <w:rFonts w:hint="eastAsia"/>
          <w:color w:val="auto"/>
          <w:highlight w:val="none"/>
          <w:u w:val="none"/>
        </w:rPr>
      </w:pPr>
      <w:r>
        <w:rPr>
          <w:rFonts w:hint="eastAsia"/>
          <w:color w:val="auto"/>
          <w:highlight w:val="none"/>
          <w:u w:val="none"/>
        </w:rPr>
        <w:t>挥发性有机液体装载时采取全密闭、底部装载方式。</w:t>
      </w:r>
    </w:p>
    <w:p w14:paraId="551DA3EA">
      <w:pPr>
        <w:rPr>
          <w:rFonts w:hint="eastAsia"/>
          <w:color w:val="auto"/>
          <w:highlight w:val="none"/>
          <w:u w:val="none"/>
        </w:rPr>
      </w:pPr>
      <w:r>
        <w:rPr>
          <w:rFonts w:hint="eastAsia"/>
          <w:color w:val="auto"/>
          <w:highlight w:val="none"/>
          <w:u w:val="none"/>
        </w:rPr>
        <w:t>（</w:t>
      </w:r>
      <w:r>
        <w:rPr>
          <w:color w:val="auto"/>
          <w:highlight w:val="none"/>
          <w:u w:val="none"/>
        </w:rPr>
        <w:t>4）采样过程中减少VOCs无组织排放控制措施</w:t>
      </w:r>
    </w:p>
    <w:p w14:paraId="6D263D91">
      <w:pPr>
        <w:rPr>
          <w:rFonts w:hint="eastAsia"/>
          <w:color w:val="auto"/>
          <w:highlight w:val="none"/>
          <w:u w:val="none"/>
        </w:rPr>
      </w:pPr>
      <w:r>
        <w:rPr>
          <w:rFonts w:hint="eastAsia"/>
          <w:color w:val="auto"/>
          <w:highlight w:val="none"/>
          <w:u w:val="none"/>
        </w:rPr>
        <w:t>项目采样过程为密闭采样，具体过程如下：光化单元采样位置设置密闭取样器，取样器内部连接负压抽吸管线，有毒气相送至碱洗塔分解破坏；氢化工序采样位置设有两种取样形式，针对液体采样，设置了密闭取样器，通过负压抽吸的方式将采样尾气集中处理。针对气体采样，采用钢瓶取样的方式不会产生废气，通过在气相管线上设置循环管线，将所有的气体均排至处理系统，故采样过程中不会产生</w:t>
      </w:r>
      <w:r>
        <w:rPr>
          <w:color w:val="auto"/>
          <w:highlight w:val="none"/>
          <w:u w:val="none"/>
        </w:rPr>
        <w:t>VOCs无组织排放；硝化工序所使用的物料几乎没有挥发性，在采样位置设置了密闭取样器，采样过程中不会产生VOCs无组织排放。</w:t>
      </w:r>
    </w:p>
    <w:p w14:paraId="6F14E3A7">
      <w:pPr>
        <w:pStyle w:val="7"/>
        <w:spacing w:before="156"/>
        <w:rPr>
          <w:color w:val="auto"/>
          <w:highlight w:val="none"/>
          <w:u w:val="none"/>
        </w:rPr>
      </w:pPr>
      <w:r>
        <w:rPr>
          <w:color w:val="auto"/>
          <w:highlight w:val="none"/>
          <w:u w:val="none"/>
        </w:rPr>
        <w:t>挥发性有机物无组织排放控制措施符合性分析</w:t>
      </w:r>
    </w:p>
    <w:p w14:paraId="0F6E60CD">
      <w:pPr>
        <w:rPr>
          <w:rFonts w:hint="eastAsia"/>
          <w:color w:val="auto"/>
          <w:highlight w:val="none"/>
          <w:u w:val="none"/>
        </w:rPr>
      </w:pPr>
      <w:r>
        <w:rPr>
          <w:rFonts w:hint="eastAsia"/>
          <w:color w:val="auto"/>
          <w:highlight w:val="none"/>
          <w:u w:val="none"/>
        </w:rPr>
        <w:t>本次</w:t>
      </w:r>
      <w:r>
        <w:rPr>
          <w:rFonts w:hint="eastAsia"/>
          <w:color w:val="auto"/>
          <w:highlight w:val="none"/>
          <w:u w:val="none"/>
          <w:lang w:val="en-US"/>
        </w:rPr>
        <w:t>技改扩能</w:t>
      </w:r>
      <w:r>
        <w:rPr>
          <w:rFonts w:hint="eastAsia"/>
          <w:color w:val="auto"/>
          <w:highlight w:val="none"/>
          <w:u w:val="none"/>
        </w:rPr>
        <w:t>工程无组织废气主要为挥发性有机废气，无组织挥发性有机废气控制措施执行《挥发性有机物无组织排放控制标准》（</w:t>
      </w:r>
      <w:r>
        <w:rPr>
          <w:color w:val="auto"/>
          <w:highlight w:val="none"/>
          <w:u w:val="none"/>
        </w:rPr>
        <w:t>GB37822-2019</w:t>
      </w:r>
      <w:r>
        <w:rPr>
          <w:rFonts w:hint="eastAsia"/>
          <w:color w:val="auto"/>
          <w:highlight w:val="none"/>
          <w:u w:val="none"/>
        </w:rPr>
        <w:t>）</w:t>
      </w:r>
      <w:r>
        <w:rPr>
          <w:color w:val="auto"/>
          <w:highlight w:val="none"/>
          <w:u w:val="none"/>
        </w:rPr>
        <w:t>，本次评价主要分析VOCs物料储存、物料转移和输送、工艺过程、设备与管线组件、敞开液面等各无组织废气产排节点采取的控制措施与</w:t>
      </w:r>
      <w:r>
        <w:rPr>
          <w:rFonts w:hint="eastAsia"/>
          <w:color w:val="auto"/>
          <w:highlight w:val="none"/>
          <w:u w:val="none"/>
        </w:rPr>
        <w:t>《挥发性有机物无组织排放控制标准》（</w:t>
      </w:r>
      <w:r>
        <w:rPr>
          <w:color w:val="auto"/>
          <w:highlight w:val="none"/>
          <w:u w:val="none"/>
        </w:rPr>
        <w:t>GB37822-2019</w:t>
      </w:r>
      <w:r>
        <w:rPr>
          <w:rFonts w:hint="eastAsia"/>
          <w:color w:val="auto"/>
          <w:highlight w:val="none"/>
          <w:u w:val="none"/>
        </w:rPr>
        <w:t>）</w:t>
      </w:r>
      <w:r>
        <w:rPr>
          <w:color w:val="auto"/>
          <w:highlight w:val="none"/>
          <w:u w:val="none"/>
        </w:rPr>
        <w:t>的符合性，具体见</w:t>
      </w:r>
      <w:r>
        <w:rPr>
          <w:color w:val="auto"/>
          <w:highlight w:val="none"/>
          <w:u w:val="none"/>
        </w:rPr>
        <w:fldChar w:fldCharType="begin"/>
      </w:r>
      <w:r>
        <w:rPr>
          <w:color w:val="auto"/>
          <w:highlight w:val="none"/>
          <w:u w:val="none"/>
        </w:rPr>
        <w:instrText xml:space="preserve"> REF _Ref147092735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10.2</w:t>
      </w:r>
      <w:r>
        <w:rPr>
          <w:color w:val="auto"/>
          <w:highlight w:val="none"/>
          <w:u w:val="none"/>
        </w:rPr>
        <w:noBreakHyphen/>
      </w:r>
      <w:r>
        <w:rPr>
          <w:color w:val="auto"/>
          <w:highlight w:val="none"/>
          <w:u w:val="none"/>
        </w:rPr>
        <w:t>11</w:t>
      </w:r>
      <w:r>
        <w:rPr>
          <w:color w:val="auto"/>
          <w:highlight w:val="none"/>
          <w:u w:val="none"/>
        </w:rPr>
        <w:fldChar w:fldCharType="end"/>
      </w:r>
      <w:r>
        <w:rPr>
          <w:color w:val="auto"/>
          <w:highlight w:val="none"/>
          <w:u w:val="none"/>
        </w:rPr>
        <w:t>。</w:t>
      </w:r>
    </w:p>
    <w:p w14:paraId="188457F1">
      <w:pPr>
        <w:rPr>
          <w:color w:val="auto"/>
          <w:highlight w:val="none"/>
          <w:u w:val="none"/>
        </w:rPr>
      </w:pPr>
      <w:r>
        <w:rPr>
          <w:color w:val="auto"/>
          <w:highlight w:val="none"/>
          <w:u w:val="none"/>
        </w:rPr>
        <w:t>根据</w:t>
      </w:r>
      <w:r>
        <w:rPr>
          <w:color w:val="auto"/>
          <w:highlight w:val="none"/>
          <w:u w:val="none"/>
        </w:rPr>
        <w:fldChar w:fldCharType="begin"/>
      </w:r>
      <w:r>
        <w:rPr>
          <w:color w:val="auto"/>
          <w:highlight w:val="none"/>
          <w:u w:val="none"/>
        </w:rPr>
        <w:instrText xml:space="preserve"> REF _Ref147092735 \h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10.2</w:t>
      </w:r>
      <w:r>
        <w:rPr>
          <w:color w:val="auto"/>
          <w:highlight w:val="none"/>
          <w:u w:val="none"/>
        </w:rPr>
        <w:noBreakHyphen/>
      </w:r>
      <w:r>
        <w:rPr>
          <w:color w:val="auto"/>
          <w:highlight w:val="none"/>
          <w:u w:val="none"/>
        </w:rPr>
        <w:t>11</w:t>
      </w:r>
      <w:r>
        <w:rPr>
          <w:color w:val="auto"/>
          <w:highlight w:val="none"/>
          <w:u w:val="none"/>
        </w:rPr>
        <w:fldChar w:fldCharType="end"/>
      </w:r>
      <w:r>
        <w:rPr>
          <w:color w:val="auto"/>
          <w:highlight w:val="none"/>
          <w:u w:val="none"/>
        </w:rPr>
        <w:t>可知，</w:t>
      </w:r>
      <w:r>
        <w:rPr>
          <w:rFonts w:hint="eastAsia"/>
          <w:color w:val="auto"/>
          <w:highlight w:val="none"/>
          <w:u w:val="none"/>
        </w:rPr>
        <w:t>本次</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rFonts w:hint="eastAsia"/>
          <w:color w:val="auto"/>
          <w:highlight w:val="none"/>
          <w:u w:val="none"/>
        </w:rPr>
        <w:t>项目</w:t>
      </w:r>
      <w:r>
        <w:rPr>
          <w:color w:val="auto"/>
          <w:highlight w:val="none"/>
          <w:u w:val="none"/>
        </w:rPr>
        <w:t>VOCs物料储存、转移和输送无组织排放控制措施，工艺过程、设备与管线组件VOCs泄漏控制措施，敞开液面VOCs无组织排放控制措施等均能满足《挥发性有</w:t>
      </w:r>
      <w:r>
        <w:rPr>
          <w:rFonts w:hint="eastAsia"/>
          <w:color w:val="auto"/>
          <w:highlight w:val="none"/>
          <w:u w:val="none"/>
        </w:rPr>
        <w:t>机物无组织排放控制标准》（</w:t>
      </w:r>
      <w:r>
        <w:rPr>
          <w:color w:val="auto"/>
          <w:highlight w:val="none"/>
          <w:u w:val="none"/>
        </w:rPr>
        <w:t>GB37822-2019</w:t>
      </w:r>
      <w:r>
        <w:rPr>
          <w:rFonts w:hint="eastAsia"/>
          <w:color w:val="auto"/>
          <w:highlight w:val="none"/>
          <w:u w:val="none"/>
        </w:rPr>
        <w:t>）</w:t>
      </w:r>
      <w:r>
        <w:rPr>
          <w:color w:val="auto"/>
          <w:highlight w:val="none"/>
          <w:u w:val="none"/>
        </w:rPr>
        <w:t>中的控制要求。</w:t>
      </w:r>
    </w:p>
    <w:p w14:paraId="1DB4BAAA">
      <w:pPr>
        <w:pStyle w:val="6"/>
        <w:spacing w:before="156" w:after="156"/>
        <w:rPr>
          <w:color w:val="auto"/>
          <w:highlight w:val="none"/>
          <w:u w:val="none"/>
        </w:rPr>
      </w:pPr>
      <w:bookmarkStart w:id="717" w:name="_Toc148375158"/>
      <w:bookmarkStart w:id="718" w:name="_Toc148374716"/>
      <w:r>
        <w:rPr>
          <w:color w:val="auto"/>
          <w:highlight w:val="none"/>
          <w:u w:val="none"/>
        </w:rPr>
        <w:t>废水污染防治措施及可行性分析</w:t>
      </w:r>
      <w:bookmarkEnd w:id="717"/>
      <w:bookmarkEnd w:id="718"/>
    </w:p>
    <w:p w14:paraId="3969C17B">
      <w:pPr>
        <w:pStyle w:val="7"/>
        <w:spacing w:before="156"/>
        <w:rPr>
          <w:color w:val="auto"/>
          <w:highlight w:val="none"/>
          <w:u w:val="none"/>
        </w:rPr>
      </w:pPr>
      <w:r>
        <w:rPr>
          <w:color w:val="auto"/>
          <w:highlight w:val="none"/>
          <w:u w:val="none"/>
        </w:rPr>
        <w:t>废水来源及组成</w:t>
      </w:r>
    </w:p>
    <w:p w14:paraId="29306E97">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w:t>
      </w:r>
      <w:r>
        <w:rPr>
          <w:rFonts w:hint="eastAsia"/>
          <w:color w:val="auto"/>
          <w:highlight w:val="none"/>
          <w:u w:val="none"/>
        </w:rPr>
        <w:t>项目运营期间</w:t>
      </w:r>
      <w:r>
        <w:rPr>
          <w:rFonts w:hint="eastAsia"/>
          <w:color w:val="auto"/>
          <w:highlight w:val="none"/>
          <w:u w:val="none"/>
          <w:lang w:val="en-US"/>
        </w:rPr>
        <w:t>新增</w:t>
      </w:r>
      <w:r>
        <w:rPr>
          <w:rFonts w:hint="eastAsia"/>
          <w:color w:val="auto"/>
          <w:highlight w:val="none"/>
          <w:u w:val="none"/>
        </w:rPr>
        <w:t>的废水主要</w:t>
      </w:r>
      <w:r>
        <w:rPr>
          <w:rFonts w:hint="eastAsia"/>
          <w:color w:val="auto"/>
          <w:highlight w:val="none"/>
          <w:u w:val="none"/>
          <w:lang w:val="en-US"/>
        </w:rPr>
        <w:t>为</w:t>
      </w:r>
      <w:r>
        <w:rPr>
          <w:rFonts w:hint="eastAsia"/>
          <w:color w:val="auto"/>
          <w:highlight w:val="none"/>
          <w:u w:val="none"/>
        </w:rPr>
        <w:t>生产废水，生产废水包括硝化单元硝硫浓缩酸性废水（</w:t>
      </w:r>
      <w:r>
        <w:rPr>
          <w:color w:val="auto"/>
          <w:highlight w:val="none"/>
          <w:u w:val="none"/>
        </w:rPr>
        <w:t>W1-1）、废酸浓缩酸性废水（W1-2）、红水废水（W1-3）、汽提酸性废水（W1-4）、黄水废水（W1-5），氢化单元</w:t>
      </w:r>
      <w:r>
        <w:rPr>
          <w:rFonts w:hint="eastAsia"/>
          <w:color w:val="auto"/>
          <w:highlight w:val="none"/>
          <w:u w:val="none"/>
        </w:rPr>
        <w:t>TDA汽提废水（W</w:t>
      </w:r>
      <w:r>
        <w:rPr>
          <w:color w:val="auto"/>
          <w:highlight w:val="none"/>
          <w:u w:val="none"/>
        </w:rPr>
        <w:t>2-1</w:t>
      </w:r>
      <w:r>
        <w:rPr>
          <w:rFonts w:hint="eastAsia"/>
          <w:color w:val="auto"/>
          <w:highlight w:val="none"/>
          <w:u w:val="none"/>
        </w:rPr>
        <w:t>）</w:t>
      </w:r>
      <w:r>
        <w:rPr>
          <w:color w:val="auto"/>
          <w:highlight w:val="none"/>
          <w:u w:val="none"/>
        </w:rPr>
        <w:t>和光化单元光化中和废水（W3-1）。</w:t>
      </w:r>
    </w:p>
    <w:p w14:paraId="420F67B4">
      <w:pPr>
        <w:rPr>
          <w:rFonts w:hint="eastAsia"/>
          <w:color w:val="auto"/>
          <w:highlight w:val="none"/>
          <w:u w:val="none"/>
        </w:rPr>
      </w:pPr>
      <w:r>
        <w:rPr>
          <w:rFonts w:hint="eastAsia"/>
          <w:color w:val="auto"/>
          <w:highlight w:val="none"/>
          <w:u w:val="none"/>
        </w:rPr>
        <w:t>本项目</w:t>
      </w:r>
      <w:r>
        <w:rPr>
          <w:color w:val="auto"/>
          <w:highlight w:val="none"/>
          <w:u w:val="none"/>
        </w:rPr>
        <w:t>按照清污分流的原则，根据污水性质，将排水系统划分为生活污水排水系统、生产污水排水系统、地面冲洗及初期雨水排水系统、雨水排水系统和事故污水收集系</w:t>
      </w:r>
      <w:r>
        <w:rPr>
          <w:rFonts w:hint="eastAsia"/>
          <w:color w:val="auto"/>
          <w:highlight w:val="none"/>
          <w:u w:val="none"/>
        </w:rPr>
        <w:t>统。</w:t>
      </w:r>
    </w:p>
    <w:p w14:paraId="640A3DDA">
      <w:pPr>
        <w:pStyle w:val="7"/>
        <w:spacing w:before="156"/>
        <w:rPr>
          <w:color w:val="auto"/>
          <w:highlight w:val="none"/>
          <w:u w:val="none"/>
        </w:rPr>
      </w:pPr>
      <w:r>
        <w:rPr>
          <w:color w:val="auto"/>
          <w:highlight w:val="none"/>
          <w:u w:val="none"/>
        </w:rPr>
        <w:t>废水分类处置方案</w:t>
      </w:r>
    </w:p>
    <w:p w14:paraId="77F3CFC0">
      <w:pPr>
        <w:rPr>
          <w:rFonts w:hint="eastAsia"/>
          <w:color w:val="auto"/>
          <w:highlight w:val="none"/>
          <w:u w:val="none"/>
        </w:rPr>
      </w:pPr>
      <w:r>
        <w:rPr>
          <w:rFonts w:hint="eastAsia"/>
          <w:color w:val="auto"/>
          <w:highlight w:val="none"/>
          <w:u w:val="none"/>
        </w:rPr>
        <w:t>本</w:t>
      </w:r>
      <w:r>
        <w:rPr>
          <w:rFonts w:hint="eastAsia"/>
          <w:color w:val="auto"/>
          <w:highlight w:val="none"/>
          <w:u w:val="none"/>
          <w:lang w:val="en-US"/>
        </w:rPr>
        <w:t>次技改扩能依托现有废水管道，</w:t>
      </w:r>
      <w:r>
        <w:rPr>
          <w:rFonts w:hint="eastAsia"/>
          <w:color w:val="auto"/>
          <w:highlight w:val="none"/>
          <w:u w:val="none"/>
        </w:rPr>
        <w:t>废水管道均采用明管敷设，硝硫浓缩酸性废水、废酸浓缩酸性废水、</w:t>
      </w:r>
      <w:r>
        <w:rPr>
          <w:color w:val="auto"/>
          <w:highlight w:val="none"/>
          <w:u w:val="none"/>
        </w:rPr>
        <w:t>汽提酸性废水</w:t>
      </w:r>
      <w:r>
        <w:rPr>
          <w:rFonts w:hint="eastAsia"/>
          <w:color w:val="auto"/>
          <w:highlight w:val="none"/>
          <w:u w:val="none"/>
        </w:rPr>
        <w:t>、</w:t>
      </w:r>
      <w:r>
        <w:rPr>
          <w:color w:val="auto"/>
          <w:highlight w:val="none"/>
          <w:u w:val="none"/>
        </w:rPr>
        <w:t>TDA</w:t>
      </w:r>
      <w:r>
        <w:rPr>
          <w:rFonts w:hint="eastAsia"/>
          <w:color w:val="auto"/>
          <w:highlight w:val="none"/>
          <w:u w:val="none"/>
        </w:rPr>
        <w:t>废水、光化中和废水、设备清洗废水</w:t>
      </w:r>
      <w:r>
        <w:rPr>
          <w:color w:val="auto"/>
          <w:highlight w:val="none"/>
          <w:u w:val="none"/>
        </w:rPr>
        <w:t>通过明管输送至</w:t>
      </w:r>
      <w:r>
        <w:rPr>
          <w:rFonts w:hint="eastAsia"/>
          <w:color w:val="auto"/>
          <w:highlight w:val="none"/>
          <w:u w:val="none"/>
        </w:rPr>
        <w:t>万华环保科技公司</w:t>
      </w:r>
      <w:r>
        <w:rPr>
          <w:color w:val="auto"/>
          <w:highlight w:val="none"/>
          <w:u w:val="none"/>
        </w:rPr>
        <w:t>污水处理站综合废水处理系统处理，处理达标后通过</w:t>
      </w:r>
      <w:r>
        <w:rPr>
          <w:rFonts w:hint="eastAsia"/>
          <w:color w:val="auto"/>
          <w:highlight w:val="none"/>
          <w:u w:val="none"/>
          <w:lang w:eastAsia="zh-CN"/>
        </w:rPr>
        <w:t>福州江阴港城经济区</w:t>
      </w:r>
      <w:r>
        <w:rPr>
          <w:color w:val="auto"/>
          <w:highlight w:val="none"/>
          <w:u w:val="none"/>
        </w:rPr>
        <w:t>污水处理厂已建排海管道排海；</w:t>
      </w:r>
      <w:r>
        <w:rPr>
          <w:rFonts w:hint="eastAsia"/>
          <w:color w:val="auto"/>
          <w:highlight w:val="none"/>
          <w:u w:val="none"/>
        </w:rPr>
        <w:t>红水废水通过明管</w:t>
      </w:r>
      <w:r>
        <w:rPr>
          <w:color w:val="auto"/>
          <w:highlight w:val="none"/>
          <w:u w:val="none"/>
        </w:rPr>
        <w:t>输送至</w:t>
      </w:r>
      <w:r>
        <w:rPr>
          <w:rFonts w:hint="eastAsia"/>
          <w:color w:val="auto"/>
          <w:highlight w:val="none"/>
          <w:u w:val="none"/>
        </w:rPr>
        <w:t>万华福建公司气体扩能改造项目作为水煤浆气化原料（当气体项目进行检修无法接收废水时，红水废水、TDA汽提高浓度废水临时进入万华环保科技公司综合废水处理系统处理进行处理）；</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DNT反应工序循环使用不外排。地面冲洗水</w:t>
      </w:r>
      <w:r>
        <w:rPr>
          <w:rFonts w:hint="eastAsia"/>
          <w:color w:val="auto"/>
          <w:highlight w:val="none"/>
          <w:u w:val="none"/>
        </w:rPr>
        <w:t>、初期雨水及生活污水送至万华环保科技公司</w:t>
      </w:r>
      <w:r>
        <w:rPr>
          <w:color w:val="auto"/>
          <w:highlight w:val="none"/>
          <w:u w:val="none"/>
        </w:rPr>
        <w:t>污水处理站低浓度废水处理系统处理</w:t>
      </w:r>
      <w:r>
        <w:rPr>
          <w:rFonts w:hint="eastAsia"/>
          <w:color w:val="auto"/>
          <w:highlight w:val="none"/>
          <w:u w:val="none"/>
          <w:lang w:val="en-US" w:eastAsia="zh-CN"/>
        </w:rPr>
        <w:t>后</w:t>
      </w:r>
      <w:r>
        <w:rPr>
          <w:color w:val="auto"/>
          <w:highlight w:val="none"/>
          <w:u w:val="none"/>
        </w:rPr>
        <w:t>，</w:t>
      </w:r>
      <w:r>
        <w:rPr>
          <w:rFonts w:hint="eastAsia"/>
          <w:color w:val="auto"/>
          <w:highlight w:val="none"/>
          <w:u w:val="none"/>
          <w:lang w:val="en-US" w:eastAsia="zh-CN"/>
        </w:rPr>
        <w:t>尾水</w:t>
      </w:r>
      <w:r>
        <w:rPr>
          <w:rStyle w:val="161"/>
          <w:rFonts w:hint="eastAsia"/>
          <w:color w:val="auto"/>
          <w:sz w:val="24"/>
          <w:szCs w:val="24"/>
          <w:highlight w:val="none"/>
          <w:u w:val="none"/>
        </w:rPr>
        <w:t>进入编组站废水处理系统进一步处理后，</w:t>
      </w:r>
      <w:r>
        <w:rPr>
          <w:rFonts w:hint="eastAsia"/>
          <w:color w:val="auto"/>
          <w:highlight w:val="none"/>
          <w:u w:val="none"/>
        </w:rPr>
        <w:t>回用于万华福建产业园内各循环冷却水系统补充水，编组站废水处理系统产生的反渗透浓水经处理达标后</w:t>
      </w:r>
      <w:r>
        <w:rPr>
          <w:color w:val="auto"/>
          <w:highlight w:val="none"/>
          <w:u w:val="none"/>
        </w:rPr>
        <w:t>通过福州江阴港城经济区污水处理厂已建排海管道排海。</w:t>
      </w:r>
    </w:p>
    <w:p w14:paraId="5F75E6BE">
      <w:pPr>
        <w:rPr>
          <w:rFonts w:hint="eastAsia"/>
          <w:color w:val="auto"/>
          <w:highlight w:val="none"/>
          <w:u w:val="none"/>
        </w:rPr>
      </w:pPr>
      <w:r>
        <w:rPr>
          <w:rFonts w:hint="eastAsia"/>
          <w:color w:val="auto"/>
          <w:highlight w:val="none"/>
          <w:u w:val="none"/>
        </w:rPr>
        <w:t>本项目硝化碱洗单元产生的红水废水（碱性废水）和酸浓缩汽提单元产生的酸性废水含有甲苯、二硝基甲苯等苯系物，根据《石油化学工业污染物排放标准》（</w:t>
      </w:r>
      <w:r>
        <w:rPr>
          <w:color w:val="auto"/>
          <w:highlight w:val="none"/>
          <w:u w:val="none"/>
        </w:rPr>
        <w:t>GB31571-2015）</w:t>
      </w:r>
      <w:r>
        <w:rPr>
          <w:rFonts w:hint="eastAsia"/>
          <w:color w:val="auto"/>
          <w:highlight w:val="none"/>
          <w:u w:val="none"/>
        </w:rPr>
        <w:t>及其修改单</w:t>
      </w:r>
      <w:r>
        <w:rPr>
          <w:color w:val="auto"/>
          <w:highlight w:val="none"/>
          <w:u w:val="none"/>
        </w:rPr>
        <w:t>要求，含苯系物废水应单独收集、储存并进行预处理。针对这两股废水，本项目</w:t>
      </w:r>
      <w:r>
        <w:rPr>
          <w:rFonts w:hint="eastAsia"/>
          <w:color w:val="auto"/>
          <w:highlight w:val="none"/>
          <w:u w:val="none"/>
        </w:rPr>
        <w:t>建设</w:t>
      </w:r>
      <w:r>
        <w:rPr>
          <w:color w:val="auto"/>
          <w:highlight w:val="none"/>
          <w:u w:val="none"/>
        </w:rPr>
        <w:t>TDI废水预处理单元（处理规模54t/h）处理</w:t>
      </w:r>
      <w:r>
        <w:rPr>
          <w:rFonts w:hint="eastAsia"/>
          <w:color w:val="auto"/>
          <w:highlight w:val="none"/>
          <w:u w:val="none"/>
        </w:rPr>
        <w:t>该类</w:t>
      </w:r>
      <w:r>
        <w:rPr>
          <w:color w:val="auto"/>
          <w:highlight w:val="none"/>
          <w:u w:val="none"/>
        </w:rPr>
        <w:t>废水，废水分别在萃取分离罐混合腔内部与甲苯混合搅拌萃取，搅拌后进入分层腔进行分层，下层废水进入废水汽提塔内部除去其中的甲苯</w:t>
      </w:r>
      <w:r>
        <w:rPr>
          <w:rFonts w:hint="eastAsia"/>
          <w:color w:val="auto"/>
          <w:highlight w:val="none"/>
          <w:u w:val="none"/>
        </w:rPr>
        <w:t>、</w:t>
      </w:r>
      <w:r>
        <w:rPr>
          <w:rFonts w:hint="eastAsia"/>
          <w:color w:val="auto"/>
          <w:highlight w:val="none"/>
          <w:u w:val="none"/>
          <w:lang w:val="en-US"/>
        </w:rPr>
        <w:t>二硝基甲苯</w:t>
      </w:r>
      <w:r>
        <w:rPr>
          <w:color w:val="auto"/>
          <w:highlight w:val="none"/>
          <w:u w:val="none"/>
        </w:rPr>
        <w:t>后外排，上层甲苯进入缓冲罐，在缓冲罐一侧腔室内部溢流的甲苯进一步进行静</w:t>
      </w:r>
      <w:r>
        <w:rPr>
          <w:rFonts w:hint="eastAsia"/>
          <w:color w:val="auto"/>
          <w:highlight w:val="none"/>
          <w:u w:val="none"/>
        </w:rPr>
        <w:t>置分层，底部甲苯通过泵输送至混合腔内部，上层甲苯溢流进入另一侧腔室，与新鲜甲苯混合后部分输送至硝化反应单元，部分回流至混合腔内部用于废水萃取。汽提塔顶气相经过塔顶换热器冷凝后为碱性废气，</w:t>
      </w:r>
      <w:r>
        <w:rPr>
          <w:color w:val="auto"/>
          <w:highlight w:val="none"/>
          <w:u w:val="none"/>
        </w:rPr>
        <w:t>送</w:t>
      </w:r>
      <w:r>
        <w:rPr>
          <w:rFonts w:hint="eastAsia"/>
          <w:color w:val="auto"/>
          <w:highlight w:val="none"/>
          <w:u w:val="none"/>
        </w:rPr>
        <w:t>万华环保科技公司</w:t>
      </w:r>
      <w:r>
        <w:rPr>
          <w:color w:val="auto"/>
          <w:highlight w:val="none"/>
          <w:u w:val="none"/>
        </w:rPr>
        <w:t>能量回收装置处理，塔底冷却后的废水为汽提酸性废水和红水废水，汽提酸性废</w:t>
      </w:r>
      <w:r>
        <w:rPr>
          <w:rFonts w:hint="eastAsia"/>
          <w:color w:val="auto"/>
          <w:highlight w:val="none"/>
          <w:u w:val="none"/>
        </w:rPr>
        <w:t>水</w:t>
      </w:r>
      <w:r>
        <w:rPr>
          <w:color w:val="auto"/>
          <w:highlight w:val="none"/>
          <w:u w:val="none"/>
        </w:rPr>
        <w:t>委托</w:t>
      </w:r>
      <w:r>
        <w:rPr>
          <w:rFonts w:hint="eastAsia"/>
          <w:color w:val="auto"/>
          <w:highlight w:val="none"/>
          <w:u w:val="none"/>
        </w:rPr>
        <w:t>万华环保科技公司</w:t>
      </w:r>
      <w:r>
        <w:rPr>
          <w:color w:val="auto"/>
          <w:highlight w:val="none"/>
          <w:u w:val="none"/>
        </w:rPr>
        <w:t>污水处理站综合废水处理系统处理</w:t>
      </w:r>
      <w:r>
        <w:rPr>
          <w:rFonts w:hint="eastAsia"/>
          <w:color w:val="auto"/>
          <w:highlight w:val="none"/>
          <w:u w:val="none"/>
        </w:rPr>
        <w:t>，红水废水送往万华福建公司气体项目作为水煤浆气化原料</w:t>
      </w:r>
      <w:r>
        <w:rPr>
          <w:color w:val="auto"/>
          <w:highlight w:val="none"/>
          <w:u w:val="none"/>
        </w:rPr>
        <w:t>。</w:t>
      </w:r>
    </w:p>
    <w:p w14:paraId="4921F9BD">
      <w:pPr>
        <w:rPr>
          <w:rFonts w:hint="eastAsia"/>
          <w:color w:val="auto"/>
          <w:highlight w:val="none"/>
          <w:u w:val="none"/>
        </w:rPr>
      </w:pPr>
      <w:r>
        <w:rPr>
          <w:rFonts w:hint="eastAsia"/>
          <w:color w:val="auto"/>
          <w:highlight w:val="none"/>
          <w:u w:val="none"/>
        </w:rPr>
        <w:t>本项目建设</w:t>
      </w:r>
      <w:r>
        <w:rPr>
          <w:color w:val="auto"/>
          <w:highlight w:val="none"/>
          <w:u w:val="none"/>
        </w:rPr>
        <w:t>TDI废水预处理单元预处理含苯系物废水，符合</w:t>
      </w:r>
      <w:r>
        <w:rPr>
          <w:rFonts w:hint="eastAsia"/>
          <w:color w:val="auto"/>
          <w:highlight w:val="none"/>
          <w:u w:val="none"/>
        </w:rPr>
        <w:t>《石油化学工业污染物排放标准》（</w:t>
      </w:r>
      <w:r>
        <w:rPr>
          <w:color w:val="auto"/>
          <w:highlight w:val="none"/>
          <w:u w:val="none"/>
        </w:rPr>
        <w:t>GB31571-2015）</w:t>
      </w:r>
      <w:r>
        <w:rPr>
          <w:rFonts w:hint="eastAsia"/>
          <w:color w:val="auto"/>
          <w:highlight w:val="none"/>
          <w:u w:val="none"/>
        </w:rPr>
        <w:t>及其修改单</w:t>
      </w:r>
      <w:r>
        <w:rPr>
          <w:color w:val="auto"/>
          <w:highlight w:val="none"/>
          <w:u w:val="none"/>
        </w:rPr>
        <w:t>中规定的含苯系物废水应单独收集、储存并预处理的要求。</w:t>
      </w:r>
    </w:p>
    <w:p w14:paraId="3776A506">
      <w:pPr>
        <w:pStyle w:val="7"/>
        <w:spacing w:before="156"/>
        <w:rPr>
          <w:color w:val="auto"/>
          <w:highlight w:val="none"/>
          <w:u w:val="none"/>
        </w:rPr>
      </w:pPr>
      <w:r>
        <w:rPr>
          <w:color w:val="auto"/>
          <w:highlight w:val="none"/>
          <w:u w:val="none"/>
        </w:rPr>
        <w:t>规模及接管可行性分析</w:t>
      </w:r>
    </w:p>
    <w:p w14:paraId="5DA59718">
      <w:pPr>
        <w:rPr>
          <w:rFonts w:hint="eastAsia"/>
          <w:color w:val="auto"/>
          <w:highlight w:val="none"/>
          <w:u w:val="none"/>
        </w:rPr>
      </w:pPr>
      <w:r>
        <w:rPr>
          <w:rFonts w:hint="eastAsia"/>
          <w:color w:val="auto"/>
          <w:highlight w:val="none"/>
          <w:u w:val="none"/>
        </w:rPr>
        <w:t>本项目生产废水和公辅工程废水均委托万华环保科技公司污水处理站处理，根据《万华化学（</w:t>
      </w:r>
      <w:r>
        <w:rPr>
          <w:color w:val="auto"/>
          <w:highlight w:val="none"/>
          <w:u w:val="none"/>
        </w:rPr>
        <w:t>福建</w:t>
      </w:r>
      <w:r>
        <w:rPr>
          <w:rFonts w:hint="eastAsia"/>
          <w:color w:val="auto"/>
          <w:highlight w:val="none"/>
          <w:u w:val="none"/>
        </w:rPr>
        <w:t>）</w:t>
      </w:r>
      <w:r>
        <w:rPr>
          <w:color w:val="auto"/>
          <w:highlight w:val="none"/>
          <w:u w:val="none"/>
        </w:rPr>
        <w:t>异氰酸酯有限公司附属配套设施工程环境影响报告书</w:t>
      </w:r>
      <w:r>
        <w:rPr>
          <w:rFonts w:hint="eastAsia"/>
          <w:color w:val="auto"/>
          <w:highlight w:val="none"/>
          <w:u w:val="none"/>
        </w:rPr>
        <w:t>》（于2</w:t>
      </w:r>
      <w:r>
        <w:rPr>
          <w:color w:val="auto"/>
          <w:highlight w:val="none"/>
          <w:u w:val="none"/>
        </w:rPr>
        <w:t>021</w:t>
      </w:r>
      <w:r>
        <w:rPr>
          <w:rFonts w:hint="eastAsia"/>
          <w:color w:val="auto"/>
          <w:highlight w:val="none"/>
          <w:u w:val="none"/>
        </w:rPr>
        <w:t>年9月获得福州市生态环境局批复，见附件</w:t>
      </w:r>
      <w:r>
        <w:rPr>
          <w:rFonts w:hint="eastAsia"/>
          <w:color w:val="auto"/>
          <w:highlight w:val="none"/>
          <w:u w:val="none"/>
          <w:lang w:val="en-US"/>
        </w:rPr>
        <w:t>9</w:t>
      </w:r>
      <w:r>
        <w:rPr>
          <w:rFonts w:hint="eastAsia"/>
          <w:color w:val="auto"/>
          <w:highlight w:val="none"/>
          <w:u w:val="none"/>
        </w:rPr>
        <w:t>），万华环保科技公司污水处理站设置三套废水处理系统，分别为离心母液处理系统、低浓度废水处理系统、综合废水处理系统（含芬顿单元、难生化废水处理单元和废水深处理单元），设计配套万华环保科技公司、万华码头公司、万华福建公司的废水处理，根据拟接纳废水项目的环评报告中废水量，</w:t>
      </w:r>
      <w:r>
        <w:t>同时</w:t>
      </w:r>
      <w:r>
        <w:rPr>
          <w:rFonts w:hint="eastAsia"/>
        </w:rPr>
        <w:t>万华福建公司与万华环保科技公司用地相邻，</w:t>
      </w:r>
      <w:r>
        <w:t>本项目产生的废水可通过厂区内管道输送至</w:t>
      </w:r>
      <w:r>
        <w:rPr>
          <w:rFonts w:hint="eastAsia"/>
        </w:rPr>
        <w:t>万华环保科技公司</w:t>
      </w:r>
      <w:r>
        <w:t>污水处理站</w:t>
      </w:r>
      <w:r>
        <w:rPr>
          <w:rFonts w:hint="eastAsia"/>
        </w:rPr>
        <w:t>，目前低浓度废水处理系统</w:t>
      </w:r>
      <w:r>
        <w:rPr>
          <w:lang w:val="en-US"/>
        </w:rPr>
        <w:t>一期工程</w:t>
      </w:r>
      <w:r>
        <w:rPr>
          <w:rFonts w:hint="eastAsia"/>
          <w:lang w:val="en-US"/>
        </w:rPr>
        <w:t>、综合废水处理系统一期工程均已建成投用，</w:t>
      </w:r>
      <w:r>
        <w:rPr>
          <w:rFonts w:hint="eastAsia"/>
        </w:rPr>
        <w:t>厂区内接废水处理站的地上管廊已敷设，待项目建成后废水可接入万华环保科技公司污水处理站进行处理</w:t>
      </w:r>
      <w:r>
        <w:rPr>
          <w:rFonts w:hint="eastAsia"/>
          <w:color w:val="auto"/>
          <w:highlight w:val="none"/>
          <w:u w:val="none"/>
        </w:rPr>
        <w:t>。</w:t>
      </w:r>
    </w:p>
    <w:p w14:paraId="148091F5">
      <w:pPr>
        <w:pStyle w:val="7"/>
        <w:spacing w:before="156"/>
        <w:rPr>
          <w:color w:val="auto"/>
          <w:highlight w:val="none"/>
          <w:u w:val="none"/>
        </w:rPr>
      </w:pPr>
      <w:r>
        <w:rPr>
          <w:color w:val="auto"/>
          <w:highlight w:val="none"/>
          <w:u w:val="none"/>
        </w:rPr>
        <w:t>红水废水</w:t>
      </w:r>
      <w:r>
        <w:rPr>
          <w:rFonts w:hint="eastAsia"/>
          <w:color w:val="auto"/>
          <w:highlight w:val="none"/>
          <w:u w:val="none"/>
        </w:rPr>
        <w:t>利用可行性分析</w:t>
      </w:r>
    </w:p>
    <w:p w14:paraId="236C30A8">
      <w:pPr>
        <w:pStyle w:val="981"/>
        <w:rPr>
          <w:rFonts w:hint="eastAsia"/>
          <w:color w:val="auto"/>
          <w:highlight w:val="none"/>
          <w:u w:val="none"/>
        </w:rPr>
      </w:pPr>
      <w:r>
        <w:rPr>
          <w:rFonts w:hint="eastAsia"/>
          <w:color w:val="auto"/>
          <w:highlight w:val="none"/>
          <w:u w:val="none"/>
        </w:rPr>
        <w:t>硝化工序产生的红水废水经输送管道送往万华福建公司气体扩能改造项目作为水煤浆气化原料（当气体项目进行检修无法接收废水时，红水废水临时进入万华环保科技公司综合废水处理系统处理进行处理）。红水废水利用于水煤浆气化产生的环境影响由建设单位另行委托进行环境影响评价（该项目环评《万华福建工业园MDI一体化扩能配套项目-气体扩能改造项目环境影响报告书》已通过评审并完成复审），不在本次的评价范围内，本评价主要针对其可行性进行分析。</w:t>
      </w:r>
    </w:p>
    <w:p w14:paraId="6318A6F1">
      <w:pPr>
        <w:pStyle w:val="981"/>
        <w:rPr>
          <w:rFonts w:hint="eastAsia"/>
          <w:color w:val="auto"/>
          <w:highlight w:val="none"/>
          <w:u w:val="none"/>
        </w:rPr>
      </w:pPr>
    </w:p>
    <w:p w14:paraId="43C95B0C">
      <w:pPr>
        <w:pStyle w:val="7"/>
        <w:spacing w:before="156"/>
        <w:rPr>
          <w:color w:val="auto"/>
          <w:highlight w:val="none"/>
          <w:u w:val="none"/>
        </w:rPr>
      </w:pPr>
      <w:r>
        <w:rPr>
          <w:color w:val="auto"/>
          <w:highlight w:val="none"/>
          <w:u w:val="none"/>
        </w:rPr>
        <w:t>废水处理工艺分析</w:t>
      </w:r>
    </w:p>
    <w:p w14:paraId="1EB6A803">
      <w:pPr>
        <w:pStyle w:val="8"/>
        <w:adjustRightInd w:val="0"/>
        <w:snapToGrid w:val="0"/>
        <w:rPr>
          <w:color w:val="auto"/>
          <w:highlight w:val="none"/>
          <w:u w:val="none"/>
        </w:rPr>
      </w:pPr>
      <w:r>
        <w:rPr>
          <w:rFonts w:hint="eastAsia"/>
          <w:color w:val="auto"/>
          <w:highlight w:val="none"/>
          <w:u w:val="none"/>
          <w:lang w:val="en-US"/>
        </w:rPr>
        <w:t>10.2.2.5.1</w:t>
      </w:r>
      <w:r>
        <w:rPr>
          <w:color w:val="auto"/>
          <w:highlight w:val="none"/>
          <w:u w:val="none"/>
        </w:rPr>
        <w:t>低浓度废水处理系统</w:t>
      </w:r>
    </w:p>
    <w:p w14:paraId="38C5FD78">
      <w:r>
        <w:rPr>
          <w:rFonts w:hint="eastAsia"/>
        </w:rPr>
        <w:t>（1）低浓度废水处理系统概况</w:t>
      </w:r>
    </w:p>
    <w:p w14:paraId="4B5F37E8">
      <w:r>
        <w:rPr>
          <w:rFonts w:hint="eastAsia"/>
        </w:rPr>
        <w:t>万华环保科技公司厂区低浓度废水处理系统在规划建设时，就已考虑接纳TDI项目的低浓度废水。低浓度废水处理系统采用“混凝沉淀</w:t>
      </w:r>
      <w:r>
        <w:t>+A/O+二沉池”工艺处理后</w:t>
      </w:r>
      <w:r>
        <w:rPr>
          <w:rFonts w:hint="eastAsia"/>
        </w:rPr>
        <w:t>，尾水进入编组站废水处理系统进一步处理</w:t>
      </w:r>
      <w:r>
        <w:t>，低浓度废水处理系统总处理规模为360m</w:t>
      </w:r>
      <w:r>
        <w:rPr>
          <w:vertAlign w:val="superscript"/>
        </w:rPr>
        <w:t>3</w:t>
      </w:r>
      <w:r>
        <w:t>/h。</w:t>
      </w:r>
    </w:p>
    <w:p w14:paraId="1EBD3C3B">
      <w:pPr>
        <w:rPr>
          <w:rFonts w:hint="eastAsia"/>
          <w:color w:val="auto"/>
          <w:highlight w:val="none"/>
          <w:u w:val="none"/>
        </w:rPr>
      </w:pPr>
      <w:r>
        <w:rPr>
          <w:rFonts w:hint="eastAsia"/>
        </w:rPr>
        <w:t>（2）</w:t>
      </w:r>
      <w:r>
        <w:rPr>
          <w:rFonts w:hint="eastAsia"/>
          <w:lang w:val="en-US"/>
        </w:rPr>
        <w:t>综上，</w:t>
      </w:r>
      <w:r>
        <w:t>本项目</w:t>
      </w:r>
      <w:r>
        <w:rPr>
          <w:rFonts w:hint="eastAsia"/>
        </w:rPr>
        <w:t>地面冲洗水、</w:t>
      </w:r>
      <w:r>
        <w:t>初期雨水</w:t>
      </w:r>
      <w:r>
        <w:rPr>
          <w:rFonts w:hint="eastAsia"/>
        </w:rPr>
        <w:t>和生活污水</w:t>
      </w:r>
      <w:r>
        <w:t>等低浓度废水</w:t>
      </w:r>
      <w:r>
        <w:rPr>
          <w:rFonts w:hint="eastAsia"/>
          <w:lang w:val="en-US"/>
        </w:rPr>
        <w:t>与现有25万吨TDI项目一致，</w:t>
      </w:r>
      <w:r>
        <w:rPr>
          <w:rFonts w:hint="eastAsia"/>
        </w:rPr>
        <w:t>依托万华环保科技公司</w:t>
      </w:r>
      <w:r>
        <w:t>污水处理站低浓度废水处理系统</w:t>
      </w:r>
      <w:r>
        <w:rPr>
          <w:rFonts w:hint="eastAsia"/>
        </w:rPr>
        <w:t>（采用“混凝沉淀</w:t>
      </w:r>
      <w:r>
        <w:t>+A/O+二沉池”</w:t>
      </w:r>
      <w:r>
        <w:rPr>
          <w:rFonts w:hint="eastAsia"/>
        </w:rPr>
        <w:t>处理工艺）处理是可行的，该废水处理系统</w:t>
      </w:r>
      <w:r>
        <w:t>技术成熟、可靠，处理后的废水</w:t>
      </w:r>
      <w:r>
        <w:rPr>
          <w:rFonts w:hint="eastAsia"/>
        </w:rPr>
        <w:t>可满足编组站废水处理系统接纳低浓度废水处理系统尾水水质要求</w:t>
      </w:r>
      <w:r>
        <w:rPr>
          <w:color w:val="auto"/>
          <w:highlight w:val="none"/>
          <w:u w:val="none"/>
        </w:rPr>
        <w:t>。</w:t>
      </w:r>
    </w:p>
    <w:p w14:paraId="5CBC6897">
      <w:pPr>
        <w:pStyle w:val="8"/>
        <w:adjustRightInd w:val="0"/>
        <w:snapToGrid w:val="0"/>
        <w:rPr>
          <w:color w:val="auto"/>
          <w:highlight w:val="none"/>
          <w:u w:val="none"/>
          <w:lang w:val="en-US"/>
        </w:rPr>
      </w:pPr>
      <w:r>
        <w:rPr>
          <w:rFonts w:hint="eastAsia"/>
          <w:color w:val="auto"/>
          <w:highlight w:val="none"/>
          <w:u w:val="none"/>
          <w:lang w:val="en-US"/>
        </w:rPr>
        <w:t>10.2.2.5.2综合废水处理系统</w:t>
      </w:r>
    </w:p>
    <w:p w14:paraId="43055BCC">
      <w:pPr>
        <w:rPr>
          <w:rFonts w:hint="eastAsia"/>
          <w:color w:val="auto"/>
          <w:highlight w:val="none"/>
          <w:u w:val="none"/>
        </w:rPr>
      </w:pPr>
      <w:r>
        <w:rPr>
          <w:rFonts w:hint="eastAsia"/>
          <w:color w:val="auto"/>
          <w:highlight w:val="none"/>
          <w:u w:val="none"/>
        </w:rPr>
        <w:t>（1）综合废水处理系统概况</w:t>
      </w:r>
    </w:p>
    <w:p w14:paraId="4214F3BC">
      <w:pPr>
        <w:rPr>
          <w:rFonts w:ascii="宋体"/>
        </w:rPr>
      </w:pPr>
      <w:r>
        <w:rPr>
          <w:rFonts w:hint="eastAsia"/>
        </w:rPr>
        <w:t>万华环保科技公司废水处理站综合废水处理系统包括芬顿单元、难生化废水处理单元、废水深处理单元。高浓度废水经芬顿单元处理后，与其他难生化废水进入难生化废水处理单元，采用“固定化高效微生物法厌氧</w:t>
      </w:r>
      <w:r>
        <w:t>+好氧”工艺处理，再进入废水深处理单元，采用“高密度沉淀池+反硝化滤池+硝化滤池+反硝化滤池+前臭氧氧化+低负荷生物滤池+末端臭氧氧化”工艺处理，</w:t>
      </w:r>
      <w:r>
        <w:rPr>
          <w:rFonts w:ascii="宋体"/>
        </w:rPr>
        <w:t>尾水盐度指标高，由</w:t>
      </w:r>
      <w:r>
        <w:rPr>
          <w:rFonts w:hint="eastAsia" w:ascii="宋体"/>
          <w:lang w:eastAsia="zh-CN"/>
        </w:rPr>
        <w:t>福州江阴港城经济区</w:t>
      </w:r>
      <w:r>
        <w:rPr>
          <w:rFonts w:ascii="宋体"/>
        </w:rPr>
        <w:t>污水处理厂已建排海管道排海。</w:t>
      </w:r>
    </w:p>
    <w:p w14:paraId="03049838">
      <w:r>
        <w:rPr>
          <w:rFonts w:hint="eastAsia"/>
        </w:rPr>
        <w:t>芬顿单元处理规模为</w:t>
      </w:r>
      <w:r>
        <w:t>60m</w:t>
      </w:r>
      <w:r>
        <w:rPr>
          <w:vertAlign w:val="superscript"/>
        </w:rPr>
        <w:t>3</w:t>
      </w:r>
      <w:r>
        <w:t>/h；难生化废水处理单元总处理规模为420m</w:t>
      </w:r>
      <w:r>
        <w:rPr>
          <w:vertAlign w:val="superscript"/>
        </w:rPr>
        <w:t>3</w:t>
      </w:r>
      <w:r>
        <w:t>/h；废水深处理单元</w:t>
      </w:r>
      <w:r>
        <w:rPr>
          <w:rFonts w:hint="eastAsia"/>
        </w:rPr>
        <w:t>总处理规模为63</w:t>
      </w:r>
      <w:r>
        <w:t>0m</w:t>
      </w:r>
      <w:r>
        <w:rPr>
          <w:vertAlign w:val="superscript"/>
        </w:rPr>
        <w:t>3</w:t>
      </w:r>
      <w:r>
        <w:t>/h，污水处理规模设计时已考虑</w:t>
      </w:r>
      <w:r>
        <w:rPr>
          <w:rFonts w:hint="eastAsia"/>
        </w:rPr>
        <w:t>TDI</w:t>
      </w:r>
      <w:r>
        <w:t>项目的废水产生量，处理规模能够满足要求。</w:t>
      </w:r>
    </w:p>
    <w:p w14:paraId="1F92BE95">
      <w:pPr>
        <w:rPr>
          <w:rFonts w:hint="eastAsia"/>
          <w:color w:val="auto"/>
          <w:highlight w:val="none"/>
          <w:u w:val="none"/>
        </w:rPr>
      </w:pPr>
      <w:r>
        <w:rPr>
          <w:rFonts w:hint="eastAsia"/>
        </w:rPr>
        <w:t>综上所述，本项目硝硫浓缩酸性废水、废酸浓缩酸性废水、</w:t>
      </w:r>
      <w:r>
        <w:t>汽提酸性废水</w:t>
      </w:r>
      <w:r>
        <w:rPr>
          <w:rFonts w:hint="eastAsia"/>
        </w:rPr>
        <w:t>、</w:t>
      </w:r>
      <w:r>
        <w:t>TDA</w:t>
      </w:r>
      <w:r>
        <w:rPr>
          <w:rFonts w:hint="eastAsia"/>
        </w:rPr>
        <w:t>废水、光化中和废水设备清洗废水及万华福建公司气体项目检修时无法接纳的红水废水</w:t>
      </w:r>
      <w:r>
        <w:t>委托</w:t>
      </w:r>
      <w:r>
        <w:rPr>
          <w:rFonts w:hint="eastAsia"/>
        </w:rPr>
        <w:t>万华环保科技公司</w:t>
      </w:r>
      <w:r>
        <w:t>污水处理站综合废水处理系统处理是可行的，所用的污水处理工艺技术成熟、可靠，处理后的废水能达标排放</w:t>
      </w:r>
      <w:r>
        <w:rPr>
          <w:color w:val="auto"/>
          <w:highlight w:val="none"/>
          <w:u w:val="none"/>
        </w:rPr>
        <w:t>。</w:t>
      </w:r>
    </w:p>
    <w:p w14:paraId="5BA62881">
      <w:pPr>
        <w:pStyle w:val="6"/>
        <w:spacing w:before="156" w:after="156"/>
        <w:rPr>
          <w:color w:val="auto"/>
          <w:highlight w:val="none"/>
          <w:u w:val="none"/>
        </w:rPr>
      </w:pPr>
      <w:bookmarkStart w:id="719" w:name="_Toc148374717"/>
      <w:bookmarkStart w:id="720" w:name="_Toc148375159"/>
      <w:r>
        <w:rPr>
          <w:rFonts w:hint="eastAsia"/>
          <w:color w:val="auto"/>
          <w:highlight w:val="none"/>
          <w:u w:val="none"/>
        </w:rPr>
        <w:t>噪声治理措施与可行性分析</w:t>
      </w:r>
      <w:bookmarkEnd w:id="719"/>
      <w:bookmarkEnd w:id="720"/>
    </w:p>
    <w:p w14:paraId="106CB68E">
      <w:pPr>
        <w:rPr>
          <w:rFonts w:hint="eastAsia"/>
          <w:color w:val="auto"/>
          <w:szCs w:val="30"/>
          <w:highlight w:val="none"/>
          <w:u w:val="none"/>
        </w:rPr>
      </w:pPr>
      <w:r>
        <w:rPr>
          <w:rFonts w:hint="eastAsia"/>
          <w:color w:val="auto"/>
          <w:szCs w:val="30"/>
          <w:highlight w:val="none"/>
          <w:u w:val="none"/>
          <w:lang w:val="en-US"/>
        </w:rPr>
        <w:t>本次技改扩能新增</w:t>
      </w:r>
      <w:r>
        <w:rPr>
          <w:rFonts w:hint="eastAsia"/>
          <w:color w:val="auto"/>
          <w:szCs w:val="30"/>
          <w:highlight w:val="none"/>
          <w:u w:val="none"/>
        </w:rPr>
        <w:t>的生产设备噪声主要来自</w:t>
      </w:r>
      <w:r>
        <w:rPr>
          <w:rFonts w:hint="eastAsia"/>
          <w:color w:val="auto"/>
          <w:highlight w:val="none"/>
          <w:u w:val="none"/>
        </w:rPr>
        <w:t>水泵、物料泵、高压泵等各种泵类，以及各类压缩机、风机、真空机组等</w:t>
      </w:r>
      <w:r>
        <w:rPr>
          <w:color w:val="auto"/>
          <w:szCs w:val="30"/>
          <w:highlight w:val="none"/>
          <w:u w:val="none"/>
        </w:rPr>
        <w:t>设备</w:t>
      </w:r>
      <w:r>
        <w:rPr>
          <w:rFonts w:hint="eastAsia"/>
          <w:color w:val="auto"/>
          <w:szCs w:val="30"/>
          <w:highlight w:val="none"/>
          <w:u w:val="none"/>
        </w:rPr>
        <w:t>产生的噪声。</w:t>
      </w:r>
      <w:r>
        <w:rPr>
          <w:rFonts w:hint="eastAsia"/>
          <w:color w:val="auto"/>
          <w:highlight w:val="none"/>
          <w:u w:val="none"/>
        </w:rPr>
        <w:t>本项目应首先考虑选用低噪声设备，并根据噪声产生的特点及位置情况分别采取减振、消声、吸声及隔声措施。</w:t>
      </w:r>
    </w:p>
    <w:p w14:paraId="35A42952">
      <w:pPr>
        <w:rPr>
          <w:rFonts w:hint="eastAsia"/>
          <w:color w:val="auto"/>
          <w:highlight w:val="none"/>
          <w:u w:val="none"/>
        </w:rPr>
      </w:pPr>
      <w:r>
        <w:rPr>
          <w:rFonts w:hint="eastAsia"/>
          <w:color w:val="auto"/>
          <w:highlight w:val="none"/>
          <w:u w:val="none"/>
        </w:rPr>
        <w:t>减振：将振动源与环境通过隔振措施，使设备产生的激振力被减振装置所隔绝，使噪声得到有效抑制。</w:t>
      </w:r>
    </w:p>
    <w:p w14:paraId="75D2106B">
      <w:pPr>
        <w:rPr>
          <w:rFonts w:hint="eastAsia"/>
          <w:color w:val="auto"/>
          <w:highlight w:val="none"/>
          <w:u w:val="none"/>
        </w:rPr>
      </w:pPr>
      <w:r>
        <w:rPr>
          <w:rFonts w:hint="eastAsia"/>
          <w:color w:val="auto"/>
          <w:highlight w:val="none"/>
          <w:u w:val="none"/>
        </w:rPr>
        <w:t>吸声：声波在传播过程中，遇到各种材料时，会发生一部分声能被反射，一部分声能被吸收现象。通过对声能的吸收，降低设备房内的混响声，从而达到整体降低噪声的效果。</w:t>
      </w:r>
    </w:p>
    <w:p w14:paraId="16CCCCB7">
      <w:pPr>
        <w:rPr>
          <w:rFonts w:hint="eastAsia"/>
          <w:color w:val="auto"/>
          <w:highlight w:val="none"/>
          <w:u w:val="none"/>
        </w:rPr>
      </w:pPr>
      <w:r>
        <w:rPr>
          <w:rFonts w:hint="eastAsia"/>
          <w:color w:val="auto"/>
          <w:highlight w:val="none"/>
          <w:u w:val="none"/>
        </w:rPr>
        <w:t>消声：在声波入射到多孔材料时，即可激起小孔或纤维的空气运动，紧孔壁或纤维表面的空气，因孔壁的影响，产生粘滞作用，使声波与多孔材料产生摩擦，使声能转化热能，从而得到衰减。</w:t>
      </w:r>
    </w:p>
    <w:p w14:paraId="49D63510">
      <w:pPr>
        <w:rPr>
          <w:rFonts w:hint="eastAsia"/>
          <w:color w:val="auto"/>
          <w:highlight w:val="none"/>
          <w:u w:val="none"/>
        </w:rPr>
      </w:pPr>
      <w:r>
        <w:rPr>
          <w:rFonts w:hint="eastAsia"/>
          <w:color w:val="auto"/>
          <w:highlight w:val="none"/>
          <w:u w:val="none"/>
        </w:rPr>
        <w:t>隔声：声波在空气中传播过程中，因扩散与障碍物的阻挡作用，声能影响局限于声源附近，从而起到阻隔噪声源的作用，如隔声门、隔声窗等。</w:t>
      </w:r>
    </w:p>
    <w:p w14:paraId="39BE8393">
      <w:pPr>
        <w:rPr>
          <w:rFonts w:hint="eastAsia"/>
          <w:color w:val="auto"/>
          <w:highlight w:val="none"/>
          <w:u w:val="none"/>
        </w:rPr>
      </w:pPr>
      <w:r>
        <w:rPr>
          <w:rFonts w:hint="eastAsia"/>
          <w:color w:val="auto"/>
          <w:highlight w:val="none"/>
          <w:u w:val="none"/>
        </w:rPr>
        <w:t>本项目采取的主要噪声防治措施如下：</w:t>
      </w:r>
    </w:p>
    <w:p w14:paraId="5CCA734B">
      <w:pPr>
        <w:rPr>
          <w:rFonts w:hint="eastAsia"/>
          <w:color w:val="auto"/>
          <w:highlight w:val="none"/>
          <w:u w:val="none"/>
        </w:rPr>
      </w:pPr>
      <w:r>
        <w:rPr>
          <w:rFonts w:hint="eastAsia"/>
          <w:color w:val="auto"/>
          <w:highlight w:val="none"/>
          <w:u w:val="none"/>
        </w:rPr>
        <w:t>（</w:t>
      </w:r>
      <w:r>
        <w:rPr>
          <w:color w:val="auto"/>
          <w:highlight w:val="none"/>
          <w:u w:val="none"/>
        </w:rPr>
        <w:t>1）</w:t>
      </w:r>
      <w:r>
        <w:rPr>
          <w:rFonts w:hint="eastAsia"/>
          <w:color w:val="auto"/>
          <w:highlight w:val="none"/>
          <w:u w:val="none"/>
        </w:rPr>
        <w:t>降低</w:t>
      </w:r>
      <w:r>
        <w:rPr>
          <w:color w:val="auto"/>
          <w:highlight w:val="none"/>
          <w:u w:val="none"/>
        </w:rPr>
        <w:t>泵类噪声</w:t>
      </w:r>
      <w:r>
        <w:rPr>
          <w:rFonts w:hint="eastAsia"/>
          <w:color w:val="auto"/>
          <w:highlight w:val="none"/>
          <w:u w:val="none"/>
        </w:rPr>
        <w:t>源</w:t>
      </w:r>
    </w:p>
    <w:p w14:paraId="5DB5FCBB">
      <w:pPr>
        <w:rPr>
          <w:rFonts w:hint="eastAsia"/>
          <w:color w:val="auto"/>
          <w:highlight w:val="none"/>
          <w:u w:val="none"/>
        </w:rPr>
      </w:pPr>
      <w:r>
        <w:rPr>
          <w:rFonts w:hint="eastAsia"/>
          <w:color w:val="auto"/>
          <w:highlight w:val="none"/>
          <w:u w:val="none"/>
        </w:rPr>
        <w:t>本项目工业用泵类较多，</w:t>
      </w:r>
      <w:r>
        <w:rPr>
          <w:color w:val="auto"/>
          <w:highlight w:val="none"/>
          <w:u w:val="none"/>
        </w:rPr>
        <w:t>应该有针对性地采取如下措施降低噪声</w:t>
      </w:r>
      <w:r>
        <w:rPr>
          <w:rFonts w:hint="eastAsia"/>
          <w:color w:val="auto"/>
          <w:highlight w:val="none"/>
          <w:u w:val="none"/>
        </w:rPr>
        <w:t>：</w:t>
      </w:r>
    </w:p>
    <w:p w14:paraId="29AD6EC5">
      <w:pPr>
        <w:rPr>
          <w:rFonts w:hint="eastAsia"/>
          <w:color w:val="auto"/>
          <w:highlight w:val="none"/>
          <w:u w:val="none"/>
        </w:rPr>
      </w:pPr>
      <w:r>
        <w:rPr>
          <w:rFonts w:hint="eastAsia"/>
          <w:color w:val="auto"/>
          <w:highlight w:val="none"/>
          <w:u w:val="none"/>
        </w:rPr>
        <w:t>①优先选用低噪声泵类；</w:t>
      </w:r>
    </w:p>
    <w:p w14:paraId="7D7F576D">
      <w:pPr>
        <w:rPr>
          <w:rFonts w:hint="eastAsia"/>
          <w:color w:val="auto"/>
          <w:highlight w:val="none"/>
          <w:u w:val="none"/>
        </w:rPr>
      </w:pPr>
      <w:r>
        <w:rPr>
          <w:rFonts w:hint="eastAsia"/>
          <w:color w:val="auto"/>
          <w:highlight w:val="none"/>
          <w:u w:val="none"/>
        </w:rPr>
        <w:t>②泵机组和电机处可设隔声罩或局部隔声罩、</w:t>
      </w:r>
      <w:r>
        <w:rPr>
          <w:color w:val="auto"/>
          <w:highlight w:val="none"/>
          <w:u w:val="none"/>
        </w:rPr>
        <w:t>内衬吸声材料；</w:t>
      </w:r>
    </w:p>
    <w:p w14:paraId="1949E4F7">
      <w:pPr>
        <w:rPr>
          <w:rFonts w:hint="eastAsia"/>
          <w:color w:val="auto"/>
          <w:highlight w:val="none"/>
          <w:u w:val="none"/>
        </w:rPr>
      </w:pPr>
      <w:r>
        <w:rPr>
          <w:rFonts w:hint="eastAsia"/>
          <w:color w:val="auto"/>
          <w:highlight w:val="none"/>
          <w:u w:val="none"/>
        </w:rPr>
        <w:t>③电机部分可根据型号配置消声器；</w:t>
      </w:r>
    </w:p>
    <w:p w14:paraId="42E18EA7">
      <w:pPr>
        <w:rPr>
          <w:rFonts w:hint="eastAsia"/>
          <w:color w:val="auto"/>
          <w:highlight w:val="none"/>
          <w:u w:val="none"/>
        </w:rPr>
      </w:pPr>
      <w:r>
        <w:rPr>
          <w:rFonts w:hint="eastAsia"/>
          <w:color w:val="auto"/>
          <w:highlight w:val="none"/>
          <w:u w:val="none"/>
        </w:rPr>
        <w:t>④设置独立泵房，且采取吸声、</w:t>
      </w:r>
      <w:r>
        <w:rPr>
          <w:color w:val="auto"/>
          <w:highlight w:val="none"/>
          <w:u w:val="none"/>
        </w:rPr>
        <w:t>隔声</w:t>
      </w:r>
      <w:r>
        <w:rPr>
          <w:rFonts w:hint="eastAsia"/>
          <w:color w:val="auto"/>
          <w:highlight w:val="none"/>
          <w:u w:val="none"/>
        </w:rPr>
        <w:t>措施</w:t>
      </w:r>
      <w:r>
        <w:rPr>
          <w:color w:val="auto"/>
          <w:highlight w:val="none"/>
          <w:u w:val="none"/>
        </w:rPr>
        <w:t>，如利用吸声材料做吸声吊顶，墙体做吸声处理；</w:t>
      </w:r>
    </w:p>
    <w:p w14:paraId="622A7BFA">
      <w:pPr>
        <w:rPr>
          <w:rFonts w:hint="eastAsia"/>
          <w:color w:val="auto"/>
          <w:highlight w:val="none"/>
          <w:u w:val="none"/>
        </w:rPr>
      </w:pPr>
      <w:r>
        <w:rPr>
          <w:rFonts w:hint="eastAsia"/>
          <w:color w:val="auto"/>
          <w:highlight w:val="none"/>
          <w:u w:val="none"/>
        </w:rPr>
        <w:t>⑤泵的进出口接管做挠性连接或弹性连接；</w:t>
      </w:r>
    </w:p>
    <w:p w14:paraId="12E30176">
      <w:pPr>
        <w:rPr>
          <w:rFonts w:hint="eastAsia"/>
          <w:color w:val="auto"/>
          <w:highlight w:val="none"/>
          <w:u w:val="none"/>
        </w:rPr>
      </w:pPr>
      <w:r>
        <w:rPr>
          <w:rFonts w:hint="eastAsia"/>
          <w:color w:val="auto"/>
          <w:highlight w:val="none"/>
          <w:u w:val="none"/>
        </w:rPr>
        <w:t>⑥泵机组做金属弹簧、橡胶减震器等隔振、减振处理；</w:t>
      </w:r>
    </w:p>
    <w:p w14:paraId="29BBC4F7">
      <w:pPr>
        <w:rPr>
          <w:rFonts w:hint="eastAsia"/>
          <w:color w:val="auto"/>
          <w:highlight w:val="none"/>
          <w:u w:val="none"/>
        </w:rPr>
      </w:pPr>
      <w:r>
        <w:rPr>
          <w:rFonts w:hint="eastAsia"/>
          <w:color w:val="auto"/>
          <w:highlight w:val="none"/>
          <w:u w:val="none"/>
        </w:rPr>
        <w:t>⑦泵的进出口管尺寸要合适、匹配，避免流速过高产生气蚀而引起强烈噪声。</w:t>
      </w:r>
    </w:p>
    <w:p w14:paraId="237FFAF1">
      <w:pPr>
        <w:rPr>
          <w:rFonts w:hint="eastAsia"/>
          <w:color w:val="auto"/>
          <w:highlight w:val="none"/>
          <w:u w:val="none"/>
        </w:rPr>
      </w:pPr>
      <w:r>
        <w:rPr>
          <w:rFonts w:hint="eastAsia"/>
          <w:color w:val="auto"/>
          <w:highlight w:val="none"/>
          <w:u w:val="none"/>
        </w:rPr>
        <w:t>（</w:t>
      </w:r>
      <w:r>
        <w:rPr>
          <w:color w:val="auto"/>
          <w:highlight w:val="none"/>
          <w:u w:val="none"/>
        </w:rPr>
        <w:t>2）</w:t>
      </w:r>
      <w:r>
        <w:rPr>
          <w:rFonts w:hint="eastAsia"/>
          <w:color w:val="auto"/>
          <w:highlight w:val="none"/>
          <w:u w:val="none"/>
        </w:rPr>
        <w:t>降低</w:t>
      </w:r>
      <w:r>
        <w:rPr>
          <w:color w:val="auto"/>
          <w:highlight w:val="none"/>
          <w:u w:val="none"/>
        </w:rPr>
        <w:t>风机类噪声</w:t>
      </w:r>
      <w:r>
        <w:rPr>
          <w:rFonts w:hint="eastAsia"/>
          <w:color w:val="auto"/>
          <w:highlight w:val="none"/>
          <w:u w:val="none"/>
        </w:rPr>
        <w:t>源</w:t>
      </w:r>
    </w:p>
    <w:p w14:paraId="7FCAC6C4">
      <w:pPr>
        <w:rPr>
          <w:rFonts w:hint="eastAsia"/>
          <w:color w:val="auto"/>
          <w:highlight w:val="none"/>
          <w:u w:val="none"/>
        </w:rPr>
      </w:pPr>
      <w:r>
        <w:rPr>
          <w:rFonts w:hint="eastAsia"/>
          <w:color w:val="auto"/>
          <w:highlight w:val="none"/>
          <w:u w:val="none"/>
        </w:rPr>
        <w:t>①优先选用低噪声风机；</w:t>
      </w:r>
    </w:p>
    <w:p w14:paraId="21383787">
      <w:pPr>
        <w:rPr>
          <w:rFonts w:hint="eastAsia"/>
          <w:color w:val="auto"/>
          <w:highlight w:val="none"/>
          <w:u w:val="none"/>
        </w:rPr>
      </w:pPr>
      <w:r>
        <w:rPr>
          <w:rFonts w:hint="eastAsia"/>
          <w:color w:val="auto"/>
          <w:highlight w:val="none"/>
          <w:u w:val="none"/>
        </w:rPr>
        <w:t>②风机采用隔振机座，气体进出口采用消声通道，风管设隔声吊钩。</w:t>
      </w:r>
    </w:p>
    <w:p w14:paraId="04B7064C">
      <w:pPr>
        <w:rPr>
          <w:rFonts w:hint="eastAsia"/>
          <w:color w:val="auto"/>
          <w:highlight w:val="none"/>
          <w:u w:val="none"/>
        </w:rPr>
      </w:pPr>
      <w:r>
        <w:rPr>
          <w:rFonts w:hint="eastAsia"/>
          <w:color w:val="auto"/>
          <w:highlight w:val="none"/>
          <w:u w:val="none"/>
        </w:rPr>
        <w:t>③设置隔声罩，并充分考虑通风散热问题；</w:t>
      </w:r>
    </w:p>
    <w:p w14:paraId="7C793353">
      <w:pPr>
        <w:rPr>
          <w:rFonts w:hint="eastAsia"/>
          <w:color w:val="auto"/>
          <w:highlight w:val="none"/>
          <w:u w:val="none"/>
        </w:rPr>
      </w:pPr>
      <w:r>
        <w:rPr>
          <w:rFonts w:hint="eastAsia"/>
          <w:color w:val="auto"/>
          <w:highlight w:val="none"/>
          <w:u w:val="none"/>
        </w:rPr>
        <w:t>④在满足工艺条件的情况下，尽量配置专用风机房，并采取相应综合治理措施；</w:t>
      </w:r>
    </w:p>
    <w:p w14:paraId="50B2ED50">
      <w:pPr>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rPr>
        <w:t>降低</w:t>
      </w:r>
      <w:r>
        <w:rPr>
          <w:color w:val="auto"/>
          <w:highlight w:val="none"/>
          <w:u w:val="none"/>
        </w:rPr>
        <w:t>压缩机类噪声</w:t>
      </w:r>
      <w:r>
        <w:rPr>
          <w:rFonts w:hint="eastAsia"/>
          <w:color w:val="auto"/>
          <w:highlight w:val="none"/>
          <w:u w:val="none"/>
        </w:rPr>
        <w:t>源</w:t>
      </w:r>
    </w:p>
    <w:p w14:paraId="7B470122">
      <w:pPr>
        <w:rPr>
          <w:rFonts w:hint="eastAsia"/>
          <w:color w:val="auto"/>
          <w:highlight w:val="none"/>
          <w:u w:val="none"/>
        </w:rPr>
      </w:pPr>
      <w:r>
        <w:rPr>
          <w:rFonts w:hint="eastAsia"/>
          <w:color w:val="auto"/>
          <w:highlight w:val="none"/>
          <w:u w:val="none"/>
        </w:rPr>
        <w:t>①进气口安装消声器，对低频和脉动的噪声特性，采用抗性消声器，对中高频特性采用微孔抗性复合型消声器；</w:t>
      </w:r>
    </w:p>
    <w:p w14:paraId="6E0364D8">
      <w:pPr>
        <w:rPr>
          <w:rFonts w:hint="eastAsia"/>
          <w:color w:val="auto"/>
          <w:highlight w:val="none"/>
          <w:u w:val="none"/>
        </w:rPr>
      </w:pPr>
      <w:r>
        <w:rPr>
          <w:rFonts w:hint="eastAsia"/>
          <w:color w:val="auto"/>
          <w:highlight w:val="none"/>
          <w:u w:val="none"/>
        </w:rPr>
        <w:t>②设置压缩机站房，进出口安装消声器，对站房进行吸声、隔声处理</w:t>
      </w:r>
      <w:r>
        <w:rPr>
          <w:color w:val="auto"/>
          <w:highlight w:val="none"/>
          <w:u w:val="none"/>
        </w:rPr>
        <w:t>；</w:t>
      </w:r>
    </w:p>
    <w:p w14:paraId="1340971A">
      <w:pPr>
        <w:rPr>
          <w:rFonts w:hint="eastAsia"/>
          <w:color w:val="auto"/>
          <w:highlight w:val="none"/>
          <w:u w:val="none"/>
        </w:rPr>
      </w:pPr>
      <w:r>
        <w:rPr>
          <w:rFonts w:hint="eastAsia"/>
          <w:color w:val="auto"/>
          <w:highlight w:val="none"/>
          <w:u w:val="none"/>
        </w:rPr>
        <w:t>③管道和阀门采用噪声隔声包扎；</w:t>
      </w:r>
    </w:p>
    <w:p w14:paraId="2FF171D3">
      <w:pPr>
        <w:rPr>
          <w:rFonts w:hint="eastAsia"/>
          <w:color w:val="auto"/>
          <w:highlight w:val="none"/>
          <w:u w:val="none"/>
        </w:rPr>
      </w:pPr>
      <w:r>
        <w:rPr>
          <w:rFonts w:hint="eastAsia"/>
          <w:color w:val="auto"/>
          <w:highlight w:val="none"/>
          <w:u w:val="none"/>
        </w:rPr>
        <w:t>④压缩机组联网隔振、减振，管道采取弹性连接，并在管道中加设孔板降低管道中的气流脉冲而减振。</w:t>
      </w:r>
    </w:p>
    <w:p w14:paraId="5CA87A07">
      <w:pPr>
        <w:rPr>
          <w:rFonts w:hint="eastAsia"/>
          <w:color w:val="auto"/>
          <w:highlight w:val="none"/>
          <w:u w:val="none"/>
        </w:rPr>
      </w:pPr>
      <w:r>
        <w:rPr>
          <w:rFonts w:hint="eastAsia"/>
          <w:color w:val="auto"/>
          <w:highlight w:val="none"/>
          <w:u w:val="none"/>
        </w:rPr>
        <w:t>建设单位应严格按《石油化工噪声控制设计规范》（</w:t>
      </w:r>
      <w:r>
        <w:rPr>
          <w:color w:val="auto"/>
          <w:highlight w:val="none"/>
          <w:u w:val="none"/>
        </w:rPr>
        <w:t>SH/T3146-2004），落实上述噪声防治措施，从源头、传播等环节进行噪声防治，</w:t>
      </w:r>
      <w:r>
        <w:rPr>
          <w:rFonts w:hint="eastAsia"/>
          <w:color w:val="auto"/>
          <w:highlight w:val="none"/>
          <w:u w:val="none"/>
        </w:rPr>
        <w:t>使</w:t>
      </w:r>
      <w:r>
        <w:rPr>
          <w:color w:val="auto"/>
          <w:highlight w:val="none"/>
          <w:u w:val="none"/>
        </w:rPr>
        <w:t>项目</w:t>
      </w:r>
      <w:r>
        <w:rPr>
          <w:rFonts w:hint="eastAsia"/>
          <w:color w:val="auto"/>
          <w:highlight w:val="none"/>
          <w:u w:val="none"/>
        </w:rPr>
        <w:t>生产设备</w:t>
      </w:r>
      <w:r>
        <w:rPr>
          <w:color w:val="auto"/>
          <w:highlight w:val="none"/>
          <w:u w:val="none"/>
        </w:rPr>
        <w:t>噪声得到有效的控制</w:t>
      </w:r>
      <w:r>
        <w:rPr>
          <w:rFonts w:hint="eastAsia"/>
          <w:color w:val="auto"/>
          <w:highlight w:val="none"/>
          <w:u w:val="none"/>
        </w:rPr>
        <w:t>，确保营运期厂界噪声满足《工业企业厂界环境噪声排放标准》（GB12348-2008）要求。</w:t>
      </w:r>
    </w:p>
    <w:p w14:paraId="465E383B">
      <w:pPr>
        <w:rPr>
          <w:rFonts w:hint="eastAsia"/>
          <w:color w:val="auto"/>
          <w:highlight w:val="none"/>
          <w:u w:val="none"/>
        </w:rPr>
      </w:pPr>
      <w:r>
        <w:rPr>
          <w:rFonts w:hint="eastAsia"/>
          <w:color w:val="auto"/>
          <w:highlight w:val="none"/>
          <w:u w:val="none"/>
        </w:rPr>
        <w:t>为进一步保证营运期厂界噪声达标，提出如下建议：</w:t>
      </w:r>
    </w:p>
    <w:p w14:paraId="27A01989">
      <w:pPr>
        <w:rPr>
          <w:rFonts w:hint="eastAsia"/>
          <w:color w:val="auto"/>
          <w:highlight w:val="none"/>
          <w:u w:val="none"/>
        </w:rPr>
      </w:pPr>
      <w:r>
        <w:rPr>
          <w:rFonts w:hint="eastAsia"/>
          <w:color w:val="auto"/>
          <w:highlight w:val="none"/>
          <w:u w:val="none"/>
        </w:rPr>
        <w:t>（1）定期对各产噪设备进行检修，维持设备处于良好的运转状态，避免因设备运转不正常时噪声的增高。</w:t>
      </w:r>
    </w:p>
    <w:p w14:paraId="4400580A">
      <w:pPr>
        <w:rPr>
          <w:rFonts w:hint="eastAsia"/>
          <w:color w:val="auto"/>
          <w:highlight w:val="none"/>
          <w:u w:val="none"/>
        </w:rPr>
      </w:pPr>
      <w:r>
        <w:rPr>
          <w:rFonts w:hint="eastAsia"/>
          <w:color w:val="auto"/>
          <w:szCs w:val="30"/>
          <w:highlight w:val="none"/>
          <w:u w:val="none"/>
        </w:rPr>
        <w:t>（2）</w:t>
      </w:r>
      <w:r>
        <w:rPr>
          <w:rFonts w:hint="eastAsia"/>
          <w:color w:val="auto"/>
          <w:highlight w:val="none"/>
          <w:u w:val="none"/>
        </w:rPr>
        <w:t>优化平面布置，在生产工艺流程许可的前提下，将产噪设备设置在厂区中部，远离厂区边界。</w:t>
      </w:r>
    </w:p>
    <w:p w14:paraId="5C3E451B">
      <w:pPr>
        <w:rPr>
          <w:rFonts w:hint="eastAsia"/>
          <w:color w:val="auto"/>
          <w:highlight w:val="none"/>
          <w:u w:val="none"/>
        </w:rPr>
      </w:pPr>
      <w:r>
        <w:rPr>
          <w:rFonts w:hint="eastAsia"/>
          <w:color w:val="auto"/>
          <w:highlight w:val="none"/>
          <w:u w:val="none"/>
        </w:rPr>
        <w:t>（3）加强操作工个人防护，减少噪声对操作人员的伤害。</w:t>
      </w:r>
    </w:p>
    <w:p w14:paraId="5BEE15F7">
      <w:pPr>
        <w:pStyle w:val="6"/>
        <w:spacing w:before="156" w:after="156"/>
        <w:rPr>
          <w:color w:val="auto"/>
          <w:highlight w:val="none"/>
          <w:u w:val="none"/>
        </w:rPr>
      </w:pPr>
      <w:bookmarkStart w:id="721" w:name="_Toc148374718"/>
      <w:bookmarkStart w:id="722" w:name="_Toc148375160"/>
      <w:r>
        <w:rPr>
          <w:color w:val="auto"/>
          <w:highlight w:val="none"/>
          <w:u w:val="none"/>
        </w:rPr>
        <w:t>固体废物</w:t>
      </w:r>
      <w:r>
        <w:rPr>
          <w:rFonts w:hint="eastAsia"/>
          <w:color w:val="auto"/>
          <w:highlight w:val="none"/>
          <w:u w:val="none"/>
        </w:rPr>
        <w:t>处理</w:t>
      </w:r>
      <w:r>
        <w:rPr>
          <w:color w:val="auto"/>
          <w:highlight w:val="none"/>
          <w:u w:val="none"/>
        </w:rPr>
        <w:t>措施</w:t>
      </w:r>
      <w:bookmarkEnd w:id="721"/>
      <w:bookmarkEnd w:id="722"/>
    </w:p>
    <w:p w14:paraId="57CD99EB">
      <w:pPr>
        <w:rPr>
          <w:rFonts w:hint="eastAsia"/>
          <w:color w:val="auto"/>
          <w:highlight w:val="none"/>
          <w:u w:val="none"/>
        </w:rPr>
      </w:pPr>
      <w:r>
        <w:rPr>
          <w:rFonts w:hint="eastAsia"/>
          <w:color w:val="auto"/>
          <w:highlight w:val="none"/>
          <w:u w:val="none"/>
          <w:lang w:val="en-US"/>
        </w:rPr>
        <w:t>本次技改扩能后TDI一期</w:t>
      </w:r>
      <w:r>
        <w:rPr>
          <w:rFonts w:hint="eastAsia"/>
          <w:color w:val="auto"/>
          <w:highlight w:val="none"/>
          <w:u w:val="none"/>
        </w:rPr>
        <w:t>营运期产生的固体废物主要包括轻油、废催化剂、废DNT、TDA精馏残渣、光化退料、TDI精馏残渣、</w:t>
      </w:r>
      <w:r>
        <w:rPr>
          <w:color w:val="auto"/>
          <w:highlight w:val="none"/>
          <w:u w:val="none"/>
        </w:rPr>
        <w:t>焦油颗粒、废活性炭、TDI废液、废包装材料、机修废油、废导热油、</w:t>
      </w:r>
      <w:r>
        <w:rPr>
          <w:rFonts w:hint="eastAsia"/>
          <w:color w:val="auto"/>
          <w:highlight w:val="none"/>
          <w:u w:val="none"/>
        </w:rPr>
        <w:t>废氮封油、</w:t>
      </w:r>
      <w:r>
        <w:rPr>
          <w:color w:val="auto"/>
          <w:highlight w:val="none"/>
          <w:u w:val="none"/>
        </w:rPr>
        <w:t>废劳保</w:t>
      </w:r>
      <w:r>
        <w:rPr>
          <w:rFonts w:hint="eastAsia"/>
          <w:color w:val="auto"/>
          <w:highlight w:val="none"/>
          <w:u w:val="none"/>
        </w:rPr>
        <w:t>用品、</w:t>
      </w:r>
      <w:r>
        <w:rPr>
          <w:color w:val="auto"/>
          <w:highlight w:val="none"/>
          <w:u w:val="none"/>
        </w:rPr>
        <w:t>废抹布等危险废物，以及生活办</w:t>
      </w:r>
      <w:r>
        <w:rPr>
          <w:rFonts w:hint="eastAsia"/>
          <w:color w:val="auto"/>
          <w:highlight w:val="none"/>
          <w:u w:val="none"/>
        </w:rPr>
        <w:t>公产生的生活垃圾。</w:t>
      </w:r>
    </w:p>
    <w:p w14:paraId="0596A983">
      <w:pPr>
        <w:rPr>
          <w:rFonts w:hint="eastAsia"/>
          <w:color w:val="auto"/>
          <w:highlight w:val="none"/>
          <w:u w:val="none"/>
        </w:rPr>
      </w:pPr>
      <w:r>
        <w:rPr>
          <w:rFonts w:hint="eastAsia"/>
          <w:color w:val="auto"/>
          <w:highlight w:val="none"/>
          <w:u w:val="none"/>
        </w:rPr>
        <w:t>项目应按照“减量化、资源化、无害化”原则，对固体废物进行分类收集、处理和处置。危险废物严格执行危险废物转移电子联单制度，强化危险废物运输的环境保护措施，确保运输过程不发生环境安全事故。按规范设置一般固废临时储存场和危险废物临时储存场。</w:t>
      </w:r>
    </w:p>
    <w:p w14:paraId="7FF1B198">
      <w:pPr>
        <w:rPr>
          <w:rFonts w:hint="eastAsia"/>
          <w:color w:val="auto"/>
          <w:highlight w:val="none"/>
          <w:u w:val="none"/>
        </w:rPr>
      </w:pPr>
      <w:r>
        <w:rPr>
          <w:rFonts w:hint="eastAsia"/>
          <w:color w:val="auto"/>
          <w:highlight w:val="none"/>
          <w:u w:val="none"/>
        </w:rPr>
        <w:t>本项目固体废物处置可行性分析见固体废物环境影响分析章节。</w:t>
      </w:r>
    </w:p>
    <w:p w14:paraId="76371E75">
      <w:pPr>
        <w:pStyle w:val="6"/>
        <w:spacing w:before="156" w:after="156"/>
        <w:rPr>
          <w:color w:val="auto"/>
          <w:highlight w:val="none"/>
          <w:u w:val="none"/>
        </w:rPr>
      </w:pPr>
      <w:bookmarkStart w:id="723" w:name="_Toc148374719"/>
      <w:bookmarkStart w:id="724" w:name="_Toc148375161"/>
      <w:r>
        <w:rPr>
          <w:color w:val="auto"/>
          <w:highlight w:val="none"/>
          <w:u w:val="none"/>
        </w:rPr>
        <w:t>地下水污染防治措施</w:t>
      </w:r>
      <w:bookmarkEnd w:id="723"/>
      <w:bookmarkEnd w:id="724"/>
    </w:p>
    <w:p w14:paraId="3B9873A7">
      <w:pPr>
        <w:rPr>
          <w:rFonts w:hint="eastAsia"/>
          <w:color w:val="auto"/>
          <w:highlight w:val="none"/>
          <w:u w:val="none"/>
        </w:rPr>
      </w:pPr>
      <w:r>
        <w:rPr>
          <w:rFonts w:hint="eastAsia"/>
          <w:color w:val="auto"/>
          <w:highlight w:val="none"/>
          <w:u w:val="none"/>
        </w:rPr>
        <w:t>为防止项目运行对地下水造成污染，</w:t>
      </w:r>
      <w:r>
        <w:rPr>
          <w:color w:val="auto"/>
          <w:highlight w:val="none"/>
          <w:u w:val="none"/>
        </w:rPr>
        <w:t>建设单位要按照《环境影响评价技术导则地</w:t>
      </w:r>
      <w:r>
        <w:rPr>
          <w:rFonts w:hint="eastAsia"/>
          <w:color w:val="auto"/>
          <w:highlight w:val="none"/>
          <w:u w:val="none"/>
        </w:rPr>
        <w:t>下水环境》</w:t>
      </w:r>
      <w:r>
        <w:rPr>
          <w:color w:val="auto"/>
          <w:highlight w:val="none"/>
          <w:u w:val="none"/>
        </w:rPr>
        <w:t>（HJ610-2016）</w:t>
      </w:r>
      <w:r>
        <w:rPr>
          <w:rFonts w:hint="eastAsia"/>
          <w:color w:val="auto"/>
          <w:highlight w:val="none"/>
          <w:u w:val="none"/>
        </w:rPr>
        <w:t>、《地下水污染源防渗技术指南（试行）》（</w:t>
      </w:r>
      <w:r>
        <w:rPr>
          <w:color w:val="auto"/>
          <w:highlight w:val="none"/>
          <w:u w:val="none"/>
        </w:rPr>
        <w:t>2020年）、和《石油化工工程防渗技术规范》（GBT50934-2013）的相</w:t>
      </w:r>
      <w:r>
        <w:rPr>
          <w:rFonts w:hint="eastAsia"/>
          <w:color w:val="auto"/>
          <w:highlight w:val="none"/>
          <w:u w:val="none"/>
        </w:rPr>
        <w:t>关规定，</w:t>
      </w:r>
      <w:r>
        <w:rPr>
          <w:color w:val="auto"/>
          <w:highlight w:val="none"/>
          <w:u w:val="none"/>
        </w:rPr>
        <w:t>按照“源头控制、分区防控、污染监控、应急响应”的原则，从原料和产品的储</w:t>
      </w:r>
      <w:r>
        <w:rPr>
          <w:rFonts w:hint="eastAsia"/>
          <w:color w:val="auto"/>
          <w:highlight w:val="none"/>
          <w:u w:val="none"/>
        </w:rPr>
        <w:t>存、</w:t>
      </w:r>
      <w:r>
        <w:rPr>
          <w:color w:val="auto"/>
          <w:highlight w:val="none"/>
          <w:u w:val="none"/>
        </w:rPr>
        <w:t>装卸、运输、生产过程、污染处理装置等全过程控制各种有毒有害原辅材料、中间</w:t>
      </w:r>
      <w:r>
        <w:rPr>
          <w:rFonts w:hint="eastAsia"/>
          <w:color w:val="auto"/>
          <w:highlight w:val="none"/>
          <w:u w:val="none"/>
        </w:rPr>
        <w:t>材料、</w:t>
      </w:r>
      <w:r>
        <w:rPr>
          <w:color w:val="auto"/>
          <w:highlight w:val="none"/>
          <w:u w:val="none"/>
        </w:rPr>
        <w:t>产品泄漏（含跑、冒、滴、漏）；同时针对厂区的地质环境、水文地质条件，对</w:t>
      </w:r>
      <w:r>
        <w:rPr>
          <w:rFonts w:hint="eastAsia"/>
          <w:color w:val="auto"/>
          <w:highlight w:val="none"/>
          <w:u w:val="none"/>
        </w:rPr>
        <w:t>有害物质可能泄漏到的区域采取防渗措施，</w:t>
      </w:r>
      <w:r>
        <w:rPr>
          <w:color w:val="auto"/>
          <w:highlight w:val="none"/>
          <w:u w:val="none"/>
        </w:rPr>
        <w:t>阻止其渗入地下水中，即从源头到末端全方</w:t>
      </w:r>
      <w:r>
        <w:rPr>
          <w:rFonts w:hint="eastAsia"/>
          <w:color w:val="auto"/>
          <w:highlight w:val="none"/>
          <w:u w:val="none"/>
        </w:rPr>
        <w:t>位采取控制措施，</w:t>
      </w:r>
      <w:r>
        <w:rPr>
          <w:color w:val="auto"/>
          <w:highlight w:val="none"/>
          <w:u w:val="none"/>
        </w:rPr>
        <w:t>防止建设项目运行对地下水污染，具体措施详见地下水环境影响章节</w:t>
      </w:r>
      <w:r>
        <w:rPr>
          <w:rFonts w:hint="eastAsia"/>
          <w:color w:val="auto"/>
          <w:highlight w:val="none"/>
          <w:u w:val="none"/>
        </w:rPr>
        <w:t>。</w:t>
      </w:r>
    </w:p>
    <w:p w14:paraId="62999EF7">
      <w:pPr>
        <w:pStyle w:val="6"/>
        <w:spacing w:before="156" w:after="156"/>
        <w:rPr>
          <w:color w:val="auto"/>
          <w:highlight w:val="none"/>
          <w:u w:val="none"/>
        </w:rPr>
      </w:pPr>
      <w:bookmarkStart w:id="725" w:name="_Toc148375162"/>
      <w:bookmarkStart w:id="726" w:name="_Toc148374720"/>
      <w:r>
        <w:rPr>
          <w:rFonts w:hint="eastAsia"/>
          <w:color w:val="auto"/>
          <w:highlight w:val="none"/>
          <w:u w:val="none"/>
        </w:rPr>
        <w:t>土壤污染防治措施与可行性分析</w:t>
      </w:r>
      <w:bookmarkEnd w:id="725"/>
      <w:bookmarkEnd w:id="726"/>
    </w:p>
    <w:p w14:paraId="3A7446A4">
      <w:pPr>
        <w:rPr>
          <w:rFonts w:hint="eastAsia"/>
          <w:color w:val="auto"/>
          <w:highlight w:val="none"/>
          <w:u w:val="none"/>
        </w:rPr>
      </w:pPr>
      <w:r>
        <w:rPr>
          <w:rFonts w:hint="eastAsia"/>
          <w:color w:val="auto"/>
          <w:highlight w:val="none"/>
          <w:u w:val="none"/>
        </w:rPr>
        <w:t>（</w:t>
      </w:r>
      <w:r>
        <w:rPr>
          <w:color w:val="auto"/>
          <w:highlight w:val="none"/>
          <w:u w:val="none"/>
        </w:rPr>
        <w:t>1）设备、设施防渗措施</w:t>
      </w:r>
    </w:p>
    <w:p w14:paraId="19C6E469">
      <w:pPr>
        <w:rPr>
          <w:rFonts w:hint="eastAsia"/>
          <w:color w:val="auto"/>
          <w:highlight w:val="none"/>
          <w:u w:val="none"/>
        </w:rPr>
      </w:pPr>
      <w:r>
        <w:rPr>
          <w:rFonts w:hint="eastAsia"/>
          <w:color w:val="auto"/>
          <w:highlight w:val="none"/>
          <w:u w:val="none"/>
        </w:rPr>
        <w:t>储罐区按照不同物料性质，</w:t>
      </w:r>
      <w:r>
        <w:rPr>
          <w:color w:val="auto"/>
          <w:highlight w:val="none"/>
          <w:u w:val="none"/>
        </w:rPr>
        <w:t>分别设置围堰，围堰、废液收集池和污水处理池等均按</w:t>
      </w:r>
      <w:r>
        <w:rPr>
          <w:rFonts w:hint="eastAsia"/>
          <w:color w:val="auto"/>
          <w:highlight w:val="none"/>
          <w:u w:val="none"/>
        </w:rPr>
        <w:t>要求做好分区防渗。</w:t>
      </w:r>
      <w:r>
        <w:rPr>
          <w:color w:val="auto"/>
          <w:highlight w:val="none"/>
          <w:u w:val="none"/>
        </w:rPr>
        <w:t>对于储存和输送有毒有害介质的设备和管线排液阀门采用双阀，设</w:t>
      </w:r>
      <w:r>
        <w:rPr>
          <w:rFonts w:hint="eastAsia"/>
          <w:color w:val="auto"/>
          <w:highlight w:val="none"/>
          <w:u w:val="none"/>
        </w:rPr>
        <w:t>备及管道排放出的各种含有毒有害介质液体设置专门的废液收集系统加以收集，</w:t>
      </w:r>
      <w:r>
        <w:rPr>
          <w:color w:val="auto"/>
          <w:highlight w:val="none"/>
          <w:u w:val="none"/>
        </w:rPr>
        <w:t>不任意</w:t>
      </w:r>
      <w:r>
        <w:rPr>
          <w:rFonts w:hint="eastAsia"/>
          <w:color w:val="auto"/>
          <w:highlight w:val="none"/>
          <w:u w:val="none"/>
        </w:rPr>
        <w:t>排放。</w:t>
      </w:r>
    </w:p>
    <w:p w14:paraId="7E355A05">
      <w:pPr>
        <w:rPr>
          <w:rFonts w:hint="eastAsia"/>
          <w:color w:val="auto"/>
          <w:highlight w:val="none"/>
          <w:u w:val="none"/>
        </w:rPr>
      </w:pPr>
      <w:r>
        <w:rPr>
          <w:rFonts w:hint="eastAsia"/>
          <w:color w:val="auto"/>
          <w:highlight w:val="none"/>
          <w:u w:val="none"/>
        </w:rPr>
        <w:t>（</w:t>
      </w:r>
      <w:r>
        <w:rPr>
          <w:color w:val="auto"/>
          <w:highlight w:val="none"/>
          <w:u w:val="none"/>
        </w:rPr>
        <w:t>2）健全环境管理和监测制度</w:t>
      </w:r>
    </w:p>
    <w:p w14:paraId="5FCB75C3">
      <w:pPr>
        <w:rPr>
          <w:rFonts w:hint="eastAsia"/>
          <w:color w:val="auto"/>
          <w:highlight w:val="none"/>
          <w:u w:val="none"/>
        </w:rPr>
      </w:pPr>
      <w:r>
        <w:rPr>
          <w:rFonts w:hint="eastAsia"/>
          <w:color w:val="auto"/>
          <w:highlight w:val="none"/>
          <w:u w:val="none"/>
        </w:rPr>
        <w:t>建立健全环境管理和监测制度，</w:t>
      </w:r>
      <w:r>
        <w:rPr>
          <w:color w:val="auto"/>
          <w:highlight w:val="none"/>
          <w:u w:val="none"/>
        </w:rPr>
        <w:t>保证各环保设施正常运转，同时强化风险防范意识，</w:t>
      </w:r>
      <w:r>
        <w:rPr>
          <w:rFonts w:hint="eastAsia"/>
          <w:color w:val="auto"/>
          <w:highlight w:val="none"/>
          <w:u w:val="none"/>
        </w:rPr>
        <w:t>如遇环保设施不能正常运转，</w:t>
      </w:r>
      <w:r>
        <w:rPr>
          <w:color w:val="auto"/>
          <w:highlight w:val="none"/>
          <w:u w:val="none"/>
        </w:rPr>
        <w:t>应立即停产检修。</w:t>
      </w:r>
    </w:p>
    <w:p w14:paraId="1B71B519">
      <w:pPr>
        <w:rPr>
          <w:rFonts w:hint="eastAsia"/>
          <w:color w:val="auto"/>
          <w:highlight w:val="none"/>
          <w:u w:val="none"/>
        </w:rPr>
      </w:pPr>
      <w:r>
        <w:rPr>
          <w:rFonts w:hint="eastAsia"/>
          <w:color w:val="auto"/>
          <w:highlight w:val="none"/>
          <w:u w:val="none"/>
        </w:rPr>
        <w:t>（</w:t>
      </w:r>
      <w:r>
        <w:rPr>
          <w:color w:val="auto"/>
          <w:highlight w:val="none"/>
          <w:u w:val="none"/>
        </w:rPr>
        <w:t>3）定期进行环境监测</w:t>
      </w:r>
    </w:p>
    <w:p w14:paraId="743D5233">
      <w:pPr>
        <w:rPr>
          <w:rFonts w:hint="eastAsia"/>
          <w:color w:val="auto"/>
          <w:highlight w:val="none"/>
          <w:u w:val="none"/>
        </w:rPr>
      </w:pPr>
      <w:r>
        <w:rPr>
          <w:rFonts w:hint="eastAsia"/>
          <w:color w:val="auto"/>
          <w:highlight w:val="none"/>
          <w:u w:val="none"/>
        </w:rPr>
        <w:t>储罐区附近设置土壤质量监控点，</w:t>
      </w:r>
      <w:r>
        <w:rPr>
          <w:color w:val="auto"/>
          <w:highlight w:val="none"/>
          <w:u w:val="none"/>
        </w:rPr>
        <w:t>日常生产中加强巡回检查，发现设备故障及跑、</w:t>
      </w:r>
      <w:r>
        <w:rPr>
          <w:rFonts w:hint="eastAsia"/>
          <w:color w:val="auto"/>
          <w:highlight w:val="none"/>
          <w:u w:val="none"/>
        </w:rPr>
        <w:t>冒、</w:t>
      </w:r>
      <w:r>
        <w:rPr>
          <w:color w:val="auto"/>
          <w:highlight w:val="none"/>
          <w:u w:val="none"/>
        </w:rPr>
        <w:t>滴、漏现象及时处理，地面散落的物料、</w:t>
      </w:r>
      <w:r>
        <w:rPr>
          <w:rFonts w:hint="eastAsia"/>
          <w:color w:val="auto"/>
          <w:highlight w:val="none"/>
          <w:u w:val="none"/>
        </w:rPr>
        <w:t>化学品</w:t>
      </w:r>
      <w:r>
        <w:rPr>
          <w:color w:val="auto"/>
          <w:highlight w:val="none"/>
          <w:u w:val="none"/>
        </w:rPr>
        <w:t>等及时清扫、收集，合理处置不</w:t>
      </w:r>
      <w:r>
        <w:rPr>
          <w:rFonts w:hint="eastAsia"/>
          <w:color w:val="auto"/>
          <w:highlight w:val="none"/>
          <w:u w:val="none"/>
        </w:rPr>
        <w:t>得随意倾倒。</w:t>
      </w:r>
    </w:p>
    <w:p w14:paraId="6F8771B9">
      <w:pPr>
        <w:rPr>
          <w:rFonts w:hint="eastAsia"/>
          <w:color w:val="auto"/>
          <w:highlight w:val="none"/>
          <w:u w:val="none"/>
        </w:rPr>
      </w:pPr>
      <w:r>
        <w:rPr>
          <w:rFonts w:hint="eastAsia"/>
          <w:color w:val="auto"/>
          <w:highlight w:val="none"/>
          <w:u w:val="none"/>
        </w:rPr>
        <w:t>应在生态环境监测部门的协助下定期对厂址周边地下水、</w:t>
      </w:r>
      <w:r>
        <w:rPr>
          <w:color w:val="auto"/>
          <w:highlight w:val="none"/>
          <w:u w:val="none"/>
        </w:rPr>
        <w:t>土壤进行特征污染物的监测，</w:t>
      </w:r>
      <w:r>
        <w:rPr>
          <w:rFonts w:hint="eastAsia"/>
          <w:color w:val="auto"/>
          <w:highlight w:val="none"/>
          <w:u w:val="none"/>
        </w:rPr>
        <w:t>掌握厂址周边污染变化趋势。</w:t>
      </w:r>
    </w:p>
    <w:p w14:paraId="3A22C882">
      <w:pPr>
        <w:rPr>
          <w:rFonts w:hint="eastAsia"/>
          <w:color w:val="auto"/>
          <w:highlight w:val="none"/>
          <w:u w:val="none"/>
        </w:rPr>
      </w:pPr>
      <w:r>
        <w:rPr>
          <w:rFonts w:hint="eastAsia"/>
          <w:color w:val="auto"/>
          <w:highlight w:val="none"/>
          <w:u w:val="none"/>
        </w:rPr>
        <w:t>（</w:t>
      </w:r>
      <w:r>
        <w:rPr>
          <w:color w:val="auto"/>
          <w:highlight w:val="none"/>
          <w:u w:val="none"/>
        </w:rPr>
        <w:t>4）在生产活动中，做好罐区、污水系统设备的维护、检修，杜绝跑、冒、</w:t>
      </w:r>
      <w:r>
        <w:rPr>
          <w:rFonts w:hint="eastAsia"/>
          <w:color w:val="auto"/>
          <w:highlight w:val="none"/>
          <w:u w:val="none"/>
        </w:rPr>
        <w:t>滴、</w:t>
      </w:r>
      <w:r>
        <w:rPr>
          <w:color w:val="auto"/>
          <w:highlight w:val="none"/>
          <w:u w:val="none"/>
        </w:rPr>
        <w:t>漏现象。同时，加强污染物产生主要环节的安全防护、报警措施，以便及时发现事</w:t>
      </w:r>
      <w:r>
        <w:rPr>
          <w:rFonts w:hint="eastAsia"/>
          <w:color w:val="auto"/>
          <w:highlight w:val="none"/>
          <w:u w:val="none"/>
        </w:rPr>
        <w:t>故隐患，</w:t>
      </w:r>
      <w:r>
        <w:rPr>
          <w:color w:val="auto"/>
          <w:highlight w:val="none"/>
          <w:u w:val="none"/>
        </w:rPr>
        <w:t>采取有效的应对措施</w:t>
      </w:r>
      <w:r>
        <w:rPr>
          <w:rFonts w:hint="eastAsia"/>
          <w:color w:val="auto"/>
          <w:highlight w:val="none"/>
          <w:u w:val="none"/>
        </w:rPr>
        <w:t>。</w:t>
      </w:r>
    </w:p>
    <w:p w14:paraId="6372F845">
      <w:pPr>
        <w:pStyle w:val="6"/>
        <w:spacing w:before="156" w:after="156"/>
        <w:rPr>
          <w:color w:val="auto"/>
          <w:highlight w:val="none"/>
          <w:u w:val="none"/>
        </w:rPr>
      </w:pPr>
      <w:bookmarkStart w:id="727" w:name="_Toc148374721"/>
      <w:bookmarkStart w:id="728" w:name="_Toc148375163"/>
      <w:r>
        <w:rPr>
          <w:color w:val="auto"/>
          <w:highlight w:val="none"/>
          <w:u w:val="none"/>
        </w:rPr>
        <w:t>事故风险防范与应急措施</w:t>
      </w:r>
      <w:bookmarkEnd w:id="727"/>
      <w:bookmarkEnd w:id="728"/>
    </w:p>
    <w:p w14:paraId="4CAB4F20">
      <w:pPr>
        <w:rPr>
          <w:rFonts w:hint="eastAsia"/>
          <w:color w:val="auto"/>
          <w:highlight w:val="none"/>
          <w:u w:val="none"/>
        </w:rPr>
      </w:pPr>
      <w:r>
        <w:rPr>
          <w:rFonts w:hint="eastAsia"/>
          <w:color w:val="auto"/>
          <w:highlight w:val="none"/>
          <w:u w:val="none"/>
        </w:rPr>
        <w:t>坚持“以人为本、预防为主”的指导思想，针对主厂区的各生产装置、罐组等区域潜在的风险事故区或风险源采取相应的事故风险防范措施，制订应急计划。在设计、建设和运行过程中，科学规划、合理布置，采取必要的分隔及相应的防火、防爆等安全防护措施，建立严格的安全生产制度，提高操作人员的素质和水平，以减少事故的发生。并充分考虑各种防泄漏措施，特别是防止有毒有害物质进入外部环境的控制措施。</w:t>
      </w:r>
    </w:p>
    <w:p w14:paraId="63075338">
      <w:pPr>
        <w:rPr>
          <w:rFonts w:hint="eastAsia"/>
          <w:color w:val="auto"/>
          <w:highlight w:val="none"/>
          <w:u w:val="none"/>
        </w:rPr>
      </w:pPr>
      <w:r>
        <w:rPr>
          <w:rFonts w:hint="eastAsia"/>
          <w:color w:val="auto"/>
          <w:highlight w:val="none"/>
          <w:u w:val="none"/>
        </w:rPr>
        <w:t>项目设计、建设和运行管理中应重点做好以下环境风险防范与应急措施：</w:t>
      </w:r>
    </w:p>
    <w:p w14:paraId="2B1067F5">
      <w:pPr>
        <w:rPr>
          <w:rFonts w:hint="eastAsia"/>
          <w:color w:val="auto"/>
          <w:highlight w:val="none"/>
          <w:u w:val="none"/>
        </w:rPr>
      </w:pPr>
      <w:r>
        <w:rPr>
          <w:rFonts w:hint="eastAsia"/>
          <w:color w:val="auto"/>
          <w:highlight w:val="none"/>
          <w:u w:val="none"/>
        </w:rPr>
        <w:t>①按规范设置可燃、有毒有害气体泄漏自动监测、报警、紧急切断及紧急停车系统，</w:t>
      </w:r>
      <w:r>
        <w:rPr>
          <w:color w:val="auto"/>
          <w:highlight w:val="none"/>
          <w:u w:val="none"/>
        </w:rPr>
        <w:t>以及防火、防爆、防中毒等事故处理系统。</w:t>
      </w:r>
    </w:p>
    <w:p w14:paraId="2F70E8F6">
      <w:pPr>
        <w:rPr>
          <w:rFonts w:hint="eastAsia"/>
          <w:color w:val="auto"/>
          <w:highlight w:val="none"/>
          <w:u w:val="none"/>
        </w:rPr>
      </w:pPr>
      <w:r>
        <w:rPr>
          <w:rFonts w:hint="eastAsia"/>
          <w:color w:val="auto"/>
          <w:highlight w:val="none"/>
          <w:u w:val="none"/>
        </w:rPr>
        <w:t>②按规范设置装置区初期雨水围堰、储罐区防火堤，初期雨水池和雨水监测池，以及应急事故池的四级防控系统，项目全厂设总有效容积为</w:t>
      </w:r>
      <w:r>
        <w:rPr>
          <w:color w:val="auto"/>
          <w:highlight w:val="none"/>
          <w:u w:val="none"/>
        </w:rPr>
        <w:t>29000m</w:t>
      </w:r>
      <w:r>
        <w:rPr>
          <w:color w:val="auto"/>
          <w:highlight w:val="none"/>
          <w:u w:val="none"/>
          <w:vertAlign w:val="superscript"/>
        </w:rPr>
        <w:t>3</w:t>
      </w:r>
      <w:r>
        <w:rPr>
          <w:color w:val="auto"/>
          <w:highlight w:val="none"/>
          <w:u w:val="none"/>
        </w:rPr>
        <w:t>的事故应急储存设施。规范建设自流式应急事故池和相应的导流设施，储罐围堰外应设置切换阀门，切</w:t>
      </w:r>
      <w:r>
        <w:rPr>
          <w:rFonts w:hint="eastAsia"/>
          <w:color w:val="auto"/>
          <w:highlight w:val="none"/>
          <w:u w:val="none"/>
        </w:rPr>
        <w:t>换阀门操作宜设在地面，并设电动、手动双用闸阀，事故池配置双回路电源的大功率抽水泵站和柴油抽水泵等。确保未经处理废水和事故污水不出厂。</w:t>
      </w:r>
    </w:p>
    <w:p w14:paraId="19A5FFBC">
      <w:pPr>
        <w:rPr>
          <w:rFonts w:hint="eastAsia"/>
          <w:color w:val="auto"/>
          <w:highlight w:val="none"/>
          <w:u w:val="none"/>
        </w:rPr>
      </w:pPr>
      <w:r>
        <w:rPr>
          <w:rFonts w:hint="eastAsia"/>
          <w:color w:val="auto"/>
          <w:highlight w:val="none"/>
          <w:u w:val="none"/>
        </w:rPr>
        <w:t>③废水处理调节池等设施与事故四级防控设施应分别设计、建设，在非事故情况下不得混用。优化事故污水收集输送途径，严格雨污管道建设管理，坚决实施雨污分流，</w:t>
      </w:r>
      <w:r>
        <w:rPr>
          <w:color w:val="auto"/>
          <w:highlight w:val="none"/>
          <w:u w:val="none"/>
        </w:rPr>
        <w:t>严防事故污水污染雨水收集系统。</w:t>
      </w:r>
    </w:p>
    <w:p w14:paraId="10508506">
      <w:pPr>
        <w:rPr>
          <w:rFonts w:hint="eastAsia"/>
          <w:color w:val="auto"/>
          <w:highlight w:val="none"/>
          <w:u w:val="none"/>
        </w:rPr>
      </w:pPr>
      <w:r>
        <w:rPr>
          <w:rFonts w:hint="eastAsia"/>
          <w:color w:val="auto"/>
          <w:highlight w:val="none"/>
          <w:u w:val="none"/>
        </w:rPr>
        <w:t>④制定环境风险应急预案并与园区、地方政府应急联动，细化应急疏散内容，</w:t>
      </w:r>
      <w:r>
        <w:rPr>
          <w:color w:val="auto"/>
          <w:highlight w:val="none"/>
          <w:u w:val="none"/>
        </w:rPr>
        <w:t>定期开展事故环境风险应急演练。</w:t>
      </w:r>
    </w:p>
    <w:p w14:paraId="7C0BF3B8">
      <w:pPr>
        <w:rPr>
          <w:rFonts w:hint="eastAsia"/>
          <w:color w:val="auto"/>
          <w:highlight w:val="none"/>
          <w:u w:val="none"/>
        </w:rPr>
      </w:pPr>
      <w:r>
        <w:rPr>
          <w:rFonts w:hint="eastAsia"/>
          <w:color w:val="auto"/>
          <w:highlight w:val="none"/>
          <w:u w:val="none"/>
        </w:rPr>
        <w:t>环境事故风险防控措施和应急措施具体内容详见环境风险评价中相关内容。</w:t>
      </w:r>
    </w:p>
    <w:p w14:paraId="7191D10D">
      <w:pPr>
        <w:ind w:firstLine="0" w:firstLineChars="0"/>
        <w:rPr>
          <w:rFonts w:hint="eastAsia"/>
          <w:color w:val="auto"/>
          <w:highlight w:val="none"/>
          <w:u w:val="none"/>
        </w:rPr>
      </w:pPr>
    </w:p>
    <w:p w14:paraId="020DDFA1">
      <w:pPr>
        <w:ind w:firstLine="0" w:firstLineChars="0"/>
        <w:rPr>
          <w:rFonts w:hint="eastAsia"/>
          <w:color w:val="auto"/>
          <w:highlight w:val="none"/>
          <w:u w:val="none"/>
        </w:rPr>
      </w:pPr>
    </w:p>
    <w:p w14:paraId="6948D95C">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2AC78F45">
      <w:pPr>
        <w:pStyle w:val="3"/>
        <w:rPr>
          <w:rFonts w:hint="eastAsia"/>
          <w:color w:val="auto"/>
          <w:highlight w:val="none"/>
          <w:u w:val="none"/>
        </w:rPr>
      </w:pPr>
      <w:bookmarkStart w:id="729" w:name="_Toc30291"/>
      <w:bookmarkStart w:id="730" w:name="_Toc148374844"/>
      <w:bookmarkStart w:id="731" w:name="_Toc148374722"/>
      <w:bookmarkStart w:id="732" w:name="_Toc148375164"/>
      <w:r>
        <w:rPr>
          <w:rFonts w:hint="eastAsia"/>
          <w:color w:val="auto"/>
          <w:highlight w:val="none"/>
          <w:u w:val="none"/>
        </w:rPr>
        <w:t>环境影响经济损益分析</w:t>
      </w:r>
      <w:bookmarkEnd w:id="729"/>
      <w:bookmarkEnd w:id="730"/>
      <w:bookmarkEnd w:id="731"/>
      <w:bookmarkEnd w:id="732"/>
    </w:p>
    <w:p w14:paraId="44D00350">
      <w:pPr>
        <w:rPr>
          <w:rFonts w:hint="eastAsia"/>
          <w:color w:val="auto"/>
          <w:highlight w:val="none"/>
          <w:u w:val="none"/>
        </w:rPr>
      </w:pPr>
      <w:r>
        <w:rPr>
          <w:rFonts w:hint="eastAsia"/>
          <w:color w:val="auto"/>
          <w:highlight w:val="none"/>
          <w:u w:val="none"/>
        </w:rPr>
        <w:t>环境经济损益分析是环境影响评价的一项重要工作内容，其主要任务是估算建设项目需要投入的环保投资和所能收到的环境保护效果。环境经济损益分析是以建设项目实施后的环境影响预测与环境质量现状进行比较，从环境影响的正负两方面，以定性与定量相结合的方式，对建设项目的环境影响后果（包括直接和间接影响、不利和有利影响）进行货币化经济损益核算，估算建设项目环境影响的经济价值。</w:t>
      </w:r>
    </w:p>
    <w:p w14:paraId="7B1BE535">
      <w:pPr>
        <w:rPr>
          <w:rFonts w:hint="eastAsia"/>
          <w:color w:val="auto"/>
          <w:highlight w:val="none"/>
          <w:u w:val="none"/>
        </w:rPr>
      </w:pPr>
      <w:r>
        <w:rPr>
          <w:rFonts w:hint="eastAsia"/>
          <w:color w:val="auto"/>
          <w:highlight w:val="none"/>
          <w:u w:val="none"/>
        </w:rPr>
        <w:t>根据本项目特征，对环境产生不利影响的主要因子为噪声、水污染和大气污染，应注意采取切实可行的污染治理措施，使建设项目的经济效益、环境效益得到有机统一，做到经济建设的可持续发展。</w:t>
      </w:r>
    </w:p>
    <w:p w14:paraId="78351797">
      <w:pPr>
        <w:pStyle w:val="4"/>
        <w:jc w:val="both"/>
        <w:rPr>
          <w:rFonts w:hint="eastAsia" w:eastAsia="楷体"/>
          <w:color w:val="auto"/>
          <w:highlight w:val="none"/>
          <w:u w:val="none"/>
        </w:rPr>
      </w:pPr>
      <w:bookmarkStart w:id="733" w:name="_Toc215"/>
      <w:bookmarkStart w:id="734" w:name="_Toc148375165"/>
      <w:bookmarkStart w:id="735" w:name="_Toc148374723"/>
      <w:bookmarkStart w:id="736" w:name="_Toc148374845"/>
      <w:bookmarkStart w:id="737" w:name="_Toc109211115"/>
      <w:bookmarkStart w:id="738" w:name="_Toc57642337"/>
      <w:r>
        <w:rPr>
          <w:rFonts w:hint="eastAsia" w:eastAsia="楷体"/>
          <w:color w:val="auto"/>
          <w:highlight w:val="none"/>
          <w:u w:val="none"/>
        </w:rPr>
        <w:t>经济效益和社会效益</w:t>
      </w:r>
      <w:bookmarkEnd w:id="733"/>
      <w:bookmarkEnd w:id="734"/>
      <w:bookmarkEnd w:id="735"/>
      <w:bookmarkEnd w:id="736"/>
      <w:bookmarkEnd w:id="737"/>
      <w:bookmarkEnd w:id="738"/>
    </w:p>
    <w:p w14:paraId="27D6E714">
      <w:pPr>
        <w:pStyle w:val="6"/>
        <w:spacing w:before="156" w:after="156"/>
        <w:rPr>
          <w:rStyle w:val="161"/>
          <w:rFonts w:cs="Times New Roman"/>
          <w:iCs w:val="0"/>
          <w:color w:val="auto"/>
          <w:kern w:val="0"/>
          <w:sz w:val="32"/>
          <w:szCs w:val="32"/>
          <w:highlight w:val="none"/>
          <w:u w:val="none"/>
        </w:rPr>
      </w:pPr>
      <w:r>
        <w:rPr>
          <w:rStyle w:val="161"/>
          <w:rFonts w:cs="Times New Roman"/>
          <w:iCs w:val="0"/>
          <w:color w:val="auto"/>
          <w:kern w:val="0"/>
          <w:sz w:val="32"/>
          <w:szCs w:val="32"/>
          <w:highlight w:val="none"/>
          <w:u w:val="none"/>
        </w:rPr>
        <w:t>经济效益</w:t>
      </w:r>
    </w:p>
    <w:p w14:paraId="59779128">
      <w:pPr>
        <w:pStyle w:val="981"/>
        <w:rPr>
          <w:rStyle w:val="161"/>
          <w:rFonts w:hint="eastAsia"/>
          <w:color w:val="auto"/>
          <w:sz w:val="24"/>
          <w:szCs w:val="24"/>
          <w:highlight w:val="none"/>
          <w:u w:val="none"/>
          <w:lang w:val="en-US"/>
        </w:rPr>
      </w:pPr>
      <w:r>
        <w:rPr>
          <w:rStyle w:val="161"/>
          <w:rFonts w:hint="eastAsia"/>
          <w:color w:val="auto"/>
          <w:sz w:val="24"/>
          <w:szCs w:val="24"/>
          <w:highlight w:val="none"/>
          <w:u w:val="none"/>
        </w:rPr>
        <w:t>本项目</w:t>
      </w:r>
      <w:r>
        <w:rPr>
          <w:rStyle w:val="161"/>
          <w:rFonts w:hint="eastAsia"/>
          <w:color w:val="auto"/>
          <w:sz w:val="24"/>
          <w:szCs w:val="24"/>
          <w:highlight w:val="none"/>
          <w:u w:val="none"/>
          <w:lang w:val="en-US"/>
        </w:rPr>
        <w:t>在现有的TDI一期装置区内进行技改扩能，从财务评价的角度来看，该项目可行，具有良好的经济效益、从敏感性分析可以看出，项目具有一定的抗风险能力，经济效益显著。</w:t>
      </w:r>
    </w:p>
    <w:p w14:paraId="5B08A091">
      <w:pPr>
        <w:pStyle w:val="6"/>
        <w:spacing w:before="156" w:after="156"/>
        <w:rPr>
          <w:color w:val="auto"/>
          <w:highlight w:val="none"/>
          <w:u w:val="none"/>
        </w:rPr>
      </w:pPr>
      <w:r>
        <w:rPr>
          <w:rFonts w:hint="eastAsia"/>
          <w:color w:val="auto"/>
          <w:highlight w:val="none"/>
          <w:u w:val="none"/>
        </w:rPr>
        <w:t>社会效益分析</w:t>
      </w:r>
    </w:p>
    <w:p w14:paraId="7504D03C">
      <w:pPr>
        <w:pStyle w:val="981"/>
        <w:rPr>
          <w:rFonts w:hint="eastAsia"/>
          <w:color w:val="auto"/>
          <w:highlight w:val="none"/>
          <w:u w:val="none"/>
        </w:rPr>
      </w:pPr>
      <w:r>
        <w:rPr>
          <w:rFonts w:hint="eastAsia"/>
          <w:color w:val="auto"/>
          <w:highlight w:val="none"/>
          <w:u w:val="none"/>
        </w:rPr>
        <w:t>本项目建成后也具有良好的社会效益。</w:t>
      </w:r>
    </w:p>
    <w:p w14:paraId="00CCB698">
      <w:pPr>
        <w:pStyle w:val="4"/>
        <w:spacing w:before="0" w:beforeLines="0" w:after="0" w:afterLines="0"/>
        <w:jc w:val="both"/>
        <w:rPr>
          <w:rFonts w:hint="eastAsia" w:eastAsia="楷体"/>
          <w:color w:val="auto"/>
          <w:highlight w:val="none"/>
          <w:u w:val="none"/>
        </w:rPr>
      </w:pPr>
      <w:bookmarkStart w:id="739" w:name="_Toc109211116"/>
      <w:bookmarkStart w:id="740" w:name="_Toc57642338"/>
      <w:bookmarkStart w:id="741" w:name="_Toc148375166"/>
      <w:bookmarkStart w:id="742" w:name="_Toc148374724"/>
      <w:bookmarkStart w:id="743" w:name="_Toc9808"/>
      <w:bookmarkStart w:id="744" w:name="_Toc148374846"/>
      <w:r>
        <w:rPr>
          <w:rFonts w:hint="eastAsia" w:eastAsia="楷体"/>
          <w:color w:val="auto"/>
          <w:highlight w:val="none"/>
          <w:u w:val="none"/>
        </w:rPr>
        <w:t>环境经济损益分析</w:t>
      </w:r>
      <w:bookmarkEnd w:id="739"/>
      <w:bookmarkEnd w:id="740"/>
      <w:bookmarkEnd w:id="741"/>
      <w:bookmarkEnd w:id="742"/>
      <w:bookmarkEnd w:id="743"/>
      <w:bookmarkEnd w:id="744"/>
    </w:p>
    <w:p w14:paraId="4885A249">
      <w:pPr>
        <w:pStyle w:val="6"/>
        <w:spacing w:before="156" w:after="156"/>
        <w:rPr>
          <w:color w:val="auto"/>
          <w:highlight w:val="none"/>
          <w:u w:val="none"/>
        </w:rPr>
      </w:pPr>
      <w:bookmarkStart w:id="745" w:name="_Toc148374725"/>
      <w:bookmarkStart w:id="746" w:name="_Toc148375167"/>
      <w:r>
        <w:rPr>
          <w:rFonts w:hint="eastAsia"/>
          <w:color w:val="auto"/>
          <w:highlight w:val="none"/>
          <w:u w:val="none"/>
        </w:rPr>
        <w:t>环保投资估算</w:t>
      </w:r>
      <w:bookmarkEnd w:id="745"/>
      <w:bookmarkEnd w:id="746"/>
    </w:p>
    <w:p w14:paraId="49AFA5C8">
      <w:pPr>
        <w:rPr>
          <w:rFonts w:hint="eastAsia"/>
          <w:color w:val="auto"/>
          <w:highlight w:val="none"/>
          <w:u w:val="none"/>
        </w:rPr>
      </w:pPr>
      <w:r>
        <w:rPr>
          <w:rFonts w:hint="eastAsia"/>
          <w:color w:val="auto"/>
          <w:highlight w:val="none"/>
          <w:u w:val="none"/>
        </w:rPr>
        <w:t>环保投资包括各废气处理设施、废水处理设施、固废处理处置设施、噪声防治设施、环境风险防范以及环保设施运行费用等投资。本项目的环保</w:t>
      </w:r>
      <w:r>
        <w:rPr>
          <w:rFonts w:hint="eastAsia"/>
          <w:color w:val="auto"/>
          <w:highlight w:val="none"/>
          <w:u w:val="none"/>
          <w:lang w:val="en-US"/>
        </w:rPr>
        <w:t>主要依托现有工程，环保投资主要为运行费用。</w:t>
      </w:r>
      <w:r>
        <w:rPr>
          <w:rFonts w:hint="eastAsia"/>
          <w:color w:val="auto"/>
          <w:highlight w:val="none"/>
          <w:u w:val="none"/>
        </w:rPr>
        <w:t>建设单位应按本报告书提出的环保措施要求落实环保工程预算资金。</w:t>
      </w:r>
    </w:p>
    <w:p w14:paraId="7277D819">
      <w:pPr>
        <w:rPr>
          <w:rFonts w:hint="eastAsia"/>
          <w:color w:val="auto"/>
          <w:highlight w:val="none"/>
          <w:u w:val="none"/>
        </w:rPr>
      </w:pPr>
      <w:r>
        <w:rPr>
          <w:color w:val="auto"/>
          <w:highlight w:val="none"/>
          <w:u w:val="none"/>
        </w:rPr>
        <w:t>根据环保投资估算，</w:t>
      </w:r>
      <w:r>
        <w:rPr>
          <w:rFonts w:hint="eastAsia"/>
          <w:color w:val="auto"/>
          <w:highlight w:val="none"/>
          <w:u w:val="none"/>
        </w:rPr>
        <w:t>项目</w:t>
      </w:r>
      <w:r>
        <w:rPr>
          <w:color w:val="auto"/>
          <w:highlight w:val="none"/>
          <w:u w:val="none"/>
        </w:rPr>
        <w:t>环保投资</w:t>
      </w:r>
      <w:r>
        <w:rPr>
          <w:rFonts w:hint="eastAsia"/>
          <w:color w:val="auto"/>
          <w:highlight w:val="none"/>
          <w:u w:val="none"/>
          <w:lang w:val="en-US"/>
        </w:rPr>
        <w:t>1260</w:t>
      </w:r>
      <w:r>
        <w:rPr>
          <w:color w:val="auto"/>
          <w:highlight w:val="none"/>
          <w:u w:val="none"/>
        </w:rPr>
        <w:t>万元，</w:t>
      </w:r>
      <w:r>
        <w:rPr>
          <w:rFonts w:hint="eastAsia"/>
          <w:color w:val="auto"/>
          <w:highlight w:val="none"/>
          <w:u w:val="none"/>
          <w:lang w:val="en-US"/>
        </w:rPr>
        <w:t>主要为</w:t>
      </w:r>
      <w:r>
        <w:rPr>
          <w:color w:val="auto"/>
          <w:highlight w:val="none"/>
          <w:u w:val="none"/>
        </w:rPr>
        <w:t>运行费用，环保投资占总投资8.43%，投资比例相对比较合理，因此从经济上考虑，环保措施是可行的。</w:t>
      </w:r>
    </w:p>
    <w:p w14:paraId="7AAA2D3E">
      <w:pPr>
        <w:rPr>
          <w:rFonts w:hint="eastAsia"/>
          <w:color w:val="auto"/>
          <w:highlight w:val="none"/>
          <w:u w:val="none"/>
        </w:rPr>
      </w:pPr>
    </w:p>
    <w:p w14:paraId="6D968E98">
      <w:pPr>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7258AF7A">
      <w:pPr>
        <w:pStyle w:val="6"/>
        <w:spacing w:before="156" w:after="156"/>
        <w:rPr>
          <w:color w:val="auto"/>
          <w:highlight w:val="none"/>
          <w:u w:val="none"/>
        </w:rPr>
      </w:pPr>
      <w:r>
        <w:rPr>
          <w:rFonts w:hint="eastAsia"/>
          <w:color w:val="auto"/>
          <w:highlight w:val="none"/>
          <w:u w:val="none"/>
        </w:rPr>
        <w:t>环保投资的环境效益</w:t>
      </w:r>
    </w:p>
    <w:p w14:paraId="4F50D621">
      <w:pPr>
        <w:pStyle w:val="981"/>
        <w:rPr>
          <w:rFonts w:hint="eastAsia"/>
          <w:color w:val="auto"/>
          <w:highlight w:val="none"/>
          <w:u w:val="none"/>
        </w:rPr>
      </w:pPr>
      <w:r>
        <w:rPr>
          <w:rFonts w:hint="eastAsia"/>
          <w:color w:val="auto"/>
          <w:highlight w:val="none"/>
          <w:u w:val="none"/>
        </w:rPr>
        <w:t>本项目污染治理设施的环境效益表现在以下方面：</w:t>
      </w:r>
    </w:p>
    <w:p w14:paraId="6B337EBC">
      <w:pPr>
        <w:pStyle w:val="981"/>
        <w:numPr>
          <w:ilvl w:val="0"/>
          <w:numId w:val="14"/>
        </w:numPr>
        <w:rPr>
          <w:rFonts w:hint="eastAsia"/>
          <w:color w:val="auto"/>
          <w:highlight w:val="none"/>
          <w:u w:val="none"/>
        </w:rPr>
      </w:pPr>
      <w:r>
        <w:rPr>
          <w:color w:val="auto"/>
          <w:highlight w:val="none"/>
          <w:u w:val="none"/>
        </w:rPr>
        <w:t>本项目依托</w:t>
      </w:r>
      <w:r>
        <w:rPr>
          <w:rFonts w:hint="eastAsia"/>
          <w:color w:val="auto"/>
          <w:highlight w:val="none"/>
          <w:u w:val="none"/>
        </w:rPr>
        <w:t>万华环保科技公司</w:t>
      </w:r>
      <w:r>
        <w:rPr>
          <w:color w:val="auto"/>
          <w:highlight w:val="none"/>
          <w:u w:val="none"/>
        </w:rPr>
        <w:t>能量回收装置处理部分有机废气、废液，燃烧烟气采用“低氮燃烧+SNCR脱硝+</w:t>
      </w:r>
      <w:r>
        <w:rPr>
          <w:rFonts w:hint="eastAsia"/>
          <w:color w:val="auto"/>
          <w:highlight w:val="none"/>
          <w:u w:val="none"/>
          <w:lang w:val="en-US"/>
        </w:rPr>
        <w:t>急冷塔</w:t>
      </w:r>
      <w:r>
        <w:rPr>
          <w:color w:val="auto"/>
          <w:highlight w:val="none"/>
          <w:u w:val="none"/>
        </w:rPr>
        <w:t>+干式喷射（活性炭）+布袋除尘+</w:t>
      </w:r>
      <w:r>
        <w:rPr>
          <w:rFonts w:hint="eastAsia"/>
          <w:color w:val="auto"/>
          <w:highlight w:val="none"/>
          <w:u w:val="none"/>
          <w:lang w:val="en-US"/>
        </w:rPr>
        <w:t>二级</w:t>
      </w:r>
      <w:r>
        <w:rPr>
          <w:color w:val="auto"/>
          <w:highlight w:val="none"/>
          <w:u w:val="none"/>
        </w:rPr>
        <w:t>喷淋+SCR”处理，精制尾气采用</w:t>
      </w:r>
      <w:r>
        <w:rPr>
          <w:rFonts w:hint="eastAsia"/>
          <w:color w:val="auto"/>
          <w:highlight w:val="none"/>
          <w:u w:val="none"/>
        </w:rPr>
        <w:t>“</w:t>
      </w:r>
      <w:r>
        <w:rPr>
          <w:color w:val="auto"/>
          <w:highlight w:val="none"/>
          <w:u w:val="none"/>
        </w:rPr>
        <w:t>冷凝+水洗涤+活性炭吸附</w:t>
      </w:r>
      <w:r>
        <w:rPr>
          <w:rFonts w:hint="eastAsia"/>
          <w:color w:val="auto"/>
          <w:highlight w:val="none"/>
          <w:u w:val="none"/>
        </w:rPr>
        <w:t>”</w:t>
      </w:r>
      <w:r>
        <w:rPr>
          <w:color w:val="auto"/>
          <w:highlight w:val="none"/>
          <w:u w:val="none"/>
        </w:rPr>
        <w:t>处理，ODCB储罐废气经两级活性炭吸附处理</w:t>
      </w:r>
      <w:r>
        <w:rPr>
          <w:rFonts w:hint="eastAsia"/>
          <w:color w:val="auto"/>
          <w:highlight w:val="none"/>
          <w:u w:val="none"/>
        </w:rPr>
        <w:t>，</w:t>
      </w:r>
      <w:r>
        <w:rPr>
          <w:rFonts w:hint="eastAsia"/>
          <w:color w:val="auto"/>
          <w:highlight w:val="none"/>
          <w:u w:val="none"/>
          <w:lang w:val="en-US"/>
        </w:rPr>
        <w:t>焦油颗粒装车站进过</w:t>
      </w:r>
      <w:r>
        <w:rPr>
          <w:rFonts w:hint="eastAsia"/>
          <w:color w:val="auto"/>
          <w:highlight w:val="none"/>
          <w:u w:val="none"/>
        </w:rPr>
        <w:t>经过二级粉尘过滤器</w:t>
      </w:r>
      <w:r>
        <w:rPr>
          <w:rFonts w:hint="eastAsia"/>
          <w:color w:val="auto"/>
          <w:highlight w:val="none"/>
          <w:u w:val="none"/>
          <w:lang w:val="en-US"/>
        </w:rPr>
        <w:t>处理后</w:t>
      </w:r>
      <w:r>
        <w:rPr>
          <w:color w:val="auto"/>
          <w:highlight w:val="none"/>
          <w:u w:val="none"/>
        </w:rPr>
        <w:t>，</w:t>
      </w:r>
      <w:r>
        <w:rPr>
          <w:rFonts w:hint="eastAsia"/>
          <w:color w:val="auto"/>
          <w:highlight w:val="none"/>
          <w:u w:val="none"/>
        </w:rPr>
        <w:t>均可实现达标排放</w:t>
      </w:r>
      <w:r>
        <w:rPr>
          <w:color w:val="auto"/>
          <w:highlight w:val="none"/>
          <w:u w:val="none"/>
        </w:rPr>
        <w:t>。根据大气预测结果，项目建成后大气污染物对区域大气环境影响不大。</w:t>
      </w:r>
    </w:p>
    <w:p w14:paraId="3191EED4">
      <w:pPr>
        <w:pStyle w:val="981"/>
        <w:rPr>
          <w:rFonts w:hint="eastAsia"/>
          <w:color w:val="auto"/>
          <w:highlight w:val="none"/>
          <w:u w:val="none"/>
        </w:rPr>
      </w:pPr>
      <w:r>
        <w:rPr>
          <w:rFonts w:hint="eastAsia"/>
          <w:color w:val="auto"/>
          <w:highlight w:val="none"/>
          <w:u w:val="none"/>
        </w:rPr>
        <w:t>（</w:t>
      </w:r>
      <w:r>
        <w:rPr>
          <w:color w:val="auto"/>
          <w:highlight w:val="none"/>
          <w:u w:val="none"/>
        </w:rPr>
        <w:t>2）本项目建成后，运营期生产废水和公辅工程废水均依托</w:t>
      </w:r>
      <w:r>
        <w:rPr>
          <w:rFonts w:hint="eastAsia"/>
          <w:color w:val="auto"/>
          <w:highlight w:val="none"/>
          <w:u w:val="none"/>
        </w:rPr>
        <w:t>万华环保科技公司</w:t>
      </w:r>
      <w:r>
        <w:rPr>
          <w:color w:val="auto"/>
          <w:highlight w:val="none"/>
          <w:u w:val="none"/>
        </w:rPr>
        <w:t>厂区污水处理站处理，污水处理站的设计处理规模可满足本项目产生的废水量，且工艺可行，处理后的废水能达标排放，对周边环境影响不大。</w:t>
      </w:r>
    </w:p>
    <w:p w14:paraId="468410A9">
      <w:pPr>
        <w:pStyle w:val="981"/>
        <w:rPr>
          <w:rFonts w:hint="eastAsia"/>
          <w:color w:val="auto"/>
          <w:highlight w:val="none"/>
          <w:u w:val="none"/>
        </w:rPr>
      </w:pPr>
      <w:r>
        <w:rPr>
          <w:rFonts w:hint="eastAsia"/>
          <w:color w:val="auto"/>
          <w:highlight w:val="none"/>
          <w:u w:val="none"/>
        </w:rPr>
        <w:t>（</w:t>
      </w:r>
      <w:r>
        <w:rPr>
          <w:color w:val="auto"/>
          <w:highlight w:val="none"/>
          <w:u w:val="none"/>
        </w:rPr>
        <w:t>3）本项目营运期的噪声主要来</w:t>
      </w:r>
      <w:r>
        <w:rPr>
          <w:rFonts w:hint="eastAsia"/>
          <w:color w:val="auto"/>
          <w:highlight w:val="none"/>
          <w:u w:val="none"/>
        </w:rPr>
        <w:t>各装置单元的反应器、机泵机组</w:t>
      </w:r>
      <w:r>
        <w:rPr>
          <w:color w:val="auto"/>
          <w:highlight w:val="none"/>
          <w:u w:val="none"/>
        </w:rPr>
        <w:t>，经预测，本项目建设后所处区域的声环境质量功能区分类不会改变，对周边环境影响较小。</w:t>
      </w:r>
    </w:p>
    <w:p w14:paraId="537FEE79">
      <w:pPr>
        <w:pStyle w:val="981"/>
        <w:rPr>
          <w:rFonts w:hint="eastAsia"/>
          <w:color w:val="auto"/>
          <w:highlight w:val="none"/>
          <w:u w:val="none"/>
        </w:rPr>
      </w:pPr>
      <w:r>
        <w:rPr>
          <w:rFonts w:hint="eastAsia"/>
          <w:color w:val="auto"/>
          <w:highlight w:val="none"/>
          <w:u w:val="none"/>
        </w:rPr>
        <w:t>（</w:t>
      </w:r>
      <w:r>
        <w:rPr>
          <w:color w:val="auto"/>
          <w:highlight w:val="none"/>
          <w:u w:val="none"/>
        </w:rPr>
        <w:t>4）本项目产生的TDI废液</w:t>
      </w:r>
      <w:r>
        <w:rPr>
          <w:rFonts w:hint="eastAsia"/>
          <w:color w:val="auto"/>
          <w:highlight w:val="none"/>
          <w:u w:val="none"/>
        </w:rPr>
        <w:t>、轻油</w:t>
      </w:r>
      <w:r>
        <w:rPr>
          <w:color w:val="auto"/>
          <w:highlight w:val="none"/>
          <w:u w:val="none"/>
        </w:rPr>
        <w:t>等危险废物</w:t>
      </w:r>
      <w:r>
        <w:rPr>
          <w:rFonts w:hint="eastAsia"/>
          <w:color w:val="auto"/>
          <w:highlight w:val="none"/>
          <w:u w:val="none"/>
        </w:rPr>
        <w:t>送往</w:t>
      </w:r>
      <w:r>
        <w:rPr>
          <w:rFonts w:hint="eastAsia"/>
          <w:color w:val="auto"/>
          <w:highlight w:val="none"/>
          <w:u w:val="none"/>
          <w:lang w:val="en-US"/>
        </w:rPr>
        <w:t>万华环保科技公司</w:t>
      </w:r>
      <w:r>
        <w:rPr>
          <w:color w:val="auto"/>
          <w:highlight w:val="none"/>
          <w:u w:val="none"/>
        </w:rPr>
        <w:t>能量回收装置</w:t>
      </w:r>
      <w:r>
        <w:rPr>
          <w:rFonts w:hint="eastAsia"/>
          <w:color w:val="auto"/>
          <w:highlight w:val="none"/>
          <w:u w:val="none"/>
        </w:rPr>
        <w:t>进行焚烧处置</w:t>
      </w:r>
      <w:r>
        <w:rPr>
          <w:color w:val="auto"/>
          <w:highlight w:val="none"/>
          <w:u w:val="none"/>
        </w:rPr>
        <w:t>。</w:t>
      </w:r>
      <w:r>
        <w:rPr>
          <w:rFonts w:hint="eastAsia"/>
          <w:color w:val="auto"/>
          <w:highlight w:val="none"/>
          <w:u w:val="none"/>
        </w:rPr>
        <w:t>焦油颗粒送往万华福建公司</w:t>
      </w:r>
      <w:r>
        <w:rPr>
          <w:rFonts w:hint="eastAsia"/>
          <w:color w:val="auto"/>
          <w:kern w:val="28"/>
          <w:highlight w:val="none"/>
          <w:u w:val="none"/>
          <w:lang w:val="en-US"/>
        </w:rPr>
        <w:t>气体扩能改造项目</w:t>
      </w:r>
      <w:r>
        <w:rPr>
          <w:rFonts w:hint="eastAsia"/>
          <w:color w:val="auto"/>
          <w:highlight w:val="none"/>
          <w:u w:val="none"/>
        </w:rPr>
        <w:t>作为水煤浆气化原料，</w:t>
      </w:r>
      <w:r>
        <w:rPr>
          <w:color w:val="auto"/>
          <w:highlight w:val="none"/>
          <w:u w:val="none"/>
        </w:rPr>
        <w:t>其他危险废物委托有资质单位接收处置</w:t>
      </w:r>
      <w:r>
        <w:rPr>
          <w:rFonts w:hint="eastAsia"/>
          <w:color w:val="auto"/>
          <w:highlight w:val="none"/>
          <w:u w:val="none"/>
        </w:rPr>
        <w:t>。</w:t>
      </w:r>
      <w:r>
        <w:rPr>
          <w:color w:val="auto"/>
          <w:highlight w:val="none"/>
          <w:u w:val="none"/>
        </w:rPr>
        <w:t>生活垃圾均委托</w:t>
      </w:r>
      <w:r>
        <w:rPr>
          <w:rFonts w:hint="eastAsia"/>
          <w:color w:val="auto"/>
          <w:highlight w:val="none"/>
          <w:u w:val="none"/>
        </w:rPr>
        <w:t>环卫部门清运</w:t>
      </w:r>
      <w:r>
        <w:rPr>
          <w:color w:val="auto"/>
          <w:highlight w:val="none"/>
          <w:u w:val="none"/>
        </w:rPr>
        <w:t>，对周边环境影响不大。</w:t>
      </w:r>
    </w:p>
    <w:p w14:paraId="6DEC71F2">
      <w:pPr>
        <w:pStyle w:val="981"/>
        <w:rPr>
          <w:rFonts w:hint="eastAsia"/>
          <w:color w:val="auto"/>
          <w:highlight w:val="none"/>
          <w:u w:val="none"/>
        </w:rPr>
      </w:pPr>
      <w:r>
        <w:rPr>
          <w:rFonts w:hint="eastAsia"/>
          <w:color w:val="auto"/>
          <w:highlight w:val="none"/>
          <w:u w:val="none"/>
        </w:rPr>
        <w:t>综上所述，本项目采取的废气、废水、固体废物、噪声的污染防治措施，可有效削减污染物的排放量，同时实现达标排放，做到生产和环境保护并重。</w:t>
      </w:r>
    </w:p>
    <w:p w14:paraId="22DC3086">
      <w:pPr>
        <w:pStyle w:val="6"/>
        <w:spacing w:before="156" w:after="156"/>
        <w:rPr>
          <w:color w:val="auto"/>
          <w:highlight w:val="none"/>
          <w:u w:val="none"/>
        </w:rPr>
      </w:pPr>
      <w:r>
        <w:rPr>
          <w:rFonts w:hint="eastAsia"/>
          <w:color w:val="auto"/>
          <w:highlight w:val="none"/>
          <w:u w:val="none"/>
        </w:rPr>
        <w:t>环保投资的效益分析</w:t>
      </w:r>
    </w:p>
    <w:p w14:paraId="743E55D3">
      <w:pPr>
        <w:rPr>
          <w:rFonts w:hint="eastAsia" w:ascii="宋体"/>
          <w:color w:val="auto"/>
          <w:highlight w:val="none"/>
          <w:u w:val="none"/>
        </w:rPr>
      </w:pPr>
      <w:r>
        <w:rPr>
          <w:rFonts w:hint="eastAsia" w:ascii="宋体"/>
          <w:color w:val="auto"/>
          <w:highlight w:val="none"/>
          <w:u w:val="none"/>
        </w:rPr>
        <w:t>若企业未对项目的废气、废水进行处理而直接排放，将会造成周围大气环境和受纳水体的污染，影响自然景观，破坏资源，同时对企业本身形象也是一种损害；同理，对项目建设所带来的噪声污染、固体废弃物污染不采取相关治理措施，必然会对环境造成污染。</w:t>
      </w:r>
    </w:p>
    <w:p w14:paraId="166F74FE">
      <w:pPr>
        <w:rPr>
          <w:rFonts w:hint="eastAsia" w:ascii="宋体"/>
          <w:color w:val="auto"/>
          <w:highlight w:val="none"/>
          <w:u w:val="none"/>
        </w:rPr>
      </w:pPr>
      <w:r>
        <w:rPr>
          <w:rFonts w:hint="eastAsia" w:ascii="宋体"/>
          <w:color w:val="auto"/>
          <w:highlight w:val="none"/>
          <w:u w:val="none"/>
        </w:rPr>
        <w:t>企业投入资金进行污染治理后，减少了污染物的排放，减少了环境污染，可实现环境经济同步发展。企业通过污染治理，可使各项污染做到稳定达标，有助于提高整体形象，同时又是通过</w:t>
      </w:r>
      <w:r>
        <w:rPr>
          <w:rFonts w:ascii="宋体"/>
          <w:color w:val="auto"/>
          <w:highlight w:val="none"/>
          <w:u w:val="none"/>
        </w:rPr>
        <w:t>ISO14000</w:t>
      </w:r>
      <w:r>
        <w:rPr>
          <w:rFonts w:hint="eastAsia" w:ascii="宋体"/>
          <w:color w:val="auto"/>
          <w:highlight w:val="none"/>
          <w:u w:val="none"/>
        </w:rPr>
        <w:t>认证的必备条件，从而扩大产品销路和减少生产成本。</w:t>
      </w:r>
    </w:p>
    <w:p w14:paraId="4CE7F922">
      <w:pPr>
        <w:rPr>
          <w:rFonts w:hint="eastAsia" w:ascii="宋体"/>
          <w:color w:val="auto"/>
          <w:highlight w:val="none"/>
          <w:u w:val="none"/>
        </w:rPr>
      </w:pPr>
      <w:r>
        <w:rPr>
          <w:rFonts w:hint="eastAsia" w:ascii="宋体"/>
          <w:color w:val="auto"/>
          <w:highlight w:val="none"/>
          <w:u w:val="none"/>
        </w:rPr>
        <w:t>另外，通过环保投入还将会间接减少由于环境污染带来的影响，从而间接产生一定的社会效益；由于环保措施的运行，对全厂污染物排放将得到了有效的控制，并减轻生产对大气、水、声、土壤环境等污染，具有一定的环境效益。</w:t>
      </w:r>
    </w:p>
    <w:p w14:paraId="7A4D646A">
      <w:pPr>
        <w:rPr>
          <w:rFonts w:hint="eastAsia" w:ascii="宋体"/>
          <w:color w:val="auto"/>
          <w:highlight w:val="none"/>
          <w:u w:val="none"/>
        </w:rPr>
      </w:pPr>
      <w:r>
        <w:rPr>
          <w:rFonts w:hint="eastAsia" w:ascii="宋体"/>
          <w:color w:val="auto"/>
          <w:highlight w:val="none"/>
          <w:u w:val="none"/>
        </w:rPr>
        <w:t>综合以上环境经济损益分析，本项目的环保投资可以大幅度地减轻对环境的污染，体现了显</w:t>
      </w:r>
      <w:r>
        <w:rPr>
          <w:rFonts w:hint="eastAsia" w:ascii="宋体"/>
          <w:color w:val="auto"/>
          <w:highlight w:val="none"/>
          <w:u w:val="none"/>
          <w:lang w:val="en-US" w:eastAsia="zh-CN"/>
        </w:rPr>
        <w:t>著</w:t>
      </w:r>
      <w:r>
        <w:rPr>
          <w:rFonts w:hint="eastAsia" w:ascii="宋体"/>
          <w:color w:val="auto"/>
          <w:highlight w:val="none"/>
          <w:u w:val="none"/>
        </w:rPr>
        <w:t>的环境效益，具有明显的间接经济收益；并且环保投资的投入，是清洁生产的重要组成之一，节约了资源，保护环境，符合经济与环境协调发展的可持续发展战略和循环经济的推进，体现了明显的社会效益。</w:t>
      </w:r>
    </w:p>
    <w:p w14:paraId="06123943">
      <w:pPr>
        <w:pStyle w:val="6"/>
        <w:spacing w:before="156" w:after="156"/>
        <w:rPr>
          <w:color w:val="auto"/>
          <w:highlight w:val="none"/>
          <w:u w:val="none"/>
        </w:rPr>
      </w:pPr>
      <w:r>
        <w:rPr>
          <w:rFonts w:hint="eastAsia"/>
          <w:color w:val="auto"/>
          <w:highlight w:val="none"/>
          <w:u w:val="none"/>
        </w:rPr>
        <w:t>小节</w:t>
      </w:r>
    </w:p>
    <w:p w14:paraId="042B7179">
      <w:pPr>
        <w:rPr>
          <w:rFonts w:hint="eastAsia"/>
          <w:color w:val="auto"/>
          <w:highlight w:val="none"/>
          <w:u w:val="none"/>
        </w:rPr>
      </w:pPr>
      <w:r>
        <w:rPr>
          <w:rFonts w:hint="eastAsia"/>
          <w:color w:val="auto"/>
          <w:highlight w:val="none"/>
          <w:u w:val="none"/>
        </w:rPr>
        <w:t>本项目建成投产后的社会效益和经济效益较好，但制约此工程的主要是环保问题。因此，为了将环境影响减少到最小程度，必须实施环境保护措施，投入必要的环保建设费用和运行费用，才能达到保护周围环境的要求。</w:t>
      </w:r>
    </w:p>
    <w:p w14:paraId="11ACCFEE">
      <w:pPr>
        <w:rPr>
          <w:rFonts w:hint="eastAsia" w:ascii="宋体"/>
          <w:color w:val="auto"/>
          <w:highlight w:val="none"/>
          <w:u w:val="none"/>
        </w:rPr>
      </w:pPr>
    </w:p>
    <w:p w14:paraId="2DB18DF1">
      <w:pPr>
        <w:rPr>
          <w:rFonts w:hint="eastAsia" w:ascii="宋体"/>
          <w:color w:val="auto"/>
          <w:highlight w:val="none"/>
          <w:u w:val="none"/>
        </w:rPr>
      </w:pPr>
    </w:p>
    <w:p w14:paraId="0F9F1E09">
      <w:pPr>
        <w:rPr>
          <w:rFonts w:hint="eastAsia" w:ascii="宋体"/>
          <w:color w:val="auto"/>
          <w:highlight w:val="none"/>
          <w:u w:val="none"/>
        </w:rPr>
      </w:pPr>
    </w:p>
    <w:p w14:paraId="664FFDAF">
      <w:pPr>
        <w:rPr>
          <w:rFonts w:hint="eastAsia"/>
          <w:color w:val="auto"/>
          <w:highlight w:val="none"/>
          <w:u w:val="none"/>
        </w:rPr>
      </w:pPr>
    </w:p>
    <w:p w14:paraId="25C4082E">
      <w:pPr>
        <w:rPr>
          <w:rFonts w:hint="eastAsia"/>
          <w:color w:val="auto"/>
          <w:highlight w:val="none"/>
          <w:u w:val="none"/>
        </w:rPr>
        <w:sectPr>
          <w:pgSz w:w="11906" w:h="16838"/>
          <w:pgMar w:top="1440" w:right="1435" w:bottom="1440" w:left="1435" w:header="851" w:footer="992" w:gutter="0"/>
          <w:cols w:space="720" w:num="1"/>
          <w:docGrid w:type="lines" w:linePitch="312" w:charSpace="0"/>
        </w:sectPr>
      </w:pPr>
    </w:p>
    <w:p w14:paraId="6C7A8BE0">
      <w:pPr>
        <w:pStyle w:val="3"/>
        <w:rPr>
          <w:rFonts w:hint="eastAsia"/>
          <w:color w:val="auto"/>
          <w:highlight w:val="none"/>
          <w:u w:val="none"/>
        </w:rPr>
      </w:pPr>
      <w:bookmarkStart w:id="747" w:name="_Toc148374726"/>
      <w:bookmarkStart w:id="748" w:name="_Toc31754"/>
      <w:bookmarkStart w:id="749" w:name="_Toc148375168"/>
      <w:bookmarkStart w:id="750" w:name="_Toc148374847"/>
      <w:r>
        <w:rPr>
          <w:rFonts w:hint="eastAsia"/>
          <w:color w:val="auto"/>
          <w:highlight w:val="none"/>
          <w:u w:val="none"/>
        </w:rPr>
        <w:t>环境管理与监测计划</w:t>
      </w:r>
      <w:bookmarkEnd w:id="747"/>
      <w:bookmarkEnd w:id="748"/>
      <w:bookmarkEnd w:id="749"/>
      <w:bookmarkEnd w:id="750"/>
    </w:p>
    <w:p w14:paraId="3454EEF0">
      <w:pPr>
        <w:rPr>
          <w:rFonts w:hint="eastAsia"/>
          <w:color w:val="auto"/>
          <w:highlight w:val="none"/>
          <w:u w:val="none"/>
        </w:rPr>
      </w:pPr>
      <w:r>
        <w:rPr>
          <w:rFonts w:hint="eastAsia"/>
          <w:color w:val="auto"/>
          <w:highlight w:val="none"/>
          <w:u w:val="none"/>
        </w:rPr>
        <w:t>良好的环境管理与环境监测系统有利于建设单位遵守环保法律法规，预防污染，保护环境，实现社会效益、经济效益和环境效益的协调统一。建设项目运行期会对场区和周围地区的环境产生一定影响，必须采取环境保护措施加强污染的治理工作，以减轻或消除其不利影响。因此必须建立相应的环境管理和监测机构，并在运行期实施环境监控计划。</w:t>
      </w:r>
    </w:p>
    <w:p w14:paraId="395F29A8">
      <w:pPr>
        <w:rPr>
          <w:rFonts w:hint="eastAsia"/>
          <w:color w:val="auto"/>
          <w:highlight w:val="none"/>
          <w:u w:val="none"/>
        </w:rPr>
      </w:pPr>
      <w:r>
        <w:rPr>
          <w:rFonts w:hint="eastAsia"/>
          <w:color w:val="auto"/>
          <w:highlight w:val="none"/>
          <w:u w:val="none"/>
        </w:rPr>
        <w:t>环境管理是项目建设者管理工作的重要组成部分，其主要目的是通过环境管理工作的开展，促进项目业主积极主动地预防和减缓各类环境问题的产生与发展，制定出详尽的项目环境管理监控计划并予以实施，避免因管理不善而可能产生的各种环境风险，使污染物稳定达标排放。为此，在项目建设期及运营期要贯彻落实国家、地方政府的有关法律法规，正确处理好项目建设、发展与环境保护的辨证关系，从而真正使项目的建设达到可持续发展的战略目标。</w:t>
      </w:r>
    </w:p>
    <w:p w14:paraId="12CDDBEA">
      <w:pPr>
        <w:pStyle w:val="4"/>
        <w:rPr>
          <w:color w:val="auto"/>
          <w:highlight w:val="none"/>
          <w:u w:val="none"/>
        </w:rPr>
      </w:pPr>
      <w:bookmarkStart w:id="751" w:name="_Toc148374727"/>
      <w:bookmarkStart w:id="752" w:name="_Toc148374848"/>
      <w:bookmarkStart w:id="753" w:name="_Toc148375169"/>
      <w:bookmarkStart w:id="754" w:name="_Toc10460"/>
      <w:r>
        <w:rPr>
          <w:color w:val="auto"/>
          <w:highlight w:val="none"/>
          <w:u w:val="none"/>
        </w:rPr>
        <w:t>环境管理现状及环境监测工作开展情况</w:t>
      </w:r>
      <w:bookmarkEnd w:id="751"/>
      <w:bookmarkEnd w:id="752"/>
      <w:bookmarkEnd w:id="753"/>
      <w:bookmarkEnd w:id="754"/>
    </w:p>
    <w:p w14:paraId="0ED00870">
      <w:pPr>
        <w:pStyle w:val="4"/>
        <w:rPr>
          <w:color w:val="auto"/>
          <w:highlight w:val="none"/>
          <w:u w:val="none"/>
          <w:lang w:val="en-US"/>
        </w:rPr>
      </w:pPr>
      <w:bookmarkStart w:id="755" w:name="_Toc22293"/>
      <w:bookmarkStart w:id="756" w:name="_Toc148375170"/>
      <w:bookmarkStart w:id="757" w:name="_Toc148374728"/>
      <w:bookmarkStart w:id="758" w:name="_Toc148374849"/>
      <w:r>
        <w:rPr>
          <w:rFonts w:hint="eastAsia"/>
          <w:color w:val="auto"/>
          <w:highlight w:val="none"/>
          <w:u w:val="none"/>
          <w:lang w:val="en-US"/>
        </w:rPr>
        <w:t>环境管理</w:t>
      </w:r>
      <w:bookmarkEnd w:id="755"/>
      <w:bookmarkEnd w:id="756"/>
      <w:bookmarkEnd w:id="757"/>
      <w:bookmarkEnd w:id="758"/>
    </w:p>
    <w:p w14:paraId="5DE062AA">
      <w:pPr>
        <w:pStyle w:val="6"/>
        <w:spacing w:before="156" w:after="156"/>
        <w:rPr>
          <w:color w:val="auto"/>
          <w:highlight w:val="none"/>
          <w:u w:val="none"/>
        </w:rPr>
      </w:pPr>
      <w:bookmarkStart w:id="759" w:name="_Toc148375171"/>
      <w:bookmarkStart w:id="760" w:name="_Toc148374729"/>
      <w:r>
        <w:rPr>
          <w:rFonts w:hint="eastAsia"/>
          <w:color w:val="auto"/>
          <w:highlight w:val="none"/>
          <w:u w:val="none"/>
        </w:rPr>
        <w:t>环境管理建议</w:t>
      </w:r>
      <w:bookmarkEnd w:id="759"/>
      <w:bookmarkEnd w:id="760"/>
    </w:p>
    <w:p w14:paraId="0435F385">
      <w:pPr>
        <w:pStyle w:val="7"/>
        <w:spacing w:before="156"/>
        <w:rPr>
          <w:color w:val="auto"/>
          <w:highlight w:val="none"/>
          <w:u w:val="none"/>
        </w:rPr>
      </w:pPr>
      <w:r>
        <w:rPr>
          <w:rFonts w:hint="eastAsia"/>
          <w:color w:val="auto"/>
          <w:highlight w:val="none"/>
          <w:u w:val="none"/>
        </w:rPr>
        <w:t>建立健全环境管理制度</w:t>
      </w:r>
    </w:p>
    <w:p w14:paraId="24CBEE0A">
      <w:pPr>
        <w:rPr>
          <w:rFonts w:hint="eastAsia"/>
          <w:color w:val="auto"/>
          <w:highlight w:val="none"/>
          <w:u w:val="none"/>
        </w:rPr>
      </w:pPr>
      <w:r>
        <w:rPr>
          <w:rFonts w:hint="eastAsia"/>
          <w:color w:val="auto"/>
          <w:highlight w:val="none"/>
          <w:u w:val="none"/>
        </w:rPr>
        <w:t>企业应切实重视环境保护工作，在企业现有环境管理制度的基础上，继续加强企业内部的环境管理，保持环境保护工作规范化和程序化。</w:t>
      </w:r>
    </w:p>
    <w:p w14:paraId="3E77BC5E">
      <w:pPr>
        <w:rPr>
          <w:rFonts w:hint="eastAsia"/>
          <w:color w:val="auto"/>
          <w:highlight w:val="none"/>
          <w:u w:val="none"/>
        </w:rPr>
      </w:pPr>
      <w:r>
        <w:rPr>
          <w:rFonts w:hint="eastAsia"/>
          <w:color w:val="auto"/>
          <w:highlight w:val="none"/>
          <w:u w:val="none"/>
        </w:rPr>
        <w:t>（1）“三同时”制度</w:t>
      </w:r>
    </w:p>
    <w:p w14:paraId="1282279C">
      <w:pPr>
        <w:rPr>
          <w:rFonts w:hint="eastAsia"/>
          <w:color w:val="auto"/>
          <w:highlight w:val="none"/>
          <w:u w:val="none"/>
        </w:rPr>
      </w:pPr>
      <w:r>
        <w:rPr>
          <w:rFonts w:hint="eastAsia"/>
          <w:color w:val="auto"/>
          <w:highlight w:val="none"/>
          <w:u w:val="none"/>
        </w:rPr>
        <w:t>在项目筹备、实施和建设阶段，严格执行“三同时”，确保环保设施能够和生产工艺“同时设计、同时施工、同时投产使用”。</w:t>
      </w:r>
    </w:p>
    <w:p w14:paraId="26364DC3">
      <w:pPr>
        <w:rPr>
          <w:rFonts w:hint="eastAsia"/>
          <w:color w:val="auto"/>
          <w:highlight w:val="none"/>
          <w:u w:val="none"/>
        </w:rPr>
      </w:pPr>
      <w:r>
        <w:rPr>
          <w:rFonts w:hint="eastAsia"/>
          <w:color w:val="auto"/>
          <w:highlight w:val="none"/>
          <w:u w:val="none"/>
        </w:rPr>
        <w:t>（2）污染治理设施运行管理制度</w:t>
      </w:r>
    </w:p>
    <w:p w14:paraId="0C51ED43">
      <w:pPr>
        <w:rPr>
          <w:rFonts w:hint="eastAsia"/>
          <w:color w:val="auto"/>
          <w:highlight w:val="none"/>
          <w:u w:val="none"/>
        </w:rPr>
      </w:pPr>
      <w:r>
        <w:rPr>
          <w:rFonts w:hint="eastAsia"/>
          <w:color w:val="auto"/>
          <w:highlight w:val="none"/>
          <w:u w:val="none"/>
        </w:rPr>
        <w:t>为确保污染治理设施长期、稳定、有效地运行，不得擅自拆除或者闲置污染治理设施，不得故意不正常使用污染治理设施。污染治理设施的运行管理纳入到日常管理工作的范畴，落实责任人、操作人员、运行及维护费用等。同时，要建立健全岗位责任制、制定正确的操作规程。</w:t>
      </w:r>
    </w:p>
    <w:p w14:paraId="3E07D864">
      <w:pPr>
        <w:rPr>
          <w:rFonts w:hint="eastAsia"/>
          <w:color w:val="auto"/>
          <w:highlight w:val="none"/>
          <w:u w:val="none"/>
        </w:rPr>
      </w:pPr>
      <w:r>
        <w:rPr>
          <w:rFonts w:hint="eastAsia"/>
          <w:color w:val="auto"/>
          <w:highlight w:val="none"/>
          <w:u w:val="none"/>
        </w:rPr>
        <w:t>（3）环境监测制度</w:t>
      </w:r>
    </w:p>
    <w:p w14:paraId="4E053EE2">
      <w:pPr>
        <w:rPr>
          <w:rFonts w:hint="eastAsia"/>
          <w:color w:val="auto"/>
          <w:highlight w:val="none"/>
          <w:u w:val="none"/>
        </w:rPr>
      </w:pPr>
      <w:r>
        <w:rPr>
          <w:rFonts w:hint="eastAsia"/>
          <w:color w:val="auto"/>
          <w:highlight w:val="none"/>
          <w:u w:val="none"/>
        </w:rPr>
        <w:t>通过定期进行环境监测，及时了解项目在不同时期对周围环境的影响，以便采取相应措施，消除不利因素，减轻环境污染。</w:t>
      </w:r>
    </w:p>
    <w:p w14:paraId="3A4A33AD">
      <w:pPr>
        <w:rPr>
          <w:rFonts w:hint="eastAsia"/>
          <w:color w:val="auto"/>
          <w:highlight w:val="none"/>
          <w:u w:val="none"/>
        </w:rPr>
      </w:pPr>
      <w:r>
        <w:rPr>
          <w:rFonts w:hint="eastAsia"/>
          <w:color w:val="auto"/>
          <w:highlight w:val="none"/>
          <w:u w:val="none"/>
        </w:rPr>
        <w:t>（4）报告制度</w:t>
      </w:r>
    </w:p>
    <w:p w14:paraId="4BAD49F1">
      <w:pPr>
        <w:rPr>
          <w:rFonts w:hint="eastAsia"/>
          <w:color w:val="auto"/>
          <w:highlight w:val="none"/>
          <w:u w:val="none"/>
        </w:rPr>
      </w:pPr>
      <w:r>
        <w:rPr>
          <w:rFonts w:hint="eastAsia"/>
          <w:color w:val="auto"/>
          <w:highlight w:val="none"/>
          <w:u w:val="none"/>
        </w:rPr>
        <w:t>建设单位应制定向生态环境主管部门报告制度，内容主要为污染治理设施的运行情况、污染物排放情况以及污染事故或污染纠纷等。</w:t>
      </w:r>
    </w:p>
    <w:p w14:paraId="51FA7113">
      <w:pPr>
        <w:rPr>
          <w:rFonts w:hint="eastAsia"/>
          <w:color w:val="auto"/>
          <w:highlight w:val="none"/>
          <w:u w:val="none"/>
        </w:rPr>
      </w:pPr>
      <w:r>
        <w:rPr>
          <w:rFonts w:hint="eastAsia"/>
          <w:color w:val="auto"/>
          <w:highlight w:val="none"/>
          <w:u w:val="none"/>
        </w:rPr>
        <w:t>（5）突发环境事件应急管理制度</w:t>
      </w:r>
    </w:p>
    <w:p w14:paraId="0FD0CD88">
      <w:pPr>
        <w:rPr>
          <w:rFonts w:hint="eastAsia"/>
          <w:color w:val="auto"/>
          <w:highlight w:val="none"/>
          <w:u w:val="none"/>
        </w:rPr>
      </w:pPr>
      <w:r>
        <w:rPr>
          <w:rFonts w:hint="eastAsia"/>
          <w:color w:val="auto"/>
          <w:highlight w:val="none"/>
          <w:u w:val="none"/>
        </w:rPr>
        <w:t>构建突发环境事件应急管理制度，避免或减少突发环境事件的发生，同时确保企业发生突发环境事件时，能快速有效处置。</w:t>
      </w:r>
    </w:p>
    <w:p w14:paraId="586995E6">
      <w:pPr>
        <w:rPr>
          <w:rFonts w:hint="eastAsia"/>
          <w:color w:val="auto"/>
          <w:highlight w:val="none"/>
          <w:u w:val="none"/>
        </w:rPr>
      </w:pPr>
      <w:r>
        <w:rPr>
          <w:rFonts w:hint="eastAsia"/>
          <w:color w:val="auto"/>
          <w:highlight w:val="none"/>
          <w:u w:val="none"/>
        </w:rPr>
        <w:t>（6）环境管理台账制度</w:t>
      </w:r>
    </w:p>
    <w:p w14:paraId="65A87AEF">
      <w:pPr>
        <w:rPr>
          <w:rFonts w:hint="eastAsia"/>
          <w:color w:val="auto"/>
          <w:highlight w:val="none"/>
          <w:u w:val="none"/>
        </w:rPr>
      </w:pPr>
      <w:r>
        <w:rPr>
          <w:rFonts w:hint="eastAsia"/>
          <w:color w:val="auto"/>
          <w:highlight w:val="none"/>
          <w:u w:val="none"/>
        </w:rPr>
        <w:t>企业应建立环境管理台账制度，记录日常环境管理信息。</w:t>
      </w:r>
    </w:p>
    <w:p w14:paraId="0B810FA0">
      <w:pPr>
        <w:rPr>
          <w:rFonts w:hint="eastAsia"/>
          <w:color w:val="auto"/>
          <w:highlight w:val="none"/>
          <w:u w:val="none"/>
        </w:rPr>
      </w:pPr>
      <w:r>
        <w:rPr>
          <w:rFonts w:hint="eastAsia"/>
          <w:color w:val="auto"/>
          <w:highlight w:val="none"/>
          <w:u w:val="none"/>
        </w:rPr>
        <w:t>（7）环保培训教育制度</w:t>
      </w:r>
    </w:p>
    <w:p w14:paraId="714116B5">
      <w:pPr>
        <w:rPr>
          <w:rFonts w:hint="eastAsia"/>
          <w:color w:val="auto"/>
          <w:highlight w:val="none"/>
          <w:u w:val="none"/>
        </w:rPr>
      </w:pPr>
      <w:r>
        <w:rPr>
          <w:rFonts w:hint="eastAsia"/>
          <w:color w:val="auto"/>
          <w:highlight w:val="none"/>
          <w:u w:val="none"/>
        </w:rPr>
        <w:t>加强职工的环境保护知识教育，提高职工环保意识。</w:t>
      </w:r>
    </w:p>
    <w:p w14:paraId="691116B0">
      <w:pPr>
        <w:rPr>
          <w:rFonts w:hint="eastAsia"/>
          <w:color w:val="auto"/>
          <w:highlight w:val="none"/>
          <w:u w:val="none"/>
        </w:rPr>
      </w:pPr>
      <w:r>
        <w:rPr>
          <w:rFonts w:hint="eastAsia"/>
          <w:color w:val="auto"/>
          <w:highlight w:val="none"/>
          <w:u w:val="none"/>
        </w:rPr>
        <w:t>（8）环境影响后评价</w:t>
      </w:r>
    </w:p>
    <w:p w14:paraId="4FA03E5F">
      <w:pPr>
        <w:rPr>
          <w:rFonts w:hint="eastAsia"/>
          <w:color w:val="auto"/>
          <w:highlight w:val="none"/>
          <w:u w:val="none"/>
        </w:rPr>
      </w:pPr>
      <w:r>
        <w:rPr>
          <w:rFonts w:hint="eastAsia"/>
          <w:color w:val="auto"/>
          <w:highlight w:val="none"/>
          <w:u w:val="none"/>
        </w:rPr>
        <w:t>建设项目在通过环境保护设施竣工验收且稳定运行一定时期后，对实际产生的环境影响以及污染防治、生态保护和风险防范措施的有效性进行跟踪监测和验证评价，并提出补救方案或者改进措施。</w:t>
      </w:r>
    </w:p>
    <w:p w14:paraId="51859395">
      <w:pPr>
        <w:pStyle w:val="7"/>
        <w:spacing w:before="156"/>
        <w:rPr>
          <w:color w:val="auto"/>
          <w:highlight w:val="none"/>
          <w:u w:val="none"/>
        </w:rPr>
      </w:pPr>
      <w:r>
        <w:rPr>
          <w:rFonts w:hint="eastAsia"/>
          <w:color w:val="auto"/>
          <w:highlight w:val="none"/>
          <w:u w:val="none"/>
        </w:rPr>
        <w:t>建立环境管理台账</w:t>
      </w:r>
    </w:p>
    <w:p w14:paraId="0C7BA980">
      <w:pPr>
        <w:rPr>
          <w:rFonts w:hint="eastAsia"/>
          <w:color w:val="auto"/>
          <w:highlight w:val="none"/>
          <w:u w:val="none"/>
        </w:rPr>
      </w:pPr>
      <w:r>
        <w:rPr>
          <w:rFonts w:hint="eastAsia"/>
          <w:color w:val="auto"/>
          <w:highlight w:val="none"/>
          <w:u w:val="none"/>
        </w:rPr>
        <w:t>本项目应建立环境管理台账记录制度，落实环境管理台账记录的责任部门和责任人，明确工作职责，包括台账的记录、整理、维护和管理等，并对环境管理台账的真实性、完整性和规范性负责。一般按日或按批次进行记录，异常情况应按次记录。</w:t>
      </w:r>
    </w:p>
    <w:p w14:paraId="7F225C54">
      <w:pPr>
        <w:rPr>
          <w:rFonts w:hint="eastAsia"/>
          <w:color w:val="auto"/>
          <w:highlight w:val="none"/>
          <w:u w:val="none"/>
        </w:rPr>
      </w:pPr>
      <w:r>
        <w:rPr>
          <w:rFonts w:hint="eastAsia"/>
          <w:color w:val="auto"/>
          <w:highlight w:val="none"/>
          <w:u w:val="none"/>
        </w:rPr>
        <w:t>（1）记录内容</w:t>
      </w:r>
    </w:p>
    <w:p w14:paraId="643CF1A2">
      <w:pPr>
        <w:rPr>
          <w:rFonts w:hint="eastAsia"/>
          <w:color w:val="auto"/>
          <w:highlight w:val="none"/>
          <w:u w:val="none"/>
        </w:rPr>
      </w:pPr>
      <w:r>
        <w:rPr>
          <w:rFonts w:hint="eastAsia"/>
          <w:color w:val="auto"/>
          <w:highlight w:val="none"/>
          <w:u w:val="none"/>
        </w:rPr>
        <w:t xml:space="preserve">项目环境管理台账应真实记录基本信息、生产设施运行管理信息和污染防治设施运行管理信息、监测记录信息及其他环境管理信息等，参照《排污许可证申请与核发技术规范 </w:t>
      </w:r>
      <w:r>
        <w:rPr>
          <w:color w:val="auto"/>
          <w:highlight w:val="none"/>
          <w:u w:val="none"/>
        </w:rPr>
        <w:t xml:space="preserve"> </w:t>
      </w:r>
      <w:r>
        <w:rPr>
          <w:rFonts w:hint="eastAsia"/>
          <w:color w:val="auto"/>
          <w:highlight w:val="none"/>
          <w:u w:val="none"/>
        </w:rPr>
        <w:t>石化工业》（HJ</w:t>
      </w:r>
      <w:r>
        <w:rPr>
          <w:color w:val="auto"/>
          <w:highlight w:val="none"/>
          <w:u w:val="none"/>
        </w:rPr>
        <w:t>853</w:t>
      </w:r>
      <w:r>
        <w:rPr>
          <w:rFonts w:hint="eastAsia"/>
          <w:color w:val="auto"/>
          <w:highlight w:val="none"/>
          <w:u w:val="none"/>
        </w:rPr>
        <w:t>-201</w:t>
      </w:r>
      <w:r>
        <w:rPr>
          <w:color w:val="auto"/>
          <w:highlight w:val="none"/>
          <w:u w:val="none"/>
        </w:rPr>
        <w:t>7</w:t>
      </w:r>
      <w:r>
        <w:rPr>
          <w:rFonts w:hint="eastAsia"/>
          <w:color w:val="auto"/>
          <w:highlight w:val="none"/>
          <w:u w:val="none"/>
        </w:rPr>
        <w:t>）附录E内容。</w:t>
      </w:r>
    </w:p>
    <w:p w14:paraId="110EBC14">
      <w:pPr>
        <w:rPr>
          <w:rFonts w:hint="eastAsia"/>
          <w:color w:val="auto"/>
          <w:highlight w:val="none"/>
          <w:u w:val="none"/>
        </w:rPr>
      </w:pPr>
      <w:r>
        <w:rPr>
          <w:rFonts w:hint="eastAsia"/>
          <w:color w:val="auto"/>
          <w:highlight w:val="none"/>
          <w:u w:val="none"/>
        </w:rPr>
        <w:t>（2）记录存储及保存</w:t>
      </w:r>
    </w:p>
    <w:p w14:paraId="7D521823">
      <w:pPr>
        <w:rPr>
          <w:rFonts w:hint="eastAsia"/>
          <w:color w:val="auto"/>
          <w:highlight w:val="none"/>
          <w:u w:val="none"/>
        </w:rPr>
      </w:pPr>
      <w:r>
        <w:rPr>
          <w:rFonts w:hint="eastAsia"/>
          <w:color w:val="auto"/>
          <w:highlight w:val="none"/>
          <w:u w:val="none"/>
        </w:rPr>
        <w:t>设置专职人员开展台账记录、</w:t>
      </w:r>
      <w:r>
        <w:rPr>
          <w:color w:val="auto"/>
          <w:highlight w:val="none"/>
          <w:u w:val="none"/>
        </w:rPr>
        <w:t>整理、维护等管理工作，并对台账记录结果的真实性、准确性、完整性负责。</w:t>
      </w:r>
    </w:p>
    <w:p w14:paraId="517504DA">
      <w:pPr>
        <w:rPr>
          <w:rFonts w:hint="eastAsia"/>
          <w:color w:val="auto"/>
          <w:highlight w:val="none"/>
          <w:u w:val="none"/>
        </w:rPr>
      </w:pPr>
      <w:r>
        <w:rPr>
          <w:rFonts w:hint="eastAsia"/>
          <w:color w:val="auto"/>
          <w:highlight w:val="none"/>
          <w:u w:val="none"/>
        </w:rPr>
        <w:t>为便于携带、</w:t>
      </w:r>
      <w:r>
        <w:rPr>
          <w:color w:val="auto"/>
          <w:highlight w:val="none"/>
          <w:u w:val="none"/>
        </w:rPr>
        <w:t>储存、导出及证明排污许可证执行情况，台账应按照电子化储存和纸质储存两种形式同步管理，保存期限不得少于三年。</w:t>
      </w:r>
    </w:p>
    <w:p w14:paraId="11480F11">
      <w:pPr>
        <w:rPr>
          <w:rFonts w:hint="eastAsia"/>
          <w:color w:val="auto"/>
          <w:highlight w:val="none"/>
          <w:u w:val="none"/>
        </w:rPr>
      </w:pPr>
      <w:r>
        <w:rPr>
          <w:rFonts w:hint="eastAsia"/>
          <w:color w:val="auto"/>
          <w:highlight w:val="none"/>
          <w:u w:val="none"/>
        </w:rPr>
        <w:t>排污单位环境管理台账应真实记录生产运行、</w:t>
      </w:r>
      <w:r>
        <w:rPr>
          <w:color w:val="auto"/>
          <w:highlight w:val="none"/>
          <w:u w:val="none"/>
        </w:rPr>
        <w:t>污染治理设施运行、自行监测和其他环境管理信息。其中记录频次和内容须满足排污许可证环境管理要求。</w:t>
      </w:r>
    </w:p>
    <w:p w14:paraId="1476B9EC">
      <w:pPr>
        <w:pStyle w:val="6"/>
        <w:spacing w:before="156" w:after="156"/>
        <w:rPr>
          <w:color w:val="auto"/>
          <w:highlight w:val="none"/>
          <w:u w:val="none"/>
        </w:rPr>
      </w:pPr>
      <w:bookmarkStart w:id="761" w:name="_Toc148374730"/>
      <w:bookmarkStart w:id="762" w:name="_Toc148375172"/>
      <w:r>
        <w:rPr>
          <w:rFonts w:hint="eastAsia"/>
          <w:color w:val="auto"/>
          <w:highlight w:val="none"/>
          <w:u w:val="none"/>
        </w:rPr>
        <w:t>环境管理要求</w:t>
      </w:r>
      <w:bookmarkEnd w:id="761"/>
      <w:bookmarkEnd w:id="762"/>
    </w:p>
    <w:p w14:paraId="29C755CC">
      <w:pPr>
        <w:rPr>
          <w:rFonts w:hint="eastAsia"/>
          <w:color w:val="auto"/>
          <w:highlight w:val="none"/>
          <w:u w:val="none"/>
        </w:rPr>
      </w:pPr>
      <w:r>
        <w:rPr>
          <w:rFonts w:hint="eastAsia"/>
          <w:color w:val="auto"/>
          <w:highlight w:val="none"/>
          <w:u w:val="none"/>
        </w:rPr>
        <w:t>营运期环境管理的重点是各项环境保护措施的落实，环保设施运行的管理和维护，日常的监测及污染事故的防范和应急处理。</w:t>
      </w:r>
    </w:p>
    <w:p w14:paraId="5F333C63">
      <w:pPr>
        <w:rPr>
          <w:rFonts w:hint="eastAsia"/>
          <w:color w:val="auto"/>
          <w:highlight w:val="none"/>
          <w:u w:val="none"/>
        </w:rPr>
      </w:pPr>
      <w:r>
        <w:rPr>
          <w:rFonts w:hint="eastAsia"/>
          <w:color w:val="auto"/>
          <w:highlight w:val="none"/>
          <w:u w:val="none"/>
        </w:rPr>
        <w:t>环境保护管理机构应当按期及时申报污染物排放情况，及时办理排污许可证。根据工程的实际，加强环境管理，杜绝突发环境事件。企业应定期按照《环境事件应急预案》要求，组织员工进行演练，演练后及时总结。</w:t>
      </w:r>
    </w:p>
    <w:p w14:paraId="4BA09488">
      <w:pPr>
        <w:pStyle w:val="476"/>
        <w:rPr>
          <w:rFonts w:hint="eastAsia" w:ascii="宋体" w:hAnsi="宋体"/>
          <w:color w:val="auto"/>
          <w:highlight w:val="none"/>
          <w:u w:val="none"/>
        </w:rPr>
      </w:pPr>
      <w:r>
        <w:rPr>
          <w:rFonts w:hint="eastAsia"/>
          <w:color w:val="auto"/>
          <w:highlight w:val="none"/>
          <w:u w:val="none"/>
        </w:rPr>
        <w:t xml:space="preserve">表 </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STYLEREF 2 \s</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12.2</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SEQ 表 \* ARABIC \s 2</w:instrText>
      </w:r>
      <w:r>
        <w:rPr>
          <w:color w:val="auto"/>
          <w:highlight w:val="none"/>
          <w:u w:val="none"/>
        </w:rPr>
        <w:instrText xml:space="preserve"> </w:instrText>
      </w:r>
      <w:r>
        <w:rPr>
          <w:color w:val="auto"/>
          <w:highlight w:val="none"/>
          <w:u w:val="none"/>
        </w:rPr>
        <w:fldChar w:fldCharType="separate"/>
      </w:r>
      <w:r>
        <w:rPr>
          <w:rFonts w:hint="eastAsia"/>
          <w:color w:val="auto"/>
          <w:highlight w:val="none"/>
          <w:u w:val="none"/>
        </w:rPr>
        <w:t>1</w:t>
      </w:r>
      <w:r>
        <w:rPr>
          <w:color w:val="auto"/>
          <w:highlight w:val="none"/>
          <w:u w:val="none"/>
        </w:rPr>
        <w:fldChar w:fldCharType="end"/>
      </w:r>
      <w:r>
        <w:rPr>
          <w:color w:val="auto"/>
          <w:highlight w:val="none"/>
          <w:u w:val="none"/>
        </w:rPr>
        <w:t xml:space="preserve">  </w:t>
      </w:r>
      <w:r>
        <w:rPr>
          <w:rFonts w:ascii="宋体" w:hAnsi="宋体"/>
          <w:color w:val="auto"/>
          <w:highlight w:val="none"/>
          <w:u w:val="none"/>
        </w:rPr>
        <w:t>环境管理工作计划一览表</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54"/>
        <w:gridCol w:w="4637"/>
        <w:gridCol w:w="1731"/>
        <w:gridCol w:w="1564"/>
      </w:tblGrid>
      <w:tr w14:paraId="03B019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729" w:type="pct"/>
            <w:vAlign w:val="center"/>
          </w:tcPr>
          <w:p w14:paraId="6A6EF4D4">
            <w:pPr>
              <w:pStyle w:val="831"/>
              <w:rPr>
                <w:rFonts w:hint="eastAsia" w:ascii="宋体" w:hAnsi="宋体"/>
                <w:color w:val="auto"/>
                <w:highlight w:val="none"/>
                <w:u w:val="none"/>
              </w:rPr>
            </w:pPr>
            <w:r>
              <w:rPr>
                <w:rFonts w:ascii="宋体" w:hAnsi="宋体"/>
                <w:color w:val="auto"/>
                <w:highlight w:val="none"/>
                <w:u w:val="none"/>
              </w:rPr>
              <w:t>实施阶段</w:t>
            </w:r>
          </w:p>
        </w:tc>
        <w:tc>
          <w:tcPr>
            <w:tcW w:w="2496" w:type="pct"/>
            <w:vAlign w:val="center"/>
          </w:tcPr>
          <w:p w14:paraId="3DB35789">
            <w:pPr>
              <w:pStyle w:val="831"/>
              <w:rPr>
                <w:rFonts w:hint="eastAsia" w:ascii="宋体" w:hAnsi="宋体"/>
                <w:color w:val="auto"/>
                <w:highlight w:val="none"/>
                <w:u w:val="none"/>
              </w:rPr>
            </w:pPr>
            <w:r>
              <w:rPr>
                <w:rFonts w:ascii="宋体" w:hAnsi="宋体"/>
                <w:color w:val="auto"/>
                <w:highlight w:val="none"/>
                <w:u w:val="none"/>
              </w:rPr>
              <w:t>管理措施</w:t>
            </w:r>
          </w:p>
        </w:tc>
        <w:tc>
          <w:tcPr>
            <w:tcW w:w="932" w:type="pct"/>
            <w:vAlign w:val="center"/>
          </w:tcPr>
          <w:p w14:paraId="2431F98A">
            <w:pPr>
              <w:pStyle w:val="831"/>
              <w:rPr>
                <w:rFonts w:hint="eastAsia" w:ascii="宋体" w:hAnsi="宋体"/>
                <w:color w:val="auto"/>
                <w:highlight w:val="none"/>
                <w:u w:val="none"/>
              </w:rPr>
            </w:pPr>
            <w:r>
              <w:rPr>
                <w:rFonts w:ascii="宋体" w:hAnsi="宋体"/>
                <w:color w:val="auto"/>
                <w:highlight w:val="none"/>
                <w:u w:val="none"/>
              </w:rPr>
              <w:t>实施机构</w:t>
            </w:r>
          </w:p>
        </w:tc>
        <w:tc>
          <w:tcPr>
            <w:tcW w:w="842" w:type="pct"/>
            <w:vAlign w:val="center"/>
          </w:tcPr>
          <w:p w14:paraId="2C3EE3A6">
            <w:pPr>
              <w:pStyle w:val="831"/>
              <w:rPr>
                <w:rFonts w:hint="eastAsia" w:ascii="宋体" w:hAnsi="宋体"/>
                <w:color w:val="auto"/>
                <w:highlight w:val="none"/>
                <w:u w:val="none"/>
              </w:rPr>
            </w:pPr>
            <w:r>
              <w:rPr>
                <w:rFonts w:ascii="宋体" w:hAnsi="宋体"/>
                <w:color w:val="auto"/>
                <w:highlight w:val="none"/>
                <w:u w:val="none"/>
              </w:rPr>
              <w:t>负责机构</w:t>
            </w:r>
          </w:p>
        </w:tc>
      </w:tr>
      <w:tr w14:paraId="037B5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729" w:type="pct"/>
            <w:vAlign w:val="center"/>
          </w:tcPr>
          <w:p w14:paraId="15DC3256">
            <w:pPr>
              <w:pStyle w:val="831"/>
              <w:rPr>
                <w:rFonts w:hint="eastAsia" w:ascii="宋体" w:hAnsi="宋体"/>
                <w:color w:val="auto"/>
                <w:highlight w:val="none"/>
                <w:u w:val="none"/>
              </w:rPr>
            </w:pPr>
            <w:r>
              <w:rPr>
                <w:rFonts w:ascii="宋体" w:hAnsi="宋体"/>
                <w:color w:val="auto"/>
                <w:highlight w:val="none"/>
                <w:u w:val="none"/>
              </w:rPr>
              <w:t>工程设计阶段</w:t>
            </w:r>
          </w:p>
        </w:tc>
        <w:tc>
          <w:tcPr>
            <w:tcW w:w="2496" w:type="pct"/>
            <w:vAlign w:val="center"/>
          </w:tcPr>
          <w:p w14:paraId="3B83CFEE">
            <w:pPr>
              <w:pStyle w:val="831"/>
              <w:rPr>
                <w:rFonts w:hint="eastAsia" w:ascii="宋体" w:hAnsi="宋体"/>
                <w:color w:val="auto"/>
                <w:highlight w:val="none"/>
                <w:u w:val="none"/>
              </w:rPr>
            </w:pPr>
            <w:r>
              <w:rPr>
                <w:rFonts w:ascii="宋体" w:hAnsi="宋体"/>
                <w:color w:val="auto"/>
                <w:highlight w:val="none"/>
                <w:u w:val="none"/>
              </w:rPr>
              <w:t>设计单位应将环境影响报告书中提出的环保措施落实到设计中</w:t>
            </w:r>
          </w:p>
        </w:tc>
        <w:tc>
          <w:tcPr>
            <w:tcW w:w="932" w:type="pct"/>
            <w:vAlign w:val="center"/>
          </w:tcPr>
          <w:p w14:paraId="4ACCAA43">
            <w:pPr>
              <w:pStyle w:val="831"/>
              <w:rPr>
                <w:rFonts w:hint="eastAsia" w:ascii="宋体" w:hAnsi="宋体"/>
                <w:color w:val="auto"/>
                <w:highlight w:val="none"/>
                <w:u w:val="none"/>
              </w:rPr>
            </w:pPr>
            <w:r>
              <w:rPr>
                <w:rFonts w:ascii="宋体" w:hAnsi="宋体"/>
                <w:color w:val="auto"/>
                <w:highlight w:val="none"/>
                <w:u w:val="none"/>
              </w:rPr>
              <w:t>设计单位</w:t>
            </w:r>
          </w:p>
        </w:tc>
        <w:tc>
          <w:tcPr>
            <w:tcW w:w="842" w:type="pct"/>
            <w:vAlign w:val="center"/>
          </w:tcPr>
          <w:p w14:paraId="28ACAD26">
            <w:pPr>
              <w:pStyle w:val="831"/>
              <w:rPr>
                <w:rFonts w:hint="eastAsia" w:ascii="宋体" w:hAnsi="宋体"/>
                <w:color w:val="auto"/>
                <w:highlight w:val="none"/>
                <w:u w:val="none"/>
              </w:rPr>
            </w:pPr>
            <w:r>
              <w:rPr>
                <w:rFonts w:ascii="宋体" w:hAnsi="宋体"/>
                <w:color w:val="auto"/>
                <w:highlight w:val="none"/>
                <w:u w:val="none"/>
              </w:rPr>
              <w:t>建设单位</w:t>
            </w:r>
          </w:p>
        </w:tc>
      </w:tr>
      <w:tr w14:paraId="20247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729" w:type="pct"/>
            <w:vAlign w:val="center"/>
          </w:tcPr>
          <w:p w14:paraId="2DF974D3">
            <w:pPr>
              <w:pStyle w:val="831"/>
              <w:rPr>
                <w:rFonts w:hint="eastAsia" w:ascii="宋体" w:hAnsi="宋体"/>
                <w:color w:val="auto"/>
                <w:highlight w:val="none"/>
                <w:u w:val="none"/>
              </w:rPr>
            </w:pPr>
            <w:r>
              <w:rPr>
                <w:rFonts w:ascii="宋体" w:hAnsi="宋体"/>
                <w:color w:val="auto"/>
                <w:highlight w:val="none"/>
                <w:u w:val="none"/>
              </w:rPr>
              <w:t>招标阶段</w:t>
            </w:r>
          </w:p>
        </w:tc>
        <w:tc>
          <w:tcPr>
            <w:tcW w:w="2496" w:type="pct"/>
            <w:vAlign w:val="center"/>
          </w:tcPr>
          <w:p w14:paraId="56038D5B">
            <w:pPr>
              <w:pStyle w:val="831"/>
              <w:rPr>
                <w:rFonts w:hint="eastAsia" w:ascii="宋体" w:hAnsi="宋体"/>
                <w:color w:val="auto"/>
                <w:highlight w:val="none"/>
                <w:u w:val="none"/>
              </w:rPr>
            </w:pPr>
            <w:r>
              <w:rPr>
                <w:rFonts w:ascii="宋体" w:hAnsi="宋体"/>
                <w:color w:val="auto"/>
                <w:highlight w:val="none"/>
                <w:u w:val="none"/>
              </w:rPr>
              <w:t>施工投标合同中应有环境保护方面的内容，中标后的合同中应有实施环保措施的条款</w:t>
            </w:r>
          </w:p>
        </w:tc>
        <w:tc>
          <w:tcPr>
            <w:tcW w:w="932" w:type="pct"/>
            <w:vAlign w:val="center"/>
          </w:tcPr>
          <w:p w14:paraId="6152B991">
            <w:pPr>
              <w:pStyle w:val="831"/>
              <w:rPr>
                <w:rFonts w:hint="eastAsia" w:ascii="宋体" w:hAnsi="宋体"/>
                <w:color w:val="auto"/>
                <w:highlight w:val="none"/>
                <w:u w:val="none"/>
              </w:rPr>
            </w:pPr>
            <w:r>
              <w:rPr>
                <w:rFonts w:ascii="宋体" w:hAnsi="宋体"/>
                <w:color w:val="auto"/>
                <w:highlight w:val="none"/>
                <w:u w:val="none"/>
              </w:rPr>
              <w:t>工程施工单位</w:t>
            </w:r>
          </w:p>
        </w:tc>
        <w:tc>
          <w:tcPr>
            <w:tcW w:w="842" w:type="pct"/>
            <w:vAlign w:val="center"/>
          </w:tcPr>
          <w:p w14:paraId="3DA5E3E4">
            <w:pPr>
              <w:pStyle w:val="831"/>
              <w:rPr>
                <w:rFonts w:hint="eastAsia" w:ascii="宋体" w:hAnsi="宋体"/>
                <w:color w:val="auto"/>
                <w:highlight w:val="none"/>
                <w:u w:val="none"/>
              </w:rPr>
            </w:pPr>
            <w:r>
              <w:rPr>
                <w:rFonts w:ascii="宋体" w:hAnsi="宋体"/>
                <w:color w:val="auto"/>
                <w:highlight w:val="none"/>
                <w:u w:val="none"/>
              </w:rPr>
              <w:t>建设单位</w:t>
            </w:r>
          </w:p>
        </w:tc>
      </w:tr>
      <w:tr w14:paraId="02DB2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729" w:type="pct"/>
            <w:vAlign w:val="center"/>
          </w:tcPr>
          <w:p w14:paraId="3113D307">
            <w:pPr>
              <w:pStyle w:val="831"/>
              <w:rPr>
                <w:rFonts w:hint="eastAsia" w:ascii="宋体" w:hAnsi="宋体"/>
                <w:color w:val="auto"/>
                <w:highlight w:val="none"/>
                <w:u w:val="none"/>
              </w:rPr>
            </w:pPr>
            <w:r>
              <w:rPr>
                <w:rFonts w:ascii="宋体" w:hAnsi="宋体"/>
                <w:color w:val="auto"/>
                <w:highlight w:val="none"/>
                <w:u w:val="none"/>
              </w:rPr>
              <w:t>竣工验收阶段</w:t>
            </w:r>
          </w:p>
        </w:tc>
        <w:tc>
          <w:tcPr>
            <w:tcW w:w="2496" w:type="pct"/>
            <w:vAlign w:val="center"/>
          </w:tcPr>
          <w:p w14:paraId="6093928D">
            <w:pPr>
              <w:pStyle w:val="831"/>
              <w:rPr>
                <w:rFonts w:hint="eastAsia" w:ascii="宋体" w:hAnsi="宋体"/>
                <w:color w:val="auto"/>
                <w:highlight w:val="none"/>
                <w:u w:val="none"/>
              </w:rPr>
            </w:pPr>
            <w:r>
              <w:rPr>
                <w:rFonts w:ascii="宋体" w:hAnsi="宋体"/>
                <w:color w:val="auto"/>
                <w:highlight w:val="none"/>
                <w:u w:val="none"/>
              </w:rPr>
              <w:t>及时组织竣工环保验收，对各项环保工程措施“三同时”的落实情况、效果及工程建设对环境的影响进行评估，对环保措施进行修正和改进</w:t>
            </w:r>
          </w:p>
        </w:tc>
        <w:tc>
          <w:tcPr>
            <w:tcW w:w="932" w:type="pct"/>
            <w:vAlign w:val="center"/>
          </w:tcPr>
          <w:p w14:paraId="186A115A">
            <w:pPr>
              <w:pStyle w:val="831"/>
              <w:rPr>
                <w:rFonts w:hint="eastAsia" w:ascii="宋体" w:hAnsi="宋体"/>
                <w:color w:val="auto"/>
                <w:highlight w:val="none"/>
                <w:u w:val="none"/>
              </w:rPr>
            </w:pPr>
            <w:r>
              <w:rPr>
                <w:rFonts w:ascii="宋体" w:hAnsi="宋体"/>
                <w:color w:val="auto"/>
                <w:highlight w:val="none"/>
                <w:u w:val="none"/>
              </w:rPr>
              <w:t>建设单位</w:t>
            </w:r>
          </w:p>
        </w:tc>
        <w:tc>
          <w:tcPr>
            <w:tcW w:w="842" w:type="pct"/>
            <w:vAlign w:val="center"/>
          </w:tcPr>
          <w:p w14:paraId="38287347">
            <w:pPr>
              <w:pStyle w:val="831"/>
              <w:rPr>
                <w:rFonts w:hint="eastAsia" w:ascii="宋体" w:hAnsi="宋体"/>
                <w:color w:val="auto"/>
                <w:highlight w:val="none"/>
                <w:u w:val="none"/>
              </w:rPr>
            </w:pPr>
            <w:r>
              <w:rPr>
                <w:rFonts w:ascii="宋体" w:hAnsi="宋体"/>
                <w:color w:val="auto"/>
                <w:highlight w:val="none"/>
                <w:u w:val="none"/>
              </w:rPr>
              <w:t>建设单位</w:t>
            </w:r>
          </w:p>
        </w:tc>
      </w:tr>
      <w:tr w14:paraId="7EAE4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729" w:type="pct"/>
            <w:vAlign w:val="center"/>
          </w:tcPr>
          <w:p w14:paraId="2D47362B">
            <w:pPr>
              <w:pStyle w:val="831"/>
              <w:rPr>
                <w:rFonts w:hint="eastAsia" w:ascii="宋体" w:hAnsi="宋体"/>
                <w:color w:val="auto"/>
                <w:highlight w:val="none"/>
                <w:u w:val="none"/>
              </w:rPr>
            </w:pPr>
            <w:r>
              <w:rPr>
                <w:rFonts w:ascii="宋体" w:hAnsi="宋体"/>
                <w:color w:val="auto"/>
                <w:highlight w:val="none"/>
                <w:u w:val="none"/>
              </w:rPr>
              <w:t>竣工后</w:t>
            </w:r>
          </w:p>
        </w:tc>
        <w:tc>
          <w:tcPr>
            <w:tcW w:w="2496" w:type="pct"/>
            <w:vAlign w:val="center"/>
          </w:tcPr>
          <w:p w14:paraId="1FF5D948">
            <w:pPr>
              <w:pStyle w:val="831"/>
              <w:rPr>
                <w:rFonts w:hint="eastAsia" w:ascii="宋体" w:hAnsi="宋体"/>
                <w:color w:val="auto"/>
                <w:highlight w:val="none"/>
                <w:u w:val="none"/>
              </w:rPr>
            </w:pPr>
            <w:r>
              <w:rPr>
                <w:rFonts w:ascii="宋体" w:hAnsi="宋体"/>
                <w:color w:val="auto"/>
                <w:highlight w:val="none"/>
                <w:u w:val="none"/>
              </w:rPr>
              <w:t>按期及时申报污染物排放情况，及时办理排污许可证；委托有资质的监测机构实施环境监测计划</w:t>
            </w:r>
          </w:p>
        </w:tc>
        <w:tc>
          <w:tcPr>
            <w:tcW w:w="932" w:type="pct"/>
            <w:vAlign w:val="center"/>
          </w:tcPr>
          <w:p w14:paraId="359D587A">
            <w:pPr>
              <w:pStyle w:val="831"/>
              <w:rPr>
                <w:rFonts w:hint="eastAsia" w:ascii="宋体" w:hAnsi="宋体"/>
                <w:color w:val="auto"/>
                <w:highlight w:val="none"/>
                <w:u w:val="none"/>
              </w:rPr>
            </w:pPr>
            <w:r>
              <w:rPr>
                <w:rFonts w:ascii="宋体" w:hAnsi="宋体"/>
                <w:color w:val="auto"/>
                <w:highlight w:val="none"/>
                <w:u w:val="none"/>
              </w:rPr>
              <w:t>建设单位</w:t>
            </w:r>
          </w:p>
        </w:tc>
        <w:tc>
          <w:tcPr>
            <w:tcW w:w="842" w:type="pct"/>
            <w:vAlign w:val="center"/>
          </w:tcPr>
          <w:p w14:paraId="7058186F">
            <w:pPr>
              <w:pStyle w:val="831"/>
              <w:rPr>
                <w:rFonts w:hint="eastAsia" w:ascii="宋体" w:hAnsi="宋体"/>
                <w:color w:val="auto"/>
                <w:highlight w:val="none"/>
                <w:u w:val="none"/>
              </w:rPr>
            </w:pPr>
            <w:r>
              <w:rPr>
                <w:rFonts w:ascii="宋体" w:hAnsi="宋体"/>
                <w:color w:val="auto"/>
                <w:highlight w:val="none"/>
                <w:u w:val="none"/>
              </w:rPr>
              <w:t>建设单位</w:t>
            </w:r>
          </w:p>
        </w:tc>
      </w:tr>
      <w:tr w14:paraId="66523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729" w:type="pct"/>
            <w:vAlign w:val="center"/>
          </w:tcPr>
          <w:p w14:paraId="7F94D8A7">
            <w:pPr>
              <w:pStyle w:val="831"/>
              <w:rPr>
                <w:rFonts w:hint="eastAsia" w:ascii="宋体" w:hAnsi="宋体"/>
                <w:color w:val="auto"/>
                <w:highlight w:val="none"/>
                <w:u w:val="none"/>
              </w:rPr>
            </w:pPr>
            <w:r>
              <w:rPr>
                <w:rFonts w:ascii="宋体" w:hAnsi="宋体"/>
                <w:color w:val="auto"/>
                <w:highlight w:val="none"/>
                <w:u w:val="none"/>
              </w:rPr>
              <w:t>营运阶段</w:t>
            </w:r>
          </w:p>
        </w:tc>
        <w:tc>
          <w:tcPr>
            <w:tcW w:w="2496" w:type="pct"/>
            <w:vAlign w:val="center"/>
          </w:tcPr>
          <w:p w14:paraId="0C4871B0">
            <w:pPr>
              <w:pStyle w:val="831"/>
              <w:rPr>
                <w:rFonts w:hint="eastAsia" w:ascii="宋体" w:hAnsi="宋体"/>
                <w:color w:val="auto"/>
                <w:highlight w:val="none"/>
                <w:u w:val="none"/>
              </w:rPr>
            </w:pPr>
            <w:r>
              <w:rPr>
                <w:rFonts w:ascii="宋体" w:hAnsi="宋体"/>
                <w:color w:val="auto"/>
                <w:highlight w:val="none"/>
                <w:u w:val="none"/>
              </w:rPr>
              <w:t>对各项环保工程设施的运行实施日常管理，进行必要的维护、修正和改进，确保环保工程措施的正常有效运行</w:t>
            </w:r>
          </w:p>
        </w:tc>
        <w:tc>
          <w:tcPr>
            <w:tcW w:w="932" w:type="pct"/>
            <w:vAlign w:val="center"/>
          </w:tcPr>
          <w:p w14:paraId="523E1985">
            <w:pPr>
              <w:pStyle w:val="831"/>
              <w:rPr>
                <w:rFonts w:hint="eastAsia" w:ascii="宋体" w:hAnsi="宋体"/>
                <w:color w:val="auto"/>
                <w:highlight w:val="none"/>
                <w:u w:val="none"/>
              </w:rPr>
            </w:pPr>
            <w:r>
              <w:rPr>
                <w:rFonts w:ascii="宋体" w:hAnsi="宋体"/>
                <w:color w:val="auto"/>
                <w:highlight w:val="none"/>
                <w:u w:val="none"/>
              </w:rPr>
              <w:t>建设单位</w:t>
            </w:r>
          </w:p>
        </w:tc>
        <w:tc>
          <w:tcPr>
            <w:tcW w:w="842" w:type="pct"/>
            <w:vAlign w:val="center"/>
          </w:tcPr>
          <w:p w14:paraId="3365E014">
            <w:pPr>
              <w:pStyle w:val="831"/>
              <w:rPr>
                <w:rFonts w:hint="eastAsia" w:ascii="宋体" w:hAnsi="宋体"/>
                <w:color w:val="auto"/>
                <w:highlight w:val="none"/>
                <w:u w:val="none"/>
              </w:rPr>
            </w:pPr>
            <w:r>
              <w:rPr>
                <w:rFonts w:ascii="宋体" w:hAnsi="宋体"/>
                <w:color w:val="auto"/>
                <w:highlight w:val="none"/>
                <w:u w:val="none"/>
              </w:rPr>
              <w:t>建设单位</w:t>
            </w:r>
          </w:p>
        </w:tc>
      </w:tr>
    </w:tbl>
    <w:p w14:paraId="7AA7DB03">
      <w:pPr>
        <w:pStyle w:val="6"/>
        <w:spacing w:before="156" w:after="156"/>
        <w:rPr>
          <w:color w:val="auto"/>
          <w:highlight w:val="none"/>
          <w:u w:val="none"/>
        </w:rPr>
      </w:pPr>
      <w:bookmarkStart w:id="763" w:name="_Toc148374731"/>
      <w:bookmarkStart w:id="764" w:name="_Toc148375173"/>
      <w:r>
        <w:rPr>
          <w:rFonts w:hint="eastAsia"/>
          <w:color w:val="auto"/>
          <w:highlight w:val="none"/>
          <w:u w:val="none"/>
        </w:rPr>
        <w:t>排污口规范化管理</w:t>
      </w:r>
      <w:bookmarkEnd w:id="763"/>
      <w:bookmarkEnd w:id="764"/>
    </w:p>
    <w:p w14:paraId="148A054B">
      <w:pPr>
        <w:rPr>
          <w:rFonts w:hint="eastAsia"/>
          <w:color w:val="auto"/>
          <w:highlight w:val="none"/>
          <w:u w:val="none"/>
        </w:rPr>
      </w:pPr>
      <w:r>
        <w:rPr>
          <w:rFonts w:hint="eastAsia"/>
          <w:color w:val="auto"/>
          <w:highlight w:val="none"/>
          <w:u w:val="none"/>
        </w:rPr>
        <w:t>根据闽环保[1999]理3号“关于转发《关于开展排污口规范化整治工作的通知》的通知要求”，一切新建、改建的排污单位以及限期治理的排污单位，都必须在建设污染治理设施的同时建设规范化的排污口。因此，建设单位必须把各类排污口规范化工作全部纳入“三同时”进行实施，并列入项目环保验收内容。</w:t>
      </w:r>
    </w:p>
    <w:p w14:paraId="0DF9C3D3">
      <w:pPr>
        <w:rPr>
          <w:rFonts w:hint="eastAsia"/>
          <w:color w:val="auto"/>
          <w:highlight w:val="none"/>
          <w:u w:val="none"/>
        </w:rPr>
      </w:pPr>
      <w:r>
        <w:rPr>
          <w:rFonts w:hint="eastAsia"/>
          <w:color w:val="auto"/>
          <w:highlight w:val="none"/>
          <w:u w:val="none"/>
        </w:rPr>
        <w:t>（1）根据《环境保护图形标志》（GB15562.1-1995）（GB15562.2-1995）相关要求，在各污染源排放口（源）及固废临时贮存场所设置专项图标，见</w:t>
      </w:r>
      <w:r>
        <w:rPr>
          <w:color w:val="auto"/>
          <w:highlight w:val="none"/>
          <w:u w:val="none"/>
        </w:rPr>
        <w:fldChar w:fldCharType="begin"/>
      </w:r>
      <w:r>
        <w:rPr>
          <w:color w:val="auto"/>
          <w:highlight w:val="none"/>
          <w:u w:val="none"/>
        </w:rPr>
        <w:instrText xml:space="preserve"> </w:instrText>
      </w:r>
      <w:r>
        <w:rPr>
          <w:rFonts w:hint="eastAsia"/>
          <w:color w:val="auto"/>
          <w:highlight w:val="none"/>
          <w:u w:val="none"/>
        </w:rPr>
        <w:instrText xml:space="preserve">REF _Ref56452261 \h</w:instrText>
      </w:r>
      <w:r>
        <w:rPr>
          <w:color w:val="auto"/>
          <w:highlight w:val="none"/>
          <w:u w:val="none"/>
        </w:rPr>
        <w:instrText xml:space="preserve">  \* MERGEFORMAT </w:instrText>
      </w:r>
      <w:r>
        <w:rPr>
          <w:color w:val="auto"/>
          <w:highlight w:val="none"/>
          <w:u w:val="none"/>
        </w:rPr>
        <w:fldChar w:fldCharType="separate"/>
      </w:r>
      <w:r>
        <w:rPr>
          <w:rFonts w:hint="eastAsia"/>
          <w:color w:val="auto"/>
          <w:highlight w:val="none"/>
          <w:u w:val="none"/>
        </w:rPr>
        <w:t xml:space="preserve">表 </w:t>
      </w:r>
      <w:r>
        <w:rPr>
          <w:color w:val="auto"/>
          <w:highlight w:val="none"/>
          <w:u w:val="none"/>
        </w:rPr>
        <w:t>12.2</w:t>
      </w:r>
      <w:r>
        <w:rPr>
          <w:color w:val="auto"/>
          <w:highlight w:val="none"/>
          <w:u w:val="none"/>
        </w:rPr>
        <w:noBreakHyphen/>
      </w:r>
      <w:r>
        <w:rPr>
          <w:color w:val="auto"/>
          <w:highlight w:val="none"/>
          <w:u w:val="none"/>
        </w:rPr>
        <w:t>2</w:t>
      </w:r>
      <w:r>
        <w:rPr>
          <w:color w:val="auto"/>
          <w:highlight w:val="none"/>
          <w:u w:val="none"/>
        </w:rPr>
        <w:fldChar w:fldCharType="end"/>
      </w:r>
      <w:r>
        <w:rPr>
          <w:rFonts w:hint="eastAsia"/>
          <w:color w:val="auto"/>
          <w:highlight w:val="none"/>
          <w:u w:val="none"/>
        </w:rPr>
        <w:t>。标志牌应设在与之功能相应的醒目处，并保持清晰、完整。</w:t>
      </w:r>
    </w:p>
    <w:p w14:paraId="41DA2442">
      <w:pPr>
        <w:rPr>
          <w:rFonts w:hint="eastAsia"/>
          <w:color w:val="auto"/>
          <w:highlight w:val="none"/>
          <w:u w:val="none"/>
        </w:rPr>
      </w:pPr>
      <w:r>
        <w:rPr>
          <w:rFonts w:hint="eastAsia"/>
          <w:color w:val="auto"/>
          <w:highlight w:val="none"/>
          <w:u w:val="none"/>
        </w:rPr>
        <w:t>（2）如实填写《中华人民共和国规范化排污口标志登记证》的有关内容，由生态环境主管部门签发登记证。</w:t>
      </w:r>
    </w:p>
    <w:p w14:paraId="68ADD110">
      <w:pPr>
        <w:rPr>
          <w:rFonts w:hint="eastAsia"/>
          <w:color w:val="auto"/>
          <w:highlight w:val="none"/>
          <w:u w:val="none"/>
        </w:rPr>
      </w:pPr>
      <w:r>
        <w:rPr>
          <w:rFonts w:hint="eastAsia"/>
          <w:color w:val="auto"/>
          <w:highlight w:val="none"/>
          <w:u w:val="none"/>
        </w:rPr>
        <w:t>（3）应将有关排污口的情况（如排污口的性质、编号、位置，主要排放污染物的种类、数量、浓度、排放规律、排放去向）以及污染治理设施的运行情况等进行建档管理，并报送生态环境主管部门备案。</w:t>
      </w:r>
    </w:p>
    <w:p w14:paraId="6F3A51E3">
      <w:pPr>
        <w:rPr>
          <w:rFonts w:hint="eastAsia"/>
          <w:color w:val="auto"/>
          <w:highlight w:val="none"/>
          <w:u w:val="none"/>
        </w:rPr>
      </w:pPr>
      <w:r>
        <w:rPr>
          <w:rFonts w:hint="eastAsia"/>
          <w:color w:val="auto"/>
          <w:highlight w:val="none"/>
          <w:u w:val="none"/>
        </w:rPr>
        <w:t>（4）排污口规范化整治要遵循便于采集样品、便于监测计量、便于日常监督管理的原则，严格按排放口规范化整治技术要求进行。</w:t>
      </w:r>
    </w:p>
    <w:p w14:paraId="0E62BB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none"/>
        </w:rPr>
      </w:pPr>
      <w:bookmarkStart w:id="765" w:name="_Ref56452261"/>
      <w:r>
        <w:rPr>
          <w:rFonts w:hint="eastAsia"/>
          <w:b/>
          <w:color w:val="auto"/>
          <w:highlight w:val="none"/>
          <w:u w:val="none"/>
        </w:rPr>
        <w:t xml:space="preserve">表 </w:t>
      </w:r>
      <w:r>
        <w:rPr>
          <w:b/>
          <w:color w:val="auto"/>
          <w:highlight w:val="none"/>
          <w:u w:val="none"/>
        </w:rPr>
        <w:fldChar w:fldCharType="begin"/>
      </w:r>
      <w:r>
        <w:rPr>
          <w:b/>
          <w:color w:val="auto"/>
          <w:highlight w:val="none"/>
          <w:u w:val="none"/>
        </w:rPr>
        <w:instrText xml:space="preserve"> </w:instrText>
      </w:r>
      <w:r>
        <w:rPr>
          <w:rFonts w:hint="eastAsia"/>
          <w:b/>
          <w:color w:val="auto"/>
          <w:highlight w:val="none"/>
          <w:u w:val="none"/>
        </w:rPr>
        <w:instrText xml:space="preserve">STYLEREF 2 \s</w:instrText>
      </w:r>
      <w:r>
        <w:rPr>
          <w:b/>
          <w:color w:val="auto"/>
          <w:highlight w:val="none"/>
          <w:u w:val="none"/>
        </w:rPr>
        <w:instrText xml:space="preserve"> </w:instrText>
      </w:r>
      <w:r>
        <w:rPr>
          <w:b/>
          <w:color w:val="auto"/>
          <w:highlight w:val="none"/>
          <w:u w:val="none"/>
        </w:rPr>
        <w:fldChar w:fldCharType="separate"/>
      </w:r>
      <w:r>
        <w:rPr>
          <w:b/>
          <w:color w:val="auto"/>
          <w:highlight w:val="none"/>
          <w:u w:val="none"/>
        </w:rPr>
        <w:t>12.2</w:t>
      </w:r>
      <w:r>
        <w:rPr>
          <w:b/>
          <w:color w:val="auto"/>
          <w:highlight w:val="none"/>
          <w:u w:val="none"/>
        </w:rPr>
        <w:fldChar w:fldCharType="end"/>
      </w:r>
      <w:r>
        <w:rPr>
          <w:b/>
          <w:color w:val="auto"/>
          <w:highlight w:val="none"/>
          <w:u w:val="none"/>
        </w:rPr>
        <w:noBreakHyphen/>
      </w:r>
      <w:r>
        <w:rPr>
          <w:b/>
          <w:color w:val="auto"/>
          <w:highlight w:val="none"/>
          <w:u w:val="none"/>
        </w:rPr>
        <w:fldChar w:fldCharType="begin"/>
      </w:r>
      <w:r>
        <w:rPr>
          <w:b/>
          <w:color w:val="auto"/>
          <w:highlight w:val="none"/>
          <w:u w:val="none"/>
        </w:rPr>
        <w:instrText xml:space="preserve"> </w:instrText>
      </w:r>
      <w:r>
        <w:rPr>
          <w:rFonts w:hint="eastAsia"/>
          <w:b/>
          <w:color w:val="auto"/>
          <w:highlight w:val="none"/>
          <w:u w:val="none"/>
        </w:rPr>
        <w:instrText xml:space="preserve">SEQ 表 \* ARABIC \s 2</w:instrText>
      </w:r>
      <w:r>
        <w:rPr>
          <w:b/>
          <w:color w:val="auto"/>
          <w:highlight w:val="none"/>
          <w:u w:val="none"/>
        </w:rPr>
        <w:instrText xml:space="preserve"> </w:instrText>
      </w:r>
      <w:r>
        <w:rPr>
          <w:b/>
          <w:color w:val="auto"/>
          <w:highlight w:val="none"/>
          <w:u w:val="none"/>
        </w:rPr>
        <w:fldChar w:fldCharType="separate"/>
      </w:r>
      <w:r>
        <w:rPr>
          <w:b/>
          <w:color w:val="auto"/>
          <w:highlight w:val="none"/>
          <w:u w:val="none"/>
        </w:rPr>
        <w:t>2</w:t>
      </w:r>
      <w:r>
        <w:rPr>
          <w:b/>
          <w:color w:val="auto"/>
          <w:highlight w:val="none"/>
          <w:u w:val="none"/>
        </w:rPr>
        <w:fldChar w:fldCharType="end"/>
      </w:r>
      <w:bookmarkEnd w:id="765"/>
      <w:r>
        <w:rPr>
          <w:b/>
          <w:color w:val="auto"/>
          <w:highlight w:val="none"/>
          <w:u w:val="none"/>
        </w:rPr>
        <w:t xml:space="preserve"> </w:t>
      </w:r>
      <w:r>
        <w:rPr>
          <w:rFonts w:hint="eastAsia"/>
          <w:b/>
          <w:color w:val="auto"/>
          <w:highlight w:val="none"/>
          <w:u w:val="none"/>
        </w:rPr>
        <w:t xml:space="preserve"> 各排污口标志牌设置示意图</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618"/>
        <w:gridCol w:w="1618"/>
        <w:gridCol w:w="1618"/>
        <w:gridCol w:w="1622"/>
        <w:gridCol w:w="2217"/>
      </w:tblGrid>
      <w:tr w14:paraId="09E30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vAlign w:val="center"/>
          </w:tcPr>
          <w:p w14:paraId="576F2588">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排放口</w:t>
            </w:r>
          </w:p>
        </w:tc>
        <w:tc>
          <w:tcPr>
            <w:tcW w:w="871" w:type="pct"/>
            <w:tcBorders>
              <w:tl2br w:val="nil"/>
              <w:tr2bl w:val="nil"/>
            </w:tcBorders>
            <w:vAlign w:val="center"/>
          </w:tcPr>
          <w:p w14:paraId="4DD11A65">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废水排放口</w:t>
            </w:r>
          </w:p>
        </w:tc>
        <w:tc>
          <w:tcPr>
            <w:tcW w:w="871" w:type="pct"/>
            <w:tcBorders>
              <w:tl2br w:val="nil"/>
              <w:tr2bl w:val="nil"/>
            </w:tcBorders>
            <w:vAlign w:val="center"/>
          </w:tcPr>
          <w:p w14:paraId="44BB60F1">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废气排放口口</w:t>
            </w:r>
          </w:p>
        </w:tc>
        <w:tc>
          <w:tcPr>
            <w:tcW w:w="871" w:type="pct"/>
            <w:tcBorders>
              <w:tl2br w:val="nil"/>
              <w:tr2bl w:val="nil"/>
            </w:tcBorders>
            <w:vAlign w:val="center"/>
          </w:tcPr>
          <w:p w14:paraId="05935186">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噪声排放源</w:t>
            </w:r>
          </w:p>
        </w:tc>
        <w:tc>
          <w:tcPr>
            <w:tcW w:w="873" w:type="pct"/>
            <w:tcBorders>
              <w:tl2br w:val="nil"/>
              <w:tr2bl w:val="nil"/>
            </w:tcBorders>
            <w:vAlign w:val="center"/>
          </w:tcPr>
          <w:p w14:paraId="737E281D">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一般固废堆场</w:t>
            </w:r>
          </w:p>
        </w:tc>
        <w:tc>
          <w:tcPr>
            <w:tcW w:w="1193" w:type="pct"/>
            <w:tcBorders>
              <w:tl2br w:val="nil"/>
              <w:tr2bl w:val="nil"/>
            </w:tcBorders>
            <w:vAlign w:val="center"/>
          </w:tcPr>
          <w:p w14:paraId="4F2E96E2">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危废间</w:t>
            </w:r>
          </w:p>
        </w:tc>
      </w:tr>
      <w:tr w14:paraId="75729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vAlign w:val="center"/>
          </w:tcPr>
          <w:p w14:paraId="744877FC">
            <w:pPr>
              <w:ind w:firstLine="0" w:firstLineChars="0"/>
              <w:jc w:val="center"/>
              <w:rPr>
                <w:rStyle w:val="70"/>
                <w:rFonts w:hint="eastAsia" w:ascii="宋体" w:cs="宋体"/>
                <w:color w:val="auto"/>
                <w:kern w:val="2"/>
                <w:highlight w:val="none"/>
                <w:u w:val="none"/>
                <w:lang w:val="en-US"/>
              </w:rPr>
            </w:pPr>
            <w:r>
              <w:rPr>
                <w:rStyle w:val="70"/>
                <w:rFonts w:hint="eastAsia" w:ascii="宋体" w:cs="宋体"/>
                <w:color w:val="auto"/>
                <w:kern w:val="2"/>
                <w:highlight w:val="none"/>
                <w:u w:val="none"/>
                <w:lang w:val="en-US"/>
              </w:rPr>
              <w:t>图形符号</w:t>
            </w:r>
          </w:p>
        </w:tc>
        <w:tc>
          <w:tcPr>
            <w:tcW w:w="871" w:type="pct"/>
            <w:tcBorders>
              <w:tl2br w:val="nil"/>
              <w:tr2bl w:val="nil"/>
            </w:tcBorders>
            <w:vAlign w:val="center"/>
          </w:tcPr>
          <w:p w14:paraId="792C4909">
            <w:pPr>
              <w:ind w:firstLine="0" w:firstLineChars="0"/>
              <w:jc w:val="center"/>
              <w:rPr>
                <w:rStyle w:val="70"/>
                <w:rFonts w:hint="eastAsia" w:ascii="宋体" w:cs="宋体"/>
                <w:color w:val="auto"/>
                <w:kern w:val="2"/>
                <w:highlight w:val="none"/>
                <w:u w:val="none"/>
                <w:lang w:val="en-US"/>
              </w:rPr>
            </w:pPr>
            <w:r>
              <w:rPr>
                <w:color w:val="auto"/>
                <w:sz w:val="21"/>
                <w:szCs w:val="21"/>
                <w:highlight w:val="none"/>
                <w:u w:val="none"/>
              </w:rPr>
              <w:drawing>
                <wp:inline distT="0" distB="0" distL="114300" distR="114300">
                  <wp:extent cx="833755" cy="791845"/>
                  <wp:effectExtent l="0" t="0" r="4445" b="8255"/>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74"/>
                          <a:stretch>
                            <a:fillRect/>
                          </a:stretch>
                        </pic:blipFill>
                        <pic:spPr>
                          <a:xfrm>
                            <a:off x="0" y="0"/>
                            <a:ext cx="833755" cy="791845"/>
                          </a:xfrm>
                          <a:prstGeom prst="rect">
                            <a:avLst/>
                          </a:prstGeom>
                          <a:noFill/>
                          <a:ln>
                            <a:noFill/>
                          </a:ln>
                        </pic:spPr>
                      </pic:pic>
                    </a:graphicData>
                  </a:graphic>
                </wp:inline>
              </w:drawing>
            </w:r>
          </w:p>
        </w:tc>
        <w:tc>
          <w:tcPr>
            <w:tcW w:w="871" w:type="pct"/>
            <w:tcBorders>
              <w:tl2br w:val="nil"/>
              <w:tr2bl w:val="nil"/>
            </w:tcBorders>
            <w:vAlign w:val="center"/>
          </w:tcPr>
          <w:p w14:paraId="17709943">
            <w:pPr>
              <w:ind w:firstLine="0" w:firstLineChars="0"/>
              <w:jc w:val="center"/>
              <w:rPr>
                <w:rStyle w:val="70"/>
                <w:rFonts w:hint="eastAsia" w:ascii="宋体" w:cs="宋体"/>
                <w:color w:val="auto"/>
                <w:kern w:val="2"/>
                <w:highlight w:val="none"/>
                <w:u w:val="none"/>
                <w:lang w:val="en-US"/>
              </w:rPr>
            </w:pPr>
            <w:r>
              <w:rPr>
                <w:color w:val="auto"/>
                <w:sz w:val="21"/>
                <w:szCs w:val="21"/>
                <w:highlight w:val="none"/>
                <w:u w:val="none"/>
              </w:rPr>
              <w:drawing>
                <wp:inline distT="0" distB="0" distL="114300" distR="114300">
                  <wp:extent cx="799465" cy="791845"/>
                  <wp:effectExtent l="0" t="0" r="635" b="8255"/>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75"/>
                          <a:stretch>
                            <a:fillRect/>
                          </a:stretch>
                        </pic:blipFill>
                        <pic:spPr>
                          <a:xfrm>
                            <a:off x="0" y="0"/>
                            <a:ext cx="799465" cy="791845"/>
                          </a:xfrm>
                          <a:prstGeom prst="rect">
                            <a:avLst/>
                          </a:prstGeom>
                          <a:noFill/>
                          <a:ln>
                            <a:noFill/>
                          </a:ln>
                        </pic:spPr>
                      </pic:pic>
                    </a:graphicData>
                  </a:graphic>
                </wp:inline>
              </w:drawing>
            </w:r>
          </w:p>
        </w:tc>
        <w:tc>
          <w:tcPr>
            <w:tcW w:w="871" w:type="pct"/>
            <w:tcBorders>
              <w:tl2br w:val="nil"/>
              <w:tr2bl w:val="nil"/>
            </w:tcBorders>
            <w:vAlign w:val="center"/>
          </w:tcPr>
          <w:p w14:paraId="4DD4E0D2">
            <w:pPr>
              <w:ind w:firstLine="0" w:firstLineChars="0"/>
              <w:jc w:val="center"/>
              <w:rPr>
                <w:rStyle w:val="70"/>
                <w:rFonts w:hint="eastAsia" w:ascii="宋体" w:cs="宋体"/>
                <w:color w:val="auto"/>
                <w:kern w:val="2"/>
                <w:highlight w:val="none"/>
                <w:u w:val="none"/>
                <w:lang w:val="en-US"/>
              </w:rPr>
            </w:pPr>
            <w:r>
              <w:rPr>
                <w:color w:val="auto"/>
                <w:sz w:val="21"/>
                <w:szCs w:val="21"/>
                <w:highlight w:val="none"/>
                <w:u w:val="none"/>
              </w:rPr>
              <w:drawing>
                <wp:inline distT="0" distB="0" distL="114300" distR="114300">
                  <wp:extent cx="795020" cy="793115"/>
                  <wp:effectExtent l="0" t="0" r="5080" b="6985"/>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76"/>
                          <a:stretch>
                            <a:fillRect/>
                          </a:stretch>
                        </pic:blipFill>
                        <pic:spPr>
                          <a:xfrm>
                            <a:off x="0" y="0"/>
                            <a:ext cx="795020" cy="793115"/>
                          </a:xfrm>
                          <a:prstGeom prst="rect">
                            <a:avLst/>
                          </a:prstGeom>
                          <a:noFill/>
                          <a:ln>
                            <a:noFill/>
                          </a:ln>
                        </pic:spPr>
                      </pic:pic>
                    </a:graphicData>
                  </a:graphic>
                </wp:inline>
              </w:drawing>
            </w:r>
          </w:p>
        </w:tc>
        <w:tc>
          <w:tcPr>
            <w:tcW w:w="873" w:type="pct"/>
            <w:tcBorders>
              <w:tl2br w:val="nil"/>
              <w:tr2bl w:val="nil"/>
            </w:tcBorders>
            <w:vAlign w:val="center"/>
          </w:tcPr>
          <w:p w14:paraId="710D9264">
            <w:pPr>
              <w:ind w:firstLine="0" w:firstLineChars="0"/>
              <w:jc w:val="center"/>
              <w:rPr>
                <w:rStyle w:val="70"/>
                <w:rFonts w:hint="eastAsia" w:ascii="宋体" w:cs="宋体"/>
                <w:color w:val="auto"/>
                <w:kern w:val="2"/>
                <w:highlight w:val="none"/>
                <w:u w:val="none"/>
                <w:lang w:val="en-US"/>
              </w:rPr>
            </w:pPr>
            <w:r>
              <w:rPr>
                <w:color w:val="auto"/>
                <w:sz w:val="21"/>
                <w:szCs w:val="21"/>
                <w:highlight w:val="none"/>
                <w:u w:val="none"/>
              </w:rPr>
              <w:drawing>
                <wp:inline distT="0" distB="0" distL="114300" distR="114300">
                  <wp:extent cx="793750" cy="791845"/>
                  <wp:effectExtent l="0" t="0" r="6350" b="8255"/>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77"/>
                          <a:stretch>
                            <a:fillRect/>
                          </a:stretch>
                        </pic:blipFill>
                        <pic:spPr>
                          <a:xfrm>
                            <a:off x="0" y="0"/>
                            <a:ext cx="793750" cy="791845"/>
                          </a:xfrm>
                          <a:prstGeom prst="rect">
                            <a:avLst/>
                          </a:prstGeom>
                          <a:noFill/>
                          <a:ln>
                            <a:noFill/>
                          </a:ln>
                        </pic:spPr>
                      </pic:pic>
                    </a:graphicData>
                  </a:graphic>
                </wp:inline>
              </w:drawing>
            </w:r>
          </w:p>
        </w:tc>
        <w:tc>
          <w:tcPr>
            <w:tcW w:w="1193" w:type="pct"/>
            <w:tcBorders>
              <w:tl2br w:val="nil"/>
              <w:tr2bl w:val="nil"/>
            </w:tcBorders>
            <w:vAlign w:val="center"/>
          </w:tcPr>
          <w:p w14:paraId="56F13BC7">
            <w:pPr>
              <w:ind w:firstLine="0" w:firstLineChars="0"/>
              <w:jc w:val="center"/>
              <w:rPr>
                <w:rStyle w:val="70"/>
                <w:rFonts w:hint="eastAsia" w:ascii="宋体" w:cs="宋体"/>
                <w:color w:val="auto"/>
                <w:kern w:val="2"/>
                <w:highlight w:val="none"/>
                <w:u w:val="none"/>
                <w:lang w:val="en-US"/>
              </w:rPr>
            </w:pPr>
            <w:r>
              <w:rPr>
                <w:color w:val="auto"/>
                <w:sz w:val="21"/>
                <w:szCs w:val="21"/>
                <w:highlight w:val="none"/>
                <w:u w:val="none"/>
              </w:rPr>
              <w:drawing>
                <wp:inline distT="0" distB="0" distL="114300" distR="114300">
                  <wp:extent cx="1206500" cy="757555"/>
                  <wp:effectExtent l="0" t="0" r="12700" b="4445"/>
                  <wp:docPr id="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pic:cNvPicPr>
                            <a:picLocks noChangeAspect="1"/>
                          </pic:cNvPicPr>
                        </pic:nvPicPr>
                        <pic:blipFill>
                          <a:blip r:embed="rId78"/>
                          <a:stretch>
                            <a:fillRect/>
                          </a:stretch>
                        </pic:blipFill>
                        <pic:spPr>
                          <a:xfrm>
                            <a:off x="0" y="0"/>
                            <a:ext cx="1206500" cy="757555"/>
                          </a:xfrm>
                          <a:prstGeom prst="rect">
                            <a:avLst/>
                          </a:prstGeom>
                          <a:noFill/>
                          <a:ln>
                            <a:noFill/>
                          </a:ln>
                        </pic:spPr>
                      </pic:pic>
                    </a:graphicData>
                  </a:graphic>
                </wp:inline>
              </w:drawing>
            </w:r>
          </w:p>
        </w:tc>
      </w:tr>
    </w:tbl>
    <w:p w14:paraId="7358020D">
      <w:pPr>
        <w:pStyle w:val="6"/>
        <w:spacing w:before="156" w:after="156"/>
        <w:rPr>
          <w:color w:val="auto"/>
          <w:highlight w:val="none"/>
          <w:u w:val="none"/>
        </w:rPr>
      </w:pPr>
      <w:bookmarkStart w:id="766" w:name="_Toc148374732"/>
      <w:bookmarkStart w:id="767" w:name="_Toc148375174"/>
      <w:r>
        <w:rPr>
          <w:rFonts w:hint="eastAsia"/>
          <w:color w:val="auto"/>
          <w:highlight w:val="none"/>
          <w:u w:val="none"/>
        </w:rPr>
        <w:t>排污许可制度管理要求</w:t>
      </w:r>
      <w:bookmarkEnd w:id="766"/>
      <w:bookmarkEnd w:id="767"/>
    </w:p>
    <w:p w14:paraId="1253B28C">
      <w:pPr>
        <w:rPr>
          <w:rFonts w:hint="eastAsia"/>
          <w:color w:val="auto"/>
          <w:highlight w:val="none"/>
          <w:u w:val="none"/>
        </w:rPr>
      </w:pPr>
      <w:r>
        <w:rPr>
          <w:rFonts w:hint="eastAsia"/>
          <w:color w:val="auto"/>
          <w:highlight w:val="none"/>
          <w:u w:val="none"/>
        </w:rPr>
        <w:t>万华福建公司于</w:t>
      </w:r>
      <w:r>
        <w:rPr>
          <w:color w:val="auto"/>
          <w:highlight w:val="none"/>
          <w:u w:val="none"/>
        </w:rPr>
        <w:t>2020年12月对现有工程的排污许可证进行申领，证书编号：91350181MA33QYY14K001P。</w:t>
      </w:r>
    </w:p>
    <w:p w14:paraId="2FF56839">
      <w:pPr>
        <w:rPr>
          <w:rFonts w:hint="eastAsia"/>
          <w:color w:val="auto"/>
          <w:highlight w:val="none"/>
          <w:u w:val="none"/>
        </w:rPr>
      </w:pPr>
      <w:r>
        <w:rPr>
          <w:color w:val="auto"/>
          <w:highlight w:val="none"/>
          <w:u w:val="none"/>
        </w:rPr>
        <w:t>本项目为</w:t>
      </w:r>
      <w:r>
        <w:rPr>
          <w:rFonts w:hint="eastAsia"/>
          <w:color w:val="auto"/>
          <w:highlight w:val="none"/>
          <w:u w:val="none"/>
          <w:lang w:val="en-US"/>
        </w:rPr>
        <w:t>技改</w:t>
      </w:r>
      <w:r>
        <w:rPr>
          <w:color w:val="auto"/>
          <w:highlight w:val="none"/>
          <w:u w:val="none"/>
        </w:rPr>
        <w:t>扩</w:t>
      </w:r>
      <w:r>
        <w:rPr>
          <w:rFonts w:hint="eastAsia"/>
          <w:color w:val="auto"/>
          <w:highlight w:val="none"/>
          <w:u w:val="none"/>
          <w:lang w:val="en-US"/>
        </w:rPr>
        <w:t>能</w:t>
      </w:r>
      <w:r>
        <w:rPr>
          <w:color w:val="auto"/>
          <w:highlight w:val="none"/>
          <w:u w:val="none"/>
        </w:rPr>
        <w:t>项目，根据《控制污染物排放许可制实施方案》（国办发〔2016〕81号）和《排污许可管理办法》（部令第</w:t>
      </w:r>
      <w:r>
        <w:rPr>
          <w:rFonts w:hint="eastAsia"/>
          <w:color w:val="auto"/>
          <w:highlight w:val="none"/>
          <w:u w:val="none"/>
          <w:lang w:val="en-US"/>
        </w:rPr>
        <w:t>32</w:t>
      </w:r>
      <w:r>
        <w:rPr>
          <w:color w:val="auto"/>
          <w:highlight w:val="none"/>
          <w:u w:val="none"/>
        </w:rPr>
        <w:t>号），企业应依法按照相关规范的要求提交排污许可变更申请，申报污染物排放种类、排放浓度以及排放量。</w:t>
      </w:r>
    </w:p>
    <w:p w14:paraId="74AC117E">
      <w:pPr>
        <w:rPr>
          <w:rFonts w:hint="eastAsia"/>
          <w:color w:val="auto"/>
          <w:highlight w:val="none"/>
          <w:u w:val="none"/>
        </w:rPr>
      </w:pPr>
      <w:r>
        <w:rPr>
          <w:rFonts w:hint="eastAsia"/>
          <w:color w:val="auto"/>
          <w:highlight w:val="none"/>
          <w:u w:val="none"/>
        </w:rPr>
        <w:t>建设单位在申请排污许可证变更前，</w:t>
      </w:r>
      <w:r>
        <w:rPr>
          <w:color w:val="auto"/>
          <w:highlight w:val="none"/>
          <w:u w:val="none"/>
        </w:rPr>
        <w:t>应当将主要申请内容，包括排污单位基本信息、拟申请的许可事项、产排污环节、污染</w:t>
      </w:r>
      <w:r>
        <w:rPr>
          <w:rFonts w:hint="eastAsia"/>
          <w:color w:val="auto"/>
          <w:highlight w:val="none"/>
          <w:u w:val="none"/>
        </w:rPr>
        <w:t>防治设施，通过国家排污许可证管理信息平台或者其他规定途径等便于公众知晓的方式向社会公开。公开时间不得少于</w:t>
      </w:r>
      <w:r>
        <w:rPr>
          <w:color w:val="auto"/>
          <w:highlight w:val="none"/>
          <w:u w:val="none"/>
        </w:rPr>
        <w:t>5日。</w:t>
      </w:r>
    </w:p>
    <w:p w14:paraId="08281739">
      <w:pPr>
        <w:rPr>
          <w:rFonts w:hint="eastAsia"/>
          <w:color w:val="auto"/>
          <w:highlight w:val="none"/>
          <w:u w:val="none"/>
        </w:rPr>
      </w:pPr>
      <w:r>
        <w:rPr>
          <w:color w:val="auto"/>
          <w:highlight w:val="none"/>
          <w:u w:val="none"/>
        </w:rPr>
        <w:t>企业应当在国家排污许可证管理信息平台上填报并提交排污许可证变更申请，同时向有核发权限的生态环境主管部门提交通过平台印制的书面申请材料。建设单位对申请材料的真实性、合法性、完整性负法律责任。申请材料应当包括：排污单位基本信息，主要生产装置，废气、废水等产排污环节和污染防治设施，申请的排污口位置和数量、排放方式、排放去向、排放污染物种类、排放浓度和排放量、执行的排放标准，以及相关证明材料。</w:t>
      </w:r>
    </w:p>
    <w:p w14:paraId="050F9058">
      <w:pPr>
        <w:rPr>
          <w:rFonts w:hint="eastAsia"/>
          <w:color w:val="auto"/>
          <w:highlight w:val="none"/>
          <w:u w:val="none"/>
        </w:rPr>
      </w:pPr>
      <w:r>
        <w:rPr>
          <w:rFonts w:hint="eastAsia"/>
          <w:color w:val="auto"/>
          <w:highlight w:val="none"/>
          <w:u w:val="none"/>
        </w:rPr>
        <w:t>本项目委托万华环保科技公司能量回收装置处理的废气，其污染物排放总量纳入万华环保科技公司管理；委托万华环保科技公司污水处理系统处理的废水，其污染物排放总量纳入本项目排污管理。</w:t>
      </w:r>
    </w:p>
    <w:p w14:paraId="41214102">
      <w:pPr>
        <w:pStyle w:val="6"/>
        <w:spacing w:before="156" w:after="156"/>
        <w:rPr>
          <w:color w:val="auto"/>
          <w:highlight w:val="none"/>
          <w:u w:val="none"/>
        </w:rPr>
      </w:pPr>
      <w:bookmarkStart w:id="768" w:name="_Toc148375175"/>
      <w:bookmarkStart w:id="769" w:name="_Toc148374733"/>
      <w:r>
        <w:rPr>
          <w:rFonts w:hint="eastAsia"/>
          <w:color w:val="auto"/>
          <w:highlight w:val="none"/>
          <w:u w:val="none"/>
        </w:rPr>
        <w:t>污染事故的防范与应急管理</w:t>
      </w:r>
      <w:bookmarkEnd w:id="768"/>
      <w:bookmarkEnd w:id="769"/>
    </w:p>
    <w:p w14:paraId="33C7B6AE">
      <w:pPr>
        <w:rPr>
          <w:rFonts w:hint="eastAsia"/>
          <w:color w:val="auto"/>
          <w:highlight w:val="none"/>
          <w:u w:val="none"/>
        </w:rPr>
      </w:pPr>
      <w:r>
        <w:rPr>
          <w:rFonts w:hint="eastAsia"/>
          <w:color w:val="auto"/>
          <w:highlight w:val="none"/>
          <w:u w:val="none"/>
        </w:rPr>
        <w:t>由于万华</w:t>
      </w:r>
      <w:r>
        <w:rPr>
          <w:color w:val="auto"/>
          <w:highlight w:val="none"/>
          <w:u w:val="none"/>
        </w:rPr>
        <w:t>福建公司</w:t>
      </w:r>
      <w:r>
        <w:rPr>
          <w:rFonts w:hint="eastAsia"/>
          <w:color w:val="auto"/>
          <w:highlight w:val="none"/>
          <w:u w:val="none"/>
        </w:rPr>
        <w:t>扩建TDI、新建PVC及苯胺等项目，其于2</w:t>
      </w:r>
      <w:r>
        <w:rPr>
          <w:color w:val="auto"/>
          <w:highlight w:val="none"/>
          <w:u w:val="none"/>
        </w:rPr>
        <w:t>023</w:t>
      </w:r>
      <w:r>
        <w:rPr>
          <w:rFonts w:hint="eastAsia"/>
          <w:color w:val="auto"/>
          <w:highlight w:val="none"/>
          <w:u w:val="none"/>
        </w:rPr>
        <w:t>年3月修订了《万华化学（福建）有限公司突发环境事件应急预案》（版本号：</w:t>
      </w:r>
      <w:r>
        <w:rPr>
          <w:color w:val="auto"/>
          <w:highlight w:val="none"/>
          <w:u w:val="none"/>
        </w:rPr>
        <w:t>WHHXFJ-2023</w:t>
      </w:r>
      <w:r>
        <w:rPr>
          <w:rFonts w:hint="eastAsia"/>
          <w:color w:val="auto"/>
          <w:highlight w:val="none"/>
          <w:u w:val="none"/>
        </w:rPr>
        <w:t>）并备案，备案编号为：</w:t>
      </w:r>
      <w:r>
        <w:rPr>
          <w:color w:val="auto"/>
          <w:highlight w:val="none"/>
          <w:u w:val="none"/>
        </w:rPr>
        <w:t>350181-2023-009-H</w:t>
      </w:r>
      <w:r>
        <w:rPr>
          <w:rFonts w:hint="eastAsia"/>
          <w:color w:val="auto"/>
          <w:highlight w:val="none"/>
          <w:u w:val="none"/>
        </w:rPr>
        <w:t>。本次</w:t>
      </w:r>
      <w:r>
        <w:rPr>
          <w:rFonts w:hint="eastAsia"/>
          <w:color w:val="auto"/>
          <w:highlight w:val="none"/>
          <w:u w:val="none"/>
          <w:lang w:val="en-US"/>
        </w:rPr>
        <w:t>技改</w:t>
      </w:r>
      <w:r>
        <w:rPr>
          <w:rFonts w:hint="eastAsia"/>
          <w:color w:val="auto"/>
          <w:highlight w:val="none"/>
          <w:u w:val="none"/>
        </w:rPr>
        <w:t>扩</w:t>
      </w:r>
      <w:r>
        <w:rPr>
          <w:rFonts w:hint="eastAsia"/>
          <w:color w:val="auto"/>
          <w:highlight w:val="none"/>
          <w:u w:val="none"/>
          <w:lang w:val="en-US"/>
        </w:rPr>
        <w:t>能</w:t>
      </w:r>
      <w:r>
        <w:rPr>
          <w:rFonts w:hint="eastAsia"/>
          <w:color w:val="auto"/>
          <w:highlight w:val="none"/>
          <w:u w:val="none"/>
        </w:rPr>
        <w:t>项目实施后，应对应急预案进行调整修订，重新向生态环境部门备案。对修订的应急预案应重点落实以下要求：</w:t>
      </w:r>
    </w:p>
    <w:p w14:paraId="0FB7F998">
      <w:pPr>
        <w:rPr>
          <w:rFonts w:hint="eastAsia"/>
          <w:color w:val="auto"/>
          <w:highlight w:val="none"/>
          <w:u w:val="none"/>
        </w:rPr>
      </w:pPr>
      <w:r>
        <w:rPr>
          <w:rFonts w:hint="eastAsia"/>
          <w:color w:val="auto"/>
          <w:highlight w:val="none"/>
          <w:u w:val="none"/>
        </w:rPr>
        <w:t>（</w:t>
      </w:r>
      <w:r>
        <w:rPr>
          <w:color w:val="auto"/>
          <w:highlight w:val="none"/>
          <w:u w:val="none"/>
        </w:rPr>
        <w:t>1）为了保证与重要的环境因素有关的生产活动都能按规范运行，避免发生污染事故，也为了便于各部门、各环节、班组自查和检查，企业应完善现有的预防污染的运行控制程序，并与原有项目衔接配套</w:t>
      </w:r>
      <w:r>
        <w:rPr>
          <w:rFonts w:hint="eastAsia"/>
          <w:color w:val="auto"/>
          <w:highlight w:val="none"/>
          <w:u w:val="none"/>
        </w:rPr>
        <w:t>，</w:t>
      </w:r>
      <w:r>
        <w:rPr>
          <w:color w:val="auto"/>
          <w:highlight w:val="none"/>
          <w:u w:val="none"/>
        </w:rPr>
        <w:t>主要有《废气污染控制程序》，《废水污染控制程序》，《噪声污染控制程序》，《工业固体废物污染控制程序》等。各程序文件中应明确规定：运行控制的内容，各有关部门的职责，运行规程，控制参数，检查办法，纠正措施，出现异常和紧急情况时的处理程序。</w:t>
      </w:r>
    </w:p>
    <w:p w14:paraId="1FEF0188">
      <w:pPr>
        <w:rPr>
          <w:rFonts w:hint="eastAsia"/>
          <w:color w:val="auto"/>
          <w:highlight w:val="none"/>
          <w:u w:val="none"/>
        </w:rPr>
      </w:pPr>
      <w:r>
        <w:rPr>
          <w:rFonts w:hint="eastAsia"/>
          <w:color w:val="auto"/>
          <w:highlight w:val="none"/>
          <w:u w:val="none"/>
        </w:rPr>
        <w:t>（</w:t>
      </w:r>
      <w:r>
        <w:rPr>
          <w:color w:val="auto"/>
          <w:highlight w:val="none"/>
          <w:u w:val="none"/>
        </w:rPr>
        <w:t>2）对于容易发生污染事故的场所，应采取必要的污染预防措施。</w:t>
      </w:r>
    </w:p>
    <w:p w14:paraId="2F1A728F">
      <w:pPr>
        <w:rPr>
          <w:rFonts w:hint="eastAsia"/>
          <w:color w:val="auto"/>
          <w:highlight w:val="none"/>
          <w:u w:val="none"/>
        </w:rPr>
      </w:pPr>
      <w:r>
        <w:rPr>
          <w:rFonts w:hint="eastAsia"/>
          <w:color w:val="auto"/>
          <w:highlight w:val="none"/>
          <w:u w:val="none"/>
        </w:rPr>
        <w:t>（</w:t>
      </w:r>
      <w:r>
        <w:rPr>
          <w:color w:val="auto"/>
          <w:highlight w:val="none"/>
          <w:u w:val="none"/>
        </w:rPr>
        <w:t>3）加强环境监测工作，重点是各污染源的监测，并注意做好记录，不得弄虚作假。监测中如发现异常情况应及时向有关部门通报，及时采取应急措施，防止事故排放。</w:t>
      </w:r>
    </w:p>
    <w:p w14:paraId="24A99B9D">
      <w:pPr>
        <w:rPr>
          <w:rFonts w:hint="eastAsia"/>
          <w:color w:val="auto"/>
          <w:highlight w:val="none"/>
          <w:u w:val="none"/>
        </w:rPr>
      </w:pPr>
      <w:r>
        <w:rPr>
          <w:rFonts w:hint="eastAsia"/>
          <w:color w:val="auto"/>
          <w:highlight w:val="none"/>
          <w:u w:val="none"/>
        </w:rPr>
        <w:t>（</w:t>
      </w:r>
      <w:r>
        <w:rPr>
          <w:color w:val="auto"/>
          <w:highlight w:val="none"/>
          <w:u w:val="none"/>
        </w:rPr>
        <w:t>4）定期向生态环境</w:t>
      </w:r>
      <w:r>
        <w:rPr>
          <w:rFonts w:hint="eastAsia"/>
          <w:color w:val="auto"/>
          <w:highlight w:val="none"/>
          <w:u w:val="none"/>
        </w:rPr>
        <w:t>部门</w:t>
      </w:r>
      <w:r>
        <w:rPr>
          <w:color w:val="auto"/>
          <w:highlight w:val="none"/>
          <w:u w:val="none"/>
        </w:rPr>
        <w:t>汇报工作情况及污染治理设施运行情况和监督性监测结果。</w:t>
      </w:r>
    </w:p>
    <w:p w14:paraId="19C38A56">
      <w:pPr>
        <w:rPr>
          <w:rFonts w:hint="eastAsia"/>
          <w:color w:val="auto"/>
          <w:highlight w:val="none"/>
          <w:u w:val="none"/>
        </w:rPr>
      </w:pPr>
      <w:r>
        <w:rPr>
          <w:rFonts w:hint="eastAsia"/>
          <w:color w:val="auto"/>
          <w:highlight w:val="none"/>
          <w:u w:val="none"/>
        </w:rPr>
        <w:t>（</w:t>
      </w:r>
      <w:r>
        <w:rPr>
          <w:color w:val="auto"/>
          <w:highlight w:val="none"/>
          <w:u w:val="none"/>
        </w:rPr>
        <w:t>5）建立污染事故报告制度。当污染事故发生时，必须在事故发生四十八小时内，向生态环境部门作出事故发生的时间、地点、类型和排放污染物的数量、经济损失等情况的初步报告，事故查清后，向生态环境部门书面报告事故的原因</w:t>
      </w:r>
      <w:r>
        <w:rPr>
          <w:rFonts w:hint="eastAsia"/>
          <w:color w:val="auto"/>
          <w:highlight w:val="none"/>
          <w:u w:val="none"/>
        </w:rPr>
        <w:t>、</w:t>
      </w:r>
      <w:r>
        <w:rPr>
          <w:color w:val="auto"/>
          <w:highlight w:val="none"/>
          <w:u w:val="none"/>
        </w:rPr>
        <w:t>采取的措施</w:t>
      </w:r>
      <w:r>
        <w:rPr>
          <w:rFonts w:hint="eastAsia"/>
          <w:color w:val="auto"/>
          <w:highlight w:val="none"/>
          <w:u w:val="none"/>
        </w:rPr>
        <w:t>、</w:t>
      </w:r>
      <w:r>
        <w:rPr>
          <w:color w:val="auto"/>
          <w:highlight w:val="none"/>
          <w:u w:val="none"/>
        </w:rPr>
        <w:t>处理结果</w:t>
      </w:r>
      <w:r>
        <w:rPr>
          <w:rFonts w:hint="eastAsia"/>
          <w:color w:val="auto"/>
          <w:highlight w:val="none"/>
          <w:u w:val="none"/>
        </w:rPr>
        <w:t>等</w:t>
      </w:r>
      <w:r>
        <w:rPr>
          <w:color w:val="auto"/>
          <w:highlight w:val="none"/>
          <w:u w:val="none"/>
        </w:rPr>
        <w:t>，并附有关证明</w:t>
      </w:r>
      <w:r>
        <w:rPr>
          <w:rFonts w:hint="eastAsia"/>
          <w:color w:val="auto"/>
          <w:highlight w:val="none"/>
          <w:u w:val="none"/>
        </w:rPr>
        <w:t>文件</w:t>
      </w:r>
      <w:r>
        <w:rPr>
          <w:color w:val="auto"/>
          <w:highlight w:val="none"/>
          <w:u w:val="none"/>
        </w:rPr>
        <w:t>。若发生污染事故，则有责任排除危害，同时对直接受到损害的单位或个人赔偿损失。</w:t>
      </w:r>
    </w:p>
    <w:p w14:paraId="7D9ED6D6">
      <w:pPr>
        <w:pStyle w:val="6"/>
        <w:spacing w:before="156" w:after="156"/>
        <w:rPr>
          <w:color w:val="auto"/>
          <w:highlight w:val="none"/>
          <w:u w:val="none"/>
        </w:rPr>
      </w:pPr>
      <w:bookmarkStart w:id="770" w:name="_Toc148374734"/>
      <w:bookmarkStart w:id="771" w:name="_Toc148375176"/>
      <w:r>
        <w:rPr>
          <w:rFonts w:hint="eastAsia"/>
          <w:color w:val="auto"/>
          <w:highlight w:val="none"/>
          <w:u w:val="none"/>
        </w:rPr>
        <w:t>环境保护事中事后监督管理</w:t>
      </w:r>
      <w:bookmarkEnd w:id="770"/>
      <w:bookmarkEnd w:id="771"/>
    </w:p>
    <w:p w14:paraId="51A4C887">
      <w:pPr>
        <w:rPr>
          <w:rFonts w:hint="eastAsia"/>
          <w:color w:val="auto"/>
          <w:highlight w:val="none"/>
          <w:u w:val="none"/>
        </w:rPr>
      </w:pPr>
      <w:r>
        <w:rPr>
          <w:rFonts w:hint="eastAsia"/>
          <w:color w:val="auto"/>
          <w:highlight w:val="none"/>
          <w:u w:val="none"/>
        </w:rPr>
        <w:t>根据《关于强化建设项目环境影响评价事中事后监管的实施意见》（环评</w:t>
      </w:r>
      <w:r>
        <w:rPr>
          <w:color w:val="auto"/>
          <w:highlight w:val="none"/>
          <w:u w:val="none"/>
        </w:rPr>
        <w:t>[2018]11号）和《关于印发</w:t>
      </w:r>
      <w:r>
        <w:rPr>
          <w:rFonts w:hint="eastAsia"/>
          <w:color w:val="auto"/>
          <w:highlight w:val="none"/>
          <w:u w:val="none"/>
        </w:rPr>
        <w:t>&lt;</w:t>
      </w:r>
      <w:r>
        <w:rPr>
          <w:color w:val="auto"/>
          <w:highlight w:val="none"/>
          <w:u w:val="none"/>
        </w:rPr>
        <w:t>建设项目环境保护事中事后监督管理办法（试行）</w:t>
      </w:r>
      <w:r>
        <w:rPr>
          <w:rFonts w:hint="eastAsia"/>
          <w:color w:val="auto"/>
          <w:highlight w:val="none"/>
          <w:u w:val="none"/>
        </w:rPr>
        <w:t>&gt;</w:t>
      </w:r>
      <w:r>
        <w:rPr>
          <w:color w:val="auto"/>
          <w:highlight w:val="none"/>
          <w:u w:val="none"/>
        </w:rPr>
        <w:t>的通知》（环发[2015]163号）中的有关要求，建设单位应严格落实以下要求：</w:t>
      </w:r>
    </w:p>
    <w:p w14:paraId="39ADB564">
      <w:pPr>
        <w:rPr>
          <w:rFonts w:hint="eastAsia"/>
          <w:color w:val="auto"/>
          <w:highlight w:val="none"/>
          <w:u w:val="none"/>
        </w:rPr>
      </w:pPr>
      <w:r>
        <w:rPr>
          <w:rFonts w:hint="eastAsia"/>
          <w:color w:val="auto"/>
          <w:highlight w:val="none"/>
          <w:u w:val="none"/>
        </w:rPr>
        <w:t>（</w:t>
      </w:r>
      <w:r>
        <w:rPr>
          <w:color w:val="auto"/>
          <w:highlight w:val="none"/>
          <w:u w:val="none"/>
        </w:rPr>
        <w:t>1）依法依规履行环评程序、开展公众参与情况。严格落实环评文件及批复要求，在项目设计、施工、验收、投入生产或使用中落实环境保护“三同时”及各项环境管理规定情况。</w:t>
      </w:r>
    </w:p>
    <w:p w14:paraId="581488B4">
      <w:pPr>
        <w:rPr>
          <w:rFonts w:hint="eastAsia"/>
          <w:color w:val="auto"/>
          <w:highlight w:val="none"/>
          <w:u w:val="none"/>
        </w:rPr>
      </w:pPr>
      <w:r>
        <w:rPr>
          <w:rFonts w:hint="eastAsia"/>
          <w:color w:val="auto"/>
          <w:highlight w:val="none"/>
          <w:u w:val="none"/>
        </w:rPr>
        <w:t>（</w:t>
      </w:r>
      <w:r>
        <w:rPr>
          <w:color w:val="auto"/>
          <w:highlight w:val="none"/>
          <w:u w:val="none"/>
        </w:rPr>
        <w:t>2）依法申请排污许可证，根据环境保护设施验收条件有关规定，开展自主验收工作。</w:t>
      </w:r>
    </w:p>
    <w:p w14:paraId="26CD5741">
      <w:pPr>
        <w:rPr>
          <w:rFonts w:hint="eastAsia"/>
          <w:color w:val="auto"/>
          <w:highlight w:val="none"/>
          <w:u w:val="none"/>
        </w:rPr>
      </w:pPr>
      <w:r>
        <w:rPr>
          <w:rFonts w:hint="eastAsia"/>
          <w:color w:val="auto"/>
          <w:highlight w:val="none"/>
          <w:u w:val="none"/>
        </w:rPr>
        <w:t>（</w:t>
      </w:r>
      <w:r>
        <w:rPr>
          <w:color w:val="auto"/>
          <w:highlight w:val="none"/>
          <w:u w:val="none"/>
        </w:rPr>
        <w:t>3）建设单位在建设项目环境影响报告书报送审批前，应采取适当形式，遵循依法、有序、公开、便利的原则，公开征求公众意见并对公众参与的真实性和结果负责。在项目运行后，主动公开项目排污情况，接受公众监督。</w:t>
      </w:r>
    </w:p>
    <w:p w14:paraId="44E7C454">
      <w:pPr>
        <w:pStyle w:val="4"/>
        <w:jc w:val="both"/>
        <w:rPr>
          <w:color w:val="auto"/>
          <w:highlight w:val="none"/>
          <w:u w:val="none"/>
        </w:rPr>
      </w:pPr>
      <w:bookmarkStart w:id="772" w:name="_Toc148374850"/>
      <w:bookmarkStart w:id="773" w:name="_Toc148374736"/>
      <w:bookmarkStart w:id="774" w:name="_Toc148375178"/>
      <w:bookmarkStart w:id="775" w:name="_Toc109211112"/>
      <w:bookmarkStart w:id="776" w:name="_Toc12875"/>
      <w:r>
        <w:rPr>
          <w:rFonts w:hint="eastAsia"/>
          <w:color w:val="auto"/>
          <w:highlight w:val="none"/>
          <w:u w:val="none"/>
        </w:rPr>
        <w:t>落实三同时制度及环保验收</w:t>
      </w:r>
      <w:bookmarkEnd w:id="772"/>
      <w:bookmarkEnd w:id="773"/>
      <w:bookmarkEnd w:id="774"/>
      <w:bookmarkEnd w:id="775"/>
      <w:bookmarkEnd w:id="776"/>
    </w:p>
    <w:p w14:paraId="0A63955F">
      <w:pPr>
        <w:pStyle w:val="6"/>
        <w:spacing w:before="156" w:after="156"/>
        <w:rPr>
          <w:color w:val="auto"/>
          <w:highlight w:val="none"/>
          <w:u w:val="none"/>
        </w:rPr>
      </w:pPr>
      <w:bookmarkStart w:id="777" w:name="_Toc148374737"/>
      <w:bookmarkStart w:id="778" w:name="_Toc148375179"/>
      <w:r>
        <w:rPr>
          <w:rFonts w:hint="eastAsia"/>
          <w:color w:val="auto"/>
          <w:highlight w:val="none"/>
          <w:u w:val="none"/>
        </w:rPr>
        <w:t>企业自主验收管理要求</w:t>
      </w:r>
      <w:bookmarkEnd w:id="777"/>
      <w:bookmarkEnd w:id="778"/>
    </w:p>
    <w:p w14:paraId="29662299">
      <w:pPr>
        <w:rPr>
          <w:rFonts w:hint="eastAsia"/>
          <w:color w:val="auto"/>
          <w:highlight w:val="none"/>
          <w:u w:val="none"/>
        </w:rPr>
      </w:pPr>
      <w:r>
        <w:rPr>
          <w:rFonts w:hint="eastAsia"/>
          <w:color w:val="auto"/>
          <w:highlight w:val="none"/>
          <w:u w:val="none"/>
        </w:rPr>
        <w:t>根据《建设项目环境保护管理条例》（国务院令第682号）和《建设项目竣工环境保护验收暂行办法》（国环规环评[2017]4号），强化建设单位环境保护主体责任，落实建设项目环境保护“三同时”制度，规范建设项目竣工后建设单位自主开展环境保护验收的程序和标准。建设单位是建设项目竣工环境保护验收的责任主体。本项目竣工后，建设单位应当依照国家有关法律法规、建设项目竣工环境保护验收技术规范、建设项目环境影响报告书和审批决定等要求，应当如实查验、监测、记载建设项目环境保护设施的建设和调试情况，同时还应如实记载其他环境保护对策措施“三同时”落实情况，编制验收监测（调查）报告。验收报告编制人员对其编制的验收报告结论终身负责，不得弄虚作假。</w:t>
      </w:r>
    </w:p>
    <w:p w14:paraId="4E4A0D31">
      <w:pPr>
        <w:rPr>
          <w:rFonts w:hint="eastAsia"/>
          <w:color w:val="auto"/>
          <w:highlight w:val="none"/>
          <w:u w:val="none"/>
        </w:rPr>
      </w:pPr>
      <w:r>
        <w:rPr>
          <w:rFonts w:hint="eastAsia"/>
          <w:color w:val="auto"/>
          <w:highlight w:val="none"/>
          <w:u w:val="none"/>
        </w:rPr>
        <w:t>建设单位应当通过其网站或其他便于公众知晓的方式，向社会公开下列信息：建设项目配套建设的环境保护设施竣工后，公开竣工日期；对建设项目配套建设的环境保护设施进行调试前，公开调试的起止日期；验收报告编制完成后5个工作日内，公开验收报告，公示的期限不得少于20个工作日。</w:t>
      </w:r>
    </w:p>
    <w:p w14:paraId="09E8E0D4">
      <w:pPr>
        <w:pStyle w:val="6"/>
        <w:spacing w:before="156" w:after="156"/>
        <w:rPr>
          <w:color w:val="auto"/>
          <w:highlight w:val="none"/>
          <w:u w:val="none"/>
        </w:rPr>
      </w:pPr>
      <w:bookmarkStart w:id="779" w:name="_Toc148375180"/>
      <w:bookmarkStart w:id="780" w:name="_Toc148374738"/>
      <w:r>
        <w:rPr>
          <w:rFonts w:hint="eastAsia"/>
          <w:color w:val="auto"/>
          <w:highlight w:val="none"/>
          <w:u w:val="none"/>
        </w:rPr>
        <w:t>企业自主验收程序</w:t>
      </w:r>
      <w:bookmarkEnd w:id="779"/>
      <w:bookmarkEnd w:id="780"/>
    </w:p>
    <w:p w14:paraId="4605D831">
      <w:pPr>
        <w:rPr>
          <w:rFonts w:hint="eastAsia"/>
          <w:color w:val="auto"/>
          <w:highlight w:val="none"/>
          <w:u w:val="none"/>
        </w:rPr>
      </w:pPr>
      <w:r>
        <w:rPr>
          <w:rFonts w:hint="eastAsia"/>
          <w:color w:val="auto"/>
          <w:highlight w:val="none"/>
          <w:u w:val="none"/>
        </w:rPr>
        <w:t>本项目竣工后，建设单位或者其委托的技术机构应当依照国家有关法律法规、建设项目竣工环境保护验收技术规范、建设项目环境影响报告书和审批决定等要求，如实查验、监测、记载建设项目环境保护设施的建设和调试情况，同时还应如实记载其他环境保护对策措施“三同时”落实情况，编制竣工环境保护验收报告。可按以下程序开展自主验收：</w:t>
      </w:r>
    </w:p>
    <w:p w14:paraId="6943ABF6">
      <w:pPr>
        <w:rPr>
          <w:rFonts w:hint="eastAsia"/>
          <w:color w:val="auto"/>
          <w:highlight w:val="none"/>
          <w:u w:val="none"/>
        </w:rPr>
      </w:pPr>
      <w:r>
        <w:rPr>
          <w:rFonts w:hint="eastAsia"/>
          <w:color w:val="auto"/>
          <w:highlight w:val="none"/>
          <w:u w:val="none"/>
        </w:rPr>
        <w:t>（1）环境保护验收报告编制完成后，建设单位应组织成立验收工作组。验收工作组由建设单位、设计单位、施工单位、环境影响报告书编制机构、验收报告编制机构等单位代表和专业技术专家组成。</w:t>
      </w:r>
    </w:p>
    <w:p w14:paraId="6428E63D">
      <w:pPr>
        <w:rPr>
          <w:rFonts w:hint="eastAsia"/>
          <w:color w:val="auto"/>
          <w:highlight w:val="none"/>
          <w:u w:val="none"/>
        </w:rPr>
      </w:pPr>
      <w:r>
        <w:rPr>
          <w:rFonts w:hint="eastAsia"/>
          <w:color w:val="auto"/>
          <w:highlight w:val="none"/>
          <w:u w:val="none"/>
        </w:rPr>
        <w:t>（2）建设单位应当对验收工作组提出的问题进行整改，合格后方可出具验收合格的意见。建设项目配套建设的环境保护设施经验收合格后，其主体工程才可以投入生产或者使用。</w:t>
      </w:r>
    </w:p>
    <w:p w14:paraId="1015A541">
      <w:pPr>
        <w:rPr>
          <w:rFonts w:hint="eastAsia"/>
          <w:color w:val="auto"/>
          <w:highlight w:val="none"/>
          <w:u w:val="none"/>
        </w:rPr>
      </w:pPr>
      <w:r>
        <w:rPr>
          <w:rFonts w:hint="eastAsia"/>
          <w:color w:val="auto"/>
          <w:highlight w:val="none"/>
          <w:u w:val="none"/>
        </w:rPr>
        <w:t>（3）建设项目竣工环境保护验收应当在建设项目竣工后6个月内完成。建设项目环境保护设施需要调试的，验收可适当延期，但总期限最长不得超过9个月。</w:t>
      </w:r>
    </w:p>
    <w:p w14:paraId="29716217">
      <w:pPr>
        <w:rPr>
          <w:rFonts w:hint="eastAsia"/>
          <w:color w:val="auto"/>
          <w:highlight w:val="none"/>
          <w:u w:val="none"/>
        </w:rPr>
      </w:pPr>
      <w:r>
        <w:rPr>
          <w:rFonts w:hint="eastAsia"/>
          <w:color w:val="auto"/>
          <w:highlight w:val="none"/>
          <w:u w:val="none"/>
        </w:rPr>
        <w:t>（4）除按照国家规定需要保密的情形外，建设单位应当在出具验收合格的意见后5个工作日内，通过网站或者其他便于公众知悉的方式，依法向社会公开验收报告和验收意见，公开的期限不得少于1个月。公开结束后5个工作日内，建设单位应当登录全国建设项目竣工环境保护验收信息平台，填报相关信息并对信息的真实性、准确性和完整性负责。</w:t>
      </w:r>
    </w:p>
    <w:p w14:paraId="7DCCDE06">
      <w:pPr>
        <w:rPr>
          <w:rFonts w:hint="eastAsia"/>
          <w:color w:val="auto"/>
          <w:highlight w:val="none"/>
          <w:u w:val="none"/>
        </w:rPr>
      </w:pPr>
      <w:r>
        <w:rPr>
          <w:rFonts w:hint="eastAsia"/>
          <w:color w:val="auto"/>
          <w:highlight w:val="none"/>
          <w:u w:val="none"/>
        </w:rPr>
        <w:t>（5）各级生态环境部门应当强化建设项目环境保护事中事后监督管理，建立“</w:t>
      </w:r>
      <w:r>
        <w:rPr>
          <w:rFonts w:hint="eastAsia"/>
          <w:color w:val="auto"/>
          <w:highlight w:val="none"/>
          <w:u w:val="none"/>
          <w:lang w:eastAsia="zh-CN"/>
        </w:rPr>
        <w:t>双随机、一公开</w:t>
      </w:r>
      <w:r>
        <w:rPr>
          <w:rFonts w:hint="eastAsia"/>
          <w:color w:val="auto"/>
          <w:highlight w:val="none"/>
          <w:u w:val="none"/>
        </w:rPr>
        <w:t>”抽查制度。采取随机抽取检查对象和随机选派执法检查人员的方式，同时结合违规项目定点检查，对建设项目环境保护设施“三同时”落实情况、竣工环境保护验收等情况进行监督性检查，结果向社会公开，将建设项目有关环境违法信息及时记入诚信档案。</w:t>
      </w:r>
    </w:p>
    <w:p w14:paraId="376E8BEF">
      <w:pPr>
        <w:pStyle w:val="4"/>
        <w:rPr>
          <w:color w:val="auto"/>
          <w:highlight w:val="none"/>
          <w:u w:val="none"/>
        </w:rPr>
      </w:pPr>
      <w:bookmarkStart w:id="781" w:name="_Toc9019"/>
      <w:bookmarkStart w:id="782" w:name="_Toc148375181"/>
      <w:bookmarkStart w:id="783" w:name="_Toc148374851"/>
      <w:bookmarkStart w:id="784" w:name="_Toc148374739"/>
      <w:r>
        <w:rPr>
          <w:rFonts w:hint="eastAsia"/>
          <w:color w:val="auto"/>
          <w:highlight w:val="none"/>
          <w:u w:val="none"/>
        </w:rPr>
        <w:t>环境监测计划</w:t>
      </w:r>
      <w:bookmarkEnd w:id="781"/>
      <w:bookmarkEnd w:id="782"/>
      <w:bookmarkEnd w:id="783"/>
      <w:bookmarkEnd w:id="784"/>
    </w:p>
    <w:p w14:paraId="26FB1E20">
      <w:pPr>
        <w:rPr>
          <w:rFonts w:hint="eastAsia"/>
          <w:color w:val="auto"/>
          <w:highlight w:val="none"/>
          <w:u w:val="none"/>
          <w:lang w:val="en-US"/>
        </w:rPr>
      </w:pPr>
      <w:r>
        <w:rPr>
          <w:rFonts w:hint="eastAsia"/>
          <w:color w:val="auto"/>
          <w:highlight w:val="none"/>
          <w:u w:val="none"/>
          <w:lang w:val="en-US"/>
        </w:rPr>
        <w:t>本项目</w:t>
      </w:r>
      <w:r>
        <w:rPr>
          <w:color w:val="auto"/>
          <w:highlight w:val="none"/>
          <w:u w:val="none"/>
          <w:lang w:val="en-US"/>
        </w:rPr>
        <w:t>酸性废气</w:t>
      </w:r>
      <w:r>
        <w:rPr>
          <w:rFonts w:hint="eastAsia"/>
          <w:color w:val="auto"/>
          <w:highlight w:val="none"/>
          <w:u w:val="none"/>
          <w:lang w:val="en-US"/>
        </w:rPr>
        <w:t>（</w:t>
      </w:r>
      <w:r>
        <w:rPr>
          <w:color w:val="auto"/>
          <w:highlight w:val="none"/>
          <w:u w:val="none"/>
          <w:lang w:val="en-US"/>
        </w:rPr>
        <w:t>G1-1</w:t>
      </w:r>
      <w:r>
        <w:rPr>
          <w:rFonts w:hint="eastAsia"/>
          <w:color w:val="auto"/>
          <w:highlight w:val="none"/>
          <w:u w:val="none"/>
          <w:lang w:val="en-US"/>
        </w:rPr>
        <w:t>）</w:t>
      </w:r>
      <w:r>
        <w:rPr>
          <w:color w:val="auto"/>
          <w:highlight w:val="none"/>
          <w:u w:val="none"/>
          <w:lang w:val="en-US"/>
        </w:rPr>
        <w:t>、碱性废气</w:t>
      </w:r>
      <w:r>
        <w:rPr>
          <w:rFonts w:hint="eastAsia"/>
          <w:color w:val="auto"/>
          <w:highlight w:val="none"/>
          <w:u w:val="none"/>
          <w:lang w:val="en-US"/>
        </w:rPr>
        <w:t>（</w:t>
      </w:r>
      <w:r>
        <w:rPr>
          <w:color w:val="auto"/>
          <w:highlight w:val="none"/>
          <w:u w:val="none"/>
          <w:lang w:val="en-US"/>
        </w:rPr>
        <w:t>G1-2</w:t>
      </w:r>
      <w:r>
        <w:rPr>
          <w:rFonts w:hint="eastAsia"/>
          <w:color w:val="auto"/>
          <w:highlight w:val="none"/>
          <w:u w:val="none"/>
          <w:lang w:val="en-US"/>
        </w:rPr>
        <w:t>）</w:t>
      </w:r>
      <w:r>
        <w:rPr>
          <w:color w:val="auto"/>
          <w:highlight w:val="none"/>
          <w:u w:val="none"/>
          <w:lang w:val="en-US"/>
        </w:rPr>
        <w:t>、反应驰放气</w:t>
      </w:r>
      <w:r>
        <w:rPr>
          <w:rFonts w:hint="eastAsia"/>
          <w:color w:val="auto"/>
          <w:highlight w:val="none"/>
          <w:u w:val="none"/>
          <w:lang w:val="en-US"/>
        </w:rPr>
        <w:t>（</w:t>
      </w:r>
      <w:r>
        <w:rPr>
          <w:color w:val="auto"/>
          <w:highlight w:val="none"/>
          <w:u w:val="none"/>
          <w:lang w:val="en-US"/>
        </w:rPr>
        <w:t>G2-1</w:t>
      </w:r>
      <w:r>
        <w:rPr>
          <w:rFonts w:hint="eastAsia"/>
          <w:color w:val="auto"/>
          <w:highlight w:val="none"/>
          <w:u w:val="none"/>
          <w:lang w:val="en-US"/>
        </w:rPr>
        <w:t>）</w:t>
      </w:r>
      <w:r>
        <w:rPr>
          <w:color w:val="auto"/>
          <w:highlight w:val="none"/>
          <w:u w:val="none"/>
          <w:lang w:val="en-US"/>
        </w:rPr>
        <w:t>、光化尾气</w:t>
      </w:r>
      <w:r>
        <w:rPr>
          <w:rFonts w:hint="eastAsia"/>
          <w:color w:val="auto"/>
          <w:highlight w:val="none"/>
          <w:u w:val="none"/>
          <w:lang w:val="en-US"/>
        </w:rPr>
        <w:t>（</w:t>
      </w:r>
      <w:r>
        <w:rPr>
          <w:color w:val="auto"/>
          <w:highlight w:val="none"/>
          <w:u w:val="none"/>
          <w:lang w:val="en-US"/>
        </w:rPr>
        <w:t>G3-1</w:t>
      </w:r>
      <w:r>
        <w:rPr>
          <w:rFonts w:hint="eastAsia"/>
          <w:color w:val="auto"/>
          <w:highlight w:val="none"/>
          <w:u w:val="none"/>
          <w:lang w:val="en-US"/>
        </w:rPr>
        <w:t>）依</w:t>
      </w:r>
      <w:r>
        <w:rPr>
          <w:rFonts w:hint="eastAsia"/>
          <w:color w:val="auto"/>
          <w:highlight w:val="none"/>
          <w:u w:val="none"/>
        </w:rPr>
        <w:t>万华环保科技公司</w:t>
      </w:r>
      <w:r>
        <w:rPr>
          <w:color w:val="auto"/>
          <w:highlight w:val="none"/>
          <w:u w:val="none"/>
          <w:lang w:val="en-US"/>
        </w:rPr>
        <w:t>能量回收装置</w:t>
      </w:r>
      <w:r>
        <w:rPr>
          <w:rFonts w:hint="eastAsia"/>
          <w:color w:val="auto"/>
          <w:highlight w:val="none"/>
          <w:u w:val="none"/>
          <w:lang w:val="en-US"/>
        </w:rPr>
        <w:t>焚烧</w:t>
      </w:r>
      <w:r>
        <w:rPr>
          <w:color w:val="auto"/>
          <w:highlight w:val="none"/>
          <w:u w:val="none"/>
          <w:lang w:val="en-US"/>
        </w:rPr>
        <w:t>处理；TDA精制尾气</w:t>
      </w:r>
      <w:r>
        <w:rPr>
          <w:rFonts w:hint="eastAsia"/>
          <w:color w:val="auto"/>
          <w:highlight w:val="none"/>
          <w:u w:val="none"/>
          <w:lang w:val="en-US"/>
        </w:rPr>
        <w:t>（</w:t>
      </w:r>
      <w:r>
        <w:rPr>
          <w:color w:val="auto"/>
          <w:highlight w:val="none"/>
          <w:u w:val="none"/>
          <w:lang w:val="en-US"/>
        </w:rPr>
        <w:t>G2-2</w:t>
      </w:r>
      <w:r>
        <w:rPr>
          <w:rFonts w:hint="eastAsia"/>
          <w:color w:val="auto"/>
          <w:highlight w:val="none"/>
          <w:u w:val="none"/>
          <w:lang w:val="en-US"/>
        </w:rPr>
        <w:t>）</w:t>
      </w:r>
      <w:r>
        <w:rPr>
          <w:color w:val="auto"/>
          <w:highlight w:val="none"/>
          <w:u w:val="none"/>
          <w:lang w:val="en-US"/>
        </w:rPr>
        <w:t>和ODCB储罐废气</w:t>
      </w:r>
      <w:r>
        <w:rPr>
          <w:rFonts w:hint="eastAsia"/>
          <w:color w:val="auto"/>
          <w:highlight w:val="none"/>
          <w:u w:val="none"/>
          <w:lang w:val="en-US"/>
        </w:rPr>
        <w:t>（</w:t>
      </w:r>
      <w:r>
        <w:rPr>
          <w:color w:val="auto"/>
          <w:highlight w:val="none"/>
          <w:u w:val="none"/>
          <w:lang w:val="en-US"/>
        </w:rPr>
        <w:t>G4-1</w:t>
      </w:r>
      <w:r>
        <w:rPr>
          <w:rFonts w:hint="eastAsia"/>
          <w:color w:val="auto"/>
          <w:highlight w:val="none"/>
          <w:u w:val="none"/>
          <w:lang w:val="en-US"/>
        </w:rPr>
        <w:t>）</w:t>
      </w:r>
      <w:r>
        <w:rPr>
          <w:color w:val="auto"/>
          <w:highlight w:val="none"/>
          <w:u w:val="none"/>
          <w:lang w:val="en-US"/>
        </w:rPr>
        <w:t>在本项目厂区内分别用“冷凝+水洗涤+活性炭吸附”、“两级活性炭吸附”措施处理后通过氢化单元排气筒P1、光化单元排气筒P2排放。本项目</w:t>
      </w:r>
      <w:r>
        <w:rPr>
          <w:rFonts w:hint="eastAsia"/>
          <w:color w:val="auto"/>
          <w:highlight w:val="none"/>
          <w:u w:val="none"/>
        </w:rPr>
        <w:t>硫浓缩酸性废水（</w:t>
      </w:r>
      <w:r>
        <w:rPr>
          <w:color w:val="auto"/>
          <w:highlight w:val="none"/>
          <w:u w:val="none"/>
        </w:rPr>
        <w:t>W1-1）</w:t>
      </w:r>
      <w:r>
        <w:rPr>
          <w:rFonts w:hint="eastAsia"/>
          <w:color w:val="auto"/>
          <w:highlight w:val="none"/>
          <w:u w:val="none"/>
        </w:rPr>
        <w:t>、废酸浓缩酸性废水</w:t>
      </w:r>
      <w:r>
        <w:rPr>
          <w:color w:val="auto"/>
          <w:highlight w:val="none"/>
          <w:u w:val="none"/>
        </w:rPr>
        <w:t>（W1-2）</w:t>
      </w:r>
      <w:r>
        <w:rPr>
          <w:rFonts w:hint="eastAsia"/>
          <w:color w:val="auto"/>
          <w:highlight w:val="none"/>
          <w:u w:val="none"/>
        </w:rPr>
        <w:t>、</w:t>
      </w:r>
      <w:r>
        <w:rPr>
          <w:color w:val="auto"/>
          <w:highlight w:val="none"/>
          <w:u w:val="none"/>
        </w:rPr>
        <w:t>汽提酸性废水（W1-4）</w:t>
      </w:r>
      <w:r>
        <w:rPr>
          <w:rFonts w:hint="eastAsia"/>
          <w:color w:val="auto"/>
          <w:highlight w:val="none"/>
          <w:u w:val="none"/>
        </w:rPr>
        <w:t>、</w:t>
      </w:r>
      <w:r>
        <w:rPr>
          <w:color w:val="auto"/>
          <w:highlight w:val="none"/>
          <w:u w:val="none"/>
        </w:rPr>
        <w:t>TDA</w:t>
      </w:r>
      <w:r>
        <w:rPr>
          <w:rFonts w:hint="eastAsia"/>
          <w:color w:val="auto"/>
          <w:highlight w:val="none"/>
          <w:u w:val="none"/>
        </w:rPr>
        <w:t>废水</w:t>
      </w:r>
      <w:r>
        <w:rPr>
          <w:color w:val="auto"/>
          <w:highlight w:val="none"/>
          <w:u w:val="none"/>
        </w:rPr>
        <w:t>（W2-</w:t>
      </w:r>
      <w:r>
        <w:rPr>
          <w:rFonts w:hint="eastAsia"/>
          <w:color w:val="auto"/>
          <w:highlight w:val="none"/>
          <w:u w:val="none"/>
          <w:lang w:val="en-US"/>
        </w:rPr>
        <w:t>1</w:t>
      </w:r>
      <w:r>
        <w:rPr>
          <w:color w:val="auto"/>
          <w:highlight w:val="none"/>
          <w:u w:val="none"/>
        </w:rPr>
        <w:t>）</w:t>
      </w:r>
      <w:r>
        <w:rPr>
          <w:rFonts w:hint="eastAsia"/>
          <w:color w:val="auto"/>
          <w:highlight w:val="none"/>
          <w:u w:val="none"/>
        </w:rPr>
        <w:t>、光化中和废水</w:t>
      </w:r>
      <w:r>
        <w:rPr>
          <w:color w:val="auto"/>
          <w:highlight w:val="none"/>
          <w:u w:val="none"/>
        </w:rPr>
        <w:t>（W3-1）</w:t>
      </w:r>
      <w:r>
        <w:rPr>
          <w:rFonts w:hint="eastAsia"/>
          <w:color w:val="auto"/>
          <w:highlight w:val="none"/>
          <w:u w:val="none"/>
        </w:rPr>
        <w:t>和</w:t>
      </w:r>
      <w:r>
        <w:rPr>
          <w:color w:val="auto"/>
          <w:highlight w:val="none"/>
          <w:u w:val="none"/>
        </w:rPr>
        <w:t>设备清洗</w:t>
      </w:r>
      <w:r>
        <w:rPr>
          <w:rFonts w:hint="eastAsia"/>
          <w:color w:val="auto"/>
          <w:highlight w:val="none"/>
          <w:u w:val="none"/>
        </w:rPr>
        <w:t>废水（W5）</w:t>
      </w:r>
      <w:r>
        <w:rPr>
          <w:rFonts w:hint="eastAsia"/>
          <w:color w:val="auto"/>
          <w:highlight w:val="none"/>
          <w:u w:val="none"/>
          <w:lang w:val="en-US"/>
        </w:rPr>
        <w:t>依托</w:t>
      </w:r>
      <w:r>
        <w:rPr>
          <w:rFonts w:hint="eastAsia"/>
          <w:color w:val="auto"/>
          <w:highlight w:val="none"/>
          <w:u w:val="none"/>
        </w:rPr>
        <w:t>万华环保科技公司</w:t>
      </w:r>
      <w:r>
        <w:rPr>
          <w:rFonts w:hint="eastAsia"/>
          <w:color w:val="auto"/>
          <w:highlight w:val="none"/>
          <w:u w:val="none"/>
          <w:lang w:val="en-US"/>
        </w:rPr>
        <w:t>污水处理站综合废水处理系统处理；</w:t>
      </w:r>
      <w:r>
        <w:rPr>
          <w:color w:val="auto"/>
          <w:highlight w:val="none"/>
          <w:u w:val="none"/>
        </w:rPr>
        <w:t>地面冲洗水（W4）</w:t>
      </w:r>
      <w:r>
        <w:rPr>
          <w:color w:val="auto"/>
          <w:highlight w:val="none"/>
          <w:u w:val="none"/>
          <w:lang w:val="en-US"/>
        </w:rPr>
        <w:t>、</w:t>
      </w:r>
      <w:r>
        <w:rPr>
          <w:color w:val="auto"/>
          <w:highlight w:val="none"/>
          <w:u w:val="none"/>
        </w:rPr>
        <w:t>初期雨水（W5）</w:t>
      </w:r>
      <w:r>
        <w:rPr>
          <w:rFonts w:hint="eastAsia"/>
          <w:color w:val="auto"/>
          <w:highlight w:val="none"/>
          <w:u w:val="none"/>
        </w:rPr>
        <w:t>和</w:t>
      </w:r>
      <w:r>
        <w:rPr>
          <w:color w:val="auto"/>
          <w:highlight w:val="none"/>
          <w:u w:val="none"/>
        </w:rPr>
        <w:t>生活污水（W6）</w:t>
      </w:r>
      <w:r>
        <w:rPr>
          <w:rFonts w:hint="eastAsia"/>
          <w:color w:val="auto"/>
          <w:highlight w:val="none"/>
          <w:u w:val="none"/>
          <w:lang w:val="en-US"/>
        </w:rPr>
        <w:t>依托</w:t>
      </w:r>
      <w:r>
        <w:rPr>
          <w:rFonts w:hint="eastAsia"/>
          <w:color w:val="auto"/>
          <w:highlight w:val="none"/>
          <w:u w:val="none"/>
        </w:rPr>
        <w:t>万华环保科技公司</w:t>
      </w:r>
      <w:r>
        <w:rPr>
          <w:color w:val="auto"/>
          <w:highlight w:val="none"/>
          <w:u w:val="none"/>
          <w:lang w:val="en-US"/>
        </w:rPr>
        <w:t>污水处理站低浓度废水处理系统处理；</w:t>
      </w:r>
      <w:r>
        <w:rPr>
          <w:color w:val="auto"/>
          <w:highlight w:val="none"/>
          <w:u w:val="none"/>
        </w:rPr>
        <w:t>红水废水（W1-3）</w:t>
      </w:r>
      <w:r>
        <w:rPr>
          <w:rFonts w:hint="eastAsia"/>
          <w:color w:val="auto"/>
          <w:highlight w:val="none"/>
          <w:u w:val="none"/>
        </w:rPr>
        <w:t>送往万华福建公司气体扩能改造项目作为水煤浆气化原料；</w:t>
      </w:r>
      <w:r>
        <w:rPr>
          <w:color w:val="auto"/>
          <w:highlight w:val="none"/>
          <w:u w:val="none"/>
          <w:lang w:val="en-US"/>
        </w:rPr>
        <w:t>黄水废水（W1-5）回用于硝化工序。</w:t>
      </w:r>
    </w:p>
    <w:p w14:paraId="0ABF8459">
      <w:pPr>
        <w:rPr>
          <w:rFonts w:hint="eastAsia"/>
          <w:color w:val="auto"/>
          <w:highlight w:val="none"/>
          <w:u w:val="none"/>
          <w:lang w:val="en-US"/>
        </w:rPr>
      </w:pPr>
      <w:r>
        <w:rPr>
          <w:color w:val="auto"/>
          <w:highlight w:val="none"/>
          <w:u w:val="none"/>
          <w:lang w:val="en-US"/>
        </w:rPr>
        <w:t>根据万华福建公司与</w:t>
      </w:r>
      <w:r>
        <w:rPr>
          <w:rFonts w:hint="eastAsia"/>
          <w:color w:val="auto"/>
          <w:highlight w:val="none"/>
          <w:u w:val="none"/>
          <w:lang w:val="en-US"/>
        </w:rPr>
        <w:t>万华环保科技公司</w:t>
      </w:r>
      <w:r>
        <w:rPr>
          <w:color w:val="auto"/>
          <w:highlight w:val="none"/>
          <w:u w:val="none"/>
          <w:lang w:val="en-US"/>
        </w:rPr>
        <w:t>签署的污水委托处理协议，</w:t>
      </w:r>
      <w:r>
        <w:rPr>
          <w:rFonts w:hint="eastAsia"/>
          <w:color w:val="auto"/>
          <w:highlight w:val="none"/>
          <w:u w:val="none"/>
          <w:lang w:val="en-US"/>
        </w:rPr>
        <w:t>万华福建公司</w:t>
      </w:r>
      <w:r>
        <w:rPr>
          <w:color w:val="auto"/>
          <w:highlight w:val="none"/>
          <w:u w:val="none"/>
          <w:lang w:val="en-US"/>
        </w:rPr>
        <w:t>废水接入</w:t>
      </w:r>
      <w:r>
        <w:rPr>
          <w:rFonts w:hint="eastAsia"/>
          <w:color w:val="auto"/>
          <w:highlight w:val="none"/>
          <w:u w:val="none"/>
        </w:rPr>
        <w:t>万华环保科技公司</w:t>
      </w:r>
      <w:r>
        <w:rPr>
          <w:color w:val="auto"/>
          <w:highlight w:val="none"/>
          <w:u w:val="none"/>
          <w:lang w:val="en-US"/>
        </w:rPr>
        <w:t>废水处理设施前设置在线流量监控，对废水水量进行控制，对废水水质则无接管要求。同时，由</w:t>
      </w:r>
      <w:r>
        <w:rPr>
          <w:rFonts w:hint="eastAsia"/>
          <w:color w:val="auto"/>
          <w:highlight w:val="none"/>
          <w:u w:val="none"/>
        </w:rPr>
        <w:t>万华环保科技公司</w:t>
      </w:r>
      <w:r>
        <w:rPr>
          <w:color w:val="auto"/>
          <w:highlight w:val="none"/>
          <w:u w:val="none"/>
          <w:lang w:val="en-US"/>
        </w:rPr>
        <w:t>全权负责进入厂内废水的处理</w:t>
      </w:r>
      <w:r>
        <w:rPr>
          <w:rFonts w:hint="eastAsia"/>
          <w:color w:val="auto"/>
          <w:highlight w:val="none"/>
          <w:u w:val="none"/>
          <w:lang w:val="en-US"/>
        </w:rPr>
        <w:t>及环境管理，并对废水在厂区内出现的风险和事故承担责任。</w:t>
      </w:r>
    </w:p>
    <w:p w14:paraId="70451230">
      <w:pPr>
        <w:rPr>
          <w:color w:val="auto"/>
          <w:highlight w:val="none"/>
          <w:u w:val="none"/>
          <w:lang w:val="en-US"/>
        </w:rPr>
      </w:pPr>
      <w:r>
        <w:rPr>
          <w:rFonts w:hint="eastAsia"/>
          <w:color w:val="auto"/>
          <w:highlight w:val="none"/>
          <w:u w:val="none"/>
          <w:lang w:val="en-US"/>
        </w:rPr>
        <w:t>本次评价根据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）、《工业企业土壤和地下水自行监测技术指南（试行）》（</w:t>
      </w:r>
      <w:r>
        <w:rPr>
          <w:color w:val="auto"/>
          <w:highlight w:val="none"/>
          <w:u w:val="none"/>
          <w:lang w:val="en-US"/>
        </w:rPr>
        <w:t>HJ1209-2021</w:t>
      </w:r>
      <w:r>
        <w:rPr>
          <w:rFonts w:hint="eastAsia"/>
          <w:color w:val="auto"/>
          <w:highlight w:val="none"/>
          <w:u w:val="none"/>
          <w:lang w:val="en-US"/>
        </w:rPr>
        <w:t>）、《环境影响评价技术导则 大气环境》（HJ2.2-2018）</w:t>
      </w:r>
      <w:r>
        <w:rPr>
          <w:color w:val="auto"/>
          <w:highlight w:val="none"/>
          <w:u w:val="none"/>
          <w:lang w:val="en-US"/>
        </w:rPr>
        <w:t>中的有关要求，在现有环境监测计划的基础上，根据本次</w:t>
      </w:r>
      <w:r>
        <w:rPr>
          <w:rFonts w:hint="eastAsia"/>
          <w:color w:val="auto"/>
          <w:highlight w:val="none"/>
          <w:u w:val="none"/>
          <w:lang w:val="en-US"/>
        </w:rPr>
        <w:t>技改扩能</w:t>
      </w:r>
      <w:r>
        <w:rPr>
          <w:color w:val="auto"/>
          <w:highlight w:val="none"/>
          <w:u w:val="none"/>
          <w:lang w:val="en-US"/>
        </w:rPr>
        <w:t>项目新增的废水、废气、噪声和固废等污染物种类及排放量情况，制定本</w:t>
      </w:r>
      <w:r>
        <w:rPr>
          <w:rFonts w:hint="eastAsia"/>
          <w:color w:val="auto"/>
          <w:highlight w:val="none"/>
          <w:u w:val="none"/>
          <w:lang w:val="en-US"/>
        </w:rPr>
        <w:t>次技改扩能</w:t>
      </w:r>
      <w:r>
        <w:rPr>
          <w:color w:val="auto"/>
          <w:highlight w:val="none"/>
          <w:u w:val="none"/>
          <w:lang w:val="en-US"/>
        </w:rPr>
        <w:t>项目运营期环境监测计划，</w:t>
      </w:r>
      <w:r>
        <w:rPr>
          <w:rFonts w:hint="eastAsia"/>
          <w:color w:val="auto"/>
          <w:highlight w:val="none"/>
          <w:u w:val="none"/>
          <w:lang w:val="en-US"/>
        </w:rPr>
        <w:t>同时根据2</w:t>
      </w:r>
      <w:r>
        <w:rPr>
          <w:color w:val="auto"/>
          <w:highlight w:val="none"/>
          <w:u w:val="none"/>
          <w:lang w:val="en-US"/>
        </w:rPr>
        <w:t>5</w:t>
      </w:r>
      <w:r>
        <w:rPr>
          <w:rFonts w:hint="eastAsia"/>
          <w:color w:val="auto"/>
          <w:highlight w:val="none"/>
          <w:u w:val="none"/>
          <w:lang w:val="en-US"/>
        </w:rPr>
        <w:t>万吨T</w:t>
      </w:r>
      <w:r>
        <w:rPr>
          <w:color w:val="auto"/>
          <w:highlight w:val="none"/>
          <w:u w:val="none"/>
          <w:lang w:val="en-US"/>
        </w:rPr>
        <w:t>DI</w:t>
      </w:r>
      <w:r>
        <w:rPr>
          <w:rFonts w:hint="eastAsia"/>
          <w:color w:val="auto"/>
          <w:highlight w:val="none"/>
          <w:u w:val="none"/>
          <w:lang w:val="en-US"/>
        </w:rPr>
        <w:t>项目（一期工程）环评报告对监测计划的建议，</w:t>
      </w:r>
      <w:r>
        <w:rPr>
          <w:color w:val="auto"/>
          <w:highlight w:val="none"/>
          <w:u w:val="none"/>
          <w:lang w:val="en-US"/>
        </w:rPr>
        <w:t>环境空气、海水水质和海域沉积物的监测计划由开发区管委会统筹安排实施监测。</w:t>
      </w:r>
      <w:r>
        <w:rPr>
          <w:rFonts w:hint="eastAsia"/>
          <w:color w:val="auto"/>
          <w:highlight w:val="none"/>
          <w:u w:val="none"/>
          <w:lang w:val="en-US"/>
        </w:rPr>
        <w:t>营运期环境监测计划</w:t>
      </w:r>
      <w:r>
        <w:rPr>
          <w:color w:val="auto"/>
          <w:highlight w:val="none"/>
          <w:u w:val="none"/>
          <w:lang w:val="en-US"/>
        </w:rPr>
        <w:t>见</w:t>
      </w:r>
      <w:r>
        <w:rPr>
          <w:color w:val="auto"/>
          <w:highlight w:val="none"/>
          <w:u w:val="none"/>
          <w:lang w:val="en-US"/>
        </w:rPr>
        <w:fldChar w:fldCharType="begin"/>
      </w:r>
      <w:r>
        <w:rPr>
          <w:color w:val="auto"/>
          <w:highlight w:val="none"/>
          <w:u w:val="none"/>
          <w:lang w:val="en-US"/>
        </w:rPr>
        <w:instrText xml:space="preserve"> REF _Ref147344656 \h  \* MERGEFORMAT </w:instrText>
      </w:r>
      <w:r>
        <w:rPr>
          <w:color w:val="auto"/>
          <w:highlight w:val="none"/>
          <w:u w:val="none"/>
          <w:lang w:val="en-US"/>
        </w:rPr>
        <w:fldChar w:fldCharType="separate"/>
      </w:r>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12.4</w:t>
      </w:r>
      <w:r>
        <w:rPr>
          <w:color w:val="auto"/>
          <w:highlight w:val="none"/>
          <w:u w:val="none"/>
        </w:rPr>
        <w:fldChar w:fldCharType="end"/>
      </w:r>
      <w:r>
        <w:rPr>
          <w:color w:val="auto"/>
          <w:highlight w:val="none"/>
          <w:u w:val="none"/>
        </w:rPr>
        <w:noBreakHyphen/>
      </w:r>
      <w:r>
        <w:rPr>
          <w:color w:val="auto"/>
          <w:highlight w:val="none"/>
          <w:u w:val="none"/>
        </w:rPr>
        <w:t>1</w:t>
      </w:r>
      <w:r>
        <w:rPr>
          <w:color w:val="auto"/>
          <w:highlight w:val="none"/>
          <w:u w:val="none"/>
          <w:lang w:val="en-US"/>
        </w:rPr>
        <w:fldChar w:fldCharType="end"/>
      </w:r>
      <w:r>
        <w:rPr>
          <w:color w:val="auto"/>
          <w:highlight w:val="none"/>
          <w:u w:val="none"/>
          <w:lang w:val="en-US"/>
        </w:rPr>
        <w:t>。</w:t>
      </w:r>
    </w:p>
    <w:p w14:paraId="0888DFC2">
      <w:pPr>
        <w:rPr>
          <w:color w:val="auto"/>
          <w:highlight w:val="none"/>
          <w:u w:val="none"/>
          <w:lang w:val="en-US"/>
        </w:rPr>
        <w:sectPr>
          <w:pgSz w:w="11906" w:h="16838"/>
          <w:pgMar w:top="1440" w:right="1418" w:bottom="1440" w:left="1418" w:header="851" w:footer="992" w:gutter="0"/>
          <w:cols w:space="425" w:num="1"/>
          <w:docGrid w:type="lines" w:linePitch="312" w:charSpace="0"/>
        </w:sectPr>
      </w:pPr>
    </w:p>
    <w:p w14:paraId="24D79CB2">
      <w:pPr>
        <w:pStyle w:val="85"/>
        <w:rPr>
          <w:color w:val="auto"/>
          <w:highlight w:val="none"/>
          <w:u w:val="none"/>
        </w:rPr>
      </w:pPr>
      <w:bookmarkStart w:id="785" w:name="_Ref147344656"/>
      <w:r>
        <w:rPr>
          <w:color w:val="auto"/>
          <w:highlight w:val="none"/>
          <w:u w:val="none"/>
        </w:rPr>
        <w:t xml:space="preserve">表 </w:t>
      </w:r>
      <w:r>
        <w:rPr>
          <w:color w:val="auto"/>
          <w:highlight w:val="none"/>
          <w:u w:val="none"/>
        </w:rPr>
        <w:fldChar w:fldCharType="begin"/>
      </w:r>
      <w:r>
        <w:rPr>
          <w:color w:val="auto"/>
          <w:highlight w:val="none"/>
          <w:u w:val="none"/>
        </w:rPr>
        <w:instrText xml:space="preserve"> STYLEREF 2 \s </w:instrText>
      </w:r>
      <w:r>
        <w:rPr>
          <w:color w:val="auto"/>
          <w:highlight w:val="none"/>
          <w:u w:val="none"/>
        </w:rPr>
        <w:fldChar w:fldCharType="separate"/>
      </w:r>
      <w:r>
        <w:rPr>
          <w:color w:val="auto"/>
          <w:highlight w:val="none"/>
          <w:u w:val="none"/>
        </w:rPr>
        <w:t>12.4</w:t>
      </w:r>
      <w:r>
        <w:rPr>
          <w:color w:val="auto"/>
          <w:highlight w:val="none"/>
          <w:u w:val="none"/>
        </w:rPr>
        <w:fldChar w:fldCharType="end"/>
      </w:r>
      <w:r>
        <w:rPr>
          <w:color w:val="auto"/>
          <w:highlight w:val="none"/>
          <w:u w:val="none"/>
        </w:rPr>
        <w:noBreakHyphen/>
      </w:r>
      <w:r>
        <w:rPr>
          <w:color w:val="auto"/>
          <w:highlight w:val="none"/>
          <w:u w:val="none"/>
        </w:rPr>
        <w:fldChar w:fldCharType="begin"/>
      </w:r>
      <w:r>
        <w:rPr>
          <w:color w:val="auto"/>
          <w:highlight w:val="none"/>
          <w:u w:val="none"/>
        </w:rPr>
        <w:instrText xml:space="preserve"> SEQ 表 \* ARABIC \s 2 </w:instrText>
      </w:r>
      <w:r>
        <w:rPr>
          <w:color w:val="auto"/>
          <w:highlight w:val="none"/>
          <w:u w:val="none"/>
        </w:rPr>
        <w:fldChar w:fldCharType="separate"/>
      </w:r>
      <w:r>
        <w:rPr>
          <w:color w:val="auto"/>
          <w:highlight w:val="none"/>
          <w:u w:val="none"/>
        </w:rPr>
        <w:t>1</w:t>
      </w:r>
      <w:r>
        <w:rPr>
          <w:color w:val="auto"/>
          <w:highlight w:val="none"/>
          <w:u w:val="none"/>
        </w:rPr>
        <w:fldChar w:fldCharType="end"/>
      </w:r>
      <w:bookmarkEnd w:id="785"/>
      <w:r>
        <w:rPr>
          <w:color w:val="auto"/>
          <w:highlight w:val="none"/>
          <w:u w:val="none"/>
        </w:rPr>
        <w:t xml:space="preserve">  </w:t>
      </w:r>
      <w:r>
        <w:rPr>
          <w:rFonts w:hint="eastAsia"/>
          <w:color w:val="auto"/>
          <w:highlight w:val="none"/>
          <w:u w:val="none"/>
        </w:rPr>
        <w:t>营运期环境监测计划</w:t>
      </w:r>
    </w:p>
    <w:tbl>
      <w:tblPr>
        <w:tblStyle w:val="5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1"/>
        <w:gridCol w:w="2804"/>
        <w:gridCol w:w="2445"/>
        <w:gridCol w:w="2031"/>
        <w:gridCol w:w="5762"/>
      </w:tblGrid>
      <w:tr w14:paraId="456DC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96" w:type="pct"/>
            <w:vAlign w:val="center"/>
          </w:tcPr>
          <w:p w14:paraId="7EA329CF">
            <w:pPr>
              <w:pStyle w:val="510"/>
              <w:rPr>
                <w:color w:val="auto"/>
                <w:highlight w:val="none"/>
                <w:u w:val="none"/>
              </w:rPr>
            </w:pPr>
            <w:r>
              <w:rPr>
                <w:color w:val="auto"/>
                <w:highlight w:val="none"/>
                <w:u w:val="none"/>
              </w:rPr>
              <w:t>监测对象</w:t>
            </w:r>
          </w:p>
        </w:tc>
        <w:tc>
          <w:tcPr>
            <w:tcW w:w="990" w:type="pct"/>
            <w:vAlign w:val="center"/>
          </w:tcPr>
          <w:p w14:paraId="5487DF89">
            <w:pPr>
              <w:pStyle w:val="510"/>
              <w:rPr>
                <w:color w:val="auto"/>
                <w:highlight w:val="none"/>
                <w:u w:val="none"/>
              </w:rPr>
            </w:pPr>
            <w:r>
              <w:rPr>
                <w:color w:val="auto"/>
                <w:highlight w:val="none"/>
                <w:u w:val="none"/>
              </w:rPr>
              <w:t>监测</w:t>
            </w:r>
            <w:r>
              <w:rPr>
                <w:rFonts w:hint="eastAsia"/>
                <w:color w:val="auto"/>
                <w:highlight w:val="none"/>
                <w:u w:val="none"/>
              </w:rPr>
              <w:t>点位</w:t>
            </w:r>
          </w:p>
        </w:tc>
        <w:tc>
          <w:tcPr>
            <w:tcW w:w="863" w:type="pct"/>
            <w:vAlign w:val="center"/>
          </w:tcPr>
          <w:p w14:paraId="7B9775FD">
            <w:pPr>
              <w:pStyle w:val="510"/>
              <w:rPr>
                <w:color w:val="auto"/>
                <w:highlight w:val="none"/>
                <w:u w:val="none"/>
              </w:rPr>
            </w:pPr>
            <w:r>
              <w:rPr>
                <w:color w:val="auto"/>
                <w:highlight w:val="none"/>
                <w:u w:val="none"/>
              </w:rPr>
              <w:t>监测</w:t>
            </w:r>
            <w:r>
              <w:rPr>
                <w:rFonts w:hint="eastAsia"/>
                <w:color w:val="auto"/>
                <w:highlight w:val="none"/>
                <w:u w:val="none"/>
              </w:rPr>
              <w:t>因子</w:t>
            </w:r>
          </w:p>
        </w:tc>
        <w:tc>
          <w:tcPr>
            <w:tcW w:w="717" w:type="pct"/>
            <w:vAlign w:val="center"/>
          </w:tcPr>
          <w:p w14:paraId="7C966856">
            <w:pPr>
              <w:pStyle w:val="510"/>
              <w:rPr>
                <w:color w:val="auto"/>
                <w:highlight w:val="none"/>
                <w:u w:val="none"/>
              </w:rPr>
            </w:pPr>
            <w:r>
              <w:rPr>
                <w:color w:val="auto"/>
                <w:highlight w:val="none"/>
                <w:u w:val="none"/>
              </w:rPr>
              <w:t>监测频率</w:t>
            </w:r>
          </w:p>
        </w:tc>
        <w:tc>
          <w:tcPr>
            <w:tcW w:w="2033" w:type="pct"/>
            <w:vAlign w:val="center"/>
          </w:tcPr>
          <w:p w14:paraId="114C0F25">
            <w:pPr>
              <w:pStyle w:val="510"/>
              <w:rPr>
                <w:color w:val="auto"/>
                <w:highlight w:val="none"/>
                <w:u w:val="none"/>
              </w:rPr>
            </w:pPr>
            <w:r>
              <w:rPr>
                <w:rFonts w:hint="eastAsia"/>
                <w:color w:val="auto"/>
                <w:highlight w:val="none"/>
                <w:u w:val="none"/>
              </w:rPr>
              <w:t>依据来源</w:t>
            </w:r>
          </w:p>
        </w:tc>
      </w:tr>
      <w:tr w14:paraId="72057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396" w:type="pct"/>
            <w:vMerge w:val="restart"/>
            <w:vAlign w:val="center"/>
          </w:tcPr>
          <w:p w14:paraId="407E8181">
            <w:pPr>
              <w:pStyle w:val="510"/>
              <w:rPr>
                <w:color w:val="auto"/>
                <w:highlight w:val="none"/>
                <w:u w:val="none"/>
              </w:rPr>
            </w:pPr>
            <w:r>
              <w:rPr>
                <w:color w:val="auto"/>
                <w:highlight w:val="none"/>
                <w:u w:val="none"/>
              </w:rPr>
              <w:t>废气</w:t>
            </w:r>
          </w:p>
        </w:tc>
        <w:tc>
          <w:tcPr>
            <w:tcW w:w="990" w:type="pct"/>
            <w:vMerge w:val="restart"/>
            <w:vAlign w:val="center"/>
          </w:tcPr>
          <w:p w14:paraId="503B1751">
            <w:pPr>
              <w:pStyle w:val="510"/>
              <w:rPr>
                <w:color w:val="auto"/>
                <w:highlight w:val="none"/>
                <w:u w:val="none"/>
              </w:rPr>
            </w:pPr>
            <w:r>
              <w:rPr>
                <w:rFonts w:hint="eastAsia"/>
                <w:color w:val="auto"/>
                <w:kern w:val="0"/>
                <w:highlight w:val="none"/>
                <w:u w:val="none"/>
                <w:lang w:val="en-US"/>
              </w:rPr>
              <w:t>TDI</w:t>
            </w:r>
            <w:r>
              <w:rPr>
                <w:rFonts w:hint="eastAsia"/>
                <w:color w:val="auto"/>
                <w:kern w:val="0"/>
                <w:highlight w:val="none"/>
                <w:u w:val="none"/>
              </w:rPr>
              <w:t>一期工程</w:t>
            </w:r>
            <w:r>
              <w:rPr>
                <w:color w:val="auto"/>
                <w:kern w:val="0"/>
                <w:highlight w:val="none"/>
                <w:u w:val="none"/>
              </w:rPr>
              <w:t>氢化单元排气筒</w:t>
            </w:r>
            <w:r>
              <w:rPr>
                <w:rFonts w:hint="eastAsia"/>
                <w:color w:val="auto"/>
                <w:kern w:val="0"/>
                <w:highlight w:val="none"/>
                <w:u w:val="none"/>
              </w:rPr>
              <w:t>（TDA精制尾气）；</w:t>
            </w:r>
          </w:p>
        </w:tc>
        <w:tc>
          <w:tcPr>
            <w:tcW w:w="863" w:type="pct"/>
            <w:vAlign w:val="center"/>
          </w:tcPr>
          <w:p w14:paraId="05FA5605">
            <w:pPr>
              <w:pStyle w:val="510"/>
              <w:rPr>
                <w:color w:val="auto"/>
                <w:highlight w:val="none"/>
                <w:u w:val="none"/>
              </w:rPr>
            </w:pPr>
            <w:r>
              <w:rPr>
                <w:color w:val="auto"/>
                <w:highlight w:val="none"/>
                <w:u w:val="none"/>
              </w:rPr>
              <w:t>非甲烷总烃</w:t>
            </w:r>
          </w:p>
        </w:tc>
        <w:tc>
          <w:tcPr>
            <w:tcW w:w="717" w:type="pct"/>
            <w:vAlign w:val="center"/>
          </w:tcPr>
          <w:p w14:paraId="6FC2BE41">
            <w:pPr>
              <w:pStyle w:val="510"/>
              <w:rPr>
                <w:color w:val="auto"/>
                <w:highlight w:val="none"/>
                <w:u w:val="none"/>
              </w:rPr>
            </w:pPr>
            <w:r>
              <w:rPr>
                <w:color w:val="auto"/>
                <w:highlight w:val="none"/>
                <w:u w:val="none"/>
              </w:rPr>
              <w:t>1次/月</w:t>
            </w:r>
          </w:p>
        </w:tc>
        <w:tc>
          <w:tcPr>
            <w:tcW w:w="2033" w:type="pct"/>
            <w:vMerge w:val="restart"/>
            <w:vAlign w:val="center"/>
          </w:tcPr>
          <w:p w14:paraId="36333B2F">
            <w:pPr>
              <w:pStyle w:val="510"/>
              <w:rPr>
                <w:color w:val="auto"/>
                <w:highlight w:val="none"/>
                <w:u w:val="none"/>
              </w:rPr>
            </w:pPr>
            <w:r>
              <w:rPr>
                <w:rFonts w:hint="eastAsia"/>
                <w:color w:val="auto"/>
                <w:sz w:val="21"/>
                <w:szCs w:val="21"/>
                <w:highlight w:val="none"/>
                <w:u w:val="none"/>
                <w:lang w:val="en-US"/>
              </w:rPr>
              <w:t>根据《排污单位自行监测技术指南</w:t>
            </w:r>
            <w:r>
              <w:rPr>
                <w:color w:val="auto"/>
                <w:sz w:val="21"/>
                <w:szCs w:val="21"/>
                <w:highlight w:val="none"/>
                <w:u w:val="none"/>
                <w:lang w:val="en-US"/>
              </w:rPr>
              <w:t xml:space="preserve"> </w:t>
            </w:r>
            <w:r>
              <w:rPr>
                <w:rFonts w:hint="eastAsia"/>
                <w:color w:val="auto"/>
                <w:sz w:val="21"/>
                <w:szCs w:val="21"/>
                <w:highlight w:val="none"/>
                <w:u w:val="none"/>
                <w:lang w:val="en-US"/>
              </w:rPr>
              <w:t>石油化学工业》（</w:t>
            </w:r>
            <w:r>
              <w:rPr>
                <w:color w:val="auto"/>
                <w:sz w:val="21"/>
                <w:szCs w:val="21"/>
                <w:highlight w:val="none"/>
                <w:u w:val="none"/>
                <w:lang w:val="en-US"/>
              </w:rPr>
              <w:t>HJ947-2018</w:t>
            </w:r>
            <w:r>
              <w:rPr>
                <w:rFonts w:hint="eastAsia"/>
                <w:color w:val="auto"/>
                <w:sz w:val="21"/>
                <w:szCs w:val="21"/>
                <w:highlight w:val="none"/>
                <w:u w:val="none"/>
                <w:lang w:val="en-US"/>
              </w:rPr>
              <w:t>）中表2要求，含卤代烃的有机废气排气筒、其他有机废气排气筒最低监测频次为：非甲烷总烃每月监测</w:t>
            </w:r>
            <w:r>
              <w:rPr>
                <w:color w:val="auto"/>
                <w:sz w:val="21"/>
                <w:szCs w:val="21"/>
                <w:highlight w:val="none"/>
                <w:u w:val="none"/>
                <w:lang w:val="en-US"/>
              </w:rPr>
              <w:t>1</w:t>
            </w:r>
            <w:r>
              <w:rPr>
                <w:rFonts w:hint="eastAsia"/>
                <w:color w:val="auto"/>
                <w:sz w:val="21"/>
                <w:szCs w:val="21"/>
                <w:highlight w:val="none"/>
                <w:u w:val="none"/>
                <w:lang w:val="en-US"/>
              </w:rPr>
              <w:t>次，废气特征污染物每半年监测</w:t>
            </w:r>
            <w:r>
              <w:rPr>
                <w:color w:val="auto"/>
                <w:sz w:val="21"/>
                <w:szCs w:val="21"/>
                <w:highlight w:val="none"/>
                <w:u w:val="none"/>
                <w:lang w:val="en-US"/>
              </w:rPr>
              <w:t>1</w:t>
            </w:r>
            <w:r>
              <w:rPr>
                <w:rFonts w:hint="eastAsia"/>
                <w:color w:val="auto"/>
                <w:sz w:val="21"/>
                <w:szCs w:val="21"/>
                <w:highlight w:val="none"/>
                <w:u w:val="none"/>
                <w:lang w:val="en-US"/>
              </w:rPr>
              <w:t>次。</w:t>
            </w:r>
          </w:p>
        </w:tc>
      </w:tr>
      <w:tr w14:paraId="272B2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1620AEEC">
            <w:pPr>
              <w:pStyle w:val="510"/>
              <w:rPr>
                <w:color w:val="auto"/>
                <w:highlight w:val="none"/>
                <w:u w:val="none"/>
              </w:rPr>
            </w:pPr>
          </w:p>
        </w:tc>
        <w:tc>
          <w:tcPr>
            <w:tcW w:w="990" w:type="pct"/>
            <w:vMerge w:val="continue"/>
            <w:vAlign w:val="center"/>
          </w:tcPr>
          <w:p w14:paraId="7EE35D03">
            <w:pPr>
              <w:pStyle w:val="510"/>
              <w:rPr>
                <w:color w:val="auto"/>
                <w:highlight w:val="none"/>
                <w:u w:val="none"/>
              </w:rPr>
            </w:pPr>
          </w:p>
        </w:tc>
        <w:tc>
          <w:tcPr>
            <w:tcW w:w="863" w:type="pct"/>
            <w:vAlign w:val="center"/>
          </w:tcPr>
          <w:p w14:paraId="73742EA7">
            <w:pPr>
              <w:pStyle w:val="510"/>
              <w:rPr>
                <w:color w:val="auto"/>
                <w:highlight w:val="none"/>
                <w:u w:val="none"/>
              </w:rPr>
            </w:pPr>
            <w:r>
              <w:rPr>
                <w:snapToGrid w:val="0"/>
                <w:color w:val="auto"/>
                <w:kern w:val="0"/>
                <w:highlight w:val="none"/>
                <w:u w:val="none"/>
              </w:rPr>
              <w:t>苯胺类</w:t>
            </w:r>
          </w:p>
        </w:tc>
        <w:tc>
          <w:tcPr>
            <w:tcW w:w="717" w:type="pct"/>
            <w:vAlign w:val="center"/>
          </w:tcPr>
          <w:p w14:paraId="4B2EB288">
            <w:pPr>
              <w:pStyle w:val="510"/>
              <w:rPr>
                <w:color w:val="auto"/>
                <w:highlight w:val="none"/>
                <w:u w:val="none"/>
              </w:rPr>
            </w:pPr>
            <w:r>
              <w:rPr>
                <w:color w:val="auto"/>
                <w:highlight w:val="none"/>
                <w:u w:val="none"/>
              </w:rPr>
              <w:t>1次/半年</w:t>
            </w:r>
          </w:p>
        </w:tc>
        <w:tc>
          <w:tcPr>
            <w:tcW w:w="2033" w:type="pct"/>
            <w:vMerge w:val="continue"/>
            <w:vAlign w:val="center"/>
          </w:tcPr>
          <w:p w14:paraId="57DC6C45">
            <w:pPr>
              <w:pStyle w:val="510"/>
              <w:rPr>
                <w:color w:val="auto"/>
                <w:highlight w:val="none"/>
                <w:u w:val="none"/>
              </w:rPr>
            </w:pPr>
          </w:p>
        </w:tc>
      </w:tr>
      <w:tr w14:paraId="77721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396" w:type="pct"/>
            <w:vMerge w:val="continue"/>
            <w:vAlign w:val="center"/>
          </w:tcPr>
          <w:p w14:paraId="326645ED">
            <w:pPr>
              <w:pStyle w:val="510"/>
              <w:rPr>
                <w:color w:val="auto"/>
                <w:highlight w:val="none"/>
                <w:u w:val="none"/>
              </w:rPr>
            </w:pPr>
          </w:p>
        </w:tc>
        <w:tc>
          <w:tcPr>
            <w:tcW w:w="990" w:type="pct"/>
            <w:vMerge w:val="restart"/>
            <w:vAlign w:val="center"/>
          </w:tcPr>
          <w:p w14:paraId="189551DE">
            <w:pPr>
              <w:pStyle w:val="510"/>
              <w:rPr>
                <w:color w:val="auto"/>
                <w:kern w:val="0"/>
                <w:highlight w:val="none"/>
                <w:u w:val="none"/>
              </w:rPr>
            </w:pPr>
            <w:r>
              <w:rPr>
                <w:rFonts w:hint="eastAsia"/>
                <w:color w:val="auto"/>
                <w:kern w:val="0"/>
                <w:highlight w:val="none"/>
                <w:u w:val="none"/>
                <w:lang w:val="en-US"/>
              </w:rPr>
              <w:t>TDI</w:t>
            </w:r>
            <w:r>
              <w:rPr>
                <w:rFonts w:hint="eastAsia"/>
                <w:color w:val="auto"/>
                <w:kern w:val="0"/>
                <w:highlight w:val="none"/>
                <w:u w:val="none"/>
              </w:rPr>
              <w:t>一期工程</w:t>
            </w:r>
            <w:r>
              <w:rPr>
                <w:color w:val="auto"/>
                <w:kern w:val="0"/>
                <w:highlight w:val="none"/>
                <w:u w:val="none"/>
              </w:rPr>
              <w:t>光化单元排气筒</w:t>
            </w:r>
          </w:p>
          <w:p w14:paraId="3372710A">
            <w:pPr>
              <w:pStyle w:val="510"/>
              <w:rPr>
                <w:color w:val="auto"/>
                <w:highlight w:val="none"/>
                <w:u w:val="none"/>
              </w:rPr>
            </w:pPr>
            <w:r>
              <w:rPr>
                <w:rFonts w:hint="eastAsia"/>
                <w:color w:val="auto"/>
                <w:kern w:val="0"/>
                <w:highlight w:val="none"/>
                <w:u w:val="none"/>
              </w:rPr>
              <w:t>（ODCB储罐废气）；</w:t>
            </w:r>
          </w:p>
        </w:tc>
        <w:tc>
          <w:tcPr>
            <w:tcW w:w="863" w:type="pct"/>
            <w:vAlign w:val="center"/>
          </w:tcPr>
          <w:p w14:paraId="486759BC">
            <w:pPr>
              <w:pStyle w:val="510"/>
              <w:rPr>
                <w:color w:val="auto"/>
                <w:highlight w:val="none"/>
                <w:u w:val="none"/>
              </w:rPr>
            </w:pPr>
            <w:r>
              <w:rPr>
                <w:color w:val="auto"/>
                <w:highlight w:val="none"/>
                <w:u w:val="none"/>
              </w:rPr>
              <w:t>非甲烷总烃</w:t>
            </w:r>
          </w:p>
        </w:tc>
        <w:tc>
          <w:tcPr>
            <w:tcW w:w="717" w:type="pct"/>
            <w:vAlign w:val="center"/>
          </w:tcPr>
          <w:p w14:paraId="3FEA579D">
            <w:pPr>
              <w:pStyle w:val="510"/>
              <w:rPr>
                <w:color w:val="auto"/>
                <w:highlight w:val="none"/>
                <w:u w:val="none"/>
              </w:rPr>
            </w:pPr>
            <w:r>
              <w:rPr>
                <w:color w:val="auto"/>
                <w:highlight w:val="none"/>
                <w:u w:val="none"/>
              </w:rPr>
              <w:t>1次/月</w:t>
            </w:r>
          </w:p>
        </w:tc>
        <w:tc>
          <w:tcPr>
            <w:tcW w:w="2033" w:type="pct"/>
            <w:vMerge w:val="continue"/>
            <w:vAlign w:val="center"/>
          </w:tcPr>
          <w:p w14:paraId="2EA497C1">
            <w:pPr>
              <w:pStyle w:val="510"/>
              <w:rPr>
                <w:color w:val="auto"/>
                <w:highlight w:val="none"/>
                <w:u w:val="none"/>
              </w:rPr>
            </w:pPr>
          </w:p>
        </w:tc>
      </w:tr>
      <w:tr w14:paraId="07DAD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794E817D">
            <w:pPr>
              <w:pStyle w:val="510"/>
              <w:rPr>
                <w:color w:val="auto"/>
                <w:highlight w:val="none"/>
                <w:u w:val="none"/>
              </w:rPr>
            </w:pPr>
          </w:p>
        </w:tc>
        <w:tc>
          <w:tcPr>
            <w:tcW w:w="990" w:type="pct"/>
            <w:vMerge w:val="continue"/>
            <w:vAlign w:val="center"/>
          </w:tcPr>
          <w:p w14:paraId="53CAA1C1">
            <w:pPr>
              <w:pStyle w:val="510"/>
              <w:rPr>
                <w:color w:val="auto"/>
                <w:kern w:val="0"/>
                <w:highlight w:val="none"/>
                <w:u w:val="none"/>
              </w:rPr>
            </w:pPr>
          </w:p>
        </w:tc>
        <w:tc>
          <w:tcPr>
            <w:tcW w:w="863" w:type="pct"/>
            <w:vAlign w:val="center"/>
          </w:tcPr>
          <w:p w14:paraId="1FAC4102">
            <w:pPr>
              <w:pStyle w:val="510"/>
              <w:rPr>
                <w:color w:val="auto"/>
                <w:highlight w:val="none"/>
                <w:u w:val="none"/>
              </w:rPr>
            </w:pPr>
            <w:r>
              <w:rPr>
                <w:color w:val="auto"/>
                <w:highlight w:val="none"/>
                <w:u w:val="none"/>
              </w:rPr>
              <w:t>氯苯类</w:t>
            </w:r>
          </w:p>
        </w:tc>
        <w:tc>
          <w:tcPr>
            <w:tcW w:w="717" w:type="pct"/>
            <w:vAlign w:val="center"/>
          </w:tcPr>
          <w:p w14:paraId="2E469FAD">
            <w:pPr>
              <w:pStyle w:val="510"/>
              <w:rPr>
                <w:color w:val="auto"/>
                <w:highlight w:val="none"/>
                <w:u w:val="none"/>
              </w:rPr>
            </w:pPr>
            <w:r>
              <w:rPr>
                <w:color w:val="auto"/>
                <w:highlight w:val="none"/>
                <w:u w:val="none"/>
              </w:rPr>
              <w:t>1次/半年</w:t>
            </w:r>
          </w:p>
        </w:tc>
        <w:tc>
          <w:tcPr>
            <w:tcW w:w="2033" w:type="pct"/>
            <w:vMerge w:val="continue"/>
            <w:vAlign w:val="center"/>
          </w:tcPr>
          <w:p w14:paraId="2A6AC2FA">
            <w:pPr>
              <w:pStyle w:val="510"/>
              <w:rPr>
                <w:color w:val="auto"/>
                <w:highlight w:val="none"/>
                <w:u w:val="none"/>
              </w:rPr>
            </w:pPr>
          </w:p>
        </w:tc>
      </w:tr>
      <w:tr w14:paraId="62D26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52350518">
            <w:pPr>
              <w:pStyle w:val="510"/>
              <w:rPr>
                <w:color w:val="auto"/>
                <w:highlight w:val="none"/>
                <w:u w:val="none"/>
              </w:rPr>
            </w:pPr>
          </w:p>
        </w:tc>
        <w:tc>
          <w:tcPr>
            <w:tcW w:w="990" w:type="pct"/>
            <w:vAlign w:val="center"/>
          </w:tcPr>
          <w:p w14:paraId="5711444E">
            <w:pPr>
              <w:pStyle w:val="510"/>
              <w:rPr>
                <w:color w:val="auto"/>
                <w:highlight w:val="none"/>
                <w:u w:val="none"/>
              </w:rPr>
            </w:pPr>
            <w:r>
              <w:rPr>
                <w:rFonts w:hint="eastAsia"/>
                <w:color w:val="auto"/>
                <w:kern w:val="0"/>
                <w:highlight w:val="none"/>
                <w:u w:val="none"/>
                <w:lang w:val="en-US"/>
              </w:rPr>
              <w:t>TDI</w:t>
            </w:r>
            <w:r>
              <w:rPr>
                <w:rFonts w:hint="eastAsia"/>
                <w:color w:val="auto"/>
                <w:kern w:val="0"/>
                <w:highlight w:val="none"/>
                <w:u w:val="none"/>
              </w:rPr>
              <w:t>一期工程</w:t>
            </w:r>
            <w:r>
              <w:rPr>
                <w:color w:val="auto"/>
                <w:kern w:val="0"/>
                <w:highlight w:val="none"/>
                <w:u w:val="none"/>
              </w:rPr>
              <w:t>出项目厂界，排入</w:t>
            </w:r>
            <w:r>
              <w:rPr>
                <w:rFonts w:hint="eastAsia"/>
                <w:color w:val="auto"/>
                <w:highlight w:val="none"/>
                <w:u w:val="none"/>
              </w:rPr>
              <w:t>万华环保科技公司</w:t>
            </w:r>
            <w:r>
              <w:rPr>
                <w:color w:val="auto"/>
                <w:kern w:val="0"/>
                <w:highlight w:val="none"/>
                <w:u w:val="none"/>
              </w:rPr>
              <w:t>能量回收装置前总排口</w:t>
            </w:r>
          </w:p>
        </w:tc>
        <w:tc>
          <w:tcPr>
            <w:tcW w:w="863" w:type="pct"/>
            <w:vAlign w:val="center"/>
          </w:tcPr>
          <w:p w14:paraId="4C765554">
            <w:pPr>
              <w:pStyle w:val="510"/>
              <w:rPr>
                <w:color w:val="auto"/>
                <w:highlight w:val="none"/>
                <w:u w:val="none"/>
              </w:rPr>
            </w:pPr>
            <w:r>
              <w:rPr>
                <w:color w:val="auto"/>
                <w:kern w:val="0"/>
                <w:highlight w:val="none"/>
                <w:u w:val="none"/>
              </w:rPr>
              <w:t>流量</w:t>
            </w:r>
          </w:p>
        </w:tc>
        <w:tc>
          <w:tcPr>
            <w:tcW w:w="717" w:type="pct"/>
            <w:vAlign w:val="center"/>
          </w:tcPr>
          <w:p w14:paraId="72B44E0E">
            <w:pPr>
              <w:pStyle w:val="510"/>
              <w:rPr>
                <w:color w:val="auto"/>
                <w:highlight w:val="none"/>
                <w:u w:val="none"/>
              </w:rPr>
            </w:pPr>
            <w:r>
              <w:rPr>
                <w:rFonts w:hint="eastAsia"/>
                <w:color w:val="auto"/>
                <w:highlight w:val="none"/>
                <w:u w:val="none"/>
              </w:rPr>
              <w:t>企业内部进行流量在线监控</w:t>
            </w:r>
          </w:p>
        </w:tc>
        <w:tc>
          <w:tcPr>
            <w:tcW w:w="2033" w:type="pct"/>
            <w:vAlign w:val="center"/>
          </w:tcPr>
          <w:p w14:paraId="4A463AEB">
            <w:pPr>
              <w:pStyle w:val="510"/>
              <w:rPr>
                <w:rFonts w:hint="eastAsia"/>
                <w:color w:val="auto"/>
                <w:highlight w:val="none"/>
                <w:u w:val="none"/>
              </w:rPr>
            </w:pPr>
            <w:r>
              <w:rPr>
                <w:rFonts w:hint="eastAsia"/>
                <w:color w:val="auto"/>
                <w:highlight w:val="none"/>
                <w:u w:val="none"/>
              </w:rPr>
              <w:t>根据万华福建公司与万华环保科技公司签署的废气委托处理协议（附件</w:t>
            </w:r>
            <w:r>
              <w:rPr>
                <w:color w:val="auto"/>
                <w:highlight w:val="none"/>
                <w:u w:val="none"/>
              </w:rPr>
              <w:t>2</w:t>
            </w:r>
            <w:r>
              <w:rPr>
                <w:rFonts w:hint="eastAsia"/>
                <w:color w:val="auto"/>
                <w:highlight w:val="none"/>
                <w:u w:val="none"/>
                <w:lang w:val="en-US" w:eastAsia="zh-CN"/>
              </w:rPr>
              <w:t>2</w:t>
            </w:r>
            <w:r>
              <w:rPr>
                <w:color w:val="auto"/>
                <w:highlight w:val="none"/>
                <w:u w:val="none"/>
              </w:rPr>
              <w:t>），万华福建公司</w:t>
            </w:r>
            <w:r>
              <w:rPr>
                <w:rFonts w:hint="eastAsia"/>
                <w:color w:val="auto"/>
                <w:highlight w:val="none"/>
                <w:u w:val="none"/>
              </w:rPr>
              <w:t>废气</w:t>
            </w:r>
            <w:r>
              <w:rPr>
                <w:color w:val="auto"/>
                <w:highlight w:val="none"/>
                <w:u w:val="none"/>
              </w:rPr>
              <w:t>接入万华环保科技公司</w:t>
            </w:r>
            <w:r>
              <w:rPr>
                <w:rFonts w:hint="eastAsia"/>
                <w:color w:val="auto"/>
                <w:highlight w:val="none"/>
                <w:u w:val="none"/>
              </w:rPr>
              <w:t>能量回收装置</w:t>
            </w:r>
            <w:r>
              <w:rPr>
                <w:color w:val="auto"/>
                <w:highlight w:val="none"/>
                <w:u w:val="none"/>
              </w:rPr>
              <w:t>前设置在线流量监控，对</w:t>
            </w:r>
            <w:r>
              <w:rPr>
                <w:rFonts w:hint="eastAsia"/>
                <w:color w:val="auto"/>
                <w:highlight w:val="none"/>
                <w:u w:val="none"/>
              </w:rPr>
              <w:t>废气流量</w:t>
            </w:r>
            <w:r>
              <w:rPr>
                <w:color w:val="auto"/>
                <w:highlight w:val="none"/>
                <w:u w:val="none"/>
              </w:rPr>
              <w:t>进行</w:t>
            </w:r>
            <w:r>
              <w:rPr>
                <w:rFonts w:hint="eastAsia"/>
                <w:color w:val="auto"/>
                <w:highlight w:val="none"/>
                <w:u w:val="none"/>
              </w:rPr>
              <w:t>监控</w:t>
            </w:r>
            <w:r>
              <w:rPr>
                <w:color w:val="auto"/>
                <w:highlight w:val="none"/>
                <w:u w:val="none"/>
              </w:rPr>
              <w:t>，对</w:t>
            </w:r>
            <w:r>
              <w:rPr>
                <w:rFonts w:hint="eastAsia"/>
                <w:color w:val="auto"/>
                <w:highlight w:val="none"/>
                <w:u w:val="none"/>
              </w:rPr>
              <w:t>废气污染物指标</w:t>
            </w:r>
            <w:r>
              <w:rPr>
                <w:color w:val="auto"/>
                <w:highlight w:val="none"/>
                <w:u w:val="none"/>
              </w:rPr>
              <w:t>则无</w:t>
            </w:r>
            <w:r>
              <w:rPr>
                <w:rFonts w:hint="eastAsia"/>
                <w:color w:val="auto"/>
                <w:highlight w:val="none"/>
                <w:u w:val="none"/>
              </w:rPr>
              <w:t>接纳</w:t>
            </w:r>
            <w:r>
              <w:rPr>
                <w:color w:val="auto"/>
                <w:highlight w:val="none"/>
                <w:u w:val="none"/>
              </w:rPr>
              <w:t>要求。同时，由万华环保科技公司全权负责进入厂内</w:t>
            </w:r>
            <w:r>
              <w:rPr>
                <w:rFonts w:hint="eastAsia"/>
                <w:color w:val="auto"/>
                <w:highlight w:val="none"/>
                <w:u w:val="none"/>
              </w:rPr>
              <w:t>废气</w:t>
            </w:r>
            <w:r>
              <w:rPr>
                <w:color w:val="auto"/>
                <w:highlight w:val="none"/>
                <w:u w:val="none"/>
              </w:rPr>
              <w:t>的处理及环境管理，并对</w:t>
            </w:r>
            <w:r>
              <w:rPr>
                <w:rFonts w:hint="eastAsia"/>
                <w:color w:val="auto"/>
                <w:highlight w:val="none"/>
                <w:u w:val="none"/>
              </w:rPr>
              <w:t>废气</w:t>
            </w:r>
            <w:r>
              <w:rPr>
                <w:color w:val="auto"/>
                <w:highlight w:val="none"/>
                <w:u w:val="none"/>
              </w:rPr>
              <w:t>在厂区内出现的风险和事故承担责任。</w:t>
            </w:r>
            <w:r>
              <w:rPr>
                <w:rFonts w:hint="eastAsia"/>
                <w:color w:val="auto"/>
                <w:highlight w:val="none"/>
                <w:u w:val="none"/>
              </w:rPr>
              <w:t>万华环保科技公司确保接纳的废气经其能量回收装置处理后达标排放。</w:t>
            </w:r>
          </w:p>
        </w:tc>
      </w:tr>
      <w:tr w14:paraId="7B252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0B43694A">
            <w:pPr>
              <w:pStyle w:val="510"/>
              <w:rPr>
                <w:color w:val="auto"/>
                <w:highlight w:val="none"/>
                <w:u w:val="none"/>
              </w:rPr>
            </w:pPr>
          </w:p>
        </w:tc>
        <w:tc>
          <w:tcPr>
            <w:tcW w:w="990" w:type="pct"/>
            <w:vAlign w:val="center"/>
          </w:tcPr>
          <w:p w14:paraId="342AE133">
            <w:pPr>
              <w:pStyle w:val="510"/>
              <w:rPr>
                <w:color w:val="auto"/>
                <w:highlight w:val="none"/>
                <w:u w:val="none"/>
              </w:rPr>
            </w:pPr>
            <w:r>
              <w:rPr>
                <w:color w:val="auto"/>
                <w:highlight w:val="none"/>
                <w:u w:val="none"/>
              </w:rPr>
              <w:t>无组织排放监测点：厂界</w:t>
            </w:r>
          </w:p>
        </w:tc>
        <w:tc>
          <w:tcPr>
            <w:tcW w:w="863" w:type="pct"/>
            <w:vAlign w:val="center"/>
          </w:tcPr>
          <w:p w14:paraId="6C0E2689">
            <w:pPr>
              <w:pStyle w:val="510"/>
              <w:rPr>
                <w:color w:val="auto"/>
                <w:highlight w:val="none"/>
                <w:u w:val="none"/>
              </w:rPr>
            </w:pPr>
            <w:r>
              <w:rPr>
                <w:color w:val="auto"/>
                <w:highlight w:val="none"/>
                <w:u w:val="none"/>
              </w:rPr>
              <w:t>非甲烷总烃、甲苯、硝基苯类、</w:t>
            </w:r>
            <w:r>
              <w:rPr>
                <w:snapToGrid w:val="0"/>
                <w:color w:val="auto"/>
                <w:kern w:val="0"/>
                <w:highlight w:val="none"/>
                <w:u w:val="none"/>
              </w:rPr>
              <w:t>苯胺类</w:t>
            </w:r>
            <w:r>
              <w:rPr>
                <w:color w:val="auto"/>
                <w:highlight w:val="none"/>
                <w:u w:val="none"/>
              </w:rPr>
              <w:t>、氯化氢、氯气、氯苯类、</w:t>
            </w:r>
            <w:r>
              <w:rPr>
                <w:rFonts w:hint="eastAsia"/>
                <w:color w:val="auto"/>
                <w:highlight w:val="none"/>
                <w:u w:val="none"/>
              </w:rPr>
              <w:t>光气、</w:t>
            </w:r>
            <w:r>
              <w:rPr>
                <w:color w:val="auto"/>
                <w:highlight w:val="none"/>
                <w:u w:val="none"/>
              </w:rPr>
              <w:t>氨、臭气浓度</w:t>
            </w:r>
          </w:p>
        </w:tc>
        <w:tc>
          <w:tcPr>
            <w:tcW w:w="717" w:type="pct"/>
            <w:vAlign w:val="center"/>
          </w:tcPr>
          <w:p w14:paraId="75E93AC5">
            <w:pPr>
              <w:pStyle w:val="510"/>
              <w:rPr>
                <w:color w:val="auto"/>
                <w:highlight w:val="none"/>
                <w:u w:val="none"/>
              </w:rPr>
            </w:pPr>
            <w:r>
              <w:rPr>
                <w:color w:val="auto"/>
                <w:highlight w:val="none"/>
                <w:u w:val="none"/>
              </w:rPr>
              <w:t>1次/季度</w:t>
            </w:r>
          </w:p>
        </w:tc>
        <w:tc>
          <w:tcPr>
            <w:tcW w:w="2033" w:type="pct"/>
            <w:vAlign w:val="center"/>
          </w:tcPr>
          <w:p w14:paraId="76E7F117">
            <w:pPr>
              <w:pStyle w:val="510"/>
              <w:rPr>
                <w:color w:val="auto"/>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）表3要求，企业边界除苯并(a</w:t>
            </w:r>
            <w:r>
              <w:rPr>
                <w:color w:val="auto"/>
                <w:highlight w:val="none"/>
                <w:u w:val="none"/>
                <w:lang w:val="en-US"/>
              </w:rPr>
              <w:t>)</w:t>
            </w:r>
            <w:r>
              <w:rPr>
                <w:rFonts w:hint="eastAsia"/>
                <w:color w:val="auto"/>
                <w:highlight w:val="none"/>
                <w:u w:val="none"/>
                <w:lang w:val="en-US"/>
              </w:rPr>
              <w:t>芘按年监测外，其他因子按每季度监测1次。</w:t>
            </w:r>
          </w:p>
        </w:tc>
      </w:tr>
      <w:tr w14:paraId="0CAAD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396" w:type="pct"/>
            <w:vMerge w:val="continue"/>
            <w:vAlign w:val="center"/>
          </w:tcPr>
          <w:p w14:paraId="5270BC24">
            <w:pPr>
              <w:pStyle w:val="510"/>
              <w:rPr>
                <w:color w:val="auto"/>
                <w:highlight w:val="none"/>
                <w:u w:val="none"/>
              </w:rPr>
            </w:pPr>
          </w:p>
        </w:tc>
        <w:tc>
          <w:tcPr>
            <w:tcW w:w="990" w:type="pct"/>
            <w:vMerge w:val="restart"/>
            <w:vAlign w:val="center"/>
          </w:tcPr>
          <w:p w14:paraId="49EE97BB">
            <w:pPr>
              <w:pStyle w:val="510"/>
              <w:rPr>
                <w:color w:val="auto"/>
                <w:highlight w:val="none"/>
                <w:u w:val="none"/>
              </w:rPr>
            </w:pPr>
            <w:r>
              <w:rPr>
                <w:rFonts w:hint="eastAsia"/>
                <w:color w:val="auto"/>
                <w:highlight w:val="none"/>
                <w:u w:val="none"/>
                <w:lang w:val="en-US"/>
              </w:rPr>
              <w:t>*</w:t>
            </w:r>
            <w:r>
              <w:rPr>
                <w:color w:val="auto"/>
                <w:highlight w:val="none"/>
                <w:u w:val="none"/>
              </w:rPr>
              <w:t>泵、压缩机、阀门、开口阀或开口管线、气体/蒸汽泄压设备、取样系统（动密封点）</w:t>
            </w:r>
          </w:p>
        </w:tc>
        <w:tc>
          <w:tcPr>
            <w:tcW w:w="863" w:type="pct"/>
            <w:vAlign w:val="center"/>
          </w:tcPr>
          <w:p w14:paraId="613FB4ED">
            <w:pPr>
              <w:pStyle w:val="510"/>
              <w:rPr>
                <w:color w:val="auto"/>
                <w:highlight w:val="none"/>
                <w:u w:val="none"/>
              </w:rPr>
            </w:pPr>
            <w:r>
              <w:rPr>
                <w:color w:val="auto"/>
                <w:highlight w:val="none"/>
                <w:u w:val="none"/>
              </w:rPr>
              <w:t>非甲烷总烃（1h平均浓度值）</w:t>
            </w:r>
          </w:p>
        </w:tc>
        <w:tc>
          <w:tcPr>
            <w:tcW w:w="717" w:type="pct"/>
            <w:vMerge w:val="restart"/>
            <w:vAlign w:val="center"/>
          </w:tcPr>
          <w:p w14:paraId="640CD9B0">
            <w:pPr>
              <w:pStyle w:val="510"/>
              <w:rPr>
                <w:color w:val="auto"/>
                <w:highlight w:val="none"/>
                <w:u w:val="none"/>
              </w:rPr>
            </w:pPr>
            <w:r>
              <w:rPr>
                <w:color w:val="auto"/>
                <w:kern w:val="0"/>
                <w:highlight w:val="none"/>
                <w:u w:val="none"/>
              </w:rPr>
              <w:t>1次/季度</w:t>
            </w:r>
          </w:p>
        </w:tc>
        <w:tc>
          <w:tcPr>
            <w:tcW w:w="2033" w:type="pct"/>
            <w:vMerge w:val="restart"/>
            <w:vAlign w:val="center"/>
          </w:tcPr>
          <w:p w14:paraId="36DA76A5">
            <w:pPr>
              <w:pStyle w:val="510"/>
              <w:rPr>
                <w:color w:val="auto"/>
                <w:kern w:val="0"/>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）表3要求，</w:t>
            </w:r>
            <w:r>
              <w:rPr>
                <w:rFonts w:hint="eastAsia"/>
                <w:color w:val="auto"/>
                <w:highlight w:val="none"/>
                <w:u w:val="none"/>
              </w:rPr>
              <w:t>泵、压缩机、阀门、开口阀或开口管线、气体</w:t>
            </w:r>
            <w:r>
              <w:rPr>
                <w:color w:val="auto"/>
                <w:highlight w:val="none"/>
                <w:u w:val="none"/>
              </w:rPr>
              <w:t>/</w:t>
            </w:r>
            <w:r>
              <w:rPr>
                <w:rFonts w:hint="eastAsia"/>
                <w:color w:val="auto"/>
                <w:highlight w:val="none"/>
                <w:u w:val="none"/>
              </w:rPr>
              <w:t>蒸汽泄压设备、取样系统每季度监测</w:t>
            </w:r>
            <w:r>
              <w:rPr>
                <w:color w:val="auto"/>
                <w:highlight w:val="none"/>
                <w:u w:val="none"/>
              </w:rPr>
              <w:t>1</w:t>
            </w:r>
            <w:r>
              <w:rPr>
                <w:rFonts w:hint="eastAsia"/>
                <w:color w:val="auto"/>
                <w:highlight w:val="none"/>
                <w:u w:val="none"/>
              </w:rPr>
              <w:t>次。</w:t>
            </w:r>
          </w:p>
        </w:tc>
      </w:tr>
      <w:tr w14:paraId="1D7B5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3E4821A7">
            <w:pPr>
              <w:pStyle w:val="510"/>
              <w:rPr>
                <w:color w:val="auto"/>
                <w:highlight w:val="none"/>
                <w:u w:val="none"/>
              </w:rPr>
            </w:pPr>
          </w:p>
        </w:tc>
        <w:tc>
          <w:tcPr>
            <w:tcW w:w="990" w:type="pct"/>
            <w:vMerge w:val="continue"/>
            <w:vAlign w:val="center"/>
          </w:tcPr>
          <w:p w14:paraId="703FD590">
            <w:pPr>
              <w:pStyle w:val="510"/>
              <w:rPr>
                <w:color w:val="auto"/>
                <w:highlight w:val="none"/>
                <w:u w:val="none"/>
              </w:rPr>
            </w:pPr>
          </w:p>
        </w:tc>
        <w:tc>
          <w:tcPr>
            <w:tcW w:w="863" w:type="pct"/>
            <w:vAlign w:val="center"/>
          </w:tcPr>
          <w:p w14:paraId="5BF0E39B">
            <w:pPr>
              <w:pStyle w:val="510"/>
              <w:rPr>
                <w:color w:val="auto"/>
                <w:highlight w:val="none"/>
                <w:u w:val="none"/>
              </w:rPr>
            </w:pPr>
            <w:r>
              <w:rPr>
                <w:color w:val="auto"/>
                <w:highlight w:val="none"/>
                <w:u w:val="none"/>
              </w:rPr>
              <w:t>非甲烷总烃（任意一次浓度值）</w:t>
            </w:r>
          </w:p>
        </w:tc>
        <w:tc>
          <w:tcPr>
            <w:tcW w:w="717" w:type="pct"/>
            <w:vMerge w:val="continue"/>
            <w:vAlign w:val="center"/>
          </w:tcPr>
          <w:p w14:paraId="43589989">
            <w:pPr>
              <w:pStyle w:val="510"/>
              <w:rPr>
                <w:color w:val="auto"/>
                <w:highlight w:val="none"/>
                <w:u w:val="none"/>
              </w:rPr>
            </w:pPr>
          </w:p>
        </w:tc>
        <w:tc>
          <w:tcPr>
            <w:tcW w:w="2033" w:type="pct"/>
            <w:vMerge w:val="continue"/>
            <w:vAlign w:val="center"/>
          </w:tcPr>
          <w:p w14:paraId="4657C157">
            <w:pPr>
              <w:pStyle w:val="510"/>
              <w:rPr>
                <w:color w:val="auto"/>
                <w:highlight w:val="none"/>
                <w:u w:val="none"/>
              </w:rPr>
            </w:pPr>
          </w:p>
        </w:tc>
      </w:tr>
      <w:tr w14:paraId="18079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593E46B7">
            <w:pPr>
              <w:pStyle w:val="510"/>
              <w:rPr>
                <w:color w:val="auto"/>
                <w:highlight w:val="none"/>
                <w:u w:val="none"/>
              </w:rPr>
            </w:pPr>
          </w:p>
        </w:tc>
        <w:tc>
          <w:tcPr>
            <w:tcW w:w="990" w:type="pct"/>
            <w:vMerge w:val="restart"/>
            <w:vAlign w:val="center"/>
          </w:tcPr>
          <w:p w14:paraId="452BCA46">
            <w:pPr>
              <w:pStyle w:val="510"/>
              <w:rPr>
                <w:color w:val="auto"/>
                <w:highlight w:val="none"/>
                <w:u w:val="none"/>
              </w:rPr>
            </w:pPr>
            <w:r>
              <w:rPr>
                <w:rFonts w:hint="eastAsia"/>
                <w:color w:val="auto"/>
                <w:highlight w:val="none"/>
                <w:u w:val="none"/>
                <w:lang w:val="en-US"/>
              </w:rPr>
              <w:t>*</w:t>
            </w:r>
            <w:r>
              <w:rPr>
                <w:color w:val="auto"/>
                <w:highlight w:val="none"/>
                <w:u w:val="none"/>
              </w:rPr>
              <w:t>法兰及其他连接件、其他密封设备（静密封点）</w:t>
            </w:r>
          </w:p>
        </w:tc>
        <w:tc>
          <w:tcPr>
            <w:tcW w:w="863" w:type="pct"/>
            <w:vAlign w:val="center"/>
          </w:tcPr>
          <w:p w14:paraId="3BFBB992">
            <w:pPr>
              <w:pStyle w:val="510"/>
              <w:rPr>
                <w:color w:val="auto"/>
                <w:highlight w:val="none"/>
                <w:u w:val="none"/>
              </w:rPr>
            </w:pPr>
            <w:r>
              <w:rPr>
                <w:color w:val="auto"/>
                <w:highlight w:val="none"/>
                <w:u w:val="none"/>
              </w:rPr>
              <w:t>非甲烷总烃（1h平均浓度值）</w:t>
            </w:r>
          </w:p>
        </w:tc>
        <w:tc>
          <w:tcPr>
            <w:tcW w:w="717" w:type="pct"/>
            <w:vMerge w:val="restart"/>
            <w:vAlign w:val="center"/>
          </w:tcPr>
          <w:p w14:paraId="430ADD39">
            <w:pPr>
              <w:pStyle w:val="510"/>
              <w:rPr>
                <w:color w:val="auto"/>
                <w:highlight w:val="none"/>
                <w:u w:val="none"/>
              </w:rPr>
            </w:pPr>
            <w:r>
              <w:rPr>
                <w:color w:val="auto"/>
                <w:kern w:val="0"/>
                <w:highlight w:val="none"/>
                <w:u w:val="none"/>
              </w:rPr>
              <w:t>1次/半年</w:t>
            </w:r>
          </w:p>
        </w:tc>
        <w:tc>
          <w:tcPr>
            <w:tcW w:w="2033" w:type="pct"/>
            <w:vMerge w:val="restart"/>
            <w:vAlign w:val="center"/>
          </w:tcPr>
          <w:p w14:paraId="247E27EC">
            <w:pPr>
              <w:pStyle w:val="510"/>
              <w:rPr>
                <w:color w:val="auto"/>
                <w:kern w:val="0"/>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）表3要求，</w:t>
            </w:r>
            <w:r>
              <w:rPr>
                <w:rFonts w:hint="eastAsia"/>
                <w:color w:val="auto"/>
                <w:highlight w:val="none"/>
                <w:u w:val="none"/>
              </w:rPr>
              <w:t>法兰及其他连接件、其他密封设备每半年监测1次。</w:t>
            </w:r>
          </w:p>
        </w:tc>
      </w:tr>
      <w:tr w14:paraId="05807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27E602C3">
            <w:pPr>
              <w:pStyle w:val="510"/>
              <w:rPr>
                <w:color w:val="auto"/>
                <w:highlight w:val="none"/>
                <w:u w:val="none"/>
              </w:rPr>
            </w:pPr>
          </w:p>
        </w:tc>
        <w:tc>
          <w:tcPr>
            <w:tcW w:w="990" w:type="pct"/>
            <w:vMerge w:val="continue"/>
            <w:vAlign w:val="center"/>
          </w:tcPr>
          <w:p w14:paraId="3E04B082">
            <w:pPr>
              <w:pStyle w:val="510"/>
              <w:rPr>
                <w:color w:val="auto"/>
                <w:highlight w:val="none"/>
                <w:u w:val="none"/>
              </w:rPr>
            </w:pPr>
          </w:p>
        </w:tc>
        <w:tc>
          <w:tcPr>
            <w:tcW w:w="863" w:type="pct"/>
            <w:vAlign w:val="center"/>
          </w:tcPr>
          <w:p w14:paraId="54F43182">
            <w:pPr>
              <w:pStyle w:val="510"/>
              <w:rPr>
                <w:color w:val="auto"/>
                <w:highlight w:val="none"/>
                <w:u w:val="none"/>
              </w:rPr>
            </w:pPr>
            <w:r>
              <w:rPr>
                <w:color w:val="auto"/>
                <w:highlight w:val="none"/>
                <w:u w:val="none"/>
              </w:rPr>
              <w:t>非甲烷总烃（任意一次浓度值）</w:t>
            </w:r>
          </w:p>
        </w:tc>
        <w:tc>
          <w:tcPr>
            <w:tcW w:w="717" w:type="pct"/>
            <w:vMerge w:val="continue"/>
            <w:vAlign w:val="center"/>
          </w:tcPr>
          <w:p w14:paraId="371C309A">
            <w:pPr>
              <w:pStyle w:val="510"/>
              <w:rPr>
                <w:color w:val="auto"/>
                <w:highlight w:val="none"/>
                <w:u w:val="none"/>
              </w:rPr>
            </w:pPr>
          </w:p>
        </w:tc>
        <w:tc>
          <w:tcPr>
            <w:tcW w:w="2033" w:type="pct"/>
            <w:vMerge w:val="continue"/>
            <w:vAlign w:val="center"/>
          </w:tcPr>
          <w:p w14:paraId="7A70BCA7">
            <w:pPr>
              <w:pStyle w:val="510"/>
              <w:rPr>
                <w:color w:val="auto"/>
                <w:highlight w:val="none"/>
                <w:u w:val="none"/>
              </w:rPr>
            </w:pPr>
          </w:p>
        </w:tc>
      </w:tr>
      <w:tr w14:paraId="197E5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vAlign w:val="center"/>
          </w:tcPr>
          <w:p w14:paraId="311D1803">
            <w:pPr>
              <w:pStyle w:val="510"/>
              <w:rPr>
                <w:color w:val="auto"/>
                <w:highlight w:val="none"/>
                <w:u w:val="none"/>
              </w:rPr>
            </w:pPr>
            <w:r>
              <w:rPr>
                <w:color w:val="auto"/>
                <w:highlight w:val="none"/>
                <w:u w:val="none"/>
              </w:rPr>
              <w:t>废水</w:t>
            </w:r>
          </w:p>
        </w:tc>
        <w:tc>
          <w:tcPr>
            <w:tcW w:w="990" w:type="pct"/>
            <w:vAlign w:val="center"/>
          </w:tcPr>
          <w:p w14:paraId="442EF545">
            <w:pPr>
              <w:pStyle w:val="510"/>
              <w:rPr>
                <w:color w:val="auto"/>
                <w:highlight w:val="none"/>
                <w:u w:val="none"/>
              </w:rPr>
            </w:pPr>
            <w:r>
              <w:rPr>
                <w:rFonts w:hint="eastAsia"/>
                <w:color w:val="auto"/>
                <w:kern w:val="0"/>
                <w:highlight w:val="none"/>
                <w:u w:val="none"/>
                <w:lang w:val="en-US"/>
              </w:rPr>
              <w:t>TDI</w:t>
            </w:r>
            <w:r>
              <w:rPr>
                <w:rFonts w:hint="eastAsia"/>
                <w:color w:val="auto"/>
                <w:kern w:val="0"/>
                <w:highlight w:val="none"/>
                <w:u w:val="none"/>
              </w:rPr>
              <w:t>一期工程</w:t>
            </w:r>
            <w:r>
              <w:rPr>
                <w:color w:val="auto"/>
                <w:kern w:val="0"/>
                <w:highlight w:val="none"/>
                <w:u w:val="none"/>
              </w:rPr>
              <w:t>出项目厂界，排入</w:t>
            </w:r>
            <w:r>
              <w:rPr>
                <w:rFonts w:hint="eastAsia"/>
                <w:color w:val="auto"/>
                <w:highlight w:val="none"/>
                <w:u w:val="none"/>
              </w:rPr>
              <w:t>万华环保科技公司</w:t>
            </w:r>
            <w:r>
              <w:rPr>
                <w:color w:val="auto"/>
                <w:highlight w:val="none"/>
                <w:u w:val="none"/>
              </w:rPr>
              <w:t>污水处理站低浓度废水处理系统</w:t>
            </w:r>
            <w:r>
              <w:rPr>
                <w:color w:val="auto"/>
                <w:kern w:val="0"/>
                <w:highlight w:val="none"/>
                <w:u w:val="none"/>
              </w:rPr>
              <w:t>前总排口</w:t>
            </w:r>
          </w:p>
        </w:tc>
        <w:tc>
          <w:tcPr>
            <w:tcW w:w="863" w:type="pct"/>
            <w:vAlign w:val="center"/>
          </w:tcPr>
          <w:p w14:paraId="58842B29">
            <w:pPr>
              <w:pStyle w:val="510"/>
              <w:rPr>
                <w:color w:val="auto"/>
                <w:highlight w:val="none"/>
                <w:u w:val="none"/>
              </w:rPr>
            </w:pPr>
            <w:r>
              <w:rPr>
                <w:color w:val="auto"/>
                <w:kern w:val="0"/>
                <w:highlight w:val="none"/>
                <w:u w:val="none"/>
              </w:rPr>
              <w:t>流量</w:t>
            </w:r>
          </w:p>
        </w:tc>
        <w:tc>
          <w:tcPr>
            <w:tcW w:w="717" w:type="pct"/>
            <w:vAlign w:val="center"/>
          </w:tcPr>
          <w:p w14:paraId="6178AE97">
            <w:pPr>
              <w:pStyle w:val="510"/>
              <w:rPr>
                <w:color w:val="auto"/>
                <w:highlight w:val="none"/>
                <w:u w:val="none"/>
              </w:rPr>
            </w:pPr>
            <w:r>
              <w:rPr>
                <w:rFonts w:hint="eastAsia"/>
                <w:color w:val="auto"/>
                <w:highlight w:val="none"/>
                <w:u w:val="none"/>
              </w:rPr>
              <w:t>企业内部进行流量在线监控</w:t>
            </w:r>
          </w:p>
        </w:tc>
        <w:tc>
          <w:tcPr>
            <w:tcW w:w="2033" w:type="pct"/>
            <w:vMerge w:val="restart"/>
            <w:vAlign w:val="center"/>
          </w:tcPr>
          <w:p w14:paraId="4D5DB932">
            <w:pPr>
              <w:pStyle w:val="510"/>
              <w:rPr>
                <w:rFonts w:hint="eastAsia"/>
                <w:color w:val="auto"/>
                <w:highlight w:val="none"/>
                <w:u w:val="none"/>
              </w:rPr>
            </w:pPr>
            <w:r>
              <w:rPr>
                <w:rFonts w:hint="eastAsia"/>
                <w:color w:val="auto"/>
                <w:highlight w:val="none"/>
                <w:u w:val="none"/>
              </w:rPr>
              <w:t>根据万华福建公司与万华环保科技公司签署的废水委托处理协议（附件</w:t>
            </w:r>
            <w:r>
              <w:rPr>
                <w:color w:val="auto"/>
                <w:highlight w:val="none"/>
                <w:u w:val="none"/>
              </w:rPr>
              <w:t>2</w:t>
            </w:r>
            <w:r>
              <w:rPr>
                <w:rFonts w:hint="eastAsia"/>
                <w:color w:val="auto"/>
                <w:highlight w:val="none"/>
                <w:u w:val="none"/>
                <w:lang w:val="en-US" w:eastAsia="zh-CN"/>
              </w:rPr>
              <w:t>2</w:t>
            </w:r>
            <w:r>
              <w:rPr>
                <w:rFonts w:hint="eastAsia"/>
                <w:color w:val="auto"/>
                <w:highlight w:val="none"/>
                <w:u w:val="none"/>
              </w:rPr>
              <w:t>），万华福建公司废水接入万华环保科技公司废水处理设施前设置在线流量监控，对废水水量进行监控，对废水水质则无接纳要求。同时，由万华环保科技公司全权负责进入厂内废水的处理及环境管理，并对废水在厂区内出现的风险和事故承担责任。万华环保科技公司确保接纳的废水经其废水处理设施处理后达标排放。</w:t>
            </w:r>
          </w:p>
        </w:tc>
      </w:tr>
      <w:tr w14:paraId="75C03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312342E2">
            <w:pPr>
              <w:pStyle w:val="510"/>
              <w:rPr>
                <w:color w:val="auto"/>
                <w:highlight w:val="none"/>
                <w:u w:val="none"/>
              </w:rPr>
            </w:pPr>
          </w:p>
        </w:tc>
        <w:tc>
          <w:tcPr>
            <w:tcW w:w="990" w:type="pct"/>
            <w:vAlign w:val="center"/>
          </w:tcPr>
          <w:p w14:paraId="30C9AE0C">
            <w:pPr>
              <w:pStyle w:val="510"/>
              <w:rPr>
                <w:color w:val="auto"/>
                <w:highlight w:val="none"/>
                <w:u w:val="none"/>
              </w:rPr>
            </w:pPr>
            <w:r>
              <w:rPr>
                <w:rFonts w:hint="eastAsia"/>
                <w:color w:val="auto"/>
                <w:kern w:val="0"/>
                <w:highlight w:val="none"/>
                <w:u w:val="none"/>
                <w:lang w:val="en-US"/>
              </w:rPr>
              <w:t>TDI</w:t>
            </w:r>
            <w:r>
              <w:rPr>
                <w:rFonts w:hint="eastAsia"/>
                <w:color w:val="auto"/>
                <w:kern w:val="0"/>
                <w:highlight w:val="none"/>
                <w:u w:val="none"/>
              </w:rPr>
              <w:t>一期工程</w:t>
            </w:r>
            <w:r>
              <w:rPr>
                <w:color w:val="auto"/>
                <w:kern w:val="0"/>
                <w:highlight w:val="none"/>
                <w:u w:val="none"/>
              </w:rPr>
              <w:t>出项目厂界，排入</w:t>
            </w:r>
            <w:r>
              <w:rPr>
                <w:rFonts w:hint="eastAsia"/>
                <w:color w:val="auto"/>
                <w:highlight w:val="none"/>
                <w:u w:val="none"/>
              </w:rPr>
              <w:t>万华环保科技公司</w:t>
            </w:r>
            <w:r>
              <w:rPr>
                <w:color w:val="auto"/>
                <w:highlight w:val="none"/>
                <w:u w:val="none"/>
              </w:rPr>
              <w:t>污水处理站综合废水处理系统</w:t>
            </w:r>
            <w:r>
              <w:rPr>
                <w:color w:val="auto"/>
                <w:kern w:val="0"/>
                <w:highlight w:val="none"/>
                <w:u w:val="none"/>
              </w:rPr>
              <w:t>前总排口</w:t>
            </w:r>
          </w:p>
        </w:tc>
        <w:tc>
          <w:tcPr>
            <w:tcW w:w="863" w:type="pct"/>
            <w:vAlign w:val="center"/>
          </w:tcPr>
          <w:p w14:paraId="4426C2F3">
            <w:pPr>
              <w:pStyle w:val="510"/>
              <w:rPr>
                <w:color w:val="auto"/>
                <w:highlight w:val="none"/>
                <w:u w:val="none"/>
              </w:rPr>
            </w:pPr>
            <w:r>
              <w:rPr>
                <w:color w:val="auto"/>
                <w:kern w:val="0"/>
                <w:highlight w:val="none"/>
                <w:u w:val="none"/>
              </w:rPr>
              <w:t>流量</w:t>
            </w:r>
          </w:p>
        </w:tc>
        <w:tc>
          <w:tcPr>
            <w:tcW w:w="717" w:type="pct"/>
            <w:vAlign w:val="center"/>
          </w:tcPr>
          <w:p w14:paraId="1E11ADC9">
            <w:pPr>
              <w:pStyle w:val="510"/>
              <w:rPr>
                <w:color w:val="auto"/>
                <w:highlight w:val="none"/>
                <w:u w:val="none"/>
              </w:rPr>
            </w:pPr>
            <w:r>
              <w:rPr>
                <w:rFonts w:hint="eastAsia"/>
                <w:color w:val="auto"/>
                <w:highlight w:val="none"/>
                <w:u w:val="none"/>
              </w:rPr>
              <w:t>企业内部进行流量在线监控</w:t>
            </w:r>
          </w:p>
        </w:tc>
        <w:tc>
          <w:tcPr>
            <w:tcW w:w="2033" w:type="pct"/>
            <w:vMerge w:val="continue"/>
            <w:vAlign w:val="center"/>
          </w:tcPr>
          <w:p w14:paraId="2167E2C2">
            <w:pPr>
              <w:pStyle w:val="510"/>
              <w:rPr>
                <w:rFonts w:hint="eastAsia"/>
                <w:color w:val="auto"/>
                <w:highlight w:val="none"/>
                <w:u w:val="none"/>
              </w:rPr>
            </w:pPr>
          </w:p>
        </w:tc>
      </w:tr>
      <w:tr w14:paraId="08820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118ACC44">
            <w:pPr>
              <w:pStyle w:val="510"/>
              <w:rPr>
                <w:color w:val="auto"/>
                <w:highlight w:val="none"/>
                <w:u w:val="none"/>
              </w:rPr>
            </w:pPr>
          </w:p>
        </w:tc>
        <w:tc>
          <w:tcPr>
            <w:tcW w:w="990" w:type="pct"/>
            <w:vAlign w:val="center"/>
          </w:tcPr>
          <w:p w14:paraId="14CB15FC">
            <w:pPr>
              <w:pStyle w:val="510"/>
              <w:rPr>
                <w:color w:val="auto"/>
                <w:highlight w:val="none"/>
                <w:u w:val="none"/>
              </w:rPr>
            </w:pPr>
            <w:r>
              <w:rPr>
                <w:color w:val="auto"/>
                <w:highlight w:val="none"/>
                <w:u w:val="none"/>
              </w:rPr>
              <w:t>雨水外排口</w:t>
            </w:r>
          </w:p>
        </w:tc>
        <w:tc>
          <w:tcPr>
            <w:tcW w:w="863" w:type="pct"/>
            <w:vAlign w:val="center"/>
          </w:tcPr>
          <w:p w14:paraId="4E1730C0">
            <w:pPr>
              <w:pStyle w:val="510"/>
              <w:ind w:firstLine="0" w:firstLineChars="0"/>
              <w:rPr>
                <w:rFonts w:hint="eastAsia" w:eastAsia="宋体"/>
                <w:color w:val="auto"/>
                <w:kern w:val="0"/>
                <w:highlight w:val="none"/>
                <w:u w:val="none"/>
                <w:lang w:eastAsia="zh-CN"/>
              </w:rPr>
            </w:pPr>
            <w:r>
              <w:rPr>
                <w:color w:val="auto"/>
                <w:kern w:val="0"/>
                <w:highlight w:val="none"/>
                <w:u w:val="none"/>
              </w:rPr>
              <w:t>pH</w:t>
            </w:r>
            <w:r>
              <w:rPr>
                <w:rFonts w:hint="eastAsia"/>
                <w:color w:val="auto"/>
                <w:kern w:val="0"/>
                <w:highlight w:val="none"/>
                <w:u w:val="none"/>
              </w:rPr>
              <w:t>、</w:t>
            </w:r>
            <w:r>
              <w:rPr>
                <w:color w:val="auto"/>
                <w:kern w:val="0"/>
                <w:highlight w:val="none"/>
                <w:u w:val="none"/>
              </w:rPr>
              <w:t>COD</w:t>
            </w:r>
            <w:r>
              <w:rPr>
                <w:rFonts w:hint="eastAsia"/>
                <w:color w:val="auto"/>
                <w:kern w:val="0"/>
                <w:highlight w:val="none"/>
                <w:u w:val="none"/>
              </w:rPr>
              <w:t>、氨氮、石油类、</w:t>
            </w:r>
            <w:r>
              <w:rPr>
                <w:color w:val="auto"/>
                <w:kern w:val="0"/>
                <w:highlight w:val="none"/>
                <w:u w:val="none"/>
              </w:rPr>
              <w:t>SS</w:t>
            </w:r>
            <w:r>
              <w:rPr>
                <w:rFonts w:hint="eastAsia"/>
                <w:color w:val="auto"/>
                <w:kern w:val="0"/>
                <w:highlight w:val="none"/>
                <w:u w:val="none"/>
              </w:rPr>
              <w:t>、</w:t>
            </w:r>
            <w:r>
              <w:rPr>
                <w:color w:val="auto"/>
                <w:kern w:val="0"/>
                <w:highlight w:val="none"/>
                <w:u w:val="none"/>
              </w:rPr>
              <w:t>TP</w:t>
            </w:r>
            <w:r>
              <w:rPr>
                <w:rFonts w:hint="eastAsia"/>
                <w:color w:val="auto"/>
                <w:kern w:val="0"/>
                <w:highlight w:val="none"/>
                <w:u w:val="none"/>
              </w:rPr>
              <w:t>、</w:t>
            </w:r>
            <w:r>
              <w:rPr>
                <w:color w:val="auto"/>
                <w:kern w:val="0"/>
                <w:highlight w:val="none"/>
                <w:u w:val="none"/>
              </w:rPr>
              <w:t>TN</w:t>
            </w:r>
            <w:r>
              <w:rPr>
                <w:rFonts w:hint="eastAsia"/>
                <w:color w:val="auto"/>
                <w:kern w:val="0"/>
                <w:highlight w:val="none"/>
                <w:u w:val="none"/>
                <w:lang w:eastAsia="zh-CN"/>
              </w:rPr>
              <w:t>、</w:t>
            </w:r>
            <w:r>
              <w:rPr>
                <w:rFonts w:hint="eastAsia"/>
                <w:color w:val="auto"/>
                <w:kern w:val="0"/>
                <w:highlight w:val="none"/>
                <w:u w:val="none"/>
              </w:rPr>
              <w:t>苯胺类、邻二氯苯</w:t>
            </w:r>
          </w:p>
        </w:tc>
        <w:tc>
          <w:tcPr>
            <w:tcW w:w="717" w:type="pct"/>
            <w:vAlign w:val="center"/>
          </w:tcPr>
          <w:p w14:paraId="6AB6052C">
            <w:pPr>
              <w:pStyle w:val="510"/>
              <w:ind w:firstLine="0" w:firstLineChars="0"/>
              <w:rPr>
                <w:color w:val="auto"/>
                <w:kern w:val="0"/>
                <w:highlight w:val="none"/>
                <w:u w:val="none"/>
              </w:rPr>
            </w:pPr>
            <w:r>
              <w:rPr>
                <w:color w:val="auto"/>
                <w:kern w:val="0"/>
                <w:highlight w:val="none"/>
                <w:u w:val="none"/>
              </w:rPr>
              <w:t>pH</w:t>
            </w:r>
            <w:r>
              <w:rPr>
                <w:rFonts w:hint="eastAsia"/>
                <w:color w:val="auto"/>
                <w:kern w:val="0"/>
                <w:highlight w:val="none"/>
                <w:u w:val="none"/>
              </w:rPr>
              <w:t>、</w:t>
            </w:r>
            <w:r>
              <w:rPr>
                <w:color w:val="auto"/>
                <w:kern w:val="0"/>
                <w:highlight w:val="none"/>
                <w:u w:val="none"/>
              </w:rPr>
              <w:t>COD</w:t>
            </w:r>
            <w:r>
              <w:rPr>
                <w:rFonts w:hint="eastAsia"/>
                <w:color w:val="auto"/>
                <w:kern w:val="0"/>
                <w:highlight w:val="none"/>
                <w:u w:val="none"/>
              </w:rPr>
              <w:t>、氨氮、</w:t>
            </w:r>
            <w:r>
              <w:rPr>
                <w:color w:val="auto"/>
                <w:kern w:val="0"/>
                <w:highlight w:val="none"/>
                <w:u w:val="none"/>
              </w:rPr>
              <w:t>TP</w:t>
            </w:r>
            <w:r>
              <w:rPr>
                <w:rFonts w:hint="eastAsia"/>
                <w:color w:val="auto"/>
                <w:kern w:val="0"/>
                <w:highlight w:val="none"/>
                <w:u w:val="none"/>
              </w:rPr>
              <w:t>、</w:t>
            </w:r>
            <w:r>
              <w:rPr>
                <w:color w:val="auto"/>
                <w:kern w:val="0"/>
                <w:highlight w:val="none"/>
                <w:u w:val="none"/>
              </w:rPr>
              <w:t>TN</w:t>
            </w:r>
            <w:r>
              <w:rPr>
                <w:rFonts w:hint="eastAsia"/>
                <w:color w:val="auto"/>
                <w:kern w:val="0"/>
                <w:highlight w:val="none"/>
                <w:u w:val="none"/>
              </w:rPr>
              <w:t>企业内部进行在线监控；石油类、</w:t>
            </w:r>
            <w:r>
              <w:rPr>
                <w:color w:val="auto"/>
                <w:kern w:val="0"/>
                <w:highlight w:val="none"/>
                <w:u w:val="none"/>
              </w:rPr>
              <w:t>SS</w:t>
            </w:r>
            <w:r>
              <w:rPr>
                <w:rFonts w:hint="eastAsia"/>
                <w:color w:val="auto"/>
                <w:kern w:val="0"/>
                <w:highlight w:val="none"/>
                <w:u w:val="none"/>
                <w:lang w:eastAsia="zh-CN"/>
              </w:rPr>
              <w:t>、</w:t>
            </w:r>
            <w:r>
              <w:rPr>
                <w:rFonts w:hint="eastAsia"/>
                <w:color w:val="auto"/>
                <w:kern w:val="0"/>
                <w:highlight w:val="none"/>
                <w:u w:val="none"/>
              </w:rPr>
              <w:t>苯胺类、邻二氯苯</w:t>
            </w:r>
            <w:r>
              <w:rPr>
                <w:color w:val="auto"/>
                <w:highlight w:val="none"/>
                <w:u w:val="none"/>
              </w:rPr>
              <w:t>排放期间按日监测</w:t>
            </w:r>
          </w:p>
        </w:tc>
        <w:tc>
          <w:tcPr>
            <w:tcW w:w="2033" w:type="pct"/>
            <w:vAlign w:val="center"/>
          </w:tcPr>
          <w:p w14:paraId="2C35E1B6">
            <w:pPr>
              <w:pStyle w:val="510"/>
              <w:ind w:firstLine="0" w:firstLineChars="0"/>
              <w:jc w:val="both"/>
              <w:rPr>
                <w:color w:val="auto"/>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），雨水排放口</w:t>
            </w:r>
            <w:r>
              <w:rPr>
                <w:color w:val="auto"/>
                <w:kern w:val="0"/>
                <w:highlight w:val="none"/>
                <w:u w:val="none"/>
              </w:rPr>
              <w:t>pH</w:t>
            </w:r>
            <w:r>
              <w:rPr>
                <w:rFonts w:hint="eastAsia"/>
                <w:color w:val="auto"/>
                <w:kern w:val="0"/>
                <w:highlight w:val="none"/>
                <w:u w:val="none"/>
              </w:rPr>
              <w:t>、</w:t>
            </w:r>
            <w:r>
              <w:rPr>
                <w:color w:val="auto"/>
                <w:kern w:val="0"/>
                <w:highlight w:val="none"/>
                <w:u w:val="none"/>
              </w:rPr>
              <w:t>COD</w:t>
            </w:r>
            <w:r>
              <w:rPr>
                <w:rFonts w:hint="eastAsia"/>
                <w:color w:val="auto"/>
                <w:kern w:val="0"/>
                <w:highlight w:val="none"/>
                <w:u w:val="none"/>
              </w:rPr>
              <w:t>、氨氮、石油类、</w:t>
            </w:r>
            <w:r>
              <w:rPr>
                <w:color w:val="auto"/>
                <w:kern w:val="0"/>
                <w:highlight w:val="none"/>
                <w:u w:val="none"/>
              </w:rPr>
              <w:t>SS</w:t>
            </w:r>
            <w:r>
              <w:rPr>
                <w:rFonts w:hint="eastAsia"/>
                <w:color w:val="auto"/>
                <w:highlight w:val="none"/>
                <w:u w:val="none"/>
                <w:lang w:val="en-US"/>
              </w:rPr>
              <w:t>在</w:t>
            </w:r>
            <w:r>
              <w:rPr>
                <w:rFonts w:hint="eastAsia"/>
                <w:color w:val="auto"/>
                <w:highlight w:val="none"/>
                <w:u w:val="none"/>
              </w:rPr>
              <w:t>排放期间按日监测，其他特征污染物参照该频次执行。目前企业雨水外排口前的雨水监测池有安装在线监测，在线监测指标有</w:t>
            </w:r>
            <w:r>
              <w:rPr>
                <w:color w:val="auto"/>
                <w:kern w:val="0"/>
                <w:highlight w:val="none"/>
                <w:u w:val="none"/>
              </w:rPr>
              <w:t>pH</w:t>
            </w:r>
            <w:r>
              <w:rPr>
                <w:rFonts w:hint="eastAsia"/>
                <w:color w:val="auto"/>
                <w:kern w:val="0"/>
                <w:highlight w:val="none"/>
                <w:u w:val="none"/>
              </w:rPr>
              <w:t>、</w:t>
            </w:r>
            <w:r>
              <w:rPr>
                <w:color w:val="auto"/>
                <w:kern w:val="0"/>
                <w:highlight w:val="none"/>
                <w:u w:val="none"/>
              </w:rPr>
              <w:t>COD</w:t>
            </w:r>
            <w:r>
              <w:rPr>
                <w:rFonts w:hint="eastAsia"/>
                <w:color w:val="auto"/>
                <w:kern w:val="0"/>
                <w:highlight w:val="none"/>
                <w:u w:val="none"/>
              </w:rPr>
              <w:t>、氨氮、TP、TN。</w:t>
            </w:r>
          </w:p>
        </w:tc>
      </w:tr>
      <w:tr w14:paraId="1AC4A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Align w:val="center"/>
          </w:tcPr>
          <w:p w14:paraId="3CB6C6A1">
            <w:pPr>
              <w:pStyle w:val="510"/>
              <w:rPr>
                <w:color w:val="auto"/>
                <w:highlight w:val="none"/>
                <w:u w:val="none"/>
              </w:rPr>
            </w:pPr>
            <w:r>
              <w:rPr>
                <w:color w:val="auto"/>
                <w:highlight w:val="none"/>
                <w:u w:val="none"/>
              </w:rPr>
              <w:t>噪声排放</w:t>
            </w:r>
          </w:p>
        </w:tc>
        <w:tc>
          <w:tcPr>
            <w:tcW w:w="990" w:type="pct"/>
            <w:vAlign w:val="center"/>
          </w:tcPr>
          <w:p w14:paraId="4AEEF55D">
            <w:pPr>
              <w:pStyle w:val="510"/>
              <w:rPr>
                <w:color w:val="auto"/>
                <w:highlight w:val="none"/>
                <w:u w:val="none"/>
              </w:rPr>
            </w:pPr>
            <w:r>
              <w:rPr>
                <w:rFonts w:hint="eastAsia"/>
                <w:color w:val="auto"/>
                <w:highlight w:val="none"/>
                <w:u w:val="none"/>
                <w:lang w:val="en-US"/>
              </w:rPr>
              <w:t>万华化学</w:t>
            </w:r>
            <w:r>
              <w:rPr>
                <w:color w:val="auto"/>
                <w:highlight w:val="none"/>
                <w:u w:val="none"/>
              </w:rPr>
              <w:t>厂界外1米</w:t>
            </w:r>
          </w:p>
          <w:p w14:paraId="4C47D9AF">
            <w:pPr>
              <w:pStyle w:val="510"/>
              <w:rPr>
                <w:color w:val="auto"/>
                <w:highlight w:val="none"/>
                <w:u w:val="none"/>
              </w:rPr>
            </w:pPr>
            <w:r>
              <w:rPr>
                <w:color w:val="auto"/>
                <w:highlight w:val="none"/>
                <w:u w:val="none"/>
              </w:rPr>
              <w:t>（若干点）</w:t>
            </w:r>
          </w:p>
        </w:tc>
        <w:tc>
          <w:tcPr>
            <w:tcW w:w="863" w:type="pct"/>
            <w:vAlign w:val="center"/>
          </w:tcPr>
          <w:p w14:paraId="7B76F3CD">
            <w:pPr>
              <w:pStyle w:val="510"/>
              <w:rPr>
                <w:color w:val="auto"/>
                <w:highlight w:val="none"/>
                <w:u w:val="none"/>
              </w:rPr>
            </w:pPr>
            <w:r>
              <w:rPr>
                <w:color w:val="auto"/>
                <w:highlight w:val="none"/>
                <w:u w:val="none"/>
              </w:rPr>
              <w:t>等效连续A声级</w:t>
            </w:r>
          </w:p>
        </w:tc>
        <w:tc>
          <w:tcPr>
            <w:tcW w:w="717" w:type="pct"/>
            <w:vAlign w:val="center"/>
          </w:tcPr>
          <w:p w14:paraId="1D73E886">
            <w:pPr>
              <w:pStyle w:val="510"/>
              <w:rPr>
                <w:color w:val="auto"/>
                <w:highlight w:val="none"/>
                <w:u w:val="none"/>
              </w:rPr>
            </w:pPr>
            <w:r>
              <w:rPr>
                <w:color w:val="auto"/>
                <w:highlight w:val="none"/>
                <w:u w:val="none"/>
              </w:rPr>
              <w:t>1次/季</w:t>
            </w:r>
          </w:p>
        </w:tc>
        <w:tc>
          <w:tcPr>
            <w:tcW w:w="2033" w:type="pct"/>
            <w:vAlign w:val="center"/>
          </w:tcPr>
          <w:p w14:paraId="14A4CA75">
            <w:pPr>
              <w:pStyle w:val="510"/>
              <w:ind w:firstLine="0" w:firstLineChars="0"/>
              <w:jc w:val="both"/>
              <w:rPr>
                <w:color w:val="auto"/>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），厂界环境噪声每季度至少开展一次昼夜监测。</w:t>
            </w:r>
          </w:p>
        </w:tc>
      </w:tr>
      <w:tr w14:paraId="4953D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5" w:hRule="atLeast"/>
          <w:jc w:val="center"/>
        </w:trPr>
        <w:tc>
          <w:tcPr>
            <w:tcW w:w="396" w:type="pct"/>
            <w:vAlign w:val="center"/>
          </w:tcPr>
          <w:p w14:paraId="21C5F43C">
            <w:pPr>
              <w:pStyle w:val="510"/>
              <w:rPr>
                <w:color w:val="auto"/>
                <w:highlight w:val="none"/>
                <w:u w:val="none"/>
              </w:rPr>
            </w:pPr>
            <w:r>
              <w:rPr>
                <w:color w:val="auto"/>
                <w:highlight w:val="none"/>
                <w:u w:val="none"/>
              </w:rPr>
              <w:t>土壤</w:t>
            </w:r>
          </w:p>
        </w:tc>
        <w:tc>
          <w:tcPr>
            <w:tcW w:w="990" w:type="pct"/>
            <w:vAlign w:val="center"/>
          </w:tcPr>
          <w:p w14:paraId="4237671C">
            <w:pPr>
              <w:pStyle w:val="510"/>
              <w:rPr>
                <w:color w:val="auto"/>
                <w:highlight w:val="none"/>
                <w:u w:val="none"/>
              </w:rPr>
            </w:pPr>
            <w:r>
              <w:rPr>
                <w:color w:val="auto"/>
                <w:highlight w:val="none"/>
                <w:u w:val="none"/>
              </w:rPr>
              <w:t>土壤监测（监测点位见土壤影响评价章节）</w:t>
            </w:r>
          </w:p>
        </w:tc>
        <w:tc>
          <w:tcPr>
            <w:tcW w:w="863" w:type="pct"/>
            <w:vAlign w:val="center"/>
          </w:tcPr>
          <w:p w14:paraId="627B6853">
            <w:pPr>
              <w:pStyle w:val="1001"/>
              <w:rPr>
                <w:color w:val="auto"/>
                <w:highlight w:val="none"/>
                <w:u w:val="none"/>
              </w:rPr>
            </w:pPr>
            <w:r>
              <w:rPr>
                <w:rFonts w:hint="eastAsia"/>
                <w:color w:val="auto"/>
                <w:highlight w:val="none"/>
                <w:u w:val="none"/>
              </w:rPr>
              <w:t>首次监测：G</w:t>
            </w:r>
            <w:r>
              <w:rPr>
                <w:color w:val="auto"/>
                <w:highlight w:val="none"/>
                <w:u w:val="none"/>
              </w:rPr>
              <w:t>B36600 表</w:t>
            </w:r>
            <w:r>
              <w:rPr>
                <w:rFonts w:hint="eastAsia"/>
                <w:color w:val="auto"/>
                <w:highlight w:val="none"/>
                <w:u w:val="none"/>
              </w:rPr>
              <w:t>1基本项目</w:t>
            </w:r>
            <w:r>
              <w:rPr>
                <w:color w:val="auto"/>
                <w:highlight w:val="none"/>
                <w:u w:val="none"/>
              </w:rPr>
              <w:t>、2,4-二硝基甲苯、石油烃</w:t>
            </w:r>
            <w:r>
              <w:rPr>
                <w:rFonts w:hint="eastAsia"/>
                <w:color w:val="auto"/>
                <w:highlight w:val="none"/>
                <w:u w:val="none"/>
              </w:rPr>
              <w:t>；</w:t>
            </w:r>
          </w:p>
          <w:p w14:paraId="335E191C">
            <w:pPr>
              <w:pStyle w:val="510"/>
              <w:rPr>
                <w:color w:val="auto"/>
                <w:highlight w:val="none"/>
                <w:u w:val="none"/>
              </w:rPr>
            </w:pPr>
            <w:r>
              <w:rPr>
                <w:rFonts w:hint="eastAsia"/>
                <w:color w:val="auto"/>
                <w:highlight w:val="none"/>
                <w:u w:val="none"/>
              </w:rPr>
              <w:t>后续监测：硝基苯、苯胺、甲苯、邻二氯苯、</w:t>
            </w:r>
            <w:r>
              <w:rPr>
                <w:color w:val="auto"/>
                <w:highlight w:val="none"/>
                <w:u w:val="none"/>
              </w:rPr>
              <w:t>2,4-二硝基甲苯、石油烃。</w:t>
            </w:r>
            <w:r>
              <w:rPr>
                <w:rFonts w:hint="eastAsia"/>
                <w:color w:val="auto"/>
                <w:highlight w:val="none"/>
                <w:u w:val="none"/>
              </w:rPr>
              <w:t>前期监测中曾超标的污染物。</w:t>
            </w:r>
          </w:p>
        </w:tc>
        <w:tc>
          <w:tcPr>
            <w:tcW w:w="717" w:type="pct"/>
            <w:vAlign w:val="center"/>
          </w:tcPr>
          <w:p w14:paraId="3BF622A9">
            <w:pPr>
              <w:pStyle w:val="510"/>
              <w:rPr>
                <w:color w:val="auto"/>
                <w:highlight w:val="none"/>
                <w:u w:val="none"/>
              </w:rPr>
            </w:pPr>
            <w:r>
              <w:rPr>
                <w:rFonts w:hint="eastAsia"/>
                <w:color w:val="auto"/>
                <w:highlight w:val="none"/>
                <w:u w:val="none"/>
              </w:rPr>
              <w:t>表层土壤（0</w:t>
            </w:r>
            <w:r>
              <w:rPr>
                <w:color w:val="auto"/>
                <w:highlight w:val="none"/>
                <w:u w:val="none"/>
              </w:rPr>
              <w:t>~0.5m</w:t>
            </w:r>
            <w:r>
              <w:rPr>
                <w:rFonts w:hint="eastAsia"/>
                <w:color w:val="auto"/>
                <w:highlight w:val="none"/>
                <w:u w:val="none"/>
              </w:rPr>
              <w:t>）每年检测1</w:t>
            </w:r>
            <w:r>
              <w:rPr>
                <w:color w:val="auto"/>
                <w:highlight w:val="none"/>
                <w:u w:val="none"/>
              </w:rPr>
              <w:t>次；深层土壤每三年监测</w:t>
            </w:r>
            <w:r>
              <w:rPr>
                <w:rFonts w:hint="eastAsia"/>
                <w:color w:val="auto"/>
                <w:highlight w:val="none"/>
                <w:u w:val="none"/>
              </w:rPr>
              <w:t>1</w:t>
            </w:r>
            <w:r>
              <w:rPr>
                <w:color w:val="auto"/>
                <w:highlight w:val="none"/>
                <w:u w:val="none"/>
              </w:rPr>
              <w:t>次</w:t>
            </w:r>
            <w:r>
              <w:rPr>
                <w:rFonts w:hint="eastAsia"/>
                <w:color w:val="auto"/>
                <w:highlight w:val="none"/>
                <w:u w:val="none"/>
              </w:rPr>
              <w:t>。当发生事故时，应加密监测。</w:t>
            </w:r>
          </w:p>
        </w:tc>
        <w:tc>
          <w:tcPr>
            <w:tcW w:w="2033" w:type="pct"/>
            <w:vAlign w:val="center"/>
          </w:tcPr>
          <w:p w14:paraId="71875B84">
            <w:pPr>
              <w:pStyle w:val="510"/>
              <w:ind w:firstLine="0" w:firstLineChars="0"/>
              <w:jc w:val="both"/>
              <w:rPr>
                <w:rFonts w:hint="eastAsia"/>
                <w:color w:val="auto"/>
                <w:highlight w:val="none"/>
                <w:u w:val="none"/>
              </w:rPr>
            </w:pPr>
            <w:r>
              <w:rPr>
                <w:rFonts w:hint="eastAsia"/>
                <w:color w:val="auto"/>
                <w:highlight w:val="none"/>
                <w:u w:val="none"/>
              </w:rPr>
              <w:t>根据《工业企业土壤和地下水自行监测技术指南（试行）》（</w:t>
            </w:r>
            <w:r>
              <w:rPr>
                <w:color w:val="auto"/>
                <w:highlight w:val="none"/>
                <w:u w:val="none"/>
              </w:rPr>
              <w:t>HJ1209-2021</w:t>
            </w:r>
            <w:r>
              <w:rPr>
                <w:rFonts w:hint="eastAsia"/>
                <w:color w:val="auto"/>
                <w:highlight w:val="none"/>
                <w:u w:val="none"/>
              </w:rPr>
              <w:t>），表层土壤每年监测</w:t>
            </w:r>
            <w:r>
              <w:rPr>
                <w:color w:val="auto"/>
                <w:highlight w:val="none"/>
                <w:u w:val="none"/>
              </w:rPr>
              <w:t>1</w:t>
            </w:r>
            <w:r>
              <w:rPr>
                <w:rFonts w:hint="eastAsia"/>
                <w:color w:val="auto"/>
                <w:highlight w:val="none"/>
                <w:u w:val="none"/>
              </w:rPr>
              <w:t>次，深层土壤每</w:t>
            </w:r>
            <w:r>
              <w:rPr>
                <w:color w:val="auto"/>
                <w:highlight w:val="none"/>
                <w:u w:val="none"/>
              </w:rPr>
              <w:t>3</w:t>
            </w:r>
            <w:r>
              <w:rPr>
                <w:rFonts w:hint="eastAsia"/>
                <w:color w:val="auto"/>
                <w:highlight w:val="none"/>
                <w:u w:val="none"/>
              </w:rPr>
              <w:t>年监测</w:t>
            </w:r>
            <w:r>
              <w:rPr>
                <w:color w:val="auto"/>
                <w:highlight w:val="none"/>
                <w:u w:val="none"/>
              </w:rPr>
              <w:t>1</w:t>
            </w:r>
            <w:r>
              <w:rPr>
                <w:rFonts w:hint="eastAsia"/>
                <w:color w:val="auto"/>
                <w:highlight w:val="none"/>
                <w:u w:val="none"/>
              </w:rPr>
              <w:t>次。（1）初次监测时，原则上所有土壤监测点的监测指标至少应包括</w:t>
            </w:r>
            <w:r>
              <w:rPr>
                <w:color w:val="auto"/>
                <w:highlight w:val="none"/>
                <w:u w:val="none"/>
              </w:rPr>
              <w:t>GB 36600表1基本项目</w:t>
            </w:r>
            <w:r>
              <w:rPr>
                <w:rFonts w:hint="eastAsia"/>
                <w:color w:val="auto"/>
                <w:highlight w:val="none"/>
                <w:u w:val="none"/>
              </w:rPr>
              <w:t>，企业内任何重点单元涉及上述范围外的关注污染物，应根据其土壤污染特性，将其纳入企业内所有土壤监测点的初次监测指标。（2）后续监测按照重点单元确定监测指标，每个重点单元对应的监测指标至少应包括：①该重点单元对应的任一土壤监测点在前期监测中曾超标的污染物；②该重点单元涉及的所有关注污染物。</w:t>
            </w:r>
          </w:p>
        </w:tc>
      </w:tr>
      <w:tr w14:paraId="25747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Align w:val="center"/>
          </w:tcPr>
          <w:p w14:paraId="4ABDC8D3">
            <w:pPr>
              <w:pStyle w:val="510"/>
              <w:rPr>
                <w:color w:val="auto"/>
                <w:highlight w:val="none"/>
                <w:u w:val="none"/>
              </w:rPr>
            </w:pPr>
            <w:r>
              <w:rPr>
                <w:color w:val="auto"/>
                <w:highlight w:val="none"/>
                <w:u w:val="none"/>
              </w:rPr>
              <w:t>地下水</w:t>
            </w:r>
          </w:p>
        </w:tc>
        <w:tc>
          <w:tcPr>
            <w:tcW w:w="990" w:type="pct"/>
            <w:vAlign w:val="center"/>
          </w:tcPr>
          <w:p w14:paraId="6DCE1D31">
            <w:pPr>
              <w:pStyle w:val="510"/>
              <w:rPr>
                <w:color w:val="auto"/>
                <w:highlight w:val="none"/>
                <w:u w:val="none"/>
              </w:rPr>
            </w:pPr>
            <w:r>
              <w:rPr>
                <w:color w:val="auto"/>
                <w:highlight w:val="none"/>
                <w:u w:val="none"/>
              </w:rPr>
              <w:t>地下水监测（监测点位见地下水影响评价章节）</w:t>
            </w:r>
          </w:p>
        </w:tc>
        <w:tc>
          <w:tcPr>
            <w:tcW w:w="863" w:type="pct"/>
            <w:vAlign w:val="center"/>
          </w:tcPr>
          <w:p w14:paraId="1742D923">
            <w:pPr>
              <w:pStyle w:val="510"/>
              <w:rPr>
                <w:color w:val="auto"/>
                <w:highlight w:val="none"/>
                <w:u w:val="none"/>
              </w:rPr>
            </w:pPr>
            <w:r>
              <w:rPr>
                <w:rFonts w:hint="eastAsia"/>
                <w:color w:val="auto"/>
                <w:highlight w:val="none"/>
                <w:u w:val="none"/>
              </w:rPr>
              <w:t>首次监测：GB/T14848-2017表1指标（除去放射性指标）、邻二氯苯、2,4-二硝基甲苯、2,6-二硝基甲苯、甲苯；</w:t>
            </w:r>
          </w:p>
          <w:p w14:paraId="7A90E2C3">
            <w:pPr>
              <w:pStyle w:val="510"/>
              <w:rPr>
                <w:color w:val="auto"/>
                <w:highlight w:val="none"/>
                <w:u w:val="none"/>
              </w:rPr>
            </w:pPr>
            <w:r>
              <w:rPr>
                <w:rFonts w:hint="eastAsia"/>
                <w:color w:val="auto"/>
                <w:highlight w:val="none"/>
                <w:u w:val="none"/>
              </w:rPr>
              <w:t>后续监测：邻二氯苯、2,4-二硝基甲苯、2,6-二硝基甲苯、甲苯、前期监测中曾超标的污染物。</w:t>
            </w:r>
          </w:p>
        </w:tc>
        <w:tc>
          <w:tcPr>
            <w:tcW w:w="717" w:type="pct"/>
            <w:vAlign w:val="center"/>
          </w:tcPr>
          <w:p w14:paraId="235844E2">
            <w:pPr>
              <w:pStyle w:val="510"/>
              <w:rPr>
                <w:color w:val="auto"/>
                <w:highlight w:val="none"/>
                <w:u w:val="none"/>
              </w:rPr>
            </w:pPr>
            <w:r>
              <w:rPr>
                <w:color w:val="auto"/>
                <w:highlight w:val="none"/>
                <w:u w:val="none"/>
              </w:rPr>
              <w:t>1次/年</w:t>
            </w:r>
          </w:p>
        </w:tc>
        <w:tc>
          <w:tcPr>
            <w:tcW w:w="2033" w:type="pct"/>
            <w:vAlign w:val="center"/>
          </w:tcPr>
          <w:p w14:paraId="44396AE3">
            <w:pPr>
              <w:pStyle w:val="510"/>
              <w:rPr>
                <w:color w:val="auto"/>
                <w:highlight w:val="none"/>
                <w:u w:val="none"/>
              </w:rPr>
            </w:pPr>
            <w:r>
              <w:rPr>
                <w:rFonts w:hint="eastAsia"/>
                <w:color w:val="auto"/>
                <w:highlight w:val="none"/>
                <w:u w:val="none"/>
              </w:rPr>
              <w:t>根据《工业企业土壤和地下水自行监测技术指南（试行）》（</w:t>
            </w:r>
            <w:r>
              <w:rPr>
                <w:color w:val="auto"/>
                <w:highlight w:val="none"/>
                <w:u w:val="none"/>
              </w:rPr>
              <w:t>HJ1209-2021）</w:t>
            </w:r>
            <w:r>
              <w:rPr>
                <w:rFonts w:hint="eastAsia"/>
                <w:color w:val="auto"/>
                <w:highlight w:val="none"/>
                <w:u w:val="none"/>
              </w:rPr>
              <w:t>，一类单元每半年监测1次，二类单元每年监测1次。（1）初次监测时，原则上所有地下水监测井的监测指标至少应包括</w:t>
            </w:r>
            <w:r>
              <w:rPr>
                <w:color w:val="auto"/>
                <w:highlight w:val="none"/>
                <w:u w:val="none"/>
              </w:rPr>
              <w:t xml:space="preserve"> GB/T 14848表1常规指标（微生物指标、放射性指标除外）</w:t>
            </w:r>
            <w:r>
              <w:rPr>
                <w:rFonts w:hint="eastAsia"/>
                <w:color w:val="auto"/>
                <w:highlight w:val="none"/>
                <w:u w:val="none"/>
              </w:rPr>
              <w:t>，企业内任何重点单元涉及上述范围外的关注污染物，应根据其地下水污染特性，将其纳入企业内所有地下水监测点的初次监测指标。（2）后续监测按照重点单元确定监测指标，每个重点单元对应的监测指标至少应包括：①该重点单元对应的任一地下水监测井在前期监测中曾超标的污染物；②该重点单元涉及的所有关注污染物。</w:t>
            </w:r>
          </w:p>
        </w:tc>
      </w:tr>
      <w:tr w14:paraId="2C00E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vAlign w:val="center"/>
          </w:tcPr>
          <w:p w14:paraId="0DBB71EC">
            <w:pPr>
              <w:pStyle w:val="510"/>
              <w:rPr>
                <w:color w:val="auto"/>
                <w:highlight w:val="none"/>
                <w:u w:val="none"/>
              </w:rPr>
            </w:pPr>
            <w:r>
              <w:rPr>
                <w:color w:val="auto"/>
                <w:highlight w:val="none"/>
                <w:u w:val="none"/>
              </w:rPr>
              <w:t>环境空气</w:t>
            </w:r>
          </w:p>
        </w:tc>
        <w:tc>
          <w:tcPr>
            <w:tcW w:w="990" w:type="pct"/>
            <w:vMerge w:val="restart"/>
            <w:vAlign w:val="center"/>
          </w:tcPr>
          <w:p w14:paraId="6B0E1045">
            <w:pPr>
              <w:pStyle w:val="510"/>
              <w:rPr>
                <w:color w:val="auto"/>
                <w:highlight w:val="none"/>
                <w:u w:val="none"/>
              </w:rPr>
            </w:pPr>
            <w:r>
              <w:rPr>
                <w:color w:val="auto"/>
                <w:highlight w:val="none"/>
                <w:u w:val="none"/>
              </w:rPr>
              <w:t>最近的3个敏感目标：</w:t>
            </w:r>
            <w:r>
              <w:rPr>
                <w:rFonts w:hint="eastAsia"/>
                <w:color w:val="auto"/>
                <w:highlight w:val="none"/>
                <w:u w:val="none"/>
              </w:rPr>
              <w:t>后</w:t>
            </w:r>
            <w:r>
              <w:rPr>
                <w:color w:val="auto"/>
                <w:highlight w:val="none"/>
                <w:u w:val="none"/>
              </w:rPr>
              <w:t>林村、南曹村、芝山村（建议由开发区管委会统筹安排实施监测）</w:t>
            </w:r>
          </w:p>
        </w:tc>
        <w:tc>
          <w:tcPr>
            <w:tcW w:w="863" w:type="pct"/>
            <w:vAlign w:val="center"/>
          </w:tcPr>
          <w:p w14:paraId="15932759">
            <w:pPr>
              <w:pStyle w:val="510"/>
              <w:rPr>
                <w:color w:val="auto"/>
                <w:highlight w:val="none"/>
                <w:u w:val="none"/>
              </w:rPr>
            </w:pPr>
            <w:r>
              <w:rPr>
                <w:color w:val="auto"/>
                <w:kern w:val="0"/>
                <w:highlight w:val="none"/>
                <w:u w:val="none"/>
              </w:rPr>
              <w:t>非甲烷总烃、颗粒物、氯化氢、甲苯、氨、硫化氢</w:t>
            </w:r>
          </w:p>
        </w:tc>
        <w:tc>
          <w:tcPr>
            <w:tcW w:w="717" w:type="pct"/>
            <w:vAlign w:val="center"/>
          </w:tcPr>
          <w:p w14:paraId="4959339C">
            <w:pPr>
              <w:pStyle w:val="510"/>
              <w:rPr>
                <w:color w:val="auto"/>
                <w:highlight w:val="none"/>
                <w:u w:val="none"/>
              </w:rPr>
            </w:pPr>
            <w:r>
              <w:rPr>
                <w:color w:val="auto"/>
                <w:highlight w:val="none"/>
                <w:u w:val="none"/>
              </w:rPr>
              <w:t>1次/半年</w:t>
            </w:r>
          </w:p>
        </w:tc>
        <w:tc>
          <w:tcPr>
            <w:tcW w:w="2033" w:type="pct"/>
            <w:vMerge w:val="restart"/>
            <w:vAlign w:val="center"/>
          </w:tcPr>
          <w:p w14:paraId="72E92129">
            <w:pPr>
              <w:pStyle w:val="510"/>
              <w:rPr>
                <w:color w:val="auto"/>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w:t>
            </w:r>
            <w:r>
              <w:rPr>
                <w:color w:val="auto"/>
                <w:highlight w:val="none"/>
                <w:u w:val="none"/>
                <w:lang w:val="en-US"/>
              </w:rPr>
              <w:t>HJ947-2018</w:t>
            </w:r>
            <w:r>
              <w:rPr>
                <w:rFonts w:hint="eastAsia"/>
                <w:color w:val="auto"/>
                <w:highlight w:val="none"/>
                <w:u w:val="none"/>
                <w:lang w:val="en-US"/>
              </w:rPr>
              <w:t>），环境影响评价文件及其批复有明确周边环境质量影响监测要求的，按要求执行，本项目按现有一期工程（</w:t>
            </w:r>
            <w:r>
              <w:rPr>
                <w:color w:val="auto"/>
                <w:highlight w:val="none"/>
                <w:u w:val="none"/>
                <w:lang w:val="en-US"/>
              </w:rPr>
              <w:t>25</w:t>
            </w:r>
            <w:r>
              <w:rPr>
                <w:rFonts w:hint="eastAsia"/>
                <w:color w:val="auto"/>
                <w:highlight w:val="none"/>
                <w:u w:val="none"/>
                <w:lang w:val="en-US"/>
              </w:rPr>
              <w:t>万吨</w:t>
            </w:r>
            <w:r>
              <w:rPr>
                <w:color w:val="auto"/>
                <w:highlight w:val="none"/>
                <w:u w:val="none"/>
                <w:lang w:val="en-US"/>
              </w:rPr>
              <w:t>/</w:t>
            </w:r>
            <w:r>
              <w:rPr>
                <w:rFonts w:hint="eastAsia"/>
                <w:color w:val="auto"/>
                <w:highlight w:val="none"/>
                <w:u w:val="none"/>
                <w:lang w:val="en-US"/>
              </w:rPr>
              <w:t>年TDI项目）的环境影响评价文件要求执行。见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_Ref139480853 \h</w:instrText>
            </w:r>
            <w:r>
              <w:rPr>
                <w:color w:val="auto"/>
                <w:highlight w:val="none"/>
                <w:u w:val="none"/>
                <w:lang w:val="en-US"/>
              </w:rPr>
              <w:instrText xml:space="preserve">  \* MERGEFORMAT </w:instrText>
            </w:r>
            <w:r>
              <w:rPr>
                <w:color w:val="auto"/>
                <w:highlight w:val="none"/>
                <w:u w:val="none"/>
                <w:lang w:val="en-US"/>
              </w:rPr>
              <w:fldChar w:fldCharType="separate"/>
            </w:r>
            <w:r>
              <w:rPr>
                <w:rFonts w:hint="eastAsia"/>
                <w:color w:val="auto"/>
                <w:highlight w:val="none"/>
                <w:u w:val="none"/>
              </w:rPr>
              <w:t>表 12.1</w:t>
            </w:r>
            <w:r>
              <w:rPr>
                <w:color w:val="auto"/>
                <w:highlight w:val="none"/>
                <w:u w:val="none"/>
              </w:rPr>
              <w:noBreakHyphen/>
            </w:r>
            <w:r>
              <w:rPr>
                <w:rFonts w:hint="eastAsia"/>
                <w:color w:val="auto"/>
                <w:highlight w:val="none"/>
                <w:u w:val="none"/>
              </w:rPr>
              <w:t>1</w:t>
            </w:r>
            <w:r>
              <w:rPr>
                <w:color w:val="auto"/>
                <w:highlight w:val="none"/>
                <w:u w:val="none"/>
                <w:lang w:val="en-US"/>
              </w:rPr>
              <w:fldChar w:fldCharType="end"/>
            </w:r>
            <w:r>
              <w:rPr>
                <w:rFonts w:hint="eastAsia"/>
                <w:color w:val="auto"/>
                <w:highlight w:val="none"/>
                <w:u w:val="none"/>
                <w:lang w:val="en-US"/>
              </w:rPr>
              <w:t>。</w:t>
            </w:r>
          </w:p>
        </w:tc>
      </w:tr>
      <w:tr w14:paraId="509A7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55E63826">
            <w:pPr>
              <w:pStyle w:val="510"/>
              <w:rPr>
                <w:color w:val="auto"/>
                <w:highlight w:val="none"/>
                <w:u w:val="none"/>
              </w:rPr>
            </w:pPr>
          </w:p>
        </w:tc>
        <w:tc>
          <w:tcPr>
            <w:tcW w:w="990" w:type="pct"/>
            <w:vMerge w:val="continue"/>
            <w:vAlign w:val="center"/>
          </w:tcPr>
          <w:p w14:paraId="7C04F878">
            <w:pPr>
              <w:pStyle w:val="510"/>
              <w:rPr>
                <w:color w:val="auto"/>
                <w:highlight w:val="none"/>
                <w:u w:val="none"/>
              </w:rPr>
            </w:pPr>
          </w:p>
        </w:tc>
        <w:tc>
          <w:tcPr>
            <w:tcW w:w="863" w:type="pct"/>
            <w:vAlign w:val="center"/>
          </w:tcPr>
          <w:p w14:paraId="65BD1EA9">
            <w:pPr>
              <w:pStyle w:val="510"/>
              <w:rPr>
                <w:color w:val="auto"/>
                <w:highlight w:val="none"/>
                <w:u w:val="none"/>
              </w:rPr>
            </w:pPr>
            <w:r>
              <w:rPr>
                <w:color w:val="auto"/>
                <w:highlight w:val="none"/>
                <w:u w:val="none"/>
              </w:rPr>
              <w:t>氯苯类、光气、氯气、硝基苯类、苯胺类、TDI</w:t>
            </w:r>
          </w:p>
        </w:tc>
        <w:tc>
          <w:tcPr>
            <w:tcW w:w="717" w:type="pct"/>
            <w:vAlign w:val="center"/>
          </w:tcPr>
          <w:p w14:paraId="234E1808">
            <w:pPr>
              <w:pStyle w:val="510"/>
              <w:rPr>
                <w:color w:val="auto"/>
                <w:highlight w:val="none"/>
                <w:u w:val="none"/>
              </w:rPr>
            </w:pPr>
            <w:r>
              <w:rPr>
                <w:color w:val="auto"/>
                <w:highlight w:val="none"/>
                <w:u w:val="none"/>
              </w:rPr>
              <w:t>1次/年</w:t>
            </w:r>
          </w:p>
        </w:tc>
        <w:tc>
          <w:tcPr>
            <w:tcW w:w="2033" w:type="pct"/>
            <w:vMerge w:val="continue"/>
            <w:vAlign w:val="center"/>
          </w:tcPr>
          <w:p w14:paraId="33D7A63F">
            <w:pPr>
              <w:pStyle w:val="510"/>
              <w:rPr>
                <w:color w:val="auto"/>
                <w:highlight w:val="none"/>
                <w:u w:val="none"/>
              </w:rPr>
            </w:pPr>
          </w:p>
        </w:tc>
      </w:tr>
      <w:tr w14:paraId="2B7BD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67F503AF">
            <w:pPr>
              <w:pStyle w:val="510"/>
              <w:rPr>
                <w:color w:val="auto"/>
                <w:highlight w:val="none"/>
                <w:u w:val="none"/>
              </w:rPr>
            </w:pPr>
          </w:p>
        </w:tc>
        <w:tc>
          <w:tcPr>
            <w:tcW w:w="990" w:type="pct"/>
            <w:vMerge w:val="continue"/>
            <w:vAlign w:val="center"/>
          </w:tcPr>
          <w:p w14:paraId="1E2D27EF">
            <w:pPr>
              <w:pStyle w:val="510"/>
              <w:rPr>
                <w:color w:val="auto"/>
                <w:highlight w:val="none"/>
                <w:u w:val="none"/>
              </w:rPr>
            </w:pPr>
          </w:p>
        </w:tc>
        <w:tc>
          <w:tcPr>
            <w:tcW w:w="863" w:type="pct"/>
            <w:vAlign w:val="center"/>
          </w:tcPr>
          <w:p w14:paraId="4B1C05AD">
            <w:pPr>
              <w:pStyle w:val="510"/>
              <w:ind w:firstLine="0" w:firstLineChars="0"/>
              <w:rPr>
                <w:color w:val="auto"/>
                <w:highlight w:val="none"/>
                <w:u w:val="none"/>
              </w:rPr>
            </w:pPr>
            <w:r>
              <w:rPr>
                <w:rFonts w:hint="eastAsia"/>
                <w:color w:val="auto"/>
                <w:kern w:val="0"/>
                <w:highlight w:val="none"/>
                <w:u w:val="none"/>
              </w:rPr>
              <w:t>非甲烷总烃、</w:t>
            </w:r>
            <w:r>
              <w:rPr>
                <w:rFonts w:hint="eastAsia"/>
                <w:color w:val="auto"/>
                <w:highlight w:val="none"/>
                <w:u w:val="none"/>
              </w:rPr>
              <w:t>苯胺类、氯苯类、甲苯、硝基苯类、氯气、氯化氢、光气</w:t>
            </w:r>
          </w:p>
        </w:tc>
        <w:tc>
          <w:tcPr>
            <w:tcW w:w="717" w:type="pct"/>
            <w:vAlign w:val="center"/>
          </w:tcPr>
          <w:p w14:paraId="5402459B">
            <w:pPr>
              <w:pStyle w:val="510"/>
              <w:ind w:firstLine="0" w:firstLineChars="0"/>
              <w:rPr>
                <w:color w:val="auto"/>
                <w:highlight w:val="none"/>
                <w:u w:val="none"/>
              </w:rPr>
            </w:pPr>
            <w:r>
              <w:rPr>
                <w:color w:val="auto"/>
                <w:highlight w:val="none"/>
                <w:u w:val="none"/>
              </w:rPr>
              <w:t>1次/年</w:t>
            </w:r>
          </w:p>
        </w:tc>
        <w:tc>
          <w:tcPr>
            <w:tcW w:w="2033" w:type="pct"/>
            <w:vAlign w:val="center"/>
          </w:tcPr>
          <w:p w14:paraId="00467CAB">
            <w:pPr>
              <w:pStyle w:val="510"/>
              <w:ind w:firstLine="0" w:firstLineChars="0"/>
              <w:jc w:val="both"/>
              <w:rPr>
                <w:color w:val="auto"/>
                <w:highlight w:val="none"/>
                <w:u w:val="none"/>
              </w:rPr>
            </w:pPr>
            <w:r>
              <w:rPr>
                <w:rFonts w:hint="eastAsia"/>
                <w:color w:val="auto"/>
                <w:highlight w:val="none"/>
                <w:u w:val="none"/>
              </w:rPr>
              <w:t>根据《环境影响评价技术导则</w:t>
            </w:r>
            <w:r>
              <w:rPr>
                <w:color w:val="auto"/>
                <w:highlight w:val="none"/>
                <w:u w:val="none"/>
              </w:rPr>
              <w:t xml:space="preserve"> </w:t>
            </w:r>
            <w:r>
              <w:rPr>
                <w:rFonts w:hint="eastAsia"/>
                <w:color w:val="auto"/>
                <w:highlight w:val="none"/>
                <w:u w:val="none"/>
              </w:rPr>
              <w:t>大气环境》（</w:t>
            </w:r>
            <w:r>
              <w:rPr>
                <w:color w:val="auto"/>
                <w:highlight w:val="none"/>
                <w:u w:val="none"/>
              </w:rPr>
              <w:t>HJ2.2-2018</w:t>
            </w:r>
            <w:r>
              <w:rPr>
                <w:rFonts w:hint="eastAsia"/>
                <w:color w:val="auto"/>
                <w:highlight w:val="none"/>
                <w:u w:val="none"/>
              </w:rPr>
              <w:t>）中</w:t>
            </w:r>
            <w:r>
              <w:rPr>
                <w:color w:val="auto"/>
                <w:highlight w:val="none"/>
                <w:u w:val="none"/>
              </w:rPr>
              <w:t>9.3</w:t>
            </w:r>
            <w:r>
              <w:rPr>
                <w:rFonts w:hint="eastAsia"/>
                <w:color w:val="auto"/>
                <w:highlight w:val="none"/>
                <w:u w:val="none"/>
              </w:rPr>
              <w:t>环境质量监测计划，筛选按导则</w:t>
            </w:r>
            <w:r>
              <w:rPr>
                <w:color w:val="auto"/>
                <w:highlight w:val="none"/>
                <w:u w:val="none"/>
              </w:rPr>
              <w:t>5.3.2</w:t>
            </w:r>
            <w:r>
              <w:rPr>
                <w:rFonts w:hint="eastAsia"/>
                <w:color w:val="auto"/>
                <w:highlight w:val="none"/>
                <w:u w:val="none"/>
              </w:rPr>
              <w:t>要求计算的项目排放污染物</w:t>
            </w:r>
            <w:r>
              <w:rPr>
                <w:color w:val="auto"/>
                <w:highlight w:val="none"/>
                <w:u w:val="none"/>
              </w:rPr>
              <w:t>Pi</w:t>
            </w:r>
            <w:r>
              <w:rPr>
                <w:rFonts w:hint="eastAsia"/>
                <w:color w:val="auto"/>
                <w:highlight w:val="none"/>
                <w:u w:val="none"/>
              </w:rPr>
              <w:t>≥</w:t>
            </w:r>
            <w:r>
              <w:rPr>
                <w:color w:val="auto"/>
                <w:highlight w:val="none"/>
                <w:u w:val="none"/>
              </w:rPr>
              <w:t>1%</w:t>
            </w:r>
            <w:r>
              <w:rPr>
                <w:rFonts w:hint="eastAsia"/>
                <w:color w:val="auto"/>
                <w:highlight w:val="none"/>
                <w:u w:val="none"/>
              </w:rPr>
              <w:t>的其他污染物作为环境质量监测因子，监测点位一般在项目厂界或大气环境防护距离（如有）外侧设置</w:t>
            </w:r>
            <w:r>
              <w:rPr>
                <w:color w:val="auto"/>
                <w:highlight w:val="none"/>
                <w:u w:val="none"/>
              </w:rPr>
              <w:t>1-2</w:t>
            </w:r>
            <w:r>
              <w:rPr>
                <w:rFonts w:hint="eastAsia"/>
                <w:color w:val="auto"/>
                <w:highlight w:val="none"/>
                <w:u w:val="none"/>
              </w:rPr>
              <w:t>个监测点，各监测因子的环境质量每年至少监测一次。</w:t>
            </w:r>
          </w:p>
        </w:tc>
      </w:tr>
      <w:tr w14:paraId="781FB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vAlign w:val="center"/>
          </w:tcPr>
          <w:p w14:paraId="49B36BFC">
            <w:pPr>
              <w:pStyle w:val="510"/>
              <w:rPr>
                <w:color w:val="auto"/>
                <w:highlight w:val="none"/>
                <w:u w:val="none"/>
              </w:rPr>
            </w:pPr>
            <w:r>
              <w:rPr>
                <w:color w:val="auto"/>
                <w:highlight w:val="none"/>
                <w:u w:val="none"/>
              </w:rPr>
              <w:t>海域水质跟踪监测</w:t>
            </w:r>
          </w:p>
        </w:tc>
        <w:tc>
          <w:tcPr>
            <w:tcW w:w="990" w:type="pct"/>
            <w:vMerge w:val="restart"/>
            <w:vAlign w:val="center"/>
          </w:tcPr>
          <w:p w14:paraId="034288C1">
            <w:pPr>
              <w:pStyle w:val="510"/>
              <w:rPr>
                <w:color w:val="auto"/>
                <w:highlight w:val="none"/>
                <w:u w:val="none"/>
              </w:rPr>
            </w:pPr>
            <w:r>
              <w:rPr>
                <w:color w:val="auto"/>
                <w:highlight w:val="none"/>
                <w:u w:val="none"/>
              </w:rPr>
              <w:t>建议由开发区管委会统筹安排实施监测</w:t>
            </w:r>
          </w:p>
        </w:tc>
        <w:tc>
          <w:tcPr>
            <w:tcW w:w="863" w:type="pct"/>
            <w:vAlign w:val="center"/>
          </w:tcPr>
          <w:p w14:paraId="2A84FE4D">
            <w:pPr>
              <w:pStyle w:val="510"/>
              <w:rPr>
                <w:bCs/>
                <w:color w:val="auto"/>
                <w:highlight w:val="none"/>
                <w:u w:val="none"/>
              </w:rPr>
            </w:pPr>
            <w:r>
              <w:rPr>
                <w:color w:val="auto"/>
                <w:highlight w:val="none"/>
                <w:u w:val="none"/>
              </w:rPr>
              <w:t>水温、pH值、盐度、溶解氧、悬浮物、化学需氧量、石油类、无机氮、硝酸盐氮、亚硝酸盐氮、氨、活性磷酸盐、铜、总铬、锌、镍、镉、铅、汞、砷、挥发酚、硫化物、氰化物</w:t>
            </w:r>
          </w:p>
        </w:tc>
        <w:tc>
          <w:tcPr>
            <w:tcW w:w="717" w:type="pct"/>
            <w:vAlign w:val="center"/>
          </w:tcPr>
          <w:p w14:paraId="4B1C8D91">
            <w:pPr>
              <w:pStyle w:val="510"/>
              <w:rPr>
                <w:color w:val="auto"/>
                <w:highlight w:val="none"/>
                <w:u w:val="none"/>
              </w:rPr>
            </w:pPr>
            <w:r>
              <w:rPr>
                <w:color w:val="auto"/>
                <w:highlight w:val="none"/>
                <w:u w:val="none"/>
              </w:rPr>
              <w:t>1次/半年</w:t>
            </w:r>
          </w:p>
        </w:tc>
        <w:tc>
          <w:tcPr>
            <w:tcW w:w="2033" w:type="pct"/>
            <w:vMerge w:val="restart"/>
            <w:vAlign w:val="center"/>
          </w:tcPr>
          <w:p w14:paraId="15C51637">
            <w:pPr>
              <w:pStyle w:val="510"/>
              <w:rPr>
                <w:color w:val="auto"/>
                <w:highlight w:val="none"/>
                <w:u w:val="none"/>
              </w:rPr>
            </w:pPr>
            <w:r>
              <w:rPr>
                <w:rFonts w:hint="eastAsia"/>
                <w:color w:val="auto"/>
                <w:highlight w:val="none"/>
                <w:u w:val="none"/>
                <w:lang w:val="en-US"/>
              </w:rPr>
              <w:t>根据</w:t>
            </w:r>
            <w:r>
              <w:rPr>
                <w:color w:val="auto"/>
                <w:highlight w:val="none"/>
                <w:u w:val="none"/>
                <w:lang w:val="en-US"/>
              </w:rPr>
              <w:t>《排污单位自行监测技术指南 石油化学工业》</w:t>
            </w:r>
            <w:r>
              <w:rPr>
                <w:rFonts w:hint="eastAsia"/>
                <w:color w:val="auto"/>
                <w:highlight w:val="none"/>
                <w:u w:val="none"/>
                <w:lang w:val="en-US"/>
              </w:rPr>
              <w:t>（HJ</w:t>
            </w:r>
            <w:r>
              <w:rPr>
                <w:color w:val="auto"/>
                <w:highlight w:val="none"/>
                <w:u w:val="none"/>
                <w:lang w:val="en-US"/>
              </w:rPr>
              <w:t>947-2018</w:t>
            </w:r>
            <w:r>
              <w:rPr>
                <w:rFonts w:hint="eastAsia"/>
                <w:color w:val="auto"/>
                <w:highlight w:val="none"/>
                <w:u w:val="none"/>
                <w:lang w:val="en-US"/>
              </w:rPr>
              <w:t>），环境影响评价文件及其批复有明确周边环境质量影响监测要求的，按要求执行，本项目按现有一期工程（2</w:t>
            </w:r>
            <w:r>
              <w:rPr>
                <w:color w:val="auto"/>
                <w:highlight w:val="none"/>
                <w:u w:val="none"/>
                <w:lang w:val="en-US"/>
              </w:rPr>
              <w:t>5</w:t>
            </w:r>
            <w:r>
              <w:rPr>
                <w:rFonts w:hint="eastAsia"/>
                <w:color w:val="auto"/>
                <w:highlight w:val="none"/>
                <w:u w:val="none"/>
                <w:lang w:val="en-US"/>
              </w:rPr>
              <w:t>万吨/年TDI项目）的环境影响评价文件要求执行。见</w:t>
            </w:r>
            <w:r>
              <w:rPr>
                <w:color w:val="auto"/>
                <w:highlight w:val="none"/>
                <w:u w:val="none"/>
                <w:lang w:val="en-US"/>
              </w:rPr>
              <w:fldChar w:fldCharType="begin"/>
            </w:r>
            <w:r>
              <w:rPr>
                <w:color w:val="auto"/>
                <w:highlight w:val="none"/>
                <w:u w:val="none"/>
                <w:lang w:val="en-US"/>
              </w:rPr>
              <w:instrText xml:space="preserve"> </w:instrText>
            </w:r>
            <w:r>
              <w:rPr>
                <w:rFonts w:hint="eastAsia"/>
                <w:color w:val="auto"/>
                <w:highlight w:val="none"/>
                <w:u w:val="none"/>
                <w:lang w:val="en-US"/>
              </w:rPr>
              <w:instrText xml:space="preserve">REF _Ref139480853 \h</w:instrText>
            </w:r>
            <w:r>
              <w:rPr>
                <w:color w:val="auto"/>
                <w:highlight w:val="none"/>
                <w:u w:val="none"/>
                <w:lang w:val="en-US"/>
              </w:rPr>
              <w:instrText xml:space="preserve">  \* MERGEFORMAT </w:instrText>
            </w:r>
            <w:r>
              <w:rPr>
                <w:color w:val="auto"/>
                <w:highlight w:val="none"/>
                <w:u w:val="none"/>
                <w:lang w:val="en-US"/>
              </w:rPr>
              <w:fldChar w:fldCharType="separate"/>
            </w:r>
            <w:r>
              <w:rPr>
                <w:rFonts w:hint="eastAsia"/>
                <w:color w:val="auto"/>
                <w:highlight w:val="none"/>
                <w:u w:val="none"/>
              </w:rPr>
              <w:t>表 12.1</w:t>
            </w:r>
            <w:r>
              <w:rPr>
                <w:color w:val="auto"/>
                <w:highlight w:val="none"/>
                <w:u w:val="none"/>
              </w:rPr>
              <w:noBreakHyphen/>
            </w:r>
            <w:r>
              <w:rPr>
                <w:rFonts w:hint="eastAsia"/>
                <w:color w:val="auto"/>
                <w:highlight w:val="none"/>
                <w:u w:val="none"/>
              </w:rPr>
              <w:t>1</w:t>
            </w:r>
            <w:r>
              <w:rPr>
                <w:color w:val="auto"/>
                <w:highlight w:val="none"/>
                <w:u w:val="none"/>
                <w:lang w:val="en-US"/>
              </w:rPr>
              <w:fldChar w:fldCharType="end"/>
            </w:r>
            <w:r>
              <w:rPr>
                <w:rFonts w:hint="eastAsia"/>
                <w:color w:val="auto"/>
                <w:highlight w:val="none"/>
                <w:u w:val="none"/>
                <w:lang w:val="en-US"/>
              </w:rPr>
              <w:t>。</w:t>
            </w:r>
          </w:p>
        </w:tc>
      </w:tr>
      <w:tr w14:paraId="35A4F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vAlign w:val="center"/>
          </w:tcPr>
          <w:p w14:paraId="58A4F8B4">
            <w:pPr>
              <w:pStyle w:val="510"/>
              <w:rPr>
                <w:color w:val="auto"/>
                <w:highlight w:val="none"/>
                <w:u w:val="none"/>
              </w:rPr>
            </w:pPr>
          </w:p>
        </w:tc>
        <w:tc>
          <w:tcPr>
            <w:tcW w:w="990" w:type="pct"/>
            <w:vMerge w:val="continue"/>
            <w:vAlign w:val="center"/>
          </w:tcPr>
          <w:p w14:paraId="4BE5ECA7">
            <w:pPr>
              <w:pStyle w:val="510"/>
              <w:rPr>
                <w:color w:val="auto"/>
                <w:highlight w:val="none"/>
                <w:u w:val="none"/>
              </w:rPr>
            </w:pPr>
          </w:p>
        </w:tc>
        <w:tc>
          <w:tcPr>
            <w:tcW w:w="863" w:type="pct"/>
            <w:vAlign w:val="center"/>
          </w:tcPr>
          <w:p w14:paraId="4EB4A5A6">
            <w:pPr>
              <w:pStyle w:val="510"/>
              <w:rPr>
                <w:bCs/>
                <w:color w:val="auto"/>
                <w:highlight w:val="none"/>
                <w:u w:val="none"/>
              </w:rPr>
            </w:pPr>
            <w:r>
              <w:rPr>
                <w:color w:val="auto"/>
                <w:highlight w:val="none"/>
                <w:u w:val="none"/>
              </w:rPr>
              <w:t>甲苯、硝基苯类、</w:t>
            </w:r>
            <w:r>
              <w:rPr>
                <w:color w:val="auto"/>
                <w:kern w:val="0"/>
                <w:highlight w:val="none"/>
                <w:u w:val="none"/>
              </w:rPr>
              <w:t>氯苯类</w:t>
            </w:r>
            <w:r>
              <w:rPr>
                <w:color w:val="auto"/>
                <w:highlight w:val="none"/>
                <w:u w:val="none"/>
              </w:rPr>
              <w:t>、苯胺类</w:t>
            </w:r>
          </w:p>
        </w:tc>
        <w:tc>
          <w:tcPr>
            <w:tcW w:w="717" w:type="pct"/>
            <w:vAlign w:val="center"/>
          </w:tcPr>
          <w:p w14:paraId="0343A920">
            <w:pPr>
              <w:pStyle w:val="510"/>
              <w:rPr>
                <w:color w:val="auto"/>
                <w:highlight w:val="none"/>
                <w:u w:val="none"/>
              </w:rPr>
            </w:pPr>
            <w:r>
              <w:rPr>
                <w:color w:val="auto"/>
                <w:highlight w:val="none"/>
                <w:u w:val="none"/>
              </w:rPr>
              <w:t>1次/年</w:t>
            </w:r>
          </w:p>
        </w:tc>
        <w:tc>
          <w:tcPr>
            <w:tcW w:w="2033" w:type="pct"/>
            <w:vMerge w:val="continue"/>
            <w:vAlign w:val="center"/>
          </w:tcPr>
          <w:p w14:paraId="693827CB">
            <w:pPr>
              <w:pStyle w:val="510"/>
              <w:rPr>
                <w:color w:val="auto"/>
                <w:highlight w:val="none"/>
                <w:u w:val="none"/>
              </w:rPr>
            </w:pPr>
          </w:p>
        </w:tc>
      </w:tr>
      <w:tr w14:paraId="02012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Align w:val="center"/>
          </w:tcPr>
          <w:p w14:paraId="237E12E2">
            <w:pPr>
              <w:pStyle w:val="510"/>
              <w:rPr>
                <w:color w:val="auto"/>
                <w:highlight w:val="none"/>
                <w:u w:val="none"/>
              </w:rPr>
            </w:pPr>
            <w:r>
              <w:rPr>
                <w:color w:val="auto"/>
                <w:highlight w:val="none"/>
                <w:u w:val="none"/>
              </w:rPr>
              <w:t>海域沉积物跟踪监测</w:t>
            </w:r>
          </w:p>
        </w:tc>
        <w:tc>
          <w:tcPr>
            <w:tcW w:w="990" w:type="pct"/>
            <w:vAlign w:val="center"/>
          </w:tcPr>
          <w:p w14:paraId="36A71CDA">
            <w:pPr>
              <w:pStyle w:val="510"/>
              <w:rPr>
                <w:color w:val="auto"/>
                <w:highlight w:val="none"/>
                <w:u w:val="none"/>
              </w:rPr>
            </w:pPr>
            <w:r>
              <w:rPr>
                <w:color w:val="auto"/>
                <w:highlight w:val="none"/>
                <w:u w:val="none"/>
              </w:rPr>
              <w:t>建议由开发区管委会统筹安排实施监测</w:t>
            </w:r>
          </w:p>
        </w:tc>
        <w:tc>
          <w:tcPr>
            <w:tcW w:w="863" w:type="pct"/>
            <w:vAlign w:val="center"/>
          </w:tcPr>
          <w:p w14:paraId="440AAC3D">
            <w:pPr>
              <w:pStyle w:val="510"/>
              <w:rPr>
                <w:bCs/>
                <w:color w:val="auto"/>
                <w:highlight w:val="none"/>
                <w:u w:val="none"/>
              </w:rPr>
            </w:pPr>
            <w:r>
              <w:rPr>
                <w:color w:val="auto"/>
                <w:highlight w:val="none"/>
                <w:u w:val="none"/>
              </w:rPr>
              <w:t>总汞、铜、铅、镉、锌、铬、砷、石油类、硫化物、有机碳、含水率、氧化还原电位、苯、硝基苯、氯苯、苯胺</w:t>
            </w:r>
          </w:p>
        </w:tc>
        <w:tc>
          <w:tcPr>
            <w:tcW w:w="717" w:type="pct"/>
            <w:vAlign w:val="center"/>
          </w:tcPr>
          <w:p w14:paraId="687E8037">
            <w:pPr>
              <w:pStyle w:val="510"/>
              <w:rPr>
                <w:color w:val="auto"/>
                <w:highlight w:val="none"/>
                <w:u w:val="none"/>
              </w:rPr>
            </w:pPr>
            <w:r>
              <w:rPr>
                <w:color w:val="auto"/>
                <w:highlight w:val="none"/>
                <w:u w:val="none"/>
              </w:rPr>
              <w:t>1次/年</w:t>
            </w:r>
          </w:p>
        </w:tc>
        <w:tc>
          <w:tcPr>
            <w:tcW w:w="2033" w:type="pct"/>
            <w:vMerge w:val="continue"/>
            <w:vAlign w:val="center"/>
          </w:tcPr>
          <w:p w14:paraId="2BA798E9">
            <w:pPr>
              <w:pStyle w:val="510"/>
              <w:rPr>
                <w:color w:val="auto"/>
                <w:highlight w:val="none"/>
                <w:u w:val="none"/>
              </w:rPr>
            </w:pPr>
          </w:p>
        </w:tc>
      </w:tr>
      <w:tr w14:paraId="02D0B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vAlign w:val="center"/>
          </w:tcPr>
          <w:p w14:paraId="3D25DAE0">
            <w:pPr>
              <w:pStyle w:val="510"/>
              <w:rPr>
                <w:rFonts w:hint="eastAsia"/>
                <w:color w:val="auto"/>
                <w:highlight w:val="none"/>
                <w:u w:val="none"/>
                <w:lang w:val="en-US"/>
              </w:rPr>
            </w:pPr>
            <w:bookmarkStart w:id="786" w:name="_Toc148374742"/>
            <w:bookmarkStart w:id="787" w:name="_Toc148375184"/>
            <w:r>
              <w:rPr>
                <w:rFonts w:hint="eastAsia"/>
                <w:color w:val="auto"/>
                <w:highlight w:val="none"/>
                <w:u w:val="none"/>
                <w:lang w:val="en-US"/>
              </w:rPr>
              <w:t>*注：对于设备与管线组件密封点泄漏检测，若同一密封点连续三个周期检测无泄漏情况，则检测周期可延长一倍，但在后续监测中该检测点位一旦检测出现泄漏情况，则监测频次按原规定执行。</w:t>
            </w:r>
          </w:p>
        </w:tc>
      </w:tr>
    </w:tbl>
    <w:p w14:paraId="71BB775F">
      <w:pPr>
        <w:pStyle w:val="6"/>
        <w:spacing w:before="156" w:after="156"/>
        <w:rPr>
          <w:color w:val="auto"/>
          <w:highlight w:val="none"/>
          <w:u w:val="none"/>
        </w:rPr>
        <w:sectPr>
          <w:pgSz w:w="16838" w:h="11906" w:orient="landscape"/>
          <w:pgMar w:top="1418" w:right="1440" w:bottom="1418" w:left="1440" w:header="851" w:footer="992" w:gutter="0"/>
          <w:cols w:space="425" w:num="1"/>
          <w:docGrid w:type="lines" w:linePitch="312" w:charSpace="0"/>
        </w:sectPr>
      </w:pPr>
    </w:p>
    <w:p w14:paraId="38D1BC53">
      <w:pPr>
        <w:pStyle w:val="6"/>
        <w:spacing w:before="156" w:after="156"/>
        <w:rPr>
          <w:color w:val="auto"/>
          <w:highlight w:val="none"/>
          <w:u w:val="none"/>
        </w:rPr>
      </w:pPr>
      <w:r>
        <w:rPr>
          <w:rFonts w:hint="eastAsia"/>
          <w:color w:val="auto"/>
          <w:highlight w:val="none"/>
          <w:u w:val="none"/>
        </w:rPr>
        <w:t>企业自行监测信息公开要求</w:t>
      </w:r>
      <w:bookmarkEnd w:id="786"/>
      <w:bookmarkEnd w:id="787"/>
    </w:p>
    <w:p w14:paraId="6132983D">
      <w:pPr>
        <w:pStyle w:val="984"/>
        <w:widowControl w:val="0"/>
        <w:ind w:firstLine="480"/>
        <w:rPr>
          <w:color w:val="auto"/>
          <w:highlight w:val="none"/>
          <w:u w:val="none"/>
        </w:rPr>
      </w:pPr>
      <w:r>
        <w:rPr>
          <w:rFonts w:hint="eastAsia"/>
          <w:color w:val="auto"/>
          <w:highlight w:val="none"/>
          <w:u w:val="none"/>
        </w:rPr>
        <w:t>万华福建公司</w:t>
      </w:r>
      <w:r>
        <w:rPr>
          <w:color w:val="auto"/>
          <w:highlight w:val="none"/>
          <w:u w:val="none"/>
        </w:rPr>
        <w:t>排污自行监测信息公开内容及方式按照《企业事业单位环境信息公开办法》（环境保护部令 第31号）及《国家重点监控企业自行监测及信息公开办法（试行）》（环发</w:t>
      </w:r>
      <w:r>
        <w:rPr>
          <w:rFonts w:hint="eastAsia"/>
          <w:color w:val="auto"/>
          <w:highlight w:val="none"/>
          <w:u w:val="none"/>
        </w:rPr>
        <w:t>[</w:t>
      </w:r>
      <w:r>
        <w:rPr>
          <w:color w:val="auto"/>
          <w:highlight w:val="none"/>
          <w:u w:val="none"/>
        </w:rPr>
        <w:t>2013]81号）执行。</w:t>
      </w:r>
    </w:p>
    <w:p w14:paraId="6D073F10">
      <w:pPr>
        <w:pStyle w:val="984"/>
        <w:widowControl w:val="0"/>
        <w:ind w:firstLine="480"/>
        <w:rPr>
          <w:color w:val="auto"/>
          <w:highlight w:val="none"/>
          <w:u w:val="none"/>
        </w:rPr>
      </w:pPr>
      <w:r>
        <w:rPr>
          <w:color w:val="auto"/>
          <w:highlight w:val="none"/>
          <w:u w:val="none"/>
        </w:rPr>
        <w:t>重点排污单位应当公开下列信息：</w:t>
      </w:r>
    </w:p>
    <w:p w14:paraId="4A0B4006">
      <w:pPr>
        <w:pStyle w:val="984"/>
        <w:widowControl w:val="0"/>
        <w:ind w:firstLine="480"/>
        <w:rPr>
          <w:color w:val="auto"/>
          <w:highlight w:val="none"/>
          <w:u w:val="none"/>
        </w:rPr>
      </w:pPr>
      <w:r>
        <w:rPr>
          <w:color w:val="auto"/>
          <w:highlight w:val="none"/>
          <w:u w:val="none"/>
        </w:rPr>
        <w:t>（一）基础信息，包括单位名称、组织机构代码、法定代表人、生产地址、联系方式，以及生产经营和管理服务的主要内容、产品及规模；</w:t>
      </w:r>
    </w:p>
    <w:p w14:paraId="2CA3FFB8">
      <w:pPr>
        <w:pStyle w:val="984"/>
        <w:widowControl w:val="0"/>
        <w:ind w:firstLine="480"/>
        <w:rPr>
          <w:color w:val="auto"/>
          <w:highlight w:val="none"/>
          <w:u w:val="none"/>
        </w:rPr>
      </w:pPr>
      <w:r>
        <w:rPr>
          <w:color w:val="auto"/>
          <w:highlight w:val="none"/>
          <w:u w:val="none"/>
        </w:rPr>
        <w:t>（二）排污信息，包括主要污染物及特征污染物的名称、排放方式、排放口数量和分布情况、排放浓度和总量、超标情况，以及执行的污染物排放标准、核定的排放总量；</w:t>
      </w:r>
    </w:p>
    <w:p w14:paraId="2A961202">
      <w:pPr>
        <w:pStyle w:val="984"/>
        <w:ind w:firstLine="480"/>
        <w:rPr>
          <w:color w:val="auto"/>
          <w:highlight w:val="none"/>
          <w:u w:val="none"/>
        </w:rPr>
      </w:pPr>
      <w:r>
        <w:rPr>
          <w:color w:val="auto"/>
          <w:highlight w:val="none"/>
          <w:u w:val="none"/>
        </w:rPr>
        <w:t>（三）防治污染设施的建设和运行情况；</w:t>
      </w:r>
    </w:p>
    <w:p w14:paraId="5A3D9A3C">
      <w:pPr>
        <w:pStyle w:val="984"/>
        <w:ind w:firstLine="480"/>
        <w:rPr>
          <w:color w:val="auto"/>
          <w:highlight w:val="none"/>
          <w:u w:val="none"/>
        </w:rPr>
      </w:pPr>
      <w:r>
        <w:rPr>
          <w:color w:val="auto"/>
          <w:highlight w:val="none"/>
          <w:u w:val="none"/>
        </w:rPr>
        <w:t>（四）建设项目环境影响评价及其他环境保护行政许可情况；</w:t>
      </w:r>
    </w:p>
    <w:p w14:paraId="0852E2E4">
      <w:pPr>
        <w:pStyle w:val="984"/>
        <w:ind w:firstLine="480"/>
        <w:rPr>
          <w:color w:val="auto"/>
          <w:highlight w:val="none"/>
          <w:u w:val="none"/>
        </w:rPr>
      </w:pPr>
      <w:r>
        <w:rPr>
          <w:color w:val="auto"/>
          <w:highlight w:val="none"/>
          <w:u w:val="none"/>
        </w:rPr>
        <w:t>（五）突发环境事件应急预案；</w:t>
      </w:r>
    </w:p>
    <w:p w14:paraId="6ED6F84D">
      <w:pPr>
        <w:pStyle w:val="984"/>
        <w:ind w:firstLine="480"/>
        <w:rPr>
          <w:color w:val="auto"/>
          <w:highlight w:val="none"/>
          <w:u w:val="none"/>
        </w:rPr>
      </w:pPr>
      <w:r>
        <w:rPr>
          <w:color w:val="auto"/>
          <w:highlight w:val="none"/>
          <w:u w:val="none"/>
        </w:rPr>
        <w:t>（六）其他应当公开的环境信息。</w:t>
      </w:r>
    </w:p>
    <w:p w14:paraId="48009A02">
      <w:pPr>
        <w:pStyle w:val="984"/>
        <w:ind w:firstLine="480"/>
        <w:rPr>
          <w:color w:val="auto"/>
          <w:highlight w:val="none"/>
          <w:u w:val="none"/>
        </w:rPr>
      </w:pPr>
      <w:r>
        <w:rPr>
          <w:color w:val="auto"/>
          <w:highlight w:val="none"/>
          <w:u w:val="none"/>
        </w:rPr>
        <w:t>列入国家重点监控企业名单的重点排污单位还应当公开其环境自行监测方案。</w:t>
      </w:r>
    </w:p>
    <w:p w14:paraId="5A211844">
      <w:pPr>
        <w:pStyle w:val="984"/>
        <w:ind w:firstLine="480"/>
        <w:rPr>
          <w:color w:val="auto"/>
          <w:highlight w:val="none"/>
          <w:u w:val="none"/>
        </w:rPr>
      </w:pPr>
      <w:r>
        <w:rPr>
          <w:color w:val="auto"/>
          <w:highlight w:val="none"/>
          <w:u w:val="none"/>
        </w:rPr>
        <w:t>重点排污单位应当通过其网站、企业事业单位环境信息公开平台或者当地报刊等便于公众知晓的方式公开环境信息，同时可以采取以下一种或者几种方式予以公开：</w:t>
      </w:r>
    </w:p>
    <w:p w14:paraId="42ACC4DD">
      <w:pPr>
        <w:pStyle w:val="984"/>
        <w:ind w:firstLine="480"/>
        <w:rPr>
          <w:color w:val="auto"/>
          <w:highlight w:val="none"/>
          <w:u w:val="none"/>
        </w:rPr>
      </w:pPr>
      <w:r>
        <w:rPr>
          <w:color w:val="auto"/>
          <w:highlight w:val="none"/>
          <w:u w:val="none"/>
        </w:rPr>
        <w:t>（一）公告或者公开发行的信息专刊；</w:t>
      </w:r>
    </w:p>
    <w:p w14:paraId="79093C28">
      <w:pPr>
        <w:pStyle w:val="984"/>
        <w:ind w:firstLine="480"/>
        <w:rPr>
          <w:color w:val="auto"/>
          <w:highlight w:val="none"/>
          <w:u w:val="none"/>
        </w:rPr>
      </w:pPr>
      <w:r>
        <w:rPr>
          <w:color w:val="auto"/>
          <w:highlight w:val="none"/>
          <w:u w:val="none"/>
        </w:rPr>
        <w:t>（二）广播、电视等新闻媒体；</w:t>
      </w:r>
    </w:p>
    <w:p w14:paraId="7255BD9E">
      <w:pPr>
        <w:pStyle w:val="984"/>
        <w:ind w:firstLine="480"/>
        <w:rPr>
          <w:color w:val="auto"/>
          <w:highlight w:val="none"/>
          <w:u w:val="none"/>
        </w:rPr>
      </w:pPr>
      <w:r>
        <w:rPr>
          <w:color w:val="auto"/>
          <w:highlight w:val="none"/>
          <w:u w:val="none"/>
        </w:rPr>
        <w:t>（三）信息公开服务、监督热线电话；</w:t>
      </w:r>
    </w:p>
    <w:p w14:paraId="5E585699">
      <w:pPr>
        <w:pStyle w:val="984"/>
        <w:ind w:firstLine="480"/>
        <w:rPr>
          <w:color w:val="auto"/>
          <w:highlight w:val="none"/>
          <w:u w:val="none"/>
        </w:rPr>
      </w:pPr>
      <w:r>
        <w:rPr>
          <w:color w:val="auto"/>
          <w:highlight w:val="none"/>
          <w:u w:val="none"/>
        </w:rPr>
        <w:t>（四）本单位的资料索取点、信息公开栏、信息亭、电子屏幕、电子触摸屏等场所或者设施；</w:t>
      </w:r>
    </w:p>
    <w:p w14:paraId="7DFF23B0">
      <w:pPr>
        <w:pStyle w:val="984"/>
        <w:ind w:firstLine="480"/>
        <w:rPr>
          <w:color w:val="auto"/>
          <w:highlight w:val="none"/>
          <w:u w:val="none"/>
        </w:rPr>
      </w:pPr>
      <w:r>
        <w:rPr>
          <w:color w:val="auto"/>
          <w:highlight w:val="none"/>
          <w:u w:val="none"/>
        </w:rPr>
        <w:t>（五）其他便于公众及时、准确获得信息的方式。</w:t>
      </w:r>
    </w:p>
    <w:p w14:paraId="40091DA9">
      <w:pPr>
        <w:pStyle w:val="984"/>
        <w:ind w:firstLine="480"/>
        <w:rPr>
          <w:color w:val="auto"/>
          <w:highlight w:val="none"/>
          <w:u w:val="none"/>
        </w:rPr>
      </w:pPr>
      <w:r>
        <w:rPr>
          <w:color w:val="auto"/>
          <w:highlight w:val="none"/>
          <w:u w:val="none"/>
        </w:rPr>
        <w:t>重点排污单位应当在环境保护主管部门公布重点排污单位名录后90日内公开办法规定的环境信息；环境信息有新生成或者发生变更情形的，重点排污单位应当自环境信息生成或者变更之日起30日内予以公开。</w:t>
      </w:r>
    </w:p>
    <w:p w14:paraId="38C3A6A6">
      <w:pPr>
        <w:pStyle w:val="6"/>
        <w:spacing w:before="156" w:after="156"/>
        <w:rPr>
          <w:color w:val="auto"/>
          <w:highlight w:val="none"/>
          <w:u w:val="none"/>
          <w:lang w:val="en-US"/>
        </w:rPr>
      </w:pPr>
      <w:bookmarkStart w:id="788" w:name="_Toc148375185"/>
      <w:bookmarkStart w:id="789" w:name="_Toc148374743"/>
      <w:r>
        <w:rPr>
          <w:rFonts w:hint="eastAsia"/>
          <w:color w:val="auto"/>
          <w:highlight w:val="none"/>
          <w:u w:val="none"/>
          <w:lang w:val="en-US"/>
        </w:rPr>
        <w:t>有毒有害气体自动监测和日常巡查方案</w:t>
      </w:r>
      <w:bookmarkEnd w:id="788"/>
      <w:bookmarkEnd w:id="789"/>
    </w:p>
    <w:p w14:paraId="44DD085E">
      <w:pPr>
        <w:pStyle w:val="984"/>
        <w:ind w:firstLine="480"/>
        <w:rPr>
          <w:color w:val="auto"/>
          <w:highlight w:val="none"/>
          <w:u w:val="none"/>
        </w:rPr>
      </w:pPr>
      <w:r>
        <w:rPr>
          <w:color w:val="auto"/>
          <w:highlight w:val="none"/>
          <w:u w:val="none"/>
        </w:rPr>
        <w:t>在装置区可能泄漏并集聚易燃易爆气体、有毒气体的场所，按有关规范的要求设置可燃气体、有毒有害气体报警器，同时在作业现场能发出声光报警信号。在中控室内对可燃性气体、有毒有害气体的浓度进行集中监视和超限报警设置。</w:t>
      </w:r>
    </w:p>
    <w:p w14:paraId="6E96E4B9">
      <w:pPr>
        <w:pStyle w:val="984"/>
        <w:ind w:firstLine="480"/>
        <w:rPr>
          <w:color w:val="auto"/>
          <w:highlight w:val="none"/>
          <w:u w:val="none"/>
        </w:rPr>
      </w:pPr>
      <w:r>
        <w:rPr>
          <w:color w:val="auto"/>
          <w:highlight w:val="none"/>
          <w:u w:val="none"/>
        </w:rPr>
        <w:t>配备专职人员对生产装置设备、管道、管廊、储罐等进行日常巡查，随身携带便携式有毒有害气体检测仪，一旦发现泄漏、有异味等情况立即进行监测分析，并将情况上报以便采取相应措施。日常巡查的目标应确保整个生产、储运流程中出现的泄漏点能够被及时发现并得到有效控制。出现泄漏事故应立即上报当地生态环境行政主管部门。</w:t>
      </w:r>
    </w:p>
    <w:p w14:paraId="2DD18099">
      <w:pPr>
        <w:pStyle w:val="6"/>
        <w:spacing w:before="156" w:after="156"/>
        <w:rPr>
          <w:color w:val="auto"/>
          <w:highlight w:val="none"/>
          <w:u w:val="none"/>
          <w:lang w:val="en-US"/>
        </w:rPr>
      </w:pPr>
      <w:bookmarkStart w:id="790" w:name="_Toc148374744"/>
      <w:bookmarkStart w:id="791" w:name="_Toc148375186"/>
      <w:r>
        <w:rPr>
          <w:rFonts w:hint="eastAsia"/>
          <w:color w:val="auto"/>
          <w:highlight w:val="none"/>
          <w:u w:val="none"/>
          <w:lang w:val="en-US"/>
        </w:rPr>
        <w:t>事故应急监测方案</w:t>
      </w:r>
      <w:bookmarkEnd w:id="790"/>
      <w:bookmarkEnd w:id="791"/>
    </w:p>
    <w:p w14:paraId="593F3CEE">
      <w:pPr>
        <w:pStyle w:val="981"/>
        <w:rPr>
          <w:rFonts w:hint="eastAsia"/>
          <w:color w:val="auto"/>
          <w:highlight w:val="none"/>
          <w:u w:val="none"/>
        </w:rPr>
      </w:pPr>
      <w:r>
        <w:rPr>
          <w:rFonts w:hint="eastAsia"/>
          <w:color w:val="auto"/>
          <w:highlight w:val="none"/>
          <w:u w:val="none"/>
        </w:rPr>
        <w:t>事故预案中应包括应急监测程序，运行过程中一旦发生事故，应立即启动应急监测程序，并跟踪监测污染物的迁移情况，直至事故影响根本消除。事故应急监测方案应与所在地附近环境监测部门共同制订和实施，环境监测人员在工作时间</w:t>
      </w:r>
      <w:r>
        <w:rPr>
          <w:color w:val="auto"/>
          <w:highlight w:val="none"/>
          <w:u w:val="none"/>
        </w:rPr>
        <w:t>1h内、非工作时间2h内要到达事故现场，需实验室分析测试的项目，在采样后24h内必须报出，应急监测专题报告在48h内要报出。根据事故发生源，污染物泄漏种类的分析成果，监测事故的特征因子。</w:t>
      </w:r>
    </w:p>
    <w:p w14:paraId="6A115E02">
      <w:pPr>
        <w:pStyle w:val="981"/>
        <w:rPr>
          <w:rFonts w:hint="eastAsia"/>
          <w:color w:val="auto"/>
          <w:highlight w:val="none"/>
          <w:u w:val="none"/>
        </w:rPr>
      </w:pPr>
      <w:r>
        <w:rPr>
          <w:rFonts w:hint="eastAsia"/>
          <w:color w:val="auto"/>
          <w:highlight w:val="none"/>
          <w:u w:val="none"/>
        </w:rPr>
        <w:t>（</w:t>
      </w:r>
      <w:r>
        <w:rPr>
          <w:color w:val="auto"/>
          <w:highlight w:val="none"/>
          <w:u w:val="none"/>
        </w:rPr>
        <w:t>1）大气污染事故监测方案</w:t>
      </w:r>
    </w:p>
    <w:p w14:paraId="375073FB">
      <w:pPr>
        <w:pStyle w:val="981"/>
        <w:rPr>
          <w:rFonts w:hint="eastAsia"/>
          <w:color w:val="auto"/>
          <w:highlight w:val="none"/>
          <w:u w:val="none"/>
        </w:rPr>
      </w:pPr>
      <w:r>
        <w:rPr>
          <w:rFonts w:hint="eastAsia"/>
          <w:color w:val="auto"/>
          <w:highlight w:val="none"/>
          <w:u w:val="none"/>
        </w:rPr>
        <w:t>发生大气污染事故时，应急监测组要立即组织对下风向地区及环境敏感目标进行特征污染物及环境质量监测，等确定污染危害消除后，所撤离人员方可返回。</w:t>
      </w:r>
    </w:p>
    <w:p w14:paraId="247E2453">
      <w:pPr>
        <w:pStyle w:val="981"/>
        <w:rPr>
          <w:rFonts w:hint="eastAsia"/>
          <w:color w:val="auto"/>
          <w:highlight w:val="none"/>
          <w:u w:val="none"/>
        </w:rPr>
      </w:pPr>
      <w:r>
        <w:rPr>
          <w:rFonts w:hint="eastAsia"/>
          <w:color w:val="auto"/>
          <w:highlight w:val="none"/>
          <w:u w:val="none"/>
        </w:rPr>
        <w:t>（</w:t>
      </w:r>
      <w:r>
        <w:rPr>
          <w:color w:val="auto"/>
          <w:highlight w:val="none"/>
          <w:u w:val="none"/>
        </w:rPr>
        <w:t>2）水污染事故监测方案</w:t>
      </w:r>
    </w:p>
    <w:p w14:paraId="16444A37">
      <w:pPr>
        <w:pStyle w:val="981"/>
        <w:rPr>
          <w:rFonts w:hint="eastAsia"/>
          <w:color w:val="auto"/>
          <w:highlight w:val="none"/>
          <w:u w:val="none"/>
        </w:rPr>
      </w:pPr>
      <w:r>
        <w:rPr>
          <w:rFonts w:hint="eastAsia"/>
          <w:color w:val="auto"/>
          <w:highlight w:val="none"/>
          <w:u w:val="none"/>
        </w:rPr>
        <w:t>①出现水污染事故，应急监测组要立即组织相关单位对各排放口针对特征污染物进行监测，并及时报告应急指挥部采取相关措施。事故池启动后，雨排水口正常排雨时，要对事故池排水口和雨排水口进行跟踪监测，防范二次污染危害。</w:t>
      </w:r>
    </w:p>
    <w:p w14:paraId="54DFCD16">
      <w:pPr>
        <w:pStyle w:val="981"/>
        <w:rPr>
          <w:rFonts w:hint="eastAsia"/>
          <w:color w:val="auto"/>
          <w:highlight w:val="none"/>
          <w:u w:val="none"/>
        </w:rPr>
      </w:pPr>
      <w:r>
        <w:rPr>
          <w:rFonts w:hint="eastAsia"/>
          <w:color w:val="auto"/>
          <w:highlight w:val="none"/>
          <w:u w:val="none"/>
        </w:rPr>
        <w:t>②事故情况下废水泄入园区内河时，应急监测组应与生态环境局、环境监察支队等单位协同对园区内河及入海口周边海域进行污染跟踪监测，直至污染消除为止。</w:t>
      </w:r>
    </w:p>
    <w:p w14:paraId="28CBAC2C">
      <w:pPr>
        <w:pStyle w:val="981"/>
        <w:rPr>
          <w:rFonts w:hint="eastAsia"/>
          <w:color w:val="auto"/>
          <w:highlight w:val="none"/>
          <w:u w:val="none"/>
        </w:rPr>
      </w:pPr>
      <w:r>
        <w:rPr>
          <w:rFonts w:hint="eastAsia"/>
          <w:color w:val="auto"/>
          <w:highlight w:val="none"/>
          <w:u w:val="none"/>
        </w:rPr>
        <w:t>（</w:t>
      </w:r>
      <w:r>
        <w:rPr>
          <w:color w:val="auto"/>
          <w:highlight w:val="none"/>
          <w:u w:val="none"/>
        </w:rPr>
        <w:t>3）泄漏事件监测</w:t>
      </w:r>
    </w:p>
    <w:p w14:paraId="2898CC08">
      <w:pPr>
        <w:pStyle w:val="981"/>
        <w:rPr>
          <w:rFonts w:hint="eastAsia"/>
          <w:color w:val="auto"/>
          <w:highlight w:val="none"/>
          <w:u w:val="none"/>
        </w:rPr>
      </w:pPr>
      <w:r>
        <w:rPr>
          <w:rFonts w:hint="eastAsia"/>
          <w:color w:val="auto"/>
          <w:highlight w:val="none"/>
          <w:u w:val="none"/>
        </w:rPr>
        <w:t>危险化学品在厂区外发生泄漏，应急监测组要对空气质量、水环境质量、所污染区域的土壤、地下水进行应急监测及跟踪监测。</w:t>
      </w:r>
    </w:p>
    <w:p w14:paraId="08D823A7">
      <w:pPr>
        <w:pStyle w:val="6"/>
        <w:spacing w:before="156" w:after="156"/>
        <w:rPr>
          <w:color w:val="auto"/>
          <w:highlight w:val="none"/>
          <w:u w:val="none"/>
        </w:rPr>
      </w:pPr>
      <w:bookmarkStart w:id="792" w:name="_Toc148375187"/>
      <w:bookmarkStart w:id="793" w:name="_Toc148374745"/>
      <w:r>
        <w:rPr>
          <w:rFonts w:hint="eastAsia"/>
          <w:color w:val="auto"/>
          <w:highlight w:val="none"/>
          <w:u w:val="none"/>
        </w:rPr>
        <w:t>监测资料的管理</w:t>
      </w:r>
      <w:bookmarkEnd w:id="792"/>
      <w:bookmarkEnd w:id="793"/>
    </w:p>
    <w:p w14:paraId="66DC81DA">
      <w:pPr>
        <w:pStyle w:val="981"/>
        <w:rPr>
          <w:rFonts w:hint="eastAsia"/>
          <w:color w:val="auto"/>
          <w:highlight w:val="none"/>
          <w:u w:val="none"/>
        </w:rPr>
      </w:pPr>
      <w:r>
        <w:rPr>
          <w:rFonts w:hint="eastAsia"/>
          <w:color w:val="auto"/>
          <w:highlight w:val="none"/>
          <w:u w:val="none"/>
        </w:rPr>
        <w:t>项目验收合格后，环境管理机构应根据监测计划，定期对污染源进行监测，监测结果在监测结束后一个月内上报生态环境主管部门。</w:t>
      </w:r>
    </w:p>
    <w:p w14:paraId="346E6D46">
      <w:pPr>
        <w:pStyle w:val="981"/>
        <w:rPr>
          <w:rFonts w:hint="eastAsia"/>
          <w:color w:val="auto"/>
          <w:highlight w:val="none"/>
          <w:u w:val="none"/>
        </w:rPr>
      </w:pPr>
      <w:r>
        <w:rPr>
          <w:rFonts w:hint="eastAsia"/>
          <w:color w:val="auto"/>
          <w:highlight w:val="none"/>
          <w:u w:val="none"/>
        </w:rPr>
        <w:t>监测数据应由建设单位和当地生态环境监测站分别建立数据库统一存档，作为编制环境质量报告书和监测年鉴的原始材料。监测数据应长期保存，并定期接受生态环境部门的考核。</w:t>
      </w:r>
    </w:p>
    <w:p w14:paraId="0B62F18C">
      <w:pPr>
        <w:pStyle w:val="981"/>
        <w:rPr>
          <w:rFonts w:hint="eastAsia"/>
          <w:color w:val="auto"/>
          <w:highlight w:val="none"/>
          <w:u w:val="none"/>
        </w:rPr>
      </w:pPr>
      <w:r>
        <w:rPr>
          <w:rFonts w:hint="eastAsia"/>
          <w:color w:val="auto"/>
          <w:highlight w:val="none"/>
          <w:u w:val="none"/>
        </w:rPr>
        <w:t>每次数据应及时由专人管理、统计，如有异常，立即向上级有关部门通报，并做好监测资料的归档、备查工作，建议建设单位定期将监测数据上墙公示，接受监督。</w:t>
      </w:r>
    </w:p>
    <w:p w14:paraId="6DD9368A">
      <w:pPr>
        <w:pStyle w:val="4"/>
        <w:rPr>
          <w:color w:val="auto"/>
          <w:highlight w:val="none"/>
          <w:u w:val="none"/>
          <w:lang w:val="en-GB"/>
        </w:rPr>
      </w:pPr>
      <w:bookmarkStart w:id="794" w:name="_Toc27684"/>
      <w:bookmarkStart w:id="795" w:name="_Toc148374853"/>
      <w:bookmarkStart w:id="796" w:name="_Toc148374749"/>
      <w:bookmarkStart w:id="797" w:name="_Toc148375191"/>
      <w:r>
        <w:rPr>
          <w:rFonts w:hint="eastAsia"/>
          <w:color w:val="auto"/>
          <w:highlight w:val="none"/>
          <w:u w:val="none"/>
          <w:lang w:val="en-GB"/>
        </w:rPr>
        <w:t>总量控制</w:t>
      </w:r>
      <w:bookmarkEnd w:id="794"/>
      <w:bookmarkEnd w:id="795"/>
      <w:bookmarkEnd w:id="796"/>
      <w:bookmarkEnd w:id="797"/>
    </w:p>
    <w:p w14:paraId="410E2C31">
      <w:pPr>
        <w:pStyle w:val="6"/>
        <w:spacing w:before="156" w:after="156"/>
        <w:rPr>
          <w:color w:val="auto"/>
          <w:highlight w:val="none"/>
          <w:u w:val="none"/>
        </w:rPr>
      </w:pPr>
      <w:bookmarkStart w:id="798" w:name="_Toc148374750"/>
      <w:bookmarkStart w:id="799" w:name="_Toc148375192"/>
      <w:r>
        <w:rPr>
          <w:color w:val="auto"/>
          <w:highlight w:val="none"/>
          <w:u w:val="none"/>
        </w:rPr>
        <w:t>污染物总量控制原则</w:t>
      </w:r>
      <w:bookmarkEnd w:id="798"/>
      <w:bookmarkEnd w:id="799"/>
    </w:p>
    <w:p w14:paraId="57C2288B">
      <w:pPr>
        <w:rPr>
          <w:rFonts w:hint="eastAsia"/>
          <w:color w:val="auto"/>
          <w:highlight w:val="none"/>
          <w:u w:val="none"/>
        </w:rPr>
      </w:pPr>
      <w:r>
        <w:rPr>
          <w:rFonts w:hint="eastAsia"/>
          <w:color w:val="auto"/>
          <w:highlight w:val="none"/>
          <w:u w:val="none"/>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4E9A470B">
      <w:pPr>
        <w:rPr>
          <w:rFonts w:hint="eastAsia"/>
          <w:color w:val="auto"/>
          <w:highlight w:val="none"/>
          <w:u w:val="none"/>
        </w:rPr>
      </w:pPr>
      <w:r>
        <w:rPr>
          <w:rFonts w:hint="eastAsia"/>
          <w:color w:val="auto"/>
          <w:highlight w:val="none"/>
          <w:u w:val="none"/>
        </w:rPr>
        <w:t>根据国家当前的产业政策和环保技术政策，制定本项目污染物总量控制原则和方法，提出污染物总量控制思路：</w:t>
      </w:r>
    </w:p>
    <w:p w14:paraId="0FA45614">
      <w:pPr>
        <w:rPr>
          <w:rFonts w:hint="eastAsia"/>
          <w:color w:val="auto"/>
          <w:highlight w:val="none"/>
          <w:u w:val="none"/>
        </w:rPr>
      </w:pPr>
      <w:r>
        <w:rPr>
          <w:rFonts w:hint="eastAsia"/>
          <w:color w:val="auto"/>
          <w:highlight w:val="none"/>
          <w:u w:val="none"/>
        </w:rPr>
        <w:t>（1）以国家产业政策为指导，分析产品方向的合理性和规模效益水平；</w:t>
      </w:r>
    </w:p>
    <w:p w14:paraId="2E86F204">
      <w:pPr>
        <w:rPr>
          <w:rFonts w:hint="eastAsia"/>
          <w:color w:val="auto"/>
          <w:highlight w:val="none"/>
          <w:u w:val="none"/>
        </w:rPr>
      </w:pPr>
      <w:r>
        <w:rPr>
          <w:rFonts w:hint="eastAsia"/>
          <w:color w:val="auto"/>
          <w:highlight w:val="none"/>
          <w:u w:val="none"/>
        </w:rPr>
        <w:t>（2）采用全方位总量控制思想，提高资源的综合利用率，选用清洁能源，降低能耗水平，实现清洁生产，将污染尽可能消除在生产过程中；</w:t>
      </w:r>
    </w:p>
    <w:p w14:paraId="09FF5880">
      <w:pPr>
        <w:rPr>
          <w:rFonts w:hint="eastAsia"/>
          <w:color w:val="auto"/>
          <w:highlight w:val="none"/>
          <w:u w:val="none"/>
        </w:rPr>
      </w:pPr>
      <w:r>
        <w:rPr>
          <w:rFonts w:hint="eastAsia"/>
          <w:color w:val="auto"/>
          <w:highlight w:val="none"/>
          <w:u w:val="none"/>
        </w:rPr>
        <w:t>（3）强化中、末端控制，降低污染物的排放水平，实现达标排放；</w:t>
      </w:r>
    </w:p>
    <w:p w14:paraId="23F2E032">
      <w:pPr>
        <w:rPr>
          <w:rFonts w:hint="eastAsia"/>
          <w:color w:val="auto"/>
          <w:highlight w:val="none"/>
          <w:u w:val="none"/>
        </w:rPr>
      </w:pPr>
      <w:r>
        <w:rPr>
          <w:rFonts w:hint="eastAsia"/>
          <w:color w:val="auto"/>
          <w:highlight w:val="none"/>
          <w:u w:val="none"/>
        </w:rPr>
        <w:t>（4）满足地方环境管理要求，参照区域总量控制规划，使项目造成的环境影响低于项目所在地区的环境保护目标控制水平。</w:t>
      </w:r>
    </w:p>
    <w:p w14:paraId="378FB2C2">
      <w:pPr>
        <w:pStyle w:val="6"/>
        <w:spacing w:before="156" w:after="156"/>
        <w:rPr>
          <w:color w:val="auto"/>
          <w:highlight w:val="none"/>
          <w:u w:val="none"/>
        </w:rPr>
      </w:pPr>
      <w:bookmarkStart w:id="800" w:name="_Toc148374751"/>
      <w:bookmarkStart w:id="801" w:name="_Toc148375193"/>
      <w:r>
        <w:rPr>
          <w:color w:val="auto"/>
          <w:highlight w:val="none"/>
          <w:u w:val="none"/>
        </w:rPr>
        <w:t>污染物总量控制因子</w:t>
      </w:r>
      <w:bookmarkEnd w:id="800"/>
      <w:bookmarkEnd w:id="801"/>
    </w:p>
    <w:p w14:paraId="1EC99917">
      <w:pPr>
        <w:rPr>
          <w:rFonts w:hint="eastAsia"/>
          <w:color w:val="auto"/>
          <w:highlight w:val="none"/>
          <w:u w:val="none"/>
        </w:rPr>
      </w:pPr>
      <w:r>
        <w:rPr>
          <w:rFonts w:hint="eastAsia"/>
          <w:color w:val="auto"/>
          <w:highlight w:val="none"/>
          <w:u w:val="none"/>
        </w:rPr>
        <w:t>根据福建省政府出台的《关于推进排污权有偿使用和交易工作的意见（试行）》（闽政[2014]24号），实施排污权有偿使用和交易的污染物为国家实施总量的主要污染物，现阶段包括化学需氧量、氨氮、二氧化硫、氮氧化物。</w:t>
      </w:r>
    </w:p>
    <w:p w14:paraId="3702CE50">
      <w:pPr>
        <w:rPr>
          <w:rFonts w:hint="eastAsia" w:cs="宋体"/>
          <w:color w:val="auto"/>
          <w:szCs w:val="20"/>
          <w:highlight w:val="none"/>
          <w:u w:val="none"/>
        </w:rPr>
      </w:pPr>
      <w:r>
        <w:rPr>
          <w:rFonts w:hint="eastAsia" w:cs="宋体"/>
          <w:color w:val="auto"/>
          <w:szCs w:val="20"/>
          <w:highlight w:val="none"/>
          <w:u w:val="none"/>
        </w:rPr>
        <w:t>为满足国家总量控制要求，本项目的工业废水中，污染物总量控制因子确定为：</w:t>
      </w:r>
      <w:bookmarkStart w:id="802" w:name="OLE_LINK12"/>
      <w:r>
        <w:rPr>
          <w:rFonts w:hint="eastAsia" w:cs="宋体"/>
          <w:color w:val="auto"/>
          <w:szCs w:val="20"/>
          <w:highlight w:val="none"/>
          <w:u w:val="none"/>
        </w:rPr>
        <w:t>化学需氧量、氨氮</w:t>
      </w:r>
      <w:bookmarkEnd w:id="802"/>
      <w:r>
        <w:rPr>
          <w:rFonts w:hint="eastAsia" w:cs="宋体"/>
          <w:color w:val="auto"/>
          <w:szCs w:val="20"/>
          <w:highlight w:val="none"/>
          <w:u w:val="none"/>
        </w:rPr>
        <w:t>。工业废气中，污染物总量控制因子为氮氧化物。另外废气中的VOCs执行总量控制计划管理。</w:t>
      </w:r>
    </w:p>
    <w:p w14:paraId="01B1AD6E">
      <w:pPr>
        <w:rPr>
          <w:rFonts w:hint="eastAsia"/>
          <w:color w:val="auto"/>
          <w:highlight w:val="none"/>
          <w:u w:val="none"/>
        </w:rPr>
      </w:pPr>
      <w:r>
        <w:rPr>
          <w:rFonts w:hint="eastAsia"/>
          <w:color w:val="auto"/>
          <w:highlight w:val="none"/>
          <w:u w:val="none"/>
        </w:rPr>
        <w:t>（1）氮氧化物总量控制</w:t>
      </w:r>
    </w:p>
    <w:p w14:paraId="18570AB0">
      <w:pPr>
        <w:rPr>
          <w:rFonts w:hAnsi="Times New Roman"/>
          <w:color w:val="auto"/>
          <w:szCs w:val="28"/>
          <w:highlight w:val="none"/>
          <w:u w:val="none"/>
        </w:rPr>
      </w:pPr>
      <w:r>
        <w:rPr>
          <w:rFonts w:hint="eastAsia"/>
          <w:color w:val="auto"/>
          <w:highlight w:val="none"/>
          <w:u w:val="none"/>
        </w:rPr>
        <w:t>由于本项目酸性废气、碱性废气、反应驰放气、光化尾气等委托万华环保科技公司能量回收装置焚烧处置，项目委托焚烧的废气量在能量回收装置设计及批复的流量范围内，能量回收装置焚烧废气排放的氮氧化物总量指标纳入万华环保科技公司</w:t>
      </w:r>
      <w:r>
        <w:rPr>
          <w:rFonts w:hAnsi="Times New Roman"/>
          <w:color w:val="auto"/>
          <w:szCs w:val="28"/>
          <w:highlight w:val="none"/>
          <w:u w:val="none"/>
        </w:rPr>
        <w:t>排污权交易</w:t>
      </w:r>
      <w:r>
        <w:rPr>
          <w:rFonts w:hint="eastAsia" w:hAnsi="Times New Roman"/>
          <w:color w:val="auto"/>
          <w:szCs w:val="28"/>
          <w:highlight w:val="none"/>
          <w:u w:val="none"/>
        </w:rPr>
        <w:t>管理。</w:t>
      </w:r>
    </w:p>
    <w:p w14:paraId="5E41BE7B">
      <w:pPr>
        <w:rPr>
          <w:rFonts w:hAnsi="Times New Roman"/>
          <w:color w:val="auto"/>
          <w:szCs w:val="28"/>
          <w:highlight w:val="none"/>
          <w:u w:val="none"/>
        </w:rPr>
      </w:pPr>
      <w:r>
        <w:rPr>
          <w:rFonts w:hint="eastAsia" w:hAnsi="Times New Roman"/>
          <w:color w:val="auto"/>
          <w:szCs w:val="28"/>
          <w:highlight w:val="none"/>
          <w:u w:val="none"/>
        </w:rPr>
        <w:t>（2）</w:t>
      </w:r>
      <w:r>
        <w:rPr>
          <w:rFonts w:hint="eastAsia" w:cs="宋体"/>
          <w:color w:val="auto"/>
          <w:szCs w:val="20"/>
          <w:highlight w:val="none"/>
          <w:u w:val="none"/>
        </w:rPr>
        <w:t>化学需氧量、氨氮</w:t>
      </w:r>
      <w:r>
        <w:rPr>
          <w:rFonts w:hint="eastAsia"/>
          <w:color w:val="auto"/>
          <w:highlight w:val="none"/>
          <w:u w:val="none"/>
        </w:rPr>
        <w:t>总量控制</w:t>
      </w:r>
    </w:p>
    <w:p w14:paraId="275ED0C3">
      <w:r>
        <w:rPr>
          <w:rFonts w:hint="eastAsia" w:hAnsi="Times New Roman"/>
          <w:szCs w:val="28"/>
        </w:rPr>
        <w:t>本项目外排废水为依托</w:t>
      </w:r>
      <w:r>
        <w:rPr>
          <w:rFonts w:hint="eastAsia"/>
        </w:rPr>
        <w:t>万华环保科技公司</w:t>
      </w:r>
      <w:r>
        <w:rPr>
          <w:rFonts w:hint="eastAsia" w:hAnsi="Times New Roman"/>
          <w:szCs w:val="28"/>
        </w:rPr>
        <w:t>废水处理系统处理后达标排放的废水，其污染物排放总量纳入本项目排污管理。</w:t>
      </w:r>
      <w:r>
        <w:rPr>
          <w:rFonts w:hint="eastAsia"/>
        </w:rPr>
        <w:t>建设单位应尽快自行按照生态环境行政主管部门的要求，办理本项目废水总量指标的相关手续。</w:t>
      </w:r>
      <w:r>
        <w:rPr>
          <w:rFonts w:hint="eastAsia"/>
          <w:lang w:val="en-US"/>
        </w:rPr>
        <w:t>本次技改扩能</w:t>
      </w:r>
      <w:r>
        <w:rPr>
          <w:rFonts w:hint="eastAsia"/>
        </w:rPr>
        <w:t>项目建设后，TDI项目水污染物排放总量为：</w:t>
      </w:r>
    </w:p>
    <w:p w14:paraId="0529BABC">
      <w:r>
        <w:t>COD：</w:t>
      </w:r>
      <w:r>
        <w:rPr>
          <w:rFonts w:hint="eastAsia"/>
          <w:lang w:val="en-US"/>
        </w:rPr>
        <w:t>本次TDI一期技改扩能后COD无需进行排污权交易</w:t>
      </w:r>
      <w:r>
        <w:rPr>
          <w:rFonts w:hint="eastAsia"/>
        </w:rPr>
        <w:t>。</w:t>
      </w:r>
    </w:p>
    <w:p w14:paraId="13471ADB">
      <w:pPr>
        <w:rPr>
          <w:rFonts w:cs="宋体"/>
          <w:szCs w:val="20"/>
        </w:rPr>
      </w:pPr>
      <w:r>
        <w:t>NH</w:t>
      </w:r>
      <w:r>
        <w:rPr>
          <w:vertAlign w:val="subscript"/>
        </w:rPr>
        <w:t>3</w:t>
      </w:r>
      <w:r>
        <w:t>-N：</w:t>
      </w:r>
      <w:r>
        <w:rPr>
          <w:rFonts w:hint="eastAsia"/>
          <w:lang w:val="en-US"/>
        </w:rPr>
        <w:t>本次TDI一期技改扩能后</w:t>
      </w:r>
      <w:r>
        <w:t>NH</w:t>
      </w:r>
      <w:r>
        <w:rPr>
          <w:vertAlign w:val="subscript"/>
        </w:rPr>
        <w:t>3</w:t>
      </w:r>
      <w:r>
        <w:t>-N</w:t>
      </w:r>
      <w:r>
        <w:rPr>
          <w:rFonts w:hint="eastAsia"/>
          <w:lang w:val="en-US"/>
        </w:rPr>
        <w:t>无需进行排污权交易</w:t>
      </w:r>
      <w:r>
        <w:rPr>
          <w:rFonts w:hint="eastAsia"/>
        </w:rPr>
        <w:t>。</w:t>
      </w:r>
    </w:p>
    <w:p w14:paraId="692BC42A">
      <w:pPr>
        <w:rPr>
          <w:rFonts w:hint="eastAsia"/>
          <w:color w:val="auto"/>
          <w:highlight w:val="none"/>
          <w:u w:val="none"/>
        </w:rPr>
      </w:pPr>
      <w:r>
        <w:rPr>
          <w:rFonts w:hint="eastAsia"/>
          <w:color w:val="auto"/>
          <w:highlight w:val="none"/>
          <w:u w:val="none"/>
        </w:rPr>
        <w:t>（</w:t>
      </w:r>
      <w:r>
        <w:rPr>
          <w:color w:val="auto"/>
          <w:highlight w:val="none"/>
          <w:u w:val="none"/>
        </w:rPr>
        <w:t>3</w:t>
      </w:r>
      <w:r>
        <w:rPr>
          <w:rFonts w:hint="eastAsia"/>
          <w:color w:val="auto"/>
          <w:highlight w:val="none"/>
          <w:u w:val="none"/>
        </w:rPr>
        <w:t>）VOCs</w:t>
      </w:r>
      <w:r>
        <w:rPr>
          <w:color w:val="auto"/>
          <w:highlight w:val="none"/>
          <w:u w:val="none"/>
        </w:rPr>
        <w:t>排放总量</w:t>
      </w:r>
    </w:p>
    <w:p w14:paraId="4F117BA3">
      <w:pPr>
        <w:rPr>
          <w:rFonts w:hint="eastAsia"/>
          <w:color w:val="auto"/>
          <w:highlight w:val="none"/>
          <w:u w:val="none"/>
        </w:rPr>
      </w:pPr>
      <w:r>
        <w:rPr>
          <w:rFonts w:hint="eastAsia" w:cs="宋体"/>
          <w:szCs w:val="20"/>
          <w:lang w:val="en-US"/>
        </w:rPr>
        <w:t>本次技改扩能</w:t>
      </w:r>
      <w:r>
        <w:rPr>
          <w:rFonts w:hint="eastAsia" w:cs="宋体"/>
          <w:szCs w:val="20"/>
        </w:rPr>
        <w:t>项目建设后，</w:t>
      </w:r>
      <w:r>
        <w:rPr>
          <w:rFonts w:hint="eastAsia"/>
        </w:rPr>
        <w:t>VOCs</w:t>
      </w:r>
      <w:r>
        <w:rPr>
          <w:rFonts w:hint="eastAsia" w:cs="宋体"/>
          <w:szCs w:val="20"/>
        </w:rPr>
        <w:t>排放总量</w:t>
      </w:r>
      <w:r>
        <w:rPr>
          <w:rFonts w:hAnsi="Times New Roman"/>
          <w:kern w:val="2"/>
          <w:szCs w:val="20"/>
          <w:lang w:val="en-US"/>
        </w:rPr>
        <w:t>不需</w:t>
      </w:r>
      <w:r>
        <w:rPr>
          <w:rFonts w:hint="eastAsia" w:hAnsi="Times New Roman"/>
          <w:kern w:val="2"/>
          <w:szCs w:val="20"/>
          <w:lang w:val="en-US"/>
        </w:rPr>
        <w:t>要申请增加</w:t>
      </w:r>
      <w:r>
        <w:rPr>
          <w:rFonts w:hAnsi="Times New Roman"/>
          <w:kern w:val="2"/>
          <w:szCs w:val="20"/>
          <w:lang w:val="en-US"/>
        </w:rPr>
        <w:t>总量控制指标</w:t>
      </w:r>
      <w:r>
        <w:rPr>
          <w:rFonts w:hint="eastAsia"/>
          <w:color w:val="auto"/>
          <w:highlight w:val="none"/>
          <w:u w:val="none"/>
        </w:rPr>
        <w:t>。</w:t>
      </w:r>
    </w:p>
    <w:p w14:paraId="6CC10A22">
      <w:pPr>
        <w:ind w:firstLine="0" w:firstLineChars="0"/>
        <w:rPr>
          <w:rFonts w:hint="eastAsia"/>
          <w:color w:val="auto"/>
          <w:highlight w:val="none"/>
          <w:u w:val="none"/>
        </w:rPr>
      </w:pPr>
    </w:p>
    <w:p w14:paraId="44AEA619">
      <w:pPr>
        <w:ind w:firstLine="0" w:firstLineChars="0"/>
        <w:rPr>
          <w:rFonts w:hint="eastAsia"/>
          <w:color w:val="auto"/>
          <w:highlight w:val="none"/>
          <w:u w:val="none"/>
        </w:rPr>
      </w:pPr>
    </w:p>
    <w:p w14:paraId="7B26EEB6">
      <w:pPr>
        <w:ind w:firstLine="0" w:firstLineChars="0"/>
        <w:rPr>
          <w:rFonts w:hint="eastAsia"/>
          <w:color w:val="auto"/>
          <w:highlight w:val="none"/>
          <w:u w:val="none"/>
        </w:rPr>
        <w:sectPr>
          <w:pgSz w:w="11906" w:h="16838"/>
          <w:pgMar w:top="1440" w:right="1418" w:bottom="1440" w:left="1418" w:header="851" w:footer="992" w:gutter="0"/>
          <w:cols w:space="425" w:num="1"/>
          <w:docGrid w:type="lines" w:linePitch="312" w:charSpace="0"/>
        </w:sectPr>
      </w:pPr>
    </w:p>
    <w:p w14:paraId="1FA0AFF5">
      <w:pPr>
        <w:pStyle w:val="3"/>
        <w:rPr>
          <w:rFonts w:hint="eastAsia"/>
          <w:color w:val="auto"/>
          <w:highlight w:val="none"/>
          <w:u w:val="none"/>
        </w:rPr>
      </w:pPr>
      <w:bookmarkStart w:id="803" w:name="_Toc5101"/>
      <w:bookmarkStart w:id="804" w:name="_Toc148374854"/>
      <w:bookmarkStart w:id="805" w:name="_Toc148375194"/>
      <w:bookmarkStart w:id="806" w:name="_Toc148374752"/>
      <w:r>
        <w:rPr>
          <w:rFonts w:hint="eastAsia"/>
          <w:color w:val="auto"/>
          <w:highlight w:val="none"/>
          <w:u w:val="none"/>
        </w:rPr>
        <w:t>评价结论</w:t>
      </w:r>
      <w:bookmarkEnd w:id="803"/>
      <w:bookmarkEnd w:id="804"/>
      <w:bookmarkEnd w:id="805"/>
      <w:bookmarkEnd w:id="806"/>
    </w:p>
    <w:p w14:paraId="728B1CF2">
      <w:pPr>
        <w:pStyle w:val="4"/>
        <w:jc w:val="both"/>
        <w:rPr>
          <w:color w:val="auto"/>
          <w:highlight w:val="none"/>
          <w:u w:val="none"/>
        </w:rPr>
      </w:pPr>
      <w:bookmarkStart w:id="807" w:name="_Toc21495"/>
      <w:bookmarkStart w:id="808" w:name="_Hlk148707858"/>
      <w:r>
        <w:rPr>
          <w:rFonts w:hint="eastAsia"/>
          <w:color w:val="auto"/>
          <w:highlight w:val="none"/>
          <w:u w:val="none"/>
        </w:rPr>
        <w:t>项目概况</w:t>
      </w:r>
      <w:bookmarkEnd w:id="807"/>
    </w:p>
    <w:bookmarkEnd w:id="808"/>
    <w:p w14:paraId="5DE27309">
      <w:pPr>
        <w:pStyle w:val="82"/>
        <w:rPr>
          <w:rFonts w:hint="eastAsia"/>
          <w:color w:val="auto"/>
          <w:highlight w:val="none"/>
          <w:u w:val="none"/>
          <w:lang w:val="en-US"/>
        </w:rPr>
      </w:pPr>
      <w:r>
        <w:rPr>
          <w:rFonts w:hint="eastAsia" w:hAnsi="Times New Roman"/>
        </w:rPr>
        <w:t>万华福建公司</w:t>
      </w:r>
      <w:r>
        <w:rPr>
          <w:rFonts w:hint="eastAsia" w:hAnsi="Times New Roman"/>
          <w:lang w:val="en-US"/>
        </w:rPr>
        <w:t>拟将</w:t>
      </w:r>
      <w:r>
        <w:rPr>
          <w:rFonts w:hAnsi="Times New Roman"/>
        </w:rPr>
        <w:t>TDI</w:t>
      </w:r>
      <w:r>
        <w:rPr>
          <w:rFonts w:hint="eastAsia" w:hAnsi="Times New Roman"/>
          <w:lang w:val="en-US"/>
        </w:rPr>
        <w:t>一</w:t>
      </w:r>
      <w:r>
        <w:rPr>
          <w:rFonts w:hAnsi="Times New Roman"/>
        </w:rPr>
        <w:t>期</w:t>
      </w:r>
      <w:r>
        <w:rPr>
          <w:rFonts w:hint="eastAsia" w:hAnsi="Times New Roman"/>
          <w:lang w:val="en-US"/>
        </w:rPr>
        <w:t>场址范围内25万吨/年的TDI装置技改</w:t>
      </w:r>
      <w:r>
        <w:rPr>
          <w:rFonts w:hAnsi="Times New Roman"/>
        </w:rPr>
        <w:t>扩</w:t>
      </w:r>
      <w:r>
        <w:rPr>
          <w:rFonts w:hint="eastAsia" w:hAnsi="Times New Roman"/>
          <w:lang w:val="en-US"/>
        </w:rPr>
        <w:t>能到</w:t>
      </w:r>
      <w:r>
        <w:rPr>
          <w:rFonts w:hAnsi="Times New Roman"/>
        </w:rPr>
        <w:t>3</w:t>
      </w:r>
      <w:r>
        <w:rPr>
          <w:rFonts w:hint="eastAsia" w:hAnsi="Times New Roman"/>
          <w:lang w:val="en-US"/>
        </w:rPr>
        <w:t>6</w:t>
      </w:r>
      <w:r>
        <w:rPr>
          <w:rFonts w:hAnsi="Times New Roman"/>
        </w:rPr>
        <w:t>万吨/年</w:t>
      </w:r>
      <w:r>
        <w:rPr>
          <w:rFonts w:hint="eastAsia"/>
          <w:color w:val="auto"/>
          <w:highlight w:val="none"/>
          <w:u w:val="none"/>
          <w:lang w:val="en-US"/>
        </w:rPr>
        <w:t>。</w:t>
      </w:r>
    </w:p>
    <w:p w14:paraId="53641BAD">
      <w:pPr>
        <w:pStyle w:val="4"/>
        <w:rPr>
          <w:color w:val="auto"/>
          <w:highlight w:val="none"/>
          <w:u w:val="none"/>
        </w:rPr>
      </w:pPr>
      <w:bookmarkStart w:id="809" w:name="_Toc109211119"/>
      <w:bookmarkStart w:id="810" w:name="_Toc28884"/>
      <w:bookmarkStart w:id="811" w:name="_Hlk148707881"/>
      <w:r>
        <w:rPr>
          <w:rFonts w:hint="eastAsia"/>
          <w:color w:val="auto"/>
          <w:highlight w:val="none"/>
          <w:u w:val="none"/>
        </w:rPr>
        <w:t>环境现状评价结论</w:t>
      </w:r>
      <w:bookmarkEnd w:id="809"/>
      <w:bookmarkEnd w:id="810"/>
    </w:p>
    <w:bookmarkEnd w:id="811"/>
    <w:p w14:paraId="42869BE8">
      <w:pPr>
        <w:pStyle w:val="981"/>
        <w:rPr>
          <w:rFonts w:hint="eastAsia"/>
          <w:color w:val="auto"/>
          <w:highlight w:val="none"/>
          <w:u w:val="none"/>
        </w:rPr>
      </w:pPr>
      <w:r>
        <w:rPr>
          <w:rFonts w:hint="eastAsia"/>
          <w:color w:val="auto"/>
          <w:highlight w:val="none"/>
          <w:u w:val="none"/>
        </w:rPr>
        <w:t>（</w:t>
      </w:r>
      <w:r>
        <w:rPr>
          <w:color w:val="auto"/>
          <w:highlight w:val="none"/>
          <w:u w:val="none"/>
        </w:rPr>
        <w:t>1</w:t>
      </w:r>
      <w:r>
        <w:rPr>
          <w:rFonts w:hint="eastAsia"/>
          <w:color w:val="auto"/>
          <w:highlight w:val="none"/>
          <w:u w:val="none"/>
        </w:rPr>
        <w:t>）大气环境质量现状</w:t>
      </w:r>
    </w:p>
    <w:p w14:paraId="4117E7E0">
      <w:pPr>
        <w:rPr>
          <w:rFonts w:hint="eastAsia"/>
          <w:color w:val="auto"/>
          <w:highlight w:val="none"/>
          <w:u w:val="none"/>
        </w:rPr>
      </w:pPr>
      <w:r>
        <w:rPr>
          <w:rFonts w:hAnsi="Times New Roman"/>
          <w:color w:val="auto"/>
          <w:highlight w:val="none"/>
          <w:u w:val="none"/>
        </w:rPr>
        <w:t>根据福建省生态环境厅发布的《202</w:t>
      </w:r>
      <w:r>
        <w:rPr>
          <w:rFonts w:hint="eastAsia" w:hAnsi="Times New Roman"/>
          <w:color w:val="auto"/>
          <w:highlight w:val="none"/>
          <w:u w:val="none"/>
        </w:rPr>
        <w:t>1</w:t>
      </w:r>
      <w:r>
        <w:rPr>
          <w:rFonts w:hAnsi="Times New Roman"/>
          <w:color w:val="auto"/>
          <w:highlight w:val="none"/>
          <w:u w:val="none"/>
        </w:rPr>
        <w:t>年1~12月福建省环境空气质量状况》、《202</w:t>
      </w:r>
      <w:r>
        <w:rPr>
          <w:rFonts w:hint="eastAsia" w:hAnsi="Times New Roman"/>
          <w:color w:val="auto"/>
          <w:highlight w:val="none"/>
          <w:u w:val="none"/>
        </w:rPr>
        <w:t>2</w:t>
      </w:r>
      <w:r>
        <w:rPr>
          <w:rFonts w:hAnsi="Times New Roman"/>
          <w:color w:val="auto"/>
          <w:highlight w:val="none"/>
          <w:u w:val="none"/>
        </w:rPr>
        <w:t>年1~12月福建省城市环境空气质量状况》和《202</w:t>
      </w:r>
      <w:r>
        <w:rPr>
          <w:rFonts w:hint="eastAsia" w:hAnsi="Times New Roman"/>
          <w:color w:val="auto"/>
          <w:highlight w:val="none"/>
          <w:u w:val="none"/>
        </w:rPr>
        <w:t>3</w:t>
      </w:r>
      <w:r>
        <w:rPr>
          <w:rFonts w:hAnsi="Times New Roman"/>
          <w:color w:val="auto"/>
          <w:highlight w:val="none"/>
          <w:u w:val="none"/>
        </w:rPr>
        <w:t>年1~12月福建省城市环境空气质量状况》，福清市202</w:t>
      </w:r>
      <w:r>
        <w:rPr>
          <w:rFonts w:hint="eastAsia" w:hAnsi="Times New Roman"/>
          <w:color w:val="auto"/>
          <w:highlight w:val="none"/>
          <w:u w:val="none"/>
        </w:rPr>
        <w:t>1</w:t>
      </w:r>
      <w:r>
        <w:rPr>
          <w:rFonts w:hAnsi="Times New Roman"/>
          <w:color w:val="auto"/>
          <w:highlight w:val="none"/>
          <w:u w:val="none"/>
        </w:rPr>
        <w:t>年~202</w:t>
      </w:r>
      <w:r>
        <w:rPr>
          <w:rFonts w:hint="eastAsia" w:hAnsi="Times New Roman"/>
          <w:color w:val="auto"/>
          <w:highlight w:val="none"/>
          <w:u w:val="none"/>
        </w:rPr>
        <w:t>3</w:t>
      </w:r>
      <w:r>
        <w:rPr>
          <w:rFonts w:hAnsi="Times New Roman"/>
          <w:color w:val="auto"/>
          <w:highlight w:val="none"/>
          <w:u w:val="none"/>
        </w:rPr>
        <w:t>年达标天数比例分别为9</w:t>
      </w:r>
      <w:r>
        <w:rPr>
          <w:rFonts w:hint="eastAsia" w:hAnsi="Times New Roman"/>
          <w:color w:val="auto"/>
          <w:highlight w:val="none"/>
          <w:u w:val="none"/>
        </w:rPr>
        <w:t>9.2</w:t>
      </w:r>
      <w:r>
        <w:rPr>
          <w:rFonts w:hAnsi="Times New Roman"/>
          <w:color w:val="auto"/>
          <w:highlight w:val="none"/>
          <w:u w:val="none"/>
        </w:rPr>
        <w:t>%、99.</w:t>
      </w:r>
      <w:r>
        <w:rPr>
          <w:rFonts w:hint="eastAsia" w:hAnsi="Times New Roman"/>
          <w:color w:val="auto"/>
          <w:highlight w:val="none"/>
          <w:u w:val="none"/>
        </w:rPr>
        <w:t>7</w:t>
      </w:r>
      <w:r>
        <w:rPr>
          <w:rFonts w:hAnsi="Times New Roman"/>
          <w:color w:val="auto"/>
          <w:highlight w:val="none"/>
          <w:u w:val="none"/>
        </w:rPr>
        <w:t>%和</w:t>
      </w:r>
      <w:r>
        <w:rPr>
          <w:rFonts w:hint="eastAsia" w:hAnsi="Times New Roman"/>
          <w:color w:val="auto"/>
          <w:highlight w:val="none"/>
          <w:u w:val="none"/>
        </w:rPr>
        <w:t>99.4</w:t>
      </w:r>
      <w:r>
        <w:rPr>
          <w:rFonts w:hAnsi="Times New Roman"/>
          <w:color w:val="auto"/>
          <w:highlight w:val="none"/>
          <w:u w:val="none"/>
        </w:rPr>
        <w:t>%，环境空气中各个基本污染物的浓度均达到《环境空气质量标准》（GB3095-2012）二级标准，</w:t>
      </w:r>
      <w:r>
        <w:rPr>
          <w:rFonts w:hint="eastAsia" w:hAnsi="Times New Roman"/>
          <w:color w:val="auto"/>
          <w:highlight w:val="none"/>
          <w:u w:val="none"/>
        </w:rPr>
        <w:t>同时根据江阴港城经济区环境空气自动站监测数据，</w:t>
      </w:r>
      <w:r>
        <w:rPr>
          <w:rFonts w:hint="eastAsia"/>
          <w:color w:val="auto"/>
          <w:highlight w:val="none"/>
          <w:u w:val="none"/>
        </w:rPr>
        <w:t>2</w:t>
      </w:r>
      <w:r>
        <w:rPr>
          <w:color w:val="auto"/>
          <w:highlight w:val="none"/>
          <w:u w:val="none"/>
        </w:rPr>
        <w:t>0</w:t>
      </w:r>
      <w:r>
        <w:rPr>
          <w:rFonts w:hint="eastAsia"/>
          <w:color w:val="auto"/>
          <w:highlight w:val="none"/>
          <w:u w:val="none"/>
        </w:rPr>
        <w:t>21~</w:t>
      </w:r>
      <w:r>
        <w:rPr>
          <w:color w:val="auto"/>
          <w:highlight w:val="none"/>
          <w:u w:val="none"/>
        </w:rPr>
        <w:t>2023年度</w:t>
      </w:r>
      <w:r>
        <w:rPr>
          <w:rFonts w:hint="eastAsia"/>
          <w:color w:val="auto"/>
          <w:highlight w:val="none"/>
          <w:u w:val="none"/>
        </w:rPr>
        <w:t>项目区</w:t>
      </w:r>
      <w:r>
        <w:rPr>
          <w:color w:val="auto"/>
          <w:highlight w:val="none"/>
          <w:u w:val="none"/>
        </w:rPr>
        <w:t>所在江阴</w:t>
      </w:r>
      <w:r>
        <w:rPr>
          <w:rFonts w:hint="eastAsia"/>
          <w:color w:val="auto"/>
          <w:highlight w:val="none"/>
          <w:u w:val="none"/>
        </w:rPr>
        <w:t>港城经济区</w:t>
      </w:r>
      <w:r>
        <w:rPr>
          <w:color w:val="auto"/>
          <w:highlight w:val="none"/>
          <w:u w:val="none"/>
        </w:rPr>
        <w:t>大气环境6项基本污染</w:t>
      </w:r>
      <w:r>
        <w:rPr>
          <w:rFonts w:hint="eastAsia"/>
          <w:color w:val="auto"/>
          <w:highlight w:val="none"/>
          <w:u w:val="none"/>
        </w:rPr>
        <w:t>因子</w:t>
      </w:r>
      <w:r>
        <w:rPr>
          <w:color w:val="auto"/>
          <w:highlight w:val="none"/>
          <w:u w:val="none"/>
        </w:rPr>
        <w:t>全部达标，表明本项目所在江阴</w:t>
      </w:r>
      <w:r>
        <w:rPr>
          <w:rFonts w:hint="eastAsia"/>
          <w:color w:val="auto"/>
          <w:highlight w:val="none"/>
          <w:u w:val="none"/>
        </w:rPr>
        <w:t>港城经济区</w:t>
      </w:r>
      <w:r>
        <w:rPr>
          <w:color w:val="auto"/>
          <w:highlight w:val="none"/>
          <w:u w:val="none"/>
        </w:rPr>
        <w:t>环境空气质量达标。</w:t>
      </w:r>
      <w:r>
        <w:rPr>
          <w:rFonts w:hAnsi="Times New Roman"/>
          <w:color w:val="auto"/>
          <w:highlight w:val="none"/>
          <w:u w:val="none"/>
        </w:rPr>
        <w:t>项目所在的区域为环境空气质量达标区</w:t>
      </w:r>
      <w:r>
        <w:rPr>
          <w:color w:val="auto"/>
          <w:highlight w:val="none"/>
          <w:u w:val="none"/>
        </w:rPr>
        <w:t>。</w:t>
      </w:r>
    </w:p>
    <w:p w14:paraId="4D2758FC">
      <w:pPr>
        <w:rPr>
          <w:rFonts w:hint="eastAsia"/>
          <w:color w:val="auto"/>
          <w:highlight w:val="none"/>
          <w:u w:val="none"/>
        </w:rPr>
      </w:pPr>
      <w:r>
        <w:rPr>
          <w:rFonts w:hint="eastAsia"/>
          <w:color w:val="auto"/>
          <w:highlight w:val="none"/>
          <w:u w:val="none"/>
        </w:rPr>
        <w:t>补充监测的</w:t>
      </w:r>
      <w:r>
        <w:rPr>
          <w:color w:val="auto"/>
          <w:highlight w:val="none"/>
          <w:u w:val="none"/>
        </w:rPr>
        <w:t>氯化氢、氯气、氨、硫化氢、甲苯、硫酸雾、硝基苯、苯胺、TVOC</w:t>
      </w:r>
      <w:r>
        <w:rPr>
          <w:rFonts w:hint="eastAsia"/>
          <w:color w:val="auto"/>
          <w:highlight w:val="none"/>
          <w:u w:val="none"/>
        </w:rPr>
        <w:t>的现状监测浓度值符合</w:t>
      </w:r>
      <w:r>
        <w:rPr>
          <w:color w:val="auto"/>
          <w:highlight w:val="none"/>
          <w:u w:val="none"/>
        </w:rPr>
        <w:t>《环境影响评价技术导则  大气环境》（HJ2.2-2018）附录D</w:t>
      </w:r>
      <w:r>
        <w:rPr>
          <w:rFonts w:hint="eastAsia"/>
          <w:color w:val="auto"/>
          <w:highlight w:val="none"/>
          <w:u w:val="none"/>
        </w:rPr>
        <w:t>中的空气质量浓度参考限值，</w:t>
      </w:r>
      <w:r>
        <w:rPr>
          <w:color w:val="auto"/>
          <w:highlight w:val="none"/>
          <w:u w:val="none"/>
        </w:rPr>
        <w:t>非甲烷总烃</w:t>
      </w:r>
      <w:r>
        <w:rPr>
          <w:rFonts w:hint="eastAsia"/>
          <w:color w:val="auto"/>
          <w:highlight w:val="none"/>
          <w:u w:val="none"/>
        </w:rPr>
        <w:t>符合</w:t>
      </w:r>
      <w:r>
        <w:rPr>
          <w:rStyle w:val="150"/>
          <w:rFonts w:hint="default"/>
          <w:color w:val="auto"/>
          <w:highlight w:val="none"/>
          <w:u w:val="none"/>
        </w:rPr>
        <w:t>《大气污染物综合排放标准详解》中一次最高容许浓度，</w:t>
      </w:r>
      <w:r>
        <w:rPr>
          <w:color w:val="auto"/>
          <w:highlight w:val="none"/>
          <w:u w:val="none"/>
        </w:rPr>
        <w:t>氯苯</w:t>
      </w:r>
      <w:r>
        <w:rPr>
          <w:rFonts w:hint="eastAsia"/>
          <w:color w:val="auto"/>
          <w:highlight w:val="none"/>
          <w:u w:val="none"/>
        </w:rPr>
        <w:t>符合</w:t>
      </w:r>
      <w:r>
        <w:rPr>
          <w:color w:val="auto"/>
          <w:highlight w:val="none"/>
          <w:u w:val="none"/>
        </w:rPr>
        <w:t>《前苏联居民区大气中有害物质的最大允许浓度》（CH245-71）中的</w:t>
      </w:r>
      <w:r>
        <w:rPr>
          <w:rFonts w:hint="eastAsia"/>
          <w:color w:val="auto"/>
          <w:highlight w:val="none"/>
          <w:u w:val="none"/>
        </w:rPr>
        <w:t>最大一次容许浓度值；</w:t>
      </w:r>
      <w:r>
        <w:rPr>
          <w:color w:val="auto"/>
          <w:highlight w:val="none"/>
          <w:u w:val="none"/>
        </w:rPr>
        <w:t>光气</w:t>
      </w:r>
      <w:r>
        <w:rPr>
          <w:rFonts w:hint="eastAsia"/>
          <w:color w:val="auto"/>
          <w:highlight w:val="none"/>
          <w:u w:val="none"/>
        </w:rPr>
        <w:t>符合</w:t>
      </w:r>
      <w:r>
        <w:rPr>
          <w:color w:val="auto"/>
          <w:highlight w:val="none"/>
          <w:u w:val="none"/>
        </w:rPr>
        <w:t>《美国车间空气中有害物质最大允许浓度》中的</w:t>
      </w:r>
      <w:r>
        <w:rPr>
          <w:rFonts w:hint="eastAsia"/>
          <w:color w:val="auto"/>
          <w:highlight w:val="none"/>
          <w:u w:val="none"/>
        </w:rPr>
        <w:t>最大一次容许浓度值</w:t>
      </w:r>
      <w:r>
        <w:rPr>
          <w:color w:val="auto"/>
          <w:highlight w:val="none"/>
          <w:u w:val="none"/>
        </w:rPr>
        <w:t>。</w:t>
      </w:r>
    </w:p>
    <w:p w14:paraId="798DA8DD">
      <w:pPr>
        <w:rPr>
          <w:rFonts w:hint="eastAsia"/>
          <w:color w:val="auto"/>
          <w:highlight w:val="none"/>
          <w:u w:val="none"/>
        </w:rPr>
      </w:pPr>
      <w:r>
        <w:rPr>
          <w:rFonts w:hint="eastAsia"/>
          <w:color w:val="auto"/>
          <w:highlight w:val="none"/>
          <w:u w:val="none"/>
        </w:rPr>
        <w:t>（2）海水环境质量现状</w:t>
      </w:r>
    </w:p>
    <w:p w14:paraId="4A942703">
      <w:pPr>
        <w:rPr>
          <w:rFonts w:hint="eastAsia"/>
          <w:color w:val="auto"/>
          <w:highlight w:val="none"/>
          <w:u w:val="none"/>
        </w:rPr>
      </w:pPr>
      <w:r>
        <w:rPr>
          <w:rFonts w:hint="eastAsia"/>
          <w:color w:val="auto"/>
          <w:highlight w:val="none"/>
          <w:u w:val="none"/>
        </w:rPr>
        <w:t>根据引用的海水监测数据，监测期间，各监测点位海水中的</w:t>
      </w:r>
      <w:r>
        <w:rPr>
          <w:bCs/>
          <w:color w:val="auto"/>
          <w:highlight w:val="none"/>
          <w:u w:val="none"/>
        </w:rPr>
        <w:t>水温、溶解氧、pH值、悬浮物、化学需氧量、生化需氧量、</w:t>
      </w:r>
      <w:r>
        <w:rPr>
          <w:rFonts w:hint="eastAsia"/>
          <w:bCs/>
          <w:color w:val="auto"/>
          <w:highlight w:val="none"/>
          <w:u w:val="none"/>
        </w:rPr>
        <w:t>汞、铬、砷、油类、镉</w:t>
      </w:r>
      <w:r>
        <w:rPr>
          <w:bCs/>
          <w:color w:val="auto"/>
          <w:highlight w:val="none"/>
          <w:u w:val="none"/>
        </w:rPr>
        <w:t>、镍、铅、铜、锌、</w:t>
      </w:r>
      <w:r>
        <w:rPr>
          <w:rFonts w:hint="eastAsia"/>
          <w:bCs/>
          <w:color w:val="auto"/>
          <w:highlight w:val="none"/>
          <w:u w:val="none"/>
        </w:rPr>
        <w:t>粪大肠菌群、</w:t>
      </w:r>
      <w:r>
        <w:rPr>
          <w:bCs/>
          <w:color w:val="auto"/>
          <w:highlight w:val="none"/>
          <w:u w:val="none"/>
        </w:rPr>
        <w:t>硫化物、挥发酚、盐度、无机氮、四氯化碳、苯、活性磷酸盐、二氯甲烷、1,2-二氯苯（邻二氯苯）、2,4-二硝基甲苯、2,4,6-三硝基甲苯、苯胺、对二硝基苯、对硝基甲苯、对硝基氯苯、间二硝基苯、间硝基甲苯、间硝基甲苯、邻二硝基苯、邻硝基甲苯、邻硝基氯苯、硝基苯</w:t>
      </w:r>
      <w:r>
        <w:rPr>
          <w:color w:val="auto"/>
          <w:highlight w:val="none"/>
          <w:u w:val="none"/>
          <w:lang w:bidi="ar"/>
        </w:rPr>
        <w:t>指标均能满足《海水水质标准》（GB3097-1997）第三类标准限值要求。</w:t>
      </w:r>
      <w:r>
        <w:rPr>
          <w:rFonts w:hint="eastAsia"/>
          <w:color w:val="auto"/>
          <w:highlight w:val="none"/>
          <w:u w:val="none"/>
          <w:lang w:bidi="ar"/>
        </w:rPr>
        <w:t>同时根据引用的海洋沉积物监测数据，各监测点位的指标均能满足《海洋沉积物质量（GB18668-2002）》中的第二类质量标准。项目所在区域的海洋沉积物质量良好。</w:t>
      </w:r>
    </w:p>
    <w:p w14:paraId="30A97A54">
      <w:pPr>
        <w:pStyle w:val="981"/>
        <w:rPr>
          <w:rFonts w:hint="eastAsia"/>
          <w:color w:val="auto"/>
          <w:highlight w:val="none"/>
          <w:u w:val="none"/>
        </w:rPr>
      </w:pPr>
      <w:r>
        <w:rPr>
          <w:color w:val="auto"/>
          <w:highlight w:val="none"/>
          <w:u w:val="none"/>
        </w:rPr>
        <w:t>（3）地下水环境质量现状</w:t>
      </w:r>
    </w:p>
    <w:p w14:paraId="70C6B2FE">
      <w:pPr>
        <w:pStyle w:val="981"/>
        <w:rPr>
          <w:rFonts w:hint="eastAsia"/>
          <w:color w:val="auto"/>
          <w:highlight w:val="none"/>
          <w:u w:val="none"/>
        </w:rPr>
      </w:pPr>
      <w:r>
        <w:rPr>
          <w:color w:val="auto"/>
          <w:highlight w:val="none"/>
          <w:u w:val="none"/>
        </w:rPr>
        <w:t>根据项目区域地下水监测数据，项目区地下水各项水质指标满足《地下水质量标准》（GB/T14848-2017）中的</w:t>
      </w:r>
      <w:r>
        <w:rPr>
          <w:rFonts w:hint="eastAsia"/>
          <w:color w:val="auto"/>
          <w:highlight w:val="none"/>
          <w:u w:val="none"/>
        </w:rPr>
        <w:t>Ⅳ类</w:t>
      </w:r>
      <w:r>
        <w:rPr>
          <w:color w:val="auto"/>
          <w:highlight w:val="none"/>
          <w:u w:val="none"/>
        </w:rPr>
        <w:t>标准</w:t>
      </w:r>
      <w:r>
        <w:rPr>
          <w:rFonts w:hint="eastAsia"/>
          <w:color w:val="auto"/>
          <w:highlight w:val="none"/>
          <w:u w:val="none"/>
        </w:rPr>
        <w:t>。</w:t>
      </w:r>
    </w:p>
    <w:p w14:paraId="11CDA93F">
      <w:pPr>
        <w:pStyle w:val="981"/>
        <w:rPr>
          <w:rFonts w:hint="eastAsia"/>
          <w:color w:val="auto"/>
          <w:highlight w:val="none"/>
          <w:u w:val="none"/>
        </w:rPr>
      </w:pPr>
      <w:r>
        <w:rPr>
          <w:rFonts w:hint="eastAsia"/>
          <w:color w:val="auto"/>
          <w:highlight w:val="none"/>
          <w:u w:val="none"/>
        </w:rPr>
        <w:t>（</w:t>
      </w:r>
      <w:r>
        <w:rPr>
          <w:color w:val="auto"/>
          <w:highlight w:val="none"/>
          <w:u w:val="none"/>
        </w:rPr>
        <w:t>4</w:t>
      </w:r>
      <w:r>
        <w:rPr>
          <w:rFonts w:hint="eastAsia"/>
          <w:color w:val="auto"/>
          <w:highlight w:val="none"/>
          <w:u w:val="none"/>
        </w:rPr>
        <w:t>）土壤环境质量现状</w:t>
      </w:r>
    </w:p>
    <w:p w14:paraId="19E289D1">
      <w:pPr>
        <w:pStyle w:val="981"/>
        <w:rPr>
          <w:rFonts w:hint="eastAsia"/>
          <w:color w:val="auto"/>
          <w:highlight w:val="none"/>
          <w:u w:val="none"/>
        </w:rPr>
      </w:pPr>
      <w:r>
        <w:rPr>
          <w:rFonts w:hint="eastAsia"/>
          <w:color w:val="auto"/>
          <w:highlight w:val="none"/>
          <w:u w:val="none"/>
        </w:rPr>
        <w:t xml:space="preserve">根据项目场地及周边区域的土壤环境现状监测结果表明，项目场地及周边土壤各监测指标均满足《土壤环境质量 </w:t>
      </w:r>
      <w:r>
        <w:rPr>
          <w:color w:val="auto"/>
          <w:highlight w:val="none"/>
          <w:u w:val="none"/>
        </w:rPr>
        <w:t xml:space="preserve"> </w:t>
      </w:r>
      <w:r>
        <w:rPr>
          <w:rFonts w:hint="eastAsia"/>
          <w:color w:val="auto"/>
          <w:highlight w:val="none"/>
          <w:u w:val="none"/>
        </w:rPr>
        <w:t>建设用地土壤污染风险管控标准（试行）》（GB 36600-2018）二类用地的风险筛选值，表明项目场地及周边土壤环境质量较好。</w:t>
      </w:r>
    </w:p>
    <w:p w14:paraId="22CDC5AF">
      <w:pPr>
        <w:pStyle w:val="981"/>
        <w:rPr>
          <w:rFonts w:hint="eastAsia"/>
          <w:color w:val="auto"/>
          <w:highlight w:val="none"/>
          <w:u w:val="none"/>
        </w:rPr>
      </w:pPr>
      <w:r>
        <w:rPr>
          <w:color w:val="auto"/>
          <w:highlight w:val="none"/>
          <w:u w:val="none"/>
        </w:rPr>
        <w:t>（5）声环境质量现状</w:t>
      </w:r>
    </w:p>
    <w:p w14:paraId="4B258B3D">
      <w:pPr>
        <w:pStyle w:val="981"/>
        <w:rPr>
          <w:rFonts w:hint="eastAsia"/>
          <w:color w:val="auto"/>
          <w:highlight w:val="none"/>
          <w:u w:val="none"/>
        </w:rPr>
      </w:pPr>
      <w:r>
        <w:rPr>
          <w:color w:val="auto"/>
          <w:highlight w:val="none"/>
          <w:u w:val="none"/>
        </w:rPr>
        <w:t>根据项目</w:t>
      </w:r>
      <w:r>
        <w:rPr>
          <w:rFonts w:hint="eastAsia"/>
          <w:color w:val="auto"/>
          <w:highlight w:val="none"/>
          <w:u w:val="none"/>
        </w:rPr>
        <w:t>厂</w:t>
      </w:r>
      <w:r>
        <w:rPr>
          <w:color w:val="auto"/>
          <w:highlight w:val="none"/>
          <w:u w:val="none"/>
        </w:rPr>
        <w:t>界的现状监测结果可知，</w:t>
      </w:r>
      <w:r>
        <w:rPr>
          <w:rFonts w:hint="eastAsia"/>
          <w:color w:val="auto"/>
          <w:highlight w:val="none"/>
          <w:u w:val="none"/>
        </w:rPr>
        <w:t>厂区周边</w:t>
      </w:r>
      <w:r>
        <w:rPr>
          <w:color w:val="auto"/>
          <w:highlight w:val="none"/>
          <w:u w:val="none"/>
        </w:rPr>
        <w:t>环境噪声符合《声环境质量标准》（GB3096-2008）3类标准，声环境现状较好。</w:t>
      </w:r>
    </w:p>
    <w:p w14:paraId="7A5B73A1">
      <w:pPr>
        <w:pStyle w:val="4"/>
        <w:jc w:val="both"/>
        <w:rPr>
          <w:color w:val="auto"/>
          <w:highlight w:val="none"/>
          <w:u w:val="none"/>
        </w:rPr>
      </w:pPr>
      <w:bookmarkStart w:id="812" w:name="_Toc14780"/>
      <w:bookmarkStart w:id="813" w:name="_Toc109211120"/>
      <w:bookmarkStart w:id="814" w:name="_Hlk148707906"/>
      <w:r>
        <w:rPr>
          <w:rFonts w:hint="eastAsia"/>
          <w:color w:val="auto"/>
          <w:highlight w:val="none"/>
          <w:u w:val="none"/>
        </w:rPr>
        <w:t>工程环境影响评价主要结论</w:t>
      </w:r>
      <w:bookmarkEnd w:id="812"/>
      <w:bookmarkEnd w:id="813"/>
    </w:p>
    <w:bookmarkEnd w:id="814"/>
    <w:p w14:paraId="216FEAD7">
      <w:pPr>
        <w:pStyle w:val="6"/>
        <w:spacing w:before="156" w:after="156"/>
        <w:rPr>
          <w:color w:val="auto"/>
          <w:highlight w:val="none"/>
          <w:u w:val="none"/>
        </w:rPr>
      </w:pPr>
      <w:r>
        <w:rPr>
          <w:rFonts w:hint="eastAsia"/>
          <w:color w:val="auto"/>
          <w:highlight w:val="none"/>
          <w:u w:val="none"/>
        </w:rPr>
        <w:t>大气环境</w:t>
      </w:r>
    </w:p>
    <w:p w14:paraId="5D90FD9D">
      <w:pPr>
        <w:pStyle w:val="981"/>
        <w:rPr>
          <w:rFonts w:hAnsi="Times New Roman"/>
          <w:color w:val="auto"/>
          <w:highlight w:val="none"/>
          <w:u w:val="none"/>
        </w:rPr>
      </w:pPr>
      <w:r>
        <w:rPr>
          <w:rFonts w:hint="eastAsia"/>
          <w:color w:val="auto"/>
          <w:highlight w:val="none"/>
          <w:u w:val="none"/>
          <w:lang w:val="en-US"/>
        </w:rPr>
        <w:t>本次技改扩能</w:t>
      </w:r>
      <w:r>
        <w:rPr>
          <w:rFonts w:hint="eastAsia"/>
          <w:color w:val="auto"/>
          <w:highlight w:val="none"/>
          <w:u w:val="none"/>
        </w:rPr>
        <w:t>项目营运期废气主要包括</w:t>
      </w:r>
      <w:r>
        <w:rPr>
          <w:color w:val="auto"/>
          <w:highlight w:val="none"/>
          <w:u w:val="none"/>
        </w:rPr>
        <w:t>酸性废气（含MNT废酸储罐和浓硝酸储罐呼吸</w:t>
      </w:r>
      <w:r>
        <w:rPr>
          <w:rFonts w:hint="eastAsia"/>
          <w:color w:val="auto"/>
          <w:highlight w:val="none"/>
          <w:u w:val="none"/>
        </w:rPr>
        <w:t>废</w:t>
      </w:r>
      <w:r>
        <w:rPr>
          <w:color w:val="auto"/>
          <w:highlight w:val="none"/>
          <w:u w:val="none"/>
        </w:rPr>
        <w:t>气）、碱性废气、反应驰放气、TDA精制尾气（含粗TDA中间储罐和OTDA储罐呼吸</w:t>
      </w:r>
      <w:r>
        <w:rPr>
          <w:rFonts w:hint="eastAsia"/>
          <w:color w:val="auto"/>
          <w:highlight w:val="none"/>
          <w:u w:val="none"/>
        </w:rPr>
        <w:t>废</w:t>
      </w:r>
      <w:r>
        <w:rPr>
          <w:color w:val="auto"/>
          <w:highlight w:val="none"/>
          <w:u w:val="none"/>
        </w:rPr>
        <w:t>气）、光化尾气（含TDI不合格储罐呼吸</w:t>
      </w:r>
      <w:r>
        <w:rPr>
          <w:rFonts w:hint="eastAsia"/>
          <w:color w:val="auto"/>
          <w:highlight w:val="none"/>
          <w:u w:val="none"/>
        </w:rPr>
        <w:t>废气</w:t>
      </w:r>
      <w:r>
        <w:rPr>
          <w:color w:val="auto"/>
          <w:highlight w:val="none"/>
          <w:u w:val="none"/>
        </w:rPr>
        <w:t>）、ODCB</w:t>
      </w:r>
      <w:r>
        <w:rPr>
          <w:rFonts w:hint="eastAsia"/>
          <w:color w:val="auto"/>
          <w:highlight w:val="none"/>
          <w:u w:val="none"/>
        </w:rPr>
        <w:t>储罐废气。</w:t>
      </w:r>
      <w:r>
        <w:rPr>
          <w:rFonts w:hint="eastAsia"/>
          <w:color w:val="auto"/>
          <w:highlight w:val="none"/>
          <w:u w:val="none"/>
          <w:lang w:val="en-US"/>
        </w:rPr>
        <w:t>废气出来依托现有工程环保措施。具体如下如下</w:t>
      </w:r>
      <w:r>
        <w:rPr>
          <w:rFonts w:hint="eastAsia"/>
          <w:color w:val="auto"/>
          <w:highlight w:val="none"/>
          <w:u w:val="none"/>
        </w:rPr>
        <w:t>：</w:t>
      </w:r>
      <w:r>
        <w:rPr>
          <w:color w:val="auto"/>
          <w:highlight w:val="none"/>
          <w:u w:val="none"/>
        </w:rPr>
        <w:t>酸性废气（含MNT废酸储罐和浓硝酸储罐呼吸</w:t>
      </w:r>
      <w:r>
        <w:rPr>
          <w:rFonts w:hint="eastAsia"/>
          <w:color w:val="auto"/>
          <w:highlight w:val="none"/>
          <w:u w:val="none"/>
        </w:rPr>
        <w:t>废</w:t>
      </w:r>
      <w:r>
        <w:rPr>
          <w:color w:val="auto"/>
          <w:highlight w:val="none"/>
          <w:u w:val="none"/>
        </w:rPr>
        <w:t>气）经低温加压水吸收预处理后，碱性废气经水洗塔</w:t>
      </w:r>
      <w:r>
        <w:rPr>
          <w:rFonts w:hint="eastAsia"/>
          <w:color w:val="auto"/>
          <w:highlight w:val="none"/>
          <w:u w:val="none"/>
        </w:rPr>
        <w:t>加压水洗涤</w:t>
      </w:r>
      <w:r>
        <w:rPr>
          <w:color w:val="auto"/>
          <w:highlight w:val="none"/>
          <w:u w:val="none"/>
        </w:rPr>
        <w:t>后，反应驰放气经</w:t>
      </w:r>
      <w:r>
        <w:rPr>
          <w:rFonts w:hint="eastAsia"/>
          <w:color w:val="auto"/>
          <w:highlight w:val="none"/>
          <w:u w:val="none"/>
        </w:rPr>
        <w:t>“</w:t>
      </w:r>
      <w:r>
        <w:rPr>
          <w:color w:val="auto"/>
          <w:highlight w:val="none"/>
          <w:u w:val="none"/>
        </w:rPr>
        <w:t>冷凝+水洗涤</w:t>
      </w:r>
      <w:r>
        <w:rPr>
          <w:rFonts w:hint="eastAsia"/>
          <w:color w:val="auto"/>
          <w:highlight w:val="none"/>
          <w:u w:val="none"/>
        </w:rPr>
        <w:t>”</w:t>
      </w:r>
      <w:r>
        <w:rPr>
          <w:color w:val="auto"/>
          <w:highlight w:val="none"/>
          <w:u w:val="none"/>
        </w:rPr>
        <w:t>处理后，光化尾气（含TDI不合格产品储罐呼吸</w:t>
      </w:r>
      <w:r>
        <w:rPr>
          <w:rFonts w:hint="eastAsia"/>
          <w:color w:val="auto"/>
          <w:highlight w:val="none"/>
          <w:u w:val="none"/>
        </w:rPr>
        <w:t>废气</w:t>
      </w:r>
      <w:r>
        <w:rPr>
          <w:color w:val="auto"/>
          <w:highlight w:val="none"/>
          <w:u w:val="none"/>
        </w:rPr>
        <w:t>）经</w:t>
      </w:r>
      <w:r>
        <w:rPr>
          <w:rFonts w:hint="eastAsia"/>
          <w:color w:val="auto"/>
          <w:highlight w:val="none"/>
          <w:u w:val="none"/>
        </w:rPr>
        <w:t>“酸分解+碱分解”</w:t>
      </w:r>
      <w:r>
        <w:rPr>
          <w:color w:val="auto"/>
          <w:highlight w:val="none"/>
          <w:u w:val="none"/>
        </w:rPr>
        <w:t>处理后，</w:t>
      </w:r>
      <w:r>
        <w:rPr>
          <w:rFonts w:hint="eastAsia"/>
          <w:color w:val="auto"/>
          <w:highlight w:val="none"/>
          <w:u w:val="none"/>
        </w:rPr>
        <w:t>均</w:t>
      </w:r>
      <w:r>
        <w:rPr>
          <w:color w:val="auto"/>
          <w:highlight w:val="none"/>
          <w:u w:val="none"/>
        </w:rPr>
        <w:t>委托</w:t>
      </w:r>
      <w:r>
        <w:rPr>
          <w:rFonts w:hint="eastAsia"/>
          <w:color w:val="auto"/>
          <w:highlight w:val="none"/>
          <w:u w:val="none"/>
        </w:rPr>
        <w:t>万华环保科技公司</w:t>
      </w:r>
      <w:r>
        <w:rPr>
          <w:color w:val="auto"/>
          <w:highlight w:val="none"/>
          <w:u w:val="none"/>
        </w:rPr>
        <w:t>能量回收装置</w:t>
      </w:r>
      <w:r>
        <w:rPr>
          <w:rFonts w:hint="eastAsia"/>
          <w:color w:val="auto"/>
          <w:highlight w:val="none"/>
          <w:u w:val="none"/>
        </w:rPr>
        <w:t>焚烧处置，</w:t>
      </w:r>
      <w:r>
        <w:rPr>
          <w:color w:val="auto"/>
          <w:highlight w:val="none"/>
          <w:u w:val="none"/>
        </w:rPr>
        <w:t>尾气由一根50m高</w:t>
      </w:r>
      <w:r>
        <w:rPr>
          <w:rFonts w:hint="eastAsia"/>
          <w:color w:val="auto"/>
          <w:highlight w:val="none"/>
          <w:u w:val="none"/>
        </w:rPr>
        <w:t>烟囱</w:t>
      </w:r>
      <w:r>
        <w:rPr>
          <w:color w:val="auto"/>
          <w:highlight w:val="none"/>
          <w:u w:val="none"/>
        </w:rPr>
        <w:t>排放。</w:t>
      </w:r>
      <w:r>
        <w:rPr>
          <w:rFonts w:hAnsi="Times New Roman"/>
          <w:color w:val="auto"/>
          <w:highlight w:val="none"/>
          <w:u w:val="none"/>
        </w:rPr>
        <w:t>TDA精制尾气（含粗TDA中间储罐呼吸</w:t>
      </w:r>
      <w:r>
        <w:rPr>
          <w:rFonts w:hint="eastAsia" w:hAnsi="Times New Roman"/>
          <w:color w:val="auto"/>
          <w:highlight w:val="none"/>
          <w:u w:val="none"/>
        </w:rPr>
        <w:t>废气</w:t>
      </w:r>
      <w:r>
        <w:rPr>
          <w:rFonts w:hAnsi="Times New Roman"/>
          <w:color w:val="auto"/>
          <w:highlight w:val="none"/>
          <w:u w:val="none"/>
        </w:rPr>
        <w:t>及OTDA储罐呼吸</w:t>
      </w:r>
      <w:r>
        <w:rPr>
          <w:rFonts w:hint="eastAsia" w:hAnsi="Times New Roman"/>
          <w:color w:val="auto"/>
          <w:highlight w:val="none"/>
          <w:u w:val="none"/>
        </w:rPr>
        <w:t>废气</w:t>
      </w:r>
      <w:r>
        <w:rPr>
          <w:rFonts w:hAnsi="Times New Roman"/>
          <w:color w:val="auto"/>
          <w:highlight w:val="none"/>
          <w:u w:val="none"/>
        </w:rPr>
        <w:t>）经</w:t>
      </w:r>
      <w:r>
        <w:rPr>
          <w:rFonts w:hint="eastAsia" w:hAnsi="Times New Roman"/>
          <w:color w:val="auto"/>
          <w:highlight w:val="none"/>
          <w:u w:val="none"/>
        </w:rPr>
        <w:t>“</w:t>
      </w:r>
      <w:r>
        <w:rPr>
          <w:rFonts w:hAnsi="Times New Roman"/>
          <w:color w:val="auto"/>
          <w:highlight w:val="none"/>
          <w:u w:val="none"/>
        </w:rPr>
        <w:t>冷凝+水洗涤+活性炭吸附</w:t>
      </w:r>
      <w:r>
        <w:rPr>
          <w:rFonts w:hint="eastAsia" w:hAnsi="Times New Roman"/>
          <w:color w:val="auto"/>
          <w:highlight w:val="none"/>
          <w:u w:val="none"/>
        </w:rPr>
        <w:t>”</w:t>
      </w:r>
      <w:r>
        <w:rPr>
          <w:rFonts w:hAnsi="Times New Roman"/>
          <w:color w:val="auto"/>
          <w:highlight w:val="none"/>
          <w:u w:val="none"/>
        </w:rPr>
        <w:t>后，尾气由一根</w:t>
      </w:r>
      <w:r>
        <w:rPr>
          <w:rFonts w:hint="eastAsia" w:hAnsi="Times New Roman"/>
          <w:color w:val="auto"/>
          <w:highlight w:val="none"/>
          <w:u w:val="none"/>
        </w:rPr>
        <w:t>3</w:t>
      </w:r>
      <w:r>
        <w:rPr>
          <w:rFonts w:hint="eastAsia" w:hAnsi="Times New Roman"/>
          <w:color w:val="auto"/>
          <w:highlight w:val="none"/>
          <w:u w:val="none"/>
          <w:lang w:val="en-US"/>
        </w:rPr>
        <w:t>4</w:t>
      </w:r>
      <w:r>
        <w:rPr>
          <w:rFonts w:hAnsi="Times New Roman"/>
          <w:color w:val="auto"/>
          <w:highlight w:val="none"/>
          <w:u w:val="none"/>
        </w:rPr>
        <w:t>m高排气筒排放</w:t>
      </w:r>
      <w:r>
        <w:rPr>
          <w:rFonts w:hint="eastAsia" w:hAnsi="Times New Roman"/>
          <w:color w:val="auto"/>
          <w:highlight w:val="none"/>
          <w:u w:val="none"/>
        </w:rPr>
        <w:t>，</w:t>
      </w:r>
      <w:r>
        <w:rPr>
          <w:rFonts w:hAnsi="Times New Roman"/>
          <w:color w:val="auto"/>
          <w:highlight w:val="none"/>
          <w:u w:val="none"/>
        </w:rPr>
        <w:t>ODCB储罐废气</w:t>
      </w:r>
      <w:r>
        <w:rPr>
          <w:rFonts w:hint="eastAsia" w:hAnsi="Times New Roman"/>
          <w:color w:val="auto"/>
          <w:highlight w:val="none"/>
          <w:u w:val="none"/>
        </w:rPr>
        <w:t>经两级活性炭吸附处理后，尾气由一根</w:t>
      </w:r>
      <w:r>
        <w:rPr>
          <w:rFonts w:hAnsi="Times New Roman"/>
          <w:color w:val="auto"/>
          <w:highlight w:val="none"/>
          <w:u w:val="none"/>
        </w:rPr>
        <w:t>15m高排气筒排放。</w:t>
      </w:r>
    </w:p>
    <w:p w14:paraId="1E5E6321">
      <w:pPr>
        <w:pStyle w:val="981"/>
        <w:rPr>
          <w:rFonts w:hint="eastAsia"/>
          <w:color w:val="auto"/>
          <w:highlight w:val="none"/>
          <w:u w:val="none"/>
        </w:rPr>
      </w:pPr>
      <w:r>
        <w:rPr>
          <w:rFonts w:hint="eastAsia"/>
          <w:color w:val="auto"/>
          <w:highlight w:val="none"/>
          <w:u w:val="none"/>
        </w:rPr>
        <w:t>本项目设置的</w:t>
      </w:r>
      <w:r>
        <w:rPr>
          <w:rFonts w:hint="eastAsia"/>
          <w:snapToGrid w:val="0"/>
          <w:color w:val="auto"/>
          <w:highlight w:val="none"/>
          <w:u w:val="none"/>
        </w:rPr>
        <w:t>大气防护距离为</w:t>
      </w:r>
      <w:r>
        <w:rPr>
          <w:snapToGrid w:val="0"/>
          <w:color w:val="auto"/>
          <w:highlight w:val="none"/>
          <w:u w:val="none"/>
        </w:rPr>
        <w:t>光气及光气装置外2000米</w:t>
      </w:r>
      <w:r>
        <w:rPr>
          <w:rFonts w:hint="eastAsia"/>
          <w:snapToGrid w:val="0"/>
          <w:color w:val="auto"/>
          <w:highlight w:val="none"/>
          <w:u w:val="none"/>
        </w:rPr>
        <w:t>范围，</w:t>
      </w:r>
      <w:r>
        <w:rPr>
          <w:rFonts w:hint="eastAsia"/>
          <w:color w:val="auto"/>
          <w:highlight w:val="none"/>
          <w:u w:val="none"/>
        </w:rPr>
        <w:t>在该范围内严禁建设居住区、学校、医院等对环境敏感性较强的建筑。根据项目周边地理位置及敏感目标调查，</w:t>
      </w:r>
      <w:r>
        <w:rPr>
          <w:snapToGrid w:val="0"/>
          <w:color w:val="auto"/>
          <w:highlight w:val="none"/>
          <w:u w:val="none"/>
        </w:rPr>
        <w:t>防护距离</w:t>
      </w:r>
      <w:r>
        <w:rPr>
          <w:rFonts w:hint="eastAsia"/>
          <w:snapToGrid w:val="0"/>
          <w:color w:val="auto"/>
          <w:highlight w:val="none"/>
          <w:u w:val="none"/>
        </w:rPr>
        <w:t>内</w:t>
      </w:r>
      <w:r>
        <w:rPr>
          <w:rFonts w:hint="eastAsia"/>
          <w:color w:val="auto"/>
          <w:highlight w:val="none"/>
          <w:u w:val="none"/>
        </w:rPr>
        <w:t>现状无长期居住的居民住宅以及规划的居住用地，符合</w:t>
      </w:r>
      <w:r>
        <w:rPr>
          <w:snapToGrid w:val="0"/>
          <w:color w:val="auto"/>
          <w:highlight w:val="none"/>
          <w:u w:val="none"/>
        </w:rPr>
        <w:t>防护距离</w:t>
      </w:r>
      <w:r>
        <w:rPr>
          <w:rFonts w:hint="eastAsia"/>
          <w:snapToGrid w:val="0"/>
          <w:color w:val="auto"/>
          <w:highlight w:val="none"/>
          <w:u w:val="none"/>
        </w:rPr>
        <w:t>的要求。</w:t>
      </w:r>
    </w:p>
    <w:p w14:paraId="260D9C77">
      <w:pPr>
        <w:pStyle w:val="82"/>
        <w:rPr>
          <w:rFonts w:hint="eastAsia"/>
          <w:color w:val="auto"/>
          <w:highlight w:val="none"/>
          <w:u w:val="none"/>
        </w:rPr>
      </w:pPr>
      <w:r>
        <w:rPr>
          <w:rFonts w:hint="eastAsia"/>
          <w:color w:val="auto"/>
          <w:highlight w:val="none"/>
          <w:u w:val="none"/>
        </w:rPr>
        <w:t>经上述措施处理后，项目各废气污染物可实现达标排放，对周边环境影响较小。</w:t>
      </w:r>
    </w:p>
    <w:p w14:paraId="733852E6">
      <w:pPr>
        <w:pStyle w:val="6"/>
        <w:spacing w:before="156" w:after="156"/>
        <w:rPr>
          <w:color w:val="auto"/>
          <w:highlight w:val="none"/>
          <w:u w:val="none"/>
        </w:rPr>
      </w:pPr>
      <w:r>
        <w:rPr>
          <w:rFonts w:hint="eastAsia"/>
          <w:color w:val="auto"/>
          <w:highlight w:val="none"/>
          <w:u w:val="none"/>
        </w:rPr>
        <w:t>水环境</w:t>
      </w:r>
    </w:p>
    <w:p w14:paraId="52D1414E">
      <w:pPr>
        <w:rPr>
          <w:rFonts w:hint="eastAsia"/>
          <w:color w:val="auto"/>
          <w:highlight w:val="none"/>
          <w:u w:val="none"/>
        </w:rPr>
      </w:pPr>
      <w:r>
        <w:rPr>
          <w:rFonts w:hint="eastAsia"/>
          <w:color w:val="auto"/>
          <w:highlight w:val="none"/>
          <w:u w:val="none"/>
          <w:lang w:val="en-US"/>
        </w:rPr>
        <w:t>本次技改扩能</w:t>
      </w:r>
      <w:r>
        <w:rPr>
          <w:rFonts w:hint="eastAsia"/>
          <w:color w:val="auto"/>
          <w:highlight w:val="none"/>
          <w:u w:val="none"/>
        </w:rPr>
        <w:t>营运期产生的硝硫浓缩酸性废水、废酸浓缩酸性废水、</w:t>
      </w:r>
      <w:r>
        <w:rPr>
          <w:color w:val="auto"/>
          <w:highlight w:val="none"/>
          <w:u w:val="none"/>
        </w:rPr>
        <w:t>汽提酸性废水</w:t>
      </w:r>
      <w:r>
        <w:rPr>
          <w:rFonts w:hint="eastAsia"/>
          <w:color w:val="auto"/>
          <w:highlight w:val="none"/>
          <w:u w:val="none"/>
        </w:rPr>
        <w:t>、</w:t>
      </w:r>
      <w:r>
        <w:rPr>
          <w:color w:val="auto"/>
          <w:highlight w:val="none"/>
          <w:u w:val="none"/>
        </w:rPr>
        <w:t>TDA</w:t>
      </w:r>
      <w:r>
        <w:rPr>
          <w:rFonts w:hint="eastAsia"/>
          <w:color w:val="auto"/>
          <w:highlight w:val="none"/>
          <w:u w:val="none"/>
        </w:rPr>
        <w:t>汽提废水、</w:t>
      </w:r>
      <w:r>
        <w:rPr>
          <w:color w:val="auto"/>
          <w:highlight w:val="none"/>
          <w:u w:val="none"/>
        </w:rPr>
        <w:t>TDA</w:t>
      </w:r>
      <w:r>
        <w:rPr>
          <w:rFonts w:hint="eastAsia"/>
          <w:color w:val="auto"/>
          <w:highlight w:val="none"/>
          <w:u w:val="none"/>
        </w:rPr>
        <w:t>废水、光化中和废水、设备清洗废水</w:t>
      </w:r>
      <w:r>
        <w:rPr>
          <w:rFonts w:hint="eastAsia"/>
          <w:color w:val="auto"/>
          <w:highlight w:val="none"/>
          <w:u w:val="none"/>
          <w:lang w:val="en-US"/>
        </w:rPr>
        <w:t>依托现有管道和废水防治措施。废水</w:t>
      </w:r>
      <w:r>
        <w:rPr>
          <w:color w:val="auto"/>
          <w:highlight w:val="none"/>
          <w:u w:val="none"/>
        </w:rPr>
        <w:t>通过明管输送至</w:t>
      </w:r>
      <w:r>
        <w:rPr>
          <w:rFonts w:hint="eastAsia"/>
          <w:color w:val="auto"/>
          <w:highlight w:val="none"/>
          <w:u w:val="none"/>
        </w:rPr>
        <w:t>万华环保科技公司</w:t>
      </w:r>
      <w:r>
        <w:rPr>
          <w:color w:val="auto"/>
          <w:highlight w:val="none"/>
          <w:u w:val="none"/>
        </w:rPr>
        <w:t>污水处理站综合废水处理系统处理，处理达标后通过</w:t>
      </w:r>
      <w:r>
        <w:rPr>
          <w:rFonts w:hint="eastAsia"/>
          <w:color w:val="auto"/>
          <w:highlight w:val="none"/>
          <w:u w:val="none"/>
          <w:lang w:eastAsia="zh-CN"/>
        </w:rPr>
        <w:t>福州江阴港城经济区</w:t>
      </w:r>
      <w:r>
        <w:rPr>
          <w:color w:val="auto"/>
          <w:highlight w:val="none"/>
          <w:u w:val="none"/>
        </w:rPr>
        <w:t>污水处理厂已建排海管道排海；</w:t>
      </w:r>
      <w:r>
        <w:rPr>
          <w:rFonts w:hint="eastAsia"/>
          <w:color w:val="auto"/>
          <w:highlight w:val="none"/>
          <w:u w:val="none"/>
        </w:rPr>
        <w:t>红水废水通过明管</w:t>
      </w:r>
      <w:r>
        <w:rPr>
          <w:color w:val="auto"/>
          <w:highlight w:val="none"/>
          <w:u w:val="none"/>
        </w:rPr>
        <w:t>输送至</w:t>
      </w:r>
      <w:r>
        <w:rPr>
          <w:rFonts w:hint="eastAsia"/>
          <w:color w:val="auto"/>
          <w:highlight w:val="none"/>
          <w:u w:val="none"/>
        </w:rPr>
        <w:t>万华福建公司气体扩能改造项目作为水煤浆气化原料（当气体项目进行检修无法接收废水时，红水废水临时进入万华环保科技公司综合废水处理系统处理进行处理）；</w:t>
      </w:r>
      <w:r>
        <w:rPr>
          <w:color w:val="auto"/>
          <w:highlight w:val="none"/>
          <w:u w:val="none"/>
        </w:rPr>
        <w:t>黄水废水收集至黄</w:t>
      </w:r>
      <w:r>
        <w:rPr>
          <w:rFonts w:hint="eastAsia"/>
          <w:color w:val="auto"/>
          <w:highlight w:val="none"/>
          <w:u w:val="none"/>
        </w:rPr>
        <w:t>水酸性水罐后返回至</w:t>
      </w:r>
      <w:r>
        <w:rPr>
          <w:color w:val="auto"/>
          <w:highlight w:val="none"/>
          <w:u w:val="none"/>
        </w:rPr>
        <w:t>DNT反应工序循环使用不外排。地面冲洗水</w:t>
      </w:r>
      <w:r>
        <w:rPr>
          <w:rFonts w:hint="eastAsia"/>
          <w:color w:val="auto"/>
          <w:highlight w:val="none"/>
          <w:u w:val="none"/>
        </w:rPr>
        <w:t>、初期雨水及生活污水送至万华环保科技公司</w:t>
      </w:r>
      <w:r>
        <w:rPr>
          <w:color w:val="auto"/>
          <w:highlight w:val="none"/>
          <w:u w:val="none"/>
        </w:rPr>
        <w:t>污水处理站低浓度废水处理系统处理，处理后</w:t>
      </w:r>
      <w:r>
        <w:rPr>
          <w:rFonts w:hint="eastAsia"/>
          <w:color w:val="auto"/>
          <w:highlight w:val="none"/>
          <w:u w:val="none"/>
        </w:rPr>
        <w:t>尾水</w:t>
      </w:r>
      <w:r>
        <w:rPr>
          <w:rStyle w:val="161"/>
          <w:rFonts w:hint="eastAsia"/>
          <w:color w:val="auto"/>
          <w:sz w:val="24"/>
          <w:szCs w:val="24"/>
          <w:highlight w:val="none"/>
          <w:u w:val="none"/>
        </w:rPr>
        <w:t>进入编组站废水处理系统进一步处理后，</w:t>
      </w:r>
      <w:r>
        <w:rPr>
          <w:rFonts w:hint="eastAsia"/>
          <w:color w:val="auto"/>
          <w:highlight w:val="none"/>
          <w:u w:val="none"/>
        </w:rPr>
        <w:t>回用于万华福建产业园内各循环冷却水系统补充水，编组站废水处理系统产生的反渗透浓水经处理达标后</w:t>
      </w:r>
      <w:r>
        <w:rPr>
          <w:color w:val="auto"/>
          <w:highlight w:val="none"/>
          <w:u w:val="none"/>
        </w:rPr>
        <w:t>通过福州江阴港城经济区污水处理厂已建排海管道排海。</w:t>
      </w:r>
    </w:p>
    <w:p w14:paraId="6C71DD33">
      <w:pPr>
        <w:rPr>
          <w:rFonts w:hint="eastAsia"/>
          <w:color w:val="auto"/>
          <w:highlight w:val="none"/>
          <w:u w:val="none"/>
        </w:rPr>
      </w:pPr>
      <w:r>
        <w:rPr>
          <w:rFonts w:hint="eastAsia"/>
          <w:color w:val="auto"/>
          <w:highlight w:val="none"/>
          <w:u w:val="none"/>
        </w:rPr>
        <w:t>经分析，项目低浓度废水依托万华环保科技公司</w:t>
      </w:r>
      <w:r>
        <w:rPr>
          <w:color w:val="auto"/>
          <w:highlight w:val="none"/>
          <w:u w:val="none"/>
        </w:rPr>
        <w:t>污水处理站低浓度废水处理系统处理</w:t>
      </w:r>
      <w:r>
        <w:rPr>
          <w:rFonts w:hint="eastAsia"/>
          <w:color w:val="auto"/>
          <w:highlight w:val="none"/>
          <w:u w:val="none"/>
        </w:rPr>
        <w:t>后</w:t>
      </w:r>
      <w:r>
        <w:rPr>
          <w:rStyle w:val="161"/>
          <w:rFonts w:hint="eastAsia"/>
          <w:color w:val="auto"/>
          <w:sz w:val="24"/>
          <w:szCs w:val="24"/>
          <w:highlight w:val="none"/>
          <w:u w:val="none"/>
        </w:rPr>
        <w:t>进入编组站废水处理系统进一步处理</w:t>
      </w:r>
      <w:r>
        <w:rPr>
          <w:rFonts w:hint="eastAsia"/>
          <w:color w:val="auto"/>
          <w:highlight w:val="none"/>
          <w:u w:val="none"/>
        </w:rPr>
        <w:t>，高浓度废水依托万华环保科技公司</w:t>
      </w:r>
      <w:r>
        <w:rPr>
          <w:color w:val="auto"/>
          <w:highlight w:val="none"/>
          <w:u w:val="none"/>
        </w:rPr>
        <w:t>污水处理站</w:t>
      </w:r>
      <w:r>
        <w:rPr>
          <w:rFonts w:hint="eastAsia"/>
          <w:color w:val="auto"/>
          <w:highlight w:val="none"/>
          <w:u w:val="none"/>
        </w:rPr>
        <w:t>综合废水处理系统处理，</w:t>
      </w:r>
      <w:r>
        <w:rPr>
          <w:rFonts w:hint="eastAsia" w:hAnsi="Times New Roman"/>
          <w:color w:val="auto"/>
          <w:highlight w:val="none"/>
          <w:u w:val="none"/>
        </w:rPr>
        <w:t>从依托处理设施的处理能力、处理工艺、设计进出水水质要求、废水稳定达标情况等方面分析，</w:t>
      </w:r>
      <w:r>
        <w:rPr>
          <w:rFonts w:hint="eastAsia"/>
          <w:color w:val="auto"/>
          <w:highlight w:val="none"/>
          <w:u w:val="none"/>
        </w:rPr>
        <w:t>本项目废水依托处理可行。</w:t>
      </w:r>
    </w:p>
    <w:p w14:paraId="1DC7CCB9">
      <w:pPr>
        <w:pStyle w:val="6"/>
        <w:spacing w:before="156" w:after="156"/>
        <w:rPr>
          <w:color w:val="auto"/>
          <w:highlight w:val="none"/>
          <w:u w:val="none"/>
        </w:rPr>
      </w:pPr>
      <w:r>
        <w:rPr>
          <w:rFonts w:hint="eastAsia"/>
          <w:color w:val="auto"/>
          <w:highlight w:val="none"/>
          <w:u w:val="none"/>
        </w:rPr>
        <w:t>地下水</w:t>
      </w:r>
    </w:p>
    <w:p w14:paraId="15059D11">
      <w:pPr>
        <w:rPr>
          <w:rFonts w:hint="eastAsia"/>
          <w:color w:val="auto"/>
          <w:highlight w:val="none"/>
          <w:u w:val="none"/>
        </w:rPr>
      </w:pPr>
      <w:r>
        <w:rPr>
          <w:rFonts w:hint="eastAsia"/>
          <w:color w:val="auto"/>
          <w:highlight w:val="none"/>
          <w:u w:val="none"/>
        </w:rPr>
        <w:t>本项目在正常状况下，所有罐区、生产和环保设施均按防渗要求设计，对地下水污染小。在非正常状况下，如当ODCB、DNT储罐发生泄漏时，污染物沿着地下水往下游迁移，并分别于1</w:t>
      </w:r>
      <w:r>
        <w:rPr>
          <w:color w:val="auto"/>
          <w:highlight w:val="none"/>
          <w:u w:val="none"/>
        </w:rPr>
        <w:t>20</w:t>
      </w:r>
      <w:r>
        <w:rPr>
          <w:rFonts w:hint="eastAsia"/>
          <w:color w:val="auto"/>
          <w:highlight w:val="none"/>
          <w:u w:val="none"/>
        </w:rPr>
        <w:t>d及1</w:t>
      </w:r>
      <w:r>
        <w:rPr>
          <w:color w:val="auto"/>
          <w:highlight w:val="none"/>
          <w:u w:val="none"/>
        </w:rPr>
        <w:t>80</w:t>
      </w:r>
      <w:r>
        <w:rPr>
          <w:rFonts w:hint="eastAsia"/>
          <w:color w:val="auto"/>
          <w:highlight w:val="none"/>
          <w:u w:val="none"/>
        </w:rPr>
        <w:t>d越过</w:t>
      </w:r>
      <w:r>
        <w:rPr>
          <w:rFonts w:hint="eastAsia"/>
          <w:color w:val="auto"/>
          <w:highlight w:val="none"/>
          <w:u w:val="none"/>
          <w:lang w:val="en-US"/>
        </w:rPr>
        <w:t>装置区</w:t>
      </w:r>
      <w:r>
        <w:rPr>
          <w:rFonts w:hint="eastAsia"/>
          <w:color w:val="auto"/>
          <w:highlight w:val="none"/>
          <w:u w:val="none"/>
        </w:rPr>
        <w:t>红线，对</w:t>
      </w:r>
      <w:r>
        <w:rPr>
          <w:rFonts w:hint="eastAsia"/>
          <w:color w:val="auto"/>
          <w:highlight w:val="none"/>
          <w:u w:val="none"/>
          <w:lang w:val="en-US"/>
        </w:rPr>
        <w:t>装置区</w:t>
      </w:r>
      <w:r>
        <w:rPr>
          <w:rFonts w:hint="eastAsia"/>
          <w:color w:val="auto"/>
          <w:highlight w:val="none"/>
          <w:u w:val="none"/>
        </w:rPr>
        <w:t>下游造成污染；本评价要求建设单位应加强厂内储罐防渗系统的日常检查工作，若发生渗漏，应及时修补，避免污染物持续性的泄漏，建设单位应同时按本评价提出的地下水监控计划，开展日常地下水监测工作，若发现监控点地下水污染和水质恶化，应及时进行处理，开展系统调查，及时封堵泄漏点。在及时发现泄漏，排查及切断泄漏源，避免持续性泄漏的情况下，本项目的建设对区域地下水的影响是可以接受的。</w:t>
      </w:r>
    </w:p>
    <w:p w14:paraId="13675013">
      <w:pPr>
        <w:pStyle w:val="6"/>
        <w:spacing w:before="156" w:after="156"/>
        <w:rPr>
          <w:color w:val="auto"/>
          <w:highlight w:val="none"/>
          <w:u w:val="none"/>
        </w:rPr>
      </w:pPr>
      <w:r>
        <w:rPr>
          <w:rFonts w:hint="eastAsia"/>
          <w:color w:val="auto"/>
          <w:highlight w:val="none"/>
          <w:u w:val="none"/>
        </w:rPr>
        <w:t>声环境</w:t>
      </w:r>
    </w:p>
    <w:p w14:paraId="7D779388">
      <w:pPr>
        <w:pStyle w:val="981"/>
        <w:rPr>
          <w:rFonts w:hint="eastAsia"/>
          <w:color w:val="auto"/>
          <w:highlight w:val="none"/>
          <w:u w:val="none"/>
        </w:rPr>
      </w:pPr>
      <w:r>
        <w:rPr>
          <w:rFonts w:hint="eastAsia"/>
          <w:color w:val="auto"/>
          <w:highlight w:val="none"/>
          <w:u w:val="none"/>
        </w:rPr>
        <w:t>根据预测可知，</w:t>
      </w:r>
      <w:r>
        <w:rPr>
          <w:color w:val="auto"/>
          <w:highlight w:val="none"/>
          <w:u w:val="none"/>
        </w:rPr>
        <w:t>在采取了有效的降噪措施，并考虑户外声传播衰减情况，</w:t>
      </w:r>
      <w:r>
        <w:rPr>
          <w:rFonts w:hint="eastAsia"/>
          <w:color w:val="auto"/>
          <w:highlight w:val="none"/>
          <w:u w:val="none"/>
          <w:lang w:val="en-US"/>
        </w:rPr>
        <w:t>本次技改扩能</w:t>
      </w:r>
      <w:r>
        <w:rPr>
          <w:color w:val="auto"/>
          <w:highlight w:val="none"/>
          <w:u w:val="none"/>
        </w:rPr>
        <w:t>项目</w:t>
      </w:r>
      <w:r>
        <w:rPr>
          <w:rFonts w:hint="eastAsia"/>
          <w:color w:val="auto"/>
          <w:highlight w:val="none"/>
          <w:u w:val="none"/>
          <w:lang w:val="en-US"/>
        </w:rPr>
        <w:t>新增</w:t>
      </w:r>
      <w:r>
        <w:rPr>
          <w:color w:val="auto"/>
          <w:highlight w:val="none"/>
          <w:u w:val="none"/>
        </w:rPr>
        <w:t>设备的运行噪声</w:t>
      </w:r>
      <w:r>
        <w:rPr>
          <w:rFonts w:hint="eastAsia"/>
          <w:color w:val="auto"/>
          <w:highlight w:val="none"/>
          <w:u w:val="none"/>
          <w:lang w:val="en-US"/>
        </w:rPr>
        <w:t>叠加厂内已有、已批未建设备运行噪声后，</w:t>
      </w:r>
      <w:r>
        <w:rPr>
          <w:color w:val="auto"/>
          <w:highlight w:val="none"/>
          <w:u w:val="none"/>
        </w:rPr>
        <w:t>在各厂界处的贡献值可满足《工业企业厂界环境噪声排放标准》（GB12348-2008）3类区标准。项目投入运营后，对周边环境影响较小，但为了确保厂界噪声可以达标排放，环评要求项目落实本报告提出的噪声降噪措施，并加强噪声的治理。</w:t>
      </w:r>
    </w:p>
    <w:p w14:paraId="6F63D62B">
      <w:pPr>
        <w:pStyle w:val="6"/>
        <w:spacing w:before="156" w:after="156"/>
        <w:rPr>
          <w:color w:val="auto"/>
          <w:highlight w:val="none"/>
          <w:u w:val="none"/>
        </w:rPr>
      </w:pPr>
      <w:r>
        <w:rPr>
          <w:rFonts w:hint="eastAsia"/>
          <w:color w:val="auto"/>
          <w:highlight w:val="none"/>
          <w:u w:val="none"/>
        </w:rPr>
        <w:t>固体废物</w:t>
      </w:r>
    </w:p>
    <w:p w14:paraId="641C22EF">
      <w:pPr>
        <w:pStyle w:val="82"/>
        <w:rPr>
          <w:rFonts w:hint="eastAsia"/>
          <w:color w:val="auto"/>
          <w:highlight w:val="none"/>
          <w:u w:val="none"/>
        </w:rPr>
      </w:pPr>
      <w:r>
        <w:rPr>
          <w:rFonts w:hint="eastAsia"/>
          <w:color w:val="auto"/>
          <w:highlight w:val="none"/>
          <w:u w:val="none"/>
          <w:lang w:val="en-US"/>
        </w:rPr>
        <w:t>本次技改扩能项目危废贮存依托万华环保科技公司危废贮存间（共2座，</w:t>
      </w:r>
      <w:r>
        <w:rPr>
          <w:rFonts w:hint="eastAsia"/>
          <w:color w:val="auto"/>
          <w:highlight w:val="none"/>
          <w:u w:val="none"/>
        </w:rPr>
        <w:t>1座1</w:t>
      </w:r>
      <w:r>
        <w:rPr>
          <w:color w:val="auto"/>
          <w:highlight w:val="none"/>
          <w:u w:val="none"/>
        </w:rPr>
        <w:t>60m</w:t>
      </w:r>
      <w:r>
        <w:rPr>
          <w:color w:val="auto"/>
          <w:highlight w:val="none"/>
          <w:u w:val="none"/>
          <w:vertAlign w:val="superscript"/>
        </w:rPr>
        <w:t>2</w:t>
      </w:r>
      <w:r>
        <w:rPr>
          <w:rFonts w:hint="eastAsia"/>
          <w:color w:val="auto"/>
          <w:highlight w:val="none"/>
          <w:u w:val="none"/>
        </w:rPr>
        <w:t>，1座4</w:t>
      </w:r>
      <w:r>
        <w:rPr>
          <w:color w:val="auto"/>
          <w:highlight w:val="none"/>
          <w:u w:val="none"/>
        </w:rPr>
        <w:t>50m</w:t>
      </w:r>
      <w:r>
        <w:rPr>
          <w:color w:val="auto"/>
          <w:highlight w:val="none"/>
          <w:u w:val="none"/>
          <w:vertAlign w:val="superscript"/>
        </w:rPr>
        <w:t>2</w:t>
      </w:r>
      <w:r>
        <w:rPr>
          <w:rFonts w:hint="eastAsia"/>
          <w:color w:val="auto"/>
          <w:highlight w:val="none"/>
          <w:u w:val="none"/>
        </w:rPr>
        <w:t>，</w:t>
      </w:r>
      <w:r>
        <w:rPr>
          <w:rFonts w:hint="eastAsia"/>
          <w:color w:val="auto"/>
          <w:highlight w:val="none"/>
          <w:u w:val="none"/>
          <w:lang w:val="en-US"/>
        </w:rPr>
        <w:t>总面积</w:t>
      </w:r>
      <w:r>
        <w:rPr>
          <w:color w:val="auto"/>
          <w:highlight w:val="none"/>
          <w:u w:val="none"/>
          <w:lang w:val="en-US"/>
        </w:rPr>
        <w:t>610m</w:t>
      </w:r>
      <w:r>
        <w:rPr>
          <w:color w:val="auto"/>
          <w:highlight w:val="none"/>
          <w:u w:val="none"/>
          <w:vertAlign w:val="superscript"/>
          <w:lang w:val="en-US"/>
        </w:rPr>
        <w:t>2</w:t>
      </w:r>
      <w:r>
        <w:rPr>
          <w:color w:val="auto"/>
          <w:highlight w:val="none"/>
          <w:u w:val="none"/>
          <w:lang w:val="en-US"/>
        </w:rPr>
        <w:t>），</w:t>
      </w:r>
      <w:r>
        <w:rPr>
          <w:rFonts w:hint="eastAsia"/>
          <w:color w:val="auto"/>
          <w:highlight w:val="none"/>
          <w:u w:val="none"/>
          <w:lang w:val="en-US"/>
        </w:rPr>
        <w:t>危废贮存间已按照</w:t>
      </w:r>
      <w:r>
        <w:rPr>
          <w:rFonts w:hint="eastAsia"/>
          <w:color w:val="auto"/>
          <w:highlight w:val="none"/>
          <w:u w:val="none"/>
        </w:rPr>
        <w:t>《危险废物贮存污染控制标准》（</w:t>
      </w:r>
      <w:r>
        <w:rPr>
          <w:color w:val="auto"/>
          <w:highlight w:val="none"/>
          <w:u w:val="none"/>
        </w:rPr>
        <w:t>GB18597-2023</w:t>
      </w:r>
      <w:r>
        <w:rPr>
          <w:rFonts w:hint="eastAsia"/>
          <w:color w:val="auto"/>
          <w:highlight w:val="none"/>
          <w:u w:val="none"/>
        </w:rPr>
        <w:t>）的要求</w:t>
      </w:r>
      <w:r>
        <w:rPr>
          <w:color w:val="auto"/>
          <w:highlight w:val="none"/>
          <w:u w:val="none"/>
        </w:rPr>
        <w:t>进行建设。</w:t>
      </w:r>
      <w:r>
        <w:rPr>
          <w:color w:val="auto"/>
          <w:highlight w:val="none"/>
          <w:u w:val="none"/>
          <w:lang w:val="en-US"/>
        </w:rPr>
        <w:t>万华福建公司产生的危险废物单独贮存，</w:t>
      </w:r>
      <w:r>
        <w:rPr>
          <w:rFonts w:hint="eastAsia"/>
          <w:color w:val="auto"/>
          <w:highlight w:val="none"/>
          <w:u w:val="none"/>
          <w:lang w:val="en-US"/>
        </w:rPr>
        <w:t>其危险废物的转移、贮存、台账、处置仍由万华福建公司负责管理。本项目危废贮存需</w:t>
      </w:r>
      <w:r>
        <w:rPr>
          <w:color w:val="auto"/>
          <w:highlight w:val="none"/>
          <w:u w:val="none"/>
          <w:lang w:val="en-US"/>
        </w:rPr>
        <w:t>55m</w:t>
      </w:r>
      <w:r>
        <w:rPr>
          <w:color w:val="auto"/>
          <w:highlight w:val="none"/>
          <w:u w:val="none"/>
          <w:vertAlign w:val="superscript"/>
          <w:lang w:val="en-US"/>
        </w:rPr>
        <w:t>2</w:t>
      </w:r>
      <w:r>
        <w:rPr>
          <w:rFonts w:hint="eastAsia"/>
          <w:color w:val="auto"/>
          <w:highlight w:val="none"/>
          <w:u w:val="none"/>
          <w:lang w:val="en-US"/>
        </w:rPr>
        <w:t>（由610</w:t>
      </w:r>
      <w:r>
        <w:rPr>
          <w:color w:val="auto"/>
          <w:highlight w:val="none"/>
          <w:u w:val="none"/>
          <w:lang w:val="en-US"/>
        </w:rPr>
        <w:t>m</w:t>
      </w:r>
      <w:r>
        <w:rPr>
          <w:color w:val="auto"/>
          <w:highlight w:val="none"/>
          <w:u w:val="none"/>
          <w:vertAlign w:val="superscript"/>
          <w:lang w:val="en-US"/>
        </w:rPr>
        <w:t>2</w:t>
      </w:r>
      <w:r>
        <w:rPr>
          <w:color w:val="auto"/>
          <w:highlight w:val="none"/>
          <w:u w:val="none"/>
          <w:lang w:val="en-US"/>
        </w:rPr>
        <w:t>面积</w:t>
      </w:r>
      <w:r>
        <w:rPr>
          <w:rFonts w:hint="eastAsia"/>
          <w:color w:val="auto"/>
          <w:highlight w:val="none"/>
          <w:u w:val="none"/>
          <w:lang w:val="en-US"/>
        </w:rPr>
        <w:t>中划出）</w:t>
      </w:r>
      <w:r>
        <w:rPr>
          <w:color w:val="auto"/>
          <w:highlight w:val="none"/>
          <w:u w:val="none"/>
          <w:lang w:val="en-US"/>
        </w:rPr>
        <w:t>。</w:t>
      </w:r>
      <w:r>
        <w:rPr>
          <w:color w:val="auto"/>
          <w:highlight w:val="none"/>
          <w:u w:val="none"/>
        </w:rPr>
        <w:t>主要贮存生产过程产生的</w:t>
      </w:r>
      <w:r>
        <w:rPr>
          <w:rFonts w:hint="eastAsia"/>
          <w:color w:val="auto"/>
          <w:highlight w:val="none"/>
          <w:u w:val="none"/>
        </w:rPr>
        <w:t>废催化剂、废活性炭、废弃化学品包装桶或袋、废机油、废导热油、氮封油等，委托有危险废物处置资质单位定期处理</w:t>
      </w:r>
      <w:r>
        <w:rPr>
          <w:color w:val="auto"/>
          <w:highlight w:val="none"/>
          <w:u w:val="none"/>
        </w:rPr>
        <w:t>。</w:t>
      </w:r>
      <w:r>
        <w:rPr>
          <w:rFonts w:hint="eastAsia"/>
          <w:color w:val="auto"/>
          <w:highlight w:val="none"/>
          <w:u w:val="none"/>
          <w:lang w:val="en-US"/>
        </w:rPr>
        <w:t>危废贮存间</w:t>
      </w:r>
      <w:r>
        <w:rPr>
          <w:rFonts w:hint="eastAsia"/>
          <w:color w:val="auto"/>
          <w:highlight w:val="none"/>
          <w:u w:val="none"/>
        </w:rPr>
        <w:t>地面已按要求实施重点防渗，正常状况下，不会污染地下水和土壤。</w:t>
      </w:r>
    </w:p>
    <w:p w14:paraId="267519A5">
      <w:pPr>
        <w:pStyle w:val="82"/>
        <w:rPr>
          <w:rFonts w:hint="eastAsia"/>
          <w:color w:val="auto"/>
          <w:highlight w:val="none"/>
          <w:u w:val="none"/>
        </w:rPr>
      </w:pPr>
      <w:r>
        <w:rPr>
          <w:rFonts w:hint="eastAsia"/>
          <w:color w:val="auto"/>
          <w:highlight w:val="none"/>
          <w:u w:val="none"/>
        </w:rPr>
        <w:t>项目</w:t>
      </w:r>
      <w:r>
        <w:rPr>
          <w:color w:val="auto"/>
          <w:highlight w:val="none"/>
          <w:u w:val="none"/>
        </w:rPr>
        <w:t>生活垃圾进行分类收集，委托环卫部门统一清运，做到日产日清。</w:t>
      </w:r>
    </w:p>
    <w:p w14:paraId="75659B37">
      <w:pPr>
        <w:pStyle w:val="82"/>
        <w:rPr>
          <w:rFonts w:hint="eastAsia"/>
          <w:color w:val="auto"/>
          <w:highlight w:val="none"/>
          <w:u w:val="none"/>
        </w:rPr>
      </w:pPr>
      <w:r>
        <w:rPr>
          <w:rFonts w:hint="eastAsia"/>
          <w:color w:val="auto"/>
          <w:highlight w:val="none"/>
          <w:u w:val="none"/>
        </w:rPr>
        <w:t>项目企业在强化管理，做好固废的收集、贮存和清运工作，认真落实上述各项环保措施后，经处置后固废基本不会对环境造成二次污染，项目产生的固体废物对周边环境影响不大。</w:t>
      </w:r>
    </w:p>
    <w:p w14:paraId="560089BC">
      <w:pPr>
        <w:pStyle w:val="6"/>
        <w:spacing w:before="156" w:after="156"/>
        <w:rPr>
          <w:color w:val="auto"/>
          <w:highlight w:val="none"/>
          <w:u w:val="none"/>
        </w:rPr>
      </w:pPr>
      <w:r>
        <w:rPr>
          <w:rFonts w:hint="eastAsia"/>
          <w:color w:val="auto"/>
          <w:highlight w:val="none"/>
          <w:u w:val="none"/>
        </w:rPr>
        <w:t>土壤环境</w:t>
      </w:r>
    </w:p>
    <w:p w14:paraId="6DB0DBC4">
      <w:pPr>
        <w:pStyle w:val="82"/>
        <w:rPr>
          <w:rFonts w:hint="eastAsia"/>
          <w:color w:val="auto"/>
          <w:highlight w:val="none"/>
          <w:u w:val="none"/>
          <w:lang w:val="en-US"/>
        </w:rPr>
      </w:pPr>
      <w:r>
        <w:rPr>
          <w:rFonts w:hint="eastAsia"/>
          <w:color w:val="auto"/>
          <w:highlight w:val="none"/>
          <w:u w:val="none"/>
        </w:rPr>
        <w:t>本项目营运期生产活动在正常工况下，采取严格、有效的污染源控制措施，从大气沉降等途径进入周围土壤中的邻二氯苯及</w:t>
      </w:r>
      <w:r>
        <w:rPr>
          <w:color w:val="auto"/>
          <w:highlight w:val="none"/>
          <w:u w:val="none"/>
        </w:rPr>
        <w:t>二硝基甲苯</w:t>
      </w:r>
      <w:r>
        <w:rPr>
          <w:rFonts w:hint="eastAsia"/>
          <w:color w:val="auto"/>
          <w:highlight w:val="none"/>
          <w:u w:val="none"/>
        </w:rPr>
        <w:t>、甲苯等污染物较少，加上土壤具有一定的环境容量，因而在营运期内一般不会超过《土壤环境质量 建设用地土壤污染风险管控标准（试行）》（GB36600-2018）中的第二类用地筛选值要求。但在</w:t>
      </w:r>
      <w:r>
        <w:rPr>
          <w:color w:val="auto"/>
          <w:highlight w:val="none"/>
          <w:u w:val="none"/>
          <w:lang w:val="en-US"/>
        </w:rPr>
        <w:t>DNT储罐、ODCB储罐底部</w:t>
      </w:r>
      <w:r>
        <w:rPr>
          <w:rFonts w:hint="eastAsia"/>
          <w:color w:val="auto"/>
          <w:highlight w:val="none"/>
          <w:u w:val="none"/>
          <w:lang w:val="en-US"/>
        </w:rPr>
        <w:t>发生</w:t>
      </w:r>
      <w:r>
        <w:rPr>
          <w:color w:val="auto"/>
          <w:highlight w:val="none"/>
          <w:u w:val="none"/>
          <w:lang w:val="en-US"/>
        </w:rPr>
        <w:t>泄漏后，</w:t>
      </w:r>
      <w:r>
        <w:rPr>
          <w:rFonts w:hint="eastAsia"/>
          <w:color w:val="auto"/>
          <w:highlight w:val="none"/>
          <w:u w:val="none"/>
          <w:lang w:val="en-US"/>
        </w:rPr>
        <w:t>土壤中的二硝基甲苯、</w:t>
      </w:r>
      <w:r>
        <w:rPr>
          <w:color w:val="auto"/>
          <w:highlight w:val="none"/>
          <w:u w:val="none"/>
          <w:lang w:val="en-US"/>
        </w:rPr>
        <w:t>1,2-二氯苯浓度升高，其中二硝基甲苯出现超标的</w:t>
      </w:r>
      <w:r>
        <w:rPr>
          <w:rFonts w:hint="eastAsia"/>
          <w:color w:val="auto"/>
          <w:highlight w:val="none"/>
          <w:u w:val="none"/>
          <w:lang w:val="en-US"/>
        </w:rPr>
        <w:t>现象，对土壤造成较大影响。因此，应要求建设单位对储罐设有相应的防渗措施，杜绝储罐污染物泄漏事故发生，并做好防渗和围堰，设置监控系统，一旦发生泄漏，立刻启动应急预案，将土壤污染事故发生的可能性降到最低。</w:t>
      </w:r>
    </w:p>
    <w:p w14:paraId="5359EAF7">
      <w:pPr>
        <w:pStyle w:val="6"/>
        <w:rPr>
          <w:color w:val="auto"/>
          <w:highlight w:val="none"/>
          <w:u w:val="none"/>
          <w:lang w:val="en-US"/>
        </w:rPr>
      </w:pPr>
      <w:r>
        <w:rPr>
          <w:rFonts w:hint="eastAsia"/>
          <w:color w:val="auto"/>
          <w:highlight w:val="none"/>
          <w:u w:val="none"/>
          <w:lang w:val="en-US"/>
        </w:rPr>
        <w:t>生态环境</w:t>
      </w:r>
    </w:p>
    <w:p w14:paraId="43222A5C">
      <w:pPr>
        <w:pStyle w:val="82"/>
        <w:rPr>
          <w:rFonts w:hint="eastAsia"/>
          <w:color w:val="auto"/>
          <w:highlight w:val="none"/>
          <w:u w:val="none"/>
          <w:lang w:val="en-US"/>
        </w:rPr>
      </w:pPr>
      <w:r>
        <w:rPr>
          <w:rFonts w:hint="eastAsia"/>
          <w:color w:val="auto"/>
          <w:highlight w:val="none"/>
          <w:u w:val="none"/>
          <w:lang w:val="en-US"/>
        </w:rPr>
        <w:t>本项目营运期在采取相应的污染防治措施后，各污染物可实现达标排放，对区域陆域生态环境影响有限，项目运营期间应实行清洁生产，采用先进的污染防治技术，加强污染源的治理，确保项目污染物达标排放，减少NOx、COx、DNT、氨、VOCs、TDA、氯气、ODCB、氯化氢、TDI等气体的释放量，降低项目运营对陆域生态环境的不利影响。</w:t>
      </w:r>
    </w:p>
    <w:p w14:paraId="7F43B73C">
      <w:pPr>
        <w:pStyle w:val="82"/>
        <w:rPr>
          <w:rFonts w:hint="eastAsia"/>
          <w:color w:val="auto"/>
          <w:highlight w:val="none"/>
          <w:u w:val="none"/>
          <w:lang w:val="en-US"/>
        </w:rPr>
      </w:pPr>
      <w:r>
        <w:rPr>
          <w:rFonts w:hint="eastAsia"/>
          <w:color w:val="auto"/>
          <w:highlight w:val="none"/>
          <w:u w:val="none"/>
          <w:lang w:val="en-US"/>
        </w:rPr>
        <w:t>项目在运营期间产生废水除含有有机污染外，还含有对藻类、鱼类、虾蟹蛤等海洋生物具有毒害作用的物质，在确保达标排放的前提下，污染物的排放量得到大幅削减，项目污水排放对周围海域的海洋生态环境影响是可以接受的。</w:t>
      </w:r>
    </w:p>
    <w:p w14:paraId="70BA7357">
      <w:pPr>
        <w:pStyle w:val="6"/>
        <w:rPr>
          <w:color w:val="auto"/>
          <w:highlight w:val="none"/>
          <w:u w:val="none"/>
          <w:lang w:val="en-US"/>
        </w:rPr>
      </w:pPr>
      <w:r>
        <w:rPr>
          <w:rFonts w:hint="eastAsia"/>
          <w:color w:val="auto"/>
          <w:highlight w:val="none"/>
          <w:u w:val="none"/>
          <w:lang w:val="en-US"/>
        </w:rPr>
        <w:t>清洁生产</w:t>
      </w:r>
    </w:p>
    <w:p w14:paraId="5527BE40">
      <w:pPr>
        <w:rPr>
          <w:rFonts w:hint="eastAsia"/>
          <w:color w:val="auto"/>
          <w:highlight w:val="none"/>
          <w:u w:val="none"/>
          <w:lang w:val="en-US"/>
        </w:rPr>
      </w:pPr>
      <w:r>
        <w:rPr>
          <w:rFonts w:hint="eastAsia"/>
        </w:rPr>
        <w:t>本项目</w:t>
      </w:r>
      <w:r>
        <w:t>TDI装置采用液相光气化法制TDI技术，以轻溶剂</w:t>
      </w:r>
      <w:r>
        <w:rPr>
          <w:rFonts w:hint="eastAsia"/>
        </w:rPr>
        <w:t>ODCB（邻二氯苯）</w:t>
      </w:r>
      <w:r>
        <w:t>作溶</w:t>
      </w:r>
      <w:r>
        <w:rPr>
          <w:rFonts w:hint="eastAsia"/>
        </w:rPr>
        <w:t>剂，</w:t>
      </w:r>
      <w:r>
        <w:t>在低压条件下进行光化反应，即通常称的“轻溶剂生产工艺”。轻溶剂价格较低又不</w:t>
      </w:r>
      <w:r>
        <w:rPr>
          <w:rFonts w:hint="eastAsia"/>
        </w:rPr>
        <w:t>参与光气化反应，</w:t>
      </w:r>
      <w:r>
        <w:t>所以消耗少，有效降低了生产成本。本工艺属于</w:t>
      </w:r>
      <w:r>
        <w:rPr>
          <w:rFonts w:hint="eastAsia"/>
        </w:rPr>
        <w:t>同行业</w:t>
      </w:r>
      <w:r>
        <w:t>先进工艺技术；</w:t>
      </w:r>
      <w:r>
        <w:rPr>
          <w:rFonts w:hint="eastAsia"/>
        </w:rPr>
        <w:t>资源能源利用率高，</w:t>
      </w:r>
      <w:r>
        <w:t>产品优良、污染物产生量少，废物能得到有效利用，各项指标均可</w:t>
      </w:r>
      <w:r>
        <w:rPr>
          <w:rFonts w:hint="eastAsia"/>
        </w:rPr>
        <w:t>达到国内领先水平。根据《甲苯二异氰酸酯和二苯基甲烷二异氰酸酯单位产品能源消耗限额》</w:t>
      </w:r>
      <w:r>
        <w:t>（GB318</w:t>
      </w:r>
      <w:r>
        <w:rPr>
          <w:rFonts w:hint="eastAsia"/>
        </w:rPr>
        <w:t>30</w:t>
      </w:r>
      <w:r>
        <w:t>-20</w:t>
      </w:r>
      <w:r>
        <w:rPr>
          <w:rFonts w:hint="eastAsia"/>
        </w:rPr>
        <w:t>24</w:t>
      </w:r>
      <w:r>
        <w:t>）</w:t>
      </w:r>
      <w:r>
        <w:rPr>
          <w:rFonts w:hint="eastAsia"/>
        </w:rPr>
        <w:t>中的技术要求规定</w:t>
      </w:r>
      <w:r>
        <w:t>，“</w:t>
      </w:r>
      <w:r>
        <w:rPr>
          <w:rFonts w:hint="eastAsia"/>
        </w:rPr>
        <w:t>TDI、MDI新建或改扩建项目单位产品能耗限额准入值应符合表1和表2中的2级指标要求</w:t>
      </w:r>
      <w:r>
        <w:t>”，本项目的TDI单位产品能耗为kgce/t，达到</w:t>
      </w:r>
      <w:r>
        <w:rPr>
          <w:rFonts w:hint="eastAsia"/>
        </w:rPr>
        <w:t>1级指标要求，属于</w:t>
      </w:r>
      <w:r>
        <w:t>先进能耗水平；同</w:t>
      </w:r>
      <w:r>
        <w:rPr>
          <w:rFonts w:hint="eastAsia"/>
        </w:rPr>
        <w:t>时</w:t>
      </w:r>
      <w:r>
        <w:t>单位产品原料消耗满足《二苯基甲烷二异氰酸酯（MDI）、甲苯二异</w:t>
      </w:r>
      <w:r>
        <w:rPr>
          <w:rFonts w:hint="eastAsia"/>
        </w:rPr>
        <w:t>氰酸酯（</w:t>
      </w:r>
      <w:r>
        <w:t>TDI）项目建设规范条件》中</w:t>
      </w:r>
      <w:r>
        <w:rPr>
          <w:rFonts w:hint="eastAsia"/>
        </w:rPr>
        <w:t>的消耗限额</w:t>
      </w:r>
      <w:r>
        <w:t>要求</w:t>
      </w:r>
      <w:r>
        <w:rPr>
          <w:rFonts w:hint="eastAsia"/>
        </w:rPr>
        <w:t>；对比现有25万吨/年TDI项目、烟台30万吨/年TDI项目，本项目清洁生产水平总体上优于同行业水平</w:t>
      </w:r>
      <w:r>
        <w:rPr>
          <w:rFonts w:hint="eastAsia"/>
          <w:color w:val="auto"/>
          <w:highlight w:val="none"/>
          <w:u w:val="none"/>
        </w:rPr>
        <w:t>。</w:t>
      </w:r>
    </w:p>
    <w:p w14:paraId="34EBF2AD">
      <w:pPr>
        <w:pStyle w:val="6"/>
        <w:spacing w:before="156" w:after="156"/>
        <w:rPr>
          <w:color w:val="auto"/>
          <w:highlight w:val="none"/>
          <w:u w:val="none"/>
          <w:lang w:val="en-US"/>
        </w:rPr>
      </w:pPr>
      <w:r>
        <w:rPr>
          <w:rFonts w:hint="eastAsia"/>
          <w:color w:val="auto"/>
          <w:highlight w:val="none"/>
          <w:u w:val="none"/>
          <w:lang w:val="en-US"/>
        </w:rPr>
        <w:t>碳排放</w:t>
      </w:r>
    </w:p>
    <w:p w14:paraId="5AC9B615">
      <w:pPr>
        <w:pStyle w:val="981"/>
        <w:rPr>
          <w:rFonts w:hint="eastAsia"/>
          <w:color w:val="auto"/>
          <w:highlight w:val="none"/>
          <w:u w:val="none"/>
        </w:rPr>
      </w:pPr>
      <w:r>
        <w:rPr>
          <w:rFonts w:hint="eastAsia"/>
        </w:rPr>
        <w:t>本次评价以企业法人独立核算单位为边界，预测核算企业</w:t>
      </w:r>
      <w:r>
        <w:rPr>
          <w:rFonts w:hint="eastAsia"/>
          <w:lang w:val="en-US"/>
        </w:rPr>
        <w:t>技改扩能</w:t>
      </w:r>
      <w:r>
        <w:rPr>
          <w:rFonts w:hint="eastAsia"/>
        </w:rPr>
        <w:t>工程产生的温室气体排放优于同行业平均水平</w:t>
      </w:r>
      <w:r>
        <w:rPr>
          <w:rFonts w:hint="eastAsia"/>
          <w:lang w:val="en-US"/>
        </w:rPr>
        <w:t>。</w:t>
      </w:r>
      <w:r>
        <w:rPr>
          <w:rFonts w:hint="eastAsia"/>
        </w:rPr>
        <w:t>本项目</w:t>
      </w:r>
      <w:r>
        <w:rPr>
          <w:rFonts w:hint="eastAsia"/>
          <w:lang w:val="en-US"/>
        </w:rPr>
        <w:t>技改扩能</w:t>
      </w:r>
      <w:r>
        <w:rPr>
          <w:rFonts w:hint="eastAsia"/>
        </w:rPr>
        <w:t>后对万华福建</w:t>
      </w:r>
      <w:r>
        <w:rPr>
          <w:rFonts w:hint="eastAsia"/>
          <w:lang w:val="en-US"/>
        </w:rPr>
        <w:t>公司</w:t>
      </w:r>
      <w:r>
        <w:rPr>
          <w:rFonts w:hint="eastAsia"/>
        </w:rPr>
        <w:t>全厂的碳排放绩效具有一定优化作用。</w:t>
      </w:r>
      <w:r>
        <w:rPr>
          <w:rFonts w:hint="eastAsia"/>
          <w:lang w:val="en-US"/>
        </w:rPr>
        <w:t>建议企业按照国家对碳排放控制和碳市场管理的要求开展和完善监测计划，</w:t>
      </w:r>
      <w:r>
        <w:rPr>
          <w:rFonts w:hint="eastAsia"/>
        </w:rPr>
        <w:t>从源头、过程、末端等全生命周期加强节能降耗，减排降碳的控制与管理，严格按照本报告提出的措施进行减污降碳，从源头上减少二氧化碳的排放</w:t>
      </w:r>
      <w:r>
        <w:rPr>
          <w:rFonts w:hint="eastAsia"/>
          <w:color w:val="auto"/>
          <w:highlight w:val="none"/>
          <w:u w:val="none"/>
        </w:rPr>
        <w:t>。</w:t>
      </w:r>
    </w:p>
    <w:p w14:paraId="075B184D">
      <w:pPr>
        <w:pStyle w:val="6"/>
        <w:spacing w:before="156" w:after="156"/>
        <w:rPr>
          <w:color w:val="auto"/>
          <w:highlight w:val="none"/>
          <w:u w:val="none"/>
        </w:rPr>
      </w:pPr>
      <w:r>
        <w:rPr>
          <w:rFonts w:hint="eastAsia"/>
          <w:color w:val="auto"/>
          <w:highlight w:val="none"/>
          <w:u w:val="none"/>
        </w:rPr>
        <w:t>事故风险</w:t>
      </w:r>
    </w:p>
    <w:p w14:paraId="3A7854AB">
      <w:pPr>
        <w:rPr>
          <w:rFonts w:hint="eastAsia"/>
          <w:color w:val="auto"/>
          <w:highlight w:val="none"/>
          <w:u w:val="none"/>
        </w:rPr>
      </w:pPr>
      <w:r>
        <w:rPr>
          <w:rFonts w:hint="eastAsia"/>
          <w:color w:val="auto"/>
          <w:highlight w:val="none"/>
          <w:u w:val="none"/>
        </w:rPr>
        <w:t>本项目的风险源为危化品发生泄漏，以及火灾等引发的伴生/次生污染物排放，对水环境、大气环境和人体健康都将造成危害。</w:t>
      </w:r>
      <w:r>
        <w:rPr>
          <w:color w:val="auto"/>
          <w:highlight w:val="none"/>
          <w:u w:val="none"/>
          <w:lang w:val="en-GB"/>
        </w:rPr>
        <w:t>本次评价预测及分析了TDI</w:t>
      </w:r>
      <w:r>
        <w:rPr>
          <w:color w:val="auto"/>
          <w:highlight w:val="none"/>
          <w:u w:val="none"/>
        </w:rPr>
        <w:t>装置区光化反应器光气泄漏、DNT二硝基甲苯火灾衍生CO扩散，氯气、氯化氢管线泄漏和硝酸储罐泄漏导致的液池蒸发的风险事故。在本评价预设条件下发生气相毒物风险事故时，各装置、管廊和罐区中各风险物质毒性终点浓度-1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3000</w:t>
      </w:r>
      <w:r>
        <w:rPr>
          <w:color w:val="auto"/>
          <w:highlight w:val="none"/>
          <w:u w:val="none"/>
        </w:rPr>
        <w:t>m之间，在</w:t>
      </w:r>
      <w:r>
        <w:rPr>
          <w:rFonts w:hint="eastAsia"/>
          <w:color w:val="auto"/>
          <w:highlight w:val="none"/>
          <w:u w:val="none"/>
          <w:lang w:val="en-US"/>
        </w:rPr>
        <w:t>最不利气象条件下，风向刚好位于W</w:t>
      </w:r>
      <w:r>
        <w:rPr>
          <w:color w:val="auto"/>
          <w:highlight w:val="none"/>
          <w:u w:val="none"/>
        </w:rPr>
        <w:t>、</w:t>
      </w:r>
      <w:r>
        <w:rPr>
          <w:rFonts w:hint="eastAsia"/>
          <w:color w:val="auto"/>
          <w:highlight w:val="none"/>
          <w:u w:val="none"/>
          <w:lang w:val="en-US"/>
        </w:rPr>
        <w:t>NW</w:t>
      </w:r>
      <w:r>
        <w:rPr>
          <w:color w:val="auto"/>
          <w:highlight w:val="none"/>
          <w:u w:val="none"/>
        </w:rPr>
        <w:t>、</w:t>
      </w:r>
      <w:r>
        <w:rPr>
          <w:rFonts w:hint="eastAsia"/>
          <w:color w:val="auto"/>
          <w:highlight w:val="none"/>
          <w:u w:val="none"/>
          <w:lang w:val="en-US"/>
        </w:rPr>
        <w:t>SW</w:t>
      </w:r>
      <w:r>
        <w:rPr>
          <w:color w:val="auto"/>
          <w:highlight w:val="none"/>
          <w:u w:val="none"/>
        </w:rPr>
        <w:t>等气象条件下</w:t>
      </w:r>
      <w:r>
        <w:rPr>
          <w:rFonts w:hint="eastAsia"/>
          <w:color w:val="auto"/>
          <w:highlight w:val="none"/>
          <w:u w:val="none"/>
        </w:rPr>
        <w:t>，</w:t>
      </w:r>
      <w:r>
        <w:rPr>
          <w:rFonts w:hint="eastAsia"/>
          <w:color w:val="auto"/>
          <w:highlight w:val="none"/>
          <w:u w:val="none"/>
          <w:lang w:val="en-US"/>
        </w:rPr>
        <w:t>受影响的敏感目标主要为</w:t>
      </w:r>
      <w:r>
        <w:rPr>
          <w:color w:val="auto"/>
          <w:highlight w:val="none"/>
          <w:u w:val="none"/>
        </w:rPr>
        <w:t>芝山村、后林村、南曹村、</w:t>
      </w:r>
      <w:r>
        <w:rPr>
          <w:rFonts w:hint="eastAsia"/>
          <w:color w:val="auto"/>
          <w:highlight w:val="none"/>
          <w:u w:val="none"/>
          <w:lang w:val="en-US"/>
        </w:rPr>
        <w:t>岭兜</w:t>
      </w:r>
      <w:r>
        <w:rPr>
          <w:color w:val="auto"/>
          <w:highlight w:val="none"/>
          <w:u w:val="none"/>
        </w:rPr>
        <w:t>村、东江水厂等。而一般事故情况下毒性重点浓度-2浓度范围出现的距离在</w:t>
      </w:r>
      <w:r>
        <w:rPr>
          <w:rFonts w:hint="eastAsia"/>
          <w:color w:val="auto"/>
          <w:highlight w:val="none"/>
          <w:u w:val="none"/>
          <w:lang w:val="en-US"/>
        </w:rPr>
        <w:t>10</w:t>
      </w:r>
      <w:r>
        <w:rPr>
          <w:color w:val="auto"/>
          <w:highlight w:val="none"/>
          <w:u w:val="none"/>
        </w:rPr>
        <w:t>m~</w:t>
      </w:r>
      <w:r>
        <w:rPr>
          <w:rFonts w:hint="eastAsia"/>
          <w:color w:val="auto"/>
          <w:highlight w:val="none"/>
          <w:u w:val="none"/>
          <w:lang w:val="en-US"/>
        </w:rPr>
        <w:t>750</w:t>
      </w:r>
      <w:r>
        <w:rPr>
          <w:color w:val="auto"/>
          <w:highlight w:val="none"/>
          <w:u w:val="none"/>
        </w:rPr>
        <w:t>m之间，</w:t>
      </w:r>
      <w:r>
        <w:rPr>
          <w:rFonts w:hint="eastAsia"/>
          <w:color w:val="auto"/>
          <w:highlight w:val="none"/>
          <w:u w:val="none"/>
          <w:lang w:val="en-US"/>
        </w:rPr>
        <w:t>对敏感点的影响较小，一般均不会超过毒性终点浓度-1与毒性终点浓度-2</w:t>
      </w:r>
      <w:r>
        <w:rPr>
          <w:color w:val="auto"/>
          <w:highlight w:val="none"/>
          <w:u w:val="none"/>
        </w:rPr>
        <w:t>。</w:t>
      </w:r>
    </w:p>
    <w:p w14:paraId="43AAFB20">
      <w:pPr>
        <w:rPr>
          <w:rFonts w:hint="eastAsia"/>
          <w:color w:val="000000" w:themeColor="text1"/>
          <w14:textFill>
            <w14:solidFill>
              <w14:schemeClr w14:val="tx1"/>
            </w14:solidFill>
          </w14:textFill>
        </w:rPr>
      </w:pPr>
      <w:r>
        <w:rPr>
          <w:rFonts w:hint="eastAsia"/>
          <w:color w:val="000000" w:themeColor="text1"/>
          <w:lang w:val="en-US"/>
          <w14:textFill>
            <w14:solidFill>
              <w14:schemeClr w14:val="tx1"/>
            </w14:solidFill>
          </w14:textFill>
        </w:rPr>
        <w:t>根据《江阴港城经济区产业发展规划环境影响报告书》（</w:t>
      </w:r>
      <w:r>
        <w:rPr>
          <w:rFonts w:hint="eastAsia" w:hAnsi="Times New Roman"/>
          <w:color w:val="000000" w:themeColor="text1"/>
          <w14:textFill>
            <w14:solidFill>
              <w14:schemeClr w14:val="tx1"/>
            </w14:solidFill>
          </w14:textFill>
        </w:rPr>
        <w:t>福州市环境科学研究院、</w:t>
      </w:r>
      <w:r>
        <w:rPr>
          <w:rFonts w:hint="eastAsia" w:hAnsi="Times New Roman"/>
          <w:color w:val="000000" w:themeColor="text1"/>
          <w:lang w:val="en-US"/>
          <w14:textFill>
            <w14:solidFill>
              <w14:schemeClr w14:val="tx1"/>
            </w14:solidFill>
          </w14:textFill>
        </w:rPr>
        <w:t>生态环境部华南环境科学研究所</w:t>
      </w:r>
      <w:r>
        <w:rPr>
          <w:rFonts w:hint="eastAsia" w:hAnsi="Times New Roman"/>
          <w:color w:val="000000" w:themeColor="text1"/>
          <w14:textFill>
            <w14:solidFill>
              <w14:schemeClr w14:val="tx1"/>
            </w14:solidFill>
          </w14:textFill>
        </w:rPr>
        <w:t>，</w:t>
      </w:r>
      <w:r>
        <w:rPr>
          <w:rFonts w:hint="eastAsia" w:hAnsi="Times New Roman"/>
          <w:color w:val="000000" w:themeColor="text1"/>
          <w:lang w:val="en-US"/>
          <w14:textFill>
            <w14:solidFill>
              <w14:schemeClr w14:val="tx1"/>
            </w14:solidFill>
          </w14:textFill>
        </w:rPr>
        <w:t>2024年</w:t>
      </w:r>
      <w:r>
        <w:rPr>
          <w:rFonts w:hint="eastAsia"/>
          <w:color w:val="000000" w:themeColor="text1"/>
          <w:lang w:val="en-US"/>
          <w14:textFill>
            <w14:solidFill>
              <w14:schemeClr w14:val="tx1"/>
            </w14:solidFill>
          </w14:textFill>
        </w:rPr>
        <w:t>），建议</w:t>
      </w:r>
      <w:r>
        <w:rPr>
          <w:rFonts w:hint="eastAsia"/>
          <w:color w:val="000000" w:themeColor="text1"/>
          <w14:textFill>
            <w14:solidFill>
              <w14:schemeClr w14:val="tx1"/>
            </w14:solidFill>
          </w14:textFill>
        </w:rPr>
        <w:t>福州江阴港城经济区规划的化工产业所在片区（包括：医疗、尼龙新材料、高端异氰酸酯、氯循环发展、轻烃深加工等产业板块以及其他涉及化工的发展预留板块）边界外扩500米范围（海域除外）设为环保隔离带，西部环保隔离带与西部化工区最大风险事故应急疏散范围（5000米）包络线之间设置为环保控制带，中部、东部环保隔离带外扩1500米范围设置为环保控制带</w:t>
      </w:r>
      <w:r>
        <w:rPr>
          <w:rFonts w:hint="eastAsia"/>
          <w:color w:val="000000" w:themeColor="text1"/>
          <w:lang w:val="en-US"/>
          <w14:textFill>
            <w14:solidFill>
              <w14:schemeClr w14:val="tx1"/>
            </w14:solidFill>
          </w14:textFill>
        </w:rPr>
        <w:t>，有环境防护距离设置要求的项目按环评批复从严执行，对现有及规划扩建的涉光气项目以光气及光气化装置边界外扩2000m设置。</w:t>
      </w:r>
      <w:r>
        <w:rPr>
          <w:color w:val="000000" w:themeColor="text1"/>
          <w14:textFill>
            <w14:solidFill>
              <w14:schemeClr w14:val="tx1"/>
            </w14:solidFill>
          </w14:textFill>
        </w:rPr>
        <w:t>环保隔离带内不得有居民区、学校、医院等敏感目标</w:t>
      </w:r>
      <w:r>
        <w:rPr>
          <w:rFonts w:hint="eastAsia"/>
          <w:color w:val="000000" w:themeColor="text1"/>
          <w14:textFill>
            <w14:solidFill>
              <w14:schemeClr w14:val="tx1"/>
            </w14:solidFill>
          </w14:textFill>
        </w:rPr>
        <w:t>，环保控制带内不得新增居住建筑。</w:t>
      </w:r>
    </w:p>
    <w:p w14:paraId="2377FDE2">
      <w:pPr>
        <w:rPr>
          <w:rFonts w:hint="eastAsia" w:eastAsia="宋体"/>
          <w:color w:val="000000" w:themeColor="text1"/>
          <w:lang w:eastAsia="zh-CN"/>
          <w14:textFill>
            <w14:solidFill>
              <w14:schemeClr w14:val="tx1"/>
            </w14:solidFill>
          </w14:textFill>
        </w:rPr>
      </w:pPr>
      <w:r>
        <w:rPr>
          <w:rFonts w:hint="eastAsia"/>
          <w:color w:val="auto"/>
          <w:highlight w:val="none"/>
          <w:u w:val="none"/>
          <w:lang w:val="en-US"/>
        </w:rPr>
        <w:t>根据《光气及光气化产品生产安全规范》（</w:t>
      </w:r>
      <w:r>
        <w:rPr>
          <w:color w:val="auto"/>
          <w:highlight w:val="none"/>
          <w:u w:val="none"/>
          <w:lang w:val="en-US"/>
        </w:rPr>
        <w:t>GB 19041-20</w:t>
      </w:r>
      <w:r>
        <w:rPr>
          <w:rFonts w:hint="eastAsia"/>
          <w:color w:val="auto"/>
          <w:highlight w:val="none"/>
          <w:u w:val="none"/>
          <w:lang w:val="en-US"/>
        </w:rPr>
        <w:t>24）</w:t>
      </w:r>
      <w:r>
        <w:rPr>
          <w:color w:val="auto"/>
          <w:highlight w:val="none"/>
          <w:u w:val="none"/>
        </w:rPr>
        <w:t>本</w:t>
      </w:r>
      <w:r>
        <w:rPr>
          <w:rFonts w:hint="eastAsia"/>
          <w:color w:val="auto"/>
          <w:highlight w:val="none"/>
          <w:u w:val="none"/>
          <w:lang w:val="en-US"/>
        </w:rPr>
        <w:t>次技改扩能后，一期与二期</w:t>
      </w:r>
      <w:r>
        <w:rPr>
          <w:color w:val="auto"/>
          <w:highlight w:val="none"/>
          <w:u w:val="none"/>
        </w:rPr>
        <w:t>装置内的光气总量</w:t>
      </w:r>
      <w:r>
        <w:rPr>
          <w:rFonts w:hint="eastAsia"/>
          <w:color w:val="auto"/>
          <w:highlight w:val="none"/>
          <w:u w:val="none"/>
          <w:lang w:val="en-US"/>
        </w:rPr>
        <w:t>均</w:t>
      </w:r>
      <w:r>
        <w:rPr>
          <w:color w:val="auto"/>
          <w:highlight w:val="none"/>
          <w:u w:val="none"/>
        </w:rPr>
        <w:t>＞5000kg，</w:t>
      </w:r>
      <w:r>
        <w:rPr>
          <w:rFonts w:hint="eastAsia"/>
          <w:color w:val="auto"/>
          <w:highlight w:val="none"/>
          <w:u w:val="none"/>
        </w:rPr>
        <w:t>《福州江阴港城经济区产业发展规划环境影响报告书》、《福州江阴港城经济区光气环境风险论证报告》，TDI项目应以光气及光气化装置边界外扩2000m设置安全防护距离，</w:t>
      </w:r>
      <w:r>
        <w:rPr>
          <w:rFonts w:hint="eastAsia"/>
          <w:color w:val="auto"/>
          <w:highlight w:val="none"/>
          <w:u w:val="none"/>
          <w:lang w:val="en-US"/>
        </w:rPr>
        <w:t>由于二期装置更靠近居民区，因此，</w:t>
      </w:r>
      <w:r>
        <w:rPr>
          <w:color w:val="auto"/>
          <w:highlight w:val="none"/>
          <w:u w:val="none"/>
        </w:rPr>
        <w:t>应以</w:t>
      </w:r>
      <w:r>
        <w:rPr>
          <w:rFonts w:hint="eastAsia"/>
          <w:color w:val="auto"/>
          <w:highlight w:val="none"/>
          <w:u w:val="none"/>
          <w:lang w:val="en-US"/>
        </w:rPr>
        <w:t>二期装置的</w:t>
      </w:r>
      <w:r>
        <w:rPr>
          <w:color w:val="auto"/>
          <w:highlight w:val="none"/>
          <w:u w:val="none"/>
        </w:rPr>
        <w:t>光气及光气化装置为边界设置2000m的安全防护距离，目前在该范围内无居民区</w:t>
      </w:r>
      <w:r>
        <w:rPr>
          <w:rFonts w:hint="eastAsia"/>
          <w:color w:val="auto"/>
          <w:highlight w:val="none"/>
          <w:u w:val="none"/>
        </w:rPr>
        <w:t>、</w:t>
      </w:r>
      <w:r>
        <w:rPr>
          <w:color w:val="auto"/>
          <w:highlight w:val="none"/>
          <w:u w:val="none"/>
        </w:rPr>
        <w:t>学校、医院等敏感目标，</w:t>
      </w:r>
      <w:r>
        <w:rPr>
          <w:rFonts w:hint="eastAsia"/>
          <w:color w:val="auto"/>
          <w:highlight w:val="none"/>
          <w:u w:val="none"/>
        </w:rPr>
        <w:t>无劳动密集型场所、</w:t>
      </w:r>
      <w:r>
        <w:rPr>
          <w:color w:val="auto"/>
          <w:highlight w:val="none"/>
          <w:u w:val="none"/>
        </w:rPr>
        <w:t>员工集体宿舍</w:t>
      </w:r>
      <w:r>
        <w:rPr>
          <w:rFonts w:hint="eastAsia"/>
          <w:color w:val="auto"/>
          <w:highlight w:val="none"/>
          <w:u w:val="none"/>
        </w:rPr>
        <w:t>等</w:t>
      </w:r>
      <w:r>
        <w:rPr>
          <w:color w:val="auto"/>
          <w:highlight w:val="none"/>
          <w:u w:val="none"/>
        </w:rPr>
        <w:t>人员聚集</w:t>
      </w:r>
      <w:r>
        <w:rPr>
          <w:rFonts w:hint="eastAsia"/>
          <w:color w:val="auto"/>
          <w:highlight w:val="none"/>
          <w:u w:val="none"/>
        </w:rPr>
        <w:t>区域，</w:t>
      </w:r>
      <w:r>
        <w:rPr>
          <w:color w:val="auto"/>
          <w:highlight w:val="none"/>
          <w:u w:val="none"/>
        </w:rPr>
        <w:t>本评价要求在该防控区内日后也应禁止规划建设居住区、学校、医院、养老院、文化场馆、商业场所、客运港口、客运码头、客运车站、客运机场、公园、体育场及游乐场所</w:t>
      </w:r>
      <w:r>
        <w:rPr>
          <w:rFonts w:hint="eastAsia"/>
          <w:color w:val="auto"/>
          <w:highlight w:val="none"/>
          <w:u w:val="none"/>
        </w:rPr>
        <w:t>等公共设施、劳动密集型场所、</w:t>
      </w:r>
      <w:r>
        <w:rPr>
          <w:color w:val="auto"/>
          <w:highlight w:val="none"/>
          <w:u w:val="none"/>
        </w:rPr>
        <w:t>员工集体宿舍（含倒班宿舍）等人员聚集的区域</w:t>
      </w:r>
      <w:r>
        <w:rPr>
          <w:rFonts w:hint="eastAsia"/>
          <w:color w:val="auto"/>
          <w:highlight w:val="none"/>
          <w:u w:val="none"/>
          <w:lang w:eastAsia="zh-CN"/>
        </w:rPr>
        <w:t>。</w:t>
      </w:r>
    </w:p>
    <w:p w14:paraId="7FF71265">
      <w:pPr>
        <w:pStyle w:val="82"/>
        <w:rPr>
          <w:rFonts w:hint="eastAsia"/>
          <w:color w:val="auto"/>
          <w:highlight w:val="none"/>
          <w:u w:val="none"/>
        </w:rPr>
      </w:pPr>
      <w:r>
        <w:rPr>
          <w:color w:val="auto"/>
          <w:highlight w:val="none"/>
          <w:u w:val="none"/>
        </w:rPr>
        <w:t>本项目</w:t>
      </w:r>
      <w:r>
        <w:rPr>
          <w:rFonts w:hint="eastAsia"/>
          <w:color w:val="auto"/>
          <w:highlight w:val="none"/>
          <w:u w:val="none"/>
          <w:lang w:val="en-US"/>
        </w:rPr>
        <w:t>企业主要生产地块内已</w:t>
      </w:r>
      <w:r>
        <w:rPr>
          <w:color w:val="auto"/>
          <w:highlight w:val="none"/>
          <w:u w:val="none"/>
          <w:lang w:val="en-US"/>
        </w:rPr>
        <w:t>设有2个5000m</w:t>
      </w:r>
      <w:r>
        <w:rPr>
          <w:rFonts w:hAnsi="Times New Roman"/>
          <w:color w:val="auto"/>
          <w:highlight w:val="none"/>
          <w:u w:val="none"/>
          <w:lang w:val="en-US"/>
        </w:rPr>
        <w:t>³</w:t>
      </w:r>
      <w:r>
        <w:rPr>
          <w:color w:val="auto"/>
          <w:highlight w:val="none"/>
          <w:u w:val="none"/>
          <w:lang w:val="en-US"/>
        </w:rPr>
        <w:t>事故水罐、1个5000m</w:t>
      </w:r>
      <w:r>
        <w:rPr>
          <w:rFonts w:hAnsi="Times New Roman"/>
          <w:color w:val="auto"/>
          <w:highlight w:val="none"/>
          <w:u w:val="none"/>
          <w:lang w:val="en-US"/>
        </w:rPr>
        <w:t>³</w:t>
      </w:r>
      <w:r>
        <w:rPr>
          <w:color w:val="auto"/>
          <w:highlight w:val="none"/>
          <w:u w:val="none"/>
          <w:lang w:val="en-US"/>
        </w:rPr>
        <w:t>自流式应急池和1个14000m</w:t>
      </w:r>
      <w:r>
        <w:rPr>
          <w:rFonts w:hAnsi="Times New Roman"/>
          <w:color w:val="auto"/>
          <w:highlight w:val="none"/>
          <w:u w:val="none"/>
          <w:lang w:val="en-US"/>
        </w:rPr>
        <w:t>³</w:t>
      </w:r>
      <w:r>
        <w:rPr>
          <w:color w:val="auto"/>
          <w:highlight w:val="none"/>
          <w:u w:val="none"/>
          <w:lang w:val="en-US"/>
        </w:rPr>
        <w:t>事故水罐共计29000m</w:t>
      </w:r>
      <w:r>
        <w:rPr>
          <w:rFonts w:hAnsi="Times New Roman"/>
          <w:color w:val="auto"/>
          <w:highlight w:val="none"/>
          <w:u w:val="none"/>
          <w:lang w:val="en-US"/>
        </w:rPr>
        <w:t>³</w:t>
      </w:r>
      <w:r>
        <w:rPr>
          <w:color w:val="auto"/>
          <w:highlight w:val="none"/>
          <w:u w:val="none"/>
          <w:lang w:val="en-US"/>
        </w:rPr>
        <w:t>的事故池。事故状态下首先将事故液拦在围堰内，溢流部分流入雨水系统。雨水系统总出口设置一个雨水监控池，监控不合格时，闸门关闭，将事故</w:t>
      </w:r>
      <w:r>
        <w:rPr>
          <w:rFonts w:hint="eastAsia"/>
          <w:color w:val="auto"/>
          <w:highlight w:val="none"/>
          <w:u w:val="none"/>
          <w:lang w:val="en-US"/>
        </w:rPr>
        <w:t>废水</w:t>
      </w:r>
      <w:r>
        <w:rPr>
          <w:color w:val="auto"/>
          <w:highlight w:val="none"/>
          <w:u w:val="none"/>
          <w:lang w:val="en-US"/>
        </w:rPr>
        <w:t>切入事故池。事故应急池实现相互连通，事故废水可以互相调储，事故废水在</w:t>
      </w:r>
      <w:r>
        <w:rPr>
          <w:rFonts w:hint="eastAsia"/>
          <w:color w:val="auto"/>
          <w:highlight w:val="none"/>
          <w:u w:val="none"/>
          <w:lang w:val="en-US"/>
        </w:rPr>
        <w:t>经处理达标后</w:t>
      </w:r>
      <w:r>
        <w:rPr>
          <w:color w:val="auto"/>
          <w:highlight w:val="none"/>
          <w:u w:val="none"/>
          <w:lang w:val="en-US"/>
        </w:rPr>
        <w:t>，最后通过园区排海管网外排。</w:t>
      </w:r>
    </w:p>
    <w:p w14:paraId="1CB10833">
      <w:pPr>
        <w:rPr>
          <w:rFonts w:hint="eastAsia"/>
          <w:color w:val="auto"/>
          <w:highlight w:val="none"/>
          <w:u w:val="none"/>
        </w:rPr>
      </w:pPr>
      <w:r>
        <w:rPr>
          <w:color w:val="auto"/>
          <w:highlight w:val="none"/>
          <w:u w:val="none"/>
        </w:rPr>
        <w:t>综上所述，建设单位应严格按照本评价的要求采取相应的风险防范措施，并针对潜在的各类风险事故制定相应的应急预案，并严格执行，以最大程度降低风险影响，则本项目的环境风险总体是可防可控的。</w:t>
      </w:r>
    </w:p>
    <w:p w14:paraId="4E9454C2">
      <w:pPr>
        <w:pStyle w:val="4"/>
        <w:jc w:val="both"/>
        <w:rPr>
          <w:color w:val="auto"/>
          <w:highlight w:val="none"/>
          <w:u w:val="none"/>
        </w:rPr>
      </w:pPr>
      <w:bookmarkStart w:id="815" w:name="_Toc109211121"/>
      <w:bookmarkStart w:id="816" w:name="_Toc7478"/>
      <w:r>
        <w:rPr>
          <w:rFonts w:hint="eastAsia"/>
          <w:color w:val="auto"/>
          <w:highlight w:val="none"/>
          <w:u w:val="none"/>
        </w:rPr>
        <w:t>总量控制</w:t>
      </w:r>
      <w:bookmarkEnd w:id="815"/>
      <w:bookmarkEnd w:id="816"/>
    </w:p>
    <w:p w14:paraId="2B847437">
      <w:pPr>
        <w:rPr>
          <w:rFonts w:hint="eastAsia"/>
          <w:color w:val="auto"/>
          <w:highlight w:val="none"/>
          <w:u w:val="none"/>
        </w:rPr>
      </w:pPr>
      <w:r>
        <w:rPr>
          <w:rFonts w:hAnsi="Times New Roman"/>
          <w:color w:val="auto"/>
          <w:highlight w:val="none"/>
          <w:u w:val="none"/>
        </w:rPr>
        <w:t>本</w:t>
      </w:r>
      <w:r>
        <w:rPr>
          <w:rFonts w:hint="eastAsia" w:hAnsi="Times New Roman"/>
          <w:color w:val="auto"/>
          <w:highlight w:val="none"/>
          <w:u w:val="none"/>
          <w:lang w:val="en-US"/>
        </w:rPr>
        <w:t>次技改扩能</w:t>
      </w:r>
      <w:r>
        <w:rPr>
          <w:rFonts w:hAnsi="Times New Roman"/>
          <w:color w:val="auto"/>
          <w:highlight w:val="none"/>
          <w:u w:val="none"/>
        </w:rPr>
        <w:t>后 COD、NH</w:t>
      </w:r>
      <w:r>
        <w:rPr>
          <w:rFonts w:hAnsi="Times New Roman"/>
          <w:color w:val="auto"/>
          <w:highlight w:val="none"/>
          <w:u w:val="none"/>
          <w:vertAlign w:val="subscript"/>
        </w:rPr>
        <w:t>3</w:t>
      </w:r>
      <w:r>
        <w:rPr>
          <w:rFonts w:hAnsi="Times New Roman"/>
          <w:color w:val="auto"/>
          <w:highlight w:val="none"/>
          <w:u w:val="none"/>
        </w:rPr>
        <w:t>-N、</w:t>
      </w:r>
      <w:r>
        <w:rPr>
          <w:rFonts w:hint="eastAsia" w:hAnsi="Times New Roman"/>
          <w:color w:val="auto"/>
          <w:highlight w:val="none"/>
          <w:u w:val="none"/>
          <w:lang w:val="en-US"/>
        </w:rPr>
        <w:t>氮氧化物、</w:t>
      </w:r>
      <w:r>
        <w:rPr>
          <w:rFonts w:hAnsi="Times New Roman"/>
          <w:color w:val="auto"/>
          <w:highlight w:val="none"/>
          <w:u w:val="none"/>
        </w:rPr>
        <w:t>VOCs排放总量仍可控制在现有</w:t>
      </w:r>
      <w:r>
        <w:rPr>
          <w:rFonts w:hint="eastAsia" w:hAnsi="Times New Roman"/>
          <w:color w:val="auto"/>
          <w:highlight w:val="none"/>
          <w:u w:val="none"/>
          <w:lang w:val="en-US" w:eastAsia="zh-CN"/>
        </w:rPr>
        <w:t>TDI一期项目</w:t>
      </w:r>
      <w:r>
        <w:rPr>
          <w:rFonts w:hAnsi="Times New Roman"/>
          <w:color w:val="auto"/>
          <w:highlight w:val="none"/>
          <w:u w:val="none"/>
        </w:rPr>
        <w:t>已</w:t>
      </w:r>
      <w:r>
        <w:rPr>
          <w:rFonts w:hint="eastAsia" w:hAnsi="Times New Roman"/>
          <w:color w:val="auto"/>
          <w:highlight w:val="none"/>
          <w:u w:val="none"/>
          <w:lang w:val="en-US" w:eastAsia="zh-CN"/>
        </w:rPr>
        <w:t>购排污权指标</w:t>
      </w:r>
      <w:r>
        <w:rPr>
          <w:rFonts w:hAnsi="Times New Roman"/>
          <w:color w:val="auto"/>
          <w:highlight w:val="none"/>
          <w:u w:val="none"/>
        </w:rPr>
        <w:t>量之内，不需再申请增加总量控制指标。</w:t>
      </w:r>
    </w:p>
    <w:p w14:paraId="136B1E60">
      <w:pPr>
        <w:pStyle w:val="4"/>
        <w:rPr>
          <w:rFonts w:ascii="Times New Roman" w:hAnsi="Times New Roman"/>
          <w:color w:val="auto"/>
          <w:highlight w:val="none"/>
          <w:u w:val="none"/>
        </w:rPr>
      </w:pPr>
      <w:bookmarkStart w:id="817" w:name="_Toc8740"/>
      <w:bookmarkStart w:id="818" w:name="_Toc135817897"/>
      <w:r>
        <w:rPr>
          <w:rFonts w:ascii="Times New Roman" w:hAnsi="Times New Roman" w:eastAsia="宋体"/>
          <w:color w:val="auto"/>
          <w:highlight w:val="none"/>
          <w:u w:val="none"/>
        </w:rPr>
        <w:t>公众参与</w:t>
      </w:r>
      <w:bookmarkEnd w:id="817"/>
      <w:bookmarkEnd w:id="818"/>
    </w:p>
    <w:p w14:paraId="0F790BCA">
      <w:pPr>
        <w:pStyle w:val="981"/>
        <w:rPr>
          <w:rFonts w:hint="eastAsia"/>
          <w:color w:val="auto"/>
          <w:highlight w:val="none"/>
          <w:u w:val="none"/>
        </w:rPr>
      </w:pPr>
      <w:r>
        <w:rPr>
          <w:rFonts w:hint="eastAsia"/>
          <w:color w:val="auto"/>
          <w:highlight w:val="none"/>
          <w:u w:val="none"/>
        </w:rPr>
        <w:t>万华福建公司</w:t>
      </w:r>
      <w:r>
        <w:rPr>
          <w:color w:val="auto"/>
          <w:highlight w:val="none"/>
          <w:u w:val="none"/>
        </w:rPr>
        <w:t>根据《环境影响评价公众参与办法》的有关规定，发布项目环评公示信息，发布项目公众意见征询调查表，广泛征询本项目环境影响评价范围内的有关群众对本项目环境保护工作的意见或要求。202</w:t>
      </w:r>
      <w:r>
        <w:rPr>
          <w:rFonts w:hint="eastAsia"/>
          <w:color w:val="auto"/>
          <w:highlight w:val="none"/>
          <w:u w:val="none"/>
        </w:rPr>
        <w:t>4</w:t>
      </w:r>
      <w:r>
        <w:rPr>
          <w:color w:val="auto"/>
          <w:highlight w:val="none"/>
          <w:u w:val="none"/>
        </w:rPr>
        <w:t>年</w:t>
      </w:r>
      <w:r>
        <w:rPr>
          <w:rFonts w:hint="eastAsia"/>
          <w:color w:val="auto"/>
          <w:highlight w:val="none"/>
          <w:u w:val="none"/>
        </w:rPr>
        <w:t>4</w:t>
      </w:r>
      <w:r>
        <w:rPr>
          <w:color w:val="auto"/>
          <w:highlight w:val="none"/>
          <w:u w:val="none"/>
        </w:rPr>
        <w:t>月1</w:t>
      </w:r>
      <w:r>
        <w:rPr>
          <w:rFonts w:hint="eastAsia"/>
          <w:color w:val="auto"/>
          <w:highlight w:val="none"/>
          <w:u w:val="none"/>
        </w:rPr>
        <w:t>8</w:t>
      </w:r>
      <w:r>
        <w:rPr>
          <w:color w:val="auto"/>
          <w:highlight w:val="none"/>
          <w:u w:val="none"/>
        </w:rPr>
        <w:t>日建设单位在</w:t>
      </w:r>
      <w:r>
        <w:rPr>
          <w:rFonts w:hint="eastAsia"/>
          <w:color w:val="auto"/>
          <w:highlight w:val="none"/>
          <w:u w:val="none"/>
        </w:rPr>
        <w:t>万华集团官方网站上</w:t>
      </w:r>
      <w:r>
        <w:rPr>
          <w:color w:val="auto"/>
          <w:highlight w:val="none"/>
          <w:u w:val="none"/>
        </w:rPr>
        <w:fldChar w:fldCharType="begin"/>
      </w:r>
      <w:r>
        <w:rPr>
          <w:color w:val="auto"/>
          <w:highlight w:val="none"/>
          <w:u w:val="none"/>
        </w:rPr>
        <w:instrText xml:space="preserve"> HYPERLINK "http://fq.fuzhou.gov.cn/)%E5%AF%B9%E6%9C%AC%E9%A1%B9%E7%9B%AE%E5%BB%BA%E8%AE%BE%E8%BF%9B%E8%A1%8C%E9%A6%96%E6%AC%A1%E5%85%AC%E7%A4%BA" \h </w:instrText>
      </w:r>
      <w:r>
        <w:rPr>
          <w:color w:val="auto"/>
          <w:highlight w:val="none"/>
          <w:u w:val="none"/>
        </w:rPr>
        <w:fldChar w:fldCharType="separate"/>
      </w:r>
      <w:r>
        <w:rPr>
          <w:color w:val="auto"/>
          <w:highlight w:val="none"/>
          <w:u w:val="none"/>
        </w:rPr>
        <w:t>对本项目建设进行首次公示，</w:t>
      </w:r>
      <w:r>
        <w:rPr>
          <w:color w:val="auto"/>
          <w:highlight w:val="none"/>
          <w:u w:val="none"/>
        </w:rPr>
        <w:fldChar w:fldCharType="end"/>
      </w:r>
      <w:r>
        <w:rPr>
          <w:color w:val="auto"/>
          <w:highlight w:val="none"/>
          <w:u w:val="none"/>
        </w:rPr>
        <w:t>202</w:t>
      </w:r>
      <w:r>
        <w:rPr>
          <w:rFonts w:hint="eastAsia"/>
          <w:color w:val="auto"/>
          <w:highlight w:val="none"/>
          <w:u w:val="none"/>
          <w:lang w:val="en-US"/>
        </w:rPr>
        <w:t>4</w:t>
      </w:r>
      <w:r>
        <w:rPr>
          <w:color w:val="auto"/>
          <w:highlight w:val="none"/>
          <w:u w:val="none"/>
        </w:rPr>
        <w:t>年</w:t>
      </w:r>
      <w:r>
        <w:rPr>
          <w:rFonts w:hint="eastAsia"/>
          <w:color w:val="auto"/>
          <w:highlight w:val="none"/>
          <w:u w:val="none"/>
          <w:lang w:val="en-US"/>
        </w:rPr>
        <w:t>8</w:t>
      </w:r>
      <w:r>
        <w:rPr>
          <w:color w:val="auto"/>
          <w:highlight w:val="none"/>
          <w:u w:val="none"/>
        </w:rPr>
        <w:t>月</w:t>
      </w:r>
      <w:r>
        <w:rPr>
          <w:rFonts w:hint="eastAsia"/>
          <w:color w:val="auto"/>
          <w:highlight w:val="none"/>
          <w:u w:val="none"/>
          <w:lang w:val="en-US"/>
        </w:rPr>
        <w:t>10</w:t>
      </w:r>
      <w:r>
        <w:rPr>
          <w:color w:val="auto"/>
          <w:highlight w:val="none"/>
          <w:u w:val="none"/>
        </w:rPr>
        <w:t>日建设单位在</w:t>
      </w:r>
      <w:r>
        <w:rPr>
          <w:rFonts w:hint="eastAsia"/>
          <w:color w:val="auto"/>
          <w:highlight w:val="none"/>
          <w:u w:val="none"/>
        </w:rPr>
        <w:t>万华集团官方网站上</w:t>
      </w:r>
      <w:r>
        <w:rPr>
          <w:color w:val="auto"/>
          <w:highlight w:val="none"/>
          <w:u w:val="none"/>
        </w:rPr>
        <w:t>进行了征求意见稿公示。两次网站公示期间，未收到任何单位或个人的电话、传真、信件或邮件。建设单位于202</w:t>
      </w:r>
      <w:r>
        <w:rPr>
          <w:rFonts w:hint="eastAsia"/>
          <w:color w:val="auto"/>
          <w:highlight w:val="none"/>
          <w:u w:val="none"/>
          <w:lang w:val="en-US"/>
        </w:rPr>
        <w:t>4</w:t>
      </w:r>
      <w:r>
        <w:rPr>
          <w:color w:val="auto"/>
          <w:highlight w:val="none"/>
          <w:u w:val="none"/>
        </w:rPr>
        <w:t>年</w:t>
      </w:r>
      <w:r>
        <w:rPr>
          <w:rFonts w:hint="eastAsia"/>
          <w:color w:val="auto"/>
          <w:highlight w:val="none"/>
          <w:u w:val="none"/>
          <w:lang w:val="en-US"/>
        </w:rPr>
        <w:t>8</w:t>
      </w:r>
      <w:r>
        <w:rPr>
          <w:color w:val="auto"/>
          <w:highlight w:val="none"/>
          <w:u w:val="none"/>
        </w:rPr>
        <w:t>月</w:t>
      </w:r>
      <w:r>
        <w:rPr>
          <w:rFonts w:hint="eastAsia"/>
          <w:color w:val="auto"/>
          <w:highlight w:val="none"/>
          <w:u w:val="none"/>
          <w:lang w:val="en-US"/>
        </w:rPr>
        <w:t>10</w:t>
      </w:r>
      <w:r>
        <w:rPr>
          <w:color w:val="auto"/>
          <w:highlight w:val="none"/>
          <w:u w:val="none"/>
        </w:rPr>
        <w:t>日，前往环境影响评价范围内可能受影响的乡镇张贴环评公示，向公众公开项目信息及环境影响报告书征求意见稿下载途径，张贴公示期间，未收到任何单位或个人的电话、传真、信件或邮件。建设单位于202</w:t>
      </w:r>
      <w:r>
        <w:rPr>
          <w:rFonts w:hint="eastAsia"/>
          <w:color w:val="auto"/>
          <w:highlight w:val="none"/>
          <w:u w:val="none"/>
          <w:lang w:val="en-US"/>
        </w:rPr>
        <w:t>4</w:t>
      </w:r>
      <w:r>
        <w:rPr>
          <w:color w:val="auto"/>
          <w:highlight w:val="none"/>
          <w:u w:val="none"/>
        </w:rPr>
        <w:t>年</w:t>
      </w:r>
      <w:r>
        <w:rPr>
          <w:rFonts w:hint="eastAsia"/>
          <w:color w:val="auto"/>
          <w:highlight w:val="none"/>
          <w:u w:val="none"/>
          <w:lang w:val="en-US"/>
        </w:rPr>
        <w:t>8</w:t>
      </w:r>
      <w:r>
        <w:rPr>
          <w:color w:val="auto"/>
          <w:highlight w:val="none"/>
          <w:u w:val="none"/>
        </w:rPr>
        <w:t>月</w:t>
      </w:r>
      <w:r>
        <w:rPr>
          <w:rFonts w:hint="eastAsia"/>
          <w:color w:val="auto"/>
          <w:highlight w:val="none"/>
          <w:u w:val="none"/>
          <w:lang w:val="en-US"/>
        </w:rPr>
        <w:t>13</w:t>
      </w:r>
      <w:r>
        <w:rPr>
          <w:color w:val="auto"/>
          <w:highlight w:val="none"/>
          <w:u w:val="none"/>
        </w:rPr>
        <w:t>日及</w:t>
      </w:r>
      <w:r>
        <w:rPr>
          <w:rFonts w:hint="eastAsia"/>
          <w:color w:val="auto"/>
          <w:highlight w:val="none"/>
          <w:u w:val="none"/>
          <w:lang w:val="en-US"/>
        </w:rPr>
        <w:t>8</w:t>
      </w:r>
      <w:r>
        <w:rPr>
          <w:color w:val="auto"/>
          <w:highlight w:val="none"/>
          <w:u w:val="none"/>
        </w:rPr>
        <w:t>月</w:t>
      </w:r>
      <w:r>
        <w:rPr>
          <w:rFonts w:hint="eastAsia"/>
          <w:color w:val="auto"/>
          <w:highlight w:val="none"/>
          <w:u w:val="none"/>
          <w:lang w:val="en-US"/>
        </w:rPr>
        <w:t>1</w:t>
      </w:r>
      <w:r>
        <w:rPr>
          <w:color w:val="auto"/>
          <w:highlight w:val="none"/>
          <w:u w:val="none"/>
        </w:rPr>
        <w:t>6日在《海峡都市报》报纸上发布公示，向公众公开项目信息及环境影响报告书征求意见稿下载途径，报纸登报期间，未收到任何单位或个人的电话、传真、信件或邮件。</w:t>
      </w:r>
    </w:p>
    <w:p w14:paraId="47C7E5F8">
      <w:pPr>
        <w:pStyle w:val="4"/>
        <w:jc w:val="both"/>
        <w:rPr>
          <w:color w:val="auto"/>
          <w:highlight w:val="none"/>
          <w:u w:val="none"/>
        </w:rPr>
      </w:pPr>
      <w:bookmarkStart w:id="819" w:name="_Toc1914"/>
      <w:bookmarkStart w:id="820" w:name="_Toc109211123"/>
      <w:r>
        <w:rPr>
          <w:rFonts w:hint="eastAsia"/>
          <w:color w:val="auto"/>
          <w:highlight w:val="none"/>
          <w:u w:val="none"/>
        </w:rPr>
        <w:t>工程建设的环境可行性分析结论</w:t>
      </w:r>
      <w:bookmarkEnd w:id="819"/>
      <w:bookmarkEnd w:id="820"/>
    </w:p>
    <w:p w14:paraId="5ACE3814">
      <w:pPr>
        <w:pStyle w:val="6"/>
        <w:spacing w:before="156" w:after="156"/>
        <w:rPr>
          <w:color w:val="auto"/>
          <w:highlight w:val="none"/>
          <w:u w:val="none"/>
        </w:rPr>
      </w:pPr>
      <w:r>
        <w:rPr>
          <w:rFonts w:hint="eastAsia"/>
          <w:color w:val="auto"/>
          <w:highlight w:val="none"/>
          <w:u w:val="none"/>
        </w:rPr>
        <w:t>产业政策符合性分析</w:t>
      </w:r>
    </w:p>
    <w:p w14:paraId="344A4111">
      <w:pPr>
        <w:rPr>
          <w:rFonts w:hint="eastAsia"/>
          <w:color w:val="auto"/>
          <w:szCs w:val="32"/>
          <w:highlight w:val="none"/>
          <w:u w:val="none"/>
        </w:rPr>
      </w:pPr>
      <w:r>
        <w:rPr>
          <w:rFonts w:hint="eastAsia"/>
          <w:color w:val="auto"/>
          <w:highlight w:val="none"/>
          <w:u w:val="none"/>
        </w:rPr>
        <w:t>本项目为有机化学原料制造项目，根据《产业结构调整指导目录（</w:t>
      </w:r>
      <w:r>
        <w:rPr>
          <w:rFonts w:hint="eastAsia"/>
          <w:color w:val="auto"/>
          <w:highlight w:val="none"/>
          <w:u w:val="none"/>
          <w:lang w:val="en-US"/>
        </w:rPr>
        <w:t>2024</w:t>
      </w:r>
      <w:r>
        <w:rPr>
          <w:color w:val="auto"/>
          <w:highlight w:val="none"/>
          <w:u w:val="none"/>
        </w:rPr>
        <w:t>年本）》，本项目</w:t>
      </w:r>
      <w:r>
        <w:rPr>
          <w:rFonts w:hint="eastAsia"/>
          <w:color w:val="auto"/>
          <w:highlight w:val="none"/>
          <w:u w:val="none"/>
        </w:rPr>
        <w:t>不属于</w:t>
      </w:r>
      <w:r>
        <w:rPr>
          <w:color w:val="auto"/>
          <w:highlight w:val="none"/>
          <w:u w:val="none"/>
        </w:rPr>
        <w:t>该目录的限制类和淘汰类，</w:t>
      </w:r>
      <w:r>
        <w:rPr>
          <w:rFonts w:hint="eastAsia"/>
          <w:color w:val="auto"/>
          <w:highlight w:val="none"/>
          <w:u w:val="none"/>
        </w:rPr>
        <w:t>因此，</w:t>
      </w:r>
      <w:r>
        <w:rPr>
          <w:color w:val="auto"/>
          <w:highlight w:val="none"/>
          <w:u w:val="none"/>
        </w:rPr>
        <w:t>本项目建设符合国家产业政策。</w:t>
      </w:r>
    </w:p>
    <w:p w14:paraId="1FAEEEF0">
      <w:pPr>
        <w:pStyle w:val="6"/>
        <w:spacing w:before="156" w:after="156"/>
        <w:rPr>
          <w:color w:val="auto"/>
          <w:highlight w:val="none"/>
          <w:u w:val="none"/>
        </w:rPr>
      </w:pPr>
      <w:r>
        <w:rPr>
          <w:rFonts w:hint="eastAsia"/>
          <w:color w:val="auto"/>
          <w:highlight w:val="none"/>
          <w:u w:val="none"/>
        </w:rPr>
        <w:t>选址合理性分析结论</w:t>
      </w:r>
    </w:p>
    <w:p w14:paraId="00E38B72">
      <w:pPr>
        <w:rPr>
          <w:rFonts w:hint="eastAsia" w:eastAsia="宋体"/>
          <w:color w:val="auto"/>
          <w:highlight w:val="none"/>
          <w:u w:val="none"/>
          <w:lang w:eastAsia="zh-CN"/>
        </w:rPr>
      </w:pPr>
      <w:r>
        <w:rPr>
          <w:rFonts w:hint="eastAsia"/>
          <w:color w:val="auto"/>
          <w:highlight w:val="none"/>
          <w:u w:val="none"/>
        </w:rPr>
        <w:t>根据《福清市国土空间总体规划（2021-2035年）</w:t>
      </w:r>
      <w:r>
        <w:rPr>
          <w:color w:val="auto"/>
          <w:highlight w:val="none"/>
          <w:u w:val="none"/>
        </w:rPr>
        <w:t>》</w:t>
      </w:r>
      <w:r>
        <w:rPr>
          <w:rFonts w:hint="eastAsia"/>
          <w:color w:val="auto"/>
          <w:highlight w:val="none"/>
          <w:u w:val="none"/>
        </w:rPr>
        <w:t>，</w:t>
      </w:r>
      <w:r>
        <w:rPr>
          <w:color w:val="auto"/>
          <w:highlight w:val="none"/>
          <w:u w:val="none"/>
        </w:rPr>
        <w:t>围绕福建</w:t>
      </w:r>
      <w:r>
        <w:rPr>
          <w:b/>
          <w:bCs/>
          <w:color w:val="auto"/>
          <w:highlight w:val="none"/>
          <w:u w:val="none"/>
        </w:rPr>
        <w:t>福清江阴经济开发区</w:t>
      </w:r>
      <w:r>
        <w:rPr>
          <w:color w:val="auto"/>
          <w:highlight w:val="none"/>
          <w:u w:val="none"/>
        </w:rPr>
        <w:t>和福州保税港区，发展乙烯、丙烯、</w:t>
      </w:r>
      <w:r>
        <w:rPr>
          <w:b/>
          <w:bCs/>
          <w:color w:val="auto"/>
          <w:highlight w:val="none"/>
          <w:u w:val="none"/>
        </w:rPr>
        <w:t>聚氨酯</w:t>
      </w:r>
      <w:r>
        <w:rPr>
          <w:color w:val="auto"/>
          <w:highlight w:val="none"/>
          <w:u w:val="none"/>
        </w:rPr>
        <w:t>、高端弹性体</w:t>
      </w:r>
      <w:r>
        <w:rPr>
          <w:b/>
          <w:bCs/>
          <w:color w:val="auto"/>
          <w:highlight w:val="none"/>
          <w:u w:val="none"/>
        </w:rPr>
        <w:t>等化工新材料</w:t>
      </w:r>
      <w:r>
        <w:rPr>
          <w:color w:val="auto"/>
          <w:highlight w:val="none"/>
          <w:u w:val="none"/>
        </w:rPr>
        <w:t>。</w:t>
      </w:r>
      <w:r>
        <w:rPr>
          <w:rFonts w:hint="eastAsia"/>
          <w:color w:val="auto"/>
          <w:highlight w:val="none"/>
          <w:u w:val="none"/>
        </w:rPr>
        <w:t>本项目位于江阴港城经济区的西部临港产业区，主要产品为TDI（甲苯二异氰酸酯），为聚氨酯产业链中的产品，符合《福清市国土空间总体规划（2021-2035年）</w:t>
      </w:r>
      <w:r>
        <w:rPr>
          <w:color w:val="auto"/>
          <w:highlight w:val="none"/>
          <w:u w:val="none"/>
        </w:rPr>
        <w:t>》</w:t>
      </w:r>
      <w:r>
        <w:rPr>
          <w:rFonts w:hint="eastAsia"/>
          <w:color w:val="auto"/>
          <w:highlight w:val="none"/>
          <w:u w:val="none"/>
          <w:lang w:eastAsia="zh-CN"/>
        </w:rPr>
        <w:t>。</w:t>
      </w:r>
    </w:p>
    <w:p w14:paraId="151124CA">
      <w:pPr>
        <w:rPr>
          <w:rFonts w:hint="eastAsia"/>
          <w:color w:val="auto"/>
          <w:highlight w:val="none"/>
          <w:u w:val="none"/>
        </w:rPr>
      </w:pPr>
      <w:r>
        <w:rPr>
          <w:rFonts w:hint="eastAsia"/>
          <w:color w:val="auto"/>
          <w:highlight w:val="none"/>
          <w:u w:val="none"/>
        </w:rPr>
        <w:t>根据《福州江阴港城总体规划（2018-2035年）》中的土地使用规划，本项目位于规划的工业用地内。根据《福州江阴港城总体规划（2018-2035年）》的产业布局规划，本项目位于规划的西部临港产业区，西部临港产业区布局产业主要为化学基础原料及化学品制造业、医药化工、建材、轻工，以医药、盐化工、煤化工及石油化工为龙头，本项目为有机化学原料制造类项目</w:t>
      </w:r>
      <w:r>
        <w:rPr>
          <w:rFonts w:hint="eastAsia"/>
          <w:color w:val="auto"/>
          <w:szCs w:val="32"/>
          <w:highlight w:val="none"/>
          <w:u w:val="none"/>
        </w:rPr>
        <w:t>。因此，</w:t>
      </w:r>
      <w:r>
        <w:rPr>
          <w:rFonts w:hint="eastAsia"/>
          <w:color w:val="auto"/>
          <w:highlight w:val="none"/>
          <w:u w:val="none"/>
        </w:rPr>
        <w:t>本项目建设符合《福州江阴港城总体规划（2018-2035年）》的土地使用规划和产业布局规划。</w:t>
      </w:r>
    </w:p>
    <w:p w14:paraId="4DBD0451">
      <w:pPr>
        <w:pStyle w:val="6"/>
        <w:spacing w:before="156" w:after="156"/>
        <w:rPr>
          <w:color w:val="auto"/>
          <w:highlight w:val="none"/>
          <w:u w:val="none"/>
        </w:rPr>
      </w:pPr>
      <w:r>
        <w:rPr>
          <w:rFonts w:hint="eastAsia"/>
          <w:color w:val="auto"/>
          <w:highlight w:val="none"/>
          <w:u w:val="none"/>
        </w:rPr>
        <w:t>“三线一单”符合性分析结论</w:t>
      </w:r>
    </w:p>
    <w:p w14:paraId="675B7456">
      <w:pPr>
        <w:pStyle w:val="981"/>
        <w:rPr>
          <w:rFonts w:hint="eastAsia"/>
          <w:color w:val="auto"/>
          <w:highlight w:val="none"/>
          <w:u w:val="none"/>
        </w:rPr>
      </w:pPr>
      <w:r>
        <w:rPr>
          <w:rFonts w:hint="eastAsia"/>
          <w:color w:val="auto"/>
          <w:highlight w:val="none"/>
          <w:u w:val="none"/>
        </w:rPr>
        <w:t>本项目位于福州江阴港城经济区，对照《福州市“三线一单”》中的生态保护红线划定，本项目不在其划定的生态保护红线范围内，符合生态红线保护要求。</w:t>
      </w:r>
    </w:p>
    <w:p w14:paraId="3A8AEA13">
      <w:pPr>
        <w:pStyle w:val="981"/>
        <w:rPr>
          <w:rFonts w:hint="eastAsia"/>
          <w:color w:val="auto"/>
          <w:highlight w:val="none"/>
          <w:u w:val="none"/>
        </w:rPr>
      </w:pPr>
      <w:r>
        <w:rPr>
          <w:rStyle w:val="982"/>
          <w:rFonts w:hint="eastAsia"/>
          <w:color w:val="auto"/>
          <w:highlight w:val="none"/>
          <w:u w:val="none"/>
        </w:rPr>
        <w:t>项目所在区域的环境空气、声环境、地表水、地下水环境、土壤环境质量较好，在采取本报告书提出的各项污染防治措施后，项目排放的污染物对区域环境质量影响不大，能达到各环境功能区划的要求，项目运营后的资源利用不会突破区域的资源利用上线，</w:t>
      </w:r>
      <w:r>
        <w:rPr>
          <w:rFonts w:hint="eastAsia"/>
          <w:color w:val="auto"/>
          <w:highlight w:val="none"/>
          <w:u w:val="none"/>
        </w:rPr>
        <w:t>符合“福州市生态环境总体准入要求”及</w:t>
      </w:r>
      <w:r>
        <w:rPr>
          <w:color w:val="auto"/>
          <w:highlight w:val="none"/>
          <w:u w:val="none"/>
        </w:rPr>
        <w:t>“</w:t>
      </w:r>
      <w:r>
        <w:rPr>
          <w:rFonts w:hint="eastAsia"/>
          <w:color w:val="auto"/>
          <w:highlight w:val="none"/>
          <w:u w:val="none"/>
        </w:rPr>
        <w:t>福州市福清市生态环境准入清单</w:t>
      </w:r>
      <w:r>
        <w:rPr>
          <w:color w:val="auto"/>
          <w:highlight w:val="none"/>
          <w:u w:val="none"/>
        </w:rPr>
        <w:t>”</w:t>
      </w:r>
      <w:r>
        <w:rPr>
          <w:rFonts w:hint="eastAsia"/>
          <w:color w:val="auto"/>
          <w:highlight w:val="none"/>
          <w:u w:val="none"/>
        </w:rPr>
        <w:t>要求。</w:t>
      </w:r>
    </w:p>
    <w:p w14:paraId="7E42A4C7">
      <w:pPr>
        <w:pStyle w:val="4"/>
        <w:jc w:val="both"/>
        <w:rPr>
          <w:color w:val="auto"/>
          <w:highlight w:val="none"/>
          <w:u w:val="none"/>
        </w:rPr>
      </w:pPr>
      <w:bookmarkStart w:id="821" w:name="_Toc109211124"/>
      <w:bookmarkStart w:id="822" w:name="_Toc13449"/>
      <w:r>
        <w:rPr>
          <w:rFonts w:hint="eastAsia"/>
          <w:color w:val="auto"/>
          <w:highlight w:val="none"/>
          <w:u w:val="none"/>
        </w:rPr>
        <w:t>总结论</w:t>
      </w:r>
      <w:bookmarkEnd w:id="821"/>
      <w:bookmarkEnd w:id="822"/>
    </w:p>
    <w:p w14:paraId="20440546">
      <w:pPr>
        <w:pStyle w:val="82"/>
        <w:rPr>
          <w:rFonts w:hint="eastAsia"/>
          <w:color w:val="auto"/>
          <w:highlight w:val="none"/>
          <w:u w:val="none"/>
        </w:rPr>
      </w:pPr>
      <w:r>
        <w:rPr>
          <w:rFonts w:hAnsi="Times New Roman"/>
          <w:color w:val="auto"/>
          <w:highlight w:val="none"/>
          <w:u w:val="none"/>
        </w:rPr>
        <w:t>万华化学（福建）有限公司TDI</w:t>
      </w:r>
      <w:r>
        <w:rPr>
          <w:rFonts w:hint="eastAsia" w:hAnsi="Times New Roman"/>
          <w:color w:val="auto"/>
          <w:highlight w:val="none"/>
          <w:u w:val="none"/>
          <w:lang w:val="en-US"/>
        </w:rPr>
        <w:t>一期技改扩能36</w:t>
      </w:r>
      <w:r>
        <w:rPr>
          <w:rFonts w:hAnsi="Times New Roman"/>
          <w:color w:val="auto"/>
          <w:highlight w:val="none"/>
          <w:u w:val="none"/>
        </w:rPr>
        <w:t>万吨/年项目</w:t>
      </w:r>
      <w:r>
        <w:rPr>
          <w:rFonts w:hint="eastAsia" w:hAnsi="Times New Roman"/>
          <w:color w:val="auto"/>
          <w:highlight w:val="none"/>
          <w:u w:val="none"/>
        </w:rPr>
        <w:t>位于</w:t>
      </w:r>
      <w:r>
        <w:rPr>
          <w:rFonts w:hAnsi="Times New Roman"/>
          <w:color w:val="auto"/>
          <w:highlight w:val="none"/>
          <w:u w:val="none"/>
        </w:rPr>
        <w:t>福清市江阴镇江阴港城经济区西部工业片区万华福建公司</w:t>
      </w:r>
      <w:r>
        <w:rPr>
          <w:rFonts w:hint="eastAsia" w:hAnsi="Times New Roman"/>
          <w:color w:val="auto"/>
          <w:highlight w:val="none"/>
          <w:u w:val="none"/>
        </w:rPr>
        <w:t>厂址范围内</w:t>
      </w:r>
      <w:r>
        <w:rPr>
          <w:rFonts w:hAnsi="Times New Roman"/>
          <w:color w:val="auto"/>
          <w:highlight w:val="none"/>
          <w:u w:val="none"/>
        </w:rPr>
        <w:t>，</w:t>
      </w:r>
      <w:r>
        <w:rPr>
          <w:rFonts w:hint="eastAsia"/>
          <w:color w:val="auto"/>
          <w:highlight w:val="none"/>
          <w:u w:val="none"/>
        </w:rPr>
        <w:t>项目建设符合国家产业政策，符合福清市国土空间总体规划（2021-2035年）要求，符合福州江阴港城总体规划（2018-2035年）、福州江阴港城经济区产业发展规划及其规划环评、规划环评审查意见的要求，项目选址可行，总平面布局基本合理。项目拟采用的污染防治措施经济合理，技术成熟可行，各污染物可实现达标排放，满足环境功能要求；项目潜在的环境风险属可接受水平；项目建设具有较好的环境效益和一定的经济效益，总量</w:t>
      </w:r>
      <w:r>
        <w:rPr>
          <w:rFonts w:hint="eastAsia"/>
          <w:color w:val="auto"/>
          <w:highlight w:val="none"/>
          <w:u w:val="none"/>
          <w:lang w:val="en-US" w:eastAsia="zh-CN"/>
        </w:rPr>
        <w:t>符合</w:t>
      </w:r>
      <w:r>
        <w:rPr>
          <w:rFonts w:hint="eastAsia"/>
          <w:color w:val="auto"/>
          <w:highlight w:val="none"/>
          <w:u w:val="none"/>
        </w:rPr>
        <w:t>排污权</w:t>
      </w:r>
      <w:r>
        <w:rPr>
          <w:rFonts w:hint="eastAsia"/>
          <w:color w:val="auto"/>
          <w:highlight w:val="none"/>
          <w:u w:val="none"/>
          <w:lang w:val="en-US" w:eastAsia="zh-CN"/>
        </w:rPr>
        <w:t>要求</w:t>
      </w:r>
      <w:r>
        <w:rPr>
          <w:rFonts w:hint="eastAsia"/>
          <w:color w:val="auto"/>
          <w:highlight w:val="none"/>
          <w:u w:val="none"/>
        </w:rPr>
        <w:t>，建设单位在加强环境管理，严格遵守环保“三同时”制度，确保环保投入，认真落实本报告书所提出的各项环保对策措施和风险防控措施的前提下，从环境影响角度分析，项目建设可行。</w:t>
      </w:r>
    </w:p>
    <w:p w14:paraId="6C8B0546">
      <w:pPr>
        <w:rPr>
          <w:rFonts w:hint="eastAsia"/>
          <w:color w:val="auto"/>
          <w:highlight w:val="none"/>
          <w:u w:val="none"/>
        </w:rPr>
      </w:pPr>
    </w:p>
    <w:p w14:paraId="2C564D23">
      <w:pPr>
        <w:rPr>
          <w:rFonts w:hint="eastAsia"/>
          <w:color w:val="auto"/>
          <w:highlight w:val="none"/>
          <w:u w:val="none"/>
        </w:rPr>
      </w:pPr>
    </w:p>
    <w:p w14:paraId="05D9F130">
      <w:pPr>
        <w:rPr>
          <w:rFonts w:hint="eastAsia"/>
          <w:color w:val="auto"/>
          <w:highlight w:val="none"/>
          <w:u w:val="none"/>
        </w:rPr>
      </w:pPr>
    </w:p>
    <w:p w14:paraId="15067E21">
      <w:pPr>
        <w:rPr>
          <w:rFonts w:hint="eastAsia"/>
          <w:color w:val="auto"/>
          <w:highlight w:val="none"/>
          <w:u w:val="none"/>
        </w:rPr>
      </w:pPr>
    </w:p>
    <w:p w14:paraId="35217A9A">
      <w:pPr>
        <w:rPr>
          <w:rFonts w:hint="eastAsia"/>
          <w:color w:val="auto"/>
          <w:highlight w:val="none"/>
          <w:u w:val="none"/>
        </w:rPr>
      </w:pPr>
    </w:p>
    <w:sectPr>
      <w:pgSz w:w="11906" w:h="16838"/>
      <w:pgMar w:top="1440" w:right="1418" w:bottom="1440"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Verdana">
    <w:panose1 w:val="020B0604030504040204"/>
    <w:charset w:val="00"/>
    <w:family w:val="swiss"/>
    <w:pitch w:val="default"/>
    <w:sig w:usb0="A00006FF" w:usb1="4000205B" w:usb2="00000010" w:usb3="00000000" w:csb0="2000019F" w:csb1="00000000"/>
  </w:font>
  <w:font w:name="Plotter">
    <w:altName w:val="Arial"/>
    <w:panose1 w:val="00000000000000000000"/>
    <w:charset w:val="00"/>
    <w:family w:val="roman"/>
    <w:pitch w:val="default"/>
    <w:sig w:usb0="00000000" w:usb1="00000000" w:usb2="0000006E" w:usb3="00000000" w:csb0="8176DB19" w:csb1="BFF7D18D"/>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rial Black">
    <w:panose1 w:val="020B0A04020102020204"/>
    <w:charset w:val="00"/>
    <w:family w:val="swiss"/>
    <w:pitch w:val="default"/>
    <w:sig w:usb0="A00002AF" w:usb1="400078FB" w:usb2="00000000" w:usb3="00000000" w:csb0="6000009F" w:csb1="DFD70000"/>
  </w:font>
  <w:font w:name="Century">
    <w:altName w:val="Times New Roman"/>
    <w:panose1 w:val="02040604050505020304"/>
    <w:charset w:val="00"/>
    <w:family w:val="roman"/>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icrosoft Sans Serif">
    <w:panose1 w:val="020B0604020202020204"/>
    <w:charset w:val="00"/>
    <w:family w:val="swiss"/>
    <w:pitch w:val="default"/>
    <w:sig w:usb0="E5002EFF" w:usb1="C000605B" w:usb2="00000029" w:usb3="00000000" w:csb0="200101FF" w:csb1="20280000"/>
  </w:font>
  <w:font w:name="方正大黑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行楷">
    <w:altName w:val="微软雅黑"/>
    <w:panose1 w:val="0201080004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DADDA">
    <w:pPr>
      <w:pStyle w:val="37"/>
      <w:ind w:firstLine="360"/>
      <w:jc w:val="center"/>
      <w:rPr>
        <w:rFonts w:hint="eastAsia"/>
      </w:rPr>
    </w:pPr>
  </w:p>
  <w:p w14:paraId="7E234B26">
    <w:pPr>
      <w:pStyle w:val="37"/>
      <w:ind w:firstLine="0" w:firstLineChars="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4955494"/>
    </w:sdtPr>
    <w:sdtContent>
      <w:p w14:paraId="45A70B9E">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8297826"/>
    </w:sdtPr>
    <w:sdtContent>
      <w:p w14:paraId="1DF60974">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6F65">
    <w:pPr>
      <w:pStyle w:val="37"/>
      <w:ind w:firstLine="360"/>
      <w:rPr>
        <w:rFonts w:hint="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4FBB">
    <w:pPr>
      <w:pStyle w:val="37"/>
      <w:ind w:firstLine="360"/>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90E17">
    <w:pPr>
      <w:pStyle w:val="37"/>
      <w:ind w:firstLine="360"/>
      <w:jc w:val="center"/>
      <w:rPr>
        <w:rFonts w:hint="eastAsia"/>
      </w:rPr>
    </w:pPr>
    <w:r>
      <w:fldChar w:fldCharType="begin"/>
    </w:r>
    <w:r>
      <w:instrText xml:space="preserve">PAGE   \* MERGEFORMAT</w:instrText>
    </w:r>
    <w:r>
      <w:fldChar w:fldCharType="separate"/>
    </w:r>
    <w:r>
      <w:t>615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CA604">
    <w:pPr>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F1FD26">
                          <w:pPr>
                            <w:ind w:firstLine="360"/>
                            <w:jc w:val="center"/>
                            <w:rPr>
                              <w:rFonts w:hint="eastAsia"/>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655</w:t>
                          </w:r>
                          <w:r>
                            <w:rPr>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08Rs0AgAAZw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9PEbNAIAAGcEAAAOAAAAAAAAAAEAIAAAAB8BAABkcnMvZTJvRG9jLnhtbFBL&#10;BQYAAAAABgAGAFkBAADFBQAAAAA=&#10;">
              <v:fill on="f" focussize="0,0"/>
              <v:stroke on="f" weight="0.5pt"/>
              <v:imagedata o:title=""/>
              <o:lock v:ext="edit" aspectratio="f"/>
              <v:textbox inset="0mm,0mm,0mm,0mm" style="mso-fit-shape-to-text:t;">
                <w:txbxContent>
                  <w:p w14:paraId="15F1FD26">
                    <w:pPr>
                      <w:ind w:firstLine="360"/>
                      <w:jc w:val="center"/>
                      <w:rPr>
                        <w:rFonts w:hint="eastAsia"/>
                        <w:sz w:val="18"/>
                        <w:szCs w:val="18"/>
                      </w:rPr>
                    </w:pPr>
                    <w:r>
                      <w:rPr>
                        <w:sz w:val="18"/>
                        <w:szCs w:val="18"/>
                      </w:rPr>
                      <w:fldChar w:fldCharType="begin"/>
                    </w:r>
                    <w:r>
                      <w:rPr>
                        <w:sz w:val="18"/>
                        <w:szCs w:val="18"/>
                      </w:rPr>
                      <w:instrText xml:space="preserve">PAGE  </w:instrText>
                    </w:r>
                    <w:r>
                      <w:rPr>
                        <w:sz w:val="18"/>
                        <w:szCs w:val="18"/>
                      </w:rPr>
                      <w:fldChar w:fldCharType="separate"/>
                    </w:r>
                    <w:r>
                      <w:rPr>
                        <w:sz w:val="18"/>
                        <w:szCs w:val="18"/>
                      </w:rPr>
                      <w:t>655</w:t>
                    </w:r>
                    <w:r>
                      <w:rPr>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EE6E6">
    <w:pPr>
      <w:pStyle w:val="37"/>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285D7">
    <w:pPr>
      <w:pStyle w:val="3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460391"/>
    </w:sdtPr>
    <w:sdtContent>
      <w:p w14:paraId="5C78CB57">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2576945"/>
    </w:sdtPr>
    <w:sdtContent>
      <w:p w14:paraId="09ED9594">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5269436"/>
    </w:sdtPr>
    <w:sdtContent>
      <w:p w14:paraId="5FC2E11B">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04220">
    <w:pPr>
      <w:framePr w:wrap="around" w:vAnchor="text" w:hAnchor="margin" w:xAlign="center" w:y="1"/>
      <w:rPr>
        <w:rFonts w:hint="eastAsia"/>
      </w:rPr>
    </w:pPr>
    <w:r>
      <w:fldChar w:fldCharType="begin"/>
    </w:r>
    <w:r>
      <w:instrText xml:space="preserve">PAGE  </w:instrText>
    </w:r>
    <w:r>
      <w:fldChar w:fldCharType="end"/>
    </w:r>
  </w:p>
  <w:p w14:paraId="53D5999E">
    <w:pPr>
      <w:rPr>
        <w:rFonts w:hint="eastAsia"/>
      </w:rPr>
    </w:pPr>
  </w:p>
  <w:p w14:paraId="447333FD">
    <w:pPr>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4872"/>
    </w:sdtPr>
    <w:sdtContent>
      <w:p w14:paraId="2C3C709D">
        <w:pPr>
          <w:pStyle w:val="37"/>
          <w:ind w:firstLine="360"/>
          <w:jc w:val="center"/>
          <w:rPr>
            <w:rFonts w:hint="eastAsia"/>
          </w:rPr>
        </w:pPr>
        <w:r>
          <w:fldChar w:fldCharType="begin"/>
        </w:r>
        <w:r>
          <w:instrText xml:space="preserve">PAGE   \* MERGEFORMAT</w:instrText>
        </w:r>
        <w:r>
          <w:fldChar w:fldCharType="separate"/>
        </w:r>
        <w:r>
          <w:t>2</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7208">
    <w:pPr>
      <w:framePr w:wrap="around" w:vAnchor="text" w:hAnchor="margin" w:xAlign="center" w:y="1"/>
      <w:rPr>
        <w:rFonts w:hint="eastAsia"/>
      </w:rPr>
    </w:pPr>
    <w:r>
      <w:fldChar w:fldCharType="begin"/>
    </w:r>
    <w:r>
      <w:instrText xml:space="preserve">PAGE  </w:instrText>
    </w:r>
    <w:r>
      <w:fldChar w:fldCharType="end"/>
    </w:r>
  </w:p>
  <w:p w14:paraId="79808CB2">
    <w:pPr>
      <w:rPr>
        <w:rFonts w:hint="eastAsia"/>
      </w:rPr>
    </w:pPr>
  </w:p>
  <w:p w14:paraId="53A2892A">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F2BBE">
    <w:pPr>
      <w:pStyle w:val="39"/>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A6B1F">
    <w:pPr>
      <w:pStyle w:val="39"/>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CAA5">
    <w:pPr>
      <w:pStyle w:val="39"/>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0EF1">
    <w:pPr>
      <w:pStyle w:val="39"/>
      <w:pBdr>
        <w:bottom w:val="single" w:color="auto" w:sz="4" w:space="1"/>
      </w:pBdr>
      <w:spacing w:line="240" w:lineRule="auto"/>
      <w:ind w:firstLine="360"/>
      <w:rPr>
        <w:rFonts w:hint="eastAsia"/>
      </w:rPr>
    </w:pPr>
    <w:r>
      <w:rPr>
        <w:rFonts w:hint="eastAsia"/>
      </w:rPr>
      <w:t>万华化学（福建）有限公司</w:t>
    </w:r>
    <w:r>
      <w:t>TDI</w:t>
    </w:r>
    <w:r>
      <w:rPr>
        <w:rFonts w:hint="eastAsia"/>
        <w:lang w:val="en-US"/>
      </w:rPr>
      <w:t>一期技改扩能</w:t>
    </w:r>
    <w:r>
      <w:t>3</w:t>
    </w:r>
    <w:r>
      <w:rPr>
        <w:rFonts w:hint="eastAsia"/>
        <w:lang w:val="en-US"/>
      </w:rPr>
      <w:t>6</w:t>
    </w:r>
    <w:r>
      <w:t>万吨/年项目环境影响报告书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18315">
    <w:pPr>
      <w:rPr>
        <w:rFonts w:hint="eastAsia"/>
      </w:rPr>
    </w:pPr>
  </w:p>
  <w:p w14:paraId="022E9306">
    <w:pP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59778">
    <w:pPr>
      <w:rPr>
        <w:rFonts w:hint="eastAsia"/>
      </w:rPr>
    </w:pPr>
  </w:p>
  <w:p w14:paraId="19C0BED2">
    <w:pP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F6C28">
    <w:pPr>
      <w:pStyle w:val="39"/>
      <w:ind w:firstLine="36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FCC28">
    <w:pPr>
      <w:pStyle w:val="3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855A5"/>
    <w:multiLevelType w:val="singleLevel"/>
    <w:tmpl w:val="8F5855A5"/>
    <w:lvl w:ilvl="0" w:tentative="0">
      <w:start w:val="1"/>
      <w:numFmt w:val="decimal"/>
      <w:suff w:val="nothing"/>
      <w:lvlText w:val="（%1）"/>
      <w:lvlJc w:val="left"/>
    </w:lvl>
  </w:abstractNum>
  <w:abstractNum w:abstractNumId="1">
    <w:nsid w:val="94A350F2"/>
    <w:multiLevelType w:val="singleLevel"/>
    <w:tmpl w:val="94A350F2"/>
    <w:lvl w:ilvl="0" w:tentative="0">
      <w:start w:val="1"/>
      <w:numFmt w:val="decimal"/>
      <w:suff w:val="nothing"/>
      <w:lvlText w:val="（%1）"/>
      <w:lvlJc w:val="left"/>
    </w:lvl>
  </w:abstractNum>
  <w:abstractNum w:abstractNumId="2">
    <w:nsid w:val="ADADECA3"/>
    <w:multiLevelType w:val="singleLevel"/>
    <w:tmpl w:val="ADADECA3"/>
    <w:lvl w:ilvl="0" w:tentative="0">
      <w:start w:val="1"/>
      <w:numFmt w:val="decimal"/>
      <w:suff w:val="nothing"/>
      <w:lvlText w:val="（%1）"/>
      <w:lvlJc w:val="left"/>
    </w:lvl>
  </w:abstractNum>
  <w:abstractNum w:abstractNumId="3">
    <w:nsid w:val="BBE1C829"/>
    <w:multiLevelType w:val="singleLevel"/>
    <w:tmpl w:val="BBE1C829"/>
    <w:lvl w:ilvl="0" w:tentative="0">
      <w:start w:val="1"/>
      <w:numFmt w:val="decimal"/>
      <w:suff w:val="nothing"/>
      <w:lvlText w:val="%1）"/>
      <w:lvlJc w:val="left"/>
    </w:lvl>
  </w:abstractNum>
  <w:abstractNum w:abstractNumId="4">
    <w:nsid w:val="01AA7AD3"/>
    <w:multiLevelType w:val="multilevel"/>
    <w:tmpl w:val="01AA7AD3"/>
    <w:lvl w:ilvl="0" w:tentative="0">
      <w:start w:val="1"/>
      <w:numFmt w:val="decimal"/>
      <w:pStyle w:val="172"/>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1139E627"/>
    <w:multiLevelType w:val="singleLevel"/>
    <w:tmpl w:val="1139E627"/>
    <w:lvl w:ilvl="0" w:tentative="0">
      <w:start w:val="5"/>
      <w:numFmt w:val="chineseCounting"/>
      <w:suff w:val="nothing"/>
      <w:lvlText w:val="（%1）"/>
      <w:lvlJc w:val="left"/>
      <w:rPr>
        <w:rFonts w:hint="eastAsia"/>
      </w:rPr>
    </w:lvl>
  </w:abstractNum>
  <w:abstractNum w:abstractNumId="6">
    <w:nsid w:val="29973408"/>
    <w:multiLevelType w:val="singleLevel"/>
    <w:tmpl w:val="29973408"/>
    <w:lvl w:ilvl="0" w:tentative="0">
      <w:start w:val="1"/>
      <w:numFmt w:val="chineseCounting"/>
      <w:suff w:val="nothing"/>
      <w:lvlText w:val="（%1）"/>
      <w:lvlJc w:val="left"/>
      <w:rPr>
        <w:rFonts w:hint="eastAsia"/>
      </w:rPr>
    </w:lvl>
  </w:abstractNum>
  <w:abstractNum w:abstractNumId="7">
    <w:nsid w:val="42B8594C"/>
    <w:multiLevelType w:val="multilevel"/>
    <w:tmpl w:val="42B8594C"/>
    <w:lvl w:ilvl="0" w:tentative="0">
      <w:start w:val="1"/>
      <w:numFmt w:val="decimalEnclosedCircle"/>
      <w:pStyle w:val="497"/>
      <w:lvlText w:val="%1"/>
      <w:lvlJc w:val="left"/>
      <w:pPr>
        <w:ind w:left="840" w:hanging="360"/>
      </w:pPr>
      <w:rPr>
        <w:rFonts w:hint="default"/>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4DD651BD"/>
    <w:multiLevelType w:val="multilevel"/>
    <w:tmpl w:val="4DD651BD"/>
    <w:lvl w:ilvl="0" w:tentative="0">
      <w:start w:val="1"/>
      <w:numFmt w:val="bullet"/>
      <w:pStyle w:val="692"/>
      <w:lvlText w:val=""/>
      <w:lvlJc w:val="left"/>
      <w:pPr>
        <w:tabs>
          <w:tab w:val="left" w:pos="987"/>
        </w:tabs>
        <w:ind w:left="987" w:hanging="420"/>
      </w:pPr>
      <w:rPr>
        <w:rFonts w:hint="default" w:ascii="Wingdings" w:hAnsi="Wingdings"/>
        <w:sz w:val="21"/>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9">
    <w:nsid w:val="4DE3E0B0"/>
    <w:multiLevelType w:val="singleLevel"/>
    <w:tmpl w:val="4DE3E0B0"/>
    <w:lvl w:ilvl="0" w:tentative="0">
      <w:start w:val="2"/>
      <w:numFmt w:val="decimal"/>
      <w:suff w:val="nothing"/>
      <w:lvlText w:val="（%1）"/>
      <w:lvlJc w:val="left"/>
    </w:lvl>
  </w:abstractNum>
  <w:abstractNum w:abstractNumId="10">
    <w:nsid w:val="5E5A6846"/>
    <w:multiLevelType w:val="multilevel"/>
    <w:tmpl w:val="5E5A6846"/>
    <w:lvl w:ilvl="0" w:tentative="0">
      <w:start w:val="1"/>
      <w:numFmt w:val="decimal"/>
      <w:lvlText w:val="（%1）"/>
      <w:lvlJc w:val="left"/>
      <w:pPr>
        <w:ind w:left="1309" w:hanging="60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1BF2E7E"/>
    <w:multiLevelType w:val="multilevel"/>
    <w:tmpl w:val="61BF2E7E"/>
    <w:lvl w:ilvl="0" w:tentative="0">
      <w:start w:val="1"/>
      <w:numFmt w:val="decimal"/>
      <w:pStyle w:val="3"/>
      <w:lvlText w:val="%1"/>
      <w:lvlJc w:val="left"/>
      <w:pPr>
        <w:ind w:left="425" w:hanging="425"/>
      </w:pPr>
      <w:rPr>
        <w:rFonts w:hint="default" w:ascii="Times New Roman" w:hAnsi="Times New Roman" w:cs="Times New Roman"/>
      </w:rPr>
    </w:lvl>
    <w:lvl w:ilvl="1" w:tentative="0">
      <w:start w:val="1"/>
      <w:numFmt w:val="decimal"/>
      <w:pStyle w:val="4"/>
      <w:lvlText w:val="%1.%2"/>
      <w:lvlJc w:val="left"/>
      <w:pPr>
        <w:ind w:left="567" w:hanging="567"/>
      </w:pPr>
      <w:rPr>
        <w:rFonts w:hint="default" w:ascii="Times New Roman" w:hAnsi="Times New Roman" w:cs="Times New Roman"/>
      </w:rPr>
    </w:lvl>
    <w:lvl w:ilvl="2" w:tentative="0">
      <w:start w:val="1"/>
      <w:numFmt w:val="decimal"/>
      <w:pStyle w:val="6"/>
      <w:lvlText w:val="%1.%2.%3"/>
      <w:lvlJc w:val="left"/>
      <w:pPr>
        <w:ind w:left="1135" w:hanging="709"/>
      </w:pPr>
    </w:lvl>
    <w:lvl w:ilvl="3" w:tentative="0">
      <w:start w:val="1"/>
      <w:numFmt w:val="decimal"/>
      <w:pStyle w:val="7"/>
      <w:lvlText w:val="%1.%2.%3.%4"/>
      <w:lvlJc w:val="left"/>
      <w:pPr>
        <w:ind w:left="851" w:hanging="851"/>
      </w:p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6957033E"/>
    <w:multiLevelType w:val="multilevel"/>
    <w:tmpl w:val="6957033E"/>
    <w:lvl w:ilvl="0" w:tentative="0">
      <w:start w:val="1"/>
      <w:numFmt w:val="decimal"/>
      <w:lvlText w:val="（%1）"/>
      <w:lvlJc w:val="left"/>
      <w:pPr>
        <w:ind w:left="1080" w:hanging="60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1"/>
  </w:num>
  <w:num w:numId="2">
    <w:abstractNumId w:val="4"/>
  </w:num>
  <w:num w:numId="3">
    <w:abstractNumId w:val="7"/>
  </w:num>
  <w:num w:numId="4">
    <w:abstractNumId w:val="8"/>
  </w:num>
  <w:num w:numId="5">
    <w:abstractNumId w:val="9"/>
  </w:num>
  <w:num w:numId="6">
    <w:abstractNumId w:val="1"/>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5"/>
  </w:num>
  <w:num w:numId="12">
    <w:abstractNumId w:val="3"/>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0NGY1YTYxMDI0MzlmMmNlZGYxYjFjZGM2NjY4ZWQifQ=="/>
  </w:docVars>
  <w:rsids>
    <w:rsidRoot w:val="00172A27"/>
    <w:rsid w:val="00000CA5"/>
    <w:rsid w:val="00000D1A"/>
    <w:rsid w:val="000016CD"/>
    <w:rsid w:val="00002966"/>
    <w:rsid w:val="00002EFF"/>
    <w:rsid w:val="00003045"/>
    <w:rsid w:val="00003187"/>
    <w:rsid w:val="00003429"/>
    <w:rsid w:val="00003743"/>
    <w:rsid w:val="00003D48"/>
    <w:rsid w:val="0000445C"/>
    <w:rsid w:val="00004F90"/>
    <w:rsid w:val="00005081"/>
    <w:rsid w:val="0000536F"/>
    <w:rsid w:val="000055D0"/>
    <w:rsid w:val="000057B0"/>
    <w:rsid w:val="00005875"/>
    <w:rsid w:val="000058DB"/>
    <w:rsid w:val="0000597F"/>
    <w:rsid w:val="00005C05"/>
    <w:rsid w:val="00006C99"/>
    <w:rsid w:val="00006F7E"/>
    <w:rsid w:val="000071C1"/>
    <w:rsid w:val="00007455"/>
    <w:rsid w:val="000074F7"/>
    <w:rsid w:val="000079D9"/>
    <w:rsid w:val="000079F2"/>
    <w:rsid w:val="00007A43"/>
    <w:rsid w:val="00007DB2"/>
    <w:rsid w:val="00007E7A"/>
    <w:rsid w:val="00010504"/>
    <w:rsid w:val="0001065D"/>
    <w:rsid w:val="00010CD4"/>
    <w:rsid w:val="00010E97"/>
    <w:rsid w:val="00010FF6"/>
    <w:rsid w:val="00011376"/>
    <w:rsid w:val="0001161C"/>
    <w:rsid w:val="000118A8"/>
    <w:rsid w:val="0001199A"/>
    <w:rsid w:val="00011A17"/>
    <w:rsid w:val="00011CB0"/>
    <w:rsid w:val="000120D5"/>
    <w:rsid w:val="0001216E"/>
    <w:rsid w:val="0001224A"/>
    <w:rsid w:val="00012AE2"/>
    <w:rsid w:val="00012C12"/>
    <w:rsid w:val="00013565"/>
    <w:rsid w:val="0001384C"/>
    <w:rsid w:val="00013A2B"/>
    <w:rsid w:val="00013B29"/>
    <w:rsid w:val="00014527"/>
    <w:rsid w:val="00014589"/>
    <w:rsid w:val="0001468A"/>
    <w:rsid w:val="00014DCD"/>
    <w:rsid w:val="00014F5E"/>
    <w:rsid w:val="0001628A"/>
    <w:rsid w:val="00016DBD"/>
    <w:rsid w:val="00017077"/>
    <w:rsid w:val="00017227"/>
    <w:rsid w:val="00017325"/>
    <w:rsid w:val="000173DC"/>
    <w:rsid w:val="00020179"/>
    <w:rsid w:val="00020838"/>
    <w:rsid w:val="000210D6"/>
    <w:rsid w:val="00021458"/>
    <w:rsid w:val="0002163E"/>
    <w:rsid w:val="00021D9A"/>
    <w:rsid w:val="0002259F"/>
    <w:rsid w:val="000227E4"/>
    <w:rsid w:val="00022896"/>
    <w:rsid w:val="00022BC1"/>
    <w:rsid w:val="00022C04"/>
    <w:rsid w:val="00022F41"/>
    <w:rsid w:val="0002326E"/>
    <w:rsid w:val="00023474"/>
    <w:rsid w:val="0002358B"/>
    <w:rsid w:val="00024352"/>
    <w:rsid w:val="00024594"/>
    <w:rsid w:val="0002459D"/>
    <w:rsid w:val="00024708"/>
    <w:rsid w:val="00024E62"/>
    <w:rsid w:val="0002585A"/>
    <w:rsid w:val="0002590B"/>
    <w:rsid w:val="00025B09"/>
    <w:rsid w:val="00025E9A"/>
    <w:rsid w:val="00025EA1"/>
    <w:rsid w:val="0002659A"/>
    <w:rsid w:val="00026786"/>
    <w:rsid w:val="00026831"/>
    <w:rsid w:val="00026C4A"/>
    <w:rsid w:val="000272C0"/>
    <w:rsid w:val="000272F6"/>
    <w:rsid w:val="00030D94"/>
    <w:rsid w:val="0003134F"/>
    <w:rsid w:val="000315D4"/>
    <w:rsid w:val="000330FA"/>
    <w:rsid w:val="000336BD"/>
    <w:rsid w:val="000338A8"/>
    <w:rsid w:val="00033ED7"/>
    <w:rsid w:val="00033F9B"/>
    <w:rsid w:val="000343B8"/>
    <w:rsid w:val="00034EA2"/>
    <w:rsid w:val="00034F6B"/>
    <w:rsid w:val="000353D3"/>
    <w:rsid w:val="00036C1A"/>
    <w:rsid w:val="00036CA9"/>
    <w:rsid w:val="00036DEF"/>
    <w:rsid w:val="0004011B"/>
    <w:rsid w:val="000407F1"/>
    <w:rsid w:val="000409D7"/>
    <w:rsid w:val="00040BEC"/>
    <w:rsid w:val="000426DD"/>
    <w:rsid w:val="00042BD0"/>
    <w:rsid w:val="000436FA"/>
    <w:rsid w:val="00043774"/>
    <w:rsid w:val="0004394F"/>
    <w:rsid w:val="00044882"/>
    <w:rsid w:val="000454BE"/>
    <w:rsid w:val="0004567E"/>
    <w:rsid w:val="000462D9"/>
    <w:rsid w:val="00046896"/>
    <w:rsid w:val="00046B86"/>
    <w:rsid w:val="00046E8D"/>
    <w:rsid w:val="0004706B"/>
    <w:rsid w:val="00047477"/>
    <w:rsid w:val="00047586"/>
    <w:rsid w:val="00047C78"/>
    <w:rsid w:val="00047ED0"/>
    <w:rsid w:val="000506BE"/>
    <w:rsid w:val="0005098D"/>
    <w:rsid w:val="00050A07"/>
    <w:rsid w:val="00051A10"/>
    <w:rsid w:val="00051A58"/>
    <w:rsid w:val="00051AFC"/>
    <w:rsid w:val="000521A1"/>
    <w:rsid w:val="000523F5"/>
    <w:rsid w:val="000530C2"/>
    <w:rsid w:val="00053374"/>
    <w:rsid w:val="0005362A"/>
    <w:rsid w:val="00053E61"/>
    <w:rsid w:val="000547FA"/>
    <w:rsid w:val="00054CBB"/>
    <w:rsid w:val="0005511D"/>
    <w:rsid w:val="00055637"/>
    <w:rsid w:val="00057CF7"/>
    <w:rsid w:val="00057FE9"/>
    <w:rsid w:val="000602B0"/>
    <w:rsid w:val="00060720"/>
    <w:rsid w:val="00060CF0"/>
    <w:rsid w:val="00060E98"/>
    <w:rsid w:val="000612CF"/>
    <w:rsid w:val="0006161C"/>
    <w:rsid w:val="00061910"/>
    <w:rsid w:val="00061B3C"/>
    <w:rsid w:val="00061C7B"/>
    <w:rsid w:val="000625AE"/>
    <w:rsid w:val="00062BA5"/>
    <w:rsid w:val="00062BBA"/>
    <w:rsid w:val="00062CCE"/>
    <w:rsid w:val="00063ABF"/>
    <w:rsid w:val="00063B99"/>
    <w:rsid w:val="00063FA2"/>
    <w:rsid w:val="0006448B"/>
    <w:rsid w:val="00064D09"/>
    <w:rsid w:val="00064DC4"/>
    <w:rsid w:val="00064DC6"/>
    <w:rsid w:val="00065307"/>
    <w:rsid w:val="000653C8"/>
    <w:rsid w:val="00065C9D"/>
    <w:rsid w:val="00065DC8"/>
    <w:rsid w:val="00066AE4"/>
    <w:rsid w:val="00066E5D"/>
    <w:rsid w:val="0006713E"/>
    <w:rsid w:val="00067B12"/>
    <w:rsid w:val="00067B6B"/>
    <w:rsid w:val="00070377"/>
    <w:rsid w:val="00070E87"/>
    <w:rsid w:val="00070EF0"/>
    <w:rsid w:val="000715B6"/>
    <w:rsid w:val="00071D56"/>
    <w:rsid w:val="0007267A"/>
    <w:rsid w:val="00072CFF"/>
    <w:rsid w:val="0007342D"/>
    <w:rsid w:val="00073880"/>
    <w:rsid w:val="00073ADB"/>
    <w:rsid w:val="00074015"/>
    <w:rsid w:val="000748E0"/>
    <w:rsid w:val="000749DA"/>
    <w:rsid w:val="00074E86"/>
    <w:rsid w:val="00075308"/>
    <w:rsid w:val="00075473"/>
    <w:rsid w:val="00075A10"/>
    <w:rsid w:val="00075ECB"/>
    <w:rsid w:val="00075F3A"/>
    <w:rsid w:val="00076D68"/>
    <w:rsid w:val="000775EE"/>
    <w:rsid w:val="00077D71"/>
    <w:rsid w:val="00080016"/>
    <w:rsid w:val="000803CC"/>
    <w:rsid w:val="000806AB"/>
    <w:rsid w:val="000808CB"/>
    <w:rsid w:val="00080B97"/>
    <w:rsid w:val="00080F08"/>
    <w:rsid w:val="00081031"/>
    <w:rsid w:val="00081F62"/>
    <w:rsid w:val="00081FD1"/>
    <w:rsid w:val="00082533"/>
    <w:rsid w:val="00082A73"/>
    <w:rsid w:val="00082B9E"/>
    <w:rsid w:val="00085AFC"/>
    <w:rsid w:val="00085D5A"/>
    <w:rsid w:val="00085D7E"/>
    <w:rsid w:val="000869DE"/>
    <w:rsid w:val="00086C96"/>
    <w:rsid w:val="00086F52"/>
    <w:rsid w:val="00087083"/>
    <w:rsid w:val="00087AE4"/>
    <w:rsid w:val="00087CC8"/>
    <w:rsid w:val="0009033C"/>
    <w:rsid w:val="000910F1"/>
    <w:rsid w:val="000912E7"/>
    <w:rsid w:val="000915AC"/>
    <w:rsid w:val="00091620"/>
    <w:rsid w:val="00091677"/>
    <w:rsid w:val="00093B3F"/>
    <w:rsid w:val="00093B4D"/>
    <w:rsid w:val="00093B9F"/>
    <w:rsid w:val="00093FDE"/>
    <w:rsid w:val="00094274"/>
    <w:rsid w:val="00094D2C"/>
    <w:rsid w:val="00095004"/>
    <w:rsid w:val="00095277"/>
    <w:rsid w:val="000952AF"/>
    <w:rsid w:val="00095564"/>
    <w:rsid w:val="00095806"/>
    <w:rsid w:val="00095909"/>
    <w:rsid w:val="00095E1A"/>
    <w:rsid w:val="000967CF"/>
    <w:rsid w:val="000A0599"/>
    <w:rsid w:val="000A0E5A"/>
    <w:rsid w:val="000A1E61"/>
    <w:rsid w:val="000A2B53"/>
    <w:rsid w:val="000A32D4"/>
    <w:rsid w:val="000A3332"/>
    <w:rsid w:val="000A3ADE"/>
    <w:rsid w:val="000A4A42"/>
    <w:rsid w:val="000A5204"/>
    <w:rsid w:val="000A5670"/>
    <w:rsid w:val="000A619D"/>
    <w:rsid w:val="000A69F5"/>
    <w:rsid w:val="000A6C1E"/>
    <w:rsid w:val="000A6C37"/>
    <w:rsid w:val="000A6D36"/>
    <w:rsid w:val="000A6D69"/>
    <w:rsid w:val="000A6EA0"/>
    <w:rsid w:val="000A7367"/>
    <w:rsid w:val="000A7A28"/>
    <w:rsid w:val="000A7E0D"/>
    <w:rsid w:val="000B001E"/>
    <w:rsid w:val="000B0258"/>
    <w:rsid w:val="000B0F99"/>
    <w:rsid w:val="000B159F"/>
    <w:rsid w:val="000B1664"/>
    <w:rsid w:val="000B1E30"/>
    <w:rsid w:val="000B20E5"/>
    <w:rsid w:val="000B25DD"/>
    <w:rsid w:val="000B282D"/>
    <w:rsid w:val="000B2DCA"/>
    <w:rsid w:val="000B44A2"/>
    <w:rsid w:val="000B4847"/>
    <w:rsid w:val="000B5022"/>
    <w:rsid w:val="000B546E"/>
    <w:rsid w:val="000B62E9"/>
    <w:rsid w:val="000B6478"/>
    <w:rsid w:val="000B66A5"/>
    <w:rsid w:val="000B6AA1"/>
    <w:rsid w:val="000C0BFD"/>
    <w:rsid w:val="000C114F"/>
    <w:rsid w:val="000C1994"/>
    <w:rsid w:val="000C3D5C"/>
    <w:rsid w:val="000C4B23"/>
    <w:rsid w:val="000C4DFC"/>
    <w:rsid w:val="000C4E44"/>
    <w:rsid w:val="000C526F"/>
    <w:rsid w:val="000C5956"/>
    <w:rsid w:val="000C59EF"/>
    <w:rsid w:val="000C5D4C"/>
    <w:rsid w:val="000C612C"/>
    <w:rsid w:val="000C6F58"/>
    <w:rsid w:val="000C75DE"/>
    <w:rsid w:val="000D0019"/>
    <w:rsid w:val="000D065D"/>
    <w:rsid w:val="000D0BC1"/>
    <w:rsid w:val="000D0F27"/>
    <w:rsid w:val="000D1545"/>
    <w:rsid w:val="000D24EB"/>
    <w:rsid w:val="000D2614"/>
    <w:rsid w:val="000D42B0"/>
    <w:rsid w:val="000D48BC"/>
    <w:rsid w:val="000D51F1"/>
    <w:rsid w:val="000D5210"/>
    <w:rsid w:val="000D603A"/>
    <w:rsid w:val="000D672B"/>
    <w:rsid w:val="000D67F2"/>
    <w:rsid w:val="000D7082"/>
    <w:rsid w:val="000D78BF"/>
    <w:rsid w:val="000E020C"/>
    <w:rsid w:val="000E0455"/>
    <w:rsid w:val="000E090A"/>
    <w:rsid w:val="000E12B4"/>
    <w:rsid w:val="000E3501"/>
    <w:rsid w:val="000E353A"/>
    <w:rsid w:val="000E40AC"/>
    <w:rsid w:val="000E4114"/>
    <w:rsid w:val="000E4AF5"/>
    <w:rsid w:val="000E4D50"/>
    <w:rsid w:val="000E6135"/>
    <w:rsid w:val="000E6961"/>
    <w:rsid w:val="000E6BC5"/>
    <w:rsid w:val="000E6F61"/>
    <w:rsid w:val="000E725B"/>
    <w:rsid w:val="000E7832"/>
    <w:rsid w:val="000F0338"/>
    <w:rsid w:val="000F0480"/>
    <w:rsid w:val="000F07EA"/>
    <w:rsid w:val="000F11D4"/>
    <w:rsid w:val="000F12F6"/>
    <w:rsid w:val="000F1A42"/>
    <w:rsid w:val="000F1DCA"/>
    <w:rsid w:val="000F2046"/>
    <w:rsid w:val="000F2283"/>
    <w:rsid w:val="000F26EE"/>
    <w:rsid w:val="000F2F37"/>
    <w:rsid w:val="000F36B7"/>
    <w:rsid w:val="000F3B70"/>
    <w:rsid w:val="000F3E3C"/>
    <w:rsid w:val="000F430E"/>
    <w:rsid w:val="000F4628"/>
    <w:rsid w:val="000F4B48"/>
    <w:rsid w:val="000F4E26"/>
    <w:rsid w:val="000F56BB"/>
    <w:rsid w:val="000F597B"/>
    <w:rsid w:val="000F63CD"/>
    <w:rsid w:val="000F6A68"/>
    <w:rsid w:val="000F6B69"/>
    <w:rsid w:val="000F6DDD"/>
    <w:rsid w:val="000F7E28"/>
    <w:rsid w:val="000F7E3E"/>
    <w:rsid w:val="001002C3"/>
    <w:rsid w:val="00100DEE"/>
    <w:rsid w:val="0010223F"/>
    <w:rsid w:val="00102C37"/>
    <w:rsid w:val="00103860"/>
    <w:rsid w:val="00103A7B"/>
    <w:rsid w:val="001043F0"/>
    <w:rsid w:val="001044F9"/>
    <w:rsid w:val="001045B8"/>
    <w:rsid w:val="00104834"/>
    <w:rsid w:val="00104A94"/>
    <w:rsid w:val="00105CBE"/>
    <w:rsid w:val="00105F6C"/>
    <w:rsid w:val="0010611B"/>
    <w:rsid w:val="001077AF"/>
    <w:rsid w:val="00107803"/>
    <w:rsid w:val="00107C71"/>
    <w:rsid w:val="00110608"/>
    <w:rsid w:val="001110E2"/>
    <w:rsid w:val="0011128D"/>
    <w:rsid w:val="001118B8"/>
    <w:rsid w:val="00111B85"/>
    <w:rsid w:val="00112311"/>
    <w:rsid w:val="001126E7"/>
    <w:rsid w:val="00112AB7"/>
    <w:rsid w:val="0011326D"/>
    <w:rsid w:val="0011413B"/>
    <w:rsid w:val="00114326"/>
    <w:rsid w:val="00114415"/>
    <w:rsid w:val="00114474"/>
    <w:rsid w:val="00114B4F"/>
    <w:rsid w:val="001158C9"/>
    <w:rsid w:val="00115A20"/>
    <w:rsid w:val="00115BA8"/>
    <w:rsid w:val="00115CDC"/>
    <w:rsid w:val="0011677D"/>
    <w:rsid w:val="00116977"/>
    <w:rsid w:val="00117759"/>
    <w:rsid w:val="00117E5C"/>
    <w:rsid w:val="001201D0"/>
    <w:rsid w:val="0012024A"/>
    <w:rsid w:val="00120E72"/>
    <w:rsid w:val="00121119"/>
    <w:rsid w:val="001217CB"/>
    <w:rsid w:val="001222DF"/>
    <w:rsid w:val="001227B8"/>
    <w:rsid w:val="00122A72"/>
    <w:rsid w:val="00122BEF"/>
    <w:rsid w:val="00122DC1"/>
    <w:rsid w:val="00123079"/>
    <w:rsid w:val="0012375F"/>
    <w:rsid w:val="001239F9"/>
    <w:rsid w:val="00123F26"/>
    <w:rsid w:val="00124127"/>
    <w:rsid w:val="00124841"/>
    <w:rsid w:val="00125EDD"/>
    <w:rsid w:val="00126174"/>
    <w:rsid w:val="001262AB"/>
    <w:rsid w:val="0012680A"/>
    <w:rsid w:val="00126A6B"/>
    <w:rsid w:val="00126B0B"/>
    <w:rsid w:val="00126BD4"/>
    <w:rsid w:val="0012750B"/>
    <w:rsid w:val="00127A18"/>
    <w:rsid w:val="00127B61"/>
    <w:rsid w:val="00127F5A"/>
    <w:rsid w:val="00130D7D"/>
    <w:rsid w:val="00131F90"/>
    <w:rsid w:val="00133582"/>
    <w:rsid w:val="00133D34"/>
    <w:rsid w:val="001340D2"/>
    <w:rsid w:val="00134724"/>
    <w:rsid w:val="001348A3"/>
    <w:rsid w:val="00134FFE"/>
    <w:rsid w:val="0013511A"/>
    <w:rsid w:val="0013568B"/>
    <w:rsid w:val="00136329"/>
    <w:rsid w:val="00136961"/>
    <w:rsid w:val="00136AEB"/>
    <w:rsid w:val="00136C63"/>
    <w:rsid w:val="00137346"/>
    <w:rsid w:val="001379A2"/>
    <w:rsid w:val="00137A59"/>
    <w:rsid w:val="00137D7E"/>
    <w:rsid w:val="001407EA"/>
    <w:rsid w:val="00140E0B"/>
    <w:rsid w:val="00140F0A"/>
    <w:rsid w:val="00141653"/>
    <w:rsid w:val="00141F7F"/>
    <w:rsid w:val="00142604"/>
    <w:rsid w:val="001428E9"/>
    <w:rsid w:val="00142903"/>
    <w:rsid w:val="00142CAD"/>
    <w:rsid w:val="00143573"/>
    <w:rsid w:val="00143CFA"/>
    <w:rsid w:val="00144C6F"/>
    <w:rsid w:val="001450D5"/>
    <w:rsid w:val="001450D7"/>
    <w:rsid w:val="001454F0"/>
    <w:rsid w:val="001459AE"/>
    <w:rsid w:val="00145A26"/>
    <w:rsid w:val="00146476"/>
    <w:rsid w:val="00146D7F"/>
    <w:rsid w:val="001507E4"/>
    <w:rsid w:val="00150826"/>
    <w:rsid w:val="00150DC2"/>
    <w:rsid w:val="00151BB0"/>
    <w:rsid w:val="00151F6B"/>
    <w:rsid w:val="00153001"/>
    <w:rsid w:val="00153375"/>
    <w:rsid w:val="001537AC"/>
    <w:rsid w:val="00153C3F"/>
    <w:rsid w:val="00153D68"/>
    <w:rsid w:val="00154700"/>
    <w:rsid w:val="0015496B"/>
    <w:rsid w:val="00154B6D"/>
    <w:rsid w:val="00154D01"/>
    <w:rsid w:val="00155F7C"/>
    <w:rsid w:val="001565FA"/>
    <w:rsid w:val="00156848"/>
    <w:rsid w:val="00156BAA"/>
    <w:rsid w:val="00156FAA"/>
    <w:rsid w:val="001570E8"/>
    <w:rsid w:val="00157827"/>
    <w:rsid w:val="00157D64"/>
    <w:rsid w:val="00160681"/>
    <w:rsid w:val="00160759"/>
    <w:rsid w:val="00160A40"/>
    <w:rsid w:val="00160AEB"/>
    <w:rsid w:val="00160EA0"/>
    <w:rsid w:val="00160EB3"/>
    <w:rsid w:val="0016133E"/>
    <w:rsid w:val="00162466"/>
    <w:rsid w:val="0016263D"/>
    <w:rsid w:val="0016353B"/>
    <w:rsid w:val="00163703"/>
    <w:rsid w:val="00163A79"/>
    <w:rsid w:val="00164042"/>
    <w:rsid w:val="001640FD"/>
    <w:rsid w:val="00164919"/>
    <w:rsid w:val="00164AC2"/>
    <w:rsid w:val="00164BB3"/>
    <w:rsid w:val="0016509A"/>
    <w:rsid w:val="0016538D"/>
    <w:rsid w:val="00165807"/>
    <w:rsid w:val="0016582D"/>
    <w:rsid w:val="00166281"/>
    <w:rsid w:val="00166ED5"/>
    <w:rsid w:val="00166F3F"/>
    <w:rsid w:val="0016728C"/>
    <w:rsid w:val="00167931"/>
    <w:rsid w:val="00167C4A"/>
    <w:rsid w:val="00167F87"/>
    <w:rsid w:val="0017013E"/>
    <w:rsid w:val="001701E8"/>
    <w:rsid w:val="00170204"/>
    <w:rsid w:val="0017029F"/>
    <w:rsid w:val="001707AC"/>
    <w:rsid w:val="00171572"/>
    <w:rsid w:val="00171856"/>
    <w:rsid w:val="00171A60"/>
    <w:rsid w:val="0017279C"/>
    <w:rsid w:val="00172A27"/>
    <w:rsid w:val="00172B25"/>
    <w:rsid w:val="00172BF7"/>
    <w:rsid w:val="0017310D"/>
    <w:rsid w:val="00173778"/>
    <w:rsid w:val="00173A87"/>
    <w:rsid w:val="00173F36"/>
    <w:rsid w:val="0017456B"/>
    <w:rsid w:val="00174C52"/>
    <w:rsid w:val="001756B6"/>
    <w:rsid w:val="00175B2E"/>
    <w:rsid w:val="00175B4D"/>
    <w:rsid w:val="00175C08"/>
    <w:rsid w:val="00176025"/>
    <w:rsid w:val="0017621A"/>
    <w:rsid w:val="0017664D"/>
    <w:rsid w:val="001767A9"/>
    <w:rsid w:val="00176F99"/>
    <w:rsid w:val="001771F9"/>
    <w:rsid w:val="0017733D"/>
    <w:rsid w:val="00177B2C"/>
    <w:rsid w:val="00177BBD"/>
    <w:rsid w:val="00180197"/>
    <w:rsid w:val="00180F55"/>
    <w:rsid w:val="0018112C"/>
    <w:rsid w:val="0018125E"/>
    <w:rsid w:val="001821C0"/>
    <w:rsid w:val="0018229E"/>
    <w:rsid w:val="00182316"/>
    <w:rsid w:val="00182492"/>
    <w:rsid w:val="00182C94"/>
    <w:rsid w:val="001833E2"/>
    <w:rsid w:val="00183B5A"/>
    <w:rsid w:val="001853AE"/>
    <w:rsid w:val="0018560E"/>
    <w:rsid w:val="00185949"/>
    <w:rsid w:val="001863E5"/>
    <w:rsid w:val="00186787"/>
    <w:rsid w:val="00187763"/>
    <w:rsid w:val="00187AFB"/>
    <w:rsid w:val="00187C47"/>
    <w:rsid w:val="00187C7D"/>
    <w:rsid w:val="001902CD"/>
    <w:rsid w:val="0019050A"/>
    <w:rsid w:val="00190A0E"/>
    <w:rsid w:val="00190D86"/>
    <w:rsid w:val="00191577"/>
    <w:rsid w:val="001926A0"/>
    <w:rsid w:val="00192A39"/>
    <w:rsid w:val="00193B97"/>
    <w:rsid w:val="00193C13"/>
    <w:rsid w:val="0019408F"/>
    <w:rsid w:val="001946CB"/>
    <w:rsid w:val="00195444"/>
    <w:rsid w:val="001964EB"/>
    <w:rsid w:val="00196677"/>
    <w:rsid w:val="00196DA1"/>
    <w:rsid w:val="00197835"/>
    <w:rsid w:val="00197D0A"/>
    <w:rsid w:val="001A04E0"/>
    <w:rsid w:val="001A0AAC"/>
    <w:rsid w:val="001A107B"/>
    <w:rsid w:val="001A130F"/>
    <w:rsid w:val="001A1AC6"/>
    <w:rsid w:val="001A1BF1"/>
    <w:rsid w:val="001A1BF3"/>
    <w:rsid w:val="001A1DC7"/>
    <w:rsid w:val="001A279A"/>
    <w:rsid w:val="001A2F28"/>
    <w:rsid w:val="001A32BB"/>
    <w:rsid w:val="001A3DF6"/>
    <w:rsid w:val="001A461E"/>
    <w:rsid w:val="001A4631"/>
    <w:rsid w:val="001A4B37"/>
    <w:rsid w:val="001A4BC6"/>
    <w:rsid w:val="001A570C"/>
    <w:rsid w:val="001A577E"/>
    <w:rsid w:val="001A5A35"/>
    <w:rsid w:val="001A5F7B"/>
    <w:rsid w:val="001A643F"/>
    <w:rsid w:val="001A6DC5"/>
    <w:rsid w:val="001A6EA2"/>
    <w:rsid w:val="001A7C45"/>
    <w:rsid w:val="001A7CF2"/>
    <w:rsid w:val="001B1058"/>
    <w:rsid w:val="001B138D"/>
    <w:rsid w:val="001B1626"/>
    <w:rsid w:val="001B198B"/>
    <w:rsid w:val="001B2668"/>
    <w:rsid w:val="001B2CC3"/>
    <w:rsid w:val="001B2E62"/>
    <w:rsid w:val="001B4358"/>
    <w:rsid w:val="001B4C22"/>
    <w:rsid w:val="001B4D43"/>
    <w:rsid w:val="001B4DA6"/>
    <w:rsid w:val="001B55C9"/>
    <w:rsid w:val="001B567E"/>
    <w:rsid w:val="001B58FF"/>
    <w:rsid w:val="001B5982"/>
    <w:rsid w:val="001B60D5"/>
    <w:rsid w:val="001B60F0"/>
    <w:rsid w:val="001B6193"/>
    <w:rsid w:val="001B632F"/>
    <w:rsid w:val="001B6532"/>
    <w:rsid w:val="001B6B77"/>
    <w:rsid w:val="001B7414"/>
    <w:rsid w:val="001B7734"/>
    <w:rsid w:val="001C0A0D"/>
    <w:rsid w:val="001C1E61"/>
    <w:rsid w:val="001C314D"/>
    <w:rsid w:val="001C3439"/>
    <w:rsid w:val="001C34D6"/>
    <w:rsid w:val="001C3708"/>
    <w:rsid w:val="001C424B"/>
    <w:rsid w:val="001C4517"/>
    <w:rsid w:val="001C4523"/>
    <w:rsid w:val="001C517A"/>
    <w:rsid w:val="001C544F"/>
    <w:rsid w:val="001C576E"/>
    <w:rsid w:val="001C5A7D"/>
    <w:rsid w:val="001C5EF7"/>
    <w:rsid w:val="001C622F"/>
    <w:rsid w:val="001C6521"/>
    <w:rsid w:val="001C68CD"/>
    <w:rsid w:val="001C6D59"/>
    <w:rsid w:val="001C6F49"/>
    <w:rsid w:val="001C6F5D"/>
    <w:rsid w:val="001C7292"/>
    <w:rsid w:val="001C7745"/>
    <w:rsid w:val="001C7EC9"/>
    <w:rsid w:val="001C7F01"/>
    <w:rsid w:val="001D04DF"/>
    <w:rsid w:val="001D14E4"/>
    <w:rsid w:val="001D16CE"/>
    <w:rsid w:val="001D1BE0"/>
    <w:rsid w:val="001D1D79"/>
    <w:rsid w:val="001D233E"/>
    <w:rsid w:val="001D272A"/>
    <w:rsid w:val="001D28DF"/>
    <w:rsid w:val="001D3A7D"/>
    <w:rsid w:val="001D3B53"/>
    <w:rsid w:val="001D5358"/>
    <w:rsid w:val="001D590B"/>
    <w:rsid w:val="001D5B31"/>
    <w:rsid w:val="001D668F"/>
    <w:rsid w:val="001D67A2"/>
    <w:rsid w:val="001D6F4A"/>
    <w:rsid w:val="001D71CE"/>
    <w:rsid w:val="001D721B"/>
    <w:rsid w:val="001D770B"/>
    <w:rsid w:val="001D7904"/>
    <w:rsid w:val="001D7ACD"/>
    <w:rsid w:val="001E07BF"/>
    <w:rsid w:val="001E1889"/>
    <w:rsid w:val="001E24D1"/>
    <w:rsid w:val="001E2C6B"/>
    <w:rsid w:val="001E3F79"/>
    <w:rsid w:val="001E429E"/>
    <w:rsid w:val="001E4636"/>
    <w:rsid w:val="001E48C4"/>
    <w:rsid w:val="001E493B"/>
    <w:rsid w:val="001E4EBD"/>
    <w:rsid w:val="001E5161"/>
    <w:rsid w:val="001E52EB"/>
    <w:rsid w:val="001E587A"/>
    <w:rsid w:val="001E5A85"/>
    <w:rsid w:val="001E7041"/>
    <w:rsid w:val="001E70D8"/>
    <w:rsid w:val="001E7BF6"/>
    <w:rsid w:val="001F1B18"/>
    <w:rsid w:val="001F2058"/>
    <w:rsid w:val="001F25C6"/>
    <w:rsid w:val="001F2700"/>
    <w:rsid w:val="001F2942"/>
    <w:rsid w:val="001F2DE7"/>
    <w:rsid w:val="001F3040"/>
    <w:rsid w:val="001F3046"/>
    <w:rsid w:val="001F34BF"/>
    <w:rsid w:val="001F3B05"/>
    <w:rsid w:val="001F5539"/>
    <w:rsid w:val="001F59FD"/>
    <w:rsid w:val="001F6614"/>
    <w:rsid w:val="001F6D8D"/>
    <w:rsid w:val="001F6E64"/>
    <w:rsid w:val="001F6FFC"/>
    <w:rsid w:val="001F70D3"/>
    <w:rsid w:val="001F76A9"/>
    <w:rsid w:val="001F7F15"/>
    <w:rsid w:val="0020021F"/>
    <w:rsid w:val="00200258"/>
    <w:rsid w:val="002009F6"/>
    <w:rsid w:val="00201256"/>
    <w:rsid w:val="002016A6"/>
    <w:rsid w:val="002016F1"/>
    <w:rsid w:val="00201725"/>
    <w:rsid w:val="00201F7B"/>
    <w:rsid w:val="0020206B"/>
    <w:rsid w:val="00203415"/>
    <w:rsid w:val="0020341C"/>
    <w:rsid w:val="0020396F"/>
    <w:rsid w:val="00203AF9"/>
    <w:rsid w:val="00204023"/>
    <w:rsid w:val="00204509"/>
    <w:rsid w:val="00205CDF"/>
    <w:rsid w:val="0020610F"/>
    <w:rsid w:val="0020698E"/>
    <w:rsid w:val="002075CF"/>
    <w:rsid w:val="00207DBD"/>
    <w:rsid w:val="00207EB9"/>
    <w:rsid w:val="0021072E"/>
    <w:rsid w:val="0021087E"/>
    <w:rsid w:val="0021126B"/>
    <w:rsid w:val="00211474"/>
    <w:rsid w:val="00211E23"/>
    <w:rsid w:val="00212EC0"/>
    <w:rsid w:val="00212F41"/>
    <w:rsid w:val="00213656"/>
    <w:rsid w:val="00213A80"/>
    <w:rsid w:val="002144D4"/>
    <w:rsid w:val="00214BA9"/>
    <w:rsid w:val="002171ED"/>
    <w:rsid w:val="00217392"/>
    <w:rsid w:val="00217E3B"/>
    <w:rsid w:val="002203E9"/>
    <w:rsid w:val="002205FA"/>
    <w:rsid w:val="0022135E"/>
    <w:rsid w:val="002218EB"/>
    <w:rsid w:val="00221BC9"/>
    <w:rsid w:val="00221CC5"/>
    <w:rsid w:val="00221F94"/>
    <w:rsid w:val="002233C8"/>
    <w:rsid w:val="002238BD"/>
    <w:rsid w:val="0022395F"/>
    <w:rsid w:val="00223E42"/>
    <w:rsid w:val="00224629"/>
    <w:rsid w:val="00224CDF"/>
    <w:rsid w:val="00225062"/>
    <w:rsid w:val="00225185"/>
    <w:rsid w:val="00225D1A"/>
    <w:rsid w:val="00225F59"/>
    <w:rsid w:val="00226053"/>
    <w:rsid w:val="002265A1"/>
    <w:rsid w:val="00226A56"/>
    <w:rsid w:val="00226C90"/>
    <w:rsid w:val="0022756F"/>
    <w:rsid w:val="002277E2"/>
    <w:rsid w:val="00227855"/>
    <w:rsid w:val="00230042"/>
    <w:rsid w:val="002308FA"/>
    <w:rsid w:val="002319F6"/>
    <w:rsid w:val="00233A17"/>
    <w:rsid w:val="00234345"/>
    <w:rsid w:val="0023440C"/>
    <w:rsid w:val="00234E65"/>
    <w:rsid w:val="0023501D"/>
    <w:rsid w:val="00235132"/>
    <w:rsid w:val="00235DCF"/>
    <w:rsid w:val="00236044"/>
    <w:rsid w:val="0023654C"/>
    <w:rsid w:val="0024040C"/>
    <w:rsid w:val="002405CF"/>
    <w:rsid w:val="00240647"/>
    <w:rsid w:val="00240778"/>
    <w:rsid w:val="002408A5"/>
    <w:rsid w:val="00240F93"/>
    <w:rsid w:val="00241415"/>
    <w:rsid w:val="00241791"/>
    <w:rsid w:val="002418C1"/>
    <w:rsid w:val="002421F3"/>
    <w:rsid w:val="00242808"/>
    <w:rsid w:val="00242CEC"/>
    <w:rsid w:val="00243107"/>
    <w:rsid w:val="00243651"/>
    <w:rsid w:val="00243931"/>
    <w:rsid w:val="002442BA"/>
    <w:rsid w:val="00244CE8"/>
    <w:rsid w:val="002458EC"/>
    <w:rsid w:val="00246740"/>
    <w:rsid w:val="00247ACB"/>
    <w:rsid w:val="00250329"/>
    <w:rsid w:val="002503D6"/>
    <w:rsid w:val="00250426"/>
    <w:rsid w:val="00250D81"/>
    <w:rsid w:val="002515EA"/>
    <w:rsid w:val="00251AFA"/>
    <w:rsid w:val="00251C5D"/>
    <w:rsid w:val="00252657"/>
    <w:rsid w:val="00252834"/>
    <w:rsid w:val="00253091"/>
    <w:rsid w:val="00254AFA"/>
    <w:rsid w:val="00254BB9"/>
    <w:rsid w:val="0025529D"/>
    <w:rsid w:val="00255911"/>
    <w:rsid w:val="00255B08"/>
    <w:rsid w:val="00255CB8"/>
    <w:rsid w:val="00256F56"/>
    <w:rsid w:val="0025739D"/>
    <w:rsid w:val="00257A6A"/>
    <w:rsid w:val="00261693"/>
    <w:rsid w:val="002617CC"/>
    <w:rsid w:val="00261A91"/>
    <w:rsid w:val="00261BE8"/>
    <w:rsid w:val="002621D1"/>
    <w:rsid w:val="00262973"/>
    <w:rsid w:val="002632DD"/>
    <w:rsid w:val="00263354"/>
    <w:rsid w:val="00263723"/>
    <w:rsid w:val="00263996"/>
    <w:rsid w:val="00264570"/>
    <w:rsid w:val="002669B8"/>
    <w:rsid w:val="00266E49"/>
    <w:rsid w:val="0026766C"/>
    <w:rsid w:val="0026768E"/>
    <w:rsid w:val="00267823"/>
    <w:rsid w:val="002703DD"/>
    <w:rsid w:val="00270A2C"/>
    <w:rsid w:val="00270E37"/>
    <w:rsid w:val="002714A4"/>
    <w:rsid w:val="00271724"/>
    <w:rsid w:val="00272599"/>
    <w:rsid w:val="00272964"/>
    <w:rsid w:val="002729AA"/>
    <w:rsid w:val="002735BE"/>
    <w:rsid w:val="002735F1"/>
    <w:rsid w:val="00273DCA"/>
    <w:rsid w:val="00273F2F"/>
    <w:rsid w:val="0027400A"/>
    <w:rsid w:val="0027425C"/>
    <w:rsid w:val="00274771"/>
    <w:rsid w:val="00274851"/>
    <w:rsid w:val="00274C32"/>
    <w:rsid w:val="00274E39"/>
    <w:rsid w:val="00275F4E"/>
    <w:rsid w:val="00276155"/>
    <w:rsid w:val="002771D0"/>
    <w:rsid w:val="002773F1"/>
    <w:rsid w:val="002779C0"/>
    <w:rsid w:val="00280583"/>
    <w:rsid w:val="002805D5"/>
    <w:rsid w:val="00280CC8"/>
    <w:rsid w:val="00281342"/>
    <w:rsid w:val="00281410"/>
    <w:rsid w:val="002817B6"/>
    <w:rsid w:val="002817DD"/>
    <w:rsid w:val="00281DB8"/>
    <w:rsid w:val="00281FC8"/>
    <w:rsid w:val="002825A3"/>
    <w:rsid w:val="002825D3"/>
    <w:rsid w:val="002834E5"/>
    <w:rsid w:val="0028353B"/>
    <w:rsid w:val="00283AAB"/>
    <w:rsid w:val="00283BCB"/>
    <w:rsid w:val="002841F8"/>
    <w:rsid w:val="00284E8A"/>
    <w:rsid w:val="002858F4"/>
    <w:rsid w:val="00285BF7"/>
    <w:rsid w:val="00285D89"/>
    <w:rsid w:val="00285E2F"/>
    <w:rsid w:val="00286231"/>
    <w:rsid w:val="00287A0B"/>
    <w:rsid w:val="00287C51"/>
    <w:rsid w:val="00287DEB"/>
    <w:rsid w:val="00287FFE"/>
    <w:rsid w:val="002908D7"/>
    <w:rsid w:val="00290BE4"/>
    <w:rsid w:val="002910DA"/>
    <w:rsid w:val="0029180F"/>
    <w:rsid w:val="00291831"/>
    <w:rsid w:val="00291EB7"/>
    <w:rsid w:val="00291EE2"/>
    <w:rsid w:val="00292119"/>
    <w:rsid w:val="00292176"/>
    <w:rsid w:val="00292A2B"/>
    <w:rsid w:val="00293509"/>
    <w:rsid w:val="00294435"/>
    <w:rsid w:val="0029509A"/>
    <w:rsid w:val="002952A9"/>
    <w:rsid w:val="00295F6E"/>
    <w:rsid w:val="00296A28"/>
    <w:rsid w:val="00296DAF"/>
    <w:rsid w:val="00297092"/>
    <w:rsid w:val="00297246"/>
    <w:rsid w:val="002977EE"/>
    <w:rsid w:val="00297CDE"/>
    <w:rsid w:val="002A09F8"/>
    <w:rsid w:val="002A1777"/>
    <w:rsid w:val="002A2669"/>
    <w:rsid w:val="002A2D80"/>
    <w:rsid w:val="002A459A"/>
    <w:rsid w:val="002A504B"/>
    <w:rsid w:val="002A5465"/>
    <w:rsid w:val="002A56A5"/>
    <w:rsid w:val="002A61B2"/>
    <w:rsid w:val="002A6583"/>
    <w:rsid w:val="002A7020"/>
    <w:rsid w:val="002A712A"/>
    <w:rsid w:val="002A74D8"/>
    <w:rsid w:val="002B01E4"/>
    <w:rsid w:val="002B045D"/>
    <w:rsid w:val="002B0533"/>
    <w:rsid w:val="002B2D0E"/>
    <w:rsid w:val="002B3474"/>
    <w:rsid w:val="002B3834"/>
    <w:rsid w:val="002B38CF"/>
    <w:rsid w:val="002B395E"/>
    <w:rsid w:val="002B4CE3"/>
    <w:rsid w:val="002B5438"/>
    <w:rsid w:val="002B54DC"/>
    <w:rsid w:val="002B665C"/>
    <w:rsid w:val="002B6772"/>
    <w:rsid w:val="002B6805"/>
    <w:rsid w:val="002B6A03"/>
    <w:rsid w:val="002B760A"/>
    <w:rsid w:val="002B76E6"/>
    <w:rsid w:val="002B77C9"/>
    <w:rsid w:val="002B7949"/>
    <w:rsid w:val="002B7A4D"/>
    <w:rsid w:val="002B7C7F"/>
    <w:rsid w:val="002C00E1"/>
    <w:rsid w:val="002C0126"/>
    <w:rsid w:val="002C091C"/>
    <w:rsid w:val="002C1211"/>
    <w:rsid w:val="002C2192"/>
    <w:rsid w:val="002C29E5"/>
    <w:rsid w:val="002C2A1A"/>
    <w:rsid w:val="002C3A28"/>
    <w:rsid w:val="002C3F13"/>
    <w:rsid w:val="002C4076"/>
    <w:rsid w:val="002C471B"/>
    <w:rsid w:val="002C4727"/>
    <w:rsid w:val="002C4F19"/>
    <w:rsid w:val="002C504F"/>
    <w:rsid w:val="002C5C01"/>
    <w:rsid w:val="002C60F1"/>
    <w:rsid w:val="002C69AD"/>
    <w:rsid w:val="002C6E7C"/>
    <w:rsid w:val="002D08CA"/>
    <w:rsid w:val="002D1093"/>
    <w:rsid w:val="002D1336"/>
    <w:rsid w:val="002D1E71"/>
    <w:rsid w:val="002D20AE"/>
    <w:rsid w:val="002D23A4"/>
    <w:rsid w:val="002D25B6"/>
    <w:rsid w:val="002D5A6D"/>
    <w:rsid w:val="002D68F0"/>
    <w:rsid w:val="002D6CAB"/>
    <w:rsid w:val="002D6FA0"/>
    <w:rsid w:val="002D6FEF"/>
    <w:rsid w:val="002D70AA"/>
    <w:rsid w:val="002D75C1"/>
    <w:rsid w:val="002D78DA"/>
    <w:rsid w:val="002D7D0A"/>
    <w:rsid w:val="002E0889"/>
    <w:rsid w:val="002E1188"/>
    <w:rsid w:val="002E12AC"/>
    <w:rsid w:val="002E141C"/>
    <w:rsid w:val="002E289E"/>
    <w:rsid w:val="002E2E6B"/>
    <w:rsid w:val="002E3AD6"/>
    <w:rsid w:val="002E3CD1"/>
    <w:rsid w:val="002E3D90"/>
    <w:rsid w:val="002E4500"/>
    <w:rsid w:val="002E454E"/>
    <w:rsid w:val="002E596A"/>
    <w:rsid w:val="002E6221"/>
    <w:rsid w:val="002E69C6"/>
    <w:rsid w:val="002E6B5D"/>
    <w:rsid w:val="002E7153"/>
    <w:rsid w:val="002E748B"/>
    <w:rsid w:val="002E74DE"/>
    <w:rsid w:val="002E75F3"/>
    <w:rsid w:val="002E77DF"/>
    <w:rsid w:val="002F0562"/>
    <w:rsid w:val="002F07A6"/>
    <w:rsid w:val="002F1A6B"/>
    <w:rsid w:val="002F3869"/>
    <w:rsid w:val="002F38B8"/>
    <w:rsid w:val="002F4C56"/>
    <w:rsid w:val="002F53D1"/>
    <w:rsid w:val="002F5564"/>
    <w:rsid w:val="002F59E4"/>
    <w:rsid w:val="002F6240"/>
    <w:rsid w:val="002F64E7"/>
    <w:rsid w:val="002F6867"/>
    <w:rsid w:val="002F6B0D"/>
    <w:rsid w:val="002F6D84"/>
    <w:rsid w:val="002F77D4"/>
    <w:rsid w:val="003007A9"/>
    <w:rsid w:val="00300AA9"/>
    <w:rsid w:val="00300E0C"/>
    <w:rsid w:val="00300F75"/>
    <w:rsid w:val="003015D6"/>
    <w:rsid w:val="00302B04"/>
    <w:rsid w:val="003036B0"/>
    <w:rsid w:val="00304098"/>
    <w:rsid w:val="003042E2"/>
    <w:rsid w:val="0030445F"/>
    <w:rsid w:val="00304D04"/>
    <w:rsid w:val="00305013"/>
    <w:rsid w:val="0030532E"/>
    <w:rsid w:val="003054DD"/>
    <w:rsid w:val="00305536"/>
    <w:rsid w:val="00305692"/>
    <w:rsid w:val="0030626C"/>
    <w:rsid w:val="00306344"/>
    <w:rsid w:val="00306E30"/>
    <w:rsid w:val="0031000E"/>
    <w:rsid w:val="0031019A"/>
    <w:rsid w:val="00310354"/>
    <w:rsid w:val="00310785"/>
    <w:rsid w:val="00310C11"/>
    <w:rsid w:val="003110AB"/>
    <w:rsid w:val="00311105"/>
    <w:rsid w:val="00311464"/>
    <w:rsid w:val="003119FC"/>
    <w:rsid w:val="00311DAF"/>
    <w:rsid w:val="00311EB8"/>
    <w:rsid w:val="00312738"/>
    <w:rsid w:val="0031288E"/>
    <w:rsid w:val="00313986"/>
    <w:rsid w:val="0031448B"/>
    <w:rsid w:val="00314AB4"/>
    <w:rsid w:val="00314CC2"/>
    <w:rsid w:val="00314E29"/>
    <w:rsid w:val="00315702"/>
    <w:rsid w:val="00315A39"/>
    <w:rsid w:val="00315DA6"/>
    <w:rsid w:val="00317B6F"/>
    <w:rsid w:val="0032002E"/>
    <w:rsid w:val="0032004F"/>
    <w:rsid w:val="003200EB"/>
    <w:rsid w:val="00320BB6"/>
    <w:rsid w:val="00320CC6"/>
    <w:rsid w:val="00321097"/>
    <w:rsid w:val="00321098"/>
    <w:rsid w:val="0032150C"/>
    <w:rsid w:val="00321569"/>
    <w:rsid w:val="0032194D"/>
    <w:rsid w:val="00321ABD"/>
    <w:rsid w:val="00321FB1"/>
    <w:rsid w:val="003221C5"/>
    <w:rsid w:val="003224C7"/>
    <w:rsid w:val="0032268D"/>
    <w:rsid w:val="003228DB"/>
    <w:rsid w:val="0032368F"/>
    <w:rsid w:val="00323898"/>
    <w:rsid w:val="00323953"/>
    <w:rsid w:val="00323B19"/>
    <w:rsid w:val="00324793"/>
    <w:rsid w:val="00324C2B"/>
    <w:rsid w:val="0032606F"/>
    <w:rsid w:val="003260D0"/>
    <w:rsid w:val="00326BE4"/>
    <w:rsid w:val="00326DB4"/>
    <w:rsid w:val="00327504"/>
    <w:rsid w:val="00327851"/>
    <w:rsid w:val="00327D83"/>
    <w:rsid w:val="00327EAE"/>
    <w:rsid w:val="0033034D"/>
    <w:rsid w:val="0033198F"/>
    <w:rsid w:val="00331B88"/>
    <w:rsid w:val="00332090"/>
    <w:rsid w:val="003327F2"/>
    <w:rsid w:val="003328EC"/>
    <w:rsid w:val="00332C9A"/>
    <w:rsid w:val="00332FFA"/>
    <w:rsid w:val="003334A2"/>
    <w:rsid w:val="00333B6A"/>
    <w:rsid w:val="0033412B"/>
    <w:rsid w:val="00334886"/>
    <w:rsid w:val="00335943"/>
    <w:rsid w:val="00336B7E"/>
    <w:rsid w:val="00337169"/>
    <w:rsid w:val="00337175"/>
    <w:rsid w:val="003377B9"/>
    <w:rsid w:val="003408B7"/>
    <w:rsid w:val="0034129E"/>
    <w:rsid w:val="00341326"/>
    <w:rsid w:val="00341D7D"/>
    <w:rsid w:val="003421CA"/>
    <w:rsid w:val="00342B3F"/>
    <w:rsid w:val="00342F41"/>
    <w:rsid w:val="00343A9C"/>
    <w:rsid w:val="00344C16"/>
    <w:rsid w:val="0034521E"/>
    <w:rsid w:val="00345DB5"/>
    <w:rsid w:val="003466DE"/>
    <w:rsid w:val="003466F2"/>
    <w:rsid w:val="00346730"/>
    <w:rsid w:val="0034700D"/>
    <w:rsid w:val="00347BEB"/>
    <w:rsid w:val="00350622"/>
    <w:rsid w:val="00351618"/>
    <w:rsid w:val="003517A3"/>
    <w:rsid w:val="003524E3"/>
    <w:rsid w:val="00352611"/>
    <w:rsid w:val="0035270E"/>
    <w:rsid w:val="00352899"/>
    <w:rsid w:val="00352A62"/>
    <w:rsid w:val="00352C42"/>
    <w:rsid w:val="00352CAE"/>
    <w:rsid w:val="00352CC1"/>
    <w:rsid w:val="00353116"/>
    <w:rsid w:val="003531E4"/>
    <w:rsid w:val="00353A21"/>
    <w:rsid w:val="00354CF4"/>
    <w:rsid w:val="00354FDE"/>
    <w:rsid w:val="0035524F"/>
    <w:rsid w:val="0035567C"/>
    <w:rsid w:val="00357AC0"/>
    <w:rsid w:val="00357D9F"/>
    <w:rsid w:val="00360A77"/>
    <w:rsid w:val="00360D18"/>
    <w:rsid w:val="00361B49"/>
    <w:rsid w:val="00361F0D"/>
    <w:rsid w:val="003622D9"/>
    <w:rsid w:val="003633CF"/>
    <w:rsid w:val="0036461D"/>
    <w:rsid w:val="00364945"/>
    <w:rsid w:val="00364E84"/>
    <w:rsid w:val="00365081"/>
    <w:rsid w:val="003653E9"/>
    <w:rsid w:val="00365688"/>
    <w:rsid w:val="003658A6"/>
    <w:rsid w:val="0036645C"/>
    <w:rsid w:val="003664C2"/>
    <w:rsid w:val="003670AB"/>
    <w:rsid w:val="003678B7"/>
    <w:rsid w:val="00370177"/>
    <w:rsid w:val="00370227"/>
    <w:rsid w:val="0037028F"/>
    <w:rsid w:val="00370B18"/>
    <w:rsid w:val="003712B2"/>
    <w:rsid w:val="00371AD0"/>
    <w:rsid w:val="00371E6E"/>
    <w:rsid w:val="0037235D"/>
    <w:rsid w:val="00372AF2"/>
    <w:rsid w:val="00374707"/>
    <w:rsid w:val="003748E6"/>
    <w:rsid w:val="00374968"/>
    <w:rsid w:val="00375221"/>
    <w:rsid w:val="0037555F"/>
    <w:rsid w:val="00375E5C"/>
    <w:rsid w:val="00376329"/>
    <w:rsid w:val="00376745"/>
    <w:rsid w:val="00376913"/>
    <w:rsid w:val="00377076"/>
    <w:rsid w:val="0037795C"/>
    <w:rsid w:val="00377C14"/>
    <w:rsid w:val="00377E98"/>
    <w:rsid w:val="0038043C"/>
    <w:rsid w:val="00380662"/>
    <w:rsid w:val="00380AE2"/>
    <w:rsid w:val="00380C94"/>
    <w:rsid w:val="00380D43"/>
    <w:rsid w:val="003811F0"/>
    <w:rsid w:val="00381512"/>
    <w:rsid w:val="00382462"/>
    <w:rsid w:val="0038286A"/>
    <w:rsid w:val="00382DF8"/>
    <w:rsid w:val="00383465"/>
    <w:rsid w:val="00383A41"/>
    <w:rsid w:val="00383EC1"/>
    <w:rsid w:val="0038421A"/>
    <w:rsid w:val="003845D9"/>
    <w:rsid w:val="00384ADC"/>
    <w:rsid w:val="00384B3A"/>
    <w:rsid w:val="003853FF"/>
    <w:rsid w:val="00385640"/>
    <w:rsid w:val="00385ED5"/>
    <w:rsid w:val="00385F1D"/>
    <w:rsid w:val="00387348"/>
    <w:rsid w:val="00387449"/>
    <w:rsid w:val="00387516"/>
    <w:rsid w:val="00390B06"/>
    <w:rsid w:val="00390D3A"/>
    <w:rsid w:val="003914CF"/>
    <w:rsid w:val="003918D0"/>
    <w:rsid w:val="00392105"/>
    <w:rsid w:val="00392E49"/>
    <w:rsid w:val="00392E61"/>
    <w:rsid w:val="0039344B"/>
    <w:rsid w:val="00395090"/>
    <w:rsid w:val="003951BC"/>
    <w:rsid w:val="00395496"/>
    <w:rsid w:val="003957A9"/>
    <w:rsid w:val="00397045"/>
    <w:rsid w:val="003A0831"/>
    <w:rsid w:val="003A08D3"/>
    <w:rsid w:val="003A1806"/>
    <w:rsid w:val="003A19E8"/>
    <w:rsid w:val="003A22A2"/>
    <w:rsid w:val="003A291D"/>
    <w:rsid w:val="003A2BBA"/>
    <w:rsid w:val="003A2BC2"/>
    <w:rsid w:val="003A37DC"/>
    <w:rsid w:val="003A474F"/>
    <w:rsid w:val="003A4859"/>
    <w:rsid w:val="003A4B22"/>
    <w:rsid w:val="003A5116"/>
    <w:rsid w:val="003A5B27"/>
    <w:rsid w:val="003A5E66"/>
    <w:rsid w:val="003A695E"/>
    <w:rsid w:val="003A6D01"/>
    <w:rsid w:val="003A7D94"/>
    <w:rsid w:val="003B05E0"/>
    <w:rsid w:val="003B088D"/>
    <w:rsid w:val="003B0E3F"/>
    <w:rsid w:val="003B1B65"/>
    <w:rsid w:val="003B1ED5"/>
    <w:rsid w:val="003B1F9F"/>
    <w:rsid w:val="003B281B"/>
    <w:rsid w:val="003B290C"/>
    <w:rsid w:val="003B2D70"/>
    <w:rsid w:val="003B2DB6"/>
    <w:rsid w:val="003B304C"/>
    <w:rsid w:val="003B3D12"/>
    <w:rsid w:val="003B3F6F"/>
    <w:rsid w:val="003B4032"/>
    <w:rsid w:val="003B449A"/>
    <w:rsid w:val="003B45BC"/>
    <w:rsid w:val="003B4CF6"/>
    <w:rsid w:val="003B5382"/>
    <w:rsid w:val="003B5E84"/>
    <w:rsid w:val="003B72A1"/>
    <w:rsid w:val="003B795B"/>
    <w:rsid w:val="003B7ADA"/>
    <w:rsid w:val="003B7B58"/>
    <w:rsid w:val="003B7E76"/>
    <w:rsid w:val="003C00F2"/>
    <w:rsid w:val="003C0338"/>
    <w:rsid w:val="003C1559"/>
    <w:rsid w:val="003C2260"/>
    <w:rsid w:val="003C22B0"/>
    <w:rsid w:val="003C323B"/>
    <w:rsid w:val="003C4048"/>
    <w:rsid w:val="003C4199"/>
    <w:rsid w:val="003C4687"/>
    <w:rsid w:val="003C4DB8"/>
    <w:rsid w:val="003C5535"/>
    <w:rsid w:val="003C5D66"/>
    <w:rsid w:val="003C61CC"/>
    <w:rsid w:val="003D0947"/>
    <w:rsid w:val="003D0CA6"/>
    <w:rsid w:val="003D12E8"/>
    <w:rsid w:val="003D1E3B"/>
    <w:rsid w:val="003D2AF4"/>
    <w:rsid w:val="003D2C71"/>
    <w:rsid w:val="003D2FCF"/>
    <w:rsid w:val="003D36B6"/>
    <w:rsid w:val="003D3AED"/>
    <w:rsid w:val="003D3B06"/>
    <w:rsid w:val="003D3FAC"/>
    <w:rsid w:val="003D475A"/>
    <w:rsid w:val="003D51ED"/>
    <w:rsid w:val="003D58A1"/>
    <w:rsid w:val="003D5EB8"/>
    <w:rsid w:val="003D6117"/>
    <w:rsid w:val="003D65DB"/>
    <w:rsid w:val="003D6CFD"/>
    <w:rsid w:val="003E03B2"/>
    <w:rsid w:val="003E0465"/>
    <w:rsid w:val="003E0852"/>
    <w:rsid w:val="003E08B0"/>
    <w:rsid w:val="003E0D8A"/>
    <w:rsid w:val="003E1356"/>
    <w:rsid w:val="003E1C7A"/>
    <w:rsid w:val="003E1DF6"/>
    <w:rsid w:val="003E1E61"/>
    <w:rsid w:val="003E2B63"/>
    <w:rsid w:val="003E39F5"/>
    <w:rsid w:val="003E402C"/>
    <w:rsid w:val="003E4516"/>
    <w:rsid w:val="003E4B7B"/>
    <w:rsid w:val="003E523E"/>
    <w:rsid w:val="003E6DDD"/>
    <w:rsid w:val="003E7060"/>
    <w:rsid w:val="003E73A4"/>
    <w:rsid w:val="003E7EE4"/>
    <w:rsid w:val="003F027D"/>
    <w:rsid w:val="003F07F2"/>
    <w:rsid w:val="003F0D5F"/>
    <w:rsid w:val="003F1921"/>
    <w:rsid w:val="003F294B"/>
    <w:rsid w:val="003F2B3E"/>
    <w:rsid w:val="003F2D60"/>
    <w:rsid w:val="003F3D83"/>
    <w:rsid w:val="003F4775"/>
    <w:rsid w:val="003F498F"/>
    <w:rsid w:val="003F4BD2"/>
    <w:rsid w:val="003F537C"/>
    <w:rsid w:val="003F5641"/>
    <w:rsid w:val="003F59AB"/>
    <w:rsid w:val="003F5A08"/>
    <w:rsid w:val="003F5C6F"/>
    <w:rsid w:val="003F603D"/>
    <w:rsid w:val="003F6190"/>
    <w:rsid w:val="003F6C09"/>
    <w:rsid w:val="003F79E9"/>
    <w:rsid w:val="003F7A27"/>
    <w:rsid w:val="003F7E57"/>
    <w:rsid w:val="0040029E"/>
    <w:rsid w:val="00400DC8"/>
    <w:rsid w:val="004012C2"/>
    <w:rsid w:val="00401371"/>
    <w:rsid w:val="0040168B"/>
    <w:rsid w:val="00402168"/>
    <w:rsid w:val="00402F70"/>
    <w:rsid w:val="00403747"/>
    <w:rsid w:val="0040453D"/>
    <w:rsid w:val="00404668"/>
    <w:rsid w:val="00404D30"/>
    <w:rsid w:val="004050D3"/>
    <w:rsid w:val="00405807"/>
    <w:rsid w:val="0040619D"/>
    <w:rsid w:val="004062AF"/>
    <w:rsid w:val="00406F51"/>
    <w:rsid w:val="0040718E"/>
    <w:rsid w:val="00407537"/>
    <w:rsid w:val="0041010A"/>
    <w:rsid w:val="00410D8E"/>
    <w:rsid w:val="00411490"/>
    <w:rsid w:val="0041154E"/>
    <w:rsid w:val="00411581"/>
    <w:rsid w:val="004128E5"/>
    <w:rsid w:val="00412E65"/>
    <w:rsid w:val="004134B5"/>
    <w:rsid w:val="004143B5"/>
    <w:rsid w:val="0041451A"/>
    <w:rsid w:val="00414703"/>
    <w:rsid w:val="00414A59"/>
    <w:rsid w:val="00414FD7"/>
    <w:rsid w:val="004158E5"/>
    <w:rsid w:val="004159FA"/>
    <w:rsid w:val="00416167"/>
    <w:rsid w:val="004169B9"/>
    <w:rsid w:val="00416C0F"/>
    <w:rsid w:val="00416F08"/>
    <w:rsid w:val="004173AE"/>
    <w:rsid w:val="00417D08"/>
    <w:rsid w:val="004200CB"/>
    <w:rsid w:val="00420288"/>
    <w:rsid w:val="004208D8"/>
    <w:rsid w:val="00420DA8"/>
    <w:rsid w:val="00420EB8"/>
    <w:rsid w:val="0042155D"/>
    <w:rsid w:val="004220FA"/>
    <w:rsid w:val="0042295D"/>
    <w:rsid w:val="00422D7B"/>
    <w:rsid w:val="00422FF0"/>
    <w:rsid w:val="00423056"/>
    <w:rsid w:val="00423796"/>
    <w:rsid w:val="00423DA5"/>
    <w:rsid w:val="004248A0"/>
    <w:rsid w:val="004249EF"/>
    <w:rsid w:val="004256DC"/>
    <w:rsid w:val="00425B5A"/>
    <w:rsid w:val="004261DC"/>
    <w:rsid w:val="004264C3"/>
    <w:rsid w:val="004274B9"/>
    <w:rsid w:val="00427835"/>
    <w:rsid w:val="00430632"/>
    <w:rsid w:val="004309A9"/>
    <w:rsid w:val="00430A0F"/>
    <w:rsid w:val="004317E6"/>
    <w:rsid w:val="00431A7E"/>
    <w:rsid w:val="00431CB1"/>
    <w:rsid w:val="00431DD9"/>
    <w:rsid w:val="00432E49"/>
    <w:rsid w:val="00433978"/>
    <w:rsid w:val="004339FD"/>
    <w:rsid w:val="00433D30"/>
    <w:rsid w:val="004344C5"/>
    <w:rsid w:val="0043454A"/>
    <w:rsid w:val="0043585B"/>
    <w:rsid w:val="00435AF8"/>
    <w:rsid w:val="00436C11"/>
    <w:rsid w:val="00441608"/>
    <w:rsid w:val="00441834"/>
    <w:rsid w:val="004418FE"/>
    <w:rsid w:val="0044192C"/>
    <w:rsid w:val="004426C7"/>
    <w:rsid w:val="004430B2"/>
    <w:rsid w:val="004432EE"/>
    <w:rsid w:val="00443BC3"/>
    <w:rsid w:val="004441AC"/>
    <w:rsid w:val="004443DD"/>
    <w:rsid w:val="0044464D"/>
    <w:rsid w:val="00444A3E"/>
    <w:rsid w:val="00445900"/>
    <w:rsid w:val="00445C2A"/>
    <w:rsid w:val="00446085"/>
    <w:rsid w:val="00446511"/>
    <w:rsid w:val="00447946"/>
    <w:rsid w:val="00447C16"/>
    <w:rsid w:val="00450291"/>
    <w:rsid w:val="004502DB"/>
    <w:rsid w:val="004509BE"/>
    <w:rsid w:val="00450C6C"/>
    <w:rsid w:val="00451554"/>
    <w:rsid w:val="00451600"/>
    <w:rsid w:val="004517E2"/>
    <w:rsid w:val="00452002"/>
    <w:rsid w:val="00452694"/>
    <w:rsid w:val="004530BE"/>
    <w:rsid w:val="00453E83"/>
    <w:rsid w:val="0045412E"/>
    <w:rsid w:val="004546BB"/>
    <w:rsid w:val="00454B3F"/>
    <w:rsid w:val="004550E3"/>
    <w:rsid w:val="00455157"/>
    <w:rsid w:val="0045552F"/>
    <w:rsid w:val="0045590F"/>
    <w:rsid w:val="0045595B"/>
    <w:rsid w:val="00455BAB"/>
    <w:rsid w:val="00455CF6"/>
    <w:rsid w:val="00455F65"/>
    <w:rsid w:val="00456629"/>
    <w:rsid w:val="004566FA"/>
    <w:rsid w:val="00456C5F"/>
    <w:rsid w:val="0045702F"/>
    <w:rsid w:val="004574E0"/>
    <w:rsid w:val="004575AD"/>
    <w:rsid w:val="0045788A"/>
    <w:rsid w:val="004579AC"/>
    <w:rsid w:val="00457AD4"/>
    <w:rsid w:val="00457F41"/>
    <w:rsid w:val="00460062"/>
    <w:rsid w:val="004604C7"/>
    <w:rsid w:val="00460CFC"/>
    <w:rsid w:val="00460F3B"/>
    <w:rsid w:val="0046114C"/>
    <w:rsid w:val="004615F1"/>
    <w:rsid w:val="0046164D"/>
    <w:rsid w:val="00461A96"/>
    <w:rsid w:val="004632F2"/>
    <w:rsid w:val="004634C8"/>
    <w:rsid w:val="004635D0"/>
    <w:rsid w:val="004636F5"/>
    <w:rsid w:val="00463BAA"/>
    <w:rsid w:val="00463D50"/>
    <w:rsid w:val="004644F1"/>
    <w:rsid w:val="00466BFC"/>
    <w:rsid w:val="00467219"/>
    <w:rsid w:val="00467586"/>
    <w:rsid w:val="004708C9"/>
    <w:rsid w:val="00470F40"/>
    <w:rsid w:val="004724B2"/>
    <w:rsid w:val="0047254B"/>
    <w:rsid w:val="004728CE"/>
    <w:rsid w:val="00472FDE"/>
    <w:rsid w:val="004732AF"/>
    <w:rsid w:val="004733ED"/>
    <w:rsid w:val="00474AAF"/>
    <w:rsid w:val="00474D73"/>
    <w:rsid w:val="00474EF4"/>
    <w:rsid w:val="00475B28"/>
    <w:rsid w:val="00475FC5"/>
    <w:rsid w:val="0047628F"/>
    <w:rsid w:val="004768C6"/>
    <w:rsid w:val="00476EEC"/>
    <w:rsid w:val="00480972"/>
    <w:rsid w:val="00481264"/>
    <w:rsid w:val="00481E13"/>
    <w:rsid w:val="004825B0"/>
    <w:rsid w:val="004827BB"/>
    <w:rsid w:val="00482D0F"/>
    <w:rsid w:val="004838E5"/>
    <w:rsid w:val="00483A5B"/>
    <w:rsid w:val="0048428B"/>
    <w:rsid w:val="004842FD"/>
    <w:rsid w:val="00484C4F"/>
    <w:rsid w:val="00484CD3"/>
    <w:rsid w:val="00484EAA"/>
    <w:rsid w:val="0048542F"/>
    <w:rsid w:val="004855B6"/>
    <w:rsid w:val="00486797"/>
    <w:rsid w:val="00486925"/>
    <w:rsid w:val="00486CFD"/>
    <w:rsid w:val="00487342"/>
    <w:rsid w:val="00487394"/>
    <w:rsid w:val="00487B16"/>
    <w:rsid w:val="00487BFB"/>
    <w:rsid w:val="00487EC1"/>
    <w:rsid w:val="004900E1"/>
    <w:rsid w:val="0049154A"/>
    <w:rsid w:val="00491CA0"/>
    <w:rsid w:val="00491D67"/>
    <w:rsid w:val="00491FFC"/>
    <w:rsid w:val="0049320D"/>
    <w:rsid w:val="004934DB"/>
    <w:rsid w:val="004943BD"/>
    <w:rsid w:val="0049485D"/>
    <w:rsid w:val="00494CAE"/>
    <w:rsid w:val="0049502A"/>
    <w:rsid w:val="004951CD"/>
    <w:rsid w:val="004951DE"/>
    <w:rsid w:val="004954E1"/>
    <w:rsid w:val="004956A6"/>
    <w:rsid w:val="00495A15"/>
    <w:rsid w:val="00495B11"/>
    <w:rsid w:val="00496067"/>
    <w:rsid w:val="004961BF"/>
    <w:rsid w:val="00496228"/>
    <w:rsid w:val="00496B1D"/>
    <w:rsid w:val="00496C27"/>
    <w:rsid w:val="004973E5"/>
    <w:rsid w:val="0049770F"/>
    <w:rsid w:val="00497AEE"/>
    <w:rsid w:val="004A05C7"/>
    <w:rsid w:val="004A06AF"/>
    <w:rsid w:val="004A0E16"/>
    <w:rsid w:val="004A2BF0"/>
    <w:rsid w:val="004A3B59"/>
    <w:rsid w:val="004A3BAB"/>
    <w:rsid w:val="004A3CEB"/>
    <w:rsid w:val="004A4894"/>
    <w:rsid w:val="004A50CF"/>
    <w:rsid w:val="004A61ED"/>
    <w:rsid w:val="004A653D"/>
    <w:rsid w:val="004A6541"/>
    <w:rsid w:val="004A67AD"/>
    <w:rsid w:val="004A696B"/>
    <w:rsid w:val="004A6BFF"/>
    <w:rsid w:val="004A6EA6"/>
    <w:rsid w:val="004A7145"/>
    <w:rsid w:val="004A7798"/>
    <w:rsid w:val="004B011A"/>
    <w:rsid w:val="004B0F5C"/>
    <w:rsid w:val="004B175F"/>
    <w:rsid w:val="004B192C"/>
    <w:rsid w:val="004B21A8"/>
    <w:rsid w:val="004B233E"/>
    <w:rsid w:val="004B236E"/>
    <w:rsid w:val="004B276D"/>
    <w:rsid w:val="004B2848"/>
    <w:rsid w:val="004B29DC"/>
    <w:rsid w:val="004B2BA0"/>
    <w:rsid w:val="004B31F7"/>
    <w:rsid w:val="004B3BC9"/>
    <w:rsid w:val="004B3DD4"/>
    <w:rsid w:val="004B4B13"/>
    <w:rsid w:val="004B5559"/>
    <w:rsid w:val="004B6699"/>
    <w:rsid w:val="004B6C9D"/>
    <w:rsid w:val="004B6FCA"/>
    <w:rsid w:val="004B7332"/>
    <w:rsid w:val="004B75BF"/>
    <w:rsid w:val="004B763F"/>
    <w:rsid w:val="004B795A"/>
    <w:rsid w:val="004B7B6A"/>
    <w:rsid w:val="004B7C62"/>
    <w:rsid w:val="004B7FAB"/>
    <w:rsid w:val="004C0202"/>
    <w:rsid w:val="004C120F"/>
    <w:rsid w:val="004C148A"/>
    <w:rsid w:val="004C1659"/>
    <w:rsid w:val="004C1A82"/>
    <w:rsid w:val="004C239C"/>
    <w:rsid w:val="004C2F31"/>
    <w:rsid w:val="004C3661"/>
    <w:rsid w:val="004C456A"/>
    <w:rsid w:val="004C4FE5"/>
    <w:rsid w:val="004C576C"/>
    <w:rsid w:val="004C579B"/>
    <w:rsid w:val="004C579C"/>
    <w:rsid w:val="004C5985"/>
    <w:rsid w:val="004C5B56"/>
    <w:rsid w:val="004C6277"/>
    <w:rsid w:val="004C6D6E"/>
    <w:rsid w:val="004C7B02"/>
    <w:rsid w:val="004D0269"/>
    <w:rsid w:val="004D0A61"/>
    <w:rsid w:val="004D102D"/>
    <w:rsid w:val="004D1204"/>
    <w:rsid w:val="004D1A7C"/>
    <w:rsid w:val="004D3236"/>
    <w:rsid w:val="004D3410"/>
    <w:rsid w:val="004D35C5"/>
    <w:rsid w:val="004D4298"/>
    <w:rsid w:val="004D4E4A"/>
    <w:rsid w:val="004D570A"/>
    <w:rsid w:val="004D5945"/>
    <w:rsid w:val="004D5B51"/>
    <w:rsid w:val="004D65E4"/>
    <w:rsid w:val="004D69E1"/>
    <w:rsid w:val="004D6B32"/>
    <w:rsid w:val="004D7A5A"/>
    <w:rsid w:val="004D7E30"/>
    <w:rsid w:val="004E03B4"/>
    <w:rsid w:val="004E03E6"/>
    <w:rsid w:val="004E06CD"/>
    <w:rsid w:val="004E101D"/>
    <w:rsid w:val="004E110D"/>
    <w:rsid w:val="004E1252"/>
    <w:rsid w:val="004E1CD4"/>
    <w:rsid w:val="004E1E34"/>
    <w:rsid w:val="004E1EA4"/>
    <w:rsid w:val="004E1F06"/>
    <w:rsid w:val="004E2A0E"/>
    <w:rsid w:val="004E3182"/>
    <w:rsid w:val="004E3265"/>
    <w:rsid w:val="004E3415"/>
    <w:rsid w:val="004E34B2"/>
    <w:rsid w:val="004E39E0"/>
    <w:rsid w:val="004E3EB0"/>
    <w:rsid w:val="004E4061"/>
    <w:rsid w:val="004E4586"/>
    <w:rsid w:val="004E4949"/>
    <w:rsid w:val="004E4DF4"/>
    <w:rsid w:val="004E55C6"/>
    <w:rsid w:val="004E5779"/>
    <w:rsid w:val="004E5E78"/>
    <w:rsid w:val="004E5F45"/>
    <w:rsid w:val="004E6027"/>
    <w:rsid w:val="004E60E2"/>
    <w:rsid w:val="004E65FF"/>
    <w:rsid w:val="004E7064"/>
    <w:rsid w:val="004E73CB"/>
    <w:rsid w:val="004E7D1E"/>
    <w:rsid w:val="004F0364"/>
    <w:rsid w:val="004F13C8"/>
    <w:rsid w:val="004F13E4"/>
    <w:rsid w:val="004F1FDE"/>
    <w:rsid w:val="004F3570"/>
    <w:rsid w:val="004F38E7"/>
    <w:rsid w:val="004F3DE4"/>
    <w:rsid w:val="004F3EF3"/>
    <w:rsid w:val="004F42FD"/>
    <w:rsid w:val="004F482A"/>
    <w:rsid w:val="004F558C"/>
    <w:rsid w:val="004F56A2"/>
    <w:rsid w:val="004F5859"/>
    <w:rsid w:val="004F5A3A"/>
    <w:rsid w:val="004F5AA5"/>
    <w:rsid w:val="004F60B7"/>
    <w:rsid w:val="004F61FE"/>
    <w:rsid w:val="004F6368"/>
    <w:rsid w:val="004F6B72"/>
    <w:rsid w:val="004F6F38"/>
    <w:rsid w:val="004F7E81"/>
    <w:rsid w:val="004F7FB7"/>
    <w:rsid w:val="004F7FBE"/>
    <w:rsid w:val="0050024F"/>
    <w:rsid w:val="005010C8"/>
    <w:rsid w:val="005020E5"/>
    <w:rsid w:val="005021A6"/>
    <w:rsid w:val="0050240A"/>
    <w:rsid w:val="00502450"/>
    <w:rsid w:val="005028AE"/>
    <w:rsid w:val="00502A78"/>
    <w:rsid w:val="00502CDA"/>
    <w:rsid w:val="0050461E"/>
    <w:rsid w:val="00504B36"/>
    <w:rsid w:val="00504F72"/>
    <w:rsid w:val="005056FB"/>
    <w:rsid w:val="00505902"/>
    <w:rsid w:val="005073C7"/>
    <w:rsid w:val="005078C4"/>
    <w:rsid w:val="00510319"/>
    <w:rsid w:val="00510B50"/>
    <w:rsid w:val="00510C5A"/>
    <w:rsid w:val="00510CE4"/>
    <w:rsid w:val="00510E1F"/>
    <w:rsid w:val="00511150"/>
    <w:rsid w:val="005113E7"/>
    <w:rsid w:val="005113E8"/>
    <w:rsid w:val="00511A2B"/>
    <w:rsid w:val="0051233A"/>
    <w:rsid w:val="005129B5"/>
    <w:rsid w:val="00512F95"/>
    <w:rsid w:val="00513185"/>
    <w:rsid w:val="005132B8"/>
    <w:rsid w:val="0051419E"/>
    <w:rsid w:val="005141EE"/>
    <w:rsid w:val="005148AC"/>
    <w:rsid w:val="0051527A"/>
    <w:rsid w:val="0051531F"/>
    <w:rsid w:val="00515BCC"/>
    <w:rsid w:val="00516442"/>
    <w:rsid w:val="0051659E"/>
    <w:rsid w:val="00516C7B"/>
    <w:rsid w:val="00516F3A"/>
    <w:rsid w:val="0051763E"/>
    <w:rsid w:val="00521873"/>
    <w:rsid w:val="00522046"/>
    <w:rsid w:val="005220C9"/>
    <w:rsid w:val="00522ED8"/>
    <w:rsid w:val="005231F0"/>
    <w:rsid w:val="0052389F"/>
    <w:rsid w:val="0052396A"/>
    <w:rsid w:val="00524488"/>
    <w:rsid w:val="00525546"/>
    <w:rsid w:val="005265CC"/>
    <w:rsid w:val="00526B9C"/>
    <w:rsid w:val="005273AC"/>
    <w:rsid w:val="0052798C"/>
    <w:rsid w:val="005301B6"/>
    <w:rsid w:val="005302E9"/>
    <w:rsid w:val="00530A14"/>
    <w:rsid w:val="00531E06"/>
    <w:rsid w:val="005329C4"/>
    <w:rsid w:val="00532CF7"/>
    <w:rsid w:val="00533233"/>
    <w:rsid w:val="0053345D"/>
    <w:rsid w:val="0053395C"/>
    <w:rsid w:val="005341DC"/>
    <w:rsid w:val="005346B5"/>
    <w:rsid w:val="0053499D"/>
    <w:rsid w:val="0053513B"/>
    <w:rsid w:val="005354C4"/>
    <w:rsid w:val="00535E0A"/>
    <w:rsid w:val="00535E5D"/>
    <w:rsid w:val="00536009"/>
    <w:rsid w:val="00536578"/>
    <w:rsid w:val="00536A1C"/>
    <w:rsid w:val="005370F0"/>
    <w:rsid w:val="00537545"/>
    <w:rsid w:val="00540446"/>
    <w:rsid w:val="00540921"/>
    <w:rsid w:val="00540D2D"/>
    <w:rsid w:val="005421C6"/>
    <w:rsid w:val="00542919"/>
    <w:rsid w:val="00543316"/>
    <w:rsid w:val="00543DBC"/>
    <w:rsid w:val="0054425D"/>
    <w:rsid w:val="00544359"/>
    <w:rsid w:val="00545170"/>
    <w:rsid w:val="00545E68"/>
    <w:rsid w:val="00546994"/>
    <w:rsid w:val="00546C05"/>
    <w:rsid w:val="005470E2"/>
    <w:rsid w:val="00547587"/>
    <w:rsid w:val="00547F2F"/>
    <w:rsid w:val="005500A8"/>
    <w:rsid w:val="0055022C"/>
    <w:rsid w:val="0055036C"/>
    <w:rsid w:val="00550734"/>
    <w:rsid w:val="00550929"/>
    <w:rsid w:val="00551058"/>
    <w:rsid w:val="00552084"/>
    <w:rsid w:val="00552229"/>
    <w:rsid w:val="0055227F"/>
    <w:rsid w:val="005527DB"/>
    <w:rsid w:val="00552A98"/>
    <w:rsid w:val="00552C2F"/>
    <w:rsid w:val="00552E38"/>
    <w:rsid w:val="00553585"/>
    <w:rsid w:val="00553719"/>
    <w:rsid w:val="005539EB"/>
    <w:rsid w:val="00553C8D"/>
    <w:rsid w:val="00553CCA"/>
    <w:rsid w:val="00553F23"/>
    <w:rsid w:val="0055468C"/>
    <w:rsid w:val="00554C1B"/>
    <w:rsid w:val="00554C25"/>
    <w:rsid w:val="00554FDE"/>
    <w:rsid w:val="0055516D"/>
    <w:rsid w:val="00555344"/>
    <w:rsid w:val="0055576E"/>
    <w:rsid w:val="00555870"/>
    <w:rsid w:val="00555BC4"/>
    <w:rsid w:val="00555D36"/>
    <w:rsid w:val="005562CD"/>
    <w:rsid w:val="00556787"/>
    <w:rsid w:val="005567A9"/>
    <w:rsid w:val="00557074"/>
    <w:rsid w:val="00557A6D"/>
    <w:rsid w:val="00557B98"/>
    <w:rsid w:val="00557C8B"/>
    <w:rsid w:val="0056064C"/>
    <w:rsid w:val="005609F9"/>
    <w:rsid w:val="00560FBE"/>
    <w:rsid w:val="00560FE9"/>
    <w:rsid w:val="00561A22"/>
    <w:rsid w:val="00561D1D"/>
    <w:rsid w:val="00562236"/>
    <w:rsid w:val="0056258F"/>
    <w:rsid w:val="0056303B"/>
    <w:rsid w:val="005637B2"/>
    <w:rsid w:val="005638D7"/>
    <w:rsid w:val="005638E5"/>
    <w:rsid w:val="005649B6"/>
    <w:rsid w:val="0056512B"/>
    <w:rsid w:val="00565522"/>
    <w:rsid w:val="005656F3"/>
    <w:rsid w:val="00565E9B"/>
    <w:rsid w:val="005662D4"/>
    <w:rsid w:val="0056668E"/>
    <w:rsid w:val="00567170"/>
    <w:rsid w:val="005671CA"/>
    <w:rsid w:val="005675F8"/>
    <w:rsid w:val="00570858"/>
    <w:rsid w:val="005714CD"/>
    <w:rsid w:val="00571D6B"/>
    <w:rsid w:val="00571E30"/>
    <w:rsid w:val="005728F7"/>
    <w:rsid w:val="00572E89"/>
    <w:rsid w:val="005730D5"/>
    <w:rsid w:val="00573531"/>
    <w:rsid w:val="005738C8"/>
    <w:rsid w:val="00573AC9"/>
    <w:rsid w:val="00573B15"/>
    <w:rsid w:val="00573EA2"/>
    <w:rsid w:val="005742A9"/>
    <w:rsid w:val="00574D82"/>
    <w:rsid w:val="00575104"/>
    <w:rsid w:val="00575B26"/>
    <w:rsid w:val="00575E6E"/>
    <w:rsid w:val="00576167"/>
    <w:rsid w:val="0057624E"/>
    <w:rsid w:val="005770D6"/>
    <w:rsid w:val="00577365"/>
    <w:rsid w:val="00577F04"/>
    <w:rsid w:val="00580A77"/>
    <w:rsid w:val="00580F1A"/>
    <w:rsid w:val="00580F4C"/>
    <w:rsid w:val="005812B9"/>
    <w:rsid w:val="005817CB"/>
    <w:rsid w:val="00581CBE"/>
    <w:rsid w:val="005822E6"/>
    <w:rsid w:val="005825DF"/>
    <w:rsid w:val="005826D0"/>
    <w:rsid w:val="00582E84"/>
    <w:rsid w:val="00582FDD"/>
    <w:rsid w:val="00583434"/>
    <w:rsid w:val="005835E7"/>
    <w:rsid w:val="00583C12"/>
    <w:rsid w:val="0058516D"/>
    <w:rsid w:val="0058666D"/>
    <w:rsid w:val="00590E5A"/>
    <w:rsid w:val="0059115F"/>
    <w:rsid w:val="0059149B"/>
    <w:rsid w:val="00591676"/>
    <w:rsid w:val="00591730"/>
    <w:rsid w:val="00591F3F"/>
    <w:rsid w:val="0059212E"/>
    <w:rsid w:val="0059228C"/>
    <w:rsid w:val="00592296"/>
    <w:rsid w:val="00592B2E"/>
    <w:rsid w:val="00593888"/>
    <w:rsid w:val="00593CC2"/>
    <w:rsid w:val="00594093"/>
    <w:rsid w:val="0059411A"/>
    <w:rsid w:val="00594233"/>
    <w:rsid w:val="005945EA"/>
    <w:rsid w:val="00595517"/>
    <w:rsid w:val="00595D62"/>
    <w:rsid w:val="00596489"/>
    <w:rsid w:val="00596B78"/>
    <w:rsid w:val="00596D19"/>
    <w:rsid w:val="00597098"/>
    <w:rsid w:val="00597C0E"/>
    <w:rsid w:val="00597EC8"/>
    <w:rsid w:val="005A0047"/>
    <w:rsid w:val="005A039C"/>
    <w:rsid w:val="005A0400"/>
    <w:rsid w:val="005A0488"/>
    <w:rsid w:val="005A0B38"/>
    <w:rsid w:val="005A0F9D"/>
    <w:rsid w:val="005A106A"/>
    <w:rsid w:val="005A1237"/>
    <w:rsid w:val="005A149D"/>
    <w:rsid w:val="005A1980"/>
    <w:rsid w:val="005A1A3E"/>
    <w:rsid w:val="005A1A76"/>
    <w:rsid w:val="005A201D"/>
    <w:rsid w:val="005A28CE"/>
    <w:rsid w:val="005A2D56"/>
    <w:rsid w:val="005A310D"/>
    <w:rsid w:val="005A3AF3"/>
    <w:rsid w:val="005A3C21"/>
    <w:rsid w:val="005A3E70"/>
    <w:rsid w:val="005A4071"/>
    <w:rsid w:val="005A4A2A"/>
    <w:rsid w:val="005A5308"/>
    <w:rsid w:val="005A596D"/>
    <w:rsid w:val="005A68CA"/>
    <w:rsid w:val="005A6B88"/>
    <w:rsid w:val="005A7030"/>
    <w:rsid w:val="005A7929"/>
    <w:rsid w:val="005B0913"/>
    <w:rsid w:val="005B0A65"/>
    <w:rsid w:val="005B0D33"/>
    <w:rsid w:val="005B2740"/>
    <w:rsid w:val="005B3E5B"/>
    <w:rsid w:val="005B4127"/>
    <w:rsid w:val="005B43CF"/>
    <w:rsid w:val="005B4D87"/>
    <w:rsid w:val="005B4DED"/>
    <w:rsid w:val="005B5254"/>
    <w:rsid w:val="005B5742"/>
    <w:rsid w:val="005B575E"/>
    <w:rsid w:val="005B5B58"/>
    <w:rsid w:val="005B5EF6"/>
    <w:rsid w:val="005B6915"/>
    <w:rsid w:val="005B6B2A"/>
    <w:rsid w:val="005B6F47"/>
    <w:rsid w:val="005C01E4"/>
    <w:rsid w:val="005C0577"/>
    <w:rsid w:val="005C0B4C"/>
    <w:rsid w:val="005C0EAE"/>
    <w:rsid w:val="005C0EC3"/>
    <w:rsid w:val="005C1697"/>
    <w:rsid w:val="005C1987"/>
    <w:rsid w:val="005C201D"/>
    <w:rsid w:val="005C3440"/>
    <w:rsid w:val="005C4F85"/>
    <w:rsid w:val="005C500C"/>
    <w:rsid w:val="005C50E0"/>
    <w:rsid w:val="005C513F"/>
    <w:rsid w:val="005C555C"/>
    <w:rsid w:val="005C58D3"/>
    <w:rsid w:val="005C5FB4"/>
    <w:rsid w:val="005C615D"/>
    <w:rsid w:val="005C66B0"/>
    <w:rsid w:val="005C6F2E"/>
    <w:rsid w:val="005C6F97"/>
    <w:rsid w:val="005C7771"/>
    <w:rsid w:val="005C79E4"/>
    <w:rsid w:val="005D05BB"/>
    <w:rsid w:val="005D07C6"/>
    <w:rsid w:val="005D1B1D"/>
    <w:rsid w:val="005D1BEC"/>
    <w:rsid w:val="005D1E1D"/>
    <w:rsid w:val="005D1EF8"/>
    <w:rsid w:val="005D2851"/>
    <w:rsid w:val="005D2A6D"/>
    <w:rsid w:val="005D338C"/>
    <w:rsid w:val="005D4D1E"/>
    <w:rsid w:val="005D4EE8"/>
    <w:rsid w:val="005D575C"/>
    <w:rsid w:val="005D586C"/>
    <w:rsid w:val="005D696D"/>
    <w:rsid w:val="005D6B94"/>
    <w:rsid w:val="005D6E35"/>
    <w:rsid w:val="005D7039"/>
    <w:rsid w:val="005D74F4"/>
    <w:rsid w:val="005D7513"/>
    <w:rsid w:val="005D7A40"/>
    <w:rsid w:val="005D7ABE"/>
    <w:rsid w:val="005E0213"/>
    <w:rsid w:val="005E02AF"/>
    <w:rsid w:val="005E0994"/>
    <w:rsid w:val="005E0F19"/>
    <w:rsid w:val="005E146F"/>
    <w:rsid w:val="005E14D8"/>
    <w:rsid w:val="005E1EC4"/>
    <w:rsid w:val="005E22C9"/>
    <w:rsid w:val="005E2956"/>
    <w:rsid w:val="005E2A21"/>
    <w:rsid w:val="005E3168"/>
    <w:rsid w:val="005E355C"/>
    <w:rsid w:val="005E359B"/>
    <w:rsid w:val="005E3B4C"/>
    <w:rsid w:val="005E3FA4"/>
    <w:rsid w:val="005E42B8"/>
    <w:rsid w:val="005E432B"/>
    <w:rsid w:val="005E5377"/>
    <w:rsid w:val="005E5B4B"/>
    <w:rsid w:val="005E5ECA"/>
    <w:rsid w:val="005E679B"/>
    <w:rsid w:val="005E6991"/>
    <w:rsid w:val="005E729D"/>
    <w:rsid w:val="005E7851"/>
    <w:rsid w:val="005E7CBC"/>
    <w:rsid w:val="005E7D26"/>
    <w:rsid w:val="005F0A98"/>
    <w:rsid w:val="005F16EB"/>
    <w:rsid w:val="005F2326"/>
    <w:rsid w:val="005F2EC7"/>
    <w:rsid w:val="005F4C3D"/>
    <w:rsid w:val="005F4CB7"/>
    <w:rsid w:val="005F4E12"/>
    <w:rsid w:val="005F4FED"/>
    <w:rsid w:val="005F5559"/>
    <w:rsid w:val="005F7154"/>
    <w:rsid w:val="005F7379"/>
    <w:rsid w:val="005F75BE"/>
    <w:rsid w:val="005F7EA5"/>
    <w:rsid w:val="0060007A"/>
    <w:rsid w:val="00600C4F"/>
    <w:rsid w:val="00601213"/>
    <w:rsid w:val="00601F94"/>
    <w:rsid w:val="00602006"/>
    <w:rsid w:val="00602239"/>
    <w:rsid w:val="00602307"/>
    <w:rsid w:val="00602674"/>
    <w:rsid w:val="00602779"/>
    <w:rsid w:val="00602A52"/>
    <w:rsid w:val="00603303"/>
    <w:rsid w:val="00604058"/>
    <w:rsid w:val="006041EF"/>
    <w:rsid w:val="00604BA8"/>
    <w:rsid w:val="006051EC"/>
    <w:rsid w:val="006052DF"/>
    <w:rsid w:val="00605727"/>
    <w:rsid w:val="00605E26"/>
    <w:rsid w:val="00605F46"/>
    <w:rsid w:val="00606F54"/>
    <w:rsid w:val="00607BF0"/>
    <w:rsid w:val="00610498"/>
    <w:rsid w:val="006106EF"/>
    <w:rsid w:val="0061080C"/>
    <w:rsid w:val="00611221"/>
    <w:rsid w:val="00611C3C"/>
    <w:rsid w:val="00612082"/>
    <w:rsid w:val="0061221E"/>
    <w:rsid w:val="0061251A"/>
    <w:rsid w:val="006133D8"/>
    <w:rsid w:val="00613DA8"/>
    <w:rsid w:val="00613DAD"/>
    <w:rsid w:val="006141B9"/>
    <w:rsid w:val="006146F5"/>
    <w:rsid w:val="00614CE5"/>
    <w:rsid w:val="0061539B"/>
    <w:rsid w:val="0061558C"/>
    <w:rsid w:val="00615AD7"/>
    <w:rsid w:val="00615F53"/>
    <w:rsid w:val="006161C5"/>
    <w:rsid w:val="006204D0"/>
    <w:rsid w:val="00620F5B"/>
    <w:rsid w:val="0062122E"/>
    <w:rsid w:val="00621ADD"/>
    <w:rsid w:val="006221E4"/>
    <w:rsid w:val="00622257"/>
    <w:rsid w:val="00622730"/>
    <w:rsid w:val="006227D3"/>
    <w:rsid w:val="00622A90"/>
    <w:rsid w:val="00622C12"/>
    <w:rsid w:val="00622DB3"/>
    <w:rsid w:val="0062335E"/>
    <w:rsid w:val="00624228"/>
    <w:rsid w:val="00624409"/>
    <w:rsid w:val="00624AB1"/>
    <w:rsid w:val="00624D82"/>
    <w:rsid w:val="00624D89"/>
    <w:rsid w:val="006251DD"/>
    <w:rsid w:val="00625623"/>
    <w:rsid w:val="00625823"/>
    <w:rsid w:val="00625BD3"/>
    <w:rsid w:val="00625EAA"/>
    <w:rsid w:val="0062665C"/>
    <w:rsid w:val="00627591"/>
    <w:rsid w:val="006276E8"/>
    <w:rsid w:val="00627999"/>
    <w:rsid w:val="00627BA9"/>
    <w:rsid w:val="00627C81"/>
    <w:rsid w:val="0063059F"/>
    <w:rsid w:val="00630D4D"/>
    <w:rsid w:val="00630E43"/>
    <w:rsid w:val="0063127C"/>
    <w:rsid w:val="006313E0"/>
    <w:rsid w:val="00631C88"/>
    <w:rsid w:val="0063239C"/>
    <w:rsid w:val="006326D5"/>
    <w:rsid w:val="006328A4"/>
    <w:rsid w:val="00632EC0"/>
    <w:rsid w:val="006331E9"/>
    <w:rsid w:val="006338E4"/>
    <w:rsid w:val="00633A77"/>
    <w:rsid w:val="00633BDD"/>
    <w:rsid w:val="00633EF2"/>
    <w:rsid w:val="00634A84"/>
    <w:rsid w:val="00635AE6"/>
    <w:rsid w:val="00635F10"/>
    <w:rsid w:val="00637227"/>
    <w:rsid w:val="00637357"/>
    <w:rsid w:val="006374CA"/>
    <w:rsid w:val="006379AD"/>
    <w:rsid w:val="00637AA4"/>
    <w:rsid w:val="006412DD"/>
    <w:rsid w:val="00641B55"/>
    <w:rsid w:val="00641B5F"/>
    <w:rsid w:val="00641BE9"/>
    <w:rsid w:val="00641C43"/>
    <w:rsid w:val="00641EF3"/>
    <w:rsid w:val="0064207C"/>
    <w:rsid w:val="00642165"/>
    <w:rsid w:val="006421A3"/>
    <w:rsid w:val="00642894"/>
    <w:rsid w:val="00642B98"/>
    <w:rsid w:val="00642FAD"/>
    <w:rsid w:val="006435E4"/>
    <w:rsid w:val="00644067"/>
    <w:rsid w:val="00644D2D"/>
    <w:rsid w:val="00645454"/>
    <w:rsid w:val="00645497"/>
    <w:rsid w:val="006455B9"/>
    <w:rsid w:val="00645A65"/>
    <w:rsid w:val="00645F18"/>
    <w:rsid w:val="006460E2"/>
    <w:rsid w:val="00646380"/>
    <w:rsid w:val="0064666B"/>
    <w:rsid w:val="006468C8"/>
    <w:rsid w:val="006468F1"/>
    <w:rsid w:val="00646C88"/>
    <w:rsid w:val="00650FF4"/>
    <w:rsid w:val="0065132F"/>
    <w:rsid w:val="00651352"/>
    <w:rsid w:val="006517DB"/>
    <w:rsid w:val="00651CFB"/>
    <w:rsid w:val="00651EB5"/>
    <w:rsid w:val="00653390"/>
    <w:rsid w:val="00653A00"/>
    <w:rsid w:val="00654981"/>
    <w:rsid w:val="00654B3F"/>
    <w:rsid w:val="006552C9"/>
    <w:rsid w:val="00655A12"/>
    <w:rsid w:val="00655AA6"/>
    <w:rsid w:val="00655D7A"/>
    <w:rsid w:val="00656330"/>
    <w:rsid w:val="006569E3"/>
    <w:rsid w:val="00656DFA"/>
    <w:rsid w:val="006570C6"/>
    <w:rsid w:val="006573B4"/>
    <w:rsid w:val="00657972"/>
    <w:rsid w:val="00661887"/>
    <w:rsid w:val="006619EE"/>
    <w:rsid w:val="006630AA"/>
    <w:rsid w:val="00663292"/>
    <w:rsid w:val="00663F2E"/>
    <w:rsid w:val="00665AC6"/>
    <w:rsid w:val="0066653B"/>
    <w:rsid w:val="006700F2"/>
    <w:rsid w:val="00670DEB"/>
    <w:rsid w:val="00671172"/>
    <w:rsid w:val="006713C6"/>
    <w:rsid w:val="00672020"/>
    <w:rsid w:val="0067339B"/>
    <w:rsid w:val="00673FFE"/>
    <w:rsid w:val="0067421E"/>
    <w:rsid w:val="00674FBA"/>
    <w:rsid w:val="0067636B"/>
    <w:rsid w:val="0067672A"/>
    <w:rsid w:val="00676B9F"/>
    <w:rsid w:val="0067768C"/>
    <w:rsid w:val="00677EA3"/>
    <w:rsid w:val="006801B7"/>
    <w:rsid w:val="00680F31"/>
    <w:rsid w:val="006814D7"/>
    <w:rsid w:val="00681A88"/>
    <w:rsid w:val="00681FFE"/>
    <w:rsid w:val="00682059"/>
    <w:rsid w:val="006826D6"/>
    <w:rsid w:val="006827D4"/>
    <w:rsid w:val="006829DE"/>
    <w:rsid w:val="00682B80"/>
    <w:rsid w:val="00683012"/>
    <w:rsid w:val="00683BE0"/>
    <w:rsid w:val="00683C34"/>
    <w:rsid w:val="0068471D"/>
    <w:rsid w:val="00684E66"/>
    <w:rsid w:val="00684F9E"/>
    <w:rsid w:val="00685555"/>
    <w:rsid w:val="006859F8"/>
    <w:rsid w:val="00685FB0"/>
    <w:rsid w:val="0068688B"/>
    <w:rsid w:val="00686A17"/>
    <w:rsid w:val="00686C0D"/>
    <w:rsid w:val="0068742B"/>
    <w:rsid w:val="00687AEE"/>
    <w:rsid w:val="006906F8"/>
    <w:rsid w:val="00690905"/>
    <w:rsid w:val="006909FF"/>
    <w:rsid w:val="00690AB8"/>
    <w:rsid w:val="00690F0C"/>
    <w:rsid w:val="006910CB"/>
    <w:rsid w:val="006915DE"/>
    <w:rsid w:val="006919E9"/>
    <w:rsid w:val="00691CC8"/>
    <w:rsid w:val="00692421"/>
    <w:rsid w:val="00692C83"/>
    <w:rsid w:val="00692EDD"/>
    <w:rsid w:val="00693B91"/>
    <w:rsid w:val="00694356"/>
    <w:rsid w:val="00694F7B"/>
    <w:rsid w:val="006955A2"/>
    <w:rsid w:val="006956AE"/>
    <w:rsid w:val="00695705"/>
    <w:rsid w:val="006959C4"/>
    <w:rsid w:val="00695A9C"/>
    <w:rsid w:val="00697187"/>
    <w:rsid w:val="006971C8"/>
    <w:rsid w:val="00697826"/>
    <w:rsid w:val="006979CD"/>
    <w:rsid w:val="00697A95"/>
    <w:rsid w:val="00697F15"/>
    <w:rsid w:val="006A058F"/>
    <w:rsid w:val="006A07FA"/>
    <w:rsid w:val="006A0AE8"/>
    <w:rsid w:val="006A0B4E"/>
    <w:rsid w:val="006A0F1B"/>
    <w:rsid w:val="006A19A2"/>
    <w:rsid w:val="006A1E4F"/>
    <w:rsid w:val="006A214C"/>
    <w:rsid w:val="006A34BF"/>
    <w:rsid w:val="006A3900"/>
    <w:rsid w:val="006A3B64"/>
    <w:rsid w:val="006A4531"/>
    <w:rsid w:val="006A51AE"/>
    <w:rsid w:val="006A5318"/>
    <w:rsid w:val="006A534D"/>
    <w:rsid w:val="006A5519"/>
    <w:rsid w:val="006A5DD8"/>
    <w:rsid w:val="006A602E"/>
    <w:rsid w:val="006A6263"/>
    <w:rsid w:val="006A76A9"/>
    <w:rsid w:val="006A7998"/>
    <w:rsid w:val="006A79EE"/>
    <w:rsid w:val="006A7A35"/>
    <w:rsid w:val="006B011E"/>
    <w:rsid w:val="006B0338"/>
    <w:rsid w:val="006B0BFF"/>
    <w:rsid w:val="006B0E14"/>
    <w:rsid w:val="006B18AB"/>
    <w:rsid w:val="006B1B96"/>
    <w:rsid w:val="006B2668"/>
    <w:rsid w:val="006B2BE4"/>
    <w:rsid w:val="006B39C1"/>
    <w:rsid w:val="006B3B0F"/>
    <w:rsid w:val="006B403F"/>
    <w:rsid w:val="006B40BF"/>
    <w:rsid w:val="006B491C"/>
    <w:rsid w:val="006B5491"/>
    <w:rsid w:val="006B58F8"/>
    <w:rsid w:val="006B6175"/>
    <w:rsid w:val="006B6FF4"/>
    <w:rsid w:val="006B7061"/>
    <w:rsid w:val="006B75C4"/>
    <w:rsid w:val="006B77E6"/>
    <w:rsid w:val="006C07F8"/>
    <w:rsid w:val="006C0B0F"/>
    <w:rsid w:val="006C12F4"/>
    <w:rsid w:val="006C1A28"/>
    <w:rsid w:val="006C2B70"/>
    <w:rsid w:val="006C2FE5"/>
    <w:rsid w:val="006C3419"/>
    <w:rsid w:val="006C3799"/>
    <w:rsid w:val="006C48B7"/>
    <w:rsid w:val="006C4B7D"/>
    <w:rsid w:val="006C4D97"/>
    <w:rsid w:val="006C59E7"/>
    <w:rsid w:val="006C5CC4"/>
    <w:rsid w:val="006C63EB"/>
    <w:rsid w:val="006C6D04"/>
    <w:rsid w:val="006C71ED"/>
    <w:rsid w:val="006C7820"/>
    <w:rsid w:val="006C792E"/>
    <w:rsid w:val="006C7AD5"/>
    <w:rsid w:val="006C7D98"/>
    <w:rsid w:val="006D0253"/>
    <w:rsid w:val="006D06BE"/>
    <w:rsid w:val="006D0EEB"/>
    <w:rsid w:val="006D1004"/>
    <w:rsid w:val="006D1519"/>
    <w:rsid w:val="006D1DE5"/>
    <w:rsid w:val="006D1E8C"/>
    <w:rsid w:val="006D23F2"/>
    <w:rsid w:val="006D2E60"/>
    <w:rsid w:val="006D35B1"/>
    <w:rsid w:val="006D38B4"/>
    <w:rsid w:val="006D3C9A"/>
    <w:rsid w:val="006D3D8F"/>
    <w:rsid w:val="006D40AB"/>
    <w:rsid w:val="006D5861"/>
    <w:rsid w:val="006D654F"/>
    <w:rsid w:val="006D6B7E"/>
    <w:rsid w:val="006D6D06"/>
    <w:rsid w:val="006D6FC8"/>
    <w:rsid w:val="006D7914"/>
    <w:rsid w:val="006D7AAE"/>
    <w:rsid w:val="006E0454"/>
    <w:rsid w:val="006E0A74"/>
    <w:rsid w:val="006E0A98"/>
    <w:rsid w:val="006E10B3"/>
    <w:rsid w:val="006E1E1C"/>
    <w:rsid w:val="006E241D"/>
    <w:rsid w:val="006E3046"/>
    <w:rsid w:val="006E310C"/>
    <w:rsid w:val="006E33BA"/>
    <w:rsid w:val="006E3B3A"/>
    <w:rsid w:val="006E466C"/>
    <w:rsid w:val="006E48DE"/>
    <w:rsid w:val="006E4912"/>
    <w:rsid w:val="006E4BE4"/>
    <w:rsid w:val="006E5132"/>
    <w:rsid w:val="006E60CF"/>
    <w:rsid w:val="006E67E8"/>
    <w:rsid w:val="006E7062"/>
    <w:rsid w:val="006E75D1"/>
    <w:rsid w:val="006E7B55"/>
    <w:rsid w:val="006E7B5B"/>
    <w:rsid w:val="006F0261"/>
    <w:rsid w:val="006F02D6"/>
    <w:rsid w:val="006F0EA1"/>
    <w:rsid w:val="006F108A"/>
    <w:rsid w:val="006F12CA"/>
    <w:rsid w:val="006F1B00"/>
    <w:rsid w:val="006F3847"/>
    <w:rsid w:val="006F385E"/>
    <w:rsid w:val="006F3985"/>
    <w:rsid w:val="006F3B95"/>
    <w:rsid w:val="006F3D14"/>
    <w:rsid w:val="006F42D4"/>
    <w:rsid w:val="006F44D4"/>
    <w:rsid w:val="006F4699"/>
    <w:rsid w:val="006F478A"/>
    <w:rsid w:val="006F52A5"/>
    <w:rsid w:val="006F5989"/>
    <w:rsid w:val="006F5DD4"/>
    <w:rsid w:val="006F5DFE"/>
    <w:rsid w:val="006F61A5"/>
    <w:rsid w:val="006F6215"/>
    <w:rsid w:val="006F690C"/>
    <w:rsid w:val="006F7516"/>
    <w:rsid w:val="00700E9A"/>
    <w:rsid w:val="00701212"/>
    <w:rsid w:val="00701465"/>
    <w:rsid w:val="00701A98"/>
    <w:rsid w:val="00701CA7"/>
    <w:rsid w:val="007036D7"/>
    <w:rsid w:val="00703780"/>
    <w:rsid w:val="007038EB"/>
    <w:rsid w:val="00703EFC"/>
    <w:rsid w:val="00704321"/>
    <w:rsid w:val="007046BE"/>
    <w:rsid w:val="00704C27"/>
    <w:rsid w:val="007050D6"/>
    <w:rsid w:val="00705C48"/>
    <w:rsid w:val="00705DF7"/>
    <w:rsid w:val="00705E7B"/>
    <w:rsid w:val="007060A5"/>
    <w:rsid w:val="007074FB"/>
    <w:rsid w:val="00707A2B"/>
    <w:rsid w:val="00707BD1"/>
    <w:rsid w:val="00707C7F"/>
    <w:rsid w:val="0071050A"/>
    <w:rsid w:val="007106E8"/>
    <w:rsid w:val="0071089A"/>
    <w:rsid w:val="00710E4C"/>
    <w:rsid w:val="00711FE7"/>
    <w:rsid w:val="0071207A"/>
    <w:rsid w:val="00712342"/>
    <w:rsid w:val="00713A1A"/>
    <w:rsid w:val="00713BAD"/>
    <w:rsid w:val="007141C1"/>
    <w:rsid w:val="00714D1E"/>
    <w:rsid w:val="00714F7A"/>
    <w:rsid w:val="0071570A"/>
    <w:rsid w:val="00715CD0"/>
    <w:rsid w:val="00716BD0"/>
    <w:rsid w:val="00716BDB"/>
    <w:rsid w:val="007176A2"/>
    <w:rsid w:val="00717CB5"/>
    <w:rsid w:val="007200F3"/>
    <w:rsid w:val="007200FF"/>
    <w:rsid w:val="00720522"/>
    <w:rsid w:val="007212B9"/>
    <w:rsid w:val="007222ED"/>
    <w:rsid w:val="00722945"/>
    <w:rsid w:val="0072319E"/>
    <w:rsid w:val="00724504"/>
    <w:rsid w:val="007245AD"/>
    <w:rsid w:val="00724C70"/>
    <w:rsid w:val="00726051"/>
    <w:rsid w:val="00726296"/>
    <w:rsid w:val="007262AC"/>
    <w:rsid w:val="0072688B"/>
    <w:rsid w:val="00726CAE"/>
    <w:rsid w:val="0072736F"/>
    <w:rsid w:val="00727871"/>
    <w:rsid w:val="007278F6"/>
    <w:rsid w:val="00727A58"/>
    <w:rsid w:val="00730397"/>
    <w:rsid w:val="00730780"/>
    <w:rsid w:val="00730C44"/>
    <w:rsid w:val="007316D2"/>
    <w:rsid w:val="0073198B"/>
    <w:rsid w:val="00731C9D"/>
    <w:rsid w:val="00732CA0"/>
    <w:rsid w:val="00733789"/>
    <w:rsid w:val="00734217"/>
    <w:rsid w:val="00734340"/>
    <w:rsid w:val="0073495B"/>
    <w:rsid w:val="00734B42"/>
    <w:rsid w:val="00734D23"/>
    <w:rsid w:val="0073547A"/>
    <w:rsid w:val="007355A0"/>
    <w:rsid w:val="00736028"/>
    <w:rsid w:val="00736065"/>
    <w:rsid w:val="00736261"/>
    <w:rsid w:val="00737089"/>
    <w:rsid w:val="00737918"/>
    <w:rsid w:val="00737A53"/>
    <w:rsid w:val="007405EC"/>
    <w:rsid w:val="00740DDE"/>
    <w:rsid w:val="007411EE"/>
    <w:rsid w:val="0074145D"/>
    <w:rsid w:val="00742058"/>
    <w:rsid w:val="00742CF3"/>
    <w:rsid w:val="00742E77"/>
    <w:rsid w:val="0074322C"/>
    <w:rsid w:val="00743370"/>
    <w:rsid w:val="00743466"/>
    <w:rsid w:val="00743E64"/>
    <w:rsid w:val="0074551F"/>
    <w:rsid w:val="00745666"/>
    <w:rsid w:val="0074568D"/>
    <w:rsid w:val="0074619B"/>
    <w:rsid w:val="007471FD"/>
    <w:rsid w:val="00747402"/>
    <w:rsid w:val="0074764F"/>
    <w:rsid w:val="00747DF3"/>
    <w:rsid w:val="00750FFA"/>
    <w:rsid w:val="0075108C"/>
    <w:rsid w:val="0075127E"/>
    <w:rsid w:val="00751B5E"/>
    <w:rsid w:val="00751EA3"/>
    <w:rsid w:val="00752444"/>
    <w:rsid w:val="00752DFC"/>
    <w:rsid w:val="00752EC5"/>
    <w:rsid w:val="0075327F"/>
    <w:rsid w:val="0075521A"/>
    <w:rsid w:val="007563B8"/>
    <w:rsid w:val="00756538"/>
    <w:rsid w:val="007568AF"/>
    <w:rsid w:val="00757A7A"/>
    <w:rsid w:val="00760CA0"/>
    <w:rsid w:val="00761570"/>
    <w:rsid w:val="0076181A"/>
    <w:rsid w:val="00761EDD"/>
    <w:rsid w:val="00762349"/>
    <w:rsid w:val="00762DFC"/>
    <w:rsid w:val="00763062"/>
    <w:rsid w:val="007634E9"/>
    <w:rsid w:val="007649CF"/>
    <w:rsid w:val="00764E05"/>
    <w:rsid w:val="00764E27"/>
    <w:rsid w:val="007651FC"/>
    <w:rsid w:val="007656C0"/>
    <w:rsid w:val="00765F7B"/>
    <w:rsid w:val="007664F1"/>
    <w:rsid w:val="007665C8"/>
    <w:rsid w:val="00766741"/>
    <w:rsid w:val="00767E76"/>
    <w:rsid w:val="00771171"/>
    <w:rsid w:val="007712B3"/>
    <w:rsid w:val="00771D0C"/>
    <w:rsid w:val="00772C72"/>
    <w:rsid w:val="00772DE1"/>
    <w:rsid w:val="00772E71"/>
    <w:rsid w:val="00772FB4"/>
    <w:rsid w:val="0077325D"/>
    <w:rsid w:val="00773B32"/>
    <w:rsid w:val="00773ED5"/>
    <w:rsid w:val="00775A02"/>
    <w:rsid w:val="00775C54"/>
    <w:rsid w:val="00775D50"/>
    <w:rsid w:val="00775F73"/>
    <w:rsid w:val="0077626F"/>
    <w:rsid w:val="007771C8"/>
    <w:rsid w:val="00777B22"/>
    <w:rsid w:val="00777CFC"/>
    <w:rsid w:val="00780146"/>
    <w:rsid w:val="007808B2"/>
    <w:rsid w:val="00780A68"/>
    <w:rsid w:val="00780D86"/>
    <w:rsid w:val="00781134"/>
    <w:rsid w:val="00782899"/>
    <w:rsid w:val="00782CE0"/>
    <w:rsid w:val="0078305C"/>
    <w:rsid w:val="007833EB"/>
    <w:rsid w:val="00783438"/>
    <w:rsid w:val="0078345C"/>
    <w:rsid w:val="0078384D"/>
    <w:rsid w:val="007838A4"/>
    <w:rsid w:val="00783953"/>
    <w:rsid w:val="00783D1F"/>
    <w:rsid w:val="007848B0"/>
    <w:rsid w:val="00784989"/>
    <w:rsid w:val="00784B1B"/>
    <w:rsid w:val="007852E7"/>
    <w:rsid w:val="0078552D"/>
    <w:rsid w:val="00785927"/>
    <w:rsid w:val="00785A7C"/>
    <w:rsid w:val="0078615A"/>
    <w:rsid w:val="00786B94"/>
    <w:rsid w:val="00787BCC"/>
    <w:rsid w:val="007901A8"/>
    <w:rsid w:val="0079273F"/>
    <w:rsid w:val="00792B38"/>
    <w:rsid w:val="00792E08"/>
    <w:rsid w:val="007931C6"/>
    <w:rsid w:val="00793360"/>
    <w:rsid w:val="00793ABF"/>
    <w:rsid w:val="00793CF9"/>
    <w:rsid w:val="007947EF"/>
    <w:rsid w:val="00794BD3"/>
    <w:rsid w:val="00795007"/>
    <w:rsid w:val="00795D42"/>
    <w:rsid w:val="00795D59"/>
    <w:rsid w:val="00796755"/>
    <w:rsid w:val="00796A0E"/>
    <w:rsid w:val="00796BD0"/>
    <w:rsid w:val="00797178"/>
    <w:rsid w:val="007978AC"/>
    <w:rsid w:val="00797D71"/>
    <w:rsid w:val="007A0752"/>
    <w:rsid w:val="007A0909"/>
    <w:rsid w:val="007A0B89"/>
    <w:rsid w:val="007A0C68"/>
    <w:rsid w:val="007A1AD6"/>
    <w:rsid w:val="007A34DE"/>
    <w:rsid w:val="007A3BCE"/>
    <w:rsid w:val="007A3C06"/>
    <w:rsid w:val="007A3E91"/>
    <w:rsid w:val="007A404E"/>
    <w:rsid w:val="007A4059"/>
    <w:rsid w:val="007A4403"/>
    <w:rsid w:val="007A44D5"/>
    <w:rsid w:val="007A44E0"/>
    <w:rsid w:val="007A4792"/>
    <w:rsid w:val="007A6607"/>
    <w:rsid w:val="007A690F"/>
    <w:rsid w:val="007A73A0"/>
    <w:rsid w:val="007A73A5"/>
    <w:rsid w:val="007A790D"/>
    <w:rsid w:val="007A7A3F"/>
    <w:rsid w:val="007A7B4D"/>
    <w:rsid w:val="007B036A"/>
    <w:rsid w:val="007B0771"/>
    <w:rsid w:val="007B08F1"/>
    <w:rsid w:val="007B09B0"/>
    <w:rsid w:val="007B12D1"/>
    <w:rsid w:val="007B1951"/>
    <w:rsid w:val="007B2830"/>
    <w:rsid w:val="007B33B5"/>
    <w:rsid w:val="007B39CD"/>
    <w:rsid w:val="007B3BC3"/>
    <w:rsid w:val="007B3C2D"/>
    <w:rsid w:val="007B450C"/>
    <w:rsid w:val="007B49BD"/>
    <w:rsid w:val="007B4D71"/>
    <w:rsid w:val="007B51F4"/>
    <w:rsid w:val="007B5997"/>
    <w:rsid w:val="007B6534"/>
    <w:rsid w:val="007B65AE"/>
    <w:rsid w:val="007B6737"/>
    <w:rsid w:val="007B6CAE"/>
    <w:rsid w:val="007B718F"/>
    <w:rsid w:val="007B7290"/>
    <w:rsid w:val="007B782B"/>
    <w:rsid w:val="007B7DD2"/>
    <w:rsid w:val="007B7DF9"/>
    <w:rsid w:val="007C093D"/>
    <w:rsid w:val="007C0D03"/>
    <w:rsid w:val="007C1C40"/>
    <w:rsid w:val="007C1D67"/>
    <w:rsid w:val="007C20C4"/>
    <w:rsid w:val="007C2254"/>
    <w:rsid w:val="007C2CBA"/>
    <w:rsid w:val="007C385D"/>
    <w:rsid w:val="007C3890"/>
    <w:rsid w:val="007C408B"/>
    <w:rsid w:val="007C51A3"/>
    <w:rsid w:val="007C5E18"/>
    <w:rsid w:val="007C61F5"/>
    <w:rsid w:val="007C6720"/>
    <w:rsid w:val="007C6EDA"/>
    <w:rsid w:val="007C70D0"/>
    <w:rsid w:val="007C7D43"/>
    <w:rsid w:val="007C7DAD"/>
    <w:rsid w:val="007D0325"/>
    <w:rsid w:val="007D0430"/>
    <w:rsid w:val="007D0A39"/>
    <w:rsid w:val="007D1804"/>
    <w:rsid w:val="007D2775"/>
    <w:rsid w:val="007D33A1"/>
    <w:rsid w:val="007D4147"/>
    <w:rsid w:val="007D42C1"/>
    <w:rsid w:val="007D459B"/>
    <w:rsid w:val="007D4667"/>
    <w:rsid w:val="007D56C6"/>
    <w:rsid w:val="007D57F6"/>
    <w:rsid w:val="007D5B9D"/>
    <w:rsid w:val="007D5FFA"/>
    <w:rsid w:val="007D7008"/>
    <w:rsid w:val="007D78EB"/>
    <w:rsid w:val="007D7B9C"/>
    <w:rsid w:val="007D7C71"/>
    <w:rsid w:val="007E097B"/>
    <w:rsid w:val="007E0CB1"/>
    <w:rsid w:val="007E0D48"/>
    <w:rsid w:val="007E1021"/>
    <w:rsid w:val="007E1E06"/>
    <w:rsid w:val="007E1E1B"/>
    <w:rsid w:val="007E2163"/>
    <w:rsid w:val="007E2509"/>
    <w:rsid w:val="007E29A8"/>
    <w:rsid w:val="007E30E3"/>
    <w:rsid w:val="007E3109"/>
    <w:rsid w:val="007E35D3"/>
    <w:rsid w:val="007E35ED"/>
    <w:rsid w:val="007E415C"/>
    <w:rsid w:val="007E4A9B"/>
    <w:rsid w:val="007E4BE2"/>
    <w:rsid w:val="007E554F"/>
    <w:rsid w:val="007E5871"/>
    <w:rsid w:val="007E637F"/>
    <w:rsid w:val="007E6747"/>
    <w:rsid w:val="007E6EED"/>
    <w:rsid w:val="007E7300"/>
    <w:rsid w:val="007E7BE0"/>
    <w:rsid w:val="007F1A45"/>
    <w:rsid w:val="007F2253"/>
    <w:rsid w:val="007F2CA8"/>
    <w:rsid w:val="007F3B92"/>
    <w:rsid w:val="007F4D3C"/>
    <w:rsid w:val="007F50AA"/>
    <w:rsid w:val="007F5DB7"/>
    <w:rsid w:val="007F627E"/>
    <w:rsid w:val="007F64EA"/>
    <w:rsid w:val="007F6D03"/>
    <w:rsid w:val="007F756F"/>
    <w:rsid w:val="007F7922"/>
    <w:rsid w:val="007F7A33"/>
    <w:rsid w:val="007F7B3D"/>
    <w:rsid w:val="0080017B"/>
    <w:rsid w:val="0080061C"/>
    <w:rsid w:val="0080103D"/>
    <w:rsid w:val="00801272"/>
    <w:rsid w:val="008015F8"/>
    <w:rsid w:val="008019C8"/>
    <w:rsid w:val="00801AC1"/>
    <w:rsid w:val="00802279"/>
    <w:rsid w:val="0080286C"/>
    <w:rsid w:val="00802FEB"/>
    <w:rsid w:val="00803589"/>
    <w:rsid w:val="008037D3"/>
    <w:rsid w:val="008044DC"/>
    <w:rsid w:val="00804F08"/>
    <w:rsid w:val="0080553E"/>
    <w:rsid w:val="0080658F"/>
    <w:rsid w:val="00806B14"/>
    <w:rsid w:val="0080708B"/>
    <w:rsid w:val="0080775B"/>
    <w:rsid w:val="00810027"/>
    <w:rsid w:val="00810910"/>
    <w:rsid w:val="00810E00"/>
    <w:rsid w:val="00811AD5"/>
    <w:rsid w:val="00812933"/>
    <w:rsid w:val="008136F4"/>
    <w:rsid w:val="00814D27"/>
    <w:rsid w:val="008152FF"/>
    <w:rsid w:val="00815A32"/>
    <w:rsid w:val="00815D73"/>
    <w:rsid w:val="00815F4A"/>
    <w:rsid w:val="00816601"/>
    <w:rsid w:val="00817C09"/>
    <w:rsid w:val="00817D64"/>
    <w:rsid w:val="00817E99"/>
    <w:rsid w:val="008219CC"/>
    <w:rsid w:val="00821F48"/>
    <w:rsid w:val="008223F6"/>
    <w:rsid w:val="00822816"/>
    <w:rsid w:val="00822C68"/>
    <w:rsid w:val="00822E49"/>
    <w:rsid w:val="00822EE9"/>
    <w:rsid w:val="00823B8B"/>
    <w:rsid w:val="00823F6C"/>
    <w:rsid w:val="0082422D"/>
    <w:rsid w:val="008247E4"/>
    <w:rsid w:val="008260B7"/>
    <w:rsid w:val="00826595"/>
    <w:rsid w:val="0082698A"/>
    <w:rsid w:val="00826C3B"/>
    <w:rsid w:val="008271AF"/>
    <w:rsid w:val="00827F6C"/>
    <w:rsid w:val="00830064"/>
    <w:rsid w:val="0083059B"/>
    <w:rsid w:val="00830A7F"/>
    <w:rsid w:val="00831883"/>
    <w:rsid w:val="00831F00"/>
    <w:rsid w:val="008320CF"/>
    <w:rsid w:val="00832714"/>
    <w:rsid w:val="008327D7"/>
    <w:rsid w:val="00833045"/>
    <w:rsid w:val="008337CF"/>
    <w:rsid w:val="00833873"/>
    <w:rsid w:val="0083407C"/>
    <w:rsid w:val="00834292"/>
    <w:rsid w:val="008358A2"/>
    <w:rsid w:val="00835DED"/>
    <w:rsid w:val="00835DFF"/>
    <w:rsid w:val="008369CF"/>
    <w:rsid w:val="00836F68"/>
    <w:rsid w:val="00837298"/>
    <w:rsid w:val="00837B50"/>
    <w:rsid w:val="00837EE2"/>
    <w:rsid w:val="00840D96"/>
    <w:rsid w:val="0084132F"/>
    <w:rsid w:val="0084138C"/>
    <w:rsid w:val="008416BA"/>
    <w:rsid w:val="00841A27"/>
    <w:rsid w:val="00842096"/>
    <w:rsid w:val="00842777"/>
    <w:rsid w:val="00842E24"/>
    <w:rsid w:val="00842FAE"/>
    <w:rsid w:val="00842FBE"/>
    <w:rsid w:val="00843053"/>
    <w:rsid w:val="00844F20"/>
    <w:rsid w:val="008450BE"/>
    <w:rsid w:val="008462E8"/>
    <w:rsid w:val="00846625"/>
    <w:rsid w:val="00846E26"/>
    <w:rsid w:val="00847F53"/>
    <w:rsid w:val="00851AB3"/>
    <w:rsid w:val="00851AE4"/>
    <w:rsid w:val="00851C37"/>
    <w:rsid w:val="00852C89"/>
    <w:rsid w:val="00853B6A"/>
    <w:rsid w:val="008543F4"/>
    <w:rsid w:val="008548AE"/>
    <w:rsid w:val="008550D9"/>
    <w:rsid w:val="00855630"/>
    <w:rsid w:val="00855AE9"/>
    <w:rsid w:val="00855F5E"/>
    <w:rsid w:val="00857179"/>
    <w:rsid w:val="008577DA"/>
    <w:rsid w:val="00857863"/>
    <w:rsid w:val="00857C84"/>
    <w:rsid w:val="00860028"/>
    <w:rsid w:val="00860097"/>
    <w:rsid w:val="00860FA1"/>
    <w:rsid w:val="008610EA"/>
    <w:rsid w:val="008610FD"/>
    <w:rsid w:val="00861109"/>
    <w:rsid w:val="00861C6A"/>
    <w:rsid w:val="0086226D"/>
    <w:rsid w:val="0086266A"/>
    <w:rsid w:val="00862763"/>
    <w:rsid w:val="008627AD"/>
    <w:rsid w:val="0086321D"/>
    <w:rsid w:val="00863317"/>
    <w:rsid w:val="00863857"/>
    <w:rsid w:val="00863C3E"/>
    <w:rsid w:val="00863DB6"/>
    <w:rsid w:val="00864EC8"/>
    <w:rsid w:val="0086604D"/>
    <w:rsid w:val="00866848"/>
    <w:rsid w:val="00866B3F"/>
    <w:rsid w:val="008671D4"/>
    <w:rsid w:val="0086754B"/>
    <w:rsid w:val="00867991"/>
    <w:rsid w:val="00870D92"/>
    <w:rsid w:val="00871013"/>
    <w:rsid w:val="0087138B"/>
    <w:rsid w:val="00871455"/>
    <w:rsid w:val="0087177F"/>
    <w:rsid w:val="00871D53"/>
    <w:rsid w:val="008724C7"/>
    <w:rsid w:val="008725B1"/>
    <w:rsid w:val="0087268A"/>
    <w:rsid w:val="00872C2A"/>
    <w:rsid w:val="00872DFA"/>
    <w:rsid w:val="00872EB0"/>
    <w:rsid w:val="00874CD3"/>
    <w:rsid w:val="0087543B"/>
    <w:rsid w:val="00875B0F"/>
    <w:rsid w:val="00876371"/>
    <w:rsid w:val="008777C4"/>
    <w:rsid w:val="00877AC6"/>
    <w:rsid w:val="00877F85"/>
    <w:rsid w:val="00880025"/>
    <w:rsid w:val="00880A49"/>
    <w:rsid w:val="00880C7E"/>
    <w:rsid w:val="00880C88"/>
    <w:rsid w:val="00881118"/>
    <w:rsid w:val="00881321"/>
    <w:rsid w:val="0088157F"/>
    <w:rsid w:val="0088167C"/>
    <w:rsid w:val="0088225B"/>
    <w:rsid w:val="00882BA1"/>
    <w:rsid w:val="0088321D"/>
    <w:rsid w:val="00883554"/>
    <w:rsid w:val="00883907"/>
    <w:rsid w:val="00884415"/>
    <w:rsid w:val="00886331"/>
    <w:rsid w:val="0088653B"/>
    <w:rsid w:val="00886FC5"/>
    <w:rsid w:val="0088726A"/>
    <w:rsid w:val="0088731C"/>
    <w:rsid w:val="008878CC"/>
    <w:rsid w:val="008905B2"/>
    <w:rsid w:val="0089140C"/>
    <w:rsid w:val="008918B0"/>
    <w:rsid w:val="00891A8C"/>
    <w:rsid w:val="00891DD7"/>
    <w:rsid w:val="00892576"/>
    <w:rsid w:val="00892B93"/>
    <w:rsid w:val="008935A8"/>
    <w:rsid w:val="00894098"/>
    <w:rsid w:val="008940BB"/>
    <w:rsid w:val="00894CD2"/>
    <w:rsid w:val="00894E32"/>
    <w:rsid w:val="00895042"/>
    <w:rsid w:val="00895B79"/>
    <w:rsid w:val="00895E00"/>
    <w:rsid w:val="008960F9"/>
    <w:rsid w:val="008963F4"/>
    <w:rsid w:val="00896DE9"/>
    <w:rsid w:val="008977AE"/>
    <w:rsid w:val="008A0743"/>
    <w:rsid w:val="008A17C3"/>
    <w:rsid w:val="008A17DF"/>
    <w:rsid w:val="008A1BB7"/>
    <w:rsid w:val="008A220D"/>
    <w:rsid w:val="008A2605"/>
    <w:rsid w:val="008A285A"/>
    <w:rsid w:val="008A3260"/>
    <w:rsid w:val="008A3CFB"/>
    <w:rsid w:val="008A3EC6"/>
    <w:rsid w:val="008A3FBB"/>
    <w:rsid w:val="008A479E"/>
    <w:rsid w:val="008A5190"/>
    <w:rsid w:val="008A58AE"/>
    <w:rsid w:val="008A5B22"/>
    <w:rsid w:val="008A5B2E"/>
    <w:rsid w:val="008A5FDA"/>
    <w:rsid w:val="008A6E8A"/>
    <w:rsid w:val="008A70FE"/>
    <w:rsid w:val="008B01ED"/>
    <w:rsid w:val="008B06B1"/>
    <w:rsid w:val="008B0947"/>
    <w:rsid w:val="008B0DA2"/>
    <w:rsid w:val="008B1039"/>
    <w:rsid w:val="008B1B91"/>
    <w:rsid w:val="008B1F7D"/>
    <w:rsid w:val="008B23D2"/>
    <w:rsid w:val="008B251E"/>
    <w:rsid w:val="008B296D"/>
    <w:rsid w:val="008B2DCC"/>
    <w:rsid w:val="008B2E71"/>
    <w:rsid w:val="008B3301"/>
    <w:rsid w:val="008B34BF"/>
    <w:rsid w:val="008B36FC"/>
    <w:rsid w:val="008B49AB"/>
    <w:rsid w:val="008B55D9"/>
    <w:rsid w:val="008B5AA8"/>
    <w:rsid w:val="008B6E66"/>
    <w:rsid w:val="008B788E"/>
    <w:rsid w:val="008C0245"/>
    <w:rsid w:val="008C1B00"/>
    <w:rsid w:val="008C1BB6"/>
    <w:rsid w:val="008C1BF4"/>
    <w:rsid w:val="008C1F90"/>
    <w:rsid w:val="008C27F5"/>
    <w:rsid w:val="008C29E8"/>
    <w:rsid w:val="008C2A9A"/>
    <w:rsid w:val="008C2EAE"/>
    <w:rsid w:val="008C386A"/>
    <w:rsid w:val="008C3888"/>
    <w:rsid w:val="008C44EA"/>
    <w:rsid w:val="008C556F"/>
    <w:rsid w:val="008C5D80"/>
    <w:rsid w:val="008C62D0"/>
    <w:rsid w:val="008C6667"/>
    <w:rsid w:val="008C6794"/>
    <w:rsid w:val="008C6F7A"/>
    <w:rsid w:val="008C7155"/>
    <w:rsid w:val="008C788F"/>
    <w:rsid w:val="008D0173"/>
    <w:rsid w:val="008D01C9"/>
    <w:rsid w:val="008D01EA"/>
    <w:rsid w:val="008D03FD"/>
    <w:rsid w:val="008D294C"/>
    <w:rsid w:val="008D2DC1"/>
    <w:rsid w:val="008D2E00"/>
    <w:rsid w:val="008D2ED6"/>
    <w:rsid w:val="008D3279"/>
    <w:rsid w:val="008D4079"/>
    <w:rsid w:val="008D4314"/>
    <w:rsid w:val="008D486E"/>
    <w:rsid w:val="008D52C3"/>
    <w:rsid w:val="008D5980"/>
    <w:rsid w:val="008D5C74"/>
    <w:rsid w:val="008D6A9B"/>
    <w:rsid w:val="008D6CAD"/>
    <w:rsid w:val="008D700E"/>
    <w:rsid w:val="008D7D75"/>
    <w:rsid w:val="008E0C5B"/>
    <w:rsid w:val="008E1A1D"/>
    <w:rsid w:val="008E1B2A"/>
    <w:rsid w:val="008E1DDF"/>
    <w:rsid w:val="008E2BC4"/>
    <w:rsid w:val="008E3435"/>
    <w:rsid w:val="008E38B5"/>
    <w:rsid w:val="008E3E9F"/>
    <w:rsid w:val="008E4AFF"/>
    <w:rsid w:val="008E4E3B"/>
    <w:rsid w:val="008E54F6"/>
    <w:rsid w:val="008E6120"/>
    <w:rsid w:val="008E671B"/>
    <w:rsid w:val="008E75D2"/>
    <w:rsid w:val="008E7CAC"/>
    <w:rsid w:val="008F0C9F"/>
    <w:rsid w:val="008F227C"/>
    <w:rsid w:val="008F2D8B"/>
    <w:rsid w:val="008F2E69"/>
    <w:rsid w:val="008F30A1"/>
    <w:rsid w:val="008F4993"/>
    <w:rsid w:val="008F60D6"/>
    <w:rsid w:val="008F6242"/>
    <w:rsid w:val="008F6712"/>
    <w:rsid w:val="008F6967"/>
    <w:rsid w:val="008F7218"/>
    <w:rsid w:val="008F7777"/>
    <w:rsid w:val="00900783"/>
    <w:rsid w:val="00900944"/>
    <w:rsid w:val="00900DBF"/>
    <w:rsid w:val="0090194A"/>
    <w:rsid w:val="00901A2B"/>
    <w:rsid w:val="00903222"/>
    <w:rsid w:val="0090337C"/>
    <w:rsid w:val="00903A1C"/>
    <w:rsid w:val="00904025"/>
    <w:rsid w:val="009050CE"/>
    <w:rsid w:val="0090523E"/>
    <w:rsid w:val="0090566D"/>
    <w:rsid w:val="0090587C"/>
    <w:rsid w:val="00905D34"/>
    <w:rsid w:val="00907312"/>
    <w:rsid w:val="00907413"/>
    <w:rsid w:val="0090762A"/>
    <w:rsid w:val="00910388"/>
    <w:rsid w:val="00910835"/>
    <w:rsid w:val="009109F4"/>
    <w:rsid w:val="00911A7C"/>
    <w:rsid w:val="0091207C"/>
    <w:rsid w:val="0091211B"/>
    <w:rsid w:val="009123F5"/>
    <w:rsid w:val="00912851"/>
    <w:rsid w:val="00912BCC"/>
    <w:rsid w:val="00912D10"/>
    <w:rsid w:val="0091317B"/>
    <w:rsid w:val="009131ED"/>
    <w:rsid w:val="00913239"/>
    <w:rsid w:val="0091366D"/>
    <w:rsid w:val="00913F41"/>
    <w:rsid w:val="0091422A"/>
    <w:rsid w:val="00915160"/>
    <w:rsid w:val="00915221"/>
    <w:rsid w:val="009155B0"/>
    <w:rsid w:val="00915FE8"/>
    <w:rsid w:val="009160AF"/>
    <w:rsid w:val="009163F5"/>
    <w:rsid w:val="009171E5"/>
    <w:rsid w:val="009173B4"/>
    <w:rsid w:val="009208A6"/>
    <w:rsid w:val="009211EA"/>
    <w:rsid w:val="009215C3"/>
    <w:rsid w:val="00921D00"/>
    <w:rsid w:val="0092313D"/>
    <w:rsid w:val="009231DB"/>
    <w:rsid w:val="009236D8"/>
    <w:rsid w:val="009238CC"/>
    <w:rsid w:val="00923BF8"/>
    <w:rsid w:val="00924C37"/>
    <w:rsid w:val="009253FB"/>
    <w:rsid w:val="009260F3"/>
    <w:rsid w:val="009261B2"/>
    <w:rsid w:val="0092621A"/>
    <w:rsid w:val="00927073"/>
    <w:rsid w:val="00927163"/>
    <w:rsid w:val="009273C2"/>
    <w:rsid w:val="009276E3"/>
    <w:rsid w:val="009278DF"/>
    <w:rsid w:val="00930666"/>
    <w:rsid w:val="0093070C"/>
    <w:rsid w:val="00930767"/>
    <w:rsid w:val="00930DA6"/>
    <w:rsid w:val="00931194"/>
    <w:rsid w:val="00931423"/>
    <w:rsid w:val="00931B13"/>
    <w:rsid w:val="00931B60"/>
    <w:rsid w:val="009327C7"/>
    <w:rsid w:val="009333FE"/>
    <w:rsid w:val="00933672"/>
    <w:rsid w:val="00933924"/>
    <w:rsid w:val="00933B30"/>
    <w:rsid w:val="009342FE"/>
    <w:rsid w:val="0093430F"/>
    <w:rsid w:val="00934736"/>
    <w:rsid w:val="00934B88"/>
    <w:rsid w:val="009356D1"/>
    <w:rsid w:val="00935A61"/>
    <w:rsid w:val="00936663"/>
    <w:rsid w:val="009378E1"/>
    <w:rsid w:val="0094035B"/>
    <w:rsid w:val="009407C2"/>
    <w:rsid w:val="00940CB7"/>
    <w:rsid w:val="0094113F"/>
    <w:rsid w:val="009412C7"/>
    <w:rsid w:val="009414D5"/>
    <w:rsid w:val="0094150A"/>
    <w:rsid w:val="009427B1"/>
    <w:rsid w:val="0094397C"/>
    <w:rsid w:val="00943B6B"/>
    <w:rsid w:val="00943E3C"/>
    <w:rsid w:val="00944DF4"/>
    <w:rsid w:val="0094579F"/>
    <w:rsid w:val="00945B17"/>
    <w:rsid w:val="00945CF2"/>
    <w:rsid w:val="00945FA4"/>
    <w:rsid w:val="00946030"/>
    <w:rsid w:val="009467BE"/>
    <w:rsid w:val="00946977"/>
    <w:rsid w:val="00947D27"/>
    <w:rsid w:val="00947DCE"/>
    <w:rsid w:val="00947EA6"/>
    <w:rsid w:val="0095000A"/>
    <w:rsid w:val="00950078"/>
    <w:rsid w:val="00950158"/>
    <w:rsid w:val="009509CC"/>
    <w:rsid w:val="009519A8"/>
    <w:rsid w:val="009520A7"/>
    <w:rsid w:val="00952994"/>
    <w:rsid w:val="00952DE4"/>
    <w:rsid w:val="00952E4E"/>
    <w:rsid w:val="00953FC1"/>
    <w:rsid w:val="00954151"/>
    <w:rsid w:val="0095454B"/>
    <w:rsid w:val="00955080"/>
    <w:rsid w:val="009555CC"/>
    <w:rsid w:val="00955A1D"/>
    <w:rsid w:val="00955AB4"/>
    <w:rsid w:val="009562EF"/>
    <w:rsid w:val="00956883"/>
    <w:rsid w:val="00956B8A"/>
    <w:rsid w:val="00957241"/>
    <w:rsid w:val="009605BA"/>
    <w:rsid w:val="009608F5"/>
    <w:rsid w:val="00960911"/>
    <w:rsid w:val="00960C4A"/>
    <w:rsid w:val="00961930"/>
    <w:rsid w:val="00961C66"/>
    <w:rsid w:val="009627D8"/>
    <w:rsid w:val="0096287E"/>
    <w:rsid w:val="00962C22"/>
    <w:rsid w:val="00962D82"/>
    <w:rsid w:val="00962DB7"/>
    <w:rsid w:val="009633EC"/>
    <w:rsid w:val="00963A74"/>
    <w:rsid w:val="00964254"/>
    <w:rsid w:val="0096468F"/>
    <w:rsid w:val="00965174"/>
    <w:rsid w:val="009658D9"/>
    <w:rsid w:val="00966117"/>
    <w:rsid w:val="00966C26"/>
    <w:rsid w:val="00967513"/>
    <w:rsid w:val="00967AA2"/>
    <w:rsid w:val="00967F65"/>
    <w:rsid w:val="00970070"/>
    <w:rsid w:val="0097054C"/>
    <w:rsid w:val="00970840"/>
    <w:rsid w:val="00971234"/>
    <w:rsid w:val="00971522"/>
    <w:rsid w:val="00971964"/>
    <w:rsid w:val="00971DDE"/>
    <w:rsid w:val="0097270D"/>
    <w:rsid w:val="009732C9"/>
    <w:rsid w:val="00974B20"/>
    <w:rsid w:val="00976B2E"/>
    <w:rsid w:val="00977156"/>
    <w:rsid w:val="00977172"/>
    <w:rsid w:val="00977573"/>
    <w:rsid w:val="009778A5"/>
    <w:rsid w:val="0097799B"/>
    <w:rsid w:val="00977C7E"/>
    <w:rsid w:val="009803C4"/>
    <w:rsid w:val="00980447"/>
    <w:rsid w:val="00980ED6"/>
    <w:rsid w:val="0098148A"/>
    <w:rsid w:val="00981852"/>
    <w:rsid w:val="00981B22"/>
    <w:rsid w:val="00981F2A"/>
    <w:rsid w:val="00982C88"/>
    <w:rsid w:val="00983460"/>
    <w:rsid w:val="00983915"/>
    <w:rsid w:val="00983CF4"/>
    <w:rsid w:val="00983DF9"/>
    <w:rsid w:val="00984362"/>
    <w:rsid w:val="00984372"/>
    <w:rsid w:val="0098459A"/>
    <w:rsid w:val="00984A6D"/>
    <w:rsid w:val="00984FAF"/>
    <w:rsid w:val="00985066"/>
    <w:rsid w:val="00985A3E"/>
    <w:rsid w:val="00985B88"/>
    <w:rsid w:val="00985E14"/>
    <w:rsid w:val="00986628"/>
    <w:rsid w:val="00986EDE"/>
    <w:rsid w:val="00987C57"/>
    <w:rsid w:val="009904C7"/>
    <w:rsid w:val="009907DD"/>
    <w:rsid w:val="00991D48"/>
    <w:rsid w:val="00991FC7"/>
    <w:rsid w:val="00992253"/>
    <w:rsid w:val="00992752"/>
    <w:rsid w:val="0099385B"/>
    <w:rsid w:val="00993A61"/>
    <w:rsid w:val="00993C98"/>
    <w:rsid w:val="009942FE"/>
    <w:rsid w:val="009951F4"/>
    <w:rsid w:val="0099524D"/>
    <w:rsid w:val="0099621B"/>
    <w:rsid w:val="00996461"/>
    <w:rsid w:val="00997D62"/>
    <w:rsid w:val="009A01B8"/>
    <w:rsid w:val="009A01DD"/>
    <w:rsid w:val="009A0223"/>
    <w:rsid w:val="009A023F"/>
    <w:rsid w:val="009A0777"/>
    <w:rsid w:val="009A07E7"/>
    <w:rsid w:val="009A0F4F"/>
    <w:rsid w:val="009A1208"/>
    <w:rsid w:val="009A16E2"/>
    <w:rsid w:val="009A1B2C"/>
    <w:rsid w:val="009A1BB7"/>
    <w:rsid w:val="009A1DC4"/>
    <w:rsid w:val="009A1ECB"/>
    <w:rsid w:val="009A2051"/>
    <w:rsid w:val="009A2A4E"/>
    <w:rsid w:val="009A2A6B"/>
    <w:rsid w:val="009A2DCE"/>
    <w:rsid w:val="009A3734"/>
    <w:rsid w:val="009A4A7B"/>
    <w:rsid w:val="009A5768"/>
    <w:rsid w:val="009A61F0"/>
    <w:rsid w:val="009A6F8D"/>
    <w:rsid w:val="009A72B1"/>
    <w:rsid w:val="009A73C0"/>
    <w:rsid w:val="009A786C"/>
    <w:rsid w:val="009A7923"/>
    <w:rsid w:val="009B0D96"/>
    <w:rsid w:val="009B0E05"/>
    <w:rsid w:val="009B0F01"/>
    <w:rsid w:val="009B0F19"/>
    <w:rsid w:val="009B2CA8"/>
    <w:rsid w:val="009B318E"/>
    <w:rsid w:val="009B6208"/>
    <w:rsid w:val="009B6557"/>
    <w:rsid w:val="009B6625"/>
    <w:rsid w:val="009B6711"/>
    <w:rsid w:val="009B6A4C"/>
    <w:rsid w:val="009C0374"/>
    <w:rsid w:val="009C0570"/>
    <w:rsid w:val="009C06AF"/>
    <w:rsid w:val="009C0932"/>
    <w:rsid w:val="009C1742"/>
    <w:rsid w:val="009C1B39"/>
    <w:rsid w:val="009C2563"/>
    <w:rsid w:val="009C275E"/>
    <w:rsid w:val="009C2A58"/>
    <w:rsid w:val="009C304B"/>
    <w:rsid w:val="009C40D1"/>
    <w:rsid w:val="009C4592"/>
    <w:rsid w:val="009C47CE"/>
    <w:rsid w:val="009C4B16"/>
    <w:rsid w:val="009C4CEB"/>
    <w:rsid w:val="009C547E"/>
    <w:rsid w:val="009C5D95"/>
    <w:rsid w:val="009C71E7"/>
    <w:rsid w:val="009C7235"/>
    <w:rsid w:val="009D0644"/>
    <w:rsid w:val="009D09E2"/>
    <w:rsid w:val="009D0AE4"/>
    <w:rsid w:val="009D0B7F"/>
    <w:rsid w:val="009D1105"/>
    <w:rsid w:val="009D177B"/>
    <w:rsid w:val="009D1DC1"/>
    <w:rsid w:val="009D2EC0"/>
    <w:rsid w:val="009D387F"/>
    <w:rsid w:val="009D4709"/>
    <w:rsid w:val="009D4A2E"/>
    <w:rsid w:val="009D4D6F"/>
    <w:rsid w:val="009D4D8D"/>
    <w:rsid w:val="009D5645"/>
    <w:rsid w:val="009D5E73"/>
    <w:rsid w:val="009D5FBA"/>
    <w:rsid w:val="009D5FFE"/>
    <w:rsid w:val="009D659B"/>
    <w:rsid w:val="009D66E7"/>
    <w:rsid w:val="009D66F5"/>
    <w:rsid w:val="009D697B"/>
    <w:rsid w:val="009E08DF"/>
    <w:rsid w:val="009E09B0"/>
    <w:rsid w:val="009E1357"/>
    <w:rsid w:val="009E3BBF"/>
    <w:rsid w:val="009E4FA5"/>
    <w:rsid w:val="009E500D"/>
    <w:rsid w:val="009E576D"/>
    <w:rsid w:val="009E5F06"/>
    <w:rsid w:val="009E66DE"/>
    <w:rsid w:val="009E687D"/>
    <w:rsid w:val="009E6A14"/>
    <w:rsid w:val="009E7274"/>
    <w:rsid w:val="009E7A6F"/>
    <w:rsid w:val="009E7F85"/>
    <w:rsid w:val="009F002F"/>
    <w:rsid w:val="009F0E62"/>
    <w:rsid w:val="009F0FF9"/>
    <w:rsid w:val="009F12B4"/>
    <w:rsid w:val="009F2B24"/>
    <w:rsid w:val="009F2B2A"/>
    <w:rsid w:val="009F391B"/>
    <w:rsid w:val="009F3969"/>
    <w:rsid w:val="009F3C00"/>
    <w:rsid w:val="009F44FB"/>
    <w:rsid w:val="009F6104"/>
    <w:rsid w:val="009F6DFA"/>
    <w:rsid w:val="009F7A58"/>
    <w:rsid w:val="009F7C0F"/>
    <w:rsid w:val="009F7EAE"/>
    <w:rsid w:val="00A00215"/>
    <w:rsid w:val="00A004F4"/>
    <w:rsid w:val="00A00B9A"/>
    <w:rsid w:val="00A010A8"/>
    <w:rsid w:val="00A01462"/>
    <w:rsid w:val="00A014BD"/>
    <w:rsid w:val="00A01573"/>
    <w:rsid w:val="00A01708"/>
    <w:rsid w:val="00A020AD"/>
    <w:rsid w:val="00A023AF"/>
    <w:rsid w:val="00A02744"/>
    <w:rsid w:val="00A03616"/>
    <w:rsid w:val="00A0363B"/>
    <w:rsid w:val="00A037F6"/>
    <w:rsid w:val="00A03915"/>
    <w:rsid w:val="00A039BD"/>
    <w:rsid w:val="00A03AF5"/>
    <w:rsid w:val="00A04652"/>
    <w:rsid w:val="00A04CC7"/>
    <w:rsid w:val="00A0509F"/>
    <w:rsid w:val="00A0593B"/>
    <w:rsid w:val="00A05CE8"/>
    <w:rsid w:val="00A07337"/>
    <w:rsid w:val="00A07594"/>
    <w:rsid w:val="00A07650"/>
    <w:rsid w:val="00A0789A"/>
    <w:rsid w:val="00A07977"/>
    <w:rsid w:val="00A0797A"/>
    <w:rsid w:val="00A079AC"/>
    <w:rsid w:val="00A07E40"/>
    <w:rsid w:val="00A10049"/>
    <w:rsid w:val="00A10262"/>
    <w:rsid w:val="00A10778"/>
    <w:rsid w:val="00A1106E"/>
    <w:rsid w:val="00A12B44"/>
    <w:rsid w:val="00A13825"/>
    <w:rsid w:val="00A155DA"/>
    <w:rsid w:val="00A15C25"/>
    <w:rsid w:val="00A15FFE"/>
    <w:rsid w:val="00A166A4"/>
    <w:rsid w:val="00A2071C"/>
    <w:rsid w:val="00A20BE8"/>
    <w:rsid w:val="00A20EB4"/>
    <w:rsid w:val="00A2103B"/>
    <w:rsid w:val="00A21C2F"/>
    <w:rsid w:val="00A22180"/>
    <w:rsid w:val="00A2287E"/>
    <w:rsid w:val="00A22A40"/>
    <w:rsid w:val="00A22CB7"/>
    <w:rsid w:val="00A23D69"/>
    <w:rsid w:val="00A24299"/>
    <w:rsid w:val="00A242A4"/>
    <w:rsid w:val="00A2555C"/>
    <w:rsid w:val="00A25842"/>
    <w:rsid w:val="00A25CAF"/>
    <w:rsid w:val="00A267E7"/>
    <w:rsid w:val="00A2685B"/>
    <w:rsid w:val="00A26AA2"/>
    <w:rsid w:val="00A27922"/>
    <w:rsid w:val="00A300BF"/>
    <w:rsid w:val="00A3010E"/>
    <w:rsid w:val="00A30F6E"/>
    <w:rsid w:val="00A312CB"/>
    <w:rsid w:val="00A31730"/>
    <w:rsid w:val="00A330FB"/>
    <w:rsid w:val="00A33F6B"/>
    <w:rsid w:val="00A341D3"/>
    <w:rsid w:val="00A3466F"/>
    <w:rsid w:val="00A34AA8"/>
    <w:rsid w:val="00A34C73"/>
    <w:rsid w:val="00A3510F"/>
    <w:rsid w:val="00A358DC"/>
    <w:rsid w:val="00A35940"/>
    <w:rsid w:val="00A3608D"/>
    <w:rsid w:val="00A36BE9"/>
    <w:rsid w:val="00A37870"/>
    <w:rsid w:val="00A37E18"/>
    <w:rsid w:val="00A401C0"/>
    <w:rsid w:val="00A4088E"/>
    <w:rsid w:val="00A409C0"/>
    <w:rsid w:val="00A40DD0"/>
    <w:rsid w:val="00A4107C"/>
    <w:rsid w:val="00A41329"/>
    <w:rsid w:val="00A418AB"/>
    <w:rsid w:val="00A42164"/>
    <w:rsid w:val="00A421C2"/>
    <w:rsid w:val="00A42632"/>
    <w:rsid w:val="00A42F63"/>
    <w:rsid w:val="00A4372E"/>
    <w:rsid w:val="00A45394"/>
    <w:rsid w:val="00A454BF"/>
    <w:rsid w:val="00A456FC"/>
    <w:rsid w:val="00A45B2C"/>
    <w:rsid w:val="00A45B4A"/>
    <w:rsid w:val="00A45B50"/>
    <w:rsid w:val="00A45CC5"/>
    <w:rsid w:val="00A463A6"/>
    <w:rsid w:val="00A465B8"/>
    <w:rsid w:val="00A465FD"/>
    <w:rsid w:val="00A46719"/>
    <w:rsid w:val="00A47D52"/>
    <w:rsid w:val="00A507CA"/>
    <w:rsid w:val="00A517AA"/>
    <w:rsid w:val="00A51895"/>
    <w:rsid w:val="00A51977"/>
    <w:rsid w:val="00A52186"/>
    <w:rsid w:val="00A525D9"/>
    <w:rsid w:val="00A52F0B"/>
    <w:rsid w:val="00A546CD"/>
    <w:rsid w:val="00A54801"/>
    <w:rsid w:val="00A54E60"/>
    <w:rsid w:val="00A55FE3"/>
    <w:rsid w:val="00A567E7"/>
    <w:rsid w:val="00A56B5E"/>
    <w:rsid w:val="00A56BA0"/>
    <w:rsid w:val="00A56EB5"/>
    <w:rsid w:val="00A574E3"/>
    <w:rsid w:val="00A57774"/>
    <w:rsid w:val="00A60A05"/>
    <w:rsid w:val="00A612D7"/>
    <w:rsid w:val="00A617E0"/>
    <w:rsid w:val="00A61BCD"/>
    <w:rsid w:val="00A61F6F"/>
    <w:rsid w:val="00A629F5"/>
    <w:rsid w:val="00A62F33"/>
    <w:rsid w:val="00A638AC"/>
    <w:rsid w:val="00A63976"/>
    <w:rsid w:val="00A64753"/>
    <w:rsid w:val="00A64828"/>
    <w:rsid w:val="00A65516"/>
    <w:rsid w:val="00A6582B"/>
    <w:rsid w:val="00A659D8"/>
    <w:rsid w:val="00A66446"/>
    <w:rsid w:val="00A664A2"/>
    <w:rsid w:val="00A670D5"/>
    <w:rsid w:val="00A67833"/>
    <w:rsid w:val="00A709D3"/>
    <w:rsid w:val="00A70A7B"/>
    <w:rsid w:val="00A7195A"/>
    <w:rsid w:val="00A71C1B"/>
    <w:rsid w:val="00A71F1B"/>
    <w:rsid w:val="00A7204D"/>
    <w:rsid w:val="00A72F74"/>
    <w:rsid w:val="00A73746"/>
    <w:rsid w:val="00A73A0E"/>
    <w:rsid w:val="00A73E40"/>
    <w:rsid w:val="00A73F3E"/>
    <w:rsid w:val="00A74110"/>
    <w:rsid w:val="00A7450D"/>
    <w:rsid w:val="00A74545"/>
    <w:rsid w:val="00A74548"/>
    <w:rsid w:val="00A749AA"/>
    <w:rsid w:val="00A74A14"/>
    <w:rsid w:val="00A74EED"/>
    <w:rsid w:val="00A754A9"/>
    <w:rsid w:val="00A76535"/>
    <w:rsid w:val="00A76772"/>
    <w:rsid w:val="00A76A31"/>
    <w:rsid w:val="00A76C5B"/>
    <w:rsid w:val="00A770FA"/>
    <w:rsid w:val="00A7730C"/>
    <w:rsid w:val="00A77ABC"/>
    <w:rsid w:val="00A808D0"/>
    <w:rsid w:val="00A8103D"/>
    <w:rsid w:val="00A81097"/>
    <w:rsid w:val="00A8118D"/>
    <w:rsid w:val="00A81A8A"/>
    <w:rsid w:val="00A82297"/>
    <w:rsid w:val="00A83133"/>
    <w:rsid w:val="00A832CE"/>
    <w:rsid w:val="00A83989"/>
    <w:rsid w:val="00A83A11"/>
    <w:rsid w:val="00A83C75"/>
    <w:rsid w:val="00A83CE0"/>
    <w:rsid w:val="00A8420E"/>
    <w:rsid w:val="00A84C91"/>
    <w:rsid w:val="00A86012"/>
    <w:rsid w:val="00A8603C"/>
    <w:rsid w:val="00A86E36"/>
    <w:rsid w:val="00A902B4"/>
    <w:rsid w:val="00A90789"/>
    <w:rsid w:val="00A91809"/>
    <w:rsid w:val="00A92963"/>
    <w:rsid w:val="00A93121"/>
    <w:rsid w:val="00A93317"/>
    <w:rsid w:val="00A939B4"/>
    <w:rsid w:val="00A94192"/>
    <w:rsid w:val="00A946F0"/>
    <w:rsid w:val="00A9486D"/>
    <w:rsid w:val="00A958A8"/>
    <w:rsid w:val="00A959F7"/>
    <w:rsid w:val="00A963E6"/>
    <w:rsid w:val="00A96497"/>
    <w:rsid w:val="00A973B8"/>
    <w:rsid w:val="00AA0826"/>
    <w:rsid w:val="00AA0EA1"/>
    <w:rsid w:val="00AA1CFF"/>
    <w:rsid w:val="00AA21BE"/>
    <w:rsid w:val="00AA2460"/>
    <w:rsid w:val="00AA2B1A"/>
    <w:rsid w:val="00AA2C3A"/>
    <w:rsid w:val="00AA2C7B"/>
    <w:rsid w:val="00AA3D52"/>
    <w:rsid w:val="00AA4697"/>
    <w:rsid w:val="00AA6430"/>
    <w:rsid w:val="00AA70D6"/>
    <w:rsid w:val="00AA72B3"/>
    <w:rsid w:val="00AA72C0"/>
    <w:rsid w:val="00AA7340"/>
    <w:rsid w:val="00AA7445"/>
    <w:rsid w:val="00AA7647"/>
    <w:rsid w:val="00AA7C29"/>
    <w:rsid w:val="00AB0419"/>
    <w:rsid w:val="00AB070F"/>
    <w:rsid w:val="00AB0997"/>
    <w:rsid w:val="00AB0C3F"/>
    <w:rsid w:val="00AB0D64"/>
    <w:rsid w:val="00AB1403"/>
    <w:rsid w:val="00AB2304"/>
    <w:rsid w:val="00AB2903"/>
    <w:rsid w:val="00AB2C84"/>
    <w:rsid w:val="00AB34CA"/>
    <w:rsid w:val="00AB37A5"/>
    <w:rsid w:val="00AB441D"/>
    <w:rsid w:val="00AB5FDC"/>
    <w:rsid w:val="00AB636E"/>
    <w:rsid w:val="00AB6913"/>
    <w:rsid w:val="00AB6986"/>
    <w:rsid w:val="00AB6FC7"/>
    <w:rsid w:val="00AB7084"/>
    <w:rsid w:val="00AC00B8"/>
    <w:rsid w:val="00AC0273"/>
    <w:rsid w:val="00AC0367"/>
    <w:rsid w:val="00AC0C79"/>
    <w:rsid w:val="00AC36B2"/>
    <w:rsid w:val="00AC3861"/>
    <w:rsid w:val="00AC3A61"/>
    <w:rsid w:val="00AC3FC5"/>
    <w:rsid w:val="00AC42EB"/>
    <w:rsid w:val="00AC4889"/>
    <w:rsid w:val="00AC4A6A"/>
    <w:rsid w:val="00AC4C53"/>
    <w:rsid w:val="00AC4DFB"/>
    <w:rsid w:val="00AC586A"/>
    <w:rsid w:val="00AC5E0C"/>
    <w:rsid w:val="00AC5F09"/>
    <w:rsid w:val="00AC6D03"/>
    <w:rsid w:val="00AC73A2"/>
    <w:rsid w:val="00AC7DF5"/>
    <w:rsid w:val="00AD06B8"/>
    <w:rsid w:val="00AD117D"/>
    <w:rsid w:val="00AD14EC"/>
    <w:rsid w:val="00AD1B5A"/>
    <w:rsid w:val="00AD1BB5"/>
    <w:rsid w:val="00AD1C04"/>
    <w:rsid w:val="00AD1F9C"/>
    <w:rsid w:val="00AD2162"/>
    <w:rsid w:val="00AD22E4"/>
    <w:rsid w:val="00AD2C54"/>
    <w:rsid w:val="00AD31B0"/>
    <w:rsid w:val="00AD3890"/>
    <w:rsid w:val="00AD4723"/>
    <w:rsid w:val="00AD487D"/>
    <w:rsid w:val="00AD4DFE"/>
    <w:rsid w:val="00AD5BA8"/>
    <w:rsid w:val="00AD5EC9"/>
    <w:rsid w:val="00AD6BB6"/>
    <w:rsid w:val="00AD6D30"/>
    <w:rsid w:val="00AD7379"/>
    <w:rsid w:val="00AE02D1"/>
    <w:rsid w:val="00AE077C"/>
    <w:rsid w:val="00AE0A37"/>
    <w:rsid w:val="00AE11D3"/>
    <w:rsid w:val="00AE1759"/>
    <w:rsid w:val="00AE1B53"/>
    <w:rsid w:val="00AE2638"/>
    <w:rsid w:val="00AE268B"/>
    <w:rsid w:val="00AE3C2D"/>
    <w:rsid w:val="00AE3D88"/>
    <w:rsid w:val="00AE4368"/>
    <w:rsid w:val="00AE441D"/>
    <w:rsid w:val="00AE4CA3"/>
    <w:rsid w:val="00AE51BD"/>
    <w:rsid w:val="00AE5316"/>
    <w:rsid w:val="00AE5F0F"/>
    <w:rsid w:val="00AE657B"/>
    <w:rsid w:val="00AE7211"/>
    <w:rsid w:val="00AE7BDB"/>
    <w:rsid w:val="00AF00A3"/>
    <w:rsid w:val="00AF07B6"/>
    <w:rsid w:val="00AF1030"/>
    <w:rsid w:val="00AF10F0"/>
    <w:rsid w:val="00AF116C"/>
    <w:rsid w:val="00AF187F"/>
    <w:rsid w:val="00AF1D67"/>
    <w:rsid w:val="00AF27F1"/>
    <w:rsid w:val="00AF2A52"/>
    <w:rsid w:val="00AF31F1"/>
    <w:rsid w:val="00AF32A3"/>
    <w:rsid w:val="00AF3366"/>
    <w:rsid w:val="00AF3871"/>
    <w:rsid w:val="00AF3A55"/>
    <w:rsid w:val="00AF3D7E"/>
    <w:rsid w:val="00AF3E94"/>
    <w:rsid w:val="00AF4B49"/>
    <w:rsid w:val="00AF4E81"/>
    <w:rsid w:val="00AF5219"/>
    <w:rsid w:val="00AF5811"/>
    <w:rsid w:val="00AF5D41"/>
    <w:rsid w:val="00AF6211"/>
    <w:rsid w:val="00AF6508"/>
    <w:rsid w:val="00AF67C7"/>
    <w:rsid w:val="00AF6A64"/>
    <w:rsid w:val="00AF7268"/>
    <w:rsid w:val="00B00567"/>
    <w:rsid w:val="00B00A25"/>
    <w:rsid w:val="00B00A47"/>
    <w:rsid w:val="00B00B9A"/>
    <w:rsid w:val="00B00E9E"/>
    <w:rsid w:val="00B00F83"/>
    <w:rsid w:val="00B01350"/>
    <w:rsid w:val="00B02174"/>
    <w:rsid w:val="00B02514"/>
    <w:rsid w:val="00B02535"/>
    <w:rsid w:val="00B0279B"/>
    <w:rsid w:val="00B02A0F"/>
    <w:rsid w:val="00B02C35"/>
    <w:rsid w:val="00B0325F"/>
    <w:rsid w:val="00B04233"/>
    <w:rsid w:val="00B0475C"/>
    <w:rsid w:val="00B04C9C"/>
    <w:rsid w:val="00B04E65"/>
    <w:rsid w:val="00B0565D"/>
    <w:rsid w:val="00B05C4B"/>
    <w:rsid w:val="00B06918"/>
    <w:rsid w:val="00B06A4D"/>
    <w:rsid w:val="00B07AE6"/>
    <w:rsid w:val="00B1007B"/>
    <w:rsid w:val="00B100DC"/>
    <w:rsid w:val="00B1071A"/>
    <w:rsid w:val="00B115E9"/>
    <w:rsid w:val="00B1184D"/>
    <w:rsid w:val="00B11A97"/>
    <w:rsid w:val="00B11B62"/>
    <w:rsid w:val="00B11C2A"/>
    <w:rsid w:val="00B11CFF"/>
    <w:rsid w:val="00B12558"/>
    <w:rsid w:val="00B13416"/>
    <w:rsid w:val="00B139E7"/>
    <w:rsid w:val="00B142AB"/>
    <w:rsid w:val="00B14A1C"/>
    <w:rsid w:val="00B14FC5"/>
    <w:rsid w:val="00B160CC"/>
    <w:rsid w:val="00B16668"/>
    <w:rsid w:val="00B16BE5"/>
    <w:rsid w:val="00B16F6F"/>
    <w:rsid w:val="00B17911"/>
    <w:rsid w:val="00B20A69"/>
    <w:rsid w:val="00B211BD"/>
    <w:rsid w:val="00B213BC"/>
    <w:rsid w:val="00B21802"/>
    <w:rsid w:val="00B21C07"/>
    <w:rsid w:val="00B21E33"/>
    <w:rsid w:val="00B2242B"/>
    <w:rsid w:val="00B224CA"/>
    <w:rsid w:val="00B227C6"/>
    <w:rsid w:val="00B228F2"/>
    <w:rsid w:val="00B22B8E"/>
    <w:rsid w:val="00B240F1"/>
    <w:rsid w:val="00B24503"/>
    <w:rsid w:val="00B24D58"/>
    <w:rsid w:val="00B24E51"/>
    <w:rsid w:val="00B2534B"/>
    <w:rsid w:val="00B25F7F"/>
    <w:rsid w:val="00B26031"/>
    <w:rsid w:val="00B26909"/>
    <w:rsid w:val="00B26BDE"/>
    <w:rsid w:val="00B273D7"/>
    <w:rsid w:val="00B27626"/>
    <w:rsid w:val="00B27927"/>
    <w:rsid w:val="00B27D2C"/>
    <w:rsid w:val="00B3083A"/>
    <w:rsid w:val="00B308A5"/>
    <w:rsid w:val="00B321B7"/>
    <w:rsid w:val="00B3292F"/>
    <w:rsid w:val="00B33BF4"/>
    <w:rsid w:val="00B34500"/>
    <w:rsid w:val="00B34AAB"/>
    <w:rsid w:val="00B34C45"/>
    <w:rsid w:val="00B35841"/>
    <w:rsid w:val="00B35DBC"/>
    <w:rsid w:val="00B366AF"/>
    <w:rsid w:val="00B36C4A"/>
    <w:rsid w:val="00B37320"/>
    <w:rsid w:val="00B406CA"/>
    <w:rsid w:val="00B40A11"/>
    <w:rsid w:val="00B4169D"/>
    <w:rsid w:val="00B420C9"/>
    <w:rsid w:val="00B42BC4"/>
    <w:rsid w:val="00B42DF9"/>
    <w:rsid w:val="00B43B9A"/>
    <w:rsid w:val="00B44731"/>
    <w:rsid w:val="00B449A1"/>
    <w:rsid w:val="00B44A36"/>
    <w:rsid w:val="00B45638"/>
    <w:rsid w:val="00B45838"/>
    <w:rsid w:val="00B45CFA"/>
    <w:rsid w:val="00B45E6D"/>
    <w:rsid w:val="00B4724C"/>
    <w:rsid w:val="00B47486"/>
    <w:rsid w:val="00B47507"/>
    <w:rsid w:val="00B47AE7"/>
    <w:rsid w:val="00B47B7F"/>
    <w:rsid w:val="00B47CCA"/>
    <w:rsid w:val="00B47EAF"/>
    <w:rsid w:val="00B502DF"/>
    <w:rsid w:val="00B517CB"/>
    <w:rsid w:val="00B51839"/>
    <w:rsid w:val="00B51AB0"/>
    <w:rsid w:val="00B51AFC"/>
    <w:rsid w:val="00B5226C"/>
    <w:rsid w:val="00B52955"/>
    <w:rsid w:val="00B52A43"/>
    <w:rsid w:val="00B533BA"/>
    <w:rsid w:val="00B53C6B"/>
    <w:rsid w:val="00B54AAB"/>
    <w:rsid w:val="00B54CA6"/>
    <w:rsid w:val="00B551ED"/>
    <w:rsid w:val="00B55793"/>
    <w:rsid w:val="00B559F9"/>
    <w:rsid w:val="00B561F9"/>
    <w:rsid w:val="00B56CF0"/>
    <w:rsid w:val="00B6013F"/>
    <w:rsid w:val="00B60E06"/>
    <w:rsid w:val="00B615EE"/>
    <w:rsid w:val="00B62116"/>
    <w:rsid w:val="00B6234B"/>
    <w:rsid w:val="00B62B01"/>
    <w:rsid w:val="00B63084"/>
    <w:rsid w:val="00B6329A"/>
    <w:rsid w:val="00B63502"/>
    <w:rsid w:val="00B63664"/>
    <w:rsid w:val="00B640AF"/>
    <w:rsid w:val="00B64C95"/>
    <w:rsid w:val="00B650EB"/>
    <w:rsid w:val="00B65929"/>
    <w:rsid w:val="00B65D9A"/>
    <w:rsid w:val="00B66953"/>
    <w:rsid w:val="00B675DB"/>
    <w:rsid w:val="00B67F1B"/>
    <w:rsid w:val="00B7010F"/>
    <w:rsid w:val="00B71009"/>
    <w:rsid w:val="00B7140B"/>
    <w:rsid w:val="00B71497"/>
    <w:rsid w:val="00B71691"/>
    <w:rsid w:val="00B71902"/>
    <w:rsid w:val="00B725DD"/>
    <w:rsid w:val="00B72833"/>
    <w:rsid w:val="00B728B3"/>
    <w:rsid w:val="00B72D95"/>
    <w:rsid w:val="00B73176"/>
    <w:rsid w:val="00B732A8"/>
    <w:rsid w:val="00B734B6"/>
    <w:rsid w:val="00B73D58"/>
    <w:rsid w:val="00B7448B"/>
    <w:rsid w:val="00B748B2"/>
    <w:rsid w:val="00B76539"/>
    <w:rsid w:val="00B7720E"/>
    <w:rsid w:val="00B77313"/>
    <w:rsid w:val="00B77AD8"/>
    <w:rsid w:val="00B77C4E"/>
    <w:rsid w:val="00B77E42"/>
    <w:rsid w:val="00B80D1F"/>
    <w:rsid w:val="00B81963"/>
    <w:rsid w:val="00B81A4A"/>
    <w:rsid w:val="00B81EC6"/>
    <w:rsid w:val="00B820BD"/>
    <w:rsid w:val="00B82572"/>
    <w:rsid w:val="00B82663"/>
    <w:rsid w:val="00B82904"/>
    <w:rsid w:val="00B82970"/>
    <w:rsid w:val="00B82D9C"/>
    <w:rsid w:val="00B8313E"/>
    <w:rsid w:val="00B832E6"/>
    <w:rsid w:val="00B837BC"/>
    <w:rsid w:val="00B85257"/>
    <w:rsid w:val="00B85821"/>
    <w:rsid w:val="00B8584C"/>
    <w:rsid w:val="00B85D61"/>
    <w:rsid w:val="00B86365"/>
    <w:rsid w:val="00B8696E"/>
    <w:rsid w:val="00B86C65"/>
    <w:rsid w:val="00B90DE8"/>
    <w:rsid w:val="00B910FB"/>
    <w:rsid w:val="00B9139D"/>
    <w:rsid w:val="00B927E4"/>
    <w:rsid w:val="00B929B2"/>
    <w:rsid w:val="00B92C02"/>
    <w:rsid w:val="00B93D48"/>
    <w:rsid w:val="00B94E38"/>
    <w:rsid w:val="00B95202"/>
    <w:rsid w:val="00B952E9"/>
    <w:rsid w:val="00B95BDC"/>
    <w:rsid w:val="00B9662A"/>
    <w:rsid w:val="00B96B9F"/>
    <w:rsid w:val="00B9738B"/>
    <w:rsid w:val="00B97699"/>
    <w:rsid w:val="00B9793B"/>
    <w:rsid w:val="00BA1175"/>
    <w:rsid w:val="00BA11F9"/>
    <w:rsid w:val="00BA133F"/>
    <w:rsid w:val="00BA2BE5"/>
    <w:rsid w:val="00BA2EDB"/>
    <w:rsid w:val="00BA3431"/>
    <w:rsid w:val="00BA3891"/>
    <w:rsid w:val="00BA3A72"/>
    <w:rsid w:val="00BA4469"/>
    <w:rsid w:val="00BA4DDD"/>
    <w:rsid w:val="00BA50B6"/>
    <w:rsid w:val="00BA5823"/>
    <w:rsid w:val="00BA593F"/>
    <w:rsid w:val="00BA5A84"/>
    <w:rsid w:val="00BA5B06"/>
    <w:rsid w:val="00BA5C2E"/>
    <w:rsid w:val="00BA6660"/>
    <w:rsid w:val="00BA7EB7"/>
    <w:rsid w:val="00BB0347"/>
    <w:rsid w:val="00BB0BF2"/>
    <w:rsid w:val="00BB1BAE"/>
    <w:rsid w:val="00BB1BCB"/>
    <w:rsid w:val="00BB1EEE"/>
    <w:rsid w:val="00BB282C"/>
    <w:rsid w:val="00BB2CAE"/>
    <w:rsid w:val="00BB2FFD"/>
    <w:rsid w:val="00BB3291"/>
    <w:rsid w:val="00BB390D"/>
    <w:rsid w:val="00BB3BDA"/>
    <w:rsid w:val="00BB3D31"/>
    <w:rsid w:val="00BB4974"/>
    <w:rsid w:val="00BB4E8D"/>
    <w:rsid w:val="00BB5735"/>
    <w:rsid w:val="00BB7315"/>
    <w:rsid w:val="00BB767E"/>
    <w:rsid w:val="00BB7F34"/>
    <w:rsid w:val="00BC0776"/>
    <w:rsid w:val="00BC07FB"/>
    <w:rsid w:val="00BC086C"/>
    <w:rsid w:val="00BC18AA"/>
    <w:rsid w:val="00BC1A74"/>
    <w:rsid w:val="00BC1CA0"/>
    <w:rsid w:val="00BC2149"/>
    <w:rsid w:val="00BC251B"/>
    <w:rsid w:val="00BC32F6"/>
    <w:rsid w:val="00BC34A1"/>
    <w:rsid w:val="00BC45CB"/>
    <w:rsid w:val="00BC4C27"/>
    <w:rsid w:val="00BC5DAA"/>
    <w:rsid w:val="00BC6EE6"/>
    <w:rsid w:val="00BC7485"/>
    <w:rsid w:val="00BD0576"/>
    <w:rsid w:val="00BD0F73"/>
    <w:rsid w:val="00BD102B"/>
    <w:rsid w:val="00BD16ED"/>
    <w:rsid w:val="00BD1A92"/>
    <w:rsid w:val="00BD1DC5"/>
    <w:rsid w:val="00BD2705"/>
    <w:rsid w:val="00BD2E8D"/>
    <w:rsid w:val="00BD40B1"/>
    <w:rsid w:val="00BD512E"/>
    <w:rsid w:val="00BD5647"/>
    <w:rsid w:val="00BD597B"/>
    <w:rsid w:val="00BD6930"/>
    <w:rsid w:val="00BD6B82"/>
    <w:rsid w:val="00BD7095"/>
    <w:rsid w:val="00BE05DA"/>
    <w:rsid w:val="00BE0F4B"/>
    <w:rsid w:val="00BE13E8"/>
    <w:rsid w:val="00BE1426"/>
    <w:rsid w:val="00BE1A7F"/>
    <w:rsid w:val="00BE22DA"/>
    <w:rsid w:val="00BE2BAB"/>
    <w:rsid w:val="00BE35DD"/>
    <w:rsid w:val="00BE3B13"/>
    <w:rsid w:val="00BE3E24"/>
    <w:rsid w:val="00BE563B"/>
    <w:rsid w:val="00BE597D"/>
    <w:rsid w:val="00BE5C6E"/>
    <w:rsid w:val="00BE5F93"/>
    <w:rsid w:val="00BE6250"/>
    <w:rsid w:val="00BE6B41"/>
    <w:rsid w:val="00BE6BA0"/>
    <w:rsid w:val="00BE7A0F"/>
    <w:rsid w:val="00BE7E2D"/>
    <w:rsid w:val="00BE7E4B"/>
    <w:rsid w:val="00BF058B"/>
    <w:rsid w:val="00BF12CF"/>
    <w:rsid w:val="00BF1D89"/>
    <w:rsid w:val="00BF2268"/>
    <w:rsid w:val="00BF2B53"/>
    <w:rsid w:val="00BF2BCC"/>
    <w:rsid w:val="00BF306B"/>
    <w:rsid w:val="00BF3171"/>
    <w:rsid w:val="00BF3322"/>
    <w:rsid w:val="00BF36ED"/>
    <w:rsid w:val="00BF37AD"/>
    <w:rsid w:val="00BF3E5D"/>
    <w:rsid w:val="00BF45F2"/>
    <w:rsid w:val="00BF45FD"/>
    <w:rsid w:val="00BF5B20"/>
    <w:rsid w:val="00BF5BA0"/>
    <w:rsid w:val="00BF6709"/>
    <w:rsid w:val="00BF68FF"/>
    <w:rsid w:val="00BF6E59"/>
    <w:rsid w:val="00BF788C"/>
    <w:rsid w:val="00C00249"/>
    <w:rsid w:val="00C015CF"/>
    <w:rsid w:val="00C02C36"/>
    <w:rsid w:val="00C039A5"/>
    <w:rsid w:val="00C04367"/>
    <w:rsid w:val="00C044D0"/>
    <w:rsid w:val="00C04709"/>
    <w:rsid w:val="00C050EC"/>
    <w:rsid w:val="00C05AF8"/>
    <w:rsid w:val="00C0671B"/>
    <w:rsid w:val="00C0707B"/>
    <w:rsid w:val="00C1045B"/>
    <w:rsid w:val="00C10461"/>
    <w:rsid w:val="00C10587"/>
    <w:rsid w:val="00C105B0"/>
    <w:rsid w:val="00C1070B"/>
    <w:rsid w:val="00C108DF"/>
    <w:rsid w:val="00C114CA"/>
    <w:rsid w:val="00C11ADD"/>
    <w:rsid w:val="00C12058"/>
    <w:rsid w:val="00C124DF"/>
    <w:rsid w:val="00C1270B"/>
    <w:rsid w:val="00C131FE"/>
    <w:rsid w:val="00C13A32"/>
    <w:rsid w:val="00C1447F"/>
    <w:rsid w:val="00C14F4B"/>
    <w:rsid w:val="00C15655"/>
    <w:rsid w:val="00C161CD"/>
    <w:rsid w:val="00C16210"/>
    <w:rsid w:val="00C166DF"/>
    <w:rsid w:val="00C17808"/>
    <w:rsid w:val="00C2012D"/>
    <w:rsid w:val="00C201B2"/>
    <w:rsid w:val="00C2092D"/>
    <w:rsid w:val="00C2113D"/>
    <w:rsid w:val="00C21AC1"/>
    <w:rsid w:val="00C21ADB"/>
    <w:rsid w:val="00C22AEF"/>
    <w:rsid w:val="00C2300A"/>
    <w:rsid w:val="00C2321B"/>
    <w:rsid w:val="00C2346F"/>
    <w:rsid w:val="00C24D5D"/>
    <w:rsid w:val="00C24D72"/>
    <w:rsid w:val="00C2509A"/>
    <w:rsid w:val="00C25401"/>
    <w:rsid w:val="00C265F5"/>
    <w:rsid w:val="00C269DC"/>
    <w:rsid w:val="00C26EB0"/>
    <w:rsid w:val="00C27178"/>
    <w:rsid w:val="00C273EC"/>
    <w:rsid w:val="00C2742C"/>
    <w:rsid w:val="00C2746E"/>
    <w:rsid w:val="00C2796C"/>
    <w:rsid w:val="00C2797D"/>
    <w:rsid w:val="00C30773"/>
    <w:rsid w:val="00C30A15"/>
    <w:rsid w:val="00C30BB1"/>
    <w:rsid w:val="00C30C05"/>
    <w:rsid w:val="00C30C0D"/>
    <w:rsid w:val="00C31115"/>
    <w:rsid w:val="00C31246"/>
    <w:rsid w:val="00C31293"/>
    <w:rsid w:val="00C31E8E"/>
    <w:rsid w:val="00C3262E"/>
    <w:rsid w:val="00C326A9"/>
    <w:rsid w:val="00C33993"/>
    <w:rsid w:val="00C34324"/>
    <w:rsid w:val="00C34AD9"/>
    <w:rsid w:val="00C34B5B"/>
    <w:rsid w:val="00C35C58"/>
    <w:rsid w:val="00C36D43"/>
    <w:rsid w:val="00C37259"/>
    <w:rsid w:val="00C377FF"/>
    <w:rsid w:val="00C40061"/>
    <w:rsid w:val="00C40521"/>
    <w:rsid w:val="00C405AC"/>
    <w:rsid w:val="00C41011"/>
    <w:rsid w:val="00C4188A"/>
    <w:rsid w:val="00C419D5"/>
    <w:rsid w:val="00C41D37"/>
    <w:rsid w:val="00C42F4E"/>
    <w:rsid w:val="00C432F0"/>
    <w:rsid w:val="00C43CA1"/>
    <w:rsid w:val="00C43E14"/>
    <w:rsid w:val="00C44743"/>
    <w:rsid w:val="00C4521F"/>
    <w:rsid w:val="00C45AA1"/>
    <w:rsid w:val="00C45CDF"/>
    <w:rsid w:val="00C46954"/>
    <w:rsid w:val="00C47055"/>
    <w:rsid w:val="00C47088"/>
    <w:rsid w:val="00C471AC"/>
    <w:rsid w:val="00C47363"/>
    <w:rsid w:val="00C47490"/>
    <w:rsid w:val="00C47AB9"/>
    <w:rsid w:val="00C47BBE"/>
    <w:rsid w:val="00C47EEC"/>
    <w:rsid w:val="00C5005F"/>
    <w:rsid w:val="00C50533"/>
    <w:rsid w:val="00C51034"/>
    <w:rsid w:val="00C514E3"/>
    <w:rsid w:val="00C51945"/>
    <w:rsid w:val="00C519EA"/>
    <w:rsid w:val="00C51CA7"/>
    <w:rsid w:val="00C522FE"/>
    <w:rsid w:val="00C52962"/>
    <w:rsid w:val="00C52D67"/>
    <w:rsid w:val="00C53FB7"/>
    <w:rsid w:val="00C55829"/>
    <w:rsid w:val="00C55B8E"/>
    <w:rsid w:val="00C56960"/>
    <w:rsid w:val="00C56EE0"/>
    <w:rsid w:val="00C5759F"/>
    <w:rsid w:val="00C57768"/>
    <w:rsid w:val="00C57E6D"/>
    <w:rsid w:val="00C60176"/>
    <w:rsid w:val="00C60A86"/>
    <w:rsid w:val="00C60DDA"/>
    <w:rsid w:val="00C61114"/>
    <w:rsid w:val="00C61195"/>
    <w:rsid w:val="00C611FC"/>
    <w:rsid w:val="00C61756"/>
    <w:rsid w:val="00C6217D"/>
    <w:rsid w:val="00C621A5"/>
    <w:rsid w:val="00C62A6A"/>
    <w:rsid w:val="00C62B5A"/>
    <w:rsid w:val="00C62C21"/>
    <w:rsid w:val="00C62D85"/>
    <w:rsid w:val="00C63438"/>
    <w:rsid w:val="00C63468"/>
    <w:rsid w:val="00C640C2"/>
    <w:rsid w:val="00C647C4"/>
    <w:rsid w:val="00C648DC"/>
    <w:rsid w:val="00C649C7"/>
    <w:rsid w:val="00C64C6D"/>
    <w:rsid w:val="00C6528A"/>
    <w:rsid w:val="00C65FF6"/>
    <w:rsid w:val="00C66448"/>
    <w:rsid w:val="00C66553"/>
    <w:rsid w:val="00C6659B"/>
    <w:rsid w:val="00C6685B"/>
    <w:rsid w:val="00C66BC2"/>
    <w:rsid w:val="00C671AA"/>
    <w:rsid w:val="00C677D1"/>
    <w:rsid w:val="00C67B14"/>
    <w:rsid w:val="00C70012"/>
    <w:rsid w:val="00C700E8"/>
    <w:rsid w:val="00C703CD"/>
    <w:rsid w:val="00C706DC"/>
    <w:rsid w:val="00C70B5C"/>
    <w:rsid w:val="00C70DB0"/>
    <w:rsid w:val="00C714E1"/>
    <w:rsid w:val="00C71A1C"/>
    <w:rsid w:val="00C71E6F"/>
    <w:rsid w:val="00C71F56"/>
    <w:rsid w:val="00C73BF3"/>
    <w:rsid w:val="00C745C1"/>
    <w:rsid w:val="00C74802"/>
    <w:rsid w:val="00C749AE"/>
    <w:rsid w:val="00C74E81"/>
    <w:rsid w:val="00C751F4"/>
    <w:rsid w:val="00C75391"/>
    <w:rsid w:val="00C75589"/>
    <w:rsid w:val="00C75A5F"/>
    <w:rsid w:val="00C7622E"/>
    <w:rsid w:val="00C762D5"/>
    <w:rsid w:val="00C76366"/>
    <w:rsid w:val="00C766D6"/>
    <w:rsid w:val="00C76AED"/>
    <w:rsid w:val="00C76FB2"/>
    <w:rsid w:val="00C77123"/>
    <w:rsid w:val="00C772FC"/>
    <w:rsid w:val="00C7740C"/>
    <w:rsid w:val="00C775C4"/>
    <w:rsid w:val="00C778C4"/>
    <w:rsid w:val="00C778F2"/>
    <w:rsid w:val="00C77C89"/>
    <w:rsid w:val="00C8042F"/>
    <w:rsid w:val="00C8044C"/>
    <w:rsid w:val="00C81178"/>
    <w:rsid w:val="00C81268"/>
    <w:rsid w:val="00C81458"/>
    <w:rsid w:val="00C815DB"/>
    <w:rsid w:val="00C8196B"/>
    <w:rsid w:val="00C82031"/>
    <w:rsid w:val="00C82254"/>
    <w:rsid w:val="00C83029"/>
    <w:rsid w:val="00C83170"/>
    <w:rsid w:val="00C8408E"/>
    <w:rsid w:val="00C8446C"/>
    <w:rsid w:val="00C84E59"/>
    <w:rsid w:val="00C85EEA"/>
    <w:rsid w:val="00C861FF"/>
    <w:rsid w:val="00C86341"/>
    <w:rsid w:val="00C8721C"/>
    <w:rsid w:val="00C87548"/>
    <w:rsid w:val="00C87D09"/>
    <w:rsid w:val="00C90A40"/>
    <w:rsid w:val="00C91508"/>
    <w:rsid w:val="00C91A1A"/>
    <w:rsid w:val="00C920D7"/>
    <w:rsid w:val="00C926B5"/>
    <w:rsid w:val="00C92882"/>
    <w:rsid w:val="00C92964"/>
    <w:rsid w:val="00C945EC"/>
    <w:rsid w:val="00C94914"/>
    <w:rsid w:val="00C95232"/>
    <w:rsid w:val="00C962B8"/>
    <w:rsid w:val="00C975E9"/>
    <w:rsid w:val="00C979D0"/>
    <w:rsid w:val="00C97AD1"/>
    <w:rsid w:val="00C97C30"/>
    <w:rsid w:val="00CA0061"/>
    <w:rsid w:val="00CA0422"/>
    <w:rsid w:val="00CA0AA0"/>
    <w:rsid w:val="00CA0EC8"/>
    <w:rsid w:val="00CA1087"/>
    <w:rsid w:val="00CA1A21"/>
    <w:rsid w:val="00CA1B44"/>
    <w:rsid w:val="00CA2C4D"/>
    <w:rsid w:val="00CA33D8"/>
    <w:rsid w:val="00CA35C2"/>
    <w:rsid w:val="00CA3F5D"/>
    <w:rsid w:val="00CA41F2"/>
    <w:rsid w:val="00CA4510"/>
    <w:rsid w:val="00CA4849"/>
    <w:rsid w:val="00CA55A5"/>
    <w:rsid w:val="00CA5939"/>
    <w:rsid w:val="00CA67A9"/>
    <w:rsid w:val="00CA68D3"/>
    <w:rsid w:val="00CA7304"/>
    <w:rsid w:val="00CB0B72"/>
    <w:rsid w:val="00CB0B98"/>
    <w:rsid w:val="00CB1089"/>
    <w:rsid w:val="00CB17AD"/>
    <w:rsid w:val="00CB21F7"/>
    <w:rsid w:val="00CB26A8"/>
    <w:rsid w:val="00CB3739"/>
    <w:rsid w:val="00CB3F11"/>
    <w:rsid w:val="00CB4163"/>
    <w:rsid w:val="00CB416A"/>
    <w:rsid w:val="00CB41BE"/>
    <w:rsid w:val="00CB436B"/>
    <w:rsid w:val="00CB461D"/>
    <w:rsid w:val="00CB4AA9"/>
    <w:rsid w:val="00CB5612"/>
    <w:rsid w:val="00CB6473"/>
    <w:rsid w:val="00CB65D7"/>
    <w:rsid w:val="00CB6E5C"/>
    <w:rsid w:val="00CB6FBE"/>
    <w:rsid w:val="00CB7029"/>
    <w:rsid w:val="00CB74A4"/>
    <w:rsid w:val="00CB7790"/>
    <w:rsid w:val="00CC034D"/>
    <w:rsid w:val="00CC0374"/>
    <w:rsid w:val="00CC09DC"/>
    <w:rsid w:val="00CC19A8"/>
    <w:rsid w:val="00CC1B11"/>
    <w:rsid w:val="00CC2F7D"/>
    <w:rsid w:val="00CC3062"/>
    <w:rsid w:val="00CC3DEA"/>
    <w:rsid w:val="00CC3F08"/>
    <w:rsid w:val="00CC5005"/>
    <w:rsid w:val="00CC50FA"/>
    <w:rsid w:val="00CC54DA"/>
    <w:rsid w:val="00CC5514"/>
    <w:rsid w:val="00CC5767"/>
    <w:rsid w:val="00CC57AC"/>
    <w:rsid w:val="00CC609E"/>
    <w:rsid w:val="00CC63DC"/>
    <w:rsid w:val="00CC75F7"/>
    <w:rsid w:val="00CD002A"/>
    <w:rsid w:val="00CD0B3C"/>
    <w:rsid w:val="00CD2351"/>
    <w:rsid w:val="00CD2516"/>
    <w:rsid w:val="00CD2D60"/>
    <w:rsid w:val="00CD2DED"/>
    <w:rsid w:val="00CD3475"/>
    <w:rsid w:val="00CD36B8"/>
    <w:rsid w:val="00CD3A53"/>
    <w:rsid w:val="00CD43F6"/>
    <w:rsid w:val="00CD4B01"/>
    <w:rsid w:val="00CD4FBA"/>
    <w:rsid w:val="00CD59F2"/>
    <w:rsid w:val="00CD5EBB"/>
    <w:rsid w:val="00CD68F8"/>
    <w:rsid w:val="00CD6CE6"/>
    <w:rsid w:val="00CD6D52"/>
    <w:rsid w:val="00CD75CC"/>
    <w:rsid w:val="00CE0BB7"/>
    <w:rsid w:val="00CE0CDB"/>
    <w:rsid w:val="00CE1AA9"/>
    <w:rsid w:val="00CE1B1B"/>
    <w:rsid w:val="00CE1EF0"/>
    <w:rsid w:val="00CE22BF"/>
    <w:rsid w:val="00CE242E"/>
    <w:rsid w:val="00CE2AB4"/>
    <w:rsid w:val="00CE35BC"/>
    <w:rsid w:val="00CE3DCA"/>
    <w:rsid w:val="00CE3E26"/>
    <w:rsid w:val="00CE44F1"/>
    <w:rsid w:val="00CE4A2B"/>
    <w:rsid w:val="00CE4B19"/>
    <w:rsid w:val="00CE5060"/>
    <w:rsid w:val="00CE5546"/>
    <w:rsid w:val="00CE5B7C"/>
    <w:rsid w:val="00CE6296"/>
    <w:rsid w:val="00CE6750"/>
    <w:rsid w:val="00CE688C"/>
    <w:rsid w:val="00CE6B4A"/>
    <w:rsid w:val="00CE6BB1"/>
    <w:rsid w:val="00CE70E4"/>
    <w:rsid w:val="00CE755A"/>
    <w:rsid w:val="00CF00E0"/>
    <w:rsid w:val="00CF0278"/>
    <w:rsid w:val="00CF0792"/>
    <w:rsid w:val="00CF07DA"/>
    <w:rsid w:val="00CF2224"/>
    <w:rsid w:val="00CF2333"/>
    <w:rsid w:val="00CF2537"/>
    <w:rsid w:val="00CF2572"/>
    <w:rsid w:val="00CF3316"/>
    <w:rsid w:val="00CF432F"/>
    <w:rsid w:val="00CF4FB7"/>
    <w:rsid w:val="00CF53D4"/>
    <w:rsid w:val="00CF6204"/>
    <w:rsid w:val="00CF7131"/>
    <w:rsid w:val="00CF7C40"/>
    <w:rsid w:val="00CF7F23"/>
    <w:rsid w:val="00D00669"/>
    <w:rsid w:val="00D00B2C"/>
    <w:rsid w:val="00D00CF8"/>
    <w:rsid w:val="00D01AEF"/>
    <w:rsid w:val="00D01DAA"/>
    <w:rsid w:val="00D01E4D"/>
    <w:rsid w:val="00D01F0D"/>
    <w:rsid w:val="00D02284"/>
    <w:rsid w:val="00D024E0"/>
    <w:rsid w:val="00D029E5"/>
    <w:rsid w:val="00D02B12"/>
    <w:rsid w:val="00D02B57"/>
    <w:rsid w:val="00D03F0E"/>
    <w:rsid w:val="00D04420"/>
    <w:rsid w:val="00D0464D"/>
    <w:rsid w:val="00D04D68"/>
    <w:rsid w:val="00D05045"/>
    <w:rsid w:val="00D0561E"/>
    <w:rsid w:val="00D06167"/>
    <w:rsid w:val="00D06896"/>
    <w:rsid w:val="00D06D2A"/>
    <w:rsid w:val="00D07173"/>
    <w:rsid w:val="00D074CF"/>
    <w:rsid w:val="00D10005"/>
    <w:rsid w:val="00D1027F"/>
    <w:rsid w:val="00D119C4"/>
    <w:rsid w:val="00D11D6F"/>
    <w:rsid w:val="00D11D80"/>
    <w:rsid w:val="00D1300E"/>
    <w:rsid w:val="00D13DE8"/>
    <w:rsid w:val="00D15117"/>
    <w:rsid w:val="00D15DD7"/>
    <w:rsid w:val="00D166FC"/>
    <w:rsid w:val="00D167CB"/>
    <w:rsid w:val="00D171E1"/>
    <w:rsid w:val="00D1789F"/>
    <w:rsid w:val="00D207F8"/>
    <w:rsid w:val="00D2167E"/>
    <w:rsid w:val="00D21D71"/>
    <w:rsid w:val="00D2222E"/>
    <w:rsid w:val="00D22971"/>
    <w:rsid w:val="00D22BFD"/>
    <w:rsid w:val="00D22E99"/>
    <w:rsid w:val="00D22FC3"/>
    <w:rsid w:val="00D23032"/>
    <w:rsid w:val="00D23DF5"/>
    <w:rsid w:val="00D245EE"/>
    <w:rsid w:val="00D2482B"/>
    <w:rsid w:val="00D25657"/>
    <w:rsid w:val="00D26507"/>
    <w:rsid w:val="00D2709E"/>
    <w:rsid w:val="00D27416"/>
    <w:rsid w:val="00D27D50"/>
    <w:rsid w:val="00D27F94"/>
    <w:rsid w:val="00D302A5"/>
    <w:rsid w:val="00D3128D"/>
    <w:rsid w:val="00D33118"/>
    <w:rsid w:val="00D3323B"/>
    <w:rsid w:val="00D33ACB"/>
    <w:rsid w:val="00D33B27"/>
    <w:rsid w:val="00D33D4E"/>
    <w:rsid w:val="00D33F70"/>
    <w:rsid w:val="00D3400E"/>
    <w:rsid w:val="00D341D3"/>
    <w:rsid w:val="00D34593"/>
    <w:rsid w:val="00D356D4"/>
    <w:rsid w:val="00D35E48"/>
    <w:rsid w:val="00D36ECF"/>
    <w:rsid w:val="00D3793B"/>
    <w:rsid w:val="00D401AC"/>
    <w:rsid w:val="00D4047C"/>
    <w:rsid w:val="00D4079A"/>
    <w:rsid w:val="00D40D6C"/>
    <w:rsid w:val="00D40E99"/>
    <w:rsid w:val="00D42166"/>
    <w:rsid w:val="00D42528"/>
    <w:rsid w:val="00D42D54"/>
    <w:rsid w:val="00D44E44"/>
    <w:rsid w:val="00D4531C"/>
    <w:rsid w:val="00D457FA"/>
    <w:rsid w:val="00D45F6A"/>
    <w:rsid w:val="00D460C5"/>
    <w:rsid w:val="00D4773E"/>
    <w:rsid w:val="00D47EE6"/>
    <w:rsid w:val="00D5025F"/>
    <w:rsid w:val="00D50293"/>
    <w:rsid w:val="00D507A9"/>
    <w:rsid w:val="00D50FC2"/>
    <w:rsid w:val="00D511C7"/>
    <w:rsid w:val="00D51480"/>
    <w:rsid w:val="00D51BE4"/>
    <w:rsid w:val="00D525F3"/>
    <w:rsid w:val="00D52B96"/>
    <w:rsid w:val="00D52F85"/>
    <w:rsid w:val="00D53036"/>
    <w:rsid w:val="00D5339F"/>
    <w:rsid w:val="00D538D0"/>
    <w:rsid w:val="00D53D60"/>
    <w:rsid w:val="00D53FB0"/>
    <w:rsid w:val="00D54BB5"/>
    <w:rsid w:val="00D54C95"/>
    <w:rsid w:val="00D555E0"/>
    <w:rsid w:val="00D56009"/>
    <w:rsid w:val="00D56169"/>
    <w:rsid w:val="00D572A6"/>
    <w:rsid w:val="00D5739E"/>
    <w:rsid w:val="00D57758"/>
    <w:rsid w:val="00D57E06"/>
    <w:rsid w:val="00D60100"/>
    <w:rsid w:val="00D6053F"/>
    <w:rsid w:val="00D60BB7"/>
    <w:rsid w:val="00D610D3"/>
    <w:rsid w:val="00D61904"/>
    <w:rsid w:val="00D61E7A"/>
    <w:rsid w:val="00D62588"/>
    <w:rsid w:val="00D6265A"/>
    <w:rsid w:val="00D630DC"/>
    <w:rsid w:val="00D63434"/>
    <w:rsid w:val="00D63A58"/>
    <w:rsid w:val="00D63E01"/>
    <w:rsid w:val="00D640AF"/>
    <w:rsid w:val="00D647EE"/>
    <w:rsid w:val="00D64836"/>
    <w:rsid w:val="00D65115"/>
    <w:rsid w:val="00D663E7"/>
    <w:rsid w:val="00D66450"/>
    <w:rsid w:val="00D66661"/>
    <w:rsid w:val="00D66880"/>
    <w:rsid w:val="00D66C1C"/>
    <w:rsid w:val="00D66F95"/>
    <w:rsid w:val="00D674F1"/>
    <w:rsid w:val="00D67605"/>
    <w:rsid w:val="00D702AA"/>
    <w:rsid w:val="00D706A8"/>
    <w:rsid w:val="00D70933"/>
    <w:rsid w:val="00D7266F"/>
    <w:rsid w:val="00D72CA2"/>
    <w:rsid w:val="00D7362A"/>
    <w:rsid w:val="00D73A10"/>
    <w:rsid w:val="00D73A1A"/>
    <w:rsid w:val="00D73DDC"/>
    <w:rsid w:val="00D74BBE"/>
    <w:rsid w:val="00D74BC5"/>
    <w:rsid w:val="00D76650"/>
    <w:rsid w:val="00D76BC1"/>
    <w:rsid w:val="00D77000"/>
    <w:rsid w:val="00D7749E"/>
    <w:rsid w:val="00D77583"/>
    <w:rsid w:val="00D77C22"/>
    <w:rsid w:val="00D77F36"/>
    <w:rsid w:val="00D81301"/>
    <w:rsid w:val="00D818D6"/>
    <w:rsid w:val="00D81C34"/>
    <w:rsid w:val="00D825F1"/>
    <w:rsid w:val="00D826AF"/>
    <w:rsid w:val="00D82897"/>
    <w:rsid w:val="00D82C5B"/>
    <w:rsid w:val="00D82DA4"/>
    <w:rsid w:val="00D82F62"/>
    <w:rsid w:val="00D8343E"/>
    <w:rsid w:val="00D838A8"/>
    <w:rsid w:val="00D83C87"/>
    <w:rsid w:val="00D83FE0"/>
    <w:rsid w:val="00D84171"/>
    <w:rsid w:val="00D84673"/>
    <w:rsid w:val="00D8545A"/>
    <w:rsid w:val="00D855D6"/>
    <w:rsid w:val="00D85987"/>
    <w:rsid w:val="00D85A16"/>
    <w:rsid w:val="00D85BB2"/>
    <w:rsid w:val="00D86F96"/>
    <w:rsid w:val="00D86FE8"/>
    <w:rsid w:val="00D876CC"/>
    <w:rsid w:val="00D8785D"/>
    <w:rsid w:val="00D87976"/>
    <w:rsid w:val="00D87DA7"/>
    <w:rsid w:val="00D87F13"/>
    <w:rsid w:val="00D90377"/>
    <w:rsid w:val="00D91846"/>
    <w:rsid w:val="00D92340"/>
    <w:rsid w:val="00D924CF"/>
    <w:rsid w:val="00D92512"/>
    <w:rsid w:val="00D92931"/>
    <w:rsid w:val="00D9440A"/>
    <w:rsid w:val="00D94911"/>
    <w:rsid w:val="00D94EC3"/>
    <w:rsid w:val="00D94F9C"/>
    <w:rsid w:val="00D95007"/>
    <w:rsid w:val="00D951C2"/>
    <w:rsid w:val="00D951C4"/>
    <w:rsid w:val="00D9541F"/>
    <w:rsid w:val="00D95468"/>
    <w:rsid w:val="00D954A9"/>
    <w:rsid w:val="00D955F4"/>
    <w:rsid w:val="00D95A43"/>
    <w:rsid w:val="00D95F97"/>
    <w:rsid w:val="00D960B7"/>
    <w:rsid w:val="00D963BB"/>
    <w:rsid w:val="00D972B5"/>
    <w:rsid w:val="00D9744D"/>
    <w:rsid w:val="00D97D05"/>
    <w:rsid w:val="00D97F3F"/>
    <w:rsid w:val="00DA0BC1"/>
    <w:rsid w:val="00DA1073"/>
    <w:rsid w:val="00DA158B"/>
    <w:rsid w:val="00DA19AD"/>
    <w:rsid w:val="00DA1A0F"/>
    <w:rsid w:val="00DA28F9"/>
    <w:rsid w:val="00DA28FD"/>
    <w:rsid w:val="00DA2E12"/>
    <w:rsid w:val="00DA3410"/>
    <w:rsid w:val="00DA38C7"/>
    <w:rsid w:val="00DA4C0E"/>
    <w:rsid w:val="00DA4F10"/>
    <w:rsid w:val="00DA541F"/>
    <w:rsid w:val="00DA68D2"/>
    <w:rsid w:val="00DA6F02"/>
    <w:rsid w:val="00DB0369"/>
    <w:rsid w:val="00DB110B"/>
    <w:rsid w:val="00DB1383"/>
    <w:rsid w:val="00DB1A17"/>
    <w:rsid w:val="00DB1E91"/>
    <w:rsid w:val="00DB218A"/>
    <w:rsid w:val="00DB299C"/>
    <w:rsid w:val="00DB2E4D"/>
    <w:rsid w:val="00DB3346"/>
    <w:rsid w:val="00DB3B75"/>
    <w:rsid w:val="00DB3EAA"/>
    <w:rsid w:val="00DB4406"/>
    <w:rsid w:val="00DB5333"/>
    <w:rsid w:val="00DB54D8"/>
    <w:rsid w:val="00DB5A97"/>
    <w:rsid w:val="00DB5E1C"/>
    <w:rsid w:val="00DB69F0"/>
    <w:rsid w:val="00DB6D31"/>
    <w:rsid w:val="00DB6E4E"/>
    <w:rsid w:val="00DB6F62"/>
    <w:rsid w:val="00DB7468"/>
    <w:rsid w:val="00DB76D8"/>
    <w:rsid w:val="00DB7B64"/>
    <w:rsid w:val="00DB7B90"/>
    <w:rsid w:val="00DC0021"/>
    <w:rsid w:val="00DC0050"/>
    <w:rsid w:val="00DC0097"/>
    <w:rsid w:val="00DC050B"/>
    <w:rsid w:val="00DC1B9F"/>
    <w:rsid w:val="00DC1D44"/>
    <w:rsid w:val="00DC1EB5"/>
    <w:rsid w:val="00DC2ACD"/>
    <w:rsid w:val="00DC314B"/>
    <w:rsid w:val="00DC3A25"/>
    <w:rsid w:val="00DC3E99"/>
    <w:rsid w:val="00DC4DBA"/>
    <w:rsid w:val="00DC4FE5"/>
    <w:rsid w:val="00DC60A0"/>
    <w:rsid w:val="00DC655C"/>
    <w:rsid w:val="00DC6635"/>
    <w:rsid w:val="00DC67F3"/>
    <w:rsid w:val="00DC6A8C"/>
    <w:rsid w:val="00DC7985"/>
    <w:rsid w:val="00DD03CA"/>
    <w:rsid w:val="00DD0766"/>
    <w:rsid w:val="00DD0D07"/>
    <w:rsid w:val="00DD0DE9"/>
    <w:rsid w:val="00DD1737"/>
    <w:rsid w:val="00DD176B"/>
    <w:rsid w:val="00DD17E6"/>
    <w:rsid w:val="00DD1820"/>
    <w:rsid w:val="00DD2CDA"/>
    <w:rsid w:val="00DD2FDF"/>
    <w:rsid w:val="00DD3022"/>
    <w:rsid w:val="00DD3184"/>
    <w:rsid w:val="00DD3483"/>
    <w:rsid w:val="00DD366C"/>
    <w:rsid w:val="00DD437C"/>
    <w:rsid w:val="00DD4EBA"/>
    <w:rsid w:val="00DD5C0C"/>
    <w:rsid w:val="00DD68F5"/>
    <w:rsid w:val="00DD73AB"/>
    <w:rsid w:val="00DD7FFB"/>
    <w:rsid w:val="00DE091B"/>
    <w:rsid w:val="00DE0BBC"/>
    <w:rsid w:val="00DE12FB"/>
    <w:rsid w:val="00DE217F"/>
    <w:rsid w:val="00DE3EC8"/>
    <w:rsid w:val="00DE41AF"/>
    <w:rsid w:val="00DE4847"/>
    <w:rsid w:val="00DE4C14"/>
    <w:rsid w:val="00DE542A"/>
    <w:rsid w:val="00DE63B2"/>
    <w:rsid w:val="00DE6D8C"/>
    <w:rsid w:val="00DE75D8"/>
    <w:rsid w:val="00DE7D29"/>
    <w:rsid w:val="00DE7D79"/>
    <w:rsid w:val="00DE7E3E"/>
    <w:rsid w:val="00DF024A"/>
    <w:rsid w:val="00DF043F"/>
    <w:rsid w:val="00DF0793"/>
    <w:rsid w:val="00DF11AE"/>
    <w:rsid w:val="00DF248D"/>
    <w:rsid w:val="00DF2725"/>
    <w:rsid w:val="00DF2772"/>
    <w:rsid w:val="00DF2773"/>
    <w:rsid w:val="00DF27BF"/>
    <w:rsid w:val="00DF281A"/>
    <w:rsid w:val="00DF3055"/>
    <w:rsid w:val="00DF357B"/>
    <w:rsid w:val="00DF36A0"/>
    <w:rsid w:val="00DF464A"/>
    <w:rsid w:val="00DF56B8"/>
    <w:rsid w:val="00DF5991"/>
    <w:rsid w:val="00DF5AED"/>
    <w:rsid w:val="00DF5E05"/>
    <w:rsid w:val="00DF6B66"/>
    <w:rsid w:val="00E00BA2"/>
    <w:rsid w:val="00E00ECF"/>
    <w:rsid w:val="00E01A8D"/>
    <w:rsid w:val="00E0220C"/>
    <w:rsid w:val="00E0228D"/>
    <w:rsid w:val="00E026EC"/>
    <w:rsid w:val="00E02D5E"/>
    <w:rsid w:val="00E030E2"/>
    <w:rsid w:val="00E03122"/>
    <w:rsid w:val="00E033A3"/>
    <w:rsid w:val="00E03A74"/>
    <w:rsid w:val="00E04653"/>
    <w:rsid w:val="00E04AD1"/>
    <w:rsid w:val="00E063BE"/>
    <w:rsid w:val="00E06A37"/>
    <w:rsid w:val="00E073B7"/>
    <w:rsid w:val="00E0757D"/>
    <w:rsid w:val="00E103BC"/>
    <w:rsid w:val="00E10776"/>
    <w:rsid w:val="00E11889"/>
    <w:rsid w:val="00E120FD"/>
    <w:rsid w:val="00E135D4"/>
    <w:rsid w:val="00E13B71"/>
    <w:rsid w:val="00E13F5B"/>
    <w:rsid w:val="00E140A2"/>
    <w:rsid w:val="00E141BC"/>
    <w:rsid w:val="00E146D8"/>
    <w:rsid w:val="00E1487D"/>
    <w:rsid w:val="00E15047"/>
    <w:rsid w:val="00E15BAA"/>
    <w:rsid w:val="00E1656C"/>
    <w:rsid w:val="00E16915"/>
    <w:rsid w:val="00E16A86"/>
    <w:rsid w:val="00E176B9"/>
    <w:rsid w:val="00E17A44"/>
    <w:rsid w:val="00E17A80"/>
    <w:rsid w:val="00E204C2"/>
    <w:rsid w:val="00E20784"/>
    <w:rsid w:val="00E207EE"/>
    <w:rsid w:val="00E2106B"/>
    <w:rsid w:val="00E213B9"/>
    <w:rsid w:val="00E2154A"/>
    <w:rsid w:val="00E216A4"/>
    <w:rsid w:val="00E21E72"/>
    <w:rsid w:val="00E22107"/>
    <w:rsid w:val="00E23BFB"/>
    <w:rsid w:val="00E240CA"/>
    <w:rsid w:val="00E24AB3"/>
    <w:rsid w:val="00E255BE"/>
    <w:rsid w:val="00E25B21"/>
    <w:rsid w:val="00E26196"/>
    <w:rsid w:val="00E2625C"/>
    <w:rsid w:val="00E269E1"/>
    <w:rsid w:val="00E271AF"/>
    <w:rsid w:val="00E27333"/>
    <w:rsid w:val="00E27AB3"/>
    <w:rsid w:val="00E27AF8"/>
    <w:rsid w:val="00E27BB6"/>
    <w:rsid w:val="00E27BBC"/>
    <w:rsid w:val="00E30D13"/>
    <w:rsid w:val="00E30D2D"/>
    <w:rsid w:val="00E314BE"/>
    <w:rsid w:val="00E31998"/>
    <w:rsid w:val="00E32985"/>
    <w:rsid w:val="00E33118"/>
    <w:rsid w:val="00E331DB"/>
    <w:rsid w:val="00E33A5B"/>
    <w:rsid w:val="00E3432C"/>
    <w:rsid w:val="00E343B9"/>
    <w:rsid w:val="00E34412"/>
    <w:rsid w:val="00E350D4"/>
    <w:rsid w:val="00E3530A"/>
    <w:rsid w:val="00E357B3"/>
    <w:rsid w:val="00E35D74"/>
    <w:rsid w:val="00E35DB2"/>
    <w:rsid w:val="00E35E5E"/>
    <w:rsid w:val="00E37982"/>
    <w:rsid w:val="00E37BE1"/>
    <w:rsid w:val="00E37F9B"/>
    <w:rsid w:val="00E40D12"/>
    <w:rsid w:val="00E40E76"/>
    <w:rsid w:val="00E4136C"/>
    <w:rsid w:val="00E41B37"/>
    <w:rsid w:val="00E41BC4"/>
    <w:rsid w:val="00E41D4A"/>
    <w:rsid w:val="00E42451"/>
    <w:rsid w:val="00E424A5"/>
    <w:rsid w:val="00E4303A"/>
    <w:rsid w:val="00E43544"/>
    <w:rsid w:val="00E43D11"/>
    <w:rsid w:val="00E43D9A"/>
    <w:rsid w:val="00E44C36"/>
    <w:rsid w:val="00E45272"/>
    <w:rsid w:val="00E45770"/>
    <w:rsid w:val="00E459C9"/>
    <w:rsid w:val="00E45ED7"/>
    <w:rsid w:val="00E45FD5"/>
    <w:rsid w:val="00E463E9"/>
    <w:rsid w:val="00E46548"/>
    <w:rsid w:val="00E46C83"/>
    <w:rsid w:val="00E472AC"/>
    <w:rsid w:val="00E472D6"/>
    <w:rsid w:val="00E47C20"/>
    <w:rsid w:val="00E502A3"/>
    <w:rsid w:val="00E50385"/>
    <w:rsid w:val="00E5051E"/>
    <w:rsid w:val="00E50947"/>
    <w:rsid w:val="00E50EF7"/>
    <w:rsid w:val="00E510BA"/>
    <w:rsid w:val="00E517DC"/>
    <w:rsid w:val="00E52095"/>
    <w:rsid w:val="00E521C3"/>
    <w:rsid w:val="00E52F44"/>
    <w:rsid w:val="00E530C3"/>
    <w:rsid w:val="00E53160"/>
    <w:rsid w:val="00E53D81"/>
    <w:rsid w:val="00E53F08"/>
    <w:rsid w:val="00E54688"/>
    <w:rsid w:val="00E551F4"/>
    <w:rsid w:val="00E55398"/>
    <w:rsid w:val="00E55669"/>
    <w:rsid w:val="00E566B7"/>
    <w:rsid w:val="00E567E6"/>
    <w:rsid w:val="00E57756"/>
    <w:rsid w:val="00E600C8"/>
    <w:rsid w:val="00E60516"/>
    <w:rsid w:val="00E611A3"/>
    <w:rsid w:val="00E6154A"/>
    <w:rsid w:val="00E6177A"/>
    <w:rsid w:val="00E618B2"/>
    <w:rsid w:val="00E61E05"/>
    <w:rsid w:val="00E62C17"/>
    <w:rsid w:val="00E62E1A"/>
    <w:rsid w:val="00E62E53"/>
    <w:rsid w:val="00E63558"/>
    <w:rsid w:val="00E63847"/>
    <w:rsid w:val="00E63A22"/>
    <w:rsid w:val="00E640EB"/>
    <w:rsid w:val="00E64410"/>
    <w:rsid w:val="00E64710"/>
    <w:rsid w:val="00E65196"/>
    <w:rsid w:val="00E664C1"/>
    <w:rsid w:val="00E66C01"/>
    <w:rsid w:val="00E67670"/>
    <w:rsid w:val="00E6771A"/>
    <w:rsid w:val="00E67FB8"/>
    <w:rsid w:val="00E70137"/>
    <w:rsid w:val="00E70AAD"/>
    <w:rsid w:val="00E71AE2"/>
    <w:rsid w:val="00E725CC"/>
    <w:rsid w:val="00E726D1"/>
    <w:rsid w:val="00E72B8F"/>
    <w:rsid w:val="00E73945"/>
    <w:rsid w:val="00E73D35"/>
    <w:rsid w:val="00E74674"/>
    <w:rsid w:val="00E75329"/>
    <w:rsid w:val="00E763D9"/>
    <w:rsid w:val="00E764CC"/>
    <w:rsid w:val="00E76655"/>
    <w:rsid w:val="00E7787E"/>
    <w:rsid w:val="00E778BD"/>
    <w:rsid w:val="00E8096F"/>
    <w:rsid w:val="00E80F07"/>
    <w:rsid w:val="00E81446"/>
    <w:rsid w:val="00E81B6F"/>
    <w:rsid w:val="00E82064"/>
    <w:rsid w:val="00E820BB"/>
    <w:rsid w:val="00E82B6E"/>
    <w:rsid w:val="00E8348D"/>
    <w:rsid w:val="00E83707"/>
    <w:rsid w:val="00E83E27"/>
    <w:rsid w:val="00E84AA8"/>
    <w:rsid w:val="00E85056"/>
    <w:rsid w:val="00E858D9"/>
    <w:rsid w:val="00E862E6"/>
    <w:rsid w:val="00E86303"/>
    <w:rsid w:val="00E871F6"/>
    <w:rsid w:val="00E87549"/>
    <w:rsid w:val="00E87646"/>
    <w:rsid w:val="00E900AA"/>
    <w:rsid w:val="00E90EC8"/>
    <w:rsid w:val="00E914F5"/>
    <w:rsid w:val="00E9150B"/>
    <w:rsid w:val="00E919DA"/>
    <w:rsid w:val="00E91FB4"/>
    <w:rsid w:val="00E92C3E"/>
    <w:rsid w:val="00E930AC"/>
    <w:rsid w:val="00E949D9"/>
    <w:rsid w:val="00E950F2"/>
    <w:rsid w:val="00E95138"/>
    <w:rsid w:val="00E9530E"/>
    <w:rsid w:val="00E95A2D"/>
    <w:rsid w:val="00E964EF"/>
    <w:rsid w:val="00E9709B"/>
    <w:rsid w:val="00E97186"/>
    <w:rsid w:val="00E97919"/>
    <w:rsid w:val="00E97E25"/>
    <w:rsid w:val="00E97E9F"/>
    <w:rsid w:val="00EA0AD9"/>
    <w:rsid w:val="00EA0C49"/>
    <w:rsid w:val="00EA0E1A"/>
    <w:rsid w:val="00EA10FF"/>
    <w:rsid w:val="00EA1396"/>
    <w:rsid w:val="00EA154C"/>
    <w:rsid w:val="00EA26DA"/>
    <w:rsid w:val="00EA273A"/>
    <w:rsid w:val="00EA2CA8"/>
    <w:rsid w:val="00EA2E2E"/>
    <w:rsid w:val="00EA2FF2"/>
    <w:rsid w:val="00EA3418"/>
    <w:rsid w:val="00EA3CC1"/>
    <w:rsid w:val="00EA4283"/>
    <w:rsid w:val="00EA471D"/>
    <w:rsid w:val="00EA4AF2"/>
    <w:rsid w:val="00EA546B"/>
    <w:rsid w:val="00EA5C48"/>
    <w:rsid w:val="00EA6484"/>
    <w:rsid w:val="00EA6D79"/>
    <w:rsid w:val="00EA77B1"/>
    <w:rsid w:val="00EA7FC6"/>
    <w:rsid w:val="00EB06C9"/>
    <w:rsid w:val="00EB0F73"/>
    <w:rsid w:val="00EB1195"/>
    <w:rsid w:val="00EB1314"/>
    <w:rsid w:val="00EB1A9E"/>
    <w:rsid w:val="00EB2120"/>
    <w:rsid w:val="00EB2311"/>
    <w:rsid w:val="00EB269F"/>
    <w:rsid w:val="00EB2750"/>
    <w:rsid w:val="00EB3630"/>
    <w:rsid w:val="00EB3EC3"/>
    <w:rsid w:val="00EB4C63"/>
    <w:rsid w:val="00EB592E"/>
    <w:rsid w:val="00EB5E35"/>
    <w:rsid w:val="00EB63BB"/>
    <w:rsid w:val="00EB66F9"/>
    <w:rsid w:val="00EB7230"/>
    <w:rsid w:val="00EB7643"/>
    <w:rsid w:val="00EB7FF8"/>
    <w:rsid w:val="00EC066A"/>
    <w:rsid w:val="00EC0EEB"/>
    <w:rsid w:val="00EC1220"/>
    <w:rsid w:val="00EC1923"/>
    <w:rsid w:val="00EC1B06"/>
    <w:rsid w:val="00EC2441"/>
    <w:rsid w:val="00EC317F"/>
    <w:rsid w:val="00EC4650"/>
    <w:rsid w:val="00EC51A4"/>
    <w:rsid w:val="00EC5341"/>
    <w:rsid w:val="00EC5498"/>
    <w:rsid w:val="00EC588C"/>
    <w:rsid w:val="00EC6510"/>
    <w:rsid w:val="00EC67CF"/>
    <w:rsid w:val="00EC72FF"/>
    <w:rsid w:val="00EC7E41"/>
    <w:rsid w:val="00EC7F11"/>
    <w:rsid w:val="00ED0099"/>
    <w:rsid w:val="00ED0CD2"/>
    <w:rsid w:val="00ED1122"/>
    <w:rsid w:val="00ED148E"/>
    <w:rsid w:val="00ED1885"/>
    <w:rsid w:val="00ED2905"/>
    <w:rsid w:val="00ED294B"/>
    <w:rsid w:val="00ED421C"/>
    <w:rsid w:val="00ED50E3"/>
    <w:rsid w:val="00ED5A1D"/>
    <w:rsid w:val="00ED5FC5"/>
    <w:rsid w:val="00ED6614"/>
    <w:rsid w:val="00ED6A1C"/>
    <w:rsid w:val="00ED7174"/>
    <w:rsid w:val="00ED75BB"/>
    <w:rsid w:val="00EE0728"/>
    <w:rsid w:val="00EE18B9"/>
    <w:rsid w:val="00EE1A98"/>
    <w:rsid w:val="00EE1FA6"/>
    <w:rsid w:val="00EE294B"/>
    <w:rsid w:val="00EE4671"/>
    <w:rsid w:val="00EE46A9"/>
    <w:rsid w:val="00EE4E80"/>
    <w:rsid w:val="00EE589F"/>
    <w:rsid w:val="00EE6BFC"/>
    <w:rsid w:val="00EE6EA5"/>
    <w:rsid w:val="00EE76C9"/>
    <w:rsid w:val="00EE7DBB"/>
    <w:rsid w:val="00EE7E30"/>
    <w:rsid w:val="00EF000C"/>
    <w:rsid w:val="00EF1AE1"/>
    <w:rsid w:val="00EF1BDF"/>
    <w:rsid w:val="00EF1D20"/>
    <w:rsid w:val="00EF1EE6"/>
    <w:rsid w:val="00EF2231"/>
    <w:rsid w:val="00EF2279"/>
    <w:rsid w:val="00EF3E74"/>
    <w:rsid w:val="00EF442F"/>
    <w:rsid w:val="00EF5226"/>
    <w:rsid w:val="00EF52D7"/>
    <w:rsid w:val="00EF54A3"/>
    <w:rsid w:val="00EF5790"/>
    <w:rsid w:val="00EF58D2"/>
    <w:rsid w:val="00EF5B03"/>
    <w:rsid w:val="00EF5FB5"/>
    <w:rsid w:val="00EF61BB"/>
    <w:rsid w:val="00EF6745"/>
    <w:rsid w:val="00EF6909"/>
    <w:rsid w:val="00EF692B"/>
    <w:rsid w:val="00EF6CA5"/>
    <w:rsid w:val="00EF6E7B"/>
    <w:rsid w:val="00EF6F18"/>
    <w:rsid w:val="00EF74F5"/>
    <w:rsid w:val="00EF7BDD"/>
    <w:rsid w:val="00EF7CD0"/>
    <w:rsid w:val="00EF7D7B"/>
    <w:rsid w:val="00F006E9"/>
    <w:rsid w:val="00F006F3"/>
    <w:rsid w:val="00F0076C"/>
    <w:rsid w:val="00F0155D"/>
    <w:rsid w:val="00F01DE7"/>
    <w:rsid w:val="00F02234"/>
    <w:rsid w:val="00F032B1"/>
    <w:rsid w:val="00F034A4"/>
    <w:rsid w:val="00F039FC"/>
    <w:rsid w:val="00F0421A"/>
    <w:rsid w:val="00F0592C"/>
    <w:rsid w:val="00F05B50"/>
    <w:rsid w:val="00F06D7C"/>
    <w:rsid w:val="00F06E33"/>
    <w:rsid w:val="00F0722E"/>
    <w:rsid w:val="00F0740B"/>
    <w:rsid w:val="00F07628"/>
    <w:rsid w:val="00F10378"/>
    <w:rsid w:val="00F1039A"/>
    <w:rsid w:val="00F1057C"/>
    <w:rsid w:val="00F1069C"/>
    <w:rsid w:val="00F107C4"/>
    <w:rsid w:val="00F10E14"/>
    <w:rsid w:val="00F11556"/>
    <w:rsid w:val="00F118B0"/>
    <w:rsid w:val="00F11A01"/>
    <w:rsid w:val="00F12226"/>
    <w:rsid w:val="00F128EB"/>
    <w:rsid w:val="00F12DB4"/>
    <w:rsid w:val="00F12F88"/>
    <w:rsid w:val="00F1365A"/>
    <w:rsid w:val="00F13F78"/>
    <w:rsid w:val="00F14650"/>
    <w:rsid w:val="00F14B75"/>
    <w:rsid w:val="00F156B1"/>
    <w:rsid w:val="00F156B5"/>
    <w:rsid w:val="00F15C8F"/>
    <w:rsid w:val="00F160BB"/>
    <w:rsid w:val="00F160F5"/>
    <w:rsid w:val="00F17F6D"/>
    <w:rsid w:val="00F204E6"/>
    <w:rsid w:val="00F20EE7"/>
    <w:rsid w:val="00F2147D"/>
    <w:rsid w:val="00F21B37"/>
    <w:rsid w:val="00F22004"/>
    <w:rsid w:val="00F221E3"/>
    <w:rsid w:val="00F226D0"/>
    <w:rsid w:val="00F22A8B"/>
    <w:rsid w:val="00F23F88"/>
    <w:rsid w:val="00F24292"/>
    <w:rsid w:val="00F24F1B"/>
    <w:rsid w:val="00F25BC2"/>
    <w:rsid w:val="00F26CA9"/>
    <w:rsid w:val="00F2755F"/>
    <w:rsid w:val="00F276A3"/>
    <w:rsid w:val="00F3141B"/>
    <w:rsid w:val="00F31ED5"/>
    <w:rsid w:val="00F32D90"/>
    <w:rsid w:val="00F33638"/>
    <w:rsid w:val="00F33698"/>
    <w:rsid w:val="00F33831"/>
    <w:rsid w:val="00F3478B"/>
    <w:rsid w:val="00F350F7"/>
    <w:rsid w:val="00F351EE"/>
    <w:rsid w:val="00F35647"/>
    <w:rsid w:val="00F364EB"/>
    <w:rsid w:val="00F36567"/>
    <w:rsid w:val="00F36A62"/>
    <w:rsid w:val="00F36FC2"/>
    <w:rsid w:val="00F370DC"/>
    <w:rsid w:val="00F37BD6"/>
    <w:rsid w:val="00F37EA2"/>
    <w:rsid w:val="00F40FF5"/>
    <w:rsid w:val="00F41383"/>
    <w:rsid w:val="00F41460"/>
    <w:rsid w:val="00F41E18"/>
    <w:rsid w:val="00F4230C"/>
    <w:rsid w:val="00F42490"/>
    <w:rsid w:val="00F430D1"/>
    <w:rsid w:val="00F43894"/>
    <w:rsid w:val="00F4399E"/>
    <w:rsid w:val="00F43E5F"/>
    <w:rsid w:val="00F4450D"/>
    <w:rsid w:val="00F4479A"/>
    <w:rsid w:val="00F45028"/>
    <w:rsid w:val="00F45088"/>
    <w:rsid w:val="00F45249"/>
    <w:rsid w:val="00F4553E"/>
    <w:rsid w:val="00F457D2"/>
    <w:rsid w:val="00F45DBF"/>
    <w:rsid w:val="00F4617A"/>
    <w:rsid w:val="00F46545"/>
    <w:rsid w:val="00F46634"/>
    <w:rsid w:val="00F467B2"/>
    <w:rsid w:val="00F47492"/>
    <w:rsid w:val="00F501E8"/>
    <w:rsid w:val="00F502EB"/>
    <w:rsid w:val="00F5122F"/>
    <w:rsid w:val="00F513AF"/>
    <w:rsid w:val="00F51EED"/>
    <w:rsid w:val="00F524E0"/>
    <w:rsid w:val="00F52640"/>
    <w:rsid w:val="00F52CE1"/>
    <w:rsid w:val="00F53278"/>
    <w:rsid w:val="00F5339D"/>
    <w:rsid w:val="00F534F3"/>
    <w:rsid w:val="00F5373F"/>
    <w:rsid w:val="00F540B3"/>
    <w:rsid w:val="00F541F7"/>
    <w:rsid w:val="00F54506"/>
    <w:rsid w:val="00F54865"/>
    <w:rsid w:val="00F54996"/>
    <w:rsid w:val="00F5522B"/>
    <w:rsid w:val="00F55C51"/>
    <w:rsid w:val="00F55E2C"/>
    <w:rsid w:val="00F565AE"/>
    <w:rsid w:val="00F57706"/>
    <w:rsid w:val="00F57BB7"/>
    <w:rsid w:val="00F6015D"/>
    <w:rsid w:val="00F60775"/>
    <w:rsid w:val="00F60D77"/>
    <w:rsid w:val="00F610A8"/>
    <w:rsid w:val="00F616EA"/>
    <w:rsid w:val="00F61BAA"/>
    <w:rsid w:val="00F61BB9"/>
    <w:rsid w:val="00F61FBF"/>
    <w:rsid w:val="00F624B2"/>
    <w:rsid w:val="00F63DCE"/>
    <w:rsid w:val="00F658DF"/>
    <w:rsid w:val="00F65CC7"/>
    <w:rsid w:val="00F65EBA"/>
    <w:rsid w:val="00F66071"/>
    <w:rsid w:val="00F67548"/>
    <w:rsid w:val="00F67846"/>
    <w:rsid w:val="00F67890"/>
    <w:rsid w:val="00F67A99"/>
    <w:rsid w:val="00F67EC8"/>
    <w:rsid w:val="00F705C8"/>
    <w:rsid w:val="00F70F6E"/>
    <w:rsid w:val="00F713BD"/>
    <w:rsid w:val="00F7378D"/>
    <w:rsid w:val="00F73F6A"/>
    <w:rsid w:val="00F74072"/>
    <w:rsid w:val="00F747CB"/>
    <w:rsid w:val="00F74EB0"/>
    <w:rsid w:val="00F753AB"/>
    <w:rsid w:val="00F75CCA"/>
    <w:rsid w:val="00F7645E"/>
    <w:rsid w:val="00F77204"/>
    <w:rsid w:val="00F77255"/>
    <w:rsid w:val="00F80C28"/>
    <w:rsid w:val="00F80F2D"/>
    <w:rsid w:val="00F80FEB"/>
    <w:rsid w:val="00F8150B"/>
    <w:rsid w:val="00F82450"/>
    <w:rsid w:val="00F83199"/>
    <w:rsid w:val="00F83958"/>
    <w:rsid w:val="00F83BD4"/>
    <w:rsid w:val="00F83E0B"/>
    <w:rsid w:val="00F84149"/>
    <w:rsid w:val="00F844C3"/>
    <w:rsid w:val="00F84834"/>
    <w:rsid w:val="00F84D28"/>
    <w:rsid w:val="00F85574"/>
    <w:rsid w:val="00F85F65"/>
    <w:rsid w:val="00F860D9"/>
    <w:rsid w:val="00F86535"/>
    <w:rsid w:val="00F8670F"/>
    <w:rsid w:val="00F870C7"/>
    <w:rsid w:val="00F901D8"/>
    <w:rsid w:val="00F905F3"/>
    <w:rsid w:val="00F90B00"/>
    <w:rsid w:val="00F916B5"/>
    <w:rsid w:val="00F91A25"/>
    <w:rsid w:val="00F91EC3"/>
    <w:rsid w:val="00F91FBE"/>
    <w:rsid w:val="00F938EC"/>
    <w:rsid w:val="00F93916"/>
    <w:rsid w:val="00F946F4"/>
    <w:rsid w:val="00F94C91"/>
    <w:rsid w:val="00F953B6"/>
    <w:rsid w:val="00F956C5"/>
    <w:rsid w:val="00F9590D"/>
    <w:rsid w:val="00F95E9C"/>
    <w:rsid w:val="00F961AE"/>
    <w:rsid w:val="00F961D5"/>
    <w:rsid w:val="00F9636C"/>
    <w:rsid w:val="00F96883"/>
    <w:rsid w:val="00F970C2"/>
    <w:rsid w:val="00FA0700"/>
    <w:rsid w:val="00FA3923"/>
    <w:rsid w:val="00FA4273"/>
    <w:rsid w:val="00FA480B"/>
    <w:rsid w:val="00FA4E1D"/>
    <w:rsid w:val="00FA5728"/>
    <w:rsid w:val="00FA5750"/>
    <w:rsid w:val="00FA5D5A"/>
    <w:rsid w:val="00FA632F"/>
    <w:rsid w:val="00FA7008"/>
    <w:rsid w:val="00FA7303"/>
    <w:rsid w:val="00FA7B1B"/>
    <w:rsid w:val="00FB07C3"/>
    <w:rsid w:val="00FB0DAD"/>
    <w:rsid w:val="00FB17CC"/>
    <w:rsid w:val="00FB1880"/>
    <w:rsid w:val="00FB19E2"/>
    <w:rsid w:val="00FB1F04"/>
    <w:rsid w:val="00FB24DD"/>
    <w:rsid w:val="00FB266F"/>
    <w:rsid w:val="00FB28A7"/>
    <w:rsid w:val="00FB2D1F"/>
    <w:rsid w:val="00FB31A2"/>
    <w:rsid w:val="00FB42F8"/>
    <w:rsid w:val="00FB487F"/>
    <w:rsid w:val="00FB4F1F"/>
    <w:rsid w:val="00FB5081"/>
    <w:rsid w:val="00FB5D38"/>
    <w:rsid w:val="00FB61C7"/>
    <w:rsid w:val="00FB6626"/>
    <w:rsid w:val="00FB77B9"/>
    <w:rsid w:val="00FC01BF"/>
    <w:rsid w:val="00FC032A"/>
    <w:rsid w:val="00FC034A"/>
    <w:rsid w:val="00FC0C3C"/>
    <w:rsid w:val="00FC0FB2"/>
    <w:rsid w:val="00FC1375"/>
    <w:rsid w:val="00FC13D8"/>
    <w:rsid w:val="00FC1536"/>
    <w:rsid w:val="00FC1821"/>
    <w:rsid w:val="00FC2674"/>
    <w:rsid w:val="00FC2EB9"/>
    <w:rsid w:val="00FC32A9"/>
    <w:rsid w:val="00FC366B"/>
    <w:rsid w:val="00FC3FBB"/>
    <w:rsid w:val="00FC425A"/>
    <w:rsid w:val="00FC5402"/>
    <w:rsid w:val="00FC5C24"/>
    <w:rsid w:val="00FC5FBF"/>
    <w:rsid w:val="00FC6452"/>
    <w:rsid w:val="00FC656E"/>
    <w:rsid w:val="00FC6938"/>
    <w:rsid w:val="00FC6A01"/>
    <w:rsid w:val="00FC7293"/>
    <w:rsid w:val="00FC77E4"/>
    <w:rsid w:val="00FC7DCF"/>
    <w:rsid w:val="00FD0092"/>
    <w:rsid w:val="00FD0672"/>
    <w:rsid w:val="00FD0699"/>
    <w:rsid w:val="00FD0891"/>
    <w:rsid w:val="00FD10E3"/>
    <w:rsid w:val="00FD1622"/>
    <w:rsid w:val="00FD163C"/>
    <w:rsid w:val="00FD17D7"/>
    <w:rsid w:val="00FD27B8"/>
    <w:rsid w:val="00FD2CA6"/>
    <w:rsid w:val="00FD2F58"/>
    <w:rsid w:val="00FD3070"/>
    <w:rsid w:val="00FD38CA"/>
    <w:rsid w:val="00FD43F7"/>
    <w:rsid w:val="00FD4E64"/>
    <w:rsid w:val="00FD4E9A"/>
    <w:rsid w:val="00FD4FC4"/>
    <w:rsid w:val="00FD51DD"/>
    <w:rsid w:val="00FD53DE"/>
    <w:rsid w:val="00FD5991"/>
    <w:rsid w:val="00FD62E7"/>
    <w:rsid w:val="00FD659C"/>
    <w:rsid w:val="00FD67EB"/>
    <w:rsid w:val="00FD700C"/>
    <w:rsid w:val="00FD79D3"/>
    <w:rsid w:val="00FD7B8C"/>
    <w:rsid w:val="00FD7BCF"/>
    <w:rsid w:val="00FD7EE6"/>
    <w:rsid w:val="00FE01CE"/>
    <w:rsid w:val="00FE1788"/>
    <w:rsid w:val="00FE2462"/>
    <w:rsid w:val="00FE261C"/>
    <w:rsid w:val="00FE3CC4"/>
    <w:rsid w:val="00FE4DC8"/>
    <w:rsid w:val="00FE5750"/>
    <w:rsid w:val="00FE57B8"/>
    <w:rsid w:val="00FE64B1"/>
    <w:rsid w:val="00FE6751"/>
    <w:rsid w:val="00FF0B27"/>
    <w:rsid w:val="00FF16E4"/>
    <w:rsid w:val="00FF1F49"/>
    <w:rsid w:val="00FF2BA3"/>
    <w:rsid w:val="00FF2F5A"/>
    <w:rsid w:val="00FF3A47"/>
    <w:rsid w:val="00FF42DC"/>
    <w:rsid w:val="00FF52FA"/>
    <w:rsid w:val="00FF5B4B"/>
    <w:rsid w:val="00FF5B82"/>
    <w:rsid w:val="00FF6AB0"/>
    <w:rsid w:val="00FF6D9E"/>
    <w:rsid w:val="01211AD4"/>
    <w:rsid w:val="022226D9"/>
    <w:rsid w:val="02AA3459"/>
    <w:rsid w:val="02E96621"/>
    <w:rsid w:val="03163F71"/>
    <w:rsid w:val="037C0314"/>
    <w:rsid w:val="037D707E"/>
    <w:rsid w:val="03856539"/>
    <w:rsid w:val="038B2F5C"/>
    <w:rsid w:val="03B16556"/>
    <w:rsid w:val="03CB27CC"/>
    <w:rsid w:val="03E312C3"/>
    <w:rsid w:val="03E5503B"/>
    <w:rsid w:val="04352A8B"/>
    <w:rsid w:val="043B10FF"/>
    <w:rsid w:val="0465519A"/>
    <w:rsid w:val="04DA76EC"/>
    <w:rsid w:val="04F640BC"/>
    <w:rsid w:val="05167C7D"/>
    <w:rsid w:val="05561E22"/>
    <w:rsid w:val="058367CF"/>
    <w:rsid w:val="05B24C3C"/>
    <w:rsid w:val="06514B7E"/>
    <w:rsid w:val="0653360D"/>
    <w:rsid w:val="06A92350"/>
    <w:rsid w:val="06C04E5B"/>
    <w:rsid w:val="07226C0D"/>
    <w:rsid w:val="072A76DA"/>
    <w:rsid w:val="07665919"/>
    <w:rsid w:val="07830FF9"/>
    <w:rsid w:val="07AD2E51"/>
    <w:rsid w:val="07E24974"/>
    <w:rsid w:val="082A0640"/>
    <w:rsid w:val="083C6076"/>
    <w:rsid w:val="08607386"/>
    <w:rsid w:val="089B1CFF"/>
    <w:rsid w:val="08D729C8"/>
    <w:rsid w:val="094064B5"/>
    <w:rsid w:val="094D16B8"/>
    <w:rsid w:val="095930AD"/>
    <w:rsid w:val="09FE5664"/>
    <w:rsid w:val="0A0208A9"/>
    <w:rsid w:val="0A5B7DA1"/>
    <w:rsid w:val="0A9E16DA"/>
    <w:rsid w:val="0AC92E6A"/>
    <w:rsid w:val="0B401813"/>
    <w:rsid w:val="0C963B50"/>
    <w:rsid w:val="0D111AE6"/>
    <w:rsid w:val="0D2F038B"/>
    <w:rsid w:val="0D335069"/>
    <w:rsid w:val="0DB735A4"/>
    <w:rsid w:val="0E1F0A4D"/>
    <w:rsid w:val="0E70582B"/>
    <w:rsid w:val="0F0745D7"/>
    <w:rsid w:val="0F1E0B4C"/>
    <w:rsid w:val="0FCF1792"/>
    <w:rsid w:val="104B393D"/>
    <w:rsid w:val="106B7F74"/>
    <w:rsid w:val="10914580"/>
    <w:rsid w:val="10B54159"/>
    <w:rsid w:val="1162042F"/>
    <w:rsid w:val="116A6B7F"/>
    <w:rsid w:val="122F2EBE"/>
    <w:rsid w:val="12A37096"/>
    <w:rsid w:val="12A94F3F"/>
    <w:rsid w:val="12E84200"/>
    <w:rsid w:val="133B4C77"/>
    <w:rsid w:val="133C0F83"/>
    <w:rsid w:val="134409FB"/>
    <w:rsid w:val="143C2E8B"/>
    <w:rsid w:val="14627451"/>
    <w:rsid w:val="14B32B1C"/>
    <w:rsid w:val="14B6470F"/>
    <w:rsid w:val="14FE4CA3"/>
    <w:rsid w:val="159B531E"/>
    <w:rsid w:val="16410D15"/>
    <w:rsid w:val="1653052A"/>
    <w:rsid w:val="170226E6"/>
    <w:rsid w:val="179C2FAD"/>
    <w:rsid w:val="18263941"/>
    <w:rsid w:val="18331EF8"/>
    <w:rsid w:val="18796DE5"/>
    <w:rsid w:val="18872FBE"/>
    <w:rsid w:val="18DC7E6B"/>
    <w:rsid w:val="190F698A"/>
    <w:rsid w:val="197B49FF"/>
    <w:rsid w:val="197E4177"/>
    <w:rsid w:val="199E1AE5"/>
    <w:rsid w:val="19E35721"/>
    <w:rsid w:val="19F81246"/>
    <w:rsid w:val="1A362A60"/>
    <w:rsid w:val="1AA56AF0"/>
    <w:rsid w:val="1AAC2302"/>
    <w:rsid w:val="1B1C7BFD"/>
    <w:rsid w:val="1B504EC4"/>
    <w:rsid w:val="1B553306"/>
    <w:rsid w:val="1BEC6B0F"/>
    <w:rsid w:val="1BF50689"/>
    <w:rsid w:val="1C224ACE"/>
    <w:rsid w:val="1C7846E4"/>
    <w:rsid w:val="1C792AC1"/>
    <w:rsid w:val="1D9F5E03"/>
    <w:rsid w:val="1DCC35D3"/>
    <w:rsid w:val="1DED241C"/>
    <w:rsid w:val="1ED320F1"/>
    <w:rsid w:val="1F201D07"/>
    <w:rsid w:val="1F5B535F"/>
    <w:rsid w:val="1FA12306"/>
    <w:rsid w:val="1FA66FDD"/>
    <w:rsid w:val="1FC55DBE"/>
    <w:rsid w:val="1FCB1668"/>
    <w:rsid w:val="20286883"/>
    <w:rsid w:val="207109FF"/>
    <w:rsid w:val="20727929"/>
    <w:rsid w:val="214370BF"/>
    <w:rsid w:val="21613AFB"/>
    <w:rsid w:val="21E718F5"/>
    <w:rsid w:val="21E95ABC"/>
    <w:rsid w:val="222A65E3"/>
    <w:rsid w:val="227C4964"/>
    <w:rsid w:val="22A92D30"/>
    <w:rsid w:val="238F2BB7"/>
    <w:rsid w:val="23D54289"/>
    <w:rsid w:val="23EB7FF4"/>
    <w:rsid w:val="249146F7"/>
    <w:rsid w:val="24B403E6"/>
    <w:rsid w:val="25615D3F"/>
    <w:rsid w:val="25D953CB"/>
    <w:rsid w:val="26031625"/>
    <w:rsid w:val="26156BC4"/>
    <w:rsid w:val="26A97FC5"/>
    <w:rsid w:val="27572F97"/>
    <w:rsid w:val="27DD7C53"/>
    <w:rsid w:val="27EA4DFD"/>
    <w:rsid w:val="28334AFB"/>
    <w:rsid w:val="295A2B04"/>
    <w:rsid w:val="297E535E"/>
    <w:rsid w:val="2A257439"/>
    <w:rsid w:val="2A805456"/>
    <w:rsid w:val="2AF6573E"/>
    <w:rsid w:val="2B554325"/>
    <w:rsid w:val="2B632B65"/>
    <w:rsid w:val="2B844FB6"/>
    <w:rsid w:val="2C58083E"/>
    <w:rsid w:val="2C6609A6"/>
    <w:rsid w:val="2CD258AD"/>
    <w:rsid w:val="2D151C3D"/>
    <w:rsid w:val="2DA40C04"/>
    <w:rsid w:val="2E9C13A7"/>
    <w:rsid w:val="2EB03B11"/>
    <w:rsid w:val="2ED768E6"/>
    <w:rsid w:val="2F152D77"/>
    <w:rsid w:val="2F371FFD"/>
    <w:rsid w:val="306427D2"/>
    <w:rsid w:val="30647164"/>
    <w:rsid w:val="311501A2"/>
    <w:rsid w:val="31353780"/>
    <w:rsid w:val="31B900DB"/>
    <w:rsid w:val="324D6947"/>
    <w:rsid w:val="32735824"/>
    <w:rsid w:val="33501607"/>
    <w:rsid w:val="33C52B08"/>
    <w:rsid w:val="33D942D1"/>
    <w:rsid w:val="33F05748"/>
    <w:rsid w:val="348443E1"/>
    <w:rsid w:val="34D32B0A"/>
    <w:rsid w:val="34F66050"/>
    <w:rsid w:val="353510CF"/>
    <w:rsid w:val="3545783E"/>
    <w:rsid w:val="3629463A"/>
    <w:rsid w:val="365D07AE"/>
    <w:rsid w:val="36A505CD"/>
    <w:rsid w:val="36D02516"/>
    <w:rsid w:val="36E70D89"/>
    <w:rsid w:val="38601D19"/>
    <w:rsid w:val="38832DD1"/>
    <w:rsid w:val="38D55E36"/>
    <w:rsid w:val="38E958B3"/>
    <w:rsid w:val="398272D1"/>
    <w:rsid w:val="399872C8"/>
    <w:rsid w:val="3B641B0E"/>
    <w:rsid w:val="3B783AC3"/>
    <w:rsid w:val="3B976916"/>
    <w:rsid w:val="3BE9676F"/>
    <w:rsid w:val="3BF32267"/>
    <w:rsid w:val="3C043248"/>
    <w:rsid w:val="3C3178A8"/>
    <w:rsid w:val="3C805A79"/>
    <w:rsid w:val="3D031728"/>
    <w:rsid w:val="3D065093"/>
    <w:rsid w:val="3D2846B6"/>
    <w:rsid w:val="3D312CA9"/>
    <w:rsid w:val="3D3D76C7"/>
    <w:rsid w:val="3D405B48"/>
    <w:rsid w:val="3D600CB3"/>
    <w:rsid w:val="3D795057"/>
    <w:rsid w:val="3E015FF2"/>
    <w:rsid w:val="3E242DF2"/>
    <w:rsid w:val="3E56438B"/>
    <w:rsid w:val="3E80465B"/>
    <w:rsid w:val="3EA41CB0"/>
    <w:rsid w:val="3EC21ECC"/>
    <w:rsid w:val="3EF264DD"/>
    <w:rsid w:val="3F500EF9"/>
    <w:rsid w:val="40BD5073"/>
    <w:rsid w:val="40C52139"/>
    <w:rsid w:val="40F97454"/>
    <w:rsid w:val="41885435"/>
    <w:rsid w:val="41BD09C6"/>
    <w:rsid w:val="42367DD5"/>
    <w:rsid w:val="42BE4CCE"/>
    <w:rsid w:val="42F441C3"/>
    <w:rsid w:val="43DB3E20"/>
    <w:rsid w:val="4425773E"/>
    <w:rsid w:val="443F58E0"/>
    <w:rsid w:val="444B11E9"/>
    <w:rsid w:val="444C0C0A"/>
    <w:rsid w:val="446828D5"/>
    <w:rsid w:val="44FF2DD7"/>
    <w:rsid w:val="458147D7"/>
    <w:rsid w:val="459765B0"/>
    <w:rsid w:val="45B46040"/>
    <w:rsid w:val="45E858D0"/>
    <w:rsid w:val="45F55FAD"/>
    <w:rsid w:val="463735DF"/>
    <w:rsid w:val="46677A6C"/>
    <w:rsid w:val="468974CC"/>
    <w:rsid w:val="46902BEE"/>
    <w:rsid w:val="46D73CD8"/>
    <w:rsid w:val="475C1AE1"/>
    <w:rsid w:val="47960B77"/>
    <w:rsid w:val="47970D7F"/>
    <w:rsid w:val="47B8059C"/>
    <w:rsid w:val="48621D83"/>
    <w:rsid w:val="48793670"/>
    <w:rsid w:val="495C28EC"/>
    <w:rsid w:val="496C338D"/>
    <w:rsid w:val="49E65525"/>
    <w:rsid w:val="49F444F3"/>
    <w:rsid w:val="4A617E8D"/>
    <w:rsid w:val="4A654D52"/>
    <w:rsid w:val="4A67755A"/>
    <w:rsid w:val="4A83444B"/>
    <w:rsid w:val="4AA25CDC"/>
    <w:rsid w:val="4AB34B18"/>
    <w:rsid w:val="4ABD799A"/>
    <w:rsid w:val="4B2772B4"/>
    <w:rsid w:val="4B99152B"/>
    <w:rsid w:val="4C4D1B19"/>
    <w:rsid w:val="4C9F5941"/>
    <w:rsid w:val="4D340203"/>
    <w:rsid w:val="4D3C54DA"/>
    <w:rsid w:val="4D66075A"/>
    <w:rsid w:val="4DA03ACE"/>
    <w:rsid w:val="4DF412C2"/>
    <w:rsid w:val="4E0B0ACA"/>
    <w:rsid w:val="4E0B5A93"/>
    <w:rsid w:val="4E3A1060"/>
    <w:rsid w:val="4E802F63"/>
    <w:rsid w:val="4E917946"/>
    <w:rsid w:val="4F1126F9"/>
    <w:rsid w:val="4F1B456F"/>
    <w:rsid w:val="4FD507A5"/>
    <w:rsid w:val="513B7354"/>
    <w:rsid w:val="517519BA"/>
    <w:rsid w:val="51A90DF0"/>
    <w:rsid w:val="527B1723"/>
    <w:rsid w:val="52A463A5"/>
    <w:rsid w:val="52B0759A"/>
    <w:rsid w:val="52ED0DE3"/>
    <w:rsid w:val="533575BC"/>
    <w:rsid w:val="53CA2EF2"/>
    <w:rsid w:val="53E071F7"/>
    <w:rsid w:val="54150A5B"/>
    <w:rsid w:val="545B757F"/>
    <w:rsid w:val="54866DF9"/>
    <w:rsid w:val="54E86A0E"/>
    <w:rsid w:val="55053FBC"/>
    <w:rsid w:val="552F324F"/>
    <w:rsid w:val="557B7124"/>
    <w:rsid w:val="559C40DA"/>
    <w:rsid w:val="55AB5B97"/>
    <w:rsid w:val="55B97BEE"/>
    <w:rsid w:val="568B6428"/>
    <w:rsid w:val="57112229"/>
    <w:rsid w:val="574E399D"/>
    <w:rsid w:val="579A2591"/>
    <w:rsid w:val="57A735A8"/>
    <w:rsid w:val="57DC5002"/>
    <w:rsid w:val="580A6581"/>
    <w:rsid w:val="586106CC"/>
    <w:rsid w:val="59443256"/>
    <w:rsid w:val="595D436A"/>
    <w:rsid w:val="596811C3"/>
    <w:rsid w:val="599D70BF"/>
    <w:rsid w:val="59B6676B"/>
    <w:rsid w:val="59E60F34"/>
    <w:rsid w:val="59EF5441"/>
    <w:rsid w:val="5A1446CB"/>
    <w:rsid w:val="5A9F4933"/>
    <w:rsid w:val="5B016D02"/>
    <w:rsid w:val="5B370CA9"/>
    <w:rsid w:val="5BA26EC2"/>
    <w:rsid w:val="5BDC540A"/>
    <w:rsid w:val="5BE52230"/>
    <w:rsid w:val="5C0D73C4"/>
    <w:rsid w:val="5CAE45B7"/>
    <w:rsid w:val="5CB70598"/>
    <w:rsid w:val="5CBD5382"/>
    <w:rsid w:val="5CEB3A1E"/>
    <w:rsid w:val="5D150D95"/>
    <w:rsid w:val="5D5641C9"/>
    <w:rsid w:val="5DC818E3"/>
    <w:rsid w:val="5E08087F"/>
    <w:rsid w:val="5E1E37E3"/>
    <w:rsid w:val="5E2E67A8"/>
    <w:rsid w:val="5E7D150A"/>
    <w:rsid w:val="5EA17963"/>
    <w:rsid w:val="5EC4084D"/>
    <w:rsid w:val="5F180EE5"/>
    <w:rsid w:val="5F1F1CA0"/>
    <w:rsid w:val="5FA1306E"/>
    <w:rsid w:val="5FC2731C"/>
    <w:rsid w:val="5FCC59D6"/>
    <w:rsid w:val="60DD4245"/>
    <w:rsid w:val="611D2893"/>
    <w:rsid w:val="612F7FCC"/>
    <w:rsid w:val="62143C96"/>
    <w:rsid w:val="624D131D"/>
    <w:rsid w:val="62591DCC"/>
    <w:rsid w:val="6283393B"/>
    <w:rsid w:val="62AF2149"/>
    <w:rsid w:val="62B96F74"/>
    <w:rsid w:val="62D6719E"/>
    <w:rsid w:val="62E573ED"/>
    <w:rsid w:val="632E56B0"/>
    <w:rsid w:val="63A0148A"/>
    <w:rsid w:val="63F525A1"/>
    <w:rsid w:val="63FD5ACF"/>
    <w:rsid w:val="64002F65"/>
    <w:rsid w:val="645866B2"/>
    <w:rsid w:val="64BB1AE3"/>
    <w:rsid w:val="64E33DF4"/>
    <w:rsid w:val="651304ED"/>
    <w:rsid w:val="65EE5099"/>
    <w:rsid w:val="65FE1C47"/>
    <w:rsid w:val="66371DC4"/>
    <w:rsid w:val="66524D8D"/>
    <w:rsid w:val="669B4986"/>
    <w:rsid w:val="66B914E0"/>
    <w:rsid w:val="66BC0B99"/>
    <w:rsid w:val="66D50B32"/>
    <w:rsid w:val="66F43399"/>
    <w:rsid w:val="674A015A"/>
    <w:rsid w:val="67DC7174"/>
    <w:rsid w:val="67E67E83"/>
    <w:rsid w:val="67E747FB"/>
    <w:rsid w:val="67F3232A"/>
    <w:rsid w:val="68071313"/>
    <w:rsid w:val="683E75F2"/>
    <w:rsid w:val="686B65DA"/>
    <w:rsid w:val="689520AC"/>
    <w:rsid w:val="68AD3E79"/>
    <w:rsid w:val="68D22D40"/>
    <w:rsid w:val="690430FB"/>
    <w:rsid w:val="691B2486"/>
    <w:rsid w:val="69213366"/>
    <w:rsid w:val="69586B5E"/>
    <w:rsid w:val="6A750417"/>
    <w:rsid w:val="6AA87672"/>
    <w:rsid w:val="6B2A452A"/>
    <w:rsid w:val="6BEC5985"/>
    <w:rsid w:val="6C4532E3"/>
    <w:rsid w:val="6D170ADE"/>
    <w:rsid w:val="6DC869C7"/>
    <w:rsid w:val="6E201C15"/>
    <w:rsid w:val="6F29304F"/>
    <w:rsid w:val="6F450118"/>
    <w:rsid w:val="6F69477C"/>
    <w:rsid w:val="6F807485"/>
    <w:rsid w:val="6F941419"/>
    <w:rsid w:val="6F9F67AB"/>
    <w:rsid w:val="700526FE"/>
    <w:rsid w:val="70134D37"/>
    <w:rsid w:val="707133B5"/>
    <w:rsid w:val="70836718"/>
    <w:rsid w:val="70DD189A"/>
    <w:rsid w:val="71033854"/>
    <w:rsid w:val="717E52BE"/>
    <w:rsid w:val="71AC6AA2"/>
    <w:rsid w:val="71E24C44"/>
    <w:rsid w:val="72443AD8"/>
    <w:rsid w:val="72A57D64"/>
    <w:rsid w:val="72E160F1"/>
    <w:rsid w:val="74331924"/>
    <w:rsid w:val="7488516B"/>
    <w:rsid w:val="749E6A91"/>
    <w:rsid w:val="749F7209"/>
    <w:rsid w:val="755B0F56"/>
    <w:rsid w:val="75E91E50"/>
    <w:rsid w:val="75F83804"/>
    <w:rsid w:val="761402B1"/>
    <w:rsid w:val="761745EE"/>
    <w:rsid w:val="761B0429"/>
    <w:rsid w:val="76A258BD"/>
    <w:rsid w:val="77370EF4"/>
    <w:rsid w:val="777914B0"/>
    <w:rsid w:val="77AE5B7C"/>
    <w:rsid w:val="77AF11C3"/>
    <w:rsid w:val="785470C1"/>
    <w:rsid w:val="787E14FF"/>
    <w:rsid w:val="79244A8E"/>
    <w:rsid w:val="79373ED5"/>
    <w:rsid w:val="79890410"/>
    <w:rsid w:val="799A0E04"/>
    <w:rsid w:val="79B17BC5"/>
    <w:rsid w:val="79B84ED5"/>
    <w:rsid w:val="7A080CC3"/>
    <w:rsid w:val="7A1D1DCD"/>
    <w:rsid w:val="7A5F2501"/>
    <w:rsid w:val="7B5C5A47"/>
    <w:rsid w:val="7B6A4B17"/>
    <w:rsid w:val="7B954F14"/>
    <w:rsid w:val="7BE13EF3"/>
    <w:rsid w:val="7C29147F"/>
    <w:rsid w:val="7C4F13A7"/>
    <w:rsid w:val="7CB03AE0"/>
    <w:rsid w:val="7CCA16C9"/>
    <w:rsid w:val="7E08175B"/>
    <w:rsid w:val="7E666749"/>
    <w:rsid w:val="7E716112"/>
    <w:rsid w:val="7ECF0B49"/>
    <w:rsid w:val="7EE4348C"/>
    <w:rsid w:val="FD3BD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uiPriority="99" w:name="endnote text"/>
    <w:lsdException w:qFormat="1" w:unhideWhenUsed="0" w:uiPriority="0" w:semiHidden="0" w:name="table of authorities"/>
    <w:lsdException w:qFormat="1" w:unhideWhenUsed="0" w:uiPriority="0"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iPriority="99"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Times New Roman" w:hAnsi="宋体" w:eastAsia="宋体" w:cs="Times New Roman"/>
      <w:sz w:val="24"/>
      <w:szCs w:val="24"/>
      <w:lang w:val="zh-CN" w:eastAsia="zh-CN" w:bidi="ar-SA"/>
    </w:rPr>
  </w:style>
  <w:style w:type="paragraph" w:styleId="3">
    <w:name w:val="heading 1"/>
    <w:basedOn w:val="1"/>
    <w:next w:val="1"/>
    <w:link w:val="78"/>
    <w:autoRedefine/>
    <w:qFormat/>
    <w:uiPriority w:val="9"/>
    <w:pPr>
      <w:keepNext/>
      <w:keepLines/>
      <w:numPr>
        <w:ilvl w:val="0"/>
        <w:numId w:val="1"/>
      </w:numPr>
      <w:spacing w:before="156" w:beforeLines="50" w:after="156" w:afterLines="50"/>
      <w:ind w:left="0" w:firstLine="1" w:firstLineChars="0"/>
      <w:jc w:val="left"/>
      <w:outlineLvl w:val="0"/>
    </w:pPr>
    <w:rPr>
      <w:rFonts w:ascii="楷体" w:hAnsi="楷体" w:eastAsia="楷体"/>
      <w:b/>
      <w:kern w:val="44"/>
      <w:sz w:val="44"/>
      <w:szCs w:val="44"/>
    </w:rPr>
  </w:style>
  <w:style w:type="paragraph" w:styleId="4">
    <w:name w:val="heading 2"/>
    <w:basedOn w:val="3"/>
    <w:next w:val="5"/>
    <w:link w:val="79"/>
    <w:autoRedefine/>
    <w:qFormat/>
    <w:uiPriority w:val="9"/>
    <w:pPr>
      <w:numPr>
        <w:ilvl w:val="1"/>
      </w:numPr>
      <w:outlineLvl w:val="1"/>
    </w:pPr>
    <w:rPr>
      <w:rFonts w:eastAsia="Times New Roman"/>
      <w:sz w:val="36"/>
      <w:szCs w:val="36"/>
    </w:rPr>
  </w:style>
  <w:style w:type="paragraph" w:styleId="6">
    <w:name w:val="heading 3"/>
    <w:basedOn w:val="4"/>
    <w:next w:val="1"/>
    <w:link w:val="80"/>
    <w:autoRedefine/>
    <w:qFormat/>
    <w:uiPriority w:val="9"/>
    <w:pPr>
      <w:numPr>
        <w:ilvl w:val="2"/>
      </w:numPr>
      <w:spacing w:before="50" w:after="50"/>
      <w:ind w:left="0" w:firstLine="0"/>
      <w:jc w:val="both"/>
      <w:outlineLvl w:val="2"/>
    </w:pPr>
    <w:rPr>
      <w:rFonts w:ascii="Times New Roman" w:hAnsi="Times New Roman" w:eastAsia="华文楷体"/>
      <w:kern w:val="0"/>
      <w:sz w:val="32"/>
      <w:szCs w:val="32"/>
    </w:rPr>
  </w:style>
  <w:style w:type="paragraph" w:styleId="7">
    <w:name w:val="heading 4"/>
    <w:basedOn w:val="6"/>
    <w:next w:val="5"/>
    <w:link w:val="81"/>
    <w:autoRedefine/>
    <w:qFormat/>
    <w:uiPriority w:val="9"/>
    <w:pPr>
      <w:widowControl/>
      <w:numPr>
        <w:ilvl w:val="3"/>
      </w:numPr>
      <w:adjustRightInd w:val="0"/>
      <w:snapToGrid w:val="0"/>
      <w:spacing w:after="0" w:afterLines="0"/>
      <w:outlineLvl w:val="3"/>
    </w:pPr>
    <w:rPr>
      <w:rFonts w:eastAsia="宋体"/>
      <w:sz w:val="28"/>
      <w:szCs w:val="28"/>
    </w:rPr>
  </w:style>
  <w:style w:type="paragraph" w:styleId="8">
    <w:name w:val="heading 5"/>
    <w:basedOn w:val="1"/>
    <w:link w:val="102"/>
    <w:autoRedefine/>
    <w:qFormat/>
    <w:uiPriority w:val="9"/>
    <w:pPr>
      <w:keepNext/>
      <w:keepLines/>
      <w:widowControl/>
      <w:tabs>
        <w:tab w:val="left" w:pos="1008"/>
      </w:tabs>
      <w:ind w:firstLine="0" w:firstLineChars="0"/>
      <w:jc w:val="left"/>
      <w:outlineLvl w:val="4"/>
    </w:pPr>
    <w:rPr>
      <w:rFonts w:hAnsi="Times New Roman"/>
      <w:b/>
      <w:bCs/>
      <w:kern w:val="2"/>
    </w:rPr>
  </w:style>
  <w:style w:type="paragraph" w:styleId="9">
    <w:name w:val="heading 6"/>
    <w:basedOn w:val="1"/>
    <w:next w:val="1"/>
    <w:link w:val="103"/>
    <w:autoRedefine/>
    <w:qFormat/>
    <w:uiPriority w:val="9"/>
    <w:pPr>
      <w:keepNext/>
      <w:keepLines/>
      <w:widowControl/>
      <w:tabs>
        <w:tab w:val="left" w:pos="1152"/>
      </w:tabs>
      <w:spacing w:before="240" w:after="64" w:line="317" w:lineRule="auto"/>
      <w:ind w:left="1134" w:hanging="1134" w:firstLineChars="0"/>
      <w:jc w:val="left"/>
      <w:outlineLvl w:val="5"/>
    </w:pPr>
    <w:rPr>
      <w:rFonts w:ascii="Arial" w:hAnsi="Arial" w:eastAsia="黑体"/>
      <w:b/>
      <w:bCs/>
      <w:kern w:val="2"/>
    </w:rPr>
  </w:style>
  <w:style w:type="paragraph" w:styleId="10">
    <w:name w:val="heading 7"/>
    <w:basedOn w:val="1"/>
    <w:next w:val="1"/>
    <w:link w:val="104"/>
    <w:autoRedefine/>
    <w:qFormat/>
    <w:uiPriority w:val="9"/>
    <w:pPr>
      <w:keepNext/>
      <w:keepLines/>
      <w:widowControl/>
      <w:tabs>
        <w:tab w:val="left" w:pos="1296"/>
      </w:tabs>
      <w:spacing w:before="240" w:after="64" w:line="317" w:lineRule="auto"/>
      <w:ind w:left="1276" w:hanging="1276" w:firstLineChars="0"/>
      <w:jc w:val="left"/>
      <w:outlineLvl w:val="6"/>
    </w:pPr>
    <w:rPr>
      <w:rFonts w:hAnsi="Times New Roman"/>
      <w:b/>
      <w:bCs/>
      <w:kern w:val="2"/>
    </w:rPr>
  </w:style>
  <w:style w:type="paragraph" w:styleId="11">
    <w:name w:val="heading 8"/>
    <w:basedOn w:val="1"/>
    <w:next w:val="1"/>
    <w:link w:val="105"/>
    <w:autoRedefine/>
    <w:qFormat/>
    <w:uiPriority w:val="9"/>
    <w:pPr>
      <w:keepNext/>
      <w:keepLines/>
      <w:widowControl/>
      <w:tabs>
        <w:tab w:val="left" w:pos="1440"/>
      </w:tabs>
      <w:spacing w:before="240" w:after="64" w:line="317" w:lineRule="auto"/>
      <w:ind w:left="1418" w:hanging="1418" w:firstLineChars="0"/>
      <w:jc w:val="left"/>
      <w:outlineLvl w:val="7"/>
    </w:pPr>
    <w:rPr>
      <w:rFonts w:ascii="Arial" w:hAnsi="Arial" w:eastAsia="黑体"/>
      <w:kern w:val="2"/>
    </w:rPr>
  </w:style>
  <w:style w:type="paragraph" w:styleId="12">
    <w:name w:val="heading 9"/>
    <w:basedOn w:val="1"/>
    <w:next w:val="1"/>
    <w:link w:val="106"/>
    <w:autoRedefine/>
    <w:qFormat/>
    <w:uiPriority w:val="9"/>
    <w:pPr>
      <w:keepNext/>
      <w:keepLines/>
      <w:widowControl/>
      <w:tabs>
        <w:tab w:val="left" w:pos="1584"/>
      </w:tabs>
      <w:spacing w:before="240" w:after="64" w:line="317" w:lineRule="auto"/>
      <w:ind w:left="1559" w:hanging="1559" w:firstLineChars="0"/>
      <w:jc w:val="left"/>
      <w:outlineLvl w:val="8"/>
    </w:pPr>
    <w:rPr>
      <w:rFonts w:ascii="Arial" w:hAnsi="Arial" w:eastAsia="黑体"/>
      <w:kern w:val="2"/>
      <w:szCs w:val="21"/>
    </w:rPr>
  </w:style>
  <w:style w:type="character" w:default="1" w:styleId="62">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macro"/>
    <w:link w:val="108"/>
    <w:autoRedefine/>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01"/>
    <w:autoRedefine/>
    <w:unhideWhenUsed/>
    <w:qFormat/>
    <w:uiPriority w:val="99"/>
    <w:pPr>
      <w:ind w:firstLine="420"/>
    </w:pPr>
  </w:style>
  <w:style w:type="paragraph" w:styleId="13">
    <w:name w:val="List 3"/>
    <w:basedOn w:val="1"/>
    <w:autoRedefine/>
    <w:qFormat/>
    <w:uiPriority w:val="0"/>
    <w:pPr>
      <w:spacing w:line="240" w:lineRule="auto"/>
      <w:ind w:left="100" w:leftChars="400" w:hanging="200" w:hangingChars="200"/>
    </w:pPr>
    <w:rPr>
      <w:rFonts w:hAnsi="Times New Roman"/>
      <w:kern w:val="3"/>
      <w:sz w:val="21"/>
      <w:szCs w:val="20"/>
      <w:lang w:val="en-US"/>
    </w:rPr>
  </w:style>
  <w:style w:type="paragraph" w:styleId="14">
    <w:name w:val="toc 7"/>
    <w:basedOn w:val="1"/>
    <w:next w:val="1"/>
    <w:autoRedefine/>
    <w:unhideWhenUsed/>
    <w:qFormat/>
    <w:uiPriority w:val="39"/>
    <w:pPr>
      <w:ind w:left="1440"/>
      <w:jc w:val="left"/>
    </w:pPr>
    <w:rPr>
      <w:rFonts w:asciiTheme="minorHAnsi" w:eastAsiaTheme="minorHAnsi"/>
      <w:sz w:val="18"/>
      <w:szCs w:val="18"/>
    </w:rPr>
  </w:style>
  <w:style w:type="paragraph" w:styleId="15">
    <w:name w:val="table of authorities"/>
    <w:basedOn w:val="1"/>
    <w:next w:val="1"/>
    <w:autoRedefine/>
    <w:qFormat/>
    <w:uiPriority w:val="0"/>
    <w:pPr>
      <w:spacing w:line="240" w:lineRule="auto"/>
      <w:ind w:left="420" w:firstLine="0" w:firstLineChars="0"/>
    </w:pPr>
    <w:rPr>
      <w:rFonts w:ascii="宋体"/>
      <w:kern w:val="2"/>
      <w:sz w:val="21"/>
      <w:szCs w:val="22"/>
      <w:lang w:val="en-US"/>
    </w:rPr>
  </w:style>
  <w:style w:type="paragraph" w:styleId="16">
    <w:name w:val="Note Heading"/>
    <w:basedOn w:val="1"/>
    <w:next w:val="1"/>
    <w:link w:val="110"/>
    <w:autoRedefine/>
    <w:qFormat/>
    <w:uiPriority w:val="0"/>
    <w:pPr>
      <w:spacing w:line="240" w:lineRule="auto"/>
      <w:ind w:firstLine="0" w:firstLineChars="0"/>
      <w:jc w:val="center"/>
    </w:pPr>
    <w:rPr>
      <w:rFonts w:hAnsi="Times New Roman"/>
      <w:kern w:val="2"/>
      <w:sz w:val="21"/>
    </w:rPr>
  </w:style>
  <w:style w:type="paragraph" w:styleId="17">
    <w:name w:val="E-mail Signature"/>
    <w:basedOn w:val="1"/>
    <w:link w:val="996"/>
    <w:autoRedefine/>
    <w:qFormat/>
    <w:uiPriority w:val="0"/>
    <w:pPr>
      <w:spacing w:line="240" w:lineRule="auto"/>
      <w:ind w:firstLine="0" w:firstLineChars="0"/>
    </w:pPr>
    <w:rPr>
      <w:rFonts w:hAnsi="Times New Roman"/>
      <w:kern w:val="2"/>
      <w:sz w:val="21"/>
      <w:szCs w:val="22"/>
      <w:lang w:val="en-US"/>
    </w:rPr>
  </w:style>
  <w:style w:type="paragraph" w:styleId="18">
    <w:name w:val="List Number"/>
    <w:basedOn w:val="1"/>
    <w:autoRedefine/>
    <w:qFormat/>
    <w:uiPriority w:val="0"/>
    <w:pPr>
      <w:tabs>
        <w:tab w:val="left" w:pos="360"/>
      </w:tabs>
      <w:spacing w:line="240" w:lineRule="auto"/>
      <w:ind w:firstLine="0" w:firstLineChars="0"/>
    </w:pPr>
    <w:rPr>
      <w:rFonts w:hAnsi="Times New Roman"/>
      <w:kern w:val="2"/>
      <w:lang w:val="en-US"/>
    </w:rPr>
  </w:style>
  <w:style w:type="paragraph" w:styleId="19">
    <w:name w:val="caption"/>
    <w:basedOn w:val="1"/>
    <w:next w:val="1"/>
    <w:link w:val="111"/>
    <w:autoRedefine/>
    <w:qFormat/>
    <w:uiPriority w:val="0"/>
    <w:pPr>
      <w:widowControl/>
      <w:spacing w:line="240" w:lineRule="auto"/>
      <w:ind w:firstLine="0" w:firstLineChars="0"/>
      <w:jc w:val="left"/>
    </w:pPr>
    <w:rPr>
      <w:rFonts w:ascii="Arial" w:hAnsi="Arial" w:eastAsia="黑体"/>
      <w:kern w:val="2"/>
      <w:sz w:val="18"/>
    </w:rPr>
  </w:style>
  <w:style w:type="paragraph" w:styleId="20">
    <w:name w:val="Document Map"/>
    <w:basedOn w:val="1"/>
    <w:link w:val="113"/>
    <w:autoRedefine/>
    <w:unhideWhenUsed/>
    <w:qFormat/>
    <w:uiPriority w:val="0"/>
    <w:pPr>
      <w:spacing w:line="240" w:lineRule="auto"/>
      <w:ind w:firstLine="0" w:firstLineChars="0"/>
    </w:pPr>
    <w:rPr>
      <w:rFonts w:ascii="宋体" w:hAnsi="Times New Roman"/>
      <w:kern w:val="2"/>
      <w:sz w:val="18"/>
      <w:szCs w:val="18"/>
      <w:lang w:val="en-US"/>
    </w:rPr>
  </w:style>
  <w:style w:type="paragraph" w:styleId="21">
    <w:name w:val="toa heading"/>
    <w:basedOn w:val="1"/>
    <w:next w:val="1"/>
    <w:autoRedefine/>
    <w:qFormat/>
    <w:uiPriority w:val="0"/>
    <w:pPr>
      <w:adjustRightInd w:val="0"/>
      <w:spacing w:before="120" w:line="312" w:lineRule="auto"/>
      <w:ind w:firstLine="0" w:firstLineChars="0"/>
      <w:textAlignment w:val="baseline"/>
    </w:pPr>
    <w:rPr>
      <w:rFonts w:ascii="Arial" w:hAnsi="Arial" w:cs="Arial"/>
      <w:kern w:val="2"/>
      <w:u w:color="FFFFFF"/>
      <w:lang w:val="en-US"/>
    </w:rPr>
  </w:style>
  <w:style w:type="paragraph" w:styleId="22">
    <w:name w:val="annotation text"/>
    <w:basedOn w:val="1"/>
    <w:link w:val="88"/>
    <w:autoRedefine/>
    <w:unhideWhenUsed/>
    <w:qFormat/>
    <w:uiPriority w:val="0"/>
    <w:pPr>
      <w:jc w:val="left"/>
    </w:pPr>
  </w:style>
  <w:style w:type="paragraph" w:styleId="23">
    <w:name w:val="Salutation"/>
    <w:basedOn w:val="1"/>
    <w:next w:val="1"/>
    <w:link w:val="116"/>
    <w:autoRedefine/>
    <w:qFormat/>
    <w:uiPriority w:val="0"/>
    <w:pPr>
      <w:spacing w:line="240" w:lineRule="auto"/>
      <w:ind w:firstLine="0" w:firstLineChars="0"/>
    </w:pPr>
    <w:rPr>
      <w:rFonts w:hAnsi="Times New Roman"/>
      <w:kern w:val="2"/>
      <w:sz w:val="21"/>
    </w:rPr>
  </w:style>
  <w:style w:type="paragraph" w:styleId="24">
    <w:name w:val="Body Text 3"/>
    <w:basedOn w:val="1"/>
    <w:link w:val="118"/>
    <w:autoRedefine/>
    <w:qFormat/>
    <w:uiPriority w:val="0"/>
    <w:pPr>
      <w:widowControl/>
      <w:spacing w:line="720" w:lineRule="auto"/>
      <w:ind w:firstLine="0" w:firstLineChars="0"/>
      <w:jc w:val="center"/>
    </w:pPr>
    <w:rPr>
      <w:rFonts w:ascii="宋体"/>
      <w:b/>
      <w:bCs/>
      <w:sz w:val="72"/>
      <w:szCs w:val="72"/>
    </w:rPr>
  </w:style>
  <w:style w:type="paragraph" w:styleId="25">
    <w:name w:val="List Bullet 3"/>
    <w:basedOn w:val="1"/>
    <w:autoRedefine/>
    <w:qFormat/>
    <w:uiPriority w:val="0"/>
    <w:pPr>
      <w:widowControl/>
      <w:tabs>
        <w:tab w:val="left" w:pos="1200"/>
      </w:tabs>
      <w:adjustRightInd w:val="0"/>
      <w:spacing w:line="312" w:lineRule="atLeast"/>
      <w:ind w:firstLine="0" w:firstLineChars="0"/>
      <w:jc w:val="left"/>
      <w:textAlignment w:val="baseline"/>
    </w:pPr>
    <w:rPr>
      <w:rFonts w:ascii="宋体" w:cs="宋体"/>
      <w:lang w:val="en-US"/>
    </w:rPr>
  </w:style>
  <w:style w:type="paragraph" w:styleId="26">
    <w:name w:val="Body Text"/>
    <w:basedOn w:val="1"/>
    <w:link w:val="120"/>
    <w:autoRedefine/>
    <w:unhideWhenUsed/>
    <w:qFormat/>
    <w:uiPriority w:val="0"/>
    <w:pPr>
      <w:spacing w:after="120" w:line="240" w:lineRule="auto"/>
      <w:ind w:firstLine="0" w:firstLineChars="0"/>
    </w:pPr>
    <w:rPr>
      <w:rFonts w:hAnsi="Times New Roman"/>
      <w:kern w:val="2"/>
      <w:sz w:val="21"/>
      <w:szCs w:val="22"/>
      <w:lang w:val="en-US"/>
    </w:rPr>
  </w:style>
  <w:style w:type="paragraph" w:styleId="27">
    <w:name w:val="Body Text Indent"/>
    <w:basedOn w:val="1"/>
    <w:link w:val="122"/>
    <w:autoRedefine/>
    <w:qFormat/>
    <w:uiPriority w:val="0"/>
    <w:pPr>
      <w:widowControl/>
      <w:spacing w:after="120"/>
      <w:ind w:left="420" w:leftChars="200" w:firstLine="200"/>
      <w:jc w:val="left"/>
    </w:pPr>
    <w:rPr>
      <w:rFonts w:hAnsi="Times New Roman"/>
      <w:kern w:val="2"/>
      <w:lang w:val="en-US"/>
    </w:rPr>
  </w:style>
  <w:style w:type="paragraph" w:styleId="28">
    <w:name w:val="List 2"/>
    <w:basedOn w:val="1"/>
    <w:autoRedefine/>
    <w:qFormat/>
    <w:uiPriority w:val="0"/>
    <w:pPr>
      <w:spacing w:line="240" w:lineRule="auto"/>
      <w:ind w:left="100" w:leftChars="200" w:hanging="200" w:hangingChars="200"/>
    </w:pPr>
    <w:rPr>
      <w:rFonts w:hAnsi="Times New Roman"/>
      <w:kern w:val="2"/>
      <w:sz w:val="21"/>
      <w:lang w:val="en-US"/>
    </w:rPr>
  </w:style>
  <w:style w:type="paragraph" w:styleId="29">
    <w:name w:val="Block Text"/>
    <w:basedOn w:val="1"/>
    <w:link w:val="987"/>
    <w:autoRedefine/>
    <w:qFormat/>
    <w:uiPriority w:val="0"/>
    <w:pPr>
      <w:spacing w:line="340" w:lineRule="exact"/>
      <w:ind w:left="-90" w:leftChars="-43" w:right="-99" w:rightChars="-47" w:firstLine="0" w:firstLineChars="0"/>
      <w:jc w:val="center"/>
    </w:pPr>
    <w:rPr>
      <w:rFonts w:hAnsi="Times New Roman"/>
      <w:bCs/>
      <w:kern w:val="2"/>
      <w:sz w:val="21"/>
      <w:szCs w:val="20"/>
      <w:lang w:val="en-US"/>
    </w:rPr>
  </w:style>
  <w:style w:type="paragraph" w:styleId="30">
    <w:name w:val="toc 5"/>
    <w:basedOn w:val="1"/>
    <w:next w:val="1"/>
    <w:autoRedefine/>
    <w:unhideWhenUsed/>
    <w:qFormat/>
    <w:uiPriority w:val="39"/>
    <w:pPr>
      <w:ind w:left="960"/>
      <w:jc w:val="left"/>
    </w:pPr>
    <w:rPr>
      <w:rFonts w:asciiTheme="minorHAnsi" w:eastAsiaTheme="minorHAnsi"/>
      <w:sz w:val="18"/>
      <w:szCs w:val="18"/>
    </w:rPr>
  </w:style>
  <w:style w:type="paragraph" w:styleId="31">
    <w:name w:val="toc 3"/>
    <w:basedOn w:val="1"/>
    <w:next w:val="1"/>
    <w:autoRedefine/>
    <w:unhideWhenUsed/>
    <w:qFormat/>
    <w:uiPriority w:val="39"/>
    <w:pPr>
      <w:ind w:left="480"/>
      <w:jc w:val="left"/>
    </w:pPr>
    <w:rPr>
      <w:rFonts w:asciiTheme="minorHAnsi" w:eastAsiaTheme="minorHAnsi"/>
      <w:i/>
      <w:iCs/>
      <w:sz w:val="20"/>
      <w:szCs w:val="20"/>
    </w:rPr>
  </w:style>
  <w:style w:type="paragraph" w:styleId="32">
    <w:name w:val="Plain Text"/>
    <w:basedOn w:val="1"/>
    <w:link w:val="124"/>
    <w:autoRedefine/>
    <w:qFormat/>
    <w:uiPriority w:val="0"/>
    <w:pPr>
      <w:widowControl/>
      <w:ind w:firstLine="200"/>
      <w:jc w:val="left"/>
    </w:pPr>
    <w:rPr>
      <w:rFonts w:ascii="宋体" w:hAnsi="Courier New"/>
      <w:kern w:val="2"/>
      <w:szCs w:val="21"/>
    </w:rPr>
  </w:style>
  <w:style w:type="paragraph" w:styleId="33">
    <w:name w:val="toc 8"/>
    <w:basedOn w:val="1"/>
    <w:next w:val="1"/>
    <w:autoRedefine/>
    <w:unhideWhenUsed/>
    <w:qFormat/>
    <w:uiPriority w:val="39"/>
    <w:pPr>
      <w:ind w:left="1680"/>
      <w:jc w:val="left"/>
    </w:pPr>
    <w:rPr>
      <w:rFonts w:asciiTheme="minorHAnsi" w:eastAsiaTheme="minorHAnsi"/>
      <w:sz w:val="18"/>
      <w:szCs w:val="18"/>
    </w:rPr>
  </w:style>
  <w:style w:type="paragraph" w:styleId="34">
    <w:name w:val="Date"/>
    <w:basedOn w:val="1"/>
    <w:next w:val="1"/>
    <w:link w:val="126"/>
    <w:autoRedefine/>
    <w:qFormat/>
    <w:uiPriority w:val="99"/>
    <w:pPr>
      <w:widowControl/>
      <w:adjustRightInd w:val="0"/>
      <w:spacing w:line="312" w:lineRule="atLeast"/>
      <w:ind w:firstLine="0" w:firstLineChars="0"/>
      <w:jc w:val="right"/>
      <w:textAlignment w:val="baseline"/>
    </w:pPr>
    <w:rPr>
      <w:rFonts w:hAnsi="Times New Roman"/>
      <w:sz w:val="28"/>
      <w:szCs w:val="20"/>
    </w:rPr>
  </w:style>
  <w:style w:type="paragraph" w:styleId="35">
    <w:name w:val="Body Text Indent 2"/>
    <w:basedOn w:val="1"/>
    <w:link w:val="128"/>
    <w:autoRedefine/>
    <w:qFormat/>
    <w:uiPriority w:val="0"/>
    <w:pPr>
      <w:widowControl/>
      <w:spacing w:after="120" w:line="480" w:lineRule="auto"/>
      <w:ind w:left="420" w:leftChars="200" w:firstLine="200"/>
      <w:jc w:val="left"/>
    </w:pPr>
    <w:rPr>
      <w:rFonts w:hAnsi="Times New Roman"/>
      <w:kern w:val="2"/>
    </w:rPr>
  </w:style>
  <w:style w:type="paragraph" w:styleId="36">
    <w:name w:val="Balloon Text"/>
    <w:basedOn w:val="1"/>
    <w:link w:val="130"/>
    <w:autoRedefine/>
    <w:unhideWhenUsed/>
    <w:qFormat/>
    <w:uiPriority w:val="0"/>
    <w:pPr>
      <w:spacing w:line="240" w:lineRule="auto"/>
      <w:ind w:firstLine="0" w:firstLineChars="0"/>
    </w:pPr>
    <w:rPr>
      <w:rFonts w:hAnsi="Times New Roman"/>
      <w:kern w:val="2"/>
      <w:sz w:val="18"/>
      <w:szCs w:val="18"/>
      <w:lang w:val="en-US"/>
    </w:rPr>
  </w:style>
  <w:style w:type="paragraph" w:styleId="37">
    <w:name w:val="footer"/>
    <w:basedOn w:val="1"/>
    <w:link w:val="77"/>
    <w:autoRedefine/>
    <w:unhideWhenUsed/>
    <w:qFormat/>
    <w:uiPriority w:val="0"/>
    <w:pPr>
      <w:tabs>
        <w:tab w:val="center" w:pos="4153"/>
        <w:tab w:val="right" w:pos="8306"/>
      </w:tabs>
      <w:snapToGrid w:val="0"/>
      <w:jc w:val="left"/>
    </w:pPr>
    <w:rPr>
      <w:sz w:val="18"/>
      <w:szCs w:val="18"/>
    </w:rPr>
  </w:style>
  <w:style w:type="paragraph" w:styleId="38">
    <w:name w:val="envelope return"/>
    <w:basedOn w:val="1"/>
    <w:autoRedefine/>
    <w:qFormat/>
    <w:uiPriority w:val="0"/>
    <w:pPr>
      <w:snapToGrid w:val="0"/>
      <w:spacing w:line="240" w:lineRule="auto"/>
      <w:ind w:firstLine="0" w:firstLineChars="0"/>
    </w:pPr>
    <w:rPr>
      <w:rFonts w:ascii="Arial" w:hAnsi="Arial" w:cs="Arial"/>
      <w:kern w:val="2"/>
      <w:sz w:val="21"/>
      <w:szCs w:val="22"/>
      <w:lang w:val="en-US"/>
    </w:rPr>
  </w:style>
  <w:style w:type="paragraph" w:styleId="39">
    <w:name w:val="header"/>
    <w:basedOn w:val="1"/>
    <w:link w:val="76"/>
    <w:autoRedefine/>
    <w:unhideWhenUsed/>
    <w:qFormat/>
    <w:uiPriority w:val="0"/>
    <w:pPr>
      <w:tabs>
        <w:tab w:val="center" w:pos="4153"/>
        <w:tab w:val="right" w:pos="8306"/>
      </w:tabs>
      <w:snapToGrid w:val="0"/>
      <w:jc w:val="center"/>
    </w:pPr>
    <w:rPr>
      <w:sz w:val="18"/>
      <w:szCs w:val="18"/>
    </w:rPr>
  </w:style>
  <w:style w:type="paragraph" w:styleId="40">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41">
    <w:name w:val="toc 4"/>
    <w:basedOn w:val="1"/>
    <w:next w:val="1"/>
    <w:autoRedefine/>
    <w:unhideWhenUsed/>
    <w:qFormat/>
    <w:uiPriority w:val="39"/>
    <w:pPr>
      <w:ind w:left="720"/>
      <w:jc w:val="left"/>
    </w:pPr>
    <w:rPr>
      <w:rFonts w:asciiTheme="minorHAnsi" w:eastAsiaTheme="minorHAnsi"/>
      <w:sz w:val="18"/>
      <w:szCs w:val="18"/>
    </w:rPr>
  </w:style>
  <w:style w:type="paragraph" w:styleId="42">
    <w:name w:val="Subtitle"/>
    <w:basedOn w:val="1"/>
    <w:next w:val="1"/>
    <w:link w:val="134"/>
    <w:autoRedefine/>
    <w:qFormat/>
    <w:uiPriority w:val="0"/>
    <w:pPr>
      <w:widowControl/>
      <w:ind w:firstLine="0" w:firstLineChars="0"/>
      <w:jc w:val="left"/>
      <w:outlineLvl w:val="2"/>
    </w:pPr>
    <w:rPr>
      <w:rFonts w:ascii="Cambria" w:hAnsi="Cambria"/>
      <w:b/>
      <w:bCs/>
      <w:kern w:val="28"/>
      <w:sz w:val="30"/>
      <w:szCs w:val="32"/>
    </w:rPr>
  </w:style>
  <w:style w:type="paragraph" w:styleId="43">
    <w:name w:val="List"/>
    <w:basedOn w:val="1"/>
    <w:link w:val="135"/>
    <w:autoRedefine/>
    <w:qFormat/>
    <w:uiPriority w:val="0"/>
    <w:pPr>
      <w:widowControl/>
      <w:spacing w:line="240" w:lineRule="auto"/>
      <w:ind w:left="200" w:hanging="200" w:hangingChars="200"/>
      <w:jc w:val="left"/>
    </w:pPr>
    <w:rPr>
      <w:rFonts w:ascii="宋体" w:cs="宋体"/>
      <w:lang w:val="en-US"/>
    </w:rPr>
  </w:style>
  <w:style w:type="paragraph" w:styleId="44">
    <w:name w:val="footnote text"/>
    <w:basedOn w:val="1"/>
    <w:link w:val="137"/>
    <w:autoRedefine/>
    <w:qFormat/>
    <w:uiPriority w:val="0"/>
    <w:pPr>
      <w:widowControl/>
      <w:snapToGrid w:val="0"/>
      <w:spacing w:line="240" w:lineRule="auto"/>
      <w:ind w:firstLine="0" w:firstLineChars="0"/>
      <w:jc w:val="left"/>
    </w:pPr>
    <w:rPr>
      <w:rFonts w:hAnsi="Times New Roman"/>
      <w:sz w:val="18"/>
      <w:szCs w:val="20"/>
    </w:rPr>
  </w:style>
  <w:style w:type="paragraph" w:styleId="45">
    <w:name w:val="toc 6"/>
    <w:basedOn w:val="1"/>
    <w:next w:val="1"/>
    <w:autoRedefine/>
    <w:unhideWhenUsed/>
    <w:qFormat/>
    <w:uiPriority w:val="39"/>
    <w:pPr>
      <w:ind w:left="1200"/>
      <w:jc w:val="left"/>
    </w:pPr>
    <w:rPr>
      <w:rFonts w:asciiTheme="minorHAnsi" w:eastAsiaTheme="minorHAnsi"/>
      <w:sz w:val="18"/>
      <w:szCs w:val="18"/>
    </w:rPr>
  </w:style>
  <w:style w:type="paragraph" w:styleId="46">
    <w:name w:val="Body Text Indent 3"/>
    <w:basedOn w:val="1"/>
    <w:link w:val="139"/>
    <w:autoRedefine/>
    <w:qFormat/>
    <w:uiPriority w:val="0"/>
    <w:pPr>
      <w:widowControl/>
      <w:spacing w:after="120" w:line="240" w:lineRule="auto"/>
      <w:ind w:left="420" w:leftChars="200" w:firstLine="0" w:firstLineChars="0"/>
      <w:jc w:val="left"/>
    </w:pPr>
    <w:rPr>
      <w:rFonts w:hAnsi="Times New Roman"/>
      <w:kern w:val="2"/>
      <w:sz w:val="16"/>
      <w:szCs w:val="16"/>
    </w:rPr>
  </w:style>
  <w:style w:type="paragraph" w:styleId="47">
    <w:name w:val="toc 2"/>
    <w:basedOn w:val="1"/>
    <w:next w:val="1"/>
    <w:autoRedefine/>
    <w:unhideWhenUsed/>
    <w:qFormat/>
    <w:uiPriority w:val="39"/>
    <w:pPr>
      <w:ind w:left="240"/>
      <w:jc w:val="left"/>
    </w:pPr>
    <w:rPr>
      <w:rFonts w:asciiTheme="minorHAnsi" w:eastAsiaTheme="minorHAnsi"/>
      <w:smallCaps/>
      <w:sz w:val="20"/>
      <w:szCs w:val="20"/>
    </w:rPr>
  </w:style>
  <w:style w:type="paragraph" w:styleId="48">
    <w:name w:val="toc 9"/>
    <w:basedOn w:val="1"/>
    <w:next w:val="1"/>
    <w:autoRedefine/>
    <w:unhideWhenUsed/>
    <w:qFormat/>
    <w:uiPriority w:val="39"/>
    <w:pPr>
      <w:ind w:left="1920"/>
      <w:jc w:val="left"/>
    </w:pPr>
    <w:rPr>
      <w:rFonts w:asciiTheme="minorHAnsi" w:eastAsiaTheme="minorHAnsi"/>
      <w:sz w:val="18"/>
      <w:szCs w:val="18"/>
    </w:rPr>
  </w:style>
  <w:style w:type="paragraph" w:styleId="49">
    <w:name w:val="Body Text 2"/>
    <w:basedOn w:val="1"/>
    <w:link w:val="141"/>
    <w:autoRedefine/>
    <w:qFormat/>
    <w:uiPriority w:val="0"/>
    <w:pPr>
      <w:widowControl/>
      <w:spacing w:after="120" w:line="480" w:lineRule="auto"/>
      <w:ind w:firstLine="200"/>
      <w:jc w:val="left"/>
    </w:pPr>
    <w:rPr>
      <w:rFonts w:ascii="宋体"/>
    </w:rPr>
  </w:style>
  <w:style w:type="paragraph" w:styleId="50">
    <w:name w:val="List 4"/>
    <w:basedOn w:val="1"/>
    <w:autoRedefine/>
    <w:qFormat/>
    <w:uiPriority w:val="0"/>
    <w:pPr>
      <w:spacing w:line="240" w:lineRule="auto"/>
      <w:ind w:left="1680" w:hanging="420" w:firstLineChars="0"/>
    </w:pPr>
    <w:rPr>
      <w:rFonts w:hAnsi="Times New Roman"/>
      <w:kern w:val="2"/>
      <w:sz w:val="21"/>
      <w:szCs w:val="20"/>
      <w:lang w:val="en-US"/>
    </w:rPr>
  </w:style>
  <w:style w:type="paragraph" w:styleId="51">
    <w:name w:val="HTML Preformatted"/>
    <w:basedOn w:val="1"/>
    <w:link w:val="14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0" w:firstLineChars="0"/>
      <w:jc w:val="left"/>
    </w:pPr>
    <w:rPr>
      <w:rFonts w:ascii="Arial" w:hAnsi="Arial"/>
      <w:sz w:val="21"/>
      <w:szCs w:val="21"/>
    </w:rPr>
  </w:style>
  <w:style w:type="paragraph" w:styleId="52">
    <w:name w:val="Normal (Web)"/>
    <w:basedOn w:val="1"/>
    <w:link w:val="144"/>
    <w:autoRedefine/>
    <w:qFormat/>
    <w:uiPriority w:val="99"/>
    <w:pPr>
      <w:widowControl/>
      <w:spacing w:before="100" w:beforeAutospacing="1" w:after="100" w:afterAutospacing="1" w:line="240" w:lineRule="auto"/>
      <w:ind w:firstLine="0" w:firstLineChars="0"/>
      <w:jc w:val="left"/>
    </w:pPr>
    <w:rPr>
      <w:rFonts w:ascii="Arial Unicode MS" w:hAnsi="Arial Unicode MS" w:eastAsia="Arial Unicode MS" w:cs="Arial Unicode MS"/>
      <w:lang w:val="en-US"/>
    </w:rPr>
  </w:style>
  <w:style w:type="paragraph" w:styleId="53">
    <w:name w:val="index 1"/>
    <w:basedOn w:val="1"/>
    <w:next w:val="1"/>
    <w:autoRedefine/>
    <w:qFormat/>
    <w:uiPriority w:val="99"/>
    <w:pPr>
      <w:widowControl/>
      <w:tabs>
        <w:tab w:val="left" w:pos="1980"/>
        <w:tab w:val="left" w:pos="4680"/>
      </w:tabs>
      <w:snapToGrid w:val="0"/>
      <w:spacing w:line="240" w:lineRule="exact"/>
      <w:ind w:firstLine="0" w:firstLineChars="0"/>
      <w:jc w:val="center"/>
    </w:pPr>
    <w:rPr>
      <w:rFonts w:ascii="楷体_GB2312" w:eastAsia="楷体_GB2312" w:cs="宋体"/>
      <w:lang w:val="en-US"/>
    </w:rPr>
  </w:style>
  <w:style w:type="paragraph" w:styleId="54">
    <w:name w:val="Title"/>
    <w:basedOn w:val="1"/>
    <w:next w:val="1"/>
    <w:link w:val="146"/>
    <w:autoRedefine/>
    <w:qFormat/>
    <w:uiPriority w:val="99"/>
    <w:pPr>
      <w:widowControl/>
      <w:ind w:firstLine="0" w:firstLineChars="0"/>
      <w:jc w:val="left"/>
      <w:outlineLvl w:val="1"/>
    </w:pPr>
    <w:rPr>
      <w:rFonts w:ascii="Cambria" w:hAnsi="Cambria"/>
      <w:b/>
      <w:bCs/>
      <w:color w:val="000000"/>
      <w:kern w:val="2"/>
      <w:sz w:val="32"/>
      <w:szCs w:val="32"/>
    </w:rPr>
  </w:style>
  <w:style w:type="paragraph" w:styleId="55">
    <w:name w:val="annotation subject"/>
    <w:basedOn w:val="22"/>
    <w:next w:val="22"/>
    <w:link w:val="89"/>
    <w:autoRedefine/>
    <w:unhideWhenUsed/>
    <w:qFormat/>
    <w:uiPriority w:val="99"/>
    <w:rPr>
      <w:b/>
      <w:bCs/>
    </w:rPr>
  </w:style>
  <w:style w:type="paragraph" w:styleId="56">
    <w:name w:val="Body Text First Indent"/>
    <w:basedOn w:val="26"/>
    <w:link w:val="148"/>
    <w:autoRedefine/>
    <w:qFormat/>
    <w:uiPriority w:val="99"/>
    <w:pPr>
      <w:ind w:firstLine="480"/>
    </w:pPr>
  </w:style>
  <w:style w:type="paragraph" w:styleId="57">
    <w:name w:val="Body Text First Indent 2"/>
    <w:basedOn w:val="27"/>
    <w:link w:val="149"/>
    <w:autoRedefine/>
    <w:unhideWhenUsed/>
    <w:qFormat/>
    <w:uiPriority w:val="0"/>
    <w:pPr>
      <w:widowControl w:val="0"/>
      <w:spacing w:line="240" w:lineRule="auto"/>
      <w:ind w:firstLine="420"/>
      <w:jc w:val="both"/>
    </w:pPr>
    <w:rPr>
      <w:sz w:val="21"/>
      <w:szCs w:val="22"/>
    </w:rPr>
  </w:style>
  <w:style w:type="table" w:styleId="59">
    <w:name w:val="Table Grid"/>
    <w:basedOn w:val="5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0">
    <w:name w:val="Table Grid 1"/>
    <w:basedOn w:val="5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61">
    <w:name w:val="Table Grid 5"/>
    <w:basedOn w:val="58"/>
    <w:autoRedefine/>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3">
    <w:name w:val="Strong"/>
    <w:autoRedefine/>
    <w:qFormat/>
    <w:uiPriority w:val="0"/>
    <w:rPr>
      <w:b/>
      <w:bCs/>
    </w:rPr>
  </w:style>
  <w:style w:type="character" w:styleId="64">
    <w:name w:val="endnote reference"/>
    <w:autoRedefine/>
    <w:qFormat/>
    <w:uiPriority w:val="0"/>
    <w:rPr>
      <w:vertAlign w:val="superscript"/>
    </w:rPr>
  </w:style>
  <w:style w:type="character" w:styleId="65">
    <w:name w:val="page number"/>
    <w:autoRedefine/>
    <w:qFormat/>
    <w:uiPriority w:val="99"/>
  </w:style>
  <w:style w:type="character" w:styleId="66">
    <w:name w:val="FollowedHyperlink"/>
    <w:autoRedefine/>
    <w:qFormat/>
    <w:uiPriority w:val="99"/>
    <w:rPr>
      <w:color w:val="800080"/>
      <w:u w:val="single"/>
    </w:rPr>
  </w:style>
  <w:style w:type="character" w:styleId="67">
    <w:name w:val="Emphasis"/>
    <w:autoRedefine/>
    <w:qFormat/>
    <w:uiPriority w:val="0"/>
    <w:rPr>
      <w:color w:val="CC0000"/>
    </w:rPr>
  </w:style>
  <w:style w:type="character" w:styleId="68">
    <w:name w:val="line number"/>
    <w:basedOn w:val="62"/>
    <w:autoRedefine/>
    <w:qFormat/>
    <w:uiPriority w:val="0"/>
  </w:style>
  <w:style w:type="character" w:styleId="69">
    <w:name w:val="Hyperlink"/>
    <w:autoRedefine/>
    <w:unhideWhenUsed/>
    <w:qFormat/>
    <w:uiPriority w:val="99"/>
    <w:rPr>
      <w:color w:val="0000FF"/>
      <w:u w:val="single"/>
    </w:rPr>
  </w:style>
  <w:style w:type="character" w:styleId="70">
    <w:name w:val="annotation reference"/>
    <w:basedOn w:val="62"/>
    <w:autoRedefine/>
    <w:unhideWhenUsed/>
    <w:qFormat/>
    <w:uiPriority w:val="0"/>
    <w:rPr>
      <w:sz w:val="21"/>
      <w:szCs w:val="21"/>
    </w:rPr>
  </w:style>
  <w:style w:type="paragraph" w:customStyle="1" w:styleId="71">
    <w:name w:val="Default"/>
    <w:basedOn w:val="72"/>
    <w:next w:val="14"/>
    <w:link w:val="991"/>
    <w:autoRedefine/>
    <w:qFormat/>
    <w:uiPriority w:val="0"/>
    <w:pPr>
      <w:autoSpaceDE w:val="0"/>
      <w:autoSpaceDN w:val="0"/>
    </w:pPr>
    <w:rPr>
      <w:rFonts w:hAnsi="宋体" w:cs="宋体"/>
      <w:color w:val="000000"/>
      <w:szCs w:val="24"/>
      <w:lang w:val="en-US"/>
    </w:rPr>
  </w:style>
  <w:style w:type="paragraph" w:customStyle="1" w:styleId="72">
    <w:name w:val="纯文本1"/>
    <w:basedOn w:val="1"/>
    <w:autoRedefine/>
    <w:qFormat/>
    <w:uiPriority w:val="0"/>
    <w:pPr>
      <w:adjustRightInd w:val="0"/>
      <w:textAlignment w:val="baseline"/>
    </w:pPr>
    <w:rPr>
      <w:rFonts w:ascii="宋体" w:hAnsi="Courier New"/>
      <w:szCs w:val="20"/>
    </w:rPr>
  </w:style>
  <w:style w:type="paragraph" w:customStyle="1" w:styleId="73">
    <w:name w:val="正文（小四）"/>
    <w:link w:val="84"/>
    <w:autoRedefine/>
    <w:qFormat/>
    <w:uiPriority w:val="0"/>
    <w:pPr>
      <w:spacing w:line="360" w:lineRule="auto"/>
      <w:ind w:firstLine="200" w:firstLineChars="200"/>
      <w:jc w:val="both"/>
    </w:pPr>
    <w:rPr>
      <w:rFonts w:asciiTheme="minorHAnsi" w:hAnsiTheme="minorHAnsi" w:eastAsiaTheme="minorEastAsia" w:cstheme="minorBidi"/>
      <w:bCs/>
      <w:kern w:val="2"/>
      <w:sz w:val="24"/>
      <w:szCs w:val="32"/>
      <w:lang w:val="en-US" w:eastAsia="zh-CN" w:bidi="ar-SA"/>
    </w:rPr>
  </w:style>
  <w:style w:type="paragraph" w:customStyle="1" w:styleId="74">
    <w:name w:val="样式 5文章(治) +"/>
    <w:basedOn w:val="75"/>
    <w:link w:val="990"/>
    <w:autoRedefine/>
    <w:qFormat/>
    <w:uiPriority w:val="0"/>
    <w:pPr>
      <w:ind w:firstLine="200"/>
    </w:pPr>
    <w:rPr>
      <w:rFonts w:cs="Tahoma" w:asciiTheme="minorHAnsi" w:hAnsiTheme="minorHAnsi"/>
      <w:kern w:val="2"/>
      <w:szCs w:val="21"/>
      <w:lang w:val="en-US"/>
    </w:rPr>
  </w:style>
  <w:style w:type="paragraph" w:customStyle="1" w:styleId="75">
    <w:name w:val="5文章(治)"/>
    <w:basedOn w:val="1"/>
    <w:link w:val="157"/>
    <w:autoRedefine/>
    <w:qFormat/>
    <w:uiPriority w:val="0"/>
    <w:rPr>
      <w:snapToGrid w:val="0"/>
      <w:szCs w:val="20"/>
      <w:lang w:val="en-GB"/>
    </w:rPr>
  </w:style>
  <w:style w:type="character" w:customStyle="1" w:styleId="76">
    <w:name w:val="页眉 字符"/>
    <w:basedOn w:val="62"/>
    <w:link w:val="39"/>
    <w:autoRedefine/>
    <w:qFormat/>
    <w:uiPriority w:val="99"/>
    <w:rPr>
      <w:sz w:val="18"/>
      <w:szCs w:val="18"/>
    </w:rPr>
  </w:style>
  <w:style w:type="character" w:customStyle="1" w:styleId="77">
    <w:name w:val="页脚 字符"/>
    <w:basedOn w:val="62"/>
    <w:link w:val="37"/>
    <w:autoRedefine/>
    <w:qFormat/>
    <w:uiPriority w:val="99"/>
    <w:rPr>
      <w:sz w:val="18"/>
      <w:szCs w:val="18"/>
    </w:rPr>
  </w:style>
  <w:style w:type="character" w:customStyle="1" w:styleId="78">
    <w:name w:val="标题 1 字符"/>
    <w:basedOn w:val="62"/>
    <w:link w:val="3"/>
    <w:autoRedefine/>
    <w:qFormat/>
    <w:uiPriority w:val="9"/>
    <w:rPr>
      <w:rFonts w:ascii="楷体" w:hAnsi="楷体" w:eastAsia="楷体" w:cs="Times New Roman"/>
      <w:b/>
      <w:kern w:val="44"/>
      <w:sz w:val="44"/>
      <w:szCs w:val="44"/>
      <w:lang w:val="zh-CN"/>
    </w:rPr>
  </w:style>
  <w:style w:type="character" w:customStyle="1" w:styleId="79">
    <w:name w:val="标题 2 字符"/>
    <w:basedOn w:val="62"/>
    <w:link w:val="4"/>
    <w:autoRedefine/>
    <w:qFormat/>
    <w:uiPriority w:val="9"/>
    <w:rPr>
      <w:rFonts w:ascii="楷体" w:hAnsi="楷体" w:eastAsia="Times New Roman" w:cs="Times New Roman"/>
      <w:b/>
      <w:kern w:val="44"/>
      <w:sz w:val="36"/>
      <w:szCs w:val="36"/>
      <w:lang w:val="zh-CN"/>
    </w:rPr>
  </w:style>
  <w:style w:type="character" w:customStyle="1" w:styleId="80">
    <w:name w:val="标题 3 字符"/>
    <w:basedOn w:val="62"/>
    <w:link w:val="6"/>
    <w:autoRedefine/>
    <w:qFormat/>
    <w:uiPriority w:val="9"/>
    <w:rPr>
      <w:rFonts w:ascii="Times New Roman" w:hAnsi="Times New Roman" w:eastAsia="华文楷体" w:cs="Times New Roman"/>
      <w:b/>
      <w:sz w:val="32"/>
      <w:szCs w:val="32"/>
      <w:lang w:val="zh-CN"/>
    </w:rPr>
  </w:style>
  <w:style w:type="character" w:customStyle="1" w:styleId="81">
    <w:name w:val="标题 4 字符"/>
    <w:basedOn w:val="62"/>
    <w:link w:val="7"/>
    <w:autoRedefine/>
    <w:qFormat/>
    <w:uiPriority w:val="9"/>
    <w:rPr>
      <w:rFonts w:ascii="Times New Roman" w:hAnsi="Times New Roman" w:eastAsia="宋体" w:cs="Times New Roman"/>
      <w:b/>
      <w:kern w:val="0"/>
      <w:sz w:val="28"/>
      <w:szCs w:val="28"/>
      <w:lang w:val="zh-CN"/>
    </w:rPr>
  </w:style>
  <w:style w:type="paragraph" w:customStyle="1" w:styleId="82">
    <w:name w:val="文本"/>
    <w:basedOn w:val="1"/>
    <w:link w:val="83"/>
    <w:autoRedefine/>
    <w:qFormat/>
    <w:uiPriority w:val="0"/>
  </w:style>
  <w:style w:type="character" w:customStyle="1" w:styleId="83">
    <w:name w:val="文本 Char Char"/>
    <w:link w:val="82"/>
    <w:autoRedefine/>
    <w:qFormat/>
    <w:uiPriority w:val="0"/>
    <w:rPr>
      <w:rFonts w:ascii="Times New Roman" w:hAnsi="宋体" w:eastAsia="宋体" w:cs="Times New Roman"/>
      <w:kern w:val="0"/>
      <w:sz w:val="24"/>
      <w:szCs w:val="24"/>
      <w:lang w:val="zh-CN"/>
    </w:rPr>
  </w:style>
  <w:style w:type="character" w:customStyle="1" w:styleId="84">
    <w:name w:val="正文（小四） Char"/>
    <w:link w:val="73"/>
    <w:autoRedefine/>
    <w:qFormat/>
    <w:uiPriority w:val="0"/>
    <w:rPr>
      <w:bCs/>
      <w:sz w:val="24"/>
      <w:szCs w:val="32"/>
    </w:rPr>
  </w:style>
  <w:style w:type="paragraph" w:customStyle="1" w:styleId="85">
    <w:name w:val="FAM表头"/>
    <w:basedOn w:val="86"/>
    <w:link w:val="87"/>
    <w:autoRedefine/>
    <w:qFormat/>
    <w:uiPriority w:val="0"/>
    <w:rPr>
      <w:rFonts w:hAnsi="Times New Roman"/>
      <w:color w:val="000000" w:themeColor="text1"/>
      <w14:textFill>
        <w14:solidFill>
          <w14:schemeClr w14:val="tx1"/>
        </w14:solidFill>
      </w14:textFill>
    </w:rPr>
  </w:style>
  <w:style w:type="paragraph" w:customStyle="1" w:styleId="86">
    <w:name w:val="F表头图例"/>
    <w:basedOn w:val="1"/>
    <w:link w:val="833"/>
    <w:autoRedefine/>
    <w:qFormat/>
    <w:uiPriority w:val="0"/>
    <w:pPr>
      <w:ind w:firstLine="0" w:firstLineChars="0"/>
      <w:jc w:val="center"/>
    </w:pPr>
    <w:rPr>
      <w:b/>
      <w:color w:val="000000"/>
      <w:lang w:val="en-US"/>
    </w:rPr>
  </w:style>
  <w:style w:type="character" w:customStyle="1" w:styleId="87">
    <w:name w:val="FAM表头 字符"/>
    <w:basedOn w:val="62"/>
    <w:link w:val="85"/>
    <w:autoRedefine/>
    <w:qFormat/>
    <w:uiPriority w:val="0"/>
    <w:rPr>
      <w:rFonts w:ascii="Times New Roman" w:hAnsi="Times New Roman" w:eastAsia="宋体" w:cs="Times New Roman"/>
      <w:b/>
      <w:color w:val="000000" w:themeColor="text1"/>
      <w:sz w:val="24"/>
      <w:szCs w:val="24"/>
      <w14:textFill>
        <w14:solidFill>
          <w14:schemeClr w14:val="tx1"/>
        </w14:solidFill>
      </w14:textFill>
    </w:rPr>
  </w:style>
  <w:style w:type="character" w:customStyle="1" w:styleId="88">
    <w:name w:val="批注文字 字符"/>
    <w:basedOn w:val="62"/>
    <w:link w:val="22"/>
    <w:autoRedefine/>
    <w:qFormat/>
    <w:uiPriority w:val="0"/>
    <w:rPr>
      <w:rFonts w:ascii="Times New Roman" w:hAnsi="宋体" w:eastAsia="宋体" w:cs="Times New Roman"/>
      <w:kern w:val="0"/>
      <w:sz w:val="24"/>
      <w:szCs w:val="24"/>
      <w:lang w:val="zh-CN"/>
    </w:rPr>
  </w:style>
  <w:style w:type="character" w:customStyle="1" w:styleId="89">
    <w:name w:val="批注主题 字符"/>
    <w:basedOn w:val="88"/>
    <w:link w:val="55"/>
    <w:autoRedefine/>
    <w:qFormat/>
    <w:uiPriority w:val="99"/>
    <w:rPr>
      <w:rFonts w:ascii="Times New Roman" w:hAnsi="宋体" w:eastAsia="宋体" w:cs="Times New Roman"/>
      <w:b/>
      <w:bCs/>
      <w:kern w:val="0"/>
      <w:sz w:val="24"/>
      <w:szCs w:val="24"/>
      <w:lang w:val="zh-CN"/>
    </w:rPr>
  </w:style>
  <w:style w:type="character" w:customStyle="1" w:styleId="90">
    <w:name w:val="表格（五号） 字符"/>
    <w:link w:val="91"/>
    <w:autoRedefine/>
    <w:qFormat/>
    <w:uiPriority w:val="0"/>
    <w:rPr>
      <w:szCs w:val="21"/>
      <w:lang w:val="zh-CN"/>
    </w:rPr>
  </w:style>
  <w:style w:type="paragraph" w:customStyle="1" w:styleId="91">
    <w:name w:val="表格（五号）"/>
    <w:basedOn w:val="1"/>
    <w:link w:val="90"/>
    <w:autoRedefine/>
    <w:qFormat/>
    <w:uiPriority w:val="0"/>
    <w:pPr>
      <w:spacing w:line="240" w:lineRule="auto"/>
      <w:ind w:firstLine="0" w:firstLineChars="0"/>
      <w:jc w:val="center"/>
    </w:pPr>
    <w:rPr>
      <w:rFonts w:asciiTheme="minorHAnsi" w:hAnsiTheme="minorHAnsi" w:eastAsiaTheme="minorEastAsia" w:cstheme="minorBidi"/>
      <w:kern w:val="2"/>
      <w:sz w:val="21"/>
      <w:szCs w:val="21"/>
    </w:rPr>
  </w:style>
  <w:style w:type="paragraph" w:customStyle="1" w:styleId="92">
    <w:name w:val="FAM表格"/>
    <w:basedOn w:val="1"/>
    <w:link w:val="95"/>
    <w:autoRedefine/>
    <w:qFormat/>
    <w:uiPriority w:val="0"/>
    <w:pPr>
      <w:spacing w:line="240" w:lineRule="auto"/>
      <w:ind w:firstLine="0" w:firstLineChars="0"/>
      <w:jc w:val="center"/>
    </w:pPr>
    <w:rPr>
      <w:rFonts w:hAnsi="Times New Roman"/>
      <w:kern w:val="2"/>
      <w:sz w:val="21"/>
      <w:szCs w:val="21"/>
      <w:lang w:val="en-US"/>
    </w:rPr>
  </w:style>
  <w:style w:type="character" w:customStyle="1" w:styleId="93">
    <w:name w:val="表格内文字 Char"/>
    <w:link w:val="94"/>
    <w:autoRedefine/>
    <w:qFormat/>
    <w:uiPriority w:val="0"/>
    <w:rPr>
      <w:rFonts w:cs="宋体"/>
      <w:color w:val="000000"/>
      <w:szCs w:val="21"/>
    </w:rPr>
  </w:style>
  <w:style w:type="paragraph" w:customStyle="1" w:styleId="94">
    <w:name w:val="表格内文字"/>
    <w:basedOn w:val="1"/>
    <w:link w:val="93"/>
    <w:autoRedefine/>
    <w:qFormat/>
    <w:uiPriority w:val="0"/>
    <w:pPr>
      <w:widowControl/>
      <w:tabs>
        <w:tab w:val="left" w:pos="1980"/>
        <w:tab w:val="left" w:pos="3825"/>
        <w:tab w:val="left" w:pos="4680"/>
      </w:tabs>
      <w:spacing w:line="240" w:lineRule="auto"/>
      <w:ind w:firstLine="0" w:firstLineChars="0"/>
      <w:jc w:val="center"/>
    </w:pPr>
    <w:rPr>
      <w:rFonts w:cs="宋体" w:asciiTheme="minorHAnsi" w:hAnsiTheme="minorHAnsi" w:eastAsiaTheme="minorEastAsia"/>
      <w:color w:val="000000"/>
      <w:kern w:val="2"/>
      <w:sz w:val="21"/>
      <w:szCs w:val="21"/>
      <w:lang w:val="en-US"/>
    </w:rPr>
  </w:style>
  <w:style w:type="character" w:customStyle="1" w:styleId="95">
    <w:name w:val="FAM表格 字符"/>
    <w:basedOn w:val="62"/>
    <w:link w:val="92"/>
    <w:autoRedefine/>
    <w:qFormat/>
    <w:uiPriority w:val="0"/>
    <w:rPr>
      <w:rFonts w:ascii="Times New Roman" w:hAnsi="Times New Roman" w:eastAsia="宋体" w:cs="Times New Roman"/>
      <w:szCs w:val="21"/>
    </w:rPr>
  </w:style>
  <w:style w:type="character" w:customStyle="1" w:styleId="96">
    <w:name w:val="标题 5 字符"/>
    <w:basedOn w:val="62"/>
    <w:autoRedefine/>
    <w:qFormat/>
    <w:uiPriority w:val="0"/>
    <w:rPr>
      <w:rFonts w:ascii="Times New Roman" w:hAnsi="宋体" w:eastAsia="宋体" w:cs="Times New Roman"/>
      <w:b/>
      <w:bCs/>
      <w:kern w:val="0"/>
      <w:sz w:val="28"/>
      <w:szCs w:val="28"/>
      <w:lang w:val="zh-CN"/>
    </w:rPr>
  </w:style>
  <w:style w:type="character" w:customStyle="1" w:styleId="97">
    <w:name w:val="标题 6 字符"/>
    <w:basedOn w:val="62"/>
    <w:autoRedefine/>
    <w:qFormat/>
    <w:uiPriority w:val="0"/>
    <w:rPr>
      <w:rFonts w:asciiTheme="majorHAnsi" w:hAnsiTheme="majorHAnsi" w:eastAsiaTheme="majorEastAsia" w:cstheme="majorBidi"/>
      <w:b/>
      <w:bCs/>
      <w:kern w:val="0"/>
      <w:sz w:val="24"/>
      <w:szCs w:val="24"/>
      <w:lang w:val="zh-CN"/>
    </w:rPr>
  </w:style>
  <w:style w:type="character" w:customStyle="1" w:styleId="98">
    <w:name w:val="标题 7 字符"/>
    <w:basedOn w:val="62"/>
    <w:autoRedefine/>
    <w:qFormat/>
    <w:uiPriority w:val="99"/>
    <w:rPr>
      <w:rFonts w:ascii="Times New Roman" w:hAnsi="宋体" w:eastAsia="宋体" w:cs="Times New Roman"/>
      <w:b/>
      <w:bCs/>
      <w:kern w:val="0"/>
      <w:sz w:val="24"/>
      <w:szCs w:val="24"/>
      <w:lang w:val="zh-CN"/>
    </w:rPr>
  </w:style>
  <w:style w:type="character" w:customStyle="1" w:styleId="99">
    <w:name w:val="标题 8 字符"/>
    <w:basedOn w:val="62"/>
    <w:autoRedefine/>
    <w:qFormat/>
    <w:uiPriority w:val="99"/>
    <w:rPr>
      <w:rFonts w:asciiTheme="majorHAnsi" w:hAnsiTheme="majorHAnsi" w:eastAsiaTheme="majorEastAsia" w:cstheme="majorBidi"/>
      <w:kern w:val="0"/>
      <w:sz w:val="24"/>
      <w:szCs w:val="24"/>
      <w:lang w:val="zh-CN"/>
    </w:rPr>
  </w:style>
  <w:style w:type="character" w:customStyle="1" w:styleId="100">
    <w:name w:val="标题 9 字符"/>
    <w:basedOn w:val="62"/>
    <w:autoRedefine/>
    <w:qFormat/>
    <w:uiPriority w:val="99"/>
    <w:rPr>
      <w:rFonts w:asciiTheme="majorHAnsi" w:hAnsiTheme="majorHAnsi" w:eastAsiaTheme="majorEastAsia" w:cstheme="majorBidi"/>
      <w:kern w:val="0"/>
      <w:szCs w:val="21"/>
      <w:lang w:val="zh-CN"/>
    </w:rPr>
  </w:style>
  <w:style w:type="character" w:customStyle="1" w:styleId="101">
    <w:name w:val="正文缩进 字符1"/>
    <w:link w:val="5"/>
    <w:autoRedefine/>
    <w:qFormat/>
    <w:uiPriority w:val="99"/>
    <w:rPr>
      <w:rFonts w:ascii="Times New Roman" w:hAnsi="宋体" w:eastAsia="宋体" w:cs="Times New Roman"/>
      <w:kern w:val="0"/>
      <w:sz w:val="24"/>
      <w:szCs w:val="24"/>
      <w:lang w:val="zh-CN"/>
    </w:rPr>
  </w:style>
  <w:style w:type="character" w:customStyle="1" w:styleId="102">
    <w:name w:val="标题 5 字符1"/>
    <w:link w:val="8"/>
    <w:autoRedefine/>
    <w:qFormat/>
    <w:uiPriority w:val="9"/>
    <w:rPr>
      <w:rFonts w:ascii="Times New Roman" w:hAnsi="Times New Roman" w:eastAsia="宋体" w:cs="Times New Roman"/>
      <w:b/>
      <w:bCs/>
      <w:sz w:val="24"/>
      <w:szCs w:val="24"/>
      <w:lang w:val="zh-CN"/>
    </w:rPr>
  </w:style>
  <w:style w:type="character" w:customStyle="1" w:styleId="103">
    <w:name w:val="标题 6 字符1"/>
    <w:link w:val="9"/>
    <w:autoRedefine/>
    <w:qFormat/>
    <w:uiPriority w:val="9"/>
    <w:rPr>
      <w:rFonts w:ascii="Arial" w:hAnsi="Arial" w:eastAsia="黑体" w:cs="Times New Roman"/>
      <w:b/>
      <w:bCs/>
      <w:sz w:val="24"/>
      <w:szCs w:val="24"/>
      <w:lang w:val="zh-CN"/>
    </w:rPr>
  </w:style>
  <w:style w:type="character" w:customStyle="1" w:styleId="104">
    <w:name w:val="标题 7 字符1"/>
    <w:link w:val="10"/>
    <w:autoRedefine/>
    <w:qFormat/>
    <w:uiPriority w:val="9"/>
    <w:rPr>
      <w:rFonts w:ascii="Times New Roman" w:hAnsi="Times New Roman" w:eastAsia="宋体" w:cs="Times New Roman"/>
      <w:b/>
      <w:bCs/>
      <w:sz w:val="24"/>
      <w:szCs w:val="24"/>
      <w:lang w:val="zh-CN"/>
    </w:rPr>
  </w:style>
  <w:style w:type="character" w:customStyle="1" w:styleId="105">
    <w:name w:val="标题 8 字符1"/>
    <w:link w:val="11"/>
    <w:autoRedefine/>
    <w:qFormat/>
    <w:uiPriority w:val="9"/>
    <w:rPr>
      <w:rFonts w:ascii="Arial" w:hAnsi="Arial" w:eastAsia="黑体" w:cs="Times New Roman"/>
      <w:sz w:val="24"/>
      <w:szCs w:val="24"/>
      <w:lang w:val="zh-CN"/>
    </w:rPr>
  </w:style>
  <w:style w:type="character" w:customStyle="1" w:styleId="106">
    <w:name w:val="标题 9 字符1"/>
    <w:link w:val="12"/>
    <w:autoRedefine/>
    <w:qFormat/>
    <w:uiPriority w:val="9"/>
    <w:rPr>
      <w:rFonts w:ascii="Arial" w:hAnsi="Arial" w:eastAsia="黑体" w:cs="Times New Roman"/>
      <w:sz w:val="24"/>
      <w:szCs w:val="21"/>
      <w:lang w:val="zh-CN"/>
    </w:rPr>
  </w:style>
  <w:style w:type="character" w:customStyle="1" w:styleId="107">
    <w:name w:val="宏文本 字符"/>
    <w:basedOn w:val="62"/>
    <w:autoRedefine/>
    <w:semiHidden/>
    <w:qFormat/>
    <w:uiPriority w:val="99"/>
    <w:rPr>
      <w:rFonts w:ascii="Courier New" w:hAnsi="Courier New" w:eastAsia="宋体" w:cs="Courier New"/>
      <w:kern w:val="0"/>
      <w:sz w:val="24"/>
      <w:szCs w:val="24"/>
      <w:lang w:val="zh-CN"/>
    </w:rPr>
  </w:style>
  <w:style w:type="character" w:customStyle="1" w:styleId="108">
    <w:name w:val="宏文本 字符2"/>
    <w:link w:val="2"/>
    <w:autoRedefine/>
    <w:semiHidden/>
    <w:qFormat/>
    <w:uiPriority w:val="0"/>
    <w:rPr>
      <w:rFonts w:ascii="Courier New" w:hAnsi="Courier New" w:eastAsia="宋体" w:cs="Times New Roman"/>
      <w:sz w:val="24"/>
      <w:szCs w:val="24"/>
    </w:rPr>
  </w:style>
  <w:style w:type="character" w:customStyle="1" w:styleId="109">
    <w:name w:val="注释标题 字符"/>
    <w:basedOn w:val="62"/>
    <w:autoRedefine/>
    <w:qFormat/>
    <w:uiPriority w:val="0"/>
    <w:rPr>
      <w:rFonts w:ascii="Times New Roman" w:hAnsi="宋体" w:eastAsia="宋体" w:cs="Times New Roman"/>
      <w:kern w:val="0"/>
      <w:sz w:val="24"/>
      <w:szCs w:val="24"/>
      <w:lang w:val="zh-CN"/>
    </w:rPr>
  </w:style>
  <w:style w:type="character" w:customStyle="1" w:styleId="110">
    <w:name w:val="注释标题 字符2"/>
    <w:link w:val="16"/>
    <w:autoRedefine/>
    <w:qFormat/>
    <w:uiPriority w:val="0"/>
    <w:rPr>
      <w:rFonts w:ascii="Times New Roman" w:hAnsi="Times New Roman" w:eastAsia="宋体" w:cs="Times New Roman"/>
      <w:szCs w:val="24"/>
      <w:lang w:val="zh-CN"/>
    </w:rPr>
  </w:style>
  <w:style w:type="character" w:customStyle="1" w:styleId="111">
    <w:name w:val="题注 字符2"/>
    <w:link w:val="19"/>
    <w:autoRedefine/>
    <w:qFormat/>
    <w:uiPriority w:val="0"/>
    <w:rPr>
      <w:rFonts w:ascii="Arial" w:hAnsi="Arial" w:eastAsia="黑体" w:cs="Times New Roman"/>
      <w:sz w:val="18"/>
      <w:szCs w:val="24"/>
      <w:lang w:val="zh-CN"/>
    </w:rPr>
  </w:style>
  <w:style w:type="character" w:customStyle="1" w:styleId="112">
    <w:name w:val="文档结构图 字符"/>
    <w:basedOn w:val="62"/>
    <w:autoRedefine/>
    <w:qFormat/>
    <w:uiPriority w:val="0"/>
    <w:rPr>
      <w:rFonts w:ascii="Microsoft YaHei UI" w:hAnsi="宋体" w:eastAsia="Microsoft YaHei UI" w:cs="Times New Roman"/>
      <w:kern w:val="0"/>
      <w:sz w:val="18"/>
      <w:szCs w:val="18"/>
      <w:lang w:val="zh-CN"/>
    </w:rPr>
  </w:style>
  <w:style w:type="character" w:customStyle="1" w:styleId="113">
    <w:name w:val="文档结构图 字符1"/>
    <w:link w:val="20"/>
    <w:autoRedefine/>
    <w:qFormat/>
    <w:uiPriority w:val="0"/>
    <w:rPr>
      <w:rFonts w:ascii="宋体" w:hAnsi="Times New Roman" w:eastAsia="宋体" w:cs="Times New Roman"/>
      <w:sz w:val="18"/>
      <w:szCs w:val="18"/>
    </w:rPr>
  </w:style>
  <w:style w:type="character" w:customStyle="1" w:styleId="114">
    <w:name w:val="批注文字 字符3"/>
    <w:autoRedefine/>
    <w:qFormat/>
    <w:uiPriority w:val="0"/>
    <w:rPr>
      <w:kern w:val="2"/>
      <w:sz w:val="24"/>
      <w:szCs w:val="22"/>
    </w:rPr>
  </w:style>
  <w:style w:type="character" w:customStyle="1" w:styleId="115">
    <w:name w:val="称呼 字符"/>
    <w:basedOn w:val="62"/>
    <w:autoRedefine/>
    <w:qFormat/>
    <w:uiPriority w:val="99"/>
    <w:rPr>
      <w:rFonts w:ascii="Times New Roman" w:hAnsi="宋体" w:eastAsia="宋体" w:cs="Times New Roman"/>
      <w:kern w:val="0"/>
      <w:sz w:val="24"/>
      <w:szCs w:val="24"/>
      <w:lang w:val="zh-CN"/>
    </w:rPr>
  </w:style>
  <w:style w:type="character" w:customStyle="1" w:styleId="116">
    <w:name w:val="称呼 字符2"/>
    <w:link w:val="23"/>
    <w:autoRedefine/>
    <w:qFormat/>
    <w:uiPriority w:val="0"/>
    <w:rPr>
      <w:rFonts w:ascii="Times New Roman" w:hAnsi="Times New Roman" w:eastAsia="宋体" w:cs="Times New Roman"/>
      <w:szCs w:val="24"/>
      <w:lang w:val="zh-CN"/>
    </w:rPr>
  </w:style>
  <w:style w:type="character" w:customStyle="1" w:styleId="117">
    <w:name w:val="正文文本 3 字符"/>
    <w:basedOn w:val="62"/>
    <w:autoRedefine/>
    <w:qFormat/>
    <w:uiPriority w:val="0"/>
    <w:rPr>
      <w:rFonts w:ascii="Times New Roman" w:hAnsi="宋体" w:eastAsia="宋体" w:cs="Times New Roman"/>
      <w:kern w:val="0"/>
      <w:sz w:val="16"/>
      <w:szCs w:val="16"/>
      <w:lang w:val="zh-CN"/>
    </w:rPr>
  </w:style>
  <w:style w:type="character" w:customStyle="1" w:styleId="118">
    <w:name w:val="正文文本 3 字符1"/>
    <w:link w:val="24"/>
    <w:autoRedefine/>
    <w:qFormat/>
    <w:uiPriority w:val="0"/>
    <w:rPr>
      <w:rFonts w:ascii="宋体" w:hAnsi="宋体" w:eastAsia="宋体" w:cs="Times New Roman"/>
      <w:b/>
      <w:bCs/>
      <w:kern w:val="0"/>
      <w:sz w:val="72"/>
      <w:szCs w:val="72"/>
      <w:lang w:val="zh-CN"/>
    </w:rPr>
  </w:style>
  <w:style w:type="character" w:customStyle="1" w:styleId="119">
    <w:name w:val="正文文本 字符"/>
    <w:basedOn w:val="62"/>
    <w:autoRedefine/>
    <w:qFormat/>
    <w:uiPriority w:val="0"/>
    <w:rPr>
      <w:rFonts w:ascii="Times New Roman" w:hAnsi="宋体" w:eastAsia="宋体" w:cs="Times New Roman"/>
      <w:kern w:val="0"/>
      <w:sz w:val="24"/>
      <w:szCs w:val="24"/>
      <w:lang w:val="zh-CN"/>
    </w:rPr>
  </w:style>
  <w:style w:type="character" w:customStyle="1" w:styleId="120">
    <w:name w:val="正文文本 字符1"/>
    <w:link w:val="26"/>
    <w:autoRedefine/>
    <w:qFormat/>
    <w:uiPriority w:val="0"/>
    <w:rPr>
      <w:rFonts w:ascii="Times New Roman" w:hAnsi="Times New Roman" w:eastAsia="宋体" w:cs="Times New Roman"/>
    </w:rPr>
  </w:style>
  <w:style w:type="character" w:customStyle="1" w:styleId="121">
    <w:name w:val="正文文本缩进 字符"/>
    <w:basedOn w:val="62"/>
    <w:autoRedefine/>
    <w:qFormat/>
    <w:uiPriority w:val="0"/>
    <w:rPr>
      <w:rFonts w:ascii="Times New Roman" w:hAnsi="宋体" w:eastAsia="宋体" w:cs="Times New Roman"/>
      <w:kern w:val="0"/>
      <w:sz w:val="24"/>
      <w:szCs w:val="24"/>
      <w:lang w:val="zh-CN"/>
    </w:rPr>
  </w:style>
  <w:style w:type="character" w:customStyle="1" w:styleId="122">
    <w:name w:val="正文文本缩进 字符1"/>
    <w:link w:val="27"/>
    <w:autoRedefine/>
    <w:qFormat/>
    <w:uiPriority w:val="0"/>
    <w:rPr>
      <w:rFonts w:ascii="Times New Roman" w:hAnsi="Times New Roman" w:eastAsia="宋体" w:cs="Times New Roman"/>
      <w:sz w:val="24"/>
      <w:szCs w:val="24"/>
    </w:rPr>
  </w:style>
  <w:style w:type="character" w:customStyle="1" w:styleId="123">
    <w:name w:val="纯文本 字符"/>
    <w:basedOn w:val="62"/>
    <w:autoRedefine/>
    <w:qFormat/>
    <w:uiPriority w:val="0"/>
    <w:rPr>
      <w:rFonts w:hAnsi="Courier New" w:cs="Courier New" w:asciiTheme="minorEastAsia"/>
      <w:kern w:val="0"/>
      <w:sz w:val="24"/>
      <w:szCs w:val="24"/>
      <w:lang w:val="zh-CN"/>
    </w:rPr>
  </w:style>
  <w:style w:type="character" w:customStyle="1" w:styleId="124">
    <w:name w:val="纯文本 字符1"/>
    <w:link w:val="32"/>
    <w:autoRedefine/>
    <w:qFormat/>
    <w:uiPriority w:val="0"/>
    <w:rPr>
      <w:rFonts w:ascii="宋体" w:hAnsi="Courier New" w:eastAsia="宋体" w:cs="Times New Roman"/>
      <w:sz w:val="24"/>
      <w:szCs w:val="21"/>
      <w:lang w:val="zh-CN"/>
    </w:rPr>
  </w:style>
  <w:style w:type="character" w:customStyle="1" w:styleId="125">
    <w:name w:val="日期 字符"/>
    <w:basedOn w:val="62"/>
    <w:autoRedefine/>
    <w:qFormat/>
    <w:uiPriority w:val="99"/>
    <w:rPr>
      <w:rFonts w:ascii="Times New Roman" w:hAnsi="宋体" w:eastAsia="宋体" w:cs="Times New Roman"/>
      <w:kern w:val="0"/>
      <w:sz w:val="24"/>
      <w:szCs w:val="24"/>
      <w:lang w:val="zh-CN"/>
    </w:rPr>
  </w:style>
  <w:style w:type="character" w:customStyle="1" w:styleId="126">
    <w:name w:val="日期 字符1"/>
    <w:link w:val="34"/>
    <w:autoRedefine/>
    <w:qFormat/>
    <w:uiPriority w:val="99"/>
    <w:rPr>
      <w:rFonts w:ascii="Times New Roman" w:hAnsi="Times New Roman" w:eastAsia="宋体" w:cs="Times New Roman"/>
      <w:kern w:val="0"/>
      <w:sz w:val="28"/>
      <w:szCs w:val="20"/>
      <w:lang w:val="zh-CN"/>
    </w:rPr>
  </w:style>
  <w:style w:type="character" w:customStyle="1" w:styleId="127">
    <w:name w:val="正文文本缩进 2 字符"/>
    <w:basedOn w:val="62"/>
    <w:autoRedefine/>
    <w:qFormat/>
    <w:uiPriority w:val="0"/>
    <w:rPr>
      <w:rFonts w:ascii="Times New Roman" w:hAnsi="宋体" w:eastAsia="宋体" w:cs="Times New Roman"/>
      <w:kern w:val="0"/>
      <w:sz w:val="24"/>
      <w:szCs w:val="24"/>
      <w:lang w:val="zh-CN"/>
    </w:rPr>
  </w:style>
  <w:style w:type="character" w:customStyle="1" w:styleId="128">
    <w:name w:val="正文文本缩进 2 字符2"/>
    <w:link w:val="35"/>
    <w:autoRedefine/>
    <w:qFormat/>
    <w:uiPriority w:val="0"/>
    <w:rPr>
      <w:rFonts w:ascii="Times New Roman" w:hAnsi="Times New Roman" w:eastAsia="宋体" w:cs="Times New Roman"/>
      <w:sz w:val="24"/>
      <w:szCs w:val="24"/>
      <w:lang w:val="zh-CN"/>
    </w:rPr>
  </w:style>
  <w:style w:type="character" w:customStyle="1" w:styleId="129">
    <w:name w:val="批注框文本 字符"/>
    <w:basedOn w:val="62"/>
    <w:autoRedefine/>
    <w:qFormat/>
    <w:uiPriority w:val="0"/>
    <w:rPr>
      <w:rFonts w:ascii="Times New Roman" w:hAnsi="宋体" w:eastAsia="宋体" w:cs="Times New Roman"/>
      <w:kern w:val="0"/>
      <w:sz w:val="18"/>
      <w:szCs w:val="18"/>
      <w:lang w:val="zh-CN"/>
    </w:rPr>
  </w:style>
  <w:style w:type="character" w:customStyle="1" w:styleId="130">
    <w:name w:val="批注框文本 字符2"/>
    <w:link w:val="36"/>
    <w:autoRedefine/>
    <w:qFormat/>
    <w:uiPriority w:val="0"/>
    <w:rPr>
      <w:rFonts w:ascii="Times New Roman" w:hAnsi="Times New Roman" w:eastAsia="宋体" w:cs="Times New Roman"/>
      <w:sz w:val="18"/>
      <w:szCs w:val="18"/>
    </w:rPr>
  </w:style>
  <w:style w:type="character" w:customStyle="1" w:styleId="131">
    <w:name w:val="页脚 字符2"/>
    <w:autoRedefine/>
    <w:qFormat/>
    <w:uiPriority w:val="0"/>
    <w:rPr>
      <w:kern w:val="2"/>
      <w:sz w:val="18"/>
      <w:szCs w:val="22"/>
    </w:rPr>
  </w:style>
  <w:style w:type="character" w:customStyle="1" w:styleId="132">
    <w:name w:val="页眉 字符2"/>
    <w:autoRedefine/>
    <w:qFormat/>
    <w:uiPriority w:val="0"/>
    <w:rPr>
      <w:kern w:val="2"/>
      <w:sz w:val="18"/>
      <w:szCs w:val="22"/>
    </w:rPr>
  </w:style>
  <w:style w:type="character" w:customStyle="1" w:styleId="133">
    <w:name w:val="副标题 字符"/>
    <w:basedOn w:val="62"/>
    <w:autoRedefine/>
    <w:qFormat/>
    <w:uiPriority w:val="0"/>
    <w:rPr>
      <w:b/>
      <w:bCs/>
      <w:kern w:val="28"/>
      <w:sz w:val="32"/>
      <w:szCs w:val="32"/>
      <w:lang w:val="zh-CN"/>
    </w:rPr>
  </w:style>
  <w:style w:type="character" w:customStyle="1" w:styleId="134">
    <w:name w:val="副标题 字符1"/>
    <w:link w:val="42"/>
    <w:autoRedefine/>
    <w:qFormat/>
    <w:uiPriority w:val="0"/>
    <w:rPr>
      <w:rFonts w:ascii="Cambria" w:hAnsi="Cambria" w:eastAsia="宋体" w:cs="Times New Roman"/>
      <w:b/>
      <w:bCs/>
      <w:kern w:val="28"/>
      <w:sz w:val="30"/>
      <w:szCs w:val="32"/>
      <w:lang w:val="zh-CN"/>
    </w:rPr>
  </w:style>
  <w:style w:type="character" w:customStyle="1" w:styleId="135">
    <w:name w:val="列表 字符1"/>
    <w:link w:val="43"/>
    <w:autoRedefine/>
    <w:qFormat/>
    <w:uiPriority w:val="0"/>
    <w:rPr>
      <w:rFonts w:ascii="宋体" w:hAnsi="宋体" w:eastAsia="宋体" w:cs="宋体"/>
      <w:kern w:val="0"/>
      <w:sz w:val="24"/>
      <w:szCs w:val="24"/>
    </w:rPr>
  </w:style>
  <w:style w:type="character" w:customStyle="1" w:styleId="136">
    <w:name w:val="脚注文本 字符"/>
    <w:basedOn w:val="62"/>
    <w:autoRedefine/>
    <w:qFormat/>
    <w:uiPriority w:val="0"/>
    <w:rPr>
      <w:rFonts w:ascii="Times New Roman" w:hAnsi="宋体" w:eastAsia="宋体" w:cs="Times New Roman"/>
      <w:kern w:val="0"/>
      <w:sz w:val="18"/>
      <w:szCs w:val="18"/>
      <w:lang w:val="zh-CN"/>
    </w:rPr>
  </w:style>
  <w:style w:type="character" w:customStyle="1" w:styleId="137">
    <w:name w:val="脚注文本 字符1"/>
    <w:link w:val="44"/>
    <w:autoRedefine/>
    <w:qFormat/>
    <w:locked/>
    <w:uiPriority w:val="0"/>
    <w:rPr>
      <w:rFonts w:ascii="Times New Roman" w:hAnsi="Times New Roman" w:eastAsia="宋体" w:cs="Times New Roman"/>
      <w:kern w:val="0"/>
      <w:sz w:val="18"/>
      <w:szCs w:val="20"/>
      <w:lang w:val="zh-CN"/>
    </w:rPr>
  </w:style>
  <w:style w:type="character" w:customStyle="1" w:styleId="138">
    <w:name w:val="正文文本缩进 3 字符"/>
    <w:basedOn w:val="62"/>
    <w:autoRedefine/>
    <w:qFormat/>
    <w:uiPriority w:val="0"/>
    <w:rPr>
      <w:rFonts w:ascii="Times New Roman" w:hAnsi="宋体" w:eastAsia="宋体" w:cs="Times New Roman"/>
      <w:kern w:val="0"/>
      <w:sz w:val="16"/>
      <w:szCs w:val="16"/>
      <w:lang w:val="zh-CN"/>
    </w:rPr>
  </w:style>
  <w:style w:type="character" w:customStyle="1" w:styleId="139">
    <w:name w:val="正文文本缩进 3 字符1"/>
    <w:link w:val="46"/>
    <w:autoRedefine/>
    <w:qFormat/>
    <w:uiPriority w:val="0"/>
    <w:rPr>
      <w:rFonts w:ascii="Times New Roman" w:hAnsi="Times New Roman" w:eastAsia="宋体" w:cs="Times New Roman"/>
      <w:sz w:val="16"/>
      <w:szCs w:val="16"/>
      <w:lang w:val="zh-CN"/>
    </w:rPr>
  </w:style>
  <w:style w:type="character" w:customStyle="1" w:styleId="140">
    <w:name w:val="正文文本 2 字符"/>
    <w:basedOn w:val="62"/>
    <w:autoRedefine/>
    <w:qFormat/>
    <w:uiPriority w:val="0"/>
    <w:rPr>
      <w:rFonts w:ascii="Times New Roman" w:hAnsi="宋体" w:eastAsia="宋体" w:cs="Times New Roman"/>
      <w:kern w:val="0"/>
      <w:sz w:val="24"/>
      <w:szCs w:val="24"/>
      <w:lang w:val="zh-CN"/>
    </w:rPr>
  </w:style>
  <w:style w:type="character" w:customStyle="1" w:styleId="141">
    <w:name w:val="正文文本 2 字符1"/>
    <w:link w:val="49"/>
    <w:autoRedefine/>
    <w:qFormat/>
    <w:uiPriority w:val="0"/>
    <w:rPr>
      <w:rFonts w:ascii="宋体" w:hAnsi="宋体" w:eastAsia="宋体" w:cs="Times New Roman"/>
      <w:kern w:val="0"/>
      <w:sz w:val="24"/>
      <w:szCs w:val="24"/>
      <w:lang w:val="zh-CN"/>
    </w:rPr>
  </w:style>
  <w:style w:type="character" w:customStyle="1" w:styleId="142">
    <w:name w:val="HTML 预设格式 字符"/>
    <w:basedOn w:val="62"/>
    <w:autoRedefine/>
    <w:qFormat/>
    <w:uiPriority w:val="99"/>
    <w:rPr>
      <w:rFonts w:ascii="Courier New" w:hAnsi="Courier New" w:eastAsia="宋体" w:cs="Courier New"/>
      <w:kern w:val="0"/>
      <w:sz w:val="20"/>
      <w:szCs w:val="20"/>
      <w:lang w:val="zh-CN"/>
    </w:rPr>
  </w:style>
  <w:style w:type="character" w:customStyle="1" w:styleId="143">
    <w:name w:val="HTML 预设格式 字符1"/>
    <w:link w:val="51"/>
    <w:autoRedefine/>
    <w:qFormat/>
    <w:uiPriority w:val="99"/>
    <w:rPr>
      <w:rFonts w:ascii="Arial" w:hAnsi="Arial" w:eastAsia="宋体" w:cs="Times New Roman"/>
      <w:kern w:val="0"/>
      <w:szCs w:val="21"/>
      <w:lang w:val="zh-CN"/>
    </w:rPr>
  </w:style>
  <w:style w:type="character" w:customStyle="1" w:styleId="144">
    <w:name w:val="普通(网站) 字符"/>
    <w:link w:val="52"/>
    <w:autoRedefine/>
    <w:qFormat/>
    <w:locked/>
    <w:uiPriority w:val="99"/>
    <w:rPr>
      <w:rFonts w:ascii="Arial Unicode MS" w:hAnsi="Arial Unicode MS" w:eastAsia="Arial Unicode MS" w:cs="Arial Unicode MS"/>
      <w:kern w:val="0"/>
      <w:sz w:val="24"/>
      <w:szCs w:val="24"/>
    </w:rPr>
  </w:style>
  <w:style w:type="character" w:customStyle="1" w:styleId="145">
    <w:name w:val="标题 字符"/>
    <w:basedOn w:val="62"/>
    <w:autoRedefine/>
    <w:qFormat/>
    <w:uiPriority w:val="99"/>
    <w:rPr>
      <w:rFonts w:asciiTheme="majorHAnsi" w:hAnsiTheme="majorHAnsi" w:eastAsiaTheme="majorEastAsia" w:cstheme="majorBidi"/>
      <w:b/>
      <w:bCs/>
      <w:kern w:val="0"/>
      <w:sz w:val="32"/>
      <w:szCs w:val="32"/>
      <w:lang w:val="zh-CN"/>
    </w:rPr>
  </w:style>
  <w:style w:type="character" w:customStyle="1" w:styleId="146">
    <w:name w:val="标题 字符1"/>
    <w:link w:val="54"/>
    <w:autoRedefine/>
    <w:qFormat/>
    <w:uiPriority w:val="99"/>
    <w:rPr>
      <w:rFonts w:ascii="Cambria" w:hAnsi="Cambria" w:eastAsia="宋体" w:cs="Times New Roman"/>
      <w:b/>
      <w:bCs/>
      <w:color w:val="000000"/>
      <w:sz w:val="32"/>
      <w:szCs w:val="32"/>
      <w:lang w:val="zh-CN"/>
    </w:rPr>
  </w:style>
  <w:style w:type="character" w:customStyle="1" w:styleId="147">
    <w:name w:val="正文文本首行缩进 字符"/>
    <w:basedOn w:val="119"/>
    <w:autoRedefine/>
    <w:qFormat/>
    <w:uiPriority w:val="99"/>
    <w:rPr>
      <w:rFonts w:ascii="Times New Roman" w:hAnsi="宋体" w:eastAsia="宋体" w:cs="Times New Roman"/>
      <w:kern w:val="0"/>
      <w:sz w:val="24"/>
      <w:szCs w:val="24"/>
      <w:lang w:val="zh-CN"/>
    </w:rPr>
  </w:style>
  <w:style w:type="character" w:customStyle="1" w:styleId="148">
    <w:name w:val="正文文本首行缩进 字符1"/>
    <w:link w:val="56"/>
    <w:autoRedefine/>
    <w:qFormat/>
    <w:uiPriority w:val="99"/>
    <w:rPr>
      <w:rFonts w:ascii="Times New Roman" w:hAnsi="Times New Roman" w:eastAsia="宋体" w:cs="Times New Roman"/>
      <w:sz w:val="24"/>
      <w:szCs w:val="32"/>
    </w:rPr>
  </w:style>
  <w:style w:type="character" w:customStyle="1" w:styleId="149">
    <w:name w:val="正文文本首行缩进 2 字符"/>
    <w:basedOn w:val="121"/>
    <w:link w:val="57"/>
    <w:autoRedefine/>
    <w:qFormat/>
    <w:uiPriority w:val="0"/>
    <w:rPr>
      <w:rFonts w:ascii="Times New Roman" w:hAnsi="Times New Roman" w:eastAsia="宋体" w:cs="Times New Roman"/>
      <w:kern w:val="0"/>
      <w:sz w:val="24"/>
      <w:szCs w:val="24"/>
      <w:lang w:val="zh-CN"/>
    </w:rPr>
  </w:style>
  <w:style w:type="character" w:customStyle="1" w:styleId="150">
    <w:name w:val="fontstyle01"/>
    <w:autoRedefine/>
    <w:qFormat/>
    <w:uiPriority w:val="0"/>
    <w:rPr>
      <w:rFonts w:hint="eastAsia" w:ascii="宋体" w:hAnsi="宋体" w:eastAsia="宋体"/>
      <w:color w:val="000000"/>
      <w:sz w:val="24"/>
      <w:szCs w:val="24"/>
    </w:rPr>
  </w:style>
  <w:style w:type="character" w:customStyle="1" w:styleId="151">
    <w:name w:val="批注文字 字符1"/>
    <w:autoRedefine/>
    <w:qFormat/>
    <w:uiPriority w:val="0"/>
    <w:rPr>
      <w:kern w:val="2"/>
      <w:sz w:val="24"/>
      <w:szCs w:val="22"/>
    </w:rPr>
  </w:style>
  <w:style w:type="character" w:customStyle="1" w:styleId="152">
    <w:name w:val="批注主题 Char"/>
    <w:basedOn w:val="114"/>
    <w:autoRedefine/>
    <w:qFormat/>
    <w:uiPriority w:val="0"/>
    <w:rPr>
      <w:kern w:val="2"/>
      <w:sz w:val="24"/>
      <w:szCs w:val="22"/>
    </w:rPr>
  </w:style>
  <w:style w:type="character" w:customStyle="1" w:styleId="153">
    <w:name w:val="fontstyle21"/>
    <w:autoRedefine/>
    <w:qFormat/>
    <w:uiPriority w:val="0"/>
    <w:rPr>
      <w:rFonts w:hint="default" w:ascii="TimesNewRomanPSMT" w:hAnsi="TimesNewRomanPSMT"/>
      <w:color w:val="000000"/>
      <w:sz w:val="28"/>
      <w:szCs w:val="28"/>
    </w:rPr>
  </w:style>
  <w:style w:type="paragraph" w:customStyle="1" w:styleId="154">
    <w:name w:val="李标题4"/>
    <w:basedOn w:val="1"/>
    <w:next w:val="1"/>
    <w:autoRedefine/>
    <w:qFormat/>
    <w:uiPriority w:val="0"/>
    <w:pPr>
      <w:widowControl/>
      <w:snapToGrid w:val="0"/>
      <w:ind w:firstLine="0" w:firstLineChars="0"/>
    </w:pPr>
    <w:rPr>
      <w:rFonts w:hAnsi="Times New Roman"/>
      <w:b/>
      <w:kern w:val="2"/>
      <w:sz w:val="28"/>
      <w:szCs w:val="20"/>
      <w:lang w:val="en-US"/>
    </w:rPr>
  </w:style>
  <w:style w:type="character" w:customStyle="1" w:styleId="155">
    <w:name w:val="fontstyle11"/>
    <w:autoRedefine/>
    <w:qFormat/>
    <w:uiPriority w:val="0"/>
    <w:rPr>
      <w:rFonts w:hint="default" w:ascii="TimesNewRomanPSMT" w:hAnsi="TimesNewRomanPSMT"/>
      <w:color w:val="000000"/>
      <w:sz w:val="28"/>
      <w:szCs w:val="28"/>
    </w:rPr>
  </w:style>
  <w:style w:type="paragraph" w:customStyle="1" w:styleId="156">
    <w:name w:val="样式 7表格(治) + 首行缩进:  0.74 厘米"/>
    <w:basedOn w:val="1"/>
    <w:autoRedefine/>
    <w:qFormat/>
    <w:uiPriority w:val="0"/>
    <w:pPr>
      <w:tabs>
        <w:tab w:val="center" w:pos="4153"/>
        <w:tab w:val="right" w:pos="8306"/>
      </w:tabs>
      <w:snapToGrid w:val="0"/>
      <w:ind w:firstLine="0" w:firstLineChars="0"/>
      <w:jc w:val="left"/>
    </w:pPr>
    <w:rPr>
      <w:rFonts w:hAnsi="Times New Roman" w:eastAsia="楷体_GB2312" w:cs="宋体"/>
      <w:sz w:val="21"/>
      <w:szCs w:val="20"/>
      <w:lang w:val="en-US"/>
    </w:rPr>
  </w:style>
  <w:style w:type="character" w:customStyle="1" w:styleId="157">
    <w:name w:val="5文章(治) Char1"/>
    <w:link w:val="75"/>
    <w:autoRedefine/>
    <w:qFormat/>
    <w:uiPriority w:val="0"/>
    <w:rPr>
      <w:rFonts w:ascii="Times New Roman" w:hAnsi="宋体" w:eastAsia="宋体" w:cs="Times New Roman"/>
      <w:snapToGrid w:val="0"/>
      <w:kern w:val="0"/>
      <w:sz w:val="24"/>
      <w:szCs w:val="20"/>
      <w:lang w:val="en-GB"/>
    </w:rPr>
  </w:style>
  <w:style w:type="paragraph" w:customStyle="1" w:styleId="158">
    <w:name w:val="Char1"/>
    <w:basedOn w:val="1"/>
    <w:autoRedefine/>
    <w:qFormat/>
    <w:uiPriority w:val="0"/>
    <w:pPr>
      <w:widowControl/>
      <w:spacing w:after="160" w:line="240" w:lineRule="exact"/>
      <w:ind w:firstLine="0" w:firstLineChars="0"/>
      <w:jc w:val="left"/>
    </w:pPr>
    <w:rPr>
      <w:rFonts w:ascii="Verdana" w:hAnsi="Verdana"/>
      <w:sz w:val="20"/>
      <w:szCs w:val="20"/>
      <w:lang w:val="en-US" w:eastAsia="en-US"/>
    </w:rPr>
  </w:style>
  <w:style w:type="paragraph" w:customStyle="1" w:styleId="159">
    <w:name w:val="表格内文字小间距"/>
    <w:basedOn w:val="1"/>
    <w:autoRedefine/>
    <w:qFormat/>
    <w:uiPriority w:val="0"/>
    <w:pPr>
      <w:spacing w:line="240" w:lineRule="auto"/>
      <w:ind w:firstLine="0" w:firstLineChars="0"/>
      <w:jc w:val="center"/>
      <w:textAlignment w:val="center"/>
    </w:pPr>
    <w:rPr>
      <w:rFonts w:hAnsi="Times New Roman" w:cs="宋体"/>
      <w:kern w:val="2"/>
      <w:sz w:val="21"/>
      <w:szCs w:val="20"/>
      <w:lang w:val="en-US"/>
    </w:rPr>
  </w:style>
  <w:style w:type="character" w:customStyle="1" w:styleId="160">
    <w:name w:val="company-content"/>
    <w:autoRedefine/>
    <w:qFormat/>
    <w:uiPriority w:val="0"/>
    <w:rPr>
      <w:sz w:val="24"/>
      <w:szCs w:val="24"/>
    </w:rPr>
  </w:style>
  <w:style w:type="character" w:customStyle="1" w:styleId="161">
    <w:name w:val="表格内容 Char Char"/>
    <w:autoRedefine/>
    <w:qFormat/>
    <w:uiPriority w:val="0"/>
    <w:rPr>
      <w:rFonts w:cs="宋体"/>
      <w:iCs/>
      <w:kern w:val="2"/>
      <w:sz w:val="21"/>
      <w:szCs w:val="21"/>
    </w:rPr>
  </w:style>
  <w:style w:type="character" w:customStyle="1" w:styleId="162">
    <w:name w:val="文本样式 Char"/>
    <w:link w:val="163"/>
    <w:autoRedefine/>
    <w:qFormat/>
    <w:uiPriority w:val="0"/>
    <w:rPr>
      <w:rFonts w:cs="宋体"/>
      <w:sz w:val="24"/>
    </w:rPr>
  </w:style>
  <w:style w:type="paragraph" w:customStyle="1" w:styleId="163">
    <w:name w:val="文本样式"/>
    <w:basedOn w:val="1"/>
    <w:link w:val="162"/>
    <w:autoRedefine/>
    <w:qFormat/>
    <w:uiPriority w:val="0"/>
    <w:pPr>
      <w:ind w:firstLine="200"/>
    </w:pPr>
    <w:rPr>
      <w:rFonts w:cs="宋体" w:asciiTheme="minorHAnsi" w:hAnsiTheme="minorHAnsi" w:eastAsiaTheme="minorEastAsia"/>
      <w:kern w:val="2"/>
      <w:szCs w:val="22"/>
      <w:lang w:val="en-US"/>
    </w:rPr>
  </w:style>
  <w:style w:type="character" w:customStyle="1" w:styleId="164">
    <w:name w:val="表格标题 字符"/>
    <w:link w:val="165"/>
    <w:autoRedefine/>
    <w:qFormat/>
    <w:uiPriority w:val="0"/>
    <w:rPr>
      <w:rFonts w:hAnsi="宋体"/>
      <w:b/>
      <w:bCs/>
      <w:sz w:val="24"/>
      <w:szCs w:val="24"/>
      <w:lang w:val="zh-CN"/>
    </w:rPr>
  </w:style>
  <w:style w:type="paragraph" w:customStyle="1" w:styleId="165">
    <w:name w:val="表格标题"/>
    <w:basedOn w:val="1"/>
    <w:link w:val="164"/>
    <w:autoRedefine/>
    <w:qFormat/>
    <w:uiPriority w:val="0"/>
    <w:pPr>
      <w:ind w:firstLine="0" w:firstLineChars="0"/>
      <w:jc w:val="center"/>
    </w:pPr>
    <w:rPr>
      <w:rFonts w:asciiTheme="minorHAnsi" w:eastAsiaTheme="minorEastAsia" w:cstheme="minorBidi"/>
      <w:b/>
      <w:bCs/>
      <w:kern w:val="2"/>
    </w:rPr>
  </w:style>
  <w:style w:type="paragraph" w:customStyle="1" w:styleId="166">
    <w:name w:val="表格内文字隆"/>
    <w:basedOn w:val="1"/>
    <w:autoRedefine/>
    <w:qFormat/>
    <w:uiPriority w:val="0"/>
    <w:pPr>
      <w:widowControl/>
      <w:spacing w:line="400" w:lineRule="exact"/>
      <w:ind w:firstLine="0" w:firstLineChars="0"/>
      <w:jc w:val="center"/>
      <w:textAlignment w:val="center"/>
    </w:pPr>
    <w:rPr>
      <w:rFonts w:ascii="Calibri" w:hAnsi="Calibri" w:cs="宋体"/>
      <w:kern w:val="2"/>
      <w:sz w:val="21"/>
      <w:szCs w:val="22"/>
      <w:lang w:val="en-US"/>
    </w:rPr>
  </w:style>
  <w:style w:type="character" w:customStyle="1" w:styleId="167">
    <w:name w:val="表头 Char"/>
    <w:link w:val="168"/>
    <w:autoRedefine/>
    <w:qFormat/>
    <w:uiPriority w:val="0"/>
    <w:rPr>
      <w:rFonts w:cs="宋体"/>
      <w:b/>
      <w:bCs/>
      <w:sz w:val="24"/>
    </w:rPr>
  </w:style>
  <w:style w:type="paragraph" w:customStyle="1" w:styleId="168">
    <w:name w:val="表头"/>
    <w:basedOn w:val="1"/>
    <w:link w:val="167"/>
    <w:autoRedefine/>
    <w:qFormat/>
    <w:uiPriority w:val="0"/>
    <w:pPr>
      <w:ind w:firstLine="0" w:firstLineChars="0"/>
      <w:jc w:val="center"/>
    </w:pPr>
    <w:rPr>
      <w:rFonts w:cs="宋体" w:asciiTheme="minorHAnsi" w:hAnsiTheme="minorHAnsi" w:eastAsiaTheme="minorEastAsia"/>
      <w:b/>
      <w:bCs/>
      <w:kern w:val="2"/>
      <w:szCs w:val="22"/>
      <w:lang w:val="en-US"/>
    </w:rPr>
  </w:style>
  <w:style w:type="paragraph" w:customStyle="1" w:styleId="169">
    <w:name w:val="表格内文字大间距"/>
    <w:basedOn w:val="1"/>
    <w:autoRedefine/>
    <w:qFormat/>
    <w:uiPriority w:val="0"/>
    <w:pPr>
      <w:spacing w:line="440" w:lineRule="exact"/>
      <w:ind w:firstLine="0" w:firstLineChars="0"/>
      <w:jc w:val="center"/>
      <w:textAlignment w:val="center"/>
    </w:pPr>
    <w:rPr>
      <w:rFonts w:hAnsi="Times New Roman" w:cs="宋体"/>
      <w:kern w:val="2"/>
      <w:sz w:val="21"/>
      <w:szCs w:val="20"/>
      <w:lang w:val="en-US"/>
    </w:rPr>
  </w:style>
  <w:style w:type="character" w:customStyle="1" w:styleId="170">
    <w:name w:val="表格名称 Char"/>
    <w:link w:val="171"/>
    <w:autoRedefine/>
    <w:qFormat/>
    <w:uiPriority w:val="0"/>
    <w:rPr>
      <w:rFonts w:cs="宋体"/>
      <w:b/>
      <w:sz w:val="24"/>
      <w:szCs w:val="24"/>
    </w:rPr>
  </w:style>
  <w:style w:type="paragraph" w:customStyle="1" w:styleId="171">
    <w:name w:val="表格名称"/>
    <w:basedOn w:val="1"/>
    <w:link w:val="170"/>
    <w:autoRedefine/>
    <w:qFormat/>
    <w:uiPriority w:val="0"/>
    <w:pPr>
      <w:widowControl/>
      <w:ind w:firstLine="0" w:firstLineChars="0"/>
      <w:jc w:val="center"/>
    </w:pPr>
    <w:rPr>
      <w:rFonts w:cs="宋体" w:asciiTheme="minorHAnsi" w:hAnsiTheme="minorHAnsi" w:eastAsiaTheme="minorEastAsia"/>
      <w:b/>
      <w:kern w:val="2"/>
      <w:lang w:val="en-US"/>
    </w:rPr>
  </w:style>
  <w:style w:type="paragraph" w:customStyle="1" w:styleId="172">
    <w:name w:val="Char Char Char Char Char Char Char Char Char"/>
    <w:basedOn w:val="1"/>
    <w:autoRedefine/>
    <w:qFormat/>
    <w:uiPriority w:val="0"/>
    <w:pPr>
      <w:widowControl/>
      <w:numPr>
        <w:ilvl w:val="0"/>
        <w:numId w:val="2"/>
      </w:numPr>
      <w:spacing w:line="240" w:lineRule="auto"/>
      <w:ind w:firstLine="0" w:firstLineChars="0"/>
      <w:jc w:val="left"/>
    </w:pPr>
    <w:rPr>
      <w:rFonts w:ascii="宋体" w:cs="宋体"/>
      <w:lang w:val="en-US"/>
    </w:rPr>
  </w:style>
  <w:style w:type="character" w:customStyle="1" w:styleId="173">
    <w:name w:val="图件 Char"/>
    <w:link w:val="174"/>
    <w:autoRedefine/>
    <w:qFormat/>
    <w:uiPriority w:val="0"/>
    <w:rPr>
      <w:rFonts w:cs="宋体"/>
      <w:b/>
      <w:bCs/>
      <w:color w:val="000000"/>
    </w:rPr>
  </w:style>
  <w:style w:type="paragraph" w:customStyle="1" w:styleId="174">
    <w:name w:val="李图名"/>
    <w:basedOn w:val="1"/>
    <w:link w:val="173"/>
    <w:autoRedefine/>
    <w:qFormat/>
    <w:uiPriority w:val="0"/>
    <w:pPr>
      <w:widowControl/>
      <w:spacing w:after="50" w:afterLines="50"/>
      <w:ind w:firstLine="0" w:firstLineChars="0"/>
      <w:jc w:val="center"/>
    </w:pPr>
    <w:rPr>
      <w:rFonts w:cs="宋体" w:asciiTheme="minorHAnsi" w:hAnsiTheme="minorHAnsi" w:eastAsiaTheme="minorEastAsia"/>
      <w:b/>
      <w:bCs/>
      <w:color w:val="000000"/>
      <w:kern w:val="2"/>
      <w:sz w:val="21"/>
      <w:szCs w:val="22"/>
      <w:lang w:val="en-US"/>
    </w:rPr>
  </w:style>
  <w:style w:type="paragraph" w:customStyle="1" w:styleId="175">
    <w:name w:val="文"/>
    <w:autoRedefine/>
    <w:qFormat/>
    <w:uiPriority w:val="0"/>
    <w:pPr>
      <w:spacing w:line="360" w:lineRule="auto"/>
      <w:ind w:firstLine="200" w:firstLineChars="200"/>
      <w:jc w:val="both"/>
    </w:pPr>
    <w:rPr>
      <w:rFonts w:ascii="Calibri" w:hAnsi="Calibri" w:eastAsia="宋体" w:cs="Times New Roman"/>
      <w:bCs/>
      <w:sz w:val="24"/>
      <w:szCs w:val="28"/>
      <w:lang w:val="en-US" w:eastAsia="zh-CN" w:bidi="ar-SA"/>
    </w:rPr>
  </w:style>
  <w:style w:type="character" w:customStyle="1" w:styleId="176">
    <w:name w:val="表格 Char2"/>
    <w:link w:val="177"/>
    <w:autoRedefine/>
    <w:qFormat/>
    <w:uiPriority w:val="0"/>
    <w:rPr>
      <w:rFonts w:ascii="宋体"/>
      <w:iCs/>
    </w:rPr>
  </w:style>
  <w:style w:type="paragraph" w:customStyle="1" w:styleId="177">
    <w:name w:val="表格"/>
    <w:next w:val="5"/>
    <w:link w:val="176"/>
    <w:autoRedefine/>
    <w:qFormat/>
    <w:uiPriority w:val="0"/>
    <w:pPr>
      <w:spacing w:line="0" w:lineRule="atLeast"/>
      <w:jc w:val="center"/>
    </w:pPr>
    <w:rPr>
      <w:rFonts w:ascii="宋体" w:hAnsiTheme="minorHAnsi" w:eastAsiaTheme="minorEastAsia" w:cstheme="minorBidi"/>
      <w:iCs/>
      <w:kern w:val="2"/>
      <w:sz w:val="21"/>
      <w:szCs w:val="22"/>
      <w:lang w:val="en-US" w:eastAsia="zh-CN" w:bidi="ar-SA"/>
    </w:rPr>
  </w:style>
  <w:style w:type="paragraph" w:customStyle="1" w:styleId="178">
    <w:name w:val="表内大文字"/>
    <w:basedOn w:val="1"/>
    <w:autoRedefine/>
    <w:qFormat/>
    <w:uiPriority w:val="0"/>
    <w:pPr>
      <w:adjustRightInd w:val="0"/>
      <w:snapToGrid w:val="0"/>
      <w:spacing w:line="240" w:lineRule="atLeast"/>
      <w:ind w:firstLine="0" w:firstLineChars="0"/>
      <w:jc w:val="center"/>
    </w:pPr>
    <w:rPr>
      <w:rFonts w:hAnsi="Times New Roman"/>
      <w:kern w:val="2"/>
      <w:sz w:val="21"/>
      <w:lang w:val="en-US"/>
    </w:rPr>
  </w:style>
  <w:style w:type="character" w:customStyle="1" w:styleId="179">
    <w:name w:val="热电厂正文 Char"/>
    <w:link w:val="180"/>
    <w:autoRedefine/>
    <w:qFormat/>
    <w:locked/>
    <w:uiPriority w:val="0"/>
    <w:rPr>
      <w:rFonts w:ascii="宋体" w:hAnsi="宋体"/>
      <w:sz w:val="24"/>
    </w:rPr>
  </w:style>
  <w:style w:type="paragraph" w:customStyle="1" w:styleId="180">
    <w:name w:val="热电厂正文"/>
    <w:basedOn w:val="1"/>
    <w:link w:val="179"/>
    <w:autoRedefine/>
    <w:qFormat/>
    <w:uiPriority w:val="0"/>
    <w:pPr>
      <w:spacing w:line="440" w:lineRule="exact"/>
    </w:pPr>
    <w:rPr>
      <w:rFonts w:ascii="宋体" w:eastAsiaTheme="minorEastAsia" w:cstheme="minorBidi"/>
      <w:kern w:val="2"/>
      <w:szCs w:val="22"/>
      <w:lang w:val="en-US"/>
    </w:rPr>
  </w:style>
  <w:style w:type="paragraph" w:customStyle="1" w:styleId="181">
    <w:name w:val="表格1"/>
    <w:basedOn w:val="1"/>
    <w:autoRedefine/>
    <w:qFormat/>
    <w:uiPriority w:val="0"/>
    <w:pPr>
      <w:adjustRightInd w:val="0"/>
      <w:spacing w:line="400" w:lineRule="atLeast"/>
      <w:ind w:firstLine="0" w:firstLineChars="0"/>
      <w:jc w:val="center"/>
    </w:pPr>
    <w:rPr>
      <w:rFonts w:hAnsi="Times New Roman"/>
      <w:sz w:val="21"/>
      <w:szCs w:val="20"/>
      <w:lang w:val="en-US"/>
    </w:rPr>
  </w:style>
  <w:style w:type="character" w:customStyle="1" w:styleId="182">
    <w:name w:val="李表名 Char"/>
    <w:link w:val="183"/>
    <w:autoRedefine/>
    <w:qFormat/>
    <w:uiPriority w:val="0"/>
    <w:rPr>
      <w:b/>
      <w:szCs w:val="21"/>
    </w:rPr>
  </w:style>
  <w:style w:type="paragraph" w:customStyle="1" w:styleId="183">
    <w:name w:val="李表名"/>
    <w:basedOn w:val="1"/>
    <w:link w:val="182"/>
    <w:autoRedefine/>
    <w:qFormat/>
    <w:uiPriority w:val="0"/>
    <w:pPr>
      <w:spacing w:before="50" w:beforeLines="50"/>
      <w:ind w:firstLine="0" w:firstLineChars="0"/>
      <w:jc w:val="center"/>
    </w:pPr>
    <w:rPr>
      <w:rFonts w:asciiTheme="minorHAnsi" w:hAnsiTheme="minorHAnsi" w:eastAsiaTheme="minorEastAsia" w:cstheme="minorBidi"/>
      <w:b/>
      <w:kern w:val="2"/>
      <w:sz w:val="21"/>
      <w:szCs w:val="21"/>
      <w:lang w:val="en-US"/>
    </w:rPr>
  </w:style>
  <w:style w:type="character" w:customStyle="1" w:styleId="184">
    <w:name w:val="表题 Char Char"/>
    <w:link w:val="185"/>
    <w:autoRedefine/>
    <w:qFormat/>
    <w:uiPriority w:val="0"/>
    <w:rPr>
      <w:rFonts w:cs="宋体"/>
      <w:b/>
      <w:sz w:val="24"/>
      <w:szCs w:val="24"/>
    </w:rPr>
  </w:style>
  <w:style w:type="paragraph" w:customStyle="1" w:styleId="185">
    <w:name w:val="表题"/>
    <w:basedOn w:val="1"/>
    <w:link w:val="184"/>
    <w:autoRedefine/>
    <w:qFormat/>
    <w:uiPriority w:val="0"/>
    <w:pPr>
      <w:widowControl/>
      <w:spacing w:line="400" w:lineRule="exact"/>
      <w:ind w:firstLine="200"/>
      <w:jc w:val="center"/>
    </w:pPr>
    <w:rPr>
      <w:rFonts w:cs="宋体" w:asciiTheme="minorHAnsi" w:hAnsiTheme="minorHAnsi" w:eastAsiaTheme="minorEastAsia"/>
      <w:b/>
      <w:kern w:val="2"/>
      <w:lang w:val="en-US"/>
    </w:rPr>
  </w:style>
  <w:style w:type="character" w:customStyle="1" w:styleId="186">
    <w:name w:val="正文(首行缩进) Char Char"/>
    <w:link w:val="187"/>
    <w:autoRedefine/>
    <w:qFormat/>
    <w:uiPriority w:val="0"/>
    <w:rPr>
      <w:rFonts w:ascii="Plotter" w:hAnsi="Plotter" w:cs="Plotter"/>
      <w:kern w:val="24"/>
      <w:sz w:val="24"/>
      <w:szCs w:val="24"/>
    </w:rPr>
  </w:style>
  <w:style w:type="paragraph" w:customStyle="1" w:styleId="187">
    <w:name w:val="正文(首行缩进)"/>
    <w:basedOn w:val="1"/>
    <w:link w:val="186"/>
    <w:autoRedefine/>
    <w:qFormat/>
    <w:uiPriority w:val="0"/>
    <w:pPr>
      <w:widowControl/>
      <w:adjustRightInd w:val="0"/>
      <w:snapToGrid w:val="0"/>
      <w:ind w:firstLine="200"/>
      <w:jc w:val="left"/>
    </w:pPr>
    <w:rPr>
      <w:rFonts w:ascii="Plotter" w:hAnsi="Plotter" w:cs="Plotter" w:eastAsiaTheme="minorEastAsia"/>
      <w:kern w:val="24"/>
      <w:lang w:val="en-US"/>
    </w:rPr>
  </w:style>
  <w:style w:type="character" w:customStyle="1" w:styleId="188">
    <w:name w:val="6表(图)头 Char"/>
    <w:link w:val="189"/>
    <w:autoRedefine/>
    <w:qFormat/>
    <w:uiPriority w:val="0"/>
    <w:rPr>
      <w:rFonts w:eastAsia="黑体"/>
      <w:b/>
      <w:bCs/>
      <w:sz w:val="28"/>
    </w:rPr>
  </w:style>
  <w:style w:type="paragraph" w:customStyle="1" w:styleId="189">
    <w:name w:val="6表(图)头"/>
    <w:next w:val="1"/>
    <w:link w:val="188"/>
    <w:autoRedefine/>
    <w:qFormat/>
    <w:uiPriority w:val="0"/>
    <w:pPr>
      <w:widowControl w:val="0"/>
      <w:spacing w:line="360" w:lineRule="auto"/>
      <w:jc w:val="center"/>
    </w:pPr>
    <w:rPr>
      <w:rFonts w:eastAsia="黑体" w:asciiTheme="minorHAnsi" w:hAnsiTheme="minorHAnsi" w:cstheme="minorBidi"/>
      <w:b/>
      <w:bCs/>
      <w:kern w:val="2"/>
      <w:sz w:val="28"/>
      <w:szCs w:val="22"/>
      <w:lang w:val="en-US" w:eastAsia="zh-CN" w:bidi="ar-SA"/>
    </w:rPr>
  </w:style>
  <w:style w:type="character" w:customStyle="1" w:styleId="190">
    <w:name w:val="表、图名 Char Char"/>
    <w:link w:val="191"/>
    <w:autoRedefine/>
    <w:qFormat/>
    <w:uiPriority w:val="0"/>
    <w:rPr>
      <w:rFonts w:eastAsia="Times New Roman"/>
      <w:b/>
      <w:szCs w:val="24"/>
    </w:rPr>
  </w:style>
  <w:style w:type="paragraph" w:customStyle="1" w:styleId="191">
    <w:name w:val="表、图名"/>
    <w:link w:val="190"/>
    <w:autoRedefine/>
    <w:qFormat/>
    <w:uiPriority w:val="0"/>
    <w:pPr>
      <w:spacing w:before="120" w:line="360" w:lineRule="auto"/>
      <w:jc w:val="center"/>
    </w:pPr>
    <w:rPr>
      <w:rFonts w:eastAsia="Times New Roman" w:asciiTheme="minorHAnsi" w:hAnsiTheme="minorHAnsi" w:cstheme="minorBidi"/>
      <w:b/>
      <w:kern w:val="2"/>
      <w:sz w:val="21"/>
      <w:szCs w:val="24"/>
      <w:lang w:val="en-US" w:eastAsia="zh-CN" w:bidi="ar-SA"/>
    </w:rPr>
  </w:style>
  <w:style w:type="character" w:customStyle="1" w:styleId="192">
    <w:name w:val="文本正文 Char"/>
    <w:link w:val="193"/>
    <w:autoRedefine/>
    <w:qFormat/>
    <w:uiPriority w:val="0"/>
    <w:rPr>
      <w:sz w:val="24"/>
      <w:szCs w:val="24"/>
    </w:rPr>
  </w:style>
  <w:style w:type="paragraph" w:customStyle="1" w:styleId="193">
    <w:name w:val="文本正文"/>
    <w:basedOn w:val="1"/>
    <w:link w:val="192"/>
    <w:autoRedefine/>
    <w:qFormat/>
    <w:uiPriority w:val="0"/>
    <w:pPr>
      <w:widowControl/>
      <w:adjustRightInd w:val="0"/>
      <w:snapToGrid w:val="0"/>
      <w:spacing w:afterLines="50" w:line="300" w:lineRule="auto"/>
      <w:jc w:val="left"/>
    </w:pPr>
    <w:rPr>
      <w:rFonts w:asciiTheme="minorHAnsi" w:hAnsiTheme="minorHAnsi" w:eastAsiaTheme="minorEastAsia" w:cstheme="minorBidi"/>
      <w:kern w:val="2"/>
      <w:lang w:val="en-US"/>
    </w:rPr>
  </w:style>
  <w:style w:type="character" w:customStyle="1" w:styleId="194">
    <w:name w:val="我的正文 Char Char Char"/>
    <w:autoRedefine/>
    <w:qFormat/>
    <w:uiPriority w:val="0"/>
    <w:rPr>
      <w:kern w:val="2"/>
      <w:sz w:val="24"/>
      <w:szCs w:val="24"/>
      <w:lang w:val="en-US" w:eastAsia="zh-CN" w:bidi="ar-SA"/>
    </w:rPr>
  </w:style>
  <w:style w:type="character" w:customStyle="1" w:styleId="195">
    <w:name w:val="陈正文和符号 Char"/>
    <w:link w:val="196"/>
    <w:autoRedefine/>
    <w:qFormat/>
    <w:uiPriority w:val="0"/>
    <w:rPr>
      <w:color w:val="000000"/>
      <w:sz w:val="24"/>
      <w:szCs w:val="28"/>
    </w:rPr>
  </w:style>
  <w:style w:type="paragraph" w:customStyle="1" w:styleId="196">
    <w:name w:val="陈正文和符号"/>
    <w:basedOn w:val="1"/>
    <w:next w:val="1"/>
    <w:link w:val="195"/>
    <w:autoRedefine/>
    <w:qFormat/>
    <w:uiPriority w:val="0"/>
    <w:pPr>
      <w:widowControl/>
      <w:jc w:val="left"/>
    </w:pPr>
    <w:rPr>
      <w:rFonts w:asciiTheme="minorHAnsi" w:hAnsiTheme="minorHAnsi" w:eastAsiaTheme="minorEastAsia" w:cstheme="minorBidi"/>
      <w:color w:val="000000"/>
      <w:kern w:val="2"/>
      <w:szCs w:val="28"/>
      <w:lang w:val="en-US"/>
    </w:rPr>
  </w:style>
  <w:style w:type="character" w:customStyle="1" w:styleId="197">
    <w:name w:val="表名 Char Char"/>
    <w:autoRedefine/>
    <w:qFormat/>
    <w:uiPriority w:val="0"/>
    <w:rPr>
      <w:rFonts w:eastAsia="宋体" w:cs="宋体"/>
      <w:b/>
      <w:kern w:val="2"/>
      <w:sz w:val="24"/>
      <w:szCs w:val="24"/>
      <w:lang w:val="en-US" w:eastAsia="zh-CN" w:bidi="ar-SA"/>
    </w:rPr>
  </w:style>
  <w:style w:type="character" w:customStyle="1" w:styleId="198">
    <w:name w:val="identication Char1"/>
    <w:autoRedefine/>
    <w:qFormat/>
    <w:uiPriority w:val="0"/>
    <w:rPr>
      <w:rFonts w:eastAsia="宋体"/>
      <w:kern w:val="2"/>
      <w:sz w:val="28"/>
      <w:szCs w:val="28"/>
      <w:lang w:val="en-US" w:eastAsia="zh-CN" w:bidi="ar-SA"/>
    </w:rPr>
  </w:style>
  <w:style w:type="character" w:customStyle="1" w:styleId="199">
    <w:name w:val="表名 Char"/>
    <w:link w:val="200"/>
    <w:autoRedefine/>
    <w:qFormat/>
    <w:uiPriority w:val="0"/>
    <w:rPr>
      <w:rFonts w:cs="宋体"/>
      <w:b/>
      <w:sz w:val="24"/>
      <w:szCs w:val="24"/>
    </w:rPr>
  </w:style>
  <w:style w:type="paragraph" w:customStyle="1" w:styleId="200">
    <w:name w:val="表名"/>
    <w:basedOn w:val="1"/>
    <w:link w:val="199"/>
    <w:autoRedefine/>
    <w:qFormat/>
    <w:uiPriority w:val="0"/>
    <w:pPr>
      <w:widowControl/>
      <w:ind w:firstLine="0" w:firstLineChars="0"/>
      <w:jc w:val="center"/>
    </w:pPr>
    <w:rPr>
      <w:rFonts w:cs="宋体" w:asciiTheme="minorHAnsi" w:hAnsiTheme="minorHAnsi" w:eastAsiaTheme="minorEastAsia"/>
      <w:b/>
      <w:kern w:val="2"/>
      <w:lang w:val="en-US"/>
    </w:rPr>
  </w:style>
  <w:style w:type="character" w:customStyle="1" w:styleId="201">
    <w:name w:val="4标题 Char Char"/>
    <w:link w:val="202"/>
    <w:autoRedefine/>
    <w:qFormat/>
    <w:uiPriority w:val="0"/>
    <w:rPr>
      <w:rFonts w:eastAsia="黑体"/>
      <w:sz w:val="28"/>
    </w:rPr>
  </w:style>
  <w:style w:type="paragraph" w:customStyle="1" w:styleId="202">
    <w:name w:val="4标题"/>
    <w:basedOn w:val="1"/>
    <w:next w:val="1"/>
    <w:link w:val="201"/>
    <w:autoRedefine/>
    <w:qFormat/>
    <w:uiPriority w:val="0"/>
    <w:pPr>
      <w:widowControl/>
      <w:adjustRightInd w:val="0"/>
      <w:snapToGrid w:val="0"/>
      <w:ind w:firstLine="0" w:firstLineChars="0"/>
      <w:jc w:val="left"/>
      <w:textAlignment w:val="baseline"/>
      <w:outlineLvl w:val="2"/>
    </w:pPr>
    <w:rPr>
      <w:rFonts w:eastAsia="黑体" w:asciiTheme="minorHAnsi" w:hAnsiTheme="minorHAnsi" w:cstheme="minorBidi"/>
      <w:kern w:val="2"/>
      <w:sz w:val="28"/>
      <w:szCs w:val="22"/>
      <w:lang w:val="en-US"/>
    </w:rPr>
  </w:style>
  <w:style w:type="character" w:customStyle="1" w:styleId="203">
    <w:name w:val="表格文字nana Char Char"/>
    <w:link w:val="204"/>
    <w:autoRedefine/>
    <w:qFormat/>
    <w:uiPriority w:val="0"/>
    <w:rPr>
      <w:rFonts w:ascii="宋体" w:hAnsi="宋体" w:eastAsia="仿宋_GB2312" w:cs="宋体"/>
      <w:snapToGrid w:val="0"/>
      <w:color w:val="000000"/>
      <w:szCs w:val="21"/>
      <w:lang w:bidi="en-US"/>
    </w:rPr>
  </w:style>
  <w:style w:type="paragraph" w:customStyle="1" w:styleId="204">
    <w:name w:val="表格文字nana"/>
    <w:basedOn w:val="1"/>
    <w:link w:val="203"/>
    <w:autoRedefine/>
    <w:qFormat/>
    <w:uiPriority w:val="0"/>
    <w:pPr>
      <w:widowControl/>
      <w:spacing w:line="300" w:lineRule="auto"/>
      <w:ind w:firstLine="0" w:firstLineChars="0"/>
      <w:jc w:val="center"/>
    </w:pPr>
    <w:rPr>
      <w:rFonts w:ascii="宋体" w:eastAsia="仿宋_GB2312" w:cs="宋体"/>
      <w:snapToGrid w:val="0"/>
      <w:color w:val="000000"/>
      <w:kern w:val="2"/>
      <w:sz w:val="21"/>
      <w:szCs w:val="21"/>
      <w:lang w:val="en-US" w:bidi="en-US"/>
    </w:rPr>
  </w:style>
  <w:style w:type="character" w:customStyle="1" w:styleId="205">
    <w:name w:val="公式编号 Char Char"/>
    <w:autoRedefine/>
    <w:qFormat/>
    <w:uiPriority w:val="0"/>
    <w:rPr>
      <w:rFonts w:eastAsia="宋体" w:cs="宋体"/>
      <w:kern w:val="2"/>
      <w:sz w:val="21"/>
      <w:szCs w:val="24"/>
      <w:lang w:val="en-US" w:eastAsia="zh-CN" w:bidi="ar-SA"/>
    </w:rPr>
  </w:style>
  <w:style w:type="character" w:customStyle="1" w:styleId="206">
    <w:name w:val="标题 2 Char"/>
    <w:autoRedefine/>
    <w:qFormat/>
    <w:uiPriority w:val="9"/>
    <w:rPr>
      <w:rFonts w:eastAsia="宋体"/>
      <w:b/>
      <w:kern w:val="2"/>
      <w:sz w:val="30"/>
      <w:szCs w:val="24"/>
      <w:lang w:val="en-US" w:eastAsia="zh-CN" w:bidi="ar-SA"/>
    </w:rPr>
  </w:style>
  <w:style w:type="character" w:customStyle="1" w:styleId="207">
    <w:name w:val="文本 Char"/>
    <w:autoRedefine/>
    <w:qFormat/>
    <w:uiPriority w:val="0"/>
    <w:rPr>
      <w:rFonts w:eastAsia="宋体" w:cs="宋体"/>
      <w:sz w:val="24"/>
      <w:szCs w:val="24"/>
      <w:lang w:val="en-US" w:eastAsia="zh-CN" w:bidi="ar-SA"/>
    </w:rPr>
  </w:style>
  <w:style w:type="character" w:customStyle="1" w:styleId="208">
    <w:name w:val="正文首行缩进 Char1"/>
    <w:basedOn w:val="120"/>
    <w:autoRedefine/>
    <w:semiHidden/>
    <w:qFormat/>
    <w:uiPriority w:val="99"/>
    <w:rPr>
      <w:rFonts w:ascii="Times New Roman" w:hAnsi="Times New Roman" w:eastAsia="宋体" w:cs="Times New Roman"/>
    </w:rPr>
  </w:style>
  <w:style w:type="character" w:customStyle="1" w:styleId="209">
    <w:name w:val="表格头 Char"/>
    <w:autoRedefine/>
    <w:qFormat/>
    <w:uiPriority w:val="0"/>
    <w:rPr>
      <w:rFonts w:eastAsia="宋体"/>
      <w:b/>
      <w:bCs/>
      <w:kern w:val="44"/>
      <w:position w:val="-28"/>
      <w:sz w:val="24"/>
      <w:szCs w:val="24"/>
      <w:lang w:val="en-US" w:eastAsia="zh-CN" w:bidi="ar-SA"/>
    </w:rPr>
  </w:style>
  <w:style w:type="character" w:customStyle="1" w:styleId="210">
    <w:name w:val="样式 标题 3条标题1.1.13h33rd levelH3l3CT + 黑色 Char Char"/>
    <w:link w:val="211"/>
    <w:autoRedefine/>
    <w:qFormat/>
    <w:uiPriority w:val="0"/>
    <w:rPr>
      <w:rFonts w:ascii="宋体" w:hAnsi="宋体"/>
      <w:b/>
      <w:bCs/>
      <w:sz w:val="28"/>
      <w:szCs w:val="28"/>
    </w:rPr>
  </w:style>
  <w:style w:type="paragraph" w:customStyle="1" w:styleId="211">
    <w:name w:val="样式 标题 3条标题1.1.13h33rd levelH3l3CT + 黑色"/>
    <w:basedOn w:val="6"/>
    <w:link w:val="210"/>
    <w:autoRedefine/>
    <w:qFormat/>
    <w:uiPriority w:val="0"/>
    <w:pPr>
      <w:widowControl/>
      <w:numPr>
        <w:numId w:val="0"/>
      </w:numPr>
      <w:spacing w:before="0" w:beforeLines="0" w:after="0" w:afterLines="0"/>
    </w:pPr>
    <w:rPr>
      <w:rFonts w:ascii="宋体" w:hAnsi="宋体" w:eastAsiaTheme="minorEastAsia" w:cstheme="minorBidi"/>
      <w:bCs/>
      <w:kern w:val="2"/>
      <w:sz w:val="28"/>
      <w:szCs w:val="28"/>
      <w:lang w:val="en-US"/>
    </w:rPr>
  </w:style>
  <w:style w:type="character" w:customStyle="1" w:styleId="212">
    <w:name w:val="2 二级标题 Char"/>
    <w:link w:val="213"/>
    <w:autoRedefine/>
    <w:qFormat/>
    <w:uiPriority w:val="0"/>
    <w:rPr>
      <w:b/>
      <w:bCs/>
      <w:sz w:val="30"/>
      <w:szCs w:val="30"/>
    </w:rPr>
  </w:style>
  <w:style w:type="paragraph" w:customStyle="1" w:styleId="213">
    <w:name w:val="2 二级标题"/>
    <w:basedOn w:val="4"/>
    <w:link w:val="212"/>
    <w:autoRedefine/>
    <w:qFormat/>
    <w:uiPriority w:val="0"/>
    <w:pPr>
      <w:widowControl/>
      <w:numPr>
        <w:numId w:val="0"/>
      </w:numPr>
      <w:spacing w:before="10" w:beforeLines="0" w:after="10" w:afterLines="0"/>
    </w:pPr>
    <w:rPr>
      <w:rFonts w:asciiTheme="minorHAnsi" w:hAnsiTheme="minorHAnsi" w:eastAsiaTheme="minorEastAsia" w:cstheme="minorBidi"/>
      <w:bCs/>
      <w:kern w:val="2"/>
      <w:sz w:val="30"/>
      <w:szCs w:val="30"/>
      <w:lang w:val="en-US"/>
    </w:rPr>
  </w:style>
  <w:style w:type="character" w:customStyle="1" w:styleId="214">
    <w:name w:val="标题三啊啊啊 Char"/>
    <w:link w:val="215"/>
    <w:autoRedefine/>
    <w:qFormat/>
    <w:uiPriority w:val="0"/>
    <w:rPr>
      <w:b/>
      <w:bCs/>
      <w:color w:val="000000"/>
      <w:sz w:val="24"/>
      <w:szCs w:val="24"/>
    </w:rPr>
  </w:style>
  <w:style w:type="paragraph" w:customStyle="1" w:styleId="215">
    <w:name w:val="标题三啊啊啊"/>
    <w:basedOn w:val="6"/>
    <w:link w:val="214"/>
    <w:autoRedefine/>
    <w:qFormat/>
    <w:uiPriority w:val="0"/>
    <w:pPr>
      <w:widowControl/>
      <w:numPr>
        <w:numId w:val="0"/>
      </w:numPr>
      <w:spacing w:before="0" w:beforeLines="0"/>
    </w:pPr>
    <w:rPr>
      <w:rFonts w:asciiTheme="minorHAnsi" w:hAnsiTheme="minorHAnsi" w:eastAsiaTheme="minorEastAsia" w:cstheme="minorBidi"/>
      <w:bCs/>
      <w:color w:val="000000"/>
      <w:kern w:val="2"/>
      <w:sz w:val="24"/>
      <w:szCs w:val="24"/>
      <w:lang w:val="en-US"/>
    </w:rPr>
  </w:style>
  <w:style w:type="character" w:customStyle="1" w:styleId="216">
    <w:name w:val="5表头 Char Char"/>
    <w:link w:val="217"/>
    <w:autoRedefine/>
    <w:qFormat/>
    <w:uiPriority w:val="0"/>
    <w:rPr>
      <w:rFonts w:eastAsia="黑体" w:cs="宋体"/>
      <w:sz w:val="24"/>
    </w:rPr>
  </w:style>
  <w:style w:type="paragraph" w:customStyle="1" w:styleId="217">
    <w:name w:val="5表头"/>
    <w:basedOn w:val="1"/>
    <w:link w:val="216"/>
    <w:autoRedefine/>
    <w:qFormat/>
    <w:uiPriority w:val="0"/>
    <w:pPr>
      <w:widowControl/>
      <w:spacing w:before="156" w:beforeLines="50"/>
      <w:ind w:firstLine="0" w:firstLineChars="0"/>
      <w:jc w:val="center"/>
    </w:pPr>
    <w:rPr>
      <w:rFonts w:eastAsia="黑体" w:cs="宋体" w:asciiTheme="minorHAnsi" w:hAnsiTheme="minorHAnsi"/>
      <w:kern w:val="2"/>
      <w:szCs w:val="22"/>
      <w:lang w:val="en-US"/>
    </w:rPr>
  </w:style>
  <w:style w:type="character" w:customStyle="1" w:styleId="218">
    <w:name w:val="font31"/>
    <w:autoRedefine/>
    <w:qFormat/>
    <w:uiPriority w:val="0"/>
    <w:rPr>
      <w:rFonts w:hint="default" w:ascii="Times New Roman" w:hAnsi="Times New Roman" w:cs="Times New Roman"/>
      <w:color w:val="000000"/>
      <w:sz w:val="20"/>
      <w:szCs w:val="20"/>
      <w:u w:val="none"/>
      <w:vertAlign w:val="superscript"/>
    </w:rPr>
  </w:style>
  <w:style w:type="character" w:customStyle="1" w:styleId="219">
    <w:name w:val="7表格(治) Char"/>
    <w:link w:val="220"/>
    <w:autoRedefine/>
    <w:qFormat/>
    <w:uiPriority w:val="0"/>
    <w:rPr>
      <w:rFonts w:eastAsia="楷体_GB2312" w:cs="宋体"/>
      <w:szCs w:val="36"/>
    </w:rPr>
  </w:style>
  <w:style w:type="paragraph" w:customStyle="1" w:styleId="220">
    <w:name w:val="7表格(治)"/>
    <w:link w:val="219"/>
    <w:autoRedefine/>
    <w:qFormat/>
    <w:uiPriority w:val="0"/>
    <w:pPr>
      <w:widowControl w:val="0"/>
      <w:tabs>
        <w:tab w:val="center" w:pos="4153"/>
        <w:tab w:val="right" w:pos="8306"/>
      </w:tabs>
      <w:suppressAutoHyphens/>
      <w:snapToGrid w:val="0"/>
      <w:jc w:val="center"/>
    </w:pPr>
    <w:rPr>
      <w:rFonts w:eastAsia="楷体_GB2312" w:cs="宋体" w:asciiTheme="minorHAnsi" w:hAnsiTheme="minorHAnsi"/>
      <w:kern w:val="2"/>
      <w:sz w:val="21"/>
      <w:szCs w:val="36"/>
      <w:lang w:val="en-US" w:eastAsia="zh-CN" w:bidi="ar-SA"/>
    </w:rPr>
  </w:style>
  <w:style w:type="character" w:customStyle="1" w:styleId="221">
    <w:name w:val="普通文字 Char Char Char Char1"/>
    <w:autoRedefine/>
    <w:qFormat/>
    <w:uiPriority w:val="0"/>
    <w:rPr>
      <w:rFonts w:ascii="宋体" w:hAnsi="Courier New" w:cs="Courier New"/>
      <w:kern w:val="2"/>
      <w:sz w:val="24"/>
      <w:szCs w:val="21"/>
    </w:rPr>
  </w:style>
  <w:style w:type="character" w:customStyle="1" w:styleId="222">
    <w:name w:val="content1"/>
    <w:autoRedefine/>
    <w:qFormat/>
    <w:uiPriority w:val="0"/>
    <w:rPr>
      <w:rFonts w:hint="default"/>
      <w:sz w:val="18"/>
    </w:rPr>
  </w:style>
  <w:style w:type="character" w:customStyle="1" w:styleId="223">
    <w:name w:val="小表格名称 Char"/>
    <w:link w:val="224"/>
    <w:autoRedefine/>
    <w:qFormat/>
    <w:uiPriority w:val="0"/>
    <w:rPr>
      <w:rFonts w:cs="宋体"/>
      <w:szCs w:val="24"/>
    </w:rPr>
  </w:style>
  <w:style w:type="paragraph" w:customStyle="1" w:styleId="224">
    <w:name w:val="小表格名称"/>
    <w:basedOn w:val="82"/>
    <w:link w:val="223"/>
    <w:autoRedefine/>
    <w:qFormat/>
    <w:uiPriority w:val="0"/>
    <w:pPr>
      <w:ind w:firstLine="0" w:firstLineChars="0"/>
      <w:jc w:val="center"/>
    </w:pPr>
    <w:rPr>
      <w:rFonts w:cs="宋体" w:asciiTheme="minorHAnsi" w:hAnsiTheme="minorHAnsi" w:eastAsiaTheme="minorEastAsia"/>
      <w:kern w:val="2"/>
      <w:sz w:val="21"/>
      <w:lang w:val="en-US"/>
    </w:rPr>
  </w:style>
  <w:style w:type="character" w:customStyle="1" w:styleId="225">
    <w:name w:val="表格标注 Char Char"/>
    <w:link w:val="226"/>
    <w:autoRedefine/>
    <w:qFormat/>
    <w:uiPriority w:val="0"/>
    <w:rPr>
      <w:szCs w:val="21"/>
    </w:rPr>
  </w:style>
  <w:style w:type="paragraph" w:customStyle="1" w:styleId="226">
    <w:name w:val="表格标注"/>
    <w:basedOn w:val="1"/>
    <w:link w:val="225"/>
    <w:autoRedefine/>
    <w:qFormat/>
    <w:uiPriority w:val="0"/>
    <w:pPr>
      <w:widowControl/>
      <w:tabs>
        <w:tab w:val="left" w:pos="3825"/>
        <w:tab w:val="left" w:pos="4680"/>
      </w:tabs>
      <w:spacing w:line="240" w:lineRule="auto"/>
      <w:ind w:firstLine="420"/>
      <w:jc w:val="left"/>
    </w:pPr>
    <w:rPr>
      <w:rFonts w:asciiTheme="minorHAnsi" w:hAnsiTheme="minorHAnsi" w:eastAsiaTheme="minorEastAsia" w:cstheme="minorBidi"/>
      <w:kern w:val="2"/>
      <w:sz w:val="21"/>
      <w:szCs w:val="21"/>
      <w:lang w:val="en-US"/>
    </w:rPr>
  </w:style>
  <w:style w:type="character" w:customStyle="1" w:styleId="227">
    <w:name w:val="副标题 Char1"/>
    <w:autoRedefine/>
    <w:qFormat/>
    <w:uiPriority w:val="99"/>
    <w:rPr>
      <w:rFonts w:ascii="Cambria" w:hAnsi="Cambria" w:cs="Times New Roman"/>
      <w:b/>
      <w:bCs/>
      <w:kern w:val="28"/>
      <w:sz w:val="32"/>
      <w:szCs w:val="32"/>
    </w:rPr>
  </w:style>
  <w:style w:type="character" w:customStyle="1" w:styleId="228">
    <w:name w:val="大纲正文 Char"/>
    <w:link w:val="229"/>
    <w:autoRedefine/>
    <w:qFormat/>
    <w:uiPriority w:val="0"/>
    <w:rPr>
      <w:sz w:val="24"/>
    </w:rPr>
  </w:style>
  <w:style w:type="paragraph" w:customStyle="1" w:styleId="229">
    <w:name w:val="大纲正文"/>
    <w:basedOn w:val="1"/>
    <w:link w:val="228"/>
    <w:autoRedefine/>
    <w:qFormat/>
    <w:uiPriority w:val="0"/>
    <w:pPr>
      <w:widowControl/>
      <w:adjustRightInd w:val="0"/>
      <w:snapToGrid w:val="0"/>
      <w:spacing w:line="300" w:lineRule="auto"/>
      <w:ind w:firstLine="0" w:firstLineChars="0"/>
      <w:jc w:val="left"/>
    </w:pPr>
    <w:rPr>
      <w:rFonts w:asciiTheme="minorHAnsi" w:hAnsiTheme="minorHAnsi" w:eastAsiaTheme="minorEastAsia" w:cstheme="minorBidi"/>
      <w:kern w:val="2"/>
      <w:szCs w:val="22"/>
      <w:lang w:val="en-US"/>
    </w:rPr>
  </w:style>
  <w:style w:type="character" w:customStyle="1" w:styleId="230">
    <w:name w:val="普通文字 Char Char2"/>
    <w:autoRedefine/>
    <w:qFormat/>
    <w:uiPriority w:val="0"/>
    <w:rPr>
      <w:rFonts w:ascii="宋体" w:hAnsi="Courier New" w:eastAsia="宋体"/>
      <w:kern w:val="2"/>
      <w:sz w:val="21"/>
      <w:lang w:val="en-US" w:eastAsia="zh-CN" w:bidi="ar-SA"/>
    </w:rPr>
  </w:style>
  <w:style w:type="character" w:customStyle="1" w:styleId="231">
    <w:name w:val="表头 小四 加粗 Char Char"/>
    <w:autoRedefine/>
    <w:qFormat/>
    <w:uiPriority w:val="0"/>
    <w:rPr>
      <w:rFonts w:eastAsia="宋体"/>
      <w:b/>
      <w:kern w:val="2"/>
      <w:sz w:val="24"/>
      <w:szCs w:val="24"/>
      <w:lang w:val="en-US" w:eastAsia="zh-CN" w:bidi="ar-SA"/>
    </w:rPr>
  </w:style>
  <w:style w:type="character" w:customStyle="1" w:styleId="232">
    <w:name w:val="标题1.1.1 Char"/>
    <w:link w:val="233"/>
    <w:autoRedefine/>
    <w:qFormat/>
    <w:uiPriority w:val="0"/>
    <w:rPr>
      <w:rFonts w:eastAsia="仿宋"/>
      <w:b/>
      <w:bCs/>
      <w:sz w:val="28"/>
      <w:szCs w:val="28"/>
    </w:rPr>
  </w:style>
  <w:style w:type="paragraph" w:customStyle="1" w:styleId="233">
    <w:name w:val="标题1.1.1"/>
    <w:basedOn w:val="6"/>
    <w:next w:val="6"/>
    <w:link w:val="232"/>
    <w:autoRedefine/>
    <w:qFormat/>
    <w:uiPriority w:val="0"/>
    <w:pPr>
      <w:widowControl/>
      <w:numPr>
        <w:numId w:val="0"/>
      </w:numPr>
      <w:spacing w:before="0" w:beforeLines="0" w:after="0" w:afterLines="0"/>
      <w:ind w:firstLine="100" w:firstLineChars="100"/>
    </w:pPr>
    <w:rPr>
      <w:rFonts w:eastAsia="仿宋" w:asciiTheme="minorHAnsi" w:hAnsiTheme="minorHAnsi" w:cstheme="minorBidi"/>
      <w:bCs/>
      <w:kern w:val="2"/>
      <w:sz w:val="28"/>
      <w:szCs w:val="28"/>
      <w:lang w:val="en-US"/>
    </w:rPr>
  </w:style>
  <w:style w:type="character" w:customStyle="1" w:styleId="234">
    <w:name w:val="纯文本 Char1"/>
    <w:autoRedefine/>
    <w:qFormat/>
    <w:uiPriority w:val="0"/>
    <w:rPr>
      <w:rFonts w:ascii="宋体" w:hAnsi="Courier New" w:cs="Courier New"/>
      <w:kern w:val="2"/>
      <w:sz w:val="21"/>
      <w:szCs w:val="21"/>
    </w:rPr>
  </w:style>
  <w:style w:type="character" w:customStyle="1" w:styleId="235">
    <w:name w:val="123YJ Char Char"/>
    <w:autoRedefine/>
    <w:qFormat/>
    <w:uiPriority w:val="0"/>
    <w:rPr>
      <w:rFonts w:eastAsia="宋体"/>
      <w:kern w:val="2"/>
      <w:sz w:val="18"/>
      <w:szCs w:val="18"/>
      <w:lang w:bidi="ar-SA"/>
    </w:rPr>
  </w:style>
  <w:style w:type="character" w:customStyle="1" w:styleId="236">
    <w:name w:val="题注2 Char Char"/>
    <w:link w:val="237"/>
    <w:autoRedefine/>
    <w:qFormat/>
    <w:uiPriority w:val="0"/>
    <w:rPr>
      <w:rFonts w:ascii="Arial" w:hAnsi="Arial" w:cs="宋体"/>
      <w:sz w:val="18"/>
      <w:szCs w:val="21"/>
    </w:rPr>
  </w:style>
  <w:style w:type="paragraph" w:customStyle="1" w:styleId="237">
    <w:name w:val="题注2"/>
    <w:basedOn w:val="19"/>
    <w:link w:val="236"/>
    <w:autoRedefine/>
    <w:qFormat/>
    <w:uiPriority w:val="0"/>
    <w:rPr>
      <w:rFonts w:cs="宋体" w:eastAsiaTheme="minorEastAsia"/>
      <w:szCs w:val="21"/>
      <w:lang w:val="en-US"/>
    </w:rPr>
  </w:style>
  <w:style w:type="character" w:customStyle="1" w:styleId="238">
    <w:name w:val="标题1 Char"/>
    <w:autoRedefine/>
    <w:qFormat/>
    <w:uiPriority w:val="0"/>
    <w:rPr>
      <w:rFonts w:ascii="Calibri" w:hAnsi="Calibri" w:eastAsia="宋体"/>
      <w:b/>
      <w:bCs/>
      <w:kern w:val="44"/>
      <w:sz w:val="44"/>
      <w:szCs w:val="44"/>
      <w:lang w:val="en-US" w:eastAsia="zh-CN" w:bidi="ar-SA"/>
    </w:rPr>
  </w:style>
  <w:style w:type="character" w:customStyle="1" w:styleId="239">
    <w:name w:val="4正文 Char Char"/>
    <w:link w:val="240"/>
    <w:autoRedefine/>
    <w:qFormat/>
    <w:uiPriority w:val="0"/>
    <w:rPr>
      <w:rFonts w:cs="宋体"/>
      <w:sz w:val="24"/>
    </w:rPr>
  </w:style>
  <w:style w:type="paragraph" w:customStyle="1" w:styleId="240">
    <w:name w:val="4正文"/>
    <w:basedOn w:val="1"/>
    <w:link w:val="239"/>
    <w:autoRedefine/>
    <w:qFormat/>
    <w:uiPriority w:val="0"/>
    <w:pPr>
      <w:widowControl/>
      <w:jc w:val="left"/>
    </w:pPr>
    <w:rPr>
      <w:rFonts w:cs="宋体" w:asciiTheme="minorHAnsi" w:hAnsiTheme="minorHAnsi" w:eastAsiaTheme="minorEastAsia"/>
      <w:kern w:val="2"/>
      <w:szCs w:val="22"/>
      <w:lang w:val="en-US"/>
    </w:rPr>
  </w:style>
  <w:style w:type="character" w:customStyle="1" w:styleId="241">
    <w:name w:val="样式1 Char2"/>
    <w:autoRedefine/>
    <w:qFormat/>
    <w:uiPriority w:val="0"/>
    <w:rPr>
      <w:rFonts w:ascii="宋体" w:hAnsi="宋体" w:eastAsia="宋体"/>
      <w:color w:val="000000"/>
      <w:kern w:val="2"/>
      <w:sz w:val="24"/>
      <w:szCs w:val="24"/>
      <w:lang w:val="en-US" w:eastAsia="zh-CN" w:bidi="ar-SA"/>
    </w:rPr>
  </w:style>
  <w:style w:type="character" w:customStyle="1" w:styleId="242">
    <w:name w:val="表与图题 题注 Char Char"/>
    <w:autoRedefine/>
    <w:qFormat/>
    <w:uiPriority w:val="0"/>
    <w:rPr>
      <w:rFonts w:ascii="Arial" w:hAnsi="Arial" w:eastAsia="宋体" w:cs="宋体"/>
      <w:kern w:val="2"/>
      <w:sz w:val="18"/>
      <w:szCs w:val="21"/>
      <w:lang w:val="en-US" w:eastAsia="zh-CN" w:bidi="ar-SA"/>
    </w:rPr>
  </w:style>
  <w:style w:type="character" w:customStyle="1" w:styleId="243">
    <w:name w:val="图 Char1"/>
    <w:link w:val="244"/>
    <w:autoRedefine/>
    <w:qFormat/>
    <w:uiPriority w:val="0"/>
    <w:rPr>
      <w:rFonts w:cs="宋体"/>
    </w:rPr>
  </w:style>
  <w:style w:type="paragraph" w:customStyle="1" w:styleId="244">
    <w:name w:val="图"/>
    <w:basedOn w:val="1"/>
    <w:link w:val="243"/>
    <w:autoRedefine/>
    <w:qFormat/>
    <w:uiPriority w:val="0"/>
    <w:pPr>
      <w:widowControl/>
      <w:adjustRightInd w:val="0"/>
      <w:spacing w:line="240" w:lineRule="auto"/>
      <w:ind w:firstLine="0" w:firstLineChars="0"/>
      <w:jc w:val="center"/>
    </w:pPr>
    <w:rPr>
      <w:rFonts w:cs="宋体" w:asciiTheme="minorHAnsi" w:hAnsiTheme="minorHAnsi" w:eastAsiaTheme="minorEastAsia"/>
      <w:kern w:val="2"/>
      <w:sz w:val="21"/>
      <w:szCs w:val="22"/>
      <w:lang w:val="en-US"/>
    </w:rPr>
  </w:style>
  <w:style w:type="character" w:customStyle="1" w:styleId="245">
    <w:name w:val="表格名称 Char Char"/>
    <w:autoRedefine/>
    <w:qFormat/>
    <w:uiPriority w:val="0"/>
    <w:rPr>
      <w:rFonts w:eastAsia="宋体"/>
      <w:b/>
      <w:sz w:val="24"/>
      <w:szCs w:val="21"/>
      <w:lang w:val="en-US" w:eastAsia="zh-CN" w:bidi="ar-SA"/>
    </w:rPr>
  </w:style>
  <w:style w:type="character" w:customStyle="1" w:styleId="246">
    <w:name w:val="表格头 Char Char"/>
    <w:link w:val="247"/>
    <w:autoRedefine/>
    <w:qFormat/>
    <w:uiPriority w:val="0"/>
    <w:rPr>
      <w:b/>
      <w:bCs/>
      <w:kern w:val="44"/>
      <w:position w:val="-28"/>
      <w:sz w:val="24"/>
      <w:szCs w:val="24"/>
    </w:rPr>
  </w:style>
  <w:style w:type="paragraph" w:customStyle="1" w:styleId="247">
    <w:name w:val="表格头"/>
    <w:link w:val="246"/>
    <w:autoRedefine/>
    <w:qFormat/>
    <w:uiPriority w:val="0"/>
    <w:pPr>
      <w:spacing w:line="360" w:lineRule="auto"/>
      <w:jc w:val="center"/>
    </w:pPr>
    <w:rPr>
      <w:rFonts w:asciiTheme="minorHAnsi" w:hAnsiTheme="minorHAnsi" w:eastAsiaTheme="minorEastAsia" w:cstheme="minorBidi"/>
      <w:b/>
      <w:bCs/>
      <w:kern w:val="44"/>
      <w:position w:val="-28"/>
      <w:sz w:val="24"/>
      <w:szCs w:val="24"/>
      <w:lang w:val="en-US" w:eastAsia="zh-CN" w:bidi="ar-SA"/>
    </w:rPr>
  </w:style>
  <w:style w:type="character" w:customStyle="1" w:styleId="248">
    <w:name w:val="hps"/>
    <w:basedOn w:val="62"/>
    <w:autoRedefine/>
    <w:qFormat/>
    <w:uiPriority w:val="0"/>
  </w:style>
  <w:style w:type="character" w:customStyle="1" w:styleId="249">
    <w:name w:val="表头格式1 Char"/>
    <w:link w:val="250"/>
    <w:autoRedefine/>
    <w:semiHidden/>
    <w:qFormat/>
    <w:uiPriority w:val="0"/>
    <w:rPr>
      <w:rFonts w:hAnsi="宋体"/>
      <w:b/>
      <w:sz w:val="24"/>
      <w:szCs w:val="24"/>
    </w:rPr>
  </w:style>
  <w:style w:type="paragraph" w:customStyle="1" w:styleId="250">
    <w:name w:val="表头格式1"/>
    <w:basedOn w:val="1"/>
    <w:link w:val="249"/>
    <w:autoRedefine/>
    <w:semiHidden/>
    <w:qFormat/>
    <w:uiPriority w:val="0"/>
    <w:pPr>
      <w:widowControl/>
      <w:ind w:firstLine="420" w:firstLineChars="0"/>
      <w:jc w:val="center"/>
    </w:pPr>
    <w:rPr>
      <w:rFonts w:asciiTheme="minorHAnsi" w:eastAsiaTheme="minorEastAsia" w:cstheme="minorBidi"/>
      <w:b/>
      <w:kern w:val="2"/>
      <w:lang w:val="en-US"/>
    </w:rPr>
  </w:style>
  <w:style w:type="character" w:customStyle="1" w:styleId="251">
    <w:name w:val="标题三啊啊啊 Char Char"/>
    <w:autoRedefine/>
    <w:qFormat/>
    <w:uiPriority w:val="0"/>
    <w:rPr>
      <w:rFonts w:eastAsia="宋体"/>
      <w:b/>
      <w:bCs/>
      <w:color w:val="000000"/>
      <w:kern w:val="2"/>
      <w:sz w:val="24"/>
      <w:szCs w:val="24"/>
      <w:lang w:val="en-US" w:eastAsia="zh-CN" w:bidi="ar-SA"/>
    </w:rPr>
  </w:style>
  <w:style w:type="character" w:customStyle="1" w:styleId="252">
    <w:name w:val="正文文字缩进 Char Char"/>
    <w:autoRedefine/>
    <w:qFormat/>
    <w:uiPriority w:val="0"/>
    <w:rPr>
      <w:rFonts w:eastAsia="宋体"/>
      <w:kern w:val="2"/>
      <w:sz w:val="21"/>
      <w:szCs w:val="24"/>
      <w:lang w:val="en-US" w:eastAsia="zh-CN" w:bidi="ar-SA"/>
    </w:rPr>
  </w:style>
  <w:style w:type="character" w:customStyle="1" w:styleId="253">
    <w:name w:val="我的正文 Char"/>
    <w:autoRedefine/>
    <w:qFormat/>
    <w:uiPriority w:val="0"/>
    <w:rPr>
      <w:kern w:val="2"/>
      <w:sz w:val="24"/>
      <w:szCs w:val="24"/>
      <w:lang w:val="en-US" w:eastAsia="zh-CN" w:bidi="ar-SA"/>
    </w:rPr>
  </w:style>
  <w:style w:type="character" w:customStyle="1" w:styleId="254">
    <w:name w:val="表头 小四 加粗 Char"/>
    <w:link w:val="255"/>
    <w:autoRedefine/>
    <w:qFormat/>
    <w:uiPriority w:val="0"/>
    <w:rPr>
      <w:b/>
      <w:sz w:val="24"/>
      <w:szCs w:val="24"/>
    </w:rPr>
  </w:style>
  <w:style w:type="paragraph" w:customStyle="1" w:styleId="255">
    <w:name w:val="表头 小四 加粗"/>
    <w:basedOn w:val="1"/>
    <w:link w:val="254"/>
    <w:autoRedefine/>
    <w:qFormat/>
    <w:uiPriority w:val="0"/>
    <w:pPr>
      <w:widowControl/>
      <w:ind w:firstLine="0" w:firstLineChars="0"/>
      <w:jc w:val="center"/>
    </w:pPr>
    <w:rPr>
      <w:rFonts w:asciiTheme="minorHAnsi" w:hAnsiTheme="minorHAnsi" w:eastAsiaTheme="minorEastAsia" w:cstheme="minorBidi"/>
      <w:b/>
      <w:kern w:val="2"/>
      <w:lang w:val="en-US"/>
    </w:rPr>
  </w:style>
  <w:style w:type="character" w:customStyle="1" w:styleId="256">
    <w:name w:val="def"/>
    <w:basedOn w:val="62"/>
    <w:autoRedefine/>
    <w:qFormat/>
    <w:uiPriority w:val="0"/>
  </w:style>
  <w:style w:type="character" w:customStyle="1" w:styleId="257">
    <w:name w:val="正文文本缩进 2 Char1"/>
    <w:autoRedefine/>
    <w:semiHidden/>
    <w:qFormat/>
    <w:uiPriority w:val="0"/>
    <w:rPr>
      <w:kern w:val="2"/>
      <w:sz w:val="21"/>
      <w:szCs w:val="22"/>
    </w:rPr>
  </w:style>
  <w:style w:type="character" w:customStyle="1" w:styleId="258">
    <w:name w:val="正文首行缩进 2 + Times New Roman Char"/>
    <w:autoRedefine/>
    <w:qFormat/>
    <w:uiPriority w:val="0"/>
    <w:rPr>
      <w:rFonts w:ascii="Arial" w:hAnsi="Arial" w:eastAsia="宋体" w:cs="Arial"/>
      <w:bCs/>
      <w:spacing w:val="6"/>
      <w:sz w:val="24"/>
      <w:szCs w:val="24"/>
      <w:lang w:val="en-US" w:eastAsia="zh-CN" w:bidi="ar-SA"/>
    </w:rPr>
  </w:style>
  <w:style w:type="character" w:customStyle="1" w:styleId="259">
    <w:name w:val="font201"/>
    <w:autoRedefine/>
    <w:qFormat/>
    <w:uiPriority w:val="0"/>
  </w:style>
  <w:style w:type="character" w:customStyle="1" w:styleId="260">
    <w:name w:val="表格内文字（两端对齐） Char"/>
    <w:basedOn w:val="93"/>
    <w:autoRedefine/>
    <w:qFormat/>
    <w:uiPriority w:val="0"/>
    <w:rPr>
      <w:rFonts w:cs="宋体"/>
      <w:color w:val="000000"/>
      <w:sz w:val="21"/>
      <w:szCs w:val="21"/>
    </w:rPr>
  </w:style>
  <w:style w:type="character" w:customStyle="1" w:styleId="261">
    <w:name w:val="样式 标题 3 + (中文) 宋体 首行缩进:  2 字符 Char"/>
    <w:link w:val="262"/>
    <w:autoRedefine/>
    <w:qFormat/>
    <w:uiPriority w:val="0"/>
    <w:rPr>
      <w:rFonts w:cs="宋体"/>
      <w:b/>
      <w:bCs/>
      <w:sz w:val="28"/>
      <w:szCs w:val="28"/>
    </w:rPr>
  </w:style>
  <w:style w:type="paragraph" w:customStyle="1" w:styleId="262">
    <w:name w:val="样式 标题 3 + (中文) 宋体 首行缩进:  2 字符"/>
    <w:basedOn w:val="6"/>
    <w:link w:val="261"/>
    <w:autoRedefine/>
    <w:qFormat/>
    <w:uiPriority w:val="0"/>
    <w:pPr>
      <w:widowControl/>
      <w:numPr>
        <w:numId w:val="0"/>
      </w:numPr>
      <w:spacing w:after="0" w:afterLines="0" w:line="240" w:lineRule="auto"/>
    </w:pPr>
    <w:rPr>
      <w:rFonts w:cs="宋体" w:asciiTheme="minorHAnsi" w:hAnsiTheme="minorHAnsi" w:eastAsiaTheme="minorEastAsia"/>
      <w:bCs/>
      <w:kern w:val="2"/>
      <w:sz w:val="28"/>
      <w:szCs w:val="28"/>
      <w:lang w:val="en-US"/>
    </w:rPr>
  </w:style>
  <w:style w:type="character" w:customStyle="1" w:styleId="263">
    <w:name w:val="grame"/>
    <w:basedOn w:val="62"/>
    <w:autoRedefine/>
    <w:qFormat/>
    <w:uiPriority w:val="0"/>
  </w:style>
  <w:style w:type="character" w:customStyle="1" w:styleId="264">
    <w:name w:val="apple-style-span"/>
    <w:basedOn w:val="62"/>
    <w:autoRedefine/>
    <w:qFormat/>
    <w:uiPriority w:val="0"/>
  </w:style>
  <w:style w:type="character" w:customStyle="1" w:styleId="265">
    <w:name w:val="standard 3 Char"/>
    <w:autoRedefine/>
    <w:qFormat/>
    <w:uiPriority w:val="0"/>
    <w:rPr>
      <w:rFonts w:eastAsia="宋体"/>
      <w:b/>
      <w:bCs/>
      <w:kern w:val="2"/>
      <w:sz w:val="24"/>
      <w:szCs w:val="32"/>
      <w:lang w:val="en-US" w:eastAsia="zh-CN" w:bidi="ar-SA"/>
    </w:rPr>
  </w:style>
  <w:style w:type="character" w:customStyle="1" w:styleId="266">
    <w:name w:val="我的正文 Char Char"/>
    <w:link w:val="267"/>
    <w:autoRedefine/>
    <w:qFormat/>
    <w:uiPriority w:val="0"/>
    <w:rPr>
      <w:rFonts w:eastAsia="Times New Roman"/>
      <w:sz w:val="24"/>
      <w:szCs w:val="24"/>
    </w:rPr>
  </w:style>
  <w:style w:type="paragraph" w:customStyle="1" w:styleId="267">
    <w:name w:val="我的正文"/>
    <w:link w:val="266"/>
    <w:autoRedefine/>
    <w:qFormat/>
    <w:uiPriority w:val="0"/>
    <w:pPr>
      <w:spacing w:line="360" w:lineRule="auto"/>
      <w:ind w:firstLine="200" w:firstLineChars="200"/>
      <w:jc w:val="both"/>
    </w:pPr>
    <w:rPr>
      <w:rFonts w:eastAsia="Times New Roman" w:asciiTheme="minorHAnsi" w:hAnsiTheme="minorHAnsi" w:cstheme="minorBidi"/>
      <w:kern w:val="2"/>
      <w:sz w:val="24"/>
      <w:szCs w:val="24"/>
      <w:lang w:val="en-US" w:eastAsia="zh-CN" w:bidi="ar-SA"/>
    </w:rPr>
  </w:style>
  <w:style w:type="character" w:customStyle="1" w:styleId="268">
    <w:name w:val="Standard 2 Char"/>
    <w:autoRedefine/>
    <w:qFormat/>
    <w:uiPriority w:val="0"/>
    <w:rPr>
      <w:rFonts w:eastAsia="宋体"/>
      <w:b/>
      <w:bCs/>
      <w:kern w:val="2"/>
      <w:sz w:val="30"/>
      <w:szCs w:val="32"/>
      <w:lang w:val="en-US" w:eastAsia="zh-CN" w:bidi="ar-SA"/>
    </w:rPr>
  </w:style>
  <w:style w:type="character" w:customStyle="1" w:styleId="269">
    <w:name w:val="段落 Char Char"/>
    <w:link w:val="270"/>
    <w:autoRedefine/>
    <w:qFormat/>
    <w:uiPriority w:val="0"/>
    <w:rPr>
      <w:rFonts w:ascii="宋体" w:hAnsi="宋体"/>
      <w:sz w:val="24"/>
      <w:szCs w:val="24"/>
    </w:rPr>
  </w:style>
  <w:style w:type="paragraph" w:customStyle="1" w:styleId="270">
    <w:name w:val="段落"/>
    <w:basedOn w:val="1"/>
    <w:link w:val="269"/>
    <w:autoRedefine/>
    <w:qFormat/>
    <w:uiPriority w:val="0"/>
    <w:pPr>
      <w:widowControl/>
      <w:jc w:val="left"/>
    </w:pPr>
    <w:rPr>
      <w:rFonts w:ascii="宋体" w:eastAsiaTheme="minorEastAsia" w:cstheme="minorBidi"/>
      <w:kern w:val="2"/>
      <w:lang w:val="en-US"/>
    </w:rPr>
  </w:style>
  <w:style w:type="character" w:customStyle="1" w:styleId="271">
    <w:name w:val="zhang正文 Char Char"/>
    <w:link w:val="272"/>
    <w:autoRedefine/>
    <w:qFormat/>
    <w:uiPriority w:val="0"/>
    <w:rPr>
      <w:rFonts w:ascii="Calibri" w:hAnsi="Calibri" w:eastAsia="楷体_GB2312"/>
      <w:sz w:val="28"/>
    </w:rPr>
  </w:style>
  <w:style w:type="paragraph" w:customStyle="1" w:styleId="272">
    <w:name w:val="zhang正文"/>
    <w:basedOn w:val="27"/>
    <w:link w:val="271"/>
    <w:autoRedefine/>
    <w:qFormat/>
    <w:uiPriority w:val="0"/>
    <w:pPr>
      <w:autoSpaceDE w:val="0"/>
      <w:autoSpaceDN w:val="0"/>
      <w:adjustRightInd w:val="0"/>
      <w:snapToGrid w:val="0"/>
      <w:spacing w:after="0" w:line="500" w:lineRule="exact"/>
      <w:ind w:left="0" w:leftChars="0" w:firstLine="539" w:firstLineChars="0"/>
      <w:textAlignment w:val="baseline"/>
    </w:pPr>
    <w:rPr>
      <w:rFonts w:ascii="Calibri" w:hAnsi="Calibri" w:eastAsia="楷体_GB2312" w:cstheme="minorBidi"/>
      <w:sz w:val="28"/>
      <w:szCs w:val="22"/>
    </w:rPr>
  </w:style>
  <w:style w:type="character" w:customStyle="1" w:styleId="273">
    <w:name w:val="图表注 Char"/>
    <w:autoRedefine/>
    <w:qFormat/>
    <w:uiPriority w:val="0"/>
    <w:rPr>
      <w:rFonts w:ascii="Arial" w:hAnsi="Arial" w:eastAsia="黑体" w:cs="Arial"/>
      <w:kern w:val="2"/>
      <w:lang w:val="en-US" w:eastAsia="zh-CN" w:bidi="ar-SA"/>
    </w:rPr>
  </w:style>
  <w:style w:type="character" w:customStyle="1" w:styleId="274">
    <w:name w:val="标题1 Char1"/>
    <w:autoRedefine/>
    <w:qFormat/>
    <w:uiPriority w:val="0"/>
    <w:rPr>
      <w:rFonts w:ascii="Calibri" w:hAnsi="Calibri" w:eastAsia="宋体"/>
      <w:b/>
      <w:bCs/>
      <w:kern w:val="44"/>
      <w:sz w:val="44"/>
      <w:szCs w:val="44"/>
      <w:lang w:val="en-US" w:eastAsia="zh-CN" w:bidi="ar-SA"/>
    </w:rPr>
  </w:style>
  <w:style w:type="character" w:customStyle="1" w:styleId="275">
    <w:name w:val="3 三级标题 Char"/>
    <w:link w:val="276"/>
    <w:autoRedefine/>
    <w:qFormat/>
    <w:uiPriority w:val="0"/>
    <w:rPr>
      <w:b/>
      <w:sz w:val="24"/>
      <w:szCs w:val="24"/>
    </w:rPr>
  </w:style>
  <w:style w:type="paragraph" w:customStyle="1" w:styleId="276">
    <w:name w:val="3 三级标题"/>
    <w:basedOn w:val="1"/>
    <w:link w:val="275"/>
    <w:autoRedefine/>
    <w:qFormat/>
    <w:uiPriority w:val="0"/>
    <w:pPr>
      <w:widowControl/>
      <w:tabs>
        <w:tab w:val="left" w:pos="1980"/>
        <w:tab w:val="left" w:pos="3825"/>
        <w:tab w:val="left" w:pos="4680"/>
      </w:tabs>
      <w:spacing w:before="50" w:beforeLines="50" w:after="50" w:afterLines="50"/>
      <w:ind w:firstLine="0" w:firstLineChars="0"/>
      <w:jc w:val="left"/>
      <w:outlineLvl w:val="2"/>
    </w:pPr>
    <w:rPr>
      <w:rFonts w:asciiTheme="minorHAnsi" w:hAnsiTheme="minorHAnsi" w:eastAsiaTheme="minorEastAsia" w:cstheme="minorBidi"/>
      <w:b/>
      <w:kern w:val="2"/>
      <w:lang w:val="en-US"/>
    </w:rPr>
  </w:style>
  <w:style w:type="character" w:customStyle="1" w:styleId="277">
    <w:name w:val="表格 Char Char1"/>
    <w:link w:val="278"/>
    <w:autoRedefine/>
    <w:qFormat/>
    <w:uiPriority w:val="0"/>
    <w:rPr>
      <w:snapToGrid w:val="0"/>
      <w:sz w:val="24"/>
      <w:szCs w:val="24"/>
    </w:rPr>
  </w:style>
  <w:style w:type="paragraph" w:customStyle="1" w:styleId="278">
    <w:name w:val="表格 Char"/>
    <w:basedOn w:val="1"/>
    <w:link w:val="277"/>
    <w:autoRedefine/>
    <w:qFormat/>
    <w:uiPriority w:val="0"/>
    <w:pPr>
      <w:widowControl/>
      <w:adjustRightInd w:val="0"/>
      <w:snapToGrid w:val="0"/>
      <w:spacing w:line="240" w:lineRule="auto"/>
      <w:ind w:firstLine="0" w:firstLineChars="0"/>
      <w:jc w:val="center"/>
    </w:pPr>
    <w:rPr>
      <w:rFonts w:asciiTheme="minorHAnsi" w:hAnsiTheme="minorHAnsi" w:eastAsiaTheme="minorEastAsia" w:cstheme="minorBidi"/>
      <w:snapToGrid w:val="0"/>
      <w:kern w:val="2"/>
      <w:lang w:val="en-US"/>
    </w:rPr>
  </w:style>
  <w:style w:type="character" w:customStyle="1" w:styleId="279">
    <w:name w:val="四级章节 Char"/>
    <w:link w:val="280"/>
    <w:autoRedefine/>
    <w:qFormat/>
    <w:uiPriority w:val="0"/>
    <w:rPr>
      <w:rFonts w:ascii="宋体" w:hAnsi="宋体"/>
      <w:b/>
      <w:sz w:val="24"/>
      <w:szCs w:val="24"/>
    </w:rPr>
  </w:style>
  <w:style w:type="paragraph" w:customStyle="1" w:styleId="280">
    <w:name w:val="四级章节"/>
    <w:basedOn w:val="1"/>
    <w:link w:val="279"/>
    <w:autoRedefine/>
    <w:qFormat/>
    <w:uiPriority w:val="0"/>
    <w:pPr>
      <w:widowControl/>
      <w:ind w:firstLine="0" w:firstLineChars="0"/>
      <w:jc w:val="left"/>
      <w:outlineLvl w:val="3"/>
    </w:pPr>
    <w:rPr>
      <w:rFonts w:ascii="宋体" w:eastAsiaTheme="minorEastAsia" w:cstheme="minorBidi"/>
      <w:b/>
      <w:kern w:val="2"/>
      <w:lang w:val="en-US"/>
    </w:rPr>
  </w:style>
  <w:style w:type="character" w:customStyle="1" w:styleId="281">
    <w:name w:val="font21"/>
    <w:autoRedefine/>
    <w:qFormat/>
    <w:uiPriority w:val="0"/>
    <w:rPr>
      <w:rFonts w:hint="default" w:ascii="Times New Roman" w:hAnsi="Times New Roman" w:cs="Times New Roman"/>
      <w:color w:val="FF0000"/>
      <w:sz w:val="24"/>
      <w:szCs w:val="24"/>
      <w:u w:val="none"/>
      <w:vertAlign w:val="superscript"/>
    </w:rPr>
  </w:style>
  <w:style w:type="character" w:customStyle="1" w:styleId="282">
    <w:name w:val="样式 四号 首行缩进:  1.06 厘米 行距: 固定值 30 磅 Char"/>
    <w:link w:val="283"/>
    <w:autoRedefine/>
    <w:qFormat/>
    <w:uiPriority w:val="0"/>
    <w:rPr>
      <w:rFonts w:cs="宋体"/>
      <w:sz w:val="28"/>
    </w:rPr>
  </w:style>
  <w:style w:type="paragraph" w:customStyle="1" w:styleId="283">
    <w:name w:val="样式 四号 首行缩进:  1.06 厘米 行距: 固定值 30 磅"/>
    <w:basedOn w:val="1"/>
    <w:link w:val="282"/>
    <w:autoRedefine/>
    <w:qFormat/>
    <w:uiPriority w:val="0"/>
    <w:pPr>
      <w:widowControl/>
      <w:spacing w:line="600" w:lineRule="exact"/>
      <w:ind w:firstLine="601" w:firstLineChars="0"/>
      <w:jc w:val="left"/>
    </w:pPr>
    <w:rPr>
      <w:rFonts w:cs="宋体" w:asciiTheme="minorHAnsi" w:hAnsiTheme="minorHAnsi" w:eastAsiaTheme="minorEastAsia"/>
      <w:kern w:val="2"/>
      <w:sz w:val="28"/>
      <w:szCs w:val="22"/>
      <w:lang w:val="en-US"/>
    </w:rPr>
  </w:style>
  <w:style w:type="character" w:customStyle="1" w:styleId="284">
    <w:name w:val="正文（首行缩进两字） Char2"/>
    <w:autoRedefine/>
    <w:qFormat/>
    <w:uiPriority w:val="0"/>
    <w:rPr>
      <w:rFonts w:ascii="宋体" w:hAnsi="宋体" w:eastAsia="宋体"/>
      <w:color w:val="000000"/>
      <w:kern w:val="2"/>
      <w:sz w:val="21"/>
      <w:lang w:val="en-US" w:eastAsia="zh-CN" w:bidi="ar-SA"/>
    </w:rPr>
  </w:style>
  <w:style w:type="character" w:customStyle="1" w:styleId="285">
    <w:name w:val="表格内文字 Char Char"/>
    <w:autoRedefine/>
    <w:qFormat/>
    <w:uiPriority w:val="0"/>
    <w:rPr>
      <w:rFonts w:hAnsi="宋体" w:eastAsia="宋体"/>
      <w:color w:val="000000"/>
      <w:sz w:val="21"/>
      <w:szCs w:val="21"/>
      <w:lang w:val="en-US" w:eastAsia="zh-CN" w:bidi="ar-SA"/>
    </w:rPr>
  </w:style>
  <w:style w:type="character" w:customStyle="1" w:styleId="286">
    <w:name w:val="表 Char Char"/>
    <w:link w:val="287"/>
    <w:autoRedefine/>
    <w:qFormat/>
    <w:uiPriority w:val="99"/>
    <w:rPr>
      <w:szCs w:val="24"/>
    </w:rPr>
  </w:style>
  <w:style w:type="paragraph" w:customStyle="1" w:styleId="287">
    <w:name w:val="表"/>
    <w:basedOn w:val="43"/>
    <w:link w:val="286"/>
    <w:autoRedefine/>
    <w:qFormat/>
    <w:uiPriority w:val="99"/>
    <w:pPr>
      <w:keepNext/>
      <w:keepLines/>
      <w:spacing w:before="60" w:after="60" w:line="240" w:lineRule="exact"/>
      <w:ind w:left="0" w:firstLine="0" w:firstLineChars="0"/>
      <w:jc w:val="center"/>
    </w:pPr>
    <w:rPr>
      <w:rFonts w:asciiTheme="minorHAnsi" w:hAnsiTheme="minorHAnsi" w:eastAsiaTheme="minorEastAsia" w:cstheme="minorBidi"/>
      <w:kern w:val="2"/>
      <w:sz w:val="21"/>
    </w:rPr>
  </w:style>
  <w:style w:type="character" w:customStyle="1" w:styleId="288">
    <w:name w:val="正文首行缩进 2 + Times New Roman Char Char"/>
    <w:link w:val="289"/>
    <w:autoRedefine/>
    <w:qFormat/>
    <w:uiPriority w:val="0"/>
    <w:rPr>
      <w:rFonts w:ascii="Arial" w:hAnsi="Arial" w:cs="Arial"/>
      <w:bCs/>
      <w:spacing w:val="6"/>
      <w:szCs w:val="21"/>
    </w:rPr>
  </w:style>
  <w:style w:type="paragraph" w:customStyle="1" w:styleId="289">
    <w:name w:val="正文首行缩进 2 + Times New Roman"/>
    <w:basedOn w:val="1"/>
    <w:link w:val="288"/>
    <w:autoRedefine/>
    <w:qFormat/>
    <w:uiPriority w:val="0"/>
    <w:pPr>
      <w:widowControl/>
      <w:tabs>
        <w:tab w:val="left" w:pos="0"/>
        <w:tab w:val="left" w:pos="720"/>
        <w:tab w:val="left" w:pos="870"/>
        <w:tab w:val="left" w:pos="3150"/>
      </w:tabs>
      <w:autoSpaceDE w:val="0"/>
      <w:autoSpaceDN w:val="0"/>
      <w:ind w:firstLine="444"/>
      <w:jc w:val="left"/>
    </w:pPr>
    <w:rPr>
      <w:rFonts w:ascii="Arial" w:hAnsi="Arial" w:cs="Arial" w:eastAsiaTheme="minorEastAsia"/>
      <w:bCs/>
      <w:spacing w:val="6"/>
      <w:kern w:val="2"/>
      <w:sz w:val="21"/>
      <w:szCs w:val="21"/>
      <w:lang w:val="en-US"/>
    </w:rPr>
  </w:style>
  <w:style w:type="character" w:customStyle="1" w:styleId="290">
    <w:name w:val="样式1 Char"/>
    <w:link w:val="291"/>
    <w:autoRedefine/>
    <w:qFormat/>
    <w:uiPriority w:val="0"/>
    <w:rPr>
      <w:rFonts w:ascii="Arial" w:hAnsi="Arial"/>
      <w:sz w:val="24"/>
      <w:szCs w:val="24"/>
    </w:rPr>
  </w:style>
  <w:style w:type="paragraph" w:customStyle="1" w:styleId="291">
    <w:name w:val="样式1"/>
    <w:basedOn w:val="1"/>
    <w:link w:val="290"/>
    <w:autoRedefine/>
    <w:qFormat/>
    <w:uiPriority w:val="0"/>
    <w:pPr>
      <w:widowControl/>
      <w:spacing w:line="500" w:lineRule="exact"/>
      <w:ind w:firstLine="200"/>
      <w:jc w:val="left"/>
    </w:pPr>
    <w:rPr>
      <w:rFonts w:ascii="Arial" w:hAnsi="Arial" w:eastAsiaTheme="minorEastAsia" w:cstheme="minorBidi"/>
      <w:kern w:val="2"/>
      <w:lang w:val="en-US"/>
    </w:rPr>
  </w:style>
  <w:style w:type="character" w:customStyle="1" w:styleId="292">
    <w:name w:val="表头[858D7CFB-ED40-4347-BF05-701D383B685F]"/>
    <w:autoRedefine/>
    <w:qFormat/>
    <w:uiPriority w:val="0"/>
    <w:rPr>
      <w:rFonts w:ascii="黑体" w:hAnsi="黑体" w:eastAsia="黑体"/>
      <w:lang w:bidi="ar-SA"/>
    </w:rPr>
  </w:style>
  <w:style w:type="character" w:customStyle="1" w:styleId="293">
    <w:name w:val="段落 Char"/>
    <w:autoRedefine/>
    <w:qFormat/>
    <w:uiPriority w:val="0"/>
    <w:rPr>
      <w:rFonts w:ascii="宋体" w:hAnsi="宋体" w:eastAsia="宋体"/>
      <w:kern w:val="2"/>
      <w:sz w:val="24"/>
      <w:szCs w:val="24"/>
      <w:lang w:val="en-US" w:eastAsia="zh-CN" w:bidi="ar-SA"/>
    </w:rPr>
  </w:style>
  <w:style w:type="character" w:customStyle="1" w:styleId="294">
    <w:name w:val="font11"/>
    <w:autoRedefine/>
    <w:qFormat/>
    <w:uiPriority w:val="0"/>
    <w:rPr>
      <w:rFonts w:hint="default" w:ascii="Times New Roman" w:hAnsi="Times New Roman" w:cs="Times New Roman"/>
      <w:color w:val="FF0000"/>
      <w:sz w:val="24"/>
      <w:szCs w:val="24"/>
      <w:u w:val="none"/>
    </w:rPr>
  </w:style>
  <w:style w:type="character" w:customStyle="1" w:styleId="295">
    <w:name w:val="样式 加宽量  0.4 磅"/>
    <w:autoRedefine/>
    <w:qFormat/>
    <w:uiPriority w:val="0"/>
    <w:rPr>
      <w:spacing w:val="8"/>
      <w:sz w:val="24"/>
    </w:rPr>
  </w:style>
  <w:style w:type="character" w:customStyle="1" w:styleId="296">
    <w:name w:val="公式编号 Char"/>
    <w:link w:val="297"/>
    <w:autoRedefine/>
    <w:qFormat/>
    <w:uiPriority w:val="0"/>
    <w:rPr>
      <w:rFonts w:cs="宋体"/>
      <w:szCs w:val="24"/>
    </w:rPr>
  </w:style>
  <w:style w:type="paragraph" w:customStyle="1" w:styleId="297">
    <w:name w:val="公式编号"/>
    <w:basedOn w:val="1"/>
    <w:link w:val="296"/>
    <w:autoRedefine/>
    <w:qFormat/>
    <w:uiPriority w:val="0"/>
    <w:pPr>
      <w:widowControl/>
      <w:spacing w:line="240" w:lineRule="auto"/>
      <w:ind w:firstLine="200" w:firstLineChars="0"/>
      <w:jc w:val="right"/>
    </w:pPr>
    <w:rPr>
      <w:rFonts w:cs="宋体" w:asciiTheme="minorHAnsi" w:hAnsiTheme="minorHAnsi" w:eastAsiaTheme="minorEastAsia"/>
      <w:kern w:val="2"/>
      <w:sz w:val="21"/>
      <w:lang w:val="en-US"/>
    </w:rPr>
  </w:style>
  <w:style w:type="character" w:customStyle="1" w:styleId="298">
    <w:name w:val="style61"/>
    <w:autoRedefine/>
    <w:qFormat/>
    <w:uiPriority w:val="0"/>
    <w:rPr>
      <w:sz w:val="20"/>
      <w:szCs w:val="20"/>
    </w:rPr>
  </w:style>
  <w:style w:type="character" w:customStyle="1" w:styleId="299">
    <w:name w:val="报告书正文 Char Char Char Char Char Char Char Char Char Char"/>
    <w:link w:val="300"/>
    <w:autoRedefine/>
    <w:qFormat/>
    <w:uiPriority w:val="0"/>
    <w:rPr>
      <w:color w:val="000000"/>
      <w:sz w:val="24"/>
      <w:szCs w:val="24"/>
    </w:rPr>
  </w:style>
  <w:style w:type="paragraph" w:customStyle="1" w:styleId="300">
    <w:name w:val="报告书正文"/>
    <w:basedOn w:val="1"/>
    <w:link w:val="299"/>
    <w:autoRedefine/>
    <w:qFormat/>
    <w:uiPriority w:val="0"/>
    <w:pPr>
      <w:widowControl/>
      <w:spacing w:line="300" w:lineRule="auto"/>
      <w:jc w:val="left"/>
    </w:pPr>
    <w:rPr>
      <w:rFonts w:asciiTheme="minorHAnsi" w:hAnsiTheme="minorHAnsi" w:eastAsiaTheme="minorEastAsia" w:cstheme="minorBidi"/>
      <w:color w:val="000000"/>
      <w:kern w:val="2"/>
      <w:lang w:val="en-US"/>
    </w:rPr>
  </w:style>
  <w:style w:type="character" w:customStyle="1" w:styleId="301">
    <w:name w:val="style11"/>
    <w:autoRedefine/>
    <w:qFormat/>
    <w:uiPriority w:val="0"/>
    <w:rPr>
      <w:color w:val="000000"/>
    </w:rPr>
  </w:style>
  <w:style w:type="character" w:customStyle="1" w:styleId="302">
    <w:name w:val="T正文 Char Char"/>
    <w:link w:val="303"/>
    <w:autoRedefine/>
    <w:qFormat/>
    <w:uiPriority w:val="0"/>
    <w:rPr>
      <w:rFonts w:eastAsia="仿宋_GB2312"/>
      <w:sz w:val="28"/>
    </w:rPr>
  </w:style>
  <w:style w:type="paragraph" w:customStyle="1" w:styleId="303">
    <w:name w:val="T正文"/>
    <w:link w:val="302"/>
    <w:autoRedefine/>
    <w:qFormat/>
    <w:uiPriority w:val="0"/>
    <w:pPr>
      <w:widowControl w:val="0"/>
      <w:adjustRightInd w:val="0"/>
      <w:snapToGrid w:val="0"/>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character" w:customStyle="1" w:styleId="304">
    <w:name w:val="1 一级标题 Char"/>
    <w:link w:val="305"/>
    <w:autoRedefine/>
    <w:qFormat/>
    <w:uiPriority w:val="0"/>
    <w:rPr>
      <w:b/>
      <w:sz w:val="36"/>
      <w:szCs w:val="36"/>
    </w:rPr>
  </w:style>
  <w:style w:type="paragraph" w:customStyle="1" w:styleId="305">
    <w:name w:val="1 一级标题"/>
    <w:basedOn w:val="1"/>
    <w:link w:val="304"/>
    <w:autoRedefine/>
    <w:qFormat/>
    <w:uiPriority w:val="0"/>
    <w:pPr>
      <w:widowControl/>
      <w:spacing w:before="300" w:after="300"/>
      <w:ind w:firstLine="200"/>
      <w:jc w:val="center"/>
    </w:pPr>
    <w:rPr>
      <w:rFonts w:asciiTheme="minorHAnsi" w:hAnsiTheme="minorHAnsi" w:eastAsiaTheme="minorEastAsia" w:cstheme="minorBidi"/>
      <w:b/>
      <w:kern w:val="2"/>
      <w:sz w:val="36"/>
      <w:szCs w:val="36"/>
      <w:lang w:val="en-US"/>
    </w:rPr>
  </w:style>
  <w:style w:type="character" w:customStyle="1" w:styleId="306">
    <w:name w:val="审批登记表 Char"/>
    <w:link w:val="307"/>
    <w:autoRedefine/>
    <w:qFormat/>
    <w:uiPriority w:val="0"/>
    <w:rPr>
      <w:rFonts w:ascii="宋体" w:hAnsi="宋体" w:cs="宋体"/>
      <w:sz w:val="18"/>
    </w:rPr>
  </w:style>
  <w:style w:type="paragraph" w:customStyle="1" w:styleId="307">
    <w:name w:val="审批登记表"/>
    <w:basedOn w:val="1"/>
    <w:link w:val="306"/>
    <w:autoRedefine/>
    <w:qFormat/>
    <w:uiPriority w:val="0"/>
    <w:pPr>
      <w:widowControl/>
      <w:spacing w:line="240" w:lineRule="exact"/>
      <w:ind w:firstLine="0" w:firstLineChars="0"/>
      <w:jc w:val="center"/>
    </w:pPr>
    <w:rPr>
      <w:rFonts w:ascii="宋体" w:cs="宋体" w:eastAsiaTheme="minorEastAsia"/>
      <w:kern w:val="2"/>
      <w:sz w:val="18"/>
      <w:szCs w:val="22"/>
      <w:lang w:val="en-US"/>
    </w:rPr>
  </w:style>
  <w:style w:type="character" w:customStyle="1" w:styleId="308">
    <w:name w:val="正文格式 Char"/>
    <w:link w:val="309"/>
    <w:autoRedefine/>
    <w:qFormat/>
    <w:uiPriority w:val="0"/>
    <w:rPr>
      <w:sz w:val="24"/>
      <w:szCs w:val="24"/>
    </w:rPr>
  </w:style>
  <w:style w:type="paragraph" w:customStyle="1" w:styleId="309">
    <w:name w:val="正文格式"/>
    <w:basedOn w:val="1"/>
    <w:link w:val="308"/>
    <w:autoRedefine/>
    <w:qFormat/>
    <w:uiPriority w:val="0"/>
    <w:pPr>
      <w:widowControl/>
      <w:ind w:firstLine="200"/>
      <w:jc w:val="left"/>
    </w:pPr>
    <w:rPr>
      <w:rFonts w:asciiTheme="minorHAnsi" w:hAnsiTheme="minorHAnsi" w:eastAsiaTheme="minorEastAsia" w:cstheme="minorBidi"/>
      <w:kern w:val="2"/>
      <w:lang w:val="en-US"/>
    </w:rPr>
  </w:style>
  <w:style w:type="character" w:customStyle="1" w:styleId="310">
    <w:name w:val="表格名称 Char Char Char"/>
    <w:autoRedefine/>
    <w:qFormat/>
    <w:uiPriority w:val="0"/>
    <w:rPr>
      <w:rFonts w:eastAsia="宋体"/>
      <w:b/>
      <w:sz w:val="21"/>
      <w:szCs w:val="24"/>
      <w:lang w:val="en-US" w:eastAsia="zh-CN" w:bidi="ar-SA"/>
    </w:rPr>
  </w:style>
  <w:style w:type="character" w:customStyle="1" w:styleId="311">
    <w:name w:val="参考文献 Char Char"/>
    <w:autoRedefine/>
    <w:qFormat/>
    <w:uiPriority w:val="0"/>
    <w:rPr>
      <w:rFonts w:cs="宋体"/>
      <w:bCs/>
      <w:vanish/>
      <w:sz w:val="21"/>
      <w:szCs w:val="24"/>
      <w:lang w:val="en-US" w:eastAsia="zh-CN" w:bidi="ar-SA"/>
    </w:rPr>
  </w:style>
  <w:style w:type="character" w:customStyle="1" w:styleId="312">
    <w:name w:val="表中正文 Char"/>
    <w:link w:val="313"/>
    <w:autoRedefine/>
    <w:qFormat/>
    <w:uiPriority w:val="0"/>
    <w:rPr>
      <w:rFonts w:ascii="宋体"/>
      <w:szCs w:val="21"/>
    </w:rPr>
  </w:style>
  <w:style w:type="paragraph" w:customStyle="1" w:styleId="313">
    <w:name w:val="表中正文"/>
    <w:basedOn w:val="1"/>
    <w:link w:val="312"/>
    <w:autoRedefine/>
    <w:qFormat/>
    <w:uiPriority w:val="0"/>
    <w:pPr>
      <w:widowControl/>
      <w:autoSpaceDE w:val="0"/>
      <w:autoSpaceDN w:val="0"/>
      <w:adjustRightInd w:val="0"/>
      <w:snapToGrid w:val="0"/>
      <w:spacing w:line="300" w:lineRule="exact"/>
      <w:ind w:firstLine="0" w:firstLineChars="0"/>
      <w:jc w:val="center"/>
    </w:pPr>
    <w:rPr>
      <w:rFonts w:ascii="宋体" w:hAnsiTheme="minorHAnsi" w:eastAsiaTheme="minorEastAsia" w:cstheme="minorBidi"/>
      <w:kern w:val="2"/>
      <w:sz w:val="21"/>
      <w:szCs w:val="21"/>
      <w:lang w:val="en-US"/>
    </w:rPr>
  </w:style>
  <w:style w:type="character" w:customStyle="1" w:styleId="314">
    <w:name w:val="1正文 Char"/>
    <w:link w:val="315"/>
    <w:autoRedefine/>
    <w:qFormat/>
    <w:uiPriority w:val="0"/>
    <w:rPr>
      <w:sz w:val="24"/>
      <w:szCs w:val="24"/>
    </w:rPr>
  </w:style>
  <w:style w:type="paragraph" w:customStyle="1" w:styleId="315">
    <w:name w:val="1正文"/>
    <w:basedOn w:val="1"/>
    <w:link w:val="314"/>
    <w:autoRedefine/>
    <w:qFormat/>
    <w:uiPriority w:val="0"/>
    <w:pPr>
      <w:widowControl/>
      <w:adjustRightInd w:val="0"/>
      <w:snapToGrid w:val="0"/>
      <w:ind w:firstLine="284" w:firstLineChars="0"/>
      <w:jc w:val="left"/>
    </w:pPr>
    <w:rPr>
      <w:rFonts w:asciiTheme="minorHAnsi" w:hAnsiTheme="minorHAnsi" w:eastAsiaTheme="minorEastAsia" w:cstheme="minorBidi"/>
      <w:kern w:val="2"/>
      <w:lang w:val="en-US"/>
    </w:rPr>
  </w:style>
  <w:style w:type="character" w:customStyle="1" w:styleId="316">
    <w:name w:val="表格内文字（两端对齐） Char Char"/>
    <w:link w:val="317"/>
    <w:autoRedefine/>
    <w:qFormat/>
    <w:uiPriority w:val="0"/>
    <w:rPr>
      <w:rFonts w:cs="宋体"/>
      <w:color w:val="000000"/>
      <w:szCs w:val="21"/>
    </w:rPr>
  </w:style>
  <w:style w:type="paragraph" w:customStyle="1" w:styleId="317">
    <w:name w:val="表格内文字（两端对齐）"/>
    <w:basedOn w:val="1"/>
    <w:link w:val="316"/>
    <w:autoRedefine/>
    <w:qFormat/>
    <w:uiPriority w:val="0"/>
    <w:pPr>
      <w:widowControl/>
      <w:tabs>
        <w:tab w:val="left" w:pos="3825"/>
        <w:tab w:val="left" w:pos="4680"/>
      </w:tabs>
      <w:spacing w:line="240" w:lineRule="auto"/>
      <w:ind w:firstLine="0" w:firstLineChars="0"/>
      <w:jc w:val="left"/>
    </w:pPr>
    <w:rPr>
      <w:rFonts w:cs="宋体" w:asciiTheme="minorHAnsi" w:hAnsiTheme="minorHAnsi" w:eastAsiaTheme="minorEastAsia"/>
      <w:color w:val="000000"/>
      <w:kern w:val="2"/>
      <w:sz w:val="21"/>
      <w:szCs w:val="21"/>
      <w:lang w:val="en-US"/>
    </w:rPr>
  </w:style>
  <w:style w:type="character" w:customStyle="1" w:styleId="318">
    <w:name w:val="5 正文 Char Char"/>
    <w:link w:val="319"/>
    <w:autoRedefine/>
    <w:qFormat/>
    <w:uiPriority w:val="0"/>
    <w:rPr>
      <w:rFonts w:ascii="宋体" w:hAnsi="宋体"/>
      <w:sz w:val="24"/>
      <w:szCs w:val="24"/>
    </w:rPr>
  </w:style>
  <w:style w:type="paragraph" w:customStyle="1" w:styleId="319">
    <w:name w:val="5 正文"/>
    <w:basedOn w:val="1"/>
    <w:link w:val="318"/>
    <w:autoRedefine/>
    <w:qFormat/>
    <w:uiPriority w:val="0"/>
    <w:pPr>
      <w:widowControl/>
      <w:tabs>
        <w:tab w:val="left" w:pos="1980"/>
        <w:tab w:val="left" w:pos="3825"/>
        <w:tab w:val="left" w:pos="4680"/>
      </w:tabs>
      <w:jc w:val="left"/>
    </w:pPr>
    <w:rPr>
      <w:rFonts w:ascii="宋体" w:eastAsiaTheme="minorEastAsia" w:cstheme="minorBidi"/>
      <w:kern w:val="2"/>
      <w:lang w:val="en-US"/>
    </w:rPr>
  </w:style>
  <w:style w:type="character" w:customStyle="1" w:styleId="320">
    <w:name w:val="审批登记表 Char Char"/>
    <w:autoRedefine/>
    <w:qFormat/>
    <w:uiPriority w:val="0"/>
    <w:rPr>
      <w:rFonts w:ascii="宋体" w:hAnsi="宋体" w:eastAsia="宋体" w:cs="宋体"/>
      <w:kern w:val="2"/>
      <w:sz w:val="18"/>
      <w:lang w:val="en-US" w:eastAsia="zh-CN" w:bidi="ar-SA"/>
    </w:rPr>
  </w:style>
  <w:style w:type="character" w:customStyle="1" w:styleId="321">
    <w:name w:val="图表标题 Char"/>
    <w:link w:val="322"/>
    <w:autoRedefine/>
    <w:qFormat/>
    <w:uiPriority w:val="0"/>
    <w:rPr>
      <w:rFonts w:ascii="宋体" w:hAnsi="宋体"/>
      <w:b/>
      <w:sz w:val="24"/>
      <w:szCs w:val="24"/>
    </w:rPr>
  </w:style>
  <w:style w:type="paragraph" w:customStyle="1" w:styleId="322">
    <w:name w:val="图表标题"/>
    <w:basedOn w:val="1"/>
    <w:link w:val="321"/>
    <w:autoRedefine/>
    <w:qFormat/>
    <w:uiPriority w:val="0"/>
    <w:pPr>
      <w:widowControl/>
      <w:spacing w:line="480" w:lineRule="auto"/>
      <w:ind w:firstLine="0" w:firstLineChars="0"/>
      <w:jc w:val="center"/>
      <w:outlineLvl w:val="4"/>
    </w:pPr>
    <w:rPr>
      <w:rFonts w:ascii="宋体" w:eastAsiaTheme="minorEastAsia" w:cstheme="minorBidi"/>
      <w:b/>
      <w:kern w:val="2"/>
      <w:lang w:val="en-US"/>
    </w:rPr>
  </w:style>
  <w:style w:type="character" w:customStyle="1" w:styleId="323">
    <w:name w:val="参考文献 Char"/>
    <w:link w:val="324"/>
    <w:autoRedefine/>
    <w:qFormat/>
    <w:uiPriority w:val="0"/>
    <w:rPr>
      <w:rFonts w:eastAsia="Times New Roman" w:cs="宋体"/>
      <w:bCs/>
      <w:vanish/>
      <w:szCs w:val="24"/>
    </w:rPr>
  </w:style>
  <w:style w:type="paragraph" w:customStyle="1" w:styleId="324">
    <w:name w:val="参考文献"/>
    <w:link w:val="323"/>
    <w:autoRedefine/>
    <w:qFormat/>
    <w:uiPriority w:val="0"/>
    <w:pPr>
      <w:tabs>
        <w:tab w:val="left" w:pos="550"/>
      </w:tabs>
      <w:spacing w:before="60" w:line="340" w:lineRule="exact"/>
      <w:jc w:val="both"/>
    </w:pPr>
    <w:rPr>
      <w:rFonts w:eastAsia="Times New Roman" w:cs="宋体" w:asciiTheme="minorHAnsi" w:hAnsiTheme="minorHAnsi"/>
      <w:bCs/>
      <w:vanish/>
      <w:kern w:val="2"/>
      <w:sz w:val="21"/>
      <w:szCs w:val="24"/>
      <w:lang w:val="en-US" w:eastAsia="zh-CN" w:bidi="ar-SA"/>
    </w:rPr>
  </w:style>
  <w:style w:type="character" w:customStyle="1" w:styleId="325">
    <w:name w:val="表头 Char Char"/>
    <w:autoRedefine/>
    <w:qFormat/>
    <w:uiPriority w:val="0"/>
    <w:rPr>
      <w:rFonts w:eastAsia="黑体"/>
      <w:spacing w:val="10"/>
      <w:sz w:val="28"/>
      <w:lang w:val="en-US" w:eastAsia="zh-CN" w:bidi="ar-SA"/>
    </w:rPr>
  </w:style>
  <w:style w:type="character" w:customStyle="1" w:styleId="326">
    <w:name w:val="正文 Char"/>
    <w:link w:val="327"/>
    <w:autoRedefine/>
    <w:qFormat/>
    <w:uiPriority w:val="0"/>
    <w:rPr>
      <w:rFonts w:hAnsi="宋体"/>
      <w:sz w:val="24"/>
      <w:szCs w:val="24"/>
    </w:rPr>
  </w:style>
  <w:style w:type="paragraph" w:customStyle="1" w:styleId="327">
    <w:name w:val="正文1"/>
    <w:basedOn w:val="1"/>
    <w:link w:val="326"/>
    <w:autoRedefine/>
    <w:qFormat/>
    <w:uiPriority w:val="0"/>
    <w:pPr>
      <w:widowControl/>
      <w:jc w:val="left"/>
    </w:pPr>
    <w:rPr>
      <w:rFonts w:asciiTheme="minorHAnsi" w:eastAsiaTheme="minorEastAsia" w:cstheme="minorBidi"/>
      <w:kern w:val="2"/>
      <w:lang w:val="en-US"/>
    </w:rPr>
  </w:style>
  <w:style w:type="character" w:customStyle="1" w:styleId="328">
    <w:name w:val="font01"/>
    <w:autoRedefine/>
    <w:qFormat/>
    <w:uiPriority w:val="0"/>
    <w:rPr>
      <w:rFonts w:hint="default" w:ascii="Times New Roman" w:hAnsi="Times New Roman" w:cs="Times New Roman"/>
      <w:color w:val="000000"/>
      <w:sz w:val="20"/>
      <w:szCs w:val="20"/>
      <w:u w:val="none"/>
    </w:rPr>
  </w:style>
  <w:style w:type="character" w:customStyle="1" w:styleId="329">
    <w:name w:val="表格文字（241） Char"/>
    <w:link w:val="330"/>
    <w:autoRedefine/>
    <w:qFormat/>
    <w:uiPriority w:val="0"/>
    <w:rPr>
      <w:bCs/>
      <w:szCs w:val="21"/>
    </w:rPr>
  </w:style>
  <w:style w:type="paragraph" w:customStyle="1" w:styleId="330">
    <w:name w:val="表格文字（241）"/>
    <w:basedOn w:val="1"/>
    <w:link w:val="329"/>
    <w:autoRedefine/>
    <w:qFormat/>
    <w:uiPriority w:val="0"/>
    <w:pPr>
      <w:widowControl/>
      <w:autoSpaceDE w:val="0"/>
      <w:autoSpaceDN w:val="0"/>
      <w:adjustRightInd w:val="0"/>
      <w:spacing w:line="240" w:lineRule="auto"/>
      <w:ind w:firstLine="0" w:firstLineChars="0"/>
      <w:jc w:val="center"/>
      <w:textAlignment w:val="baseline"/>
    </w:pPr>
    <w:rPr>
      <w:rFonts w:asciiTheme="minorHAnsi" w:hAnsiTheme="minorHAnsi" w:eastAsiaTheme="minorEastAsia" w:cstheme="minorBidi"/>
      <w:bCs/>
      <w:kern w:val="2"/>
      <w:sz w:val="21"/>
      <w:szCs w:val="21"/>
      <w:lang w:val="en-US"/>
    </w:rPr>
  </w:style>
  <w:style w:type="character" w:customStyle="1" w:styleId="331">
    <w:name w:val="5文章(治) Char"/>
    <w:autoRedefine/>
    <w:qFormat/>
    <w:uiPriority w:val="0"/>
    <w:rPr>
      <w:rFonts w:eastAsia="宋体"/>
      <w:kern w:val="2"/>
      <w:sz w:val="24"/>
      <w:lang w:val="en-US" w:eastAsia="zh-CN" w:bidi="ar-SA"/>
    </w:rPr>
  </w:style>
  <w:style w:type="character" w:customStyle="1" w:styleId="332">
    <w:name w:val="5文章 Char"/>
    <w:link w:val="333"/>
    <w:autoRedefine/>
    <w:qFormat/>
    <w:uiPriority w:val="0"/>
    <w:rPr>
      <w:rFonts w:ascii="Arial" w:hAnsi="Arial" w:cs="Tahoma"/>
      <w:sz w:val="24"/>
      <w:szCs w:val="21"/>
    </w:rPr>
  </w:style>
  <w:style w:type="paragraph" w:customStyle="1" w:styleId="333">
    <w:name w:val="5文章"/>
    <w:basedOn w:val="1"/>
    <w:link w:val="332"/>
    <w:autoRedefine/>
    <w:qFormat/>
    <w:uiPriority w:val="0"/>
    <w:pPr>
      <w:widowControl/>
      <w:jc w:val="left"/>
    </w:pPr>
    <w:rPr>
      <w:rFonts w:ascii="Arial" w:hAnsi="Arial" w:cs="Tahoma" w:eastAsiaTheme="minorEastAsia"/>
      <w:kern w:val="2"/>
      <w:szCs w:val="21"/>
      <w:lang w:val="en-US"/>
    </w:rPr>
  </w:style>
  <w:style w:type="character" w:customStyle="1" w:styleId="334">
    <w:name w:val="段落1 Char Char1"/>
    <w:link w:val="335"/>
    <w:autoRedefine/>
    <w:qFormat/>
    <w:uiPriority w:val="0"/>
    <w:rPr>
      <w:spacing w:val="8"/>
      <w:sz w:val="24"/>
    </w:rPr>
  </w:style>
  <w:style w:type="paragraph" w:customStyle="1" w:styleId="335">
    <w:name w:val="段落1 Char"/>
    <w:basedOn w:val="1"/>
    <w:link w:val="334"/>
    <w:autoRedefine/>
    <w:qFormat/>
    <w:uiPriority w:val="0"/>
    <w:pPr>
      <w:widowControl/>
      <w:adjustRightInd w:val="0"/>
      <w:spacing w:line="440" w:lineRule="exact"/>
      <w:jc w:val="left"/>
    </w:pPr>
    <w:rPr>
      <w:rFonts w:asciiTheme="minorHAnsi" w:hAnsiTheme="minorHAnsi" w:eastAsiaTheme="minorEastAsia" w:cstheme="minorBidi"/>
      <w:spacing w:val="8"/>
      <w:kern w:val="2"/>
      <w:szCs w:val="22"/>
      <w:lang w:val="en-US"/>
    </w:rPr>
  </w:style>
  <w:style w:type="character" w:customStyle="1" w:styleId="336">
    <w:name w:val="表格 Char Char"/>
    <w:autoRedefine/>
    <w:qFormat/>
    <w:uiPriority w:val="0"/>
    <w:rPr>
      <w:rFonts w:eastAsia="宋体"/>
      <w:snapToGrid w:val="0"/>
      <w:sz w:val="21"/>
      <w:szCs w:val="21"/>
      <w:lang w:val="en-US" w:eastAsia="zh-CN" w:bidi="ar-SA"/>
    </w:rPr>
  </w:style>
  <w:style w:type="character" w:customStyle="1" w:styleId="337">
    <w:name w:val="sssssschar"/>
    <w:autoRedefine/>
    <w:qFormat/>
    <w:uiPriority w:val="0"/>
    <w:rPr>
      <w:rFonts w:hint="eastAsia" w:ascii="宋体" w:hAnsi="宋体" w:eastAsia="宋体"/>
    </w:rPr>
  </w:style>
  <w:style w:type="paragraph" w:customStyle="1" w:styleId="338">
    <w:name w:val="样式 标题 1 + (中文) 宋体 首行缩进:  2 字符"/>
    <w:basedOn w:val="3"/>
    <w:autoRedefine/>
    <w:qFormat/>
    <w:uiPriority w:val="99"/>
    <w:pPr>
      <w:widowControl/>
      <w:numPr>
        <w:numId w:val="0"/>
      </w:numPr>
      <w:spacing w:before="312" w:beforeLines="100" w:after="312" w:afterLines="100"/>
      <w:jc w:val="center"/>
    </w:pPr>
    <w:rPr>
      <w:rFonts w:ascii="黑体" w:hAnsi="宋体" w:eastAsia="黑体"/>
      <w:bCs/>
      <w:sz w:val="36"/>
      <w:szCs w:val="36"/>
    </w:rPr>
  </w:style>
  <w:style w:type="paragraph" w:customStyle="1" w:styleId="339">
    <w:name w:val="5正文"/>
    <w:basedOn w:val="340"/>
    <w:autoRedefine/>
    <w:qFormat/>
    <w:uiPriority w:val="99"/>
    <w:pPr>
      <w:spacing w:line="360" w:lineRule="auto"/>
    </w:pPr>
  </w:style>
  <w:style w:type="paragraph" w:customStyle="1" w:styleId="340">
    <w:name w:val="样式 首行缩进:  2 字符"/>
    <w:basedOn w:val="1"/>
    <w:autoRedefine/>
    <w:qFormat/>
    <w:uiPriority w:val="99"/>
    <w:pPr>
      <w:widowControl/>
      <w:spacing w:line="420" w:lineRule="auto"/>
      <w:jc w:val="left"/>
    </w:pPr>
    <w:rPr>
      <w:rFonts w:ascii="宋体" w:cs="宋体"/>
      <w:lang w:val="en-US"/>
    </w:rPr>
  </w:style>
  <w:style w:type="paragraph" w:customStyle="1" w:styleId="341">
    <w:name w:val="表文"/>
    <w:autoRedefine/>
    <w:qFormat/>
    <w:uiPriority w:val="99"/>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342">
    <w:name w:val="正文A"/>
    <w:basedOn w:val="1"/>
    <w:autoRedefine/>
    <w:qFormat/>
    <w:uiPriority w:val="0"/>
    <w:pPr>
      <w:widowControl/>
      <w:autoSpaceDE w:val="0"/>
      <w:autoSpaceDN w:val="0"/>
      <w:adjustRightInd w:val="0"/>
      <w:snapToGrid w:val="0"/>
      <w:spacing w:line="400" w:lineRule="atLeast"/>
      <w:ind w:firstLine="539" w:firstLineChars="0"/>
      <w:jc w:val="left"/>
      <w:textAlignment w:val="baseline"/>
    </w:pPr>
    <w:rPr>
      <w:rFonts w:ascii="仿宋_GB2312" w:eastAsia="仿宋_GB2312" w:cs="宋体"/>
      <w:lang w:val="en-US"/>
    </w:rPr>
  </w:style>
  <w:style w:type="paragraph" w:customStyle="1" w:styleId="343">
    <w:name w:val="样式 左侧:  0.85 厘米6"/>
    <w:basedOn w:val="1"/>
    <w:autoRedefine/>
    <w:qFormat/>
    <w:uiPriority w:val="99"/>
    <w:pPr>
      <w:widowControl/>
      <w:spacing w:line="240" w:lineRule="auto"/>
      <w:ind w:firstLine="0" w:firstLineChars="0"/>
      <w:jc w:val="left"/>
    </w:pPr>
    <w:rPr>
      <w:rFonts w:ascii="宋体" w:cs="宋体"/>
      <w:lang w:val="en-US"/>
    </w:rPr>
  </w:style>
  <w:style w:type="paragraph" w:customStyle="1" w:styleId="344">
    <w:name w:val="样式 标题 4"/>
    <w:basedOn w:val="7"/>
    <w:autoRedefine/>
    <w:qFormat/>
    <w:uiPriority w:val="99"/>
    <w:pPr>
      <w:numPr>
        <w:ilvl w:val="0"/>
        <w:numId w:val="0"/>
      </w:numPr>
      <w:spacing w:before="0" w:beforeLines="0" w:after="120"/>
      <w:ind w:left="108" w:hanging="851"/>
    </w:pPr>
    <w:rPr>
      <w:rFonts w:cs="宋体"/>
      <w:b w:val="0"/>
      <w:kern w:val="2"/>
      <w:sz w:val="24"/>
      <w:szCs w:val="20"/>
    </w:rPr>
  </w:style>
  <w:style w:type="paragraph" w:customStyle="1" w:styleId="345">
    <w:name w:val="环境影响报告书"/>
    <w:basedOn w:val="1"/>
    <w:autoRedefine/>
    <w:qFormat/>
    <w:uiPriority w:val="99"/>
    <w:pPr>
      <w:widowControl/>
      <w:spacing w:before="200" w:after="200"/>
      <w:ind w:firstLine="0" w:firstLineChars="0"/>
      <w:jc w:val="center"/>
    </w:pPr>
    <w:rPr>
      <w:rFonts w:ascii="宋体" w:eastAsia="黑体" w:cs="宋体"/>
      <w:b/>
      <w:bCs/>
      <w:spacing w:val="40"/>
      <w:sz w:val="84"/>
      <w:lang w:val="en-US"/>
    </w:rPr>
  </w:style>
  <w:style w:type="paragraph" w:customStyle="1" w:styleId="346">
    <w:name w:val="表正文"/>
    <w:basedOn w:val="1"/>
    <w:autoRedefine/>
    <w:qFormat/>
    <w:uiPriority w:val="99"/>
    <w:pPr>
      <w:widowControl/>
      <w:spacing w:line="240" w:lineRule="auto"/>
      <w:ind w:firstLine="0" w:firstLineChars="0"/>
      <w:jc w:val="center"/>
    </w:pPr>
    <w:rPr>
      <w:rFonts w:ascii="宋体" w:cs="宋体"/>
      <w:szCs w:val="21"/>
      <w:lang w:val="en-US"/>
    </w:rPr>
  </w:style>
  <w:style w:type="paragraph" w:customStyle="1" w:styleId="347">
    <w:name w:val="正文1.0111"/>
    <w:basedOn w:val="348"/>
    <w:autoRedefine/>
    <w:qFormat/>
    <w:uiPriority w:val="99"/>
    <w:pPr>
      <w:snapToGrid w:val="0"/>
      <w:ind w:firstLine="200"/>
      <w:textAlignment w:val="baseline"/>
    </w:pPr>
    <w:rPr>
      <w:sz w:val="24"/>
    </w:rPr>
  </w:style>
  <w:style w:type="paragraph" w:customStyle="1" w:styleId="348">
    <w:name w:val="统一正文"/>
    <w:basedOn w:val="1"/>
    <w:autoRedefine/>
    <w:qFormat/>
    <w:uiPriority w:val="99"/>
    <w:pPr>
      <w:widowControl/>
      <w:autoSpaceDE w:val="0"/>
      <w:autoSpaceDN w:val="0"/>
      <w:ind w:firstLine="567"/>
      <w:jc w:val="left"/>
    </w:pPr>
    <w:rPr>
      <w:rFonts w:ascii="宋体" w:cs="宋体"/>
      <w:sz w:val="28"/>
      <w:lang w:val="en-US" w:bidi="he-IL"/>
    </w:rPr>
  </w:style>
  <w:style w:type="paragraph" w:customStyle="1" w:styleId="349">
    <w:name w:val="样式2"/>
    <w:basedOn w:val="1"/>
    <w:autoRedefine/>
    <w:qFormat/>
    <w:uiPriority w:val="0"/>
    <w:pPr>
      <w:widowControl/>
      <w:spacing w:line="240" w:lineRule="auto"/>
      <w:ind w:firstLine="964" w:firstLineChars="400"/>
      <w:jc w:val="left"/>
    </w:pPr>
    <w:rPr>
      <w:rFonts w:ascii="黑体" w:eastAsia="黑体" w:cs="Plotter"/>
      <w:b/>
      <w:bCs/>
      <w:color w:val="000000"/>
      <w:lang w:val="en-US"/>
    </w:rPr>
  </w:style>
  <w:style w:type="paragraph" w:customStyle="1" w:styleId="350">
    <w:name w:val="样式 环境影响报告书"/>
    <w:basedOn w:val="1"/>
    <w:autoRedefine/>
    <w:qFormat/>
    <w:uiPriority w:val="99"/>
    <w:pPr>
      <w:widowControl/>
      <w:spacing w:before="200" w:after="200"/>
      <w:ind w:firstLine="0" w:firstLineChars="0"/>
      <w:jc w:val="center"/>
    </w:pPr>
    <w:rPr>
      <w:rFonts w:ascii="宋体" w:eastAsia="黑体" w:cs="宋体"/>
      <w:b/>
      <w:bCs/>
      <w:spacing w:val="40"/>
      <w:sz w:val="52"/>
      <w:lang w:val="en-US"/>
    </w:rPr>
  </w:style>
  <w:style w:type="paragraph" w:customStyle="1" w:styleId="351">
    <w:name w:val="表格内容111"/>
    <w:basedOn w:val="177"/>
    <w:autoRedefine/>
    <w:qFormat/>
    <w:uiPriority w:val="99"/>
    <w:pPr>
      <w:widowControl w:val="0"/>
      <w:adjustRightInd w:val="0"/>
      <w:snapToGrid w:val="0"/>
      <w:spacing w:line="240" w:lineRule="auto"/>
      <w:textAlignment w:val="center"/>
    </w:pPr>
    <w:rPr>
      <w:rFonts w:ascii="Times New Roman" w:hAnsi="宋体"/>
      <w:iCs w:val="0"/>
      <w:snapToGrid w:val="0"/>
      <w:szCs w:val="21"/>
    </w:rPr>
  </w:style>
  <w:style w:type="paragraph" w:customStyle="1" w:styleId="352">
    <w:name w:val="7表格"/>
    <w:autoRedefine/>
    <w:qFormat/>
    <w:uiPriority w:val="0"/>
    <w:pPr>
      <w:widowControl w:val="0"/>
      <w:ind w:firstLine="155" w:firstLineChars="74"/>
      <w:jc w:val="both"/>
    </w:pPr>
    <w:rPr>
      <w:rFonts w:ascii="Times New Roman" w:hAnsi="Times New Roman" w:eastAsia="宋体" w:cs="Times New Roman"/>
      <w:sz w:val="21"/>
      <w:szCs w:val="21"/>
      <w:lang w:val="en-US" w:eastAsia="zh-CN" w:bidi="ar-SA"/>
    </w:rPr>
  </w:style>
  <w:style w:type="paragraph" w:customStyle="1" w:styleId="353">
    <w:name w:val="a表格"/>
    <w:link w:val="354"/>
    <w:autoRedefine/>
    <w:qFormat/>
    <w:uiPriority w:val="0"/>
    <w:pPr>
      <w:snapToGrid w:val="0"/>
      <w:jc w:val="center"/>
    </w:pPr>
    <w:rPr>
      <w:rFonts w:ascii="Times New Roman" w:hAnsi="Times New Roman" w:eastAsia="宋体" w:cs="Times New Roman"/>
      <w:kern w:val="2"/>
      <w:szCs w:val="24"/>
      <w:lang w:val="en-US" w:eastAsia="zh-CN" w:bidi="ar-SA"/>
    </w:rPr>
  </w:style>
  <w:style w:type="character" w:customStyle="1" w:styleId="354">
    <w:name w:val="a表格 Char"/>
    <w:link w:val="353"/>
    <w:autoRedefine/>
    <w:qFormat/>
    <w:uiPriority w:val="0"/>
    <w:rPr>
      <w:rFonts w:ascii="Times New Roman" w:hAnsi="Times New Roman" w:eastAsia="宋体" w:cs="Times New Roman"/>
      <w:sz w:val="20"/>
      <w:szCs w:val="24"/>
    </w:rPr>
  </w:style>
  <w:style w:type="paragraph" w:customStyle="1" w:styleId="355">
    <w:name w:val="ni正文"/>
    <w:basedOn w:val="1"/>
    <w:autoRedefine/>
    <w:qFormat/>
    <w:uiPriority w:val="99"/>
    <w:pPr>
      <w:widowControl/>
      <w:autoSpaceDE w:val="0"/>
      <w:autoSpaceDN w:val="0"/>
      <w:adjustRightInd w:val="0"/>
      <w:snapToGrid w:val="0"/>
      <w:ind w:firstLine="560"/>
      <w:jc w:val="left"/>
      <w:textAlignment w:val="baseline"/>
    </w:pPr>
    <w:rPr>
      <w:rFonts w:ascii="宋体" w:eastAsia="仿宋_GB2312" w:cs="宋体"/>
      <w:sz w:val="28"/>
      <w:lang w:val="en-US" w:bidi="he-IL"/>
    </w:rPr>
  </w:style>
  <w:style w:type="paragraph" w:customStyle="1" w:styleId="356">
    <w:name w:val="二次公示"/>
    <w:basedOn w:val="244"/>
    <w:autoRedefine/>
    <w:qFormat/>
    <w:uiPriority w:val="99"/>
    <w:pPr>
      <w:spacing w:line="360" w:lineRule="auto"/>
    </w:pPr>
  </w:style>
  <w:style w:type="paragraph" w:customStyle="1" w:styleId="357">
    <w:name w:val="样式 左侧:  0.85 厘米1"/>
    <w:basedOn w:val="1"/>
    <w:autoRedefine/>
    <w:qFormat/>
    <w:uiPriority w:val="99"/>
    <w:pPr>
      <w:widowControl/>
      <w:spacing w:line="240" w:lineRule="auto"/>
      <w:ind w:firstLine="0" w:firstLineChars="0"/>
      <w:jc w:val="left"/>
    </w:pPr>
    <w:rPr>
      <w:rFonts w:ascii="宋体" w:cs="宋体"/>
      <w:szCs w:val="21"/>
      <w:lang w:val="en-US"/>
    </w:rPr>
  </w:style>
  <w:style w:type="paragraph" w:customStyle="1" w:styleId="358">
    <w:name w:val="Default Paragraph Font Para Char Char Char"/>
    <w:basedOn w:val="1"/>
    <w:autoRedefine/>
    <w:qFormat/>
    <w:uiPriority w:val="99"/>
    <w:pPr>
      <w:widowControl/>
      <w:spacing w:after="160" w:line="240" w:lineRule="exact"/>
      <w:ind w:firstLine="0" w:firstLineChars="0"/>
      <w:jc w:val="left"/>
    </w:pPr>
    <w:rPr>
      <w:rFonts w:ascii="宋体" w:cs="宋体"/>
      <w:lang w:val="en-US"/>
    </w:rPr>
  </w:style>
  <w:style w:type="paragraph" w:customStyle="1" w:styleId="359">
    <w:name w:val="英文题目"/>
    <w:basedOn w:val="82"/>
    <w:autoRedefine/>
    <w:qFormat/>
    <w:uiPriority w:val="99"/>
    <w:pPr>
      <w:spacing w:after="200"/>
      <w:ind w:firstLine="0" w:firstLineChars="0"/>
      <w:jc w:val="center"/>
    </w:pPr>
    <w:rPr>
      <w:rFonts w:ascii="Arial Black" w:hAnsi="Arial Black" w:cs="宋体"/>
      <w:sz w:val="30"/>
      <w:szCs w:val="30"/>
    </w:rPr>
  </w:style>
  <w:style w:type="paragraph" w:customStyle="1" w:styleId="360">
    <w:name w:val="居中正文"/>
    <w:basedOn w:val="56"/>
    <w:autoRedefine/>
    <w:qFormat/>
    <w:uiPriority w:val="99"/>
    <w:pPr>
      <w:adjustRightInd w:val="0"/>
      <w:spacing w:before="120"/>
      <w:ind w:firstLine="0"/>
      <w:jc w:val="center"/>
      <w:textAlignment w:val="baseline"/>
    </w:pPr>
    <w:rPr>
      <w:rFonts w:ascii="宋体"/>
      <w:kern w:val="28"/>
      <w:szCs w:val="20"/>
    </w:rPr>
  </w:style>
  <w:style w:type="paragraph" w:customStyle="1" w:styleId="361">
    <w:name w:val="我的表格"/>
    <w:autoRedefine/>
    <w:qFormat/>
    <w:uiPriority w:val="99"/>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62">
    <w:name w:val="3标题(治)"/>
    <w:basedOn w:val="6"/>
    <w:link w:val="363"/>
    <w:autoRedefine/>
    <w:qFormat/>
    <w:uiPriority w:val="0"/>
    <w:pPr>
      <w:widowControl/>
      <w:numPr>
        <w:numId w:val="0"/>
      </w:numPr>
      <w:adjustRightInd w:val="0"/>
      <w:spacing w:before="0" w:beforeLines="0" w:after="0" w:afterLines="0"/>
      <w:textAlignment w:val="baseline"/>
    </w:pPr>
    <w:rPr>
      <w:rFonts w:eastAsia="黑体"/>
      <w:color w:val="000000"/>
      <w:spacing w:val="6"/>
      <w:sz w:val="28"/>
      <w:szCs w:val="20"/>
    </w:rPr>
  </w:style>
  <w:style w:type="character" w:customStyle="1" w:styleId="363">
    <w:name w:val="3标题(治) Char"/>
    <w:link w:val="362"/>
    <w:autoRedefine/>
    <w:qFormat/>
    <w:locked/>
    <w:uiPriority w:val="0"/>
    <w:rPr>
      <w:rFonts w:ascii="Times New Roman" w:hAnsi="Times New Roman" w:eastAsia="黑体" w:cs="Times New Roman"/>
      <w:b/>
      <w:color w:val="000000"/>
      <w:spacing w:val="6"/>
      <w:kern w:val="0"/>
      <w:sz w:val="28"/>
      <w:szCs w:val="20"/>
      <w:lang w:val="zh-CN"/>
    </w:rPr>
  </w:style>
  <w:style w:type="paragraph" w:customStyle="1" w:styleId="364">
    <w:name w:val="封面单位名称"/>
    <w:basedOn w:val="1"/>
    <w:autoRedefine/>
    <w:qFormat/>
    <w:uiPriority w:val="99"/>
    <w:pPr>
      <w:widowControl/>
      <w:spacing w:line="240" w:lineRule="auto"/>
      <w:ind w:firstLine="0" w:firstLineChars="0"/>
      <w:jc w:val="center"/>
    </w:pPr>
    <w:rPr>
      <w:rFonts w:ascii="宋体" w:cs="宋体"/>
      <w:b/>
      <w:bCs/>
      <w:sz w:val="32"/>
      <w:lang w:val="en-US"/>
    </w:rPr>
  </w:style>
  <w:style w:type="paragraph" w:customStyle="1" w:styleId="365">
    <w:name w:val="前言标题"/>
    <w:basedOn w:val="1"/>
    <w:autoRedefine/>
    <w:qFormat/>
    <w:uiPriority w:val="99"/>
    <w:pPr>
      <w:widowControl/>
      <w:spacing w:before="120" w:after="120"/>
      <w:ind w:firstLine="0" w:firstLineChars="0"/>
      <w:jc w:val="left"/>
    </w:pPr>
    <w:rPr>
      <w:rFonts w:ascii="黑体" w:cs="宋体"/>
      <w:b/>
      <w:bCs/>
      <w:sz w:val="30"/>
      <w:lang w:val="en-US"/>
    </w:rPr>
  </w:style>
  <w:style w:type="paragraph" w:customStyle="1" w:styleId="366">
    <w:name w:val="样式9"/>
    <w:basedOn w:val="1"/>
    <w:autoRedefine/>
    <w:qFormat/>
    <w:uiPriority w:val="99"/>
    <w:pPr>
      <w:widowControl/>
      <w:adjustRightInd w:val="0"/>
      <w:snapToGrid w:val="0"/>
      <w:spacing w:line="560" w:lineRule="exact"/>
      <w:ind w:firstLine="539" w:firstLineChars="0"/>
      <w:jc w:val="left"/>
      <w:textAlignment w:val="baseline"/>
    </w:pPr>
    <w:rPr>
      <w:rFonts w:ascii="宋体" w:eastAsia="仿宋_GB2312" w:cs="宋体"/>
      <w:sz w:val="28"/>
      <w:lang w:val="en-US"/>
    </w:rPr>
  </w:style>
  <w:style w:type="paragraph" w:customStyle="1" w:styleId="367">
    <w:name w:val="a1"/>
    <w:basedOn w:val="1"/>
    <w:autoRedefine/>
    <w:qFormat/>
    <w:uiPriority w:val="99"/>
    <w:pPr>
      <w:widowControl/>
      <w:spacing w:before="50" w:beforeLines="50" w:after="50" w:afterLines="50" w:line="240" w:lineRule="auto"/>
      <w:ind w:firstLine="0" w:firstLineChars="0"/>
      <w:jc w:val="left"/>
      <w:outlineLvl w:val="0"/>
    </w:pPr>
    <w:rPr>
      <w:rFonts w:ascii="宋体" w:eastAsia="黑体" w:cs="宋体"/>
      <w:sz w:val="36"/>
      <w:lang w:val="en-US"/>
    </w:rPr>
  </w:style>
  <w:style w:type="paragraph" w:customStyle="1" w:styleId="368">
    <w:name w:val="1表格"/>
    <w:basedOn w:val="1"/>
    <w:autoRedefine/>
    <w:qFormat/>
    <w:uiPriority w:val="99"/>
    <w:pPr>
      <w:widowControl/>
      <w:snapToGrid w:val="0"/>
      <w:spacing w:line="240" w:lineRule="auto"/>
      <w:ind w:firstLine="0" w:firstLineChars="0"/>
      <w:jc w:val="center"/>
      <w:outlineLvl w:val="4"/>
    </w:pPr>
    <w:rPr>
      <w:rFonts w:ascii="宋体" w:cs="宋体"/>
      <w:spacing w:val="4"/>
      <w:lang w:val="en-US"/>
    </w:rPr>
  </w:style>
  <w:style w:type="paragraph" w:customStyle="1" w:styleId="369">
    <w:name w:val="书名"/>
    <w:basedOn w:val="1"/>
    <w:autoRedefine/>
    <w:qFormat/>
    <w:uiPriority w:val="99"/>
    <w:pPr>
      <w:widowControl/>
      <w:spacing w:line="240" w:lineRule="auto"/>
      <w:ind w:firstLine="0" w:firstLineChars="0"/>
      <w:jc w:val="center"/>
    </w:pPr>
    <w:rPr>
      <w:rFonts w:ascii="宋体" w:cs="宋体"/>
      <w:b/>
      <w:bCs/>
      <w:sz w:val="60"/>
      <w:lang w:val="en-US"/>
    </w:rPr>
  </w:style>
  <w:style w:type="paragraph" w:customStyle="1" w:styleId="370">
    <w:name w:val="证书编号"/>
    <w:basedOn w:val="371"/>
    <w:autoRedefine/>
    <w:qFormat/>
    <w:uiPriority w:val="99"/>
    <w:pPr>
      <w:jc w:val="left"/>
    </w:pPr>
    <w:rPr>
      <w:sz w:val="28"/>
    </w:rPr>
  </w:style>
  <w:style w:type="paragraph" w:customStyle="1" w:styleId="371">
    <w:name w:val="项目名称"/>
    <w:basedOn w:val="1"/>
    <w:autoRedefine/>
    <w:qFormat/>
    <w:uiPriority w:val="99"/>
    <w:pPr>
      <w:widowControl/>
      <w:ind w:firstLine="0" w:firstLineChars="0"/>
      <w:jc w:val="center"/>
    </w:pPr>
    <w:rPr>
      <w:rFonts w:ascii="宋体" w:eastAsia="黑体" w:cs="宋体"/>
      <w:b/>
      <w:sz w:val="44"/>
      <w:lang w:val="en-US"/>
    </w:rPr>
  </w:style>
  <w:style w:type="paragraph" w:customStyle="1" w:styleId="372">
    <w:name w:val="a7"/>
    <w:basedOn w:val="1"/>
    <w:autoRedefine/>
    <w:qFormat/>
    <w:uiPriority w:val="99"/>
    <w:pPr>
      <w:widowControl/>
      <w:overflowPunct w:val="0"/>
      <w:snapToGrid w:val="0"/>
      <w:spacing w:line="280" w:lineRule="atLeast"/>
      <w:ind w:firstLine="0" w:firstLineChars="0"/>
      <w:jc w:val="center"/>
    </w:pPr>
    <w:rPr>
      <w:rFonts w:ascii="宋体" w:cs="宋体"/>
      <w:sz w:val="18"/>
      <w:szCs w:val="18"/>
      <w:lang w:val="en-US"/>
    </w:rPr>
  </w:style>
  <w:style w:type="paragraph" w:customStyle="1" w:styleId="373">
    <w:name w:val="修改"/>
    <w:basedOn w:val="1"/>
    <w:autoRedefine/>
    <w:qFormat/>
    <w:uiPriority w:val="99"/>
    <w:pPr>
      <w:widowControl/>
      <w:tabs>
        <w:tab w:val="left" w:pos="2880"/>
      </w:tabs>
      <w:spacing w:line="520" w:lineRule="atLeast"/>
      <w:jc w:val="left"/>
    </w:pPr>
    <w:rPr>
      <w:rFonts w:ascii="宋体" w:cs="宋体"/>
      <w:color w:val="FF0000"/>
      <w:u w:val="double"/>
      <w:lang w:val="en-US"/>
    </w:rPr>
  </w:style>
  <w:style w:type="paragraph" w:customStyle="1" w:styleId="374">
    <w:name w:val="附表说明"/>
    <w:basedOn w:val="82"/>
    <w:autoRedefine/>
    <w:qFormat/>
    <w:uiPriority w:val="99"/>
    <w:pPr>
      <w:ind w:firstLine="0" w:firstLineChars="0"/>
      <w:jc w:val="center"/>
    </w:pPr>
    <w:rPr>
      <w:rFonts w:cs="宋体"/>
      <w:sz w:val="18"/>
      <w:szCs w:val="18"/>
    </w:rPr>
  </w:style>
  <w:style w:type="paragraph" w:customStyle="1" w:styleId="375">
    <w:name w:val="1文章"/>
    <w:basedOn w:val="1"/>
    <w:autoRedefine/>
    <w:qFormat/>
    <w:uiPriority w:val="99"/>
    <w:pPr>
      <w:widowControl/>
      <w:snapToGrid w:val="0"/>
      <w:spacing w:line="420" w:lineRule="auto"/>
      <w:ind w:firstLine="454" w:firstLineChars="0"/>
      <w:jc w:val="left"/>
      <w:outlineLvl w:val="4"/>
    </w:pPr>
    <w:rPr>
      <w:rFonts w:ascii="宋体" w:cs="宋体"/>
      <w:spacing w:val="4"/>
      <w:lang w:val="en-US"/>
    </w:rPr>
  </w:style>
  <w:style w:type="paragraph" w:customStyle="1" w:styleId="376">
    <w:name w:val="az"/>
    <w:basedOn w:val="1"/>
    <w:link w:val="377"/>
    <w:autoRedefine/>
    <w:qFormat/>
    <w:uiPriority w:val="0"/>
    <w:pPr>
      <w:widowControl/>
      <w:spacing w:line="240" w:lineRule="auto"/>
      <w:ind w:firstLine="200"/>
      <w:jc w:val="left"/>
      <w:outlineLvl w:val="2"/>
    </w:pPr>
    <w:rPr>
      <w:rFonts w:ascii="宋体" w:cs="宋体"/>
      <w:lang w:val="en-US"/>
    </w:rPr>
  </w:style>
  <w:style w:type="character" w:customStyle="1" w:styleId="377">
    <w:name w:val="az Char Char1"/>
    <w:link w:val="376"/>
    <w:autoRedefine/>
    <w:qFormat/>
    <w:uiPriority w:val="0"/>
    <w:rPr>
      <w:rFonts w:ascii="宋体" w:hAnsi="宋体" w:eastAsia="宋体" w:cs="宋体"/>
      <w:kern w:val="0"/>
      <w:sz w:val="24"/>
      <w:szCs w:val="24"/>
    </w:rPr>
  </w:style>
  <w:style w:type="paragraph" w:customStyle="1" w:styleId="378">
    <w:name w:val="前言"/>
    <w:basedOn w:val="3"/>
    <w:autoRedefine/>
    <w:qFormat/>
    <w:uiPriority w:val="99"/>
    <w:pPr>
      <w:widowControl/>
      <w:numPr>
        <w:numId w:val="0"/>
      </w:numPr>
      <w:snapToGrid w:val="0"/>
      <w:spacing w:before="300" w:beforeLines="0" w:after="300" w:afterLines="0"/>
      <w:jc w:val="center"/>
    </w:pPr>
    <w:rPr>
      <w:rFonts w:ascii="宋体" w:hAnsi="宋体" w:eastAsia="宋体"/>
      <w:bCs/>
      <w:sz w:val="36"/>
      <w:szCs w:val="36"/>
    </w:rPr>
  </w:style>
  <w:style w:type="paragraph" w:customStyle="1" w:styleId="379">
    <w:name w:val="1目录"/>
    <w:basedOn w:val="1"/>
    <w:autoRedefine/>
    <w:qFormat/>
    <w:uiPriority w:val="99"/>
    <w:pPr>
      <w:widowControl/>
      <w:tabs>
        <w:tab w:val="left" w:leader="middleDot" w:pos="8190"/>
      </w:tabs>
      <w:snapToGrid w:val="0"/>
      <w:spacing w:line="420" w:lineRule="auto"/>
      <w:ind w:left="80" w:leftChars="80" w:firstLine="0" w:firstLineChars="0"/>
      <w:jc w:val="left"/>
      <w:outlineLvl w:val="2"/>
    </w:pPr>
    <w:rPr>
      <w:rFonts w:ascii="宋体" w:cs="宋体"/>
      <w:bCs/>
      <w:sz w:val="28"/>
      <w:lang w:val="en-US"/>
    </w:rPr>
  </w:style>
  <w:style w:type="paragraph" w:customStyle="1" w:styleId="380">
    <w:name w:val="样式4"/>
    <w:basedOn w:val="26"/>
    <w:autoRedefine/>
    <w:qFormat/>
    <w:uiPriority w:val="99"/>
    <w:pPr>
      <w:widowControl/>
      <w:spacing w:after="0" w:line="360" w:lineRule="auto"/>
      <w:ind w:firstLine="588" w:firstLineChars="245"/>
      <w:jc w:val="left"/>
    </w:pPr>
    <w:rPr>
      <w:rFonts w:hAnsi="宋体"/>
      <w:snapToGrid w:val="0"/>
      <w:color w:val="000000"/>
      <w:sz w:val="24"/>
      <w:szCs w:val="24"/>
      <w:lang w:val="zh-CN"/>
    </w:rPr>
  </w:style>
  <w:style w:type="paragraph" w:customStyle="1" w:styleId="381">
    <w:name w:val="正文缩进 New"/>
    <w:basedOn w:val="382"/>
    <w:autoRedefine/>
    <w:qFormat/>
    <w:uiPriority w:val="99"/>
    <w:pPr>
      <w:ind w:firstLine="420" w:firstLineChars="200"/>
    </w:pPr>
  </w:style>
  <w:style w:type="paragraph" w:customStyle="1" w:styleId="382">
    <w:name w:val="正文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83">
    <w:name w:val="key words"/>
    <w:basedOn w:val="384"/>
    <w:autoRedefine/>
    <w:qFormat/>
    <w:uiPriority w:val="99"/>
    <w:pPr>
      <w:snapToGrid w:val="0"/>
    </w:pPr>
    <w:rPr>
      <w:rFonts w:ascii="Arial Black" w:hAnsi="Arial Black" w:eastAsia="宋体"/>
    </w:rPr>
  </w:style>
  <w:style w:type="paragraph" w:customStyle="1" w:styleId="384">
    <w:name w:val="关键词"/>
    <w:basedOn w:val="82"/>
    <w:autoRedefine/>
    <w:qFormat/>
    <w:uiPriority w:val="99"/>
    <w:pPr>
      <w:ind w:firstLine="0" w:firstLineChars="0"/>
    </w:pPr>
    <w:rPr>
      <w:rFonts w:eastAsia="黑体" w:cs="宋体"/>
    </w:rPr>
  </w:style>
  <w:style w:type="paragraph" w:customStyle="1" w:styleId="385">
    <w:name w:val="List Paragraph1"/>
    <w:basedOn w:val="1"/>
    <w:autoRedefine/>
    <w:qFormat/>
    <w:uiPriority w:val="99"/>
    <w:pPr>
      <w:widowControl/>
      <w:spacing w:line="440" w:lineRule="exact"/>
      <w:ind w:firstLine="420"/>
      <w:jc w:val="left"/>
    </w:pPr>
    <w:rPr>
      <w:rFonts w:ascii="Calibri" w:hAnsi="Calibri" w:cs="黑体"/>
      <w:color w:val="000000"/>
      <w:szCs w:val="22"/>
      <w:lang w:val="en-US"/>
    </w:rPr>
  </w:style>
  <w:style w:type="paragraph" w:customStyle="1" w:styleId="386">
    <w:name w:val="表格后段落"/>
    <w:basedOn w:val="1"/>
    <w:autoRedefine/>
    <w:qFormat/>
    <w:uiPriority w:val="99"/>
    <w:pPr>
      <w:widowControl/>
      <w:spacing w:before="120" w:beforeLines="50"/>
      <w:jc w:val="left"/>
    </w:pPr>
    <w:rPr>
      <w:rFonts w:ascii="宋体" w:cs="宋体"/>
      <w:lang w:val="en-US"/>
    </w:rPr>
  </w:style>
  <w:style w:type="paragraph" w:customStyle="1" w:styleId="387">
    <w:name w:val="封面单位"/>
    <w:basedOn w:val="1"/>
    <w:autoRedefine/>
    <w:qFormat/>
    <w:uiPriority w:val="99"/>
    <w:pPr>
      <w:widowControl/>
      <w:ind w:firstLine="1687" w:firstLineChars="600"/>
      <w:jc w:val="left"/>
    </w:pPr>
    <w:rPr>
      <w:rFonts w:ascii="宋体" w:eastAsia="黑体" w:cs="宋体"/>
      <w:b/>
      <w:bCs/>
      <w:sz w:val="28"/>
      <w:lang w:val="en-US"/>
    </w:rPr>
  </w:style>
  <w:style w:type="paragraph" w:customStyle="1" w:styleId="388">
    <w:name w:val="简单回函地址"/>
    <w:basedOn w:val="1"/>
    <w:autoRedefine/>
    <w:qFormat/>
    <w:uiPriority w:val="99"/>
    <w:pPr>
      <w:widowControl/>
      <w:spacing w:line="240" w:lineRule="auto"/>
      <w:ind w:firstLine="0" w:firstLineChars="0"/>
      <w:jc w:val="left"/>
    </w:pPr>
    <w:rPr>
      <w:rFonts w:ascii="宋体" w:cs="宋体"/>
      <w:lang w:val="en-US"/>
    </w:rPr>
  </w:style>
  <w:style w:type="paragraph" w:customStyle="1" w:styleId="389">
    <w:name w:val="T表格"/>
    <w:autoRedefine/>
    <w:qFormat/>
    <w:uiPriority w:val="99"/>
    <w:pPr>
      <w:jc w:val="center"/>
    </w:pPr>
    <w:rPr>
      <w:rFonts w:ascii="Times New Roman" w:hAnsi="Times New Roman" w:eastAsia="宋体" w:cs="Times New Roman"/>
      <w:sz w:val="21"/>
      <w:lang w:val="en-US" w:eastAsia="zh-CN" w:bidi="ar-SA"/>
    </w:rPr>
  </w:style>
  <w:style w:type="paragraph" w:customStyle="1" w:styleId="390">
    <w:name w:val="封面时间"/>
    <w:basedOn w:val="1"/>
    <w:autoRedefine/>
    <w:qFormat/>
    <w:uiPriority w:val="99"/>
    <w:pPr>
      <w:widowControl/>
      <w:ind w:firstLine="0" w:firstLineChars="0"/>
      <w:jc w:val="center"/>
    </w:pPr>
    <w:rPr>
      <w:rFonts w:ascii="宋体" w:cs="宋体"/>
      <w:b/>
      <w:bCs/>
      <w:sz w:val="32"/>
      <w:lang w:val="en-US"/>
    </w:rPr>
  </w:style>
  <w:style w:type="paragraph" w:customStyle="1" w:styleId="391">
    <w:name w:val="列出段落1"/>
    <w:basedOn w:val="1"/>
    <w:autoRedefine/>
    <w:qFormat/>
    <w:uiPriority w:val="34"/>
    <w:pPr>
      <w:widowControl/>
      <w:spacing w:line="440" w:lineRule="exact"/>
      <w:ind w:firstLine="420"/>
      <w:jc w:val="left"/>
    </w:pPr>
    <w:rPr>
      <w:rFonts w:ascii="Calibri" w:hAnsi="Calibri" w:cs="黑体"/>
      <w:szCs w:val="22"/>
      <w:lang w:val="en-US"/>
    </w:rPr>
  </w:style>
  <w:style w:type="paragraph" w:customStyle="1" w:styleId="392">
    <w:name w:val="参文献正文"/>
    <w:basedOn w:val="1"/>
    <w:autoRedefine/>
    <w:qFormat/>
    <w:uiPriority w:val="99"/>
    <w:pPr>
      <w:widowControl/>
      <w:spacing w:before="60" w:line="340" w:lineRule="exact"/>
      <w:ind w:firstLine="0" w:firstLineChars="0"/>
      <w:jc w:val="left"/>
    </w:pPr>
    <w:rPr>
      <w:rFonts w:ascii="宋体" w:cs="宋体"/>
      <w:szCs w:val="21"/>
      <w:lang w:val="en-US"/>
    </w:rPr>
  </w:style>
  <w:style w:type="paragraph" w:customStyle="1" w:styleId="393">
    <w:name w:val="表1"/>
    <w:basedOn w:val="1"/>
    <w:autoRedefine/>
    <w:qFormat/>
    <w:uiPriority w:val="0"/>
    <w:pPr>
      <w:widowControl/>
      <w:adjustRightInd w:val="0"/>
      <w:spacing w:before="156" w:beforeLines="50" w:after="156" w:afterLines="50" w:line="400" w:lineRule="exact"/>
      <w:ind w:firstLine="0" w:firstLineChars="0"/>
      <w:jc w:val="center"/>
    </w:pPr>
    <w:rPr>
      <w:rFonts w:ascii="宋体" w:eastAsia="黑体" w:cs="宋体"/>
      <w:spacing w:val="10"/>
      <w:lang w:val="en-US"/>
    </w:rPr>
  </w:style>
  <w:style w:type="paragraph" w:customStyle="1" w:styleId="394">
    <w:name w:val="6表(图)头(治)"/>
    <w:next w:val="1"/>
    <w:link w:val="395"/>
    <w:autoRedefine/>
    <w:qFormat/>
    <w:uiPriority w:val="0"/>
    <w:pPr>
      <w:widowControl w:val="0"/>
      <w:jc w:val="center"/>
    </w:pPr>
    <w:rPr>
      <w:rFonts w:ascii="Times New Roman" w:hAnsi="Times New Roman" w:eastAsia="黑体" w:cs="Times New Roman"/>
      <w:b/>
      <w:bCs/>
      <w:sz w:val="28"/>
      <w:lang w:val="en-US" w:eastAsia="zh-CN" w:bidi="ar-SA"/>
    </w:rPr>
  </w:style>
  <w:style w:type="character" w:customStyle="1" w:styleId="395">
    <w:name w:val="6表(图)头(治) Char"/>
    <w:link w:val="394"/>
    <w:autoRedefine/>
    <w:qFormat/>
    <w:uiPriority w:val="0"/>
    <w:rPr>
      <w:rFonts w:ascii="Times New Roman" w:hAnsi="Times New Roman" w:eastAsia="黑体" w:cs="Times New Roman"/>
      <w:b/>
      <w:bCs/>
      <w:kern w:val="0"/>
      <w:sz w:val="28"/>
      <w:szCs w:val="20"/>
    </w:rPr>
  </w:style>
  <w:style w:type="paragraph" w:customStyle="1" w:styleId="396">
    <w:name w:val="前言序号"/>
    <w:autoRedefine/>
    <w:qFormat/>
    <w:uiPriority w:val="99"/>
    <w:rPr>
      <w:rFonts w:ascii="Times New Roman" w:hAnsi="Times New Roman" w:eastAsia="黑体" w:cs="Times New Roman"/>
      <w:bCs/>
      <w:kern w:val="2"/>
      <w:sz w:val="30"/>
      <w:szCs w:val="30"/>
      <w:lang w:val="en-US" w:eastAsia="zh-CN" w:bidi="ar-SA"/>
    </w:rPr>
  </w:style>
  <w:style w:type="paragraph" w:customStyle="1" w:styleId="397">
    <w:name w:val="样式 左 行距: 1.5 倍行距"/>
    <w:basedOn w:val="1"/>
    <w:autoRedefine/>
    <w:qFormat/>
    <w:uiPriority w:val="99"/>
    <w:pPr>
      <w:widowControl/>
      <w:snapToGrid w:val="0"/>
      <w:ind w:firstLine="592"/>
      <w:jc w:val="left"/>
    </w:pPr>
    <w:rPr>
      <w:rFonts w:ascii="宋体" w:cs="宋体"/>
      <w:spacing w:val="8"/>
      <w:lang w:val="en-US"/>
    </w:rPr>
  </w:style>
  <w:style w:type="paragraph" w:customStyle="1" w:styleId="398">
    <w:name w:val="目录 样式"/>
    <w:basedOn w:val="47"/>
    <w:autoRedefine/>
    <w:qFormat/>
    <w:uiPriority w:val="99"/>
    <w:pPr>
      <w:widowControl/>
      <w:tabs>
        <w:tab w:val="right" w:leader="dot" w:pos="9118"/>
      </w:tabs>
      <w:spacing w:before="240" w:line="240" w:lineRule="auto"/>
      <w:ind w:left="480" w:right="100" w:rightChars="100"/>
    </w:pPr>
    <w:rPr>
      <w:rFonts w:ascii="Calibri" w:hAnsi="Calibri" w:cs="宋体"/>
      <w:bCs/>
      <w:smallCaps w:val="0"/>
    </w:rPr>
  </w:style>
  <w:style w:type="paragraph" w:customStyle="1" w:styleId="399">
    <w:name w:val="样式5"/>
    <w:basedOn w:val="26"/>
    <w:link w:val="400"/>
    <w:autoRedefine/>
    <w:qFormat/>
    <w:uiPriority w:val="0"/>
    <w:pPr>
      <w:widowControl/>
      <w:spacing w:after="0" w:line="360" w:lineRule="auto"/>
      <w:ind w:firstLine="480" w:firstLineChars="200"/>
      <w:jc w:val="left"/>
    </w:pPr>
    <w:rPr>
      <w:color w:val="0000FF"/>
      <w:sz w:val="24"/>
      <w:szCs w:val="24"/>
      <w:lang w:val="zh-CN"/>
    </w:rPr>
  </w:style>
  <w:style w:type="character" w:customStyle="1" w:styleId="400">
    <w:name w:val="样式5 Char2"/>
    <w:link w:val="399"/>
    <w:autoRedefine/>
    <w:qFormat/>
    <w:uiPriority w:val="0"/>
    <w:rPr>
      <w:rFonts w:ascii="Times New Roman" w:hAnsi="Times New Roman" w:eastAsia="宋体" w:cs="Times New Roman"/>
      <w:color w:val="0000FF"/>
      <w:sz w:val="24"/>
      <w:szCs w:val="24"/>
      <w:lang w:val="zh-CN"/>
    </w:rPr>
  </w:style>
  <w:style w:type="paragraph" w:customStyle="1" w:styleId="401">
    <w:name w:val="正文样式1"/>
    <w:basedOn w:val="1"/>
    <w:autoRedefine/>
    <w:qFormat/>
    <w:uiPriority w:val="99"/>
    <w:pPr>
      <w:widowControl/>
      <w:adjustRightInd w:val="0"/>
      <w:spacing w:line="288" w:lineRule="auto"/>
      <w:ind w:firstLine="360" w:firstLineChars="150"/>
      <w:jc w:val="left"/>
      <w:textAlignment w:val="baseline"/>
    </w:pPr>
    <w:rPr>
      <w:rFonts w:ascii="宋体" w:cs="宋体"/>
      <w:lang w:val="en-US"/>
    </w:rPr>
  </w:style>
  <w:style w:type="paragraph" w:customStyle="1" w:styleId="402">
    <w:name w:val="表格文字小四字"/>
    <w:basedOn w:val="1"/>
    <w:autoRedefine/>
    <w:qFormat/>
    <w:uiPriority w:val="99"/>
    <w:pPr>
      <w:widowControl/>
      <w:snapToGrid w:val="0"/>
      <w:spacing w:line="240" w:lineRule="auto"/>
      <w:ind w:firstLine="0" w:firstLineChars="0"/>
      <w:jc w:val="center"/>
    </w:pPr>
    <w:rPr>
      <w:rFonts w:ascii="宋体" w:cs="宋体"/>
      <w:color w:val="FF0000"/>
      <w:spacing w:val="12"/>
      <w:kern w:val="28"/>
      <w:szCs w:val="21"/>
      <w:lang w:val="en-US"/>
    </w:rPr>
  </w:style>
  <w:style w:type="paragraph" w:customStyle="1" w:styleId="403">
    <w:name w:val="无间隔1"/>
    <w:autoRedefine/>
    <w:qFormat/>
    <w:uiPriority w:val="99"/>
    <w:pPr>
      <w:widowControl w:val="0"/>
      <w:jc w:val="both"/>
    </w:pPr>
    <w:rPr>
      <w:rFonts w:ascii="Calibri" w:hAnsi="Calibri" w:eastAsia="宋体" w:cs="黑体"/>
      <w:color w:val="000000"/>
      <w:kern w:val="2"/>
      <w:sz w:val="21"/>
      <w:szCs w:val="22"/>
      <w:lang w:val="en-US" w:eastAsia="zh-CN" w:bidi="ar-SA"/>
    </w:rPr>
  </w:style>
  <w:style w:type="paragraph" w:customStyle="1" w:styleId="404">
    <w:name w:val="目录题目"/>
    <w:basedOn w:val="392"/>
    <w:autoRedefine/>
    <w:qFormat/>
    <w:uiPriority w:val="99"/>
    <w:pPr>
      <w:spacing w:after="660"/>
      <w:jc w:val="center"/>
      <w:outlineLvl w:val="0"/>
    </w:pPr>
    <w:rPr>
      <w:rFonts w:eastAsia="黑体"/>
      <w:sz w:val="36"/>
      <w:szCs w:val="36"/>
    </w:rPr>
  </w:style>
  <w:style w:type="paragraph" w:customStyle="1" w:styleId="405">
    <w:name w:val="标准正文"/>
    <w:basedOn w:val="1"/>
    <w:autoRedefine/>
    <w:qFormat/>
    <w:uiPriority w:val="99"/>
    <w:pPr>
      <w:widowControl/>
      <w:jc w:val="left"/>
    </w:pPr>
    <w:rPr>
      <w:rFonts w:ascii="宋体" w:cs="宋体"/>
      <w:lang w:val="en-US"/>
    </w:rPr>
  </w:style>
  <w:style w:type="paragraph" w:customStyle="1" w:styleId="406">
    <w:name w:val="样式 [正文格式] + 首行缩进:  2 字符"/>
    <w:basedOn w:val="1"/>
    <w:autoRedefine/>
    <w:qFormat/>
    <w:uiPriority w:val="99"/>
    <w:pPr>
      <w:widowControl/>
      <w:ind w:firstLine="200"/>
      <w:jc w:val="left"/>
    </w:pPr>
    <w:rPr>
      <w:rFonts w:ascii="宋体" w:cs="宋体"/>
      <w:lang w:val="en-US"/>
    </w:rPr>
  </w:style>
  <w:style w:type="paragraph" w:customStyle="1" w:styleId="407">
    <w:name w:val="图片"/>
    <w:basedOn w:val="1"/>
    <w:autoRedefine/>
    <w:qFormat/>
    <w:uiPriority w:val="99"/>
    <w:pPr>
      <w:widowControl/>
      <w:spacing w:line="240" w:lineRule="auto"/>
      <w:ind w:firstLine="0" w:firstLineChars="0"/>
      <w:jc w:val="center"/>
    </w:pPr>
    <w:rPr>
      <w:rFonts w:ascii="宋体" w:cs="宋体"/>
      <w:lang w:val="en-US"/>
    </w:rPr>
  </w:style>
  <w:style w:type="paragraph" w:customStyle="1" w:styleId="408">
    <w:name w:val="a3"/>
    <w:basedOn w:val="1"/>
    <w:autoRedefine/>
    <w:qFormat/>
    <w:uiPriority w:val="99"/>
    <w:pPr>
      <w:widowControl/>
      <w:spacing w:before="50" w:beforeLines="50" w:line="240" w:lineRule="auto"/>
      <w:ind w:firstLine="0" w:firstLineChars="0"/>
      <w:jc w:val="left"/>
      <w:outlineLvl w:val="2"/>
    </w:pPr>
    <w:rPr>
      <w:rFonts w:ascii="宋体" w:eastAsia="楷体_GB2312" w:cs="宋体"/>
      <w:b/>
      <w:sz w:val="30"/>
      <w:lang w:val="en-US"/>
    </w:rPr>
  </w:style>
  <w:style w:type="paragraph" w:customStyle="1" w:styleId="409">
    <w:name w:val="题注 New"/>
    <w:basedOn w:val="382"/>
    <w:next w:val="382"/>
    <w:autoRedefine/>
    <w:qFormat/>
    <w:uiPriority w:val="99"/>
    <w:rPr>
      <w:rFonts w:ascii="Arial" w:hAnsi="Arial" w:eastAsia="黑体" w:cs="Arial"/>
    </w:rPr>
  </w:style>
  <w:style w:type="paragraph" w:customStyle="1" w:styleId="410">
    <w:name w:val="插图 居中"/>
    <w:basedOn w:val="1"/>
    <w:autoRedefine/>
    <w:qFormat/>
    <w:uiPriority w:val="99"/>
    <w:pPr>
      <w:widowControl/>
      <w:tabs>
        <w:tab w:val="left" w:pos="3825"/>
        <w:tab w:val="left" w:pos="4680"/>
      </w:tabs>
      <w:ind w:firstLine="0" w:firstLineChars="0"/>
      <w:jc w:val="center"/>
    </w:pPr>
    <w:rPr>
      <w:rFonts w:ascii="宋体" w:cs="宋体"/>
      <w:lang w:val="en-US"/>
    </w:rPr>
  </w:style>
  <w:style w:type="paragraph" w:customStyle="1" w:styleId="411">
    <w:name w:val="建设单位及评价单位"/>
    <w:basedOn w:val="1"/>
    <w:autoRedefine/>
    <w:qFormat/>
    <w:uiPriority w:val="99"/>
    <w:pPr>
      <w:widowControl/>
      <w:ind w:firstLine="600" w:firstLineChars="600"/>
      <w:jc w:val="left"/>
    </w:pPr>
    <w:rPr>
      <w:rFonts w:ascii="宋体" w:eastAsia="黑体" w:cs="宋体"/>
      <w:b/>
      <w:bCs/>
      <w:sz w:val="28"/>
      <w:lang w:val="en-US"/>
    </w:rPr>
  </w:style>
  <w:style w:type="paragraph" w:customStyle="1" w:styleId="412">
    <w:name w:val="样式 左侧:  0.85 厘米5"/>
    <w:basedOn w:val="1"/>
    <w:autoRedefine/>
    <w:qFormat/>
    <w:uiPriority w:val="99"/>
    <w:pPr>
      <w:widowControl/>
      <w:spacing w:line="240" w:lineRule="auto"/>
      <w:ind w:firstLine="0" w:firstLineChars="0"/>
      <w:jc w:val="left"/>
    </w:pPr>
    <w:rPr>
      <w:rFonts w:ascii="宋体" w:cs="宋体"/>
      <w:lang w:val="en-US"/>
    </w:rPr>
  </w:style>
  <w:style w:type="paragraph" w:customStyle="1" w:styleId="413">
    <w:name w:val="表格头 Char Char Char Char Char Char Char"/>
    <w:basedOn w:val="1"/>
    <w:autoRedefine/>
    <w:qFormat/>
    <w:uiPriority w:val="99"/>
    <w:pPr>
      <w:widowControl/>
      <w:adjustRightInd w:val="0"/>
      <w:snapToGrid w:val="0"/>
      <w:ind w:firstLine="0" w:firstLineChars="0"/>
      <w:jc w:val="center"/>
    </w:pPr>
    <w:rPr>
      <w:rFonts w:ascii="宋体" w:cs="宋体"/>
      <w:b/>
      <w:lang w:val="en-US"/>
    </w:rPr>
  </w:style>
  <w:style w:type="paragraph" w:styleId="414">
    <w:name w:val="List Paragraph"/>
    <w:basedOn w:val="1"/>
    <w:link w:val="415"/>
    <w:autoRedefine/>
    <w:qFormat/>
    <w:uiPriority w:val="99"/>
    <w:pPr>
      <w:widowControl/>
      <w:spacing w:line="240" w:lineRule="auto"/>
      <w:ind w:firstLine="420"/>
      <w:jc w:val="left"/>
    </w:pPr>
    <w:rPr>
      <w:rFonts w:ascii="Calibri" w:hAnsi="Calibri" w:cs="宋体"/>
      <w:szCs w:val="22"/>
      <w:lang w:val="en-US"/>
    </w:rPr>
  </w:style>
  <w:style w:type="character" w:customStyle="1" w:styleId="415">
    <w:name w:val="列表段落 字符1"/>
    <w:link w:val="414"/>
    <w:autoRedefine/>
    <w:qFormat/>
    <w:uiPriority w:val="99"/>
    <w:rPr>
      <w:rFonts w:ascii="Calibri" w:hAnsi="Calibri" w:eastAsia="宋体" w:cs="宋体"/>
      <w:kern w:val="0"/>
      <w:sz w:val="24"/>
    </w:rPr>
  </w:style>
  <w:style w:type="paragraph" w:customStyle="1" w:styleId="416">
    <w:name w:val="纯文本2"/>
    <w:basedOn w:val="1"/>
    <w:autoRedefine/>
    <w:qFormat/>
    <w:uiPriority w:val="0"/>
    <w:pPr>
      <w:widowControl/>
      <w:adjustRightInd w:val="0"/>
      <w:spacing w:line="240" w:lineRule="auto"/>
      <w:ind w:firstLine="0" w:firstLineChars="0"/>
      <w:jc w:val="left"/>
      <w:textAlignment w:val="baseline"/>
    </w:pPr>
    <w:rPr>
      <w:rFonts w:ascii="宋体" w:hAnsi="Courier New" w:cs="宋体"/>
      <w:lang w:val="en-US" w:bidi="th-TH"/>
    </w:rPr>
  </w:style>
  <w:style w:type="paragraph" w:customStyle="1" w:styleId="417">
    <w:name w:val="公式"/>
    <w:basedOn w:val="1"/>
    <w:autoRedefine/>
    <w:qFormat/>
    <w:uiPriority w:val="99"/>
    <w:pPr>
      <w:widowControl/>
      <w:spacing w:line="240" w:lineRule="auto"/>
      <w:ind w:firstLine="0" w:firstLineChars="0"/>
      <w:jc w:val="center"/>
    </w:pPr>
    <w:rPr>
      <w:rFonts w:ascii="宋体" w:cs="宋体"/>
      <w:lang w:val="en-US"/>
    </w:rPr>
  </w:style>
  <w:style w:type="paragraph" w:customStyle="1" w:styleId="418">
    <w:name w:val="样式 标题 2 + 首行缩进:  2 字符"/>
    <w:basedOn w:val="4"/>
    <w:autoRedefine/>
    <w:qFormat/>
    <w:uiPriority w:val="99"/>
    <w:pPr>
      <w:widowControl/>
      <w:numPr>
        <w:numId w:val="0"/>
      </w:numPr>
      <w:jc w:val="both"/>
    </w:pPr>
    <w:rPr>
      <w:rFonts w:ascii="Times New Roman" w:hAnsi="Times New Roman" w:eastAsia="黑体" w:cs="宋体"/>
      <w:bCs/>
      <w:kern w:val="2"/>
      <w:sz w:val="30"/>
      <w:szCs w:val="30"/>
    </w:rPr>
  </w:style>
  <w:style w:type="paragraph" w:customStyle="1" w:styleId="419">
    <w:name w:val="Abstract"/>
    <w:basedOn w:val="82"/>
    <w:autoRedefine/>
    <w:qFormat/>
    <w:uiPriority w:val="99"/>
    <w:pPr>
      <w:spacing w:after="200"/>
      <w:ind w:firstLine="0" w:firstLineChars="0"/>
      <w:jc w:val="center"/>
    </w:pPr>
    <w:rPr>
      <w:rFonts w:ascii="Arial Black" w:hAnsi="Arial Black" w:cs="宋体"/>
      <w:sz w:val="28"/>
      <w:szCs w:val="28"/>
    </w:rPr>
  </w:style>
  <w:style w:type="paragraph" w:customStyle="1" w:styleId="420">
    <w:name w:val="8说明"/>
    <w:basedOn w:val="1"/>
    <w:next w:val="1"/>
    <w:autoRedefine/>
    <w:qFormat/>
    <w:uiPriority w:val="99"/>
    <w:pPr>
      <w:widowControl/>
      <w:spacing w:line="240" w:lineRule="auto"/>
      <w:jc w:val="left"/>
    </w:pPr>
    <w:rPr>
      <w:rFonts w:ascii="宋体" w:eastAsia="楷体_GB2312" w:cs="宋体"/>
      <w:lang w:val="en-US"/>
    </w:rPr>
  </w:style>
  <w:style w:type="paragraph" w:customStyle="1" w:styleId="421">
    <w:name w:val="表格文字（M）"/>
    <w:basedOn w:val="1"/>
    <w:autoRedefine/>
    <w:qFormat/>
    <w:uiPriority w:val="99"/>
    <w:pPr>
      <w:widowControl/>
      <w:autoSpaceDE w:val="0"/>
      <w:autoSpaceDN w:val="0"/>
      <w:adjustRightInd w:val="0"/>
      <w:spacing w:line="240" w:lineRule="auto"/>
      <w:ind w:firstLine="0" w:firstLineChars="0"/>
      <w:jc w:val="center"/>
      <w:textAlignment w:val="baseline"/>
    </w:pPr>
    <w:rPr>
      <w:rFonts w:ascii="宋体" w:cs="宋体"/>
      <w:bCs/>
      <w:szCs w:val="21"/>
      <w:lang w:val="en-US"/>
    </w:rPr>
  </w:style>
  <w:style w:type="paragraph" w:customStyle="1" w:styleId="422">
    <w:name w:val="TOC 标题1"/>
    <w:basedOn w:val="3"/>
    <w:next w:val="1"/>
    <w:autoRedefine/>
    <w:qFormat/>
    <w:uiPriority w:val="39"/>
    <w:pPr>
      <w:widowControl/>
      <w:numPr>
        <w:numId w:val="0"/>
      </w:numPr>
      <w:spacing w:before="480" w:beforeLines="0" w:after="0" w:afterLines="0" w:line="276" w:lineRule="auto"/>
      <w:outlineLvl w:val="9"/>
    </w:pPr>
    <w:rPr>
      <w:rFonts w:ascii="Cambria" w:hAnsi="Cambria" w:eastAsia="宋体"/>
      <w:bCs/>
      <w:color w:val="365F91"/>
      <w:kern w:val="0"/>
      <w:sz w:val="28"/>
      <w:szCs w:val="28"/>
    </w:rPr>
  </w:style>
  <w:style w:type="paragraph" w:customStyle="1" w:styleId="423">
    <w:name w:val="z正文"/>
    <w:basedOn w:val="27"/>
    <w:link w:val="424"/>
    <w:autoRedefine/>
    <w:qFormat/>
    <w:uiPriority w:val="0"/>
    <w:pPr>
      <w:autoSpaceDE w:val="0"/>
      <w:autoSpaceDN w:val="0"/>
      <w:adjustRightInd w:val="0"/>
      <w:snapToGrid w:val="0"/>
      <w:spacing w:after="0"/>
      <w:ind w:left="0" w:leftChars="0"/>
      <w:textAlignment w:val="baseline"/>
    </w:pPr>
    <w:rPr>
      <w:kern w:val="0"/>
      <w:szCs w:val="20"/>
      <w:lang w:val="zh-CN"/>
    </w:rPr>
  </w:style>
  <w:style w:type="character" w:customStyle="1" w:styleId="424">
    <w:name w:val="z正文 Char"/>
    <w:link w:val="423"/>
    <w:autoRedefine/>
    <w:qFormat/>
    <w:uiPriority w:val="0"/>
    <w:rPr>
      <w:rFonts w:ascii="Times New Roman" w:hAnsi="Times New Roman" w:eastAsia="宋体" w:cs="Times New Roman"/>
      <w:kern w:val="0"/>
      <w:sz w:val="24"/>
      <w:szCs w:val="20"/>
      <w:lang w:val="zh-CN"/>
    </w:rPr>
  </w:style>
  <w:style w:type="paragraph" w:customStyle="1" w:styleId="425">
    <w:name w:val="内容"/>
    <w:basedOn w:val="1"/>
    <w:link w:val="426"/>
    <w:autoRedefine/>
    <w:qFormat/>
    <w:uiPriority w:val="99"/>
    <w:pPr>
      <w:widowControl/>
      <w:adjustRightInd w:val="0"/>
      <w:snapToGrid w:val="0"/>
      <w:jc w:val="left"/>
    </w:pPr>
    <w:rPr>
      <w:rFonts w:ascii="宋体" w:cs="宋体"/>
      <w:snapToGrid w:val="0"/>
      <w:lang w:val="en-US"/>
    </w:rPr>
  </w:style>
  <w:style w:type="character" w:customStyle="1" w:styleId="426">
    <w:name w:val="内容 字符"/>
    <w:link w:val="425"/>
    <w:autoRedefine/>
    <w:qFormat/>
    <w:uiPriority w:val="99"/>
    <w:rPr>
      <w:rFonts w:ascii="宋体" w:hAnsi="宋体" w:eastAsia="宋体" w:cs="宋体"/>
      <w:snapToGrid w:val="0"/>
      <w:kern w:val="0"/>
      <w:sz w:val="24"/>
      <w:szCs w:val="24"/>
    </w:rPr>
  </w:style>
  <w:style w:type="paragraph" w:customStyle="1" w:styleId="427">
    <w:name w:val="p0"/>
    <w:basedOn w:val="1"/>
    <w:autoRedefine/>
    <w:qFormat/>
    <w:uiPriority w:val="0"/>
    <w:pPr>
      <w:widowControl/>
      <w:spacing w:line="240" w:lineRule="auto"/>
      <w:ind w:firstLine="0" w:firstLineChars="0"/>
      <w:jc w:val="left"/>
    </w:pPr>
    <w:rPr>
      <w:rFonts w:ascii="宋体" w:cs="宋体"/>
      <w:szCs w:val="21"/>
      <w:lang w:val="en-US"/>
    </w:rPr>
  </w:style>
  <w:style w:type="paragraph" w:customStyle="1" w:styleId="428">
    <w:name w:val="表格字体"/>
    <w:basedOn w:val="1"/>
    <w:autoRedefine/>
    <w:qFormat/>
    <w:uiPriority w:val="99"/>
    <w:pPr>
      <w:widowControl/>
      <w:spacing w:line="400" w:lineRule="exact"/>
      <w:ind w:firstLine="200"/>
      <w:jc w:val="center"/>
    </w:pPr>
    <w:rPr>
      <w:rFonts w:ascii="仿宋_GB2312" w:eastAsia="仿宋_GB2312" w:cs="宋体"/>
      <w:snapToGrid w:val="0"/>
      <w:spacing w:val="2"/>
      <w:lang w:val="en-US"/>
    </w:rPr>
  </w:style>
  <w:style w:type="paragraph" w:customStyle="1" w:styleId="429">
    <w:name w:val="4 级标题"/>
    <w:basedOn w:val="1"/>
    <w:autoRedefine/>
    <w:qFormat/>
    <w:uiPriority w:val="99"/>
    <w:pPr>
      <w:widowControl/>
      <w:ind w:firstLine="0" w:firstLineChars="0"/>
      <w:jc w:val="left"/>
      <w:outlineLvl w:val="3"/>
    </w:pPr>
    <w:rPr>
      <w:rFonts w:ascii="宋体" w:cs="宋体"/>
      <w:lang w:val="en-US"/>
    </w:rPr>
  </w:style>
  <w:style w:type="paragraph" w:customStyle="1" w:styleId="430">
    <w:name w:val="封面字体"/>
    <w:basedOn w:val="1"/>
    <w:autoRedefine/>
    <w:qFormat/>
    <w:uiPriority w:val="99"/>
    <w:pPr>
      <w:widowControl/>
      <w:ind w:firstLine="0" w:firstLineChars="0"/>
      <w:jc w:val="center"/>
    </w:pPr>
    <w:rPr>
      <w:rFonts w:hint="eastAsia" w:ascii="宋体" w:cs="宋体"/>
      <w:color w:val="000000"/>
      <w:sz w:val="28"/>
      <w:lang w:val="en-US"/>
    </w:rPr>
  </w:style>
  <w:style w:type="paragraph" w:customStyle="1" w:styleId="431">
    <w:name w:val="zhang正文 + 仿宋_GB2312"/>
    <w:basedOn w:val="1"/>
    <w:autoRedefine/>
    <w:qFormat/>
    <w:uiPriority w:val="99"/>
    <w:pPr>
      <w:widowControl/>
      <w:adjustRightInd w:val="0"/>
      <w:spacing w:before="50" w:after="50" w:line="500" w:lineRule="exact"/>
      <w:ind w:firstLine="620"/>
      <w:jc w:val="left"/>
    </w:pPr>
    <w:rPr>
      <w:rFonts w:ascii="仿宋_GB2312" w:eastAsia="仿宋_GB2312" w:cs="宋体"/>
      <w:color w:val="000000"/>
      <w:spacing w:val="15"/>
      <w:sz w:val="28"/>
      <w:lang w:val="en-US"/>
    </w:rPr>
  </w:style>
  <w:style w:type="paragraph" w:customStyle="1" w:styleId="432">
    <w:name w:val="默认段落字体 Para Char Char Char Char"/>
    <w:basedOn w:val="1"/>
    <w:autoRedefine/>
    <w:qFormat/>
    <w:uiPriority w:val="0"/>
    <w:pPr>
      <w:widowControl/>
      <w:spacing w:line="240" w:lineRule="auto"/>
      <w:ind w:firstLine="0" w:firstLineChars="0"/>
      <w:jc w:val="left"/>
    </w:pPr>
    <w:rPr>
      <w:rFonts w:ascii="宋体" w:cs="宋体"/>
      <w:lang w:val="en-US"/>
    </w:rPr>
  </w:style>
  <w:style w:type="paragraph" w:customStyle="1" w:styleId="433">
    <w:name w:val="样式 样式 样式 正文首行缩进 2 + 首行缩进:  2 字符 + 首行缩进:  2 字符 + 首行缩进:  2 字符"/>
    <w:basedOn w:val="1"/>
    <w:autoRedefine/>
    <w:qFormat/>
    <w:uiPriority w:val="99"/>
    <w:pPr>
      <w:widowControl/>
      <w:spacing w:line="440" w:lineRule="exact"/>
      <w:ind w:firstLine="200"/>
      <w:jc w:val="left"/>
    </w:pPr>
    <w:rPr>
      <w:rFonts w:ascii="宋体" w:cs="宋体"/>
      <w:lang w:val="en-US"/>
    </w:rPr>
  </w:style>
  <w:style w:type="paragraph" w:customStyle="1" w:styleId="434">
    <w:name w:val="公参形式"/>
    <w:basedOn w:val="92"/>
    <w:autoRedefine/>
    <w:qFormat/>
    <w:uiPriority w:val="99"/>
    <w:pPr>
      <w:widowControl/>
      <w:adjustRightInd w:val="0"/>
      <w:spacing w:line="340" w:lineRule="exact"/>
      <w:jc w:val="both"/>
    </w:pPr>
    <w:rPr>
      <w:szCs w:val="20"/>
      <w:lang w:val="zh-CN"/>
    </w:rPr>
  </w:style>
  <w:style w:type="paragraph" w:customStyle="1" w:styleId="435">
    <w:name w:val="修正格式正文"/>
    <w:autoRedefine/>
    <w:qFormat/>
    <w:uiPriority w:val="99"/>
    <w:pPr>
      <w:tabs>
        <w:tab w:val="left" w:pos="1980"/>
        <w:tab w:val="left" w:pos="3825"/>
        <w:tab w:val="left" w:pos="4680"/>
      </w:tabs>
      <w:ind w:firstLine="200"/>
    </w:pPr>
    <w:rPr>
      <w:rFonts w:ascii="Times New Roman" w:hAnsi="Times New Roman" w:eastAsia="宋体" w:cs="Times New Roman"/>
      <w:lang w:val="en-US" w:eastAsia="zh-CN" w:bidi="ar-SA"/>
    </w:rPr>
  </w:style>
  <w:style w:type="paragraph" w:customStyle="1" w:styleId="436">
    <w:name w:val="样式 样式 样式 样式 小四 行距: 1.5 倍行距 + 首行缩进:  2 字符 + 首行缩进:  2 字符 + 首行缩进:  ..."/>
    <w:basedOn w:val="1"/>
    <w:autoRedefine/>
    <w:qFormat/>
    <w:uiPriority w:val="99"/>
    <w:pPr>
      <w:widowControl/>
      <w:snapToGrid w:val="0"/>
      <w:ind w:firstLine="592"/>
      <w:jc w:val="left"/>
    </w:pPr>
    <w:rPr>
      <w:rFonts w:ascii="宋体" w:cs="宋体"/>
      <w:spacing w:val="8"/>
      <w:lang w:val="en-US"/>
    </w:rPr>
  </w:style>
  <w:style w:type="paragraph" w:customStyle="1" w:styleId="437">
    <w:name w:val="表格文字"/>
    <w:basedOn w:val="1"/>
    <w:link w:val="438"/>
    <w:autoRedefine/>
    <w:qFormat/>
    <w:uiPriority w:val="0"/>
    <w:pPr>
      <w:widowControl/>
      <w:tabs>
        <w:tab w:val="left" w:pos="-2848"/>
      </w:tabs>
      <w:spacing w:line="264" w:lineRule="auto"/>
      <w:ind w:firstLine="200"/>
      <w:jc w:val="center"/>
    </w:pPr>
    <w:rPr>
      <w:rFonts w:hAnsi="Times New Roman"/>
      <w:kern w:val="2"/>
      <w:position w:val="-10"/>
    </w:rPr>
  </w:style>
  <w:style w:type="character" w:customStyle="1" w:styleId="438">
    <w:name w:val="表格文字 Char"/>
    <w:link w:val="437"/>
    <w:autoRedefine/>
    <w:qFormat/>
    <w:uiPriority w:val="0"/>
    <w:rPr>
      <w:rFonts w:ascii="Times New Roman" w:hAnsi="Times New Roman" w:eastAsia="宋体" w:cs="Times New Roman"/>
      <w:position w:val="-10"/>
      <w:sz w:val="24"/>
      <w:szCs w:val="24"/>
      <w:lang w:val="zh-CN"/>
    </w:rPr>
  </w:style>
  <w:style w:type="paragraph" w:customStyle="1" w:styleId="439">
    <w:name w:val="表内容"/>
    <w:autoRedefine/>
    <w:qFormat/>
    <w:uiPriority w:val="99"/>
    <w:pPr>
      <w:widowControl w:val="0"/>
      <w:spacing w:line="280" w:lineRule="exact"/>
      <w:jc w:val="center"/>
    </w:pPr>
    <w:rPr>
      <w:rFonts w:ascii="Times New Roman" w:hAnsi="Times New Roman" w:eastAsia="宋体" w:cs="Times New Roman"/>
      <w:color w:val="000000"/>
      <w:kern w:val="2"/>
      <w:sz w:val="21"/>
      <w:szCs w:val="24"/>
      <w:lang w:val="en-US" w:eastAsia="zh-CN" w:bidi="ar-SA"/>
    </w:rPr>
  </w:style>
  <w:style w:type="paragraph" w:customStyle="1" w:styleId="440">
    <w:name w:val="样式 报告正文 + 首行缩进:  2 字符"/>
    <w:basedOn w:val="1"/>
    <w:autoRedefine/>
    <w:qFormat/>
    <w:uiPriority w:val="99"/>
    <w:pPr>
      <w:widowControl/>
      <w:adjustRightInd w:val="0"/>
      <w:snapToGrid w:val="0"/>
      <w:jc w:val="left"/>
    </w:pPr>
    <w:rPr>
      <w:rFonts w:ascii="宋体" w:cs="宋体"/>
      <w:lang w:val="en-US"/>
    </w:rPr>
  </w:style>
  <w:style w:type="paragraph" w:customStyle="1" w:styleId="441">
    <w:name w:val="稿件"/>
    <w:basedOn w:val="1"/>
    <w:autoRedefine/>
    <w:qFormat/>
    <w:uiPriority w:val="99"/>
    <w:pPr>
      <w:widowControl/>
      <w:ind w:firstLine="0" w:firstLineChars="0"/>
      <w:jc w:val="center"/>
    </w:pPr>
    <w:rPr>
      <w:rFonts w:ascii="宋体" w:cs="宋体"/>
      <w:b/>
      <w:bCs/>
      <w:sz w:val="48"/>
      <w:lang w:val="en-US"/>
    </w:rPr>
  </w:style>
  <w:style w:type="paragraph" w:customStyle="1" w:styleId="442">
    <w:name w:val="环评报告书正文"/>
    <w:basedOn w:val="1"/>
    <w:autoRedefine/>
    <w:qFormat/>
    <w:uiPriority w:val="99"/>
    <w:pPr>
      <w:widowControl/>
      <w:snapToGrid w:val="0"/>
      <w:ind w:firstLine="465" w:firstLineChars="0"/>
      <w:jc w:val="left"/>
    </w:pPr>
    <w:rPr>
      <w:rFonts w:ascii="宋体" w:cs="宋体"/>
      <w:lang w:val="en-US"/>
    </w:rPr>
  </w:style>
  <w:style w:type="paragraph" w:customStyle="1" w:styleId="443">
    <w:name w:val="4"/>
    <w:basedOn w:val="1"/>
    <w:next w:val="32"/>
    <w:autoRedefine/>
    <w:qFormat/>
    <w:uiPriority w:val="99"/>
    <w:pPr>
      <w:widowControl/>
      <w:spacing w:line="240" w:lineRule="auto"/>
      <w:ind w:firstLine="0" w:firstLineChars="0"/>
      <w:jc w:val="left"/>
    </w:pPr>
    <w:rPr>
      <w:rFonts w:ascii="宋体" w:hAnsi="Courier New" w:cs="Courier New"/>
      <w:szCs w:val="21"/>
      <w:lang w:val="en-US"/>
    </w:rPr>
  </w:style>
  <w:style w:type="paragraph" w:customStyle="1" w:styleId="444">
    <w:name w:val="a表头"/>
    <w:basedOn w:val="1"/>
    <w:autoRedefine/>
    <w:qFormat/>
    <w:uiPriority w:val="99"/>
    <w:pPr>
      <w:widowControl/>
      <w:suppressAutoHyphens/>
      <w:spacing w:line="300" w:lineRule="exact"/>
      <w:ind w:firstLine="0" w:firstLineChars="0"/>
      <w:jc w:val="center"/>
    </w:pPr>
    <w:rPr>
      <w:rFonts w:ascii="宋体" w:eastAsia="楷体_GB2312" w:cs="宋体"/>
      <w:b/>
      <w:color w:val="000000"/>
      <w:kern w:val="1"/>
      <w:lang w:val="en-US" w:eastAsia="ar-SA"/>
    </w:rPr>
  </w:style>
  <w:style w:type="paragraph" w:customStyle="1" w:styleId="445">
    <w:name w:val="样式 小四 行距: 1.5 倍行距"/>
    <w:basedOn w:val="1"/>
    <w:autoRedefine/>
    <w:qFormat/>
    <w:uiPriority w:val="99"/>
    <w:pPr>
      <w:widowControl/>
      <w:ind w:firstLine="200"/>
      <w:jc w:val="left"/>
    </w:pPr>
    <w:rPr>
      <w:rFonts w:ascii="宋体" w:cs="宋体"/>
      <w:lang w:val="en-US"/>
    </w:rPr>
  </w:style>
  <w:style w:type="paragraph" w:customStyle="1" w:styleId="446">
    <w:name w:val="标题四"/>
    <w:basedOn w:val="1"/>
    <w:autoRedefine/>
    <w:qFormat/>
    <w:uiPriority w:val="99"/>
    <w:pPr>
      <w:widowControl/>
      <w:autoSpaceDE w:val="0"/>
      <w:autoSpaceDN w:val="0"/>
      <w:adjustRightInd w:val="0"/>
      <w:snapToGrid w:val="0"/>
      <w:spacing w:before="50" w:beforeLines="50" w:after="50" w:afterLines="50" w:line="560" w:lineRule="exact"/>
      <w:ind w:firstLine="0" w:firstLineChars="0"/>
      <w:jc w:val="left"/>
      <w:textAlignment w:val="baseline"/>
      <w:outlineLvl w:val="3"/>
    </w:pPr>
    <w:rPr>
      <w:rFonts w:ascii="宋体" w:eastAsia="黑体" w:cs="宋体"/>
      <w:bCs/>
      <w:color w:val="000000"/>
      <w:sz w:val="28"/>
      <w:u w:color="000000"/>
    </w:rPr>
  </w:style>
  <w:style w:type="paragraph" w:customStyle="1" w:styleId="447">
    <w:name w:val="样式 左侧:  0.85 厘米"/>
    <w:basedOn w:val="1"/>
    <w:autoRedefine/>
    <w:qFormat/>
    <w:uiPriority w:val="99"/>
    <w:pPr>
      <w:widowControl/>
      <w:spacing w:line="240" w:lineRule="auto"/>
      <w:ind w:firstLine="0" w:firstLineChars="0"/>
      <w:jc w:val="left"/>
    </w:pPr>
    <w:rPr>
      <w:rFonts w:ascii="宋体" w:cs="宋体"/>
      <w:lang w:val="en-US"/>
    </w:rPr>
  </w:style>
  <w:style w:type="table" w:customStyle="1" w:styleId="448">
    <w:name w:val="表格样式1"/>
    <w:basedOn w:val="58"/>
    <w:autoRedefine/>
    <w:qFormat/>
    <w:uiPriority w:val="0"/>
    <w:pPr>
      <w:jc w:val="center"/>
    </w:p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table" w:customStyle="1" w:styleId="449">
    <w:name w:val="standard"/>
    <w:basedOn w:val="58"/>
    <w:autoRedefine/>
    <w:qFormat/>
    <w:uiPriority w:val="0"/>
    <w:pPr>
      <w:jc w:val="center"/>
    </w:pPr>
    <w:tblPr>
      <w:tblBorders>
        <w:top w:val="single" w:color="auto" w:sz="18" w:space="0"/>
        <w:bottom w:val="single" w:color="auto" w:sz="18" w:space="0"/>
        <w:insideH w:val="single" w:color="auto" w:sz="4" w:space="0"/>
        <w:insideV w:val="single" w:color="auto" w:sz="4" w:space="0"/>
      </w:tblBorders>
    </w:tblPr>
    <w:tcPr>
      <w:vAlign w:val="center"/>
    </w:tcPr>
  </w:style>
  <w:style w:type="paragraph" w:customStyle="1" w:styleId="450">
    <w:name w:val="样式5 表格"/>
    <w:basedOn w:val="1"/>
    <w:autoRedefine/>
    <w:qFormat/>
    <w:uiPriority w:val="99"/>
    <w:pPr>
      <w:widowControl/>
      <w:snapToGrid w:val="0"/>
      <w:spacing w:line="240" w:lineRule="auto"/>
      <w:ind w:firstLine="0" w:firstLineChars="0"/>
      <w:jc w:val="center"/>
    </w:pPr>
    <w:rPr>
      <w:rFonts w:ascii="宋体" w:cs="Courier New"/>
      <w:szCs w:val="21"/>
      <w:lang w:val="en-US"/>
    </w:rPr>
  </w:style>
  <w:style w:type="character" w:customStyle="1" w:styleId="451">
    <w:name w:val="H4 Char"/>
    <w:autoRedefine/>
    <w:qFormat/>
    <w:uiPriority w:val="0"/>
    <w:rPr>
      <w:rFonts w:ascii="Arial" w:hAnsi="Arial" w:eastAsia="宋体"/>
      <w:kern w:val="2"/>
      <w:sz w:val="24"/>
    </w:rPr>
  </w:style>
  <w:style w:type="paragraph" w:customStyle="1" w:styleId="452">
    <w:name w:val="列表段落1"/>
    <w:basedOn w:val="1"/>
    <w:autoRedefine/>
    <w:qFormat/>
    <w:uiPriority w:val="99"/>
    <w:pPr>
      <w:widowControl/>
      <w:spacing w:before="100" w:beforeAutospacing="1" w:after="100" w:afterAutospacing="1" w:line="240" w:lineRule="auto"/>
      <w:ind w:firstLine="420"/>
      <w:jc w:val="left"/>
    </w:pPr>
    <w:rPr>
      <w:rFonts w:ascii="宋体" w:cs="宋体"/>
      <w:szCs w:val="21"/>
      <w:lang w:val="en-US"/>
    </w:rPr>
  </w:style>
  <w:style w:type="paragraph" w:customStyle="1" w:styleId="453">
    <w:name w:val="规划正文"/>
    <w:basedOn w:val="1"/>
    <w:autoRedefine/>
    <w:qFormat/>
    <w:uiPriority w:val="99"/>
    <w:pPr>
      <w:widowControl/>
      <w:adjustRightInd w:val="0"/>
      <w:spacing w:line="240" w:lineRule="auto"/>
      <w:ind w:firstLine="539" w:firstLineChars="0"/>
      <w:jc w:val="left"/>
      <w:textAlignment w:val="baseline"/>
    </w:pPr>
    <w:rPr>
      <w:rFonts w:ascii="宋体" w:eastAsia="仿宋_GB2312" w:cs="宋体"/>
      <w:sz w:val="28"/>
      <w:lang w:val="en-US"/>
    </w:rPr>
  </w:style>
  <w:style w:type="paragraph" w:customStyle="1" w:styleId="454">
    <w:name w:val="p15"/>
    <w:basedOn w:val="1"/>
    <w:autoRedefine/>
    <w:qFormat/>
    <w:uiPriority w:val="99"/>
    <w:pPr>
      <w:widowControl/>
      <w:ind w:firstLine="420" w:firstLineChars="0"/>
      <w:jc w:val="left"/>
    </w:pPr>
    <w:rPr>
      <w:rFonts w:ascii="宋体" w:cs="宋体"/>
      <w:lang w:val="en-US"/>
    </w:rPr>
  </w:style>
  <w:style w:type="character" w:customStyle="1" w:styleId="455">
    <w:name w:val="大纲正文 Char Char"/>
    <w:autoRedefine/>
    <w:qFormat/>
    <w:uiPriority w:val="0"/>
    <w:rPr>
      <w:rFonts w:cs="宋体"/>
      <w:kern w:val="2"/>
      <w:sz w:val="24"/>
    </w:rPr>
  </w:style>
  <w:style w:type="character" w:customStyle="1" w:styleId="456">
    <w:name w:val="文本2 Char"/>
    <w:link w:val="457"/>
    <w:autoRedefine/>
    <w:qFormat/>
    <w:uiPriority w:val="0"/>
    <w:rPr>
      <w:sz w:val="24"/>
      <w:szCs w:val="28"/>
      <w:lang w:val="zh-CN"/>
    </w:rPr>
  </w:style>
  <w:style w:type="paragraph" w:customStyle="1" w:styleId="457">
    <w:name w:val="文本2"/>
    <w:basedOn w:val="1"/>
    <w:link w:val="456"/>
    <w:autoRedefine/>
    <w:qFormat/>
    <w:uiPriority w:val="0"/>
    <w:pPr>
      <w:widowControl/>
      <w:ind w:firstLine="200"/>
      <w:jc w:val="left"/>
    </w:pPr>
    <w:rPr>
      <w:rFonts w:asciiTheme="minorHAnsi" w:hAnsiTheme="minorHAnsi" w:eastAsiaTheme="minorEastAsia" w:cstheme="minorBidi"/>
      <w:kern w:val="2"/>
      <w:szCs w:val="28"/>
    </w:rPr>
  </w:style>
  <w:style w:type="character" w:customStyle="1" w:styleId="458">
    <w:name w:val="脚注文本 Char1"/>
    <w:autoRedefine/>
    <w:qFormat/>
    <w:uiPriority w:val="99"/>
    <w:rPr>
      <w:kern w:val="2"/>
      <w:sz w:val="18"/>
      <w:szCs w:val="18"/>
    </w:rPr>
  </w:style>
  <w:style w:type="table" w:customStyle="1" w:styleId="459">
    <w:name w:val="ZZX-标准格式"/>
    <w:basedOn w:val="58"/>
    <w:autoRedefine/>
    <w:qFormat/>
    <w:uiPriority w:val="0"/>
    <w:rPr>
      <w:szCs w:val="21"/>
    </w:rPr>
    <w:tblPr>
      <w:tblBorders>
        <w:top w:val="single" w:color="auto" w:sz="18" w:space="0"/>
        <w:bottom w:val="single" w:color="auto" w:sz="18" w:space="0"/>
        <w:insideH w:val="single" w:color="auto" w:sz="4" w:space="0"/>
        <w:insideV w:val="single" w:color="auto" w:sz="4" w:space="0"/>
      </w:tblBorders>
    </w:tblPr>
  </w:style>
  <w:style w:type="character" w:customStyle="1" w:styleId="460">
    <w:name w:val="样式 四号 Char Char"/>
    <w:link w:val="461"/>
    <w:autoRedefine/>
    <w:qFormat/>
    <w:uiPriority w:val="0"/>
    <w:rPr>
      <w:rFonts w:hAnsi="宋体"/>
      <w:sz w:val="28"/>
      <w:szCs w:val="28"/>
    </w:rPr>
  </w:style>
  <w:style w:type="paragraph" w:customStyle="1" w:styleId="461">
    <w:name w:val="样式 四号"/>
    <w:basedOn w:val="1"/>
    <w:link w:val="460"/>
    <w:autoRedefine/>
    <w:qFormat/>
    <w:uiPriority w:val="0"/>
    <w:pPr>
      <w:widowControl/>
      <w:spacing w:line="600" w:lineRule="exact"/>
      <w:ind w:firstLine="601" w:firstLineChars="0"/>
      <w:jc w:val="left"/>
    </w:pPr>
    <w:rPr>
      <w:rFonts w:asciiTheme="minorHAnsi" w:eastAsiaTheme="minorEastAsia" w:cstheme="minorBidi"/>
      <w:kern w:val="2"/>
      <w:sz w:val="28"/>
      <w:szCs w:val="28"/>
      <w:lang w:val="en-US"/>
    </w:rPr>
  </w:style>
  <w:style w:type="paragraph" w:customStyle="1" w:styleId="462">
    <w:name w:val="2"/>
    <w:autoRedefine/>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463">
    <w:name w:val="Char Char Char1"/>
    <w:link w:val="464"/>
    <w:autoRedefine/>
    <w:qFormat/>
    <w:uiPriority w:val="0"/>
    <w:rPr>
      <w:rFonts w:ascii="Calibri" w:hAnsi="Calibri"/>
    </w:rPr>
  </w:style>
  <w:style w:type="paragraph" w:customStyle="1" w:styleId="464">
    <w:name w:val="Char4"/>
    <w:basedOn w:val="1"/>
    <w:link w:val="463"/>
    <w:autoRedefine/>
    <w:qFormat/>
    <w:uiPriority w:val="0"/>
    <w:pPr>
      <w:widowControl/>
      <w:spacing w:line="240" w:lineRule="auto"/>
      <w:ind w:firstLine="0" w:firstLineChars="0"/>
      <w:jc w:val="left"/>
    </w:pPr>
    <w:rPr>
      <w:rFonts w:ascii="Calibri" w:hAnsi="Calibri" w:eastAsiaTheme="minorEastAsia" w:cstheme="minorBidi"/>
      <w:kern w:val="2"/>
      <w:sz w:val="21"/>
      <w:szCs w:val="22"/>
      <w:lang w:val="en-US"/>
    </w:rPr>
  </w:style>
  <w:style w:type="character" w:customStyle="1" w:styleId="465">
    <w:name w:val="表与图题 题注 Char"/>
    <w:link w:val="466"/>
    <w:autoRedefine/>
    <w:qFormat/>
    <w:uiPriority w:val="0"/>
    <w:rPr>
      <w:rFonts w:ascii="Arial" w:hAnsi="Arial" w:cs="宋体"/>
      <w:sz w:val="18"/>
      <w:szCs w:val="21"/>
    </w:rPr>
  </w:style>
  <w:style w:type="paragraph" w:customStyle="1" w:styleId="466">
    <w:name w:val="表与图题 题注"/>
    <w:basedOn w:val="19"/>
    <w:link w:val="465"/>
    <w:autoRedefine/>
    <w:qFormat/>
    <w:uiPriority w:val="0"/>
    <w:rPr>
      <w:rFonts w:cs="宋体" w:eastAsiaTheme="minorEastAsia"/>
      <w:szCs w:val="21"/>
      <w:lang w:val="en-US"/>
    </w:rPr>
  </w:style>
  <w:style w:type="paragraph" w:customStyle="1" w:styleId="467">
    <w:name w:val="样式 (符号) 宋体 首行缩进:  1.01 厘米"/>
    <w:basedOn w:val="1"/>
    <w:autoRedefine/>
    <w:qFormat/>
    <w:uiPriority w:val="99"/>
    <w:pPr>
      <w:widowControl/>
      <w:jc w:val="left"/>
    </w:pPr>
    <w:rPr>
      <w:rFonts w:ascii="宋体" w:cs="宋体"/>
      <w:lang w:val="en-US"/>
    </w:rPr>
  </w:style>
  <w:style w:type="paragraph" w:customStyle="1" w:styleId="468">
    <w:name w:val="样式 正文文本缩进正文文字缩进 + (符号) 宋体 首行缩进:  0.99 厘米 段后: 0 磅 行距: 1.5 倍行距"/>
    <w:basedOn w:val="27"/>
    <w:autoRedefine/>
    <w:qFormat/>
    <w:uiPriority w:val="99"/>
    <w:pPr>
      <w:spacing w:after="0"/>
      <w:ind w:left="0" w:leftChars="0" w:firstLine="560" w:firstLineChars="0"/>
    </w:pPr>
    <w:rPr>
      <w:rFonts w:ascii="宋体" w:hAnsi="宋体" w:cs="宋体"/>
      <w:kern w:val="0"/>
      <w:szCs w:val="20"/>
      <w:lang w:val="zh-CN"/>
    </w:rPr>
  </w:style>
  <w:style w:type="paragraph" w:customStyle="1" w:styleId="469">
    <w:name w:val="目录"/>
    <w:basedOn w:val="1"/>
    <w:autoRedefine/>
    <w:qFormat/>
    <w:uiPriority w:val="99"/>
    <w:pPr>
      <w:widowControl/>
      <w:tabs>
        <w:tab w:val="left" w:pos="1980"/>
        <w:tab w:val="left" w:pos="3825"/>
        <w:tab w:val="left" w:pos="4680"/>
      </w:tabs>
      <w:ind w:firstLine="0" w:firstLineChars="0"/>
      <w:jc w:val="center"/>
    </w:pPr>
    <w:rPr>
      <w:rFonts w:ascii="宋体" w:cs="宋体"/>
      <w:b/>
      <w:sz w:val="28"/>
      <w:lang w:val="en-US"/>
    </w:rPr>
  </w:style>
  <w:style w:type="paragraph" w:customStyle="1" w:styleId="470">
    <w:name w:val="表格内文字+六号"/>
    <w:basedOn w:val="1"/>
    <w:autoRedefine/>
    <w:qFormat/>
    <w:uiPriority w:val="99"/>
    <w:pPr>
      <w:widowControl/>
      <w:tabs>
        <w:tab w:val="left" w:pos="1980"/>
        <w:tab w:val="left" w:pos="3825"/>
        <w:tab w:val="left" w:pos="4680"/>
      </w:tabs>
      <w:spacing w:line="240" w:lineRule="auto"/>
      <w:ind w:firstLine="0" w:firstLineChars="0"/>
      <w:jc w:val="center"/>
    </w:pPr>
    <w:rPr>
      <w:rFonts w:ascii="宋体" w:cs="宋体"/>
      <w:color w:val="000000"/>
      <w:sz w:val="15"/>
      <w:lang w:val="en-US"/>
    </w:rPr>
  </w:style>
  <w:style w:type="paragraph" w:customStyle="1" w:styleId="471">
    <w:name w:val="表格内文字（倾斜）"/>
    <w:basedOn w:val="1"/>
    <w:link w:val="472"/>
    <w:autoRedefine/>
    <w:qFormat/>
    <w:uiPriority w:val="0"/>
    <w:pPr>
      <w:widowControl/>
      <w:tabs>
        <w:tab w:val="left" w:pos="1980"/>
        <w:tab w:val="left" w:pos="3825"/>
        <w:tab w:val="left" w:pos="4680"/>
      </w:tabs>
      <w:spacing w:line="240" w:lineRule="auto"/>
      <w:ind w:firstLine="0" w:firstLineChars="0"/>
      <w:jc w:val="center"/>
    </w:pPr>
    <w:rPr>
      <w:rFonts w:hAnsi="Times New Roman"/>
      <w:i/>
      <w:snapToGrid w:val="0"/>
      <w:color w:val="000000"/>
      <w:sz w:val="20"/>
    </w:rPr>
  </w:style>
  <w:style w:type="character" w:customStyle="1" w:styleId="472">
    <w:name w:val="表格内文字（倾斜） Char"/>
    <w:link w:val="471"/>
    <w:autoRedefine/>
    <w:qFormat/>
    <w:uiPriority w:val="0"/>
    <w:rPr>
      <w:rFonts w:ascii="Times New Roman" w:hAnsi="Times New Roman" w:eastAsia="宋体" w:cs="Times New Roman"/>
      <w:i/>
      <w:snapToGrid w:val="0"/>
      <w:color w:val="000000"/>
      <w:kern w:val="0"/>
      <w:sz w:val="20"/>
      <w:szCs w:val="24"/>
      <w:lang w:val="zh-CN"/>
    </w:rPr>
  </w:style>
  <w:style w:type="character" w:customStyle="1" w:styleId="473">
    <w:name w:val="样式 加粗"/>
    <w:autoRedefine/>
    <w:qFormat/>
    <w:uiPriority w:val="0"/>
    <w:rPr>
      <w:rFonts w:ascii="Times New Roman" w:hAnsi="Times New Roman" w:eastAsia="宋体"/>
      <w:b/>
      <w:bCs/>
      <w:sz w:val="24"/>
      <w:szCs w:val="24"/>
    </w:rPr>
  </w:style>
  <w:style w:type="paragraph" w:customStyle="1" w:styleId="474">
    <w:name w:val="样式 加粗 居中"/>
    <w:basedOn w:val="1"/>
    <w:autoRedefine/>
    <w:qFormat/>
    <w:uiPriority w:val="99"/>
    <w:pPr>
      <w:widowControl/>
      <w:suppressAutoHyphens/>
      <w:ind w:firstLine="0" w:firstLineChars="0"/>
      <w:jc w:val="center"/>
    </w:pPr>
    <w:rPr>
      <w:rFonts w:ascii="宋体" w:cs="宋体"/>
      <w:b/>
      <w:bCs/>
      <w:kern w:val="1"/>
      <w:lang w:val="en-US" w:eastAsia="ar-SA"/>
    </w:rPr>
  </w:style>
  <w:style w:type="paragraph" w:customStyle="1" w:styleId="475">
    <w:name w:val="1"/>
    <w:basedOn w:val="1"/>
    <w:next w:val="32"/>
    <w:autoRedefine/>
    <w:qFormat/>
    <w:uiPriority w:val="99"/>
    <w:pPr>
      <w:widowControl/>
      <w:spacing w:line="240" w:lineRule="auto"/>
      <w:ind w:firstLine="0" w:firstLineChars="0"/>
      <w:jc w:val="left"/>
    </w:pPr>
    <w:rPr>
      <w:rFonts w:ascii="宋体" w:hAnsi="Courier New" w:cs="宋体"/>
      <w:lang w:val="en-US"/>
    </w:rPr>
  </w:style>
  <w:style w:type="paragraph" w:customStyle="1" w:styleId="476">
    <w:name w:val="图表（FAM）"/>
    <w:basedOn w:val="85"/>
    <w:next w:val="1"/>
    <w:autoRedefine/>
    <w:qFormat/>
    <w:uiPriority w:val="99"/>
  </w:style>
  <w:style w:type="paragraph" w:customStyle="1" w:styleId="477">
    <w:name w:val="表格内容-改"/>
    <w:basedOn w:val="1"/>
    <w:next w:val="1"/>
    <w:autoRedefine/>
    <w:qFormat/>
    <w:uiPriority w:val="99"/>
    <w:pPr>
      <w:widowControl/>
      <w:spacing w:line="240" w:lineRule="auto"/>
      <w:ind w:firstLine="0" w:firstLineChars="0"/>
      <w:jc w:val="center"/>
    </w:pPr>
    <w:rPr>
      <w:rFonts w:ascii="宋体" w:cs="宋体"/>
      <w:lang w:val="en-US"/>
    </w:rPr>
  </w:style>
  <w:style w:type="paragraph" w:customStyle="1" w:styleId="478">
    <w:name w:val="表格标题-改"/>
    <w:basedOn w:val="1"/>
    <w:autoRedefine/>
    <w:qFormat/>
    <w:uiPriority w:val="99"/>
    <w:pPr>
      <w:widowControl/>
      <w:ind w:firstLine="0" w:firstLineChars="0"/>
      <w:jc w:val="center"/>
    </w:pPr>
    <w:rPr>
      <w:rFonts w:ascii="宋体" w:cs="宋体"/>
      <w:b/>
      <w:lang w:val="en-US"/>
    </w:rPr>
  </w:style>
  <w:style w:type="paragraph" w:customStyle="1" w:styleId="479">
    <w:name w:val="注释"/>
    <w:basedOn w:val="1"/>
    <w:autoRedefine/>
    <w:qFormat/>
    <w:uiPriority w:val="99"/>
    <w:pPr>
      <w:widowControl/>
      <w:spacing w:before="60" w:line="240" w:lineRule="auto"/>
      <w:ind w:firstLine="200"/>
      <w:jc w:val="left"/>
    </w:pPr>
    <w:rPr>
      <w:rFonts w:ascii="宋体" w:cs="宋体"/>
      <w:b/>
      <w:bCs/>
      <w:sz w:val="18"/>
      <w:lang w:val="en-US" w:eastAsia="en-US" w:bidi="en-US"/>
    </w:rPr>
  </w:style>
  <w:style w:type="paragraph" w:customStyle="1" w:styleId="480">
    <w:name w:val="样式 表格内容 +"/>
    <w:basedOn w:val="92"/>
    <w:autoRedefine/>
    <w:qFormat/>
    <w:uiPriority w:val="99"/>
    <w:pPr>
      <w:widowControl/>
      <w:spacing w:line="340" w:lineRule="exact"/>
    </w:pPr>
    <w:rPr>
      <w:rFonts w:ascii="Calibri" w:hAnsi="Calibri"/>
      <w:color w:val="000000"/>
      <w:kern w:val="0"/>
      <w:sz w:val="20"/>
      <w:lang w:val="zh-CN"/>
    </w:rPr>
  </w:style>
  <w:style w:type="paragraph" w:customStyle="1" w:styleId="481">
    <w:name w:val="正文1.5倍距"/>
    <w:basedOn w:val="482"/>
    <w:autoRedefine/>
    <w:qFormat/>
    <w:uiPriority w:val="99"/>
    <w:pPr>
      <w:spacing w:line="360" w:lineRule="auto"/>
    </w:pPr>
  </w:style>
  <w:style w:type="paragraph" w:customStyle="1" w:styleId="482">
    <w:name w:val="正文格式2012"/>
    <w:basedOn w:val="1"/>
    <w:autoRedefine/>
    <w:qFormat/>
    <w:uiPriority w:val="99"/>
    <w:pPr>
      <w:widowControl/>
      <w:spacing w:line="480" w:lineRule="auto"/>
      <w:ind w:firstLine="560"/>
      <w:jc w:val="left"/>
    </w:pPr>
    <w:rPr>
      <w:rFonts w:ascii="宋体" w:cs="仿宋_GB2312"/>
      <w:color w:val="000000"/>
      <w:sz w:val="28"/>
      <w:szCs w:val="28"/>
      <w:lang w:val="en-US"/>
    </w:rPr>
  </w:style>
  <w:style w:type="paragraph" w:customStyle="1" w:styleId="483">
    <w:name w:val="表格2015"/>
    <w:basedOn w:val="1"/>
    <w:autoRedefine/>
    <w:qFormat/>
    <w:uiPriority w:val="99"/>
    <w:pPr>
      <w:widowControl/>
      <w:autoSpaceDE w:val="0"/>
      <w:autoSpaceDN w:val="0"/>
      <w:ind w:firstLine="0" w:firstLineChars="0"/>
      <w:jc w:val="center"/>
    </w:pPr>
    <w:rPr>
      <w:rFonts w:ascii="宋体" w:cs="宋体"/>
      <w:b/>
      <w:color w:val="000000"/>
      <w:sz w:val="30"/>
      <w:szCs w:val="30"/>
      <w:lang w:val="en-US"/>
    </w:rPr>
  </w:style>
  <w:style w:type="character" w:customStyle="1" w:styleId="484">
    <w:name w:val="表头 Char1"/>
    <w:autoRedefine/>
    <w:qFormat/>
    <w:uiPriority w:val="0"/>
    <w:rPr>
      <w:rFonts w:ascii="Times New Roman" w:hAnsi="Times New Roman" w:eastAsia="宋体" w:cs="宋体"/>
      <w:b/>
      <w:bCs/>
      <w:color w:val="000000"/>
      <w:kern w:val="2"/>
      <w:sz w:val="24"/>
      <w:szCs w:val="20"/>
    </w:rPr>
  </w:style>
  <w:style w:type="paragraph" w:customStyle="1" w:styleId="485">
    <w:name w:val="图名 小四 加粗"/>
    <w:autoRedefine/>
    <w:qFormat/>
    <w:uiPriority w:val="99"/>
    <w:pPr>
      <w:spacing w:line="360" w:lineRule="auto"/>
      <w:jc w:val="center"/>
    </w:pPr>
    <w:rPr>
      <w:rFonts w:ascii="Times New Roman" w:hAnsi="Times New Roman" w:eastAsia="宋体" w:cs="Times New Roman"/>
      <w:b/>
      <w:kern w:val="2"/>
      <w:sz w:val="24"/>
      <w:szCs w:val="24"/>
      <w:lang w:val="en-US" w:eastAsia="zh-CN" w:bidi="ar-SA"/>
    </w:rPr>
  </w:style>
  <w:style w:type="character" w:customStyle="1" w:styleId="486">
    <w:name w:val="正文(首行缩进) Char"/>
    <w:autoRedefine/>
    <w:qFormat/>
    <w:uiPriority w:val="0"/>
    <w:rPr>
      <w:rFonts w:ascii="宋体" w:hAnsi="宋体" w:eastAsia="宋体" w:cs="Times New Roman"/>
      <w:color w:val="000000"/>
      <w:kern w:val="24"/>
      <w:sz w:val="24"/>
      <w:szCs w:val="20"/>
      <w:lang w:val="zh-CN" w:eastAsia="zh-CN"/>
    </w:rPr>
  </w:style>
  <w:style w:type="paragraph" w:customStyle="1" w:styleId="487">
    <w:name w:val="标题一啊"/>
    <w:basedOn w:val="3"/>
    <w:autoRedefine/>
    <w:qFormat/>
    <w:uiPriority w:val="99"/>
    <w:pPr>
      <w:widowControl/>
      <w:numPr>
        <w:numId w:val="0"/>
      </w:numPr>
      <w:spacing w:before="240" w:beforeLines="0" w:after="240" w:afterLines="0"/>
      <w:jc w:val="both"/>
    </w:pPr>
    <w:rPr>
      <w:rFonts w:ascii="宋体" w:hAnsi="宋体" w:eastAsia="黑体"/>
      <w:bCs/>
      <w:color w:val="000000"/>
      <w:sz w:val="36"/>
      <w:szCs w:val="32"/>
    </w:rPr>
  </w:style>
  <w:style w:type="character" w:customStyle="1" w:styleId="488">
    <w:name w:val="1章(治) Char"/>
    <w:link w:val="489"/>
    <w:autoRedefine/>
    <w:qFormat/>
    <w:uiPriority w:val="0"/>
    <w:rPr>
      <w:rFonts w:eastAsia="黑体"/>
      <w:b/>
      <w:color w:val="000000"/>
      <w:sz w:val="32"/>
      <w:szCs w:val="32"/>
    </w:rPr>
  </w:style>
  <w:style w:type="paragraph" w:customStyle="1" w:styleId="489">
    <w:name w:val="1章(治)"/>
    <w:basedOn w:val="1"/>
    <w:next w:val="1"/>
    <w:link w:val="488"/>
    <w:autoRedefine/>
    <w:qFormat/>
    <w:uiPriority w:val="0"/>
    <w:pPr>
      <w:widowControl/>
      <w:ind w:firstLine="0" w:firstLineChars="0"/>
      <w:jc w:val="center"/>
      <w:outlineLvl w:val="0"/>
    </w:pPr>
    <w:rPr>
      <w:rFonts w:eastAsia="黑体" w:asciiTheme="minorHAnsi" w:hAnsiTheme="minorHAnsi" w:cstheme="minorBidi"/>
      <w:b/>
      <w:color w:val="000000"/>
      <w:kern w:val="2"/>
      <w:sz w:val="32"/>
      <w:szCs w:val="32"/>
      <w:lang w:val="en-US"/>
    </w:rPr>
  </w:style>
  <w:style w:type="paragraph" w:customStyle="1" w:styleId="490">
    <w:name w:val="head1"/>
    <w:basedOn w:val="1"/>
    <w:next w:val="1"/>
    <w:autoRedefine/>
    <w:qFormat/>
    <w:uiPriority w:val="99"/>
    <w:pPr>
      <w:keepNext/>
      <w:widowControl/>
      <w:adjustRightInd w:val="0"/>
      <w:snapToGrid w:val="0"/>
      <w:spacing w:line="500" w:lineRule="exact"/>
      <w:ind w:firstLine="0" w:firstLineChars="0"/>
      <w:jc w:val="center"/>
      <w:textAlignment w:val="baseline"/>
    </w:pPr>
    <w:rPr>
      <w:rFonts w:ascii="宋体" w:eastAsia="黑体" w:cs="宋体"/>
      <w:sz w:val="28"/>
      <w:lang w:val="en-US"/>
    </w:rPr>
  </w:style>
  <w:style w:type="paragraph" w:customStyle="1" w:styleId="491">
    <w:name w:val="标题4啊啊啊啊 啊"/>
    <w:basedOn w:val="1"/>
    <w:link w:val="492"/>
    <w:autoRedefine/>
    <w:qFormat/>
    <w:uiPriority w:val="0"/>
    <w:pPr>
      <w:keepNext/>
      <w:keepLines/>
      <w:widowControl/>
      <w:ind w:firstLine="0" w:firstLineChars="0"/>
      <w:jc w:val="left"/>
      <w:outlineLvl w:val="3"/>
    </w:pPr>
    <w:rPr>
      <w:rFonts w:hAnsi="Times New Roman"/>
      <w:b/>
      <w:bCs/>
      <w:color w:val="000000"/>
      <w:szCs w:val="28"/>
    </w:rPr>
  </w:style>
  <w:style w:type="character" w:customStyle="1" w:styleId="492">
    <w:name w:val="标题4啊啊啊啊 啊 Char"/>
    <w:link w:val="491"/>
    <w:autoRedefine/>
    <w:qFormat/>
    <w:uiPriority w:val="0"/>
    <w:rPr>
      <w:rFonts w:ascii="Times New Roman" w:hAnsi="Times New Roman" w:eastAsia="宋体" w:cs="Times New Roman"/>
      <w:b/>
      <w:bCs/>
      <w:color w:val="000000"/>
      <w:kern w:val="0"/>
      <w:sz w:val="24"/>
      <w:szCs w:val="28"/>
      <w:lang w:val="zh-CN"/>
    </w:rPr>
  </w:style>
  <w:style w:type="paragraph" w:customStyle="1" w:styleId="493">
    <w:name w:val="zzzzz"/>
    <w:basedOn w:val="1"/>
    <w:link w:val="494"/>
    <w:autoRedefine/>
    <w:qFormat/>
    <w:uiPriority w:val="0"/>
    <w:pPr>
      <w:widowControl/>
      <w:adjustRightInd w:val="0"/>
      <w:snapToGrid w:val="0"/>
      <w:jc w:val="left"/>
    </w:pPr>
    <w:rPr>
      <w:color w:val="000000"/>
      <w:lang w:bidi="en-US"/>
    </w:rPr>
  </w:style>
  <w:style w:type="character" w:customStyle="1" w:styleId="494">
    <w:name w:val="zzzzz Char"/>
    <w:link w:val="493"/>
    <w:autoRedefine/>
    <w:qFormat/>
    <w:uiPriority w:val="0"/>
    <w:rPr>
      <w:rFonts w:ascii="Times New Roman" w:hAnsi="宋体" w:eastAsia="宋体" w:cs="Times New Roman"/>
      <w:color w:val="000000"/>
      <w:kern w:val="0"/>
      <w:sz w:val="24"/>
      <w:szCs w:val="24"/>
      <w:lang w:val="zh-CN" w:bidi="en-US"/>
    </w:rPr>
  </w:style>
  <w:style w:type="paragraph" w:customStyle="1" w:styleId="495">
    <w:name w:val="Char Char Char Char Char Char"/>
    <w:basedOn w:val="1"/>
    <w:autoRedefine/>
    <w:qFormat/>
    <w:uiPriority w:val="0"/>
    <w:pPr>
      <w:widowControl/>
      <w:spacing w:line="240" w:lineRule="auto"/>
      <w:ind w:firstLine="0" w:firstLineChars="0"/>
      <w:jc w:val="left"/>
    </w:pPr>
    <w:rPr>
      <w:rFonts w:ascii="宋体" w:cs="宋体"/>
      <w:lang w:val="en-US"/>
    </w:rPr>
  </w:style>
  <w:style w:type="paragraph" w:customStyle="1" w:styleId="496">
    <w:name w:val="Char Char Char Char1"/>
    <w:basedOn w:val="1"/>
    <w:autoRedefine/>
    <w:qFormat/>
    <w:uiPriority w:val="0"/>
    <w:pPr>
      <w:widowControl/>
      <w:spacing w:line="240" w:lineRule="auto"/>
      <w:ind w:firstLine="0" w:firstLineChars="0"/>
      <w:jc w:val="left"/>
    </w:pPr>
    <w:rPr>
      <w:rFonts w:ascii="宋体" w:cs="宋体"/>
      <w:szCs w:val="21"/>
      <w:lang w:val="en-US"/>
    </w:rPr>
  </w:style>
  <w:style w:type="paragraph" w:customStyle="1" w:styleId="497">
    <w:name w:val="标题一"/>
    <w:basedOn w:val="3"/>
    <w:autoRedefine/>
    <w:qFormat/>
    <w:uiPriority w:val="99"/>
    <w:pPr>
      <w:widowControl/>
      <w:numPr>
        <w:numId w:val="3"/>
      </w:numPr>
      <w:spacing w:before="0" w:beforeLines="100" w:after="0" w:afterLines="100"/>
      <w:jc w:val="center"/>
    </w:pPr>
    <w:rPr>
      <w:rFonts w:ascii="宋体" w:hAnsi="宋体" w:eastAsia="黑体"/>
      <w:bCs/>
      <w:snapToGrid w:val="0"/>
      <w:color w:val="000000"/>
      <w:kern w:val="18"/>
      <w:szCs w:val="24"/>
    </w:rPr>
  </w:style>
  <w:style w:type="paragraph" w:customStyle="1" w:styleId="498">
    <w:name w:val="样式 正文（小四） + 首行缩进:  2 字符"/>
    <w:basedOn w:val="73"/>
    <w:autoRedefine/>
    <w:qFormat/>
    <w:uiPriority w:val="99"/>
    <w:rPr>
      <w:rFonts w:ascii="Times New Roman" w:hAnsi="Times New Roman" w:eastAsia="宋体" w:cs="宋体"/>
      <w:bCs w:val="0"/>
      <w:color w:val="000000"/>
      <w:kern w:val="0"/>
      <w:szCs w:val="20"/>
    </w:rPr>
  </w:style>
  <w:style w:type="paragraph" w:customStyle="1" w:styleId="499">
    <w:name w:val="1正文段落"/>
    <w:basedOn w:val="1"/>
    <w:autoRedefine/>
    <w:qFormat/>
    <w:uiPriority w:val="99"/>
    <w:pPr>
      <w:widowControl/>
      <w:ind w:firstLine="200"/>
      <w:jc w:val="left"/>
    </w:pPr>
    <w:rPr>
      <w:rFonts w:ascii="宋体" w:cs="宋体"/>
      <w:snapToGrid w:val="0"/>
      <w:lang w:val="en-US"/>
    </w:rPr>
  </w:style>
  <w:style w:type="paragraph" w:customStyle="1" w:styleId="500">
    <w:name w:val="正文2"/>
    <w:link w:val="501"/>
    <w:autoRedefine/>
    <w:qFormat/>
    <w:uiPriority w:val="0"/>
    <w:rPr>
      <w:rFonts w:ascii="Times New Roman" w:hAnsi="Times New Roman" w:eastAsia="宋体" w:cs="Times New Roman"/>
      <w:sz w:val="24"/>
      <w:szCs w:val="24"/>
      <w:lang w:val="en-US" w:eastAsia="zh-CN" w:bidi="he-IL"/>
    </w:rPr>
  </w:style>
  <w:style w:type="character" w:customStyle="1" w:styleId="501">
    <w:name w:val="Char Char1"/>
    <w:link w:val="500"/>
    <w:autoRedefine/>
    <w:qFormat/>
    <w:uiPriority w:val="0"/>
    <w:rPr>
      <w:rFonts w:ascii="Times New Roman" w:hAnsi="Times New Roman" w:eastAsia="宋体" w:cs="Times New Roman"/>
      <w:kern w:val="0"/>
      <w:sz w:val="24"/>
      <w:szCs w:val="24"/>
      <w:lang w:bidi="he-IL"/>
    </w:rPr>
  </w:style>
  <w:style w:type="paragraph" w:customStyle="1" w:styleId="502">
    <w:name w:val="area"/>
    <w:basedOn w:val="1"/>
    <w:autoRedefine/>
    <w:qFormat/>
    <w:uiPriority w:val="99"/>
    <w:pPr>
      <w:widowControl/>
      <w:spacing w:before="100" w:beforeAutospacing="1" w:after="100" w:afterAutospacing="1" w:line="240" w:lineRule="auto"/>
      <w:ind w:firstLine="0" w:firstLineChars="0"/>
      <w:jc w:val="left"/>
    </w:pPr>
    <w:rPr>
      <w:rFonts w:ascii="宋体" w:cs="宋体"/>
      <w:lang w:val="en-US"/>
    </w:rPr>
  </w:style>
  <w:style w:type="character" w:customStyle="1" w:styleId="503">
    <w:name w:val="main"/>
    <w:basedOn w:val="62"/>
    <w:autoRedefine/>
    <w:qFormat/>
    <w:uiPriority w:val="0"/>
  </w:style>
  <w:style w:type="character" w:customStyle="1" w:styleId="504">
    <w:name w:val="表头[858D7CFB-ED40-4347-BF05-701D383B685F]1"/>
    <w:autoRedefine/>
    <w:qFormat/>
    <w:uiPriority w:val="0"/>
    <w:rPr>
      <w:rFonts w:ascii="黑体" w:hAnsi="黑体" w:eastAsia="黑体"/>
      <w:lang w:bidi="ar-SA"/>
    </w:rPr>
  </w:style>
  <w:style w:type="paragraph" w:customStyle="1" w:styleId="505">
    <w:name w:val="样式 标题 2 + 段前: 7.8 磅 段后: 7.8 磅"/>
    <w:basedOn w:val="4"/>
    <w:autoRedefine/>
    <w:qFormat/>
    <w:uiPriority w:val="99"/>
    <w:pPr>
      <w:keepNext w:val="0"/>
      <w:keepLines w:val="0"/>
      <w:widowControl/>
      <w:spacing w:beforeLines="0" w:afterLines="0"/>
      <w:ind w:left="0" w:firstLine="0"/>
    </w:pPr>
    <w:rPr>
      <w:rFonts w:ascii="Times New Roman" w:hAnsi="Times New Roman" w:eastAsia="宋体" w:cs="宋体"/>
      <w:bCs/>
      <w:kern w:val="2"/>
      <w:sz w:val="30"/>
      <w:szCs w:val="20"/>
    </w:rPr>
  </w:style>
  <w:style w:type="character" w:customStyle="1" w:styleId="506">
    <w:name w:val="正文1 Char"/>
    <w:autoRedefine/>
    <w:qFormat/>
    <w:uiPriority w:val="0"/>
    <w:rPr>
      <w:rFonts w:ascii="宋体" w:hAnsi="宋体"/>
      <w:kern w:val="2"/>
      <w:sz w:val="28"/>
      <w:szCs w:val="28"/>
    </w:rPr>
  </w:style>
  <w:style w:type="character" w:customStyle="1" w:styleId="507">
    <w:name w:val="1标题2级 Char"/>
    <w:link w:val="508"/>
    <w:autoRedefine/>
    <w:qFormat/>
    <w:uiPriority w:val="0"/>
    <w:rPr>
      <w:rFonts w:eastAsia="黑体"/>
      <w:b/>
      <w:sz w:val="30"/>
    </w:rPr>
  </w:style>
  <w:style w:type="paragraph" w:customStyle="1" w:styleId="508">
    <w:name w:val="1标题2级"/>
    <w:basedOn w:val="1"/>
    <w:link w:val="507"/>
    <w:autoRedefine/>
    <w:qFormat/>
    <w:uiPriority w:val="0"/>
    <w:pPr>
      <w:keepNext/>
      <w:widowControl/>
      <w:adjustRightInd w:val="0"/>
      <w:snapToGrid w:val="0"/>
      <w:ind w:firstLine="0" w:firstLineChars="0"/>
      <w:jc w:val="left"/>
      <w:textAlignment w:val="baseline"/>
      <w:outlineLvl w:val="1"/>
    </w:pPr>
    <w:rPr>
      <w:rFonts w:eastAsia="黑体" w:asciiTheme="minorHAnsi" w:hAnsiTheme="minorHAnsi" w:cstheme="minorBidi"/>
      <w:b/>
      <w:kern w:val="2"/>
      <w:sz w:val="30"/>
      <w:szCs w:val="22"/>
      <w:lang w:val="en-US"/>
    </w:rPr>
  </w:style>
  <w:style w:type="paragraph" w:customStyle="1" w:styleId="509">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eastAsia="Arial Unicode MS" w:cs="宋体"/>
      <w:lang w:val="en-US"/>
    </w:rPr>
  </w:style>
  <w:style w:type="paragraph" w:customStyle="1" w:styleId="510">
    <w:name w:val="表格（FAM）"/>
    <w:basedOn w:val="92"/>
    <w:autoRedefine/>
    <w:qFormat/>
    <w:uiPriority w:val="99"/>
    <w:pPr>
      <w:widowControl/>
      <w:adjustRightInd w:val="0"/>
    </w:pPr>
    <w:rPr>
      <w:iCs/>
      <w:lang w:val="zh-CN"/>
    </w:rPr>
  </w:style>
  <w:style w:type="paragraph" w:customStyle="1" w:styleId="511">
    <w:name w:val="正文样式100"/>
    <w:basedOn w:val="1"/>
    <w:autoRedefine/>
    <w:qFormat/>
    <w:uiPriority w:val="99"/>
    <w:pPr>
      <w:widowControl/>
      <w:adjustRightInd w:val="0"/>
      <w:snapToGrid w:val="0"/>
      <w:spacing w:line="460" w:lineRule="exact"/>
      <w:jc w:val="left"/>
    </w:pPr>
    <w:rPr>
      <w:rFonts w:ascii="宋体" w:cs="Courier New"/>
      <w:bCs/>
      <w:snapToGrid w:val="0"/>
      <w:lang w:val="en-US"/>
    </w:rPr>
  </w:style>
  <w:style w:type="character" w:customStyle="1" w:styleId="512">
    <w:name w:val="正文啊 Char"/>
    <w:link w:val="513"/>
    <w:autoRedefine/>
    <w:qFormat/>
    <w:uiPriority w:val="0"/>
    <w:rPr>
      <w:color w:val="000000"/>
      <w:sz w:val="24"/>
      <w:szCs w:val="24"/>
    </w:rPr>
  </w:style>
  <w:style w:type="paragraph" w:customStyle="1" w:styleId="513">
    <w:name w:val="正文啊"/>
    <w:basedOn w:val="1"/>
    <w:link w:val="512"/>
    <w:autoRedefine/>
    <w:qFormat/>
    <w:uiPriority w:val="0"/>
    <w:pPr>
      <w:widowControl/>
      <w:adjustRightInd w:val="0"/>
      <w:snapToGrid w:val="0"/>
      <w:jc w:val="left"/>
    </w:pPr>
    <w:rPr>
      <w:rFonts w:asciiTheme="minorHAnsi" w:hAnsiTheme="minorHAnsi" w:eastAsiaTheme="minorEastAsia" w:cstheme="minorBidi"/>
      <w:color w:val="000000"/>
      <w:kern w:val="2"/>
      <w:lang w:val="en-US"/>
    </w:rPr>
  </w:style>
  <w:style w:type="character" w:customStyle="1" w:styleId="514">
    <w:name w:val="表格内容 Char"/>
    <w:autoRedefine/>
    <w:qFormat/>
    <w:uiPriority w:val="0"/>
    <w:rPr>
      <w:sz w:val="21"/>
      <w:lang w:bidi="he-IL"/>
    </w:rPr>
  </w:style>
  <w:style w:type="character" w:customStyle="1" w:styleId="515">
    <w:name w:val="Char Char11"/>
    <w:autoRedefine/>
    <w:qFormat/>
    <w:uiPriority w:val="0"/>
    <w:rPr>
      <w:sz w:val="24"/>
      <w:lang w:val="en-US" w:eastAsia="zh-CN" w:bidi="ar-SA"/>
    </w:rPr>
  </w:style>
  <w:style w:type="character" w:customStyle="1" w:styleId="516">
    <w:name w:val="南联小四宋体 Char"/>
    <w:link w:val="517"/>
    <w:autoRedefine/>
    <w:qFormat/>
    <w:uiPriority w:val="0"/>
    <w:rPr>
      <w:color w:val="FF00FF"/>
      <w:sz w:val="24"/>
      <w:szCs w:val="30"/>
    </w:rPr>
  </w:style>
  <w:style w:type="paragraph" w:customStyle="1" w:styleId="517">
    <w:name w:val="南联小四宋体"/>
    <w:link w:val="516"/>
    <w:autoRedefine/>
    <w:qFormat/>
    <w:uiPriority w:val="0"/>
    <w:pPr>
      <w:widowControl w:val="0"/>
      <w:spacing w:line="360" w:lineRule="auto"/>
      <w:ind w:firstLine="480" w:firstLineChars="200"/>
      <w:jc w:val="both"/>
    </w:pPr>
    <w:rPr>
      <w:rFonts w:asciiTheme="minorHAnsi" w:hAnsiTheme="minorHAnsi" w:eastAsiaTheme="minorEastAsia" w:cstheme="minorBidi"/>
      <w:color w:val="FF00FF"/>
      <w:kern w:val="2"/>
      <w:sz w:val="24"/>
      <w:szCs w:val="30"/>
      <w:lang w:val="en-US" w:eastAsia="zh-CN" w:bidi="ar-SA"/>
    </w:rPr>
  </w:style>
  <w:style w:type="character" w:customStyle="1" w:styleId="518">
    <w:name w:val="标1 Char"/>
    <w:link w:val="519"/>
    <w:autoRedefine/>
    <w:qFormat/>
    <w:uiPriority w:val="0"/>
    <w:rPr>
      <w:b/>
      <w:sz w:val="30"/>
      <w:szCs w:val="28"/>
    </w:rPr>
  </w:style>
  <w:style w:type="paragraph" w:customStyle="1" w:styleId="519">
    <w:name w:val="标1"/>
    <w:basedOn w:val="508"/>
    <w:link w:val="518"/>
    <w:autoRedefine/>
    <w:qFormat/>
    <w:uiPriority w:val="0"/>
    <w:pPr>
      <w:keepNext w:val="0"/>
      <w:autoSpaceDE w:val="0"/>
      <w:autoSpaceDN w:val="0"/>
      <w:snapToGrid/>
      <w:spacing w:line="240" w:lineRule="auto"/>
      <w:jc w:val="center"/>
      <w:textAlignment w:val="auto"/>
    </w:pPr>
    <w:rPr>
      <w:rFonts w:eastAsiaTheme="minorEastAsia"/>
      <w:szCs w:val="28"/>
    </w:rPr>
  </w:style>
  <w:style w:type="character" w:customStyle="1" w:styleId="520">
    <w:name w:val="标题 2 Char Char"/>
    <w:autoRedefine/>
    <w:qFormat/>
    <w:uiPriority w:val="0"/>
    <w:rPr>
      <w:rFonts w:eastAsia="黑体"/>
      <w:kern w:val="2"/>
      <w:sz w:val="32"/>
      <w:szCs w:val="24"/>
      <w:lang w:val="en-US" w:eastAsia="zh-CN" w:bidi="ar-SA"/>
    </w:rPr>
  </w:style>
  <w:style w:type="character" w:customStyle="1" w:styleId="521">
    <w:name w:val="图中字 Char"/>
    <w:link w:val="522"/>
    <w:autoRedefine/>
    <w:qFormat/>
    <w:uiPriority w:val="0"/>
    <w:rPr>
      <w:szCs w:val="24"/>
      <w:lang w:eastAsia="en-US" w:bidi="en-US"/>
    </w:rPr>
  </w:style>
  <w:style w:type="paragraph" w:customStyle="1" w:styleId="522">
    <w:name w:val="图中字"/>
    <w:basedOn w:val="1"/>
    <w:link w:val="521"/>
    <w:autoRedefine/>
    <w:qFormat/>
    <w:uiPriority w:val="0"/>
    <w:pPr>
      <w:widowControl/>
      <w:spacing w:line="240" w:lineRule="auto"/>
      <w:ind w:firstLine="0" w:firstLineChars="0"/>
      <w:jc w:val="center"/>
    </w:pPr>
    <w:rPr>
      <w:rFonts w:asciiTheme="minorHAnsi" w:hAnsiTheme="minorHAnsi" w:eastAsiaTheme="minorEastAsia" w:cstheme="minorBidi"/>
      <w:kern w:val="2"/>
      <w:sz w:val="21"/>
      <w:lang w:val="en-US" w:eastAsia="en-US" w:bidi="en-US"/>
    </w:rPr>
  </w:style>
  <w:style w:type="character" w:customStyle="1" w:styleId="523">
    <w:name w:val="表头啊 Char"/>
    <w:link w:val="524"/>
    <w:autoRedefine/>
    <w:qFormat/>
    <w:uiPriority w:val="0"/>
    <w:rPr>
      <w:b/>
      <w:sz w:val="24"/>
      <w:szCs w:val="24"/>
      <w:lang w:bidi="he-IL"/>
    </w:rPr>
  </w:style>
  <w:style w:type="paragraph" w:customStyle="1" w:styleId="524">
    <w:name w:val="表头啊"/>
    <w:basedOn w:val="1"/>
    <w:link w:val="523"/>
    <w:autoRedefine/>
    <w:qFormat/>
    <w:uiPriority w:val="0"/>
    <w:pPr>
      <w:widowControl/>
      <w:spacing w:after="156" w:afterLines="50" w:line="440" w:lineRule="exact"/>
      <w:ind w:firstLine="0" w:firstLineChars="0"/>
      <w:jc w:val="center"/>
    </w:pPr>
    <w:rPr>
      <w:rFonts w:asciiTheme="minorHAnsi" w:hAnsiTheme="minorHAnsi" w:eastAsiaTheme="minorEastAsia" w:cstheme="minorBidi"/>
      <w:b/>
      <w:kern w:val="2"/>
      <w:lang w:val="en-US" w:bidi="he-IL"/>
    </w:rPr>
  </w:style>
  <w:style w:type="character" w:customStyle="1" w:styleId="525">
    <w:name w:val="表 Char"/>
    <w:autoRedefine/>
    <w:qFormat/>
    <w:uiPriority w:val="0"/>
    <w:rPr>
      <w:color w:val="000000"/>
      <w:kern w:val="2"/>
      <w:sz w:val="21"/>
      <w:szCs w:val="21"/>
    </w:rPr>
  </w:style>
  <w:style w:type="character" w:customStyle="1" w:styleId="526">
    <w:name w:val="2标题(治) Char"/>
    <w:link w:val="527"/>
    <w:autoRedefine/>
    <w:qFormat/>
    <w:uiPriority w:val="0"/>
    <w:rPr>
      <w:b/>
      <w:bCs/>
      <w:color w:val="0000FF"/>
      <w:sz w:val="28"/>
      <w:szCs w:val="28"/>
    </w:rPr>
  </w:style>
  <w:style w:type="paragraph" w:customStyle="1" w:styleId="527">
    <w:name w:val="2标题(治)"/>
    <w:basedOn w:val="4"/>
    <w:link w:val="526"/>
    <w:autoRedefine/>
    <w:qFormat/>
    <w:uiPriority w:val="0"/>
    <w:pPr>
      <w:widowControl/>
      <w:numPr>
        <w:ilvl w:val="0"/>
        <w:numId w:val="0"/>
      </w:numPr>
      <w:spacing w:before="0" w:beforeLines="0" w:after="0" w:afterLines="0"/>
      <w:jc w:val="both"/>
      <w:outlineLvl w:val="0"/>
    </w:pPr>
    <w:rPr>
      <w:rFonts w:asciiTheme="minorHAnsi" w:hAnsiTheme="minorHAnsi" w:eastAsiaTheme="minorEastAsia" w:cstheme="minorBidi"/>
      <w:bCs/>
      <w:color w:val="0000FF"/>
      <w:kern w:val="2"/>
      <w:sz w:val="28"/>
      <w:szCs w:val="28"/>
      <w:lang w:val="en-US"/>
    </w:rPr>
  </w:style>
  <w:style w:type="paragraph" w:customStyle="1" w:styleId="528">
    <w:name w:val="CM6"/>
    <w:basedOn w:val="71"/>
    <w:next w:val="71"/>
    <w:autoRedefine/>
    <w:qFormat/>
    <w:uiPriority w:val="99"/>
    <w:pPr>
      <w:spacing w:line="468" w:lineRule="atLeast"/>
    </w:pPr>
    <w:rPr>
      <w:rFonts w:hAnsi="Calibri" w:cs="Times New Roman"/>
      <w:color w:val="auto"/>
    </w:rPr>
  </w:style>
  <w:style w:type="paragraph" w:customStyle="1" w:styleId="529">
    <w:name w:val="CM81"/>
    <w:basedOn w:val="71"/>
    <w:next w:val="71"/>
    <w:autoRedefine/>
    <w:qFormat/>
    <w:uiPriority w:val="99"/>
    <w:pPr>
      <w:spacing w:line="468" w:lineRule="atLeast"/>
    </w:pPr>
    <w:rPr>
      <w:rFonts w:hAnsi="Calibri" w:cs="Times New Roman"/>
      <w:color w:val="auto"/>
    </w:rPr>
  </w:style>
  <w:style w:type="paragraph" w:customStyle="1" w:styleId="530">
    <w:name w:val="CM29"/>
    <w:basedOn w:val="71"/>
    <w:next w:val="71"/>
    <w:autoRedefine/>
    <w:qFormat/>
    <w:uiPriority w:val="99"/>
    <w:rPr>
      <w:rFonts w:hAnsi="Calibri" w:cs="Times New Roman"/>
      <w:color w:val="auto"/>
    </w:rPr>
  </w:style>
  <w:style w:type="paragraph" w:customStyle="1" w:styleId="531">
    <w:name w:val="Char Char Char Char"/>
    <w:basedOn w:val="1"/>
    <w:autoRedefine/>
    <w:qFormat/>
    <w:uiPriority w:val="0"/>
    <w:pPr>
      <w:widowControl/>
      <w:adjustRightInd w:val="0"/>
      <w:ind w:firstLine="200"/>
      <w:jc w:val="left"/>
      <w:textAlignment w:val="baseline"/>
    </w:pPr>
    <w:rPr>
      <w:rFonts w:ascii="宋体" w:cs="宋体"/>
      <w:szCs w:val="21"/>
      <w:lang w:val="en-US"/>
    </w:rPr>
  </w:style>
  <w:style w:type="paragraph" w:customStyle="1" w:styleId="532">
    <w:name w:val="CM108"/>
    <w:basedOn w:val="71"/>
    <w:next w:val="71"/>
    <w:autoRedefine/>
    <w:qFormat/>
    <w:uiPriority w:val="99"/>
    <w:pPr>
      <w:spacing w:after="1563"/>
    </w:pPr>
    <w:rPr>
      <w:rFonts w:hAnsi="Calibri" w:cs="Times New Roman"/>
      <w:color w:val="auto"/>
    </w:rPr>
  </w:style>
  <w:style w:type="paragraph" w:customStyle="1" w:styleId="533">
    <w:name w:val="样式 1标题1级 + 黑体 居中 行距: 1.5 倍行距"/>
    <w:basedOn w:val="1"/>
    <w:autoRedefine/>
    <w:qFormat/>
    <w:uiPriority w:val="99"/>
    <w:pPr>
      <w:keepNext/>
      <w:pageBreakBefore/>
      <w:widowControl/>
      <w:snapToGrid w:val="0"/>
      <w:ind w:firstLine="0" w:firstLineChars="0"/>
      <w:jc w:val="center"/>
      <w:outlineLvl w:val="0"/>
    </w:pPr>
    <w:rPr>
      <w:rFonts w:ascii="黑体" w:eastAsia="黑体" w:cs="宋体"/>
      <w:b/>
      <w:bCs/>
      <w:sz w:val="30"/>
      <w:lang w:val="en-US"/>
    </w:rPr>
  </w:style>
  <w:style w:type="paragraph" w:customStyle="1" w:styleId="534">
    <w:name w:val="CM106"/>
    <w:basedOn w:val="71"/>
    <w:next w:val="71"/>
    <w:autoRedefine/>
    <w:qFormat/>
    <w:uiPriority w:val="99"/>
    <w:pPr>
      <w:spacing w:after="1218"/>
    </w:pPr>
    <w:rPr>
      <w:rFonts w:hAnsi="Calibri" w:cs="Times New Roman"/>
      <w:color w:val="auto"/>
    </w:rPr>
  </w:style>
  <w:style w:type="paragraph" w:customStyle="1" w:styleId="535">
    <w:name w:val="CM76"/>
    <w:basedOn w:val="71"/>
    <w:next w:val="71"/>
    <w:autoRedefine/>
    <w:qFormat/>
    <w:uiPriority w:val="99"/>
    <w:pPr>
      <w:spacing w:line="440" w:lineRule="atLeast"/>
    </w:pPr>
    <w:rPr>
      <w:rFonts w:hAnsi="Calibri" w:cs="Times New Roman"/>
      <w:color w:val="auto"/>
    </w:rPr>
  </w:style>
  <w:style w:type="paragraph" w:customStyle="1" w:styleId="536">
    <w:name w:val="CM25"/>
    <w:basedOn w:val="71"/>
    <w:next w:val="71"/>
    <w:autoRedefine/>
    <w:qFormat/>
    <w:uiPriority w:val="99"/>
    <w:pPr>
      <w:spacing w:line="468" w:lineRule="atLeast"/>
    </w:pPr>
    <w:rPr>
      <w:rFonts w:hAnsi="Calibri" w:cs="Times New Roman"/>
      <w:color w:val="auto"/>
    </w:rPr>
  </w:style>
  <w:style w:type="paragraph" w:customStyle="1" w:styleId="537">
    <w:name w:val="CM86"/>
    <w:basedOn w:val="71"/>
    <w:next w:val="71"/>
    <w:autoRedefine/>
    <w:qFormat/>
    <w:uiPriority w:val="99"/>
    <w:pPr>
      <w:spacing w:line="273" w:lineRule="atLeast"/>
    </w:pPr>
    <w:rPr>
      <w:rFonts w:hAnsi="Calibri" w:cs="Times New Roman"/>
      <w:color w:val="auto"/>
    </w:rPr>
  </w:style>
  <w:style w:type="paragraph" w:customStyle="1" w:styleId="538">
    <w:name w:val="表格内文字（居中）-wd"/>
    <w:basedOn w:val="1"/>
    <w:autoRedefine/>
    <w:qFormat/>
    <w:uiPriority w:val="99"/>
    <w:pPr>
      <w:widowControl/>
      <w:spacing w:line="340" w:lineRule="exact"/>
      <w:ind w:firstLine="0" w:firstLineChars="0"/>
      <w:jc w:val="center"/>
    </w:pPr>
    <w:rPr>
      <w:rFonts w:ascii="宋体" w:cs="宋体"/>
      <w:szCs w:val="21"/>
      <w:lang w:val="en-US"/>
    </w:rPr>
  </w:style>
  <w:style w:type="paragraph" w:customStyle="1" w:styleId="539">
    <w:name w:val="1标题1级"/>
    <w:basedOn w:val="1"/>
    <w:autoRedefine/>
    <w:qFormat/>
    <w:uiPriority w:val="99"/>
    <w:pPr>
      <w:keepNext/>
      <w:widowControl/>
      <w:adjustRightInd w:val="0"/>
      <w:snapToGrid w:val="0"/>
      <w:spacing w:line="420" w:lineRule="auto"/>
      <w:ind w:firstLine="0" w:firstLineChars="0"/>
      <w:jc w:val="left"/>
      <w:textAlignment w:val="baseline"/>
      <w:outlineLvl w:val="0"/>
    </w:pPr>
    <w:rPr>
      <w:rFonts w:ascii="宋体" w:eastAsia="黑体" w:cs="宋体"/>
      <w:b/>
      <w:sz w:val="30"/>
      <w:szCs w:val="21"/>
      <w:lang w:val="en-US"/>
    </w:rPr>
  </w:style>
  <w:style w:type="paragraph" w:customStyle="1" w:styleId="540">
    <w:name w:val="CM56"/>
    <w:basedOn w:val="71"/>
    <w:next w:val="71"/>
    <w:autoRedefine/>
    <w:qFormat/>
    <w:uiPriority w:val="99"/>
    <w:rPr>
      <w:rFonts w:hAnsi="Calibri" w:cs="Times New Roman"/>
      <w:color w:val="auto"/>
    </w:rPr>
  </w:style>
  <w:style w:type="paragraph" w:customStyle="1" w:styleId="541">
    <w:name w:val="CM48"/>
    <w:basedOn w:val="71"/>
    <w:next w:val="71"/>
    <w:autoRedefine/>
    <w:qFormat/>
    <w:uiPriority w:val="99"/>
    <w:pPr>
      <w:spacing w:line="438" w:lineRule="atLeast"/>
    </w:pPr>
    <w:rPr>
      <w:rFonts w:hAnsi="Calibri" w:cs="Times New Roman"/>
      <w:color w:val="auto"/>
    </w:rPr>
  </w:style>
  <w:style w:type="paragraph" w:customStyle="1" w:styleId="542">
    <w:name w:val="CM104"/>
    <w:basedOn w:val="71"/>
    <w:next w:val="71"/>
    <w:autoRedefine/>
    <w:qFormat/>
    <w:uiPriority w:val="99"/>
    <w:pPr>
      <w:spacing w:after="275"/>
    </w:pPr>
    <w:rPr>
      <w:rFonts w:hAnsi="Calibri" w:cs="Times New Roman"/>
      <w:color w:val="auto"/>
    </w:rPr>
  </w:style>
  <w:style w:type="paragraph" w:customStyle="1" w:styleId="543">
    <w:name w:val="CM41"/>
    <w:basedOn w:val="71"/>
    <w:next w:val="71"/>
    <w:autoRedefine/>
    <w:qFormat/>
    <w:uiPriority w:val="99"/>
    <w:rPr>
      <w:rFonts w:hAnsi="Calibri" w:cs="Times New Roman"/>
      <w:color w:val="auto"/>
    </w:rPr>
  </w:style>
  <w:style w:type="paragraph" w:customStyle="1" w:styleId="544">
    <w:name w:val="CM99"/>
    <w:basedOn w:val="71"/>
    <w:next w:val="71"/>
    <w:autoRedefine/>
    <w:qFormat/>
    <w:uiPriority w:val="99"/>
    <w:pPr>
      <w:spacing w:after="188"/>
    </w:pPr>
    <w:rPr>
      <w:rFonts w:hAnsi="Calibri" w:cs="Times New Roman"/>
      <w:color w:val="auto"/>
    </w:rPr>
  </w:style>
  <w:style w:type="paragraph" w:customStyle="1" w:styleId="545">
    <w:name w:val="CM78"/>
    <w:basedOn w:val="71"/>
    <w:next w:val="71"/>
    <w:autoRedefine/>
    <w:qFormat/>
    <w:uiPriority w:val="99"/>
    <w:pPr>
      <w:spacing w:line="468" w:lineRule="atLeast"/>
    </w:pPr>
    <w:rPr>
      <w:rFonts w:hAnsi="Calibri" w:cs="Times New Roman"/>
      <w:color w:val="auto"/>
    </w:rPr>
  </w:style>
  <w:style w:type="paragraph" w:customStyle="1" w:styleId="546">
    <w:name w:val="CM60"/>
    <w:basedOn w:val="71"/>
    <w:next w:val="71"/>
    <w:autoRedefine/>
    <w:qFormat/>
    <w:uiPriority w:val="99"/>
    <w:rPr>
      <w:rFonts w:hAnsi="Calibri" w:cs="Times New Roman"/>
      <w:color w:val="auto"/>
    </w:rPr>
  </w:style>
  <w:style w:type="paragraph" w:customStyle="1" w:styleId="547">
    <w:name w:val="1标题3级"/>
    <w:basedOn w:val="508"/>
    <w:autoRedefine/>
    <w:qFormat/>
    <w:uiPriority w:val="99"/>
    <w:pPr>
      <w:outlineLvl w:val="2"/>
    </w:pPr>
    <w:rPr>
      <w:sz w:val="28"/>
    </w:rPr>
  </w:style>
  <w:style w:type="paragraph" w:customStyle="1" w:styleId="548">
    <w:name w:val="CM97"/>
    <w:basedOn w:val="71"/>
    <w:next w:val="71"/>
    <w:autoRedefine/>
    <w:qFormat/>
    <w:uiPriority w:val="99"/>
    <w:pPr>
      <w:spacing w:after="443"/>
    </w:pPr>
    <w:rPr>
      <w:rFonts w:hAnsi="Calibri" w:cs="Times New Roman"/>
      <w:color w:val="auto"/>
    </w:rPr>
  </w:style>
  <w:style w:type="paragraph" w:customStyle="1" w:styleId="549">
    <w:name w:val="CM45"/>
    <w:basedOn w:val="71"/>
    <w:next w:val="71"/>
    <w:autoRedefine/>
    <w:qFormat/>
    <w:uiPriority w:val="99"/>
    <w:pPr>
      <w:spacing w:line="271" w:lineRule="atLeast"/>
    </w:pPr>
    <w:rPr>
      <w:rFonts w:hAnsi="Calibri" w:cs="Times New Roman"/>
      <w:color w:val="auto"/>
    </w:rPr>
  </w:style>
  <w:style w:type="paragraph" w:customStyle="1" w:styleId="550">
    <w:name w:val="CM100"/>
    <w:basedOn w:val="71"/>
    <w:next w:val="71"/>
    <w:autoRedefine/>
    <w:qFormat/>
    <w:uiPriority w:val="99"/>
    <w:pPr>
      <w:spacing w:after="1680"/>
    </w:pPr>
    <w:rPr>
      <w:rFonts w:hAnsi="Calibri" w:cs="Times New Roman"/>
      <w:color w:val="auto"/>
    </w:rPr>
  </w:style>
  <w:style w:type="paragraph" w:customStyle="1" w:styleId="551">
    <w:name w:val="CM22"/>
    <w:basedOn w:val="71"/>
    <w:next w:val="71"/>
    <w:autoRedefine/>
    <w:qFormat/>
    <w:uiPriority w:val="99"/>
    <w:rPr>
      <w:rFonts w:hAnsi="Calibri" w:cs="Times New Roman"/>
      <w:color w:val="auto"/>
    </w:rPr>
  </w:style>
  <w:style w:type="paragraph" w:customStyle="1" w:styleId="552">
    <w:name w:val="表格标题--wd"/>
    <w:basedOn w:val="43"/>
    <w:next w:val="1"/>
    <w:autoRedefine/>
    <w:qFormat/>
    <w:uiPriority w:val="99"/>
    <w:pPr>
      <w:tabs>
        <w:tab w:val="left" w:pos="4035"/>
        <w:tab w:val="center" w:pos="6747"/>
      </w:tabs>
      <w:ind w:left="0" w:firstLine="0" w:firstLineChars="0"/>
      <w:contextualSpacing/>
      <w:jc w:val="center"/>
    </w:pPr>
    <w:rPr>
      <w:b/>
      <w:kern w:val="24"/>
    </w:rPr>
  </w:style>
  <w:style w:type="paragraph" w:customStyle="1" w:styleId="553">
    <w:name w:val="CM66"/>
    <w:basedOn w:val="71"/>
    <w:next w:val="71"/>
    <w:autoRedefine/>
    <w:qFormat/>
    <w:uiPriority w:val="99"/>
    <w:rPr>
      <w:rFonts w:hAnsi="Calibri" w:cs="Times New Roman"/>
      <w:color w:val="auto"/>
    </w:rPr>
  </w:style>
  <w:style w:type="paragraph" w:customStyle="1" w:styleId="554">
    <w:name w:val="CM114"/>
    <w:basedOn w:val="71"/>
    <w:next w:val="71"/>
    <w:autoRedefine/>
    <w:qFormat/>
    <w:uiPriority w:val="99"/>
    <w:pPr>
      <w:spacing w:after="990"/>
    </w:pPr>
    <w:rPr>
      <w:rFonts w:hAnsi="Calibri" w:cs="Times New Roman"/>
      <w:color w:val="auto"/>
    </w:rPr>
  </w:style>
  <w:style w:type="paragraph" w:customStyle="1" w:styleId="555">
    <w:name w:val="CM101"/>
    <w:basedOn w:val="71"/>
    <w:next w:val="71"/>
    <w:autoRedefine/>
    <w:qFormat/>
    <w:uiPriority w:val="99"/>
    <w:pPr>
      <w:spacing w:after="598"/>
    </w:pPr>
    <w:rPr>
      <w:rFonts w:hAnsi="Calibri" w:cs="Times New Roman"/>
      <w:color w:val="auto"/>
    </w:rPr>
  </w:style>
  <w:style w:type="paragraph" w:customStyle="1" w:styleId="556">
    <w:name w:val="CM31"/>
    <w:basedOn w:val="71"/>
    <w:next w:val="71"/>
    <w:autoRedefine/>
    <w:qFormat/>
    <w:uiPriority w:val="99"/>
    <w:pPr>
      <w:spacing w:line="468" w:lineRule="atLeast"/>
    </w:pPr>
    <w:rPr>
      <w:rFonts w:hAnsi="Calibri" w:cs="Times New Roman"/>
      <w:color w:val="auto"/>
    </w:rPr>
  </w:style>
  <w:style w:type="paragraph" w:customStyle="1" w:styleId="557">
    <w:name w:val="CM91"/>
    <w:basedOn w:val="71"/>
    <w:next w:val="71"/>
    <w:autoRedefine/>
    <w:qFormat/>
    <w:uiPriority w:val="99"/>
    <w:rPr>
      <w:rFonts w:hAnsi="Calibri" w:cs="Times New Roman"/>
      <w:color w:val="auto"/>
    </w:rPr>
  </w:style>
  <w:style w:type="paragraph" w:customStyle="1" w:styleId="558">
    <w:name w:val="CM2"/>
    <w:basedOn w:val="71"/>
    <w:next w:val="71"/>
    <w:autoRedefine/>
    <w:qFormat/>
    <w:uiPriority w:val="99"/>
    <w:pPr>
      <w:spacing w:line="468" w:lineRule="atLeast"/>
    </w:pPr>
    <w:rPr>
      <w:rFonts w:hAnsi="Calibri" w:cs="Times New Roman"/>
      <w:color w:val="auto"/>
    </w:rPr>
  </w:style>
  <w:style w:type="paragraph" w:customStyle="1" w:styleId="559">
    <w:name w:val="CM58"/>
    <w:basedOn w:val="71"/>
    <w:next w:val="71"/>
    <w:autoRedefine/>
    <w:qFormat/>
    <w:uiPriority w:val="99"/>
    <w:rPr>
      <w:rFonts w:hAnsi="Calibri" w:cs="Times New Roman"/>
      <w:color w:val="auto"/>
    </w:rPr>
  </w:style>
  <w:style w:type="paragraph" w:customStyle="1" w:styleId="560">
    <w:name w:val="CM30"/>
    <w:basedOn w:val="71"/>
    <w:next w:val="71"/>
    <w:autoRedefine/>
    <w:qFormat/>
    <w:uiPriority w:val="99"/>
    <w:rPr>
      <w:rFonts w:hAnsi="Calibri" w:cs="Times New Roman"/>
      <w:color w:val="auto"/>
    </w:rPr>
  </w:style>
  <w:style w:type="paragraph" w:customStyle="1" w:styleId="561">
    <w:name w:val="CM46"/>
    <w:basedOn w:val="71"/>
    <w:next w:val="71"/>
    <w:autoRedefine/>
    <w:qFormat/>
    <w:uiPriority w:val="99"/>
    <w:pPr>
      <w:spacing w:line="271" w:lineRule="atLeast"/>
    </w:pPr>
    <w:rPr>
      <w:rFonts w:hAnsi="Calibri" w:cs="Times New Roman"/>
      <w:color w:val="auto"/>
    </w:rPr>
  </w:style>
  <w:style w:type="paragraph" w:customStyle="1" w:styleId="562">
    <w:name w:val="CM113"/>
    <w:basedOn w:val="71"/>
    <w:next w:val="71"/>
    <w:autoRedefine/>
    <w:qFormat/>
    <w:uiPriority w:val="99"/>
    <w:pPr>
      <w:spacing w:after="2158"/>
    </w:pPr>
    <w:rPr>
      <w:rFonts w:hAnsi="Calibri" w:cs="Times New Roman"/>
      <w:color w:val="auto"/>
    </w:rPr>
  </w:style>
  <w:style w:type="paragraph" w:customStyle="1" w:styleId="563">
    <w:name w:val="CM57"/>
    <w:basedOn w:val="71"/>
    <w:next w:val="71"/>
    <w:autoRedefine/>
    <w:qFormat/>
    <w:uiPriority w:val="99"/>
    <w:rPr>
      <w:rFonts w:hAnsi="Calibri" w:cs="Times New Roman"/>
      <w:color w:val="auto"/>
    </w:rPr>
  </w:style>
  <w:style w:type="paragraph" w:customStyle="1" w:styleId="564">
    <w:name w:val="CM67"/>
    <w:basedOn w:val="71"/>
    <w:next w:val="71"/>
    <w:autoRedefine/>
    <w:qFormat/>
    <w:uiPriority w:val="99"/>
    <w:rPr>
      <w:rFonts w:hAnsi="Calibri" w:cs="Times New Roman"/>
      <w:color w:val="auto"/>
    </w:rPr>
  </w:style>
  <w:style w:type="paragraph" w:customStyle="1" w:styleId="565">
    <w:name w:val="CM117"/>
    <w:basedOn w:val="71"/>
    <w:next w:val="71"/>
    <w:autoRedefine/>
    <w:qFormat/>
    <w:uiPriority w:val="99"/>
    <w:pPr>
      <w:spacing w:after="185"/>
    </w:pPr>
    <w:rPr>
      <w:rFonts w:hAnsi="Calibri" w:cs="Times New Roman"/>
      <w:color w:val="auto"/>
    </w:rPr>
  </w:style>
  <w:style w:type="paragraph" w:customStyle="1" w:styleId="566">
    <w:name w:val="CM42"/>
    <w:basedOn w:val="71"/>
    <w:next w:val="71"/>
    <w:autoRedefine/>
    <w:qFormat/>
    <w:uiPriority w:val="99"/>
    <w:rPr>
      <w:rFonts w:hAnsi="Calibri" w:cs="Times New Roman"/>
      <w:color w:val="auto"/>
    </w:rPr>
  </w:style>
  <w:style w:type="paragraph" w:customStyle="1" w:styleId="567">
    <w:name w:val="CM5"/>
    <w:basedOn w:val="1"/>
    <w:next w:val="1"/>
    <w:autoRedefine/>
    <w:qFormat/>
    <w:uiPriority w:val="99"/>
    <w:pPr>
      <w:widowControl/>
      <w:autoSpaceDE w:val="0"/>
      <w:autoSpaceDN w:val="0"/>
      <w:adjustRightInd w:val="0"/>
      <w:spacing w:line="468" w:lineRule="atLeast"/>
      <w:ind w:firstLine="0" w:firstLineChars="0"/>
      <w:jc w:val="left"/>
    </w:pPr>
    <w:rPr>
      <w:rFonts w:ascii="宋体" w:hAnsi="Calibri" w:cs="宋体"/>
      <w:lang w:val="en-US"/>
    </w:rPr>
  </w:style>
  <w:style w:type="paragraph" w:customStyle="1" w:styleId="568">
    <w:name w:val="章"/>
    <w:basedOn w:val="1"/>
    <w:next w:val="5"/>
    <w:autoRedefine/>
    <w:qFormat/>
    <w:uiPriority w:val="99"/>
    <w:pPr>
      <w:widowControl/>
      <w:spacing w:before="240" w:after="480"/>
      <w:ind w:firstLine="200"/>
      <w:jc w:val="center"/>
      <w:outlineLvl w:val="0"/>
    </w:pPr>
    <w:rPr>
      <w:rFonts w:ascii="宋体" w:eastAsia="黑体" w:cs="宋体"/>
      <w:b/>
      <w:sz w:val="32"/>
      <w:lang w:val="en-US" w:bidi="he-IL"/>
    </w:rPr>
  </w:style>
  <w:style w:type="paragraph" w:customStyle="1" w:styleId="569">
    <w:name w:val="CM27"/>
    <w:basedOn w:val="71"/>
    <w:next w:val="71"/>
    <w:autoRedefine/>
    <w:qFormat/>
    <w:uiPriority w:val="99"/>
    <w:pPr>
      <w:spacing w:line="468" w:lineRule="atLeast"/>
    </w:pPr>
    <w:rPr>
      <w:rFonts w:hAnsi="Calibri" w:cs="Times New Roman"/>
      <w:color w:val="auto"/>
    </w:rPr>
  </w:style>
  <w:style w:type="paragraph" w:customStyle="1" w:styleId="570">
    <w:name w:val="CM36"/>
    <w:basedOn w:val="71"/>
    <w:next w:val="71"/>
    <w:autoRedefine/>
    <w:qFormat/>
    <w:uiPriority w:val="99"/>
    <w:pPr>
      <w:spacing w:line="586" w:lineRule="atLeast"/>
    </w:pPr>
    <w:rPr>
      <w:rFonts w:hAnsi="Calibri" w:cs="Times New Roman"/>
      <w:color w:val="auto"/>
    </w:rPr>
  </w:style>
  <w:style w:type="paragraph" w:customStyle="1" w:styleId="571">
    <w:name w:val="CM95"/>
    <w:basedOn w:val="71"/>
    <w:next w:val="71"/>
    <w:autoRedefine/>
    <w:qFormat/>
    <w:uiPriority w:val="99"/>
    <w:pPr>
      <w:spacing w:after="117"/>
    </w:pPr>
    <w:rPr>
      <w:rFonts w:hAnsi="Calibri" w:cs="Times New Roman"/>
      <w:color w:val="auto"/>
    </w:rPr>
  </w:style>
  <w:style w:type="paragraph" w:customStyle="1" w:styleId="572">
    <w:name w:val="1表格头"/>
    <w:basedOn w:val="368"/>
    <w:autoRedefine/>
    <w:qFormat/>
    <w:uiPriority w:val="99"/>
    <w:pPr>
      <w:spacing w:line="420" w:lineRule="auto"/>
      <w:outlineLvl w:val="3"/>
    </w:pPr>
    <w:rPr>
      <w:rFonts w:eastAsia="黑体"/>
      <w:b/>
    </w:rPr>
  </w:style>
  <w:style w:type="paragraph" w:customStyle="1" w:styleId="573">
    <w:name w:val="CM55"/>
    <w:basedOn w:val="71"/>
    <w:next w:val="71"/>
    <w:autoRedefine/>
    <w:qFormat/>
    <w:uiPriority w:val="99"/>
    <w:rPr>
      <w:rFonts w:hAnsi="Calibri" w:cs="Times New Roman"/>
      <w:color w:val="auto"/>
    </w:rPr>
  </w:style>
  <w:style w:type="paragraph" w:customStyle="1" w:styleId="574">
    <w:name w:val="CM83"/>
    <w:basedOn w:val="71"/>
    <w:next w:val="71"/>
    <w:autoRedefine/>
    <w:qFormat/>
    <w:uiPriority w:val="99"/>
    <w:pPr>
      <w:spacing w:line="468" w:lineRule="atLeast"/>
    </w:pPr>
    <w:rPr>
      <w:rFonts w:hAnsi="Calibri" w:cs="Times New Roman"/>
      <w:color w:val="auto"/>
    </w:rPr>
  </w:style>
  <w:style w:type="paragraph" w:customStyle="1" w:styleId="575">
    <w:name w:val="版心内容为四号字的样式"/>
    <w:basedOn w:val="1"/>
    <w:autoRedefine/>
    <w:qFormat/>
    <w:uiPriority w:val="99"/>
    <w:pPr>
      <w:widowControl/>
      <w:adjustRightInd w:val="0"/>
      <w:snapToGrid w:val="0"/>
      <w:ind w:firstLine="560"/>
      <w:jc w:val="left"/>
    </w:pPr>
    <w:rPr>
      <w:rFonts w:ascii="宋体" w:cs="宋体"/>
      <w:color w:val="FF0000"/>
      <w:sz w:val="28"/>
      <w:szCs w:val="28"/>
      <w:lang w:val="en-US"/>
    </w:rPr>
  </w:style>
  <w:style w:type="paragraph" w:customStyle="1" w:styleId="576">
    <w:name w:val="CM98"/>
    <w:basedOn w:val="71"/>
    <w:next w:val="71"/>
    <w:autoRedefine/>
    <w:qFormat/>
    <w:uiPriority w:val="99"/>
    <w:pPr>
      <w:spacing w:after="138"/>
    </w:pPr>
    <w:rPr>
      <w:rFonts w:hAnsi="Calibri" w:cs="Times New Roman"/>
      <w:color w:val="auto"/>
    </w:rPr>
  </w:style>
  <w:style w:type="paragraph" w:customStyle="1" w:styleId="577">
    <w:name w:val="k正文"/>
    <w:basedOn w:val="1"/>
    <w:autoRedefine/>
    <w:qFormat/>
    <w:uiPriority w:val="99"/>
    <w:pPr>
      <w:widowControl/>
      <w:adjustRightInd w:val="0"/>
      <w:snapToGrid w:val="0"/>
      <w:ind w:firstLine="539" w:firstLineChars="0"/>
      <w:jc w:val="left"/>
    </w:pPr>
    <w:rPr>
      <w:rFonts w:ascii="宋体" w:eastAsia="仿宋_GB2312" w:cs="宋体"/>
      <w:sz w:val="28"/>
      <w:lang w:val="en-US"/>
    </w:rPr>
  </w:style>
  <w:style w:type="paragraph" w:customStyle="1" w:styleId="578">
    <w:name w:val="CM116"/>
    <w:basedOn w:val="71"/>
    <w:next w:val="71"/>
    <w:autoRedefine/>
    <w:qFormat/>
    <w:uiPriority w:val="99"/>
    <w:pPr>
      <w:spacing w:after="315"/>
    </w:pPr>
    <w:rPr>
      <w:rFonts w:hAnsi="Calibri" w:cs="Times New Roman"/>
      <w:color w:val="auto"/>
    </w:rPr>
  </w:style>
  <w:style w:type="paragraph" w:customStyle="1" w:styleId="579">
    <w:name w:val="CM59"/>
    <w:basedOn w:val="71"/>
    <w:next w:val="71"/>
    <w:autoRedefine/>
    <w:qFormat/>
    <w:uiPriority w:val="99"/>
    <w:rPr>
      <w:rFonts w:hAnsi="Calibri" w:cs="Times New Roman"/>
      <w:color w:val="auto"/>
    </w:rPr>
  </w:style>
  <w:style w:type="paragraph" w:customStyle="1" w:styleId="580">
    <w:name w:val="CM20"/>
    <w:basedOn w:val="71"/>
    <w:next w:val="71"/>
    <w:autoRedefine/>
    <w:qFormat/>
    <w:uiPriority w:val="99"/>
    <w:pPr>
      <w:spacing w:line="466" w:lineRule="atLeast"/>
    </w:pPr>
    <w:rPr>
      <w:rFonts w:hAnsi="Calibri" w:cs="Times New Roman"/>
      <w:color w:val="auto"/>
    </w:rPr>
  </w:style>
  <w:style w:type="paragraph" w:customStyle="1" w:styleId="581">
    <w:name w:val="CM8"/>
    <w:basedOn w:val="71"/>
    <w:next w:val="71"/>
    <w:autoRedefine/>
    <w:qFormat/>
    <w:uiPriority w:val="99"/>
    <w:pPr>
      <w:spacing w:line="468" w:lineRule="atLeast"/>
    </w:pPr>
    <w:rPr>
      <w:rFonts w:hAnsi="Calibri" w:cs="Times New Roman"/>
      <w:color w:val="auto"/>
    </w:rPr>
  </w:style>
  <w:style w:type="paragraph" w:customStyle="1" w:styleId="582">
    <w:name w:val="CM38"/>
    <w:basedOn w:val="71"/>
    <w:next w:val="71"/>
    <w:autoRedefine/>
    <w:qFormat/>
    <w:uiPriority w:val="99"/>
    <w:pPr>
      <w:spacing w:line="468" w:lineRule="atLeast"/>
    </w:pPr>
    <w:rPr>
      <w:rFonts w:hAnsi="Calibri" w:cs="Times New Roman"/>
      <w:color w:val="auto"/>
    </w:rPr>
  </w:style>
  <w:style w:type="paragraph" w:customStyle="1" w:styleId="583">
    <w:name w:val="CM26"/>
    <w:basedOn w:val="71"/>
    <w:next w:val="71"/>
    <w:autoRedefine/>
    <w:qFormat/>
    <w:uiPriority w:val="99"/>
    <w:pPr>
      <w:spacing w:line="466" w:lineRule="atLeast"/>
    </w:pPr>
    <w:rPr>
      <w:rFonts w:hAnsi="Calibri" w:cs="Times New Roman"/>
      <w:color w:val="auto"/>
    </w:rPr>
  </w:style>
  <w:style w:type="paragraph" w:customStyle="1" w:styleId="584">
    <w:name w:val="CM50"/>
    <w:basedOn w:val="71"/>
    <w:next w:val="71"/>
    <w:autoRedefine/>
    <w:qFormat/>
    <w:uiPriority w:val="99"/>
    <w:pPr>
      <w:spacing w:line="468" w:lineRule="atLeast"/>
    </w:pPr>
    <w:rPr>
      <w:rFonts w:hAnsi="Calibri" w:cs="Times New Roman"/>
      <w:color w:val="auto"/>
    </w:rPr>
  </w:style>
  <w:style w:type="paragraph" w:customStyle="1" w:styleId="585">
    <w:name w:val="CM84"/>
    <w:basedOn w:val="71"/>
    <w:next w:val="71"/>
    <w:autoRedefine/>
    <w:qFormat/>
    <w:uiPriority w:val="99"/>
    <w:pPr>
      <w:spacing w:line="313" w:lineRule="atLeast"/>
    </w:pPr>
    <w:rPr>
      <w:rFonts w:hAnsi="Calibri" w:cs="Times New Roman"/>
      <w:color w:val="auto"/>
    </w:rPr>
  </w:style>
  <w:style w:type="paragraph" w:customStyle="1" w:styleId="586">
    <w:name w:val="CM79"/>
    <w:basedOn w:val="71"/>
    <w:next w:val="71"/>
    <w:autoRedefine/>
    <w:qFormat/>
    <w:uiPriority w:val="99"/>
    <w:rPr>
      <w:rFonts w:hAnsi="Calibri" w:cs="Times New Roman"/>
      <w:color w:val="auto"/>
    </w:rPr>
  </w:style>
  <w:style w:type="paragraph" w:customStyle="1" w:styleId="587">
    <w:name w:val="CM28"/>
    <w:basedOn w:val="71"/>
    <w:next w:val="71"/>
    <w:autoRedefine/>
    <w:qFormat/>
    <w:uiPriority w:val="99"/>
    <w:pPr>
      <w:spacing w:line="468" w:lineRule="atLeast"/>
    </w:pPr>
    <w:rPr>
      <w:rFonts w:hAnsi="Calibri" w:cs="Times New Roman"/>
      <w:color w:val="auto"/>
    </w:rPr>
  </w:style>
  <w:style w:type="paragraph" w:customStyle="1" w:styleId="588">
    <w:name w:val="xl36"/>
    <w:basedOn w:val="1"/>
    <w:autoRedefine/>
    <w:qFormat/>
    <w:uiPriority w:val="99"/>
    <w:pPr>
      <w:widowControl/>
      <w:pBdr>
        <w:left w:val="single" w:color="auto" w:sz="8" w:space="0"/>
        <w:bottom w:val="single" w:color="auto" w:sz="4" w:space="0"/>
        <w:right w:val="single" w:color="auto" w:sz="4" w:space="0"/>
      </w:pBdr>
      <w:spacing w:before="100" w:after="100" w:line="240" w:lineRule="auto"/>
      <w:ind w:firstLine="0" w:firstLineChars="0"/>
      <w:jc w:val="center"/>
    </w:pPr>
    <w:rPr>
      <w:rFonts w:ascii="宋体" w:cs="宋体"/>
      <w:lang w:val="en-US"/>
    </w:rPr>
  </w:style>
  <w:style w:type="paragraph" w:customStyle="1" w:styleId="589">
    <w:name w:val="CM112"/>
    <w:basedOn w:val="71"/>
    <w:next w:val="71"/>
    <w:autoRedefine/>
    <w:qFormat/>
    <w:uiPriority w:val="99"/>
    <w:pPr>
      <w:spacing w:after="247"/>
    </w:pPr>
    <w:rPr>
      <w:rFonts w:hAnsi="Calibri" w:cs="Times New Roman"/>
      <w:color w:val="auto"/>
    </w:rPr>
  </w:style>
  <w:style w:type="paragraph" w:customStyle="1" w:styleId="590">
    <w:name w:val="CM54"/>
    <w:basedOn w:val="71"/>
    <w:next w:val="71"/>
    <w:autoRedefine/>
    <w:qFormat/>
    <w:uiPriority w:val="99"/>
    <w:rPr>
      <w:rFonts w:hAnsi="Calibri" w:cs="Times New Roman"/>
      <w:color w:val="auto"/>
    </w:rPr>
  </w:style>
  <w:style w:type="paragraph" w:customStyle="1" w:styleId="591">
    <w:name w:val="CM14"/>
    <w:basedOn w:val="71"/>
    <w:next w:val="71"/>
    <w:autoRedefine/>
    <w:qFormat/>
    <w:uiPriority w:val="99"/>
    <w:rPr>
      <w:rFonts w:hAnsi="Calibri" w:cs="Times New Roman"/>
      <w:color w:val="auto"/>
    </w:rPr>
  </w:style>
  <w:style w:type="paragraph" w:customStyle="1" w:styleId="592">
    <w:name w:val="CM13"/>
    <w:basedOn w:val="71"/>
    <w:next w:val="71"/>
    <w:autoRedefine/>
    <w:qFormat/>
    <w:uiPriority w:val="99"/>
    <w:pPr>
      <w:spacing w:line="491" w:lineRule="atLeast"/>
    </w:pPr>
    <w:rPr>
      <w:rFonts w:hAnsi="Calibri" w:cs="Times New Roman"/>
      <w:color w:val="auto"/>
    </w:rPr>
  </w:style>
  <w:style w:type="paragraph" w:customStyle="1" w:styleId="593">
    <w:name w:val="CM118"/>
    <w:basedOn w:val="71"/>
    <w:next w:val="71"/>
    <w:autoRedefine/>
    <w:qFormat/>
    <w:uiPriority w:val="99"/>
    <w:pPr>
      <w:spacing w:after="5425"/>
    </w:pPr>
    <w:rPr>
      <w:rFonts w:hAnsi="Calibri" w:cs="Times New Roman"/>
      <w:color w:val="auto"/>
    </w:rPr>
  </w:style>
  <w:style w:type="paragraph" w:customStyle="1" w:styleId="594">
    <w:name w:val="CM111"/>
    <w:basedOn w:val="71"/>
    <w:next w:val="71"/>
    <w:autoRedefine/>
    <w:qFormat/>
    <w:uiPriority w:val="99"/>
    <w:pPr>
      <w:spacing w:after="3848"/>
    </w:pPr>
    <w:rPr>
      <w:rFonts w:hAnsi="Calibri" w:cs="Times New Roman"/>
      <w:color w:val="auto"/>
    </w:rPr>
  </w:style>
  <w:style w:type="paragraph" w:customStyle="1" w:styleId="595">
    <w:name w:val="CM71"/>
    <w:basedOn w:val="71"/>
    <w:next w:val="71"/>
    <w:autoRedefine/>
    <w:qFormat/>
    <w:uiPriority w:val="99"/>
    <w:pPr>
      <w:spacing w:line="468" w:lineRule="atLeast"/>
    </w:pPr>
    <w:rPr>
      <w:rFonts w:hAnsi="Calibri" w:cs="Times New Roman"/>
      <w:color w:val="auto"/>
    </w:rPr>
  </w:style>
  <w:style w:type="paragraph" w:customStyle="1" w:styleId="596">
    <w:name w:val="CM96"/>
    <w:basedOn w:val="71"/>
    <w:next w:val="71"/>
    <w:autoRedefine/>
    <w:qFormat/>
    <w:uiPriority w:val="99"/>
    <w:pPr>
      <w:spacing w:after="363"/>
    </w:pPr>
    <w:rPr>
      <w:rFonts w:hAnsi="Calibri" w:cs="Times New Roman"/>
      <w:color w:val="auto"/>
    </w:rPr>
  </w:style>
  <w:style w:type="paragraph" w:customStyle="1" w:styleId="597">
    <w:name w:val="CM18"/>
    <w:basedOn w:val="71"/>
    <w:next w:val="71"/>
    <w:autoRedefine/>
    <w:qFormat/>
    <w:uiPriority w:val="99"/>
    <w:pPr>
      <w:spacing w:line="468" w:lineRule="atLeast"/>
    </w:pPr>
    <w:rPr>
      <w:rFonts w:hAnsi="Calibri" w:cs="Times New Roman"/>
      <w:color w:val="auto"/>
    </w:rPr>
  </w:style>
  <w:style w:type="paragraph" w:customStyle="1" w:styleId="598">
    <w:name w:val="默认段落字体 Para Char Char Char1 Char"/>
    <w:basedOn w:val="1"/>
    <w:autoRedefine/>
    <w:qFormat/>
    <w:uiPriority w:val="99"/>
    <w:pPr>
      <w:widowControl/>
      <w:spacing w:line="240" w:lineRule="auto"/>
      <w:ind w:firstLine="0" w:firstLineChars="0"/>
      <w:jc w:val="left"/>
    </w:pPr>
    <w:rPr>
      <w:rFonts w:ascii="Tahoma" w:hAnsi="Tahoma" w:cs="Tahoma"/>
      <w:lang w:val="en-US"/>
    </w:rPr>
  </w:style>
  <w:style w:type="paragraph" w:customStyle="1" w:styleId="599">
    <w:name w:val="CM109"/>
    <w:basedOn w:val="71"/>
    <w:next w:val="71"/>
    <w:autoRedefine/>
    <w:qFormat/>
    <w:uiPriority w:val="99"/>
    <w:pPr>
      <w:spacing w:after="1343"/>
    </w:pPr>
    <w:rPr>
      <w:rFonts w:hAnsi="Calibri" w:cs="Times New Roman"/>
      <w:color w:val="auto"/>
    </w:rPr>
  </w:style>
  <w:style w:type="paragraph" w:customStyle="1" w:styleId="600">
    <w:name w:val="CM17"/>
    <w:basedOn w:val="71"/>
    <w:next w:val="71"/>
    <w:autoRedefine/>
    <w:qFormat/>
    <w:uiPriority w:val="99"/>
    <w:rPr>
      <w:rFonts w:hAnsi="Calibri" w:cs="Times New Roman"/>
      <w:color w:val="auto"/>
    </w:rPr>
  </w:style>
  <w:style w:type="paragraph" w:customStyle="1" w:styleId="601">
    <w:name w:val="CM7"/>
    <w:basedOn w:val="71"/>
    <w:next w:val="71"/>
    <w:autoRedefine/>
    <w:qFormat/>
    <w:uiPriority w:val="99"/>
    <w:pPr>
      <w:spacing w:line="468" w:lineRule="atLeast"/>
    </w:pPr>
    <w:rPr>
      <w:rFonts w:hAnsi="Calibri" w:cs="Times New Roman"/>
      <w:color w:val="auto"/>
    </w:rPr>
  </w:style>
  <w:style w:type="paragraph" w:customStyle="1" w:styleId="602">
    <w:name w:val="CM11"/>
    <w:basedOn w:val="71"/>
    <w:next w:val="71"/>
    <w:autoRedefine/>
    <w:qFormat/>
    <w:uiPriority w:val="99"/>
    <w:pPr>
      <w:spacing w:line="468" w:lineRule="atLeast"/>
    </w:pPr>
    <w:rPr>
      <w:rFonts w:hAnsi="Calibri" w:cs="Times New Roman"/>
      <w:color w:val="auto"/>
    </w:rPr>
  </w:style>
  <w:style w:type="paragraph" w:customStyle="1" w:styleId="603">
    <w:name w:val="CM77"/>
    <w:basedOn w:val="71"/>
    <w:next w:val="71"/>
    <w:autoRedefine/>
    <w:qFormat/>
    <w:uiPriority w:val="99"/>
    <w:pPr>
      <w:spacing w:line="440" w:lineRule="atLeast"/>
    </w:pPr>
    <w:rPr>
      <w:rFonts w:hAnsi="Calibri" w:cs="Times New Roman"/>
      <w:color w:val="auto"/>
    </w:rPr>
  </w:style>
  <w:style w:type="paragraph" w:customStyle="1" w:styleId="604">
    <w:name w:val="CM9"/>
    <w:basedOn w:val="71"/>
    <w:next w:val="71"/>
    <w:autoRedefine/>
    <w:qFormat/>
    <w:uiPriority w:val="99"/>
    <w:pPr>
      <w:spacing w:line="468" w:lineRule="atLeast"/>
    </w:pPr>
    <w:rPr>
      <w:rFonts w:hAnsi="Calibri" w:cs="Times New Roman"/>
      <w:color w:val="auto"/>
    </w:rPr>
  </w:style>
  <w:style w:type="paragraph" w:customStyle="1" w:styleId="605">
    <w:name w:val="CM105"/>
    <w:basedOn w:val="71"/>
    <w:next w:val="71"/>
    <w:autoRedefine/>
    <w:qFormat/>
    <w:uiPriority w:val="99"/>
    <w:pPr>
      <w:spacing w:after="55"/>
    </w:pPr>
    <w:rPr>
      <w:rFonts w:hAnsi="Calibri" w:cs="Times New Roman"/>
      <w:color w:val="auto"/>
    </w:rPr>
  </w:style>
  <w:style w:type="paragraph" w:customStyle="1" w:styleId="606">
    <w:name w:val="CM3"/>
    <w:basedOn w:val="71"/>
    <w:next w:val="71"/>
    <w:autoRedefine/>
    <w:qFormat/>
    <w:uiPriority w:val="99"/>
    <w:pPr>
      <w:spacing w:line="433" w:lineRule="atLeast"/>
    </w:pPr>
    <w:rPr>
      <w:rFonts w:hAnsi="Calibri" w:cs="Times New Roman"/>
      <w:color w:val="auto"/>
    </w:rPr>
  </w:style>
  <w:style w:type="paragraph" w:customStyle="1" w:styleId="607">
    <w:name w:val="CM103"/>
    <w:basedOn w:val="71"/>
    <w:next w:val="71"/>
    <w:autoRedefine/>
    <w:qFormat/>
    <w:uiPriority w:val="99"/>
    <w:pPr>
      <w:spacing w:after="918"/>
    </w:pPr>
    <w:rPr>
      <w:rFonts w:hAnsi="Calibri" w:cs="Times New Roman"/>
      <w:color w:val="auto"/>
    </w:rPr>
  </w:style>
  <w:style w:type="paragraph" w:customStyle="1" w:styleId="608">
    <w:name w:val="CM65"/>
    <w:basedOn w:val="71"/>
    <w:next w:val="71"/>
    <w:autoRedefine/>
    <w:qFormat/>
    <w:uiPriority w:val="99"/>
    <w:rPr>
      <w:rFonts w:hAnsi="Calibri" w:cs="Times New Roman"/>
      <w:color w:val="auto"/>
    </w:rPr>
  </w:style>
  <w:style w:type="paragraph" w:customStyle="1" w:styleId="609">
    <w:name w:val="CM51"/>
    <w:basedOn w:val="71"/>
    <w:next w:val="71"/>
    <w:autoRedefine/>
    <w:qFormat/>
    <w:uiPriority w:val="99"/>
    <w:pPr>
      <w:spacing w:line="586" w:lineRule="atLeast"/>
    </w:pPr>
    <w:rPr>
      <w:rFonts w:hAnsi="Calibri" w:cs="Times New Roman"/>
      <w:color w:val="auto"/>
    </w:rPr>
  </w:style>
  <w:style w:type="paragraph" w:customStyle="1" w:styleId="610">
    <w:name w:val="CM53"/>
    <w:basedOn w:val="71"/>
    <w:next w:val="71"/>
    <w:autoRedefine/>
    <w:qFormat/>
    <w:uiPriority w:val="99"/>
    <w:rPr>
      <w:rFonts w:hAnsi="Calibri" w:cs="Times New Roman"/>
      <w:color w:val="auto"/>
    </w:rPr>
  </w:style>
  <w:style w:type="paragraph" w:customStyle="1" w:styleId="611">
    <w:name w:val="CM92"/>
    <w:basedOn w:val="71"/>
    <w:next w:val="71"/>
    <w:autoRedefine/>
    <w:qFormat/>
    <w:uiPriority w:val="99"/>
    <w:rPr>
      <w:rFonts w:hAnsi="Calibri" w:cs="Times New Roman"/>
      <w:color w:val="auto"/>
    </w:rPr>
  </w:style>
  <w:style w:type="paragraph" w:customStyle="1" w:styleId="612">
    <w:name w:val="CM61"/>
    <w:basedOn w:val="71"/>
    <w:next w:val="71"/>
    <w:autoRedefine/>
    <w:qFormat/>
    <w:uiPriority w:val="99"/>
    <w:rPr>
      <w:rFonts w:hAnsi="Calibri" w:cs="Times New Roman"/>
      <w:color w:val="auto"/>
    </w:rPr>
  </w:style>
  <w:style w:type="paragraph" w:customStyle="1" w:styleId="613">
    <w:name w:val="CM21"/>
    <w:basedOn w:val="71"/>
    <w:next w:val="71"/>
    <w:autoRedefine/>
    <w:qFormat/>
    <w:uiPriority w:val="99"/>
    <w:rPr>
      <w:rFonts w:hAnsi="Calibri" w:cs="Times New Roman"/>
      <w:color w:val="auto"/>
    </w:rPr>
  </w:style>
  <w:style w:type="paragraph" w:customStyle="1" w:styleId="614">
    <w:name w:val="CM64"/>
    <w:basedOn w:val="71"/>
    <w:next w:val="71"/>
    <w:autoRedefine/>
    <w:qFormat/>
    <w:uiPriority w:val="99"/>
    <w:pPr>
      <w:spacing w:line="466" w:lineRule="atLeast"/>
    </w:pPr>
    <w:rPr>
      <w:rFonts w:hAnsi="Calibri" w:cs="Times New Roman"/>
      <w:color w:val="auto"/>
    </w:rPr>
  </w:style>
  <w:style w:type="paragraph" w:customStyle="1" w:styleId="615">
    <w:name w:val="CM10"/>
    <w:basedOn w:val="71"/>
    <w:next w:val="71"/>
    <w:autoRedefine/>
    <w:qFormat/>
    <w:uiPriority w:val="99"/>
    <w:rPr>
      <w:rFonts w:hAnsi="Calibri" w:cs="Times New Roman"/>
      <w:color w:val="auto"/>
    </w:rPr>
  </w:style>
  <w:style w:type="paragraph" w:customStyle="1" w:styleId="616">
    <w:name w:val="CM1"/>
    <w:basedOn w:val="71"/>
    <w:next w:val="71"/>
    <w:autoRedefine/>
    <w:qFormat/>
    <w:uiPriority w:val="99"/>
    <w:rPr>
      <w:rFonts w:hAnsi="Calibri" w:cs="Times New Roman"/>
      <w:color w:val="auto"/>
    </w:rPr>
  </w:style>
  <w:style w:type="paragraph" w:customStyle="1" w:styleId="617">
    <w:name w:val="CM44"/>
    <w:basedOn w:val="71"/>
    <w:next w:val="71"/>
    <w:autoRedefine/>
    <w:qFormat/>
    <w:uiPriority w:val="99"/>
    <w:pPr>
      <w:spacing w:line="271" w:lineRule="atLeast"/>
    </w:pPr>
    <w:rPr>
      <w:rFonts w:hAnsi="Calibri" w:cs="Times New Roman"/>
      <w:color w:val="auto"/>
    </w:rPr>
  </w:style>
  <w:style w:type="paragraph" w:customStyle="1" w:styleId="618">
    <w:name w:val="CM115"/>
    <w:basedOn w:val="71"/>
    <w:next w:val="71"/>
    <w:autoRedefine/>
    <w:qFormat/>
    <w:uiPriority w:val="99"/>
    <w:pPr>
      <w:spacing w:after="528"/>
    </w:pPr>
    <w:rPr>
      <w:rFonts w:hAnsi="Calibri" w:cs="Times New Roman"/>
      <w:color w:val="auto"/>
    </w:rPr>
  </w:style>
  <w:style w:type="paragraph" w:customStyle="1" w:styleId="619">
    <w:name w:val="CM110"/>
    <w:basedOn w:val="71"/>
    <w:next w:val="71"/>
    <w:autoRedefine/>
    <w:qFormat/>
    <w:uiPriority w:val="99"/>
    <w:pPr>
      <w:spacing w:after="63"/>
    </w:pPr>
    <w:rPr>
      <w:rFonts w:hAnsi="Calibri" w:cs="Times New Roman"/>
      <w:color w:val="auto"/>
    </w:rPr>
  </w:style>
  <w:style w:type="paragraph" w:customStyle="1" w:styleId="620">
    <w:name w:val="CM43"/>
    <w:basedOn w:val="71"/>
    <w:next w:val="71"/>
    <w:autoRedefine/>
    <w:qFormat/>
    <w:uiPriority w:val="99"/>
    <w:rPr>
      <w:rFonts w:hAnsi="Calibri" w:cs="Times New Roman"/>
      <w:color w:val="auto"/>
    </w:rPr>
  </w:style>
  <w:style w:type="paragraph" w:customStyle="1" w:styleId="621">
    <w:name w:val="CM37"/>
    <w:basedOn w:val="71"/>
    <w:next w:val="71"/>
    <w:autoRedefine/>
    <w:qFormat/>
    <w:uiPriority w:val="99"/>
    <w:pPr>
      <w:spacing w:line="440" w:lineRule="atLeast"/>
    </w:pPr>
    <w:rPr>
      <w:rFonts w:hAnsi="Calibri" w:cs="Times New Roman"/>
      <w:color w:val="auto"/>
    </w:rPr>
  </w:style>
  <w:style w:type="paragraph" w:customStyle="1" w:styleId="622">
    <w:name w:val="CM49"/>
    <w:basedOn w:val="71"/>
    <w:next w:val="71"/>
    <w:autoRedefine/>
    <w:qFormat/>
    <w:uiPriority w:val="99"/>
    <w:pPr>
      <w:spacing w:line="468" w:lineRule="atLeast"/>
    </w:pPr>
    <w:rPr>
      <w:rFonts w:hAnsi="Calibri" w:cs="Times New Roman"/>
      <w:color w:val="auto"/>
    </w:rPr>
  </w:style>
  <w:style w:type="paragraph" w:customStyle="1" w:styleId="623">
    <w:name w:val="CM102"/>
    <w:basedOn w:val="71"/>
    <w:next w:val="71"/>
    <w:autoRedefine/>
    <w:qFormat/>
    <w:uiPriority w:val="99"/>
    <w:pPr>
      <w:spacing w:after="788"/>
    </w:pPr>
    <w:rPr>
      <w:rFonts w:hAnsi="Calibri" w:cs="Times New Roman"/>
      <w:color w:val="auto"/>
    </w:rPr>
  </w:style>
  <w:style w:type="paragraph" w:customStyle="1" w:styleId="624">
    <w:name w:val="CM47"/>
    <w:basedOn w:val="71"/>
    <w:next w:val="71"/>
    <w:autoRedefine/>
    <w:qFormat/>
    <w:uiPriority w:val="99"/>
    <w:pPr>
      <w:spacing w:line="273" w:lineRule="atLeast"/>
    </w:pPr>
    <w:rPr>
      <w:rFonts w:hAnsi="Calibri" w:cs="Times New Roman"/>
      <w:color w:val="auto"/>
    </w:rPr>
  </w:style>
  <w:style w:type="paragraph" w:customStyle="1" w:styleId="625">
    <w:name w:val="CM107"/>
    <w:basedOn w:val="71"/>
    <w:next w:val="71"/>
    <w:autoRedefine/>
    <w:qFormat/>
    <w:uiPriority w:val="99"/>
    <w:pPr>
      <w:spacing w:after="680"/>
    </w:pPr>
    <w:rPr>
      <w:rFonts w:hAnsi="Calibri" w:cs="Times New Roman"/>
      <w:color w:val="auto"/>
    </w:rPr>
  </w:style>
  <w:style w:type="paragraph" w:customStyle="1" w:styleId="626">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sz w:val="20"/>
      <w:lang w:val="en-US"/>
    </w:rPr>
  </w:style>
  <w:style w:type="character" w:customStyle="1" w:styleId="627">
    <w:name w:val="正文(修改)-wd Char"/>
    <w:link w:val="628"/>
    <w:autoRedefine/>
    <w:qFormat/>
    <w:uiPriority w:val="0"/>
    <w:rPr>
      <w:rFonts w:hAnsi="宋体"/>
      <w:snapToGrid w:val="0"/>
      <w:sz w:val="28"/>
      <w:szCs w:val="24"/>
    </w:rPr>
  </w:style>
  <w:style w:type="paragraph" w:customStyle="1" w:styleId="628">
    <w:name w:val="正文(修改)-wd"/>
    <w:basedOn w:val="1"/>
    <w:link w:val="627"/>
    <w:autoRedefine/>
    <w:qFormat/>
    <w:uiPriority w:val="0"/>
    <w:pPr>
      <w:widowControl/>
      <w:spacing w:line="500" w:lineRule="exact"/>
      <w:ind w:firstLine="560"/>
      <w:jc w:val="left"/>
    </w:pPr>
    <w:rPr>
      <w:rFonts w:asciiTheme="minorHAnsi" w:eastAsiaTheme="minorEastAsia" w:cstheme="minorBidi"/>
      <w:snapToGrid w:val="0"/>
      <w:kern w:val="2"/>
      <w:sz w:val="28"/>
      <w:shd w:val="clear" w:color="auto" w:fill="FFFFFF"/>
      <w:lang w:val="en-US"/>
    </w:rPr>
  </w:style>
  <w:style w:type="character" w:customStyle="1" w:styleId="629">
    <w:name w:val="p11"/>
    <w:autoRedefine/>
    <w:qFormat/>
    <w:uiPriority w:val="0"/>
    <w:rPr>
      <w:rFonts w:hint="eastAsia" w:ascii="宋体" w:hAnsi="宋体" w:eastAsia="宋体"/>
      <w:sz w:val="23"/>
      <w:szCs w:val="23"/>
    </w:rPr>
  </w:style>
  <w:style w:type="paragraph" w:customStyle="1" w:styleId="630">
    <w:name w:val="南郊正文"/>
    <w:basedOn w:val="1"/>
    <w:next w:val="1"/>
    <w:autoRedefine/>
    <w:qFormat/>
    <w:uiPriority w:val="99"/>
    <w:pPr>
      <w:widowControl/>
      <w:spacing w:line="460" w:lineRule="exact"/>
      <w:ind w:firstLine="560"/>
      <w:jc w:val="left"/>
    </w:pPr>
    <w:rPr>
      <w:rFonts w:ascii="宋体" w:cs="宋体"/>
      <w:lang w:val="en-US"/>
    </w:rPr>
  </w:style>
  <w:style w:type="paragraph" w:customStyle="1" w:styleId="631">
    <w:name w:val="zx正文"/>
    <w:basedOn w:val="1"/>
    <w:link w:val="632"/>
    <w:autoRedefine/>
    <w:qFormat/>
    <w:uiPriority w:val="0"/>
    <w:pPr>
      <w:widowControl/>
      <w:spacing w:line="440" w:lineRule="exact"/>
      <w:ind w:firstLine="0" w:firstLineChars="0"/>
      <w:jc w:val="left"/>
    </w:pPr>
    <w:rPr>
      <w:rFonts w:ascii="宋体"/>
      <w:b/>
      <w:sz w:val="28"/>
      <w:szCs w:val="28"/>
    </w:rPr>
  </w:style>
  <w:style w:type="character" w:customStyle="1" w:styleId="632">
    <w:name w:val="zx正文 Char"/>
    <w:link w:val="631"/>
    <w:autoRedefine/>
    <w:qFormat/>
    <w:uiPriority w:val="0"/>
    <w:rPr>
      <w:rFonts w:ascii="宋体" w:hAnsi="宋体" w:eastAsia="宋体" w:cs="Times New Roman"/>
      <w:b/>
      <w:kern w:val="0"/>
      <w:sz w:val="28"/>
      <w:szCs w:val="28"/>
      <w:lang w:val="zh-CN"/>
    </w:rPr>
  </w:style>
  <w:style w:type="character" w:customStyle="1" w:styleId="633">
    <w:name w:val="a"/>
    <w:basedOn w:val="62"/>
    <w:autoRedefine/>
    <w:qFormat/>
    <w:uiPriority w:val="0"/>
  </w:style>
  <w:style w:type="character" w:customStyle="1" w:styleId="634">
    <w:name w:val="apple-converted-space"/>
    <w:basedOn w:val="62"/>
    <w:autoRedefine/>
    <w:qFormat/>
    <w:uiPriority w:val="0"/>
  </w:style>
  <w:style w:type="character" w:customStyle="1" w:styleId="635">
    <w:name w:val="正文（lh） Char"/>
    <w:link w:val="636"/>
    <w:autoRedefine/>
    <w:qFormat/>
    <w:uiPriority w:val="0"/>
    <w:rPr>
      <w:rFonts w:eastAsia="仿宋_GB2312"/>
      <w:sz w:val="28"/>
      <w:szCs w:val="28"/>
    </w:rPr>
  </w:style>
  <w:style w:type="paragraph" w:customStyle="1" w:styleId="636">
    <w:name w:val="正文（lh）"/>
    <w:basedOn w:val="1"/>
    <w:link w:val="635"/>
    <w:autoRedefine/>
    <w:qFormat/>
    <w:uiPriority w:val="0"/>
    <w:pPr>
      <w:widowControl/>
      <w:spacing w:line="520" w:lineRule="exact"/>
      <w:ind w:firstLine="560"/>
      <w:jc w:val="left"/>
    </w:pPr>
    <w:rPr>
      <w:rFonts w:eastAsia="仿宋_GB2312" w:asciiTheme="minorHAnsi" w:hAnsiTheme="minorHAnsi" w:cstheme="minorBidi"/>
      <w:kern w:val="2"/>
      <w:sz w:val="28"/>
      <w:szCs w:val="28"/>
      <w:lang w:val="en-US"/>
    </w:rPr>
  </w:style>
  <w:style w:type="character" w:customStyle="1" w:styleId="637">
    <w:name w:val="5文章(治) Char Char"/>
    <w:autoRedefine/>
    <w:qFormat/>
    <w:uiPriority w:val="0"/>
    <w:rPr>
      <w:rFonts w:eastAsia="黑体"/>
      <w:b/>
      <w:kern w:val="2"/>
      <w:sz w:val="24"/>
      <w:szCs w:val="24"/>
      <w:lang w:val="en-US" w:eastAsia="zh-CN" w:bidi="ar-SA"/>
    </w:rPr>
  </w:style>
  <w:style w:type="character" w:customStyle="1" w:styleId="638">
    <w:name w:val="number"/>
    <w:basedOn w:val="62"/>
    <w:autoRedefine/>
    <w:qFormat/>
    <w:uiPriority w:val="0"/>
  </w:style>
  <w:style w:type="paragraph" w:customStyle="1" w:styleId="639">
    <w:name w:val="环评文本"/>
    <w:basedOn w:val="1"/>
    <w:link w:val="640"/>
    <w:autoRedefine/>
    <w:qFormat/>
    <w:uiPriority w:val="0"/>
    <w:pPr>
      <w:tabs>
        <w:tab w:val="left" w:pos="6600"/>
      </w:tabs>
      <w:topLinePunct/>
      <w:spacing w:line="480" w:lineRule="exact"/>
    </w:pPr>
    <w:rPr>
      <w:rFonts w:hAnsi="Times New Roman"/>
    </w:rPr>
  </w:style>
  <w:style w:type="character" w:customStyle="1" w:styleId="640">
    <w:name w:val="环评文本 Char"/>
    <w:link w:val="639"/>
    <w:autoRedefine/>
    <w:qFormat/>
    <w:uiPriority w:val="0"/>
    <w:rPr>
      <w:rFonts w:ascii="Times New Roman" w:hAnsi="Times New Roman" w:eastAsia="宋体" w:cs="Times New Roman"/>
      <w:kern w:val="0"/>
      <w:sz w:val="24"/>
      <w:szCs w:val="24"/>
      <w:lang w:val="zh-CN"/>
    </w:rPr>
  </w:style>
  <w:style w:type="character" w:customStyle="1" w:styleId="641">
    <w:name w:val="表格文字 Char Char"/>
    <w:autoRedefine/>
    <w:qFormat/>
    <w:uiPriority w:val="0"/>
    <w:rPr>
      <w:kern w:val="2"/>
      <w:sz w:val="21"/>
    </w:rPr>
  </w:style>
  <w:style w:type="paragraph" w:customStyle="1" w:styleId="642">
    <w:name w:val="GB-条文"/>
    <w:autoRedefine/>
    <w:qFormat/>
    <w:uiPriority w:val="99"/>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character" w:customStyle="1" w:styleId="643">
    <w:name w:val="批注框文本 Char1"/>
    <w:autoRedefine/>
    <w:qFormat/>
    <w:locked/>
    <w:uiPriority w:val="0"/>
    <w:rPr>
      <w:rFonts w:eastAsia="仿宋_GB2312"/>
      <w:kern w:val="2"/>
      <w:sz w:val="18"/>
      <w:szCs w:val="18"/>
    </w:rPr>
  </w:style>
  <w:style w:type="paragraph" w:customStyle="1" w:styleId="644">
    <w:name w:val="正文(1)"/>
    <w:basedOn w:val="1"/>
    <w:autoRedefine/>
    <w:qFormat/>
    <w:uiPriority w:val="99"/>
    <w:pPr>
      <w:tabs>
        <w:tab w:val="left" w:pos="0"/>
      </w:tabs>
      <w:adjustRightInd w:val="0"/>
      <w:snapToGrid w:val="0"/>
      <w:spacing w:beforeLines="10" w:line="240" w:lineRule="auto"/>
      <w:ind w:firstLine="0" w:firstLineChars="0"/>
      <w:jc w:val="center"/>
    </w:pPr>
    <w:rPr>
      <w:rFonts w:hAnsi="Times New Roman" w:eastAsia="仿宋_GB2312"/>
      <w:spacing w:val="-20"/>
      <w:kern w:val="2"/>
      <w:sz w:val="18"/>
      <w:szCs w:val="21"/>
      <w:lang w:val="en-US"/>
    </w:rPr>
  </w:style>
  <w:style w:type="paragraph" w:customStyle="1" w:styleId="645">
    <w:name w:val="报告宋体小四"/>
    <w:next w:val="1"/>
    <w:autoRedefine/>
    <w:qFormat/>
    <w:uiPriority w:val="99"/>
    <w:pPr>
      <w:widowControl w:val="0"/>
      <w:spacing w:line="360" w:lineRule="auto"/>
      <w:ind w:firstLine="560" w:firstLineChars="200"/>
      <w:jc w:val="both"/>
    </w:pPr>
    <w:rPr>
      <w:rFonts w:ascii="Times New Roman" w:hAnsi="Times New Roman" w:eastAsia="宋体" w:cs="Times New Roman"/>
      <w:sz w:val="28"/>
      <w:szCs w:val="28"/>
      <w:lang w:val="en-US" w:eastAsia="zh-CN" w:bidi="ar-SA"/>
    </w:rPr>
  </w:style>
  <w:style w:type="table" w:customStyle="1" w:styleId="646">
    <w:name w:val="TableGrid"/>
    <w:autoRedefine/>
    <w:qFormat/>
    <w:uiPriority w:val="0"/>
    <w:rPr>
      <w:rFonts w:ascii="Calibri" w:hAnsi="Calibri"/>
    </w:rPr>
    <w:tblPr>
      <w:tblCellMar>
        <w:top w:w="0" w:type="dxa"/>
        <w:left w:w="0" w:type="dxa"/>
        <w:bottom w:w="0" w:type="dxa"/>
        <w:right w:w="0" w:type="dxa"/>
      </w:tblCellMar>
    </w:tblPr>
  </w:style>
  <w:style w:type="character" w:customStyle="1" w:styleId="647">
    <w:name w:val="批注主题 Char1"/>
    <w:autoRedefine/>
    <w:qFormat/>
    <w:locked/>
    <w:uiPriority w:val="0"/>
    <w:rPr>
      <w:b/>
      <w:bCs/>
      <w:kern w:val="2"/>
      <w:sz w:val="21"/>
      <w:szCs w:val="24"/>
    </w:rPr>
  </w:style>
  <w:style w:type="paragraph" w:customStyle="1" w:styleId="648">
    <w:name w:val="Char Char Char Char Char Char1"/>
    <w:basedOn w:val="1"/>
    <w:autoRedefine/>
    <w:qFormat/>
    <w:uiPriority w:val="99"/>
    <w:pPr>
      <w:widowControl/>
      <w:spacing w:line="240" w:lineRule="auto"/>
      <w:ind w:firstLine="0" w:firstLineChars="0"/>
      <w:jc w:val="left"/>
    </w:pPr>
    <w:rPr>
      <w:rFonts w:ascii="宋体" w:cs="宋体"/>
      <w:lang w:val="en-US"/>
    </w:rPr>
  </w:style>
  <w:style w:type="paragraph" w:customStyle="1" w:styleId="649">
    <w:name w:val="Char Char Char Char11"/>
    <w:basedOn w:val="1"/>
    <w:autoRedefine/>
    <w:qFormat/>
    <w:uiPriority w:val="99"/>
    <w:pPr>
      <w:widowControl/>
      <w:spacing w:line="240" w:lineRule="auto"/>
      <w:ind w:firstLine="0" w:firstLineChars="0"/>
      <w:jc w:val="left"/>
    </w:pPr>
    <w:rPr>
      <w:rFonts w:ascii="宋体" w:cs="宋体"/>
      <w:szCs w:val="21"/>
      <w:lang w:val="en-US"/>
    </w:rPr>
  </w:style>
  <w:style w:type="paragraph" w:customStyle="1" w:styleId="650">
    <w:name w:val="Char Char Char Char2"/>
    <w:basedOn w:val="1"/>
    <w:autoRedefine/>
    <w:qFormat/>
    <w:uiPriority w:val="99"/>
    <w:pPr>
      <w:widowControl/>
      <w:adjustRightInd w:val="0"/>
      <w:ind w:firstLine="200"/>
      <w:jc w:val="left"/>
    </w:pPr>
    <w:rPr>
      <w:rFonts w:ascii="宋体" w:cs="宋体"/>
      <w:szCs w:val="21"/>
      <w:lang w:val="en-US"/>
    </w:rPr>
  </w:style>
  <w:style w:type="paragraph" w:customStyle="1" w:styleId="651">
    <w:name w:val="Table Paragraph"/>
    <w:basedOn w:val="1"/>
    <w:autoRedefine/>
    <w:qFormat/>
    <w:uiPriority w:val="1"/>
    <w:pPr>
      <w:spacing w:line="240" w:lineRule="auto"/>
      <w:ind w:firstLine="0" w:firstLineChars="0"/>
      <w:jc w:val="left"/>
    </w:pPr>
    <w:rPr>
      <w:rFonts w:ascii="Calibri" w:hAnsi="Calibri"/>
      <w:sz w:val="22"/>
      <w:szCs w:val="22"/>
      <w:lang w:val="en-US" w:eastAsia="en-US"/>
    </w:rPr>
  </w:style>
  <w:style w:type="character" w:customStyle="1" w:styleId="652">
    <w:name w:val="页眉 Char1"/>
    <w:autoRedefine/>
    <w:qFormat/>
    <w:locked/>
    <w:uiPriority w:val="0"/>
    <w:rPr>
      <w:kern w:val="2"/>
      <w:sz w:val="18"/>
      <w:szCs w:val="18"/>
    </w:rPr>
  </w:style>
  <w:style w:type="paragraph" w:customStyle="1" w:styleId="653">
    <w:name w:val="表中"/>
    <w:basedOn w:val="1"/>
    <w:link w:val="654"/>
    <w:autoRedefine/>
    <w:qFormat/>
    <w:uiPriority w:val="0"/>
    <w:pPr>
      <w:spacing w:line="280" w:lineRule="exact"/>
      <w:ind w:firstLine="0" w:firstLineChars="0"/>
      <w:jc w:val="center"/>
    </w:pPr>
    <w:rPr>
      <w:rFonts w:ascii="仿宋_GB2312" w:hAnsi="Times New Roman" w:eastAsia="仿宋_GB2312"/>
      <w:color w:val="000000"/>
      <w:kern w:val="2"/>
      <w:sz w:val="18"/>
      <w:szCs w:val="20"/>
      <w:lang w:bidi="he-IL"/>
    </w:rPr>
  </w:style>
  <w:style w:type="character" w:customStyle="1" w:styleId="654">
    <w:name w:val="表中 Char"/>
    <w:link w:val="653"/>
    <w:autoRedefine/>
    <w:qFormat/>
    <w:uiPriority w:val="0"/>
    <w:rPr>
      <w:rFonts w:ascii="仿宋_GB2312" w:hAnsi="Times New Roman" w:eastAsia="仿宋_GB2312" w:cs="Times New Roman"/>
      <w:color w:val="000000"/>
      <w:sz w:val="18"/>
      <w:szCs w:val="20"/>
      <w:lang w:val="zh-CN" w:bidi="he-IL"/>
    </w:rPr>
  </w:style>
  <w:style w:type="paragraph" w:customStyle="1" w:styleId="655">
    <w:name w:val="表文字"/>
    <w:basedOn w:val="1"/>
    <w:next w:val="1"/>
    <w:autoRedefine/>
    <w:qFormat/>
    <w:uiPriority w:val="0"/>
    <w:pPr>
      <w:autoSpaceDE w:val="0"/>
      <w:autoSpaceDN w:val="0"/>
      <w:adjustRightInd w:val="0"/>
      <w:spacing w:line="240" w:lineRule="auto"/>
      <w:ind w:firstLine="0" w:firstLineChars="0"/>
      <w:jc w:val="left"/>
    </w:pPr>
    <w:rPr>
      <w:rFonts w:hAnsi="Times New Roman"/>
      <w:lang w:val="en-US"/>
    </w:rPr>
  </w:style>
  <w:style w:type="paragraph" w:customStyle="1" w:styleId="656">
    <w:name w:val="正文非缩进"/>
    <w:basedOn w:val="1"/>
    <w:next w:val="26"/>
    <w:autoRedefine/>
    <w:qFormat/>
    <w:uiPriority w:val="0"/>
    <w:pPr>
      <w:widowControl/>
      <w:ind w:firstLine="0" w:firstLineChars="0"/>
      <w:jc w:val="left"/>
    </w:pPr>
    <w:rPr>
      <w:rFonts w:ascii="Arial" w:hAnsi="Arial" w:eastAsia="仿宋_GB2312"/>
      <w:sz w:val="28"/>
      <w:szCs w:val="20"/>
      <w:lang w:val="en-US"/>
    </w:rPr>
  </w:style>
  <w:style w:type="paragraph" w:customStyle="1" w:styleId="657">
    <w:name w:val="图名"/>
    <w:basedOn w:val="1"/>
    <w:next w:val="1"/>
    <w:autoRedefine/>
    <w:qFormat/>
    <w:uiPriority w:val="0"/>
    <w:pPr>
      <w:ind w:firstLine="0" w:firstLineChars="0"/>
      <w:jc w:val="center"/>
    </w:pPr>
    <w:rPr>
      <w:rFonts w:hAnsi="Times New Roman"/>
      <w:b/>
      <w:kern w:val="2"/>
      <w:sz w:val="28"/>
      <w:szCs w:val="20"/>
      <w:lang w:val="en-US"/>
    </w:rPr>
  </w:style>
  <w:style w:type="paragraph" w:customStyle="1" w:styleId="658">
    <w:name w:val="表格2"/>
    <w:basedOn w:val="1"/>
    <w:autoRedefine/>
    <w:qFormat/>
    <w:uiPriority w:val="0"/>
    <w:pPr>
      <w:spacing w:line="240" w:lineRule="auto"/>
      <w:ind w:firstLine="0" w:firstLineChars="0"/>
      <w:jc w:val="center"/>
    </w:pPr>
    <w:rPr>
      <w:rFonts w:hAnsi="Times New Roman"/>
      <w:color w:val="000000"/>
      <w:kern w:val="2"/>
      <w:sz w:val="21"/>
      <w:szCs w:val="20"/>
      <w:lang w:val="en-US"/>
    </w:rPr>
  </w:style>
  <w:style w:type="paragraph" w:customStyle="1" w:styleId="659">
    <w:name w:val="表格1粗"/>
    <w:basedOn w:val="181"/>
    <w:autoRedefine/>
    <w:qFormat/>
    <w:uiPriority w:val="0"/>
    <w:pPr>
      <w:adjustRightInd/>
      <w:spacing w:line="240" w:lineRule="atLeast"/>
      <w:ind w:left="206" w:leftChars="100" w:right="206" w:rightChars="100"/>
    </w:pPr>
    <w:rPr>
      <w:rFonts w:ascii="宋体" w:hAnsi="宋体"/>
      <w:bCs/>
      <w:iCs/>
      <w:color w:val="FF0000"/>
      <w:spacing w:val="-20"/>
      <w:szCs w:val="21"/>
    </w:rPr>
  </w:style>
  <w:style w:type="paragraph" w:customStyle="1" w:styleId="660">
    <w:name w:val="表体"/>
    <w:basedOn w:val="1"/>
    <w:autoRedefine/>
    <w:qFormat/>
    <w:uiPriority w:val="0"/>
    <w:pPr>
      <w:overflowPunct w:val="0"/>
      <w:adjustRightInd w:val="0"/>
      <w:spacing w:line="280" w:lineRule="exact"/>
      <w:ind w:firstLine="0" w:firstLineChars="0"/>
      <w:jc w:val="center"/>
      <w:textAlignment w:val="baseline"/>
    </w:pPr>
    <w:rPr>
      <w:rFonts w:hAnsi="Times New Roman"/>
      <w:kern w:val="24"/>
      <w:sz w:val="21"/>
      <w:szCs w:val="20"/>
      <w:lang w:val="en-AU"/>
    </w:rPr>
  </w:style>
  <w:style w:type="paragraph" w:customStyle="1" w:styleId="661">
    <w:name w:val="表格一"/>
    <w:basedOn w:val="1"/>
    <w:autoRedefine/>
    <w:qFormat/>
    <w:uiPriority w:val="0"/>
    <w:pPr>
      <w:tabs>
        <w:tab w:val="left" w:leader="dot" w:pos="567"/>
      </w:tabs>
      <w:spacing w:line="240" w:lineRule="auto"/>
      <w:ind w:firstLine="0" w:firstLineChars="0"/>
      <w:jc w:val="left"/>
    </w:pPr>
    <w:rPr>
      <w:rFonts w:ascii="宋体"/>
      <w:szCs w:val="20"/>
      <w:lang w:val="en-US"/>
    </w:rPr>
  </w:style>
  <w:style w:type="paragraph" w:customStyle="1" w:styleId="662">
    <w:name w:val="正文1 Char1"/>
    <w:basedOn w:val="1"/>
    <w:autoRedefine/>
    <w:qFormat/>
    <w:uiPriority w:val="0"/>
    <w:pPr>
      <w:adjustRightInd w:val="0"/>
      <w:snapToGrid w:val="0"/>
      <w:ind w:left="113" w:firstLine="510" w:firstLineChars="0"/>
    </w:pPr>
    <w:rPr>
      <w:rFonts w:ascii="宋体" w:hAnsi="Times New Roman"/>
      <w:color w:val="FF0000"/>
      <w:kern w:val="2"/>
      <w:szCs w:val="20"/>
      <w:lang w:val="en-US"/>
    </w:rPr>
  </w:style>
  <w:style w:type="paragraph" w:customStyle="1" w:styleId="66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olor w:val="FF0000"/>
      <w:lang w:val="en-US"/>
    </w:rPr>
  </w:style>
  <w:style w:type="paragraph" w:customStyle="1" w:styleId="664">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olor w:val="FF0000"/>
      <w:lang w:val="en-US"/>
    </w:rPr>
  </w:style>
  <w:style w:type="paragraph" w:customStyle="1" w:styleId="665">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color w:val="FF00FF"/>
      <w:lang w:val="en-US"/>
    </w:rPr>
  </w:style>
  <w:style w:type="paragraph" w:customStyle="1" w:styleId="666">
    <w:name w:val="默认段落字体 Para Char"/>
    <w:basedOn w:val="1"/>
    <w:next w:val="1"/>
    <w:autoRedefine/>
    <w:qFormat/>
    <w:uiPriority w:val="0"/>
    <w:pPr>
      <w:ind w:firstLine="200"/>
    </w:pPr>
    <w:rPr>
      <w:rFonts w:ascii="宋体" w:cs="宋体"/>
      <w:kern w:val="2"/>
      <w:lang w:val="en-US"/>
    </w:rPr>
  </w:style>
  <w:style w:type="paragraph" w:customStyle="1" w:styleId="667">
    <w:name w:val="Char2"/>
    <w:basedOn w:val="1"/>
    <w:next w:val="1"/>
    <w:autoRedefine/>
    <w:qFormat/>
    <w:uiPriority w:val="0"/>
    <w:pPr>
      <w:ind w:firstLine="200"/>
    </w:pPr>
    <w:rPr>
      <w:rFonts w:ascii="宋体" w:cs="宋体"/>
      <w:kern w:val="2"/>
      <w:lang w:val="en-US"/>
    </w:rPr>
  </w:style>
  <w:style w:type="paragraph" w:customStyle="1" w:styleId="668">
    <w:name w:val="表格中"/>
    <w:basedOn w:val="1"/>
    <w:autoRedefine/>
    <w:qFormat/>
    <w:uiPriority w:val="0"/>
    <w:pPr>
      <w:spacing w:line="280" w:lineRule="exact"/>
      <w:ind w:firstLine="0" w:firstLineChars="0"/>
      <w:jc w:val="center"/>
    </w:pPr>
    <w:rPr>
      <w:rFonts w:ascii="宋体" w:hAnsi="Times New Roman"/>
      <w:color w:val="000000"/>
      <w:kern w:val="2"/>
      <w:sz w:val="18"/>
      <w:szCs w:val="30"/>
      <w:lang w:val="en-US" w:bidi="he-IL"/>
    </w:rPr>
  </w:style>
  <w:style w:type="paragraph" w:customStyle="1" w:styleId="669">
    <w:name w:val="样式120"/>
    <w:basedOn w:val="1"/>
    <w:link w:val="670"/>
    <w:autoRedefine/>
    <w:qFormat/>
    <w:uiPriority w:val="0"/>
    <w:pPr>
      <w:spacing w:line="520" w:lineRule="exact"/>
      <w:ind w:firstLine="0" w:firstLineChars="0"/>
      <w:jc w:val="center"/>
    </w:pPr>
    <w:rPr>
      <w:rFonts w:hAnsi="Times New Roman" w:eastAsia="黑体"/>
      <w:b/>
      <w:sz w:val="21"/>
      <w:szCs w:val="21"/>
      <w:lang w:val="en-US"/>
    </w:rPr>
  </w:style>
  <w:style w:type="character" w:customStyle="1" w:styleId="670">
    <w:name w:val="样式120 Char"/>
    <w:link w:val="669"/>
    <w:autoRedefine/>
    <w:qFormat/>
    <w:uiPriority w:val="0"/>
    <w:rPr>
      <w:rFonts w:ascii="Times New Roman" w:hAnsi="Times New Roman" w:eastAsia="黑体" w:cs="Times New Roman"/>
      <w:b/>
      <w:kern w:val="0"/>
      <w:szCs w:val="21"/>
    </w:rPr>
  </w:style>
  <w:style w:type="paragraph" w:customStyle="1" w:styleId="671">
    <w:name w:val="CC Char Char Char Char Char Char"/>
    <w:basedOn w:val="35"/>
    <w:next w:val="35"/>
    <w:autoRedefine/>
    <w:qFormat/>
    <w:uiPriority w:val="0"/>
    <w:pPr>
      <w:widowControl w:val="0"/>
      <w:ind w:left="630" w:leftChars="100" w:right="100" w:rightChars="100" w:firstLine="0" w:firstLineChars="0"/>
      <w:jc w:val="both"/>
    </w:pPr>
    <w:rPr>
      <w:sz w:val="28"/>
      <w:szCs w:val="28"/>
    </w:rPr>
  </w:style>
  <w:style w:type="paragraph" w:customStyle="1" w:styleId="672">
    <w:name w:val="标准"/>
    <w:basedOn w:val="1"/>
    <w:autoRedefine/>
    <w:qFormat/>
    <w:uiPriority w:val="0"/>
    <w:pPr>
      <w:autoSpaceDE w:val="0"/>
      <w:autoSpaceDN w:val="0"/>
      <w:adjustRightInd w:val="0"/>
      <w:spacing w:line="500" w:lineRule="atLeast"/>
      <w:ind w:firstLine="0" w:firstLineChars="0"/>
    </w:pPr>
    <w:rPr>
      <w:rFonts w:ascii="宋体" w:hAnsi="Times New Roman"/>
      <w:szCs w:val="20"/>
      <w:lang w:val="en-US"/>
    </w:rPr>
  </w:style>
  <w:style w:type="paragraph" w:customStyle="1" w:styleId="673">
    <w:name w:val="4标题(治)"/>
    <w:basedOn w:val="1"/>
    <w:next w:val="1"/>
    <w:link w:val="674"/>
    <w:autoRedefine/>
    <w:qFormat/>
    <w:uiPriority w:val="0"/>
    <w:pPr>
      <w:adjustRightInd w:val="0"/>
      <w:snapToGrid w:val="0"/>
      <w:ind w:firstLine="0" w:firstLineChars="0"/>
      <w:textAlignment w:val="baseline"/>
      <w:outlineLvl w:val="3"/>
    </w:pPr>
    <w:rPr>
      <w:rFonts w:hAnsi="Times New Roman" w:eastAsia="黑体"/>
      <w:szCs w:val="20"/>
      <w:lang w:val="en-US"/>
    </w:rPr>
  </w:style>
  <w:style w:type="character" w:customStyle="1" w:styleId="674">
    <w:name w:val="4标题(治) Char"/>
    <w:link w:val="673"/>
    <w:autoRedefine/>
    <w:qFormat/>
    <w:uiPriority w:val="0"/>
    <w:rPr>
      <w:rFonts w:ascii="Times New Roman" w:hAnsi="Times New Roman" w:eastAsia="黑体" w:cs="Times New Roman"/>
      <w:kern w:val="0"/>
      <w:sz w:val="24"/>
      <w:szCs w:val="20"/>
    </w:rPr>
  </w:style>
  <w:style w:type="paragraph" w:customStyle="1" w:styleId="675">
    <w:name w:val="8说明(治)"/>
    <w:basedOn w:val="1"/>
    <w:next w:val="75"/>
    <w:autoRedefine/>
    <w:qFormat/>
    <w:uiPriority w:val="0"/>
    <w:pPr>
      <w:spacing w:line="240" w:lineRule="auto"/>
    </w:pPr>
    <w:rPr>
      <w:rFonts w:hAnsi="Times New Roman" w:eastAsia="楷体"/>
      <w:kern w:val="2"/>
      <w:szCs w:val="20"/>
      <w:lang w:val="en-US"/>
    </w:rPr>
  </w:style>
  <w:style w:type="paragraph" w:customStyle="1" w:styleId="676">
    <w:name w:val="Char Char Char Char Char Char Char Char Char Char Char Char Char Char Char1 Char"/>
    <w:basedOn w:val="1"/>
    <w:autoRedefine/>
    <w:qFormat/>
    <w:uiPriority w:val="0"/>
    <w:pPr>
      <w:spacing w:line="240" w:lineRule="auto"/>
      <w:ind w:firstLine="0" w:firstLineChars="0"/>
    </w:pPr>
    <w:rPr>
      <w:rFonts w:hAnsi="Times New Roman"/>
      <w:kern w:val="2"/>
      <w:lang w:val="en-US"/>
    </w:rPr>
  </w:style>
  <w:style w:type="paragraph" w:customStyle="1" w:styleId="677">
    <w:name w:val="正文应用"/>
    <w:basedOn w:val="1"/>
    <w:autoRedefine/>
    <w:qFormat/>
    <w:uiPriority w:val="0"/>
    <w:pPr>
      <w:adjustRightInd w:val="0"/>
      <w:snapToGrid w:val="0"/>
      <w:spacing w:line="300" w:lineRule="auto"/>
      <w:ind w:left="980" w:leftChars="50" w:hanging="840" w:hangingChars="300"/>
      <w:jc w:val="left"/>
    </w:pPr>
    <w:rPr>
      <w:rFonts w:hAnsi="Times New Roman" w:eastAsia="楷体_GB2312"/>
      <w:kern w:val="2"/>
      <w:sz w:val="28"/>
      <w:lang w:val="en-US"/>
    </w:rPr>
  </w:style>
  <w:style w:type="paragraph" w:customStyle="1" w:styleId="678">
    <w:name w:val="Char Char Char Char Char1"/>
    <w:basedOn w:val="1"/>
    <w:next w:val="1"/>
    <w:autoRedefine/>
    <w:semiHidden/>
    <w:qFormat/>
    <w:uiPriority w:val="0"/>
    <w:pPr>
      <w:ind w:firstLine="200"/>
    </w:pPr>
    <w:rPr>
      <w:rFonts w:ascii="宋体" w:cs="宋体"/>
      <w:kern w:val="2"/>
      <w:lang w:val="en-US"/>
    </w:rPr>
  </w:style>
  <w:style w:type="paragraph" w:customStyle="1" w:styleId="679">
    <w:name w:val="表格文字居中 Char Char Char"/>
    <w:basedOn w:val="1"/>
    <w:autoRedefine/>
    <w:qFormat/>
    <w:uiPriority w:val="0"/>
    <w:pPr>
      <w:spacing w:line="240" w:lineRule="auto"/>
      <w:ind w:firstLine="0" w:firstLineChars="0"/>
      <w:jc w:val="center"/>
    </w:pPr>
    <w:rPr>
      <w:rFonts w:hAnsi="Times New Roman"/>
      <w:snapToGrid w:val="0"/>
      <w:kern w:val="2"/>
      <w:sz w:val="21"/>
      <w:szCs w:val="20"/>
      <w:lang w:val="en-US"/>
    </w:rPr>
  </w:style>
  <w:style w:type="paragraph" w:customStyle="1" w:styleId="680">
    <w:name w:val="样式 正文首行缩进＋湿地 + 首行缩进:  2 字符"/>
    <w:basedOn w:val="1"/>
    <w:autoRedefine/>
    <w:qFormat/>
    <w:uiPriority w:val="0"/>
    <w:pPr>
      <w:spacing w:line="440" w:lineRule="exact"/>
      <w:ind w:firstLine="560"/>
      <w:jc w:val="left"/>
    </w:pPr>
    <w:rPr>
      <w:rFonts w:ascii="仿宋_GB2312" w:eastAsia="仿宋_GB2312"/>
      <w:sz w:val="28"/>
      <w:szCs w:val="20"/>
      <w:lang w:val="en-US"/>
    </w:rPr>
  </w:style>
  <w:style w:type="paragraph" w:customStyle="1" w:styleId="681">
    <w:name w:val="reader-word-layer"/>
    <w:basedOn w:val="1"/>
    <w:autoRedefine/>
    <w:qFormat/>
    <w:uiPriority w:val="0"/>
    <w:pPr>
      <w:widowControl/>
      <w:spacing w:before="100" w:beforeAutospacing="1" w:after="100" w:afterAutospacing="1" w:line="240" w:lineRule="auto"/>
      <w:ind w:firstLine="0" w:firstLineChars="0"/>
      <w:jc w:val="left"/>
    </w:pPr>
    <w:rPr>
      <w:rFonts w:ascii="宋体" w:cs="宋体"/>
      <w:lang w:val="en-US"/>
    </w:rPr>
  </w:style>
  <w:style w:type="paragraph" w:customStyle="1" w:styleId="682">
    <w:name w:val="陈光的正文"/>
    <w:basedOn w:val="1"/>
    <w:autoRedefine/>
    <w:qFormat/>
    <w:uiPriority w:val="0"/>
    <w:pPr>
      <w:adjustRightInd w:val="0"/>
      <w:snapToGrid w:val="0"/>
      <w:spacing w:beforeLines="10" w:afterLines="10"/>
      <w:ind w:firstLine="560"/>
    </w:pPr>
    <w:rPr>
      <w:rFonts w:hAnsi="Times New Roman"/>
      <w:kern w:val="2"/>
      <w:sz w:val="28"/>
      <w:szCs w:val="20"/>
      <w:lang w:val="en-US"/>
    </w:rPr>
  </w:style>
  <w:style w:type="paragraph" w:customStyle="1" w:styleId="683">
    <w:name w:val="Char21"/>
    <w:basedOn w:val="1"/>
    <w:next w:val="1"/>
    <w:autoRedefine/>
    <w:qFormat/>
    <w:uiPriority w:val="0"/>
    <w:pPr>
      <w:ind w:firstLine="200"/>
    </w:pPr>
    <w:rPr>
      <w:rFonts w:ascii="宋体" w:cs="宋体"/>
      <w:kern w:val="2"/>
      <w:lang w:val="en-US"/>
    </w:rPr>
  </w:style>
  <w:style w:type="paragraph" w:customStyle="1" w:styleId="684">
    <w:name w:val="Char Char Char Char Char Char Char"/>
    <w:basedOn w:val="1"/>
    <w:autoRedefine/>
    <w:qFormat/>
    <w:uiPriority w:val="0"/>
    <w:pPr>
      <w:ind w:firstLine="200"/>
    </w:pPr>
    <w:rPr>
      <w:rFonts w:hAnsi="Times New Roman"/>
      <w:kern w:val="2"/>
      <w:sz w:val="21"/>
      <w:lang w:val="en-US"/>
    </w:rPr>
  </w:style>
  <w:style w:type="character" w:customStyle="1" w:styleId="685">
    <w:name w:val="long_text1"/>
    <w:autoRedefine/>
    <w:qFormat/>
    <w:uiPriority w:val="0"/>
    <w:rPr>
      <w:sz w:val="18"/>
    </w:rPr>
  </w:style>
  <w:style w:type="paragraph" w:customStyle="1" w:styleId="686">
    <w:name w:val="附录表标题"/>
    <w:next w:val="1"/>
    <w:autoRedefine/>
    <w:qFormat/>
    <w:uiPriority w:val="0"/>
    <w:pPr>
      <w:jc w:val="center"/>
      <w:textAlignment w:val="baseline"/>
    </w:pPr>
    <w:rPr>
      <w:rFonts w:ascii="黑体" w:hAnsi="Times New Roman" w:eastAsia="黑体" w:cs="Times New Roman"/>
      <w:kern w:val="21"/>
      <w:sz w:val="21"/>
      <w:lang w:val="en-US" w:eastAsia="zh-CN" w:bidi="ar-SA"/>
    </w:rPr>
  </w:style>
  <w:style w:type="character" w:customStyle="1" w:styleId="687">
    <w:name w:val="标题5"/>
    <w:autoRedefine/>
    <w:qFormat/>
    <w:uiPriority w:val="0"/>
  </w:style>
  <w:style w:type="paragraph" w:customStyle="1" w:styleId="688">
    <w:name w:val="Char Char Char Char Char Char1 Char Char Char Char Char Char Char"/>
    <w:basedOn w:val="1"/>
    <w:autoRedefine/>
    <w:qFormat/>
    <w:uiPriority w:val="0"/>
    <w:pPr>
      <w:spacing w:line="240" w:lineRule="auto"/>
      <w:ind w:firstLine="0" w:firstLineChars="0"/>
    </w:pPr>
    <w:rPr>
      <w:rFonts w:hAnsi="Times New Roman"/>
      <w:kern w:val="2"/>
      <w:sz w:val="21"/>
      <w:lang w:val="en-US"/>
    </w:rPr>
  </w:style>
  <w:style w:type="character" w:customStyle="1" w:styleId="689">
    <w:name w:val="style7"/>
    <w:autoRedefine/>
    <w:qFormat/>
    <w:uiPriority w:val="0"/>
  </w:style>
  <w:style w:type="character" w:customStyle="1" w:styleId="690">
    <w:name w:val="style31"/>
    <w:autoRedefine/>
    <w:qFormat/>
    <w:uiPriority w:val="0"/>
    <w:rPr>
      <w:sz w:val="21"/>
      <w:szCs w:val="21"/>
    </w:rPr>
  </w:style>
  <w:style w:type="paragraph" w:customStyle="1" w:styleId="691">
    <w:name w:val="Char Char Char Char Char Char Char Char Char1"/>
    <w:basedOn w:val="1"/>
    <w:autoRedefine/>
    <w:qFormat/>
    <w:uiPriority w:val="0"/>
    <w:pPr>
      <w:widowControl/>
      <w:spacing w:after="160" w:line="240" w:lineRule="exact"/>
      <w:ind w:firstLine="0" w:firstLineChars="0"/>
      <w:jc w:val="left"/>
    </w:pPr>
    <w:rPr>
      <w:rFonts w:ascii="Verdana" w:hAnsi="Verdana" w:eastAsia="仿宋_GB2312"/>
      <w:szCs w:val="20"/>
      <w:lang w:val="en-US" w:eastAsia="en-US"/>
    </w:rPr>
  </w:style>
  <w:style w:type="paragraph" w:customStyle="1" w:styleId="692">
    <w:name w:val="小标题"/>
    <w:basedOn w:val="1"/>
    <w:autoRedefine/>
    <w:qFormat/>
    <w:uiPriority w:val="0"/>
    <w:pPr>
      <w:numPr>
        <w:ilvl w:val="0"/>
        <w:numId w:val="4"/>
      </w:numPr>
      <w:overflowPunct w:val="0"/>
      <w:adjustRightInd w:val="0"/>
      <w:snapToGrid w:val="0"/>
      <w:spacing w:line="300" w:lineRule="auto"/>
      <w:ind w:firstLine="0" w:firstLineChars="0"/>
    </w:pPr>
    <w:rPr>
      <w:rFonts w:ascii="Arial" w:hAnsi="Arial" w:eastAsia="仿宋_GB2312"/>
      <w:b/>
      <w:bCs/>
      <w:kern w:val="2"/>
      <w:sz w:val="28"/>
      <w:szCs w:val="20"/>
      <w:lang w:val="en-US"/>
    </w:rPr>
  </w:style>
  <w:style w:type="paragraph" w:customStyle="1" w:styleId="693">
    <w:name w:val="环评正文"/>
    <w:basedOn w:val="3"/>
    <w:link w:val="694"/>
    <w:autoRedefine/>
    <w:qFormat/>
    <w:uiPriority w:val="0"/>
    <w:pPr>
      <w:keepNext w:val="0"/>
      <w:keepLines w:val="0"/>
      <w:numPr>
        <w:numId w:val="0"/>
      </w:numPr>
      <w:spacing w:before="60" w:beforeLines="0" w:after="60" w:afterLines="0" w:line="400" w:lineRule="exact"/>
      <w:ind w:firstLine="480" w:firstLineChars="200"/>
      <w:jc w:val="both"/>
      <w:outlineLvl w:val="9"/>
    </w:pPr>
    <w:rPr>
      <w:rFonts w:ascii="Times New Roman" w:hAnsi="Times New Roman" w:eastAsia="仿宋_GB2312"/>
      <w:b w:val="0"/>
      <w:bCs/>
      <w:sz w:val="24"/>
      <w:szCs w:val="28"/>
      <w:lang w:val="en-US"/>
    </w:rPr>
  </w:style>
  <w:style w:type="character" w:customStyle="1" w:styleId="694">
    <w:name w:val="环评正文 Char1"/>
    <w:link w:val="693"/>
    <w:autoRedefine/>
    <w:qFormat/>
    <w:uiPriority w:val="0"/>
    <w:rPr>
      <w:rFonts w:ascii="Times New Roman" w:hAnsi="Times New Roman" w:eastAsia="仿宋_GB2312" w:cs="Times New Roman"/>
      <w:bCs/>
      <w:kern w:val="44"/>
      <w:sz w:val="24"/>
      <w:szCs w:val="28"/>
    </w:rPr>
  </w:style>
  <w:style w:type="paragraph" w:customStyle="1" w:styleId="695">
    <w:name w:val="xl25"/>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hAnsi="Times New Roman"/>
      <w:sz w:val="21"/>
      <w:szCs w:val="21"/>
      <w:lang w:val="en-US"/>
    </w:rPr>
  </w:style>
  <w:style w:type="character" w:customStyle="1" w:styleId="696">
    <w:name w:val="报告书正文 Char"/>
    <w:autoRedefine/>
    <w:qFormat/>
    <w:uiPriority w:val="0"/>
    <w:rPr>
      <w:rFonts w:hAnsi="宋体"/>
      <w:kern w:val="2"/>
      <w:sz w:val="24"/>
      <w:szCs w:val="24"/>
      <w:lang w:val="zh-CN"/>
    </w:rPr>
  </w:style>
  <w:style w:type="paragraph" w:customStyle="1" w:styleId="697">
    <w:name w:val="默认段落字体 Para Char Char Char Char Char"/>
    <w:basedOn w:val="1"/>
    <w:autoRedefine/>
    <w:qFormat/>
    <w:uiPriority w:val="0"/>
    <w:pPr>
      <w:spacing w:line="240" w:lineRule="auto"/>
      <w:ind w:firstLine="0" w:firstLineChars="0"/>
    </w:pPr>
    <w:rPr>
      <w:rFonts w:hAnsi="Times New Roman"/>
      <w:kern w:val="2"/>
      <w:sz w:val="21"/>
      <w:lang w:val="en-US"/>
    </w:rPr>
  </w:style>
  <w:style w:type="character" w:customStyle="1" w:styleId="698">
    <w:name w:val="style9"/>
    <w:autoRedefine/>
    <w:qFormat/>
    <w:uiPriority w:val="0"/>
  </w:style>
  <w:style w:type="paragraph" w:customStyle="1" w:styleId="699">
    <w:name w:val="xl24"/>
    <w:basedOn w:val="1"/>
    <w:autoRedefine/>
    <w:qFormat/>
    <w:uiPriority w:val="0"/>
    <w:pPr>
      <w:widowControl/>
      <w:pBdr>
        <w:bottom w:val="single" w:color="auto" w:sz="4" w:space="0"/>
        <w:right w:val="single" w:color="auto" w:sz="4" w:space="0"/>
      </w:pBdr>
      <w:spacing w:before="100" w:after="100" w:line="240" w:lineRule="auto"/>
      <w:ind w:firstLine="0" w:firstLineChars="0"/>
      <w:jc w:val="center"/>
    </w:pPr>
    <w:rPr>
      <w:rFonts w:hAnsi="Times New Roman"/>
      <w:sz w:val="21"/>
      <w:szCs w:val="20"/>
      <w:lang w:val="en-US"/>
    </w:rPr>
  </w:style>
  <w:style w:type="character" w:customStyle="1" w:styleId="700">
    <w:name w:val="tcnt3"/>
    <w:autoRedefine/>
    <w:qFormat/>
    <w:uiPriority w:val="0"/>
  </w:style>
  <w:style w:type="character" w:customStyle="1" w:styleId="701">
    <w:name w:val="表格正文 Char"/>
    <w:link w:val="702"/>
    <w:autoRedefine/>
    <w:qFormat/>
    <w:locked/>
    <w:uiPriority w:val="0"/>
    <w:rPr>
      <w:sz w:val="24"/>
    </w:rPr>
  </w:style>
  <w:style w:type="paragraph" w:customStyle="1" w:styleId="702">
    <w:name w:val="表格正文"/>
    <w:basedOn w:val="1"/>
    <w:link w:val="701"/>
    <w:autoRedefine/>
    <w:qFormat/>
    <w:uiPriority w:val="0"/>
    <w:pPr>
      <w:spacing w:line="240" w:lineRule="auto"/>
      <w:ind w:firstLine="0" w:firstLineChars="0"/>
      <w:jc w:val="center"/>
    </w:pPr>
    <w:rPr>
      <w:rFonts w:asciiTheme="minorHAnsi" w:hAnsiTheme="minorHAnsi" w:eastAsiaTheme="minorEastAsia" w:cstheme="minorBidi"/>
      <w:kern w:val="2"/>
      <w:szCs w:val="22"/>
      <w:lang w:val="en-US"/>
    </w:rPr>
  </w:style>
  <w:style w:type="paragraph" w:styleId="703">
    <w:name w:val="No Spacing"/>
    <w:link w:val="704"/>
    <w:autoRedefine/>
    <w:qFormat/>
    <w:uiPriority w:val="0"/>
    <w:pPr>
      <w:spacing w:line="360" w:lineRule="auto"/>
      <w:jc w:val="center"/>
    </w:pPr>
    <w:rPr>
      <w:rFonts w:ascii="Times New Roman" w:hAnsi="Times New Roman" w:eastAsia="宋体" w:cs="Times New Roman"/>
      <w:szCs w:val="21"/>
      <w:lang w:val="en-GB" w:eastAsia="zh-CN" w:bidi="ar-SA"/>
    </w:rPr>
  </w:style>
  <w:style w:type="character" w:customStyle="1" w:styleId="704">
    <w:name w:val="无间隔 字符1"/>
    <w:link w:val="703"/>
    <w:autoRedefine/>
    <w:qFormat/>
    <w:uiPriority w:val="0"/>
    <w:rPr>
      <w:rFonts w:ascii="Times New Roman" w:hAnsi="Times New Roman" w:eastAsia="宋体" w:cs="Times New Roman"/>
      <w:kern w:val="0"/>
      <w:sz w:val="20"/>
      <w:szCs w:val="21"/>
      <w:lang w:val="en-GB"/>
    </w:rPr>
  </w:style>
  <w:style w:type="paragraph" w:customStyle="1" w:styleId="705">
    <w:name w:val="正文1统一"/>
    <w:basedOn w:val="1"/>
    <w:link w:val="706"/>
    <w:autoRedefine/>
    <w:qFormat/>
    <w:locked/>
    <w:uiPriority w:val="0"/>
    <w:rPr>
      <w:kern w:val="2"/>
    </w:rPr>
  </w:style>
  <w:style w:type="character" w:customStyle="1" w:styleId="706">
    <w:name w:val="正文1统一 Char"/>
    <w:link w:val="705"/>
    <w:autoRedefine/>
    <w:qFormat/>
    <w:uiPriority w:val="0"/>
    <w:rPr>
      <w:rFonts w:ascii="Times New Roman" w:hAnsi="宋体" w:eastAsia="宋体" w:cs="Times New Roman"/>
      <w:sz w:val="24"/>
      <w:szCs w:val="24"/>
      <w:lang w:val="zh-CN"/>
    </w:rPr>
  </w:style>
  <w:style w:type="paragraph" w:customStyle="1" w:styleId="707">
    <w:name w:val="图序1统一"/>
    <w:basedOn w:val="705"/>
    <w:link w:val="708"/>
    <w:autoRedefine/>
    <w:qFormat/>
    <w:locked/>
    <w:uiPriority w:val="0"/>
    <w:pPr>
      <w:spacing w:before="120" w:after="240" w:line="240" w:lineRule="auto"/>
      <w:ind w:firstLine="0" w:firstLineChars="0"/>
      <w:jc w:val="center"/>
    </w:pPr>
    <w:rPr>
      <w:b/>
      <w:sz w:val="21"/>
      <w:szCs w:val="21"/>
    </w:rPr>
  </w:style>
  <w:style w:type="character" w:customStyle="1" w:styleId="708">
    <w:name w:val="图序1统一 Char"/>
    <w:link w:val="707"/>
    <w:autoRedefine/>
    <w:qFormat/>
    <w:uiPriority w:val="0"/>
    <w:rPr>
      <w:rFonts w:ascii="Times New Roman" w:hAnsi="宋体" w:eastAsia="宋体" w:cs="Times New Roman"/>
      <w:b/>
      <w:szCs w:val="21"/>
      <w:lang w:val="zh-CN"/>
    </w:rPr>
  </w:style>
  <w:style w:type="character" w:customStyle="1" w:styleId="709">
    <w:name w:val="font41"/>
    <w:autoRedefine/>
    <w:qFormat/>
    <w:uiPriority w:val="0"/>
    <w:rPr>
      <w:rFonts w:hint="eastAsia" w:ascii="仿宋_GB2312" w:eastAsia="仿宋_GB2312" w:cs="仿宋_GB2312"/>
      <w:color w:val="000000"/>
      <w:sz w:val="22"/>
      <w:szCs w:val="22"/>
      <w:u w:val="none"/>
    </w:rPr>
  </w:style>
  <w:style w:type="character" w:customStyle="1" w:styleId="710">
    <w:name w:val="报告正文 Char"/>
    <w:link w:val="711"/>
    <w:autoRedefine/>
    <w:qFormat/>
    <w:uiPriority w:val="0"/>
    <w:rPr>
      <w:rFonts w:ascii="宋体" w:hAnsi="宋体"/>
      <w:sz w:val="28"/>
      <w:szCs w:val="28"/>
    </w:rPr>
  </w:style>
  <w:style w:type="paragraph" w:customStyle="1" w:styleId="711">
    <w:name w:val="报告正文"/>
    <w:basedOn w:val="1"/>
    <w:link w:val="710"/>
    <w:autoRedefine/>
    <w:qFormat/>
    <w:uiPriority w:val="0"/>
    <w:pPr>
      <w:ind w:firstLine="200"/>
    </w:pPr>
    <w:rPr>
      <w:rFonts w:ascii="宋体" w:eastAsiaTheme="minorEastAsia" w:cstheme="minorBidi"/>
      <w:kern w:val="2"/>
      <w:sz w:val="28"/>
      <w:szCs w:val="28"/>
      <w:lang w:val="en-US"/>
    </w:rPr>
  </w:style>
  <w:style w:type="paragraph" w:customStyle="1" w:styleId="712">
    <w:name w:val="二级标题2"/>
    <w:basedOn w:val="713"/>
    <w:autoRedefine/>
    <w:qFormat/>
    <w:uiPriority w:val="0"/>
    <w:pPr>
      <w:spacing w:line="360" w:lineRule="exact"/>
    </w:pPr>
    <w:rPr>
      <w:sz w:val="24"/>
    </w:rPr>
  </w:style>
  <w:style w:type="paragraph" w:customStyle="1" w:styleId="713">
    <w:name w:val="二级标题"/>
    <w:basedOn w:val="1"/>
    <w:autoRedefine/>
    <w:qFormat/>
    <w:uiPriority w:val="0"/>
    <w:pPr>
      <w:spacing w:before="60" w:line="460" w:lineRule="exact"/>
      <w:ind w:firstLine="0" w:firstLineChars="0"/>
      <w:outlineLvl w:val="1"/>
    </w:pPr>
    <w:rPr>
      <w:rFonts w:hAnsi="Times New Roman"/>
      <w:b/>
      <w:kern w:val="2"/>
      <w:sz w:val="28"/>
      <w:lang w:val="en-US"/>
    </w:rPr>
  </w:style>
  <w:style w:type="paragraph" w:customStyle="1" w:styleId="714">
    <w:name w:val="正文01"/>
    <w:basedOn w:val="1"/>
    <w:link w:val="715"/>
    <w:autoRedefine/>
    <w:qFormat/>
    <w:uiPriority w:val="0"/>
    <w:pPr>
      <w:adjustRightInd w:val="0"/>
      <w:snapToGrid w:val="0"/>
      <w:spacing w:before="60" w:line="460" w:lineRule="exact"/>
      <w:ind w:firstLine="200"/>
    </w:pPr>
    <w:rPr>
      <w:rFonts w:hAnsi="Times New Roman"/>
      <w:snapToGrid w:val="0"/>
      <w:color w:val="000000"/>
    </w:rPr>
  </w:style>
  <w:style w:type="character" w:customStyle="1" w:styleId="715">
    <w:name w:val="正文01 Char1"/>
    <w:link w:val="714"/>
    <w:autoRedefine/>
    <w:qFormat/>
    <w:uiPriority w:val="0"/>
    <w:rPr>
      <w:rFonts w:ascii="Times New Roman" w:hAnsi="Times New Roman" w:eastAsia="宋体" w:cs="Times New Roman"/>
      <w:snapToGrid w:val="0"/>
      <w:color w:val="000000"/>
      <w:kern w:val="0"/>
      <w:sz w:val="24"/>
      <w:szCs w:val="24"/>
      <w:lang w:val="zh-CN"/>
    </w:rPr>
  </w:style>
  <w:style w:type="paragraph" w:customStyle="1" w:styleId="716">
    <w:name w:val="表格下方正文"/>
    <w:basedOn w:val="1"/>
    <w:autoRedefine/>
    <w:qFormat/>
    <w:uiPriority w:val="0"/>
    <w:pPr>
      <w:adjustRightInd w:val="0"/>
      <w:snapToGrid w:val="0"/>
      <w:spacing w:before="260" w:line="460" w:lineRule="exact"/>
      <w:ind w:firstLine="482" w:firstLineChars="0"/>
    </w:pPr>
    <w:rPr>
      <w:rFonts w:hAnsi="Times New Roman"/>
      <w:snapToGrid w:val="0"/>
      <w:color w:val="000000"/>
      <w:lang w:val="en-US"/>
    </w:rPr>
  </w:style>
  <w:style w:type="paragraph" w:customStyle="1" w:styleId="717">
    <w:name w:val="注解"/>
    <w:basedOn w:val="165"/>
    <w:autoRedefine/>
    <w:qFormat/>
    <w:uiPriority w:val="0"/>
    <w:pPr>
      <w:spacing w:before="60" w:line="360" w:lineRule="exact"/>
      <w:ind w:firstLine="200" w:firstLineChars="200"/>
      <w:jc w:val="both"/>
    </w:pPr>
    <w:rPr>
      <w:b w:val="0"/>
      <w:bCs w:val="0"/>
      <w:sz w:val="21"/>
    </w:rPr>
  </w:style>
  <w:style w:type="character" w:customStyle="1" w:styleId="718">
    <w:name w:val="正文01 Char"/>
    <w:autoRedefine/>
    <w:qFormat/>
    <w:uiPriority w:val="0"/>
    <w:rPr>
      <w:rFonts w:hint="eastAsia" w:ascii="宋体" w:hAnsi="宋体" w:eastAsia="宋体"/>
      <w:color w:val="000000"/>
      <w:kern w:val="2"/>
      <w:sz w:val="24"/>
      <w:szCs w:val="24"/>
      <w:lang w:val="en-US" w:eastAsia="zh-CN" w:bidi="ar-SA"/>
    </w:rPr>
  </w:style>
  <w:style w:type="paragraph" w:customStyle="1" w:styleId="719">
    <w:name w:val="1.1.1"/>
    <w:basedOn w:val="1"/>
    <w:autoRedefine/>
    <w:qFormat/>
    <w:uiPriority w:val="0"/>
    <w:pPr>
      <w:snapToGrid w:val="0"/>
      <w:spacing w:before="120" w:after="120" w:line="240" w:lineRule="atLeast"/>
      <w:ind w:firstLine="0" w:firstLineChars="0"/>
    </w:pPr>
    <w:rPr>
      <w:rFonts w:hint="eastAsia" w:ascii="楷体_GB2312" w:hAnsi="Times New Roman" w:eastAsia="楷体_GB2312"/>
      <w:b/>
      <w:i/>
      <w:spacing w:val="6"/>
      <w:kern w:val="2"/>
      <w:szCs w:val="20"/>
      <w:lang w:val="en-US"/>
    </w:rPr>
  </w:style>
  <w:style w:type="paragraph" w:customStyle="1" w:styleId="720">
    <w:name w:val="正文文本3"/>
    <w:autoRedefine/>
    <w:qFormat/>
    <w:uiPriority w:val="0"/>
    <w:pPr>
      <w:keepNext/>
      <w:keepLines/>
      <w:widowControl w:val="0"/>
      <w:pBdr>
        <w:bottom w:val="single" w:color="auto" w:sz="6" w:space="0"/>
        <w:right w:val="single" w:color="auto" w:sz="6" w:space="0"/>
      </w:pBdr>
      <w:shd w:val="pct20" w:color="auto" w:fill="auto"/>
      <w:tabs>
        <w:tab w:val="left" w:pos="4040"/>
      </w:tabs>
      <w:spacing w:before="260" w:after="260" w:line="416" w:lineRule="auto"/>
      <w:jc w:val="both"/>
      <w:outlineLvl w:val="1"/>
    </w:pPr>
    <w:rPr>
      <w:rFonts w:ascii="Arial" w:hAnsi="Arial" w:eastAsia="黑体" w:cs="Times New Roman"/>
      <w:b/>
      <w:bCs/>
      <w:i/>
      <w:iCs/>
      <w:vanish/>
      <w:spacing w:val="10"/>
      <w:w w:val="65535"/>
      <w:kern w:val="2"/>
      <w:position w:val="-1"/>
      <w:sz w:val="21"/>
      <w:szCs w:val="21"/>
      <w:fitText w:val="2147483648" w:id="-1"/>
      <w:lang w:val="en-US" w:eastAsia="zh-CN" w:bidi="ar-SA"/>
      <w:eastAsianLayout w:id="1" w:combine="1"/>
    </w:rPr>
  </w:style>
  <w:style w:type="paragraph" w:customStyle="1" w:styleId="721">
    <w:name w:val="3级标题"/>
    <w:basedOn w:val="1"/>
    <w:autoRedefine/>
    <w:qFormat/>
    <w:uiPriority w:val="0"/>
    <w:pPr>
      <w:spacing w:before="300" w:line="460" w:lineRule="atLeast"/>
      <w:ind w:firstLine="0" w:firstLineChars="0"/>
      <w:outlineLvl w:val="2"/>
    </w:pPr>
    <w:rPr>
      <w:rFonts w:ascii="Arial" w:hAnsi="Arial" w:cs="Arial"/>
      <w:b/>
      <w:kern w:val="2"/>
      <w:lang w:val="en-US"/>
    </w:rPr>
  </w:style>
  <w:style w:type="paragraph" w:customStyle="1" w:styleId="722">
    <w:name w:val="5"/>
    <w:basedOn w:val="1"/>
    <w:next w:val="57"/>
    <w:link w:val="723"/>
    <w:autoRedefine/>
    <w:qFormat/>
    <w:uiPriority w:val="0"/>
    <w:pPr>
      <w:spacing w:after="120" w:line="240" w:lineRule="auto"/>
      <w:ind w:left="420" w:firstLine="420"/>
    </w:pPr>
    <w:rPr>
      <w:rFonts w:ascii="宋体"/>
      <w:spacing w:val="6"/>
      <w:kern w:val="2"/>
    </w:rPr>
  </w:style>
  <w:style w:type="character" w:customStyle="1" w:styleId="723">
    <w:name w:val="正文首行缩进 2 Char"/>
    <w:link w:val="722"/>
    <w:autoRedefine/>
    <w:qFormat/>
    <w:uiPriority w:val="0"/>
    <w:rPr>
      <w:rFonts w:ascii="宋体" w:hAnsi="宋体" w:eastAsia="宋体" w:cs="Times New Roman"/>
      <w:spacing w:val="6"/>
      <w:sz w:val="24"/>
      <w:szCs w:val="24"/>
      <w:lang w:val="zh-CN"/>
    </w:rPr>
  </w:style>
  <w:style w:type="paragraph" w:customStyle="1" w:styleId="724">
    <w:name w:val="表标题"/>
    <w:autoRedefine/>
    <w:qFormat/>
    <w:uiPriority w:val="0"/>
    <w:pPr>
      <w:spacing w:before="156"/>
      <w:ind w:firstLine="840" w:firstLineChars="300"/>
    </w:pPr>
    <w:rPr>
      <w:rFonts w:hint="eastAsia" w:ascii="黑体" w:hAnsi="Times New Roman" w:eastAsia="黑体" w:cs="Times New Roman"/>
      <w:bCs/>
      <w:kern w:val="2"/>
      <w:sz w:val="28"/>
      <w:szCs w:val="24"/>
      <w:lang w:val="en-US" w:eastAsia="zh-CN" w:bidi="ar-SA"/>
    </w:rPr>
  </w:style>
  <w:style w:type="character" w:customStyle="1" w:styleId="725">
    <w:name w:val="表内文字 Char"/>
    <w:autoRedefine/>
    <w:qFormat/>
    <w:uiPriority w:val="0"/>
    <w:rPr>
      <w:rFonts w:hint="eastAsia" w:ascii="宋体" w:hAnsi="Courier New" w:eastAsia="宋体" w:cs="Century"/>
      <w:kern w:val="2"/>
      <w:sz w:val="21"/>
      <w:szCs w:val="21"/>
      <w:lang w:val="en-US" w:eastAsia="zh-CN" w:bidi="ar-SA"/>
    </w:rPr>
  </w:style>
  <w:style w:type="paragraph" w:customStyle="1" w:styleId="726">
    <w:name w:val="样式 正文缩进 + 行距: 单倍行距"/>
    <w:basedOn w:val="5"/>
    <w:autoRedefine/>
    <w:qFormat/>
    <w:uiPriority w:val="0"/>
    <w:pPr>
      <w:adjustRightInd w:val="0"/>
      <w:snapToGrid w:val="0"/>
      <w:spacing w:line="440" w:lineRule="exact"/>
      <w:ind w:firstLine="0" w:firstLineChars="0"/>
    </w:pPr>
    <w:rPr>
      <w:rFonts w:hAnsi="Times New Roman" w:eastAsia="仿宋_GB2312"/>
      <w:kern w:val="2"/>
      <w:sz w:val="28"/>
      <w:szCs w:val="20"/>
    </w:rPr>
  </w:style>
  <w:style w:type="character" w:customStyle="1" w:styleId="727">
    <w:name w:val="正文首行缩进＋湿地 Char"/>
    <w:autoRedefine/>
    <w:qFormat/>
    <w:uiPriority w:val="0"/>
    <w:rPr>
      <w:rFonts w:ascii="仿宋_GB2312" w:eastAsia="仿宋_GB2312"/>
      <w:sz w:val="28"/>
      <w:lang w:val="en-US" w:eastAsia="zh-CN" w:bidi="ar-SA"/>
    </w:rPr>
  </w:style>
  <w:style w:type="paragraph" w:customStyle="1" w:styleId="728">
    <w:name w:val="样式 样式 标题 3 + 右侧:  1 字符1 + 右侧:  1 字符"/>
    <w:basedOn w:val="1"/>
    <w:autoRedefine/>
    <w:qFormat/>
    <w:uiPriority w:val="0"/>
    <w:pPr>
      <w:keepNext/>
      <w:keepLines/>
      <w:adjustRightInd w:val="0"/>
      <w:snapToGrid w:val="0"/>
      <w:spacing w:before="80" w:after="80"/>
      <w:ind w:firstLine="0" w:firstLineChars="0"/>
      <w:outlineLvl w:val="2"/>
    </w:pPr>
    <w:rPr>
      <w:rFonts w:hAnsi="Times New Roman"/>
      <w:b/>
      <w:kern w:val="2"/>
      <w:lang w:val="en-US"/>
    </w:rPr>
  </w:style>
  <w:style w:type="paragraph" w:customStyle="1" w:styleId="729">
    <w:name w:val="日期1"/>
    <w:basedOn w:val="1"/>
    <w:next w:val="1"/>
    <w:autoRedefine/>
    <w:qFormat/>
    <w:uiPriority w:val="0"/>
    <w:pPr>
      <w:autoSpaceDE w:val="0"/>
      <w:autoSpaceDN w:val="0"/>
      <w:adjustRightInd w:val="0"/>
      <w:spacing w:line="240" w:lineRule="auto"/>
      <w:ind w:firstLine="0" w:firstLineChars="0"/>
      <w:jc w:val="left"/>
      <w:textAlignment w:val="baseline"/>
    </w:pPr>
    <w:rPr>
      <w:rFonts w:ascii="宋体" w:hAnsi="Tms Rmn"/>
      <w:szCs w:val="20"/>
      <w:lang w:val="en-US"/>
    </w:rPr>
  </w:style>
  <w:style w:type="paragraph" w:customStyle="1" w:styleId="730">
    <w:name w:val="样式 宋体 四号 行距: 1.5 倍行距 首行缩进:  2 字符"/>
    <w:basedOn w:val="1"/>
    <w:next w:val="1"/>
    <w:autoRedefine/>
    <w:qFormat/>
    <w:uiPriority w:val="0"/>
    <w:pPr>
      <w:ind w:firstLine="0" w:firstLineChars="0"/>
    </w:pPr>
    <w:rPr>
      <w:rFonts w:hAnsi="Times New Roman"/>
      <w:kern w:val="2"/>
      <w:sz w:val="28"/>
      <w:szCs w:val="28"/>
      <w:lang w:val="en-US"/>
    </w:rPr>
  </w:style>
  <w:style w:type="paragraph" w:customStyle="1" w:styleId="731">
    <w:name w:val="Char12"/>
    <w:basedOn w:val="1"/>
    <w:next w:val="2"/>
    <w:autoRedefine/>
    <w:qFormat/>
    <w:uiPriority w:val="0"/>
    <w:pPr>
      <w:spacing w:line="240" w:lineRule="auto"/>
      <w:ind w:firstLine="0" w:firstLineChars="0"/>
    </w:pPr>
    <w:rPr>
      <w:rFonts w:hAnsi="Times New Roman"/>
      <w:kern w:val="2"/>
      <w:sz w:val="28"/>
      <w:szCs w:val="28"/>
      <w:lang w:val="en-US"/>
    </w:rPr>
  </w:style>
  <w:style w:type="paragraph" w:customStyle="1" w:styleId="732">
    <w:name w:val="样式 环评正文 Char Char + 首行缩进:  2 字符"/>
    <w:basedOn w:val="1"/>
    <w:autoRedefine/>
    <w:qFormat/>
    <w:uiPriority w:val="0"/>
    <w:pPr>
      <w:widowControl/>
      <w:spacing w:line="440" w:lineRule="exact"/>
      <w:ind w:firstLine="0" w:firstLineChars="0"/>
    </w:pPr>
    <w:rPr>
      <w:rFonts w:hint="eastAsia" w:hAnsi="Times New Roman"/>
      <w:color w:val="000000"/>
      <w:kern w:val="21"/>
      <w:sz w:val="21"/>
      <w:szCs w:val="20"/>
      <w:lang w:val="en-US"/>
    </w:rPr>
  </w:style>
  <w:style w:type="paragraph" w:customStyle="1" w:styleId="733">
    <w:name w:val="表内5"/>
    <w:basedOn w:val="1"/>
    <w:autoRedefine/>
    <w:qFormat/>
    <w:uiPriority w:val="0"/>
    <w:pPr>
      <w:tabs>
        <w:tab w:val="left" w:pos="4305"/>
      </w:tabs>
      <w:adjustRightInd w:val="0"/>
      <w:snapToGrid w:val="0"/>
      <w:spacing w:line="400" w:lineRule="exact"/>
      <w:ind w:firstLine="0" w:firstLineChars="0"/>
    </w:pPr>
    <w:rPr>
      <w:rFonts w:ascii="宋体"/>
      <w:color w:val="000000"/>
      <w:kern w:val="2"/>
      <w:sz w:val="21"/>
      <w:szCs w:val="20"/>
      <w:lang w:val="en-US"/>
    </w:rPr>
  </w:style>
  <w:style w:type="paragraph" w:customStyle="1" w:styleId="734">
    <w:name w:val="默认段落字体 Para Char Char Char Char Char Char Char"/>
    <w:basedOn w:val="1"/>
    <w:autoRedefine/>
    <w:qFormat/>
    <w:uiPriority w:val="0"/>
    <w:pPr>
      <w:spacing w:line="240" w:lineRule="auto"/>
      <w:ind w:firstLine="0" w:firstLineChars="0"/>
    </w:pPr>
    <w:rPr>
      <w:rFonts w:hAnsi="Times New Roman"/>
      <w:kern w:val="2"/>
      <w:sz w:val="21"/>
      <w:szCs w:val="20"/>
      <w:lang w:val="en-US"/>
    </w:rPr>
  </w:style>
  <w:style w:type="paragraph" w:customStyle="1" w:styleId="735">
    <w:name w:val="表格文字2"/>
    <w:basedOn w:val="1"/>
    <w:autoRedefine/>
    <w:qFormat/>
    <w:uiPriority w:val="0"/>
    <w:pPr>
      <w:tabs>
        <w:tab w:val="left" w:pos="277"/>
        <w:tab w:val="left" w:pos="600"/>
        <w:tab w:val="left" w:pos="780"/>
        <w:tab w:val="left" w:pos="2517"/>
      </w:tabs>
      <w:adjustRightInd w:val="0"/>
      <w:snapToGrid w:val="0"/>
      <w:spacing w:before="60" w:after="60" w:line="240" w:lineRule="auto"/>
      <w:ind w:firstLine="0" w:firstLineChars="0"/>
      <w:jc w:val="center"/>
      <w:textAlignment w:val="baseline"/>
    </w:pPr>
    <w:rPr>
      <w:rFonts w:hAnsi="Times New Roman"/>
      <w:spacing w:val="5"/>
      <w:kern w:val="44"/>
      <w:sz w:val="21"/>
      <w:szCs w:val="20"/>
      <w:lang w:val="en-US"/>
    </w:rPr>
  </w:style>
  <w:style w:type="paragraph" w:customStyle="1" w:styleId="736">
    <w:name w:val="表格项目名称(五号)"/>
    <w:basedOn w:val="1"/>
    <w:autoRedefine/>
    <w:qFormat/>
    <w:uiPriority w:val="0"/>
    <w:pPr>
      <w:snapToGrid w:val="0"/>
      <w:spacing w:line="280" w:lineRule="atLeast"/>
      <w:ind w:firstLine="0" w:firstLineChars="0"/>
      <w:jc w:val="center"/>
    </w:pPr>
    <w:rPr>
      <w:rFonts w:hAnsi="Times New Roman"/>
      <w:kern w:val="2"/>
      <w:sz w:val="21"/>
      <w:lang w:val="en-US"/>
    </w:rPr>
  </w:style>
  <w:style w:type="paragraph" w:customStyle="1" w:styleId="737">
    <w:name w:val="二级无标题条"/>
    <w:basedOn w:val="1"/>
    <w:autoRedefine/>
    <w:qFormat/>
    <w:uiPriority w:val="0"/>
    <w:pPr>
      <w:spacing w:line="240" w:lineRule="auto"/>
      <w:ind w:firstLine="0" w:firstLineChars="0"/>
    </w:pPr>
    <w:rPr>
      <w:rFonts w:hAnsi="Times New Roman"/>
      <w:kern w:val="2"/>
      <w:sz w:val="21"/>
      <w:lang w:val="en-US"/>
    </w:rPr>
  </w:style>
  <w:style w:type="paragraph" w:customStyle="1" w:styleId="738">
    <w:name w:val="样式 标题 1篇标题 1 11 ghostgghost1 ghost1g1ghost11 ghost2g2..."/>
    <w:basedOn w:val="3"/>
    <w:autoRedefine/>
    <w:qFormat/>
    <w:uiPriority w:val="0"/>
    <w:pPr>
      <w:pageBreakBefore/>
      <w:numPr>
        <w:numId w:val="0"/>
      </w:numPr>
      <w:tabs>
        <w:tab w:val="left" w:pos="360"/>
      </w:tabs>
      <w:snapToGrid w:val="0"/>
      <w:spacing w:before="480" w:beforeLines="200" w:after="360" w:afterLines="150"/>
      <w:ind w:left="360" w:hanging="360"/>
      <w:jc w:val="center"/>
    </w:pPr>
    <w:rPr>
      <w:rFonts w:ascii="Arial" w:hAnsi="Arial" w:eastAsia="黑体" w:cs="宋体"/>
      <w:bCs/>
      <w:sz w:val="36"/>
      <w:szCs w:val="20"/>
    </w:rPr>
  </w:style>
  <w:style w:type="paragraph" w:customStyle="1" w:styleId="739">
    <w:name w:val="样式 标题 2章宋三一、标题 1.1Title 22 headlinehheadlineS&amp;R2ERMH2...1"/>
    <w:basedOn w:val="4"/>
    <w:autoRedefine/>
    <w:qFormat/>
    <w:uiPriority w:val="0"/>
    <w:pPr>
      <w:numPr>
        <w:ilvl w:val="0"/>
        <w:numId w:val="0"/>
      </w:numPr>
      <w:tabs>
        <w:tab w:val="left" w:pos="840"/>
      </w:tabs>
      <w:snapToGrid w:val="0"/>
      <w:spacing w:before="240" w:beforeLines="100" w:after="0" w:afterLines="0"/>
      <w:ind w:left="840" w:hanging="420"/>
      <w:jc w:val="both"/>
    </w:pPr>
    <w:rPr>
      <w:rFonts w:ascii="Arial" w:hAnsi="Arial" w:eastAsia="黑体" w:cs="宋体"/>
      <w:bCs/>
      <w:kern w:val="2"/>
      <w:sz w:val="32"/>
      <w:szCs w:val="20"/>
    </w:rPr>
  </w:style>
  <w:style w:type="paragraph" w:customStyle="1" w:styleId="740">
    <w:name w:val="样式 标题 3标题 3 Char Char Char Char Char Char Char Char Char Char C..."/>
    <w:basedOn w:val="6"/>
    <w:link w:val="741"/>
    <w:autoRedefine/>
    <w:qFormat/>
    <w:uiPriority w:val="0"/>
    <w:pPr>
      <w:numPr>
        <w:ilvl w:val="0"/>
        <w:numId w:val="0"/>
      </w:numPr>
      <w:tabs>
        <w:tab w:val="left" w:pos="1260"/>
        <w:tab w:val="left" w:pos="2040"/>
      </w:tabs>
      <w:snapToGrid w:val="0"/>
      <w:spacing w:before="120" w:beforeLines="0" w:after="0" w:afterLines="0"/>
      <w:ind w:left="2040" w:leftChars="800" w:hanging="360" w:hangingChars="200"/>
    </w:pPr>
    <w:rPr>
      <w:rFonts w:ascii="Arial" w:hAnsi="Arial" w:eastAsia="黑体"/>
      <w:bCs/>
      <w:kern w:val="2"/>
      <w:sz w:val="30"/>
      <w:szCs w:val="20"/>
    </w:rPr>
  </w:style>
  <w:style w:type="character" w:customStyle="1" w:styleId="741">
    <w:name w:val="样式 标题 3标题 3 Char Char Char Char Char Char Char Char Char Char C... Char"/>
    <w:link w:val="740"/>
    <w:autoRedefine/>
    <w:qFormat/>
    <w:uiPriority w:val="0"/>
    <w:rPr>
      <w:rFonts w:ascii="Arial" w:hAnsi="Arial" w:eastAsia="黑体" w:cs="Times New Roman"/>
      <w:b/>
      <w:bCs/>
      <w:sz w:val="30"/>
      <w:szCs w:val="20"/>
      <w:lang w:val="zh-CN"/>
    </w:rPr>
  </w:style>
  <w:style w:type="paragraph" w:customStyle="1" w:styleId="742">
    <w:name w:val="7"/>
    <w:basedOn w:val="1"/>
    <w:autoRedefine/>
    <w:qFormat/>
    <w:uiPriority w:val="0"/>
    <w:pPr>
      <w:widowControl/>
      <w:tabs>
        <w:tab w:val="left" w:pos="425"/>
      </w:tabs>
      <w:spacing w:before="100" w:beforeLines="100" w:after="160" w:line="240" w:lineRule="exact"/>
      <w:ind w:left="425" w:hanging="425" w:firstLineChars="0"/>
      <w:jc w:val="left"/>
    </w:pPr>
    <w:rPr>
      <w:rFonts w:ascii="Verdana" w:hAnsi="Verdana"/>
      <w:sz w:val="20"/>
      <w:szCs w:val="20"/>
      <w:lang w:val="en-US" w:eastAsia="en-US"/>
    </w:rPr>
  </w:style>
  <w:style w:type="paragraph" w:customStyle="1" w:styleId="743">
    <w:name w:val="正文首行缩进2字符"/>
    <w:autoRedefine/>
    <w:qFormat/>
    <w:uiPriority w:val="0"/>
    <w:pPr>
      <w:widowControl w:val="0"/>
      <w:tabs>
        <w:tab w:val="left" w:pos="1437"/>
      </w:tabs>
      <w:spacing w:line="360" w:lineRule="auto"/>
      <w:ind w:firstLine="480" w:firstLineChars="200"/>
      <w:jc w:val="both"/>
    </w:pPr>
    <w:rPr>
      <w:rFonts w:ascii="Times New Roman" w:hAnsi="Times New Roman" w:eastAsia="宋体" w:cs="宋体"/>
      <w:sz w:val="24"/>
      <w:szCs w:val="24"/>
      <w:lang w:val="en-US" w:eastAsia="zh-CN" w:bidi="ar-SA"/>
    </w:rPr>
  </w:style>
  <w:style w:type="paragraph" w:customStyle="1" w:styleId="744">
    <w:name w:val="表格数字"/>
    <w:basedOn w:val="1"/>
    <w:autoRedefine/>
    <w:qFormat/>
    <w:uiPriority w:val="0"/>
    <w:pPr>
      <w:spacing w:line="240" w:lineRule="auto"/>
      <w:ind w:firstLine="0" w:firstLineChars="0"/>
      <w:jc w:val="right"/>
    </w:pPr>
    <w:rPr>
      <w:rFonts w:hAnsi="Times New Roman"/>
      <w:snapToGrid w:val="0"/>
      <w:sz w:val="21"/>
      <w:szCs w:val="21"/>
      <w:lang w:val="en-US"/>
    </w:rPr>
  </w:style>
  <w:style w:type="paragraph" w:customStyle="1" w:styleId="745">
    <w:name w:val="表格文字居中"/>
    <w:basedOn w:val="1"/>
    <w:autoRedefine/>
    <w:qFormat/>
    <w:uiPriority w:val="0"/>
    <w:pPr>
      <w:spacing w:line="240" w:lineRule="auto"/>
      <w:ind w:firstLine="0" w:firstLineChars="0"/>
      <w:jc w:val="center"/>
    </w:pPr>
    <w:rPr>
      <w:rFonts w:hAnsi="Times New Roman"/>
      <w:snapToGrid w:val="0"/>
      <w:lang w:val="en-US"/>
    </w:rPr>
  </w:style>
  <w:style w:type="character" w:customStyle="1" w:styleId="746">
    <w:name w:val="表格项目名称(五号) Char"/>
    <w:autoRedefine/>
    <w:qFormat/>
    <w:uiPriority w:val="0"/>
    <w:rPr>
      <w:rFonts w:eastAsia="宋体"/>
      <w:snapToGrid w:val="0"/>
      <w:kern w:val="2"/>
      <w:sz w:val="21"/>
      <w:szCs w:val="28"/>
      <w:lang w:val="en-US" w:eastAsia="zh-CN" w:bidi="ar-SA"/>
    </w:rPr>
  </w:style>
  <w:style w:type="paragraph" w:customStyle="1" w:styleId="747">
    <w:name w:val="说明"/>
    <w:basedOn w:val="1"/>
    <w:autoRedefine/>
    <w:qFormat/>
    <w:uiPriority w:val="0"/>
    <w:pPr>
      <w:tabs>
        <w:tab w:val="left" w:pos="7442"/>
      </w:tabs>
      <w:spacing w:line="276" w:lineRule="auto"/>
      <w:ind w:firstLine="432"/>
    </w:pPr>
    <w:rPr>
      <w:rFonts w:ascii="幼圆" w:hAnsi="Times New Roman" w:eastAsia="幼圆"/>
      <w:w w:val="120"/>
      <w:kern w:val="2"/>
      <w:sz w:val="18"/>
      <w:szCs w:val="18"/>
      <w:lang w:val="en-US"/>
    </w:rPr>
  </w:style>
  <w:style w:type="paragraph" w:customStyle="1" w:styleId="748">
    <w:name w:val="Char2 Char Char Char Char Char Char Char Char Char Char Char Char"/>
    <w:basedOn w:val="1"/>
    <w:next w:val="1"/>
    <w:autoRedefine/>
    <w:qFormat/>
    <w:uiPriority w:val="0"/>
    <w:pPr>
      <w:ind w:firstLine="200"/>
    </w:pPr>
    <w:rPr>
      <w:rFonts w:ascii="宋体" w:cs="宋体"/>
      <w:kern w:val="2"/>
      <w:lang w:val="en-US"/>
    </w:rPr>
  </w:style>
  <w:style w:type="paragraph" w:customStyle="1" w:styleId="749">
    <w:name w:val="Char2 Char Char Char"/>
    <w:basedOn w:val="1"/>
    <w:next w:val="1"/>
    <w:autoRedefine/>
    <w:qFormat/>
    <w:uiPriority w:val="0"/>
    <w:pPr>
      <w:ind w:firstLine="200"/>
    </w:pPr>
    <w:rPr>
      <w:rFonts w:ascii="宋体" w:cs="宋体"/>
      <w:kern w:val="2"/>
      <w:lang w:val="en-US"/>
    </w:rPr>
  </w:style>
  <w:style w:type="paragraph" w:customStyle="1" w:styleId="750">
    <w:name w:val="字元 字元1"/>
    <w:basedOn w:val="1"/>
    <w:autoRedefine/>
    <w:qFormat/>
    <w:uiPriority w:val="0"/>
    <w:pPr>
      <w:spacing w:line="240" w:lineRule="auto"/>
      <w:ind w:firstLine="0" w:firstLineChars="0"/>
    </w:pPr>
    <w:rPr>
      <w:rFonts w:hAnsi="Times New Roman"/>
      <w:kern w:val="2"/>
      <w:sz w:val="21"/>
      <w:lang w:val="en-US"/>
    </w:rPr>
  </w:style>
  <w:style w:type="paragraph" w:customStyle="1" w:styleId="751">
    <w:name w:val="表内式样"/>
    <w:autoRedefine/>
    <w:qFormat/>
    <w:uiPriority w:val="0"/>
    <w:pPr>
      <w:jc w:val="center"/>
    </w:pPr>
    <w:rPr>
      <w:rFonts w:ascii="Times New Roman" w:hAnsi="Times New Roman" w:eastAsia="楷体_GB2312" w:cs="Times New Roman"/>
      <w:color w:val="000000"/>
      <w:kern w:val="2"/>
      <w:sz w:val="21"/>
      <w:lang w:val="en-US" w:eastAsia="zh-CN" w:bidi="ar-SA"/>
    </w:rPr>
  </w:style>
  <w:style w:type="paragraph" w:customStyle="1" w:styleId="752">
    <w:name w:val="Char5 Char Char Char Char Char Char"/>
    <w:basedOn w:val="6"/>
    <w:autoRedefine/>
    <w:qFormat/>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paragraph" w:customStyle="1" w:styleId="753">
    <w:name w:val="style2"/>
    <w:basedOn w:val="1"/>
    <w:autoRedefine/>
    <w:qFormat/>
    <w:uiPriority w:val="0"/>
    <w:pPr>
      <w:widowControl/>
      <w:spacing w:before="100" w:beforeAutospacing="1" w:after="100" w:afterAutospacing="1" w:line="240" w:lineRule="auto"/>
      <w:ind w:firstLine="0" w:firstLineChars="0"/>
      <w:jc w:val="left"/>
    </w:pPr>
    <w:rPr>
      <w:rFonts w:ascii="宋体" w:cs="宋体"/>
      <w:b/>
      <w:bCs/>
      <w:sz w:val="27"/>
      <w:szCs w:val="27"/>
      <w:lang w:val="en-US"/>
    </w:rPr>
  </w:style>
  <w:style w:type="paragraph" w:customStyle="1" w:styleId="754">
    <w:name w:val="字元 字元 Char Char 字元 字元1 Char Char Char"/>
    <w:basedOn w:val="1"/>
    <w:autoRedefine/>
    <w:qFormat/>
    <w:uiPriority w:val="0"/>
    <w:pPr>
      <w:spacing w:line="240" w:lineRule="auto"/>
      <w:ind w:firstLine="0" w:firstLineChars="0"/>
    </w:pPr>
    <w:rPr>
      <w:rFonts w:hAnsi="Times New Roman"/>
      <w:kern w:val="2"/>
      <w:lang w:val="en-US"/>
    </w:rPr>
  </w:style>
  <w:style w:type="paragraph" w:customStyle="1" w:styleId="755">
    <w:name w:val="Char Char1 Char Char Char Char Char Char Char Char Char Char Char Char Char"/>
    <w:basedOn w:val="1"/>
    <w:autoRedefine/>
    <w:qFormat/>
    <w:uiPriority w:val="0"/>
    <w:pPr>
      <w:ind w:firstLine="200"/>
    </w:pPr>
    <w:rPr>
      <w:rFonts w:hAnsi="Times New Roman"/>
      <w:kern w:val="2"/>
      <w:sz w:val="21"/>
      <w:szCs w:val="20"/>
      <w:lang w:val="en-US"/>
    </w:rPr>
  </w:style>
  <w:style w:type="paragraph" w:customStyle="1" w:styleId="756">
    <w:name w:val="字元 字元11"/>
    <w:basedOn w:val="1"/>
    <w:autoRedefine/>
    <w:qFormat/>
    <w:uiPriority w:val="0"/>
    <w:pPr>
      <w:spacing w:line="240" w:lineRule="auto"/>
      <w:ind w:firstLine="0" w:firstLineChars="0"/>
    </w:pPr>
    <w:rPr>
      <w:rFonts w:hAnsi="Times New Roman"/>
      <w:kern w:val="2"/>
      <w:sz w:val="21"/>
      <w:szCs w:val="20"/>
      <w:lang w:val="en-US"/>
    </w:rPr>
  </w:style>
  <w:style w:type="paragraph" w:customStyle="1" w:styleId="757">
    <w:name w:val="Char Char2 Char"/>
    <w:basedOn w:val="6"/>
    <w:autoRedefine/>
    <w:qFormat/>
    <w:uiPriority w:val="0"/>
    <w:pPr>
      <w:numPr>
        <w:ilvl w:val="0"/>
        <w:numId w:val="0"/>
      </w:numPr>
      <w:tabs>
        <w:tab w:val="left" w:pos="360"/>
        <w:tab w:val="left" w:pos="900"/>
      </w:tabs>
      <w:snapToGrid w:val="0"/>
      <w:spacing w:before="0" w:beforeLines="0" w:after="0" w:afterLines="0"/>
      <w:ind w:left="542" w:leftChars="-12" w:firstLine="200" w:firstLineChars="200"/>
    </w:pPr>
    <w:rPr>
      <w:rFonts w:eastAsia="黑体"/>
      <w:snapToGrid w:val="0"/>
      <w:color w:val="000000"/>
      <w:kern w:val="2"/>
      <w:sz w:val="24"/>
      <w:szCs w:val="24"/>
    </w:rPr>
  </w:style>
  <w:style w:type="character" w:customStyle="1" w:styleId="758">
    <w:name w:val="环评正文 Char"/>
    <w:autoRedefine/>
    <w:qFormat/>
    <w:uiPriority w:val="0"/>
    <w:rPr>
      <w:rFonts w:ascii="Times New Roman" w:hAnsi="Times New Roman"/>
      <w:color w:val="000000"/>
      <w:sz w:val="24"/>
      <w:lang w:val="zh-CN"/>
    </w:rPr>
  </w:style>
  <w:style w:type="paragraph" w:customStyle="1" w:styleId="759">
    <w:name w:val="Char Char1 Char Char Char Char Char Char Char Char Char Char Char Char Char1"/>
    <w:basedOn w:val="1"/>
    <w:autoRedefine/>
    <w:qFormat/>
    <w:uiPriority w:val="0"/>
    <w:pPr>
      <w:ind w:firstLine="200"/>
    </w:pPr>
    <w:rPr>
      <w:rFonts w:ascii="宋体"/>
      <w:kern w:val="2"/>
      <w:szCs w:val="20"/>
      <w:lang w:val="en-US"/>
    </w:rPr>
  </w:style>
  <w:style w:type="character" w:customStyle="1" w:styleId="760">
    <w:name w:val="环评正文 Char Char Char"/>
    <w:link w:val="761"/>
    <w:autoRedefine/>
    <w:qFormat/>
    <w:uiPriority w:val="0"/>
    <w:rPr>
      <w:color w:val="000000"/>
      <w:kern w:val="21"/>
      <w:sz w:val="24"/>
    </w:rPr>
  </w:style>
  <w:style w:type="paragraph" w:customStyle="1" w:styleId="761">
    <w:name w:val="环评正文 Char Char"/>
    <w:link w:val="760"/>
    <w:autoRedefine/>
    <w:qFormat/>
    <w:uiPriority w:val="0"/>
    <w:pPr>
      <w:spacing w:line="360" w:lineRule="exact"/>
      <w:ind w:firstLine="200" w:firstLineChars="200"/>
    </w:pPr>
    <w:rPr>
      <w:rFonts w:asciiTheme="minorHAnsi" w:hAnsiTheme="minorHAnsi" w:eastAsiaTheme="minorEastAsia" w:cstheme="minorBidi"/>
      <w:color w:val="000000"/>
      <w:kern w:val="21"/>
      <w:sz w:val="24"/>
      <w:szCs w:val="22"/>
      <w:lang w:val="en-US" w:eastAsia="zh-CN" w:bidi="ar-SA"/>
    </w:rPr>
  </w:style>
  <w:style w:type="paragraph" w:customStyle="1" w:styleId="762">
    <w:name w:val="报告"/>
    <w:basedOn w:val="1"/>
    <w:autoRedefine/>
    <w:qFormat/>
    <w:uiPriority w:val="0"/>
    <w:pPr>
      <w:overflowPunct w:val="0"/>
      <w:autoSpaceDE w:val="0"/>
      <w:autoSpaceDN w:val="0"/>
      <w:adjustRightInd w:val="0"/>
      <w:spacing w:before="20" w:beforeLines="20" w:after="20" w:afterLines="20" w:line="440" w:lineRule="atLeast"/>
      <w:ind w:firstLine="200"/>
      <w:textAlignment w:val="baseline"/>
    </w:pPr>
    <w:rPr>
      <w:rFonts w:hAnsi="Times New Roman"/>
      <w:szCs w:val="20"/>
      <w:lang w:val="en-US"/>
    </w:rPr>
  </w:style>
  <w:style w:type="paragraph" w:customStyle="1" w:styleId="763">
    <w:name w:val="正文（首行缩进）"/>
    <w:basedOn w:val="1"/>
    <w:link w:val="764"/>
    <w:autoRedefine/>
    <w:qFormat/>
    <w:uiPriority w:val="0"/>
    <w:pPr>
      <w:widowControl/>
      <w:overflowPunct w:val="0"/>
      <w:topLinePunct/>
      <w:autoSpaceDE w:val="0"/>
      <w:autoSpaceDN w:val="0"/>
      <w:adjustRightInd w:val="0"/>
      <w:snapToGrid w:val="0"/>
      <w:ind w:firstLine="200"/>
      <w:textAlignment w:val="baseline"/>
    </w:pPr>
    <w:rPr>
      <w:rFonts w:ascii="宋体"/>
      <w:bCs/>
      <w:snapToGrid w:val="0"/>
      <w:color w:val="000000"/>
      <w:kern w:val="2"/>
    </w:rPr>
  </w:style>
  <w:style w:type="character" w:customStyle="1" w:styleId="764">
    <w:name w:val="正文（首行缩进） Char1"/>
    <w:link w:val="763"/>
    <w:autoRedefine/>
    <w:qFormat/>
    <w:uiPriority w:val="0"/>
    <w:rPr>
      <w:rFonts w:ascii="宋体" w:hAnsi="宋体" w:eastAsia="宋体" w:cs="Times New Roman"/>
      <w:bCs/>
      <w:snapToGrid w:val="0"/>
      <w:color w:val="000000"/>
      <w:sz w:val="24"/>
      <w:szCs w:val="24"/>
      <w:lang w:val="zh-CN"/>
    </w:rPr>
  </w:style>
  <w:style w:type="character" w:customStyle="1" w:styleId="765">
    <w:name w:val="新正文 Char"/>
    <w:link w:val="766"/>
    <w:autoRedefine/>
    <w:qFormat/>
    <w:uiPriority w:val="0"/>
    <w:rPr>
      <w:rFonts w:ascii="宋体"/>
      <w:sz w:val="24"/>
    </w:rPr>
  </w:style>
  <w:style w:type="paragraph" w:customStyle="1" w:styleId="766">
    <w:name w:val="新正文"/>
    <w:basedOn w:val="1"/>
    <w:link w:val="765"/>
    <w:autoRedefine/>
    <w:qFormat/>
    <w:uiPriority w:val="0"/>
    <w:pPr>
      <w:tabs>
        <w:tab w:val="left" w:pos="8295"/>
      </w:tabs>
      <w:spacing w:line="460" w:lineRule="exact"/>
      <w:ind w:firstLine="200"/>
    </w:pPr>
    <w:rPr>
      <w:rFonts w:ascii="宋体" w:hAnsiTheme="minorHAnsi" w:eastAsiaTheme="minorEastAsia" w:cstheme="minorBidi"/>
      <w:kern w:val="2"/>
      <w:szCs w:val="22"/>
      <w:lang w:val="en-US"/>
    </w:rPr>
  </w:style>
  <w:style w:type="paragraph" w:customStyle="1" w:styleId="767">
    <w:name w:val="xl67"/>
    <w:basedOn w:val="1"/>
    <w:autoRedefine/>
    <w:qFormat/>
    <w:uiPriority w:val="0"/>
    <w:pPr>
      <w:widowControl/>
      <w:pBdr>
        <w:left w:val="single" w:color="auto" w:sz="4" w:space="0"/>
      </w:pBdr>
      <w:spacing w:before="100" w:beforeAutospacing="1" w:after="100" w:afterAutospacing="1" w:line="240" w:lineRule="auto"/>
      <w:ind w:firstLine="0" w:firstLineChars="0"/>
    </w:pPr>
    <w:rPr>
      <w:rFonts w:hint="eastAsia" w:ascii="仿宋_GB2312" w:eastAsia="仿宋_GB2312"/>
      <w:szCs w:val="20"/>
      <w:lang w:val="en-US"/>
    </w:rPr>
  </w:style>
  <w:style w:type="paragraph" w:customStyle="1" w:styleId="768">
    <w:name w:val="正"/>
    <w:basedOn w:val="1"/>
    <w:autoRedefine/>
    <w:qFormat/>
    <w:uiPriority w:val="0"/>
    <w:pPr>
      <w:spacing w:line="240" w:lineRule="auto"/>
      <w:ind w:firstLine="200" w:firstLineChars="0"/>
    </w:pPr>
    <w:rPr>
      <w:rFonts w:hAnsi="Times New Roman"/>
      <w:kern w:val="2"/>
      <w:lang w:val="en-US"/>
    </w:rPr>
  </w:style>
  <w:style w:type="paragraph" w:customStyle="1" w:styleId="769">
    <w:name w:val="正文首行缩进＋湿地"/>
    <w:basedOn w:val="1"/>
    <w:autoRedefine/>
    <w:qFormat/>
    <w:uiPriority w:val="0"/>
    <w:pPr>
      <w:spacing w:line="400" w:lineRule="exact"/>
      <w:ind w:firstLine="493" w:firstLineChars="176"/>
      <w:jc w:val="left"/>
    </w:pPr>
    <w:rPr>
      <w:rFonts w:ascii="仿宋_GB2312" w:hAnsi="Times New Roman" w:eastAsia="仿宋_GB2312"/>
      <w:sz w:val="28"/>
      <w:szCs w:val="20"/>
      <w:lang w:val="en-US"/>
    </w:rPr>
  </w:style>
  <w:style w:type="paragraph" w:customStyle="1" w:styleId="770">
    <w:name w:val="样式 标题 2 + 宋体"/>
    <w:basedOn w:val="4"/>
    <w:autoRedefine/>
    <w:qFormat/>
    <w:uiPriority w:val="0"/>
    <w:pPr>
      <w:numPr>
        <w:numId w:val="0"/>
      </w:numPr>
      <w:tabs>
        <w:tab w:val="left" w:pos="720"/>
      </w:tabs>
      <w:adjustRightInd w:val="0"/>
      <w:snapToGrid w:val="0"/>
      <w:spacing w:before="120" w:beforeLines="0" w:after="120" w:afterLines="0" w:line="240" w:lineRule="auto"/>
      <w:ind w:left="576" w:hanging="576"/>
      <w:jc w:val="both"/>
    </w:pPr>
    <w:rPr>
      <w:rFonts w:ascii="宋体" w:hAnsi="宋体" w:eastAsia="仿宋_GB2312"/>
      <w:bCs/>
      <w:kern w:val="2"/>
      <w:sz w:val="28"/>
      <w:szCs w:val="32"/>
    </w:rPr>
  </w:style>
  <w:style w:type="paragraph" w:customStyle="1" w:styleId="771">
    <w:name w:val="正文3"/>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character" w:customStyle="1" w:styleId="772">
    <w:name w:val="样式 表格 + (符号) 宋体 四号1 Char"/>
    <w:autoRedefine/>
    <w:qFormat/>
    <w:uiPriority w:val="0"/>
    <w:rPr>
      <w:rFonts w:ascii="仿宋_GB2312" w:eastAsia="仿宋_GB2312"/>
      <w:color w:val="000000"/>
      <w:kern w:val="2"/>
      <w:sz w:val="21"/>
      <w:szCs w:val="18"/>
      <w:lang w:val="en-US" w:eastAsia="zh-CN" w:bidi="ar-SA"/>
    </w:rPr>
  </w:style>
  <w:style w:type="paragraph" w:customStyle="1" w:styleId="773">
    <w:name w:val="样式 标题 2 + (西文) 仿宋_GB2312 (中文) 仿宋_GB2312"/>
    <w:basedOn w:val="4"/>
    <w:autoRedefine/>
    <w:qFormat/>
    <w:uiPriority w:val="0"/>
    <w:pPr>
      <w:numPr>
        <w:numId w:val="0"/>
      </w:numPr>
      <w:tabs>
        <w:tab w:val="left" w:pos="720"/>
      </w:tabs>
      <w:spacing w:before="0" w:beforeLines="0" w:after="0" w:afterLines="0" w:line="415" w:lineRule="auto"/>
      <w:ind w:left="576" w:hanging="576"/>
      <w:jc w:val="both"/>
    </w:pPr>
    <w:rPr>
      <w:rFonts w:ascii="仿宋_GB2312" w:hAnsi="仿宋_GB2312" w:eastAsia="仿宋_GB2312"/>
      <w:bCs/>
      <w:kern w:val="2"/>
      <w:sz w:val="30"/>
      <w:szCs w:val="32"/>
    </w:rPr>
  </w:style>
  <w:style w:type="paragraph" w:customStyle="1" w:styleId="774">
    <w:name w:val="样式 标题 3 + 右侧:  1 字符"/>
    <w:basedOn w:val="6"/>
    <w:autoRedefine/>
    <w:qFormat/>
    <w:uiPriority w:val="0"/>
    <w:pPr>
      <w:numPr>
        <w:numId w:val="0"/>
      </w:numPr>
      <w:tabs>
        <w:tab w:val="left" w:pos="0"/>
        <w:tab w:val="left" w:pos="407"/>
      </w:tabs>
      <w:adjustRightInd w:val="0"/>
      <w:snapToGrid w:val="0"/>
      <w:spacing w:before="120" w:beforeLines="0" w:after="120" w:afterLines="0" w:line="440" w:lineRule="exact"/>
      <w:ind w:right="210" w:rightChars="100"/>
    </w:pPr>
    <w:rPr>
      <w:rFonts w:ascii="宋体" w:hAnsi="宋体" w:eastAsia="仿宋_GB2312" w:cs="宋体"/>
      <w:b w:val="0"/>
      <w:kern w:val="2"/>
      <w:sz w:val="28"/>
      <w:szCs w:val="20"/>
    </w:rPr>
  </w:style>
  <w:style w:type="paragraph" w:customStyle="1" w:styleId="775">
    <w:name w:val="样式 标题 3 + 右侧:  1 字符1"/>
    <w:basedOn w:val="6"/>
    <w:link w:val="776"/>
    <w:autoRedefine/>
    <w:qFormat/>
    <w:uiPriority w:val="0"/>
    <w:pPr>
      <w:numPr>
        <w:numId w:val="0"/>
      </w:numPr>
      <w:tabs>
        <w:tab w:val="left" w:pos="0"/>
      </w:tabs>
      <w:adjustRightInd w:val="0"/>
      <w:snapToGrid w:val="0"/>
      <w:spacing w:before="120" w:beforeLines="0" w:after="120" w:afterLines="0" w:line="440" w:lineRule="exact"/>
      <w:ind w:right="100" w:rightChars="100"/>
    </w:pPr>
    <w:rPr>
      <w:rFonts w:ascii="宋体" w:hAnsi="宋体" w:eastAsia="仿宋_GB2312"/>
      <w:kern w:val="2"/>
      <w:sz w:val="28"/>
      <w:szCs w:val="20"/>
    </w:rPr>
  </w:style>
  <w:style w:type="character" w:customStyle="1" w:styleId="776">
    <w:name w:val="样式 标题 3 + 右侧:  1 字符1 Char"/>
    <w:link w:val="775"/>
    <w:autoRedefine/>
    <w:qFormat/>
    <w:uiPriority w:val="0"/>
    <w:rPr>
      <w:rFonts w:ascii="宋体" w:hAnsi="宋体" w:eastAsia="仿宋_GB2312" w:cs="Times New Roman"/>
      <w:b/>
      <w:sz w:val="28"/>
      <w:szCs w:val="20"/>
      <w:lang w:val="zh-CN"/>
    </w:rPr>
  </w:style>
  <w:style w:type="paragraph" w:customStyle="1" w:styleId="777">
    <w:name w:val="样式 标题 3 + 右侧:  1 字符2"/>
    <w:basedOn w:val="6"/>
    <w:autoRedefine/>
    <w:qFormat/>
    <w:uiPriority w:val="0"/>
    <w:pPr>
      <w:numPr>
        <w:numId w:val="0"/>
      </w:numPr>
      <w:tabs>
        <w:tab w:val="left" w:pos="0"/>
        <w:tab w:val="left" w:pos="737"/>
      </w:tabs>
      <w:adjustRightInd w:val="0"/>
      <w:snapToGrid w:val="0"/>
      <w:spacing w:before="120" w:beforeLines="0" w:after="120" w:afterLines="0" w:line="440" w:lineRule="exact"/>
      <w:ind w:left="1440"/>
    </w:pPr>
    <w:rPr>
      <w:rFonts w:ascii="宋体" w:hAnsi="宋体" w:eastAsia="仿宋_GB2312" w:cs="宋体"/>
      <w:b w:val="0"/>
      <w:kern w:val="2"/>
      <w:sz w:val="28"/>
      <w:szCs w:val="20"/>
    </w:rPr>
  </w:style>
  <w:style w:type="paragraph" w:customStyle="1" w:styleId="778">
    <w:name w:val="样式 标题 3 + 仿宋_GB2312"/>
    <w:basedOn w:val="6"/>
    <w:autoRedefine/>
    <w:qFormat/>
    <w:uiPriority w:val="0"/>
    <w:pPr>
      <w:numPr>
        <w:numId w:val="0"/>
      </w:numPr>
      <w:tabs>
        <w:tab w:val="left" w:pos="0"/>
      </w:tabs>
      <w:adjustRightInd w:val="0"/>
      <w:snapToGrid w:val="0"/>
      <w:spacing w:before="120" w:beforeLines="0" w:after="120" w:afterLines="0" w:line="440" w:lineRule="exact"/>
    </w:pPr>
    <w:rPr>
      <w:rFonts w:hAnsi="宋体" w:eastAsia="宋体"/>
      <w:b w:val="0"/>
      <w:sz w:val="24"/>
      <w:szCs w:val="24"/>
    </w:rPr>
  </w:style>
  <w:style w:type="paragraph" w:customStyle="1" w:styleId="779">
    <w:name w:val="表格 规划"/>
    <w:basedOn w:val="1"/>
    <w:link w:val="780"/>
    <w:autoRedefine/>
    <w:qFormat/>
    <w:uiPriority w:val="0"/>
    <w:pPr>
      <w:snapToGrid w:val="0"/>
      <w:spacing w:line="300" w:lineRule="exact"/>
      <w:ind w:firstLine="0" w:firstLineChars="0"/>
      <w:jc w:val="center"/>
    </w:pPr>
    <w:rPr>
      <w:rFonts w:ascii="宋体"/>
      <w:color w:val="000000"/>
      <w:kern w:val="2"/>
      <w:sz w:val="21"/>
      <w:szCs w:val="21"/>
    </w:rPr>
  </w:style>
  <w:style w:type="character" w:customStyle="1" w:styleId="780">
    <w:name w:val="表格 规划 Char"/>
    <w:link w:val="779"/>
    <w:autoRedefine/>
    <w:qFormat/>
    <w:uiPriority w:val="0"/>
    <w:rPr>
      <w:rFonts w:ascii="宋体" w:hAnsi="宋体" w:eastAsia="宋体" w:cs="Times New Roman"/>
      <w:color w:val="000000"/>
      <w:szCs w:val="21"/>
      <w:lang w:val="zh-CN"/>
    </w:rPr>
  </w:style>
  <w:style w:type="paragraph" w:customStyle="1" w:styleId="781">
    <w:name w:val="河石管道 表头"/>
    <w:autoRedefine/>
    <w:qFormat/>
    <w:uiPriority w:val="0"/>
    <w:pPr>
      <w:widowControl w:val="0"/>
      <w:adjustRightInd w:val="0"/>
      <w:snapToGrid w:val="0"/>
      <w:jc w:val="center"/>
    </w:pPr>
    <w:rPr>
      <w:rFonts w:ascii="Times New Roman" w:hAnsi="Times New Roman" w:eastAsia="宋体" w:cs="Times New Roman"/>
      <w:b/>
      <w:sz w:val="21"/>
      <w:lang w:val="en-US" w:eastAsia="zh-CN" w:bidi="ar-SA"/>
    </w:rPr>
  </w:style>
  <w:style w:type="paragraph" w:customStyle="1" w:styleId="782">
    <w:name w:val="标准条文"/>
    <w:autoRedefine/>
    <w:qFormat/>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character" w:customStyle="1" w:styleId="783">
    <w:name w:val="Char Char14"/>
    <w:autoRedefine/>
    <w:qFormat/>
    <w:uiPriority w:val="0"/>
    <w:rPr>
      <w:rFonts w:ascii="Times New Roman" w:hAnsi="Times New Roman"/>
      <w:kern w:val="2"/>
      <w:sz w:val="30"/>
      <w:szCs w:val="24"/>
      <w:lang w:val="zh-CN" w:eastAsia="zh-CN"/>
    </w:rPr>
  </w:style>
  <w:style w:type="character" w:customStyle="1" w:styleId="784">
    <w:name w:val="报告正文 Char1"/>
    <w:autoRedefine/>
    <w:qFormat/>
    <w:uiPriority w:val="0"/>
    <w:rPr>
      <w:rFonts w:ascii="宋体" w:eastAsia="宋体"/>
      <w:kern w:val="2"/>
      <w:sz w:val="28"/>
      <w:szCs w:val="24"/>
      <w:lang w:val="en-US" w:eastAsia="zh-CN" w:bidi="ar-SA"/>
    </w:rPr>
  </w:style>
  <w:style w:type="character" w:customStyle="1" w:styleId="785">
    <w:name w:val="Char Char15"/>
    <w:autoRedefine/>
    <w:qFormat/>
    <w:uiPriority w:val="0"/>
    <w:rPr>
      <w:rFonts w:ascii="Times New Roman" w:hAnsi="Times New Roman"/>
      <w:b/>
      <w:bCs/>
      <w:kern w:val="2"/>
      <w:sz w:val="24"/>
      <w:szCs w:val="24"/>
      <w:lang w:val="zh-CN" w:eastAsia="zh-CN"/>
    </w:rPr>
  </w:style>
  <w:style w:type="paragraph" w:customStyle="1" w:styleId="786">
    <w:name w:val="Char Char Char Char Char Char Char1"/>
    <w:basedOn w:val="1"/>
    <w:autoRedefine/>
    <w:qFormat/>
    <w:uiPriority w:val="0"/>
    <w:pPr>
      <w:spacing w:line="240" w:lineRule="auto"/>
      <w:ind w:firstLine="0" w:firstLineChars="0"/>
    </w:pPr>
    <w:rPr>
      <w:rFonts w:hAnsi="Times New Roman"/>
      <w:kern w:val="2"/>
      <w:lang w:val="en-US"/>
    </w:rPr>
  </w:style>
  <w:style w:type="paragraph" w:customStyle="1" w:styleId="787">
    <w:name w:val="Char13 Char Char Char Char Char Char Char Char Char Char Char Char"/>
    <w:basedOn w:val="1"/>
    <w:autoRedefine/>
    <w:qFormat/>
    <w:uiPriority w:val="0"/>
    <w:pPr>
      <w:tabs>
        <w:tab w:val="left" w:pos="794"/>
        <w:tab w:val="left" w:pos="1191"/>
        <w:tab w:val="left" w:pos="1588"/>
        <w:tab w:val="left" w:pos="1985"/>
      </w:tabs>
      <w:autoSpaceDE w:val="0"/>
      <w:autoSpaceDN w:val="0"/>
      <w:adjustRightInd w:val="0"/>
      <w:spacing w:before="136" w:line="240" w:lineRule="auto"/>
      <w:ind w:firstLine="0" w:firstLineChars="0"/>
    </w:pPr>
    <w:rPr>
      <w:rFonts w:ascii="Tahoma" w:hAnsi="Tahoma"/>
      <w:kern w:val="2"/>
      <w:lang w:val="en-GB"/>
    </w:rPr>
  </w:style>
  <w:style w:type="paragraph" w:customStyle="1" w:styleId="788">
    <w:name w:val="陈新正文"/>
    <w:basedOn w:val="1"/>
    <w:link w:val="789"/>
    <w:autoRedefine/>
    <w:qFormat/>
    <w:uiPriority w:val="0"/>
    <w:pPr>
      <w:widowControl/>
      <w:overflowPunct w:val="0"/>
      <w:adjustRightInd w:val="0"/>
      <w:snapToGrid w:val="0"/>
    </w:pPr>
    <w:rPr>
      <w:rFonts w:hAnsi="Times New Roman"/>
      <w:color w:val="000000"/>
      <w:szCs w:val="20"/>
      <w:lang w:bidi="en-US"/>
    </w:rPr>
  </w:style>
  <w:style w:type="character" w:customStyle="1" w:styleId="789">
    <w:name w:val="陈新正文 Char"/>
    <w:link w:val="788"/>
    <w:autoRedefine/>
    <w:qFormat/>
    <w:uiPriority w:val="0"/>
    <w:rPr>
      <w:rFonts w:ascii="Times New Roman" w:hAnsi="Times New Roman" w:eastAsia="宋体" w:cs="Times New Roman"/>
      <w:color w:val="000000"/>
      <w:kern w:val="0"/>
      <w:sz w:val="24"/>
      <w:szCs w:val="20"/>
      <w:lang w:val="zh-CN" w:bidi="en-US"/>
    </w:rPr>
  </w:style>
  <w:style w:type="paragraph" w:customStyle="1" w:styleId="790">
    <w:name w:val="3"/>
    <w:basedOn w:val="1"/>
    <w:next w:val="57"/>
    <w:autoRedefine/>
    <w:qFormat/>
    <w:uiPriority w:val="0"/>
    <w:pPr>
      <w:spacing w:after="120" w:line="240" w:lineRule="auto"/>
      <w:ind w:left="420" w:firstLine="420"/>
    </w:pPr>
    <w:rPr>
      <w:rFonts w:ascii="宋体"/>
      <w:spacing w:val="6"/>
      <w:kern w:val="2"/>
    </w:rPr>
  </w:style>
  <w:style w:type="character" w:customStyle="1" w:styleId="791">
    <w:name w:val="文本样式 Char Char"/>
    <w:autoRedefine/>
    <w:qFormat/>
    <w:uiPriority w:val="0"/>
    <w:rPr>
      <w:rFonts w:eastAsia="宋体" w:cs="宋体"/>
      <w:kern w:val="2"/>
      <w:sz w:val="24"/>
      <w:lang w:val="en-US" w:eastAsia="zh-CN" w:bidi="ar-SA"/>
    </w:rPr>
  </w:style>
  <w:style w:type="character" w:customStyle="1" w:styleId="792">
    <w:name w:val="表格标题 居中 Char"/>
    <w:link w:val="793"/>
    <w:autoRedefine/>
    <w:qFormat/>
    <w:uiPriority w:val="0"/>
    <w:rPr>
      <w:rFonts w:cs="宋体"/>
      <w:b/>
      <w:bCs/>
      <w:sz w:val="24"/>
    </w:rPr>
  </w:style>
  <w:style w:type="paragraph" w:customStyle="1" w:styleId="793">
    <w:name w:val="表格标题 居中"/>
    <w:basedOn w:val="163"/>
    <w:link w:val="792"/>
    <w:autoRedefine/>
    <w:qFormat/>
    <w:uiPriority w:val="0"/>
    <w:pPr>
      <w:ind w:firstLine="0" w:firstLineChars="0"/>
      <w:jc w:val="center"/>
    </w:pPr>
    <w:rPr>
      <w:b/>
      <w:bCs/>
    </w:rPr>
  </w:style>
  <w:style w:type="paragraph" w:customStyle="1" w:styleId="794">
    <w:name w:val="正文~"/>
    <w:basedOn w:val="309"/>
    <w:link w:val="795"/>
    <w:autoRedefine/>
    <w:qFormat/>
    <w:uiPriority w:val="0"/>
    <w:pPr>
      <w:widowControl w:val="0"/>
      <w:ind w:firstLine="480"/>
      <w:jc w:val="both"/>
    </w:pPr>
  </w:style>
  <w:style w:type="character" w:customStyle="1" w:styleId="795">
    <w:name w:val="正文~ 字符"/>
    <w:link w:val="794"/>
    <w:autoRedefine/>
    <w:qFormat/>
    <w:uiPriority w:val="0"/>
    <w:rPr>
      <w:sz w:val="24"/>
      <w:szCs w:val="24"/>
    </w:rPr>
  </w:style>
  <w:style w:type="paragraph" w:customStyle="1" w:styleId="796">
    <w:name w:val="表格题头~"/>
    <w:basedOn w:val="1"/>
    <w:link w:val="797"/>
    <w:autoRedefine/>
    <w:qFormat/>
    <w:uiPriority w:val="0"/>
    <w:pPr>
      <w:spacing w:before="120" w:beforeLines="50" w:line="240" w:lineRule="auto"/>
      <w:ind w:firstLine="0" w:firstLineChars="0"/>
      <w:jc w:val="center"/>
    </w:pPr>
    <w:rPr>
      <w:rFonts w:hAnsi="Times New Roman"/>
      <w:b/>
      <w:iCs/>
      <w:color w:val="000000"/>
      <w:kern w:val="2"/>
    </w:rPr>
  </w:style>
  <w:style w:type="character" w:customStyle="1" w:styleId="797">
    <w:name w:val="表格题头~ 字符"/>
    <w:link w:val="796"/>
    <w:autoRedefine/>
    <w:qFormat/>
    <w:uiPriority w:val="0"/>
    <w:rPr>
      <w:rFonts w:ascii="Times New Roman" w:hAnsi="Times New Roman" w:eastAsia="宋体" w:cs="Times New Roman"/>
      <w:b/>
      <w:iCs/>
      <w:color w:val="000000"/>
      <w:sz w:val="24"/>
      <w:szCs w:val="24"/>
      <w:lang w:val="zh-CN"/>
    </w:rPr>
  </w:style>
  <w:style w:type="character" w:customStyle="1" w:styleId="798">
    <w:name w:val="a表格 Char Char"/>
    <w:autoRedefine/>
    <w:qFormat/>
    <w:uiPriority w:val="0"/>
    <w:rPr>
      <w:rFonts w:ascii="Times New Roman" w:hAnsi="Times New Roman" w:eastAsia="宋体"/>
      <w:kern w:val="2"/>
      <w:sz w:val="21"/>
      <w:szCs w:val="24"/>
    </w:rPr>
  </w:style>
  <w:style w:type="table" w:customStyle="1" w:styleId="799">
    <w:name w:val="Table Normal"/>
    <w:autoRedefine/>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paragraph" w:customStyle="1" w:styleId="800">
    <w:name w:val="图 居中"/>
    <w:basedOn w:val="1"/>
    <w:autoRedefine/>
    <w:qFormat/>
    <w:uiPriority w:val="0"/>
    <w:pPr>
      <w:spacing w:line="240" w:lineRule="auto"/>
      <w:ind w:firstLine="0" w:firstLineChars="0"/>
      <w:jc w:val="center"/>
    </w:pPr>
    <w:rPr>
      <w:rFonts w:hAnsi="Times New Roman"/>
      <w:kern w:val="2"/>
      <w:lang w:val="en-US"/>
    </w:rPr>
  </w:style>
  <w:style w:type="paragraph" w:customStyle="1" w:styleId="801">
    <w:name w:val="样式 注释 + 非加粗 首行缩进:  2 字符"/>
    <w:basedOn w:val="1"/>
    <w:autoRedefine/>
    <w:qFormat/>
    <w:uiPriority w:val="0"/>
    <w:pPr>
      <w:widowControl/>
      <w:spacing w:before="60" w:after="50" w:afterLines="50" w:line="240" w:lineRule="auto"/>
      <w:ind w:firstLine="200"/>
      <w:jc w:val="left"/>
    </w:pPr>
    <w:rPr>
      <w:rFonts w:hAnsi="Times New Roman" w:cs="宋体"/>
      <w:sz w:val="18"/>
      <w:szCs w:val="20"/>
      <w:lang w:val="en-US" w:eastAsia="en-US" w:bidi="en-US"/>
    </w:rPr>
  </w:style>
  <w:style w:type="paragraph" w:customStyle="1" w:styleId="802">
    <w:name w:val="表格文字格式"/>
    <w:basedOn w:val="1"/>
    <w:autoRedefine/>
    <w:qFormat/>
    <w:uiPriority w:val="0"/>
    <w:pPr>
      <w:spacing w:after="120" w:line="240" w:lineRule="auto"/>
      <w:ind w:firstLine="0" w:firstLineChars="0"/>
      <w:jc w:val="center"/>
    </w:pPr>
    <w:rPr>
      <w:rFonts w:hint="eastAsia" w:ascii="宋体"/>
      <w:color w:val="000000"/>
      <w:kern w:val="28"/>
      <w:sz w:val="21"/>
      <w:szCs w:val="22"/>
      <w:lang w:val="en-US"/>
    </w:rPr>
  </w:style>
  <w:style w:type="paragraph" w:customStyle="1" w:styleId="803">
    <w:name w:val="样式 北京表格内容 + 自动设置"/>
    <w:basedOn w:val="804"/>
    <w:link w:val="806"/>
    <w:autoRedefine/>
    <w:qFormat/>
    <w:uiPriority w:val="0"/>
    <w:rPr>
      <w:bCs w:val="0"/>
    </w:rPr>
  </w:style>
  <w:style w:type="paragraph" w:customStyle="1" w:styleId="804">
    <w:name w:val="北京表格内容"/>
    <w:next w:val="1"/>
    <w:link w:val="805"/>
    <w:autoRedefine/>
    <w:qFormat/>
    <w:uiPriority w:val="0"/>
    <w:pPr>
      <w:spacing w:line="280" w:lineRule="exact"/>
      <w:jc w:val="center"/>
    </w:pPr>
    <w:rPr>
      <w:rFonts w:ascii="Times New Roman" w:hAnsi="Times New Roman" w:eastAsia="宋体" w:cs="Times New Roman"/>
      <w:bCs/>
      <w:color w:val="000000"/>
      <w:kern w:val="2"/>
      <w:sz w:val="18"/>
      <w:szCs w:val="24"/>
      <w:lang w:val="en-US" w:eastAsia="zh-CN" w:bidi="ar-SA"/>
    </w:rPr>
  </w:style>
  <w:style w:type="character" w:customStyle="1" w:styleId="805">
    <w:name w:val="北京表格内容 Char"/>
    <w:link w:val="804"/>
    <w:autoRedefine/>
    <w:qFormat/>
    <w:locked/>
    <w:uiPriority w:val="0"/>
    <w:rPr>
      <w:rFonts w:ascii="Times New Roman" w:hAnsi="Times New Roman" w:eastAsia="宋体" w:cs="Times New Roman"/>
      <w:bCs/>
      <w:color w:val="000000"/>
      <w:sz w:val="18"/>
      <w:szCs w:val="24"/>
    </w:rPr>
  </w:style>
  <w:style w:type="character" w:customStyle="1" w:styleId="806">
    <w:name w:val="样式 北京表格内容 + 自动设置 Char"/>
    <w:link w:val="803"/>
    <w:autoRedefine/>
    <w:qFormat/>
    <w:uiPriority w:val="0"/>
    <w:rPr>
      <w:rFonts w:ascii="Times New Roman" w:hAnsi="Times New Roman" w:eastAsia="宋体" w:cs="Times New Roman"/>
      <w:color w:val="000000"/>
      <w:sz w:val="18"/>
      <w:szCs w:val="24"/>
    </w:rPr>
  </w:style>
  <w:style w:type="paragraph" w:customStyle="1" w:styleId="807">
    <w:name w:val="图表内容"/>
    <w:basedOn w:val="1"/>
    <w:autoRedefine/>
    <w:qFormat/>
    <w:uiPriority w:val="0"/>
    <w:pPr>
      <w:spacing w:line="240" w:lineRule="auto"/>
      <w:ind w:firstLine="602"/>
      <w:jc w:val="center"/>
    </w:pPr>
    <w:rPr>
      <w:rFonts w:hAnsi="Times New Roman"/>
      <w:sz w:val="20"/>
      <w:szCs w:val="20"/>
      <w:lang w:val="en-US"/>
    </w:rPr>
  </w:style>
  <w:style w:type="character" w:customStyle="1" w:styleId="808">
    <w:name w:val="常用 Char Char"/>
    <w:link w:val="809"/>
    <w:autoRedefine/>
    <w:qFormat/>
    <w:uiPriority w:val="0"/>
    <w:rPr>
      <w:sz w:val="28"/>
    </w:rPr>
  </w:style>
  <w:style w:type="paragraph" w:customStyle="1" w:styleId="809">
    <w:name w:val="常用"/>
    <w:basedOn w:val="1"/>
    <w:link w:val="808"/>
    <w:autoRedefine/>
    <w:qFormat/>
    <w:uiPriority w:val="0"/>
    <w:pPr>
      <w:adjustRightInd w:val="0"/>
      <w:snapToGrid w:val="0"/>
      <w:ind w:firstLine="200"/>
    </w:pPr>
    <w:rPr>
      <w:rFonts w:asciiTheme="minorHAnsi" w:hAnsiTheme="minorHAnsi" w:eastAsiaTheme="minorEastAsia" w:cstheme="minorBidi"/>
      <w:kern w:val="2"/>
      <w:sz w:val="28"/>
      <w:szCs w:val="22"/>
      <w:lang w:val="en-US"/>
    </w:rPr>
  </w:style>
  <w:style w:type="character" w:customStyle="1" w:styleId="810">
    <w:name w:val="题注 字符1"/>
    <w:autoRedefine/>
    <w:qFormat/>
    <w:locked/>
    <w:uiPriority w:val="0"/>
    <w:rPr>
      <w:rFonts w:ascii="宋体" w:hAnsi="宋体" w:cs="Arial"/>
      <w:b/>
      <w:kern w:val="2"/>
      <w:sz w:val="24"/>
      <w:szCs w:val="24"/>
    </w:rPr>
  </w:style>
  <w:style w:type="paragraph" w:customStyle="1" w:styleId="811">
    <w:name w:val="样式 5文章(治) + 首行缩进:  2 字符"/>
    <w:autoRedefine/>
    <w:qFormat/>
    <w:uiPriority w:val="0"/>
    <w:pPr>
      <w:widowControl w:val="0"/>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12">
    <w:name w:val="北京表头"/>
    <w:next w:val="1"/>
    <w:autoRedefine/>
    <w:qFormat/>
    <w:uiPriority w:val="0"/>
    <w:pPr>
      <w:spacing w:line="360" w:lineRule="auto"/>
      <w:jc w:val="center"/>
    </w:pPr>
    <w:rPr>
      <w:rFonts w:ascii="Times New Roman" w:hAnsi="Times New Roman" w:eastAsia="黑体" w:cs="Times New Roman"/>
      <w:bCs/>
      <w:color w:val="000000"/>
      <w:kern w:val="2"/>
      <w:sz w:val="21"/>
      <w:szCs w:val="24"/>
      <w:lang w:val="en-US" w:eastAsia="zh-CN" w:bidi="ar-SA"/>
    </w:rPr>
  </w:style>
  <w:style w:type="character" w:customStyle="1" w:styleId="813">
    <w:name w:val="题注 字符"/>
    <w:autoRedefine/>
    <w:qFormat/>
    <w:uiPriority w:val="0"/>
    <w:rPr>
      <w:rFonts w:ascii="Arial" w:hAnsi="Arial" w:eastAsia="黑体" w:cs="Arial"/>
      <w:kern w:val="2"/>
      <w:sz w:val="18"/>
      <w:szCs w:val="24"/>
    </w:rPr>
  </w:style>
  <w:style w:type="character" w:customStyle="1" w:styleId="814">
    <w:name w:val="正文缩进 字符"/>
    <w:autoRedefine/>
    <w:qFormat/>
    <w:uiPriority w:val="0"/>
    <w:rPr>
      <w:kern w:val="2"/>
      <w:sz w:val="21"/>
    </w:rPr>
  </w:style>
  <w:style w:type="character" w:customStyle="1" w:styleId="815">
    <w:name w:val="列表段落 字符"/>
    <w:autoRedefine/>
    <w:qFormat/>
    <w:uiPriority w:val="34"/>
    <w:rPr>
      <w:rFonts w:ascii="Calibri" w:hAnsi="Calibri" w:cs="宋体"/>
      <w:sz w:val="24"/>
      <w:szCs w:val="22"/>
    </w:rPr>
  </w:style>
  <w:style w:type="character" w:customStyle="1" w:styleId="816">
    <w:name w:val="列表 字符"/>
    <w:autoRedefine/>
    <w:qFormat/>
    <w:uiPriority w:val="0"/>
    <w:rPr>
      <w:rFonts w:ascii="宋体" w:hAnsi="宋体" w:cs="宋体"/>
      <w:sz w:val="24"/>
      <w:szCs w:val="24"/>
    </w:rPr>
  </w:style>
  <w:style w:type="character" w:customStyle="1" w:styleId="817">
    <w:name w:val="无间隔 字符"/>
    <w:autoRedefine/>
    <w:qFormat/>
    <w:uiPriority w:val="0"/>
    <w:rPr>
      <w:szCs w:val="21"/>
      <w:lang w:val="en-GB"/>
    </w:rPr>
  </w:style>
  <w:style w:type="character" w:customStyle="1" w:styleId="818">
    <w:name w:val="称呼 字符1"/>
    <w:autoRedefine/>
    <w:qFormat/>
    <w:uiPriority w:val="0"/>
    <w:rPr>
      <w:kern w:val="2"/>
      <w:sz w:val="21"/>
      <w:szCs w:val="24"/>
    </w:rPr>
  </w:style>
  <w:style w:type="character" w:customStyle="1" w:styleId="819">
    <w:name w:val="6666666 Char"/>
    <w:link w:val="820"/>
    <w:autoRedefine/>
    <w:qFormat/>
    <w:uiPriority w:val="0"/>
    <w:rPr>
      <w:sz w:val="24"/>
      <w:szCs w:val="24"/>
    </w:rPr>
  </w:style>
  <w:style w:type="paragraph" w:customStyle="1" w:styleId="820">
    <w:name w:val="a6666666"/>
    <w:basedOn w:val="1"/>
    <w:link w:val="819"/>
    <w:autoRedefine/>
    <w:qFormat/>
    <w:uiPriority w:val="0"/>
    <w:pPr>
      <w:ind w:firstLine="0" w:firstLineChars="0"/>
    </w:pPr>
    <w:rPr>
      <w:rFonts w:asciiTheme="minorHAnsi" w:hAnsiTheme="minorHAnsi" w:eastAsiaTheme="minorEastAsia" w:cstheme="minorBidi"/>
      <w:kern w:val="2"/>
      <w:lang w:val="en-US"/>
    </w:rPr>
  </w:style>
  <w:style w:type="character" w:customStyle="1" w:styleId="821">
    <w:name w:val="页脚 字符1"/>
    <w:autoRedefine/>
    <w:qFormat/>
    <w:uiPriority w:val="0"/>
    <w:rPr>
      <w:kern w:val="2"/>
      <w:sz w:val="18"/>
      <w:szCs w:val="22"/>
    </w:rPr>
  </w:style>
  <w:style w:type="character" w:customStyle="1" w:styleId="822">
    <w:name w:val="注释标题 字符1"/>
    <w:autoRedefine/>
    <w:qFormat/>
    <w:uiPriority w:val="0"/>
    <w:rPr>
      <w:kern w:val="2"/>
      <w:sz w:val="21"/>
      <w:szCs w:val="24"/>
    </w:rPr>
  </w:style>
  <w:style w:type="character" w:customStyle="1" w:styleId="823">
    <w:name w:val="页眉 字符1"/>
    <w:autoRedefine/>
    <w:qFormat/>
    <w:uiPriority w:val="0"/>
    <w:rPr>
      <w:kern w:val="2"/>
      <w:sz w:val="18"/>
      <w:szCs w:val="22"/>
    </w:rPr>
  </w:style>
  <w:style w:type="character" w:customStyle="1" w:styleId="824">
    <w:name w:val="批注框文本 字符1"/>
    <w:autoRedefine/>
    <w:qFormat/>
    <w:uiPriority w:val="99"/>
    <w:rPr>
      <w:kern w:val="2"/>
      <w:sz w:val="18"/>
      <w:szCs w:val="18"/>
    </w:rPr>
  </w:style>
  <w:style w:type="paragraph" w:customStyle="1" w:styleId="825">
    <w:name w:val="Other|1"/>
    <w:basedOn w:val="1"/>
    <w:autoRedefine/>
    <w:qFormat/>
    <w:uiPriority w:val="0"/>
    <w:pPr>
      <w:spacing w:line="240" w:lineRule="auto"/>
      <w:ind w:firstLine="160" w:firstLineChars="0"/>
    </w:pPr>
    <w:rPr>
      <w:rFonts w:ascii="Calibri" w:hAnsi="Calibri"/>
      <w:kern w:val="2"/>
      <w:sz w:val="20"/>
      <w:szCs w:val="20"/>
      <w:lang w:val="en-US"/>
    </w:rPr>
  </w:style>
  <w:style w:type="character" w:customStyle="1" w:styleId="826">
    <w:name w:val="宏文本 字符1"/>
    <w:autoRedefine/>
    <w:semiHidden/>
    <w:qFormat/>
    <w:uiPriority w:val="0"/>
    <w:rPr>
      <w:rFonts w:ascii="Courier New" w:hAnsi="Courier New"/>
      <w:kern w:val="2"/>
      <w:sz w:val="24"/>
      <w:szCs w:val="24"/>
    </w:rPr>
  </w:style>
  <w:style w:type="character" w:customStyle="1" w:styleId="827">
    <w:name w:val="5段落 Char"/>
    <w:link w:val="828"/>
    <w:autoRedefine/>
    <w:qFormat/>
    <w:uiPriority w:val="0"/>
    <w:rPr>
      <w:color w:val="000000"/>
      <w:sz w:val="24"/>
      <w:szCs w:val="24"/>
    </w:rPr>
  </w:style>
  <w:style w:type="paragraph" w:customStyle="1" w:styleId="828">
    <w:name w:val="5段落"/>
    <w:basedOn w:val="1"/>
    <w:link w:val="827"/>
    <w:autoRedefine/>
    <w:qFormat/>
    <w:uiPriority w:val="0"/>
    <w:rPr>
      <w:rFonts w:asciiTheme="minorHAnsi" w:hAnsiTheme="minorHAnsi" w:eastAsiaTheme="minorEastAsia" w:cstheme="minorBidi"/>
      <w:color w:val="000000"/>
      <w:kern w:val="2"/>
      <w:lang w:val="en-US"/>
    </w:rPr>
  </w:style>
  <w:style w:type="character" w:customStyle="1" w:styleId="829">
    <w:name w:val="6标题-表头 Char"/>
    <w:link w:val="830"/>
    <w:autoRedefine/>
    <w:qFormat/>
    <w:uiPriority w:val="0"/>
    <w:rPr>
      <w:b/>
      <w:bCs/>
      <w:sz w:val="24"/>
      <w:szCs w:val="24"/>
    </w:rPr>
  </w:style>
  <w:style w:type="paragraph" w:customStyle="1" w:styleId="830">
    <w:name w:val="6标题-表头"/>
    <w:basedOn w:val="1"/>
    <w:next w:val="1"/>
    <w:link w:val="829"/>
    <w:autoRedefine/>
    <w:qFormat/>
    <w:uiPriority w:val="0"/>
    <w:pPr>
      <w:spacing w:before="100" w:beforeAutospacing="1" w:after="100" w:afterAutospacing="1"/>
      <w:ind w:firstLine="0" w:firstLineChars="0"/>
      <w:jc w:val="center"/>
    </w:pPr>
    <w:rPr>
      <w:rFonts w:asciiTheme="minorHAnsi" w:hAnsiTheme="minorHAnsi" w:eastAsiaTheme="minorEastAsia" w:cstheme="minorBidi"/>
      <w:b/>
      <w:bCs/>
      <w:kern w:val="2"/>
      <w:lang w:val="en-US"/>
    </w:rPr>
  </w:style>
  <w:style w:type="paragraph" w:customStyle="1" w:styleId="831">
    <w:name w:val="9表格内容"/>
    <w:basedOn w:val="1"/>
    <w:next w:val="1"/>
    <w:autoRedefine/>
    <w:qFormat/>
    <w:uiPriority w:val="0"/>
    <w:pPr>
      <w:spacing w:line="240" w:lineRule="auto"/>
      <w:ind w:firstLine="0" w:firstLineChars="0"/>
      <w:jc w:val="center"/>
    </w:pPr>
    <w:rPr>
      <w:rFonts w:hAnsi="Times New Roman"/>
      <w:kern w:val="2"/>
      <w:sz w:val="21"/>
      <w:szCs w:val="21"/>
      <w:lang w:val="en-US"/>
    </w:rPr>
  </w:style>
  <w:style w:type="character" w:customStyle="1" w:styleId="832">
    <w:name w:val="批注文字 字符2"/>
    <w:autoRedefine/>
    <w:qFormat/>
    <w:uiPriority w:val="0"/>
    <w:rPr>
      <w:rFonts w:ascii="Times New Roman" w:hAnsi="Times New Roman" w:eastAsia="宋体" w:cs="Times New Roman"/>
      <w:sz w:val="24"/>
    </w:rPr>
  </w:style>
  <w:style w:type="character" w:customStyle="1" w:styleId="833">
    <w:name w:val="F表头图例 字符"/>
    <w:link w:val="86"/>
    <w:autoRedefine/>
    <w:qFormat/>
    <w:uiPriority w:val="0"/>
    <w:rPr>
      <w:rFonts w:ascii="Times New Roman" w:hAnsi="宋体" w:eastAsia="宋体" w:cs="Times New Roman"/>
      <w:b/>
      <w:color w:val="000000"/>
      <w:sz w:val="24"/>
      <w:szCs w:val="24"/>
    </w:rPr>
  </w:style>
  <w:style w:type="character" w:customStyle="1" w:styleId="834">
    <w:name w:val="正文文本缩进 2 字符1"/>
    <w:autoRedefine/>
    <w:qFormat/>
    <w:uiPriority w:val="0"/>
    <w:rPr>
      <w:kern w:val="2"/>
      <w:sz w:val="24"/>
      <w:szCs w:val="24"/>
    </w:rPr>
  </w:style>
  <w:style w:type="paragraph" w:customStyle="1" w:styleId="835">
    <w:name w:val="lin表格中"/>
    <w:autoRedefine/>
    <w:qFormat/>
    <w:uiPriority w:val="0"/>
    <w:pPr>
      <w:adjustRightInd w:val="0"/>
      <w:snapToGrid w:val="0"/>
      <w:jc w:val="center"/>
    </w:pPr>
    <w:rPr>
      <w:rFonts w:ascii="Times New Roman" w:hAnsi="Times New Roman" w:eastAsia="宋体" w:cs="Times New Roman"/>
      <w:kern w:val="2"/>
      <w:sz w:val="18"/>
      <w:szCs w:val="21"/>
      <w:lang w:val="en-US" w:eastAsia="zh-CN" w:bidi="ar-SA"/>
    </w:rPr>
  </w:style>
  <w:style w:type="character" w:customStyle="1" w:styleId="836">
    <w:name w:val="表题 Char"/>
    <w:autoRedefine/>
    <w:qFormat/>
    <w:locked/>
    <w:uiPriority w:val="0"/>
    <w:rPr>
      <w:rFonts w:eastAsia="黑体"/>
      <w:kern w:val="2"/>
      <w:sz w:val="24"/>
    </w:rPr>
  </w:style>
  <w:style w:type="paragraph" w:customStyle="1" w:styleId="837">
    <w:name w:val="ZH表格内字体"/>
    <w:basedOn w:val="1"/>
    <w:autoRedefine/>
    <w:qFormat/>
    <w:uiPriority w:val="0"/>
    <w:pPr>
      <w:snapToGrid w:val="0"/>
      <w:spacing w:line="240" w:lineRule="auto"/>
      <w:ind w:firstLine="0" w:firstLineChars="0"/>
      <w:jc w:val="center"/>
    </w:pPr>
    <w:rPr>
      <w:rFonts w:hAnsi="Times New Roman"/>
      <w:kern w:val="2"/>
      <w:sz w:val="21"/>
      <w:szCs w:val="21"/>
      <w:lang w:val="en-US"/>
    </w:rPr>
  </w:style>
  <w:style w:type="paragraph" w:customStyle="1" w:styleId="838">
    <w:name w:val="附图附件"/>
    <w:basedOn w:val="73"/>
    <w:link w:val="839"/>
    <w:autoRedefine/>
    <w:qFormat/>
    <w:uiPriority w:val="0"/>
    <w:pPr>
      <w:ind w:firstLine="0" w:firstLineChars="0"/>
    </w:pPr>
    <w:rPr>
      <w:rFonts w:ascii="Times New Roman" w:hAnsi="Times New Roman" w:eastAsia="宋体" w:cs="Times New Roman"/>
      <w:b/>
      <w:bCs w:val="0"/>
      <w:sz w:val="28"/>
      <w:szCs w:val="28"/>
    </w:rPr>
  </w:style>
  <w:style w:type="character" w:customStyle="1" w:styleId="839">
    <w:name w:val="附图附件 字符"/>
    <w:link w:val="838"/>
    <w:autoRedefine/>
    <w:qFormat/>
    <w:uiPriority w:val="0"/>
    <w:rPr>
      <w:rFonts w:ascii="Times New Roman" w:hAnsi="Times New Roman" w:eastAsia="宋体" w:cs="Times New Roman"/>
      <w:b/>
      <w:sz w:val="28"/>
      <w:szCs w:val="28"/>
    </w:rPr>
  </w:style>
  <w:style w:type="character" w:styleId="840">
    <w:name w:val="Placeholder Text"/>
    <w:basedOn w:val="62"/>
    <w:autoRedefine/>
    <w:unhideWhenUsed/>
    <w:qFormat/>
    <w:uiPriority w:val="99"/>
    <w:rPr>
      <w:color w:val="808080"/>
    </w:rPr>
  </w:style>
  <w:style w:type="paragraph" w:customStyle="1" w:styleId="841">
    <w:name w:val="Char Char Char Char Char Char Char2"/>
    <w:basedOn w:val="1"/>
    <w:autoRedefine/>
    <w:qFormat/>
    <w:uiPriority w:val="0"/>
    <w:pPr>
      <w:snapToGrid w:val="0"/>
      <w:spacing w:line="440" w:lineRule="atLeast"/>
      <w:ind w:firstLine="723"/>
      <w:jc w:val="left"/>
    </w:pPr>
    <w:rPr>
      <w:rFonts w:ascii="宋体" w:hAnsi="Times New Roman" w:eastAsia="Times New Roman"/>
      <w:b/>
      <w:sz w:val="36"/>
      <w:lang w:val="en-US"/>
    </w:rPr>
  </w:style>
  <w:style w:type="character" w:customStyle="1" w:styleId="842">
    <w:name w:val="宁德正文 Char Char"/>
    <w:link w:val="843"/>
    <w:autoRedefine/>
    <w:qFormat/>
    <w:uiPriority w:val="0"/>
    <w:rPr>
      <w:rFonts w:ascii="宋体" w:hAnsi="宋体" w:cs="宋体"/>
      <w:sz w:val="28"/>
      <w:szCs w:val="24"/>
    </w:rPr>
  </w:style>
  <w:style w:type="paragraph" w:customStyle="1" w:styleId="843">
    <w:name w:val="宁德正文"/>
    <w:basedOn w:val="52"/>
    <w:link w:val="842"/>
    <w:autoRedefine/>
    <w:qFormat/>
    <w:uiPriority w:val="0"/>
    <w:pPr>
      <w:widowControl w:val="0"/>
      <w:spacing w:before="0" w:beforeAutospacing="0" w:after="0" w:afterAutospacing="0"/>
      <w:ind w:firstLine="200" w:firstLineChars="200"/>
    </w:pPr>
    <w:rPr>
      <w:rFonts w:ascii="宋体" w:hAnsi="宋体" w:cs="宋体" w:eastAsiaTheme="minorEastAsia"/>
      <w:kern w:val="2"/>
      <w:sz w:val="28"/>
    </w:rPr>
  </w:style>
  <w:style w:type="character" w:customStyle="1" w:styleId="844">
    <w:name w:val="批注文字 Char1"/>
    <w:autoRedefine/>
    <w:semiHidden/>
    <w:qFormat/>
    <w:uiPriority w:val="0"/>
    <w:rPr>
      <w:kern w:val="2"/>
      <w:sz w:val="21"/>
      <w:szCs w:val="24"/>
    </w:rPr>
  </w:style>
  <w:style w:type="character" w:customStyle="1" w:styleId="845">
    <w:name w:val="正文文本缩进 3 Char1"/>
    <w:autoRedefine/>
    <w:semiHidden/>
    <w:qFormat/>
    <w:uiPriority w:val="0"/>
    <w:rPr>
      <w:kern w:val="2"/>
      <w:sz w:val="16"/>
      <w:szCs w:val="16"/>
    </w:rPr>
  </w:style>
  <w:style w:type="character" w:customStyle="1" w:styleId="846">
    <w:name w:val="科泰正文6 Char"/>
    <w:link w:val="847"/>
    <w:autoRedefine/>
    <w:qFormat/>
    <w:locked/>
    <w:uiPriority w:val="0"/>
    <w:rPr>
      <w:sz w:val="28"/>
      <w:szCs w:val="28"/>
    </w:rPr>
  </w:style>
  <w:style w:type="paragraph" w:customStyle="1" w:styleId="847">
    <w:name w:val="科泰正文6"/>
    <w:basedOn w:val="1"/>
    <w:next w:val="1"/>
    <w:link w:val="846"/>
    <w:autoRedefine/>
    <w:qFormat/>
    <w:uiPriority w:val="0"/>
    <w:pPr>
      <w:spacing w:line="520" w:lineRule="exact"/>
      <w:ind w:firstLine="560"/>
    </w:pPr>
    <w:rPr>
      <w:rFonts w:asciiTheme="minorHAnsi" w:hAnsiTheme="minorHAnsi" w:eastAsiaTheme="minorEastAsia" w:cstheme="minorBidi"/>
      <w:kern w:val="2"/>
      <w:sz w:val="28"/>
      <w:szCs w:val="28"/>
      <w:lang w:val="en-US"/>
    </w:rPr>
  </w:style>
  <w:style w:type="character" w:customStyle="1" w:styleId="848">
    <w:name w:val="纯文本 Char"/>
    <w:autoRedefine/>
    <w:qFormat/>
    <w:uiPriority w:val="0"/>
    <w:rPr>
      <w:rFonts w:ascii="宋体" w:hAnsi="Courier New" w:eastAsia="宋体" w:cs="Courier New"/>
      <w:kern w:val="2"/>
      <w:sz w:val="21"/>
      <w:szCs w:val="21"/>
      <w:lang w:val="en-US" w:eastAsia="zh-CN" w:bidi="ar-SA"/>
    </w:rPr>
  </w:style>
  <w:style w:type="character" w:customStyle="1" w:styleId="849">
    <w:name w:val="注释标题 Char2"/>
    <w:autoRedefine/>
    <w:semiHidden/>
    <w:qFormat/>
    <w:uiPriority w:val="99"/>
    <w:rPr>
      <w:kern w:val="2"/>
      <w:sz w:val="21"/>
      <w:szCs w:val="24"/>
    </w:rPr>
  </w:style>
  <w:style w:type="character" w:customStyle="1" w:styleId="850">
    <w:name w:val="普通文字 Char Char6"/>
    <w:autoRedefine/>
    <w:qFormat/>
    <w:uiPriority w:val="0"/>
    <w:rPr>
      <w:rFonts w:hint="eastAsia" w:ascii="宋体" w:hAnsi="Courier New" w:eastAsia="宋体" w:cs="Courier New"/>
      <w:kern w:val="2"/>
      <w:sz w:val="21"/>
      <w:szCs w:val="21"/>
      <w:lang w:val="en-US" w:eastAsia="zh-CN" w:bidi="ar-SA"/>
    </w:rPr>
  </w:style>
  <w:style w:type="character" w:customStyle="1" w:styleId="851">
    <w:name w:val="ohm表内容 Char"/>
    <w:link w:val="852"/>
    <w:autoRedefine/>
    <w:qFormat/>
    <w:locked/>
    <w:uiPriority w:val="0"/>
    <w:rPr>
      <w:szCs w:val="24"/>
    </w:rPr>
  </w:style>
  <w:style w:type="paragraph" w:customStyle="1" w:styleId="852">
    <w:name w:val="ohm表内容"/>
    <w:basedOn w:val="1"/>
    <w:link w:val="851"/>
    <w:autoRedefine/>
    <w:qFormat/>
    <w:uiPriority w:val="0"/>
    <w:pPr>
      <w:spacing w:line="240" w:lineRule="auto"/>
      <w:ind w:firstLine="0" w:firstLineChars="0"/>
      <w:jc w:val="left"/>
    </w:pPr>
    <w:rPr>
      <w:rFonts w:asciiTheme="minorHAnsi" w:hAnsiTheme="minorHAnsi" w:eastAsiaTheme="minorEastAsia" w:cstheme="minorBidi"/>
      <w:kern w:val="2"/>
      <w:sz w:val="21"/>
      <w:lang w:val="en-US"/>
    </w:rPr>
  </w:style>
  <w:style w:type="character" w:customStyle="1" w:styleId="853">
    <w:name w:val="页眉 Char2"/>
    <w:autoRedefine/>
    <w:semiHidden/>
    <w:qFormat/>
    <w:uiPriority w:val="99"/>
    <w:rPr>
      <w:kern w:val="2"/>
      <w:sz w:val="18"/>
      <w:szCs w:val="18"/>
    </w:rPr>
  </w:style>
  <w:style w:type="character" w:customStyle="1" w:styleId="854">
    <w:name w:val="宋体 四号 行距: 1.5 倍行距1 Char"/>
    <w:link w:val="855"/>
    <w:autoRedefine/>
    <w:qFormat/>
    <w:uiPriority w:val="0"/>
    <w:rPr>
      <w:rFonts w:ascii="宋体" w:hAnsi="宋体" w:cs="宋体"/>
      <w:sz w:val="28"/>
    </w:rPr>
  </w:style>
  <w:style w:type="paragraph" w:customStyle="1" w:styleId="855">
    <w:name w:val="宋体 四号 行距: 1.5 倍行距1"/>
    <w:basedOn w:val="1"/>
    <w:link w:val="854"/>
    <w:autoRedefine/>
    <w:qFormat/>
    <w:uiPriority w:val="0"/>
    <w:pPr>
      <w:adjustRightInd w:val="0"/>
      <w:snapToGrid w:val="0"/>
      <w:ind w:firstLine="200"/>
      <w:jc w:val="left"/>
    </w:pPr>
    <w:rPr>
      <w:rFonts w:ascii="宋体" w:cs="宋体" w:eastAsiaTheme="minorEastAsia"/>
      <w:kern w:val="2"/>
      <w:sz w:val="28"/>
      <w:szCs w:val="22"/>
      <w:lang w:val="en-US"/>
    </w:rPr>
  </w:style>
  <w:style w:type="character" w:customStyle="1" w:styleId="856">
    <w:name w:val="批注框文本 Char2"/>
    <w:autoRedefine/>
    <w:semiHidden/>
    <w:qFormat/>
    <w:uiPriority w:val="99"/>
    <w:rPr>
      <w:kern w:val="2"/>
      <w:sz w:val="18"/>
      <w:szCs w:val="18"/>
    </w:rPr>
  </w:style>
  <w:style w:type="character" w:customStyle="1" w:styleId="857">
    <w:name w:val="页脚 Char2"/>
    <w:autoRedefine/>
    <w:semiHidden/>
    <w:qFormat/>
    <w:uiPriority w:val="99"/>
    <w:rPr>
      <w:kern w:val="2"/>
      <w:sz w:val="18"/>
      <w:szCs w:val="18"/>
    </w:rPr>
  </w:style>
  <w:style w:type="character" w:customStyle="1" w:styleId="858">
    <w:name w:val="正文文本 2 Char1"/>
    <w:autoRedefine/>
    <w:semiHidden/>
    <w:qFormat/>
    <w:uiPriority w:val="0"/>
    <w:rPr>
      <w:kern w:val="2"/>
      <w:sz w:val="21"/>
      <w:szCs w:val="24"/>
    </w:rPr>
  </w:style>
  <w:style w:type="character" w:customStyle="1" w:styleId="859">
    <w:name w:val="ohm正文 Char"/>
    <w:link w:val="860"/>
    <w:autoRedefine/>
    <w:qFormat/>
    <w:uiPriority w:val="0"/>
    <w:rPr>
      <w:sz w:val="28"/>
      <w:szCs w:val="24"/>
      <w:lang w:val="en-GB"/>
    </w:rPr>
  </w:style>
  <w:style w:type="paragraph" w:customStyle="1" w:styleId="860">
    <w:name w:val="ohm正文"/>
    <w:basedOn w:val="1"/>
    <w:link w:val="859"/>
    <w:autoRedefine/>
    <w:qFormat/>
    <w:uiPriority w:val="0"/>
    <w:pPr>
      <w:adjustRightInd w:val="0"/>
    </w:pPr>
    <w:rPr>
      <w:rFonts w:asciiTheme="minorHAnsi" w:hAnsiTheme="minorHAnsi" w:eastAsiaTheme="minorEastAsia" w:cstheme="minorBidi"/>
      <w:kern w:val="2"/>
      <w:sz w:val="28"/>
      <w:lang w:val="en-GB"/>
    </w:rPr>
  </w:style>
  <w:style w:type="character" w:customStyle="1" w:styleId="861">
    <w:name w:val="标题 2 Char1"/>
    <w:autoRedefine/>
    <w:semiHidden/>
    <w:qFormat/>
    <w:uiPriority w:val="0"/>
    <w:rPr>
      <w:rFonts w:ascii="Calibri Light" w:hAnsi="Calibri Light" w:eastAsia="宋体" w:cs="Times New Roman"/>
      <w:b/>
      <w:bCs/>
      <w:kern w:val="2"/>
      <w:sz w:val="32"/>
      <w:szCs w:val="32"/>
    </w:rPr>
  </w:style>
  <w:style w:type="character" w:customStyle="1" w:styleId="862">
    <w:name w:val="宁德正文 Char"/>
    <w:autoRedefine/>
    <w:qFormat/>
    <w:locked/>
    <w:uiPriority w:val="0"/>
    <w:rPr>
      <w:rFonts w:ascii="宋体" w:hAnsi="宋体" w:cs="宋体"/>
      <w:sz w:val="28"/>
      <w:szCs w:val="24"/>
    </w:rPr>
  </w:style>
  <w:style w:type="character" w:customStyle="1" w:styleId="863">
    <w:name w:val="正文文本 2 Char2"/>
    <w:autoRedefine/>
    <w:semiHidden/>
    <w:qFormat/>
    <w:uiPriority w:val="99"/>
    <w:rPr>
      <w:kern w:val="2"/>
      <w:sz w:val="21"/>
      <w:szCs w:val="24"/>
    </w:rPr>
  </w:style>
  <w:style w:type="character" w:customStyle="1" w:styleId="864">
    <w:name w:val="日期 Char1"/>
    <w:autoRedefine/>
    <w:semiHidden/>
    <w:qFormat/>
    <w:uiPriority w:val="0"/>
    <w:rPr>
      <w:kern w:val="2"/>
      <w:sz w:val="21"/>
      <w:szCs w:val="24"/>
    </w:rPr>
  </w:style>
  <w:style w:type="character" w:customStyle="1" w:styleId="865">
    <w:name w:val="样式 宋体 四号 黑色"/>
    <w:autoRedefine/>
    <w:qFormat/>
    <w:uiPriority w:val="0"/>
    <w:rPr>
      <w:rFonts w:ascii="宋体" w:hAnsi="宋体"/>
      <w:color w:val="000000"/>
      <w:sz w:val="28"/>
    </w:rPr>
  </w:style>
  <w:style w:type="character" w:customStyle="1" w:styleId="866">
    <w:name w:val="样式29 Char"/>
    <w:link w:val="867"/>
    <w:autoRedefine/>
    <w:qFormat/>
    <w:locked/>
    <w:uiPriority w:val="0"/>
    <w:rPr>
      <w:sz w:val="24"/>
    </w:rPr>
  </w:style>
  <w:style w:type="paragraph" w:customStyle="1" w:styleId="867">
    <w:name w:val="样式29"/>
    <w:basedOn w:val="5"/>
    <w:link w:val="866"/>
    <w:autoRedefine/>
    <w:qFormat/>
    <w:uiPriority w:val="0"/>
    <w:pPr>
      <w:spacing w:line="240" w:lineRule="auto"/>
      <w:ind w:firstLine="200"/>
      <w:contextualSpacing/>
    </w:pPr>
    <w:rPr>
      <w:rFonts w:asciiTheme="minorHAnsi" w:hAnsiTheme="minorHAnsi" w:eastAsiaTheme="minorEastAsia" w:cstheme="minorBidi"/>
      <w:kern w:val="2"/>
      <w:szCs w:val="22"/>
      <w:lang w:val="en-US"/>
    </w:rPr>
  </w:style>
  <w:style w:type="character" w:customStyle="1" w:styleId="868">
    <w:name w:val="正文缩进 Char1"/>
    <w:autoRedefine/>
    <w:qFormat/>
    <w:uiPriority w:val="0"/>
    <w:rPr>
      <w:rFonts w:ascii="宋体" w:hAnsi="宋体"/>
      <w:sz w:val="24"/>
      <w:lang w:val="en-US" w:eastAsia="zh-CN" w:bidi="ar-SA"/>
    </w:rPr>
  </w:style>
  <w:style w:type="character" w:customStyle="1" w:styleId="869">
    <w:name w:val="页脚 Char3"/>
    <w:autoRedefine/>
    <w:semiHidden/>
    <w:qFormat/>
    <w:uiPriority w:val="99"/>
    <w:rPr>
      <w:kern w:val="2"/>
      <w:sz w:val="18"/>
      <w:szCs w:val="18"/>
    </w:rPr>
  </w:style>
  <w:style w:type="character" w:customStyle="1" w:styleId="870">
    <w:name w:val="注释标题 Char1"/>
    <w:autoRedefine/>
    <w:semiHidden/>
    <w:qFormat/>
    <w:uiPriority w:val="0"/>
    <w:rPr>
      <w:kern w:val="2"/>
      <w:sz w:val="21"/>
      <w:szCs w:val="24"/>
    </w:rPr>
  </w:style>
  <w:style w:type="character" w:customStyle="1" w:styleId="871">
    <w:name w:val="文档结构图 Char2"/>
    <w:autoRedefine/>
    <w:semiHidden/>
    <w:qFormat/>
    <w:uiPriority w:val="99"/>
    <w:rPr>
      <w:rFonts w:ascii="Microsoft YaHei UI" w:eastAsia="Microsoft YaHei UI"/>
      <w:kern w:val="2"/>
      <w:sz w:val="18"/>
      <w:szCs w:val="18"/>
    </w:rPr>
  </w:style>
  <w:style w:type="character" w:customStyle="1" w:styleId="872">
    <w:name w:val="正文文本 Char1"/>
    <w:autoRedefine/>
    <w:semiHidden/>
    <w:qFormat/>
    <w:uiPriority w:val="99"/>
    <w:rPr>
      <w:kern w:val="2"/>
      <w:sz w:val="21"/>
      <w:szCs w:val="24"/>
    </w:rPr>
  </w:style>
  <w:style w:type="character" w:customStyle="1" w:styleId="873">
    <w:name w:val="样式 四号 + 首行缩进:  2 字符 Char Char"/>
    <w:link w:val="874"/>
    <w:autoRedefine/>
    <w:qFormat/>
    <w:uiPriority w:val="0"/>
    <w:rPr>
      <w:rFonts w:cs="宋体"/>
      <w:sz w:val="28"/>
    </w:rPr>
  </w:style>
  <w:style w:type="paragraph" w:customStyle="1" w:styleId="874">
    <w:name w:val="样式 四号 + 首行缩进:  2 字符"/>
    <w:basedOn w:val="1"/>
    <w:link w:val="873"/>
    <w:autoRedefine/>
    <w:qFormat/>
    <w:uiPriority w:val="0"/>
    <w:pPr>
      <w:adjustRightInd w:val="0"/>
      <w:snapToGrid w:val="0"/>
      <w:spacing w:line="300" w:lineRule="auto"/>
      <w:ind w:firstLine="560"/>
    </w:pPr>
    <w:rPr>
      <w:rFonts w:cs="宋体" w:asciiTheme="minorHAnsi" w:hAnsiTheme="minorHAnsi" w:eastAsiaTheme="minorEastAsia"/>
      <w:kern w:val="2"/>
      <w:sz w:val="28"/>
      <w:szCs w:val="22"/>
      <w:lang w:val="en-US"/>
    </w:rPr>
  </w:style>
  <w:style w:type="character" w:customStyle="1" w:styleId="875">
    <w:name w:val="正文文本缩进 3 Char2"/>
    <w:autoRedefine/>
    <w:semiHidden/>
    <w:qFormat/>
    <w:uiPriority w:val="99"/>
    <w:rPr>
      <w:kern w:val="2"/>
      <w:sz w:val="16"/>
      <w:szCs w:val="16"/>
    </w:rPr>
  </w:style>
  <w:style w:type="character" w:customStyle="1" w:styleId="876">
    <w:name w:val="页脚 Char1"/>
    <w:autoRedefine/>
    <w:semiHidden/>
    <w:qFormat/>
    <w:locked/>
    <w:uiPriority w:val="0"/>
    <w:rPr>
      <w:rFonts w:ascii="宋体" w:hAnsi="宋体"/>
      <w:kern w:val="2"/>
      <w:sz w:val="18"/>
      <w:szCs w:val="18"/>
    </w:rPr>
  </w:style>
  <w:style w:type="character" w:customStyle="1" w:styleId="877">
    <w:name w:val="标题 1 Char1"/>
    <w:autoRedefine/>
    <w:qFormat/>
    <w:uiPriority w:val="0"/>
    <w:rPr>
      <w:b/>
      <w:bCs/>
      <w:kern w:val="44"/>
      <w:sz w:val="44"/>
      <w:szCs w:val="44"/>
    </w:rPr>
  </w:style>
  <w:style w:type="character" w:customStyle="1" w:styleId="878">
    <w:name w:val="标题 4 Char2"/>
    <w:autoRedefine/>
    <w:semiHidden/>
    <w:qFormat/>
    <w:uiPriority w:val="0"/>
    <w:rPr>
      <w:rFonts w:ascii="Calibri Light" w:hAnsi="Calibri Light" w:eastAsia="宋体" w:cs="Times New Roman"/>
      <w:b/>
      <w:bCs/>
      <w:kern w:val="2"/>
      <w:sz w:val="28"/>
      <w:szCs w:val="28"/>
    </w:rPr>
  </w:style>
  <w:style w:type="paragraph" w:customStyle="1" w:styleId="87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character" w:customStyle="1" w:styleId="880">
    <w:name w:val="第一条"/>
    <w:basedOn w:val="62"/>
    <w:autoRedefine/>
    <w:qFormat/>
    <w:uiPriority w:val="0"/>
  </w:style>
  <w:style w:type="character" w:customStyle="1" w:styleId="881">
    <w:name w:val="样式 样式 样式 首行缩进:  2 字符 + 居中 + 行距: 固定值 17 磅 Char"/>
    <w:link w:val="882"/>
    <w:autoRedefine/>
    <w:qFormat/>
    <w:locked/>
    <w:uiPriority w:val="0"/>
    <w:rPr>
      <w:rFonts w:ascii="宋体" w:hAnsi="宋体" w:cs="宋体"/>
      <w:color w:val="000000"/>
    </w:rPr>
  </w:style>
  <w:style w:type="paragraph" w:customStyle="1" w:styleId="882">
    <w:name w:val="样式 样式 样式 首行缩进:  2 字符 + 居中 + 行距: 固定值 17 磅"/>
    <w:basedOn w:val="1"/>
    <w:link w:val="881"/>
    <w:autoRedefine/>
    <w:qFormat/>
    <w:uiPriority w:val="0"/>
    <w:pPr>
      <w:adjustRightInd w:val="0"/>
      <w:snapToGrid w:val="0"/>
      <w:spacing w:line="340" w:lineRule="exact"/>
      <w:ind w:firstLine="0" w:firstLineChars="0"/>
      <w:jc w:val="center"/>
      <w:outlineLvl w:val="2"/>
    </w:pPr>
    <w:rPr>
      <w:rFonts w:ascii="宋体" w:cs="宋体" w:eastAsiaTheme="minorEastAsia"/>
      <w:color w:val="000000"/>
      <w:kern w:val="2"/>
      <w:sz w:val="21"/>
      <w:szCs w:val="22"/>
      <w:lang w:val="en-US"/>
    </w:rPr>
  </w:style>
  <w:style w:type="character" w:customStyle="1" w:styleId="883">
    <w:name w:val="正文文本缩进 Char2"/>
    <w:autoRedefine/>
    <w:semiHidden/>
    <w:qFormat/>
    <w:uiPriority w:val="99"/>
    <w:rPr>
      <w:kern w:val="2"/>
      <w:sz w:val="21"/>
      <w:szCs w:val="24"/>
    </w:rPr>
  </w:style>
  <w:style w:type="character" w:customStyle="1" w:styleId="884">
    <w:name w:val="标题 3 Char1"/>
    <w:autoRedefine/>
    <w:semiHidden/>
    <w:qFormat/>
    <w:uiPriority w:val="0"/>
    <w:rPr>
      <w:b/>
      <w:bCs/>
      <w:kern w:val="2"/>
      <w:sz w:val="32"/>
      <w:szCs w:val="32"/>
    </w:rPr>
  </w:style>
  <w:style w:type="character" w:customStyle="1" w:styleId="885">
    <w:name w:val="批注文字 Char2"/>
    <w:autoRedefine/>
    <w:semiHidden/>
    <w:qFormat/>
    <w:uiPriority w:val="99"/>
    <w:rPr>
      <w:kern w:val="2"/>
      <w:sz w:val="21"/>
      <w:szCs w:val="24"/>
    </w:rPr>
  </w:style>
  <w:style w:type="character" w:customStyle="1" w:styleId="886">
    <w:name w:val="正文文本缩进 2 Char2"/>
    <w:autoRedefine/>
    <w:semiHidden/>
    <w:qFormat/>
    <w:uiPriority w:val="99"/>
    <w:rPr>
      <w:kern w:val="2"/>
      <w:sz w:val="21"/>
      <w:szCs w:val="24"/>
    </w:rPr>
  </w:style>
  <w:style w:type="character" w:customStyle="1" w:styleId="887">
    <w:name w:val="第一条1"/>
    <w:autoRedefine/>
    <w:qFormat/>
    <w:uiPriority w:val="0"/>
    <w:rPr>
      <w:rFonts w:hint="eastAsia" w:ascii="黑体" w:eastAsia="黑体"/>
      <w:sz w:val="24"/>
      <w:szCs w:val="24"/>
    </w:rPr>
  </w:style>
  <w:style w:type="character" w:customStyle="1" w:styleId="888">
    <w:name w:val="正文文本缩进 Char1"/>
    <w:autoRedefine/>
    <w:semiHidden/>
    <w:qFormat/>
    <w:uiPriority w:val="0"/>
    <w:rPr>
      <w:kern w:val="2"/>
      <w:sz w:val="21"/>
      <w:szCs w:val="24"/>
    </w:rPr>
  </w:style>
  <w:style w:type="character" w:customStyle="1" w:styleId="889">
    <w:name w:val="普通(网站) Char"/>
    <w:autoRedefine/>
    <w:qFormat/>
    <w:locked/>
    <w:uiPriority w:val="0"/>
    <w:rPr>
      <w:kern w:val="2"/>
      <w:sz w:val="18"/>
      <w:szCs w:val="18"/>
    </w:rPr>
  </w:style>
  <w:style w:type="character" w:customStyle="1" w:styleId="890">
    <w:name w:val="日期 Char2"/>
    <w:autoRedefine/>
    <w:semiHidden/>
    <w:qFormat/>
    <w:uiPriority w:val="99"/>
    <w:rPr>
      <w:kern w:val="2"/>
      <w:sz w:val="21"/>
      <w:szCs w:val="24"/>
    </w:rPr>
  </w:style>
  <w:style w:type="character" w:customStyle="1" w:styleId="891">
    <w:name w:val="批注主题 Char2"/>
    <w:autoRedefine/>
    <w:semiHidden/>
    <w:qFormat/>
    <w:uiPriority w:val="99"/>
    <w:rPr>
      <w:b/>
      <w:bCs/>
      <w:kern w:val="2"/>
      <w:sz w:val="21"/>
      <w:szCs w:val="24"/>
    </w:rPr>
  </w:style>
  <w:style w:type="character" w:customStyle="1" w:styleId="892">
    <w:name w:val="文档结构图 Char1"/>
    <w:autoRedefine/>
    <w:semiHidden/>
    <w:qFormat/>
    <w:uiPriority w:val="0"/>
    <w:rPr>
      <w:rFonts w:ascii="Microsoft YaHei UI" w:eastAsia="Microsoft YaHei UI"/>
      <w:kern w:val="2"/>
      <w:sz w:val="18"/>
      <w:szCs w:val="18"/>
    </w:rPr>
  </w:style>
  <w:style w:type="paragraph" w:customStyle="1" w:styleId="893">
    <w:name w:val="正文首行缩进1"/>
    <w:basedOn w:val="26"/>
    <w:autoRedefine/>
    <w:qFormat/>
    <w:uiPriority w:val="99"/>
    <w:pPr>
      <w:adjustRightInd w:val="0"/>
      <w:spacing w:after="0" w:line="312" w:lineRule="auto"/>
      <w:ind w:firstLine="567"/>
    </w:pPr>
    <w:rPr>
      <w:kern w:val="0"/>
      <w:sz w:val="28"/>
      <w:szCs w:val="20"/>
    </w:rPr>
  </w:style>
  <w:style w:type="paragraph" w:customStyle="1" w:styleId="894">
    <w:name w:val="样式 样式 样式 样式 zx正文标题 + 非加粗 首行缩进:  2 字符 行距: 单倍行距 + + + 首行缩进:  2 字符"/>
    <w:basedOn w:val="1"/>
    <w:autoRedefine/>
    <w:qFormat/>
    <w:uiPriority w:val="99"/>
    <w:pPr>
      <w:spacing w:line="560" w:lineRule="exact"/>
      <w:ind w:firstLine="560"/>
      <w:jc w:val="left"/>
      <w:outlineLvl w:val="1"/>
    </w:pPr>
    <w:rPr>
      <w:rFonts w:hAnsi="Times New Roman" w:eastAsia="黑体" w:cs="宋体"/>
      <w:sz w:val="28"/>
      <w:szCs w:val="20"/>
      <w:lang w:val="en-US"/>
    </w:rPr>
  </w:style>
  <w:style w:type="paragraph" w:customStyle="1" w:styleId="895">
    <w:name w:val="样式 zx表格标题 + 段前: 0.5 行 段后: 0.5 行"/>
    <w:basedOn w:val="1"/>
    <w:autoRedefine/>
    <w:qFormat/>
    <w:uiPriority w:val="99"/>
    <w:pPr>
      <w:tabs>
        <w:tab w:val="left" w:pos="540"/>
      </w:tabs>
      <w:adjustRightInd w:val="0"/>
      <w:spacing w:beforeLines="50" w:afterLines="50" w:line="240" w:lineRule="auto"/>
      <w:ind w:left="-140" w:leftChars="-50" w:right="-140" w:rightChars="-50" w:firstLine="0" w:firstLineChars="0"/>
      <w:jc w:val="center"/>
      <w:outlineLvl w:val="3"/>
    </w:pPr>
    <w:rPr>
      <w:rFonts w:ascii="宋体" w:eastAsia="黑体" w:cs="宋体"/>
      <w:b/>
      <w:color w:val="000000"/>
      <w:spacing w:val="-18"/>
      <w:szCs w:val="21"/>
      <w:lang w:val="en-GB"/>
    </w:rPr>
  </w:style>
  <w:style w:type="paragraph" w:customStyle="1" w:styleId="896">
    <w:name w:val="正文文字缩进 3"/>
    <w:basedOn w:val="1"/>
    <w:autoRedefine/>
    <w:qFormat/>
    <w:uiPriority w:val="0"/>
    <w:pPr>
      <w:widowControl/>
      <w:spacing w:line="527" w:lineRule="atLeast"/>
      <w:ind w:firstLine="419" w:firstLineChars="0"/>
      <w:textAlignment w:val="baseline"/>
    </w:pPr>
    <w:rPr>
      <w:rFonts w:ascii="宋体" w:hAnsi="Times New Roman"/>
      <w:color w:val="FF0000"/>
      <w:sz w:val="21"/>
      <w:szCs w:val="20"/>
      <w:u w:color="000000"/>
      <w:lang w:val="en-US"/>
    </w:rPr>
  </w:style>
  <w:style w:type="paragraph" w:customStyle="1" w:styleId="897">
    <w:name w:val="样式 样式 样式 样式 样式 (西文) 宋体 + 首行缩进:  2 字符 + + 首行缩进:  2 字符 + 首行缩进:  2 ..."/>
    <w:basedOn w:val="1"/>
    <w:autoRedefine/>
    <w:qFormat/>
    <w:uiPriority w:val="0"/>
    <w:pPr>
      <w:widowControl/>
      <w:spacing w:line="440" w:lineRule="exact"/>
      <w:ind w:firstLine="200"/>
    </w:pPr>
    <w:rPr>
      <w:rFonts w:hAnsi="Times New Roman" w:cs="宋体"/>
      <w:color w:val="000000"/>
      <w:sz w:val="28"/>
      <w:szCs w:val="20"/>
      <w:lang w:val="en-US"/>
    </w:rPr>
  </w:style>
  <w:style w:type="paragraph" w:customStyle="1" w:styleId="898">
    <w:name w:val="正文文字 2"/>
    <w:basedOn w:val="1"/>
    <w:autoRedefine/>
    <w:qFormat/>
    <w:uiPriority w:val="0"/>
    <w:pPr>
      <w:widowControl/>
      <w:spacing w:after="119" w:line="634" w:lineRule="atLeast"/>
      <w:ind w:firstLine="419" w:firstLineChars="0"/>
      <w:textAlignment w:val="baseline"/>
    </w:pPr>
    <w:rPr>
      <w:rFonts w:hAnsi="Times New Roman"/>
      <w:color w:val="000000"/>
      <w:sz w:val="21"/>
      <w:szCs w:val="20"/>
      <w:u w:color="000000"/>
      <w:lang w:val="en-US"/>
    </w:rPr>
  </w:style>
  <w:style w:type="paragraph" w:customStyle="1" w:styleId="899">
    <w:name w:val="科泰标题表格7"/>
    <w:basedOn w:val="1"/>
    <w:next w:val="1"/>
    <w:autoRedefine/>
    <w:qFormat/>
    <w:uiPriority w:val="99"/>
    <w:pPr>
      <w:spacing w:line="440" w:lineRule="exact"/>
      <w:ind w:firstLine="0" w:firstLineChars="0"/>
      <w:jc w:val="center"/>
      <w:outlineLvl w:val="4"/>
    </w:pPr>
    <w:rPr>
      <w:rFonts w:hAnsi="Times New Roman" w:eastAsia="黑体"/>
      <w:b/>
      <w:kern w:val="3"/>
      <w:szCs w:val="20"/>
      <w:lang w:val="en-US"/>
    </w:rPr>
  </w:style>
  <w:style w:type="paragraph" w:customStyle="1" w:styleId="900">
    <w:name w:val="样式 (中文) 仿宋_GB2312 小二 加粗 居中 段前: 7.8 磅 段后: 7.8 磅 行距: 固定值 26 磅"/>
    <w:basedOn w:val="1"/>
    <w:autoRedefine/>
    <w:qFormat/>
    <w:uiPriority w:val="0"/>
    <w:pPr>
      <w:adjustRightInd w:val="0"/>
      <w:snapToGrid w:val="0"/>
      <w:spacing w:beforeLines="200" w:afterLines="200"/>
      <w:ind w:firstLine="1430" w:firstLineChars="445"/>
    </w:pPr>
    <w:rPr>
      <w:rFonts w:ascii="黑体" w:hAnsi="华文中宋" w:eastAsia="黑体"/>
      <w:b/>
      <w:kern w:val="3"/>
      <w:sz w:val="32"/>
      <w:szCs w:val="32"/>
      <w:lang w:val="en-US"/>
    </w:rPr>
  </w:style>
  <w:style w:type="paragraph" w:customStyle="1" w:styleId="901">
    <w:name w:val="正文内容"/>
    <w:basedOn w:val="1"/>
    <w:autoRedefine/>
    <w:qFormat/>
    <w:uiPriority w:val="0"/>
    <w:pPr>
      <w:spacing w:line="240" w:lineRule="auto"/>
      <w:ind w:firstLine="560"/>
    </w:pPr>
    <w:rPr>
      <w:rFonts w:ascii="宋体"/>
      <w:sz w:val="28"/>
      <w:szCs w:val="28"/>
      <w:lang w:val="en-US"/>
    </w:rPr>
  </w:style>
  <w:style w:type="paragraph" w:customStyle="1" w:styleId="902">
    <w:name w:val="正文　2"/>
    <w:basedOn w:val="1"/>
    <w:autoRedefine/>
    <w:qFormat/>
    <w:uiPriority w:val="99"/>
    <w:pPr>
      <w:spacing w:line="240" w:lineRule="auto"/>
      <w:ind w:firstLine="420"/>
    </w:pPr>
    <w:rPr>
      <w:rFonts w:ascii="宋体" w:cs="宋体"/>
      <w:color w:val="000000"/>
      <w:kern w:val="3"/>
      <w:sz w:val="21"/>
      <w:szCs w:val="20"/>
      <w:lang w:val="en-US"/>
    </w:rPr>
  </w:style>
  <w:style w:type="paragraph" w:customStyle="1" w:styleId="903">
    <w:name w:val="修订1"/>
    <w:autoRedefine/>
    <w:semiHidden/>
    <w:qFormat/>
    <w:uiPriority w:val="0"/>
    <w:rPr>
      <w:rFonts w:ascii="Times New Roman" w:hAnsi="Times New Roman" w:eastAsia="宋体" w:cs="Times New Roman"/>
      <w:kern w:val="2"/>
      <w:sz w:val="21"/>
      <w:szCs w:val="24"/>
      <w:lang w:val="en-US" w:eastAsia="zh-CN" w:bidi="ar-SA"/>
    </w:rPr>
  </w:style>
  <w:style w:type="paragraph" w:customStyle="1" w:styleId="904">
    <w:name w:val="封面标准名称"/>
    <w:autoRedefine/>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905">
    <w:name w:val="样式 样式 样式 样式 样式 (西文) 宋体 + 首行缩进:  2 字符 + + 首行缩进:  2 字符 + 首行缩进:  2 ...1"/>
    <w:basedOn w:val="1"/>
    <w:autoRedefine/>
    <w:qFormat/>
    <w:uiPriority w:val="0"/>
    <w:pPr>
      <w:widowControl/>
      <w:spacing w:line="440" w:lineRule="exact"/>
      <w:ind w:firstLine="200"/>
    </w:pPr>
    <w:rPr>
      <w:rFonts w:hAnsi="Times New Roman" w:cs="宋体"/>
      <w:color w:val="000000"/>
      <w:sz w:val="28"/>
      <w:szCs w:val="20"/>
      <w:lang w:val="en-US"/>
    </w:rPr>
  </w:style>
  <w:style w:type="paragraph" w:customStyle="1" w:styleId="906">
    <w:name w:val="样式3"/>
    <w:basedOn w:val="6"/>
    <w:autoRedefine/>
    <w:qFormat/>
    <w:uiPriority w:val="0"/>
    <w:pPr>
      <w:keepNext w:val="0"/>
      <w:keepLines w:val="0"/>
      <w:numPr>
        <w:ilvl w:val="0"/>
        <w:numId w:val="0"/>
      </w:numPr>
      <w:spacing w:before="0" w:beforeLines="0" w:after="0" w:afterLines="0" w:line="0" w:lineRule="atLeast"/>
      <w:outlineLvl w:val="9"/>
    </w:pPr>
    <w:rPr>
      <w:rFonts w:ascii="宋体" w:hAnsi="宋体" w:eastAsia="黑体"/>
      <w:kern w:val="2"/>
      <w:sz w:val="21"/>
      <w:szCs w:val="21"/>
      <w:lang w:val="en-US"/>
    </w:rPr>
  </w:style>
  <w:style w:type="paragraph" w:customStyle="1" w:styleId="907">
    <w:name w:val="样式"/>
    <w:autoRedefine/>
    <w:qFormat/>
    <w:uiPriority w:val="0"/>
    <w:pPr>
      <w:widowControl w:val="0"/>
      <w:autoSpaceDE w:val="0"/>
      <w:autoSpaceDN w:val="0"/>
      <w:adjustRightInd w:val="0"/>
    </w:pPr>
    <w:rPr>
      <w:rFonts w:ascii="Courier New" w:hAnsi="Courier New" w:eastAsia="宋体" w:cs="Times New Roman"/>
      <w:sz w:val="24"/>
      <w:lang w:val="en-US" w:eastAsia="zh-CN" w:bidi="ar-SA"/>
    </w:rPr>
  </w:style>
  <w:style w:type="paragraph" w:customStyle="1" w:styleId="908">
    <w:name w:val="样式 标题 2标题 2 Char Char标题 2 Char +"/>
    <w:basedOn w:val="4"/>
    <w:autoRedefine/>
    <w:qFormat/>
    <w:uiPriority w:val="0"/>
    <w:pPr>
      <w:keepNext w:val="0"/>
      <w:numPr>
        <w:ilvl w:val="0"/>
        <w:numId w:val="0"/>
      </w:numPr>
      <w:tabs>
        <w:tab w:val="left" w:pos="567"/>
      </w:tabs>
      <w:spacing w:before="0" w:beforeLines="0" w:after="0" w:afterLines="0" w:line="240" w:lineRule="auto"/>
      <w:ind w:left="567" w:hanging="567"/>
    </w:pPr>
    <w:rPr>
      <w:rFonts w:ascii="Times New Roman" w:hAnsi="Times New Roman" w:eastAsia="黑体"/>
      <w:b w:val="0"/>
      <w:kern w:val="0"/>
      <w:sz w:val="24"/>
      <w:szCs w:val="32"/>
      <w:lang w:val="en-US"/>
    </w:rPr>
  </w:style>
  <w:style w:type="paragraph" w:customStyle="1" w:styleId="909">
    <w:name w:val="样式 样式 样式 样式 (中文) 仿宋_GB2312 四号 左侧:  0.99 厘米 行距: 固定值 20 磅 + 左侧:  2..."/>
    <w:basedOn w:val="1"/>
    <w:autoRedefine/>
    <w:qFormat/>
    <w:uiPriority w:val="0"/>
    <w:pPr>
      <w:spacing w:line="520" w:lineRule="exact"/>
      <w:ind w:firstLine="200"/>
    </w:pPr>
    <w:rPr>
      <w:rFonts w:hAnsi="Times New Roman" w:eastAsia="仿宋_GB2312" w:cs="宋体"/>
      <w:kern w:val="3"/>
      <w:sz w:val="28"/>
      <w:szCs w:val="20"/>
      <w:lang w:val="en-US"/>
    </w:rPr>
  </w:style>
  <w:style w:type="paragraph" w:customStyle="1" w:styleId="910">
    <w:name w:val="宏福3"/>
    <w:basedOn w:val="6"/>
    <w:autoRedefine/>
    <w:semiHidden/>
    <w:qFormat/>
    <w:uiPriority w:val="0"/>
    <w:pPr>
      <w:numPr>
        <w:ilvl w:val="0"/>
        <w:numId w:val="0"/>
      </w:numPr>
      <w:adjustRightInd w:val="0"/>
      <w:spacing w:before="240" w:beforeLines="0" w:after="0" w:afterLines="0" w:line="240" w:lineRule="auto"/>
      <w:outlineLvl w:val="9"/>
    </w:pPr>
    <w:rPr>
      <w:rFonts w:eastAsia="黑体"/>
      <w:kern w:val="2"/>
      <w:sz w:val="28"/>
      <w:szCs w:val="28"/>
      <w:lang w:val="en-US"/>
    </w:rPr>
  </w:style>
  <w:style w:type="paragraph" w:customStyle="1" w:styleId="911">
    <w:name w:val="样式 小四 加粗 居中 行距: 固定值 15 磅"/>
    <w:basedOn w:val="1"/>
    <w:autoRedefine/>
    <w:qFormat/>
    <w:uiPriority w:val="99"/>
    <w:pPr>
      <w:spacing w:line="320" w:lineRule="exact"/>
      <w:ind w:firstLine="0" w:firstLineChars="0"/>
      <w:jc w:val="center"/>
    </w:pPr>
    <w:rPr>
      <w:rFonts w:hAnsi="Times New Roman" w:cs="宋体"/>
      <w:b/>
      <w:bCs/>
      <w:kern w:val="3"/>
      <w:szCs w:val="20"/>
      <w:lang w:val="en-US"/>
    </w:rPr>
  </w:style>
  <w:style w:type="paragraph" w:customStyle="1" w:styleId="912">
    <w:name w:val="正文W"/>
    <w:basedOn w:val="1"/>
    <w:autoRedefine/>
    <w:qFormat/>
    <w:uiPriority w:val="0"/>
    <w:pPr>
      <w:spacing w:line="240" w:lineRule="auto"/>
      <w:ind w:firstLine="560"/>
    </w:pPr>
    <w:rPr>
      <w:rFonts w:ascii="宋体"/>
      <w:kern w:val="3"/>
      <w:sz w:val="28"/>
      <w:szCs w:val="28"/>
      <w:lang w:val="en-US"/>
    </w:rPr>
  </w:style>
  <w:style w:type="paragraph" w:customStyle="1" w:styleId="913">
    <w:name w:val="样式7"/>
    <w:basedOn w:val="4"/>
    <w:autoRedefine/>
    <w:qFormat/>
    <w:uiPriority w:val="0"/>
    <w:pPr>
      <w:numPr>
        <w:ilvl w:val="0"/>
        <w:numId w:val="0"/>
      </w:numPr>
      <w:spacing w:line="415" w:lineRule="auto"/>
    </w:pPr>
    <w:rPr>
      <w:rFonts w:ascii="Arial" w:hAnsi="Arial" w:eastAsia="黑体"/>
      <w:bCs/>
      <w:kern w:val="3"/>
      <w:sz w:val="28"/>
      <w:szCs w:val="32"/>
      <w:lang w:val="en-US"/>
    </w:rPr>
  </w:style>
  <w:style w:type="paragraph" w:customStyle="1" w:styleId="914">
    <w:name w:val="列出段落2"/>
    <w:basedOn w:val="1"/>
    <w:autoRedefine/>
    <w:qFormat/>
    <w:uiPriority w:val="1"/>
    <w:pPr>
      <w:spacing w:line="240" w:lineRule="auto"/>
      <w:ind w:left="1029" w:hanging="489" w:firstLineChars="0"/>
    </w:pPr>
    <w:rPr>
      <w:rFonts w:ascii="Microsoft JhengHei" w:hAnsi="Microsoft JhengHei" w:eastAsia="Microsoft JhengHei" w:cs="Microsoft JhengHei"/>
      <w:kern w:val="3"/>
      <w:sz w:val="21"/>
      <w:szCs w:val="20"/>
      <w:lang w:val="en-US"/>
    </w:rPr>
  </w:style>
  <w:style w:type="paragraph" w:customStyle="1" w:styleId="915">
    <w:name w:val="正文C1"/>
    <w:basedOn w:val="57"/>
    <w:link w:val="992"/>
    <w:autoRedefine/>
    <w:qFormat/>
    <w:uiPriority w:val="0"/>
    <w:pPr>
      <w:tabs>
        <w:tab w:val="left" w:pos="420"/>
        <w:tab w:val="left" w:pos="870"/>
        <w:tab w:val="left" w:pos="3150"/>
      </w:tabs>
      <w:autoSpaceDE w:val="0"/>
      <w:autoSpaceDN w:val="0"/>
      <w:adjustRightInd w:val="0"/>
      <w:snapToGrid w:val="0"/>
      <w:spacing w:after="0" w:line="336" w:lineRule="auto"/>
      <w:ind w:left="0" w:leftChars="0" w:firstLine="200" w:firstLineChars="0"/>
      <w:textAlignment w:val="baseline"/>
    </w:pPr>
    <w:rPr>
      <w:rFonts w:ascii="宋体"/>
      <w:kern w:val="0"/>
      <w:sz w:val="24"/>
      <w:szCs w:val="28"/>
    </w:rPr>
  </w:style>
  <w:style w:type="paragraph" w:customStyle="1" w:styleId="916">
    <w:name w:val="列出段落3"/>
    <w:basedOn w:val="1"/>
    <w:autoRedefine/>
    <w:unhideWhenUsed/>
    <w:qFormat/>
    <w:uiPriority w:val="99"/>
    <w:pPr>
      <w:spacing w:line="240" w:lineRule="auto"/>
      <w:ind w:firstLine="420"/>
    </w:pPr>
    <w:rPr>
      <w:rFonts w:hAnsi="Times New Roman"/>
      <w:kern w:val="3"/>
      <w:sz w:val="21"/>
      <w:szCs w:val="20"/>
      <w:lang w:val="en-US"/>
    </w:rPr>
  </w:style>
  <w:style w:type="paragraph" w:customStyle="1" w:styleId="917">
    <w:name w:val="正1"/>
    <w:basedOn w:val="1"/>
    <w:autoRedefine/>
    <w:qFormat/>
    <w:uiPriority w:val="0"/>
    <w:pPr>
      <w:spacing w:line="520" w:lineRule="atLeast"/>
      <w:ind w:firstLine="200"/>
    </w:pPr>
    <w:rPr>
      <w:rFonts w:ascii="宋体"/>
      <w:kern w:val="2"/>
      <w:sz w:val="21"/>
      <w:szCs w:val="28"/>
      <w:lang w:val="en-US"/>
    </w:rPr>
  </w:style>
  <w:style w:type="paragraph" w:customStyle="1" w:styleId="918">
    <w:name w:val="zx正文标题"/>
    <w:basedOn w:val="1"/>
    <w:next w:val="1"/>
    <w:link w:val="919"/>
    <w:autoRedefine/>
    <w:qFormat/>
    <w:uiPriority w:val="0"/>
    <w:pPr>
      <w:spacing w:line="520" w:lineRule="exact"/>
      <w:ind w:firstLine="562"/>
      <w:jc w:val="left"/>
      <w:outlineLvl w:val="2"/>
    </w:pPr>
    <w:rPr>
      <w:rFonts w:ascii="黑体" w:eastAsia="黑体" w:cs="宋体"/>
      <w:b/>
      <w:bCs/>
      <w:sz w:val="28"/>
      <w:szCs w:val="28"/>
      <w:lang w:val="en-US"/>
    </w:rPr>
  </w:style>
  <w:style w:type="character" w:customStyle="1" w:styleId="919">
    <w:name w:val="zx正文标题 Char"/>
    <w:link w:val="918"/>
    <w:autoRedefine/>
    <w:qFormat/>
    <w:uiPriority w:val="0"/>
    <w:rPr>
      <w:rFonts w:ascii="黑体" w:hAnsi="宋体" w:eastAsia="黑体" w:cs="宋体"/>
      <w:b/>
      <w:bCs/>
      <w:kern w:val="0"/>
      <w:sz w:val="28"/>
      <w:szCs w:val="28"/>
    </w:rPr>
  </w:style>
  <w:style w:type="paragraph" w:customStyle="1" w:styleId="920">
    <w:name w:val="连江正文"/>
    <w:basedOn w:val="1"/>
    <w:autoRedefine/>
    <w:qFormat/>
    <w:uiPriority w:val="0"/>
    <w:pPr>
      <w:snapToGrid w:val="0"/>
      <w:spacing w:line="520" w:lineRule="atLeast"/>
      <w:ind w:firstLine="560"/>
    </w:pPr>
    <w:rPr>
      <w:rFonts w:ascii="宋体" w:cs="宋体"/>
      <w:kern w:val="2"/>
      <w:sz w:val="28"/>
      <w:lang w:val="en-US"/>
    </w:rPr>
  </w:style>
  <w:style w:type="character" w:customStyle="1" w:styleId="921">
    <w:name w:val="zx表格标题 Char"/>
    <w:link w:val="922"/>
    <w:autoRedefine/>
    <w:qFormat/>
    <w:uiPriority w:val="0"/>
    <w:rPr>
      <w:rFonts w:ascii="宋体" w:hAnsi="宋体" w:cs="Arial"/>
      <w:b/>
      <w:color w:val="000000"/>
      <w:sz w:val="24"/>
      <w:szCs w:val="24"/>
    </w:rPr>
  </w:style>
  <w:style w:type="paragraph" w:customStyle="1" w:styleId="922">
    <w:name w:val="zx表格标题"/>
    <w:basedOn w:val="1"/>
    <w:next w:val="1"/>
    <w:link w:val="921"/>
    <w:autoRedefine/>
    <w:qFormat/>
    <w:uiPriority w:val="0"/>
    <w:pPr>
      <w:adjustRightInd w:val="0"/>
      <w:spacing w:beforeLines="50" w:afterLines="50" w:line="240" w:lineRule="auto"/>
      <w:ind w:firstLine="0" w:firstLineChars="0"/>
      <w:jc w:val="center"/>
      <w:outlineLvl w:val="2"/>
    </w:pPr>
    <w:rPr>
      <w:rFonts w:ascii="宋体" w:cs="Arial" w:eastAsiaTheme="minorEastAsia"/>
      <w:b/>
      <w:color w:val="000000"/>
      <w:kern w:val="2"/>
      <w:lang w:val="en-US"/>
    </w:rPr>
  </w:style>
  <w:style w:type="character" w:customStyle="1" w:styleId="923">
    <w:name w:val="zw1"/>
    <w:autoRedefine/>
    <w:qFormat/>
    <w:uiPriority w:val="0"/>
    <w:rPr>
      <w:rFonts w:hint="eastAsia" w:ascii="宋体" w:hAnsi="宋体" w:eastAsia="宋体"/>
      <w:sz w:val="22"/>
      <w:szCs w:val="22"/>
    </w:rPr>
  </w:style>
  <w:style w:type="character" w:customStyle="1" w:styleId="924">
    <w:name w:val="zx表格11 Char"/>
    <w:link w:val="925"/>
    <w:autoRedefine/>
    <w:qFormat/>
    <w:uiPriority w:val="0"/>
    <w:rPr>
      <w:rFonts w:ascii="宋体" w:hAnsi="宋体" w:cs="Arial"/>
      <w:szCs w:val="21"/>
    </w:rPr>
  </w:style>
  <w:style w:type="paragraph" w:customStyle="1" w:styleId="925">
    <w:name w:val="zx表格11"/>
    <w:basedOn w:val="1"/>
    <w:link w:val="924"/>
    <w:autoRedefine/>
    <w:qFormat/>
    <w:uiPriority w:val="0"/>
    <w:pPr>
      <w:framePr w:hSpace="180" w:wrap="around" w:vAnchor="text" w:hAnchor="text" w:y="1"/>
      <w:widowControl/>
      <w:spacing w:line="240" w:lineRule="auto"/>
      <w:ind w:firstLine="0" w:firstLineChars="0"/>
    </w:pPr>
    <w:rPr>
      <w:rFonts w:ascii="宋体" w:cs="Arial" w:eastAsiaTheme="minorEastAsia"/>
      <w:kern w:val="2"/>
      <w:sz w:val="21"/>
      <w:szCs w:val="21"/>
      <w:lang w:val="en-US"/>
    </w:rPr>
  </w:style>
  <w:style w:type="character" w:customStyle="1" w:styleId="926">
    <w:name w:val="zx表格1 Char"/>
    <w:link w:val="927"/>
    <w:autoRedefine/>
    <w:qFormat/>
    <w:uiPriority w:val="0"/>
    <w:rPr>
      <w:rFonts w:ascii="宋体" w:hAnsi="宋体"/>
      <w:szCs w:val="21"/>
    </w:rPr>
  </w:style>
  <w:style w:type="paragraph" w:customStyle="1" w:styleId="927">
    <w:name w:val="zx表格1"/>
    <w:basedOn w:val="1"/>
    <w:link w:val="926"/>
    <w:autoRedefine/>
    <w:qFormat/>
    <w:uiPriority w:val="0"/>
    <w:pPr>
      <w:adjustRightInd w:val="0"/>
      <w:spacing w:line="240" w:lineRule="auto"/>
      <w:ind w:firstLine="0" w:firstLineChars="0"/>
      <w:jc w:val="center"/>
    </w:pPr>
    <w:rPr>
      <w:rFonts w:ascii="宋体" w:eastAsiaTheme="minorEastAsia" w:cstheme="minorBidi"/>
      <w:kern w:val="2"/>
      <w:sz w:val="21"/>
      <w:szCs w:val="21"/>
      <w:lang w:val="en-US"/>
    </w:rPr>
  </w:style>
  <w:style w:type="character" w:customStyle="1" w:styleId="928">
    <w:name w:val="环评文本-lutos Char"/>
    <w:link w:val="929"/>
    <w:autoRedefine/>
    <w:qFormat/>
    <w:locked/>
    <w:uiPriority w:val="0"/>
    <w:rPr>
      <w:color w:val="000000"/>
      <w:sz w:val="24"/>
      <w:szCs w:val="24"/>
    </w:rPr>
  </w:style>
  <w:style w:type="paragraph" w:customStyle="1" w:styleId="929">
    <w:name w:val="环评文本-lutos"/>
    <w:basedOn w:val="1"/>
    <w:next w:val="1"/>
    <w:link w:val="928"/>
    <w:autoRedefine/>
    <w:qFormat/>
    <w:uiPriority w:val="0"/>
    <w:pPr>
      <w:tabs>
        <w:tab w:val="left" w:pos="6120"/>
      </w:tabs>
      <w:topLinePunct/>
      <w:spacing w:line="480" w:lineRule="exact"/>
      <w:jc w:val="left"/>
    </w:pPr>
    <w:rPr>
      <w:rFonts w:asciiTheme="minorHAnsi" w:hAnsiTheme="minorHAnsi" w:eastAsiaTheme="minorEastAsia" w:cstheme="minorBidi"/>
      <w:color w:val="000000"/>
      <w:kern w:val="2"/>
      <w:lang w:val="en-US"/>
    </w:rPr>
  </w:style>
  <w:style w:type="character" w:customStyle="1" w:styleId="930">
    <w:name w:val="OHM表格1 Char"/>
    <w:link w:val="931"/>
    <w:autoRedefine/>
    <w:qFormat/>
    <w:uiPriority w:val="0"/>
    <w:rPr>
      <w:rFonts w:ascii="宋体" w:hAnsi="宋体"/>
      <w:szCs w:val="24"/>
    </w:rPr>
  </w:style>
  <w:style w:type="paragraph" w:customStyle="1" w:styleId="931">
    <w:name w:val="OHM表格1"/>
    <w:basedOn w:val="1"/>
    <w:link w:val="930"/>
    <w:autoRedefine/>
    <w:qFormat/>
    <w:uiPriority w:val="0"/>
    <w:pPr>
      <w:adjustRightInd w:val="0"/>
      <w:spacing w:line="240" w:lineRule="auto"/>
      <w:ind w:firstLine="0" w:firstLineChars="0"/>
      <w:jc w:val="center"/>
    </w:pPr>
    <w:rPr>
      <w:rFonts w:ascii="宋体" w:eastAsiaTheme="minorEastAsia" w:cstheme="minorBidi"/>
      <w:kern w:val="2"/>
      <w:sz w:val="21"/>
      <w:lang w:val="en-US"/>
    </w:rPr>
  </w:style>
  <w:style w:type="character" w:customStyle="1" w:styleId="932">
    <w:name w:val="表格正文 字符"/>
    <w:autoRedefine/>
    <w:qFormat/>
    <w:uiPriority w:val="0"/>
    <w:rPr>
      <w:rFonts w:ascii="宋体" w:hAnsi="宋体" w:cs="宋体"/>
      <w:kern w:val="2"/>
      <w:sz w:val="21"/>
    </w:rPr>
  </w:style>
  <w:style w:type="character" w:customStyle="1" w:styleId="933">
    <w:name w:val="KT表格标题 Char Char"/>
    <w:link w:val="934"/>
    <w:autoRedefine/>
    <w:qFormat/>
    <w:uiPriority w:val="0"/>
    <w:rPr>
      <w:rFonts w:ascii="宋体" w:hAnsi="宋体" w:eastAsia="黑体" w:cs="Arial"/>
      <w:b/>
      <w:sz w:val="24"/>
      <w:szCs w:val="24"/>
    </w:rPr>
  </w:style>
  <w:style w:type="paragraph" w:customStyle="1" w:styleId="934">
    <w:name w:val="KT表格标题"/>
    <w:basedOn w:val="1"/>
    <w:next w:val="1"/>
    <w:link w:val="933"/>
    <w:autoRedefine/>
    <w:qFormat/>
    <w:uiPriority w:val="0"/>
    <w:pPr>
      <w:adjustRightInd w:val="0"/>
      <w:spacing w:line="560" w:lineRule="exact"/>
      <w:ind w:firstLine="0" w:firstLineChars="0"/>
      <w:jc w:val="center"/>
      <w:outlineLvl w:val="3"/>
    </w:pPr>
    <w:rPr>
      <w:rFonts w:ascii="宋体" w:eastAsia="黑体" w:cs="Arial"/>
      <w:b/>
      <w:kern w:val="2"/>
      <w:lang w:val="en-US"/>
    </w:rPr>
  </w:style>
  <w:style w:type="paragraph" w:customStyle="1" w:styleId="935">
    <w:name w:val="zw"/>
    <w:basedOn w:val="1"/>
    <w:autoRedefine/>
    <w:qFormat/>
    <w:uiPriority w:val="0"/>
    <w:pPr>
      <w:widowControl/>
      <w:spacing w:before="100" w:beforeAutospacing="1" w:after="100" w:afterAutospacing="1" w:line="440" w:lineRule="atLeast"/>
      <w:ind w:firstLine="0" w:firstLineChars="0"/>
      <w:jc w:val="left"/>
    </w:pPr>
    <w:rPr>
      <w:rFonts w:ascii="宋体" w:cs="宋体"/>
      <w:sz w:val="22"/>
      <w:szCs w:val="22"/>
      <w:lang w:val="en-US"/>
    </w:rPr>
  </w:style>
  <w:style w:type="character" w:customStyle="1" w:styleId="936">
    <w:name w:val="表格内容+居中 Char"/>
    <w:link w:val="937"/>
    <w:autoRedefine/>
    <w:unhideWhenUsed/>
    <w:qFormat/>
    <w:uiPriority w:val="0"/>
  </w:style>
  <w:style w:type="paragraph" w:customStyle="1" w:styleId="937">
    <w:name w:val="表格内容+居中"/>
    <w:basedOn w:val="1"/>
    <w:link w:val="936"/>
    <w:autoRedefine/>
    <w:unhideWhenUsed/>
    <w:qFormat/>
    <w:uiPriority w:val="0"/>
    <w:pPr>
      <w:widowControl/>
      <w:spacing w:line="240" w:lineRule="auto"/>
      <w:ind w:firstLine="0" w:firstLineChars="0"/>
      <w:jc w:val="center"/>
    </w:pPr>
    <w:rPr>
      <w:rFonts w:asciiTheme="minorHAnsi" w:hAnsiTheme="minorHAnsi" w:eastAsiaTheme="minorEastAsia" w:cstheme="minorBidi"/>
      <w:kern w:val="2"/>
      <w:sz w:val="21"/>
      <w:szCs w:val="22"/>
      <w:lang w:val="en-US"/>
    </w:rPr>
  </w:style>
  <w:style w:type="paragraph" w:customStyle="1" w:styleId="938">
    <w:name w:val="zx表格左对齐"/>
    <w:basedOn w:val="1"/>
    <w:autoRedefine/>
    <w:qFormat/>
    <w:uiPriority w:val="0"/>
    <w:pPr>
      <w:widowControl/>
      <w:spacing w:beforeAutospacing="1" w:afterAutospacing="1" w:line="240" w:lineRule="auto"/>
      <w:ind w:firstLine="0" w:firstLineChars="0"/>
    </w:pPr>
    <w:rPr>
      <w:rFonts w:ascii="宋体" w:cs="宋体"/>
      <w:color w:val="000000"/>
      <w:kern w:val="2"/>
      <w:sz w:val="21"/>
      <w:szCs w:val="20"/>
      <w:lang w:val="en-US"/>
    </w:rPr>
  </w:style>
  <w:style w:type="paragraph" w:customStyle="1" w:styleId="939">
    <w:name w:val="zx表格居中"/>
    <w:basedOn w:val="1"/>
    <w:autoRedefine/>
    <w:qFormat/>
    <w:uiPriority w:val="0"/>
    <w:pPr>
      <w:spacing w:line="240" w:lineRule="auto"/>
      <w:ind w:firstLine="0" w:firstLineChars="0"/>
    </w:pPr>
    <w:rPr>
      <w:rFonts w:hAnsi="Times New Roman"/>
      <w:kern w:val="3"/>
      <w:sz w:val="21"/>
      <w:szCs w:val="20"/>
      <w:lang w:val="en-US"/>
    </w:rPr>
  </w:style>
  <w:style w:type="character" w:customStyle="1" w:styleId="940">
    <w:name w:val="不明显强调1"/>
    <w:autoRedefine/>
    <w:qFormat/>
    <w:uiPriority w:val="99"/>
    <w:rPr>
      <w:rFonts w:cs="Times New Roman"/>
      <w:i/>
      <w:iCs/>
      <w:color w:val="404040"/>
    </w:rPr>
  </w:style>
  <w:style w:type="paragraph" w:customStyle="1" w:styleId="941">
    <w:name w:val="首行缩进：2字符"/>
    <w:basedOn w:val="1"/>
    <w:autoRedefine/>
    <w:qFormat/>
    <w:uiPriority w:val="99"/>
    <w:pPr>
      <w:spacing w:line="240" w:lineRule="auto"/>
      <w:ind w:firstLine="560"/>
    </w:pPr>
    <w:rPr>
      <w:rFonts w:ascii="Calibri" w:hAnsi="Calibri" w:cs="宋体"/>
      <w:kern w:val="2"/>
      <w:sz w:val="28"/>
      <w:szCs w:val="20"/>
      <w:lang w:val="en-US"/>
    </w:rPr>
  </w:style>
  <w:style w:type="paragraph" w:styleId="942">
    <w:name w:val="Quote"/>
    <w:basedOn w:val="1"/>
    <w:next w:val="1"/>
    <w:link w:val="943"/>
    <w:autoRedefine/>
    <w:qFormat/>
    <w:uiPriority w:val="29"/>
    <w:pPr>
      <w:spacing w:line="560" w:lineRule="exact"/>
      <w:ind w:firstLine="200"/>
    </w:pPr>
    <w:rPr>
      <w:rFonts w:hAnsi="Times New Roman"/>
      <w:i/>
      <w:iCs/>
      <w:color w:val="000000"/>
      <w:kern w:val="2"/>
      <w:sz w:val="28"/>
      <w:szCs w:val="22"/>
      <w:lang w:val="en-US"/>
    </w:rPr>
  </w:style>
  <w:style w:type="character" w:customStyle="1" w:styleId="943">
    <w:name w:val="引用 字符"/>
    <w:basedOn w:val="62"/>
    <w:link w:val="942"/>
    <w:autoRedefine/>
    <w:qFormat/>
    <w:uiPriority w:val="29"/>
    <w:rPr>
      <w:rFonts w:ascii="Times New Roman" w:hAnsi="Times New Roman" w:eastAsia="宋体" w:cs="Times New Roman"/>
      <w:i/>
      <w:iCs/>
      <w:color w:val="000000"/>
      <w:sz w:val="28"/>
    </w:rPr>
  </w:style>
  <w:style w:type="paragraph" w:customStyle="1" w:styleId="944">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s="Arial Unicode MS"/>
      <w:lang w:val="en-US"/>
    </w:rPr>
  </w:style>
  <w:style w:type="paragraph" w:customStyle="1" w:styleId="945">
    <w:name w:val="链接"/>
    <w:autoRedefine/>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946">
    <w:name w:val="康泰表格标题"/>
    <w:basedOn w:val="947"/>
    <w:next w:val="1"/>
    <w:autoRedefine/>
    <w:qFormat/>
    <w:uiPriority w:val="0"/>
    <w:rPr>
      <w:b w:val="0"/>
      <w:bCs/>
    </w:rPr>
  </w:style>
  <w:style w:type="paragraph" w:customStyle="1" w:styleId="947">
    <w:name w:val="科泰表格标题"/>
    <w:basedOn w:val="1"/>
    <w:next w:val="1"/>
    <w:autoRedefine/>
    <w:qFormat/>
    <w:uiPriority w:val="0"/>
    <w:pPr>
      <w:adjustRightInd w:val="0"/>
      <w:spacing w:line="600" w:lineRule="exact"/>
      <w:ind w:firstLine="200"/>
      <w:jc w:val="center"/>
      <w:outlineLvl w:val="3"/>
    </w:pPr>
    <w:rPr>
      <w:rFonts w:ascii="宋体" w:eastAsia="黑体"/>
      <w:b/>
      <w:szCs w:val="22"/>
      <w:lang w:val="en-US"/>
    </w:rPr>
  </w:style>
  <w:style w:type="paragraph" w:customStyle="1" w:styleId="948">
    <w:name w:val="康泰正文"/>
    <w:basedOn w:val="1"/>
    <w:autoRedefine/>
    <w:qFormat/>
    <w:uiPriority w:val="0"/>
    <w:pPr>
      <w:adjustRightInd w:val="0"/>
      <w:spacing w:line="500" w:lineRule="exact"/>
      <w:ind w:firstLine="560"/>
      <w:jc w:val="left"/>
    </w:pPr>
    <w:rPr>
      <w:rFonts w:hAnsi="Times New Roman"/>
      <w:kern w:val="2"/>
      <w:sz w:val="28"/>
      <w:szCs w:val="22"/>
    </w:rPr>
  </w:style>
  <w:style w:type="character" w:customStyle="1" w:styleId="949">
    <w:name w:val="font51"/>
    <w:basedOn w:val="62"/>
    <w:autoRedefine/>
    <w:qFormat/>
    <w:uiPriority w:val="0"/>
    <w:rPr>
      <w:rFonts w:hint="eastAsia" w:ascii="宋体" w:hAnsi="宋体" w:eastAsia="宋体" w:cs="宋体"/>
      <w:i/>
      <w:color w:val="000000"/>
      <w:sz w:val="22"/>
      <w:szCs w:val="22"/>
      <w:u w:val="none"/>
    </w:rPr>
  </w:style>
  <w:style w:type="character" w:customStyle="1" w:styleId="950">
    <w:name w:val="font61"/>
    <w:basedOn w:val="62"/>
    <w:autoRedefine/>
    <w:qFormat/>
    <w:uiPriority w:val="0"/>
    <w:rPr>
      <w:rFonts w:ascii="Microsoft Sans Serif" w:hAnsi="Microsoft Sans Serif" w:eastAsia="Microsoft Sans Serif" w:cs="Microsoft Sans Serif"/>
      <w:i/>
      <w:color w:val="000000"/>
      <w:sz w:val="22"/>
      <w:szCs w:val="22"/>
      <w:u w:val="none"/>
    </w:rPr>
  </w:style>
  <w:style w:type="paragraph" w:customStyle="1" w:styleId="951">
    <w:name w:val="S-目录2"/>
    <w:basedOn w:val="1"/>
    <w:autoRedefine/>
    <w:qFormat/>
    <w:uiPriority w:val="0"/>
    <w:pPr>
      <w:spacing w:before="120" w:beforeLines="50"/>
      <w:ind w:firstLine="200"/>
    </w:pPr>
    <w:rPr>
      <w:rFonts w:ascii="宋体"/>
      <w:b/>
      <w:color w:val="FF0000"/>
      <w:sz w:val="28"/>
      <w:szCs w:val="28"/>
    </w:rPr>
  </w:style>
  <w:style w:type="paragraph" w:customStyle="1" w:styleId="952">
    <w:name w:val="康泰项目标题2"/>
    <w:basedOn w:val="953"/>
    <w:autoRedefine/>
    <w:qFormat/>
    <w:uiPriority w:val="0"/>
    <w:pPr>
      <w:ind w:firstLine="504"/>
      <w:outlineLvl w:val="3"/>
    </w:pPr>
    <w:rPr>
      <w:rFonts w:ascii="Calibri" w:hAnsi="Calibri" w:cs="宋体"/>
      <w:bCs/>
      <w:szCs w:val="20"/>
    </w:rPr>
  </w:style>
  <w:style w:type="paragraph" w:customStyle="1" w:styleId="953">
    <w:name w:val="康泰项目标题"/>
    <w:basedOn w:val="1"/>
    <w:next w:val="948"/>
    <w:autoRedefine/>
    <w:qFormat/>
    <w:uiPriority w:val="0"/>
    <w:pPr>
      <w:adjustRightInd w:val="0"/>
      <w:spacing w:line="560" w:lineRule="exact"/>
      <w:ind w:firstLine="200"/>
      <w:outlineLvl w:val="2"/>
    </w:pPr>
    <w:rPr>
      <w:rFonts w:hAnsi="Times New Roman" w:eastAsia="黑体"/>
      <w:b/>
      <w:kern w:val="2"/>
      <w:sz w:val="28"/>
      <w:szCs w:val="28"/>
      <w:lang w:val="en-US"/>
    </w:rPr>
  </w:style>
  <w:style w:type="paragraph" w:customStyle="1" w:styleId="954">
    <w:name w:val="表内正文-Q"/>
    <w:next w:val="1"/>
    <w:autoRedefine/>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955">
    <w:name w:val="新佑正文"/>
    <w:link w:val="956"/>
    <w:autoRedefine/>
    <w:qFormat/>
    <w:uiPriority w:val="0"/>
    <w:pPr>
      <w:spacing w:line="360" w:lineRule="auto"/>
      <w:ind w:firstLine="200" w:firstLineChars="200"/>
    </w:pPr>
    <w:rPr>
      <w:rFonts w:ascii="Times New Roman" w:hAnsi="Times New Roman" w:eastAsia="宋体" w:cstheme="minorBidi"/>
      <w:kern w:val="2"/>
      <w:sz w:val="24"/>
      <w:szCs w:val="22"/>
      <w:lang w:val="en-US" w:eastAsia="zh-CN" w:bidi="ar-SA"/>
    </w:rPr>
  </w:style>
  <w:style w:type="character" w:customStyle="1" w:styleId="956">
    <w:name w:val="新佑正文 Char"/>
    <w:basedOn w:val="62"/>
    <w:link w:val="955"/>
    <w:autoRedefine/>
    <w:qFormat/>
    <w:uiPriority w:val="0"/>
    <w:rPr>
      <w:rFonts w:ascii="Times New Roman" w:hAnsi="Times New Roman" w:eastAsia="宋体"/>
      <w:sz w:val="24"/>
    </w:rPr>
  </w:style>
  <w:style w:type="character" w:customStyle="1" w:styleId="957">
    <w:name w:val="副标题 Char"/>
    <w:basedOn w:val="62"/>
    <w:autoRedefine/>
    <w:qFormat/>
    <w:uiPriority w:val="0"/>
    <w:rPr>
      <w:rFonts w:asciiTheme="majorHAnsi" w:hAnsiTheme="majorHAnsi" w:cstheme="majorBidi"/>
      <w:b/>
      <w:bCs/>
      <w:kern w:val="28"/>
      <w:sz w:val="32"/>
      <w:szCs w:val="32"/>
    </w:rPr>
  </w:style>
  <w:style w:type="character" w:customStyle="1" w:styleId="958">
    <w:name w:val="表格标题 Char"/>
    <w:autoRedefine/>
    <w:qFormat/>
    <w:uiPriority w:val="0"/>
    <w:rPr>
      <w:rFonts w:ascii="Times New Roman" w:hAnsi="Times New Roman" w:eastAsia="宋体"/>
      <w:b/>
      <w:sz w:val="24"/>
      <w:lang w:val="en-US" w:eastAsia="zh-CN"/>
    </w:rPr>
  </w:style>
  <w:style w:type="character" w:customStyle="1" w:styleId="959">
    <w:name w:val="标题4 Char"/>
    <w:link w:val="960"/>
    <w:autoRedefine/>
    <w:qFormat/>
    <w:uiPriority w:val="0"/>
    <w:rPr>
      <w:b/>
      <w:sz w:val="24"/>
      <w:szCs w:val="24"/>
    </w:rPr>
  </w:style>
  <w:style w:type="paragraph" w:customStyle="1" w:styleId="960">
    <w:name w:val="标题4"/>
    <w:basedOn w:val="1"/>
    <w:next w:val="1"/>
    <w:link w:val="959"/>
    <w:autoRedefine/>
    <w:qFormat/>
    <w:uiPriority w:val="0"/>
    <w:pPr>
      <w:widowControl/>
      <w:tabs>
        <w:tab w:val="left" w:pos="1980"/>
        <w:tab w:val="left" w:pos="3825"/>
        <w:tab w:val="left" w:pos="4680"/>
      </w:tabs>
      <w:ind w:firstLine="0" w:firstLineChars="0"/>
      <w:jc w:val="left"/>
    </w:pPr>
    <w:rPr>
      <w:rFonts w:asciiTheme="minorHAnsi" w:hAnsiTheme="minorHAnsi" w:eastAsiaTheme="minorEastAsia" w:cstheme="minorBidi"/>
      <w:b/>
      <w:kern w:val="2"/>
      <w:lang w:val="en-US"/>
    </w:rPr>
  </w:style>
  <w:style w:type="paragraph" w:customStyle="1" w:styleId="961">
    <w:name w:val="表格的字刘"/>
    <w:basedOn w:val="1"/>
    <w:autoRedefine/>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rFonts w:hAnsi="Times New Roman"/>
      <w:kern w:val="2"/>
      <w:sz w:val="21"/>
      <w:lang w:val="en-US"/>
    </w:rPr>
  </w:style>
  <w:style w:type="character" w:customStyle="1" w:styleId="962">
    <w:name w:val="表格的字 Char"/>
    <w:link w:val="963"/>
    <w:autoRedefine/>
    <w:qFormat/>
    <w:uiPriority w:val="0"/>
    <w:rPr>
      <w:szCs w:val="21"/>
    </w:rPr>
  </w:style>
  <w:style w:type="paragraph" w:customStyle="1" w:styleId="963">
    <w:name w:val="表格的字"/>
    <w:basedOn w:val="73"/>
    <w:link w:val="962"/>
    <w:autoRedefine/>
    <w:qFormat/>
    <w:uiPriority w:val="0"/>
    <w:pPr>
      <w:spacing w:line="240" w:lineRule="auto"/>
      <w:ind w:firstLine="0" w:firstLineChars="0"/>
      <w:jc w:val="center"/>
    </w:pPr>
    <w:rPr>
      <w:bCs w:val="0"/>
      <w:sz w:val="21"/>
      <w:szCs w:val="21"/>
    </w:rPr>
  </w:style>
  <w:style w:type="character" w:customStyle="1" w:styleId="964">
    <w:name w:val="正文文本 Char"/>
    <w:autoRedefine/>
    <w:qFormat/>
    <w:uiPriority w:val="0"/>
    <w:rPr>
      <w:rFonts w:ascii="Times New Roman" w:hAnsi="Times New Roman" w:cs="Times New Roman"/>
    </w:rPr>
  </w:style>
  <w:style w:type="character" w:customStyle="1" w:styleId="965">
    <w:name w:val="标题 1 Char"/>
    <w:autoRedefine/>
    <w:qFormat/>
    <w:uiPriority w:val="9"/>
    <w:rPr>
      <w:rFonts w:ascii="Times New Roman" w:hAnsi="Times New Roman" w:eastAsia="宋体"/>
      <w:b/>
      <w:kern w:val="44"/>
      <w:sz w:val="36"/>
    </w:rPr>
  </w:style>
  <w:style w:type="character" w:customStyle="1" w:styleId="966">
    <w:name w:val="标题 3 Char"/>
    <w:autoRedefine/>
    <w:qFormat/>
    <w:uiPriority w:val="9"/>
    <w:rPr>
      <w:rFonts w:ascii="Times New Roman" w:hAnsi="Times New Roman" w:eastAsia="宋体"/>
      <w:b/>
      <w:sz w:val="24"/>
    </w:rPr>
  </w:style>
  <w:style w:type="character" w:customStyle="1" w:styleId="967">
    <w:name w:val="标题 4 Char"/>
    <w:autoRedefine/>
    <w:qFormat/>
    <w:uiPriority w:val="9"/>
    <w:rPr>
      <w:rFonts w:ascii="Times New Roman" w:hAnsi="Times New Roman" w:eastAsia="宋体"/>
      <w:sz w:val="24"/>
    </w:rPr>
  </w:style>
  <w:style w:type="character" w:customStyle="1" w:styleId="968">
    <w:name w:val="正文首行缩进 Char"/>
    <w:autoRedefine/>
    <w:qFormat/>
    <w:uiPriority w:val="99"/>
    <w:rPr>
      <w:rFonts w:ascii="Times New Roman" w:hAnsi="Times New Roman" w:eastAsia="宋体"/>
    </w:rPr>
  </w:style>
  <w:style w:type="paragraph" w:customStyle="1" w:styleId="969">
    <w:name w:val="表格内容（叶）"/>
    <w:basedOn w:val="1"/>
    <w:link w:val="971"/>
    <w:autoRedefine/>
    <w:qFormat/>
    <w:uiPriority w:val="0"/>
    <w:pPr>
      <w:spacing w:line="240" w:lineRule="auto"/>
      <w:ind w:firstLine="0" w:firstLineChars="0"/>
      <w:jc w:val="center"/>
    </w:pPr>
    <w:rPr>
      <w:kern w:val="2"/>
      <w:sz w:val="21"/>
      <w:szCs w:val="21"/>
      <w:lang w:val="en-US"/>
    </w:rPr>
  </w:style>
  <w:style w:type="paragraph" w:customStyle="1" w:styleId="970">
    <w:name w:val="标题5（F）"/>
    <w:basedOn w:val="8"/>
    <w:link w:val="972"/>
    <w:autoRedefine/>
    <w:qFormat/>
    <w:uiPriority w:val="0"/>
  </w:style>
  <w:style w:type="character" w:customStyle="1" w:styleId="971">
    <w:name w:val="表格内容（叶） 字符"/>
    <w:basedOn w:val="62"/>
    <w:link w:val="969"/>
    <w:autoRedefine/>
    <w:qFormat/>
    <w:uiPriority w:val="0"/>
    <w:rPr>
      <w:rFonts w:ascii="Times New Roman" w:hAnsi="宋体" w:eastAsia="宋体" w:cs="Times New Roman"/>
      <w:szCs w:val="21"/>
    </w:rPr>
  </w:style>
  <w:style w:type="character" w:customStyle="1" w:styleId="972">
    <w:name w:val="标题5（F） 字符"/>
    <w:basedOn w:val="102"/>
    <w:link w:val="970"/>
    <w:autoRedefine/>
    <w:qFormat/>
    <w:uiPriority w:val="0"/>
    <w:rPr>
      <w:rFonts w:ascii="Times New Roman" w:hAnsi="Times New Roman" w:eastAsia="宋体" w:cs="Times New Roman"/>
      <w:sz w:val="24"/>
      <w:szCs w:val="24"/>
      <w:lang w:val="zh-CN"/>
    </w:rPr>
  </w:style>
  <w:style w:type="character" w:customStyle="1" w:styleId="973">
    <w:name w:val="批注文字 Char"/>
    <w:autoRedefine/>
    <w:qFormat/>
    <w:uiPriority w:val="0"/>
    <w:rPr>
      <w:kern w:val="2"/>
      <w:sz w:val="24"/>
      <w:szCs w:val="22"/>
    </w:rPr>
  </w:style>
  <w:style w:type="character" w:customStyle="1" w:styleId="974">
    <w:name w:val="未处理的提及1"/>
    <w:basedOn w:val="62"/>
    <w:autoRedefine/>
    <w:semiHidden/>
    <w:unhideWhenUsed/>
    <w:qFormat/>
    <w:uiPriority w:val="99"/>
    <w:rPr>
      <w:color w:val="605E5C"/>
      <w:shd w:val="clear" w:color="auto" w:fill="E1DFDD"/>
    </w:rPr>
  </w:style>
  <w:style w:type="paragraph" w:customStyle="1" w:styleId="975">
    <w:name w:val="Char Char15 Char Char Char Char"/>
    <w:basedOn w:val="1"/>
    <w:autoRedefine/>
    <w:qFormat/>
    <w:uiPriority w:val="0"/>
    <w:pPr>
      <w:spacing w:before="100" w:beforeLines="100" w:after="50" w:afterLines="50" w:line="480" w:lineRule="auto"/>
      <w:ind w:firstLine="0" w:firstLineChars="0"/>
      <w:jc w:val="center"/>
    </w:pPr>
    <w:rPr>
      <w:rFonts w:hAnsi="Times New Roman" w:eastAsia="楷体_GB2312"/>
      <w:b/>
      <w:kern w:val="2"/>
      <w:sz w:val="44"/>
      <w:szCs w:val="44"/>
      <w:lang w:val="en-US"/>
    </w:rPr>
  </w:style>
  <w:style w:type="paragraph" w:customStyle="1" w:styleId="976">
    <w:name w:val="TOC 标题11"/>
    <w:basedOn w:val="3"/>
    <w:next w:val="1"/>
    <w:autoRedefine/>
    <w:qFormat/>
    <w:uiPriority w:val="99"/>
    <w:pPr>
      <w:widowControl/>
      <w:numPr>
        <w:numId w:val="0"/>
      </w:numPr>
      <w:spacing w:before="480" w:beforeLines="100" w:after="0" w:afterLines="0" w:line="276" w:lineRule="auto"/>
      <w:outlineLvl w:val="9"/>
    </w:pPr>
    <w:rPr>
      <w:rFonts w:ascii="Cambria" w:hAnsi="Cambria" w:eastAsia="宋体"/>
      <w:b w:val="0"/>
      <w:bCs/>
      <w:color w:val="365F91"/>
      <w:kern w:val="0"/>
      <w:sz w:val="28"/>
      <w:szCs w:val="28"/>
      <w:lang w:val="en-US"/>
    </w:rPr>
  </w:style>
  <w:style w:type="character" w:customStyle="1" w:styleId="977">
    <w:name w:val="未处理的提及11"/>
    <w:basedOn w:val="62"/>
    <w:autoRedefine/>
    <w:semiHidden/>
    <w:unhideWhenUsed/>
    <w:qFormat/>
    <w:uiPriority w:val="99"/>
    <w:rPr>
      <w:color w:val="605E5C"/>
      <w:shd w:val="clear" w:color="auto" w:fill="E1DFDD"/>
    </w:rPr>
  </w:style>
  <w:style w:type="character" w:customStyle="1" w:styleId="978">
    <w:name w:val="7表格(治) Char Char"/>
    <w:autoRedefine/>
    <w:qFormat/>
    <w:uiPriority w:val="0"/>
    <w:rPr>
      <w:rFonts w:ascii="Times New Roman" w:hAnsi="Times New Roman" w:eastAsia="宋体" w:cs="Times New Roman"/>
      <w:kern w:val="0"/>
      <w:sz w:val="21"/>
      <w:szCs w:val="21"/>
    </w:rPr>
  </w:style>
  <w:style w:type="character" w:customStyle="1" w:styleId="979">
    <w:name w:val="f141"/>
    <w:autoRedefine/>
    <w:qFormat/>
    <w:uiPriority w:val="0"/>
    <w:rPr>
      <w:color w:val="000000"/>
      <w:sz w:val="28"/>
      <w:szCs w:val="28"/>
    </w:rPr>
  </w:style>
  <w:style w:type="paragraph" w:customStyle="1" w:styleId="980">
    <w:name w:val="J【表中文字】"/>
    <w:basedOn w:val="1"/>
    <w:autoRedefine/>
    <w:qFormat/>
    <w:uiPriority w:val="0"/>
    <w:pPr>
      <w:spacing w:line="440" w:lineRule="exact"/>
      <w:ind w:firstLine="0" w:firstLineChars="0"/>
      <w:jc w:val="center"/>
      <w:textAlignment w:val="center"/>
    </w:pPr>
    <w:rPr>
      <w:rFonts w:hAnsi="Times New Roman" w:cs="宋体"/>
      <w:kern w:val="2"/>
      <w:sz w:val="21"/>
      <w:szCs w:val="21"/>
      <w:lang w:val="en-US"/>
    </w:rPr>
  </w:style>
  <w:style w:type="paragraph" w:customStyle="1" w:styleId="981">
    <w:name w:val="文本（FAM）"/>
    <w:basedOn w:val="1"/>
    <w:link w:val="982"/>
    <w:autoRedefine/>
    <w:qFormat/>
    <w:uiPriority w:val="0"/>
    <w:rPr>
      <w:color w:val="000000" w:themeColor="text1"/>
      <w14:textFill>
        <w14:solidFill>
          <w14:schemeClr w14:val="tx1"/>
        </w14:solidFill>
      </w14:textFill>
    </w:rPr>
  </w:style>
  <w:style w:type="character" w:customStyle="1" w:styleId="982">
    <w:name w:val="文本（FAM） 字符"/>
    <w:basedOn w:val="62"/>
    <w:link w:val="981"/>
    <w:autoRedefine/>
    <w:qFormat/>
    <w:uiPriority w:val="0"/>
    <w:rPr>
      <w:rFonts w:ascii="Times New Roman" w:hAnsi="宋体" w:eastAsia="宋体" w:cs="Times New Roman"/>
      <w:color w:val="000000" w:themeColor="text1"/>
      <w:sz w:val="24"/>
      <w:szCs w:val="24"/>
      <w:lang w:val="zh-CN"/>
      <w14:textFill>
        <w14:solidFill>
          <w14:schemeClr w14:val="tx1"/>
        </w14:solidFill>
      </w14:textFill>
    </w:rPr>
  </w:style>
  <w:style w:type="paragraph" w:customStyle="1" w:styleId="983">
    <w:name w:val="正文首行缩进 21"/>
    <w:basedOn w:val="27"/>
    <w:autoRedefine/>
    <w:qFormat/>
    <w:uiPriority w:val="99"/>
    <w:pPr>
      <w:widowControl w:val="0"/>
      <w:spacing w:line="240" w:lineRule="auto"/>
      <w:ind w:left="200" w:firstLine="420"/>
      <w:jc w:val="both"/>
    </w:pPr>
    <w:rPr>
      <w:sz w:val="21"/>
    </w:rPr>
  </w:style>
  <w:style w:type="paragraph" w:customStyle="1" w:styleId="984">
    <w:name w:val="北京正文"/>
    <w:autoRedefine/>
    <w:qFormat/>
    <w:uiPriority w:val="0"/>
    <w:pPr>
      <w:adjustRightInd w:val="0"/>
      <w:snapToGrid w:val="0"/>
      <w:spacing w:line="360" w:lineRule="auto"/>
      <w:ind w:firstLine="200" w:firstLineChars="200"/>
    </w:pPr>
    <w:rPr>
      <w:rFonts w:ascii="Times New Roman" w:hAnsi="Times New Roman" w:eastAsia="宋体" w:cs="Times New Roman"/>
      <w:bCs/>
      <w:color w:val="000000"/>
      <w:kern w:val="2"/>
      <w:sz w:val="24"/>
      <w:szCs w:val="24"/>
      <w:lang w:val="en-US" w:eastAsia="zh-CN" w:bidi="ar-SA"/>
    </w:rPr>
  </w:style>
  <w:style w:type="paragraph" w:customStyle="1" w:styleId="985">
    <w:name w:val="TOC 标题2"/>
    <w:basedOn w:val="3"/>
    <w:next w:val="1"/>
    <w:autoRedefine/>
    <w:unhideWhenUsed/>
    <w:qFormat/>
    <w:uiPriority w:val="39"/>
    <w:pPr>
      <w:widowControl/>
      <w:numPr>
        <w:numId w:val="0"/>
      </w:numPr>
      <w:spacing w:before="240" w:beforeLines="0" w:after="0" w:afterLines="0" w:line="259" w:lineRule="auto"/>
      <w:outlineLvl w:val="9"/>
    </w:pPr>
    <w:rPr>
      <w:rFonts w:asciiTheme="majorHAnsi" w:hAnsiTheme="majorHAnsi" w:eastAsiaTheme="majorEastAsia" w:cstheme="majorBidi"/>
      <w:b w:val="0"/>
      <w:color w:val="2F5597" w:themeColor="accent1" w:themeShade="BF"/>
      <w:kern w:val="0"/>
      <w:sz w:val="32"/>
      <w:szCs w:val="32"/>
      <w:lang w:val="en-US"/>
    </w:rPr>
  </w:style>
  <w:style w:type="character" w:customStyle="1" w:styleId="986">
    <w:name w:val="未处理的提及2"/>
    <w:basedOn w:val="62"/>
    <w:autoRedefine/>
    <w:semiHidden/>
    <w:unhideWhenUsed/>
    <w:qFormat/>
    <w:uiPriority w:val="99"/>
    <w:rPr>
      <w:color w:val="605E5C"/>
      <w:shd w:val="clear" w:color="auto" w:fill="E1DFDD"/>
    </w:rPr>
  </w:style>
  <w:style w:type="character" w:customStyle="1" w:styleId="987">
    <w:name w:val="文本块 字符"/>
    <w:link w:val="29"/>
    <w:autoRedefine/>
    <w:qFormat/>
    <w:locked/>
    <w:uiPriority w:val="0"/>
    <w:rPr>
      <w:rFonts w:ascii="Times New Roman" w:hAnsi="Times New Roman" w:eastAsia="宋体" w:cs="Times New Roman"/>
      <w:bCs/>
      <w:kern w:val="2"/>
      <w:sz w:val="21"/>
    </w:rPr>
  </w:style>
  <w:style w:type="paragraph" w:customStyle="1" w:styleId="988">
    <w:name w:val="5文章正文"/>
    <w:basedOn w:val="1"/>
    <w:link w:val="989"/>
    <w:autoRedefine/>
    <w:qFormat/>
    <w:uiPriority w:val="0"/>
    <w:pPr>
      <w:ind w:firstLine="200"/>
    </w:pPr>
    <w:rPr>
      <w:rFonts w:hAnsi="Times New Roman"/>
      <w:kern w:val="2"/>
      <w:lang w:val="en-US"/>
    </w:rPr>
  </w:style>
  <w:style w:type="character" w:customStyle="1" w:styleId="989">
    <w:name w:val="5文章正文 字符"/>
    <w:link w:val="988"/>
    <w:autoRedefine/>
    <w:qFormat/>
    <w:uiPriority w:val="0"/>
    <w:rPr>
      <w:rFonts w:ascii="Times New Roman" w:hAnsi="Times New Roman" w:eastAsia="宋体" w:cs="Times New Roman"/>
      <w:kern w:val="2"/>
      <w:sz w:val="24"/>
      <w:szCs w:val="24"/>
    </w:rPr>
  </w:style>
  <w:style w:type="character" w:customStyle="1" w:styleId="990">
    <w:name w:val="样式 5文章(治) + Char"/>
    <w:basedOn w:val="331"/>
    <w:link w:val="74"/>
    <w:autoRedefine/>
    <w:qFormat/>
    <w:uiPriority w:val="0"/>
    <w:rPr>
      <w:rFonts w:eastAsia="宋体" w:cs="Tahoma"/>
      <w:snapToGrid w:val="0"/>
      <w:kern w:val="2"/>
      <w:sz w:val="24"/>
      <w:szCs w:val="21"/>
      <w:lang w:val="en-US" w:eastAsia="zh-CN" w:bidi="ar-SA"/>
    </w:rPr>
  </w:style>
  <w:style w:type="character" w:customStyle="1" w:styleId="991">
    <w:name w:val="Default Char"/>
    <w:link w:val="71"/>
    <w:autoRedefine/>
    <w:qFormat/>
    <w:uiPriority w:val="0"/>
    <w:rPr>
      <w:rFonts w:ascii="宋体" w:hAnsi="宋体" w:eastAsia="宋体" w:cs="宋体"/>
      <w:color w:val="000000"/>
      <w:sz w:val="24"/>
      <w:szCs w:val="24"/>
    </w:rPr>
  </w:style>
  <w:style w:type="character" w:customStyle="1" w:styleId="992">
    <w:name w:val="正文C1 Char"/>
    <w:link w:val="915"/>
    <w:autoRedefine/>
    <w:qFormat/>
    <w:uiPriority w:val="0"/>
    <w:rPr>
      <w:rFonts w:ascii="宋体" w:hAnsi="Times New Roman" w:eastAsia="宋体" w:cs="Times New Roman"/>
      <w:sz w:val="24"/>
      <w:szCs w:val="28"/>
    </w:rPr>
  </w:style>
  <w:style w:type="character" w:customStyle="1" w:styleId="993">
    <w:name w:val="5文章(治)[858D7CFB-ED40-4347-BF05-701D383B685F]1"/>
    <w:autoRedefine/>
    <w:qFormat/>
    <w:uiPriority w:val="0"/>
    <w:rPr>
      <w:rFonts w:ascii="Times New Roman" w:hAnsi="Times New Roman" w:eastAsia="宋体" w:cs="Times New Roman"/>
      <w:snapToGrid w:val="0"/>
      <w:color w:val="000000"/>
      <w:kern w:val="0"/>
      <w:sz w:val="24"/>
      <w:szCs w:val="20"/>
      <w:lang w:val="en-GB"/>
    </w:rPr>
  </w:style>
  <w:style w:type="character" w:customStyle="1" w:styleId="994">
    <w:name w:val="_Style 3"/>
    <w:autoRedefine/>
    <w:qFormat/>
    <w:uiPriority w:val="0"/>
    <w:rPr>
      <w:i/>
      <w:color w:val="5A5A5A"/>
    </w:rPr>
  </w:style>
  <w:style w:type="character" w:customStyle="1" w:styleId="995">
    <w:name w:val="6表(图)头(治) Char Char"/>
    <w:autoRedefine/>
    <w:qFormat/>
    <w:uiPriority w:val="0"/>
    <w:rPr>
      <w:rFonts w:ascii="Times New Roman" w:hAnsi="Times New Roman" w:eastAsia="黑体" w:cs="Times New Roman"/>
      <w:b/>
      <w:kern w:val="0"/>
      <w:sz w:val="24"/>
      <w:szCs w:val="28"/>
    </w:rPr>
  </w:style>
  <w:style w:type="character" w:customStyle="1" w:styleId="996">
    <w:name w:val="电子邮件签名 字符"/>
    <w:basedOn w:val="62"/>
    <w:link w:val="17"/>
    <w:autoRedefine/>
    <w:qFormat/>
    <w:uiPriority w:val="0"/>
    <w:rPr>
      <w:rFonts w:ascii="Times New Roman" w:hAnsi="Times New Roman" w:eastAsia="宋体" w:cs="Times New Roman"/>
      <w:kern w:val="2"/>
      <w:sz w:val="21"/>
      <w:szCs w:val="22"/>
    </w:rPr>
  </w:style>
  <w:style w:type="character" w:customStyle="1" w:styleId="997">
    <w:name w:val="5文章(治)[858D7CFB-ED40-4347-BF05-701D383B685F]"/>
    <w:autoRedefine/>
    <w:qFormat/>
    <w:locked/>
    <w:uiPriority w:val="0"/>
    <w:rPr>
      <w:rFonts w:ascii="Times New Roman" w:hAnsi="Times New Roman" w:eastAsia="宋体"/>
      <w:snapToGrid w:val="0"/>
      <w:color w:val="000000"/>
      <w:sz w:val="24"/>
      <w:lang w:val="en-GB"/>
    </w:rPr>
  </w:style>
  <w:style w:type="paragraph" w:customStyle="1" w:styleId="998">
    <w:name w:val="（目录）二到4级标题及附表"/>
    <w:basedOn w:val="1"/>
    <w:autoRedefine/>
    <w:qFormat/>
    <w:uiPriority w:val="0"/>
    <w:pPr>
      <w:widowControl/>
      <w:adjustRightInd w:val="0"/>
      <w:snapToGrid w:val="0"/>
      <w:ind w:firstLine="200"/>
      <w:jc w:val="center"/>
    </w:pPr>
    <w:rPr>
      <w:rFonts w:hAnsi="Times New Roman" w:eastAsia="Times New Roman"/>
      <w:snapToGrid w:val="0"/>
      <w:kern w:val="30"/>
      <w:szCs w:val="30"/>
      <w:lang w:val="en-US"/>
    </w:rPr>
  </w:style>
  <w:style w:type="paragraph" w:customStyle="1" w:styleId="999">
    <w:name w:val="6文章(治)"/>
    <w:basedOn w:val="1"/>
    <w:autoRedefine/>
    <w:qFormat/>
    <w:uiPriority w:val="0"/>
    <w:pPr>
      <w:ind w:firstLine="200"/>
    </w:pPr>
    <w:rPr>
      <w:rFonts w:hAnsi="Times New Roman"/>
      <w:kern w:val="2"/>
      <w:szCs w:val="22"/>
      <w:lang w:val="en-US"/>
    </w:rPr>
  </w:style>
  <w:style w:type="paragraph" w:customStyle="1" w:styleId="1000">
    <w:name w:val="Table Text"/>
    <w:basedOn w:val="1"/>
    <w:autoRedefine/>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宋体" w:cs="宋体"/>
      <w:snapToGrid w:val="0"/>
      <w:color w:val="000000"/>
      <w:sz w:val="20"/>
      <w:szCs w:val="20"/>
      <w:lang w:val="en-US" w:eastAsia="en-US"/>
    </w:rPr>
  </w:style>
  <w:style w:type="paragraph" w:customStyle="1" w:styleId="1001">
    <w:name w:val="表格内容"/>
    <w:basedOn w:val="1"/>
    <w:link w:val="1002"/>
    <w:autoRedefine/>
    <w:qFormat/>
    <w:uiPriority w:val="0"/>
    <w:pPr>
      <w:spacing w:line="240" w:lineRule="auto"/>
      <w:ind w:firstLine="0" w:firstLineChars="0"/>
      <w:jc w:val="center"/>
    </w:pPr>
    <w:rPr>
      <w:rFonts w:hAnsi="Times New Roman"/>
      <w:kern w:val="2"/>
      <w:sz w:val="21"/>
      <w:szCs w:val="21"/>
      <w:lang w:val="en-US"/>
    </w:rPr>
  </w:style>
  <w:style w:type="character" w:customStyle="1" w:styleId="1002">
    <w:name w:val="表格内容 字符"/>
    <w:basedOn w:val="62"/>
    <w:link w:val="1001"/>
    <w:autoRedefine/>
    <w:qFormat/>
    <w:uiPriority w:val="0"/>
    <w:rPr>
      <w:rFonts w:ascii="Times New Roman" w:hAnsi="Times New Roman" w:eastAsia="宋体" w:cs="Times New Roman"/>
      <w:kern w:val="2"/>
      <w:sz w:val="21"/>
      <w:szCs w:val="21"/>
    </w:rPr>
  </w:style>
  <w:style w:type="paragraph" w:customStyle="1" w:styleId="1003">
    <w:name w:val="表格表头"/>
    <w:basedOn w:val="1"/>
    <w:link w:val="1004"/>
    <w:autoRedefine/>
    <w:qFormat/>
    <w:uiPriority w:val="0"/>
    <w:pPr>
      <w:ind w:firstLine="0" w:firstLineChars="0"/>
      <w:jc w:val="center"/>
    </w:pPr>
    <w:rPr>
      <w:rFonts w:hAnsi="Times New Roman"/>
      <w:b/>
      <w:lang w:val="en-US"/>
    </w:rPr>
  </w:style>
  <w:style w:type="character" w:customStyle="1" w:styleId="1004">
    <w:name w:val="表格表头 字符"/>
    <w:basedOn w:val="62"/>
    <w:link w:val="1003"/>
    <w:autoRedefine/>
    <w:qFormat/>
    <w:uiPriority w:val="0"/>
    <w:rPr>
      <w:rFonts w:ascii="Times New Roman" w:hAnsi="Times New Roman" w:eastAsia="宋体" w:cs="Times New Roman"/>
      <w:b/>
      <w:sz w:val="24"/>
      <w:szCs w:val="24"/>
    </w:rPr>
  </w:style>
  <w:style w:type="paragraph" w:customStyle="1" w:styleId="1005">
    <w:name w:val="表头图例"/>
    <w:basedOn w:val="1"/>
    <w:link w:val="1006"/>
    <w:autoRedefine/>
    <w:qFormat/>
    <w:uiPriority w:val="0"/>
    <w:pPr>
      <w:ind w:firstLine="0" w:firstLineChars="0"/>
      <w:jc w:val="center"/>
    </w:pPr>
    <w:rPr>
      <w:b/>
      <w:color w:val="000000"/>
      <w:lang w:val="en-US"/>
    </w:rPr>
  </w:style>
  <w:style w:type="character" w:customStyle="1" w:styleId="1006">
    <w:name w:val="表头图例 字符"/>
    <w:link w:val="1005"/>
    <w:autoRedefine/>
    <w:qFormat/>
    <w:uiPriority w:val="0"/>
    <w:rPr>
      <w:rFonts w:ascii="Times New Roman" w:hAnsi="宋体" w:eastAsia="宋体" w:cs="Times New Roman"/>
      <w:b/>
      <w:color w:val="000000"/>
      <w:sz w:val="24"/>
      <w:szCs w:val="24"/>
    </w:rPr>
  </w:style>
  <w:style w:type="character" w:customStyle="1" w:styleId="1007">
    <w:name w:val="表格 字符"/>
    <w:autoRedefine/>
    <w:qFormat/>
    <w:uiPriority w:val="0"/>
    <w:rPr>
      <w:rFonts w:ascii="Times New Roman" w:hAnsi="Times New Roman" w:eastAsia="宋体" w:cs="Times New Roman"/>
      <w:szCs w:val="24"/>
    </w:rPr>
  </w:style>
  <w:style w:type="paragraph" w:customStyle="1" w:styleId="1008">
    <w:name w:val="F表格内容"/>
    <w:basedOn w:val="1"/>
    <w:link w:val="1009"/>
    <w:autoRedefine/>
    <w:qFormat/>
    <w:uiPriority w:val="0"/>
    <w:pPr>
      <w:spacing w:line="240" w:lineRule="auto"/>
      <w:ind w:firstLine="0" w:firstLineChars="0"/>
      <w:jc w:val="center"/>
    </w:pPr>
    <w:rPr>
      <w:rFonts w:hAnsi="Times New Roman"/>
      <w:kern w:val="2"/>
      <w:sz w:val="21"/>
      <w:szCs w:val="21"/>
      <w:lang w:val="en-US"/>
    </w:rPr>
  </w:style>
  <w:style w:type="character" w:customStyle="1" w:styleId="1009">
    <w:name w:val="F表格内容 字符"/>
    <w:basedOn w:val="62"/>
    <w:link w:val="1008"/>
    <w:autoRedefine/>
    <w:qFormat/>
    <w:uiPriority w:val="0"/>
    <w:rPr>
      <w:rFonts w:ascii="Times New Roman" w:hAnsi="Times New Roman" w:eastAsia="宋体" w:cs="Times New Roman"/>
      <w:kern w:val="2"/>
      <w:sz w:val="21"/>
      <w:szCs w:val="21"/>
    </w:rPr>
  </w:style>
  <w:style w:type="paragraph" w:customStyle="1" w:styleId="1010">
    <w:name w:val="F表格表头"/>
    <w:basedOn w:val="86"/>
    <w:link w:val="1011"/>
    <w:autoRedefine/>
    <w:qFormat/>
    <w:uiPriority w:val="0"/>
    <w:rPr>
      <w:rFonts w:hAnsi="Times New Roman"/>
      <w:color w:val="auto"/>
    </w:rPr>
  </w:style>
  <w:style w:type="character" w:customStyle="1" w:styleId="1011">
    <w:name w:val="F表格表头 字符"/>
    <w:basedOn w:val="62"/>
    <w:link w:val="1010"/>
    <w:autoRedefine/>
    <w:qFormat/>
    <w:uiPriority w:val="0"/>
    <w:rPr>
      <w:rFonts w:ascii="Times New Roman" w:hAnsi="Times New Roman" w:eastAsia="宋体" w:cs="Times New Roman"/>
      <w:b/>
      <w:sz w:val="24"/>
      <w:szCs w:val="24"/>
    </w:rPr>
  </w:style>
  <w:style w:type="paragraph" w:customStyle="1" w:styleId="1012">
    <w:name w:val="0正文"/>
    <w:basedOn w:val="1"/>
    <w:autoRedefine/>
    <w:qFormat/>
    <w:uiPriority w:val="0"/>
    <w:pPr>
      <w:ind w:firstLine="200"/>
    </w:pPr>
  </w:style>
  <w:style w:type="character" w:customStyle="1" w:styleId="1013">
    <w:name w:val="a二级 Char"/>
    <w:link w:val="1014"/>
    <w:autoRedefine/>
    <w:qFormat/>
    <w:uiPriority w:val="0"/>
    <w:rPr>
      <w:rFonts w:ascii="Times New Roman" w:hAnsi="Times New Roman" w:eastAsia="黑体"/>
      <w:b/>
      <w:bCs/>
      <w:sz w:val="32"/>
      <w:szCs w:val="32"/>
    </w:rPr>
  </w:style>
  <w:style w:type="paragraph" w:customStyle="1" w:styleId="1014">
    <w:name w:val="a二级"/>
    <w:basedOn w:val="4"/>
    <w:link w:val="1013"/>
    <w:autoRedefine/>
    <w:qFormat/>
    <w:uiPriority w:val="0"/>
    <w:pPr>
      <w:numPr>
        <w:ilvl w:val="0"/>
        <w:numId w:val="0"/>
      </w:numPr>
      <w:adjustRightInd w:val="0"/>
      <w:snapToGrid w:val="0"/>
      <w:spacing w:before="0" w:beforeLines="0" w:after="0" w:afterLines="0"/>
      <w:jc w:val="both"/>
    </w:pPr>
    <w:rPr>
      <w:rFonts w:ascii="Times New Roman" w:hAnsi="Times New Roman" w:eastAsia="黑体" w:cstheme="minorBidi"/>
      <w:bCs/>
      <w:kern w:val="0"/>
      <w:sz w:val="32"/>
      <w:szCs w:val="32"/>
      <w:lang w:val="en-US"/>
    </w:rPr>
  </w:style>
  <w:style w:type="table" w:customStyle="1" w:styleId="1015">
    <w:name w:val="表格主题211218"/>
    <w:basedOn w:val="58"/>
    <w:qFormat/>
    <w:uiPriority w:val="0"/>
    <w:pPr>
      <w:widowControl w:val="0"/>
      <w:jc w:val="center"/>
    </w:p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1016">
    <w:name w:val="【正文】"/>
    <w:basedOn w:val="1"/>
    <w:qFormat/>
    <w:uiPriority w:val="0"/>
    <w:pPr>
      <w:spacing w:before="120" w:after="120" w:line="312" w:lineRule="auto"/>
      <w:ind w:firstLine="200"/>
    </w:pPr>
    <w:rPr>
      <w:szCs w:val="20"/>
    </w:rPr>
  </w:style>
  <w:style w:type="paragraph" w:customStyle="1" w:styleId="1017">
    <w:name w:val="TOC 71"/>
    <w:basedOn w:val="1"/>
    <w:next w:val="1"/>
    <w:unhideWhenUsed/>
    <w:qFormat/>
    <w:uiPriority w:val="39"/>
    <w:pPr>
      <w:ind w:left="1440"/>
      <w:jc w:val="left"/>
    </w:pPr>
    <w:rPr>
      <w:rFonts w:eastAsia="等线" w:asciiTheme="minorHAnsi"/>
      <w:sz w:val="18"/>
      <w:szCs w:val="18"/>
    </w:rPr>
  </w:style>
  <w:style w:type="paragraph" w:customStyle="1" w:styleId="1018">
    <w:name w:val="TOC 51"/>
    <w:basedOn w:val="1"/>
    <w:next w:val="1"/>
    <w:unhideWhenUsed/>
    <w:qFormat/>
    <w:uiPriority w:val="39"/>
    <w:pPr>
      <w:ind w:left="960"/>
      <w:jc w:val="left"/>
    </w:pPr>
    <w:rPr>
      <w:rFonts w:eastAsia="等线" w:asciiTheme="minorHAnsi"/>
      <w:sz w:val="18"/>
      <w:szCs w:val="18"/>
    </w:rPr>
  </w:style>
  <w:style w:type="paragraph" w:customStyle="1" w:styleId="1019">
    <w:name w:val="TOC 31"/>
    <w:basedOn w:val="1"/>
    <w:next w:val="1"/>
    <w:unhideWhenUsed/>
    <w:qFormat/>
    <w:uiPriority w:val="39"/>
    <w:pPr>
      <w:ind w:left="480"/>
      <w:jc w:val="left"/>
    </w:pPr>
    <w:rPr>
      <w:rFonts w:eastAsia="等线" w:asciiTheme="minorHAnsi"/>
      <w:i/>
      <w:iCs/>
      <w:sz w:val="20"/>
      <w:szCs w:val="20"/>
    </w:rPr>
  </w:style>
  <w:style w:type="paragraph" w:customStyle="1" w:styleId="1020">
    <w:name w:val="TOC 81"/>
    <w:basedOn w:val="1"/>
    <w:next w:val="1"/>
    <w:unhideWhenUsed/>
    <w:qFormat/>
    <w:uiPriority w:val="39"/>
    <w:pPr>
      <w:ind w:left="1680"/>
      <w:jc w:val="left"/>
    </w:pPr>
    <w:rPr>
      <w:rFonts w:eastAsia="等线" w:asciiTheme="minorHAnsi"/>
      <w:sz w:val="18"/>
      <w:szCs w:val="18"/>
    </w:rPr>
  </w:style>
  <w:style w:type="paragraph" w:customStyle="1" w:styleId="1021">
    <w:name w:val="TOC 11"/>
    <w:basedOn w:val="1"/>
    <w:next w:val="1"/>
    <w:unhideWhenUsed/>
    <w:qFormat/>
    <w:uiPriority w:val="39"/>
    <w:pPr>
      <w:spacing w:before="120" w:after="120"/>
      <w:jc w:val="left"/>
    </w:pPr>
    <w:rPr>
      <w:rFonts w:eastAsia="等线" w:asciiTheme="minorHAnsi"/>
      <w:b/>
      <w:bCs/>
      <w:caps/>
      <w:sz w:val="20"/>
      <w:szCs w:val="20"/>
    </w:rPr>
  </w:style>
  <w:style w:type="paragraph" w:customStyle="1" w:styleId="1022">
    <w:name w:val="TOC 41"/>
    <w:basedOn w:val="1"/>
    <w:next w:val="1"/>
    <w:unhideWhenUsed/>
    <w:qFormat/>
    <w:uiPriority w:val="39"/>
    <w:pPr>
      <w:ind w:left="720"/>
      <w:jc w:val="left"/>
    </w:pPr>
    <w:rPr>
      <w:rFonts w:eastAsia="等线" w:asciiTheme="minorHAnsi"/>
      <w:sz w:val="18"/>
      <w:szCs w:val="18"/>
    </w:rPr>
  </w:style>
  <w:style w:type="paragraph" w:customStyle="1" w:styleId="1023">
    <w:name w:val="TOC 61"/>
    <w:basedOn w:val="1"/>
    <w:next w:val="1"/>
    <w:unhideWhenUsed/>
    <w:qFormat/>
    <w:uiPriority w:val="39"/>
    <w:pPr>
      <w:ind w:left="1200"/>
      <w:jc w:val="left"/>
    </w:pPr>
    <w:rPr>
      <w:rFonts w:eastAsia="等线" w:asciiTheme="minorHAnsi"/>
      <w:sz w:val="18"/>
      <w:szCs w:val="18"/>
    </w:rPr>
  </w:style>
  <w:style w:type="paragraph" w:customStyle="1" w:styleId="1024">
    <w:name w:val="TOC 21"/>
    <w:basedOn w:val="1"/>
    <w:next w:val="1"/>
    <w:unhideWhenUsed/>
    <w:qFormat/>
    <w:uiPriority w:val="39"/>
    <w:pPr>
      <w:ind w:left="240"/>
      <w:jc w:val="left"/>
    </w:pPr>
    <w:rPr>
      <w:rFonts w:eastAsia="等线" w:asciiTheme="minorHAnsi"/>
      <w:smallCaps/>
      <w:sz w:val="20"/>
      <w:szCs w:val="20"/>
    </w:rPr>
  </w:style>
  <w:style w:type="paragraph" w:customStyle="1" w:styleId="1025">
    <w:name w:val="TOC 91"/>
    <w:basedOn w:val="1"/>
    <w:next w:val="1"/>
    <w:unhideWhenUsed/>
    <w:qFormat/>
    <w:uiPriority w:val="39"/>
    <w:pPr>
      <w:ind w:left="1920"/>
      <w:jc w:val="left"/>
    </w:pPr>
    <w:rPr>
      <w:rFonts w:eastAsia="等线" w:asciiTheme="minorHAnsi"/>
      <w:sz w:val="18"/>
      <w:szCs w:val="18"/>
    </w:rPr>
  </w:style>
  <w:style w:type="paragraph" w:customStyle="1" w:styleId="1026">
    <w:name w:val="样式 金皇-表（图）头 + 首行缩进:  0 字符"/>
    <w:qFormat/>
    <w:uiPriority w:val="0"/>
    <w:pPr>
      <w:widowControl w:val="0"/>
      <w:adjustRightInd w:val="0"/>
      <w:snapToGrid w:val="0"/>
      <w:jc w:val="center"/>
    </w:pPr>
    <w:rPr>
      <w:rFonts w:ascii="Times New Roman" w:hAnsi="Times New Roman" w:eastAsia="黑体" w:cs="宋体"/>
      <w:b/>
      <w:bCs/>
      <w:kern w:val="2"/>
      <w:sz w:val="24"/>
      <w:lang w:val="en-US" w:eastAsia="zh-CN" w:bidi="ar-SA"/>
    </w:rPr>
  </w:style>
  <w:style w:type="paragraph" w:customStyle="1" w:styleId="1027">
    <w:name w:val="样式 金皇-表（图）头 + 首行缩进:  2 字符 行距: 单倍行距"/>
    <w:qFormat/>
    <w:uiPriority w:val="0"/>
    <w:pPr>
      <w:widowControl w:val="0"/>
      <w:adjustRightInd w:val="0"/>
      <w:snapToGrid w:val="0"/>
      <w:ind w:firstLine="200" w:firstLineChars="200"/>
      <w:jc w:val="center"/>
    </w:pPr>
    <w:rPr>
      <w:rFonts w:ascii="Times New Roman" w:hAnsi="Times New Roman" w:eastAsia="黑体" w:cs="宋体"/>
      <w:b/>
      <w:bCs/>
      <w:kern w:val="2"/>
      <w:sz w:val="24"/>
      <w:lang w:val="en-US" w:eastAsia="zh-CN" w:bidi="ar-SA"/>
    </w:rPr>
  </w:style>
  <w:style w:type="paragraph" w:customStyle="1" w:styleId="1028">
    <w:name w:val="金皇——正文"/>
    <w:basedOn w:val="1"/>
    <w:qFormat/>
    <w:uiPriority w:val="0"/>
    <w:rPr>
      <w:rFonts w:hAnsi="Times New Roman"/>
      <w:lang w:val="en-US"/>
    </w:rPr>
  </w:style>
  <w:style w:type="paragraph" w:customStyle="1" w:styleId="1029">
    <w:name w:val="金皇——表内文字"/>
    <w:basedOn w:val="1"/>
    <w:qFormat/>
    <w:uiPriority w:val="0"/>
    <w:pPr>
      <w:tabs>
        <w:tab w:val="left" w:pos="0"/>
      </w:tabs>
      <w:adjustRightInd w:val="0"/>
      <w:snapToGrid w:val="0"/>
      <w:spacing w:line="240" w:lineRule="auto"/>
      <w:ind w:firstLine="0" w:firstLineChars="0"/>
      <w:jc w:val="center"/>
    </w:pPr>
    <w:rPr>
      <w:rFonts w:hAnsi="Times New Roman"/>
      <w:kern w:val="2"/>
      <w:sz w:val="21"/>
      <w:szCs w:val="21"/>
      <w:lang w:val="en-US"/>
    </w:rPr>
  </w:style>
  <w:style w:type="character" w:customStyle="1" w:styleId="1030">
    <w:name w:val="金皇-标题4 Char"/>
    <w:link w:val="1031"/>
    <w:qFormat/>
    <w:uiPriority w:val="0"/>
    <w:rPr>
      <w:b/>
      <w:bCs/>
      <w:sz w:val="24"/>
    </w:rPr>
  </w:style>
  <w:style w:type="paragraph" w:customStyle="1" w:styleId="1031">
    <w:name w:val="金皇-标题4"/>
    <w:basedOn w:val="7"/>
    <w:link w:val="1030"/>
    <w:qFormat/>
    <w:uiPriority w:val="0"/>
    <w:pPr>
      <w:widowControl w:val="0"/>
      <w:numPr>
        <w:ilvl w:val="0"/>
        <w:numId w:val="0"/>
      </w:numPr>
      <w:tabs>
        <w:tab w:val="left" w:pos="0"/>
        <w:tab w:val="left" w:pos="420"/>
      </w:tabs>
      <w:spacing w:before="0" w:beforeLines="0"/>
      <w:ind w:left="420" w:right="-105" w:hanging="420"/>
      <w:jc w:val="left"/>
    </w:pPr>
    <w:rPr>
      <w:bCs/>
      <w:sz w:val="24"/>
      <w:szCs w:val="20"/>
      <w:lang w:val="en-US"/>
    </w:rPr>
  </w:style>
  <w:style w:type="character" w:customStyle="1" w:styleId="1032">
    <w:name w:val="金皇-正文 Char"/>
    <w:link w:val="1033"/>
    <w:qFormat/>
    <w:uiPriority w:val="0"/>
    <w:rPr>
      <w:sz w:val="24"/>
      <w:szCs w:val="24"/>
    </w:rPr>
  </w:style>
  <w:style w:type="paragraph" w:customStyle="1" w:styleId="1033">
    <w:name w:val="金皇-正文"/>
    <w:basedOn w:val="1"/>
    <w:link w:val="1032"/>
    <w:qFormat/>
    <w:uiPriority w:val="0"/>
    <w:pPr>
      <w:ind w:firstLine="200"/>
    </w:pPr>
    <w:rPr>
      <w:rFonts w:hAnsi="Times New Roman"/>
      <w:lang w:val="en-US"/>
    </w:rPr>
  </w:style>
  <w:style w:type="paragraph" w:customStyle="1" w:styleId="1034">
    <w:name w:val="金皇-表格内文字"/>
    <w:basedOn w:val="1"/>
    <w:link w:val="1035"/>
    <w:qFormat/>
    <w:uiPriority w:val="0"/>
    <w:pPr>
      <w:tabs>
        <w:tab w:val="left" w:pos="0"/>
      </w:tabs>
      <w:adjustRightInd w:val="0"/>
      <w:snapToGrid w:val="0"/>
      <w:spacing w:line="240" w:lineRule="auto"/>
      <w:ind w:firstLine="0" w:firstLineChars="0"/>
      <w:jc w:val="center"/>
    </w:pPr>
    <w:rPr>
      <w:rFonts w:hAnsi="Times New Roman"/>
      <w:snapToGrid w:val="0"/>
      <w:sz w:val="20"/>
      <w:szCs w:val="21"/>
      <w:lang w:val="en-US"/>
    </w:rPr>
  </w:style>
  <w:style w:type="character" w:customStyle="1" w:styleId="1035">
    <w:name w:val="金皇-表格内文字 Char"/>
    <w:link w:val="1034"/>
    <w:qFormat/>
    <w:uiPriority w:val="0"/>
    <w:rPr>
      <w:snapToGrid w:val="0"/>
      <w:szCs w:val="21"/>
    </w:rPr>
  </w:style>
  <w:style w:type="character" w:customStyle="1" w:styleId="1036">
    <w:name w:val="style181"/>
    <w:qFormat/>
    <w:uiPriority w:val="0"/>
    <w:rPr>
      <w:color w:val="0000FF"/>
    </w:rPr>
  </w:style>
  <w:style w:type="paragraph" w:customStyle="1" w:styleId="1037">
    <w:name w:val="修改（蓝灰）"/>
    <w:basedOn w:val="92"/>
    <w:link w:val="1038"/>
    <w:qFormat/>
    <w:uiPriority w:val="0"/>
    <w:rPr>
      <w:color w:val="0000FF"/>
    </w:rPr>
  </w:style>
  <w:style w:type="character" w:customStyle="1" w:styleId="1038">
    <w:name w:val="修改（蓝灰） 字符"/>
    <w:basedOn w:val="95"/>
    <w:link w:val="1037"/>
    <w:qFormat/>
    <w:uiPriority w:val="0"/>
    <w:rPr>
      <w:rFonts w:ascii="Times New Roman" w:hAnsi="Times New Roman" w:eastAsia="宋体" w:cs="Times New Roman"/>
      <w:color w:val="0000FF"/>
      <w:kern w:val="2"/>
      <w:sz w:val="21"/>
      <w:szCs w:val="21"/>
    </w:rPr>
  </w:style>
  <w:style w:type="paragraph" w:customStyle="1" w:styleId="1039">
    <w:name w:val="金皇——表（图）"/>
    <w:basedOn w:val="1"/>
    <w:qFormat/>
    <w:uiPriority w:val="0"/>
    <w:pPr>
      <w:spacing w:line="240" w:lineRule="auto"/>
      <w:ind w:firstLine="0" w:firstLineChars="0"/>
      <w:jc w:val="center"/>
      <w:outlineLvl w:val="4"/>
    </w:pPr>
    <w:rPr>
      <w:rFonts w:hAnsi="Times New Roman" w:eastAsia="黑体"/>
      <w:b/>
      <w:szCs w:val="20"/>
      <w:lang w:val="en-US"/>
    </w:rPr>
  </w:style>
  <w:style w:type="paragraph" w:customStyle="1" w:styleId="1040">
    <w:name w:val="本文"/>
    <w:basedOn w:val="1"/>
    <w:qFormat/>
    <w:uiPriority w:val="0"/>
    <w:pPr>
      <w:ind w:firstLine="200"/>
    </w:pPr>
    <w:rPr>
      <w:rFonts w:hAnsi="Times New Roman"/>
      <w:kern w:val="2"/>
      <w:sz w:val="21"/>
      <w:lang w:val="en-US"/>
    </w:rPr>
  </w:style>
  <w:style w:type="paragraph" w:customStyle="1" w:styleId="1041">
    <w:name w:val="可研图片"/>
    <w:basedOn w:val="1"/>
    <w:qFormat/>
    <w:uiPriority w:val="0"/>
    <w:pPr>
      <w:widowControl/>
      <w:adjustRightInd w:val="0"/>
      <w:snapToGrid w:val="0"/>
      <w:spacing w:line="240" w:lineRule="auto"/>
      <w:ind w:firstLine="0" w:firstLineChars="0"/>
      <w:jc w:val="center"/>
    </w:pPr>
    <w:rPr>
      <w:rFonts w:ascii="宋体"/>
      <w:color w:val="C00000"/>
      <w:kern w:val="2"/>
      <w:sz w:val="21"/>
      <w:lang w:val="en-US"/>
    </w:rPr>
  </w:style>
  <w:style w:type="paragraph" w:customStyle="1" w:styleId="1042">
    <w:name w:val="修订2"/>
    <w:hidden/>
    <w:unhideWhenUsed/>
    <w:qFormat/>
    <w:uiPriority w:val="99"/>
    <w:rPr>
      <w:rFonts w:ascii="Times New Roman" w:hAnsi="宋体" w:eastAsia="宋体" w:cs="Times New Roman"/>
      <w:sz w:val="24"/>
      <w:szCs w:val="24"/>
      <w:lang w:val="zh-CN" w:eastAsia="zh-CN" w:bidi="ar-SA"/>
    </w:rPr>
  </w:style>
  <w:style w:type="table" w:customStyle="1" w:styleId="1043">
    <w:name w:val="网格型1"/>
    <w:basedOn w:val="5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1.xml"/><Relationship Id="rId79" Type="http://schemas.openxmlformats.org/officeDocument/2006/relationships/customXml" Target="../customXml/item1.xml"/><Relationship Id="rId78" Type="http://schemas.openxmlformats.org/officeDocument/2006/relationships/image" Target="media/image30.png"/><Relationship Id="rId77" Type="http://schemas.openxmlformats.org/officeDocument/2006/relationships/image" Target="media/image29.png"/><Relationship Id="rId76" Type="http://schemas.openxmlformats.org/officeDocument/2006/relationships/image" Target="media/image28.png"/><Relationship Id="rId75" Type="http://schemas.openxmlformats.org/officeDocument/2006/relationships/image" Target="media/image27.png"/><Relationship Id="rId74" Type="http://schemas.openxmlformats.org/officeDocument/2006/relationships/image" Target="media/image26.png"/><Relationship Id="rId73" Type="http://schemas.openxmlformats.org/officeDocument/2006/relationships/image" Target="media/image25.wmf"/><Relationship Id="rId72" Type="http://schemas.openxmlformats.org/officeDocument/2006/relationships/oleObject" Target="embeddings/oleObject20.bin"/><Relationship Id="rId71" Type="http://schemas.openxmlformats.org/officeDocument/2006/relationships/image" Target="media/image24.wmf"/><Relationship Id="rId70" Type="http://schemas.openxmlformats.org/officeDocument/2006/relationships/oleObject" Target="embeddings/oleObject19.bin"/><Relationship Id="rId7" Type="http://schemas.openxmlformats.org/officeDocument/2006/relationships/header" Target="header3.xml"/><Relationship Id="rId69" Type="http://schemas.openxmlformats.org/officeDocument/2006/relationships/image" Target="media/image23.wmf"/><Relationship Id="rId68" Type="http://schemas.openxmlformats.org/officeDocument/2006/relationships/oleObject" Target="embeddings/oleObject18.bin"/><Relationship Id="rId67" Type="http://schemas.openxmlformats.org/officeDocument/2006/relationships/image" Target="media/image22.wmf"/><Relationship Id="rId66" Type="http://schemas.openxmlformats.org/officeDocument/2006/relationships/oleObject" Target="embeddings/oleObject17.bin"/><Relationship Id="rId65" Type="http://schemas.openxmlformats.org/officeDocument/2006/relationships/image" Target="media/image21.wmf"/><Relationship Id="rId64" Type="http://schemas.openxmlformats.org/officeDocument/2006/relationships/oleObject" Target="embeddings/oleObject16.bin"/><Relationship Id="rId63" Type="http://schemas.openxmlformats.org/officeDocument/2006/relationships/image" Target="media/image20.wmf"/><Relationship Id="rId62" Type="http://schemas.openxmlformats.org/officeDocument/2006/relationships/oleObject" Target="embeddings/oleObject15.bin"/><Relationship Id="rId61" Type="http://schemas.openxmlformats.org/officeDocument/2006/relationships/image" Target="media/image19.wmf"/><Relationship Id="rId60" Type="http://schemas.openxmlformats.org/officeDocument/2006/relationships/oleObject" Target="embeddings/oleObject14.bin"/><Relationship Id="rId6" Type="http://schemas.openxmlformats.org/officeDocument/2006/relationships/header" Target="header2.xml"/><Relationship Id="rId59" Type="http://schemas.openxmlformats.org/officeDocument/2006/relationships/image" Target="media/image18.wmf"/><Relationship Id="rId58" Type="http://schemas.openxmlformats.org/officeDocument/2006/relationships/oleObject" Target="embeddings/oleObject13.bin"/><Relationship Id="rId57" Type="http://schemas.openxmlformats.org/officeDocument/2006/relationships/image" Target="media/image17.wmf"/><Relationship Id="rId56" Type="http://schemas.openxmlformats.org/officeDocument/2006/relationships/oleObject" Target="embeddings/oleObject12.bin"/><Relationship Id="rId55" Type="http://schemas.openxmlformats.org/officeDocument/2006/relationships/image" Target="media/image16.wmf"/><Relationship Id="rId54" Type="http://schemas.openxmlformats.org/officeDocument/2006/relationships/oleObject" Target="embeddings/oleObject11.bin"/><Relationship Id="rId53" Type="http://schemas.openxmlformats.org/officeDocument/2006/relationships/oleObject" Target="embeddings/oleObject10.bin"/><Relationship Id="rId52" Type="http://schemas.openxmlformats.org/officeDocument/2006/relationships/image" Target="media/image15.wmf"/><Relationship Id="rId51" Type="http://schemas.openxmlformats.org/officeDocument/2006/relationships/oleObject" Target="embeddings/oleObject9.bin"/><Relationship Id="rId50" Type="http://schemas.openxmlformats.org/officeDocument/2006/relationships/image" Target="media/image14.wmf"/><Relationship Id="rId5" Type="http://schemas.openxmlformats.org/officeDocument/2006/relationships/header" Target="header1.xml"/><Relationship Id="rId49" Type="http://schemas.openxmlformats.org/officeDocument/2006/relationships/oleObject" Target="embeddings/oleObject8.bin"/><Relationship Id="rId48" Type="http://schemas.openxmlformats.org/officeDocument/2006/relationships/image" Target="media/image13.wmf"/><Relationship Id="rId47" Type="http://schemas.openxmlformats.org/officeDocument/2006/relationships/oleObject" Target="embeddings/oleObject7.bin"/><Relationship Id="rId46" Type="http://schemas.openxmlformats.org/officeDocument/2006/relationships/image" Target="media/image12.wmf"/><Relationship Id="rId45" Type="http://schemas.openxmlformats.org/officeDocument/2006/relationships/oleObject" Target="embeddings/oleObject6.bin"/><Relationship Id="rId44" Type="http://schemas.openxmlformats.org/officeDocument/2006/relationships/image" Target="media/image11.wmf"/><Relationship Id="rId43" Type="http://schemas.openxmlformats.org/officeDocument/2006/relationships/oleObject" Target="embeddings/oleObject5.bin"/><Relationship Id="rId42" Type="http://schemas.openxmlformats.org/officeDocument/2006/relationships/image" Target="media/image10.wmf"/><Relationship Id="rId41" Type="http://schemas.openxmlformats.org/officeDocument/2006/relationships/oleObject" Target="embeddings/oleObject4.bin"/><Relationship Id="rId40" Type="http://schemas.openxmlformats.org/officeDocument/2006/relationships/image" Target="media/image9.w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8.wmf"/><Relationship Id="rId37" Type="http://schemas.openxmlformats.org/officeDocument/2006/relationships/oleObject" Target="embeddings/oleObject2.bin"/><Relationship Id="rId36" Type="http://schemas.openxmlformats.org/officeDocument/2006/relationships/image" Target="media/image7.wmf"/><Relationship Id="rId35" Type="http://schemas.openxmlformats.org/officeDocument/2006/relationships/oleObject" Target="embeddings/oleObject1.bin"/><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wmf"/><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header" Target="header7.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68F29D-A52E-47CE-83D2-5C1F6BCCECD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381</Pages>
  <Words>11614</Words>
  <Characters>13385</Characters>
  <Lines>5358</Lines>
  <Paragraphs>1508</Paragraphs>
  <TotalTime>18</TotalTime>
  <ScaleCrop>false</ScaleCrop>
  <LinksUpToDate>false</LinksUpToDate>
  <CharactersWithSpaces>13600</CharactersWithSpaces>
  <Application>WPS Office_12.1.0.21539_F1E327BC-269C-435d-A152-05C5408002CA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2023-12-21T10:01:00Z</dcterms:created>
  <dc:creator>FAM</dc:creator>
  <cp:lastModifiedBy>WPS_1557456268</cp:lastModifiedBy>
  <cp:lastPrinted>2025-04-16T06:40:00Z</cp:lastPrinted>
  <dcterms:modified xsi:type="dcterms:W3CDTF">2025-06-11T05:44:54Z</dcterms:modified>
  <cp:revision>285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2052-12.1.0.21539</vt:lpwstr>
  </property>
  <property fmtid="{D5CDD505-2E9C-101B-9397-08002B2CF9AE}" pid="3" name="ICV">
    <vt:lpwstr>DE15666ABDA54CA7A39C07C1C1D92DE6_13</vt:lpwstr>
  </property>
  <property fmtid="{D5CDD505-2E9C-101B-9397-08002B2CF9AE}" pid="4" name="KSOTemplateDocerSaveRecord">
    <vt:lpwstr>eyJoZGlkIjoiODhjYzI4MWNhMDdmMWNjMjRiODQwYzVjNTFhOTNiMDQiLCJ1c2VySWQiOiI1NTAxMTU4MzMifQ==</vt:lpwstr>
  </property>
</Properties>
</file>